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2.xml" ContentType="application/vnd.openxmlformats-officedocument.drawingml.chart+xml"/>
  <Override PartName="/word/charts/chart2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4.xml" ContentType="application/vnd.openxmlformats-officedocument.drawingml.chart+xml"/>
  <Override PartName="/word/charts/chart2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9.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0.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1.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2.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3.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4.xml" ContentType="application/vnd.openxmlformats-officedocument.drawingml.chart+xml"/>
  <Override PartName="/word/charts/style19.xml" ContentType="application/vnd.ms-office.chartstyle+xml"/>
  <Override PartName="/word/charts/colors19.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35.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6.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7.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8.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9.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0.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1.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2.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3.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4.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45.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46.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47.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8.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9.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50.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51.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52.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53.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54.xml" ContentType="application/vnd.openxmlformats-officedocument.drawingml.chart+xml"/>
  <Override PartName="/word/charts/chart55.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56.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57.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58.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59.xml" ContentType="application/vnd.openxmlformats-officedocument.drawingml.chart+xml"/>
  <Override PartName="/word/charts/style43.xml" ContentType="application/vnd.ms-office.chartstyle+xml"/>
  <Override PartName="/word/charts/colors43.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60.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61.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62.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63.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64.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65.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66.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67.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68.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69.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70.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71.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72.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73.xml" ContentType="application/vnd.openxmlformats-officedocument.drawingml.chart+xml"/>
  <Override PartName="/word/charts/style57.xml" ContentType="application/vnd.ms-office.chartstyle+xml"/>
  <Override PartName="/word/charts/colors57.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85.xml" ContentType="application/vnd.openxmlformats-officedocument.drawingml.chart+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charts/chart95.xml" ContentType="application/vnd.openxmlformats-officedocument.drawingml.chart+xml"/>
  <Override PartName="/word/charts/chart96.xml" ContentType="application/vnd.openxmlformats-officedocument.drawingml.chart+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97.xml" ContentType="application/vnd.openxmlformats-officedocument.drawingml.chart+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98.xml" ContentType="application/vnd.openxmlformats-officedocument.drawingml.chart+xml"/>
  <Override PartName="/word/charts/chart99.xml" ContentType="application/vnd.openxmlformats-officedocument.drawingml.chart+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charts/chart112.xml" ContentType="application/vnd.openxmlformats-officedocument.drawingml.chart+xml"/>
  <Override PartName="/word/charts/chart113.xml" ContentType="application/vnd.openxmlformats-officedocument.drawingml.chart+xml"/>
  <Override PartName="/word/charts/chart114.xml" ContentType="application/vnd.openxmlformats-officedocument.drawingml.chart+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charts/chart118.xml" ContentType="application/vnd.openxmlformats-officedocument.drawingml.chart+xml"/>
  <Override PartName="/word/charts/chart119.xml" ContentType="application/vnd.openxmlformats-officedocument.drawingml.chart+xml"/>
  <Override PartName="/word/charts/chart120.xml" ContentType="application/vnd.openxmlformats-officedocument.drawingml.chart+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charts/chart121.xml" ContentType="application/vnd.openxmlformats-officedocument.drawingml.chart+xml"/>
  <Override PartName="/word/charts/chart122.xml" ContentType="application/vnd.openxmlformats-officedocument.drawingml.chart+xml"/>
  <Override PartName="/word/charts/chart123.xml" ContentType="application/vnd.openxmlformats-officedocument.drawingml.chart+xml"/>
  <Override PartName="/word/charts/chart124.xml" ContentType="application/vnd.openxmlformats-officedocument.drawingml.chart+xml"/>
  <Override PartName="/word/charts/chart125.xml" ContentType="application/vnd.openxmlformats-officedocument.drawingml.chart+xml"/>
  <Override PartName="/word/charts/chart126.xml" ContentType="application/vnd.openxmlformats-officedocument.drawingml.chart+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charts/chart127.xml" ContentType="application/vnd.openxmlformats-officedocument.drawingml.chart+xml"/>
  <Override PartName="/word/charts/chart128.xml" ContentType="application/vnd.openxmlformats-officedocument.drawingml.chart+xml"/>
  <Override PartName="/word/charts/chart129.xml" ContentType="application/vnd.openxmlformats-officedocument.drawingml.chart+xml"/>
  <Override PartName="/word/charts/chart130.xml" ContentType="application/vnd.openxmlformats-officedocument.drawingml.chart+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charts/chart131.xml" ContentType="application/vnd.openxmlformats-officedocument.drawingml.chart+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charts/chart132.xml" ContentType="application/vnd.openxmlformats-officedocument.drawingml.chart+xml"/>
  <Override PartName="/word/charts/chart133.xml" ContentType="application/vnd.openxmlformats-officedocument.drawingml.chart+xml"/>
  <Override PartName="/word/charts/chart134.xml" ContentType="application/vnd.openxmlformats-officedocument.drawingml.chart+xml"/>
  <Override PartName="/word/charts/chart135.xml" ContentType="application/vnd.openxmlformats-officedocument.drawingml.chart+xml"/>
  <Override PartName="/word/charts/chart136.xml" ContentType="application/vnd.openxmlformats-officedocument.drawingml.chart+xml"/>
  <Override PartName="/word/charts/chart137.xml" ContentType="application/vnd.openxmlformats-officedocument.drawingml.chart+xml"/>
  <Override PartName="/word/charts/chart138.xml" ContentType="application/vnd.openxmlformats-officedocument.drawingml.chart+xml"/>
  <Override PartName="/word/charts/chart139.xml" ContentType="application/vnd.openxmlformats-officedocument.drawingml.chart+xml"/>
  <Override PartName="/word/charts/chart140.xml" ContentType="application/vnd.openxmlformats-officedocument.drawingml.chart+xml"/>
  <Override PartName="/word/charts/chart141.xml" ContentType="application/vnd.openxmlformats-officedocument.drawingml.chart+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charts/chart142.xml" ContentType="application/vnd.openxmlformats-officedocument.drawingml.chart+xml"/>
  <Override PartName="/word/charts/chart143.xml" ContentType="application/vnd.openxmlformats-officedocument.drawingml.chart+xml"/>
  <Override PartName="/word/charts/chart14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FC789" w14:textId="5E6CB64E" w:rsidR="00BB7F86" w:rsidRPr="00F171A3" w:rsidRDefault="00127527" w:rsidP="00BB7F86">
      <w:pPr>
        <w:sectPr w:rsidR="00BB7F86" w:rsidRPr="00F171A3" w:rsidSect="00AB0696">
          <w:footerReference w:type="default" r:id="rId8"/>
          <w:headerReference w:type="first" r:id="rId9"/>
          <w:footerReference w:type="first" r:id="rId10"/>
          <w:pgSz w:w="11907" w:h="16839" w:code="9"/>
          <w:pgMar w:top="1440" w:right="1440" w:bottom="1440" w:left="1440" w:header="709" w:footer="284" w:gutter="0"/>
          <w:cols w:space="708"/>
          <w:titlePg/>
          <w:docGrid w:linePitch="360"/>
        </w:sectPr>
      </w:pPr>
      <w:r>
        <w:rPr>
          <w:noProof/>
        </w:rPr>
        <w:drawing>
          <wp:anchor distT="0" distB="0" distL="114300" distR="114300" simplePos="0" relativeHeight="251674624" behindDoc="0" locked="0" layoutInCell="1" allowOverlap="1" wp14:anchorId="31271A45" wp14:editId="1F62FBF6">
            <wp:simplePos x="0" y="0"/>
            <wp:positionH relativeFrom="column">
              <wp:posOffset>-922020</wp:posOffset>
            </wp:positionH>
            <wp:positionV relativeFrom="paragraph">
              <wp:posOffset>-906780</wp:posOffset>
            </wp:positionV>
            <wp:extent cx="7559040" cy="10680799"/>
            <wp:effectExtent l="0" t="0" r="3810"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9040" cy="106807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B84C51" w14:textId="77777777" w:rsidR="00BB7F86" w:rsidRPr="00F171A3" w:rsidRDefault="00BB7F86" w:rsidP="00BB7F86"/>
    <w:p w14:paraId="14891044" w14:textId="77777777" w:rsidR="00643059" w:rsidRPr="00F171A3" w:rsidRDefault="00643059" w:rsidP="00643059"/>
    <w:p w14:paraId="184B3EA7" w14:textId="77777777" w:rsidR="00643059" w:rsidRPr="00F171A3" w:rsidRDefault="00643059" w:rsidP="00643059"/>
    <w:p w14:paraId="764D59CE" w14:textId="77777777" w:rsidR="00643059" w:rsidRPr="00F171A3" w:rsidRDefault="00643059" w:rsidP="00643059"/>
    <w:p w14:paraId="5F96EBD4" w14:textId="77777777" w:rsidR="00643059" w:rsidRPr="00F171A3" w:rsidRDefault="00643059" w:rsidP="00643059"/>
    <w:p w14:paraId="6775B07F" w14:textId="77777777" w:rsidR="00643059" w:rsidRPr="00F171A3" w:rsidRDefault="00643059" w:rsidP="00643059"/>
    <w:p w14:paraId="2C40FD89" w14:textId="03D1AF3F" w:rsidR="00643059" w:rsidRPr="00F171A3" w:rsidRDefault="00643059" w:rsidP="00643059">
      <w:pPr>
        <w:rPr>
          <w:b/>
          <w:bCs/>
        </w:rPr>
      </w:pPr>
      <w:r w:rsidRPr="00F171A3">
        <w:rPr>
          <w:b/>
          <w:bCs/>
        </w:rPr>
        <w:t>BENEFICIAR</w:t>
      </w:r>
    </w:p>
    <w:p w14:paraId="544B4AE8" w14:textId="0E096162" w:rsidR="00643059" w:rsidRPr="00F171A3" w:rsidRDefault="00643059" w:rsidP="00643059">
      <w:pPr>
        <w:rPr>
          <w:b/>
          <w:bCs/>
        </w:rPr>
      </w:pPr>
      <w:r w:rsidRPr="00F171A3">
        <w:rPr>
          <w:b/>
          <w:bCs/>
        </w:rPr>
        <w:t>Primăria Sector</w:t>
      </w:r>
      <w:r w:rsidR="000101F1" w:rsidRPr="00F171A3">
        <w:rPr>
          <w:b/>
          <w:bCs/>
        </w:rPr>
        <w:t>ului</w:t>
      </w:r>
      <w:r w:rsidRPr="00F171A3">
        <w:rPr>
          <w:b/>
          <w:bCs/>
        </w:rPr>
        <w:t xml:space="preserve"> 2</w:t>
      </w:r>
    </w:p>
    <w:p w14:paraId="678593D3" w14:textId="18E99956" w:rsidR="00643059" w:rsidRPr="00F171A3" w:rsidRDefault="00643059" w:rsidP="00643059">
      <w:r w:rsidRPr="00F171A3">
        <w:t>Str. Chiristigiilor</w:t>
      </w:r>
      <w:r w:rsidR="000101F1" w:rsidRPr="00F171A3">
        <w:t>,</w:t>
      </w:r>
      <w:r w:rsidRPr="00F171A3">
        <w:t xml:space="preserve"> nr. 11-13, Sector 2, București</w:t>
      </w:r>
    </w:p>
    <w:p w14:paraId="0A84F4ED" w14:textId="0CC48CF7" w:rsidR="00643059" w:rsidRPr="00F171A3" w:rsidRDefault="000101F1" w:rsidP="00643059">
      <w:pPr>
        <w:rPr>
          <w:b/>
          <w:bCs/>
        </w:rPr>
      </w:pPr>
      <w:r w:rsidRPr="00F171A3">
        <w:rPr>
          <w:noProof/>
        </w:rPr>
        <w:drawing>
          <wp:anchor distT="0" distB="0" distL="114300" distR="114300" simplePos="0" relativeHeight="251669504" behindDoc="0" locked="0" layoutInCell="1" allowOverlap="1" wp14:anchorId="7BE9E683" wp14:editId="64E5153A">
            <wp:simplePos x="0" y="0"/>
            <wp:positionH relativeFrom="column">
              <wp:posOffset>4445</wp:posOffset>
            </wp:positionH>
            <wp:positionV relativeFrom="paragraph">
              <wp:posOffset>171772</wp:posOffset>
            </wp:positionV>
            <wp:extent cx="1838325" cy="878643"/>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8325" cy="878643"/>
                    </a:xfrm>
                    <a:prstGeom prst="rect">
                      <a:avLst/>
                    </a:prstGeom>
                    <a:noFill/>
                    <a:ln>
                      <a:noFill/>
                    </a:ln>
                  </pic:spPr>
                </pic:pic>
              </a:graphicData>
            </a:graphic>
          </wp:anchor>
        </w:drawing>
      </w:r>
    </w:p>
    <w:p w14:paraId="29B4D176" w14:textId="6893E4FC" w:rsidR="00643059" w:rsidRPr="00F171A3" w:rsidRDefault="00643059" w:rsidP="00643059"/>
    <w:p w14:paraId="18D45989" w14:textId="77777777" w:rsidR="00643059" w:rsidRPr="00F171A3" w:rsidRDefault="00643059" w:rsidP="00643059"/>
    <w:p w14:paraId="257BA30E" w14:textId="77777777" w:rsidR="00643059" w:rsidRPr="00F171A3" w:rsidRDefault="00643059" w:rsidP="00643059"/>
    <w:p w14:paraId="005194D4" w14:textId="77777777" w:rsidR="00643059" w:rsidRPr="00F171A3" w:rsidRDefault="00643059" w:rsidP="00643059"/>
    <w:p w14:paraId="32E78CA5" w14:textId="77777777" w:rsidR="00807B12" w:rsidRDefault="00807B12" w:rsidP="00643059">
      <w:pPr>
        <w:rPr>
          <w:b/>
          <w:bCs/>
        </w:rPr>
      </w:pPr>
    </w:p>
    <w:p w14:paraId="54C73CB7" w14:textId="6DE44BFD" w:rsidR="00643059" w:rsidRPr="00F171A3" w:rsidRDefault="00643059" w:rsidP="00643059">
      <w:pPr>
        <w:rPr>
          <w:b/>
          <w:bCs/>
        </w:rPr>
      </w:pPr>
      <w:r w:rsidRPr="00F171A3">
        <w:rPr>
          <w:b/>
          <w:bCs/>
        </w:rPr>
        <w:t>ELABORATOR</w:t>
      </w:r>
    </w:p>
    <w:p w14:paraId="7A711F0E" w14:textId="77777777" w:rsidR="00643059" w:rsidRPr="00F171A3" w:rsidRDefault="00643059" w:rsidP="00643059">
      <w:pPr>
        <w:rPr>
          <w:b/>
          <w:bCs/>
        </w:rPr>
      </w:pPr>
      <w:r w:rsidRPr="00F171A3">
        <w:rPr>
          <w:b/>
          <w:bCs/>
        </w:rPr>
        <w:t>CIVITTA Strategy &amp; Consulting SA</w:t>
      </w:r>
    </w:p>
    <w:p w14:paraId="60C15DDC" w14:textId="0B9D33F9" w:rsidR="00643059" w:rsidRPr="00F171A3" w:rsidRDefault="00643059" w:rsidP="00643059">
      <w:r w:rsidRPr="00F171A3">
        <w:t xml:space="preserve">Strada Ion Slătineanu, nr. 3, parter și etaj 1, </w:t>
      </w:r>
      <w:r w:rsidR="000101F1" w:rsidRPr="00F171A3">
        <w:t>S</w:t>
      </w:r>
      <w:r w:rsidRPr="00F171A3">
        <w:t>ector 1, București</w:t>
      </w:r>
    </w:p>
    <w:p w14:paraId="753AB1D6" w14:textId="28DF87A3" w:rsidR="00643059" w:rsidRPr="00F171A3" w:rsidRDefault="000101F1" w:rsidP="00643059">
      <w:pPr>
        <w:rPr>
          <w:b/>
          <w:bCs/>
        </w:rPr>
      </w:pPr>
      <w:r w:rsidRPr="00F171A3">
        <w:rPr>
          <w:noProof/>
          <w:lang w:eastAsia="ro-RO"/>
        </w:rPr>
        <w:drawing>
          <wp:anchor distT="0" distB="0" distL="114300" distR="114300" simplePos="0" relativeHeight="251668480" behindDoc="0" locked="0" layoutInCell="1" allowOverlap="1" wp14:anchorId="70A3E933" wp14:editId="5621E256">
            <wp:simplePos x="0" y="0"/>
            <wp:positionH relativeFrom="column">
              <wp:posOffset>-78740</wp:posOffset>
            </wp:positionH>
            <wp:positionV relativeFrom="paragraph">
              <wp:posOffset>74295</wp:posOffset>
            </wp:positionV>
            <wp:extent cx="1323975" cy="403225"/>
            <wp:effectExtent l="0" t="0" r="0" b="0"/>
            <wp:wrapNone/>
            <wp:docPr id="87" name="Picture 87" descr="C:\Users\pc\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AppData\Local\Microsoft\Windows\INetCache\Content.Word\log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23975" cy="403225"/>
                    </a:xfrm>
                    <a:prstGeom prst="rect">
                      <a:avLst/>
                    </a:prstGeom>
                    <a:noFill/>
                    <a:ln>
                      <a:noFill/>
                    </a:ln>
                  </pic:spPr>
                </pic:pic>
              </a:graphicData>
            </a:graphic>
          </wp:anchor>
        </w:drawing>
      </w:r>
    </w:p>
    <w:p w14:paraId="0F2162FE" w14:textId="77777777" w:rsidR="00807B12" w:rsidRDefault="00807B12" w:rsidP="00807B12">
      <w:pPr>
        <w:pStyle w:val="ListParagraph"/>
        <w:spacing w:after="200" w:line="276" w:lineRule="auto"/>
        <w:contextualSpacing/>
        <w:rPr>
          <w:sz w:val="24"/>
          <w:szCs w:val="24"/>
        </w:rPr>
      </w:pPr>
    </w:p>
    <w:p w14:paraId="2BD42CA3" w14:textId="3D45A7B0" w:rsidR="00807B12" w:rsidRDefault="00807B12" w:rsidP="00807B12">
      <w:pPr>
        <w:spacing w:after="200" w:line="276" w:lineRule="auto"/>
        <w:contextualSpacing/>
        <w:rPr>
          <w:sz w:val="24"/>
          <w:szCs w:val="24"/>
        </w:rPr>
      </w:pPr>
      <w:r w:rsidRPr="00807B12">
        <w:rPr>
          <w:sz w:val="24"/>
          <w:szCs w:val="24"/>
        </w:rPr>
        <w:t xml:space="preserve">Echipa </w:t>
      </w:r>
      <w:r w:rsidR="002C168A">
        <w:rPr>
          <w:sz w:val="24"/>
          <w:szCs w:val="24"/>
        </w:rPr>
        <w:t>proiectului</w:t>
      </w:r>
      <w:r>
        <w:rPr>
          <w:sz w:val="24"/>
          <w:szCs w:val="24"/>
        </w:rPr>
        <w:t>:</w:t>
      </w:r>
    </w:p>
    <w:p w14:paraId="611775B4" w14:textId="77777777" w:rsidR="00807B12" w:rsidRPr="00807B12" w:rsidRDefault="00807B12" w:rsidP="00807B12">
      <w:pPr>
        <w:spacing w:after="200" w:line="276" w:lineRule="auto"/>
        <w:contextualSpacing/>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8"/>
        <w:gridCol w:w="4718"/>
      </w:tblGrid>
      <w:tr w:rsidR="00E15711" w14:paraId="635E66EA" w14:textId="77777777" w:rsidTr="00E15711">
        <w:tc>
          <w:tcPr>
            <w:tcW w:w="4718" w:type="dxa"/>
          </w:tcPr>
          <w:p w14:paraId="3A8EE779" w14:textId="7BDD8F3C" w:rsidR="00E15711" w:rsidRPr="00E15711" w:rsidRDefault="00E15711" w:rsidP="00E15711">
            <w:pPr>
              <w:spacing w:after="200" w:line="276" w:lineRule="auto"/>
              <w:contextualSpacing/>
              <w:rPr>
                <w:rFonts w:asciiTheme="minorHAnsi" w:hAnsiTheme="minorHAnsi" w:cstheme="minorHAnsi"/>
                <w:b/>
                <w:bCs/>
                <w:color w:val="7F7F7F" w:themeColor="accent1"/>
                <w:sz w:val="22"/>
                <w:szCs w:val="22"/>
              </w:rPr>
            </w:pPr>
            <w:r w:rsidRPr="00E15711">
              <w:rPr>
                <w:rFonts w:asciiTheme="minorHAnsi" w:hAnsiTheme="minorHAnsi" w:cstheme="minorHAnsi"/>
                <w:sz w:val="22"/>
                <w:szCs w:val="22"/>
              </w:rPr>
              <w:t>Urb. Ioana Ivanov, Manager de proiect</w:t>
            </w:r>
          </w:p>
        </w:tc>
        <w:tc>
          <w:tcPr>
            <w:tcW w:w="4718" w:type="dxa"/>
          </w:tcPr>
          <w:p w14:paraId="1752ED18" w14:textId="146AAD14" w:rsidR="00E15711" w:rsidRDefault="00E15711" w:rsidP="00E15711">
            <w:pPr>
              <w:rPr>
                <w:b/>
                <w:bCs/>
                <w:color w:val="7F7F7F" w:themeColor="accent1"/>
              </w:rPr>
            </w:pPr>
            <w:r w:rsidRPr="00E15711">
              <w:rPr>
                <w:rFonts w:asciiTheme="minorHAnsi" w:hAnsiTheme="minorHAnsi" w:cstheme="minorHAnsi"/>
                <w:sz w:val="22"/>
                <w:szCs w:val="22"/>
              </w:rPr>
              <w:t>Exp. Orlando Neagoe, Coordonator tehnic</w:t>
            </w:r>
          </w:p>
        </w:tc>
      </w:tr>
      <w:tr w:rsidR="00E15711" w14:paraId="12257A3E" w14:textId="77777777" w:rsidTr="00E15711">
        <w:tc>
          <w:tcPr>
            <w:tcW w:w="4718" w:type="dxa"/>
          </w:tcPr>
          <w:p w14:paraId="379F1DDD" w14:textId="44855143" w:rsidR="00E15711" w:rsidRPr="00E15711" w:rsidRDefault="00E15711" w:rsidP="00E15711">
            <w:pPr>
              <w:rPr>
                <w:rFonts w:asciiTheme="minorHAnsi" w:hAnsiTheme="minorHAnsi" w:cstheme="minorHAnsi"/>
                <w:b/>
                <w:bCs/>
                <w:color w:val="7F7F7F" w:themeColor="accent1"/>
                <w:sz w:val="22"/>
                <w:szCs w:val="22"/>
              </w:rPr>
            </w:pPr>
            <w:r w:rsidRPr="00E15711">
              <w:rPr>
                <w:rFonts w:asciiTheme="minorHAnsi" w:hAnsiTheme="minorHAnsi" w:cstheme="minorHAnsi"/>
                <w:sz w:val="22"/>
                <w:szCs w:val="22"/>
              </w:rPr>
              <w:t>Dr. Urb. Reinhold Lehel Stadler</w:t>
            </w:r>
          </w:p>
        </w:tc>
        <w:tc>
          <w:tcPr>
            <w:tcW w:w="4718" w:type="dxa"/>
          </w:tcPr>
          <w:p w14:paraId="6E496E9D" w14:textId="0ABFBFEB" w:rsidR="00E15711" w:rsidRDefault="00E15711" w:rsidP="00E15711">
            <w:pPr>
              <w:rPr>
                <w:b/>
                <w:bCs/>
                <w:color w:val="7F7F7F" w:themeColor="accent1"/>
              </w:rPr>
            </w:pPr>
            <w:r w:rsidRPr="00E15711">
              <w:rPr>
                <w:rFonts w:asciiTheme="minorHAnsi" w:hAnsiTheme="minorHAnsi" w:cstheme="minorHAnsi"/>
                <w:sz w:val="22"/>
                <w:szCs w:val="22"/>
              </w:rPr>
              <w:t>Urb. Ana Maria Petrescu</w:t>
            </w:r>
          </w:p>
        </w:tc>
      </w:tr>
      <w:tr w:rsidR="00E15711" w14:paraId="7A613791" w14:textId="77777777" w:rsidTr="00E15711">
        <w:tc>
          <w:tcPr>
            <w:tcW w:w="4718" w:type="dxa"/>
          </w:tcPr>
          <w:p w14:paraId="42CF6415" w14:textId="2FE49E2F" w:rsidR="00E15711" w:rsidRPr="00E15711" w:rsidRDefault="00E15711" w:rsidP="00E15711">
            <w:pPr>
              <w:rPr>
                <w:rFonts w:asciiTheme="minorHAnsi" w:hAnsiTheme="minorHAnsi" w:cstheme="minorHAnsi"/>
                <w:b/>
                <w:bCs/>
                <w:color w:val="7F7F7F" w:themeColor="accent1"/>
                <w:sz w:val="22"/>
                <w:szCs w:val="22"/>
              </w:rPr>
            </w:pPr>
            <w:r w:rsidRPr="00E15711">
              <w:rPr>
                <w:rFonts w:asciiTheme="minorHAnsi" w:hAnsiTheme="minorHAnsi" w:cstheme="minorHAnsi"/>
                <w:sz w:val="22"/>
                <w:szCs w:val="22"/>
              </w:rPr>
              <w:t>Ec. Rodica Gorghiu</w:t>
            </w:r>
          </w:p>
        </w:tc>
        <w:tc>
          <w:tcPr>
            <w:tcW w:w="4718" w:type="dxa"/>
          </w:tcPr>
          <w:p w14:paraId="293F3F04" w14:textId="31A9C6C8" w:rsidR="00E15711" w:rsidRDefault="00E15711" w:rsidP="00E15711">
            <w:pPr>
              <w:rPr>
                <w:b/>
                <w:bCs/>
                <w:color w:val="7F7F7F" w:themeColor="accent1"/>
              </w:rPr>
            </w:pPr>
            <w:r w:rsidRPr="00E15711">
              <w:rPr>
                <w:rFonts w:asciiTheme="minorHAnsi" w:hAnsiTheme="minorHAnsi" w:cstheme="minorHAnsi"/>
                <w:sz w:val="22"/>
                <w:szCs w:val="22"/>
              </w:rPr>
              <w:t>Urb. Bianca Horjan</w:t>
            </w:r>
          </w:p>
        </w:tc>
      </w:tr>
      <w:tr w:rsidR="00E15711" w14:paraId="21171002" w14:textId="77777777" w:rsidTr="00E15711">
        <w:tc>
          <w:tcPr>
            <w:tcW w:w="4718" w:type="dxa"/>
          </w:tcPr>
          <w:p w14:paraId="7E9DC1F0" w14:textId="31924492" w:rsidR="00E15711" w:rsidRPr="00E15711" w:rsidRDefault="00E15711" w:rsidP="00E15711">
            <w:pPr>
              <w:rPr>
                <w:rFonts w:asciiTheme="minorHAnsi" w:hAnsiTheme="minorHAnsi" w:cstheme="minorHAnsi"/>
                <w:b/>
                <w:bCs/>
                <w:color w:val="7F7F7F" w:themeColor="accent1"/>
                <w:sz w:val="22"/>
                <w:szCs w:val="22"/>
              </w:rPr>
            </w:pPr>
            <w:r w:rsidRPr="00E15711">
              <w:rPr>
                <w:rFonts w:asciiTheme="minorHAnsi" w:hAnsiTheme="minorHAnsi" w:cstheme="minorHAnsi"/>
                <w:sz w:val="22"/>
                <w:szCs w:val="22"/>
              </w:rPr>
              <w:t>Urb. Amelia Pîrvu</w:t>
            </w:r>
          </w:p>
        </w:tc>
        <w:tc>
          <w:tcPr>
            <w:tcW w:w="4718" w:type="dxa"/>
          </w:tcPr>
          <w:p w14:paraId="05261598" w14:textId="5AB93E24" w:rsidR="00E15711" w:rsidRDefault="00E15711" w:rsidP="00E15711">
            <w:pPr>
              <w:rPr>
                <w:b/>
                <w:bCs/>
                <w:color w:val="7F7F7F" w:themeColor="accent1"/>
              </w:rPr>
            </w:pPr>
            <w:r w:rsidRPr="00E15711">
              <w:rPr>
                <w:rFonts w:asciiTheme="minorHAnsi" w:hAnsiTheme="minorHAnsi" w:cstheme="minorHAnsi"/>
                <w:sz w:val="22"/>
                <w:szCs w:val="22"/>
              </w:rPr>
              <w:t>Exp. Mihail Șapco</w:t>
            </w:r>
          </w:p>
        </w:tc>
      </w:tr>
      <w:tr w:rsidR="00E15711" w14:paraId="3278F672" w14:textId="77777777" w:rsidTr="00E15711">
        <w:tc>
          <w:tcPr>
            <w:tcW w:w="4718" w:type="dxa"/>
          </w:tcPr>
          <w:p w14:paraId="0CCDE184" w14:textId="4CDE4B03" w:rsidR="00E15711" w:rsidRPr="00E15711" w:rsidRDefault="00E15711" w:rsidP="00E15711">
            <w:pPr>
              <w:rPr>
                <w:rFonts w:asciiTheme="minorHAnsi" w:hAnsiTheme="minorHAnsi" w:cstheme="minorHAnsi"/>
                <w:b/>
                <w:bCs/>
                <w:color w:val="7F7F7F" w:themeColor="accent1"/>
                <w:sz w:val="22"/>
                <w:szCs w:val="22"/>
              </w:rPr>
            </w:pPr>
            <w:r w:rsidRPr="00E15711">
              <w:rPr>
                <w:rFonts w:asciiTheme="minorHAnsi" w:hAnsiTheme="minorHAnsi" w:cstheme="minorHAnsi"/>
                <w:sz w:val="22"/>
                <w:szCs w:val="22"/>
              </w:rPr>
              <w:t>Exp. Andrei Gorghiu</w:t>
            </w:r>
          </w:p>
        </w:tc>
        <w:tc>
          <w:tcPr>
            <w:tcW w:w="4718" w:type="dxa"/>
          </w:tcPr>
          <w:p w14:paraId="51512EB0" w14:textId="467885FF" w:rsidR="00E15711" w:rsidRDefault="00E15711" w:rsidP="00E15711">
            <w:pPr>
              <w:rPr>
                <w:b/>
                <w:bCs/>
                <w:color w:val="7F7F7F" w:themeColor="accent1"/>
              </w:rPr>
            </w:pPr>
            <w:r w:rsidRPr="00E15711">
              <w:rPr>
                <w:rFonts w:asciiTheme="minorHAnsi" w:hAnsiTheme="minorHAnsi" w:cstheme="minorHAnsi"/>
                <w:sz w:val="22"/>
                <w:szCs w:val="22"/>
              </w:rPr>
              <w:t>Urb. Ana-Maria Motoc</w:t>
            </w:r>
          </w:p>
        </w:tc>
      </w:tr>
      <w:tr w:rsidR="00E15711" w14:paraId="686A4488" w14:textId="77777777" w:rsidTr="00E15711">
        <w:tc>
          <w:tcPr>
            <w:tcW w:w="4718" w:type="dxa"/>
          </w:tcPr>
          <w:p w14:paraId="65934B74" w14:textId="25CF528B" w:rsidR="00E15711" w:rsidRPr="00E15711" w:rsidRDefault="00E15711" w:rsidP="00E15711">
            <w:pPr>
              <w:rPr>
                <w:rFonts w:asciiTheme="minorHAnsi" w:hAnsiTheme="minorHAnsi" w:cstheme="minorHAnsi"/>
                <w:b/>
                <w:bCs/>
                <w:color w:val="7F7F7F" w:themeColor="accent1"/>
                <w:sz w:val="22"/>
                <w:szCs w:val="22"/>
              </w:rPr>
            </w:pPr>
            <w:r w:rsidRPr="00E15711">
              <w:rPr>
                <w:rFonts w:asciiTheme="minorHAnsi" w:hAnsiTheme="minorHAnsi" w:cstheme="minorHAnsi"/>
                <w:sz w:val="22"/>
                <w:szCs w:val="22"/>
              </w:rPr>
              <w:t>Dr. Urb. Geogr. Matei Cocheci</w:t>
            </w:r>
          </w:p>
        </w:tc>
        <w:tc>
          <w:tcPr>
            <w:tcW w:w="4718" w:type="dxa"/>
          </w:tcPr>
          <w:p w14:paraId="5EC28B63" w14:textId="736DBEB7" w:rsidR="00E15711" w:rsidRDefault="00E15711" w:rsidP="00E15711">
            <w:pPr>
              <w:rPr>
                <w:b/>
                <w:bCs/>
                <w:color w:val="7F7F7F" w:themeColor="accent1"/>
              </w:rPr>
            </w:pPr>
            <w:r w:rsidRPr="00E15711">
              <w:rPr>
                <w:rFonts w:asciiTheme="minorHAnsi" w:hAnsiTheme="minorHAnsi" w:cstheme="minorHAnsi"/>
                <w:sz w:val="22"/>
                <w:szCs w:val="22"/>
              </w:rPr>
              <w:t>Exp. Alexandru Damian</w:t>
            </w:r>
          </w:p>
        </w:tc>
      </w:tr>
      <w:tr w:rsidR="00E15711" w14:paraId="4D0DF06D" w14:textId="77777777" w:rsidTr="00E15711">
        <w:tc>
          <w:tcPr>
            <w:tcW w:w="4718" w:type="dxa"/>
          </w:tcPr>
          <w:p w14:paraId="4FD40101" w14:textId="416D9B3C" w:rsidR="00E15711" w:rsidRPr="00E15711" w:rsidRDefault="00E15711" w:rsidP="00E15711">
            <w:pPr>
              <w:rPr>
                <w:rFonts w:asciiTheme="minorHAnsi" w:hAnsiTheme="minorHAnsi" w:cstheme="minorHAnsi"/>
                <w:b/>
                <w:bCs/>
                <w:color w:val="7F7F7F" w:themeColor="accent1"/>
                <w:sz w:val="22"/>
                <w:szCs w:val="22"/>
              </w:rPr>
            </w:pPr>
            <w:r w:rsidRPr="00E15711">
              <w:rPr>
                <w:rFonts w:asciiTheme="minorHAnsi" w:hAnsiTheme="minorHAnsi" w:cstheme="minorHAnsi"/>
                <w:sz w:val="22"/>
                <w:szCs w:val="22"/>
              </w:rPr>
              <w:t>Exp. Daiana Ghintuială</w:t>
            </w:r>
          </w:p>
        </w:tc>
        <w:tc>
          <w:tcPr>
            <w:tcW w:w="4718" w:type="dxa"/>
          </w:tcPr>
          <w:p w14:paraId="133756E9" w14:textId="77777777" w:rsidR="00E15711" w:rsidRDefault="00E15711" w:rsidP="00E15711">
            <w:pPr>
              <w:rPr>
                <w:b/>
                <w:bCs/>
                <w:color w:val="7F7F7F" w:themeColor="accent1"/>
              </w:rPr>
            </w:pPr>
          </w:p>
        </w:tc>
      </w:tr>
    </w:tbl>
    <w:p w14:paraId="39BBB0B8" w14:textId="77777777" w:rsidR="00807B12" w:rsidRDefault="00807B12" w:rsidP="00643059">
      <w:pPr>
        <w:rPr>
          <w:b/>
          <w:bCs/>
          <w:i/>
          <w:iCs/>
          <w:color w:val="7F7F7F" w:themeColor="accent1"/>
        </w:rPr>
      </w:pPr>
    </w:p>
    <w:p w14:paraId="08AAD972" w14:textId="6CEF772B" w:rsidR="000101F1" w:rsidRPr="00F171A3" w:rsidRDefault="00E97937" w:rsidP="00643059">
      <w:pPr>
        <w:rPr>
          <w:b/>
          <w:bCs/>
          <w:i/>
          <w:iCs/>
          <w:color w:val="7F7F7F" w:themeColor="accent1"/>
        </w:rPr>
      </w:pPr>
      <w:r>
        <w:rPr>
          <w:b/>
          <w:bCs/>
          <w:i/>
          <w:iCs/>
          <w:color w:val="7F7F7F" w:themeColor="accent1"/>
        </w:rPr>
        <w:t>februari</w:t>
      </w:r>
      <w:r w:rsidR="00EE76D5">
        <w:rPr>
          <w:b/>
          <w:bCs/>
          <w:i/>
          <w:iCs/>
          <w:color w:val="7F7F7F" w:themeColor="accent1"/>
        </w:rPr>
        <w:t>e</w:t>
      </w:r>
      <w:r w:rsidR="000101F1" w:rsidRPr="00F171A3">
        <w:rPr>
          <w:b/>
          <w:bCs/>
          <w:i/>
          <w:iCs/>
          <w:color w:val="7F7F7F" w:themeColor="accent1"/>
        </w:rPr>
        <w:t xml:space="preserve"> 202</w:t>
      </w:r>
      <w:r w:rsidR="006616F0">
        <w:rPr>
          <w:b/>
          <w:bCs/>
          <w:i/>
          <w:iCs/>
          <w:color w:val="7F7F7F" w:themeColor="accent1"/>
        </w:rPr>
        <w:t>3</w:t>
      </w:r>
    </w:p>
    <w:p w14:paraId="184E6D75" w14:textId="77777777" w:rsidR="00643059" w:rsidRPr="00F171A3" w:rsidRDefault="00643059" w:rsidP="00643059"/>
    <w:p w14:paraId="13C9D79B" w14:textId="77777777" w:rsidR="00643059" w:rsidRPr="00F171A3" w:rsidRDefault="00643059" w:rsidP="00643059"/>
    <w:p w14:paraId="41610E54" w14:textId="77777777" w:rsidR="00643059" w:rsidRPr="00F171A3" w:rsidRDefault="00643059" w:rsidP="00643059"/>
    <w:p w14:paraId="436F8F1F" w14:textId="77777777" w:rsidR="00643059" w:rsidRPr="00F171A3" w:rsidRDefault="00643059" w:rsidP="00643059"/>
    <w:p w14:paraId="2294F230" w14:textId="4B339B1A" w:rsidR="00643059" w:rsidRPr="00F171A3" w:rsidRDefault="00643059" w:rsidP="00643059">
      <w:pPr>
        <w:tabs>
          <w:tab w:val="left" w:pos="1785"/>
        </w:tabs>
      </w:pPr>
    </w:p>
    <w:p w14:paraId="35ECDA0B" w14:textId="471BE850" w:rsidR="00643059" w:rsidRPr="00F171A3" w:rsidRDefault="00643059" w:rsidP="00643059">
      <w:pPr>
        <w:tabs>
          <w:tab w:val="left" w:pos="1785"/>
        </w:tabs>
        <w:sectPr w:rsidR="00643059" w:rsidRPr="00F171A3" w:rsidSect="00135952">
          <w:pgSz w:w="11907" w:h="16839" w:code="9"/>
          <w:pgMar w:top="1151" w:right="1440" w:bottom="1440" w:left="1021" w:header="709" w:footer="284" w:gutter="0"/>
          <w:cols w:space="708"/>
          <w:titlePg/>
          <w:docGrid w:linePitch="360"/>
        </w:sectPr>
      </w:pPr>
      <w:r w:rsidRPr="00F171A3">
        <w:tab/>
      </w:r>
    </w:p>
    <w:p w14:paraId="066E3007" w14:textId="144D84E8" w:rsidR="00AE321F" w:rsidRPr="00F171A3" w:rsidRDefault="00AE321F" w:rsidP="00BB7F86"/>
    <w:p w14:paraId="311DEEDE" w14:textId="77777777" w:rsidR="00AE321F" w:rsidRPr="00F171A3" w:rsidRDefault="00AE321F" w:rsidP="00AE321F">
      <w:pPr>
        <w:spacing w:after="0"/>
        <w:jc w:val="left"/>
      </w:pPr>
    </w:p>
    <w:bookmarkStart w:id="0" w:name="_Toc25059519" w:displacedByCustomXml="next"/>
    <w:bookmarkStart w:id="1" w:name="_Toc25059512" w:displacedByCustomXml="next"/>
    <w:sdt>
      <w:sdtPr>
        <w:rPr>
          <w:b w:val="0"/>
          <w:bCs w:val="0"/>
          <w:caps w:val="0"/>
          <w:color w:val="auto"/>
          <w:sz w:val="22"/>
          <w:szCs w:val="22"/>
          <w:lang w:val="ro-RO"/>
        </w:rPr>
        <w:id w:val="-1611735973"/>
        <w:docPartObj>
          <w:docPartGallery w:val="Table of Contents"/>
          <w:docPartUnique/>
        </w:docPartObj>
      </w:sdtPr>
      <w:sdtContent>
        <w:p w14:paraId="595A030A" w14:textId="77777777" w:rsidR="007F2663" w:rsidRPr="00F171A3" w:rsidRDefault="007F2663" w:rsidP="007F2663">
          <w:pPr>
            <w:pStyle w:val="TOCHeading"/>
            <w:rPr>
              <w:lang w:val="ro-RO"/>
            </w:rPr>
          </w:pPr>
          <w:r w:rsidRPr="00F171A3">
            <w:rPr>
              <w:lang w:val="ro-RO"/>
            </w:rPr>
            <w:t>Cuprins</w:t>
          </w:r>
        </w:p>
        <w:p w14:paraId="2AA73DF6" w14:textId="01EEA8D6" w:rsidR="00614C44" w:rsidRDefault="007F2663">
          <w:pPr>
            <w:pStyle w:val="TOC1"/>
            <w:rPr>
              <w:rFonts w:eastAsiaTheme="minorEastAsia" w:cstheme="minorBidi"/>
              <w:b w:val="0"/>
              <w:bCs w:val="0"/>
              <w:smallCaps w:val="0"/>
              <w:color w:val="auto"/>
              <w:lang w:val="en-US"/>
            </w:rPr>
          </w:pPr>
          <w:r w:rsidRPr="00F171A3">
            <w:rPr>
              <w:bCs w:val="0"/>
              <w:noProof w:val="0"/>
            </w:rPr>
            <w:fldChar w:fldCharType="begin"/>
          </w:r>
          <w:r w:rsidRPr="00F171A3">
            <w:rPr>
              <w:noProof w:val="0"/>
            </w:rPr>
            <w:instrText xml:space="preserve"> TOC \o "1-3" \h \z \u </w:instrText>
          </w:r>
          <w:r w:rsidRPr="00F171A3">
            <w:rPr>
              <w:bCs w:val="0"/>
              <w:noProof w:val="0"/>
            </w:rPr>
            <w:fldChar w:fldCharType="separate"/>
          </w:r>
          <w:hyperlink w:anchor="_Toc127199256" w:history="1">
            <w:r w:rsidR="00614C44" w:rsidRPr="00FE24AD">
              <w:rPr>
                <w:rStyle w:val="Hyperlink"/>
              </w:rPr>
              <w:t>1.</w:t>
            </w:r>
            <w:r w:rsidR="00614C44">
              <w:rPr>
                <w:rFonts w:eastAsiaTheme="minorEastAsia" w:cstheme="minorBidi"/>
                <w:b w:val="0"/>
                <w:bCs w:val="0"/>
                <w:smallCaps w:val="0"/>
                <w:color w:val="auto"/>
                <w:lang w:val="en-US"/>
              </w:rPr>
              <w:tab/>
            </w:r>
            <w:r w:rsidR="00614C44" w:rsidRPr="00FE24AD">
              <w:rPr>
                <w:rStyle w:val="Hyperlink"/>
              </w:rPr>
              <w:t>ABORDARE METODOLOGICĂ</w:t>
            </w:r>
            <w:r w:rsidR="00614C44">
              <w:rPr>
                <w:webHidden/>
              </w:rPr>
              <w:tab/>
            </w:r>
            <w:r w:rsidR="00614C44">
              <w:rPr>
                <w:webHidden/>
              </w:rPr>
              <w:fldChar w:fldCharType="begin"/>
            </w:r>
            <w:r w:rsidR="00614C44">
              <w:rPr>
                <w:webHidden/>
              </w:rPr>
              <w:instrText xml:space="preserve"> PAGEREF _Toc127199256 \h </w:instrText>
            </w:r>
            <w:r w:rsidR="00614C44">
              <w:rPr>
                <w:webHidden/>
              </w:rPr>
            </w:r>
            <w:r w:rsidR="00614C44">
              <w:rPr>
                <w:webHidden/>
              </w:rPr>
              <w:fldChar w:fldCharType="separate"/>
            </w:r>
            <w:r w:rsidR="005A6DD8">
              <w:rPr>
                <w:webHidden/>
              </w:rPr>
              <w:t>16</w:t>
            </w:r>
            <w:r w:rsidR="00614C44">
              <w:rPr>
                <w:webHidden/>
              </w:rPr>
              <w:fldChar w:fldCharType="end"/>
            </w:r>
          </w:hyperlink>
        </w:p>
        <w:p w14:paraId="6D00D065" w14:textId="2C854017" w:rsidR="00614C44" w:rsidRDefault="00000000">
          <w:pPr>
            <w:pStyle w:val="TOC1"/>
            <w:rPr>
              <w:rFonts w:eastAsiaTheme="minorEastAsia" w:cstheme="minorBidi"/>
              <w:b w:val="0"/>
              <w:bCs w:val="0"/>
              <w:smallCaps w:val="0"/>
              <w:color w:val="auto"/>
              <w:lang w:val="en-US"/>
            </w:rPr>
          </w:pPr>
          <w:hyperlink w:anchor="_Toc127199257" w:history="1">
            <w:r w:rsidR="00614C44" w:rsidRPr="00FE24AD">
              <w:rPr>
                <w:rStyle w:val="Hyperlink"/>
              </w:rPr>
              <w:t>2.</w:t>
            </w:r>
            <w:r w:rsidR="00614C44">
              <w:rPr>
                <w:rFonts w:eastAsiaTheme="minorEastAsia" w:cstheme="minorBidi"/>
                <w:b w:val="0"/>
                <w:bCs w:val="0"/>
                <w:smallCaps w:val="0"/>
                <w:color w:val="auto"/>
                <w:lang w:val="en-US"/>
              </w:rPr>
              <w:tab/>
            </w:r>
            <w:r w:rsidR="00614C44" w:rsidRPr="00FE24AD">
              <w:rPr>
                <w:rStyle w:val="Hyperlink"/>
              </w:rPr>
              <w:t>CONTEXTUL ACTUALIZĂRII STRATEGIEI DE DEZVOLTARE LOCALĂ A SECTORULUI 2</w:t>
            </w:r>
            <w:r w:rsidR="00614C44">
              <w:rPr>
                <w:webHidden/>
              </w:rPr>
              <w:tab/>
            </w:r>
            <w:r w:rsidR="00614C44">
              <w:rPr>
                <w:webHidden/>
              </w:rPr>
              <w:fldChar w:fldCharType="begin"/>
            </w:r>
            <w:r w:rsidR="00614C44">
              <w:rPr>
                <w:webHidden/>
              </w:rPr>
              <w:instrText xml:space="preserve"> PAGEREF _Toc127199257 \h </w:instrText>
            </w:r>
            <w:r w:rsidR="00614C44">
              <w:rPr>
                <w:webHidden/>
              </w:rPr>
            </w:r>
            <w:r w:rsidR="00614C44">
              <w:rPr>
                <w:webHidden/>
              </w:rPr>
              <w:fldChar w:fldCharType="separate"/>
            </w:r>
            <w:r w:rsidR="005A6DD8">
              <w:rPr>
                <w:webHidden/>
              </w:rPr>
              <w:t>21</w:t>
            </w:r>
            <w:r w:rsidR="00614C44">
              <w:rPr>
                <w:webHidden/>
              </w:rPr>
              <w:fldChar w:fldCharType="end"/>
            </w:r>
          </w:hyperlink>
        </w:p>
        <w:p w14:paraId="53479E36" w14:textId="6ED11B39" w:rsidR="00614C44" w:rsidRDefault="00000000">
          <w:pPr>
            <w:pStyle w:val="TOC2"/>
            <w:tabs>
              <w:tab w:val="left" w:pos="554"/>
              <w:tab w:val="right" w:leader="dot" w:pos="9436"/>
            </w:tabs>
            <w:rPr>
              <w:rFonts w:eastAsiaTheme="minorEastAsia" w:cstheme="minorBidi"/>
              <w:noProof/>
              <w:lang w:val="en-US"/>
            </w:rPr>
          </w:pPr>
          <w:hyperlink w:anchor="_Toc127199258" w:history="1">
            <w:r w:rsidR="00614C44" w:rsidRPr="00FE24AD">
              <w:rPr>
                <w:rStyle w:val="Hyperlink"/>
                <w:noProof/>
              </w:rPr>
              <w:t>2.1.</w:t>
            </w:r>
            <w:r w:rsidR="00614C44">
              <w:rPr>
                <w:rFonts w:eastAsiaTheme="minorEastAsia" w:cstheme="minorBidi"/>
                <w:noProof/>
                <w:lang w:val="en-US"/>
              </w:rPr>
              <w:tab/>
            </w:r>
            <w:r w:rsidR="00614C44" w:rsidRPr="00FE24AD">
              <w:rPr>
                <w:rStyle w:val="Hyperlink"/>
                <w:noProof/>
              </w:rPr>
              <w:t>CONTEXT STRATEGIC</w:t>
            </w:r>
            <w:r w:rsidR="00614C44">
              <w:rPr>
                <w:noProof/>
                <w:webHidden/>
              </w:rPr>
              <w:tab/>
            </w:r>
            <w:r w:rsidR="00614C44">
              <w:rPr>
                <w:noProof/>
                <w:webHidden/>
              </w:rPr>
              <w:fldChar w:fldCharType="begin"/>
            </w:r>
            <w:r w:rsidR="00614C44">
              <w:rPr>
                <w:noProof/>
                <w:webHidden/>
              </w:rPr>
              <w:instrText xml:space="preserve"> PAGEREF _Toc127199258 \h </w:instrText>
            </w:r>
            <w:r w:rsidR="00614C44">
              <w:rPr>
                <w:noProof/>
                <w:webHidden/>
              </w:rPr>
            </w:r>
            <w:r w:rsidR="00614C44">
              <w:rPr>
                <w:noProof/>
                <w:webHidden/>
              </w:rPr>
              <w:fldChar w:fldCharType="separate"/>
            </w:r>
            <w:r w:rsidR="005A6DD8">
              <w:rPr>
                <w:noProof/>
                <w:webHidden/>
              </w:rPr>
              <w:t>21</w:t>
            </w:r>
            <w:r w:rsidR="00614C44">
              <w:rPr>
                <w:noProof/>
                <w:webHidden/>
              </w:rPr>
              <w:fldChar w:fldCharType="end"/>
            </w:r>
          </w:hyperlink>
        </w:p>
        <w:p w14:paraId="7D8D70A1" w14:textId="2B4BC099" w:rsidR="00614C44" w:rsidRDefault="00000000">
          <w:pPr>
            <w:pStyle w:val="TOC2"/>
            <w:tabs>
              <w:tab w:val="left" w:pos="554"/>
              <w:tab w:val="right" w:leader="dot" w:pos="9436"/>
            </w:tabs>
            <w:rPr>
              <w:rFonts w:eastAsiaTheme="minorEastAsia" w:cstheme="minorBidi"/>
              <w:noProof/>
              <w:lang w:val="en-US"/>
            </w:rPr>
          </w:pPr>
          <w:hyperlink w:anchor="_Toc127199259" w:history="1">
            <w:r w:rsidR="00614C44" w:rsidRPr="00FE24AD">
              <w:rPr>
                <w:rStyle w:val="Hyperlink"/>
                <w:noProof/>
              </w:rPr>
              <w:t>2.2.</w:t>
            </w:r>
            <w:r w:rsidR="00614C44">
              <w:rPr>
                <w:rFonts w:eastAsiaTheme="minorEastAsia" w:cstheme="minorBidi"/>
                <w:noProof/>
                <w:lang w:val="en-US"/>
              </w:rPr>
              <w:tab/>
            </w:r>
            <w:r w:rsidR="00614C44" w:rsidRPr="00FE24AD">
              <w:rPr>
                <w:rStyle w:val="Hyperlink"/>
                <w:noProof/>
              </w:rPr>
              <w:t>CONTEXT GLOBAL ȘI EUROPEAN</w:t>
            </w:r>
            <w:r w:rsidR="00614C44">
              <w:rPr>
                <w:noProof/>
                <w:webHidden/>
              </w:rPr>
              <w:tab/>
            </w:r>
            <w:r w:rsidR="00614C44">
              <w:rPr>
                <w:noProof/>
                <w:webHidden/>
              </w:rPr>
              <w:fldChar w:fldCharType="begin"/>
            </w:r>
            <w:r w:rsidR="00614C44">
              <w:rPr>
                <w:noProof/>
                <w:webHidden/>
              </w:rPr>
              <w:instrText xml:space="preserve"> PAGEREF _Toc127199259 \h </w:instrText>
            </w:r>
            <w:r w:rsidR="00614C44">
              <w:rPr>
                <w:noProof/>
                <w:webHidden/>
              </w:rPr>
            </w:r>
            <w:r w:rsidR="00614C44">
              <w:rPr>
                <w:noProof/>
                <w:webHidden/>
              </w:rPr>
              <w:fldChar w:fldCharType="separate"/>
            </w:r>
            <w:r w:rsidR="005A6DD8">
              <w:rPr>
                <w:noProof/>
                <w:webHidden/>
              </w:rPr>
              <w:t>21</w:t>
            </w:r>
            <w:r w:rsidR="00614C44">
              <w:rPr>
                <w:noProof/>
                <w:webHidden/>
              </w:rPr>
              <w:fldChar w:fldCharType="end"/>
            </w:r>
          </w:hyperlink>
        </w:p>
        <w:p w14:paraId="3626C9B9" w14:textId="716A3135" w:rsidR="00614C44" w:rsidRDefault="00000000">
          <w:pPr>
            <w:pStyle w:val="TOC3"/>
            <w:tabs>
              <w:tab w:val="left" w:pos="865"/>
              <w:tab w:val="right" w:leader="dot" w:pos="9436"/>
            </w:tabs>
            <w:rPr>
              <w:rFonts w:eastAsiaTheme="minorEastAsia" w:cstheme="minorBidi"/>
              <w:noProof/>
              <w:lang w:val="en-US"/>
            </w:rPr>
          </w:pPr>
          <w:hyperlink w:anchor="_Toc127199260" w:history="1">
            <w:r w:rsidR="00614C44" w:rsidRPr="00FE24AD">
              <w:rPr>
                <w:rStyle w:val="Hyperlink"/>
                <w:noProof/>
                <w:lang w:eastAsia="zh-CN"/>
              </w:rPr>
              <w:t>2.2.1.</w:t>
            </w:r>
            <w:r w:rsidR="00614C44">
              <w:rPr>
                <w:rFonts w:eastAsiaTheme="minorEastAsia" w:cstheme="minorBidi"/>
                <w:noProof/>
                <w:lang w:val="en-US"/>
              </w:rPr>
              <w:tab/>
            </w:r>
            <w:r w:rsidR="00614C44" w:rsidRPr="00FE24AD">
              <w:rPr>
                <w:rStyle w:val="Hyperlink"/>
                <w:noProof/>
                <w:lang w:eastAsia="zh-CN"/>
              </w:rPr>
              <w:t>CONCEPTUL DE DEZVOLTARE URBANĂ SUSTENABILĂ ÎN CONTEXT GLOBAL ȘI EUROPEAN</w:t>
            </w:r>
            <w:r w:rsidR="00614C44">
              <w:rPr>
                <w:noProof/>
                <w:webHidden/>
              </w:rPr>
              <w:tab/>
            </w:r>
            <w:r w:rsidR="00614C44">
              <w:rPr>
                <w:noProof/>
                <w:webHidden/>
              </w:rPr>
              <w:fldChar w:fldCharType="begin"/>
            </w:r>
            <w:r w:rsidR="00614C44">
              <w:rPr>
                <w:noProof/>
                <w:webHidden/>
              </w:rPr>
              <w:instrText xml:space="preserve"> PAGEREF _Toc127199260 \h </w:instrText>
            </w:r>
            <w:r w:rsidR="00614C44">
              <w:rPr>
                <w:noProof/>
                <w:webHidden/>
              </w:rPr>
            </w:r>
            <w:r w:rsidR="00614C44">
              <w:rPr>
                <w:noProof/>
                <w:webHidden/>
              </w:rPr>
              <w:fldChar w:fldCharType="separate"/>
            </w:r>
            <w:r w:rsidR="005A6DD8">
              <w:rPr>
                <w:noProof/>
                <w:webHidden/>
              </w:rPr>
              <w:t>21</w:t>
            </w:r>
            <w:r w:rsidR="00614C44">
              <w:rPr>
                <w:noProof/>
                <w:webHidden/>
              </w:rPr>
              <w:fldChar w:fldCharType="end"/>
            </w:r>
          </w:hyperlink>
        </w:p>
        <w:p w14:paraId="09159427" w14:textId="0B8F6866" w:rsidR="00614C44" w:rsidRDefault="00000000">
          <w:pPr>
            <w:pStyle w:val="TOC3"/>
            <w:tabs>
              <w:tab w:val="left" w:pos="865"/>
              <w:tab w:val="right" w:leader="dot" w:pos="9436"/>
            </w:tabs>
            <w:rPr>
              <w:rFonts w:eastAsiaTheme="minorEastAsia" w:cstheme="minorBidi"/>
              <w:noProof/>
              <w:lang w:val="en-US"/>
            </w:rPr>
          </w:pPr>
          <w:hyperlink w:anchor="_Toc127199261" w:history="1">
            <w:r w:rsidR="00614C44" w:rsidRPr="00FE24AD">
              <w:rPr>
                <w:rStyle w:val="Hyperlink"/>
                <w:noProof/>
                <w:lang w:eastAsia="zh-CN"/>
              </w:rPr>
              <w:t>2.2.2.</w:t>
            </w:r>
            <w:r w:rsidR="00614C44">
              <w:rPr>
                <w:rFonts w:eastAsiaTheme="minorEastAsia" w:cstheme="minorBidi"/>
                <w:noProof/>
                <w:lang w:val="en-US"/>
              </w:rPr>
              <w:tab/>
            </w:r>
            <w:r w:rsidR="00614C44" w:rsidRPr="00FE24AD">
              <w:rPr>
                <w:rStyle w:val="Hyperlink"/>
                <w:noProof/>
                <w:lang w:eastAsia="zh-CN"/>
              </w:rPr>
              <w:t>CONTEXTUL EUROPEAN PRIVIND PERIOADA DE PROGRAMARE 2021-2027</w:t>
            </w:r>
            <w:r w:rsidR="00614C44">
              <w:rPr>
                <w:noProof/>
                <w:webHidden/>
              </w:rPr>
              <w:tab/>
            </w:r>
            <w:r w:rsidR="00614C44">
              <w:rPr>
                <w:noProof/>
                <w:webHidden/>
              </w:rPr>
              <w:fldChar w:fldCharType="begin"/>
            </w:r>
            <w:r w:rsidR="00614C44">
              <w:rPr>
                <w:noProof/>
                <w:webHidden/>
              </w:rPr>
              <w:instrText xml:space="preserve"> PAGEREF _Toc127199261 \h </w:instrText>
            </w:r>
            <w:r w:rsidR="00614C44">
              <w:rPr>
                <w:noProof/>
                <w:webHidden/>
              </w:rPr>
            </w:r>
            <w:r w:rsidR="00614C44">
              <w:rPr>
                <w:noProof/>
                <w:webHidden/>
              </w:rPr>
              <w:fldChar w:fldCharType="separate"/>
            </w:r>
            <w:r w:rsidR="005A6DD8">
              <w:rPr>
                <w:noProof/>
                <w:webHidden/>
              </w:rPr>
              <w:t>24</w:t>
            </w:r>
            <w:r w:rsidR="00614C44">
              <w:rPr>
                <w:noProof/>
                <w:webHidden/>
              </w:rPr>
              <w:fldChar w:fldCharType="end"/>
            </w:r>
          </w:hyperlink>
        </w:p>
        <w:p w14:paraId="1BE15CC2" w14:textId="295BECD4" w:rsidR="00614C44" w:rsidRDefault="00000000">
          <w:pPr>
            <w:pStyle w:val="TOC2"/>
            <w:tabs>
              <w:tab w:val="left" w:pos="554"/>
              <w:tab w:val="right" w:leader="dot" w:pos="9436"/>
            </w:tabs>
            <w:rPr>
              <w:rFonts w:eastAsiaTheme="minorEastAsia" w:cstheme="minorBidi"/>
              <w:noProof/>
              <w:lang w:val="en-US"/>
            </w:rPr>
          </w:pPr>
          <w:hyperlink w:anchor="_Toc127199262" w:history="1">
            <w:r w:rsidR="00614C44" w:rsidRPr="00FE24AD">
              <w:rPr>
                <w:rStyle w:val="Hyperlink"/>
                <w:noProof/>
                <w:lang w:eastAsia="zh-CN"/>
              </w:rPr>
              <w:t>2.3.</w:t>
            </w:r>
            <w:r w:rsidR="00614C44">
              <w:rPr>
                <w:rFonts w:eastAsiaTheme="minorEastAsia" w:cstheme="minorBidi"/>
                <w:noProof/>
                <w:lang w:val="en-US"/>
              </w:rPr>
              <w:tab/>
            </w:r>
            <w:r w:rsidR="00614C44" w:rsidRPr="00FE24AD">
              <w:rPr>
                <w:rStyle w:val="Hyperlink"/>
                <w:noProof/>
                <w:lang w:eastAsia="zh-CN"/>
              </w:rPr>
              <w:t>CONTEXTUL NAȚIONAL</w:t>
            </w:r>
            <w:r w:rsidR="00614C44">
              <w:rPr>
                <w:noProof/>
                <w:webHidden/>
              </w:rPr>
              <w:tab/>
            </w:r>
            <w:r w:rsidR="00614C44">
              <w:rPr>
                <w:noProof/>
                <w:webHidden/>
              </w:rPr>
              <w:fldChar w:fldCharType="begin"/>
            </w:r>
            <w:r w:rsidR="00614C44">
              <w:rPr>
                <w:noProof/>
                <w:webHidden/>
              </w:rPr>
              <w:instrText xml:space="preserve"> PAGEREF _Toc127199262 \h </w:instrText>
            </w:r>
            <w:r w:rsidR="00614C44">
              <w:rPr>
                <w:noProof/>
                <w:webHidden/>
              </w:rPr>
            </w:r>
            <w:r w:rsidR="00614C44">
              <w:rPr>
                <w:noProof/>
                <w:webHidden/>
              </w:rPr>
              <w:fldChar w:fldCharType="separate"/>
            </w:r>
            <w:r w:rsidR="005A6DD8">
              <w:rPr>
                <w:noProof/>
                <w:webHidden/>
              </w:rPr>
              <w:t>27</w:t>
            </w:r>
            <w:r w:rsidR="00614C44">
              <w:rPr>
                <w:noProof/>
                <w:webHidden/>
              </w:rPr>
              <w:fldChar w:fldCharType="end"/>
            </w:r>
          </w:hyperlink>
        </w:p>
        <w:p w14:paraId="2FB047FC" w14:textId="7F8AEB6A" w:rsidR="00614C44" w:rsidRDefault="00000000">
          <w:pPr>
            <w:pStyle w:val="TOC3"/>
            <w:tabs>
              <w:tab w:val="left" w:pos="865"/>
              <w:tab w:val="right" w:leader="dot" w:pos="9436"/>
            </w:tabs>
            <w:rPr>
              <w:rFonts w:eastAsiaTheme="minorEastAsia" w:cstheme="minorBidi"/>
              <w:noProof/>
              <w:lang w:val="en-US"/>
            </w:rPr>
          </w:pPr>
          <w:hyperlink w:anchor="_Toc127199263" w:history="1">
            <w:r w:rsidR="00614C44" w:rsidRPr="00FE24AD">
              <w:rPr>
                <w:rStyle w:val="Hyperlink"/>
                <w:noProof/>
                <w:lang w:eastAsia="zh-CN"/>
              </w:rPr>
              <w:t>2.3.1.</w:t>
            </w:r>
            <w:r w:rsidR="00614C44">
              <w:rPr>
                <w:rFonts w:eastAsiaTheme="minorEastAsia" w:cstheme="minorBidi"/>
                <w:noProof/>
                <w:lang w:val="en-US"/>
              </w:rPr>
              <w:tab/>
            </w:r>
            <w:r w:rsidR="00614C44" w:rsidRPr="00FE24AD">
              <w:rPr>
                <w:rStyle w:val="Hyperlink"/>
                <w:noProof/>
                <w:lang w:eastAsia="zh-CN"/>
              </w:rPr>
              <w:t>CONTEXTUL PROGRAMATIC 2021-2027</w:t>
            </w:r>
            <w:r w:rsidR="00614C44">
              <w:rPr>
                <w:noProof/>
                <w:webHidden/>
              </w:rPr>
              <w:tab/>
            </w:r>
            <w:r w:rsidR="00614C44">
              <w:rPr>
                <w:noProof/>
                <w:webHidden/>
              </w:rPr>
              <w:fldChar w:fldCharType="begin"/>
            </w:r>
            <w:r w:rsidR="00614C44">
              <w:rPr>
                <w:noProof/>
                <w:webHidden/>
              </w:rPr>
              <w:instrText xml:space="preserve"> PAGEREF _Toc127199263 \h </w:instrText>
            </w:r>
            <w:r w:rsidR="00614C44">
              <w:rPr>
                <w:noProof/>
                <w:webHidden/>
              </w:rPr>
            </w:r>
            <w:r w:rsidR="00614C44">
              <w:rPr>
                <w:noProof/>
                <w:webHidden/>
              </w:rPr>
              <w:fldChar w:fldCharType="separate"/>
            </w:r>
            <w:r w:rsidR="005A6DD8">
              <w:rPr>
                <w:noProof/>
                <w:webHidden/>
              </w:rPr>
              <w:t>27</w:t>
            </w:r>
            <w:r w:rsidR="00614C44">
              <w:rPr>
                <w:noProof/>
                <w:webHidden/>
              </w:rPr>
              <w:fldChar w:fldCharType="end"/>
            </w:r>
          </w:hyperlink>
        </w:p>
        <w:p w14:paraId="18C6494B" w14:textId="46C0D511" w:rsidR="00614C44" w:rsidRDefault="00000000">
          <w:pPr>
            <w:pStyle w:val="TOC3"/>
            <w:tabs>
              <w:tab w:val="left" w:pos="865"/>
              <w:tab w:val="right" w:leader="dot" w:pos="9436"/>
            </w:tabs>
            <w:rPr>
              <w:rFonts w:eastAsiaTheme="minorEastAsia" w:cstheme="minorBidi"/>
              <w:noProof/>
              <w:lang w:val="en-US"/>
            </w:rPr>
          </w:pPr>
          <w:hyperlink w:anchor="_Toc127199264" w:history="1">
            <w:r w:rsidR="00614C44" w:rsidRPr="00FE24AD">
              <w:rPr>
                <w:rStyle w:val="Hyperlink"/>
                <w:noProof/>
              </w:rPr>
              <w:t>2.3.2.</w:t>
            </w:r>
            <w:r w:rsidR="00614C44">
              <w:rPr>
                <w:rFonts w:eastAsiaTheme="minorEastAsia" w:cstheme="minorBidi"/>
                <w:noProof/>
                <w:lang w:val="en-US"/>
              </w:rPr>
              <w:tab/>
            </w:r>
            <w:r w:rsidR="00614C44" w:rsidRPr="00FE24AD">
              <w:rPr>
                <w:rStyle w:val="Hyperlink"/>
                <w:noProof/>
              </w:rPr>
              <w:t>CONTEXT STRATEGIC NAȚIONAL</w:t>
            </w:r>
            <w:r w:rsidR="00614C44">
              <w:rPr>
                <w:noProof/>
                <w:webHidden/>
              </w:rPr>
              <w:tab/>
            </w:r>
            <w:r w:rsidR="00614C44">
              <w:rPr>
                <w:noProof/>
                <w:webHidden/>
              </w:rPr>
              <w:fldChar w:fldCharType="begin"/>
            </w:r>
            <w:r w:rsidR="00614C44">
              <w:rPr>
                <w:noProof/>
                <w:webHidden/>
              </w:rPr>
              <w:instrText xml:space="preserve"> PAGEREF _Toc127199264 \h </w:instrText>
            </w:r>
            <w:r w:rsidR="00614C44">
              <w:rPr>
                <w:noProof/>
                <w:webHidden/>
              </w:rPr>
            </w:r>
            <w:r w:rsidR="00614C44">
              <w:rPr>
                <w:noProof/>
                <w:webHidden/>
              </w:rPr>
              <w:fldChar w:fldCharType="separate"/>
            </w:r>
            <w:r w:rsidR="005A6DD8">
              <w:rPr>
                <w:noProof/>
                <w:webHidden/>
              </w:rPr>
              <w:t>28</w:t>
            </w:r>
            <w:r w:rsidR="00614C44">
              <w:rPr>
                <w:noProof/>
                <w:webHidden/>
              </w:rPr>
              <w:fldChar w:fldCharType="end"/>
            </w:r>
          </w:hyperlink>
        </w:p>
        <w:p w14:paraId="09F6854F" w14:textId="111537BD" w:rsidR="00614C44" w:rsidRDefault="00000000">
          <w:pPr>
            <w:pStyle w:val="TOC2"/>
            <w:tabs>
              <w:tab w:val="left" w:pos="554"/>
              <w:tab w:val="right" w:leader="dot" w:pos="9436"/>
            </w:tabs>
            <w:rPr>
              <w:rFonts w:eastAsiaTheme="minorEastAsia" w:cstheme="minorBidi"/>
              <w:noProof/>
              <w:lang w:val="en-US"/>
            </w:rPr>
          </w:pPr>
          <w:hyperlink w:anchor="_Toc127199265" w:history="1">
            <w:r w:rsidR="00614C44" w:rsidRPr="00FE24AD">
              <w:rPr>
                <w:rStyle w:val="Hyperlink"/>
                <w:noProof/>
              </w:rPr>
              <w:t>2.4.</w:t>
            </w:r>
            <w:r w:rsidR="00614C44">
              <w:rPr>
                <w:rFonts w:eastAsiaTheme="minorEastAsia" w:cstheme="minorBidi"/>
                <w:noProof/>
                <w:lang w:val="en-US"/>
              </w:rPr>
              <w:tab/>
            </w:r>
            <w:r w:rsidR="00614C44" w:rsidRPr="00FE24AD">
              <w:rPr>
                <w:rStyle w:val="Hyperlink"/>
                <w:noProof/>
              </w:rPr>
              <w:t>CONTEXT STRATEGIC REGIONAL ȘI LOCAL</w:t>
            </w:r>
            <w:r w:rsidR="00614C44">
              <w:rPr>
                <w:noProof/>
                <w:webHidden/>
              </w:rPr>
              <w:tab/>
            </w:r>
            <w:r w:rsidR="00614C44">
              <w:rPr>
                <w:noProof/>
                <w:webHidden/>
              </w:rPr>
              <w:fldChar w:fldCharType="begin"/>
            </w:r>
            <w:r w:rsidR="00614C44">
              <w:rPr>
                <w:noProof/>
                <w:webHidden/>
              </w:rPr>
              <w:instrText xml:space="preserve"> PAGEREF _Toc127199265 \h </w:instrText>
            </w:r>
            <w:r w:rsidR="00614C44">
              <w:rPr>
                <w:noProof/>
                <w:webHidden/>
              </w:rPr>
            </w:r>
            <w:r w:rsidR="00614C44">
              <w:rPr>
                <w:noProof/>
                <w:webHidden/>
              </w:rPr>
              <w:fldChar w:fldCharType="separate"/>
            </w:r>
            <w:r w:rsidR="005A6DD8">
              <w:rPr>
                <w:noProof/>
                <w:webHidden/>
              </w:rPr>
              <w:t>30</w:t>
            </w:r>
            <w:r w:rsidR="00614C44">
              <w:rPr>
                <w:noProof/>
                <w:webHidden/>
              </w:rPr>
              <w:fldChar w:fldCharType="end"/>
            </w:r>
          </w:hyperlink>
        </w:p>
        <w:p w14:paraId="5164F0FA" w14:textId="2AAABE33" w:rsidR="00614C44" w:rsidRDefault="00000000">
          <w:pPr>
            <w:pStyle w:val="TOC1"/>
            <w:rPr>
              <w:rFonts w:eastAsiaTheme="minorEastAsia" w:cstheme="minorBidi"/>
              <w:b w:val="0"/>
              <w:bCs w:val="0"/>
              <w:smallCaps w:val="0"/>
              <w:color w:val="auto"/>
              <w:lang w:val="en-US"/>
            </w:rPr>
          </w:pPr>
          <w:hyperlink w:anchor="_Toc127199266" w:history="1">
            <w:r w:rsidR="00614C44" w:rsidRPr="00FE24AD">
              <w:rPr>
                <w:rStyle w:val="Hyperlink"/>
              </w:rPr>
              <w:t>3.</w:t>
            </w:r>
            <w:r w:rsidR="00614C44">
              <w:rPr>
                <w:rFonts w:eastAsiaTheme="minorEastAsia" w:cstheme="minorBidi"/>
                <w:b w:val="0"/>
                <w:bCs w:val="0"/>
                <w:smallCaps w:val="0"/>
                <w:color w:val="auto"/>
                <w:lang w:val="en-US"/>
              </w:rPr>
              <w:tab/>
            </w:r>
            <w:r w:rsidR="00614C44" w:rsidRPr="00FE24AD">
              <w:rPr>
                <w:rStyle w:val="Hyperlink"/>
              </w:rPr>
              <w:t>EVALUAREA IMPLEMENTĂRII STRATEGIEI DE DEZVOLTARE LOCALĂ INTEGRATĂ ȘI DURABILĂ A SECTORULUI 2 PENTRU PERIOADA 2016 - 2025</w:t>
            </w:r>
            <w:r w:rsidR="00614C44">
              <w:rPr>
                <w:webHidden/>
              </w:rPr>
              <w:tab/>
            </w:r>
            <w:r w:rsidR="00614C44">
              <w:rPr>
                <w:webHidden/>
              </w:rPr>
              <w:fldChar w:fldCharType="begin"/>
            </w:r>
            <w:r w:rsidR="00614C44">
              <w:rPr>
                <w:webHidden/>
              </w:rPr>
              <w:instrText xml:space="preserve"> PAGEREF _Toc127199266 \h </w:instrText>
            </w:r>
            <w:r w:rsidR="00614C44">
              <w:rPr>
                <w:webHidden/>
              </w:rPr>
            </w:r>
            <w:r w:rsidR="00614C44">
              <w:rPr>
                <w:webHidden/>
              </w:rPr>
              <w:fldChar w:fldCharType="separate"/>
            </w:r>
            <w:r w:rsidR="005A6DD8">
              <w:rPr>
                <w:webHidden/>
              </w:rPr>
              <w:t>36</w:t>
            </w:r>
            <w:r w:rsidR="00614C44">
              <w:rPr>
                <w:webHidden/>
              </w:rPr>
              <w:fldChar w:fldCharType="end"/>
            </w:r>
          </w:hyperlink>
        </w:p>
        <w:p w14:paraId="287D9963" w14:textId="4C50DEEC" w:rsidR="00614C44" w:rsidRDefault="00000000">
          <w:pPr>
            <w:pStyle w:val="TOC1"/>
            <w:rPr>
              <w:rFonts w:eastAsiaTheme="minorEastAsia" w:cstheme="minorBidi"/>
              <w:b w:val="0"/>
              <w:bCs w:val="0"/>
              <w:smallCaps w:val="0"/>
              <w:color w:val="auto"/>
              <w:lang w:val="en-US"/>
            </w:rPr>
          </w:pPr>
          <w:hyperlink w:anchor="_Toc127199267" w:history="1">
            <w:r w:rsidR="00614C44" w:rsidRPr="00FE24AD">
              <w:rPr>
                <w:rStyle w:val="Hyperlink"/>
              </w:rPr>
              <w:t>4.</w:t>
            </w:r>
            <w:r w:rsidR="00614C44">
              <w:rPr>
                <w:rFonts w:eastAsiaTheme="minorEastAsia" w:cstheme="minorBidi"/>
                <w:b w:val="0"/>
                <w:bCs w:val="0"/>
                <w:smallCaps w:val="0"/>
                <w:color w:val="auto"/>
                <w:lang w:val="en-US"/>
              </w:rPr>
              <w:tab/>
            </w:r>
            <w:r w:rsidR="00614C44" w:rsidRPr="00FE24AD">
              <w:rPr>
                <w:rStyle w:val="Hyperlink"/>
              </w:rPr>
              <w:t>ANALIZA SITUAȚIEI EXISTENTE</w:t>
            </w:r>
            <w:r w:rsidR="00614C44">
              <w:rPr>
                <w:webHidden/>
              </w:rPr>
              <w:tab/>
            </w:r>
            <w:r w:rsidR="00614C44">
              <w:rPr>
                <w:webHidden/>
              </w:rPr>
              <w:fldChar w:fldCharType="begin"/>
            </w:r>
            <w:r w:rsidR="00614C44">
              <w:rPr>
                <w:webHidden/>
              </w:rPr>
              <w:instrText xml:space="preserve"> PAGEREF _Toc127199267 \h </w:instrText>
            </w:r>
            <w:r w:rsidR="00614C44">
              <w:rPr>
                <w:webHidden/>
              </w:rPr>
            </w:r>
            <w:r w:rsidR="00614C44">
              <w:rPr>
                <w:webHidden/>
              </w:rPr>
              <w:fldChar w:fldCharType="separate"/>
            </w:r>
            <w:r w:rsidR="005A6DD8">
              <w:rPr>
                <w:webHidden/>
              </w:rPr>
              <w:t>56</w:t>
            </w:r>
            <w:r w:rsidR="00614C44">
              <w:rPr>
                <w:webHidden/>
              </w:rPr>
              <w:fldChar w:fldCharType="end"/>
            </w:r>
          </w:hyperlink>
        </w:p>
        <w:p w14:paraId="75723A63" w14:textId="687C7C4F" w:rsidR="00614C44" w:rsidRDefault="00000000">
          <w:pPr>
            <w:pStyle w:val="TOC2"/>
            <w:tabs>
              <w:tab w:val="left" w:pos="554"/>
              <w:tab w:val="right" w:leader="dot" w:pos="9436"/>
            </w:tabs>
            <w:rPr>
              <w:rFonts w:eastAsiaTheme="minorEastAsia" w:cstheme="minorBidi"/>
              <w:noProof/>
              <w:lang w:val="en-US"/>
            </w:rPr>
          </w:pPr>
          <w:hyperlink w:anchor="_Toc127199268" w:history="1">
            <w:r w:rsidR="00614C44" w:rsidRPr="00FE24AD">
              <w:rPr>
                <w:rStyle w:val="Hyperlink"/>
                <w:noProof/>
              </w:rPr>
              <w:t>4.1.</w:t>
            </w:r>
            <w:r w:rsidR="00614C44">
              <w:rPr>
                <w:rFonts w:eastAsiaTheme="minorEastAsia" w:cstheme="minorBidi"/>
                <w:noProof/>
                <w:lang w:val="en-US"/>
              </w:rPr>
              <w:tab/>
            </w:r>
            <w:r w:rsidR="00614C44" w:rsidRPr="00FE24AD">
              <w:rPr>
                <w:rStyle w:val="Hyperlink"/>
                <w:noProof/>
              </w:rPr>
              <w:t>PROFIL SOCIO-CULTURAL</w:t>
            </w:r>
            <w:r w:rsidR="00614C44">
              <w:rPr>
                <w:noProof/>
                <w:webHidden/>
              </w:rPr>
              <w:tab/>
            </w:r>
            <w:r w:rsidR="00614C44">
              <w:rPr>
                <w:noProof/>
                <w:webHidden/>
              </w:rPr>
              <w:fldChar w:fldCharType="begin"/>
            </w:r>
            <w:r w:rsidR="00614C44">
              <w:rPr>
                <w:noProof/>
                <w:webHidden/>
              </w:rPr>
              <w:instrText xml:space="preserve"> PAGEREF _Toc127199268 \h </w:instrText>
            </w:r>
            <w:r w:rsidR="00614C44">
              <w:rPr>
                <w:noProof/>
                <w:webHidden/>
              </w:rPr>
            </w:r>
            <w:r w:rsidR="00614C44">
              <w:rPr>
                <w:noProof/>
                <w:webHidden/>
              </w:rPr>
              <w:fldChar w:fldCharType="separate"/>
            </w:r>
            <w:r w:rsidR="005A6DD8">
              <w:rPr>
                <w:noProof/>
                <w:webHidden/>
              </w:rPr>
              <w:t>56</w:t>
            </w:r>
            <w:r w:rsidR="00614C44">
              <w:rPr>
                <w:noProof/>
                <w:webHidden/>
              </w:rPr>
              <w:fldChar w:fldCharType="end"/>
            </w:r>
          </w:hyperlink>
        </w:p>
        <w:p w14:paraId="3A36D67C" w14:textId="1614E2AF" w:rsidR="00614C44" w:rsidRDefault="00000000">
          <w:pPr>
            <w:pStyle w:val="TOC3"/>
            <w:tabs>
              <w:tab w:val="left" w:pos="865"/>
              <w:tab w:val="right" w:leader="dot" w:pos="9436"/>
            </w:tabs>
            <w:rPr>
              <w:rFonts w:eastAsiaTheme="minorEastAsia" w:cstheme="minorBidi"/>
              <w:noProof/>
              <w:lang w:val="en-US"/>
            </w:rPr>
          </w:pPr>
          <w:hyperlink w:anchor="_Toc127199269" w:history="1">
            <w:r w:rsidR="00614C44" w:rsidRPr="00FE24AD">
              <w:rPr>
                <w:rStyle w:val="Hyperlink"/>
                <w:noProof/>
              </w:rPr>
              <w:t>4.1.1.</w:t>
            </w:r>
            <w:r w:rsidR="00614C44">
              <w:rPr>
                <w:rFonts w:eastAsiaTheme="minorEastAsia" w:cstheme="minorBidi"/>
                <w:noProof/>
                <w:lang w:val="en-US"/>
              </w:rPr>
              <w:tab/>
            </w:r>
            <w:r w:rsidR="00614C44" w:rsidRPr="00FE24AD">
              <w:rPr>
                <w:rStyle w:val="Hyperlink"/>
                <w:noProof/>
              </w:rPr>
              <w:t>DEMOGRAFIE</w:t>
            </w:r>
            <w:r w:rsidR="00614C44">
              <w:rPr>
                <w:noProof/>
                <w:webHidden/>
              </w:rPr>
              <w:tab/>
            </w:r>
            <w:r w:rsidR="00614C44">
              <w:rPr>
                <w:noProof/>
                <w:webHidden/>
              </w:rPr>
              <w:fldChar w:fldCharType="begin"/>
            </w:r>
            <w:r w:rsidR="00614C44">
              <w:rPr>
                <w:noProof/>
                <w:webHidden/>
              </w:rPr>
              <w:instrText xml:space="preserve"> PAGEREF _Toc127199269 \h </w:instrText>
            </w:r>
            <w:r w:rsidR="00614C44">
              <w:rPr>
                <w:noProof/>
                <w:webHidden/>
              </w:rPr>
            </w:r>
            <w:r w:rsidR="00614C44">
              <w:rPr>
                <w:noProof/>
                <w:webHidden/>
              </w:rPr>
              <w:fldChar w:fldCharType="separate"/>
            </w:r>
            <w:r w:rsidR="005A6DD8">
              <w:rPr>
                <w:noProof/>
                <w:webHidden/>
              </w:rPr>
              <w:t>56</w:t>
            </w:r>
            <w:r w:rsidR="00614C44">
              <w:rPr>
                <w:noProof/>
                <w:webHidden/>
              </w:rPr>
              <w:fldChar w:fldCharType="end"/>
            </w:r>
          </w:hyperlink>
        </w:p>
        <w:p w14:paraId="64CF29E3" w14:textId="1DA35AC7" w:rsidR="00614C44" w:rsidRDefault="00000000">
          <w:pPr>
            <w:pStyle w:val="TOC3"/>
            <w:tabs>
              <w:tab w:val="left" w:pos="865"/>
              <w:tab w:val="right" w:leader="dot" w:pos="9436"/>
            </w:tabs>
            <w:rPr>
              <w:rFonts w:eastAsiaTheme="minorEastAsia" w:cstheme="minorBidi"/>
              <w:noProof/>
              <w:lang w:val="en-US"/>
            </w:rPr>
          </w:pPr>
          <w:hyperlink w:anchor="_Toc127199270" w:history="1">
            <w:r w:rsidR="00614C44" w:rsidRPr="00FE24AD">
              <w:rPr>
                <w:rStyle w:val="Hyperlink"/>
                <w:noProof/>
              </w:rPr>
              <w:t>4.1.2.</w:t>
            </w:r>
            <w:r w:rsidR="00614C44">
              <w:rPr>
                <w:rFonts w:eastAsiaTheme="minorEastAsia" w:cstheme="minorBidi"/>
                <w:noProof/>
                <w:lang w:val="en-US"/>
              </w:rPr>
              <w:tab/>
            </w:r>
            <w:r w:rsidR="00614C44" w:rsidRPr="00FE24AD">
              <w:rPr>
                <w:rStyle w:val="Hyperlink"/>
                <w:noProof/>
              </w:rPr>
              <w:t>SERVICII PUBLICE</w:t>
            </w:r>
            <w:r w:rsidR="00614C44">
              <w:rPr>
                <w:noProof/>
                <w:webHidden/>
              </w:rPr>
              <w:tab/>
            </w:r>
            <w:r w:rsidR="00614C44">
              <w:rPr>
                <w:noProof/>
                <w:webHidden/>
              </w:rPr>
              <w:fldChar w:fldCharType="begin"/>
            </w:r>
            <w:r w:rsidR="00614C44">
              <w:rPr>
                <w:noProof/>
                <w:webHidden/>
              </w:rPr>
              <w:instrText xml:space="preserve"> PAGEREF _Toc127199270 \h </w:instrText>
            </w:r>
            <w:r w:rsidR="00614C44">
              <w:rPr>
                <w:noProof/>
                <w:webHidden/>
              </w:rPr>
            </w:r>
            <w:r w:rsidR="00614C44">
              <w:rPr>
                <w:noProof/>
                <w:webHidden/>
              </w:rPr>
              <w:fldChar w:fldCharType="separate"/>
            </w:r>
            <w:r w:rsidR="005A6DD8">
              <w:rPr>
                <w:noProof/>
                <w:webHidden/>
              </w:rPr>
              <w:t>67</w:t>
            </w:r>
            <w:r w:rsidR="00614C44">
              <w:rPr>
                <w:noProof/>
                <w:webHidden/>
              </w:rPr>
              <w:fldChar w:fldCharType="end"/>
            </w:r>
          </w:hyperlink>
        </w:p>
        <w:p w14:paraId="7A86D74E" w14:textId="5097F503" w:rsidR="00614C44" w:rsidRDefault="00000000">
          <w:pPr>
            <w:pStyle w:val="TOC3"/>
            <w:tabs>
              <w:tab w:val="left" w:pos="865"/>
              <w:tab w:val="right" w:leader="dot" w:pos="9436"/>
            </w:tabs>
            <w:rPr>
              <w:rFonts w:eastAsiaTheme="minorEastAsia" w:cstheme="minorBidi"/>
              <w:noProof/>
              <w:lang w:val="en-US"/>
            </w:rPr>
          </w:pPr>
          <w:hyperlink w:anchor="_Toc127199271" w:history="1">
            <w:r w:rsidR="00614C44" w:rsidRPr="00FE24AD">
              <w:rPr>
                <w:rStyle w:val="Hyperlink"/>
                <w:noProof/>
              </w:rPr>
              <w:t>4.1.3.</w:t>
            </w:r>
            <w:r w:rsidR="00614C44">
              <w:rPr>
                <w:rFonts w:eastAsiaTheme="minorEastAsia" w:cstheme="minorBidi"/>
                <w:noProof/>
                <w:lang w:val="en-US"/>
              </w:rPr>
              <w:tab/>
            </w:r>
            <w:r w:rsidR="00614C44" w:rsidRPr="00FE24AD">
              <w:rPr>
                <w:rStyle w:val="Hyperlink"/>
                <w:noProof/>
              </w:rPr>
              <w:t>CULTURĂ, TURISM ȘI PETRECEREA TIMPULUI LIBER</w:t>
            </w:r>
            <w:r w:rsidR="00614C44">
              <w:rPr>
                <w:noProof/>
                <w:webHidden/>
              </w:rPr>
              <w:tab/>
            </w:r>
            <w:r w:rsidR="00614C44">
              <w:rPr>
                <w:noProof/>
                <w:webHidden/>
              </w:rPr>
              <w:fldChar w:fldCharType="begin"/>
            </w:r>
            <w:r w:rsidR="00614C44">
              <w:rPr>
                <w:noProof/>
                <w:webHidden/>
              </w:rPr>
              <w:instrText xml:space="preserve"> PAGEREF _Toc127199271 \h </w:instrText>
            </w:r>
            <w:r w:rsidR="00614C44">
              <w:rPr>
                <w:noProof/>
                <w:webHidden/>
              </w:rPr>
            </w:r>
            <w:r w:rsidR="00614C44">
              <w:rPr>
                <w:noProof/>
                <w:webHidden/>
              </w:rPr>
              <w:fldChar w:fldCharType="separate"/>
            </w:r>
            <w:r w:rsidR="005A6DD8">
              <w:rPr>
                <w:noProof/>
                <w:webHidden/>
              </w:rPr>
              <w:t>93</w:t>
            </w:r>
            <w:r w:rsidR="00614C44">
              <w:rPr>
                <w:noProof/>
                <w:webHidden/>
              </w:rPr>
              <w:fldChar w:fldCharType="end"/>
            </w:r>
          </w:hyperlink>
        </w:p>
        <w:p w14:paraId="21FED67B" w14:textId="28D40846" w:rsidR="00614C44" w:rsidRDefault="00000000">
          <w:pPr>
            <w:pStyle w:val="TOC3"/>
            <w:tabs>
              <w:tab w:val="left" w:pos="865"/>
              <w:tab w:val="right" w:leader="dot" w:pos="9436"/>
            </w:tabs>
            <w:rPr>
              <w:rFonts w:eastAsiaTheme="minorEastAsia" w:cstheme="minorBidi"/>
              <w:noProof/>
              <w:lang w:val="en-US"/>
            </w:rPr>
          </w:pPr>
          <w:hyperlink w:anchor="_Toc127199272" w:history="1">
            <w:r w:rsidR="00614C44" w:rsidRPr="00FE24AD">
              <w:rPr>
                <w:rStyle w:val="Hyperlink"/>
                <w:noProof/>
              </w:rPr>
              <w:t>4.1.4.</w:t>
            </w:r>
            <w:r w:rsidR="00614C44">
              <w:rPr>
                <w:rFonts w:eastAsiaTheme="minorEastAsia" w:cstheme="minorBidi"/>
                <w:noProof/>
                <w:lang w:val="en-US"/>
              </w:rPr>
              <w:tab/>
            </w:r>
            <w:r w:rsidR="00614C44" w:rsidRPr="00FE24AD">
              <w:rPr>
                <w:rStyle w:val="Hyperlink"/>
                <w:noProof/>
              </w:rPr>
              <w:t>PATRIMONIU CONSTRUIT</w:t>
            </w:r>
            <w:r w:rsidR="00614C44">
              <w:rPr>
                <w:noProof/>
                <w:webHidden/>
              </w:rPr>
              <w:tab/>
            </w:r>
            <w:r w:rsidR="00614C44">
              <w:rPr>
                <w:noProof/>
                <w:webHidden/>
              </w:rPr>
              <w:fldChar w:fldCharType="begin"/>
            </w:r>
            <w:r w:rsidR="00614C44">
              <w:rPr>
                <w:noProof/>
                <w:webHidden/>
              </w:rPr>
              <w:instrText xml:space="preserve"> PAGEREF _Toc127199272 \h </w:instrText>
            </w:r>
            <w:r w:rsidR="00614C44">
              <w:rPr>
                <w:noProof/>
                <w:webHidden/>
              </w:rPr>
            </w:r>
            <w:r w:rsidR="00614C44">
              <w:rPr>
                <w:noProof/>
                <w:webHidden/>
              </w:rPr>
              <w:fldChar w:fldCharType="separate"/>
            </w:r>
            <w:r w:rsidR="005A6DD8">
              <w:rPr>
                <w:noProof/>
                <w:webHidden/>
              </w:rPr>
              <w:t>124</w:t>
            </w:r>
            <w:r w:rsidR="00614C44">
              <w:rPr>
                <w:noProof/>
                <w:webHidden/>
              </w:rPr>
              <w:fldChar w:fldCharType="end"/>
            </w:r>
          </w:hyperlink>
        </w:p>
        <w:p w14:paraId="4876EBFF" w14:textId="793D12FA" w:rsidR="00614C44" w:rsidRDefault="00000000">
          <w:pPr>
            <w:pStyle w:val="TOC3"/>
            <w:tabs>
              <w:tab w:val="left" w:pos="865"/>
              <w:tab w:val="right" w:leader="dot" w:pos="9436"/>
            </w:tabs>
            <w:rPr>
              <w:rFonts w:eastAsiaTheme="minorEastAsia" w:cstheme="minorBidi"/>
              <w:noProof/>
              <w:lang w:val="en-US"/>
            </w:rPr>
          </w:pPr>
          <w:hyperlink w:anchor="_Toc127199273" w:history="1">
            <w:r w:rsidR="00614C44" w:rsidRPr="00FE24AD">
              <w:rPr>
                <w:rStyle w:val="Hyperlink"/>
                <w:noProof/>
              </w:rPr>
              <w:t>4.1.5.</w:t>
            </w:r>
            <w:r w:rsidR="00614C44">
              <w:rPr>
                <w:rFonts w:eastAsiaTheme="minorEastAsia" w:cstheme="minorBidi"/>
                <w:noProof/>
                <w:lang w:val="en-US"/>
              </w:rPr>
              <w:tab/>
            </w:r>
            <w:r w:rsidR="00614C44" w:rsidRPr="00FE24AD">
              <w:rPr>
                <w:rStyle w:val="Hyperlink"/>
                <w:noProof/>
              </w:rPr>
              <w:t>SPAȚIU PUBLIC</w:t>
            </w:r>
            <w:r w:rsidR="00614C44">
              <w:rPr>
                <w:noProof/>
                <w:webHidden/>
              </w:rPr>
              <w:tab/>
            </w:r>
            <w:r w:rsidR="00614C44">
              <w:rPr>
                <w:noProof/>
                <w:webHidden/>
              </w:rPr>
              <w:fldChar w:fldCharType="begin"/>
            </w:r>
            <w:r w:rsidR="00614C44">
              <w:rPr>
                <w:noProof/>
                <w:webHidden/>
              </w:rPr>
              <w:instrText xml:space="preserve"> PAGEREF _Toc127199273 \h </w:instrText>
            </w:r>
            <w:r w:rsidR="00614C44">
              <w:rPr>
                <w:noProof/>
                <w:webHidden/>
              </w:rPr>
            </w:r>
            <w:r w:rsidR="00614C44">
              <w:rPr>
                <w:noProof/>
                <w:webHidden/>
              </w:rPr>
              <w:fldChar w:fldCharType="separate"/>
            </w:r>
            <w:r w:rsidR="005A6DD8">
              <w:rPr>
                <w:noProof/>
                <w:webHidden/>
              </w:rPr>
              <w:t>136</w:t>
            </w:r>
            <w:r w:rsidR="00614C44">
              <w:rPr>
                <w:noProof/>
                <w:webHidden/>
              </w:rPr>
              <w:fldChar w:fldCharType="end"/>
            </w:r>
          </w:hyperlink>
        </w:p>
        <w:p w14:paraId="15488223" w14:textId="2F4FD4AB" w:rsidR="00614C44" w:rsidRDefault="00000000">
          <w:pPr>
            <w:pStyle w:val="TOC2"/>
            <w:tabs>
              <w:tab w:val="left" w:pos="554"/>
              <w:tab w:val="right" w:leader="dot" w:pos="9436"/>
            </w:tabs>
            <w:rPr>
              <w:rFonts w:eastAsiaTheme="minorEastAsia" w:cstheme="minorBidi"/>
              <w:noProof/>
              <w:lang w:val="en-US"/>
            </w:rPr>
          </w:pPr>
          <w:hyperlink w:anchor="_Toc127199274" w:history="1">
            <w:r w:rsidR="00614C44" w:rsidRPr="00FE24AD">
              <w:rPr>
                <w:rStyle w:val="Hyperlink"/>
                <w:noProof/>
              </w:rPr>
              <w:t>4.2.</w:t>
            </w:r>
            <w:r w:rsidR="00614C44">
              <w:rPr>
                <w:rFonts w:eastAsiaTheme="minorEastAsia" w:cstheme="minorBidi"/>
                <w:noProof/>
                <w:lang w:val="en-US"/>
              </w:rPr>
              <w:tab/>
            </w:r>
            <w:r w:rsidR="00614C44" w:rsidRPr="00FE24AD">
              <w:rPr>
                <w:rStyle w:val="Hyperlink"/>
                <w:noProof/>
              </w:rPr>
              <w:t>PROFIL ECONOMIC</w:t>
            </w:r>
            <w:r w:rsidR="00614C44">
              <w:rPr>
                <w:noProof/>
                <w:webHidden/>
              </w:rPr>
              <w:tab/>
            </w:r>
            <w:r w:rsidR="00614C44">
              <w:rPr>
                <w:noProof/>
                <w:webHidden/>
              </w:rPr>
              <w:fldChar w:fldCharType="begin"/>
            </w:r>
            <w:r w:rsidR="00614C44">
              <w:rPr>
                <w:noProof/>
                <w:webHidden/>
              </w:rPr>
              <w:instrText xml:space="preserve"> PAGEREF _Toc127199274 \h </w:instrText>
            </w:r>
            <w:r w:rsidR="00614C44">
              <w:rPr>
                <w:noProof/>
                <w:webHidden/>
              </w:rPr>
            </w:r>
            <w:r w:rsidR="00614C44">
              <w:rPr>
                <w:noProof/>
                <w:webHidden/>
              </w:rPr>
              <w:fldChar w:fldCharType="separate"/>
            </w:r>
            <w:r w:rsidR="005A6DD8">
              <w:rPr>
                <w:noProof/>
                <w:webHidden/>
              </w:rPr>
              <w:t>152</w:t>
            </w:r>
            <w:r w:rsidR="00614C44">
              <w:rPr>
                <w:noProof/>
                <w:webHidden/>
              </w:rPr>
              <w:fldChar w:fldCharType="end"/>
            </w:r>
          </w:hyperlink>
        </w:p>
        <w:p w14:paraId="19B52CCB" w14:textId="6F10FB03" w:rsidR="00614C44" w:rsidRDefault="00000000">
          <w:pPr>
            <w:pStyle w:val="TOC3"/>
            <w:tabs>
              <w:tab w:val="left" w:pos="865"/>
              <w:tab w:val="right" w:leader="dot" w:pos="9436"/>
            </w:tabs>
            <w:rPr>
              <w:rFonts w:eastAsiaTheme="minorEastAsia" w:cstheme="minorBidi"/>
              <w:noProof/>
              <w:lang w:val="en-US"/>
            </w:rPr>
          </w:pPr>
          <w:hyperlink w:anchor="_Toc127199275" w:history="1">
            <w:r w:rsidR="00614C44" w:rsidRPr="00FE24AD">
              <w:rPr>
                <w:rStyle w:val="Hyperlink"/>
                <w:noProof/>
              </w:rPr>
              <w:t>4.2.1.</w:t>
            </w:r>
            <w:r w:rsidR="00614C44">
              <w:rPr>
                <w:rFonts w:eastAsiaTheme="minorEastAsia" w:cstheme="minorBidi"/>
                <w:noProof/>
                <w:lang w:val="en-US"/>
              </w:rPr>
              <w:tab/>
            </w:r>
            <w:r w:rsidR="00614C44" w:rsidRPr="00FE24AD">
              <w:rPr>
                <w:rStyle w:val="Hyperlink"/>
                <w:noProof/>
              </w:rPr>
              <w:t>SECTORUL 2 ÎN CONTEXTUL CAPITALEI ȘI LA NIVEL REGIONAL ȘI NAȚIONAL</w:t>
            </w:r>
            <w:r w:rsidR="00614C44">
              <w:rPr>
                <w:noProof/>
                <w:webHidden/>
              </w:rPr>
              <w:tab/>
            </w:r>
            <w:r w:rsidR="00614C44">
              <w:rPr>
                <w:noProof/>
                <w:webHidden/>
              </w:rPr>
              <w:fldChar w:fldCharType="begin"/>
            </w:r>
            <w:r w:rsidR="00614C44">
              <w:rPr>
                <w:noProof/>
                <w:webHidden/>
              </w:rPr>
              <w:instrText xml:space="preserve"> PAGEREF _Toc127199275 \h </w:instrText>
            </w:r>
            <w:r w:rsidR="00614C44">
              <w:rPr>
                <w:noProof/>
                <w:webHidden/>
              </w:rPr>
            </w:r>
            <w:r w:rsidR="00614C44">
              <w:rPr>
                <w:noProof/>
                <w:webHidden/>
              </w:rPr>
              <w:fldChar w:fldCharType="separate"/>
            </w:r>
            <w:r w:rsidR="005A6DD8">
              <w:rPr>
                <w:noProof/>
                <w:webHidden/>
              </w:rPr>
              <w:t>152</w:t>
            </w:r>
            <w:r w:rsidR="00614C44">
              <w:rPr>
                <w:noProof/>
                <w:webHidden/>
              </w:rPr>
              <w:fldChar w:fldCharType="end"/>
            </w:r>
          </w:hyperlink>
        </w:p>
        <w:p w14:paraId="56842470" w14:textId="6D94ACE3" w:rsidR="00614C44" w:rsidRDefault="00000000">
          <w:pPr>
            <w:pStyle w:val="TOC3"/>
            <w:tabs>
              <w:tab w:val="left" w:pos="865"/>
              <w:tab w:val="right" w:leader="dot" w:pos="9436"/>
            </w:tabs>
            <w:rPr>
              <w:rFonts w:eastAsiaTheme="minorEastAsia" w:cstheme="minorBidi"/>
              <w:noProof/>
              <w:lang w:val="en-US"/>
            </w:rPr>
          </w:pPr>
          <w:hyperlink w:anchor="_Toc127199276" w:history="1">
            <w:r w:rsidR="00614C44" w:rsidRPr="00FE24AD">
              <w:rPr>
                <w:rStyle w:val="Hyperlink"/>
                <w:noProof/>
              </w:rPr>
              <w:t>4.2.2.</w:t>
            </w:r>
            <w:r w:rsidR="00614C44">
              <w:rPr>
                <w:rFonts w:eastAsiaTheme="minorEastAsia" w:cstheme="minorBidi"/>
                <w:noProof/>
                <w:lang w:val="en-US"/>
              </w:rPr>
              <w:tab/>
            </w:r>
            <w:r w:rsidR="00614C44" w:rsidRPr="00FE24AD">
              <w:rPr>
                <w:rStyle w:val="Hyperlink"/>
                <w:noProof/>
              </w:rPr>
              <w:t>MEDIUL DE AFACERI ȘI DINAMICA ANTREPRENORIALĂ</w:t>
            </w:r>
            <w:r w:rsidR="00614C44">
              <w:rPr>
                <w:noProof/>
                <w:webHidden/>
              </w:rPr>
              <w:tab/>
            </w:r>
            <w:r w:rsidR="00614C44">
              <w:rPr>
                <w:noProof/>
                <w:webHidden/>
              </w:rPr>
              <w:fldChar w:fldCharType="begin"/>
            </w:r>
            <w:r w:rsidR="00614C44">
              <w:rPr>
                <w:noProof/>
                <w:webHidden/>
              </w:rPr>
              <w:instrText xml:space="preserve"> PAGEREF _Toc127199276 \h </w:instrText>
            </w:r>
            <w:r w:rsidR="00614C44">
              <w:rPr>
                <w:noProof/>
                <w:webHidden/>
              </w:rPr>
            </w:r>
            <w:r w:rsidR="00614C44">
              <w:rPr>
                <w:noProof/>
                <w:webHidden/>
              </w:rPr>
              <w:fldChar w:fldCharType="separate"/>
            </w:r>
            <w:r w:rsidR="005A6DD8">
              <w:rPr>
                <w:noProof/>
                <w:webHidden/>
              </w:rPr>
              <w:t>154</w:t>
            </w:r>
            <w:r w:rsidR="00614C44">
              <w:rPr>
                <w:noProof/>
                <w:webHidden/>
              </w:rPr>
              <w:fldChar w:fldCharType="end"/>
            </w:r>
          </w:hyperlink>
        </w:p>
        <w:p w14:paraId="2676BB79" w14:textId="172AEAA1" w:rsidR="00614C44" w:rsidRDefault="00000000">
          <w:pPr>
            <w:pStyle w:val="TOC3"/>
            <w:tabs>
              <w:tab w:val="left" w:pos="865"/>
              <w:tab w:val="right" w:leader="dot" w:pos="9436"/>
            </w:tabs>
            <w:rPr>
              <w:rFonts w:eastAsiaTheme="minorEastAsia" w:cstheme="minorBidi"/>
              <w:noProof/>
              <w:lang w:val="en-US"/>
            </w:rPr>
          </w:pPr>
          <w:hyperlink w:anchor="_Toc127199277" w:history="1">
            <w:r w:rsidR="00614C44" w:rsidRPr="00FE24AD">
              <w:rPr>
                <w:rStyle w:val="Hyperlink"/>
                <w:noProof/>
              </w:rPr>
              <w:t>4.2.3.</w:t>
            </w:r>
            <w:r w:rsidR="00614C44">
              <w:rPr>
                <w:rFonts w:eastAsiaTheme="minorEastAsia" w:cstheme="minorBidi"/>
                <w:noProof/>
                <w:lang w:val="en-US"/>
              </w:rPr>
              <w:tab/>
            </w:r>
            <w:r w:rsidR="00614C44" w:rsidRPr="00FE24AD">
              <w:rPr>
                <w:rStyle w:val="Hyperlink"/>
                <w:noProof/>
              </w:rPr>
              <w:t>FORȚA DE MUNCĂ</w:t>
            </w:r>
            <w:r w:rsidR="00614C44">
              <w:rPr>
                <w:noProof/>
                <w:webHidden/>
              </w:rPr>
              <w:tab/>
            </w:r>
            <w:r w:rsidR="00614C44">
              <w:rPr>
                <w:noProof/>
                <w:webHidden/>
              </w:rPr>
              <w:fldChar w:fldCharType="begin"/>
            </w:r>
            <w:r w:rsidR="00614C44">
              <w:rPr>
                <w:noProof/>
                <w:webHidden/>
              </w:rPr>
              <w:instrText xml:space="preserve"> PAGEREF _Toc127199277 \h </w:instrText>
            </w:r>
            <w:r w:rsidR="00614C44">
              <w:rPr>
                <w:noProof/>
                <w:webHidden/>
              </w:rPr>
            </w:r>
            <w:r w:rsidR="00614C44">
              <w:rPr>
                <w:noProof/>
                <w:webHidden/>
              </w:rPr>
              <w:fldChar w:fldCharType="separate"/>
            </w:r>
            <w:r w:rsidR="005A6DD8">
              <w:rPr>
                <w:noProof/>
                <w:webHidden/>
              </w:rPr>
              <w:t>161</w:t>
            </w:r>
            <w:r w:rsidR="00614C44">
              <w:rPr>
                <w:noProof/>
                <w:webHidden/>
              </w:rPr>
              <w:fldChar w:fldCharType="end"/>
            </w:r>
          </w:hyperlink>
        </w:p>
        <w:p w14:paraId="3402E22E" w14:textId="653E2C0E" w:rsidR="00614C44" w:rsidRDefault="00000000">
          <w:pPr>
            <w:pStyle w:val="TOC3"/>
            <w:tabs>
              <w:tab w:val="left" w:pos="865"/>
              <w:tab w:val="right" w:leader="dot" w:pos="9436"/>
            </w:tabs>
            <w:rPr>
              <w:rFonts w:eastAsiaTheme="minorEastAsia" w:cstheme="minorBidi"/>
              <w:noProof/>
              <w:lang w:val="en-US"/>
            </w:rPr>
          </w:pPr>
          <w:hyperlink w:anchor="_Toc127199278" w:history="1">
            <w:r w:rsidR="00614C44" w:rsidRPr="00FE24AD">
              <w:rPr>
                <w:rStyle w:val="Hyperlink"/>
                <w:noProof/>
              </w:rPr>
              <w:t>4.2.4.</w:t>
            </w:r>
            <w:r w:rsidR="00614C44">
              <w:rPr>
                <w:rFonts w:eastAsiaTheme="minorEastAsia" w:cstheme="minorBidi"/>
                <w:noProof/>
                <w:lang w:val="en-US"/>
              </w:rPr>
              <w:tab/>
            </w:r>
            <w:r w:rsidR="00614C44" w:rsidRPr="00FE24AD">
              <w:rPr>
                <w:rStyle w:val="Hyperlink"/>
                <w:noProof/>
              </w:rPr>
              <w:t>STRUCTURA ECONOMIEI LOCALE ȘI SECTOARE CU POTENȚIAL DE SPECIALIZARE</w:t>
            </w:r>
            <w:r w:rsidR="00614C44">
              <w:rPr>
                <w:noProof/>
                <w:webHidden/>
              </w:rPr>
              <w:tab/>
            </w:r>
            <w:r w:rsidR="00614C44">
              <w:rPr>
                <w:noProof/>
                <w:webHidden/>
              </w:rPr>
              <w:fldChar w:fldCharType="begin"/>
            </w:r>
            <w:r w:rsidR="00614C44">
              <w:rPr>
                <w:noProof/>
                <w:webHidden/>
              </w:rPr>
              <w:instrText xml:space="preserve"> PAGEREF _Toc127199278 \h </w:instrText>
            </w:r>
            <w:r w:rsidR="00614C44">
              <w:rPr>
                <w:noProof/>
                <w:webHidden/>
              </w:rPr>
            </w:r>
            <w:r w:rsidR="00614C44">
              <w:rPr>
                <w:noProof/>
                <w:webHidden/>
              </w:rPr>
              <w:fldChar w:fldCharType="separate"/>
            </w:r>
            <w:r w:rsidR="005A6DD8">
              <w:rPr>
                <w:noProof/>
                <w:webHidden/>
              </w:rPr>
              <w:t>166</w:t>
            </w:r>
            <w:r w:rsidR="00614C44">
              <w:rPr>
                <w:noProof/>
                <w:webHidden/>
              </w:rPr>
              <w:fldChar w:fldCharType="end"/>
            </w:r>
          </w:hyperlink>
        </w:p>
        <w:p w14:paraId="6DABD4A7" w14:textId="621B71A5" w:rsidR="00614C44" w:rsidRDefault="00000000">
          <w:pPr>
            <w:pStyle w:val="TOC3"/>
            <w:tabs>
              <w:tab w:val="left" w:pos="865"/>
              <w:tab w:val="right" w:leader="dot" w:pos="9436"/>
            </w:tabs>
            <w:rPr>
              <w:rFonts w:eastAsiaTheme="minorEastAsia" w:cstheme="minorBidi"/>
              <w:noProof/>
              <w:lang w:val="en-US"/>
            </w:rPr>
          </w:pPr>
          <w:hyperlink w:anchor="_Toc127199279" w:history="1">
            <w:r w:rsidR="00614C44" w:rsidRPr="00FE24AD">
              <w:rPr>
                <w:rStyle w:val="Hyperlink"/>
                <w:noProof/>
              </w:rPr>
              <w:t>4.2.5.</w:t>
            </w:r>
            <w:r w:rsidR="00614C44">
              <w:rPr>
                <w:rFonts w:eastAsiaTheme="minorEastAsia" w:cstheme="minorBidi"/>
                <w:noProof/>
                <w:lang w:val="en-US"/>
              </w:rPr>
              <w:tab/>
            </w:r>
            <w:r w:rsidR="00614C44" w:rsidRPr="00FE24AD">
              <w:rPr>
                <w:rStyle w:val="Hyperlink"/>
                <w:noProof/>
              </w:rPr>
              <w:t>COMERȚ ȘI INVESTIȚII STRĂINE</w:t>
            </w:r>
            <w:r w:rsidR="00614C44">
              <w:rPr>
                <w:noProof/>
                <w:webHidden/>
              </w:rPr>
              <w:tab/>
            </w:r>
            <w:r w:rsidR="00614C44">
              <w:rPr>
                <w:noProof/>
                <w:webHidden/>
              </w:rPr>
              <w:fldChar w:fldCharType="begin"/>
            </w:r>
            <w:r w:rsidR="00614C44">
              <w:rPr>
                <w:noProof/>
                <w:webHidden/>
              </w:rPr>
              <w:instrText xml:space="preserve"> PAGEREF _Toc127199279 \h </w:instrText>
            </w:r>
            <w:r w:rsidR="00614C44">
              <w:rPr>
                <w:noProof/>
                <w:webHidden/>
              </w:rPr>
            </w:r>
            <w:r w:rsidR="00614C44">
              <w:rPr>
                <w:noProof/>
                <w:webHidden/>
              </w:rPr>
              <w:fldChar w:fldCharType="separate"/>
            </w:r>
            <w:r w:rsidR="005A6DD8">
              <w:rPr>
                <w:noProof/>
                <w:webHidden/>
              </w:rPr>
              <w:t>171</w:t>
            </w:r>
            <w:r w:rsidR="00614C44">
              <w:rPr>
                <w:noProof/>
                <w:webHidden/>
              </w:rPr>
              <w:fldChar w:fldCharType="end"/>
            </w:r>
          </w:hyperlink>
        </w:p>
        <w:p w14:paraId="7409F19E" w14:textId="26455731" w:rsidR="00614C44" w:rsidRDefault="00000000">
          <w:pPr>
            <w:pStyle w:val="TOC3"/>
            <w:tabs>
              <w:tab w:val="left" w:pos="865"/>
              <w:tab w:val="right" w:leader="dot" w:pos="9436"/>
            </w:tabs>
            <w:rPr>
              <w:rFonts w:eastAsiaTheme="minorEastAsia" w:cstheme="minorBidi"/>
              <w:noProof/>
              <w:lang w:val="en-US"/>
            </w:rPr>
          </w:pPr>
          <w:hyperlink w:anchor="_Toc127199280" w:history="1">
            <w:r w:rsidR="00614C44" w:rsidRPr="00FE24AD">
              <w:rPr>
                <w:rStyle w:val="Hyperlink"/>
                <w:noProof/>
              </w:rPr>
              <w:t>4.2.6.</w:t>
            </w:r>
            <w:r w:rsidR="00614C44">
              <w:rPr>
                <w:rFonts w:eastAsiaTheme="minorEastAsia" w:cstheme="minorBidi"/>
                <w:noProof/>
                <w:lang w:val="en-US"/>
              </w:rPr>
              <w:tab/>
            </w:r>
            <w:r w:rsidR="00614C44" w:rsidRPr="00FE24AD">
              <w:rPr>
                <w:rStyle w:val="Hyperlink"/>
                <w:noProof/>
              </w:rPr>
              <w:t>PIAȚA IMOBILIARĂ</w:t>
            </w:r>
            <w:r w:rsidR="00614C44">
              <w:rPr>
                <w:noProof/>
                <w:webHidden/>
              </w:rPr>
              <w:tab/>
            </w:r>
            <w:r w:rsidR="00614C44">
              <w:rPr>
                <w:noProof/>
                <w:webHidden/>
              </w:rPr>
              <w:fldChar w:fldCharType="begin"/>
            </w:r>
            <w:r w:rsidR="00614C44">
              <w:rPr>
                <w:noProof/>
                <w:webHidden/>
              </w:rPr>
              <w:instrText xml:space="preserve"> PAGEREF _Toc127199280 \h </w:instrText>
            </w:r>
            <w:r w:rsidR="00614C44">
              <w:rPr>
                <w:noProof/>
                <w:webHidden/>
              </w:rPr>
            </w:r>
            <w:r w:rsidR="00614C44">
              <w:rPr>
                <w:noProof/>
                <w:webHidden/>
              </w:rPr>
              <w:fldChar w:fldCharType="separate"/>
            </w:r>
            <w:r w:rsidR="005A6DD8">
              <w:rPr>
                <w:noProof/>
                <w:webHidden/>
              </w:rPr>
              <w:t>173</w:t>
            </w:r>
            <w:r w:rsidR="00614C44">
              <w:rPr>
                <w:noProof/>
                <w:webHidden/>
              </w:rPr>
              <w:fldChar w:fldCharType="end"/>
            </w:r>
          </w:hyperlink>
        </w:p>
        <w:p w14:paraId="3C872A6B" w14:textId="1231FD85" w:rsidR="00614C44" w:rsidRDefault="00000000">
          <w:pPr>
            <w:pStyle w:val="TOC3"/>
            <w:tabs>
              <w:tab w:val="left" w:pos="865"/>
              <w:tab w:val="right" w:leader="dot" w:pos="9436"/>
            </w:tabs>
            <w:rPr>
              <w:rFonts w:eastAsiaTheme="minorEastAsia" w:cstheme="minorBidi"/>
              <w:noProof/>
              <w:lang w:val="en-US"/>
            </w:rPr>
          </w:pPr>
          <w:hyperlink w:anchor="_Toc127199281" w:history="1">
            <w:r w:rsidR="00614C44" w:rsidRPr="00FE24AD">
              <w:rPr>
                <w:rStyle w:val="Hyperlink"/>
                <w:noProof/>
              </w:rPr>
              <w:t>4.2.7.</w:t>
            </w:r>
            <w:r w:rsidR="00614C44">
              <w:rPr>
                <w:rFonts w:eastAsiaTheme="minorEastAsia" w:cstheme="minorBidi"/>
                <w:noProof/>
                <w:lang w:val="en-US"/>
              </w:rPr>
              <w:tab/>
            </w:r>
            <w:r w:rsidR="00614C44" w:rsidRPr="00FE24AD">
              <w:rPr>
                <w:rStyle w:val="Hyperlink"/>
                <w:noProof/>
              </w:rPr>
              <w:t>CERCETAREA, DEZVOLTAREA, INOVAREA ȘI INFRASTRUCTURA SUPORT PENTRU AFACERI</w:t>
            </w:r>
            <w:r w:rsidR="00614C44">
              <w:rPr>
                <w:noProof/>
                <w:webHidden/>
              </w:rPr>
              <w:tab/>
            </w:r>
            <w:r w:rsidR="00614C44">
              <w:rPr>
                <w:noProof/>
                <w:webHidden/>
              </w:rPr>
              <w:fldChar w:fldCharType="begin"/>
            </w:r>
            <w:r w:rsidR="00614C44">
              <w:rPr>
                <w:noProof/>
                <w:webHidden/>
              </w:rPr>
              <w:instrText xml:space="preserve"> PAGEREF _Toc127199281 \h </w:instrText>
            </w:r>
            <w:r w:rsidR="00614C44">
              <w:rPr>
                <w:noProof/>
                <w:webHidden/>
              </w:rPr>
            </w:r>
            <w:r w:rsidR="00614C44">
              <w:rPr>
                <w:noProof/>
                <w:webHidden/>
              </w:rPr>
              <w:fldChar w:fldCharType="separate"/>
            </w:r>
            <w:r w:rsidR="005A6DD8">
              <w:rPr>
                <w:noProof/>
                <w:webHidden/>
              </w:rPr>
              <w:t>176</w:t>
            </w:r>
            <w:r w:rsidR="00614C44">
              <w:rPr>
                <w:noProof/>
                <w:webHidden/>
              </w:rPr>
              <w:fldChar w:fldCharType="end"/>
            </w:r>
          </w:hyperlink>
        </w:p>
        <w:p w14:paraId="287313A1" w14:textId="42395C50" w:rsidR="00614C44" w:rsidRDefault="00000000">
          <w:pPr>
            <w:pStyle w:val="TOC2"/>
            <w:tabs>
              <w:tab w:val="left" w:pos="554"/>
              <w:tab w:val="right" w:leader="dot" w:pos="9436"/>
            </w:tabs>
            <w:rPr>
              <w:rFonts w:eastAsiaTheme="minorEastAsia" w:cstheme="minorBidi"/>
              <w:noProof/>
              <w:lang w:val="en-US"/>
            </w:rPr>
          </w:pPr>
          <w:hyperlink w:anchor="_Toc127199282" w:history="1">
            <w:r w:rsidR="00614C44" w:rsidRPr="00FE24AD">
              <w:rPr>
                <w:rStyle w:val="Hyperlink"/>
                <w:noProof/>
              </w:rPr>
              <w:t>4.3.</w:t>
            </w:r>
            <w:r w:rsidR="00614C44">
              <w:rPr>
                <w:rFonts w:eastAsiaTheme="minorEastAsia" w:cstheme="minorBidi"/>
                <w:noProof/>
                <w:lang w:val="en-US"/>
              </w:rPr>
              <w:tab/>
            </w:r>
            <w:r w:rsidR="00614C44" w:rsidRPr="00FE24AD">
              <w:rPr>
                <w:rStyle w:val="Hyperlink"/>
                <w:noProof/>
              </w:rPr>
              <w:t>DEZVOLTARE URBANĂ</w:t>
            </w:r>
            <w:r w:rsidR="00614C44">
              <w:rPr>
                <w:noProof/>
                <w:webHidden/>
              </w:rPr>
              <w:tab/>
            </w:r>
            <w:r w:rsidR="00614C44">
              <w:rPr>
                <w:noProof/>
                <w:webHidden/>
              </w:rPr>
              <w:fldChar w:fldCharType="begin"/>
            </w:r>
            <w:r w:rsidR="00614C44">
              <w:rPr>
                <w:noProof/>
                <w:webHidden/>
              </w:rPr>
              <w:instrText xml:space="preserve"> PAGEREF _Toc127199282 \h </w:instrText>
            </w:r>
            <w:r w:rsidR="00614C44">
              <w:rPr>
                <w:noProof/>
                <w:webHidden/>
              </w:rPr>
            </w:r>
            <w:r w:rsidR="00614C44">
              <w:rPr>
                <w:noProof/>
                <w:webHidden/>
              </w:rPr>
              <w:fldChar w:fldCharType="separate"/>
            </w:r>
            <w:r w:rsidR="005A6DD8">
              <w:rPr>
                <w:noProof/>
                <w:webHidden/>
              </w:rPr>
              <w:t>182</w:t>
            </w:r>
            <w:r w:rsidR="00614C44">
              <w:rPr>
                <w:noProof/>
                <w:webHidden/>
              </w:rPr>
              <w:fldChar w:fldCharType="end"/>
            </w:r>
          </w:hyperlink>
        </w:p>
        <w:p w14:paraId="61C4C946" w14:textId="214A0E6F" w:rsidR="00614C44" w:rsidRDefault="00000000">
          <w:pPr>
            <w:pStyle w:val="TOC3"/>
            <w:tabs>
              <w:tab w:val="left" w:pos="865"/>
              <w:tab w:val="right" w:leader="dot" w:pos="9436"/>
            </w:tabs>
            <w:rPr>
              <w:rFonts w:eastAsiaTheme="minorEastAsia" w:cstheme="minorBidi"/>
              <w:noProof/>
              <w:lang w:val="en-US"/>
            </w:rPr>
          </w:pPr>
          <w:hyperlink w:anchor="_Toc127199283" w:history="1">
            <w:r w:rsidR="00614C44" w:rsidRPr="00FE24AD">
              <w:rPr>
                <w:rStyle w:val="Hyperlink"/>
                <w:noProof/>
              </w:rPr>
              <w:t>4.3.1.</w:t>
            </w:r>
            <w:r w:rsidR="00614C44">
              <w:rPr>
                <w:rFonts w:eastAsiaTheme="minorEastAsia" w:cstheme="minorBidi"/>
                <w:noProof/>
                <w:lang w:val="en-US"/>
              </w:rPr>
              <w:tab/>
            </w:r>
            <w:r w:rsidR="00614C44" w:rsidRPr="00FE24AD">
              <w:rPr>
                <w:rStyle w:val="Hyperlink"/>
                <w:noProof/>
              </w:rPr>
              <w:t>PROFIL SPAŢIAL</w:t>
            </w:r>
            <w:r w:rsidR="00614C44">
              <w:rPr>
                <w:noProof/>
                <w:webHidden/>
              </w:rPr>
              <w:tab/>
            </w:r>
            <w:r w:rsidR="00614C44">
              <w:rPr>
                <w:noProof/>
                <w:webHidden/>
              </w:rPr>
              <w:fldChar w:fldCharType="begin"/>
            </w:r>
            <w:r w:rsidR="00614C44">
              <w:rPr>
                <w:noProof/>
                <w:webHidden/>
              </w:rPr>
              <w:instrText xml:space="preserve"> PAGEREF _Toc127199283 \h </w:instrText>
            </w:r>
            <w:r w:rsidR="00614C44">
              <w:rPr>
                <w:noProof/>
                <w:webHidden/>
              </w:rPr>
            </w:r>
            <w:r w:rsidR="00614C44">
              <w:rPr>
                <w:noProof/>
                <w:webHidden/>
              </w:rPr>
              <w:fldChar w:fldCharType="separate"/>
            </w:r>
            <w:r w:rsidR="005A6DD8">
              <w:rPr>
                <w:noProof/>
                <w:webHidden/>
              </w:rPr>
              <w:t>182</w:t>
            </w:r>
            <w:r w:rsidR="00614C44">
              <w:rPr>
                <w:noProof/>
                <w:webHidden/>
              </w:rPr>
              <w:fldChar w:fldCharType="end"/>
            </w:r>
          </w:hyperlink>
        </w:p>
        <w:p w14:paraId="556A6EB3" w14:textId="1364CCB2" w:rsidR="00614C44" w:rsidRDefault="00000000">
          <w:pPr>
            <w:pStyle w:val="TOC3"/>
            <w:tabs>
              <w:tab w:val="left" w:pos="865"/>
              <w:tab w:val="right" w:leader="dot" w:pos="9436"/>
            </w:tabs>
            <w:rPr>
              <w:rFonts w:eastAsiaTheme="minorEastAsia" w:cstheme="minorBidi"/>
              <w:noProof/>
              <w:lang w:val="en-US"/>
            </w:rPr>
          </w:pPr>
          <w:hyperlink w:anchor="_Toc127199284" w:history="1">
            <w:r w:rsidR="00614C44" w:rsidRPr="00FE24AD">
              <w:rPr>
                <w:rStyle w:val="Hyperlink"/>
                <w:noProof/>
              </w:rPr>
              <w:t>4.3.2.</w:t>
            </w:r>
            <w:r w:rsidR="00614C44">
              <w:rPr>
                <w:rFonts w:eastAsiaTheme="minorEastAsia" w:cstheme="minorBidi"/>
                <w:noProof/>
                <w:lang w:val="en-US"/>
              </w:rPr>
              <w:tab/>
            </w:r>
            <w:r w:rsidR="00614C44" w:rsidRPr="00FE24AD">
              <w:rPr>
                <w:rStyle w:val="Hyperlink"/>
                <w:noProof/>
              </w:rPr>
              <w:t>INFRASTRUCTURĂ EDILITARĂ</w:t>
            </w:r>
            <w:r w:rsidR="00614C44">
              <w:rPr>
                <w:noProof/>
                <w:webHidden/>
              </w:rPr>
              <w:tab/>
            </w:r>
            <w:r w:rsidR="00614C44">
              <w:rPr>
                <w:noProof/>
                <w:webHidden/>
              </w:rPr>
              <w:fldChar w:fldCharType="begin"/>
            </w:r>
            <w:r w:rsidR="00614C44">
              <w:rPr>
                <w:noProof/>
                <w:webHidden/>
              </w:rPr>
              <w:instrText xml:space="preserve"> PAGEREF _Toc127199284 \h </w:instrText>
            </w:r>
            <w:r w:rsidR="00614C44">
              <w:rPr>
                <w:noProof/>
                <w:webHidden/>
              </w:rPr>
            </w:r>
            <w:r w:rsidR="00614C44">
              <w:rPr>
                <w:noProof/>
                <w:webHidden/>
              </w:rPr>
              <w:fldChar w:fldCharType="separate"/>
            </w:r>
            <w:r w:rsidR="005A6DD8">
              <w:rPr>
                <w:noProof/>
                <w:webHidden/>
              </w:rPr>
              <w:t>197</w:t>
            </w:r>
            <w:r w:rsidR="00614C44">
              <w:rPr>
                <w:noProof/>
                <w:webHidden/>
              </w:rPr>
              <w:fldChar w:fldCharType="end"/>
            </w:r>
          </w:hyperlink>
        </w:p>
        <w:p w14:paraId="6F25B4EC" w14:textId="2B6B6B37" w:rsidR="00614C44" w:rsidRDefault="00000000">
          <w:pPr>
            <w:pStyle w:val="TOC2"/>
            <w:tabs>
              <w:tab w:val="left" w:pos="554"/>
              <w:tab w:val="right" w:leader="dot" w:pos="9436"/>
            </w:tabs>
            <w:rPr>
              <w:rFonts w:eastAsiaTheme="minorEastAsia" w:cstheme="minorBidi"/>
              <w:noProof/>
              <w:lang w:val="en-US"/>
            </w:rPr>
          </w:pPr>
          <w:hyperlink w:anchor="_Toc127199285" w:history="1">
            <w:r w:rsidR="00614C44" w:rsidRPr="00FE24AD">
              <w:rPr>
                <w:rStyle w:val="Hyperlink"/>
                <w:noProof/>
              </w:rPr>
              <w:t>4.4.</w:t>
            </w:r>
            <w:r w:rsidR="00614C44">
              <w:rPr>
                <w:rFonts w:eastAsiaTheme="minorEastAsia" w:cstheme="minorBidi"/>
                <w:noProof/>
                <w:lang w:val="en-US"/>
              </w:rPr>
              <w:tab/>
            </w:r>
            <w:r w:rsidR="00614C44" w:rsidRPr="00FE24AD">
              <w:rPr>
                <w:rStyle w:val="Hyperlink"/>
                <w:noProof/>
              </w:rPr>
              <w:t>MOBILITATE ȘI CONECTIVITATE</w:t>
            </w:r>
            <w:r w:rsidR="00614C44">
              <w:rPr>
                <w:noProof/>
                <w:webHidden/>
              </w:rPr>
              <w:tab/>
            </w:r>
            <w:r w:rsidR="00614C44">
              <w:rPr>
                <w:noProof/>
                <w:webHidden/>
              </w:rPr>
              <w:fldChar w:fldCharType="begin"/>
            </w:r>
            <w:r w:rsidR="00614C44">
              <w:rPr>
                <w:noProof/>
                <w:webHidden/>
              </w:rPr>
              <w:instrText xml:space="preserve"> PAGEREF _Toc127199285 \h </w:instrText>
            </w:r>
            <w:r w:rsidR="00614C44">
              <w:rPr>
                <w:noProof/>
                <w:webHidden/>
              </w:rPr>
            </w:r>
            <w:r w:rsidR="00614C44">
              <w:rPr>
                <w:noProof/>
                <w:webHidden/>
              </w:rPr>
              <w:fldChar w:fldCharType="separate"/>
            </w:r>
            <w:r w:rsidR="005A6DD8">
              <w:rPr>
                <w:noProof/>
                <w:webHidden/>
              </w:rPr>
              <w:t>208</w:t>
            </w:r>
            <w:r w:rsidR="00614C44">
              <w:rPr>
                <w:noProof/>
                <w:webHidden/>
              </w:rPr>
              <w:fldChar w:fldCharType="end"/>
            </w:r>
          </w:hyperlink>
        </w:p>
        <w:p w14:paraId="149AB128" w14:textId="4A59CD35" w:rsidR="00614C44" w:rsidRDefault="00000000">
          <w:pPr>
            <w:pStyle w:val="TOC3"/>
            <w:tabs>
              <w:tab w:val="left" w:pos="865"/>
              <w:tab w:val="right" w:leader="dot" w:pos="9436"/>
            </w:tabs>
            <w:rPr>
              <w:rFonts w:eastAsiaTheme="minorEastAsia" w:cstheme="minorBidi"/>
              <w:noProof/>
              <w:lang w:val="en-US"/>
            </w:rPr>
          </w:pPr>
          <w:hyperlink w:anchor="_Toc127199286" w:history="1">
            <w:r w:rsidR="00614C44" w:rsidRPr="00FE24AD">
              <w:rPr>
                <w:rStyle w:val="Hyperlink"/>
                <w:noProof/>
              </w:rPr>
              <w:t>4.4.1.</w:t>
            </w:r>
            <w:r w:rsidR="00614C44">
              <w:rPr>
                <w:rFonts w:eastAsiaTheme="minorEastAsia" w:cstheme="minorBidi"/>
                <w:noProof/>
                <w:lang w:val="en-US"/>
              </w:rPr>
              <w:tab/>
            </w:r>
            <w:r w:rsidR="00614C44" w:rsidRPr="00FE24AD">
              <w:rPr>
                <w:rStyle w:val="Hyperlink"/>
                <w:noProof/>
              </w:rPr>
              <w:t>CONTEXT</w:t>
            </w:r>
            <w:r w:rsidR="00614C44">
              <w:rPr>
                <w:noProof/>
                <w:webHidden/>
              </w:rPr>
              <w:tab/>
            </w:r>
            <w:r w:rsidR="00614C44">
              <w:rPr>
                <w:noProof/>
                <w:webHidden/>
              </w:rPr>
              <w:fldChar w:fldCharType="begin"/>
            </w:r>
            <w:r w:rsidR="00614C44">
              <w:rPr>
                <w:noProof/>
                <w:webHidden/>
              </w:rPr>
              <w:instrText xml:space="preserve"> PAGEREF _Toc127199286 \h </w:instrText>
            </w:r>
            <w:r w:rsidR="00614C44">
              <w:rPr>
                <w:noProof/>
                <w:webHidden/>
              </w:rPr>
            </w:r>
            <w:r w:rsidR="00614C44">
              <w:rPr>
                <w:noProof/>
                <w:webHidden/>
              </w:rPr>
              <w:fldChar w:fldCharType="separate"/>
            </w:r>
            <w:r w:rsidR="005A6DD8">
              <w:rPr>
                <w:noProof/>
                <w:webHidden/>
              </w:rPr>
              <w:t>208</w:t>
            </w:r>
            <w:r w:rsidR="00614C44">
              <w:rPr>
                <w:noProof/>
                <w:webHidden/>
              </w:rPr>
              <w:fldChar w:fldCharType="end"/>
            </w:r>
          </w:hyperlink>
        </w:p>
        <w:p w14:paraId="0D8B02E8" w14:textId="272DE34F" w:rsidR="00614C44" w:rsidRDefault="00000000">
          <w:pPr>
            <w:pStyle w:val="TOC3"/>
            <w:tabs>
              <w:tab w:val="left" w:pos="865"/>
              <w:tab w:val="right" w:leader="dot" w:pos="9436"/>
            </w:tabs>
            <w:rPr>
              <w:rFonts w:eastAsiaTheme="minorEastAsia" w:cstheme="minorBidi"/>
              <w:noProof/>
              <w:lang w:val="en-US"/>
            </w:rPr>
          </w:pPr>
          <w:hyperlink w:anchor="_Toc127199287" w:history="1">
            <w:r w:rsidR="00614C44" w:rsidRPr="00FE24AD">
              <w:rPr>
                <w:rStyle w:val="Hyperlink"/>
                <w:noProof/>
              </w:rPr>
              <w:t>4.4.2.</w:t>
            </w:r>
            <w:r w:rsidR="00614C44">
              <w:rPr>
                <w:rFonts w:eastAsiaTheme="minorEastAsia" w:cstheme="minorBidi"/>
                <w:noProof/>
                <w:lang w:val="en-US"/>
              </w:rPr>
              <w:tab/>
            </w:r>
            <w:r w:rsidR="00614C44" w:rsidRPr="00FE24AD">
              <w:rPr>
                <w:rStyle w:val="Hyperlink"/>
                <w:noProof/>
              </w:rPr>
              <w:t>SUPORTUL SOCIO-ECONOMIC PENTRU NEVOIA DE MOBILITATE</w:t>
            </w:r>
            <w:r w:rsidR="00614C44">
              <w:rPr>
                <w:noProof/>
                <w:webHidden/>
              </w:rPr>
              <w:tab/>
            </w:r>
            <w:r w:rsidR="00614C44">
              <w:rPr>
                <w:noProof/>
                <w:webHidden/>
              </w:rPr>
              <w:fldChar w:fldCharType="begin"/>
            </w:r>
            <w:r w:rsidR="00614C44">
              <w:rPr>
                <w:noProof/>
                <w:webHidden/>
              </w:rPr>
              <w:instrText xml:space="preserve"> PAGEREF _Toc127199287 \h </w:instrText>
            </w:r>
            <w:r w:rsidR="00614C44">
              <w:rPr>
                <w:noProof/>
                <w:webHidden/>
              </w:rPr>
            </w:r>
            <w:r w:rsidR="00614C44">
              <w:rPr>
                <w:noProof/>
                <w:webHidden/>
              </w:rPr>
              <w:fldChar w:fldCharType="separate"/>
            </w:r>
            <w:r w:rsidR="005A6DD8">
              <w:rPr>
                <w:noProof/>
                <w:webHidden/>
              </w:rPr>
              <w:t>210</w:t>
            </w:r>
            <w:r w:rsidR="00614C44">
              <w:rPr>
                <w:noProof/>
                <w:webHidden/>
              </w:rPr>
              <w:fldChar w:fldCharType="end"/>
            </w:r>
          </w:hyperlink>
        </w:p>
        <w:p w14:paraId="28FB3AAD" w14:textId="187F685E" w:rsidR="00614C44" w:rsidRDefault="00000000">
          <w:pPr>
            <w:pStyle w:val="TOC3"/>
            <w:tabs>
              <w:tab w:val="left" w:pos="865"/>
              <w:tab w:val="right" w:leader="dot" w:pos="9436"/>
            </w:tabs>
            <w:rPr>
              <w:rFonts w:eastAsiaTheme="minorEastAsia" w:cstheme="minorBidi"/>
              <w:noProof/>
              <w:lang w:val="en-US"/>
            </w:rPr>
          </w:pPr>
          <w:hyperlink w:anchor="_Toc127199288" w:history="1">
            <w:r w:rsidR="00614C44" w:rsidRPr="00FE24AD">
              <w:rPr>
                <w:rStyle w:val="Hyperlink"/>
                <w:noProof/>
              </w:rPr>
              <w:t>4.4.3.</w:t>
            </w:r>
            <w:r w:rsidR="00614C44">
              <w:rPr>
                <w:rFonts w:eastAsiaTheme="minorEastAsia" w:cstheme="minorBidi"/>
                <w:noProof/>
                <w:lang w:val="en-US"/>
              </w:rPr>
              <w:tab/>
            </w:r>
            <w:r w:rsidR="00614C44" w:rsidRPr="00FE24AD">
              <w:rPr>
                <w:rStyle w:val="Hyperlink"/>
                <w:noProof/>
              </w:rPr>
              <w:t>TRANSPORT RUTIER</w:t>
            </w:r>
            <w:r w:rsidR="00614C44">
              <w:rPr>
                <w:noProof/>
                <w:webHidden/>
              </w:rPr>
              <w:tab/>
            </w:r>
            <w:r w:rsidR="00614C44">
              <w:rPr>
                <w:noProof/>
                <w:webHidden/>
              </w:rPr>
              <w:fldChar w:fldCharType="begin"/>
            </w:r>
            <w:r w:rsidR="00614C44">
              <w:rPr>
                <w:noProof/>
                <w:webHidden/>
              </w:rPr>
              <w:instrText xml:space="preserve"> PAGEREF _Toc127199288 \h </w:instrText>
            </w:r>
            <w:r w:rsidR="00614C44">
              <w:rPr>
                <w:noProof/>
                <w:webHidden/>
              </w:rPr>
            </w:r>
            <w:r w:rsidR="00614C44">
              <w:rPr>
                <w:noProof/>
                <w:webHidden/>
              </w:rPr>
              <w:fldChar w:fldCharType="separate"/>
            </w:r>
            <w:r w:rsidR="005A6DD8">
              <w:rPr>
                <w:noProof/>
                <w:webHidden/>
              </w:rPr>
              <w:t>212</w:t>
            </w:r>
            <w:r w:rsidR="00614C44">
              <w:rPr>
                <w:noProof/>
                <w:webHidden/>
              </w:rPr>
              <w:fldChar w:fldCharType="end"/>
            </w:r>
          </w:hyperlink>
        </w:p>
        <w:p w14:paraId="4906C1C2" w14:textId="5238B0C7" w:rsidR="00614C44" w:rsidRDefault="00000000">
          <w:pPr>
            <w:pStyle w:val="TOC3"/>
            <w:tabs>
              <w:tab w:val="left" w:pos="865"/>
              <w:tab w:val="right" w:leader="dot" w:pos="9436"/>
            </w:tabs>
            <w:rPr>
              <w:rFonts w:eastAsiaTheme="minorEastAsia" w:cstheme="minorBidi"/>
              <w:noProof/>
              <w:lang w:val="en-US"/>
            </w:rPr>
          </w:pPr>
          <w:hyperlink w:anchor="_Toc127199289" w:history="1">
            <w:r w:rsidR="00614C44" w:rsidRPr="00FE24AD">
              <w:rPr>
                <w:rStyle w:val="Hyperlink"/>
                <w:noProof/>
              </w:rPr>
              <w:t>4.4.4.</w:t>
            </w:r>
            <w:r w:rsidR="00614C44">
              <w:rPr>
                <w:rFonts w:eastAsiaTheme="minorEastAsia" w:cstheme="minorBidi"/>
                <w:noProof/>
                <w:lang w:val="en-US"/>
              </w:rPr>
              <w:tab/>
            </w:r>
            <w:r w:rsidR="00614C44" w:rsidRPr="00FE24AD">
              <w:rPr>
                <w:rStyle w:val="Hyperlink"/>
                <w:noProof/>
              </w:rPr>
              <w:t>TRANSPORT PUBLIC</w:t>
            </w:r>
            <w:r w:rsidR="00614C44">
              <w:rPr>
                <w:noProof/>
                <w:webHidden/>
              </w:rPr>
              <w:tab/>
            </w:r>
            <w:r w:rsidR="00614C44">
              <w:rPr>
                <w:noProof/>
                <w:webHidden/>
              </w:rPr>
              <w:fldChar w:fldCharType="begin"/>
            </w:r>
            <w:r w:rsidR="00614C44">
              <w:rPr>
                <w:noProof/>
                <w:webHidden/>
              </w:rPr>
              <w:instrText xml:space="preserve"> PAGEREF _Toc127199289 \h </w:instrText>
            </w:r>
            <w:r w:rsidR="00614C44">
              <w:rPr>
                <w:noProof/>
                <w:webHidden/>
              </w:rPr>
            </w:r>
            <w:r w:rsidR="00614C44">
              <w:rPr>
                <w:noProof/>
                <w:webHidden/>
              </w:rPr>
              <w:fldChar w:fldCharType="separate"/>
            </w:r>
            <w:r w:rsidR="005A6DD8">
              <w:rPr>
                <w:noProof/>
                <w:webHidden/>
              </w:rPr>
              <w:t>220</w:t>
            </w:r>
            <w:r w:rsidR="00614C44">
              <w:rPr>
                <w:noProof/>
                <w:webHidden/>
              </w:rPr>
              <w:fldChar w:fldCharType="end"/>
            </w:r>
          </w:hyperlink>
        </w:p>
        <w:p w14:paraId="2344112F" w14:textId="096F804D" w:rsidR="00614C44" w:rsidRDefault="00000000">
          <w:pPr>
            <w:pStyle w:val="TOC3"/>
            <w:tabs>
              <w:tab w:val="left" w:pos="865"/>
              <w:tab w:val="right" w:leader="dot" w:pos="9436"/>
            </w:tabs>
            <w:rPr>
              <w:rFonts w:eastAsiaTheme="minorEastAsia" w:cstheme="minorBidi"/>
              <w:noProof/>
              <w:lang w:val="en-US"/>
            </w:rPr>
          </w:pPr>
          <w:hyperlink w:anchor="_Toc127199290" w:history="1">
            <w:r w:rsidR="00614C44" w:rsidRPr="00FE24AD">
              <w:rPr>
                <w:rStyle w:val="Hyperlink"/>
                <w:noProof/>
              </w:rPr>
              <w:t>4.4.5.</w:t>
            </w:r>
            <w:r w:rsidR="00614C44">
              <w:rPr>
                <w:rFonts w:eastAsiaTheme="minorEastAsia" w:cstheme="minorBidi"/>
                <w:noProof/>
                <w:lang w:val="en-US"/>
              </w:rPr>
              <w:tab/>
            </w:r>
            <w:r w:rsidR="00614C44" w:rsidRPr="00FE24AD">
              <w:rPr>
                <w:rStyle w:val="Hyperlink"/>
                <w:noProof/>
              </w:rPr>
              <w:t>DEPLASĂRI PIETONALE</w:t>
            </w:r>
            <w:r w:rsidR="00614C44">
              <w:rPr>
                <w:noProof/>
                <w:webHidden/>
              </w:rPr>
              <w:tab/>
            </w:r>
            <w:r w:rsidR="00614C44">
              <w:rPr>
                <w:noProof/>
                <w:webHidden/>
              </w:rPr>
              <w:fldChar w:fldCharType="begin"/>
            </w:r>
            <w:r w:rsidR="00614C44">
              <w:rPr>
                <w:noProof/>
                <w:webHidden/>
              </w:rPr>
              <w:instrText xml:space="preserve"> PAGEREF _Toc127199290 \h </w:instrText>
            </w:r>
            <w:r w:rsidR="00614C44">
              <w:rPr>
                <w:noProof/>
                <w:webHidden/>
              </w:rPr>
            </w:r>
            <w:r w:rsidR="00614C44">
              <w:rPr>
                <w:noProof/>
                <w:webHidden/>
              </w:rPr>
              <w:fldChar w:fldCharType="separate"/>
            </w:r>
            <w:r w:rsidR="005A6DD8">
              <w:rPr>
                <w:noProof/>
                <w:webHidden/>
              </w:rPr>
              <w:t>229</w:t>
            </w:r>
            <w:r w:rsidR="00614C44">
              <w:rPr>
                <w:noProof/>
                <w:webHidden/>
              </w:rPr>
              <w:fldChar w:fldCharType="end"/>
            </w:r>
          </w:hyperlink>
        </w:p>
        <w:p w14:paraId="05540C86" w14:textId="45AF7A54" w:rsidR="00614C44" w:rsidRDefault="00000000">
          <w:pPr>
            <w:pStyle w:val="TOC3"/>
            <w:tabs>
              <w:tab w:val="left" w:pos="865"/>
              <w:tab w:val="right" w:leader="dot" w:pos="9436"/>
            </w:tabs>
            <w:rPr>
              <w:rFonts w:eastAsiaTheme="minorEastAsia" w:cstheme="minorBidi"/>
              <w:noProof/>
              <w:lang w:val="en-US"/>
            </w:rPr>
          </w:pPr>
          <w:hyperlink w:anchor="_Toc127199291" w:history="1">
            <w:r w:rsidR="00614C44" w:rsidRPr="00FE24AD">
              <w:rPr>
                <w:rStyle w:val="Hyperlink"/>
                <w:noProof/>
              </w:rPr>
              <w:t>4.4.6.</w:t>
            </w:r>
            <w:r w:rsidR="00614C44">
              <w:rPr>
                <w:rFonts w:eastAsiaTheme="minorEastAsia" w:cstheme="minorBidi"/>
                <w:noProof/>
                <w:lang w:val="en-US"/>
              </w:rPr>
              <w:tab/>
            </w:r>
            <w:r w:rsidR="00614C44" w:rsidRPr="00FE24AD">
              <w:rPr>
                <w:rStyle w:val="Hyperlink"/>
                <w:noProof/>
              </w:rPr>
              <w:t>DEPLASĂRI VELO</w:t>
            </w:r>
            <w:r w:rsidR="00614C44">
              <w:rPr>
                <w:noProof/>
                <w:webHidden/>
              </w:rPr>
              <w:tab/>
            </w:r>
            <w:r w:rsidR="00614C44">
              <w:rPr>
                <w:noProof/>
                <w:webHidden/>
              </w:rPr>
              <w:fldChar w:fldCharType="begin"/>
            </w:r>
            <w:r w:rsidR="00614C44">
              <w:rPr>
                <w:noProof/>
                <w:webHidden/>
              </w:rPr>
              <w:instrText xml:space="preserve"> PAGEREF _Toc127199291 \h </w:instrText>
            </w:r>
            <w:r w:rsidR="00614C44">
              <w:rPr>
                <w:noProof/>
                <w:webHidden/>
              </w:rPr>
            </w:r>
            <w:r w:rsidR="00614C44">
              <w:rPr>
                <w:noProof/>
                <w:webHidden/>
              </w:rPr>
              <w:fldChar w:fldCharType="separate"/>
            </w:r>
            <w:r w:rsidR="005A6DD8">
              <w:rPr>
                <w:noProof/>
                <w:webHidden/>
              </w:rPr>
              <w:t>232</w:t>
            </w:r>
            <w:r w:rsidR="00614C44">
              <w:rPr>
                <w:noProof/>
                <w:webHidden/>
              </w:rPr>
              <w:fldChar w:fldCharType="end"/>
            </w:r>
          </w:hyperlink>
        </w:p>
        <w:p w14:paraId="047118FF" w14:textId="050760C4" w:rsidR="00614C44" w:rsidRDefault="00000000">
          <w:pPr>
            <w:pStyle w:val="TOC2"/>
            <w:tabs>
              <w:tab w:val="left" w:pos="554"/>
              <w:tab w:val="right" w:leader="dot" w:pos="9436"/>
            </w:tabs>
            <w:rPr>
              <w:rFonts w:eastAsiaTheme="minorEastAsia" w:cstheme="minorBidi"/>
              <w:noProof/>
              <w:lang w:val="en-US"/>
            </w:rPr>
          </w:pPr>
          <w:hyperlink w:anchor="_Toc127199292" w:history="1">
            <w:r w:rsidR="00614C44" w:rsidRPr="00FE24AD">
              <w:rPr>
                <w:rStyle w:val="Hyperlink"/>
                <w:noProof/>
              </w:rPr>
              <w:t>4.5.</w:t>
            </w:r>
            <w:r w:rsidR="00614C44">
              <w:rPr>
                <w:rFonts w:eastAsiaTheme="minorEastAsia" w:cstheme="minorBidi"/>
                <w:noProof/>
                <w:lang w:val="en-US"/>
              </w:rPr>
              <w:tab/>
            </w:r>
            <w:r w:rsidR="00614C44" w:rsidRPr="00FE24AD">
              <w:rPr>
                <w:rStyle w:val="Hyperlink"/>
                <w:noProof/>
              </w:rPr>
              <w:t>MEDIU ŞI SCHIMBĂRI CLIMATICE</w:t>
            </w:r>
            <w:r w:rsidR="00614C44">
              <w:rPr>
                <w:noProof/>
                <w:webHidden/>
              </w:rPr>
              <w:tab/>
            </w:r>
            <w:r w:rsidR="00614C44">
              <w:rPr>
                <w:noProof/>
                <w:webHidden/>
              </w:rPr>
              <w:fldChar w:fldCharType="begin"/>
            </w:r>
            <w:r w:rsidR="00614C44">
              <w:rPr>
                <w:noProof/>
                <w:webHidden/>
              </w:rPr>
              <w:instrText xml:space="preserve"> PAGEREF _Toc127199292 \h </w:instrText>
            </w:r>
            <w:r w:rsidR="00614C44">
              <w:rPr>
                <w:noProof/>
                <w:webHidden/>
              </w:rPr>
            </w:r>
            <w:r w:rsidR="00614C44">
              <w:rPr>
                <w:noProof/>
                <w:webHidden/>
              </w:rPr>
              <w:fldChar w:fldCharType="separate"/>
            </w:r>
            <w:r w:rsidR="005A6DD8">
              <w:rPr>
                <w:noProof/>
                <w:webHidden/>
              </w:rPr>
              <w:t>237</w:t>
            </w:r>
            <w:r w:rsidR="00614C44">
              <w:rPr>
                <w:noProof/>
                <w:webHidden/>
              </w:rPr>
              <w:fldChar w:fldCharType="end"/>
            </w:r>
          </w:hyperlink>
        </w:p>
        <w:p w14:paraId="01D8977A" w14:textId="3F04B505" w:rsidR="00614C44" w:rsidRDefault="00000000">
          <w:pPr>
            <w:pStyle w:val="TOC3"/>
            <w:tabs>
              <w:tab w:val="left" w:pos="865"/>
              <w:tab w:val="right" w:leader="dot" w:pos="9436"/>
            </w:tabs>
            <w:rPr>
              <w:rFonts w:eastAsiaTheme="minorEastAsia" w:cstheme="minorBidi"/>
              <w:noProof/>
              <w:lang w:val="en-US"/>
            </w:rPr>
          </w:pPr>
          <w:hyperlink w:anchor="_Toc127199293" w:history="1">
            <w:r w:rsidR="00614C44" w:rsidRPr="00FE24AD">
              <w:rPr>
                <w:rStyle w:val="Hyperlink"/>
                <w:noProof/>
              </w:rPr>
              <w:t>4.5.1.</w:t>
            </w:r>
            <w:r w:rsidR="00614C44">
              <w:rPr>
                <w:rFonts w:eastAsiaTheme="minorEastAsia" w:cstheme="minorBidi"/>
                <w:noProof/>
                <w:lang w:val="en-US"/>
              </w:rPr>
              <w:tab/>
            </w:r>
            <w:r w:rsidR="00614C44" w:rsidRPr="00FE24AD">
              <w:rPr>
                <w:rStyle w:val="Hyperlink"/>
                <w:noProof/>
              </w:rPr>
              <w:t>CADRUL NATURAL - FACTOR AL DEZVOLTĂRII</w:t>
            </w:r>
            <w:r w:rsidR="00614C44">
              <w:rPr>
                <w:noProof/>
                <w:webHidden/>
              </w:rPr>
              <w:tab/>
            </w:r>
            <w:r w:rsidR="00614C44">
              <w:rPr>
                <w:noProof/>
                <w:webHidden/>
              </w:rPr>
              <w:fldChar w:fldCharType="begin"/>
            </w:r>
            <w:r w:rsidR="00614C44">
              <w:rPr>
                <w:noProof/>
                <w:webHidden/>
              </w:rPr>
              <w:instrText xml:space="preserve"> PAGEREF _Toc127199293 \h </w:instrText>
            </w:r>
            <w:r w:rsidR="00614C44">
              <w:rPr>
                <w:noProof/>
                <w:webHidden/>
              </w:rPr>
            </w:r>
            <w:r w:rsidR="00614C44">
              <w:rPr>
                <w:noProof/>
                <w:webHidden/>
              </w:rPr>
              <w:fldChar w:fldCharType="separate"/>
            </w:r>
            <w:r w:rsidR="005A6DD8">
              <w:rPr>
                <w:noProof/>
                <w:webHidden/>
              </w:rPr>
              <w:t>237</w:t>
            </w:r>
            <w:r w:rsidR="00614C44">
              <w:rPr>
                <w:noProof/>
                <w:webHidden/>
              </w:rPr>
              <w:fldChar w:fldCharType="end"/>
            </w:r>
          </w:hyperlink>
        </w:p>
        <w:p w14:paraId="6D37D692" w14:textId="7045918D" w:rsidR="00614C44" w:rsidRDefault="00000000">
          <w:pPr>
            <w:pStyle w:val="TOC3"/>
            <w:tabs>
              <w:tab w:val="left" w:pos="865"/>
              <w:tab w:val="right" w:leader="dot" w:pos="9436"/>
            </w:tabs>
            <w:rPr>
              <w:rFonts w:eastAsiaTheme="minorEastAsia" w:cstheme="minorBidi"/>
              <w:noProof/>
              <w:lang w:val="en-US"/>
            </w:rPr>
          </w:pPr>
          <w:hyperlink w:anchor="_Toc127199294" w:history="1">
            <w:r w:rsidR="00614C44" w:rsidRPr="00FE24AD">
              <w:rPr>
                <w:rStyle w:val="Hyperlink"/>
                <w:noProof/>
              </w:rPr>
              <w:t>4.5.2.</w:t>
            </w:r>
            <w:r w:rsidR="00614C44">
              <w:rPr>
                <w:rFonts w:eastAsiaTheme="minorEastAsia" w:cstheme="minorBidi"/>
                <w:noProof/>
                <w:lang w:val="en-US"/>
              </w:rPr>
              <w:tab/>
            </w:r>
            <w:r w:rsidR="00614C44" w:rsidRPr="00FE24AD">
              <w:rPr>
                <w:rStyle w:val="Hyperlink"/>
                <w:noProof/>
              </w:rPr>
              <w:t>CALITATEA FACTORILOR DE MEDIU</w:t>
            </w:r>
            <w:r w:rsidR="00614C44">
              <w:rPr>
                <w:noProof/>
                <w:webHidden/>
              </w:rPr>
              <w:tab/>
            </w:r>
            <w:r w:rsidR="00614C44">
              <w:rPr>
                <w:noProof/>
                <w:webHidden/>
              </w:rPr>
              <w:fldChar w:fldCharType="begin"/>
            </w:r>
            <w:r w:rsidR="00614C44">
              <w:rPr>
                <w:noProof/>
                <w:webHidden/>
              </w:rPr>
              <w:instrText xml:space="preserve"> PAGEREF _Toc127199294 \h </w:instrText>
            </w:r>
            <w:r w:rsidR="00614C44">
              <w:rPr>
                <w:noProof/>
                <w:webHidden/>
              </w:rPr>
            </w:r>
            <w:r w:rsidR="00614C44">
              <w:rPr>
                <w:noProof/>
                <w:webHidden/>
              </w:rPr>
              <w:fldChar w:fldCharType="separate"/>
            </w:r>
            <w:r w:rsidR="005A6DD8">
              <w:rPr>
                <w:noProof/>
                <w:webHidden/>
              </w:rPr>
              <w:t>245</w:t>
            </w:r>
            <w:r w:rsidR="00614C44">
              <w:rPr>
                <w:noProof/>
                <w:webHidden/>
              </w:rPr>
              <w:fldChar w:fldCharType="end"/>
            </w:r>
          </w:hyperlink>
        </w:p>
        <w:p w14:paraId="122F822D" w14:textId="34E7AD74" w:rsidR="00614C44" w:rsidRDefault="00000000">
          <w:pPr>
            <w:pStyle w:val="TOC2"/>
            <w:tabs>
              <w:tab w:val="left" w:pos="554"/>
              <w:tab w:val="right" w:leader="dot" w:pos="9436"/>
            </w:tabs>
            <w:rPr>
              <w:rFonts w:eastAsiaTheme="minorEastAsia" w:cstheme="minorBidi"/>
              <w:noProof/>
              <w:lang w:val="en-US"/>
            </w:rPr>
          </w:pPr>
          <w:hyperlink w:anchor="_Toc127199295" w:history="1">
            <w:r w:rsidR="00614C44" w:rsidRPr="00FE24AD">
              <w:rPr>
                <w:rStyle w:val="Hyperlink"/>
                <w:noProof/>
              </w:rPr>
              <w:t>4.6.</w:t>
            </w:r>
            <w:r w:rsidR="00614C44">
              <w:rPr>
                <w:rFonts w:eastAsiaTheme="minorEastAsia" w:cstheme="minorBidi"/>
                <w:noProof/>
                <w:lang w:val="en-US"/>
              </w:rPr>
              <w:tab/>
            </w:r>
            <w:r w:rsidR="00614C44" w:rsidRPr="00FE24AD">
              <w:rPr>
                <w:rStyle w:val="Hyperlink"/>
                <w:noProof/>
              </w:rPr>
              <w:t>CAPACITATE ADMINISTRATIVĂ</w:t>
            </w:r>
            <w:r w:rsidR="00614C44">
              <w:rPr>
                <w:noProof/>
                <w:webHidden/>
              </w:rPr>
              <w:tab/>
            </w:r>
            <w:r w:rsidR="00614C44">
              <w:rPr>
                <w:noProof/>
                <w:webHidden/>
              </w:rPr>
              <w:fldChar w:fldCharType="begin"/>
            </w:r>
            <w:r w:rsidR="00614C44">
              <w:rPr>
                <w:noProof/>
                <w:webHidden/>
              </w:rPr>
              <w:instrText xml:space="preserve"> PAGEREF _Toc127199295 \h </w:instrText>
            </w:r>
            <w:r w:rsidR="00614C44">
              <w:rPr>
                <w:noProof/>
                <w:webHidden/>
              </w:rPr>
            </w:r>
            <w:r w:rsidR="00614C44">
              <w:rPr>
                <w:noProof/>
                <w:webHidden/>
              </w:rPr>
              <w:fldChar w:fldCharType="separate"/>
            </w:r>
            <w:r w:rsidR="005A6DD8">
              <w:rPr>
                <w:noProof/>
                <w:webHidden/>
              </w:rPr>
              <w:t>250</w:t>
            </w:r>
            <w:r w:rsidR="00614C44">
              <w:rPr>
                <w:noProof/>
                <w:webHidden/>
              </w:rPr>
              <w:fldChar w:fldCharType="end"/>
            </w:r>
          </w:hyperlink>
        </w:p>
        <w:p w14:paraId="43A1A860" w14:textId="1A504A31" w:rsidR="00614C44" w:rsidRDefault="00000000">
          <w:pPr>
            <w:pStyle w:val="TOC3"/>
            <w:tabs>
              <w:tab w:val="left" w:pos="865"/>
              <w:tab w:val="right" w:leader="dot" w:pos="9436"/>
            </w:tabs>
            <w:rPr>
              <w:rFonts w:eastAsiaTheme="minorEastAsia" w:cstheme="minorBidi"/>
              <w:noProof/>
              <w:lang w:val="en-US"/>
            </w:rPr>
          </w:pPr>
          <w:hyperlink w:anchor="_Toc127199296" w:history="1">
            <w:r w:rsidR="00614C44" w:rsidRPr="00FE24AD">
              <w:rPr>
                <w:rStyle w:val="Hyperlink"/>
                <w:noProof/>
              </w:rPr>
              <w:t>4.6.1.</w:t>
            </w:r>
            <w:r w:rsidR="00614C44">
              <w:rPr>
                <w:rFonts w:eastAsiaTheme="minorEastAsia" w:cstheme="minorBidi"/>
                <w:noProof/>
                <w:lang w:val="en-US"/>
              </w:rPr>
              <w:tab/>
            </w:r>
            <w:r w:rsidR="00614C44" w:rsidRPr="00FE24AD">
              <w:rPr>
                <w:rStyle w:val="Hyperlink"/>
                <w:noProof/>
              </w:rPr>
              <w:t>ANALIZA MEDIULUI INTERN</w:t>
            </w:r>
            <w:r w:rsidR="00614C44">
              <w:rPr>
                <w:noProof/>
                <w:webHidden/>
              </w:rPr>
              <w:tab/>
            </w:r>
            <w:r w:rsidR="00614C44">
              <w:rPr>
                <w:noProof/>
                <w:webHidden/>
              </w:rPr>
              <w:fldChar w:fldCharType="begin"/>
            </w:r>
            <w:r w:rsidR="00614C44">
              <w:rPr>
                <w:noProof/>
                <w:webHidden/>
              </w:rPr>
              <w:instrText xml:space="preserve"> PAGEREF _Toc127199296 \h </w:instrText>
            </w:r>
            <w:r w:rsidR="00614C44">
              <w:rPr>
                <w:noProof/>
                <w:webHidden/>
              </w:rPr>
            </w:r>
            <w:r w:rsidR="00614C44">
              <w:rPr>
                <w:noProof/>
                <w:webHidden/>
              </w:rPr>
              <w:fldChar w:fldCharType="separate"/>
            </w:r>
            <w:r w:rsidR="005A6DD8">
              <w:rPr>
                <w:noProof/>
                <w:webHidden/>
              </w:rPr>
              <w:t>252</w:t>
            </w:r>
            <w:r w:rsidR="00614C44">
              <w:rPr>
                <w:noProof/>
                <w:webHidden/>
              </w:rPr>
              <w:fldChar w:fldCharType="end"/>
            </w:r>
          </w:hyperlink>
        </w:p>
        <w:p w14:paraId="2BC55546" w14:textId="1539BA17" w:rsidR="00614C44" w:rsidRDefault="00000000">
          <w:pPr>
            <w:pStyle w:val="TOC3"/>
            <w:tabs>
              <w:tab w:val="left" w:pos="865"/>
              <w:tab w:val="right" w:leader="dot" w:pos="9436"/>
            </w:tabs>
            <w:rPr>
              <w:rFonts w:eastAsiaTheme="minorEastAsia" w:cstheme="minorBidi"/>
              <w:noProof/>
              <w:lang w:val="en-US"/>
            </w:rPr>
          </w:pPr>
          <w:hyperlink w:anchor="_Toc127199297" w:history="1">
            <w:r w:rsidR="00614C44" w:rsidRPr="00FE24AD">
              <w:rPr>
                <w:rStyle w:val="Hyperlink"/>
                <w:noProof/>
              </w:rPr>
              <w:t>4.6.2.</w:t>
            </w:r>
            <w:r w:rsidR="00614C44">
              <w:rPr>
                <w:rFonts w:eastAsiaTheme="minorEastAsia" w:cstheme="minorBidi"/>
                <w:noProof/>
                <w:lang w:val="en-US"/>
              </w:rPr>
              <w:tab/>
            </w:r>
            <w:r w:rsidR="00614C44" w:rsidRPr="00FE24AD">
              <w:rPr>
                <w:rStyle w:val="Hyperlink"/>
                <w:noProof/>
              </w:rPr>
              <w:t>SISTEMUL DE PROCEDURI LA NIVELUL PRIMĂRIEI SECTORULUI 2</w:t>
            </w:r>
            <w:r w:rsidR="00614C44">
              <w:rPr>
                <w:noProof/>
                <w:webHidden/>
              </w:rPr>
              <w:tab/>
            </w:r>
            <w:r w:rsidR="00614C44">
              <w:rPr>
                <w:noProof/>
                <w:webHidden/>
              </w:rPr>
              <w:fldChar w:fldCharType="begin"/>
            </w:r>
            <w:r w:rsidR="00614C44">
              <w:rPr>
                <w:noProof/>
                <w:webHidden/>
              </w:rPr>
              <w:instrText xml:space="preserve"> PAGEREF _Toc127199297 \h </w:instrText>
            </w:r>
            <w:r w:rsidR="00614C44">
              <w:rPr>
                <w:noProof/>
                <w:webHidden/>
              </w:rPr>
            </w:r>
            <w:r w:rsidR="00614C44">
              <w:rPr>
                <w:noProof/>
                <w:webHidden/>
              </w:rPr>
              <w:fldChar w:fldCharType="separate"/>
            </w:r>
            <w:r w:rsidR="005A6DD8">
              <w:rPr>
                <w:noProof/>
                <w:webHidden/>
              </w:rPr>
              <w:t>264</w:t>
            </w:r>
            <w:r w:rsidR="00614C44">
              <w:rPr>
                <w:noProof/>
                <w:webHidden/>
              </w:rPr>
              <w:fldChar w:fldCharType="end"/>
            </w:r>
          </w:hyperlink>
        </w:p>
        <w:p w14:paraId="4C653592" w14:textId="66F3381B" w:rsidR="00614C44" w:rsidRDefault="00000000">
          <w:pPr>
            <w:pStyle w:val="TOC3"/>
            <w:tabs>
              <w:tab w:val="left" w:pos="865"/>
              <w:tab w:val="right" w:leader="dot" w:pos="9436"/>
            </w:tabs>
            <w:rPr>
              <w:rFonts w:eastAsiaTheme="minorEastAsia" w:cstheme="minorBidi"/>
              <w:noProof/>
              <w:lang w:val="en-US"/>
            </w:rPr>
          </w:pPr>
          <w:hyperlink w:anchor="_Toc127199298" w:history="1">
            <w:r w:rsidR="00614C44" w:rsidRPr="00FE24AD">
              <w:rPr>
                <w:rStyle w:val="Hyperlink"/>
                <w:noProof/>
              </w:rPr>
              <w:t>4.6.3.</w:t>
            </w:r>
            <w:r w:rsidR="00614C44">
              <w:rPr>
                <w:rFonts w:eastAsiaTheme="minorEastAsia" w:cstheme="minorBidi"/>
                <w:noProof/>
                <w:lang w:val="en-US"/>
              </w:rPr>
              <w:tab/>
            </w:r>
            <w:r w:rsidR="00614C44" w:rsidRPr="00FE24AD">
              <w:rPr>
                <w:rStyle w:val="Hyperlink"/>
                <w:noProof/>
              </w:rPr>
              <w:t>CAPACITATE FINANCIARĂ. ANALIZA RESURSELOR FINANCIARE</w:t>
            </w:r>
            <w:r w:rsidR="00614C44">
              <w:rPr>
                <w:noProof/>
                <w:webHidden/>
              </w:rPr>
              <w:tab/>
            </w:r>
            <w:r w:rsidR="00614C44">
              <w:rPr>
                <w:noProof/>
                <w:webHidden/>
              </w:rPr>
              <w:fldChar w:fldCharType="begin"/>
            </w:r>
            <w:r w:rsidR="00614C44">
              <w:rPr>
                <w:noProof/>
                <w:webHidden/>
              </w:rPr>
              <w:instrText xml:space="preserve"> PAGEREF _Toc127199298 \h </w:instrText>
            </w:r>
            <w:r w:rsidR="00614C44">
              <w:rPr>
                <w:noProof/>
                <w:webHidden/>
              </w:rPr>
            </w:r>
            <w:r w:rsidR="00614C44">
              <w:rPr>
                <w:noProof/>
                <w:webHidden/>
              </w:rPr>
              <w:fldChar w:fldCharType="separate"/>
            </w:r>
            <w:r w:rsidR="005A6DD8">
              <w:rPr>
                <w:noProof/>
                <w:webHidden/>
              </w:rPr>
              <w:t>265</w:t>
            </w:r>
            <w:r w:rsidR="00614C44">
              <w:rPr>
                <w:noProof/>
                <w:webHidden/>
              </w:rPr>
              <w:fldChar w:fldCharType="end"/>
            </w:r>
          </w:hyperlink>
        </w:p>
        <w:p w14:paraId="61C50564" w14:textId="22339CD9" w:rsidR="00614C44" w:rsidRDefault="00000000">
          <w:pPr>
            <w:pStyle w:val="TOC3"/>
            <w:tabs>
              <w:tab w:val="left" w:pos="865"/>
              <w:tab w:val="right" w:leader="dot" w:pos="9436"/>
            </w:tabs>
            <w:rPr>
              <w:rFonts w:eastAsiaTheme="minorEastAsia" w:cstheme="minorBidi"/>
              <w:noProof/>
              <w:lang w:val="en-US"/>
            </w:rPr>
          </w:pPr>
          <w:hyperlink w:anchor="_Toc127199299" w:history="1">
            <w:r w:rsidR="00614C44" w:rsidRPr="00FE24AD">
              <w:rPr>
                <w:rStyle w:val="Hyperlink"/>
                <w:noProof/>
              </w:rPr>
              <w:t>4.6.4.</w:t>
            </w:r>
            <w:r w:rsidR="00614C44">
              <w:rPr>
                <w:rFonts w:eastAsiaTheme="minorEastAsia" w:cstheme="minorBidi"/>
                <w:noProof/>
                <w:lang w:val="en-US"/>
              </w:rPr>
              <w:tab/>
            </w:r>
            <w:r w:rsidR="00614C44" w:rsidRPr="00FE24AD">
              <w:rPr>
                <w:rStyle w:val="Hyperlink"/>
                <w:noProof/>
              </w:rPr>
              <w:t>ANALIZA PLANIFICĂRII BUGETARE</w:t>
            </w:r>
            <w:r w:rsidR="00614C44">
              <w:rPr>
                <w:noProof/>
                <w:webHidden/>
              </w:rPr>
              <w:tab/>
            </w:r>
            <w:r w:rsidR="00614C44">
              <w:rPr>
                <w:noProof/>
                <w:webHidden/>
              </w:rPr>
              <w:fldChar w:fldCharType="begin"/>
            </w:r>
            <w:r w:rsidR="00614C44">
              <w:rPr>
                <w:noProof/>
                <w:webHidden/>
              </w:rPr>
              <w:instrText xml:space="preserve"> PAGEREF _Toc127199299 \h </w:instrText>
            </w:r>
            <w:r w:rsidR="00614C44">
              <w:rPr>
                <w:noProof/>
                <w:webHidden/>
              </w:rPr>
            </w:r>
            <w:r w:rsidR="00614C44">
              <w:rPr>
                <w:noProof/>
                <w:webHidden/>
              </w:rPr>
              <w:fldChar w:fldCharType="separate"/>
            </w:r>
            <w:r w:rsidR="005A6DD8">
              <w:rPr>
                <w:noProof/>
                <w:webHidden/>
              </w:rPr>
              <w:t>267</w:t>
            </w:r>
            <w:r w:rsidR="00614C44">
              <w:rPr>
                <w:noProof/>
                <w:webHidden/>
              </w:rPr>
              <w:fldChar w:fldCharType="end"/>
            </w:r>
          </w:hyperlink>
        </w:p>
        <w:p w14:paraId="5E6CC7FC" w14:textId="094B1F17" w:rsidR="00614C44" w:rsidRDefault="00000000">
          <w:pPr>
            <w:pStyle w:val="TOC3"/>
            <w:tabs>
              <w:tab w:val="left" w:pos="865"/>
              <w:tab w:val="right" w:leader="dot" w:pos="9436"/>
            </w:tabs>
            <w:rPr>
              <w:rFonts w:eastAsiaTheme="minorEastAsia" w:cstheme="minorBidi"/>
              <w:noProof/>
              <w:lang w:val="en-US"/>
            </w:rPr>
          </w:pPr>
          <w:hyperlink w:anchor="_Toc127199300" w:history="1">
            <w:r w:rsidR="00614C44" w:rsidRPr="00FE24AD">
              <w:rPr>
                <w:rStyle w:val="Hyperlink"/>
                <w:noProof/>
              </w:rPr>
              <w:t>4.6.5.</w:t>
            </w:r>
            <w:r w:rsidR="00614C44">
              <w:rPr>
                <w:rFonts w:eastAsiaTheme="minorEastAsia" w:cstheme="minorBidi"/>
                <w:noProof/>
                <w:lang w:val="en-US"/>
              </w:rPr>
              <w:tab/>
            </w:r>
            <w:r w:rsidR="00614C44" w:rsidRPr="00FE24AD">
              <w:rPr>
                <w:rStyle w:val="Hyperlink"/>
                <w:noProof/>
              </w:rPr>
              <w:t>POLITICA DE INVESTIȚII LA NIVELUL PRIMĂRIEI SECTORULUI 2</w:t>
            </w:r>
            <w:r w:rsidR="00614C44">
              <w:rPr>
                <w:noProof/>
                <w:webHidden/>
              </w:rPr>
              <w:tab/>
            </w:r>
            <w:r w:rsidR="00614C44">
              <w:rPr>
                <w:noProof/>
                <w:webHidden/>
              </w:rPr>
              <w:fldChar w:fldCharType="begin"/>
            </w:r>
            <w:r w:rsidR="00614C44">
              <w:rPr>
                <w:noProof/>
                <w:webHidden/>
              </w:rPr>
              <w:instrText xml:space="preserve"> PAGEREF _Toc127199300 \h </w:instrText>
            </w:r>
            <w:r w:rsidR="00614C44">
              <w:rPr>
                <w:noProof/>
                <w:webHidden/>
              </w:rPr>
            </w:r>
            <w:r w:rsidR="00614C44">
              <w:rPr>
                <w:noProof/>
                <w:webHidden/>
              </w:rPr>
              <w:fldChar w:fldCharType="separate"/>
            </w:r>
            <w:r w:rsidR="005A6DD8">
              <w:rPr>
                <w:noProof/>
                <w:webHidden/>
              </w:rPr>
              <w:t>274</w:t>
            </w:r>
            <w:r w:rsidR="00614C44">
              <w:rPr>
                <w:noProof/>
                <w:webHidden/>
              </w:rPr>
              <w:fldChar w:fldCharType="end"/>
            </w:r>
          </w:hyperlink>
        </w:p>
        <w:p w14:paraId="0E40F5A7" w14:textId="39CDD4E3" w:rsidR="00614C44" w:rsidRDefault="00000000">
          <w:pPr>
            <w:pStyle w:val="TOC3"/>
            <w:tabs>
              <w:tab w:val="left" w:pos="865"/>
              <w:tab w:val="right" w:leader="dot" w:pos="9436"/>
            </w:tabs>
            <w:rPr>
              <w:rFonts w:eastAsiaTheme="minorEastAsia" w:cstheme="minorBidi"/>
              <w:noProof/>
              <w:lang w:val="en-US"/>
            </w:rPr>
          </w:pPr>
          <w:hyperlink w:anchor="_Toc127199301" w:history="1">
            <w:r w:rsidR="00614C44" w:rsidRPr="00FE24AD">
              <w:rPr>
                <w:rStyle w:val="Hyperlink"/>
                <w:noProof/>
              </w:rPr>
              <w:t>4.6.6.</w:t>
            </w:r>
            <w:r w:rsidR="00614C44">
              <w:rPr>
                <w:rFonts w:eastAsiaTheme="minorEastAsia" w:cstheme="minorBidi"/>
                <w:noProof/>
                <w:lang w:val="en-US"/>
              </w:rPr>
              <w:tab/>
            </w:r>
            <w:r w:rsidR="00614C44" w:rsidRPr="00FE24AD">
              <w:rPr>
                <w:rStyle w:val="Hyperlink"/>
                <w:noProof/>
              </w:rPr>
              <w:t>RESURSE MATERIALE</w:t>
            </w:r>
            <w:r w:rsidR="00614C44">
              <w:rPr>
                <w:noProof/>
                <w:webHidden/>
              </w:rPr>
              <w:tab/>
            </w:r>
            <w:r w:rsidR="00614C44">
              <w:rPr>
                <w:noProof/>
                <w:webHidden/>
              </w:rPr>
              <w:fldChar w:fldCharType="begin"/>
            </w:r>
            <w:r w:rsidR="00614C44">
              <w:rPr>
                <w:noProof/>
                <w:webHidden/>
              </w:rPr>
              <w:instrText xml:space="preserve"> PAGEREF _Toc127199301 \h </w:instrText>
            </w:r>
            <w:r w:rsidR="00614C44">
              <w:rPr>
                <w:noProof/>
                <w:webHidden/>
              </w:rPr>
            </w:r>
            <w:r w:rsidR="00614C44">
              <w:rPr>
                <w:noProof/>
                <w:webHidden/>
              </w:rPr>
              <w:fldChar w:fldCharType="separate"/>
            </w:r>
            <w:r w:rsidR="005A6DD8">
              <w:rPr>
                <w:noProof/>
                <w:webHidden/>
              </w:rPr>
              <w:t>277</w:t>
            </w:r>
            <w:r w:rsidR="00614C44">
              <w:rPr>
                <w:noProof/>
                <w:webHidden/>
              </w:rPr>
              <w:fldChar w:fldCharType="end"/>
            </w:r>
          </w:hyperlink>
        </w:p>
        <w:p w14:paraId="6D1CB8BE" w14:textId="71ABD91A" w:rsidR="00614C44" w:rsidRDefault="00000000">
          <w:pPr>
            <w:pStyle w:val="TOC3"/>
            <w:tabs>
              <w:tab w:val="left" w:pos="865"/>
              <w:tab w:val="right" w:leader="dot" w:pos="9436"/>
            </w:tabs>
            <w:rPr>
              <w:rFonts w:eastAsiaTheme="minorEastAsia" w:cstheme="minorBidi"/>
              <w:noProof/>
              <w:lang w:val="en-US"/>
            </w:rPr>
          </w:pPr>
          <w:hyperlink w:anchor="_Toc127199302" w:history="1">
            <w:r w:rsidR="00614C44" w:rsidRPr="00FE24AD">
              <w:rPr>
                <w:rStyle w:val="Hyperlink"/>
                <w:noProof/>
              </w:rPr>
              <w:t>4.6.7.</w:t>
            </w:r>
            <w:r w:rsidR="00614C44">
              <w:rPr>
                <w:rFonts w:eastAsiaTheme="minorEastAsia" w:cstheme="minorBidi"/>
                <w:noProof/>
                <w:lang w:val="en-US"/>
              </w:rPr>
              <w:tab/>
            </w:r>
            <w:r w:rsidR="00614C44" w:rsidRPr="00FE24AD">
              <w:rPr>
                <w:rStyle w:val="Hyperlink"/>
                <w:noProof/>
              </w:rPr>
              <w:t>TRANSPARENȚA, CONSULTĂRILE PUBLICE ȘI ACCESUL LA INFORMAȚIILE DE INTERES PUBLIC</w:t>
            </w:r>
            <w:r w:rsidR="00614C44">
              <w:rPr>
                <w:noProof/>
                <w:webHidden/>
              </w:rPr>
              <w:tab/>
            </w:r>
            <w:r w:rsidR="00614C44">
              <w:rPr>
                <w:noProof/>
                <w:webHidden/>
              </w:rPr>
              <w:fldChar w:fldCharType="begin"/>
            </w:r>
            <w:r w:rsidR="00614C44">
              <w:rPr>
                <w:noProof/>
                <w:webHidden/>
              </w:rPr>
              <w:instrText xml:space="preserve"> PAGEREF _Toc127199302 \h </w:instrText>
            </w:r>
            <w:r w:rsidR="00614C44">
              <w:rPr>
                <w:noProof/>
                <w:webHidden/>
              </w:rPr>
            </w:r>
            <w:r w:rsidR="00614C44">
              <w:rPr>
                <w:noProof/>
                <w:webHidden/>
              </w:rPr>
              <w:fldChar w:fldCharType="separate"/>
            </w:r>
            <w:r w:rsidR="005A6DD8">
              <w:rPr>
                <w:noProof/>
                <w:webHidden/>
              </w:rPr>
              <w:t>279</w:t>
            </w:r>
            <w:r w:rsidR="00614C44">
              <w:rPr>
                <w:noProof/>
                <w:webHidden/>
              </w:rPr>
              <w:fldChar w:fldCharType="end"/>
            </w:r>
          </w:hyperlink>
        </w:p>
        <w:p w14:paraId="01E85041" w14:textId="7952197F" w:rsidR="00614C44" w:rsidRDefault="00000000">
          <w:pPr>
            <w:pStyle w:val="TOC1"/>
            <w:rPr>
              <w:rFonts w:eastAsiaTheme="minorEastAsia" w:cstheme="minorBidi"/>
              <w:b w:val="0"/>
              <w:bCs w:val="0"/>
              <w:smallCaps w:val="0"/>
              <w:color w:val="auto"/>
              <w:lang w:val="en-US"/>
            </w:rPr>
          </w:pPr>
          <w:hyperlink w:anchor="_Toc127199303" w:history="1">
            <w:r w:rsidR="00614C44" w:rsidRPr="00FE24AD">
              <w:rPr>
                <w:rStyle w:val="Hyperlink"/>
              </w:rPr>
              <w:t>5.</w:t>
            </w:r>
            <w:r w:rsidR="00614C44">
              <w:rPr>
                <w:rFonts w:eastAsiaTheme="minorEastAsia" w:cstheme="minorBidi"/>
                <w:b w:val="0"/>
                <w:bCs w:val="0"/>
                <w:smallCaps w:val="0"/>
                <w:color w:val="auto"/>
                <w:lang w:val="en-US"/>
              </w:rPr>
              <w:tab/>
            </w:r>
            <w:r w:rsidR="00614C44" w:rsidRPr="00FE24AD">
              <w:rPr>
                <w:rStyle w:val="Hyperlink"/>
              </w:rPr>
              <w:t>ANALIZA SWOT</w:t>
            </w:r>
            <w:r w:rsidR="00614C44">
              <w:rPr>
                <w:webHidden/>
              </w:rPr>
              <w:tab/>
            </w:r>
            <w:r w:rsidR="00614C44">
              <w:rPr>
                <w:webHidden/>
              </w:rPr>
              <w:fldChar w:fldCharType="begin"/>
            </w:r>
            <w:r w:rsidR="00614C44">
              <w:rPr>
                <w:webHidden/>
              </w:rPr>
              <w:instrText xml:space="preserve"> PAGEREF _Toc127199303 \h </w:instrText>
            </w:r>
            <w:r w:rsidR="00614C44">
              <w:rPr>
                <w:webHidden/>
              </w:rPr>
            </w:r>
            <w:r w:rsidR="00614C44">
              <w:rPr>
                <w:webHidden/>
              </w:rPr>
              <w:fldChar w:fldCharType="separate"/>
            </w:r>
            <w:r w:rsidR="005A6DD8">
              <w:rPr>
                <w:webHidden/>
              </w:rPr>
              <w:t>284</w:t>
            </w:r>
            <w:r w:rsidR="00614C44">
              <w:rPr>
                <w:webHidden/>
              </w:rPr>
              <w:fldChar w:fldCharType="end"/>
            </w:r>
          </w:hyperlink>
        </w:p>
        <w:p w14:paraId="485B9193" w14:textId="3D7DF16B" w:rsidR="00614C44" w:rsidRDefault="00000000">
          <w:pPr>
            <w:pStyle w:val="TOC1"/>
            <w:rPr>
              <w:rFonts w:eastAsiaTheme="minorEastAsia" w:cstheme="minorBidi"/>
              <w:b w:val="0"/>
              <w:bCs w:val="0"/>
              <w:smallCaps w:val="0"/>
              <w:color w:val="auto"/>
              <w:lang w:val="en-US"/>
            </w:rPr>
          </w:pPr>
          <w:hyperlink w:anchor="_Toc127199304" w:history="1">
            <w:r w:rsidR="00614C44" w:rsidRPr="00FE24AD">
              <w:rPr>
                <w:rStyle w:val="Hyperlink"/>
              </w:rPr>
              <w:t>6.</w:t>
            </w:r>
            <w:r w:rsidR="00614C44">
              <w:rPr>
                <w:rFonts w:eastAsiaTheme="minorEastAsia" w:cstheme="minorBidi"/>
                <w:b w:val="0"/>
                <w:bCs w:val="0"/>
                <w:smallCaps w:val="0"/>
                <w:color w:val="auto"/>
                <w:lang w:val="en-US"/>
              </w:rPr>
              <w:tab/>
            </w:r>
            <w:r w:rsidR="00614C44" w:rsidRPr="00FE24AD">
              <w:rPr>
                <w:rStyle w:val="Hyperlink"/>
              </w:rPr>
              <w:t>DIAGNOSTIC</w:t>
            </w:r>
            <w:r w:rsidR="00614C44">
              <w:rPr>
                <w:webHidden/>
              </w:rPr>
              <w:tab/>
            </w:r>
            <w:r w:rsidR="00614C44">
              <w:rPr>
                <w:webHidden/>
              </w:rPr>
              <w:fldChar w:fldCharType="begin"/>
            </w:r>
            <w:r w:rsidR="00614C44">
              <w:rPr>
                <w:webHidden/>
              </w:rPr>
              <w:instrText xml:space="preserve"> PAGEREF _Toc127199304 \h </w:instrText>
            </w:r>
            <w:r w:rsidR="00614C44">
              <w:rPr>
                <w:webHidden/>
              </w:rPr>
            </w:r>
            <w:r w:rsidR="00614C44">
              <w:rPr>
                <w:webHidden/>
              </w:rPr>
              <w:fldChar w:fldCharType="separate"/>
            </w:r>
            <w:r w:rsidR="005A6DD8">
              <w:rPr>
                <w:webHidden/>
              </w:rPr>
              <w:t>304</w:t>
            </w:r>
            <w:r w:rsidR="00614C44">
              <w:rPr>
                <w:webHidden/>
              </w:rPr>
              <w:fldChar w:fldCharType="end"/>
            </w:r>
          </w:hyperlink>
        </w:p>
        <w:p w14:paraId="7BEC8493" w14:textId="4D7AA7E3" w:rsidR="00614C44" w:rsidRDefault="00000000">
          <w:pPr>
            <w:pStyle w:val="TOC1"/>
            <w:rPr>
              <w:rFonts w:eastAsiaTheme="minorEastAsia" w:cstheme="minorBidi"/>
              <w:b w:val="0"/>
              <w:bCs w:val="0"/>
              <w:smallCaps w:val="0"/>
              <w:color w:val="auto"/>
              <w:lang w:val="en-US"/>
            </w:rPr>
          </w:pPr>
          <w:hyperlink w:anchor="_Toc127199305" w:history="1">
            <w:r w:rsidR="00614C44" w:rsidRPr="00FE24AD">
              <w:rPr>
                <w:rStyle w:val="Hyperlink"/>
              </w:rPr>
              <w:t>7.</w:t>
            </w:r>
            <w:r w:rsidR="00614C44">
              <w:rPr>
                <w:rFonts w:eastAsiaTheme="minorEastAsia" w:cstheme="minorBidi"/>
                <w:b w:val="0"/>
                <w:bCs w:val="0"/>
                <w:smallCaps w:val="0"/>
                <w:color w:val="auto"/>
                <w:lang w:val="en-US"/>
              </w:rPr>
              <w:tab/>
            </w:r>
            <w:r w:rsidR="00614C44" w:rsidRPr="00FE24AD">
              <w:rPr>
                <w:rStyle w:val="Hyperlink"/>
              </w:rPr>
              <w:t>CONCLUZII, PROVOCĂRI ȘI POSIBILE PROPUNERI/INTERVENȚII</w:t>
            </w:r>
            <w:r w:rsidR="00614C44">
              <w:rPr>
                <w:webHidden/>
              </w:rPr>
              <w:tab/>
            </w:r>
            <w:r w:rsidR="00614C44">
              <w:rPr>
                <w:webHidden/>
              </w:rPr>
              <w:fldChar w:fldCharType="begin"/>
            </w:r>
            <w:r w:rsidR="00614C44">
              <w:rPr>
                <w:webHidden/>
              </w:rPr>
              <w:instrText xml:space="preserve"> PAGEREF _Toc127199305 \h </w:instrText>
            </w:r>
            <w:r w:rsidR="00614C44">
              <w:rPr>
                <w:webHidden/>
              </w:rPr>
            </w:r>
            <w:r w:rsidR="00614C44">
              <w:rPr>
                <w:webHidden/>
              </w:rPr>
              <w:fldChar w:fldCharType="separate"/>
            </w:r>
            <w:r w:rsidR="005A6DD8">
              <w:rPr>
                <w:webHidden/>
              </w:rPr>
              <w:t>311</w:t>
            </w:r>
            <w:r w:rsidR="00614C44">
              <w:rPr>
                <w:webHidden/>
              </w:rPr>
              <w:fldChar w:fldCharType="end"/>
            </w:r>
          </w:hyperlink>
        </w:p>
        <w:p w14:paraId="3BA6F9E2" w14:textId="6C941C88" w:rsidR="00614C44" w:rsidRDefault="00000000">
          <w:pPr>
            <w:pStyle w:val="TOC1"/>
            <w:rPr>
              <w:rFonts w:eastAsiaTheme="minorEastAsia" w:cstheme="minorBidi"/>
              <w:b w:val="0"/>
              <w:bCs w:val="0"/>
              <w:smallCaps w:val="0"/>
              <w:color w:val="auto"/>
              <w:lang w:val="en-US"/>
            </w:rPr>
          </w:pPr>
          <w:hyperlink w:anchor="_Toc127199306" w:history="1">
            <w:r w:rsidR="00614C44" w:rsidRPr="00FE24AD">
              <w:rPr>
                <w:rStyle w:val="Hyperlink"/>
              </w:rPr>
              <w:t>8.</w:t>
            </w:r>
            <w:r w:rsidR="00614C44">
              <w:rPr>
                <w:rFonts w:eastAsiaTheme="minorEastAsia" w:cstheme="minorBidi"/>
                <w:b w:val="0"/>
                <w:bCs w:val="0"/>
                <w:smallCaps w:val="0"/>
                <w:color w:val="auto"/>
                <w:lang w:val="en-US"/>
              </w:rPr>
              <w:tab/>
            </w:r>
            <w:r w:rsidR="00614C44" w:rsidRPr="00FE24AD">
              <w:rPr>
                <w:rStyle w:val="Hyperlink"/>
              </w:rPr>
              <w:t>PLANIFICARE STRATEGICĂ</w:t>
            </w:r>
            <w:r w:rsidR="00614C44">
              <w:rPr>
                <w:webHidden/>
              </w:rPr>
              <w:tab/>
            </w:r>
            <w:r w:rsidR="00614C44">
              <w:rPr>
                <w:webHidden/>
              </w:rPr>
              <w:fldChar w:fldCharType="begin"/>
            </w:r>
            <w:r w:rsidR="00614C44">
              <w:rPr>
                <w:webHidden/>
              </w:rPr>
              <w:instrText xml:space="preserve"> PAGEREF _Toc127199306 \h </w:instrText>
            </w:r>
            <w:r w:rsidR="00614C44">
              <w:rPr>
                <w:webHidden/>
              </w:rPr>
            </w:r>
            <w:r w:rsidR="00614C44">
              <w:rPr>
                <w:webHidden/>
              </w:rPr>
              <w:fldChar w:fldCharType="separate"/>
            </w:r>
            <w:r w:rsidR="005A6DD8">
              <w:rPr>
                <w:webHidden/>
              </w:rPr>
              <w:t>330</w:t>
            </w:r>
            <w:r w:rsidR="00614C44">
              <w:rPr>
                <w:webHidden/>
              </w:rPr>
              <w:fldChar w:fldCharType="end"/>
            </w:r>
          </w:hyperlink>
        </w:p>
        <w:p w14:paraId="0FCD1DF5" w14:textId="638A1A7E" w:rsidR="00614C44" w:rsidRDefault="00000000">
          <w:pPr>
            <w:pStyle w:val="TOC2"/>
            <w:tabs>
              <w:tab w:val="left" w:pos="554"/>
              <w:tab w:val="right" w:leader="dot" w:pos="9436"/>
            </w:tabs>
            <w:rPr>
              <w:rFonts w:eastAsiaTheme="minorEastAsia" w:cstheme="minorBidi"/>
              <w:noProof/>
              <w:lang w:val="en-US"/>
            </w:rPr>
          </w:pPr>
          <w:hyperlink w:anchor="_Toc127199307" w:history="1">
            <w:r w:rsidR="00614C44" w:rsidRPr="00FE24AD">
              <w:rPr>
                <w:rStyle w:val="Hyperlink"/>
                <w:noProof/>
              </w:rPr>
              <w:t>8.1.</w:t>
            </w:r>
            <w:r w:rsidR="00614C44">
              <w:rPr>
                <w:rFonts w:eastAsiaTheme="minorEastAsia" w:cstheme="minorBidi"/>
                <w:noProof/>
                <w:lang w:val="en-US"/>
              </w:rPr>
              <w:tab/>
            </w:r>
            <w:r w:rsidR="00614C44" w:rsidRPr="00FE24AD">
              <w:rPr>
                <w:rStyle w:val="Hyperlink"/>
                <w:noProof/>
              </w:rPr>
              <w:t>CONCEPTUL DE DEZVOLTARE PENTRU PERIOADA 2021 – 2027 și post 2027</w:t>
            </w:r>
            <w:r w:rsidR="00614C44">
              <w:rPr>
                <w:noProof/>
                <w:webHidden/>
              </w:rPr>
              <w:tab/>
            </w:r>
            <w:r w:rsidR="00614C44">
              <w:rPr>
                <w:noProof/>
                <w:webHidden/>
              </w:rPr>
              <w:fldChar w:fldCharType="begin"/>
            </w:r>
            <w:r w:rsidR="00614C44">
              <w:rPr>
                <w:noProof/>
                <w:webHidden/>
              </w:rPr>
              <w:instrText xml:space="preserve"> PAGEREF _Toc127199307 \h </w:instrText>
            </w:r>
            <w:r w:rsidR="00614C44">
              <w:rPr>
                <w:noProof/>
                <w:webHidden/>
              </w:rPr>
            </w:r>
            <w:r w:rsidR="00614C44">
              <w:rPr>
                <w:noProof/>
                <w:webHidden/>
              </w:rPr>
              <w:fldChar w:fldCharType="separate"/>
            </w:r>
            <w:r w:rsidR="005A6DD8">
              <w:rPr>
                <w:noProof/>
                <w:webHidden/>
              </w:rPr>
              <w:t>330</w:t>
            </w:r>
            <w:r w:rsidR="00614C44">
              <w:rPr>
                <w:noProof/>
                <w:webHidden/>
              </w:rPr>
              <w:fldChar w:fldCharType="end"/>
            </w:r>
          </w:hyperlink>
        </w:p>
        <w:p w14:paraId="4B030516" w14:textId="2F9D3FBB" w:rsidR="00614C44" w:rsidRDefault="00000000">
          <w:pPr>
            <w:pStyle w:val="TOC3"/>
            <w:tabs>
              <w:tab w:val="left" w:pos="865"/>
              <w:tab w:val="right" w:leader="dot" w:pos="9436"/>
            </w:tabs>
            <w:rPr>
              <w:rFonts w:eastAsiaTheme="minorEastAsia" w:cstheme="minorBidi"/>
              <w:noProof/>
              <w:lang w:val="en-US"/>
            </w:rPr>
          </w:pPr>
          <w:hyperlink w:anchor="_Toc127199308" w:history="1">
            <w:r w:rsidR="00614C44" w:rsidRPr="00FE24AD">
              <w:rPr>
                <w:rStyle w:val="Hyperlink"/>
                <w:noProof/>
              </w:rPr>
              <w:t>8.1.1.</w:t>
            </w:r>
            <w:r w:rsidR="00614C44">
              <w:rPr>
                <w:rFonts w:eastAsiaTheme="minorEastAsia" w:cstheme="minorBidi"/>
                <w:noProof/>
                <w:lang w:val="en-US"/>
              </w:rPr>
              <w:tab/>
            </w:r>
            <w:r w:rsidR="00614C44" w:rsidRPr="00FE24AD">
              <w:rPr>
                <w:rStyle w:val="Hyperlink"/>
                <w:noProof/>
              </w:rPr>
              <w:t>VIZIUNEA DE DEZVOLTARE A SECTORULUI 2 AL MUNICIPIULUI BUCUREȘTI</w:t>
            </w:r>
            <w:r w:rsidR="00614C44">
              <w:rPr>
                <w:noProof/>
                <w:webHidden/>
              </w:rPr>
              <w:tab/>
            </w:r>
            <w:r w:rsidR="00614C44">
              <w:rPr>
                <w:noProof/>
                <w:webHidden/>
              </w:rPr>
              <w:fldChar w:fldCharType="begin"/>
            </w:r>
            <w:r w:rsidR="00614C44">
              <w:rPr>
                <w:noProof/>
                <w:webHidden/>
              </w:rPr>
              <w:instrText xml:space="preserve"> PAGEREF _Toc127199308 \h </w:instrText>
            </w:r>
            <w:r w:rsidR="00614C44">
              <w:rPr>
                <w:noProof/>
                <w:webHidden/>
              </w:rPr>
            </w:r>
            <w:r w:rsidR="00614C44">
              <w:rPr>
                <w:noProof/>
                <w:webHidden/>
              </w:rPr>
              <w:fldChar w:fldCharType="separate"/>
            </w:r>
            <w:r w:rsidR="005A6DD8">
              <w:rPr>
                <w:noProof/>
                <w:webHidden/>
              </w:rPr>
              <w:t>330</w:t>
            </w:r>
            <w:r w:rsidR="00614C44">
              <w:rPr>
                <w:noProof/>
                <w:webHidden/>
              </w:rPr>
              <w:fldChar w:fldCharType="end"/>
            </w:r>
          </w:hyperlink>
        </w:p>
        <w:p w14:paraId="4DE708F7" w14:textId="056A53DB" w:rsidR="00614C44" w:rsidRDefault="00000000">
          <w:pPr>
            <w:pStyle w:val="TOC3"/>
            <w:tabs>
              <w:tab w:val="left" w:pos="865"/>
              <w:tab w:val="right" w:leader="dot" w:pos="9436"/>
            </w:tabs>
            <w:rPr>
              <w:rFonts w:eastAsiaTheme="minorEastAsia" w:cstheme="minorBidi"/>
              <w:noProof/>
              <w:lang w:val="en-US"/>
            </w:rPr>
          </w:pPr>
          <w:hyperlink w:anchor="_Toc127199309" w:history="1">
            <w:r w:rsidR="00614C44" w:rsidRPr="00FE24AD">
              <w:rPr>
                <w:rStyle w:val="Hyperlink"/>
                <w:noProof/>
              </w:rPr>
              <w:t>8.1.2.</w:t>
            </w:r>
            <w:r w:rsidR="00614C44">
              <w:rPr>
                <w:rFonts w:eastAsiaTheme="minorEastAsia" w:cstheme="minorBidi"/>
                <w:noProof/>
                <w:lang w:val="en-US"/>
              </w:rPr>
              <w:tab/>
            </w:r>
            <w:r w:rsidR="00614C44" w:rsidRPr="00FE24AD">
              <w:rPr>
                <w:rStyle w:val="Hyperlink"/>
                <w:noProof/>
              </w:rPr>
              <w:t>MISIUNE</w:t>
            </w:r>
            <w:r w:rsidR="00614C44">
              <w:rPr>
                <w:noProof/>
                <w:webHidden/>
              </w:rPr>
              <w:tab/>
            </w:r>
            <w:r w:rsidR="00614C44">
              <w:rPr>
                <w:noProof/>
                <w:webHidden/>
              </w:rPr>
              <w:fldChar w:fldCharType="begin"/>
            </w:r>
            <w:r w:rsidR="00614C44">
              <w:rPr>
                <w:noProof/>
                <w:webHidden/>
              </w:rPr>
              <w:instrText xml:space="preserve"> PAGEREF _Toc127199309 \h </w:instrText>
            </w:r>
            <w:r w:rsidR="00614C44">
              <w:rPr>
                <w:noProof/>
                <w:webHidden/>
              </w:rPr>
            </w:r>
            <w:r w:rsidR="00614C44">
              <w:rPr>
                <w:noProof/>
                <w:webHidden/>
              </w:rPr>
              <w:fldChar w:fldCharType="separate"/>
            </w:r>
            <w:r w:rsidR="005A6DD8">
              <w:rPr>
                <w:noProof/>
                <w:webHidden/>
              </w:rPr>
              <w:t>333</w:t>
            </w:r>
            <w:r w:rsidR="00614C44">
              <w:rPr>
                <w:noProof/>
                <w:webHidden/>
              </w:rPr>
              <w:fldChar w:fldCharType="end"/>
            </w:r>
          </w:hyperlink>
        </w:p>
        <w:p w14:paraId="334FBBC1" w14:textId="685CCF58" w:rsidR="00614C44" w:rsidRDefault="00000000">
          <w:pPr>
            <w:pStyle w:val="TOC3"/>
            <w:tabs>
              <w:tab w:val="left" w:pos="865"/>
              <w:tab w:val="right" w:leader="dot" w:pos="9436"/>
            </w:tabs>
            <w:rPr>
              <w:rFonts w:eastAsiaTheme="minorEastAsia" w:cstheme="minorBidi"/>
              <w:noProof/>
              <w:lang w:val="en-US"/>
            </w:rPr>
          </w:pPr>
          <w:hyperlink w:anchor="_Toc127199310" w:history="1">
            <w:r w:rsidR="00614C44" w:rsidRPr="00FE24AD">
              <w:rPr>
                <w:rStyle w:val="Hyperlink"/>
                <w:noProof/>
              </w:rPr>
              <w:t>8.1.3.</w:t>
            </w:r>
            <w:r w:rsidR="00614C44">
              <w:rPr>
                <w:rFonts w:eastAsiaTheme="minorEastAsia" w:cstheme="minorBidi"/>
                <w:noProof/>
                <w:lang w:val="en-US"/>
              </w:rPr>
              <w:tab/>
            </w:r>
            <w:r w:rsidR="00614C44" w:rsidRPr="00FE24AD">
              <w:rPr>
                <w:rStyle w:val="Hyperlink"/>
                <w:noProof/>
              </w:rPr>
              <w:t>OBIECTIVE ȘI DIRECȚII DE ACȚIUNE</w:t>
            </w:r>
            <w:r w:rsidR="00614C44">
              <w:rPr>
                <w:noProof/>
                <w:webHidden/>
              </w:rPr>
              <w:tab/>
            </w:r>
            <w:r w:rsidR="00614C44">
              <w:rPr>
                <w:noProof/>
                <w:webHidden/>
              </w:rPr>
              <w:fldChar w:fldCharType="begin"/>
            </w:r>
            <w:r w:rsidR="00614C44">
              <w:rPr>
                <w:noProof/>
                <w:webHidden/>
              </w:rPr>
              <w:instrText xml:space="preserve"> PAGEREF _Toc127199310 \h </w:instrText>
            </w:r>
            <w:r w:rsidR="00614C44">
              <w:rPr>
                <w:noProof/>
                <w:webHidden/>
              </w:rPr>
            </w:r>
            <w:r w:rsidR="00614C44">
              <w:rPr>
                <w:noProof/>
                <w:webHidden/>
              </w:rPr>
              <w:fldChar w:fldCharType="separate"/>
            </w:r>
            <w:r w:rsidR="005A6DD8">
              <w:rPr>
                <w:noProof/>
                <w:webHidden/>
              </w:rPr>
              <w:t>335</w:t>
            </w:r>
            <w:r w:rsidR="00614C44">
              <w:rPr>
                <w:noProof/>
                <w:webHidden/>
              </w:rPr>
              <w:fldChar w:fldCharType="end"/>
            </w:r>
          </w:hyperlink>
        </w:p>
        <w:p w14:paraId="14E2B4A8" w14:textId="3D3D4299" w:rsidR="00614C44" w:rsidRDefault="00000000">
          <w:pPr>
            <w:pStyle w:val="TOC2"/>
            <w:tabs>
              <w:tab w:val="left" w:pos="554"/>
              <w:tab w:val="right" w:leader="dot" w:pos="9436"/>
            </w:tabs>
            <w:rPr>
              <w:rFonts w:eastAsiaTheme="minorEastAsia" w:cstheme="minorBidi"/>
              <w:noProof/>
              <w:lang w:val="en-US"/>
            </w:rPr>
          </w:pPr>
          <w:hyperlink w:anchor="_Toc127199311" w:history="1">
            <w:r w:rsidR="00614C44" w:rsidRPr="00FE24AD">
              <w:rPr>
                <w:rStyle w:val="Hyperlink"/>
                <w:noProof/>
              </w:rPr>
              <w:t>8.2.</w:t>
            </w:r>
            <w:r w:rsidR="00614C44">
              <w:rPr>
                <w:rFonts w:eastAsiaTheme="minorEastAsia" w:cstheme="minorBidi"/>
                <w:noProof/>
                <w:lang w:val="en-US"/>
              </w:rPr>
              <w:tab/>
            </w:r>
            <w:r w:rsidR="00614C44" w:rsidRPr="00FE24AD">
              <w:rPr>
                <w:rStyle w:val="Hyperlink"/>
                <w:noProof/>
              </w:rPr>
              <w:t>PLANUL DE ACȚIUNE</w:t>
            </w:r>
            <w:r w:rsidR="00614C44">
              <w:rPr>
                <w:noProof/>
                <w:webHidden/>
              </w:rPr>
              <w:tab/>
            </w:r>
            <w:r w:rsidR="00614C44">
              <w:rPr>
                <w:noProof/>
                <w:webHidden/>
              </w:rPr>
              <w:fldChar w:fldCharType="begin"/>
            </w:r>
            <w:r w:rsidR="00614C44">
              <w:rPr>
                <w:noProof/>
                <w:webHidden/>
              </w:rPr>
              <w:instrText xml:space="preserve"> PAGEREF _Toc127199311 \h </w:instrText>
            </w:r>
            <w:r w:rsidR="00614C44">
              <w:rPr>
                <w:noProof/>
                <w:webHidden/>
              </w:rPr>
            </w:r>
            <w:r w:rsidR="00614C44">
              <w:rPr>
                <w:noProof/>
                <w:webHidden/>
              </w:rPr>
              <w:fldChar w:fldCharType="separate"/>
            </w:r>
            <w:r w:rsidR="005A6DD8">
              <w:rPr>
                <w:noProof/>
                <w:webHidden/>
              </w:rPr>
              <w:t>345</w:t>
            </w:r>
            <w:r w:rsidR="00614C44">
              <w:rPr>
                <w:noProof/>
                <w:webHidden/>
              </w:rPr>
              <w:fldChar w:fldCharType="end"/>
            </w:r>
          </w:hyperlink>
        </w:p>
        <w:p w14:paraId="583946D4" w14:textId="512BD86B" w:rsidR="00614C44" w:rsidRDefault="00000000">
          <w:pPr>
            <w:pStyle w:val="TOC3"/>
            <w:tabs>
              <w:tab w:val="left" w:pos="865"/>
              <w:tab w:val="right" w:leader="dot" w:pos="9436"/>
            </w:tabs>
            <w:rPr>
              <w:rFonts w:eastAsiaTheme="minorEastAsia" w:cstheme="minorBidi"/>
              <w:noProof/>
              <w:lang w:val="en-US"/>
            </w:rPr>
          </w:pPr>
          <w:hyperlink w:anchor="_Toc127199312" w:history="1">
            <w:r w:rsidR="00614C44" w:rsidRPr="00FE24AD">
              <w:rPr>
                <w:rStyle w:val="Hyperlink"/>
                <w:noProof/>
              </w:rPr>
              <w:t>8.2.1.</w:t>
            </w:r>
            <w:r w:rsidR="00614C44">
              <w:rPr>
                <w:rFonts w:eastAsiaTheme="minorEastAsia" w:cstheme="minorBidi"/>
                <w:noProof/>
                <w:lang w:val="en-US"/>
              </w:rPr>
              <w:tab/>
            </w:r>
            <w:r w:rsidR="00614C44" w:rsidRPr="00FE24AD">
              <w:rPr>
                <w:rStyle w:val="Hyperlink"/>
                <w:noProof/>
              </w:rPr>
              <w:t>PRIORITIZAREA PROIECTELOR</w:t>
            </w:r>
            <w:r w:rsidR="00614C44">
              <w:rPr>
                <w:noProof/>
                <w:webHidden/>
              </w:rPr>
              <w:tab/>
            </w:r>
            <w:r w:rsidR="00614C44">
              <w:rPr>
                <w:noProof/>
                <w:webHidden/>
              </w:rPr>
              <w:fldChar w:fldCharType="begin"/>
            </w:r>
            <w:r w:rsidR="00614C44">
              <w:rPr>
                <w:noProof/>
                <w:webHidden/>
              </w:rPr>
              <w:instrText xml:space="preserve"> PAGEREF _Toc127199312 \h </w:instrText>
            </w:r>
            <w:r w:rsidR="00614C44">
              <w:rPr>
                <w:noProof/>
                <w:webHidden/>
              </w:rPr>
            </w:r>
            <w:r w:rsidR="00614C44">
              <w:rPr>
                <w:noProof/>
                <w:webHidden/>
              </w:rPr>
              <w:fldChar w:fldCharType="separate"/>
            </w:r>
            <w:r w:rsidR="005A6DD8">
              <w:rPr>
                <w:noProof/>
                <w:webHidden/>
              </w:rPr>
              <w:t>347</w:t>
            </w:r>
            <w:r w:rsidR="00614C44">
              <w:rPr>
                <w:noProof/>
                <w:webHidden/>
              </w:rPr>
              <w:fldChar w:fldCharType="end"/>
            </w:r>
          </w:hyperlink>
        </w:p>
        <w:p w14:paraId="285F1CE4" w14:textId="00280904" w:rsidR="00614C44" w:rsidRDefault="00000000">
          <w:pPr>
            <w:pStyle w:val="TOC3"/>
            <w:tabs>
              <w:tab w:val="left" w:pos="865"/>
              <w:tab w:val="right" w:leader="dot" w:pos="9436"/>
            </w:tabs>
            <w:rPr>
              <w:rFonts w:eastAsiaTheme="minorEastAsia" w:cstheme="minorBidi"/>
              <w:noProof/>
              <w:lang w:val="en-US"/>
            </w:rPr>
          </w:pPr>
          <w:hyperlink w:anchor="_Toc127199313" w:history="1">
            <w:r w:rsidR="00614C44" w:rsidRPr="00FE24AD">
              <w:rPr>
                <w:rStyle w:val="Hyperlink"/>
                <w:noProof/>
              </w:rPr>
              <w:t>8.2.2.</w:t>
            </w:r>
            <w:r w:rsidR="00614C44">
              <w:rPr>
                <w:rFonts w:eastAsiaTheme="minorEastAsia" w:cstheme="minorBidi"/>
                <w:noProof/>
                <w:lang w:val="en-US"/>
              </w:rPr>
              <w:tab/>
            </w:r>
            <w:r w:rsidR="00614C44" w:rsidRPr="00FE24AD">
              <w:rPr>
                <w:rStyle w:val="Hyperlink"/>
                <w:noProof/>
              </w:rPr>
              <w:t>FINANȚAREA IMPLEMENTĂRII STRATEGIEI - CARTA INTEGRATĂ A SURSELOR DE FINANȚARE</w:t>
            </w:r>
            <w:r w:rsidR="00614C44">
              <w:rPr>
                <w:noProof/>
                <w:webHidden/>
              </w:rPr>
              <w:tab/>
            </w:r>
            <w:r w:rsidR="00614C44">
              <w:rPr>
                <w:noProof/>
                <w:webHidden/>
              </w:rPr>
              <w:fldChar w:fldCharType="begin"/>
            </w:r>
            <w:r w:rsidR="00614C44">
              <w:rPr>
                <w:noProof/>
                <w:webHidden/>
              </w:rPr>
              <w:instrText xml:space="preserve"> PAGEREF _Toc127199313 \h </w:instrText>
            </w:r>
            <w:r w:rsidR="00614C44">
              <w:rPr>
                <w:noProof/>
                <w:webHidden/>
              </w:rPr>
            </w:r>
            <w:r w:rsidR="00614C44">
              <w:rPr>
                <w:noProof/>
                <w:webHidden/>
              </w:rPr>
              <w:fldChar w:fldCharType="separate"/>
            </w:r>
            <w:r w:rsidR="005A6DD8">
              <w:rPr>
                <w:noProof/>
                <w:webHidden/>
              </w:rPr>
              <w:t>356</w:t>
            </w:r>
            <w:r w:rsidR="00614C44">
              <w:rPr>
                <w:noProof/>
                <w:webHidden/>
              </w:rPr>
              <w:fldChar w:fldCharType="end"/>
            </w:r>
          </w:hyperlink>
        </w:p>
        <w:p w14:paraId="63E4238E" w14:textId="4F5B125F" w:rsidR="00614C44" w:rsidRDefault="00000000">
          <w:pPr>
            <w:pStyle w:val="TOC2"/>
            <w:tabs>
              <w:tab w:val="left" w:pos="554"/>
              <w:tab w:val="right" w:leader="dot" w:pos="9436"/>
            </w:tabs>
            <w:rPr>
              <w:rFonts w:eastAsiaTheme="minorEastAsia" w:cstheme="minorBidi"/>
              <w:noProof/>
              <w:lang w:val="en-US"/>
            </w:rPr>
          </w:pPr>
          <w:hyperlink w:anchor="_Toc127199314" w:history="1">
            <w:r w:rsidR="00614C44" w:rsidRPr="00FE24AD">
              <w:rPr>
                <w:rStyle w:val="Hyperlink"/>
                <w:noProof/>
              </w:rPr>
              <w:t>8.3.</w:t>
            </w:r>
            <w:r w:rsidR="00614C44">
              <w:rPr>
                <w:rFonts w:eastAsiaTheme="minorEastAsia" w:cstheme="minorBidi"/>
                <w:noProof/>
                <w:lang w:val="en-US"/>
              </w:rPr>
              <w:tab/>
            </w:r>
            <w:r w:rsidR="00614C44" w:rsidRPr="00FE24AD">
              <w:rPr>
                <w:rStyle w:val="Hyperlink"/>
                <w:noProof/>
              </w:rPr>
              <w:t>PORTOFOLIUL DE PROIECTE</w:t>
            </w:r>
            <w:r w:rsidR="00614C44">
              <w:rPr>
                <w:noProof/>
                <w:webHidden/>
              </w:rPr>
              <w:tab/>
            </w:r>
            <w:r w:rsidR="00614C44">
              <w:rPr>
                <w:noProof/>
                <w:webHidden/>
              </w:rPr>
              <w:fldChar w:fldCharType="begin"/>
            </w:r>
            <w:r w:rsidR="00614C44">
              <w:rPr>
                <w:noProof/>
                <w:webHidden/>
              </w:rPr>
              <w:instrText xml:space="preserve"> PAGEREF _Toc127199314 \h </w:instrText>
            </w:r>
            <w:r w:rsidR="00614C44">
              <w:rPr>
                <w:noProof/>
                <w:webHidden/>
              </w:rPr>
            </w:r>
            <w:r w:rsidR="00614C44">
              <w:rPr>
                <w:noProof/>
                <w:webHidden/>
              </w:rPr>
              <w:fldChar w:fldCharType="separate"/>
            </w:r>
            <w:r w:rsidR="005A6DD8">
              <w:rPr>
                <w:noProof/>
                <w:webHidden/>
              </w:rPr>
              <w:t>358</w:t>
            </w:r>
            <w:r w:rsidR="00614C44">
              <w:rPr>
                <w:noProof/>
                <w:webHidden/>
              </w:rPr>
              <w:fldChar w:fldCharType="end"/>
            </w:r>
          </w:hyperlink>
        </w:p>
        <w:p w14:paraId="4234D86D" w14:textId="74A1101A" w:rsidR="00614C44" w:rsidRDefault="00000000">
          <w:pPr>
            <w:pStyle w:val="TOC3"/>
            <w:tabs>
              <w:tab w:val="left" w:pos="865"/>
              <w:tab w:val="right" w:leader="dot" w:pos="9436"/>
            </w:tabs>
            <w:rPr>
              <w:rFonts w:eastAsiaTheme="minorEastAsia" w:cstheme="minorBidi"/>
              <w:noProof/>
              <w:lang w:val="en-US"/>
            </w:rPr>
          </w:pPr>
          <w:hyperlink w:anchor="_Toc127199315" w:history="1">
            <w:r w:rsidR="00614C44" w:rsidRPr="00FE24AD">
              <w:rPr>
                <w:rStyle w:val="Hyperlink"/>
                <w:noProof/>
              </w:rPr>
              <w:t>8.3.1.</w:t>
            </w:r>
            <w:r w:rsidR="00614C44">
              <w:rPr>
                <w:rFonts w:eastAsiaTheme="minorEastAsia" w:cstheme="minorBidi"/>
                <w:noProof/>
                <w:lang w:val="en-US"/>
              </w:rPr>
              <w:tab/>
            </w:r>
            <w:r w:rsidR="00614C44" w:rsidRPr="00FE24AD">
              <w:rPr>
                <w:rStyle w:val="Hyperlink"/>
                <w:noProof/>
              </w:rPr>
              <w:t>OBIECTIV STRATEGIC O1 – SECTOR PENTRU CETĂȚENI, CU UN CADRU URBAN ATRACTIV ȘI SERVICII PUBLICE MODERNE ȘI PERFORMANTE, CE SUSȚIN DEZVOLTAREA COMUNITĂȚII LOCALE ȘI ASIGURĂ O CALITATE RIDICATĂ A LOCUIRII</w:t>
            </w:r>
            <w:r w:rsidR="00614C44">
              <w:rPr>
                <w:noProof/>
                <w:webHidden/>
              </w:rPr>
              <w:tab/>
            </w:r>
            <w:r w:rsidR="00614C44">
              <w:rPr>
                <w:noProof/>
                <w:webHidden/>
              </w:rPr>
              <w:fldChar w:fldCharType="begin"/>
            </w:r>
            <w:r w:rsidR="00614C44">
              <w:rPr>
                <w:noProof/>
                <w:webHidden/>
              </w:rPr>
              <w:instrText xml:space="preserve"> PAGEREF _Toc127199315 \h </w:instrText>
            </w:r>
            <w:r w:rsidR="00614C44">
              <w:rPr>
                <w:noProof/>
                <w:webHidden/>
              </w:rPr>
            </w:r>
            <w:r w:rsidR="00614C44">
              <w:rPr>
                <w:noProof/>
                <w:webHidden/>
              </w:rPr>
              <w:fldChar w:fldCharType="separate"/>
            </w:r>
            <w:r w:rsidR="005A6DD8">
              <w:rPr>
                <w:noProof/>
                <w:webHidden/>
              </w:rPr>
              <w:t>358</w:t>
            </w:r>
            <w:r w:rsidR="00614C44">
              <w:rPr>
                <w:noProof/>
                <w:webHidden/>
              </w:rPr>
              <w:fldChar w:fldCharType="end"/>
            </w:r>
          </w:hyperlink>
        </w:p>
        <w:p w14:paraId="005F9F46" w14:textId="5CB1FCE1" w:rsidR="00614C44" w:rsidRDefault="00000000">
          <w:pPr>
            <w:pStyle w:val="TOC3"/>
            <w:tabs>
              <w:tab w:val="left" w:pos="865"/>
              <w:tab w:val="right" w:leader="dot" w:pos="9436"/>
            </w:tabs>
            <w:rPr>
              <w:rFonts w:eastAsiaTheme="minorEastAsia" w:cstheme="minorBidi"/>
              <w:noProof/>
              <w:lang w:val="en-US"/>
            </w:rPr>
          </w:pPr>
          <w:hyperlink w:anchor="_Toc127199316" w:history="1">
            <w:r w:rsidR="00614C44" w:rsidRPr="00FE24AD">
              <w:rPr>
                <w:rStyle w:val="Hyperlink"/>
                <w:noProof/>
              </w:rPr>
              <w:t>8.3.2.</w:t>
            </w:r>
            <w:r w:rsidR="00614C44">
              <w:rPr>
                <w:rFonts w:eastAsiaTheme="minorEastAsia" w:cstheme="minorBidi"/>
                <w:noProof/>
                <w:lang w:val="en-US"/>
              </w:rPr>
              <w:tab/>
            </w:r>
            <w:r w:rsidR="00614C44" w:rsidRPr="00FE24AD">
              <w:rPr>
                <w:rStyle w:val="Hyperlink"/>
                <w:noProof/>
              </w:rPr>
              <w:t>OBIECTIV STRATEGIC O2 – SECTOR COMPETITIV ȘI INOVATOR, ATRACTIV PENTRU FORȚA DE MUNCĂ, ANTREPRENORIAT ȘI INVESTIȚII ÎN DOMENII CU VALOARE ADĂUGATĂ MARE</w:t>
            </w:r>
            <w:r w:rsidR="00614C44">
              <w:rPr>
                <w:noProof/>
                <w:webHidden/>
              </w:rPr>
              <w:tab/>
            </w:r>
            <w:r w:rsidR="00614C44">
              <w:rPr>
                <w:noProof/>
                <w:webHidden/>
              </w:rPr>
              <w:fldChar w:fldCharType="begin"/>
            </w:r>
            <w:r w:rsidR="00614C44">
              <w:rPr>
                <w:noProof/>
                <w:webHidden/>
              </w:rPr>
              <w:instrText xml:space="preserve"> PAGEREF _Toc127199316 \h </w:instrText>
            </w:r>
            <w:r w:rsidR="00614C44">
              <w:rPr>
                <w:noProof/>
                <w:webHidden/>
              </w:rPr>
            </w:r>
            <w:r w:rsidR="00614C44">
              <w:rPr>
                <w:noProof/>
                <w:webHidden/>
              </w:rPr>
              <w:fldChar w:fldCharType="separate"/>
            </w:r>
            <w:r w:rsidR="005A6DD8">
              <w:rPr>
                <w:noProof/>
                <w:webHidden/>
              </w:rPr>
              <w:t>445</w:t>
            </w:r>
            <w:r w:rsidR="00614C44">
              <w:rPr>
                <w:noProof/>
                <w:webHidden/>
              </w:rPr>
              <w:fldChar w:fldCharType="end"/>
            </w:r>
          </w:hyperlink>
        </w:p>
        <w:p w14:paraId="6F6DF374" w14:textId="194A1253" w:rsidR="00614C44" w:rsidRDefault="00000000">
          <w:pPr>
            <w:pStyle w:val="TOC3"/>
            <w:tabs>
              <w:tab w:val="left" w:pos="865"/>
              <w:tab w:val="right" w:leader="dot" w:pos="9436"/>
            </w:tabs>
            <w:rPr>
              <w:rFonts w:eastAsiaTheme="minorEastAsia" w:cstheme="minorBidi"/>
              <w:noProof/>
              <w:lang w:val="en-US"/>
            </w:rPr>
          </w:pPr>
          <w:hyperlink w:anchor="_Toc127199317" w:history="1">
            <w:r w:rsidR="00614C44" w:rsidRPr="00FE24AD">
              <w:rPr>
                <w:rStyle w:val="Hyperlink"/>
                <w:noProof/>
              </w:rPr>
              <w:t>8.3.3.</w:t>
            </w:r>
            <w:r w:rsidR="00614C44">
              <w:rPr>
                <w:rFonts w:eastAsiaTheme="minorEastAsia" w:cstheme="minorBidi"/>
                <w:noProof/>
                <w:lang w:val="en-US"/>
              </w:rPr>
              <w:tab/>
            </w:r>
            <w:r w:rsidR="00614C44" w:rsidRPr="00FE24AD">
              <w:rPr>
                <w:rStyle w:val="Hyperlink"/>
                <w:noProof/>
              </w:rPr>
              <w:t>OBIECTIV STRATEGIC O3 -  SECTOR NEUTRU DIN PUNCT DE VEDERE CLIMATIC, CU O INFRASTRUCTURĂ EFICIENTĂ ȘI MODERNĂ</w:t>
            </w:r>
            <w:r w:rsidR="00614C44">
              <w:rPr>
                <w:noProof/>
                <w:webHidden/>
              </w:rPr>
              <w:tab/>
            </w:r>
            <w:r w:rsidR="00614C44">
              <w:rPr>
                <w:noProof/>
                <w:webHidden/>
              </w:rPr>
              <w:fldChar w:fldCharType="begin"/>
            </w:r>
            <w:r w:rsidR="00614C44">
              <w:rPr>
                <w:noProof/>
                <w:webHidden/>
              </w:rPr>
              <w:instrText xml:space="preserve"> PAGEREF _Toc127199317 \h </w:instrText>
            </w:r>
            <w:r w:rsidR="00614C44">
              <w:rPr>
                <w:noProof/>
                <w:webHidden/>
              </w:rPr>
            </w:r>
            <w:r w:rsidR="00614C44">
              <w:rPr>
                <w:noProof/>
                <w:webHidden/>
              </w:rPr>
              <w:fldChar w:fldCharType="separate"/>
            </w:r>
            <w:r w:rsidR="005A6DD8">
              <w:rPr>
                <w:noProof/>
                <w:webHidden/>
              </w:rPr>
              <w:t>454</w:t>
            </w:r>
            <w:r w:rsidR="00614C44">
              <w:rPr>
                <w:noProof/>
                <w:webHidden/>
              </w:rPr>
              <w:fldChar w:fldCharType="end"/>
            </w:r>
          </w:hyperlink>
        </w:p>
        <w:p w14:paraId="68219DBA" w14:textId="2A7A022A" w:rsidR="00614C44" w:rsidRDefault="00000000">
          <w:pPr>
            <w:pStyle w:val="TOC3"/>
            <w:tabs>
              <w:tab w:val="left" w:pos="865"/>
              <w:tab w:val="right" w:leader="dot" w:pos="9436"/>
            </w:tabs>
            <w:rPr>
              <w:rFonts w:eastAsiaTheme="minorEastAsia" w:cstheme="minorBidi"/>
              <w:noProof/>
              <w:lang w:val="en-US"/>
            </w:rPr>
          </w:pPr>
          <w:hyperlink w:anchor="_Toc127199318" w:history="1">
            <w:r w:rsidR="00614C44" w:rsidRPr="00FE24AD">
              <w:rPr>
                <w:rStyle w:val="Hyperlink"/>
                <w:noProof/>
              </w:rPr>
              <w:t>8.3.4.</w:t>
            </w:r>
            <w:r w:rsidR="00614C44">
              <w:rPr>
                <w:rFonts w:eastAsiaTheme="minorEastAsia" w:cstheme="minorBidi"/>
                <w:noProof/>
                <w:lang w:val="en-US"/>
              </w:rPr>
              <w:tab/>
            </w:r>
            <w:r w:rsidR="00614C44" w:rsidRPr="00FE24AD">
              <w:rPr>
                <w:rStyle w:val="Hyperlink"/>
                <w:noProof/>
              </w:rPr>
              <w:t>OBIECTIV STRATEGIC O4 -  ADMINISTRAȚIE PUBLICĂ LOCALĂ PERFORMANTĂ CE SPRIJINĂ DEZVOLTAREA DURABILĂ PRIN DESCHIDERE ȘI TRANSPARENȚĂ, ÎNCURAJAREA PARTICIPĂRII TUTUROR CETĂȚENILOR ÎN PROCESELE DE DECIZIE ȘI FOLOSIREA NOILOR TEHNOLOGII</w:t>
            </w:r>
            <w:r w:rsidR="00614C44">
              <w:rPr>
                <w:noProof/>
                <w:webHidden/>
              </w:rPr>
              <w:tab/>
            </w:r>
            <w:r w:rsidR="00614C44">
              <w:rPr>
                <w:noProof/>
                <w:webHidden/>
              </w:rPr>
              <w:fldChar w:fldCharType="begin"/>
            </w:r>
            <w:r w:rsidR="00614C44">
              <w:rPr>
                <w:noProof/>
                <w:webHidden/>
              </w:rPr>
              <w:instrText xml:space="preserve"> PAGEREF _Toc127199318 \h </w:instrText>
            </w:r>
            <w:r w:rsidR="00614C44">
              <w:rPr>
                <w:noProof/>
                <w:webHidden/>
              </w:rPr>
            </w:r>
            <w:r w:rsidR="00614C44">
              <w:rPr>
                <w:noProof/>
                <w:webHidden/>
              </w:rPr>
              <w:fldChar w:fldCharType="separate"/>
            </w:r>
            <w:r w:rsidR="005A6DD8">
              <w:rPr>
                <w:noProof/>
                <w:webHidden/>
              </w:rPr>
              <w:t>486</w:t>
            </w:r>
            <w:r w:rsidR="00614C44">
              <w:rPr>
                <w:noProof/>
                <w:webHidden/>
              </w:rPr>
              <w:fldChar w:fldCharType="end"/>
            </w:r>
          </w:hyperlink>
        </w:p>
        <w:p w14:paraId="6CACE912" w14:textId="3369B806" w:rsidR="00614C44" w:rsidRDefault="00000000">
          <w:pPr>
            <w:pStyle w:val="TOC2"/>
            <w:tabs>
              <w:tab w:val="left" w:pos="554"/>
              <w:tab w:val="right" w:leader="dot" w:pos="9436"/>
            </w:tabs>
            <w:rPr>
              <w:rFonts w:eastAsiaTheme="minorEastAsia" w:cstheme="minorBidi"/>
              <w:noProof/>
              <w:lang w:val="en-US"/>
            </w:rPr>
          </w:pPr>
          <w:hyperlink w:anchor="_Toc127199319" w:history="1">
            <w:r w:rsidR="00614C44" w:rsidRPr="00FE24AD">
              <w:rPr>
                <w:rStyle w:val="Hyperlink"/>
                <w:noProof/>
              </w:rPr>
              <w:t>8.4.</w:t>
            </w:r>
            <w:r w:rsidR="00614C44">
              <w:rPr>
                <w:rFonts w:eastAsiaTheme="minorEastAsia" w:cstheme="minorBidi"/>
                <w:noProof/>
                <w:lang w:val="en-US"/>
              </w:rPr>
              <w:tab/>
            </w:r>
            <w:r w:rsidR="00614C44" w:rsidRPr="00FE24AD">
              <w:rPr>
                <w:rStyle w:val="Hyperlink"/>
                <w:noProof/>
              </w:rPr>
              <w:t>SISTEMUL DE IMPLEMENTARE, MONITORIZARE ȘI EVALUARE</w:t>
            </w:r>
            <w:r w:rsidR="00614C44">
              <w:rPr>
                <w:noProof/>
                <w:webHidden/>
              </w:rPr>
              <w:tab/>
            </w:r>
            <w:r w:rsidR="00614C44">
              <w:rPr>
                <w:noProof/>
                <w:webHidden/>
              </w:rPr>
              <w:fldChar w:fldCharType="begin"/>
            </w:r>
            <w:r w:rsidR="00614C44">
              <w:rPr>
                <w:noProof/>
                <w:webHidden/>
              </w:rPr>
              <w:instrText xml:space="preserve"> PAGEREF _Toc127199319 \h </w:instrText>
            </w:r>
            <w:r w:rsidR="00614C44">
              <w:rPr>
                <w:noProof/>
                <w:webHidden/>
              </w:rPr>
            </w:r>
            <w:r w:rsidR="00614C44">
              <w:rPr>
                <w:noProof/>
                <w:webHidden/>
              </w:rPr>
              <w:fldChar w:fldCharType="separate"/>
            </w:r>
            <w:r w:rsidR="005A6DD8">
              <w:rPr>
                <w:noProof/>
                <w:webHidden/>
              </w:rPr>
              <w:t>506</w:t>
            </w:r>
            <w:r w:rsidR="00614C44">
              <w:rPr>
                <w:noProof/>
                <w:webHidden/>
              </w:rPr>
              <w:fldChar w:fldCharType="end"/>
            </w:r>
          </w:hyperlink>
        </w:p>
        <w:p w14:paraId="40764516" w14:textId="29B6C866" w:rsidR="00614C44" w:rsidRDefault="00000000">
          <w:pPr>
            <w:pStyle w:val="TOC3"/>
            <w:tabs>
              <w:tab w:val="left" w:pos="865"/>
              <w:tab w:val="right" w:leader="dot" w:pos="9436"/>
            </w:tabs>
            <w:rPr>
              <w:rFonts w:eastAsiaTheme="minorEastAsia" w:cstheme="minorBidi"/>
              <w:noProof/>
              <w:lang w:val="en-US"/>
            </w:rPr>
          </w:pPr>
          <w:hyperlink w:anchor="_Toc127199320" w:history="1">
            <w:r w:rsidR="00614C44" w:rsidRPr="00FE24AD">
              <w:rPr>
                <w:rStyle w:val="Hyperlink"/>
                <w:noProof/>
              </w:rPr>
              <w:t>8.4.1.</w:t>
            </w:r>
            <w:r w:rsidR="00614C44">
              <w:rPr>
                <w:rFonts w:eastAsiaTheme="minorEastAsia" w:cstheme="minorBidi"/>
                <w:noProof/>
                <w:lang w:val="en-US"/>
              </w:rPr>
              <w:tab/>
            </w:r>
            <w:r w:rsidR="00614C44" w:rsidRPr="00FE24AD">
              <w:rPr>
                <w:rStyle w:val="Hyperlink"/>
                <w:noProof/>
              </w:rPr>
              <w:t>CONTEXT INSTITUȚIONAL</w:t>
            </w:r>
            <w:r w:rsidR="00614C44">
              <w:rPr>
                <w:noProof/>
                <w:webHidden/>
              </w:rPr>
              <w:tab/>
            </w:r>
            <w:r w:rsidR="00614C44">
              <w:rPr>
                <w:noProof/>
                <w:webHidden/>
              </w:rPr>
              <w:fldChar w:fldCharType="begin"/>
            </w:r>
            <w:r w:rsidR="00614C44">
              <w:rPr>
                <w:noProof/>
                <w:webHidden/>
              </w:rPr>
              <w:instrText xml:space="preserve"> PAGEREF _Toc127199320 \h </w:instrText>
            </w:r>
            <w:r w:rsidR="00614C44">
              <w:rPr>
                <w:noProof/>
                <w:webHidden/>
              </w:rPr>
            </w:r>
            <w:r w:rsidR="00614C44">
              <w:rPr>
                <w:noProof/>
                <w:webHidden/>
              </w:rPr>
              <w:fldChar w:fldCharType="separate"/>
            </w:r>
            <w:r w:rsidR="005A6DD8">
              <w:rPr>
                <w:noProof/>
                <w:webHidden/>
              </w:rPr>
              <w:t>506</w:t>
            </w:r>
            <w:r w:rsidR="00614C44">
              <w:rPr>
                <w:noProof/>
                <w:webHidden/>
              </w:rPr>
              <w:fldChar w:fldCharType="end"/>
            </w:r>
          </w:hyperlink>
        </w:p>
        <w:p w14:paraId="1445260D" w14:textId="09B01B1C" w:rsidR="00614C44" w:rsidRDefault="00000000">
          <w:pPr>
            <w:pStyle w:val="TOC3"/>
            <w:tabs>
              <w:tab w:val="left" w:pos="865"/>
              <w:tab w:val="right" w:leader="dot" w:pos="9436"/>
            </w:tabs>
            <w:rPr>
              <w:rFonts w:eastAsiaTheme="minorEastAsia" w:cstheme="minorBidi"/>
              <w:noProof/>
              <w:lang w:val="en-US"/>
            </w:rPr>
          </w:pPr>
          <w:hyperlink w:anchor="_Toc127199321" w:history="1">
            <w:r w:rsidR="00614C44" w:rsidRPr="00FE24AD">
              <w:rPr>
                <w:rStyle w:val="Hyperlink"/>
                <w:noProof/>
              </w:rPr>
              <w:t>8.4.2.</w:t>
            </w:r>
            <w:r w:rsidR="00614C44">
              <w:rPr>
                <w:rFonts w:eastAsiaTheme="minorEastAsia" w:cstheme="minorBidi"/>
                <w:noProof/>
                <w:lang w:val="en-US"/>
              </w:rPr>
              <w:tab/>
            </w:r>
            <w:r w:rsidR="00614C44" w:rsidRPr="00FE24AD">
              <w:rPr>
                <w:rStyle w:val="Hyperlink"/>
                <w:noProof/>
              </w:rPr>
              <w:t>MECANISM DE MONITORIZARE ȘI EVALUARE</w:t>
            </w:r>
            <w:r w:rsidR="00614C44">
              <w:rPr>
                <w:noProof/>
                <w:webHidden/>
              </w:rPr>
              <w:tab/>
            </w:r>
            <w:r w:rsidR="00614C44">
              <w:rPr>
                <w:noProof/>
                <w:webHidden/>
              </w:rPr>
              <w:fldChar w:fldCharType="begin"/>
            </w:r>
            <w:r w:rsidR="00614C44">
              <w:rPr>
                <w:noProof/>
                <w:webHidden/>
              </w:rPr>
              <w:instrText xml:space="preserve"> PAGEREF _Toc127199321 \h </w:instrText>
            </w:r>
            <w:r w:rsidR="00614C44">
              <w:rPr>
                <w:noProof/>
                <w:webHidden/>
              </w:rPr>
            </w:r>
            <w:r w:rsidR="00614C44">
              <w:rPr>
                <w:noProof/>
                <w:webHidden/>
              </w:rPr>
              <w:fldChar w:fldCharType="separate"/>
            </w:r>
            <w:r w:rsidR="005A6DD8">
              <w:rPr>
                <w:noProof/>
                <w:webHidden/>
              </w:rPr>
              <w:t>515</w:t>
            </w:r>
            <w:r w:rsidR="00614C44">
              <w:rPr>
                <w:noProof/>
                <w:webHidden/>
              </w:rPr>
              <w:fldChar w:fldCharType="end"/>
            </w:r>
          </w:hyperlink>
        </w:p>
        <w:p w14:paraId="3BD17805" w14:textId="39273733" w:rsidR="00614C44" w:rsidRDefault="00000000">
          <w:pPr>
            <w:pStyle w:val="TOC3"/>
            <w:tabs>
              <w:tab w:val="left" w:pos="865"/>
              <w:tab w:val="right" w:leader="dot" w:pos="9436"/>
            </w:tabs>
            <w:rPr>
              <w:rFonts w:eastAsiaTheme="minorEastAsia" w:cstheme="minorBidi"/>
              <w:noProof/>
              <w:lang w:val="en-US"/>
            </w:rPr>
          </w:pPr>
          <w:hyperlink w:anchor="_Toc127199322" w:history="1">
            <w:r w:rsidR="00614C44" w:rsidRPr="00FE24AD">
              <w:rPr>
                <w:rStyle w:val="Hyperlink"/>
                <w:rFonts w:cstheme="minorHAnsi"/>
                <w:noProof/>
              </w:rPr>
              <w:t>8.4.3.</w:t>
            </w:r>
            <w:r w:rsidR="00614C44">
              <w:rPr>
                <w:rFonts w:eastAsiaTheme="minorEastAsia" w:cstheme="minorBidi"/>
                <w:noProof/>
                <w:lang w:val="en-US"/>
              </w:rPr>
              <w:tab/>
            </w:r>
            <w:r w:rsidR="00614C44" w:rsidRPr="00FE24AD">
              <w:rPr>
                <w:rStyle w:val="Hyperlink"/>
                <w:rFonts w:cstheme="minorHAnsi"/>
                <w:noProof/>
              </w:rPr>
              <w:t>EVALUAREA IMPLEMENTĂRII SDLID 2021 - 2027</w:t>
            </w:r>
            <w:r w:rsidR="00614C44">
              <w:rPr>
                <w:noProof/>
                <w:webHidden/>
              </w:rPr>
              <w:tab/>
            </w:r>
            <w:r w:rsidR="00614C44">
              <w:rPr>
                <w:noProof/>
                <w:webHidden/>
              </w:rPr>
              <w:fldChar w:fldCharType="begin"/>
            </w:r>
            <w:r w:rsidR="00614C44">
              <w:rPr>
                <w:noProof/>
                <w:webHidden/>
              </w:rPr>
              <w:instrText xml:space="preserve"> PAGEREF _Toc127199322 \h </w:instrText>
            </w:r>
            <w:r w:rsidR="00614C44">
              <w:rPr>
                <w:noProof/>
                <w:webHidden/>
              </w:rPr>
            </w:r>
            <w:r w:rsidR="00614C44">
              <w:rPr>
                <w:noProof/>
                <w:webHidden/>
              </w:rPr>
              <w:fldChar w:fldCharType="separate"/>
            </w:r>
            <w:r w:rsidR="005A6DD8">
              <w:rPr>
                <w:noProof/>
                <w:webHidden/>
              </w:rPr>
              <w:t>516</w:t>
            </w:r>
            <w:r w:rsidR="00614C44">
              <w:rPr>
                <w:noProof/>
                <w:webHidden/>
              </w:rPr>
              <w:fldChar w:fldCharType="end"/>
            </w:r>
          </w:hyperlink>
        </w:p>
        <w:p w14:paraId="6DF6339A" w14:textId="5553031A" w:rsidR="00614C44" w:rsidRDefault="00000000">
          <w:pPr>
            <w:pStyle w:val="TOC3"/>
            <w:tabs>
              <w:tab w:val="left" w:pos="865"/>
              <w:tab w:val="right" w:leader="dot" w:pos="9436"/>
            </w:tabs>
            <w:rPr>
              <w:rFonts w:eastAsiaTheme="minorEastAsia" w:cstheme="minorBidi"/>
              <w:noProof/>
              <w:lang w:val="en-US"/>
            </w:rPr>
          </w:pPr>
          <w:hyperlink w:anchor="_Toc127199323" w:history="1">
            <w:r w:rsidR="00614C44" w:rsidRPr="00FE24AD">
              <w:rPr>
                <w:rStyle w:val="Hyperlink"/>
                <w:rFonts w:cstheme="minorHAnsi"/>
                <w:noProof/>
              </w:rPr>
              <w:t>8.4.4.</w:t>
            </w:r>
            <w:r w:rsidR="00614C44">
              <w:rPr>
                <w:rFonts w:eastAsiaTheme="minorEastAsia" w:cstheme="minorBidi"/>
                <w:noProof/>
                <w:lang w:val="en-US"/>
              </w:rPr>
              <w:tab/>
            </w:r>
            <w:r w:rsidR="00614C44" w:rsidRPr="00FE24AD">
              <w:rPr>
                <w:rStyle w:val="Hyperlink"/>
                <w:rFonts w:cstheme="minorHAnsi"/>
                <w:noProof/>
              </w:rPr>
              <w:t>MONITORIZAREA IMPLEMENTĂRII SDLID 2021 - 2027</w:t>
            </w:r>
            <w:r w:rsidR="00614C44">
              <w:rPr>
                <w:noProof/>
                <w:webHidden/>
              </w:rPr>
              <w:tab/>
            </w:r>
            <w:r w:rsidR="00614C44">
              <w:rPr>
                <w:noProof/>
                <w:webHidden/>
              </w:rPr>
              <w:fldChar w:fldCharType="begin"/>
            </w:r>
            <w:r w:rsidR="00614C44">
              <w:rPr>
                <w:noProof/>
                <w:webHidden/>
              </w:rPr>
              <w:instrText xml:space="preserve"> PAGEREF _Toc127199323 \h </w:instrText>
            </w:r>
            <w:r w:rsidR="00614C44">
              <w:rPr>
                <w:noProof/>
                <w:webHidden/>
              </w:rPr>
            </w:r>
            <w:r w:rsidR="00614C44">
              <w:rPr>
                <w:noProof/>
                <w:webHidden/>
              </w:rPr>
              <w:fldChar w:fldCharType="separate"/>
            </w:r>
            <w:r w:rsidR="005A6DD8">
              <w:rPr>
                <w:noProof/>
                <w:webHidden/>
              </w:rPr>
              <w:t>516</w:t>
            </w:r>
            <w:r w:rsidR="00614C44">
              <w:rPr>
                <w:noProof/>
                <w:webHidden/>
              </w:rPr>
              <w:fldChar w:fldCharType="end"/>
            </w:r>
          </w:hyperlink>
        </w:p>
        <w:p w14:paraId="19268858" w14:textId="6FAF4E6A" w:rsidR="00614C44" w:rsidRDefault="00000000">
          <w:pPr>
            <w:pStyle w:val="TOC3"/>
            <w:tabs>
              <w:tab w:val="left" w:pos="865"/>
              <w:tab w:val="right" w:leader="dot" w:pos="9436"/>
            </w:tabs>
            <w:rPr>
              <w:rFonts w:eastAsiaTheme="minorEastAsia" w:cstheme="minorBidi"/>
              <w:noProof/>
              <w:lang w:val="en-US"/>
            </w:rPr>
          </w:pPr>
          <w:hyperlink w:anchor="_Toc127199324" w:history="1">
            <w:r w:rsidR="00614C44" w:rsidRPr="00FE24AD">
              <w:rPr>
                <w:rStyle w:val="Hyperlink"/>
                <w:rFonts w:cstheme="minorHAnsi"/>
                <w:noProof/>
              </w:rPr>
              <w:t>8.4.5.</w:t>
            </w:r>
            <w:r w:rsidR="00614C44">
              <w:rPr>
                <w:rFonts w:eastAsiaTheme="minorEastAsia" w:cstheme="minorBidi"/>
                <w:noProof/>
                <w:lang w:val="en-US"/>
              </w:rPr>
              <w:tab/>
            </w:r>
            <w:r w:rsidR="00614C44" w:rsidRPr="00FE24AD">
              <w:rPr>
                <w:rStyle w:val="Hyperlink"/>
                <w:rFonts w:cstheme="minorHAnsi"/>
                <w:noProof/>
              </w:rPr>
              <w:t>INDICATORI DE MONITORIZARE</w:t>
            </w:r>
            <w:r w:rsidR="00614C44">
              <w:rPr>
                <w:noProof/>
                <w:webHidden/>
              </w:rPr>
              <w:tab/>
            </w:r>
            <w:r w:rsidR="00614C44">
              <w:rPr>
                <w:noProof/>
                <w:webHidden/>
              </w:rPr>
              <w:fldChar w:fldCharType="begin"/>
            </w:r>
            <w:r w:rsidR="00614C44">
              <w:rPr>
                <w:noProof/>
                <w:webHidden/>
              </w:rPr>
              <w:instrText xml:space="preserve"> PAGEREF _Toc127199324 \h </w:instrText>
            </w:r>
            <w:r w:rsidR="00614C44">
              <w:rPr>
                <w:noProof/>
                <w:webHidden/>
              </w:rPr>
            </w:r>
            <w:r w:rsidR="00614C44">
              <w:rPr>
                <w:noProof/>
                <w:webHidden/>
              </w:rPr>
              <w:fldChar w:fldCharType="separate"/>
            </w:r>
            <w:r w:rsidR="005A6DD8">
              <w:rPr>
                <w:noProof/>
                <w:webHidden/>
              </w:rPr>
              <w:t>518</w:t>
            </w:r>
            <w:r w:rsidR="00614C44">
              <w:rPr>
                <w:noProof/>
                <w:webHidden/>
              </w:rPr>
              <w:fldChar w:fldCharType="end"/>
            </w:r>
          </w:hyperlink>
        </w:p>
        <w:p w14:paraId="764952EF" w14:textId="0C4CFCCD" w:rsidR="00614C44" w:rsidRDefault="00000000">
          <w:pPr>
            <w:pStyle w:val="TOC3"/>
            <w:tabs>
              <w:tab w:val="right" w:leader="dot" w:pos="9436"/>
            </w:tabs>
            <w:rPr>
              <w:rFonts w:eastAsiaTheme="minorEastAsia" w:cstheme="minorBidi"/>
              <w:noProof/>
              <w:lang w:val="en-US"/>
            </w:rPr>
          </w:pPr>
          <w:hyperlink w:anchor="_Toc127199325" w:history="1">
            <w:r w:rsidR="00614C44" w:rsidRPr="00FE24AD">
              <w:rPr>
                <w:rStyle w:val="Hyperlink"/>
                <w:noProof/>
              </w:rPr>
              <w:t>OBIECTIV STRATEGIC/PBIECTIV SPECIFIC</w:t>
            </w:r>
            <w:r w:rsidR="00614C44">
              <w:rPr>
                <w:noProof/>
                <w:webHidden/>
              </w:rPr>
              <w:tab/>
            </w:r>
            <w:r w:rsidR="00614C44">
              <w:rPr>
                <w:noProof/>
                <w:webHidden/>
              </w:rPr>
              <w:fldChar w:fldCharType="begin"/>
            </w:r>
            <w:r w:rsidR="00614C44">
              <w:rPr>
                <w:noProof/>
                <w:webHidden/>
              </w:rPr>
              <w:instrText xml:space="preserve"> PAGEREF _Toc127199325 \h </w:instrText>
            </w:r>
            <w:r w:rsidR="00614C44">
              <w:rPr>
                <w:noProof/>
                <w:webHidden/>
              </w:rPr>
            </w:r>
            <w:r w:rsidR="00614C44">
              <w:rPr>
                <w:noProof/>
                <w:webHidden/>
              </w:rPr>
              <w:fldChar w:fldCharType="separate"/>
            </w:r>
            <w:r w:rsidR="005A6DD8">
              <w:rPr>
                <w:noProof/>
                <w:webHidden/>
              </w:rPr>
              <w:t>518</w:t>
            </w:r>
            <w:r w:rsidR="00614C44">
              <w:rPr>
                <w:noProof/>
                <w:webHidden/>
              </w:rPr>
              <w:fldChar w:fldCharType="end"/>
            </w:r>
          </w:hyperlink>
        </w:p>
        <w:p w14:paraId="75FF9926" w14:textId="6DD59CC4" w:rsidR="00614C44" w:rsidRDefault="00000000">
          <w:pPr>
            <w:pStyle w:val="TOC3"/>
            <w:tabs>
              <w:tab w:val="right" w:leader="dot" w:pos="9436"/>
            </w:tabs>
            <w:rPr>
              <w:rFonts w:eastAsiaTheme="minorEastAsia" w:cstheme="minorBidi"/>
              <w:noProof/>
              <w:lang w:val="en-US"/>
            </w:rPr>
          </w:pPr>
          <w:hyperlink w:anchor="_Toc127199326" w:history="1">
            <w:r w:rsidR="00614C44" w:rsidRPr="00FE24AD">
              <w:rPr>
                <w:rStyle w:val="Hyperlink"/>
                <w:noProof/>
              </w:rPr>
              <w:t>INDICATOR</w:t>
            </w:r>
            <w:r w:rsidR="00614C44">
              <w:rPr>
                <w:noProof/>
                <w:webHidden/>
              </w:rPr>
              <w:tab/>
            </w:r>
            <w:r w:rsidR="00614C44">
              <w:rPr>
                <w:noProof/>
                <w:webHidden/>
              </w:rPr>
              <w:fldChar w:fldCharType="begin"/>
            </w:r>
            <w:r w:rsidR="00614C44">
              <w:rPr>
                <w:noProof/>
                <w:webHidden/>
              </w:rPr>
              <w:instrText xml:space="preserve"> PAGEREF _Toc127199326 \h </w:instrText>
            </w:r>
            <w:r w:rsidR="00614C44">
              <w:rPr>
                <w:noProof/>
                <w:webHidden/>
              </w:rPr>
            </w:r>
            <w:r w:rsidR="00614C44">
              <w:rPr>
                <w:noProof/>
                <w:webHidden/>
              </w:rPr>
              <w:fldChar w:fldCharType="separate"/>
            </w:r>
            <w:r w:rsidR="005A6DD8">
              <w:rPr>
                <w:noProof/>
                <w:webHidden/>
              </w:rPr>
              <w:t>518</w:t>
            </w:r>
            <w:r w:rsidR="00614C44">
              <w:rPr>
                <w:noProof/>
                <w:webHidden/>
              </w:rPr>
              <w:fldChar w:fldCharType="end"/>
            </w:r>
          </w:hyperlink>
        </w:p>
        <w:p w14:paraId="69A35098" w14:textId="1778DDC3" w:rsidR="00614C44" w:rsidRDefault="00000000">
          <w:pPr>
            <w:pStyle w:val="TOC3"/>
            <w:tabs>
              <w:tab w:val="right" w:leader="dot" w:pos="9436"/>
            </w:tabs>
            <w:rPr>
              <w:rFonts w:eastAsiaTheme="minorEastAsia" w:cstheme="minorBidi"/>
              <w:noProof/>
              <w:lang w:val="en-US"/>
            </w:rPr>
          </w:pPr>
          <w:hyperlink w:anchor="_Toc127199327" w:history="1">
            <w:r w:rsidR="00614C44" w:rsidRPr="00FE24AD">
              <w:rPr>
                <w:rStyle w:val="Hyperlink"/>
                <w:noProof/>
              </w:rPr>
              <w:t>OBIECTIV STRATEGIC O1 – SECTOR PENTRU CETĂȚENI, CU UN CADRU URBAN ATRACTIV ȘI SERVICII PUBLICE MODERNE ȘI PERFORMANTE, CE SUSȚIN DEZVOLTAREA COMUNITĂȚII LOCALE ȘI ASIGURĂ O CALITATE RIDICATĂ A LOCUIRII</w:t>
            </w:r>
            <w:r w:rsidR="00614C44">
              <w:rPr>
                <w:noProof/>
                <w:webHidden/>
              </w:rPr>
              <w:tab/>
            </w:r>
            <w:r w:rsidR="00614C44">
              <w:rPr>
                <w:noProof/>
                <w:webHidden/>
              </w:rPr>
              <w:fldChar w:fldCharType="begin"/>
            </w:r>
            <w:r w:rsidR="00614C44">
              <w:rPr>
                <w:noProof/>
                <w:webHidden/>
              </w:rPr>
              <w:instrText xml:space="preserve"> PAGEREF _Toc127199327 \h </w:instrText>
            </w:r>
            <w:r w:rsidR="00614C44">
              <w:rPr>
                <w:noProof/>
                <w:webHidden/>
              </w:rPr>
            </w:r>
            <w:r w:rsidR="00614C44">
              <w:rPr>
                <w:noProof/>
                <w:webHidden/>
              </w:rPr>
              <w:fldChar w:fldCharType="separate"/>
            </w:r>
            <w:r w:rsidR="005A6DD8">
              <w:rPr>
                <w:noProof/>
                <w:webHidden/>
              </w:rPr>
              <w:t>518</w:t>
            </w:r>
            <w:r w:rsidR="00614C44">
              <w:rPr>
                <w:noProof/>
                <w:webHidden/>
              </w:rPr>
              <w:fldChar w:fldCharType="end"/>
            </w:r>
          </w:hyperlink>
        </w:p>
        <w:p w14:paraId="3957D8EC" w14:textId="42A5E558" w:rsidR="00614C44" w:rsidRDefault="00000000">
          <w:pPr>
            <w:pStyle w:val="TOC3"/>
            <w:tabs>
              <w:tab w:val="right" w:leader="dot" w:pos="9436"/>
            </w:tabs>
            <w:rPr>
              <w:rFonts w:eastAsiaTheme="minorEastAsia" w:cstheme="minorBidi"/>
              <w:noProof/>
              <w:lang w:val="en-US"/>
            </w:rPr>
          </w:pPr>
          <w:hyperlink w:anchor="_Toc127199328" w:history="1">
            <w:r w:rsidR="00614C44" w:rsidRPr="00FE24AD">
              <w:rPr>
                <w:rStyle w:val="Hyperlink"/>
                <w:noProof/>
              </w:rPr>
              <w:t>OBIECTIV STRATEGIC O2 – SECTOR COMPETITIV ȘI INOVATOR, ATRACTIV PENTRU FORȚA DE MUNCĂ, ANTREPRENORIAT ȘI INVESTIȚII ÎN DOMENII CU VALOARE ADĂUGATĂ MARE</w:t>
            </w:r>
            <w:r w:rsidR="00614C44">
              <w:rPr>
                <w:noProof/>
                <w:webHidden/>
              </w:rPr>
              <w:tab/>
            </w:r>
            <w:r w:rsidR="00614C44">
              <w:rPr>
                <w:noProof/>
                <w:webHidden/>
              </w:rPr>
              <w:fldChar w:fldCharType="begin"/>
            </w:r>
            <w:r w:rsidR="00614C44">
              <w:rPr>
                <w:noProof/>
                <w:webHidden/>
              </w:rPr>
              <w:instrText xml:space="preserve"> PAGEREF _Toc127199328 \h </w:instrText>
            </w:r>
            <w:r w:rsidR="00614C44">
              <w:rPr>
                <w:noProof/>
                <w:webHidden/>
              </w:rPr>
            </w:r>
            <w:r w:rsidR="00614C44">
              <w:rPr>
                <w:noProof/>
                <w:webHidden/>
              </w:rPr>
              <w:fldChar w:fldCharType="separate"/>
            </w:r>
            <w:r w:rsidR="005A6DD8">
              <w:rPr>
                <w:noProof/>
                <w:webHidden/>
              </w:rPr>
              <w:t>521</w:t>
            </w:r>
            <w:r w:rsidR="00614C44">
              <w:rPr>
                <w:noProof/>
                <w:webHidden/>
              </w:rPr>
              <w:fldChar w:fldCharType="end"/>
            </w:r>
          </w:hyperlink>
        </w:p>
        <w:p w14:paraId="7A299951" w14:textId="775AAA9F" w:rsidR="00614C44" w:rsidRDefault="00000000">
          <w:pPr>
            <w:pStyle w:val="TOC3"/>
            <w:tabs>
              <w:tab w:val="right" w:leader="dot" w:pos="9436"/>
            </w:tabs>
            <w:rPr>
              <w:rFonts w:eastAsiaTheme="minorEastAsia" w:cstheme="minorBidi"/>
              <w:noProof/>
              <w:lang w:val="en-US"/>
            </w:rPr>
          </w:pPr>
          <w:hyperlink w:anchor="_Toc127199329" w:history="1">
            <w:r w:rsidR="00614C44" w:rsidRPr="00FE24AD">
              <w:rPr>
                <w:rStyle w:val="Hyperlink"/>
                <w:noProof/>
              </w:rPr>
              <w:t>OBIECTIV STRATEGIC O3 -  SECTOR NEUTRU DIN PUNCT DE VEDERE CLIMATIC, CU O INFRASTRUCTURĂ EFICIENTĂ ȘI MODERNĂ</w:t>
            </w:r>
            <w:r w:rsidR="00614C44">
              <w:rPr>
                <w:noProof/>
                <w:webHidden/>
              </w:rPr>
              <w:tab/>
            </w:r>
            <w:r w:rsidR="00614C44">
              <w:rPr>
                <w:noProof/>
                <w:webHidden/>
              </w:rPr>
              <w:fldChar w:fldCharType="begin"/>
            </w:r>
            <w:r w:rsidR="00614C44">
              <w:rPr>
                <w:noProof/>
                <w:webHidden/>
              </w:rPr>
              <w:instrText xml:space="preserve"> PAGEREF _Toc127199329 \h </w:instrText>
            </w:r>
            <w:r w:rsidR="00614C44">
              <w:rPr>
                <w:noProof/>
                <w:webHidden/>
              </w:rPr>
            </w:r>
            <w:r w:rsidR="00614C44">
              <w:rPr>
                <w:noProof/>
                <w:webHidden/>
              </w:rPr>
              <w:fldChar w:fldCharType="separate"/>
            </w:r>
            <w:r w:rsidR="005A6DD8">
              <w:rPr>
                <w:noProof/>
                <w:webHidden/>
              </w:rPr>
              <w:t>522</w:t>
            </w:r>
            <w:r w:rsidR="00614C44">
              <w:rPr>
                <w:noProof/>
                <w:webHidden/>
              </w:rPr>
              <w:fldChar w:fldCharType="end"/>
            </w:r>
          </w:hyperlink>
        </w:p>
        <w:p w14:paraId="28EBB27C" w14:textId="6ABE34AA" w:rsidR="00614C44" w:rsidRDefault="00000000">
          <w:pPr>
            <w:pStyle w:val="TOC3"/>
            <w:tabs>
              <w:tab w:val="right" w:leader="dot" w:pos="9436"/>
            </w:tabs>
            <w:rPr>
              <w:rFonts w:eastAsiaTheme="minorEastAsia" w:cstheme="minorBidi"/>
              <w:noProof/>
              <w:lang w:val="en-US"/>
            </w:rPr>
          </w:pPr>
          <w:hyperlink w:anchor="_Toc127199330" w:history="1">
            <w:r w:rsidR="00614C44" w:rsidRPr="00FE24AD">
              <w:rPr>
                <w:rStyle w:val="Hyperlink"/>
                <w:noProof/>
              </w:rPr>
              <w:t>OBIECTIV STRATEGIC O4 -  ADMINISTRAȚIE PUBLICĂ LOCALĂ PERFORMANTĂ CE SPRIJINĂ DEZVOLTAREA DURABILĂ PRIN DESCHIDERE ȘI TRANSPARENȚĂ, ÎNCURAJAREA PARTICIPĂRII TUTUROR CETĂȚENILOR ÎN PROCESELE DE DECIZIE ȘI FOLOSIREA NOILOR TEHNOLOGII</w:t>
            </w:r>
            <w:r w:rsidR="00614C44">
              <w:rPr>
                <w:noProof/>
                <w:webHidden/>
              </w:rPr>
              <w:tab/>
            </w:r>
            <w:r w:rsidR="00614C44">
              <w:rPr>
                <w:noProof/>
                <w:webHidden/>
              </w:rPr>
              <w:fldChar w:fldCharType="begin"/>
            </w:r>
            <w:r w:rsidR="00614C44">
              <w:rPr>
                <w:noProof/>
                <w:webHidden/>
              </w:rPr>
              <w:instrText xml:space="preserve"> PAGEREF _Toc127199330 \h </w:instrText>
            </w:r>
            <w:r w:rsidR="00614C44">
              <w:rPr>
                <w:noProof/>
                <w:webHidden/>
              </w:rPr>
            </w:r>
            <w:r w:rsidR="00614C44">
              <w:rPr>
                <w:noProof/>
                <w:webHidden/>
              </w:rPr>
              <w:fldChar w:fldCharType="separate"/>
            </w:r>
            <w:r w:rsidR="005A6DD8">
              <w:rPr>
                <w:noProof/>
                <w:webHidden/>
              </w:rPr>
              <w:t>523</w:t>
            </w:r>
            <w:r w:rsidR="00614C44">
              <w:rPr>
                <w:noProof/>
                <w:webHidden/>
              </w:rPr>
              <w:fldChar w:fldCharType="end"/>
            </w:r>
          </w:hyperlink>
        </w:p>
        <w:p w14:paraId="752B14D6" w14:textId="33F3CE07" w:rsidR="00614C44" w:rsidRDefault="00000000">
          <w:pPr>
            <w:pStyle w:val="TOC3"/>
            <w:tabs>
              <w:tab w:val="left" w:pos="865"/>
              <w:tab w:val="right" w:leader="dot" w:pos="9436"/>
            </w:tabs>
            <w:rPr>
              <w:rFonts w:eastAsiaTheme="minorEastAsia" w:cstheme="minorBidi"/>
              <w:noProof/>
              <w:lang w:val="en-US"/>
            </w:rPr>
          </w:pPr>
          <w:hyperlink w:anchor="_Toc127199331" w:history="1">
            <w:r w:rsidR="00614C44" w:rsidRPr="00FE24AD">
              <w:rPr>
                <w:rStyle w:val="Hyperlink"/>
                <w:rFonts w:cstheme="minorHAnsi"/>
                <w:noProof/>
              </w:rPr>
              <w:t>8.4.6.</w:t>
            </w:r>
            <w:r w:rsidR="00614C44">
              <w:rPr>
                <w:rFonts w:eastAsiaTheme="minorEastAsia" w:cstheme="minorBidi"/>
                <w:noProof/>
                <w:lang w:val="en-US"/>
              </w:rPr>
              <w:tab/>
            </w:r>
            <w:r w:rsidR="00614C44" w:rsidRPr="00FE24AD">
              <w:rPr>
                <w:rStyle w:val="Hyperlink"/>
                <w:rFonts w:cstheme="minorHAnsi"/>
                <w:noProof/>
              </w:rPr>
              <w:t>RISCURI ȘI MĂSURI DE ATENUARIE A RISCURILOR IMPLEMENTĂRII</w:t>
            </w:r>
            <w:r w:rsidR="00614C44">
              <w:rPr>
                <w:noProof/>
                <w:webHidden/>
              </w:rPr>
              <w:tab/>
            </w:r>
            <w:r w:rsidR="00614C44">
              <w:rPr>
                <w:noProof/>
                <w:webHidden/>
              </w:rPr>
              <w:fldChar w:fldCharType="begin"/>
            </w:r>
            <w:r w:rsidR="00614C44">
              <w:rPr>
                <w:noProof/>
                <w:webHidden/>
              </w:rPr>
              <w:instrText xml:space="preserve"> PAGEREF _Toc127199331 \h </w:instrText>
            </w:r>
            <w:r w:rsidR="00614C44">
              <w:rPr>
                <w:noProof/>
                <w:webHidden/>
              </w:rPr>
            </w:r>
            <w:r w:rsidR="00614C44">
              <w:rPr>
                <w:noProof/>
                <w:webHidden/>
              </w:rPr>
              <w:fldChar w:fldCharType="separate"/>
            </w:r>
            <w:r w:rsidR="005A6DD8">
              <w:rPr>
                <w:noProof/>
                <w:webHidden/>
              </w:rPr>
              <w:t>526</w:t>
            </w:r>
            <w:r w:rsidR="00614C44">
              <w:rPr>
                <w:noProof/>
                <w:webHidden/>
              </w:rPr>
              <w:fldChar w:fldCharType="end"/>
            </w:r>
          </w:hyperlink>
        </w:p>
        <w:p w14:paraId="10CB5520" w14:textId="767EFEEE" w:rsidR="00614C44" w:rsidRDefault="00000000">
          <w:pPr>
            <w:pStyle w:val="TOC1"/>
            <w:rPr>
              <w:rFonts w:eastAsiaTheme="minorEastAsia" w:cstheme="minorBidi"/>
              <w:b w:val="0"/>
              <w:bCs w:val="0"/>
              <w:smallCaps w:val="0"/>
              <w:color w:val="auto"/>
              <w:lang w:val="en-US"/>
            </w:rPr>
          </w:pPr>
          <w:hyperlink w:anchor="_Toc127199332" w:history="1">
            <w:r w:rsidR="00614C44" w:rsidRPr="00FE24AD">
              <w:rPr>
                <w:rStyle w:val="Hyperlink"/>
              </w:rPr>
              <w:t>9.</w:t>
            </w:r>
            <w:r w:rsidR="00614C44">
              <w:rPr>
                <w:rFonts w:eastAsiaTheme="minorEastAsia" w:cstheme="minorBidi"/>
                <w:b w:val="0"/>
                <w:bCs w:val="0"/>
                <w:smallCaps w:val="0"/>
                <w:color w:val="auto"/>
                <w:lang w:val="en-US"/>
              </w:rPr>
              <w:tab/>
            </w:r>
            <w:r w:rsidR="00614C44" w:rsidRPr="00FE24AD">
              <w:rPr>
                <w:rStyle w:val="Hyperlink"/>
              </w:rPr>
              <w:t>CADRUL PARTENERIAL PENTRU ELABORAREA SDLID S2</w:t>
            </w:r>
            <w:r w:rsidR="00614C44">
              <w:rPr>
                <w:webHidden/>
              </w:rPr>
              <w:tab/>
            </w:r>
            <w:r w:rsidR="00614C44">
              <w:rPr>
                <w:webHidden/>
              </w:rPr>
              <w:fldChar w:fldCharType="begin"/>
            </w:r>
            <w:r w:rsidR="00614C44">
              <w:rPr>
                <w:webHidden/>
              </w:rPr>
              <w:instrText xml:space="preserve"> PAGEREF _Toc127199332 \h </w:instrText>
            </w:r>
            <w:r w:rsidR="00614C44">
              <w:rPr>
                <w:webHidden/>
              </w:rPr>
            </w:r>
            <w:r w:rsidR="00614C44">
              <w:rPr>
                <w:webHidden/>
              </w:rPr>
              <w:fldChar w:fldCharType="separate"/>
            </w:r>
            <w:r w:rsidR="005A6DD8">
              <w:rPr>
                <w:webHidden/>
              </w:rPr>
              <w:t>528</w:t>
            </w:r>
            <w:r w:rsidR="00614C44">
              <w:rPr>
                <w:webHidden/>
              </w:rPr>
              <w:fldChar w:fldCharType="end"/>
            </w:r>
          </w:hyperlink>
        </w:p>
        <w:p w14:paraId="638D5802" w14:textId="03AA2BBB" w:rsidR="00614C44" w:rsidRDefault="00000000">
          <w:pPr>
            <w:pStyle w:val="TOC2"/>
            <w:tabs>
              <w:tab w:val="left" w:pos="554"/>
              <w:tab w:val="right" w:leader="dot" w:pos="9436"/>
            </w:tabs>
            <w:rPr>
              <w:rFonts w:eastAsiaTheme="minorEastAsia" w:cstheme="minorBidi"/>
              <w:noProof/>
              <w:lang w:val="en-US"/>
            </w:rPr>
          </w:pPr>
          <w:hyperlink w:anchor="_Toc127199333" w:history="1">
            <w:r w:rsidR="00614C44" w:rsidRPr="00FE24AD">
              <w:rPr>
                <w:rStyle w:val="Hyperlink"/>
                <w:noProof/>
              </w:rPr>
              <w:t>9.1.</w:t>
            </w:r>
            <w:r w:rsidR="00614C44">
              <w:rPr>
                <w:rFonts w:eastAsiaTheme="minorEastAsia" w:cstheme="minorBidi"/>
                <w:noProof/>
                <w:lang w:val="en-US"/>
              </w:rPr>
              <w:tab/>
            </w:r>
            <w:r w:rsidR="00614C44" w:rsidRPr="00FE24AD">
              <w:rPr>
                <w:rStyle w:val="Hyperlink"/>
                <w:noProof/>
              </w:rPr>
              <w:t>ÎNTÂLNIRILE DE CONSULTARE A CETĂȚENILOR</w:t>
            </w:r>
            <w:r w:rsidR="00614C44">
              <w:rPr>
                <w:noProof/>
                <w:webHidden/>
              </w:rPr>
              <w:tab/>
            </w:r>
            <w:r w:rsidR="00614C44">
              <w:rPr>
                <w:noProof/>
                <w:webHidden/>
              </w:rPr>
              <w:fldChar w:fldCharType="begin"/>
            </w:r>
            <w:r w:rsidR="00614C44">
              <w:rPr>
                <w:noProof/>
                <w:webHidden/>
              </w:rPr>
              <w:instrText xml:space="preserve"> PAGEREF _Toc127199333 \h </w:instrText>
            </w:r>
            <w:r w:rsidR="00614C44">
              <w:rPr>
                <w:noProof/>
                <w:webHidden/>
              </w:rPr>
            </w:r>
            <w:r w:rsidR="00614C44">
              <w:rPr>
                <w:noProof/>
                <w:webHidden/>
              </w:rPr>
              <w:fldChar w:fldCharType="separate"/>
            </w:r>
            <w:r w:rsidR="005A6DD8">
              <w:rPr>
                <w:noProof/>
                <w:webHidden/>
              </w:rPr>
              <w:t>528</w:t>
            </w:r>
            <w:r w:rsidR="00614C44">
              <w:rPr>
                <w:noProof/>
                <w:webHidden/>
              </w:rPr>
              <w:fldChar w:fldCharType="end"/>
            </w:r>
          </w:hyperlink>
        </w:p>
        <w:p w14:paraId="40762516" w14:textId="1C176D0C" w:rsidR="00614C44" w:rsidRDefault="00000000">
          <w:pPr>
            <w:pStyle w:val="TOC3"/>
            <w:tabs>
              <w:tab w:val="left" w:pos="865"/>
              <w:tab w:val="right" w:leader="dot" w:pos="9436"/>
            </w:tabs>
            <w:rPr>
              <w:rFonts w:eastAsiaTheme="minorEastAsia" w:cstheme="minorBidi"/>
              <w:noProof/>
              <w:lang w:val="en-US"/>
            </w:rPr>
          </w:pPr>
          <w:hyperlink w:anchor="_Toc127199334" w:history="1">
            <w:r w:rsidR="00614C44" w:rsidRPr="00FE24AD">
              <w:rPr>
                <w:rStyle w:val="Hyperlink"/>
                <w:noProof/>
              </w:rPr>
              <w:t>9.1.1.</w:t>
            </w:r>
            <w:r w:rsidR="00614C44">
              <w:rPr>
                <w:rFonts w:eastAsiaTheme="minorEastAsia" w:cstheme="minorBidi"/>
                <w:noProof/>
                <w:lang w:val="en-US"/>
              </w:rPr>
              <w:tab/>
            </w:r>
            <w:r w:rsidR="00614C44" w:rsidRPr="00FE24AD">
              <w:rPr>
                <w:rStyle w:val="Hyperlink"/>
                <w:noProof/>
              </w:rPr>
              <w:t>ZONA 1 – PIPERA, TEI, FLOREASCA</w:t>
            </w:r>
            <w:r w:rsidR="00614C44">
              <w:rPr>
                <w:noProof/>
                <w:webHidden/>
              </w:rPr>
              <w:tab/>
            </w:r>
            <w:r w:rsidR="00614C44">
              <w:rPr>
                <w:noProof/>
                <w:webHidden/>
              </w:rPr>
              <w:fldChar w:fldCharType="begin"/>
            </w:r>
            <w:r w:rsidR="00614C44">
              <w:rPr>
                <w:noProof/>
                <w:webHidden/>
              </w:rPr>
              <w:instrText xml:space="preserve"> PAGEREF _Toc127199334 \h </w:instrText>
            </w:r>
            <w:r w:rsidR="00614C44">
              <w:rPr>
                <w:noProof/>
                <w:webHidden/>
              </w:rPr>
            </w:r>
            <w:r w:rsidR="00614C44">
              <w:rPr>
                <w:noProof/>
                <w:webHidden/>
              </w:rPr>
              <w:fldChar w:fldCharType="separate"/>
            </w:r>
            <w:r w:rsidR="005A6DD8">
              <w:rPr>
                <w:noProof/>
                <w:webHidden/>
              </w:rPr>
              <w:t>528</w:t>
            </w:r>
            <w:r w:rsidR="00614C44">
              <w:rPr>
                <w:noProof/>
                <w:webHidden/>
              </w:rPr>
              <w:fldChar w:fldCharType="end"/>
            </w:r>
          </w:hyperlink>
        </w:p>
        <w:p w14:paraId="0F798719" w14:textId="46C1E1F7" w:rsidR="00614C44" w:rsidRDefault="00000000">
          <w:pPr>
            <w:pStyle w:val="TOC3"/>
            <w:tabs>
              <w:tab w:val="left" w:pos="865"/>
              <w:tab w:val="right" w:leader="dot" w:pos="9436"/>
            </w:tabs>
            <w:rPr>
              <w:rFonts w:eastAsiaTheme="minorEastAsia" w:cstheme="minorBidi"/>
              <w:noProof/>
              <w:lang w:val="en-US"/>
            </w:rPr>
          </w:pPr>
          <w:hyperlink w:anchor="_Toc127199335" w:history="1">
            <w:r w:rsidR="00614C44" w:rsidRPr="00FE24AD">
              <w:rPr>
                <w:rStyle w:val="Hyperlink"/>
                <w:noProof/>
              </w:rPr>
              <w:t>9.1.2.</w:t>
            </w:r>
            <w:r w:rsidR="00614C44">
              <w:rPr>
                <w:rFonts w:eastAsiaTheme="minorEastAsia" w:cstheme="minorBidi"/>
                <w:noProof/>
                <w:lang w:val="en-US"/>
              </w:rPr>
              <w:tab/>
            </w:r>
            <w:r w:rsidR="00614C44" w:rsidRPr="00FE24AD">
              <w:rPr>
                <w:rStyle w:val="Hyperlink"/>
                <w:noProof/>
              </w:rPr>
              <w:t>ZONA 2 – VATRA LUMINOASĂ, PANTELIMON</w:t>
            </w:r>
            <w:r w:rsidR="00614C44">
              <w:rPr>
                <w:noProof/>
                <w:webHidden/>
              </w:rPr>
              <w:tab/>
            </w:r>
            <w:r w:rsidR="00614C44">
              <w:rPr>
                <w:noProof/>
                <w:webHidden/>
              </w:rPr>
              <w:fldChar w:fldCharType="begin"/>
            </w:r>
            <w:r w:rsidR="00614C44">
              <w:rPr>
                <w:noProof/>
                <w:webHidden/>
              </w:rPr>
              <w:instrText xml:space="preserve"> PAGEREF _Toc127199335 \h </w:instrText>
            </w:r>
            <w:r w:rsidR="00614C44">
              <w:rPr>
                <w:noProof/>
                <w:webHidden/>
              </w:rPr>
            </w:r>
            <w:r w:rsidR="00614C44">
              <w:rPr>
                <w:noProof/>
                <w:webHidden/>
              </w:rPr>
              <w:fldChar w:fldCharType="separate"/>
            </w:r>
            <w:r w:rsidR="005A6DD8">
              <w:rPr>
                <w:noProof/>
                <w:webHidden/>
              </w:rPr>
              <w:t>529</w:t>
            </w:r>
            <w:r w:rsidR="00614C44">
              <w:rPr>
                <w:noProof/>
                <w:webHidden/>
              </w:rPr>
              <w:fldChar w:fldCharType="end"/>
            </w:r>
          </w:hyperlink>
        </w:p>
        <w:p w14:paraId="44409636" w14:textId="73BDC0B3" w:rsidR="00614C44" w:rsidRDefault="00000000">
          <w:pPr>
            <w:pStyle w:val="TOC3"/>
            <w:tabs>
              <w:tab w:val="left" w:pos="865"/>
              <w:tab w:val="right" w:leader="dot" w:pos="9436"/>
            </w:tabs>
            <w:rPr>
              <w:rFonts w:eastAsiaTheme="minorEastAsia" w:cstheme="minorBidi"/>
              <w:noProof/>
              <w:lang w:val="en-US"/>
            </w:rPr>
          </w:pPr>
          <w:hyperlink w:anchor="_Toc127199336" w:history="1">
            <w:r w:rsidR="00614C44" w:rsidRPr="00FE24AD">
              <w:rPr>
                <w:rStyle w:val="Hyperlink"/>
                <w:noProof/>
              </w:rPr>
              <w:t>9.1.3.</w:t>
            </w:r>
            <w:r w:rsidR="00614C44">
              <w:rPr>
                <w:rFonts w:eastAsiaTheme="minorEastAsia" w:cstheme="minorBidi"/>
                <w:noProof/>
                <w:lang w:val="en-US"/>
              </w:rPr>
              <w:tab/>
            </w:r>
            <w:r w:rsidR="00614C44" w:rsidRPr="00FE24AD">
              <w:rPr>
                <w:rStyle w:val="Hyperlink"/>
                <w:noProof/>
              </w:rPr>
              <w:t>ZONA 3 – FUNDENI, PLUMBUITA, COLENTINA</w:t>
            </w:r>
            <w:r w:rsidR="00614C44">
              <w:rPr>
                <w:noProof/>
                <w:webHidden/>
              </w:rPr>
              <w:tab/>
            </w:r>
            <w:r w:rsidR="00614C44">
              <w:rPr>
                <w:noProof/>
                <w:webHidden/>
              </w:rPr>
              <w:fldChar w:fldCharType="begin"/>
            </w:r>
            <w:r w:rsidR="00614C44">
              <w:rPr>
                <w:noProof/>
                <w:webHidden/>
              </w:rPr>
              <w:instrText xml:space="preserve"> PAGEREF _Toc127199336 \h </w:instrText>
            </w:r>
            <w:r w:rsidR="00614C44">
              <w:rPr>
                <w:noProof/>
                <w:webHidden/>
              </w:rPr>
            </w:r>
            <w:r w:rsidR="00614C44">
              <w:rPr>
                <w:noProof/>
                <w:webHidden/>
              </w:rPr>
              <w:fldChar w:fldCharType="separate"/>
            </w:r>
            <w:r w:rsidR="005A6DD8">
              <w:rPr>
                <w:noProof/>
                <w:webHidden/>
              </w:rPr>
              <w:t>531</w:t>
            </w:r>
            <w:r w:rsidR="00614C44">
              <w:rPr>
                <w:noProof/>
                <w:webHidden/>
              </w:rPr>
              <w:fldChar w:fldCharType="end"/>
            </w:r>
          </w:hyperlink>
        </w:p>
        <w:p w14:paraId="7CCF5E12" w14:textId="16A406BE" w:rsidR="00614C44" w:rsidRDefault="00000000">
          <w:pPr>
            <w:pStyle w:val="TOC3"/>
            <w:tabs>
              <w:tab w:val="left" w:pos="865"/>
              <w:tab w:val="right" w:leader="dot" w:pos="9436"/>
            </w:tabs>
            <w:rPr>
              <w:rFonts w:eastAsiaTheme="minorEastAsia" w:cstheme="minorBidi"/>
              <w:noProof/>
              <w:lang w:val="en-US"/>
            </w:rPr>
          </w:pPr>
          <w:hyperlink w:anchor="_Toc127199337" w:history="1">
            <w:r w:rsidR="00614C44" w:rsidRPr="00FE24AD">
              <w:rPr>
                <w:rStyle w:val="Hyperlink"/>
                <w:noProof/>
              </w:rPr>
              <w:t>9.1.4.</w:t>
            </w:r>
            <w:r w:rsidR="00614C44">
              <w:rPr>
                <w:rFonts w:eastAsiaTheme="minorEastAsia" w:cstheme="minorBidi"/>
                <w:noProof/>
                <w:lang w:val="en-US"/>
              </w:rPr>
              <w:tab/>
            </w:r>
            <w:r w:rsidR="00614C44" w:rsidRPr="00FE24AD">
              <w:rPr>
                <w:rStyle w:val="Hyperlink"/>
                <w:noProof/>
              </w:rPr>
              <w:t>ZONA 4 – EMINESCU,  PIAȚA ROMANA,  UNIVERSITATE, STEFAN CEL MARE</w:t>
            </w:r>
            <w:r w:rsidR="00614C44">
              <w:rPr>
                <w:noProof/>
                <w:webHidden/>
              </w:rPr>
              <w:tab/>
            </w:r>
            <w:r w:rsidR="00614C44">
              <w:rPr>
                <w:noProof/>
                <w:webHidden/>
              </w:rPr>
              <w:fldChar w:fldCharType="begin"/>
            </w:r>
            <w:r w:rsidR="00614C44">
              <w:rPr>
                <w:noProof/>
                <w:webHidden/>
              </w:rPr>
              <w:instrText xml:space="preserve"> PAGEREF _Toc127199337 \h </w:instrText>
            </w:r>
            <w:r w:rsidR="00614C44">
              <w:rPr>
                <w:noProof/>
                <w:webHidden/>
              </w:rPr>
            </w:r>
            <w:r w:rsidR="00614C44">
              <w:rPr>
                <w:noProof/>
                <w:webHidden/>
              </w:rPr>
              <w:fldChar w:fldCharType="separate"/>
            </w:r>
            <w:r w:rsidR="005A6DD8">
              <w:rPr>
                <w:noProof/>
                <w:webHidden/>
              </w:rPr>
              <w:t>532</w:t>
            </w:r>
            <w:r w:rsidR="00614C44">
              <w:rPr>
                <w:noProof/>
                <w:webHidden/>
              </w:rPr>
              <w:fldChar w:fldCharType="end"/>
            </w:r>
          </w:hyperlink>
        </w:p>
        <w:p w14:paraId="3A58CB2E" w14:textId="6D9A6044" w:rsidR="00614C44" w:rsidRDefault="00000000">
          <w:pPr>
            <w:pStyle w:val="TOC3"/>
            <w:tabs>
              <w:tab w:val="left" w:pos="865"/>
              <w:tab w:val="right" w:leader="dot" w:pos="9436"/>
            </w:tabs>
            <w:rPr>
              <w:rFonts w:eastAsiaTheme="minorEastAsia" w:cstheme="minorBidi"/>
              <w:noProof/>
              <w:lang w:val="en-US"/>
            </w:rPr>
          </w:pPr>
          <w:hyperlink w:anchor="_Toc127199338" w:history="1">
            <w:r w:rsidR="00614C44" w:rsidRPr="00FE24AD">
              <w:rPr>
                <w:rStyle w:val="Hyperlink"/>
                <w:noProof/>
              </w:rPr>
              <w:t>9.1.5.</w:t>
            </w:r>
            <w:r w:rsidR="00614C44">
              <w:rPr>
                <w:rFonts w:eastAsiaTheme="minorEastAsia" w:cstheme="minorBidi"/>
                <w:noProof/>
                <w:lang w:val="en-US"/>
              </w:rPr>
              <w:tab/>
            </w:r>
            <w:r w:rsidR="00614C44" w:rsidRPr="00FE24AD">
              <w:rPr>
                <w:rStyle w:val="Hyperlink"/>
                <w:noProof/>
              </w:rPr>
              <w:t>ZONA 5 – CALEA CĂLĂRAȘILOR, PACHE PROTOPOPESCU, FERDINAND</w:t>
            </w:r>
            <w:r w:rsidR="00614C44">
              <w:rPr>
                <w:noProof/>
                <w:webHidden/>
              </w:rPr>
              <w:tab/>
            </w:r>
            <w:r w:rsidR="00614C44">
              <w:rPr>
                <w:noProof/>
                <w:webHidden/>
              </w:rPr>
              <w:fldChar w:fldCharType="begin"/>
            </w:r>
            <w:r w:rsidR="00614C44">
              <w:rPr>
                <w:noProof/>
                <w:webHidden/>
              </w:rPr>
              <w:instrText xml:space="preserve"> PAGEREF _Toc127199338 \h </w:instrText>
            </w:r>
            <w:r w:rsidR="00614C44">
              <w:rPr>
                <w:noProof/>
                <w:webHidden/>
              </w:rPr>
            </w:r>
            <w:r w:rsidR="00614C44">
              <w:rPr>
                <w:noProof/>
                <w:webHidden/>
              </w:rPr>
              <w:fldChar w:fldCharType="separate"/>
            </w:r>
            <w:r w:rsidR="005A6DD8">
              <w:rPr>
                <w:noProof/>
                <w:webHidden/>
              </w:rPr>
              <w:t>533</w:t>
            </w:r>
            <w:r w:rsidR="00614C44">
              <w:rPr>
                <w:noProof/>
                <w:webHidden/>
              </w:rPr>
              <w:fldChar w:fldCharType="end"/>
            </w:r>
          </w:hyperlink>
        </w:p>
        <w:p w14:paraId="7B777A40" w14:textId="0913DA01" w:rsidR="00614C44" w:rsidRDefault="00000000">
          <w:pPr>
            <w:pStyle w:val="TOC3"/>
            <w:tabs>
              <w:tab w:val="left" w:pos="865"/>
              <w:tab w:val="right" w:leader="dot" w:pos="9436"/>
            </w:tabs>
            <w:rPr>
              <w:rFonts w:eastAsiaTheme="minorEastAsia" w:cstheme="minorBidi"/>
              <w:noProof/>
              <w:lang w:val="en-US"/>
            </w:rPr>
          </w:pPr>
          <w:hyperlink w:anchor="_Toc127199339" w:history="1">
            <w:r w:rsidR="00614C44" w:rsidRPr="00FE24AD">
              <w:rPr>
                <w:rStyle w:val="Hyperlink"/>
                <w:noProof/>
              </w:rPr>
              <w:t>9.1.6.</w:t>
            </w:r>
            <w:r w:rsidR="00614C44">
              <w:rPr>
                <w:rFonts w:eastAsiaTheme="minorEastAsia" w:cstheme="minorBidi"/>
                <w:noProof/>
                <w:lang w:val="en-US"/>
              </w:rPr>
              <w:tab/>
            </w:r>
            <w:r w:rsidR="00614C44" w:rsidRPr="00FE24AD">
              <w:rPr>
                <w:rStyle w:val="Hyperlink"/>
                <w:noProof/>
              </w:rPr>
              <w:t>ZONA 6 – OBOR, ELECTRONICII, BAICULUI, IANCULUI</w:t>
            </w:r>
            <w:r w:rsidR="00614C44">
              <w:rPr>
                <w:noProof/>
                <w:webHidden/>
              </w:rPr>
              <w:tab/>
            </w:r>
            <w:r w:rsidR="00614C44">
              <w:rPr>
                <w:noProof/>
                <w:webHidden/>
              </w:rPr>
              <w:fldChar w:fldCharType="begin"/>
            </w:r>
            <w:r w:rsidR="00614C44">
              <w:rPr>
                <w:noProof/>
                <w:webHidden/>
              </w:rPr>
              <w:instrText xml:space="preserve"> PAGEREF _Toc127199339 \h </w:instrText>
            </w:r>
            <w:r w:rsidR="00614C44">
              <w:rPr>
                <w:noProof/>
                <w:webHidden/>
              </w:rPr>
            </w:r>
            <w:r w:rsidR="00614C44">
              <w:rPr>
                <w:noProof/>
                <w:webHidden/>
              </w:rPr>
              <w:fldChar w:fldCharType="separate"/>
            </w:r>
            <w:r w:rsidR="005A6DD8">
              <w:rPr>
                <w:noProof/>
                <w:webHidden/>
              </w:rPr>
              <w:t>534</w:t>
            </w:r>
            <w:r w:rsidR="00614C44">
              <w:rPr>
                <w:noProof/>
                <w:webHidden/>
              </w:rPr>
              <w:fldChar w:fldCharType="end"/>
            </w:r>
          </w:hyperlink>
        </w:p>
        <w:p w14:paraId="3199E196" w14:textId="438240B4" w:rsidR="00614C44" w:rsidRDefault="00000000">
          <w:pPr>
            <w:pStyle w:val="TOC3"/>
            <w:tabs>
              <w:tab w:val="left" w:pos="865"/>
              <w:tab w:val="right" w:leader="dot" w:pos="9436"/>
            </w:tabs>
            <w:rPr>
              <w:rFonts w:eastAsiaTheme="minorEastAsia" w:cstheme="minorBidi"/>
              <w:noProof/>
              <w:lang w:val="en-US"/>
            </w:rPr>
          </w:pPr>
          <w:hyperlink w:anchor="_Toc127199340" w:history="1">
            <w:r w:rsidR="00614C44" w:rsidRPr="00FE24AD">
              <w:rPr>
                <w:rStyle w:val="Hyperlink"/>
                <w:noProof/>
              </w:rPr>
              <w:t>9.1.7.</w:t>
            </w:r>
            <w:r w:rsidR="00614C44">
              <w:rPr>
                <w:rFonts w:eastAsiaTheme="minorEastAsia" w:cstheme="minorBidi"/>
                <w:noProof/>
                <w:lang w:val="en-US"/>
              </w:rPr>
              <w:tab/>
            </w:r>
            <w:r w:rsidR="00614C44" w:rsidRPr="00FE24AD">
              <w:rPr>
                <w:rStyle w:val="Hyperlink"/>
                <w:noProof/>
              </w:rPr>
              <w:t>ZONA 7 – ANDRONACHE, ION CREANGĂ</w:t>
            </w:r>
            <w:r w:rsidR="00614C44">
              <w:rPr>
                <w:noProof/>
                <w:webHidden/>
              </w:rPr>
              <w:tab/>
            </w:r>
            <w:r w:rsidR="00614C44">
              <w:rPr>
                <w:noProof/>
                <w:webHidden/>
              </w:rPr>
              <w:fldChar w:fldCharType="begin"/>
            </w:r>
            <w:r w:rsidR="00614C44">
              <w:rPr>
                <w:noProof/>
                <w:webHidden/>
              </w:rPr>
              <w:instrText xml:space="preserve"> PAGEREF _Toc127199340 \h </w:instrText>
            </w:r>
            <w:r w:rsidR="00614C44">
              <w:rPr>
                <w:noProof/>
                <w:webHidden/>
              </w:rPr>
            </w:r>
            <w:r w:rsidR="00614C44">
              <w:rPr>
                <w:noProof/>
                <w:webHidden/>
              </w:rPr>
              <w:fldChar w:fldCharType="separate"/>
            </w:r>
            <w:r w:rsidR="005A6DD8">
              <w:rPr>
                <w:noProof/>
                <w:webHidden/>
              </w:rPr>
              <w:t>535</w:t>
            </w:r>
            <w:r w:rsidR="00614C44">
              <w:rPr>
                <w:noProof/>
                <w:webHidden/>
              </w:rPr>
              <w:fldChar w:fldCharType="end"/>
            </w:r>
          </w:hyperlink>
        </w:p>
        <w:p w14:paraId="7770068A" w14:textId="4B97794A" w:rsidR="00614C44" w:rsidRDefault="00000000">
          <w:pPr>
            <w:pStyle w:val="TOC2"/>
            <w:tabs>
              <w:tab w:val="left" w:pos="554"/>
              <w:tab w:val="right" w:leader="dot" w:pos="9436"/>
            </w:tabs>
            <w:rPr>
              <w:rFonts w:eastAsiaTheme="minorEastAsia" w:cstheme="minorBidi"/>
              <w:noProof/>
              <w:lang w:val="en-US"/>
            </w:rPr>
          </w:pPr>
          <w:hyperlink w:anchor="_Toc127199341" w:history="1">
            <w:r w:rsidR="00614C44" w:rsidRPr="00FE24AD">
              <w:rPr>
                <w:rStyle w:val="Hyperlink"/>
                <w:noProof/>
              </w:rPr>
              <w:t>9.2.</w:t>
            </w:r>
            <w:r w:rsidR="00614C44">
              <w:rPr>
                <w:rFonts w:eastAsiaTheme="minorEastAsia" w:cstheme="minorBidi"/>
                <w:noProof/>
                <w:lang w:val="en-US"/>
              </w:rPr>
              <w:tab/>
            </w:r>
            <w:r w:rsidR="00614C44" w:rsidRPr="00FE24AD">
              <w:rPr>
                <w:rStyle w:val="Hyperlink"/>
                <w:noProof/>
              </w:rPr>
              <w:t>GRUPURI DE LUCRU PENTRU CONSULTAREA ACTORILOR RELEVANȚI</w:t>
            </w:r>
            <w:r w:rsidR="00614C44">
              <w:rPr>
                <w:noProof/>
                <w:webHidden/>
              </w:rPr>
              <w:tab/>
            </w:r>
            <w:r w:rsidR="00614C44">
              <w:rPr>
                <w:noProof/>
                <w:webHidden/>
              </w:rPr>
              <w:fldChar w:fldCharType="begin"/>
            </w:r>
            <w:r w:rsidR="00614C44">
              <w:rPr>
                <w:noProof/>
                <w:webHidden/>
              </w:rPr>
              <w:instrText xml:space="preserve"> PAGEREF _Toc127199341 \h </w:instrText>
            </w:r>
            <w:r w:rsidR="00614C44">
              <w:rPr>
                <w:noProof/>
                <w:webHidden/>
              </w:rPr>
            </w:r>
            <w:r w:rsidR="00614C44">
              <w:rPr>
                <w:noProof/>
                <w:webHidden/>
              </w:rPr>
              <w:fldChar w:fldCharType="separate"/>
            </w:r>
            <w:r w:rsidR="005A6DD8">
              <w:rPr>
                <w:noProof/>
                <w:webHidden/>
              </w:rPr>
              <w:t>537</w:t>
            </w:r>
            <w:r w:rsidR="00614C44">
              <w:rPr>
                <w:noProof/>
                <w:webHidden/>
              </w:rPr>
              <w:fldChar w:fldCharType="end"/>
            </w:r>
          </w:hyperlink>
        </w:p>
        <w:p w14:paraId="1FB7CE2D" w14:textId="738A5539" w:rsidR="00614C44" w:rsidRDefault="00000000">
          <w:pPr>
            <w:pStyle w:val="TOC3"/>
            <w:tabs>
              <w:tab w:val="left" w:pos="865"/>
              <w:tab w:val="right" w:leader="dot" w:pos="9436"/>
            </w:tabs>
            <w:rPr>
              <w:rFonts w:eastAsiaTheme="minorEastAsia" w:cstheme="minorBidi"/>
              <w:noProof/>
              <w:lang w:val="en-US"/>
            </w:rPr>
          </w:pPr>
          <w:hyperlink w:anchor="_Toc127199342" w:history="1">
            <w:r w:rsidR="00614C44" w:rsidRPr="00FE24AD">
              <w:rPr>
                <w:rStyle w:val="Hyperlink"/>
                <w:noProof/>
              </w:rPr>
              <w:t>9.2.1.</w:t>
            </w:r>
            <w:r w:rsidR="00614C44">
              <w:rPr>
                <w:rFonts w:eastAsiaTheme="minorEastAsia" w:cstheme="minorBidi"/>
                <w:noProof/>
                <w:lang w:val="en-US"/>
              </w:rPr>
              <w:tab/>
            </w:r>
            <w:r w:rsidR="00614C44" w:rsidRPr="00FE24AD">
              <w:rPr>
                <w:rStyle w:val="Hyperlink"/>
                <w:noProof/>
              </w:rPr>
              <w:t>GRUP DE LUCRU - MEDIU ȘI UTILITĂȚI PUBLICE</w:t>
            </w:r>
            <w:r w:rsidR="00614C44">
              <w:rPr>
                <w:noProof/>
                <w:webHidden/>
              </w:rPr>
              <w:tab/>
            </w:r>
            <w:r w:rsidR="00614C44">
              <w:rPr>
                <w:noProof/>
                <w:webHidden/>
              </w:rPr>
              <w:fldChar w:fldCharType="begin"/>
            </w:r>
            <w:r w:rsidR="00614C44">
              <w:rPr>
                <w:noProof/>
                <w:webHidden/>
              </w:rPr>
              <w:instrText xml:space="preserve"> PAGEREF _Toc127199342 \h </w:instrText>
            </w:r>
            <w:r w:rsidR="00614C44">
              <w:rPr>
                <w:noProof/>
                <w:webHidden/>
              </w:rPr>
            </w:r>
            <w:r w:rsidR="00614C44">
              <w:rPr>
                <w:noProof/>
                <w:webHidden/>
              </w:rPr>
              <w:fldChar w:fldCharType="separate"/>
            </w:r>
            <w:r w:rsidR="005A6DD8">
              <w:rPr>
                <w:noProof/>
                <w:webHidden/>
              </w:rPr>
              <w:t>537</w:t>
            </w:r>
            <w:r w:rsidR="00614C44">
              <w:rPr>
                <w:noProof/>
                <w:webHidden/>
              </w:rPr>
              <w:fldChar w:fldCharType="end"/>
            </w:r>
          </w:hyperlink>
        </w:p>
        <w:p w14:paraId="696D5981" w14:textId="681BD88B" w:rsidR="00614C44" w:rsidRDefault="00000000">
          <w:pPr>
            <w:pStyle w:val="TOC3"/>
            <w:tabs>
              <w:tab w:val="left" w:pos="865"/>
              <w:tab w:val="right" w:leader="dot" w:pos="9436"/>
            </w:tabs>
            <w:rPr>
              <w:rFonts w:eastAsiaTheme="minorEastAsia" w:cstheme="minorBidi"/>
              <w:noProof/>
              <w:lang w:val="en-US"/>
            </w:rPr>
          </w:pPr>
          <w:hyperlink w:anchor="_Toc127199343" w:history="1">
            <w:r w:rsidR="00614C44" w:rsidRPr="00FE24AD">
              <w:rPr>
                <w:rStyle w:val="Hyperlink"/>
                <w:noProof/>
              </w:rPr>
              <w:t>9.2.2.</w:t>
            </w:r>
            <w:r w:rsidR="00614C44">
              <w:rPr>
                <w:rFonts w:eastAsiaTheme="minorEastAsia" w:cstheme="minorBidi"/>
                <w:noProof/>
                <w:lang w:val="en-US"/>
              </w:rPr>
              <w:tab/>
            </w:r>
            <w:r w:rsidR="00614C44" w:rsidRPr="00FE24AD">
              <w:rPr>
                <w:rStyle w:val="Hyperlink"/>
                <w:noProof/>
              </w:rPr>
              <w:t>GRUP DE LUCRU - CULTURĂ SPORT ȘI TIMP LIBER</w:t>
            </w:r>
            <w:r w:rsidR="00614C44">
              <w:rPr>
                <w:noProof/>
                <w:webHidden/>
              </w:rPr>
              <w:tab/>
            </w:r>
            <w:r w:rsidR="00614C44">
              <w:rPr>
                <w:noProof/>
                <w:webHidden/>
              </w:rPr>
              <w:fldChar w:fldCharType="begin"/>
            </w:r>
            <w:r w:rsidR="00614C44">
              <w:rPr>
                <w:noProof/>
                <w:webHidden/>
              </w:rPr>
              <w:instrText xml:space="preserve"> PAGEREF _Toc127199343 \h </w:instrText>
            </w:r>
            <w:r w:rsidR="00614C44">
              <w:rPr>
                <w:noProof/>
                <w:webHidden/>
              </w:rPr>
            </w:r>
            <w:r w:rsidR="00614C44">
              <w:rPr>
                <w:noProof/>
                <w:webHidden/>
              </w:rPr>
              <w:fldChar w:fldCharType="separate"/>
            </w:r>
            <w:r w:rsidR="005A6DD8">
              <w:rPr>
                <w:noProof/>
                <w:webHidden/>
              </w:rPr>
              <w:t>538</w:t>
            </w:r>
            <w:r w:rsidR="00614C44">
              <w:rPr>
                <w:noProof/>
                <w:webHidden/>
              </w:rPr>
              <w:fldChar w:fldCharType="end"/>
            </w:r>
          </w:hyperlink>
        </w:p>
        <w:p w14:paraId="230F9CCE" w14:textId="6F21AD80" w:rsidR="00614C44" w:rsidRDefault="00000000">
          <w:pPr>
            <w:pStyle w:val="TOC3"/>
            <w:tabs>
              <w:tab w:val="left" w:pos="865"/>
              <w:tab w:val="right" w:leader="dot" w:pos="9436"/>
            </w:tabs>
            <w:rPr>
              <w:rFonts w:eastAsiaTheme="minorEastAsia" w:cstheme="minorBidi"/>
              <w:noProof/>
              <w:lang w:val="en-US"/>
            </w:rPr>
          </w:pPr>
          <w:hyperlink w:anchor="_Toc127199344" w:history="1">
            <w:r w:rsidR="00614C44" w:rsidRPr="00FE24AD">
              <w:rPr>
                <w:rStyle w:val="Hyperlink"/>
                <w:noProof/>
              </w:rPr>
              <w:t>9.2.3.</w:t>
            </w:r>
            <w:r w:rsidR="00614C44">
              <w:rPr>
                <w:rFonts w:eastAsiaTheme="minorEastAsia" w:cstheme="minorBidi"/>
                <w:noProof/>
                <w:lang w:val="en-US"/>
              </w:rPr>
              <w:tab/>
            </w:r>
            <w:r w:rsidR="00614C44" w:rsidRPr="00FE24AD">
              <w:rPr>
                <w:rStyle w:val="Hyperlink"/>
                <w:noProof/>
              </w:rPr>
              <w:t>GRUP DE LUCRU - ECONOMIE</w:t>
            </w:r>
            <w:r w:rsidR="00614C44">
              <w:rPr>
                <w:noProof/>
                <w:webHidden/>
              </w:rPr>
              <w:tab/>
            </w:r>
            <w:r w:rsidR="00614C44">
              <w:rPr>
                <w:noProof/>
                <w:webHidden/>
              </w:rPr>
              <w:fldChar w:fldCharType="begin"/>
            </w:r>
            <w:r w:rsidR="00614C44">
              <w:rPr>
                <w:noProof/>
                <w:webHidden/>
              </w:rPr>
              <w:instrText xml:space="preserve"> PAGEREF _Toc127199344 \h </w:instrText>
            </w:r>
            <w:r w:rsidR="00614C44">
              <w:rPr>
                <w:noProof/>
                <w:webHidden/>
              </w:rPr>
            </w:r>
            <w:r w:rsidR="00614C44">
              <w:rPr>
                <w:noProof/>
                <w:webHidden/>
              </w:rPr>
              <w:fldChar w:fldCharType="separate"/>
            </w:r>
            <w:r w:rsidR="005A6DD8">
              <w:rPr>
                <w:noProof/>
                <w:webHidden/>
              </w:rPr>
              <w:t>539</w:t>
            </w:r>
            <w:r w:rsidR="00614C44">
              <w:rPr>
                <w:noProof/>
                <w:webHidden/>
              </w:rPr>
              <w:fldChar w:fldCharType="end"/>
            </w:r>
          </w:hyperlink>
        </w:p>
        <w:p w14:paraId="28FF56BD" w14:textId="6BAB8F2B" w:rsidR="00614C44" w:rsidRDefault="00000000">
          <w:pPr>
            <w:pStyle w:val="TOC3"/>
            <w:tabs>
              <w:tab w:val="left" w:pos="865"/>
              <w:tab w:val="right" w:leader="dot" w:pos="9436"/>
            </w:tabs>
            <w:rPr>
              <w:rFonts w:eastAsiaTheme="minorEastAsia" w:cstheme="minorBidi"/>
              <w:noProof/>
              <w:lang w:val="en-US"/>
            </w:rPr>
          </w:pPr>
          <w:hyperlink w:anchor="_Toc127199345" w:history="1">
            <w:r w:rsidR="00614C44" w:rsidRPr="00FE24AD">
              <w:rPr>
                <w:rStyle w:val="Hyperlink"/>
                <w:noProof/>
              </w:rPr>
              <w:t>9.2.4.</w:t>
            </w:r>
            <w:r w:rsidR="00614C44">
              <w:rPr>
                <w:rFonts w:eastAsiaTheme="minorEastAsia" w:cstheme="minorBidi"/>
                <w:noProof/>
                <w:lang w:val="en-US"/>
              </w:rPr>
              <w:tab/>
            </w:r>
            <w:r w:rsidR="00614C44" w:rsidRPr="00FE24AD">
              <w:rPr>
                <w:rStyle w:val="Hyperlink"/>
                <w:noProof/>
              </w:rPr>
              <w:t>GRUP DE LUCRU - TINERET ȘI EDUCAȚIE</w:t>
            </w:r>
            <w:r w:rsidR="00614C44">
              <w:rPr>
                <w:noProof/>
                <w:webHidden/>
              </w:rPr>
              <w:tab/>
            </w:r>
            <w:r w:rsidR="00614C44">
              <w:rPr>
                <w:noProof/>
                <w:webHidden/>
              </w:rPr>
              <w:fldChar w:fldCharType="begin"/>
            </w:r>
            <w:r w:rsidR="00614C44">
              <w:rPr>
                <w:noProof/>
                <w:webHidden/>
              </w:rPr>
              <w:instrText xml:space="preserve"> PAGEREF _Toc127199345 \h </w:instrText>
            </w:r>
            <w:r w:rsidR="00614C44">
              <w:rPr>
                <w:noProof/>
                <w:webHidden/>
              </w:rPr>
            </w:r>
            <w:r w:rsidR="00614C44">
              <w:rPr>
                <w:noProof/>
                <w:webHidden/>
              </w:rPr>
              <w:fldChar w:fldCharType="separate"/>
            </w:r>
            <w:r w:rsidR="005A6DD8">
              <w:rPr>
                <w:noProof/>
                <w:webHidden/>
              </w:rPr>
              <w:t>540</w:t>
            </w:r>
            <w:r w:rsidR="00614C44">
              <w:rPr>
                <w:noProof/>
                <w:webHidden/>
              </w:rPr>
              <w:fldChar w:fldCharType="end"/>
            </w:r>
          </w:hyperlink>
        </w:p>
        <w:p w14:paraId="66AF6A92" w14:textId="37C73EB6" w:rsidR="00614C44" w:rsidRDefault="00000000">
          <w:pPr>
            <w:pStyle w:val="TOC3"/>
            <w:tabs>
              <w:tab w:val="left" w:pos="865"/>
              <w:tab w:val="right" w:leader="dot" w:pos="9436"/>
            </w:tabs>
            <w:rPr>
              <w:rFonts w:eastAsiaTheme="minorEastAsia" w:cstheme="minorBidi"/>
              <w:noProof/>
              <w:lang w:val="en-US"/>
            </w:rPr>
          </w:pPr>
          <w:hyperlink w:anchor="_Toc127199346" w:history="1">
            <w:r w:rsidR="00614C44" w:rsidRPr="00FE24AD">
              <w:rPr>
                <w:rStyle w:val="Hyperlink"/>
                <w:noProof/>
              </w:rPr>
              <w:t>9.2.5.</w:t>
            </w:r>
            <w:r w:rsidR="00614C44">
              <w:rPr>
                <w:rFonts w:eastAsiaTheme="minorEastAsia" w:cstheme="minorBidi"/>
                <w:noProof/>
                <w:lang w:val="en-US"/>
              </w:rPr>
              <w:tab/>
            </w:r>
            <w:r w:rsidR="00614C44" w:rsidRPr="00FE24AD">
              <w:rPr>
                <w:rStyle w:val="Hyperlink"/>
                <w:noProof/>
              </w:rPr>
              <w:t>GRUP DE LUCRU - SĂNĂTATE ȘI SERVICII SOCIALE</w:t>
            </w:r>
            <w:r w:rsidR="00614C44">
              <w:rPr>
                <w:noProof/>
                <w:webHidden/>
              </w:rPr>
              <w:tab/>
            </w:r>
            <w:r w:rsidR="00614C44">
              <w:rPr>
                <w:noProof/>
                <w:webHidden/>
              </w:rPr>
              <w:fldChar w:fldCharType="begin"/>
            </w:r>
            <w:r w:rsidR="00614C44">
              <w:rPr>
                <w:noProof/>
                <w:webHidden/>
              </w:rPr>
              <w:instrText xml:space="preserve"> PAGEREF _Toc127199346 \h </w:instrText>
            </w:r>
            <w:r w:rsidR="00614C44">
              <w:rPr>
                <w:noProof/>
                <w:webHidden/>
              </w:rPr>
            </w:r>
            <w:r w:rsidR="00614C44">
              <w:rPr>
                <w:noProof/>
                <w:webHidden/>
              </w:rPr>
              <w:fldChar w:fldCharType="separate"/>
            </w:r>
            <w:r w:rsidR="005A6DD8">
              <w:rPr>
                <w:noProof/>
                <w:webHidden/>
              </w:rPr>
              <w:t>542</w:t>
            </w:r>
            <w:r w:rsidR="00614C44">
              <w:rPr>
                <w:noProof/>
                <w:webHidden/>
              </w:rPr>
              <w:fldChar w:fldCharType="end"/>
            </w:r>
          </w:hyperlink>
        </w:p>
        <w:p w14:paraId="7298620A" w14:textId="10613E89" w:rsidR="00614C44" w:rsidRDefault="00000000">
          <w:pPr>
            <w:pStyle w:val="TOC3"/>
            <w:tabs>
              <w:tab w:val="left" w:pos="865"/>
              <w:tab w:val="right" w:leader="dot" w:pos="9436"/>
            </w:tabs>
            <w:rPr>
              <w:rFonts w:eastAsiaTheme="minorEastAsia" w:cstheme="minorBidi"/>
              <w:noProof/>
              <w:lang w:val="en-US"/>
            </w:rPr>
          </w:pPr>
          <w:hyperlink w:anchor="_Toc127199347" w:history="1">
            <w:r w:rsidR="00614C44" w:rsidRPr="00FE24AD">
              <w:rPr>
                <w:rStyle w:val="Hyperlink"/>
                <w:noProof/>
              </w:rPr>
              <w:t>9.2.6.</w:t>
            </w:r>
            <w:r w:rsidR="00614C44">
              <w:rPr>
                <w:rFonts w:eastAsiaTheme="minorEastAsia" w:cstheme="minorBidi"/>
                <w:noProof/>
                <w:lang w:val="en-US"/>
              </w:rPr>
              <w:tab/>
            </w:r>
            <w:r w:rsidR="00614C44" w:rsidRPr="00FE24AD">
              <w:rPr>
                <w:rStyle w:val="Hyperlink"/>
                <w:noProof/>
              </w:rPr>
              <w:t>GRUP DE LUCRU - MOBILITATE ȘI DEZVOLTARE URBANĂ</w:t>
            </w:r>
            <w:r w:rsidR="00614C44">
              <w:rPr>
                <w:noProof/>
                <w:webHidden/>
              </w:rPr>
              <w:tab/>
            </w:r>
            <w:r w:rsidR="00614C44">
              <w:rPr>
                <w:noProof/>
                <w:webHidden/>
              </w:rPr>
              <w:fldChar w:fldCharType="begin"/>
            </w:r>
            <w:r w:rsidR="00614C44">
              <w:rPr>
                <w:noProof/>
                <w:webHidden/>
              </w:rPr>
              <w:instrText xml:space="preserve"> PAGEREF _Toc127199347 \h </w:instrText>
            </w:r>
            <w:r w:rsidR="00614C44">
              <w:rPr>
                <w:noProof/>
                <w:webHidden/>
              </w:rPr>
            </w:r>
            <w:r w:rsidR="00614C44">
              <w:rPr>
                <w:noProof/>
                <w:webHidden/>
              </w:rPr>
              <w:fldChar w:fldCharType="separate"/>
            </w:r>
            <w:r w:rsidR="005A6DD8">
              <w:rPr>
                <w:noProof/>
                <w:webHidden/>
              </w:rPr>
              <w:t>543</w:t>
            </w:r>
            <w:r w:rsidR="00614C44">
              <w:rPr>
                <w:noProof/>
                <w:webHidden/>
              </w:rPr>
              <w:fldChar w:fldCharType="end"/>
            </w:r>
          </w:hyperlink>
        </w:p>
        <w:p w14:paraId="5AF61543" w14:textId="51857777" w:rsidR="00614C44" w:rsidRDefault="00000000">
          <w:pPr>
            <w:pStyle w:val="TOC2"/>
            <w:tabs>
              <w:tab w:val="left" w:pos="554"/>
              <w:tab w:val="right" w:leader="dot" w:pos="9436"/>
            </w:tabs>
            <w:rPr>
              <w:rFonts w:eastAsiaTheme="minorEastAsia" w:cstheme="minorBidi"/>
              <w:noProof/>
              <w:lang w:val="en-US"/>
            </w:rPr>
          </w:pPr>
          <w:hyperlink w:anchor="_Toc127199348" w:history="1">
            <w:r w:rsidR="00614C44" w:rsidRPr="00FE24AD">
              <w:rPr>
                <w:rStyle w:val="Hyperlink"/>
                <w:noProof/>
              </w:rPr>
              <w:t>9.3.</w:t>
            </w:r>
            <w:r w:rsidR="00614C44">
              <w:rPr>
                <w:rFonts w:eastAsiaTheme="minorEastAsia" w:cstheme="minorBidi"/>
                <w:noProof/>
                <w:lang w:val="en-US"/>
              </w:rPr>
              <w:tab/>
            </w:r>
            <w:r w:rsidR="00614C44" w:rsidRPr="00FE24AD">
              <w:rPr>
                <w:rStyle w:val="Hyperlink"/>
                <w:noProof/>
              </w:rPr>
              <w:t>CHESTIONARE APLICATE – CONCLUZII</w:t>
            </w:r>
            <w:r w:rsidR="00614C44">
              <w:rPr>
                <w:noProof/>
                <w:webHidden/>
              </w:rPr>
              <w:tab/>
            </w:r>
            <w:r w:rsidR="00614C44">
              <w:rPr>
                <w:noProof/>
                <w:webHidden/>
              </w:rPr>
              <w:fldChar w:fldCharType="begin"/>
            </w:r>
            <w:r w:rsidR="00614C44">
              <w:rPr>
                <w:noProof/>
                <w:webHidden/>
              </w:rPr>
              <w:instrText xml:space="preserve"> PAGEREF _Toc127199348 \h </w:instrText>
            </w:r>
            <w:r w:rsidR="00614C44">
              <w:rPr>
                <w:noProof/>
                <w:webHidden/>
              </w:rPr>
            </w:r>
            <w:r w:rsidR="00614C44">
              <w:rPr>
                <w:noProof/>
                <w:webHidden/>
              </w:rPr>
              <w:fldChar w:fldCharType="separate"/>
            </w:r>
            <w:r w:rsidR="005A6DD8">
              <w:rPr>
                <w:noProof/>
                <w:webHidden/>
              </w:rPr>
              <w:t>544</w:t>
            </w:r>
            <w:r w:rsidR="00614C44">
              <w:rPr>
                <w:noProof/>
                <w:webHidden/>
              </w:rPr>
              <w:fldChar w:fldCharType="end"/>
            </w:r>
          </w:hyperlink>
        </w:p>
        <w:p w14:paraId="2D9AA074" w14:textId="5AC858B0" w:rsidR="00614C44" w:rsidRDefault="00000000">
          <w:pPr>
            <w:pStyle w:val="TOC3"/>
            <w:tabs>
              <w:tab w:val="left" w:pos="865"/>
              <w:tab w:val="right" w:leader="dot" w:pos="9436"/>
            </w:tabs>
            <w:rPr>
              <w:rFonts w:eastAsiaTheme="minorEastAsia" w:cstheme="minorBidi"/>
              <w:noProof/>
              <w:lang w:val="en-US"/>
            </w:rPr>
          </w:pPr>
          <w:hyperlink w:anchor="_Toc127199349" w:history="1">
            <w:r w:rsidR="00614C44" w:rsidRPr="00FE24AD">
              <w:rPr>
                <w:rStyle w:val="Hyperlink"/>
                <w:noProof/>
              </w:rPr>
              <w:t>9.3.1.</w:t>
            </w:r>
            <w:r w:rsidR="00614C44">
              <w:rPr>
                <w:rFonts w:eastAsiaTheme="minorEastAsia" w:cstheme="minorBidi"/>
                <w:noProof/>
                <w:lang w:val="en-US"/>
              </w:rPr>
              <w:tab/>
            </w:r>
            <w:r w:rsidR="00614C44" w:rsidRPr="00FE24AD">
              <w:rPr>
                <w:rStyle w:val="Hyperlink"/>
                <w:noProof/>
              </w:rPr>
              <w:t>CHESTIONAR DEDICAT LOCUITORILOR SECTORULUI 2</w:t>
            </w:r>
            <w:r w:rsidR="00614C44">
              <w:rPr>
                <w:noProof/>
                <w:webHidden/>
              </w:rPr>
              <w:tab/>
            </w:r>
            <w:r w:rsidR="00614C44">
              <w:rPr>
                <w:noProof/>
                <w:webHidden/>
              </w:rPr>
              <w:fldChar w:fldCharType="begin"/>
            </w:r>
            <w:r w:rsidR="00614C44">
              <w:rPr>
                <w:noProof/>
                <w:webHidden/>
              </w:rPr>
              <w:instrText xml:space="preserve"> PAGEREF _Toc127199349 \h </w:instrText>
            </w:r>
            <w:r w:rsidR="00614C44">
              <w:rPr>
                <w:noProof/>
                <w:webHidden/>
              </w:rPr>
            </w:r>
            <w:r w:rsidR="00614C44">
              <w:rPr>
                <w:noProof/>
                <w:webHidden/>
              </w:rPr>
              <w:fldChar w:fldCharType="separate"/>
            </w:r>
            <w:r w:rsidR="005A6DD8">
              <w:rPr>
                <w:noProof/>
                <w:webHidden/>
              </w:rPr>
              <w:t>545</w:t>
            </w:r>
            <w:r w:rsidR="00614C44">
              <w:rPr>
                <w:noProof/>
                <w:webHidden/>
              </w:rPr>
              <w:fldChar w:fldCharType="end"/>
            </w:r>
          </w:hyperlink>
        </w:p>
        <w:p w14:paraId="200A584F" w14:textId="24282554" w:rsidR="00614C44" w:rsidRDefault="00000000">
          <w:pPr>
            <w:pStyle w:val="TOC3"/>
            <w:tabs>
              <w:tab w:val="left" w:pos="865"/>
              <w:tab w:val="right" w:leader="dot" w:pos="9436"/>
            </w:tabs>
            <w:rPr>
              <w:rFonts w:eastAsiaTheme="minorEastAsia" w:cstheme="minorBidi"/>
              <w:noProof/>
              <w:lang w:val="en-US"/>
            </w:rPr>
          </w:pPr>
          <w:hyperlink w:anchor="_Toc127199350" w:history="1">
            <w:r w:rsidR="00614C44" w:rsidRPr="00FE24AD">
              <w:rPr>
                <w:rStyle w:val="Hyperlink"/>
                <w:noProof/>
              </w:rPr>
              <w:t>9.3.2.</w:t>
            </w:r>
            <w:r w:rsidR="00614C44">
              <w:rPr>
                <w:rFonts w:eastAsiaTheme="minorEastAsia" w:cstheme="minorBidi"/>
                <w:noProof/>
                <w:lang w:val="en-US"/>
              </w:rPr>
              <w:tab/>
            </w:r>
            <w:r w:rsidR="00614C44" w:rsidRPr="00FE24AD">
              <w:rPr>
                <w:rStyle w:val="Hyperlink"/>
                <w:noProof/>
              </w:rPr>
              <w:t>CHESTIONAR DEDICAT ADMINISTRAȚIEI PUBLICE DE LA NIVELUL PRIMĂRIEI SECTORULUI 2</w:t>
            </w:r>
            <w:r w:rsidR="00614C44">
              <w:rPr>
                <w:noProof/>
                <w:webHidden/>
              </w:rPr>
              <w:tab/>
            </w:r>
            <w:r w:rsidR="00614C44">
              <w:rPr>
                <w:noProof/>
                <w:webHidden/>
              </w:rPr>
              <w:fldChar w:fldCharType="begin"/>
            </w:r>
            <w:r w:rsidR="00614C44">
              <w:rPr>
                <w:noProof/>
                <w:webHidden/>
              </w:rPr>
              <w:instrText xml:space="preserve"> PAGEREF _Toc127199350 \h </w:instrText>
            </w:r>
            <w:r w:rsidR="00614C44">
              <w:rPr>
                <w:noProof/>
                <w:webHidden/>
              </w:rPr>
            </w:r>
            <w:r w:rsidR="00614C44">
              <w:rPr>
                <w:noProof/>
                <w:webHidden/>
              </w:rPr>
              <w:fldChar w:fldCharType="separate"/>
            </w:r>
            <w:r w:rsidR="005A6DD8">
              <w:rPr>
                <w:noProof/>
                <w:webHidden/>
              </w:rPr>
              <w:t>547</w:t>
            </w:r>
            <w:r w:rsidR="00614C44">
              <w:rPr>
                <w:noProof/>
                <w:webHidden/>
              </w:rPr>
              <w:fldChar w:fldCharType="end"/>
            </w:r>
          </w:hyperlink>
        </w:p>
        <w:p w14:paraId="47EAA431" w14:textId="57E5DEBC" w:rsidR="00614C44" w:rsidRDefault="00000000">
          <w:pPr>
            <w:pStyle w:val="TOC3"/>
            <w:tabs>
              <w:tab w:val="left" w:pos="865"/>
              <w:tab w:val="right" w:leader="dot" w:pos="9436"/>
            </w:tabs>
            <w:rPr>
              <w:rFonts w:eastAsiaTheme="minorEastAsia" w:cstheme="minorBidi"/>
              <w:noProof/>
              <w:lang w:val="en-US"/>
            </w:rPr>
          </w:pPr>
          <w:hyperlink w:anchor="_Toc127199351" w:history="1">
            <w:r w:rsidR="00614C44" w:rsidRPr="00FE24AD">
              <w:rPr>
                <w:rStyle w:val="Hyperlink"/>
                <w:noProof/>
              </w:rPr>
              <w:t>9.3.3.</w:t>
            </w:r>
            <w:r w:rsidR="00614C44">
              <w:rPr>
                <w:rFonts w:eastAsiaTheme="minorEastAsia" w:cstheme="minorBidi"/>
                <w:noProof/>
                <w:lang w:val="en-US"/>
              </w:rPr>
              <w:tab/>
            </w:r>
            <w:r w:rsidR="00614C44" w:rsidRPr="00FE24AD">
              <w:rPr>
                <w:rStyle w:val="Hyperlink"/>
                <w:noProof/>
              </w:rPr>
              <w:t>CHESTIONAR DEDICAT MEDIULUI DE AFACERI DIN SECTORUL 2</w:t>
            </w:r>
            <w:r w:rsidR="00614C44">
              <w:rPr>
                <w:noProof/>
                <w:webHidden/>
              </w:rPr>
              <w:tab/>
            </w:r>
            <w:r w:rsidR="00614C44">
              <w:rPr>
                <w:noProof/>
                <w:webHidden/>
              </w:rPr>
              <w:fldChar w:fldCharType="begin"/>
            </w:r>
            <w:r w:rsidR="00614C44">
              <w:rPr>
                <w:noProof/>
                <w:webHidden/>
              </w:rPr>
              <w:instrText xml:space="preserve"> PAGEREF _Toc127199351 \h </w:instrText>
            </w:r>
            <w:r w:rsidR="00614C44">
              <w:rPr>
                <w:noProof/>
                <w:webHidden/>
              </w:rPr>
            </w:r>
            <w:r w:rsidR="00614C44">
              <w:rPr>
                <w:noProof/>
                <w:webHidden/>
              </w:rPr>
              <w:fldChar w:fldCharType="separate"/>
            </w:r>
            <w:r w:rsidR="005A6DD8">
              <w:rPr>
                <w:noProof/>
                <w:webHidden/>
              </w:rPr>
              <w:t>549</w:t>
            </w:r>
            <w:r w:rsidR="00614C44">
              <w:rPr>
                <w:noProof/>
                <w:webHidden/>
              </w:rPr>
              <w:fldChar w:fldCharType="end"/>
            </w:r>
          </w:hyperlink>
        </w:p>
        <w:p w14:paraId="0FA9CF4F" w14:textId="6C60B3D0" w:rsidR="00614C44" w:rsidRDefault="00000000">
          <w:pPr>
            <w:pStyle w:val="TOC3"/>
            <w:tabs>
              <w:tab w:val="left" w:pos="865"/>
              <w:tab w:val="right" w:leader="dot" w:pos="9436"/>
            </w:tabs>
            <w:rPr>
              <w:rFonts w:eastAsiaTheme="minorEastAsia" w:cstheme="minorBidi"/>
              <w:noProof/>
              <w:lang w:val="en-US"/>
            </w:rPr>
          </w:pPr>
          <w:hyperlink w:anchor="_Toc127199352" w:history="1">
            <w:r w:rsidR="00614C44" w:rsidRPr="00FE24AD">
              <w:rPr>
                <w:rStyle w:val="Hyperlink"/>
                <w:noProof/>
              </w:rPr>
              <w:t>9.3.4.</w:t>
            </w:r>
            <w:r w:rsidR="00614C44">
              <w:rPr>
                <w:rFonts w:eastAsiaTheme="minorEastAsia" w:cstheme="minorBidi"/>
                <w:noProof/>
                <w:lang w:val="en-US"/>
              </w:rPr>
              <w:tab/>
            </w:r>
            <w:r w:rsidR="00614C44" w:rsidRPr="00FE24AD">
              <w:rPr>
                <w:rStyle w:val="Hyperlink"/>
                <w:noProof/>
              </w:rPr>
              <w:t>CHESTIONAR DEDICAT MEDIULUI ONG DIN SECTORUL 2</w:t>
            </w:r>
            <w:r w:rsidR="00614C44">
              <w:rPr>
                <w:noProof/>
                <w:webHidden/>
              </w:rPr>
              <w:tab/>
            </w:r>
            <w:r w:rsidR="00614C44">
              <w:rPr>
                <w:noProof/>
                <w:webHidden/>
              </w:rPr>
              <w:fldChar w:fldCharType="begin"/>
            </w:r>
            <w:r w:rsidR="00614C44">
              <w:rPr>
                <w:noProof/>
                <w:webHidden/>
              </w:rPr>
              <w:instrText xml:space="preserve"> PAGEREF _Toc127199352 \h </w:instrText>
            </w:r>
            <w:r w:rsidR="00614C44">
              <w:rPr>
                <w:noProof/>
                <w:webHidden/>
              </w:rPr>
            </w:r>
            <w:r w:rsidR="00614C44">
              <w:rPr>
                <w:noProof/>
                <w:webHidden/>
              </w:rPr>
              <w:fldChar w:fldCharType="separate"/>
            </w:r>
            <w:r w:rsidR="005A6DD8">
              <w:rPr>
                <w:noProof/>
                <w:webHidden/>
              </w:rPr>
              <w:t>550</w:t>
            </w:r>
            <w:r w:rsidR="00614C44">
              <w:rPr>
                <w:noProof/>
                <w:webHidden/>
              </w:rPr>
              <w:fldChar w:fldCharType="end"/>
            </w:r>
          </w:hyperlink>
        </w:p>
        <w:p w14:paraId="0082C592" w14:textId="0F3E76E3" w:rsidR="00614C44" w:rsidRDefault="00000000">
          <w:pPr>
            <w:pStyle w:val="TOC1"/>
            <w:rPr>
              <w:rFonts w:eastAsiaTheme="minorEastAsia" w:cstheme="minorBidi"/>
              <w:b w:val="0"/>
              <w:bCs w:val="0"/>
              <w:smallCaps w:val="0"/>
              <w:color w:val="auto"/>
              <w:lang w:val="en-US"/>
            </w:rPr>
          </w:pPr>
          <w:hyperlink w:anchor="_Toc127199353" w:history="1">
            <w:r w:rsidR="00614C44" w:rsidRPr="00FE24AD">
              <w:rPr>
                <w:rStyle w:val="Hyperlink"/>
              </w:rPr>
              <w:t>10.</w:t>
            </w:r>
            <w:r w:rsidR="00614C44">
              <w:rPr>
                <w:rFonts w:eastAsiaTheme="minorEastAsia" w:cstheme="minorBidi"/>
                <w:b w:val="0"/>
                <w:bCs w:val="0"/>
                <w:smallCaps w:val="0"/>
                <w:color w:val="auto"/>
                <w:lang w:val="en-US"/>
              </w:rPr>
              <w:tab/>
            </w:r>
            <w:r w:rsidR="00614C44" w:rsidRPr="00FE24AD">
              <w:rPr>
                <w:rStyle w:val="Hyperlink"/>
              </w:rPr>
              <w:t>ANEXE</w:t>
            </w:r>
            <w:r w:rsidR="00614C44">
              <w:rPr>
                <w:webHidden/>
              </w:rPr>
              <w:tab/>
            </w:r>
            <w:r w:rsidR="00614C44">
              <w:rPr>
                <w:webHidden/>
              </w:rPr>
              <w:fldChar w:fldCharType="begin"/>
            </w:r>
            <w:r w:rsidR="00614C44">
              <w:rPr>
                <w:webHidden/>
              </w:rPr>
              <w:instrText xml:space="preserve"> PAGEREF _Toc127199353 \h </w:instrText>
            </w:r>
            <w:r w:rsidR="00614C44">
              <w:rPr>
                <w:webHidden/>
              </w:rPr>
            </w:r>
            <w:r w:rsidR="00614C44">
              <w:rPr>
                <w:webHidden/>
              </w:rPr>
              <w:fldChar w:fldCharType="separate"/>
            </w:r>
            <w:r w:rsidR="005A6DD8">
              <w:rPr>
                <w:webHidden/>
              </w:rPr>
              <w:t>552</w:t>
            </w:r>
            <w:r w:rsidR="00614C44">
              <w:rPr>
                <w:webHidden/>
              </w:rPr>
              <w:fldChar w:fldCharType="end"/>
            </w:r>
          </w:hyperlink>
        </w:p>
        <w:p w14:paraId="33E22A89" w14:textId="0BA11786" w:rsidR="00614C44" w:rsidRDefault="00000000">
          <w:pPr>
            <w:pStyle w:val="TOC2"/>
            <w:tabs>
              <w:tab w:val="left" w:pos="666"/>
              <w:tab w:val="right" w:leader="dot" w:pos="9436"/>
            </w:tabs>
            <w:rPr>
              <w:rFonts w:eastAsiaTheme="minorEastAsia" w:cstheme="minorBidi"/>
              <w:noProof/>
              <w:lang w:val="en-US"/>
            </w:rPr>
          </w:pPr>
          <w:hyperlink w:anchor="_Toc127199354" w:history="1">
            <w:r w:rsidR="00614C44" w:rsidRPr="00FE24AD">
              <w:rPr>
                <w:rStyle w:val="Hyperlink"/>
                <w:noProof/>
              </w:rPr>
              <w:t>10.1.</w:t>
            </w:r>
            <w:r w:rsidR="00614C44">
              <w:rPr>
                <w:rFonts w:eastAsiaTheme="minorEastAsia" w:cstheme="minorBidi"/>
                <w:noProof/>
                <w:lang w:val="en-US"/>
              </w:rPr>
              <w:tab/>
            </w:r>
            <w:r w:rsidR="00614C44" w:rsidRPr="00FE24AD">
              <w:rPr>
                <w:rStyle w:val="Hyperlink"/>
                <w:noProof/>
              </w:rPr>
              <w:t>ANALIZA RĂSPUNSURILOR DIN CADRUL CHESTIONELOR APLICATE</w:t>
            </w:r>
            <w:r w:rsidR="00614C44">
              <w:rPr>
                <w:noProof/>
                <w:webHidden/>
              </w:rPr>
              <w:tab/>
            </w:r>
            <w:r w:rsidR="00614C44">
              <w:rPr>
                <w:noProof/>
                <w:webHidden/>
              </w:rPr>
              <w:fldChar w:fldCharType="begin"/>
            </w:r>
            <w:r w:rsidR="00614C44">
              <w:rPr>
                <w:noProof/>
                <w:webHidden/>
              </w:rPr>
              <w:instrText xml:space="preserve"> PAGEREF _Toc127199354 \h </w:instrText>
            </w:r>
            <w:r w:rsidR="00614C44">
              <w:rPr>
                <w:noProof/>
                <w:webHidden/>
              </w:rPr>
            </w:r>
            <w:r w:rsidR="00614C44">
              <w:rPr>
                <w:noProof/>
                <w:webHidden/>
              </w:rPr>
              <w:fldChar w:fldCharType="separate"/>
            </w:r>
            <w:r w:rsidR="005A6DD8">
              <w:rPr>
                <w:noProof/>
                <w:webHidden/>
              </w:rPr>
              <w:t>552</w:t>
            </w:r>
            <w:r w:rsidR="00614C44">
              <w:rPr>
                <w:noProof/>
                <w:webHidden/>
              </w:rPr>
              <w:fldChar w:fldCharType="end"/>
            </w:r>
          </w:hyperlink>
        </w:p>
        <w:p w14:paraId="0686A1F7" w14:textId="0ED6480A" w:rsidR="00614C44" w:rsidRDefault="00000000">
          <w:pPr>
            <w:pStyle w:val="TOC3"/>
            <w:tabs>
              <w:tab w:val="left" w:pos="977"/>
              <w:tab w:val="right" w:leader="dot" w:pos="9436"/>
            </w:tabs>
            <w:rPr>
              <w:rFonts w:eastAsiaTheme="minorEastAsia" w:cstheme="minorBidi"/>
              <w:noProof/>
              <w:lang w:val="en-US"/>
            </w:rPr>
          </w:pPr>
          <w:hyperlink w:anchor="_Toc127199355" w:history="1">
            <w:r w:rsidR="00614C44" w:rsidRPr="00FE24AD">
              <w:rPr>
                <w:rStyle w:val="Hyperlink"/>
                <w:noProof/>
              </w:rPr>
              <w:t>10.1.1.</w:t>
            </w:r>
            <w:r w:rsidR="00614C44">
              <w:rPr>
                <w:rFonts w:eastAsiaTheme="minorEastAsia" w:cstheme="minorBidi"/>
                <w:noProof/>
                <w:lang w:val="en-US"/>
              </w:rPr>
              <w:tab/>
            </w:r>
            <w:r w:rsidR="00614C44" w:rsidRPr="00FE24AD">
              <w:rPr>
                <w:rStyle w:val="Hyperlink"/>
                <w:noProof/>
              </w:rPr>
              <w:t>CHESTIONAR DEDICAT LOCUITORILOR SECTORULUI 2</w:t>
            </w:r>
            <w:r w:rsidR="00614C44">
              <w:rPr>
                <w:noProof/>
                <w:webHidden/>
              </w:rPr>
              <w:tab/>
            </w:r>
            <w:r w:rsidR="00614C44">
              <w:rPr>
                <w:noProof/>
                <w:webHidden/>
              </w:rPr>
              <w:fldChar w:fldCharType="begin"/>
            </w:r>
            <w:r w:rsidR="00614C44">
              <w:rPr>
                <w:noProof/>
                <w:webHidden/>
              </w:rPr>
              <w:instrText xml:space="preserve"> PAGEREF _Toc127199355 \h </w:instrText>
            </w:r>
            <w:r w:rsidR="00614C44">
              <w:rPr>
                <w:noProof/>
                <w:webHidden/>
              </w:rPr>
            </w:r>
            <w:r w:rsidR="00614C44">
              <w:rPr>
                <w:noProof/>
                <w:webHidden/>
              </w:rPr>
              <w:fldChar w:fldCharType="separate"/>
            </w:r>
            <w:r w:rsidR="005A6DD8">
              <w:rPr>
                <w:noProof/>
                <w:webHidden/>
              </w:rPr>
              <w:t>552</w:t>
            </w:r>
            <w:r w:rsidR="00614C44">
              <w:rPr>
                <w:noProof/>
                <w:webHidden/>
              </w:rPr>
              <w:fldChar w:fldCharType="end"/>
            </w:r>
          </w:hyperlink>
        </w:p>
        <w:p w14:paraId="760037B0" w14:textId="1CC4AC40" w:rsidR="00614C44" w:rsidRDefault="00000000">
          <w:pPr>
            <w:pStyle w:val="TOC3"/>
            <w:tabs>
              <w:tab w:val="left" w:pos="977"/>
              <w:tab w:val="right" w:leader="dot" w:pos="9436"/>
            </w:tabs>
            <w:rPr>
              <w:rFonts w:eastAsiaTheme="minorEastAsia" w:cstheme="minorBidi"/>
              <w:noProof/>
              <w:lang w:val="en-US"/>
            </w:rPr>
          </w:pPr>
          <w:hyperlink w:anchor="_Toc127199356" w:history="1">
            <w:r w:rsidR="00614C44" w:rsidRPr="00FE24AD">
              <w:rPr>
                <w:rStyle w:val="Hyperlink"/>
                <w:noProof/>
              </w:rPr>
              <w:t>10.1.2.</w:t>
            </w:r>
            <w:r w:rsidR="00614C44">
              <w:rPr>
                <w:rFonts w:eastAsiaTheme="minorEastAsia" w:cstheme="minorBidi"/>
                <w:noProof/>
                <w:lang w:val="en-US"/>
              </w:rPr>
              <w:tab/>
            </w:r>
            <w:r w:rsidR="00614C44" w:rsidRPr="00FE24AD">
              <w:rPr>
                <w:rStyle w:val="Hyperlink"/>
                <w:noProof/>
              </w:rPr>
              <w:t>CHESTIONAR DEDICAT ADMINISTRAȚIEI PUBLICE DE LA NIVELUL PRIMĂRIEI SECTORULUI 2</w:t>
            </w:r>
            <w:r w:rsidR="00614C44">
              <w:rPr>
                <w:noProof/>
                <w:webHidden/>
              </w:rPr>
              <w:tab/>
            </w:r>
            <w:r w:rsidR="00614C44">
              <w:rPr>
                <w:noProof/>
                <w:webHidden/>
              </w:rPr>
              <w:fldChar w:fldCharType="begin"/>
            </w:r>
            <w:r w:rsidR="00614C44">
              <w:rPr>
                <w:noProof/>
                <w:webHidden/>
              </w:rPr>
              <w:instrText xml:space="preserve"> PAGEREF _Toc127199356 \h </w:instrText>
            </w:r>
            <w:r w:rsidR="00614C44">
              <w:rPr>
                <w:noProof/>
                <w:webHidden/>
              </w:rPr>
            </w:r>
            <w:r w:rsidR="00614C44">
              <w:rPr>
                <w:noProof/>
                <w:webHidden/>
              </w:rPr>
              <w:fldChar w:fldCharType="separate"/>
            </w:r>
            <w:r w:rsidR="005A6DD8">
              <w:rPr>
                <w:noProof/>
                <w:webHidden/>
              </w:rPr>
              <w:t>578</w:t>
            </w:r>
            <w:r w:rsidR="00614C44">
              <w:rPr>
                <w:noProof/>
                <w:webHidden/>
              </w:rPr>
              <w:fldChar w:fldCharType="end"/>
            </w:r>
          </w:hyperlink>
        </w:p>
        <w:p w14:paraId="016550EB" w14:textId="6192DD7D" w:rsidR="00614C44" w:rsidRDefault="00000000">
          <w:pPr>
            <w:pStyle w:val="TOC3"/>
            <w:tabs>
              <w:tab w:val="left" w:pos="977"/>
              <w:tab w:val="right" w:leader="dot" w:pos="9436"/>
            </w:tabs>
            <w:rPr>
              <w:rFonts w:eastAsiaTheme="minorEastAsia" w:cstheme="minorBidi"/>
              <w:noProof/>
              <w:lang w:val="en-US"/>
            </w:rPr>
          </w:pPr>
          <w:hyperlink w:anchor="_Toc127199357" w:history="1">
            <w:r w:rsidR="00614C44" w:rsidRPr="00FE24AD">
              <w:rPr>
                <w:rStyle w:val="Hyperlink"/>
                <w:noProof/>
              </w:rPr>
              <w:t>10.1.3.</w:t>
            </w:r>
            <w:r w:rsidR="00614C44">
              <w:rPr>
                <w:rFonts w:eastAsiaTheme="minorEastAsia" w:cstheme="minorBidi"/>
                <w:noProof/>
                <w:lang w:val="en-US"/>
              </w:rPr>
              <w:tab/>
            </w:r>
            <w:r w:rsidR="00614C44" w:rsidRPr="00FE24AD">
              <w:rPr>
                <w:rStyle w:val="Hyperlink"/>
                <w:noProof/>
              </w:rPr>
              <w:t>CHESTIONAR DEDICAT MEDIULUI DE AFACERI DIN SECTORUL 2</w:t>
            </w:r>
            <w:r w:rsidR="00614C44">
              <w:rPr>
                <w:noProof/>
                <w:webHidden/>
              </w:rPr>
              <w:tab/>
            </w:r>
            <w:r w:rsidR="00614C44">
              <w:rPr>
                <w:noProof/>
                <w:webHidden/>
              </w:rPr>
              <w:fldChar w:fldCharType="begin"/>
            </w:r>
            <w:r w:rsidR="00614C44">
              <w:rPr>
                <w:noProof/>
                <w:webHidden/>
              </w:rPr>
              <w:instrText xml:space="preserve"> PAGEREF _Toc127199357 \h </w:instrText>
            </w:r>
            <w:r w:rsidR="00614C44">
              <w:rPr>
                <w:noProof/>
                <w:webHidden/>
              </w:rPr>
            </w:r>
            <w:r w:rsidR="00614C44">
              <w:rPr>
                <w:noProof/>
                <w:webHidden/>
              </w:rPr>
              <w:fldChar w:fldCharType="separate"/>
            </w:r>
            <w:r w:rsidR="005A6DD8">
              <w:rPr>
                <w:noProof/>
                <w:webHidden/>
              </w:rPr>
              <w:t>592</w:t>
            </w:r>
            <w:r w:rsidR="00614C44">
              <w:rPr>
                <w:noProof/>
                <w:webHidden/>
              </w:rPr>
              <w:fldChar w:fldCharType="end"/>
            </w:r>
          </w:hyperlink>
        </w:p>
        <w:p w14:paraId="26DDE784" w14:textId="11DE3228" w:rsidR="00614C44" w:rsidRDefault="00000000">
          <w:pPr>
            <w:pStyle w:val="TOC3"/>
            <w:tabs>
              <w:tab w:val="left" w:pos="977"/>
              <w:tab w:val="right" w:leader="dot" w:pos="9436"/>
            </w:tabs>
            <w:rPr>
              <w:rFonts w:eastAsiaTheme="minorEastAsia" w:cstheme="minorBidi"/>
              <w:noProof/>
              <w:lang w:val="en-US"/>
            </w:rPr>
          </w:pPr>
          <w:hyperlink w:anchor="_Toc127199358" w:history="1">
            <w:r w:rsidR="00614C44" w:rsidRPr="00FE24AD">
              <w:rPr>
                <w:rStyle w:val="Hyperlink"/>
                <w:noProof/>
              </w:rPr>
              <w:t>10.1.4.</w:t>
            </w:r>
            <w:r w:rsidR="00614C44">
              <w:rPr>
                <w:rFonts w:eastAsiaTheme="minorEastAsia" w:cstheme="minorBidi"/>
                <w:noProof/>
                <w:lang w:val="en-US"/>
              </w:rPr>
              <w:tab/>
            </w:r>
            <w:r w:rsidR="00614C44" w:rsidRPr="00FE24AD">
              <w:rPr>
                <w:rStyle w:val="Hyperlink"/>
                <w:noProof/>
              </w:rPr>
              <w:t>CHESTIONAR DEDICAT MEDIULUI ONG DIN SECTORUL 2</w:t>
            </w:r>
            <w:r w:rsidR="00614C44">
              <w:rPr>
                <w:noProof/>
                <w:webHidden/>
              </w:rPr>
              <w:tab/>
            </w:r>
            <w:r w:rsidR="00614C44">
              <w:rPr>
                <w:noProof/>
                <w:webHidden/>
              </w:rPr>
              <w:fldChar w:fldCharType="begin"/>
            </w:r>
            <w:r w:rsidR="00614C44">
              <w:rPr>
                <w:noProof/>
                <w:webHidden/>
              </w:rPr>
              <w:instrText xml:space="preserve"> PAGEREF _Toc127199358 \h </w:instrText>
            </w:r>
            <w:r w:rsidR="00614C44">
              <w:rPr>
                <w:noProof/>
                <w:webHidden/>
              </w:rPr>
            </w:r>
            <w:r w:rsidR="00614C44">
              <w:rPr>
                <w:noProof/>
                <w:webHidden/>
              </w:rPr>
              <w:fldChar w:fldCharType="separate"/>
            </w:r>
            <w:r w:rsidR="005A6DD8">
              <w:rPr>
                <w:noProof/>
                <w:webHidden/>
              </w:rPr>
              <w:t>603</w:t>
            </w:r>
            <w:r w:rsidR="00614C44">
              <w:rPr>
                <w:noProof/>
                <w:webHidden/>
              </w:rPr>
              <w:fldChar w:fldCharType="end"/>
            </w:r>
          </w:hyperlink>
        </w:p>
        <w:p w14:paraId="2A0789DF" w14:textId="1B82BDC9" w:rsidR="00614C44" w:rsidRDefault="00000000">
          <w:pPr>
            <w:pStyle w:val="TOC2"/>
            <w:tabs>
              <w:tab w:val="left" w:pos="666"/>
              <w:tab w:val="right" w:leader="dot" w:pos="9436"/>
            </w:tabs>
            <w:rPr>
              <w:rFonts w:eastAsiaTheme="minorEastAsia" w:cstheme="minorBidi"/>
              <w:noProof/>
              <w:lang w:val="en-US"/>
            </w:rPr>
          </w:pPr>
          <w:hyperlink w:anchor="_Toc127199359" w:history="1">
            <w:r w:rsidR="00614C44" w:rsidRPr="00FE24AD">
              <w:rPr>
                <w:rStyle w:val="Hyperlink"/>
                <w:noProof/>
              </w:rPr>
              <w:t>10.2.</w:t>
            </w:r>
            <w:r w:rsidR="00614C44">
              <w:rPr>
                <w:rFonts w:eastAsiaTheme="minorEastAsia" w:cstheme="minorBidi"/>
                <w:noProof/>
                <w:lang w:val="en-US"/>
              </w:rPr>
              <w:tab/>
            </w:r>
            <w:r w:rsidR="00614C44" w:rsidRPr="00FE24AD">
              <w:rPr>
                <w:rStyle w:val="Hyperlink"/>
                <w:noProof/>
              </w:rPr>
              <w:t>CORELAREA STRATEGIEI CU SIDU BUCUREȘTI</w:t>
            </w:r>
            <w:r w:rsidR="00614C44">
              <w:rPr>
                <w:noProof/>
                <w:webHidden/>
              </w:rPr>
              <w:tab/>
            </w:r>
            <w:r w:rsidR="00614C44">
              <w:rPr>
                <w:noProof/>
                <w:webHidden/>
              </w:rPr>
              <w:fldChar w:fldCharType="begin"/>
            </w:r>
            <w:r w:rsidR="00614C44">
              <w:rPr>
                <w:noProof/>
                <w:webHidden/>
              </w:rPr>
              <w:instrText xml:space="preserve"> PAGEREF _Toc127199359 \h </w:instrText>
            </w:r>
            <w:r w:rsidR="00614C44">
              <w:rPr>
                <w:noProof/>
                <w:webHidden/>
              </w:rPr>
            </w:r>
            <w:r w:rsidR="00614C44">
              <w:rPr>
                <w:noProof/>
                <w:webHidden/>
              </w:rPr>
              <w:fldChar w:fldCharType="separate"/>
            </w:r>
            <w:r w:rsidR="005A6DD8">
              <w:rPr>
                <w:noProof/>
                <w:webHidden/>
              </w:rPr>
              <w:t>618</w:t>
            </w:r>
            <w:r w:rsidR="00614C44">
              <w:rPr>
                <w:noProof/>
                <w:webHidden/>
              </w:rPr>
              <w:fldChar w:fldCharType="end"/>
            </w:r>
          </w:hyperlink>
        </w:p>
        <w:p w14:paraId="2E90AD1E" w14:textId="7E4109F6" w:rsidR="007F2663" w:rsidRPr="00F171A3" w:rsidRDefault="007F2663" w:rsidP="007F2663">
          <w:r w:rsidRPr="00F171A3">
            <w:rPr>
              <w:b/>
            </w:rPr>
            <w:fldChar w:fldCharType="end"/>
          </w:r>
        </w:p>
      </w:sdtContent>
    </w:sdt>
    <w:p w14:paraId="604ABC35" w14:textId="77777777" w:rsidR="00BB7F86" w:rsidRPr="00F171A3" w:rsidRDefault="00BB7F86" w:rsidP="007F2663">
      <w:pPr>
        <w:spacing w:after="0"/>
        <w:jc w:val="left"/>
        <w:rPr>
          <w:b/>
          <w:bCs/>
          <w:caps/>
          <w:color w:val="134753" w:themeColor="text2"/>
          <w:sz w:val="48"/>
          <w:szCs w:val="28"/>
        </w:rPr>
        <w:sectPr w:rsidR="00BB7F86" w:rsidRPr="00F171A3" w:rsidSect="00135952">
          <w:pgSz w:w="11907" w:h="16839" w:code="9"/>
          <w:pgMar w:top="1151" w:right="1440" w:bottom="1440" w:left="1021" w:header="709" w:footer="284" w:gutter="0"/>
          <w:cols w:space="708"/>
          <w:titlePg/>
          <w:docGrid w:linePitch="360"/>
        </w:sectPr>
      </w:pPr>
    </w:p>
    <w:p w14:paraId="14674DA5" w14:textId="7A6B80CF" w:rsidR="00BB7F86" w:rsidRPr="00F171A3" w:rsidRDefault="00BB7F86">
      <w:pPr>
        <w:pStyle w:val="TableofFigures"/>
        <w:tabs>
          <w:tab w:val="right" w:leader="dot" w:pos="9436"/>
        </w:tabs>
        <w:rPr>
          <w:b/>
          <w:bCs/>
          <w:caps/>
          <w:color w:val="134753" w:themeColor="text2"/>
          <w:sz w:val="48"/>
          <w:szCs w:val="28"/>
        </w:rPr>
      </w:pPr>
      <w:r w:rsidRPr="00F171A3">
        <w:rPr>
          <w:b/>
          <w:bCs/>
          <w:caps/>
          <w:color w:val="134753" w:themeColor="text2"/>
          <w:sz w:val="48"/>
          <w:szCs w:val="28"/>
        </w:rPr>
        <w:t>Lista figurilor</w:t>
      </w:r>
    </w:p>
    <w:p w14:paraId="6675F080" w14:textId="769F2D97" w:rsidR="00EF6538" w:rsidRDefault="00BB7F86">
      <w:pPr>
        <w:pStyle w:val="TableofFigures"/>
        <w:tabs>
          <w:tab w:val="right" w:leader="dot" w:pos="9436"/>
        </w:tabs>
        <w:rPr>
          <w:rFonts w:eastAsiaTheme="minorEastAsia" w:cstheme="minorBidi"/>
          <w:noProof/>
          <w:lang w:val="en-US"/>
        </w:rPr>
      </w:pPr>
      <w:r w:rsidRPr="00F171A3">
        <w:rPr>
          <w:b/>
          <w:bCs/>
          <w:caps/>
          <w:color w:val="134753" w:themeColor="text2"/>
          <w:sz w:val="48"/>
          <w:szCs w:val="28"/>
        </w:rPr>
        <w:fldChar w:fldCharType="begin"/>
      </w:r>
      <w:r w:rsidRPr="00F171A3">
        <w:rPr>
          <w:b/>
          <w:bCs/>
          <w:caps/>
          <w:color w:val="134753" w:themeColor="text2"/>
          <w:sz w:val="48"/>
          <w:szCs w:val="28"/>
        </w:rPr>
        <w:instrText xml:space="preserve"> TOC \h \z \c "Figura" </w:instrText>
      </w:r>
      <w:r w:rsidRPr="00F171A3">
        <w:rPr>
          <w:b/>
          <w:bCs/>
          <w:caps/>
          <w:color w:val="134753" w:themeColor="text2"/>
          <w:sz w:val="48"/>
          <w:szCs w:val="28"/>
        </w:rPr>
        <w:fldChar w:fldCharType="separate"/>
      </w:r>
      <w:hyperlink w:anchor="_Toc127197989" w:history="1">
        <w:r w:rsidR="00EF6538" w:rsidRPr="006519A3">
          <w:rPr>
            <w:rStyle w:val="Hyperlink"/>
            <w:noProof/>
          </w:rPr>
          <w:t>Figura 1 Procesul de realizare a unei strategii integrate de dezvoltare urbană/ locală</w:t>
        </w:r>
        <w:r w:rsidR="00EF6538">
          <w:rPr>
            <w:noProof/>
            <w:webHidden/>
          </w:rPr>
          <w:tab/>
        </w:r>
        <w:r w:rsidR="00EF6538">
          <w:rPr>
            <w:noProof/>
            <w:webHidden/>
          </w:rPr>
          <w:fldChar w:fldCharType="begin"/>
        </w:r>
        <w:r w:rsidR="00EF6538">
          <w:rPr>
            <w:noProof/>
            <w:webHidden/>
          </w:rPr>
          <w:instrText xml:space="preserve"> PAGEREF _Toc127197989 \h </w:instrText>
        </w:r>
        <w:r w:rsidR="00EF6538">
          <w:rPr>
            <w:noProof/>
            <w:webHidden/>
          </w:rPr>
        </w:r>
        <w:r w:rsidR="00EF6538">
          <w:rPr>
            <w:noProof/>
            <w:webHidden/>
          </w:rPr>
          <w:fldChar w:fldCharType="separate"/>
        </w:r>
        <w:r w:rsidR="005A6DD8">
          <w:rPr>
            <w:noProof/>
            <w:webHidden/>
          </w:rPr>
          <w:t>17</w:t>
        </w:r>
        <w:r w:rsidR="00EF6538">
          <w:rPr>
            <w:noProof/>
            <w:webHidden/>
          </w:rPr>
          <w:fldChar w:fldCharType="end"/>
        </w:r>
      </w:hyperlink>
    </w:p>
    <w:p w14:paraId="559853A6" w14:textId="7AE35CA7" w:rsidR="00EF6538" w:rsidRDefault="00000000">
      <w:pPr>
        <w:pStyle w:val="TableofFigures"/>
        <w:tabs>
          <w:tab w:val="right" w:leader="dot" w:pos="9436"/>
        </w:tabs>
        <w:rPr>
          <w:rFonts w:eastAsiaTheme="minorEastAsia" w:cstheme="minorBidi"/>
          <w:noProof/>
          <w:lang w:val="en-US"/>
        </w:rPr>
      </w:pPr>
      <w:hyperlink w:anchor="_Toc127197990" w:history="1">
        <w:r w:rsidR="00EF6538" w:rsidRPr="006519A3">
          <w:rPr>
            <w:rStyle w:val="Hyperlink"/>
            <w:noProof/>
          </w:rPr>
          <w:t>Figura 2 Abordarea metodologică pentru actualizarea SDLID S2</w:t>
        </w:r>
        <w:r w:rsidR="00EF6538">
          <w:rPr>
            <w:noProof/>
            <w:webHidden/>
          </w:rPr>
          <w:tab/>
        </w:r>
        <w:r w:rsidR="00EF6538">
          <w:rPr>
            <w:noProof/>
            <w:webHidden/>
          </w:rPr>
          <w:fldChar w:fldCharType="begin"/>
        </w:r>
        <w:r w:rsidR="00EF6538">
          <w:rPr>
            <w:noProof/>
            <w:webHidden/>
          </w:rPr>
          <w:instrText xml:space="preserve"> PAGEREF _Toc127197990 \h </w:instrText>
        </w:r>
        <w:r w:rsidR="00EF6538">
          <w:rPr>
            <w:noProof/>
            <w:webHidden/>
          </w:rPr>
        </w:r>
        <w:r w:rsidR="00EF6538">
          <w:rPr>
            <w:noProof/>
            <w:webHidden/>
          </w:rPr>
          <w:fldChar w:fldCharType="separate"/>
        </w:r>
        <w:r w:rsidR="005A6DD8">
          <w:rPr>
            <w:noProof/>
            <w:webHidden/>
          </w:rPr>
          <w:t>17</w:t>
        </w:r>
        <w:r w:rsidR="00EF6538">
          <w:rPr>
            <w:noProof/>
            <w:webHidden/>
          </w:rPr>
          <w:fldChar w:fldCharType="end"/>
        </w:r>
      </w:hyperlink>
    </w:p>
    <w:p w14:paraId="4FCDF41A" w14:textId="182C4884" w:rsidR="00EF6538" w:rsidRDefault="00000000">
      <w:pPr>
        <w:pStyle w:val="TableofFigures"/>
        <w:tabs>
          <w:tab w:val="right" w:leader="dot" w:pos="9436"/>
        </w:tabs>
        <w:rPr>
          <w:rFonts w:eastAsiaTheme="minorEastAsia" w:cstheme="minorBidi"/>
          <w:noProof/>
          <w:lang w:val="en-US"/>
        </w:rPr>
      </w:pPr>
      <w:hyperlink w:anchor="_Toc127197991" w:history="1">
        <w:r w:rsidR="00EF6538" w:rsidRPr="006519A3">
          <w:rPr>
            <w:rStyle w:val="Hyperlink"/>
            <w:noProof/>
          </w:rPr>
          <w:t xml:space="preserve">Figura 3 Componentele de bază ale </w:t>
        </w:r>
        <w:r w:rsidR="00EF6538" w:rsidRPr="006519A3">
          <w:rPr>
            <w:rStyle w:val="Hyperlink"/>
            <w:iCs/>
            <w:noProof/>
          </w:rPr>
          <w:t>strategiilor integrate de dezvoltare urbană</w:t>
        </w:r>
        <w:r w:rsidR="00EF6538">
          <w:rPr>
            <w:noProof/>
            <w:webHidden/>
          </w:rPr>
          <w:tab/>
        </w:r>
        <w:r w:rsidR="00EF6538">
          <w:rPr>
            <w:noProof/>
            <w:webHidden/>
          </w:rPr>
          <w:fldChar w:fldCharType="begin"/>
        </w:r>
        <w:r w:rsidR="00EF6538">
          <w:rPr>
            <w:noProof/>
            <w:webHidden/>
          </w:rPr>
          <w:instrText xml:space="preserve"> PAGEREF _Toc127197991 \h </w:instrText>
        </w:r>
        <w:r w:rsidR="00EF6538">
          <w:rPr>
            <w:noProof/>
            <w:webHidden/>
          </w:rPr>
        </w:r>
        <w:r w:rsidR="00EF6538">
          <w:rPr>
            <w:noProof/>
            <w:webHidden/>
          </w:rPr>
          <w:fldChar w:fldCharType="separate"/>
        </w:r>
        <w:r w:rsidR="005A6DD8">
          <w:rPr>
            <w:noProof/>
            <w:webHidden/>
          </w:rPr>
          <w:t>18</w:t>
        </w:r>
        <w:r w:rsidR="00EF6538">
          <w:rPr>
            <w:noProof/>
            <w:webHidden/>
          </w:rPr>
          <w:fldChar w:fldCharType="end"/>
        </w:r>
      </w:hyperlink>
    </w:p>
    <w:p w14:paraId="2B1A5965" w14:textId="306852F9" w:rsidR="00EF6538" w:rsidRDefault="00000000">
      <w:pPr>
        <w:pStyle w:val="TableofFigures"/>
        <w:tabs>
          <w:tab w:val="right" w:leader="dot" w:pos="9436"/>
        </w:tabs>
        <w:rPr>
          <w:rFonts w:eastAsiaTheme="minorEastAsia" w:cstheme="minorBidi"/>
          <w:noProof/>
          <w:lang w:val="en-US"/>
        </w:rPr>
      </w:pPr>
      <w:hyperlink w:anchor="_Toc127197992" w:history="1">
        <w:r w:rsidR="00EF6538" w:rsidRPr="006519A3">
          <w:rPr>
            <w:rStyle w:val="Hyperlink"/>
            <w:noProof/>
          </w:rPr>
          <w:t>Figura 4 Domenii-cheie analizate în cadrul SDLID S2</w:t>
        </w:r>
        <w:r w:rsidR="00EF6538">
          <w:rPr>
            <w:noProof/>
            <w:webHidden/>
          </w:rPr>
          <w:tab/>
        </w:r>
        <w:r w:rsidR="00EF6538">
          <w:rPr>
            <w:noProof/>
            <w:webHidden/>
          </w:rPr>
          <w:fldChar w:fldCharType="begin"/>
        </w:r>
        <w:r w:rsidR="00EF6538">
          <w:rPr>
            <w:noProof/>
            <w:webHidden/>
          </w:rPr>
          <w:instrText xml:space="preserve"> PAGEREF _Toc127197992 \h </w:instrText>
        </w:r>
        <w:r w:rsidR="00EF6538">
          <w:rPr>
            <w:noProof/>
            <w:webHidden/>
          </w:rPr>
        </w:r>
        <w:r w:rsidR="00EF6538">
          <w:rPr>
            <w:noProof/>
            <w:webHidden/>
          </w:rPr>
          <w:fldChar w:fldCharType="separate"/>
        </w:r>
        <w:r w:rsidR="005A6DD8">
          <w:rPr>
            <w:noProof/>
            <w:webHidden/>
          </w:rPr>
          <w:t>19</w:t>
        </w:r>
        <w:r w:rsidR="00EF6538">
          <w:rPr>
            <w:noProof/>
            <w:webHidden/>
          </w:rPr>
          <w:fldChar w:fldCharType="end"/>
        </w:r>
      </w:hyperlink>
    </w:p>
    <w:p w14:paraId="2CE44A44" w14:textId="21846A5B" w:rsidR="00EF6538" w:rsidRDefault="00000000">
      <w:pPr>
        <w:pStyle w:val="TableofFigures"/>
        <w:tabs>
          <w:tab w:val="right" w:leader="dot" w:pos="9436"/>
        </w:tabs>
        <w:rPr>
          <w:rFonts w:eastAsiaTheme="minorEastAsia" w:cstheme="minorBidi"/>
          <w:noProof/>
          <w:lang w:val="en-US"/>
        </w:rPr>
      </w:pPr>
      <w:hyperlink w:anchor="_Toc127197993" w:history="1">
        <w:r w:rsidR="00EF6538" w:rsidRPr="006519A3">
          <w:rPr>
            <w:rStyle w:val="Hyperlink"/>
            <w:noProof/>
          </w:rPr>
          <w:t>Figura 5 Pilonii urmăriți prin abordarea integrată a dezvoltării inteligente</w:t>
        </w:r>
        <w:r w:rsidR="00EF6538">
          <w:rPr>
            <w:noProof/>
            <w:webHidden/>
          </w:rPr>
          <w:tab/>
        </w:r>
        <w:r w:rsidR="00EF6538">
          <w:rPr>
            <w:noProof/>
            <w:webHidden/>
          </w:rPr>
          <w:fldChar w:fldCharType="begin"/>
        </w:r>
        <w:r w:rsidR="00EF6538">
          <w:rPr>
            <w:noProof/>
            <w:webHidden/>
          </w:rPr>
          <w:instrText xml:space="preserve"> PAGEREF _Toc127197993 \h </w:instrText>
        </w:r>
        <w:r w:rsidR="00EF6538">
          <w:rPr>
            <w:noProof/>
            <w:webHidden/>
          </w:rPr>
        </w:r>
        <w:r w:rsidR="00EF6538">
          <w:rPr>
            <w:noProof/>
            <w:webHidden/>
          </w:rPr>
          <w:fldChar w:fldCharType="separate"/>
        </w:r>
        <w:r w:rsidR="005A6DD8">
          <w:rPr>
            <w:noProof/>
            <w:webHidden/>
          </w:rPr>
          <w:t>19</w:t>
        </w:r>
        <w:r w:rsidR="00EF6538">
          <w:rPr>
            <w:noProof/>
            <w:webHidden/>
          </w:rPr>
          <w:fldChar w:fldCharType="end"/>
        </w:r>
      </w:hyperlink>
    </w:p>
    <w:p w14:paraId="4D01CC9F" w14:textId="06A70653" w:rsidR="00EF6538" w:rsidRDefault="00000000">
      <w:pPr>
        <w:pStyle w:val="TableofFigures"/>
        <w:tabs>
          <w:tab w:val="right" w:leader="dot" w:pos="9436"/>
        </w:tabs>
        <w:rPr>
          <w:rFonts w:eastAsiaTheme="minorEastAsia" w:cstheme="minorBidi"/>
          <w:noProof/>
          <w:lang w:val="en-US"/>
        </w:rPr>
      </w:pPr>
      <w:hyperlink w:anchor="_Toc127197994" w:history="1">
        <w:r w:rsidR="00EF6538" w:rsidRPr="006519A3">
          <w:rPr>
            <w:rStyle w:val="Hyperlink"/>
            <w:noProof/>
          </w:rPr>
          <w:t>Figura 6 Pilonii urmăriți prin abordarea integrată a obiectivelor de reziliență</w:t>
        </w:r>
        <w:r w:rsidR="00EF6538">
          <w:rPr>
            <w:noProof/>
            <w:webHidden/>
          </w:rPr>
          <w:tab/>
        </w:r>
        <w:r w:rsidR="00EF6538">
          <w:rPr>
            <w:noProof/>
            <w:webHidden/>
          </w:rPr>
          <w:fldChar w:fldCharType="begin"/>
        </w:r>
        <w:r w:rsidR="00EF6538">
          <w:rPr>
            <w:noProof/>
            <w:webHidden/>
          </w:rPr>
          <w:instrText xml:space="preserve"> PAGEREF _Toc127197994 \h </w:instrText>
        </w:r>
        <w:r w:rsidR="00EF6538">
          <w:rPr>
            <w:noProof/>
            <w:webHidden/>
          </w:rPr>
        </w:r>
        <w:r w:rsidR="00EF6538">
          <w:rPr>
            <w:noProof/>
            <w:webHidden/>
          </w:rPr>
          <w:fldChar w:fldCharType="separate"/>
        </w:r>
        <w:r w:rsidR="005A6DD8">
          <w:rPr>
            <w:noProof/>
            <w:webHidden/>
          </w:rPr>
          <w:t>20</w:t>
        </w:r>
        <w:r w:rsidR="00EF6538">
          <w:rPr>
            <w:noProof/>
            <w:webHidden/>
          </w:rPr>
          <w:fldChar w:fldCharType="end"/>
        </w:r>
      </w:hyperlink>
    </w:p>
    <w:p w14:paraId="5913D942" w14:textId="2F9A6FB7" w:rsidR="00EF6538" w:rsidRDefault="00000000">
      <w:pPr>
        <w:pStyle w:val="TableofFigures"/>
        <w:tabs>
          <w:tab w:val="right" w:leader="dot" w:pos="9436"/>
        </w:tabs>
        <w:rPr>
          <w:rFonts w:eastAsiaTheme="minorEastAsia" w:cstheme="minorBidi"/>
          <w:noProof/>
          <w:lang w:val="en-US"/>
        </w:rPr>
      </w:pPr>
      <w:hyperlink w:anchor="_Toc127197995" w:history="1">
        <w:r w:rsidR="00EF6538" w:rsidRPr="006519A3">
          <w:rPr>
            <w:rStyle w:val="Hyperlink"/>
            <w:noProof/>
          </w:rPr>
          <w:t>Figura 7 Obectivele de dezvoltare durabilă</w:t>
        </w:r>
        <w:r w:rsidR="00EF6538">
          <w:rPr>
            <w:noProof/>
            <w:webHidden/>
          </w:rPr>
          <w:tab/>
        </w:r>
        <w:r w:rsidR="00EF6538">
          <w:rPr>
            <w:noProof/>
            <w:webHidden/>
          </w:rPr>
          <w:fldChar w:fldCharType="begin"/>
        </w:r>
        <w:r w:rsidR="00EF6538">
          <w:rPr>
            <w:noProof/>
            <w:webHidden/>
          </w:rPr>
          <w:instrText xml:space="preserve"> PAGEREF _Toc127197995 \h </w:instrText>
        </w:r>
        <w:r w:rsidR="00EF6538">
          <w:rPr>
            <w:noProof/>
            <w:webHidden/>
          </w:rPr>
        </w:r>
        <w:r w:rsidR="00EF6538">
          <w:rPr>
            <w:noProof/>
            <w:webHidden/>
          </w:rPr>
          <w:fldChar w:fldCharType="separate"/>
        </w:r>
        <w:r w:rsidR="005A6DD8">
          <w:rPr>
            <w:noProof/>
            <w:webHidden/>
          </w:rPr>
          <w:t>22</w:t>
        </w:r>
        <w:r w:rsidR="00EF6538">
          <w:rPr>
            <w:noProof/>
            <w:webHidden/>
          </w:rPr>
          <w:fldChar w:fldCharType="end"/>
        </w:r>
      </w:hyperlink>
    </w:p>
    <w:p w14:paraId="6982AF96" w14:textId="26D181CB" w:rsidR="00EF6538" w:rsidRDefault="00000000">
      <w:pPr>
        <w:pStyle w:val="TableofFigures"/>
        <w:tabs>
          <w:tab w:val="right" w:leader="dot" w:pos="9436"/>
        </w:tabs>
        <w:rPr>
          <w:rFonts w:eastAsiaTheme="minorEastAsia" w:cstheme="minorBidi"/>
          <w:noProof/>
          <w:lang w:val="en-US"/>
        </w:rPr>
      </w:pPr>
      <w:hyperlink w:anchor="_Toc127197996" w:history="1">
        <w:r w:rsidR="00EF6538" w:rsidRPr="006519A3">
          <w:rPr>
            <w:rStyle w:val="Hyperlink"/>
            <w:noProof/>
          </w:rPr>
          <w:t>Figura 8 Obiectivele care stau la baza viziunii de dezvoltare a Strategiei de Dezvoltare Locală Integrată și Durabilă a Sectorului 2 pentru perioada 2016 – 2025</w:t>
        </w:r>
        <w:r w:rsidR="00EF6538">
          <w:rPr>
            <w:noProof/>
            <w:webHidden/>
          </w:rPr>
          <w:tab/>
        </w:r>
        <w:r w:rsidR="00EF6538">
          <w:rPr>
            <w:noProof/>
            <w:webHidden/>
          </w:rPr>
          <w:fldChar w:fldCharType="begin"/>
        </w:r>
        <w:r w:rsidR="00EF6538">
          <w:rPr>
            <w:noProof/>
            <w:webHidden/>
          </w:rPr>
          <w:instrText xml:space="preserve"> PAGEREF _Toc127197996 \h </w:instrText>
        </w:r>
        <w:r w:rsidR="00EF6538">
          <w:rPr>
            <w:noProof/>
            <w:webHidden/>
          </w:rPr>
        </w:r>
        <w:r w:rsidR="00EF6538">
          <w:rPr>
            <w:noProof/>
            <w:webHidden/>
          </w:rPr>
          <w:fldChar w:fldCharType="separate"/>
        </w:r>
        <w:r w:rsidR="005A6DD8">
          <w:rPr>
            <w:noProof/>
            <w:webHidden/>
          </w:rPr>
          <w:t>37</w:t>
        </w:r>
        <w:r w:rsidR="00EF6538">
          <w:rPr>
            <w:noProof/>
            <w:webHidden/>
          </w:rPr>
          <w:fldChar w:fldCharType="end"/>
        </w:r>
      </w:hyperlink>
    </w:p>
    <w:p w14:paraId="5596FBEF" w14:textId="48484F08" w:rsidR="00EF6538" w:rsidRDefault="00000000">
      <w:pPr>
        <w:pStyle w:val="TableofFigures"/>
        <w:tabs>
          <w:tab w:val="right" w:leader="dot" w:pos="9436"/>
        </w:tabs>
        <w:rPr>
          <w:rFonts w:eastAsiaTheme="minorEastAsia" w:cstheme="minorBidi"/>
          <w:noProof/>
          <w:lang w:val="en-US"/>
        </w:rPr>
      </w:pPr>
      <w:hyperlink w:anchor="_Toc127197997" w:history="1">
        <w:r w:rsidR="00EF6538" w:rsidRPr="006519A3">
          <w:rPr>
            <w:rStyle w:val="Hyperlink"/>
            <w:noProof/>
          </w:rPr>
          <w:t>Figura 9 Ponderea proiectelor propuse aferente fiecărui obiectiv general, Strategia de Dezvoltare Locală Integrată și Durabilă a Sectorului 2 pentru perioada 2016 – 2025</w:t>
        </w:r>
        <w:r w:rsidR="00EF6538">
          <w:rPr>
            <w:noProof/>
            <w:webHidden/>
          </w:rPr>
          <w:tab/>
        </w:r>
        <w:r w:rsidR="00EF6538">
          <w:rPr>
            <w:noProof/>
            <w:webHidden/>
          </w:rPr>
          <w:fldChar w:fldCharType="begin"/>
        </w:r>
        <w:r w:rsidR="00EF6538">
          <w:rPr>
            <w:noProof/>
            <w:webHidden/>
          </w:rPr>
          <w:instrText xml:space="preserve"> PAGEREF _Toc127197997 \h </w:instrText>
        </w:r>
        <w:r w:rsidR="00EF6538">
          <w:rPr>
            <w:noProof/>
            <w:webHidden/>
          </w:rPr>
        </w:r>
        <w:r w:rsidR="00EF6538">
          <w:rPr>
            <w:noProof/>
            <w:webHidden/>
          </w:rPr>
          <w:fldChar w:fldCharType="separate"/>
        </w:r>
        <w:r w:rsidR="005A6DD8">
          <w:rPr>
            <w:noProof/>
            <w:webHidden/>
          </w:rPr>
          <w:t>37</w:t>
        </w:r>
        <w:r w:rsidR="00EF6538">
          <w:rPr>
            <w:noProof/>
            <w:webHidden/>
          </w:rPr>
          <w:fldChar w:fldCharType="end"/>
        </w:r>
      </w:hyperlink>
    </w:p>
    <w:p w14:paraId="1C4BF5FD" w14:textId="18C31875" w:rsidR="00EF6538" w:rsidRDefault="00000000">
      <w:pPr>
        <w:pStyle w:val="TableofFigures"/>
        <w:tabs>
          <w:tab w:val="right" w:leader="dot" w:pos="9436"/>
        </w:tabs>
        <w:rPr>
          <w:rFonts w:eastAsiaTheme="minorEastAsia" w:cstheme="minorBidi"/>
          <w:noProof/>
          <w:lang w:val="en-US"/>
        </w:rPr>
      </w:pPr>
      <w:hyperlink w:anchor="_Toc127197998" w:history="1">
        <w:r w:rsidR="00EF6538" w:rsidRPr="006519A3">
          <w:rPr>
            <w:rStyle w:val="Hyperlink"/>
            <w:noProof/>
          </w:rPr>
          <w:t>Figura 10 Ponderea bugetelor propuse aferente fiecărui obiectiv general, Strategia de Dezvoltare Locală Integrată și Durabilă a Sectorului 2 pentru perioada 2016 – 2025</w:t>
        </w:r>
        <w:r w:rsidR="00EF6538">
          <w:rPr>
            <w:noProof/>
            <w:webHidden/>
          </w:rPr>
          <w:tab/>
        </w:r>
        <w:r w:rsidR="00EF6538">
          <w:rPr>
            <w:noProof/>
            <w:webHidden/>
          </w:rPr>
          <w:fldChar w:fldCharType="begin"/>
        </w:r>
        <w:r w:rsidR="00EF6538">
          <w:rPr>
            <w:noProof/>
            <w:webHidden/>
          </w:rPr>
          <w:instrText xml:space="preserve"> PAGEREF _Toc127197998 \h </w:instrText>
        </w:r>
        <w:r w:rsidR="00EF6538">
          <w:rPr>
            <w:noProof/>
            <w:webHidden/>
          </w:rPr>
        </w:r>
        <w:r w:rsidR="00EF6538">
          <w:rPr>
            <w:noProof/>
            <w:webHidden/>
          </w:rPr>
          <w:fldChar w:fldCharType="separate"/>
        </w:r>
        <w:r w:rsidR="005A6DD8">
          <w:rPr>
            <w:noProof/>
            <w:webHidden/>
          </w:rPr>
          <w:t>38</w:t>
        </w:r>
        <w:r w:rsidR="00EF6538">
          <w:rPr>
            <w:noProof/>
            <w:webHidden/>
          </w:rPr>
          <w:fldChar w:fldCharType="end"/>
        </w:r>
      </w:hyperlink>
    </w:p>
    <w:p w14:paraId="2928AF8C" w14:textId="57848B6F" w:rsidR="00EF6538" w:rsidRDefault="00000000">
      <w:pPr>
        <w:pStyle w:val="TableofFigures"/>
        <w:tabs>
          <w:tab w:val="right" w:leader="dot" w:pos="9436"/>
        </w:tabs>
        <w:rPr>
          <w:rFonts w:eastAsiaTheme="minorEastAsia" w:cstheme="minorBidi"/>
          <w:noProof/>
          <w:lang w:val="en-US"/>
        </w:rPr>
      </w:pPr>
      <w:hyperlink w:anchor="_Toc127197999" w:history="1">
        <w:r w:rsidR="00EF6538" w:rsidRPr="006519A3">
          <w:rPr>
            <w:rStyle w:val="Hyperlink"/>
            <w:noProof/>
          </w:rPr>
          <w:t>Figura 11 Gradul de implementare al proiectelor specifice Obiectivului general 1 - Locuire, servicii și cultură adaptate unei comunităţi active și implicate</w:t>
        </w:r>
        <w:r w:rsidR="00EF6538">
          <w:rPr>
            <w:noProof/>
            <w:webHidden/>
          </w:rPr>
          <w:tab/>
        </w:r>
        <w:r w:rsidR="00EF6538">
          <w:rPr>
            <w:noProof/>
            <w:webHidden/>
          </w:rPr>
          <w:fldChar w:fldCharType="begin"/>
        </w:r>
        <w:r w:rsidR="00EF6538">
          <w:rPr>
            <w:noProof/>
            <w:webHidden/>
          </w:rPr>
          <w:instrText xml:space="preserve"> PAGEREF _Toc127197999 \h </w:instrText>
        </w:r>
        <w:r w:rsidR="00EF6538">
          <w:rPr>
            <w:noProof/>
            <w:webHidden/>
          </w:rPr>
        </w:r>
        <w:r w:rsidR="00EF6538">
          <w:rPr>
            <w:noProof/>
            <w:webHidden/>
          </w:rPr>
          <w:fldChar w:fldCharType="separate"/>
        </w:r>
        <w:r w:rsidR="005A6DD8">
          <w:rPr>
            <w:noProof/>
            <w:webHidden/>
          </w:rPr>
          <w:t>39</w:t>
        </w:r>
        <w:r w:rsidR="00EF6538">
          <w:rPr>
            <w:noProof/>
            <w:webHidden/>
          </w:rPr>
          <w:fldChar w:fldCharType="end"/>
        </w:r>
      </w:hyperlink>
    </w:p>
    <w:p w14:paraId="18E35006" w14:textId="2036DA03" w:rsidR="00EF6538" w:rsidRDefault="00000000">
      <w:pPr>
        <w:pStyle w:val="TableofFigures"/>
        <w:tabs>
          <w:tab w:val="right" w:leader="dot" w:pos="9436"/>
        </w:tabs>
        <w:rPr>
          <w:rFonts w:eastAsiaTheme="minorEastAsia" w:cstheme="minorBidi"/>
          <w:noProof/>
          <w:lang w:val="en-US"/>
        </w:rPr>
      </w:pPr>
      <w:hyperlink w:anchor="_Toc127198000" w:history="1">
        <w:r w:rsidR="00EF6538" w:rsidRPr="006519A3">
          <w:rPr>
            <w:rStyle w:val="Hyperlink"/>
            <w:noProof/>
          </w:rPr>
          <w:t>Figura 12 Gradul de implementare al proiectelor specifice Obiectivului general 2 -  Sector cu atractivitate crescută pentru forța de muncă și companii</w:t>
        </w:r>
        <w:r w:rsidR="00EF6538">
          <w:rPr>
            <w:noProof/>
            <w:webHidden/>
          </w:rPr>
          <w:tab/>
        </w:r>
        <w:r w:rsidR="00EF6538">
          <w:rPr>
            <w:noProof/>
            <w:webHidden/>
          </w:rPr>
          <w:fldChar w:fldCharType="begin"/>
        </w:r>
        <w:r w:rsidR="00EF6538">
          <w:rPr>
            <w:noProof/>
            <w:webHidden/>
          </w:rPr>
          <w:instrText xml:space="preserve"> PAGEREF _Toc127198000 \h </w:instrText>
        </w:r>
        <w:r w:rsidR="00EF6538">
          <w:rPr>
            <w:noProof/>
            <w:webHidden/>
          </w:rPr>
        </w:r>
        <w:r w:rsidR="00EF6538">
          <w:rPr>
            <w:noProof/>
            <w:webHidden/>
          </w:rPr>
          <w:fldChar w:fldCharType="separate"/>
        </w:r>
        <w:r w:rsidR="005A6DD8">
          <w:rPr>
            <w:noProof/>
            <w:webHidden/>
          </w:rPr>
          <w:t>43</w:t>
        </w:r>
        <w:r w:rsidR="00EF6538">
          <w:rPr>
            <w:noProof/>
            <w:webHidden/>
          </w:rPr>
          <w:fldChar w:fldCharType="end"/>
        </w:r>
      </w:hyperlink>
    </w:p>
    <w:p w14:paraId="6381B890" w14:textId="5592E1B0" w:rsidR="00EF6538" w:rsidRDefault="00000000">
      <w:pPr>
        <w:pStyle w:val="TableofFigures"/>
        <w:tabs>
          <w:tab w:val="right" w:leader="dot" w:pos="9436"/>
        </w:tabs>
        <w:rPr>
          <w:rFonts w:eastAsiaTheme="minorEastAsia" w:cstheme="minorBidi"/>
          <w:noProof/>
          <w:lang w:val="en-US"/>
        </w:rPr>
      </w:pPr>
      <w:hyperlink w:anchor="_Toc127198001" w:history="1">
        <w:r w:rsidR="00EF6538" w:rsidRPr="006519A3">
          <w:rPr>
            <w:rStyle w:val="Hyperlink"/>
            <w:noProof/>
          </w:rPr>
          <w:t>Figura 13 Gradul de implementare al proiectelor specifice Obiectivului general 3 -  Infrastructură urbană adaptată la nevoile actuale și viitoare</w:t>
        </w:r>
        <w:r w:rsidR="00EF6538">
          <w:rPr>
            <w:noProof/>
            <w:webHidden/>
          </w:rPr>
          <w:tab/>
        </w:r>
        <w:r w:rsidR="00EF6538">
          <w:rPr>
            <w:noProof/>
            <w:webHidden/>
          </w:rPr>
          <w:fldChar w:fldCharType="begin"/>
        </w:r>
        <w:r w:rsidR="00EF6538">
          <w:rPr>
            <w:noProof/>
            <w:webHidden/>
          </w:rPr>
          <w:instrText xml:space="preserve"> PAGEREF _Toc127198001 \h </w:instrText>
        </w:r>
        <w:r w:rsidR="00EF6538">
          <w:rPr>
            <w:noProof/>
            <w:webHidden/>
          </w:rPr>
        </w:r>
        <w:r w:rsidR="00EF6538">
          <w:rPr>
            <w:noProof/>
            <w:webHidden/>
          </w:rPr>
          <w:fldChar w:fldCharType="separate"/>
        </w:r>
        <w:r w:rsidR="005A6DD8">
          <w:rPr>
            <w:noProof/>
            <w:webHidden/>
          </w:rPr>
          <w:t>45</w:t>
        </w:r>
        <w:r w:rsidR="00EF6538">
          <w:rPr>
            <w:noProof/>
            <w:webHidden/>
          </w:rPr>
          <w:fldChar w:fldCharType="end"/>
        </w:r>
      </w:hyperlink>
    </w:p>
    <w:p w14:paraId="029269F9" w14:textId="4B7AF484" w:rsidR="00EF6538" w:rsidRDefault="00000000">
      <w:pPr>
        <w:pStyle w:val="TableofFigures"/>
        <w:tabs>
          <w:tab w:val="right" w:leader="dot" w:pos="9436"/>
        </w:tabs>
        <w:rPr>
          <w:rFonts w:eastAsiaTheme="minorEastAsia" w:cstheme="minorBidi"/>
          <w:noProof/>
          <w:lang w:val="en-US"/>
        </w:rPr>
      </w:pPr>
      <w:hyperlink w:anchor="_Toc127198002" w:history="1">
        <w:r w:rsidR="00EF6538" w:rsidRPr="006519A3">
          <w:rPr>
            <w:rStyle w:val="Hyperlink"/>
            <w:noProof/>
          </w:rPr>
          <w:t>Figura 14 Gradul de implementare al proiectelor specifice Obiectivului general 4 -  Sector 2 - model de dezvoltare sistem albastru-verde</w:t>
        </w:r>
        <w:r w:rsidR="00EF6538">
          <w:rPr>
            <w:noProof/>
            <w:webHidden/>
          </w:rPr>
          <w:tab/>
        </w:r>
        <w:r w:rsidR="00EF6538">
          <w:rPr>
            <w:noProof/>
            <w:webHidden/>
          </w:rPr>
          <w:fldChar w:fldCharType="begin"/>
        </w:r>
        <w:r w:rsidR="00EF6538">
          <w:rPr>
            <w:noProof/>
            <w:webHidden/>
          </w:rPr>
          <w:instrText xml:space="preserve"> PAGEREF _Toc127198002 \h </w:instrText>
        </w:r>
        <w:r w:rsidR="00EF6538">
          <w:rPr>
            <w:noProof/>
            <w:webHidden/>
          </w:rPr>
        </w:r>
        <w:r w:rsidR="00EF6538">
          <w:rPr>
            <w:noProof/>
            <w:webHidden/>
          </w:rPr>
          <w:fldChar w:fldCharType="separate"/>
        </w:r>
        <w:r w:rsidR="005A6DD8">
          <w:rPr>
            <w:noProof/>
            <w:webHidden/>
          </w:rPr>
          <w:t>47</w:t>
        </w:r>
        <w:r w:rsidR="00EF6538">
          <w:rPr>
            <w:noProof/>
            <w:webHidden/>
          </w:rPr>
          <w:fldChar w:fldCharType="end"/>
        </w:r>
      </w:hyperlink>
    </w:p>
    <w:p w14:paraId="45F81A06" w14:textId="6290DA50" w:rsidR="00EF6538" w:rsidRDefault="00000000">
      <w:pPr>
        <w:pStyle w:val="TableofFigures"/>
        <w:tabs>
          <w:tab w:val="right" w:leader="dot" w:pos="9436"/>
        </w:tabs>
        <w:rPr>
          <w:rFonts w:eastAsiaTheme="minorEastAsia" w:cstheme="minorBidi"/>
          <w:noProof/>
          <w:lang w:val="en-US"/>
        </w:rPr>
      </w:pPr>
      <w:hyperlink w:anchor="_Toc127198003" w:history="1">
        <w:r w:rsidR="00EF6538" w:rsidRPr="006519A3">
          <w:rPr>
            <w:rStyle w:val="Hyperlink"/>
            <w:noProof/>
          </w:rPr>
          <w:t>Figura 15 Gradul de implementare al proiectelor specifice Obiectivului general 5 -  Administrație publică performantă</w:t>
        </w:r>
        <w:r w:rsidR="00EF6538">
          <w:rPr>
            <w:noProof/>
            <w:webHidden/>
          </w:rPr>
          <w:tab/>
        </w:r>
        <w:r w:rsidR="00EF6538">
          <w:rPr>
            <w:noProof/>
            <w:webHidden/>
          </w:rPr>
          <w:fldChar w:fldCharType="begin"/>
        </w:r>
        <w:r w:rsidR="00EF6538">
          <w:rPr>
            <w:noProof/>
            <w:webHidden/>
          </w:rPr>
          <w:instrText xml:space="preserve"> PAGEREF _Toc127198003 \h </w:instrText>
        </w:r>
        <w:r w:rsidR="00EF6538">
          <w:rPr>
            <w:noProof/>
            <w:webHidden/>
          </w:rPr>
        </w:r>
        <w:r w:rsidR="00EF6538">
          <w:rPr>
            <w:noProof/>
            <w:webHidden/>
          </w:rPr>
          <w:fldChar w:fldCharType="separate"/>
        </w:r>
        <w:r w:rsidR="005A6DD8">
          <w:rPr>
            <w:noProof/>
            <w:webHidden/>
          </w:rPr>
          <w:t>49</w:t>
        </w:r>
        <w:r w:rsidR="00EF6538">
          <w:rPr>
            <w:noProof/>
            <w:webHidden/>
          </w:rPr>
          <w:fldChar w:fldCharType="end"/>
        </w:r>
      </w:hyperlink>
    </w:p>
    <w:p w14:paraId="5A0B243C" w14:textId="22A85DEA" w:rsidR="00EF6538" w:rsidRDefault="00000000">
      <w:pPr>
        <w:pStyle w:val="TableofFigures"/>
        <w:tabs>
          <w:tab w:val="right" w:leader="dot" w:pos="9436"/>
        </w:tabs>
        <w:rPr>
          <w:rFonts w:eastAsiaTheme="minorEastAsia" w:cstheme="minorBidi"/>
          <w:noProof/>
          <w:lang w:val="en-US"/>
        </w:rPr>
      </w:pPr>
      <w:hyperlink w:anchor="_Toc127198004" w:history="1">
        <w:r w:rsidR="00EF6538" w:rsidRPr="006519A3">
          <w:rPr>
            <w:rStyle w:val="Hyperlink"/>
            <w:noProof/>
          </w:rPr>
          <w:t>Figura 16 Ponderea proiectelor implementate din totalul proiectelor propuse la nivelul fiecărui obiectiv general din Strategia de Dezvoltare Locală Integrată și Durabilă a Sectorului 2 pentru perioada 2016 - 2025</w:t>
        </w:r>
        <w:r w:rsidR="00EF6538">
          <w:rPr>
            <w:noProof/>
            <w:webHidden/>
          </w:rPr>
          <w:tab/>
        </w:r>
        <w:r w:rsidR="00EF6538">
          <w:rPr>
            <w:noProof/>
            <w:webHidden/>
          </w:rPr>
          <w:fldChar w:fldCharType="begin"/>
        </w:r>
        <w:r w:rsidR="00EF6538">
          <w:rPr>
            <w:noProof/>
            <w:webHidden/>
          </w:rPr>
          <w:instrText xml:space="preserve"> PAGEREF _Toc127198004 \h </w:instrText>
        </w:r>
        <w:r w:rsidR="00EF6538">
          <w:rPr>
            <w:noProof/>
            <w:webHidden/>
          </w:rPr>
        </w:r>
        <w:r w:rsidR="00EF6538">
          <w:rPr>
            <w:noProof/>
            <w:webHidden/>
          </w:rPr>
          <w:fldChar w:fldCharType="separate"/>
        </w:r>
        <w:r w:rsidR="005A6DD8">
          <w:rPr>
            <w:noProof/>
            <w:webHidden/>
          </w:rPr>
          <w:t>52</w:t>
        </w:r>
        <w:r w:rsidR="00EF6538">
          <w:rPr>
            <w:noProof/>
            <w:webHidden/>
          </w:rPr>
          <w:fldChar w:fldCharType="end"/>
        </w:r>
      </w:hyperlink>
    </w:p>
    <w:p w14:paraId="7879EA49" w14:textId="78DE9A8B" w:rsidR="00EF6538" w:rsidRDefault="00000000">
      <w:pPr>
        <w:pStyle w:val="TableofFigures"/>
        <w:tabs>
          <w:tab w:val="right" w:leader="dot" w:pos="9436"/>
        </w:tabs>
        <w:rPr>
          <w:rFonts w:eastAsiaTheme="minorEastAsia" w:cstheme="minorBidi"/>
          <w:noProof/>
          <w:lang w:val="en-US"/>
        </w:rPr>
      </w:pPr>
      <w:hyperlink w:anchor="_Toc127198005" w:history="1">
        <w:r w:rsidR="00EF6538" w:rsidRPr="006519A3">
          <w:rPr>
            <w:rStyle w:val="Hyperlink"/>
            <w:noProof/>
          </w:rPr>
          <w:t>Figura 17 Ponderea proiectelor în curs de implementare din totalul proiectelor propuse la nivelul fiecărui obiectiv general din Strategia de Dezvoltare Locală Integrată și Durabilă a Sectorului 2 pentru perioada 2016 - 2025</w:t>
        </w:r>
        <w:r w:rsidR="00EF6538">
          <w:rPr>
            <w:noProof/>
            <w:webHidden/>
          </w:rPr>
          <w:tab/>
        </w:r>
        <w:r w:rsidR="00EF6538">
          <w:rPr>
            <w:noProof/>
            <w:webHidden/>
          </w:rPr>
          <w:fldChar w:fldCharType="begin"/>
        </w:r>
        <w:r w:rsidR="00EF6538">
          <w:rPr>
            <w:noProof/>
            <w:webHidden/>
          </w:rPr>
          <w:instrText xml:space="preserve"> PAGEREF _Toc127198005 \h </w:instrText>
        </w:r>
        <w:r w:rsidR="00EF6538">
          <w:rPr>
            <w:noProof/>
            <w:webHidden/>
          </w:rPr>
        </w:r>
        <w:r w:rsidR="00EF6538">
          <w:rPr>
            <w:noProof/>
            <w:webHidden/>
          </w:rPr>
          <w:fldChar w:fldCharType="separate"/>
        </w:r>
        <w:r w:rsidR="005A6DD8">
          <w:rPr>
            <w:noProof/>
            <w:webHidden/>
          </w:rPr>
          <w:t>52</w:t>
        </w:r>
        <w:r w:rsidR="00EF6538">
          <w:rPr>
            <w:noProof/>
            <w:webHidden/>
          </w:rPr>
          <w:fldChar w:fldCharType="end"/>
        </w:r>
      </w:hyperlink>
    </w:p>
    <w:p w14:paraId="781DE036" w14:textId="1E9C6736" w:rsidR="00EF6538" w:rsidRDefault="00000000">
      <w:pPr>
        <w:pStyle w:val="TableofFigures"/>
        <w:tabs>
          <w:tab w:val="right" w:leader="dot" w:pos="9436"/>
        </w:tabs>
        <w:rPr>
          <w:rFonts w:eastAsiaTheme="minorEastAsia" w:cstheme="minorBidi"/>
          <w:noProof/>
          <w:lang w:val="en-US"/>
        </w:rPr>
      </w:pPr>
      <w:hyperlink w:anchor="_Toc127198006" w:history="1">
        <w:r w:rsidR="00EF6538" w:rsidRPr="006519A3">
          <w:rPr>
            <w:rStyle w:val="Hyperlink"/>
            <w:noProof/>
          </w:rPr>
          <w:t>Figura 18 Ponderea bugetului proiectelor finalizate din totalul bugetului propus la nivelul fiecărui obiectiv general din Strategia de Dezvoltare Locală Integrată și Durabilă a Sectorului 2 pentru perioada 2016 - 2025</w:t>
        </w:r>
        <w:r w:rsidR="00EF6538">
          <w:rPr>
            <w:noProof/>
            <w:webHidden/>
          </w:rPr>
          <w:tab/>
        </w:r>
        <w:r w:rsidR="00EF6538">
          <w:rPr>
            <w:noProof/>
            <w:webHidden/>
          </w:rPr>
          <w:fldChar w:fldCharType="begin"/>
        </w:r>
        <w:r w:rsidR="00EF6538">
          <w:rPr>
            <w:noProof/>
            <w:webHidden/>
          </w:rPr>
          <w:instrText xml:space="preserve"> PAGEREF _Toc127198006 \h </w:instrText>
        </w:r>
        <w:r w:rsidR="00EF6538">
          <w:rPr>
            <w:noProof/>
            <w:webHidden/>
          </w:rPr>
        </w:r>
        <w:r w:rsidR="00EF6538">
          <w:rPr>
            <w:noProof/>
            <w:webHidden/>
          </w:rPr>
          <w:fldChar w:fldCharType="separate"/>
        </w:r>
        <w:r w:rsidR="005A6DD8">
          <w:rPr>
            <w:noProof/>
            <w:webHidden/>
          </w:rPr>
          <w:t>53</w:t>
        </w:r>
        <w:r w:rsidR="00EF6538">
          <w:rPr>
            <w:noProof/>
            <w:webHidden/>
          </w:rPr>
          <w:fldChar w:fldCharType="end"/>
        </w:r>
      </w:hyperlink>
    </w:p>
    <w:p w14:paraId="2D2F74D3" w14:textId="6269DEF3" w:rsidR="00EF6538" w:rsidRDefault="00000000">
      <w:pPr>
        <w:pStyle w:val="TableofFigures"/>
        <w:tabs>
          <w:tab w:val="right" w:leader="dot" w:pos="9436"/>
        </w:tabs>
        <w:rPr>
          <w:rFonts w:eastAsiaTheme="minorEastAsia" w:cstheme="minorBidi"/>
          <w:noProof/>
          <w:lang w:val="en-US"/>
        </w:rPr>
      </w:pPr>
      <w:hyperlink w:anchor="_Toc127198007" w:history="1">
        <w:r w:rsidR="00EF6538" w:rsidRPr="006519A3">
          <w:rPr>
            <w:rStyle w:val="Hyperlink"/>
            <w:noProof/>
          </w:rPr>
          <w:t>Figura 19 Ponderea proiectelor propuse aferente fiecărui obiectiv (1) și ponderea proiectelor finalizate sau în curs de implementare aferente fiecărui obiectiv (2)</w:t>
        </w:r>
        <w:r w:rsidR="00EF6538">
          <w:rPr>
            <w:noProof/>
            <w:webHidden/>
          </w:rPr>
          <w:tab/>
        </w:r>
        <w:r w:rsidR="00EF6538">
          <w:rPr>
            <w:noProof/>
            <w:webHidden/>
          </w:rPr>
          <w:fldChar w:fldCharType="begin"/>
        </w:r>
        <w:r w:rsidR="00EF6538">
          <w:rPr>
            <w:noProof/>
            <w:webHidden/>
          </w:rPr>
          <w:instrText xml:space="preserve"> PAGEREF _Toc127198007 \h </w:instrText>
        </w:r>
        <w:r w:rsidR="00EF6538">
          <w:rPr>
            <w:noProof/>
            <w:webHidden/>
          </w:rPr>
        </w:r>
        <w:r w:rsidR="00EF6538">
          <w:rPr>
            <w:noProof/>
            <w:webHidden/>
          </w:rPr>
          <w:fldChar w:fldCharType="separate"/>
        </w:r>
        <w:r w:rsidR="005A6DD8">
          <w:rPr>
            <w:noProof/>
            <w:webHidden/>
          </w:rPr>
          <w:t>54</w:t>
        </w:r>
        <w:r w:rsidR="00EF6538">
          <w:rPr>
            <w:noProof/>
            <w:webHidden/>
          </w:rPr>
          <w:fldChar w:fldCharType="end"/>
        </w:r>
      </w:hyperlink>
    </w:p>
    <w:p w14:paraId="10A18A36" w14:textId="5CEEC8BD" w:rsidR="00EF6538" w:rsidRDefault="00000000">
      <w:pPr>
        <w:pStyle w:val="TableofFigures"/>
        <w:tabs>
          <w:tab w:val="right" w:leader="dot" w:pos="9436"/>
        </w:tabs>
        <w:rPr>
          <w:rFonts w:eastAsiaTheme="minorEastAsia" w:cstheme="minorBidi"/>
          <w:noProof/>
          <w:lang w:val="en-US"/>
        </w:rPr>
      </w:pPr>
      <w:hyperlink w:anchor="_Toc127198008" w:history="1">
        <w:r w:rsidR="00EF6538" w:rsidRPr="006519A3">
          <w:rPr>
            <w:rStyle w:val="Hyperlink"/>
            <w:noProof/>
          </w:rPr>
          <w:t>Figura 20 Evoluția populației Sectorului 2 în perioada 2015-2021</w:t>
        </w:r>
        <w:r w:rsidR="00EF6538">
          <w:rPr>
            <w:noProof/>
            <w:webHidden/>
          </w:rPr>
          <w:tab/>
        </w:r>
        <w:r w:rsidR="00EF6538">
          <w:rPr>
            <w:noProof/>
            <w:webHidden/>
          </w:rPr>
          <w:fldChar w:fldCharType="begin"/>
        </w:r>
        <w:r w:rsidR="00EF6538">
          <w:rPr>
            <w:noProof/>
            <w:webHidden/>
          </w:rPr>
          <w:instrText xml:space="preserve"> PAGEREF _Toc127198008 \h </w:instrText>
        </w:r>
        <w:r w:rsidR="00EF6538">
          <w:rPr>
            <w:noProof/>
            <w:webHidden/>
          </w:rPr>
        </w:r>
        <w:r w:rsidR="00EF6538">
          <w:rPr>
            <w:noProof/>
            <w:webHidden/>
          </w:rPr>
          <w:fldChar w:fldCharType="separate"/>
        </w:r>
        <w:r w:rsidR="005A6DD8">
          <w:rPr>
            <w:noProof/>
            <w:webHidden/>
          </w:rPr>
          <w:t>56</w:t>
        </w:r>
        <w:r w:rsidR="00EF6538">
          <w:rPr>
            <w:noProof/>
            <w:webHidden/>
          </w:rPr>
          <w:fldChar w:fldCharType="end"/>
        </w:r>
      </w:hyperlink>
    </w:p>
    <w:p w14:paraId="203FFF01" w14:textId="137D0D99" w:rsidR="00EF6538" w:rsidRDefault="00000000">
      <w:pPr>
        <w:pStyle w:val="TableofFigures"/>
        <w:tabs>
          <w:tab w:val="right" w:leader="dot" w:pos="9436"/>
        </w:tabs>
        <w:rPr>
          <w:rFonts w:eastAsiaTheme="minorEastAsia" w:cstheme="minorBidi"/>
          <w:noProof/>
          <w:lang w:val="en-US"/>
        </w:rPr>
      </w:pPr>
      <w:hyperlink w:anchor="_Toc127198009" w:history="1">
        <w:r w:rsidR="00EF6538" w:rsidRPr="006519A3">
          <w:rPr>
            <w:rStyle w:val="Hyperlink"/>
            <w:noProof/>
          </w:rPr>
          <w:t xml:space="preserve">Figura 21 </w:t>
        </w:r>
        <w:r w:rsidR="00EF6538" w:rsidRPr="006519A3">
          <w:rPr>
            <w:rStyle w:val="Hyperlink"/>
            <w:iCs/>
            <w:noProof/>
          </w:rPr>
          <w:t>Piramida vârstelor populației din municipiul București, în anul 2021</w:t>
        </w:r>
        <w:r w:rsidR="00EF6538">
          <w:rPr>
            <w:noProof/>
            <w:webHidden/>
          </w:rPr>
          <w:tab/>
        </w:r>
        <w:r w:rsidR="00EF6538">
          <w:rPr>
            <w:noProof/>
            <w:webHidden/>
          </w:rPr>
          <w:fldChar w:fldCharType="begin"/>
        </w:r>
        <w:r w:rsidR="00EF6538">
          <w:rPr>
            <w:noProof/>
            <w:webHidden/>
          </w:rPr>
          <w:instrText xml:space="preserve"> PAGEREF _Toc127198009 \h </w:instrText>
        </w:r>
        <w:r w:rsidR="00EF6538">
          <w:rPr>
            <w:noProof/>
            <w:webHidden/>
          </w:rPr>
        </w:r>
        <w:r w:rsidR="00EF6538">
          <w:rPr>
            <w:noProof/>
            <w:webHidden/>
          </w:rPr>
          <w:fldChar w:fldCharType="separate"/>
        </w:r>
        <w:r w:rsidR="005A6DD8">
          <w:rPr>
            <w:noProof/>
            <w:webHidden/>
          </w:rPr>
          <w:t>57</w:t>
        </w:r>
        <w:r w:rsidR="00EF6538">
          <w:rPr>
            <w:noProof/>
            <w:webHidden/>
          </w:rPr>
          <w:fldChar w:fldCharType="end"/>
        </w:r>
      </w:hyperlink>
    </w:p>
    <w:p w14:paraId="5226847B" w14:textId="177497AC" w:rsidR="00EF6538" w:rsidRDefault="00000000">
      <w:pPr>
        <w:pStyle w:val="TableofFigures"/>
        <w:tabs>
          <w:tab w:val="right" w:leader="dot" w:pos="9436"/>
        </w:tabs>
        <w:rPr>
          <w:rFonts w:eastAsiaTheme="minorEastAsia" w:cstheme="minorBidi"/>
          <w:noProof/>
          <w:lang w:val="en-US"/>
        </w:rPr>
      </w:pPr>
      <w:hyperlink w:anchor="_Toc127198010" w:history="1">
        <w:r w:rsidR="00EF6538" w:rsidRPr="006519A3">
          <w:rPr>
            <w:rStyle w:val="Hyperlink"/>
            <w:noProof/>
          </w:rPr>
          <w:t xml:space="preserve">Figura 22 </w:t>
        </w:r>
        <w:r w:rsidR="00EF6538" w:rsidRPr="006519A3">
          <w:rPr>
            <w:rStyle w:val="Hyperlink"/>
            <w:iCs/>
            <w:noProof/>
          </w:rPr>
          <w:t>Piramida vârstelor populației din Sectorul 2, în anul 2021</w:t>
        </w:r>
        <w:r w:rsidR="00EF6538">
          <w:rPr>
            <w:noProof/>
            <w:webHidden/>
          </w:rPr>
          <w:tab/>
        </w:r>
        <w:r w:rsidR="00EF6538">
          <w:rPr>
            <w:noProof/>
            <w:webHidden/>
          </w:rPr>
          <w:fldChar w:fldCharType="begin"/>
        </w:r>
        <w:r w:rsidR="00EF6538">
          <w:rPr>
            <w:noProof/>
            <w:webHidden/>
          </w:rPr>
          <w:instrText xml:space="preserve"> PAGEREF _Toc127198010 \h </w:instrText>
        </w:r>
        <w:r w:rsidR="00EF6538">
          <w:rPr>
            <w:noProof/>
            <w:webHidden/>
          </w:rPr>
        </w:r>
        <w:r w:rsidR="00EF6538">
          <w:rPr>
            <w:noProof/>
            <w:webHidden/>
          </w:rPr>
          <w:fldChar w:fldCharType="separate"/>
        </w:r>
        <w:r w:rsidR="005A6DD8">
          <w:rPr>
            <w:noProof/>
            <w:webHidden/>
          </w:rPr>
          <w:t>58</w:t>
        </w:r>
        <w:r w:rsidR="00EF6538">
          <w:rPr>
            <w:noProof/>
            <w:webHidden/>
          </w:rPr>
          <w:fldChar w:fldCharType="end"/>
        </w:r>
      </w:hyperlink>
    </w:p>
    <w:p w14:paraId="2AB54896" w14:textId="548BFA06" w:rsidR="00EF6538" w:rsidRDefault="00000000">
      <w:pPr>
        <w:pStyle w:val="TableofFigures"/>
        <w:tabs>
          <w:tab w:val="right" w:leader="dot" w:pos="9436"/>
        </w:tabs>
        <w:rPr>
          <w:rFonts w:eastAsiaTheme="minorEastAsia" w:cstheme="minorBidi"/>
          <w:noProof/>
          <w:lang w:val="en-US"/>
        </w:rPr>
      </w:pPr>
      <w:hyperlink w:anchor="_Toc127198011" w:history="1">
        <w:r w:rsidR="00EF6538" w:rsidRPr="006519A3">
          <w:rPr>
            <w:rStyle w:val="Hyperlink"/>
            <w:noProof/>
          </w:rPr>
          <w:t>Figura 23 Distribuția zonelor cu populație dezavantajată teritoriul Sectorului 2</w:t>
        </w:r>
        <w:r w:rsidR="00EF6538">
          <w:rPr>
            <w:noProof/>
            <w:webHidden/>
          </w:rPr>
          <w:tab/>
        </w:r>
        <w:r w:rsidR="00EF6538">
          <w:rPr>
            <w:noProof/>
            <w:webHidden/>
          </w:rPr>
          <w:fldChar w:fldCharType="begin"/>
        </w:r>
        <w:r w:rsidR="00EF6538">
          <w:rPr>
            <w:noProof/>
            <w:webHidden/>
          </w:rPr>
          <w:instrText xml:space="preserve"> PAGEREF _Toc127198011 \h </w:instrText>
        </w:r>
        <w:r w:rsidR="00EF6538">
          <w:rPr>
            <w:noProof/>
            <w:webHidden/>
          </w:rPr>
        </w:r>
        <w:r w:rsidR="00EF6538">
          <w:rPr>
            <w:noProof/>
            <w:webHidden/>
          </w:rPr>
          <w:fldChar w:fldCharType="separate"/>
        </w:r>
        <w:r w:rsidR="005A6DD8">
          <w:rPr>
            <w:noProof/>
            <w:webHidden/>
          </w:rPr>
          <w:t>61</w:t>
        </w:r>
        <w:r w:rsidR="00EF6538">
          <w:rPr>
            <w:noProof/>
            <w:webHidden/>
          </w:rPr>
          <w:fldChar w:fldCharType="end"/>
        </w:r>
      </w:hyperlink>
    </w:p>
    <w:p w14:paraId="07AE7D89" w14:textId="37CF2975" w:rsidR="00EF6538" w:rsidRDefault="00000000">
      <w:pPr>
        <w:pStyle w:val="TableofFigures"/>
        <w:tabs>
          <w:tab w:val="right" w:leader="dot" w:pos="9436"/>
        </w:tabs>
        <w:rPr>
          <w:rFonts w:eastAsiaTheme="minorEastAsia" w:cstheme="minorBidi"/>
          <w:noProof/>
          <w:lang w:val="en-US"/>
        </w:rPr>
      </w:pPr>
      <w:hyperlink w:anchor="_Toc127198012" w:history="1">
        <w:r w:rsidR="00EF6538" w:rsidRPr="006519A3">
          <w:rPr>
            <w:rStyle w:val="Hyperlink"/>
            <w:noProof/>
          </w:rPr>
          <w:t>Figura 24 Distribuția locuințelor sociale în Sectorul 2</w:t>
        </w:r>
        <w:r w:rsidR="00EF6538">
          <w:rPr>
            <w:noProof/>
            <w:webHidden/>
          </w:rPr>
          <w:tab/>
        </w:r>
        <w:r w:rsidR="00EF6538">
          <w:rPr>
            <w:noProof/>
            <w:webHidden/>
          </w:rPr>
          <w:fldChar w:fldCharType="begin"/>
        </w:r>
        <w:r w:rsidR="00EF6538">
          <w:rPr>
            <w:noProof/>
            <w:webHidden/>
          </w:rPr>
          <w:instrText xml:space="preserve"> PAGEREF _Toc127198012 \h </w:instrText>
        </w:r>
        <w:r w:rsidR="00EF6538">
          <w:rPr>
            <w:noProof/>
            <w:webHidden/>
          </w:rPr>
        </w:r>
        <w:r w:rsidR="00EF6538">
          <w:rPr>
            <w:noProof/>
            <w:webHidden/>
          </w:rPr>
          <w:fldChar w:fldCharType="separate"/>
        </w:r>
        <w:r w:rsidR="005A6DD8">
          <w:rPr>
            <w:noProof/>
            <w:webHidden/>
          </w:rPr>
          <w:t>73</w:t>
        </w:r>
        <w:r w:rsidR="00EF6538">
          <w:rPr>
            <w:noProof/>
            <w:webHidden/>
          </w:rPr>
          <w:fldChar w:fldCharType="end"/>
        </w:r>
      </w:hyperlink>
    </w:p>
    <w:p w14:paraId="4C12987B" w14:textId="4F4027CC" w:rsidR="00EF6538" w:rsidRDefault="00000000">
      <w:pPr>
        <w:pStyle w:val="TableofFigures"/>
        <w:tabs>
          <w:tab w:val="right" w:leader="dot" w:pos="9436"/>
        </w:tabs>
        <w:rPr>
          <w:rFonts w:eastAsiaTheme="minorEastAsia" w:cstheme="minorBidi"/>
          <w:noProof/>
          <w:lang w:val="en-US"/>
        </w:rPr>
      </w:pPr>
      <w:hyperlink w:anchor="_Toc127198013" w:history="1">
        <w:r w:rsidR="00EF6538" w:rsidRPr="006519A3">
          <w:rPr>
            <w:rStyle w:val="Hyperlink"/>
            <w:noProof/>
          </w:rPr>
          <w:t>Figura 25 Răspunsul locuitorilor Sectorului 2 la întrebarea ,,Cât de necesară considerați că este oferirea următoarelor servicii/beneficii de asistență socială în Sectorul 2?”</w:t>
        </w:r>
        <w:r w:rsidR="00EF6538">
          <w:rPr>
            <w:noProof/>
            <w:webHidden/>
          </w:rPr>
          <w:tab/>
        </w:r>
        <w:r w:rsidR="00EF6538">
          <w:rPr>
            <w:noProof/>
            <w:webHidden/>
          </w:rPr>
          <w:fldChar w:fldCharType="begin"/>
        </w:r>
        <w:r w:rsidR="00EF6538">
          <w:rPr>
            <w:noProof/>
            <w:webHidden/>
          </w:rPr>
          <w:instrText xml:space="preserve"> PAGEREF _Toc127198013 \h </w:instrText>
        </w:r>
        <w:r w:rsidR="00EF6538">
          <w:rPr>
            <w:noProof/>
            <w:webHidden/>
          </w:rPr>
        </w:r>
        <w:r w:rsidR="00EF6538">
          <w:rPr>
            <w:noProof/>
            <w:webHidden/>
          </w:rPr>
          <w:fldChar w:fldCharType="separate"/>
        </w:r>
        <w:r w:rsidR="005A6DD8">
          <w:rPr>
            <w:noProof/>
            <w:webHidden/>
          </w:rPr>
          <w:t>75</w:t>
        </w:r>
        <w:r w:rsidR="00EF6538">
          <w:rPr>
            <w:noProof/>
            <w:webHidden/>
          </w:rPr>
          <w:fldChar w:fldCharType="end"/>
        </w:r>
      </w:hyperlink>
    </w:p>
    <w:p w14:paraId="00708ADE" w14:textId="1E2795BE" w:rsidR="00EF6538" w:rsidRDefault="00000000">
      <w:pPr>
        <w:pStyle w:val="TableofFigures"/>
        <w:tabs>
          <w:tab w:val="right" w:leader="dot" w:pos="9436"/>
        </w:tabs>
        <w:rPr>
          <w:rFonts w:eastAsiaTheme="minorEastAsia" w:cstheme="minorBidi"/>
          <w:noProof/>
          <w:lang w:val="en-US"/>
        </w:rPr>
      </w:pPr>
      <w:hyperlink w:anchor="_Toc127198014" w:history="1">
        <w:r w:rsidR="00EF6538" w:rsidRPr="006519A3">
          <w:rPr>
            <w:rStyle w:val="Hyperlink"/>
            <w:noProof/>
          </w:rPr>
          <w:t>Figura 26 Evoluția numărului de persoane cu dizabilități (adulți și copii) din sectorul 2, în perioada 2015-2021</w:t>
        </w:r>
        <w:r w:rsidR="00EF6538">
          <w:rPr>
            <w:noProof/>
            <w:webHidden/>
          </w:rPr>
          <w:tab/>
        </w:r>
        <w:r w:rsidR="00EF6538">
          <w:rPr>
            <w:noProof/>
            <w:webHidden/>
          </w:rPr>
          <w:fldChar w:fldCharType="begin"/>
        </w:r>
        <w:r w:rsidR="00EF6538">
          <w:rPr>
            <w:noProof/>
            <w:webHidden/>
          </w:rPr>
          <w:instrText xml:space="preserve"> PAGEREF _Toc127198014 \h </w:instrText>
        </w:r>
        <w:r w:rsidR="00EF6538">
          <w:rPr>
            <w:noProof/>
            <w:webHidden/>
          </w:rPr>
        </w:r>
        <w:r w:rsidR="00EF6538">
          <w:rPr>
            <w:noProof/>
            <w:webHidden/>
          </w:rPr>
          <w:fldChar w:fldCharType="separate"/>
        </w:r>
        <w:r w:rsidR="005A6DD8">
          <w:rPr>
            <w:noProof/>
            <w:webHidden/>
          </w:rPr>
          <w:t>76</w:t>
        </w:r>
        <w:r w:rsidR="00EF6538">
          <w:rPr>
            <w:noProof/>
            <w:webHidden/>
          </w:rPr>
          <w:fldChar w:fldCharType="end"/>
        </w:r>
      </w:hyperlink>
    </w:p>
    <w:p w14:paraId="788C1480" w14:textId="26337EDD" w:rsidR="00EF6538" w:rsidRDefault="00000000">
      <w:pPr>
        <w:pStyle w:val="TableofFigures"/>
        <w:tabs>
          <w:tab w:val="right" w:leader="dot" w:pos="9436"/>
        </w:tabs>
        <w:rPr>
          <w:rFonts w:eastAsiaTheme="minorEastAsia" w:cstheme="minorBidi"/>
          <w:noProof/>
          <w:lang w:val="en-US"/>
        </w:rPr>
      </w:pPr>
      <w:hyperlink w:anchor="_Toc127198015" w:history="1">
        <w:r w:rsidR="00EF6538" w:rsidRPr="006519A3">
          <w:rPr>
            <w:rStyle w:val="Hyperlink"/>
            <w:noProof/>
          </w:rPr>
          <w:t>Figura 27 Situația copiilor aflați în plasament și a asistenților maternali profesioniști, în sectorul 2, în perioada 2015-2021</w:t>
        </w:r>
        <w:r w:rsidR="00EF6538">
          <w:rPr>
            <w:noProof/>
            <w:webHidden/>
          </w:rPr>
          <w:tab/>
        </w:r>
        <w:r w:rsidR="00EF6538">
          <w:rPr>
            <w:noProof/>
            <w:webHidden/>
          </w:rPr>
          <w:fldChar w:fldCharType="begin"/>
        </w:r>
        <w:r w:rsidR="00EF6538">
          <w:rPr>
            <w:noProof/>
            <w:webHidden/>
          </w:rPr>
          <w:instrText xml:space="preserve"> PAGEREF _Toc127198015 \h </w:instrText>
        </w:r>
        <w:r w:rsidR="00EF6538">
          <w:rPr>
            <w:noProof/>
            <w:webHidden/>
          </w:rPr>
        </w:r>
        <w:r w:rsidR="00EF6538">
          <w:rPr>
            <w:noProof/>
            <w:webHidden/>
          </w:rPr>
          <w:fldChar w:fldCharType="separate"/>
        </w:r>
        <w:r w:rsidR="005A6DD8">
          <w:rPr>
            <w:noProof/>
            <w:webHidden/>
          </w:rPr>
          <w:t>77</w:t>
        </w:r>
        <w:r w:rsidR="00EF6538">
          <w:rPr>
            <w:noProof/>
            <w:webHidden/>
          </w:rPr>
          <w:fldChar w:fldCharType="end"/>
        </w:r>
      </w:hyperlink>
    </w:p>
    <w:p w14:paraId="30FB7900" w14:textId="506AB5EB" w:rsidR="00EF6538" w:rsidRDefault="00000000">
      <w:pPr>
        <w:pStyle w:val="TableofFigures"/>
        <w:tabs>
          <w:tab w:val="right" w:leader="dot" w:pos="9436"/>
        </w:tabs>
        <w:rPr>
          <w:rFonts w:eastAsiaTheme="minorEastAsia" w:cstheme="minorBidi"/>
          <w:noProof/>
          <w:lang w:val="en-US"/>
        </w:rPr>
      </w:pPr>
      <w:hyperlink w:anchor="_Toc127198016" w:history="1">
        <w:r w:rsidR="00EF6538" w:rsidRPr="006519A3">
          <w:rPr>
            <w:rStyle w:val="Hyperlink"/>
            <w:noProof/>
          </w:rPr>
          <w:t>Figura 28 Numărul beneficiarilor de prestații sociale de la bugetul local al sectorului 2, pe tipuri de beneficiI, în anul 2021</w:t>
        </w:r>
        <w:r w:rsidR="00EF6538">
          <w:rPr>
            <w:noProof/>
            <w:webHidden/>
          </w:rPr>
          <w:tab/>
        </w:r>
        <w:r w:rsidR="00EF6538">
          <w:rPr>
            <w:noProof/>
            <w:webHidden/>
          </w:rPr>
          <w:fldChar w:fldCharType="begin"/>
        </w:r>
        <w:r w:rsidR="00EF6538">
          <w:rPr>
            <w:noProof/>
            <w:webHidden/>
          </w:rPr>
          <w:instrText xml:space="preserve"> PAGEREF _Toc127198016 \h </w:instrText>
        </w:r>
        <w:r w:rsidR="00EF6538">
          <w:rPr>
            <w:noProof/>
            <w:webHidden/>
          </w:rPr>
        </w:r>
        <w:r w:rsidR="00EF6538">
          <w:rPr>
            <w:noProof/>
            <w:webHidden/>
          </w:rPr>
          <w:fldChar w:fldCharType="separate"/>
        </w:r>
        <w:r w:rsidR="005A6DD8">
          <w:rPr>
            <w:noProof/>
            <w:webHidden/>
          </w:rPr>
          <w:t>79</w:t>
        </w:r>
        <w:r w:rsidR="00EF6538">
          <w:rPr>
            <w:noProof/>
            <w:webHidden/>
          </w:rPr>
          <w:fldChar w:fldCharType="end"/>
        </w:r>
      </w:hyperlink>
    </w:p>
    <w:p w14:paraId="3A5DB5D0" w14:textId="171AD508" w:rsidR="00EF6538" w:rsidRDefault="00000000">
      <w:pPr>
        <w:pStyle w:val="TableofFigures"/>
        <w:tabs>
          <w:tab w:val="right" w:leader="dot" w:pos="9436"/>
        </w:tabs>
        <w:rPr>
          <w:rFonts w:eastAsiaTheme="minorEastAsia" w:cstheme="minorBidi"/>
          <w:noProof/>
          <w:lang w:val="en-US"/>
        </w:rPr>
      </w:pPr>
      <w:hyperlink w:anchor="_Toc127198017" w:history="1">
        <w:r w:rsidR="00EF6538" w:rsidRPr="006519A3">
          <w:rPr>
            <w:rStyle w:val="Hyperlink"/>
            <w:noProof/>
          </w:rPr>
          <w:t>Figura 29 Distribuția personalului medical la nivelul municipiului București, în anul 2020</w:t>
        </w:r>
        <w:r w:rsidR="00EF6538">
          <w:rPr>
            <w:noProof/>
            <w:webHidden/>
          </w:rPr>
          <w:tab/>
        </w:r>
        <w:r w:rsidR="00EF6538">
          <w:rPr>
            <w:noProof/>
            <w:webHidden/>
          </w:rPr>
          <w:fldChar w:fldCharType="begin"/>
        </w:r>
        <w:r w:rsidR="00EF6538">
          <w:rPr>
            <w:noProof/>
            <w:webHidden/>
          </w:rPr>
          <w:instrText xml:space="preserve"> PAGEREF _Toc127198017 \h </w:instrText>
        </w:r>
        <w:r w:rsidR="00EF6538">
          <w:rPr>
            <w:noProof/>
            <w:webHidden/>
          </w:rPr>
        </w:r>
        <w:r w:rsidR="00EF6538">
          <w:rPr>
            <w:noProof/>
            <w:webHidden/>
          </w:rPr>
          <w:fldChar w:fldCharType="separate"/>
        </w:r>
        <w:r w:rsidR="005A6DD8">
          <w:rPr>
            <w:noProof/>
            <w:webHidden/>
          </w:rPr>
          <w:t>80</w:t>
        </w:r>
        <w:r w:rsidR="00EF6538">
          <w:rPr>
            <w:noProof/>
            <w:webHidden/>
          </w:rPr>
          <w:fldChar w:fldCharType="end"/>
        </w:r>
      </w:hyperlink>
    </w:p>
    <w:p w14:paraId="3814CAF9" w14:textId="5CC3D61A" w:rsidR="00EF6538" w:rsidRDefault="00000000">
      <w:pPr>
        <w:pStyle w:val="TableofFigures"/>
        <w:tabs>
          <w:tab w:val="right" w:leader="dot" w:pos="9436"/>
        </w:tabs>
        <w:rPr>
          <w:rFonts w:eastAsiaTheme="minorEastAsia" w:cstheme="minorBidi"/>
          <w:noProof/>
          <w:lang w:val="en-US"/>
        </w:rPr>
      </w:pPr>
      <w:hyperlink w:anchor="_Toc127198018" w:history="1">
        <w:r w:rsidR="00EF6538" w:rsidRPr="006519A3">
          <w:rPr>
            <w:rStyle w:val="Hyperlink"/>
            <w:noProof/>
          </w:rPr>
          <w:t>Figura 30 Numărul mediu de persoane ce revine unui cadru medical, pe tipuri de personal medical, în Mun. București, 2015 - 2020</w:t>
        </w:r>
        <w:r w:rsidR="00EF6538">
          <w:rPr>
            <w:noProof/>
            <w:webHidden/>
          </w:rPr>
          <w:tab/>
        </w:r>
        <w:r w:rsidR="00EF6538">
          <w:rPr>
            <w:noProof/>
            <w:webHidden/>
          </w:rPr>
          <w:fldChar w:fldCharType="begin"/>
        </w:r>
        <w:r w:rsidR="00EF6538">
          <w:rPr>
            <w:noProof/>
            <w:webHidden/>
          </w:rPr>
          <w:instrText xml:space="preserve"> PAGEREF _Toc127198018 \h </w:instrText>
        </w:r>
        <w:r w:rsidR="00EF6538">
          <w:rPr>
            <w:noProof/>
            <w:webHidden/>
          </w:rPr>
        </w:r>
        <w:r w:rsidR="00EF6538">
          <w:rPr>
            <w:noProof/>
            <w:webHidden/>
          </w:rPr>
          <w:fldChar w:fldCharType="separate"/>
        </w:r>
        <w:r w:rsidR="005A6DD8">
          <w:rPr>
            <w:noProof/>
            <w:webHidden/>
          </w:rPr>
          <w:t>81</w:t>
        </w:r>
        <w:r w:rsidR="00EF6538">
          <w:rPr>
            <w:noProof/>
            <w:webHidden/>
          </w:rPr>
          <w:fldChar w:fldCharType="end"/>
        </w:r>
      </w:hyperlink>
    </w:p>
    <w:p w14:paraId="10BB8734" w14:textId="022E20D9" w:rsidR="00EF6538" w:rsidRDefault="00000000">
      <w:pPr>
        <w:pStyle w:val="TableofFigures"/>
        <w:tabs>
          <w:tab w:val="right" w:leader="dot" w:pos="9436"/>
        </w:tabs>
        <w:rPr>
          <w:rFonts w:eastAsiaTheme="minorEastAsia" w:cstheme="minorBidi"/>
          <w:noProof/>
          <w:lang w:val="en-US"/>
        </w:rPr>
      </w:pPr>
      <w:hyperlink w:anchor="_Toc127198019" w:history="1">
        <w:r w:rsidR="00EF6538" w:rsidRPr="006519A3">
          <w:rPr>
            <w:rStyle w:val="Hyperlink"/>
            <w:noProof/>
          </w:rPr>
          <w:t>Figura 31 Gradul de mulțumire al locuitorilor Sectorului 2 față de sistemul public și privat de servicii medicale</w:t>
        </w:r>
        <w:r w:rsidR="00EF6538">
          <w:rPr>
            <w:noProof/>
            <w:webHidden/>
          </w:rPr>
          <w:tab/>
        </w:r>
        <w:r w:rsidR="00EF6538">
          <w:rPr>
            <w:noProof/>
            <w:webHidden/>
          </w:rPr>
          <w:fldChar w:fldCharType="begin"/>
        </w:r>
        <w:r w:rsidR="00EF6538">
          <w:rPr>
            <w:noProof/>
            <w:webHidden/>
          </w:rPr>
          <w:instrText xml:space="preserve"> PAGEREF _Toc127198019 \h </w:instrText>
        </w:r>
        <w:r w:rsidR="00EF6538">
          <w:rPr>
            <w:noProof/>
            <w:webHidden/>
          </w:rPr>
        </w:r>
        <w:r w:rsidR="00EF6538">
          <w:rPr>
            <w:noProof/>
            <w:webHidden/>
          </w:rPr>
          <w:fldChar w:fldCharType="separate"/>
        </w:r>
        <w:r w:rsidR="005A6DD8">
          <w:rPr>
            <w:noProof/>
            <w:webHidden/>
          </w:rPr>
          <w:t>82</w:t>
        </w:r>
        <w:r w:rsidR="00EF6538">
          <w:rPr>
            <w:noProof/>
            <w:webHidden/>
          </w:rPr>
          <w:fldChar w:fldCharType="end"/>
        </w:r>
      </w:hyperlink>
    </w:p>
    <w:p w14:paraId="053E9A14" w14:textId="56F1C640" w:rsidR="00EF6538" w:rsidRDefault="00000000">
      <w:pPr>
        <w:pStyle w:val="TableofFigures"/>
        <w:tabs>
          <w:tab w:val="right" w:leader="dot" w:pos="9436"/>
        </w:tabs>
        <w:rPr>
          <w:rFonts w:eastAsiaTheme="minorEastAsia" w:cstheme="minorBidi"/>
          <w:noProof/>
          <w:lang w:val="en-US"/>
        </w:rPr>
      </w:pPr>
      <w:hyperlink w:anchor="_Toc127198020" w:history="1">
        <w:r w:rsidR="00EF6538" w:rsidRPr="006519A3">
          <w:rPr>
            <w:rStyle w:val="Hyperlink"/>
            <w:noProof/>
          </w:rPr>
          <w:t>Figura 32 Distribuția pe niveluri de învățământ a efectivelor școlare din Sectorul 2, an școlar 2019-2020</w:t>
        </w:r>
        <w:r w:rsidR="00EF6538">
          <w:rPr>
            <w:noProof/>
            <w:webHidden/>
          </w:rPr>
          <w:tab/>
        </w:r>
        <w:r w:rsidR="00EF6538">
          <w:rPr>
            <w:noProof/>
            <w:webHidden/>
          </w:rPr>
          <w:fldChar w:fldCharType="begin"/>
        </w:r>
        <w:r w:rsidR="00EF6538">
          <w:rPr>
            <w:noProof/>
            <w:webHidden/>
          </w:rPr>
          <w:instrText xml:space="preserve"> PAGEREF _Toc127198020 \h </w:instrText>
        </w:r>
        <w:r w:rsidR="00EF6538">
          <w:rPr>
            <w:noProof/>
            <w:webHidden/>
          </w:rPr>
        </w:r>
        <w:r w:rsidR="00EF6538">
          <w:rPr>
            <w:noProof/>
            <w:webHidden/>
          </w:rPr>
          <w:fldChar w:fldCharType="separate"/>
        </w:r>
        <w:r w:rsidR="005A6DD8">
          <w:rPr>
            <w:noProof/>
            <w:webHidden/>
          </w:rPr>
          <w:t>83</w:t>
        </w:r>
        <w:r w:rsidR="00EF6538">
          <w:rPr>
            <w:noProof/>
            <w:webHidden/>
          </w:rPr>
          <w:fldChar w:fldCharType="end"/>
        </w:r>
      </w:hyperlink>
    </w:p>
    <w:p w14:paraId="4DA9AFFB" w14:textId="435BEE66" w:rsidR="00EF6538" w:rsidRDefault="00000000">
      <w:pPr>
        <w:pStyle w:val="TableofFigures"/>
        <w:tabs>
          <w:tab w:val="right" w:leader="dot" w:pos="9436"/>
        </w:tabs>
        <w:rPr>
          <w:rFonts w:eastAsiaTheme="minorEastAsia" w:cstheme="minorBidi"/>
          <w:noProof/>
          <w:lang w:val="en-US"/>
        </w:rPr>
      </w:pPr>
      <w:hyperlink w:anchor="_Toc127198021" w:history="1">
        <w:r w:rsidR="00EF6538" w:rsidRPr="006519A3">
          <w:rPr>
            <w:rStyle w:val="Hyperlink"/>
            <w:noProof/>
          </w:rPr>
          <w:t>Figura 33 Distribuția teritorială a infrastructurii școlare în Sectorul 2 al municipiului București, 2021</w:t>
        </w:r>
        <w:r w:rsidR="00EF6538">
          <w:rPr>
            <w:noProof/>
            <w:webHidden/>
          </w:rPr>
          <w:tab/>
        </w:r>
        <w:r w:rsidR="00EF6538">
          <w:rPr>
            <w:noProof/>
            <w:webHidden/>
          </w:rPr>
          <w:fldChar w:fldCharType="begin"/>
        </w:r>
        <w:r w:rsidR="00EF6538">
          <w:rPr>
            <w:noProof/>
            <w:webHidden/>
          </w:rPr>
          <w:instrText xml:space="preserve"> PAGEREF _Toc127198021 \h </w:instrText>
        </w:r>
        <w:r w:rsidR="00EF6538">
          <w:rPr>
            <w:noProof/>
            <w:webHidden/>
          </w:rPr>
        </w:r>
        <w:r w:rsidR="00EF6538">
          <w:rPr>
            <w:noProof/>
            <w:webHidden/>
          </w:rPr>
          <w:fldChar w:fldCharType="separate"/>
        </w:r>
        <w:r w:rsidR="005A6DD8">
          <w:rPr>
            <w:noProof/>
            <w:webHidden/>
          </w:rPr>
          <w:t>86</w:t>
        </w:r>
        <w:r w:rsidR="00EF6538">
          <w:rPr>
            <w:noProof/>
            <w:webHidden/>
          </w:rPr>
          <w:fldChar w:fldCharType="end"/>
        </w:r>
      </w:hyperlink>
    </w:p>
    <w:p w14:paraId="01D10B4D" w14:textId="75FB337D" w:rsidR="00EF6538" w:rsidRDefault="00000000">
      <w:pPr>
        <w:pStyle w:val="TableofFigures"/>
        <w:tabs>
          <w:tab w:val="right" w:leader="dot" w:pos="9436"/>
        </w:tabs>
        <w:rPr>
          <w:rFonts w:eastAsiaTheme="minorEastAsia" w:cstheme="minorBidi"/>
          <w:noProof/>
          <w:lang w:val="en-US"/>
        </w:rPr>
      </w:pPr>
      <w:hyperlink w:anchor="_Toc127198022" w:history="1">
        <w:r w:rsidR="00EF6538" w:rsidRPr="006519A3">
          <w:rPr>
            <w:rStyle w:val="Hyperlink"/>
            <w:noProof/>
          </w:rPr>
          <w:t>Figura 34 Nivelul de deservire al infrastructurii de învățământ preșcolar în Sectorul 2, 2021</w:t>
        </w:r>
        <w:r w:rsidR="00EF6538">
          <w:rPr>
            <w:noProof/>
            <w:webHidden/>
          </w:rPr>
          <w:tab/>
        </w:r>
        <w:r w:rsidR="00EF6538">
          <w:rPr>
            <w:noProof/>
            <w:webHidden/>
          </w:rPr>
          <w:fldChar w:fldCharType="begin"/>
        </w:r>
        <w:r w:rsidR="00EF6538">
          <w:rPr>
            <w:noProof/>
            <w:webHidden/>
          </w:rPr>
          <w:instrText xml:space="preserve"> PAGEREF _Toc127198022 \h </w:instrText>
        </w:r>
        <w:r w:rsidR="00EF6538">
          <w:rPr>
            <w:noProof/>
            <w:webHidden/>
          </w:rPr>
        </w:r>
        <w:r w:rsidR="00EF6538">
          <w:rPr>
            <w:noProof/>
            <w:webHidden/>
          </w:rPr>
          <w:fldChar w:fldCharType="separate"/>
        </w:r>
        <w:r w:rsidR="005A6DD8">
          <w:rPr>
            <w:noProof/>
            <w:webHidden/>
          </w:rPr>
          <w:t>87</w:t>
        </w:r>
        <w:r w:rsidR="00EF6538">
          <w:rPr>
            <w:noProof/>
            <w:webHidden/>
          </w:rPr>
          <w:fldChar w:fldCharType="end"/>
        </w:r>
      </w:hyperlink>
    </w:p>
    <w:p w14:paraId="4BAB37A7" w14:textId="4E88FBC8" w:rsidR="00EF6538" w:rsidRDefault="00000000">
      <w:pPr>
        <w:pStyle w:val="TableofFigures"/>
        <w:tabs>
          <w:tab w:val="right" w:leader="dot" w:pos="9436"/>
        </w:tabs>
        <w:rPr>
          <w:rFonts w:eastAsiaTheme="minorEastAsia" w:cstheme="minorBidi"/>
          <w:noProof/>
          <w:lang w:val="en-US"/>
        </w:rPr>
      </w:pPr>
      <w:hyperlink w:anchor="_Toc127198023" w:history="1">
        <w:r w:rsidR="00EF6538" w:rsidRPr="006519A3">
          <w:rPr>
            <w:rStyle w:val="Hyperlink"/>
            <w:noProof/>
          </w:rPr>
          <w:t>Figura 35 Nivelul de deservire al infrastructurii de învățământ primar și gimnazial în Sectorul 2 al municipiului București, 2021</w:t>
        </w:r>
        <w:r w:rsidR="00EF6538">
          <w:rPr>
            <w:noProof/>
            <w:webHidden/>
          </w:rPr>
          <w:tab/>
        </w:r>
        <w:r w:rsidR="00EF6538">
          <w:rPr>
            <w:noProof/>
            <w:webHidden/>
          </w:rPr>
          <w:fldChar w:fldCharType="begin"/>
        </w:r>
        <w:r w:rsidR="00EF6538">
          <w:rPr>
            <w:noProof/>
            <w:webHidden/>
          </w:rPr>
          <w:instrText xml:space="preserve"> PAGEREF _Toc127198023 \h </w:instrText>
        </w:r>
        <w:r w:rsidR="00EF6538">
          <w:rPr>
            <w:noProof/>
            <w:webHidden/>
          </w:rPr>
        </w:r>
        <w:r w:rsidR="00EF6538">
          <w:rPr>
            <w:noProof/>
            <w:webHidden/>
          </w:rPr>
          <w:fldChar w:fldCharType="separate"/>
        </w:r>
        <w:r w:rsidR="005A6DD8">
          <w:rPr>
            <w:noProof/>
            <w:webHidden/>
          </w:rPr>
          <w:t>88</w:t>
        </w:r>
        <w:r w:rsidR="00EF6538">
          <w:rPr>
            <w:noProof/>
            <w:webHidden/>
          </w:rPr>
          <w:fldChar w:fldCharType="end"/>
        </w:r>
      </w:hyperlink>
    </w:p>
    <w:p w14:paraId="0282E1BC" w14:textId="635A6675" w:rsidR="00EF6538" w:rsidRDefault="00000000">
      <w:pPr>
        <w:pStyle w:val="TableofFigures"/>
        <w:tabs>
          <w:tab w:val="right" w:leader="dot" w:pos="9436"/>
        </w:tabs>
        <w:rPr>
          <w:rFonts w:eastAsiaTheme="minorEastAsia" w:cstheme="minorBidi"/>
          <w:noProof/>
          <w:lang w:val="en-US"/>
        </w:rPr>
      </w:pPr>
      <w:hyperlink w:anchor="_Toc127198024" w:history="1">
        <w:r w:rsidR="00EF6538" w:rsidRPr="006519A3">
          <w:rPr>
            <w:rStyle w:val="Hyperlink"/>
            <w:noProof/>
          </w:rPr>
          <w:t>Figura 36 Gradul de satisfacție față de sistemul de învățământ din Sectorul 2</w:t>
        </w:r>
        <w:r w:rsidR="00EF6538">
          <w:rPr>
            <w:noProof/>
            <w:webHidden/>
          </w:rPr>
          <w:tab/>
        </w:r>
        <w:r w:rsidR="00EF6538">
          <w:rPr>
            <w:noProof/>
            <w:webHidden/>
          </w:rPr>
          <w:fldChar w:fldCharType="begin"/>
        </w:r>
        <w:r w:rsidR="00EF6538">
          <w:rPr>
            <w:noProof/>
            <w:webHidden/>
          </w:rPr>
          <w:instrText xml:space="preserve"> PAGEREF _Toc127198024 \h </w:instrText>
        </w:r>
        <w:r w:rsidR="00EF6538">
          <w:rPr>
            <w:noProof/>
            <w:webHidden/>
          </w:rPr>
        </w:r>
        <w:r w:rsidR="00EF6538">
          <w:rPr>
            <w:noProof/>
            <w:webHidden/>
          </w:rPr>
          <w:fldChar w:fldCharType="separate"/>
        </w:r>
        <w:r w:rsidR="005A6DD8">
          <w:rPr>
            <w:noProof/>
            <w:webHidden/>
          </w:rPr>
          <w:t>90</w:t>
        </w:r>
        <w:r w:rsidR="00EF6538">
          <w:rPr>
            <w:noProof/>
            <w:webHidden/>
          </w:rPr>
          <w:fldChar w:fldCharType="end"/>
        </w:r>
      </w:hyperlink>
    </w:p>
    <w:p w14:paraId="721A882A" w14:textId="50E6726A" w:rsidR="00EF6538" w:rsidRDefault="00000000">
      <w:pPr>
        <w:pStyle w:val="TableofFigures"/>
        <w:tabs>
          <w:tab w:val="right" w:leader="dot" w:pos="9436"/>
        </w:tabs>
        <w:rPr>
          <w:rFonts w:eastAsiaTheme="minorEastAsia" w:cstheme="minorBidi"/>
          <w:noProof/>
          <w:lang w:val="en-US"/>
        </w:rPr>
      </w:pPr>
      <w:hyperlink w:anchor="_Toc127198025" w:history="1">
        <w:r w:rsidR="00EF6538" w:rsidRPr="006519A3">
          <w:rPr>
            <w:rStyle w:val="Hyperlink"/>
            <w:noProof/>
          </w:rPr>
          <w:t>Figura 37 Distribuția numărului de studenți din centrele mari universitare din țară în totalul numărului de studenți din centrele respective, în anul 2020</w:t>
        </w:r>
        <w:r w:rsidR="00EF6538">
          <w:rPr>
            <w:noProof/>
            <w:webHidden/>
          </w:rPr>
          <w:tab/>
        </w:r>
        <w:r w:rsidR="00EF6538">
          <w:rPr>
            <w:noProof/>
            <w:webHidden/>
          </w:rPr>
          <w:fldChar w:fldCharType="begin"/>
        </w:r>
        <w:r w:rsidR="00EF6538">
          <w:rPr>
            <w:noProof/>
            <w:webHidden/>
          </w:rPr>
          <w:instrText xml:space="preserve"> PAGEREF _Toc127198025 \h </w:instrText>
        </w:r>
        <w:r w:rsidR="00EF6538">
          <w:rPr>
            <w:noProof/>
            <w:webHidden/>
          </w:rPr>
        </w:r>
        <w:r w:rsidR="00EF6538">
          <w:rPr>
            <w:noProof/>
            <w:webHidden/>
          </w:rPr>
          <w:fldChar w:fldCharType="separate"/>
        </w:r>
        <w:r w:rsidR="005A6DD8">
          <w:rPr>
            <w:noProof/>
            <w:webHidden/>
          </w:rPr>
          <w:t>91</w:t>
        </w:r>
        <w:r w:rsidR="00EF6538">
          <w:rPr>
            <w:noProof/>
            <w:webHidden/>
          </w:rPr>
          <w:fldChar w:fldCharType="end"/>
        </w:r>
      </w:hyperlink>
    </w:p>
    <w:p w14:paraId="7EE6AD2A" w14:textId="712F4C1A" w:rsidR="00EF6538" w:rsidRDefault="00000000">
      <w:pPr>
        <w:pStyle w:val="TableofFigures"/>
        <w:tabs>
          <w:tab w:val="right" w:leader="dot" w:pos="9436"/>
        </w:tabs>
        <w:rPr>
          <w:rFonts w:eastAsiaTheme="minorEastAsia" w:cstheme="minorBidi"/>
          <w:noProof/>
          <w:lang w:val="en-US"/>
        </w:rPr>
      </w:pPr>
      <w:hyperlink w:anchor="_Toc127198026" w:history="1">
        <w:r w:rsidR="00EF6538" w:rsidRPr="006519A3">
          <w:rPr>
            <w:rStyle w:val="Hyperlink"/>
            <w:noProof/>
          </w:rPr>
          <w:t>Figura 38 Ponderea studenților din totalul populație cu domiciliu, în municipiile București, Cluj-Napoca și Iași, în perioada 2015-2020</w:t>
        </w:r>
        <w:r w:rsidR="00EF6538">
          <w:rPr>
            <w:noProof/>
            <w:webHidden/>
          </w:rPr>
          <w:tab/>
        </w:r>
        <w:r w:rsidR="00EF6538">
          <w:rPr>
            <w:noProof/>
            <w:webHidden/>
          </w:rPr>
          <w:fldChar w:fldCharType="begin"/>
        </w:r>
        <w:r w:rsidR="00EF6538">
          <w:rPr>
            <w:noProof/>
            <w:webHidden/>
          </w:rPr>
          <w:instrText xml:space="preserve"> PAGEREF _Toc127198026 \h </w:instrText>
        </w:r>
        <w:r w:rsidR="00EF6538">
          <w:rPr>
            <w:noProof/>
            <w:webHidden/>
          </w:rPr>
        </w:r>
        <w:r w:rsidR="00EF6538">
          <w:rPr>
            <w:noProof/>
            <w:webHidden/>
          </w:rPr>
          <w:fldChar w:fldCharType="separate"/>
        </w:r>
        <w:r w:rsidR="005A6DD8">
          <w:rPr>
            <w:noProof/>
            <w:webHidden/>
          </w:rPr>
          <w:t>91</w:t>
        </w:r>
        <w:r w:rsidR="00EF6538">
          <w:rPr>
            <w:noProof/>
            <w:webHidden/>
          </w:rPr>
          <w:fldChar w:fldCharType="end"/>
        </w:r>
      </w:hyperlink>
    </w:p>
    <w:p w14:paraId="728E2967" w14:textId="6AD4051B" w:rsidR="00EF6538" w:rsidRDefault="00000000">
      <w:pPr>
        <w:pStyle w:val="TableofFigures"/>
        <w:tabs>
          <w:tab w:val="right" w:leader="dot" w:pos="9436"/>
        </w:tabs>
        <w:rPr>
          <w:rFonts w:eastAsiaTheme="minorEastAsia" w:cstheme="minorBidi"/>
          <w:noProof/>
          <w:lang w:val="en-US"/>
        </w:rPr>
      </w:pPr>
      <w:hyperlink w:anchor="_Toc127198027" w:history="1">
        <w:r w:rsidR="00EF6538" w:rsidRPr="006519A3">
          <w:rPr>
            <w:rStyle w:val="Hyperlink"/>
            <w:noProof/>
          </w:rPr>
          <w:t>Figura 39 distribuția spațială a infrastructurii culturale pe teritoriul sectorului 2</w:t>
        </w:r>
        <w:r w:rsidR="00EF6538">
          <w:rPr>
            <w:noProof/>
            <w:webHidden/>
          </w:rPr>
          <w:tab/>
        </w:r>
        <w:r w:rsidR="00EF6538">
          <w:rPr>
            <w:noProof/>
            <w:webHidden/>
          </w:rPr>
          <w:fldChar w:fldCharType="begin"/>
        </w:r>
        <w:r w:rsidR="00EF6538">
          <w:rPr>
            <w:noProof/>
            <w:webHidden/>
          </w:rPr>
          <w:instrText xml:space="preserve"> PAGEREF _Toc127198027 \h </w:instrText>
        </w:r>
        <w:r w:rsidR="00EF6538">
          <w:rPr>
            <w:noProof/>
            <w:webHidden/>
          </w:rPr>
        </w:r>
        <w:r w:rsidR="00EF6538">
          <w:rPr>
            <w:noProof/>
            <w:webHidden/>
          </w:rPr>
          <w:fldChar w:fldCharType="separate"/>
        </w:r>
        <w:r w:rsidR="005A6DD8">
          <w:rPr>
            <w:noProof/>
            <w:webHidden/>
          </w:rPr>
          <w:t>95</w:t>
        </w:r>
        <w:r w:rsidR="00EF6538">
          <w:rPr>
            <w:noProof/>
            <w:webHidden/>
          </w:rPr>
          <w:fldChar w:fldCharType="end"/>
        </w:r>
      </w:hyperlink>
    </w:p>
    <w:p w14:paraId="52D74C14" w14:textId="1B99E8FB" w:rsidR="00EF6538" w:rsidRDefault="00000000">
      <w:pPr>
        <w:pStyle w:val="TableofFigures"/>
        <w:tabs>
          <w:tab w:val="right" w:leader="dot" w:pos="9436"/>
        </w:tabs>
        <w:rPr>
          <w:rFonts w:eastAsiaTheme="minorEastAsia" w:cstheme="minorBidi"/>
          <w:noProof/>
          <w:lang w:val="en-US"/>
        </w:rPr>
      </w:pPr>
      <w:hyperlink w:anchor="_Toc127198028" w:history="1">
        <w:r w:rsidR="00EF6538" w:rsidRPr="006519A3">
          <w:rPr>
            <w:rStyle w:val="Hyperlink"/>
            <w:noProof/>
          </w:rPr>
          <w:t>Figura 40 Spațiile nefolosite din Municipiul București cu potențial de activare culturală, la nivelul anului 2015</w:t>
        </w:r>
        <w:r w:rsidR="00EF6538">
          <w:rPr>
            <w:noProof/>
            <w:webHidden/>
          </w:rPr>
          <w:tab/>
        </w:r>
        <w:r w:rsidR="00EF6538">
          <w:rPr>
            <w:noProof/>
            <w:webHidden/>
          </w:rPr>
          <w:fldChar w:fldCharType="begin"/>
        </w:r>
        <w:r w:rsidR="00EF6538">
          <w:rPr>
            <w:noProof/>
            <w:webHidden/>
          </w:rPr>
          <w:instrText xml:space="preserve"> PAGEREF _Toc127198028 \h </w:instrText>
        </w:r>
        <w:r w:rsidR="00EF6538">
          <w:rPr>
            <w:noProof/>
            <w:webHidden/>
          </w:rPr>
        </w:r>
        <w:r w:rsidR="00EF6538">
          <w:rPr>
            <w:noProof/>
            <w:webHidden/>
          </w:rPr>
          <w:fldChar w:fldCharType="separate"/>
        </w:r>
        <w:r w:rsidR="005A6DD8">
          <w:rPr>
            <w:noProof/>
            <w:webHidden/>
          </w:rPr>
          <w:t>96</w:t>
        </w:r>
        <w:r w:rsidR="00EF6538">
          <w:rPr>
            <w:noProof/>
            <w:webHidden/>
          </w:rPr>
          <w:fldChar w:fldCharType="end"/>
        </w:r>
      </w:hyperlink>
    </w:p>
    <w:p w14:paraId="288E7841" w14:textId="58807C29" w:rsidR="00EF6538" w:rsidRDefault="00000000">
      <w:pPr>
        <w:pStyle w:val="TableofFigures"/>
        <w:tabs>
          <w:tab w:val="right" w:leader="dot" w:pos="9436"/>
        </w:tabs>
        <w:rPr>
          <w:rFonts w:eastAsiaTheme="minorEastAsia" w:cstheme="minorBidi"/>
          <w:noProof/>
          <w:lang w:val="en-US"/>
        </w:rPr>
      </w:pPr>
      <w:hyperlink w:anchor="_Toc127198029" w:history="1">
        <w:r w:rsidR="00EF6538" w:rsidRPr="006519A3">
          <w:rPr>
            <w:rStyle w:val="Hyperlink"/>
            <w:noProof/>
          </w:rPr>
          <w:t>Figura 41 Evoluția consumului cultural în Municipiul București în perioada 2016-2020, număr de persoane</w:t>
        </w:r>
        <w:r w:rsidR="00EF6538">
          <w:rPr>
            <w:noProof/>
            <w:webHidden/>
          </w:rPr>
          <w:tab/>
        </w:r>
        <w:r w:rsidR="00EF6538">
          <w:rPr>
            <w:noProof/>
            <w:webHidden/>
          </w:rPr>
          <w:fldChar w:fldCharType="begin"/>
        </w:r>
        <w:r w:rsidR="00EF6538">
          <w:rPr>
            <w:noProof/>
            <w:webHidden/>
          </w:rPr>
          <w:instrText xml:space="preserve"> PAGEREF _Toc127198029 \h </w:instrText>
        </w:r>
        <w:r w:rsidR="00EF6538">
          <w:rPr>
            <w:noProof/>
            <w:webHidden/>
          </w:rPr>
        </w:r>
        <w:r w:rsidR="00EF6538">
          <w:rPr>
            <w:noProof/>
            <w:webHidden/>
          </w:rPr>
          <w:fldChar w:fldCharType="separate"/>
        </w:r>
        <w:r w:rsidR="005A6DD8">
          <w:rPr>
            <w:noProof/>
            <w:webHidden/>
          </w:rPr>
          <w:t>98</w:t>
        </w:r>
        <w:r w:rsidR="00EF6538">
          <w:rPr>
            <w:noProof/>
            <w:webHidden/>
          </w:rPr>
          <w:fldChar w:fldCharType="end"/>
        </w:r>
      </w:hyperlink>
    </w:p>
    <w:p w14:paraId="7CA8190C" w14:textId="208F5031" w:rsidR="00EF6538" w:rsidRDefault="00000000">
      <w:pPr>
        <w:pStyle w:val="TableofFigures"/>
        <w:tabs>
          <w:tab w:val="right" w:leader="dot" w:pos="9436"/>
        </w:tabs>
        <w:rPr>
          <w:rFonts w:eastAsiaTheme="minorEastAsia" w:cstheme="minorBidi"/>
          <w:noProof/>
          <w:lang w:val="en-US"/>
        </w:rPr>
      </w:pPr>
      <w:hyperlink w:anchor="_Toc127198030" w:history="1">
        <w:r w:rsidR="00EF6538" w:rsidRPr="006519A3">
          <w:rPr>
            <w:rStyle w:val="Hyperlink"/>
            <w:noProof/>
          </w:rPr>
          <w:t>Figura 42 Numărul de unități de cazare din Sectorul 2, după tipologia structurilor de primire turistică, anul 2022</w:t>
        </w:r>
        <w:r w:rsidR="00EF6538">
          <w:rPr>
            <w:noProof/>
            <w:webHidden/>
          </w:rPr>
          <w:tab/>
        </w:r>
        <w:r w:rsidR="00EF6538">
          <w:rPr>
            <w:noProof/>
            <w:webHidden/>
          </w:rPr>
          <w:fldChar w:fldCharType="begin"/>
        </w:r>
        <w:r w:rsidR="00EF6538">
          <w:rPr>
            <w:noProof/>
            <w:webHidden/>
          </w:rPr>
          <w:instrText xml:space="preserve"> PAGEREF _Toc127198030 \h </w:instrText>
        </w:r>
        <w:r w:rsidR="00EF6538">
          <w:rPr>
            <w:noProof/>
            <w:webHidden/>
          </w:rPr>
        </w:r>
        <w:r w:rsidR="00EF6538">
          <w:rPr>
            <w:noProof/>
            <w:webHidden/>
          </w:rPr>
          <w:fldChar w:fldCharType="separate"/>
        </w:r>
        <w:r w:rsidR="005A6DD8">
          <w:rPr>
            <w:noProof/>
            <w:webHidden/>
          </w:rPr>
          <w:t>106</w:t>
        </w:r>
        <w:r w:rsidR="00EF6538">
          <w:rPr>
            <w:noProof/>
            <w:webHidden/>
          </w:rPr>
          <w:fldChar w:fldCharType="end"/>
        </w:r>
      </w:hyperlink>
    </w:p>
    <w:p w14:paraId="57D5CD7B" w14:textId="7EAA8A02" w:rsidR="00EF6538" w:rsidRDefault="00000000">
      <w:pPr>
        <w:pStyle w:val="TableofFigures"/>
        <w:tabs>
          <w:tab w:val="right" w:leader="dot" w:pos="9436"/>
        </w:tabs>
        <w:rPr>
          <w:rFonts w:eastAsiaTheme="minorEastAsia" w:cstheme="minorBidi"/>
          <w:noProof/>
          <w:lang w:val="en-US"/>
        </w:rPr>
      </w:pPr>
      <w:hyperlink w:anchor="_Toc127198031" w:history="1">
        <w:r w:rsidR="00EF6538" w:rsidRPr="006519A3">
          <w:rPr>
            <w:rStyle w:val="Hyperlink"/>
            <w:noProof/>
          </w:rPr>
          <w:t>Figura 43 Numărul de unități de cazare clasificate din Sectorul 2, pe categorii de confort, anul 2022</w:t>
        </w:r>
        <w:r w:rsidR="00EF6538">
          <w:rPr>
            <w:noProof/>
            <w:webHidden/>
          </w:rPr>
          <w:tab/>
        </w:r>
        <w:r w:rsidR="00EF6538">
          <w:rPr>
            <w:noProof/>
            <w:webHidden/>
          </w:rPr>
          <w:fldChar w:fldCharType="begin"/>
        </w:r>
        <w:r w:rsidR="00EF6538">
          <w:rPr>
            <w:noProof/>
            <w:webHidden/>
          </w:rPr>
          <w:instrText xml:space="preserve"> PAGEREF _Toc127198031 \h </w:instrText>
        </w:r>
        <w:r w:rsidR="00EF6538">
          <w:rPr>
            <w:noProof/>
            <w:webHidden/>
          </w:rPr>
        </w:r>
        <w:r w:rsidR="00EF6538">
          <w:rPr>
            <w:noProof/>
            <w:webHidden/>
          </w:rPr>
          <w:fldChar w:fldCharType="separate"/>
        </w:r>
        <w:r w:rsidR="005A6DD8">
          <w:rPr>
            <w:noProof/>
            <w:webHidden/>
          </w:rPr>
          <w:t>107</w:t>
        </w:r>
        <w:r w:rsidR="00EF6538">
          <w:rPr>
            <w:noProof/>
            <w:webHidden/>
          </w:rPr>
          <w:fldChar w:fldCharType="end"/>
        </w:r>
      </w:hyperlink>
    </w:p>
    <w:p w14:paraId="4038C5B8" w14:textId="36D3D7B7" w:rsidR="00EF6538" w:rsidRDefault="00000000">
      <w:pPr>
        <w:pStyle w:val="TableofFigures"/>
        <w:tabs>
          <w:tab w:val="right" w:leader="dot" w:pos="9436"/>
        </w:tabs>
        <w:rPr>
          <w:rFonts w:eastAsiaTheme="minorEastAsia" w:cstheme="minorBidi"/>
          <w:noProof/>
          <w:lang w:val="en-US"/>
        </w:rPr>
      </w:pPr>
      <w:hyperlink w:anchor="_Toc127198032" w:history="1">
        <w:r w:rsidR="00EF6538" w:rsidRPr="006519A3">
          <w:rPr>
            <w:rStyle w:val="Hyperlink"/>
            <w:noProof/>
          </w:rPr>
          <w:t>Figura 44 Evoluția capacității de cazare turistică existentă pe tipuri de structuri turistice la nivelul Municipiului București, număr de locuri în perioada 2016-2021</w:t>
        </w:r>
        <w:r w:rsidR="00EF6538">
          <w:rPr>
            <w:noProof/>
            <w:webHidden/>
          </w:rPr>
          <w:tab/>
        </w:r>
        <w:r w:rsidR="00EF6538">
          <w:rPr>
            <w:noProof/>
            <w:webHidden/>
          </w:rPr>
          <w:fldChar w:fldCharType="begin"/>
        </w:r>
        <w:r w:rsidR="00EF6538">
          <w:rPr>
            <w:noProof/>
            <w:webHidden/>
          </w:rPr>
          <w:instrText xml:space="preserve"> PAGEREF _Toc127198032 \h </w:instrText>
        </w:r>
        <w:r w:rsidR="00EF6538">
          <w:rPr>
            <w:noProof/>
            <w:webHidden/>
          </w:rPr>
        </w:r>
        <w:r w:rsidR="00EF6538">
          <w:rPr>
            <w:noProof/>
            <w:webHidden/>
          </w:rPr>
          <w:fldChar w:fldCharType="separate"/>
        </w:r>
        <w:r w:rsidR="005A6DD8">
          <w:rPr>
            <w:noProof/>
            <w:webHidden/>
          </w:rPr>
          <w:t>107</w:t>
        </w:r>
        <w:r w:rsidR="00EF6538">
          <w:rPr>
            <w:noProof/>
            <w:webHidden/>
          </w:rPr>
          <w:fldChar w:fldCharType="end"/>
        </w:r>
      </w:hyperlink>
    </w:p>
    <w:p w14:paraId="5D05FC1C" w14:textId="4A4AC535" w:rsidR="00EF6538" w:rsidRDefault="00000000">
      <w:pPr>
        <w:pStyle w:val="TableofFigures"/>
        <w:tabs>
          <w:tab w:val="right" w:leader="dot" w:pos="9436"/>
        </w:tabs>
        <w:rPr>
          <w:rFonts w:eastAsiaTheme="minorEastAsia" w:cstheme="minorBidi"/>
          <w:noProof/>
          <w:lang w:val="en-US"/>
        </w:rPr>
      </w:pPr>
      <w:hyperlink w:anchor="_Toc127198033" w:history="1">
        <w:r w:rsidR="00EF6538" w:rsidRPr="006519A3">
          <w:rPr>
            <w:rStyle w:val="Hyperlink"/>
            <w:noProof/>
          </w:rPr>
          <w:t>Figura 45 Numărul unităților de cazare din Sectorul 2, comparație Ministerul Antreprenoriatului și Turismului – Airbnb – Booking, anul 2022</w:t>
        </w:r>
        <w:r w:rsidR="00EF6538">
          <w:rPr>
            <w:noProof/>
            <w:webHidden/>
          </w:rPr>
          <w:tab/>
        </w:r>
        <w:r w:rsidR="00EF6538">
          <w:rPr>
            <w:noProof/>
            <w:webHidden/>
          </w:rPr>
          <w:fldChar w:fldCharType="begin"/>
        </w:r>
        <w:r w:rsidR="00EF6538">
          <w:rPr>
            <w:noProof/>
            <w:webHidden/>
          </w:rPr>
          <w:instrText xml:space="preserve"> PAGEREF _Toc127198033 \h </w:instrText>
        </w:r>
        <w:r w:rsidR="00EF6538">
          <w:rPr>
            <w:noProof/>
            <w:webHidden/>
          </w:rPr>
        </w:r>
        <w:r w:rsidR="00EF6538">
          <w:rPr>
            <w:noProof/>
            <w:webHidden/>
          </w:rPr>
          <w:fldChar w:fldCharType="separate"/>
        </w:r>
        <w:r w:rsidR="005A6DD8">
          <w:rPr>
            <w:noProof/>
            <w:webHidden/>
          </w:rPr>
          <w:t>108</w:t>
        </w:r>
        <w:r w:rsidR="00EF6538">
          <w:rPr>
            <w:noProof/>
            <w:webHidden/>
          </w:rPr>
          <w:fldChar w:fldCharType="end"/>
        </w:r>
      </w:hyperlink>
    </w:p>
    <w:p w14:paraId="49A596F6" w14:textId="0BCBCC0C" w:rsidR="00EF6538" w:rsidRDefault="00000000">
      <w:pPr>
        <w:pStyle w:val="TableofFigures"/>
        <w:tabs>
          <w:tab w:val="right" w:leader="dot" w:pos="9436"/>
        </w:tabs>
        <w:rPr>
          <w:rFonts w:eastAsiaTheme="minorEastAsia" w:cstheme="minorBidi"/>
          <w:noProof/>
          <w:lang w:val="en-US"/>
        </w:rPr>
      </w:pPr>
      <w:hyperlink w:anchor="_Toc127198034" w:history="1">
        <w:r w:rsidR="00EF6538" w:rsidRPr="006519A3">
          <w:rPr>
            <w:rStyle w:val="Hyperlink"/>
            <w:noProof/>
          </w:rPr>
          <w:t>Figura 46 Distribuția spațială a unităților de cazare la nivelul Sectorului 2, conform Booking</w:t>
        </w:r>
        <w:r w:rsidR="00EF6538">
          <w:rPr>
            <w:noProof/>
            <w:webHidden/>
          </w:rPr>
          <w:tab/>
        </w:r>
        <w:r w:rsidR="00EF6538">
          <w:rPr>
            <w:noProof/>
            <w:webHidden/>
          </w:rPr>
          <w:fldChar w:fldCharType="begin"/>
        </w:r>
        <w:r w:rsidR="00EF6538">
          <w:rPr>
            <w:noProof/>
            <w:webHidden/>
          </w:rPr>
          <w:instrText xml:space="preserve"> PAGEREF _Toc127198034 \h </w:instrText>
        </w:r>
        <w:r w:rsidR="00EF6538">
          <w:rPr>
            <w:noProof/>
            <w:webHidden/>
          </w:rPr>
        </w:r>
        <w:r w:rsidR="00EF6538">
          <w:rPr>
            <w:noProof/>
            <w:webHidden/>
          </w:rPr>
          <w:fldChar w:fldCharType="separate"/>
        </w:r>
        <w:r w:rsidR="005A6DD8">
          <w:rPr>
            <w:noProof/>
            <w:webHidden/>
          </w:rPr>
          <w:t>109</w:t>
        </w:r>
        <w:r w:rsidR="00EF6538">
          <w:rPr>
            <w:noProof/>
            <w:webHidden/>
          </w:rPr>
          <w:fldChar w:fldCharType="end"/>
        </w:r>
      </w:hyperlink>
    </w:p>
    <w:p w14:paraId="709D3E92" w14:textId="052ED84B" w:rsidR="00EF6538" w:rsidRDefault="00000000">
      <w:pPr>
        <w:pStyle w:val="TableofFigures"/>
        <w:tabs>
          <w:tab w:val="right" w:leader="dot" w:pos="9436"/>
        </w:tabs>
        <w:rPr>
          <w:rFonts w:eastAsiaTheme="minorEastAsia" w:cstheme="minorBidi"/>
          <w:noProof/>
          <w:lang w:val="en-US"/>
        </w:rPr>
      </w:pPr>
      <w:hyperlink w:anchor="_Toc127198035" w:history="1">
        <w:r w:rsidR="00EF6538" w:rsidRPr="006519A3">
          <w:rPr>
            <w:rStyle w:val="Hyperlink"/>
            <w:noProof/>
          </w:rPr>
          <w:t>Figura 47 Evoluția structurii turiștilor sosiți în perioada 2016-2021 în Municipiul București, număr turiști</w:t>
        </w:r>
        <w:r w:rsidR="00EF6538">
          <w:rPr>
            <w:noProof/>
            <w:webHidden/>
          </w:rPr>
          <w:tab/>
        </w:r>
        <w:r w:rsidR="00EF6538">
          <w:rPr>
            <w:noProof/>
            <w:webHidden/>
          </w:rPr>
          <w:fldChar w:fldCharType="begin"/>
        </w:r>
        <w:r w:rsidR="00EF6538">
          <w:rPr>
            <w:noProof/>
            <w:webHidden/>
          </w:rPr>
          <w:instrText xml:space="preserve"> PAGEREF _Toc127198035 \h </w:instrText>
        </w:r>
        <w:r w:rsidR="00EF6538">
          <w:rPr>
            <w:noProof/>
            <w:webHidden/>
          </w:rPr>
        </w:r>
        <w:r w:rsidR="00EF6538">
          <w:rPr>
            <w:noProof/>
            <w:webHidden/>
          </w:rPr>
          <w:fldChar w:fldCharType="separate"/>
        </w:r>
        <w:r w:rsidR="005A6DD8">
          <w:rPr>
            <w:noProof/>
            <w:webHidden/>
          </w:rPr>
          <w:t>110</w:t>
        </w:r>
        <w:r w:rsidR="00EF6538">
          <w:rPr>
            <w:noProof/>
            <w:webHidden/>
          </w:rPr>
          <w:fldChar w:fldCharType="end"/>
        </w:r>
      </w:hyperlink>
    </w:p>
    <w:p w14:paraId="5B7653C2" w14:textId="5163BFBD" w:rsidR="00EF6538" w:rsidRDefault="00000000">
      <w:pPr>
        <w:pStyle w:val="TableofFigures"/>
        <w:tabs>
          <w:tab w:val="right" w:leader="dot" w:pos="9436"/>
        </w:tabs>
        <w:rPr>
          <w:rFonts w:eastAsiaTheme="minorEastAsia" w:cstheme="minorBidi"/>
          <w:noProof/>
          <w:lang w:val="en-US"/>
        </w:rPr>
      </w:pPr>
      <w:hyperlink w:anchor="_Toc127198036" w:history="1">
        <w:r w:rsidR="00EF6538" w:rsidRPr="006519A3">
          <w:rPr>
            <w:rStyle w:val="Hyperlink"/>
            <w:noProof/>
          </w:rPr>
          <w:t>Figura 48 Evoluția numărului de secții sportive în Municipiul București, perioada 2016-2020</w:t>
        </w:r>
        <w:r w:rsidR="00EF6538">
          <w:rPr>
            <w:noProof/>
            <w:webHidden/>
          </w:rPr>
          <w:tab/>
        </w:r>
        <w:r w:rsidR="00EF6538">
          <w:rPr>
            <w:noProof/>
            <w:webHidden/>
          </w:rPr>
          <w:fldChar w:fldCharType="begin"/>
        </w:r>
        <w:r w:rsidR="00EF6538">
          <w:rPr>
            <w:noProof/>
            <w:webHidden/>
          </w:rPr>
          <w:instrText xml:space="preserve"> PAGEREF _Toc127198036 \h </w:instrText>
        </w:r>
        <w:r w:rsidR="00EF6538">
          <w:rPr>
            <w:noProof/>
            <w:webHidden/>
          </w:rPr>
        </w:r>
        <w:r w:rsidR="00EF6538">
          <w:rPr>
            <w:noProof/>
            <w:webHidden/>
          </w:rPr>
          <w:fldChar w:fldCharType="separate"/>
        </w:r>
        <w:r w:rsidR="005A6DD8">
          <w:rPr>
            <w:noProof/>
            <w:webHidden/>
          </w:rPr>
          <w:t>112</w:t>
        </w:r>
        <w:r w:rsidR="00EF6538">
          <w:rPr>
            <w:noProof/>
            <w:webHidden/>
          </w:rPr>
          <w:fldChar w:fldCharType="end"/>
        </w:r>
      </w:hyperlink>
    </w:p>
    <w:p w14:paraId="657828E5" w14:textId="227AECF7" w:rsidR="00EF6538" w:rsidRDefault="00000000">
      <w:pPr>
        <w:pStyle w:val="TableofFigures"/>
        <w:tabs>
          <w:tab w:val="right" w:leader="dot" w:pos="9436"/>
        </w:tabs>
        <w:rPr>
          <w:rFonts w:eastAsiaTheme="minorEastAsia" w:cstheme="minorBidi"/>
          <w:noProof/>
          <w:lang w:val="en-US"/>
        </w:rPr>
      </w:pPr>
      <w:hyperlink w:anchor="_Toc127198037" w:history="1">
        <w:r w:rsidR="00EF6538" w:rsidRPr="006519A3">
          <w:rPr>
            <w:rStyle w:val="Hyperlink"/>
            <w:noProof/>
          </w:rPr>
          <w:t>Figura 49 Evoluția numărului de sportivi legitimați în Municipiul București, perioada 2016-2020</w:t>
        </w:r>
        <w:r w:rsidR="00EF6538">
          <w:rPr>
            <w:noProof/>
            <w:webHidden/>
          </w:rPr>
          <w:tab/>
        </w:r>
        <w:r w:rsidR="00EF6538">
          <w:rPr>
            <w:noProof/>
            <w:webHidden/>
          </w:rPr>
          <w:fldChar w:fldCharType="begin"/>
        </w:r>
        <w:r w:rsidR="00EF6538">
          <w:rPr>
            <w:noProof/>
            <w:webHidden/>
          </w:rPr>
          <w:instrText xml:space="preserve"> PAGEREF _Toc127198037 \h </w:instrText>
        </w:r>
        <w:r w:rsidR="00EF6538">
          <w:rPr>
            <w:noProof/>
            <w:webHidden/>
          </w:rPr>
        </w:r>
        <w:r w:rsidR="00EF6538">
          <w:rPr>
            <w:noProof/>
            <w:webHidden/>
          </w:rPr>
          <w:fldChar w:fldCharType="separate"/>
        </w:r>
        <w:r w:rsidR="005A6DD8">
          <w:rPr>
            <w:noProof/>
            <w:webHidden/>
          </w:rPr>
          <w:t>112</w:t>
        </w:r>
        <w:r w:rsidR="00EF6538">
          <w:rPr>
            <w:noProof/>
            <w:webHidden/>
          </w:rPr>
          <w:fldChar w:fldCharType="end"/>
        </w:r>
      </w:hyperlink>
    </w:p>
    <w:p w14:paraId="4DC5B6DA" w14:textId="48DBD293" w:rsidR="00EF6538" w:rsidRDefault="00000000">
      <w:pPr>
        <w:pStyle w:val="TableofFigures"/>
        <w:tabs>
          <w:tab w:val="right" w:leader="dot" w:pos="9436"/>
        </w:tabs>
        <w:rPr>
          <w:rFonts w:eastAsiaTheme="minorEastAsia" w:cstheme="minorBidi"/>
          <w:noProof/>
          <w:lang w:val="en-US"/>
        </w:rPr>
      </w:pPr>
      <w:hyperlink w:anchor="_Toc127198038" w:history="1">
        <w:r w:rsidR="00EF6538" w:rsidRPr="006519A3">
          <w:rPr>
            <w:rStyle w:val="Hyperlink"/>
            <w:noProof/>
          </w:rPr>
          <w:t>Figura 50 Principalele dotări sportive din Sectorul 2</w:t>
        </w:r>
        <w:r w:rsidR="00EF6538">
          <w:rPr>
            <w:noProof/>
            <w:webHidden/>
          </w:rPr>
          <w:tab/>
        </w:r>
        <w:r w:rsidR="00EF6538">
          <w:rPr>
            <w:noProof/>
            <w:webHidden/>
          </w:rPr>
          <w:fldChar w:fldCharType="begin"/>
        </w:r>
        <w:r w:rsidR="00EF6538">
          <w:rPr>
            <w:noProof/>
            <w:webHidden/>
          </w:rPr>
          <w:instrText xml:space="preserve"> PAGEREF _Toc127198038 \h </w:instrText>
        </w:r>
        <w:r w:rsidR="00EF6538">
          <w:rPr>
            <w:noProof/>
            <w:webHidden/>
          </w:rPr>
        </w:r>
        <w:r w:rsidR="00EF6538">
          <w:rPr>
            <w:noProof/>
            <w:webHidden/>
          </w:rPr>
          <w:fldChar w:fldCharType="separate"/>
        </w:r>
        <w:r w:rsidR="005A6DD8">
          <w:rPr>
            <w:noProof/>
            <w:webHidden/>
          </w:rPr>
          <w:t>114</w:t>
        </w:r>
        <w:r w:rsidR="00EF6538">
          <w:rPr>
            <w:noProof/>
            <w:webHidden/>
          </w:rPr>
          <w:fldChar w:fldCharType="end"/>
        </w:r>
      </w:hyperlink>
    </w:p>
    <w:p w14:paraId="3504A4FC" w14:textId="50DAFA6B" w:rsidR="00EF6538" w:rsidRDefault="00000000">
      <w:pPr>
        <w:pStyle w:val="TableofFigures"/>
        <w:tabs>
          <w:tab w:val="right" w:leader="dot" w:pos="9436"/>
        </w:tabs>
        <w:rPr>
          <w:rFonts w:eastAsiaTheme="minorEastAsia" w:cstheme="minorBidi"/>
          <w:noProof/>
          <w:lang w:val="en-US"/>
        </w:rPr>
      </w:pPr>
      <w:hyperlink w:anchor="_Toc127198039" w:history="1">
        <w:r w:rsidR="00EF6538" w:rsidRPr="006519A3">
          <w:rPr>
            <w:rStyle w:val="Hyperlink"/>
            <w:noProof/>
          </w:rPr>
          <w:t>Figura 51 Principalele dotări de agrement din Sectorul 2</w:t>
        </w:r>
        <w:r w:rsidR="00EF6538">
          <w:rPr>
            <w:noProof/>
            <w:webHidden/>
          </w:rPr>
          <w:tab/>
        </w:r>
        <w:r w:rsidR="00EF6538">
          <w:rPr>
            <w:noProof/>
            <w:webHidden/>
          </w:rPr>
          <w:fldChar w:fldCharType="begin"/>
        </w:r>
        <w:r w:rsidR="00EF6538">
          <w:rPr>
            <w:noProof/>
            <w:webHidden/>
          </w:rPr>
          <w:instrText xml:space="preserve"> PAGEREF _Toc127198039 \h </w:instrText>
        </w:r>
        <w:r w:rsidR="00EF6538">
          <w:rPr>
            <w:noProof/>
            <w:webHidden/>
          </w:rPr>
        </w:r>
        <w:r w:rsidR="00EF6538">
          <w:rPr>
            <w:noProof/>
            <w:webHidden/>
          </w:rPr>
          <w:fldChar w:fldCharType="separate"/>
        </w:r>
        <w:r w:rsidR="005A6DD8">
          <w:rPr>
            <w:noProof/>
            <w:webHidden/>
          </w:rPr>
          <w:t>119</w:t>
        </w:r>
        <w:r w:rsidR="00EF6538">
          <w:rPr>
            <w:noProof/>
            <w:webHidden/>
          </w:rPr>
          <w:fldChar w:fldCharType="end"/>
        </w:r>
      </w:hyperlink>
    </w:p>
    <w:p w14:paraId="0E3A1E95" w14:textId="6CAC6506" w:rsidR="00EF6538" w:rsidRDefault="00000000">
      <w:pPr>
        <w:pStyle w:val="TableofFigures"/>
        <w:tabs>
          <w:tab w:val="right" w:leader="dot" w:pos="9436"/>
        </w:tabs>
        <w:rPr>
          <w:rFonts w:eastAsiaTheme="minorEastAsia" w:cstheme="minorBidi"/>
          <w:noProof/>
          <w:lang w:val="en-US"/>
        </w:rPr>
      </w:pPr>
      <w:hyperlink w:anchor="_Toc127198040" w:history="1">
        <w:r w:rsidR="00EF6538" w:rsidRPr="006519A3">
          <w:rPr>
            <w:rStyle w:val="Hyperlink"/>
            <w:noProof/>
          </w:rPr>
          <w:t>Figura 52 Distribuția spațială a clădirilor monumente istorice pe teritoriul Sectorului 2, 2022</w:t>
        </w:r>
        <w:r w:rsidR="00EF6538">
          <w:rPr>
            <w:noProof/>
            <w:webHidden/>
          </w:rPr>
          <w:tab/>
        </w:r>
        <w:r w:rsidR="00EF6538">
          <w:rPr>
            <w:noProof/>
            <w:webHidden/>
          </w:rPr>
          <w:fldChar w:fldCharType="begin"/>
        </w:r>
        <w:r w:rsidR="00EF6538">
          <w:rPr>
            <w:noProof/>
            <w:webHidden/>
          </w:rPr>
          <w:instrText xml:space="preserve"> PAGEREF _Toc127198040 \h </w:instrText>
        </w:r>
        <w:r w:rsidR="00EF6538">
          <w:rPr>
            <w:noProof/>
            <w:webHidden/>
          </w:rPr>
        </w:r>
        <w:r w:rsidR="00EF6538">
          <w:rPr>
            <w:noProof/>
            <w:webHidden/>
          </w:rPr>
          <w:fldChar w:fldCharType="separate"/>
        </w:r>
        <w:r w:rsidR="005A6DD8">
          <w:rPr>
            <w:noProof/>
            <w:webHidden/>
          </w:rPr>
          <w:t>126</w:t>
        </w:r>
        <w:r w:rsidR="00EF6538">
          <w:rPr>
            <w:noProof/>
            <w:webHidden/>
          </w:rPr>
          <w:fldChar w:fldCharType="end"/>
        </w:r>
      </w:hyperlink>
    </w:p>
    <w:p w14:paraId="66B3F518" w14:textId="74B6D6A8" w:rsidR="00EF6538" w:rsidRDefault="00000000">
      <w:pPr>
        <w:pStyle w:val="TableofFigures"/>
        <w:tabs>
          <w:tab w:val="right" w:leader="dot" w:pos="9436"/>
        </w:tabs>
        <w:rPr>
          <w:rFonts w:eastAsiaTheme="minorEastAsia" w:cstheme="minorBidi"/>
          <w:noProof/>
          <w:lang w:val="en-US"/>
        </w:rPr>
      </w:pPr>
      <w:hyperlink w:anchor="_Toc127198041" w:history="1">
        <w:r w:rsidR="00EF6538" w:rsidRPr="006519A3">
          <w:rPr>
            <w:rStyle w:val="Hyperlink"/>
            <w:noProof/>
          </w:rPr>
          <w:t>Figura 53 Distribuția spațială a clădirilor cu valoare arhitectural-urbanistică și memorial-simbolică deosebită de pe teritoriul Sectorului 2</w:t>
        </w:r>
        <w:r w:rsidR="00EF6538">
          <w:rPr>
            <w:noProof/>
            <w:webHidden/>
          </w:rPr>
          <w:tab/>
        </w:r>
        <w:r w:rsidR="00EF6538">
          <w:rPr>
            <w:noProof/>
            <w:webHidden/>
          </w:rPr>
          <w:fldChar w:fldCharType="begin"/>
        </w:r>
        <w:r w:rsidR="00EF6538">
          <w:rPr>
            <w:noProof/>
            <w:webHidden/>
          </w:rPr>
          <w:instrText xml:space="preserve"> PAGEREF _Toc127198041 \h </w:instrText>
        </w:r>
        <w:r w:rsidR="00EF6538">
          <w:rPr>
            <w:noProof/>
            <w:webHidden/>
          </w:rPr>
        </w:r>
        <w:r w:rsidR="00EF6538">
          <w:rPr>
            <w:noProof/>
            <w:webHidden/>
          </w:rPr>
          <w:fldChar w:fldCharType="separate"/>
        </w:r>
        <w:r w:rsidR="005A6DD8">
          <w:rPr>
            <w:noProof/>
            <w:webHidden/>
          </w:rPr>
          <w:t>128</w:t>
        </w:r>
        <w:r w:rsidR="00EF6538">
          <w:rPr>
            <w:noProof/>
            <w:webHidden/>
          </w:rPr>
          <w:fldChar w:fldCharType="end"/>
        </w:r>
      </w:hyperlink>
    </w:p>
    <w:p w14:paraId="20CE980D" w14:textId="68FAF379" w:rsidR="00EF6538" w:rsidRDefault="00000000">
      <w:pPr>
        <w:pStyle w:val="TableofFigures"/>
        <w:tabs>
          <w:tab w:val="right" w:leader="dot" w:pos="9436"/>
        </w:tabs>
        <w:rPr>
          <w:rFonts w:eastAsiaTheme="minorEastAsia" w:cstheme="minorBidi"/>
          <w:noProof/>
          <w:lang w:val="en-US"/>
        </w:rPr>
      </w:pPr>
      <w:hyperlink w:anchor="_Toc127198042" w:history="1">
        <w:r w:rsidR="00EF6538" w:rsidRPr="006519A3">
          <w:rPr>
            <w:rStyle w:val="Hyperlink"/>
            <w:noProof/>
          </w:rPr>
          <w:t>Figura 54 Zonele Construite Protejate aflate pe teritoriul Sectorului 2</w:t>
        </w:r>
        <w:r w:rsidR="00EF6538">
          <w:rPr>
            <w:noProof/>
            <w:webHidden/>
          </w:rPr>
          <w:tab/>
        </w:r>
        <w:r w:rsidR="00EF6538">
          <w:rPr>
            <w:noProof/>
            <w:webHidden/>
          </w:rPr>
          <w:fldChar w:fldCharType="begin"/>
        </w:r>
        <w:r w:rsidR="00EF6538">
          <w:rPr>
            <w:noProof/>
            <w:webHidden/>
          </w:rPr>
          <w:instrText xml:space="preserve"> PAGEREF _Toc127198042 \h </w:instrText>
        </w:r>
        <w:r w:rsidR="00EF6538">
          <w:rPr>
            <w:noProof/>
            <w:webHidden/>
          </w:rPr>
        </w:r>
        <w:r w:rsidR="00EF6538">
          <w:rPr>
            <w:noProof/>
            <w:webHidden/>
          </w:rPr>
          <w:fldChar w:fldCharType="separate"/>
        </w:r>
        <w:r w:rsidR="005A6DD8">
          <w:rPr>
            <w:noProof/>
            <w:webHidden/>
          </w:rPr>
          <w:t>133</w:t>
        </w:r>
        <w:r w:rsidR="00EF6538">
          <w:rPr>
            <w:noProof/>
            <w:webHidden/>
          </w:rPr>
          <w:fldChar w:fldCharType="end"/>
        </w:r>
      </w:hyperlink>
    </w:p>
    <w:p w14:paraId="30ABE7A4" w14:textId="13AD3DC5" w:rsidR="00EF6538" w:rsidRDefault="00000000">
      <w:pPr>
        <w:pStyle w:val="TableofFigures"/>
        <w:tabs>
          <w:tab w:val="right" w:leader="dot" w:pos="9436"/>
        </w:tabs>
        <w:rPr>
          <w:rFonts w:eastAsiaTheme="minorEastAsia" w:cstheme="minorBidi"/>
          <w:noProof/>
          <w:lang w:val="en-US"/>
        </w:rPr>
      </w:pPr>
      <w:hyperlink w:anchor="_Toc127198043" w:history="1">
        <w:r w:rsidR="00EF6538" w:rsidRPr="006519A3">
          <w:rPr>
            <w:rStyle w:val="Hyperlink"/>
            <w:noProof/>
          </w:rPr>
          <w:t>Figura 55 Subzonele zonei centrale</w:t>
        </w:r>
        <w:r w:rsidR="00EF6538">
          <w:rPr>
            <w:noProof/>
            <w:webHidden/>
          </w:rPr>
          <w:tab/>
        </w:r>
        <w:r w:rsidR="00EF6538">
          <w:rPr>
            <w:noProof/>
            <w:webHidden/>
          </w:rPr>
          <w:fldChar w:fldCharType="begin"/>
        </w:r>
        <w:r w:rsidR="00EF6538">
          <w:rPr>
            <w:noProof/>
            <w:webHidden/>
          </w:rPr>
          <w:instrText xml:space="preserve"> PAGEREF _Toc127198043 \h </w:instrText>
        </w:r>
        <w:r w:rsidR="00EF6538">
          <w:rPr>
            <w:noProof/>
            <w:webHidden/>
          </w:rPr>
        </w:r>
        <w:r w:rsidR="00EF6538">
          <w:rPr>
            <w:noProof/>
            <w:webHidden/>
          </w:rPr>
          <w:fldChar w:fldCharType="separate"/>
        </w:r>
        <w:r w:rsidR="005A6DD8">
          <w:rPr>
            <w:noProof/>
            <w:webHidden/>
          </w:rPr>
          <w:t>134</w:t>
        </w:r>
        <w:r w:rsidR="00EF6538">
          <w:rPr>
            <w:noProof/>
            <w:webHidden/>
          </w:rPr>
          <w:fldChar w:fldCharType="end"/>
        </w:r>
      </w:hyperlink>
    </w:p>
    <w:p w14:paraId="4DE24BE7" w14:textId="18DADDD4" w:rsidR="00EF6538" w:rsidRDefault="00000000">
      <w:pPr>
        <w:pStyle w:val="TableofFigures"/>
        <w:tabs>
          <w:tab w:val="right" w:leader="dot" w:pos="9436"/>
        </w:tabs>
        <w:rPr>
          <w:rFonts w:eastAsiaTheme="minorEastAsia" w:cstheme="minorBidi"/>
          <w:noProof/>
          <w:lang w:val="en-US"/>
        </w:rPr>
      </w:pPr>
      <w:hyperlink w:anchor="_Toc127198044" w:history="1">
        <w:r w:rsidR="00EF6538" w:rsidRPr="006519A3">
          <w:rPr>
            <w:rStyle w:val="Hyperlink"/>
            <w:noProof/>
          </w:rPr>
          <w:t>Figura 56 Clasificarea multicriterială a sistemului major de spații publice din Sectorul 2</w:t>
        </w:r>
        <w:r w:rsidR="00EF6538">
          <w:rPr>
            <w:noProof/>
            <w:webHidden/>
          </w:rPr>
          <w:tab/>
        </w:r>
        <w:r w:rsidR="00EF6538">
          <w:rPr>
            <w:noProof/>
            <w:webHidden/>
          </w:rPr>
          <w:fldChar w:fldCharType="begin"/>
        </w:r>
        <w:r w:rsidR="00EF6538">
          <w:rPr>
            <w:noProof/>
            <w:webHidden/>
          </w:rPr>
          <w:instrText xml:space="preserve"> PAGEREF _Toc127198044 \h </w:instrText>
        </w:r>
        <w:r w:rsidR="00EF6538">
          <w:rPr>
            <w:noProof/>
            <w:webHidden/>
          </w:rPr>
        </w:r>
        <w:r w:rsidR="00EF6538">
          <w:rPr>
            <w:noProof/>
            <w:webHidden/>
          </w:rPr>
          <w:fldChar w:fldCharType="separate"/>
        </w:r>
        <w:r w:rsidR="005A6DD8">
          <w:rPr>
            <w:noProof/>
            <w:webHidden/>
          </w:rPr>
          <w:t>137</w:t>
        </w:r>
        <w:r w:rsidR="00EF6538">
          <w:rPr>
            <w:noProof/>
            <w:webHidden/>
          </w:rPr>
          <w:fldChar w:fldCharType="end"/>
        </w:r>
      </w:hyperlink>
    </w:p>
    <w:p w14:paraId="7D86C823" w14:textId="10964AC2" w:rsidR="00EF6538" w:rsidRDefault="00000000">
      <w:pPr>
        <w:pStyle w:val="TableofFigures"/>
        <w:tabs>
          <w:tab w:val="right" w:leader="dot" w:pos="9436"/>
        </w:tabs>
        <w:rPr>
          <w:rFonts w:eastAsiaTheme="minorEastAsia" w:cstheme="minorBidi"/>
          <w:noProof/>
          <w:lang w:val="en-US"/>
        </w:rPr>
      </w:pPr>
      <w:hyperlink w:anchor="_Toc127198045" w:history="1">
        <w:r w:rsidR="00EF6538" w:rsidRPr="006519A3">
          <w:rPr>
            <w:rStyle w:val="Hyperlink"/>
            <w:noProof/>
          </w:rPr>
          <w:t>Figura 57 Spațiile aferente unităților de învățământ preuniversitar din Sectorul 2 care pot fi utilizate ca spații cu acces public în afara programului școlar, 2020</w:t>
        </w:r>
        <w:r w:rsidR="00EF6538">
          <w:rPr>
            <w:noProof/>
            <w:webHidden/>
          </w:rPr>
          <w:tab/>
        </w:r>
        <w:r w:rsidR="00EF6538">
          <w:rPr>
            <w:noProof/>
            <w:webHidden/>
          </w:rPr>
          <w:fldChar w:fldCharType="begin"/>
        </w:r>
        <w:r w:rsidR="00EF6538">
          <w:rPr>
            <w:noProof/>
            <w:webHidden/>
          </w:rPr>
          <w:instrText xml:space="preserve"> PAGEREF _Toc127198045 \h </w:instrText>
        </w:r>
        <w:r w:rsidR="00EF6538">
          <w:rPr>
            <w:noProof/>
            <w:webHidden/>
          </w:rPr>
        </w:r>
        <w:r w:rsidR="00EF6538">
          <w:rPr>
            <w:noProof/>
            <w:webHidden/>
          </w:rPr>
          <w:fldChar w:fldCharType="separate"/>
        </w:r>
        <w:r w:rsidR="005A6DD8">
          <w:rPr>
            <w:noProof/>
            <w:webHidden/>
          </w:rPr>
          <w:t>139</w:t>
        </w:r>
        <w:r w:rsidR="00EF6538">
          <w:rPr>
            <w:noProof/>
            <w:webHidden/>
          </w:rPr>
          <w:fldChar w:fldCharType="end"/>
        </w:r>
      </w:hyperlink>
    </w:p>
    <w:p w14:paraId="36B8E425" w14:textId="5EBF3BFB" w:rsidR="00EF6538" w:rsidRDefault="00000000">
      <w:pPr>
        <w:pStyle w:val="TableofFigures"/>
        <w:tabs>
          <w:tab w:val="right" w:leader="dot" w:pos="9436"/>
        </w:tabs>
        <w:rPr>
          <w:rFonts w:eastAsiaTheme="minorEastAsia" w:cstheme="minorBidi"/>
          <w:noProof/>
          <w:lang w:val="en-US"/>
        </w:rPr>
      </w:pPr>
      <w:hyperlink w:anchor="_Toc127198046" w:history="1">
        <w:r w:rsidR="00EF6538" w:rsidRPr="006519A3">
          <w:rPr>
            <w:rStyle w:val="Hyperlink"/>
            <w:noProof/>
          </w:rPr>
          <w:t>Figura 58 Izocrone de accesibilitate pentru spațiile verzi majore (parc / grădină)</w:t>
        </w:r>
        <w:r w:rsidR="00EF6538">
          <w:rPr>
            <w:noProof/>
            <w:webHidden/>
          </w:rPr>
          <w:tab/>
        </w:r>
        <w:r w:rsidR="00EF6538">
          <w:rPr>
            <w:noProof/>
            <w:webHidden/>
          </w:rPr>
          <w:fldChar w:fldCharType="begin"/>
        </w:r>
        <w:r w:rsidR="00EF6538">
          <w:rPr>
            <w:noProof/>
            <w:webHidden/>
          </w:rPr>
          <w:instrText xml:space="preserve"> PAGEREF _Toc127198046 \h </w:instrText>
        </w:r>
        <w:r w:rsidR="00EF6538">
          <w:rPr>
            <w:noProof/>
            <w:webHidden/>
          </w:rPr>
        </w:r>
        <w:r w:rsidR="00EF6538">
          <w:rPr>
            <w:noProof/>
            <w:webHidden/>
          </w:rPr>
          <w:fldChar w:fldCharType="separate"/>
        </w:r>
        <w:r w:rsidR="005A6DD8">
          <w:rPr>
            <w:noProof/>
            <w:webHidden/>
          </w:rPr>
          <w:t>148</w:t>
        </w:r>
        <w:r w:rsidR="00EF6538">
          <w:rPr>
            <w:noProof/>
            <w:webHidden/>
          </w:rPr>
          <w:fldChar w:fldCharType="end"/>
        </w:r>
      </w:hyperlink>
    </w:p>
    <w:p w14:paraId="6E153BFA" w14:textId="152B1E8A" w:rsidR="00EF6538" w:rsidRDefault="00000000">
      <w:pPr>
        <w:pStyle w:val="TableofFigures"/>
        <w:tabs>
          <w:tab w:val="right" w:leader="dot" w:pos="9436"/>
        </w:tabs>
        <w:rPr>
          <w:rFonts w:eastAsiaTheme="minorEastAsia" w:cstheme="minorBidi"/>
          <w:noProof/>
          <w:lang w:val="en-US"/>
        </w:rPr>
      </w:pPr>
      <w:hyperlink w:anchor="_Toc127198047" w:history="1">
        <w:r w:rsidR="00EF6538" w:rsidRPr="006519A3">
          <w:rPr>
            <w:rStyle w:val="Hyperlink"/>
            <w:noProof/>
          </w:rPr>
          <w:t>Figura 59 Distribuția spațială a piețelor agroalimentare și spațiilor destinate piețelor volante/sezoniere din Sectorul 2</w:t>
        </w:r>
        <w:r w:rsidR="00EF6538">
          <w:rPr>
            <w:noProof/>
            <w:webHidden/>
          </w:rPr>
          <w:tab/>
        </w:r>
        <w:r w:rsidR="00EF6538">
          <w:rPr>
            <w:noProof/>
            <w:webHidden/>
          </w:rPr>
          <w:fldChar w:fldCharType="begin"/>
        </w:r>
        <w:r w:rsidR="00EF6538">
          <w:rPr>
            <w:noProof/>
            <w:webHidden/>
          </w:rPr>
          <w:instrText xml:space="preserve"> PAGEREF _Toc127198047 \h </w:instrText>
        </w:r>
        <w:r w:rsidR="00EF6538">
          <w:rPr>
            <w:noProof/>
            <w:webHidden/>
          </w:rPr>
        </w:r>
        <w:r w:rsidR="00EF6538">
          <w:rPr>
            <w:noProof/>
            <w:webHidden/>
          </w:rPr>
          <w:fldChar w:fldCharType="separate"/>
        </w:r>
        <w:r w:rsidR="005A6DD8">
          <w:rPr>
            <w:noProof/>
            <w:webHidden/>
          </w:rPr>
          <w:t>150</w:t>
        </w:r>
        <w:r w:rsidR="00EF6538">
          <w:rPr>
            <w:noProof/>
            <w:webHidden/>
          </w:rPr>
          <w:fldChar w:fldCharType="end"/>
        </w:r>
      </w:hyperlink>
    </w:p>
    <w:p w14:paraId="3FAACC2C" w14:textId="4293A75C" w:rsidR="00EF6538" w:rsidRDefault="00000000">
      <w:pPr>
        <w:pStyle w:val="TableofFigures"/>
        <w:tabs>
          <w:tab w:val="right" w:leader="dot" w:pos="9436"/>
        </w:tabs>
        <w:rPr>
          <w:rFonts w:eastAsiaTheme="minorEastAsia" w:cstheme="minorBidi"/>
          <w:noProof/>
          <w:lang w:val="en-US"/>
        </w:rPr>
      </w:pPr>
      <w:hyperlink w:anchor="_Toc127198048" w:history="1">
        <w:r w:rsidR="00EF6538" w:rsidRPr="006519A3">
          <w:rPr>
            <w:rStyle w:val="Hyperlink"/>
            <w:noProof/>
          </w:rPr>
          <w:t>Figura 60 Evoluția pib (pps)/locuitor în perioada 2014-2019</w:t>
        </w:r>
        <w:r w:rsidR="00EF6538">
          <w:rPr>
            <w:noProof/>
            <w:webHidden/>
          </w:rPr>
          <w:tab/>
        </w:r>
        <w:r w:rsidR="00EF6538">
          <w:rPr>
            <w:noProof/>
            <w:webHidden/>
          </w:rPr>
          <w:fldChar w:fldCharType="begin"/>
        </w:r>
        <w:r w:rsidR="00EF6538">
          <w:rPr>
            <w:noProof/>
            <w:webHidden/>
          </w:rPr>
          <w:instrText xml:space="preserve"> PAGEREF _Toc127198048 \h </w:instrText>
        </w:r>
        <w:r w:rsidR="00EF6538">
          <w:rPr>
            <w:noProof/>
            <w:webHidden/>
          </w:rPr>
        </w:r>
        <w:r w:rsidR="00EF6538">
          <w:rPr>
            <w:noProof/>
            <w:webHidden/>
          </w:rPr>
          <w:fldChar w:fldCharType="separate"/>
        </w:r>
        <w:r w:rsidR="005A6DD8">
          <w:rPr>
            <w:noProof/>
            <w:webHidden/>
          </w:rPr>
          <w:t>152</w:t>
        </w:r>
        <w:r w:rsidR="00EF6538">
          <w:rPr>
            <w:noProof/>
            <w:webHidden/>
          </w:rPr>
          <w:fldChar w:fldCharType="end"/>
        </w:r>
      </w:hyperlink>
    </w:p>
    <w:p w14:paraId="1667929F" w14:textId="479CC41E" w:rsidR="00EF6538" w:rsidRDefault="00000000">
      <w:pPr>
        <w:pStyle w:val="TableofFigures"/>
        <w:tabs>
          <w:tab w:val="right" w:leader="dot" w:pos="9436"/>
        </w:tabs>
        <w:rPr>
          <w:rFonts w:eastAsiaTheme="minorEastAsia" w:cstheme="minorBidi"/>
          <w:noProof/>
          <w:lang w:val="en-US"/>
        </w:rPr>
      </w:pPr>
      <w:hyperlink w:anchor="_Toc127198049" w:history="1">
        <w:r w:rsidR="00EF6538" w:rsidRPr="006519A3">
          <w:rPr>
            <w:rStyle w:val="Hyperlink"/>
            <w:noProof/>
          </w:rPr>
          <w:t>Figura 61 Structura VAB în municipiul bucurești pe sectoare ale economiei naționale, în anul 2019</w:t>
        </w:r>
        <w:r w:rsidR="00EF6538">
          <w:rPr>
            <w:noProof/>
            <w:webHidden/>
          </w:rPr>
          <w:tab/>
        </w:r>
        <w:r w:rsidR="00EF6538">
          <w:rPr>
            <w:noProof/>
            <w:webHidden/>
          </w:rPr>
          <w:fldChar w:fldCharType="begin"/>
        </w:r>
        <w:r w:rsidR="00EF6538">
          <w:rPr>
            <w:noProof/>
            <w:webHidden/>
          </w:rPr>
          <w:instrText xml:space="preserve"> PAGEREF _Toc127198049 \h </w:instrText>
        </w:r>
        <w:r w:rsidR="00EF6538">
          <w:rPr>
            <w:noProof/>
            <w:webHidden/>
          </w:rPr>
        </w:r>
        <w:r w:rsidR="00EF6538">
          <w:rPr>
            <w:noProof/>
            <w:webHidden/>
          </w:rPr>
          <w:fldChar w:fldCharType="separate"/>
        </w:r>
        <w:r w:rsidR="005A6DD8">
          <w:rPr>
            <w:noProof/>
            <w:webHidden/>
          </w:rPr>
          <w:t>153</w:t>
        </w:r>
        <w:r w:rsidR="00EF6538">
          <w:rPr>
            <w:noProof/>
            <w:webHidden/>
          </w:rPr>
          <w:fldChar w:fldCharType="end"/>
        </w:r>
      </w:hyperlink>
    </w:p>
    <w:p w14:paraId="1E70A10D" w14:textId="36783E86" w:rsidR="00EF6538" w:rsidRDefault="00000000">
      <w:pPr>
        <w:pStyle w:val="TableofFigures"/>
        <w:tabs>
          <w:tab w:val="right" w:leader="dot" w:pos="9436"/>
        </w:tabs>
        <w:rPr>
          <w:rFonts w:eastAsiaTheme="minorEastAsia" w:cstheme="minorBidi"/>
          <w:noProof/>
          <w:lang w:val="en-US"/>
        </w:rPr>
      </w:pPr>
      <w:hyperlink w:anchor="_Toc127198050" w:history="1">
        <w:r w:rsidR="00EF6538" w:rsidRPr="006519A3">
          <w:rPr>
            <w:rStyle w:val="Hyperlink"/>
            <w:noProof/>
          </w:rPr>
          <w:t>Figura 62 Evoluția VAB la nivelul municipiului bucurești și a celor mai dezvoltate județe din țară (TOP 7), în perioada 2014-2019</w:t>
        </w:r>
        <w:r w:rsidR="00EF6538">
          <w:rPr>
            <w:noProof/>
            <w:webHidden/>
          </w:rPr>
          <w:tab/>
        </w:r>
        <w:r w:rsidR="00EF6538">
          <w:rPr>
            <w:noProof/>
            <w:webHidden/>
          </w:rPr>
          <w:fldChar w:fldCharType="begin"/>
        </w:r>
        <w:r w:rsidR="00EF6538">
          <w:rPr>
            <w:noProof/>
            <w:webHidden/>
          </w:rPr>
          <w:instrText xml:space="preserve"> PAGEREF _Toc127198050 \h </w:instrText>
        </w:r>
        <w:r w:rsidR="00EF6538">
          <w:rPr>
            <w:noProof/>
            <w:webHidden/>
          </w:rPr>
        </w:r>
        <w:r w:rsidR="00EF6538">
          <w:rPr>
            <w:noProof/>
            <w:webHidden/>
          </w:rPr>
          <w:fldChar w:fldCharType="separate"/>
        </w:r>
        <w:r w:rsidR="005A6DD8">
          <w:rPr>
            <w:noProof/>
            <w:webHidden/>
          </w:rPr>
          <w:t>154</w:t>
        </w:r>
        <w:r w:rsidR="00EF6538">
          <w:rPr>
            <w:noProof/>
            <w:webHidden/>
          </w:rPr>
          <w:fldChar w:fldCharType="end"/>
        </w:r>
      </w:hyperlink>
    </w:p>
    <w:p w14:paraId="61DF278B" w14:textId="22A30622" w:rsidR="00EF6538" w:rsidRDefault="00000000">
      <w:pPr>
        <w:pStyle w:val="TableofFigures"/>
        <w:tabs>
          <w:tab w:val="right" w:leader="dot" w:pos="9436"/>
        </w:tabs>
        <w:rPr>
          <w:rFonts w:eastAsiaTheme="minorEastAsia" w:cstheme="minorBidi"/>
          <w:noProof/>
          <w:lang w:val="en-US"/>
        </w:rPr>
      </w:pPr>
      <w:hyperlink w:anchor="_Toc127198051" w:history="1">
        <w:r w:rsidR="00EF6538" w:rsidRPr="006519A3">
          <w:rPr>
            <w:rStyle w:val="Hyperlink"/>
            <w:noProof/>
          </w:rPr>
          <w:t>Figura 63 Evoluția principalilor indicatori economici în perioada 2014-2020, în sectorul 2</w:t>
        </w:r>
        <w:r w:rsidR="00EF6538">
          <w:rPr>
            <w:noProof/>
            <w:webHidden/>
          </w:rPr>
          <w:tab/>
        </w:r>
        <w:r w:rsidR="00EF6538">
          <w:rPr>
            <w:noProof/>
            <w:webHidden/>
          </w:rPr>
          <w:fldChar w:fldCharType="begin"/>
        </w:r>
        <w:r w:rsidR="00EF6538">
          <w:rPr>
            <w:noProof/>
            <w:webHidden/>
          </w:rPr>
          <w:instrText xml:space="preserve"> PAGEREF _Toc127198051 \h </w:instrText>
        </w:r>
        <w:r w:rsidR="00EF6538">
          <w:rPr>
            <w:noProof/>
            <w:webHidden/>
          </w:rPr>
        </w:r>
        <w:r w:rsidR="00EF6538">
          <w:rPr>
            <w:noProof/>
            <w:webHidden/>
          </w:rPr>
          <w:fldChar w:fldCharType="separate"/>
        </w:r>
        <w:r w:rsidR="005A6DD8">
          <w:rPr>
            <w:noProof/>
            <w:webHidden/>
          </w:rPr>
          <w:t>155</w:t>
        </w:r>
        <w:r w:rsidR="00EF6538">
          <w:rPr>
            <w:noProof/>
            <w:webHidden/>
          </w:rPr>
          <w:fldChar w:fldCharType="end"/>
        </w:r>
      </w:hyperlink>
    </w:p>
    <w:p w14:paraId="48FCE5B3" w14:textId="1E32B4AB" w:rsidR="00EF6538" w:rsidRDefault="00000000">
      <w:pPr>
        <w:pStyle w:val="TableofFigures"/>
        <w:tabs>
          <w:tab w:val="right" w:leader="dot" w:pos="9436"/>
        </w:tabs>
        <w:rPr>
          <w:rFonts w:eastAsiaTheme="minorEastAsia" w:cstheme="minorBidi"/>
          <w:noProof/>
          <w:lang w:val="en-US"/>
        </w:rPr>
      </w:pPr>
      <w:hyperlink w:anchor="_Toc127198052" w:history="1">
        <w:r w:rsidR="00EF6538" w:rsidRPr="006519A3">
          <w:rPr>
            <w:rStyle w:val="Hyperlink"/>
            <w:noProof/>
          </w:rPr>
          <w:t>Figura 64 Ponderea numărului de întreprinderi active din sectoarele Capitalei, în numărul total de întreprinderi active din municipiul București, în anii 2014 și 2020</w:t>
        </w:r>
        <w:r w:rsidR="00EF6538">
          <w:rPr>
            <w:noProof/>
            <w:webHidden/>
          </w:rPr>
          <w:tab/>
        </w:r>
        <w:r w:rsidR="00EF6538">
          <w:rPr>
            <w:noProof/>
            <w:webHidden/>
          </w:rPr>
          <w:fldChar w:fldCharType="begin"/>
        </w:r>
        <w:r w:rsidR="00EF6538">
          <w:rPr>
            <w:noProof/>
            <w:webHidden/>
          </w:rPr>
          <w:instrText xml:space="preserve"> PAGEREF _Toc127198052 \h </w:instrText>
        </w:r>
        <w:r w:rsidR="00EF6538">
          <w:rPr>
            <w:noProof/>
            <w:webHidden/>
          </w:rPr>
        </w:r>
        <w:r w:rsidR="00EF6538">
          <w:rPr>
            <w:noProof/>
            <w:webHidden/>
          </w:rPr>
          <w:fldChar w:fldCharType="separate"/>
        </w:r>
        <w:r w:rsidR="005A6DD8">
          <w:rPr>
            <w:noProof/>
            <w:webHidden/>
          </w:rPr>
          <w:t>155</w:t>
        </w:r>
        <w:r w:rsidR="00EF6538">
          <w:rPr>
            <w:noProof/>
            <w:webHidden/>
          </w:rPr>
          <w:fldChar w:fldCharType="end"/>
        </w:r>
      </w:hyperlink>
    </w:p>
    <w:p w14:paraId="2904D494" w14:textId="1E1180D6" w:rsidR="00EF6538" w:rsidRDefault="00000000">
      <w:pPr>
        <w:pStyle w:val="TableofFigures"/>
        <w:tabs>
          <w:tab w:val="right" w:leader="dot" w:pos="9436"/>
        </w:tabs>
        <w:rPr>
          <w:rFonts w:eastAsiaTheme="minorEastAsia" w:cstheme="minorBidi"/>
          <w:noProof/>
          <w:lang w:val="en-US"/>
        </w:rPr>
      </w:pPr>
      <w:hyperlink w:anchor="_Toc127198053" w:history="1">
        <w:r w:rsidR="00EF6538" w:rsidRPr="006519A3">
          <w:rPr>
            <w:rStyle w:val="Hyperlink"/>
            <w:noProof/>
          </w:rPr>
          <w:t>Figura 65 Densitatea întreprinderilor (întreprinderi / 1000 locuitori) în perioada 2014-2020, în sectoarele municipiului București</w:t>
        </w:r>
        <w:r w:rsidR="00EF6538">
          <w:rPr>
            <w:noProof/>
            <w:webHidden/>
          </w:rPr>
          <w:tab/>
        </w:r>
        <w:r w:rsidR="00EF6538">
          <w:rPr>
            <w:noProof/>
            <w:webHidden/>
          </w:rPr>
          <w:fldChar w:fldCharType="begin"/>
        </w:r>
        <w:r w:rsidR="00EF6538">
          <w:rPr>
            <w:noProof/>
            <w:webHidden/>
          </w:rPr>
          <w:instrText xml:space="preserve"> PAGEREF _Toc127198053 \h </w:instrText>
        </w:r>
        <w:r w:rsidR="00EF6538">
          <w:rPr>
            <w:noProof/>
            <w:webHidden/>
          </w:rPr>
        </w:r>
        <w:r w:rsidR="00EF6538">
          <w:rPr>
            <w:noProof/>
            <w:webHidden/>
          </w:rPr>
          <w:fldChar w:fldCharType="separate"/>
        </w:r>
        <w:r w:rsidR="005A6DD8">
          <w:rPr>
            <w:noProof/>
            <w:webHidden/>
          </w:rPr>
          <w:t>156</w:t>
        </w:r>
        <w:r w:rsidR="00EF6538">
          <w:rPr>
            <w:noProof/>
            <w:webHidden/>
          </w:rPr>
          <w:fldChar w:fldCharType="end"/>
        </w:r>
      </w:hyperlink>
    </w:p>
    <w:p w14:paraId="395BEF5B" w14:textId="2883739E" w:rsidR="00EF6538" w:rsidRDefault="00000000">
      <w:pPr>
        <w:pStyle w:val="TableofFigures"/>
        <w:tabs>
          <w:tab w:val="right" w:leader="dot" w:pos="9436"/>
        </w:tabs>
        <w:rPr>
          <w:rFonts w:eastAsiaTheme="minorEastAsia" w:cstheme="minorBidi"/>
          <w:noProof/>
          <w:lang w:val="en-US"/>
        </w:rPr>
      </w:pPr>
      <w:hyperlink w:anchor="_Toc127198054" w:history="1">
        <w:r w:rsidR="00EF6538" w:rsidRPr="006519A3">
          <w:rPr>
            <w:rStyle w:val="Hyperlink"/>
            <w:noProof/>
          </w:rPr>
          <w:t>Figura 66 Distribuția întreprinderilor active pe clase de mărime, 2014 (stânga) și 2019 (dreapta)</w:t>
        </w:r>
        <w:r w:rsidR="00EF6538">
          <w:rPr>
            <w:noProof/>
            <w:webHidden/>
          </w:rPr>
          <w:tab/>
        </w:r>
        <w:r w:rsidR="00EF6538">
          <w:rPr>
            <w:noProof/>
            <w:webHidden/>
          </w:rPr>
          <w:fldChar w:fldCharType="begin"/>
        </w:r>
        <w:r w:rsidR="00EF6538">
          <w:rPr>
            <w:noProof/>
            <w:webHidden/>
          </w:rPr>
          <w:instrText xml:space="preserve"> PAGEREF _Toc127198054 \h </w:instrText>
        </w:r>
        <w:r w:rsidR="00EF6538">
          <w:rPr>
            <w:noProof/>
            <w:webHidden/>
          </w:rPr>
        </w:r>
        <w:r w:rsidR="00EF6538">
          <w:rPr>
            <w:noProof/>
            <w:webHidden/>
          </w:rPr>
          <w:fldChar w:fldCharType="separate"/>
        </w:r>
        <w:r w:rsidR="005A6DD8">
          <w:rPr>
            <w:noProof/>
            <w:webHidden/>
          </w:rPr>
          <w:t>156</w:t>
        </w:r>
        <w:r w:rsidR="00EF6538">
          <w:rPr>
            <w:noProof/>
            <w:webHidden/>
          </w:rPr>
          <w:fldChar w:fldCharType="end"/>
        </w:r>
      </w:hyperlink>
    </w:p>
    <w:p w14:paraId="16FA5BBD" w14:textId="0AC9541D" w:rsidR="00EF6538" w:rsidRDefault="00000000">
      <w:pPr>
        <w:pStyle w:val="TableofFigures"/>
        <w:tabs>
          <w:tab w:val="right" w:leader="dot" w:pos="9436"/>
        </w:tabs>
        <w:rPr>
          <w:rFonts w:eastAsiaTheme="minorEastAsia" w:cstheme="minorBidi"/>
          <w:noProof/>
          <w:lang w:val="en-US"/>
        </w:rPr>
      </w:pPr>
      <w:hyperlink w:anchor="_Toc127198055" w:history="1">
        <w:r w:rsidR="00EF6538" w:rsidRPr="006519A3">
          <w:rPr>
            <w:rStyle w:val="Hyperlink"/>
            <w:noProof/>
          </w:rPr>
          <w:t>Figura 67 Numărul de firme noi înființate și de firme închise, în perioada 2014-2019, în sectorul 2</w:t>
        </w:r>
        <w:r w:rsidR="00EF6538">
          <w:rPr>
            <w:noProof/>
            <w:webHidden/>
          </w:rPr>
          <w:tab/>
        </w:r>
        <w:r w:rsidR="00EF6538">
          <w:rPr>
            <w:noProof/>
            <w:webHidden/>
          </w:rPr>
          <w:fldChar w:fldCharType="begin"/>
        </w:r>
        <w:r w:rsidR="00EF6538">
          <w:rPr>
            <w:noProof/>
            <w:webHidden/>
          </w:rPr>
          <w:instrText xml:space="preserve"> PAGEREF _Toc127198055 \h </w:instrText>
        </w:r>
        <w:r w:rsidR="00EF6538">
          <w:rPr>
            <w:noProof/>
            <w:webHidden/>
          </w:rPr>
        </w:r>
        <w:r w:rsidR="00EF6538">
          <w:rPr>
            <w:noProof/>
            <w:webHidden/>
          </w:rPr>
          <w:fldChar w:fldCharType="separate"/>
        </w:r>
        <w:r w:rsidR="005A6DD8">
          <w:rPr>
            <w:noProof/>
            <w:webHidden/>
          </w:rPr>
          <w:t>158</w:t>
        </w:r>
        <w:r w:rsidR="00EF6538">
          <w:rPr>
            <w:noProof/>
            <w:webHidden/>
          </w:rPr>
          <w:fldChar w:fldCharType="end"/>
        </w:r>
      </w:hyperlink>
    </w:p>
    <w:p w14:paraId="1D9E27CC" w14:textId="3E545DD1" w:rsidR="00EF6538" w:rsidRDefault="00000000">
      <w:pPr>
        <w:pStyle w:val="TableofFigures"/>
        <w:tabs>
          <w:tab w:val="right" w:leader="dot" w:pos="9436"/>
        </w:tabs>
        <w:rPr>
          <w:rFonts w:eastAsiaTheme="minorEastAsia" w:cstheme="minorBidi"/>
          <w:noProof/>
          <w:lang w:val="en-US"/>
        </w:rPr>
      </w:pPr>
      <w:hyperlink w:anchor="_Toc127198056" w:history="1">
        <w:r w:rsidR="00EF6538" w:rsidRPr="006519A3">
          <w:rPr>
            <w:rStyle w:val="Hyperlink"/>
            <w:noProof/>
          </w:rPr>
          <w:t>Figura 68 Ponderea sectoarelor din municipiul București, în Cifra de afaceri totală generată de întreprinderile active, în anul 2020</w:t>
        </w:r>
        <w:r w:rsidR="00EF6538">
          <w:rPr>
            <w:noProof/>
            <w:webHidden/>
          </w:rPr>
          <w:tab/>
        </w:r>
        <w:r w:rsidR="00EF6538">
          <w:rPr>
            <w:noProof/>
            <w:webHidden/>
          </w:rPr>
          <w:fldChar w:fldCharType="begin"/>
        </w:r>
        <w:r w:rsidR="00EF6538">
          <w:rPr>
            <w:noProof/>
            <w:webHidden/>
          </w:rPr>
          <w:instrText xml:space="preserve"> PAGEREF _Toc127198056 \h </w:instrText>
        </w:r>
        <w:r w:rsidR="00EF6538">
          <w:rPr>
            <w:noProof/>
            <w:webHidden/>
          </w:rPr>
        </w:r>
        <w:r w:rsidR="00EF6538">
          <w:rPr>
            <w:noProof/>
            <w:webHidden/>
          </w:rPr>
          <w:fldChar w:fldCharType="separate"/>
        </w:r>
        <w:r w:rsidR="005A6DD8">
          <w:rPr>
            <w:noProof/>
            <w:webHidden/>
          </w:rPr>
          <w:t>159</w:t>
        </w:r>
        <w:r w:rsidR="00EF6538">
          <w:rPr>
            <w:noProof/>
            <w:webHidden/>
          </w:rPr>
          <w:fldChar w:fldCharType="end"/>
        </w:r>
      </w:hyperlink>
    </w:p>
    <w:p w14:paraId="5769712F" w14:textId="21A97578" w:rsidR="00EF6538" w:rsidRDefault="00000000">
      <w:pPr>
        <w:pStyle w:val="TableofFigures"/>
        <w:tabs>
          <w:tab w:val="right" w:leader="dot" w:pos="9436"/>
        </w:tabs>
        <w:rPr>
          <w:rFonts w:eastAsiaTheme="minorEastAsia" w:cstheme="minorBidi"/>
          <w:noProof/>
          <w:lang w:val="en-US"/>
        </w:rPr>
      </w:pPr>
      <w:hyperlink w:anchor="_Toc127198057" w:history="1">
        <w:r w:rsidR="00EF6538" w:rsidRPr="006519A3">
          <w:rPr>
            <w:rStyle w:val="Hyperlink"/>
            <w:noProof/>
          </w:rPr>
          <w:t>Figura 69 Distribuția cifrei de afaceri din întreprinderile active pe clase de mărime, 2014 (stânga) și 2019 (dreapta)</w:t>
        </w:r>
        <w:r w:rsidR="00EF6538">
          <w:rPr>
            <w:noProof/>
            <w:webHidden/>
          </w:rPr>
          <w:tab/>
        </w:r>
        <w:r w:rsidR="00EF6538">
          <w:rPr>
            <w:noProof/>
            <w:webHidden/>
          </w:rPr>
          <w:fldChar w:fldCharType="begin"/>
        </w:r>
        <w:r w:rsidR="00EF6538">
          <w:rPr>
            <w:noProof/>
            <w:webHidden/>
          </w:rPr>
          <w:instrText xml:space="preserve"> PAGEREF _Toc127198057 \h </w:instrText>
        </w:r>
        <w:r w:rsidR="00EF6538">
          <w:rPr>
            <w:noProof/>
            <w:webHidden/>
          </w:rPr>
        </w:r>
        <w:r w:rsidR="00EF6538">
          <w:rPr>
            <w:noProof/>
            <w:webHidden/>
          </w:rPr>
          <w:fldChar w:fldCharType="separate"/>
        </w:r>
        <w:r w:rsidR="005A6DD8">
          <w:rPr>
            <w:noProof/>
            <w:webHidden/>
          </w:rPr>
          <w:t>159</w:t>
        </w:r>
        <w:r w:rsidR="00EF6538">
          <w:rPr>
            <w:noProof/>
            <w:webHidden/>
          </w:rPr>
          <w:fldChar w:fldCharType="end"/>
        </w:r>
      </w:hyperlink>
    </w:p>
    <w:p w14:paraId="0327FB22" w14:textId="57F33054" w:rsidR="00EF6538" w:rsidRDefault="00000000">
      <w:pPr>
        <w:pStyle w:val="TableofFigures"/>
        <w:tabs>
          <w:tab w:val="right" w:leader="dot" w:pos="9436"/>
        </w:tabs>
        <w:rPr>
          <w:rFonts w:eastAsiaTheme="minorEastAsia" w:cstheme="minorBidi"/>
          <w:noProof/>
          <w:lang w:val="en-US"/>
        </w:rPr>
      </w:pPr>
      <w:hyperlink w:anchor="_Toc127198058" w:history="1">
        <w:r w:rsidR="00EF6538" w:rsidRPr="006519A3">
          <w:rPr>
            <w:rStyle w:val="Hyperlink"/>
            <w:noProof/>
          </w:rPr>
          <w:t>Figura 70 Numărul mediu de salariați din întreprinderile active din Sectorul 2, în perioada 2014-2020</w:t>
        </w:r>
        <w:r w:rsidR="00EF6538">
          <w:rPr>
            <w:noProof/>
            <w:webHidden/>
          </w:rPr>
          <w:tab/>
        </w:r>
        <w:r w:rsidR="00EF6538">
          <w:rPr>
            <w:noProof/>
            <w:webHidden/>
          </w:rPr>
          <w:fldChar w:fldCharType="begin"/>
        </w:r>
        <w:r w:rsidR="00EF6538">
          <w:rPr>
            <w:noProof/>
            <w:webHidden/>
          </w:rPr>
          <w:instrText xml:space="preserve"> PAGEREF _Toc127198058 \h </w:instrText>
        </w:r>
        <w:r w:rsidR="00EF6538">
          <w:rPr>
            <w:noProof/>
            <w:webHidden/>
          </w:rPr>
        </w:r>
        <w:r w:rsidR="00EF6538">
          <w:rPr>
            <w:noProof/>
            <w:webHidden/>
          </w:rPr>
          <w:fldChar w:fldCharType="separate"/>
        </w:r>
        <w:r w:rsidR="005A6DD8">
          <w:rPr>
            <w:noProof/>
            <w:webHidden/>
          </w:rPr>
          <w:t>161</w:t>
        </w:r>
        <w:r w:rsidR="00EF6538">
          <w:rPr>
            <w:noProof/>
            <w:webHidden/>
          </w:rPr>
          <w:fldChar w:fldCharType="end"/>
        </w:r>
      </w:hyperlink>
    </w:p>
    <w:p w14:paraId="2FD9FFC6" w14:textId="26BFA209" w:rsidR="00EF6538" w:rsidRDefault="00000000">
      <w:pPr>
        <w:pStyle w:val="TableofFigures"/>
        <w:tabs>
          <w:tab w:val="right" w:leader="dot" w:pos="9436"/>
        </w:tabs>
        <w:rPr>
          <w:rFonts w:eastAsiaTheme="minorEastAsia" w:cstheme="minorBidi"/>
          <w:noProof/>
          <w:lang w:val="en-US"/>
        </w:rPr>
      </w:pPr>
      <w:hyperlink w:anchor="_Toc127198059" w:history="1">
        <w:r w:rsidR="00EF6538" w:rsidRPr="006519A3">
          <w:rPr>
            <w:rStyle w:val="Hyperlink"/>
            <w:noProof/>
          </w:rPr>
          <w:t>Figura 71 Distribuția numărului mediu de salariați din întreprinderile active pe clase de mărime, 2014 (stânga) și 2019 (dreapta)</w:t>
        </w:r>
        <w:r w:rsidR="00EF6538">
          <w:rPr>
            <w:noProof/>
            <w:webHidden/>
          </w:rPr>
          <w:tab/>
        </w:r>
        <w:r w:rsidR="00EF6538">
          <w:rPr>
            <w:noProof/>
            <w:webHidden/>
          </w:rPr>
          <w:fldChar w:fldCharType="begin"/>
        </w:r>
        <w:r w:rsidR="00EF6538">
          <w:rPr>
            <w:noProof/>
            <w:webHidden/>
          </w:rPr>
          <w:instrText xml:space="preserve"> PAGEREF _Toc127198059 \h </w:instrText>
        </w:r>
        <w:r w:rsidR="00EF6538">
          <w:rPr>
            <w:noProof/>
            <w:webHidden/>
          </w:rPr>
        </w:r>
        <w:r w:rsidR="00EF6538">
          <w:rPr>
            <w:noProof/>
            <w:webHidden/>
          </w:rPr>
          <w:fldChar w:fldCharType="separate"/>
        </w:r>
        <w:r w:rsidR="005A6DD8">
          <w:rPr>
            <w:noProof/>
            <w:webHidden/>
          </w:rPr>
          <w:t>162</w:t>
        </w:r>
        <w:r w:rsidR="00EF6538">
          <w:rPr>
            <w:noProof/>
            <w:webHidden/>
          </w:rPr>
          <w:fldChar w:fldCharType="end"/>
        </w:r>
      </w:hyperlink>
    </w:p>
    <w:p w14:paraId="59362027" w14:textId="4F2984DC" w:rsidR="00EF6538" w:rsidRDefault="00000000">
      <w:pPr>
        <w:pStyle w:val="TableofFigures"/>
        <w:tabs>
          <w:tab w:val="right" w:leader="dot" w:pos="9436"/>
        </w:tabs>
        <w:rPr>
          <w:rFonts w:eastAsiaTheme="minorEastAsia" w:cstheme="minorBidi"/>
          <w:noProof/>
          <w:lang w:val="en-US"/>
        </w:rPr>
      </w:pPr>
      <w:hyperlink w:anchor="_Toc127198060" w:history="1">
        <w:r w:rsidR="00EF6538" w:rsidRPr="006519A3">
          <w:rPr>
            <w:rStyle w:val="Hyperlink"/>
            <w:noProof/>
          </w:rPr>
          <w:t>Figura 72 Numărul șomerilor înregistrați în perioada 2014-2021 în municipiul București</w:t>
        </w:r>
        <w:r w:rsidR="00EF6538">
          <w:rPr>
            <w:noProof/>
            <w:webHidden/>
          </w:rPr>
          <w:tab/>
        </w:r>
        <w:r w:rsidR="00EF6538">
          <w:rPr>
            <w:noProof/>
            <w:webHidden/>
          </w:rPr>
          <w:fldChar w:fldCharType="begin"/>
        </w:r>
        <w:r w:rsidR="00EF6538">
          <w:rPr>
            <w:noProof/>
            <w:webHidden/>
          </w:rPr>
          <w:instrText xml:space="preserve"> PAGEREF _Toc127198060 \h </w:instrText>
        </w:r>
        <w:r w:rsidR="00EF6538">
          <w:rPr>
            <w:noProof/>
            <w:webHidden/>
          </w:rPr>
        </w:r>
        <w:r w:rsidR="00EF6538">
          <w:rPr>
            <w:noProof/>
            <w:webHidden/>
          </w:rPr>
          <w:fldChar w:fldCharType="separate"/>
        </w:r>
        <w:r w:rsidR="005A6DD8">
          <w:rPr>
            <w:noProof/>
            <w:webHidden/>
          </w:rPr>
          <w:t>163</w:t>
        </w:r>
        <w:r w:rsidR="00EF6538">
          <w:rPr>
            <w:noProof/>
            <w:webHidden/>
          </w:rPr>
          <w:fldChar w:fldCharType="end"/>
        </w:r>
      </w:hyperlink>
    </w:p>
    <w:p w14:paraId="0C7C651E" w14:textId="159BF094" w:rsidR="00EF6538" w:rsidRDefault="00000000">
      <w:pPr>
        <w:pStyle w:val="TableofFigures"/>
        <w:tabs>
          <w:tab w:val="right" w:leader="dot" w:pos="9436"/>
        </w:tabs>
        <w:rPr>
          <w:rFonts w:eastAsiaTheme="minorEastAsia" w:cstheme="minorBidi"/>
          <w:noProof/>
          <w:lang w:val="en-US"/>
        </w:rPr>
      </w:pPr>
      <w:hyperlink w:anchor="_Toc127198061" w:history="1">
        <w:r w:rsidR="00EF6538" w:rsidRPr="006519A3">
          <w:rPr>
            <w:rStyle w:val="Hyperlink"/>
            <w:noProof/>
          </w:rPr>
          <w:t>Figura 73 Rata șomajului la nivelul municipiului București și a țării, în perioada 2014-2021</w:t>
        </w:r>
        <w:r w:rsidR="00EF6538">
          <w:rPr>
            <w:noProof/>
            <w:webHidden/>
          </w:rPr>
          <w:tab/>
        </w:r>
        <w:r w:rsidR="00EF6538">
          <w:rPr>
            <w:noProof/>
            <w:webHidden/>
          </w:rPr>
          <w:fldChar w:fldCharType="begin"/>
        </w:r>
        <w:r w:rsidR="00EF6538">
          <w:rPr>
            <w:noProof/>
            <w:webHidden/>
          </w:rPr>
          <w:instrText xml:space="preserve"> PAGEREF _Toc127198061 \h </w:instrText>
        </w:r>
        <w:r w:rsidR="00EF6538">
          <w:rPr>
            <w:noProof/>
            <w:webHidden/>
          </w:rPr>
        </w:r>
        <w:r w:rsidR="00EF6538">
          <w:rPr>
            <w:noProof/>
            <w:webHidden/>
          </w:rPr>
          <w:fldChar w:fldCharType="separate"/>
        </w:r>
        <w:r w:rsidR="005A6DD8">
          <w:rPr>
            <w:noProof/>
            <w:webHidden/>
          </w:rPr>
          <w:t>163</w:t>
        </w:r>
        <w:r w:rsidR="00EF6538">
          <w:rPr>
            <w:noProof/>
            <w:webHidden/>
          </w:rPr>
          <w:fldChar w:fldCharType="end"/>
        </w:r>
      </w:hyperlink>
    </w:p>
    <w:p w14:paraId="1B3FE76C" w14:textId="4DA473BA" w:rsidR="00EF6538" w:rsidRDefault="00000000">
      <w:pPr>
        <w:pStyle w:val="TableofFigures"/>
        <w:tabs>
          <w:tab w:val="right" w:leader="dot" w:pos="9436"/>
        </w:tabs>
        <w:rPr>
          <w:rFonts w:eastAsiaTheme="minorEastAsia" w:cstheme="minorBidi"/>
          <w:noProof/>
          <w:lang w:val="en-US"/>
        </w:rPr>
      </w:pPr>
      <w:hyperlink w:anchor="_Toc127198062" w:history="1">
        <w:r w:rsidR="00EF6538" w:rsidRPr="006519A3">
          <w:rPr>
            <w:rStyle w:val="Hyperlink"/>
            <w:noProof/>
          </w:rPr>
          <w:t>Figura 74 Salariul mediu lunar net la nivelul capitalei și a județelor care au reședință polii de creștere, în anii 2014 și 2020</w:t>
        </w:r>
        <w:r w:rsidR="00EF6538">
          <w:rPr>
            <w:noProof/>
            <w:webHidden/>
          </w:rPr>
          <w:tab/>
        </w:r>
        <w:r w:rsidR="00EF6538">
          <w:rPr>
            <w:noProof/>
            <w:webHidden/>
          </w:rPr>
          <w:fldChar w:fldCharType="begin"/>
        </w:r>
        <w:r w:rsidR="00EF6538">
          <w:rPr>
            <w:noProof/>
            <w:webHidden/>
          </w:rPr>
          <w:instrText xml:space="preserve"> PAGEREF _Toc127198062 \h </w:instrText>
        </w:r>
        <w:r w:rsidR="00EF6538">
          <w:rPr>
            <w:noProof/>
            <w:webHidden/>
          </w:rPr>
        </w:r>
        <w:r w:rsidR="00EF6538">
          <w:rPr>
            <w:noProof/>
            <w:webHidden/>
          </w:rPr>
          <w:fldChar w:fldCharType="separate"/>
        </w:r>
        <w:r w:rsidR="005A6DD8">
          <w:rPr>
            <w:noProof/>
            <w:webHidden/>
          </w:rPr>
          <w:t>164</w:t>
        </w:r>
        <w:r w:rsidR="00EF6538">
          <w:rPr>
            <w:noProof/>
            <w:webHidden/>
          </w:rPr>
          <w:fldChar w:fldCharType="end"/>
        </w:r>
      </w:hyperlink>
    </w:p>
    <w:p w14:paraId="7D9DE48F" w14:textId="31490379" w:rsidR="00EF6538" w:rsidRDefault="00000000">
      <w:pPr>
        <w:pStyle w:val="TableofFigures"/>
        <w:tabs>
          <w:tab w:val="right" w:leader="dot" w:pos="9436"/>
        </w:tabs>
        <w:rPr>
          <w:rFonts w:eastAsiaTheme="minorEastAsia" w:cstheme="minorBidi"/>
          <w:noProof/>
          <w:lang w:val="en-US"/>
        </w:rPr>
      </w:pPr>
      <w:hyperlink w:anchor="_Toc127198063" w:history="1">
        <w:r w:rsidR="00EF6538" w:rsidRPr="006519A3">
          <w:rPr>
            <w:rStyle w:val="Hyperlink"/>
            <w:noProof/>
          </w:rPr>
          <w:t>Figura 75 Opinia mediului de afaceri din Sectorul 2 cu privire la forța de muncă disponibilă, conform chestionarului aplicat</w:t>
        </w:r>
        <w:r w:rsidR="00EF6538">
          <w:rPr>
            <w:noProof/>
            <w:webHidden/>
          </w:rPr>
          <w:tab/>
        </w:r>
        <w:r w:rsidR="00EF6538">
          <w:rPr>
            <w:noProof/>
            <w:webHidden/>
          </w:rPr>
          <w:fldChar w:fldCharType="begin"/>
        </w:r>
        <w:r w:rsidR="00EF6538">
          <w:rPr>
            <w:noProof/>
            <w:webHidden/>
          </w:rPr>
          <w:instrText xml:space="preserve"> PAGEREF _Toc127198063 \h </w:instrText>
        </w:r>
        <w:r w:rsidR="00EF6538">
          <w:rPr>
            <w:noProof/>
            <w:webHidden/>
          </w:rPr>
        </w:r>
        <w:r w:rsidR="00EF6538">
          <w:rPr>
            <w:noProof/>
            <w:webHidden/>
          </w:rPr>
          <w:fldChar w:fldCharType="separate"/>
        </w:r>
        <w:r w:rsidR="005A6DD8">
          <w:rPr>
            <w:noProof/>
            <w:webHidden/>
          </w:rPr>
          <w:t>166</w:t>
        </w:r>
        <w:r w:rsidR="00EF6538">
          <w:rPr>
            <w:noProof/>
            <w:webHidden/>
          </w:rPr>
          <w:fldChar w:fldCharType="end"/>
        </w:r>
      </w:hyperlink>
    </w:p>
    <w:p w14:paraId="2D564959" w14:textId="61BDD5DF" w:rsidR="00EF6538" w:rsidRDefault="00000000">
      <w:pPr>
        <w:pStyle w:val="TableofFigures"/>
        <w:tabs>
          <w:tab w:val="right" w:leader="dot" w:pos="9436"/>
        </w:tabs>
        <w:rPr>
          <w:rFonts w:eastAsiaTheme="minorEastAsia" w:cstheme="minorBidi"/>
          <w:noProof/>
          <w:lang w:val="en-US"/>
        </w:rPr>
      </w:pPr>
      <w:hyperlink w:anchor="_Toc127198064" w:history="1">
        <w:r w:rsidR="00EF6538" w:rsidRPr="006519A3">
          <w:rPr>
            <w:rStyle w:val="Hyperlink"/>
            <w:noProof/>
          </w:rPr>
          <w:t>Figura 76 Ponderea ramurilor economice în totalul cifrei de afaceri din sectorul 2, în anul 2020</w:t>
        </w:r>
        <w:r w:rsidR="00EF6538">
          <w:rPr>
            <w:noProof/>
            <w:webHidden/>
          </w:rPr>
          <w:tab/>
        </w:r>
        <w:r w:rsidR="00EF6538">
          <w:rPr>
            <w:noProof/>
            <w:webHidden/>
          </w:rPr>
          <w:fldChar w:fldCharType="begin"/>
        </w:r>
        <w:r w:rsidR="00EF6538">
          <w:rPr>
            <w:noProof/>
            <w:webHidden/>
          </w:rPr>
          <w:instrText xml:space="preserve"> PAGEREF _Toc127198064 \h </w:instrText>
        </w:r>
        <w:r w:rsidR="00EF6538">
          <w:rPr>
            <w:noProof/>
            <w:webHidden/>
          </w:rPr>
        </w:r>
        <w:r w:rsidR="00EF6538">
          <w:rPr>
            <w:noProof/>
            <w:webHidden/>
          </w:rPr>
          <w:fldChar w:fldCharType="separate"/>
        </w:r>
        <w:r w:rsidR="005A6DD8">
          <w:rPr>
            <w:noProof/>
            <w:webHidden/>
          </w:rPr>
          <w:t>167</w:t>
        </w:r>
        <w:r w:rsidR="00EF6538">
          <w:rPr>
            <w:noProof/>
            <w:webHidden/>
          </w:rPr>
          <w:fldChar w:fldCharType="end"/>
        </w:r>
      </w:hyperlink>
    </w:p>
    <w:p w14:paraId="6248977F" w14:textId="2A0ADABB" w:rsidR="00EF6538" w:rsidRDefault="00000000">
      <w:pPr>
        <w:pStyle w:val="TableofFigures"/>
        <w:tabs>
          <w:tab w:val="right" w:leader="dot" w:pos="9436"/>
        </w:tabs>
        <w:rPr>
          <w:rFonts w:eastAsiaTheme="minorEastAsia" w:cstheme="minorBidi"/>
          <w:noProof/>
          <w:lang w:val="en-US"/>
        </w:rPr>
      </w:pPr>
      <w:hyperlink w:anchor="_Toc127198065" w:history="1">
        <w:r w:rsidR="00EF6538" w:rsidRPr="006519A3">
          <w:rPr>
            <w:rStyle w:val="Hyperlink"/>
            <w:noProof/>
          </w:rPr>
          <w:t>Figura 77 Numărul de salariați din întreprinderile active din sectorul 2, pe secțiuni CAEN, la nivelul anului 2020</w:t>
        </w:r>
        <w:r w:rsidR="00EF6538">
          <w:rPr>
            <w:noProof/>
            <w:webHidden/>
          </w:rPr>
          <w:tab/>
        </w:r>
        <w:r w:rsidR="00EF6538">
          <w:rPr>
            <w:noProof/>
            <w:webHidden/>
          </w:rPr>
          <w:fldChar w:fldCharType="begin"/>
        </w:r>
        <w:r w:rsidR="00EF6538">
          <w:rPr>
            <w:noProof/>
            <w:webHidden/>
          </w:rPr>
          <w:instrText xml:space="preserve"> PAGEREF _Toc127198065 \h </w:instrText>
        </w:r>
        <w:r w:rsidR="00EF6538">
          <w:rPr>
            <w:noProof/>
            <w:webHidden/>
          </w:rPr>
        </w:r>
        <w:r w:rsidR="00EF6538">
          <w:rPr>
            <w:noProof/>
            <w:webHidden/>
          </w:rPr>
          <w:fldChar w:fldCharType="separate"/>
        </w:r>
        <w:r w:rsidR="005A6DD8">
          <w:rPr>
            <w:noProof/>
            <w:webHidden/>
          </w:rPr>
          <w:t>169</w:t>
        </w:r>
        <w:r w:rsidR="00EF6538">
          <w:rPr>
            <w:noProof/>
            <w:webHidden/>
          </w:rPr>
          <w:fldChar w:fldCharType="end"/>
        </w:r>
      </w:hyperlink>
    </w:p>
    <w:p w14:paraId="15E8DDDF" w14:textId="305926DE" w:rsidR="00EF6538" w:rsidRDefault="00000000">
      <w:pPr>
        <w:pStyle w:val="TableofFigures"/>
        <w:tabs>
          <w:tab w:val="right" w:leader="dot" w:pos="9436"/>
        </w:tabs>
        <w:rPr>
          <w:rFonts w:eastAsiaTheme="minorEastAsia" w:cstheme="minorBidi"/>
          <w:noProof/>
          <w:lang w:val="en-US"/>
        </w:rPr>
      </w:pPr>
      <w:hyperlink w:anchor="_Toc127198066" w:history="1">
        <w:r w:rsidR="00EF6538" w:rsidRPr="006519A3">
          <w:rPr>
            <w:rStyle w:val="Hyperlink"/>
            <w:noProof/>
          </w:rPr>
          <w:t>Figura 78 Valoarea importurilor (CIF) și Exporturilor (FOB) din municipiul București, în perioada 2015-2021 (mil. eur)</w:t>
        </w:r>
        <w:r w:rsidR="00EF6538">
          <w:rPr>
            <w:noProof/>
            <w:webHidden/>
          </w:rPr>
          <w:tab/>
        </w:r>
        <w:r w:rsidR="00EF6538">
          <w:rPr>
            <w:noProof/>
            <w:webHidden/>
          </w:rPr>
          <w:fldChar w:fldCharType="begin"/>
        </w:r>
        <w:r w:rsidR="00EF6538">
          <w:rPr>
            <w:noProof/>
            <w:webHidden/>
          </w:rPr>
          <w:instrText xml:space="preserve"> PAGEREF _Toc127198066 \h </w:instrText>
        </w:r>
        <w:r w:rsidR="00EF6538">
          <w:rPr>
            <w:noProof/>
            <w:webHidden/>
          </w:rPr>
        </w:r>
        <w:r w:rsidR="00EF6538">
          <w:rPr>
            <w:noProof/>
            <w:webHidden/>
          </w:rPr>
          <w:fldChar w:fldCharType="separate"/>
        </w:r>
        <w:r w:rsidR="005A6DD8">
          <w:rPr>
            <w:noProof/>
            <w:webHidden/>
          </w:rPr>
          <w:t>172</w:t>
        </w:r>
        <w:r w:rsidR="00EF6538">
          <w:rPr>
            <w:noProof/>
            <w:webHidden/>
          </w:rPr>
          <w:fldChar w:fldCharType="end"/>
        </w:r>
      </w:hyperlink>
    </w:p>
    <w:p w14:paraId="21947BB8" w14:textId="74A645FA" w:rsidR="00EF6538" w:rsidRDefault="00000000">
      <w:pPr>
        <w:pStyle w:val="TableofFigures"/>
        <w:tabs>
          <w:tab w:val="right" w:leader="dot" w:pos="9436"/>
        </w:tabs>
        <w:rPr>
          <w:rFonts w:eastAsiaTheme="minorEastAsia" w:cstheme="minorBidi"/>
          <w:noProof/>
          <w:lang w:val="en-US"/>
        </w:rPr>
      </w:pPr>
      <w:hyperlink w:anchor="_Toc127198067" w:history="1">
        <w:r w:rsidR="00EF6538" w:rsidRPr="006519A3">
          <w:rPr>
            <w:rStyle w:val="Hyperlink"/>
            <w:noProof/>
          </w:rPr>
          <w:t>Figura 79 Cheltuieli totale din activitatea de cercetare-dezvoltare – prețuri curente, top național la nivelul municipiului București și al celor mai reprezentative județe (mii lei)</w:t>
        </w:r>
        <w:r w:rsidR="00EF6538">
          <w:rPr>
            <w:noProof/>
            <w:webHidden/>
          </w:rPr>
          <w:tab/>
        </w:r>
        <w:r w:rsidR="00EF6538">
          <w:rPr>
            <w:noProof/>
            <w:webHidden/>
          </w:rPr>
          <w:fldChar w:fldCharType="begin"/>
        </w:r>
        <w:r w:rsidR="00EF6538">
          <w:rPr>
            <w:noProof/>
            <w:webHidden/>
          </w:rPr>
          <w:instrText xml:space="preserve"> PAGEREF _Toc127198067 \h </w:instrText>
        </w:r>
        <w:r w:rsidR="00EF6538">
          <w:rPr>
            <w:noProof/>
            <w:webHidden/>
          </w:rPr>
        </w:r>
        <w:r w:rsidR="00EF6538">
          <w:rPr>
            <w:noProof/>
            <w:webHidden/>
          </w:rPr>
          <w:fldChar w:fldCharType="separate"/>
        </w:r>
        <w:r w:rsidR="005A6DD8">
          <w:rPr>
            <w:noProof/>
            <w:webHidden/>
          </w:rPr>
          <w:t>177</w:t>
        </w:r>
        <w:r w:rsidR="00EF6538">
          <w:rPr>
            <w:noProof/>
            <w:webHidden/>
          </w:rPr>
          <w:fldChar w:fldCharType="end"/>
        </w:r>
      </w:hyperlink>
    </w:p>
    <w:p w14:paraId="585B152A" w14:textId="492606FC" w:rsidR="00EF6538" w:rsidRDefault="00000000">
      <w:pPr>
        <w:pStyle w:val="TableofFigures"/>
        <w:tabs>
          <w:tab w:val="right" w:leader="dot" w:pos="9436"/>
        </w:tabs>
        <w:rPr>
          <w:rFonts w:eastAsiaTheme="minorEastAsia" w:cstheme="minorBidi"/>
          <w:noProof/>
          <w:lang w:val="en-US"/>
        </w:rPr>
      </w:pPr>
      <w:hyperlink w:anchor="_Toc127198068" w:history="1">
        <w:r w:rsidR="00EF6538" w:rsidRPr="006519A3">
          <w:rPr>
            <w:rStyle w:val="Hyperlink"/>
            <w:noProof/>
          </w:rPr>
          <w:t>Figura 80 Ponderea procentului din PIB corespunzător cheltuielilor legate de CDI</w:t>
        </w:r>
        <w:r w:rsidR="00EF6538">
          <w:rPr>
            <w:noProof/>
            <w:webHidden/>
          </w:rPr>
          <w:tab/>
        </w:r>
        <w:r w:rsidR="00EF6538">
          <w:rPr>
            <w:noProof/>
            <w:webHidden/>
          </w:rPr>
          <w:fldChar w:fldCharType="begin"/>
        </w:r>
        <w:r w:rsidR="00EF6538">
          <w:rPr>
            <w:noProof/>
            <w:webHidden/>
          </w:rPr>
          <w:instrText xml:space="preserve"> PAGEREF _Toc127198068 \h </w:instrText>
        </w:r>
        <w:r w:rsidR="00EF6538">
          <w:rPr>
            <w:noProof/>
            <w:webHidden/>
          </w:rPr>
        </w:r>
        <w:r w:rsidR="00EF6538">
          <w:rPr>
            <w:noProof/>
            <w:webHidden/>
          </w:rPr>
          <w:fldChar w:fldCharType="separate"/>
        </w:r>
        <w:r w:rsidR="005A6DD8">
          <w:rPr>
            <w:noProof/>
            <w:webHidden/>
          </w:rPr>
          <w:t>178</w:t>
        </w:r>
        <w:r w:rsidR="00EF6538">
          <w:rPr>
            <w:noProof/>
            <w:webHidden/>
          </w:rPr>
          <w:fldChar w:fldCharType="end"/>
        </w:r>
      </w:hyperlink>
    </w:p>
    <w:p w14:paraId="3947C580" w14:textId="78D9605F" w:rsidR="00EF6538" w:rsidRDefault="00000000">
      <w:pPr>
        <w:pStyle w:val="TableofFigures"/>
        <w:tabs>
          <w:tab w:val="right" w:leader="dot" w:pos="9436"/>
        </w:tabs>
        <w:rPr>
          <w:rFonts w:eastAsiaTheme="minorEastAsia" w:cstheme="minorBidi"/>
          <w:noProof/>
          <w:lang w:val="en-US"/>
        </w:rPr>
      </w:pPr>
      <w:hyperlink w:anchor="_Toc127198069" w:history="1">
        <w:r w:rsidR="00EF6538" w:rsidRPr="006519A3">
          <w:rPr>
            <w:rStyle w:val="Hyperlink"/>
            <w:noProof/>
          </w:rPr>
          <w:t>Figura 81 Infrastructurile de CDI ce oferă servicii de cercetare și tehnologice în municipiul București</w:t>
        </w:r>
        <w:r w:rsidR="00EF6538">
          <w:rPr>
            <w:noProof/>
            <w:webHidden/>
          </w:rPr>
          <w:tab/>
        </w:r>
        <w:r w:rsidR="00EF6538">
          <w:rPr>
            <w:noProof/>
            <w:webHidden/>
          </w:rPr>
          <w:fldChar w:fldCharType="begin"/>
        </w:r>
        <w:r w:rsidR="00EF6538">
          <w:rPr>
            <w:noProof/>
            <w:webHidden/>
          </w:rPr>
          <w:instrText xml:space="preserve"> PAGEREF _Toc127198069 \h </w:instrText>
        </w:r>
        <w:r w:rsidR="00EF6538">
          <w:rPr>
            <w:noProof/>
            <w:webHidden/>
          </w:rPr>
        </w:r>
        <w:r w:rsidR="00EF6538">
          <w:rPr>
            <w:noProof/>
            <w:webHidden/>
          </w:rPr>
          <w:fldChar w:fldCharType="separate"/>
        </w:r>
        <w:r w:rsidR="005A6DD8">
          <w:rPr>
            <w:noProof/>
            <w:webHidden/>
          </w:rPr>
          <w:t>179</w:t>
        </w:r>
        <w:r w:rsidR="00EF6538">
          <w:rPr>
            <w:noProof/>
            <w:webHidden/>
          </w:rPr>
          <w:fldChar w:fldCharType="end"/>
        </w:r>
      </w:hyperlink>
    </w:p>
    <w:p w14:paraId="11707FCB" w14:textId="79DB3454" w:rsidR="00EF6538" w:rsidRDefault="00000000">
      <w:pPr>
        <w:pStyle w:val="TableofFigures"/>
        <w:tabs>
          <w:tab w:val="right" w:leader="dot" w:pos="9436"/>
        </w:tabs>
        <w:rPr>
          <w:rFonts w:eastAsiaTheme="minorEastAsia" w:cstheme="minorBidi"/>
          <w:noProof/>
          <w:lang w:val="en-US"/>
        </w:rPr>
      </w:pPr>
      <w:hyperlink w:anchor="_Toc127198070" w:history="1">
        <w:r w:rsidR="00EF6538" w:rsidRPr="006519A3">
          <w:rPr>
            <w:rStyle w:val="Hyperlink"/>
            <w:noProof/>
          </w:rPr>
          <w:t>Figura 82 Companii implicate în proiecte de CDI (1) și organizații cu rol de suport pentru inovare și antreprenoriat (2)</w:t>
        </w:r>
        <w:r w:rsidR="00EF6538">
          <w:rPr>
            <w:noProof/>
            <w:webHidden/>
          </w:rPr>
          <w:tab/>
        </w:r>
        <w:r w:rsidR="00EF6538">
          <w:rPr>
            <w:noProof/>
            <w:webHidden/>
          </w:rPr>
          <w:fldChar w:fldCharType="begin"/>
        </w:r>
        <w:r w:rsidR="00EF6538">
          <w:rPr>
            <w:noProof/>
            <w:webHidden/>
          </w:rPr>
          <w:instrText xml:space="preserve"> PAGEREF _Toc127198070 \h </w:instrText>
        </w:r>
        <w:r w:rsidR="00EF6538">
          <w:rPr>
            <w:noProof/>
            <w:webHidden/>
          </w:rPr>
        </w:r>
        <w:r w:rsidR="00EF6538">
          <w:rPr>
            <w:noProof/>
            <w:webHidden/>
          </w:rPr>
          <w:fldChar w:fldCharType="separate"/>
        </w:r>
        <w:r w:rsidR="005A6DD8">
          <w:rPr>
            <w:noProof/>
            <w:webHidden/>
          </w:rPr>
          <w:t>180</w:t>
        </w:r>
        <w:r w:rsidR="00EF6538">
          <w:rPr>
            <w:noProof/>
            <w:webHidden/>
          </w:rPr>
          <w:fldChar w:fldCharType="end"/>
        </w:r>
      </w:hyperlink>
    </w:p>
    <w:p w14:paraId="23E33C61" w14:textId="0FBBC536" w:rsidR="00EF6538" w:rsidRDefault="00000000">
      <w:pPr>
        <w:pStyle w:val="TableofFigures"/>
        <w:tabs>
          <w:tab w:val="right" w:leader="dot" w:pos="9436"/>
        </w:tabs>
        <w:rPr>
          <w:rFonts w:eastAsiaTheme="minorEastAsia" w:cstheme="minorBidi"/>
          <w:noProof/>
          <w:lang w:val="en-US"/>
        </w:rPr>
      </w:pPr>
      <w:hyperlink w:anchor="_Toc127198071" w:history="1">
        <w:r w:rsidR="00EF6538" w:rsidRPr="006519A3">
          <w:rPr>
            <w:rStyle w:val="Hyperlink"/>
            <w:noProof/>
          </w:rPr>
          <w:t xml:space="preserve">Figura 83 </w:t>
        </w:r>
        <w:r w:rsidR="00EF6538" w:rsidRPr="006519A3">
          <w:rPr>
            <w:rStyle w:val="Hyperlink"/>
            <w:noProof/>
            <w:lang w:eastAsia="ja-JP"/>
          </w:rPr>
          <w:t>Principalele direcții de acțiune necesare pentru creșterea competitivității mediului de afaceri la nivelul sectorului, conform mediului de afaceri din Sectorul 2</w:t>
        </w:r>
        <w:r w:rsidR="00EF6538">
          <w:rPr>
            <w:noProof/>
            <w:webHidden/>
          </w:rPr>
          <w:tab/>
        </w:r>
        <w:r w:rsidR="00EF6538">
          <w:rPr>
            <w:noProof/>
            <w:webHidden/>
          </w:rPr>
          <w:fldChar w:fldCharType="begin"/>
        </w:r>
        <w:r w:rsidR="00EF6538">
          <w:rPr>
            <w:noProof/>
            <w:webHidden/>
          </w:rPr>
          <w:instrText xml:space="preserve"> PAGEREF _Toc127198071 \h </w:instrText>
        </w:r>
        <w:r w:rsidR="00EF6538">
          <w:rPr>
            <w:noProof/>
            <w:webHidden/>
          </w:rPr>
        </w:r>
        <w:r w:rsidR="00EF6538">
          <w:rPr>
            <w:noProof/>
            <w:webHidden/>
          </w:rPr>
          <w:fldChar w:fldCharType="separate"/>
        </w:r>
        <w:r w:rsidR="005A6DD8">
          <w:rPr>
            <w:noProof/>
            <w:webHidden/>
          </w:rPr>
          <w:t>181</w:t>
        </w:r>
        <w:r w:rsidR="00EF6538">
          <w:rPr>
            <w:noProof/>
            <w:webHidden/>
          </w:rPr>
          <w:fldChar w:fldCharType="end"/>
        </w:r>
      </w:hyperlink>
    </w:p>
    <w:p w14:paraId="5F902077" w14:textId="7CC18058" w:rsidR="00EF6538" w:rsidRDefault="00000000">
      <w:pPr>
        <w:pStyle w:val="TableofFigures"/>
        <w:tabs>
          <w:tab w:val="right" w:leader="dot" w:pos="9436"/>
        </w:tabs>
        <w:rPr>
          <w:rFonts w:eastAsiaTheme="minorEastAsia" w:cstheme="minorBidi"/>
          <w:noProof/>
          <w:lang w:val="en-US"/>
        </w:rPr>
      </w:pPr>
      <w:hyperlink w:anchor="_Toc127198072" w:history="1">
        <w:r w:rsidR="00EF6538" w:rsidRPr="006519A3">
          <w:rPr>
            <w:rStyle w:val="Hyperlink"/>
            <w:noProof/>
          </w:rPr>
          <w:t>Figura 84 Evoluția istorică a Sectorului 2</w:t>
        </w:r>
        <w:r w:rsidR="00EF6538">
          <w:rPr>
            <w:noProof/>
            <w:webHidden/>
          </w:rPr>
          <w:tab/>
        </w:r>
        <w:r w:rsidR="00EF6538">
          <w:rPr>
            <w:noProof/>
            <w:webHidden/>
          </w:rPr>
          <w:fldChar w:fldCharType="begin"/>
        </w:r>
        <w:r w:rsidR="00EF6538">
          <w:rPr>
            <w:noProof/>
            <w:webHidden/>
          </w:rPr>
          <w:instrText xml:space="preserve"> PAGEREF _Toc127198072 \h </w:instrText>
        </w:r>
        <w:r w:rsidR="00EF6538">
          <w:rPr>
            <w:noProof/>
            <w:webHidden/>
          </w:rPr>
        </w:r>
        <w:r w:rsidR="00EF6538">
          <w:rPr>
            <w:noProof/>
            <w:webHidden/>
          </w:rPr>
          <w:fldChar w:fldCharType="separate"/>
        </w:r>
        <w:r w:rsidR="005A6DD8">
          <w:rPr>
            <w:noProof/>
            <w:webHidden/>
          </w:rPr>
          <w:t>183</w:t>
        </w:r>
        <w:r w:rsidR="00EF6538">
          <w:rPr>
            <w:noProof/>
            <w:webHidden/>
          </w:rPr>
          <w:fldChar w:fldCharType="end"/>
        </w:r>
      </w:hyperlink>
    </w:p>
    <w:p w14:paraId="373A5D28" w14:textId="27A2A875" w:rsidR="00EF6538" w:rsidRDefault="00000000">
      <w:pPr>
        <w:pStyle w:val="TableofFigures"/>
        <w:tabs>
          <w:tab w:val="right" w:leader="dot" w:pos="9436"/>
        </w:tabs>
        <w:rPr>
          <w:rFonts w:eastAsiaTheme="minorEastAsia" w:cstheme="minorBidi"/>
          <w:noProof/>
          <w:lang w:val="en-US"/>
        </w:rPr>
      </w:pPr>
      <w:hyperlink w:anchor="_Toc127198073" w:history="1">
        <w:r w:rsidR="00EF6538" w:rsidRPr="006519A3">
          <w:rPr>
            <w:rStyle w:val="Hyperlink"/>
            <w:noProof/>
          </w:rPr>
          <w:t>Figura 85 Centralități pe teritoriul Sectorului 2</w:t>
        </w:r>
        <w:r w:rsidR="00EF6538">
          <w:rPr>
            <w:noProof/>
            <w:webHidden/>
          </w:rPr>
          <w:tab/>
        </w:r>
        <w:r w:rsidR="00EF6538">
          <w:rPr>
            <w:noProof/>
            <w:webHidden/>
          </w:rPr>
          <w:fldChar w:fldCharType="begin"/>
        </w:r>
        <w:r w:rsidR="00EF6538">
          <w:rPr>
            <w:noProof/>
            <w:webHidden/>
          </w:rPr>
          <w:instrText xml:space="preserve"> PAGEREF _Toc127198073 \h </w:instrText>
        </w:r>
        <w:r w:rsidR="00EF6538">
          <w:rPr>
            <w:noProof/>
            <w:webHidden/>
          </w:rPr>
        </w:r>
        <w:r w:rsidR="00EF6538">
          <w:rPr>
            <w:noProof/>
            <w:webHidden/>
          </w:rPr>
          <w:fldChar w:fldCharType="separate"/>
        </w:r>
        <w:r w:rsidR="005A6DD8">
          <w:rPr>
            <w:noProof/>
            <w:webHidden/>
          </w:rPr>
          <w:t>185</w:t>
        </w:r>
        <w:r w:rsidR="00EF6538">
          <w:rPr>
            <w:noProof/>
            <w:webHidden/>
          </w:rPr>
          <w:fldChar w:fldCharType="end"/>
        </w:r>
      </w:hyperlink>
    </w:p>
    <w:p w14:paraId="55149EE6" w14:textId="02B5B76E" w:rsidR="00EF6538" w:rsidRDefault="00000000">
      <w:pPr>
        <w:pStyle w:val="TableofFigures"/>
        <w:tabs>
          <w:tab w:val="right" w:leader="dot" w:pos="9436"/>
        </w:tabs>
        <w:rPr>
          <w:rFonts w:eastAsiaTheme="minorEastAsia" w:cstheme="minorBidi"/>
          <w:noProof/>
          <w:lang w:val="en-US"/>
        </w:rPr>
      </w:pPr>
      <w:hyperlink w:anchor="_Toc127198074" w:history="1">
        <w:r w:rsidR="00EF6538" w:rsidRPr="006519A3">
          <w:rPr>
            <w:rStyle w:val="Hyperlink"/>
            <w:noProof/>
          </w:rPr>
          <w:t>Figura 86 Principalele zone de expansiune și densificare pe teritoriul Sectorului  2</w:t>
        </w:r>
        <w:r w:rsidR="00EF6538">
          <w:rPr>
            <w:noProof/>
            <w:webHidden/>
          </w:rPr>
          <w:tab/>
        </w:r>
        <w:r w:rsidR="00EF6538">
          <w:rPr>
            <w:noProof/>
            <w:webHidden/>
          </w:rPr>
          <w:fldChar w:fldCharType="begin"/>
        </w:r>
        <w:r w:rsidR="00EF6538">
          <w:rPr>
            <w:noProof/>
            <w:webHidden/>
          </w:rPr>
          <w:instrText xml:space="preserve"> PAGEREF _Toc127198074 \h </w:instrText>
        </w:r>
        <w:r w:rsidR="00EF6538">
          <w:rPr>
            <w:noProof/>
            <w:webHidden/>
          </w:rPr>
        </w:r>
        <w:r w:rsidR="00EF6538">
          <w:rPr>
            <w:noProof/>
            <w:webHidden/>
          </w:rPr>
          <w:fldChar w:fldCharType="separate"/>
        </w:r>
        <w:r w:rsidR="005A6DD8">
          <w:rPr>
            <w:noProof/>
            <w:webHidden/>
          </w:rPr>
          <w:t>187</w:t>
        </w:r>
        <w:r w:rsidR="00EF6538">
          <w:rPr>
            <w:noProof/>
            <w:webHidden/>
          </w:rPr>
          <w:fldChar w:fldCharType="end"/>
        </w:r>
      </w:hyperlink>
    </w:p>
    <w:p w14:paraId="1320AF74" w14:textId="1DE9204D" w:rsidR="00EF6538" w:rsidRDefault="00000000">
      <w:pPr>
        <w:pStyle w:val="TableofFigures"/>
        <w:tabs>
          <w:tab w:val="right" w:leader="dot" w:pos="9436"/>
        </w:tabs>
        <w:rPr>
          <w:rFonts w:eastAsiaTheme="minorEastAsia" w:cstheme="minorBidi"/>
          <w:noProof/>
          <w:lang w:val="en-US"/>
        </w:rPr>
      </w:pPr>
      <w:hyperlink w:anchor="_Toc127198075" w:history="1">
        <w:r w:rsidR="00EF6538" w:rsidRPr="006519A3">
          <w:rPr>
            <w:rStyle w:val="Hyperlink"/>
            <w:noProof/>
          </w:rPr>
          <w:t>Figura 87 Zone de tip brownfield și greenfield identificate pe teritoriul Sectorului 2</w:t>
        </w:r>
        <w:r w:rsidR="00EF6538">
          <w:rPr>
            <w:noProof/>
            <w:webHidden/>
          </w:rPr>
          <w:tab/>
        </w:r>
        <w:r w:rsidR="00EF6538">
          <w:rPr>
            <w:noProof/>
            <w:webHidden/>
          </w:rPr>
          <w:fldChar w:fldCharType="begin"/>
        </w:r>
        <w:r w:rsidR="00EF6538">
          <w:rPr>
            <w:noProof/>
            <w:webHidden/>
          </w:rPr>
          <w:instrText xml:space="preserve"> PAGEREF _Toc127198075 \h </w:instrText>
        </w:r>
        <w:r w:rsidR="00EF6538">
          <w:rPr>
            <w:noProof/>
            <w:webHidden/>
          </w:rPr>
        </w:r>
        <w:r w:rsidR="00EF6538">
          <w:rPr>
            <w:noProof/>
            <w:webHidden/>
          </w:rPr>
          <w:fldChar w:fldCharType="separate"/>
        </w:r>
        <w:r w:rsidR="005A6DD8">
          <w:rPr>
            <w:noProof/>
            <w:webHidden/>
          </w:rPr>
          <w:t>188</w:t>
        </w:r>
        <w:r w:rsidR="00EF6538">
          <w:rPr>
            <w:noProof/>
            <w:webHidden/>
          </w:rPr>
          <w:fldChar w:fldCharType="end"/>
        </w:r>
      </w:hyperlink>
    </w:p>
    <w:p w14:paraId="67F7BD12" w14:textId="063C8417" w:rsidR="00EF6538" w:rsidRDefault="00000000">
      <w:pPr>
        <w:pStyle w:val="TableofFigures"/>
        <w:tabs>
          <w:tab w:val="right" w:leader="dot" w:pos="9436"/>
        </w:tabs>
        <w:rPr>
          <w:rFonts w:eastAsiaTheme="minorEastAsia" w:cstheme="minorBidi"/>
          <w:noProof/>
          <w:lang w:val="en-US"/>
        </w:rPr>
      </w:pPr>
      <w:hyperlink w:anchor="_Toc127198076" w:history="1">
        <w:r w:rsidR="00EF6538" w:rsidRPr="006519A3">
          <w:rPr>
            <w:rStyle w:val="Hyperlink"/>
            <w:noProof/>
          </w:rPr>
          <w:t>Figura 88 Evoluția consumului de energie electrică (total și casnic, kWh) în perioada 2015-2021</w:t>
        </w:r>
        <w:r w:rsidR="00EF6538">
          <w:rPr>
            <w:noProof/>
            <w:webHidden/>
          </w:rPr>
          <w:tab/>
        </w:r>
        <w:r w:rsidR="00EF6538">
          <w:rPr>
            <w:noProof/>
            <w:webHidden/>
          </w:rPr>
          <w:fldChar w:fldCharType="begin"/>
        </w:r>
        <w:r w:rsidR="00EF6538">
          <w:rPr>
            <w:noProof/>
            <w:webHidden/>
          </w:rPr>
          <w:instrText xml:space="preserve"> PAGEREF _Toc127198076 \h </w:instrText>
        </w:r>
        <w:r w:rsidR="00EF6538">
          <w:rPr>
            <w:noProof/>
            <w:webHidden/>
          </w:rPr>
        </w:r>
        <w:r w:rsidR="00EF6538">
          <w:rPr>
            <w:noProof/>
            <w:webHidden/>
          </w:rPr>
          <w:fldChar w:fldCharType="separate"/>
        </w:r>
        <w:r w:rsidR="005A6DD8">
          <w:rPr>
            <w:noProof/>
            <w:webHidden/>
          </w:rPr>
          <w:t>197</w:t>
        </w:r>
        <w:r w:rsidR="00EF6538">
          <w:rPr>
            <w:noProof/>
            <w:webHidden/>
          </w:rPr>
          <w:fldChar w:fldCharType="end"/>
        </w:r>
      </w:hyperlink>
    </w:p>
    <w:p w14:paraId="261D43C4" w14:textId="62F8E3A3" w:rsidR="00EF6538" w:rsidRDefault="00000000">
      <w:pPr>
        <w:pStyle w:val="TableofFigures"/>
        <w:tabs>
          <w:tab w:val="right" w:leader="dot" w:pos="9436"/>
        </w:tabs>
        <w:rPr>
          <w:rFonts w:eastAsiaTheme="minorEastAsia" w:cstheme="minorBidi"/>
          <w:noProof/>
          <w:lang w:val="en-US"/>
        </w:rPr>
      </w:pPr>
      <w:hyperlink w:anchor="_Toc127198077" w:history="1">
        <w:r w:rsidR="00EF6538" w:rsidRPr="006519A3">
          <w:rPr>
            <w:rStyle w:val="Hyperlink"/>
            <w:noProof/>
          </w:rPr>
          <w:t>Figura 89 Evoluția consumului de energie electrică (publice, învățământ, sănătate, kwH) în perioada 2015-2021</w:t>
        </w:r>
        <w:r w:rsidR="00EF6538">
          <w:rPr>
            <w:noProof/>
            <w:webHidden/>
          </w:rPr>
          <w:tab/>
        </w:r>
        <w:r w:rsidR="00EF6538">
          <w:rPr>
            <w:noProof/>
            <w:webHidden/>
          </w:rPr>
          <w:fldChar w:fldCharType="begin"/>
        </w:r>
        <w:r w:rsidR="00EF6538">
          <w:rPr>
            <w:noProof/>
            <w:webHidden/>
          </w:rPr>
          <w:instrText xml:space="preserve"> PAGEREF _Toc127198077 \h </w:instrText>
        </w:r>
        <w:r w:rsidR="00EF6538">
          <w:rPr>
            <w:noProof/>
            <w:webHidden/>
          </w:rPr>
        </w:r>
        <w:r w:rsidR="00EF6538">
          <w:rPr>
            <w:noProof/>
            <w:webHidden/>
          </w:rPr>
          <w:fldChar w:fldCharType="separate"/>
        </w:r>
        <w:r w:rsidR="005A6DD8">
          <w:rPr>
            <w:noProof/>
            <w:webHidden/>
          </w:rPr>
          <w:t>198</w:t>
        </w:r>
        <w:r w:rsidR="00EF6538">
          <w:rPr>
            <w:noProof/>
            <w:webHidden/>
          </w:rPr>
          <w:fldChar w:fldCharType="end"/>
        </w:r>
      </w:hyperlink>
    </w:p>
    <w:p w14:paraId="4BBD8314" w14:textId="5594892F" w:rsidR="00EF6538" w:rsidRDefault="00000000">
      <w:pPr>
        <w:pStyle w:val="TableofFigures"/>
        <w:tabs>
          <w:tab w:val="right" w:leader="dot" w:pos="9436"/>
        </w:tabs>
        <w:rPr>
          <w:rFonts w:eastAsiaTheme="minorEastAsia" w:cstheme="minorBidi"/>
          <w:noProof/>
          <w:lang w:val="en-US"/>
        </w:rPr>
      </w:pPr>
      <w:hyperlink w:anchor="_Toc127198078" w:history="1">
        <w:r w:rsidR="00EF6538" w:rsidRPr="006519A3">
          <w:rPr>
            <w:rStyle w:val="Hyperlink"/>
            <w:noProof/>
          </w:rPr>
          <w:t>Figura 90 Evoluția numărului de consumatori de gaze naturale în perioada 2015-2021</w:t>
        </w:r>
        <w:r w:rsidR="00EF6538">
          <w:rPr>
            <w:noProof/>
            <w:webHidden/>
          </w:rPr>
          <w:tab/>
        </w:r>
        <w:r w:rsidR="00EF6538">
          <w:rPr>
            <w:noProof/>
            <w:webHidden/>
          </w:rPr>
          <w:fldChar w:fldCharType="begin"/>
        </w:r>
        <w:r w:rsidR="00EF6538">
          <w:rPr>
            <w:noProof/>
            <w:webHidden/>
          </w:rPr>
          <w:instrText xml:space="preserve"> PAGEREF _Toc127198078 \h </w:instrText>
        </w:r>
        <w:r w:rsidR="00EF6538">
          <w:rPr>
            <w:noProof/>
            <w:webHidden/>
          </w:rPr>
        </w:r>
        <w:r w:rsidR="00EF6538">
          <w:rPr>
            <w:noProof/>
            <w:webHidden/>
          </w:rPr>
          <w:fldChar w:fldCharType="separate"/>
        </w:r>
        <w:r w:rsidR="005A6DD8">
          <w:rPr>
            <w:noProof/>
            <w:webHidden/>
          </w:rPr>
          <w:t>199</w:t>
        </w:r>
        <w:r w:rsidR="00EF6538">
          <w:rPr>
            <w:noProof/>
            <w:webHidden/>
          </w:rPr>
          <w:fldChar w:fldCharType="end"/>
        </w:r>
      </w:hyperlink>
    </w:p>
    <w:p w14:paraId="405A7E0B" w14:textId="77B2CB62" w:rsidR="00EF6538" w:rsidRDefault="00000000">
      <w:pPr>
        <w:pStyle w:val="TableofFigures"/>
        <w:tabs>
          <w:tab w:val="right" w:leader="dot" w:pos="9436"/>
        </w:tabs>
        <w:rPr>
          <w:rFonts w:eastAsiaTheme="minorEastAsia" w:cstheme="minorBidi"/>
          <w:noProof/>
          <w:lang w:val="en-US"/>
        </w:rPr>
      </w:pPr>
      <w:hyperlink w:anchor="_Toc127198079" w:history="1">
        <w:r w:rsidR="00EF6538" w:rsidRPr="006519A3">
          <w:rPr>
            <w:rStyle w:val="Hyperlink"/>
            <w:noProof/>
          </w:rPr>
          <w:t>Figura 91 Evoluția cantității de gaze naturale distribuite în perioada 2015-2021 (milioane kwh)</w:t>
        </w:r>
        <w:r w:rsidR="00EF6538">
          <w:rPr>
            <w:noProof/>
            <w:webHidden/>
          </w:rPr>
          <w:tab/>
        </w:r>
        <w:r w:rsidR="00EF6538">
          <w:rPr>
            <w:noProof/>
            <w:webHidden/>
          </w:rPr>
          <w:fldChar w:fldCharType="begin"/>
        </w:r>
        <w:r w:rsidR="00EF6538">
          <w:rPr>
            <w:noProof/>
            <w:webHidden/>
          </w:rPr>
          <w:instrText xml:space="preserve"> PAGEREF _Toc127198079 \h </w:instrText>
        </w:r>
        <w:r w:rsidR="00EF6538">
          <w:rPr>
            <w:noProof/>
            <w:webHidden/>
          </w:rPr>
        </w:r>
        <w:r w:rsidR="00EF6538">
          <w:rPr>
            <w:noProof/>
            <w:webHidden/>
          </w:rPr>
          <w:fldChar w:fldCharType="separate"/>
        </w:r>
        <w:r w:rsidR="005A6DD8">
          <w:rPr>
            <w:noProof/>
            <w:webHidden/>
          </w:rPr>
          <w:t>200</w:t>
        </w:r>
        <w:r w:rsidR="00EF6538">
          <w:rPr>
            <w:noProof/>
            <w:webHidden/>
          </w:rPr>
          <w:fldChar w:fldCharType="end"/>
        </w:r>
      </w:hyperlink>
    </w:p>
    <w:p w14:paraId="6AA2356C" w14:textId="7CA072C1" w:rsidR="00EF6538" w:rsidRDefault="00000000">
      <w:pPr>
        <w:pStyle w:val="TableofFigures"/>
        <w:tabs>
          <w:tab w:val="right" w:leader="dot" w:pos="9436"/>
        </w:tabs>
        <w:rPr>
          <w:rFonts w:eastAsiaTheme="minorEastAsia" w:cstheme="minorBidi"/>
          <w:noProof/>
          <w:lang w:val="en-US"/>
        </w:rPr>
      </w:pPr>
      <w:hyperlink w:anchor="_Toc127198080" w:history="1">
        <w:r w:rsidR="00EF6538" w:rsidRPr="006519A3">
          <w:rPr>
            <w:rStyle w:val="Hyperlink"/>
            <w:noProof/>
          </w:rPr>
          <w:t>Figura 92 Structura rețelei principale de alimentare cu apă, după materialul conductelor (%)</w:t>
        </w:r>
        <w:r w:rsidR="00EF6538">
          <w:rPr>
            <w:noProof/>
            <w:webHidden/>
          </w:rPr>
          <w:tab/>
        </w:r>
        <w:r w:rsidR="00EF6538">
          <w:rPr>
            <w:noProof/>
            <w:webHidden/>
          </w:rPr>
          <w:fldChar w:fldCharType="begin"/>
        </w:r>
        <w:r w:rsidR="00EF6538">
          <w:rPr>
            <w:noProof/>
            <w:webHidden/>
          </w:rPr>
          <w:instrText xml:space="preserve"> PAGEREF _Toc127198080 \h </w:instrText>
        </w:r>
        <w:r w:rsidR="00EF6538">
          <w:rPr>
            <w:noProof/>
            <w:webHidden/>
          </w:rPr>
        </w:r>
        <w:r w:rsidR="00EF6538">
          <w:rPr>
            <w:noProof/>
            <w:webHidden/>
          </w:rPr>
          <w:fldChar w:fldCharType="separate"/>
        </w:r>
        <w:r w:rsidR="005A6DD8">
          <w:rPr>
            <w:noProof/>
            <w:webHidden/>
          </w:rPr>
          <w:t>202</w:t>
        </w:r>
        <w:r w:rsidR="00EF6538">
          <w:rPr>
            <w:noProof/>
            <w:webHidden/>
          </w:rPr>
          <w:fldChar w:fldCharType="end"/>
        </w:r>
      </w:hyperlink>
    </w:p>
    <w:p w14:paraId="6BE870BC" w14:textId="0E65546A" w:rsidR="00EF6538" w:rsidRDefault="00000000">
      <w:pPr>
        <w:pStyle w:val="TableofFigures"/>
        <w:tabs>
          <w:tab w:val="right" w:leader="dot" w:pos="9436"/>
        </w:tabs>
        <w:rPr>
          <w:rFonts w:eastAsiaTheme="minorEastAsia" w:cstheme="minorBidi"/>
          <w:noProof/>
          <w:lang w:val="en-US"/>
        </w:rPr>
      </w:pPr>
      <w:hyperlink w:anchor="_Toc127198081" w:history="1">
        <w:r w:rsidR="00EF6538" w:rsidRPr="006519A3">
          <w:rPr>
            <w:rStyle w:val="Hyperlink"/>
            <w:noProof/>
          </w:rPr>
          <w:t>Figura 93 Structura rețelei secundare de alimentare cu apă, după materialul conductelor (%)</w:t>
        </w:r>
        <w:r w:rsidR="00EF6538">
          <w:rPr>
            <w:noProof/>
            <w:webHidden/>
          </w:rPr>
          <w:tab/>
        </w:r>
        <w:r w:rsidR="00EF6538">
          <w:rPr>
            <w:noProof/>
            <w:webHidden/>
          </w:rPr>
          <w:fldChar w:fldCharType="begin"/>
        </w:r>
        <w:r w:rsidR="00EF6538">
          <w:rPr>
            <w:noProof/>
            <w:webHidden/>
          </w:rPr>
          <w:instrText xml:space="preserve"> PAGEREF _Toc127198081 \h </w:instrText>
        </w:r>
        <w:r w:rsidR="00EF6538">
          <w:rPr>
            <w:noProof/>
            <w:webHidden/>
          </w:rPr>
        </w:r>
        <w:r w:rsidR="00EF6538">
          <w:rPr>
            <w:noProof/>
            <w:webHidden/>
          </w:rPr>
          <w:fldChar w:fldCharType="separate"/>
        </w:r>
        <w:r w:rsidR="005A6DD8">
          <w:rPr>
            <w:noProof/>
            <w:webHidden/>
          </w:rPr>
          <w:t>202</w:t>
        </w:r>
        <w:r w:rsidR="00EF6538">
          <w:rPr>
            <w:noProof/>
            <w:webHidden/>
          </w:rPr>
          <w:fldChar w:fldCharType="end"/>
        </w:r>
      </w:hyperlink>
    </w:p>
    <w:p w14:paraId="4F39C9D7" w14:textId="7D1A3523" w:rsidR="00EF6538" w:rsidRDefault="00000000">
      <w:pPr>
        <w:pStyle w:val="TableofFigures"/>
        <w:tabs>
          <w:tab w:val="right" w:leader="dot" w:pos="9436"/>
        </w:tabs>
        <w:rPr>
          <w:rFonts w:eastAsiaTheme="minorEastAsia" w:cstheme="minorBidi"/>
          <w:noProof/>
          <w:lang w:val="en-US"/>
        </w:rPr>
      </w:pPr>
      <w:hyperlink w:anchor="_Toc127198082" w:history="1">
        <w:r w:rsidR="00EF6538" w:rsidRPr="006519A3">
          <w:rPr>
            <w:rStyle w:val="Hyperlink"/>
            <w:noProof/>
          </w:rPr>
          <w:t>Figura 94 Hartă acoperire rețea NetCity (mai 2022)</w:t>
        </w:r>
        <w:r w:rsidR="00EF6538">
          <w:rPr>
            <w:noProof/>
            <w:webHidden/>
          </w:rPr>
          <w:tab/>
        </w:r>
        <w:r w:rsidR="00EF6538">
          <w:rPr>
            <w:noProof/>
            <w:webHidden/>
          </w:rPr>
          <w:fldChar w:fldCharType="begin"/>
        </w:r>
        <w:r w:rsidR="00EF6538">
          <w:rPr>
            <w:noProof/>
            <w:webHidden/>
          </w:rPr>
          <w:instrText xml:space="preserve"> PAGEREF _Toc127198082 \h </w:instrText>
        </w:r>
        <w:r w:rsidR="00EF6538">
          <w:rPr>
            <w:noProof/>
            <w:webHidden/>
          </w:rPr>
        </w:r>
        <w:r w:rsidR="00EF6538">
          <w:rPr>
            <w:noProof/>
            <w:webHidden/>
          </w:rPr>
          <w:fldChar w:fldCharType="separate"/>
        </w:r>
        <w:r w:rsidR="005A6DD8">
          <w:rPr>
            <w:noProof/>
            <w:webHidden/>
          </w:rPr>
          <w:t>204</w:t>
        </w:r>
        <w:r w:rsidR="00EF6538">
          <w:rPr>
            <w:noProof/>
            <w:webHidden/>
          </w:rPr>
          <w:fldChar w:fldCharType="end"/>
        </w:r>
      </w:hyperlink>
    </w:p>
    <w:p w14:paraId="77012C85" w14:textId="40B9AE93" w:rsidR="00EF6538" w:rsidRDefault="00000000">
      <w:pPr>
        <w:pStyle w:val="TableofFigures"/>
        <w:tabs>
          <w:tab w:val="right" w:leader="dot" w:pos="9436"/>
        </w:tabs>
        <w:rPr>
          <w:rFonts w:eastAsiaTheme="minorEastAsia" w:cstheme="minorBidi"/>
          <w:noProof/>
          <w:lang w:val="en-US"/>
        </w:rPr>
      </w:pPr>
      <w:hyperlink w:anchor="_Toc127198083" w:history="1">
        <w:r w:rsidR="00EF6538" w:rsidRPr="006519A3">
          <w:rPr>
            <w:rStyle w:val="Hyperlink"/>
            <w:noProof/>
          </w:rPr>
          <w:t>Figura 95 Cantitatea de deșeuri sortată în stația de sortare Gherghiței (2015 – 2020)</w:t>
        </w:r>
        <w:r w:rsidR="00EF6538">
          <w:rPr>
            <w:noProof/>
            <w:webHidden/>
          </w:rPr>
          <w:tab/>
        </w:r>
        <w:r w:rsidR="00EF6538">
          <w:rPr>
            <w:noProof/>
            <w:webHidden/>
          </w:rPr>
          <w:fldChar w:fldCharType="begin"/>
        </w:r>
        <w:r w:rsidR="00EF6538">
          <w:rPr>
            <w:noProof/>
            <w:webHidden/>
          </w:rPr>
          <w:instrText xml:space="preserve"> PAGEREF _Toc127198083 \h </w:instrText>
        </w:r>
        <w:r w:rsidR="00EF6538">
          <w:rPr>
            <w:noProof/>
            <w:webHidden/>
          </w:rPr>
        </w:r>
        <w:r w:rsidR="00EF6538">
          <w:rPr>
            <w:noProof/>
            <w:webHidden/>
          </w:rPr>
          <w:fldChar w:fldCharType="separate"/>
        </w:r>
        <w:r w:rsidR="005A6DD8">
          <w:rPr>
            <w:noProof/>
            <w:webHidden/>
          </w:rPr>
          <w:t>205</w:t>
        </w:r>
        <w:r w:rsidR="00EF6538">
          <w:rPr>
            <w:noProof/>
            <w:webHidden/>
          </w:rPr>
          <w:fldChar w:fldCharType="end"/>
        </w:r>
      </w:hyperlink>
    </w:p>
    <w:p w14:paraId="0315EE58" w14:textId="5B848CEC" w:rsidR="00EF6538" w:rsidRDefault="00000000">
      <w:pPr>
        <w:pStyle w:val="TableofFigures"/>
        <w:tabs>
          <w:tab w:val="right" w:leader="dot" w:pos="9436"/>
        </w:tabs>
        <w:rPr>
          <w:rFonts w:eastAsiaTheme="minorEastAsia" w:cstheme="minorBidi"/>
          <w:noProof/>
          <w:lang w:val="en-US"/>
        </w:rPr>
      </w:pPr>
      <w:hyperlink w:anchor="_Toc127198084" w:history="1">
        <w:r w:rsidR="00EF6538" w:rsidRPr="006519A3">
          <w:rPr>
            <w:rStyle w:val="Hyperlink"/>
            <w:noProof/>
          </w:rPr>
          <w:t>Figura 96 Cantitatea de deșeuri municipale gestionată de către SC SUPERCOM SA (2015 – 2021)</w:t>
        </w:r>
        <w:r w:rsidR="00EF6538">
          <w:rPr>
            <w:noProof/>
            <w:webHidden/>
          </w:rPr>
          <w:tab/>
        </w:r>
        <w:r w:rsidR="00EF6538">
          <w:rPr>
            <w:noProof/>
            <w:webHidden/>
          </w:rPr>
          <w:fldChar w:fldCharType="begin"/>
        </w:r>
        <w:r w:rsidR="00EF6538">
          <w:rPr>
            <w:noProof/>
            <w:webHidden/>
          </w:rPr>
          <w:instrText xml:space="preserve"> PAGEREF _Toc127198084 \h </w:instrText>
        </w:r>
        <w:r w:rsidR="00EF6538">
          <w:rPr>
            <w:noProof/>
            <w:webHidden/>
          </w:rPr>
        </w:r>
        <w:r w:rsidR="00EF6538">
          <w:rPr>
            <w:noProof/>
            <w:webHidden/>
          </w:rPr>
          <w:fldChar w:fldCharType="separate"/>
        </w:r>
        <w:r w:rsidR="005A6DD8">
          <w:rPr>
            <w:noProof/>
            <w:webHidden/>
          </w:rPr>
          <w:t>207</w:t>
        </w:r>
        <w:r w:rsidR="00EF6538">
          <w:rPr>
            <w:noProof/>
            <w:webHidden/>
          </w:rPr>
          <w:fldChar w:fldCharType="end"/>
        </w:r>
      </w:hyperlink>
    </w:p>
    <w:p w14:paraId="7B655B8A" w14:textId="4E727DBF" w:rsidR="00EF6538" w:rsidRDefault="00000000">
      <w:pPr>
        <w:pStyle w:val="TableofFigures"/>
        <w:tabs>
          <w:tab w:val="right" w:leader="dot" w:pos="9436"/>
        </w:tabs>
        <w:rPr>
          <w:rFonts w:eastAsiaTheme="minorEastAsia" w:cstheme="minorBidi"/>
          <w:noProof/>
          <w:lang w:val="en-US"/>
        </w:rPr>
      </w:pPr>
      <w:hyperlink w:anchor="_Toc127198085" w:history="1">
        <w:r w:rsidR="00EF6538" w:rsidRPr="006519A3">
          <w:rPr>
            <w:rStyle w:val="Hyperlink"/>
            <w:noProof/>
          </w:rPr>
          <w:t>Figura 97 Nivelul de serviciu pe centura existentă și drumurile radiale</w:t>
        </w:r>
        <w:r w:rsidR="00EF6538">
          <w:rPr>
            <w:noProof/>
            <w:webHidden/>
          </w:rPr>
          <w:tab/>
        </w:r>
        <w:r w:rsidR="00EF6538">
          <w:rPr>
            <w:noProof/>
            <w:webHidden/>
          </w:rPr>
          <w:fldChar w:fldCharType="begin"/>
        </w:r>
        <w:r w:rsidR="00EF6538">
          <w:rPr>
            <w:noProof/>
            <w:webHidden/>
          </w:rPr>
          <w:instrText xml:space="preserve"> PAGEREF _Toc127198085 \h </w:instrText>
        </w:r>
        <w:r w:rsidR="00EF6538">
          <w:rPr>
            <w:noProof/>
            <w:webHidden/>
          </w:rPr>
        </w:r>
        <w:r w:rsidR="00EF6538">
          <w:rPr>
            <w:noProof/>
            <w:webHidden/>
          </w:rPr>
          <w:fldChar w:fldCharType="separate"/>
        </w:r>
        <w:r w:rsidR="005A6DD8">
          <w:rPr>
            <w:noProof/>
            <w:webHidden/>
          </w:rPr>
          <w:t>209</w:t>
        </w:r>
        <w:r w:rsidR="00EF6538">
          <w:rPr>
            <w:noProof/>
            <w:webHidden/>
          </w:rPr>
          <w:fldChar w:fldCharType="end"/>
        </w:r>
      </w:hyperlink>
    </w:p>
    <w:p w14:paraId="7A75B877" w14:textId="029A1920" w:rsidR="00EF6538" w:rsidRDefault="00000000">
      <w:pPr>
        <w:pStyle w:val="TableofFigures"/>
        <w:tabs>
          <w:tab w:val="right" w:leader="dot" w:pos="9436"/>
        </w:tabs>
        <w:rPr>
          <w:rFonts w:eastAsiaTheme="minorEastAsia" w:cstheme="minorBidi"/>
          <w:noProof/>
          <w:lang w:val="en-US"/>
        </w:rPr>
      </w:pPr>
      <w:hyperlink w:anchor="_Toc127198086" w:history="1">
        <w:r w:rsidR="00EF6538" w:rsidRPr="006519A3">
          <w:rPr>
            <w:rStyle w:val="Hyperlink"/>
            <w:noProof/>
          </w:rPr>
          <w:t>Figura 98 Principalii generatori de trafic din Sectorul 2</w:t>
        </w:r>
        <w:r w:rsidR="00EF6538">
          <w:rPr>
            <w:noProof/>
            <w:webHidden/>
          </w:rPr>
          <w:tab/>
        </w:r>
        <w:r w:rsidR="00EF6538">
          <w:rPr>
            <w:noProof/>
            <w:webHidden/>
          </w:rPr>
          <w:fldChar w:fldCharType="begin"/>
        </w:r>
        <w:r w:rsidR="00EF6538">
          <w:rPr>
            <w:noProof/>
            <w:webHidden/>
          </w:rPr>
          <w:instrText xml:space="preserve"> PAGEREF _Toc127198086 \h </w:instrText>
        </w:r>
        <w:r w:rsidR="00EF6538">
          <w:rPr>
            <w:noProof/>
            <w:webHidden/>
          </w:rPr>
        </w:r>
        <w:r w:rsidR="00EF6538">
          <w:rPr>
            <w:noProof/>
            <w:webHidden/>
          </w:rPr>
          <w:fldChar w:fldCharType="separate"/>
        </w:r>
        <w:r w:rsidR="005A6DD8">
          <w:rPr>
            <w:noProof/>
            <w:webHidden/>
          </w:rPr>
          <w:t>211</w:t>
        </w:r>
        <w:r w:rsidR="00EF6538">
          <w:rPr>
            <w:noProof/>
            <w:webHidden/>
          </w:rPr>
          <w:fldChar w:fldCharType="end"/>
        </w:r>
      </w:hyperlink>
    </w:p>
    <w:p w14:paraId="11329D67" w14:textId="7F9BBC69" w:rsidR="00EF6538" w:rsidRDefault="00000000">
      <w:pPr>
        <w:pStyle w:val="TableofFigures"/>
        <w:tabs>
          <w:tab w:val="right" w:leader="dot" w:pos="9436"/>
        </w:tabs>
        <w:rPr>
          <w:rFonts w:eastAsiaTheme="minorEastAsia" w:cstheme="minorBidi"/>
          <w:noProof/>
          <w:lang w:val="en-US"/>
        </w:rPr>
      </w:pPr>
      <w:hyperlink w:anchor="_Toc127198087" w:history="1">
        <w:r w:rsidR="00EF6538" w:rsidRPr="006519A3">
          <w:rPr>
            <w:rStyle w:val="Hyperlink"/>
            <w:noProof/>
          </w:rPr>
          <w:t>Figura 99 Străzi cu o calitate redusă în Sectorul 2</w:t>
        </w:r>
        <w:r w:rsidR="00EF6538">
          <w:rPr>
            <w:noProof/>
            <w:webHidden/>
          </w:rPr>
          <w:tab/>
        </w:r>
        <w:r w:rsidR="00EF6538">
          <w:rPr>
            <w:noProof/>
            <w:webHidden/>
          </w:rPr>
          <w:fldChar w:fldCharType="begin"/>
        </w:r>
        <w:r w:rsidR="00EF6538">
          <w:rPr>
            <w:noProof/>
            <w:webHidden/>
          </w:rPr>
          <w:instrText xml:space="preserve"> PAGEREF _Toc127198087 \h </w:instrText>
        </w:r>
        <w:r w:rsidR="00EF6538">
          <w:rPr>
            <w:noProof/>
            <w:webHidden/>
          </w:rPr>
        </w:r>
        <w:r w:rsidR="00EF6538">
          <w:rPr>
            <w:noProof/>
            <w:webHidden/>
          </w:rPr>
          <w:fldChar w:fldCharType="separate"/>
        </w:r>
        <w:r w:rsidR="005A6DD8">
          <w:rPr>
            <w:noProof/>
            <w:webHidden/>
          </w:rPr>
          <w:t>213</w:t>
        </w:r>
        <w:r w:rsidR="00EF6538">
          <w:rPr>
            <w:noProof/>
            <w:webHidden/>
          </w:rPr>
          <w:fldChar w:fldCharType="end"/>
        </w:r>
      </w:hyperlink>
    </w:p>
    <w:p w14:paraId="5DCD28BF" w14:textId="2596A653" w:rsidR="00EF6538" w:rsidRDefault="00000000">
      <w:pPr>
        <w:pStyle w:val="TableofFigures"/>
        <w:tabs>
          <w:tab w:val="right" w:leader="dot" w:pos="9436"/>
        </w:tabs>
        <w:rPr>
          <w:rFonts w:eastAsiaTheme="minorEastAsia" w:cstheme="minorBidi"/>
          <w:noProof/>
          <w:lang w:val="en-US"/>
        </w:rPr>
      </w:pPr>
      <w:hyperlink w:anchor="_Toc127198088" w:history="1">
        <w:r w:rsidR="00EF6538" w:rsidRPr="006519A3">
          <w:rPr>
            <w:rStyle w:val="Hyperlink"/>
            <w:noProof/>
          </w:rPr>
          <w:t>Figura 100 Artere congestionate în Sectorul 2</w:t>
        </w:r>
        <w:r w:rsidR="00EF6538">
          <w:rPr>
            <w:noProof/>
            <w:webHidden/>
          </w:rPr>
          <w:tab/>
        </w:r>
        <w:r w:rsidR="00EF6538">
          <w:rPr>
            <w:noProof/>
            <w:webHidden/>
          </w:rPr>
          <w:fldChar w:fldCharType="begin"/>
        </w:r>
        <w:r w:rsidR="00EF6538">
          <w:rPr>
            <w:noProof/>
            <w:webHidden/>
          </w:rPr>
          <w:instrText xml:space="preserve"> PAGEREF _Toc127198088 \h </w:instrText>
        </w:r>
        <w:r w:rsidR="00EF6538">
          <w:rPr>
            <w:noProof/>
            <w:webHidden/>
          </w:rPr>
        </w:r>
        <w:r w:rsidR="00EF6538">
          <w:rPr>
            <w:noProof/>
            <w:webHidden/>
          </w:rPr>
          <w:fldChar w:fldCharType="separate"/>
        </w:r>
        <w:r w:rsidR="005A6DD8">
          <w:rPr>
            <w:noProof/>
            <w:webHidden/>
          </w:rPr>
          <w:t>215</w:t>
        </w:r>
        <w:r w:rsidR="00EF6538">
          <w:rPr>
            <w:noProof/>
            <w:webHidden/>
          </w:rPr>
          <w:fldChar w:fldCharType="end"/>
        </w:r>
      </w:hyperlink>
    </w:p>
    <w:p w14:paraId="22A1074C" w14:textId="4806745A" w:rsidR="00EF6538" w:rsidRDefault="00000000">
      <w:pPr>
        <w:pStyle w:val="TableofFigures"/>
        <w:tabs>
          <w:tab w:val="right" w:leader="dot" w:pos="9436"/>
        </w:tabs>
        <w:rPr>
          <w:rFonts w:eastAsiaTheme="minorEastAsia" w:cstheme="minorBidi"/>
          <w:noProof/>
          <w:lang w:val="en-US"/>
        </w:rPr>
      </w:pPr>
      <w:hyperlink w:anchor="_Toc127198089" w:history="1">
        <w:r w:rsidR="00EF6538" w:rsidRPr="006519A3">
          <w:rPr>
            <w:rStyle w:val="Hyperlink"/>
            <w:noProof/>
          </w:rPr>
          <w:t>Figura 101 Parcări publice cu plată în Sectorul 2</w:t>
        </w:r>
        <w:r w:rsidR="00EF6538">
          <w:rPr>
            <w:noProof/>
            <w:webHidden/>
          </w:rPr>
          <w:tab/>
        </w:r>
        <w:r w:rsidR="00EF6538">
          <w:rPr>
            <w:noProof/>
            <w:webHidden/>
          </w:rPr>
          <w:fldChar w:fldCharType="begin"/>
        </w:r>
        <w:r w:rsidR="00EF6538">
          <w:rPr>
            <w:noProof/>
            <w:webHidden/>
          </w:rPr>
          <w:instrText xml:space="preserve"> PAGEREF _Toc127198089 \h </w:instrText>
        </w:r>
        <w:r w:rsidR="00EF6538">
          <w:rPr>
            <w:noProof/>
            <w:webHidden/>
          </w:rPr>
        </w:r>
        <w:r w:rsidR="00EF6538">
          <w:rPr>
            <w:noProof/>
            <w:webHidden/>
          </w:rPr>
          <w:fldChar w:fldCharType="separate"/>
        </w:r>
        <w:r w:rsidR="005A6DD8">
          <w:rPr>
            <w:noProof/>
            <w:webHidden/>
          </w:rPr>
          <w:t>218</w:t>
        </w:r>
        <w:r w:rsidR="00EF6538">
          <w:rPr>
            <w:noProof/>
            <w:webHidden/>
          </w:rPr>
          <w:fldChar w:fldCharType="end"/>
        </w:r>
      </w:hyperlink>
    </w:p>
    <w:p w14:paraId="16A1B545" w14:textId="3BA6EEDC" w:rsidR="00EF6538" w:rsidRDefault="00000000">
      <w:pPr>
        <w:pStyle w:val="TableofFigures"/>
        <w:tabs>
          <w:tab w:val="right" w:leader="dot" w:pos="9436"/>
        </w:tabs>
        <w:rPr>
          <w:rFonts w:eastAsiaTheme="minorEastAsia" w:cstheme="minorBidi"/>
          <w:noProof/>
          <w:lang w:val="en-US"/>
        </w:rPr>
      </w:pPr>
      <w:hyperlink w:anchor="_Toc127198090" w:history="1">
        <w:r w:rsidR="00EF6538" w:rsidRPr="006519A3">
          <w:rPr>
            <w:rStyle w:val="Hyperlink"/>
            <w:noProof/>
          </w:rPr>
          <w:t>Figura 102 Accidente rutiere pe teritoriul Sectorului 2, 2018</w:t>
        </w:r>
        <w:r w:rsidR="00EF6538">
          <w:rPr>
            <w:noProof/>
            <w:webHidden/>
          </w:rPr>
          <w:tab/>
        </w:r>
        <w:r w:rsidR="00EF6538">
          <w:rPr>
            <w:noProof/>
            <w:webHidden/>
          </w:rPr>
          <w:fldChar w:fldCharType="begin"/>
        </w:r>
        <w:r w:rsidR="00EF6538">
          <w:rPr>
            <w:noProof/>
            <w:webHidden/>
          </w:rPr>
          <w:instrText xml:space="preserve"> PAGEREF _Toc127198090 \h </w:instrText>
        </w:r>
        <w:r w:rsidR="00EF6538">
          <w:rPr>
            <w:noProof/>
            <w:webHidden/>
          </w:rPr>
        </w:r>
        <w:r w:rsidR="00EF6538">
          <w:rPr>
            <w:noProof/>
            <w:webHidden/>
          </w:rPr>
          <w:fldChar w:fldCharType="separate"/>
        </w:r>
        <w:r w:rsidR="005A6DD8">
          <w:rPr>
            <w:noProof/>
            <w:webHidden/>
          </w:rPr>
          <w:t>219</w:t>
        </w:r>
        <w:r w:rsidR="00EF6538">
          <w:rPr>
            <w:noProof/>
            <w:webHidden/>
          </w:rPr>
          <w:fldChar w:fldCharType="end"/>
        </w:r>
      </w:hyperlink>
    </w:p>
    <w:p w14:paraId="54B3D68E" w14:textId="6F08E516" w:rsidR="00EF6538" w:rsidRDefault="00000000">
      <w:pPr>
        <w:pStyle w:val="TableofFigures"/>
        <w:tabs>
          <w:tab w:val="right" w:leader="dot" w:pos="9436"/>
        </w:tabs>
        <w:rPr>
          <w:rFonts w:eastAsiaTheme="minorEastAsia" w:cstheme="minorBidi"/>
          <w:noProof/>
          <w:lang w:val="en-US"/>
        </w:rPr>
      </w:pPr>
      <w:hyperlink w:anchor="_Toc127198091" w:history="1">
        <w:r w:rsidR="00EF6538" w:rsidRPr="006519A3">
          <w:rPr>
            <w:rStyle w:val="Hyperlink"/>
            <w:noProof/>
          </w:rPr>
          <w:t>Figura 103 Tren metropolitan municipiul București - rute planificate</w:t>
        </w:r>
        <w:r w:rsidR="00EF6538">
          <w:rPr>
            <w:noProof/>
            <w:webHidden/>
          </w:rPr>
          <w:tab/>
        </w:r>
        <w:r w:rsidR="00EF6538">
          <w:rPr>
            <w:noProof/>
            <w:webHidden/>
          </w:rPr>
          <w:fldChar w:fldCharType="begin"/>
        </w:r>
        <w:r w:rsidR="00EF6538">
          <w:rPr>
            <w:noProof/>
            <w:webHidden/>
          </w:rPr>
          <w:instrText xml:space="preserve"> PAGEREF _Toc127198091 \h </w:instrText>
        </w:r>
        <w:r w:rsidR="00EF6538">
          <w:rPr>
            <w:noProof/>
            <w:webHidden/>
          </w:rPr>
        </w:r>
        <w:r w:rsidR="00EF6538">
          <w:rPr>
            <w:noProof/>
            <w:webHidden/>
          </w:rPr>
          <w:fldChar w:fldCharType="separate"/>
        </w:r>
        <w:r w:rsidR="005A6DD8">
          <w:rPr>
            <w:noProof/>
            <w:webHidden/>
          </w:rPr>
          <w:t>221</w:t>
        </w:r>
        <w:r w:rsidR="00EF6538">
          <w:rPr>
            <w:noProof/>
            <w:webHidden/>
          </w:rPr>
          <w:fldChar w:fldCharType="end"/>
        </w:r>
      </w:hyperlink>
    </w:p>
    <w:p w14:paraId="123AF229" w14:textId="7191C428" w:rsidR="00EF6538" w:rsidRDefault="00000000">
      <w:pPr>
        <w:pStyle w:val="TableofFigures"/>
        <w:tabs>
          <w:tab w:val="right" w:leader="dot" w:pos="9436"/>
        </w:tabs>
        <w:rPr>
          <w:rFonts w:eastAsiaTheme="minorEastAsia" w:cstheme="minorBidi"/>
          <w:noProof/>
          <w:lang w:val="en-US"/>
        </w:rPr>
      </w:pPr>
      <w:hyperlink w:anchor="_Toc127198092" w:history="1">
        <w:r w:rsidR="00EF6538" w:rsidRPr="006519A3">
          <w:rPr>
            <w:rStyle w:val="Hyperlink"/>
            <w:noProof/>
          </w:rPr>
          <w:t>Figura 104 Izocrone de accesibilitate pietonală față de Gara Obor</w:t>
        </w:r>
        <w:r w:rsidR="00EF6538">
          <w:rPr>
            <w:noProof/>
            <w:webHidden/>
          </w:rPr>
          <w:tab/>
        </w:r>
        <w:r w:rsidR="00EF6538">
          <w:rPr>
            <w:noProof/>
            <w:webHidden/>
          </w:rPr>
          <w:fldChar w:fldCharType="begin"/>
        </w:r>
        <w:r w:rsidR="00EF6538">
          <w:rPr>
            <w:noProof/>
            <w:webHidden/>
          </w:rPr>
          <w:instrText xml:space="preserve"> PAGEREF _Toc127198092 \h </w:instrText>
        </w:r>
        <w:r w:rsidR="00EF6538">
          <w:rPr>
            <w:noProof/>
            <w:webHidden/>
          </w:rPr>
        </w:r>
        <w:r w:rsidR="00EF6538">
          <w:rPr>
            <w:noProof/>
            <w:webHidden/>
          </w:rPr>
          <w:fldChar w:fldCharType="separate"/>
        </w:r>
        <w:r w:rsidR="005A6DD8">
          <w:rPr>
            <w:noProof/>
            <w:webHidden/>
          </w:rPr>
          <w:t>222</w:t>
        </w:r>
        <w:r w:rsidR="00EF6538">
          <w:rPr>
            <w:noProof/>
            <w:webHidden/>
          </w:rPr>
          <w:fldChar w:fldCharType="end"/>
        </w:r>
      </w:hyperlink>
    </w:p>
    <w:p w14:paraId="7A68C9EF" w14:textId="47C4C9CD" w:rsidR="00EF6538" w:rsidRDefault="00000000">
      <w:pPr>
        <w:pStyle w:val="TableofFigures"/>
        <w:tabs>
          <w:tab w:val="right" w:leader="dot" w:pos="9436"/>
        </w:tabs>
        <w:rPr>
          <w:rFonts w:eastAsiaTheme="minorEastAsia" w:cstheme="minorBidi"/>
          <w:noProof/>
          <w:lang w:val="en-US"/>
        </w:rPr>
      </w:pPr>
      <w:hyperlink w:anchor="_Toc127198093" w:history="1">
        <w:r w:rsidR="00EF6538" w:rsidRPr="006519A3">
          <w:rPr>
            <w:rStyle w:val="Hyperlink"/>
            <w:noProof/>
          </w:rPr>
          <w:t>Figura 105 Deservirea Sectorului 2 cu transportul public de suprafață</w:t>
        </w:r>
        <w:r w:rsidR="00EF6538">
          <w:rPr>
            <w:noProof/>
            <w:webHidden/>
          </w:rPr>
          <w:tab/>
        </w:r>
        <w:r w:rsidR="00EF6538">
          <w:rPr>
            <w:noProof/>
            <w:webHidden/>
          </w:rPr>
          <w:fldChar w:fldCharType="begin"/>
        </w:r>
        <w:r w:rsidR="00EF6538">
          <w:rPr>
            <w:noProof/>
            <w:webHidden/>
          </w:rPr>
          <w:instrText xml:space="preserve"> PAGEREF _Toc127198093 \h </w:instrText>
        </w:r>
        <w:r w:rsidR="00EF6538">
          <w:rPr>
            <w:noProof/>
            <w:webHidden/>
          </w:rPr>
        </w:r>
        <w:r w:rsidR="00EF6538">
          <w:rPr>
            <w:noProof/>
            <w:webHidden/>
          </w:rPr>
          <w:fldChar w:fldCharType="separate"/>
        </w:r>
        <w:r w:rsidR="005A6DD8">
          <w:rPr>
            <w:noProof/>
            <w:webHidden/>
          </w:rPr>
          <w:t>225</w:t>
        </w:r>
        <w:r w:rsidR="00EF6538">
          <w:rPr>
            <w:noProof/>
            <w:webHidden/>
          </w:rPr>
          <w:fldChar w:fldCharType="end"/>
        </w:r>
      </w:hyperlink>
    </w:p>
    <w:p w14:paraId="2117DB20" w14:textId="090CE8CF" w:rsidR="00EF6538" w:rsidRDefault="00000000">
      <w:pPr>
        <w:pStyle w:val="TableofFigures"/>
        <w:tabs>
          <w:tab w:val="right" w:leader="dot" w:pos="9436"/>
        </w:tabs>
        <w:rPr>
          <w:rFonts w:eastAsiaTheme="minorEastAsia" w:cstheme="minorBidi"/>
          <w:noProof/>
          <w:lang w:val="en-US"/>
        </w:rPr>
      </w:pPr>
      <w:hyperlink w:anchor="_Toc127198094" w:history="1">
        <w:r w:rsidR="00EF6538" w:rsidRPr="006519A3">
          <w:rPr>
            <w:rStyle w:val="Hyperlink"/>
            <w:noProof/>
          </w:rPr>
          <w:t>Figura 106 Deservirea Sectorului 2 cu transportul public subteran</w:t>
        </w:r>
        <w:r w:rsidR="00EF6538">
          <w:rPr>
            <w:noProof/>
            <w:webHidden/>
          </w:rPr>
          <w:tab/>
        </w:r>
        <w:r w:rsidR="00EF6538">
          <w:rPr>
            <w:noProof/>
            <w:webHidden/>
          </w:rPr>
          <w:fldChar w:fldCharType="begin"/>
        </w:r>
        <w:r w:rsidR="00EF6538">
          <w:rPr>
            <w:noProof/>
            <w:webHidden/>
          </w:rPr>
          <w:instrText xml:space="preserve"> PAGEREF _Toc127198094 \h </w:instrText>
        </w:r>
        <w:r w:rsidR="00EF6538">
          <w:rPr>
            <w:noProof/>
            <w:webHidden/>
          </w:rPr>
        </w:r>
        <w:r w:rsidR="00EF6538">
          <w:rPr>
            <w:noProof/>
            <w:webHidden/>
          </w:rPr>
          <w:fldChar w:fldCharType="separate"/>
        </w:r>
        <w:r w:rsidR="005A6DD8">
          <w:rPr>
            <w:noProof/>
            <w:webHidden/>
          </w:rPr>
          <w:t>227</w:t>
        </w:r>
        <w:r w:rsidR="00EF6538">
          <w:rPr>
            <w:noProof/>
            <w:webHidden/>
          </w:rPr>
          <w:fldChar w:fldCharType="end"/>
        </w:r>
      </w:hyperlink>
    </w:p>
    <w:p w14:paraId="2B3E137F" w14:textId="3027B104" w:rsidR="00EF6538" w:rsidRDefault="00000000">
      <w:pPr>
        <w:pStyle w:val="TableofFigures"/>
        <w:tabs>
          <w:tab w:val="right" w:leader="dot" w:pos="9436"/>
        </w:tabs>
        <w:rPr>
          <w:rFonts w:eastAsiaTheme="minorEastAsia" w:cstheme="minorBidi"/>
          <w:noProof/>
          <w:lang w:val="en-US"/>
        </w:rPr>
      </w:pPr>
      <w:hyperlink w:anchor="_Toc127198095" w:history="1">
        <w:r w:rsidR="00EF6538" w:rsidRPr="006519A3">
          <w:rPr>
            <w:rStyle w:val="Hyperlink"/>
            <w:noProof/>
          </w:rPr>
          <w:t>Figura 107 Clasificarea infrastructurii pietonale în Sectorul 2</w:t>
        </w:r>
        <w:r w:rsidR="00EF6538">
          <w:rPr>
            <w:noProof/>
            <w:webHidden/>
          </w:rPr>
          <w:tab/>
        </w:r>
        <w:r w:rsidR="00EF6538">
          <w:rPr>
            <w:noProof/>
            <w:webHidden/>
          </w:rPr>
          <w:fldChar w:fldCharType="begin"/>
        </w:r>
        <w:r w:rsidR="00EF6538">
          <w:rPr>
            <w:noProof/>
            <w:webHidden/>
          </w:rPr>
          <w:instrText xml:space="preserve"> PAGEREF _Toc127198095 \h </w:instrText>
        </w:r>
        <w:r w:rsidR="00EF6538">
          <w:rPr>
            <w:noProof/>
            <w:webHidden/>
          </w:rPr>
        </w:r>
        <w:r w:rsidR="00EF6538">
          <w:rPr>
            <w:noProof/>
            <w:webHidden/>
          </w:rPr>
          <w:fldChar w:fldCharType="separate"/>
        </w:r>
        <w:r w:rsidR="005A6DD8">
          <w:rPr>
            <w:noProof/>
            <w:webHidden/>
          </w:rPr>
          <w:t>231</w:t>
        </w:r>
        <w:r w:rsidR="00EF6538">
          <w:rPr>
            <w:noProof/>
            <w:webHidden/>
          </w:rPr>
          <w:fldChar w:fldCharType="end"/>
        </w:r>
      </w:hyperlink>
    </w:p>
    <w:p w14:paraId="077EC3CF" w14:textId="162699FD" w:rsidR="00EF6538" w:rsidRDefault="00000000">
      <w:pPr>
        <w:pStyle w:val="TableofFigures"/>
        <w:tabs>
          <w:tab w:val="right" w:leader="dot" w:pos="9436"/>
        </w:tabs>
        <w:rPr>
          <w:rFonts w:eastAsiaTheme="minorEastAsia" w:cstheme="minorBidi"/>
          <w:noProof/>
          <w:lang w:val="en-US"/>
        </w:rPr>
      </w:pPr>
      <w:hyperlink w:anchor="_Toc127198096" w:history="1">
        <w:r w:rsidR="00EF6538" w:rsidRPr="006519A3">
          <w:rPr>
            <w:rStyle w:val="Hyperlink"/>
            <w:noProof/>
          </w:rPr>
          <w:t>Figura 108 Piste de biciclete pe șos. Fabrica de Glucoză</w:t>
        </w:r>
        <w:r w:rsidR="00EF6538">
          <w:rPr>
            <w:noProof/>
            <w:webHidden/>
          </w:rPr>
          <w:tab/>
        </w:r>
        <w:r w:rsidR="00EF6538">
          <w:rPr>
            <w:noProof/>
            <w:webHidden/>
          </w:rPr>
          <w:fldChar w:fldCharType="begin"/>
        </w:r>
        <w:r w:rsidR="00EF6538">
          <w:rPr>
            <w:noProof/>
            <w:webHidden/>
          </w:rPr>
          <w:instrText xml:space="preserve"> PAGEREF _Toc127198096 \h </w:instrText>
        </w:r>
        <w:r w:rsidR="00EF6538">
          <w:rPr>
            <w:noProof/>
            <w:webHidden/>
          </w:rPr>
        </w:r>
        <w:r w:rsidR="00EF6538">
          <w:rPr>
            <w:noProof/>
            <w:webHidden/>
          </w:rPr>
          <w:fldChar w:fldCharType="separate"/>
        </w:r>
        <w:r w:rsidR="005A6DD8">
          <w:rPr>
            <w:noProof/>
            <w:webHidden/>
          </w:rPr>
          <w:t>233</w:t>
        </w:r>
        <w:r w:rsidR="00EF6538">
          <w:rPr>
            <w:noProof/>
            <w:webHidden/>
          </w:rPr>
          <w:fldChar w:fldCharType="end"/>
        </w:r>
      </w:hyperlink>
    </w:p>
    <w:p w14:paraId="252A996B" w14:textId="08B1216B" w:rsidR="00EF6538" w:rsidRDefault="00000000">
      <w:pPr>
        <w:pStyle w:val="TableofFigures"/>
        <w:tabs>
          <w:tab w:val="right" w:leader="dot" w:pos="9436"/>
        </w:tabs>
        <w:rPr>
          <w:rFonts w:eastAsiaTheme="minorEastAsia" w:cstheme="minorBidi"/>
          <w:noProof/>
          <w:lang w:val="en-US"/>
        </w:rPr>
      </w:pPr>
      <w:hyperlink w:anchor="_Toc127198097" w:history="1">
        <w:r w:rsidR="00EF6538" w:rsidRPr="006519A3">
          <w:rPr>
            <w:rStyle w:val="Hyperlink"/>
            <w:noProof/>
          </w:rPr>
          <w:t>Figura 109 Pistă de biciclete pe șos. Pantelimon</w:t>
        </w:r>
        <w:r w:rsidR="00EF6538">
          <w:rPr>
            <w:noProof/>
            <w:webHidden/>
          </w:rPr>
          <w:tab/>
        </w:r>
        <w:r w:rsidR="00EF6538">
          <w:rPr>
            <w:noProof/>
            <w:webHidden/>
          </w:rPr>
          <w:fldChar w:fldCharType="begin"/>
        </w:r>
        <w:r w:rsidR="00EF6538">
          <w:rPr>
            <w:noProof/>
            <w:webHidden/>
          </w:rPr>
          <w:instrText xml:space="preserve"> PAGEREF _Toc127198097 \h </w:instrText>
        </w:r>
        <w:r w:rsidR="00EF6538">
          <w:rPr>
            <w:noProof/>
            <w:webHidden/>
          </w:rPr>
        </w:r>
        <w:r w:rsidR="00EF6538">
          <w:rPr>
            <w:noProof/>
            <w:webHidden/>
          </w:rPr>
          <w:fldChar w:fldCharType="separate"/>
        </w:r>
        <w:r w:rsidR="005A6DD8">
          <w:rPr>
            <w:noProof/>
            <w:webHidden/>
          </w:rPr>
          <w:t>233</w:t>
        </w:r>
        <w:r w:rsidR="00EF6538">
          <w:rPr>
            <w:noProof/>
            <w:webHidden/>
          </w:rPr>
          <w:fldChar w:fldCharType="end"/>
        </w:r>
      </w:hyperlink>
    </w:p>
    <w:p w14:paraId="6E4C60B4" w14:textId="706C56CB" w:rsidR="00EF6538" w:rsidRDefault="00000000">
      <w:pPr>
        <w:pStyle w:val="TableofFigures"/>
        <w:tabs>
          <w:tab w:val="right" w:leader="dot" w:pos="9436"/>
        </w:tabs>
        <w:rPr>
          <w:rFonts w:eastAsiaTheme="minorEastAsia" w:cstheme="minorBidi"/>
          <w:noProof/>
          <w:lang w:val="en-US"/>
        </w:rPr>
      </w:pPr>
      <w:hyperlink w:anchor="_Toc127198098" w:history="1">
        <w:r w:rsidR="00EF6538" w:rsidRPr="006519A3">
          <w:rPr>
            <w:rStyle w:val="Hyperlink"/>
            <w:noProof/>
          </w:rPr>
          <w:t>Figura 110 Cele mai frecvente deplasări cu bicicleta în Sectorul 2, 2022</w:t>
        </w:r>
        <w:r w:rsidR="00EF6538">
          <w:rPr>
            <w:noProof/>
            <w:webHidden/>
          </w:rPr>
          <w:tab/>
        </w:r>
        <w:r w:rsidR="00EF6538">
          <w:rPr>
            <w:noProof/>
            <w:webHidden/>
          </w:rPr>
          <w:fldChar w:fldCharType="begin"/>
        </w:r>
        <w:r w:rsidR="00EF6538">
          <w:rPr>
            <w:noProof/>
            <w:webHidden/>
          </w:rPr>
          <w:instrText xml:space="preserve"> PAGEREF _Toc127198098 \h </w:instrText>
        </w:r>
        <w:r w:rsidR="00EF6538">
          <w:rPr>
            <w:noProof/>
            <w:webHidden/>
          </w:rPr>
        </w:r>
        <w:r w:rsidR="00EF6538">
          <w:rPr>
            <w:noProof/>
            <w:webHidden/>
          </w:rPr>
          <w:fldChar w:fldCharType="separate"/>
        </w:r>
        <w:r w:rsidR="005A6DD8">
          <w:rPr>
            <w:noProof/>
            <w:webHidden/>
          </w:rPr>
          <w:t>234</w:t>
        </w:r>
        <w:r w:rsidR="00EF6538">
          <w:rPr>
            <w:noProof/>
            <w:webHidden/>
          </w:rPr>
          <w:fldChar w:fldCharType="end"/>
        </w:r>
      </w:hyperlink>
    </w:p>
    <w:p w14:paraId="0326DA7F" w14:textId="556F6C25" w:rsidR="00EF6538" w:rsidRDefault="00000000">
      <w:pPr>
        <w:pStyle w:val="TableofFigures"/>
        <w:tabs>
          <w:tab w:val="right" w:leader="dot" w:pos="9436"/>
        </w:tabs>
        <w:rPr>
          <w:rFonts w:eastAsiaTheme="minorEastAsia" w:cstheme="minorBidi"/>
          <w:noProof/>
          <w:lang w:val="en-US"/>
        </w:rPr>
      </w:pPr>
      <w:hyperlink w:anchor="_Toc127198099" w:history="1">
        <w:r w:rsidR="00EF6538" w:rsidRPr="006519A3">
          <w:rPr>
            <w:rStyle w:val="Hyperlink"/>
            <w:noProof/>
          </w:rPr>
          <w:t>Figura 111 Bike-sharing în municipiul București</w:t>
        </w:r>
        <w:r w:rsidR="00EF6538">
          <w:rPr>
            <w:noProof/>
            <w:webHidden/>
          </w:rPr>
          <w:tab/>
        </w:r>
        <w:r w:rsidR="00EF6538">
          <w:rPr>
            <w:noProof/>
            <w:webHidden/>
          </w:rPr>
          <w:fldChar w:fldCharType="begin"/>
        </w:r>
        <w:r w:rsidR="00EF6538">
          <w:rPr>
            <w:noProof/>
            <w:webHidden/>
          </w:rPr>
          <w:instrText xml:space="preserve"> PAGEREF _Toc127198099 \h </w:instrText>
        </w:r>
        <w:r w:rsidR="00EF6538">
          <w:rPr>
            <w:noProof/>
            <w:webHidden/>
          </w:rPr>
        </w:r>
        <w:r w:rsidR="00EF6538">
          <w:rPr>
            <w:noProof/>
            <w:webHidden/>
          </w:rPr>
          <w:fldChar w:fldCharType="separate"/>
        </w:r>
        <w:r w:rsidR="005A6DD8">
          <w:rPr>
            <w:noProof/>
            <w:webHidden/>
          </w:rPr>
          <w:t>235</w:t>
        </w:r>
        <w:r w:rsidR="00EF6538">
          <w:rPr>
            <w:noProof/>
            <w:webHidden/>
          </w:rPr>
          <w:fldChar w:fldCharType="end"/>
        </w:r>
      </w:hyperlink>
    </w:p>
    <w:p w14:paraId="0498EC6B" w14:textId="1954DDCD" w:rsidR="00EF6538" w:rsidRDefault="00000000">
      <w:pPr>
        <w:pStyle w:val="TableofFigures"/>
        <w:tabs>
          <w:tab w:val="right" w:leader="dot" w:pos="9436"/>
        </w:tabs>
        <w:rPr>
          <w:rFonts w:eastAsiaTheme="minorEastAsia" w:cstheme="minorBidi"/>
          <w:noProof/>
          <w:lang w:val="en-US"/>
        </w:rPr>
      </w:pPr>
      <w:hyperlink w:anchor="_Toc127198100" w:history="1">
        <w:r w:rsidR="00EF6538" w:rsidRPr="006519A3">
          <w:rPr>
            <w:rStyle w:val="Hyperlink"/>
            <w:noProof/>
          </w:rPr>
          <w:t>Figura 112 Valoarea accelerației terenului pentru cutremure având IMR de 225 de ani</w:t>
        </w:r>
        <w:r w:rsidR="00EF6538">
          <w:rPr>
            <w:noProof/>
            <w:webHidden/>
          </w:rPr>
          <w:tab/>
        </w:r>
        <w:r w:rsidR="00EF6538">
          <w:rPr>
            <w:noProof/>
            <w:webHidden/>
          </w:rPr>
          <w:fldChar w:fldCharType="begin"/>
        </w:r>
        <w:r w:rsidR="00EF6538">
          <w:rPr>
            <w:noProof/>
            <w:webHidden/>
          </w:rPr>
          <w:instrText xml:space="preserve"> PAGEREF _Toc127198100 \h </w:instrText>
        </w:r>
        <w:r w:rsidR="00EF6538">
          <w:rPr>
            <w:noProof/>
            <w:webHidden/>
          </w:rPr>
        </w:r>
        <w:r w:rsidR="00EF6538">
          <w:rPr>
            <w:noProof/>
            <w:webHidden/>
          </w:rPr>
          <w:fldChar w:fldCharType="separate"/>
        </w:r>
        <w:r w:rsidR="005A6DD8">
          <w:rPr>
            <w:noProof/>
            <w:webHidden/>
          </w:rPr>
          <w:t>237</w:t>
        </w:r>
        <w:r w:rsidR="00EF6538">
          <w:rPr>
            <w:noProof/>
            <w:webHidden/>
          </w:rPr>
          <w:fldChar w:fldCharType="end"/>
        </w:r>
      </w:hyperlink>
    </w:p>
    <w:p w14:paraId="79B273C6" w14:textId="5CBA1C62" w:rsidR="00EF6538" w:rsidRDefault="00000000">
      <w:pPr>
        <w:pStyle w:val="TableofFigures"/>
        <w:tabs>
          <w:tab w:val="right" w:leader="dot" w:pos="9436"/>
        </w:tabs>
        <w:rPr>
          <w:rFonts w:eastAsiaTheme="minorEastAsia" w:cstheme="minorBidi"/>
          <w:noProof/>
          <w:lang w:val="en-US"/>
        </w:rPr>
      </w:pPr>
      <w:hyperlink w:anchor="_Toc127198101" w:history="1">
        <w:r w:rsidR="00EF6538" w:rsidRPr="006519A3">
          <w:rPr>
            <w:rStyle w:val="Hyperlink"/>
            <w:noProof/>
          </w:rPr>
          <w:t>Figura 113 Clădiri expertizate tehnic și încadrate în clase de risc seismic sau de urgență</w:t>
        </w:r>
        <w:r w:rsidR="00EF6538">
          <w:rPr>
            <w:noProof/>
            <w:webHidden/>
          </w:rPr>
          <w:tab/>
        </w:r>
        <w:r w:rsidR="00EF6538">
          <w:rPr>
            <w:noProof/>
            <w:webHidden/>
          </w:rPr>
          <w:fldChar w:fldCharType="begin"/>
        </w:r>
        <w:r w:rsidR="00EF6538">
          <w:rPr>
            <w:noProof/>
            <w:webHidden/>
          </w:rPr>
          <w:instrText xml:space="preserve"> PAGEREF _Toc127198101 \h </w:instrText>
        </w:r>
        <w:r w:rsidR="00EF6538">
          <w:rPr>
            <w:noProof/>
            <w:webHidden/>
          </w:rPr>
        </w:r>
        <w:r w:rsidR="00EF6538">
          <w:rPr>
            <w:noProof/>
            <w:webHidden/>
          </w:rPr>
          <w:fldChar w:fldCharType="separate"/>
        </w:r>
        <w:r w:rsidR="005A6DD8">
          <w:rPr>
            <w:noProof/>
            <w:webHidden/>
          </w:rPr>
          <w:t>239</w:t>
        </w:r>
        <w:r w:rsidR="00EF6538">
          <w:rPr>
            <w:noProof/>
            <w:webHidden/>
          </w:rPr>
          <w:fldChar w:fldCharType="end"/>
        </w:r>
      </w:hyperlink>
    </w:p>
    <w:p w14:paraId="4E107EE3" w14:textId="25D2C41C" w:rsidR="00EF6538" w:rsidRDefault="00000000">
      <w:pPr>
        <w:pStyle w:val="TableofFigures"/>
        <w:tabs>
          <w:tab w:val="right" w:leader="dot" w:pos="9436"/>
        </w:tabs>
        <w:rPr>
          <w:rFonts w:eastAsiaTheme="minorEastAsia" w:cstheme="minorBidi"/>
          <w:noProof/>
          <w:lang w:val="en-US"/>
        </w:rPr>
      </w:pPr>
      <w:hyperlink w:anchor="_Toc127198102" w:history="1">
        <w:r w:rsidR="00EF6538" w:rsidRPr="006519A3">
          <w:rPr>
            <w:rStyle w:val="Hyperlink"/>
            <w:noProof/>
          </w:rPr>
          <w:t>Figura 114 Zone inundabile – Sectorul 2 al Municipiului București</w:t>
        </w:r>
        <w:r w:rsidR="00EF6538">
          <w:rPr>
            <w:noProof/>
            <w:webHidden/>
          </w:rPr>
          <w:tab/>
        </w:r>
        <w:r w:rsidR="00EF6538">
          <w:rPr>
            <w:noProof/>
            <w:webHidden/>
          </w:rPr>
          <w:fldChar w:fldCharType="begin"/>
        </w:r>
        <w:r w:rsidR="00EF6538">
          <w:rPr>
            <w:noProof/>
            <w:webHidden/>
          </w:rPr>
          <w:instrText xml:space="preserve"> PAGEREF _Toc127198102 \h </w:instrText>
        </w:r>
        <w:r w:rsidR="00EF6538">
          <w:rPr>
            <w:noProof/>
            <w:webHidden/>
          </w:rPr>
        </w:r>
        <w:r w:rsidR="00EF6538">
          <w:rPr>
            <w:noProof/>
            <w:webHidden/>
          </w:rPr>
          <w:fldChar w:fldCharType="separate"/>
        </w:r>
        <w:r w:rsidR="005A6DD8">
          <w:rPr>
            <w:noProof/>
            <w:webHidden/>
          </w:rPr>
          <w:t>241</w:t>
        </w:r>
        <w:r w:rsidR="00EF6538">
          <w:rPr>
            <w:noProof/>
            <w:webHidden/>
          </w:rPr>
          <w:fldChar w:fldCharType="end"/>
        </w:r>
      </w:hyperlink>
    </w:p>
    <w:p w14:paraId="69E0A0DB" w14:textId="7DB5AD1C" w:rsidR="00EF6538" w:rsidRDefault="00000000">
      <w:pPr>
        <w:pStyle w:val="TableofFigures"/>
        <w:tabs>
          <w:tab w:val="right" w:leader="dot" w:pos="9436"/>
        </w:tabs>
        <w:rPr>
          <w:rFonts w:eastAsiaTheme="minorEastAsia" w:cstheme="minorBidi"/>
          <w:noProof/>
          <w:lang w:val="en-US"/>
        </w:rPr>
      </w:pPr>
      <w:hyperlink w:anchor="_Toc127198103" w:history="1">
        <w:r w:rsidR="00EF6538" w:rsidRPr="006519A3">
          <w:rPr>
            <w:rStyle w:val="Hyperlink"/>
            <w:noProof/>
          </w:rPr>
          <w:t>Figura 115 Evoluția temperaturii medii a aerului în perioada 1990 – 2020 la stația meteorologică Băneasa</w:t>
        </w:r>
        <w:r w:rsidR="00EF6538">
          <w:rPr>
            <w:noProof/>
            <w:webHidden/>
          </w:rPr>
          <w:tab/>
        </w:r>
        <w:r w:rsidR="00EF6538">
          <w:rPr>
            <w:noProof/>
            <w:webHidden/>
          </w:rPr>
          <w:fldChar w:fldCharType="begin"/>
        </w:r>
        <w:r w:rsidR="00EF6538">
          <w:rPr>
            <w:noProof/>
            <w:webHidden/>
          </w:rPr>
          <w:instrText xml:space="preserve"> PAGEREF _Toc127198103 \h </w:instrText>
        </w:r>
        <w:r w:rsidR="00EF6538">
          <w:rPr>
            <w:noProof/>
            <w:webHidden/>
          </w:rPr>
        </w:r>
        <w:r w:rsidR="00EF6538">
          <w:rPr>
            <w:noProof/>
            <w:webHidden/>
          </w:rPr>
          <w:fldChar w:fldCharType="separate"/>
        </w:r>
        <w:r w:rsidR="005A6DD8">
          <w:rPr>
            <w:noProof/>
            <w:webHidden/>
          </w:rPr>
          <w:t>242</w:t>
        </w:r>
        <w:r w:rsidR="00EF6538">
          <w:rPr>
            <w:noProof/>
            <w:webHidden/>
          </w:rPr>
          <w:fldChar w:fldCharType="end"/>
        </w:r>
      </w:hyperlink>
    </w:p>
    <w:p w14:paraId="6987DBF4" w14:textId="624A1478" w:rsidR="00EF6538" w:rsidRDefault="00000000">
      <w:pPr>
        <w:pStyle w:val="TableofFigures"/>
        <w:tabs>
          <w:tab w:val="right" w:leader="dot" w:pos="9436"/>
        </w:tabs>
        <w:rPr>
          <w:rFonts w:eastAsiaTheme="minorEastAsia" w:cstheme="minorBidi"/>
          <w:noProof/>
          <w:lang w:val="en-US"/>
        </w:rPr>
      </w:pPr>
      <w:hyperlink w:anchor="_Toc127198104" w:history="1">
        <w:r w:rsidR="00EF6538" w:rsidRPr="006519A3">
          <w:rPr>
            <w:rStyle w:val="Hyperlink"/>
            <w:noProof/>
          </w:rPr>
          <w:t>Figura 116 Evoluția numărului de zile tropicale în perioada 1990 – 2020 la stația meteorologică Băneasa</w:t>
        </w:r>
        <w:r w:rsidR="00EF6538">
          <w:rPr>
            <w:noProof/>
            <w:webHidden/>
          </w:rPr>
          <w:tab/>
        </w:r>
        <w:r w:rsidR="00EF6538">
          <w:rPr>
            <w:noProof/>
            <w:webHidden/>
          </w:rPr>
          <w:fldChar w:fldCharType="begin"/>
        </w:r>
        <w:r w:rsidR="00EF6538">
          <w:rPr>
            <w:noProof/>
            <w:webHidden/>
          </w:rPr>
          <w:instrText xml:space="preserve"> PAGEREF _Toc127198104 \h </w:instrText>
        </w:r>
        <w:r w:rsidR="00EF6538">
          <w:rPr>
            <w:noProof/>
            <w:webHidden/>
          </w:rPr>
        </w:r>
        <w:r w:rsidR="00EF6538">
          <w:rPr>
            <w:noProof/>
            <w:webHidden/>
          </w:rPr>
          <w:fldChar w:fldCharType="separate"/>
        </w:r>
        <w:r w:rsidR="005A6DD8">
          <w:rPr>
            <w:noProof/>
            <w:webHidden/>
          </w:rPr>
          <w:t>242</w:t>
        </w:r>
        <w:r w:rsidR="00EF6538">
          <w:rPr>
            <w:noProof/>
            <w:webHidden/>
          </w:rPr>
          <w:fldChar w:fldCharType="end"/>
        </w:r>
      </w:hyperlink>
    </w:p>
    <w:p w14:paraId="1C0E1D26" w14:textId="547A4ADD" w:rsidR="00EF6538" w:rsidRDefault="00000000">
      <w:pPr>
        <w:pStyle w:val="TableofFigures"/>
        <w:tabs>
          <w:tab w:val="right" w:leader="dot" w:pos="9436"/>
        </w:tabs>
        <w:rPr>
          <w:rFonts w:eastAsiaTheme="minorEastAsia" w:cstheme="minorBidi"/>
          <w:noProof/>
          <w:lang w:val="en-US"/>
        </w:rPr>
      </w:pPr>
      <w:hyperlink w:anchor="_Toc127198105" w:history="1">
        <w:r w:rsidR="00EF6538" w:rsidRPr="006519A3">
          <w:rPr>
            <w:rStyle w:val="Hyperlink"/>
            <w:noProof/>
          </w:rPr>
          <w:t>Figura 117 Radiația solară globală în România</w:t>
        </w:r>
        <w:r w:rsidR="00EF6538">
          <w:rPr>
            <w:noProof/>
            <w:webHidden/>
          </w:rPr>
          <w:tab/>
        </w:r>
        <w:r w:rsidR="00EF6538">
          <w:rPr>
            <w:noProof/>
            <w:webHidden/>
          </w:rPr>
          <w:fldChar w:fldCharType="begin"/>
        </w:r>
        <w:r w:rsidR="00EF6538">
          <w:rPr>
            <w:noProof/>
            <w:webHidden/>
          </w:rPr>
          <w:instrText xml:space="preserve"> PAGEREF _Toc127198105 \h </w:instrText>
        </w:r>
        <w:r w:rsidR="00EF6538">
          <w:rPr>
            <w:noProof/>
            <w:webHidden/>
          </w:rPr>
        </w:r>
        <w:r w:rsidR="00EF6538">
          <w:rPr>
            <w:noProof/>
            <w:webHidden/>
          </w:rPr>
          <w:fldChar w:fldCharType="separate"/>
        </w:r>
        <w:r w:rsidR="005A6DD8">
          <w:rPr>
            <w:noProof/>
            <w:webHidden/>
          </w:rPr>
          <w:t>243</w:t>
        </w:r>
        <w:r w:rsidR="00EF6538">
          <w:rPr>
            <w:noProof/>
            <w:webHidden/>
          </w:rPr>
          <w:fldChar w:fldCharType="end"/>
        </w:r>
      </w:hyperlink>
    </w:p>
    <w:p w14:paraId="6480F7CB" w14:textId="1FFE7204" w:rsidR="00EF6538" w:rsidRDefault="00000000">
      <w:pPr>
        <w:pStyle w:val="TableofFigures"/>
        <w:tabs>
          <w:tab w:val="right" w:leader="dot" w:pos="9436"/>
        </w:tabs>
        <w:rPr>
          <w:rFonts w:eastAsiaTheme="minorEastAsia" w:cstheme="minorBidi"/>
          <w:noProof/>
          <w:lang w:val="en-US"/>
        </w:rPr>
      </w:pPr>
      <w:hyperlink w:anchor="_Toc127198106" w:history="1">
        <w:r w:rsidR="00EF6538" w:rsidRPr="006519A3">
          <w:rPr>
            <w:rStyle w:val="Hyperlink"/>
            <w:noProof/>
          </w:rPr>
          <w:t>Figura 118 Concentrații medii anuale la stația B-3 (Mihai Bravu)</w:t>
        </w:r>
        <w:r w:rsidR="00EF6538">
          <w:rPr>
            <w:noProof/>
            <w:webHidden/>
          </w:rPr>
          <w:tab/>
        </w:r>
        <w:r w:rsidR="00EF6538">
          <w:rPr>
            <w:noProof/>
            <w:webHidden/>
          </w:rPr>
          <w:fldChar w:fldCharType="begin"/>
        </w:r>
        <w:r w:rsidR="00EF6538">
          <w:rPr>
            <w:noProof/>
            <w:webHidden/>
          </w:rPr>
          <w:instrText xml:space="preserve"> PAGEREF _Toc127198106 \h </w:instrText>
        </w:r>
        <w:r w:rsidR="00EF6538">
          <w:rPr>
            <w:noProof/>
            <w:webHidden/>
          </w:rPr>
        </w:r>
        <w:r w:rsidR="00EF6538">
          <w:rPr>
            <w:noProof/>
            <w:webHidden/>
          </w:rPr>
          <w:fldChar w:fldCharType="separate"/>
        </w:r>
        <w:r w:rsidR="005A6DD8">
          <w:rPr>
            <w:noProof/>
            <w:webHidden/>
          </w:rPr>
          <w:t>246</w:t>
        </w:r>
        <w:r w:rsidR="00EF6538">
          <w:rPr>
            <w:noProof/>
            <w:webHidden/>
          </w:rPr>
          <w:fldChar w:fldCharType="end"/>
        </w:r>
      </w:hyperlink>
    </w:p>
    <w:p w14:paraId="42AF2167" w14:textId="70A8C9D6" w:rsidR="00EF6538" w:rsidRDefault="00000000">
      <w:pPr>
        <w:pStyle w:val="TableofFigures"/>
        <w:tabs>
          <w:tab w:val="right" w:leader="dot" w:pos="9436"/>
        </w:tabs>
        <w:rPr>
          <w:rFonts w:eastAsiaTheme="minorEastAsia" w:cstheme="minorBidi"/>
          <w:noProof/>
          <w:lang w:val="en-US"/>
        </w:rPr>
      </w:pPr>
      <w:hyperlink w:anchor="_Toc127198107" w:history="1">
        <w:r w:rsidR="00EF6538" w:rsidRPr="006519A3">
          <w:rPr>
            <w:rStyle w:val="Hyperlink"/>
            <w:noProof/>
          </w:rPr>
          <w:t>Figura 119 Spații verzi aflate în evidența adp sector 2 (ha)</w:t>
        </w:r>
        <w:r w:rsidR="00EF6538">
          <w:rPr>
            <w:noProof/>
            <w:webHidden/>
          </w:rPr>
          <w:tab/>
        </w:r>
        <w:r w:rsidR="00EF6538">
          <w:rPr>
            <w:noProof/>
            <w:webHidden/>
          </w:rPr>
          <w:fldChar w:fldCharType="begin"/>
        </w:r>
        <w:r w:rsidR="00EF6538">
          <w:rPr>
            <w:noProof/>
            <w:webHidden/>
          </w:rPr>
          <w:instrText xml:space="preserve"> PAGEREF _Toc127198107 \h </w:instrText>
        </w:r>
        <w:r w:rsidR="00EF6538">
          <w:rPr>
            <w:noProof/>
            <w:webHidden/>
          </w:rPr>
        </w:r>
        <w:r w:rsidR="00EF6538">
          <w:rPr>
            <w:noProof/>
            <w:webHidden/>
          </w:rPr>
          <w:fldChar w:fldCharType="separate"/>
        </w:r>
        <w:r w:rsidR="005A6DD8">
          <w:rPr>
            <w:noProof/>
            <w:webHidden/>
          </w:rPr>
          <w:t>249</w:t>
        </w:r>
        <w:r w:rsidR="00EF6538">
          <w:rPr>
            <w:noProof/>
            <w:webHidden/>
          </w:rPr>
          <w:fldChar w:fldCharType="end"/>
        </w:r>
      </w:hyperlink>
    </w:p>
    <w:p w14:paraId="53A15385" w14:textId="2FDC37E0" w:rsidR="00EF6538" w:rsidRDefault="00000000">
      <w:pPr>
        <w:pStyle w:val="TableofFigures"/>
        <w:tabs>
          <w:tab w:val="right" w:leader="dot" w:pos="9436"/>
        </w:tabs>
        <w:rPr>
          <w:rFonts w:eastAsiaTheme="minorEastAsia" w:cstheme="minorBidi"/>
          <w:noProof/>
          <w:lang w:val="en-US"/>
        </w:rPr>
      </w:pPr>
      <w:hyperlink w:anchor="_Toc127198108" w:history="1">
        <w:r w:rsidR="00EF6538" w:rsidRPr="006519A3">
          <w:rPr>
            <w:rStyle w:val="Hyperlink"/>
            <w:noProof/>
          </w:rPr>
          <w:t>Figura 120 Etape de suport pentru întărirea capacității administrative la nivelul autorității publice</w:t>
        </w:r>
        <w:r w:rsidR="00EF6538">
          <w:rPr>
            <w:noProof/>
            <w:webHidden/>
          </w:rPr>
          <w:tab/>
        </w:r>
        <w:r w:rsidR="00EF6538">
          <w:rPr>
            <w:noProof/>
            <w:webHidden/>
          </w:rPr>
          <w:fldChar w:fldCharType="begin"/>
        </w:r>
        <w:r w:rsidR="00EF6538">
          <w:rPr>
            <w:noProof/>
            <w:webHidden/>
          </w:rPr>
          <w:instrText xml:space="preserve"> PAGEREF _Toc127198108 \h </w:instrText>
        </w:r>
        <w:r w:rsidR="00EF6538">
          <w:rPr>
            <w:noProof/>
            <w:webHidden/>
          </w:rPr>
        </w:r>
        <w:r w:rsidR="00EF6538">
          <w:rPr>
            <w:noProof/>
            <w:webHidden/>
          </w:rPr>
          <w:fldChar w:fldCharType="separate"/>
        </w:r>
        <w:r w:rsidR="005A6DD8">
          <w:rPr>
            <w:noProof/>
            <w:webHidden/>
          </w:rPr>
          <w:t>251</w:t>
        </w:r>
        <w:r w:rsidR="00EF6538">
          <w:rPr>
            <w:noProof/>
            <w:webHidden/>
          </w:rPr>
          <w:fldChar w:fldCharType="end"/>
        </w:r>
      </w:hyperlink>
    </w:p>
    <w:p w14:paraId="6F0DECC1" w14:textId="0C036F72" w:rsidR="00EF6538" w:rsidRDefault="00000000">
      <w:pPr>
        <w:pStyle w:val="TableofFigures"/>
        <w:tabs>
          <w:tab w:val="right" w:leader="dot" w:pos="9436"/>
        </w:tabs>
        <w:rPr>
          <w:rFonts w:eastAsiaTheme="minorEastAsia" w:cstheme="minorBidi"/>
          <w:noProof/>
          <w:lang w:val="en-US"/>
        </w:rPr>
      </w:pPr>
      <w:hyperlink w:anchor="_Toc127198109" w:history="1">
        <w:r w:rsidR="00EF6538" w:rsidRPr="006519A3">
          <w:rPr>
            <w:rStyle w:val="Hyperlink"/>
            <w:noProof/>
          </w:rPr>
          <w:t>Figura 121 Percepția privind măsura în care personalul declară că se regăsește, respectiv ar trebui să se regăsească, în efortul de îndeplinire a obiectivelor generale ale Primăriei Sectorului 2</w:t>
        </w:r>
        <w:r w:rsidR="00EF6538">
          <w:rPr>
            <w:noProof/>
            <w:webHidden/>
          </w:rPr>
          <w:tab/>
        </w:r>
        <w:r w:rsidR="00EF6538">
          <w:rPr>
            <w:noProof/>
            <w:webHidden/>
          </w:rPr>
          <w:fldChar w:fldCharType="begin"/>
        </w:r>
        <w:r w:rsidR="00EF6538">
          <w:rPr>
            <w:noProof/>
            <w:webHidden/>
          </w:rPr>
          <w:instrText xml:space="preserve"> PAGEREF _Toc127198109 \h </w:instrText>
        </w:r>
        <w:r w:rsidR="00EF6538">
          <w:rPr>
            <w:noProof/>
            <w:webHidden/>
          </w:rPr>
        </w:r>
        <w:r w:rsidR="00EF6538">
          <w:rPr>
            <w:noProof/>
            <w:webHidden/>
          </w:rPr>
          <w:fldChar w:fldCharType="separate"/>
        </w:r>
        <w:r w:rsidR="005A6DD8">
          <w:rPr>
            <w:noProof/>
            <w:webHidden/>
          </w:rPr>
          <w:t>262</w:t>
        </w:r>
        <w:r w:rsidR="00EF6538">
          <w:rPr>
            <w:noProof/>
            <w:webHidden/>
          </w:rPr>
          <w:fldChar w:fldCharType="end"/>
        </w:r>
      </w:hyperlink>
    </w:p>
    <w:p w14:paraId="0440A758" w14:textId="2B52949C" w:rsidR="00EF6538" w:rsidRDefault="00000000">
      <w:pPr>
        <w:pStyle w:val="TableofFigures"/>
        <w:tabs>
          <w:tab w:val="right" w:leader="dot" w:pos="9436"/>
        </w:tabs>
        <w:rPr>
          <w:rFonts w:eastAsiaTheme="minorEastAsia" w:cstheme="minorBidi"/>
          <w:noProof/>
          <w:lang w:val="en-US"/>
        </w:rPr>
      </w:pPr>
      <w:hyperlink w:anchor="_Toc127198110" w:history="1">
        <w:r w:rsidR="00EF6538" w:rsidRPr="006519A3">
          <w:rPr>
            <w:rStyle w:val="Hyperlink"/>
            <w:noProof/>
          </w:rPr>
          <w:t>Figura 122 Percepția privind măsura în care personalul declară că se regăsește, respectiv ar trebui să se regăsească, în efortul de îndeplinire a obiectivelor generale ale structurii funcționale din care face parte</w:t>
        </w:r>
        <w:r w:rsidR="00EF6538">
          <w:rPr>
            <w:noProof/>
            <w:webHidden/>
          </w:rPr>
          <w:tab/>
        </w:r>
        <w:r w:rsidR="00EF6538">
          <w:rPr>
            <w:noProof/>
            <w:webHidden/>
          </w:rPr>
          <w:fldChar w:fldCharType="begin"/>
        </w:r>
        <w:r w:rsidR="00EF6538">
          <w:rPr>
            <w:noProof/>
            <w:webHidden/>
          </w:rPr>
          <w:instrText xml:space="preserve"> PAGEREF _Toc127198110 \h </w:instrText>
        </w:r>
        <w:r w:rsidR="00EF6538">
          <w:rPr>
            <w:noProof/>
            <w:webHidden/>
          </w:rPr>
        </w:r>
        <w:r w:rsidR="00EF6538">
          <w:rPr>
            <w:noProof/>
            <w:webHidden/>
          </w:rPr>
          <w:fldChar w:fldCharType="separate"/>
        </w:r>
        <w:r w:rsidR="005A6DD8">
          <w:rPr>
            <w:noProof/>
            <w:webHidden/>
          </w:rPr>
          <w:t>263</w:t>
        </w:r>
        <w:r w:rsidR="00EF6538">
          <w:rPr>
            <w:noProof/>
            <w:webHidden/>
          </w:rPr>
          <w:fldChar w:fldCharType="end"/>
        </w:r>
      </w:hyperlink>
    </w:p>
    <w:p w14:paraId="3F609EEE" w14:textId="3EDD3AD0" w:rsidR="00EF6538" w:rsidRDefault="00000000">
      <w:pPr>
        <w:pStyle w:val="TableofFigures"/>
        <w:tabs>
          <w:tab w:val="right" w:leader="dot" w:pos="9436"/>
        </w:tabs>
        <w:rPr>
          <w:rFonts w:eastAsiaTheme="minorEastAsia" w:cstheme="minorBidi"/>
          <w:noProof/>
          <w:lang w:val="en-US"/>
        </w:rPr>
      </w:pPr>
      <w:hyperlink w:anchor="_Toc127198111" w:history="1">
        <w:r w:rsidR="00EF6538" w:rsidRPr="006519A3">
          <w:rPr>
            <w:rStyle w:val="Hyperlink"/>
            <w:noProof/>
          </w:rPr>
          <w:t>Figura 123 Grad de cunoaștere documente strategice la nivelul unei primării</w:t>
        </w:r>
        <w:r w:rsidR="00EF6538">
          <w:rPr>
            <w:noProof/>
            <w:webHidden/>
          </w:rPr>
          <w:tab/>
        </w:r>
        <w:r w:rsidR="00EF6538">
          <w:rPr>
            <w:noProof/>
            <w:webHidden/>
          </w:rPr>
          <w:fldChar w:fldCharType="begin"/>
        </w:r>
        <w:r w:rsidR="00EF6538">
          <w:rPr>
            <w:noProof/>
            <w:webHidden/>
          </w:rPr>
          <w:instrText xml:space="preserve"> PAGEREF _Toc127198111 \h </w:instrText>
        </w:r>
        <w:r w:rsidR="00EF6538">
          <w:rPr>
            <w:noProof/>
            <w:webHidden/>
          </w:rPr>
        </w:r>
        <w:r w:rsidR="00EF6538">
          <w:rPr>
            <w:noProof/>
            <w:webHidden/>
          </w:rPr>
          <w:fldChar w:fldCharType="separate"/>
        </w:r>
        <w:r w:rsidR="005A6DD8">
          <w:rPr>
            <w:noProof/>
            <w:webHidden/>
          </w:rPr>
          <w:t>263</w:t>
        </w:r>
        <w:r w:rsidR="00EF6538">
          <w:rPr>
            <w:noProof/>
            <w:webHidden/>
          </w:rPr>
          <w:fldChar w:fldCharType="end"/>
        </w:r>
      </w:hyperlink>
    </w:p>
    <w:p w14:paraId="78BDE0A2" w14:textId="79F4C9B9" w:rsidR="00EF6538" w:rsidRDefault="00000000">
      <w:pPr>
        <w:pStyle w:val="TableofFigures"/>
        <w:tabs>
          <w:tab w:val="right" w:leader="dot" w:pos="9436"/>
        </w:tabs>
        <w:rPr>
          <w:rFonts w:eastAsiaTheme="minorEastAsia" w:cstheme="minorBidi"/>
          <w:noProof/>
          <w:lang w:val="en-US"/>
        </w:rPr>
      </w:pPr>
      <w:hyperlink w:anchor="_Toc127198112" w:history="1">
        <w:r w:rsidR="00EF6538" w:rsidRPr="006519A3">
          <w:rPr>
            <w:rStyle w:val="Hyperlink"/>
            <w:noProof/>
          </w:rPr>
          <w:t>Figura 124 Procesul elaborării unei proceduri</w:t>
        </w:r>
        <w:r w:rsidR="00EF6538">
          <w:rPr>
            <w:noProof/>
            <w:webHidden/>
          </w:rPr>
          <w:tab/>
        </w:r>
        <w:r w:rsidR="00EF6538">
          <w:rPr>
            <w:noProof/>
            <w:webHidden/>
          </w:rPr>
          <w:fldChar w:fldCharType="begin"/>
        </w:r>
        <w:r w:rsidR="00EF6538">
          <w:rPr>
            <w:noProof/>
            <w:webHidden/>
          </w:rPr>
          <w:instrText xml:space="preserve"> PAGEREF _Toc127198112 \h </w:instrText>
        </w:r>
        <w:r w:rsidR="00EF6538">
          <w:rPr>
            <w:noProof/>
            <w:webHidden/>
          </w:rPr>
        </w:r>
        <w:r w:rsidR="00EF6538">
          <w:rPr>
            <w:noProof/>
            <w:webHidden/>
          </w:rPr>
          <w:fldChar w:fldCharType="separate"/>
        </w:r>
        <w:r w:rsidR="005A6DD8">
          <w:rPr>
            <w:noProof/>
            <w:webHidden/>
          </w:rPr>
          <w:t>265</w:t>
        </w:r>
        <w:r w:rsidR="00EF6538">
          <w:rPr>
            <w:noProof/>
            <w:webHidden/>
          </w:rPr>
          <w:fldChar w:fldCharType="end"/>
        </w:r>
      </w:hyperlink>
    </w:p>
    <w:p w14:paraId="275F8E54" w14:textId="736DA57A" w:rsidR="00EF6538" w:rsidRDefault="00000000">
      <w:pPr>
        <w:pStyle w:val="TableofFigures"/>
        <w:tabs>
          <w:tab w:val="right" w:leader="dot" w:pos="9436"/>
        </w:tabs>
        <w:rPr>
          <w:rFonts w:eastAsiaTheme="minorEastAsia" w:cstheme="minorBidi"/>
          <w:noProof/>
          <w:lang w:val="en-US"/>
        </w:rPr>
      </w:pPr>
      <w:hyperlink w:anchor="_Toc127198113" w:history="1">
        <w:r w:rsidR="00EF6538" w:rsidRPr="006519A3">
          <w:rPr>
            <w:rStyle w:val="Hyperlink"/>
            <w:noProof/>
          </w:rPr>
          <w:t>Figura 125 Sistemul de proceduri identificat</w:t>
        </w:r>
        <w:r w:rsidR="00EF6538">
          <w:rPr>
            <w:noProof/>
            <w:webHidden/>
          </w:rPr>
          <w:tab/>
        </w:r>
        <w:r w:rsidR="00EF6538">
          <w:rPr>
            <w:noProof/>
            <w:webHidden/>
          </w:rPr>
          <w:fldChar w:fldCharType="begin"/>
        </w:r>
        <w:r w:rsidR="00EF6538">
          <w:rPr>
            <w:noProof/>
            <w:webHidden/>
          </w:rPr>
          <w:instrText xml:space="preserve"> PAGEREF _Toc127198113 \h </w:instrText>
        </w:r>
        <w:r w:rsidR="00EF6538">
          <w:rPr>
            <w:noProof/>
            <w:webHidden/>
          </w:rPr>
        </w:r>
        <w:r w:rsidR="00EF6538">
          <w:rPr>
            <w:noProof/>
            <w:webHidden/>
          </w:rPr>
          <w:fldChar w:fldCharType="separate"/>
        </w:r>
        <w:r w:rsidR="005A6DD8">
          <w:rPr>
            <w:noProof/>
            <w:webHidden/>
          </w:rPr>
          <w:t>265</w:t>
        </w:r>
        <w:r w:rsidR="00EF6538">
          <w:rPr>
            <w:noProof/>
            <w:webHidden/>
          </w:rPr>
          <w:fldChar w:fldCharType="end"/>
        </w:r>
      </w:hyperlink>
    </w:p>
    <w:p w14:paraId="17E40083" w14:textId="47D0CA1D" w:rsidR="00EF6538" w:rsidRDefault="00000000">
      <w:pPr>
        <w:pStyle w:val="TableofFigures"/>
        <w:tabs>
          <w:tab w:val="right" w:leader="dot" w:pos="9436"/>
        </w:tabs>
        <w:rPr>
          <w:rFonts w:eastAsiaTheme="minorEastAsia" w:cstheme="minorBidi"/>
          <w:noProof/>
          <w:lang w:val="en-US"/>
        </w:rPr>
      </w:pPr>
      <w:hyperlink w:anchor="_Toc127198114" w:history="1">
        <w:r w:rsidR="00EF6538" w:rsidRPr="006519A3">
          <w:rPr>
            <w:rStyle w:val="Hyperlink"/>
            <w:noProof/>
          </w:rPr>
          <w:t>Figura 126 Structura veniturilor ale primăriilor de sector din municipiul București în perioada 2007-2020</w:t>
        </w:r>
        <w:r w:rsidR="00EF6538">
          <w:rPr>
            <w:noProof/>
            <w:webHidden/>
          </w:rPr>
          <w:tab/>
        </w:r>
        <w:r w:rsidR="00EF6538">
          <w:rPr>
            <w:noProof/>
            <w:webHidden/>
          </w:rPr>
          <w:fldChar w:fldCharType="begin"/>
        </w:r>
        <w:r w:rsidR="00EF6538">
          <w:rPr>
            <w:noProof/>
            <w:webHidden/>
          </w:rPr>
          <w:instrText xml:space="preserve"> PAGEREF _Toc127198114 \h </w:instrText>
        </w:r>
        <w:r w:rsidR="00EF6538">
          <w:rPr>
            <w:noProof/>
            <w:webHidden/>
          </w:rPr>
        </w:r>
        <w:r w:rsidR="00EF6538">
          <w:rPr>
            <w:noProof/>
            <w:webHidden/>
          </w:rPr>
          <w:fldChar w:fldCharType="separate"/>
        </w:r>
        <w:r w:rsidR="005A6DD8">
          <w:rPr>
            <w:noProof/>
            <w:webHidden/>
          </w:rPr>
          <w:t>267</w:t>
        </w:r>
        <w:r w:rsidR="00EF6538">
          <w:rPr>
            <w:noProof/>
            <w:webHidden/>
          </w:rPr>
          <w:fldChar w:fldCharType="end"/>
        </w:r>
      </w:hyperlink>
    </w:p>
    <w:p w14:paraId="20F46CD2" w14:textId="3EA87816" w:rsidR="00EF6538" w:rsidRDefault="00000000">
      <w:pPr>
        <w:pStyle w:val="TableofFigures"/>
        <w:tabs>
          <w:tab w:val="right" w:leader="dot" w:pos="9436"/>
        </w:tabs>
        <w:rPr>
          <w:rFonts w:eastAsiaTheme="minorEastAsia" w:cstheme="minorBidi"/>
          <w:noProof/>
          <w:lang w:val="en-US"/>
        </w:rPr>
      </w:pPr>
      <w:hyperlink w:anchor="_Toc127198115" w:history="1">
        <w:r w:rsidR="00EF6538" w:rsidRPr="006519A3">
          <w:rPr>
            <w:rStyle w:val="Hyperlink"/>
            <w:noProof/>
          </w:rPr>
          <w:t>Figura 127 Rezultatele financiare la nivelul Primăriei Sectorului 2 în perioada 2015-2021</w:t>
        </w:r>
        <w:r w:rsidR="00EF6538">
          <w:rPr>
            <w:noProof/>
            <w:webHidden/>
          </w:rPr>
          <w:tab/>
        </w:r>
        <w:r w:rsidR="00EF6538">
          <w:rPr>
            <w:noProof/>
            <w:webHidden/>
          </w:rPr>
          <w:fldChar w:fldCharType="begin"/>
        </w:r>
        <w:r w:rsidR="00EF6538">
          <w:rPr>
            <w:noProof/>
            <w:webHidden/>
          </w:rPr>
          <w:instrText xml:space="preserve"> PAGEREF _Toc127198115 \h </w:instrText>
        </w:r>
        <w:r w:rsidR="00EF6538">
          <w:rPr>
            <w:noProof/>
            <w:webHidden/>
          </w:rPr>
        </w:r>
        <w:r w:rsidR="00EF6538">
          <w:rPr>
            <w:noProof/>
            <w:webHidden/>
          </w:rPr>
          <w:fldChar w:fldCharType="separate"/>
        </w:r>
        <w:r w:rsidR="005A6DD8">
          <w:rPr>
            <w:noProof/>
            <w:webHidden/>
          </w:rPr>
          <w:t>268</w:t>
        </w:r>
        <w:r w:rsidR="00EF6538">
          <w:rPr>
            <w:noProof/>
            <w:webHidden/>
          </w:rPr>
          <w:fldChar w:fldCharType="end"/>
        </w:r>
      </w:hyperlink>
    </w:p>
    <w:p w14:paraId="5BFF75DA" w14:textId="708BC45E" w:rsidR="00EF6538" w:rsidRDefault="00000000">
      <w:pPr>
        <w:pStyle w:val="TableofFigures"/>
        <w:tabs>
          <w:tab w:val="right" w:leader="dot" w:pos="9436"/>
        </w:tabs>
        <w:rPr>
          <w:rFonts w:eastAsiaTheme="minorEastAsia" w:cstheme="minorBidi"/>
          <w:noProof/>
          <w:lang w:val="en-US"/>
        </w:rPr>
      </w:pPr>
      <w:hyperlink w:anchor="_Toc127198116" w:history="1">
        <w:r w:rsidR="00EF6538" w:rsidRPr="006519A3">
          <w:rPr>
            <w:rStyle w:val="Hyperlink"/>
            <w:noProof/>
          </w:rPr>
          <w:t>Figura 128 Cheltuieli de capital la nivelul primăriilor de sector în perioada 2007-2020</w:t>
        </w:r>
        <w:r w:rsidR="00EF6538">
          <w:rPr>
            <w:noProof/>
            <w:webHidden/>
          </w:rPr>
          <w:tab/>
        </w:r>
        <w:r w:rsidR="00EF6538">
          <w:rPr>
            <w:noProof/>
            <w:webHidden/>
          </w:rPr>
          <w:fldChar w:fldCharType="begin"/>
        </w:r>
        <w:r w:rsidR="00EF6538">
          <w:rPr>
            <w:noProof/>
            <w:webHidden/>
          </w:rPr>
          <w:instrText xml:space="preserve"> PAGEREF _Toc127198116 \h </w:instrText>
        </w:r>
        <w:r w:rsidR="00EF6538">
          <w:rPr>
            <w:noProof/>
            <w:webHidden/>
          </w:rPr>
        </w:r>
        <w:r w:rsidR="00EF6538">
          <w:rPr>
            <w:noProof/>
            <w:webHidden/>
          </w:rPr>
          <w:fldChar w:fldCharType="separate"/>
        </w:r>
        <w:r w:rsidR="005A6DD8">
          <w:rPr>
            <w:noProof/>
            <w:webHidden/>
          </w:rPr>
          <w:t>275</w:t>
        </w:r>
        <w:r w:rsidR="00EF6538">
          <w:rPr>
            <w:noProof/>
            <w:webHidden/>
          </w:rPr>
          <w:fldChar w:fldCharType="end"/>
        </w:r>
      </w:hyperlink>
    </w:p>
    <w:p w14:paraId="7259038F" w14:textId="404D6B8C" w:rsidR="00EF6538" w:rsidRDefault="00000000">
      <w:pPr>
        <w:pStyle w:val="TableofFigures"/>
        <w:tabs>
          <w:tab w:val="right" w:leader="dot" w:pos="9436"/>
        </w:tabs>
        <w:rPr>
          <w:rFonts w:eastAsiaTheme="minorEastAsia" w:cstheme="minorBidi"/>
          <w:noProof/>
          <w:lang w:val="en-US"/>
        </w:rPr>
      </w:pPr>
      <w:hyperlink w:anchor="_Toc127198117" w:history="1">
        <w:r w:rsidR="00EF6538" w:rsidRPr="006519A3">
          <w:rPr>
            <w:rStyle w:val="Hyperlink"/>
            <w:noProof/>
          </w:rPr>
          <w:t>Figura 129 Percepția personalului privind vechimea diferitelor tipuri de echipamente aflate în inventarul Primăriei Sectorului 2</w:t>
        </w:r>
        <w:r w:rsidR="00EF6538">
          <w:rPr>
            <w:noProof/>
            <w:webHidden/>
          </w:rPr>
          <w:tab/>
        </w:r>
        <w:r w:rsidR="00EF6538">
          <w:rPr>
            <w:noProof/>
            <w:webHidden/>
          </w:rPr>
          <w:fldChar w:fldCharType="begin"/>
        </w:r>
        <w:r w:rsidR="00EF6538">
          <w:rPr>
            <w:noProof/>
            <w:webHidden/>
          </w:rPr>
          <w:instrText xml:space="preserve"> PAGEREF _Toc127198117 \h </w:instrText>
        </w:r>
        <w:r w:rsidR="00EF6538">
          <w:rPr>
            <w:noProof/>
            <w:webHidden/>
          </w:rPr>
        </w:r>
        <w:r w:rsidR="00EF6538">
          <w:rPr>
            <w:noProof/>
            <w:webHidden/>
          </w:rPr>
          <w:fldChar w:fldCharType="separate"/>
        </w:r>
        <w:r w:rsidR="005A6DD8">
          <w:rPr>
            <w:noProof/>
            <w:webHidden/>
          </w:rPr>
          <w:t>278</w:t>
        </w:r>
        <w:r w:rsidR="00EF6538">
          <w:rPr>
            <w:noProof/>
            <w:webHidden/>
          </w:rPr>
          <w:fldChar w:fldCharType="end"/>
        </w:r>
      </w:hyperlink>
    </w:p>
    <w:p w14:paraId="5BEA7D35" w14:textId="748F58C2" w:rsidR="00EF6538" w:rsidRDefault="00000000">
      <w:pPr>
        <w:pStyle w:val="TableofFigures"/>
        <w:tabs>
          <w:tab w:val="right" w:leader="dot" w:pos="9436"/>
        </w:tabs>
        <w:rPr>
          <w:rFonts w:eastAsiaTheme="minorEastAsia" w:cstheme="minorBidi"/>
          <w:noProof/>
          <w:lang w:val="en-US"/>
        </w:rPr>
      </w:pPr>
      <w:hyperlink w:anchor="_Toc127198118" w:history="1">
        <w:r w:rsidR="00EF6538" w:rsidRPr="006519A3">
          <w:rPr>
            <w:rStyle w:val="Hyperlink"/>
            <w:noProof/>
          </w:rPr>
          <w:t>Figura 130 Cunoștiințe privind regulile de securitate informatică</w:t>
        </w:r>
        <w:r w:rsidR="00EF6538">
          <w:rPr>
            <w:noProof/>
            <w:webHidden/>
          </w:rPr>
          <w:tab/>
        </w:r>
        <w:r w:rsidR="00EF6538">
          <w:rPr>
            <w:noProof/>
            <w:webHidden/>
          </w:rPr>
          <w:fldChar w:fldCharType="begin"/>
        </w:r>
        <w:r w:rsidR="00EF6538">
          <w:rPr>
            <w:noProof/>
            <w:webHidden/>
          </w:rPr>
          <w:instrText xml:space="preserve"> PAGEREF _Toc127198118 \h </w:instrText>
        </w:r>
        <w:r w:rsidR="00EF6538">
          <w:rPr>
            <w:noProof/>
            <w:webHidden/>
          </w:rPr>
        </w:r>
        <w:r w:rsidR="00EF6538">
          <w:rPr>
            <w:noProof/>
            <w:webHidden/>
          </w:rPr>
          <w:fldChar w:fldCharType="separate"/>
        </w:r>
        <w:r w:rsidR="005A6DD8">
          <w:rPr>
            <w:noProof/>
            <w:webHidden/>
          </w:rPr>
          <w:t>278</w:t>
        </w:r>
        <w:r w:rsidR="00EF6538">
          <w:rPr>
            <w:noProof/>
            <w:webHidden/>
          </w:rPr>
          <w:fldChar w:fldCharType="end"/>
        </w:r>
      </w:hyperlink>
    </w:p>
    <w:p w14:paraId="4DD2489F" w14:textId="37B3D190" w:rsidR="00EF6538" w:rsidRDefault="00000000">
      <w:pPr>
        <w:pStyle w:val="TableofFigures"/>
        <w:tabs>
          <w:tab w:val="right" w:leader="dot" w:pos="9436"/>
        </w:tabs>
        <w:rPr>
          <w:rFonts w:eastAsiaTheme="minorEastAsia" w:cstheme="minorBidi"/>
          <w:noProof/>
          <w:lang w:val="en-US"/>
        </w:rPr>
      </w:pPr>
      <w:hyperlink w:anchor="_Toc127198119" w:history="1">
        <w:r w:rsidR="00EF6538" w:rsidRPr="006519A3">
          <w:rPr>
            <w:rStyle w:val="Hyperlink"/>
            <w:noProof/>
          </w:rPr>
          <w:t>Figura 131 Localizarea proiectelor din portofoliul strategiei: Regenerare urbană</w:t>
        </w:r>
        <w:r w:rsidR="00EF6538">
          <w:rPr>
            <w:noProof/>
            <w:webHidden/>
          </w:rPr>
          <w:tab/>
        </w:r>
        <w:r w:rsidR="00EF6538">
          <w:rPr>
            <w:noProof/>
            <w:webHidden/>
          </w:rPr>
          <w:fldChar w:fldCharType="begin"/>
        </w:r>
        <w:r w:rsidR="00EF6538">
          <w:rPr>
            <w:noProof/>
            <w:webHidden/>
          </w:rPr>
          <w:instrText xml:space="preserve"> PAGEREF _Toc127198119 \h </w:instrText>
        </w:r>
        <w:r w:rsidR="00EF6538">
          <w:rPr>
            <w:noProof/>
            <w:webHidden/>
          </w:rPr>
        </w:r>
        <w:r w:rsidR="00EF6538">
          <w:rPr>
            <w:noProof/>
            <w:webHidden/>
          </w:rPr>
          <w:fldChar w:fldCharType="separate"/>
        </w:r>
        <w:r w:rsidR="005A6DD8">
          <w:rPr>
            <w:noProof/>
            <w:webHidden/>
          </w:rPr>
          <w:t>350</w:t>
        </w:r>
        <w:r w:rsidR="00EF6538">
          <w:rPr>
            <w:noProof/>
            <w:webHidden/>
          </w:rPr>
          <w:fldChar w:fldCharType="end"/>
        </w:r>
      </w:hyperlink>
    </w:p>
    <w:p w14:paraId="1738EAF5" w14:textId="7F451A42" w:rsidR="00EF6538" w:rsidRDefault="00000000">
      <w:pPr>
        <w:pStyle w:val="TableofFigures"/>
        <w:tabs>
          <w:tab w:val="right" w:leader="dot" w:pos="9436"/>
        </w:tabs>
        <w:rPr>
          <w:rFonts w:eastAsiaTheme="minorEastAsia" w:cstheme="minorBidi"/>
          <w:noProof/>
          <w:lang w:val="en-US"/>
        </w:rPr>
      </w:pPr>
      <w:hyperlink w:anchor="_Toc127198120" w:history="1">
        <w:r w:rsidR="00EF6538" w:rsidRPr="006519A3">
          <w:rPr>
            <w:rStyle w:val="Hyperlink"/>
            <w:noProof/>
          </w:rPr>
          <w:t>Figura 132 Localizarea proiectelor din portofoliul strategiei: Servicii publice</w:t>
        </w:r>
        <w:r w:rsidR="00EF6538">
          <w:rPr>
            <w:noProof/>
            <w:webHidden/>
          </w:rPr>
          <w:tab/>
        </w:r>
        <w:r w:rsidR="00EF6538">
          <w:rPr>
            <w:noProof/>
            <w:webHidden/>
          </w:rPr>
          <w:fldChar w:fldCharType="begin"/>
        </w:r>
        <w:r w:rsidR="00EF6538">
          <w:rPr>
            <w:noProof/>
            <w:webHidden/>
          </w:rPr>
          <w:instrText xml:space="preserve"> PAGEREF _Toc127198120 \h </w:instrText>
        </w:r>
        <w:r w:rsidR="00EF6538">
          <w:rPr>
            <w:noProof/>
            <w:webHidden/>
          </w:rPr>
        </w:r>
        <w:r w:rsidR="00EF6538">
          <w:rPr>
            <w:noProof/>
            <w:webHidden/>
          </w:rPr>
          <w:fldChar w:fldCharType="separate"/>
        </w:r>
        <w:r w:rsidR="005A6DD8">
          <w:rPr>
            <w:noProof/>
            <w:webHidden/>
          </w:rPr>
          <w:t>351</w:t>
        </w:r>
        <w:r w:rsidR="00EF6538">
          <w:rPr>
            <w:noProof/>
            <w:webHidden/>
          </w:rPr>
          <w:fldChar w:fldCharType="end"/>
        </w:r>
      </w:hyperlink>
    </w:p>
    <w:p w14:paraId="7D9A81C1" w14:textId="30AA0948" w:rsidR="00EF6538" w:rsidRDefault="00000000">
      <w:pPr>
        <w:pStyle w:val="TableofFigures"/>
        <w:tabs>
          <w:tab w:val="right" w:leader="dot" w:pos="9436"/>
        </w:tabs>
        <w:rPr>
          <w:rFonts w:eastAsiaTheme="minorEastAsia" w:cstheme="minorBidi"/>
          <w:noProof/>
          <w:lang w:val="en-US"/>
        </w:rPr>
      </w:pPr>
      <w:hyperlink w:anchor="_Toc127198121" w:history="1">
        <w:r w:rsidR="00EF6538" w:rsidRPr="006519A3">
          <w:rPr>
            <w:rStyle w:val="Hyperlink"/>
            <w:noProof/>
          </w:rPr>
          <w:t>Figura 133 Localizarea proiectelor din portofoliul strategiei: Cultură</w:t>
        </w:r>
        <w:r w:rsidR="00EF6538">
          <w:rPr>
            <w:noProof/>
            <w:webHidden/>
          </w:rPr>
          <w:tab/>
        </w:r>
        <w:r w:rsidR="00EF6538">
          <w:rPr>
            <w:noProof/>
            <w:webHidden/>
          </w:rPr>
          <w:fldChar w:fldCharType="begin"/>
        </w:r>
        <w:r w:rsidR="00EF6538">
          <w:rPr>
            <w:noProof/>
            <w:webHidden/>
          </w:rPr>
          <w:instrText xml:space="preserve"> PAGEREF _Toc127198121 \h </w:instrText>
        </w:r>
        <w:r w:rsidR="00EF6538">
          <w:rPr>
            <w:noProof/>
            <w:webHidden/>
          </w:rPr>
        </w:r>
        <w:r w:rsidR="00EF6538">
          <w:rPr>
            <w:noProof/>
            <w:webHidden/>
          </w:rPr>
          <w:fldChar w:fldCharType="separate"/>
        </w:r>
        <w:r w:rsidR="005A6DD8">
          <w:rPr>
            <w:noProof/>
            <w:webHidden/>
          </w:rPr>
          <w:t>352</w:t>
        </w:r>
        <w:r w:rsidR="00EF6538">
          <w:rPr>
            <w:noProof/>
            <w:webHidden/>
          </w:rPr>
          <w:fldChar w:fldCharType="end"/>
        </w:r>
      </w:hyperlink>
    </w:p>
    <w:p w14:paraId="2B70D7A1" w14:textId="6A29EFEB" w:rsidR="00EF6538" w:rsidRDefault="00000000">
      <w:pPr>
        <w:pStyle w:val="TableofFigures"/>
        <w:tabs>
          <w:tab w:val="right" w:leader="dot" w:pos="9436"/>
        </w:tabs>
        <w:rPr>
          <w:rFonts w:eastAsiaTheme="minorEastAsia" w:cstheme="minorBidi"/>
          <w:noProof/>
          <w:lang w:val="en-US"/>
        </w:rPr>
      </w:pPr>
      <w:hyperlink w:anchor="_Toc127198122" w:history="1">
        <w:r w:rsidR="00EF6538" w:rsidRPr="006519A3">
          <w:rPr>
            <w:rStyle w:val="Hyperlink"/>
            <w:noProof/>
          </w:rPr>
          <w:t>Figura 134 Localizarea proiectelor din portofoliul strategiei: Dotări de agrement</w:t>
        </w:r>
        <w:r w:rsidR="00EF6538">
          <w:rPr>
            <w:noProof/>
            <w:webHidden/>
          </w:rPr>
          <w:tab/>
        </w:r>
        <w:r w:rsidR="00EF6538">
          <w:rPr>
            <w:noProof/>
            <w:webHidden/>
          </w:rPr>
          <w:fldChar w:fldCharType="begin"/>
        </w:r>
        <w:r w:rsidR="00EF6538">
          <w:rPr>
            <w:noProof/>
            <w:webHidden/>
          </w:rPr>
          <w:instrText xml:space="preserve"> PAGEREF _Toc127198122 \h </w:instrText>
        </w:r>
        <w:r w:rsidR="00EF6538">
          <w:rPr>
            <w:noProof/>
            <w:webHidden/>
          </w:rPr>
        </w:r>
        <w:r w:rsidR="00EF6538">
          <w:rPr>
            <w:noProof/>
            <w:webHidden/>
          </w:rPr>
          <w:fldChar w:fldCharType="separate"/>
        </w:r>
        <w:r w:rsidR="005A6DD8">
          <w:rPr>
            <w:noProof/>
            <w:webHidden/>
          </w:rPr>
          <w:t>353</w:t>
        </w:r>
        <w:r w:rsidR="00EF6538">
          <w:rPr>
            <w:noProof/>
            <w:webHidden/>
          </w:rPr>
          <w:fldChar w:fldCharType="end"/>
        </w:r>
      </w:hyperlink>
    </w:p>
    <w:p w14:paraId="230D018C" w14:textId="4344F130" w:rsidR="00EF6538" w:rsidRDefault="00000000">
      <w:pPr>
        <w:pStyle w:val="TableofFigures"/>
        <w:tabs>
          <w:tab w:val="right" w:leader="dot" w:pos="9436"/>
        </w:tabs>
        <w:rPr>
          <w:rFonts w:eastAsiaTheme="minorEastAsia" w:cstheme="minorBidi"/>
          <w:noProof/>
          <w:lang w:val="en-US"/>
        </w:rPr>
      </w:pPr>
      <w:hyperlink w:anchor="_Toc127198123" w:history="1">
        <w:r w:rsidR="00EF6538" w:rsidRPr="006519A3">
          <w:rPr>
            <w:rStyle w:val="Hyperlink"/>
            <w:noProof/>
          </w:rPr>
          <w:t>Figura 135 Localizarea proiectelor din portofoliul strategiei: Spații verzi</w:t>
        </w:r>
        <w:r w:rsidR="00EF6538">
          <w:rPr>
            <w:noProof/>
            <w:webHidden/>
          </w:rPr>
          <w:tab/>
        </w:r>
        <w:r w:rsidR="00EF6538">
          <w:rPr>
            <w:noProof/>
            <w:webHidden/>
          </w:rPr>
          <w:fldChar w:fldCharType="begin"/>
        </w:r>
        <w:r w:rsidR="00EF6538">
          <w:rPr>
            <w:noProof/>
            <w:webHidden/>
          </w:rPr>
          <w:instrText xml:space="preserve"> PAGEREF _Toc127198123 \h </w:instrText>
        </w:r>
        <w:r w:rsidR="00EF6538">
          <w:rPr>
            <w:noProof/>
            <w:webHidden/>
          </w:rPr>
        </w:r>
        <w:r w:rsidR="00EF6538">
          <w:rPr>
            <w:noProof/>
            <w:webHidden/>
          </w:rPr>
          <w:fldChar w:fldCharType="separate"/>
        </w:r>
        <w:r w:rsidR="005A6DD8">
          <w:rPr>
            <w:noProof/>
            <w:webHidden/>
          </w:rPr>
          <w:t>354</w:t>
        </w:r>
        <w:r w:rsidR="00EF6538">
          <w:rPr>
            <w:noProof/>
            <w:webHidden/>
          </w:rPr>
          <w:fldChar w:fldCharType="end"/>
        </w:r>
      </w:hyperlink>
    </w:p>
    <w:p w14:paraId="45012B54" w14:textId="731DB5CC" w:rsidR="00EF6538" w:rsidRDefault="00000000">
      <w:pPr>
        <w:pStyle w:val="TableofFigures"/>
        <w:tabs>
          <w:tab w:val="right" w:leader="dot" w:pos="9436"/>
        </w:tabs>
        <w:rPr>
          <w:rFonts w:eastAsiaTheme="minorEastAsia" w:cstheme="minorBidi"/>
          <w:noProof/>
          <w:lang w:val="en-US"/>
        </w:rPr>
      </w:pPr>
      <w:hyperlink w:anchor="_Toc127198124" w:history="1">
        <w:r w:rsidR="00EF6538" w:rsidRPr="006519A3">
          <w:rPr>
            <w:rStyle w:val="Hyperlink"/>
            <w:noProof/>
          </w:rPr>
          <w:t>Figura 136 Localizarea proiectelor din portofoliul strategiei: Mobilitate</w:t>
        </w:r>
        <w:r w:rsidR="00EF6538">
          <w:rPr>
            <w:noProof/>
            <w:webHidden/>
          </w:rPr>
          <w:tab/>
        </w:r>
        <w:r w:rsidR="00EF6538">
          <w:rPr>
            <w:noProof/>
            <w:webHidden/>
          </w:rPr>
          <w:fldChar w:fldCharType="begin"/>
        </w:r>
        <w:r w:rsidR="00EF6538">
          <w:rPr>
            <w:noProof/>
            <w:webHidden/>
          </w:rPr>
          <w:instrText xml:space="preserve"> PAGEREF _Toc127198124 \h </w:instrText>
        </w:r>
        <w:r w:rsidR="00EF6538">
          <w:rPr>
            <w:noProof/>
            <w:webHidden/>
          </w:rPr>
        </w:r>
        <w:r w:rsidR="00EF6538">
          <w:rPr>
            <w:noProof/>
            <w:webHidden/>
          </w:rPr>
          <w:fldChar w:fldCharType="separate"/>
        </w:r>
        <w:r w:rsidR="005A6DD8">
          <w:rPr>
            <w:noProof/>
            <w:webHidden/>
          </w:rPr>
          <w:t>355</w:t>
        </w:r>
        <w:r w:rsidR="00EF6538">
          <w:rPr>
            <w:noProof/>
            <w:webHidden/>
          </w:rPr>
          <w:fldChar w:fldCharType="end"/>
        </w:r>
      </w:hyperlink>
    </w:p>
    <w:p w14:paraId="58E81CB1" w14:textId="49B30218" w:rsidR="00EF6538" w:rsidRDefault="00000000">
      <w:pPr>
        <w:pStyle w:val="TableofFigures"/>
        <w:tabs>
          <w:tab w:val="right" w:leader="dot" w:pos="9436"/>
        </w:tabs>
        <w:rPr>
          <w:rFonts w:eastAsiaTheme="minorEastAsia" w:cstheme="minorBidi"/>
          <w:noProof/>
          <w:lang w:val="en-US"/>
        </w:rPr>
      </w:pPr>
      <w:hyperlink w:anchor="_Toc127198125" w:history="1">
        <w:r w:rsidR="00EF6538" w:rsidRPr="006519A3">
          <w:rPr>
            <w:rStyle w:val="Hyperlink"/>
            <w:noProof/>
          </w:rPr>
          <w:t>Figura 137</w:t>
        </w:r>
        <w:r w:rsidR="00EF6538" w:rsidRPr="006519A3">
          <w:rPr>
            <w:rStyle w:val="Hyperlink"/>
            <w:rFonts w:cstheme="minorHAnsi"/>
            <w:noProof/>
          </w:rPr>
          <w:t xml:space="preserve"> Categoriile de actori din cvadruplu helix</w:t>
        </w:r>
        <w:r w:rsidR="00EF6538">
          <w:rPr>
            <w:noProof/>
            <w:webHidden/>
          </w:rPr>
          <w:tab/>
        </w:r>
        <w:r w:rsidR="00EF6538">
          <w:rPr>
            <w:noProof/>
            <w:webHidden/>
          </w:rPr>
          <w:fldChar w:fldCharType="begin"/>
        </w:r>
        <w:r w:rsidR="00EF6538">
          <w:rPr>
            <w:noProof/>
            <w:webHidden/>
          </w:rPr>
          <w:instrText xml:space="preserve"> PAGEREF _Toc127198125 \h </w:instrText>
        </w:r>
        <w:r w:rsidR="00EF6538">
          <w:rPr>
            <w:noProof/>
            <w:webHidden/>
          </w:rPr>
        </w:r>
        <w:r w:rsidR="00EF6538">
          <w:rPr>
            <w:noProof/>
            <w:webHidden/>
          </w:rPr>
          <w:fldChar w:fldCharType="separate"/>
        </w:r>
        <w:r w:rsidR="005A6DD8">
          <w:rPr>
            <w:noProof/>
            <w:webHidden/>
          </w:rPr>
          <w:t>506</w:t>
        </w:r>
        <w:r w:rsidR="00EF6538">
          <w:rPr>
            <w:noProof/>
            <w:webHidden/>
          </w:rPr>
          <w:fldChar w:fldCharType="end"/>
        </w:r>
      </w:hyperlink>
    </w:p>
    <w:p w14:paraId="5BA190B6" w14:textId="6419E69D" w:rsidR="00EF6538" w:rsidRDefault="00000000">
      <w:pPr>
        <w:pStyle w:val="TableofFigures"/>
        <w:tabs>
          <w:tab w:val="right" w:leader="dot" w:pos="9436"/>
        </w:tabs>
        <w:rPr>
          <w:rFonts w:eastAsiaTheme="minorEastAsia" w:cstheme="minorBidi"/>
          <w:noProof/>
          <w:lang w:val="en-US"/>
        </w:rPr>
      </w:pPr>
      <w:hyperlink w:anchor="_Toc127198126" w:history="1">
        <w:r w:rsidR="00EF6538" w:rsidRPr="006519A3">
          <w:rPr>
            <w:rStyle w:val="Hyperlink"/>
            <w:noProof/>
          </w:rPr>
          <w:t>Figura 138 Structura propusă pentru implementarea, monitorizarea și evaluarea SDLID 2021 - 2027</w:t>
        </w:r>
        <w:r w:rsidR="00EF6538">
          <w:rPr>
            <w:noProof/>
            <w:webHidden/>
          </w:rPr>
          <w:tab/>
        </w:r>
        <w:r w:rsidR="00EF6538">
          <w:rPr>
            <w:noProof/>
            <w:webHidden/>
          </w:rPr>
          <w:fldChar w:fldCharType="begin"/>
        </w:r>
        <w:r w:rsidR="00EF6538">
          <w:rPr>
            <w:noProof/>
            <w:webHidden/>
          </w:rPr>
          <w:instrText xml:space="preserve"> PAGEREF _Toc127198126 \h </w:instrText>
        </w:r>
        <w:r w:rsidR="00EF6538">
          <w:rPr>
            <w:noProof/>
            <w:webHidden/>
          </w:rPr>
        </w:r>
        <w:r w:rsidR="00EF6538">
          <w:rPr>
            <w:noProof/>
            <w:webHidden/>
          </w:rPr>
          <w:fldChar w:fldCharType="separate"/>
        </w:r>
        <w:r w:rsidR="005A6DD8">
          <w:rPr>
            <w:noProof/>
            <w:webHidden/>
          </w:rPr>
          <w:t>507</w:t>
        </w:r>
        <w:r w:rsidR="00EF6538">
          <w:rPr>
            <w:noProof/>
            <w:webHidden/>
          </w:rPr>
          <w:fldChar w:fldCharType="end"/>
        </w:r>
      </w:hyperlink>
    </w:p>
    <w:p w14:paraId="60396ADC" w14:textId="2F7B1108" w:rsidR="00EF6538" w:rsidRDefault="00000000">
      <w:pPr>
        <w:pStyle w:val="TableofFigures"/>
        <w:tabs>
          <w:tab w:val="right" w:leader="dot" w:pos="9436"/>
        </w:tabs>
        <w:rPr>
          <w:rFonts w:eastAsiaTheme="minorEastAsia" w:cstheme="minorBidi"/>
          <w:noProof/>
          <w:lang w:val="en-US"/>
        </w:rPr>
      </w:pPr>
      <w:hyperlink w:anchor="_Toc127198127" w:history="1">
        <w:r w:rsidR="00EF6538" w:rsidRPr="006519A3">
          <w:rPr>
            <w:rStyle w:val="Hyperlink"/>
            <w:noProof/>
          </w:rPr>
          <w:t>Figura 139 Corelarea domeniilor de analiză cu obiectivele strategice, SDLID 2021 - 2027</w:t>
        </w:r>
        <w:r w:rsidR="00EF6538">
          <w:rPr>
            <w:noProof/>
            <w:webHidden/>
          </w:rPr>
          <w:tab/>
        </w:r>
        <w:r w:rsidR="00EF6538">
          <w:rPr>
            <w:noProof/>
            <w:webHidden/>
          </w:rPr>
          <w:fldChar w:fldCharType="begin"/>
        </w:r>
        <w:r w:rsidR="00EF6538">
          <w:rPr>
            <w:noProof/>
            <w:webHidden/>
          </w:rPr>
          <w:instrText xml:space="preserve"> PAGEREF _Toc127198127 \h </w:instrText>
        </w:r>
        <w:r w:rsidR="00EF6538">
          <w:rPr>
            <w:noProof/>
            <w:webHidden/>
          </w:rPr>
        </w:r>
        <w:r w:rsidR="00EF6538">
          <w:rPr>
            <w:noProof/>
            <w:webHidden/>
          </w:rPr>
          <w:fldChar w:fldCharType="separate"/>
        </w:r>
        <w:r w:rsidR="005A6DD8">
          <w:rPr>
            <w:noProof/>
            <w:webHidden/>
          </w:rPr>
          <w:t>508</w:t>
        </w:r>
        <w:r w:rsidR="00EF6538">
          <w:rPr>
            <w:noProof/>
            <w:webHidden/>
          </w:rPr>
          <w:fldChar w:fldCharType="end"/>
        </w:r>
      </w:hyperlink>
    </w:p>
    <w:p w14:paraId="6E1520AE" w14:textId="15C56479" w:rsidR="008F14AA" w:rsidRPr="00F171A3" w:rsidRDefault="00BB7F86" w:rsidP="007F2663">
      <w:pPr>
        <w:spacing w:after="0"/>
        <w:jc w:val="left"/>
        <w:rPr>
          <w:b/>
          <w:bCs/>
          <w:caps/>
          <w:color w:val="134753" w:themeColor="text2"/>
          <w:sz w:val="48"/>
          <w:szCs w:val="28"/>
        </w:rPr>
      </w:pPr>
      <w:r w:rsidRPr="00F171A3">
        <w:rPr>
          <w:b/>
          <w:bCs/>
          <w:caps/>
          <w:color w:val="134753" w:themeColor="text2"/>
          <w:sz w:val="48"/>
          <w:szCs w:val="28"/>
        </w:rPr>
        <w:fldChar w:fldCharType="end"/>
      </w:r>
    </w:p>
    <w:p w14:paraId="4495232E" w14:textId="77777777" w:rsidR="0080789C" w:rsidRDefault="00BB7F86" w:rsidP="007F2663">
      <w:pPr>
        <w:spacing w:after="0"/>
        <w:jc w:val="left"/>
        <w:rPr>
          <w:noProof/>
        </w:rPr>
      </w:pPr>
      <w:r w:rsidRPr="00F171A3">
        <w:rPr>
          <w:b/>
          <w:bCs/>
          <w:caps/>
          <w:color w:val="134753" w:themeColor="text2"/>
          <w:sz w:val="48"/>
          <w:szCs w:val="28"/>
        </w:rPr>
        <w:t>lista tabelelor</w:t>
      </w:r>
      <w:r w:rsidRPr="00F171A3">
        <w:rPr>
          <w:b/>
          <w:bCs/>
          <w:caps/>
          <w:color w:val="134753" w:themeColor="text2"/>
          <w:sz w:val="48"/>
          <w:szCs w:val="28"/>
        </w:rPr>
        <w:fldChar w:fldCharType="begin"/>
      </w:r>
      <w:r w:rsidRPr="00F171A3">
        <w:rPr>
          <w:b/>
          <w:bCs/>
          <w:caps/>
          <w:color w:val="134753" w:themeColor="text2"/>
          <w:sz w:val="48"/>
          <w:szCs w:val="28"/>
        </w:rPr>
        <w:instrText xml:space="preserve"> TOC \h \z \c "Tabel" </w:instrText>
      </w:r>
      <w:r w:rsidRPr="00F171A3">
        <w:rPr>
          <w:b/>
          <w:bCs/>
          <w:caps/>
          <w:color w:val="134753" w:themeColor="text2"/>
          <w:sz w:val="48"/>
          <w:szCs w:val="28"/>
        </w:rPr>
        <w:fldChar w:fldCharType="separate"/>
      </w:r>
    </w:p>
    <w:p w14:paraId="287381D7" w14:textId="535C528C" w:rsidR="0080789C" w:rsidRDefault="00000000">
      <w:pPr>
        <w:pStyle w:val="TableofFigures"/>
        <w:tabs>
          <w:tab w:val="right" w:leader="dot" w:pos="9436"/>
        </w:tabs>
        <w:rPr>
          <w:rFonts w:eastAsiaTheme="minorEastAsia" w:cstheme="minorBidi"/>
          <w:noProof/>
          <w:lang w:eastAsia="ro-RO"/>
        </w:rPr>
      </w:pPr>
      <w:hyperlink w:anchor="_Toc126943258" w:history="1">
        <w:r w:rsidR="0080789C" w:rsidRPr="00681C07">
          <w:rPr>
            <w:rStyle w:val="Hyperlink"/>
            <w:noProof/>
          </w:rPr>
          <w:t>Tabel 1 Obiectivele Politicii de Coeziune pentru perioada 2021-2027</w:t>
        </w:r>
        <w:r w:rsidR="0080789C">
          <w:rPr>
            <w:noProof/>
            <w:webHidden/>
          </w:rPr>
          <w:tab/>
        </w:r>
        <w:r w:rsidR="0080789C">
          <w:rPr>
            <w:noProof/>
            <w:webHidden/>
          </w:rPr>
          <w:fldChar w:fldCharType="begin"/>
        </w:r>
        <w:r w:rsidR="0080789C">
          <w:rPr>
            <w:noProof/>
            <w:webHidden/>
          </w:rPr>
          <w:instrText xml:space="preserve"> PAGEREF _Toc126943258 \h </w:instrText>
        </w:r>
        <w:r w:rsidR="0080789C">
          <w:rPr>
            <w:noProof/>
            <w:webHidden/>
          </w:rPr>
        </w:r>
        <w:r w:rsidR="0080789C">
          <w:rPr>
            <w:noProof/>
            <w:webHidden/>
          </w:rPr>
          <w:fldChar w:fldCharType="separate"/>
        </w:r>
        <w:r w:rsidR="005A6DD8">
          <w:rPr>
            <w:noProof/>
            <w:webHidden/>
          </w:rPr>
          <w:t>25</w:t>
        </w:r>
        <w:r w:rsidR="0080789C">
          <w:rPr>
            <w:noProof/>
            <w:webHidden/>
          </w:rPr>
          <w:fldChar w:fldCharType="end"/>
        </w:r>
      </w:hyperlink>
    </w:p>
    <w:p w14:paraId="7248DEAF" w14:textId="4599CE94" w:rsidR="0080789C" w:rsidRDefault="00000000">
      <w:pPr>
        <w:pStyle w:val="TableofFigures"/>
        <w:tabs>
          <w:tab w:val="right" w:leader="dot" w:pos="9436"/>
        </w:tabs>
        <w:rPr>
          <w:rFonts w:eastAsiaTheme="minorEastAsia" w:cstheme="minorBidi"/>
          <w:noProof/>
          <w:lang w:eastAsia="ro-RO"/>
        </w:rPr>
      </w:pPr>
      <w:hyperlink w:anchor="_Toc126943259" w:history="1">
        <w:r w:rsidR="0080789C" w:rsidRPr="00681C07">
          <w:rPr>
            <w:rStyle w:val="Hyperlink"/>
            <w:noProof/>
          </w:rPr>
          <w:t>Tabel 2 Proiectele finalizate în cadrul Obiectivului general 1 - Locuire, servicii și cultură adaptate unei comunităţi active și implicate</w:t>
        </w:r>
        <w:r w:rsidR="0080789C">
          <w:rPr>
            <w:noProof/>
            <w:webHidden/>
          </w:rPr>
          <w:tab/>
        </w:r>
        <w:r w:rsidR="0080789C">
          <w:rPr>
            <w:noProof/>
            <w:webHidden/>
          </w:rPr>
          <w:fldChar w:fldCharType="begin"/>
        </w:r>
        <w:r w:rsidR="0080789C">
          <w:rPr>
            <w:noProof/>
            <w:webHidden/>
          </w:rPr>
          <w:instrText xml:space="preserve"> PAGEREF _Toc126943259 \h </w:instrText>
        </w:r>
        <w:r w:rsidR="0080789C">
          <w:rPr>
            <w:noProof/>
            <w:webHidden/>
          </w:rPr>
        </w:r>
        <w:r w:rsidR="0080789C">
          <w:rPr>
            <w:noProof/>
            <w:webHidden/>
          </w:rPr>
          <w:fldChar w:fldCharType="separate"/>
        </w:r>
        <w:r w:rsidR="005A6DD8">
          <w:rPr>
            <w:noProof/>
            <w:webHidden/>
          </w:rPr>
          <w:t>39</w:t>
        </w:r>
        <w:r w:rsidR="0080789C">
          <w:rPr>
            <w:noProof/>
            <w:webHidden/>
          </w:rPr>
          <w:fldChar w:fldCharType="end"/>
        </w:r>
      </w:hyperlink>
    </w:p>
    <w:p w14:paraId="7093C7A6" w14:textId="0FF6C704" w:rsidR="0080789C" w:rsidRDefault="00000000">
      <w:pPr>
        <w:pStyle w:val="TableofFigures"/>
        <w:tabs>
          <w:tab w:val="right" w:leader="dot" w:pos="9436"/>
        </w:tabs>
        <w:rPr>
          <w:rFonts w:eastAsiaTheme="minorEastAsia" w:cstheme="minorBidi"/>
          <w:noProof/>
          <w:lang w:eastAsia="ro-RO"/>
        </w:rPr>
      </w:pPr>
      <w:hyperlink w:anchor="_Toc126943260" w:history="1">
        <w:r w:rsidR="0080789C" w:rsidRPr="00681C07">
          <w:rPr>
            <w:rStyle w:val="Hyperlink"/>
            <w:noProof/>
          </w:rPr>
          <w:t>Tabel 3  Proiectele în curs de implementare în cadrul Obiectivului general 1 - Locuire, servicii și cultură adaptate unei comunităţi active și implicate</w:t>
        </w:r>
        <w:r w:rsidR="0080789C">
          <w:rPr>
            <w:noProof/>
            <w:webHidden/>
          </w:rPr>
          <w:tab/>
        </w:r>
        <w:r w:rsidR="0080789C">
          <w:rPr>
            <w:noProof/>
            <w:webHidden/>
          </w:rPr>
          <w:fldChar w:fldCharType="begin"/>
        </w:r>
        <w:r w:rsidR="0080789C">
          <w:rPr>
            <w:noProof/>
            <w:webHidden/>
          </w:rPr>
          <w:instrText xml:space="preserve"> PAGEREF _Toc126943260 \h </w:instrText>
        </w:r>
        <w:r w:rsidR="0080789C">
          <w:rPr>
            <w:noProof/>
            <w:webHidden/>
          </w:rPr>
        </w:r>
        <w:r w:rsidR="0080789C">
          <w:rPr>
            <w:noProof/>
            <w:webHidden/>
          </w:rPr>
          <w:fldChar w:fldCharType="separate"/>
        </w:r>
        <w:r w:rsidR="005A6DD8">
          <w:rPr>
            <w:noProof/>
            <w:webHidden/>
          </w:rPr>
          <w:t>40</w:t>
        </w:r>
        <w:r w:rsidR="0080789C">
          <w:rPr>
            <w:noProof/>
            <w:webHidden/>
          </w:rPr>
          <w:fldChar w:fldCharType="end"/>
        </w:r>
      </w:hyperlink>
    </w:p>
    <w:p w14:paraId="705F10AE" w14:textId="1D337D87" w:rsidR="0080789C" w:rsidRDefault="00000000">
      <w:pPr>
        <w:pStyle w:val="TableofFigures"/>
        <w:tabs>
          <w:tab w:val="right" w:leader="dot" w:pos="9436"/>
        </w:tabs>
        <w:rPr>
          <w:rFonts w:eastAsiaTheme="minorEastAsia" w:cstheme="minorBidi"/>
          <w:noProof/>
          <w:lang w:eastAsia="ro-RO"/>
        </w:rPr>
      </w:pPr>
      <w:hyperlink w:anchor="_Toc126943261" w:history="1">
        <w:r w:rsidR="0080789C" w:rsidRPr="00681C07">
          <w:rPr>
            <w:rStyle w:val="Hyperlink"/>
            <w:noProof/>
          </w:rPr>
          <w:t>Tabel 4 Rezultatele așteptate în cadrul proiectului de Eficientizare energetică, prin reabilitare/ modernizare a Liceului Teoretic Lucian Blaga</w:t>
        </w:r>
        <w:r w:rsidR="0080789C">
          <w:rPr>
            <w:noProof/>
            <w:webHidden/>
          </w:rPr>
          <w:tab/>
        </w:r>
        <w:r w:rsidR="0080789C">
          <w:rPr>
            <w:noProof/>
            <w:webHidden/>
          </w:rPr>
          <w:fldChar w:fldCharType="begin"/>
        </w:r>
        <w:r w:rsidR="0080789C">
          <w:rPr>
            <w:noProof/>
            <w:webHidden/>
          </w:rPr>
          <w:instrText xml:space="preserve"> PAGEREF _Toc126943261 \h </w:instrText>
        </w:r>
        <w:r w:rsidR="0080789C">
          <w:rPr>
            <w:noProof/>
            <w:webHidden/>
          </w:rPr>
        </w:r>
        <w:r w:rsidR="0080789C">
          <w:rPr>
            <w:noProof/>
            <w:webHidden/>
          </w:rPr>
          <w:fldChar w:fldCharType="separate"/>
        </w:r>
        <w:r w:rsidR="005A6DD8">
          <w:rPr>
            <w:noProof/>
            <w:webHidden/>
          </w:rPr>
          <w:t>41</w:t>
        </w:r>
        <w:r w:rsidR="0080789C">
          <w:rPr>
            <w:noProof/>
            <w:webHidden/>
          </w:rPr>
          <w:fldChar w:fldCharType="end"/>
        </w:r>
      </w:hyperlink>
    </w:p>
    <w:p w14:paraId="0A0FDA47" w14:textId="11432B66" w:rsidR="0080789C" w:rsidRDefault="00000000">
      <w:pPr>
        <w:pStyle w:val="TableofFigures"/>
        <w:tabs>
          <w:tab w:val="right" w:leader="dot" w:pos="9436"/>
        </w:tabs>
        <w:rPr>
          <w:rFonts w:eastAsiaTheme="minorEastAsia" w:cstheme="minorBidi"/>
          <w:noProof/>
          <w:lang w:eastAsia="ro-RO"/>
        </w:rPr>
      </w:pPr>
      <w:hyperlink w:anchor="_Toc126943262" w:history="1">
        <w:r w:rsidR="0080789C" w:rsidRPr="00681C07">
          <w:rPr>
            <w:rStyle w:val="Hyperlink"/>
            <w:noProof/>
          </w:rPr>
          <w:t>Tabel 5 Proiectele finalizate în cadrul Obiectivului general 2 -  Sector cu atractivitate crescută pentru forța de muncă și companii</w:t>
        </w:r>
        <w:r w:rsidR="0080789C">
          <w:rPr>
            <w:noProof/>
            <w:webHidden/>
          </w:rPr>
          <w:tab/>
        </w:r>
        <w:r w:rsidR="0080789C">
          <w:rPr>
            <w:noProof/>
            <w:webHidden/>
          </w:rPr>
          <w:fldChar w:fldCharType="begin"/>
        </w:r>
        <w:r w:rsidR="0080789C">
          <w:rPr>
            <w:noProof/>
            <w:webHidden/>
          </w:rPr>
          <w:instrText xml:space="preserve"> PAGEREF _Toc126943262 \h </w:instrText>
        </w:r>
        <w:r w:rsidR="0080789C">
          <w:rPr>
            <w:noProof/>
            <w:webHidden/>
          </w:rPr>
        </w:r>
        <w:r w:rsidR="0080789C">
          <w:rPr>
            <w:noProof/>
            <w:webHidden/>
          </w:rPr>
          <w:fldChar w:fldCharType="separate"/>
        </w:r>
        <w:r w:rsidR="005A6DD8">
          <w:rPr>
            <w:noProof/>
            <w:webHidden/>
          </w:rPr>
          <w:t>43</w:t>
        </w:r>
        <w:r w:rsidR="0080789C">
          <w:rPr>
            <w:noProof/>
            <w:webHidden/>
          </w:rPr>
          <w:fldChar w:fldCharType="end"/>
        </w:r>
      </w:hyperlink>
    </w:p>
    <w:p w14:paraId="1D357B09" w14:textId="57D023D1" w:rsidR="0080789C" w:rsidRDefault="00000000">
      <w:pPr>
        <w:pStyle w:val="TableofFigures"/>
        <w:tabs>
          <w:tab w:val="right" w:leader="dot" w:pos="9436"/>
        </w:tabs>
        <w:rPr>
          <w:rFonts w:eastAsiaTheme="minorEastAsia" w:cstheme="minorBidi"/>
          <w:noProof/>
          <w:lang w:eastAsia="ro-RO"/>
        </w:rPr>
      </w:pPr>
      <w:hyperlink w:anchor="_Toc126943263" w:history="1">
        <w:r w:rsidR="0080789C" w:rsidRPr="00681C07">
          <w:rPr>
            <w:rStyle w:val="Hyperlink"/>
            <w:noProof/>
          </w:rPr>
          <w:t>Tabel 6 Proiectele finalizate în cadrul Obiectivului general 3 -  Infrastructură urbană adaptată la nevoile actuale și viitoare</w:t>
        </w:r>
        <w:r w:rsidR="0080789C">
          <w:rPr>
            <w:noProof/>
            <w:webHidden/>
          </w:rPr>
          <w:tab/>
        </w:r>
        <w:r w:rsidR="0080789C">
          <w:rPr>
            <w:noProof/>
            <w:webHidden/>
          </w:rPr>
          <w:fldChar w:fldCharType="begin"/>
        </w:r>
        <w:r w:rsidR="0080789C">
          <w:rPr>
            <w:noProof/>
            <w:webHidden/>
          </w:rPr>
          <w:instrText xml:space="preserve"> PAGEREF _Toc126943263 \h </w:instrText>
        </w:r>
        <w:r w:rsidR="0080789C">
          <w:rPr>
            <w:noProof/>
            <w:webHidden/>
          </w:rPr>
        </w:r>
        <w:r w:rsidR="0080789C">
          <w:rPr>
            <w:noProof/>
            <w:webHidden/>
          </w:rPr>
          <w:fldChar w:fldCharType="separate"/>
        </w:r>
        <w:r w:rsidR="005A6DD8">
          <w:rPr>
            <w:noProof/>
            <w:webHidden/>
          </w:rPr>
          <w:t>45</w:t>
        </w:r>
        <w:r w:rsidR="0080789C">
          <w:rPr>
            <w:noProof/>
            <w:webHidden/>
          </w:rPr>
          <w:fldChar w:fldCharType="end"/>
        </w:r>
      </w:hyperlink>
    </w:p>
    <w:p w14:paraId="27BDC650" w14:textId="40FFD4B4" w:rsidR="0080789C" w:rsidRDefault="00000000">
      <w:pPr>
        <w:pStyle w:val="TableofFigures"/>
        <w:tabs>
          <w:tab w:val="right" w:leader="dot" w:pos="9436"/>
        </w:tabs>
        <w:rPr>
          <w:rFonts w:eastAsiaTheme="minorEastAsia" w:cstheme="minorBidi"/>
          <w:noProof/>
          <w:lang w:eastAsia="ro-RO"/>
        </w:rPr>
      </w:pPr>
      <w:hyperlink w:anchor="_Toc126943264" w:history="1">
        <w:r w:rsidR="0080789C" w:rsidRPr="00681C07">
          <w:rPr>
            <w:rStyle w:val="Hyperlink"/>
            <w:noProof/>
          </w:rPr>
          <w:t>Tabel 7 Proiectele în curs de implementare în cadrul Obiectivului general 3 -  Infrastructură urbană adaptată la nevoile actuale și viitoare</w:t>
        </w:r>
        <w:r w:rsidR="0080789C">
          <w:rPr>
            <w:noProof/>
            <w:webHidden/>
          </w:rPr>
          <w:tab/>
        </w:r>
        <w:r w:rsidR="0080789C">
          <w:rPr>
            <w:noProof/>
            <w:webHidden/>
          </w:rPr>
          <w:fldChar w:fldCharType="begin"/>
        </w:r>
        <w:r w:rsidR="0080789C">
          <w:rPr>
            <w:noProof/>
            <w:webHidden/>
          </w:rPr>
          <w:instrText xml:space="preserve"> PAGEREF _Toc126943264 \h </w:instrText>
        </w:r>
        <w:r w:rsidR="0080789C">
          <w:rPr>
            <w:noProof/>
            <w:webHidden/>
          </w:rPr>
        </w:r>
        <w:r w:rsidR="0080789C">
          <w:rPr>
            <w:noProof/>
            <w:webHidden/>
          </w:rPr>
          <w:fldChar w:fldCharType="separate"/>
        </w:r>
        <w:r w:rsidR="005A6DD8">
          <w:rPr>
            <w:noProof/>
            <w:webHidden/>
          </w:rPr>
          <w:t>45</w:t>
        </w:r>
        <w:r w:rsidR="0080789C">
          <w:rPr>
            <w:noProof/>
            <w:webHidden/>
          </w:rPr>
          <w:fldChar w:fldCharType="end"/>
        </w:r>
      </w:hyperlink>
    </w:p>
    <w:p w14:paraId="366DADD3" w14:textId="7720FA04" w:rsidR="0080789C" w:rsidRDefault="00000000">
      <w:pPr>
        <w:pStyle w:val="TableofFigures"/>
        <w:tabs>
          <w:tab w:val="right" w:leader="dot" w:pos="9436"/>
        </w:tabs>
        <w:rPr>
          <w:rFonts w:eastAsiaTheme="minorEastAsia" w:cstheme="minorBidi"/>
          <w:noProof/>
          <w:lang w:eastAsia="ro-RO"/>
        </w:rPr>
      </w:pPr>
      <w:hyperlink w:anchor="_Toc126943265" w:history="1">
        <w:r w:rsidR="0080789C" w:rsidRPr="00681C07">
          <w:rPr>
            <w:rStyle w:val="Hyperlink"/>
            <w:noProof/>
          </w:rPr>
          <w:t>Tabel 8 Proiectele finalizate în cadrul Obiectivului general 4 -  Sector 2 - model de dezvoltare sistem albastru-verde</w:t>
        </w:r>
        <w:r w:rsidR="0080789C">
          <w:rPr>
            <w:noProof/>
            <w:webHidden/>
          </w:rPr>
          <w:tab/>
        </w:r>
        <w:r w:rsidR="0080789C">
          <w:rPr>
            <w:noProof/>
            <w:webHidden/>
          </w:rPr>
          <w:fldChar w:fldCharType="begin"/>
        </w:r>
        <w:r w:rsidR="0080789C">
          <w:rPr>
            <w:noProof/>
            <w:webHidden/>
          </w:rPr>
          <w:instrText xml:space="preserve"> PAGEREF _Toc126943265 \h </w:instrText>
        </w:r>
        <w:r w:rsidR="0080789C">
          <w:rPr>
            <w:noProof/>
            <w:webHidden/>
          </w:rPr>
        </w:r>
        <w:r w:rsidR="0080789C">
          <w:rPr>
            <w:noProof/>
            <w:webHidden/>
          </w:rPr>
          <w:fldChar w:fldCharType="separate"/>
        </w:r>
        <w:r w:rsidR="005A6DD8">
          <w:rPr>
            <w:noProof/>
            <w:webHidden/>
          </w:rPr>
          <w:t>47</w:t>
        </w:r>
        <w:r w:rsidR="0080789C">
          <w:rPr>
            <w:noProof/>
            <w:webHidden/>
          </w:rPr>
          <w:fldChar w:fldCharType="end"/>
        </w:r>
      </w:hyperlink>
    </w:p>
    <w:p w14:paraId="28B24B6D" w14:textId="5903F7A4" w:rsidR="0080789C" w:rsidRDefault="00000000">
      <w:pPr>
        <w:pStyle w:val="TableofFigures"/>
        <w:tabs>
          <w:tab w:val="right" w:leader="dot" w:pos="9436"/>
        </w:tabs>
        <w:rPr>
          <w:rFonts w:eastAsiaTheme="minorEastAsia" w:cstheme="minorBidi"/>
          <w:noProof/>
          <w:lang w:eastAsia="ro-RO"/>
        </w:rPr>
      </w:pPr>
      <w:hyperlink w:anchor="_Toc126943266" w:history="1">
        <w:r w:rsidR="0080789C" w:rsidRPr="00681C07">
          <w:rPr>
            <w:rStyle w:val="Hyperlink"/>
            <w:noProof/>
          </w:rPr>
          <w:t>Tabel 9 Proiectele în curs de implementare în cadrul Obiectivului general 4 -  Sector 2 - model de dezvoltare sistem albastru-verde</w:t>
        </w:r>
        <w:r w:rsidR="0080789C">
          <w:rPr>
            <w:noProof/>
            <w:webHidden/>
          </w:rPr>
          <w:tab/>
        </w:r>
        <w:r w:rsidR="0080789C">
          <w:rPr>
            <w:noProof/>
            <w:webHidden/>
          </w:rPr>
          <w:fldChar w:fldCharType="begin"/>
        </w:r>
        <w:r w:rsidR="0080789C">
          <w:rPr>
            <w:noProof/>
            <w:webHidden/>
          </w:rPr>
          <w:instrText xml:space="preserve"> PAGEREF _Toc126943266 \h </w:instrText>
        </w:r>
        <w:r w:rsidR="0080789C">
          <w:rPr>
            <w:noProof/>
            <w:webHidden/>
          </w:rPr>
        </w:r>
        <w:r w:rsidR="0080789C">
          <w:rPr>
            <w:noProof/>
            <w:webHidden/>
          </w:rPr>
          <w:fldChar w:fldCharType="separate"/>
        </w:r>
        <w:r w:rsidR="005A6DD8">
          <w:rPr>
            <w:noProof/>
            <w:webHidden/>
          </w:rPr>
          <w:t>47</w:t>
        </w:r>
        <w:r w:rsidR="0080789C">
          <w:rPr>
            <w:noProof/>
            <w:webHidden/>
          </w:rPr>
          <w:fldChar w:fldCharType="end"/>
        </w:r>
      </w:hyperlink>
    </w:p>
    <w:p w14:paraId="5B044AEB" w14:textId="241E5739" w:rsidR="0080789C" w:rsidRDefault="00000000">
      <w:pPr>
        <w:pStyle w:val="TableofFigures"/>
        <w:tabs>
          <w:tab w:val="right" w:leader="dot" w:pos="9436"/>
        </w:tabs>
        <w:rPr>
          <w:rFonts w:eastAsiaTheme="minorEastAsia" w:cstheme="minorBidi"/>
          <w:noProof/>
          <w:lang w:eastAsia="ro-RO"/>
        </w:rPr>
      </w:pPr>
      <w:hyperlink w:anchor="_Toc126943267" w:history="1">
        <w:r w:rsidR="0080789C" w:rsidRPr="00681C07">
          <w:rPr>
            <w:rStyle w:val="Hyperlink"/>
            <w:noProof/>
          </w:rPr>
          <w:t>Tabel 10 Proiectele finalizate în cadrul Obiectivului general 5 -  Administrație publică performantă</w:t>
        </w:r>
        <w:r w:rsidR="0080789C">
          <w:rPr>
            <w:noProof/>
            <w:webHidden/>
          </w:rPr>
          <w:tab/>
        </w:r>
        <w:r w:rsidR="0080789C">
          <w:rPr>
            <w:noProof/>
            <w:webHidden/>
          </w:rPr>
          <w:fldChar w:fldCharType="begin"/>
        </w:r>
        <w:r w:rsidR="0080789C">
          <w:rPr>
            <w:noProof/>
            <w:webHidden/>
          </w:rPr>
          <w:instrText xml:space="preserve"> PAGEREF _Toc126943267 \h </w:instrText>
        </w:r>
        <w:r w:rsidR="0080789C">
          <w:rPr>
            <w:noProof/>
            <w:webHidden/>
          </w:rPr>
        </w:r>
        <w:r w:rsidR="0080789C">
          <w:rPr>
            <w:noProof/>
            <w:webHidden/>
          </w:rPr>
          <w:fldChar w:fldCharType="separate"/>
        </w:r>
        <w:r w:rsidR="005A6DD8">
          <w:rPr>
            <w:noProof/>
            <w:webHidden/>
          </w:rPr>
          <w:t>49</w:t>
        </w:r>
        <w:r w:rsidR="0080789C">
          <w:rPr>
            <w:noProof/>
            <w:webHidden/>
          </w:rPr>
          <w:fldChar w:fldCharType="end"/>
        </w:r>
      </w:hyperlink>
    </w:p>
    <w:p w14:paraId="4EBB0DA9" w14:textId="440F919E" w:rsidR="0080789C" w:rsidRDefault="00000000">
      <w:pPr>
        <w:pStyle w:val="TableofFigures"/>
        <w:tabs>
          <w:tab w:val="right" w:leader="dot" w:pos="9436"/>
        </w:tabs>
        <w:rPr>
          <w:rFonts w:eastAsiaTheme="minorEastAsia" w:cstheme="minorBidi"/>
          <w:noProof/>
          <w:lang w:eastAsia="ro-RO"/>
        </w:rPr>
      </w:pPr>
      <w:hyperlink w:anchor="_Toc126943268" w:history="1">
        <w:r w:rsidR="0080789C" w:rsidRPr="00681C07">
          <w:rPr>
            <w:rStyle w:val="Hyperlink"/>
            <w:noProof/>
          </w:rPr>
          <w:t>Tabel 11 Proiectele în implementare în cadrul Obiectivului general 5 -  Administrație publică performantă</w:t>
        </w:r>
        <w:r w:rsidR="0080789C">
          <w:rPr>
            <w:noProof/>
            <w:webHidden/>
          </w:rPr>
          <w:tab/>
        </w:r>
        <w:r w:rsidR="0080789C">
          <w:rPr>
            <w:noProof/>
            <w:webHidden/>
          </w:rPr>
          <w:fldChar w:fldCharType="begin"/>
        </w:r>
        <w:r w:rsidR="0080789C">
          <w:rPr>
            <w:noProof/>
            <w:webHidden/>
          </w:rPr>
          <w:instrText xml:space="preserve"> PAGEREF _Toc126943268 \h </w:instrText>
        </w:r>
        <w:r w:rsidR="0080789C">
          <w:rPr>
            <w:noProof/>
            <w:webHidden/>
          </w:rPr>
        </w:r>
        <w:r w:rsidR="0080789C">
          <w:rPr>
            <w:noProof/>
            <w:webHidden/>
          </w:rPr>
          <w:fldChar w:fldCharType="separate"/>
        </w:r>
        <w:r w:rsidR="005A6DD8">
          <w:rPr>
            <w:noProof/>
            <w:webHidden/>
          </w:rPr>
          <w:t>50</w:t>
        </w:r>
        <w:r w:rsidR="0080789C">
          <w:rPr>
            <w:noProof/>
            <w:webHidden/>
          </w:rPr>
          <w:fldChar w:fldCharType="end"/>
        </w:r>
      </w:hyperlink>
    </w:p>
    <w:p w14:paraId="7907E2A2" w14:textId="7FFB81B8" w:rsidR="0080789C" w:rsidRDefault="00000000">
      <w:pPr>
        <w:pStyle w:val="TableofFigures"/>
        <w:tabs>
          <w:tab w:val="right" w:leader="dot" w:pos="9436"/>
        </w:tabs>
        <w:rPr>
          <w:rFonts w:eastAsiaTheme="minorEastAsia" w:cstheme="minorBidi"/>
          <w:noProof/>
          <w:lang w:eastAsia="ro-RO"/>
        </w:rPr>
      </w:pPr>
      <w:hyperlink w:anchor="_Toc126943269" w:history="1">
        <w:r w:rsidR="0080789C" w:rsidRPr="00681C07">
          <w:rPr>
            <w:rStyle w:val="Hyperlink"/>
            <w:noProof/>
          </w:rPr>
          <w:t>Tabel 12 Proiectele propuse în Strategia de Dezvoltare Locală Integrată și Durabilă a Sectorului 2 pentru perioada 2016 – 2025 vs proiectele finalizate sau în curs de finalizare</w:t>
        </w:r>
        <w:r w:rsidR="0080789C">
          <w:rPr>
            <w:noProof/>
            <w:webHidden/>
          </w:rPr>
          <w:tab/>
        </w:r>
        <w:r w:rsidR="0080789C">
          <w:rPr>
            <w:noProof/>
            <w:webHidden/>
          </w:rPr>
          <w:fldChar w:fldCharType="begin"/>
        </w:r>
        <w:r w:rsidR="0080789C">
          <w:rPr>
            <w:noProof/>
            <w:webHidden/>
          </w:rPr>
          <w:instrText xml:space="preserve"> PAGEREF _Toc126943269 \h </w:instrText>
        </w:r>
        <w:r w:rsidR="0080789C">
          <w:rPr>
            <w:noProof/>
            <w:webHidden/>
          </w:rPr>
        </w:r>
        <w:r w:rsidR="0080789C">
          <w:rPr>
            <w:noProof/>
            <w:webHidden/>
          </w:rPr>
          <w:fldChar w:fldCharType="separate"/>
        </w:r>
        <w:r w:rsidR="005A6DD8">
          <w:rPr>
            <w:noProof/>
            <w:webHidden/>
          </w:rPr>
          <w:t>54</w:t>
        </w:r>
        <w:r w:rsidR="0080789C">
          <w:rPr>
            <w:noProof/>
            <w:webHidden/>
          </w:rPr>
          <w:fldChar w:fldCharType="end"/>
        </w:r>
      </w:hyperlink>
    </w:p>
    <w:p w14:paraId="3E8E63AD" w14:textId="65AFCC6C" w:rsidR="0080789C" w:rsidRDefault="00000000">
      <w:pPr>
        <w:pStyle w:val="TableofFigures"/>
        <w:tabs>
          <w:tab w:val="right" w:leader="dot" w:pos="9436"/>
        </w:tabs>
        <w:rPr>
          <w:rFonts w:eastAsiaTheme="minorEastAsia" w:cstheme="minorBidi"/>
          <w:noProof/>
          <w:lang w:eastAsia="ro-RO"/>
        </w:rPr>
      </w:pPr>
      <w:hyperlink w:anchor="_Toc126943270" w:history="1">
        <w:r w:rsidR="0080789C" w:rsidRPr="00681C07">
          <w:rPr>
            <w:rStyle w:val="Hyperlink"/>
            <w:noProof/>
          </w:rPr>
          <w:t xml:space="preserve">Tabel 13 </w:t>
        </w:r>
        <w:r w:rsidR="0080789C" w:rsidRPr="00681C07">
          <w:rPr>
            <w:rStyle w:val="Hyperlink"/>
            <w:iCs/>
            <w:noProof/>
          </w:rPr>
          <w:t>Principalii indicatori demografici la nivelul Sectorului 2, municipiul București și la nivel național, în anul 2021</w:t>
        </w:r>
        <w:r w:rsidR="0080789C">
          <w:rPr>
            <w:noProof/>
            <w:webHidden/>
          </w:rPr>
          <w:tab/>
        </w:r>
        <w:r w:rsidR="0080789C">
          <w:rPr>
            <w:noProof/>
            <w:webHidden/>
          </w:rPr>
          <w:fldChar w:fldCharType="begin"/>
        </w:r>
        <w:r w:rsidR="0080789C">
          <w:rPr>
            <w:noProof/>
            <w:webHidden/>
          </w:rPr>
          <w:instrText xml:space="preserve"> PAGEREF _Toc126943270 \h </w:instrText>
        </w:r>
        <w:r w:rsidR="0080789C">
          <w:rPr>
            <w:noProof/>
            <w:webHidden/>
          </w:rPr>
        </w:r>
        <w:r w:rsidR="0080789C">
          <w:rPr>
            <w:noProof/>
            <w:webHidden/>
          </w:rPr>
          <w:fldChar w:fldCharType="separate"/>
        </w:r>
        <w:r w:rsidR="005A6DD8">
          <w:rPr>
            <w:noProof/>
            <w:webHidden/>
          </w:rPr>
          <w:t>58</w:t>
        </w:r>
        <w:r w:rsidR="0080789C">
          <w:rPr>
            <w:noProof/>
            <w:webHidden/>
          </w:rPr>
          <w:fldChar w:fldCharType="end"/>
        </w:r>
      </w:hyperlink>
    </w:p>
    <w:p w14:paraId="7792C361" w14:textId="19EE0C0F" w:rsidR="0080789C" w:rsidRDefault="00000000">
      <w:pPr>
        <w:pStyle w:val="TableofFigures"/>
        <w:tabs>
          <w:tab w:val="right" w:leader="dot" w:pos="9436"/>
        </w:tabs>
        <w:rPr>
          <w:rFonts w:eastAsiaTheme="minorEastAsia" w:cstheme="minorBidi"/>
          <w:noProof/>
          <w:lang w:eastAsia="ro-RO"/>
        </w:rPr>
      </w:pPr>
      <w:hyperlink w:anchor="_Toc126943271" w:history="1">
        <w:r w:rsidR="0080789C" w:rsidRPr="00681C07">
          <w:rPr>
            <w:rStyle w:val="Hyperlink"/>
            <w:noProof/>
          </w:rPr>
          <w:t xml:space="preserve">Tabel 14 </w:t>
        </w:r>
        <w:r w:rsidR="0080789C" w:rsidRPr="00681C07">
          <w:rPr>
            <w:rStyle w:val="Hyperlink"/>
            <w:iCs/>
            <w:noProof/>
          </w:rPr>
          <w:t>Principalii indicatori ai mișcării naturale din România, Municipiul București și Sectorul 2, în anul 2020</w:t>
        </w:r>
        <w:r w:rsidR="0080789C">
          <w:rPr>
            <w:noProof/>
            <w:webHidden/>
          </w:rPr>
          <w:tab/>
        </w:r>
        <w:r w:rsidR="0080789C">
          <w:rPr>
            <w:noProof/>
            <w:webHidden/>
          </w:rPr>
          <w:fldChar w:fldCharType="begin"/>
        </w:r>
        <w:r w:rsidR="0080789C">
          <w:rPr>
            <w:noProof/>
            <w:webHidden/>
          </w:rPr>
          <w:instrText xml:space="preserve"> PAGEREF _Toc126943271 \h </w:instrText>
        </w:r>
        <w:r w:rsidR="0080789C">
          <w:rPr>
            <w:noProof/>
            <w:webHidden/>
          </w:rPr>
        </w:r>
        <w:r w:rsidR="0080789C">
          <w:rPr>
            <w:noProof/>
            <w:webHidden/>
          </w:rPr>
          <w:fldChar w:fldCharType="separate"/>
        </w:r>
        <w:r w:rsidR="005A6DD8">
          <w:rPr>
            <w:noProof/>
            <w:webHidden/>
          </w:rPr>
          <w:t>59</w:t>
        </w:r>
        <w:r w:rsidR="0080789C">
          <w:rPr>
            <w:noProof/>
            <w:webHidden/>
          </w:rPr>
          <w:fldChar w:fldCharType="end"/>
        </w:r>
      </w:hyperlink>
    </w:p>
    <w:p w14:paraId="545E50C8" w14:textId="36DD654E" w:rsidR="0080789C" w:rsidRDefault="00000000">
      <w:pPr>
        <w:pStyle w:val="TableofFigures"/>
        <w:tabs>
          <w:tab w:val="right" w:leader="dot" w:pos="9436"/>
        </w:tabs>
        <w:rPr>
          <w:rFonts w:eastAsiaTheme="minorEastAsia" w:cstheme="minorBidi"/>
          <w:noProof/>
          <w:lang w:eastAsia="ro-RO"/>
        </w:rPr>
      </w:pPr>
      <w:hyperlink w:anchor="_Toc126943272" w:history="1">
        <w:r w:rsidR="0080789C" w:rsidRPr="00681C07">
          <w:rPr>
            <w:rStyle w:val="Hyperlink"/>
            <w:noProof/>
          </w:rPr>
          <w:t>Tabel 15 Infrastructura centrelor sociale din cadrul DGASPC Sectorul 2, în anul 2021</w:t>
        </w:r>
        <w:r w:rsidR="0080789C">
          <w:rPr>
            <w:noProof/>
            <w:webHidden/>
          </w:rPr>
          <w:tab/>
        </w:r>
        <w:r w:rsidR="0080789C">
          <w:rPr>
            <w:noProof/>
            <w:webHidden/>
          </w:rPr>
          <w:fldChar w:fldCharType="begin"/>
        </w:r>
        <w:r w:rsidR="0080789C">
          <w:rPr>
            <w:noProof/>
            <w:webHidden/>
          </w:rPr>
          <w:instrText xml:space="preserve"> PAGEREF _Toc126943272 \h </w:instrText>
        </w:r>
        <w:r w:rsidR="0080789C">
          <w:rPr>
            <w:noProof/>
            <w:webHidden/>
          </w:rPr>
        </w:r>
        <w:r w:rsidR="0080789C">
          <w:rPr>
            <w:noProof/>
            <w:webHidden/>
          </w:rPr>
          <w:fldChar w:fldCharType="separate"/>
        </w:r>
        <w:r w:rsidR="005A6DD8">
          <w:rPr>
            <w:noProof/>
            <w:webHidden/>
          </w:rPr>
          <w:t>68</w:t>
        </w:r>
        <w:r w:rsidR="0080789C">
          <w:rPr>
            <w:noProof/>
            <w:webHidden/>
          </w:rPr>
          <w:fldChar w:fldCharType="end"/>
        </w:r>
      </w:hyperlink>
    </w:p>
    <w:p w14:paraId="414DDBE7" w14:textId="77AB985D" w:rsidR="0080789C" w:rsidRDefault="00000000">
      <w:pPr>
        <w:pStyle w:val="TableofFigures"/>
        <w:tabs>
          <w:tab w:val="right" w:leader="dot" w:pos="9436"/>
        </w:tabs>
        <w:rPr>
          <w:rFonts w:eastAsiaTheme="minorEastAsia" w:cstheme="minorBidi"/>
          <w:noProof/>
          <w:lang w:eastAsia="ro-RO"/>
        </w:rPr>
      </w:pPr>
      <w:hyperlink w:anchor="_Toc126943273" w:history="1">
        <w:r w:rsidR="0080789C" w:rsidRPr="00681C07">
          <w:rPr>
            <w:rStyle w:val="Hyperlink"/>
            <w:noProof/>
          </w:rPr>
          <w:t>Tabel 16 Situația locuințelor sociale din sectorul 2, în anul 2021</w:t>
        </w:r>
        <w:r w:rsidR="0080789C">
          <w:rPr>
            <w:noProof/>
            <w:webHidden/>
          </w:rPr>
          <w:tab/>
        </w:r>
        <w:r w:rsidR="0080789C">
          <w:rPr>
            <w:noProof/>
            <w:webHidden/>
          </w:rPr>
          <w:fldChar w:fldCharType="begin"/>
        </w:r>
        <w:r w:rsidR="0080789C">
          <w:rPr>
            <w:noProof/>
            <w:webHidden/>
          </w:rPr>
          <w:instrText xml:space="preserve"> PAGEREF _Toc126943273 \h </w:instrText>
        </w:r>
        <w:r w:rsidR="0080789C">
          <w:rPr>
            <w:noProof/>
            <w:webHidden/>
          </w:rPr>
        </w:r>
        <w:r w:rsidR="0080789C">
          <w:rPr>
            <w:noProof/>
            <w:webHidden/>
          </w:rPr>
          <w:fldChar w:fldCharType="separate"/>
        </w:r>
        <w:r w:rsidR="005A6DD8">
          <w:rPr>
            <w:noProof/>
            <w:webHidden/>
          </w:rPr>
          <w:t>70</w:t>
        </w:r>
        <w:r w:rsidR="0080789C">
          <w:rPr>
            <w:noProof/>
            <w:webHidden/>
          </w:rPr>
          <w:fldChar w:fldCharType="end"/>
        </w:r>
      </w:hyperlink>
    </w:p>
    <w:p w14:paraId="62F9FF30" w14:textId="00A723D1" w:rsidR="0080789C" w:rsidRDefault="00000000">
      <w:pPr>
        <w:pStyle w:val="TableofFigures"/>
        <w:tabs>
          <w:tab w:val="right" w:leader="dot" w:pos="9436"/>
        </w:tabs>
        <w:rPr>
          <w:rFonts w:eastAsiaTheme="minorEastAsia" w:cstheme="minorBidi"/>
          <w:noProof/>
          <w:lang w:eastAsia="ro-RO"/>
        </w:rPr>
      </w:pPr>
      <w:hyperlink w:anchor="_Toc126943274" w:history="1">
        <w:r w:rsidR="0080789C" w:rsidRPr="00681C07">
          <w:rPr>
            <w:rStyle w:val="Hyperlink"/>
            <w:noProof/>
          </w:rPr>
          <w:t>Tabel 17 Situația beneficiarilor de prestații sociale acordate de la bugetul de stat, din sectorul 2</w:t>
        </w:r>
        <w:r w:rsidR="0080789C">
          <w:rPr>
            <w:noProof/>
            <w:webHidden/>
          </w:rPr>
          <w:tab/>
        </w:r>
        <w:r w:rsidR="0080789C">
          <w:rPr>
            <w:noProof/>
            <w:webHidden/>
          </w:rPr>
          <w:fldChar w:fldCharType="begin"/>
        </w:r>
        <w:r w:rsidR="0080789C">
          <w:rPr>
            <w:noProof/>
            <w:webHidden/>
          </w:rPr>
          <w:instrText xml:space="preserve"> PAGEREF _Toc126943274 \h </w:instrText>
        </w:r>
        <w:r w:rsidR="0080789C">
          <w:rPr>
            <w:noProof/>
            <w:webHidden/>
          </w:rPr>
        </w:r>
        <w:r w:rsidR="0080789C">
          <w:rPr>
            <w:noProof/>
            <w:webHidden/>
          </w:rPr>
          <w:fldChar w:fldCharType="separate"/>
        </w:r>
        <w:r w:rsidR="005A6DD8">
          <w:rPr>
            <w:noProof/>
            <w:webHidden/>
          </w:rPr>
          <w:t>77</w:t>
        </w:r>
        <w:r w:rsidR="0080789C">
          <w:rPr>
            <w:noProof/>
            <w:webHidden/>
          </w:rPr>
          <w:fldChar w:fldCharType="end"/>
        </w:r>
      </w:hyperlink>
    </w:p>
    <w:p w14:paraId="2BBFBF36" w14:textId="06CCF9E6" w:rsidR="0080789C" w:rsidRDefault="00000000">
      <w:pPr>
        <w:pStyle w:val="TableofFigures"/>
        <w:tabs>
          <w:tab w:val="right" w:leader="dot" w:pos="9436"/>
        </w:tabs>
        <w:rPr>
          <w:rFonts w:eastAsiaTheme="minorEastAsia" w:cstheme="minorBidi"/>
          <w:noProof/>
          <w:lang w:eastAsia="ro-RO"/>
        </w:rPr>
      </w:pPr>
      <w:hyperlink w:anchor="_Toc126943275" w:history="1">
        <w:r w:rsidR="0080789C" w:rsidRPr="00681C07">
          <w:rPr>
            <w:rStyle w:val="Hyperlink"/>
            <w:noProof/>
          </w:rPr>
          <w:t>Tabel 18 Situația beneficiarilor de prestații sociale acordate de la bugetul local al sectorului 2</w:t>
        </w:r>
        <w:r w:rsidR="0080789C">
          <w:rPr>
            <w:noProof/>
            <w:webHidden/>
          </w:rPr>
          <w:tab/>
        </w:r>
        <w:r w:rsidR="0080789C">
          <w:rPr>
            <w:noProof/>
            <w:webHidden/>
          </w:rPr>
          <w:fldChar w:fldCharType="begin"/>
        </w:r>
        <w:r w:rsidR="0080789C">
          <w:rPr>
            <w:noProof/>
            <w:webHidden/>
          </w:rPr>
          <w:instrText xml:space="preserve"> PAGEREF _Toc126943275 \h </w:instrText>
        </w:r>
        <w:r w:rsidR="0080789C">
          <w:rPr>
            <w:noProof/>
            <w:webHidden/>
          </w:rPr>
        </w:r>
        <w:r w:rsidR="0080789C">
          <w:rPr>
            <w:noProof/>
            <w:webHidden/>
          </w:rPr>
          <w:fldChar w:fldCharType="separate"/>
        </w:r>
        <w:r w:rsidR="005A6DD8">
          <w:rPr>
            <w:noProof/>
            <w:webHidden/>
          </w:rPr>
          <w:t>78</w:t>
        </w:r>
        <w:r w:rsidR="0080789C">
          <w:rPr>
            <w:noProof/>
            <w:webHidden/>
          </w:rPr>
          <w:fldChar w:fldCharType="end"/>
        </w:r>
      </w:hyperlink>
    </w:p>
    <w:p w14:paraId="76174E3C" w14:textId="6CE599AF" w:rsidR="0080789C" w:rsidRDefault="00000000">
      <w:pPr>
        <w:pStyle w:val="TableofFigures"/>
        <w:tabs>
          <w:tab w:val="right" w:leader="dot" w:pos="9436"/>
        </w:tabs>
        <w:rPr>
          <w:rFonts w:eastAsiaTheme="minorEastAsia" w:cstheme="minorBidi"/>
          <w:noProof/>
          <w:lang w:eastAsia="ro-RO"/>
        </w:rPr>
      </w:pPr>
      <w:hyperlink w:anchor="_Toc126943276" w:history="1">
        <w:r w:rsidR="0080789C" w:rsidRPr="00681C07">
          <w:rPr>
            <w:rStyle w:val="Hyperlink"/>
            <w:noProof/>
          </w:rPr>
          <w:t>Tabel 19 Numărul de paturi ce revine la 1.000 de locuitori, în polii de creștere din țară, în anul 2020</w:t>
        </w:r>
        <w:r w:rsidR="0080789C">
          <w:rPr>
            <w:noProof/>
            <w:webHidden/>
          </w:rPr>
          <w:tab/>
        </w:r>
        <w:r w:rsidR="0080789C">
          <w:rPr>
            <w:noProof/>
            <w:webHidden/>
          </w:rPr>
          <w:fldChar w:fldCharType="begin"/>
        </w:r>
        <w:r w:rsidR="0080789C">
          <w:rPr>
            <w:noProof/>
            <w:webHidden/>
          </w:rPr>
          <w:instrText xml:space="preserve"> PAGEREF _Toc126943276 \h </w:instrText>
        </w:r>
        <w:r w:rsidR="0080789C">
          <w:rPr>
            <w:noProof/>
            <w:webHidden/>
          </w:rPr>
        </w:r>
        <w:r w:rsidR="0080789C">
          <w:rPr>
            <w:noProof/>
            <w:webHidden/>
          </w:rPr>
          <w:fldChar w:fldCharType="separate"/>
        </w:r>
        <w:r w:rsidR="005A6DD8">
          <w:rPr>
            <w:noProof/>
            <w:webHidden/>
          </w:rPr>
          <w:t>81</w:t>
        </w:r>
        <w:r w:rsidR="0080789C">
          <w:rPr>
            <w:noProof/>
            <w:webHidden/>
          </w:rPr>
          <w:fldChar w:fldCharType="end"/>
        </w:r>
      </w:hyperlink>
    </w:p>
    <w:p w14:paraId="772148E8" w14:textId="728F4752" w:rsidR="0080789C" w:rsidRDefault="00000000">
      <w:pPr>
        <w:pStyle w:val="TableofFigures"/>
        <w:tabs>
          <w:tab w:val="right" w:leader="dot" w:pos="9436"/>
        </w:tabs>
        <w:rPr>
          <w:rFonts w:eastAsiaTheme="minorEastAsia" w:cstheme="minorBidi"/>
          <w:noProof/>
          <w:lang w:eastAsia="ro-RO"/>
        </w:rPr>
      </w:pPr>
      <w:hyperlink w:anchor="_Toc126943277" w:history="1">
        <w:r w:rsidR="0080789C" w:rsidRPr="00681C07">
          <w:rPr>
            <w:rStyle w:val="Hyperlink"/>
            <w:noProof/>
          </w:rPr>
          <w:t>Tabel 20 Top 10 Cele mai mari instituții de învățământ preuniversitar din Sectorul 2, în funcție de numărul de elevi înmatriculați în anul școlar 2020-2021</w:t>
        </w:r>
        <w:r w:rsidR="0080789C">
          <w:rPr>
            <w:noProof/>
            <w:webHidden/>
          </w:rPr>
          <w:tab/>
        </w:r>
        <w:r w:rsidR="0080789C">
          <w:rPr>
            <w:noProof/>
            <w:webHidden/>
          </w:rPr>
          <w:fldChar w:fldCharType="begin"/>
        </w:r>
        <w:r w:rsidR="0080789C">
          <w:rPr>
            <w:noProof/>
            <w:webHidden/>
          </w:rPr>
          <w:instrText xml:space="preserve"> PAGEREF _Toc126943277 \h </w:instrText>
        </w:r>
        <w:r w:rsidR="0080789C">
          <w:rPr>
            <w:noProof/>
            <w:webHidden/>
          </w:rPr>
        </w:r>
        <w:r w:rsidR="0080789C">
          <w:rPr>
            <w:noProof/>
            <w:webHidden/>
          </w:rPr>
          <w:fldChar w:fldCharType="separate"/>
        </w:r>
        <w:r w:rsidR="005A6DD8">
          <w:rPr>
            <w:noProof/>
            <w:webHidden/>
          </w:rPr>
          <w:t>83</w:t>
        </w:r>
        <w:r w:rsidR="0080789C">
          <w:rPr>
            <w:noProof/>
            <w:webHidden/>
          </w:rPr>
          <w:fldChar w:fldCharType="end"/>
        </w:r>
      </w:hyperlink>
    </w:p>
    <w:p w14:paraId="52F6E8E3" w14:textId="661C91B6" w:rsidR="0080789C" w:rsidRDefault="00000000">
      <w:pPr>
        <w:pStyle w:val="TableofFigures"/>
        <w:tabs>
          <w:tab w:val="right" w:leader="dot" w:pos="9436"/>
        </w:tabs>
        <w:rPr>
          <w:rFonts w:eastAsiaTheme="minorEastAsia" w:cstheme="minorBidi"/>
          <w:noProof/>
          <w:lang w:eastAsia="ro-RO"/>
        </w:rPr>
      </w:pPr>
      <w:hyperlink w:anchor="_Toc126943278" w:history="1">
        <w:r w:rsidR="0080789C" w:rsidRPr="00681C07">
          <w:rPr>
            <w:rStyle w:val="Hyperlink"/>
            <w:noProof/>
          </w:rPr>
          <w:t>Tabel 21 Topul instituțiilor de învățământ din sectorul 2 în funcție de media obținută la examenul de Bacalaureat, în anul 2021</w:t>
        </w:r>
        <w:r w:rsidR="0080789C">
          <w:rPr>
            <w:noProof/>
            <w:webHidden/>
          </w:rPr>
          <w:tab/>
        </w:r>
        <w:r w:rsidR="0080789C">
          <w:rPr>
            <w:noProof/>
            <w:webHidden/>
          </w:rPr>
          <w:fldChar w:fldCharType="begin"/>
        </w:r>
        <w:r w:rsidR="0080789C">
          <w:rPr>
            <w:noProof/>
            <w:webHidden/>
          </w:rPr>
          <w:instrText xml:space="preserve"> PAGEREF _Toc126943278 \h </w:instrText>
        </w:r>
        <w:r w:rsidR="0080789C">
          <w:rPr>
            <w:noProof/>
            <w:webHidden/>
          </w:rPr>
        </w:r>
        <w:r w:rsidR="0080789C">
          <w:rPr>
            <w:noProof/>
            <w:webHidden/>
          </w:rPr>
          <w:fldChar w:fldCharType="separate"/>
        </w:r>
        <w:r w:rsidR="005A6DD8">
          <w:rPr>
            <w:noProof/>
            <w:webHidden/>
          </w:rPr>
          <w:t>89</w:t>
        </w:r>
        <w:r w:rsidR="0080789C">
          <w:rPr>
            <w:noProof/>
            <w:webHidden/>
          </w:rPr>
          <w:fldChar w:fldCharType="end"/>
        </w:r>
      </w:hyperlink>
    </w:p>
    <w:p w14:paraId="65512900" w14:textId="644071FA" w:rsidR="0080789C" w:rsidRDefault="00000000">
      <w:pPr>
        <w:pStyle w:val="TableofFigures"/>
        <w:tabs>
          <w:tab w:val="right" w:leader="dot" w:pos="9436"/>
        </w:tabs>
        <w:rPr>
          <w:rFonts w:eastAsiaTheme="minorEastAsia" w:cstheme="minorBidi"/>
          <w:noProof/>
          <w:lang w:eastAsia="ro-RO"/>
        </w:rPr>
      </w:pPr>
      <w:hyperlink w:anchor="_Toc126943279" w:history="1">
        <w:r w:rsidR="0080789C" w:rsidRPr="00681C07">
          <w:rPr>
            <w:rStyle w:val="Hyperlink"/>
            <w:noProof/>
          </w:rPr>
          <w:t>Tabel 22 Evoluția principalolor indicatori ai circulației turistice în Municipiul București, în perioada 2016-2021</w:t>
        </w:r>
        <w:r w:rsidR="0080789C">
          <w:rPr>
            <w:noProof/>
            <w:webHidden/>
          </w:rPr>
          <w:tab/>
        </w:r>
        <w:r w:rsidR="0080789C">
          <w:rPr>
            <w:noProof/>
            <w:webHidden/>
          </w:rPr>
          <w:fldChar w:fldCharType="begin"/>
        </w:r>
        <w:r w:rsidR="0080789C">
          <w:rPr>
            <w:noProof/>
            <w:webHidden/>
          </w:rPr>
          <w:instrText xml:space="preserve"> PAGEREF _Toc126943279 \h </w:instrText>
        </w:r>
        <w:r w:rsidR="0080789C">
          <w:rPr>
            <w:noProof/>
            <w:webHidden/>
          </w:rPr>
        </w:r>
        <w:r w:rsidR="0080789C">
          <w:rPr>
            <w:noProof/>
            <w:webHidden/>
          </w:rPr>
          <w:fldChar w:fldCharType="separate"/>
        </w:r>
        <w:r w:rsidR="005A6DD8">
          <w:rPr>
            <w:noProof/>
            <w:webHidden/>
          </w:rPr>
          <w:t>109</w:t>
        </w:r>
        <w:r w:rsidR="0080789C">
          <w:rPr>
            <w:noProof/>
            <w:webHidden/>
          </w:rPr>
          <w:fldChar w:fldCharType="end"/>
        </w:r>
      </w:hyperlink>
    </w:p>
    <w:p w14:paraId="759ECB59" w14:textId="1266339D" w:rsidR="0080789C" w:rsidRDefault="00000000">
      <w:pPr>
        <w:pStyle w:val="TableofFigures"/>
        <w:tabs>
          <w:tab w:val="right" w:leader="dot" w:pos="9436"/>
        </w:tabs>
        <w:rPr>
          <w:rFonts w:eastAsiaTheme="minorEastAsia" w:cstheme="minorBidi"/>
          <w:noProof/>
          <w:lang w:eastAsia="ro-RO"/>
        </w:rPr>
      </w:pPr>
      <w:hyperlink w:anchor="_Toc126943280" w:history="1">
        <w:r w:rsidR="0080789C" w:rsidRPr="00681C07">
          <w:rPr>
            <w:rStyle w:val="Hyperlink"/>
            <w:noProof/>
          </w:rPr>
          <w:t>Tabel 23 Top 15 al contribuabililor la bugetul local al PS 2, în anul 2021, cifra de afaceri și numărul de salariați înregistrată de aceștia în anul 2020</w:t>
        </w:r>
        <w:r w:rsidR="0080789C">
          <w:rPr>
            <w:noProof/>
            <w:webHidden/>
          </w:rPr>
          <w:tab/>
        </w:r>
        <w:r w:rsidR="0080789C">
          <w:rPr>
            <w:noProof/>
            <w:webHidden/>
          </w:rPr>
          <w:fldChar w:fldCharType="begin"/>
        </w:r>
        <w:r w:rsidR="0080789C">
          <w:rPr>
            <w:noProof/>
            <w:webHidden/>
          </w:rPr>
          <w:instrText xml:space="preserve"> PAGEREF _Toc126943280 \h </w:instrText>
        </w:r>
        <w:r w:rsidR="0080789C">
          <w:rPr>
            <w:noProof/>
            <w:webHidden/>
          </w:rPr>
        </w:r>
        <w:r w:rsidR="0080789C">
          <w:rPr>
            <w:noProof/>
            <w:webHidden/>
          </w:rPr>
          <w:fldChar w:fldCharType="separate"/>
        </w:r>
        <w:r w:rsidR="005A6DD8">
          <w:rPr>
            <w:noProof/>
            <w:webHidden/>
          </w:rPr>
          <w:t>160</w:t>
        </w:r>
        <w:r w:rsidR="0080789C">
          <w:rPr>
            <w:noProof/>
            <w:webHidden/>
          </w:rPr>
          <w:fldChar w:fldCharType="end"/>
        </w:r>
      </w:hyperlink>
    </w:p>
    <w:p w14:paraId="67EC1A2E" w14:textId="4D48B38D" w:rsidR="0080789C" w:rsidRDefault="00000000">
      <w:pPr>
        <w:pStyle w:val="TableofFigures"/>
        <w:tabs>
          <w:tab w:val="right" w:leader="dot" w:pos="9436"/>
        </w:tabs>
        <w:rPr>
          <w:rFonts w:eastAsiaTheme="minorEastAsia" w:cstheme="minorBidi"/>
          <w:noProof/>
          <w:lang w:eastAsia="ro-RO"/>
        </w:rPr>
      </w:pPr>
      <w:hyperlink w:anchor="_Toc126943281" w:history="1">
        <w:r w:rsidR="0080789C" w:rsidRPr="00681C07">
          <w:rPr>
            <w:rStyle w:val="Hyperlink"/>
            <w:noProof/>
          </w:rPr>
          <w:t>Tabel 24 Topul ramurilor economice în funcție de câștigul salarial în anul 2020, numărul mediu de salariați și ponderea numărului de salariați din sectorul 2, în anul 2020</w:t>
        </w:r>
        <w:r w:rsidR="0080789C">
          <w:rPr>
            <w:noProof/>
            <w:webHidden/>
          </w:rPr>
          <w:tab/>
        </w:r>
        <w:r w:rsidR="0080789C">
          <w:rPr>
            <w:noProof/>
            <w:webHidden/>
          </w:rPr>
          <w:fldChar w:fldCharType="begin"/>
        </w:r>
        <w:r w:rsidR="0080789C">
          <w:rPr>
            <w:noProof/>
            <w:webHidden/>
          </w:rPr>
          <w:instrText xml:space="preserve"> PAGEREF _Toc126943281 \h </w:instrText>
        </w:r>
        <w:r w:rsidR="0080789C">
          <w:rPr>
            <w:noProof/>
            <w:webHidden/>
          </w:rPr>
        </w:r>
        <w:r w:rsidR="0080789C">
          <w:rPr>
            <w:noProof/>
            <w:webHidden/>
          </w:rPr>
          <w:fldChar w:fldCharType="separate"/>
        </w:r>
        <w:r w:rsidR="005A6DD8">
          <w:rPr>
            <w:noProof/>
            <w:webHidden/>
          </w:rPr>
          <w:t>165</w:t>
        </w:r>
        <w:r w:rsidR="0080789C">
          <w:rPr>
            <w:noProof/>
            <w:webHidden/>
          </w:rPr>
          <w:fldChar w:fldCharType="end"/>
        </w:r>
      </w:hyperlink>
    </w:p>
    <w:p w14:paraId="67B5327F" w14:textId="69B3E82C" w:rsidR="0080789C" w:rsidRDefault="00000000">
      <w:pPr>
        <w:pStyle w:val="TableofFigures"/>
        <w:tabs>
          <w:tab w:val="right" w:leader="dot" w:pos="9436"/>
        </w:tabs>
        <w:rPr>
          <w:rFonts w:eastAsiaTheme="minorEastAsia" w:cstheme="minorBidi"/>
          <w:noProof/>
          <w:lang w:eastAsia="ro-RO"/>
        </w:rPr>
      </w:pPr>
      <w:hyperlink w:anchor="_Toc126943282" w:history="1">
        <w:r w:rsidR="0080789C" w:rsidRPr="00681C07">
          <w:rPr>
            <w:rStyle w:val="Hyperlink"/>
            <w:noProof/>
          </w:rPr>
          <w:t>Tabel 25 Clasamentul sectoarelor economice cu peste 500 de întreprinderi active în anul 2020, Sectorul 2</w:t>
        </w:r>
        <w:r w:rsidR="0080789C">
          <w:rPr>
            <w:noProof/>
            <w:webHidden/>
          </w:rPr>
          <w:tab/>
        </w:r>
        <w:r w:rsidR="0080789C">
          <w:rPr>
            <w:noProof/>
            <w:webHidden/>
          </w:rPr>
          <w:fldChar w:fldCharType="begin"/>
        </w:r>
        <w:r w:rsidR="0080789C">
          <w:rPr>
            <w:noProof/>
            <w:webHidden/>
          </w:rPr>
          <w:instrText xml:space="preserve"> PAGEREF _Toc126943282 \h </w:instrText>
        </w:r>
        <w:r w:rsidR="0080789C">
          <w:rPr>
            <w:noProof/>
            <w:webHidden/>
          </w:rPr>
        </w:r>
        <w:r w:rsidR="0080789C">
          <w:rPr>
            <w:noProof/>
            <w:webHidden/>
          </w:rPr>
          <w:fldChar w:fldCharType="separate"/>
        </w:r>
        <w:r w:rsidR="005A6DD8">
          <w:rPr>
            <w:noProof/>
            <w:webHidden/>
          </w:rPr>
          <w:t>168</w:t>
        </w:r>
        <w:r w:rsidR="0080789C">
          <w:rPr>
            <w:noProof/>
            <w:webHidden/>
          </w:rPr>
          <w:fldChar w:fldCharType="end"/>
        </w:r>
      </w:hyperlink>
    </w:p>
    <w:p w14:paraId="2D5F1F89" w14:textId="3E071441" w:rsidR="0080789C" w:rsidRDefault="00000000">
      <w:pPr>
        <w:pStyle w:val="TableofFigures"/>
        <w:tabs>
          <w:tab w:val="right" w:leader="dot" w:pos="9436"/>
        </w:tabs>
        <w:rPr>
          <w:rFonts w:eastAsiaTheme="minorEastAsia" w:cstheme="minorBidi"/>
          <w:noProof/>
          <w:lang w:eastAsia="ro-RO"/>
        </w:rPr>
      </w:pPr>
      <w:hyperlink w:anchor="_Toc126943283" w:history="1">
        <w:r w:rsidR="0080789C" w:rsidRPr="00681C07">
          <w:rPr>
            <w:rStyle w:val="Hyperlink"/>
            <w:noProof/>
          </w:rPr>
          <w:t>Tabel 26 Clasamentul primelor 15 sectoare economice după numărul mediu de salariați, 2020</w:t>
        </w:r>
        <w:r w:rsidR="0080789C">
          <w:rPr>
            <w:noProof/>
            <w:webHidden/>
          </w:rPr>
          <w:tab/>
        </w:r>
        <w:r w:rsidR="0080789C">
          <w:rPr>
            <w:noProof/>
            <w:webHidden/>
          </w:rPr>
          <w:fldChar w:fldCharType="begin"/>
        </w:r>
        <w:r w:rsidR="0080789C">
          <w:rPr>
            <w:noProof/>
            <w:webHidden/>
          </w:rPr>
          <w:instrText xml:space="preserve"> PAGEREF _Toc126943283 \h </w:instrText>
        </w:r>
        <w:r w:rsidR="0080789C">
          <w:rPr>
            <w:noProof/>
            <w:webHidden/>
          </w:rPr>
        </w:r>
        <w:r w:rsidR="0080789C">
          <w:rPr>
            <w:noProof/>
            <w:webHidden/>
          </w:rPr>
          <w:fldChar w:fldCharType="separate"/>
        </w:r>
        <w:r w:rsidR="005A6DD8">
          <w:rPr>
            <w:noProof/>
            <w:webHidden/>
          </w:rPr>
          <w:t>170</w:t>
        </w:r>
        <w:r w:rsidR="0080789C">
          <w:rPr>
            <w:noProof/>
            <w:webHidden/>
          </w:rPr>
          <w:fldChar w:fldCharType="end"/>
        </w:r>
      </w:hyperlink>
    </w:p>
    <w:p w14:paraId="354985BD" w14:textId="24F60F7D" w:rsidR="0080789C" w:rsidRDefault="00000000">
      <w:pPr>
        <w:pStyle w:val="TableofFigures"/>
        <w:tabs>
          <w:tab w:val="right" w:leader="dot" w:pos="9436"/>
        </w:tabs>
        <w:rPr>
          <w:rFonts w:eastAsiaTheme="minorEastAsia" w:cstheme="minorBidi"/>
          <w:noProof/>
          <w:lang w:eastAsia="ro-RO"/>
        </w:rPr>
      </w:pPr>
      <w:hyperlink w:anchor="_Toc126943284" w:history="1">
        <w:r w:rsidR="0080789C" w:rsidRPr="00681C07">
          <w:rPr>
            <w:rStyle w:val="Hyperlink"/>
            <w:noProof/>
          </w:rPr>
          <w:t>Tabel 27 Valorile minime și maxime la prețurile pentru vânzări de locuințe, mai 2022</w:t>
        </w:r>
        <w:r w:rsidR="0080789C">
          <w:rPr>
            <w:noProof/>
            <w:webHidden/>
          </w:rPr>
          <w:tab/>
        </w:r>
        <w:r w:rsidR="0080789C">
          <w:rPr>
            <w:noProof/>
            <w:webHidden/>
          </w:rPr>
          <w:fldChar w:fldCharType="begin"/>
        </w:r>
        <w:r w:rsidR="0080789C">
          <w:rPr>
            <w:noProof/>
            <w:webHidden/>
          </w:rPr>
          <w:instrText xml:space="preserve"> PAGEREF _Toc126943284 \h </w:instrText>
        </w:r>
        <w:r w:rsidR="0080789C">
          <w:rPr>
            <w:noProof/>
            <w:webHidden/>
          </w:rPr>
        </w:r>
        <w:r w:rsidR="0080789C">
          <w:rPr>
            <w:noProof/>
            <w:webHidden/>
          </w:rPr>
          <w:fldChar w:fldCharType="separate"/>
        </w:r>
        <w:r w:rsidR="005A6DD8">
          <w:rPr>
            <w:noProof/>
            <w:webHidden/>
          </w:rPr>
          <w:t>173</w:t>
        </w:r>
        <w:r w:rsidR="0080789C">
          <w:rPr>
            <w:noProof/>
            <w:webHidden/>
          </w:rPr>
          <w:fldChar w:fldCharType="end"/>
        </w:r>
      </w:hyperlink>
    </w:p>
    <w:p w14:paraId="609C7BA0" w14:textId="02297100" w:rsidR="0080789C" w:rsidRDefault="00000000">
      <w:pPr>
        <w:pStyle w:val="TableofFigures"/>
        <w:tabs>
          <w:tab w:val="right" w:leader="dot" w:pos="9436"/>
        </w:tabs>
        <w:rPr>
          <w:rFonts w:eastAsiaTheme="minorEastAsia" w:cstheme="minorBidi"/>
          <w:noProof/>
          <w:lang w:eastAsia="ro-RO"/>
        </w:rPr>
      </w:pPr>
      <w:hyperlink w:anchor="_Toc126943285" w:history="1">
        <w:r w:rsidR="0080789C" w:rsidRPr="00681C07">
          <w:rPr>
            <w:rStyle w:val="Hyperlink"/>
            <w:noProof/>
          </w:rPr>
          <w:t>Tabel 28 Valorile minime și maxime la prețurile pentru închirieri de locuințe, mai 2022</w:t>
        </w:r>
        <w:r w:rsidR="0080789C">
          <w:rPr>
            <w:noProof/>
            <w:webHidden/>
          </w:rPr>
          <w:tab/>
        </w:r>
        <w:r w:rsidR="0080789C">
          <w:rPr>
            <w:noProof/>
            <w:webHidden/>
          </w:rPr>
          <w:fldChar w:fldCharType="begin"/>
        </w:r>
        <w:r w:rsidR="0080789C">
          <w:rPr>
            <w:noProof/>
            <w:webHidden/>
          </w:rPr>
          <w:instrText xml:space="preserve"> PAGEREF _Toc126943285 \h </w:instrText>
        </w:r>
        <w:r w:rsidR="0080789C">
          <w:rPr>
            <w:noProof/>
            <w:webHidden/>
          </w:rPr>
        </w:r>
        <w:r w:rsidR="0080789C">
          <w:rPr>
            <w:noProof/>
            <w:webHidden/>
          </w:rPr>
          <w:fldChar w:fldCharType="separate"/>
        </w:r>
        <w:r w:rsidR="005A6DD8">
          <w:rPr>
            <w:noProof/>
            <w:webHidden/>
          </w:rPr>
          <w:t>174</w:t>
        </w:r>
        <w:r w:rsidR="0080789C">
          <w:rPr>
            <w:noProof/>
            <w:webHidden/>
          </w:rPr>
          <w:fldChar w:fldCharType="end"/>
        </w:r>
      </w:hyperlink>
    </w:p>
    <w:p w14:paraId="6E3F8C67" w14:textId="6922B290" w:rsidR="0080789C" w:rsidRDefault="00000000">
      <w:pPr>
        <w:pStyle w:val="TableofFigures"/>
        <w:tabs>
          <w:tab w:val="right" w:leader="dot" w:pos="9436"/>
        </w:tabs>
        <w:rPr>
          <w:rFonts w:eastAsiaTheme="minorEastAsia" w:cstheme="minorBidi"/>
          <w:noProof/>
          <w:lang w:eastAsia="ro-RO"/>
        </w:rPr>
      </w:pPr>
      <w:hyperlink w:anchor="_Toc126943286" w:history="1">
        <w:r w:rsidR="0080789C" w:rsidRPr="00681C07">
          <w:rPr>
            <w:rStyle w:val="Hyperlink"/>
            <w:noProof/>
          </w:rPr>
          <w:t>Tabel 29 Piața pentru spații comerciale de vânzare, mai 2022</w:t>
        </w:r>
        <w:r w:rsidR="0080789C">
          <w:rPr>
            <w:noProof/>
            <w:webHidden/>
          </w:rPr>
          <w:tab/>
        </w:r>
        <w:r w:rsidR="0080789C">
          <w:rPr>
            <w:noProof/>
            <w:webHidden/>
          </w:rPr>
          <w:fldChar w:fldCharType="begin"/>
        </w:r>
        <w:r w:rsidR="0080789C">
          <w:rPr>
            <w:noProof/>
            <w:webHidden/>
          </w:rPr>
          <w:instrText xml:space="preserve"> PAGEREF _Toc126943286 \h </w:instrText>
        </w:r>
        <w:r w:rsidR="0080789C">
          <w:rPr>
            <w:noProof/>
            <w:webHidden/>
          </w:rPr>
        </w:r>
        <w:r w:rsidR="0080789C">
          <w:rPr>
            <w:noProof/>
            <w:webHidden/>
          </w:rPr>
          <w:fldChar w:fldCharType="separate"/>
        </w:r>
        <w:r w:rsidR="005A6DD8">
          <w:rPr>
            <w:noProof/>
            <w:webHidden/>
          </w:rPr>
          <w:t>175</w:t>
        </w:r>
        <w:r w:rsidR="0080789C">
          <w:rPr>
            <w:noProof/>
            <w:webHidden/>
          </w:rPr>
          <w:fldChar w:fldCharType="end"/>
        </w:r>
      </w:hyperlink>
    </w:p>
    <w:p w14:paraId="16FA3F1C" w14:textId="104CE3BF" w:rsidR="0080789C" w:rsidRDefault="00000000">
      <w:pPr>
        <w:pStyle w:val="TableofFigures"/>
        <w:tabs>
          <w:tab w:val="right" w:leader="dot" w:pos="9436"/>
        </w:tabs>
        <w:rPr>
          <w:rFonts w:eastAsiaTheme="minorEastAsia" w:cstheme="minorBidi"/>
          <w:noProof/>
          <w:lang w:eastAsia="ro-RO"/>
        </w:rPr>
      </w:pPr>
      <w:hyperlink w:anchor="_Toc126943287" w:history="1">
        <w:r w:rsidR="0080789C" w:rsidRPr="00681C07">
          <w:rPr>
            <w:rStyle w:val="Hyperlink"/>
            <w:noProof/>
          </w:rPr>
          <w:t>Tabel 30 Gestionarea deșeurilor municipale în anul 2021 de către operatorul SC SUPERCOM SA</w:t>
        </w:r>
        <w:r w:rsidR="0080789C">
          <w:rPr>
            <w:noProof/>
            <w:webHidden/>
          </w:rPr>
          <w:tab/>
        </w:r>
        <w:r w:rsidR="0080789C">
          <w:rPr>
            <w:noProof/>
            <w:webHidden/>
          </w:rPr>
          <w:fldChar w:fldCharType="begin"/>
        </w:r>
        <w:r w:rsidR="0080789C">
          <w:rPr>
            <w:noProof/>
            <w:webHidden/>
          </w:rPr>
          <w:instrText xml:space="preserve"> PAGEREF _Toc126943287 \h </w:instrText>
        </w:r>
        <w:r w:rsidR="0080789C">
          <w:rPr>
            <w:noProof/>
            <w:webHidden/>
          </w:rPr>
        </w:r>
        <w:r w:rsidR="0080789C">
          <w:rPr>
            <w:noProof/>
            <w:webHidden/>
          </w:rPr>
          <w:fldChar w:fldCharType="separate"/>
        </w:r>
        <w:r w:rsidR="005A6DD8">
          <w:rPr>
            <w:noProof/>
            <w:webHidden/>
          </w:rPr>
          <w:t>206</w:t>
        </w:r>
        <w:r w:rsidR="0080789C">
          <w:rPr>
            <w:noProof/>
            <w:webHidden/>
          </w:rPr>
          <w:fldChar w:fldCharType="end"/>
        </w:r>
      </w:hyperlink>
    </w:p>
    <w:p w14:paraId="1953DA09" w14:textId="0891321E" w:rsidR="0080789C" w:rsidRDefault="00000000">
      <w:pPr>
        <w:pStyle w:val="TableofFigures"/>
        <w:tabs>
          <w:tab w:val="right" w:leader="dot" w:pos="9436"/>
        </w:tabs>
        <w:rPr>
          <w:rFonts w:eastAsiaTheme="minorEastAsia" w:cstheme="minorBidi"/>
          <w:noProof/>
          <w:lang w:eastAsia="ro-RO"/>
        </w:rPr>
      </w:pPr>
      <w:hyperlink w:anchor="_Toc126943288" w:history="1">
        <w:r w:rsidR="0080789C" w:rsidRPr="00681C07">
          <w:rPr>
            <w:rStyle w:val="Hyperlink"/>
            <w:noProof/>
          </w:rPr>
          <w:t>Tabel 31 Lista agenților economici care vehiculează COV-uri în 2021</w:t>
        </w:r>
        <w:r w:rsidR="0080789C">
          <w:rPr>
            <w:noProof/>
            <w:webHidden/>
          </w:rPr>
          <w:tab/>
        </w:r>
        <w:r w:rsidR="0080789C">
          <w:rPr>
            <w:noProof/>
            <w:webHidden/>
          </w:rPr>
          <w:fldChar w:fldCharType="begin"/>
        </w:r>
        <w:r w:rsidR="0080789C">
          <w:rPr>
            <w:noProof/>
            <w:webHidden/>
          </w:rPr>
          <w:instrText xml:space="preserve"> PAGEREF _Toc126943288 \h </w:instrText>
        </w:r>
        <w:r w:rsidR="0080789C">
          <w:rPr>
            <w:noProof/>
            <w:webHidden/>
          </w:rPr>
        </w:r>
        <w:r w:rsidR="0080789C">
          <w:rPr>
            <w:noProof/>
            <w:webHidden/>
          </w:rPr>
          <w:fldChar w:fldCharType="separate"/>
        </w:r>
        <w:r w:rsidR="005A6DD8">
          <w:rPr>
            <w:noProof/>
            <w:webHidden/>
          </w:rPr>
          <w:t>245</w:t>
        </w:r>
        <w:r w:rsidR="0080789C">
          <w:rPr>
            <w:noProof/>
            <w:webHidden/>
          </w:rPr>
          <w:fldChar w:fldCharType="end"/>
        </w:r>
      </w:hyperlink>
    </w:p>
    <w:p w14:paraId="40E03BF9" w14:textId="3588B961" w:rsidR="0080789C" w:rsidRDefault="00000000">
      <w:pPr>
        <w:pStyle w:val="TableofFigures"/>
        <w:tabs>
          <w:tab w:val="right" w:leader="dot" w:pos="9436"/>
        </w:tabs>
        <w:rPr>
          <w:rFonts w:eastAsiaTheme="minorEastAsia" w:cstheme="minorBidi"/>
          <w:noProof/>
          <w:lang w:eastAsia="ro-RO"/>
        </w:rPr>
      </w:pPr>
      <w:hyperlink w:anchor="_Toc126943289" w:history="1">
        <w:r w:rsidR="0080789C" w:rsidRPr="00681C07">
          <w:rPr>
            <w:rStyle w:val="Hyperlink"/>
            <w:noProof/>
          </w:rPr>
          <w:t>Tabel 32 Structură organizatorică Primăria Sectorului 2</w:t>
        </w:r>
        <w:r w:rsidR="0080789C">
          <w:rPr>
            <w:noProof/>
            <w:webHidden/>
          </w:rPr>
          <w:tab/>
        </w:r>
        <w:r w:rsidR="0080789C">
          <w:rPr>
            <w:noProof/>
            <w:webHidden/>
          </w:rPr>
          <w:fldChar w:fldCharType="begin"/>
        </w:r>
        <w:r w:rsidR="0080789C">
          <w:rPr>
            <w:noProof/>
            <w:webHidden/>
          </w:rPr>
          <w:instrText xml:space="preserve"> PAGEREF _Toc126943289 \h </w:instrText>
        </w:r>
        <w:r w:rsidR="0080789C">
          <w:rPr>
            <w:noProof/>
            <w:webHidden/>
          </w:rPr>
        </w:r>
        <w:r w:rsidR="0080789C">
          <w:rPr>
            <w:noProof/>
            <w:webHidden/>
          </w:rPr>
          <w:fldChar w:fldCharType="separate"/>
        </w:r>
        <w:r w:rsidR="005A6DD8">
          <w:rPr>
            <w:noProof/>
            <w:webHidden/>
          </w:rPr>
          <w:t>253</w:t>
        </w:r>
        <w:r w:rsidR="0080789C">
          <w:rPr>
            <w:noProof/>
            <w:webHidden/>
          </w:rPr>
          <w:fldChar w:fldCharType="end"/>
        </w:r>
      </w:hyperlink>
    </w:p>
    <w:p w14:paraId="75699BD7" w14:textId="0269E28C" w:rsidR="0080789C" w:rsidRDefault="00000000">
      <w:pPr>
        <w:pStyle w:val="TableofFigures"/>
        <w:tabs>
          <w:tab w:val="right" w:leader="dot" w:pos="9436"/>
        </w:tabs>
        <w:rPr>
          <w:rFonts w:eastAsiaTheme="minorEastAsia" w:cstheme="minorBidi"/>
          <w:noProof/>
          <w:lang w:eastAsia="ro-RO"/>
        </w:rPr>
      </w:pPr>
      <w:hyperlink w:anchor="_Toc126943290" w:history="1">
        <w:r w:rsidR="0080789C" w:rsidRPr="00681C07">
          <w:rPr>
            <w:rStyle w:val="Hyperlink"/>
            <w:noProof/>
          </w:rPr>
          <w:t>Tabel 33 Organigrama Primăriei Sectorului 2</w:t>
        </w:r>
        <w:r w:rsidR="0080789C">
          <w:rPr>
            <w:noProof/>
            <w:webHidden/>
          </w:rPr>
          <w:tab/>
        </w:r>
        <w:r w:rsidR="0080789C">
          <w:rPr>
            <w:noProof/>
            <w:webHidden/>
          </w:rPr>
          <w:fldChar w:fldCharType="begin"/>
        </w:r>
        <w:r w:rsidR="0080789C">
          <w:rPr>
            <w:noProof/>
            <w:webHidden/>
          </w:rPr>
          <w:instrText xml:space="preserve"> PAGEREF _Toc126943290 \h </w:instrText>
        </w:r>
        <w:r w:rsidR="0080789C">
          <w:rPr>
            <w:noProof/>
            <w:webHidden/>
          </w:rPr>
        </w:r>
        <w:r w:rsidR="0080789C">
          <w:rPr>
            <w:noProof/>
            <w:webHidden/>
          </w:rPr>
          <w:fldChar w:fldCharType="separate"/>
        </w:r>
        <w:r w:rsidR="005A6DD8">
          <w:rPr>
            <w:noProof/>
            <w:webHidden/>
          </w:rPr>
          <w:t>254</w:t>
        </w:r>
        <w:r w:rsidR="0080789C">
          <w:rPr>
            <w:noProof/>
            <w:webHidden/>
          </w:rPr>
          <w:fldChar w:fldCharType="end"/>
        </w:r>
      </w:hyperlink>
    </w:p>
    <w:p w14:paraId="6F8C85E2" w14:textId="26A1CBD9" w:rsidR="0080789C" w:rsidRDefault="00000000">
      <w:pPr>
        <w:pStyle w:val="TableofFigures"/>
        <w:tabs>
          <w:tab w:val="right" w:leader="dot" w:pos="9436"/>
        </w:tabs>
        <w:rPr>
          <w:rFonts w:eastAsiaTheme="minorEastAsia" w:cstheme="minorBidi"/>
          <w:noProof/>
          <w:lang w:eastAsia="ro-RO"/>
        </w:rPr>
      </w:pPr>
      <w:hyperlink w:anchor="_Toc126943291" w:history="1">
        <w:r w:rsidR="0080789C" w:rsidRPr="00681C07">
          <w:rPr>
            <w:rStyle w:val="Hyperlink"/>
            <w:noProof/>
          </w:rPr>
          <w:t>Tabel 34 Instituții sub autoritatea Consiliului Local Sector 2</w:t>
        </w:r>
        <w:r w:rsidR="0080789C">
          <w:rPr>
            <w:noProof/>
            <w:webHidden/>
          </w:rPr>
          <w:tab/>
        </w:r>
        <w:r w:rsidR="0080789C">
          <w:rPr>
            <w:noProof/>
            <w:webHidden/>
          </w:rPr>
          <w:fldChar w:fldCharType="begin"/>
        </w:r>
        <w:r w:rsidR="0080789C">
          <w:rPr>
            <w:noProof/>
            <w:webHidden/>
          </w:rPr>
          <w:instrText xml:space="preserve"> PAGEREF _Toc126943291 \h </w:instrText>
        </w:r>
        <w:r w:rsidR="0080789C">
          <w:rPr>
            <w:noProof/>
            <w:webHidden/>
          </w:rPr>
        </w:r>
        <w:r w:rsidR="0080789C">
          <w:rPr>
            <w:noProof/>
            <w:webHidden/>
          </w:rPr>
          <w:fldChar w:fldCharType="separate"/>
        </w:r>
        <w:r w:rsidR="005A6DD8">
          <w:rPr>
            <w:noProof/>
            <w:webHidden/>
          </w:rPr>
          <w:t>255</w:t>
        </w:r>
        <w:r w:rsidR="0080789C">
          <w:rPr>
            <w:noProof/>
            <w:webHidden/>
          </w:rPr>
          <w:fldChar w:fldCharType="end"/>
        </w:r>
      </w:hyperlink>
    </w:p>
    <w:p w14:paraId="7CF915D3" w14:textId="70162857" w:rsidR="0080789C" w:rsidRDefault="00000000">
      <w:pPr>
        <w:pStyle w:val="TableofFigures"/>
        <w:tabs>
          <w:tab w:val="right" w:leader="dot" w:pos="9436"/>
        </w:tabs>
        <w:rPr>
          <w:rFonts w:eastAsiaTheme="minorEastAsia" w:cstheme="minorBidi"/>
          <w:noProof/>
          <w:lang w:eastAsia="ro-RO"/>
        </w:rPr>
      </w:pPr>
      <w:hyperlink w:anchor="_Toc126943292" w:history="1">
        <w:r w:rsidR="0080789C" w:rsidRPr="00681C07">
          <w:rPr>
            <w:rStyle w:val="Hyperlink"/>
            <w:noProof/>
          </w:rPr>
          <w:t>Tabel 35 Număr de funcții în organigrama Primăriei Sectorului 2</w:t>
        </w:r>
        <w:r w:rsidR="0080789C">
          <w:rPr>
            <w:noProof/>
            <w:webHidden/>
          </w:rPr>
          <w:tab/>
        </w:r>
        <w:r w:rsidR="0080789C">
          <w:rPr>
            <w:noProof/>
            <w:webHidden/>
          </w:rPr>
          <w:fldChar w:fldCharType="begin"/>
        </w:r>
        <w:r w:rsidR="0080789C">
          <w:rPr>
            <w:noProof/>
            <w:webHidden/>
          </w:rPr>
          <w:instrText xml:space="preserve"> PAGEREF _Toc126943292 \h </w:instrText>
        </w:r>
        <w:r w:rsidR="0080789C">
          <w:rPr>
            <w:noProof/>
            <w:webHidden/>
          </w:rPr>
        </w:r>
        <w:r w:rsidR="0080789C">
          <w:rPr>
            <w:noProof/>
            <w:webHidden/>
          </w:rPr>
          <w:fldChar w:fldCharType="separate"/>
        </w:r>
        <w:r w:rsidR="005A6DD8">
          <w:rPr>
            <w:noProof/>
            <w:webHidden/>
          </w:rPr>
          <w:t>257</w:t>
        </w:r>
        <w:r w:rsidR="0080789C">
          <w:rPr>
            <w:noProof/>
            <w:webHidden/>
          </w:rPr>
          <w:fldChar w:fldCharType="end"/>
        </w:r>
      </w:hyperlink>
    </w:p>
    <w:p w14:paraId="7AC7410D" w14:textId="033B42AD" w:rsidR="0080789C" w:rsidRDefault="00000000">
      <w:pPr>
        <w:pStyle w:val="TableofFigures"/>
        <w:tabs>
          <w:tab w:val="right" w:leader="dot" w:pos="9436"/>
        </w:tabs>
        <w:rPr>
          <w:rFonts w:eastAsiaTheme="minorEastAsia" w:cstheme="minorBidi"/>
          <w:noProof/>
          <w:lang w:eastAsia="ro-RO"/>
        </w:rPr>
      </w:pPr>
      <w:hyperlink w:anchor="_Toc126943293" w:history="1">
        <w:r w:rsidR="0080789C" w:rsidRPr="00681C07">
          <w:rPr>
            <w:rStyle w:val="Hyperlink"/>
            <w:noProof/>
          </w:rPr>
          <w:t>Tabel 36 Mobilitatea personalului la nivelul aparatului de specialitate și direcției publice de evidență persoane și stare civilă Sector 2</w:t>
        </w:r>
        <w:r w:rsidR="0080789C">
          <w:rPr>
            <w:noProof/>
            <w:webHidden/>
          </w:rPr>
          <w:tab/>
        </w:r>
        <w:r w:rsidR="0080789C">
          <w:rPr>
            <w:noProof/>
            <w:webHidden/>
          </w:rPr>
          <w:fldChar w:fldCharType="begin"/>
        </w:r>
        <w:r w:rsidR="0080789C">
          <w:rPr>
            <w:noProof/>
            <w:webHidden/>
          </w:rPr>
          <w:instrText xml:space="preserve"> PAGEREF _Toc126943293 \h </w:instrText>
        </w:r>
        <w:r w:rsidR="0080789C">
          <w:rPr>
            <w:noProof/>
            <w:webHidden/>
          </w:rPr>
        </w:r>
        <w:r w:rsidR="0080789C">
          <w:rPr>
            <w:noProof/>
            <w:webHidden/>
          </w:rPr>
          <w:fldChar w:fldCharType="separate"/>
        </w:r>
        <w:r w:rsidR="005A6DD8">
          <w:rPr>
            <w:noProof/>
            <w:webHidden/>
          </w:rPr>
          <w:t>257</w:t>
        </w:r>
        <w:r w:rsidR="0080789C">
          <w:rPr>
            <w:noProof/>
            <w:webHidden/>
          </w:rPr>
          <w:fldChar w:fldCharType="end"/>
        </w:r>
      </w:hyperlink>
    </w:p>
    <w:p w14:paraId="4917843C" w14:textId="3A0B605F" w:rsidR="0080789C" w:rsidRDefault="00000000">
      <w:pPr>
        <w:pStyle w:val="TableofFigures"/>
        <w:tabs>
          <w:tab w:val="right" w:leader="dot" w:pos="9436"/>
        </w:tabs>
        <w:rPr>
          <w:rFonts w:eastAsiaTheme="minorEastAsia" w:cstheme="minorBidi"/>
          <w:noProof/>
          <w:lang w:eastAsia="ro-RO"/>
        </w:rPr>
      </w:pPr>
      <w:hyperlink w:anchor="_Toc126943294" w:history="1">
        <w:r w:rsidR="0080789C" w:rsidRPr="00681C07">
          <w:rPr>
            <w:rStyle w:val="Hyperlink"/>
            <w:noProof/>
          </w:rPr>
          <w:t>Tabel 37 Grad vechime aparat propriu de specialitate și direcția de evidență persoane și stare civilă</w:t>
        </w:r>
        <w:r w:rsidR="0080789C">
          <w:rPr>
            <w:noProof/>
            <w:webHidden/>
          </w:rPr>
          <w:tab/>
        </w:r>
        <w:r w:rsidR="0080789C">
          <w:rPr>
            <w:noProof/>
            <w:webHidden/>
          </w:rPr>
          <w:fldChar w:fldCharType="begin"/>
        </w:r>
        <w:r w:rsidR="0080789C">
          <w:rPr>
            <w:noProof/>
            <w:webHidden/>
          </w:rPr>
          <w:instrText xml:space="preserve"> PAGEREF _Toc126943294 \h </w:instrText>
        </w:r>
        <w:r w:rsidR="0080789C">
          <w:rPr>
            <w:noProof/>
            <w:webHidden/>
          </w:rPr>
        </w:r>
        <w:r w:rsidR="0080789C">
          <w:rPr>
            <w:noProof/>
            <w:webHidden/>
          </w:rPr>
          <w:fldChar w:fldCharType="separate"/>
        </w:r>
        <w:r w:rsidR="005A6DD8">
          <w:rPr>
            <w:noProof/>
            <w:webHidden/>
          </w:rPr>
          <w:t>258</w:t>
        </w:r>
        <w:r w:rsidR="0080789C">
          <w:rPr>
            <w:noProof/>
            <w:webHidden/>
          </w:rPr>
          <w:fldChar w:fldCharType="end"/>
        </w:r>
      </w:hyperlink>
    </w:p>
    <w:p w14:paraId="2638DD05" w14:textId="120F2BDA" w:rsidR="0080789C" w:rsidRDefault="00000000">
      <w:pPr>
        <w:pStyle w:val="TableofFigures"/>
        <w:tabs>
          <w:tab w:val="right" w:leader="dot" w:pos="9436"/>
        </w:tabs>
        <w:rPr>
          <w:rFonts w:eastAsiaTheme="minorEastAsia" w:cstheme="minorBidi"/>
          <w:noProof/>
          <w:lang w:eastAsia="ro-RO"/>
        </w:rPr>
      </w:pPr>
      <w:hyperlink w:anchor="_Toc126943295" w:history="1">
        <w:r w:rsidR="0080789C" w:rsidRPr="00681C07">
          <w:rPr>
            <w:rStyle w:val="Hyperlink"/>
            <w:noProof/>
          </w:rPr>
          <w:t>Tabel 38 Participarea la cursuri de perfecționare în perioada 2017-2021</w:t>
        </w:r>
        <w:r w:rsidR="0080789C">
          <w:rPr>
            <w:noProof/>
            <w:webHidden/>
          </w:rPr>
          <w:tab/>
        </w:r>
        <w:r w:rsidR="0080789C">
          <w:rPr>
            <w:noProof/>
            <w:webHidden/>
          </w:rPr>
          <w:fldChar w:fldCharType="begin"/>
        </w:r>
        <w:r w:rsidR="0080789C">
          <w:rPr>
            <w:noProof/>
            <w:webHidden/>
          </w:rPr>
          <w:instrText xml:space="preserve"> PAGEREF _Toc126943295 \h </w:instrText>
        </w:r>
        <w:r w:rsidR="0080789C">
          <w:rPr>
            <w:noProof/>
            <w:webHidden/>
          </w:rPr>
        </w:r>
        <w:r w:rsidR="0080789C">
          <w:rPr>
            <w:noProof/>
            <w:webHidden/>
          </w:rPr>
          <w:fldChar w:fldCharType="separate"/>
        </w:r>
        <w:r w:rsidR="005A6DD8">
          <w:rPr>
            <w:noProof/>
            <w:webHidden/>
          </w:rPr>
          <w:t>260</w:t>
        </w:r>
        <w:r w:rsidR="0080789C">
          <w:rPr>
            <w:noProof/>
            <w:webHidden/>
          </w:rPr>
          <w:fldChar w:fldCharType="end"/>
        </w:r>
      </w:hyperlink>
    </w:p>
    <w:p w14:paraId="6E83DFE1" w14:textId="2F739C2C" w:rsidR="0080789C" w:rsidRDefault="00000000">
      <w:pPr>
        <w:pStyle w:val="TableofFigures"/>
        <w:tabs>
          <w:tab w:val="right" w:leader="dot" w:pos="9436"/>
        </w:tabs>
        <w:rPr>
          <w:rFonts w:eastAsiaTheme="minorEastAsia" w:cstheme="minorBidi"/>
          <w:noProof/>
          <w:lang w:eastAsia="ro-RO"/>
        </w:rPr>
      </w:pPr>
      <w:hyperlink w:anchor="_Toc126943296" w:history="1">
        <w:r w:rsidR="0080789C" w:rsidRPr="00681C07">
          <w:rPr>
            <w:rStyle w:val="Hyperlink"/>
            <w:noProof/>
          </w:rPr>
          <w:t>Tabel 39 Sume alocate din buget pentru finanțarea planului de formare pentru personal în perioada 2017-2022</w:t>
        </w:r>
        <w:r w:rsidR="0080789C">
          <w:rPr>
            <w:noProof/>
            <w:webHidden/>
          </w:rPr>
          <w:tab/>
        </w:r>
        <w:r w:rsidR="0080789C">
          <w:rPr>
            <w:noProof/>
            <w:webHidden/>
          </w:rPr>
          <w:fldChar w:fldCharType="begin"/>
        </w:r>
        <w:r w:rsidR="0080789C">
          <w:rPr>
            <w:noProof/>
            <w:webHidden/>
          </w:rPr>
          <w:instrText xml:space="preserve"> PAGEREF _Toc126943296 \h </w:instrText>
        </w:r>
        <w:r w:rsidR="0080789C">
          <w:rPr>
            <w:noProof/>
            <w:webHidden/>
          </w:rPr>
        </w:r>
        <w:r w:rsidR="0080789C">
          <w:rPr>
            <w:noProof/>
            <w:webHidden/>
          </w:rPr>
          <w:fldChar w:fldCharType="separate"/>
        </w:r>
        <w:r w:rsidR="005A6DD8">
          <w:rPr>
            <w:noProof/>
            <w:webHidden/>
          </w:rPr>
          <w:t>261</w:t>
        </w:r>
        <w:r w:rsidR="0080789C">
          <w:rPr>
            <w:noProof/>
            <w:webHidden/>
          </w:rPr>
          <w:fldChar w:fldCharType="end"/>
        </w:r>
      </w:hyperlink>
    </w:p>
    <w:p w14:paraId="5430BD7D" w14:textId="4FBB29F3" w:rsidR="0080789C" w:rsidRDefault="00000000">
      <w:pPr>
        <w:pStyle w:val="TableofFigures"/>
        <w:tabs>
          <w:tab w:val="right" w:leader="dot" w:pos="9436"/>
        </w:tabs>
        <w:rPr>
          <w:rFonts w:eastAsiaTheme="minorEastAsia" w:cstheme="minorBidi"/>
          <w:noProof/>
          <w:lang w:eastAsia="ro-RO"/>
        </w:rPr>
      </w:pPr>
      <w:hyperlink w:anchor="_Toc126943297" w:history="1">
        <w:r w:rsidR="0080789C" w:rsidRPr="00681C07">
          <w:rPr>
            <w:rStyle w:val="Hyperlink"/>
            <w:noProof/>
          </w:rPr>
          <w:t>Tabel 40 Evoluția planificării veniturilor totale în perioada 2018-2021</w:t>
        </w:r>
        <w:r w:rsidR="0080789C">
          <w:rPr>
            <w:noProof/>
            <w:webHidden/>
          </w:rPr>
          <w:tab/>
        </w:r>
        <w:r w:rsidR="0080789C">
          <w:rPr>
            <w:noProof/>
            <w:webHidden/>
          </w:rPr>
          <w:fldChar w:fldCharType="begin"/>
        </w:r>
        <w:r w:rsidR="0080789C">
          <w:rPr>
            <w:noProof/>
            <w:webHidden/>
          </w:rPr>
          <w:instrText xml:space="preserve"> PAGEREF _Toc126943297 \h </w:instrText>
        </w:r>
        <w:r w:rsidR="0080789C">
          <w:rPr>
            <w:noProof/>
            <w:webHidden/>
          </w:rPr>
        </w:r>
        <w:r w:rsidR="0080789C">
          <w:rPr>
            <w:noProof/>
            <w:webHidden/>
          </w:rPr>
          <w:fldChar w:fldCharType="separate"/>
        </w:r>
        <w:r w:rsidR="005A6DD8">
          <w:rPr>
            <w:noProof/>
            <w:webHidden/>
          </w:rPr>
          <w:t>268</w:t>
        </w:r>
        <w:r w:rsidR="0080789C">
          <w:rPr>
            <w:noProof/>
            <w:webHidden/>
          </w:rPr>
          <w:fldChar w:fldCharType="end"/>
        </w:r>
      </w:hyperlink>
    </w:p>
    <w:p w14:paraId="6CE23CE6" w14:textId="2C74E7F2" w:rsidR="0080789C" w:rsidRDefault="00000000">
      <w:pPr>
        <w:pStyle w:val="TableofFigures"/>
        <w:tabs>
          <w:tab w:val="right" w:leader="dot" w:pos="9436"/>
        </w:tabs>
        <w:rPr>
          <w:rFonts w:eastAsiaTheme="minorEastAsia" w:cstheme="minorBidi"/>
          <w:noProof/>
          <w:lang w:eastAsia="ro-RO"/>
        </w:rPr>
      </w:pPr>
      <w:hyperlink w:anchor="_Toc126943298" w:history="1">
        <w:r w:rsidR="0080789C" w:rsidRPr="00681C07">
          <w:rPr>
            <w:rStyle w:val="Hyperlink"/>
            <w:noProof/>
          </w:rPr>
          <w:t>Tabel 41 Evoluția planificării cheltuielilor totale în perioada 2017-2021</w:t>
        </w:r>
        <w:r w:rsidR="0080789C">
          <w:rPr>
            <w:noProof/>
            <w:webHidden/>
          </w:rPr>
          <w:tab/>
        </w:r>
        <w:r w:rsidR="0080789C">
          <w:rPr>
            <w:noProof/>
            <w:webHidden/>
          </w:rPr>
          <w:fldChar w:fldCharType="begin"/>
        </w:r>
        <w:r w:rsidR="0080789C">
          <w:rPr>
            <w:noProof/>
            <w:webHidden/>
          </w:rPr>
          <w:instrText xml:space="preserve"> PAGEREF _Toc126943298 \h </w:instrText>
        </w:r>
        <w:r w:rsidR="0080789C">
          <w:rPr>
            <w:noProof/>
            <w:webHidden/>
          </w:rPr>
        </w:r>
        <w:r w:rsidR="0080789C">
          <w:rPr>
            <w:noProof/>
            <w:webHidden/>
          </w:rPr>
          <w:fldChar w:fldCharType="separate"/>
        </w:r>
        <w:r w:rsidR="005A6DD8">
          <w:rPr>
            <w:noProof/>
            <w:webHidden/>
          </w:rPr>
          <w:t>269</w:t>
        </w:r>
        <w:r w:rsidR="0080789C">
          <w:rPr>
            <w:noProof/>
            <w:webHidden/>
          </w:rPr>
          <w:fldChar w:fldCharType="end"/>
        </w:r>
      </w:hyperlink>
    </w:p>
    <w:p w14:paraId="3E473140" w14:textId="554A89CB" w:rsidR="0080789C" w:rsidRDefault="00000000">
      <w:pPr>
        <w:pStyle w:val="TableofFigures"/>
        <w:tabs>
          <w:tab w:val="right" w:leader="dot" w:pos="9436"/>
        </w:tabs>
        <w:rPr>
          <w:rFonts w:eastAsiaTheme="minorEastAsia" w:cstheme="minorBidi"/>
          <w:noProof/>
          <w:lang w:eastAsia="ro-RO"/>
        </w:rPr>
      </w:pPr>
      <w:hyperlink w:anchor="_Toc126943299" w:history="1">
        <w:r w:rsidR="0080789C" w:rsidRPr="00681C07">
          <w:rPr>
            <w:rStyle w:val="Hyperlink"/>
            <w:noProof/>
          </w:rPr>
          <w:t>Tabel 42 Evoluția planificării cheltuielilor secțiunea de funcționare în perioada 2018-2021</w:t>
        </w:r>
        <w:r w:rsidR="0080789C">
          <w:rPr>
            <w:noProof/>
            <w:webHidden/>
          </w:rPr>
          <w:tab/>
        </w:r>
        <w:r w:rsidR="0080789C">
          <w:rPr>
            <w:noProof/>
            <w:webHidden/>
          </w:rPr>
          <w:fldChar w:fldCharType="begin"/>
        </w:r>
        <w:r w:rsidR="0080789C">
          <w:rPr>
            <w:noProof/>
            <w:webHidden/>
          </w:rPr>
          <w:instrText xml:space="preserve"> PAGEREF _Toc126943299 \h </w:instrText>
        </w:r>
        <w:r w:rsidR="0080789C">
          <w:rPr>
            <w:noProof/>
            <w:webHidden/>
          </w:rPr>
        </w:r>
        <w:r w:rsidR="0080789C">
          <w:rPr>
            <w:noProof/>
            <w:webHidden/>
          </w:rPr>
          <w:fldChar w:fldCharType="separate"/>
        </w:r>
        <w:r w:rsidR="005A6DD8">
          <w:rPr>
            <w:noProof/>
            <w:webHidden/>
          </w:rPr>
          <w:t>269</w:t>
        </w:r>
        <w:r w:rsidR="0080789C">
          <w:rPr>
            <w:noProof/>
            <w:webHidden/>
          </w:rPr>
          <w:fldChar w:fldCharType="end"/>
        </w:r>
      </w:hyperlink>
    </w:p>
    <w:p w14:paraId="4C393B17" w14:textId="1D987916" w:rsidR="0080789C" w:rsidRDefault="00000000">
      <w:pPr>
        <w:pStyle w:val="TableofFigures"/>
        <w:tabs>
          <w:tab w:val="right" w:leader="dot" w:pos="9436"/>
        </w:tabs>
        <w:rPr>
          <w:rFonts w:eastAsiaTheme="minorEastAsia" w:cstheme="minorBidi"/>
          <w:noProof/>
          <w:lang w:eastAsia="ro-RO"/>
        </w:rPr>
      </w:pPr>
      <w:hyperlink w:anchor="_Toc126943300" w:history="1">
        <w:r w:rsidR="0080789C" w:rsidRPr="00681C07">
          <w:rPr>
            <w:rStyle w:val="Hyperlink"/>
            <w:noProof/>
          </w:rPr>
          <w:t>Tabel 43 Evoluția planificării cheltuielilor secțiunea de dezvoltare în perioada 2018-2021</w:t>
        </w:r>
        <w:r w:rsidR="0080789C">
          <w:rPr>
            <w:noProof/>
            <w:webHidden/>
          </w:rPr>
          <w:tab/>
        </w:r>
        <w:r w:rsidR="0080789C">
          <w:rPr>
            <w:noProof/>
            <w:webHidden/>
          </w:rPr>
          <w:fldChar w:fldCharType="begin"/>
        </w:r>
        <w:r w:rsidR="0080789C">
          <w:rPr>
            <w:noProof/>
            <w:webHidden/>
          </w:rPr>
          <w:instrText xml:space="preserve"> PAGEREF _Toc126943300 \h </w:instrText>
        </w:r>
        <w:r w:rsidR="0080789C">
          <w:rPr>
            <w:noProof/>
            <w:webHidden/>
          </w:rPr>
        </w:r>
        <w:r w:rsidR="0080789C">
          <w:rPr>
            <w:noProof/>
            <w:webHidden/>
          </w:rPr>
          <w:fldChar w:fldCharType="separate"/>
        </w:r>
        <w:r w:rsidR="005A6DD8">
          <w:rPr>
            <w:noProof/>
            <w:webHidden/>
          </w:rPr>
          <w:t>269</w:t>
        </w:r>
        <w:r w:rsidR="0080789C">
          <w:rPr>
            <w:noProof/>
            <w:webHidden/>
          </w:rPr>
          <w:fldChar w:fldCharType="end"/>
        </w:r>
      </w:hyperlink>
    </w:p>
    <w:p w14:paraId="4A9CCF33" w14:textId="6794B194" w:rsidR="0080789C" w:rsidRDefault="00000000">
      <w:pPr>
        <w:pStyle w:val="TableofFigures"/>
        <w:tabs>
          <w:tab w:val="right" w:leader="dot" w:pos="9436"/>
        </w:tabs>
        <w:rPr>
          <w:rFonts w:eastAsiaTheme="minorEastAsia" w:cstheme="minorBidi"/>
          <w:noProof/>
          <w:lang w:eastAsia="ro-RO"/>
        </w:rPr>
      </w:pPr>
      <w:hyperlink w:anchor="_Toc126943301" w:history="1">
        <w:r w:rsidR="0080789C" w:rsidRPr="00681C07">
          <w:rPr>
            <w:rStyle w:val="Hyperlink"/>
            <w:noProof/>
          </w:rPr>
          <w:t>Tabel 44 Evoluția planificării cheltuielilor cu proiecte FEN în perioada 2018-2021</w:t>
        </w:r>
        <w:r w:rsidR="0080789C">
          <w:rPr>
            <w:noProof/>
            <w:webHidden/>
          </w:rPr>
          <w:tab/>
        </w:r>
        <w:r w:rsidR="0080789C">
          <w:rPr>
            <w:noProof/>
            <w:webHidden/>
          </w:rPr>
          <w:fldChar w:fldCharType="begin"/>
        </w:r>
        <w:r w:rsidR="0080789C">
          <w:rPr>
            <w:noProof/>
            <w:webHidden/>
          </w:rPr>
          <w:instrText xml:space="preserve"> PAGEREF _Toc126943301 \h </w:instrText>
        </w:r>
        <w:r w:rsidR="0080789C">
          <w:rPr>
            <w:noProof/>
            <w:webHidden/>
          </w:rPr>
        </w:r>
        <w:r w:rsidR="0080789C">
          <w:rPr>
            <w:noProof/>
            <w:webHidden/>
          </w:rPr>
          <w:fldChar w:fldCharType="separate"/>
        </w:r>
        <w:r w:rsidR="005A6DD8">
          <w:rPr>
            <w:noProof/>
            <w:webHidden/>
          </w:rPr>
          <w:t>270</w:t>
        </w:r>
        <w:r w:rsidR="0080789C">
          <w:rPr>
            <w:noProof/>
            <w:webHidden/>
          </w:rPr>
          <w:fldChar w:fldCharType="end"/>
        </w:r>
      </w:hyperlink>
    </w:p>
    <w:p w14:paraId="7CC5BC4D" w14:textId="5730637E" w:rsidR="0080789C" w:rsidRDefault="00000000">
      <w:pPr>
        <w:pStyle w:val="TableofFigures"/>
        <w:tabs>
          <w:tab w:val="right" w:leader="dot" w:pos="9436"/>
        </w:tabs>
        <w:rPr>
          <w:rFonts w:eastAsiaTheme="minorEastAsia" w:cstheme="minorBidi"/>
          <w:noProof/>
          <w:lang w:eastAsia="ro-RO"/>
        </w:rPr>
      </w:pPr>
      <w:hyperlink w:anchor="_Toc126943302" w:history="1">
        <w:r w:rsidR="0080789C" w:rsidRPr="00681C07">
          <w:rPr>
            <w:rStyle w:val="Hyperlink"/>
            <w:noProof/>
          </w:rPr>
          <w:t>Tabel 45 Venituri Primăria Sectorului 2 în perioada 2015-2021</w:t>
        </w:r>
        <w:r w:rsidR="0080789C">
          <w:rPr>
            <w:noProof/>
            <w:webHidden/>
          </w:rPr>
          <w:tab/>
        </w:r>
        <w:r w:rsidR="0080789C">
          <w:rPr>
            <w:noProof/>
            <w:webHidden/>
          </w:rPr>
          <w:fldChar w:fldCharType="begin"/>
        </w:r>
        <w:r w:rsidR="0080789C">
          <w:rPr>
            <w:noProof/>
            <w:webHidden/>
          </w:rPr>
          <w:instrText xml:space="preserve"> PAGEREF _Toc126943302 \h </w:instrText>
        </w:r>
        <w:r w:rsidR="0080789C">
          <w:rPr>
            <w:noProof/>
            <w:webHidden/>
          </w:rPr>
        </w:r>
        <w:r w:rsidR="0080789C">
          <w:rPr>
            <w:noProof/>
            <w:webHidden/>
          </w:rPr>
          <w:fldChar w:fldCharType="separate"/>
        </w:r>
        <w:r w:rsidR="005A6DD8">
          <w:rPr>
            <w:noProof/>
            <w:webHidden/>
          </w:rPr>
          <w:t>271</w:t>
        </w:r>
        <w:r w:rsidR="0080789C">
          <w:rPr>
            <w:noProof/>
            <w:webHidden/>
          </w:rPr>
          <w:fldChar w:fldCharType="end"/>
        </w:r>
      </w:hyperlink>
    </w:p>
    <w:p w14:paraId="48D5E1F0" w14:textId="36B5C061" w:rsidR="0080789C" w:rsidRDefault="00000000">
      <w:pPr>
        <w:pStyle w:val="TableofFigures"/>
        <w:tabs>
          <w:tab w:val="right" w:leader="dot" w:pos="9436"/>
        </w:tabs>
        <w:rPr>
          <w:rFonts w:eastAsiaTheme="minorEastAsia" w:cstheme="minorBidi"/>
          <w:noProof/>
          <w:lang w:eastAsia="ro-RO"/>
        </w:rPr>
      </w:pPr>
      <w:hyperlink w:anchor="_Toc126943303" w:history="1">
        <w:r w:rsidR="0080789C" w:rsidRPr="00681C07">
          <w:rPr>
            <w:rStyle w:val="Hyperlink"/>
            <w:noProof/>
          </w:rPr>
          <w:t>Tabel 46 Cotă valoare principalele taxe și impozite locale</w:t>
        </w:r>
        <w:r w:rsidR="0080789C">
          <w:rPr>
            <w:noProof/>
            <w:webHidden/>
          </w:rPr>
          <w:tab/>
        </w:r>
        <w:r w:rsidR="0080789C">
          <w:rPr>
            <w:noProof/>
            <w:webHidden/>
          </w:rPr>
          <w:fldChar w:fldCharType="begin"/>
        </w:r>
        <w:r w:rsidR="0080789C">
          <w:rPr>
            <w:noProof/>
            <w:webHidden/>
          </w:rPr>
          <w:instrText xml:space="preserve"> PAGEREF _Toc126943303 \h </w:instrText>
        </w:r>
        <w:r w:rsidR="0080789C">
          <w:rPr>
            <w:noProof/>
            <w:webHidden/>
          </w:rPr>
        </w:r>
        <w:r w:rsidR="0080789C">
          <w:rPr>
            <w:noProof/>
            <w:webHidden/>
          </w:rPr>
          <w:fldChar w:fldCharType="separate"/>
        </w:r>
        <w:r w:rsidR="005A6DD8">
          <w:rPr>
            <w:noProof/>
            <w:webHidden/>
          </w:rPr>
          <w:t>272</w:t>
        </w:r>
        <w:r w:rsidR="0080789C">
          <w:rPr>
            <w:noProof/>
            <w:webHidden/>
          </w:rPr>
          <w:fldChar w:fldCharType="end"/>
        </w:r>
      </w:hyperlink>
    </w:p>
    <w:p w14:paraId="504999B7" w14:textId="68790450" w:rsidR="0080789C" w:rsidRDefault="00000000">
      <w:pPr>
        <w:pStyle w:val="TableofFigures"/>
        <w:tabs>
          <w:tab w:val="right" w:leader="dot" w:pos="9436"/>
        </w:tabs>
        <w:rPr>
          <w:rFonts w:eastAsiaTheme="minorEastAsia" w:cstheme="minorBidi"/>
          <w:noProof/>
          <w:lang w:eastAsia="ro-RO"/>
        </w:rPr>
      </w:pPr>
      <w:hyperlink w:anchor="_Toc126943304" w:history="1">
        <w:r w:rsidR="0080789C" w:rsidRPr="00681C07">
          <w:rPr>
            <w:rStyle w:val="Hyperlink"/>
            <w:noProof/>
          </w:rPr>
          <w:t>Tabel 47 Impozite și taxe pe proprietate și mijloace de transport la nivelul Primăriei Sectorului 2</w:t>
        </w:r>
        <w:r w:rsidR="0080789C">
          <w:rPr>
            <w:noProof/>
            <w:webHidden/>
          </w:rPr>
          <w:tab/>
        </w:r>
        <w:r w:rsidR="0080789C">
          <w:rPr>
            <w:noProof/>
            <w:webHidden/>
          </w:rPr>
          <w:fldChar w:fldCharType="begin"/>
        </w:r>
        <w:r w:rsidR="0080789C">
          <w:rPr>
            <w:noProof/>
            <w:webHidden/>
          </w:rPr>
          <w:instrText xml:space="preserve"> PAGEREF _Toc126943304 \h </w:instrText>
        </w:r>
        <w:r w:rsidR="0080789C">
          <w:rPr>
            <w:noProof/>
            <w:webHidden/>
          </w:rPr>
        </w:r>
        <w:r w:rsidR="0080789C">
          <w:rPr>
            <w:noProof/>
            <w:webHidden/>
          </w:rPr>
          <w:fldChar w:fldCharType="separate"/>
        </w:r>
        <w:r w:rsidR="005A6DD8">
          <w:rPr>
            <w:noProof/>
            <w:webHidden/>
          </w:rPr>
          <w:t>272</w:t>
        </w:r>
        <w:r w:rsidR="0080789C">
          <w:rPr>
            <w:noProof/>
            <w:webHidden/>
          </w:rPr>
          <w:fldChar w:fldCharType="end"/>
        </w:r>
      </w:hyperlink>
    </w:p>
    <w:p w14:paraId="329AE00B" w14:textId="039A106A" w:rsidR="0080789C" w:rsidRDefault="00000000">
      <w:pPr>
        <w:pStyle w:val="TableofFigures"/>
        <w:tabs>
          <w:tab w:val="right" w:leader="dot" w:pos="9436"/>
        </w:tabs>
        <w:rPr>
          <w:rFonts w:eastAsiaTheme="minorEastAsia" w:cstheme="minorBidi"/>
          <w:noProof/>
          <w:lang w:eastAsia="ro-RO"/>
        </w:rPr>
      </w:pPr>
      <w:hyperlink w:anchor="_Toc126943305" w:history="1">
        <w:r w:rsidR="0080789C" w:rsidRPr="00681C07">
          <w:rPr>
            <w:rStyle w:val="Hyperlink"/>
            <w:noProof/>
          </w:rPr>
          <w:t>Tabel 48 Cheltuieli la nivelul Primăriei Sectorului 2 în perioada 2015-2021</w:t>
        </w:r>
        <w:r w:rsidR="0080789C">
          <w:rPr>
            <w:noProof/>
            <w:webHidden/>
          </w:rPr>
          <w:tab/>
        </w:r>
        <w:r w:rsidR="0080789C">
          <w:rPr>
            <w:noProof/>
            <w:webHidden/>
          </w:rPr>
          <w:fldChar w:fldCharType="begin"/>
        </w:r>
        <w:r w:rsidR="0080789C">
          <w:rPr>
            <w:noProof/>
            <w:webHidden/>
          </w:rPr>
          <w:instrText xml:space="preserve"> PAGEREF _Toc126943305 \h </w:instrText>
        </w:r>
        <w:r w:rsidR="0080789C">
          <w:rPr>
            <w:noProof/>
            <w:webHidden/>
          </w:rPr>
        </w:r>
        <w:r w:rsidR="0080789C">
          <w:rPr>
            <w:noProof/>
            <w:webHidden/>
          </w:rPr>
          <w:fldChar w:fldCharType="separate"/>
        </w:r>
        <w:r w:rsidR="005A6DD8">
          <w:rPr>
            <w:noProof/>
            <w:webHidden/>
          </w:rPr>
          <w:t>273</w:t>
        </w:r>
        <w:r w:rsidR="0080789C">
          <w:rPr>
            <w:noProof/>
            <w:webHidden/>
          </w:rPr>
          <w:fldChar w:fldCharType="end"/>
        </w:r>
      </w:hyperlink>
    </w:p>
    <w:p w14:paraId="7A91C24F" w14:textId="3399104F" w:rsidR="0080789C" w:rsidRDefault="00000000">
      <w:pPr>
        <w:pStyle w:val="TableofFigures"/>
        <w:tabs>
          <w:tab w:val="right" w:leader="dot" w:pos="9436"/>
        </w:tabs>
        <w:rPr>
          <w:rFonts w:eastAsiaTheme="minorEastAsia" w:cstheme="minorBidi"/>
          <w:noProof/>
          <w:lang w:eastAsia="ro-RO"/>
        </w:rPr>
      </w:pPr>
      <w:hyperlink w:anchor="_Toc126943306" w:history="1">
        <w:r w:rsidR="0080789C" w:rsidRPr="00681C07">
          <w:rPr>
            <w:rStyle w:val="Hyperlink"/>
            <w:noProof/>
          </w:rPr>
          <w:t>Tabel 49 Cheltuieli conform clasificației funcționale în perioada 2015-2021</w:t>
        </w:r>
        <w:r w:rsidR="0080789C">
          <w:rPr>
            <w:noProof/>
            <w:webHidden/>
          </w:rPr>
          <w:tab/>
        </w:r>
        <w:r w:rsidR="0080789C">
          <w:rPr>
            <w:noProof/>
            <w:webHidden/>
          </w:rPr>
          <w:fldChar w:fldCharType="begin"/>
        </w:r>
        <w:r w:rsidR="0080789C">
          <w:rPr>
            <w:noProof/>
            <w:webHidden/>
          </w:rPr>
          <w:instrText xml:space="preserve"> PAGEREF _Toc126943306 \h </w:instrText>
        </w:r>
        <w:r w:rsidR="0080789C">
          <w:rPr>
            <w:noProof/>
            <w:webHidden/>
          </w:rPr>
        </w:r>
        <w:r w:rsidR="0080789C">
          <w:rPr>
            <w:noProof/>
            <w:webHidden/>
          </w:rPr>
          <w:fldChar w:fldCharType="separate"/>
        </w:r>
        <w:r w:rsidR="005A6DD8">
          <w:rPr>
            <w:noProof/>
            <w:webHidden/>
          </w:rPr>
          <w:t>274</w:t>
        </w:r>
        <w:r w:rsidR="0080789C">
          <w:rPr>
            <w:noProof/>
            <w:webHidden/>
          </w:rPr>
          <w:fldChar w:fldCharType="end"/>
        </w:r>
      </w:hyperlink>
    </w:p>
    <w:p w14:paraId="44D8595E" w14:textId="0D93A9B6" w:rsidR="0080789C" w:rsidRDefault="00000000">
      <w:pPr>
        <w:pStyle w:val="TableofFigures"/>
        <w:tabs>
          <w:tab w:val="right" w:leader="dot" w:pos="9436"/>
        </w:tabs>
        <w:rPr>
          <w:rFonts w:eastAsiaTheme="minorEastAsia" w:cstheme="minorBidi"/>
          <w:noProof/>
          <w:lang w:eastAsia="ro-RO"/>
        </w:rPr>
      </w:pPr>
      <w:hyperlink w:anchor="_Toc126943307" w:history="1">
        <w:r w:rsidR="0080789C" w:rsidRPr="00681C07">
          <w:rPr>
            <w:rStyle w:val="Hyperlink"/>
            <w:noProof/>
          </w:rPr>
          <w:t>Tabel 50 Cheltuieli proiecte fonduri europene nerambursabile vs. investiții de capital la nivelul primăriei sectorului 2</w:t>
        </w:r>
        <w:r w:rsidR="0080789C">
          <w:rPr>
            <w:noProof/>
            <w:webHidden/>
          </w:rPr>
          <w:tab/>
        </w:r>
        <w:r w:rsidR="0080789C">
          <w:rPr>
            <w:noProof/>
            <w:webHidden/>
          </w:rPr>
          <w:fldChar w:fldCharType="begin"/>
        </w:r>
        <w:r w:rsidR="0080789C">
          <w:rPr>
            <w:noProof/>
            <w:webHidden/>
          </w:rPr>
          <w:instrText xml:space="preserve"> PAGEREF _Toc126943307 \h </w:instrText>
        </w:r>
        <w:r w:rsidR="0080789C">
          <w:rPr>
            <w:noProof/>
            <w:webHidden/>
          </w:rPr>
        </w:r>
        <w:r w:rsidR="0080789C">
          <w:rPr>
            <w:noProof/>
            <w:webHidden/>
          </w:rPr>
          <w:fldChar w:fldCharType="separate"/>
        </w:r>
        <w:r w:rsidR="005A6DD8">
          <w:rPr>
            <w:noProof/>
            <w:webHidden/>
          </w:rPr>
          <w:t>275</w:t>
        </w:r>
        <w:r w:rsidR="0080789C">
          <w:rPr>
            <w:noProof/>
            <w:webHidden/>
          </w:rPr>
          <w:fldChar w:fldCharType="end"/>
        </w:r>
      </w:hyperlink>
    </w:p>
    <w:p w14:paraId="3AE950FA" w14:textId="2A230C9A" w:rsidR="0080789C" w:rsidRDefault="00000000">
      <w:pPr>
        <w:pStyle w:val="TableofFigures"/>
        <w:tabs>
          <w:tab w:val="right" w:leader="dot" w:pos="9436"/>
        </w:tabs>
        <w:rPr>
          <w:rFonts w:eastAsiaTheme="minorEastAsia" w:cstheme="minorBidi"/>
          <w:noProof/>
          <w:lang w:eastAsia="ro-RO"/>
        </w:rPr>
      </w:pPr>
      <w:hyperlink w:anchor="_Toc126943308" w:history="1">
        <w:r w:rsidR="0080789C" w:rsidRPr="00681C07">
          <w:rPr>
            <w:rStyle w:val="Hyperlink"/>
            <w:noProof/>
          </w:rPr>
          <w:t>Tabel 51 Listă de proiecte cofinanțate din fonduri europene</w:t>
        </w:r>
        <w:r w:rsidR="0080789C">
          <w:rPr>
            <w:noProof/>
            <w:webHidden/>
          </w:rPr>
          <w:tab/>
        </w:r>
        <w:r w:rsidR="0080789C">
          <w:rPr>
            <w:noProof/>
            <w:webHidden/>
          </w:rPr>
          <w:fldChar w:fldCharType="begin"/>
        </w:r>
        <w:r w:rsidR="0080789C">
          <w:rPr>
            <w:noProof/>
            <w:webHidden/>
          </w:rPr>
          <w:instrText xml:space="preserve"> PAGEREF _Toc126943308 \h </w:instrText>
        </w:r>
        <w:r w:rsidR="0080789C">
          <w:rPr>
            <w:noProof/>
            <w:webHidden/>
          </w:rPr>
        </w:r>
        <w:r w:rsidR="0080789C">
          <w:rPr>
            <w:noProof/>
            <w:webHidden/>
          </w:rPr>
          <w:fldChar w:fldCharType="separate"/>
        </w:r>
        <w:r w:rsidR="005A6DD8">
          <w:rPr>
            <w:noProof/>
            <w:webHidden/>
          </w:rPr>
          <w:t>276</w:t>
        </w:r>
        <w:r w:rsidR="0080789C">
          <w:rPr>
            <w:noProof/>
            <w:webHidden/>
          </w:rPr>
          <w:fldChar w:fldCharType="end"/>
        </w:r>
      </w:hyperlink>
    </w:p>
    <w:p w14:paraId="23D45AE4" w14:textId="322E9F14" w:rsidR="0080789C" w:rsidRDefault="00000000">
      <w:pPr>
        <w:pStyle w:val="TableofFigures"/>
        <w:tabs>
          <w:tab w:val="right" w:leader="dot" w:pos="9436"/>
        </w:tabs>
        <w:rPr>
          <w:rFonts w:eastAsiaTheme="minorEastAsia" w:cstheme="minorBidi"/>
          <w:noProof/>
          <w:lang w:eastAsia="ro-RO"/>
        </w:rPr>
      </w:pPr>
      <w:hyperlink w:anchor="_Toc126943309" w:history="1">
        <w:r w:rsidR="0080789C" w:rsidRPr="00681C07">
          <w:rPr>
            <w:rStyle w:val="Hyperlink"/>
            <w:noProof/>
          </w:rPr>
          <w:t>Tabel 52 Resurse materiale disponibile la nivelul Primăriei Sectorului 2</w:t>
        </w:r>
        <w:r w:rsidR="0080789C">
          <w:rPr>
            <w:noProof/>
            <w:webHidden/>
          </w:rPr>
          <w:tab/>
        </w:r>
        <w:r w:rsidR="0080789C">
          <w:rPr>
            <w:noProof/>
            <w:webHidden/>
          </w:rPr>
          <w:fldChar w:fldCharType="begin"/>
        </w:r>
        <w:r w:rsidR="0080789C">
          <w:rPr>
            <w:noProof/>
            <w:webHidden/>
          </w:rPr>
          <w:instrText xml:space="preserve"> PAGEREF _Toc126943309 \h </w:instrText>
        </w:r>
        <w:r w:rsidR="0080789C">
          <w:rPr>
            <w:noProof/>
            <w:webHidden/>
          </w:rPr>
        </w:r>
        <w:r w:rsidR="0080789C">
          <w:rPr>
            <w:noProof/>
            <w:webHidden/>
          </w:rPr>
          <w:fldChar w:fldCharType="separate"/>
        </w:r>
        <w:r w:rsidR="005A6DD8">
          <w:rPr>
            <w:noProof/>
            <w:webHidden/>
          </w:rPr>
          <w:t>277</w:t>
        </w:r>
        <w:r w:rsidR="0080789C">
          <w:rPr>
            <w:noProof/>
            <w:webHidden/>
          </w:rPr>
          <w:fldChar w:fldCharType="end"/>
        </w:r>
      </w:hyperlink>
    </w:p>
    <w:p w14:paraId="24AFAF07" w14:textId="395D73A4" w:rsidR="0080789C" w:rsidRDefault="00000000">
      <w:pPr>
        <w:pStyle w:val="TableofFigures"/>
        <w:tabs>
          <w:tab w:val="right" w:leader="dot" w:pos="9436"/>
        </w:tabs>
        <w:rPr>
          <w:rFonts w:eastAsiaTheme="minorEastAsia" w:cstheme="minorBidi"/>
          <w:noProof/>
          <w:lang w:eastAsia="ro-RO"/>
        </w:rPr>
      </w:pPr>
      <w:hyperlink w:anchor="_Toc126943310" w:history="1">
        <w:r w:rsidR="0080789C" w:rsidRPr="00681C07">
          <w:rPr>
            <w:rStyle w:val="Hyperlink"/>
            <w:noProof/>
          </w:rPr>
          <w:t>Tabel 53 Date evaluare implementare Legea nr. 544/2001</w:t>
        </w:r>
        <w:r w:rsidR="0080789C">
          <w:rPr>
            <w:noProof/>
            <w:webHidden/>
          </w:rPr>
          <w:tab/>
        </w:r>
        <w:r w:rsidR="0080789C">
          <w:rPr>
            <w:noProof/>
            <w:webHidden/>
          </w:rPr>
          <w:fldChar w:fldCharType="begin"/>
        </w:r>
        <w:r w:rsidR="0080789C">
          <w:rPr>
            <w:noProof/>
            <w:webHidden/>
          </w:rPr>
          <w:instrText xml:space="preserve"> PAGEREF _Toc126943310 \h </w:instrText>
        </w:r>
        <w:r w:rsidR="0080789C">
          <w:rPr>
            <w:noProof/>
            <w:webHidden/>
          </w:rPr>
        </w:r>
        <w:r w:rsidR="0080789C">
          <w:rPr>
            <w:noProof/>
            <w:webHidden/>
          </w:rPr>
          <w:fldChar w:fldCharType="separate"/>
        </w:r>
        <w:r w:rsidR="005A6DD8">
          <w:rPr>
            <w:noProof/>
            <w:webHidden/>
          </w:rPr>
          <w:t>281</w:t>
        </w:r>
        <w:r w:rsidR="0080789C">
          <w:rPr>
            <w:noProof/>
            <w:webHidden/>
          </w:rPr>
          <w:fldChar w:fldCharType="end"/>
        </w:r>
      </w:hyperlink>
    </w:p>
    <w:p w14:paraId="02DA5CFD" w14:textId="5B353E06" w:rsidR="0080789C" w:rsidRDefault="00000000">
      <w:pPr>
        <w:pStyle w:val="TableofFigures"/>
        <w:tabs>
          <w:tab w:val="right" w:leader="dot" w:pos="9436"/>
        </w:tabs>
        <w:rPr>
          <w:rFonts w:eastAsiaTheme="minorEastAsia" w:cstheme="minorBidi"/>
          <w:noProof/>
          <w:lang w:eastAsia="ro-RO"/>
        </w:rPr>
      </w:pPr>
      <w:hyperlink w:anchor="_Toc126943311" w:history="1">
        <w:r w:rsidR="0080789C" w:rsidRPr="00681C07">
          <w:rPr>
            <w:rStyle w:val="Hyperlink"/>
            <w:noProof/>
          </w:rPr>
          <w:t>Tabel 54 Date evaluare implementare Legea nr. 52/2003</w:t>
        </w:r>
        <w:r w:rsidR="0080789C">
          <w:rPr>
            <w:noProof/>
            <w:webHidden/>
          </w:rPr>
          <w:tab/>
        </w:r>
        <w:r w:rsidR="0080789C">
          <w:rPr>
            <w:noProof/>
            <w:webHidden/>
          </w:rPr>
          <w:fldChar w:fldCharType="begin"/>
        </w:r>
        <w:r w:rsidR="0080789C">
          <w:rPr>
            <w:noProof/>
            <w:webHidden/>
          </w:rPr>
          <w:instrText xml:space="preserve"> PAGEREF _Toc126943311 \h </w:instrText>
        </w:r>
        <w:r w:rsidR="0080789C">
          <w:rPr>
            <w:noProof/>
            <w:webHidden/>
          </w:rPr>
        </w:r>
        <w:r w:rsidR="0080789C">
          <w:rPr>
            <w:noProof/>
            <w:webHidden/>
          </w:rPr>
          <w:fldChar w:fldCharType="separate"/>
        </w:r>
        <w:r w:rsidR="005A6DD8">
          <w:rPr>
            <w:noProof/>
            <w:webHidden/>
          </w:rPr>
          <w:t>282</w:t>
        </w:r>
        <w:r w:rsidR="0080789C">
          <w:rPr>
            <w:noProof/>
            <w:webHidden/>
          </w:rPr>
          <w:fldChar w:fldCharType="end"/>
        </w:r>
      </w:hyperlink>
    </w:p>
    <w:p w14:paraId="0E2E074B" w14:textId="2A561A81" w:rsidR="0080789C" w:rsidRDefault="00000000">
      <w:pPr>
        <w:pStyle w:val="TableofFigures"/>
        <w:tabs>
          <w:tab w:val="right" w:leader="dot" w:pos="9436"/>
        </w:tabs>
        <w:rPr>
          <w:rFonts w:eastAsiaTheme="minorEastAsia" w:cstheme="minorBidi"/>
          <w:noProof/>
          <w:lang w:eastAsia="ro-RO"/>
        </w:rPr>
      </w:pPr>
      <w:hyperlink w:anchor="_Toc126943312" w:history="1">
        <w:r w:rsidR="0080789C" w:rsidRPr="00681C07">
          <w:rPr>
            <w:rStyle w:val="Hyperlink"/>
            <w:noProof/>
          </w:rPr>
          <w:t>Tabel 55 Calendarul și activitățile principale pentru implementarea Strategiei</w:t>
        </w:r>
        <w:r w:rsidR="0080789C">
          <w:rPr>
            <w:noProof/>
            <w:webHidden/>
          </w:rPr>
          <w:tab/>
        </w:r>
        <w:r w:rsidR="0080789C">
          <w:rPr>
            <w:noProof/>
            <w:webHidden/>
          </w:rPr>
          <w:fldChar w:fldCharType="begin"/>
        </w:r>
        <w:r w:rsidR="0080789C">
          <w:rPr>
            <w:noProof/>
            <w:webHidden/>
          </w:rPr>
          <w:instrText xml:space="preserve"> PAGEREF _Toc126943312 \h </w:instrText>
        </w:r>
        <w:r w:rsidR="0080789C">
          <w:rPr>
            <w:noProof/>
            <w:webHidden/>
          </w:rPr>
        </w:r>
        <w:r w:rsidR="0080789C">
          <w:rPr>
            <w:noProof/>
            <w:webHidden/>
          </w:rPr>
          <w:fldChar w:fldCharType="separate"/>
        </w:r>
        <w:r w:rsidR="005A6DD8">
          <w:rPr>
            <w:noProof/>
            <w:webHidden/>
          </w:rPr>
          <w:t>347</w:t>
        </w:r>
        <w:r w:rsidR="0080789C">
          <w:rPr>
            <w:noProof/>
            <w:webHidden/>
          </w:rPr>
          <w:fldChar w:fldCharType="end"/>
        </w:r>
      </w:hyperlink>
    </w:p>
    <w:p w14:paraId="16DA7043" w14:textId="6D401BB0" w:rsidR="0080789C" w:rsidRDefault="00000000">
      <w:pPr>
        <w:pStyle w:val="TableofFigures"/>
        <w:tabs>
          <w:tab w:val="right" w:leader="dot" w:pos="9436"/>
        </w:tabs>
        <w:rPr>
          <w:rFonts w:eastAsiaTheme="minorEastAsia" w:cstheme="minorBidi"/>
          <w:noProof/>
          <w:lang w:eastAsia="ro-RO"/>
        </w:rPr>
      </w:pPr>
      <w:hyperlink w:anchor="_Toc126943313" w:history="1">
        <w:r w:rsidR="0080789C" w:rsidRPr="00681C07">
          <w:rPr>
            <w:rStyle w:val="Hyperlink"/>
            <w:noProof/>
          </w:rPr>
          <w:t>Tabel 56 Sistemul de prioritizare a proiectelor</w:t>
        </w:r>
        <w:r w:rsidR="0080789C">
          <w:rPr>
            <w:noProof/>
            <w:webHidden/>
          </w:rPr>
          <w:tab/>
        </w:r>
        <w:r w:rsidR="0080789C">
          <w:rPr>
            <w:noProof/>
            <w:webHidden/>
          </w:rPr>
          <w:fldChar w:fldCharType="begin"/>
        </w:r>
        <w:r w:rsidR="0080789C">
          <w:rPr>
            <w:noProof/>
            <w:webHidden/>
          </w:rPr>
          <w:instrText xml:space="preserve"> PAGEREF _Toc126943313 \h </w:instrText>
        </w:r>
        <w:r w:rsidR="0080789C">
          <w:rPr>
            <w:noProof/>
            <w:webHidden/>
          </w:rPr>
        </w:r>
        <w:r w:rsidR="0080789C">
          <w:rPr>
            <w:noProof/>
            <w:webHidden/>
          </w:rPr>
          <w:fldChar w:fldCharType="separate"/>
        </w:r>
        <w:r w:rsidR="005A6DD8">
          <w:rPr>
            <w:noProof/>
            <w:webHidden/>
          </w:rPr>
          <w:t>348</w:t>
        </w:r>
        <w:r w:rsidR="0080789C">
          <w:rPr>
            <w:noProof/>
            <w:webHidden/>
          </w:rPr>
          <w:fldChar w:fldCharType="end"/>
        </w:r>
      </w:hyperlink>
    </w:p>
    <w:p w14:paraId="551184AB" w14:textId="0D5232F4" w:rsidR="0080789C" w:rsidRDefault="00000000">
      <w:pPr>
        <w:pStyle w:val="TableofFigures"/>
        <w:tabs>
          <w:tab w:val="right" w:leader="dot" w:pos="9436"/>
        </w:tabs>
        <w:rPr>
          <w:rFonts w:eastAsiaTheme="minorEastAsia" w:cstheme="minorBidi"/>
          <w:noProof/>
          <w:lang w:eastAsia="ro-RO"/>
        </w:rPr>
      </w:pPr>
      <w:hyperlink w:anchor="_Toc126943314" w:history="1">
        <w:r w:rsidR="0080789C" w:rsidRPr="00681C07">
          <w:rPr>
            <w:rStyle w:val="Hyperlink"/>
            <w:noProof/>
          </w:rPr>
          <w:t>Tabel 57 Matricea de prioritizare</w:t>
        </w:r>
        <w:r w:rsidR="0080789C">
          <w:rPr>
            <w:noProof/>
            <w:webHidden/>
          </w:rPr>
          <w:tab/>
        </w:r>
        <w:r w:rsidR="0080789C">
          <w:rPr>
            <w:noProof/>
            <w:webHidden/>
          </w:rPr>
          <w:fldChar w:fldCharType="begin"/>
        </w:r>
        <w:r w:rsidR="0080789C">
          <w:rPr>
            <w:noProof/>
            <w:webHidden/>
          </w:rPr>
          <w:instrText xml:space="preserve"> PAGEREF _Toc126943314 \h </w:instrText>
        </w:r>
        <w:r w:rsidR="0080789C">
          <w:rPr>
            <w:noProof/>
            <w:webHidden/>
          </w:rPr>
        </w:r>
        <w:r w:rsidR="0080789C">
          <w:rPr>
            <w:noProof/>
            <w:webHidden/>
          </w:rPr>
          <w:fldChar w:fldCharType="separate"/>
        </w:r>
        <w:r w:rsidR="005A6DD8">
          <w:rPr>
            <w:noProof/>
            <w:webHidden/>
          </w:rPr>
          <w:t>348</w:t>
        </w:r>
        <w:r w:rsidR="0080789C">
          <w:rPr>
            <w:noProof/>
            <w:webHidden/>
          </w:rPr>
          <w:fldChar w:fldCharType="end"/>
        </w:r>
      </w:hyperlink>
    </w:p>
    <w:p w14:paraId="1C1B7528" w14:textId="406810B7" w:rsidR="0080789C" w:rsidRDefault="00000000">
      <w:pPr>
        <w:pStyle w:val="TableofFigures"/>
        <w:tabs>
          <w:tab w:val="right" w:leader="dot" w:pos="9436"/>
        </w:tabs>
        <w:rPr>
          <w:rFonts w:eastAsiaTheme="minorEastAsia" w:cstheme="minorBidi"/>
          <w:noProof/>
          <w:lang w:eastAsia="ro-RO"/>
        </w:rPr>
      </w:pPr>
      <w:hyperlink w:anchor="_Toc126943315" w:history="1">
        <w:r w:rsidR="0080789C" w:rsidRPr="00681C07">
          <w:rPr>
            <w:rStyle w:val="Hyperlink"/>
            <w:noProof/>
          </w:rPr>
          <w:t>Tabel 58 Carta integrată a surselor de finanțare</w:t>
        </w:r>
        <w:r w:rsidR="0080789C">
          <w:rPr>
            <w:noProof/>
            <w:webHidden/>
          </w:rPr>
          <w:tab/>
        </w:r>
        <w:r w:rsidR="0080789C">
          <w:rPr>
            <w:noProof/>
            <w:webHidden/>
          </w:rPr>
          <w:fldChar w:fldCharType="begin"/>
        </w:r>
        <w:r w:rsidR="0080789C">
          <w:rPr>
            <w:noProof/>
            <w:webHidden/>
          </w:rPr>
          <w:instrText xml:space="preserve"> PAGEREF _Toc126943315 \h </w:instrText>
        </w:r>
        <w:r w:rsidR="0080789C">
          <w:rPr>
            <w:noProof/>
            <w:webHidden/>
          </w:rPr>
        </w:r>
        <w:r w:rsidR="0080789C">
          <w:rPr>
            <w:noProof/>
            <w:webHidden/>
          </w:rPr>
          <w:fldChar w:fldCharType="separate"/>
        </w:r>
        <w:r w:rsidR="005A6DD8">
          <w:rPr>
            <w:noProof/>
            <w:webHidden/>
          </w:rPr>
          <w:t>356</w:t>
        </w:r>
        <w:r w:rsidR="0080789C">
          <w:rPr>
            <w:noProof/>
            <w:webHidden/>
          </w:rPr>
          <w:fldChar w:fldCharType="end"/>
        </w:r>
      </w:hyperlink>
    </w:p>
    <w:p w14:paraId="646A3B9F" w14:textId="47AEC474" w:rsidR="0080789C" w:rsidRDefault="00000000">
      <w:pPr>
        <w:pStyle w:val="TableofFigures"/>
        <w:tabs>
          <w:tab w:val="right" w:leader="dot" w:pos="9436"/>
        </w:tabs>
        <w:rPr>
          <w:rFonts w:eastAsiaTheme="minorEastAsia" w:cstheme="minorBidi"/>
          <w:noProof/>
          <w:lang w:eastAsia="ro-RO"/>
        </w:rPr>
      </w:pPr>
      <w:hyperlink w:anchor="_Toc126943316" w:history="1">
        <w:r w:rsidR="0080789C" w:rsidRPr="00681C07">
          <w:rPr>
            <w:rStyle w:val="Hyperlink"/>
            <w:noProof/>
          </w:rPr>
          <w:t>Tabel 59</w:t>
        </w:r>
        <w:r w:rsidR="0080789C" w:rsidRPr="00681C07">
          <w:rPr>
            <w:rStyle w:val="Hyperlink"/>
            <w:rFonts w:cstheme="minorHAnsi"/>
            <w:noProof/>
          </w:rPr>
          <w:t xml:space="preserve"> Corelarea domeniilor de analiză cu obiectivele strategice, obiectivele specifice și direcțiile de acțiune, SDLID 2021 - 2027</w:t>
        </w:r>
        <w:r w:rsidR="0080789C">
          <w:rPr>
            <w:noProof/>
            <w:webHidden/>
          </w:rPr>
          <w:tab/>
        </w:r>
        <w:r w:rsidR="0080789C">
          <w:rPr>
            <w:noProof/>
            <w:webHidden/>
          </w:rPr>
          <w:fldChar w:fldCharType="begin"/>
        </w:r>
        <w:r w:rsidR="0080789C">
          <w:rPr>
            <w:noProof/>
            <w:webHidden/>
          </w:rPr>
          <w:instrText xml:space="preserve"> PAGEREF _Toc126943316 \h </w:instrText>
        </w:r>
        <w:r w:rsidR="0080789C">
          <w:rPr>
            <w:noProof/>
            <w:webHidden/>
          </w:rPr>
        </w:r>
        <w:r w:rsidR="0080789C">
          <w:rPr>
            <w:noProof/>
            <w:webHidden/>
          </w:rPr>
          <w:fldChar w:fldCharType="separate"/>
        </w:r>
        <w:r w:rsidR="005A6DD8">
          <w:rPr>
            <w:noProof/>
            <w:webHidden/>
          </w:rPr>
          <w:t>508</w:t>
        </w:r>
        <w:r w:rsidR="0080789C">
          <w:rPr>
            <w:noProof/>
            <w:webHidden/>
          </w:rPr>
          <w:fldChar w:fldCharType="end"/>
        </w:r>
      </w:hyperlink>
    </w:p>
    <w:p w14:paraId="52DCEE11" w14:textId="77777777" w:rsidR="00BB7F86" w:rsidRPr="00F171A3" w:rsidRDefault="00BB7F86" w:rsidP="007F2663">
      <w:pPr>
        <w:spacing w:after="0"/>
        <w:jc w:val="left"/>
        <w:rPr>
          <w:b/>
          <w:bCs/>
          <w:caps/>
          <w:color w:val="134753" w:themeColor="text2"/>
          <w:sz w:val="48"/>
          <w:szCs w:val="28"/>
        </w:rPr>
        <w:sectPr w:rsidR="00BB7F86" w:rsidRPr="00F171A3" w:rsidSect="00135952">
          <w:pgSz w:w="11907" w:h="16839" w:code="9"/>
          <w:pgMar w:top="1151" w:right="1440" w:bottom="1440" w:left="1021" w:header="709" w:footer="284" w:gutter="0"/>
          <w:cols w:space="708"/>
          <w:titlePg/>
          <w:docGrid w:linePitch="360"/>
        </w:sectPr>
      </w:pPr>
      <w:r w:rsidRPr="00F171A3">
        <w:rPr>
          <w:b/>
          <w:bCs/>
          <w:caps/>
          <w:color w:val="134753" w:themeColor="text2"/>
          <w:sz w:val="48"/>
          <w:szCs w:val="28"/>
        </w:rPr>
        <w:fldChar w:fldCharType="end"/>
      </w:r>
    </w:p>
    <w:p w14:paraId="7136A69D" w14:textId="0AE1EDF5" w:rsidR="007F2663" w:rsidRPr="00F171A3" w:rsidRDefault="00CA19AC" w:rsidP="007F2663">
      <w:pPr>
        <w:pStyle w:val="Heading1"/>
        <w:rPr>
          <w:lang w:val="ro-RO"/>
        </w:rPr>
      </w:pPr>
      <w:bookmarkStart w:id="2" w:name="_Toc127199256"/>
      <w:r w:rsidRPr="00F171A3">
        <w:rPr>
          <w:lang w:val="ro-RO"/>
        </w:rPr>
        <w:t>ABORDARE METODOLOGICĂ</w:t>
      </w:r>
      <w:bookmarkEnd w:id="2"/>
    </w:p>
    <w:p w14:paraId="4B98DD4A" w14:textId="77777777" w:rsidR="00CA19AC" w:rsidRPr="00F171A3" w:rsidRDefault="00CA19AC" w:rsidP="00CA19AC">
      <w:pPr>
        <w:rPr>
          <w:iCs/>
        </w:rPr>
      </w:pPr>
      <w:r w:rsidRPr="00F171A3">
        <w:rPr>
          <w:iCs/>
        </w:rPr>
        <w:t>Strategia de Dezvoltare Locală Integrată şi Durabilă a Sectorului 2 (SDLID S2) pentru perioada 2021-2027, având ca orizont anul 2027, actualizează Strategia de Dezvoltare Locală Integrată şi Durabilă a Sectorului 2 pentru perioada 2016-2025, principalul document strategic al Sectorului 2 al municipiului București.</w:t>
      </w:r>
    </w:p>
    <w:p w14:paraId="426E487C" w14:textId="77777777" w:rsidR="00CA19AC" w:rsidRPr="00F171A3" w:rsidRDefault="00CA19AC" w:rsidP="00CA19AC">
      <w:r w:rsidRPr="00F171A3">
        <w:rPr>
          <w:iCs/>
        </w:rPr>
        <w:t xml:space="preserve">Strategia de Dezvoltare Locală Integrată şi Durabilă a Sectorului 2 pentru perioada 2016-2025 a fost actualizată în contextul în care, în această perioadă, instituțiile la nivel european și național trasează cadrul strategic de implementare a politicilor europene pentru perioada 2021-2027, precum și bugetul aferent operaționalizării priorităților și politicilor definite, inclusiv prin conturarea priorităților naționale și locale de dezvoltare pentru perioada 2021-2027 și pe termen lung și adaptarea acestora la contextul strategic european și la instrumentele de suport (financiar, cu precădere) disponibile. </w:t>
      </w:r>
      <w:r w:rsidRPr="00F171A3">
        <w:t xml:space="preserve">În acest context, actualizarea </w:t>
      </w:r>
      <w:r w:rsidRPr="00F171A3">
        <w:rPr>
          <w:iCs/>
        </w:rPr>
        <w:t xml:space="preserve">SDLID S2 </w:t>
      </w:r>
      <w:r w:rsidRPr="00F171A3">
        <w:t>a avut rolul de a:</w:t>
      </w:r>
    </w:p>
    <w:p w14:paraId="1BDF8667" w14:textId="77777777" w:rsidR="00CA19AC" w:rsidRPr="00F171A3" w:rsidRDefault="00CA19AC">
      <w:pPr>
        <w:pStyle w:val="ListParagraph"/>
        <w:numPr>
          <w:ilvl w:val="0"/>
          <w:numId w:val="62"/>
        </w:numPr>
        <w:rPr>
          <w:rFonts w:cs="Arial"/>
          <w:color w:val="134753" w:themeColor="text2"/>
          <w:shd w:val="clear" w:color="auto" w:fill="FFFFFF"/>
        </w:rPr>
      </w:pPr>
      <w:r w:rsidRPr="00F171A3">
        <w:rPr>
          <w:rFonts w:cs="Arial"/>
          <w:color w:val="134753" w:themeColor="text2"/>
          <w:shd w:val="clear" w:color="auto" w:fill="FFFFFF"/>
        </w:rPr>
        <w:t>Alinia dezvoltarea Sectorului 2 la cadrul strategic aferent perioadei de programare 2021-2027 la nivel local și suprateritorial;</w:t>
      </w:r>
    </w:p>
    <w:p w14:paraId="6933F096" w14:textId="77777777" w:rsidR="00CA19AC" w:rsidRPr="00F171A3" w:rsidRDefault="00CA19AC">
      <w:pPr>
        <w:pStyle w:val="ListParagraph"/>
        <w:numPr>
          <w:ilvl w:val="0"/>
          <w:numId w:val="61"/>
        </w:numPr>
        <w:rPr>
          <w:rFonts w:cs="Arial"/>
          <w:color w:val="134753" w:themeColor="text2"/>
          <w:shd w:val="clear" w:color="auto" w:fill="FFFFFF"/>
        </w:rPr>
      </w:pPr>
      <w:r w:rsidRPr="00F171A3">
        <w:rPr>
          <w:rFonts w:cs="Arial"/>
          <w:color w:val="134753" w:themeColor="text2"/>
          <w:shd w:val="clear" w:color="auto" w:fill="FFFFFF"/>
        </w:rPr>
        <w:t>Constitui un instrument care permite Primăriei Sectorului 2 luarea unei decizii adaptate la contextul strategic și nevoile locale pe baza informațiilor și datelor relevante și actualizate;</w:t>
      </w:r>
    </w:p>
    <w:p w14:paraId="08A19C29" w14:textId="77777777" w:rsidR="00CA19AC" w:rsidRPr="00F171A3" w:rsidRDefault="00CA19AC">
      <w:pPr>
        <w:pStyle w:val="ListParagraph"/>
        <w:numPr>
          <w:ilvl w:val="0"/>
          <w:numId w:val="61"/>
        </w:numPr>
        <w:rPr>
          <w:rFonts w:cs="Arial"/>
          <w:color w:val="134753" w:themeColor="text2"/>
          <w:shd w:val="clear" w:color="auto" w:fill="FFFFFF"/>
        </w:rPr>
      </w:pPr>
      <w:r w:rsidRPr="00F171A3">
        <w:rPr>
          <w:rFonts w:cs="Arial"/>
          <w:color w:val="134753" w:themeColor="text2"/>
          <w:shd w:val="clear" w:color="auto" w:fill="FFFFFF"/>
        </w:rPr>
        <w:t>Promova un proces transparent de consultare a actorilor relevanți din Sectorul 2 pentru identificarea corectă a nevoilor și așteptărilor comunității prin intermediul lucrului în parteneriat;</w:t>
      </w:r>
    </w:p>
    <w:p w14:paraId="3AF0996D" w14:textId="77777777" w:rsidR="00CA19AC" w:rsidRPr="00F171A3" w:rsidRDefault="00CA19AC">
      <w:pPr>
        <w:pStyle w:val="ListParagraph"/>
        <w:numPr>
          <w:ilvl w:val="0"/>
          <w:numId w:val="61"/>
        </w:numPr>
        <w:rPr>
          <w:rFonts w:cs="Arial"/>
          <w:color w:val="134753" w:themeColor="text2"/>
          <w:shd w:val="clear" w:color="auto" w:fill="FFFFFF"/>
        </w:rPr>
      </w:pPr>
      <w:r w:rsidRPr="00F171A3">
        <w:rPr>
          <w:rFonts w:cs="Arial"/>
          <w:color w:val="134753" w:themeColor="text2"/>
          <w:shd w:val="clear" w:color="auto" w:fill="FFFFFF"/>
        </w:rPr>
        <w:t>Reprezenta viziunea comunității cu privire la dezvoltarea sa viitoare, fiind astfel împărtășită de toți actorii relevanți de la nivel de sector și transpusă într-un set de obiective specifice și un plan de acțiuni concret;</w:t>
      </w:r>
    </w:p>
    <w:p w14:paraId="3B3ABDD8" w14:textId="77777777" w:rsidR="00CA19AC" w:rsidRPr="00F171A3" w:rsidRDefault="00CA19AC">
      <w:pPr>
        <w:pStyle w:val="ListParagraph"/>
        <w:numPr>
          <w:ilvl w:val="0"/>
          <w:numId w:val="61"/>
        </w:numPr>
        <w:rPr>
          <w:rFonts w:cstheme="minorHAnsi"/>
          <w:color w:val="134753" w:themeColor="text2"/>
          <w:lang w:eastAsia="zh-CN"/>
        </w:rPr>
      </w:pPr>
      <w:r w:rsidRPr="00F171A3">
        <w:rPr>
          <w:rFonts w:cs="Arial"/>
          <w:color w:val="134753" w:themeColor="text2"/>
          <w:shd w:val="clear" w:color="auto" w:fill="FFFFFF"/>
        </w:rPr>
        <w:t>Alinia politicile și instrumentele de dezvoltare ale Sectorului 2 la instrumentele de sprijin naționale și ale Uniunii Europene în domeniu, respectiv la cerințele programelor operaționale și sectoriale aferente perioadei de programare 2021-2027;</w:t>
      </w:r>
    </w:p>
    <w:p w14:paraId="5791D9BD" w14:textId="77777777" w:rsidR="00CA19AC" w:rsidRPr="00F171A3" w:rsidRDefault="00CA19AC">
      <w:pPr>
        <w:pStyle w:val="ListParagraph"/>
        <w:numPr>
          <w:ilvl w:val="0"/>
          <w:numId w:val="61"/>
        </w:numPr>
        <w:rPr>
          <w:rFonts w:cstheme="minorHAnsi"/>
          <w:color w:val="134753" w:themeColor="text2"/>
          <w:lang w:eastAsia="zh-CN"/>
        </w:rPr>
      </w:pPr>
      <w:r w:rsidRPr="00F171A3">
        <w:rPr>
          <w:rFonts w:cstheme="minorHAnsi"/>
          <w:color w:val="134753" w:themeColor="text2"/>
          <w:lang w:eastAsia="zh-CN"/>
        </w:rPr>
        <w:t>Analiza efectele implementării documentelor strategice corespunzătoare perioadei anterioare și a determina provocările și necesitățile de acțiune pentru perioada care urmează.</w:t>
      </w:r>
    </w:p>
    <w:p w14:paraId="115B1270" w14:textId="77777777" w:rsidR="00CA19AC" w:rsidRPr="00F171A3" w:rsidRDefault="00CA19AC" w:rsidP="00CA19AC">
      <w:pPr>
        <w:rPr>
          <w:iCs/>
        </w:rPr>
      </w:pPr>
      <w:r w:rsidRPr="00F171A3">
        <w:rPr>
          <w:iCs/>
        </w:rPr>
        <w:t>În ultimii ani au fost realizate la nivel național și european numeroase ghiduri și metodologii privind managementul și planificarea strategică sau dezvoltarea locală, oferind o bază solidă pentru definirea procesului de planificare strategică și a etapelor acestuia în cazul elaborării unei strategii integrate de dezvoltare la nivel local. Câteva exemple în acest sens, avute în vedere în elaborarea Strategiei de Dezvoltare Locală Integrată şi Durabilă a Sectorului 2 pentru perioada 2021-2027, includ: Ghidul pentru planificarea și fundamentarea  procesului decizional din administrația publică locală (Ministerul Dezvoltării Regionale și Administrației Publice, 2018), Metodologia privind planificarea strategică, prioritizarea, implementarea și monitorizarea proiectelor de investiții publice în zonele urbane (Banca Mondială, 2021), Manualul pentru Strategii de Dezvoltare Urbană Sustenabilă (Comisia Europeană, 2020), Manualul pentru guvernanță urbană multi-nivel în Europa (European Urban Knowledge Network – EUKN, 2011), și altele.</w:t>
      </w:r>
    </w:p>
    <w:p w14:paraId="6DDEFFF1" w14:textId="77777777" w:rsidR="00CA19AC" w:rsidRPr="00F171A3" w:rsidRDefault="00CA19AC" w:rsidP="00CA19AC">
      <w:r w:rsidRPr="00F171A3">
        <w:rPr>
          <w:iCs/>
        </w:rPr>
        <w:t>Conform acestor ghiduri, planificarea strategică reprezintă un proces sistematic, prin care o instituție își stabilește anumite priorități esențiale pentru îndeplinirea misiunii ei, în acord cu evoluția mediului în care aceasta își desfășoară activitatea. Planificarea strategică este o activitate orientată spre viitor, vizând obiectivele de dezvoltare și etapele necesare realizării acestora. Planificarea strategică este un proces continuu, utilizat de comunitățile locale pentru a se asigura că politicile și programele existente corespund necesităților de dezvoltare socio-economică, în contextul limitărilor impuse de resursele locale disponibile. Pornind de la aceste metodologii, s-a conturat un proces integrat de planificare strategică, structurat pe o suită logică de etape și subetape, după cum urmează:</w:t>
      </w:r>
    </w:p>
    <w:p w14:paraId="1F0DB5AB" w14:textId="5386F026" w:rsidR="00CA19AC" w:rsidRPr="00F171A3" w:rsidRDefault="00CA19AC" w:rsidP="00CA19AC">
      <w:pPr>
        <w:pStyle w:val="Caption"/>
      </w:pPr>
      <w:bookmarkStart w:id="3" w:name="_Toc67648799"/>
      <w:bookmarkStart w:id="4" w:name="_Toc67656300"/>
      <w:bookmarkStart w:id="5" w:name="_Toc81815085"/>
      <w:bookmarkStart w:id="6" w:name="_Toc127197989"/>
      <w:r w:rsidRPr="00F171A3">
        <w:t xml:space="preserve">Figura </w:t>
      </w:r>
      <w:r w:rsidRPr="00F171A3">
        <w:fldChar w:fldCharType="begin"/>
      </w:r>
      <w:r w:rsidRPr="00F171A3">
        <w:instrText xml:space="preserve"> SEQ Figura \* ARABIC </w:instrText>
      </w:r>
      <w:r w:rsidRPr="00F171A3">
        <w:fldChar w:fldCharType="separate"/>
      </w:r>
      <w:r w:rsidR="005A6DD8">
        <w:rPr>
          <w:noProof/>
        </w:rPr>
        <w:t>1</w:t>
      </w:r>
      <w:r w:rsidRPr="00F171A3">
        <w:fldChar w:fldCharType="end"/>
      </w:r>
      <w:r w:rsidRPr="00F171A3">
        <w:t xml:space="preserve"> Procesul de realizare a unei strategii integrate de dezvoltare </w:t>
      </w:r>
      <w:bookmarkEnd w:id="3"/>
      <w:bookmarkEnd w:id="4"/>
      <w:r w:rsidRPr="00F171A3">
        <w:t>urbană/ locală</w:t>
      </w:r>
      <w:bookmarkEnd w:id="5"/>
      <w:bookmarkEnd w:id="6"/>
    </w:p>
    <w:p w14:paraId="6BFF10FF" w14:textId="77777777" w:rsidR="00CA19AC" w:rsidRPr="00F171A3" w:rsidRDefault="00CA19AC" w:rsidP="00CA19AC">
      <w:pPr>
        <w:spacing w:after="0"/>
        <w:jc w:val="center"/>
      </w:pPr>
      <w:r w:rsidRPr="00F171A3">
        <w:rPr>
          <w:noProof/>
          <w:sz w:val="20"/>
          <w:szCs w:val="20"/>
        </w:rPr>
        <w:drawing>
          <wp:inline distT="0" distB="0" distL="0" distR="0" wp14:anchorId="3B547524" wp14:editId="321EBC9F">
            <wp:extent cx="4654207" cy="254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tape proces planificare strategica.jpg"/>
                    <pic:cNvPicPr/>
                  </pic:nvPicPr>
                  <pic:blipFill>
                    <a:blip r:embed="rId14">
                      <a:extLst>
                        <a:ext uri="{28A0092B-C50C-407E-A947-70E740481C1C}">
                          <a14:useLocalDpi xmlns:a14="http://schemas.microsoft.com/office/drawing/2010/main" val="0"/>
                        </a:ext>
                      </a:extLst>
                    </a:blip>
                    <a:stretch>
                      <a:fillRect/>
                    </a:stretch>
                  </pic:blipFill>
                  <pic:spPr>
                    <a:xfrm>
                      <a:off x="0" y="0"/>
                      <a:ext cx="4722146" cy="2577077"/>
                    </a:xfrm>
                    <a:prstGeom prst="rect">
                      <a:avLst/>
                    </a:prstGeom>
                  </pic:spPr>
                </pic:pic>
              </a:graphicData>
            </a:graphic>
          </wp:inline>
        </w:drawing>
      </w:r>
    </w:p>
    <w:p w14:paraId="333C0976" w14:textId="35208CC4" w:rsidR="00CA19AC" w:rsidRPr="00F171A3" w:rsidRDefault="00CA19AC" w:rsidP="00701C22">
      <w:pPr>
        <w:jc w:val="right"/>
        <w:rPr>
          <w:color w:val="BFBFBF" w:themeColor="background1" w:themeShade="BF"/>
        </w:rPr>
      </w:pPr>
      <w:r w:rsidRPr="00F171A3">
        <w:rPr>
          <w:color w:val="BFBFBF" w:themeColor="background1" w:themeShade="BF"/>
        </w:rPr>
        <w:t>Surs</w:t>
      </w:r>
      <w:r w:rsidR="00837917" w:rsidRPr="00F171A3">
        <w:rPr>
          <w:color w:val="BFBFBF" w:themeColor="background1" w:themeShade="BF"/>
        </w:rPr>
        <w:t>a</w:t>
      </w:r>
      <w:r w:rsidRPr="00F171A3">
        <w:rPr>
          <w:color w:val="BFBFBF" w:themeColor="background1" w:themeShade="BF"/>
        </w:rPr>
        <w:t xml:space="preserve">: </w:t>
      </w:r>
      <w:r w:rsidR="00837917" w:rsidRPr="00F171A3">
        <w:rPr>
          <w:color w:val="BFBFBF" w:themeColor="background1" w:themeShade="BF"/>
        </w:rPr>
        <w:t>P</w:t>
      </w:r>
      <w:r w:rsidRPr="00F171A3">
        <w:rPr>
          <w:color w:val="BFBFBF" w:themeColor="background1" w:themeShade="BF"/>
        </w:rPr>
        <w:t>relucrare proprie</w:t>
      </w:r>
    </w:p>
    <w:p w14:paraId="3CC518B7" w14:textId="77777777" w:rsidR="00701C22" w:rsidRPr="00F171A3" w:rsidRDefault="00701C22" w:rsidP="00701C22">
      <w:pPr>
        <w:jc w:val="right"/>
      </w:pPr>
    </w:p>
    <w:p w14:paraId="4211E099" w14:textId="1145F57C" w:rsidR="00CA19AC" w:rsidRPr="00F171A3" w:rsidRDefault="00CA19AC" w:rsidP="00CA19AC">
      <w:pPr>
        <w:rPr>
          <w:iCs/>
        </w:rPr>
      </w:pPr>
      <w:bookmarkStart w:id="7" w:name="_Toc67648800"/>
      <w:bookmarkStart w:id="8" w:name="_Toc67656301"/>
      <w:r w:rsidRPr="00F171A3">
        <w:rPr>
          <w:iCs/>
        </w:rPr>
        <w:t>Astfel, actualizarea SDLID S2 a urmărit principalii pași ai unui proces integrat de planificare strategică, de la analiza potențialului local, la stabilirea obiectivelor de dezvoltare și a căilor de acțiune, la identificarea surselor pentru finanțarea obiectivelor de investiții propuse în cadrul strategiei. Principalele etape, activități și instrumente utilizate pentru actualizarea SDLID S2 sunt prezentate în continuare:</w:t>
      </w:r>
    </w:p>
    <w:p w14:paraId="5F024465" w14:textId="7B266A8A" w:rsidR="00CA19AC" w:rsidRPr="00F171A3" w:rsidRDefault="00CA19AC" w:rsidP="00CA19AC">
      <w:pPr>
        <w:pStyle w:val="Caption"/>
      </w:pPr>
      <w:bookmarkStart w:id="9" w:name="_Toc127197990"/>
      <w:r w:rsidRPr="00F171A3">
        <w:t xml:space="preserve">Figura </w:t>
      </w:r>
      <w:r w:rsidRPr="00F171A3">
        <w:fldChar w:fldCharType="begin"/>
      </w:r>
      <w:r w:rsidRPr="00F171A3">
        <w:instrText xml:space="preserve"> SEQ Figura \* ARABIC </w:instrText>
      </w:r>
      <w:r w:rsidRPr="00F171A3">
        <w:fldChar w:fldCharType="separate"/>
      </w:r>
      <w:r w:rsidR="005A6DD8">
        <w:rPr>
          <w:noProof/>
        </w:rPr>
        <w:t>2</w:t>
      </w:r>
      <w:r w:rsidRPr="00F171A3">
        <w:fldChar w:fldCharType="end"/>
      </w:r>
      <w:r w:rsidRPr="00F171A3">
        <w:t xml:space="preserve"> Abordarea metodologică pentru actualizarea </w:t>
      </w:r>
      <w:r w:rsidR="003F423E" w:rsidRPr="00F171A3">
        <w:rPr>
          <w:caps w:val="0"/>
        </w:rPr>
        <w:t>SDLID S2</w:t>
      </w:r>
      <w:bookmarkEnd w:id="9"/>
    </w:p>
    <w:p w14:paraId="42E220AD" w14:textId="538FD5F1" w:rsidR="00CA19AC" w:rsidRPr="00F171A3" w:rsidRDefault="00CA19AC" w:rsidP="00CA19AC">
      <w:pPr>
        <w:pStyle w:val="Caption"/>
      </w:pPr>
      <w:r w:rsidRPr="00F171A3">
        <w:rPr>
          <w:iCs/>
          <w:noProof/>
        </w:rPr>
        <w:drawing>
          <wp:inline distT="0" distB="0" distL="0" distR="0" wp14:anchorId="6036F1BB" wp14:editId="674D0858">
            <wp:extent cx="5984712" cy="4037611"/>
            <wp:effectExtent l="0" t="0" r="0" b="0"/>
            <wp:docPr id="42" name="Picture 28" descr="Text&#10;&#10;Description automatically generated">
              <a:extLst xmlns:a="http://schemas.openxmlformats.org/drawingml/2006/main">
                <a:ext uri="{FF2B5EF4-FFF2-40B4-BE49-F238E27FC236}">
                  <a16:creationId xmlns:a16="http://schemas.microsoft.com/office/drawing/2014/main" id="{23E015DB-C480-596F-E04A-B8CF3AC32D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8" descr="Text&#10;&#10;Description automatically generated">
                      <a:extLst>
                        <a:ext uri="{FF2B5EF4-FFF2-40B4-BE49-F238E27FC236}">
                          <a16:creationId xmlns:a16="http://schemas.microsoft.com/office/drawing/2014/main" id="{23E015DB-C480-596F-E04A-B8CF3AC32DB2}"/>
                        </a:ext>
                      </a:extLst>
                    </pic:cNvPr>
                    <pic:cNvPicPr>
                      <a:picLocks noChangeAspect="1"/>
                    </pic:cNvPicPr>
                  </pic:nvPicPr>
                  <pic:blipFill rotWithShape="1">
                    <a:blip r:embed="rId15"/>
                    <a:srcRect r="1270"/>
                    <a:stretch/>
                  </pic:blipFill>
                  <pic:spPr bwMode="auto">
                    <a:xfrm>
                      <a:off x="0" y="0"/>
                      <a:ext cx="5998486" cy="4046904"/>
                    </a:xfrm>
                    <a:prstGeom prst="rect">
                      <a:avLst/>
                    </a:prstGeom>
                    <a:ln>
                      <a:noFill/>
                    </a:ln>
                    <a:extLst>
                      <a:ext uri="{53640926-AAD7-44D8-BBD7-CCE9431645EC}">
                        <a14:shadowObscured xmlns:a14="http://schemas.microsoft.com/office/drawing/2010/main"/>
                      </a:ext>
                    </a:extLst>
                  </pic:spPr>
                </pic:pic>
              </a:graphicData>
            </a:graphic>
          </wp:inline>
        </w:drawing>
      </w:r>
      <w:r w:rsidRPr="00F171A3">
        <w:t xml:space="preserve"> </w:t>
      </w:r>
    </w:p>
    <w:p w14:paraId="780C778B" w14:textId="34D24F82" w:rsidR="00CA19AC" w:rsidRPr="00F171A3" w:rsidRDefault="00CA19AC" w:rsidP="00701C22">
      <w:pPr>
        <w:jc w:val="right"/>
        <w:rPr>
          <w:color w:val="BFBFBF" w:themeColor="background1" w:themeShade="BF"/>
        </w:rPr>
      </w:pPr>
      <w:r w:rsidRPr="00F171A3">
        <w:rPr>
          <w:color w:val="BFBFBF" w:themeColor="background1" w:themeShade="BF"/>
        </w:rPr>
        <w:t>Surs</w:t>
      </w:r>
      <w:r w:rsidR="00701C22" w:rsidRPr="00F171A3">
        <w:rPr>
          <w:color w:val="BFBFBF" w:themeColor="background1" w:themeShade="BF"/>
        </w:rPr>
        <w:t>a</w:t>
      </w:r>
      <w:r w:rsidRPr="00F171A3">
        <w:rPr>
          <w:color w:val="BFBFBF" w:themeColor="background1" w:themeShade="BF"/>
        </w:rPr>
        <w:t xml:space="preserve">: </w:t>
      </w:r>
      <w:r w:rsidR="00701C22" w:rsidRPr="00F171A3">
        <w:rPr>
          <w:color w:val="BFBFBF" w:themeColor="background1" w:themeShade="BF"/>
        </w:rPr>
        <w:t>P</w:t>
      </w:r>
      <w:r w:rsidRPr="00F171A3">
        <w:rPr>
          <w:color w:val="BFBFBF" w:themeColor="background1" w:themeShade="BF"/>
        </w:rPr>
        <w:t>relucrare și metodologie proprie</w:t>
      </w:r>
    </w:p>
    <w:p w14:paraId="11530284" w14:textId="77777777" w:rsidR="00CA19AC" w:rsidRPr="00F171A3" w:rsidRDefault="00CA19AC" w:rsidP="00CA19AC">
      <w:pPr>
        <w:tabs>
          <w:tab w:val="left" w:pos="1790"/>
        </w:tabs>
        <w:spacing w:after="0" w:line="276" w:lineRule="auto"/>
        <w:contextualSpacing/>
        <w:rPr>
          <w:iCs/>
        </w:rPr>
      </w:pPr>
      <w:r w:rsidRPr="00F171A3">
        <w:rPr>
          <w:iCs/>
        </w:rPr>
        <w:t>Din punct de vedere al conținutului strategiei, metodologia pentru actualizarea SDLID S2 are în vedere prevederile CPR</w:t>
      </w:r>
      <w:r w:rsidRPr="00F171A3">
        <w:rPr>
          <w:rStyle w:val="FootnoteReference"/>
          <w:iCs/>
        </w:rPr>
        <w:footnoteReference w:id="1"/>
      </w:r>
      <w:r w:rsidRPr="00F171A3">
        <w:rPr>
          <w:iCs/>
        </w:rPr>
        <w:t>, care oferă primele indicații privind componența strategiilor integrate de dezvoltare urbană:</w:t>
      </w:r>
    </w:p>
    <w:p w14:paraId="38942E89" w14:textId="6DB36450" w:rsidR="00CA19AC" w:rsidRPr="00F171A3" w:rsidRDefault="00837917">
      <w:pPr>
        <w:pStyle w:val="ListParagraph"/>
        <w:numPr>
          <w:ilvl w:val="0"/>
          <w:numId w:val="33"/>
        </w:numPr>
        <w:tabs>
          <w:tab w:val="left" w:pos="1790"/>
        </w:tabs>
        <w:spacing w:after="0" w:line="276" w:lineRule="auto"/>
        <w:contextualSpacing/>
        <w:rPr>
          <w:iCs/>
          <w:color w:val="134753" w:themeColor="text2"/>
        </w:rPr>
      </w:pPr>
      <w:r w:rsidRPr="00F171A3">
        <w:rPr>
          <w:iCs/>
          <w:color w:val="134753" w:themeColor="text2"/>
        </w:rPr>
        <w:t>Z</w:t>
      </w:r>
      <w:r w:rsidR="00CA19AC" w:rsidRPr="00F171A3">
        <w:rPr>
          <w:iCs/>
          <w:color w:val="134753" w:themeColor="text2"/>
        </w:rPr>
        <w:t xml:space="preserve">ona geografică vizată de strategie; </w:t>
      </w:r>
    </w:p>
    <w:p w14:paraId="27CA1A88" w14:textId="53C3195A" w:rsidR="00CA19AC" w:rsidRPr="00F171A3" w:rsidRDefault="00837917">
      <w:pPr>
        <w:pStyle w:val="ListParagraph"/>
        <w:numPr>
          <w:ilvl w:val="0"/>
          <w:numId w:val="31"/>
        </w:numPr>
        <w:tabs>
          <w:tab w:val="left" w:pos="1790"/>
        </w:tabs>
        <w:spacing w:after="0" w:line="276" w:lineRule="auto"/>
        <w:contextualSpacing/>
        <w:rPr>
          <w:iCs/>
          <w:color w:val="134753" w:themeColor="text2"/>
        </w:rPr>
      </w:pPr>
      <w:r w:rsidRPr="00F171A3">
        <w:rPr>
          <w:iCs/>
          <w:color w:val="134753" w:themeColor="text2"/>
        </w:rPr>
        <w:t>O</w:t>
      </w:r>
      <w:r w:rsidR="00CA19AC" w:rsidRPr="00F171A3">
        <w:rPr>
          <w:iCs/>
          <w:color w:val="134753" w:themeColor="text2"/>
        </w:rPr>
        <w:t xml:space="preserve"> analiză a necesităților de dezvoltare și a potențialului zonei; </w:t>
      </w:r>
    </w:p>
    <w:p w14:paraId="0F68A84E" w14:textId="50F4DA1F" w:rsidR="00CA19AC" w:rsidRPr="00F171A3" w:rsidRDefault="00837917">
      <w:pPr>
        <w:pStyle w:val="ListParagraph"/>
        <w:numPr>
          <w:ilvl w:val="0"/>
          <w:numId w:val="31"/>
        </w:numPr>
        <w:tabs>
          <w:tab w:val="left" w:pos="1790"/>
        </w:tabs>
        <w:spacing w:after="0" w:line="276" w:lineRule="auto"/>
        <w:contextualSpacing/>
        <w:rPr>
          <w:iCs/>
          <w:color w:val="134753" w:themeColor="text2"/>
        </w:rPr>
      </w:pPr>
      <w:r w:rsidRPr="00F171A3">
        <w:rPr>
          <w:iCs/>
          <w:color w:val="134753" w:themeColor="text2"/>
        </w:rPr>
        <w:t>O</w:t>
      </w:r>
      <w:r w:rsidR="00CA19AC" w:rsidRPr="00F171A3">
        <w:rPr>
          <w:iCs/>
          <w:color w:val="134753" w:themeColor="text2"/>
        </w:rPr>
        <w:t xml:space="preserve"> descriere a unei abordări integrate care răspunde necesităților de dezvoltare și potențialului identificat; </w:t>
      </w:r>
    </w:p>
    <w:p w14:paraId="3D0D6418" w14:textId="06B02A84" w:rsidR="00CA19AC" w:rsidRPr="00F171A3" w:rsidRDefault="00837917">
      <w:pPr>
        <w:pStyle w:val="ListParagraph"/>
        <w:numPr>
          <w:ilvl w:val="0"/>
          <w:numId w:val="31"/>
        </w:numPr>
        <w:tabs>
          <w:tab w:val="left" w:pos="1790"/>
        </w:tabs>
        <w:spacing w:after="0" w:line="276" w:lineRule="auto"/>
        <w:contextualSpacing/>
        <w:rPr>
          <w:iCs/>
          <w:color w:val="134753" w:themeColor="text2"/>
        </w:rPr>
      </w:pPr>
      <w:r w:rsidRPr="00F171A3">
        <w:rPr>
          <w:iCs/>
          <w:color w:val="134753" w:themeColor="text2"/>
        </w:rPr>
        <w:t>O</w:t>
      </w:r>
      <w:r w:rsidR="00CA19AC" w:rsidRPr="00F171A3">
        <w:rPr>
          <w:iCs/>
          <w:color w:val="134753" w:themeColor="text2"/>
        </w:rPr>
        <w:t xml:space="preserve"> descriere a implicării de parteneri, în pregătirea și implementarea strategiei; </w:t>
      </w:r>
    </w:p>
    <w:p w14:paraId="45C5C98E" w14:textId="6BE10941" w:rsidR="00CA19AC" w:rsidRPr="00F171A3" w:rsidRDefault="00837917">
      <w:pPr>
        <w:pStyle w:val="ListParagraph"/>
        <w:numPr>
          <w:ilvl w:val="0"/>
          <w:numId w:val="32"/>
        </w:numPr>
        <w:tabs>
          <w:tab w:val="left" w:pos="1790"/>
        </w:tabs>
        <w:spacing w:after="0" w:line="276" w:lineRule="auto"/>
        <w:contextualSpacing/>
        <w:rPr>
          <w:iCs/>
          <w:color w:val="134753" w:themeColor="text2"/>
        </w:rPr>
      </w:pPr>
      <w:r w:rsidRPr="00F171A3">
        <w:rPr>
          <w:iCs/>
          <w:color w:val="134753" w:themeColor="text2"/>
        </w:rPr>
        <w:t>P</w:t>
      </w:r>
      <w:r w:rsidR="00CA19AC" w:rsidRPr="00F171A3">
        <w:rPr>
          <w:iCs/>
          <w:color w:val="134753" w:themeColor="text2"/>
        </w:rPr>
        <w:t>oate să conțină, de asemenea, o listă a operațiunilor care urmează să fie sprijinite.</w:t>
      </w:r>
    </w:p>
    <w:p w14:paraId="4FD22873" w14:textId="77777777" w:rsidR="00CA19AC" w:rsidRPr="00F171A3" w:rsidRDefault="00CA19AC" w:rsidP="00CA19AC">
      <w:pPr>
        <w:tabs>
          <w:tab w:val="left" w:pos="1790"/>
        </w:tabs>
        <w:spacing w:after="0" w:line="276" w:lineRule="auto"/>
        <w:contextualSpacing/>
        <w:rPr>
          <w:iCs/>
        </w:rPr>
      </w:pPr>
    </w:p>
    <w:p w14:paraId="4C6691C7" w14:textId="77777777" w:rsidR="00CA19AC" w:rsidRPr="00F171A3" w:rsidRDefault="00CA19AC" w:rsidP="00CA19AC">
      <w:pPr>
        <w:tabs>
          <w:tab w:val="left" w:pos="1790"/>
        </w:tabs>
        <w:spacing w:after="0" w:line="276" w:lineRule="auto"/>
        <w:contextualSpacing/>
        <w:rPr>
          <w:iCs/>
        </w:rPr>
      </w:pPr>
      <w:r w:rsidRPr="00F171A3">
        <w:rPr>
          <w:iCs/>
        </w:rPr>
        <w:t>Totodată, metodologia pentru actualizarea SDLID S2 este aliniată prevederilor Manualului pentru Strategii de Dezvoltare urbană Sustenabilă (Comisia Europeană, 2020), care definește o serie de șase componente de bază (building blocks) ale strategiilor integrate de dezvoltare urbană:</w:t>
      </w:r>
    </w:p>
    <w:p w14:paraId="15F35C82" w14:textId="254D2560" w:rsidR="00CA19AC" w:rsidRPr="00F171A3" w:rsidRDefault="00CA19AC" w:rsidP="00CA19AC">
      <w:pPr>
        <w:pStyle w:val="Caption"/>
      </w:pPr>
      <w:bookmarkStart w:id="10" w:name="_Toc81815086"/>
      <w:bookmarkStart w:id="11" w:name="_Toc127197991"/>
      <w:r w:rsidRPr="00F171A3">
        <w:t xml:space="preserve">Figura </w:t>
      </w:r>
      <w:r w:rsidRPr="00F171A3">
        <w:fldChar w:fldCharType="begin"/>
      </w:r>
      <w:r w:rsidRPr="00F171A3">
        <w:instrText xml:space="preserve"> SEQ Figura \* ARABIC </w:instrText>
      </w:r>
      <w:r w:rsidRPr="00F171A3">
        <w:fldChar w:fldCharType="separate"/>
      </w:r>
      <w:r w:rsidR="005A6DD8">
        <w:rPr>
          <w:noProof/>
        </w:rPr>
        <w:t>3</w:t>
      </w:r>
      <w:r w:rsidRPr="00F171A3">
        <w:fldChar w:fldCharType="end"/>
      </w:r>
      <w:r w:rsidRPr="00F171A3">
        <w:t xml:space="preserve"> Componentele de bază ale </w:t>
      </w:r>
      <w:bookmarkEnd w:id="7"/>
      <w:bookmarkEnd w:id="8"/>
      <w:bookmarkEnd w:id="10"/>
      <w:r w:rsidRPr="00F171A3">
        <w:rPr>
          <w:iCs/>
        </w:rPr>
        <w:t>strategiilor integrate de dezvoltare urbană</w:t>
      </w:r>
      <w:bookmarkEnd w:id="11"/>
    </w:p>
    <w:p w14:paraId="34309934" w14:textId="77777777" w:rsidR="00CA19AC" w:rsidRPr="00F171A3" w:rsidRDefault="00CA19AC" w:rsidP="00CA19AC">
      <w:pPr>
        <w:tabs>
          <w:tab w:val="left" w:pos="1790"/>
        </w:tabs>
        <w:spacing w:after="0" w:line="276" w:lineRule="auto"/>
        <w:contextualSpacing/>
        <w:rPr>
          <w:iCs/>
        </w:rPr>
      </w:pPr>
      <w:r w:rsidRPr="00F171A3">
        <w:rPr>
          <w:iCs/>
          <w:noProof/>
        </w:rPr>
        <w:drawing>
          <wp:inline distT="0" distB="0" distL="0" distR="0" wp14:anchorId="7849CA44" wp14:editId="0F79EAB4">
            <wp:extent cx="5997039" cy="3718560"/>
            <wp:effectExtent l="0" t="0" r="0" b="15240"/>
            <wp:docPr id="58" name="Diagram 58">
              <a:extLst xmlns:a="http://schemas.openxmlformats.org/drawingml/2006/main">
                <a:ext uri="{FF2B5EF4-FFF2-40B4-BE49-F238E27FC236}">
                  <a16:creationId xmlns:a16="http://schemas.microsoft.com/office/drawing/2014/main" id="{B3FE872A-B0BF-43C7-88A0-2F019D5E74A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7723FA6" w14:textId="0BFFE8AF" w:rsidR="00CA19AC" w:rsidRPr="00F171A3" w:rsidRDefault="00CA19AC" w:rsidP="00216383">
      <w:pPr>
        <w:jc w:val="right"/>
        <w:rPr>
          <w:color w:val="BFBFBF" w:themeColor="background1" w:themeShade="BF"/>
        </w:rPr>
      </w:pPr>
      <w:r w:rsidRPr="00F171A3">
        <w:rPr>
          <w:color w:val="BFBFBF" w:themeColor="background1" w:themeShade="BF"/>
        </w:rPr>
        <w:t>Surs</w:t>
      </w:r>
      <w:r w:rsidR="00216383" w:rsidRPr="00F171A3">
        <w:rPr>
          <w:color w:val="BFBFBF" w:themeColor="background1" w:themeShade="BF"/>
        </w:rPr>
        <w:t>a</w:t>
      </w:r>
      <w:r w:rsidRPr="00F171A3">
        <w:rPr>
          <w:color w:val="BFBFBF" w:themeColor="background1" w:themeShade="BF"/>
        </w:rPr>
        <w:t>:</w:t>
      </w:r>
      <w:r w:rsidR="00216383" w:rsidRPr="00F171A3">
        <w:rPr>
          <w:color w:val="BFBFBF" w:themeColor="background1" w:themeShade="BF"/>
        </w:rPr>
        <w:t xml:space="preserve"> P</w:t>
      </w:r>
      <w:r w:rsidRPr="00F171A3">
        <w:rPr>
          <w:color w:val="BFBFBF" w:themeColor="background1" w:themeShade="BF"/>
        </w:rPr>
        <w:t>relucrare proprie pe baza Manualului pentru Strategii de Dezvoltare urbană Sustenabilă (Comisia Europeană, 2020)</w:t>
      </w:r>
    </w:p>
    <w:p w14:paraId="0500A265" w14:textId="77777777" w:rsidR="00CA19AC" w:rsidRPr="00F171A3" w:rsidRDefault="00CA19AC" w:rsidP="00CA19AC">
      <w:pPr>
        <w:rPr>
          <w:rFonts w:cstheme="minorHAnsi"/>
        </w:rPr>
      </w:pPr>
      <w:r w:rsidRPr="00F171A3">
        <w:rPr>
          <w:rFonts w:cstheme="minorHAnsi"/>
        </w:rPr>
        <w:t>Actualizarea strategiei pornește de la un set de probleme, nevoi și elemente de potențial identificate la nivelul Sectorului 2, pentru a actualiza cadrul strategic de dezvoltare pentru următorii ani. În acest context, analiza situației existente a vizat o serie de domenii-cheie care sunt corelate cu domeniile de interes pentru dezvoltarea Sectorului 2 din perioada anterioară de programare. Pentru a asigura coerența procesului de planificare, provocărilor identificate în etapa de analiză le este asociat un sistem integrat de obiective strategice și specifice, detaliate prin programe și proiecte ce conduc la atingerea viziunii de dezvoltare.</w:t>
      </w:r>
    </w:p>
    <w:p w14:paraId="04629D10" w14:textId="30B55676" w:rsidR="00CA19AC" w:rsidRPr="00F171A3" w:rsidRDefault="00CA19AC" w:rsidP="00CA19AC">
      <w:pPr>
        <w:pStyle w:val="Caption"/>
      </w:pPr>
      <w:bookmarkStart w:id="12" w:name="_Toc69767285"/>
      <w:bookmarkStart w:id="13" w:name="_Toc94038809"/>
      <w:bookmarkStart w:id="14" w:name="_Toc127197992"/>
      <w:r w:rsidRPr="00F171A3">
        <w:t xml:space="preserve">Figura </w:t>
      </w:r>
      <w:r w:rsidRPr="00F171A3">
        <w:fldChar w:fldCharType="begin"/>
      </w:r>
      <w:r w:rsidRPr="00F171A3">
        <w:instrText xml:space="preserve"> SEQ Figura \* ARABIC </w:instrText>
      </w:r>
      <w:r w:rsidRPr="00F171A3">
        <w:fldChar w:fldCharType="separate"/>
      </w:r>
      <w:r w:rsidR="005A6DD8">
        <w:rPr>
          <w:noProof/>
        </w:rPr>
        <w:t>4</w:t>
      </w:r>
      <w:r w:rsidRPr="00F171A3">
        <w:rPr>
          <w:noProof/>
        </w:rPr>
        <w:fldChar w:fldCharType="end"/>
      </w:r>
      <w:r w:rsidRPr="00F171A3">
        <w:t xml:space="preserve"> Domenii-cheie analizate în cadrul </w:t>
      </w:r>
      <w:bookmarkEnd w:id="12"/>
      <w:bookmarkEnd w:id="13"/>
      <w:r w:rsidRPr="00F171A3">
        <w:t>SDLID S2</w:t>
      </w:r>
      <w:bookmarkEnd w:id="14"/>
    </w:p>
    <w:p w14:paraId="56303445" w14:textId="77777777" w:rsidR="00CA19AC" w:rsidRPr="00F171A3" w:rsidRDefault="00CA19AC" w:rsidP="00CA19AC">
      <w:r w:rsidRPr="00F171A3">
        <w:rPr>
          <w:noProof/>
        </w:rPr>
        <w:drawing>
          <wp:inline distT="0" distB="0" distL="0" distR="0" wp14:anchorId="03EAB5C2" wp14:editId="5E4B8F45">
            <wp:extent cx="5913755" cy="1343025"/>
            <wp:effectExtent l="0" t="0" r="10795" b="0"/>
            <wp:docPr id="83" name="Diagram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12522385" w14:textId="78375B2B" w:rsidR="00CA19AC" w:rsidRPr="00F171A3" w:rsidRDefault="00CA19AC" w:rsidP="00216383">
      <w:pPr>
        <w:jc w:val="right"/>
        <w:rPr>
          <w:color w:val="BFBFBF" w:themeColor="background1" w:themeShade="BF"/>
        </w:rPr>
      </w:pPr>
      <w:r w:rsidRPr="00F171A3">
        <w:rPr>
          <w:color w:val="BFBFBF" w:themeColor="background1" w:themeShade="BF"/>
        </w:rPr>
        <w:t xml:space="preserve">Sursa: </w:t>
      </w:r>
      <w:r w:rsidR="00216383" w:rsidRPr="00F171A3">
        <w:rPr>
          <w:color w:val="BFBFBF" w:themeColor="background1" w:themeShade="BF"/>
        </w:rPr>
        <w:t>P</w:t>
      </w:r>
      <w:r w:rsidRPr="00F171A3">
        <w:rPr>
          <w:color w:val="BFBFBF" w:themeColor="background1" w:themeShade="BF"/>
        </w:rPr>
        <w:t>relucrare proprie</w:t>
      </w:r>
    </w:p>
    <w:p w14:paraId="742960BB" w14:textId="77777777" w:rsidR="00CA19AC" w:rsidRPr="00F171A3" w:rsidRDefault="00CA19AC" w:rsidP="00CA19AC">
      <w:pPr>
        <w:rPr>
          <w:szCs w:val="20"/>
        </w:rPr>
      </w:pPr>
      <w:r w:rsidRPr="00F171A3">
        <w:rPr>
          <w:szCs w:val="20"/>
        </w:rPr>
        <w:t>Totodată, având în vedere nivelul de dezvoltare și abordarea competitivă a Sectorului 2, precum și contextul socio-economic și sanitar actual și nevoia de aliniere la tendințele și politicile europene, demersul de planificare strategică urmărit a vizat și o serie de concepte complementare, care însă sunt din ce în ce mai importante pentru o dezvoltare sustenabilă. În acest sens, un prim palier abordat a fost cel al dezvoltării inteligente, care a fost evaluat în raport cu toate domeniile de interes pentru strategie, fiind un concept care presupune, de asemenea, o abordare integrată:</w:t>
      </w:r>
    </w:p>
    <w:p w14:paraId="7270E7B5" w14:textId="68C3FE9C" w:rsidR="00CA19AC" w:rsidRPr="00F171A3" w:rsidRDefault="00CA19AC" w:rsidP="00CA19AC">
      <w:pPr>
        <w:pStyle w:val="Caption"/>
      </w:pPr>
      <w:bookmarkStart w:id="15" w:name="_Toc94038810"/>
      <w:bookmarkStart w:id="16" w:name="_Toc127197993"/>
      <w:r w:rsidRPr="00F171A3">
        <w:t xml:space="preserve">Figura </w:t>
      </w:r>
      <w:r w:rsidRPr="00F171A3">
        <w:fldChar w:fldCharType="begin"/>
      </w:r>
      <w:r w:rsidRPr="00F171A3">
        <w:instrText xml:space="preserve"> SEQ Figura \* ARABIC </w:instrText>
      </w:r>
      <w:r w:rsidRPr="00F171A3">
        <w:fldChar w:fldCharType="separate"/>
      </w:r>
      <w:r w:rsidR="005A6DD8">
        <w:rPr>
          <w:noProof/>
        </w:rPr>
        <w:t>5</w:t>
      </w:r>
      <w:r w:rsidRPr="00F171A3">
        <w:rPr>
          <w:noProof/>
        </w:rPr>
        <w:fldChar w:fldCharType="end"/>
      </w:r>
      <w:r w:rsidRPr="00F171A3">
        <w:t xml:space="preserve"> Pilonii urmăriți prin abordarea integrată a dezvoltării inteligente</w:t>
      </w:r>
      <w:bookmarkEnd w:id="15"/>
      <w:bookmarkEnd w:id="16"/>
    </w:p>
    <w:p w14:paraId="7075FBAB" w14:textId="77777777" w:rsidR="00CA19AC" w:rsidRPr="00F171A3" w:rsidRDefault="00CA19AC" w:rsidP="00CA19AC">
      <w:r w:rsidRPr="00F171A3">
        <w:rPr>
          <w:noProof/>
        </w:rPr>
        <w:drawing>
          <wp:inline distT="0" distB="0" distL="0" distR="0" wp14:anchorId="13C421F6" wp14:editId="66579050">
            <wp:extent cx="5923994" cy="3180521"/>
            <wp:effectExtent l="0" t="0" r="635"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3994" cy="3180521"/>
                    </a:xfrm>
                    <a:prstGeom prst="rect">
                      <a:avLst/>
                    </a:prstGeom>
                    <a:noFill/>
                  </pic:spPr>
                </pic:pic>
              </a:graphicData>
            </a:graphic>
          </wp:inline>
        </w:drawing>
      </w:r>
    </w:p>
    <w:p w14:paraId="7944C521" w14:textId="409EFCF8" w:rsidR="00CA19AC" w:rsidRPr="00F171A3" w:rsidRDefault="00CA19AC" w:rsidP="00216383">
      <w:pPr>
        <w:jc w:val="right"/>
        <w:rPr>
          <w:color w:val="BFBFBF" w:themeColor="background1" w:themeShade="BF"/>
        </w:rPr>
      </w:pPr>
      <w:r w:rsidRPr="00F171A3">
        <w:rPr>
          <w:color w:val="BFBFBF" w:themeColor="background1" w:themeShade="BF"/>
        </w:rPr>
        <w:t xml:space="preserve">Sursa: </w:t>
      </w:r>
      <w:r w:rsidR="00216383" w:rsidRPr="00F171A3">
        <w:rPr>
          <w:color w:val="BFBFBF" w:themeColor="background1" w:themeShade="BF"/>
        </w:rPr>
        <w:t>P</w:t>
      </w:r>
      <w:r w:rsidRPr="00F171A3">
        <w:rPr>
          <w:color w:val="BFBFBF" w:themeColor="background1" w:themeShade="BF"/>
        </w:rPr>
        <w:t>relucrare și metodologie proprie</w:t>
      </w:r>
    </w:p>
    <w:p w14:paraId="5E4B867C" w14:textId="77777777" w:rsidR="00CA19AC" w:rsidRPr="00F171A3" w:rsidRDefault="00CA19AC" w:rsidP="00CA19AC">
      <w:pPr>
        <w:rPr>
          <w:szCs w:val="20"/>
        </w:rPr>
      </w:pPr>
      <w:r w:rsidRPr="00F171A3">
        <w:rPr>
          <w:szCs w:val="20"/>
        </w:rPr>
        <w:t>Nu în ultimul rând, pentru a contribui la dezvoltarea capacității teritoriului de adaptare și de menținere a continuității în cazul apariției unor șocuri și, în același timp, de aliniere la principiile dezvoltării durabile, la fel de importantă este dezvoltarea și susținerea rezilienței. Aceasta se bazează pe persistență, adaptabilitate și incluzivitate, caracteristici ce pot fi dobândite printr-o abordare integrată, reflexivă și cu caracter transformator. Abordarea conceptului de reziliență este cu atât mai relevantă cu cât Sectorul 2 și-a asumat o și misiune ambițioasă cu privire la atingerea neutralității climatice până în 2030, prin participarea în Misiunea Comisiei Europene pentru 100 de orașe neutre din punct de vedere climatic până în 2030</w:t>
      </w:r>
      <w:r w:rsidRPr="00F171A3">
        <w:rPr>
          <w:rStyle w:val="FootnoteReference"/>
          <w:szCs w:val="20"/>
        </w:rPr>
        <w:footnoteReference w:id="2"/>
      </w:r>
      <w:r w:rsidRPr="00F171A3">
        <w:rPr>
          <w:szCs w:val="20"/>
        </w:rPr>
        <w:t xml:space="preserve">. </w:t>
      </w:r>
    </w:p>
    <w:p w14:paraId="12733ADC" w14:textId="2A19FDDE" w:rsidR="00CA19AC" w:rsidRPr="00F171A3" w:rsidRDefault="00CA19AC" w:rsidP="00CA19AC">
      <w:pPr>
        <w:pStyle w:val="Caption"/>
      </w:pPr>
      <w:bookmarkStart w:id="17" w:name="_Toc94038811"/>
      <w:bookmarkStart w:id="18" w:name="_Toc127197994"/>
      <w:r w:rsidRPr="00F171A3">
        <w:t xml:space="preserve">Figura </w:t>
      </w:r>
      <w:r w:rsidRPr="00F171A3">
        <w:fldChar w:fldCharType="begin"/>
      </w:r>
      <w:r w:rsidRPr="00F171A3">
        <w:instrText xml:space="preserve"> SEQ Figura \* ARABIC </w:instrText>
      </w:r>
      <w:r w:rsidRPr="00F171A3">
        <w:fldChar w:fldCharType="separate"/>
      </w:r>
      <w:r w:rsidR="005A6DD8">
        <w:rPr>
          <w:noProof/>
        </w:rPr>
        <w:t>6</w:t>
      </w:r>
      <w:r w:rsidRPr="00F171A3">
        <w:rPr>
          <w:noProof/>
        </w:rPr>
        <w:fldChar w:fldCharType="end"/>
      </w:r>
      <w:r w:rsidRPr="00F171A3">
        <w:t xml:space="preserve"> Pilonii urmăriți prin abordarea integrată a obiectivelor de reziliență</w:t>
      </w:r>
      <w:bookmarkEnd w:id="17"/>
      <w:bookmarkEnd w:id="18"/>
    </w:p>
    <w:p w14:paraId="69A5CE67" w14:textId="2C5EABA8" w:rsidR="00CA19AC" w:rsidRPr="00F171A3" w:rsidRDefault="00CA19AC" w:rsidP="00216383">
      <w:pPr>
        <w:pStyle w:val="Bottomcaption"/>
      </w:pPr>
      <w:r w:rsidRPr="00F171A3">
        <w:rPr>
          <w:noProof/>
        </w:rPr>
        <w:drawing>
          <wp:inline distT="0" distB="0" distL="0" distR="0" wp14:anchorId="484844DF" wp14:editId="178709DD">
            <wp:extent cx="5996763" cy="2668772"/>
            <wp:effectExtent l="0" t="0" r="4445" b="0"/>
            <wp:docPr id="44" name="Diagram 44">
              <a:extLst xmlns:a="http://schemas.openxmlformats.org/drawingml/2006/main">
                <a:ext uri="{FF2B5EF4-FFF2-40B4-BE49-F238E27FC236}">
                  <a16:creationId xmlns:a16="http://schemas.microsoft.com/office/drawing/2014/main" id="{F00656B4-278D-42B0-B8EA-D65BB6AFF4B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r w:rsidRPr="00F171A3">
        <w:t xml:space="preserve"> </w:t>
      </w:r>
      <w:bookmarkStart w:id="19" w:name="_Hlk94084274"/>
      <w:r w:rsidRPr="00F171A3">
        <w:rPr>
          <w:rFonts w:cstheme="minorHAnsi"/>
          <w:bCs w:val="0"/>
          <w:color w:val="BFBFBF" w:themeColor="background1" w:themeShade="BF"/>
          <w:szCs w:val="22"/>
        </w:rPr>
        <w:t xml:space="preserve">Sursa: </w:t>
      </w:r>
      <w:r w:rsidR="00216383" w:rsidRPr="00F171A3">
        <w:rPr>
          <w:rFonts w:cstheme="minorHAnsi"/>
          <w:bCs w:val="0"/>
          <w:color w:val="BFBFBF" w:themeColor="background1" w:themeShade="BF"/>
          <w:szCs w:val="22"/>
        </w:rPr>
        <w:t>P</w:t>
      </w:r>
      <w:r w:rsidRPr="00F171A3">
        <w:rPr>
          <w:rFonts w:cstheme="minorHAnsi"/>
          <w:bCs w:val="0"/>
          <w:color w:val="BFBFBF" w:themeColor="background1" w:themeShade="BF"/>
          <w:szCs w:val="22"/>
        </w:rPr>
        <w:t>relucrare și metodologie proprie</w:t>
      </w:r>
      <w:bookmarkEnd w:id="19"/>
    </w:p>
    <w:p w14:paraId="625689D8" w14:textId="532DA786" w:rsidR="00CD5E64" w:rsidRPr="00F171A3" w:rsidRDefault="00CA19AC" w:rsidP="00CD5E64">
      <w:pPr>
        <w:rPr>
          <w:rFonts w:cstheme="minorHAnsi"/>
        </w:rPr>
      </w:pPr>
      <w:r w:rsidRPr="00F171A3">
        <w:rPr>
          <w:rFonts w:cstheme="minorHAnsi"/>
        </w:rPr>
        <w:t xml:space="preserve">Astfel, </w:t>
      </w:r>
      <w:r w:rsidRPr="00F171A3">
        <w:rPr>
          <w:iCs/>
        </w:rPr>
        <w:t>SDLID S2</w:t>
      </w:r>
      <w:r w:rsidRPr="00F171A3">
        <w:rPr>
          <w:rFonts w:cstheme="minorHAnsi"/>
        </w:rPr>
        <w:t xml:space="preserve"> 2021-2027 definește cadrul pentru dezvoltarea urbană integrată la nivelul Sectorului 2 în perioada 2021-2027 și reprezintă un instrument util la dispoziția actorilor de la nivel local și central, fie ei instituționali, privați sau non-guvernamentali, pentru planificarea și corelarea intervențiilor realizate din diferite surse de finanțare. Mai mult, asumarea și implementarea Strategiei de Dezvoltare Locală Integrată şi Durabilă actualizată va sprijini creşterea nivelului de predictibilitate a acţiunilor, managementul eficient al politicilor publice, crearea conexiunii dintre planificarea politicilor publice şi elaborarea bugetelor locale multianuale, respectiv creşterea coerenţei şi eficienţei în cheltuirea fondurilor publice.</w:t>
      </w:r>
    </w:p>
    <w:p w14:paraId="757A35E4" w14:textId="77777777" w:rsidR="00837917" w:rsidRPr="00F171A3" w:rsidRDefault="00837917" w:rsidP="00CD5E64">
      <w:pPr>
        <w:rPr>
          <w:rFonts w:cstheme="minorHAnsi"/>
        </w:rPr>
        <w:sectPr w:rsidR="00837917" w:rsidRPr="00F171A3" w:rsidSect="00135952">
          <w:pgSz w:w="11907" w:h="16839" w:code="9"/>
          <w:pgMar w:top="1151" w:right="1440" w:bottom="1440" w:left="1021" w:header="709" w:footer="284" w:gutter="0"/>
          <w:cols w:space="708"/>
          <w:titlePg/>
          <w:docGrid w:linePitch="360"/>
        </w:sectPr>
      </w:pPr>
    </w:p>
    <w:p w14:paraId="03042487" w14:textId="7D59E556" w:rsidR="00CD5E64" w:rsidRPr="00F171A3" w:rsidRDefault="003F423E" w:rsidP="003F423E">
      <w:pPr>
        <w:pStyle w:val="Heading1"/>
        <w:rPr>
          <w:lang w:val="ro-RO"/>
        </w:rPr>
      </w:pPr>
      <w:bookmarkStart w:id="20" w:name="_Toc127199257"/>
      <w:r w:rsidRPr="00F171A3">
        <w:rPr>
          <w:caps w:val="0"/>
          <w:lang w:val="ro-RO"/>
        </w:rPr>
        <w:t>CONTEXTUL ACTUALIZĂRII STRATEGIEI DE DEZVOLTARE LOCALĂ A SECTORULUI 2</w:t>
      </w:r>
      <w:bookmarkEnd w:id="20"/>
    </w:p>
    <w:p w14:paraId="798E5412" w14:textId="6D814921" w:rsidR="00A40F0E" w:rsidRPr="00F171A3" w:rsidRDefault="00D64CC5" w:rsidP="003F423E">
      <w:pPr>
        <w:pStyle w:val="Heading2"/>
        <w:rPr>
          <w:lang w:val="ro-RO"/>
        </w:rPr>
      </w:pPr>
      <w:bookmarkStart w:id="21" w:name="_Toc127199258"/>
      <w:r w:rsidRPr="00F171A3">
        <w:rPr>
          <w:caps w:val="0"/>
          <w:lang w:val="ro-RO"/>
        </w:rPr>
        <w:t>CONTEXT STRATEGIC</w:t>
      </w:r>
      <w:bookmarkEnd w:id="21"/>
    </w:p>
    <w:p w14:paraId="4DE9843D" w14:textId="77777777" w:rsidR="00CA19AC" w:rsidRPr="00F171A3" w:rsidRDefault="00CA19AC" w:rsidP="00CA19AC">
      <w:bookmarkStart w:id="22" w:name="_Toc79920490"/>
      <w:r w:rsidRPr="00F171A3">
        <w:t xml:space="preserve">Modificarea şi actualizarea Strategiei de Dezvoltare Locală Integrată şi Durabilă a Sectorului 2 pentru perioada 2016-2025 este marcată de necesitatea actualizării obiectivelor și priorităților de dezvoltare ale Sectorului 2, în contextul perioadei de programare 2021-2027. Noua perioadă de programare vizează și actualizarea politicilor europene pentru perioada de referință, precum și bugetul aferent operaționalizării priorităților și politicilor definite. Totodată, în calitate de Stat Membru, România se aliniază acestor priorități și politici atât la nivel național, cât și la nivel local, fiind urmărită adaptarea la contextul strategic european, cât și la instrumentele de suport disponibile.  </w:t>
      </w:r>
    </w:p>
    <w:p w14:paraId="1282EB42" w14:textId="77777777" w:rsidR="00CA19AC" w:rsidRPr="00F171A3" w:rsidRDefault="00CA19AC" w:rsidP="00CA19AC">
      <w:r w:rsidRPr="00F171A3">
        <w:t xml:space="preserve">Astfel, demersul actualizării Strategiei de Dezvoltare Locală Integrată şi Durabilă a Sectorului 2 pentru perioada 2016-2025 cu orizontul de timp 2027 urmărește corelarea cu documentele de planificare strategică relevante de la nivel global, european, național, regional și local, fiind vizate obiectivele și direcțiile ce ghidează dezvoltarea la nivel macro, cât și cele specifice, orientate către teritoriul studiat. </w:t>
      </w:r>
    </w:p>
    <w:p w14:paraId="43880750" w14:textId="1BF7313B" w:rsidR="00CA19AC" w:rsidRPr="00F171A3" w:rsidRDefault="00CA19AC" w:rsidP="00CA19AC">
      <w:pPr>
        <w:rPr>
          <w:rFonts w:cs="Arial"/>
          <w:shd w:val="clear" w:color="auto" w:fill="FFFFFF"/>
        </w:rPr>
      </w:pPr>
      <w:r w:rsidRPr="00F171A3">
        <w:t xml:space="preserve">În acest context, </w:t>
      </w:r>
      <w:r w:rsidRPr="00F171A3">
        <w:rPr>
          <w:rFonts w:cs="Arial"/>
          <w:shd w:val="clear" w:color="auto" w:fill="FFFFFF"/>
        </w:rPr>
        <w:t>Sectorul 2 al municipiului Bucureşti trebuie să beneficieze de un nou document strategic care să răspundă provocărilor actuale şi să stabilească principalele direcţii de acţiune pentru perioada 2021-2027, noua strategie reprezentând un document cadru de referinţă care stabileşte obiective clare pentru viitorul Sectorului 2 şi al cetăţenilor acestuia, fiind concepută pentru a răspunde nevoilor reprezentanţilor autorităţii locale şi comunităţii, cu scopul îmbunătăţirii calităţii vieţii cetăţenilor şi prosperității mediului economic local.</w:t>
      </w:r>
    </w:p>
    <w:p w14:paraId="752866E4" w14:textId="77777777" w:rsidR="00837917" w:rsidRPr="00F171A3" w:rsidRDefault="00837917" w:rsidP="00CA19AC"/>
    <w:p w14:paraId="67BC3B76" w14:textId="3D5BDB0F" w:rsidR="00BF32B1" w:rsidRPr="00F171A3" w:rsidRDefault="00D64CC5" w:rsidP="003F423E">
      <w:pPr>
        <w:pStyle w:val="Heading2"/>
        <w:rPr>
          <w:lang w:val="ro-RO"/>
        </w:rPr>
      </w:pPr>
      <w:bookmarkStart w:id="23" w:name="_Toc127199259"/>
      <w:r w:rsidRPr="00F171A3">
        <w:rPr>
          <w:caps w:val="0"/>
          <w:lang w:val="ro-RO"/>
        </w:rPr>
        <w:t>CONTEXT GLOBAL ȘI EUROPEAN</w:t>
      </w:r>
      <w:bookmarkEnd w:id="22"/>
      <w:bookmarkEnd w:id="23"/>
    </w:p>
    <w:p w14:paraId="77F7A477" w14:textId="7EEFC350" w:rsidR="00CA19AC" w:rsidRPr="00F171A3" w:rsidRDefault="00D64CC5" w:rsidP="00837917">
      <w:pPr>
        <w:pStyle w:val="Heading3"/>
        <w:rPr>
          <w:lang w:val="ro-RO" w:eastAsia="zh-CN"/>
        </w:rPr>
      </w:pPr>
      <w:bookmarkStart w:id="24" w:name="_Hlk77781235"/>
      <w:bookmarkStart w:id="25" w:name="_Toc127199260"/>
      <w:bookmarkStart w:id="26" w:name="_Toc79920494"/>
      <w:r w:rsidRPr="00F171A3">
        <w:rPr>
          <w:caps w:val="0"/>
          <w:lang w:val="ro-RO" w:eastAsia="zh-CN"/>
        </w:rPr>
        <w:t>CONCEPTUL DE DEZVOLTARE URBANĂ SUSTENABILĂ ÎN CONTEXT GLOBAL ȘI EUROPEAN</w:t>
      </w:r>
      <w:bookmarkEnd w:id="24"/>
      <w:bookmarkEnd w:id="25"/>
    </w:p>
    <w:p w14:paraId="6AAC167B" w14:textId="0F96B33B" w:rsidR="00CA19AC" w:rsidRPr="00F171A3" w:rsidRDefault="00CA19AC" w:rsidP="00CA19AC">
      <w:pPr>
        <w:rPr>
          <w:lang w:eastAsia="zh-CN"/>
        </w:rPr>
      </w:pPr>
      <w:r w:rsidRPr="00F171A3">
        <w:rPr>
          <w:lang w:eastAsia="zh-CN"/>
        </w:rPr>
        <w:t>La nivel global, politicile de dezvoltare urbană durabilă se încadrează într-un demers strategic mai larg al Națiunilor Unite, respectiv Obiectivele de dezvoltare durabilă ale Organizației Națiunilor Unite 2030 (UNSDG2030). Acestea au fost definite în cadrul Summit-ului privind dezvoltarea din septembrie 2015, în urma căruia a rezultat </w:t>
      </w:r>
      <w:bookmarkStart w:id="27" w:name="_Hlk68947784"/>
      <w:r w:rsidRPr="00F171A3">
        <w:rPr>
          <w:b/>
          <w:color w:val="134753" w:themeColor="text2"/>
          <w:lang w:eastAsia="zh-CN"/>
        </w:rPr>
        <w:t>Agenda 2030</w:t>
      </w:r>
      <w:r w:rsidRPr="00F171A3">
        <w:rPr>
          <w:color w:val="134753" w:themeColor="text2"/>
          <w:lang w:eastAsia="zh-CN"/>
        </w:rPr>
        <w:t xml:space="preserve"> </w:t>
      </w:r>
      <w:r w:rsidRPr="00F171A3">
        <w:rPr>
          <w:b/>
          <w:color w:val="134753" w:themeColor="text2"/>
          <w:lang w:eastAsia="zh-CN"/>
        </w:rPr>
        <w:t>pentru dezvoltare durabilă</w:t>
      </w:r>
      <w:bookmarkEnd w:id="27"/>
      <w:r w:rsidRPr="00F171A3">
        <w:rPr>
          <w:lang w:eastAsia="zh-CN"/>
        </w:rPr>
        <w:t xml:space="preserve">, un program de acțiune globală în domeniul dezvoltării cu un caracter universal și care promovează echilibrul între cele trei dimensiuni ale dezvoltării durabile – economic, social și de mediu. În cadrul acestui demers au fost identificate o serie de </w:t>
      </w:r>
      <w:bookmarkStart w:id="28" w:name="_Hlk68947792"/>
      <w:r w:rsidRPr="00F171A3">
        <w:rPr>
          <w:lang w:eastAsia="zh-CN"/>
        </w:rPr>
        <w:t xml:space="preserve">17 obiective de dezvoltare </w:t>
      </w:r>
      <w:bookmarkEnd w:id="28"/>
      <w:r w:rsidRPr="00F171A3">
        <w:rPr>
          <w:lang w:eastAsia="zh-CN"/>
        </w:rPr>
        <w:t xml:space="preserve">în toate domeniile esențiale ale societății umane. </w:t>
      </w:r>
    </w:p>
    <w:p w14:paraId="66E76DC8" w14:textId="77777777" w:rsidR="00CA19AC" w:rsidRPr="00F171A3" w:rsidRDefault="00CA19AC" w:rsidP="00CA19AC">
      <w:pPr>
        <w:rPr>
          <w:lang w:eastAsia="en-GB"/>
        </w:rPr>
      </w:pPr>
      <w:r w:rsidRPr="00F171A3">
        <w:rPr>
          <w:lang w:eastAsia="en-GB"/>
        </w:rPr>
        <w:t>Prin intermediul Obiectivelor Globale se stabilește o agendă de acțiune ambițioasă pentru orizontul de timp 2030 în vederea eradicării sărăciei extreme, combaterii inegalităților și a injustiției și protejării planetei. Așa cum era de așteptat, subiectele de mediu și cele privind reducerea disparităților prin îmbunătățirea infrastructurii și a accesului la servicii mai bune pentru toți cetățenii au primit un caracter strategic.</w:t>
      </w:r>
    </w:p>
    <w:p w14:paraId="576B9095" w14:textId="77777777" w:rsidR="00CA19AC" w:rsidRPr="00F171A3" w:rsidRDefault="00CA19AC" w:rsidP="00CA19AC">
      <w:pPr>
        <w:rPr>
          <w:lang w:eastAsia="zh-CN"/>
        </w:rPr>
      </w:pPr>
      <w:r w:rsidRPr="00F171A3">
        <w:rPr>
          <w:lang w:eastAsia="zh-CN"/>
        </w:rPr>
        <w:t>Obiectivul de dezvoltare durabilă care integrează în cea mai mare măsură intervențiile care vizează dezvoltarea urbană este Obiectivul de dezvoltare durabilă 11, care include obiective specifice precum:</w:t>
      </w:r>
    </w:p>
    <w:p w14:paraId="549698CB" w14:textId="77777777" w:rsidR="00CA19AC" w:rsidRPr="00F171A3" w:rsidRDefault="00CA19AC" w:rsidP="00CA19AC">
      <w:pPr>
        <w:pStyle w:val="Bullet"/>
        <w:rPr>
          <w:color w:val="134753" w:themeColor="text2"/>
        </w:rPr>
      </w:pPr>
      <w:r w:rsidRPr="00F171A3">
        <w:rPr>
          <w:color w:val="134753" w:themeColor="text2"/>
        </w:rPr>
        <w:t>11.2 – asigurarea accesului la sisteme de transport sigure, accesibile, accesibile și sustenabile pentru toți, îmbunătățind siguranța rutieră, în special prin extinderea transportului public, acordând o atenție deosebită nevoilor celor din situații vulnerabile, femeilor și copiilor, persoanele cu dizabilități și persoanele în etate, până în 2030;</w:t>
      </w:r>
    </w:p>
    <w:p w14:paraId="30707678" w14:textId="77777777" w:rsidR="00CA19AC" w:rsidRPr="00F171A3" w:rsidRDefault="00CA19AC" w:rsidP="00CA19AC">
      <w:pPr>
        <w:pStyle w:val="Bullet"/>
        <w:rPr>
          <w:color w:val="134753" w:themeColor="text2"/>
        </w:rPr>
      </w:pPr>
      <w:r w:rsidRPr="00F171A3">
        <w:rPr>
          <w:color w:val="134753" w:themeColor="text2"/>
        </w:rPr>
        <w:t>11.3 – consolidarea urbanizării incluzive și durabile și a capacității de planificare și gestionare a așezărilor umane pe baze participative, integrate și sustenabile în toate țările, până în 2030;</w:t>
      </w:r>
    </w:p>
    <w:p w14:paraId="657DA173" w14:textId="77777777" w:rsidR="00CA19AC" w:rsidRPr="00F171A3" w:rsidRDefault="00CA19AC" w:rsidP="00CA19AC">
      <w:pPr>
        <w:pStyle w:val="Bullet"/>
        <w:rPr>
          <w:color w:val="134753" w:themeColor="text2"/>
        </w:rPr>
      </w:pPr>
      <w:r w:rsidRPr="00F171A3">
        <w:rPr>
          <w:color w:val="134753" w:themeColor="text2"/>
        </w:rPr>
        <w:t>11.6 – reducerea impactului negativ asupra locuitorilor orașelor, inclusiv acordând o atenție deosebită calității aerului și gestionării municipale a deșeurilor;</w:t>
      </w:r>
    </w:p>
    <w:p w14:paraId="1FA79A09" w14:textId="77777777" w:rsidR="00CA19AC" w:rsidRPr="00F171A3" w:rsidRDefault="00CA19AC" w:rsidP="00CA19AC">
      <w:pPr>
        <w:pStyle w:val="Bullet"/>
        <w:rPr>
          <w:color w:val="134753" w:themeColor="text2"/>
        </w:rPr>
      </w:pPr>
      <w:r w:rsidRPr="00F171A3">
        <w:rPr>
          <w:color w:val="134753" w:themeColor="text2"/>
        </w:rPr>
        <w:t>11.A – susținerea legăturilor economice, sociale și de mediu pozitive între zonele urbane, peri-urbane și cele rurale prin consolidarea capacității de planificare a dezvoltării la nivel național și regional;</w:t>
      </w:r>
    </w:p>
    <w:p w14:paraId="7BCD1C44" w14:textId="77777777" w:rsidR="00CA19AC" w:rsidRPr="00F171A3" w:rsidRDefault="00CA19AC" w:rsidP="00CA19AC">
      <w:pPr>
        <w:pStyle w:val="Bullet"/>
      </w:pPr>
      <w:r w:rsidRPr="00F171A3">
        <w:rPr>
          <w:color w:val="134753" w:themeColor="text2"/>
        </w:rPr>
        <w:t>11.B – creșterea substanțială a numărului de orașe și așezări umane care adoptă și implementează politici și planuri integrate în vederea incluziunii, eficienței resurselor, atenuării și adaptării la schimbările climatice, reziliența la dezastre și dezvoltarea și punerea în aplicare, în conformitate cu Cadrul Sendai pentru Reducerea Riscului de Dezastre 2015-2030, a politicilor de gestionare holistică a riscului de dezastre la toate nivelurile.</w:t>
      </w:r>
    </w:p>
    <w:p w14:paraId="06C2441C" w14:textId="38F670A3" w:rsidR="00CA19AC" w:rsidRPr="00F171A3" w:rsidRDefault="00CA19AC" w:rsidP="00CA19AC">
      <w:pPr>
        <w:pStyle w:val="Caption"/>
      </w:pPr>
      <w:bookmarkStart w:id="29" w:name="_Toc67648802"/>
      <w:bookmarkStart w:id="30" w:name="_Toc67656303"/>
      <w:bookmarkStart w:id="31" w:name="_Toc81815087"/>
      <w:bookmarkStart w:id="32" w:name="_Toc127197995"/>
      <w:r w:rsidRPr="00F171A3">
        <w:t xml:space="preserve">Figura </w:t>
      </w:r>
      <w:r w:rsidRPr="00F171A3">
        <w:fldChar w:fldCharType="begin"/>
      </w:r>
      <w:r w:rsidRPr="00F171A3">
        <w:instrText xml:space="preserve"> SEQ Figura \* ARABIC </w:instrText>
      </w:r>
      <w:r w:rsidRPr="00F171A3">
        <w:fldChar w:fldCharType="separate"/>
      </w:r>
      <w:r w:rsidR="005A6DD8">
        <w:rPr>
          <w:noProof/>
        </w:rPr>
        <w:t>7</w:t>
      </w:r>
      <w:r w:rsidRPr="00F171A3">
        <w:fldChar w:fldCharType="end"/>
      </w:r>
      <w:r w:rsidRPr="00F171A3">
        <w:t xml:space="preserve"> Obectivele de dezvoltare durabilă</w:t>
      </w:r>
      <w:bookmarkEnd w:id="29"/>
      <w:bookmarkEnd w:id="30"/>
      <w:bookmarkEnd w:id="31"/>
      <w:bookmarkEnd w:id="32"/>
    </w:p>
    <w:p w14:paraId="65BB8CC2" w14:textId="77777777" w:rsidR="00CA19AC" w:rsidRPr="00F171A3" w:rsidRDefault="00CA19AC" w:rsidP="00CA19AC">
      <w:pPr>
        <w:rPr>
          <w:bCs/>
          <w:lang w:eastAsia="zh-CN"/>
        </w:rPr>
      </w:pPr>
      <w:r w:rsidRPr="00F171A3">
        <w:rPr>
          <w:noProof/>
        </w:rPr>
        <w:drawing>
          <wp:inline distT="0" distB="0" distL="0" distR="0" wp14:anchorId="73733C2C" wp14:editId="26D86876">
            <wp:extent cx="5998845" cy="2971800"/>
            <wp:effectExtent l="0" t="0" r="1905" b="0"/>
            <wp:docPr id="64" name="Picture 64" descr="Imagini pentru obiective de dezvoltare durab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741851" descr="Imagini pentru obiective de dezvoltare durabila"/>
                    <pic:cNvPicPr>
                      <a:picLocks noChangeAspect="1" noChangeArrowheads="1"/>
                    </pic:cNvPicPr>
                  </pic:nvPicPr>
                  <pic:blipFill>
                    <a:blip r:embed="rId32">
                      <a:extLst>
                        <a:ext uri="{28A0092B-C50C-407E-A947-70E740481C1C}">
                          <a14:useLocalDpi xmlns:a14="http://schemas.microsoft.com/office/drawing/2010/main" val="0"/>
                        </a:ext>
                      </a:extLst>
                    </a:blip>
                    <a:srcRect t="8295" b="15094"/>
                    <a:stretch>
                      <a:fillRect/>
                    </a:stretch>
                  </pic:blipFill>
                  <pic:spPr bwMode="auto">
                    <a:xfrm>
                      <a:off x="0" y="0"/>
                      <a:ext cx="5998845" cy="2971800"/>
                    </a:xfrm>
                    <a:prstGeom prst="rect">
                      <a:avLst/>
                    </a:prstGeom>
                    <a:noFill/>
                    <a:ln>
                      <a:noFill/>
                    </a:ln>
                  </pic:spPr>
                </pic:pic>
              </a:graphicData>
            </a:graphic>
          </wp:inline>
        </w:drawing>
      </w:r>
    </w:p>
    <w:p w14:paraId="6713DD38" w14:textId="77777777" w:rsidR="00CA19AC" w:rsidRPr="00F171A3" w:rsidRDefault="00CA19AC" w:rsidP="00216383">
      <w:pPr>
        <w:jc w:val="right"/>
        <w:rPr>
          <w:color w:val="BFBFBF" w:themeColor="background1" w:themeShade="BF"/>
          <w:lang w:eastAsia="zh-CN"/>
        </w:rPr>
      </w:pPr>
      <w:r w:rsidRPr="00F171A3">
        <w:rPr>
          <w:color w:val="BFBFBF" w:themeColor="background1" w:themeShade="BF"/>
          <w:lang w:eastAsia="zh-CN"/>
        </w:rPr>
        <w:t>Sursa: Guvernul României, 2018. Strategia națională pentru dezvoltarea durabilă a României 2030</w:t>
      </w:r>
    </w:p>
    <w:p w14:paraId="176D08F8" w14:textId="77777777" w:rsidR="00CA19AC" w:rsidRPr="00F171A3" w:rsidRDefault="00CA19AC" w:rsidP="00CA19AC">
      <w:r w:rsidRPr="00F171A3">
        <w:t xml:space="preserve">Obiectivele de Dezvoltare Durabilă au fost adoptate în cadrul Conferinței Habitat III a ONU sub denumirea de </w:t>
      </w:r>
      <w:r w:rsidRPr="00F171A3">
        <w:rPr>
          <w:b/>
          <w:color w:val="134753" w:themeColor="text2"/>
        </w:rPr>
        <w:t>Noua Agendă Urbană</w:t>
      </w:r>
      <w:r w:rsidRPr="00F171A3">
        <w:t>. Aceasta conține orientările necesare pentru ca orașele din toată lumea să fie mai favorabile incluziunii, mai ecologice, mai sigure și mai prospere. Noua Agendă Urbană</w:t>
      </w:r>
      <w:r w:rsidRPr="00F171A3" w:rsidDel="00831627">
        <w:t xml:space="preserve"> </w:t>
      </w:r>
      <w:r w:rsidRPr="00F171A3">
        <w:t xml:space="preserve">a UE a fost adoptată de Comisia Europeană prin intermediul a </w:t>
      </w:r>
      <w:r w:rsidRPr="00F171A3">
        <w:rPr>
          <w:bCs/>
        </w:rPr>
        <w:t>trei angajamente</w:t>
      </w:r>
      <w:r w:rsidRPr="00F171A3">
        <w:t>:</w:t>
      </w:r>
    </w:p>
    <w:p w14:paraId="4CFDD5C1" w14:textId="71BCA5D3" w:rsidR="00CA19AC" w:rsidRPr="00F171A3" w:rsidRDefault="00CA19AC">
      <w:pPr>
        <w:pStyle w:val="ListParagraph"/>
        <w:numPr>
          <w:ilvl w:val="0"/>
          <w:numId w:val="10"/>
        </w:numPr>
        <w:rPr>
          <w:color w:val="134753" w:themeColor="text2"/>
        </w:rPr>
      </w:pPr>
      <w:r w:rsidRPr="00F171A3">
        <w:rPr>
          <w:b/>
          <w:color w:val="134753" w:themeColor="text2"/>
        </w:rPr>
        <w:t>Punerea în aplicare a Noii Agende Urbane prin intermediul Agendei Urbane a UE</w:t>
      </w:r>
      <w:r w:rsidRPr="00F171A3">
        <w:rPr>
          <w:color w:val="134753" w:themeColor="text2"/>
        </w:rPr>
        <w:t xml:space="preserve"> – Agenda Urbană a UE a fost concepută astfel încât orașele să aibă un cuvânt de spus în procesul de elaborare a politicilor. Cu cele 14 teme prioritare, guvernanță pe mai multe niveluri și accentul pus asupra învățării reciproce, Agenda Urbană a UE contribuie la punerea în aplicare a Noii Agende Urbane în Uniunea Europeană. Agenda Urbană a UE a fost lansată în mai 2016 prin Pactul de la Amsterdam și promovează cooperarea dintre statele membre, orașe, Comisia Europeană și alți actori interesați pentru a stimula creșterea, calitatea locuirii și inovarea în orașele Europei și îmbunătățirea calității vieții în zonele urbane</w:t>
      </w:r>
      <w:r w:rsidR="007D0D63" w:rsidRPr="00F171A3">
        <w:rPr>
          <w:color w:val="134753" w:themeColor="text2"/>
        </w:rPr>
        <w:t>;</w:t>
      </w:r>
    </w:p>
    <w:p w14:paraId="40FE3625" w14:textId="44FF962D" w:rsidR="00CA19AC" w:rsidRPr="00F171A3" w:rsidRDefault="00CA19AC">
      <w:pPr>
        <w:pStyle w:val="ListParagraph"/>
        <w:numPr>
          <w:ilvl w:val="0"/>
          <w:numId w:val="10"/>
        </w:numPr>
        <w:rPr>
          <w:color w:val="134753" w:themeColor="text2"/>
        </w:rPr>
      </w:pPr>
      <w:r w:rsidRPr="00F171A3">
        <w:rPr>
          <w:b/>
          <w:color w:val="134753" w:themeColor="text2"/>
        </w:rPr>
        <w:t xml:space="preserve">Planurile de acțiune pentru cele 14 teme prioritare au fost elaborate și inspiră politicile și programele perioadei de programare 2021-2027 </w:t>
      </w:r>
      <w:r w:rsidRPr="00F171A3">
        <w:rPr>
          <w:color w:val="134753" w:themeColor="text2"/>
        </w:rPr>
        <w:t xml:space="preserve"> – Acestea includ recomandări în materie de politici, bune practici și proiecte/ acțiuni ce pot fi implementate în parteneriate și aplicate pe scară mai largă în UE. Planurile de acțiune vizează, printre altele, îmbunătățirea reglementărilor, a mecanismelor de finanțare și a cunoștințelor în domeniile vizate, dar și politicile publice, guvernanța și practicile locale</w:t>
      </w:r>
      <w:r w:rsidR="007D0D63" w:rsidRPr="00F171A3">
        <w:rPr>
          <w:color w:val="134753" w:themeColor="text2"/>
        </w:rPr>
        <w:t>;</w:t>
      </w:r>
    </w:p>
    <w:p w14:paraId="736FFE1C" w14:textId="77777777" w:rsidR="00CA19AC" w:rsidRPr="00F171A3" w:rsidRDefault="00CA19AC">
      <w:pPr>
        <w:pStyle w:val="ListParagraph"/>
        <w:numPr>
          <w:ilvl w:val="0"/>
          <w:numId w:val="10"/>
        </w:numPr>
        <w:rPr>
          <w:color w:val="134753" w:themeColor="text2"/>
          <w:lang w:eastAsia="zh-CN"/>
        </w:rPr>
      </w:pPr>
      <w:r w:rsidRPr="00F171A3">
        <w:rPr>
          <w:b/>
          <w:color w:val="134753" w:themeColor="text2"/>
        </w:rPr>
        <w:t>Elaborarea unei definiții armonizate la nivel mondial a noțiunii de oraș</w:t>
      </w:r>
      <w:r w:rsidRPr="00F171A3">
        <w:rPr>
          <w:color w:val="134753" w:themeColor="text2"/>
        </w:rPr>
        <w:t xml:space="preserve"> – Crearea cadrului pentru ca orașele din toată lumea să poată compara date, stabili criterii de referință și asigura o mai bună monitorizare a dezvoltării urbane. </w:t>
      </w:r>
    </w:p>
    <w:p w14:paraId="214BB911" w14:textId="77777777" w:rsidR="007D0D63" w:rsidRPr="00F171A3" w:rsidRDefault="007D0D63" w:rsidP="00CA19AC">
      <w:pPr>
        <w:rPr>
          <w:b/>
          <w:color w:val="134753" w:themeColor="text2"/>
          <w:lang w:eastAsia="zh-CN"/>
        </w:rPr>
      </w:pPr>
    </w:p>
    <w:p w14:paraId="2A745BC1" w14:textId="18737B3E" w:rsidR="00CA19AC" w:rsidRPr="00F171A3" w:rsidRDefault="00CA19AC" w:rsidP="00CA19AC">
      <w:pPr>
        <w:rPr>
          <w:lang w:eastAsia="zh-CN"/>
        </w:rPr>
      </w:pPr>
      <w:r w:rsidRPr="00F171A3">
        <w:rPr>
          <w:b/>
          <w:color w:val="134753" w:themeColor="text2"/>
          <w:lang w:eastAsia="zh-CN"/>
        </w:rPr>
        <w:t>Declarația Ministerială de la Geneva pe Locuire și Dezvoltare Urbană Durabilă</w:t>
      </w:r>
      <w:r w:rsidRPr="00F171A3">
        <w:rPr>
          <w:lang w:eastAsia="zh-CN"/>
        </w:rPr>
        <w:t xml:space="preserve"> susține prioritățile Agendei Urbane – Habitat III și Agendei 2030 pentru Dezvoltare Durabilă și evidențiază provocări precum: accesibilitatea locuințelor (din punct de vedere financiar), combaterea schimbărilor climatice, întărirea legăturilor urban rural și planificarea orientată către cetățean. </w:t>
      </w:r>
      <w:bookmarkStart w:id="33" w:name="_Hlk78210666"/>
      <w:r w:rsidRPr="00F171A3">
        <w:rPr>
          <w:lang w:eastAsia="zh-CN"/>
        </w:rPr>
        <w:t>Pentru a răspunde acestor provocări, Declarația de la Geneva promovează:</w:t>
      </w:r>
    </w:p>
    <w:bookmarkEnd w:id="33"/>
    <w:p w14:paraId="4CF0BE06" w14:textId="77777777" w:rsidR="00CA19AC" w:rsidRPr="00F171A3" w:rsidRDefault="00CA19AC" w:rsidP="00CA19AC">
      <w:pPr>
        <w:pStyle w:val="Bullet"/>
        <w:rPr>
          <w:color w:val="134753" w:themeColor="text2"/>
        </w:rPr>
      </w:pPr>
      <w:r w:rsidRPr="00F171A3">
        <w:rPr>
          <w:color w:val="134753" w:themeColor="text2"/>
        </w:rPr>
        <w:t>Locuirea accesibilă;</w:t>
      </w:r>
    </w:p>
    <w:p w14:paraId="4AB6CDE3" w14:textId="77777777" w:rsidR="00CA19AC" w:rsidRPr="00F171A3" w:rsidRDefault="00CA19AC" w:rsidP="00CA19AC">
      <w:pPr>
        <w:pStyle w:val="Bullet"/>
        <w:rPr>
          <w:color w:val="134753" w:themeColor="text2"/>
        </w:rPr>
      </w:pPr>
      <w:r w:rsidRPr="00F171A3">
        <w:rPr>
          <w:color w:val="134753" w:themeColor="text2"/>
        </w:rPr>
        <w:t>Inovarea, incluziunea și ameliorarea perspectivelor de viitor pentru tineri;</w:t>
      </w:r>
    </w:p>
    <w:p w14:paraId="620551E8" w14:textId="77777777" w:rsidR="00CA19AC" w:rsidRPr="00F171A3" w:rsidRDefault="00CA19AC" w:rsidP="00CA19AC">
      <w:pPr>
        <w:pStyle w:val="Bullet"/>
        <w:rPr>
          <w:color w:val="134753" w:themeColor="text2"/>
        </w:rPr>
      </w:pPr>
      <w:r w:rsidRPr="00F171A3">
        <w:rPr>
          <w:color w:val="134753" w:themeColor="text2"/>
        </w:rPr>
        <w:t>Ameliorarea și eficientizare serviciilor publice pentru a susține dezvoltarea durabilă și echilibru de gen;</w:t>
      </w:r>
    </w:p>
    <w:p w14:paraId="01242653" w14:textId="77777777" w:rsidR="00CA19AC" w:rsidRPr="00F171A3" w:rsidRDefault="00CA19AC" w:rsidP="00CA19AC">
      <w:pPr>
        <w:pStyle w:val="Bullet"/>
        <w:rPr>
          <w:color w:val="134753" w:themeColor="text2"/>
        </w:rPr>
      </w:pPr>
      <w:r w:rsidRPr="00F171A3">
        <w:rPr>
          <w:color w:val="134753" w:themeColor="text2"/>
        </w:rPr>
        <w:t>Locuire incluzivă care ține cont de persoane cu dizabilități și vârstnici;</w:t>
      </w:r>
    </w:p>
    <w:p w14:paraId="62DEE6FD" w14:textId="77777777" w:rsidR="00CA19AC" w:rsidRPr="00F171A3" w:rsidRDefault="00CA19AC" w:rsidP="00CA19AC">
      <w:pPr>
        <w:pStyle w:val="Bullet"/>
        <w:rPr>
          <w:color w:val="134753" w:themeColor="text2"/>
        </w:rPr>
      </w:pPr>
      <w:r w:rsidRPr="00F171A3">
        <w:rPr>
          <w:color w:val="134753" w:themeColor="text2"/>
        </w:rPr>
        <w:t>Integrarea provocărilor de mobilitate și sănătate publică în procesul de planificare;</w:t>
      </w:r>
    </w:p>
    <w:p w14:paraId="1C505187" w14:textId="77777777" w:rsidR="00CA19AC" w:rsidRPr="00F171A3" w:rsidRDefault="00CA19AC" w:rsidP="00CA19AC">
      <w:pPr>
        <w:pStyle w:val="Bullet"/>
        <w:rPr>
          <w:color w:val="134753" w:themeColor="text2"/>
        </w:rPr>
      </w:pPr>
      <w:r w:rsidRPr="00F171A3">
        <w:rPr>
          <w:color w:val="134753" w:themeColor="text2"/>
        </w:rPr>
        <w:t>Orașe verzi, compacte și reziliente;</w:t>
      </w:r>
    </w:p>
    <w:p w14:paraId="50547046" w14:textId="77777777" w:rsidR="00CA19AC" w:rsidRPr="00F171A3" w:rsidRDefault="00CA19AC" w:rsidP="00CA19AC">
      <w:pPr>
        <w:pStyle w:val="Bullet"/>
        <w:rPr>
          <w:color w:val="134753" w:themeColor="text2"/>
        </w:rPr>
      </w:pPr>
      <w:r w:rsidRPr="00F171A3">
        <w:rPr>
          <w:color w:val="134753" w:themeColor="text2"/>
        </w:rPr>
        <w:t>Revitalizarea fondului construit, eficientizare termică și transferul către surse regenerabile de energie;</w:t>
      </w:r>
    </w:p>
    <w:p w14:paraId="52640B2A" w14:textId="77777777" w:rsidR="00CA19AC" w:rsidRPr="00F171A3" w:rsidRDefault="00CA19AC" w:rsidP="00CA19AC">
      <w:pPr>
        <w:pStyle w:val="Bullet"/>
        <w:rPr>
          <w:color w:val="134753" w:themeColor="text2"/>
        </w:rPr>
      </w:pPr>
      <w:r w:rsidRPr="00F171A3">
        <w:rPr>
          <w:color w:val="134753" w:themeColor="text2"/>
        </w:rPr>
        <w:t>Integrarea soluțiilor TIC în gestiunea orașelor ținând cont de confidențialitate și securitate;</w:t>
      </w:r>
    </w:p>
    <w:p w14:paraId="630D2D03" w14:textId="77777777" w:rsidR="00CA19AC" w:rsidRPr="00F171A3" w:rsidRDefault="00CA19AC" w:rsidP="00CA19AC">
      <w:pPr>
        <w:pStyle w:val="Bullet"/>
        <w:rPr>
          <w:color w:val="134753" w:themeColor="text2"/>
        </w:rPr>
      </w:pPr>
      <w:r w:rsidRPr="00F171A3">
        <w:rPr>
          <w:color w:val="134753" w:themeColor="text2"/>
        </w:rPr>
        <w:t>Întărirea guvernanței, mai ales la nivel de comunitate (asociații de proprietari etc.).</w:t>
      </w:r>
    </w:p>
    <w:p w14:paraId="1F6FA0AB" w14:textId="77777777" w:rsidR="007D0D63" w:rsidRPr="00F171A3" w:rsidRDefault="007D0D63" w:rsidP="00CA19AC">
      <w:pPr>
        <w:rPr>
          <w:b/>
          <w:bCs/>
          <w:color w:val="134753" w:themeColor="text2"/>
          <w:lang w:eastAsia="zh-CN"/>
        </w:rPr>
      </w:pPr>
    </w:p>
    <w:p w14:paraId="0B84B55E" w14:textId="1C3103E8" w:rsidR="00CA19AC" w:rsidRPr="00F171A3" w:rsidRDefault="00CA19AC" w:rsidP="00CA19AC">
      <w:pPr>
        <w:rPr>
          <w:lang w:eastAsia="zh-CN"/>
        </w:rPr>
      </w:pPr>
      <w:r w:rsidRPr="00F171A3">
        <w:rPr>
          <w:b/>
          <w:bCs/>
          <w:color w:val="134753" w:themeColor="text2"/>
          <w:lang w:eastAsia="zh-CN"/>
        </w:rPr>
        <w:t>Agenda Teritorială a UE</w:t>
      </w:r>
      <w:r w:rsidRPr="00F171A3">
        <w:rPr>
          <w:color w:val="134753" w:themeColor="text2"/>
          <w:lang w:eastAsia="zh-CN"/>
        </w:rPr>
        <w:t xml:space="preserve"> </w:t>
      </w:r>
      <w:r w:rsidRPr="00F171A3">
        <w:rPr>
          <w:lang w:eastAsia="zh-CN"/>
        </w:rPr>
        <w:t>este un document strategic de planificare spațială la nivel european, lansat în anul 2007 și actualizat în 2011, respectiv în anul 2020. Ultima versiune a Agendei teritoriale vizează orizontul de timp 2030 și pornește de la o suită de provocări cu care teritoriul european se confruntă, respectiv:</w:t>
      </w:r>
    </w:p>
    <w:p w14:paraId="7D2E927D" w14:textId="77777777" w:rsidR="00CA19AC" w:rsidRPr="00F171A3" w:rsidRDefault="00CA19AC">
      <w:pPr>
        <w:pStyle w:val="Bullet"/>
        <w:numPr>
          <w:ilvl w:val="0"/>
          <w:numId w:val="11"/>
        </w:numPr>
        <w:rPr>
          <w:color w:val="134753" w:themeColor="text2"/>
        </w:rPr>
      </w:pPr>
      <w:r w:rsidRPr="00F171A3">
        <w:rPr>
          <w:color w:val="134753" w:themeColor="text2"/>
        </w:rPr>
        <w:t xml:space="preserve">Disparitățile sociale și teritoriale sunt în creștere, evidențiindu-se creșterea dezechilibrelor și inegalităților în domenii precum: calitatea vieții, serviciile de interes general, dezvoltare socio-demografică, digitalizare și a 4-a revoluție industrială, forța de muncă și dezvoltare economică, interdependențe între locuri sau interconectarea la nivel global. </w:t>
      </w:r>
    </w:p>
    <w:p w14:paraId="7EB6C037" w14:textId="77777777" w:rsidR="00CA19AC" w:rsidRPr="00F171A3" w:rsidRDefault="00CA19AC">
      <w:pPr>
        <w:pStyle w:val="Bullet"/>
        <w:numPr>
          <w:ilvl w:val="0"/>
          <w:numId w:val="11"/>
        </w:numPr>
        <w:rPr>
          <w:color w:val="134753" w:themeColor="text2"/>
        </w:rPr>
      </w:pPr>
      <w:r w:rsidRPr="00F171A3">
        <w:rPr>
          <w:color w:val="134753" w:themeColor="text2"/>
        </w:rPr>
        <w:t xml:space="preserve">Presiunea în continuă creștere în ceea ce privește dezvoltarea sustenabilă și schimbările climatice, pierderi ale biodiversității, utilizarea/ consumul terenului, calitatea apei, solului și aerului, energie sigură, accesibilă și sustenabilă, tranziție justă, lanțuri valorice circulare sau patrimoniu natural, cultural și peisaj. </w:t>
      </w:r>
    </w:p>
    <w:p w14:paraId="43F8F318" w14:textId="77777777" w:rsidR="00CA19AC" w:rsidRPr="00F171A3" w:rsidRDefault="00CA19AC" w:rsidP="00CA19AC">
      <w:r w:rsidRPr="00F171A3">
        <w:t>Pentru a combate provocările enumerate mai sus, Agenda Teritorială 2030 stabilește două obiective generale, însoțite de o serie de priorități, după cum urmează:</w:t>
      </w:r>
    </w:p>
    <w:p w14:paraId="4092B5F6" w14:textId="274EE0A6" w:rsidR="00CA19AC" w:rsidRPr="00F171A3" w:rsidRDefault="00CA19AC">
      <w:pPr>
        <w:pStyle w:val="Bullet"/>
        <w:numPr>
          <w:ilvl w:val="0"/>
          <w:numId w:val="9"/>
        </w:numPr>
        <w:rPr>
          <w:color w:val="134753" w:themeColor="text2"/>
        </w:rPr>
      </w:pPr>
      <w:r w:rsidRPr="00F171A3">
        <w:rPr>
          <w:color w:val="134753" w:themeColor="text2"/>
        </w:rPr>
        <w:t>O Europă Justă, care oferă perspective de viitor pentru toate locurile și persoanele</w:t>
      </w:r>
      <w:r w:rsidR="007D0D63" w:rsidRPr="00F171A3">
        <w:rPr>
          <w:color w:val="134753" w:themeColor="text2"/>
        </w:rPr>
        <w:t>:</w:t>
      </w:r>
    </w:p>
    <w:p w14:paraId="575B7AD4" w14:textId="77777777" w:rsidR="00CA19AC" w:rsidRPr="00F171A3" w:rsidRDefault="00CA19AC">
      <w:pPr>
        <w:pStyle w:val="Bullet"/>
        <w:numPr>
          <w:ilvl w:val="1"/>
          <w:numId w:val="63"/>
        </w:numPr>
        <w:rPr>
          <w:color w:val="134753" w:themeColor="text2"/>
        </w:rPr>
      </w:pPr>
      <w:r w:rsidRPr="00F171A3">
        <w:rPr>
          <w:color w:val="134753" w:themeColor="text2"/>
        </w:rPr>
        <w:t>O Europă echilibrată – Dezvoltare teritorială mai bine echilibrată folosind diversitatea Europei;</w:t>
      </w:r>
    </w:p>
    <w:p w14:paraId="6B83F666" w14:textId="77777777" w:rsidR="00CA19AC" w:rsidRPr="00F171A3" w:rsidRDefault="00CA19AC">
      <w:pPr>
        <w:pStyle w:val="Bullet"/>
        <w:numPr>
          <w:ilvl w:val="1"/>
          <w:numId w:val="63"/>
        </w:numPr>
        <w:rPr>
          <w:color w:val="134753" w:themeColor="text2"/>
        </w:rPr>
      </w:pPr>
      <w:r w:rsidRPr="00F171A3">
        <w:rPr>
          <w:color w:val="134753" w:themeColor="text2"/>
        </w:rPr>
        <w:t>Regiuni funcționale – Dezvoltare locală și regională convergentă, mai puțină inegalitate între locuri;</w:t>
      </w:r>
    </w:p>
    <w:p w14:paraId="409089A9" w14:textId="3F399FC8" w:rsidR="00CA19AC" w:rsidRPr="00F171A3" w:rsidRDefault="00CA19AC">
      <w:pPr>
        <w:pStyle w:val="Bullet"/>
        <w:numPr>
          <w:ilvl w:val="1"/>
          <w:numId w:val="63"/>
        </w:numPr>
        <w:rPr>
          <w:color w:val="134753" w:themeColor="text2"/>
        </w:rPr>
      </w:pPr>
      <w:r w:rsidRPr="00F171A3">
        <w:rPr>
          <w:color w:val="134753" w:themeColor="text2"/>
        </w:rPr>
        <w:t>Integrare dincolo de granițe – Traiul și muncă mai facile peste granițele naționale</w:t>
      </w:r>
      <w:r w:rsidR="007D0D63" w:rsidRPr="00F171A3">
        <w:rPr>
          <w:color w:val="134753" w:themeColor="text2"/>
        </w:rPr>
        <w:t>;</w:t>
      </w:r>
    </w:p>
    <w:p w14:paraId="03FDF3BC" w14:textId="180D1880" w:rsidR="00CA19AC" w:rsidRPr="00F171A3" w:rsidRDefault="00CA19AC">
      <w:pPr>
        <w:pStyle w:val="Bullet"/>
        <w:numPr>
          <w:ilvl w:val="0"/>
          <w:numId w:val="9"/>
        </w:numPr>
        <w:rPr>
          <w:color w:val="134753" w:themeColor="text2"/>
        </w:rPr>
      </w:pPr>
      <w:r w:rsidRPr="00F171A3">
        <w:rPr>
          <w:color w:val="134753" w:themeColor="text2"/>
        </w:rPr>
        <w:t>O Europă Verde, care protejează mijloacele de trai comune și modelează tranziția societală</w:t>
      </w:r>
      <w:r w:rsidR="007D0D63" w:rsidRPr="00F171A3">
        <w:rPr>
          <w:color w:val="134753" w:themeColor="text2"/>
        </w:rPr>
        <w:t>:</w:t>
      </w:r>
    </w:p>
    <w:p w14:paraId="407C36E2" w14:textId="77777777" w:rsidR="00CA19AC" w:rsidRPr="00F171A3" w:rsidRDefault="00CA19AC">
      <w:pPr>
        <w:pStyle w:val="Bullet"/>
        <w:numPr>
          <w:ilvl w:val="1"/>
          <w:numId w:val="64"/>
        </w:numPr>
        <w:rPr>
          <w:color w:val="134753" w:themeColor="text2"/>
        </w:rPr>
      </w:pPr>
      <w:r w:rsidRPr="00F171A3">
        <w:rPr>
          <w:color w:val="134753" w:themeColor="text2"/>
        </w:rPr>
        <w:t>Mediu sănătos – Mijloace de trai ecologice mai bune, orașe și regiuni reziliente și neutre din punct de vedere climatic;</w:t>
      </w:r>
    </w:p>
    <w:p w14:paraId="78524FCB" w14:textId="77777777" w:rsidR="00CA19AC" w:rsidRPr="00F171A3" w:rsidRDefault="00CA19AC">
      <w:pPr>
        <w:pStyle w:val="Bullet"/>
        <w:numPr>
          <w:ilvl w:val="1"/>
          <w:numId w:val="64"/>
        </w:numPr>
        <w:rPr>
          <w:color w:val="134753" w:themeColor="text2"/>
        </w:rPr>
      </w:pPr>
      <w:r w:rsidRPr="00F171A3">
        <w:rPr>
          <w:color w:val="134753" w:themeColor="text2"/>
        </w:rPr>
        <w:t>Economie circulară – Economii locale puternice și sustenabile într-o lume globalizată;</w:t>
      </w:r>
    </w:p>
    <w:p w14:paraId="08CC1AD5" w14:textId="497191F5" w:rsidR="00CA19AC" w:rsidRPr="00F171A3" w:rsidRDefault="00CA19AC">
      <w:pPr>
        <w:pStyle w:val="Bullet"/>
        <w:numPr>
          <w:ilvl w:val="1"/>
          <w:numId w:val="64"/>
        </w:numPr>
        <w:rPr>
          <w:color w:val="134753" w:themeColor="text2"/>
        </w:rPr>
      </w:pPr>
      <w:r w:rsidRPr="00F171A3">
        <w:rPr>
          <w:color w:val="134753" w:themeColor="text2"/>
        </w:rPr>
        <w:t xml:space="preserve">Conexiuni sustenabile – Conectivitate sustenabilă fizică și digitală a locurilor. </w:t>
      </w:r>
    </w:p>
    <w:p w14:paraId="24F94B55" w14:textId="77777777" w:rsidR="007D0D63" w:rsidRPr="00F171A3" w:rsidRDefault="007D0D63" w:rsidP="007D0D63">
      <w:pPr>
        <w:pStyle w:val="Bullet"/>
        <w:numPr>
          <w:ilvl w:val="0"/>
          <w:numId w:val="0"/>
        </w:numPr>
        <w:rPr>
          <w:color w:val="134753" w:themeColor="text2"/>
        </w:rPr>
      </w:pPr>
    </w:p>
    <w:p w14:paraId="161E80AF" w14:textId="70FB7244" w:rsidR="00CA19AC" w:rsidRPr="00F171A3" w:rsidRDefault="00D64CC5" w:rsidP="00837917">
      <w:pPr>
        <w:pStyle w:val="Heading3"/>
        <w:rPr>
          <w:lang w:val="ro-RO" w:eastAsia="zh-CN"/>
        </w:rPr>
      </w:pPr>
      <w:bookmarkStart w:id="34" w:name="_Toc127199261"/>
      <w:r w:rsidRPr="00F171A3">
        <w:rPr>
          <w:caps w:val="0"/>
          <w:lang w:val="ro-RO" w:eastAsia="zh-CN"/>
        </w:rPr>
        <w:t>CONTEXTUL EUROPEAN PRIVIND PERIOADA DE PROGRAMARE 2021-2027</w:t>
      </w:r>
      <w:bookmarkEnd w:id="34"/>
    </w:p>
    <w:p w14:paraId="2B3B7332" w14:textId="77777777" w:rsidR="00CA19AC" w:rsidRPr="00F171A3" w:rsidRDefault="00CA19AC" w:rsidP="00CA19AC">
      <w:pPr>
        <w:pStyle w:val="Normal0"/>
        <w:rPr>
          <w:szCs w:val="28"/>
          <w:lang w:eastAsia="ro-RO"/>
        </w:rPr>
      </w:pPr>
      <w:r w:rsidRPr="00F171A3">
        <w:rPr>
          <w:b/>
          <w:color w:val="134753" w:themeColor="text2"/>
          <w:szCs w:val="28"/>
          <w:lang w:eastAsia="ro-RO"/>
        </w:rPr>
        <w:t>Pactul Verde European (European Green Deal)</w:t>
      </w:r>
      <w:r w:rsidRPr="00F171A3">
        <w:rPr>
          <w:szCs w:val="28"/>
          <w:lang w:eastAsia="ro-RO"/>
        </w:rPr>
        <w:t xml:space="preserve"> reprezintă strategia post-2020 a Uniunii Europene și este parte din demersurile Comisiei Europene de a implementa Agenda 2030 a Națiunilor Unite. Prin Pactul Verde European, UE a stabilit o agendă ambițioasă pentru a atinge neutralitatea din punct de vedere climatic până în 2050, sprijinind tranziția către o economie verde și circulară competitivă, decuplată de utilizarea resurselor neregenerabile. Pactul Verde European include un set de măsuri legislative, acțiuni și mecanisme de finanțare care acoperă domeniile: energie durabilă, economie circulară, transport curat, natură și biodiversitate, alimentație și agricultură, finanțe ecologice și industrie. Pactul este susținut de un plan de acțiune concret și de un angajament privind transformarea obiectivelor în obligații din punct de vedere juridic, prin Legea europeană privind clima. După cum se precizează în foaia de parcurs privind Pactul Verde European, se urmărește elaborarea de „politici profund transformative” și integrarea sustenabilității și acțiunilor climatice în toate politicile și programele UE.</w:t>
      </w:r>
    </w:p>
    <w:p w14:paraId="22BF12CB" w14:textId="77777777" w:rsidR="00CA19AC" w:rsidRPr="00F171A3" w:rsidRDefault="00CA19AC" w:rsidP="00CA19AC">
      <w:pPr>
        <w:pStyle w:val="Normal0"/>
        <w:rPr>
          <w:szCs w:val="28"/>
          <w:lang w:eastAsia="ro-RO"/>
        </w:rPr>
      </w:pPr>
      <w:r w:rsidRPr="00F171A3">
        <w:rPr>
          <w:szCs w:val="28"/>
          <w:lang w:eastAsia="ro-RO"/>
        </w:rPr>
        <w:t>Printre principalele provocări ale următoarei decade, transpuse în seturi de măsuri de politică în cadrul Pactului Verde European, se regăsesc o serie de elemente direct relevante pentru prezenta strategie:</w:t>
      </w:r>
    </w:p>
    <w:p w14:paraId="1740B01E" w14:textId="6B81566D" w:rsidR="00CA19AC" w:rsidRPr="00F171A3" w:rsidRDefault="00CA19AC">
      <w:pPr>
        <w:pStyle w:val="Normal0"/>
        <w:numPr>
          <w:ilvl w:val="0"/>
          <w:numId w:val="12"/>
        </w:numPr>
        <w:rPr>
          <w:color w:val="134753" w:themeColor="text2"/>
          <w:szCs w:val="28"/>
          <w:lang w:eastAsia="ro-RO"/>
        </w:rPr>
      </w:pPr>
      <w:r w:rsidRPr="00F171A3">
        <w:rPr>
          <w:rStyle w:val="FocusChar"/>
          <w:lang w:val="ro-RO"/>
        </w:rPr>
        <w:t>Energie curată |</w:t>
      </w:r>
      <w:r w:rsidRPr="00F171A3">
        <w:rPr>
          <w:color w:val="134753" w:themeColor="text2"/>
          <w:szCs w:val="28"/>
          <w:lang w:eastAsia="ro-RO"/>
        </w:rPr>
        <w:t xml:space="preserve"> Eliminarea utilizării cărbunelui ca sursă de energie reprezintă un pas crucial în atingerea obiectivelor climatice în 2030 și 2050. Astfel, eficiența energetică devine o prioritate la nivel comunitar, însă bazată pe surse regenerabile, concomitent cu reducerea contribuției cărbunelui și gazului natural. Pentru asigurarea unei alimentări cu energie sigură și la un preț acceptabil pentru toate tipurile de consumatori, piața europeană trebuie să devină mai integrată, interconectată și digitalizată</w:t>
      </w:r>
      <w:r w:rsidR="007D0D63" w:rsidRPr="00F171A3">
        <w:rPr>
          <w:color w:val="134753" w:themeColor="text2"/>
          <w:szCs w:val="28"/>
          <w:lang w:eastAsia="ro-RO"/>
        </w:rPr>
        <w:t>;</w:t>
      </w:r>
    </w:p>
    <w:p w14:paraId="27B1357C" w14:textId="3886AA2B" w:rsidR="00CA19AC" w:rsidRPr="00F171A3" w:rsidRDefault="00CA19AC">
      <w:pPr>
        <w:pStyle w:val="Normal0"/>
        <w:numPr>
          <w:ilvl w:val="0"/>
          <w:numId w:val="12"/>
        </w:numPr>
        <w:rPr>
          <w:color w:val="134753" w:themeColor="text2"/>
          <w:szCs w:val="28"/>
          <w:lang w:eastAsia="ro-RO"/>
        </w:rPr>
      </w:pPr>
      <w:r w:rsidRPr="00F171A3">
        <w:rPr>
          <w:rStyle w:val="FocusChar"/>
          <w:lang w:val="ro-RO"/>
        </w:rPr>
        <w:t>Industrie durabilă |</w:t>
      </w:r>
      <w:r w:rsidRPr="00F171A3">
        <w:rPr>
          <w:color w:val="134753" w:themeColor="text2"/>
          <w:szCs w:val="28"/>
          <w:lang w:eastAsia="ro-RO"/>
        </w:rPr>
        <w:t xml:space="preserve"> Economia circulară joacă un rol central în transformarea industrială la nivel european, viitorul fiind construit în jurul modernizării și creșterii eficienței, în special în industriile mari consumatoare de energie</w:t>
      </w:r>
      <w:r w:rsidR="007D0D63" w:rsidRPr="00F171A3">
        <w:rPr>
          <w:color w:val="134753" w:themeColor="text2"/>
          <w:szCs w:val="28"/>
          <w:lang w:eastAsia="ro-RO"/>
        </w:rPr>
        <w:t>;</w:t>
      </w:r>
    </w:p>
    <w:p w14:paraId="545D8D91" w14:textId="3E595215" w:rsidR="00CA19AC" w:rsidRPr="00F171A3" w:rsidRDefault="00CA19AC">
      <w:pPr>
        <w:pStyle w:val="Normal0"/>
        <w:numPr>
          <w:ilvl w:val="0"/>
          <w:numId w:val="12"/>
        </w:numPr>
        <w:rPr>
          <w:color w:val="134753" w:themeColor="text2"/>
          <w:szCs w:val="28"/>
          <w:lang w:eastAsia="ro-RO"/>
        </w:rPr>
      </w:pPr>
      <w:r w:rsidRPr="00F171A3">
        <w:rPr>
          <w:rStyle w:val="FocusChar"/>
          <w:lang w:val="ro-RO"/>
        </w:rPr>
        <w:t>Construirea și renovarea |</w:t>
      </w:r>
      <w:r w:rsidRPr="00F171A3">
        <w:rPr>
          <w:color w:val="134753" w:themeColor="text2"/>
          <w:szCs w:val="28"/>
          <w:lang w:eastAsia="ro-RO"/>
        </w:rPr>
        <w:t xml:space="preserve"> Creșterea eficienței energetice a clădirilor reprezintă o oportunitate atât prin prisma reducerii consumului de energie, cât și prin cea a susținerii economiilor locale, antrenând sectorul imobiliar sustenabil. Comisia Europeană a lansat o platformă dedicată acestui sector, reunind toți actorii relevanți susținerii acestui demers, pentru identificarea unor idei creative, mecanisme de finanțare și abordări inovatoare care să valorifice la maximum resursele existente</w:t>
      </w:r>
      <w:r w:rsidR="007D0D63" w:rsidRPr="00F171A3">
        <w:rPr>
          <w:color w:val="134753" w:themeColor="text2"/>
          <w:szCs w:val="28"/>
          <w:lang w:eastAsia="ro-RO"/>
        </w:rPr>
        <w:t>;</w:t>
      </w:r>
    </w:p>
    <w:p w14:paraId="240CE45F" w14:textId="77777777" w:rsidR="00CA19AC" w:rsidRPr="00F171A3" w:rsidRDefault="00CA19AC">
      <w:pPr>
        <w:pStyle w:val="Normal0"/>
        <w:numPr>
          <w:ilvl w:val="0"/>
          <w:numId w:val="12"/>
        </w:numPr>
        <w:rPr>
          <w:color w:val="134753" w:themeColor="text2"/>
          <w:szCs w:val="28"/>
          <w:lang w:eastAsia="ro-RO"/>
        </w:rPr>
      </w:pPr>
      <w:r w:rsidRPr="00F171A3">
        <w:rPr>
          <w:rStyle w:val="FocusChar"/>
          <w:lang w:val="ro-RO"/>
        </w:rPr>
        <w:t>Mobilitatea durabilă |</w:t>
      </w:r>
      <w:r w:rsidRPr="00F171A3">
        <w:rPr>
          <w:color w:val="134753" w:themeColor="text2"/>
          <w:szCs w:val="28"/>
          <w:lang w:eastAsia="ro-RO"/>
        </w:rPr>
        <w:t xml:space="preserve"> Reducerea emisiilor de carbon ca urmare a transportului trebuie să fie de cel puțin 90% pentru a contribui semnificativ la atingerea obiectivelor privind neutralitatea climatică. Comisia Europeană are în plan să adopte o strategie pentru susținerea mobilității inteligente și durabile în 2020, având în centru nevoile utilizatorilor și încurajarea mijloacelor alternative de transport, nepoluante, mai sigure și accesibile.</w:t>
      </w:r>
    </w:p>
    <w:p w14:paraId="4AD7D40D" w14:textId="77777777" w:rsidR="007D0D63" w:rsidRPr="00F171A3" w:rsidRDefault="007D0D63" w:rsidP="00CA19AC">
      <w:pPr>
        <w:rPr>
          <w:b/>
          <w:bCs/>
          <w:caps/>
          <w:color w:val="134753" w:themeColor="text2"/>
          <w:szCs w:val="20"/>
        </w:rPr>
      </w:pPr>
    </w:p>
    <w:p w14:paraId="1DA1CB2F" w14:textId="5F8D4D35" w:rsidR="00CA19AC" w:rsidRPr="00F171A3" w:rsidRDefault="00CA19AC" w:rsidP="00CA19AC">
      <w:pPr>
        <w:rPr>
          <w:szCs w:val="20"/>
        </w:rPr>
      </w:pPr>
      <w:r w:rsidRPr="00F171A3">
        <w:rPr>
          <w:b/>
          <w:bCs/>
          <w:caps/>
          <w:color w:val="134753" w:themeColor="text2"/>
          <w:szCs w:val="20"/>
        </w:rPr>
        <w:t>STRATEGIA DIGITALĂ EUROPEANĂ (European Digital Strategy – Shaping Europe’s Digital Future)</w:t>
      </w:r>
      <w:r w:rsidRPr="00F171A3">
        <w:rPr>
          <w:szCs w:val="20"/>
        </w:rPr>
        <w:t xml:space="preserve"> a fost întocmită în februarie 2020 la nivelul Comisiei Europene și are rolul de document programatic referitor la digitalizare pentru o perioadă de 5 ani. Totodată, acesta urmărește să creeze suveranitate digitală la nivel european și să permită statelor membre să dezvolte acest domeniu, conform valorilor europene comune. Această strategie definește 3 obiective majore: </w:t>
      </w:r>
    </w:p>
    <w:p w14:paraId="62FC862A" w14:textId="23E4EAF2" w:rsidR="00CA19AC" w:rsidRPr="00F171A3" w:rsidRDefault="00CA19AC">
      <w:pPr>
        <w:pStyle w:val="ListParagraph"/>
        <w:numPr>
          <w:ilvl w:val="0"/>
          <w:numId w:val="30"/>
        </w:numPr>
        <w:rPr>
          <w:color w:val="134753" w:themeColor="text2"/>
          <w:szCs w:val="20"/>
        </w:rPr>
      </w:pPr>
      <w:r w:rsidRPr="00F171A3">
        <w:rPr>
          <w:color w:val="134753" w:themeColor="text2"/>
          <w:szCs w:val="20"/>
        </w:rPr>
        <w:t>Tehnologie care funcționează pentru oameni – dezvoltarea, implementarea și utilizarea tehnologiei care poate aduce o diferență pentru oameni în viața de zi cu zi, incluzând, în același timp, o economie puternică ce să reflecte valorile europene</w:t>
      </w:r>
      <w:r w:rsidR="007D0D63" w:rsidRPr="00F171A3">
        <w:rPr>
          <w:color w:val="134753" w:themeColor="text2"/>
          <w:szCs w:val="20"/>
        </w:rPr>
        <w:t>;</w:t>
      </w:r>
    </w:p>
    <w:p w14:paraId="0CB3ED07" w14:textId="09B0991A" w:rsidR="00CA19AC" w:rsidRPr="00F171A3" w:rsidRDefault="00CA19AC">
      <w:pPr>
        <w:pStyle w:val="ListParagraph"/>
        <w:numPr>
          <w:ilvl w:val="0"/>
          <w:numId w:val="30"/>
        </w:numPr>
        <w:rPr>
          <w:color w:val="134753" w:themeColor="text2"/>
          <w:szCs w:val="20"/>
        </w:rPr>
      </w:pPr>
      <w:r w:rsidRPr="00F171A3">
        <w:rPr>
          <w:color w:val="134753" w:themeColor="text2"/>
          <w:szCs w:val="20"/>
        </w:rPr>
        <w:t>Economie corectă și competitivă – crearea unei piețe unice, unde companiile de toate dimensiunile se pot dezvolta și pot concura în condiții egale. Dar, în același timp pot comercializa, pot crea și pot utiliza tehnologii, servicii și produse digitale la o scară care le crește productivitatea și competitivitatea globală, unde și consumatorii pot fi siguri că drepturile lor sunt respectate și protejate</w:t>
      </w:r>
      <w:r w:rsidR="007D0D63" w:rsidRPr="00F171A3">
        <w:rPr>
          <w:color w:val="134753" w:themeColor="text2"/>
          <w:szCs w:val="20"/>
        </w:rPr>
        <w:t>;</w:t>
      </w:r>
    </w:p>
    <w:p w14:paraId="6D98CB01" w14:textId="77777777" w:rsidR="00CA19AC" w:rsidRPr="00F171A3" w:rsidRDefault="00CA19AC">
      <w:pPr>
        <w:pStyle w:val="ListParagraph"/>
        <w:numPr>
          <w:ilvl w:val="0"/>
          <w:numId w:val="30"/>
        </w:numPr>
        <w:rPr>
          <w:color w:val="134753" w:themeColor="text2"/>
          <w:szCs w:val="20"/>
        </w:rPr>
      </w:pPr>
      <w:r w:rsidRPr="00F171A3">
        <w:rPr>
          <w:color w:val="134753" w:themeColor="text2"/>
          <w:szCs w:val="20"/>
        </w:rPr>
        <w:t>O societate deschisă, democratică și sustenabilă – Crearea la nivel european a unui mediu de încredere, unde drepturile cetățenilor asupra datelor pe care le furnizează, atât online cât și offline, sunt definite ți respectate. Un mod european de transformare digitală care întărește valorile democratice, respectă drepturile fundamentale și contribuie la un mediu sustenabil, cu o amprentă climatică neutră și eficientă din punct de vedere al utilizării resurselor.</w:t>
      </w:r>
    </w:p>
    <w:p w14:paraId="6373D244" w14:textId="77777777" w:rsidR="007D0D63" w:rsidRPr="00F171A3" w:rsidRDefault="007D0D63" w:rsidP="00CA19AC">
      <w:pPr>
        <w:rPr>
          <w:b/>
          <w:color w:val="134753" w:themeColor="text2"/>
          <w:lang w:eastAsia="zh-CN"/>
        </w:rPr>
      </w:pPr>
    </w:p>
    <w:p w14:paraId="315B4952" w14:textId="03AEC979" w:rsidR="00CA19AC" w:rsidRPr="00F171A3" w:rsidRDefault="00CA19AC" w:rsidP="00CA19AC">
      <w:r w:rsidRPr="00F171A3">
        <w:rPr>
          <w:b/>
          <w:color w:val="134753" w:themeColor="text2"/>
          <w:lang w:eastAsia="zh-CN"/>
        </w:rPr>
        <w:t>Politica de Coeziune (PC)</w:t>
      </w:r>
      <w:r w:rsidRPr="00F171A3">
        <w:rPr>
          <w:bCs/>
          <w:lang w:eastAsia="zh-CN"/>
        </w:rPr>
        <w:t xml:space="preserve"> reprezintă politica regională și principala politică de investiții a UE și modelează peisajul finanțării europene pentru dezvoltare urbană. Prioritățile europene de finanțare pentru perioada de programare 2021-2027</w:t>
      </w:r>
      <w:r w:rsidRPr="00F171A3">
        <w:rPr>
          <w:lang w:eastAsia="zh-CN"/>
        </w:rPr>
        <w:t xml:space="preserve"> sunt descrise în </w:t>
      </w:r>
      <w:r w:rsidRPr="00F171A3">
        <w:rPr>
          <w:b/>
          <w:color w:val="134753" w:themeColor="text2"/>
          <w:lang w:eastAsia="zh-CN"/>
        </w:rPr>
        <w:t>Propunerea de Regulament al Parlamentului European și al Consiliului de stabilire a unor dispoziții comune privind Fondul european de dezvoltare regională, Fondul social european plus, Fondul de coeziune și Fondul european pentru pescuit și afaceri maritime, și de instituire a unor norme financiare aplicabile acestor fonduri, precum și Fondului pentru azil și migrație, Fondului pentru securitate internă și Instrumentului pentru managementul frontierelor și vize</w:t>
      </w:r>
      <w:r w:rsidRPr="00F171A3">
        <w:rPr>
          <w:lang w:eastAsia="zh-CN"/>
        </w:rPr>
        <w:t xml:space="preserve">, din mai 2018, prin care Comisia Europeană propune o nouă abordare strategică pentru Politica de Coeziune. </w:t>
      </w:r>
      <w:r w:rsidRPr="00F171A3">
        <w:t xml:space="preserve">În cadrul regulamentului sunt evidențiate noile obiective de politică, acestea fiind rezultatul corelării și simplificării celor 11 obiective tematice utilizate în perioada 2014-2020. </w:t>
      </w:r>
      <w:r w:rsidRPr="00F171A3">
        <w:rPr>
          <w:lang w:eastAsia="zh-CN"/>
        </w:rPr>
        <w:t>Astfel, perioada 2021-2027 va fi ghidată de următoarele cinci obiective principale:</w:t>
      </w:r>
    </w:p>
    <w:p w14:paraId="1618AAA7" w14:textId="77777777" w:rsidR="00CA19AC" w:rsidRPr="00F171A3" w:rsidRDefault="00CA19AC">
      <w:pPr>
        <w:pStyle w:val="ListParagraph"/>
        <w:numPr>
          <w:ilvl w:val="0"/>
          <w:numId w:val="7"/>
        </w:numPr>
        <w:rPr>
          <w:color w:val="134753" w:themeColor="text2"/>
        </w:rPr>
      </w:pPr>
      <w:r w:rsidRPr="00F171A3">
        <w:rPr>
          <w:b/>
          <w:bCs/>
          <w:color w:val="134753" w:themeColor="text2"/>
        </w:rPr>
        <w:t>O Europă mai inteligentă</w:t>
      </w:r>
      <w:r w:rsidRPr="00F171A3">
        <w:rPr>
          <w:color w:val="134753" w:themeColor="text2"/>
        </w:rPr>
        <w:t xml:space="preserve"> – o transformare economică inovatoare și inteligentă;</w:t>
      </w:r>
    </w:p>
    <w:p w14:paraId="4B5796AB" w14:textId="77777777" w:rsidR="00CA19AC" w:rsidRPr="00F171A3" w:rsidRDefault="00CA19AC">
      <w:pPr>
        <w:pStyle w:val="ListParagraph"/>
        <w:numPr>
          <w:ilvl w:val="0"/>
          <w:numId w:val="7"/>
        </w:numPr>
        <w:rPr>
          <w:color w:val="134753" w:themeColor="text2"/>
        </w:rPr>
      </w:pPr>
      <w:r w:rsidRPr="00F171A3">
        <w:rPr>
          <w:b/>
          <w:bCs/>
          <w:color w:val="134753" w:themeColor="text2"/>
        </w:rPr>
        <w:t>O Europă mai ecologică</w:t>
      </w:r>
      <w:r w:rsidRPr="00F171A3">
        <w:rPr>
          <w:color w:val="134753" w:themeColor="text2"/>
        </w:rPr>
        <w:t>, cu emisii scăzute de carbon;</w:t>
      </w:r>
    </w:p>
    <w:p w14:paraId="7A3BFB54" w14:textId="77777777" w:rsidR="00CA19AC" w:rsidRPr="00F171A3" w:rsidRDefault="00CA19AC">
      <w:pPr>
        <w:pStyle w:val="ListParagraph"/>
        <w:numPr>
          <w:ilvl w:val="0"/>
          <w:numId w:val="7"/>
        </w:numPr>
        <w:rPr>
          <w:color w:val="134753" w:themeColor="text2"/>
        </w:rPr>
      </w:pPr>
      <w:r w:rsidRPr="00F171A3">
        <w:rPr>
          <w:b/>
          <w:bCs/>
          <w:color w:val="134753" w:themeColor="text2"/>
        </w:rPr>
        <w:t>O Europă mai conectată</w:t>
      </w:r>
      <w:r w:rsidRPr="00F171A3">
        <w:rPr>
          <w:color w:val="134753" w:themeColor="text2"/>
        </w:rPr>
        <w:t xml:space="preserve"> – mobilitate și conectivitate TIC regională;</w:t>
      </w:r>
    </w:p>
    <w:p w14:paraId="6A25C438" w14:textId="77777777" w:rsidR="00CA19AC" w:rsidRPr="00F171A3" w:rsidRDefault="00CA19AC">
      <w:pPr>
        <w:pStyle w:val="ListParagraph"/>
        <w:numPr>
          <w:ilvl w:val="0"/>
          <w:numId w:val="7"/>
        </w:numPr>
        <w:rPr>
          <w:color w:val="134753" w:themeColor="text2"/>
        </w:rPr>
      </w:pPr>
      <w:r w:rsidRPr="00F171A3">
        <w:rPr>
          <w:b/>
          <w:bCs/>
          <w:color w:val="134753" w:themeColor="text2"/>
        </w:rPr>
        <w:t>O Europă mai socială</w:t>
      </w:r>
      <w:r w:rsidRPr="00F171A3">
        <w:rPr>
          <w:color w:val="134753" w:themeColor="text2"/>
        </w:rPr>
        <w:t xml:space="preserve"> – implementarea Pilonului european al drepturilor sociale;</w:t>
      </w:r>
    </w:p>
    <w:p w14:paraId="45E5782D" w14:textId="77777777" w:rsidR="00CA19AC" w:rsidRPr="00F171A3" w:rsidRDefault="00CA19AC">
      <w:pPr>
        <w:pStyle w:val="ListParagraph"/>
        <w:numPr>
          <w:ilvl w:val="0"/>
          <w:numId w:val="7"/>
        </w:numPr>
        <w:rPr>
          <w:color w:val="134753" w:themeColor="text2"/>
        </w:rPr>
      </w:pPr>
      <w:r w:rsidRPr="00F171A3">
        <w:rPr>
          <w:b/>
          <w:bCs/>
          <w:color w:val="134753" w:themeColor="text2"/>
        </w:rPr>
        <w:t>O Europă mai aproape de cetățeni</w:t>
      </w:r>
      <w:r w:rsidRPr="00F171A3">
        <w:rPr>
          <w:color w:val="134753" w:themeColor="text2"/>
        </w:rPr>
        <w:t xml:space="preserve"> – dezvoltarea sustenabilă și integrată a zonelor urbane, rurale și de coastă.</w:t>
      </w:r>
    </w:p>
    <w:p w14:paraId="0F403C67" w14:textId="77777777" w:rsidR="00CA19AC" w:rsidRPr="00F171A3" w:rsidRDefault="00CA19AC" w:rsidP="00CA19AC">
      <w:pPr>
        <w:rPr>
          <w:lang w:eastAsia="zh-CN"/>
        </w:rPr>
      </w:pPr>
      <w:r w:rsidRPr="00F171A3">
        <w:rPr>
          <w:lang w:eastAsia="zh-CN"/>
        </w:rPr>
        <w:t xml:space="preserve">În 4 dintre cele 5 obiective de politică se regăsesc obiective specifice relevante din perspectiva Regiunii de Dezvoltare București - Ilfov, după cum este subliniat în tabelul de mai jos: </w:t>
      </w:r>
    </w:p>
    <w:p w14:paraId="2E59FE08" w14:textId="19BEDB30" w:rsidR="00CA19AC" w:rsidRPr="00F171A3" w:rsidRDefault="00CA19AC" w:rsidP="00CA19AC">
      <w:pPr>
        <w:pStyle w:val="Caption"/>
      </w:pPr>
      <w:bookmarkStart w:id="35" w:name="_Toc67649318"/>
      <w:bookmarkStart w:id="36" w:name="_Toc67650764"/>
      <w:bookmarkStart w:id="37" w:name="_Toc81815325"/>
      <w:bookmarkStart w:id="38" w:name="_Toc126943258"/>
      <w:r w:rsidRPr="00F171A3">
        <w:t xml:space="preserve">Tabel </w:t>
      </w:r>
      <w:r w:rsidRPr="00F171A3">
        <w:fldChar w:fldCharType="begin"/>
      </w:r>
      <w:r w:rsidRPr="00F171A3">
        <w:instrText xml:space="preserve"> SEQ Tabel \* ARABIC </w:instrText>
      </w:r>
      <w:r w:rsidRPr="00F171A3">
        <w:fldChar w:fldCharType="separate"/>
      </w:r>
      <w:r w:rsidR="005A6DD8">
        <w:rPr>
          <w:noProof/>
        </w:rPr>
        <w:t>1</w:t>
      </w:r>
      <w:r w:rsidRPr="00F171A3">
        <w:fldChar w:fldCharType="end"/>
      </w:r>
      <w:r w:rsidRPr="00F171A3">
        <w:t xml:space="preserve"> </w:t>
      </w:r>
      <w:r w:rsidR="00F04B62" w:rsidRPr="00F171A3">
        <w:t>O</w:t>
      </w:r>
      <w:r w:rsidRPr="00F171A3">
        <w:t xml:space="preserve">biectivele </w:t>
      </w:r>
      <w:r w:rsidR="00F04B62" w:rsidRPr="00F171A3">
        <w:t>P</w:t>
      </w:r>
      <w:r w:rsidRPr="00F171A3">
        <w:t xml:space="preserve">oliticii de </w:t>
      </w:r>
      <w:r w:rsidR="00F04B62" w:rsidRPr="00F171A3">
        <w:t>C</w:t>
      </w:r>
      <w:r w:rsidRPr="00F171A3">
        <w:t>oeziune pentru perioada 2021-2027</w:t>
      </w:r>
      <w:bookmarkEnd w:id="35"/>
      <w:bookmarkEnd w:id="36"/>
      <w:bookmarkEnd w:id="37"/>
      <w:bookmarkEnd w:id="38"/>
    </w:p>
    <w:tbl>
      <w:tblPr>
        <w:tblStyle w:val="Civittatable"/>
        <w:tblW w:w="5000" w:type="pct"/>
        <w:tblLook w:val="04A0" w:firstRow="1" w:lastRow="0" w:firstColumn="1" w:lastColumn="0" w:noHBand="0" w:noVBand="1"/>
      </w:tblPr>
      <w:tblGrid>
        <w:gridCol w:w="2110"/>
        <w:gridCol w:w="7326"/>
      </w:tblGrid>
      <w:tr w:rsidR="00CA19AC" w:rsidRPr="00F171A3" w14:paraId="3D881708" w14:textId="77777777" w:rsidTr="00657CF7">
        <w:trPr>
          <w:cnfStyle w:val="100000000000" w:firstRow="1" w:lastRow="0" w:firstColumn="0" w:lastColumn="0" w:oddVBand="0" w:evenVBand="0" w:oddHBand="0" w:evenHBand="0" w:firstRowFirstColumn="0" w:firstRowLastColumn="0" w:lastRowFirstColumn="0" w:lastRowLastColumn="0"/>
        </w:trPr>
        <w:tc>
          <w:tcPr>
            <w:tcW w:w="1118" w:type="pct"/>
          </w:tcPr>
          <w:p w14:paraId="4D733EBD" w14:textId="77777777" w:rsidR="00CA19AC" w:rsidRPr="00F171A3" w:rsidRDefault="00CA19AC" w:rsidP="007D0D63">
            <w:pPr>
              <w:spacing w:after="0"/>
              <w:jc w:val="center"/>
              <w:rPr>
                <w:rFonts w:cstheme="minorHAnsi"/>
                <w:b/>
                <w:bCs/>
                <w:szCs w:val="20"/>
              </w:rPr>
            </w:pPr>
            <w:r w:rsidRPr="00F171A3">
              <w:rPr>
                <w:rFonts w:cstheme="minorHAnsi"/>
                <w:b/>
                <w:bCs/>
                <w:szCs w:val="20"/>
              </w:rPr>
              <w:t>Obiective DE POLITICĂ</w:t>
            </w:r>
          </w:p>
        </w:tc>
        <w:tc>
          <w:tcPr>
            <w:tcW w:w="3882" w:type="pct"/>
          </w:tcPr>
          <w:p w14:paraId="593ABD96" w14:textId="77777777" w:rsidR="00CA19AC" w:rsidRPr="00F171A3" w:rsidRDefault="00CA19AC" w:rsidP="007D0D63">
            <w:pPr>
              <w:spacing w:after="0"/>
              <w:jc w:val="center"/>
              <w:rPr>
                <w:rFonts w:cstheme="minorHAnsi"/>
                <w:b/>
                <w:bCs/>
                <w:szCs w:val="20"/>
              </w:rPr>
            </w:pPr>
            <w:r w:rsidRPr="00F171A3">
              <w:rPr>
                <w:rFonts w:cstheme="minorHAnsi"/>
                <w:b/>
                <w:bCs/>
                <w:szCs w:val="20"/>
              </w:rPr>
              <w:t>obiective specifice</w:t>
            </w:r>
          </w:p>
        </w:tc>
      </w:tr>
      <w:tr w:rsidR="00CA19AC" w:rsidRPr="00F171A3" w14:paraId="7C0E0BCE" w14:textId="77777777" w:rsidTr="00657CF7">
        <w:trPr>
          <w:cnfStyle w:val="000000100000" w:firstRow="0" w:lastRow="0" w:firstColumn="0" w:lastColumn="0" w:oddVBand="0" w:evenVBand="0" w:oddHBand="1" w:evenHBand="0" w:firstRowFirstColumn="0" w:firstRowLastColumn="0" w:lastRowFirstColumn="0" w:lastRowLastColumn="0"/>
          <w:trHeight w:val="54"/>
        </w:trPr>
        <w:tc>
          <w:tcPr>
            <w:tcW w:w="1118" w:type="pct"/>
            <w:vMerge w:val="restart"/>
            <w:shd w:val="clear" w:color="auto" w:fill="ABCD3A" w:themeFill="accent5"/>
            <w:vAlign w:val="center"/>
          </w:tcPr>
          <w:p w14:paraId="28E86B32" w14:textId="77777777" w:rsidR="00CA19AC" w:rsidRPr="00F171A3" w:rsidRDefault="00CA19AC">
            <w:pPr>
              <w:pStyle w:val="ListParagraph"/>
              <w:numPr>
                <w:ilvl w:val="0"/>
                <w:numId w:val="8"/>
              </w:numPr>
              <w:spacing w:after="0"/>
              <w:ind w:left="357" w:hanging="357"/>
              <w:jc w:val="left"/>
              <w:rPr>
                <w:rFonts w:cstheme="minorHAnsi"/>
                <w:b/>
                <w:color w:val="auto"/>
                <w:szCs w:val="20"/>
              </w:rPr>
            </w:pPr>
            <w:r w:rsidRPr="00F171A3">
              <w:rPr>
                <w:rFonts w:cstheme="minorHAnsi"/>
                <w:b/>
                <w:color w:val="auto"/>
                <w:szCs w:val="20"/>
              </w:rPr>
              <w:t>O Europă mai inteligentă</w:t>
            </w:r>
          </w:p>
        </w:tc>
        <w:tc>
          <w:tcPr>
            <w:tcW w:w="3882" w:type="pct"/>
            <w:shd w:val="clear" w:color="auto" w:fill="EEF5D7" w:themeFill="accent5" w:themeFillTint="33"/>
          </w:tcPr>
          <w:p w14:paraId="7765161B"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 Dezvoltarea capacităților de cercetare și inovare și adoptarea tehnologiilor avansate</w:t>
            </w:r>
          </w:p>
        </w:tc>
      </w:tr>
      <w:tr w:rsidR="00CA19AC" w:rsidRPr="00F171A3" w14:paraId="5C2F9449" w14:textId="77777777" w:rsidTr="00657CF7">
        <w:trPr>
          <w:cnfStyle w:val="000000010000" w:firstRow="0" w:lastRow="0" w:firstColumn="0" w:lastColumn="0" w:oddVBand="0" w:evenVBand="0" w:oddHBand="0" w:evenHBand="1" w:firstRowFirstColumn="0" w:firstRowLastColumn="0" w:lastRowFirstColumn="0" w:lastRowLastColumn="0"/>
          <w:trHeight w:val="52"/>
        </w:trPr>
        <w:tc>
          <w:tcPr>
            <w:tcW w:w="1118" w:type="pct"/>
            <w:vMerge/>
            <w:shd w:val="clear" w:color="auto" w:fill="ABCD3A" w:themeFill="accent5"/>
            <w:vAlign w:val="center"/>
          </w:tcPr>
          <w:p w14:paraId="41E7E3BC"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shd w:val="clear" w:color="auto" w:fill="EEF5D7" w:themeFill="accent5" w:themeFillTint="33"/>
          </w:tcPr>
          <w:p w14:paraId="78186D8C"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 xml:space="preserve">(ii) Fructificarea avantajelor digitalizării, în beneficiul cetățenilor, al companiilor și al guvernelor </w:t>
            </w:r>
          </w:p>
        </w:tc>
      </w:tr>
      <w:tr w:rsidR="00CA19AC" w:rsidRPr="00F171A3" w14:paraId="7E69644C" w14:textId="77777777" w:rsidTr="00657CF7">
        <w:trPr>
          <w:cnfStyle w:val="000000100000" w:firstRow="0" w:lastRow="0" w:firstColumn="0" w:lastColumn="0" w:oddVBand="0" w:evenVBand="0" w:oddHBand="1" w:evenHBand="0" w:firstRowFirstColumn="0" w:firstRowLastColumn="0" w:lastRowFirstColumn="0" w:lastRowLastColumn="0"/>
          <w:trHeight w:val="52"/>
        </w:trPr>
        <w:tc>
          <w:tcPr>
            <w:tcW w:w="1118" w:type="pct"/>
            <w:vMerge/>
            <w:shd w:val="clear" w:color="auto" w:fill="ABCD3A" w:themeFill="accent5"/>
            <w:vAlign w:val="center"/>
          </w:tcPr>
          <w:p w14:paraId="28589B3F"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shd w:val="clear" w:color="auto" w:fill="EEF5D7" w:themeFill="accent5" w:themeFillTint="33"/>
          </w:tcPr>
          <w:p w14:paraId="6A489AD9"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(iii) Impulsionarea creșterii și competitivității IMM-urilor</w:t>
            </w:r>
          </w:p>
        </w:tc>
      </w:tr>
      <w:tr w:rsidR="00CA19AC" w:rsidRPr="00F171A3" w14:paraId="03204417" w14:textId="77777777" w:rsidTr="00657CF7">
        <w:trPr>
          <w:cnfStyle w:val="000000010000" w:firstRow="0" w:lastRow="0" w:firstColumn="0" w:lastColumn="0" w:oddVBand="0" w:evenVBand="0" w:oddHBand="0" w:evenHBand="1" w:firstRowFirstColumn="0" w:firstRowLastColumn="0" w:lastRowFirstColumn="0" w:lastRowLastColumn="0"/>
          <w:trHeight w:val="52"/>
        </w:trPr>
        <w:tc>
          <w:tcPr>
            <w:tcW w:w="1118" w:type="pct"/>
            <w:vMerge/>
            <w:shd w:val="clear" w:color="auto" w:fill="ABCD3A" w:themeFill="accent5"/>
            <w:vAlign w:val="center"/>
          </w:tcPr>
          <w:p w14:paraId="2C39C646"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shd w:val="clear" w:color="auto" w:fill="EEF5D7" w:themeFill="accent5" w:themeFillTint="33"/>
          </w:tcPr>
          <w:p w14:paraId="3F783F46"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 xml:space="preserve">(iv) Dezvoltarea competențelor pentru specializare inteligentă, tranziție industrială și antreprenoriat </w:t>
            </w:r>
          </w:p>
        </w:tc>
      </w:tr>
      <w:tr w:rsidR="00CA19AC" w:rsidRPr="00F171A3" w14:paraId="06406882" w14:textId="77777777" w:rsidTr="00657CF7">
        <w:trPr>
          <w:cnfStyle w:val="000000100000" w:firstRow="0" w:lastRow="0" w:firstColumn="0" w:lastColumn="0" w:oddVBand="0" w:evenVBand="0" w:oddHBand="1" w:evenHBand="0" w:firstRowFirstColumn="0" w:firstRowLastColumn="0" w:lastRowFirstColumn="0" w:lastRowLastColumn="0"/>
          <w:trHeight w:val="30"/>
        </w:trPr>
        <w:tc>
          <w:tcPr>
            <w:tcW w:w="1118" w:type="pct"/>
            <w:vMerge w:val="restart"/>
            <w:vAlign w:val="center"/>
          </w:tcPr>
          <w:p w14:paraId="07E0C9CD" w14:textId="77777777" w:rsidR="00CA19AC" w:rsidRPr="00F171A3" w:rsidRDefault="00CA19AC">
            <w:pPr>
              <w:pStyle w:val="ListParagraph"/>
              <w:numPr>
                <w:ilvl w:val="0"/>
                <w:numId w:val="8"/>
              </w:numPr>
              <w:spacing w:after="0"/>
              <w:ind w:left="357" w:hanging="357"/>
              <w:jc w:val="left"/>
              <w:rPr>
                <w:rFonts w:cstheme="minorHAnsi"/>
                <w:b/>
                <w:color w:val="auto"/>
                <w:szCs w:val="20"/>
              </w:rPr>
            </w:pPr>
            <w:r w:rsidRPr="00F171A3">
              <w:rPr>
                <w:rFonts w:cstheme="minorHAnsi"/>
                <w:b/>
                <w:color w:val="auto"/>
                <w:szCs w:val="20"/>
              </w:rPr>
              <w:t>O Europă mai ecologică</w:t>
            </w:r>
          </w:p>
        </w:tc>
        <w:tc>
          <w:tcPr>
            <w:tcW w:w="3882" w:type="pct"/>
          </w:tcPr>
          <w:p w14:paraId="55AA6DBA"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 Promovarea măsurilor de eficiență energetică</w:t>
            </w:r>
          </w:p>
        </w:tc>
      </w:tr>
      <w:tr w:rsidR="00CA19AC" w:rsidRPr="00F171A3" w14:paraId="618859BB" w14:textId="77777777" w:rsidTr="00657CF7">
        <w:trPr>
          <w:cnfStyle w:val="000000010000" w:firstRow="0" w:lastRow="0" w:firstColumn="0" w:lastColumn="0" w:oddVBand="0" w:evenVBand="0" w:oddHBand="0" w:evenHBand="1" w:firstRowFirstColumn="0" w:firstRowLastColumn="0" w:lastRowFirstColumn="0" w:lastRowLastColumn="0"/>
          <w:trHeight w:val="30"/>
        </w:trPr>
        <w:tc>
          <w:tcPr>
            <w:tcW w:w="1118" w:type="pct"/>
            <w:vMerge/>
            <w:vAlign w:val="center"/>
          </w:tcPr>
          <w:p w14:paraId="6FF5F5A7"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49DDEADF"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(ii) Promovarea energiei din surse regenerabile</w:t>
            </w:r>
          </w:p>
        </w:tc>
      </w:tr>
      <w:tr w:rsidR="00CA19AC" w:rsidRPr="00F171A3" w14:paraId="11FDE0F5" w14:textId="77777777" w:rsidTr="00657CF7">
        <w:trPr>
          <w:cnfStyle w:val="000000100000" w:firstRow="0" w:lastRow="0" w:firstColumn="0" w:lastColumn="0" w:oddVBand="0" w:evenVBand="0" w:oddHBand="1" w:evenHBand="0" w:firstRowFirstColumn="0" w:firstRowLastColumn="0" w:lastRowFirstColumn="0" w:lastRowLastColumn="0"/>
          <w:trHeight w:val="30"/>
        </w:trPr>
        <w:tc>
          <w:tcPr>
            <w:tcW w:w="1118" w:type="pct"/>
            <w:vMerge/>
            <w:vAlign w:val="center"/>
          </w:tcPr>
          <w:p w14:paraId="46E74A47"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32195C7C"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(iii) Dezvoltarea la nivel local a unor sisteme energetice, rețele și sisteme de stocare inteligente</w:t>
            </w:r>
          </w:p>
        </w:tc>
      </w:tr>
      <w:tr w:rsidR="00CA19AC" w:rsidRPr="00F171A3" w14:paraId="1B623A76" w14:textId="77777777" w:rsidTr="00657CF7">
        <w:trPr>
          <w:cnfStyle w:val="000000010000" w:firstRow="0" w:lastRow="0" w:firstColumn="0" w:lastColumn="0" w:oddVBand="0" w:evenVBand="0" w:oddHBand="0" w:evenHBand="1" w:firstRowFirstColumn="0" w:firstRowLastColumn="0" w:lastRowFirstColumn="0" w:lastRowLastColumn="0"/>
          <w:trHeight w:val="30"/>
        </w:trPr>
        <w:tc>
          <w:tcPr>
            <w:tcW w:w="1118" w:type="pct"/>
            <w:vMerge/>
            <w:vAlign w:val="center"/>
          </w:tcPr>
          <w:p w14:paraId="53ABDDA9"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03638141"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(iv) Promovarea adaptării la schimbările climatice, a prevenirii riscurilor și a rezilienței în urma dezastrelor</w:t>
            </w:r>
          </w:p>
        </w:tc>
      </w:tr>
      <w:tr w:rsidR="00CA19AC" w:rsidRPr="00F171A3" w14:paraId="3CF5A4ED" w14:textId="77777777" w:rsidTr="00657CF7">
        <w:trPr>
          <w:cnfStyle w:val="000000100000" w:firstRow="0" w:lastRow="0" w:firstColumn="0" w:lastColumn="0" w:oddVBand="0" w:evenVBand="0" w:oddHBand="1" w:evenHBand="0" w:firstRowFirstColumn="0" w:firstRowLastColumn="0" w:lastRowFirstColumn="0" w:lastRowLastColumn="0"/>
          <w:trHeight w:val="30"/>
        </w:trPr>
        <w:tc>
          <w:tcPr>
            <w:tcW w:w="1118" w:type="pct"/>
            <w:vMerge/>
            <w:vAlign w:val="center"/>
          </w:tcPr>
          <w:p w14:paraId="22697BEA"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43C37894"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(v) Promovarea gestionării durabile a apelor</w:t>
            </w:r>
          </w:p>
        </w:tc>
      </w:tr>
      <w:tr w:rsidR="00CA19AC" w:rsidRPr="00F171A3" w14:paraId="2695B007" w14:textId="77777777" w:rsidTr="00657CF7">
        <w:trPr>
          <w:cnfStyle w:val="000000010000" w:firstRow="0" w:lastRow="0" w:firstColumn="0" w:lastColumn="0" w:oddVBand="0" w:evenVBand="0" w:oddHBand="0" w:evenHBand="1" w:firstRowFirstColumn="0" w:firstRowLastColumn="0" w:lastRowFirstColumn="0" w:lastRowLastColumn="0"/>
          <w:trHeight w:val="30"/>
        </w:trPr>
        <w:tc>
          <w:tcPr>
            <w:tcW w:w="1118" w:type="pct"/>
            <w:vMerge/>
            <w:vAlign w:val="center"/>
          </w:tcPr>
          <w:p w14:paraId="36C4E5CD"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3AB0AAD0"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(vi) Promovarea tranziției la o economie circulară</w:t>
            </w:r>
          </w:p>
        </w:tc>
      </w:tr>
      <w:tr w:rsidR="00CA19AC" w:rsidRPr="00F171A3" w14:paraId="43C5D959" w14:textId="77777777" w:rsidTr="00657CF7">
        <w:trPr>
          <w:cnfStyle w:val="000000100000" w:firstRow="0" w:lastRow="0" w:firstColumn="0" w:lastColumn="0" w:oddVBand="0" w:evenVBand="0" w:oddHBand="1" w:evenHBand="0" w:firstRowFirstColumn="0" w:firstRowLastColumn="0" w:lastRowFirstColumn="0" w:lastRowLastColumn="0"/>
          <w:trHeight w:val="30"/>
        </w:trPr>
        <w:tc>
          <w:tcPr>
            <w:tcW w:w="1118" w:type="pct"/>
            <w:vMerge/>
            <w:vAlign w:val="center"/>
          </w:tcPr>
          <w:p w14:paraId="578EB470"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18AD19DC"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(vii) Dezvoltarea biodiversității, a infrastructurii ecologice în mediul urban și reducerea poluării</w:t>
            </w:r>
          </w:p>
        </w:tc>
      </w:tr>
      <w:tr w:rsidR="00CA19AC" w:rsidRPr="00F171A3" w14:paraId="4DB0011D" w14:textId="77777777" w:rsidTr="00657CF7">
        <w:trPr>
          <w:cnfStyle w:val="000000010000" w:firstRow="0" w:lastRow="0" w:firstColumn="0" w:lastColumn="0" w:oddVBand="0" w:evenVBand="0" w:oddHBand="0" w:evenHBand="1" w:firstRowFirstColumn="0" w:firstRowLastColumn="0" w:lastRowFirstColumn="0" w:lastRowLastColumn="0"/>
          <w:trHeight w:val="54"/>
        </w:trPr>
        <w:tc>
          <w:tcPr>
            <w:tcW w:w="1118" w:type="pct"/>
            <w:vMerge w:val="restart"/>
            <w:shd w:val="clear" w:color="auto" w:fill="ABCD3A" w:themeFill="accent5"/>
            <w:vAlign w:val="center"/>
          </w:tcPr>
          <w:p w14:paraId="18300FAA" w14:textId="77777777" w:rsidR="00CA19AC" w:rsidRPr="00F171A3" w:rsidRDefault="00CA19AC">
            <w:pPr>
              <w:pStyle w:val="ListParagraph"/>
              <w:numPr>
                <w:ilvl w:val="0"/>
                <w:numId w:val="8"/>
              </w:numPr>
              <w:spacing w:after="0"/>
              <w:ind w:left="357" w:hanging="357"/>
              <w:jc w:val="left"/>
              <w:rPr>
                <w:rFonts w:cstheme="minorHAnsi"/>
                <w:b/>
                <w:color w:val="auto"/>
                <w:szCs w:val="20"/>
              </w:rPr>
            </w:pPr>
            <w:r w:rsidRPr="00F171A3">
              <w:rPr>
                <w:rFonts w:cstheme="minorHAnsi"/>
                <w:b/>
                <w:color w:val="auto"/>
                <w:szCs w:val="20"/>
              </w:rPr>
              <w:t>O Europă mai conectată</w:t>
            </w:r>
          </w:p>
        </w:tc>
        <w:tc>
          <w:tcPr>
            <w:tcW w:w="3882" w:type="pct"/>
            <w:shd w:val="clear" w:color="auto" w:fill="EEF5D7" w:themeFill="accent5" w:themeFillTint="33"/>
          </w:tcPr>
          <w:p w14:paraId="06D5A88E"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 Îmbunătățirea conectivității digitale</w:t>
            </w:r>
          </w:p>
        </w:tc>
      </w:tr>
      <w:tr w:rsidR="00CA19AC" w:rsidRPr="00F171A3" w14:paraId="4D71A5B7" w14:textId="77777777" w:rsidTr="00657CF7">
        <w:trPr>
          <w:cnfStyle w:val="000000100000" w:firstRow="0" w:lastRow="0" w:firstColumn="0" w:lastColumn="0" w:oddVBand="0" w:evenVBand="0" w:oddHBand="1" w:evenHBand="0" w:firstRowFirstColumn="0" w:firstRowLastColumn="0" w:lastRowFirstColumn="0" w:lastRowLastColumn="0"/>
          <w:trHeight w:val="52"/>
        </w:trPr>
        <w:tc>
          <w:tcPr>
            <w:tcW w:w="1118" w:type="pct"/>
            <w:vMerge/>
            <w:shd w:val="clear" w:color="auto" w:fill="ABCD3A" w:themeFill="accent5"/>
            <w:vAlign w:val="center"/>
          </w:tcPr>
          <w:p w14:paraId="742791D8"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shd w:val="clear" w:color="auto" w:fill="EEF5D7" w:themeFill="accent5" w:themeFillTint="33"/>
          </w:tcPr>
          <w:p w14:paraId="2D130348"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(ii) Dezvoltarea unei rețele TEN-T durabilă, rezilientă în fața schimbărilor climatice, inteligentă, sigură și intermodală</w:t>
            </w:r>
          </w:p>
        </w:tc>
      </w:tr>
      <w:tr w:rsidR="00CA19AC" w:rsidRPr="00F171A3" w14:paraId="1F0120FF" w14:textId="77777777" w:rsidTr="00657CF7">
        <w:trPr>
          <w:cnfStyle w:val="000000010000" w:firstRow="0" w:lastRow="0" w:firstColumn="0" w:lastColumn="0" w:oddVBand="0" w:evenVBand="0" w:oddHBand="0" w:evenHBand="1" w:firstRowFirstColumn="0" w:firstRowLastColumn="0" w:lastRowFirstColumn="0" w:lastRowLastColumn="0"/>
          <w:trHeight w:val="52"/>
        </w:trPr>
        <w:tc>
          <w:tcPr>
            <w:tcW w:w="1118" w:type="pct"/>
            <w:vMerge/>
            <w:shd w:val="clear" w:color="auto" w:fill="ABCD3A" w:themeFill="accent5"/>
            <w:vAlign w:val="center"/>
          </w:tcPr>
          <w:p w14:paraId="1BEF3F0A"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shd w:val="clear" w:color="auto" w:fill="EEF5D7" w:themeFill="accent5" w:themeFillTint="33"/>
          </w:tcPr>
          <w:p w14:paraId="44522924"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(iii) Dezvoltarea unei mobilități naționale, regionale și locale durabile, reziliente în fața schimbărilor climatice, inteligente și intermodale, inclusiv îmbunătățirea accesului la TEN-T și a mobilității transfrontaliere</w:t>
            </w:r>
          </w:p>
        </w:tc>
      </w:tr>
      <w:tr w:rsidR="00CA19AC" w:rsidRPr="00F171A3" w14:paraId="73534F47" w14:textId="77777777" w:rsidTr="00657CF7">
        <w:trPr>
          <w:cnfStyle w:val="000000100000" w:firstRow="0" w:lastRow="0" w:firstColumn="0" w:lastColumn="0" w:oddVBand="0" w:evenVBand="0" w:oddHBand="1" w:evenHBand="0" w:firstRowFirstColumn="0" w:firstRowLastColumn="0" w:lastRowFirstColumn="0" w:lastRowLastColumn="0"/>
          <w:trHeight w:val="52"/>
        </w:trPr>
        <w:tc>
          <w:tcPr>
            <w:tcW w:w="1118" w:type="pct"/>
            <w:vMerge/>
            <w:shd w:val="clear" w:color="auto" w:fill="ABCD3A" w:themeFill="accent5"/>
            <w:vAlign w:val="center"/>
          </w:tcPr>
          <w:p w14:paraId="095BA517"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shd w:val="clear" w:color="auto" w:fill="EEF5D7" w:themeFill="accent5" w:themeFillTint="33"/>
          </w:tcPr>
          <w:p w14:paraId="1BD91DA7"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(iv) Promovarea mobilității urbane multimodale durabile</w:t>
            </w:r>
          </w:p>
        </w:tc>
      </w:tr>
      <w:tr w:rsidR="00CA19AC" w:rsidRPr="00F171A3" w14:paraId="4D0C342C" w14:textId="77777777" w:rsidTr="00657CF7">
        <w:trPr>
          <w:cnfStyle w:val="000000010000" w:firstRow="0" w:lastRow="0" w:firstColumn="0" w:lastColumn="0" w:oddVBand="0" w:evenVBand="0" w:oddHBand="0" w:evenHBand="1" w:firstRowFirstColumn="0" w:firstRowLastColumn="0" w:lastRowFirstColumn="0" w:lastRowLastColumn="0"/>
          <w:trHeight w:val="54"/>
        </w:trPr>
        <w:tc>
          <w:tcPr>
            <w:tcW w:w="1118" w:type="pct"/>
            <w:vMerge w:val="restart"/>
            <w:vAlign w:val="center"/>
          </w:tcPr>
          <w:p w14:paraId="5E155F29" w14:textId="77777777" w:rsidR="00CA19AC" w:rsidRPr="00F171A3" w:rsidRDefault="00CA19AC">
            <w:pPr>
              <w:pStyle w:val="ListParagraph"/>
              <w:numPr>
                <w:ilvl w:val="0"/>
                <w:numId w:val="8"/>
              </w:numPr>
              <w:spacing w:after="0"/>
              <w:ind w:left="357" w:hanging="357"/>
              <w:jc w:val="left"/>
              <w:rPr>
                <w:rFonts w:cstheme="minorHAnsi"/>
                <w:b/>
                <w:color w:val="auto"/>
                <w:szCs w:val="20"/>
              </w:rPr>
            </w:pPr>
            <w:r w:rsidRPr="00F171A3">
              <w:rPr>
                <w:rFonts w:cstheme="minorHAnsi"/>
                <w:b/>
                <w:color w:val="auto"/>
                <w:szCs w:val="20"/>
              </w:rPr>
              <w:t>O Europă mai socială</w:t>
            </w:r>
          </w:p>
        </w:tc>
        <w:tc>
          <w:tcPr>
            <w:tcW w:w="3882" w:type="pct"/>
          </w:tcPr>
          <w:p w14:paraId="74F09836"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 Sporirea eficienței piețelor forței de muncă și facilitarea accesului la locuri de muncă de calitate prin dezvoltarea inovării și a infrastructurii sociale</w:t>
            </w:r>
          </w:p>
        </w:tc>
      </w:tr>
      <w:tr w:rsidR="00CA19AC" w:rsidRPr="00F171A3" w14:paraId="336A13AA" w14:textId="77777777" w:rsidTr="00657CF7">
        <w:trPr>
          <w:cnfStyle w:val="000000100000" w:firstRow="0" w:lastRow="0" w:firstColumn="0" w:lastColumn="0" w:oddVBand="0" w:evenVBand="0" w:oddHBand="1" w:evenHBand="0" w:firstRowFirstColumn="0" w:firstRowLastColumn="0" w:lastRowFirstColumn="0" w:lastRowLastColumn="0"/>
          <w:trHeight w:val="52"/>
        </w:trPr>
        <w:tc>
          <w:tcPr>
            <w:tcW w:w="1118" w:type="pct"/>
            <w:vMerge/>
            <w:vAlign w:val="center"/>
          </w:tcPr>
          <w:p w14:paraId="683A4CD4"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1FA260D8"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(ii) Îmbunătățirea accesului la servicii de calitate și favorabile incluziunii în educație, formare și învățarea pe tot parcursul vieții prin dezvoltarea infrastructurii</w:t>
            </w:r>
          </w:p>
        </w:tc>
      </w:tr>
      <w:tr w:rsidR="00CA19AC" w:rsidRPr="00F171A3" w14:paraId="2ADF0093" w14:textId="77777777" w:rsidTr="00657CF7">
        <w:trPr>
          <w:cnfStyle w:val="000000010000" w:firstRow="0" w:lastRow="0" w:firstColumn="0" w:lastColumn="0" w:oddVBand="0" w:evenVBand="0" w:oddHBand="0" w:evenHBand="1" w:firstRowFirstColumn="0" w:firstRowLastColumn="0" w:lastRowFirstColumn="0" w:lastRowLastColumn="0"/>
          <w:trHeight w:val="52"/>
        </w:trPr>
        <w:tc>
          <w:tcPr>
            <w:tcW w:w="1118" w:type="pct"/>
            <w:vMerge/>
            <w:vAlign w:val="center"/>
          </w:tcPr>
          <w:p w14:paraId="07812865"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00F750AF"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(iii) Îmbunătățirea integrării socio-economice a comunităților marginalizate, a migraților și a grupurilor dezavantajate prin măsuri integrate care să includă asigurarea de locuințe și servicii sociale</w:t>
            </w:r>
          </w:p>
        </w:tc>
      </w:tr>
      <w:tr w:rsidR="00CA19AC" w:rsidRPr="00F171A3" w14:paraId="2CAD4A7F" w14:textId="77777777" w:rsidTr="00657CF7">
        <w:trPr>
          <w:cnfStyle w:val="000000100000" w:firstRow="0" w:lastRow="0" w:firstColumn="0" w:lastColumn="0" w:oddVBand="0" w:evenVBand="0" w:oddHBand="1" w:evenHBand="0" w:firstRowFirstColumn="0" w:firstRowLastColumn="0" w:lastRowFirstColumn="0" w:lastRowLastColumn="0"/>
          <w:trHeight w:val="52"/>
        </w:trPr>
        <w:tc>
          <w:tcPr>
            <w:tcW w:w="1118" w:type="pct"/>
            <w:vMerge/>
            <w:vAlign w:val="center"/>
          </w:tcPr>
          <w:p w14:paraId="4825C751" w14:textId="77777777" w:rsidR="00CA19AC" w:rsidRPr="00F171A3" w:rsidRDefault="00CA19AC">
            <w:pPr>
              <w:pStyle w:val="ListParagraph"/>
              <w:numPr>
                <w:ilvl w:val="0"/>
                <w:numId w:val="8"/>
              </w:numPr>
              <w:spacing w:after="0"/>
              <w:ind w:left="357" w:hanging="357"/>
              <w:jc w:val="left"/>
              <w:rPr>
                <w:rFonts w:cstheme="minorHAnsi"/>
                <w:color w:val="auto"/>
                <w:szCs w:val="20"/>
              </w:rPr>
            </w:pPr>
          </w:p>
        </w:tc>
        <w:tc>
          <w:tcPr>
            <w:tcW w:w="3882" w:type="pct"/>
          </w:tcPr>
          <w:p w14:paraId="6C5C5171" w14:textId="77777777" w:rsidR="00CA19AC" w:rsidRPr="00F171A3" w:rsidRDefault="00CA19AC" w:rsidP="00C44C7A">
            <w:pPr>
              <w:spacing w:after="0"/>
              <w:jc w:val="left"/>
              <w:rPr>
                <w:rFonts w:cstheme="minorHAnsi"/>
                <w:color w:val="134753" w:themeColor="text2"/>
                <w:szCs w:val="20"/>
              </w:rPr>
            </w:pPr>
            <w:r w:rsidRPr="00F171A3">
              <w:rPr>
                <w:rFonts w:cstheme="minorHAnsi"/>
                <w:color w:val="134753" w:themeColor="text2"/>
                <w:szCs w:val="20"/>
              </w:rPr>
              <w:t xml:space="preserve">(iv) Asigurarea egalității de acces la asistență medicală prin dezvoltarea infrastructurii, inclusiv la asistență primară </w:t>
            </w:r>
          </w:p>
        </w:tc>
      </w:tr>
      <w:tr w:rsidR="00CA19AC" w:rsidRPr="00F171A3" w14:paraId="0A1C6499" w14:textId="77777777" w:rsidTr="00657CF7">
        <w:trPr>
          <w:cnfStyle w:val="000000010000" w:firstRow="0" w:lastRow="0" w:firstColumn="0" w:lastColumn="0" w:oddVBand="0" w:evenVBand="0" w:oddHBand="0" w:evenHBand="1" w:firstRowFirstColumn="0" w:firstRowLastColumn="0" w:lastRowFirstColumn="0" w:lastRowLastColumn="0"/>
        </w:trPr>
        <w:tc>
          <w:tcPr>
            <w:tcW w:w="1118" w:type="pct"/>
            <w:shd w:val="clear" w:color="auto" w:fill="ABCD3A" w:themeFill="accent5"/>
            <w:vAlign w:val="center"/>
          </w:tcPr>
          <w:p w14:paraId="0F0FBA17" w14:textId="77777777" w:rsidR="00CA19AC" w:rsidRPr="00F171A3" w:rsidRDefault="00CA19AC">
            <w:pPr>
              <w:pStyle w:val="ListParagraph"/>
              <w:numPr>
                <w:ilvl w:val="0"/>
                <w:numId w:val="8"/>
              </w:numPr>
              <w:spacing w:after="0"/>
              <w:ind w:left="357" w:hanging="357"/>
              <w:jc w:val="left"/>
              <w:rPr>
                <w:rFonts w:cstheme="minorHAnsi"/>
                <w:b/>
                <w:color w:val="auto"/>
                <w:szCs w:val="20"/>
              </w:rPr>
            </w:pPr>
            <w:r w:rsidRPr="00F171A3">
              <w:rPr>
                <w:rFonts w:cstheme="minorHAnsi"/>
                <w:b/>
                <w:color w:val="auto"/>
                <w:szCs w:val="20"/>
              </w:rPr>
              <w:t>O Europă mai aproape de cetățeni</w:t>
            </w:r>
          </w:p>
        </w:tc>
        <w:tc>
          <w:tcPr>
            <w:tcW w:w="3882" w:type="pct"/>
            <w:shd w:val="clear" w:color="auto" w:fill="EEF5D7" w:themeFill="accent5" w:themeFillTint="33"/>
          </w:tcPr>
          <w:p w14:paraId="6962B090" w14:textId="77777777" w:rsidR="00CA19AC" w:rsidRPr="00F171A3" w:rsidRDefault="00CA19AC" w:rsidP="00C44C7A">
            <w:pPr>
              <w:spacing w:after="0"/>
              <w:jc w:val="left"/>
              <w:rPr>
                <w:rFonts w:cstheme="minorHAnsi"/>
                <w:color w:val="FFFFFF" w:themeColor="background1"/>
                <w:szCs w:val="20"/>
              </w:rPr>
            </w:pPr>
            <w:r w:rsidRPr="00F171A3">
              <w:rPr>
                <w:rFonts w:cstheme="minorHAnsi"/>
                <w:color w:val="134753" w:themeColor="text2"/>
                <w:szCs w:val="20"/>
              </w:rPr>
              <w:t>(i) Promovarea dezvoltării integrate în domeniul social, economic și al mediului, a dezvoltării patrimoniului cultural și a securității în zonele urbane</w:t>
            </w:r>
          </w:p>
        </w:tc>
      </w:tr>
    </w:tbl>
    <w:p w14:paraId="455DD718" w14:textId="207B2B58" w:rsidR="00CA19AC" w:rsidRPr="00F171A3" w:rsidRDefault="00CA19AC" w:rsidP="00CA19AC">
      <w:pPr>
        <w:spacing w:before="240"/>
        <w:rPr>
          <w:rFonts w:cstheme="minorHAnsi"/>
          <w:szCs w:val="20"/>
          <w:lang w:eastAsia="zh-CN"/>
        </w:rPr>
      </w:pPr>
      <w:r w:rsidRPr="00F171A3">
        <w:rPr>
          <w:rFonts w:cstheme="minorHAnsi"/>
          <w:szCs w:val="20"/>
          <w:lang w:eastAsia="zh-CN"/>
        </w:rPr>
        <w:t xml:space="preserve">Politica de Coeziune post-2020 continuă investițiile în toate regiunile, pe baza a trei categorii: mai puțin dezvoltate, în tranziție, mai dezvoltate. Metoda de alocare a fondurilor se bazează încă, în mare măsură, pe PIB-ul pe cap de locuitor. Se introduc noi </w:t>
      </w:r>
      <w:r w:rsidRPr="00F171A3">
        <w:rPr>
          <w:rFonts w:cstheme="minorHAnsi"/>
          <w:color w:val="0D0D0D" w:themeColor="text1" w:themeTint="F2"/>
          <w:szCs w:val="20"/>
          <w:lang w:eastAsia="zh-CN"/>
        </w:rPr>
        <w:t xml:space="preserve">criterii – șomajul în rândul tinerilor, nivel scăzut de educație, schimbări climatice, primirea și integrarea migraților –, pentru </w:t>
      </w:r>
      <w:r w:rsidRPr="00F171A3">
        <w:rPr>
          <w:rFonts w:cstheme="minorHAnsi"/>
          <w:szCs w:val="20"/>
          <w:lang w:eastAsia="zh-CN"/>
        </w:rPr>
        <w:t>a ilustra mai bine realitatea de pe teren. Politica de coeziune continuă să sprijine strategiile de dezvoltare inițiate și coordonate la nivel local. Crește și dimensiunea urbană a politicii de coeziune, prin alocarea a 8% din FEDR dezvoltării urbane durabile și printr-un nou program de colaborare în rețea și de consolidare a capacităților dedicat autorităților urbane. Cooperarea interregională și transfrontalieră va fi facilitată de noua posibilitate ca o regiune să utilizeze părți din propria alocare pentru a finanța proiecte în altă parte a Europei, împreună cu alte regiuni. Noua generație a programelor de cooperare interregională și transfrontalieră (Interreg) va ajuta statele membre să depășească obstacolele transfrontaliere și să dezvolte servicii comune.</w:t>
      </w:r>
    </w:p>
    <w:p w14:paraId="3C117BE0" w14:textId="77777777" w:rsidR="00CA19AC" w:rsidRPr="00F171A3" w:rsidRDefault="00CA19AC" w:rsidP="00CA19AC">
      <w:pPr>
        <w:rPr>
          <w:lang w:eastAsia="zh-CN"/>
        </w:rPr>
      </w:pPr>
      <w:r w:rsidRPr="00F171A3">
        <w:rPr>
          <w:lang w:eastAsia="zh-CN"/>
        </w:rPr>
        <w:t xml:space="preserve">Perioada post-2020 marchează o creștere substanțială a resurselor alocate pentru domeniile cercetare-inovare și tehnologii digitale, dar și pentru domeniile atenuării schimbărilor climatice și mediului înconjurător, oferind astfel oportunități semnificative pentru dezvoltarea urbană durabilă. Mai mult, finanțarea va avea o concentrare tematică în jurul Obiectivului Prioritar 1 - O Europă mai inteligentă și Obiectivului Prioritar 2 - O Europă mai ecologică, cu emisii reduse de carbon, concentrare ce se va reflecta și la nivel național și regional. </w:t>
      </w:r>
    </w:p>
    <w:p w14:paraId="4D43D702" w14:textId="77777777" w:rsidR="007D0D63" w:rsidRPr="00F171A3" w:rsidRDefault="007D0D63" w:rsidP="00CA19AC"/>
    <w:p w14:paraId="05CA1725" w14:textId="378A3C9B" w:rsidR="00CA19AC" w:rsidRPr="00F171A3" w:rsidRDefault="00CA19AC" w:rsidP="00CA19AC">
      <w:r w:rsidRPr="00F171A3">
        <w:t xml:space="preserve">Dezvoltarea în perioada post 2020 va fi susținută și de instrumentul temporar de redresare </w:t>
      </w:r>
      <w:r w:rsidRPr="00F171A3">
        <w:rPr>
          <w:rFonts w:ascii="Calibri" w:eastAsia="Times New Roman" w:hAnsi="Calibri" w:cs="Times New Roman"/>
          <w:b/>
          <w:color w:val="134753" w:themeColor="text2"/>
          <w:szCs w:val="28"/>
          <w:lang w:eastAsia="ro-RO"/>
        </w:rPr>
        <w:t>NEXTGENERATIONEU</w:t>
      </w:r>
      <w:r w:rsidRPr="00F171A3">
        <w:t xml:space="preserve">, menit să ajute statele membre în procesul de redresare după pandemia de COVID-19. Elementul central al acestui instrument este </w:t>
      </w:r>
      <w:r w:rsidRPr="00F171A3">
        <w:rPr>
          <w:rFonts w:ascii="Calibri" w:eastAsia="Times New Roman" w:hAnsi="Calibri" w:cs="Times New Roman"/>
          <w:b/>
          <w:color w:val="134753" w:themeColor="text2"/>
          <w:szCs w:val="28"/>
          <w:lang w:eastAsia="ro-RO"/>
        </w:rPr>
        <w:t>Mecanismul de redresare și reziliență</w:t>
      </w:r>
      <w:r w:rsidRPr="00F171A3">
        <w:t>, având un buget de 672,5 miliarde EUR pentru împrumuturi și granturi disponibile pentru sprijinirea reformelor și investițiilor realizate de către Statele Membre. Pentru accesarea împrumuturilor și granturilor, fiecare Stat Membru a elaborat un plan național de redresare și de reziliență care să prezinte principalele reforme și intervenții prevăzute pentru perioada post-pandemie. Scopul principal al mecanismului este de a atenua impactul socio-economic al pandemiei și de a orienta eforturile post-pandemie către o dezvoltare durabilă, rezilientă, pregătită pentru oportunitățile oferite de tranziția către o economie verde și către digitalizare. Astfel, mecanismul se bazează pe 6 piloni principali, respectiv:</w:t>
      </w:r>
    </w:p>
    <w:p w14:paraId="34E6A6F5" w14:textId="77777777" w:rsidR="00CA19AC" w:rsidRPr="00F171A3" w:rsidRDefault="00CA19AC" w:rsidP="00CA19AC">
      <w:pPr>
        <w:pStyle w:val="Bullet"/>
        <w:spacing w:after="120"/>
        <w:ind w:left="714" w:hanging="357"/>
      </w:pPr>
      <w:r w:rsidRPr="00F171A3">
        <w:t>Tranziția verde;</w:t>
      </w:r>
    </w:p>
    <w:p w14:paraId="0F9FC78B" w14:textId="77777777" w:rsidR="00CA19AC" w:rsidRPr="00F171A3" w:rsidRDefault="00CA19AC" w:rsidP="00CA19AC">
      <w:pPr>
        <w:pStyle w:val="Bullet"/>
        <w:spacing w:after="120"/>
        <w:ind w:left="714" w:hanging="357"/>
      </w:pPr>
      <w:r w:rsidRPr="00F171A3">
        <w:t>Transformarea digitală;</w:t>
      </w:r>
    </w:p>
    <w:p w14:paraId="7FB6DE5B" w14:textId="77777777" w:rsidR="00CA19AC" w:rsidRPr="00F171A3" w:rsidRDefault="00CA19AC" w:rsidP="00CA19AC">
      <w:pPr>
        <w:pStyle w:val="Bullet"/>
        <w:spacing w:after="120"/>
        <w:ind w:left="714" w:hanging="357"/>
      </w:pPr>
      <w:r w:rsidRPr="00F171A3">
        <w:t>Creștere inteligentă, sustenabilă și favorabilă incluziunii;</w:t>
      </w:r>
    </w:p>
    <w:p w14:paraId="257D5879" w14:textId="77777777" w:rsidR="00CA19AC" w:rsidRPr="00F171A3" w:rsidRDefault="00CA19AC" w:rsidP="00CA19AC">
      <w:pPr>
        <w:pStyle w:val="Bullet"/>
        <w:spacing w:after="120"/>
        <w:ind w:left="714" w:hanging="357"/>
      </w:pPr>
      <w:r w:rsidRPr="00F171A3">
        <w:t>Coeziune socială și teritorială;</w:t>
      </w:r>
    </w:p>
    <w:p w14:paraId="54B7E6E8" w14:textId="77777777" w:rsidR="00CA19AC" w:rsidRPr="00F171A3" w:rsidRDefault="00CA19AC" w:rsidP="00CA19AC">
      <w:pPr>
        <w:pStyle w:val="Bullet"/>
        <w:spacing w:after="120"/>
        <w:ind w:left="714" w:hanging="357"/>
      </w:pPr>
      <w:r w:rsidRPr="00F171A3">
        <w:t>Sănătate, precum și reziliență economică, socială și instituțională;</w:t>
      </w:r>
    </w:p>
    <w:p w14:paraId="2E224107" w14:textId="77777777" w:rsidR="00CA19AC" w:rsidRPr="00F171A3" w:rsidRDefault="00CA19AC" w:rsidP="00CA19AC">
      <w:pPr>
        <w:pStyle w:val="Bullet"/>
        <w:spacing w:after="120"/>
        <w:ind w:left="714" w:hanging="357"/>
      </w:pPr>
      <w:r w:rsidRPr="00F171A3">
        <w:t xml:space="preserve">Politici pentru generația următoare, copii și tineret. </w:t>
      </w:r>
    </w:p>
    <w:p w14:paraId="7E1A7BB5" w14:textId="3E9C3341" w:rsidR="00CA19AC" w:rsidRPr="00F171A3" w:rsidRDefault="00CA19AC" w:rsidP="00CA19AC">
      <w:r w:rsidRPr="00F171A3">
        <w:t>Mecanismul este bazat, totodată, pe direcțiile și prioritățile promovate prin Pactul Verde European ca strategie de dezvoltare sustenabilă a teritoriului european. Astfel, mecanismul este menit să contribuie semnificativ la integrarea acțiunilor climatice și a sustenabilității mediului, Statele Membre trebuind să asigure cel puțin 37% din alocarea totală a planului de redresare și reziliență către acțiuni care să contribuie la tranziția verde. Totodată, mecanismul vizează digitalizarea la nivel european, cu cel puțin 20% din alocarea planurilor de redresare și reziliență destinată cheltuielilor în acest domeniu.</w:t>
      </w:r>
    </w:p>
    <w:p w14:paraId="0967220D" w14:textId="77777777" w:rsidR="007D0D63" w:rsidRPr="00F171A3" w:rsidRDefault="007D0D63" w:rsidP="00CA19AC"/>
    <w:p w14:paraId="5908B8C7" w14:textId="0B6FE6FC" w:rsidR="00CA19AC" w:rsidRPr="00F171A3" w:rsidRDefault="00D64CC5" w:rsidP="003F423E">
      <w:pPr>
        <w:pStyle w:val="Heading2"/>
        <w:rPr>
          <w:lang w:val="ro-RO" w:eastAsia="zh-CN"/>
        </w:rPr>
      </w:pPr>
      <w:bookmarkStart w:id="39" w:name="_Toc79920491"/>
      <w:bookmarkStart w:id="40" w:name="_Toc127199262"/>
      <w:r w:rsidRPr="00F171A3">
        <w:rPr>
          <w:caps w:val="0"/>
          <w:lang w:val="ro-RO" w:eastAsia="zh-CN"/>
        </w:rPr>
        <w:t>CONTEXTUL NAȚIONAL</w:t>
      </w:r>
      <w:bookmarkEnd w:id="39"/>
      <w:bookmarkEnd w:id="40"/>
    </w:p>
    <w:p w14:paraId="3EA58508" w14:textId="471B6435" w:rsidR="00CA19AC" w:rsidRPr="00F171A3" w:rsidRDefault="00D64CC5" w:rsidP="00837917">
      <w:pPr>
        <w:pStyle w:val="Heading3"/>
        <w:rPr>
          <w:lang w:val="ro-RO" w:eastAsia="zh-CN"/>
        </w:rPr>
      </w:pPr>
      <w:bookmarkStart w:id="41" w:name="_Toc127199263"/>
      <w:r w:rsidRPr="00F171A3">
        <w:rPr>
          <w:caps w:val="0"/>
          <w:lang w:val="ro-RO" w:eastAsia="zh-CN"/>
        </w:rPr>
        <w:t>CONTEXTUL PROGRAMATIC 2021-2027</w:t>
      </w:r>
      <w:bookmarkEnd w:id="41"/>
    </w:p>
    <w:p w14:paraId="6EED5C78" w14:textId="77777777" w:rsidR="00CA19AC" w:rsidRPr="00F171A3" w:rsidRDefault="00CA19AC" w:rsidP="00CA19AC">
      <w:pPr>
        <w:pStyle w:val="Normal0"/>
        <w:rPr>
          <w:rFonts w:asciiTheme="minorHAnsi" w:eastAsia="SimSun" w:hAnsiTheme="minorHAnsi" w:cstheme="minorHAnsi"/>
          <w:bCs/>
          <w:szCs w:val="20"/>
          <w:lang w:eastAsia="zh-CN"/>
        </w:rPr>
      </w:pPr>
      <w:r w:rsidRPr="00F171A3">
        <w:rPr>
          <w:rFonts w:asciiTheme="minorHAnsi" w:eastAsia="SimSun" w:hAnsiTheme="minorHAnsi" w:cstheme="minorHAnsi"/>
          <w:szCs w:val="20"/>
          <w:lang w:eastAsia="zh-CN"/>
        </w:rPr>
        <w:t xml:space="preserve">Implementarea politicii de coeziune 2021-2027 la nivel național se va realiza prin intermediul a </w:t>
      </w:r>
      <w:r w:rsidRPr="00F171A3">
        <w:rPr>
          <w:bCs/>
          <w:szCs w:val="28"/>
          <w:lang w:eastAsia="ro-RO"/>
        </w:rPr>
        <w:t>9 programe operaționale</w:t>
      </w:r>
      <w:r w:rsidRPr="00F171A3">
        <w:rPr>
          <w:rFonts w:asciiTheme="minorHAnsi" w:eastAsia="SimSun" w:hAnsiTheme="minorHAnsi" w:cstheme="minorHAnsi"/>
          <w:bCs/>
          <w:szCs w:val="20"/>
          <w:lang w:eastAsia="zh-CN"/>
        </w:rPr>
        <w:t>,</w:t>
      </w:r>
      <w:r w:rsidRPr="00F171A3">
        <w:rPr>
          <w:rFonts w:asciiTheme="minorHAnsi" w:eastAsia="SimSun" w:hAnsiTheme="minorHAnsi" w:cstheme="minorHAnsi"/>
          <w:szCs w:val="20"/>
          <w:lang w:eastAsia="zh-CN"/>
        </w:rPr>
        <w:t xml:space="preserve"> respectiv:</w:t>
      </w:r>
    </w:p>
    <w:p w14:paraId="23015C42" w14:textId="77777777" w:rsidR="00CA19AC" w:rsidRPr="00F171A3" w:rsidRDefault="00CA19AC" w:rsidP="00CA19AC">
      <w:pPr>
        <w:pStyle w:val="Bullet"/>
        <w:rPr>
          <w:color w:val="134753" w:themeColor="text2"/>
          <w:szCs w:val="20"/>
        </w:rPr>
      </w:pPr>
      <w:r w:rsidRPr="00F171A3">
        <w:rPr>
          <w:color w:val="134753" w:themeColor="text2"/>
          <w:szCs w:val="20"/>
        </w:rPr>
        <w:t>Programul Operațional Dezvoltare Durabilă (PODD);</w:t>
      </w:r>
    </w:p>
    <w:p w14:paraId="063D22C7" w14:textId="77777777" w:rsidR="00CA19AC" w:rsidRPr="00F171A3" w:rsidRDefault="00CA19AC" w:rsidP="00CA19AC">
      <w:pPr>
        <w:pStyle w:val="Bullet"/>
        <w:rPr>
          <w:color w:val="134753" w:themeColor="text2"/>
          <w:szCs w:val="20"/>
        </w:rPr>
      </w:pPr>
      <w:r w:rsidRPr="00F171A3">
        <w:rPr>
          <w:color w:val="134753" w:themeColor="text2"/>
          <w:szCs w:val="20"/>
        </w:rPr>
        <w:t>Programul Operațional Transport (POT);</w:t>
      </w:r>
    </w:p>
    <w:p w14:paraId="726BD4C0" w14:textId="77777777" w:rsidR="00CA19AC" w:rsidRPr="00F171A3" w:rsidRDefault="00CA19AC" w:rsidP="00CA19AC">
      <w:pPr>
        <w:pStyle w:val="Bullet"/>
        <w:rPr>
          <w:color w:val="134753" w:themeColor="text2"/>
          <w:szCs w:val="20"/>
        </w:rPr>
      </w:pPr>
      <w:r w:rsidRPr="00F171A3">
        <w:rPr>
          <w:color w:val="134753" w:themeColor="text2"/>
          <w:szCs w:val="20"/>
        </w:rPr>
        <w:t>Programul Operațional Creștere Inteligentă, Digitalizare și Instrumente Financiare (POCIDIF);</w:t>
      </w:r>
    </w:p>
    <w:p w14:paraId="2DCDCD40" w14:textId="77777777" w:rsidR="00CA19AC" w:rsidRPr="00F171A3" w:rsidRDefault="00CA19AC" w:rsidP="00CA19AC">
      <w:pPr>
        <w:pStyle w:val="Bullet"/>
        <w:rPr>
          <w:color w:val="134753" w:themeColor="text2"/>
          <w:szCs w:val="20"/>
        </w:rPr>
      </w:pPr>
      <w:r w:rsidRPr="00F171A3">
        <w:rPr>
          <w:color w:val="134753" w:themeColor="text2"/>
          <w:szCs w:val="20"/>
        </w:rPr>
        <w:t>Programul Operațional Sănătate (POS);</w:t>
      </w:r>
    </w:p>
    <w:p w14:paraId="4B47E1B2" w14:textId="77777777" w:rsidR="00CA19AC" w:rsidRPr="00F171A3" w:rsidRDefault="00CA19AC" w:rsidP="00CA19AC">
      <w:pPr>
        <w:pStyle w:val="Bullet"/>
        <w:rPr>
          <w:color w:val="134753" w:themeColor="text2"/>
          <w:szCs w:val="20"/>
        </w:rPr>
      </w:pPr>
      <w:r w:rsidRPr="00F171A3">
        <w:rPr>
          <w:color w:val="134753" w:themeColor="text2"/>
          <w:szCs w:val="20"/>
        </w:rPr>
        <w:t>Programul Operațional Educație și Ocupare (POEO);</w:t>
      </w:r>
    </w:p>
    <w:p w14:paraId="1FAA5484" w14:textId="77777777" w:rsidR="00CA19AC" w:rsidRPr="00F171A3" w:rsidRDefault="00CA19AC" w:rsidP="00CA19AC">
      <w:pPr>
        <w:pStyle w:val="Bullet"/>
        <w:rPr>
          <w:color w:val="134753" w:themeColor="text2"/>
          <w:szCs w:val="20"/>
        </w:rPr>
      </w:pPr>
      <w:r w:rsidRPr="00F171A3">
        <w:rPr>
          <w:color w:val="134753" w:themeColor="text2"/>
          <w:szCs w:val="20"/>
        </w:rPr>
        <w:t>Programul Operațional Incluziune și Demnitate Socială (POIDS);</w:t>
      </w:r>
    </w:p>
    <w:p w14:paraId="6479002D" w14:textId="77777777" w:rsidR="00CA19AC" w:rsidRPr="00F171A3" w:rsidRDefault="00CA19AC" w:rsidP="00CA19AC">
      <w:pPr>
        <w:pStyle w:val="Bullet"/>
        <w:rPr>
          <w:color w:val="134753" w:themeColor="text2"/>
          <w:szCs w:val="20"/>
        </w:rPr>
      </w:pPr>
      <w:r w:rsidRPr="00F171A3">
        <w:rPr>
          <w:color w:val="134753" w:themeColor="text2"/>
          <w:szCs w:val="20"/>
        </w:rPr>
        <w:t>Programele Operaționale Regionale (POR);</w:t>
      </w:r>
    </w:p>
    <w:p w14:paraId="1108AF58" w14:textId="77777777" w:rsidR="00CA19AC" w:rsidRPr="00F171A3" w:rsidRDefault="00CA19AC" w:rsidP="00CA19AC">
      <w:pPr>
        <w:pStyle w:val="Bullet"/>
        <w:rPr>
          <w:color w:val="134753" w:themeColor="text2"/>
          <w:szCs w:val="20"/>
        </w:rPr>
      </w:pPr>
      <w:r w:rsidRPr="00F171A3">
        <w:rPr>
          <w:color w:val="134753" w:themeColor="text2"/>
          <w:szCs w:val="20"/>
        </w:rPr>
        <w:t>Programul Operațional Asistență Tehnică (POAT);</w:t>
      </w:r>
    </w:p>
    <w:p w14:paraId="153B7327" w14:textId="77777777" w:rsidR="00CA19AC" w:rsidRPr="00F171A3" w:rsidRDefault="00CA19AC" w:rsidP="00CA19AC">
      <w:pPr>
        <w:pStyle w:val="Bullet"/>
        <w:rPr>
          <w:color w:val="134753" w:themeColor="text2"/>
          <w:szCs w:val="20"/>
        </w:rPr>
      </w:pPr>
      <w:r w:rsidRPr="00F171A3">
        <w:rPr>
          <w:color w:val="134753" w:themeColor="text2"/>
          <w:szCs w:val="20"/>
        </w:rPr>
        <w:t>Programul Operațional Tranziție Justă (POTJ).</w:t>
      </w:r>
    </w:p>
    <w:p w14:paraId="24BD4AC7" w14:textId="77777777" w:rsidR="00CA19AC" w:rsidRPr="00F171A3" w:rsidRDefault="00CA19AC" w:rsidP="00CA19AC">
      <w:r w:rsidRPr="00F171A3">
        <w:rPr>
          <w:rFonts w:ascii="Calibri" w:eastAsia="Times New Roman" w:hAnsi="Calibri" w:cs="Times New Roman"/>
          <w:b/>
          <w:color w:val="134753" w:themeColor="text2"/>
          <w:szCs w:val="28"/>
          <w:lang w:eastAsia="ro-RO"/>
        </w:rPr>
        <w:t>Programul Operațional Regional pentru Regiunea București - Ilfov</w:t>
      </w:r>
      <w:r w:rsidRPr="00F171A3">
        <w:t xml:space="preserve"> reprezintă principalul document de orientare a investițiilor cofinanțate din fonduri europene din regiune și, implicit, a celor din municipiul București, în perioada 2021-2027. Prioritățile POR Regiunea București – Ilfov, pentru perioada 2021-2027, sunt următoarele:</w:t>
      </w:r>
    </w:p>
    <w:p w14:paraId="0CEA8332" w14:textId="77777777" w:rsidR="00CA19AC" w:rsidRPr="00F171A3" w:rsidRDefault="00CA19AC" w:rsidP="00CA19AC">
      <w:pPr>
        <w:pStyle w:val="Bullet"/>
        <w:spacing w:after="120"/>
        <w:ind w:left="714" w:hanging="357"/>
      </w:pPr>
      <w:r w:rsidRPr="00F171A3">
        <w:t xml:space="preserve">Prioritatea 1 – </w:t>
      </w:r>
      <w:hyperlink r:id="rId33" w:history="1">
        <w:r w:rsidRPr="00F171A3">
          <w:t>O regiune competitivă prin inovare, digitalizare și întreprinderi dinamice</w:t>
        </w:r>
      </w:hyperlink>
      <w:r w:rsidRPr="00F171A3">
        <w:t>;</w:t>
      </w:r>
    </w:p>
    <w:p w14:paraId="1BB7D2E8" w14:textId="77777777" w:rsidR="00CA19AC" w:rsidRPr="00F171A3" w:rsidRDefault="00CA19AC" w:rsidP="00CA19AC">
      <w:pPr>
        <w:pStyle w:val="Bullet"/>
        <w:spacing w:after="120"/>
        <w:ind w:left="714" w:hanging="357"/>
      </w:pPr>
      <w:r w:rsidRPr="00F171A3">
        <w:t xml:space="preserve">Prioritatea 2 – </w:t>
      </w:r>
      <w:hyperlink r:id="rId34" w:history="1">
        <w:r w:rsidRPr="00F171A3">
          <w:t>O regiune digitalizată</w:t>
        </w:r>
      </w:hyperlink>
      <w:r w:rsidRPr="00F171A3">
        <w:t>;</w:t>
      </w:r>
    </w:p>
    <w:p w14:paraId="7622DB88" w14:textId="77777777" w:rsidR="00CA19AC" w:rsidRPr="00F171A3" w:rsidRDefault="00CA19AC" w:rsidP="00CA19AC">
      <w:pPr>
        <w:pStyle w:val="Bullet"/>
        <w:spacing w:after="120"/>
        <w:ind w:left="714" w:hanging="357"/>
      </w:pPr>
      <w:r w:rsidRPr="00F171A3">
        <w:t xml:space="preserve">Prioritatea 3 – </w:t>
      </w:r>
      <w:hyperlink r:id="rId35" w:history="1">
        <w:r w:rsidRPr="00F171A3">
          <w:t>O regiune prietenoasă cu mediul</w:t>
        </w:r>
      </w:hyperlink>
      <w:r w:rsidRPr="00F171A3">
        <w:t>;</w:t>
      </w:r>
    </w:p>
    <w:p w14:paraId="324CD4A9" w14:textId="77777777" w:rsidR="00CA19AC" w:rsidRPr="00F171A3" w:rsidRDefault="00CA19AC" w:rsidP="00CA19AC">
      <w:pPr>
        <w:pStyle w:val="Bullet"/>
        <w:spacing w:after="120"/>
        <w:ind w:left="714" w:hanging="357"/>
      </w:pPr>
      <w:r w:rsidRPr="00F171A3">
        <w:t xml:space="preserve">Prioritatea 4 – </w:t>
      </w:r>
      <w:hyperlink r:id="rId36" w:history="1">
        <w:r w:rsidRPr="00F171A3">
          <w:t>O regiune cu mobilitate ridicată și emisii scăzute de carbon</w:t>
        </w:r>
      </w:hyperlink>
      <w:r w:rsidRPr="00F171A3">
        <w:t>;</w:t>
      </w:r>
    </w:p>
    <w:p w14:paraId="488732BB" w14:textId="77777777" w:rsidR="00CA19AC" w:rsidRPr="00F171A3" w:rsidRDefault="00CA19AC" w:rsidP="00CA19AC">
      <w:pPr>
        <w:pStyle w:val="Bullet"/>
        <w:spacing w:after="120"/>
        <w:ind w:left="714" w:hanging="357"/>
      </w:pPr>
      <w:r w:rsidRPr="00F171A3">
        <w:t xml:space="preserve">Prioritatea 5 – </w:t>
      </w:r>
      <w:hyperlink r:id="rId37" w:history="1">
        <w:r w:rsidRPr="00F171A3">
          <w:t>O regiune accesibilă</w:t>
        </w:r>
      </w:hyperlink>
      <w:r w:rsidRPr="00F171A3">
        <w:t>;</w:t>
      </w:r>
    </w:p>
    <w:p w14:paraId="05B219E3" w14:textId="77777777" w:rsidR="00CA19AC" w:rsidRPr="00F171A3" w:rsidRDefault="00CA19AC" w:rsidP="00CA19AC">
      <w:pPr>
        <w:pStyle w:val="Bullet"/>
        <w:spacing w:after="120"/>
        <w:ind w:left="714" w:hanging="357"/>
      </w:pPr>
      <w:r w:rsidRPr="00F171A3">
        <w:t xml:space="preserve">Prioritatea 6 – </w:t>
      </w:r>
      <w:hyperlink r:id="rId38" w:history="1">
        <w:r w:rsidRPr="00F171A3">
          <w:t>O regiune cu infrastructură educațională modernă</w:t>
        </w:r>
      </w:hyperlink>
      <w:r w:rsidRPr="00F171A3">
        <w:t>;</w:t>
      </w:r>
    </w:p>
    <w:p w14:paraId="1C97C6CD" w14:textId="77777777" w:rsidR="00CA19AC" w:rsidRPr="00F171A3" w:rsidRDefault="00CA19AC" w:rsidP="00CA19AC">
      <w:pPr>
        <w:pStyle w:val="Bullet"/>
        <w:spacing w:after="120"/>
        <w:ind w:left="714" w:hanging="357"/>
      </w:pPr>
      <w:r w:rsidRPr="00F171A3">
        <w:t xml:space="preserve">Prioritatea 7 – </w:t>
      </w:r>
      <w:hyperlink r:id="rId39" w:history="1">
        <w:r w:rsidRPr="00F171A3">
          <w:t>O regiune atractivă și incluzivă</w:t>
        </w:r>
      </w:hyperlink>
      <w:r w:rsidRPr="00F171A3">
        <w:t>;</w:t>
      </w:r>
    </w:p>
    <w:p w14:paraId="05B255D5" w14:textId="5E22C64C" w:rsidR="00CA19AC" w:rsidRPr="00F171A3" w:rsidRDefault="00CA19AC" w:rsidP="00CA19AC">
      <w:pPr>
        <w:pStyle w:val="Bullet"/>
        <w:spacing w:after="120"/>
        <w:ind w:left="714" w:hanging="357"/>
      </w:pPr>
      <w:r w:rsidRPr="00F171A3">
        <w:t xml:space="preserve">Prioritatea 8 – Asistență tehnică. </w:t>
      </w:r>
    </w:p>
    <w:p w14:paraId="771E3749" w14:textId="77777777" w:rsidR="007D0D63" w:rsidRPr="00F171A3" w:rsidRDefault="007D0D63" w:rsidP="007D0D63">
      <w:pPr>
        <w:pStyle w:val="Bullet"/>
        <w:numPr>
          <w:ilvl w:val="0"/>
          <w:numId w:val="0"/>
        </w:numPr>
        <w:spacing w:after="120"/>
      </w:pPr>
    </w:p>
    <w:p w14:paraId="25937810" w14:textId="5D3BD804" w:rsidR="00CA19AC" w:rsidRPr="00F171A3" w:rsidRDefault="00CA19AC" w:rsidP="00CA19AC">
      <w:r w:rsidRPr="00F171A3">
        <w:rPr>
          <w:rFonts w:ascii="Calibri" w:eastAsia="Times New Roman" w:hAnsi="Calibri" w:cs="Times New Roman"/>
          <w:b/>
          <w:color w:val="134753" w:themeColor="text2"/>
          <w:szCs w:val="28"/>
          <w:lang w:eastAsia="ro-RO"/>
        </w:rPr>
        <w:t>Planul Național de Relansare și Reziliență (PNRR)</w:t>
      </w:r>
      <w:r w:rsidRPr="00F171A3">
        <w:rPr>
          <w:rFonts w:ascii="Calibri" w:eastAsia="Times New Roman" w:hAnsi="Calibri" w:cs="Times New Roman"/>
          <w:szCs w:val="28"/>
          <w:lang w:eastAsia="ro-RO"/>
        </w:rPr>
        <w:t xml:space="preserve"> al României</w:t>
      </w:r>
      <w:r w:rsidRPr="00F171A3">
        <w:rPr>
          <w:rStyle w:val="FocusChar"/>
          <w:lang w:val="ro-RO"/>
        </w:rPr>
        <w:t xml:space="preserve">, </w:t>
      </w:r>
      <w:r w:rsidRPr="00F171A3">
        <w:t xml:space="preserve">un document strategic extrem de important pentru perioada de programare 2021-2027, acesta stabilind domeniile și prioritățile de investiții de la nivel național, precum și a direcțiilor de reformă în contextul crizei pandemice existente. Documentul se bazează pe cei 6 piloni principali ai Mecanismului de redresare și reziliență european și propune alocarea a 41.1 miliarde EUR (141% din alocarea României din granturi și împrumuturi) pentru reformele naționale. </w:t>
      </w:r>
    </w:p>
    <w:p w14:paraId="5BDAEBE4" w14:textId="77777777" w:rsidR="007D0D63" w:rsidRPr="00F171A3" w:rsidRDefault="007D0D63" w:rsidP="00CA19AC">
      <w:pPr>
        <w:rPr>
          <w:rFonts w:cstheme="minorHAnsi"/>
          <w:lang w:eastAsia="zh-CN"/>
        </w:rPr>
      </w:pPr>
    </w:p>
    <w:p w14:paraId="2571D3AF" w14:textId="5BF0AAA9" w:rsidR="00CA19AC" w:rsidRPr="00F171A3" w:rsidRDefault="00D64CC5" w:rsidP="00837917">
      <w:pPr>
        <w:pStyle w:val="Heading3"/>
        <w:rPr>
          <w:lang w:val="ro-RO"/>
        </w:rPr>
      </w:pPr>
      <w:bookmarkStart w:id="42" w:name="_Toc127199264"/>
      <w:r w:rsidRPr="00F171A3">
        <w:rPr>
          <w:caps w:val="0"/>
          <w:lang w:val="ro-RO"/>
        </w:rPr>
        <w:t>CONTEXT STRATEGIC NAȚIONAL</w:t>
      </w:r>
      <w:bookmarkEnd w:id="42"/>
    </w:p>
    <w:p w14:paraId="1AD29A32" w14:textId="77777777" w:rsidR="00CA19AC" w:rsidRPr="00F171A3" w:rsidRDefault="00CA19AC" w:rsidP="00CA19AC">
      <w:r w:rsidRPr="00F171A3">
        <w:t>În ceea ce privește documentele strategice relevante de la nivel național, propunerile privind dezvoltarea municipiului București post 2020 includ, fără a se limita la:</w:t>
      </w:r>
    </w:p>
    <w:p w14:paraId="1C723DCB" w14:textId="77777777" w:rsidR="00CA19AC" w:rsidRPr="00F171A3" w:rsidRDefault="00CA19AC" w:rsidP="00CA19AC">
      <w:pPr>
        <w:pStyle w:val="Bullet"/>
      </w:pPr>
      <w:r w:rsidRPr="00F171A3">
        <w:t>Planul de Amenajare a Teritoriului Național;</w:t>
      </w:r>
    </w:p>
    <w:p w14:paraId="65B94F1D" w14:textId="77777777" w:rsidR="00CA19AC" w:rsidRPr="00F171A3" w:rsidRDefault="00CA19AC" w:rsidP="00CA19AC">
      <w:pPr>
        <w:pStyle w:val="Bullet"/>
      </w:pPr>
      <w:r w:rsidRPr="00F171A3">
        <w:t>Strategia de Dezvoltare Teritorială a României, 2035;</w:t>
      </w:r>
    </w:p>
    <w:p w14:paraId="111CF87C" w14:textId="77777777" w:rsidR="00CA19AC" w:rsidRPr="00F171A3" w:rsidRDefault="00CA19AC" w:rsidP="00CA19AC">
      <w:pPr>
        <w:pStyle w:val="Bullet"/>
      </w:pPr>
      <w:r w:rsidRPr="00F171A3">
        <w:t>Planul Investițional pentru Dezvoltarea Infrastructurii de Transport pentru perioada 2020-2030;</w:t>
      </w:r>
    </w:p>
    <w:p w14:paraId="1F756492" w14:textId="78986CE1" w:rsidR="00CA19AC" w:rsidRPr="00F171A3" w:rsidRDefault="00CA19AC" w:rsidP="00CA19AC">
      <w:pPr>
        <w:pStyle w:val="Bullet"/>
      </w:pPr>
      <w:r w:rsidRPr="00F171A3">
        <w:t>Alte strategii sectoriale la nivel național (care acoperă sectoare cheie ale dezvoltării).</w:t>
      </w:r>
    </w:p>
    <w:p w14:paraId="0A95F8E4" w14:textId="77777777" w:rsidR="007D0D63" w:rsidRPr="00F171A3" w:rsidRDefault="007D0D63" w:rsidP="007D0D63">
      <w:pPr>
        <w:pStyle w:val="Bullet"/>
        <w:numPr>
          <w:ilvl w:val="0"/>
          <w:numId w:val="0"/>
        </w:numPr>
      </w:pPr>
    </w:p>
    <w:p w14:paraId="759FFF5D" w14:textId="77777777" w:rsidR="00CA19AC" w:rsidRPr="00F171A3" w:rsidRDefault="00CA19AC" w:rsidP="00CA19AC">
      <w:r w:rsidRPr="00F171A3">
        <w:rPr>
          <w:rStyle w:val="FocusChar"/>
          <w:lang w:val="ro-RO"/>
        </w:rPr>
        <w:t>Planul de amenajare a teritoriului național (PATN)</w:t>
      </w:r>
      <w:r w:rsidRPr="00F171A3">
        <w:t xml:space="preserve">. </w:t>
      </w:r>
      <w:r w:rsidRPr="00F171A3">
        <w:rPr>
          <w:rStyle w:val="FocusChar"/>
          <w:lang w:val="ro-RO"/>
        </w:rPr>
        <w:t>Secțiunea I – Rețele de transport</w:t>
      </w:r>
      <w:r w:rsidRPr="00F171A3">
        <w:rPr>
          <w:color w:val="7F7F7F" w:themeColor="accent1"/>
        </w:rPr>
        <w:t xml:space="preserve"> </w:t>
      </w:r>
      <w:r w:rsidRPr="00F171A3">
        <w:t>a PATN propune următoarele intervenții de interes pentru municipiul București și, implicit, pentru Sectorul 2:</w:t>
      </w:r>
    </w:p>
    <w:p w14:paraId="16149A2F" w14:textId="77777777" w:rsidR="00CA19AC" w:rsidRPr="00F171A3" w:rsidRDefault="00CA19AC" w:rsidP="007D0D63">
      <w:pPr>
        <w:pStyle w:val="Bullet"/>
      </w:pPr>
      <w:r w:rsidRPr="00F171A3">
        <w:t>Autostrada Nădlac – Arad – Timișoara – Lugoj – Deva – Sibiu – Pitești – București – Lehliu – Fetești – Cernavodă – Constanța;</w:t>
      </w:r>
    </w:p>
    <w:p w14:paraId="2F6BB93E" w14:textId="77777777" w:rsidR="00CA19AC" w:rsidRPr="00F171A3" w:rsidRDefault="00CA19AC" w:rsidP="007D0D63">
      <w:pPr>
        <w:pStyle w:val="Bullet"/>
      </w:pPr>
      <w:r w:rsidRPr="00F171A3">
        <w:t>Autostrada Sibiu – Făgăraș – Brașov – Ploiești – București;</w:t>
      </w:r>
    </w:p>
    <w:p w14:paraId="52AE53E4" w14:textId="77777777" w:rsidR="00CA19AC" w:rsidRPr="00F171A3" w:rsidRDefault="00CA19AC" w:rsidP="007D0D63">
      <w:pPr>
        <w:pStyle w:val="Bullet"/>
      </w:pPr>
      <w:r w:rsidRPr="00F171A3">
        <w:t>Autostrada București – Giurgiu;</w:t>
      </w:r>
    </w:p>
    <w:p w14:paraId="04D53FE7" w14:textId="77777777" w:rsidR="00CA19AC" w:rsidRPr="00F171A3" w:rsidRDefault="00CA19AC" w:rsidP="007D0D63">
      <w:pPr>
        <w:pStyle w:val="Bullet"/>
      </w:pPr>
      <w:r w:rsidRPr="00F171A3">
        <w:t>Centura București;</w:t>
      </w:r>
    </w:p>
    <w:p w14:paraId="04012DE1" w14:textId="77777777" w:rsidR="00CA19AC" w:rsidRPr="00F171A3" w:rsidRDefault="00CA19AC" w:rsidP="007D0D63">
      <w:pPr>
        <w:pStyle w:val="Bullet"/>
      </w:pPr>
      <w:r w:rsidRPr="00F171A3">
        <w:t>Autostrada Craiova – București;</w:t>
      </w:r>
    </w:p>
    <w:p w14:paraId="3C49C39D" w14:textId="77777777" w:rsidR="00CA19AC" w:rsidRPr="00F171A3" w:rsidRDefault="00CA19AC" w:rsidP="007D0D63">
      <w:pPr>
        <w:pStyle w:val="Bullet"/>
      </w:pPr>
      <w:r w:rsidRPr="00F171A3">
        <w:t>Drum expres / cu 4 benzi Craiova – Alexandria – București;</w:t>
      </w:r>
    </w:p>
    <w:p w14:paraId="74E244AF" w14:textId="77777777" w:rsidR="00CA19AC" w:rsidRPr="00F171A3" w:rsidRDefault="00CA19AC" w:rsidP="007D0D63">
      <w:pPr>
        <w:pStyle w:val="Bullet"/>
      </w:pPr>
      <w:r w:rsidRPr="00F171A3">
        <w:t>Drum expres / cu 4 benzi Buzău – București;</w:t>
      </w:r>
    </w:p>
    <w:p w14:paraId="2771E7EF" w14:textId="77777777" w:rsidR="00CA19AC" w:rsidRPr="00F171A3" w:rsidRDefault="00CA19AC" w:rsidP="007D0D63">
      <w:pPr>
        <w:pStyle w:val="Bullet"/>
      </w:pPr>
      <w:r w:rsidRPr="00F171A3">
        <w:t>Drum expres / cu 4 benzi București – Giurgiu;</w:t>
      </w:r>
    </w:p>
    <w:p w14:paraId="57DB8720" w14:textId="77777777" w:rsidR="00CA19AC" w:rsidRPr="00F171A3" w:rsidRDefault="00CA19AC" w:rsidP="007D0D63">
      <w:pPr>
        <w:pStyle w:val="Bullet"/>
      </w:pPr>
      <w:r w:rsidRPr="00F171A3">
        <w:t>Linie de cale ferată convențională (viteză de până la 160 km/h) Curtici – Arad – Brașov – Ploiești – București – Fetești – Constanța;</w:t>
      </w:r>
    </w:p>
    <w:p w14:paraId="1BDBC585" w14:textId="77777777" w:rsidR="00CA19AC" w:rsidRPr="00F171A3" w:rsidRDefault="00CA19AC" w:rsidP="007D0D63">
      <w:pPr>
        <w:pStyle w:val="Bullet"/>
      </w:pPr>
      <w:r w:rsidRPr="00F171A3">
        <w:t>Linie de cale ferată convențională (viteză de până la 160 km/h) Vințu de Jos – Sibiu – Râmnicu Vâlcea – Vâlcele – Pitești – București;</w:t>
      </w:r>
    </w:p>
    <w:p w14:paraId="5935528F" w14:textId="77777777" w:rsidR="00CA19AC" w:rsidRPr="00F171A3" w:rsidRDefault="00CA19AC" w:rsidP="007D0D63">
      <w:pPr>
        <w:pStyle w:val="Bullet"/>
      </w:pPr>
      <w:r w:rsidRPr="00F171A3">
        <w:t>Linie de cale ferată convențională (viteză de până la 160 km/h) Craiova – Roșiori – Videle – București / Giurgiu;</w:t>
      </w:r>
    </w:p>
    <w:p w14:paraId="6DAD3095" w14:textId="77777777" w:rsidR="00CA19AC" w:rsidRPr="00F171A3" w:rsidRDefault="00CA19AC" w:rsidP="007D0D63">
      <w:pPr>
        <w:pStyle w:val="Bullet"/>
      </w:pPr>
      <w:r w:rsidRPr="00F171A3">
        <w:t>Linie de cale ferată convențională (viteză de până la 160 km/h) Cristești Jijia – Iași – Pașcani – Bacău – Focșani – Buzău – Ploiești – București – Giurgiu;</w:t>
      </w:r>
    </w:p>
    <w:p w14:paraId="282DAEE7" w14:textId="77777777" w:rsidR="00CA19AC" w:rsidRPr="00F171A3" w:rsidRDefault="00CA19AC" w:rsidP="007D0D63">
      <w:pPr>
        <w:pStyle w:val="Bullet"/>
      </w:pPr>
      <w:r w:rsidRPr="00F171A3">
        <w:t>Linie de cale ferată convențională (viteză de până la 160 km/h) București – Urziceni – Făurei;</w:t>
      </w:r>
    </w:p>
    <w:p w14:paraId="7B9BA79C" w14:textId="77777777" w:rsidR="00CA19AC" w:rsidRPr="00F171A3" w:rsidRDefault="00CA19AC" w:rsidP="007D0D63">
      <w:pPr>
        <w:pStyle w:val="Bullet"/>
      </w:pPr>
      <w:r w:rsidRPr="00F171A3">
        <w:t>Port nou pe râul Dâmbovița la București (Glina);</w:t>
      </w:r>
    </w:p>
    <w:p w14:paraId="1D7A07C1" w14:textId="77777777" w:rsidR="00CA19AC" w:rsidRPr="00F171A3" w:rsidRDefault="00CA19AC" w:rsidP="007D0D63">
      <w:pPr>
        <w:pStyle w:val="Bullet"/>
      </w:pPr>
      <w:r w:rsidRPr="00F171A3">
        <w:t>Modernizare Aeroportul București Băneasa și Aeroportul București Henri Coandă;</w:t>
      </w:r>
    </w:p>
    <w:p w14:paraId="6D884928" w14:textId="77777777" w:rsidR="00CA19AC" w:rsidRPr="00F171A3" w:rsidRDefault="00CA19AC" w:rsidP="007D0D63">
      <w:pPr>
        <w:pStyle w:val="Bullet"/>
        <w:rPr>
          <w:color w:val="134753" w:themeColor="text2"/>
        </w:rPr>
      </w:pPr>
      <w:r w:rsidRPr="00F171A3">
        <w:t>Modernizare terminal de transport combinat Bucureștii Noi.</w:t>
      </w:r>
    </w:p>
    <w:p w14:paraId="206B7FC4" w14:textId="1A58524C" w:rsidR="00CA19AC" w:rsidRPr="00F171A3" w:rsidRDefault="00CA19AC" w:rsidP="00CA19AC">
      <w:r w:rsidRPr="00F171A3">
        <w:t xml:space="preserve">De asemenea, </w:t>
      </w:r>
      <w:r w:rsidRPr="00F171A3">
        <w:rPr>
          <w:rStyle w:val="FocusChar"/>
          <w:lang w:val="ro-RO"/>
        </w:rPr>
        <w:t>Secțiunea a III-a – Zone protejate</w:t>
      </w:r>
      <w:r w:rsidRPr="00F171A3">
        <w:t xml:space="preserve"> prevede mai multe elemente din municipiul București încadrate drept valori de patrimoniu cultural de interes național. Dintre acestea, pe teritoriul Sectorului 2 se află Casa Melik, Palatul Ghica Tei, Școala Centrală de Fete, Biserica Mărcuța, Ansamblul Mănăstirii Plumbuita și Moara lui Asan. Totodată, municipiul București este încadrat drept UAT cu concentrare foarte mare a patrimoniului construit cu valoare culturală de interes național. </w:t>
      </w:r>
    </w:p>
    <w:p w14:paraId="57113BF9" w14:textId="77777777" w:rsidR="00CA19AC" w:rsidRPr="00F171A3" w:rsidRDefault="00CA19AC" w:rsidP="00CA19AC">
      <w:r w:rsidRPr="00F171A3">
        <w:t>Nu în ultimul rând,</w:t>
      </w:r>
      <w:r w:rsidRPr="00F171A3">
        <w:rPr>
          <w:b/>
          <w:bCs/>
          <w:color w:val="7F7F7F" w:themeColor="accent1"/>
        </w:rPr>
        <w:t xml:space="preserve"> </w:t>
      </w:r>
      <w:r w:rsidRPr="00F171A3">
        <w:rPr>
          <w:rStyle w:val="FocusChar"/>
          <w:lang w:val="ro-RO"/>
        </w:rPr>
        <w:t>Secțiunea a V-a – Zone de risc natural</w:t>
      </w:r>
      <w:r w:rsidRPr="00F171A3">
        <w:t xml:space="preserve">, clasifică municipiul București ca fiind în zonă cu intensitate seismică VIII (grade MSK). </w:t>
      </w:r>
    </w:p>
    <w:p w14:paraId="107626EA" w14:textId="77777777" w:rsidR="007D0D63" w:rsidRPr="00F171A3" w:rsidRDefault="007D0D63" w:rsidP="00CA19AC">
      <w:pPr>
        <w:spacing w:before="240"/>
        <w:rPr>
          <w:b/>
          <w:bCs/>
          <w:color w:val="134753" w:themeColor="text2"/>
        </w:rPr>
      </w:pPr>
    </w:p>
    <w:p w14:paraId="08E5E74F" w14:textId="1750C3D9" w:rsidR="00CA19AC" w:rsidRPr="00F171A3" w:rsidRDefault="00CA19AC" w:rsidP="00CA19AC">
      <w:pPr>
        <w:spacing w:before="240"/>
      </w:pPr>
      <w:r w:rsidRPr="00F171A3">
        <w:rPr>
          <w:b/>
          <w:bCs/>
          <w:color w:val="134753" w:themeColor="text2"/>
        </w:rPr>
        <w:t>STRATEGIA DE DEZVOLTARE TERITORIALĂ A ROMÂNIEI (SDTR)</w:t>
      </w:r>
      <w:r w:rsidRPr="00F171A3">
        <w:rPr>
          <w:rStyle w:val="FootnoteReference"/>
          <w:b/>
          <w:bCs/>
          <w:color w:val="134753" w:themeColor="text2"/>
        </w:rPr>
        <w:footnoteReference w:id="3"/>
      </w:r>
      <w:r w:rsidRPr="00F171A3">
        <w:rPr>
          <w:b/>
          <w:bCs/>
          <w:color w:val="134753" w:themeColor="text2"/>
        </w:rPr>
        <w:t xml:space="preserve"> </w:t>
      </w:r>
      <w:r w:rsidRPr="00F171A3">
        <w:t xml:space="preserve">este documentul strategic care vizează dezvoltarea teritoriului național pentru orizontul de timp 2035, prezentând viziunea și obiectivele de dezvoltare la nivel național, regional și interregional, precum și aspecte ce privesc dezvoltarea la nivel transfrontalier și transnațional. </w:t>
      </w:r>
    </w:p>
    <w:p w14:paraId="76E78907" w14:textId="77777777" w:rsidR="00CA19AC" w:rsidRPr="00F171A3" w:rsidRDefault="00CA19AC" w:rsidP="00CA19AC">
      <w:r w:rsidRPr="00F171A3">
        <w:t>Conform viziunii SDTR, „România în 2035 este o țară cu un teritoriu funcțional, administrat eficient, care asigură condiții de viață și locuire pentru cetățenii săi și are un rol important în dezvoltarea zonei de sud-est a Europei”. SDTR include 5 obiective generale, după cum urmează:</w:t>
      </w:r>
    </w:p>
    <w:p w14:paraId="2B80CEC0" w14:textId="77777777" w:rsidR="00CA19AC" w:rsidRPr="00F171A3" w:rsidRDefault="00CA19AC" w:rsidP="007D0D63">
      <w:pPr>
        <w:pStyle w:val="Bullet"/>
      </w:pPr>
      <w:r w:rsidRPr="00F171A3">
        <w:t>Asigurarea unei integrări funcționale a teritoriului național în spațiul european prin sprijinirea interconectării eficiente a rețelelor energetice, de transporturi și broadband;</w:t>
      </w:r>
    </w:p>
    <w:p w14:paraId="0788634F" w14:textId="77777777" w:rsidR="00CA19AC" w:rsidRPr="00F171A3" w:rsidRDefault="00CA19AC" w:rsidP="007D0D63">
      <w:pPr>
        <w:pStyle w:val="Bullet"/>
      </w:pPr>
      <w:r w:rsidRPr="00F171A3">
        <w:t>Creșterea calității vieții prin dezvoltarea infrastructurii tehnico-edilitară și a serviciilor publice în vederea asigurării unor spații urbane și rurale de calitate, atractive și incluzive;</w:t>
      </w:r>
    </w:p>
    <w:p w14:paraId="16569316" w14:textId="77777777" w:rsidR="00CA19AC" w:rsidRPr="00F171A3" w:rsidRDefault="00CA19AC" w:rsidP="007D0D63">
      <w:pPr>
        <w:pStyle w:val="Bullet"/>
      </w:pPr>
      <w:r w:rsidRPr="00F171A3">
        <w:t>Dezvoltarea unei rețele de localități competitive și coezive prin sprijinirea specializării teritoriale și formarea zonelor funcționale urbane;</w:t>
      </w:r>
    </w:p>
    <w:p w14:paraId="12556E1D" w14:textId="77777777" w:rsidR="00CA19AC" w:rsidRPr="00F171A3" w:rsidRDefault="00CA19AC" w:rsidP="007D0D63">
      <w:pPr>
        <w:pStyle w:val="Bullet"/>
      </w:pPr>
      <w:r w:rsidRPr="00F171A3">
        <w:t>Protejarea patrimoniului natural și construit și valorificarea elementelor de identitate teritorială;</w:t>
      </w:r>
    </w:p>
    <w:p w14:paraId="726E0E12" w14:textId="77777777" w:rsidR="00CA19AC" w:rsidRPr="00F171A3" w:rsidRDefault="00CA19AC" w:rsidP="007D0D63">
      <w:pPr>
        <w:pStyle w:val="Bullet"/>
      </w:pPr>
      <w:r w:rsidRPr="00F171A3">
        <w:t xml:space="preserve">Creșterea capacității instituționale de gestionare a proceselor de dezvoltare teritorială. </w:t>
      </w:r>
    </w:p>
    <w:p w14:paraId="4F35F0B3" w14:textId="7A5AF321" w:rsidR="00CA19AC" w:rsidRPr="00F171A3" w:rsidRDefault="00CA19AC" w:rsidP="00CA19AC">
      <w:r w:rsidRPr="00F171A3">
        <w:t xml:space="preserve">Pentru concretizarea viziunii, Strategia propune un scenariu de dezvoltare pentru anul 2035, concentrat pe dezvoltarea unei Românii policentrice. Scenariul urmărește dezvoltarea unor nuclee de concentrare a resurselor umane, materiale, tehnologice și de capitaluri, fiind vizate orașele mari și medii. Scopul unei astfel de dezvoltări este de a conecta eficient zonele de dezvoltare de la nivel național cu teritoriile europene, în vederea integrării mai bune a României în cadrul Uniunii Europene atât din punct de vedere economic, cât și regional. </w:t>
      </w:r>
    </w:p>
    <w:p w14:paraId="0E2E23FD" w14:textId="77777777" w:rsidR="007D0D63" w:rsidRPr="00F171A3" w:rsidRDefault="007D0D63" w:rsidP="00CA19AC"/>
    <w:p w14:paraId="635FEE2D" w14:textId="77777777" w:rsidR="00CA19AC" w:rsidRPr="00F171A3" w:rsidRDefault="00CA19AC" w:rsidP="00CA19AC">
      <w:pPr>
        <w:spacing w:before="240"/>
      </w:pPr>
      <w:r w:rsidRPr="00F171A3">
        <w:rPr>
          <w:rStyle w:val="FocusChar"/>
          <w:lang w:val="ro-RO"/>
        </w:rPr>
        <w:t>Planul Investițional pentru dezvoltarea infrastructurii de transport pentru perioada 2020-2030</w:t>
      </w:r>
      <w:r w:rsidRPr="00F171A3">
        <w:t>, este un document relevant care propune actualizarea Masterplanului General de Transport al României. În cadrul acestuia, sunt prevăzute următoarele proiecte de interes pentru Sectorul 2:</w:t>
      </w:r>
    </w:p>
    <w:p w14:paraId="72411B72" w14:textId="77777777" w:rsidR="00CA19AC" w:rsidRPr="00F171A3" w:rsidRDefault="00CA19AC" w:rsidP="007D0D63">
      <w:pPr>
        <w:pStyle w:val="Bullet"/>
      </w:pPr>
      <w:r w:rsidRPr="00F171A3">
        <w:t>Inel București (Nord) + drumuri radiale, cu o valoare estimată de 1232,6 mil. EUR;</w:t>
      </w:r>
    </w:p>
    <w:p w14:paraId="46C6E238" w14:textId="77777777" w:rsidR="00CA19AC" w:rsidRPr="00F171A3" w:rsidRDefault="00CA19AC" w:rsidP="007D0D63">
      <w:pPr>
        <w:pStyle w:val="Bullet"/>
      </w:pPr>
      <w:r w:rsidRPr="00F171A3">
        <w:t>Inel București (Sud), cu o valoare estimată de 603,7 mil. EUR;</w:t>
      </w:r>
    </w:p>
    <w:p w14:paraId="56E15748" w14:textId="77777777" w:rsidR="00CA19AC" w:rsidRPr="00F171A3" w:rsidRDefault="00CA19AC" w:rsidP="007D0D63">
      <w:pPr>
        <w:pStyle w:val="Bullet"/>
      </w:pPr>
      <w:r w:rsidRPr="00F171A3">
        <w:t>Drum expres Giurgiu – București, cu o valoare estimată de 344,9 mil. EUR;</w:t>
      </w:r>
    </w:p>
    <w:p w14:paraId="1DDE564D" w14:textId="77777777" w:rsidR="00CA19AC" w:rsidRPr="00F171A3" w:rsidRDefault="00CA19AC" w:rsidP="007D0D63">
      <w:pPr>
        <w:pStyle w:val="Bullet"/>
      </w:pPr>
      <w:r w:rsidRPr="00F171A3">
        <w:t>Drum expres A3 – Aeroport Henri Coandă – DN1, cu o valoare estimată de 51,3 mil. EUR;</w:t>
      </w:r>
    </w:p>
    <w:p w14:paraId="75A18616" w14:textId="77777777" w:rsidR="00CA19AC" w:rsidRPr="00F171A3" w:rsidRDefault="00CA19AC" w:rsidP="007D0D63">
      <w:pPr>
        <w:pStyle w:val="Bullet"/>
      </w:pPr>
      <w:r w:rsidRPr="00F171A3">
        <w:t>Drum expres A0 – București – Târgoviște, cu o valoare estimată de 371,8 mil. EUR;</w:t>
      </w:r>
    </w:p>
    <w:p w14:paraId="50A1EA16" w14:textId="77777777" w:rsidR="00CA19AC" w:rsidRPr="00F171A3" w:rsidRDefault="00CA19AC" w:rsidP="007D0D63">
      <w:pPr>
        <w:pStyle w:val="Bullet"/>
      </w:pPr>
      <w:r w:rsidRPr="00F171A3">
        <w:t>Modernizare CF Constanța – București, cu o valoare estimată de 77,1 mil. EUR;</w:t>
      </w:r>
    </w:p>
    <w:p w14:paraId="6E9E1DA3" w14:textId="77777777" w:rsidR="00CA19AC" w:rsidRPr="00F171A3" w:rsidRDefault="00CA19AC" w:rsidP="007D0D63">
      <w:pPr>
        <w:pStyle w:val="Bullet"/>
      </w:pPr>
      <w:r w:rsidRPr="00F171A3">
        <w:t>Modernizare, electrificare și dublare CF Complex feroviar București, cu o valoare estimată de 1190 mil. EUR;</w:t>
      </w:r>
    </w:p>
    <w:p w14:paraId="42E3F9A4" w14:textId="77777777" w:rsidR="00CA19AC" w:rsidRPr="00F171A3" w:rsidRDefault="00CA19AC" w:rsidP="007D0D63">
      <w:pPr>
        <w:pStyle w:val="Bullet"/>
      </w:pPr>
      <w:r w:rsidRPr="00F171A3">
        <w:t>Modernizare și electrificare CF Giurgiu Frontieră – București, cu o valoare estimată de 687,4 mil. EUR;</w:t>
      </w:r>
    </w:p>
    <w:p w14:paraId="3EECD322" w14:textId="77777777" w:rsidR="00CA19AC" w:rsidRPr="00F171A3" w:rsidRDefault="00CA19AC" w:rsidP="007D0D63">
      <w:pPr>
        <w:pStyle w:val="Bullet"/>
      </w:pPr>
      <w:r w:rsidRPr="00F171A3">
        <w:t>Modernizare CF București – Craiova, cu o valoare estimată de 1492,3 mil. EUR;</w:t>
      </w:r>
    </w:p>
    <w:p w14:paraId="1E6C8EEE" w14:textId="77777777" w:rsidR="00CA19AC" w:rsidRPr="00F171A3" w:rsidRDefault="00CA19AC" w:rsidP="007D0D63">
      <w:pPr>
        <w:pStyle w:val="Bullet"/>
      </w:pPr>
      <w:r w:rsidRPr="00F171A3">
        <w:t>Reînnoire CF București – Pitești – Sibiu – Vințu de Jos, cu o valoare estimată de 1247,1 mil. EUR;</w:t>
      </w:r>
    </w:p>
    <w:p w14:paraId="45B3F031" w14:textId="77777777" w:rsidR="00CA19AC" w:rsidRPr="00F171A3" w:rsidRDefault="00CA19AC" w:rsidP="007D0D63">
      <w:pPr>
        <w:pStyle w:val="Bullet"/>
      </w:pPr>
      <w:r w:rsidRPr="00F171A3">
        <w:t>Trenul metropolitan București (aflat pe primul loc în lista prioritizării trenurilor metropolitane la nivel național) – 5 linii vor avea capătul la Gara Obor;</w:t>
      </w:r>
    </w:p>
    <w:p w14:paraId="23125654" w14:textId="77777777" w:rsidR="00CA19AC" w:rsidRPr="00F171A3" w:rsidRDefault="00CA19AC" w:rsidP="007D0D63">
      <w:pPr>
        <w:pStyle w:val="Bullet"/>
      </w:pPr>
      <w:r w:rsidRPr="00F171A3">
        <w:t>Dezvoltarea noilor magistrale de metrou – relevante pentru Sectorul 2 fiind magistralele 5 (Eroilor – Universitate – Pantelimon) și 7 (Voluntari -Bragadiru);</w:t>
      </w:r>
    </w:p>
    <w:p w14:paraId="118695C8" w14:textId="77777777" w:rsidR="00CA19AC" w:rsidRPr="00F171A3" w:rsidRDefault="00CA19AC" w:rsidP="007D0D63">
      <w:pPr>
        <w:pStyle w:val="Bullet"/>
      </w:pPr>
      <w:r w:rsidRPr="00F171A3">
        <w:t>Extensia magistralelor de metrou – relevantă pentru Sectorul 2 fiind extensia M2 Pipera – Petricani;</w:t>
      </w:r>
    </w:p>
    <w:p w14:paraId="732CD526" w14:textId="77777777" w:rsidR="00CA19AC" w:rsidRPr="00F171A3" w:rsidRDefault="00CA19AC" w:rsidP="007D0D63">
      <w:pPr>
        <w:pStyle w:val="Bullet"/>
      </w:pPr>
      <w:r w:rsidRPr="00F171A3">
        <w:t xml:space="preserve">Finalizare Canalul Dunăre – București – Brațul Argeș, cu o valoare estimată de 700 mil. EUR. </w:t>
      </w:r>
    </w:p>
    <w:p w14:paraId="40873E62" w14:textId="2A534C74" w:rsidR="00B95140" w:rsidRPr="00F171A3" w:rsidRDefault="00CA19AC" w:rsidP="009A59EB">
      <w:r w:rsidRPr="00F171A3">
        <w:t xml:space="preserve">Finalizarea acestor proiecte va conduce la îmbunătățirea accesibilității spre și dinspre municipiul București pe cale rutieră, feroviară și navală, precum și la creșterea conectivității acestuia în teritoriu, aspect ce va avea un impact direct asupra dezvoltării Sectorului 2, în special prin prisma elementelor de infrastructură majoră ce urmează să fie dezvoltate pe teritoriul administrativ al sectorului. </w:t>
      </w:r>
    </w:p>
    <w:p w14:paraId="58A8B643" w14:textId="77777777" w:rsidR="007D0D63" w:rsidRPr="00F171A3" w:rsidRDefault="007D0D63" w:rsidP="009A59EB"/>
    <w:p w14:paraId="08AED213" w14:textId="45534679" w:rsidR="00CA19AC" w:rsidRPr="00F171A3" w:rsidRDefault="003C1451" w:rsidP="003F423E">
      <w:pPr>
        <w:pStyle w:val="Heading2"/>
        <w:rPr>
          <w:lang w:val="ro-RO"/>
        </w:rPr>
      </w:pPr>
      <w:bookmarkStart w:id="43" w:name="_Toc79920493"/>
      <w:bookmarkStart w:id="44" w:name="_Toc127199265"/>
      <w:r w:rsidRPr="00F171A3">
        <w:rPr>
          <w:caps w:val="0"/>
          <w:lang w:val="ro-RO"/>
        </w:rPr>
        <w:t>CONTEXT STRATEGIC REGIONAL ȘI LOCAL</w:t>
      </w:r>
      <w:bookmarkEnd w:id="43"/>
      <w:bookmarkEnd w:id="44"/>
      <w:r w:rsidRPr="00F171A3">
        <w:rPr>
          <w:caps w:val="0"/>
          <w:lang w:val="ro-RO"/>
        </w:rPr>
        <w:t xml:space="preserve"> </w:t>
      </w:r>
    </w:p>
    <w:p w14:paraId="35BDCD3D" w14:textId="5C80F11A" w:rsidR="00CA19AC" w:rsidRPr="00F171A3" w:rsidRDefault="00CA19AC" w:rsidP="00CA19AC">
      <w:pPr>
        <w:rPr>
          <w:rFonts w:cstheme="minorHAnsi"/>
          <w:color w:val="000000" w:themeColor="text1"/>
        </w:rPr>
      </w:pPr>
      <w:r w:rsidRPr="00F171A3">
        <w:t>Municipiul Bucureșți, împreuna cu județul Ilfov, reprezintă cea mai dezvoltată regiune a României, cu un PIB per capita ce înregistra, în anul 2019, 160% din media UE (PCS, 20192 )</w:t>
      </w:r>
      <w:r w:rsidRPr="00F171A3">
        <w:rPr>
          <w:rStyle w:val="FootnoteReference"/>
        </w:rPr>
        <w:footnoteReference w:id="4"/>
      </w:r>
      <w:r w:rsidRPr="00F171A3">
        <w:t xml:space="preserve">. Dezvoltarea accelerată a Bucureștiului, din ultimii ani, a contribui la consolidarea statutului de cel mai important centru urban al țării fiind, totodată, și principalul centru </w:t>
      </w:r>
      <w:r w:rsidRPr="00F171A3">
        <w:rPr>
          <w:rFonts w:cstheme="minorHAnsi"/>
          <w:color w:val="000000" w:themeColor="text1"/>
        </w:rPr>
        <w:t>politic, administrativ, economic, financiar, bancar, educaţional, ştiinţific şi cultural din România.</w:t>
      </w:r>
    </w:p>
    <w:p w14:paraId="315F2407" w14:textId="77777777" w:rsidR="009A59EB" w:rsidRPr="00F171A3" w:rsidRDefault="009A59EB" w:rsidP="009A59EB">
      <w:r w:rsidRPr="00F171A3">
        <w:t>Următoarele documente strategice cu impact la nivelul Regiunii București – Ilfov au fost luate în calcul în procesul de modificare și actualizare a prezentei strategii:</w:t>
      </w:r>
    </w:p>
    <w:p w14:paraId="29F60121" w14:textId="25E835A0" w:rsidR="009A59EB" w:rsidRPr="00F171A3" w:rsidRDefault="009A59EB" w:rsidP="009A59EB">
      <w:pPr>
        <w:pStyle w:val="Bullet"/>
      </w:pPr>
      <w:r w:rsidRPr="00F171A3">
        <w:t>Planul de Dezvoltare Regională (PDR BI) București-Ilfov 2021-2027;</w:t>
      </w:r>
    </w:p>
    <w:p w14:paraId="5D961322" w14:textId="77777777" w:rsidR="009A59EB" w:rsidRPr="00F171A3" w:rsidRDefault="009A59EB" w:rsidP="009A59EB">
      <w:pPr>
        <w:pStyle w:val="Bullet"/>
      </w:pPr>
      <w:r w:rsidRPr="00F171A3">
        <w:t>Strategia de Specializare Inteligentă (RIS3 BI)</w:t>
      </w:r>
      <w:r w:rsidRPr="00F171A3">
        <w:rPr>
          <w:rFonts w:eastAsia="SimSun"/>
          <w:bCs w:val="0"/>
          <w:color w:val="auto"/>
          <w:lang w:eastAsia="en-US"/>
        </w:rPr>
        <w:t xml:space="preserve"> </w:t>
      </w:r>
      <w:r w:rsidRPr="00F171A3">
        <w:t>a Regiunii de Dezvoltare București-Ilfov 2021-2027.</w:t>
      </w:r>
    </w:p>
    <w:p w14:paraId="6168F420" w14:textId="77777777" w:rsidR="009A59EB" w:rsidRPr="00F171A3" w:rsidRDefault="009A59EB" w:rsidP="009A59EB">
      <w:pPr>
        <w:pStyle w:val="Bullet"/>
        <w:numPr>
          <w:ilvl w:val="0"/>
          <w:numId w:val="0"/>
        </w:numPr>
        <w:ind w:left="720" w:hanging="360"/>
      </w:pPr>
    </w:p>
    <w:p w14:paraId="15F264FA" w14:textId="5E958648" w:rsidR="009A59EB" w:rsidRPr="00F171A3" w:rsidRDefault="009A59EB" w:rsidP="009A59EB">
      <w:pPr>
        <w:pStyle w:val="Bullet"/>
        <w:numPr>
          <w:ilvl w:val="0"/>
          <w:numId w:val="0"/>
        </w:numPr>
        <w:ind w:hanging="360"/>
        <w:rPr>
          <w:rFonts w:eastAsia="SimSun"/>
          <w:bCs w:val="0"/>
          <w:color w:val="auto"/>
          <w:lang w:eastAsia="en-US"/>
        </w:rPr>
      </w:pPr>
      <w:r w:rsidRPr="00F171A3">
        <w:rPr>
          <w:rStyle w:val="FocusChar"/>
          <w:rFonts w:eastAsia="SimSun"/>
          <w:lang w:val="ro-RO"/>
        </w:rPr>
        <w:t xml:space="preserve">       Planul de Dezvoltare Regională (PDR BI) București-Ilfov 2021-2027</w:t>
      </w:r>
      <w:r w:rsidRPr="00F171A3">
        <w:rPr>
          <w:rFonts w:eastAsia="SimSun"/>
          <w:bCs w:val="0"/>
          <w:color w:val="auto"/>
          <w:lang w:eastAsia="en-US"/>
        </w:rPr>
        <w:t xml:space="preserve">este un document strategic care prezintă priorităţile regiunii de dezvoltare Bucureşti-Ilfov în materie de competitivitate, coeziune socială şi dezvoltare durabilă </w:t>
      </w:r>
      <w:r w:rsidR="007D7030" w:rsidRPr="00F171A3">
        <w:rPr>
          <w:rFonts w:eastAsia="SimSun"/>
          <w:bCs w:val="0"/>
          <w:color w:val="auto"/>
          <w:lang w:eastAsia="en-US"/>
        </w:rPr>
        <w:t>și</w:t>
      </w:r>
      <w:r w:rsidRPr="00F171A3">
        <w:rPr>
          <w:rFonts w:eastAsia="SimSun"/>
          <w:bCs w:val="0"/>
          <w:color w:val="auto"/>
          <w:lang w:eastAsia="en-US"/>
        </w:rPr>
        <w:t xml:space="preserve"> răspunde provocărilor specifice perioadei 2021-2027. Documentul este relevant pentru dezvoltarea Sectorului 2 al </w:t>
      </w:r>
      <w:r w:rsidR="00E63916" w:rsidRPr="00F171A3">
        <w:rPr>
          <w:rFonts w:eastAsia="SimSun"/>
          <w:bCs w:val="0"/>
          <w:color w:val="auto"/>
          <w:lang w:eastAsia="en-US"/>
        </w:rPr>
        <w:t>m</w:t>
      </w:r>
      <w:r w:rsidRPr="00F171A3">
        <w:rPr>
          <w:rFonts w:eastAsia="SimSun"/>
          <w:bCs w:val="0"/>
          <w:color w:val="auto"/>
          <w:lang w:eastAsia="en-US"/>
        </w:rPr>
        <w:t xml:space="preserve">unicipiului București din perspectiva nevoii de armonizare a </w:t>
      </w:r>
      <w:r w:rsidR="0001589B" w:rsidRPr="00F171A3">
        <w:rPr>
          <w:rFonts w:eastAsia="SimSun"/>
          <w:bCs w:val="0"/>
          <w:color w:val="auto"/>
          <w:lang w:eastAsia="en-US"/>
        </w:rPr>
        <w:t>soluțiilor</w:t>
      </w:r>
      <w:r w:rsidRPr="00F171A3">
        <w:rPr>
          <w:rFonts w:eastAsia="SimSun"/>
          <w:bCs w:val="0"/>
          <w:color w:val="auto"/>
          <w:lang w:eastAsia="en-US"/>
        </w:rPr>
        <w:t xml:space="preserve"> strategice propuse la nivel de sector cu nevoile și soluțiile la nivel regional, în special în domenii precum: infrastructura de transport, mediu, economie.</w:t>
      </w:r>
    </w:p>
    <w:p w14:paraId="4D594D26" w14:textId="77777777" w:rsidR="007D0D63" w:rsidRPr="00F171A3" w:rsidRDefault="007D0D63" w:rsidP="009A59EB">
      <w:pPr>
        <w:pStyle w:val="Bullet"/>
        <w:numPr>
          <w:ilvl w:val="0"/>
          <w:numId w:val="0"/>
        </w:numPr>
        <w:ind w:hanging="360"/>
        <w:rPr>
          <w:rFonts w:eastAsia="SimSun"/>
          <w:bCs w:val="0"/>
          <w:color w:val="auto"/>
          <w:lang w:eastAsia="en-US"/>
        </w:rPr>
      </w:pPr>
    </w:p>
    <w:p w14:paraId="0F189766" w14:textId="44A097C8" w:rsidR="009A59EB" w:rsidRPr="00F171A3" w:rsidRDefault="009A59EB" w:rsidP="009A59EB">
      <w:pPr>
        <w:pStyle w:val="Bullet"/>
        <w:numPr>
          <w:ilvl w:val="0"/>
          <w:numId w:val="0"/>
        </w:numPr>
        <w:rPr>
          <w:rFonts w:eastAsia="SimSun"/>
          <w:bCs w:val="0"/>
          <w:color w:val="auto"/>
          <w:lang w:eastAsia="en-US"/>
        </w:rPr>
      </w:pPr>
      <w:r w:rsidRPr="00F171A3">
        <w:rPr>
          <w:rStyle w:val="FocusChar"/>
          <w:rFonts w:eastAsia="SimSun"/>
          <w:lang w:val="ro-RO"/>
        </w:rPr>
        <w:t xml:space="preserve">Strategia de Specializare Inteligentă a Regiunii de Dezvoltare București-Ilfov 2021-2027 </w:t>
      </w:r>
      <w:r w:rsidRPr="00F171A3">
        <w:rPr>
          <w:rFonts w:eastAsia="SimSun"/>
          <w:bCs w:val="0"/>
          <w:color w:val="auto"/>
          <w:lang w:eastAsia="en-US"/>
        </w:rPr>
        <w:t xml:space="preserve">este un document strategic cu rol de fundamentare și direcționare a investițiilor în sectoare economice cheie, în vederea dezvoltării atuurilor, avantajelor competitive și a potențialul pentru inovare al regiunii, fiind aliniat priorităților Planului de Dezvoltare Regională București-Ilfov 2021-2027 (PDR BI) - reprezentând principalul document de planificare elaborat la nivel regional şi asumat de către factorii de decizie din regiunea Bucureşti-Ilfov. </w:t>
      </w:r>
      <w:r w:rsidRPr="00F171A3">
        <w:rPr>
          <w:rStyle w:val="FootnoteReference"/>
          <w:rFonts w:eastAsia="SimSun"/>
          <w:bCs w:val="0"/>
          <w:color w:val="auto"/>
          <w:lang w:eastAsia="en-US"/>
        </w:rPr>
        <w:footnoteReference w:id="5"/>
      </w:r>
      <w:r w:rsidRPr="00F171A3">
        <w:rPr>
          <w:rFonts w:eastAsia="SimSun"/>
          <w:bCs w:val="0"/>
          <w:color w:val="auto"/>
          <w:lang w:eastAsia="en-US"/>
        </w:rPr>
        <w:t xml:space="preserve"> Prin intermediul RIS3 BI se propune ca Regiunea București-Ilfov să se mențină pe o traiectorie ascendentă din perspectiva performanțelor în materie de inovare astfel încât până în anul 2030 să ajungă la cel puțin 70% din media UE. În vederea atingerii acestui obiectiv, Regiunea București-Ilfov si, implicit, Sectorul 2 al </w:t>
      </w:r>
      <w:r w:rsidR="00E63916" w:rsidRPr="00F171A3">
        <w:rPr>
          <w:rFonts w:eastAsia="SimSun"/>
          <w:bCs w:val="0"/>
          <w:color w:val="auto"/>
          <w:lang w:eastAsia="en-US"/>
        </w:rPr>
        <w:t>m</w:t>
      </w:r>
      <w:r w:rsidRPr="00F171A3">
        <w:rPr>
          <w:rFonts w:eastAsia="SimSun"/>
          <w:bCs w:val="0"/>
          <w:color w:val="auto"/>
          <w:lang w:eastAsia="en-US"/>
        </w:rPr>
        <w:t>unicipiului București, trebuie să îndeplinească următoarele obiective strategice, corelate cu obiectivele operaționale ale SDLID S2 :</w:t>
      </w:r>
    </w:p>
    <w:p w14:paraId="3D74EFF5" w14:textId="1235E7A0" w:rsidR="009A59EB" w:rsidRPr="00F171A3" w:rsidRDefault="009A59EB" w:rsidP="007D0D63">
      <w:pPr>
        <w:pStyle w:val="Bullet"/>
      </w:pPr>
      <w:r w:rsidRPr="00F171A3">
        <w:t>Dezvoltarea capacității regionale de cercetare-dezvoltare-inovare</w:t>
      </w:r>
      <w:r w:rsidR="007D0D63" w:rsidRPr="00F171A3">
        <w:t>;</w:t>
      </w:r>
    </w:p>
    <w:p w14:paraId="4A2663EB" w14:textId="3903A138" w:rsidR="009A59EB" w:rsidRPr="00F171A3" w:rsidRDefault="009A59EB" w:rsidP="007D0D63">
      <w:pPr>
        <w:pStyle w:val="Bullet"/>
      </w:pPr>
      <w:r w:rsidRPr="00F171A3">
        <w:t>Susținerea unei economii regionale competitive</w:t>
      </w:r>
      <w:r w:rsidR="007D0D63" w:rsidRPr="00F171A3">
        <w:t>;</w:t>
      </w:r>
    </w:p>
    <w:p w14:paraId="3DD40703" w14:textId="5B4CAEBE" w:rsidR="009A59EB" w:rsidRPr="00F171A3" w:rsidRDefault="009A59EB" w:rsidP="007D0D63">
      <w:pPr>
        <w:pStyle w:val="Bullet"/>
      </w:pPr>
      <w:r w:rsidRPr="00F171A3">
        <w:t>Transformarea digitală a economiei și societății</w:t>
      </w:r>
      <w:r w:rsidR="007D0D63" w:rsidRPr="00F171A3">
        <w:t>;</w:t>
      </w:r>
    </w:p>
    <w:p w14:paraId="0096B9B6" w14:textId="7AA55979" w:rsidR="009A59EB" w:rsidRPr="00F171A3" w:rsidRDefault="009A59EB" w:rsidP="007D0D63">
      <w:pPr>
        <w:pStyle w:val="Bullet"/>
      </w:pPr>
      <w:r w:rsidRPr="00F171A3">
        <w:t xml:space="preserve">Consolidarea cooperării și a competențelor actorilor din </w:t>
      </w:r>
      <w:r w:rsidR="0001589B" w:rsidRPr="00F171A3">
        <w:t>ecosistemul</w:t>
      </w:r>
      <w:r w:rsidRPr="00F171A3">
        <w:t xml:space="preserve"> regional de CDI</w:t>
      </w:r>
      <w:r w:rsidR="007D0D63" w:rsidRPr="00F171A3">
        <w:t>.</w:t>
      </w:r>
    </w:p>
    <w:p w14:paraId="6BBA5C0C" w14:textId="77777777" w:rsidR="009A59EB" w:rsidRPr="00F171A3" w:rsidRDefault="009A59EB" w:rsidP="009A59EB">
      <w:pPr>
        <w:pStyle w:val="Bullet"/>
        <w:numPr>
          <w:ilvl w:val="0"/>
          <w:numId w:val="0"/>
        </w:numPr>
        <w:ind w:left="720"/>
      </w:pPr>
    </w:p>
    <w:p w14:paraId="4D7768B0" w14:textId="77777777" w:rsidR="00CA19AC" w:rsidRPr="00F171A3" w:rsidRDefault="00CA19AC" w:rsidP="00CA19AC">
      <w:r w:rsidRPr="00F171A3">
        <w:t xml:space="preserve">La nivelul municipiului București există mai multe strategii integrate și sectorial elaborate, sau în lucru, a căror valabilitate se întinde după anul 2021, dintre care cele mai importante vor fi luate în considerare în cadrul procesului de formulare a obiectivelor și direcțiilor de acțiune aferente Strategiei de Dezvoltare Locală Integrată şi Durabilă a Sectorului 2. Actualizarea prezentei strategii a luat în considerare și și a coordonat obiectivele și direcțiile de acțiune prevăzute în cadrul tuturor documentelor strategice în vigoare la nivelul municipiului București, pornind de la următoarele documente, ce au caracter integrator pentru domeniile pe care le abordează: </w:t>
      </w:r>
    </w:p>
    <w:p w14:paraId="78F8055F" w14:textId="77777777" w:rsidR="00CA19AC" w:rsidRPr="00F171A3" w:rsidRDefault="00CA19AC" w:rsidP="00CA19AC">
      <w:pPr>
        <w:pStyle w:val="Bullet"/>
      </w:pPr>
      <w:r w:rsidRPr="00F171A3">
        <w:t>Strategia Integrată de Dezvoltare Urbană a Municipiului București 2021 – 2030;</w:t>
      </w:r>
    </w:p>
    <w:p w14:paraId="5DF2FAC1" w14:textId="77777777" w:rsidR="00CA19AC" w:rsidRPr="00F171A3" w:rsidRDefault="00CA19AC" w:rsidP="00CA19AC">
      <w:pPr>
        <w:pStyle w:val="Bullet"/>
      </w:pPr>
      <w:r w:rsidRPr="00F171A3">
        <w:t>Planul de Mobilitate Urbană Durabilă 2016-2030 Regiunea București – Ilfov;</w:t>
      </w:r>
    </w:p>
    <w:p w14:paraId="4D8AB805" w14:textId="77777777" w:rsidR="00CA19AC" w:rsidRPr="00F171A3" w:rsidRDefault="00CA19AC" w:rsidP="00CA19AC">
      <w:pPr>
        <w:pStyle w:val="Bullet"/>
      </w:pPr>
      <w:r w:rsidRPr="00F171A3">
        <w:t>Strategia de Dezvoltare a Județului Ilfov 2020-2030;</w:t>
      </w:r>
    </w:p>
    <w:p w14:paraId="5DC285F6" w14:textId="77777777" w:rsidR="00CA19AC" w:rsidRPr="00F171A3" w:rsidRDefault="00CA19AC" w:rsidP="00CA19AC">
      <w:pPr>
        <w:pStyle w:val="Bullet"/>
      </w:pPr>
      <w:r w:rsidRPr="00F171A3">
        <w:t>Strategia Locală de Dezvoltare a Serviciilor Sociale Sector 2, 2021 – 2027 (în lucru)</w:t>
      </w:r>
    </w:p>
    <w:p w14:paraId="0A9A08A9" w14:textId="77777777" w:rsidR="00CA19AC" w:rsidRPr="00F171A3" w:rsidRDefault="00CA19AC" w:rsidP="00CA19AC">
      <w:pPr>
        <w:pStyle w:val="Bullet"/>
      </w:pPr>
      <w:r w:rsidRPr="00F171A3">
        <w:t>Planul de acțiune pentru diminuarea zgomotului în Municipiul București (2030);</w:t>
      </w:r>
    </w:p>
    <w:p w14:paraId="524AEA26" w14:textId="77777777" w:rsidR="00CA19AC" w:rsidRPr="00F171A3" w:rsidRDefault="00CA19AC" w:rsidP="00CA19AC">
      <w:pPr>
        <w:pStyle w:val="Bullet"/>
      </w:pPr>
      <w:r w:rsidRPr="00F171A3">
        <w:t>Planul Integrat de Calitate a Aerului pentru București 2018 – 2022;</w:t>
      </w:r>
    </w:p>
    <w:p w14:paraId="1F059AD5" w14:textId="77777777" w:rsidR="00CA19AC" w:rsidRPr="00F171A3" w:rsidRDefault="00CA19AC" w:rsidP="00CA19AC">
      <w:pPr>
        <w:pStyle w:val="Bullet"/>
      </w:pPr>
      <w:r w:rsidRPr="00F171A3">
        <w:t>Strategia de dezvoltare și funcționare pe termen mediu și lung a serviciului public de salubrizare în Municipiul București (2014-2030);</w:t>
      </w:r>
    </w:p>
    <w:p w14:paraId="3511ADDA" w14:textId="77777777" w:rsidR="00CA19AC" w:rsidRPr="00F171A3" w:rsidRDefault="00CA19AC" w:rsidP="00CA19AC">
      <w:pPr>
        <w:pStyle w:val="Bullet"/>
      </w:pPr>
      <w:r w:rsidRPr="00F171A3">
        <w:t>Strategia de alimentare cu energie termică în sistem centralizat a consumatorilor din Municipiul București (2018-2028-2038);</w:t>
      </w:r>
    </w:p>
    <w:p w14:paraId="0247612F" w14:textId="77777777" w:rsidR="00CA19AC" w:rsidRPr="00F171A3" w:rsidRDefault="00CA19AC" w:rsidP="00CA19AC">
      <w:pPr>
        <w:pStyle w:val="Bullet"/>
      </w:pPr>
      <w:r w:rsidRPr="00F171A3">
        <w:t>Strategia Culturală a Municipiului București 2016 – 2026;</w:t>
      </w:r>
    </w:p>
    <w:p w14:paraId="07680B83" w14:textId="77777777" w:rsidR="00CA19AC" w:rsidRPr="00F171A3" w:rsidRDefault="00CA19AC" w:rsidP="00CA19AC">
      <w:pPr>
        <w:pStyle w:val="Bullet"/>
      </w:pPr>
      <w:r w:rsidRPr="00F171A3">
        <w:t>Programul ”Sănătate și Dezvoltare prin Sport” (2022);</w:t>
      </w:r>
    </w:p>
    <w:p w14:paraId="3D8E665A" w14:textId="3CAD8DED" w:rsidR="00CA19AC" w:rsidRPr="00F171A3" w:rsidRDefault="00CA19AC" w:rsidP="00CA19AC">
      <w:pPr>
        <w:pStyle w:val="Bullet"/>
      </w:pPr>
      <w:r w:rsidRPr="00F171A3">
        <w:t>Master Planul pentru sistemul de management integrat al deșeurilor la nivelul Municipiului București (2046)</w:t>
      </w:r>
      <w:r w:rsidR="007D0D63" w:rsidRPr="00F171A3">
        <w:t>;</w:t>
      </w:r>
    </w:p>
    <w:p w14:paraId="1AF9594A" w14:textId="77777777" w:rsidR="00CA19AC" w:rsidRPr="00F171A3" w:rsidRDefault="00CA19AC" w:rsidP="00CA19AC">
      <w:pPr>
        <w:pStyle w:val="Bullet"/>
      </w:pPr>
      <w:r w:rsidRPr="00F171A3">
        <w:t>Strategia de dezvoltare a infrastructurii de transport cu metroul în București (2040);</w:t>
      </w:r>
    </w:p>
    <w:p w14:paraId="6AE324D3" w14:textId="77777777" w:rsidR="00CA19AC" w:rsidRPr="00F171A3" w:rsidRDefault="00CA19AC" w:rsidP="00CA19AC">
      <w:pPr>
        <w:pStyle w:val="Bullet"/>
      </w:pPr>
      <w:r w:rsidRPr="00F171A3">
        <w:t>Programul multianual „Bucureștiul Digital” - Tehnologia Informației pentru servicii publice (2022);</w:t>
      </w:r>
    </w:p>
    <w:p w14:paraId="2708B4A8" w14:textId="77777777" w:rsidR="00CA19AC" w:rsidRPr="00F171A3" w:rsidRDefault="00CA19AC" w:rsidP="00CA19AC">
      <w:pPr>
        <w:pStyle w:val="Bullet"/>
      </w:pPr>
      <w:r w:rsidRPr="00F171A3">
        <w:t>Master Planul serviciului de alimentare cu apă și canalizare pentru Municipiul București (2049);</w:t>
      </w:r>
    </w:p>
    <w:p w14:paraId="14074A34" w14:textId="692A99DB" w:rsidR="00CA19AC" w:rsidRPr="00F171A3" w:rsidRDefault="00CA19AC" w:rsidP="00CA19AC">
      <w:pPr>
        <w:pStyle w:val="Bullet"/>
      </w:pPr>
      <w:r w:rsidRPr="00F171A3">
        <w:t>Strategiile de Dezvoltare ale celorlalte sectoare ale municipiului București.</w:t>
      </w:r>
    </w:p>
    <w:p w14:paraId="225D61D1" w14:textId="77777777" w:rsidR="007D0D63" w:rsidRPr="00F171A3" w:rsidRDefault="007D0D63" w:rsidP="007D0D63">
      <w:pPr>
        <w:pStyle w:val="Bullet"/>
        <w:numPr>
          <w:ilvl w:val="0"/>
          <w:numId w:val="0"/>
        </w:numPr>
      </w:pPr>
    </w:p>
    <w:p w14:paraId="5102C0A2" w14:textId="77777777" w:rsidR="00CA19AC" w:rsidRPr="00F171A3" w:rsidRDefault="00CA19AC" w:rsidP="00CA19AC">
      <w:pPr>
        <w:spacing w:before="240"/>
        <w:rPr>
          <w:color w:val="212529"/>
          <w:shd w:val="clear" w:color="auto" w:fill="FFFFFF"/>
        </w:rPr>
      </w:pPr>
      <w:r w:rsidRPr="00F171A3">
        <w:rPr>
          <w:b/>
          <w:bCs/>
          <w:color w:val="134753" w:themeColor="text2"/>
        </w:rPr>
        <w:t xml:space="preserve">STRATEGIA INTEGRATĂ DE DEZVOLTARE URBANĂ A MUNICIPIULUI BUCUREȘTI 2021 – 2030 </w:t>
      </w:r>
      <w:r w:rsidRPr="00F171A3">
        <w:t xml:space="preserve">reprezintă principalul document strategic care propune o viziune si direcții de acțiune asupra dezvoltării municipiului București </w:t>
      </w:r>
      <w:r w:rsidRPr="00F171A3">
        <w:rPr>
          <w:color w:val="212529"/>
          <w:shd w:val="clear" w:color="auto" w:fill="FFFFFF"/>
        </w:rPr>
        <w:t>în mod incluziv, strategic, sustenabil și pe termen lung. Strategia propune o serie de 5 obiective strategice și specifice, precum și un obiect transversal, relevante pentru dezvoltarea Sectorului 2:</w:t>
      </w:r>
    </w:p>
    <w:p w14:paraId="71A4F19F" w14:textId="737E610B" w:rsidR="00CA19AC" w:rsidRPr="00F171A3" w:rsidRDefault="00CA19AC" w:rsidP="00CA19AC">
      <w:pPr>
        <w:pStyle w:val="Bullet"/>
      </w:pPr>
      <w:r w:rsidRPr="00F171A3">
        <w:t>Orașul conectat: Obiectiv specific 1. Promovarea mobilității urbane durabile și creșterea accesibilității la rețele de transport, energie, comunicații</w:t>
      </w:r>
      <w:r w:rsidR="007D0D63" w:rsidRPr="00F171A3">
        <w:t>;</w:t>
      </w:r>
    </w:p>
    <w:p w14:paraId="5FD65ABE" w14:textId="525DE632" w:rsidR="00CA19AC" w:rsidRPr="00F171A3" w:rsidRDefault="00CA19AC" w:rsidP="00CA19AC">
      <w:pPr>
        <w:pStyle w:val="Bullet"/>
      </w:pPr>
      <w:r w:rsidRPr="00F171A3">
        <w:t>Orașul inovativ: Obiectiv specific 2. Susținerea tranziției la o economie inteligentă și competitivă în context global, bazată pe talente</w:t>
      </w:r>
      <w:r w:rsidR="007D0D63" w:rsidRPr="00F171A3">
        <w:t>;</w:t>
      </w:r>
    </w:p>
    <w:p w14:paraId="3D642023" w14:textId="7754E819" w:rsidR="00CA19AC" w:rsidRPr="00F171A3" w:rsidRDefault="00CA19AC" w:rsidP="00CA19AC">
      <w:pPr>
        <w:pStyle w:val="Bullet"/>
      </w:pPr>
      <w:r w:rsidRPr="00F171A3">
        <w:t>Orașul durabil: Obiectiv specific 3. Conservarea patrimoniului natural, reducerea poluării, a emisiilor de gaze cu efect de seră, și limitarea efectelor riscurilor (inclusiv ale celor asociate schimbărilor climatice)</w:t>
      </w:r>
      <w:r w:rsidR="007D0D63" w:rsidRPr="00F171A3">
        <w:t>;</w:t>
      </w:r>
    </w:p>
    <w:p w14:paraId="4531B4E2" w14:textId="0F59026B" w:rsidR="00CA19AC" w:rsidRPr="00F171A3" w:rsidRDefault="00CA19AC" w:rsidP="00CA19AC">
      <w:pPr>
        <w:pStyle w:val="Bullet"/>
      </w:pPr>
      <w:r w:rsidRPr="00F171A3">
        <w:t>Orașul incluziv: Obiectiv specific 4. Promovarea incluziunii sociale și a diversității, asigurarea accesului nediscriminatoriu la infrastructură și servicii publice</w:t>
      </w:r>
      <w:r w:rsidR="007D0D63" w:rsidRPr="00F171A3">
        <w:t>;</w:t>
      </w:r>
    </w:p>
    <w:p w14:paraId="1EF51799" w14:textId="64BE75BF" w:rsidR="00CA19AC" w:rsidRPr="00F171A3" w:rsidRDefault="00CA19AC" w:rsidP="00CA19AC">
      <w:pPr>
        <w:pStyle w:val="Bullet"/>
      </w:pPr>
      <w:r w:rsidRPr="00F171A3">
        <w:t>Orașul atractiv: Obiectiv specific 5. Utilizarea eficientă a terenurilor și a fondului construit, punerea în valoare a patrimoniului istoric și a peisajului urban</w:t>
      </w:r>
      <w:r w:rsidR="007D0D63" w:rsidRPr="00F171A3">
        <w:t>;</w:t>
      </w:r>
    </w:p>
    <w:p w14:paraId="3B9705B9" w14:textId="77777777" w:rsidR="00CA19AC" w:rsidRPr="00F171A3" w:rsidRDefault="00CA19AC" w:rsidP="00CA19AC">
      <w:pPr>
        <w:pStyle w:val="Bullet"/>
        <w:numPr>
          <w:ilvl w:val="0"/>
          <w:numId w:val="0"/>
        </w:numPr>
        <w:ind w:left="720" w:hanging="360"/>
      </w:pPr>
      <w:r w:rsidRPr="00F171A3">
        <w:t>Obiectiv transversal:</w:t>
      </w:r>
    </w:p>
    <w:p w14:paraId="2BC36C71" w14:textId="23F2DEA1" w:rsidR="00CA19AC" w:rsidRPr="00F171A3" w:rsidRDefault="00CA19AC" w:rsidP="00CA19AC">
      <w:pPr>
        <w:pStyle w:val="Bullet"/>
      </w:pPr>
      <w:r w:rsidRPr="00F171A3">
        <w:t>Orașul bine administrat: Obiectiv transversal 6. Consolidarea capacității administrative pentru o dezvoltare integrată</w:t>
      </w:r>
      <w:r w:rsidR="007D0D63" w:rsidRPr="00F171A3">
        <w:t>.</w:t>
      </w:r>
    </w:p>
    <w:p w14:paraId="375391CB" w14:textId="77777777" w:rsidR="007D0D63" w:rsidRPr="00F171A3" w:rsidRDefault="007D0D63" w:rsidP="007D0D63">
      <w:pPr>
        <w:pStyle w:val="Bullet"/>
        <w:numPr>
          <w:ilvl w:val="0"/>
          <w:numId w:val="0"/>
        </w:numPr>
      </w:pPr>
    </w:p>
    <w:p w14:paraId="12DD4A0E" w14:textId="77777777" w:rsidR="00CA19AC" w:rsidRPr="00F171A3" w:rsidRDefault="00CA19AC" w:rsidP="00CA19AC">
      <w:pPr>
        <w:spacing w:before="240"/>
      </w:pPr>
      <w:r w:rsidRPr="00F171A3">
        <w:rPr>
          <w:b/>
          <w:bCs/>
          <w:color w:val="134753" w:themeColor="text2"/>
        </w:rPr>
        <w:t xml:space="preserve">PLANUL DE MOBILITATE URBANĂ DURABILĂ 2016-2030 REGIUNEA BUCUREȘTI – ILFOV </w:t>
      </w:r>
      <w:r w:rsidRPr="00F171A3">
        <w:t>este documentul strategic care vizează îndeplinirea viziunii de dezvoltare a mobilității, la nivelul regiunii București – Ilfov, prin abordarea următoarelor obiective strategice relevante pentru dezvoltarea municipiului București și a sectoarelor acestuia:</w:t>
      </w:r>
    </w:p>
    <w:p w14:paraId="4E6EA68C" w14:textId="77777777" w:rsidR="00CA19AC" w:rsidRPr="00F171A3" w:rsidRDefault="00CA19AC" w:rsidP="00CA19AC">
      <w:pPr>
        <w:pStyle w:val="Bullet"/>
      </w:pPr>
      <w:r w:rsidRPr="00F171A3">
        <w:t>ACCESIBILITATE - Asigură că toți cetățenii au opțiuni de transport, care le permit accesul la destinații și servicii esențiale;</w:t>
      </w:r>
    </w:p>
    <w:p w14:paraId="05F820D4" w14:textId="77777777" w:rsidR="00CA19AC" w:rsidRPr="00F171A3" w:rsidRDefault="00CA19AC" w:rsidP="00CA19AC">
      <w:pPr>
        <w:pStyle w:val="Bullet"/>
      </w:pPr>
      <w:r w:rsidRPr="00F171A3">
        <w:t>SIGURANȚĂ ȘI SECURITATE – Îmbunătățirea siguranței și securității in circulație;</w:t>
      </w:r>
    </w:p>
    <w:p w14:paraId="1B1021EF" w14:textId="77777777" w:rsidR="00CA19AC" w:rsidRPr="00F171A3" w:rsidRDefault="00CA19AC" w:rsidP="00CA19AC">
      <w:pPr>
        <w:pStyle w:val="Bullet"/>
      </w:pPr>
      <w:r w:rsidRPr="00F171A3">
        <w:t>MEDIU - Reducerea poluării aerului și fonice, a emisiilor de gaze cu efect de seră și a consumului de energie;</w:t>
      </w:r>
    </w:p>
    <w:p w14:paraId="54F29B26" w14:textId="77777777" w:rsidR="00CA19AC" w:rsidRPr="00F171A3" w:rsidRDefault="00CA19AC" w:rsidP="00CA19AC">
      <w:pPr>
        <w:pStyle w:val="Bullet"/>
      </w:pPr>
      <w:r w:rsidRPr="00F171A3">
        <w:t>EFICIENȚĂ ECONOMICĂ - Îmbunătățirea eficienței și rentabilității transportului de persoane și mărfuri;</w:t>
      </w:r>
    </w:p>
    <w:p w14:paraId="7A36EC06" w14:textId="34A94CB4" w:rsidR="00CA19AC" w:rsidRPr="00F171A3" w:rsidRDefault="00CA19AC" w:rsidP="00CA19AC">
      <w:pPr>
        <w:pStyle w:val="Bullet"/>
      </w:pPr>
      <w:r w:rsidRPr="00F171A3">
        <w:t>CALITATEA MEDIULUI URBAN - Contribuie la creșterea atractivității și calității mediului urban și la proiectarea unui mediu urban în beneficiul cetățenilor, economiei și societății în general.</w:t>
      </w:r>
    </w:p>
    <w:p w14:paraId="5DF0548E" w14:textId="77777777" w:rsidR="007D0D63" w:rsidRPr="00F171A3" w:rsidRDefault="007D0D63" w:rsidP="007D0D63">
      <w:pPr>
        <w:pStyle w:val="Bullet"/>
        <w:numPr>
          <w:ilvl w:val="0"/>
          <w:numId w:val="0"/>
        </w:numPr>
        <w:ind w:left="720" w:hanging="360"/>
      </w:pPr>
    </w:p>
    <w:p w14:paraId="143D0036" w14:textId="1811C555" w:rsidR="00CA19AC" w:rsidRPr="00F171A3" w:rsidRDefault="00CA19AC" w:rsidP="00CA19AC">
      <w:pPr>
        <w:spacing w:before="240"/>
        <w:rPr>
          <w:b/>
          <w:bCs/>
          <w:color w:val="134753" w:themeColor="text2"/>
        </w:rPr>
      </w:pPr>
      <w:r w:rsidRPr="00F171A3">
        <w:rPr>
          <w:b/>
          <w:bCs/>
          <w:color w:val="134753" w:themeColor="text2"/>
        </w:rPr>
        <w:t xml:space="preserve">STRATEGIA DE DEZVOLTARE A JUDEȚULUI ILFOV 2020-2030 </w:t>
      </w:r>
      <w:r w:rsidRPr="00F171A3">
        <w:t>este principalul document strategic de dezvoltare a județului pe orizontul de timp 2030, ce propune o viziune de dezvolta</w:t>
      </w:r>
      <w:r w:rsidR="00F171A3">
        <w:t>re</w:t>
      </w:r>
      <w:r w:rsidRPr="00F171A3">
        <w:t xml:space="preserve"> construită în jurul conceptelor de Zonă Metropolitană și de Zonă Urbană Funcțională, având următoarele obiective strategice:</w:t>
      </w:r>
    </w:p>
    <w:p w14:paraId="033DD79C" w14:textId="70CD42E6" w:rsidR="00CA19AC" w:rsidRPr="00F171A3" w:rsidRDefault="00CA19AC" w:rsidP="00CA19AC">
      <w:pPr>
        <w:pStyle w:val="Bullet"/>
      </w:pPr>
      <w:r w:rsidRPr="00F171A3">
        <w:t xml:space="preserve">Consolidarea competitivității ilfovene în contextul vecinătății cu </w:t>
      </w:r>
      <w:r w:rsidR="00E63916" w:rsidRPr="00F171A3">
        <w:t>m</w:t>
      </w:r>
      <w:r w:rsidRPr="00F171A3">
        <w:t>unicipiul București;</w:t>
      </w:r>
    </w:p>
    <w:p w14:paraId="768533CA" w14:textId="77777777" w:rsidR="00CA19AC" w:rsidRPr="00F171A3" w:rsidRDefault="00CA19AC" w:rsidP="00CA19AC">
      <w:pPr>
        <w:pStyle w:val="Bullet"/>
      </w:pPr>
      <w:r w:rsidRPr="00F171A3">
        <w:t>Creșterea calității vieții pentru rezidenții județului Ilfov;</w:t>
      </w:r>
    </w:p>
    <w:p w14:paraId="6F20CE75" w14:textId="77777777" w:rsidR="00CA19AC" w:rsidRPr="00F171A3" w:rsidRDefault="00CA19AC" w:rsidP="00CA19AC">
      <w:pPr>
        <w:pStyle w:val="Bullet"/>
      </w:pPr>
      <w:r w:rsidRPr="00F171A3">
        <w:t>Asigurarea unui grad de mobilitate și accesibilitate ridicat pentru rezidenții și mediul de afaceri din județul Ilfov;</w:t>
      </w:r>
    </w:p>
    <w:p w14:paraId="589D5C02" w14:textId="77777777" w:rsidR="00CA19AC" w:rsidRPr="00F171A3" w:rsidRDefault="00CA19AC" w:rsidP="00CA19AC">
      <w:pPr>
        <w:pStyle w:val="Bullet"/>
      </w:pPr>
      <w:r w:rsidRPr="00F171A3">
        <w:t>Creșterea capacității instituționale în vederea îmbunătățirii calității și promptitudinii procesului administrativ.</w:t>
      </w:r>
    </w:p>
    <w:p w14:paraId="27DF9C29" w14:textId="77777777" w:rsidR="00CA19AC" w:rsidRPr="00F171A3" w:rsidRDefault="00CA19AC" w:rsidP="00CA19AC">
      <w:r w:rsidRPr="00F171A3">
        <w:t>Dezvoltarea județului Ilfov ca zonă metropolitană a capitalei este importantă prin prisma nevoii de asigurare a unei coerențe teritoriale a tuturor programelor de investiții și a planificării pe termen lung, prin cooperarea  intre Consiliul Județean Ilfov, autoritățile locale din județul Ilfov, CGMB și primăriile sectoarelor Bucureștiului.</w:t>
      </w:r>
    </w:p>
    <w:p w14:paraId="487685CB" w14:textId="56A917A9" w:rsidR="00CA19AC" w:rsidRPr="00F171A3" w:rsidRDefault="00CA19AC" w:rsidP="00CA19AC">
      <w:r w:rsidRPr="00F171A3">
        <w:t xml:space="preserve">În cadrul Obiectivelor Strategice care fac parte din Strategia de Dezvoltare a Județului Ilfov 2020 – 2030, se regăsesc </w:t>
      </w:r>
      <w:r w:rsidR="0001589B" w:rsidRPr="00F171A3">
        <w:t>următoarele</w:t>
      </w:r>
      <w:r w:rsidRPr="00F171A3">
        <w:t xml:space="preserve"> obiective specifice, relevante pentru dezvoltarea municipiului București și a Sectorului 2:</w:t>
      </w:r>
    </w:p>
    <w:p w14:paraId="05F79FBB" w14:textId="6A8C1142" w:rsidR="00CA19AC" w:rsidRPr="00F171A3" w:rsidRDefault="00CA19AC" w:rsidP="007D0D63">
      <w:pPr>
        <w:pStyle w:val="Bullet"/>
      </w:pPr>
      <w:r w:rsidRPr="00F171A3">
        <w:t>Îmbunătățirea conectivității teritoriale</w:t>
      </w:r>
      <w:r w:rsidR="007D0D63" w:rsidRPr="00F171A3">
        <w:t>;</w:t>
      </w:r>
    </w:p>
    <w:p w14:paraId="07B77A64" w14:textId="1A7EFBAD" w:rsidR="00CA19AC" w:rsidRPr="00F171A3" w:rsidRDefault="00CA19AC" w:rsidP="007D0D63">
      <w:pPr>
        <w:pStyle w:val="Bullet"/>
      </w:pPr>
      <w:r w:rsidRPr="00F171A3">
        <w:t>Susținerea unei dezvoltări economice durabile și competitive, în vederea creșterii oportunităților pentru crearea de locuri de muncă</w:t>
      </w:r>
      <w:r w:rsidR="007D0D63" w:rsidRPr="00F171A3">
        <w:t>;</w:t>
      </w:r>
    </w:p>
    <w:p w14:paraId="24DEFD4F" w14:textId="1489E881" w:rsidR="00CA19AC" w:rsidRPr="00F171A3" w:rsidRDefault="00CA19AC" w:rsidP="007D0D63">
      <w:pPr>
        <w:pStyle w:val="Bullet"/>
      </w:pPr>
      <w:r w:rsidRPr="00F171A3">
        <w:t>Atragerea și dezvoltarea capitalului uman în vederea îmbunătățirii ofertei de forță de muncă</w:t>
      </w:r>
      <w:r w:rsidR="007D0D63" w:rsidRPr="00F171A3">
        <w:t>;</w:t>
      </w:r>
    </w:p>
    <w:p w14:paraId="598FBD52" w14:textId="09A94960" w:rsidR="003F423E" w:rsidRPr="00F171A3" w:rsidRDefault="00CA19AC" w:rsidP="007D0D63">
      <w:pPr>
        <w:pStyle w:val="Bullet"/>
      </w:pPr>
      <w:r w:rsidRPr="00F171A3">
        <w:t>Promovarea incluziunii sociale</w:t>
      </w:r>
      <w:r w:rsidR="007D0D63" w:rsidRPr="00F171A3">
        <w:t>.</w:t>
      </w:r>
    </w:p>
    <w:p w14:paraId="03BD7975" w14:textId="77777777" w:rsidR="00D17F0D" w:rsidRPr="00F171A3" w:rsidRDefault="00D17F0D" w:rsidP="00D17F0D"/>
    <w:p w14:paraId="1E95EE9E" w14:textId="3E70974E" w:rsidR="00D17F0D" w:rsidRPr="00F171A3" w:rsidRDefault="00D17F0D" w:rsidP="00703BC8">
      <w:pPr>
        <w:spacing w:before="240"/>
      </w:pPr>
      <w:r w:rsidRPr="00F171A3">
        <w:rPr>
          <w:b/>
          <w:bCs/>
          <w:color w:val="134753" w:themeColor="text2"/>
        </w:rPr>
        <w:t>STRATEGIA LOCALĂ DE DEZVOLTARE A SERVICIILOR SOCIALE SECTOR 2, 2021 – 2027 (în lucru)</w:t>
      </w:r>
      <w:r w:rsidR="00703BC8" w:rsidRPr="00F171A3">
        <w:rPr>
          <w:b/>
          <w:bCs/>
          <w:color w:val="134753" w:themeColor="text2"/>
        </w:rPr>
        <w:t xml:space="preserve"> </w:t>
      </w:r>
      <w:r w:rsidR="00703BC8" w:rsidRPr="00F171A3">
        <w:t>este documentul care stabileşte cadrul general al direcţiilor de acţiune pentru crearea unui sistem eficient de servicii sociale adaptat nevoilor prezente și previzionate ale grupurile vulnerabile care oferă un cadru viabil pentru elaborarea planurilor anuale de acţiune locală, coordonarea și integrarea strategiilor tuturor serviciilor sociale de la nivel local. Documentul strategic este relevant</w:t>
      </w:r>
      <w:r w:rsidR="000164E5" w:rsidRPr="00F171A3">
        <w:t xml:space="preserve"> </w:t>
      </w:r>
      <w:r w:rsidR="00703BC8" w:rsidRPr="00F171A3">
        <w:t>pentru trasarea acțiunilor și soluțiilor la problemele sociale întâlnite în sector.</w:t>
      </w:r>
    </w:p>
    <w:p w14:paraId="0069645B" w14:textId="77777777" w:rsidR="007D0D63" w:rsidRPr="00F171A3" w:rsidRDefault="007D0D63" w:rsidP="00703BC8">
      <w:pPr>
        <w:spacing w:before="240"/>
      </w:pPr>
    </w:p>
    <w:p w14:paraId="47B265C9" w14:textId="5EAA6005" w:rsidR="00D17F0D" w:rsidRPr="00F171A3" w:rsidRDefault="00D17F0D" w:rsidP="00D17F0D">
      <w:pPr>
        <w:spacing w:before="240"/>
      </w:pPr>
      <w:r w:rsidRPr="00F171A3">
        <w:rPr>
          <w:b/>
          <w:bCs/>
          <w:color w:val="134753" w:themeColor="text2"/>
        </w:rPr>
        <w:t>PLANUL DE ACȚIUNE PENTRU DIMINUAREA ZGOMOTULUI ÎN MUNICIPIUL BUCUREȘTI (2030)</w:t>
      </w:r>
      <w:r w:rsidR="00D23F66" w:rsidRPr="00F171A3">
        <w:rPr>
          <w:b/>
          <w:bCs/>
          <w:color w:val="134753" w:themeColor="text2"/>
        </w:rPr>
        <w:t xml:space="preserve"> </w:t>
      </w:r>
      <w:r w:rsidR="00D23F66" w:rsidRPr="00F171A3">
        <w:t>este documentul</w:t>
      </w:r>
      <w:r w:rsidR="009C4447" w:rsidRPr="00F171A3">
        <w:t xml:space="preserve"> relevant pentru SDLID S2, din perspectiva identificării problemelor și a situațiilor care necesită o ameliorare din punct de vedere al reducerii poluării fonice, la nivelul </w:t>
      </w:r>
      <w:r w:rsidR="0019080D" w:rsidRPr="00F171A3">
        <w:t>Sectorului 2 al</w:t>
      </w:r>
      <w:r w:rsidR="009C4447" w:rsidRPr="00F171A3">
        <w:t xml:space="preserve"> </w:t>
      </w:r>
      <w:r w:rsidR="00E63916" w:rsidRPr="00F171A3">
        <w:t>m</w:t>
      </w:r>
      <w:r w:rsidR="009C4447" w:rsidRPr="00F171A3">
        <w:t>unicipiului București</w:t>
      </w:r>
      <w:r w:rsidR="0019080D" w:rsidRPr="00F171A3">
        <w:t>, coordonat cu măsurile aplicate în celelalte sectoare.</w:t>
      </w:r>
      <w:r w:rsidR="009C4447" w:rsidRPr="00F171A3">
        <w:t xml:space="preserve"> </w:t>
      </w:r>
    </w:p>
    <w:p w14:paraId="18D3A96A" w14:textId="77777777" w:rsidR="007D0D63" w:rsidRPr="00F171A3" w:rsidRDefault="007D0D63" w:rsidP="00D17F0D">
      <w:pPr>
        <w:spacing w:before="240"/>
        <w:rPr>
          <w:b/>
          <w:bCs/>
          <w:color w:val="134753" w:themeColor="text2"/>
        </w:rPr>
      </w:pPr>
    </w:p>
    <w:p w14:paraId="2A1E078A" w14:textId="30B2E5AE" w:rsidR="00D17F0D" w:rsidRPr="00F171A3" w:rsidRDefault="00D17F0D" w:rsidP="00D17F0D">
      <w:pPr>
        <w:spacing w:before="240"/>
      </w:pPr>
      <w:r w:rsidRPr="00F171A3">
        <w:rPr>
          <w:b/>
          <w:bCs/>
          <w:color w:val="134753" w:themeColor="text2"/>
        </w:rPr>
        <w:t>PLANUL INTEGRAT DE CALITATE A AERULUI PENTRU BUCUREȘTI 2018 – 2022</w:t>
      </w:r>
      <w:r w:rsidR="00263E63" w:rsidRPr="00F171A3">
        <w:rPr>
          <w:b/>
          <w:bCs/>
          <w:color w:val="134753" w:themeColor="text2"/>
        </w:rPr>
        <w:t xml:space="preserve"> </w:t>
      </w:r>
      <w:r w:rsidR="00AD76AD" w:rsidRPr="00F171A3">
        <w:t>cuprinde măsurile de îmbunătățire a calității aerului propuse de PMB în vederea reducerii poluării și încadrării concentrațiilor de poluanți în limitele stabilite de Legea nr. 104/2011 privind calitatea aerului înconjurător.</w:t>
      </w:r>
      <w:r w:rsidR="00FE568D" w:rsidRPr="00F171A3">
        <w:t xml:space="preserve"> </w:t>
      </w:r>
      <w:r w:rsidR="00AD76AD" w:rsidRPr="00F171A3">
        <w:t>Conform reglementărilor existente, măsurile propuse sunt selectate pentru a asigura reducerea în cel mai scurt timp posibil a nivelurilor de poluare până la atingerea valorilor limită, în condițiile unei eficiențe optime cost-beneficiu și permit o estimare cantitativă a efectelor aplicării lor</w:t>
      </w:r>
      <w:r w:rsidR="00FE568D" w:rsidRPr="00F171A3">
        <w:t>. Principalele măsuri cuprinse în Planul Integrat de Calitate a Aerului</w:t>
      </w:r>
      <w:r w:rsidR="00F74C58" w:rsidRPr="00F171A3">
        <w:t xml:space="preserve"> pentru București 2018 – 2022, cu care au fost corelate măsurile și propunerile </w:t>
      </w:r>
      <w:r w:rsidR="0001589B" w:rsidRPr="00F171A3">
        <w:t>cuprinse</w:t>
      </w:r>
      <w:r w:rsidR="00F74C58" w:rsidRPr="00F171A3">
        <w:t xml:space="preserve"> în SDLID S2, sunt:</w:t>
      </w:r>
    </w:p>
    <w:p w14:paraId="0872F4E9" w14:textId="77777777" w:rsidR="00F74C58" w:rsidRPr="00F171A3" w:rsidRDefault="00F74C58" w:rsidP="00F74C58">
      <w:pPr>
        <w:pStyle w:val="Bullet"/>
        <w:rPr>
          <w:color w:val="auto"/>
        </w:rPr>
      </w:pPr>
      <w:r w:rsidRPr="00F171A3">
        <w:t xml:space="preserve">Măsuri pentru reducerea emisiilor din traficul rutier: </w:t>
      </w:r>
    </w:p>
    <w:p w14:paraId="0E05792B" w14:textId="67F8701A" w:rsidR="00F74C58" w:rsidRPr="00F171A3" w:rsidRDefault="007D0D63">
      <w:pPr>
        <w:pStyle w:val="Bullet"/>
        <w:numPr>
          <w:ilvl w:val="1"/>
          <w:numId w:val="65"/>
        </w:numPr>
        <w:rPr>
          <w:color w:val="auto"/>
        </w:rPr>
      </w:pPr>
      <w:r w:rsidRPr="00F171A3">
        <w:t>L</w:t>
      </w:r>
      <w:r w:rsidR="00F74C58" w:rsidRPr="00F171A3">
        <w:t xml:space="preserve">imitarea şi gestionarea mai eficientă a traficului în zona centrală a municipiului; </w:t>
      </w:r>
    </w:p>
    <w:p w14:paraId="1F20A05B" w14:textId="17FBC1F7" w:rsidR="00F74C58" w:rsidRPr="00F171A3" w:rsidRDefault="007D0D63">
      <w:pPr>
        <w:pStyle w:val="Bullet"/>
        <w:numPr>
          <w:ilvl w:val="1"/>
          <w:numId w:val="65"/>
        </w:numPr>
        <w:rPr>
          <w:color w:val="auto"/>
        </w:rPr>
      </w:pPr>
      <w:r w:rsidRPr="00F171A3">
        <w:t>S</w:t>
      </w:r>
      <w:r w:rsidR="00F74C58" w:rsidRPr="00F171A3">
        <w:t xml:space="preserve">alubrizarea mai eficientă a străzilor; </w:t>
      </w:r>
    </w:p>
    <w:p w14:paraId="4595B307" w14:textId="23291741" w:rsidR="00F74C58" w:rsidRPr="00F171A3" w:rsidRDefault="007D0D63">
      <w:pPr>
        <w:pStyle w:val="Bullet"/>
        <w:numPr>
          <w:ilvl w:val="1"/>
          <w:numId w:val="65"/>
        </w:numPr>
        <w:rPr>
          <w:color w:val="auto"/>
        </w:rPr>
      </w:pPr>
      <w:r w:rsidRPr="00F171A3">
        <w:t>P</w:t>
      </w:r>
      <w:r w:rsidR="00F74C58" w:rsidRPr="00F171A3">
        <w:t xml:space="preserve">romovarea, îmbunătățirea şi extinderea transportului public; </w:t>
      </w:r>
    </w:p>
    <w:p w14:paraId="7A29FC48" w14:textId="637BD003" w:rsidR="00F74C58" w:rsidRPr="00F171A3" w:rsidRDefault="007D0D63">
      <w:pPr>
        <w:pStyle w:val="Bullet"/>
        <w:numPr>
          <w:ilvl w:val="1"/>
          <w:numId w:val="65"/>
        </w:numPr>
        <w:rPr>
          <w:color w:val="auto"/>
        </w:rPr>
      </w:pPr>
      <w:r w:rsidRPr="00F171A3">
        <w:t>C</w:t>
      </w:r>
      <w:r w:rsidR="00F74C58" w:rsidRPr="00F171A3">
        <w:t xml:space="preserve">ontinuarea implementării proiectelor majore de infrastructură; </w:t>
      </w:r>
    </w:p>
    <w:p w14:paraId="62063AE1" w14:textId="77777777" w:rsidR="00F74C58" w:rsidRPr="00F171A3" w:rsidRDefault="00F74C58" w:rsidP="00F74C58">
      <w:pPr>
        <w:pStyle w:val="Bullet"/>
        <w:rPr>
          <w:color w:val="auto"/>
        </w:rPr>
      </w:pPr>
      <w:r w:rsidRPr="00F171A3">
        <w:t xml:space="preserve">Măsuri pentru reducerea emisiilor din încălzirea în sectorul rezidențial: </w:t>
      </w:r>
    </w:p>
    <w:p w14:paraId="44807B03" w14:textId="6239ECFB" w:rsidR="00F74C58" w:rsidRPr="00F171A3" w:rsidRDefault="007D0D63">
      <w:pPr>
        <w:pStyle w:val="Bullet"/>
        <w:numPr>
          <w:ilvl w:val="1"/>
          <w:numId w:val="65"/>
        </w:numPr>
      </w:pPr>
      <w:r w:rsidRPr="00F171A3">
        <w:t>R</w:t>
      </w:r>
      <w:r w:rsidR="00F74C58" w:rsidRPr="00F171A3">
        <w:t xml:space="preserve">eabilitarea rețelelor de distribuție a energiei termice; </w:t>
      </w:r>
    </w:p>
    <w:p w14:paraId="525B5B5B" w14:textId="74449744" w:rsidR="00F74C58" w:rsidRPr="00F171A3" w:rsidRDefault="007D0D63">
      <w:pPr>
        <w:pStyle w:val="Bullet"/>
        <w:numPr>
          <w:ilvl w:val="1"/>
          <w:numId w:val="65"/>
        </w:numPr>
      </w:pPr>
      <w:r w:rsidRPr="00F171A3">
        <w:t>C</w:t>
      </w:r>
      <w:r w:rsidR="00F74C58" w:rsidRPr="00F171A3">
        <w:t xml:space="preserve">ontinuarea programelor de reabilitare termică a blocurilor de locuințe; </w:t>
      </w:r>
    </w:p>
    <w:p w14:paraId="03ED4789" w14:textId="77777777" w:rsidR="00F74C58" w:rsidRPr="00F171A3" w:rsidRDefault="00F74C58" w:rsidP="00F74C58">
      <w:pPr>
        <w:pStyle w:val="Bullet"/>
        <w:rPr>
          <w:color w:val="auto"/>
        </w:rPr>
      </w:pPr>
      <w:r w:rsidRPr="00F171A3">
        <w:t xml:space="preserve">Măsuri pentru reducerea emisiilor din procesul de eroziune eoliană: </w:t>
      </w:r>
    </w:p>
    <w:p w14:paraId="19AAC2D4" w14:textId="1F58E8A8" w:rsidR="00F74C58" w:rsidRPr="00F171A3" w:rsidRDefault="007D0D63">
      <w:pPr>
        <w:pStyle w:val="Bullet"/>
        <w:numPr>
          <w:ilvl w:val="1"/>
          <w:numId w:val="65"/>
        </w:numPr>
      </w:pPr>
      <w:r w:rsidRPr="00F171A3">
        <w:t>Î</w:t>
      </w:r>
      <w:r w:rsidR="00F74C58" w:rsidRPr="00F171A3">
        <w:t>ntreținerea şi extinderea spațiilor verzi</w:t>
      </w:r>
      <w:r w:rsidRPr="00F171A3">
        <w:t>.</w:t>
      </w:r>
    </w:p>
    <w:p w14:paraId="22D957B1" w14:textId="1CB22FE2" w:rsidR="00F74C58" w:rsidRPr="00F171A3" w:rsidRDefault="00F74C58" w:rsidP="00F74C58">
      <w:pPr>
        <w:pStyle w:val="Bullet"/>
        <w:numPr>
          <w:ilvl w:val="0"/>
          <w:numId w:val="0"/>
        </w:numPr>
        <w:ind w:left="360"/>
        <w:rPr>
          <w:color w:val="auto"/>
        </w:rPr>
      </w:pPr>
    </w:p>
    <w:p w14:paraId="04D62F03" w14:textId="56002769" w:rsidR="00D17F0D" w:rsidRPr="00F171A3" w:rsidRDefault="00D17F0D" w:rsidP="00D17F0D">
      <w:pPr>
        <w:spacing w:before="240"/>
        <w:rPr>
          <w:b/>
          <w:bCs/>
          <w:color w:val="134753" w:themeColor="text2"/>
        </w:rPr>
      </w:pPr>
      <w:r w:rsidRPr="00F171A3">
        <w:rPr>
          <w:b/>
          <w:bCs/>
          <w:color w:val="134753" w:themeColor="text2"/>
        </w:rPr>
        <w:t>STRATEGIA DE DEZVOLTARE ȘI FUNCȚIONARE PE TERMEN MEDIU ȘI LUNG A SERVICIULUI PUBLIC DE SALUBRIZARE ÎN MUNICIPIUL BUCUREȘTI (2014-2030)</w:t>
      </w:r>
      <w:r w:rsidR="00743A44" w:rsidRPr="00F171A3">
        <w:rPr>
          <w:b/>
          <w:bCs/>
          <w:color w:val="134753" w:themeColor="text2"/>
        </w:rPr>
        <w:t xml:space="preserve">, </w:t>
      </w:r>
      <w:r w:rsidR="00743A44" w:rsidRPr="00F171A3">
        <w:t>aprobată prin H.C.G.M.B. nr. 82/2015 şi actualizată prin H.C.G.M.B. nr. 501/2017, reprezintă documentul strategic prin care sunt stabilite direcțiile de dezvoltare a serviciului public de salubrizare în municipiul Bucureşti în perioada 2014-2030. Prevederile stipulate în strategie se aplică pentru toate activitățile serviciului public de salubrizare având la bază următoarele principii: conservarea şi protecția mediului înconjurător, protecția sănătății publice, responsabilitatea față de cetățeni, dezvoltarea durabil</w:t>
      </w:r>
      <w:r w:rsidR="007D0D63" w:rsidRPr="00F171A3">
        <w:t>ă.</w:t>
      </w:r>
    </w:p>
    <w:p w14:paraId="7B2E284C" w14:textId="77777777" w:rsidR="007D0D63" w:rsidRPr="00F171A3" w:rsidRDefault="007D0D63" w:rsidP="00D17F0D">
      <w:pPr>
        <w:spacing w:before="240"/>
        <w:rPr>
          <w:b/>
          <w:bCs/>
          <w:color w:val="134753" w:themeColor="text2"/>
        </w:rPr>
      </w:pPr>
    </w:p>
    <w:p w14:paraId="40DD8DE1" w14:textId="3268FD12" w:rsidR="00D17F0D" w:rsidRPr="00F171A3" w:rsidRDefault="00D17F0D" w:rsidP="00D17F0D">
      <w:pPr>
        <w:spacing w:before="240"/>
      </w:pPr>
      <w:r w:rsidRPr="00F171A3">
        <w:rPr>
          <w:b/>
          <w:bCs/>
          <w:color w:val="134753" w:themeColor="text2"/>
        </w:rPr>
        <w:t>STRATEGIA DE ALIMENTARE CU ENERGIE TERMICĂ ÎN SISTEM CENTRALIZAT A CONSUMATORILOR DIN MUNICIPIUL BUCUREȘTI (2018-2028-2038)</w:t>
      </w:r>
      <w:r w:rsidR="0096206D" w:rsidRPr="00F171A3">
        <w:rPr>
          <w:b/>
          <w:bCs/>
          <w:color w:val="134753" w:themeColor="text2"/>
        </w:rPr>
        <w:t xml:space="preserve"> </w:t>
      </w:r>
      <w:r w:rsidR="0096206D" w:rsidRPr="00F171A3">
        <w:t xml:space="preserve">propune o serie de măsuri politice, administrative şi de reglementare specifice pentru susţinerea programului strategic privind alimentarea cu energie termică a consumatorilor urbani din </w:t>
      </w:r>
      <w:r w:rsidR="00E63916" w:rsidRPr="00F171A3">
        <w:t>m</w:t>
      </w:r>
      <w:r w:rsidR="0096206D" w:rsidRPr="00F171A3">
        <w:t>unicipiul București, în condiţii de eficienţă tehnică și economică ridicată, cu respectarea strictă a tuturor restricţiilor de mediu impuse de legislaţia internă şi internaţională în vigoare</w:t>
      </w:r>
      <w:r w:rsidR="00592430" w:rsidRPr="00F171A3">
        <w:t>.</w:t>
      </w:r>
    </w:p>
    <w:p w14:paraId="708ABEF9" w14:textId="77777777" w:rsidR="007D0D63" w:rsidRPr="00F171A3" w:rsidRDefault="007D0D63" w:rsidP="00D17F0D">
      <w:pPr>
        <w:spacing w:before="240"/>
      </w:pPr>
    </w:p>
    <w:p w14:paraId="00F04732" w14:textId="19D7AF5E" w:rsidR="00D17F0D" w:rsidRPr="00F171A3" w:rsidRDefault="00D17F0D" w:rsidP="00D17F0D">
      <w:pPr>
        <w:spacing w:before="240"/>
      </w:pPr>
      <w:r w:rsidRPr="00F171A3">
        <w:rPr>
          <w:b/>
          <w:bCs/>
          <w:color w:val="134753" w:themeColor="text2"/>
        </w:rPr>
        <w:t>STRATEGIA CULTURALĂ A MUNICIPIULUI BUCUREȘTI 2016 – 2026</w:t>
      </w:r>
      <w:r w:rsidR="00796306" w:rsidRPr="00F171A3">
        <w:rPr>
          <w:b/>
          <w:bCs/>
          <w:color w:val="134753" w:themeColor="text2"/>
        </w:rPr>
        <w:t xml:space="preserve"> </w:t>
      </w:r>
      <w:r w:rsidR="00796306" w:rsidRPr="00F171A3">
        <w:t xml:space="preserve">reprezintă un document de referință și lansarea unui proces de decizie și acțiune strategică și consecventă pentru o dezvoltare susținută pe termen lung, care să contribuie la dezvoltarea prin cultură a </w:t>
      </w:r>
      <w:r w:rsidR="00E63916" w:rsidRPr="00F171A3">
        <w:t>m</w:t>
      </w:r>
      <w:r w:rsidR="00796306" w:rsidRPr="00F171A3">
        <w:t>unicipiului București. Obiectivele strategice propuse pentru dezvoltarea prin cultură a orașului:</w:t>
      </w:r>
    </w:p>
    <w:p w14:paraId="291C24F0" w14:textId="47955433" w:rsidR="00796306" w:rsidRPr="00F171A3" w:rsidRDefault="00796306" w:rsidP="007D0D63">
      <w:pPr>
        <w:pStyle w:val="Bullet"/>
      </w:pPr>
      <w:r w:rsidRPr="00F171A3">
        <w:t>Înscrierea culturii ca motor al dezvoltării urbane durabile</w:t>
      </w:r>
      <w:r w:rsidR="007D0D63" w:rsidRPr="00F171A3">
        <w:t>;</w:t>
      </w:r>
    </w:p>
    <w:p w14:paraId="7EF57685" w14:textId="46CC13C0" w:rsidR="00796306" w:rsidRPr="00F171A3" w:rsidRDefault="00796306" w:rsidP="007D0D63">
      <w:pPr>
        <w:pStyle w:val="Bullet"/>
      </w:pPr>
      <w:r w:rsidRPr="00F171A3">
        <w:t>Asigurarea accesului și încurajarea unei participări generalizate şi echilibrate a tuturor cetăţenilor oraşului la sistemul cultural</w:t>
      </w:r>
      <w:r w:rsidR="007D0D63" w:rsidRPr="00F171A3">
        <w:t>;</w:t>
      </w:r>
    </w:p>
    <w:p w14:paraId="7C802A9F" w14:textId="1E1E83D2" w:rsidR="00796306" w:rsidRPr="00F171A3" w:rsidRDefault="00796306" w:rsidP="007D0D63">
      <w:pPr>
        <w:pStyle w:val="Bullet"/>
      </w:pPr>
      <w:r w:rsidRPr="00F171A3">
        <w:t>Poziţionarea Bucureștiului ca o capitală culturală atractivă a spaţiului european</w:t>
      </w:r>
      <w:r w:rsidR="007D0D63" w:rsidRPr="00F171A3">
        <w:t>;</w:t>
      </w:r>
    </w:p>
    <w:p w14:paraId="133E2245" w14:textId="13B3C551" w:rsidR="00796306" w:rsidRPr="00F171A3" w:rsidRDefault="00A8035E" w:rsidP="007D0D63">
      <w:pPr>
        <w:pStyle w:val="Bullet"/>
      </w:pPr>
      <w:r w:rsidRPr="00F171A3">
        <w:t>Transformarea paradigmei de gândire în ceea ce privește antreprenoriatul creativ</w:t>
      </w:r>
      <w:r w:rsidR="007D0D63" w:rsidRPr="00F171A3">
        <w:t>;</w:t>
      </w:r>
    </w:p>
    <w:p w14:paraId="431F297A" w14:textId="72A5667A" w:rsidR="00A8035E" w:rsidRPr="00F171A3" w:rsidRDefault="00A8035E" w:rsidP="007D0D63">
      <w:pPr>
        <w:pStyle w:val="Bullet"/>
      </w:pPr>
      <w:r w:rsidRPr="00F171A3">
        <w:t>Bucureștiul – oraș V „conectiv”</w:t>
      </w:r>
      <w:r w:rsidR="007D0D63" w:rsidRPr="00F171A3">
        <w:t>;</w:t>
      </w:r>
    </w:p>
    <w:p w14:paraId="5CE687CF" w14:textId="1DCB93F9" w:rsidR="00D17F0D" w:rsidRPr="00F171A3" w:rsidRDefault="00A8035E" w:rsidP="007D0D63">
      <w:pPr>
        <w:pStyle w:val="Bullet"/>
      </w:pPr>
      <w:r w:rsidRPr="00F171A3">
        <w:t>Creșterea capacităţii și sustenabilităţii VI sectorului cultural</w:t>
      </w:r>
      <w:r w:rsidR="007D0D63" w:rsidRPr="00F171A3">
        <w:t>.</w:t>
      </w:r>
    </w:p>
    <w:p w14:paraId="25F87460" w14:textId="77777777" w:rsidR="007D0D63" w:rsidRPr="00F171A3" w:rsidRDefault="007D0D63" w:rsidP="007D0D63">
      <w:pPr>
        <w:pStyle w:val="Bullet"/>
        <w:numPr>
          <w:ilvl w:val="0"/>
          <w:numId w:val="0"/>
        </w:numPr>
        <w:ind w:left="720" w:hanging="360"/>
      </w:pPr>
    </w:p>
    <w:p w14:paraId="482FA75C" w14:textId="0885BDAB" w:rsidR="00D17F0D" w:rsidRPr="00F171A3" w:rsidRDefault="00D17F0D" w:rsidP="00D17F0D">
      <w:pPr>
        <w:spacing w:before="240"/>
      </w:pPr>
      <w:r w:rsidRPr="00F171A3">
        <w:rPr>
          <w:b/>
          <w:bCs/>
          <w:color w:val="134753" w:themeColor="text2"/>
        </w:rPr>
        <w:t>PROGRAMUL ”SĂNĂTATE ȘI DEZVOLTARE PRIN SPORT” (2022)</w:t>
      </w:r>
      <w:r w:rsidR="00A8035E" w:rsidRPr="00F171A3">
        <w:rPr>
          <w:b/>
          <w:bCs/>
          <w:color w:val="134753" w:themeColor="text2"/>
        </w:rPr>
        <w:t xml:space="preserve">, </w:t>
      </w:r>
      <w:r w:rsidR="00A8035E" w:rsidRPr="00F171A3">
        <w:t xml:space="preserve">aprobat prin </w:t>
      </w:r>
      <w:r w:rsidR="00A8035E" w:rsidRPr="00F171A3">
        <w:br/>
        <w:t xml:space="preserve">Prin HCGMB nr. 350/2018, are ca scop încurajarea și dezvoltarea sportului de masă și educarea publicului prin sport, cu precădere copii și tinerii cu domiciliul în </w:t>
      </w:r>
      <w:r w:rsidR="00E63916" w:rsidRPr="00F171A3">
        <w:t>m</w:t>
      </w:r>
      <w:r w:rsidR="00A8035E" w:rsidRPr="00F171A3">
        <w:t>unicipiul București.</w:t>
      </w:r>
    </w:p>
    <w:p w14:paraId="5087D066" w14:textId="77777777" w:rsidR="007D0D63" w:rsidRPr="00F171A3" w:rsidRDefault="007D0D63" w:rsidP="00D17F0D">
      <w:pPr>
        <w:spacing w:before="240"/>
      </w:pPr>
    </w:p>
    <w:p w14:paraId="0994DF9C" w14:textId="0D014D8A" w:rsidR="00D17F0D" w:rsidRPr="00F171A3" w:rsidRDefault="00D17F0D" w:rsidP="00D17F0D">
      <w:pPr>
        <w:spacing w:before="240"/>
      </w:pPr>
      <w:r w:rsidRPr="00F171A3">
        <w:rPr>
          <w:b/>
          <w:bCs/>
          <w:color w:val="134753" w:themeColor="text2"/>
        </w:rPr>
        <w:t>MASTER PLANUL PENTRU SISTEMUL DE MANAGEMENT INTEGRAT AL DEȘEURILOR LA NIVELUL MUNICIPIULUI BUCUREȘTI (2046)</w:t>
      </w:r>
      <w:r w:rsidR="00433E80" w:rsidRPr="00F171A3">
        <w:rPr>
          <w:b/>
          <w:bCs/>
          <w:color w:val="134753" w:themeColor="text2"/>
        </w:rPr>
        <w:t xml:space="preserve"> </w:t>
      </w:r>
      <w:r w:rsidR="00433E80" w:rsidRPr="00F171A3">
        <w:t xml:space="preserve">reprezintă o componentă a proiectului de asistență tehnică pentru pregătirea proiectului ”Instalație de </w:t>
      </w:r>
      <w:r w:rsidR="00A81580" w:rsidRPr="00F171A3">
        <w:t>tratare</w:t>
      </w:r>
      <w:r w:rsidR="00433E80" w:rsidRPr="00F171A3">
        <w:t xml:space="preserve"> termică și valorificare energetică a deșeurilor municipale din municipiul București”.</w:t>
      </w:r>
      <w:r w:rsidR="00AB6145" w:rsidRPr="00F171A3">
        <w:t xml:space="preserve"> Conform PMB, Master Planul propune strategia </w:t>
      </w:r>
      <w:r w:rsidR="00DE36DE" w:rsidRPr="00F171A3">
        <w:t>m</w:t>
      </w:r>
      <w:r w:rsidR="00AB6145" w:rsidRPr="00F171A3">
        <w:t>unicipiului București în domeniul gestionării deșeurilor, precum și planul de investiții pe termen lung care să asigure atingerea tuturor țintelor prevăzute în Tratatul de aderare a României la UE, în legislația actuală și în pachetul economiei circulare adoptat și publicat în Jurnalul Oficial al Uniunii Europene.</w:t>
      </w:r>
    </w:p>
    <w:p w14:paraId="4EE2812B" w14:textId="77777777" w:rsidR="007D0D63" w:rsidRPr="00F171A3" w:rsidRDefault="007D0D63" w:rsidP="00D17F0D">
      <w:pPr>
        <w:spacing w:before="240"/>
      </w:pPr>
    </w:p>
    <w:p w14:paraId="357F723D" w14:textId="7CCBFF1A" w:rsidR="007D0D63" w:rsidRPr="00F171A3" w:rsidRDefault="00D17F0D" w:rsidP="00D17F0D">
      <w:pPr>
        <w:spacing w:before="240"/>
      </w:pPr>
      <w:r w:rsidRPr="00F171A3">
        <w:rPr>
          <w:b/>
          <w:bCs/>
          <w:color w:val="134753" w:themeColor="text2"/>
        </w:rPr>
        <w:t>STRATEGIA DE DEZVOLTARE A INFRASTRUCTURII DE TRANSPORT CU METROUL ÎN BUCUREȘTI (2040)</w:t>
      </w:r>
      <w:r w:rsidR="009D67A0" w:rsidRPr="00F171A3">
        <w:rPr>
          <w:b/>
          <w:bCs/>
          <w:color w:val="134753" w:themeColor="text2"/>
        </w:rPr>
        <w:t xml:space="preserve"> </w:t>
      </w:r>
      <w:r w:rsidR="009D67A0" w:rsidRPr="00F171A3">
        <w:t>este un document strategic de planificare a sistemului de transport de mare capacitate, care are la bază principiile de ierarhizare a rețelelor și de tratare multi nivel a proiectării acestora. A</w:t>
      </w:r>
      <w:r w:rsidR="00F171A3">
        <w:t>s</w:t>
      </w:r>
      <w:r w:rsidR="009D67A0" w:rsidRPr="00F171A3">
        <w:t>tfel, Strategia de Dezvoltare a Infrastructurii de Transport cu Metroul în București se conturează ca document justificativ și instrument decizional pentru un mod de transport urban de mare capacitate, ecologic, rapid și sigur.</w:t>
      </w:r>
    </w:p>
    <w:p w14:paraId="7F709A8E" w14:textId="628222D7" w:rsidR="00D17F0D" w:rsidRPr="00F171A3" w:rsidRDefault="009D67A0" w:rsidP="00D17F0D">
      <w:pPr>
        <w:spacing w:before="240"/>
      </w:pPr>
      <w:r w:rsidRPr="00F171A3">
        <w:t xml:space="preserve"> </w:t>
      </w:r>
    </w:p>
    <w:p w14:paraId="273785AF" w14:textId="754E69B8" w:rsidR="00D17F0D" w:rsidRPr="00F171A3" w:rsidRDefault="00D17F0D" w:rsidP="00D17F0D">
      <w:pPr>
        <w:spacing w:before="240"/>
      </w:pPr>
      <w:r w:rsidRPr="00F171A3">
        <w:rPr>
          <w:b/>
          <w:bCs/>
          <w:color w:val="134753" w:themeColor="text2"/>
        </w:rPr>
        <w:t>PROGRAMUL MULTIANUAL „BUCUREȘTIUL DIGITAL” - TEHNOLOGIA INFORMAȚIEI PENTRU SERVICII PUBLICE (2022)</w:t>
      </w:r>
      <w:r w:rsidR="00F46752" w:rsidRPr="00F171A3">
        <w:rPr>
          <w:b/>
          <w:bCs/>
          <w:color w:val="134753" w:themeColor="text2"/>
        </w:rPr>
        <w:t xml:space="preserve"> </w:t>
      </w:r>
      <w:r w:rsidR="00F46752" w:rsidRPr="00F171A3">
        <w:t>se</w:t>
      </w:r>
      <w:r w:rsidR="00F46752" w:rsidRPr="00F171A3">
        <w:rPr>
          <w:b/>
          <w:bCs/>
          <w:color w:val="134753" w:themeColor="text2"/>
        </w:rPr>
        <w:t xml:space="preserve"> </w:t>
      </w:r>
      <w:r w:rsidR="00F46752" w:rsidRPr="00F171A3">
        <w:t>derulează în perioada 2018 – 2022, fiind derulat prin intermediul Companiei Municipale Tehnologia Informaţiei. Programul vizează realizarea unui sistem informaţional municipal, format din mai multe componente tehnologice strâns interconectate şi interdependente, care să acopere nevoile colaborative intra şi interinstituţionale la nivelul întregii municipalităţi, ce urmează a deservi toate compartimentele funcţionale ale Primăriei Municipiului Bucureşti, toate unităţile subordonate, precum şi companiile ce fac parte din Holdingul municipal.</w:t>
      </w:r>
    </w:p>
    <w:p w14:paraId="5C3AB6B2" w14:textId="77777777" w:rsidR="007D0D63" w:rsidRPr="00F171A3" w:rsidRDefault="007D0D63" w:rsidP="00D17F0D">
      <w:pPr>
        <w:spacing w:before="240"/>
      </w:pPr>
    </w:p>
    <w:p w14:paraId="01FF4DC6" w14:textId="2E64DEED" w:rsidR="00D17F0D" w:rsidRPr="00F171A3" w:rsidRDefault="00D17F0D" w:rsidP="00D17F0D">
      <w:pPr>
        <w:spacing w:before="240"/>
      </w:pPr>
      <w:r w:rsidRPr="00F171A3">
        <w:rPr>
          <w:b/>
          <w:bCs/>
          <w:color w:val="134753" w:themeColor="text2"/>
        </w:rPr>
        <w:t>MASTER PLANUL SERVICIULUI DE ALIMENTARE CU APĂ ȘI CANALIZARE PENTRU MUNICIPIUL BUCUREȘTI (2049)</w:t>
      </w:r>
      <w:r w:rsidR="0088124F" w:rsidRPr="00F171A3">
        <w:rPr>
          <w:b/>
          <w:bCs/>
          <w:color w:val="134753" w:themeColor="text2"/>
        </w:rPr>
        <w:t xml:space="preserve"> </w:t>
      </w:r>
      <w:r w:rsidR="0088124F" w:rsidRPr="00F171A3">
        <w:t xml:space="preserve">„revizuiește și definește strategia de dezvoltare în sectorul de alimentare cu apă și apă uzată, în contextul asigurării protecției mediului, în particular, a calității apei râurilor și a apei subterane, pentru asigurarea conformării cu angajamentele negociate de România în cadrul procesului de integrare si post-integrare și conformării cu legislația în vigoare în domeniu. Master Planul aplică o abordare integrată privind extinderea și modernizarea sistemului de alimentare cu apă și canalizare, atât la nivelul </w:t>
      </w:r>
      <w:r w:rsidR="00DE36DE" w:rsidRPr="00F171A3">
        <w:t>m</w:t>
      </w:r>
      <w:r w:rsidR="0088124F" w:rsidRPr="00F171A3">
        <w:t>unicipiului București cât și al localităților limitrofe.”</w:t>
      </w:r>
      <w:r w:rsidR="0088124F" w:rsidRPr="00F171A3">
        <w:rPr>
          <w:rStyle w:val="FootnoteReference"/>
        </w:rPr>
        <w:footnoteReference w:id="6"/>
      </w:r>
    </w:p>
    <w:p w14:paraId="65D35822" w14:textId="77777777" w:rsidR="007D0D63" w:rsidRPr="00F171A3" w:rsidRDefault="007D0D63" w:rsidP="00D17F0D">
      <w:pPr>
        <w:spacing w:before="240"/>
        <w:rPr>
          <w:b/>
          <w:bCs/>
          <w:color w:val="134753" w:themeColor="text2"/>
        </w:rPr>
      </w:pPr>
    </w:p>
    <w:p w14:paraId="6B8B20C6" w14:textId="7A20762E" w:rsidR="00D17F0D" w:rsidRPr="00F171A3" w:rsidRDefault="00D17F0D" w:rsidP="001406CB">
      <w:pPr>
        <w:spacing w:before="240"/>
        <w:rPr>
          <w:b/>
          <w:bCs/>
          <w:color w:val="134753" w:themeColor="text2"/>
        </w:rPr>
        <w:sectPr w:rsidR="00D17F0D" w:rsidRPr="00F171A3" w:rsidSect="00135952">
          <w:pgSz w:w="11907" w:h="16839" w:code="9"/>
          <w:pgMar w:top="1151" w:right="1440" w:bottom="1440" w:left="1021" w:header="709" w:footer="284" w:gutter="0"/>
          <w:cols w:space="708"/>
          <w:titlePg/>
          <w:docGrid w:linePitch="360"/>
        </w:sectPr>
      </w:pPr>
      <w:r w:rsidRPr="00F171A3">
        <w:rPr>
          <w:b/>
          <w:bCs/>
          <w:color w:val="134753" w:themeColor="text2"/>
        </w:rPr>
        <w:t>STRATEGIILE DE DEZVOLTARE ALE CELORLALTE SECTOARE ALE MUNICIPIULUI BUCUREȘTI</w:t>
      </w:r>
      <w:r w:rsidR="001406CB" w:rsidRPr="00F171A3">
        <w:rPr>
          <w:b/>
          <w:bCs/>
          <w:color w:val="134753" w:themeColor="text2"/>
        </w:rPr>
        <w:t xml:space="preserve"> </w:t>
      </w:r>
      <w:r w:rsidR="001406CB" w:rsidRPr="00F171A3">
        <w:t>sunt relevante în cadrul procesului de actualizare și modificare a</w:t>
      </w:r>
      <w:r w:rsidR="001406CB" w:rsidRPr="00F171A3">
        <w:rPr>
          <w:b/>
          <w:bCs/>
          <w:color w:val="134753" w:themeColor="text2"/>
        </w:rPr>
        <w:t xml:space="preserve"> </w:t>
      </w:r>
      <w:r w:rsidR="001406CB" w:rsidRPr="00F171A3">
        <w:rPr>
          <w:iCs/>
        </w:rPr>
        <w:t xml:space="preserve">Strategiei de Dezvoltare Locală Integrată şi Durabilă a Sectorului 2, din perspectiva nevoii de  corelare a  masurilor propuse, pentru ca Sectorul 2 al </w:t>
      </w:r>
      <w:r w:rsidR="00DE36DE" w:rsidRPr="00F171A3">
        <w:rPr>
          <w:iCs/>
        </w:rPr>
        <w:t>m</w:t>
      </w:r>
      <w:r w:rsidR="001406CB" w:rsidRPr="00F171A3">
        <w:rPr>
          <w:iCs/>
        </w:rPr>
        <w:t xml:space="preserve">unicipiului București să beneficieze de o dezvoltare  coerentă cu teritoriile învecinate, în acord cu planul de dezvoltare a  </w:t>
      </w:r>
      <w:r w:rsidR="00DE36DE" w:rsidRPr="00F171A3">
        <w:rPr>
          <w:iCs/>
        </w:rPr>
        <w:t>m</w:t>
      </w:r>
      <w:r w:rsidR="001406CB" w:rsidRPr="00F171A3">
        <w:rPr>
          <w:iCs/>
        </w:rPr>
        <w:t>unicipiului București.</w:t>
      </w:r>
    </w:p>
    <w:p w14:paraId="69D0BE77" w14:textId="71602F81" w:rsidR="008D1315" w:rsidRPr="00F171A3" w:rsidRDefault="00220D8E" w:rsidP="003F423E">
      <w:pPr>
        <w:pStyle w:val="Heading1"/>
        <w:rPr>
          <w:lang w:val="ro-RO"/>
        </w:rPr>
      </w:pPr>
      <w:bookmarkStart w:id="45" w:name="_Toc127199266"/>
      <w:r w:rsidRPr="00F171A3">
        <w:rPr>
          <w:caps w:val="0"/>
          <w:lang w:val="ro-RO"/>
        </w:rPr>
        <w:t xml:space="preserve">EVALUAREA IMPLEMENTĂRII </w:t>
      </w:r>
      <w:bookmarkEnd w:id="26"/>
      <w:r w:rsidRPr="00F171A3">
        <w:rPr>
          <w:caps w:val="0"/>
          <w:lang w:val="ro-RO"/>
        </w:rPr>
        <w:t>STRATEGIEI DE DEZVOLTARE LOCALĂ INTEGRATĂ ȘI DURABILĂ A SECTORULUI 2 PENTRU PERIOADA 2016</w:t>
      </w:r>
      <w:r w:rsidRPr="00F171A3">
        <w:rPr>
          <w:caps w:val="0"/>
          <w:color w:val="FFFFFF" w:themeColor="background1"/>
          <w:sz w:val="48"/>
          <w:lang w:val="ro-RO"/>
        </w:rPr>
        <w:t xml:space="preserve"> </w:t>
      </w:r>
      <w:r w:rsidRPr="00F171A3">
        <w:rPr>
          <w:caps w:val="0"/>
          <w:lang w:val="ro-RO"/>
        </w:rPr>
        <w:t>- 2025</w:t>
      </w:r>
      <w:bookmarkEnd w:id="45"/>
    </w:p>
    <w:p w14:paraId="76C2750E" w14:textId="078A0ECB" w:rsidR="00220D8E" w:rsidRPr="00F171A3" w:rsidRDefault="0019172C" w:rsidP="0019172C">
      <w:pPr>
        <w:rPr>
          <w:b/>
          <w:bCs/>
          <w:color w:val="3CA1BC" w:themeColor="background2"/>
        </w:rPr>
      </w:pPr>
      <w:r w:rsidRPr="00F171A3">
        <w:rPr>
          <w:b/>
          <w:bCs/>
          <w:color w:val="3CA1BC" w:themeColor="background2"/>
        </w:rPr>
        <w:t>ANALIZA DE IMPACT PRIVIND MĂSURILE ÎNTREPRINSE ÎN PERIOADA DE REFERINȚĂ A STRATEGIEI DE DEZVOLTARE 2016-2025</w:t>
      </w:r>
    </w:p>
    <w:p w14:paraId="3442AE3A"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Scopul unei analize de impact este acela de a estima într-o măsură ridicată, potențialul intervențiilor și a acțiunilor de a-și atinge obiectivele propuse. Având în vedere specificul analizei care are la bază deciziile publice, cu impact asupra cetățenilor, metodologia va fi caracterizată de o orientare socio-economică. Rezultatele analizelor de impact raportate la sectorul public pot face obiectul unor potențiale direcții viitoare de acțiune și a unor recomandări esențiale, pot face obiectul evitării unor investiții și proiecte neviabile, precum și creșterii încrederii cetățenilor asupra măsurilor întreprinse.  </w:t>
      </w:r>
    </w:p>
    <w:p w14:paraId="7D22AC27"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Procesul de monitorizare a Strategiei de Dezvoltare Locală Integrată și Durabilă a Sectorului 2 pentru perioada 2016 – 2025 prevede atât etapa de analiză a gradului de implementare  a acesteia, precum și actualizarea strategiei de dezvoltare locală ca urmare a actualizării contextelor strategice și oportunităților de dezvoltare locală. Având în vedere acestea, în contextul actualizării strategiei de dezvoltare, este demarat procesul de analiză de impact. Prezentul capitol reprezintă o analiza </w:t>
      </w:r>
      <w:r w:rsidRPr="00F171A3">
        <w:rPr>
          <w:rFonts w:cstheme="minorHAnsi"/>
          <w:bCs/>
          <w:szCs w:val="20"/>
          <w:lang w:eastAsia="ja-JP"/>
        </w:rPr>
        <w:t xml:space="preserve">intermediară </w:t>
      </w:r>
      <w:r w:rsidRPr="00F171A3">
        <w:rPr>
          <w:rFonts w:cstheme="minorHAnsi"/>
          <w:szCs w:val="20"/>
          <w:lang w:eastAsia="ja-JP"/>
        </w:rPr>
        <w:t xml:space="preserve">și vizează procesul de evaluare a situației și efectelor privind măsurile întreprinse până la momentul actual, precum și estimarea asupra impactului proiectelor aflate în curs de implementare sau aprobate pentru implementare din cadrul Strategiei de Dezvoltare Locală Integrată și Durabilă a Sectorului 2 pentru perioada 2016 – 2025. </w:t>
      </w:r>
      <w:r w:rsidRPr="00F171A3">
        <w:rPr>
          <w:rFonts w:ascii="Calibri" w:hAnsi="Calibri" w:cstheme="minorHAnsi"/>
          <w:szCs w:val="20"/>
          <w:lang w:eastAsia="ja-JP"/>
        </w:rPr>
        <w:t>Astfel, se dorește</w:t>
      </w:r>
      <w:r w:rsidRPr="00F171A3">
        <w:rPr>
          <w:rFonts w:ascii="Calibri" w:hAnsi="Calibri"/>
          <w:szCs w:val="20"/>
          <w:lang w:eastAsia="ja-JP"/>
        </w:rPr>
        <w:t xml:space="preserve"> contura</w:t>
      </w:r>
      <w:r w:rsidRPr="00F171A3">
        <w:rPr>
          <w:rFonts w:ascii="Calibri" w:hAnsi="Calibri" w:cstheme="minorHAnsi"/>
          <w:szCs w:val="20"/>
          <w:lang w:eastAsia="ja-JP"/>
        </w:rPr>
        <w:t>rea</w:t>
      </w:r>
      <w:r w:rsidRPr="00F171A3">
        <w:rPr>
          <w:rFonts w:ascii="Calibri" w:hAnsi="Calibri"/>
          <w:szCs w:val="20"/>
          <w:lang w:eastAsia="ja-JP"/>
        </w:rPr>
        <w:t xml:space="preserve"> </w:t>
      </w:r>
      <w:r w:rsidRPr="00F171A3">
        <w:rPr>
          <w:rFonts w:ascii="Calibri" w:hAnsi="Calibri" w:cstheme="minorHAnsi"/>
          <w:szCs w:val="20"/>
          <w:lang w:eastAsia="ja-JP"/>
        </w:rPr>
        <w:t>unei imagini</w:t>
      </w:r>
      <w:r w:rsidRPr="00F171A3">
        <w:rPr>
          <w:rFonts w:ascii="Calibri" w:hAnsi="Calibri"/>
          <w:szCs w:val="20"/>
          <w:lang w:eastAsia="ja-JP"/>
        </w:rPr>
        <w:t xml:space="preserve"> de ansamblu asupra</w:t>
      </w:r>
      <w:r w:rsidRPr="00F171A3">
        <w:rPr>
          <w:rFonts w:ascii="Calibri" w:hAnsi="Calibri" w:cstheme="minorHAnsi"/>
          <w:szCs w:val="20"/>
          <w:lang w:eastAsia="ja-JP"/>
        </w:rPr>
        <w:t xml:space="preserve"> intervențiilor de dezvoltare ale </w:t>
      </w:r>
      <w:r w:rsidRPr="00F171A3">
        <w:rPr>
          <w:rFonts w:cstheme="minorHAnsi"/>
          <w:szCs w:val="20"/>
          <w:lang w:eastAsia="ja-JP"/>
        </w:rPr>
        <w:t>Strategiei de Dezvoltare Locală Integrată și Durabilă a Sectorului 2 pentru perioada 2016 – 2025 desfășurate sau în curs de implementare</w:t>
      </w:r>
      <w:r w:rsidRPr="00F171A3">
        <w:rPr>
          <w:rFonts w:ascii="Calibri" w:hAnsi="Calibri" w:cstheme="minorHAnsi"/>
          <w:szCs w:val="20"/>
          <w:lang w:eastAsia="ja-JP"/>
        </w:rPr>
        <w:t xml:space="preserve">, </w:t>
      </w:r>
      <w:r w:rsidRPr="00F171A3">
        <w:rPr>
          <w:rFonts w:cstheme="minorHAnsi"/>
          <w:szCs w:val="20"/>
          <w:lang w:eastAsia="ja-JP"/>
        </w:rPr>
        <w:t xml:space="preserve">în special prin </w:t>
      </w:r>
      <w:r w:rsidRPr="00F171A3">
        <w:rPr>
          <w:rFonts w:ascii="Calibri" w:hAnsi="Calibri"/>
          <w:szCs w:val="20"/>
          <w:lang w:eastAsia="ja-JP"/>
        </w:rPr>
        <w:t xml:space="preserve">gradul de implementare al proiectelor propuse în portofoliul aferent </w:t>
      </w:r>
      <w:r w:rsidRPr="00F171A3">
        <w:rPr>
          <w:rFonts w:ascii="Calibri" w:hAnsi="Calibri" w:cstheme="minorHAnsi"/>
          <w:szCs w:val="20"/>
          <w:lang w:eastAsia="ja-JP"/>
        </w:rPr>
        <w:t xml:space="preserve">acestuia </w:t>
      </w:r>
      <w:r w:rsidRPr="00F171A3">
        <w:rPr>
          <w:rFonts w:ascii="Calibri" w:hAnsi="Calibri"/>
          <w:szCs w:val="20"/>
          <w:lang w:eastAsia="ja-JP"/>
        </w:rPr>
        <w:t xml:space="preserve">și identificarea priorităților ce pot fi preluate în următoarea perioadă de programare, respectiv </w:t>
      </w:r>
      <w:r w:rsidRPr="00F171A3">
        <w:rPr>
          <w:rFonts w:ascii="Calibri" w:hAnsi="Calibri" w:cstheme="minorHAnsi"/>
          <w:szCs w:val="20"/>
          <w:lang w:eastAsia="ja-JP"/>
        </w:rPr>
        <w:t xml:space="preserve">în </w:t>
      </w:r>
      <w:r w:rsidRPr="00F171A3">
        <w:rPr>
          <w:rFonts w:ascii="Calibri" w:hAnsi="Calibri"/>
          <w:szCs w:val="20"/>
          <w:lang w:eastAsia="ja-JP"/>
        </w:rPr>
        <w:t xml:space="preserve">actualizarea </w:t>
      </w:r>
      <w:r w:rsidRPr="00F171A3">
        <w:rPr>
          <w:rFonts w:ascii="Calibri" w:hAnsi="Calibri" w:cstheme="minorHAnsi"/>
          <w:szCs w:val="20"/>
          <w:lang w:eastAsia="ja-JP"/>
        </w:rPr>
        <w:t xml:space="preserve">documentului strategic. </w:t>
      </w:r>
      <w:r w:rsidRPr="00F171A3">
        <w:rPr>
          <w:rFonts w:cstheme="minorHAnsi"/>
          <w:szCs w:val="20"/>
          <w:lang w:eastAsia="ja-JP"/>
        </w:rPr>
        <w:t>Noua perioadă de programare vizează actualizarea politicilor europene pentru perioada de referință, precum și bugetul aferent operaționalizării priorităților și politicilor definite. În calitate de Stat Membru, România se aliniază acestor priorități și politici atât la nivel național, cât și la nivel local, fiind urmărită adaptarea la contextul strategic european, cât și la contextul strategic național și local.</w:t>
      </w:r>
    </w:p>
    <w:p w14:paraId="36334024" w14:textId="77777777" w:rsidR="0090099C" w:rsidRPr="00F171A3" w:rsidRDefault="0090099C" w:rsidP="0090099C">
      <w:pPr>
        <w:spacing w:beforeLines="60" w:before="144" w:afterLines="60" w:after="144"/>
        <w:rPr>
          <w:rFonts w:ascii="Calibri" w:hAnsi="Calibri" w:cstheme="minorHAnsi"/>
          <w:szCs w:val="20"/>
          <w:lang w:eastAsia="ja-JP"/>
        </w:rPr>
      </w:pPr>
      <w:r w:rsidRPr="00F171A3">
        <w:rPr>
          <w:rFonts w:cstheme="minorHAnsi"/>
          <w:szCs w:val="20"/>
          <w:lang w:eastAsia="ja-JP"/>
        </w:rPr>
        <w:t xml:space="preserve">În primul rând, pentru analiza contextului actual și a gradului de implementare a măsurilor și a proiectelor propuse, este necesară analiza a ceea ce s-a propus inițial în cadrul strategiei. </w:t>
      </w:r>
      <w:r w:rsidRPr="00F171A3">
        <w:rPr>
          <w:rFonts w:ascii="Calibri" w:hAnsi="Calibri"/>
          <w:szCs w:val="20"/>
          <w:lang w:eastAsia="ja-JP"/>
        </w:rPr>
        <w:t xml:space="preserve">În continuare, pornind de la lista de proiecte aferentă </w:t>
      </w:r>
      <w:r w:rsidRPr="00F171A3">
        <w:rPr>
          <w:rFonts w:cstheme="minorHAnsi"/>
          <w:szCs w:val="20"/>
          <w:lang w:eastAsia="ja-JP"/>
        </w:rPr>
        <w:t xml:space="preserve">Strategiei de Dezvoltare Locală Integrată și Durabilă a Sectorului 2 pentru perioada 2016 – 2025 </w:t>
      </w:r>
      <w:r w:rsidRPr="00F171A3">
        <w:rPr>
          <w:rFonts w:ascii="Calibri" w:hAnsi="Calibri"/>
          <w:szCs w:val="20"/>
          <w:lang w:eastAsia="ja-JP"/>
        </w:rPr>
        <w:t xml:space="preserve">care propune o serie de intervenții sectoriale, distribuite pe obiectivele strategice, este prezentată </w:t>
      </w:r>
      <w:r w:rsidRPr="00F171A3">
        <w:rPr>
          <w:rFonts w:ascii="Calibri" w:hAnsi="Calibri" w:cstheme="minorHAnsi"/>
          <w:szCs w:val="20"/>
          <w:lang w:eastAsia="ja-JP"/>
        </w:rPr>
        <w:t>atât situația momentană pentru fiecare obiectiv, cât și situația generală a proiectelor, precum și</w:t>
      </w:r>
      <w:r w:rsidRPr="00F171A3">
        <w:rPr>
          <w:rFonts w:ascii="Calibri" w:hAnsi="Calibri"/>
          <w:szCs w:val="20"/>
          <w:lang w:eastAsia="ja-JP"/>
        </w:rPr>
        <w:t xml:space="preserve"> stadiului de implementare, fiind posibilă identificarea situației din prezent.</w:t>
      </w:r>
      <w:r w:rsidRPr="00F171A3">
        <w:rPr>
          <w:rFonts w:ascii="Calibri" w:hAnsi="Calibri" w:cstheme="minorHAnsi"/>
          <w:szCs w:val="20"/>
          <w:lang w:eastAsia="ja-JP"/>
        </w:rPr>
        <w:t xml:space="preserve"> </w:t>
      </w:r>
    </w:p>
    <w:p w14:paraId="6730752D" w14:textId="77777777" w:rsidR="0090099C" w:rsidRPr="00F171A3" w:rsidRDefault="0090099C" w:rsidP="0090099C">
      <w:pPr>
        <w:spacing w:beforeLines="60" w:before="144" w:afterLines="60" w:after="144"/>
        <w:rPr>
          <w:rFonts w:ascii="Calibri" w:hAnsi="Calibri" w:cstheme="minorHAnsi"/>
          <w:szCs w:val="20"/>
          <w:lang w:eastAsia="ja-JP"/>
        </w:rPr>
      </w:pPr>
      <w:r w:rsidRPr="00F171A3">
        <w:rPr>
          <w:rFonts w:cstheme="minorHAnsi"/>
          <w:szCs w:val="20"/>
          <w:lang w:eastAsia="ja-JP"/>
        </w:rPr>
        <w:t>În al doilea rând, în cadrul acestei secțiuni se urmărește evaluarea rezultatelor și impactului asupra proiectelor deja finalizate. De altfel, fiecare proiect demarat din cadrul portofoliului de proiecte aferent Strategiei de Dezvoltare Locală Integrată și Durabilă a Sectorului 2 pentru perioada 2016 – 2025 urmărește să producă rezultate, îmbunătățiri și dezvoltare în cadrul obiectivelor specifice din care fac parte. Astfel, proiectele demarate vor fi clasificate în funcție de domeniul asupra căruia au produs sau produc un impact pozitiv în vederea îmbunătățirea situației și performanței de la nivelul Sectorului 2.</w:t>
      </w:r>
    </w:p>
    <w:p w14:paraId="490C1FDB" w14:textId="77777777" w:rsidR="0090099C" w:rsidRPr="00F171A3" w:rsidRDefault="0090099C" w:rsidP="0090099C">
      <w:pPr>
        <w:spacing w:beforeLines="60" w:before="144" w:afterLines="60" w:after="144"/>
        <w:rPr>
          <w:rFonts w:cstheme="minorHAnsi"/>
          <w:szCs w:val="20"/>
          <w:lang w:eastAsia="ja-JP"/>
        </w:rPr>
      </w:pPr>
      <w:r w:rsidRPr="00F171A3">
        <w:rPr>
          <w:rFonts w:ascii="Calibri" w:hAnsi="Calibri" w:cstheme="minorHAnsi"/>
          <w:szCs w:val="20"/>
          <w:lang w:eastAsia="ja-JP"/>
        </w:rPr>
        <w:t xml:space="preserve">Pentru o coerență a procesului de planificare, provocărilor identificate în cadrul </w:t>
      </w:r>
      <w:r w:rsidRPr="00F171A3">
        <w:rPr>
          <w:rFonts w:cstheme="minorHAnsi"/>
          <w:szCs w:val="20"/>
          <w:lang w:eastAsia="ja-JP"/>
        </w:rPr>
        <w:t>Strategiei de Dezvoltare Locală Integrată și Durabilă a Sectorului 2 pentru perioada 2016 – 2025 le sunt asociate obiective strategice și specifice propuse pentru a conduce la atingerea viziunii de dezvoltare. Totodată, măsurile întreprinse și proiectele sunt asociate fiecare unui obiectiv general. Prin urmare, obiectivele generale care stau la baza strategiei pentru perioada 2015-2025 sunt prezentate în figura următoare:</w:t>
      </w:r>
    </w:p>
    <w:p w14:paraId="663073F7" w14:textId="70A1E129" w:rsidR="0090099C" w:rsidRPr="00F171A3" w:rsidRDefault="0090099C" w:rsidP="0090099C">
      <w:pPr>
        <w:pStyle w:val="Caption"/>
      </w:pPr>
      <w:bookmarkStart w:id="46" w:name="_Toc127197996"/>
      <w:r w:rsidRPr="00F171A3">
        <w:t xml:space="preserve">Figura </w:t>
      </w:r>
      <w:r w:rsidRPr="00F171A3">
        <w:fldChar w:fldCharType="begin"/>
      </w:r>
      <w:r w:rsidRPr="00F171A3">
        <w:instrText xml:space="preserve"> SEQ Figura \* ARABIC </w:instrText>
      </w:r>
      <w:r w:rsidRPr="00F171A3">
        <w:fldChar w:fldCharType="separate"/>
      </w:r>
      <w:r w:rsidR="005A6DD8">
        <w:rPr>
          <w:noProof/>
        </w:rPr>
        <w:t>8</w:t>
      </w:r>
      <w:r w:rsidRPr="00F171A3">
        <w:fldChar w:fldCharType="end"/>
      </w:r>
      <w:r w:rsidRPr="00F171A3">
        <w:t xml:space="preserve"> </w:t>
      </w:r>
      <w:r w:rsidRPr="00F171A3">
        <w:rPr>
          <w:szCs w:val="18"/>
        </w:rPr>
        <w:t>Obiectivele care stau la baza viziunii de dezvoltare a Strategiei de Dezvoltare Locală Integrată și Durabilă a Sectorului 2 pentru perioada 2016 – 2025</w:t>
      </w:r>
      <w:bookmarkEnd w:id="46"/>
    </w:p>
    <w:p w14:paraId="303793D5" w14:textId="77777777" w:rsidR="0090099C" w:rsidRPr="00F171A3" w:rsidRDefault="0090099C" w:rsidP="0090099C">
      <w:pPr>
        <w:rPr>
          <w:rFonts w:ascii="Calibri" w:hAnsi="Calibri"/>
          <w:sz w:val="24"/>
        </w:rPr>
      </w:pPr>
      <w:r w:rsidRPr="00F171A3">
        <w:rPr>
          <w:rFonts w:ascii="Calibri" w:hAnsi="Calibri"/>
          <w:noProof/>
          <w:sz w:val="24"/>
        </w:rPr>
        <w:drawing>
          <wp:inline distT="0" distB="0" distL="0" distR="0" wp14:anchorId="4905E2B5" wp14:editId="275BF447">
            <wp:extent cx="6019137" cy="1280160"/>
            <wp:effectExtent l="0" t="19050" r="20320" b="34290"/>
            <wp:docPr id="25641" name="Diagram 256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5F2F1BBB" w14:textId="77777777" w:rsidR="0090099C" w:rsidRPr="00F171A3" w:rsidRDefault="0090099C" w:rsidP="00216383">
      <w:pPr>
        <w:jc w:val="right"/>
        <w:rPr>
          <w:color w:val="BFBFBF" w:themeColor="background1" w:themeShade="BF"/>
        </w:rPr>
      </w:pPr>
      <w:r w:rsidRPr="00F171A3">
        <w:rPr>
          <w:color w:val="BFBFBF" w:themeColor="background1" w:themeShade="BF"/>
        </w:rPr>
        <w:t>Sursa: Strategia de Dezvoltare Locala 2016-2025</w:t>
      </w:r>
    </w:p>
    <w:p w14:paraId="2D47CE78" w14:textId="77777777" w:rsidR="0090099C" w:rsidRPr="00F171A3" w:rsidRDefault="0090099C" w:rsidP="0090099C">
      <w:pPr>
        <w:spacing w:beforeLines="60" w:before="144" w:afterLines="60" w:after="144"/>
        <w:rPr>
          <w:szCs w:val="20"/>
        </w:rPr>
      </w:pPr>
      <w:r w:rsidRPr="00F171A3">
        <w:rPr>
          <w:rFonts w:cstheme="minorHAnsi"/>
          <w:b/>
          <w:color w:val="134753" w:themeColor="accent2"/>
          <w:szCs w:val="20"/>
          <w:lang w:eastAsia="ja-JP"/>
        </w:rPr>
        <w:t>GENERAL |</w:t>
      </w:r>
      <w:r w:rsidRPr="00F171A3">
        <w:rPr>
          <w:rFonts w:cstheme="minorHAnsi"/>
          <w:szCs w:val="20"/>
          <w:lang w:eastAsia="ja-JP"/>
        </w:rPr>
        <w:t xml:space="preserve"> </w:t>
      </w:r>
      <w:r w:rsidRPr="00F171A3">
        <w:rPr>
          <w:rFonts w:ascii="Calibri" w:hAnsi="Calibri" w:cstheme="minorHAnsi"/>
          <w:szCs w:val="20"/>
          <w:lang w:eastAsia="ja-JP"/>
        </w:rPr>
        <w:t xml:space="preserve">Cele 5 obiective propuse pentru perioada 2016-2025 formează portofoliul de proiecte al  </w:t>
      </w:r>
      <w:r w:rsidRPr="00F171A3">
        <w:rPr>
          <w:rFonts w:cstheme="minorHAnsi"/>
          <w:szCs w:val="20"/>
          <w:lang w:eastAsia="ja-JP"/>
        </w:rPr>
        <w:t>Strategiei de Dezvoltare Locală Integrată și Durabilă a Sectorului 2 pentru perioada 2016 – 2025. În cadrul portofoliului au fost propuse 311 proiecte, dintre care Primăria Sectorului 2 este solicitant sau partener în cadrul a 88,1% dintre acestea. Bugetul planificat pentru aceste proiecte este de 31 mld. de lei, respectiv 7 mld. de Euro</w:t>
      </w:r>
      <w:r w:rsidRPr="00F171A3">
        <w:rPr>
          <w:rFonts w:cstheme="minorHAnsi"/>
          <w:szCs w:val="20"/>
          <w:vertAlign w:val="superscript"/>
          <w:lang w:eastAsia="ja-JP"/>
        </w:rPr>
        <w:footnoteReference w:id="7"/>
      </w:r>
      <w:r w:rsidRPr="00F171A3">
        <w:rPr>
          <w:rFonts w:cstheme="minorHAnsi"/>
          <w:szCs w:val="20"/>
          <w:lang w:eastAsia="ja-JP"/>
        </w:rPr>
        <w:t xml:space="preserve">.  </w:t>
      </w:r>
    </w:p>
    <w:p w14:paraId="36C89CE6" w14:textId="77777777" w:rsidR="0090099C" w:rsidRPr="00F171A3" w:rsidRDefault="0090099C" w:rsidP="0090099C">
      <w:pPr>
        <w:spacing w:beforeLines="60" w:before="144" w:afterLines="60" w:after="144"/>
        <w:rPr>
          <w:rFonts w:ascii="Calibri" w:hAnsi="Calibri" w:cstheme="minorHAnsi"/>
          <w:szCs w:val="20"/>
          <w:lang w:eastAsia="ja-JP"/>
        </w:rPr>
      </w:pPr>
      <w:r w:rsidRPr="00F171A3">
        <w:rPr>
          <w:rFonts w:ascii="Calibri" w:hAnsi="Calibri" w:cstheme="minorHAnsi"/>
          <w:szCs w:val="20"/>
          <w:lang w:eastAsia="ja-JP"/>
        </w:rPr>
        <w:t>După cum poate fi observat în imaginea de mai jos, cele mai multe proiecte, 47,6% dintre acestea sunt propuse în cadrul Obiectivului 1 - Locuire, servicii și cultură adaptate unei comunități active și implicate. După acest obiectiv, cele mai mult proiecte, 19,9% sunt propuse în cadrul Obiectivului 3. Infrastructură urbană adaptată la nevoile actuale și viitoare. Obiectivul 4 - Sector 2 - model de dezvoltare sistem albastru-verde însumează cel mai scăzut număr de proiecte propuse, respectiv 11,9% din totalul portofoliului.</w:t>
      </w:r>
    </w:p>
    <w:p w14:paraId="117990D7" w14:textId="7D63A1E7" w:rsidR="0090099C" w:rsidRPr="00F171A3" w:rsidRDefault="0090099C" w:rsidP="0090099C">
      <w:pPr>
        <w:pStyle w:val="Caption"/>
      </w:pPr>
      <w:bookmarkStart w:id="47" w:name="_Toc127197997"/>
      <w:r w:rsidRPr="00F171A3">
        <w:t xml:space="preserve">Figura </w:t>
      </w:r>
      <w:r w:rsidRPr="00F171A3">
        <w:fldChar w:fldCharType="begin"/>
      </w:r>
      <w:r w:rsidRPr="00F171A3">
        <w:instrText xml:space="preserve"> SEQ Figura \* ARABIC </w:instrText>
      </w:r>
      <w:r w:rsidRPr="00F171A3">
        <w:fldChar w:fldCharType="separate"/>
      </w:r>
      <w:r w:rsidR="005A6DD8">
        <w:rPr>
          <w:noProof/>
        </w:rPr>
        <w:t>9</w:t>
      </w:r>
      <w:r w:rsidRPr="00F171A3">
        <w:fldChar w:fldCharType="end"/>
      </w:r>
      <w:r w:rsidRPr="00F171A3">
        <w:t xml:space="preserve"> </w:t>
      </w:r>
      <w:r w:rsidRPr="00F171A3">
        <w:rPr>
          <w:szCs w:val="18"/>
        </w:rPr>
        <w:t>Ponderea proiectelor propuse aferente fiecărui obiectiv general, Strategia de Dezvoltare Locală Integrată și Durabilă a Sectorului 2 pentru perioada 2016 – 2025</w:t>
      </w:r>
      <w:bookmarkEnd w:id="47"/>
    </w:p>
    <w:p w14:paraId="0168DB3E" w14:textId="77777777" w:rsidR="0090099C" w:rsidRPr="00F171A3" w:rsidRDefault="0090099C" w:rsidP="0090099C">
      <w:pPr>
        <w:rPr>
          <w:rFonts w:ascii="Calibri" w:hAnsi="Calibri"/>
          <w:sz w:val="24"/>
        </w:rPr>
      </w:pPr>
      <w:r w:rsidRPr="00F171A3">
        <w:rPr>
          <w:noProof/>
          <w:sz w:val="24"/>
        </w:rPr>
        <w:drawing>
          <wp:inline distT="0" distB="0" distL="0" distR="0" wp14:anchorId="320F0BCA" wp14:editId="06441948">
            <wp:extent cx="5947576" cy="2425148"/>
            <wp:effectExtent l="0" t="0" r="0" b="0"/>
            <wp:docPr id="25642" name="Chart 256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EAF856F" w14:textId="4213858C" w:rsidR="0090099C" w:rsidRPr="00F171A3" w:rsidRDefault="0090099C" w:rsidP="00216383">
      <w:pPr>
        <w:jc w:val="right"/>
        <w:rPr>
          <w:color w:val="BFBFBF" w:themeColor="background1" w:themeShade="BF"/>
        </w:rPr>
      </w:pPr>
      <w:r w:rsidRPr="00F171A3">
        <w:rPr>
          <w:rFonts w:ascii="Calibri" w:hAnsi="Calibri"/>
          <w:color w:val="BFBFBF" w:themeColor="background1" w:themeShade="BF"/>
        </w:rPr>
        <w:t xml:space="preserve">Sursa: </w:t>
      </w:r>
      <w:r w:rsidR="00216383" w:rsidRPr="00F171A3">
        <w:rPr>
          <w:rFonts w:ascii="Calibri" w:hAnsi="Calibri"/>
          <w:color w:val="BFBFBF" w:themeColor="background1" w:themeShade="BF"/>
        </w:rPr>
        <w:t>A</w:t>
      </w:r>
      <w:r w:rsidRPr="00F171A3">
        <w:rPr>
          <w:rFonts w:ascii="Calibri" w:hAnsi="Calibri"/>
          <w:color w:val="BFBFBF" w:themeColor="background1" w:themeShade="BF"/>
        </w:rPr>
        <w:t xml:space="preserve">naliza proprie conform </w:t>
      </w:r>
      <w:r w:rsidRPr="00F171A3">
        <w:rPr>
          <w:color w:val="BFBFBF" w:themeColor="background1" w:themeShade="BF"/>
        </w:rPr>
        <w:t>Strategiei de Dezvoltare Locală Integrată și Durabilă a Sectorului 2 pentru perioada 2016 – 2025</w:t>
      </w:r>
    </w:p>
    <w:p w14:paraId="1E9EB7BD"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Din perspectiva bugetelor, cea mai ridicată sumă este alocată Obiectivului general 3 - Infrastructură urbană adaptată la nevoile actuale și viitoare, proiectele de infrastructură fiind și cele mai costisitoare din totalitatea proiectelor propuse. Restul Obiectivelor generale, respective O1, O2, O4 și O5 însumează împreună un buget de aproape 5% din totalul bugetului aferent portofoliului de proiecte.  </w:t>
      </w:r>
    </w:p>
    <w:p w14:paraId="29954223" w14:textId="6B9B6C03" w:rsidR="0090099C" w:rsidRPr="00F171A3" w:rsidRDefault="0090099C" w:rsidP="0090099C">
      <w:pPr>
        <w:pStyle w:val="Caption"/>
      </w:pPr>
      <w:bookmarkStart w:id="48" w:name="_Toc127197998"/>
      <w:r w:rsidRPr="00F171A3">
        <w:t xml:space="preserve">Figura </w:t>
      </w:r>
      <w:r w:rsidRPr="00F171A3">
        <w:fldChar w:fldCharType="begin"/>
      </w:r>
      <w:r w:rsidRPr="00F171A3">
        <w:instrText xml:space="preserve"> SEQ Figura \* ARABIC </w:instrText>
      </w:r>
      <w:r w:rsidRPr="00F171A3">
        <w:fldChar w:fldCharType="separate"/>
      </w:r>
      <w:r w:rsidR="005A6DD8">
        <w:rPr>
          <w:noProof/>
        </w:rPr>
        <w:t>10</w:t>
      </w:r>
      <w:r w:rsidRPr="00F171A3">
        <w:fldChar w:fldCharType="end"/>
      </w:r>
      <w:r w:rsidRPr="00F171A3">
        <w:t xml:space="preserve"> </w:t>
      </w:r>
      <w:r w:rsidRPr="00F171A3">
        <w:rPr>
          <w:szCs w:val="18"/>
        </w:rPr>
        <w:t>Ponderea bugetelor propuse aferente fiecărui obiectiv general, Strategia de Dezvoltare Locală Integrată și Durabilă a Sectorului 2 pentru perioada 2016 – 2025</w:t>
      </w:r>
      <w:bookmarkEnd w:id="48"/>
    </w:p>
    <w:p w14:paraId="51609445"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7D8AA1EA" wp14:editId="4A728824">
            <wp:extent cx="5943600" cy="2483892"/>
            <wp:effectExtent l="0" t="0" r="0" b="0"/>
            <wp:docPr id="25643" name="Chart 256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124F1B0" w14:textId="0435F49A" w:rsidR="0090099C" w:rsidRPr="00F171A3" w:rsidRDefault="0090099C" w:rsidP="00216383">
      <w:pPr>
        <w:jc w:val="right"/>
        <w:rPr>
          <w:rFonts w:ascii="Calibri" w:hAnsi="Calibri"/>
          <w:color w:val="BFBFBF" w:themeColor="background1" w:themeShade="BF"/>
          <w:sz w:val="24"/>
        </w:rPr>
      </w:pPr>
      <w:r w:rsidRPr="00F171A3">
        <w:rPr>
          <w:rFonts w:ascii="Calibri" w:hAnsi="Calibri"/>
          <w:color w:val="BFBFBF" w:themeColor="background1" w:themeShade="BF"/>
        </w:rPr>
        <w:t xml:space="preserve">Sursa: </w:t>
      </w:r>
      <w:r w:rsidR="00216383" w:rsidRPr="00F171A3">
        <w:rPr>
          <w:rFonts w:ascii="Calibri" w:hAnsi="Calibri"/>
          <w:color w:val="BFBFBF" w:themeColor="background1" w:themeShade="BF"/>
        </w:rPr>
        <w:t>A</w:t>
      </w:r>
      <w:r w:rsidRPr="00F171A3">
        <w:rPr>
          <w:rFonts w:ascii="Calibri" w:hAnsi="Calibri"/>
          <w:color w:val="BFBFBF" w:themeColor="background1" w:themeShade="BF"/>
        </w:rPr>
        <w:t xml:space="preserve">naliza proprie conform </w:t>
      </w:r>
      <w:r w:rsidRPr="00F171A3">
        <w:rPr>
          <w:color w:val="BFBFBF" w:themeColor="background1" w:themeShade="BF"/>
        </w:rPr>
        <w:t>Strategiei de Dezvoltare Locală Integrată și Durabilă a Sectorului 2 pentru perioada 2016 – 2025</w:t>
      </w:r>
    </w:p>
    <w:p w14:paraId="01589F85" w14:textId="77777777" w:rsidR="0090099C" w:rsidRPr="00F171A3" w:rsidRDefault="0090099C" w:rsidP="0090099C">
      <w:pPr>
        <w:rPr>
          <w:b/>
          <w:color w:val="134753" w:themeColor="accent2"/>
          <w:szCs w:val="20"/>
          <w:lang w:eastAsia="ja-JP"/>
        </w:rPr>
      </w:pPr>
      <w:r w:rsidRPr="00F171A3">
        <w:rPr>
          <w:szCs w:val="20"/>
        </w:rPr>
        <w:t>În cadrul acestui subcapitol se urmărește evaluarea rezultatelor și impactului asupra proiectelor deja finalizate. De altfel, fiecare proiect demarat din cadrul portofoliului de proiecte aferent Strategiei de Dezvoltare Locală Integrată și Durabilă a Sectorului 2 pentru perioada 2016 – 2025 urmărește să producă rezultate, îmbunătățiri și dezvoltare în cadrul obiectivelor specifice din care fac parte. Astfel, proiectele demarate vor fi clasificate în funcție de domeniul asupra căruia au produs sau produc un impact pozitiv în vederea îmbunătățirea situației și performanței de la nivelul Sectorului 2.</w:t>
      </w:r>
    </w:p>
    <w:p w14:paraId="3FEC55BC" w14:textId="77777777" w:rsidR="0090099C" w:rsidRPr="00F171A3" w:rsidRDefault="0090099C" w:rsidP="0090099C">
      <w:pPr>
        <w:rPr>
          <w:szCs w:val="20"/>
        </w:rPr>
      </w:pPr>
      <w:r w:rsidRPr="00F171A3">
        <w:rPr>
          <w:b/>
          <w:color w:val="134753" w:themeColor="accent2"/>
          <w:szCs w:val="20"/>
          <w:lang w:eastAsia="ja-JP"/>
        </w:rPr>
        <w:t>O1. LOCUIRE, SERVICII ŞI CULTURĂ ADAPTATE UNEI COMUNITĂŢI ACTIVE ŞI IMPLICATE</w:t>
      </w:r>
      <w:r w:rsidRPr="00F171A3">
        <w:rPr>
          <w:szCs w:val="20"/>
        </w:rPr>
        <w:t xml:space="preserve"> </w:t>
      </w:r>
      <w:r w:rsidRPr="00F171A3">
        <w:rPr>
          <w:b/>
          <w:color w:val="134753" w:themeColor="accent2"/>
          <w:szCs w:val="20"/>
          <w:lang w:eastAsia="ja-JP"/>
        </w:rPr>
        <w:t xml:space="preserve">| </w:t>
      </w:r>
      <w:r w:rsidRPr="00F171A3">
        <w:rPr>
          <w:szCs w:val="20"/>
        </w:rPr>
        <w:t xml:space="preserve">Obiectivul general 1 propune măsuri și investiții prin 148 de proiecte, dintre care Primăria Sectorului 2 este solicitant sau partener pentru 132, respective 89,2% dintre acestea.  Bugetul total alocat celor 132 de proiecte este de 993 de milioane de lei, respectiv 224 de milioane de euro. Acestea au ca scop crearea de facilități pentru ca toți locuitorii orașului să aibă condiții bune de trai și să poată participa activ la dezvoltarea culturală și socială a Sectorului 2. </w:t>
      </w:r>
    </w:p>
    <w:p w14:paraId="68A1D6E9"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Raportat la nivelul de implementare al proiectelor, conform informațiilor, 8,1% (12 proiecte) dintre cele 148 de proiecte specifice acestui obiectiv au fost deja implementate, iar 23,6% (35 de proiecte) sunt în implementare. Despre restul de 68,2% nu se cunosc informații cum că ar fi desfășurate activități de implementare sau finalizate până la acest moment. </w:t>
      </w:r>
    </w:p>
    <w:p w14:paraId="1FFE10EE" w14:textId="3EDE3211" w:rsidR="0090099C" w:rsidRPr="00F171A3" w:rsidRDefault="0090099C" w:rsidP="0090099C">
      <w:pPr>
        <w:pStyle w:val="Caption"/>
      </w:pPr>
      <w:bookmarkStart w:id="49" w:name="_Toc127197999"/>
      <w:r w:rsidRPr="00F171A3">
        <w:t xml:space="preserve">Figura </w:t>
      </w:r>
      <w:r w:rsidRPr="00F171A3">
        <w:fldChar w:fldCharType="begin"/>
      </w:r>
      <w:r w:rsidRPr="00F171A3">
        <w:instrText xml:space="preserve"> SEQ Figura \* ARABIC </w:instrText>
      </w:r>
      <w:r w:rsidRPr="00F171A3">
        <w:fldChar w:fldCharType="separate"/>
      </w:r>
      <w:r w:rsidR="005A6DD8">
        <w:rPr>
          <w:noProof/>
        </w:rPr>
        <w:t>11</w:t>
      </w:r>
      <w:r w:rsidRPr="00F171A3">
        <w:fldChar w:fldCharType="end"/>
      </w:r>
      <w:r w:rsidRPr="00F171A3">
        <w:t xml:space="preserve"> </w:t>
      </w:r>
      <w:r w:rsidRPr="00F171A3">
        <w:rPr>
          <w:szCs w:val="18"/>
        </w:rPr>
        <w:t>Gradul de implementare al proiectelor specifice Obiectivului general 1 - Locuire, servicii și cultură adaptate unei comunităţi active și implicate</w:t>
      </w:r>
      <w:bookmarkEnd w:id="49"/>
    </w:p>
    <w:p w14:paraId="60B748AA"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26DDA9EB" wp14:editId="20CC51DF">
            <wp:extent cx="5964865" cy="2275368"/>
            <wp:effectExtent l="0" t="0" r="0" b="0"/>
            <wp:docPr id="25644" name="Chart 256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26B7BE5"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207CEDBD" w14:textId="3D4FFCC2"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Cele 12 proiecte finalizate din cadrul obiectivului General 1. Locuire, servicii și cultură adaptate unei comunităţi active și implicate sunt prezentate în tabelul de mai jos. Conform datelor, bugetul total estimat al acestora prevăzut în portofoliul de proiecte al strategiei reprezintă suma de 33.511.746 milioane de lei, respectiv 3,4% din bugetul total alocat obiectivului 1.</w:t>
      </w:r>
    </w:p>
    <w:p w14:paraId="4E5B97A6" w14:textId="72885894" w:rsidR="0090099C" w:rsidRPr="00F171A3" w:rsidRDefault="0090099C" w:rsidP="0090099C">
      <w:pPr>
        <w:pStyle w:val="Caption"/>
      </w:pPr>
      <w:bookmarkStart w:id="50" w:name="_Toc126943259"/>
      <w:r w:rsidRPr="00F171A3">
        <w:t xml:space="preserve">Tabel </w:t>
      </w:r>
      <w:r w:rsidRPr="00F171A3">
        <w:fldChar w:fldCharType="begin"/>
      </w:r>
      <w:r w:rsidRPr="00F171A3">
        <w:instrText xml:space="preserve"> SEQ Tabel \* ARABIC </w:instrText>
      </w:r>
      <w:r w:rsidRPr="00F171A3">
        <w:fldChar w:fldCharType="separate"/>
      </w:r>
      <w:r w:rsidR="005A6DD8">
        <w:rPr>
          <w:noProof/>
        </w:rPr>
        <w:t>2</w:t>
      </w:r>
      <w:r w:rsidRPr="00F171A3">
        <w:fldChar w:fldCharType="end"/>
      </w:r>
      <w:r w:rsidRPr="00F171A3">
        <w:t xml:space="preserve"> </w:t>
      </w:r>
      <w:r w:rsidRPr="00F171A3">
        <w:rPr>
          <w:szCs w:val="18"/>
        </w:rPr>
        <w:t>Proiectele finalizate în cadrul Obiectivului general 1 - Locuire, servicii și cultură adaptate unei comunităţi active și implicate</w:t>
      </w:r>
      <w:bookmarkEnd w:id="50"/>
    </w:p>
    <w:tbl>
      <w:tblPr>
        <w:tblStyle w:val="Civittatable9"/>
        <w:tblW w:w="0" w:type="auto"/>
        <w:tblInd w:w="-5" w:type="dxa"/>
        <w:tblLook w:val="0480" w:firstRow="0" w:lastRow="0" w:firstColumn="1" w:lastColumn="0" w:noHBand="0" w:noVBand="1"/>
      </w:tblPr>
      <w:tblGrid>
        <w:gridCol w:w="4720"/>
        <w:gridCol w:w="4721"/>
      </w:tblGrid>
      <w:tr w:rsidR="0090099C" w:rsidRPr="00F171A3" w14:paraId="577EF704" w14:textId="77777777" w:rsidTr="0019172C">
        <w:trPr>
          <w:cnfStyle w:val="000000100000" w:firstRow="0" w:lastRow="0" w:firstColumn="0" w:lastColumn="0" w:oddVBand="0" w:evenVBand="0" w:oddHBand="1" w:evenHBand="0" w:firstRowFirstColumn="0" w:firstRowLastColumn="0" w:lastRowFirstColumn="0" w:lastRowLastColumn="0"/>
        </w:trPr>
        <w:tc>
          <w:tcPr>
            <w:tcW w:w="9441" w:type="dxa"/>
            <w:gridSpan w:val="2"/>
            <w:shd w:val="clear" w:color="auto" w:fill="134753" w:themeFill="text2"/>
            <w:vAlign w:val="center"/>
          </w:tcPr>
          <w:p w14:paraId="23282E25" w14:textId="5A579DC6" w:rsidR="0090099C" w:rsidRPr="00F171A3" w:rsidRDefault="0019172C" w:rsidP="0019172C">
            <w:pPr>
              <w:spacing w:after="0"/>
              <w:ind w:left="360"/>
              <w:jc w:val="center"/>
              <w:rPr>
                <w:rFonts w:cstheme="minorHAnsi"/>
                <w:b/>
                <w:bCs/>
                <w:color w:val="FFFFFF" w:themeColor="background1"/>
                <w:lang w:eastAsia="ja-JP"/>
              </w:rPr>
            </w:pPr>
            <w:r w:rsidRPr="00F171A3">
              <w:rPr>
                <w:b/>
                <w:bCs/>
                <w:color w:val="FFFFFF" w:themeColor="background1"/>
              </w:rPr>
              <w:t xml:space="preserve">BUGETUL ALOCAT PROIECTELOR ÎN STRATEGIA DE DEZVOLTARE LOCALĂ INTEGRATĂ ȘI DURABILĂ A SECTORULUI 2 PENTRU PERIOADA 2016 – 2025   - </w:t>
            </w:r>
            <w:r w:rsidRPr="00F171A3">
              <w:rPr>
                <w:rFonts w:cstheme="minorHAnsi"/>
                <w:b/>
                <w:bCs/>
                <w:color w:val="FFFFFF" w:themeColor="background1"/>
                <w:lang w:eastAsia="ja-JP"/>
              </w:rPr>
              <w:t>33.511.746    MILIOANE DE LEI</w:t>
            </w:r>
          </w:p>
        </w:tc>
      </w:tr>
      <w:tr w:rsidR="0090099C" w:rsidRPr="00F171A3" w14:paraId="614F3203" w14:textId="77777777" w:rsidTr="0019172C">
        <w:trPr>
          <w:cnfStyle w:val="000000010000" w:firstRow="0" w:lastRow="0" w:firstColumn="0" w:lastColumn="0" w:oddVBand="0" w:evenVBand="0" w:oddHBand="0" w:evenHBand="1" w:firstRowFirstColumn="0" w:firstRowLastColumn="0" w:lastRowFirstColumn="0" w:lastRowLastColumn="0"/>
        </w:trPr>
        <w:tc>
          <w:tcPr>
            <w:tcW w:w="4720" w:type="dxa"/>
            <w:vAlign w:val="center"/>
          </w:tcPr>
          <w:p w14:paraId="3CD7296C"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Eficientizare energetică, prin reabilitare/ modernizare a Liceului Teoretic Lucian Blaga</w:t>
            </w:r>
          </w:p>
          <w:p w14:paraId="255CED53"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Consolidare și reabilitare Grădiniţa Albinuţa Consolidare și reabilitare imobil din str. Rahmaninov nr. 25 - Grădinița „Albinuța” (fosta Grădinița nr.253)</w:t>
            </w:r>
          </w:p>
          <w:p w14:paraId="790961DD"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nr. 134 </w:t>
            </w:r>
          </w:p>
          <w:p w14:paraId="77FC5DE2" w14:textId="00BC5460"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Construire creşă în cartierul Tei</w:t>
            </w:r>
          </w:p>
          <w:p w14:paraId="27AA9805"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Construire creşă în zona Colentina</w:t>
            </w:r>
          </w:p>
          <w:p w14:paraId="5696C777"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Implementarea standardelor de calitate în serviciile de protecţie specială în regim de urgenţă prin reabilitarea și modernizarea CPRU Cireșarii</w:t>
            </w:r>
          </w:p>
        </w:tc>
        <w:tc>
          <w:tcPr>
            <w:tcW w:w="4721" w:type="dxa"/>
            <w:vAlign w:val="center"/>
          </w:tcPr>
          <w:p w14:paraId="716EFD4A"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Modernizarea și reabilitarea centrului de zi Pinocchio</w:t>
            </w:r>
          </w:p>
          <w:p w14:paraId="49F7F0A6"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Reabilitarea și modernizarea unităţilor rezidenţiale de tip familial și a unei case de tip familial</w:t>
            </w:r>
          </w:p>
          <w:p w14:paraId="47D7F861"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Reabilitarea, modernizarea și dotarea centrului de servicii pentru copii cu Handicap din Str. Traian nr. 144</w:t>
            </w:r>
          </w:p>
          <w:p w14:paraId="4360868B"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Proiect conștientizare populație cu privire la riscul seismic</w:t>
            </w:r>
          </w:p>
          <w:p w14:paraId="69164C26"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Elaborarea și implementarea unei agende culturale multianuale a Sectorului 2</w:t>
            </w:r>
          </w:p>
          <w:p w14:paraId="17743CDA"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Stabilirea de parteneriate cu instituțiile culturale pentru organizarea de evenimente în aer liber (piese de teatru, expoziții, ateliere de creație, concerte etc.)</w:t>
            </w:r>
          </w:p>
        </w:tc>
      </w:tr>
    </w:tbl>
    <w:p w14:paraId="363E8D7C"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18C69335"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În tabelul următor sunt centralizate cele 35 de proiecte specifice Obiectivului general 1 - Locuire, servicii și cultură adaptate unei comunităţi active și implicate care se află la momentul actual în curs de implementare. 80% dintre acestea prevăd investiții în îmbunătățirea, modernizarea, reabilitarea sau extinderea infrastructurii de învățământ, iar restul au la bază investiții în îmbunătățirea serviciilor și infrastructurii sociale, precum și un proiect de derulare a unor companii de informare. </w:t>
      </w:r>
    </w:p>
    <w:p w14:paraId="317F76D6" w14:textId="2447E5E4" w:rsidR="0090099C" w:rsidRPr="00F171A3" w:rsidRDefault="0090099C" w:rsidP="0090099C">
      <w:pPr>
        <w:pStyle w:val="Caption"/>
      </w:pPr>
      <w:bookmarkStart w:id="51" w:name="_Toc126943260"/>
      <w:r w:rsidRPr="00F171A3">
        <w:t xml:space="preserve">Tabel </w:t>
      </w:r>
      <w:r w:rsidRPr="00F171A3">
        <w:fldChar w:fldCharType="begin"/>
      </w:r>
      <w:r w:rsidRPr="00F171A3">
        <w:instrText xml:space="preserve"> SEQ Tabel \* ARABIC </w:instrText>
      </w:r>
      <w:r w:rsidRPr="00F171A3">
        <w:fldChar w:fldCharType="separate"/>
      </w:r>
      <w:r w:rsidR="005A6DD8">
        <w:rPr>
          <w:noProof/>
        </w:rPr>
        <w:t>3</w:t>
      </w:r>
      <w:r w:rsidRPr="00F171A3">
        <w:fldChar w:fldCharType="end"/>
      </w:r>
      <w:r w:rsidRPr="00F171A3">
        <w:t xml:space="preserve">  </w:t>
      </w:r>
      <w:r w:rsidRPr="00F171A3">
        <w:rPr>
          <w:szCs w:val="18"/>
        </w:rPr>
        <w:t>Proiectele în curs de implementare în cadrul Obiectivului general 1 - Locuire, servicii și cultură adaptate unei comunităţi active și implicate</w:t>
      </w:r>
      <w:bookmarkEnd w:id="51"/>
    </w:p>
    <w:tbl>
      <w:tblPr>
        <w:tblStyle w:val="Civittatable9"/>
        <w:tblW w:w="0" w:type="auto"/>
        <w:tblInd w:w="-5" w:type="dxa"/>
        <w:tblLook w:val="0480" w:firstRow="0" w:lastRow="0" w:firstColumn="1" w:lastColumn="0" w:noHBand="0" w:noVBand="1"/>
      </w:tblPr>
      <w:tblGrid>
        <w:gridCol w:w="4720"/>
        <w:gridCol w:w="4721"/>
      </w:tblGrid>
      <w:tr w:rsidR="0090099C" w:rsidRPr="00F171A3" w14:paraId="3539AE03" w14:textId="77777777" w:rsidTr="002F5F8B">
        <w:trPr>
          <w:cnfStyle w:val="000000100000" w:firstRow="0" w:lastRow="0" w:firstColumn="0" w:lastColumn="0" w:oddVBand="0" w:evenVBand="0" w:oddHBand="1" w:evenHBand="0" w:firstRowFirstColumn="0" w:firstRowLastColumn="0" w:lastRowFirstColumn="0" w:lastRowLastColumn="0"/>
        </w:trPr>
        <w:tc>
          <w:tcPr>
            <w:tcW w:w="4720" w:type="dxa"/>
            <w:vAlign w:val="center"/>
          </w:tcPr>
          <w:p w14:paraId="4133CB48"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Eficientizare energetică, prin reabilitare/ modernizare a Şcolii nr.64 Ferdinand I</w:t>
            </w:r>
          </w:p>
          <w:p w14:paraId="7B0A6311"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Eficientizare energetică, prin reabilitare/ modernizare a Liceului Tehnologic Ion I.C. Brătianu și a căminului aferent</w:t>
            </w:r>
          </w:p>
          <w:p w14:paraId="5887822E"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Reabilitarea, modernizarea, dezvoltarea și echiparea infrastructurii educaţionale preuniversitare a Colegiului Tehnic Dimitrie Leonida</w:t>
            </w:r>
          </w:p>
          <w:p w14:paraId="6199F40D"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Grădiniţa Licurici (fosta Grădiniţă nr. 51) consolidare, reabilitare</w:t>
            </w:r>
          </w:p>
          <w:p w14:paraId="6A3492A7"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133 (fosta Grădiniţă nr.  258) </w:t>
            </w:r>
          </w:p>
          <w:p w14:paraId="7DEAFB23"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Alice (fosta Grădiniţă nr. 59) </w:t>
            </w:r>
          </w:p>
          <w:p w14:paraId="3AB17230"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Alice (fosta Grădiniţă nr. 257) </w:t>
            </w:r>
          </w:p>
          <w:p w14:paraId="44767AAC"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Castel </w:t>
            </w:r>
          </w:p>
          <w:p w14:paraId="104CED28"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nr. 133 </w:t>
            </w:r>
          </w:p>
          <w:p w14:paraId="7232D4BF"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nr. 137  </w:t>
            </w:r>
          </w:p>
          <w:p w14:paraId="23188C97"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nr. 138  </w:t>
            </w:r>
          </w:p>
          <w:p w14:paraId="7FD6313A"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nr. 256 </w:t>
            </w:r>
          </w:p>
          <w:p w14:paraId="572B7CFF"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Consolidare și reabilitare Grădiniţa nr. 113  Consolidare și reabilitare imobil din str. Popa Nan nr. 47 – Liceul Teoretic „Waldorf” – Grădinița nr.113</w:t>
            </w:r>
          </w:p>
          <w:p w14:paraId="3A673773"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nr. 15 </w:t>
            </w:r>
          </w:p>
          <w:p w14:paraId="24C71770"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Consolidare și reabilitare Grădiniţa nr. 147 </w:t>
            </w:r>
          </w:p>
          <w:p w14:paraId="04DAE34E"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Grădiniţa nouă la şcoala gimnazială nr. 40</w:t>
            </w:r>
          </w:p>
          <w:p w14:paraId="5C4EE2FA"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Construire Grădiniţa nr. 150</w:t>
            </w:r>
          </w:p>
          <w:p w14:paraId="59668123"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Grădiniţă nouă la Școala Gimnazială nr. 32</w:t>
            </w:r>
          </w:p>
          <w:p w14:paraId="4C750045"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Grădiniţă nouă la Școala Gimnazială Petre Ghelmez</w:t>
            </w:r>
          </w:p>
          <w:p w14:paraId="3F9827C4"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Extindere Școala Gimnazială Maria Rosetti</w:t>
            </w:r>
          </w:p>
        </w:tc>
        <w:tc>
          <w:tcPr>
            <w:tcW w:w="4721" w:type="dxa"/>
            <w:vAlign w:val="center"/>
          </w:tcPr>
          <w:p w14:paraId="4B3A55BB"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Extindere si construire sală de sport  la Şcoala Centrală </w:t>
            </w:r>
          </w:p>
          <w:p w14:paraId="17F7C45F"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Construire sală de sport la Şcoala Gimnazială nr. 4</w:t>
            </w:r>
          </w:p>
          <w:p w14:paraId="17353766"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Construire sală de sport la Şcoala Gimnazială nr. 51</w:t>
            </w:r>
          </w:p>
          <w:p w14:paraId="6F9AF116"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Construire sală de sport la Şcoala Gimnazială nr. 28</w:t>
            </w:r>
          </w:p>
          <w:p w14:paraId="261FB934"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Construire sală de sport la Şcoala Gimnazială nr. 27</w:t>
            </w:r>
          </w:p>
          <w:p w14:paraId="2A10BC0F"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Consolidare și reabilitare vestiare sală de sport Liceul Tehnologic Sfântul Pantelimon</w:t>
            </w:r>
          </w:p>
          <w:p w14:paraId="5F0B5FD1"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 modernizare - inclusiv acoperire și dotare bazin de înot aferent Liceului Teoretic C.A. Rosetti</w:t>
            </w:r>
          </w:p>
          <w:p w14:paraId="5267C2FF"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Proiect de combatere a abandonului şcolar și a părăsirii timpurii a copiilor aflaţi în risc de excluziune socială prin informare, orientare și consiliere în cadrul unor centre dedicate aflate în şcolile și liceele cu rate mari de abandon</w:t>
            </w:r>
          </w:p>
          <w:p w14:paraId="71B083F4"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Derularea unor campanii pentru informarea, prevenirea și conştientizarea în şcoală, familie și comunitate a riscului efectelor consumului de substanţe care creează dependenţă</w:t>
            </w:r>
          </w:p>
          <w:p w14:paraId="1BC3273F"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Crearea unui nou centru pentru persoane cu dizabilităţi.</w:t>
            </w:r>
          </w:p>
          <w:p w14:paraId="28C55C40"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Centru de respiro pentru persoanele cu dizabilităţi</w:t>
            </w:r>
          </w:p>
          <w:p w14:paraId="3670DE37"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Extinderea, modernizarea și reabilitarea Centrului Pilot de Protecţie a Copilului Victimă a Traficului de Fiinţe Umane Gavroche</w:t>
            </w:r>
          </w:p>
          <w:p w14:paraId="2309AB17"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reabilitare termică a locuințelor colective din Sectorul 2</w:t>
            </w:r>
          </w:p>
          <w:p w14:paraId="44F5534B"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reabilitare termică a locuințelor colective din Sectorul 2 (continuare)</w:t>
            </w:r>
          </w:p>
          <w:p w14:paraId="12893818"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 adăposturi de Protecție Civilă în Sectorul 2</w:t>
            </w:r>
          </w:p>
        </w:tc>
      </w:tr>
    </w:tbl>
    <w:p w14:paraId="00D572E6"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17A591D0" w14:textId="77777777" w:rsidR="0090099C" w:rsidRPr="00F171A3" w:rsidRDefault="0090099C" w:rsidP="0090099C">
      <w:pPr>
        <w:spacing w:beforeLines="60" w:before="144" w:afterLines="60" w:after="144"/>
        <w:rPr>
          <w:rFonts w:cstheme="minorHAnsi"/>
          <w:lang w:eastAsia="ja-JP"/>
        </w:rPr>
      </w:pPr>
      <w:r w:rsidRPr="00F171A3">
        <w:rPr>
          <w:rFonts w:cstheme="minorHAnsi"/>
          <w:szCs w:val="20"/>
          <w:lang w:eastAsia="ja-JP"/>
        </w:rPr>
        <w:t xml:space="preserve">Obiectivul general 1 propune direcții de acțiune și intervenții cu impact asupra mai multor domenii prezentate în cadrul obiectivelor specifice. Astfel, proiectele finalizate până la acest  moment în cadrul obiectivului general 1 corespund următoarelor obiective specifice, iar cele prezentate în tabelul următor </w:t>
      </w:r>
      <w:r w:rsidRPr="00F171A3">
        <w:rPr>
          <w:rFonts w:cstheme="minorHAnsi"/>
          <w:lang w:eastAsia="ja-JP"/>
        </w:rPr>
        <w:t xml:space="preserve">urmează să fie finalizate: </w:t>
      </w:r>
    </w:p>
    <w:p w14:paraId="45D78B24" w14:textId="77777777" w:rsidR="0090099C" w:rsidRPr="00F171A3" w:rsidRDefault="0090099C" w:rsidP="002F5F8B">
      <w:pPr>
        <w:spacing w:beforeLines="60" w:before="144" w:afterLines="60" w:after="144"/>
        <w:jc w:val="left"/>
        <w:rPr>
          <w:rFonts w:eastAsia="MS Gothic"/>
          <w:b/>
          <w:bCs/>
          <w:color w:val="134753" w:themeColor="text2"/>
          <w:lang w:eastAsia="en-GB"/>
        </w:rPr>
      </w:pPr>
      <w:r w:rsidRPr="00F171A3">
        <w:rPr>
          <w:rFonts w:eastAsia="MS Gothic"/>
          <w:b/>
          <w:bCs/>
          <w:color w:val="134753" w:themeColor="text2"/>
          <w:lang w:eastAsia="en-GB"/>
        </w:rPr>
        <w:t xml:space="preserve">1.1 Dotări și servicii conexe locuirii dezvoltate în toate zonele Sectorului 2 – proiecte finalizate:  </w:t>
      </w:r>
    </w:p>
    <w:p w14:paraId="7901BA5B" w14:textId="77777777" w:rsidR="0090099C" w:rsidRPr="00F171A3" w:rsidRDefault="0090099C" w:rsidP="00695D7C">
      <w:pPr>
        <w:pStyle w:val="Bulet"/>
        <w:spacing w:before="144" w:after="144"/>
        <w:ind w:left="1080"/>
        <w:rPr>
          <w:sz w:val="22"/>
        </w:rPr>
      </w:pPr>
      <w:r w:rsidRPr="00F171A3">
        <w:rPr>
          <w:sz w:val="22"/>
        </w:rPr>
        <w:t>Eficientizare energetică, prin reabilitare/ modernizare a Liceului Teoretic Lucian Blaga;</w:t>
      </w:r>
    </w:p>
    <w:p w14:paraId="52572826" w14:textId="77777777" w:rsidR="0090099C" w:rsidRPr="00F171A3" w:rsidRDefault="0090099C" w:rsidP="00695D7C">
      <w:pPr>
        <w:pStyle w:val="Bulet"/>
        <w:spacing w:before="144" w:after="144"/>
        <w:ind w:left="1080"/>
        <w:rPr>
          <w:sz w:val="22"/>
        </w:rPr>
      </w:pPr>
      <w:r w:rsidRPr="00F171A3">
        <w:rPr>
          <w:sz w:val="22"/>
        </w:rPr>
        <w:t>Consolidare și reabilitare Grădiniţa Albinuţa;</w:t>
      </w:r>
    </w:p>
    <w:p w14:paraId="74AC13A4" w14:textId="77777777" w:rsidR="0090099C" w:rsidRPr="00F171A3" w:rsidRDefault="0090099C" w:rsidP="00695D7C">
      <w:pPr>
        <w:pStyle w:val="Bulet"/>
        <w:spacing w:before="144" w:after="144"/>
        <w:ind w:left="1080"/>
        <w:rPr>
          <w:sz w:val="22"/>
        </w:rPr>
      </w:pPr>
      <w:r w:rsidRPr="00F171A3">
        <w:rPr>
          <w:sz w:val="22"/>
        </w:rPr>
        <w:t xml:space="preserve">Consolidare și reabilitare imobil din str. Rahmaninov nr. 25 - Grădinița „Albinuța” (fosta Grădinița nr.253); </w:t>
      </w:r>
    </w:p>
    <w:p w14:paraId="087A729E" w14:textId="77777777" w:rsidR="0090099C" w:rsidRPr="00F171A3" w:rsidRDefault="0090099C" w:rsidP="00695D7C">
      <w:pPr>
        <w:pStyle w:val="Bulet"/>
        <w:spacing w:before="144" w:after="144"/>
        <w:ind w:left="1080"/>
        <w:rPr>
          <w:sz w:val="22"/>
        </w:rPr>
      </w:pPr>
      <w:r w:rsidRPr="00F171A3">
        <w:rPr>
          <w:sz w:val="22"/>
        </w:rPr>
        <w:t xml:space="preserve">Consolidare și reabilitare Grădiniţa nr. 134; </w:t>
      </w:r>
    </w:p>
    <w:p w14:paraId="5C8BCA93" w14:textId="0975FBE9" w:rsidR="0090099C" w:rsidRPr="00F171A3" w:rsidRDefault="0090099C" w:rsidP="00695D7C">
      <w:pPr>
        <w:pStyle w:val="Bulet"/>
        <w:spacing w:before="144" w:after="144"/>
        <w:ind w:left="1080"/>
        <w:rPr>
          <w:sz w:val="22"/>
        </w:rPr>
      </w:pPr>
      <w:r w:rsidRPr="00F171A3">
        <w:rPr>
          <w:sz w:val="22"/>
        </w:rPr>
        <w:t xml:space="preserve">Construire creşă în cartierul Tei; </w:t>
      </w:r>
    </w:p>
    <w:p w14:paraId="79E74590" w14:textId="77777777" w:rsidR="0090099C" w:rsidRPr="00F171A3" w:rsidRDefault="0090099C" w:rsidP="00695D7C">
      <w:pPr>
        <w:pStyle w:val="Bulet"/>
        <w:spacing w:before="144" w:after="144"/>
        <w:ind w:left="1080"/>
        <w:rPr>
          <w:sz w:val="22"/>
        </w:rPr>
      </w:pPr>
      <w:r w:rsidRPr="00F171A3">
        <w:rPr>
          <w:sz w:val="22"/>
        </w:rPr>
        <w:t xml:space="preserve">Construire creşă în zona Colentina. </w:t>
      </w:r>
    </w:p>
    <w:p w14:paraId="38648F30" w14:textId="77777777" w:rsidR="0090099C" w:rsidRPr="00F171A3" w:rsidRDefault="0090099C" w:rsidP="0090099C">
      <w:pPr>
        <w:spacing w:beforeLines="60" w:before="144" w:afterLines="60" w:after="144"/>
        <w:rPr>
          <w:rFonts w:cstheme="minorHAnsi"/>
          <w:lang w:eastAsia="ja-JP"/>
        </w:rPr>
      </w:pPr>
      <w:r w:rsidRPr="00F171A3">
        <w:rPr>
          <w:rFonts w:cstheme="minorHAnsi"/>
          <w:b/>
          <w:lang w:eastAsia="ja-JP"/>
        </w:rPr>
        <w:t>Proiectul de Eficientizare energetică, prin reabilitare/ modernizare a Liceului Teoretic Lucian Blaga</w:t>
      </w:r>
      <w:r w:rsidRPr="00F171A3">
        <w:rPr>
          <w:rFonts w:cstheme="minorHAnsi"/>
          <w:lang w:eastAsia="ja-JP"/>
        </w:rPr>
        <w:t xml:space="preserve"> are scopul de a reduce consumul de energie în cele 2 corpuri de clădire ale liceului Teoretic ,,Lucian Blaga” prin anveloparea acestora, introducerea de surse de energie alternativă precum și creșterea randamentului și optimizarea sistemului de încălzire. Proiectul a produs rezultate după cum poate fi observat în tabelul de mai jos atât din perspectiva scăderii gazelor anuale cu efect de seră, cât și prin scăderea consumului de energie primară.</w:t>
      </w:r>
    </w:p>
    <w:p w14:paraId="7D2B32BF" w14:textId="2DD758E6" w:rsidR="0090099C" w:rsidRPr="00F171A3" w:rsidRDefault="0090099C" w:rsidP="0090099C">
      <w:pPr>
        <w:pStyle w:val="Caption"/>
      </w:pPr>
      <w:bookmarkStart w:id="52" w:name="_Toc126943261"/>
      <w:r w:rsidRPr="00F171A3">
        <w:t xml:space="preserve">Tabel </w:t>
      </w:r>
      <w:r w:rsidRPr="00F171A3">
        <w:fldChar w:fldCharType="begin"/>
      </w:r>
      <w:r w:rsidRPr="00F171A3">
        <w:instrText xml:space="preserve"> SEQ Tabel \* ARABIC </w:instrText>
      </w:r>
      <w:r w:rsidRPr="00F171A3">
        <w:fldChar w:fldCharType="separate"/>
      </w:r>
      <w:r w:rsidR="005A6DD8">
        <w:rPr>
          <w:noProof/>
        </w:rPr>
        <w:t>4</w:t>
      </w:r>
      <w:r w:rsidRPr="00F171A3">
        <w:fldChar w:fldCharType="end"/>
      </w:r>
      <w:r w:rsidRPr="00F171A3">
        <w:t xml:space="preserve"> </w:t>
      </w:r>
      <w:r w:rsidRPr="00F171A3">
        <w:rPr>
          <w:szCs w:val="18"/>
        </w:rPr>
        <w:t>Rezultatele așteptate în cadrul proiectului de Eficientizare energetică, prin reabilitare/ modernizare a Liceului Teoretic Lucian Blaga</w:t>
      </w:r>
      <w:bookmarkEnd w:id="52"/>
    </w:p>
    <w:tbl>
      <w:tblPr>
        <w:tblStyle w:val="Civittatable9"/>
        <w:tblW w:w="5000" w:type="pct"/>
        <w:tblInd w:w="-5" w:type="dxa"/>
        <w:tblLook w:val="04A0" w:firstRow="1" w:lastRow="0" w:firstColumn="1" w:lastColumn="0" w:noHBand="0" w:noVBand="1"/>
      </w:tblPr>
      <w:tblGrid>
        <w:gridCol w:w="1174"/>
        <w:gridCol w:w="2995"/>
        <w:gridCol w:w="3082"/>
        <w:gridCol w:w="2185"/>
      </w:tblGrid>
      <w:tr w:rsidR="0090099C" w:rsidRPr="00F171A3" w14:paraId="23F50704" w14:textId="77777777" w:rsidTr="002F5F8B">
        <w:trPr>
          <w:cnfStyle w:val="100000000000" w:firstRow="1" w:lastRow="0" w:firstColumn="0" w:lastColumn="0" w:oddVBand="0" w:evenVBand="0" w:oddHBand="0" w:evenHBand="0" w:firstRowFirstColumn="0" w:firstRowLastColumn="0" w:lastRowFirstColumn="0" w:lastRowLastColumn="0"/>
          <w:trHeight w:val="600"/>
        </w:trPr>
        <w:tc>
          <w:tcPr>
            <w:tcW w:w="622" w:type="pct"/>
            <w:noWrap/>
            <w:vAlign w:val="center"/>
            <w:hideMark/>
          </w:tcPr>
          <w:p w14:paraId="1E9491F8" w14:textId="58A482A2" w:rsidR="0090099C" w:rsidRPr="00F171A3" w:rsidRDefault="002F5F8B" w:rsidP="002F5F8B">
            <w:pPr>
              <w:spacing w:after="0"/>
              <w:jc w:val="center"/>
              <w:rPr>
                <w:rFonts w:eastAsia="Times New Roman" w:cs="Times New Roman"/>
                <w:b/>
                <w:color w:val="FFFFFF"/>
              </w:rPr>
            </w:pPr>
            <w:r w:rsidRPr="00F171A3">
              <w:rPr>
                <w:rFonts w:eastAsia="Times New Roman" w:cs="Times New Roman"/>
                <w:b/>
                <w:color w:val="FFFFFF"/>
              </w:rPr>
              <w:t>CORP</w:t>
            </w:r>
          </w:p>
        </w:tc>
        <w:tc>
          <w:tcPr>
            <w:tcW w:w="1587" w:type="pct"/>
            <w:vAlign w:val="center"/>
            <w:hideMark/>
          </w:tcPr>
          <w:p w14:paraId="44B0A4A5" w14:textId="77777777" w:rsidR="0090099C" w:rsidRPr="00F171A3" w:rsidRDefault="0090099C" w:rsidP="002F5F8B">
            <w:pPr>
              <w:spacing w:after="0"/>
              <w:jc w:val="center"/>
              <w:rPr>
                <w:rFonts w:eastAsia="Times New Roman" w:cs="Times New Roman"/>
                <w:b/>
                <w:color w:val="FFFFFF"/>
              </w:rPr>
            </w:pPr>
            <w:r w:rsidRPr="00F171A3">
              <w:rPr>
                <w:rFonts w:eastAsia="Times New Roman" w:cs="Times New Roman"/>
                <w:b/>
                <w:color w:val="FFFFFF"/>
              </w:rPr>
              <w:t>Valoare la începutul implementării proiectului</w:t>
            </w:r>
          </w:p>
        </w:tc>
        <w:tc>
          <w:tcPr>
            <w:tcW w:w="1633" w:type="pct"/>
            <w:vAlign w:val="center"/>
            <w:hideMark/>
          </w:tcPr>
          <w:p w14:paraId="47A927B5" w14:textId="77777777" w:rsidR="0090099C" w:rsidRPr="00F171A3" w:rsidRDefault="0090099C" w:rsidP="002F5F8B">
            <w:pPr>
              <w:spacing w:after="0"/>
              <w:jc w:val="center"/>
              <w:rPr>
                <w:rFonts w:eastAsia="Times New Roman" w:cs="Times New Roman"/>
                <w:b/>
                <w:color w:val="FFFFFF"/>
              </w:rPr>
            </w:pPr>
            <w:r w:rsidRPr="00F171A3">
              <w:rPr>
                <w:rFonts w:eastAsia="Times New Roman" w:cs="Times New Roman"/>
                <w:b/>
                <w:color w:val="FFFFFF"/>
              </w:rPr>
              <w:t>Valoare la finalul implementării proiectului</w:t>
            </w:r>
          </w:p>
        </w:tc>
        <w:tc>
          <w:tcPr>
            <w:tcW w:w="1158" w:type="pct"/>
            <w:noWrap/>
            <w:vAlign w:val="center"/>
            <w:hideMark/>
          </w:tcPr>
          <w:p w14:paraId="3F651575" w14:textId="77777777" w:rsidR="0090099C" w:rsidRPr="00F171A3" w:rsidRDefault="0090099C" w:rsidP="002F5F8B">
            <w:pPr>
              <w:spacing w:after="0"/>
              <w:jc w:val="center"/>
              <w:rPr>
                <w:rFonts w:eastAsia="Times New Roman" w:cs="Times New Roman"/>
                <w:b/>
                <w:color w:val="FFFFFF"/>
              </w:rPr>
            </w:pPr>
            <w:r w:rsidRPr="00F171A3">
              <w:rPr>
                <w:rFonts w:eastAsia="Times New Roman" w:cs="Times New Roman"/>
                <w:b/>
                <w:color w:val="FFFFFF"/>
              </w:rPr>
              <w:t>Rata de scădere (%)</w:t>
            </w:r>
          </w:p>
        </w:tc>
      </w:tr>
      <w:tr w:rsidR="0090099C" w:rsidRPr="00F171A3" w14:paraId="46CE699C" w14:textId="77777777" w:rsidTr="002F5F8B">
        <w:trPr>
          <w:cnfStyle w:val="000000100000" w:firstRow="0" w:lastRow="0" w:firstColumn="0" w:lastColumn="0" w:oddVBand="0" w:evenVBand="0" w:oddHBand="1" w:evenHBand="0" w:firstRowFirstColumn="0" w:firstRowLastColumn="0" w:lastRowFirstColumn="0" w:lastRowLastColumn="0"/>
          <w:trHeight w:val="330"/>
        </w:trPr>
        <w:tc>
          <w:tcPr>
            <w:tcW w:w="5000" w:type="pct"/>
            <w:gridSpan w:val="4"/>
            <w:shd w:val="clear" w:color="auto" w:fill="BFBFBF" w:themeFill="background1" w:themeFillShade="BF"/>
            <w:hideMark/>
          </w:tcPr>
          <w:p w14:paraId="0A1AF24F" w14:textId="77777777" w:rsidR="0090099C" w:rsidRPr="00F171A3" w:rsidRDefault="0090099C" w:rsidP="0090099C">
            <w:pPr>
              <w:spacing w:after="0"/>
              <w:jc w:val="center"/>
              <w:rPr>
                <w:rFonts w:eastAsia="Times New Roman" w:cs="Open Sans"/>
                <w:bCs/>
                <w:color w:val="272727"/>
              </w:rPr>
            </w:pPr>
            <w:r w:rsidRPr="00F171A3">
              <w:rPr>
                <w:rFonts w:eastAsia="Times New Roman" w:cs="Open Sans"/>
                <w:bCs/>
                <w:color w:val="272727"/>
              </w:rPr>
              <w:t>Nivel anual estimat al gazelor cu efect de seră</w:t>
            </w:r>
          </w:p>
        </w:tc>
      </w:tr>
      <w:tr w:rsidR="0090099C" w:rsidRPr="00F171A3" w14:paraId="0B11B4DC" w14:textId="77777777" w:rsidTr="002F5F8B">
        <w:trPr>
          <w:cnfStyle w:val="000000010000" w:firstRow="0" w:lastRow="0" w:firstColumn="0" w:lastColumn="0" w:oddVBand="0" w:evenVBand="0" w:oddHBand="0" w:evenHBand="1" w:firstRowFirstColumn="0" w:firstRowLastColumn="0" w:lastRowFirstColumn="0" w:lastRowLastColumn="0"/>
          <w:trHeight w:val="300"/>
        </w:trPr>
        <w:tc>
          <w:tcPr>
            <w:tcW w:w="622" w:type="pct"/>
            <w:noWrap/>
            <w:hideMark/>
          </w:tcPr>
          <w:p w14:paraId="77B66640" w14:textId="77777777" w:rsidR="0090099C" w:rsidRPr="00F171A3" w:rsidRDefault="0090099C" w:rsidP="0090099C">
            <w:pPr>
              <w:spacing w:after="0"/>
              <w:jc w:val="left"/>
              <w:rPr>
                <w:rFonts w:eastAsia="Times New Roman" w:cs="Times New Roman"/>
                <w:color w:val="000000"/>
              </w:rPr>
            </w:pPr>
            <w:r w:rsidRPr="00F171A3">
              <w:rPr>
                <w:rFonts w:eastAsia="Times New Roman" w:cs="Times New Roman"/>
                <w:color w:val="000000"/>
              </w:rPr>
              <w:t>Corpul C1</w:t>
            </w:r>
          </w:p>
        </w:tc>
        <w:tc>
          <w:tcPr>
            <w:tcW w:w="1587" w:type="pct"/>
            <w:noWrap/>
            <w:vAlign w:val="center"/>
            <w:hideMark/>
          </w:tcPr>
          <w:p w14:paraId="2B7DAAA0"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176,22</w:t>
            </w:r>
          </w:p>
        </w:tc>
        <w:tc>
          <w:tcPr>
            <w:tcW w:w="1633" w:type="pct"/>
            <w:noWrap/>
            <w:vAlign w:val="center"/>
            <w:hideMark/>
          </w:tcPr>
          <w:p w14:paraId="0F077BE4"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62,45</w:t>
            </w:r>
          </w:p>
        </w:tc>
        <w:tc>
          <w:tcPr>
            <w:tcW w:w="1158" w:type="pct"/>
            <w:noWrap/>
            <w:vAlign w:val="center"/>
            <w:hideMark/>
          </w:tcPr>
          <w:p w14:paraId="2D28A369"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-64,6%</w:t>
            </w:r>
          </w:p>
        </w:tc>
      </w:tr>
      <w:tr w:rsidR="0090099C" w:rsidRPr="00F171A3" w14:paraId="6E07A26D" w14:textId="77777777" w:rsidTr="002F5F8B">
        <w:trPr>
          <w:cnfStyle w:val="000000100000" w:firstRow="0" w:lastRow="0" w:firstColumn="0" w:lastColumn="0" w:oddVBand="0" w:evenVBand="0" w:oddHBand="1" w:evenHBand="0" w:firstRowFirstColumn="0" w:firstRowLastColumn="0" w:lastRowFirstColumn="0" w:lastRowLastColumn="0"/>
          <w:trHeight w:val="300"/>
        </w:trPr>
        <w:tc>
          <w:tcPr>
            <w:tcW w:w="622" w:type="pct"/>
            <w:noWrap/>
            <w:hideMark/>
          </w:tcPr>
          <w:p w14:paraId="41541ADD" w14:textId="77777777" w:rsidR="0090099C" w:rsidRPr="00F171A3" w:rsidRDefault="0090099C" w:rsidP="0090099C">
            <w:pPr>
              <w:spacing w:after="0"/>
              <w:jc w:val="left"/>
              <w:rPr>
                <w:rFonts w:eastAsia="Times New Roman" w:cs="Times New Roman"/>
                <w:color w:val="000000"/>
              </w:rPr>
            </w:pPr>
            <w:r w:rsidRPr="00F171A3">
              <w:rPr>
                <w:rFonts w:eastAsia="Times New Roman" w:cs="Times New Roman"/>
                <w:color w:val="000000"/>
              </w:rPr>
              <w:t>Corpul C2</w:t>
            </w:r>
          </w:p>
        </w:tc>
        <w:tc>
          <w:tcPr>
            <w:tcW w:w="1587" w:type="pct"/>
            <w:noWrap/>
            <w:vAlign w:val="center"/>
            <w:hideMark/>
          </w:tcPr>
          <w:p w14:paraId="529759F0"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121,69</w:t>
            </w:r>
          </w:p>
        </w:tc>
        <w:tc>
          <w:tcPr>
            <w:tcW w:w="1633" w:type="pct"/>
            <w:noWrap/>
            <w:vAlign w:val="center"/>
            <w:hideMark/>
          </w:tcPr>
          <w:p w14:paraId="13623B3C"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37,83</w:t>
            </w:r>
          </w:p>
        </w:tc>
        <w:tc>
          <w:tcPr>
            <w:tcW w:w="1158" w:type="pct"/>
            <w:noWrap/>
            <w:vAlign w:val="center"/>
            <w:hideMark/>
          </w:tcPr>
          <w:p w14:paraId="3A87279E"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-68,9%</w:t>
            </w:r>
          </w:p>
        </w:tc>
      </w:tr>
      <w:tr w:rsidR="0090099C" w:rsidRPr="00F171A3" w14:paraId="30F040EA" w14:textId="77777777" w:rsidTr="002F5F8B">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4"/>
            <w:shd w:val="clear" w:color="auto" w:fill="BFBFBF" w:themeFill="background1" w:themeFillShade="BF"/>
            <w:noWrap/>
            <w:vAlign w:val="center"/>
            <w:hideMark/>
          </w:tcPr>
          <w:p w14:paraId="35EF1B1F" w14:textId="77777777" w:rsidR="0090099C" w:rsidRPr="00F171A3" w:rsidRDefault="0090099C" w:rsidP="002F5F8B">
            <w:pPr>
              <w:spacing w:after="0"/>
              <w:jc w:val="center"/>
              <w:rPr>
                <w:rFonts w:eastAsia="Times New Roman" w:cs="Open Sans"/>
                <w:bCs/>
                <w:color w:val="272727"/>
              </w:rPr>
            </w:pPr>
            <w:r w:rsidRPr="00F171A3">
              <w:rPr>
                <w:rFonts w:eastAsia="Times New Roman" w:cs="Open Sans"/>
                <w:bCs/>
                <w:color w:val="272727"/>
              </w:rPr>
              <w:t>Consumul anual de energie primară</w:t>
            </w:r>
          </w:p>
        </w:tc>
      </w:tr>
      <w:tr w:rsidR="0090099C" w:rsidRPr="00F171A3" w14:paraId="0E8D5B8B" w14:textId="77777777" w:rsidTr="002F5F8B">
        <w:trPr>
          <w:cnfStyle w:val="000000100000" w:firstRow="0" w:lastRow="0" w:firstColumn="0" w:lastColumn="0" w:oddVBand="0" w:evenVBand="0" w:oddHBand="1" w:evenHBand="0" w:firstRowFirstColumn="0" w:firstRowLastColumn="0" w:lastRowFirstColumn="0" w:lastRowLastColumn="0"/>
          <w:trHeight w:val="300"/>
        </w:trPr>
        <w:tc>
          <w:tcPr>
            <w:tcW w:w="622" w:type="pct"/>
            <w:noWrap/>
            <w:hideMark/>
          </w:tcPr>
          <w:p w14:paraId="0BF723E2" w14:textId="77777777" w:rsidR="0090099C" w:rsidRPr="00F171A3" w:rsidRDefault="0090099C" w:rsidP="0090099C">
            <w:pPr>
              <w:spacing w:after="0"/>
              <w:jc w:val="left"/>
              <w:rPr>
                <w:rFonts w:eastAsia="Times New Roman" w:cs="Times New Roman"/>
                <w:color w:val="000000"/>
              </w:rPr>
            </w:pPr>
            <w:r w:rsidRPr="00F171A3">
              <w:rPr>
                <w:rFonts w:eastAsia="Times New Roman" w:cs="Times New Roman"/>
                <w:color w:val="000000"/>
              </w:rPr>
              <w:t>Corpul C1</w:t>
            </w:r>
          </w:p>
        </w:tc>
        <w:tc>
          <w:tcPr>
            <w:tcW w:w="1587" w:type="pct"/>
            <w:vAlign w:val="center"/>
            <w:hideMark/>
          </w:tcPr>
          <w:p w14:paraId="23284489"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1.049.688,33</w:t>
            </w:r>
          </w:p>
        </w:tc>
        <w:tc>
          <w:tcPr>
            <w:tcW w:w="1633" w:type="pct"/>
            <w:vAlign w:val="center"/>
            <w:hideMark/>
          </w:tcPr>
          <w:p w14:paraId="5AD9EE6B"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366.802,02</w:t>
            </w:r>
          </w:p>
        </w:tc>
        <w:tc>
          <w:tcPr>
            <w:tcW w:w="1158" w:type="pct"/>
            <w:noWrap/>
            <w:vAlign w:val="center"/>
            <w:hideMark/>
          </w:tcPr>
          <w:p w14:paraId="759C76FA"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-65,1%</w:t>
            </w:r>
          </w:p>
        </w:tc>
      </w:tr>
      <w:tr w:rsidR="0090099C" w:rsidRPr="00F171A3" w14:paraId="18BA7F29" w14:textId="77777777" w:rsidTr="002F5F8B">
        <w:trPr>
          <w:cnfStyle w:val="000000010000" w:firstRow="0" w:lastRow="0" w:firstColumn="0" w:lastColumn="0" w:oddVBand="0" w:evenVBand="0" w:oddHBand="0" w:evenHBand="1" w:firstRowFirstColumn="0" w:firstRowLastColumn="0" w:lastRowFirstColumn="0" w:lastRowLastColumn="0"/>
          <w:trHeight w:val="300"/>
        </w:trPr>
        <w:tc>
          <w:tcPr>
            <w:tcW w:w="622" w:type="pct"/>
            <w:noWrap/>
            <w:hideMark/>
          </w:tcPr>
          <w:p w14:paraId="5FFDADC0" w14:textId="77777777" w:rsidR="0090099C" w:rsidRPr="00F171A3" w:rsidRDefault="0090099C" w:rsidP="0090099C">
            <w:pPr>
              <w:spacing w:after="0"/>
              <w:jc w:val="left"/>
              <w:rPr>
                <w:rFonts w:eastAsia="Times New Roman" w:cs="Times New Roman"/>
                <w:color w:val="000000"/>
              </w:rPr>
            </w:pPr>
            <w:r w:rsidRPr="00F171A3">
              <w:rPr>
                <w:rFonts w:eastAsia="Times New Roman" w:cs="Times New Roman"/>
                <w:color w:val="000000"/>
              </w:rPr>
              <w:t>Corpul C2</w:t>
            </w:r>
          </w:p>
        </w:tc>
        <w:tc>
          <w:tcPr>
            <w:tcW w:w="1587" w:type="pct"/>
            <w:vAlign w:val="center"/>
            <w:hideMark/>
          </w:tcPr>
          <w:p w14:paraId="21FF78D1"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721.926,67</w:t>
            </w:r>
          </w:p>
        </w:tc>
        <w:tc>
          <w:tcPr>
            <w:tcW w:w="1633" w:type="pct"/>
            <w:vAlign w:val="center"/>
            <w:hideMark/>
          </w:tcPr>
          <w:p w14:paraId="60CAAA23"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222.739,6</w:t>
            </w:r>
          </w:p>
        </w:tc>
        <w:tc>
          <w:tcPr>
            <w:tcW w:w="1158" w:type="pct"/>
            <w:noWrap/>
            <w:vAlign w:val="center"/>
            <w:hideMark/>
          </w:tcPr>
          <w:p w14:paraId="59EDF41A" w14:textId="77777777" w:rsidR="0090099C" w:rsidRPr="00F171A3" w:rsidRDefault="0090099C" w:rsidP="002F5F8B">
            <w:pPr>
              <w:spacing w:after="0"/>
              <w:jc w:val="center"/>
              <w:rPr>
                <w:rFonts w:eastAsia="Times New Roman" w:cs="Times New Roman"/>
                <w:color w:val="000000"/>
              </w:rPr>
            </w:pPr>
            <w:r w:rsidRPr="00F171A3">
              <w:rPr>
                <w:rFonts w:eastAsia="Times New Roman" w:cs="Times New Roman"/>
                <w:color w:val="000000"/>
              </w:rPr>
              <w:t>-69,1%</w:t>
            </w:r>
          </w:p>
        </w:tc>
      </w:tr>
    </w:tbl>
    <w:p w14:paraId="45AD0915" w14:textId="77777777" w:rsidR="0090099C" w:rsidRPr="00F171A3" w:rsidRDefault="0090099C" w:rsidP="00216383">
      <w:pPr>
        <w:jc w:val="right"/>
        <w:rPr>
          <w:color w:val="BFBFBF" w:themeColor="background1" w:themeShade="BF"/>
        </w:rPr>
      </w:pPr>
      <w:r w:rsidRPr="00F171A3">
        <w:rPr>
          <w:color w:val="BFBFBF" w:themeColor="background1" w:themeShade="BF"/>
        </w:rPr>
        <w:t>Sursa: https://www.ps2.ro/index.php/proiecte-ue-in-derulare/239-eficientizare</w:t>
      </w:r>
    </w:p>
    <w:p w14:paraId="1A424585"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b/>
          <w:szCs w:val="20"/>
          <w:lang w:eastAsia="ja-JP"/>
        </w:rPr>
        <w:t>Consolidarea și reabilitarea Grădiniţei Albinuţa</w:t>
      </w:r>
      <w:r w:rsidRPr="00F171A3">
        <w:rPr>
          <w:rFonts w:cstheme="minorHAnsi"/>
          <w:szCs w:val="20"/>
          <w:lang w:eastAsia="ja-JP"/>
        </w:rPr>
        <w:t xml:space="preserve"> are un impact asupra eficientizării energetice și consolidarea construcției, precum și în transformarea acesteia într-o clădire cu aspect estetic favorabil și o funcționalitate eficientă. </w:t>
      </w:r>
    </w:p>
    <w:p w14:paraId="7B71BF74"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Proiectul de </w:t>
      </w:r>
      <w:r w:rsidRPr="00F171A3">
        <w:rPr>
          <w:rFonts w:cstheme="minorHAnsi"/>
          <w:b/>
          <w:szCs w:val="20"/>
          <w:lang w:eastAsia="ja-JP"/>
        </w:rPr>
        <w:t>construire a</w:t>
      </w:r>
      <w:r w:rsidRPr="00F171A3">
        <w:rPr>
          <w:rFonts w:cstheme="minorHAnsi"/>
          <w:szCs w:val="20"/>
          <w:lang w:eastAsia="ja-JP"/>
        </w:rPr>
        <w:t xml:space="preserve"> </w:t>
      </w:r>
      <w:r w:rsidRPr="00F171A3">
        <w:rPr>
          <w:rFonts w:cstheme="minorHAnsi"/>
          <w:b/>
          <w:szCs w:val="20"/>
          <w:lang w:eastAsia="ja-JP"/>
        </w:rPr>
        <w:t>creșei în cartierul Teiul Doamnei</w:t>
      </w:r>
      <w:r w:rsidRPr="00F171A3">
        <w:rPr>
          <w:rFonts w:cstheme="minorHAnsi"/>
          <w:szCs w:val="20"/>
          <w:lang w:eastAsia="ja-JP"/>
        </w:rPr>
        <w:t xml:space="preserve"> oferă o capacitate totală de 85 de locuri. De asemenea, conform PS2 creșa este amenajată și dotată corespunzător pentru a oferi îngrijire și educație conform particularităților de vârstă ale copiilor, ce beneficiază de servicii de calitate adecvate. Prin intermediul acestor servicii se oferă supraveghere, îngrijire și educație în clasele de educație și terapie ludică, precum și spații destinate odihnei copiilor. Pentru această construcție, în anul 2018 a fost identificată o clădirea pe strada Teiul Doamnei nr. 99, care a fost amenajată cu sprijinul Primăriei Capitalei și a fost înființată Creșa Teiul Doamnei.</w:t>
      </w:r>
    </w:p>
    <w:p w14:paraId="55CAB190"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b/>
          <w:szCs w:val="20"/>
          <w:lang w:eastAsia="ja-JP"/>
        </w:rPr>
        <w:t xml:space="preserve">Proiectul de construire a creşei în zona Colentina </w:t>
      </w:r>
      <w:r w:rsidRPr="00F171A3">
        <w:rPr>
          <w:rFonts w:cstheme="minorHAnsi"/>
          <w:szCs w:val="20"/>
          <w:lang w:eastAsia="ja-JP"/>
        </w:rPr>
        <w:t xml:space="preserve">a fost finalizat în anul 2020 și răspunde unei mari nevoi de la nivelul comunității Sectorului 2 de asigurare a educației timpurii unde în același an peste 490 de cereri se aflau în așteptare. Astfel, identificarea și dezvoltarea unor astfel de servicii este esențială la nivelul Sectorului 2. </w:t>
      </w:r>
    </w:p>
    <w:p w14:paraId="5C0AB4DB"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Toate proiectele finalizate au un impact asupra dezvoltării infrastructurii educaționale astfel încât tot teritoriul urban să fie deservit de dotări școlare de proximitate moderne, cu facilități care să mențină tinerii interesați de procesul educațional, să îi orienteze în carieră și să le ofere posibilitatea de performanță în domeniile cerute pe piaţa muncii, ținând cont totodată de îmbunătățirea factorilor de mediu.</w:t>
      </w:r>
    </w:p>
    <w:p w14:paraId="21C923B5" w14:textId="77777777" w:rsidR="0090099C" w:rsidRPr="00F171A3" w:rsidRDefault="0090099C" w:rsidP="002F5F8B">
      <w:pPr>
        <w:spacing w:beforeLines="60" w:before="144" w:afterLines="60" w:after="144"/>
        <w:jc w:val="left"/>
        <w:rPr>
          <w:rFonts w:eastAsia="MS Gothic"/>
          <w:b/>
          <w:bCs/>
          <w:sz w:val="20"/>
          <w:szCs w:val="20"/>
          <w:lang w:eastAsia="en-GB"/>
        </w:rPr>
      </w:pPr>
      <w:r w:rsidRPr="00F171A3">
        <w:rPr>
          <w:rFonts w:eastAsia="MS Gothic"/>
          <w:b/>
          <w:bCs/>
          <w:color w:val="134753" w:themeColor="text2"/>
          <w:szCs w:val="20"/>
          <w:lang w:eastAsia="en-GB"/>
        </w:rPr>
        <w:t xml:space="preserve">1.2 Asistență și servicii sociale integrate pentru toate categoriile de utilizatori– proiecte finalizate: </w:t>
      </w:r>
    </w:p>
    <w:p w14:paraId="3C6B8AAE" w14:textId="77777777" w:rsidR="0090099C" w:rsidRPr="00F171A3" w:rsidRDefault="0090099C">
      <w:pPr>
        <w:pStyle w:val="Bulet"/>
        <w:spacing w:before="144" w:after="144"/>
        <w:ind w:left="1080"/>
        <w:rPr>
          <w:sz w:val="22"/>
        </w:rPr>
      </w:pPr>
      <w:r w:rsidRPr="00F171A3">
        <w:rPr>
          <w:sz w:val="22"/>
        </w:rPr>
        <w:t xml:space="preserve">Implementarea standardelor de calitate în serviciile de protecţie specială în regim de urgență prin reabilitarea și modernizarea CPRU Cireșarii; </w:t>
      </w:r>
    </w:p>
    <w:p w14:paraId="04B40A55" w14:textId="77777777" w:rsidR="0090099C" w:rsidRPr="00F171A3" w:rsidRDefault="0090099C">
      <w:pPr>
        <w:pStyle w:val="Bulet"/>
        <w:spacing w:before="144" w:after="144"/>
        <w:ind w:left="1080"/>
        <w:rPr>
          <w:sz w:val="22"/>
        </w:rPr>
      </w:pPr>
      <w:r w:rsidRPr="00F171A3">
        <w:rPr>
          <w:sz w:val="22"/>
        </w:rPr>
        <w:t xml:space="preserve">Modernizarea și reabilitarea centrului de zi Pinocchio; </w:t>
      </w:r>
    </w:p>
    <w:p w14:paraId="09FD1F8C" w14:textId="77777777" w:rsidR="0090099C" w:rsidRPr="00F171A3" w:rsidRDefault="0090099C">
      <w:pPr>
        <w:pStyle w:val="Bulet"/>
        <w:spacing w:before="144" w:after="144"/>
        <w:ind w:left="1080"/>
        <w:rPr>
          <w:sz w:val="22"/>
        </w:rPr>
      </w:pPr>
      <w:r w:rsidRPr="00F171A3">
        <w:rPr>
          <w:sz w:val="22"/>
        </w:rPr>
        <w:t xml:space="preserve">Reabilitarea și modernizarea unităţilor rezidenţiale de tip familial și a unei case de tip familial; </w:t>
      </w:r>
    </w:p>
    <w:p w14:paraId="4EAFE7F8" w14:textId="77777777" w:rsidR="0090099C" w:rsidRPr="00F171A3" w:rsidRDefault="0090099C">
      <w:pPr>
        <w:pStyle w:val="Bulet"/>
        <w:spacing w:before="144" w:after="144"/>
        <w:ind w:left="1080"/>
        <w:rPr>
          <w:sz w:val="22"/>
        </w:rPr>
      </w:pPr>
      <w:r w:rsidRPr="00F171A3">
        <w:rPr>
          <w:sz w:val="22"/>
        </w:rPr>
        <w:t>Reabilitarea, modernizarea și dotarea centrului de servicii pentru copii cu Handicap din Str. Traian nr. 144.</w:t>
      </w:r>
    </w:p>
    <w:p w14:paraId="4D62F214"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Proiectele finalizate realizează extinderea, diversificarea și adaptarea infrastructurii de servicii sociale la nevoile comunității, având ca scop creşterea integrării persoanelor defavorizate alături de creşterea capacităţii instituţionale de a oferi aceste servicii.</w:t>
      </w:r>
    </w:p>
    <w:p w14:paraId="67EDD310"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 xml:space="preserve">1.3 Fond de locuințe sigur și de calitate – proiecte finalizate: </w:t>
      </w:r>
    </w:p>
    <w:p w14:paraId="29C6F8F0" w14:textId="469E4018" w:rsidR="0090099C" w:rsidRPr="00F171A3" w:rsidRDefault="0090099C">
      <w:pPr>
        <w:pStyle w:val="Bulet"/>
        <w:spacing w:before="144" w:after="144"/>
        <w:ind w:left="1080"/>
        <w:rPr>
          <w:sz w:val="22"/>
        </w:rPr>
      </w:pPr>
      <w:r w:rsidRPr="00F171A3">
        <w:rPr>
          <w:sz w:val="22"/>
        </w:rPr>
        <w:t>Proiect conștientizare populație cu privire la riscul seismic</w:t>
      </w:r>
      <w:r w:rsidR="002F5F8B" w:rsidRPr="00F171A3">
        <w:rPr>
          <w:sz w:val="22"/>
        </w:rPr>
        <w:t>.</w:t>
      </w:r>
    </w:p>
    <w:p w14:paraId="5148C6C9"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Proiectul propune măsuri de reducere a vulnerabilității populației la riscul seismic. Acest proiect este desfășurat anual cu elevi și personal didactic din 10-15 unităţi de învăţământ și cu angajaţi din 4 instituţii sau servicii publice locale.</w:t>
      </w:r>
    </w:p>
    <w:p w14:paraId="6FFEDE50" w14:textId="77777777" w:rsidR="0090099C" w:rsidRPr="00F171A3" w:rsidRDefault="0090099C" w:rsidP="002F5F8B">
      <w:pPr>
        <w:spacing w:beforeLines="60" w:before="144" w:afterLines="60" w:after="144"/>
        <w:jc w:val="left"/>
        <w:rPr>
          <w:rFonts w:eastAsia="MS Gothic"/>
          <w:bCs/>
          <w:color w:val="134753" w:themeColor="text2"/>
          <w:szCs w:val="20"/>
          <w:lang w:eastAsia="en-GB"/>
        </w:rPr>
      </w:pPr>
      <w:r w:rsidRPr="00F171A3">
        <w:rPr>
          <w:rFonts w:eastAsia="MS Gothic"/>
          <w:b/>
          <w:bCs/>
          <w:color w:val="134753" w:themeColor="text2"/>
          <w:szCs w:val="20"/>
          <w:lang w:eastAsia="en-GB"/>
        </w:rPr>
        <w:t>1.4</w:t>
      </w:r>
      <w:r w:rsidRPr="00F171A3">
        <w:rPr>
          <w:rFonts w:eastAsia="MS Gothic"/>
          <w:bCs/>
          <w:color w:val="134753" w:themeColor="text2"/>
          <w:szCs w:val="20"/>
          <w:lang w:eastAsia="en-GB"/>
        </w:rPr>
        <w:t xml:space="preserve"> </w:t>
      </w:r>
      <w:r w:rsidRPr="00F171A3">
        <w:rPr>
          <w:rFonts w:eastAsia="MS Gothic"/>
          <w:b/>
          <w:color w:val="134753" w:themeColor="text2"/>
          <w:szCs w:val="20"/>
          <w:lang w:eastAsia="en-GB"/>
        </w:rPr>
        <w:t>Cultura – catalizator al dezvoltării urbane– proiecte finalizate:</w:t>
      </w:r>
      <w:r w:rsidRPr="00F171A3">
        <w:rPr>
          <w:rFonts w:eastAsia="MS Gothic"/>
          <w:bCs/>
          <w:szCs w:val="20"/>
          <w:lang w:eastAsia="en-GB"/>
        </w:rPr>
        <w:t xml:space="preserve"> </w:t>
      </w:r>
    </w:p>
    <w:p w14:paraId="1FA3A657" w14:textId="77777777" w:rsidR="0090099C" w:rsidRPr="00F171A3" w:rsidRDefault="0090099C">
      <w:pPr>
        <w:pStyle w:val="Bulet"/>
        <w:spacing w:before="144" w:after="144"/>
        <w:ind w:left="1080"/>
        <w:rPr>
          <w:sz w:val="22"/>
        </w:rPr>
      </w:pPr>
      <w:r w:rsidRPr="00F171A3">
        <w:rPr>
          <w:sz w:val="22"/>
        </w:rPr>
        <w:t xml:space="preserve">Elaborarea și implementarea unei agende culturale multianuale a Sectorului 2; </w:t>
      </w:r>
    </w:p>
    <w:p w14:paraId="64311412" w14:textId="77777777" w:rsidR="0090099C" w:rsidRPr="00F171A3" w:rsidRDefault="0090099C">
      <w:pPr>
        <w:pStyle w:val="Bulet"/>
        <w:spacing w:before="144" w:after="144"/>
        <w:ind w:left="1080"/>
        <w:rPr>
          <w:sz w:val="22"/>
        </w:rPr>
      </w:pPr>
      <w:r w:rsidRPr="00F171A3">
        <w:rPr>
          <w:sz w:val="22"/>
        </w:rPr>
        <w:t xml:space="preserve">Stabilirea de parteneriate cu instituțiile culturale pentru organizarea de evenimente în aer liber (piese de teatru, expoziții, ateliere de creație, concerte etc.). </w:t>
      </w:r>
    </w:p>
    <w:p w14:paraId="49DBE6C8" w14:textId="6A25ED42"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Rezultatele proiectul de </w:t>
      </w:r>
      <w:r w:rsidRPr="00F171A3">
        <w:rPr>
          <w:rFonts w:cstheme="minorHAnsi"/>
          <w:b/>
          <w:szCs w:val="20"/>
          <w:lang w:eastAsia="ja-JP"/>
        </w:rPr>
        <w:t xml:space="preserve">elaborare  și implementare a agendei culturale multianuale a Sectorului 2 </w:t>
      </w:r>
      <w:r w:rsidRPr="00F171A3">
        <w:rPr>
          <w:rFonts w:cstheme="minorHAnsi"/>
          <w:szCs w:val="20"/>
          <w:lang w:eastAsia="ja-JP"/>
        </w:rPr>
        <w:t xml:space="preserve"> sunt descrise printr-o agendă care va cuprinde evenimente organizate atât la nivel municipal, cât și de către instituțiile din Sectorul 2: Centrul Cultural "Mihai Eminescu", Centrul Teritorial Veterinar, Galeria "Luceafărul", Galeria Dialog, Centrul de zi „Mihail și Gavril”, Centrul de zi „J.</w:t>
      </w:r>
      <w:r w:rsidR="00DF388A">
        <w:rPr>
          <w:rFonts w:cstheme="minorHAnsi"/>
          <w:szCs w:val="20"/>
          <w:lang w:eastAsia="ja-JP"/>
        </w:rPr>
        <w:t xml:space="preserve"> </w:t>
      </w:r>
      <w:r w:rsidRPr="00F171A3">
        <w:rPr>
          <w:rFonts w:cstheme="minorHAnsi"/>
          <w:szCs w:val="20"/>
          <w:lang w:eastAsia="ja-JP"/>
        </w:rPr>
        <w:t>L.</w:t>
      </w:r>
      <w:r w:rsidR="00DF388A">
        <w:rPr>
          <w:rFonts w:cstheme="minorHAnsi"/>
          <w:szCs w:val="20"/>
          <w:lang w:eastAsia="ja-JP"/>
        </w:rPr>
        <w:t xml:space="preserve"> </w:t>
      </w:r>
      <w:r w:rsidRPr="00F171A3">
        <w:rPr>
          <w:rFonts w:cstheme="minorHAnsi"/>
          <w:szCs w:val="20"/>
          <w:lang w:eastAsia="ja-JP"/>
        </w:rPr>
        <w:t>Calderon”, Complexului pentru Activități Recreative si Educative “Sf. Pantelimon”, Centrul de Servicii Socio-Educative pentru Elevi „Sfânta Maria“ și altele. Centrul Cultural Mihai Eminescu derulează anual proiecte culturale adresate comunității Sectorului 2, cu adresabilitate pe diverse paliere de vârstă și preocupări. Evenimentele culturale organizate implică mediul artistic, mediul academic, asociații și ONG-uri cu activitate specifică și artiști independenți din diverse domenii. Proiectele realizate au o structură diversă, acoperind o largă arie a mediului cultural: literatură, arte plastice, muzică, arte vizuale, tradiții populare, precum și altele.</w:t>
      </w:r>
    </w:p>
    <w:p w14:paraId="1431643F"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De asemenea, proiectul de  </w:t>
      </w:r>
      <w:r w:rsidRPr="00F171A3">
        <w:rPr>
          <w:rFonts w:cstheme="minorHAnsi"/>
          <w:b/>
          <w:szCs w:val="20"/>
          <w:lang w:eastAsia="ja-JP"/>
        </w:rPr>
        <w:t>stabilire de parteneriate cu instituțiile culturale pentru organizarea de evenimente în aer liber</w:t>
      </w:r>
      <w:r w:rsidRPr="00F171A3">
        <w:rPr>
          <w:rFonts w:cstheme="minorHAnsi"/>
          <w:szCs w:val="20"/>
          <w:lang w:eastAsia="ja-JP"/>
        </w:rPr>
        <w:t xml:space="preserve"> este corelat cu activitățile culturale desfășurate de către Centrul Cultural Mihai Eminescu care au avut drept parteneri instituții culturale sau operatori culturali privați, împreună cu care au fost realizate o serie de proiecte comune: concerte muzicale de diverse genuri, evenimente ce promovează artele vizuale și altele de acest tip (ex: stagiuni ale unor teatre bucureștene, ale Operei Comice pentru Copii, Corul Național de Cameră "Madrigal - Marin Constantin", organizatori și impresari de concerte muzicale, Asociația ARCEN, Daisler, Arte del Anima etc.)</w:t>
      </w:r>
    </w:p>
    <w:p w14:paraId="45DF7358"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Proiectele finalizate produc un impact în dezvoltarea infrastructurii culturale și de petrecere a timpului liber în rândul comunității, prin diversificarea și dezvoltarea ofertei de evenimente culturale, având un efect direct asupra dezvoltării urbane. </w:t>
      </w:r>
    </w:p>
    <w:p w14:paraId="2858C220" w14:textId="68D01921"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Având în vedere acestea, se remarcă faptul că prin proiectele deja finalizate din cadrul Obiectivului general 1-  Locuire, servicii și cultură adaptate unei comunităţi active și implicate, obiectivele strategice propuse au fost abordate în proporții de 100%. </w:t>
      </w:r>
    </w:p>
    <w:p w14:paraId="1260FD4E" w14:textId="77777777" w:rsidR="002F5F8B" w:rsidRPr="00F171A3" w:rsidRDefault="002F5F8B" w:rsidP="0090099C">
      <w:pPr>
        <w:spacing w:beforeLines="60" w:before="144" w:afterLines="60" w:after="144"/>
        <w:rPr>
          <w:rFonts w:cstheme="minorHAnsi"/>
          <w:szCs w:val="20"/>
          <w:lang w:eastAsia="ja-JP"/>
        </w:rPr>
      </w:pPr>
    </w:p>
    <w:p w14:paraId="701C0037"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b/>
          <w:color w:val="134753" w:themeColor="accent2"/>
          <w:szCs w:val="20"/>
          <w:lang w:eastAsia="ja-JP"/>
        </w:rPr>
        <w:t>O2. SECTOR CU ATRACTIVITATE CRESCUTĂ PENTRU FORȚA DE MUNCĂ ȘI COMPANII</w:t>
      </w:r>
      <w:r w:rsidRPr="00F171A3">
        <w:rPr>
          <w:rFonts w:cstheme="minorHAnsi"/>
          <w:szCs w:val="20"/>
          <w:lang w:eastAsia="ja-JP"/>
        </w:rPr>
        <w:t xml:space="preserve"> </w:t>
      </w:r>
      <w:r w:rsidRPr="00F171A3">
        <w:rPr>
          <w:rFonts w:cstheme="minorHAnsi"/>
          <w:b/>
          <w:color w:val="134753" w:themeColor="accent2"/>
          <w:szCs w:val="20"/>
          <w:lang w:eastAsia="ja-JP"/>
        </w:rPr>
        <w:t>|</w:t>
      </w:r>
      <w:r w:rsidRPr="00F171A3">
        <w:rPr>
          <w:rFonts w:cstheme="minorHAnsi"/>
          <w:szCs w:val="20"/>
          <w:lang w:eastAsia="ja-JP"/>
        </w:rPr>
        <w:t xml:space="preserve"> Obiectivul general 2 propune măsuri și investiții prin 19 proiecte, dintre care Primăria Sectorului 2 este solicitant sau partener pentru toate.  Bugetul total alocat celor 19 proiecte este de 116 milioane de lei, respectiv 26 de milioane de euro.</w:t>
      </w:r>
      <w:r w:rsidRPr="00F171A3">
        <w:rPr>
          <w:rFonts w:cstheme="minorHAnsi"/>
          <w:szCs w:val="20"/>
          <w:lang w:eastAsia="ja-JP"/>
        </w:rPr>
        <w:tab/>
      </w:r>
    </w:p>
    <w:p w14:paraId="7D413FD4"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Obiectivul general 2 are în vedere dezvoltarea mediului de afaceri la nivelul Sectorului 2, prin dezvoltarea de proiecte cu efect de multiplicare economică asupra agenţilor economici de pe raza teritoriului sectorului, în vederea creării de noi locuri de muncă, a creşterii nivelului de trai al locuitorilor și a sporirii veniturilor la bugetul local. Din totalul proiectelor prevăzute în cadrul portofoliului, 10,5% dintre acestea, (2 proiecte) au fost implementate, iar despre restul de 89,5% nu există suficiente informații care indică faptul că sunt în curs de implementare sau finalizate până la acest moment. </w:t>
      </w:r>
    </w:p>
    <w:p w14:paraId="49E2584C" w14:textId="0DA64808" w:rsidR="0090099C" w:rsidRPr="00F171A3" w:rsidRDefault="0090099C" w:rsidP="0090099C">
      <w:pPr>
        <w:pStyle w:val="Caption"/>
      </w:pPr>
      <w:bookmarkStart w:id="53" w:name="_Toc127198000"/>
      <w:r w:rsidRPr="00F171A3">
        <w:t xml:space="preserve">Figura </w:t>
      </w:r>
      <w:r w:rsidRPr="00F171A3">
        <w:fldChar w:fldCharType="begin"/>
      </w:r>
      <w:r w:rsidRPr="00F171A3">
        <w:instrText xml:space="preserve"> SEQ Figura \* ARABIC </w:instrText>
      </w:r>
      <w:r w:rsidRPr="00F171A3">
        <w:fldChar w:fldCharType="separate"/>
      </w:r>
      <w:r w:rsidR="005A6DD8">
        <w:rPr>
          <w:noProof/>
        </w:rPr>
        <w:t>12</w:t>
      </w:r>
      <w:r w:rsidRPr="00F171A3">
        <w:fldChar w:fldCharType="end"/>
      </w:r>
      <w:r w:rsidRPr="00F171A3">
        <w:t xml:space="preserve"> </w:t>
      </w:r>
      <w:r w:rsidRPr="00F171A3">
        <w:rPr>
          <w:szCs w:val="18"/>
        </w:rPr>
        <w:t>Gradul de implementare al proiectelor specifice Obiectivului general 2 -  Sector cu atractivitate crescută pentru forța de muncă și companii</w:t>
      </w:r>
      <w:bookmarkEnd w:id="53"/>
    </w:p>
    <w:p w14:paraId="23180C52"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596DA603" wp14:editId="5E869E4D">
            <wp:extent cx="5868063" cy="2122998"/>
            <wp:effectExtent l="0" t="0" r="0" b="0"/>
            <wp:docPr id="25645" name="Chart 256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C9D58BD"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6B623847" w14:textId="77777777" w:rsidR="0090099C" w:rsidRPr="00695D7C" w:rsidRDefault="0090099C" w:rsidP="0090099C">
      <w:pPr>
        <w:spacing w:beforeLines="60" w:before="144" w:afterLines="60" w:after="144"/>
        <w:rPr>
          <w:rFonts w:cstheme="minorHAnsi"/>
          <w:szCs w:val="20"/>
          <w:lang w:eastAsia="ja-JP"/>
        </w:rPr>
      </w:pPr>
      <w:r w:rsidRPr="00695D7C">
        <w:rPr>
          <w:rFonts w:cstheme="minorHAnsi"/>
          <w:szCs w:val="20"/>
          <w:lang w:eastAsia="ja-JP"/>
        </w:rPr>
        <w:t xml:space="preserve">Cele 2 proiecte finalizate din cadrul Obiectivului general 2 -  Sector cu atractivitate crescută pentru forța de muncă și companii sunt prezentate în tabelul de mai jos. Conform datelor, bugetul total estimat al acestora prevăzut în portofoliul de proiecte al strategiei reprezintă suma de 886.000  de mii de lei, respectiv 0,8% din bugetul total alocat acestui obiectiv. </w:t>
      </w:r>
    </w:p>
    <w:p w14:paraId="2835EE0F" w14:textId="6DEF3DB0" w:rsidR="0090099C" w:rsidRPr="00F171A3" w:rsidRDefault="0090099C" w:rsidP="0090099C">
      <w:pPr>
        <w:pStyle w:val="Caption"/>
      </w:pPr>
      <w:bookmarkStart w:id="54" w:name="_Toc126943262"/>
      <w:r w:rsidRPr="00F171A3">
        <w:t xml:space="preserve">Tabel </w:t>
      </w:r>
      <w:r w:rsidRPr="00F171A3">
        <w:fldChar w:fldCharType="begin"/>
      </w:r>
      <w:r w:rsidRPr="00F171A3">
        <w:instrText xml:space="preserve"> SEQ Tabel \* ARABIC </w:instrText>
      </w:r>
      <w:r w:rsidRPr="00F171A3">
        <w:fldChar w:fldCharType="separate"/>
      </w:r>
      <w:r w:rsidR="005A6DD8">
        <w:rPr>
          <w:noProof/>
        </w:rPr>
        <w:t>5</w:t>
      </w:r>
      <w:r w:rsidRPr="00F171A3">
        <w:fldChar w:fldCharType="end"/>
      </w:r>
      <w:r w:rsidRPr="00F171A3">
        <w:t xml:space="preserve"> </w:t>
      </w:r>
      <w:r w:rsidRPr="00F171A3">
        <w:rPr>
          <w:szCs w:val="18"/>
        </w:rPr>
        <w:t>Proiectele finalizate în cadrul Obiectivului general 2 -  Sector cu atractivitate crescută pentru forța de muncă și companii</w:t>
      </w:r>
      <w:bookmarkEnd w:id="54"/>
    </w:p>
    <w:tbl>
      <w:tblPr>
        <w:tblStyle w:val="Civittatable9"/>
        <w:tblW w:w="0" w:type="auto"/>
        <w:tblInd w:w="-5" w:type="dxa"/>
        <w:tblLook w:val="0480" w:firstRow="0" w:lastRow="0" w:firstColumn="1" w:lastColumn="0" w:noHBand="0" w:noVBand="1"/>
      </w:tblPr>
      <w:tblGrid>
        <w:gridCol w:w="4720"/>
        <w:gridCol w:w="4721"/>
      </w:tblGrid>
      <w:tr w:rsidR="0090099C" w:rsidRPr="00F171A3" w14:paraId="0617F165" w14:textId="77777777" w:rsidTr="002F5F8B">
        <w:trPr>
          <w:cnfStyle w:val="000000100000" w:firstRow="0" w:lastRow="0" w:firstColumn="0" w:lastColumn="0" w:oddVBand="0" w:evenVBand="0" w:oddHBand="1" w:evenHBand="0" w:firstRowFirstColumn="0" w:firstRowLastColumn="0" w:lastRowFirstColumn="0" w:lastRowLastColumn="0"/>
        </w:trPr>
        <w:tc>
          <w:tcPr>
            <w:tcW w:w="9441" w:type="dxa"/>
            <w:gridSpan w:val="2"/>
            <w:shd w:val="clear" w:color="auto" w:fill="134753" w:themeFill="text2"/>
            <w:vAlign w:val="center"/>
          </w:tcPr>
          <w:p w14:paraId="0EF5C875" w14:textId="0A88B994" w:rsidR="0090099C" w:rsidRPr="00F171A3" w:rsidRDefault="002F5F8B" w:rsidP="002F5F8B">
            <w:pPr>
              <w:spacing w:after="0"/>
              <w:ind w:left="360"/>
              <w:jc w:val="center"/>
              <w:rPr>
                <w:rFonts w:cstheme="minorHAnsi"/>
                <w:b/>
                <w:bCs/>
                <w:color w:val="FFFFFF" w:themeColor="background1"/>
                <w:lang w:eastAsia="ja-JP"/>
              </w:rPr>
            </w:pPr>
            <w:r w:rsidRPr="00F171A3">
              <w:rPr>
                <w:b/>
                <w:bCs/>
                <w:color w:val="FFFFFF" w:themeColor="background1"/>
              </w:rPr>
              <w:t xml:space="preserve">BUGETUL ALOCAT PROIECTELOR ÎN STRATEGIA DE DEZVOLTARE LOCALĂ INTEGRATĂ ȘI DURABILĂ A SECTORULUI 2 PENTRU PERIOADA 2016 – 2025   - </w:t>
            </w:r>
            <w:r w:rsidRPr="00F171A3">
              <w:rPr>
                <w:rFonts w:cstheme="minorHAnsi"/>
                <w:b/>
                <w:bCs/>
                <w:color w:val="FFFFFF" w:themeColor="background1"/>
                <w:lang w:eastAsia="ja-JP"/>
              </w:rPr>
              <w:t>886.000  DE MII DE LEI</w:t>
            </w:r>
          </w:p>
        </w:tc>
      </w:tr>
      <w:tr w:rsidR="0090099C" w:rsidRPr="00F171A3" w14:paraId="18FDDBCD" w14:textId="77777777" w:rsidTr="002F5F8B">
        <w:trPr>
          <w:cnfStyle w:val="000000010000" w:firstRow="0" w:lastRow="0" w:firstColumn="0" w:lastColumn="0" w:oddVBand="0" w:evenVBand="0" w:oddHBand="0" w:evenHBand="1" w:firstRowFirstColumn="0" w:firstRowLastColumn="0" w:lastRowFirstColumn="0" w:lastRowLastColumn="0"/>
        </w:trPr>
        <w:tc>
          <w:tcPr>
            <w:tcW w:w="4720" w:type="dxa"/>
            <w:vAlign w:val="center"/>
          </w:tcPr>
          <w:p w14:paraId="5F946EB4"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Organizarea unor târguri de joburi, evenimente în cadrul cărora să fie promovate ofertele de muncă precum și instrumentele disponibile pentru găsirea unui loc de muncă</w:t>
            </w:r>
          </w:p>
        </w:tc>
        <w:tc>
          <w:tcPr>
            <w:tcW w:w="4721" w:type="dxa"/>
            <w:vAlign w:val="center"/>
          </w:tcPr>
          <w:p w14:paraId="5C67E660"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Dezvoltarea de programe în parteneriat cu unităţile de învăţământ în vederea susţinerii participării la educaţie</w:t>
            </w:r>
          </w:p>
        </w:tc>
      </w:tr>
    </w:tbl>
    <w:p w14:paraId="5DE602AA"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5C0120A1"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Proiectele propuse în cadrul prezentului obiectiv general sunt defalcate pe 4 obiective specifice la îndeplinirea cărora contribuie. Prin urmare, analizând proiectele deja finalizate, acestea fac parte din următoarele obiective strategice:</w:t>
      </w:r>
    </w:p>
    <w:p w14:paraId="324D9768" w14:textId="60C24DA3" w:rsidR="0090099C" w:rsidRPr="00F171A3" w:rsidRDefault="0090099C" w:rsidP="002F5F8B">
      <w:pPr>
        <w:spacing w:beforeLines="60" w:before="144" w:afterLines="60" w:after="144"/>
        <w:jc w:val="left"/>
        <w:rPr>
          <w:rFonts w:eastAsia="MS Gothic"/>
          <w:bCs/>
          <w:szCs w:val="20"/>
          <w:lang w:eastAsia="en-GB"/>
        </w:rPr>
      </w:pPr>
      <w:r w:rsidRPr="00F171A3">
        <w:rPr>
          <w:rFonts w:eastAsia="MS Gothic"/>
          <w:b/>
          <w:bCs/>
          <w:color w:val="134753" w:themeColor="text2"/>
          <w:szCs w:val="20"/>
          <w:lang w:eastAsia="en-GB"/>
        </w:rPr>
        <w:t>2.1</w:t>
      </w:r>
      <w:r w:rsidRPr="00F171A3">
        <w:rPr>
          <w:rFonts w:eastAsia="MS Gothic"/>
          <w:bCs/>
          <w:color w:val="134753" w:themeColor="text2"/>
          <w:szCs w:val="20"/>
          <w:lang w:eastAsia="en-GB"/>
        </w:rPr>
        <w:t xml:space="preserve"> </w:t>
      </w:r>
      <w:r w:rsidRPr="00F171A3">
        <w:rPr>
          <w:rFonts w:eastAsia="MS Gothic"/>
          <w:b/>
          <w:color w:val="134753" w:themeColor="text2"/>
          <w:szCs w:val="20"/>
          <w:lang w:eastAsia="en-GB"/>
        </w:rPr>
        <w:t>Un sector cu o dezvoltare economică echilibrată a tuturor zonelor</w:t>
      </w:r>
      <w:r w:rsidR="002F5F8B" w:rsidRPr="00F171A3">
        <w:rPr>
          <w:rFonts w:eastAsia="MS Gothic"/>
          <w:b/>
          <w:color w:val="134753" w:themeColor="text2"/>
          <w:szCs w:val="20"/>
          <w:lang w:eastAsia="en-GB"/>
        </w:rPr>
        <w:t xml:space="preserve"> </w:t>
      </w:r>
      <w:r w:rsidRPr="00F171A3">
        <w:rPr>
          <w:rFonts w:eastAsia="MS Gothic"/>
          <w:b/>
          <w:color w:val="134753" w:themeColor="text2"/>
          <w:szCs w:val="20"/>
          <w:lang w:eastAsia="en-GB"/>
        </w:rPr>
        <w:t>– proiecte finalizate:</w:t>
      </w:r>
      <w:r w:rsidRPr="00F171A3">
        <w:rPr>
          <w:rFonts w:eastAsia="MS Gothic"/>
          <w:bCs/>
          <w:color w:val="134753" w:themeColor="text2"/>
          <w:szCs w:val="20"/>
          <w:lang w:eastAsia="en-GB"/>
        </w:rPr>
        <w:t xml:space="preserve"> </w:t>
      </w:r>
    </w:p>
    <w:p w14:paraId="65B63F3B" w14:textId="77777777" w:rsidR="0090099C" w:rsidRPr="00F171A3" w:rsidRDefault="0090099C">
      <w:pPr>
        <w:pStyle w:val="Bulet"/>
        <w:spacing w:before="144" w:after="144"/>
        <w:ind w:left="1080"/>
        <w:rPr>
          <w:sz w:val="22"/>
        </w:rPr>
      </w:pPr>
      <w:r w:rsidRPr="00F171A3">
        <w:rPr>
          <w:sz w:val="22"/>
        </w:rPr>
        <w:t xml:space="preserve">Organizarea unor târguri de joburi, evenimente în cadrul cărora să fie promovate ofertele de muncă precum și instrumentele disponibile pentru găsirea unui loc de muncă; </w:t>
      </w:r>
    </w:p>
    <w:p w14:paraId="1BA49B18" w14:textId="77777777" w:rsidR="0090099C" w:rsidRPr="00F171A3" w:rsidRDefault="0090099C">
      <w:pPr>
        <w:pStyle w:val="Bulet"/>
        <w:spacing w:before="144" w:after="144"/>
        <w:ind w:left="1080"/>
        <w:rPr>
          <w:sz w:val="22"/>
        </w:rPr>
      </w:pPr>
      <w:r w:rsidRPr="00F171A3">
        <w:rPr>
          <w:sz w:val="22"/>
        </w:rPr>
        <w:t>Dezvoltarea de programe în parteneriat cu unităţile de învăţământ în vederea susţinerii participării la educaţie.</w:t>
      </w:r>
    </w:p>
    <w:p w14:paraId="14DEA756"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Proiectul de </w:t>
      </w:r>
      <w:r w:rsidRPr="00F171A3">
        <w:rPr>
          <w:rFonts w:cstheme="minorHAnsi"/>
          <w:b/>
          <w:szCs w:val="20"/>
          <w:lang w:eastAsia="ja-JP"/>
        </w:rPr>
        <w:t xml:space="preserve">Organizare a unor târguri de joburi, evenimente în cadrul cărora să fie promovate ofertele de muncă precum și instrumentele disponibile pentru găsirea unui loc de muncă </w:t>
      </w:r>
      <w:r w:rsidRPr="00F171A3">
        <w:rPr>
          <w:rFonts w:cstheme="minorHAnsi"/>
          <w:szCs w:val="20"/>
          <w:lang w:eastAsia="ja-JP"/>
        </w:rPr>
        <w:t>a fost inaugurat pentru prima dată în anul 2018 prin conceptul de “Joburi pentru comunitatea Sectorului 2”. Acesta este dedicat cetăţenilor Sectorului 2, cu precădere persoanelor cu dizabilităţi și celor în căutare de reconversie profesională, fiind o oportunitate pentru aceştia să ocupe un loc de muncă potrivit abilităţilor și competenţelor dobândite. Târgul de joburi este organizat de către Primăria Sectorului 2, Consiliul Local al Sectorului 2 în parteneriat cu Autoritatea Naţională pentru Persoane cu Dizabilităţi.</w:t>
      </w:r>
    </w:p>
    <w:p w14:paraId="3CC649E3"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Aceste proiecte produc un impact în eficientizarea utilizării resurselor umane prin promovarea oportunităților de muncă inclusivă și prin demararea diferitelor programe în parteneriat cu unitățile de învățământ pentru a facilita astfel accesul atât companiilor la potențiale resurse umană calificată, cât și formării forței de muncă specializată în concordanță cu nevoile sectoriale. </w:t>
      </w:r>
    </w:p>
    <w:p w14:paraId="1E0D536C"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În cadrul următoarelor obiective strategice nu se cunosc până în acest moment al realizării analizei intermediare inițiative de debut al potențialelor proiecte, dar pot face obiectul următoarelor direcții de acțiune:  </w:t>
      </w:r>
    </w:p>
    <w:p w14:paraId="0046146E"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2.2 Un sector atractiv pentru mediul de afaceri în cadrul Regiunii Bucureşti-Ilfov;</w:t>
      </w:r>
    </w:p>
    <w:p w14:paraId="1B8A6A4C"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2.3 Facilitarea calificării/recalificării forţei de muncă în conformitate cu cerinţele pieţei;</w:t>
      </w:r>
      <w:r w:rsidRPr="00F171A3">
        <w:rPr>
          <w:rFonts w:eastAsia="MS Gothic"/>
          <w:b/>
          <w:bCs/>
          <w:color w:val="134753" w:themeColor="text2"/>
          <w:szCs w:val="20"/>
          <w:lang w:eastAsia="en-GB"/>
        </w:rPr>
        <w:tab/>
      </w:r>
    </w:p>
    <w:p w14:paraId="281CB124" w14:textId="77777777" w:rsidR="0090099C" w:rsidRPr="00F171A3" w:rsidRDefault="0090099C" w:rsidP="002F5F8B">
      <w:pPr>
        <w:spacing w:beforeLines="60" w:before="144" w:afterLines="60" w:after="144"/>
        <w:jc w:val="left"/>
        <w:rPr>
          <w:rFonts w:eastAsia="MS Gothic"/>
          <w:b/>
          <w:bCs/>
          <w:color w:val="134753" w:themeColor="accent2"/>
          <w:szCs w:val="20"/>
          <w:lang w:eastAsia="ja-JP"/>
        </w:rPr>
      </w:pPr>
      <w:r w:rsidRPr="00F171A3">
        <w:rPr>
          <w:rFonts w:eastAsia="MS Gothic"/>
          <w:b/>
          <w:bCs/>
          <w:color w:val="134753" w:themeColor="text2"/>
          <w:szCs w:val="20"/>
          <w:lang w:eastAsia="en-GB"/>
        </w:rPr>
        <w:t>2.4 Promotor al cercetării, dezvoltării și inovării.</w:t>
      </w:r>
      <w:r w:rsidRPr="00F171A3">
        <w:rPr>
          <w:rFonts w:eastAsia="MS Gothic"/>
          <w:b/>
          <w:bCs/>
          <w:color w:val="134753" w:themeColor="text2"/>
          <w:szCs w:val="20"/>
          <w:lang w:eastAsia="en-GB"/>
        </w:rPr>
        <w:tab/>
      </w:r>
    </w:p>
    <w:p w14:paraId="6943A6DC" w14:textId="77777777" w:rsidR="002F5F8B" w:rsidRPr="00F171A3" w:rsidRDefault="002F5F8B" w:rsidP="0090099C">
      <w:pPr>
        <w:spacing w:beforeLines="60" w:before="144" w:afterLines="60" w:after="144"/>
        <w:rPr>
          <w:rFonts w:cstheme="minorHAnsi"/>
          <w:b/>
          <w:color w:val="134753" w:themeColor="accent2"/>
          <w:szCs w:val="20"/>
          <w:lang w:eastAsia="ja-JP"/>
        </w:rPr>
      </w:pPr>
    </w:p>
    <w:p w14:paraId="6FC47789" w14:textId="710F0BC6" w:rsidR="0090099C" w:rsidRPr="00F171A3" w:rsidRDefault="0090099C" w:rsidP="0090099C">
      <w:pPr>
        <w:spacing w:beforeLines="60" w:before="144" w:afterLines="60" w:after="144"/>
        <w:rPr>
          <w:rFonts w:cstheme="minorHAnsi"/>
          <w:szCs w:val="20"/>
          <w:lang w:eastAsia="ja-JP"/>
        </w:rPr>
      </w:pPr>
      <w:r w:rsidRPr="00F171A3">
        <w:rPr>
          <w:rFonts w:cstheme="minorHAnsi"/>
          <w:b/>
          <w:color w:val="134753" w:themeColor="accent2"/>
          <w:szCs w:val="20"/>
          <w:lang w:eastAsia="ja-JP"/>
        </w:rPr>
        <w:t>O3. INFRASTRUCTURĂ URBANĂ ADAPTATĂ LA NEVOILE ACTUALE ȘI VIITOARE|</w:t>
      </w:r>
      <w:r w:rsidRPr="00F171A3">
        <w:rPr>
          <w:rFonts w:cstheme="minorHAnsi"/>
          <w:szCs w:val="20"/>
          <w:lang w:eastAsia="ja-JP"/>
        </w:rPr>
        <w:t xml:space="preserve"> Obiectivul general 3 propune măsuri și investiții prin 62 de proiecte, dintre care Primăria Sectorului 2 este solicitant sau partener pentru 66,1% dintre acestea. Bugetul total alocat celor 62 de proiecte este de 29 de miliarde de lei, respectiv 6 miliarde de euro. Prezentul obiectiv general are la bază proiecte de tipul infrastructurii grele care necesită cele mai ridicate sume pentru investiții, fapt remarcat și prin ponderea ridicată care este atribuită acestui obiectiv din bugetul total propus în cadrul portofoliului de proiecte. De asemenea, infrastructura și serviciile de transport sunt gestionate într-o mare măsură de Primăria Municipiului București, astfel doar o parte din proiectele de acest tip intră în responsabilitatea Primăriei Sectorului 2 deşi ele deservesc utilizatorii Sectorului 2, motiv pentru care fac parte din prezenta strategie.  </w:t>
      </w:r>
    </w:p>
    <w:p w14:paraId="5F2AAB38"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În raport cu rezultatele acestui obiectiv, după cum poate fi observat și în figura de mai jos, 6,5% (4 proiecte) din totalul proiectelor  alocate acestuia au fost finalizate, în timp ce circa 22,6% (14 proiecte) sunt în curs de implementare. Totodată, restul de 71,0% din proiecte nu se regăsesc în evidență ca fiind finalizate sau în curs de implementare până la acest moment. </w:t>
      </w:r>
    </w:p>
    <w:p w14:paraId="5D227C18" w14:textId="14828358" w:rsidR="0090099C" w:rsidRPr="00F171A3" w:rsidRDefault="0090099C" w:rsidP="0090099C">
      <w:pPr>
        <w:pStyle w:val="Caption"/>
      </w:pPr>
      <w:bookmarkStart w:id="55" w:name="_Toc127198001"/>
      <w:r w:rsidRPr="00F171A3">
        <w:t xml:space="preserve">Figura </w:t>
      </w:r>
      <w:r w:rsidRPr="00F171A3">
        <w:fldChar w:fldCharType="begin"/>
      </w:r>
      <w:r w:rsidRPr="00F171A3">
        <w:instrText xml:space="preserve"> SEQ Figura \* ARABIC </w:instrText>
      </w:r>
      <w:r w:rsidRPr="00F171A3">
        <w:fldChar w:fldCharType="separate"/>
      </w:r>
      <w:r w:rsidR="005A6DD8">
        <w:rPr>
          <w:noProof/>
        </w:rPr>
        <w:t>13</w:t>
      </w:r>
      <w:r w:rsidRPr="00F171A3">
        <w:fldChar w:fldCharType="end"/>
      </w:r>
      <w:r w:rsidRPr="00F171A3">
        <w:t xml:space="preserve"> </w:t>
      </w:r>
      <w:r w:rsidRPr="00F171A3">
        <w:rPr>
          <w:szCs w:val="18"/>
        </w:rPr>
        <w:t>Gradul de implementare al proiectelor specifice Obiectivului general 3 -  Infrastructură urbană adaptată la nevoile actuale și viitoare</w:t>
      </w:r>
      <w:bookmarkEnd w:id="55"/>
    </w:p>
    <w:p w14:paraId="67F517C7"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6D73C850" wp14:editId="0DD884D3">
            <wp:extent cx="5969479" cy="2277373"/>
            <wp:effectExtent l="0" t="0" r="0" b="8890"/>
            <wp:docPr id="25646" name="Chart 256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09E15F8"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0BBDB26C"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Cele 4 proiecte finalizate din cadrul Obiectivului general 3 -  Infrastructură urbană adaptată la nevoile actuale și viitoare sunt prezentate în tabelul de mai jos. Din bugetul total estimat obiectivului general 3, acestea însumează conform strategiei circa 2,0%, respectiv 597.607.000 de milioane de lei. </w:t>
      </w:r>
    </w:p>
    <w:p w14:paraId="11E25954" w14:textId="0D67BF9C" w:rsidR="0090099C" w:rsidRPr="00F171A3" w:rsidRDefault="0090099C" w:rsidP="0090099C">
      <w:pPr>
        <w:pStyle w:val="Caption"/>
      </w:pPr>
      <w:bookmarkStart w:id="56" w:name="_Toc126943263"/>
      <w:r w:rsidRPr="00F171A3">
        <w:t xml:space="preserve">Tabel </w:t>
      </w:r>
      <w:r w:rsidRPr="00F171A3">
        <w:fldChar w:fldCharType="begin"/>
      </w:r>
      <w:r w:rsidRPr="00F171A3">
        <w:instrText xml:space="preserve"> SEQ Tabel \* ARABIC </w:instrText>
      </w:r>
      <w:r w:rsidRPr="00F171A3">
        <w:fldChar w:fldCharType="separate"/>
      </w:r>
      <w:r w:rsidR="005A6DD8">
        <w:rPr>
          <w:noProof/>
        </w:rPr>
        <w:t>6</w:t>
      </w:r>
      <w:r w:rsidRPr="00F171A3">
        <w:fldChar w:fldCharType="end"/>
      </w:r>
      <w:r w:rsidRPr="00F171A3">
        <w:t xml:space="preserve"> </w:t>
      </w:r>
      <w:r w:rsidRPr="00F171A3">
        <w:rPr>
          <w:szCs w:val="18"/>
        </w:rPr>
        <w:t>Proiectele finalizate în cadrul Obiectivului general 3 -  Infrastructură urbană adaptată la nevoile actuale și viitoare</w:t>
      </w:r>
      <w:bookmarkEnd w:id="56"/>
    </w:p>
    <w:tbl>
      <w:tblPr>
        <w:tblStyle w:val="Civittatable9"/>
        <w:tblW w:w="0" w:type="auto"/>
        <w:tblInd w:w="-5" w:type="dxa"/>
        <w:tblLook w:val="0480" w:firstRow="0" w:lastRow="0" w:firstColumn="1" w:lastColumn="0" w:noHBand="0" w:noVBand="1"/>
      </w:tblPr>
      <w:tblGrid>
        <w:gridCol w:w="4720"/>
        <w:gridCol w:w="4721"/>
      </w:tblGrid>
      <w:tr w:rsidR="0090099C" w:rsidRPr="00F171A3" w14:paraId="306190C4" w14:textId="77777777" w:rsidTr="002F5F8B">
        <w:trPr>
          <w:cnfStyle w:val="000000100000" w:firstRow="0" w:lastRow="0" w:firstColumn="0" w:lastColumn="0" w:oddVBand="0" w:evenVBand="0" w:oddHBand="1" w:evenHBand="0" w:firstRowFirstColumn="0" w:firstRowLastColumn="0" w:lastRowFirstColumn="0" w:lastRowLastColumn="0"/>
        </w:trPr>
        <w:tc>
          <w:tcPr>
            <w:tcW w:w="9441" w:type="dxa"/>
            <w:gridSpan w:val="2"/>
            <w:shd w:val="clear" w:color="auto" w:fill="134753" w:themeFill="text2"/>
            <w:vAlign w:val="center"/>
          </w:tcPr>
          <w:p w14:paraId="5352F3D8" w14:textId="3FD0A8FA" w:rsidR="0090099C" w:rsidRPr="00F171A3" w:rsidRDefault="002F5F8B" w:rsidP="002F5F8B">
            <w:pPr>
              <w:spacing w:after="0"/>
              <w:ind w:left="360"/>
              <w:jc w:val="left"/>
              <w:rPr>
                <w:rFonts w:cstheme="minorHAnsi"/>
                <w:b/>
                <w:bCs/>
                <w:color w:val="FFFFFF" w:themeColor="background1"/>
                <w:lang w:eastAsia="ja-JP"/>
              </w:rPr>
            </w:pPr>
            <w:r w:rsidRPr="00F171A3">
              <w:rPr>
                <w:b/>
                <w:bCs/>
                <w:color w:val="FFFFFF" w:themeColor="background1"/>
              </w:rPr>
              <w:t xml:space="preserve">BUGETUL ALOCAT PROIECTELOR ÎN STRATEGIA DE DEZVOLTARE LOCALĂ INTEGRATĂ ȘI DURABILĂ A SECTORULUI 2 PENTRU PERIOADA 2016 – 2025   - </w:t>
            </w:r>
            <w:r w:rsidRPr="00F171A3">
              <w:rPr>
                <w:rFonts w:cstheme="minorHAnsi"/>
                <w:b/>
                <w:bCs/>
                <w:color w:val="FFFFFF" w:themeColor="background1"/>
                <w:lang w:eastAsia="ja-JP"/>
              </w:rPr>
              <w:t>597.607.000  DE MILIOANE DE LEI</w:t>
            </w:r>
          </w:p>
        </w:tc>
      </w:tr>
      <w:tr w:rsidR="0090099C" w:rsidRPr="00F171A3" w14:paraId="3AB68AF3" w14:textId="77777777" w:rsidTr="002F5F8B">
        <w:trPr>
          <w:cnfStyle w:val="000000010000" w:firstRow="0" w:lastRow="0" w:firstColumn="0" w:lastColumn="0" w:oddVBand="0" w:evenVBand="0" w:oddHBand="0" w:evenHBand="1" w:firstRowFirstColumn="0" w:firstRowLastColumn="0" w:lastRowFirstColumn="0" w:lastRowLastColumn="0"/>
        </w:trPr>
        <w:tc>
          <w:tcPr>
            <w:tcW w:w="4720" w:type="dxa"/>
            <w:vAlign w:val="center"/>
          </w:tcPr>
          <w:p w14:paraId="29FB8D3D"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Extindere și modernizare Str. Ştiucii</w:t>
            </w:r>
          </w:p>
          <w:p w14:paraId="3266356D"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Lărgire str. Fabrica de Glucoză </w:t>
            </w:r>
          </w:p>
        </w:tc>
        <w:tc>
          <w:tcPr>
            <w:tcW w:w="4721" w:type="dxa"/>
            <w:vAlign w:val="center"/>
          </w:tcPr>
          <w:p w14:paraId="161C6F64"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 xml:space="preserve">Reconfigurare Str. Gherghiţei </w:t>
            </w:r>
          </w:p>
          <w:p w14:paraId="3CE1BA58" w14:textId="3F55C940"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Racordare str. Fabrica de Glucoză cu ultimul tronson din A3 </w:t>
            </w:r>
          </w:p>
        </w:tc>
      </w:tr>
    </w:tbl>
    <w:p w14:paraId="07FD62F9"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1ECAA401"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În tabelul de mai jos sunt prezentate cele 14 proiecte aflate în curs de implementare în cadrul Obiectivului general 3 -  Infrastructură urbană adaptată la nevoile actuale și viitoare. Acestea vizează atât intervenții de reabilitare și extindere a infrastructurii de utilități publice, cât și programe, proiecte, sancțiuni și facilități în raport cu activitățile de colectare selectivă. Pe lângă acestea, mai sunt prevăzute lucrări de amenajare a zonei autogării și de amenajare a parcărilor rezidențiale. </w:t>
      </w:r>
    </w:p>
    <w:p w14:paraId="79B90511" w14:textId="72808DF5" w:rsidR="0005757F" w:rsidRPr="00F171A3" w:rsidRDefault="0005757F" w:rsidP="0005757F">
      <w:pPr>
        <w:pStyle w:val="Caption"/>
      </w:pPr>
      <w:bookmarkStart w:id="57" w:name="_Toc126943264"/>
      <w:r w:rsidRPr="00F171A3">
        <w:t xml:space="preserve">Tabel </w:t>
      </w:r>
      <w:r w:rsidRPr="00F171A3">
        <w:fldChar w:fldCharType="begin"/>
      </w:r>
      <w:r w:rsidRPr="00F171A3">
        <w:instrText xml:space="preserve"> SEQ Tabel \* ARABIC </w:instrText>
      </w:r>
      <w:r w:rsidRPr="00F171A3">
        <w:fldChar w:fldCharType="separate"/>
      </w:r>
      <w:r w:rsidR="005A6DD8">
        <w:rPr>
          <w:noProof/>
        </w:rPr>
        <w:t>7</w:t>
      </w:r>
      <w:r w:rsidRPr="00F171A3">
        <w:fldChar w:fldCharType="end"/>
      </w:r>
      <w:r w:rsidRPr="00F171A3">
        <w:t xml:space="preserve"> </w:t>
      </w:r>
      <w:r w:rsidRPr="00F171A3">
        <w:rPr>
          <w:szCs w:val="18"/>
        </w:rPr>
        <w:t>Proiectele în curs de implementare în cadrul Obiectivului general 3 -  Infrastructură urbană adaptată la nevoile actuale și viitoare</w:t>
      </w:r>
      <w:bookmarkEnd w:id="57"/>
    </w:p>
    <w:tbl>
      <w:tblPr>
        <w:tblStyle w:val="Civittatable9"/>
        <w:tblW w:w="0" w:type="auto"/>
        <w:tblInd w:w="108" w:type="dxa"/>
        <w:tblLook w:val="0480" w:firstRow="0" w:lastRow="0" w:firstColumn="1" w:lastColumn="0" w:noHBand="0" w:noVBand="1"/>
      </w:tblPr>
      <w:tblGrid>
        <w:gridCol w:w="4611"/>
        <w:gridCol w:w="4717"/>
      </w:tblGrid>
      <w:tr w:rsidR="0090099C" w:rsidRPr="00F171A3" w14:paraId="654FCCA8" w14:textId="77777777" w:rsidTr="002F5F8B">
        <w:trPr>
          <w:cnfStyle w:val="000000100000" w:firstRow="0" w:lastRow="0" w:firstColumn="0" w:lastColumn="0" w:oddVBand="0" w:evenVBand="0" w:oddHBand="1" w:evenHBand="0" w:firstRowFirstColumn="0" w:firstRowLastColumn="0" w:lastRowFirstColumn="0" w:lastRowLastColumn="0"/>
        </w:trPr>
        <w:tc>
          <w:tcPr>
            <w:tcW w:w="4611" w:type="dxa"/>
            <w:vAlign w:val="center"/>
          </w:tcPr>
          <w:p w14:paraId="7E1C81AB"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Plan coordonator rețele tehnico-edilitare la nivelul Sectorului 2 (2018 - 2023)</w:t>
            </w:r>
          </w:p>
          <w:p w14:paraId="26A769B2"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reabilitare infrastructură apă-canal la nivelul Sectorului 2</w:t>
            </w:r>
          </w:p>
          <w:p w14:paraId="7F8E8CC7"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extindere infrastructură apă-canal pe străzile unde aceasta lipsește la nivelul Sectorului 2 (circa 9 km)</w:t>
            </w:r>
          </w:p>
          <w:p w14:paraId="1ABBBA90"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extindere sisteme separate canalizare pluvial - menajer în cartierele din zona salbei de lacuri</w:t>
            </w:r>
          </w:p>
          <w:p w14:paraId="2EF0DAFD"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Platforme depozitare zăpadă în Sectorul 2: identificare terenuri și amenajare</w:t>
            </w:r>
          </w:p>
          <w:p w14:paraId="690DE9FC"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colectare selectivă a deșeurilor la nivelul Sectorului 2</w:t>
            </w:r>
          </w:p>
          <w:p w14:paraId="55D64CBA"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Proiect de conștientizare a populației cu privire la importanța colectării selective a deșeurilor menajere</w:t>
            </w:r>
          </w:p>
        </w:tc>
        <w:tc>
          <w:tcPr>
            <w:tcW w:w="4717" w:type="dxa"/>
            <w:vAlign w:val="center"/>
          </w:tcPr>
          <w:p w14:paraId="194A4FCB"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Oferirea de facilități fiscale (reducere taxă salubritate) pentru asociațiile de proprietari unde colectarea selectivă este realizată corect</w:t>
            </w:r>
          </w:p>
          <w:p w14:paraId="52E3D884"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Aplicare sancțiuni pentru nerespectarea Hotărârilor Consiliului Local cu privire la gestiunea deșeurilor pe teritoriul Sectorului 2</w:t>
            </w:r>
          </w:p>
          <w:p w14:paraId="09F61B85"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de deratizare cu frecvență semestrială la nivelul Sectorului 2</w:t>
            </w:r>
          </w:p>
          <w:p w14:paraId="418A6F72"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Campanii lunare de colectare a deșeurilor voluminoase / DEEE</w:t>
            </w:r>
          </w:p>
          <w:p w14:paraId="76E22FBE"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Refacerea sistemului de colectare a deșeurilor municipale stradale</w:t>
            </w:r>
          </w:p>
          <w:p w14:paraId="5E4E893A"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Amenajare autogară în zona Gara Obor</w:t>
            </w:r>
          </w:p>
          <w:p w14:paraId="05F363FE"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multianual de amenajare de parcări rezidenţiale multietajate</w:t>
            </w:r>
          </w:p>
        </w:tc>
      </w:tr>
    </w:tbl>
    <w:p w14:paraId="416B2A83"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474AC97E"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Pentru abordarea obiectivului general, proiectele propuse stau la baza celor 5 obiective specifice. În cadrul acestora, până la momentul actual sunt finalizate următoarele proiecte, iar proiectele prezentate în tabelul anterior urmează să fie finalizate: </w:t>
      </w:r>
      <w:r w:rsidRPr="00F171A3">
        <w:rPr>
          <w:rFonts w:cstheme="minorHAnsi"/>
          <w:szCs w:val="20"/>
          <w:lang w:eastAsia="ja-JP"/>
        </w:rPr>
        <w:tab/>
      </w:r>
      <w:r w:rsidRPr="00F171A3">
        <w:rPr>
          <w:rFonts w:cstheme="minorHAnsi"/>
          <w:szCs w:val="20"/>
          <w:lang w:eastAsia="ja-JP"/>
        </w:rPr>
        <w:tab/>
      </w:r>
    </w:p>
    <w:p w14:paraId="1B20C1D0"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 xml:space="preserve">3.2 Infrastructură rutieră care să asigure o bună conectivitate la nivelul sectorului – proiecte finalizate: </w:t>
      </w:r>
    </w:p>
    <w:p w14:paraId="52B816A3" w14:textId="77777777" w:rsidR="0090099C" w:rsidRPr="00F171A3" w:rsidRDefault="0090099C">
      <w:pPr>
        <w:pStyle w:val="Bulet"/>
        <w:spacing w:before="144" w:after="144"/>
        <w:ind w:left="1080"/>
        <w:rPr>
          <w:sz w:val="22"/>
        </w:rPr>
      </w:pPr>
      <w:r w:rsidRPr="00F171A3">
        <w:rPr>
          <w:sz w:val="22"/>
        </w:rPr>
        <w:t xml:space="preserve">Extindere și modernizare Str. Ştiucii; </w:t>
      </w:r>
    </w:p>
    <w:p w14:paraId="7B494F64" w14:textId="77777777" w:rsidR="0090099C" w:rsidRPr="00F171A3" w:rsidRDefault="0090099C">
      <w:pPr>
        <w:pStyle w:val="Bulet"/>
        <w:spacing w:before="144" w:after="144"/>
        <w:ind w:left="1080"/>
        <w:rPr>
          <w:sz w:val="22"/>
        </w:rPr>
      </w:pPr>
      <w:r w:rsidRPr="00F171A3">
        <w:rPr>
          <w:sz w:val="22"/>
        </w:rPr>
        <w:t xml:space="preserve">Lărgire str. Fabrica de Glucoză; </w:t>
      </w:r>
    </w:p>
    <w:p w14:paraId="4677A9E9" w14:textId="77777777" w:rsidR="0090099C" w:rsidRPr="00F171A3" w:rsidRDefault="0090099C">
      <w:pPr>
        <w:pStyle w:val="Bulet"/>
        <w:spacing w:before="144" w:after="144"/>
        <w:ind w:left="1080"/>
        <w:rPr>
          <w:sz w:val="22"/>
        </w:rPr>
      </w:pPr>
      <w:r w:rsidRPr="00F171A3">
        <w:rPr>
          <w:sz w:val="22"/>
        </w:rPr>
        <w:t>Racordare str. Fabrica de Glucoză cu ultimul tronson din A3;</w:t>
      </w:r>
    </w:p>
    <w:p w14:paraId="77BE2FC6" w14:textId="77777777" w:rsidR="0090099C" w:rsidRPr="00F171A3" w:rsidRDefault="0090099C">
      <w:pPr>
        <w:pStyle w:val="Bulet"/>
        <w:spacing w:before="144" w:after="144"/>
        <w:ind w:left="1080"/>
        <w:rPr>
          <w:sz w:val="22"/>
        </w:rPr>
      </w:pPr>
      <w:r w:rsidRPr="00F171A3">
        <w:rPr>
          <w:sz w:val="22"/>
        </w:rPr>
        <w:t xml:space="preserve">Reconfigurare Str. Gherghiţei. </w:t>
      </w:r>
    </w:p>
    <w:p w14:paraId="563BC0DB"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b/>
          <w:szCs w:val="20"/>
          <w:lang w:eastAsia="ja-JP"/>
        </w:rPr>
        <w:t>Extinderea și modernizarea străzii Știucii</w:t>
      </w:r>
      <w:r w:rsidRPr="00F171A3">
        <w:rPr>
          <w:rFonts w:cstheme="minorHAnsi"/>
          <w:szCs w:val="20"/>
          <w:lang w:eastAsia="ja-JP"/>
        </w:rPr>
        <w:t xml:space="preserve"> a fost realizat conform informațiilor până la Comuna Dobroești, iar proiectul de </w:t>
      </w:r>
      <w:r w:rsidRPr="00F171A3">
        <w:rPr>
          <w:rFonts w:cstheme="minorHAnsi"/>
          <w:b/>
          <w:szCs w:val="20"/>
          <w:lang w:eastAsia="ja-JP"/>
        </w:rPr>
        <w:t>lărgire a străzii Fabrica de Glucoză</w:t>
      </w:r>
      <w:r w:rsidRPr="00F171A3">
        <w:rPr>
          <w:rFonts w:cstheme="minorHAnsi"/>
          <w:szCs w:val="20"/>
          <w:lang w:eastAsia="ja-JP"/>
        </w:rPr>
        <w:t xml:space="preserve"> și de </w:t>
      </w:r>
      <w:r w:rsidRPr="00F171A3">
        <w:rPr>
          <w:rFonts w:cstheme="minorHAnsi"/>
          <w:b/>
          <w:szCs w:val="20"/>
          <w:lang w:eastAsia="ja-JP"/>
        </w:rPr>
        <w:t>racordare a străzii Fabrica de Glucoză cu ultimul tronson din A3</w:t>
      </w:r>
      <w:r w:rsidRPr="00F171A3">
        <w:rPr>
          <w:rFonts w:cstheme="minorHAnsi"/>
          <w:szCs w:val="20"/>
          <w:lang w:eastAsia="ja-JP"/>
        </w:rPr>
        <w:t xml:space="preserve"> reprezintă unul dintre cele mai mari proiecte de infrastructură rutieră din Nordul Capitalei. Proiectul presupune lărgirea la 4 benzi, două pentru fiecare sens de circulaţie, a arterei de 1,8 km lungime, între şoseaua Petricani – Nod A3 și Calea Floreasca. Fiecare bandă are 3,5 metri lăţime, iar trotuarele includ și o pistă pentru biciclişti cu o lăţime de 1,5 metri pentru fiecare sens. De asemenea, a fost realizată și legătura dintre autostrada A3 și </w:t>
      </w:r>
      <w:r w:rsidRPr="00F171A3">
        <w:rPr>
          <w:rFonts w:cstheme="minorHAnsi"/>
          <w:b/>
          <w:szCs w:val="20"/>
          <w:lang w:eastAsia="ja-JP"/>
        </w:rPr>
        <w:t>strada Gherghiţei</w:t>
      </w:r>
      <w:r w:rsidRPr="00F171A3">
        <w:rPr>
          <w:rFonts w:cstheme="minorHAnsi"/>
          <w:szCs w:val="20"/>
          <w:lang w:eastAsia="ja-JP"/>
        </w:rPr>
        <w:t xml:space="preserve"> prin </w:t>
      </w:r>
      <w:r w:rsidRPr="00F171A3">
        <w:rPr>
          <w:rFonts w:cstheme="minorHAnsi"/>
          <w:b/>
          <w:szCs w:val="20"/>
          <w:lang w:eastAsia="ja-JP"/>
        </w:rPr>
        <w:t>reconfigurarea acesteia</w:t>
      </w:r>
      <w:r w:rsidRPr="00F171A3">
        <w:rPr>
          <w:rFonts w:cstheme="minorHAnsi"/>
          <w:szCs w:val="20"/>
          <w:lang w:eastAsia="ja-JP"/>
        </w:rPr>
        <w:t xml:space="preserve">. </w:t>
      </w:r>
    </w:p>
    <w:p w14:paraId="4D626A33"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Proiectele finalizate contribuie la rezolvarea problemelor de conectivitate prin extindere, modernizare, racordare sau reconfigurare, astfel încât legăturile rutiere sau pietonale sa faciliteze o conexiune eficientă și performantă la nivelul Sectorului 2. </w:t>
      </w:r>
    </w:p>
    <w:p w14:paraId="5390FBCB"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Despre restul obiectivelor specifice prezentate, nu există date care să ateste proiecte deja finalizate la nivelul Primăriei Sectorului 2, dar totuși, în cadrul acestora există proiecte în curs de implementare care urmează să fie finalizate. De asemenea, acest lucru nu exclude implementarea unor proiecte de către Primăria Municipiului București, având în vedere faptul că aceasta gestionează cea mai mare parte a arterelor, străzilor și străzilor cu transport public.  </w:t>
      </w:r>
    </w:p>
    <w:p w14:paraId="7C188FB5"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3.1 Infrastructură tehnico-edilitară ce răspunde nevoilor populației;</w:t>
      </w:r>
    </w:p>
    <w:p w14:paraId="554E0159"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3.3 Infrastructură adecvată care să susţină modalităţile de deplasare cu emisii scăzute;</w:t>
      </w:r>
      <w:r w:rsidRPr="00F171A3">
        <w:rPr>
          <w:rFonts w:eastAsia="MS Gothic"/>
          <w:b/>
          <w:bCs/>
          <w:color w:val="134753" w:themeColor="text2"/>
          <w:szCs w:val="20"/>
          <w:lang w:eastAsia="en-GB"/>
        </w:rPr>
        <w:tab/>
      </w:r>
    </w:p>
    <w:p w14:paraId="2C969112"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3.4 Gestiune eficientă a mobilităţii prin utilizarea de instrumente de Tehnologia Informaţiei și Comunicaţiilor (TIC);</w:t>
      </w:r>
    </w:p>
    <w:p w14:paraId="27481BEF"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3.5 Reţea de parcaje rezidenţiale și de transfer care să satisfacă nevoia de parcare.</w:t>
      </w:r>
    </w:p>
    <w:p w14:paraId="4BFF65A0" w14:textId="77777777" w:rsidR="002F5F8B" w:rsidRPr="00F171A3" w:rsidRDefault="002F5F8B" w:rsidP="0090099C">
      <w:pPr>
        <w:spacing w:beforeLines="60" w:before="144" w:afterLines="60" w:after="144"/>
        <w:rPr>
          <w:rFonts w:cstheme="minorHAnsi"/>
          <w:b/>
          <w:color w:val="134753" w:themeColor="accent2"/>
          <w:szCs w:val="20"/>
          <w:lang w:eastAsia="ja-JP"/>
        </w:rPr>
      </w:pPr>
    </w:p>
    <w:p w14:paraId="146462BD" w14:textId="4720AFA7" w:rsidR="0090099C" w:rsidRPr="00F171A3" w:rsidRDefault="0090099C" w:rsidP="0090099C">
      <w:pPr>
        <w:spacing w:beforeLines="60" w:before="144" w:afterLines="60" w:after="144"/>
        <w:rPr>
          <w:rFonts w:cstheme="minorHAnsi"/>
          <w:szCs w:val="20"/>
          <w:lang w:eastAsia="ja-JP"/>
        </w:rPr>
      </w:pPr>
      <w:r w:rsidRPr="00F171A3">
        <w:rPr>
          <w:rFonts w:cstheme="minorHAnsi"/>
          <w:b/>
          <w:color w:val="134753" w:themeColor="accent2"/>
          <w:szCs w:val="20"/>
          <w:lang w:eastAsia="ja-JP"/>
        </w:rPr>
        <w:t>O4. SECTOR 2 - MODEL DE DEZVOLTARE SISTEM ALBASTRU-VERDE</w:t>
      </w:r>
      <w:r w:rsidRPr="00F171A3">
        <w:rPr>
          <w:rFonts w:cstheme="minorHAnsi"/>
          <w:szCs w:val="20"/>
          <w:lang w:eastAsia="ja-JP"/>
        </w:rPr>
        <w:t xml:space="preserve"> </w:t>
      </w:r>
      <w:r w:rsidRPr="00F171A3">
        <w:rPr>
          <w:rFonts w:cstheme="minorHAnsi"/>
          <w:b/>
          <w:color w:val="134753" w:themeColor="accent2"/>
          <w:szCs w:val="20"/>
          <w:lang w:eastAsia="ja-JP"/>
        </w:rPr>
        <w:t>|</w:t>
      </w:r>
      <w:r w:rsidRPr="00F171A3">
        <w:rPr>
          <w:rFonts w:cstheme="minorHAnsi"/>
          <w:szCs w:val="20"/>
          <w:lang w:eastAsia="ja-JP"/>
        </w:rPr>
        <w:t xml:space="preserve"> Obiectivul general 4 propune măsuri și investiții prin 37 de proiecte, dintre care Primăria Sectorului 2 este solicitant sau partener pentru toate acestea.  Bugetul total alocat celor 37 de proiecte este de 353 de milioane de lei, respectiv 79 de milioane de euro. </w:t>
      </w:r>
    </w:p>
    <w:p w14:paraId="6A2CA800"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Obiectivul general 4 are în vedere o dezvoltare a Sectorului 2 bazată pe crearea unui sistem verde albastru coerent, care să valorifice potențialul oferit de cadrul natural (salba de lacuri de pe râul Colentina) și să consolideze rețeaua de spații verzi și baze sportive și de agrement existentă pe teritoriul Sectorului.</w:t>
      </w:r>
    </w:p>
    <w:p w14:paraId="4E3602CF"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În cadrul direcțiilor de acțiune cu scopul concretizării  viziunii specifice obiectivului general 4 au fost implementate până la acest moment 5,4% (2 proiecte) din totalul proiectelor propuse în cadrul strategiei, 32,4% (12 proiecte) se află în curs de implementare, iar referitor la restul de 62,2%, nu există informații care să susțină realizarea activităților care stau la baza implementării acestora până la acest moment. </w:t>
      </w:r>
    </w:p>
    <w:p w14:paraId="20408928" w14:textId="605080B1" w:rsidR="0005757F" w:rsidRPr="00F171A3" w:rsidRDefault="0005757F" w:rsidP="0005757F">
      <w:pPr>
        <w:pStyle w:val="Caption"/>
      </w:pPr>
      <w:bookmarkStart w:id="58" w:name="_Toc127198002"/>
      <w:r w:rsidRPr="00F171A3">
        <w:t xml:space="preserve">Figura </w:t>
      </w:r>
      <w:r w:rsidRPr="00F171A3">
        <w:fldChar w:fldCharType="begin"/>
      </w:r>
      <w:r w:rsidRPr="00F171A3">
        <w:instrText xml:space="preserve"> SEQ Figura \* ARABIC </w:instrText>
      </w:r>
      <w:r w:rsidRPr="00F171A3">
        <w:fldChar w:fldCharType="separate"/>
      </w:r>
      <w:r w:rsidR="005A6DD8">
        <w:rPr>
          <w:noProof/>
        </w:rPr>
        <w:t>14</w:t>
      </w:r>
      <w:r w:rsidRPr="00F171A3">
        <w:fldChar w:fldCharType="end"/>
      </w:r>
      <w:r w:rsidRPr="00F171A3">
        <w:t xml:space="preserve"> </w:t>
      </w:r>
      <w:r w:rsidRPr="00F171A3">
        <w:rPr>
          <w:szCs w:val="18"/>
        </w:rPr>
        <w:t>Gradul de implementare al proiectelor specifice Obiectivului general 4 -  Sector 2 - model de dezvoltare sistem albastru-verde</w:t>
      </w:r>
      <w:bookmarkEnd w:id="58"/>
    </w:p>
    <w:p w14:paraId="414D9993"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466C4B86" wp14:editId="439A2859">
            <wp:extent cx="5971430" cy="2274073"/>
            <wp:effectExtent l="0" t="0" r="0" b="0"/>
            <wp:docPr id="25647" name="Chart 256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9097604"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5B015A95" w14:textId="28F4C6A2"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Proiectele deja finalizate din cadrul Obiectivului general 4 sunt prezentate în tabelul de mai jos, iar alocarea acestora din totalul bugetului estimat dedicat obiectivului este de 4,6%, respectiv 16.391.000  mil</w:t>
      </w:r>
      <w:r w:rsidR="0005757F" w:rsidRPr="00F171A3">
        <w:rPr>
          <w:rFonts w:cstheme="minorHAnsi"/>
          <w:szCs w:val="20"/>
          <w:lang w:eastAsia="ja-JP"/>
        </w:rPr>
        <w:t>.</w:t>
      </w:r>
      <w:r w:rsidRPr="00F171A3">
        <w:rPr>
          <w:rFonts w:cstheme="minorHAnsi"/>
          <w:szCs w:val="20"/>
          <w:lang w:eastAsia="ja-JP"/>
        </w:rPr>
        <w:t xml:space="preserve"> lei.</w:t>
      </w:r>
    </w:p>
    <w:p w14:paraId="56A7CD2C" w14:textId="2ADDB510" w:rsidR="0005757F" w:rsidRPr="00F171A3" w:rsidRDefault="0005757F" w:rsidP="0005757F">
      <w:pPr>
        <w:pStyle w:val="Caption"/>
      </w:pPr>
      <w:bookmarkStart w:id="59" w:name="_Toc126943265"/>
      <w:r w:rsidRPr="00F171A3">
        <w:t xml:space="preserve">Tabel </w:t>
      </w:r>
      <w:r w:rsidRPr="00F171A3">
        <w:fldChar w:fldCharType="begin"/>
      </w:r>
      <w:r w:rsidRPr="00F171A3">
        <w:instrText xml:space="preserve"> SEQ Tabel \* ARABIC </w:instrText>
      </w:r>
      <w:r w:rsidRPr="00F171A3">
        <w:fldChar w:fldCharType="separate"/>
      </w:r>
      <w:r w:rsidR="005A6DD8">
        <w:rPr>
          <w:noProof/>
        </w:rPr>
        <w:t>8</w:t>
      </w:r>
      <w:r w:rsidRPr="00F171A3">
        <w:fldChar w:fldCharType="end"/>
      </w:r>
      <w:r w:rsidRPr="00F171A3">
        <w:t xml:space="preserve"> </w:t>
      </w:r>
      <w:r w:rsidRPr="00F171A3">
        <w:rPr>
          <w:szCs w:val="18"/>
        </w:rPr>
        <w:t>Proiectele finalizate în cadrul Obiectivului general 4 -  Sector 2 - model de dezvoltare sistem albastru-verde</w:t>
      </w:r>
      <w:bookmarkEnd w:id="59"/>
    </w:p>
    <w:tbl>
      <w:tblPr>
        <w:tblStyle w:val="Civittatable9"/>
        <w:tblW w:w="0" w:type="auto"/>
        <w:tblInd w:w="-5" w:type="dxa"/>
        <w:tblLook w:val="0480" w:firstRow="0" w:lastRow="0" w:firstColumn="1" w:lastColumn="0" w:noHBand="0" w:noVBand="1"/>
      </w:tblPr>
      <w:tblGrid>
        <w:gridCol w:w="4720"/>
        <w:gridCol w:w="4721"/>
      </w:tblGrid>
      <w:tr w:rsidR="0090099C" w:rsidRPr="00F171A3" w14:paraId="427E4335" w14:textId="77777777" w:rsidTr="002F5F8B">
        <w:trPr>
          <w:cnfStyle w:val="000000100000" w:firstRow="0" w:lastRow="0" w:firstColumn="0" w:lastColumn="0" w:oddVBand="0" w:evenVBand="0" w:oddHBand="1" w:evenHBand="0" w:firstRowFirstColumn="0" w:firstRowLastColumn="0" w:lastRowFirstColumn="0" w:lastRowLastColumn="0"/>
        </w:trPr>
        <w:tc>
          <w:tcPr>
            <w:tcW w:w="9441" w:type="dxa"/>
            <w:gridSpan w:val="2"/>
            <w:shd w:val="clear" w:color="auto" w:fill="134753" w:themeFill="text2"/>
            <w:vAlign w:val="center"/>
          </w:tcPr>
          <w:p w14:paraId="4AF20A34" w14:textId="6214E2F6" w:rsidR="0090099C" w:rsidRPr="00F171A3" w:rsidRDefault="002F5F8B" w:rsidP="002F5F8B">
            <w:pPr>
              <w:spacing w:after="0"/>
              <w:ind w:left="360"/>
              <w:jc w:val="center"/>
              <w:rPr>
                <w:rFonts w:cstheme="minorHAnsi"/>
                <w:b/>
                <w:bCs/>
                <w:color w:val="FFFFFF" w:themeColor="background1"/>
                <w:lang w:eastAsia="ja-JP"/>
              </w:rPr>
            </w:pPr>
            <w:r w:rsidRPr="00F171A3">
              <w:rPr>
                <w:b/>
                <w:bCs/>
                <w:color w:val="FFFFFF" w:themeColor="background1"/>
              </w:rPr>
              <w:t xml:space="preserve">BUGETUL ALOCAT PROIECTELOR ÎN STRATEGIA DE DEZVOLTARE LOCALĂ INTEGRATĂ ȘI DURABILĂ A SECTORULUI 2 PENTRU PERIOADA 2016 – 2025   - </w:t>
            </w:r>
            <w:r w:rsidRPr="00F171A3">
              <w:rPr>
                <w:rFonts w:cstheme="minorHAnsi"/>
                <w:b/>
                <w:bCs/>
                <w:color w:val="FFFFFF" w:themeColor="background1"/>
                <w:lang w:eastAsia="ja-JP"/>
              </w:rPr>
              <w:t>16.391.000  MILIOANE DE LEI</w:t>
            </w:r>
          </w:p>
        </w:tc>
      </w:tr>
      <w:tr w:rsidR="0090099C" w:rsidRPr="00F171A3" w14:paraId="3F04FBB9" w14:textId="77777777" w:rsidTr="002F5F8B">
        <w:trPr>
          <w:cnfStyle w:val="000000010000" w:firstRow="0" w:lastRow="0" w:firstColumn="0" w:lastColumn="0" w:oddVBand="0" w:evenVBand="0" w:oddHBand="0" w:evenHBand="1" w:firstRowFirstColumn="0" w:firstRowLastColumn="0" w:lastRowFirstColumn="0" w:lastRowLastColumn="0"/>
        </w:trPr>
        <w:tc>
          <w:tcPr>
            <w:tcW w:w="4720" w:type="dxa"/>
            <w:vAlign w:val="center"/>
          </w:tcPr>
          <w:p w14:paraId="00E52BB0"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 Parcul Sticlăriei - parc ecologic</w:t>
            </w:r>
          </w:p>
        </w:tc>
        <w:tc>
          <w:tcPr>
            <w:tcW w:w="4721" w:type="dxa"/>
            <w:vAlign w:val="center"/>
          </w:tcPr>
          <w:p w14:paraId="72C9B3D6"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Realizare axă verde Arena Națională - Parcul Florilor - Parcul Morarilor - Parcul Sticlăriei</w:t>
            </w:r>
          </w:p>
        </w:tc>
      </w:tr>
    </w:tbl>
    <w:p w14:paraId="3D39CBA3"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6D46077A"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Cele 12 proiecte din cadrul Obiectivului general 4 -  Sector 2 - model de dezvoltare sistem albastru-verde aflate în curs de implementare sunt centralizate în tabelul de mai jos, iar acestea vizează în special amenajarea zonelor de mal, amenajarea spațiilor verzi, amenajarea parcărilor din cadrul zonelor rezidente, precum și extinderea sistemelor de irigații și reabilitarea Parcului Național. </w:t>
      </w:r>
    </w:p>
    <w:p w14:paraId="13C37E07" w14:textId="7EC571E6" w:rsidR="0005757F" w:rsidRPr="00F171A3" w:rsidRDefault="0005757F" w:rsidP="0005757F">
      <w:pPr>
        <w:pStyle w:val="Caption"/>
      </w:pPr>
      <w:bookmarkStart w:id="60" w:name="_Toc126943266"/>
      <w:r w:rsidRPr="00F171A3">
        <w:t xml:space="preserve">Tabel </w:t>
      </w:r>
      <w:r w:rsidRPr="00F171A3">
        <w:fldChar w:fldCharType="begin"/>
      </w:r>
      <w:r w:rsidRPr="00F171A3">
        <w:instrText xml:space="preserve"> SEQ Tabel \* ARABIC </w:instrText>
      </w:r>
      <w:r w:rsidRPr="00F171A3">
        <w:fldChar w:fldCharType="separate"/>
      </w:r>
      <w:r w:rsidR="005A6DD8">
        <w:rPr>
          <w:noProof/>
        </w:rPr>
        <w:t>9</w:t>
      </w:r>
      <w:r w:rsidRPr="00F171A3">
        <w:fldChar w:fldCharType="end"/>
      </w:r>
      <w:r w:rsidRPr="00F171A3">
        <w:t xml:space="preserve"> </w:t>
      </w:r>
      <w:r w:rsidRPr="00F171A3">
        <w:rPr>
          <w:szCs w:val="18"/>
        </w:rPr>
        <w:t>Proiectele în curs de implementare în cadrul Obiectivului general 4 -  Sector 2 - model de dezvoltare sistem albastru-verde</w:t>
      </w:r>
      <w:bookmarkEnd w:id="60"/>
    </w:p>
    <w:tbl>
      <w:tblPr>
        <w:tblStyle w:val="Civittatable9"/>
        <w:tblW w:w="0" w:type="auto"/>
        <w:tblInd w:w="-5" w:type="dxa"/>
        <w:tblLook w:val="0480" w:firstRow="0" w:lastRow="0" w:firstColumn="1" w:lastColumn="0" w:noHBand="0" w:noVBand="1"/>
      </w:tblPr>
      <w:tblGrid>
        <w:gridCol w:w="4720"/>
        <w:gridCol w:w="4721"/>
      </w:tblGrid>
      <w:tr w:rsidR="0090099C" w:rsidRPr="00F171A3" w14:paraId="2E9E7254" w14:textId="77777777" w:rsidTr="002F5F8B">
        <w:trPr>
          <w:cnfStyle w:val="000000100000" w:firstRow="0" w:lastRow="0" w:firstColumn="0" w:lastColumn="0" w:oddVBand="0" w:evenVBand="0" w:oddHBand="1" w:evenHBand="0" w:firstRowFirstColumn="0" w:firstRowLastColumn="0" w:lastRowFirstColumn="0" w:lastRowLastColumn="0"/>
        </w:trPr>
        <w:tc>
          <w:tcPr>
            <w:tcW w:w="4720" w:type="dxa"/>
            <w:vAlign w:val="center"/>
          </w:tcPr>
          <w:p w14:paraId="4DF37FDD"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complex de amenajare maluri - etapa I Lacurile Fundeni și Dobroești (inclusiv insulă lac Fundeni)</w:t>
            </w:r>
          </w:p>
          <w:p w14:paraId="117D1D9A"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complex de amenajare maluri - etapa II Lacurile Tei și Plumbuita</w:t>
            </w:r>
          </w:p>
          <w:p w14:paraId="07E54808"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Revitalizare scuaruri existente și amenajare aliniamente stradale - axa Str. Vasile Lascăr - Str. Viitorului - Str. Icoanei</w:t>
            </w:r>
          </w:p>
          <w:p w14:paraId="02091F65"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Revitalizare scuaruri existente și amenajare aliniamente stradale - axa Str. Țepeș Vodă - Str. Frunzei</w:t>
            </w:r>
          </w:p>
          <w:p w14:paraId="330619EB"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Realizare parteneriate cu asociațiile de proprietari în vederea amenajării spațiilor verzi din cartiere</w:t>
            </w:r>
          </w:p>
        </w:tc>
        <w:tc>
          <w:tcPr>
            <w:tcW w:w="4721" w:type="dxa"/>
            <w:vAlign w:val="center"/>
          </w:tcPr>
          <w:p w14:paraId="0C1D1701"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Alei pietonale </w:t>
            </w:r>
          </w:p>
          <w:p w14:paraId="5308488B"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Parcuri rezidențiale</w:t>
            </w:r>
          </w:p>
          <w:p w14:paraId="7FD3EBC3"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Străzi + parcări </w:t>
            </w:r>
          </w:p>
          <w:p w14:paraId="00088DEE"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Parcări rezidențiale </w:t>
            </w:r>
          </w:p>
          <w:p w14:paraId="6339A120"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Program de extindere sisteme de irigații în spațiile verzi publice din Sector - etapa I parcuri</w:t>
            </w:r>
          </w:p>
          <w:p w14:paraId="34E73546"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Extindere sisteme de irigații în spațiile verzi publice din Sector - etapa II scuaruri, platbande, spații verzi din zona locuințelor colective</w:t>
            </w:r>
          </w:p>
          <w:p w14:paraId="24F38E15"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 Parcul Național</w:t>
            </w:r>
          </w:p>
        </w:tc>
      </w:tr>
    </w:tbl>
    <w:p w14:paraId="0F94CAEC"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5A39815F"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Dintre cele 3 obiective specifice prezentului obiectiv general, proiectele deja finalizate stau la baza obiectivului specific pentru realizarea unui sistem de spații verzi la nivelul Sectorului 2 extins și consolidat:</w:t>
      </w:r>
    </w:p>
    <w:p w14:paraId="6B24F7D8"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 xml:space="preserve">4.2 Sistem de spații verzi la nivelul Sectorului 2 extins și consolidat– proiecte finalizate: </w:t>
      </w:r>
    </w:p>
    <w:p w14:paraId="04450D9D" w14:textId="77777777" w:rsidR="0090099C" w:rsidRPr="00F171A3" w:rsidRDefault="0090099C">
      <w:pPr>
        <w:pStyle w:val="Bulet"/>
        <w:spacing w:before="144" w:after="144"/>
        <w:ind w:left="1080"/>
        <w:rPr>
          <w:sz w:val="22"/>
        </w:rPr>
      </w:pPr>
      <w:r w:rsidRPr="00F171A3">
        <w:rPr>
          <w:sz w:val="22"/>
        </w:rPr>
        <w:t xml:space="preserve">Reabilitare Parcul Sticlăriei - parc ecologic; </w:t>
      </w:r>
    </w:p>
    <w:p w14:paraId="6827E220" w14:textId="77777777" w:rsidR="0090099C" w:rsidRPr="00F171A3" w:rsidRDefault="0090099C">
      <w:pPr>
        <w:pStyle w:val="Bulet"/>
        <w:spacing w:before="144" w:after="144"/>
        <w:ind w:left="1080"/>
        <w:rPr>
          <w:sz w:val="22"/>
        </w:rPr>
      </w:pPr>
      <w:r w:rsidRPr="00F171A3">
        <w:rPr>
          <w:sz w:val="22"/>
        </w:rPr>
        <w:t>Realizare axă verde Arena Națională - Parcul Florilor - Parcul Morarilor - Parcul Sticlăriei.</w:t>
      </w:r>
    </w:p>
    <w:p w14:paraId="5D1AD844"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Proiectul </w:t>
      </w:r>
      <w:r w:rsidRPr="00F171A3">
        <w:rPr>
          <w:rFonts w:cstheme="minorHAnsi"/>
          <w:b/>
          <w:szCs w:val="20"/>
          <w:lang w:eastAsia="ja-JP"/>
        </w:rPr>
        <w:t>Parcului Sticlăriei</w:t>
      </w:r>
      <w:r w:rsidRPr="00F171A3">
        <w:rPr>
          <w:rFonts w:cstheme="minorHAnsi"/>
          <w:szCs w:val="20"/>
          <w:lang w:eastAsia="ja-JP"/>
        </w:rPr>
        <w:t xml:space="preserve"> reprezintă un parc ecologic si astfel, este dedicat naturii și activităților de agrement. Această zonă a fost reabilitată prin intervenții minimale deoarece trăiesc numeroase specii de păsări și animale având un important impact ecologic și cu potențial educațional pentru cei care pot descoperi și studia o multitudine de specii de animale și plante. Investițiile proiectului au presupus salubrizarea zonei, lucrări de iluminat public, amenajarea aleilor și montarea mobilierului urban. </w:t>
      </w:r>
    </w:p>
    <w:p w14:paraId="69E77F18"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Aceste proiecte produc un impact prin consolidarea sistemului de spații verzi la nivelul Sectorului 2 și prin crearea unor legături între spațiile verzi de dimensiuni mai mari existente și pentru a răspunde nevoilor populației atât din punct de vedere cantitativă, cât și din punct de vedere calitativ. </w:t>
      </w:r>
    </w:p>
    <w:p w14:paraId="7103A61D"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Totodată, următoarele 2 obiective specifice urmează să fie abordate de către proiecte prezentate în tabelul anterior care sunt în implementare și urmează așadar să fie finalizate:</w:t>
      </w:r>
    </w:p>
    <w:p w14:paraId="3408A40B"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4.1 Salba de lacuri de pe râul Colentina – axă de concentrare a activităților de agrement și loisir;</w:t>
      </w:r>
      <w:r w:rsidRPr="00F171A3">
        <w:rPr>
          <w:rFonts w:eastAsia="MS Gothic"/>
          <w:b/>
          <w:bCs/>
          <w:color w:val="134753" w:themeColor="text2"/>
          <w:szCs w:val="20"/>
          <w:lang w:eastAsia="en-GB"/>
        </w:rPr>
        <w:tab/>
      </w:r>
    </w:p>
    <w:p w14:paraId="4A89F710" w14:textId="02F4CE03"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4.3 Sectorul sportului.</w:t>
      </w:r>
    </w:p>
    <w:p w14:paraId="048FF1B4" w14:textId="77777777" w:rsidR="002F5F8B" w:rsidRPr="00F171A3" w:rsidRDefault="002F5F8B" w:rsidP="002F5F8B">
      <w:pPr>
        <w:spacing w:beforeLines="60" w:before="144" w:afterLines="60" w:after="144"/>
        <w:jc w:val="left"/>
        <w:rPr>
          <w:rFonts w:eastAsia="MS Gothic"/>
          <w:bCs/>
          <w:color w:val="134753" w:themeColor="text2"/>
          <w:szCs w:val="20"/>
          <w:lang w:eastAsia="en-GB"/>
        </w:rPr>
      </w:pPr>
    </w:p>
    <w:p w14:paraId="29D7FC14"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b/>
          <w:color w:val="134753" w:themeColor="accent2"/>
          <w:szCs w:val="20"/>
          <w:lang w:eastAsia="ja-JP"/>
        </w:rPr>
        <w:t>O5. ADMINISTRAȚIE PUBLICĂ PERFORMANTĂ</w:t>
      </w:r>
      <w:r w:rsidRPr="00F171A3">
        <w:rPr>
          <w:rFonts w:cstheme="minorHAnsi"/>
          <w:szCs w:val="20"/>
          <w:lang w:eastAsia="ja-JP"/>
        </w:rPr>
        <w:t xml:space="preserve"> </w:t>
      </w:r>
      <w:r w:rsidRPr="00F171A3">
        <w:rPr>
          <w:rFonts w:cstheme="minorHAnsi"/>
          <w:b/>
          <w:color w:val="134753" w:themeColor="accent2"/>
          <w:szCs w:val="20"/>
          <w:lang w:eastAsia="ja-JP"/>
        </w:rPr>
        <w:t>|</w:t>
      </w:r>
      <w:r w:rsidRPr="00F171A3">
        <w:rPr>
          <w:rFonts w:cstheme="minorHAnsi"/>
          <w:szCs w:val="20"/>
          <w:lang w:eastAsia="ja-JP"/>
        </w:rPr>
        <w:t xml:space="preserve"> Obiectivul general 5 propune măsuri și investiții prin 45 de proiecte, dintre care Primăria Sectorului 2 este solicitant sau partener pentru toate acestea. Bugetul total alocat celor 45 de proiecte este de 41 de milioane de lei, respectiv 9  milioane de euro.</w:t>
      </w:r>
      <w:r w:rsidRPr="00F171A3">
        <w:rPr>
          <w:rFonts w:cstheme="minorHAnsi"/>
          <w:szCs w:val="20"/>
          <w:lang w:eastAsia="ja-JP"/>
        </w:rPr>
        <w:tab/>
      </w:r>
    </w:p>
    <w:p w14:paraId="5DEE47E2"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O pondere de 22,2% (10 proiecte) din totalul proiectelor planificate care au la bază Obiectivului general 5 - Administrație publică performantă au fost implementate până în prezent. De asemenea, alte 15,6% (7 proiecte) sunt în curs de implementare, iar în cadrul celorlalte 62,2% nu au fost demarate încă. </w:t>
      </w:r>
    </w:p>
    <w:p w14:paraId="6E40856F" w14:textId="71D69D31" w:rsidR="0005757F" w:rsidRPr="00F171A3" w:rsidRDefault="0005757F" w:rsidP="0005757F">
      <w:pPr>
        <w:pStyle w:val="Caption"/>
      </w:pPr>
      <w:bookmarkStart w:id="61" w:name="_Toc127198003"/>
      <w:r w:rsidRPr="00F171A3">
        <w:t xml:space="preserve">Figura </w:t>
      </w:r>
      <w:r w:rsidRPr="00F171A3">
        <w:fldChar w:fldCharType="begin"/>
      </w:r>
      <w:r w:rsidRPr="00F171A3">
        <w:instrText xml:space="preserve"> SEQ Figura \* ARABIC </w:instrText>
      </w:r>
      <w:r w:rsidRPr="00F171A3">
        <w:fldChar w:fldCharType="separate"/>
      </w:r>
      <w:r w:rsidR="005A6DD8">
        <w:rPr>
          <w:noProof/>
        </w:rPr>
        <w:t>15</w:t>
      </w:r>
      <w:r w:rsidRPr="00F171A3">
        <w:fldChar w:fldCharType="end"/>
      </w:r>
      <w:r w:rsidRPr="00F171A3">
        <w:t xml:space="preserve"> </w:t>
      </w:r>
      <w:r w:rsidRPr="00F171A3">
        <w:rPr>
          <w:szCs w:val="18"/>
        </w:rPr>
        <w:t>Gradul de implementare al proiectelor specifice Obiectivului general 5 -  Administrație publică performantă</w:t>
      </w:r>
      <w:bookmarkEnd w:id="61"/>
    </w:p>
    <w:p w14:paraId="194880EC" w14:textId="7614A7C9" w:rsidR="0090099C" w:rsidRPr="00F171A3" w:rsidRDefault="0090099C" w:rsidP="0090099C">
      <w:pPr>
        <w:keepNext/>
        <w:spacing w:before="120"/>
        <w:ind w:left="360" w:hanging="360"/>
        <w:contextualSpacing/>
        <w:rPr>
          <w:b/>
          <w:bCs/>
          <w:color w:val="134753" w:themeColor="text2"/>
          <w:szCs w:val="18"/>
        </w:rPr>
      </w:pPr>
      <w:r w:rsidRPr="00F171A3">
        <w:rPr>
          <w:b/>
          <w:bCs/>
          <w:noProof/>
          <w:color w:val="134753" w:themeColor="text2"/>
          <w:szCs w:val="18"/>
        </w:rPr>
        <w:drawing>
          <wp:inline distT="0" distB="0" distL="0" distR="0" wp14:anchorId="0C0AC1EA" wp14:editId="13BDF0D9">
            <wp:extent cx="5963478" cy="2274073"/>
            <wp:effectExtent l="0" t="0" r="0" b="0"/>
            <wp:docPr id="25649" name="Chart 256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D868CB8"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7DD11E0C"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Cele 10 proiecte finalizate din cadrul Obiectivului general 5 Administrație publică performantă sunt prezentate în tabelul de mai jos. Din bugetul total estimat obiectivului general 5, acestea însumează conform strategiei circa 7,1%, respectiv 2.939.500  de milioane de lei. </w:t>
      </w:r>
    </w:p>
    <w:p w14:paraId="581ED382" w14:textId="5CFAB559" w:rsidR="0005757F" w:rsidRPr="00F171A3" w:rsidRDefault="0005757F" w:rsidP="0005757F">
      <w:pPr>
        <w:pStyle w:val="Caption"/>
      </w:pPr>
      <w:bookmarkStart w:id="62" w:name="_Toc126943267"/>
      <w:r w:rsidRPr="00F171A3">
        <w:t xml:space="preserve">Tabel </w:t>
      </w:r>
      <w:r w:rsidRPr="00F171A3">
        <w:fldChar w:fldCharType="begin"/>
      </w:r>
      <w:r w:rsidRPr="00F171A3">
        <w:instrText xml:space="preserve"> SEQ Tabel \* ARABIC </w:instrText>
      </w:r>
      <w:r w:rsidRPr="00F171A3">
        <w:fldChar w:fldCharType="separate"/>
      </w:r>
      <w:r w:rsidR="005A6DD8">
        <w:rPr>
          <w:noProof/>
        </w:rPr>
        <w:t>10</w:t>
      </w:r>
      <w:r w:rsidRPr="00F171A3">
        <w:fldChar w:fldCharType="end"/>
      </w:r>
      <w:r w:rsidRPr="00F171A3">
        <w:t xml:space="preserve"> </w:t>
      </w:r>
      <w:r w:rsidRPr="00F171A3">
        <w:rPr>
          <w:szCs w:val="18"/>
        </w:rPr>
        <w:t>Proiectele finalizate în cadrul Obiectivului general 5 -  Administrație publică performantă</w:t>
      </w:r>
      <w:bookmarkEnd w:id="62"/>
    </w:p>
    <w:tbl>
      <w:tblPr>
        <w:tblStyle w:val="Civittatable9"/>
        <w:tblW w:w="0" w:type="auto"/>
        <w:tblInd w:w="-5" w:type="dxa"/>
        <w:tblLook w:val="0480" w:firstRow="0" w:lastRow="0" w:firstColumn="1" w:lastColumn="0" w:noHBand="0" w:noVBand="1"/>
      </w:tblPr>
      <w:tblGrid>
        <w:gridCol w:w="4720"/>
        <w:gridCol w:w="4721"/>
      </w:tblGrid>
      <w:tr w:rsidR="0090099C" w:rsidRPr="00F171A3" w14:paraId="13ADFB85" w14:textId="77777777" w:rsidTr="002F5F8B">
        <w:trPr>
          <w:cnfStyle w:val="000000100000" w:firstRow="0" w:lastRow="0" w:firstColumn="0" w:lastColumn="0" w:oddVBand="0" w:evenVBand="0" w:oddHBand="1" w:evenHBand="0" w:firstRowFirstColumn="0" w:firstRowLastColumn="0" w:lastRowFirstColumn="0" w:lastRowLastColumn="0"/>
        </w:trPr>
        <w:tc>
          <w:tcPr>
            <w:tcW w:w="9441" w:type="dxa"/>
            <w:gridSpan w:val="2"/>
            <w:shd w:val="clear" w:color="auto" w:fill="134753" w:themeFill="text2"/>
            <w:vAlign w:val="center"/>
          </w:tcPr>
          <w:p w14:paraId="2CDF7591" w14:textId="54097D1B" w:rsidR="0090099C" w:rsidRPr="00F171A3" w:rsidRDefault="002F5F8B" w:rsidP="002F5F8B">
            <w:pPr>
              <w:spacing w:after="0"/>
              <w:ind w:left="360"/>
              <w:jc w:val="center"/>
              <w:rPr>
                <w:rFonts w:cstheme="minorHAnsi"/>
                <w:b/>
                <w:bCs/>
                <w:color w:val="FFFFFF" w:themeColor="background1"/>
                <w:lang w:eastAsia="ja-JP"/>
              </w:rPr>
            </w:pPr>
            <w:r w:rsidRPr="00F171A3">
              <w:rPr>
                <w:b/>
                <w:bCs/>
                <w:color w:val="FFFFFF" w:themeColor="background1"/>
              </w:rPr>
              <w:t xml:space="preserve">BUGETUL ALOCAT PROIECTELOR ÎN STRATEGIA DE DEZVOLTARE LOCALĂ INTEGRATĂ ȘI DURABILĂ A SECTORULUI 2 PENTRU PERIOADA 2016 – 2025   - </w:t>
            </w:r>
            <w:r w:rsidRPr="00F171A3">
              <w:rPr>
                <w:rFonts w:cstheme="minorHAnsi"/>
                <w:b/>
                <w:bCs/>
                <w:color w:val="FFFFFF" w:themeColor="background1"/>
                <w:lang w:eastAsia="ja-JP"/>
              </w:rPr>
              <w:t>2.939.500  MILIOANE DE LEI</w:t>
            </w:r>
          </w:p>
        </w:tc>
      </w:tr>
      <w:tr w:rsidR="0090099C" w:rsidRPr="00F171A3" w14:paraId="47184EBB" w14:textId="77777777" w:rsidTr="002F5F8B">
        <w:trPr>
          <w:cnfStyle w:val="000000010000" w:firstRow="0" w:lastRow="0" w:firstColumn="0" w:lastColumn="0" w:oddVBand="0" w:evenVBand="0" w:oddHBand="0" w:evenHBand="1" w:firstRowFirstColumn="0" w:firstRowLastColumn="0" w:lastRowFirstColumn="0" w:lastRowLastColumn="0"/>
        </w:trPr>
        <w:tc>
          <w:tcPr>
            <w:tcW w:w="4720" w:type="dxa"/>
            <w:vAlign w:val="center"/>
          </w:tcPr>
          <w:p w14:paraId="1496C781"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Realizarea și implementarea unui plan de perfecţionare continuă a salariaţilor, prin cursuri. Dezvoltarea unor programe de instruire proprii care să includă și cursuri online realizate cu personal propriu acolo unde este posibil, care să asigure minimul de specializare a personalului angajat încă din primele luni ale angajării și pe parcurs</w:t>
            </w:r>
          </w:p>
          <w:p w14:paraId="77705D74"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Participarea angajaţilor la un curs de formare pentru coordonarea și managementul proceselor și implicarea cetăţenilor</w:t>
            </w:r>
          </w:p>
          <w:p w14:paraId="2CBE10D2"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Proiect complex de creşterea competențelor autorităților publice locale în dezvoltarea serviciilor sociale și de economie socială în comunitate prin formarea de personal și schimb de experienţă internaţional</w:t>
            </w:r>
          </w:p>
          <w:p w14:paraId="12980E80"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Implementarea și promovarea modalităților disponibile  de plată de la distanță a impozitelor și taxelor locale în rândul contribuabililor</w:t>
            </w:r>
          </w:p>
        </w:tc>
        <w:tc>
          <w:tcPr>
            <w:tcW w:w="4721" w:type="dxa"/>
            <w:vAlign w:val="center"/>
          </w:tcPr>
          <w:p w14:paraId="6E70FF8A"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Informatizarea serviciului DGASPC Sector 2, inclusiv bază de date unică pentru toţi beneficiarii de servicii și prestaţii sociale</w:t>
            </w:r>
          </w:p>
          <w:p w14:paraId="0008566F"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Informatizarea stării civile</w:t>
            </w:r>
          </w:p>
          <w:p w14:paraId="5AE89932"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Reabilitarea termică a sediului Direcţiei Publice de Evidenţă Persoane și Stare Civilă Sector 2 Bucureşti din strada Olari nr. 19</w:t>
            </w:r>
          </w:p>
          <w:p w14:paraId="2849E7D6"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Stagii de practică pentru studenţii în administraţie publică</w:t>
            </w:r>
          </w:p>
          <w:p w14:paraId="364FC799"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Servicii de scanare și arhivare fizica/electronică a documentelor din arhiva istorică a CTV S2</w:t>
            </w:r>
          </w:p>
          <w:p w14:paraId="2DA8FDAB"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Introducerea semnăturii digitale în cadrul direcţiilor primăriei</w:t>
            </w:r>
          </w:p>
        </w:tc>
      </w:tr>
    </w:tbl>
    <w:p w14:paraId="0A912BF6"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7E502F8A" w14:textId="77777777" w:rsidR="0090099C" w:rsidRPr="00657CF7" w:rsidRDefault="0090099C" w:rsidP="0090099C">
      <w:pPr>
        <w:spacing w:beforeLines="60" w:before="144" w:afterLines="60" w:after="144"/>
        <w:rPr>
          <w:rFonts w:cstheme="minorHAnsi"/>
          <w:szCs w:val="20"/>
          <w:lang w:eastAsia="ja-JP"/>
        </w:rPr>
      </w:pPr>
      <w:r w:rsidRPr="00657CF7">
        <w:rPr>
          <w:rFonts w:cstheme="minorHAnsi"/>
          <w:szCs w:val="20"/>
          <w:lang w:eastAsia="ja-JP"/>
        </w:rPr>
        <w:t>Pentru îndeplinirea Obiectivului general 5 -  Administrație publică performantă, sunt în curs de implementare cele 7 proiecte prezentate în tabelul de mai jos. Acestea vizează atât intervenții de reabilitare, consolidare și modernizare ale sediilor administrative, cât și măsuri de digitalizare, de informare și de implementare a mecanismului de Bugetare participativă.</w:t>
      </w:r>
    </w:p>
    <w:p w14:paraId="534DBB5F" w14:textId="5AA4A691" w:rsidR="0005757F" w:rsidRPr="00F171A3" w:rsidRDefault="0005757F" w:rsidP="0005757F">
      <w:pPr>
        <w:pStyle w:val="Caption"/>
      </w:pPr>
      <w:bookmarkStart w:id="63" w:name="_Toc126943268"/>
      <w:r w:rsidRPr="00F171A3">
        <w:t xml:space="preserve">Tabel </w:t>
      </w:r>
      <w:r w:rsidRPr="00F171A3">
        <w:fldChar w:fldCharType="begin"/>
      </w:r>
      <w:r w:rsidRPr="00F171A3">
        <w:instrText xml:space="preserve"> SEQ Tabel \* ARABIC </w:instrText>
      </w:r>
      <w:r w:rsidRPr="00F171A3">
        <w:fldChar w:fldCharType="separate"/>
      </w:r>
      <w:r w:rsidR="005A6DD8">
        <w:rPr>
          <w:noProof/>
        </w:rPr>
        <w:t>11</w:t>
      </w:r>
      <w:r w:rsidRPr="00F171A3">
        <w:fldChar w:fldCharType="end"/>
      </w:r>
      <w:r w:rsidRPr="00F171A3">
        <w:t xml:space="preserve"> </w:t>
      </w:r>
      <w:r w:rsidRPr="00F171A3">
        <w:rPr>
          <w:szCs w:val="18"/>
        </w:rPr>
        <w:t>Proiectele în implementare în cadrul Obiectivului general 5 -  Administrație publică performantă</w:t>
      </w:r>
      <w:bookmarkEnd w:id="63"/>
    </w:p>
    <w:tbl>
      <w:tblPr>
        <w:tblStyle w:val="Civittatable9"/>
        <w:tblW w:w="0" w:type="auto"/>
        <w:tblInd w:w="108" w:type="dxa"/>
        <w:tblLook w:val="0480" w:firstRow="0" w:lastRow="0" w:firstColumn="1" w:lastColumn="0" w:noHBand="0" w:noVBand="1"/>
      </w:tblPr>
      <w:tblGrid>
        <w:gridCol w:w="4722"/>
        <w:gridCol w:w="4606"/>
      </w:tblGrid>
      <w:tr w:rsidR="0090099C" w:rsidRPr="00F171A3" w14:paraId="7ED9AA8C" w14:textId="77777777" w:rsidTr="002F5F8B">
        <w:trPr>
          <w:cnfStyle w:val="000000100000" w:firstRow="0" w:lastRow="0" w:firstColumn="0" w:lastColumn="0" w:oddVBand="0" w:evenVBand="0" w:oddHBand="1" w:evenHBand="0" w:firstRowFirstColumn="0" w:firstRowLastColumn="0" w:lastRowFirstColumn="0" w:lastRowLastColumn="0"/>
        </w:trPr>
        <w:tc>
          <w:tcPr>
            <w:tcW w:w="4722" w:type="dxa"/>
            <w:vAlign w:val="center"/>
          </w:tcPr>
          <w:p w14:paraId="672AEE0D"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Dezvoltarea și Implementarea Bugetării participative prin care membrii comunităţii îşi pot manifesta și transforma iniţiativele în realitate, propunând proiecte pentru dezvoltare urbană și creşterea calităţii vieţii în Sectorul 2</w:t>
            </w:r>
          </w:p>
          <w:p w14:paraId="74FB69BF"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Servicii de scanare și arhivare electronică a documentelor din arhiva istorică a DVBL S2</w:t>
            </w:r>
          </w:p>
          <w:p w14:paraId="6C14BC58"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Informaţia=Siguranţă!</w:t>
            </w:r>
          </w:p>
          <w:p w14:paraId="728A74D3"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Informatizarea serviciului DPEPSC Sector 2, inclusiv arhivare electronică</w:t>
            </w:r>
          </w:p>
        </w:tc>
        <w:tc>
          <w:tcPr>
            <w:tcW w:w="4606" w:type="dxa"/>
            <w:vAlign w:val="center"/>
          </w:tcPr>
          <w:p w14:paraId="44B0C268"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 consolidare, modernizare și extindere sediu administrativ DGASPC Sector 2</w:t>
            </w:r>
          </w:p>
          <w:p w14:paraId="4C1EDE15"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 consolidare, modernizare și extinderea sediului Serviciului Protecţia Copilului al DGASPC Sector 2 din Str. Dimitrie Racoviță nr. 22</w:t>
            </w:r>
          </w:p>
          <w:p w14:paraId="573A9E59" w14:textId="77777777" w:rsidR="0090099C" w:rsidRPr="00F171A3" w:rsidRDefault="0090099C">
            <w:pPr>
              <w:numPr>
                <w:ilvl w:val="0"/>
                <w:numId w:val="35"/>
              </w:numPr>
              <w:spacing w:beforeLines="60" w:before="144" w:afterLines="60" w:after="144"/>
              <w:jc w:val="left"/>
              <w:rPr>
                <w:rFonts w:cstheme="minorHAnsi"/>
                <w:lang w:eastAsia="ja-JP"/>
              </w:rPr>
            </w:pPr>
            <w:r w:rsidRPr="00F171A3">
              <w:rPr>
                <w:rFonts w:cstheme="minorHAnsi"/>
                <w:lang w:eastAsia="ja-JP"/>
              </w:rPr>
              <w:t>Reabilitare, consolidare, modernizare și extinderea sediului Serviciului pentru Persoane Adulte cu Handicap al DGASPC Sector 2 din Calea Moşilor nr. 229</w:t>
            </w:r>
          </w:p>
        </w:tc>
      </w:tr>
    </w:tbl>
    <w:p w14:paraId="7F70C47A" w14:textId="77777777" w:rsidR="0090099C" w:rsidRPr="00F171A3" w:rsidRDefault="0090099C" w:rsidP="00216383">
      <w:pPr>
        <w:jc w:val="right"/>
        <w:rPr>
          <w:color w:val="BFBFBF" w:themeColor="background1" w:themeShade="BF"/>
        </w:rPr>
      </w:pPr>
      <w:r w:rsidRPr="00F171A3">
        <w:rPr>
          <w:color w:val="BFBFBF" w:themeColor="background1" w:themeShade="BF"/>
        </w:rPr>
        <w:t>Sursa: Prelucrare proprie pe baza datelor furnizate de Primăria Sectorului 2</w:t>
      </w:r>
    </w:p>
    <w:p w14:paraId="242E73D5" w14:textId="77777777" w:rsidR="0090099C" w:rsidRPr="00F171A3" w:rsidRDefault="0090099C" w:rsidP="0090099C">
      <w:pPr>
        <w:rPr>
          <w:szCs w:val="20"/>
        </w:rPr>
      </w:pPr>
      <w:r w:rsidRPr="00F171A3">
        <w:rPr>
          <w:szCs w:val="20"/>
        </w:rPr>
        <w:t>Cu scopul creșterii performanței administrative, 10 proiecte au fost finalizate până la acest moment, iar acestea au la bază următoarele obiective specifice:</w:t>
      </w:r>
    </w:p>
    <w:p w14:paraId="251E816E" w14:textId="77777777" w:rsidR="0090099C" w:rsidRPr="00F171A3" w:rsidRDefault="0090099C" w:rsidP="002F5F8B">
      <w:pPr>
        <w:spacing w:beforeLines="60" w:before="144" w:afterLines="60" w:after="144"/>
        <w:jc w:val="left"/>
        <w:rPr>
          <w:rFonts w:eastAsia="MS Gothic"/>
          <w:bCs/>
          <w:color w:val="134753" w:themeColor="text2"/>
          <w:szCs w:val="20"/>
          <w:lang w:eastAsia="en-GB"/>
        </w:rPr>
      </w:pPr>
      <w:r w:rsidRPr="00F171A3">
        <w:rPr>
          <w:rFonts w:eastAsia="MS Gothic"/>
          <w:b/>
          <w:bCs/>
          <w:color w:val="134753" w:themeColor="text2"/>
          <w:szCs w:val="20"/>
          <w:lang w:eastAsia="en-GB"/>
        </w:rPr>
        <w:t>5.2 Administraţie cu resurse umane competente care gestionează fondurile publice în mod eficient – proiecte finalizate:</w:t>
      </w:r>
      <w:r w:rsidRPr="00F171A3">
        <w:rPr>
          <w:rFonts w:eastAsia="MS Gothic"/>
          <w:bCs/>
          <w:color w:val="134753" w:themeColor="text2"/>
          <w:szCs w:val="20"/>
          <w:lang w:eastAsia="en-GB"/>
        </w:rPr>
        <w:t xml:space="preserve"> </w:t>
      </w:r>
    </w:p>
    <w:p w14:paraId="1E5824A4" w14:textId="77777777" w:rsidR="0090099C" w:rsidRPr="00F171A3" w:rsidRDefault="0090099C" w:rsidP="00657CF7">
      <w:pPr>
        <w:pStyle w:val="Bulet"/>
        <w:spacing w:before="144" w:after="144"/>
        <w:ind w:left="1080"/>
        <w:jc w:val="both"/>
        <w:rPr>
          <w:sz w:val="22"/>
        </w:rPr>
      </w:pPr>
      <w:r w:rsidRPr="00F171A3">
        <w:rPr>
          <w:sz w:val="22"/>
        </w:rPr>
        <w:t xml:space="preserve">Realizarea și implementarea unui plan de perfecţionare continuă a salariaţilor prin cursuri. Dezvoltarea unor programe de instruire proprii care să includă și cursuri online realizate cu personal propriu acolo unde este posibil, care să asigure minimul de specializare a personalului angajat încă din primele luni ale angajării și pe parcurs; </w:t>
      </w:r>
    </w:p>
    <w:p w14:paraId="36826C97" w14:textId="77777777" w:rsidR="0090099C" w:rsidRPr="00F171A3" w:rsidRDefault="0090099C" w:rsidP="00657CF7">
      <w:pPr>
        <w:pStyle w:val="Bulet"/>
        <w:spacing w:before="144" w:after="144"/>
        <w:ind w:left="1080"/>
        <w:jc w:val="both"/>
        <w:rPr>
          <w:sz w:val="22"/>
        </w:rPr>
      </w:pPr>
      <w:r w:rsidRPr="00F171A3">
        <w:rPr>
          <w:sz w:val="22"/>
        </w:rPr>
        <w:t xml:space="preserve">Participarea angajaţilor la un curs de formare pentru coordonarea și managementul proceselor și implicarea cetăţenilor; </w:t>
      </w:r>
    </w:p>
    <w:p w14:paraId="448C9B7F" w14:textId="77777777" w:rsidR="0090099C" w:rsidRPr="00F171A3" w:rsidRDefault="0090099C" w:rsidP="00657CF7">
      <w:pPr>
        <w:pStyle w:val="Bulet"/>
        <w:spacing w:before="144" w:after="144"/>
        <w:ind w:left="1080"/>
        <w:jc w:val="both"/>
        <w:rPr>
          <w:sz w:val="22"/>
        </w:rPr>
      </w:pPr>
      <w:r w:rsidRPr="00F171A3">
        <w:rPr>
          <w:sz w:val="22"/>
        </w:rPr>
        <w:t xml:space="preserve">Proiect complex de creşterea competențelor autorităților publice locale în dezvoltarea serviciilor sociale și de economie socială în comunitate prin formarea de personal și schimb de experienţă internaţional; </w:t>
      </w:r>
    </w:p>
    <w:p w14:paraId="61362B48" w14:textId="77777777" w:rsidR="0090099C" w:rsidRPr="00F171A3" w:rsidRDefault="0090099C" w:rsidP="00657CF7">
      <w:pPr>
        <w:pStyle w:val="Bulet"/>
        <w:spacing w:before="144" w:after="144"/>
        <w:ind w:left="1080"/>
        <w:jc w:val="both"/>
        <w:rPr>
          <w:sz w:val="22"/>
        </w:rPr>
      </w:pPr>
      <w:r w:rsidRPr="00F171A3">
        <w:rPr>
          <w:sz w:val="22"/>
        </w:rPr>
        <w:t xml:space="preserve">Informatizarea stării civile; </w:t>
      </w:r>
    </w:p>
    <w:p w14:paraId="76274251" w14:textId="77777777" w:rsidR="0090099C" w:rsidRPr="00F171A3" w:rsidRDefault="0090099C" w:rsidP="00657CF7">
      <w:pPr>
        <w:pStyle w:val="Bulet"/>
        <w:spacing w:before="144" w:after="144"/>
        <w:ind w:left="1080"/>
        <w:jc w:val="both"/>
        <w:rPr>
          <w:sz w:val="22"/>
        </w:rPr>
      </w:pPr>
      <w:r w:rsidRPr="00F171A3">
        <w:rPr>
          <w:sz w:val="22"/>
        </w:rPr>
        <w:t xml:space="preserve">Implementarea și promovarea modalităților disponibile  de plată de la distanță a impozitelor și taxelor locale în rândul contribuabililor; </w:t>
      </w:r>
    </w:p>
    <w:p w14:paraId="5B282379" w14:textId="77777777" w:rsidR="0090099C" w:rsidRPr="00F171A3" w:rsidRDefault="0090099C" w:rsidP="00657CF7">
      <w:pPr>
        <w:pStyle w:val="Bulet"/>
        <w:spacing w:before="144" w:after="144"/>
        <w:ind w:left="1080"/>
        <w:jc w:val="both"/>
        <w:rPr>
          <w:sz w:val="22"/>
        </w:rPr>
      </w:pPr>
      <w:r w:rsidRPr="00F171A3">
        <w:rPr>
          <w:sz w:val="22"/>
        </w:rPr>
        <w:t>Informatizarea serviciului DGASPC Sector 2, inclusiv bază de date unică pentru toţi beneficiarii de servicii și prestaţii sociale;</w:t>
      </w:r>
    </w:p>
    <w:p w14:paraId="2DE5B126" w14:textId="7E9CA26D" w:rsidR="0090099C" w:rsidRPr="00F171A3" w:rsidRDefault="0090099C" w:rsidP="00657CF7">
      <w:pPr>
        <w:pStyle w:val="Bulet"/>
        <w:spacing w:before="144" w:after="144"/>
        <w:ind w:left="1080"/>
        <w:jc w:val="both"/>
        <w:rPr>
          <w:sz w:val="22"/>
        </w:rPr>
      </w:pPr>
      <w:r w:rsidRPr="00F171A3">
        <w:rPr>
          <w:sz w:val="22"/>
        </w:rPr>
        <w:t>Reabilitarea termică a sediului Direcţiei Publice de Evidenţă Persoane și Stare Civilă Sector 2 Bucureşti din strada Olari nr. 19.</w:t>
      </w:r>
    </w:p>
    <w:p w14:paraId="5FC9D0A0"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Proiectele implementate în cadrul acestui obiectiv strategic au scopul de a crește eficiență activităților administrației publice prin asigurarea și gestionarea eficientă a resurselor materiale utilizate, capacitatea de planificare și programare a resurselor financiare, în strânsă legătură cu priorităţile identificate și cu nevoile cetățenilor, având ca efect utilizarea responsabilă a acestora pentru a genera dezvoltare și pentru a oferi servicii publice de calitate.</w:t>
      </w:r>
    </w:p>
    <w:p w14:paraId="5C557173"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 xml:space="preserve">5.3 Administraţie participativă – proiecte finalizate: </w:t>
      </w:r>
    </w:p>
    <w:p w14:paraId="54EE351F" w14:textId="77777777" w:rsidR="0090099C" w:rsidRPr="00F171A3" w:rsidRDefault="0090099C">
      <w:pPr>
        <w:pStyle w:val="Bulet"/>
        <w:spacing w:before="144" w:after="144"/>
        <w:ind w:left="1080"/>
        <w:rPr>
          <w:sz w:val="22"/>
        </w:rPr>
      </w:pPr>
      <w:r w:rsidRPr="00F171A3">
        <w:rPr>
          <w:sz w:val="22"/>
        </w:rPr>
        <w:t>Stagii de practică pentru studenţii în administraţie publică.</w:t>
      </w:r>
    </w:p>
    <w:p w14:paraId="5178D920" w14:textId="6066D9E2"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Proiectul de </w:t>
      </w:r>
      <w:r w:rsidRPr="00F171A3">
        <w:rPr>
          <w:rFonts w:cstheme="minorHAnsi"/>
          <w:b/>
          <w:szCs w:val="20"/>
          <w:lang w:eastAsia="ja-JP"/>
        </w:rPr>
        <w:t>Stagii de practică pentru studenţii în administraţie publică</w:t>
      </w:r>
      <w:r w:rsidRPr="00F171A3">
        <w:rPr>
          <w:rFonts w:cstheme="minorHAnsi"/>
          <w:szCs w:val="20"/>
          <w:lang w:eastAsia="ja-JP"/>
        </w:rPr>
        <w:t xml:space="preserve"> a fost implementat prin DGASPC care a demarat colaborări cu instituțiile de învâțământ în vederea încheierii de convenții de practică pentru desfășurarea stagiului de practică la nivelul instituției.  Proiectul de implicare a studenților în stagii de practică în cadrul administrației publice are scopul de a implica tinerii în sistemul administrativ, de a ajuta la înțelegerea proceselor și mecanismelor care stau la baza acestuia și de a crea un mediu favorabil pentru atragerea forței de muncă tânără și calificată superior. </w:t>
      </w:r>
    </w:p>
    <w:p w14:paraId="242E8BED" w14:textId="77777777" w:rsidR="0090099C" w:rsidRPr="00F171A3" w:rsidRDefault="0090099C" w:rsidP="002F5F8B">
      <w:pPr>
        <w:spacing w:beforeLines="60" w:before="144" w:afterLines="60" w:after="144"/>
        <w:jc w:val="left"/>
        <w:rPr>
          <w:rFonts w:eastAsia="MS Gothic"/>
          <w:b/>
          <w:bCs/>
          <w:szCs w:val="20"/>
          <w:lang w:eastAsia="en-GB"/>
        </w:rPr>
      </w:pPr>
      <w:r w:rsidRPr="00F171A3">
        <w:rPr>
          <w:rFonts w:eastAsia="MS Gothic"/>
          <w:b/>
          <w:bCs/>
          <w:color w:val="134753" w:themeColor="text2"/>
          <w:szCs w:val="20"/>
          <w:lang w:eastAsia="en-GB"/>
        </w:rPr>
        <w:t xml:space="preserve">5.4 Administraţie orientată spre beneficiar – proiecte finalizate: </w:t>
      </w:r>
    </w:p>
    <w:p w14:paraId="28BABAC5" w14:textId="77777777" w:rsidR="0090099C" w:rsidRPr="00F171A3" w:rsidRDefault="0090099C">
      <w:pPr>
        <w:pStyle w:val="Bulet"/>
        <w:spacing w:before="144" w:after="144"/>
        <w:ind w:left="1080"/>
        <w:rPr>
          <w:sz w:val="22"/>
        </w:rPr>
      </w:pPr>
      <w:r w:rsidRPr="00F171A3">
        <w:rPr>
          <w:sz w:val="22"/>
        </w:rPr>
        <w:t xml:space="preserve">Servicii de scanare și arhivare fizica/electronică a documentelor din arhiva istorică a CTV S2; </w:t>
      </w:r>
    </w:p>
    <w:p w14:paraId="1E9BEFD6" w14:textId="77777777" w:rsidR="0090099C" w:rsidRPr="00F171A3" w:rsidRDefault="0090099C">
      <w:pPr>
        <w:pStyle w:val="Bulet"/>
        <w:spacing w:before="144" w:after="144"/>
        <w:ind w:left="1080"/>
        <w:rPr>
          <w:sz w:val="22"/>
        </w:rPr>
      </w:pPr>
      <w:r w:rsidRPr="00F171A3">
        <w:rPr>
          <w:sz w:val="22"/>
        </w:rPr>
        <w:t>Introducerea semnăturii digitale în cadrul direcţiilor primăriei.</w:t>
      </w:r>
    </w:p>
    <w:p w14:paraId="5F4C972B"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Proiectul de </w:t>
      </w:r>
      <w:r w:rsidRPr="00F171A3">
        <w:rPr>
          <w:rFonts w:cstheme="minorHAnsi"/>
          <w:b/>
          <w:szCs w:val="20"/>
          <w:lang w:eastAsia="ja-JP"/>
        </w:rPr>
        <w:t>Arhivarea electronică</w:t>
      </w:r>
      <w:r w:rsidRPr="00F171A3">
        <w:rPr>
          <w:rFonts w:cstheme="minorHAnsi"/>
          <w:szCs w:val="20"/>
          <w:lang w:eastAsia="ja-JP"/>
        </w:rPr>
        <w:t xml:space="preserve">, inclusă în sistemul de management al documentelor,  asigură o modalitate de gestionare simplă și eficientă a documentelor care conduce la scurtarea timpului de răspuns la solicitările cetățenilor și  la reducerea costurilor. De asemenea, proiectul de </w:t>
      </w:r>
      <w:r w:rsidRPr="00F171A3">
        <w:rPr>
          <w:rFonts w:cstheme="minorHAnsi"/>
          <w:b/>
          <w:szCs w:val="20"/>
          <w:lang w:eastAsia="ja-JP"/>
        </w:rPr>
        <w:t>Introducere a semnăturii digitale</w:t>
      </w:r>
      <w:r w:rsidRPr="00F171A3">
        <w:rPr>
          <w:rFonts w:cstheme="minorHAnsi"/>
          <w:szCs w:val="20"/>
          <w:lang w:eastAsia="ja-JP"/>
        </w:rPr>
        <w:t xml:space="preserve"> în cadrul direcţiilor primăriei a fost implementat la nivelul Primăriei Sectorului 2 cu 0 costuri. </w:t>
      </w:r>
    </w:p>
    <w:p w14:paraId="18502FD4"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Aceste proiecte au scopul de a simplifica procesele care stau la baza administrațiilor publice în ceea ce privește tangențele cu beneficiarii prin de birocratizarea și simplificarea procedurilor de furnizare a serviciilor oferite atât către cetăţeni și mediul de afaceri, cât și în cadrul administraţiei locale și au ca efect eficientizarea activităţii, reducerea costurilor, creşterea gradului de transparenţă, contribuind la gradul de satisfacţie al cetăţenilor faţă de autorităţile locale. </w:t>
      </w:r>
    </w:p>
    <w:p w14:paraId="57479E5F"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În cadrul obiectivului specific 5.1 nu sunt înregistrate proiecte finalizate până în acest moment, dar sunt demarate proiecte în curs de implementare, iar scopul acestora e de implementare a unui management performant în cadrul administraţiei, ce presupune o abordare coerentă și coordonată a aspectelor legate de procesul decizional, resurse umane, tehnologia informaţiei, asigurarea calităţii, derularea proceselor interne, precum și receptivitatea la soluţii inovative, ca premise ale dezvoltării viitoare.</w:t>
      </w:r>
    </w:p>
    <w:p w14:paraId="719391DA" w14:textId="77777777" w:rsidR="0090099C" w:rsidRPr="00F171A3" w:rsidRDefault="0090099C" w:rsidP="002F5F8B">
      <w:pPr>
        <w:spacing w:beforeLines="60" w:before="144" w:afterLines="60" w:after="144"/>
        <w:jc w:val="left"/>
        <w:rPr>
          <w:rFonts w:eastAsia="MS Gothic"/>
          <w:b/>
          <w:bCs/>
          <w:color w:val="134753" w:themeColor="text2"/>
          <w:szCs w:val="20"/>
          <w:lang w:eastAsia="en-GB"/>
        </w:rPr>
      </w:pPr>
      <w:r w:rsidRPr="00F171A3">
        <w:rPr>
          <w:rFonts w:eastAsia="MS Gothic"/>
          <w:b/>
          <w:bCs/>
          <w:color w:val="134753" w:themeColor="text2"/>
          <w:szCs w:val="20"/>
          <w:lang w:eastAsia="en-GB"/>
        </w:rPr>
        <w:t xml:space="preserve">5.1 Administraţie deschisă și receptivă la soluţii inovatoare </w:t>
      </w:r>
    </w:p>
    <w:p w14:paraId="454F5540"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b/>
          <w:color w:val="134753" w:themeColor="accent2"/>
          <w:szCs w:val="20"/>
          <w:lang w:eastAsia="ja-JP"/>
        </w:rPr>
        <w:t>SURSELE DE FINANȚARE</w:t>
      </w:r>
      <w:r w:rsidRPr="00F171A3">
        <w:rPr>
          <w:rFonts w:cstheme="minorHAnsi"/>
          <w:szCs w:val="20"/>
          <w:lang w:eastAsia="ja-JP"/>
        </w:rPr>
        <w:t xml:space="preserve">  </w:t>
      </w:r>
      <w:r w:rsidRPr="00F171A3">
        <w:rPr>
          <w:rFonts w:cstheme="minorHAnsi"/>
          <w:b/>
          <w:color w:val="134753" w:themeColor="accent2"/>
          <w:szCs w:val="20"/>
          <w:lang w:eastAsia="ja-JP"/>
        </w:rPr>
        <w:t xml:space="preserve">| </w:t>
      </w:r>
      <w:r w:rsidRPr="00F171A3">
        <w:rPr>
          <w:rFonts w:cstheme="minorHAnsi"/>
          <w:szCs w:val="20"/>
          <w:lang w:eastAsia="ja-JP"/>
        </w:rPr>
        <w:t>Din perspectiva surselor de finanțare a proiectelor implementate sau în curs de implementare din cadrul Strategiei de Dezvoltare Locală Integrată și Durabilă a Sectorului 2 pentru perioada 2016 - 2025, au fost o identificate o serie de surse principale propuse în portofoliul de proiecte aferente acestora:</w:t>
      </w:r>
    </w:p>
    <w:p w14:paraId="0F86583D" w14:textId="77777777" w:rsidR="0090099C" w:rsidRPr="00F171A3" w:rsidRDefault="0090099C">
      <w:pPr>
        <w:pStyle w:val="Bulet"/>
        <w:spacing w:before="144" w:after="144"/>
        <w:ind w:left="1080"/>
        <w:rPr>
          <w:sz w:val="22"/>
        </w:rPr>
      </w:pPr>
      <w:r w:rsidRPr="00F171A3">
        <w:rPr>
          <w:sz w:val="22"/>
        </w:rPr>
        <w:t>Bugetul local;</w:t>
      </w:r>
    </w:p>
    <w:p w14:paraId="2FF3C36D" w14:textId="77777777" w:rsidR="0090099C" w:rsidRPr="00F171A3" w:rsidRDefault="0090099C">
      <w:pPr>
        <w:pStyle w:val="Bulet"/>
        <w:spacing w:before="144" w:after="144"/>
        <w:ind w:left="1080"/>
        <w:rPr>
          <w:sz w:val="22"/>
        </w:rPr>
      </w:pPr>
      <w:r w:rsidRPr="00F171A3">
        <w:rPr>
          <w:sz w:val="22"/>
        </w:rPr>
        <w:t>Alte surse;</w:t>
      </w:r>
    </w:p>
    <w:p w14:paraId="359CE6F8" w14:textId="77777777" w:rsidR="0090099C" w:rsidRPr="00F171A3" w:rsidRDefault="0090099C">
      <w:pPr>
        <w:pStyle w:val="Bulet"/>
        <w:spacing w:before="144" w:after="144"/>
        <w:ind w:left="1080"/>
        <w:rPr>
          <w:sz w:val="22"/>
        </w:rPr>
      </w:pPr>
      <w:r w:rsidRPr="00F171A3">
        <w:rPr>
          <w:sz w:val="22"/>
        </w:rPr>
        <w:t>Programul Operaţional Regional 2014-2020;</w:t>
      </w:r>
    </w:p>
    <w:p w14:paraId="5F557EAD" w14:textId="77777777" w:rsidR="0090099C" w:rsidRPr="00F171A3" w:rsidRDefault="0090099C">
      <w:pPr>
        <w:pStyle w:val="Bulet"/>
        <w:spacing w:before="144" w:after="144"/>
        <w:ind w:left="1080"/>
        <w:rPr>
          <w:sz w:val="22"/>
        </w:rPr>
      </w:pPr>
      <w:r w:rsidRPr="00F171A3">
        <w:rPr>
          <w:sz w:val="22"/>
        </w:rPr>
        <w:t>Programul Național de Dezvoltare Locală;</w:t>
      </w:r>
    </w:p>
    <w:p w14:paraId="6DE990BB" w14:textId="77777777" w:rsidR="0090099C" w:rsidRPr="00F171A3" w:rsidRDefault="0090099C">
      <w:pPr>
        <w:pStyle w:val="Bulet"/>
        <w:spacing w:before="144" w:after="144"/>
        <w:ind w:left="1080"/>
        <w:rPr>
          <w:sz w:val="22"/>
        </w:rPr>
      </w:pPr>
      <w:r w:rsidRPr="00F171A3">
        <w:rPr>
          <w:sz w:val="22"/>
        </w:rPr>
        <w:t>POCU 2014-2020;</w:t>
      </w:r>
    </w:p>
    <w:p w14:paraId="346246A0" w14:textId="77777777" w:rsidR="0090099C" w:rsidRPr="00F171A3" w:rsidRDefault="0090099C">
      <w:pPr>
        <w:pStyle w:val="Bulet"/>
        <w:spacing w:before="144" w:after="144"/>
        <w:ind w:left="1080"/>
        <w:rPr>
          <w:sz w:val="22"/>
        </w:rPr>
      </w:pPr>
      <w:r w:rsidRPr="00F171A3">
        <w:rPr>
          <w:sz w:val="22"/>
        </w:rPr>
        <w:t>Buget Primăria Municipiului București;</w:t>
      </w:r>
    </w:p>
    <w:p w14:paraId="393C4928" w14:textId="5D22ABD1" w:rsidR="0090099C" w:rsidRPr="00F171A3" w:rsidRDefault="0090099C">
      <w:pPr>
        <w:pStyle w:val="Bulet"/>
        <w:spacing w:before="144" w:after="144"/>
        <w:ind w:left="1080"/>
        <w:rPr>
          <w:sz w:val="22"/>
        </w:rPr>
      </w:pPr>
      <w:r w:rsidRPr="00F171A3">
        <w:rPr>
          <w:sz w:val="22"/>
        </w:rPr>
        <w:t>Grant-uri</w:t>
      </w:r>
      <w:r w:rsidR="002F5F8B" w:rsidRPr="00F171A3">
        <w:rPr>
          <w:sz w:val="22"/>
        </w:rPr>
        <w:t>;</w:t>
      </w:r>
    </w:p>
    <w:p w14:paraId="58CF65FC" w14:textId="77777777" w:rsidR="0090099C" w:rsidRPr="00F171A3" w:rsidRDefault="0090099C">
      <w:pPr>
        <w:pStyle w:val="Bulet"/>
        <w:spacing w:before="144" w:after="144"/>
        <w:ind w:left="1080"/>
        <w:rPr>
          <w:sz w:val="22"/>
        </w:rPr>
      </w:pPr>
      <w:r w:rsidRPr="00F171A3">
        <w:rPr>
          <w:sz w:val="22"/>
        </w:rPr>
        <w:t>Programul Operaţional Infrastructură Mare 2014-2020;</w:t>
      </w:r>
    </w:p>
    <w:p w14:paraId="27886850" w14:textId="16264FDD" w:rsidR="0090099C" w:rsidRPr="00F171A3" w:rsidRDefault="0090099C">
      <w:pPr>
        <w:pStyle w:val="Bulet"/>
        <w:spacing w:before="144" w:after="144"/>
        <w:ind w:left="1080"/>
        <w:rPr>
          <w:sz w:val="22"/>
        </w:rPr>
      </w:pPr>
      <w:r w:rsidRPr="00F171A3">
        <w:rPr>
          <w:sz w:val="22"/>
        </w:rPr>
        <w:t>Buget parteneri</w:t>
      </w:r>
      <w:r w:rsidR="002F5F8B" w:rsidRPr="00F171A3">
        <w:rPr>
          <w:sz w:val="22"/>
        </w:rPr>
        <w:t>;</w:t>
      </w:r>
    </w:p>
    <w:p w14:paraId="371690E4" w14:textId="56D28A14" w:rsidR="0090099C" w:rsidRPr="00F171A3" w:rsidRDefault="0090099C">
      <w:pPr>
        <w:pStyle w:val="Bulet"/>
        <w:spacing w:before="144" w:after="144"/>
        <w:ind w:left="1080"/>
        <w:rPr>
          <w:sz w:val="22"/>
        </w:rPr>
      </w:pPr>
      <w:r w:rsidRPr="00F171A3">
        <w:rPr>
          <w:sz w:val="22"/>
        </w:rPr>
        <w:t>Programul Operațional Capacitate Administrativa  2014-2020</w:t>
      </w:r>
      <w:r w:rsidR="002F5F8B" w:rsidRPr="00F171A3">
        <w:rPr>
          <w:sz w:val="22"/>
        </w:rPr>
        <w:t>;</w:t>
      </w:r>
    </w:p>
    <w:p w14:paraId="77C14DC5" w14:textId="77777777" w:rsidR="0090099C" w:rsidRPr="00F171A3" w:rsidRDefault="0090099C">
      <w:pPr>
        <w:pStyle w:val="Bulet"/>
        <w:spacing w:before="144" w:after="144"/>
        <w:ind w:left="1080"/>
        <w:rPr>
          <w:sz w:val="22"/>
        </w:rPr>
      </w:pPr>
      <w:r w:rsidRPr="00F171A3">
        <w:rPr>
          <w:sz w:val="22"/>
        </w:rPr>
        <w:t>Compania Națională de Investiții;</w:t>
      </w:r>
    </w:p>
    <w:p w14:paraId="4DD181B1" w14:textId="77777777" w:rsidR="0090099C" w:rsidRPr="00F171A3" w:rsidRDefault="0090099C">
      <w:pPr>
        <w:pStyle w:val="Bulet"/>
        <w:spacing w:before="144" w:after="144"/>
        <w:ind w:left="1080"/>
        <w:rPr>
          <w:sz w:val="22"/>
        </w:rPr>
      </w:pPr>
      <w:r w:rsidRPr="00F171A3">
        <w:rPr>
          <w:sz w:val="22"/>
        </w:rPr>
        <w:t>Fonduri private;</w:t>
      </w:r>
    </w:p>
    <w:p w14:paraId="79693857" w14:textId="77777777" w:rsidR="0090099C" w:rsidRPr="00F171A3" w:rsidRDefault="0090099C">
      <w:pPr>
        <w:pStyle w:val="Bulet"/>
        <w:spacing w:before="144" w:after="144"/>
        <w:ind w:left="1080"/>
        <w:rPr>
          <w:sz w:val="22"/>
        </w:rPr>
      </w:pPr>
      <w:r w:rsidRPr="00F171A3">
        <w:rPr>
          <w:sz w:val="22"/>
        </w:rPr>
        <w:t>Fondul internațional pentru promovarea culturii;</w:t>
      </w:r>
    </w:p>
    <w:p w14:paraId="54A36807" w14:textId="77777777" w:rsidR="0090099C" w:rsidRPr="00F171A3" w:rsidRDefault="0090099C">
      <w:pPr>
        <w:pStyle w:val="Bulet"/>
        <w:spacing w:before="144" w:after="144"/>
        <w:ind w:left="1080"/>
        <w:rPr>
          <w:sz w:val="22"/>
        </w:rPr>
      </w:pPr>
      <w:r w:rsidRPr="00F171A3">
        <w:rPr>
          <w:sz w:val="22"/>
        </w:rPr>
        <w:t>Finanțări Administrația Fondului Cultural Național;</w:t>
      </w:r>
    </w:p>
    <w:p w14:paraId="1BDAA94A" w14:textId="77777777" w:rsidR="0090099C" w:rsidRPr="00F171A3" w:rsidRDefault="0090099C">
      <w:pPr>
        <w:pStyle w:val="Bulet"/>
        <w:spacing w:before="144" w:after="144"/>
        <w:ind w:left="1080"/>
        <w:rPr>
          <w:sz w:val="22"/>
        </w:rPr>
      </w:pPr>
      <w:r w:rsidRPr="00F171A3">
        <w:rPr>
          <w:sz w:val="22"/>
        </w:rPr>
        <w:t>Buget de stat.</w:t>
      </w:r>
    </w:p>
    <w:p w14:paraId="2E9D4012"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b/>
          <w:color w:val="134753" w:themeColor="accent2"/>
          <w:szCs w:val="20"/>
          <w:lang w:eastAsia="ja-JP"/>
        </w:rPr>
        <w:t xml:space="preserve">CONCLUZII | </w:t>
      </w:r>
      <w:r w:rsidRPr="00F171A3">
        <w:rPr>
          <w:rFonts w:cstheme="minorHAnsi"/>
          <w:szCs w:val="20"/>
          <w:lang w:eastAsia="ja-JP"/>
        </w:rPr>
        <w:t xml:space="preserve">Luând în considerare gradul de implementare de la nivelul celor 5  obiective generale, se remarcă faptul că din totalul proiectelor propuse, cea mai mare pondere a proiectelor finalizate până la efectuarea analizei, 22,2% au fost implementate în cadrul Obiectivului general 5 – Administrație publică performantă. Astfel, proiectele care au vizat capacitatea administrativă au cea mai bună rapidă de implementare, acest lucru putând fi influențat și de perioada relativ scurtă de implementare al acestora, prin comparație cu restul tipurilor de proiecte care necesită perioade mai lungi de timp pentru a fi finalizate. </w:t>
      </w:r>
    </w:p>
    <w:p w14:paraId="431CE302" w14:textId="64DE36E3" w:rsidR="0005757F" w:rsidRPr="00F171A3" w:rsidRDefault="0005757F" w:rsidP="0005757F">
      <w:pPr>
        <w:pStyle w:val="Caption"/>
      </w:pPr>
      <w:bookmarkStart w:id="64" w:name="_Toc127198004"/>
      <w:r w:rsidRPr="00F171A3">
        <w:t xml:space="preserve">Figura </w:t>
      </w:r>
      <w:r w:rsidRPr="00F171A3">
        <w:fldChar w:fldCharType="begin"/>
      </w:r>
      <w:r w:rsidRPr="00F171A3">
        <w:instrText xml:space="preserve"> SEQ Figura \* ARABIC </w:instrText>
      </w:r>
      <w:r w:rsidRPr="00F171A3">
        <w:fldChar w:fldCharType="separate"/>
      </w:r>
      <w:r w:rsidR="005A6DD8">
        <w:rPr>
          <w:noProof/>
        </w:rPr>
        <w:t>16</w:t>
      </w:r>
      <w:r w:rsidRPr="00F171A3">
        <w:fldChar w:fldCharType="end"/>
      </w:r>
      <w:r w:rsidRPr="00F171A3">
        <w:t xml:space="preserve"> </w:t>
      </w:r>
      <w:r w:rsidRPr="00F171A3">
        <w:rPr>
          <w:szCs w:val="18"/>
        </w:rPr>
        <w:t>Ponderea proiectelor implementate din totalul proiectelor propuse la nivelul fiecărui obiectiv general din Strategia de Dezvoltare Locală Integrată și Durabilă a Sectorului 2 pentru perioada 2016 - 2025</w:t>
      </w:r>
      <w:bookmarkEnd w:id="64"/>
    </w:p>
    <w:p w14:paraId="2C2FE5BA"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78CD6934" wp14:editId="5ADD1426">
            <wp:extent cx="5943600" cy="1895475"/>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48CE59D" w14:textId="77777777" w:rsidR="0090099C" w:rsidRPr="00F171A3" w:rsidRDefault="0090099C" w:rsidP="00216383">
      <w:pPr>
        <w:jc w:val="right"/>
        <w:rPr>
          <w:color w:val="BFBFBF" w:themeColor="background1" w:themeShade="BF"/>
        </w:rPr>
      </w:pPr>
      <w:r w:rsidRPr="00F171A3">
        <w:rPr>
          <w:color w:val="BFBFBF" w:themeColor="background1" w:themeShade="BF"/>
        </w:rPr>
        <w:t>Sursa: Procesare Civitta conform informațiilor transmise de către PS2</w:t>
      </w:r>
    </w:p>
    <w:p w14:paraId="6C519817"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Din perspectiva implementării, cea mai ridicată pondere a proiectelor în curs de implementare, 31,4% din totalul proiectelor propuse stă la baza Obiectivului general 4 - Sector 2- mode de dezvoltare sistem albastru-verde. În cadrul Obiectivului general 2 - Sector cu atractivitate crescută pentru forța de muncă și companii nu sunt înregistrate până la acest moment proiecte în derulare.  </w:t>
      </w:r>
    </w:p>
    <w:p w14:paraId="2CBC4046" w14:textId="38DF4695" w:rsidR="0005757F" w:rsidRPr="00F171A3" w:rsidRDefault="0005757F" w:rsidP="0005757F">
      <w:pPr>
        <w:pStyle w:val="Caption"/>
      </w:pPr>
      <w:bookmarkStart w:id="65" w:name="_Toc127198005"/>
      <w:r w:rsidRPr="00F171A3">
        <w:t xml:space="preserve">Figura </w:t>
      </w:r>
      <w:r w:rsidRPr="00F171A3">
        <w:fldChar w:fldCharType="begin"/>
      </w:r>
      <w:r w:rsidRPr="00F171A3">
        <w:instrText xml:space="preserve"> SEQ Figura \* ARABIC </w:instrText>
      </w:r>
      <w:r w:rsidRPr="00F171A3">
        <w:fldChar w:fldCharType="separate"/>
      </w:r>
      <w:r w:rsidR="005A6DD8">
        <w:rPr>
          <w:noProof/>
        </w:rPr>
        <w:t>17</w:t>
      </w:r>
      <w:r w:rsidRPr="00F171A3">
        <w:fldChar w:fldCharType="end"/>
      </w:r>
      <w:r w:rsidRPr="00F171A3">
        <w:t xml:space="preserve"> </w:t>
      </w:r>
      <w:r w:rsidRPr="00F171A3">
        <w:rPr>
          <w:szCs w:val="18"/>
        </w:rPr>
        <w:t>Ponderea proiectelor în curs de implementare din totalul proiectelor propuse la nivelul fiecărui obiectiv general din Strategia de Dezvoltare Locală Integrată și Durabilă a Sectorului 2 pentru perioada 2016 - 2025</w:t>
      </w:r>
      <w:bookmarkEnd w:id="65"/>
    </w:p>
    <w:p w14:paraId="1186CAC1"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5E5BBCBD" wp14:editId="00647F66">
            <wp:extent cx="5943600" cy="2126512"/>
            <wp:effectExtent l="0" t="0" r="0" b="7620"/>
            <wp:docPr id="25650" name="Chart 256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B1CF5AC" w14:textId="77777777" w:rsidR="0090099C" w:rsidRPr="00F171A3" w:rsidRDefault="0090099C" w:rsidP="00216383">
      <w:pPr>
        <w:jc w:val="right"/>
        <w:rPr>
          <w:color w:val="BFBFBF" w:themeColor="background1" w:themeShade="BF"/>
        </w:rPr>
      </w:pPr>
      <w:r w:rsidRPr="00F171A3">
        <w:rPr>
          <w:color w:val="BFBFBF" w:themeColor="background1" w:themeShade="BF"/>
        </w:rPr>
        <w:t>Sursa: Procesare Civitta conform informațiilor transmise de către PS2</w:t>
      </w:r>
    </w:p>
    <w:p w14:paraId="2109C418"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În funcție de proiectele deja implementate și finalizate, figura de mai jos evidențiază cât % din bugetul total propus inițial pentru fiecare obiectiv s-a cheltuit cu acestea. Cu toate că numeric, cele mai mari sume sunt cheltuite în cadrul Obiectivului general - Infrastructură urbană adaptată la nevoile actuale și viitoare, raportat la bugetul total propus pentru fiecare obiectiv, cea mai mare pondere din acesta, 7,09% o cheltuie Obiectivul general 5 - Administrație publică performantă. </w:t>
      </w:r>
    </w:p>
    <w:p w14:paraId="3EFFE852" w14:textId="445DDE19" w:rsidR="0005757F" w:rsidRPr="00F171A3" w:rsidRDefault="0005757F" w:rsidP="0005757F">
      <w:pPr>
        <w:pStyle w:val="Caption"/>
      </w:pPr>
      <w:bookmarkStart w:id="66" w:name="_Toc127198006"/>
      <w:r w:rsidRPr="00F171A3">
        <w:t xml:space="preserve">Figura </w:t>
      </w:r>
      <w:r w:rsidRPr="00F171A3">
        <w:fldChar w:fldCharType="begin"/>
      </w:r>
      <w:r w:rsidRPr="00F171A3">
        <w:instrText xml:space="preserve"> SEQ Figura \* ARABIC </w:instrText>
      </w:r>
      <w:r w:rsidRPr="00F171A3">
        <w:fldChar w:fldCharType="separate"/>
      </w:r>
      <w:r w:rsidR="005A6DD8">
        <w:rPr>
          <w:noProof/>
        </w:rPr>
        <w:t>18</w:t>
      </w:r>
      <w:r w:rsidRPr="00F171A3">
        <w:fldChar w:fldCharType="end"/>
      </w:r>
      <w:r w:rsidRPr="00F171A3">
        <w:t xml:space="preserve"> </w:t>
      </w:r>
      <w:r w:rsidRPr="00F171A3">
        <w:rPr>
          <w:szCs w:val="18"/>
        </w:rPr>
        <w:t>Ponderea bugetului proiectelor finalizate din totalul bugetului propus la nivelul fiecărui obiectiv general din Strategia de Dezvoltare Locală Integrată și Durabilă a Sectorului 2 pentru perioada 2016 - 2025</w:t>
      </w:r>
      <w:bookmarkEnd w:id="66"/>
    </w:p>
    <w:p w14:paraId="3E0E4B2E"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2A780C47" wp14:editId="5A7BB751">
            <wp:extent cx="5943600" cy="2169042"/>
            <wp:effectExtent l="0" t="0" r="0" b="3175"/>
            <wp:docPr id="25651" name="Chart 256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5670232" w14:textId="77777777" w:rsidR="0090099C" w:rsidRPr="00F171A3" w:rsidRDefault="0090099C" w:rsidP="00216383">
      <w:pPr>
        <w:jc w:val="right"/>
        <w:rPr>
          <w:color w:val="BFBFBF" w:themeColor="background1" w:themeShade="BF"/>
        </w:rPr>
      </w:pPr>
      <w:r w:rsidRPr="00F171A3">
        <w:rPr>
          <w:color w:val="BFBFBF" w:themeColor="background1" w:themeShade="BF"/>
        </w:rPr>
        <w:t>Sursa: Procesare Civitta conform informațiilor transmise de către PS2</w:t>
      </w:r>
    </w:p>
    <w:p w14:paraId="1BCC13E1"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În figura de mai jos sunt reprezentate în prima imagine ponderea proiectelor propuse în portofoliul strategiei pentru fiecare obiectiv, iar în a doua imagine sunt reprezentate ponderea proiectelor finalizate sau în curs de implementare aferente fiecărui obiectiv până la momentul realizării analizei. Având în vedere acestea, se observă o tendință constantă de implementare a proiectelor și astfel, dacă cele mai multe proiecte (47,6%) au fost propuse inițial în cadrul obiectivului general 1, s-a menținut acest fapt și la nivel de implementare și în cadrul acestuia au fost implementate cele mai multe proiecte (48,0%). În cadrul obiectivului 2 au fost propuse cel mai scăzut număr de proiecte (6,1%) și astfel, cele mai puține proiecte implementate sunt specifice acestuia (2,0%). </w:t>
      </w:r>
    </w:p>
    <w:p w14:paraId="571C93C1" w14:textId="79D6115C" w:rsidR="0005757F" w:rsidRPr="00F171A3" w:rsidRDefault="0005757F" w:rsidP="0005757F">
      <w:pPr>
        <w:pStyle w:val="Caption"/>
      </w:pPr>
      <w:bookmarkStart w:id="67" w:name="_Toc127198007"/>
      <w:r w:rsidRPr="00F171A3">
        <w:t xml:space="preserve">Figura </w:t>
      </w:r>
      <w:r w:rsidRPr="00F171A3">
        <w:fldChar w:fldCharType="begin"/>
      </w:r>
      <w:r w:rsidRPr="00F171A3">
        <w:instrText xml:space="preserve"> SEQ Figura \* ARABIC </w:instrText>
      </w:r>
      <w:r w:rsidRPr="00F171A3">
        <w:fldChar w:fldCharType="separate"/>
      </w:r>
      <w:r w:rsidR="005A6DD8">
        <w:rPr>
          <w:noProof/>
        </w:rPr>
        <w:t>19</w:t>
      </w:r>
      <w:r w:rsidRPr="00F171A3">
        <w:fldChar w:fldCharType="end"/>
      </w:r>
      <w:r w:rsidRPr="00F171A3">
        <w:t xml:space="preserve"> </w:t>
      </w:r>
      <w:r w:rsidRPr="00F171A3">
        <w:rPr>
          <w:szCs w:val="18"/>
        </w:rPr>
        <w:t>Ponderea proiectelor propuse aferente fiecărui obiectiv (1) și ponderea proiectelor finalizate sau în curs de implementare aferente fiecărui obiectiv (2)</w:t>
      </w:r>
      <w:bookmarkEnd w:id="67"/>
    </w:p>
    <w:tbl>
      <w:tblPr>
        <w:tblStyle w:val="TableGrid2"/>
        <w:tblW w:w="9553" w:type="dxa"/>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544"/>
        <w:gridCol w:w="6009"/>
      </w:tblGrid>
      <w:tr w:rsidR="0090099C" w:rsidRPr="00F171A3" w14:paraId="6B88307A" w14:textId="77777777" w:rsidTr="002F5F8B">
        <w:tc>
          <w:tcPr>
            <w:tcW w:w="3544" w:type="dxa"/>
          </w:tcPr>
          <w:p w14:paraId="0AF8C3EE"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57347724" wp14:editId="12CB7C51">
                  <wp:extent cx="2115879" cy="3572539"/>
                  <wp:effectExtent l="0" t="0" r="0" b="8890"/>
                  <wp:docPr id="25652" name="Chart 256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6009" w:type="dxa"/>
          </w:tcPr>
          <w:p w14:paraId="048132D8" w14:textId="77777777" w:rsidR="0090099C" w:rsidRPr="00F171A3" w:rsidRDefault="0090099C" w:rsidP="0090099C">
            <w:pPr>
              <w:spacing w:beforeLines="60" w:before="144" w:afterLines="60" w:after="144"/>
              <w:rPr>
                <w:rFonts w:cstheme="minorHAnsi"/>
                <w:sz w:val="24"/>
                <w:lang w:eastAsia="ja-JP"/>
              </w:rPr>
            </w:pPr>
            <w:r w:rsidRPr="00F171A3">
              <w:rPr>
                <w:rFonts w:cstheme="minorHAnsi"/>
                <w:noProof/>
                <w:sz w:val="24"/>
              </w:rPr>
              <w:drawing>
                <wp:inline distT="0" distB="0" distL="0" distR="0" wp14:anchorId="236CF9E8" wp14:editId="26BC01E3">
                  <wp:extent cx="3636335" cy="3700130"/>
                  <wp:effectExtent l="0" t="0" r="2540" b="0"/>
                  <wp:docPr id="25653" name="Chart 256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bl>
    <w:p w14:paraId="62B8B85F" w14:textId="77777777" w:rsidR="0090099C" w:rsidRPr="00F171A3" w:rsidRDefault="0090099C" w:rsidP="00216383">
      <w:pPr>
        <w:jc w:val="right"/>
        <w:rPr>
          <w:color w:val="BFBFBF" w:themeColor="background1" w:themeShade="BF"/>
        </w:rPr>
      </w:pPr>
      <w:r w:rsidRPr="00F171A3">
        <w:rPr>
          <w:color w:val="BFBFBF" w:themeColor="background1" w:themeShade="BF"/>
        </w:rPr>
        <w:t>Sursa: Procesare Civitta conform informațiilor transmise de către PS2</w:t>
      </w:r>
    </w:p>
    <w:p w14:paraId="6385FEAF"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Conform datelor prezentate în tabelul de mai jos, cea mai mică rată de implementare a proiectelor este specifică Obiectivului general 2 -  </w:t>
      </w:r>
      <w:r w:rsidRPr="00F171A3">
        <w:rPr>
          <w:rFonts w:ascii="Calibri" w:eastAsia="Times New Roman" w:hAnsi="Calibri" w:cs="Times New Roman"/>
          <w:color w:val="000000"/>
          <w:lang w:eastAsia="ja-JP"/>
        </w:rPr>
        <w:t xml:space="preserve">Sector cu atractivitate crescută pentru forța de muncă și companii (10,5%). Prin urmare, măsurile cu impact economic au fost prioritizate cel mai puțin, prin comparație cu restul măsurilor propuse.  De asemenea, cea mai mare rată de implementare este observată în cadrul Obiectivului general 4-  Sector 2 - model de dezvoltare sistem albastru-verde (37,8%) și în cadrul Obiectivului general 5- Administrație publică performantă (37,8%). Astfel, raportat la planificarea </w:t>
      </w:r>
      <w:r w:rsidRPr="00F171A3">
        <w:rPr>
          <w:rFonts w:cstheme="minorHAnsi"/>
          <w:szCs w:val="20"/>
          <w:lang w:eastAsia="ja-JP"/>
        </w:rPr>
        <w:t xml:space="preserve">Strategiei de Dezvoltare Locală Integrată și Durabilă a Sectorului 2 pentru perioada 2016 – 2025, până în acest moment, cele mai prioritare au fost măsurile de mediu și măsurile de creștere a performanței administrative. </w:t>
      </w:r>
    </w:p>
    <w:p w14:paraId="2FC81424" w14:textId="50C12551" w:rsidR="0005757F" w:rsidRPr="00F171A3" w:rsidRDefault="0005757F" w:rsidP="0005757F">
      <w:pPr>
        <w:pStyle w:val="Caption"/>
      </w:pPr>
      <w:bookmarkStart w:id="68" w:name="_Toc126943269"/>
      <w:r w:rsidRPr="00F171A3">
        <w:t xml:space="preserve">Tabel </w:t>
      </w:r>
      <w:r w:rsidRPr="00F171A3">
        <w:fldChar w:fldCharType="begin"/>
      </w:r>
      <w:r w:rsidRPr="00F171A3">
        <w:instrText xml:space="preserve"> SEQ Tabel \* ARABIC </w:instrText>
      </w:r>
      <w:r w:rsidRPr="00F171A3">
        <w:fldChar w:fldCharType="separate"/>
      </w:r>
      <w:r w:rsidR="005A6DD8">
        <w:rPr>
          <w:noProof/>
        </w:rPr>
        <w:t>12</w:t>
      </w:r>
      <w:r w:rsidRPr="00F171A3">
        <w:fldChar w:fldCharType="end"/>
      </w:r>
      <w:r w:rsidRPr="00F171A3">
        <w:t xml:space="preserve"> </w:t>
      </w:r>
      <w:r w:rsidRPr="00F171A3">
        <w:rPr>
          <w:szCs w:val="18"/>
        </w:rPr>
        <w:t>Proiectele propuse în Strategia de Dezvoltare Locală Integrată și Durabilă a Sectorului 2 pentru perioada 2016 – 2025 vs proiectele finalizate sau în curs de finalizare</w:t>
      </w:r>
      <w:bookmarkEnd w:id="68"/>
    </w:p>
    <w:tbl>
      <w:tblPr>
        <w:tblStyle w:val="Civittatable9"/>
        <w:tblW w:w="4944" w:type="pct"/>
        <w:tblInd w:w="108" w:type="dxa"/>
        <w:tblLayout w:type="fixed"/>
        <w:tblLook w:val="04A0" w:firstRow="1" w:lastRow="0" w:firstColumn="1" w:lastColumn="0" w:noHBand="0" w:noVBand="1"/>
      </w:tblPr>
      <w:tblGrid>
        <w:gridCol w:w="3291"/>
        <w:gridCol w:w="2013"/>
        <w:gridCol w:w="2013"/>
        <w:gridCol w:w="2013"/>
      </w:tblGrid>
      <w:tr w:rsidR="0090099C" w:rsidRPr="00F171A3" w14:paraId="11FE10B6" w14:textId="77777777" w:rsidTr="00216383">
        <w:trPr>
          <w:cnfStyle w:val="100000000000" w:firstRow="1" w:lastRow="0" w:firstColumn="0" w:lastColumn="0" w:oddVBand="0" w:evenVBand="0" w:oddHBand="0" w:evenHBand="0" w:firstRowFirstColumn="0" w:firstRowLastColumn="0" w:lastRowFirstColumn="0" w:lastRowLastColumn="0"/>
          <w:trHeight w:val="300"/>
        </w:trPr>
        <w:tc>
          <w:tcPr>
            <w:tcW w:w="1763" w:type="pct"/>
            <w:noWrap/>
            <w:vAlign w:val="center"/>
            <w:hideMark/>
          </w:tcPr>
          <w:p w14:paraId="5A114FB4" w14:textId="77777777" w:rsidR="0090099C" w:rsidRPr="00F171A3" w:rsidRDefault="0090099C" w:rsidP="002F5F8B">
            <w:pPr>
              <w:spacing w:after="0"/>
              <w:jc w:val="center"/>
              <w:rPr>
                <w:rFonts w:ascii="Calibri" w:eastAsia="Times New Roman" w:hAnsi="Calibri" w:cs="Times New Roman"/>
                <w:b/>
              </w:rPr>
            </w:pPr>
            <w:r w:rsidRPr="00F171A3">
              <w:rPr>
                <w:rFonts w:ascii="Calibri" w:eastAsia="Times New Roman" w:hAnsi="Calibri" w:cs="Times New Roman"/>
                <w:b/>
              </w:rPr>
              <w:t>OBIECTIVE</w:t>
            </w:r>
          </w:p>
        </w:tc>
        <w:tc>
          <w:tcPr>
            <w:tcW w:w="1079" w:type="pct"/>
            <w:noWrap/>
            <w:vAlign w:val="center"/>
            <w:hideMark/>
          </w:tcPr>
          <w:p w14:paraId="652B7F8F" w14:textId="77777777" w:rsidR="0090099C" w:rsidRPr="00F171A3" w:rsidRDefault="0090099C" w:rsidP="002F5F8B">
            <w:pPr>
              <w:spacing w:after="0"/>
              <w:jc w:val="center"/>
              <w:rPr>
                <w:rFonts w:ascii="Calibri" w:eastAsia="Times New Roman" w:hAnsi="Calibri" w:cs="Times New Roman"/>
                <w:b/>
              </w:rPr>
            </w:pPr>
            <w:r w:rsidRPr="00F171A3">
              <w:rPr>
                <w:rFonts w:ascii="Calibri" w:eastAsia="Times New Roman" w:hAnsi="Calibri" w:cs="Times New Roman"/>
                <w:b/>
              </w:rPr>
              <w:t>PROIECTE TOTALE PROPUSE</w:t>
            </w:r>
          </w:p>
        </w:tc>
        <w:tc>
          <w:tcPr>
            <w:tcW w:w="1079" w:type="pct"/>
            <w:noWrap/>
            <w:vAlign w:val="center"/>
            <w:hideMark/>
          </w:tcPr>
          <w:p w14:paraId="50C9829D" w14:textId="77777777" w:rsidR="0090099C" w:rsidRPr="00F171A3" w:rsidRDefault="0090099C" w:rsidP="002F5F8B">
            <w:pPr>
              <w:spacing w:after="0"/>
              <w:jc w:val="center"/>
              <w:rPr>
                <w:rFonts w:ascii="Calibri" w:eastAsia="Times New Roman" w:hAnsi="Calibri" w:cs="Times New Roman"/>
                <w:b/>
              </w:rPr>
            </w:pPr>
            <w:r w:rsidRPr="00F171A3">
              <w:rPr>
                <w:rFonts w:ascii="Calibri" w:eastAsia="Times New Roman" w:hAnsi="Calibri" w:cs="Times New Roman"/>
                <w:b/>
              </w:rPr>
              <w:t>PROIECTE FINALIZATE SAU ÎN IMPLEMENTATE</w:t>
            </w:r>
          </w:p>
        </w:tc>
        <w:tc>
          <w:tcPr>
            <w:tcW w:w="1079" w:type="pct"/>
            <w:vAlign w:val="center"/>
          </w:tcPr>
          <w:p w14:paraId="5DA4AFED" w14:textId="77777777" w:rsidR="0090099C" w:rsidRPr="00F171A3" w:rsidRDefault="0090099C" w:rsidP="002F5F8B">
            <w:pPr>
              <w:spacing w:after="0"/>
              <w:jc w:val="center"/>
              <w:rPr>
                <w:rFonts w:ascii="Calibri" w:eastAsia="Times New Roman" w:hAnsi="Calibri" w:cs="Times New Roman"/>
                <w:b/>
              </w:rPr>
            </w:pPr>
            <w:r w:rsidRPr="00F171A3">
              <w:rPr>
                <w:rFonts w:ascii="Calibri" w:eastAsia="Times New Roman" w:hAnsi="Calibri" w:cs="Times New Roman"/>
                <w:b/>
              </w:rPr>
              <w:t>% DIN TOTALUL PROIECTELOR PROPUSE</w:t>
            </w:r>
          </w:p>
        </w:tc>
      </w:tr>
      <w:tr w:rsidR="0090099C" w:rsidRPr="00F171A3" w14:paraId="1EE31386" w14:textId="77777777" w:rsidTr="00216383">
        <w:trPr>
          <w:cnfStyle w:val="000000100000" w:firstRow="0" w:lastRow="0" w:firstColumn="0" w:lastColumn="0" w:oddVBand="0" w:evenVBand="0" w:oddHBand="1" w:evenHBand="0" w:firstRowFirstColumn="0" w:firstRowLastColumn="0" w:lastRowFirstColumn="0" w:lastRowLastColumn="0"/>
          <w:trHeight w:val="315"/>
        </w:trPr>
        <w:tc>
          <w:tcPr>
            <w:tcW w:w="1763" w:type="pct"/>
            <w:noWrap/>
            <w:hideMark/>
          </w:tcPr>
          <w:p w14:paraId="5AD3C206" w14:textId="77777777" w:rsidR="0090099C" w:rsidRPr="00F171A3" w:rsidRDefault="0090099C" w:rsidP="0090099C">
            <w:pPr>
              <w:spacing w:after="0"/>
              <w:rPr>
                <w:rFonts w:ascii="Calibri" w:eastAsia="Times New Roman" w:hAnsi="Calibri" w:cs="Times New Roman"/>
                <w:color w:val="000000"/>
              </w:rPr>
            </w:pPr>
            <w:r w:rsidRPr="00F171A3">
              <w:rPr>
                <w:rFonts w:ascii="Calibri" w:eastAsia="Times New Roman" w:hAnsi="Calibri" w:cs="Times New Roman"/>
                <w:color w:val="000000"/>
              </w:rPr>
              <w:t>O1. Locuire, servicii și cultură adaptate unei comunităţi active și implicate</w:t>
            </w:r>
          </w:p>
        </w:tc>
        <w:tc>
          <w:tcPr>
            <w:tcW w:w="1079" w:type="pct"/>
            <w:noWrap/>
            <w:hideMark/>
          </w:tcPr>
          <w:p w14:paraId="08C74AF5"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148</w:t>
            </w:r>
          </w:p>
        </w:tc>
        <w:tc>
          <w:tcPr>
            <w:tcW w:w="1079" w:type="pct"/>
            <w:noWrap/>
            <w:hideMark/>
          </w:tcPr>
          <w:p w14:paraId="60934642"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47</w:t>
            </w:r>
          </w:p>
        </w:tc>
        <w:tc>
          <w:tcPr>
            <w:tcW w:w="1079" w:type="pct"/>
          </w:tcPr>
          <w:p w14:paraId="0CFB4718" w14:textId="77777777" w:rsidR="0090099C" w:rsidRPr="00F171A3" w:rsidRDefault="0090099C" w:rsidP="0090099C">
            <w:pPr>
              <w:spacing w:after="0"/>
              <w:jc w:val="right"/>
              <w:rPr>
                <w:rFonts w:ascii="Calibri" w:eastAsia="Times New Roman" w:hAnsi="Calibri" w:cs="Times New Roman"/>
                <w:color w:val="000000"/>
                <w:szCs w:val="18"/>
              </w:rPr>
            </w:pPr>
            <w:r w:rsidRPr="00F171A3">
              <w:rPr>
                <w:szCs w:val="18"/>
              </w:rPr>
              <w:t>31,8%</w:t>
            </w:r>
          </w:p>
        </w:tc>
      </w:tr>
      <w:tr w:rsidR="0090099C" w:rsidRPr="00F171A3" w14:paraId="550D37BF" w14:textId="77777777" w:rsidTr="00216383">
        <w:trPr>
          <w:cnfStyle w:val="000000010000" w:firstRow="0" w:lastRow="0" w:firstColumn="0" w:lastColumn="0" w:oddVBand="0" w:evenVBand="0" w:oddHBand="0" w:evenHBand="1" w:firstRowFirstColumn="0" w:firstRowLastColumn="0" w:lastRowFirstColumn="0" w:lastRowLastColumn="0"/>
          <w:trHeight w:val="315"/>
        </w:trPr>
        <w:tc>
          <w:tcPr>
            <w:tcW w:w="1763" w:type="pct"/>
            <w:noWrap/>
            <w:hideMark/>
          </w:tcPr>
          <w:p w14:paraId="0870D12D" w14:textId="77777777" w:rsidR="0090099C" w:rsidRPr="00F171A3" w:rsidRDefault="0090099C" w:rsidP="0090099C">
            <w:pPr>
              <w:spacing w:after="0"/>
              <w:rPr>
                <w:rFonts w:ascii="Calibri" w:eastAsia="Times New Roman" w:hAnsi="Calibri" w:cs="Times New Roman"/>
                <w:color w:val="000000"/>
              </w:rPr>
            </w:pPr>
            <w:r w:rsidRPr="00F171A3">
              <w:rPr>
                <w:rFonts w:ascii="Calibri" w:eastAsia="Times New Roman" w:hAnsi="Calibri" w:cs="Times New Roman"/>
                <w:color w:val="000000"/>
              </w:rPr>
              <w:t>O2. Sector cu atractivitate crescută pentru forța de muncă și companii</w:t>
            </w:r>
          </w:p>
        </w:tc>
        <w:tc>
          <w:tcPr>
            <w:tcW w:w="1079" w:type="pct"/>
            <w:noWrap/>
            <w:hideMark/>
          </w:tcPr>
          <w:p w14:paraId="6B15687D"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19</w:t>
            </w:r>
          </w:p>
        </w:tc>
        <w:tc>
          <w:tcPr>
            <w:tcW w:w="1079" w:type="pct"/>
            <w:noWrap/>
            <w:hideMark/>
          </w:tcPr>
          <w:p w14:paraId="2F5665A4"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2</w:t>
            </w:r>
          </w:p>
        </w:tc>
        <w:tc>
          <w:tcPr>
            <w:tcW w:w="1079" w:type="pct"/>
          </w:tcPr>
          <w:p w14:paraId="20862384" w14:textId="77777777" w:rsidR="0090099C" w:rsidRPr="00F171A3" w:rsidRDefault="0090099C" w:rsidP="0090099C">
            <w:pPr>
              <w:spacing w:after="0"/>
              <w:jc w:val="right"/>
              <w:rPr>
                <w:rFonts w:ascii="Calibri" w:eastAsia="Times New Roman" w:hAnsi="Calibri" w:cs="Times New Roman"/>
                <w:color w:val="000000"/>
                <w:szCs w:val="18"/>
              </w:rPr>
            </w:pPr>
            <w:r w:rsidRPr="00F171A3">
              <w:rPr>
                <w:color w:val="FF0000"/>
                <w:szCs w:val="18"/>
              </w:rPr>
              <w:t>10,5%</w:t>
            </w:r>
          </w:p>
        </w:tc>
      </w:tr>
      <w:tr w:rsidR="0090099C" w:rsidRPr="00F171A3" w14:paraId="14BCFB5A" w14:textId="77777777" w:rsidTr="00216383">
        <w:trPr>
          <w:cnfStyle w:val="000000100000" w:firstRow="0" w:lastRow="0" w:firstColumn="0" w:lastColumn="0" w:oddVBand="0" w:evenVBand="0" w:oddHBand="1" w:evenHBand="0" w:firstRowFirstColumn="0" w:firstRowLastColumn="0" w:lastRowFirstColumn="0" w:lastRowLastColumn="0"/>
          <w:trHeight w:val="315"/>
        </w:trPr>
        <w:tc>
          <w:tcPr>
            <w:tcW w:w="1763" w:type="pct"/>
            <w:noWrap/>
            <w:hideMark/>
          </w:tcPr>
          <w:p w14:paraId="77208E73" w14:textId="77777777" w:rsidR="0090099C" w:rsidRPr="00F171A3" w:rsidRDefault="0090099C" w:rsidP="0090099C">
            <w:pPr>
              <w:spacing w:after="0"/>
              <w:rPr>
                <w:rFonts w:ascii="Calibri" w:eastAsia="Times New Roman" w:hAnsi="Calibri" w:cs="Times New Roman"/>
                <w:color w:val="000000"/>
              </w:rPr>
            </w:pPr>
            <w:r w:rsidRPr="00F171A3">
              <w:rPr>
                <w:rFonts w:ascii="Calibri" w:eastAsia="Times New Roman" w:hAnsi="Calibri" w:cs="Times New Roman"/>
                <w:color w:val="000000"/>
              </w:rPr>
              <w:t>O3. Infrastructură urbană adaptată la nevoile actuale și viitoare</w:t>
            </w:r>
          </w:p>
        </w:tc>
        <w:tc>
          <w:tcPr>
            <w:tcW w:w="1079" w:type="pct"/>
            <w:noWrap/>
            <w:hideMark/>
          </w:tcPr>
          <w:p w14:paraId="3705B97B"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62</w:t>
            </w:r>
          </w:p>
        </w:tc>
        <w:tc>
          <w:tcPr>
            <w:tcW w:w="1079" w:type="pct"/>
            <w:noWrap/>
            <w:hideMark/>
          </w:tcPr>
          <w:p w14:paraId="71A96624"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18</w:t>
            </w:r>
          </w:p>
        </w:tc>
        <w:tc>
          <w:tcPr>
            <w:tcW w:w="1079" w:type="pct"/>
          </w:tcPr>
          <w:p w14:paraId="0AC077B4" w14:textId="77777777" w:rsidR="0090099C" w:rsidRPr="00F171A3" w:rsidRDefault="0090099C" w:rsidP="0090099C">
            <w:pPr>
              <w:spacing w:after="0"/>
              <w:jc w:val="right"/>
              <w:rPr>
                <w:rFonts w:ascii="Calibri" w:eastAsia="Times New Roman" w:hAnsi="Calibri" w:cs="Times New Roman"/>
                <w:color w:val="000000"/>
                <w:szCs w:val="18"/>
              </w:rPr>
            </w:pPr>
            <w:r w:rsidRPr="00F171A3">
              <w:rPr>
                <w:szCs w:val="18"/>
              </w:rPr>
              <w:t>29,0%</w:t>
            </w:r>
          </w:p>
        </w:tc>
      </w:tr>
      <w:tr w:rsidR="0090099C" w:rsidRPr="00F171A3" w14:paraId="49459934" w14:textId="77777777" w:rsidTr="00216383">
        <w:trPr>
          <w:cnfStyle w:val="000000010000" w:firstRow="0" w:lastRow="0" w:firstColumn="0" w:lastColumn="0" w:oddVBand="0" w:evenVBand="0" w:oddHBand="0" w:evenHBand="1" w:firstRowFirstColumn="0" w:firstRowLastColumn="0" w:lastRowFirstColumn="0" w:lastRowLastColumn="0"/>
          <w:trHeight w:val="315"/>
        </w:trPr>
        <w:tc>
          <w:tcPr>
            <w:tcW w:w="1763" w:type="pct"/>
            <w:noWrap/>
            <w:hideMark/>
          </w:tcPr>
          <w:p w14:paraId="31035FB2" w14:textId="77777777" w:rsidR="0090099C" w:rsidRPr="00F171A3" w:rsidRDefault="0090099C" w:rsidP="0090099C">
            <w:pPr>
              <w:spacing w:after="0"/>
              <w:rPr>
                <w:rFonts w:ascii="Calibri" w:eastAsia="Times New Roman" w:hAnsi="Calibri" w:cs="Times New Roman"/>
                <w:color w:val="000000"/>
              </w:rPr>
            </w:pPr>
            <w:r w:rsidRPr="00F171A3">
              <w:rPr>
                <w:rFonts w:ascii="Calibri" w:eastAsia="Times New Roman" w:hAnsi="Calibri" w:cs="Times New Roman"/>
                <w:color w:val="000000"/>
              </w:rPr>
              <w:t>O4. Sector 2 - model de dezvoltare sistem albastru-verde</w:t>
            </w:r>
          </w:p>
        </w:tc>
        <w:tc>
          <w:tcPr>
            <w:tcW w:w="1079" w:type="pct"/>
            <w:noWrap/>
            <w:hideMark/>
          </w:tcPr>
          <w:p w14:paraId="697B0BC0"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37</w:t>
            </w:r>
          </w:p>
        </w:tc>
        <w:tc>
          <w:tcPr>
            <w:tcW w:w="1079" w:type="pct"/>
            <w:noWrap/>
            <w:hideMark/>
          </w:tcPr>
          <w:p w14:paraId="307EA7A8"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14</w:t>
            </w:r>
          </w:p>
        </w:tc>
        <w:tc>
          <w:tcPr>
            <w:tcW w:w="1079" w:type="pct"/>
          </w:tcPr>
          <w:p w14:paraId="05F2A8E2" w14:textId="77777777" w:rsidR="0090099C" w:rsidRPr="00F171A3" w:rsidRDefault="0090099C" w:rsidP="0090099C">
            <w:pPr>
              <w:spacing w:after="0"/>
              <w:jc w:val="right"/>
              <w:rPr>
                <w:rFonts w:ascii="Calibri" w:eastAsia="Times New Roman" w:hAnsi="Calibri" w:cs="Times New Roman"/>
                <w:color w:val="588133" w:themeColor="accent6"/>
                <w:szCs w:val="18"/>
              </w:rPr>
            </w:pPr>
            <w:r w:rsidRPr="00F171A3">
              <w:rPr>
                <w:color w:val="588133" w:themeColor="accent6"/>
                <w:szCs w:val="18"/>
              </w:rPr>
              <w:t>37,8%</w:t>
            </w:r>
          </w:p>
        </w:tc>
      </w:tr>
      <w:tr w:rsidR="0090099C" w:rsidRPr="00F171A3" w14:paraId="5C2C847D" w14:textId="77777777" w:rsidTr="00216383">
        <w:trPr>
          <w:cnfStyle w:val="000000100000" w:firstRow="0" w:lastRow="0" w:firstColumn="0" w:lastColumn="0" w:oddVBand="0" w:evenVBand="0" w:oddHBand="1" w:evenHBand="0" w:firstRowFirstColumn="0" w:firstRowLastColumn="0" w:lastRowFirstColumn="0" w:lastRowLastColumn="0"/>
          <w:trHeight w:val="315"/>
        </w:trPr>
        <w:tc>
          <w:tcPr>
            <w:tcW w:w="1763" w:type="pct"/>
            <w:noWrap/>
            <w:hideMark/>
          </w:tcPr>
          <w:p w14:paraId="0E133516" w14:textId="77777777" w:rsidR="0090099C" w:rsidRPr="00F171A3" w:rsidRDefault="0090099C" w:rsidP="0090099C">
            <w:pPr>
              <w:spacing w:after="0"/>
              <w:rPr>
                <w:rFonts w:ascii="Calibri" w:eastAsia="Times New Roman" w:hAnsi="Calibri" w:cs="Times New Roman"/>
                <w:color w:val="000000"/>
              </w:rPr>
            </w:pPr>
            <w:r w:rsidRPr="00F171A3">
              <w:rPr>
                <w:rFonts w:ascii="Calibri" w:eastAsia="Times New Roman" w:hAnsi="Calibri" w:cs="Times New Roman"/>
                <w:color w:val="000000"/>
              </w:rPr>
              <w:t>O5. Administrație publică performantă</w:t>
            </w:r>
          </w:p>
        </w:tc>
        <w:tc>
          <w:tcPr>
            <w:tcW w:w="1079" w:type="pct"/>
            <w:noWrap/>
            <w:hideMark/>
          </w:tcPr>
          <w:p w14:paraId="11E854A0"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45</w:t>
            </w:r>
          </w:p>
        </w:tc>
        <w:tc>
          <w:tcPr>
            <w:tcW w:w="1079" w:type="pct"/>
            <w:noWrap/>
            <w:hideMark/>
          </w:tcPr>
          <w:p w14:paraId="19034A7B" w14:textId="77777777" w:rsidR="0090099C" w:rsidRPr="00F171A3" w:rsidRDefault="0090099C" w:rsidP="0090099C">
            <w:pPr>
              <w:spacing w:after="0"/>
              <w:jc w:val="right"/>
              <w:rPr>
                <w:rFonts w:ascii="Calibri" w:eastAsia="Times New Roman" w:hAnsi="Calibri" w:cs="Times New Roman"/>
                <w:color w:val="000000"/>
              </w:rPr>
            </w:pPr>
            <w:r w:rsidRPr="00F171A3">
              <w:rPr>
                <w:rFonts w:ascii="Calibri" w:eastAsia="Times New Roman" w:hAnsi="Calibri" w:cs="Times New Roman"/>
                <w:color w:val="000000"/>
              </w:rPr>
              <w:t>17</w:t>
            </w:r>
          </w:p>
        </w:tc>
        <w:tc>
          <w:tcPr>
            <w:tcW w:w="1079" w:type="pct"/>
          </w:tcPr>
          <w:p w14:paraId="2E4D07AF" w14:textId="77777777" w:rsidR="0090099C" w:rsidRPr="00F171A3" w:rsidRDefault="0090099C" w:rsidP="0090099C">
            <w:pPr>
              <w:spacing w:after="0"/>
              <w:jc w:val="right"/>
              <w:rPr>
                <w:rFonts w:ascii="Calibri" w:eastAsia="Times New Roman" w:hAnsi="Calibri" w:cs="Times New Roman"/>
                <w:color w:val="588133" w:themeColor="accent6"/>
                <w:szCs w:val="18"/>
              </w:rPr>
            </w:pPr>
            <w:r w:rsidRPr="00F171A3">
              <w:rPr>
                <w:color w:val="588133" w:themeColor="accent6"/>
                <w:szCs w:val="18"/>
              </w:rPr>
              <w:t>37,8%</w:t>
            </w:r>
          </w:p>
        </w:tc>
      </w:tr>
      <w:tr w:rsidR="0090099C" w:rsidRPr="00F171A3" w14:paraId="32D60783" w14:textId="77777777" w:rsidTr="00216383">
        <w:trPr>
          <w:cnfStyle w:val="000000010000" w:firstRow="0" w:lastRow="0" w:firstColumn="0" w:lastColumn="0" w:oddVBand="0" w:evenVBand="0" w:oddHBand="0" w:evenHBand="1" w:firstRowFirstColumn="0" w:firstRowLastColumn="0" w:lastRowFirstColumn="0" w:lastRowLastColumn="0"/>
          <w:trHeight w:val="315"/>
        </w:trPr>
        <w:tc>
          <w:tcPr>
            <w:tcW w:w="1763" w:type="pct"/>
            <w:shd w:val="clear" w:color="auto" w:fill="ABCD3A" w:themeFill="accent5"/>
            <w:noWrap/>
            <w:vAlign w:val="center"/>
            <w:hideMark/>
          </w:tcPr>
          <w:p w14:paraId="32E386ED" w14:textId="77777777" w:rsidR="0090099C" w:rsidRPr="00F171A3" w:rsidRDefault="0090099C" w:rsidP="002F5F8B">
            <w:pPr>
              <w:spacing w:after="0"/>
              <w:jc w:val="center"/>
              <w:rPr>
                <w:rFonts w:ascii="Calibri" w:eastAsia="Times New Roman" w:hAnsi="Calibri" w:cs="Times New Roman"/>
                <w:b/>
                <w:bCs/>
                <w:color w:val="FFFFFF" w:themeColor="background1"/>
              </w:rPr>
            </w:pPr>
            <w:r w:rsidRPr="00F171A3">
              <w:rPr>
                <w:rFonts w:ascii="Calibri" w:eastAsia="Times New Roman" w:hAnsi="Calibri" w:cs="Times New Roman"/>
                <w:b/>
                <w:bCs/>
                <w:color w:val="FFFFFF" w:themeColor="background1"/>
              </w:rPr>
              <w:t>TOTAL</w:t>
            </w:r>
          </w:p>
        </w:tc>
        <w:tc>
          <w:tcPr>
            <w:tcW w:w="1079" w:type="pct"/>
            <w:shd w:val="clear" w:color="auto" w:fill="ABCD3A" w:themeFill="accent5"/>
            <w:noWrap/>
            <w:vAlign w:val="center"/>
            <w:hideMark/>
          </w:tcPr>
          <w:p w14:paraId="5DBC11EE" w14:textId="77777777" w:rsidR="0090099C" w:rsidRPr="00F171A3" w:rsidRDefault="0090099C" w:rsidP="002F5F8B">
            <w:pPr>
              <w:spacing w:after="0"/>
              <w:jc w:val="center"/>
              <w:rPr>
                <w:rFonts w:ascii="Calibri" w:eastAsia="Times New Roman" w:hAnsi="Calibri" w:cs="Times New Roman"/>
                <w:b/>
                <w:bCs/>
                <w:color w:val="FFFFFF" w:themeColor="background1"/>
              </w:rPr>
            </w:pPr>
            <w:r w:rsidRPr="00F171A3">
              <w:rPr>
                <w:rFonts w:ascii="Calibri" w:eastAsia="Times New Roman" w:hAnsi="Calibri" w:cs="Times New Roman"/>
                <w:b/>
                <w:bCs/>
                <w:color w:val="FFFFFF" w:themeColor="background1"/>
              </w:rPr>
              <w:t>311</w:t>
            </w:r>
          </w:p>
        </w:tc>
        <w:tc>
          <w:tcPr>
            <w:tcW w:w="1079" w:type="pct"/>
            <w:shd w:val="clear" w:color="auto" w:fill="ABCD3A" w:themeFill="accent5"/>
            <w:noWrap/>
            <w:vAlign w:val="center"/>
            <w:hideMark/>
          </w:tcPr>
          <w:p w14:paraId="1308BD84" w14:textId="77777777" w:rsidR="0090099C" w:rsidRPr="00F171A3" w:rsidRDefault="0090099C" w:rsidP="002F5F8B">
            <w:pPr>
              <w:spacing w:after="0"/>
              <w:jc w:val="center"/>
              <w:rPr>
                <w:rFonts w:ascii="Calibri" w:eastAsia="Times New Roman" w:hAnsi="Calibri" w:cs="Times New Roman"/>
                <w:b/>
                <w:bCs/>
                <w:color w:val="FFFFFF" w:themeColor="background1"/>
              </w:rPr>
            </w:pPr>
            <w:r w:rsidRPr="00F171A3">
              <w:rPr>
                <w:rFonts w:ascii="Calibri" w:eastAsia="Times New Roman" w:hAnsi="Calibri" w:cs="Times New Roman"/>
                <w:b/>
                <w:bCs/>
                <w:color w:val="FFFFFF" w:themeColor="background1"/>
              </w:rPr>
              <w:t>98</w:t>
            </w:r>
          </w:p>
        </w:tc>
        <w:tc>
          <w:tcPr>
            <w:tcW w:w="1079" w:type="pct"/>
            <w:shd w:val="clear" w:color="auto" w:fill="ABCD3A" w:themeFill="accent5"/>
            <w:vAlign w:val="center"/>
          </w:tcPr>
          <w:p w14:paraId="515B3390" w14:textId="77777777" w:rsidR="0090099C" w:rsidRPr="00F171A3" w:rsidRDefault="0090099C" w:rsidP="002F5F8B">
            <w:pPr>
              <w:spacing w:after="0"/>
              <w:jc w:val="center"/>
              <w:rPr>
                <w:rFonts w:ascii="Calibri" w:eastAsia="Times New Roman" w:hAnsi="Calibri" w:cs="Times New Roman"/>
                <w:b/>
                <w:bCs/>
                <w:color w:val="FFFFFF" w:themeColor="background1"/>
              </w:rPr>
            </w:pPr>
          </w:p>
        </w:tc>
      </w:tr>
      <w:tr w:rsidR="0090099C" w:rsidRPr="00F171A3" w14:paraId="070F3F0B" w14:textId="77777777" w:rsidTr="00216383">
        <w:trPr>
          <w:cnfStyle w:val="000000100000" w:firstRow="0" w:lastRow="0" w:firstColumn="0" w:lastColumn="0" w:oddVBand="0" w:evenVBand="0" w:oddHBand="1" w:evenHBand="0" w:firstRowFirstColumn="0" w:firstRowLastColumn="0" w:lastRowFirstColumn="0" w:lastRowLastColumn="0"/>
          <w:trHeight w:val="315"/>
        </w:trPr>
        <w:tc>
          <w:tcPr>
            <w:tcW w:w="1763" w:type="pct"/>
            <w:shd w:val="clear" w:color="auto" w:fill="ABCD3A" w:themeFill="accent5"/>
            <w:noWrap/>
            <w:vAlign w:val="center"/>
            <w:hideMark/>
          </w:tcPr>
          <w:p w14:paraId="57EAEB27" w14:textId="77777777" w:rsidR="0090099C" w:rsidRPr="00F171A3" w:rsidRDefault="0090099C" w:rsidP="002F5F8B">
            <w:pPr>
              <w:spacing w:after="0"/>
              <w:jc w:val="center"/>
              <w:rPr>
                <w:rFonts w:ascii="Calibri" w:eastAsia="Times New Roman" w:hAnsi="Calibri" w:cs="Times New Roman"/>
                <w:b/>
                <w:bCs/>
                <w:color w:val="FFFFFF" w:themeColor="background1"/>
              </w:rPr>
            </w:pPr>
            <w:r w:rsidRPr="00F171A3">
              <w:rPr>
                <w:rFonts w:ascii="Calibri" w:eastAsia="Times New Roman" w:hAnsi="Calibri" w:cs="Times New Roman"/>
                <w:b/>
                <w:bCs/>
                <w:color w:val="FFFFFF" w:themeColor="background1"/>
              </w:rPr>
              <w:t>% proiectelor finalizare sau în implementare</w:t>
            </w:r>
          </w:p>
        </w:tc>
        <w:tc>
          <w:tcPr>
            <w:tcW w:w="3237" w:type="pct"/>
            <w:gridSpan w:val="3"/>
            <w:shd w:val="clear" w:color="auto" w:fill="ABCD3A" w:themeFill="accent5"/>
            <w:noWrap/>
            <w:vAlign w:val="center"/>
            <w:hideMark/>
          </w:tcPr>
          <w:p w14:paraId="6A4C2AB5" w14:textId="77777777" w:rsidR="0090099C" w:rsidRPr="00F171A3" w:rsidRDefault="0090099C" w:rsidP="002F5F8B">
            <w:pPr>
              <w:spacing w:after="0"/>
              <w:jc w:val="center"/>
              <w:rPr>
                <w:rFonts w:ascii="Calibri" w:eastAsia="Times New Roman" w:hAnsi="Calibri" w:cs="Times New Roman"/>
                <w:b/>
                <w:bCs/>
                <w:color w:val="FFFFFF" w:themeColor="background1"/>
              </w:rPr>
            </w:pPr>
            <w:r w:rsidRPr="00F171A3">
              <w:rPr>
                <w:rFonts w:ascii="Calibri" w:eastAsia="Times New Roman" w:hAnsi="Calibri" w:cs="Times New Roman"/>
                <w:b/>
                <w:bCs/>
                <w:color w:val="FFFFFF" w:themeColor="background1"/>
              </w:rPr>
              <w:t>31,5%</w:t>
            </w:r>
          </w:p>
        </w:tc>
      </w:tr>
    </w:tbl>
    <w:p w14:paraId="6EF241F0" w14:textId="77777777" w:rsidR="0090099C" w:rsidRPr="00F171A3" w:rsidRDefault="0090099C" w:rsidP="00216383">
      <w:pPr>
        <w:jc w:val="right"/>
        <w:rPr>
          <w:color w:val="BFBFBF" w:themeColor="background1" w:themeShade="BF"/>
        </w:rPr>
      </w:pPr>
      <w:r w:rsidRPr="00F171A3">
        <w:rPr>
          <w:color w:val="BFBFBF" w:themeColor="background1" w:themeShade="BF"/>
        </w:rPr>
        <w:t>Sursa: Procesare Civitta conform informațiilor transmise de către PS2</w:t>
      </w:r>
    </w:p>
    <w:p w14:paraId="5ED89630"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Având în vedere aceste aspecte, la momentul efectuării analizei intermediare și conform informațiilor, mai mult de 1/3 din totalul proiectelor propuse în cadrul portofoliului de proiecte aferent Strategiei de Dezvoltare Locală Integrată și Durabilă a Sectorului 2 pentru perioada 2016 – 2025  au fost deja implementate sau inițiate. </w:t>
      </w:r>
    </w:p>
    <w:p w14:paraId="36068EF9"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Ca urmare a analizelor gradului de implementare a proiectelor, domeniul care necesită un impuls prin abordarea de noi proiecte pentru a se plasa pe o poziție favorabilă e specific în special Obiectivul general 2 – sector cu atractivitate crescută pentru forță de muncă. </w:t>
      </w:r>
    </w:p>
    <w:p w14:paraId="34A7B0A3" w14:textId="77777777" w:rsidR="0090099C" w:rsidRPr="00F171A3" w:rsidRDefault="0090099C" w:rsidP="0090099C">
      <w:pPr>
        <w:spacing w:beforeLines="60" w:before="144" w:afterLines="60" w:after="144"/>
        <w:rPr>
          <w:rFonts w:cstheme="minorHAnsi"/>
          <w:szCs w:val="20"/>
          <w:lang w:eastAsia="ja-JP"/>
        </w:rPr>
      </w:pPr>
      <w:r w:rsidRPr="00F171A3">
        <w:rPr>
          <w:rFonts w:cstheme="minorHAnsi"/>
          <w:szCs w:val="20"/>
          <w:lang w:eastAsia="ja-JP"/>
        </w:rPr>
        <w:t xml:space="preserve">Totodată, este necesar de menționat faptul că situația prezentă reprezintă doar un parcurs din implementarea portofoliului de proiecte realizat în cadrul actualizării strategiei de dezvoltare, orizontul acestora fiind anul 2025.  Prin urmare, o serie de proiecte care până la momentul actual nu au fost inițiate fac obiectul unor potențiale direcții de acțiune capabile să influențe nivelul de dezvoltare socio-economic al Sectorului 2.  În plus, ținând cont de durata procesului de obținere a finanțării, ținând cont de durata de implementare pentru majoritatea proiectelor și de numărul ridicat de proiecte care se află la momentul actual în curs de demarare sau planificate, acestea vor avea un impact semnificativ în dezvoltarea Sectorului 2 prin îmbunătățirea calității locuirii, prin îmbunătățirea infrastructurii, prin îmbunătățirea calității mediului, a zonelor verzi și a zonelor de agrement și prin îmbunătățirea performanței de la nivelul administrației publice. </w:t>
      </w:r>
    </w:p>
    <w:p w14:paraId="20303050" w14:textId="77777777" w:rsidR="0090099C" w:rsidRPr="00F171A3" w:rsidRDefault="0090099C" w:rsidP="0090099C">
      <w:pPr>
        <w:spacing w:beforeLines="60" w:before="144" w:afterLines="60" w:after="144"/>
        <w:rPr>
          <w:rFonts w:cstheme="minorHAnsi"/>
          <w:sz w:val="24"/>
          <w:lang w:eastAsia="ja-JP"/>
        </w:rPr>
      </w:pPr>
    </w:p>
    <w:p w14:paraId="73BA3165" w14:textId="77777777" w:rsidR="0090099C" w:rsidRPr="00F171A3" w:rsidRDefault="0090099C" w:rsidP="0090099C">
      <w:pPr>
        <w:spacing w:beforeLines="60" w:before="144" w:afterLines="60" w:after="144"/>
        <w:rPr>
          <w:rFonts w:cstheme="minorHAnsi"/>
          <w:sz w:val="24"/>
          <w:lang w:eastAsia="ja-JP"/>
        </w:rPr>
      </w:pPr>
    </w:p>
    <w:p w14:paraId="3803240F" w14:textId="4ED6A595" w:rsidR="00220D8E" w:rsidRPr="00F171A3" w:rsidRDefault="00220D8E" w:rsidP="00F17B11">
      <w:pPr>
        <w:sectPr w:rsidR="00220D8E" w:rsidRPr="00F171A3" w:rsidSect="00135952">
          <w:pgSz w:w="11907" w:h="16839" w:code="9"/>
          <w:pgMar w:top="1151" w:right="1440" w:bottom="1440" w:left="1021" w:header="709" w:footer="284" w:gutter="0"/>
          <w:cols w:space="708"/>
          <w:titlePg/>
          <w:docGrid w:linePitch="360"/>
        </w:sectPr>
      </w:pPr>
    </w:p>
    <w:p w14:paraId="6C034BD1" w14:textId="583218B1" w:rsidR="007F2663" w:rsidRPr="00F171A3" w:rsidRDefault="002158EA" w:rsidP="007F2663">
      <w:pPr>
        <w:pStyle w:val="Heading1"/>
        <w:rPr>
          <w:lang w:val="ro-RO"/>
        </w:rPr>
      </w:pPr>
      <w:bookmarkStart w:id="69" w:name="_Toc127199267"/>
      <w:r w:rsidRPr="00F171A3">
        <w:rPr>
          <w:lang w:val="ro-RO"/>
        </w:rPr>
        <w:t>ANALIZA SITUAȚIEI EXISTENTE</w:t>
      </w:r>
      <w:bookmarkEnd w:id="69"/>
    </w:p>
    <w:p w14:paraId="68339F40" w14:textId="59EDC74B" w:rsidR="009F12E0" w:rsidRPr="00F171A3" w:rsidRDefault="00000000" w:rsidP="000101F1">
      <w:pPr>
        <w:pStyle w:val="Heading2"/>
        <w:rPr>
          <w:lang w:val="ro-RO"/>
        </w:rPr>
      </w:pPr>
      <w:hyperlink w:anchor="_Toc493866716" w:history="1">
        <w:bookmarkStart w:id="70" w:name="_Toc127199268"/>
        <w:r w:rsidR="00701C22" w:rsidRPr="00F171A3">
          <w:rPr>
            <w:caps w:val="0"/>
            <w:lang w:val="ro-RO"/>
          </w:rPr>
          <w:t>PROFIL SOCIO-CULTURAL</w:t>
        </w:r>
        <w:bookmarkEnd w:id="70"/>
        <w:r w:rsidR="00701C22" w:rsidRPr="00F171A3">
          <w:rPr>
            <w:caps w:val="0"/>
            <w:webHidden/>
            <w:lang w:val="ro-RO"/>
          </w:rPr>
          <w:tab/>
        </w:r>
      </w:hyperlink>
    </w:p>
    <w:p w14:paraId="61FB2B79" w14:textId="05F11C57" w:rsidR="008875A0" w:rsidRPr="00F171A3" w:rsidRDefault="00000000" w:rsidP="000101F1">
      <w:pPr>
        <w:pStyle w:val="Heading3"/>
        <w:rPr>
          <w:lang w:val="ro-RO"/>
        </w:rPr>
      </w:pPr>
      <w:hyperlink w:anchor="_Toc493866717" w:history="1">
        <w:bookmarkStart w:id="71" w:name="_Toc127199269"/>
        <w:r w:rsidR="00701C22" w:rsidRPr="00F171A3">
          <w:rPr>
            <w:caps w:val="0"/>
            <w:lang w:val="ro-RO"/>
          </w:rPr>
          <w:t>DEMOGRAFIE</w:t>
        </w:r>
        <w:bookmarkEnd w:id="71"/>
        <w:r w:rsidR="00701C22" w:rsidRPr="00F171A3">
          <w:rPr>
            <w:caps w:val="0"/>
            <w:webHidden/>
            <w:lang w:val="ro-RO"/>
          </w:rPr>
          <w:tab/>
        </w:r>
      </w:hyperlink>
    </w:p>
    <w:p w14:paraId="10734C07" w14:textId="2B6C96A0" w:rsidR="00C929EE" w:rsidRPr="00F171A3" w:rsidRDefault="001E0A0F" w:rsidP="001E0A0F">
      <w:pPr>
        <w:pStyle w:val="Heading4"/>
      </w:pPr>
      <w:r w:rsidRPr="00F171A3">
        <w:t>STRUCTURA ȘI EVOLUȚIA POPULAȚIEI</w:t>
      </w:r>
    </w:p>
    <w:p w14:paraId="32386B9B" w14:textId="010A38F8" w:rsidR="00C929EE" w:rsidRPr="00F171A3" w:rsidRDefault="00C929EE" w:rsidP="00C929EE">
      <w:r w:rsidRPr="00F171A3">
        <w:t xml:space="preserve">Sectorul 2 este unul din cele 6 </w:t>
      </w:r>
      <w:r w:rsidR="00DE36DE" w:rsidRPr="00F171A3">
        <w:t xml:space="preserve">sectoare </w:t>
      </w:r>
      <w:r w:rsidRPr="00F171A3">
        <w:t xml:space="preserve">ale </w:t>
      </w:r>
      <w:r w:rsidR="00DE36DE" w:rsidRPr="00F171A3">
        <w:t>m</w:t>
      </w:r>
      <w:r w:rsidRPr="00F171A3">
        <w:t xml:space="preserve">unicipiului București și ocupă locul 3 în funcție de numărul de locuitori domiciliați în anul 2021, după Sectorul 3 și Sectorul 6. Conform Direcției Regionale de Statistică a </w:t>
      </w:r>
      <w:r w:rsidR="00DE36DE" w:rsidRPr="00F171A3">
        <w:t>m</w:t>
      </w:r>
      <w:r w:rsidRPr="00F171A3">
        <w:t>unicipiului București, în anul 2021, populația Sectorului 2 era de 368.601 de persoane, ceea ce reprezenta 17,05% din populația capitalei. Din numărul total de locuitori, 169.742 (46,1%) erau bărbați, respectiv 198.859 (53,9%) erau femei. La Recensământul General al Populației și Locuințelor din 2011, populația Sectorului 2 era de 345.370 de locuitori.</w:t>
      </w:r>
    </w:p>
    <w:p w14:paraId="3984E297" w14:textId="06244276" w:rsidR="00C929EE" w:rsidRPr="00F171A3" w:rsidRDefault="00C929EE" w:rsidP="00C929EE">
      <w:r w:rsidRPr="00F171A3">
        <w:t xml:space="preserve">În perioada 2015-2021, populația după domiciliu a Sectorului 2 a scăzut cu 1,88%, peste media națională de descreștere (-1,07%) și în contradictoriu cu creșterea populației </w:t>
      </w:r>
      <w:r w:rsidR="00DE36DE" w:rsidRPr="00F171A3">
        <w:t>m</w:t>
      </w:r>
      <w:r w:rsidRPr="00F171A3">
        <w:t>unicipiului București din aceeași perioadă (+2,47%). Această descreștere reprezintă o caracteristică demografică încă de la începutul anilor 2000, iar declinul accentuat din anii 2020 și 2021 poate fi explicat prin prisma mortalității ridicate, cauzate de pandemia de COVID-19.</w:t>
      </w:r>
    </w:p>
    <w:p w14:paraId="39F5870F" w14:textId="70726837" w:rsidR="00C929EE" w:rsidRPr="00F171A3" w:rsidRDefault="00C929EE" w:rsidP="00C929EE">
      <w:pPr>
        <w:pStyle w:val="Caption"/>
      </w:pPr>
      <w:bookmarkStart w:id="72" w:name="_Toc127198008"/>
      <w:r w:rsidRPr="00F171A3">
        <w:t xml:space="preserve">Figura </w:t>
      </w:r>
      <w:r w:rsidRPr="00F171A3">
        <w:fldChar w:fldCharType="begin"/>
      </w:r>
      <w:r w:rsidRPr="00F171A3">
        <w:instrText xml:space="preserve"> SEQ Figura \* ARABIC </w:instrText>
      </w:r>
      <w:r w:rsidRPr="00F171A3">
        <w:fldChar w:fldCharType="separate"/>
      </w:r>
      <w:r w:rsidR="005A6DD8">
        <w:rPr>
          <w:noProof/>
        </w:rPr>
        <w:t>20</w:t>
      </w:r>
      <w:r w:rsidRPr="00F171A3">
        <w:fldChar w:fldCharType="end"/>
      </w:r>
      <w:r w:rsidRPr="00F171A3">
        <w:t xml:space="preserve"> Evoluția populației Sectorului 2 în perioada 2015-2021</w:t>
      </w:r>
      <w:bookmarkEnd w:id="72"/>
    </w:p>
    <w:p w14:paraId="1B4B19E0" w14:textId="77777777" w:rsidR="00C929EE" w:rsidRPr="00F171A3" w:rsidRDefault="00C929EE" w:rsidP="00C929EE">
      <w:pPr>
        <w:jc w:val="center"/>
      </w:pPr>
      <w:r w:rsidRPr="00F171A3">
        <w:rPr>
          <w:noProof/>
        </w:rPr>
        <w:drawing>
          <wp:inline distT="0" distB="0" distL="0" distR="0" wp14:anchorId="0D8C6A0F" wp14:editId="5ECD66D6">
            <wp:extent cx="6124575" cy="306705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B2C6E88" w14:textId="4A33C85D" w:rsidR="00C929EE" w:rsidRPr="00F171A3" w:rsidRDefault="00C929EE" w:rsidP="00FF6C80">
      <w:pPr>
        <w:jc w:val="right"/>
        <w:rPr>
          <w:color w:val="BFBFBF" w:themeColor="background1" w:themeShade="BF"/>
        </w:rPr>
      </w:pPr>
      <w:r w:rsidRPr="00F171A3">
        <w:rPr>
          <w:color w:val="BFBFBF" w:themeColor="background1" w:themeShade="BF"/>
        </w:rPr>
        <w:t xml:space="preserve">Sursa: Direcția Regională de Statistică a </w:t>
      </w:r>
      <w:r w:rsidR="00DE36DE" w:rsidRPr="00F171A3">
        <w:rPr>
          <w:color w:val="BFBFBF" w:themeColor="background1" w:themeShade="BF"/>
        </w:rPr>
        <w:t>m</w:t>
      </w:r>
      <w:r w:rsidRPr="00F171A3">
        <w:rPr>
          <w:color w:val="BFBFBF" w:themeColor="background1" w:themeShade="BF"/>
        </w:rPr>
        <w:t>unicipiului București</w:t>
      </w:r>
    </w:p>
    <w:p w14:paraId="62992E2C" w14:textId="77777777" w:rsidR="00C929EE" w:rsidRPr="00F171A3" w:rsidRDefault="00C929EE" w:rsidP="00C929EE">
      <w:r w:rsidRPr="00F171A3">
        <w:t>O analiză mai detaliată a structurii populației în funcție de sexe și vârste scoate în evidență o pondere mai mare a persoanelor de sex feminin (53,9%), aceasta accentuându-se în rândul persoanelor de peste 65 ani, în contextul unei longevități mai mari în rândul femeilor. Totodată, piramida vârstelor populației din Sectorul 2 indică o scădere bruscă a natalității, în special după anul 1989, și o pondere mare a persoanelor cu vârsta între 30 și 54 de ani, care corespund generațiilor născute în anii 1967-1989, când existau diverse politici de încurajare a natalității. Această situație este reprezentativă la nivelul întregii țări, inclusiv și la nivelul municipiului București. Prin urmare, numărul persoanelor cu vârsta de peste 65 de ani va crește într-un ritm accelerat până în anul 2030, pe măsură ce persoanele care corespund generațiilor din anii 60 vor atinge vârsta de pensionare.</w:t>
      </w:r>
    </w:p>
    <w:p w14:paraId="298D34DD" w14:textId="364601DB" w:rsidR="00C929EE" w:rsidRPr="00F171A3" w:rsidRDefault="00C929EE" w:rsidP="00C929EE">
      <w:pPr>
        <w:pStyle w:val="Caption"/>
      </w:pPr>
      <w:bookmarkStart w:id="73" w:name="_Toc127198009"/>
      <w:r w:rsidRPr="00F171A3">
        <w:t xml:space="preserve">Figura </w:t>
      </w:r>
      <w:r w:rsidRPr="00F171A3">
        <w:fldChar w:fldCharType="begin"/>
      </w:r>
      <w:r w:rsidRPr="00F171A3">
        <w:instrText xml:space="preserve"> SEQ Figura \* ARABIC </w:instrText>
      </w:r>
      <w:r w:rsidRPr="00F171A3">
        <w:fldChar w:fldCharType="separate"/>
      </w:r>
      <w:r w:rsidR="005A6DD8">
        <w:rPr>
          <w:noProof/>
        </w:rPr>
        <w:t>21</w:t>
      </w:r>
      <w:r w:rsidRPr="00F171A3">
        <w:fldChar w:fldCharType="end"/>
      </w:r>
      <w:r w:rsidRPr="00F171A3">
        <w:t xml:space="preserve"> </w:t>
      </w:r>
      <w:r w:rsidRPr="00F171A3">
        <w:rPr>
          <w:iCs/>
        </w:rPr>
        <w:t>Piramida vârstelor populației din municipiul București, în anul 2021</w:t>
      </w:r>
      <w:bookmarkEnd w:id="73"/>
    </w:p>
    <w:p w14:paraId="2931C4D3" w14:textId="77777777" w:rsidR="00C929EE" w:rsidRPr="00F171A3" w:rsidRDefault="00C929EE" w:rsidP="00C929EE">
      <w:r w:rsidRPr="00F171A3">
        <w:rPr>
          <w:noProof/>
        </w:rPr>
        <w:drawing>
          <wp:inline distT="0" distB="0" distL="0" distR="0" wp14:anchorId="08EF1216" wp14:editId="56959083">
            <wp:extent cx="5753100" cy="38481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5589184" w14:textId="20F210B9" w:rsidR="00C929EE" w:rsidRPr="00F171A3" w:rsidRDefault="00C929EE" w:rsidP="00FF6C80">
      <w:pPr>
        <w:jc w:val="right"/>
        <w:rPr>
          <w:color w:val="BFBFBF" w:themeColor="background1" w:themeShade="BF"/>
        </w:rPr>
      </w:pPr>
      <w:r w:rsidRPr="00F171A3">
        <w:rPr>
          <w:color w:val="BFBFBF" w:themeColor="background1" w:themeShade="BF"/>
        </w:rPr>
        <w:t xml:space="preserve">Sursa: Direcția Regională de Statistică a </w:t>
      </w:r>
      <w:r w:rsidR="00DE36DE" w:rsidRPr="00F171A3">
        <w:rPr>
          <w:color w:val="BFBFBF" w:themeColor="background1" w:themeShade="BF"/>
        </w:rPr>
        <w:t>m</w:t>
      </w:r>
      <w:r w:rsidRPr="00F171A3">
        <w:rPr>
          <w:color w:val="BFBFBF" w:themeColor="background1" w:themeShade="BF"/>
        </w:rPr>
        <w:t>unicipiului București</w:t>
      </w:r>
    </w:p>
    <w:p w14:paraId="61D35E00" w14:textId="07E5373B" w:rsidR="00C929EE" w:rsidRPr="00F171A3" w:rsidRDefault="00C929EE" w:rsidP="00C929EE">
      <w:r w:rsidRPr="00F171A3">
        <w:t>La nivelul Sectorului 2, precum și la nivel național și european este înregistrat un proces de îmbătrânire demografică, care urmează să se accentueze în anii următori pe fondul natalității scăzute și al migrației externe, în special în rândul populației tinere. În următorii 20 de ani, o astfel de structură demografică va avea efecte negative pe plan economic și social, pe fondul creșterii numărului de pensionari (populația care în prezent are între 40 și 55 de ani) și al deficitului forței de muncă care nu va putea să-i susțină economic (populația care în prezent are între 10 și 19 ani). Altfel zis, numărul persoanelor care în curând se vor pensiona este superior numărului de tineri care, teoretic, urmează s</w:t>
      </w:r>
      <w:r w:rsidR="00A81580">
        <w:t>ă</w:t>
      </w:r>
      <w:r w:rsidRPr="00F171A3">
        <w:t xml:space="preserve"> se încadreze în câmpul muncii. Totuși, aceste date trebuite interpretate cu acuratețe metodologică, deoarece datele reflectă doar populația cu domiciliu stabilit în Sectorul 2, iar luând în considerare faptul că municipiul București este cel mai important pol economic și universitar din țară, care atrage anual un număr mare de tineri, situația din teren diferă de imaginea creată de datele respective. Acest fapt poate fi pus și pe seama unei puteri slabe de cumpărare a locuințelor, ceea ce prin urmare duce la o stabilire a multor tineri în apartamente închiriate, fără a se domicilia efectiv, ceea ce reduce din veridicitatea datelor cu privire la realitatea demografică din teren. </w:t>
      </w:r>
    </w:p>
    <w:p w14:paraId="04CA1952" w14:textId="14EA43C5" w:rsidR="00C929EE" w:rsidRPr="00F171A3" w:rsidRDefault="00C929EE" w:rsidP="00C929EE">
      <w:pPr>
        <w:pStyle w:val="Caption"/>
      </w:pPr>
      <w:bookmarkStart w:id="74" w:name="_Toc127198010"/>
      <w:r w:rsidRPr="00F171A3">
        <w:t xml:space="preserve">Figura </w:t>
      </w:r>
      <w:r w:rsidRPr="00F171A3">
        <w:fldChar w:fldCharType="begin"/>
      </w:r>
      <w:r w:rsidRPr="00F171A3">
        <w:instrText xml:space="preserve"> SEQ Figura \* ARABIC </w:instrText>
      </w:r>
      <w:r w:rsidRPr="00F171A3">
        <w:fldChar w:fldCharType="separate"/>
      </w:r>
      <w:r w:rsidR="005A6DD8">
        <w:rPr>
          <w:noProof/>
        </w:rPr>
        <w:t>22</w:t>
      </w:r>
      <w:r w:rsidRPr="00F171A3">
        <w:fldChar w:fldCharType="end"/>
      </w:r>
      <w:r w:rsidRPr="00F171A3">
        <w:t xml:space="preserve"> </w:t>
      </w:r>
      <w:r w:rsidRPr="00F171A3">
        <w:rPr>
          <w:iCs/>
        </w:rPr>
        <w:t>Piramida vârstelor populației din Sectorul 2, în anul 2021</w:t>
      </w:r>
      <w:bookmarkEnd w:id="74"/>
    </w:p>
    <w:p w14:paraId="583A00CE" w14:textId="77777777" w:rsidR="00C929EE" w:rsidRPr="00F171A3" w:rsidRDefault="00C929EE" w:rsidP="00FF6C80">
      <w:pPr>
        <w:jc w:val="center"/>
      </w:pPr>
      <w:r w:rsidRPr="00F171A3">
        <w:rPr>
          <w:noProof/>
        </w:rPr>
        <w:drawing>
          <wp:inline distT="0" distB="0" distL="0" distR="0" wp14:anchorId="42D5C61C" wp14:editId="6A6B341B">
            <wp:extent cx="5585460" cy="398526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43DCA82" w14:textId="081F5E9E" w:rsidR="00C929EE" w:rsidRPr="00F171A3" w:rsidRDefault="00C929EE" w:rsidP="00FF6C80">
      <w:pPr>
        <w:jc w:val="right"/>
        <w:rPr>
          <w:color w:val="BFBFBF" w:themeColor="background1" w:themeShade="BF"/>
        </w:rPr>
      </w:pPr>
      <w:r w:rsidRPr="00F171A3">
        <w:rPr>
          <w:color w:val="BFBFBF" w:themeColor="background1" w:themeShade="BF"/>
        </w:rPr>
        <w:t xml:space="preserve">Sursa: Direcția Regională de Statistică a </w:t>
      </w:r>
      <w:r w:rsidR="00DE36DE" w:rsidRPr="00F171A3">
        <w:rPr>
          <w:color w:val="BFBFBF" w:themeColor="background1" w:themeShade="BF"/>
        </w:rPr>
        <w:t>m</w:t>
      </w:r>
      <w:r w:rsidRPr="00F171A3">
        <w:rPr>
          <w:color w:val="BFBFBF" w:themeColor="background1" w:themeShade="BF"/>
        </w:rPr>
        <w:t>unicipiului București</w:t>
      </w:r>
    </w:p>
    <w:p w14:paraId="118EB7BE" w14:textId="4216330F" w:rsidR="00C929EE" w:rsidRPr="00F171A3" w:rsidRDefault="00C929EE" w:rsidP="00C929EE">
      <w:r w:rsidRPr="00F171A3">
        <w:t>La nivel sectorial, indicele de îmbătr</w:t>
      </w:r>
      <w:r w:rsidR="00F171A3">
        <w:t>â</w:t>
      </w:r>
      <w:r w:rsidRPr="00F171A3">
        <w:t xml:space="preserve">nire demografică, exprimat ca un raport între populația în vârstă (peste 65 de ani) și cea tânără (0-14 ani) era de 161%, cu mult peste media </w:t>
      </w:r>
      <w:r w:rsidR="00DE36DE" w:rsidRPr="00F171A3">
        <w:t>m</w:t>
      </w:r>
      <w:r w:rsidRPr="00F171A3">
        <w:t xml:space="preserve">unicipiului București de 131,6% și media națională de 119,3%. Astfel, ponderea persoanelor în vârstă (peste 65 de ani) în totalul populației din sector este de 21,1%, peste media </w:t>
      </w:r>
      <w:r w:rsidR="00DE36DE" w:rsidRPr="00F171A3">
        <w:t>m</w:t>
      </w:r>
      <w:r w:rsidRPr="00F171A3">
        <w:t>unicipiului București (18%) și cea națională (17%). De partea cealaltă, ponderea copiilor (0-14 ani) este de doar 13,1%, sub media națională (15%) și cea a capitalei (14%). Aceste date indică un raport de depende</w:t>
      </w:r>
      <w:r w:rsidR="00F171A3">
        <w:t>n</w:t>
      </w:r>
      <w:r w:rsidRPr="00F171A3">
        <w:t>ță demografică foarte înalt, de 519‰ la nivelul Sectorului 2, cu mult peste media înregistrată la nivel național (470‰) și municipal (480‰). Un alt aspect important este valoarea mare a coeficientului de dependență a persoanelor în vârstă (320‰), care urmează să înregistreze creșteri tot mai mari în următorii ani. Aceste date trebuie interpretate cu referire la realitatea socio-economică, în contextul în care raportul de dependență demografică ridicat va duce la o reducere a forței de muncă și o creștere a numărului de persoane întreținute financiar, ceea ce într-un final va crea o presiune asupra sistemului de servicii sociale și de sănătate. Nu în ultimul rând, această situație va avea un impact negativ semnificativ asupra dezvoltării economice, din cauza reducerii forței de muncă în timp.</w:t>
      </w:r>
    </w:p>
    <w:p w14:paraId="2B2BB7AF" w14:textId="21375369" w:rsidR="00C929EE" w:rsidRPr="00F171A3" w:rsidRDefault="00C929EE" w:rsidP="00C929EE">
      <w:pPr>
        <w:pStyle w:val="Caption"/>
      </w:pPr>
      <w:bookmarkStart w:id="75" w:name="_Toc126943270"/>
      <w:r w:rsidRPr="00F171A3">
        <w:t xml:space="preserve">Tabel </w:t>
      </w:r>
      <w:r w:rsidRPr="00F171A3">
        <w:fldChar w:fldCharType="begin"/>
      </w:r>
      <w:r w:rsidRPr="00F171A3">
        <w:instrText xml:space="preserve"> SEQ Tabel \* ARABIC </w:instrText>
      </w:r>
      <w:r w:rsidRPr="00F171A3">
        <w:fldChar w:fldCharType="separate"/>
      </w:r>
      <w:r w:rsidR="005A6DD8">
        <w:rPr>
          <w:noProof/>
        </w:rPr>
        <w:t>13</w:t>
      </w:r>
      <w:r w:rsidRPr="00F171A3">
        <w:fldChar w:fldCharType="end"/>
      </w:r>
      <w:r w:rsidRPr="00F171A3">
        <w:t xml:space="preserve"> </w:t>
      </w:r>
      <w:r w:rsidRPr="00F171A3">
        <w:rPr>
          <w:iCs/>
        </w:rPr>
        <w:t>Principalii indicatori demografici la nivelul Sectorului 2, municipiul București și la nivel național, în anul 2021</w:t>
      </w:r>
      <w:bookmarkEnd w:id="75"/>
    </w:p>
    <w:tbl>
      <w:tblPr>
        <w:tblStyle w:val="Civittatable"/>
        <w:tblW w:w="0" w:type="auto"/>
        <w:tblLook w:val="04A0" w:firstRow="1" w:lastRow="0" w:firstColumn="1" w:lastColumn="0" w:noHBand="0" w:noVBand="1"/>
      </w:tblPr>
      <w:tblGrid>
        <w:gridCol w:w="2359"/>
        <w:gridCol w:w="2359"/>
        <w:gridCol w:w="2359"/>
        <w:gridCol w:w="2359"/>
      </w:tblGrid>
      <w:tr w:rsidR="00C929EE" w:rsidRPr="00F171A3" w14:paraId="53107A4C" w14:textId="77777777" w:rsidTr="00F31936">
        <w:trPr>
          <w:cnfStyle w:val="100000000000" w:firstRow="1" w:lastRow="0" w:firstColumn="0" w:lastColumn="0" w:oddVBand="0" w:evenVBand="0" w:oddHBand="0" w:evenHBand="0" w:firstRowFirstColumn="0" w:firstRowLastColumn="0" w:lastRowFirstColumn="0" w:lastRowLastColumn="0"/>
        </w:trPr>
        <w:tc>
          <w:tcPr>
            <w:tcW w:w="2359" w:type="dxa"/>
          </w:tcPr>
          <w:p w14:paraId="47328F3D" w14:textId="77777777" w:rsidR="00C929EE" w:rsidRPr="00F171A3" w:rsidRDefault="00C929EE" w:rsidP="00F31936">
            <w:pPr>
              <w:jc w:val="center"/>
              <w:rPr>
                <w:b/>
                <w:bCs/>
              </w:rPr>
            </w:pPr>
            <w:r w:rsidRPr="00F171A3">
              <w:rPr>
                <w:b/>
                <w:bCs/>
              </w:rPr>
              <w:t>Indicator</w:t>
            </w:r>
          </w:p>
        </w:tc>
        <w:tc>
          <w:tcPr>
            <w:tcW w:w="2359" w:type="dxa"/>
          </w:tcPr>
          <w:p w14:paraId="79ADE8C1" w14:textId="77777777" w:rsidR="00C929EE" w:rsidRPr="00F171A3" w:rsidRDefault="00C929EE" w:rsidP="00F31936">
            <w:pPr>
              <w:jc w:val="center"/>
              <w:rPr>
                <w:b/>
                <w:bCs/>
              </w:rPr>
            </w:pPr>
            <w:r w:rsidRPr="00F171A3">
              <w:rPr>
                <w:b/>
                <w:bCs/>
              </w:rPr>
              <w:t>Sectorul 2</w:t>
            </w:r>
          </w:p>
        </w:tc>
        <w:tc>
          <w:tcPr>
            <w:tcW w:w="2359" w:type="dxa"/>
          </w:tcPr>
          <w:p w14:paraId="1FC72CE6" w14:textId="77777777" w:rsidR="00C929EE" w:rsidRPr="00F171A3" w:rsidRDefault="00C929EE" w:rsidP="00F31936">
            <w:pPr>
              <w:jc w:val="center"/>
              <w:rPr>
                <w:b/>
                <w:bCs/>
              </w:rPr>
            </w:pPr>
            <w:r w:rsidRPr="00F171A3">
              <w:rPr>
                <w:b/>
                <w:bCs/>
              </w:rPr>
              <w:t>Municipiul București</w:t>
            </w:r>
          </w:p>
        </w:tc>
        <w:tc>
          <w:tcPr>
            <w:tcW w:w="2359" w:type="dxa"/>
          </w:tcPr>
          <w:p w14:paraId="371245E7" w14:textId="77777777" w:rsidR="00C929EE" w:rsidRPr="00F171A3" w:rsidRDefault="00C929EE" w:rsidP="00F31936">
            <w:pPr>
              <w:jc w:val="center"/>
              <w:rPr>
                <w:b/>
                <w:bCs/>
              </w:rPr>
            </w:pPr>
            <w:r w:rsidRPr="00F171A3">
              <w:rPr>
                <w:b/>
                <w:bCs/>
              </w:rPr>
              <w:t>România</w:t>
            </w:r>
          </w:p>
        </w:tc>
      </w:tr>
      <w:tr w:rsidR="00C929EE" w:rsidRPr="00F171A3" w14:paraId="08DF778A" w14:textId="77777777" w:rsidTr="008A6FAE">
        <w:trPr>
          <w:cnfStyle w:val="000000100000" w:firstRow="0" w:lastRow="0" w:firstColumn="0" w:lastColumn="0" w:oddVBand="0" w:evenVBand="0" w:oddHBand="1" w:evenHBand="0" w:firstRowFirstColumn="0" w:firstRowLastColumn="0" w:lastRowFirstColumn="0" w:lastRowLastColumn="0"/>
        </w:trPr>
        <w:tc>
          <w:tcPr>
            <w:tcW w:w="2359" w:type="dxa"/>
          </w:tcPr>
          <w:p w14:paraId="3A30851C" w14:textId="77777777" w:rsidR="00C929EE" w:rsidRPr="00F171A3" w:rsidRDefault="00C929EE" w:rsidP="00F31936">
            <w:pPr>
              <w:jc w:val="center"/>
            </w:pPr>
            <w:r w:rsidRPr="00F171A3">
              <w:t>Proporția persoanelor de 0 - 15 ani din total  populație (%)</w:t>
            </w:r>
          </w:p>
        </w:tc>
        <w:tc>
          <w:tcPr>
            <w:tcW w:w="2359" w:type="dxa"/>
            <w:vAlign w:val="center"/>
          </w:tcPr>
          <w:p w14:paraId="726F524B" w14:textId="77777777" w:rsidR="00C929EE" w:rsidRPr="00F171A3" w:rsidRDefault="00C929EE" w:rsidP="008A6FAE">
            <w:pPr>
              <w:jc w:val="center"/>
            </w:pPr>
            <w:r w:rsidRPr="00F171A3">
              <w:t>13</w:t>
            </w:r>
          </w:p>
        </w:tc>
        <w:tc>
          <w:tcPr>
            <w:tcW w:w="2359" w:type="dxa"/>
            <w:vAlign w:val="center"/>
          </w:tcPr>
          <w:p w14:paraId="33B50042" w14:textId="77777777" w:rsidR="00C929EE" w:rsidRPr="00F171A3" w:rsidRDefault="00C929EE" w:rsidP="008A6FAE">
            <w:pPr>
              <w:jc w:val="center"/>
            </w:pPr>
            <w:r w:rsidRPr="00F171A3">
              <w:t>14</w:t>
            </w:r>
          </w:p>
        </w:tc>
        <w:tc>
          <w:tcPr>
            <w:tcW w:w="2359" w:type="dxa"/>
            <w:vAlign w:val="center"/>
          </w:tcPr>
          <w:p w14:paraId="41D7A4F1" w14:textId="77777777" w:rsidR="00C929EE" w:rsidRPr="00F171A3" w:rsidRDefault="00C929EE" w:rsidP="008A6FAE">
            <w:pPr>
              <w:jc w:val="center"/>
            </w:pPr>
            <w:r w:rsidRPr="00F171A3">
              <w:t>15</w:t>
            </w:r>
          </w:p>
        </w:tc>
      </w:tr>
      <w:tr w:rsidR="00C929EE" w:rsidRPr="00F171A3" w14:paraId="6ECA2E60" w14:textId="77777777" w:rsidTr="008A6FAE">
        <w:trPr>
          <w:cnfStyle w:val="000000010000" w:firstRow="0" w:lastRow="0" w:firstColumn="0" w:lastColumn="0" w:oddVBand="0" w:evenVBand="0" w:oddHBand="0" w:evenHBand="1" w:firstRowFirstColumn="0" w:firstRowLastColumn="0" w:lastRowFirstColumn="0" w:lastRowLastColumn="0"/>
        </w:trPr>
        <w:tc>
          <w:tcPr>
            <w:tcW w:w="2359" w:type="dxa"/>
          </w:tcPr>
          <w:p w14:paraId="7FF98F45" w14:textId="77777777" w:rsidR="00C929EE" w:rsidRPr="00F171A3" w:rsidRDefault="00C929EE" w:rsidP="00F31936">
            <w:pPr>
              <w:jc w:val="center"/>
            </w:pPr>
            <w:r w:rsidRPr="00F171A3">
              <w:t>Proporția persoanelor de 65 de ani și peste din total populație (%)</w:t>
            </w:r>
          </w:p>
        </w:tc>
        <w:tc>
          <w:tcPr>
            <w:tcW w:w="2359" w:type="dxa"/>
            <w:vAlign w:val="center"/>
          </w:tcPr>
          <w:p w14:paraId="23FA355E" w14:textId="77777777" w:rsidR="00C929EE" w:rsidRPr="00F171A3" w:rsidRDefault="00C929EE" w:rsidP="008A6FAE">
            <w:pPr>
              <w:jc w:val="center"/>
            </w:pPr>
            <w:r w:rsidRPr="00F171A3">
              <w:t>21</w:t>
            </w:r>
          </w:p>
        </w:tc>
        <w:tc>
          <w:tcPr>
            <w:tcW w:w="2359" w:type="dxa"/>
            <w:vAlign w:val="center"/>
          </w:tcPr>
          <w:p w14:paraId="50DE0ED2" w14:textId="77777777" w:rsidR="00C929EE" w:rsidRPr="00F171A3" w:rsidRDefault="00C929EE" w:rsidP="008A6FAE">
            <w:pPr>
              <w:jc w:val="center"/>
            </w:pPr>
            <w:r w:rsidRPr="00F171A3">
              <w:t>18</w:t>
            </w:r>
          </w:p>
        </w:tc>
        <w:tc>
          <w:tcPr>
            <w:tcW w:w="2359" w:type="dxa"/>
            <w:vAlign w:val="center"/>
          </w:tcPr>
          <w:p w14:paraId="71EB668D" w14:textId="77777777" w:rsidR="00C929EE" w:rsidRPr="00F171A3" w:rsidRDefault="00C929EE" w:rsidP="008A6FAE">
            <w:pPr>
              <w:jc w:val="center"/>
            </w:pPr>
            <w:r w:rsidRPr="00F171A3">
              <w:t>17</w:t>
            </w:r>
          </w:p>
        </w:tc>
      </w:tr>
      <w:tr w:rsidR="00C929EE" w:rsidRPr="00F171A3" w14:paraId="66C967CB" w14:textId="77777777" w:rsidTr="008A6FAE">
        <w:trPr>
          <w:cnfStyle w:val="000000100000" w:firstRow="0" w:lastRow="0" w:firstColumn="0" w:lastColumn="0" w:oddVBand="0" w:evenVBand="0" w:oddHBand="1" w:evenHBand="0" w:firstRowFirstColumn="0" w:firstRowLastColumn="0" w:lastRowFirstColumn="0" w:lastRowLastColumn="0"/>
        </w:trPr>
        <w:tc>
          <w:tcPr>
            <w:tcW w:w="2359" w:type="dxa"/>
          </w:tcPr>
          <w:p w14:paraId="5D61FC27" w14:textId="77777777" w:rsidR="00C929EE" w:rsidRPr="00F171A3" w:rsidRDefault="00C929EE" w:rsidP="00F31936">
            <w:pPr>
              <w:jc w:val="center"/>
            </w:pPr>
            <w:r w:rsidRPr="00F171A3">
              <w:t>Raportul de dependență demografică (‰)</w:t>
            </w:r>
          </w:p>
        </w:tc>
        <w:tc>
          <w:tcPr>
            <w:tcW w:w="2359" w:type="dxa"/>
            <w:vAlign w:val="center"/>
          </w:tcPr>
          <w:p w14:paraId="131357EF" w14:textId="77777777" w:rsidR="00C929EE" w:rsidRPr="00F171A3" w:rsidRDefault="00C929EE" w:rsidP="008A6FAE">
            <w:pPr>
              <w:jc w:val="center"/>
            </w:pPr>
            <w:r w:rsidRPr="00F171A3">
              <w:t>519</w:t>
            </w:r>
          </w:p>
        </w:tc>
        <w:tc>
          <w:tcPr>
            <w:tcW w:w="2359" w:type="dxa"/>
            <w:vAlign w:val="center"/>
          </w:tcPr>
          <w:p w14:paraId="682137A6" w14:textId="77777777" w:rsidR="00C929EE" w:rsidRPr="00F171A3" w:rsidRDefault="00C929EE" w:rsidP="008A6FAE">
            <w:pPr>
              <w:jc w:val="center"/>
            </w:pPr>
            <w:r w:rsidRPr="00F171A3">
              <w:t>480</w:t>
            </w:r>
          </w:p>
        </w:tc>
        <w:tc>
          <w:tcPr>
            <w:tcW w:w="2359" w:type="dxa"/>
            <w:vAlign w:val="center"/>
          </w:tcPr>
          <w:p w14:paraId="5D60D49D" w14:textId="77777777" w:rsidR="00C929EE" w:rsidRPr="00F171A3" w:rsidRDefault="00C929EE" w:rsidP="008A6FAE">
            <w:pPr>
              <w:jc w:val="center"/>
            </w:pPr>
            <w:r w:rsidRPr="00F171A3">
              <w:t>470</w:t>
            </w:r>
          </w:p>
        </w:tc>
      </w:tr>
      <w:tr w:rsidR="00C929EE" w:rsidRPr="00F171A3" w14:paraId="63B709BB" w14:textId="77777777" w:rsidTr="008A6FAE">
        <w:trPr>
          <w:cnfStyle w:val="000000010000" w:firstRow="0" w:lastRow="0" w:firstColumn="0" w:lastColumn="0" w:oddVBand="0" w:evenVBand="0" w:oddHBand="0" w:evenHBand="1" w:firstRowFirstColumn="0" w:firstRowLastColumn="0" w:lastRowFirstColumn="0" w:lastRowLastColumn="0"/>
        </w:trPr>
        <w:tc>
          <w:tcPr>
            <w:tcW w:w="2359" w:type="dxa"/>
          </w:tcPr>
          <w:p w14:paraId="579FD201" w14:textId="77777777" w:rsidR="00C929EE" w:rsidRPr="00F171A3" w:rsidRDefault="00C929EE" w:rsidP="00F31936">
            <w:pPr>
              <w:jc w:val="center"/>
            </w:pPr>
            <w:r w:rsidRPr="00F171A3">
              <w:t>Coeficientul de dependență a persoanelor tinere (‰)</w:t>
            </w:r>
          </w:p>
        </w:tc>
        <w:tc>
          <w:tcPr>
            <w:tcW w:w="2359" w:type="dxa"/>
            <w:vAlign w:val="center"/>
          </w:tcPr>
          <w:p w14:paraId="2948427D" w14:textId="77777777" w:rsidR="00C929EE" w:rsidRPr="00F171A3" w:rsidRDefault="00C929EE" w:rsidP="008A6FAE">
            <w:pPr>
              <w:jc w:val="center"/>
            </w:pPr>
            <w:r w:rsidRPr="00F171A3">
              <w:t>199</w:t>
            </w:r>
          </w:p>
        </w:tc>
        <w:tc>
          <w:tcPr>
            <w:tcW w:w="2359" w:type="dxa"/>
            <w:vAlign w:val="center"/>
          </w:tcPr>
          <w:p w14:paraId="542B6BE2" w14:textId="77777777" w:rsidR="00C929EE" w:rsidRPr="00F171A3" w:rsidRDefault="00C929EE" w:rsidP="008A6FAE">
            <w:pPr>
              <w:jc w:val="center"/>
            </w:pPr>
            <w:r w:rsidRPr="00F171A3">
              <w:t>207</w:t>
            </w:r>
          </w:p>
        </w:tc>
        <w:tc>
          <w:tcPr>
            <w:tcW w:w="2359" w:type="dxa"/>
            <w:vAlign w:val="center"/>
          </w:tcPr>
          <w:p w14:paraId="20D698F7" w14:textId="77777777" w:rsidR="00C929EE" w:rsidRPr="00F171A3" w:rsidRDefault="00C929EE" w:rsidP="008A6FAE">
            <w:pPr>
              <w:jc w:val="center"/>
            </w:pPr>
            <w:r w:rsidRPr="00F171A3">
              <w:t>214</w:t>
            </w:r>
          </w:p>
        </w:tc>
      </w:tr>
      <w:tr w:rsidR="00C929EE" w:rsidRPr="00F171A3" w14:paraId="1C1743D8" w14:textId="77777777" w:rsidTr="008A6FAE">
        <w:trPr>
          <w:cnfStyle w:val="000000100000" w:firstRow="0" w:lastRow="0" w:firstColumn="0" w:lastColumn="0" w:oddVBand="0" w:evenVBand="0" w:oddHBand="1" w:evenHBand="0" w:firstRowFirstColumn="0" w:firstRowLastColumn="0" w:lastRowFirstColumn="0" w:lastRowLastColumn="0"/>
        </w:trPr>
        <w:tc>
          <w:tcPr>
            <w:tcW w:w="2359" w:type="dxa"/>
          </w:tcPr>
          <w:p w14:paraId="7FFD2824" w14:textId="77777777" w:rsidR="00C929EE" w:rsidRPr="00F171A3" w:rsidRDefault="00C929EE" w:rsidP="00F31936">
            <w:pPr>
              <w:jc w:val="center"/>
            </w:pPr>
            <w:r w:rsidRPr="00F171A3">
              <w:t>Coeficientul de dependență a persoanelor vârstnice (‰)</w:t>
            </w:r>
          </w:p>
        </w:tc>
        <w:tc>
          <w:tcPr>
            <w:tcW w:w="2359" w:type="dxa"/>
            <w:vAlign w:val="center"/>
          </w:tcPr>
          <w:p w14:paraId="2DF9EBC9" w14:textId="77777777" w:rsidR="00C929EE" w:rsidRPr="00F171A3" w:rsidRDefault="00C929EE" w:rsidP="008A6FAE">
            <w:pPr>
              <w:jc w:val="center"/>
            </w:pPr>
            <w:r w:rsidRPr="00F171A3">
              <w:t>320</w:t>
            </w:r>
          </w:p>
        </w:tc>
        <w:tc>
          <w:tcPr>
            <w:tcW w:w="2359" w:type="dxa"/>
            <w:vAlign w:val="center"/>
          </w:tcPr>
          <w:p w14:paraId="67D7377D" w14:textId="77777777" w:rsidR="00C929EE" w:rsidRPr="00F171A3" w:rsidRDefault="00C929EE" w:rsidP="008A6FAE">
            <w:pPr>
              <w:jc w:val="center"/>
            </w:pPr>
            <w:r w:rsidRPr="00F171A3">
              <w:t>273</w:t>
            </w:r>
          </w:p>
        </w:tc>
        <w:tc>
          <w:tcPr>
            <w:tcW w:w="2359" w:type="dxa"/>
            <w:vAlign w:val="center"/>
          </w:tcPr>
          <w:p w14:paraId="46789C76" w14:textId="77777777" w:rsidR="00C929EE" w:rsidRPr="00F171A3" w:rsidRDefault="00C929EE" w:rsidP="008A6FAE">
            <w:pPr>
              <w:jc w:val="center"/>
            </w:pPr>
            <w:r w:rsidRPr="00F171A3">
              <w:t>256</w:t>
            </w:r>
          </w:p>
        </w:tc>
      </w:tr>
    </w:tbl>
    <w:p w14:paraId="43927B4D" w14:textId="77777777" w:rsidR="00C929EE" w:rsidRPr="00F171A3" w:rsidRDefault="00C929EE" w:rsidP="00FF6C80">
      <w:pPr>
        <w:jc w:val="right"/>
        <w:rPr>
          <w:color w:val="BFBFBF" w:themeColor="background1" w:themeShade="BF"/>
        </w:rPr>
      </w:pPr>
      <w:r w:rsidRPr="00F171A3">
        <w:rPr>
          <w:color w:val="BFBFBF" w:themeColor="background1" w:themeShade="BF"/>
        </w:rPr>
        <w:t>Sursa: INS Baza de date TEMPO Online</w:t>
      </w:r>
    </w:p>
    <w:p w14:paraId="24DD16A8" w14:textId="77777777" w:rsidR="008A6FAE" w:rsidRPr="00F171A3" w:rsidRDefault="008A6FAE" w:rsidP="008A6FAE"/>
    <w:p w14:paraId="65911DE6" w14:textId="3E0A1BE6" w:rsidR="00C929EE" w:rsidRPr="00F171A3" w:rsidRDefault="001E0A0F" w:rsidP="001E0A0F">
      <w:pPr>
        <w:pStyle w:val="Heading4"/>
      </w:pPr>
      <w:r w:rsidRPr="00F171A3">
        <w:t>MIȘCAREA NATURALĂ A POPULAȚIEI</w:t>
      </w:r>
    </w:p>
    <w:p w14:paraId="0B34F419" w14:textId="069B28D9" w:rsidR="00C929EE" w:rsidRPr="00F171A3" w:rsidRDefault="00C929EE" w:rsidP="00C929EE">
      <w:r w:rsidRPr="00F171A3">
        <w:t xml:space="preserve">Cele mai recente date cu privire la mișcarea naturală din Sectorul 2 și </w:t>
      </w:r>
      <w:r w:rsidR="00DE36DE" w:rsidRPr="00F171A3">
        <w:t>m</w:t>
      </w:r>
      <w:r w:rsidRPr="00F171A3">
        <w:t>unicipiul București fac referire la anul 2020. Astfel, Sectorul 2 a înregistrat o rată a natalității cu mult sub media capitalei și a țării, ceea ce respectiv a dus la o rată negativă a sporului natural, de -5,7%. Rata mortalității infantile mai redusă la nivelul municipiului București (2,4‰) față de media României (5,5‰) poate fi explicată de calitatea superioară a serviciilor medicale din capitală, comparativ cu multe regiuni din țară. În ceea ce privește nupțialitatea și divorțialitatea, Sectorul 2 înregistrează valori modeste a ratei de nupțialitate (3,4), față de media capitalei și cea națională. De partea cealaltă, rata de divorțialitate este superioară municipiului București și a țării. Astfel, în viitor va crește vârsta medie a populației, respectiv vor scădea resursele de muncă, atât la nivelul Sectorului 2, cât și la nivelul municipiului București, ceea ce va crea un dezechilibru pe piața forței de muncă. Prin urmare, va fi nevoie de politici de atragere a forței tinere de muncă în capitală, în vederea menținerii echilibrului.</w:t>
      </w:r>
    </w:p>
    <w:p w14:paraId="09851A02" w14:textId="4935F361" w:rsidR="00C929EE" w:rsidRPr="00F171A3" w:rsidRDefault="00C929EE" w:rsidP="00C929EE">
      <w:pPr>
        <w:pStyle w:val="Caption"/>
      </w:pPr>
      <w:bookmarkStart w:id="76" w:name="_Toc126943271"/>
      <w:r w:rsidRPr="00F171A3">
        <w:t xml:space="preserve">Tabel </w:t>
      </w:r>
      <w:r w:rsidRPr="00F171A3">
        <w:fldChar w:fldCharType="begin"/>
      </w:r>
      <w:r w:rsidRPr="00F171A3">
        <w:instrText xml:space="preserve"> SEQ Tabel \* ARABIC </w:instrText>
      </w:r>
      <w:r w:rsidRPr="00F171A3">
        <w:fldChar w:fldCharType="separate"/>
      </w:r>
      <w:r w:rsidR="005A6DD8">
        <w:rPr>
          <w:noProof/>
        </w:rPr>
        <w:t>14</w:t>
      </w:r>
      <w:r w:rsidRPr="00F171A3">
        <w:fldChar w:fldCharType="end"/>
      </w:r>
      <w:r w:rsidRPr="00F171A3">
        <w:t xml:space="preserve"> </w:t>
      </w:r>
      <w:r w:rsidRPr="00F171A3">
        <w:rPr>
          <w:iCs/>
        </w:rPr>
        <w:t>Principalii indicatori ai mișcării naturale din România, Municipiul București și Sectorul 2, în anul 2020</w:t>
      </w:r>
      <w:bookmarkEnd w:id="76"/>
    </w:p>
    <w:tbl>
      <w:tblPr>
        <w:tblStyle w:val="Civittatable"/>
        <w:tblW w:w="0" w:type="auto"/>
        <w:tblLook w:val="04A0" w:firstRow="1" w:lastRow="0" w:firstColumn="1" w:lastColumn="0" w:noHBand="0" w:noVBand="1"/>
      </w:tblPr>
      <w:tblGrid>
        <w:gridCol w:w="2482"/>
        <w:gridCol w:w="2115"/>
        <w:gridCol w:w="2436"/>
        <w:gridCol w:w="2403"/>
      </w:tblGrid>
      <w:tr w:rsidR="00C929EE" w:rsidRPr="00F171A3" w14:paraId="10B4EC8E" w14:textId="77777777" w:rsidTr="008A6FAE">
        <w:trPr>
          <w:cnfStyle w:val="100000000000" w:firstRow="1" w:lastRow="0" w:firstColumn="0" w:lastColumn="0" w:oddVBand="0" w:evenVBand="0" w:oddHBand="0" w:evenHBand="0" w:firstRowFirstColumn="0" w:firstRowLastColumn="0" w:lastRowFirstColumn="0" w:lastRowLastColumn="0"/>
        </w:trPr>
        <w:tc>
          <w:tcPr>
            <w:tcW w:w="2482" w:type="dxa"/>
            <w:vAlign w:val="center"/>
          </w:tcPr>
          <w:p w14:paraId="524377AC" w14:textId="77777777" w:rsidR="00C929EE" w:rsidRPr="00F171A3" w:rsidRDefault="00C929EE" w:rsidP="008A6FAE">
            <w:pPr>
              <w:jc w:val="center"/>
              <w:rPr>
                <w:b/>
                <w:bCs/>
              </w:rPr>
            </w:pPr>
            <w:r w:rsidRPr="00F171A3">
              <w:rPr>
                <w:b/>
                <w:bCs/>
              </w:rPr>
              <w:t>Indicator</w:t>
            </w:r>
          </w:p>
        </w:tc>
        <w:tc>
          <w:tcPr>
            <w:tcW w:w="2115" w:type="dxa"/>
            <w:vAlign w:val="center"/>
          </w:tcPr>
          <w:p w14:paraId="0152DD20" w14:textId="77777777" w:rsidR="00C929EE" w:rsidRPr="00F171A3" w:rsidRDefault="00C929EE" w:rsidP="008A6FAE">
            <w:pPr>
              <w:jc w:val="center"/>
              <w:rPr>
                <w:b/>
                <w:bCs/>
              </w:rPr>
            </w:pPr>
            <w:r w:rsidRPr="00F171A3">
              <w:rPr>
                <w:b/>
                <w:bCs/>
              </w:rPr>
              <w:t>Sector 2</w:t>
            </w:r>
          </w:p>
        </w:tc>
        <w:tc>
          <w:tcPr>
            <w:tcW w:w="2436" w:type="dxa"/>
            <w:vAlign w:val="center"/>
          </w:tcPr>
          <w:p w14:paraId="62F9CDB8" w14:textId="77777777" w:rsidR="00C929EE" w:rsidRPr="00F171A3" w:rsidRDefault="00C929EE" w:rsidP="008A6FAE">
            <w:pPr>
              <w:jc w:val="center"/>
              <w:rPr>
                <w:b/>
                <w:bCs/>
              </w:rPr>
            </w:pPr>
            <w:r w:rsidRPr="00F171A3">
              <w:rPr>
                <w:b/>
                <w:bCs/>
              </w:rPr>
              <w:t>București</w:t>
            </w:r>
          </w:p>
        </w:tc>
        <w:tc>
          <w:tcPr>
            <w:tcW w:w="2403" w:type="dxa"/>
            <w:vAlign w:val="center"/>
          </w:tcPr>
          <w:p w14:paraId="2455F56C" w14:textId="77777777" w:rsidR="00C929EE" w:rsidRPr="00F171A3" w:rsidRDefault="00C929EE" w:rsidP="008A6FAE">
            <w:pPr>
              <w:jc w:val="center"/>
              <w:rPr>
                <w:b/>
                <w:bCs/>
              </w:rPr>
            </w:pPr>
            <w:r w:rsidRPr="00F171A3">
              <w:rPr>
                <w:b/>
                <w:bCs/>
              </w:rPr>
              <w:t>România</w:t>
            </w:r>
          </w:p>
        </w:tc>
      </w:tr>
      <w:tr w:rsidR="00C929EE" w:rsidRPr="00F171A3" w14:paraId="06E34376" w14:textId="77777777" w:rsidTr="008A6FAE">
        <w:trPr>
          <w:cnfStyle w:val="000000100000" w:firstRow="0" w:lastRow="0" w:firstColumn="0" w:lastColumn="0" w:oddVBand="0" w:evenVBand="0" w:oddHBand="1" w:evenHBand="0" w:firstRowFirstColumn="0" w:firstRowLastColumn="0" w:lastRowFirstColumn="0" w:lastRowLastColumn="0"/>
        </w:trPr>
        <w:tc>
          <w:tcPr>
            <w:tcW w:w="2482" w:type="dxa"/>
          </w:tcPr>
          <w:p w14:paraId="07E3BF88" w14:textId="77777777" w:rsidR="00C929EE" w:rsidRPr="00F171A3" w:rsidRDefault="00C929EE" w:rsidP="00F31936">
            <w:r w:rsidRPr="00F171A3">
              <w:t>Născuți vii (nr.)</w:t>
            </w:r>
          </w:p>
        </w:tc>
        <w:tc>
          <w:tcPr>
            <w:tcW w:w="2115" w:type="dxa"/>
            <w:vAlign w:val="center"/>
          </w:tcPr>
          <w:p w14:paraId="473783DF" w14:textId="77777777" w:rsidR="00C929EE" w:rsidRPr="00F171A3" w:rsidRDefault="00C929EE" w:rsidP="008A6FAE">
            <w:pPr>
              <w:jc w:val="center"/>
            </w:pPr>
            <w:r w:rsidRPr="00F171A3">
              <w:t>2.846</w:t>
            </w:r>
          </w:p>
        </w:tc>
        <w:tc>
          <w:tcPr>
            <w:tcW w:w="2436" w:type="dxa"/>
            <w:vAlign w:val="center"/>
          </w:tcPr>
          <w:p w14:paraId="37CAD615" w14:textId="77777777" w:rsidR="00C929EE" w:rsidRPr="00F171A3" w:rsidRDefault="00C929EE" w:rsidP="008A6FAE">
            <w:pPr>
              <w:jc w:val="center"/>
            </w:pPr>
            <w:r w:rsidRPr="00F171A3">
              <w:t>22.520</w:t>
            </w:r>
          </w:p>
        </w:tc>
        <w:tc>
          <w:tcPr>
            <w:tcW w:w="2403" w:type="dxa"/>
            <w:vAlign w:val="center"/>
          </w:tcPr>
          <w:p w14:paraId="7B83B5D2" w14:textId="77777777" w:rsidR="00C929EE" w:rsidRPr="00F171A3" w:rsidRDefault="00C929EE" w:rsidP="008A6FAE">
            <w:pPr>
              <w:jc w:val="center"/>
            </w:pPr>
            <w:r w:rsidRPr="00F171A3">
              <w:t>201.849</w:t>
            </w:r>
          </w:p>
        </w:tc>
      </w:tr>
      <w:tr w:rsidR="00C929EE" w:rsidRPr="00F171A3" w14:paraId="4AB57936" w14:textId="77777777" w:rsidTr="008A6FAE">
        <w:trPr>
          <w:cnfStyle w:val="000000010000" w:firstRow="0" w:lastRow="0" w:firstColumn="0" w:lastColumn="0" w:oddVBand="0" w:evenVBand="0" w:oddHBand="0" w:evenHBand="1" w:firstRowFirstColumn="0" w:firstRowLastColumn="0" w:lastRowFirstColumn="0" w:lastRowLastColumn="0"/>
        </w:trPr>
        <w:tc>
          <w:tcPr>
            <w:tcW w:w="2482" w:type="dxa"/>
          </w:tcPr>
          <w:p w14:paraId="579FB73E" w14:textId="77777777" w:rsidR="00C929EE" w:rsidRPr="00F171A3" w:rsidRDefault="00C929EE" w:rsidP="00F31936">
            <w:r w:rsidRPr="00F171A3">
              <w:t>Rata Natalității (</w:t>
            </w:r>
            <w:r w:rsidRPr="00F171A3">
              <w:rPr>
                <w:rFonts w:cstheme="minorHAnsi"/>
              </w:rPr>
              <w:t>‰)</w:t>
            </w:r>
          </w:p>
        </w:tc>
        <w:tc>
          <w:tcPr>
            <w:tcW w:w="2115" w:type="dxa"/>
            <w:vAlign w:val="center"/>
          </w:tcPr>
          <w:p w14:paraId="2545BA43" w14:textId="77777777" w:rsidR="00C929EE" w:rsidRPr="00F171A3" w:rsidRDefault="00C929EE" w:rsidP="008A6FAE">
            <w:pPr>
              <w:jc w:val="center"/>
            </w:pPr>
            <w:r w:rsidRPr="00F171A3">
              <w:t>7,7</w:t>
            </w:r>
          </w:p>
        </w:tc>
        <w:tc>
          <w:tcPr>
            <w:tcW w:w="2436" w:type="dxa"/>
            <w:vAlign w:val="center"/>
          </w:tcPr>
          <w:p w14:paraId="7F077607" w14:textId="77777777" w:rsidR="00C929EE" w:rsidRPr="00F171A3" w:rsidRDefault="00C929EE" w:rsidP="008A6FAE">
            <w:pPr>
              <w:jc w:val="center"/>
            </w:pPr>
            <w:r w:rsidRPr="00F171A3">
              <w:t>10,4</w:t>
            </w:r>
          </w:p>
        </w:tc>
        <w:tc>
          <w:tcPr>
            <w:tcW w:w="2403" w:type="dxa"/>
            <w:vAlign w:val="center"/>
          </w:tcPr>
          <w:p w14:paraId="5C47D4A4" w14:textId="77777777" w:rsidR="00C929EE" w:rsidRPr="00F171A3" w:rsidRDefault="00C929EE" w:rsidP="008A6FAE">
            <w:pPr>
              <w:jc w:val="center"/>
            </w:pPr>
            <w:r w:rsidRPr="00F171A3">
              <w:t>9,1</w:t>
            </w:r>
          </w:p>
        </w:tc>
      </w:tr>
      <w:tr w:rsidR="00C929EE" w:rsidRPr="00F171A3" w14:paraId="71E5B755" w14:textId="77777777" w:rsidTr="008A6FAE">
        <w:trPr>
          <w:cnfStyle w:val="000000100000" w:firstRow="0" w:lastRow="0" w:firstColumn="0" w:lastColumn="0" w:oddVBand="0" w:evenVBand="0" w:oddHBand="1" w:evenHBand="0" w:firstRowFirstColumn="0" w:firstRowLastColumn="0" w:lastRowFirstColumn="0" w:lastRowLastColumn="0"/>
        </w:trPr>
        <w:tc>
          <w:tcPr>
            <w:tcW w:w="2482" w:type="dxa"/>
          </w:tcPr>
          <w:p w14:paraId="2EF7DA18" w14:textId="77777777" w:rsidR="00C929EE" w:rsidRPr="00F171A3" w:rsidRDefault="00C929EE" w:rsidP="00F31936">
            <w:r w:rsidRPr="00F171A3">
              <w:t>Decedați – total (nr.)</w:t>
            </w:r>
          </w:p>
        </w:tc>
        <w:tc>
          <w:tcPr>
            <w:tcW w:w="2115" w:type="dxa"/>
            <w:vAlign w:val="center"/>
          </w:tcPr>
          <w:p w14:paraId="75769D83" w14:textId="77777777" w:rsidR="00C929EE" w:rsidRPr="00F171A3" w:rsidRDefault="00C929EE" w:rsidP="008A6FAE">
            <w:pPr>
              <w:jc w:val="center"/>
            </w:pPr>
            <w:r w:rsidRPr="00F171A3">
              <w:t>4.954</w:t>
            </w:r>
          </w:p>
        </w:tc>
        <w:tc>
          <w:tcPr>
            <w:tcW w:w="2436" w:type="dxa"/>
            <w:vAlign w:val="center"/>
          </w:tcPr>
          <w:p w14:paraId="62859FC7" w14:textId="77777777" w:rsidR="00C929EE" w:rsidRPr="00F171A3" w:rsidRDefault="00C929EE" w:rsidP="008A6FAE">
            <w:pPr>
              <w:jc w:val="center"/>
            </w:pPr>
            <w:r w:rsidRPr="00F171A3">
              <w:t>25.895</w:t>
            </w:r>
          </w:p>
        </w:tc>
        <w:tc>
          <w:tcPr>
            <w:tcW w:w="2403" w:type="dxa"/>
            <w:vAlign w:val="center"/>
          </w:tcPr>
          <w:p w14:paraId="3B4F726E" w14:textId="77777777" w:rsidR="00C929EE" w:rsidRPr="00F171A3" w:rsidRDefault="00C929EE" w:rsidP="008A6FAE">
            <w:pPr>
              <w:jc w:val="center"/>
            </w:pPr>
            <w:r w:rsidRPr="00F171A3">
              <w:t>298.651</w:t>
            </w:r>
          </w:p>
        </w:tc>
      </w:tr>
      <w:tr w:rsidR="00C929EE" w:rsidRPr="00F171A3" w14:paraId="0067D992" w14:textId="77777777" w:rsidTr="008A6FAE">
        <w:trPr>
          <w:cnfStyle w:val="000000010000" w:firstRow="0" w:lastRow="0" w:firstColumn="0" w:lastColumn="0" w:oddVBand="0" w:evenVBand="0" w:oddHBand="0" w:evenHBand="1" w:firstRowFirstColumn="0" w:firstRowLastColumn="0" w:lastRowFirstColumn="0" w:lastRowLastColumn="0"/>
        </w:trPr>
        <w:tc>
          <w:tcPr>
            <w:tcW w:w="2482" w:type="dxa"/>
          </w:tcPr>
          <w:p w14:paraId="14B71BC3" w14:textId="77777777" w:rsidR="00C929EE" w:rsidRPr="00F171A3" w:rsidRDefault="00C929EE" w:rsidP="00F31936">
            <w:r w:rsidRPr="00F171A3">
              <w:t>Rata mortalității (</w:t>
            </w:r>
            <w:r w:rsidRPr="00F171A3">
              <w:rPr>
                <w:rFonts w:cstheme="minorHAnsi"/>
              </w:rPr>
              <w:t>‰)</w:t>
            </w:r>
          </w:p>
        </w:tc>
        <w:tc>
          <w:tcPr>
            <w:tcW w:w="2115" w:type="dxa"/>
            <w:vAlign w:val="center"/>
          </w:tcPr>
          <w:p w14:paraId="4FB0C043" w14:textId="77777777" w:rsidR="00C929EE" w:rsidRPr="00F171A3" w:rsidRDefault="00C929EE" w:rsidP="008A6FAE">
            <w:pPr>
              <w:jc w:val="center"/>
            </w:pPr>
            <w:r w:rsidRPr="00F171A3">
              <w:t>13,3</w:t>
            </w:r>
          </w:p>
        </w:tc>
        <w:tc>
          <w:tcPr>
            <w:tcW w:w="2436" w:type="dxa"/>
            <w:vAlign w:val="center"/>
          </w:tcPr>
          <w:p w14:paraId="4ACC9B90" w14:textId="77777777" w:rsidR="00C929EE" w:rsidRPr="00F171A3" w:rsidRDefault="00C929EE" w:rsidP="008A6FAE">
            <w:pPr>
              <w:jc w:val="center"/>
            </w:pPr>
            <w:r w:rsidRPr="00F171A3">
              <w:t>12</w:t>
            </w:r>
          </w:p>
        </w:tc>
        <w:tc>
          <w:tcPr>
            <w:tcW w:w="2403" w:type="dxa"/>
            <w:vAlign w:val="center"/>
          </w:tcPr>
          <w:p w14:paraId="2678B942" w14:textId="77777777" w:rsidR="00C929EE" w:rsidRPr="00F171A3" w:rsidRDefault="00C929EE" w:rsidP="008A6FAE">
            <w:pPr>
              <w:jc w:val="center"/>
            </w:pPr>
            <w:r w:rsidRPr="00F171A3">
              <w:t>13,5</w:t>
            </w:r>
          </w:p>
        </w:tc>
      </w:tr>
      <w:tr w:rsidR="00C929EE" w:rsidRPr="00F171A3" w14:paraId="152B73E7" w14:textId="77777777" w:rsidTr="008A6FAE">
        <w:trPr>
          <w:cnfStyle w:val="000000100000" w:firstRow="0" w:lastRow="0" w:firstColumn="0" w:lastColumn="0" w:oddVBand="0" w:evenVBand="0" w:oddHBand="1" w:evenHBand="0" w:firstRowFirstColumn="0" w:firstRowLastColumn="0" w:lastRowFirstColumn="0" w:lastRowLastColumn="0"/>
        </w:trPr>
        <w:tc>
          <w:tcPr>
            <w:tcW w:w="2482" w:type="dxa"/>
          </w:tcPr>
          <w:p w14:paraId="2B12592F" w14:textId="77777777" w:rsidR="00C929EE" w:rsidRPr="00F171A3" w:rsidRDefault="00C929EE" w:rsidP="00F31936">
            <w:r w:rsidRPr="00F171A3">
              <w:t>Decedați – sub un an (nr.)</w:t>
            </w:r>
          </w:p>
        </w:tc>
        <w:tc>
          <w:tcPr>
            <w:tcW w:w="2115" w:type="dxa"/>
            <w:vAlign w:val="center"/>
          </w:tcPr>
          <w:p w14:paraId="79F41AD1" w14:textId="77777777" w:rsidR="00C929EE" w:rsidRPr="00F171A3" w:rsidRDefault="00C929EE" w:rsidP="008A6FAE">
            <w:pPr>
              <w:jc w:val="center"/>
            </w:pPr>
            <w:r w:rsidRPr="00F171A3">
              <w:t>6</w:t>
            </w:r>
          </w:p>
        </w:tc>
        <w:tc>
          <w:tcPr>
            <w:tcW w:w="2436" w:type="dxa"/>
            <w:vAlign w:val="center"/>
          </w:tcPr>
          <w:p w14:paraId="24B5BBBD" w14:textId="77777777" w:rsidR="00C929EE" w:rsidRPr="00F171A3" w:rsidRDefault="00C929EE" w:rsidP="008A6FAE">
            <w:pPr>
              <w:jc w:val="center"/>
            </w:pPr>
            <w:r w:rsidRPr="00F171A3">
              <w:t>55</w:t>
            </w:r>
          </w:p>
        </w:tc>
        <w:tc>
          <w:tcPr>
            <w:tcW w:w="2403" w:type="dxa"/>
            <w:vAlign w:val="center"/>
          </w:tcPr>
          <w:p w14:paraId="6AF00638" w14:textId="77777777" w:rsidR="00C929EE" w:rsidRPr="00F171A3" w:rsidRDefault="00C929EE" w:rsidP="008A6FAE">
            <w:pPr>
              <w:jc w:val="center"/>
            </w:pPr>
            <w:r w:rsidRPr="00F171A3">
              <w:t>1107</w:t>
            </w:r>
          </w:p>
        </w:tc>
      </w:tr>
      <w:tr w:rsidR="00C929EE" w:rsidRPr="00F171A3" w14:paraId="7F5A3A9D" w14:textId="77777777" w:rsidTr="008A6FAE">
        <w:trPr>
          <w:cnfStyle w:val="000000010000" w:firstRow="0" w:lastRow="0" w:firstColumn="0" w:lastColumn="0" w:oddVBand="0" w:evenVBand="0" w:oddHBand="0" w:evenHBand="1" w:firstRowFirstColumn="0" w:firstRowLastColumn="0" w:lastRowFirstColumn="0" w:lastRowLastColumn="0"/>
        </w:trPr>
        <w:tc>
          <w:tcPr>
            <w:tcW w:w="2482" w:type="dxa"/>
          </w:tcPr>
          <w:p w14:paraId="3F0A2B93" w14:textId="77777777" w:rsidR="00C929EE" w:rsidRPr="00F171A3" w:rsidRDefault="00C929EE" w:rsidP="00F31936">
            <w:r w:rsidRPr="00F171A3">
              <w:t>Rata mortalității infantile (</w:t>
            </w:r>
            <w:r w:rsidRPr="00F171A3">
              <w:rPr>
                <w:rFonts w:cstheme="minorHAnsi"/>
              </w:rPr>
              <w:t>‰)</w:t>
            </w:r>
          </w:p>
        </w:tc>
        <w:tc>
          <w:tcPr>
            <w:tcW w:w="2115" w:type="dxa"/>
            <w:vAlign w:val="center"/>
          </w:tcPr>
          <w:p w14:paraId="04368B43" w14:textId="77777777" w:rsidR="00C929EE" w:rsidRPr="00F171A3" w:rsidRDefault="00C929EE" w:rsidP="008A6FAE">
            <w:pPr>
              <w:jc w:val="center"/>
            </w:pPr>
            <w:r w:rsidRPr="00F171A3">
              <w:t>2,1</w:t>
            </w:r>
          </w:p>
        </w:tc>
        <w:tc>
          <w:tcPr>
            <w:tcW w:w="2436" w:type="dxa"/>
            <w:vAlign w:val="center"/>
          </w:tcPr>
          <w:p w14:paraId="3B89292F" w14:textId="77777777" w:rsidR="00C929EE" w:rsidRPr="00F171A3" w:rsidRDefault="00C929EE" w:rsidP="008A6FAE">
            <w:pPr>
              <w:jc w:val="center"/>
            </w:pPr>
            <w:r w:rsidRPr="00F171A3">
              <w:t>2,4</w:t>
            </w:r>
          </w:p>
        </w:tc>
        <w:tc>
          <w:tcPr>
            <w:tcW w:w="2403" w:type="dxa"/>
            <w:vAlign w:val="center"/>
          </w:tcPr>
          <w:p w14:paraId="17FDD17C" w14:textId="77777777" w:rsidR="00C929EE" w:rsidRPr="00F171A3" w:rsidRDefault="00C929EE" w:rsidP="008A6FAE">
            <w:pPr>
              <w:jc w:val="center"/>
            </w:pPr>
            <w:r w:rsidRPr="00F171A3">
              <w:t>5,5</w:t>
            </w:r>
          </w:p>
        </w:tc>
      </w:tr>
      <w:tr w:rsidR="00C929EE" w:rsidRPr="00F171A3" w14:paraId="2C04501B" w14:textId="77777777" w:rsidTr="008A6FAE">
        <w:trPr>
          <w:cnfStyle w:val="000000100000" w:firstRow="0" w:lastRow="0" w:firstColumn="0" w:lastColumn="0" w:oddVBand="0" w:evenVBand="0" w:oddHBand="1" w:evenHBand="0" w:firstRowFirstColumn="0" w:firstRowLastColumn="0" w:lastRowFirstColumn="0" w:lastRowLastColumn="0"/>
        </w:trPr>
        <w:tc>
          <w:tcPr>
            <w:tcW w:w="2482" w:type="dxa"/>
          </w:tcPr>
          <w:p w14:paraId="43879E8F" w14:textId="77777777" w:rsidR="00C929EE" w:rsidRPr="00F171A3" w:rsidRDefault="00C929EE" w:rsidP="00F31936">
            <w:r w:rsidRPr="00F171A3">
              <w:t>Rata sporului natural (</w:t>
            </w:r>
            <w:r w:rsidRPr="00F171A3">
              <w:rPr>
                <w:rFonts w:cstheme="minorHAnsi"/>
              </w:rPr>
              <w:t>‰)</w:t>
            </w:r>
          </w:p>
        </w:tc>
        <w:tc>
          <w:tcPr>
            <w:tcW w:w="2115" w:type="dxa"/>
            <w:vAlign w:val="center"/>
          </w:tcPr>
          <w:p w14:paraId="44DAA1CD" w14:textId="77777777" w:rsidR="00C929EE" w:rsidRPr="00F171A3" w:rsidRDefault="00C929EE" w:rsidP="008A6FAE">
            <w:pPr>
              <w:jc w:val="center"/>
            </w:pPr>
            <w:r w:rsidRPr="00F171A3">
              <w:t>-5,7</w:t>
            </w:r>
          </w:p>
        </w:tc>
        <w:tc>
          <w:tcPr>
            <w:tcW w:w="2436" w:type="dxa"/>
            <w:vAlign w:val="center"/>
          </w:tcPr>
          <w:p w14:paraId="127E04C0" w14:textId="77777777" w:rsidR="00C929EE" w:rsidRPr="00F171A3" w:rsidRDefault="00C929EE" w:rsidP="008A6FAE">
            <w:pPr>
              <w:jc w:val="center"/>
            </w:pPr>
            <w:r w:rsidRPr="00F171A3">
              <w:t>-1,6</w:t>
            </w:r>
          </w:p>
        </w:tc>
        <w:tc>
          <w:tcPr>
            <w:tcW w:w="2403" w:type="dxa"/>
            <w:vAlign w:val="center"/>
          </w:tcPr>
          <w:p w14:paraId="0788F3F9" w14:textId="77777777" w:rsidR="00C929EE" w:rsidRPr="00F171A3" w:rsidRDefault="00C929EE" w:rsidP="008A6FAE">
            <w:pPr>
              <w:jc w:val="center"/>
            </w:pPr>
            <w:r w:rsidRPr="00F171A3">
              <w:t>-4,4</w:t>
            </w:r>
          </w:p>
        </w:tc>
      </w:tr>
      <w:tr w:rsidR="00C929EE" w:rsidRPr="00F171A3" w14:paraId="655EE0CF" w14:textId="77777777" w:rsidTr="008A6FAE">
        <w:trPr>
          <w:cnfStyle w:val="000000010000" w:firstRow="0" w:lastRow="0" w:firstColumn="0" w:lastColumn="0" w:oddVBand="0" w:evenVBand="0" w:oddHBand="0" w:evenHBand="1" w:firstRowFirstColumn="0" w:firstRowLastColumn="0" w:lastRowFirstColumn="0" w:lastRowLastColumn="0"/>
        </w:trPr>
        <w:tc>
          <w:tcPr>
            <w:tcW w:w="2482" w:type="dxa"/>
          </w:tcPr>
          <w:p w14:paraId="3C81DB93" w14:textId="77777777" w:rsidR="00C929EE" w:rsidRPr="00F171A3" w:rsidRDefault="00C929EE" w:rsidP="00F31936">
            <w:r w:rsidRPr="00F171A3">
              <w:t>Căsătorii (nr.)</w:t>
            </w:r>
          </w:p>
        </w:tc>
        <w:tc>
          <w:tcPr>
            <w:tcW w:w="2115" w:type="dxa"/>
            <w:vAlign w:val="center"/>
          </w:tcPr>
          <w:p w14:paraId="5CD15FFB" w14:textId="77777777" w:rsidR="00C929EE" w:rsidRPr="00F171A3" w:rsidRDefault="00C929EE" w:rsidP="008A6FAE">
            <w:pPr>
              <w:jc w:val="center"/>
            </w:pPr>
            <w:r w:rsidRPr="00F171A3">
              <w:t>1.256</w:t>
            </w:r>
          </w:p>
        </w:tc>
        <w:tc>
          <w:tcPr>
            <w:tcW w:w="2436" w:type="dxa"/>
            <w:vAlign w:val="center"/>
          </w:tcPr>
          <w:p w14:paraId="675C0842" w14:textId="77777777" w:rsidR="00C929EE" w:rsidRPr="00F171A3" w:rsidRDefault="00C929EE" w:rsidP="008A6FAE">
            <w:pPr>
              <w:jc w:val="center"/>
            </w:pPr>
            <w:r w:rsidRPr="00F171A3">
              <w:t>9.407</w:t>
            </w:r>
          </w:p>
        </w:tc>
        <w:tc>
          <w:tcPr>
            <w:tcW w:w="2403" w:type="dxa"/>
            <w:vAlign w:val="center"/>
          </w:tcPr>
          <w:p w14:paraId="50B5B147" w14:textId="77777777" w:rsidR="00C929EE" w:rsidRPr="00F171A3" w:rsidRDefault="00C929EE" w:rsidP="008A6FAE">
            <w:pPr>
              <w:jc w:val="center"/>
            </w:pPr>
            <w:r w:rsidRPr="00F171A3">
              <w:t>81.343</w:t>
            </w:r>
          </w:p>
        </w:tc>
      </w:tr>
      <w:tr w:rsidR="00C929EE" w:rsidRPr="00F171A3" w14:paraId="6545E149" w14:textId="77777777" w:rsidTr="008A6FAE">
        <w:trPr>
          <w:cnfStyle w:val="000000100000" w:firstRow="0" w:lastRow="0" w:firstColumn="0" w:lastColumn="0" w:oddVBand="0" w:evenVBand="0" w:oddHBand="1" w:evenHBand="0" w:firstRowFirstColumn="0" w:firstRowLastColumn="0" w:lastRowFirstColumn="0" w:lastRowLastColumn="0"/>
        </w:trPr>
        <w:tc>
          <w:tcPr>
            <w:tcW w:w="2482" w:type="dxa"/>
          </w:tcPr>
          <w:p w14:paraId="03E3543F" w14:textId="77777777" w:rsidR="00C929EE" w:rsidRPr="00F171A3" w:rsidRDefault="00C929EE" w:rsidP="00F31936">
            <w:r w:rsidRPr="00F171A3">
              <w:t>Rata de nupțialitate (</w:t>
            </w:r>
            <w:r w:rsidRPr="00F171A3">
              <w:rPr>
                <w:rFonts w:cstheme="minorHAnsi"/>
              </w:rPr>
              <w:t>‰)</w:t>
            </w:r>
          </w:p>
        </w:tc>
        <w:tc>
          <w:tcPr>
            <w:tcW w:w="2115" w:type="dxa"/>
            <w:vAlign w:val="center"/>
          </w:tcPr>
          <w:p w14:paraId="4323AFB5" w14:textId="77777777" w:rsidR="00C929EE" w:rsidRPr="00F171A3" w:rsidRDefault="00C929EE" w:rsidP="008A6FAE">
            <w:pPr>
              <w:jc w:val="center"/>
            </w:pPr>
            <w:r w:rsidRPr="00F171A3">
              <w:t>3,4</w:t>
            </w:r>
          </w:p>
        </w:tc>
        <w:tc>
          <w:tcPr>
            <w:tcW w:w="2436" w:type="dxa"/>
            <w:vAlign w:val="center"/>
          </w:tcPr>
          <w:p w14:paraId="4B187CC8" w14:textId="77777777" w:rsidR="00C929EE" w:rsidRPr="00F171A3" w:rsidRDefault="00C929EE" w:rsidP="008A6FAE">
            <w:pPr>
              <w:jc w:val="center"/>
            </w:pPr>
            <w:r w:rsidRPr="00F171A3">
              <w:t>4,4</w:t>
            </w:r>
          </w:p>
        </w:tc>
        <w:tc>
          <w:tcPr>
            <w:tcW w:w="2403" w:type="dxa"/>
            <w:vAlign w:val="center"/>
          </w:tcPr>
          <w:p w14:paraId="0577F02F" w14:textId="77777777" w:rsidR="00C929EE" w:rsidRPr="00F171A3" w:rsidRDefault="00C929EE" w:rsidP="008A6FAE">
            <w:pPr>
              <w:jc w:val="center"/>
            </w:pPr>
            <w:r w:rsidRPr="00F171A3">
              <w:t>3,7</w:t>
            </w:r>
          </w:p>
        </w:tc>
      </w:tr>
      <w:tr w:rsidR="00C929EE" w:rsidRPr="00F171A3" w14:paraId="5C6DF6F8" w14:textId="77777777" w:rsidTr="008A6FAE">
        <w:trPr>
          <w:cnfStyle w:val="000000010000" w:firstRow="0" w:lastRow="0" w:firstColumn="0" w:lastColumn="0" w:oddVBand="0" w:evenVBand="0" w:oddHBand="0" w:evenHBand="1" w:firstRowFirstColumn="0" w:firstRowLastColumn="0" w:lastRowFirstColumn="0" w:lastRowLastColumn="0"/>
        </w:trPr>
        <w:tc>
          <w:tcPr>
            <w:tcW w:w="2482" w:type="dxa"/>
          </w:tcPr>
          <w:p w14:paraId="44E09FC9" w14:textId="77777777" w:rsidR="00C929EE" w:rsidRPr="00F171A3" w:rsidRDefault="00C929EE" w:rsidP="00F31936">
            <w:r w:rsidRPr="00F171A3">
              <w:t>Divorțuri (nr.)</w:t>
            </w:r>
          </w:p>
        </w:tc>
        <w:tc>
          <w:tcPr>
            <w:tcW w:w="2115" w:type="dxa"/>
            <w:vAlign w:val="center"/>
          </w:tcPr>
          <w:p w14:paraId="785EBBEE" w14:textId="77777777" w:rsidR="00C929EE" w:rsidRPr="00F171A3" w:rsidRDefault="00C929EE" w:rsidP="008A6FAE">
            <w:pPr>
              <w:jc w:val="center"/>
            </w:pPr>
            <w:r w:rsidRPr="00F171A3">
              <w:t>423</w:t>
            </w:r>
          </w:p>
        </w:tc>
        <w:tc>
          <w:tcPr>
            <w:tcW w:w="2436" w:type="dxa"/>
            <w:vAlign w:val="center"/>
          </w:tcPr>
          <w:p w14:paraId="655C9876" w14:textId="77777777" w:rsidR="00C929EE" w:rsidRPr="00F171A3" w:rsidRDefault="00C929EE" w:rsidP="008A6FAE">
            <w:pPr>
              <w:jc w:val="center"/>
            </w:pPr>
            <w:r w:rsidRPr="00F171A3">
              <w:t>2.021</w:t>
            </w:r>
          </w:p>
        </w:tc>
        <w:tc>
          <w:tcPr>
            <w:tcW w:w="2403" w:type="dxa"/>
            <w:vAlign w:val="center"/>
          </w:tcPr>
          <w:p w14:paraId="2C51E293" w14:textId="77777777" w:rsidR="00C929EE" w:rsidRPr="00F171A3" w:rsidRDefault="00C929EE" w:rsidP="008A6FAE">
            <w:pPr>
              <w:jc w:val="center"/>
            </w:pPr>
            <w:r w:rsidRPr="00F171A3">
              <w:t>22.785</w:t>
            </w:r>
          </w:p>
        </w:tc>
      </w:tr>
      <w:tr w:rsidR="00C929EE" w:rsidRPr="00F171A3" w14:paraId="18C5FBF4" w14:textId="77777777" w:rsidTr="008A6FAE">
        <w:trPr>
          <w:cnfStyle w:val="000000100000" w:firstRow="0" w:lastRow="0" w:firstColumn="0" w:lastColumn="0" w:oddVBand="0" w:evenVBand="0" w:oddHBand="1" w:evenHBand="0" w:firstRowFirstColumn="0" w:firstRowLastColumn="0" w:lastRowFirstColumn="0" w:lastRowLastColumn="0"/>
        </w:trPr>
        <w:tc>
          <w:tcPr>
            <w:tcW w:w="2482" w:type="dxa"/>
          </w:tcPr>
          <w:p w14:paraId="01A87292" w14:textId="77777777" w:rsidR="00C929EE" w:rsidRPr="00F171A3" w:rsidRDefault="00C929EE" w:rsidP="00F31936">
            <w:r w:rsidRPr="00F171A3">
              <w:t>Rata de divorțialitate (</w:t>
            </w:r>
            <w:r w:rsidRPr="00F171A3">
              <w:rPr>
                <w:rFonts w:cstheme="minorHAnsi"/>
              </w:rPr>
              <w:t>‰)</w:t>
            </w:r>
          </w:p>
        </w:tc>
        <w:tc>
          <w:tcPr>
            <w:tcW w:w="2115" w:type="dxa"/>
            <w:vAlign w:val="center"/>
          </w:tcPr>
          <w:p w14:paraId="364002C9" w14:textId="77777777" w:rsidR="00C929EE" w:rsidRPr="00F171A3" w:rsidRDefault="00C929EE" w:rsidP="008A6FAE">
            <w:pPr>
              <w:jc w:val="center"/>
            </w:pPr>
            <w:r w:rsidRPr="00F171A3">
              <w:t>1,1</w:t>
            </w:r>
          </w:p>
        </w:tc>
        <w:tc>
          <w:tcPr>
            <w:tcW w:w="2436" w:type="dxa"/>
            <w:vAlign w:val="center"/>
          </w:tcPr>
          <w:p w14:paraId="50B7B841" w14:textId="77777777" w:rsidR="00C929EE" w:rsidRPr="00F171A3" w:rsidRDefault="00C929EE" w:rsidP="008A6FAE">
            <w:pPr>
              <w:jc w:val="center"/>
            </w:pPr>
            <w:r w:rsidRPr="00F171A3">
              <w:t>0,94</w:t>
            </w:r>
          </w:p>
        </w:tc>
        <w:tc>
          <w:tcPr>
            <w:tcW w:w="2403" w:type="dxa"/>
            <w:vAlign w:val="center"/>
          </w:tcPr>
          <w:p w14:paraId="332475BF" w14:textId="77777777" w:rsidR="00C929EE" w:rsidRPr="00F171A3" w:rsidRDefault="00C929EE" w:rsidP="008A6FAE">
            <w:pPr>
              <w:jc w:val="center"/>
            </w:pPr>
            <w:r w:rsidRPr="00F171A3">
              <w:t>1,03</w:t>
            </w:r>
          </w:p>
        </w:tc>
      </w:tr>
    </w:tbl>
    <w:p w14:paraId="7E5F71C4" w14:textId="43C638AB" w:rsidR="00C929EE" w:rsidRPr="00F171A3" w:rsidRDefault="00C929EE" w:rsidP="00FF6C80">
      <w:pPr>
        <w:jc w:val="right"/>
        <w:rPr>
          <w:color w:val="BFBFBF" w:themeColor="background1" w:themeShade="BF"/>
        </w:rPr>
      </w:pPr>
      <w:r w:rsidRPr="00F171A3">
        <w:rPr>
          <w:color w:val="BFBFBF" w:themeColor="background1" w:themeShade="BF"/>
        </w:rPr>
        <w:t xml:space="preserve">Sursa: INS Baza de date TEMPO Online, Direcția Regională de Statistică a </w:t>
      </w:r>
      <w:r w:rsidR="00DE36DE" w:rsidRPr="00F171A3">
        <w:rPr>
          <w:color w:val="BFBFBF" w:themeColor="background1" w:themeShade="BF"/>
        </w:rPr>
        <w:t>m</w:t>
      </w:r>
      <w:r w:rsidRPr="00F171A3">
        <w:rPr>
          <w:color w:val="BFBFBF" w:themeColor="background1" w:themeShade="BF"/>
        </w:rPr>
        <w:t>unicipiului București</w:t>
      </w:r>
    </w:p>
    <w:p w14:paraId="2E9C59E6" w14:textId="337EF262" w:rsidR="00C929EE" w:rsidRPr="00F171A3" w:rsidRDefault="00C929EE" w:rsidP="00C929EE">
      <w:r w:rsidRPr="00F171A3">
        <w:t>Totuși, după cum este menționat mai sus, aceste date trebuite interpretate cu acuratețe metodologică, deoarece folosesc ca și bază de raportare populația cu domiciliu din zonele respective, care nu corespunde cu numărul real al populației din arealul respectiv. Acestui fapt se adaugă și impactul puternic al pandemiei de COVID-19 asupra acestor indicatori: rata ridicată a mortalității comparativ cu anii precedenți, rata mai mică a nupțialității, din cauza restricțiilor cauzate de pandemia de COVID-19, etc.</w:t>
      </w:r>
    </w:p>
    <w:p w14:paraId="282567C1" w14:textId="77777777" w:rsidR="008A6FAE" w:rsidRPr="00F171A3" w:rsidRDefault="008A6FAE" w:rsidP="00C929EE"/>
    <w:p w14:paraId="3F31A366" w14:textId="1F68381D" w:rsidR="00C929EE" w:rsidRPr="00F171A3" w:rsidRDefault="001E0A0F" w:rsidP="001E0A0F">
      <w:pPr>
        <w:pStyle w:val="Heading4"/>
      </w:pPr>
      <w:r w:rsidRPr="00F171A3">
        <w:t>DEZVOLTARE LOCALĂ ȘI COMUNITĂȚI DEZAVANTAJATE</w:t>
      </w:r>
    </w:p>
    <w:p w14:paraId="6E564789" w14:textId="77777777" w:rsidR="00C929EE" w:rsidRPr="00F171A3" w:rsidRDefault="00C929EE" w:rsidP="00C929EE">
      <w:r w:rsidRPr="00F171A3">
        <w:t xml:space="preserve">Conform datelor furnizate de Banca Mondială, la nivelul anului 2011, 19% din populația Sectorului 2 locuia în comunități dezavantajate simultan după trei criterii: dezavantajate pe capital uman, calitatea locuirii și ocuparea forței de muncă. Față de celelalte sectoare, Sectorul 2 ocupa al 3-lea loc, după Sectorul 5 și Sectorul 1. </w:t>
      </w:r>
    </w:p>
    <w:p w14:paraId="7F03378B" w14:textId="2C9078E1" w:rsidR="00C929EE" w:rsidRPr="00F171A3" w:rsidRDefault="00C929EE" w:rsidP="00C929EE">
      <w:r w:rsidRPr="00F171A3">
        <w:t xml:space="preserve">Informații mai recente, furnizate de către </w:t>
      </w:r>
      <w:r w:rsidR="00F171A3" w:rsidRPr="00F171A3">
        <w:t>Direcția</w:t>
      </w:r>
      <w:r w:rsidRPr="00F171A3">
        <w:t xml:space="preserve"> Generală de Asistență Socială și Protecția Copilului Sector 2, arată următoarea situație î</w:t>
      </w:r>
      <w:r w:rsidR="00F171A3">
        <w:t>n</w:t>
      </w:r>
      <w:r w:rsidRPr="00F171A3">
        <w:t xml:space="preserve"> ceea ce privește populația care </w:t>
      </w:r>
      <w:r w:rsidR="00F171A3" w:rsidRPr="00F171A3">
        <w:t>trăiește</w:t>
      </w:r>
      <w:r w:rsidRPr="00F171A3">
        <w:t xml:space="preserve"> în condiții de marginalizare, la nivelul Sectorului 2:</w:t>
      </w:r>
    </w:p>
    <w:p w14:paraId="3976DB8A" w14:textId="77777777" w:rsidR="00C929EE" w:rsidRPr="00F171A3" w:rsidRDefault="00C929EE" w:rsidP="00C929EE"/>
    <w:p w14:paraId="1FD10358" w14:textId="77777777" w:rsidR="00C929EE" w:rsidRPr="00F171A3" w:rsidRDefault="00C929EE" w:rsidP="00C929EE"/>
    <w:p w14:paraId="307A0203" w14:textId="77777777" w:rsidR="00C929EE" w:rsidRPr="00F171A3" w:rsidRDefault="00C929EE" w:rsidP="00C929EE"/>
    <w:p w14:paraId="53AC0C06" w14:textId="77777777" w:rsidR="00C929EE" w:rsidRPr="00F171A3" w:rsidRDefault="00C929EE" w:rsidP="00C929EE"/>
    <w:p w14:paraId="0A562158" w14:textId="77777777" w:rsidR="00C929EE" w:rsidRPr="00F171A3" w:rsidRDefault="00C929EE" w:rsidP="00C929EE"/>
    <w:p w14:paraId="2549D44F" w14:textId="77777777" w:rsidR="00C929EE" w:rsidRPr="00F171A3" w:rsidRDefault="00C929EE" w:rsidP="00C929EE"/>
    <w:p w14:paraId="1C629C0A" w14:textId="77777777" w:rsidR="00C929EE" w:rsidRPr="00F171A3" w:rsidRDefault="00C929EE" w:rsidP="00C929EE"/>
    <w:p w14:paraId="0E08EE19" w14:textId="77777777" w:rsidR="00C929EE" w:rsidRPr="00F171A3" w:rsidRDefault="00C929EE" w:rsidP="00C929EE"/>
    <w:p w14:paraId="07A2ECFB" w14:textId="77777777" w:rsidR="00C929EE" w:rsidRPr="00F171A3" w:rsidRDefault="00C929EE" w:rsidP="00C929EE"/>
    <w:p w14:paraId="106A1FFE" w14:textId="77777777" w:rsidR="00C929EE" w:rsidRPr="00F171A3" w:rsidRDefault="00C929EE" w:rsidP="00C929EE"/>
    <w:p w14:paraId="525A1FB3" w14:textId="77777777" w:rsidR="00C929EE" w:rsidRPr="00F171A3" w:rsidRDefault="00C929EE" w:rsidP="00C929EE"/>
    <w:p w14:paraId="667EFA5B" w14:textId="77777777" w:rsidR="00C929EE" w:rsidRPr="00F171A3" w:rsidRDefault="00C929EE" w:rsidP="00C929EE"/>
    <w:p w14:paraId="30575737" w14:textId="77777777" w:rsidR="00C929EE" w:rsidRPr="00F171A3" w:rsidRDefault="00C929EE" w:rsidP="00C929EE"/>
    <w:p w14:paraId="21B9B0E0" w14:textId="77777777" w:rsidR="00C929EE" w:rsidRPr="00F171A3" w:rsidRDefault="00C929EE" w:rsidP="00C929EE"/>
    <w:p w14:paraId="6BC33752" w14:textId="77777777" w:rsidR="00C929EE" w:rsidRPr="00F171A3" w:rsidRDefault="00C929EE" w:rsidP="00C929EE"/>
    <w:p w14:paraId="3B2E3C9A" w14:textId="77777777" w:rsidR="00C929EE" w:rsidRPr="00F171A3" w:rsidRDefault="00C929EE" w:rsidP="00C929EE"/>
    <w:p w14:paraId="77D7A480" w14:textId="77777777" w:rsidR="00C929EE" w:rsidRPr="00F171A3" w:rsidRDefault="00C929EE" w:rsidP="00C929EE"/>
    <w:p w14:paraId="26CECA6C" w14:textId="77777777" w:rsidR="00C929EE" w:rsidRPr="00F171A3" w:rsidRDefault="00C929EE" w:rsidP="00C929EE"/>
    <w:p w14:paraId="663857E4" w14:textId="77777777" w:rsidR="00C929EE" w:rsidRPr="00F171A3" w:rsidRDefault="00C929EE" w:rsidP="00C929EE"/>
    <w:p w14:paraId="1A90AAAF" w14:textId="77777777" w:rsidR="00C929EE" w:rsidRPr="00F171A3" w:rsidRDefault="00C929EE" w:rsidP="00C929EE"/>
    <w:p w14:paraId="3AF0C1C8" w14:textId="77777777" w:rsidR="00C929EE" w:rsidRPr="00F171A3" w:rsidRDefault="00C929EE" w:rsidP="00C929EE"/>
    <w:p w14:paraId="4146F710" w14:textId="77777777" w:rsidR="00C929EE" w:rsidRPr="00F171A3" w:rsidRDefault="00C929EE" w:rsidP="00C929EE"/>
    <w:p w14:paraId="5A80FFBF" w14:textId="77777777" w:rsidR="00C929EE" w:rsidRPr="00F171A3" w:rsidRDefault="00C929EE" w:rsidP="00C929EE"/>
    <w:p w14:paraId="21E0218C" w14:textId="77777777" w:rsidR="00C929EE" w:rsidRPr="00F171A3" w:rsidRDefault="00C929EE" w:rsidP="00C929EE"/>
    <w:p w14:paraId="2E73C590" w14:textId="77777777" w:rsidR="00C929EE" w:rsidRPr="00F171A3" w:rsidRDefault="00C929EE" w:rsidP="00C929EE"/>
    <w:p w14:paraId="2A6EE6A7" w14:textId="77777777" w:rsidR="00C929EE" w:rsidRPr="00F171A3" w:rsidRDefault="00C929EE" w:rsidP="00C929EE"/>
    <w:p w14:paraId="7B935720" w14:textId="50CCAF9D" w:rsidR="00C929EE" w:rsidRPr="00F171A3" w:rsidRDefault="00C929EE" w:rsidP="00C929EE">
      <w:pPr>
        <w:pStyle w:val="Caption"/>
      </w:pPr>
      <w:bookmarkStart w:id="77" w:name="_Toc127198011"/>
      <w:r w:rsidRPr="00F171A3">
        <w:t xml:space="preserve">Figura </w:t>
      </w:r>
      <w:r w:rsidRPr="00F171A3">
        <w:fldChar w:fldCharType="begin"/>
      </w:r>
      <w:r w:rsidRPr="00F171A3">
        <w:instrText xml:space="preserve"> SEQ Figura \* ARABIC </w:instrText>
      </w:r>
      <w:r w:rsidRPr="00F171A3">
        <w:fldChar w:fldCharType="separate"/>
      </w:r>
      <w:r w:rsidR="005A6DD8">
        <w:rPr>
          <w:noProof/>
        </w:rPr>
        <w:t>23</w:t>
      </w:r>
      <w:r w:rsidRPr="00F171A3">
        <w:fldChar w:fldCharType="end"/>
      </w:r>
      <w:r w:rsidRPr="00F171A3">
        <w:t xml:space="preserve"> Distribuția zonelor cu populație dezavantajată teritoriul Sectorului 2</w:t>
      </w:r>
      <w:bookmarkEnd w:id="77"/>
    </w:p>
    <w:p w14:paraId="5E826B3F" w14:textId="77777777" w:rsidR="00C929EE" w:rsidRPr="00F171A3" w:rsidRDefault="00C929EE" w:rsidP="00C929EE">
      <w:r w:rsidRPr="00F171A3">
        <w:rPr>
          <w:noProof/>
        </w:rPr>
        <w:drawing>
          <wp:inline distT="0" distB="0" distL="0" distR="0" wp14:anchorId="7E6C1E00" wp14:editId="14C7E65B">
            <wp:extent cx="5996940" cy="8473440"/>
            <wp:effectExtent l="0" t="0" r="3810" b="3810"/>
            <wp:docPr id="25613" name="Picture 2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96940" cy="8473440"/>
                    </a:xfrm>
                    <a:prstGeom prst="rect">
                      <a:avLst/>
                    </a:prstGeom>
                    <a:noFill/>
                    <a:ln>
                      <a:noFill/>
                    </a:ln>
                  </pic:spPr>
                </pic:pic>
              </a:graphicData>
            </a:graphic>
          </wp:inline>
        </w:drawing>
      </w:r>
    </w:p>
    <w:p w14:paraId="4C593D35" w14:textId="77777777" w:rsidR="00C929EE" w:rsidRPr="00F171A3" w:rsidRDefault="00C929EE" w:rsidP="00FF6C80">
      <w:pPr>
        <w:jc w:val="right"/>
        <w:rPr>
          <w:color w:val="BFBFBF" w:themeColor="background1" w:themeShade="BF"/>
        </w:rPr>
      </w:pPr>
      <w:r w:rsidRPr="00F171A3">
        <w:rPr>
          <w:color w:val="BFBFBF" w:themeColor="background1" w:themeShade="BF"/>
        </w:rPr>
        <w:t>Sursa: Prelucrare proprie a datelor primite de la DGASPC Sector 2</w:t>
      </w:r>
    </w:p>
    <w:p w14:paraId="168DF49F" w14:textId="77777777" w:rsidR="00C929EE" w:rsidRPr="00F171A3" w:rsidRDefault="00C929EE" w:rsidP="00C929EE">
      <w:pPr>
        <w:rPr>
          <w:b/>
          <w:bCs/>
        </w:rPr>
      </w:pPr>
    </w:p>
    <w:p w14:paraId="5EEE2D7C" w14:textId="77777777" w:rsidR="00C929EE" w:rsidRPr="00F171A3" w:rsidRDefault="00C929EE" w:rsidP="00C929EE">
      <w:pPr>
        <w:rPr>
          <w:color w:val="134753" w:themeColor="text2"/>
        </w:rPr>
      </w:pPr>
      <w:r w:rsidRPr="00F171A3">
        <w:rPr>
          <w:b/>
          <w:bCs/>
          <w:color w:val="134753" w:themeColor="text2"/>
        </w:rPr>
        <w:t>ZONA PANTELIMON </w:t>
      </w:r>
    </w:p>
    <w:p w14:paraId="7253D0F3" w14:textId="77777777" w:rsidR="00C929EE" w:rsidRPr="00F171A3" w:rsidRDefault="00C929EE" w:rsidP="00C929EE">
      <w:pPr>
        <w:rPr>
          <w:color w:val="3CA1BC" w:themeColor="background2"/>
        </w:rPr>
      </w:pPr>
      <w:r w:rsidRPr="00F171A3">
        <w:rPr>
          <w:b/>
          <w:bCs/>
          <w:color w:val="3CA1BC" w:themeColor="background2"/>
        </w:rPr>
        <w:t>Aleea Pantelimon</w:t>
      </w:r>
    </w:p>
    <w:p w14:paraId="1483F17E" w14:textId="77777777" w:rsidR="00C929EE" w:rsidRPr="00F171A3" w:rsidRDefault="00C929EE" w:rsidP="00C929EE">
      <w:r w:rsidRPr="00F171A3">
        <w:t>Delimitare teritorială: Str. Ion Vlad – Șos. Pantelimon – Str. Sold. Zambilă Ioniță.</w:t>
      </w:r>
    </w:p>
    <w:p w14:paraId="24D421F4" w14:textId="03045FE8" w:rsidR="00C929EE" w:rsidRPr="00F171A3" w:rsidRDefault="00C929EE" w:rsidP="00C929EE">
      <w:r w:rsidRPr="00F171A3">
        <w:t>Mărime zonă (estimare nr. de locuitori): 12 blocuri, respectiv 29 scări de bloc, aprox. 5. 800 locuitori.</w:t>
      </w:r>
    </w:p>
    <w:p w14:paraId="79274370" w14:textId="3359392F" w:rsidR="00C929EE" w:rsidRPr="00F171A3" w:rsidRDefault="00C929EE" w:rsidP="00C929EE">
      <w:r w:rsidRPr="00F171A3">
        <w:t>Conform ultimelor date disponibile, în evidența S.A.S. Pantelimon, se aflau aproximativ 328 familii, respectiv aproximativ 1.000 locuitori, fără a fi identificate persoane de etnie romă (declarate), în timp ce în realitate procentul acestora ajunge la 40-50%.</w:t>
      </w:r>
    </w:p>
    <w:p w14:paraId="7253098F" w14:textId="77777777" w:rsidR="00C929EE" w:rsidRPr="00F171A3" w:rsidRDefault="00C929EE" w:rsidP="00C929EE">
      <w:r w:rsidRPr="00F171A3">
        <w:t>Locuințele sunt de tip garsonieră (15-16 m</w:t>
      </w:r>
      <w:r w:rsidRPr="00F171A3">
        <w:rPr>
          <w:vertAlign w:val="superscript"/>
        </w:rPr>
        <w:t>2</w:t>
      </w:r>
      <w:r w:rsidRPr="00F171A3">
        <w:t>) și apartamente 2 camere (22-25 m</w:t>
      </w:r>
      <w:r w:rsidRPr="00F171A3">
        <w:rPr>
          <w:vertAlign w:val="superscript"/>
        </w:rPr>
        <w:t>2</w:t>
      </w:r>
      <w:r w:rsidRPr="00F171A3">
        <w:t>), prevăzute cu bucătărie și punct sanitar propriu. Acestea sunt racordate la sistemul centralizat de energie termică, energie electrică și canalizare.</w:t>
      </w:r>
    </w:p>
    <w:p w14:paraId="76A2A61C" w14:textId="77777777" w:rsidR="00C929EE" w:rsidRPr="00F171A3" w:rsidRDefault="00C929EE" w:rsidP="00C929EE">
      <w:r w:rsidRPr="00F171A3">
        <w:t>În urma evaluărilor socio-economice a persoanelor și familiilor marginalizate sau cu risc de marginalizare social, au fost identificate următoarele probleme:</w:t>
      </w:r>
    </w:p>
    <w:p w14:paraId="58CB876B" w14:textId="77777777" w:rsidR="00C929EE" w:rsidRPr="00F171A3" w:rsidRDefault="00C929EE" w:rsidP="00C929EE">
      <w:pPr>
        <w:pStyle w:val="Bullet"/>
      </w:pPr>
      <w:r w:rsidRPr="00F171A3">
        <w:t>Suprafață locativă necorespunzătoare – spații de locuire mici raportate la numărul locuitori;</w:t>
      </w:r>
    </w:p>
    <w:p w14:paraId="1316E878" w14:textId="77777777" w:rsidR="00C929EE" w:rsidRPr="00F171A3" w:rsidRDefault="00C929EE" w:rsidP="00C929EE">
      <w:pPr>
        <w:pStyle w:val="Bullet"/>
      </w:pPr>
      <w:r w:rsidRPr="00F171A3">
        <w:t>Venituri reduse;</w:t>
      </w:r>
    </w:p>
    <w:p w14:paraId="70E0F9D7" w14:textId="77777777" w:rsidR="00C929EE" w:rsidRPr="00F171A3" w:rsidRDefault="00C929EE" w:rsidP="00C929EE">
      <w:pPr>
        <w:pStyle w:val="Bullet"/>
      </w:pPr>
      <w:r w:rsidRPr="00F171A3">
        <w:t>Un procentaj ridicat al locuitorilor care desfășoară activități lucrative fără forme legale, datorate nivelului de școlarizare scăzut cât și a lipsei calificărilor profesionale;</w:t>
      </w:r>
    </w:p>
    <w:p w14:paraId="01DD9A6E" w14:textId="77777777" w:rsidR="00C929EE" w:rsidRPr="00F171A3" w:rsidRDefault="00C929EE" w:rsidP="00C929EE">
      <w:pPr>
        <w:pStyle w:val="Bullet"/>
      </w:pPr>
      <w:r w:rsidRPr="00F171A3">
        <w:t>Nivel de școlarizare redus la nivelul copiilor și adulților;</w:t>
      </w:r>
    </w:p>
    <w:p w14:paraId="2D7A220A" w14:textId="77777777" w:rsidR="00C929EE" w:rsidRPr="00F171A3" w:rsidRDefault="00C929EE" w:rsidP="00C929EE">
      <w:pPr>
        <w:pStyle w:val="Bullet"/>
      </w:pPr>
      <w:r w:rsidRPr="00F171A3">
        <w:t>Tendințe crescute de abandon școlar, absenteism școlar, etc.;</w:t>
      </w:r>
    </w:p>
    <w:p w14:paraId="41789654" w14:textId="59DFF955" w:rsidR="00C929EE" w:rsidRPr="00F171A3" w:rsidRDefault="00C929EE" w:rsidP="00C929EE">
      <w:pPr>
        <w:pStyle w:val="Bullet"/>
      </w:pPr>
      <w:r w:rsidRPr="00F171A3">
        <w:t>Din cauza veniturilor reduse ale locuitorilor și a nivelului scăzut de educație sunt acumulate restanțe la plata utilităților, care au ca repercusiuni debranșarea anumitor scări de bloc de la sistemul centralizat de energie termică, iar izolat debranșarea unor apartamente de la furnizarea apei menajere (aproximativ 5 blocuri, respectiv 10 scări de bloc, se află în situația menționată anterior).</w:t>
      </w:r>
    </w:p>
    <w:p w14:paraId="006D189D" w14:textId="77777777" w:rsidR="008A6FAE" w:rsidRPr="00F171A3" w:rsidRDefault="008A6FAE" w:rsidP="008A6FAE">
      <w:pPr>
        <w:pStyle w:val="Bullet"/>
        <w:numPr>
          <w:ilvl w:val="0"/>
          <w:numId w:val="0"/>
        </w:numPr>
      </w:pPr>
    </w:p>
    <w:p w14:paraId="4A2BE3F0" w14:textId="77777777" w:rsidR="00C929EE" w:rsidRPr="00A92F2C" w:rsidRDefault="00C929EE" w:rsidP="00C929EE">
      <w:pPr>
        <w:rPr>
          <w:b/>
          <w:bCs/>
          <w:color w:val="134753" w:themeColor="text2"/>
        </w:rPr>
      </w:pPr>
      <w:r w:rsidRPr="00A92F2C">
        <w:rPr>
          <w:b/>
          <w:bCs/>
          <w:color w:val="134753" w:themeColor="text2"/>
        </w:rPr>
        <w:t>ZONA BAICULUI</w:t>
      </w:r>
    </w:p>
    <w:p w14:paraId="10D45CB6" w14:textId="77777777" w:rsidR="00C929EE" w:rsidRPr="00F171A3" w:rsidRDefault="00C929EE" w:rsidP="008A6FAE">
      <w:pPr>
        <w:rPr>
          <w:color w:val="3CA1BC" w:themeColor="background2"/>
        </w:rPr>
      </w:pPr>
      <w:r w:rsidRPr="00F171A3">
        <w:rPr>
          <w:b/>
          <w:bCs/>
          <w:color w:val="3CA1BC" w:themeColor="background2"/>
        </w:rPr>
        <w:t>Aleea Lunca Florilor</w:t>
      </w:r>
      <w:r w:rsidRPr="00F171A3">
        <w:rPr>
          <w:b/>
          <w:bCs/>
          <w:color w:val="3CA1BC" w:themeColor="background2"/>
        </w:rPr>
        <w:tab/>
      </w:r>
    </w:p>
    <w:p w14:paraId="3DF56285" w14:textId="77777777" w:rsidR="00C929EE" w:rsidRPr="00F171A3" w:rsidRDefault="00C929EE" w:rsidP="00C929EE">
      <w:r w:rsidRPr="00F171A3">
        <w:t>Delimitare teritorială: Str. Stolnicul Vasile – Șos. Dna. Ghica – Aleea Bistricioara.</w:t>
      </w:r>
    </w:p>
    <w:p w14:paraId="09D16F32" w14:textId="77777777" w:rsidR="00C929EE" w:rsidRPr="00F171A3" w:rsidRDefault="00C929EE" w:rsidP="00C929EE">
      <w:r w:rsidRPr="00F171A3">
        <w:t>Mărime zonă (estimare nr. de locuitori): -7 blocuri, respectiv 9 scări de bloc, aprox. 1.550 locuitori</w:t>
      </w:r>
    </w:p>
    <w:p w14:paraId="42A393B3" w14:textId="77777777" w:rsidR="00C929EE" w:rsidRPr="00F171A3" w:rsidRDefault="00C929EE" w:rsidP="00C929EE">
      <w:r w:rsidRPr="00F171A3">
        <w:t>Conform ultimelor date disponibile, în anul 2017, în evidența S.A.S. Baicului, se aflau aproximativ 520 familii, respectiv aproximativ 1.300 locuitori.</w:t>
      </w:r>
    </w:p>
    <w:p w14:paraId="18661F42" w14:textId="77777777" w:rsidR="00C929EE" w:rsidRPr="00F171A3" w:rsidRDefault="00C929EE" w:rsidP="00C929EE">
      <w:r w:rsidRPr="00F171A3">
        <w:t>Ca și în cazul Aleei Pantelimon, în urma evaluărilor periodice nu au fost identificate persoane de etnie rromă (declarate), dar procentul estimativ al populației de etnie rromă este de peste 70%.</w:t>
      </w:r>
    </w:p>
    <w:p w14:paraId="20C9E9AA" w14:textId="77777777" w:rsidR="00C929EE" w:rsidRPr="00F171A3" w:rsidRDefault="00C929EE" w:rsidP="00C929EE">
      <w:r w:rsidRPr="00F171A3">
        <w:t>Aici locuiesc diferite minorități din diferite culturi și religii, fapt ce a dus la apariția unui fenomen de segregare socială și la apariția unor conflicte inter-etnice.</w:t>
      </w:r>
    </w:p>
    <w:p w14:paraId="7D15EB8E" w14:textId="77777777" w:rsidR="00C929EE" w:rsidRPr="00F171A3" w:rsidRDefault="00C929EE" w:rsidP="00C929EE">
      <w:r w:rsidRPr="00F171A3">
        <w:t>La nivelul anului 2017, 2 din cele 7 imobile erau mansardate și compuse în totalitate din locuințe de tip garsoniere (14 m</w:t>
      </w:r>
      <w:r w:rsidRPr="00F171A3">
        <w:rPr>
          <w:vertAlign w:val="superscript"/>
        </w:rPr>
        <w:t>2</w:t>
      </w:r>
      <w:r w:rsidRPr="00F171A3">
        <w:t>) care aparțineau Direcției Generale pentru Administrarea Patrimoniului Imobiliar Sector 2. Acestea erau prevăzute cu bucătărie și punct sanitar propriu, fiind racordate la sistemul centralizat de energie termică, energie electrică și canalizare.</w:t>
      </w:r>
    </w:p>
    <w:p w14:paraId="4CFAADC2" w14:textId="77777777" w:rsidR="00C929EE" w:rsidRPr="00F171A3" w:rsidRDefault="00C929EE" w:rsidP="00C929EE">
      <w:r w:rsidRPr="00F171A3">
        <w:t xml:space="preserve">Celelalte imobile au aparținut fondului locativ de stat și au fost repartizate familiilor sau persoanelor singure care erau angajați în Uzina Aversa. Conform ultimelor informații, toți locatarii au achiziționat imobilele și au devenit proprietari. Locuințele sunt de tip garsonieră și apartamente 2 camere și sunt racordate la sistemul centralizat de energie termică, energie electrică și canalizare. </w:t>
      </w:r>
    </w:p>
    <w:p w14:paraId="47E8B907" w14:textId="77777777" w:rsidR="00C929EE" w:rsidRPr="00F171A3" w:rsidRDefault="00C929EE" w:rsidP="00C929EE">
      <w:pPr>
        <w:rPr>
          <w:color w:val="3CA1BC" w:themeColor="background2"/>
        </w:rPr>
      </w:pPr>
    </w:p>
    <w:p w14:paraId="460F1B4F" w14:textId="77777777" w:rsidR="00C929EE" w:rsidRPr="00F171A3" w:rsidRDefault="00C929EE" w:rsidP="008A6FAE">
      <w:pPr>
        <w:rPr>
          <w:color w:val="3CA1BC" w:themeColor="background2"/>
        </w:rPr>
      </w:pPr>
      <w:r w:rsidRPr="00F171A3">
        <w:rPr>
          <w:b/>
          <w:bCs/>
          <w:color w:val="3CA1BC" w:themeColor="background2"/>
        </w:rPr>
        <w:t>Strada Rodica</w:t>
      </w:r>
      <w:r w:rsidRPr="00F171A3">
        <w:rPr>
          <w:b/>
          <w:bCs/>
          <w:color w:val="3CA1BC" w:themeColor="background2"/>
        </w:rPr>
        <w:tab/>
      </w:r>
    </w:p>
    <w:p w14:paraId="4C977067" w14:textId="77777777" w:rsidR="00C929EE" w:rsidRPr="00F171A3" w:rsidRDefault="00C929EE" w:rsidP="00C929EE">
      <w:r w:rsidRPr="00F171A3">
        <w:t>Delimitare teritorială:  Strada Plutonier Ion Niță – Strada Ceptura.</w:t>
      </w:r>
    </w:p>
    <w:p w14:paraId="68BFFCED" w14:textId="77777777" w:rsidR="00C929EE" w:rsidRPr="00F171A3" w:rsidRDefault="00C929EE" w:rsidP="00C929EE">
      <w:r w:rsidRPr="00F171A3">
        <w:t>Mărime zonă (estimare nr. de locuitori): -strada Rodica aproximativ 100 locuitori.</w:t>
      </w:r>
    </w:p>
    <w:p w14:paraId="28570450" w14:textId="77777777" w:rsidR="00C929EE" w:rsidRPr="00F171A3" w:rsidRDefault="00C929EE" w:rsidP="00C929EE">
      <w:r w:rsidRPr="00F171A3">
        <w:t>În evidența S.A.S. Baicului, la nivelul anului 2017, ultimul pentru care există astfel de date, se aflau aproximativ 20 familii, respectiv aproximativ 100 locuitori.</w:t>
      </w:r>
    </w:p>
    <w:p w14:paraId="2D4D4057" w14:textId="77777777" w:rsidR="00C929EE" w:rsidRPr="00F171A3" w:rsidRDefault="00C929EE" w:rsidP="00C929EE">
      <w:r w:rsidRPr="00F171A3">
        <w:t>În urma evaluărilor din perioada 2016-2017, nu au fost identificate persoane de etnie rromă (declarate), dar estimativ procentul de populație de etnie rromă la nivelul zonei este de 90%. Din numărul total de locuințe, peste 90% erau racordate la rețeaua de energie electrică și apă curentă.</w:t>
      </w:r>
    </w:p>
    <w:p w14:paraId="07AA03D4" w14:textId="77777777" w:rsidR="00C929EE" w:rsidRPr="00F171A3" w:rsidRDefault="00C929EE" w:rsidP="00C929EE">
      <w:r w:rsidRPr="00F171A3">
        <w:t>Principalele probleme care există la nivelul comunității:</w:t>
      </w:r>
    </w:p>
    <w:p w14:paraId="206194AA" w14:textId="77777777" w:rsidR="00C929EE" w:rsidRPr="00F171A3" w:rsidRDefault="00C929EE" w:rsidP="00C929EE">
      <w:pPr>
        <w:pStyle w:val="Bullet"/>
      </w:pPr>
      <w:r w:rsidRPr="00F171A3">
        <w:t>Locuirea supraaglomerată (mai multe familii într-un apartament);</w:t>
      </w:r>
    </w:p>
    <w:p w14:paraId="5A90FD85" w14:textId="77777777" w:rsidR="00C929EE" w:rsidRPr="00F171A3" w:rsidRDefault="00C929EE" w:rsidP="00C929EE">
      <w:pPr>
        <w:pStyle w:val="Bullet"/>
      </w:pPr>
      <w:r w:rsidRPr="00F171A3">
        <w:t>O bună parte din imobile nu sunt dotate cu bucătărie sau punct sanitar propriu, acestea fiind fie improvizate, fie la comun;</w:t>
      </w:r>
    </w:p>
    <w:p w14:paraId="075AC743" w14:textId="182F230C" w:rsidR="00C929EE" w:rsidRPr="00F171A3" w:rsidRDefault="00C929EE" w:rsidP="00C929EE">
      <w:pPr>
        <w:pStyle w:val="Bullet"/>
      </w:pPr>
      <w:r w:rsidRPr="00F171A3">
        <w:t xml:space="preserve">Preponderent, persoanele din zona respective nu sunt angajați și sunt beneficiari ai prestațiilor sociale, iar în rândul tinerilor </w:t>
      </w:r>
      <w:r w:rsidR="00A81580" w:rsidRPr="00F171A3">
        <w:t>abandonul</w:t>
      </w:r>
      <w:r w:rsidRPr="00F171A3">
        <w:t xml:space="preserve"> școlar și neșcolarizarea sunt printre principalele probleme, alături de probleme legate de sănătate din cauza condițiilor sanitare improprii;</w:t>
      </w:r>
    </w:p>
    <w:p w14:paraId="409B170D" w14:textId="7D5DFED3" w:rsidR="00C929EE" w:rsidRPr="00F171A3" w:rsidRDefault="00C929EE" w:rsidP="00C929EE">
      <w:pPr>
        <w:pStyle w:val="Bullet"/>
      </w:pPr>
      <w:r w:rsidRPr="00F171A3">
        <w:t xml:space="preserve">Deși locatarii actuali sunt proprietarii locuințelor, </w:t>
      </w:r>
      <w:r w:rsidR="00A81580" w:rsidRPr="00F171A3">
        <w:t>acestea</w:t>
      </w:r>
      <w:r w:rsidRPr="00F171A3">
        <w:t xml:space="preserve"> au fost achiziționate în urma unei chitanțe scrise de mână.</w:t>
      </w:r>
    </w:p>
    <w:p w14:paraId="5B9BBEF0" w14:textId="77777777" w:rsidR="008A6FAE" w:rsidRPr="00F171A3" w:rsidRDefault="008A6FAE" w:rsidP="00C929EE">
      <w:pPr>
        <w:spacing w:before="240"/>
        <w:rPr>
          <w:b/>
          <w:bCs/>
        </w:rPr>
      </w:pPr>
    </w:p>
    <w:p w14:paraId="18D03307" w14:textId="5C4EF1B6" w:rsidR="00C929EE" w:rsidRPr="00A92F2C" w:rsidRDefault="00C929EE" w:rsidP="00A92F2C">
      <w:pPr>
        <w:rPr>
          <w:b/>
          <w:bCs/>
          <w:color w:val="134753" w:themeColor="text2"/>
        </w:rPr>
      </w:pPr>
      <w:r w:rsidRPr="00A92F2C">
        <w:rPr>
          <w:b/>
          <w:bCs/>
          <w:color w:val="134753" w:themeColor="text2"/>
        </w:rPr>
        <w:t>ZONA PLUMBUITA</w:t>
      </w:r>
    </w:p>
    <w:p w14:paraId="06425D34" w14:textId="77777777" w:rsidR="00C929EE" w:rsidRPr="00F171A3" w:rsidRDefault="00C929EE" w:rsidP="008A6FAE">
      <w:pPr>
        <w:rPr>
          <w:b/>
          <w:bCs/>
          <w:color w:val="3CA1BC" w:themeColor="background2"/>
        </w:rPr>
      </w:pPr>
      <w:r w:rsidRPr="00F171A3">
        <w:rPr>
          <w:b/>
          <w:bCs/>
          <w:color w:val="3CA1BC" w:themeColor="background2"/>
        </w:rPr>
        <w:t>Plumbuita - Tei Toboc</w:t>
      </w:r>
    </w:p>
    <w:p w14:paraId="3AFE3635" w14:textId="77777777" w:rsidR="00C929EE" w:rsidRPr="00F171A3" w:rsidRDefault="00C929EE" w:rsidP="00C929EE">
      <w:r w:rsidRPr="00F171A3">
        <w:t>Delimitare teritorială: Str. Petricani – Str. Steaua Roșie; 29 străzi.</w:t>
      </w:r>
    </w:p>
    <w:p w14:paraId="45727070" w14:textId="77777777" w:rsidR="00C929EE" w:rsidRPr="00F171A3" w:rsidRDefault="00C929EE" w:rsidP="00C929EE">
      <w:r w:rsidRPr="00F171A3">
        <w:t>Mărime zonă (estimare nr. de locuitori): - 800 case, aprox. 3.500 locuitori.</w:t>
      </w:r>
    </w:p>
    <w:p w14:paraId="525042B7" w14:textId="77777777" w:rsidR="00C929EE" w:rsidRPr="00F171A3" w:rsidRDefault="00C929EE" w:rsidP="00C929EE">
      <w:r w:rsidRPr="00F171A3">
        <w:t>Conform estimărilor DGASPC Sector 2, cartierul Plumbuita-Tei Toboc este o peninsulă urbană de locuire individuală relativ izolată, înconjurată de lacurile Tei și Plumbuita. Fondul locativ este caracterizat de locuințe foarte vechi, ai căror locatari nu au acte de proprietate, acestea fiind de obicei moștenite de la bunici prin hârtii de mână și de construcții improvizate, fără acces la rețelele de utilități, în care locuiesc înghesuit foarte multe persoane. Majoritatea familiilor se alimentează cu apă potabilă de la o singură cișmea publică. </w:t>
      </w:r>
    </w:p>
    <w:p w14:paraId="6C1C5200" w14:textId="77777777" w:rsidR="00C929EE" w:rsidRPr="00F171A3" w:rsidRDefault="00C929EE" w:rsidP="00C929EE">
      <w:r w:rsidRPr="00F171A3">
        <w:t>La nivelul anului 2017, ultimul pentru care există astfel de date, în evidența S.A.S. Mașina de Pâine, se aflau aproximativ 300 familii, respectiv aproximativ 1.800 locuitori. Ca și în celelalte comunități dezavantajate, în urma evaluărilor periodice nu au fost identificate persoane de etnie rromă (declarate), dar procentul estimativ al populației de etnie rromă la nivelul zonei era de 85%, la nivelul anului 2017.</w:t>
      </w:r>
    </w:p>
    <w:p w14:paraId="1582BCF1" w14:textId="77777777" w:rsidR="00C929EE" w:rsidRPr="00F171A3" w:rsidRDefault="00C929EE" w:rsidP="00C929EE">
      <w:r w:rsidRPr="00F171A3">
        <w:t>Principalele probleme identificate la nivelul comunității:</w:t>
      </w:r>
    </w:p>
    <w:p w14:paraId="5397359A" w14:textId="77777777" w:rsidR="00C929EE" w:rsidRPr="00F171A3" w:rsidRDefault="00C929EE" w:rsidP="00C929EE">
      <w:pPr>
        <w:pStyle w:val="Bullet"/>
      </w:pPr>
      <w:r w:rsidRPr="00F171A3">
        <w:t>Locuințe achiziționate pe bază de chitanță scrisă de mână;</w:t>
      </w:r>
    </w:p>
    <w:p w14:paraId="6AF03CCB" w14:textId="77777777" w:rsidR="00C929EE" w:rsidRPr="00F171A3" w:rsidRDefault="00C929EE" w:rsidP="00C929EE">
      <w:pPr>
        <w:pStyle w:val="Bullet"/>
      </w:pPr>
      <w:r w:rsidRPr="00F171A3">
        <w:t>Construcții foarte vechi, din paiantă, acoperite cu tablă sau carton bituminos, unde încălzirea se face cu lemne;</w:t>
      </w:r>
    </w:p>
    <w:p w14:paraId="1D592E83" w14:textId="77777777" w:rsidR="00C929EE" w:rsidRPr="00F171A3" w:rsidRDefault="00C929EE" w:rsidP="00C929EE">
      <w:pPr>
        <w:pStyle w:val="Bullet"/>
      </w:pPr>
      <w:r w:rsidRPr="00F171A3">
        <w:t>Lipsa condițiilor sanitare minime și a grupurilor sanitare, precum și a bucătăriilor, acestea fiind improvizate în curțile caselor;</w:t>
      </w:r>
    </w:p>
    <w:p w14:paraId="015A0753" w14:textId="203D2738" w:rsidR="00C929EE" w:rsidRPr="00F171A3" w:rsidRDefault="00C929EE" w:rsidP="00C929EE">
      <w:pPr>
        <w:pStyle w:val="Bullet"/>
      </w:pPr>
      <w:r w:rsidRPr="00F171A3">
        <w:t>Deși majoritatea locuințelor au fost racordate la rețeaua de energie electrică, apă curentă și canalizare, o bună parte din ele sunt debranșate din cauza restanțelor de plată. Prin urmare, în multe cazuri se recurge la branșare improvizate, cu un risc sporit de incendiu.</w:t>
      </w:r>
    </w:p>
    <w:p w14:paraId="65164D62" w14:textId="77777777" w:rsidR="008A6FAE" w:rsidRPr="00F171A3" w:rsidRDefault="008A6FAE" w:rsidP="008A6FAE">
      <w:pPr>
        <w:pStyle w:val="Bullet"/>
        <w:numPr>
          <w:ilvl w:val="0"/>
          <w:numId w:val="0"/>
        </w:numPr>
      </w:pPr>
    </w:p>
    <w:p w14:paraId="75D7A350" w14:textId="77777777" w:rsidR="00C929EE" w:rsidRPr="00F171A3" w:rsidRDefault="00C929EE" w:rsidP="008A6FAE">
      <w:pPr>
        <w:spacing w:before="240"/>
        <w:rPr>
          <w:b/>
          <w:bCs/>
        </w:rPr>
      </w:pPr>
      <w:r w:rsidRPr="00F171A3">
        <w:rPr>
          <w:b/>
          <w:bCs/>
          <w:color w:val="3CA1BC" w:themeColor="background2"/>
        </w:rPr>
        <w:t>Strada Soldat Făgărășanu</w:t>
      </w:r>
      <w:r w:rsidRPr="00F171A3">
        <w:rPr>
          <w:b/>
          <w:bCs/>
        </w:rPr>
        <w:tab/>
      </w:r>
    </w:p>
    <w:p w14:paraId="6CA11BB0" w14:textId="77777777" w:rsidR="00C929EE" w:rsidRPr="00F171A3" w:rsidRDefault="00C929EE" w:rsidP="00C929EE">
      <w:r w:rsidRPr="00F171A3">
        <w:t>Delimitare teritorială: Strada Maior Băcilă – Strada Padina Roșie – Strada Peisajului.</w:t>
      </w:r>
    </w:p>
    <w:p w14:paraId="7BB01C68" w14:textId="77777777" w:rsidR="00C929EE" w:rsidRPr="00F171A3" w:rsidRDefault="00C929EE" w:rsidP="00C929EE">
      <w:r w:rsidRPr="00F171A3">
        <w:t>Mărime zonă (estimare nr. de locuitori): strada Soldat Făgărășanu - aprox. 25 locuitori.</w:t>
      </w:r>
    </w:p>
    <w:p w14:paraId="2E3EAA28" w14:textId="77777777" w:rsidR="00C929EE" w:rsidRPr="00F171A3" w:rsidRDefault="00C929EE" w:rsidP="00C929EE">
      <w:r w:rsidRPr="00F171A3">
        <w:t>Conform evidențelor, S.A.S. Baicului din anul 2017, în zona respectivă se aflau aproximativ 6 familii, respectiv aproximativ 25 locuitori.</w:t>
      </w:r>
    </w:p>
    <w:p w14:paraId="35129B6C" w14:textId="77777777" w:rsidR="00C929EE" w:rsidRPr="00F171A3" w:rsidRDefault="00C929EE" w:rsidP="00C929EE">
      <w:r w:rsidRPr="00F171A3">
        <w:t>În urma evaluărilor periodice nu au fost identificate persoane de etnie rromă (declarate), dar estimativ procentul de populație de etnie rromă la nivelul zonei este de 90%.</w:t>
      </w:r>
    </w:p>
    <w:p w14:paraId="25E13E60" w14:textId="77777777" w:rsidR="00C929EE" w:rsidRPr="00F171A3" w:rsidRDefault="00C929EE" w:rsidP="00C929EE">
      <w:r w:rsidRPr="00F171A3">
        <w:t>Principalele probleme identificate la nivelul comunității dezavantajate:</w:t>
      </w:r>
    </w:p>
    <w:p w14:paraId="4D22AEEF" w14:textId="77777777" w:rsidR="00C929EE" w:rsidRPr="00F171A3" w:rsidRDefault="00C929EE" w:rsidP="00C929EE">
      <w:pPr>
        <w:pStyle w:val="Bullet"/>
      </w:pPr>
      <w:r w:rsidRPr="00F171A3">
        <w:t>Locuințe achiziționate pe bază de chitanță scrisă de mână;</w:t>
      </w:r>
    </w:p>
    <w:p w14:paraId="469DDA4B" w14:textId="77777777" w:rsidR="00C929EE" w:rsidRPr="00F171A3" w:rsidRDefault="00C929EE" w:rsidP="00C929EE">
      <w:pPr>
        <w:pStyle w:val="Bullet"/>
      </w:pPr>
      <w:r w:rsidRPr="00F171A3">
        <w:t>Locuirea supraaglomerată (mai multe familii într-un apartament);</w:t>
      </w:r>
    </w:p>
    <w:p w14:paraId="30CC566C" w14:textId="77777777" w:rsidR="00C929EE" w:rsidRPr="00F171A3" w:rsidRDefault="00C929EE" w:rsidP="00C929EE">
      <w:pPr>
        <w:pStyle w:val="Bullet"/>
      </w:pPr>
      <w:r w:rsidRPr="00F171A3">
        <w:t>Lipsa bucătăriilor și a punctelor sanitare proprii, acestea fiind improvizate pe holuri sau în exterior, și se află în comun;</w:t>
      </w:r>
    </w:p>
    <w:p w14:paraId="2A1C4BA5" w14:textId="77777777" w:rsidR="00C929EE" w:rsidRPr="00F171A3" w:rsidRDefault="00C929EE" w:rsidP="00C929EE">
      <w:pPr>
        <w:pStyle w:val="Bullet"/>
      </w:pPr>
      <w:r w:rsidRPr="00F171A3">
        <w:t>Șomaj și abandon școlar în rândul locuitorilor;</w:t>
      </w:r>
    </w:p>
    <w:p w14:paraId="1A8ECDB0" w14:textId="23A391BA" w:rsidR="00C929EE" w:rsidRPr="00F171A3" w:rsidRDefault="00C929EE" w:rsidP="00C929EE">
      <w:r w:rsidRPr="00F171A3">
        <w:t>Totuși, majoritatea locuințelor sunt racordate la rețeaua de energie electrică și apă curentă.</w:t>
      </w:r>
    </w:p>
    <w:p w14:paraId="551A6057" w14:textId="77777777" w:rsidR="008A6FAE" w:rsidRPr="00F171A3" w:rsidRDefault="008A6FAE" w:rsidP="00C929EE"/>
    <w:p w14:paraId="73759D1F" w14:textId="77777777" w:rsidR="00C929EE" w:rsidRPr="00A92F2C" w:rsidRDefault="00C929EE" w:rsidP="00C929EE">
      <w:pPr>
        <w:rPr>
          <w:b/>
          <w:bCs/>
          <w:color w:val="134753" w:themeColor="text2"/>
        </w:rPr>
      </w:pPr>
      <w:r w:rsidRPr="00A92F2C">
        <w:rPr>
          <w:b/>
          <w:bCs/>
          <w:color w:val="134753" w:themeColor="text2"/>
        </w:rPr>
        <w:t>MAICA DOMNULUI – ZONA DE CASE</w:t>
      </w:r>
    </w:p>
    <w:p w14:paraId="02199358" w14:textId="77777777" w:rsidR="00C929EE" w:rsidRPr="00F171A3" w:rsidRDefault="00C929EE" w:rsidP="00C929EE">
      <w:r w:rsidRPr="00F171A3">
        <w:t>Delimitare teritorială: Str. Maica Domnului este o stradă care leagă Str. Lizeanu și B-dul Lacul Tei.</w:t>
      </w:r>
    </w:p>
    <w:p w14:paraId="2A364BCB" w14:textId="77777777" w:rsidR="00C929EE" w:rsidRPr="00F171A3" w:rsidRDefault="00C929EE" w:rsidP="00C929EE">
      <w:r w:rsidRPr="00F171A3">
        <w:t>Conform evidențelor D.G.A.S.P.C. Sector 2 din anul 2017, ultimul pentru care există astfel de date disponibile, în zona respectivă se aflau aproximativ 25 familii, respectiv aproximativ 98 locuitori.</w:t>
      </w:r>
    </w:p>
    <w:p w14:paraId="000686C4" w14:textId="77777777" w:rsidR="00C929EE" w:rsidRPr="00F171A3" w:rsidRDefault="00C929EE" w:rsidP="00C929EE">
      <w:r w:rsidRPr="00F171A3">
        <w:t>În urma evaluărilor periodice nu au fost identificate persoane de etnie rromă (declarate), dar estimativ procentul de populație de etnie rromă la nivelul zonei este de 80%- 90%.</w:t>
      </w:r>
    </w:p>
    <w:p w14:paraId="156CB36B" w14:textId="77777777" w:rsidR="00C929EE" w:rsidRPr="00F171A3" w:rsidRDefault="00C929EE" w:rsidP="00C929EE">
      <w:r w:rsidRPr="00F171A3">
        <w:t>Principalele probleme identificate la nivelul zonei marginalizate:</w:t>
      </w:r>
    </w:p>
    <w:p w14:paraId="062BDBC7" w14:textId="77777777" w:rsidR="00C929EE" w:rsidRPr="00F171A3" w:rsidRDefault="00C929EE" w:rsidP="00C929EE">
      <w:pPr>
        <w:pStyle w:val="Bullet"/>
      </w:pPr>
      <w:r w:rsidRPr="00F171A3">
        <w:t>Existența construcțiilor improvizate aflate în stare avansată de degradare, care pun în pericol viața și sănătatea locuitorilor;</w:t>
      </w:r>
    </w:p>
    <w:p w14:paraId="5B9B227F" w14:textId="77777777" w:rsidR="00C929EE" w:rsidRPr="00F171A3" w:rsidRDefault="00C929EE" w:rsidP="00C929EE">
      <w:pPr>
        <w:pStyle w:val="Bullet"/>
      </w:pPr>
      <w:r w:rsidRPr="00F171A3">
        <w:t>Lipsa racordării acestor construcții la rețeaua de apă și canalizare, și existența unor branșări improvizate la rețeaua electrică, ceea ce reprezintă un alt pericol imens;</w:t>
      </w:r>
    </w:p>
    <w:p w14:paraId="69875B89" w14:textId="77777777" w:rsidR="00C929EE" w:rsidRPr="00F171A3" w:rsidRDefault="00C929EE" w:rsidP="00C929EE">
      <w:pPr>
        <w:pStyle w:val="Bullet"/>
      </w:pPr>
      <w:r w:rsidRPr="00F171A3">
        <w:t>Locuirea informală (din 13 familii identificate, doar 2 locuiesc cu forme legale și dețin contracte de închiriere);</w:t>
      </w:r>
    </w:p>
    <w:p w14:paraId="08CF9900" w14:textId="77777777" w:rsidR="00C929EE" w:rsidRPr="00F171A3" w:rsidRDefault="00C929EE" w:rsidP="00C929EE">
      <w:pPr>
        <w:pStyle w:val="Bullet"/>
      </w:pPr>
      <w:r w:rsidRPr="00F171A3">
        <w:t>Unitățile de învățământ din apropriere (Școala Gimnazială nr. 31, Grădinița de copii nr. 7, Școala de Muzică și Arte Plastice nr. 4) suferă de poluare fonică și pertubări din cauza locuitorilor din zona respectivă;</w:t>
      </w:r>
    </w:p>
    <w:p w14:paraId="1F2D3CA4" w14:textId="6FEEC64A" w:rsidR="00C929EE" w:rsidRPr="00F171A3" w:rsidRDefault="00C929EE" w:rsidP="00C929EE">
      <w:pPr>
        <w:pStyle w:val="Bullet"/>
      </w:pPr>
      <w:r w:rsidRPr="00F171A3">
        <w:t>Șomajul și neșcolarizarea sunt alte probleme strigente existente la nivelul zonei urbane marginalizate.</w:t>
      </w:r>
    </w:p>
    <w:p w14:paraId="3639F92C" w14:textId="77777777" w:rsidR="008A6FAE" w:rsidRPr="00F171A3" w:rsidRDefault="008A6FAE" w:rsidP="008A6FAE">
      <w:pPr>
        <w:pStyle w:val="Bullet"/>
        <w:numPr>
          <w:ilvl w:val="0"/>
          <w:numId w:val="0"/>
        </w:numPr>
      </w:pPr>
    </w:p>
    <w:p w14:paraId="257C166D" w14:textId="77777777" w:rsidR="00C929EE" w:rsidRPr="00A92F2C" w:rsidRDefault="00C929EE" w:rsidP="00C929EE">
      <w:pPr>
        <w:spacing w:before="240"/>
        <w:rPr>
          <w:b/>
          <w:bCs/>
          <w:color w:val="134753" w:themeColor="text2"/>
        </w:rPr>
      </w:pPr>
      <w:r w:rsidRPr="00A92F2C">
        <w:rPr>
          <w:b/>
          <w:bCs/>
          <w:color w:val="134753" w:themeColor="text2"/>
        </w:rPr>
        <w:t>STR. EPISCOP RADU</w:t>
      </w:r>
    </w:p>
    <w:p w14:paraId="24752BF1" w14:textId="77777777" w:rsidR="00C929EE" w:rsidRPr="00F171A3" w:rsidRDefault="00C929EE" w:rsidP="00C929EE">
      <w:r w:rsidRPr="00F171A3">
        <w:t>Delimitare teritorială: Str. Episcop Radu, între B-dul Dacia și intersecția cu Str. Ardeleni.</w:t>
      </w:r>
    </w:p>
    <w:p w14:paraId="3E2375F2" w14:textId="6918E33A" w:rsidR="00C929EE" w:rsidRPr="00F171A3" w:rsidRDefault="00C929EE" w:rsidP="00C929EE">
      <w:r w:rsidRPr="00F171A3">
        <w:t>Număr estimativ de locuitori în anul 2017: 70 persoane – număr total de locuințe 20, din care 15 în clădiri ocupate abuziv. Procentul estimativ al populației de etnie rromă - 90%.</w:t>
      </w:r>
    </w:p>
    <w:p w14:paraId="7AD20487" w14:textId="77777777" w:rsidR="008A6FAE" w:rsidRPr="00F171A3" w:rsidRDefault="008A6FAE" w:rsidP="00C929EE"/>
    <w:p w14:paraId="7170A3FF" w14:textId="77777777" w:rsidR="00C929EE" w:rsidRPr="00A92F2C" w:rsidRDefault="00C929EE" w:rsidP="00C929EE">
      <w:pPr>
        <w:spacing w:before="240"/>
        <w:rPr>
          <w:b/>
          <w:bCs/>
          <w:color w:val="134753" w:themeColor="text2"/>
        </w:rPr>
      </w:pPr>
      <w:r w:rsidRPr="00A92F2C">
        <w:rPr>
          <w:b/>
          <w:bCs/>
          <w:color w:val="134753" w:themeColor="text2"/>
        </w:rPr>
        <w:t>CALEA MOȘILOR</w:t>
      </w:r>
    </w:p>
    <w:p w14:paraId="09505ABC" w14:textId="77777777" w:rsidR="00C929EE" w:rsidRPr="00F171A3" w:rsidRDefault="00C929EE" w:rsidP="00C929EE">
      <w:r w:rsidRPr="00F171A3">
        <w:t>Delimitare teritorială: Calea Moșilor, în preajma intersecției cu Str. Ștefan Luchian.</w:t>
      </w:r>
    </w:p>
    <w:p w14:paraId="6AB5A3C1" w14:textId="77777777" w:rsidR="00C929EE" w:rsidRPr="00F171A3" w:rsidRDefault="00C929EE" w:rsidP="00C929EE">
      <w:r w:rsidRPr="00F171A3">
        <w:t>Estimare nr. de locuitori, conform DGASPC, în anul 2017: 60 persoane – număr total de locuințe 25, din care 20 în clădiri ocupate abuziv.</w:t>
      </w:r>
    </w:p>
    <w:p w14:paraId="55580B90" w14:textId="77777777" w:rsidR="00C929EE" w:rsidRPr="00F171A3" w:rsidRDefault="00C929EE" w:rsidP="00C929EE">
      <w:r w:rsidRPr="00F171A3">
        <w:t>Procent populație de etnie rromă (estimare) - 90%.</w:t>
      </w:r>
    </w:p>
    <w:p w14:paraId="2DC07518" w14:textId="77777777" w:rsidR="00C929EE" w:rsidRPr="00F171A3" w:rsidRDefault="00C929EE" w:rsidP="00C929EE">
      <w:r w:rsidRPr="00F171A3">
        <w:t>Cele mai importante probleme identificate:</w:t>
      </w:r>
    </w:p>
    <w:p w14:paraId="4B58F522" w14:textId="77777777" w:rsidR="00C929EE" w:rsidRPr="00F171A3" w:rsidRDefault="00C929EE" w:rsidP="00C929EE">
      <w:pPr>
        <w:pStyle w:val="Bullet"/>
      </w:pPr>
      <w:r w:rsidRPr="00F171A3">
        <w:t>Locuințe vechi aflate în stadii avansate de degradare;</w:t>
      </w:r>
    </w:p>
    <w:p w14:paraId="2EC0E3E8" w14:textId="77777777" w:rsidR="00C929EE" w:rsidRPr="00F171A3" w:rsidRDefault="00C929EE" w:rsidP="00C929EE">
      <w:pPr>
        <w:pStyle w:val="Bullet"/>
      </w:pPr>
      <w:r w:rsidRPr="00F171A3">
        <w:t>Preponderent locuiesc familii fără venituri sau cu venituri reduse;</w:t>
      </w:r>
    </w:p>
    <w:p w14:paraId="38F40ADB" w14:textId="77777777" w:rsidR="00C929EE" w:rsidRPr="00F171A3" w:rsidRDefault="00C929EE" w:rsidP="00C929EE">
      <w:pPr>
        <w:pStyle w:val="Bullet"/>
      </w:pPr>
      <w:r w:rsidRPr="00F171A3">
        <w:t>Copiii sunt expuși riscului de abandon școlar și familial, prezența violenței domestice;</w:t>
      </w:r>
    </w:p>
    <w:p w14:paraId="055149A8" w14:textId="6604B4CA" w:rsidR="00C929EE" w:rsidRPr="00F171A3" w:rsidRDefault="00C929EE" w:rsidP="00C929EE">
      <w:pPr>
        <w:pStyle w:val="Bullet"/>
      </w:pPr>
      <w:r w:rsidRPr="00F171A3">
        <w:t>Existența copiilor care locuiesc supraaglomerat cu bunicii, din cauza faptului că părinții sunt în închisoare.</w:t>
      </w:r>
    </w:p>
    <w:p w14:paraId="5D988C10" w14:textId="77777777" w:rsidR="008A6FAE" w:rsidRPr="00F171A3" w:rsidRDefault="008A6FAE" w:rsidP="008A6FAE">
      <w:pPr>
        <w:pStyle w:val="Bullet"/>
        <w:numPr>
          <w:ilvl w:val="0"/>
          <w:numId w:val="0"/>
        </w:numPr>
      </w:pPr>
    </w:p>
    <w:p w14:paraId="1A835A32" w14:textId="77777777" w:rsidR="00C929EE" w:rsidRPr="00A92F2C" w:rsidRDefault="00C929EE" w:rsidP="00C929EE">
      <w:pPr>
        <w:spacing w:before="240"/>
        <w:rPr>
          <w:b/>
          <w:bCs/>
          <w:color w:val="134753" w:themeColor="text2"/>
        </w:rPr>
      </w:pPr>
      <w:r w:rsidRPr="00A92F2C">
        <w:rPr>
          <w:b/>
          <w:bCs/>
          <w:color w:val="134753" w:themeColor="text2"/>
        </w:rPr>
        <w:t>STR. VIITORULUI</w:t>
      </w:r>
    </w:p>
    <w:p w14:paraId="3C27F16D" w14:textId="77777777" w:rsidR="00C929EE" w:rsidRPr="00F171A3" w:rsidRDefault="00C929EE" w:rsidP="00C929EE">
      <w:r w:rsidRPr="00F171A3">
        <w:t>Delimitare teritorială: Str. Viitorului, între Str. Ardeleni și Str. Alexandru Radovici.</w:t>
      </w:r>
    </w:p>
    <w:p w14:paraId="6365C474" w14:textId="77777777" w:rsidR="00C929EE" w:rsidRPr="00F171A3" w:rsidRDefault="00C929EE" w:rsidP="00C929EE">
      <w:r w:rsidRPr="00F171A3">
        <w:t>Estimare nr. de locuitori, conform DGASPC, în anul 2017: 30 persoane – număr total de locuințe 10, din care 7 în clădiri ocupate abuziv.</w:t>
      </w:r>
    </w:p>
    <w:p w14:paraId="447078BA" w14:textId="0E83BB0B" w:rsidR="008A6FAE" w:rsidRPr="00F171A3" w:rsidRDefault="00C929EE" w:rsidP="00C929EE">
      <w:r w:rsidRPr="00F171A3">
        <w:t>Procent populație de etnie rromă (estimare) - 90%</w:t>
      </w:r>
      <w:r w:rsidR="008A6FAE" w:rsidRPr="00F171A3">
        <w:t>.</w:t>
      </w:r>
    </w:p>
    <w:p w14:paraId="6EAB3D01" w14:textId="77777777" w:rsidR="008A6FAE" w:rsidRPr="00F171A3" w:rsidRDefault="008A6FAE" w:rsidP="00C929EE"/>
    <w:p w14:paraId="5BD2731C" w14:textId="77777777" w:rsidR="00C929EE" w:rsidRPr="00F171A3" w:rsidRDefault="00C929EE" w:rsidP="00C929EE">
      <w:pPr>
        <w:spacing w:before="240"/>
        <w:rPr>
          <w:b/>
          <w:bCs/>
        </w:rPr>
      </w:pPr>
      <w:r w:rsidRPr="00A92F2C">
        <w:rPr>
          <w:b/>
          <w:bCs/>
          <w:color w:val="134753" w:themeColor="text2"/>
        </w:rPr>
        <w:t>BD. BASARABIA</w:t>
      </w:r>
      <w:r w:rsidRPr="00F171A3">
        <w:rPr>
          <w:b/>
          <w:bCs/>
        </w:rPr>
        <w:tab/>
      </w:r>
    </w:p>
    <w:p w14:paraId="3396EF7C" w14:textId="77777777" w:rsidR="00C929EE" w:rsidRPr="00F171A3" w:rsidRDefault="00C929EE" w:rsidP="00C929EE">
      <w:r w:rsidRPr="00F171A3">
        <w:t>Delimitare teritoriu: Spitalul Clinic Județean de Urgență Ilfov - Stadionul Național – Str. Cernăuți. </w:t>
      </w:r>
    </w:p>
    <w:p w14:paraId="406E3A9E" w14:textId="77777777" w:rsidR="00C929EE" w:rsidRPr="00F171A3" w:rsidRDefault="00C929EE" w:rsidP="00C929EE">
      <w:r w:rsidRPr="00F171A3">
        <w:t>Mărime zonă (estimare nr. de locuitori): -2 blocuri, respectiv 2 scări, aprox. 500 locuitori</w:t>
      </w:r>
    </w:p>
    <w:p w14:paraId="5FCB9FAE" w14:textId="77777777" w:rsidR="00C929EE" w:rsidRPr="00F171A3" w:rsidRDefault="00C929EE" w:rsidP="00C929EE">
      <w:r w:rsidRPr="00F171A3">
        <w:t>Conform evidențelor S.A.S. Pantelimon din anul 2017, în zona respectivă se aflau aproximativ 20 familii, respectiv aproximativ 50 locuitori.</w:t>
      </w:r>
    </w:p>
    <w:p w14:paraId="21B9BFB6" w14:textId="77777777" w:rsidR="00C929EE" w:rsidRPr="00F171A3" w:rsidRDefault="00C929EE" w:rsidP="00C929EE">
      <w:r w:rsidRPr="00F171A3">
        <w:t>În urma evaluărilor periodice nu au fost identificate persoane de etnie rromă (declarate), dar estimativ  procentul de populație de etnie rromă  la nivelul zonei este de 10 - 20%.</w:t>
      </w:r>
    </w:p>
    <w:p w14:paraId="6DFC795D" w14:textId="77777777" w:rsidR="00C929EE" w:rsidRPr="00F171A3" w:rsidRDefault="00C929EE" w:rsidP="00C929EE">
      <w:r w:rsidRPr="00F171A3">
        <w:t>Principalele probleme identificate:</w:t>
      </w:r>
    </w:p>
    <w:p w14:paraId="09C8D33C" w14:textId="77777777" w:rsidR="00C929EE" w:rsidRPr="00F171A3" w:rsidRDefault="00C929EE" w:rsidP="00C929EE">
      <w:pPr>
        <w:pStyle w:val="Bullet"/>
      </w:pPr>
      <w:r w:rsidRPr="00F171A3">
        <w:t>Locuințele sunt de tip cămin, fără a fi dotate cu bucătărie sau punct sanitar propriu, deseori acestea fiind improvizate;</w:t>
      </w:r>
    </w:p>
    <w:p w14:paraId="785C4E61" w14:textId="77777777" w:rsidR="00C929EE" w:rsidRPr="00F171A3" w:rsidRDefault="00C929EE" w:rsidP="00C929EE">
      <w:pPr>
        <w:pStyle w:val="Bullet"/>
      </w:pPr>
      <w:r w:rsidRPr="00F171A3">
        <w:t>Locuințele nu sunt racordate la sistemul centralizat de energie termică;</w:t>
      </w:r>
    </w:p>
    <w:p w14:paraId="0837D82D" w14:textId="77777777" w:rsidR="00C929EE" w:rsidRPr="00F171A3" w:rsidRDefault="00C929EE" w:rsidP="00C929EE">
      <w:pPr>
        <w:pStyle w:val="Bullet"/>
      </w:pPr>
      <w:r w:rsidRPr="00F171A3">
        <w:t>Unele locuințe erau racordate doar la rețeaua de energie electrică și canalizare;</w:t>
      </w:r>
    </w:p>
    <w:p w14:paraId="616CF06A" w14:textId="3A504F6B" w:rsidR="00C929EE" w:rsidRPr="00F171A3" w:rsidRDefault="00C929EE" w:rsidP="00C929EE">
      <w:pPr>
        <w:pStyle w:val="Bullet"/>
      </w:pPr>
      <w:r w:rsidRPr="00F171A3">
        <w:t>Locuirea supraaglomerată, în camere cu suprafața de circa 12 m2.</w:t>
      </w:r>
    </w:p>
    <w:p w14:paraId="36037FAF" w14:textId="77777777" w:rsidR="008A6FAE" w:rsidRPr="00F171A3" w:rsidRDefault="008A6FAE" w:rsidP="008A6FAE">
      <w:pPr>
        <w:pStyle w:val="Bullet"/>
        <w:numPr>
          <w:ilvl w:val="0"/>
          <w:numId w:val="0"/>
        </w:numPr>
      </w:pPr>
    </w:p>
    <w:p w14:paraId="2B5009F2" w14:textId="5DB1F303" w:rsidR="00C929EE" w:rsidRPr="00F171A3" w:rsidRDefault="00C929EE" w:rsidP="00C929EE">
      <w:pPr>
        <w:spacing w:before="240"/>
        <w:rPr>
          <w:b/>
          <w:bCs/>
        </w:rPr>
      </w:pPr>
      <w:r w:rsidRPr="00A92F2C">
        <w:rPr>
          <w:b/>
          <w:bCs/>
          <w:color w:val="134753" w:themeColor="text2"/>
        </w:rPr>
        <w:t>BD. PROF. DIMITRIE POMPEIU</w:t>
      </w:r>
      <w:r w:rsidRPr="00F171A3">
        <w:rPr>
          <w:b/>
          <w:bCs/>
        </w:rPr>
        <w:tab/>
      </w:r>
    </w:p>
    <w:p w14:paraId="389A50EC" w14:textId="77777777" w:rsidR="00C929EE" w:rsidRPr="00F171A3" w:rsidRDefault="00C929EE" w:rsidP="00C929EE">
      <w:r w:rsidRPr="00F171A3">
        <w:t>Delimitare teritorială: Șos. Pipera și Șos. Fabrica de Glucoză.</w:t>
      </w:r>
    </w:p>
    <w:p w14:paraId="131F3691" w14:textId="77777777" w:rsidR="00C929EE" w:rsidRPr="00F171A3" w:rsidRDefault="00C929EE" w:rsidP="00C929EE">
      <w:r w:rsidRPr="00F171A3">
        <w:t>Mărime zonă (estimare nr. de locuitori) – 2 blocuri –  200 camere, aproximativ – 500 persoane.</w:t>
      </w:r>
    </w:p>
    <w:p w14:paraId="2F7D216F" w14:textId="77777777" w:rsidR="00C929EE" w:rsidRPr="00F171A3" w:rsidRDefault="00C929EE" w:rsidP="00C929EE">
      <w:r w:rsidRPr="00F171A3">
        <w:t>Ultimele date din cadrul S.A.S. Mașina de Pâine, din 2017, indică prezența a aproximativ 22 familii, respectiv 55 locuitori.</w:t>
      </w:r>
    </w:p>
    <w:p w14:paraId="6E78611C" w14:textId="77777777" w:rsidR="00C929EE" w:rsidRPr="00F171A3" w:rsidRDefault="00C929EE" w:rsidP="00C929EE">
      <w:r w:rsidRPr="00F171A3">
        <w:t>În urma evaluărilor periodice nu au fost identificate persoane de etnie romă declarate, dar estimativ procentul de populație de etnie romă  la nivelul zonei este de aproximativ 40%. </w:t>
      </w:r>
    </w:p>
    <w:p w14:paraId="1B325B72" w14:textId="77777777" w:rsidR="00C929EE" w:rsidRPr="00F171A3" w:rsidRDefault="00C929EE" w:rsidP="00C929EE">
      <w:r w:rsidRPr="00F171A3">
        <w:t>Principalele probleme identificate:</w:t>
      </w:r>
    </w:p>
    <w:p w14:paraId="75EAEA05" w14:textId="77777777" w:rsidR="00C929EE" w:rsidRPr="00F171A3" w:rsidRDefault="00C929EE" w:rsidP="00C929EE">
      <w:pPr>
        <w:pStyle w:val="Bullet"/>
      </w:pPr>
      <w:r w:rsidRPr="00F171A3">
        <w:t>Locuirea supraaglomerată în camere de 12 mp;</w:t>
      </w:r>
    </w:p>
    <w:p w14:paraId="5020B834" w14:textId="77777777" w:rsidR="00C929EE" w:rsidRPr="00F171A3" w:rsidRDefault="00C929EE" w:rsidP="00C929EE">
      <w:pPr>
        <w:pStyle w:val="Bullet"/>
      </w:pPr>
      <w:r w:rsidRPr="00F171A3">
        <w:t>Lipsa bucătăriilor și a punctelor sanitare proprii, acestea fiind improvizate pe holul palierului sau în camere;</w:t>
      </w:r>
    </w:p>
    <w:p w14:paraId="12477C6F" w14:textId="77777777" w:rsidR="00C929EE" w:rsidRPr="00F171A3" w:rsidRDefault="00C929EE" w:rsidP="00C929EE">
      <w:pPr>
        <w:pStyle w:val="Bullet"/>
      </w:pPr>
      <w:r w:rsidRPr="00F171A3">
        <w:t>Șomajul și expunerea la abandonul școlar în rândul copiilor;</w:t>
      </w:r>
    </w:p>
    <w:p w14:paraId="5B7D641F" w14:textId="77777777" w:rsidR="00C929EE" w:rsidRPr="00F171A3" w:rsidRDefault="00C929EE" w:rsidP="00C929EE">
      <w:r w:rsidRPr="00F171A3">
        <w:t>Delimitare teritorială: Șos. Fabrica de Glucoză și Str. Petricani.  </w:t>
      </w:r>
    </w:p>
    <w:p w14:paraId="7476E322" w14:textId="77777777" w:rsidR="00C929EE" w:rsidRPr="00F171A3" w:rsidRDefault="00C929EE" w:rsidP="00C929EE">
      <w:r w:rsidRPr="00F171A3">
        <w:t>Mărime zonă (estimare nr. de locuitori în anul 2017) - la adresă se aflau 2 blocuri. Un bloc, tip cămin, cu aproximativ 100 camere aparținea S.C. Electronica și era oferit spre închiriere. În evidența S.A.S. Mașina de Pâine se afla o familie compusă din 6 persoane și nu se cunoaște câte persoane sunt de etnie rromă.</w:t>
      </w:r>
    </w:p>
    <w:p w14:paraId="0FF48272" w14:textId="77777777" w:rsidR="00C929EE" w:rsidRPr="00F171A3" w:rsidRDefault="00C929EE" w:rsidP="00C929EE">
      <w:r w:rsidRPr="00F171A3">
        <w:t>Celălalt bloc cu trei niveluri, în care  au fost locuințe de serviciu cuprindea apartamente compuse din două camere.</w:t>
      </w:r>
    </w:p>
    <w:p w14:paraId="323D02E4" w14:textId="77777777" w:rsidR="00C929EE" w:rsidRPr="00F171A3" w:rsidRDefault="00C929EE" w:rsidP="00C929EE">
      <w:r w:rsidRPr="00F171A3">
        <w:t>În evidența S.A.S. Silvestru, din anul 2017, se aflau aproximativ 190 familii, respectiv aproximativ 480 locuitori.</w:t>
      </w:r>
    </w:p>
    <w:p w14:paraId="69A4B67F" w14:textId="77777777" w:rsidR="00C929EE" w:rsidRPr="00F171A3" w:rsidRDefault="00C929EE" w:rsidP="00C929EE">
      <w:r w:rsidRPr="00F171A3">
        <w:t>În urma evaluărilor periodice nu au fost identificate persoane de etnie rromă (declarate), dar estimativ procentul de populație de etnie rromă la nivelul zonei este de 80%- 90%.</w:t>
      </w:r>
    </w:p>
    <w:p w14:paraId="170ADE28" w14:textId="3F461ED0" w:rsidR="008875A0" w:rsidRPr="00F171A3" w:rsidRDefault="00C929EE" w:rsidP="00C929EE">
      <w:r w:rsidRPr="00F171A3">
        <w:t>Locuințele sunt de tip vagon, fără etaj, neprevăzute cu bucătărie și punct sanitar propriu. Nu sunt racordate la sistemul centralizat de energie termică, electrică și canalizare.</w:t>
      </w:r>
    </w:p>
    <w:p w14:paraId="02E08407" w14:textId="77777777" w:rsidR="008A6FAE" w:rsidRPr="00F171A3" w:rsidRDefault="008A6FAE" w:rsidP="00C929EE">
      <w:pPr>
        <w:sectPr w:rsidR="008A6FAE" w:rsidRPr="00F171A3" w:rsidSect="00135952">
          <w:pgSz w:w="11907" w:h="16839" w:code="9"/>
          <w:pgMar w:top="1151" w:right="1440" w:bottom="1440" w:left="1021" w:header="709" w:footer="284" w:gutter="0"/>
          <w:cols w:space="708"/>
          <w:titlePg/>
          <w:docGrid w:linePitch="360"/>
        </w:sectPr>
      </w:pPr>
    </w:p>
    <w:p w14:paraId="435ECC1E" w14:textId="57BAD712" w:rsidR="009F12E0" w:rsidRPr="00F171A3" w:rsidRDefault="00000000" w:rsidP="001E0A0F">
      <w:pPr>
        <w:pStyle w:val="Heading3"/>
        <w:rPr>
          <w:lang w:val="ro-RO"/>
        </w:rPr>
      </w:pPr>
      <w:hyperlink w:anchor="_Toc493866719" w:history="1">
        <w:bookmarkStart w:id="78" w:name="_Toc127199270"/>
        <w:r w:rsidR="00701C22" w:rsidRPr="00F171A3">
          <w:rPr>
            <w:caps w:val="0"/>
            <w:lang w:val="ro-RO"/>
          </w:rPr>
          <w:t>SERVICII PUBLICE</w:t>
        </w:r>
        <w:bookmarkEnd w:id="78"/>
        <w:r w:rsidR="000101F1" w:rsidRPr="00F171A3">
          <w:rPr>
            <w:webHidden/>
            <w:lang w:val="ro-RO"/>
          </w:rPr>
          <w:tab/>
        </w:r>
      </w:hyperlink>
    </w:p>
    <w:p w14:paraId="596805FC" w14:textId="5EB344E7" w:rsidR="002E3197" w:rsidRPr="00F171A3" w:rsidRDefault="001E0A0F" w:rsidP="001E0A0F">
      <w:pPr>
        <w:pStyle w:val="Heading4"/>
      </w:pPr>
      <w:bookmarkStart w:id="79" w:name="_Toc100767808"/>
      <w:r w:rsidRPr="00F171A3">
        <w:t>ASISTENȚĂ SOCIALĂ</w:t>
      </w:r>
      <w:bookmarkEnd w:id="79"/>
    </w:p>
    <w:p w14:paraId="3E088DBB" w14:textId="6E3DC1E8" w:rsidR="00617090" w:rsidRPr="00F171A3" w:rsidRDefault="00617090" w:rsidP="00617090">
      <w:r w:rsidRPr="00F171A3">
        <w:t xml:space="preserve">La nivelul Sectorului 2, cel mai mare furnizor de servicii sociale este Direcția Generală de Asistență Socială și Protecția Copilului. Aceasta este o instituţie publică cu personalitate juridică, înființată în baza </w:t>
      </w:r>
      <w:r w:rsidRPr="00F171A3">
        <w:rPr>
          <w:bCs/>
          <w:i/>
          <w:iCs/>
        </w:rPr>
        <w:t>Hotărârii nr. 43 din 17.12.2004</w:t>
      </w:r>
      <w:r w:rsidRPr="00F171A3">
        <w:t xml:space="preserve">, în subordinea Consiliului Local al Sectorului 2 al </w:t>
      </w:r>
      <w:r w:rsidR="00DE36DE" w:rsidRPr="00F171A3">
        <w:t>m</w:t>
      </w:r>
      <w:r w:rsidRPr="00F171A3">
        <w:t>unicipiului Bucureşti.</w:t>
      </w:r>
      <w:r w:rsidRPr="00F171A3">
        <w:rPr>
          <w:rStyle w:val="FootnoteReference"/>
        </w:rPr>
        <w:footnoteReference w:id="8"/>
      </w:r>
      <w:r w:rsidRPr="00F171A3">
        <w:t xml:space="preserve"> Pentru a asigura cetățenilor din Sectorul 2 </w:t>
      </w:r>
      <w:r w:rsidR="00A81580" w:rsidRPr="00F171A3">
        <w:t>servicii</w:t>
      </w:r>
      <w:r w:rsidRPr="00F171A3">
        <w:t xml:space="preserve"> de asistență socială de calitate, DGASPC Sector 2 îndeplinește funcții de </w:t>
      </w:r>
      <w:r w:rsidRPr="00F171A3">
        <w:rPr>
          <w:i/>
        </w:rPr>
        <w:t xml:space="preserve">strategie, coordonare, administrare, colaborare, execuție și reprezentare. </w:t>
      </w:r>
      <w:r w:rsidRPr="00F171A3">
        <w:t>Conform raportului ,,Cartografierea serviciilor sociale în Sectorul 2 București”, principalele direcții de furnizare a serviciilor sociale prestate de DGASPC Sector 2 sunt</w:t>
      </w:r>
      <w:r w:rsidRPr="00F171A3">
        <w:rPr>
          <w:rStyle w:val="FootnoteReference"/>
        </w:rPr>
        <w:footnoteReference w:id="9"/>
      </w:r>
      <w:r w:rsidRPr="00F171A3">
        <w:t>:</w:t>
      </w:r>
    </w:p>
    <w:p w14:paraId="6932139A" w14:textId="77777777" w:rsidR="00617090" w:rsidRPr="00F171A3" w:rsidRDefault="00617090" w:rsidP="00617090">
      <w:pPr>
        <w:pStyle w:val="Bullet"/>
        <w:rPr>
          <w:rFonts w:cstheme="minorHAnsi"/>
        </w:rPr>
      </w:pPr>
      <w:r w:rsidRPr="00F171A3">
        <w:rPr>
          <w:rFonts w:cstheme="minorHAnsi"/>
          <w:i/>
        </w:rPr>
        <w:t>Protecția copilului</w:t>
      </w:r>
      <w:r w:rsidRPr="00F171A3">
        <w:rPr>
          <w:rFonts w:cstheme="minorHAnsi"/>
        </w:rPr>
        <w:t xml:space="preserve">: </w:t>
      </w:r>
      <w:r w:rsidRPr="00F171A3">
        <w:rPr>
          <w:rFonts w:cstheme="minorHAnsi"/>
          <w:i/>
          <w:iCs/>
        </w:rPr>
        <w:t>copii</w:t>
      </w:r>
      <w:r w:rsidRPr="00F171A3">
        <w:rPr>
          <w:rFonts w:cstheme="minorHAnsi"/>
        </w:rPr>
        <w:t xml:space="preserve"> aflați în risc de separare de părinți, </w:t>
      </w:r>
      <w:r w:rsidRPr="00F171A3">
        <w:rPr>
          <w:rFonts w:cstheme="minorHAnsi"/>
          <w:i/>
          <w:iCs/>
        </w:rPr>
        <w:t>copii</w:t>
      </w:r>
      <w:r w:rsidRPr="00F171A3">
        <w:rPr>
          <w:rFonts w:cstheme="minorHAnsi"/>
        </w:rPr>
        <w:t xml:space="preserve"> separați de părinți, </w:t>
      </w:r>
      <w:r w:rsidRPr="00F171A3">
        <w:rPr>
          <w:rFonts w:cstheme="minorHAnsi"/>
          <w:i/>
          <w:iCs/>
        </w:rPr>
        <w:t>copii</w:t>
      </w:r>
      <w:r w:rsidRPr="00F171A3">
        <w:rPr>
          <w:rFonts w:cstheme="minorHAnsi"/>
        </w:rPr>
        <w:t xml:space="preserve"> părăsiți în unități sanitare, tineri beneficiari ai unei măsuri de protecție, </w:t>
      </w:r>
      <w:r w:rsidRPr="00F171A3">
        <w:rPr>
          <w:rFonts w:cstheme="minorHAnsi"/>
          <w:i/>
          <w:iCs/>
        </w:rPr>
        <w:t>copii</w:t>
      </w:r>
      <w:r w:rsidRPr="00F171A3">
        <w:rPr>
          <w:rFonts w:cstheme="minorHAnsi"/>
        </w:rPr>
        <w:t xml:space="preserve"> abuzați, neglijați sau supuși exploatării, </w:t>
      </w:r>
      <w:r w:rsidRPr="00F171A3">
        <w:rPr>
          <w:rFonts w:cstheme="minorHAnsi"/>
          <w:i/>
          <w:iCs/>
        </w:rPr>
        <w:t>copiii</w:t>
      </w:r>
      <w:r w:rsidRPr="00F171A3">
        <w:rPr>
          <w:rFonts w:cstheme="minorHAnsi"/>
        </w:rPr>
        <w:t xml:space="preserve"> străzii, </w:t>
      </w:r>
      <w:r w:rsidRPr="00F171A3">
        <w:rPr>
          <w:rFonts w:cstheme="minorHAnsi"/>
          <w:i/>
          <w:iCs/>
        </w:rPr>
        <w:t>copiii</w:t>
      </w:r>
      <w:r w:rsidRPr="00F171A3">
        <w:rPr>
          <w:rFonts w:cstheme="minorHAnsi"/>
        </w:rPr>
        <w:t xml:space="preserve"> delincvenți, </w:t>
      </w:r>
      <w:r w:rsidRPr="00F171A3">
        <w:rPr>
          <w:rFonts w:cstheme="minorHAnsi"/>
          <w:i/>
          <w:iCs/>
        </w:rPr>
        <w:t>copiii</w:t>
      </w:r>
      <w:r w:rsidRPr="00F171A3">
        <w:rPr>
          <w:rFonts w:cstheme="minorHAnsi"/>
        </w:rPr>
        <w:t xml:space="preserve"> cu dizabilități, infectați HIV / bolnavi de SIDA și boli cronice grave, </w:t>
      </w:r>
      <w:r w:rsidRPr="00F171A3">
        <w:rPr>
          <w:rFonts w:cstheme="minorHAnsi"/>
          <w:i/>
          <w:iCs/>
        </w:rPr>
        <w:t>copiii</w:t>
      </w:r>
      <w:r w:rsidRPr="00F171A3">
        <w:rPr>
          <w:rFonts w:cstheme="minorHAnsi"/>
        </w:rPr>
        <w:t xml:space="preserve"> cu tulburări de comportament, </w:t>
      </w:r>
      <w:r w:rsidRPr="00F171A3">
        <w:rPr>
          <w:rFonts w:cstheme="minorHAnsi"/>
          <w:i/>
          <w:iCs/>
        </w:rPr>
        <w:t>copiii</w:t>
      </w:r>
      <w:r w:rsidRPr="00F171A3">
        <w:rPr>
          <w:rFonts w:cstheme="minorHAnsi"/>
        </w:rPr>
        <w:t xml:space="preserve"> aparținând minorităților etnice;</w:t>
      </w:r>
    </w:p>
    <w:p w14:paraId="4126DE86" w14:textId="77777777" w:rsidR="00617090" w:rsidRPr="00F171A3" w:rsidRDefault="00617090" w:rsidP="00617090">
      <w:pPr>
        <w:pStyle w:val="Bullet"/>
      </w:pPr>
      <w:r w:rsidRPr="00F171A3">
        <w:rPr>
          <w:i/>
        </w:rPr>
        <w:t>Protecția persoanelor adulte</w:t>
      </w:r>
      <w:r w:rsidRPr="00F171A3">
        <w:t>: persoane cu dizabilități, persoane vârstnice, persoane aflate în dificultate;</w:t>
      </w:r>
    </w:p>
    <w:p w14:paraId="0B33A3E2" w14:textId="55760F6E" w:rsidR="00617090" w:rsidRPr="00F171A3" w:rsidRDefault="00617090" w:rsidP="00617090">
      <w:pPr>
        <w:pStyle w:val="Bullet"/>
      </w:pPr>
      <w:r w:rsidRPr="00F171A3">
        <w:rPr>
          <w:i/>
        </w:rPr>
        <w:t>Prevenirea și combaterea violenței domestice</w:t>
      </w:r>
      <w:r w:rsidRPr="00F171A3">
        <w:t>: victimele violenței domestice, agresorii familiali</w:t>
      </w:r>
      <w:r w:rsidR="008C12B3" w:rsidRPr="00F171A3">
        <w:t>.</w:t>
      </w:r>
    </w:p>
    <w:p w14:paraId="5722C97A" w14:textId="77777777" w:rsidR="00617090" w:rsidRPr="00F171A3" w:rsidRDefault="00617090" w:rsidP="00617090">
      <w:r w:rsidRPr="00F171A3">
        <w:t>În Strategia Locală de Dezvoltare a Serviciilor Sociale din Sectorul 2 pentru perioada 2021-2027, DGAPSC Sector 2 a identificat un șir de obiective și direcții strategice, clasificate în mai multe domenii. Astfel, principalele obiective și direcții strategice conform strategiei respective, sunt</w:t>
      </w:r>
      <w:r w:rsidRPr="00F171A3">
        <w:rPr>
          <w:rStyle w:val="FootnoteReference"/>
        </w:rPr>
        <w:footnoteReference w:id="10"/>
      </w:r>
      <w:r w:rsidRPr="00F171A3">
        <w:t>:</w:t>
      </w:r>
    </w:p>
    <w:p w14:paraId="6C9825E2" w14:textId="46862BFE" w:rsidR="00617090" w:rsidRPr="00F171A3" w:rsidRDefault="00617090" w:rsidP="00617090">
      <w:pPr>
        <w:pStyle w:val="Bullet"/>
      </w:pPr>
      <w:r w:rsidRPr="00F171A3">
        <w:t>Dezvoltarea unui sistem integrat, multisectorial și participativ de prevenire și reducerea a riscului de marginalizare socială și/sau de instituționalizare</w:t>
      </w:r>
      <w:r w:rsidR="008C12B3" w:rsidRPr="00F171A3">
        <w:t>;</w:t>
      </w:r>
    </w:p>
    <w:p w14:paraId="23F243C4" w14:textId="0F1ABB6C" w:rsidR="00617090" w:rsidRPr="00F171A3" w:rsidRDefault="00617090" w:rsidP="00617090">
      <w:pPr>
        <w:pStyle w:val="Bullet"/>
      </w:pPr>
      <w:r w:rsidRPr="00F171A3">
        <w:t>Protecția și promovarea drepturilor copilului și dezvoltarea serviciilor de protecție specială pentru îmbunătățirea calității vieții copilului/tânărului cu măsură de protecție/alternativă de protecție</w:t>
      </w:r>
      <w:r w:rsidR="008C12B3" w:rsidRPr="00F171A3">
        <w:t>;</w:t>
      </w:r>
    </w:p>
    <w:p w14:paraId="201E8900" w14:textId="5E6B8030" w:rsidR="00617090" w:rsidRPr="00F171A3" w:rsidRDefault="00617090" w:rsidP="00617090">
      <w:pPr>
        <w:pStyle w:val="Bullet"/>
      </w:pPr>
      <w:r w:rsidRPr="00F171A3">
        <w:t>Dezvoltarea unui sistem de măsuri de asistență socială centrat pe valorificarea potenţialului persoanelor cu dizabilități, dezvoltarea de noi competențe și recuperare a deficitului funcţional, în vederea participării depline și efective, bazată pe libertatea de decizie, în toate domeniile vieții și în cadrul unui mediu accesibil și rezilient</w:t>
      </w:r>
      <w:r w:rsidR="008C12B3" w:rsidRPr="00F171A3">
        <w:t>;</w:t>
      </w:r>
    </w:p>
    <w:p w14:paraId="4E7A93D3" w14:textId="6E4A2D89" w:rsidR="00617090" w:rsidRPr="00F171A3" w:rsidRDefault="00617090" w:rsidP="00617090">
      <w:pPr>
        <w:pStyle w:val="Bullet"/>
      </w:pPr>
      <w:r w:rsidRPr="00F171A3">
        <w:t>Dezvoltarea capacității de intervenţie imediată şi multidisciplinară în vederea sprijinirii persoanelor care reprezintă urgenţe sociale</w:t>
      </w:r>
      <w:r w:rsidR="008C12B3" w:rsidRPr="00F171A3">
        <w:t>;</w:t>
      </w:r>
    </w:p>
    <w:p w14:paraId="4F85E2CA" w14:textId="5CE3B92B" w:rsidR="00617090" w:rsidRPr="00F171A3" w:rsidRDefault="00617090" w:rsidP="00617090">
      <w:pPr>
        <w:pStyle w:val="Bullet"/>
      </w:pPr>
      <w:r w:rsidRPr="00F171A3">
        <w:t>Dezvoltarea infrastructurii sociale în vederea creşterii gradului de acoperire cu servicii sociale și îmbunătățirea accesului la serviciile sociale pentru grupurile vulnerabile sau categorii de persoane insuficient deservite</w:t>
      </w:r>
      <w:r w:rsidR="008C12B3" w:rsidRPr="00F171A3">
        <w:t>;</w:t>
      </w:r>
    </w:p>
    <w:p w14:paraId="5E5A30C1" w14:textId="65BD885A" w:rsidR="00617090" w:rsidRPr="00F171A3" w:rsidRDefault="00617090" w:rsidP="00617090">
      <w:pPr>
        <w:pStyle w:val="Bullet"/>
      </w:pPr>
      <w:r w:rsidRPr="00F171A3">
        <w:t>Dezvoltarea și asigurarea de resurse umane calificate, cu competențe profesionale adecvate în domeniul serviciilor sociale, în vederea furnizării unor servicii sociale de calitate, integrate și inovative</w:t>
      </w:r>
      <w:r w:rsidR="008C12B3" w:rsidRPr="00F171A3">
        <w:t>;</w:t>
      </w:r>
    </w:p>
    <w:p w14:paraId="450D3FFE" w14:textId="28DB83D3" w:rsidR="00617090" w:rsidRPr="00F171A3" w:rsidRDefault="00617090" w:rsidP="00617090">
      <w:pPr>
        <w:pStyle w:val="Bullet"/>
      </w:pPr>
      <w:r w:rsidRPr="00F171A3">
        <w:t>Dezvoltarea unei rețele de asistență și sprijin la nivelul Sectorului 2 formată din furnizori publici și privați de servicii sociale, unități de învățământ, furnizori de servicii medicale și alți actori sociali relevanți</w:t>
      </w:r>
      <w:r w:rsidR="008C12B3" w:rsidRPr="00F171A3">
        <w:t>;</w:t>
      </w:r>
    </w:p>
    <w:p w14:paraId="285CD1FC" w14:textId="77777777" w:rsidR="00617090" w:rsidRPr="00F171A3" w:rsidRDefault="00617090" w:rsidP="00617090">
      <w:pPr>
        <w:pStyle w:val="Bullet"/>
      </w:pPr>
      <w:r w:rsidRPr="00F171A3">
        <w:t>Asigurarea surselor de finanțare necesare susținerii serviciilor sociale și dezvoltării de noi proiecte în domeniul reducerii sărăciei și reducerii excluziunii sociale.</w:t>
      </w:r>
    </w:p>
    <w:p w14:paraId="0BF07ACE" w14:textId="77777777" w:rsidR="00617090" w:rsidRPr="00F171A3" w:rsidRDefault="00617090" w:rsidP="00617090">
      <w:pPr>
        <w:spacing w:before="240"/>
      </w:pPr>
      <w:r w:rsidRPr="00F171A3">
        <w:t>Pentru a-și îndeplini obiectivele propuse în domeniul asistenței sociale, DGASPC Sector 2 dispune de următoarea infrastructură</w:t>
      </w:r>
      <w:r w:rsidRPr="00F171A3">
        <w:rPr>
          <w:rStyle w:val="FootnoteReference"/>
        </w:rPr>
        <w:footnoteReference w:id="11"/>
      </w:r>
      <w:r w:rsidRPr="00F171A3">
        <w:t>:</w:t>
      </w:r>
    </w:p>
    <w:p w14:paraId="23A3E48A" w14:textId="77777777" w:rsidR="00617090" w:rsidRPr="00F171A3" w:rsidRDefault="00617090">
      <w:pPr>
        <w:pStyle w:val="ListParagraph"/>
        <w:numPr>
          <w:ilvl w:val="0"/>
          <w:numId w:val="66"/>
        </w:numPr>
        <w:rPr>
          <w:rFonts w:eastAsia="MS Gothic"/>
          <w:bCs/>
          <w:color w:val="134753" w:themeColor="accent2"/>
          <w:lang w:eastAsia="en-GB"/>
        </w:rPr>
      </w:pPr>
      <w:r w:rsidRPr="00F171A3">
        <w:rPr>
          <w:rFonts w:eastAsia="MS Gothic"/>
          <w:bCs/>
          <w:color w:val="134753" w:themeColor="accent2"/>
          <w:lang w:eastAsia="en-GB"/>
        </w:rPr>
        <w:t xml:space="preserve">În domeniul protecției copiilor: </w:t>
      </w:r>
    </w:p>
    <w:p w14:paraId="61834258" w14:textId="25F3405F" w:rsidR="00617090" w:rsidRPr="00F171A3" w:rsidRDefault="00617090">
      <w:pPr>
        <w:pStyle w:val="Bullet"/>
        <w:numPr>
          <w:ilvl w:val="1"/>
          <w:numId w:val="67"/>
        </w:numPr>
      </w:pPr>
      <w:r w:rsidRPr="00F171A3">
        <w:rPr>
          <w:i/>
        </w:rPr>
        <w:t>Centre rezidențiale</w:t>
      </w:r>
      <w:r w:rsidRPr="00F171A3">
        <w:t>: 17 apartamente sociale; 1 centru maternal, 1 centru de primire a copilului în regim de urgență ,,Cireșarii”; 1 Centru pilot de protecție pentru copilul victimă a traficului de ființe umane ,,Gavroche”; 1 Centru de tip rezidențial pentru copiii cu dizabilități (Centrul de Servicii pentru Copilul cu Handicap)</w:t>
      </w:r>
      <w:r w:rsidR="00D44B8A" w:rsidRPr="00F171A3">
        <w:t>;</w:t>
      </w:r>
    </w:p>
    <w:p w14:paraId="03951D5D" w14:textId="77777777" w:rsidR="00617090" w:rsidRPr="00F171A3" w:rsidRDefault="00617090">
      <w:pPr>
        <w:pStyle w:val="Bullet"/>
        <w:numPr>
          <w:ilvl w:val="1"/>
          <w:numId w:val="67"/>
        </w:numPr>
      </w:pPr>
      <w:r w:rsidRPr="00F171A3">
        <w:rPr>
          <w:i/>
        </w:rPr>
        <w:t>Centre de zi</w:t>
      </w:r>
      <w:r w:rsidRPr="00F171A3">
        <w:t>: ,,Pinocchio”, ,,Ursulețul de pluș”, ,,Sfânta Maria”, ,,Pantelimon”, ,,Floare de câmp”, Centrul de zi de recuperare și resurse pentru copii cu dizabilități multiple și familiile lor;</w:t>
      </w:r>
    </w:p>
    <w:p w14:paraId="0A9421C6" w14:textId="77777777" w:rsidR="00617090" w:rsidRPr="00F171A3" w:rsidRDefault="00617090">
      <w:pPr>
        <w:pStyle w:val="Bullet"/>
        <w:numPr>
          <w:ilvl w:val="1"/>
          <w:numId w:val="67"/>
        </w:numPr>
      </w:pPr>
      <w:r w:rsidRPr="00F171A3">
        <w:t>1 Centru de îngrijire și găzduire “Colț Alb” (copii semi-interni semiacuzici);</w:t>
      </w:r>
    </w:p>
    <w:p w14:paraId="6FE06A1D" w14:textId="77777777" w:rsidR="00617090" w:rsidRPr="00F171A3" w:rsidRDefault="00617090">
      <w:pPr>
        <w:pStyle w:val="Bullet"/>
        <w:numPr>
          <w:ilvl w:val="1"/>
          <w:numId w:val="67"/>
        </w:numPr>
      </w:pPr>
      <w:r w:rsidRPr="00F171A3">
        <w:t>1 Centru de îngrijire și găzduire “Colț Alb” (copii interni);</w:t>
      </w:r>
    </w:p>
    <w:p w14:paraId="0F53DBCA" w14:textId="77777777" w:rsidR="00617090" w:rsidRPr="00F171A3" w:rsidRDefault="00617090">
      <w:pPr>
        <w:pStyle w:val="Bullet"/>
        <w:numPr>
          <w:ilvl w:val="1"/>
          <w:numId w:val="67"/>
        </w:numPr>
      </w:pPr>
      <w:r w:rsidRPr="00F171A3">
        <w:t xml:space="preserve">1 Centru de îngrijire și găzduire “Neghiniță”; </w:t>
      </w:r>
    </w:p>
    <w:p w14:paraId="1F239499" w14:textId="77777777" w:rsidR="00617090" w:rsidRPr="00F171A3" w:rsidRDefault="00617090">
      <w:pPr>
        <w:pStyle w:val="Bullet"/>
        <w:numPr>
          <w:ilvl w:val="1"/>
          <w:numId w:val="67"/>
        </w:numPr>
      </w:pPr>
      <w:r w:rsidRPr="00F171A3">
        <w:t>1 Adăpost de zi și de noapte pentru copiii străzii “Dănilă Prepeleac”;</w:t>
      </w:r>
    </w:p>
    <w:p w14:paraId="29EB6625" w14:textId="7FF9383A" w:rsidR="008C12B3" w:rsidRPr="00F171A3" w:rsidRDefault="00617090">
      <w:pPr>
        <w:pStyle w:val="Bullet"/>
        <w:numPr>
          <w:ilvl w:val="1"/>
          <w:numId w:val="67"/>
        </w:numPr>
      </w:pPr>
      <w:r w:rsidRPr="00F171A3">
        <w:t>Două centre de consiliere pentru copilul abuzat (Centrul “Caroteni” și Centrul “Floare de colț”)</w:t>
      </w:r>
      <w:r w:rsidR="00D44B8A" w:rsidRPr="00F171A3">
        <w:t>;</w:t>
      </w:r>
    </w:p>
    <w:p w14:paraId="67EDF605" w14:textId="46BA63EC" w:rsidR="00617090" w:rsidRPr="00F171A3" w:rsidRDefault="00617090">
      <w:pPr>
        <w:pStyle w:val="ListParagraph"/>
        <w:numPr>
          <w:ilvl w:val="0"/>
          <w:numId w:val="66"/>
        </w:numPr>
        <w:rPr>
          <w:rFonts w:eastAsia="MS Gothic"/>
          <w:bCs/>
          <w:color w:val="134753" w:themeColor="accent2"/>
          <w:lang w:eastAsia="en-GB"/>
        </w:rPr>
      </w:pPr>
      <w:r w:rsidRPr="00F171A3">
        <w:rPr>
          <w:rFonts w:eastAsia="MS Gothic"/>
          <w:bCs/>
          <w:color w:val="134753" w:themeColor="accent2"/>
          <w:lang w:eastAsia="en-GB"/>
        </w:rPr>
        <w:t>În domeniul protecției adulților și vârstnicilor:</w:t>
      </w:r>
    </w:p>
    <w:p w14:paraId="2F04055E" w14:textId="77777777" w:rsidR="00617090" w:rsidRPr="00F171A3" w:rsidRDefault="00617090">
      <w:pPr>
        <w:pStyle w:val="Bullet"/>
        <w:numPr>
          <w:ilvl w:val="1"/>
          <w:numId w:val="67"/>
        </w:numPr>
      </w:pPr>
      <w:r w:rsidRPr="00F171A3">
        <w:t>Centre de zi: Centru de zi pentru persoane vârstnice “Basarabia; Centru de zi pentru persoane vârstnice “Plumbuita”; Centrul de servicii “Ion Creangă”; Complexul de servicii pentru persoane adulte cu handicap neuropsihic “Balotului”;</w:t>
      </w:r>
    </w:p>
    <w:p w14:paraId="484EC209" w14:textId="77777777" w:rsidR="00617090" w:rsidRPr="00F171A3" w:rsidRDefault="00617090">
      <w:pPr>
        <w:pStyle w:val="Bullet"/>
        <w:numPr>
          <w:ilvl w:val="1"/>
          <w:numId w:val="67"/>
        </w:numPr>
      </w:pPr>
      <w:r w:rsidRPr="00F171A3">
        <w:t>5 locuințe protejate;</w:t>
      </w:r>
    </w:p>
    <w:p w14:paraId="1076B9C6" w14:textId="77777777" w:rsidR="00617090" w:rsidRPr="00F171A3" w:rsidRDefault="00617090">
      <w:pPr>
        <w:pStyle w:val="Bullet"/>
        <w:numPr>
          <w:ilvl w:val="1"/>
          <w:numId w:val="67"/>
        </w:numPr>
      </w:pPr>
      <w:r w:rsidRPr="00F171A3">
        <w:t>Un adăpost de noapte;</w:t>
      </w:r>
    </w:p>
    <w:p w14:paraId="35C1A6FD" w14:textId="16EF005C" w:rsidR="00617090" w:rsidRPr="00F171A3" w:rsidRDefault="00617090">
      <w:pPr>
        <w:pStyle w:val="Bullet"/>
        <w:numPr>
          <w:ilvl w:val="1"/>
          <w:numId w:val="67"/>
        </w:numPr>
      </w:pPr>
      <w:r w:rsidRPr="00F171A3">
        <w:t>Un centru de recuperare</w:t>
      </w:r>
      <w:r w:rsidR="00D44B8A" w:rsidRPr="00F171A3">
        <w:t>;</w:t>
      </w:r>
    </w:p>
    <w:p w14:paraId="61300B61" w14:textId="77777777" w:rsidR="00617090" w:rsidRPr="00F171A3" w:rsidRDefault="00617090">
      <w:pPr>
        <w:pStyle w:val="Bullet"/>
        <w:numPr>
          <w:ilvl w:val="1"/>
          <w:numId w:val="67"/>
        </w:numPr>
      </w:pPr>
      <w:r w:rsidRPr="00F171A3">
        <w:t xml:space="preserve">4 centre rezidențiale: Centrul de îngrijire și asistență Nr 2; Centrul de recuperare și reabilitare neuropsihiatrică nr 1; Centrul de recuperare și reabilitare neuropsihiatrică nr 2; Centrul rezidențial pentru persoane vârstnice “Speranța”. </w:t>
      </w:r>
    </w:p>
    <w:p w14:paraId="0B316F6B" w14:textId="77777777" w:rsidR="00617090" w:rsidRPr="00F171A3" w:rsidRDefault="00617090" w:rsidP="00617090">
      <w:r w:rsidRPr="00F171A3">
        <w:t>Situația unităților de servicii sociale care aparțin DGASPC Sector 2 este prezentată în următorul tabel:</w:t>
      </w:r>
    </w:p>
    <w:p w14:paraId="028C13EC" w14:textId="2835B482" w:rsidR="00617090" w:rsidRPr="0076380C" w:rsidRDefault="00617090" w:rsidP="0076380C">
      <w:pPr>
        <w:pStyle w:val="Caption"/>
      </w:pPr>
      <w:bookmarkStart w:id="80" w:name="_Toc126943272"/>
      <w:r w:rsidRPr="0076380C">
        <w:t xml:space="preserve">Tabel </w:t>
      </w:r>
      <w:r w:rsidRPr="0076380C">
        <w:fldChar w:fldCharType="begin"/>
      </w:r>
      <w:r w:rsidRPr="0076380C">
        <w:instrText xml:space="preserve"> SEQ Tabel \* ARABIC </w:instrText>
      </w:r>
      <w:r w:rsidRPr="0076380C">
        <w:fldChar w:fldCharType="separate"/>
      </w:r>
      <w:r w:rsidR="005A6DD8">
        <w:rPr>
          <w:noProof/>
        </w:rPr>
        <w:t>15</w:t>
      </w:r>
      <w:r w:rsidRPr="0076380C">
        <w:fldChar w:fldCharType="end"/>
      </w:r>
      <w:r w:rsidRPr="0076380C">
        <w:t xml:space="preserve"> </w:t>
      </w:r>
      <w:r w:rsidR="0076380C" w:rsidRPr="0076380C">
        <w:t>Infrastructura centrelor sociale din cadrul DGASPC Sectorul 2, în anul 2021</w:t>
      </w:r>
      <w:bookmarkEnd w:id="80"/>
    </w:p>
    <w:tbl>
      <w:tblPr>
        <w:tblStyle w:val="Civittatable"/>
        <w:tblW w:w="0" w:type="auto"/>
        <w:tblLook w:val="04A0" w:firstRow="1" w:lastRow="0" w:firstColumn="1" w:lastColumn="0" w:noHBand="0" w:noVBand="1"/>
      </w:tblPr>
      <w:tblGrid>
        <w:gridCol w:w="587"/>
        <w:gridCol w:w="5978"/>
        <w:gridCol w:w="1607"/>
        <w:gridCol w:w="1264"/>
      </w:tblGrid>
      <w:tr w:rsidR="00617090" w:rsidRPr="00F171A3" w14:paraId="65ABCF9B" w14:textId="77777777" w:rsidTr="00D44B8A">
        <w:trPr>
          <w:cnfStyle w:val="100000000000" w:firstRow="1" w:lastRow="0" w:firstColumn="0" w:lastColumn="0" w:oddVBand="0" w:evenVBand="0" w:oddHBand="0" w:evenHBand="0" w:firstRowFirstColumn="0" w:firstRowLastColumn="0" w:lastRowFirstColumn="0" w:lastRowLastColumn="0"/>
        </w:trPr>
        <w:tc>
          <w:tcPr>
            <w:tcW w:w="581" w:type="dxa"/>
            <w:vAlign w:val="center"/>
          </w:tcPr>
          <w:p w14:paraId="52E4F31D" w14:textId="77777777" w:rsidR="00617090" w:rsidRPr="00F171A3" w:rsidRDefault="00617090" w:rsidP="00D44B8A">
            <w:pPr>
              <w:spacing w:after="160"/>
              <w:contextualSpacing/>
              <w:jc w:val="center"/>
              <w:rPr>
                <w:b/>
                <w:bCs/>
                <w:szCs w:val="20"/>
                <w:highlight w:val="cyan"/>
              </w:rPr>
            </w:pPr>
            <w:r w:rsidRPr="00F171A3">
              <w:rPr>
                <w:b/>
                <w:bCs/>
                <w:szCs w:val="20"/>
              </w:rPr>
              <w:t>Nr. crt.</w:t>
            </w:r>
          </w:p>
        </w:tc>
        <w:tc>
          <w:tcPr>
            <w:tcW w:w="5984" w:type="dxa"/>
            <w:vAlign w:val="center"/>
          </w:tcPr>
          <w:p w14:paraId="344F8A16" w14:textId="77777777" w:rsidR="00617090" w:rsidRPr="00F171A3" w:rsidRDefault="00617090" w:rsidP="00D44B8A">
            <w:pPr>
              <w:spacing w:after="160"/>
              <w:contextualSpacing/>
              <w:jc w:val="center"/>
              <w:rPr>
                <w:b/>
                <w:bCs/>
                <w:szCs w:val="20"/>
                <w:highlight w:val="cyan"/>
              </w:rPr>
            </w:pPr>
            <w:r w:rsidRPr="00F171A3">
              <w:rPr>
                <w:b/>
                <w:bCs/>
                <w:szCs w:val="20"/>
              </w:rPr>
              <w:t>Denumire centru/adresă</w:t>
            </w:r>
          </w:p>
        </w:tc>
        <w:tc>
          <w:tcPr>
            <w:tcW w:w="1607" w:type="dxa"/>
            <w:vAlign w:val="center"/>
          </w:tcPr>
          <w:p w14:paraId="6A7143B5" w14:textId="77777777" w:rsidR="00617090" w:rsidRPr="00F171A3" w:rsidRDefault="00617090" w:rsidP="00D44B8A">
            <w:pPr>
              <w:spacing w:after="160"/>
              <w:contextualSpacing/>
              <w:jc w:val="center"/>
              <w:rPr>
                <w:b/>
                <w:bCs/>
                <w:szCs w:val="20"/>
              </w:rPr>
            </w:pPr>
            <w:r w:rsidRPr="00F171A3">
              <w:rPr>
                <w:b/>
                <w:bCs/>
                <w:szCs w:val="20"/>
              </w:rPr>
              <w:t>Nr. beneficiari</w:t>
            </w:r>
          </w:p>
          <w:p w14:paraId="163F6F2B" w14:textId="69ED837D" w:rsidR="00617090" w:rsidRPr="00F171A3" w:rsidRDefault="00617090" w:rsidP="00D44B8A">
            <w:pPr>
              <w:spacing w:after="160"/>
              <w:contextualSpacing/>
              <w:jc w:val="center"/>
              <w:rPr>
                <w:b/>
                <w:bCs/>
                <w:szCs w:val="20"/>
                <w:highlight w:val="cyan"/>
              </w:rPr>
            </w:pPr>
            <w:r w:rsidRPr="00F171A3">
              <w:rPr>
                <w:b/>
                <w:bCs/>
                <w:szCs w:val="20"/>
              </w:rPr>
              <w:t>la 31.12.2021</w:t>
            </w:r>
          </w:p>
        </w:tc>
        <w:tc>
          <w:tcPr>
            <w:tcW w:w="1264" w:type="dxa"/>
            <w:vAlign w:val="center"/>
          </w:tcPr>
          <w:p w14:paraId="1A987421" w14:textId="77777777" w:rsidR="00617090" w:rsidRPr="00F171A3" w:rsidRDefault="00617090" w:rsidP="00D44B8A">
            <w:pPr>
              <w:spacing w:after="160"/>
              <w:contextualSpacing/>
              <w:jc w:val="center"/>
              <w:rPr>
                <w:b/>
                <w:bCs/>
                <w:szCs w:val="20"/>
                <w:highlight w:val="cyan"/>
              </w:rPr>
            </w:pPr>
            <w:r w:rsidRPr="00F171A3">
              <w:rPr>
                <w:b/>
                <w:bCs/>
                <w:szCs w:val="20"/>
              </w:rPr>
              <w:t>Capacitate</w:t>
            </w:r>
          </w:p>
        </w:tc>
      </w:tr>
      <w:tr w:rsidR="00617090" w:rsidRPr="00F171A3" w14:paraId="754FC576"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0B48614D"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w:t>
            </w:r>
          </w:p>
        </w:tc>
        <w:tc>
          <w:tcPr>
            <w:tcW w:w="5984" w:type="dxa"/>
          </w:tcPr>
          <w:p w14:paraId="72C98157" w14:textId="77777777" w:rsidR="00617090" w:rsidRPr="00F171A3" w:rsidRDefault="00617090" w:rsidP="00F31936">
            <w:pPr>
              <w:spacing w:after="160"/>
              <w:contextualSpacing/>
              <w:rPr>
                <w:rFonts w:cstheme="minorHAnsi"/>
                <w:szCs w:val="20"/>
              </w:rPr>
            </w:pPr>
            <w:r w:rsidRPr="00F171A3">
              <w:rPr>
                <w:rFonts w:cstheme="minorHAnsi"/>
                <w:szCs w:val="20"/>
              </w:rPr>
              <w:t>Centrul Maternal "Maria"</w:t>
            </w:r>
          </w:p>
          <w:p w14:paraId="3773D38D" w14:textId="2D76040E" w:rsidR="00617090" w:rsidRPr="00F171A3" w:rsidRDefault="00617090" w:rsidP="00F31936">
            <w:pPr>
              <w:spacing w:after="160"/>
              <w:contextualSpacing/>
              <w:rPr>
                <w:rFonts w:cstheme="minorHAnsi"/>
                <w:szCs w:val="20"/>
              </w:rPr>
            </w:pPr>
            <w:r w:rsidRPr="00F171A3">
              <w:rPr>
                <w:rFonts w:cstheme="minorHAnsi"/>
                <w:szCs w:val="20"/>
              </w:rPr>
              <w:t xml:space="preserve">Str. Gheorghe Șerban nr. 7A, </w:t>
            </w:r>
            <w:r w:rsidR="00F53B80" w:rsidRPr="00F171A3">
              <w:rPr>
                <w:rFonts w:cstheme="minorHAnsi"/>
                <w:szCs w:val="20"/>
              </w:rPr>
              <w:t>Sector 2</w:t>
            </w:r>
          </w:p>
        </w:tc>
        <w:tc>
          <w:tcPr>
            <w:tcW w:w="1607" w:type="dxa"/>
          </w:tcPr>
          <w:p w14:paraId="7187A641"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3 cupluri mamă-copil și 2 gravide</w:t>
            </w:r>
          </w:p>
        </w:tc>
        <w:tc>
          <w:tcPr>
            <w:tcW w:w="1264" w:type="dxa"/>
          </w:tcPr>
          <w:p w14:paraId="7C020A3D"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10</w:t>
            </w:r>
          </w:p>
        </w:tc>
      </w:tr>
      <w:tr w:rsidR="00617090" w:rsidRPr="00F171A3" w14:paraId="2340A98A"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10573116"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2</w:t>
            </w:r>
          </w:p>
        </w:tc>
        <w:tc>
          <w:tcPr>
            <w:tcW w:w="5984" w:type="dxa"/>
          </w:tcPr>
          <w:p w14:paraId="7C02DE26" w14:textId="71255D72" w:rsidR="00617090" w:rsidRPr="00F171A3" w:rsidRDefault="00617090" w:rsidP="00F31936">
            <w:pPr>
              <w:spacing w:after="160"/>
              <w:contextualSpacing/>
              <w:rPr>
                <w:rFonts w:cstheme="minorHAnsi"/>
                <w:b/>
                <w:bCs/>
                <w:szCs w:val="20"/>
                <w:highlight w:val="cyan"/>
              </w:rPr>
            </w:pPr>
            <w:r w:rsidRPr="00F171A3">
              <w:rPr>
                <w:rFonts w:cstheme="minorHAnsi"/>
                <w:szCs w:val="20"/>
              </w:rPr>
              <w:t>Centrul de Primire în Regim de Urgență"Cireșarii"</w:t>
            </w:r>
            <w:r w:rsidRPr="00F171A3">
              <w:rPr>
                <w:rFonts w:cstheme="minorHAnsi"/>
                <w:szCs w:val="20"/>
              </w:rPr>
              <w:br/>
              <w:t xml:space="preserve">Str. Aaron Florian nr. 5, </w:t>
            </w:r>
            <w:r w:rsidR="00F53B80" w:rsidRPr="00F171A3">
              <w:rPr>
                <w:rFonts w:cstheme="minorHAnsi"/>
                <w:szCs w:val="20"/>
              </w:rPr>
              <w:t>Sector 2</w:t>
            </w:r>
          </w:p>
        </w:tc>
        <w:tc>
          <w:tcPr>
            <w:tcW w:w="1607" w:type="dxa"/>
          </w:tcPr>
          <w:p w14:paraId="15114ABF"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18</w:t>
            </w:r>
          </w:p>
        </w:tc>
        <w:tc>
          <w:tcPr>
            <w:tcW w:w="1264" w:type="dxa"/>
          </w:tcPr>
          <w:p w14:paraId="536D4D70"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24</w:t>
            </w:r>
          </w:p>
        </w:tc>
      </w:tr>
      <w:tr w:rsidR="00617090" w:rsidRPr="00F171A3" w14:paraId="233F219E"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02B4E389"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3</w:t>
            </w:r>
          </w:p>
        </w:tc>
        <w:tc>
          <w:tcPr>
            <w:tcW w:w="5984" w:type="dxa"/>
          </w:tcPr>
          <w:p w14:paraId="7089AE6C" w14:textId="77777777" w:rsidR="00617090" w:rsidRPr="00F171A3" w:rsidRDefault="00617090" w:rsidP="00F31936">
            <w:pPr>
              <w:spacing w:after="160"/>
              <w:contextualSpacing/>
              <w:rPr>
                <w:rFonts w:cstheme="minorHAnsi"/>
                <w:szCs w:val="20"/>
              </w:rPr>
            </w:pPr>
            <w:r w:rsidRPr="00F171A3">
              <w:rPr>
                <w:rFonts w:cstheme="minorHAnsi"/>
                <w:szCs w:val="20"/>
              </w:rPr>
              <w:t>Centrul Pilot de Protecție pentru Copiii Victimă a Traficului de Ființe Umane "Gavroche"</w:t>
            </w:r>
          </w:p>
          <w:p w14:paraId="6CF55327" w14:textId="3A99ABDF"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Caroteni nr. 21-23, </w:t>
            </w:r>
            <w:r w:rsidR="00F53B80" w:rsidRPr="00F171A3">
              <w:rPr>
                <w:rFonts w:cstheme="minorHAnsi"/>
                <w:szCs w:val="20"/>
              </w:rPr>
              <w:t>Sector 2</w:t>
            </w:r>
          </w:p>
        </w:tc>
        <w:tc>
          <w:tcPr>
            <w:tcW w:w="1607" w:type="dxa"/>
          </w:tcPr>
          <w:p w14:paraId="1A8401EC"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20</w:t>
            </w:r>
          </w:p>
        </w:tc>
        <w:tc>
          <w:tcPr>
            <w:tcW w:w="1264" w:type="dxa"/>
          </w:tcPr>
          <w:p w14:paraId="554A6CDC"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24</w:t>
            </w:r>
          </w:p>
        </w:tc>
      </w:tr>
      <w:tr w:rsidR="00617090" w:rsidRPr="00F171A3" w14:paraId="4AF3B938"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47F9813D"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4</w:t>
            </w:r>
          </w:p>
        </w:tc>
        <w:tc>
          <w:tcPr>
            <w:tcW w:w="5984" w:type="dxa"/>
          </w:tcPr>
          <w:p w14:paraId="49DFEF01" w14:textId="77777777" w:rsidR="00617090" w:rsidRPr="00F171A3" w:rsidRDefault="00617090" w:rsidP="00F31936">
            <w:pPr>
              <w:spacing w:after="160"/>
              <w:contextualSpacing/>
              <w:rPr>
                <w:rFonts w:cstheme="minorHAnsi"/>
                <w:szCs w:val="20"/>
              </w:rPr>
            </w:pPr>
            <w:r w:rsidRPr="00F171A3">
              <w:rPr>
                <w:rFonts w:cstheme="minorHAnsi"/>
                <w:szCs w:val="20"/>
              </w:rPr>
              <w:t>Centrul de Servicii pentru Copilul cu Handicap</w:t>
            </w:r>
          </w:p>
          <w:p w14:paraId="2EE0DE25" w14:textId="62932408"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Traian nr. 144, </w:t>
            </w:r>
            <w:r w:rsidR="00F53B80" w:rsidRPr="00F171A3">
              <w:rPr>
                <w:rFonts w:cstheme="minorHAnsi"/>
                <w:szCs w:val="20"/>
              </w:rPr>
              <w:t>Sector 2</w:t>
            </w:r>
          </w:p>
        </w:tc>
        <w:tc>
          <w:tcPr>
            <w:tcW w:w="1607" w:type="dxa"/>
          </w:tcPr>
          <w:p w14:paraId="03B6F0AF"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36</w:t>
            </w:r>
          </w:p>
        </w:tc>
        <w:tc>
          <w:tcPr>
            <w:tcW w:w="1264" w:type="dxa"/>
          </w:tcPr>
          <w:p w14:paraId="1C3C28BE"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55</w:t>
            </w:r>
          </w:p>
        </w:tc>
      </w:tr>
      <w:tr w:rsidR="00617090" w:rsidRPr="00F171A3" w14:paraId="4F53EEE9"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03157C07"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5</w:t>
            </w:r>
          </w:p>
        </w:tc>
        <w:tc>
          <w:tcPr>
            <w:tcW w:w="5984" w:type="dxa"/>
          </w:tcPr>
          <w:p w14:paraId="6A43D47C" w14:textId="77777777" w:rsidR="00617090" w:rsidRPr="00F171A3" w:rsidRDefault="00617090" w:rsidP="00F31936">
            <w:pPr>
              <w:spacing w:after="160"/>
              <w:contextualSpacing/>
              <w:rPr>
                <w:rFonts w:cstheme="minorHAnsi"/>
                <w:szCs w:val="20"/>
              </w:rPr>
            </w:pPr>
            <w:r w:rsidRPr="00F171A3">
              <w:rPr>
                <w:rFonts w:cstheme="minorHAnsi"/>
                <w:szCs w:val="20"/>
              </w:rPr>
              <w:t>Centrul de  Îngrijire și Găzduire "Colț Alb" (copii semi-interni hipoacuzici)</w:t>
            </w:r>
          </w:p>
          <w:p w14:paraId="473B7EE0" w14:textId="6A8B5583"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Austrului nr. 37, </w:t>
            </w:r>
            <w:r w:rsidR="00F53B80" w:rsidRPr="00F171A3">
              <w:rPr>
                <w:rFonts w:cstheme="minorHAnsi"/>
                <w:szCs w:val="20"/>
              </w:rPr>
              <w:t>Sector 2</w:t>
            </w:r>
          </w:p>
        </w:tc>
        <w:tc>
          <w:tcPr>
            <w:tcW w:w="1607" w:type="dxa"/>
          </w:tcPr>
          <w:p w14:paraId="507F4272"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88</w:t>
            </w:r>
          </w:p>
        </w:tc>
        <w:tc>
          <w:tcPr>
            <w:tcW w:w="1264" w:type="dxa"/>
          </w:tcPr>
          <w:p w14:paraId="3D24FEE8" w14:textId="77777777" w:rsidR="00617090" w:rsidRPr="00F171A3" w:rsidRDefault="00617090" w:rsidP="00F31936">
            <w:pPr>
              <w:spacing w:after="160"/>
              <w:contextualSpacing/>
              <w:jc w:val="center"/>
              <w:rPr>
                <w:rFonts w:cstheme="minorHAnsi"/>
                <w:b/>
                <w:bCs/>
                <w:szCs w:val="20"/>
                <w:highlight w:val="cyan"/>
              </w:rPr>
            </w:pPr>
          </w:p>
        </w:tc>
      </w:tr>
      <w:tr w:rsidR="00617090" w:rsidRPr="00F171A3" w14:paraId="08249585"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6201384F"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6</w:t>
            </w:r>
          </w:p>
        </w:tc>
        <w:tc>
          <w:tcPr>
            <w:tcW w:w="5984" w:type="dxa"/>
          </w:tcPr>
          <w:p w14:paraId="63DA1C78" w14:textId="77777777" w:rsidR="00617090" w:rsidRPr="00F171A3" w:rsidRDefault="00617090" w:rsidP="00F31936">
            <w:pPr>
              <w:spacing w:after="160"/>
              <w:contextualSpacing/>
              <w:rPr>
                <w:rFonts w:cstheme="minorHAnsi"/>
                <w:szCs w:val="20"/>
              </w:rPr>
            </w:pPr>
            <w:r w:rsidRPr="00F171A3">
              <w:rPr>
                <w:rFonts w:cstheme="minorHAnsi"/>
                <w:szCs w:val="20"/>
              </w:rPr>
              <w:t>Centrul de Îngrijire și Găzduire Colț Alb (copii interni)</w:t>
            </w:r>
          </w:p>
          <w:p w14:paraId="41830567" w14:textId="38F0D285"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Austrului nr. 37, </w:t>
            </w:r>
            <w:r w:rsidR="00F53B80" w:rsidRPr="00F171A3">
              <w:rPr>
                <w:rFonts w:cstheme="minorHAnsi"/>
                <w:szCs w:val="20"/>
              </w:rPr>
              <w:t>Sector 2</w:t>
            </w:r>
          </w:p>
        </w:tc>
        <w:tc>
          <w:tcPr>
            <w:tcW w:w="1607" w:type="dxa"/>
          </w:tcPr>
          <w:p w14:paraId="5A732A24"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58</w:t>
            </w:r>
          </w:p>
        </w:tc>
        <w:tc>
          <w:tcPr>
            <w:tcW w:w="1264" w:type="dxa"/>
          </w:tcPr>
          <w:p w14:paraId="0F248C3C"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88</w:t>
            </w:r>
          </w:p>
        </w:tc>
      </w:tr>
      <w:tr w:rsidR="00617090" w:rsidRPr="00F171A3" w14:paraId="3DC29546"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7E88B9DF"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7</w:t>
            </w:r>
          </w:p>
        </w:tc>
        <w:tc>
          <w:tcPr>
            <w:tcW w:w="5984" w:type="dxa"/>
          </w:tcPr>
          <w:p w14:paraId="5E4FA6CE" w14:textId="77777777" w:rsidR="00617090" w:rsidRPr="00F171A3" w:rsidRDefault="00617090" w:rsidP="00F31936">
            <w:pPr>
              <w:spacing w:after="160"/>
              <w:contextualSpacing/>
              <w:rPr>
                <w:rFonts w:cstheme="minorHAnsi"/>
                <w:szCs w:val="20"/>
              </w:rPr>
            </w:pPr>
            <w:r w:rsidRPr="00F171A3">
              <w:rPr>
                <w:rFonts w:cstheme="minorHAnsi"/>
                <w:szCs w:val="20"/>
              </w:rPr>
              <w:t>Centrul de  Îngrijire și Găzduire  "Neghiniță"</w:t>
            </w:r>
          </w:p>
          <w:p w14:paraId="30BF2459" w14:textId="024314C7"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Viitorului nr. 52, </w:t>
            </w:r>
            <w:r w:rsidR="00F53B80" w:rsidRPr="00F171A3">
              <w:rPr>
                <w:rFonts w:cstheme="minorHAnsi"/>
                <w:szCs w:val="20"/>
              </w:rPr>
              <w:t>Sector 2</w:t>
            </w:r>
          </w:p>
        </w:tc>
        <w:tc>
          <w:tcPr>
            <w:tcW w:w="1607" w:type="dxa"/>
          </w:tcPr>
          <w:p w14:paraId="2FE2394F"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22</w:t>
            </w:r>
          </w:p>
        </w:tc>
        <w:tc>
          <w:tcPr>
            <w:tcW w:w="1264" w:type="dxa"/>
          </w:tcPr>
          <w:p w14:paraId="14BD5069"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color w:val="000000"/>
                <w:szCs w:val="20"/>
              </w:rPr>
              <w:t>40</w:t>
            </w:r>
          </w:p>
        </w:tc>
      </w:tr>
      <w:tr w:rsidR="00617090" w:rsidRPr="00F171A3" w14:paraId="36233BE4"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6CE5830E"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8</w:t>
            </w:r>
          </w:p>
        </w:tc>
        <w:tc>
          <w:tcPr>
            <w:tcW w:w="5984" w:type="dxa"/>
          </w:tcPr>
          <w:p w14:paraId="3BE1AE1E" w14:textId="77777777" w:rsidR="00617090" w:rsidRPr="00F171A3" w:rsidRDefault="00617090" w:rsidP="00F31936">
            <w:pPr>
              <w:spacing w:after="160"/>
              <w:contextualSpacing/>
              <w:rPr>
                <w:rFonts w:cstheme="minorHAnsi"/>
                <w:szCs w:val="20"/>
              </w:rPr>
            </w:pPr>
            <w:r w:rsidRPr="00F171A3">
              <w:rPr>
                <w:rFonts w:cstheme="minorHAnsi"/>
                <w:szCs w:val="20"/>
              </w:rPr>
              <w:t>Adăpostul pentru Copiii Străzii « Dănilă Prepeleac »</w:t>
            </w:r>
          </w:p>
          <w:p w14:paraId="5BE17C74" w14:textId="7EC6FEE5"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Aaron Florian nr. 5, </w:t>
            </w:r>
            <w:r w:rsidR="00F53B80" w:rsidRPr="00F171A3">
              <w:rPr>
                <w:rFonts w:cstheme="minorHAnsi"/>
                <w:szCs w:val="20"/>
              </w:rPr>
              <w:t>Sector 2</w:t>
            </w:r>
          </w:p>
        </w:tc>
        <w:tc>
          <w:tcPr>
            <w:tcW w:w="1607" w:type="dxa"/>
          </w:tcPr>
          <w:p w14:paraId="747059E2"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5</w:t>
            </w:r>
          </w:p>
        </w:tc>
        <w:tc>
          <w:tcPr>
            <w:tcW w:w="1264" w:type="dxa"/>
          </w:tcPr>
          <w:p w14:paraId="15353AF3"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10</w:t>
            </w:r>
          </w:p>
        </w:tc>
      </w:tr>
      <w:tr w:rsidR="00617090" w:rsidRPr="00F171A3" w14:paraId="26AACC0F"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00BD7BD7"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9</w:t>
            </w:r>
          </w:p>
        </w:tc>
        <w:tc>
          <w:tcPr>
            <w:tcW w:w="5984" w:type="dxa"/>
          </w:tcPr>
          <w:p w14:paraId="00448AB3" w14:textId="77777777" w:rsidR="00617090" w:rsidRPr="00F171A3" w:rsidRDefault="00617090" w:rsidP="00F31936">
            <w:pPr>
              <w:spacing w:after="160"/>
              <w:contextualSpacing/>
              <w:rPr>
                <w:rFonts w:cstheme="minorHAnsi"/>
                <w:szCs w:val="20"/>
              </w:rPr>
            </w:pPr>
            <w:r w:rsidRPr="00F171A3">
              <w:rPr>
                <w:rFonts w:cstheme="minorHAnsi"/>
                <w:szCs w:val="20"/>
              </w:rPr>
              <w:t>Centrul de Zi  "PINOCCHIO"</w:t>
            </w:r>
          </w:p>
          <w:p w14:paraId="6089B338" w14:textId="79409666"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Ripiceni nr. 6 A, </w:t>
            </w:r>
            <w:r w:rsidR="00F53B80" w:rsidRPr="00F171A3">
              <w:rPr>
                <w:rFonts w:cstheme="minorHAnsi"/>
                <w:szCs w:val="20"/>
              </w:rPr>
              <w:t>Sector 2</w:t>
            </w:r>
          </w:p>
        </w:tc>
        <w:tc>
          <w:tcPr>
            <w:tcW w:w="1607" w:type="dxa"/>
          </w:tcPr>
          <w:p w14:paraId="1DAD478B"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44</w:t>
            </w:r>
          </w:p>
        </w:tc>
        <w:tc>
          <w:tcPr>
            <w:tcW w:w="1264" w:type="dxa"/>
          </w:tcPr>
          <w:p w14:paraId="1B9E658E"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50</w:t>
            </w:r>
          </w:p>
        </w:tc>
      </w:tr>
      <w:tr w:rsidR="00617090" w:rsidRPr="00F171A3" w14:paraId="764F80FA"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01631C44"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10</w:t>
            </w:r>
          </w:p>
        </w:tc>
        <w:tc>
          <w:tcPr>
            <w:tcW w:w="5984" w:type="dxa"/>
          </w:tcPr>
          <w:p w14:paraId="524014C0" w14:textId="77777777" w:rsidR="00617090" w:rsidRPr="00F171A3" w:rsidRDefault="00617090" w:rsidP="00F31936">
            <w:pPr>
              <w:spacing w:after="160"/>
              <w:contextualSpacing/>
              <w:rPr>
                <w:rFonts w:cstheme="minorHAnsi"/>
                <w:szCs w:val="20"/>
              </w:rPr>
            </w:pPr>
            <w:r w:rsidRPr="00F171A3">
              <w:rPr>
                <w:rFonts w:cstheme="minorHAnsi"/>
                <w:szCs w:val="20"/>
              </w:rPr>
              <w:t>Centrul de zi „Ursulețul de Pluș”</w:t>
            </w:r>
          </w:p>
          <w:p w14:paraId="7F68DE7E" w14:textId="751F8FDB"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Gheorghe Șerban nr. 7 A, </w:t>
            </w:r>
            <w:r w:rsidR="00F53B80" w:rsidRPr="00F171A3">
              <w:rPr>
                <w:rFonts w:cstheme="minorHAnsi"/>
                <w:szCs w:val="20"/>
              </w:rPr>
              <w:t>Sector 2</w:t>
            </w:r>
          </w:p>
        </w:tc>
        <w:tc>
          <w:tcPr>
            <w:tcW w:w="1607" w:type="dxa"/>
          </w:tcPr>
          <w:p w14:paraId="752C7DC8"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15</w:t>
            </w:r>
          </w:p>
        </w:tc>
        <w:tc>
          <w:tcPr>
            <w:tcW w:w="1264" w:type="dxa"/>
          </w:tcPr>
          <w:p w14:paraId="46E26528"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20</w:t>
            </w:r>
          </w:p>
        </w:tc>
      </w:tr>
      <w:tr w:rsidR="00617090" w:rsidRPr="00F171A3" w14:paraId="1FBD3FF7"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6313E1AB"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11</w:t>
            </w:r>
          </w:p>
        </w:tc>
        <w:tc>
          <w:tcPr>
            <w:tcW w:w="5984" w:type="dxa"/>
          </w:tcPr>
          <w:p w14:paraId="0CC537DD" w14:textId="77777777" w:rsidR="00617090" w:rsidRPr="00F171A3" w:rsidRDefault="00617090" w:rsidP="00F31936">
            <w:pPr>
              <w:spacing w:after="160"/>
              <w:contextualSpacing/>
              <w:rPr>
                <w:rFonts w:cstheme="minorHAnsi"/>
                <w:szCs w:val="20"/>
              </w:rPr>
            </w:pPr>
            <w:r w:rsidRPr="00F171A3">
              <w:rPr>
                <w:rFonts w:cstheme="minorHAnsi"/>
                <w:szCs w:val="20"/>
              </w:rPr>
              <w:t>Centrul de Zi "Floare de Câmp"</w:t>
            </w:r>
          </w:p>
          <w:p w14:paraId="04FCCB7E" w14:textId="370A8E62"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Gheorghe Șerban nr. 7 A, </w:t>
            </w:r>
            <w:r w:rsidR="00F53B80" w:rsidRPr="00F171A3">
              <w:rPr>
                <w:rFonts w:cstheme="minorHAnsi"/>
                <w:szCs w:val="20"/>
              </w:rPr>
              <w:t>Sector 2</w:t>
            </w:r>
          </w:p>
        </w:tc>
        <w:tc>
          <w:tcPr>
            <w:tcW w:w="1607" w:type="dxa"/>
          </w:tcPr>
          <w:p w14:paraId="711748B5"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19</w:t>
            </w:r>
          </w:p>
        </w:tc>
        <w:tc>
          <w:tcPr>
            <w:tcW w:w="1264" w:type="dxa"/>
          </w:tcPr>
          <w:p w14:paraId="254D40D7"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20</w:t>
            </w:r>
          </w:p>
        </w:tc>
      </w:tr>
      <w:tr w:rsidR="00617090" w:rsidRPr="00F171A3" w14:paraId="229CFC1C"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3A4BA1A0"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12</w:t>
            </w:r>
          </w:p>
        </w:tc>
        <w:tc>
          <w:tcPr>
            <w:tcW w:w="5984" w:type="dxa"/>
          </w:tcPr>
          <w:p w14:paraId="02844820" w14:textId="77777777" w:rsidR="00617090" w:rsidRPr="00F171A3" w:rsidRDefault="00617090" w:rsidP="00F31936">
            <w:pPr>
              <w:spacing w:after="160"/>
              <w:contextualSpacing/>
              <w:rPr>
                <w:rFonts w:cstheme="minorHAnsi"/>
                <w:szCs w:val="20"/>
              </w:rPr>
            </w:pPr>
            <w:r w:rsidRPr="00F171A3">
              <w:rPr>
                <w:rFonts w:cstheme="minorHAnsi"/>
                <w:szCs w:val="20"/>
              </w:rPr>
              <w:t>Centrul de Zi pentru Copii “Sf. Maria”</w:t>
            </w:r>
          </w:p>
          <w:p w14:paraId="27CFB4AA" w14:textId="7E85A45E"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Oituz nr. 9, </w:t>
            </w:r>
            <w:r w:rsidR="00F53B80" w:rsidRPr="00F171A3">
              <w:rPr>
                <w:rFonts w:cstheme="minorHAnsi"/>
                <w:szCs w:val="20"/>
              </w:rPr>
              <w:t>Sector 2</w:t>
            </w:r>
          </w:p>
        </w:tc>
        <w:tc>
          <w:tcPr>
            <w:tcW w:w="1607" w:type="dxa"/>
          </w:tcPr>
          <w:p w14:paraId="6652AAB6"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31</w:t>
            </w:r>
          </w:p>
        </w:tc>
        <w:tc>
          <w:tcPr>
            <w:tcW w:w="1264" w:type="dxa"/>
          </w:tcPr>
          <w:p w14:paraId="0C6BE781"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40</w:t>
            </w:r>
          </w:p>
        </w:tc>
      </w:tr>
      <w:tr w:rsidR="00617090" w:rsidRPr="00F171A3" w14:paraId="1A24EE39"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7B807325"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13</w:t>
            </w:r>
          </w:p>
        </w:tc>
        <w:tc>
          <w:tcPr>
            <w:tcW w:w="5984" w:type="dxa"/>
          </w:tcPr>
          <w:p w14:paraId="09CE3C65" w14:textId="77777777" w:rsidR="00617090" w:rsidRPr="00F171A3" w:rsidRDefault="00617090" w:rsidP="00F31936">
            <w:pPr>
              <w:spacing w:after="160"/>
              <w:contextualSpacing/>
              <w:rPr>
                <w:rFonts w:cstheme="minorHAnsi"/>
                <w:szCs w:val="20"/>
              </w:rPr>
            </w:pPr>
            <w:r w:rsidRPr="00F171A3">
              <w:rPr>
                <w:rFonts w:cstheme="minorHAnsi"/>
                <w:szCs w:val="20"/>
              </w:rPr>
              <w:t>Centrul de Zi “Sfântul Pantelimon”</w:t>
            </w:r>
          </w:p>
          <w:p w14:paraId="47EF9C2C" w14:textId="537C8FCB"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Șos. Pantelimon nr. 301, </w:t>
            </w:r>
            <w:r w:rsidR="00F53B80" w:rsidRPr="00F171A3">
              <w:rPr>
                <w:rFonts w:cstheme="minorHAnsi"/>
                <w:szCs w:val="20"/>
              </w:rPr>
              <w:t>Sector 2</w:t>
            </w:r>
          </w:p>
        </w:tc>
        <w:tc>
          <w:tcPr>
            <w:tcW w:w="1607" w:type="dxa"/>
          </w:tcPr>
          <w:p w14:paraId="4E4727A3"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27</w:t>
            </w:r>
          </w:p>
        </w:tc>
        <w:tc>
          <w:tcPr>
            <w:tcW w:w="1264" w:type="dxa"/>
          </w:tcPr>
          <w:p w14:paraId="1AC88863"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30</w:t>
            </w:r>
          </w:p>
        </w:tc>
      </w:tr>
      <w:tr w:rsidR="00617090" w:rsidRPr="00F171A3" w14:paraId="0CEA8914"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15D3B349"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14</w:t>
            </w:r>
          </w:p>
        </w:tc>
        <w:tc>
          <w:tcPr>
            <w:tcW w:w="5984" w:type="dxa"/>
          </w:tcPr>
          <w:p w14:paraId="7591C24C" w14:textId="77777777" w:rsidR="00617090" w:rsidRPr="00F171A3" w:rsidRDefault="00617090" w:rsidP="00F31936">
            <w:pPr>
              <w:spacing w:after="160"/>
              <w:contextualSpacing/>
              <w:rPr>
                <w:rFonts w:cstheme="minorHAnsi"/>
                <w:szCs w:val="20"/>
              </w:rPr>
            </w:pPr>
            <w:r w:rsidRPr="00F171A3">
              <w:rPr>
                <w:rFonts w:cstheme="minorHAnsi"/>
                <w:szCs w:val="20"/>
              </w:rPr>
              <w:t>Centrul de Zi de Recuperare și Resurse pentru Copii cu</w:t>
            </w:r>
          </w:p>
          <w:p w14:paraId="73D7C216" w14:textId="77777777" w:rsidR="00617090" w:rsidRPr="00F171A3" w:rsidRDefault="00617090" w:rsidP="00F31936">
            <w:pPr>
              <w:spacing w:after="160"/>
              <w:contextualSpacing/>
              <w:rPr>
                <w:rFonts w:cstheme="minorHAnsi"/>
                <w:szCs w:val="20"/>
              </w:rPr>
            </w:pPr>
            <w:r w:rsidRPr="00F171A3">
              <w:rPr>
                <w:rFonts w:cstheme="minorHAnsi"/>
                <w:szCs w:val="20"/>
              </w:rPr>
              <w:t>Dizabilități Multiple și Familiile lor</w:t>
            </w:r>
          </w:p>
          <w:p w14:paraId="373DB629" w14:textId="19FFBE17"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Oituz nr. 9, </w:t>
            </w:r>
            <w:r w:rsidR="00F53B80" w:rsidRPr="00F171A3">
              <w:rPr>
                <w:rFonts w:cstheme="minorHAnsi"/>
                <w:szCs w:val="20"/>
              </w:rPr>
              <w:t>Sector 2</w:t>
            </w:r>
          </w:p>
        </w:tc>
        <w:tc>
          <w:tcPr>
            <w:tcW w:w="1607" w:type="dxa"/>
          </w:tcPr>
          <w:p w14:paraId="55821996"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30</w:t>
            </w:r>
          </w:p>
        </w:tc>
        <w:tc>
          <w:tcPr>
            <w:tcW w:w="1264" w:type="dxa"/>
          </w:tcPr>
          <w:p w14:paraId="7B1C6F66"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30</w:t>
            </w:r>
          </w:p>
        </w:tc>
      </w:tr>
      <w:tr w:rsidR="00617090" w:rsidRPr="00F171A3" w14:paraId="07A2060F"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1C9982D5"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15</w:t>
            </w:r>
          </w:p>
        </w:tc>
        <w:tc>
          <w:tcPr>
            <w:tcW w:w="5984" w:type="dxa"/>
          </w:tcPr>
          <w:p w14:paraId="483CF28E" w14:textId="77777777" w:rsidR="00617090" w:rsidRPr="00F171A3" w:rsidRDefault="00617090" w:rsidP="00F31936">
            <w:pPr>
              <w:spacing w:after="160"/>
              <w:contextualSpacing/>
              <w:rPr>
                <w:rFonts w:cstheme="minorHAnsi"/>
                <w:szCs w:val="20"/>
              </w:rPr>
            </w:pPr>
            <w:r w:rsidRPr="00F171A3">
              <w:rPr>
                <w:rFonts w:cstheme="minorHAnsi"/>
                <w:szCs w:val="20"/>
              </w:rPr>
              <w:t>Centrul de Consiliere Caroteni</w:t>
            </w:r>
          </w:p>
          <w:p w14:paraId="65320EDF" w14:textId="50441FEE"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Str.Țepeș  Vodă nr. 7, </w:t>
            </w:r>
            <w:r w:rsidR="00F53B80" w:rsidRPr="00F171A3">
              <w:rPr>
                <w:rFonts w:cstheme="minorHAnsi"/>
                <w:szCs w:val="20"/>
              </w:rPr>
              <w:t>Sector 2</w:t>
            </w:r>
          </w:p>
        </w:tc>
        <w:tc>
          <w:tcPr>
            <w:tcW w:w="1607" w:type="dxa"/>
          </w:tcPr>
          <w:p w14:paraId="4C716052"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42</w:t>
            </w:r>
          </w:p>
        </w:tc>
        <w:tc>
          <w:tcPr>
            <w:tcW w:w="1264" w:type="dxa"/>
          </w:tcPr>
          <w:p w14:paraId="3489056D" w14:textId="77777777" w:rsidR="00617090" w:rsidRPr="00F171A3" w:rsidRDefault="00617090" w:rsidP="00F31936">
            <w:pPr>
              <w:spacing w:after="160"/>
              <w:contextualSpacing/>
              <w:jc w:val="center"/>
              <w:rPr>
                <w:rFonts w:cstheme="minorHAnsi"/>
                <w:szCs w:val="20"/>
                <w:highlight w:val="cyan"/>
              </w:rPr>
            </w:pPr>
            <w:r w:rsidRPr="00F171A3">
              <w:rPr>
                <w:rFonts w:cstheme="minorHAnsi"/>
                <w:szCs w:val="20"/>
              </w:rPr>
              <w:t>-</w:t>
            </w:r>
          </w:p>
        </w:tc>
      </w:tr>
      <w:tr w:rsidR="00617090" w:rsidRPr="00F171A3" w14:paraId="14445EC5"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6DCF30A8"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16</w:t>
            </w:r>
          </w:p>
        </w:tc>
        <w:tc>
          <w:tcPr>
            <w:tcW w:w="5984" w:type="dxa"/>
          </w:tcPr>
          <w:p w14:paraId="408A9A9D" w14:textId="77777777" w:rsidR="00617090" w:rsidRPr="00F171A3" w:rsidRDefault="00617090" w:rsidP="00F31936">
            <w:pPr>
              <w:spacing w:after="160"/>
              <w:contextualSpacing/>
              <w:rPr>
                <w:rFonts w:cstheme="minorHAnsi"/>
                <w:szCs w:val="20"/>
              </w:rPr>
            </w:pPr>
            <w:r w:rsidRPr="00F171A3">
              <w:rPr>
                <w:rFonts w:cstheme="minorHAnsi"/>
                <w:szCs w:val="20"/>
              </w:rPr>
              <w:t>Centrul « Floare de Colț »</w:t>
            </w:r>
          </w:p>
          <w:p w14:paraId="205A3CFF" w14:textId="21E62FAF"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Gheorghe Șerban nr. 7A, </w:t>
            </w:r>
            <w:r w:rsidR="00F53B80" w:rsidRPr="00F171A3">
              <w:rPr>
                <w:rFonts w:cstheme="minorHAnsi"/>
                <w:szCs w:val="20"/>
              </w:rPr>
              <w:t>Sector 2</w:t>
            </w:r>
          </w:p>
        </w:tc>
        <w:tc>
          <w:tcPr>
            <w:tcW w:w="1607" w:type="dxa"/>
          </w:tcPr>
          <w:p w14:paraId="40E2D2CF"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39</w:t>
            </w:r>
          </w:p>
        </w:tc>
        <w:tc>
          <w:tcPr>
            <w:tcW w:w="1264" w:type="dxa"/>
          </w:tcPr>
          <w:p w14:paraId="58BE36AD" w14:textId="77777777" w:rsidR="00617090" w:rsidRPr="00F171A3" w:rsidRDefault="00617090" w:rsidP="00F31936">
            <w:pPr>
              <w:spacing w:after="160"/>
              <w:contextualSpacing/>
              <w:jc w:val="center"/>
              <w:rPr>
                <w:rFonts w:cstheme="minorHAnsi"/>
                <w:szCs w:val="20"/>
                <w:highlight w:val="cyan"/>
              </w:rPr>
            </w:pPr>
            <w:r w:rsidRPr="00F171A3">
              <w:rPr>
                <w:rFonts w:cstheme="minorHAnsi"/>
                <w:szCs w:val="20"/>
              </w:rPr>
              <w:t>-</w:t>
            </w:r>
          </w:p>
        </w:tc>
      </w:tr>
      <w:tr w:rsidR="00617090" w:rsidRPr="00F171A3" w14:paraId="4C58913B"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1DF46FD4"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17</w:t>
            </w:r>
          </w:p>
        </w:tc>
        <w:tc>
          <w:tcPr>
            <w:tcW w:w="5984" w:type="dxa"/>
          </w:tcPr>
          <w:p w14:paraId="4572DDB3" w14:textId="77777777" w:rsidR="00617090" w:rsidRPr="00F171A3" w:rsidRDefault="00617090" w:rsidP="00F31936">
            <w:pPr>
              <w:spacing w:after="160"/>
              <w:contextualSpacing/>
              <w:rPr>
                <w:rFonts w:cstheme="minorHAnsi"/>
                <w:szCs w:val="20"/>
              </w:rPr>
            </w:pPr>
            <w:r w:rsidRPr="00F171A3">
              <w:rPr>
                <w:rFonts w:cstheme="minorHAnsi"/>
                <w:szCs w:val="20"/>
              </w:rPr>
              <w:t xml:space="preserve">Centrul de Zi  pentru Persoane Vârstnice “Basarabia”  </w:t>
            </w:r>
          </w:p>
          <w:p w14:paraId="62AFF304" w14:textId="5FAC1A6F"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B-dul Basarabia nr.96, </w:t>
            </w:r>
            <w:r w:rsidR="00F53B80" w:rsidRPr="00F171A3">
              <w:rPr>
                <w:rFonts w:cstheme="minorHAnsi"/>
                <w:szCs w:val="20"/>
              </w:rPr>
              <w:t>Sector 2</w:t>
            </w:r>
            <w:r w:rsidRPr="00F171A3">
              <w:rPr>
                <w:rFonts w:cstheme="minorHAnsi"/>
                <w:szCs w:val="20"/>
              </w:rPr>
              <w:t xml:space="preserve"> </w:t>
            </w:r>
          </w:p>
        </w:tc>
        <w:tc>
          <w:tcPr>
            <w:tcW w:w="1607" w:type="dxa"/>
          </w:tcPr>
          <w:p w14:paraId="130ADC3D"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51</w:t>
            </w:r>
          </w:p>
        </w:tc>
        <w:tc>
          <w:tcPr>
            <w:tcW w:w="1264" w:type="dxa"/>
          </w:tcPr>
          <w:p w14:paraId="22AFC656"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60</w:t>
            </w:r>
          </w:p>
        </w:tc>
      </w:tr>
      <w:tr w:rsidR="00617090" w:rsidRPr="00F171A3" w14:paraId="6A6ED802"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7CC862EA"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18</w:t>
            </w:r>
          </w:p>
        </w:tc>
        <w:tc>
          <w:tcPr>
            <w:tcW w:w="5984" w:type="dxa"/>
          </w:tcPr>
          <w:p w14:paraId="2E87AD16" w14:textId="77777777" w:rsidR="00617090" w:rsidRPr="00F171A3" w:rsidRDefault="00617090" w:rsidP="00F31936">
            <w:pPr>
              <w:spacing w:after="160"/>
              <w:contextualSpacing/>
              <w:rPr>
                <w:rFonts w:cstheme="minorHAnsi"/>
                <w:szCs w:val="20"/>
              </w:rPr>
            </w:pPr>
            <w:r w:rsidRPr="00F171A3">
              <w:rPr>
                <w:rFonts w:cstheme="minorHAnsi"/>
                <w:szCs w:val="20"/>
              </w:rPr>
              <w:t>Centrul de zi Pentru Persoane Vârstnice “Plumbuita”</w:t>
            </w:r>
          </w:p>
          <w:p w14:paraId="2607E50F" w14:textId="6CA28377"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Șos. Colentina, nr. 55 F, </w:t>
            </w:r>
            <w:r w:rsidR="00F53B80" w:rsidRPr="00F171A3">
              <w:rPr>
                <w:rFonts w:cstheme="minorHAnsi"/>
                <w:szCs w:val="20"/>
              </w:rPr>
              <w:t>Sector 2</w:t>
            </w:r>
          </w:p>
        </w:tc>
        <w:tc>
          <w:tcPr>
            <w:tcW w:w="1607" w:type="dxa"/>
          </w:tcPr>
          <w:p w14:paraId="17EB2F8B"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143</w:t>
            </w:r>
          </w:p>
        </w:tc>
        <w:tc>
          <w:tcPr>
            <w:tcW w:w="1264" w:type="dxa"/>
          </w:tcPr>
          <w:p w14:paraId="348B98BA"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150</w:t>
            </w:r>
          </w:p>
        </w:tc>
      </w:tr>
      <w:tr w:rsidR="00617090" w:rsidRPr="00F171A3" w14:paraId="3E26E108"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3961A6A9"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19</w:t>
            </w:r>
          </w:p>
        </w:tc>
        <w:tc>
          <w:tcPr>
            <w:tcW w:w="5984" w:type="dxa"/>
          </w:tcPr>
          <w:p w14:paraId="72436461" w14:textId="77777777" w:rsidR="00617090" w:rsidRPr="00F171A3" w:rsidRDefault="00617090" w:rsidP="00F31936">
            <w:pPr>
              <w:spacing w:after="160"/>
              <w:contextualSpacing/>
              <w:rPr>
                <w:rFonts w:cstheme="minorHAnsi"/>
                <w:szCs w:val="20"/>
              </w:rPr>
            </w:pPr>
            <w:r w:rsidRPr="00F171A3">
              <w:rPr>
                <w:rFonts w:cstheme="minorHAnsi"/>
                <w:szCs w:val="20"/>
              </w:rPr>
              <w:t xml:space="preserve">Centrul de Servicii “Ion Creangǎ” </w:t>
            </w:r>
          </w:p>
          <w:p w14:paraId="1E6EC5EA" w14:textId="09BDACD7"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Valer Dumitrescu nr. 33, </w:t>
            </w:r>
            <w:r w:rsidR="00F53B80" w:rsidRPr="00F171A3">
              <w:rPr>
                <w:rFonts w:cstheme="minorHAnsi"/>
                <w:szCs w:val="20"/>
              </w:rPr>
              <w:t>Sector 2</w:t>
            </w:r>
            <w:r w:rsidRPr="00F171A3">
              <w:rPr>
                <w:rFonts w:cstheme="minorHAnsi"/>
                <w:szCs w:val="20"/>
              </w:rPr>
              <w:t xml:space="preserve"> </w:t>
            </w:r>
          </w:p>
        </w:tc>
        <w:tc>
          <w:tcPr>
            <w:tcW w:w="1607" w:type="dxa"/>
          </w:tcPr>
          <w:p w14:paraId="1AAB7269"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15</w:t>
            </w:r>
          </w:p>
        </w:tc>
        <w:tc>
          <w:tcPr>
            <w:tcW w:w="1264" w:type="dxa"/>
          </w:tcPr>
          <w:p w14:paraId="3E50D5CD"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100</w:t>
            </w:r>
          </w:p>
        </w:tc>
      </w:tr>
      <w:tr w:rsidR="00617090" w:rsidRPr="00F171A3" w14:paraId="3F66F593"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7493B549"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20</w:t>
            </w:r>
          </w:p>
        </w:tc>
        <w:tc>
          <w:tcPr>
            <w:tcW w:w="5984" w:type="dxa"/>
          </w:tcPr>
          <w:p w14:paraId="619EB95D" w14:textId="77777777" w:rsidR="00617090" w:rsidRPr="00F171A3" w:rsidRDefault="00617090" w:rsidP="00F31936">
            <w:pPr>
              <w:spacing w:after="160"/>
              <w:contextualSpacing/>
              <w:rPr>
                <w:rFonts w:cstheme="minorHAnsi"/>
                <w:szCs w:val="20"/>
              </w:rPr>
            </w:pPr>
            <w:r w:rsidRPr="00F171A3">
              <w:rPr>
                <w:rFonts w:cstheme="minorHAnsi"/>
                <w:szCs w:val="20"/>
              </w:rPr>
              <w:t>Complexul de Servicii pentru Persoane Adulte cu Handicap Neuropsihic - Centrul de Zi Balotului</w:t>
            </w:r>
          </w:p>
          <w:p w14:paraId="213A0AC4" w14:textId="26EB348E"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Balotului nr. 42, </w:t>
            </w:r>
            <w:r w:rsidR="00F53B80" w:rsidRPr="00F171A3">
              <w:rPr>
                <w:rFonts w:cstheme="minorHAnsi"/>
                <w:szCs w:val="20"/>
              </w:rPr>
              <w:t>Sector 2</w:t>
            </w:r>
            <w:r w:rsidRPr="00F171A3">
              <w:rPr>
                <w:rFonts w:cstheme="minorHAnsi"/>
                <w:szCs w:val="20"/>
              </w:rPr>
              <w:t xml:space="preserve"> </w:t>
            </w:r>
          </w:p>
        </w:tc>
        <w:tc>
          <w:tcPr>
            <w:tcW w:w="1607" w:type="dxa"/>
          </w:tcPr>
          <w:p w14:paraId="4ABBBCD9"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6</w:t>
            </w:r>
          </w:p>
        </w:tc>
        <w:tc>
          <w:tcPr>
            <w:tcW w:w="1264" w:type="dxa"/>
          </w:tcPr>
          <w:p w14:paraId="1F489ACA"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15</w:t>
            </w:r>
          </w:p>
        </w:tc>
      </w:tr>
      <w:tr w:rsidR="00617090" w:rsidRPr="00F171A3" w14:paraId="10960DD2"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6BE7D919"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21</w:t>
            </w:r>
          </w:p>
        </w:tc>
        <w:tc>
          <w:tcPr>
            <w:tcW w:w="5984" w:type="dxa"/>
          </w:tcPr>
          <w:p w14:paraId="388085F9" w14:textId="77777777" w:rsidR="00617090" w:rsidRPr="00F171A3" w:rsidRDefault="00617090" w:rsidP="00F31936">
            <w:pPr>
              <w:spacing w:after="160"/>
              <w:contextualSpacing/>
              <w:rPr>
                <w:rFonts w:cstheme="minorHAnsi"/>
                <w:szCs w:val="20"/>
              </w:rPr>
            </w:pPr>
            <w:r w:rsidRPr="00F171A3">
              <w:rPr>
                <w:rFonts w:cstheme="minorHAnsi"/>
                <w:szCs w:val="20"/>
              </w:rPr>
              <w:t xml:space="preserve">Adăpostul de Noapte pentru Persoane Adulte </w:t>
            </w:r>
          </w:p>
          <w:p w14:paraId="35A07EE5" w14:textId="025193A2"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Șos. Pantelimon nr. 500, </w:t>
            </w:r>
            <w:r w:rsidR="00F53B80" w:rsidRPr="00F171A3">
              <w:rPr>
                <w:rFonts w:cstheme="minorHAnsi"/>
                <w:szCs w:val="20"/>
              </w:rPr>
              <w:t>Sector 2</w:t>
            </w:r>
          </w:p>
        </w:tc>
        <w:tc>
          <w:tcPr>
            <w:tcW w:w="1607" w:type="dxa"/>
          </w:tcPr>
          <w:p w14:paraId="6930DE12"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60</w:t>
            </w:r>
          </w:p>
        </w:tc>
        <w:tc>
          <w:tcPr>
            <w:tcW w:w="1264" w:type="dxa"/>
          </w:tcPr>
          <w:p w14:paraId="12C4524D"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48</w:t>
            </w:r>
          </w:p>
        </w:tc>
      </w:tr>
      <w:tr w:rsidR="00617090" w:rsidRPr="00F171A3" w14:paraId="1129FF9C"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679CED74"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22</w:t>
            </w:r>
          </w:p>
        </w:tc>
        <w:tc>
          <w:tcPr>
            <w:tcW w:w="5984" w:type="dxa"/>
          </w:tcPr>
          <w:p w14:paraId="0A4E75E0" w14:textId="77777777" w:rsidR="00617090" w:rsidRPr="00F171A3" w:rsidRDefault="00617090" w:rsidP="00F31936">
            <w:pPr>
              <w:spacing w:after="160"/>
              <w:contextualSpacing/>
              <w:rPr>
                <w:rFonts w:cstheme="minorHAnsi"/>
                <w:szCs w:val="20"/>
              </w:rPr>
            </w:pPr>
            <w:r w:rsidRPr="00F171A3">
              <w:rPr>
                <w:rFonts w:cstheme="minorHAnsi"/>
                <w:szCs w:val="20"/>
              </w:rPr>
              <w:t xml:space="preserve">Centrul de servicii de recuperare neuromotorie de tip ambulatoriu   </w:t>
            </w:r>
          </w:p>
          <w:p w14:paraId="7F0CDA14" w14:textId="2EE9B1AA"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Șos. Pantelimon nr.301, </w:t>
            </w:r>
            <w:r w:rsidR="00F53B80" w:rsidRPr="00F171A3">
              <w:rPr>
                <w:rFonts w:cstheme="minorHAnsi"/>
                <w:szCs w:val="20"/>
              </w:rPr>
              <w:t>Sector 2</w:t>
            </w:r>
          </w:p>
        </w:tc>
        <w:tc>
          <w:tcPr>
            <w:tcW w:w="1607" w:type="dxa"/>
          </w:tcPr>
          <w:p w14:paraId="2B172AF3"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14</w:t>
            </w:r>
          </w:p>
        </w:tc>
        <w:tc>
          <w:tcPr>
            <w:tcW w:w="1264" w:type="dxa"/>
          </w:tcPr>
          <w:p w14:paraId="32D78585"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20</w:t>
            </w:r>
          </w:p>
        </w:tc>
      </w:tr>
      <w:tr w:rsidR="00617090" w:rsidRPr="00F171A3" w14:paraId="0C84087C"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133FB14E"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23</w:t>
            </w:r>
          </w:p>
        </w:tc>
        <w:tc>
          <w:tcPr>
            <w:tcW w:w="5984" w:type="dxa"/>
          </w:tcPr>
          <w:p w14:paraId="0D81C891" w14:textId="77777777" w:rsidR="00617090" w:rsidRPr="00F171A3" w:rsidRDefault="00617090" w:rsidP="00F31936">
            <w:pPr>
              <w:spacing w:after="160"/>
              <w:contextualSpacing/>
              <w:rPr>
                <w:rFonts w:cstheme="minorHAnsi"/>
                <w:szCs w:val="20"/>
              </w:rPr>
            </w:pPr>
            <w:r w:rsidRPr="00F171A3">
              <w:rPr>
                <w:rFonts w:cstheme="minorHAnsi"/>
                <w:szCs w:val="20"/>
              </w:rPr>
              <w:t>Centrul de Îngrijire și Asistență Nr. 2</w:t>
            </w:r>
          </w:p>
          <w:p w14:paraId="46F8243D" w14:textId="10E78929"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Mihai Eminescu nr. 87, </w:t>
            </w:r>
            <w:r w:rsidR="00F53B80" w:rsidRPr="00F171A3">
              <w:rPr>
                <w:rFonts w:cstheme="minorHAnsi"/>
                <w:szCs w:val="20"/>
              </w:rPr>
              <w:t>Sector 2</w:t>
            </w:r>
          </w:p>
        </w:tc>
        <w:tc>
          <w:tcPr>
            <w:tcW w:w="1607" w:type="dxa"/>
          </w:tcPr>
          <w:p w14:paraId="38930F87"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40</w:t>
            </w:r>
          </w:p>
        </w:tc>
        <w:tc>
          <w:tcPr>
            <w:tcW w:w="1264" w:type="dxa"/>
          </w:tcPr>
          <w:p w14:paraId="7CC77FF0"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45</w:t>
            </w:r>
          </w:p>
        </w:tc>
      </w:tr>
      <w:tr w:rsidR="00617090" w:rsidRPr="00F171A3" w14:paraId="37BF7719"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40463EE9"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24</w:t>
            </w:r>
          </w:p>
        </w:tc>
        <w:tc>
          <w:tcPr>
            <w:tcW w:w="5984" w:type="dxa"/>
          </w:tcPr>
          <w:p w14:paraId="61E83D85" w14:textId="77777777" w:rsidR="00617090" w:rsidRPr="00F171A3" w:rsidRDefault="00617090" w:rsidP="00F31936">
            <w:pPr>
              <w:spacing w:after="160"/>
              <w:contextualSpacing/>
              <w:rPr>
                <w:rFonts w:cstheme="minorHAnsi"/>
                <w:szCs w:val="20"/>
              </w:rPr>
            </w:pPr>
            <w:r w:rsidRPr="00F171A3">
              <w:rPr>
                <w:rFonts w:cstheme="minorHAnsi"/>
                <w:szCs w:val="20"/>
              </w:rPr>
              <w:t>Centrul de Recuperare și Reabilitare Neuropsihiatrică Nr. 1</w:t>
            </w:r>
          </w:p>
          <w:p w14:paraId="258CFF18" w14:textId="28C264E5"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Balotului nr. 42, </w:t>
            </w:r>
            <w:r w:rsidR="00F53B80" w:rsidRPr="00F171A3">
              <w:rPr>
                <w:rFonts w:cstheme="minorHAnsi"/>
                <w:szCs w:val="20"/>
              </w:rPr>
              <w:t>Sector 2</w:t>
            </w:r>
            <w:r w:rsidRPr="00F171A3">
              <w:rPr>
                <w:rFonts w:cstheme="minorHAnsi"/>
                <w:szCs w:val="20"/>
              </w:rPr>
              <w:t xml:space="preserve"> </w:t>
            </w:r>
          </w:p>
        </w:tc>
        <w:tc>
          <w:tcPr>
            <w:tcW w:w="1607" w:type="dxa"/>
          </w:tcPr>
          <w:p w14:paraId="2D230526"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72</w:t>
            </w:r>
          </w:p>
        </w:tc>
        <w:tc>
          <w:tcPr>
            <w:tcW w:w="1264" w:type="dxa"/>
          </w:tcPr>
          <w:p w14:paraId="33895CF2"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90</w:t>
            </w:r>
          </w:p>
        </w:tc>
      </w:tr>
      <w:tr w:rsidR="00617090" w:rsidRPr="00F171A3" w14:paraId="63902573" w14:textId="77777777" w:rsidTr="00F31936">
        <w:trPr>
          <w:cnfStyle w:val="000000100000" w:firstRow="0" w:lastRow="0" w:firstColumn="0" w:lastColumn="0" w:oddVBand="0" w:evenVBand="0" w:oddHBand="1" w:evenHBand="0" w:firstRowFirstColumn="0" w:firstRowLastColumn="0" w:lastRowFirstColumn="0" w:lastRowLastColumn="0"/>
        </w:trPr>
        <w:tc>
          <w:tcPr>
            <w:tcW w:w="581" w:type="dxa"/>
          </w:tcPr>
          <w:p w14:paraId="4748C2FD"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25</w:t>
            </w:r>
          </w:p>
        </w:tc>
        <w:tc>
          <w:tcPr>
            <w:tcW w:w="5984" w:type="dxa"/>
          </w:tcPr>
          <w:p w14:paraId="4D6D33A2" w14:textId="77777777" w:rsidR="00617090" w:rsidRPr="00F171A3" w:rsidRDefault="00617090" w:rsidP="00F31936">
            <w:pPr>
              <w:spacing w:after="160"/>
              <w:contextualSpacing/>
              <w:rPr>
                <w:rFonts w:cstheme="minorHAnsi"/>
                <w:szCs w:val="20"/>
              </w:rPr>
            </w:pPr>
            <w:r w:rsidRPr="00F171A3">
              <w:rPr>
                <w:rFonts w:cstheme="minorHAnsi"/>
                <w:szCs w:val="20"/>
              </w:rPr>
              <w:t>Centrul de Recuperare și Reabilitare Neuropsihiatrică Nr. 2</w:t>
            </w:r>
          </w:p>
          <w:p w14:paraId="7162B1E1" w14:textId="186F50F7"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Gheorghe Șerban nr. 7, </w:t>
            </w:r>
            <w:r w:rsidR="00F53B80" w:rsidRPr="00F171A3">
              <w:rPr>
                <w:rFonts w:cstheme="minorHAnsi"/>
                <w:szCs w:val="20"/>
              </w:rPr>
              <w:t>Sector 2</w:t>
            </w:r>
          </w:p>
        </w:tc>
        <w:tc>
          <w:tcPr>
            <w:tcW w:w="1607" w:type="dxa"/>
          </w:tcPr>
          <w:p w14:paraId="724EF162"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50</w:t>
            </w:r>
          </w:p>
        </w:tc>
        <w:tc>
          <w:tcPr>
            <w:tcW w:w="1264" w:type="dxa"/>
          </w:tcPr>
          <w:p w14:paraId="598F2520"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50</w:t>
            </w:r>
          </w:p>
        </w:tc>
      </w:tr>
      <w:tr w:rsidR="00617090" w:rsidRPr="00F171A3" w14:paraId="1F2F08C3" w14:textId="77777777" w:rsidTr="00F31936">
        <w:trPr>
          <w:cnfStyle w:val="000000010000" w:firstRow="0" w:lastRow="0" w:firstColumn="0" w:lastColumn="0" w:oddVBand="0" w:evenVBand="0" w:oddHBand="0" w:evenHBand="1" w:firstRowFirstColumn="0" w:firstRowLastColumn="0" w:lastRowFirstColumn="0" w:lastRowLastColumn="0"/>
        </w:trPr>
        <w:tc>
          <w:tcPr>
            <w:tcW w:w="581" w:type="dxa"/>
          </w:tcPr>
          <w:p w14:paraId="2BF98B0A" w14:textId="77777777" w:rsidR="00617090" w:rsidRPr="00F171A3" w:rsidRDefault="00617090" w:rsidP="00F31936">
            <w:pPr>
              <w:spacing w:after="160"/>
              <w:contextualSpacing/>
              <w:rPr>
                <w:rFonts w:cstheme="minorHAnsi"/>
                <w:b/>
                <w:bCs/>
                <w:szCs w:val="20"/>
                <w:highlight w:val="cyan"/>
              </w:rPr>
            </w:pPr>
            <w:r w:rsidRPr="00F171A3">
              <w:rPr>
                <w:rFonts w:cstheme="minorHAnsi"/>
                <w:color w:val="000000"/>
                <w:szCs w:val="20"/>
              </w:rPr>
              <w:t>26</w:t>
            </w:r>
          </w:p>
        </w:tc>
        <w:tc>
          <w:tcPr>
            <w:tcW w:w="5984" w:type="dxa"/>
          </w:tcPr>
          <w:p w14:paraId="1F57C571" w14:textId="77777777" w:rsidR="00617090" w:rsidRPr="00F171A3" w:rsidRDefault="00617090" w:rsidP="00F31936">
            <w:pPr>
              <w:spacing w:after="160"/>
              <w:contextualSpacing/>
              <w:rPr>
                <w:rFonts w:cstheme="minorHAnsi"/>
                <w:szCs w:val="20"/>
              </w:rPr>
            </w:pPr>
            <w:r w:rsidRPr="00F171A3">
              <w:rPr>
                <w:rFonts w:cstheme="minorHAnsi"/>
                <w:szCs w:val="20"/>
              </w:rPr>
              <w:t>Centrul Rezidențial pentru Persoane Vârstnice Speranța</w:t>
            </w:r>
          </w:p>
          <w:p w14:paraId="053E4C7B" w14:textId="77777777" w:rsidR="00617090" w:rsidRPr="00F171A3" w:rsidRDefault="00617090" w:rsidP="00F31936">
            <w:pPr>
              <w:spacing w:after="160"/>
              <w:contextualSpacing/>
              <w:rPr>
                <w:rFonts w:cstheme="minorHAnsi"/>
                <w:b/>
                <w:bCs/>
                <w:szCs w:val="20"/>
                <w:highlight w:val="cyan"/>
              </w:rPr>
            </w:pPr>
            <w:r w:rsidRPr="00F171A3">
              <w:rPr>
                <w:rFonts w:cstheme="minorHAnsi"/>
                <w:szCs w:val="20"/>
              </w:rPr>
              <w:t xml:space="preserve">Str. Sf. Ecaterina nr. 7, sector 4 </w:t>
            </w:r>
          </w:p>
        </w:tc>
        <w:tc>
          <w:tcPr>
            <w:tcW w:w="1607" w:type="dxa"/>
          </w:tcPr>
          <w:p w14:paraId="4208C8A6"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42</w:t>
            </w:r>
          </w:p>
        </w:tc>
        <w:tc>
          <w:tcPr>
            <w:tcW w:w="1264" w:type="dxa"/>
          </w:tcPr>
          <w:p w14:paraId="66066A75" w14:textId="77777777" w:rsidR="00617090" w:rsidRPr="00F171A3" w:rsidRDefault="00617090" w:rsidP="00F31936">
            <w:pPr>
              <w:spacing w:after="160"/>
              <w:contextualSpacing/>
              <w:jc w:val="center"/>
              <w:rPr>
                <w:rFonts w:cstheme="minorHAnsi"/>
                <w:b/>
                <w:bCs/>
                <w:szCs w:val="20"/>
                <w:highlight w:val="cyan"/>
              </w:rPr>
            </w:pPr>
            <w:r w:rsidRPr="00F171A3">
              <w:rPr>
                <w:rFonts w:cstheme="minorHAnsi"/>
                <w:szCs w:val="20"/>
              </w:rPr>
              <w:t>42</w:t>
            </w:r>
          </w:p>
        </w:tc>
      </w:tr>
    </w:tbl>
    <w:p w14:paraId="6A6FD6C9" w14:textId="77777777" w:rsidR="00617090" w:rsidRPr="00F171A3" w:rsidRDefault="00617090" w:rsidP="00FF6C80">
      <w:pPr>
        <w:jc w:val="right"/>
        <w:rPr>
          <w:color w:val="BFBFBF" w:themeColor="background1" w:themeShade="BF"/>
        </w:rPr>
      </w:pPr>
      <w:r w:rsidRPr="00F171A3">
        <w:rPr>
          <w:color w:val="BFBFBF" w:themeColor="background1" w:themeShade="BF"/>
        </w:rPr>
        <w:t xml:space="preserve">Sursa: DGASPC Sector 2 </w:t>
      </w:r>
    </w:p>
    <w:p w14:paraId="5F8FD4D4" w14:textId="77777777" w:rsidR="00617090" w:rsidRPr="00F171A3" w:rsidRDefault="00617090" w:rsidP="00617090">
      <w:r w:rsidRPr="00F171A3">
        <w:t xml:space="preserve">Din datele disponibile reiese că o parte semnificativă din infrastructura de servicii sociale din Sectorul 2 este suprasolicitată, fapt ce o expune uzurii. De asemenea, pe lângă presiunea exercitată asupra infrastructurii, suprasolicitarea instituțiilor de servicii sociale creează o presiune asupra personalului din instituțiile respective, deseori acestea din urmă întâmpinând probleme de personal. În cazul direcției Protecția Copilului din cadrul DGASPC, se observă o presiune mare asupra centrelor de zi, a adăpostului (unic) și a centrelor de primire sau maternale. </w:t>
      </w:r>
    </w:p>
    <w:p w14:paraId="2BE4B3DD" w14:textId="77777777" w:rsidR="00617090" w:rsidRPr="00F171A3" w:rsidRDefault="00617090" w:rsidP="00617090">
      <w:r w:rsidRPr="00F171A3">
        <w:rPr>
          <w:rStyle w:val="NormalChar"/>
          <w:rFonts w:eastAsia="SimSun"/>
        </w:rPr>
        <w:t>O altă problemă</w:t>
      </w:r>
      <w:r w:rsidRPr="00F171A3">
        <w:t xml:space="preserve"> întâlnită în cazul infrastructurii reprezintă slaba izolare termică a clădirilor. Astfel, conform datelor DGASPC Sector 2, majoritatea clădirilor care găzduiesc servicii sociale necesită lucrări de reabilitare termică, o bună parte fiind deja planificate spre realizare în perioada de programare 2021-2027. Este importantă realizarea acestor </w:t>
      </w:r>
      <w:r w:rsidRPr="00F171A3">
        <w:rPr>
          <w:rStyle w:val="NormalChar"/>
          <w:rFonts w:eastAsia="SimSun"/>
        </w:rPr>
        <w:t>proiecte deoarece acestea ar reduce cheltuielile de încălzire din perioada de iarnă și ar permite redirecționarea acestor sume către</w:t>
      </w:r>
      <w:r w:rsidRPr="00F171A3">
        <w:t xml:space="preserve"> îmbunătățirea calității serviciilor sociale. De asemenea, în sezonul rece, în unele clădiri confortul scade, ceea ce afectează negativ beneficiarii de servicii sociale. </w:t>
      </w:r>
    </w:p>
    <w:p w14:paraId="7FD4FFDF" w14:textId="77777777" w:rsidR="00617090" w:rsidRPr="00F171A3" w:rsidRDefault="00617090" w:rsidP="00617090">
      <w:pPr>
        <w:pStyle w:val="Normal0"/>
      </w:pPr>
      <w:r w:rsidRPr="00F171A3">
        <w:t>Pe lângă serviciile sociale prestate în centrele mai sus enumerate, în cadrul DGASPC Sector 2 există servicii de ambulanță socială. Principalele atribuții și tipuri de servicii prestate în cadrul serviciului de ambulanță socială sunt asigurarea permanentă a dispeceratului și asigurarea intervenției imediate, în cazul în care, din motive sociale viața solicitanților este amenințată, și anume</w:t>
      </w:r>
      <w:r w:rsidRPr="00F171A3">
        <w:rPr>
          <w:rStyle w:val="FootnoteReference"/>
        </w:rPr>
        <w:footnoteReference w:id="12"/>
      </w:r>
      <w:r w:rsidRPr="00F171A3">
        <w:t>:</w:t>
      </w:r>
    </w:p>
    <w:p w14:paraId="2968FF01" w14:textId="00B17C8A" w:rsidR="00617090" w:rsidRPr="00F171A3" w:rsidRDefault="00D44B8A" w:rsidP="00D44B8A">
      <w:pPr>
        <w:pStyle w:val="Bullet"/>
      </w:pPr>
      <w:r w:rsidRPr="00F171A3">
        <w:t>I</w:t>
      </w:r>
      <w:r w:rsidR="00617090" w:rsidRPr="00F171A3">
        <w:t>dentifică şi evaluează situația persoanelor fără adăpost;</w:t>
      </w:r>
    </w:p>
    <w:p w14:paraId="3C0B9FE8" w14:textId="7F82EE85" w:rsidR="00617090" w:rsidRPr="00F171A3" w:rsidRDefault="00D44B8A" w:rsidP="00D44B8A">
      <w:pPr>
        <w:pStyle w:val="Bullet"/>
      </w:pPr>
      <w:r w:rsidRPr="00F171A3">
        <w:t>E</w:t>
      </w:r>
      <w:r w:rsidR="00617090" w:rsidRPr="00F171A3">
        <w:t>valuează și propune măsuri în cazul persoanelor singure dependente;</w:t>
      </w:r>
    </w:p>
    <w:p w14:paraId="25025941" w14:textId="301844C2" w:rsidR="00617090" w:rsidRPr="00F171A3" w:rsidRDefault="00D44B8A" w:rsidP="00D44B8A">
      <w:pPr>
        <w:pStyle w:val="Bullet"/>
      </w:pPr>
      <w:r w:rsidRPr="00F171A3">
        <w:t>E</w:t>
      </w:r>
      <w:r w:rsidR="00617090" w:rsidRPr="00F171A3">
        <w:t>valuează și propune măsuri în cazul persoanelor cu tulburări psihice care sunt în situații de risc;</w:t>
      </w:r>
    </w:p>
    <w:p w14:paraId="6626E183" w14:textId="18139DD7" w:rsidR="00617090" w:rsidRPr="00F171A3" w:rsidRDefault="00D44B8A" w:rsidP="00D44B8A">
      <w:pPr>
        <w:pStyle w:val="Bullet"/>
      </w:pPr>
      <w:r w:rsidRPr="00F171A3">
        <w:t>I</w:t>
      </w:r>
      <w:r w:rsidR="00617090" w:rsidRPr="00F171A3">
        <w:t>ntervenții de urgență în cazul persoanelor cu diferite adicții sau victime ale violenței domestice;</w:t>
      </w:r>
    </w:p>
    <w:p w14:paraId="7CA642B1" w14:textId="26268C46" w:rsidR="00617090" w:rsidRPr="00F171A3" w:rsidRDefault="00D44B8A" w:rsidP="00D44B8A">
      <w:pPr>
        <w:pStyle w:val="Bullet"/>
      </w:pPr>
      <w:r w:rsidRPr="00F171A3">
        <w:t>A</w:t>
      </w:r>
      <w:r w:rsidR="00617090" w:rsidRPr="00F171A3">
        <w:t>sigură transportul persoanelor fără adăpost care nu necesită servicii medicale la centre rezidențiale, sau alte instituții/ servicii de asistență socială;</w:t>
      </w:r>
    </w:p>
    <w:p w14:paraId="115973EB" w14:textId="59BD231E" w:rsidR="00617090" w:rsidRPr="00F171A3" w:rsidRDefault="00D44B8A" w:rsidP="00D44B8A">
      <w:pPr>
        <w:pStyle w:val="Bullet"/>
      </w:pPr>
      <w:r w:rsidRPr="00F171A3">
        <w:t>A</w:t>
      </w:r>
      <w:r w:rsidR="00617090" w:rsidRPr="00F171A3">
        <w:t>cordă măsuri de sprijin (distribuirea de pachete de hrană, băuturi nealcoolice calde, pături, haine, încălțăminte, acordarea de tratament medical de urgenţă, ș.a.)</w:t>
      </w:r>
      <w:r w:rsidRPr="00F171A3">
        <w:t>;</w:t>
      </w:r>
    </w:p>
    <w:p w14:paraId="2FC0BC57" w14:textId="3A5066A6" w:rsidR="00617090" w:rsidRPr="00F171A3" w:rsidRDefault="00617090" w:rsidP="00D44B8A">
      <w:pPr>
        <w:pStyle w:val="Bullet"/>
      </w:pPr>
      <w:r w:rsidRPr="00F171A3">
        <w:t>Furnizarea serviciilor socio – medicale la domiciliul persoanelor aflate în situații de risc, inclusiv cele cu handicap psihic și/sau mintal sau diagnosticate cu boli psihice și/sau mintale, în vederea menținerii acestora în propriul mediu de viață, prin: evaluarea socio-medicală; stabilirea eligibilității și planului de intervenție; furnizarea de servicii specifice (acțiuni medicale și sociale); monitorizare periodică și transport asistat</w:t>
      </w:r>
      <w:r w:rsidR="00D44B8A" w:rsidRPr="00F171A3">
        <w:t>;</w:t>
      </w:r>
    </w:p>
    <w:p w14:paraId="10061167" w14:textId="376B8524" w:rsidR="00617090" w:rsidRPr="00F171A3" w:rsidRDefault="00617090" w:rsidP="00D44B8A">
      <w:pPr>
        <w:pStyle w:val="Bullet"/>
      </w:pPr>
      <w:r w:rsidRPr="00F171A3">
        <w:t xml:space="preserve">Efectuarea de </w:t>
      </w:r>
      <w:r w:rsidR="00A81580" w:rsidRPr="00F171A3">
        <w:t>acțiuni</w:t>
      </w:r>
      <w:r w:rsidRPr="00F171A3">
        <w:t xml:space="preserve"> de screening, campanii de prevenție și educație pentru sănătate în rândul populației în vederea scăderii morbidității în rândul grupului țintă;</w:t>
      </w:r>
    </w:p>
    <w:p w14:paraId="53D64DF2" w14:textId="77777777" w:rsidR="00617090" w:rsidRPr="00F171A3" w:rsidRDefault="00617090" w:rsidP="00D44B8A">
      <w:pPr>
        <w:pStyle w:val="Bullet"/>
      </w:pPr>
      <w:r w:rsidRPr="00F171A3">
        <w:t>Monitorizarea stradală, pe raza Sectorului 2, în perioade cu temperaturi extreme, caniculă sau ger, în vederea acordării măsurilor de sprijin persoanelor fără adăpost.</w:t>
      </w:r>
    </w:p>
    <w:p w14:paraId="5F791939" w14:textId="77777777" w:rsidR="00617090" w:rsidRPr="00F171A3" w:rsidRDefault="00617090" w:rsidP="00617090">
      <w:pPr>
        <w:pStyle w:val="Normal0"/>
        <w:rPr>
          <w:rFonts w:eastAsia="SimSun"/>
        </w:rPr>
      </w:pPr>
      <w:r w:rsidRPr="00F171A3">
        <w:t>De asemenea, în anul 2022, Primăria Sectorului 2 prin intermediul DGASPC facilitează accesul la servicii stomatologice prin proiectul “Policlinica socială - Zâmbet pentru toţi”. Conform proiectului respectiv, DGASPC Sector 2 va furniza servicii medico-sociale, prin intermediul a două cabinete de medicină dentară</w:t>
      </w:r>
      <w:r w:rsidRPr="00F171A3">
        <w:rPr>
          <w:rFonts w:eastAsia="SimSun"/>
        </w:rPr>
        <w:t>, pentru circa 1.000 de persoane anual. Beneficiarii de astfel de servicii vor fi:</w:t>
      </w:r>
    </w:p>
    <w:p w14:paraId="43C99784" w14:textId="77273902" w:rsidR="00617090" w:rsidRPr="00F171A3" w:rsidRDefault="00D44B8A" w:rsidP="00D44B8A">
      <w:pPr>
        <w:pStyle w:val="Bullet"/>
      </w:pPr>
      <w:r w:rsidRPr="00F171A3">
        <w:t>P</w:t>
      </w:r>
      <w:r w:rsidR="00617090" w:rsidRPr="00F171A3">
        <w:t>ersoane vârstnice marginalizate social sau cu risc de marginalizare socială aflate în evidența DGASPC Sector 2;</w:t>
      </w:r>
    </w:p>
    <w:p w14:paraId="27C68DCD" w14:textId="70424F3F" w:rsidR="00617090" w:rsidRPr="00F171A3" w:rsidRDefault="00D44B8A" w:rsidP="00D44B8A">
      <w:pPr>
        <w:pStyle w:val="Bullet"/>
      </w:pPr>
      <w:r w:rsidRPr="00F171A3">
        <w:t>C</w:t>
      </w:r>
      <w:r w:rsidR="00617090" w:rsidRPr="00F171A3">
        <w:t>opiii beneficiari de protecţie specială în evidenţa DGASPC Sector 2;</w:t>
      </w:r>
    </w:p>
    <w:p w14:paraId="073ACC11" w14:textId="4CAEA2BA" w:rsidR="00617090" w:rsidRPr="00F171A3" w:rsidRDefault="00D44B8A" w:rsidP="00D44B8A">
      <w:pPr>
        <w:pStyle w:val="Bullet"/>
      </w:pPr>
      <w:r w:rsidRPr="00F171A3">
        <w:t>C</w:t>
      </w:r>
      <w:r w:rsidR="00617090" w:rsidRPr="00F171A3">
        <w:t>opiii din familiile marginalizate social sau cu risc de marginalizare socială aflate în evidenţa DGASPC Sector 2;</w:t>
      </w:r>
    </w:p>
    <w:p w14:paraId="75B34C70" w14:textId="0351A920" w:rsidR="00617090" w:rsidRPr="00F171A3" w:rsidRDefault="00D44B8A" w:rsidP="00D44B8A">
      <w:pPr>
        <w:pStyle w:val="Bullet"/>
      </w:pPr>
      <w:r w:rsidRPr="00F171A3">
        <w:t>P</w:t>
      </w:r>
      <w:r w:rsidR="00617090" w:rsidRPr="00F171A3">
        <w:t xml:space="preserve">ersoane adulte, vârstnice şi cu dizabilităţi, aflate în centrele rezidenţiale din subordinea DGASPC Sector 2; </w:t>
      </w:r>
    </w:p>
    <w:p w14:paraId="7A886197" w14:textId="0450F4D3" w:rsidR="00617090" w:rsidRPr="00F171A3" w:rsidRDefault="00D44B8A" w:rsidP="00D44B8A">
      <w:pPr>
        <w:pStyle w:val="Bullet"/>
      </w:pPr>
      <w:r w:rsidRPr="00F171A3">
        <w:t>P</w:t>
      </w:r>
      <w:r w:rsidR="00617090" w:rsidRPr="00F171A3">
        <w:t>ersoane în situaţii de marginalizare socială sau cu risc de marginalizare socială aflate în evidenţa DGASPC Sector 2.</w:t>
      </w:r>
    </w:p>
    <w:p w14:paraId="036CC4A6" w14:textId="77777777" w:rsidR="00617090" w:rsidRPr="00F171A3" w:rsidRDefault="00617090" w:rsidP="00617090">
      <w:r w:rsidRPr="00F171A3">
        <w:t>În Sectorul 2 există 23 de locuințe sociale, cu o capacitate totală de 142 de locuri, dintre care 112 erau ocupate la finalul anului 2021. De asemenea, în cazul unor intervenții integrate în Zonele Urbane Marginalizate, unde calitatea locuirii pune în pericol viața și sănătatea locatarilor, va fi nevoie de un număr mare de locuințe sociale, pentru a le putea oferi o alternativă persoanelor din zonele respective.</w:t>
      </w:r>
    </w:p>
    <w:p w14:paraId="7EC0D4E4" w14:textId="43F1565A" w:rsidR="00617090" w:rsidRPr="00F171A3" w:rsidRDefault="00617090" w:rsidP="00617090">
      <w:pPr>
        <w:pStyle w:val="Caption"/>
      </w:pPr>
      <w:bookmarkStart w:id="81" w:name="_Toc126943273"/>
      <w:r w:rsidRPr="00F171A3">
        <w:t xml:space="preserve">Tabel </w:t>
      </w:r>
      <w:r w:rsidRPr="00F171A3">
        <w:fldChar w:fldCharType="begin"/>
      </w:r>
      <w:r w:rsidRPr="00F171A3">
        <w:instrText xml:space="preserve"> SEQ Tabel \* ARABIC </w:instrText>
      </w:r>
      <w:r w:rsidRPr="00F171A3">
        <w:fldChar w:fldCharType="separate"/>
      </w:r>
      <w:r w:rsidR="005A6DD8">
        <w:rPr>
          <w:noProof/>
        </w:rPr>
        <w:t>16</w:t>
      </w:r>
      <w:r w:rsidRPr="00F171A3">
        <w:fldChar w:fldCharType="end"/>
      </w:r>
      <w:r w:rsidRPr="00F171A3">
        <w:t xml:space="preserve"> Situația locuințelor sociale din sectorul 2, în anul 2021</w:t>
      </w:r>
      <w:bookmarkEnd w:id="81"/>
    </w:p>
    <w:tbl>
      <w:tblPr>
        <w:tblStyle w:val="Civittatable"/>
        <w:tblW w:w="0" w:type="auto"/>
        <w:tblLook w:val="04A0" w:firstRow="1" w:lastRow="0" w:firstColumn="1" w:lastColumn="0" w:noHBand="0" w:noVBand="1"/>
      </w:tblPr>
      <w:tblGrid>
        <w:gridCol w:w="624"/>
        <w:gridCol w:w="5801"/>
        <w:gridCol w:w="1661"/>
        <w:gridCol w:w="1350"/>
      </w:tblGrid>
      <w:tr w:rsidR="00617090" w:rsidRPr="00F171A3" w14:paraId="03B13D2E" w14:textId="77777777" w:rsidTr="00D44B8A">
        <w:trPr>
          <w:cnfStyle w:val="100000000000" w:firstRow="1" w:lastRow="0" w:firstColumn="0" w:lastColumn="0" w:oddVBand="0" w:evenVBand="0" w:oddHBand="0" w:evenHBand="0" w:firstRowFirstColumn="0" w:firstRowLastColumn="0" w:lastRowFirstColumn="0" w:lastRowLastColumn="0"/>
        </w:trPr>
        <w:tc>
          <w:tcPr>
            <w:tcW w:w="624" w:type="dxa"/>
            <w:vAlign w:val="center"/>
          </w:tcPr>
          <w:p w14:paraId="46B41EB2" w14:textId="77777777" w:rsidR="00617090" w:rsidRPr="00F171A3" w:rsidRDefault="00617090" w:rsidP="00D44B8A">
            <w:pPr>
              <w:spacing w:after="160"/>
              <w:contextualSpacing/>
              <w:jc w:val="center"/>
              <w:rPr>
                <w:rStyle w:val="Strong"/>
                <w:rFonts w:cstheme="minorHAnsi"/>
                <w:color w:val="FFFFFF" w:themeColor="background1"/>
                <w:szCs w:val="20"/>
              </w:rPr>
            </w:pPr>
            <w:r w:rsidRPr="00F171A3">
              <w:rPr>
                <w:rFonts w:cstheme="minorHAnsi"/>
                <w:b/>
                <w:bCs/>
                <w:szCs w:val="20"/>
              </w:rPr>
              <w:t>Nr. crt.</w:t>
            </w:r>
          </w:p>
        </w:tc>
        <w:tc>
          <w:tcPr>
            <w:tcW w:w="5801" w:type="dxa"/>
            <w:vAlign w:val="center"/>
          </w:tcPr>
          <w:p w14:paraId="070A73DA" w14:textId="77777777" w:rsidR="00617090" w:rsidRPr="00F171A3" w:rsidRDefault="00617090" w:rsidP="00D44B8A">
            <w:pPr>
              <w:spacing w:after="160"/>
              <w:contextualSpacing/>
              <w:jc w:val="center"/>
              <w:rPr>
                <w:rStyle w:val="Strong"/>
                <w:rFonts w:cstheme="minorHAnsi"/>
                <w:color w:val="FFFFFF" w:themeColor="background1"/>
                <w:szCs w:val="20"/>
              </w:rPr>
            </w:pPr>
            <w:r w:rsidRPr="00F171A3">
              <w:rPr>
                <w:rFonts w:cstheme="minorHAnsi"/>
                <w:b/>
                <w:bCs/>
                <w:szCs w:val="20"/>
              </w:rPr>
              <w:t>Adresă locuințe sociale</w:t>
            </w:r>
          </w:p>
        </w:tc>
        <w:tc>
          <w:tcPr>
            <w:tcW w:w="1661" w:type="dxa"/>
            <w:vAlign w:val="center"/>
          </w:tcPr>
          <w:p w14:paraId="370B15DD" w14:textId="77777777" w:rsidR="00617090" w:rsidRPr="00F171A3" w:rsidRDefault="00617090" w:rsidP="00D44B8A">
            <w:pPr>
              <w:spacing w:after="160"/>
              <w:contextualSpacing/>
              <w:jc w:val="center"/>
              <w:rPr>
                <w:rFonts w:cstheme="minorHAnsi"/>
                <w:b/>
                <w:bCs/>
                <w:szCs w:val="20"/>
              </w:rPr>
            </w:pPr>
            <w:r w:rsidRPr="00F171A3">
              <w:rPr>
                <w:rFonts w:cstheme="minorHAnsi"/>
                <w:b/>
                <w:bCs/>
                <w:szCs w:val="20"/>
              </w:rPr>
              <w:t>Nr. beneficiari</w:t>
            </w:r>
          </w:p>
          <w:p w14:paraId="3F528472" w14:textId="30CCE87E" w:rsidR="00617090" w:rsidRPr="00F171A3" w:rsidRDefault="00617090" w:rsidP="00D44B8A">
            <w:pPr>
              <w:spacing w:after="160"/>
              <w:contextualSpacing/>
              <w:jc w:val="center"/>
              <w:rPr>
                <w:rStyle w:val="Strong"/>
                <w:rFonts w:cstheme="minorHAnsi"/>
                <w:color w:val="FFFFFF" w:themeColor="background1"/>
                <w:szCs w:val="20"/>
              </w:rPr>
            </w:pPr>
            <w:r w:rsidRPr="00F171A3">
              <w:rPr>
                <w:rFonts w:cstheme="minorHAnsi"/>
                <w:b/>
                <w:bCs/>
                <w:szCs w:val="20"/>
              </w:rPr>
              <w:t>la 31.12.2021</w:t>
            </w:r>
          </w:p>
        </w:tc>
        <w:tc>
          <w:tcPr>
            <w:tcW w:w="1350" w:type="dxa"/>
            <w:vAlign w:val="center"/>
          </w:tcPr>
          <w:p w14:paraId="5BAFD5FD" w14:textId="77777777" w:rsidR="00617090" w:rsidRPr="00F171A3" w:rsidRDefault="00617090" w:rsidP="00D44B8A">
            <w:pPr>
              <w:spacing w:after="160"/>
              <w:contextualSpacing/>
              <w:jc w:val="center"/>
              <w:rPr>
                <w:rStyle w:val="Strong"/>
                <w:rFonts w:cstheme="minorHAnsi"/>
                <w:color w:val="FFFFFF" w:themeColor="background1"/>
                <w:szCs w:val="20"/>
              </w:rPr>
            </w:pPr>
            <w:r w:rsidRPr="00F171A3">
              <w:rPr>
                <w:rFonts w:cstheme="minorHAnsi"/>
                <w:b/>
                <w:bCs/>
                <w:szCs w:val="20"/>
              </w:rPr>
              <w:t>Capacitate</w:t>
            </w:r>
          </w:p>
        </w:tc>
      </w:tr>
      <w:tr w:rsidR="00617090" w:rsidRPr="00F171A3" w14:paraId="4C112E41"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4184C143" w14:textId="77777777" w:rsidR="00617090" w:rsidRPr="00F171A3" w:rsidRDefault="00617090" w:rsidP="00F31936">
            <w:pPr>
              <w:spacing w:after="60"/>
              <w:rPr>
                <w:rStyle w:val="Strong"/>
                <w:rFonts w:cstheme="minorHAnsi"/>
                <w:szCs w:val="20"/>
              </w:rPr>
            </w:pPr>
            <w:r w:rsidRPr="00F171A3">
              <w:rPr>
                <w:rFonts w:cstheme="minorHAnsi"/>
                <w:color w:val="000000"/>
                <w:szCs w:val="20"/>
              </w:rPr>
              <w:t>1</w:t>
            </w:r>
          </w:p>
        </w:tc>
        <w:tc>
          <w:tcPr>
            <w:tcW w:w="5801" w:type="dxa"/>
          </w:tcPr>
          <w:p w14:paraId="1CF6FFFC" w14:textId="6CDAB5DE" w:rsidR="00617090" w:rsidRPr="00F171A3" w:rsidRDefault="00617090" w:rsidP="00F31936">
            <w:pPr>
              <w:spacing w:after="60"/>
              <w:rPr>
                <w:rStyle w:val="Strong"/>
                <w:rFonts w:cstheme="minorHAnsi"/>
                <w:szCs w:val="20"/>
              </w:rPr>
            </w:pPr>
            <w:r w:rsidRPr="00F171A3">
              <w:rPr>
                <w:rFonts w:cstheme="minorHAnsi"/>
                <w:szCs w:val="20"/>
              </w:rPr>
              <w:t>Aleea Cislău nr.5, bl.D3, sc.1, et.5, ap.30,</w:t>
            </w:r>
            <w:r w:rsidR="00F53B80" w:rsidRPr="00F171A3">
              <w:rPr>
                <w:rFonts w:cstheme="minorHAnsi"/>
                <w:szCs w:val="20"/>
              </w:rPr>
              <w:t>Sector 2</w:t>
            </w:r>
            <w:r w:rsidRPr="00F171A3">
              <w:rPr>
                <w:rFonts w:cstheme="minorHAnsi"/>
                <w:szCs w:val="20"/>
              </w:rPr>
              <w:t xml:space="preserve">           </w:t>
            </w:r>
          </w:p>
        </w:tc>
        <w:tc>
          <w:tcPr>
            <w:tcW w:w="1661" w:type="dxa"/>
          </w:tcPr>
          <w:p w14:paraId="4AC71574"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4</w:t>
            </w:r>
          </w:p>
        </w:tc>
        <w:tc>
          <w:tcPr>
            <w:tcW w:w="1350" w:type="dxa"/>
          </w:tcPr>
          <w:p w14:paraId="528ED1BD"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0390F598"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4A285159" w14:textId="77777777" w:rsidR="00617090" w:rsidRPr="00F171A3" w:rsidRDefault="00617090" w:rsidP="00F31936">
            <w:pPr>
              <w:spacing w:after="60"/>
              <w:rPr>
                <w:rStyle w:val="Strong"/>
                <w:rFonts w:cstheme="minorHAnsi"/>
                <w:szCs w:val="20"/>
              </w:rPr>
            </w:pPr>
            <w:r w:rsidRPr="00F171A3">
              <w:rPr>
                <w:rFonts w:cstheme="minorHAnsi"/>
                <w:color w:val="000000"/>
                <w:szCs w:val="20"/>
              </w:rPr>
              <w:t>2</w:t>
            </w:r>
          </w:p>
        </w:tc>
        <w:tc>
          <w:tcPr>
            <w:tcW w:w="5801" w:type="dxa"/>
          </w:tcPr>
          <w:p w14:paraId="07C5A617" w14:textId="77777777" w:rsidR="00617090" w:rsidRPr="00F171A3" w:rsidRDefault="00617090" w:rsidP="00F31936">
            <w:pPr>
              <w:spacing w:after="60"/>
              <w:rPr>
                <w:rStyle w:val="Strong"/>
                <w:rFonts w:cstheme="minorHAnsi"/>
                <w:szCs w:val="20"/>
              </w:rPr>
            </w:pPr>
            <w:r w:rsidRPr="00F171A3">
              <w:rPr>
                <w:rFonts w:cstheme="minorHAnsi"/>
                <w:szCs w:val="20"/>
              </w:rPr>
              <w:t>Apartament Bd.  Lacul Tei, nr. 126-128,Bl. 17-18, Sc. B, Et. 9, ap. 83</w:t>
            </w:r>
          </w:p>
        </w:tc>
        <w:tc>
          <w:tcPr>
            <w:tcW w:w="1661" w:type="dxa"/>
          </w:tcPr>
          <w:p w14:paraId="44818344"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3795A969"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47B0F8EE"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6B2A7087" w14:textId="77777777" w:rsidR="00617090" w:rsidRPr="00F171A3" w:rsidRDefault="00617090" w:rsidP="00F31936">
            <w:pPr>
              <w:spacing w:after="60"/>
              <w:rPr>
                <w:rStyle w:val="Strong"/>
                <w:rFonts w:cstheme="minorHAnsi"/>
                <w:szCs w:val="20"/>
              </w:rPr>
            </w:pPr>
            <w:r w:rsidRPr="00F171A3">
              <w:rPr>
                <w:rFonts w:cstheme="minorHAnsi"/>
                <w:color w:val="000000"/>
                <w:szCs w:val="20"/>
              </w:rPr>
              <w:t>3</w:t>
            </w:r>
          </w:p>
        </w:tc>
        <w:tc>
          <w:tcPr>
            <w:tcW w:w="5801" w:type="dxa"/>
          </w:tcPr>
          <w:p w14:paraId="562BE09B" w14:textId="77777777" w:rsidR="00617090" w:rsidRPr="00F171A3" w:rsidRDefault="00617090" w:rsidP="00F31936">
            <w:pPr>
              <w:spacing w:after="60"/>
              <w:rPr>
                <w:rStyle w:val="Strong"/>
                <w:rFonts w:cstheme="minorHAnsi"/>
                <w:szCs w:val="20"/>
              </w:rPr>
            </w:pPr>
            <w:r w:rsidRPr="00F171A3">
              <w:rPr>
                <w:rFonts w:cstheme="minorHAnsi"/>
                <w:szCs w:val="20"/>
              </w:rPr>
              <w:t>Șos Colentina nr. 76, bl.111, sc.A, et.10, ap.47 - tel. 240.14.61</w:t>
            </w:r>
          </w:p>
        </w:tc>
        <w:tc>
          <w:tcPr>
            <w:tcW w:w="1661" w:type="dxa"/>
          </w:tcPr>
          <w:p w14:paraId="6C5473FF"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7EF2E7BB"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42C3BFD4"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6B4A9002" w14:textId="77777777" w:rsidR="00617090" w:rsidRPr="00F171A3" w:rsidRDefault="00617090" w:rsidP="00F31936">
            <w:pPr>
              <w:spacing w:after="60"/>
              <w:rPr>
                <w:rStyle w:val="Strong"/>
                <w:rFonts w:cstheme="minorHAnsi"/>
                <w:szCs w:val="20"/>
              </w:rPr>
            </w:pPr>
            <w:r w:rsidRPr="00F171A3">
              <w:rPr>
                <w:rFonts w:cstheme="minorHAnsi"/>
                <w:color w:val="000000"/>
                <w:szCs w:val="20"/>
              </w:rPr>
              <w:t>4</w:t>
            </w:r>
          </w:p>
        </w:tc>
        <w:tc>
          <w:tcPr>
            <w:tcW w:w="5801" w:type="dxa"/>
          </w:tcPr>
          <w:p w14:paraId="26839CDB" w14:textId="77777777" w:rsidR="00617090" w:rsidRPr="00F171A3" w:rsidRDefault="00617090" w:rsidP="00F31936">
            <w:pPr>
              <w:spacing w:after="60"/>
              <w:rPr>
                <w:rStyle w:val="Strong"/>
                <w:rFonts w:cstheme="minorHAnsi"/>
                <w:szCs w:val="20"/>
              </w:rPr>
            </w:pPr>
            <w:r w:rsidRPr="00F171A3">
              <w:rPr>
                <w:rFonts w:cstheme="minorHAnsi"/>
                <w:szCs w:val="20"/>
              </w:rPr>
              <w:t>Șos. Colentina nr.81, bl.84, sc.3, ap.94, et.9 tel 2409381</w:t>
            </w:r>
          </w:p>
        </w:tc>
        <w:tc>
          <w:tcPr>
            <w:tcW w:w="1661" w:type="dxa"/>
          </w:tcPr>
          <w:p w14:paraId="2225486A"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5</w:t>
            </w:r>
          </w:p>
        </w:tc>
        <w:tc>
          <w:tcPr>
            <w:tcW w:w="1350" w:type="dxa"/>
          </w:tcPr>
          <w:p w14:paraId="0B57CF98"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11B9BA28"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6AA2F809" w14:textId="77777777" w:rsidR="00617090" w:rsidRPr="00F171A3" w:rsidRDefault="00617090" w:rsidP="00F31936">
            <w:pPr>
              <w:spacing w:after="60"/>
              <w:rPr>
                <w:rStyle w:val="Strong"/>
                <w:rFonts w:cstheme="minorHAnsi"/>
                <w:szCs w:val="20"/>
              </w:rPr>
            </w:pPr>
            <w:r w:rsidRPr="00F171A3">
              <w:rPr>
                <w:rFonts w:cstheme="minorHAnsi"/>
                <w:color w:val="000000"/>
                <w:szCs w:val="20"/>
              </w:rPr>
              <w:t>5</w:t>
            </w:r>
          </w:p>
        </w:tc>
        <w:tc>
          <w:tcPr>
            <w:tcW w:w="5801" w:type="dxa"/>
          </w:tcPr>
          <w:p w14:paraId="0912712D" w14:textId="5378D8F6" w:rsidR="00617090" w:rsidRPr="00F171A3" w:rsidRDefault="00617090" w:rsidP="00F31936">
            <w:pPr>
              <w:spacing w:after="60"/>
              <w:rPr>
                <w:rStyle w:val="Strong"/>
                <w:rFonts w:cstheme="minorHAnsi"/>
                <w:szCs w:val="20"/>
              </w:rPr>
            </w:pPr>
            <w:r w:rsidRPr="00F171A3">
              <w:rPr>
                <w:rFonts w:cstheme="minorHAnsi"/>
                <w:szCs w:val="20"/>
              </w:rPr>
              <w:t xml:space="preserve">Str. Ciocarliei nr. 32, bl. D24, sc. 1, parter, ap. 3, </w:t>
            </w:r>
            <w:r w:rsidR="00F53B80" w:rsidRPr="00F171A3">
              <w:rPr>
                <w:rFonts w:cstheme="minorHAnsi"/>
                <w:szCs w:val="20"/>
              </w:rPr>
              <w:t>Sector 2</w:t>
            </w:r>
          </w:p>
        </w:tc>
        <w:tc>
          <w:tcPr>
            <w:tcW w:w="1661" w:type="dxa"/>
          </w:tcPr>
          <w:p w14:paraId="238C8126"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60435250"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6AFFA254"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1D274402" w14:textId="77777777" w:rsidR="00617090" w:rsidRPr="00F171A3" w:rsidRDefault="00617090" w:rsidP="00F31936">
            <w:pPr>
              <w:spacing w:after="60"/>
              <w:rPr>
                <w:rStyle w:val="Strong"/>
                <w:rFonts w:cstheme="minorHAnsi"/>
                <w:szCs w:val="20"/>
              </w:rPr>
            </w:pPr>
            <w:r w:rsidRPr="00F171A3">
              <w:rPr>
                <w:rFonts w:cstheme="minorHAnsi"/>
                <w:color w:val="000000"/>
                <w:szCs w:val="20"/>
              </w:rPr>
              <w:t>6</w:t>
            </w:r>
          </w:p>
        </w:tc>
        <w:tc>
          <w:tcPr>
            <w:tcW w:w="5801" w:type="dxa"/>
          </w:tcPr>
          <w:p w14:paraId="0668D267" w14:textId="4AC106B9" w:rsidR="00617090" w:rsidRPr="00F171A3" w:rsidRDefault="00617090" w:rsidP="00F31936">
            <w:pPr>
              <w:spacing w:after="60"/>
              <w:rPr>
                <w:rStyle w:val="Strong"/>
                <w:rFonts w:cstheme="minorHAnsi"/>
                <w:szCs w:val="20"/>
              </w:rPr>
            </w:pPr>
            <w:r w:rsidRPr="00F171A3">
              <w:rPr>
                <w:rFonts w:cstheme="minorHAnsi"/>
                <w:szCs w:val="20"/>
              </w:rPr>
              <w:t xml:space="preserve">Str. Delfinului nr. 1, bl.D16, sc.1, ap.36, et.5, </w:t>
            </w:r>
            <w:r w:rsidR="00F53B80" w:rsidRPr="00F171A3">
              <w:rPr>
                <w:rFonts w:cstheme="minorHAnsi"/>
                <w:szCs w:val="20"/>
              </w:rPr>
              <w:t>Sector 2</w:t>
            </w:r>
          </w:p>
        </w:tc>
        <w:tc>
          <w:tcPr>
            <w:tcW w:w="1661" w:type="dxa"/>
          </w:tcPr>
          <w:p w14:paraId="7E5C6C71"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3AB91FA4"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0F20C3F4"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6C0362DB" w14:textId="77777777" w:rsidR="00617090" w:rsidRPr="00F171A3" w:rsidRDefault="00617090" w:rsidP="00F31936">
            <w:pPr>
              <w:spacing w:after="60"/>
              <w:rPr>
                <w:rStyle w:val="Strong"/>
                <w:rFonts w:cstheme="minorHAnsi"/>
                <w:szCs w:val="20"/>
              </w:rPr>
            </w:pPr>
            <w:r w:rsidRPr="00F171A3">
              <w:rPr>
                <w:rFonts w:cstheme="minorHAnsi"/>
                <w:color w:val="000000"/>
                <w:szCs w:val="20"/>
              </w:rPr>
              <w:t>7</w:t>
            </w:r>
          </w:p>
        </w:tc>
        <w:tc>
          <w:tcPr>
            <w:tcW w:w="5801" w:type="dxa"/>
          </w:tcPr>
          <w:p w14:paraId="58F44C97" w14:textId="2A54E9A6" w:rsidR="00617090" w:rsidRPr="00F171A3" w:rsidRDefault="00617090" w:rsidP="00F31936">
            <w:pPr>
              <w:spacing w:after="60"/>
              <w:rPr>
                <w:rStyle w:val="Strong"/>
                <w:rFonts w:cstheme="minorHAnsi"/>
                <w:szCs w:val="20"/>
              </w:rPr>
            </w:pPr>
            <w:r w:rsidRPr="00F171A3">
              <w:rPr>
                <w:rFonts w:cstheme="minorHAnsi"/>
                <w:szCs w:val="20"/>
              </w:rPr>
              <w:t xml:space="preserve">Str. Delfinului nr.9, bl.18, sc.A, et.7, ap.44, </w:t>
            </w:r>
            <w:r w:rsidR="00F53B80" w:rsidRPr="00F171A3">
              <w:rPr>
                <w:rFonts w:cstheme="minorHAnsi"/>
                <w:szCs w:val="20"/>
              </w:rPr>
              <w:t>Sector 2</w:t>
            </w:r>
          </w:p>
        </w:tc>
        <w:tc>
          <w:tcPr>
            <w:tcW w:w="1661" w:type="dxa"/>
          </w:tcPr>
          <w:p w14:paraId="2F2B1F63"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0</w:t>
            </w:r>
          </w:p>
        </w:tc>
        <w:tc>
          <w:tcPr>
            <w:tcW w:w="1350" w:type="dxa"/>
          </w:tcPr>
          <w:p w14:paraId="245FED56"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50DABCFA"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770A1498" w14:textId="77777777" w:rsidR="00617090" w:rsidRPr="00F171A3" w:rsidRDefault="00617090" w:rsidP="00F31936">
            <w:pPr>
              <w:spacing w:after="60"/>
              <w:rPr>
                <w:rStyle w:val="Strong"/>
                <w:rFonts w:cstheme="minorHAnsi"/>
                <w:szCs w:val="20"/>
              </w:rPr>
            </w:pPr>
            <w:r w:rsidRPr="00F171A3">
              <w:rPr>
                <w:rFonts w:cstheme="minorHAnsi"/>
                <w:color w:val="000000"/>
                <w:szCs w:val="20"/>
              </w:rPr>
              <w:t>8</w:t>
            </w:r>
          </w:p>
        </w:tc>
        <w:tc>
          <w:tcPr>
            <w:tcW w:w="5801" w:type="dxa"/>
          </w:tcPr>
          <w:p w14:paraId="58C50AD2" w14:textId="45E007E0" w:rsidR="00617090" w:rsidRPr="00F171A3" w:rsidRDefault="00617090" w:rsidP="00F31936">
            <w:pPr>
              <w:spacing w:after="60"/>
              <w:rPr>
                <w:rStyle w:val="Strong"/>
                <w:rFonts w:cstheme="minorHAnsi"/>
                <w:szCs w:val="20"/>
              </w:rPr>
            </w:pPr>
            <w:r w:rsidRPr="00F171A3">
              <w:rPr>
                <w:rFonts w:cstheme="minorHAnsi"/>
                <w:szCs w:val="20"/>
              </w:rPr>
              <w:t>Str.</w:t>
            </w:r>
            <w:r w:rsidR="00A81580">
              <w:rPr>
                <w:rFonts w:cstheme="minorHAnsi"/>
                <w:szCs w:val="20"/>
              </w:rPr>
              <w:t xml:space="preserve"> </w:t>
            </w:r>
            <w:r w:rsidRPr="00F171A3">
              <w:rPr>
                <w:rFonts w:cstheme="minorHAnsi"/>
                <w:szCs w:val="20"/>
              </w:rPr>
              <w:t xml:space="preserve">Grigore Moisil nr. 8, bl.9, et.7, ap.38, sc.1, </w:t>
            </w:r>
            <w:r w:rsidR="00F53B80" w:rsidRPr="00F171A3">
              <w:rPr>
                <w:rFonts w:cstheme="minorHAnsi"/>
                <w:szCs w:val="20"/>
              </w:rPr>
              <w:t>Sector 2</w:t>
            </w:r>
          </w:p>
        </w:tc>
        <w:tc>
          <w:tcPr>
            <w:tcW w:w="1661" w:type="dxa"/>
          </w:tcPr>
          <w:p w14:paraId="1A3D0105"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315CD16B"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0694FBC8"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7290AB1E" w14:textId="77777777" w:rsidR="00617090" w:rsidRPr="00F171A3" w:rsidRDefault="00617090" w:rsidP="00F31936">
            <w:pPr>
              <w:spacing w:after="60"/>
              <w:rPr>
                <w:rStyle w:val="Strong"/>
                <w:rFonts w:cstheme="minorHAnsi"/>
                <w:szCs w:val="20"/>
              </w:rPr>
            </w:pPr>
            <w:r w:rsidRPr="00F171A3">
              <w:rPr>
                <w:rFonts w:cstheme="minorHAnsi"/>
                <w:color w:val="000000"/>
                <w:szCs w:val="20"/>
              </w:rPr>
              <w:t>9</w:t>
            </w:r>
          </w:p>
        </w:tc>
        <w:tc>
          <w:tcPr>
            <w:tcW w:w="5801" w:type="dxa"/>
          </w:tcPr>
          <w:p w14:paraId="3301981C" w14:textId="16A6F4B0" w:rsidR="00617090" w:rsidRPr="00F171A3" w:rsidRDefault="00617090" w:rsidP="00F31936">
            <w:pPr>
              <w:spacing w:after="60"/>
              <w:rPr>
                <w:rStyle w:val="Strong"/>
                <w:rFonts w:cstheme="minorHAnsi"/>
                <w:szCs w:val="20"/>
              </w:rPr>
            </w:pPr>
            <w:r w:rsidRPr="00F171A3">
              <w:rPr>
                <w:rFonts w:cstheme="minorHAnsi"/>
                <w:szCs w:val="20"/>
              </w:rPr>
              <w:t xml:space="preserve">Str. Grigore Moisil nr.8, bl.9, sc.3, et.7,ap.93, </w:t>
            </w:r>
            <w:r w:rsidR="00F53B80" w:rsidRPr="00F171A3">
              <w:rPr>
                <w:rFonts w:cstheme="minorHAnsi"/>
                <w:szCs w:val="20"/>
              </w:rPr>
              <w:t>Sector 2</w:t>
            </w:r>
          </w:p>
        </w:tc>
        <w:tc>
          <w:tcPr>
            <w:tcW w:w="1661" w:type="dxa"/>
          </w:tcPr>
          <w:p w14:paraId="5F352789"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153AA9E9"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2A86FFE0"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1C8BDA9C" w14:textId="77777777" w:rsidR="00617090" w:rsidRPr="00F171A3" w:rsidRDefault="00617090" w:rsidP="00F31936">
            <w:pPr>
              <w:spacing w:after="60"/>
              <w:rPr>
                <w:rStyle w:val="Strong"/>
                <w:rFonts w:cstheme="minorHAnsi"/>
                <w:szCs w:val="20"/>
              </w:rPr>
            </w:pPr>
            <w:r w:rsidRPr="00F171A3">
              <w:rPr>
                <w:rFonts w:cstheme="minorHAnsi"/>
                <w:color w:val="000000"/>
                <w:szCs w:val="20"/>
              </w:rPr>
              <w:t>10</w:t>
            </w:r>
          </w:p>
        </w:tc>
        <w:tc>
          <w:tcPr>
            <w:tcW w:w="5801" w:type="dxa"/>
          </w:tcPr>
          <w:p w14:paraId="3C4E59EE" w14:textId="602E6314" w:rsidR="00617090" w:rsidRPr="00F171A3" w:rsidRDefault="00617090" w:rsidP="00F31936">
            <w:pPr>
              <w:spacing w:after="60"/>
              <w:rPr>
                <w:rStyle w:val="Strong"/>
                <w:rFonts w:cstheme="minorHAnsi"/>
                <w:szCs w:val="20"/>
              </w:rPr>
            </w:pPr>
            <w:r w:rsidRPr="00F171A3">
              <w:rPr>
                <w:rFonts w:cstheme="minorHAnsi"/>
                <w:szCs w:val="20"/>
              </w:rPr>
              <w:t xml:space="preserve">Str. Maior Băcilă nr. 27, bl. 31, et. 3, ap. 16, </w:t>
            </w:r>
            <w:r w:rsidR="00F53B80" w:rsidRPr="00F171A3">
              <w:rPr>
                <w:rFonts w:cstheme="minorHAnsi"/>
                <w:szCs w:val="20"/>
              </w:rPr>
              <w:t>Sector 2</w:t>
            </w:r>
          </w:p>
        </w:tc>
        <w:tc>
          <w:tcPr>
            <w:tcW w:w="1661" w:type="dxa"/>
          </w:tcPr>
          <w:p w14:paraId="24DCCF56"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0</w:t>
            </w:r>
          </w:p>
        </w:tc>
        <w:tc>
          <w:tcPr>
            <w:tcW w:w="1350" w:type="dxa"/>
          </w:tcPr>
          <w:p w14:paraId="460AE1D8"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0377ECF4"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1812F724" w14:textId="77777777" w:rsidR="00617090" w:rsidRPr="00F171A3" w:rsidRDefault="00617090" w:rsidP="00F31936">
            <w:pPr>
              <w:spacing w:after="60"/>
              <w:rPr>
                <w:rStyle w:val="Strong"/>
                <w:rFonts w:cstheme="minorHAnsi"/>
                <w:szCs w:val="20"/>
              </w:rPr>
            </w:pPr>
            <w:r w:rsidRPr="00F171A3">
              <w:rPr>
                <w:rFonts w:cstheme="minorHAnsi"/>
                <w:color w:val="000000"/>
                <w:szCs w:val="20"/>
              </w:rPr>
              <w:t>11</w:t>
            </w:r>
          </w:p>
        </w:tc>
        <w:tc>
          <w:tcPr>
            <w:tcW w:w="5801" w:type="dxa"/>
          </w:tcPr>
          <w:p w14:paraId="2A9FCD7C" w14:textId="6C9975D0" w:rsidR="00617090" w:rsidRPr="00F171A3" w:rsidRDefault="00617090" w:rsidP="00F31936">
            <w:pPr>
              <w:spacing w:after="60"/>
              <w:rPr>
                <w:rStyle w:val="Strong"/>
                <w:rFonts w:cstheme="minorHAnsi"/>
                <w:szCs w:val="20"/>
              </w:rPr>
            </w:pPr>
            <w:r w:rsidRPr="00F171A3">
              <w:rPr>
                <w:rFonts w:cstheme="minorHAnsi"/>
                <w:szCs w:val="20"/>
              </w:rPr>
              <w:t xml:space="preserve">Șos. Pantelimon nr. 254, bl.55, sc.C, et.10, ap.176, </w:t>
            </w:r>
            <w:r w:rsidR="00F53B80" w:rsidRPr="00F171A3">
              <w:rPr>
                <w:rFonts w:cstheme="minorHAnsi"/>
                <w:szCs w:val="20"/>
              </w:rPr>
              <w:t>Sector 2</w:t>
            </w:r>
          </w:p>
        </w:tc>
        <w:tc>
          <w:tcPr>
            <w:tcW w:w="1661" w:type="dxa"/>
          </w:tcPr>
          <w:p w14:paraId="4F9AEABC"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052BFC3A"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2007EB1B"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2ACA02BE" w14:textId="77777777" w:rsidR="00617090" w:rsidRPr="00F171A3" w:rsidRDefault="00617090" w:rsidP="00F31936">
            <w:pPr>
              <w:spacing w:after="60"/>
              <w:rPr>
                <w:rStyle w:val="Strong"/>
                <w:rFonts w:cstheme="minorHAnsi"/>
                <w:szCs w:val="20"/>
              </w:rPr>
            </w:pPr>
            <w:r w:rsidRPr="00F171A3">
              <w:rPr>
                <w:rFonts w:cstheme="minorHAnsi"/>
                <w:color w:val="000000"/>
                <w:szCs w:val="20"/>
              </w:rPr>
              <w:t>12</w:t>
            </w:r>
          </w:p>
        </w:tc>
        <w:tc>
          <w:tcPr>
            <w:tcW w:w="5801" w:type="dxa"/>
          </w:tcPr>
          <w:p w14:paraId="22D7EC0C" w14:textId="5F9E992E" w:rsidR="00617090" w:rsidRPr="00F171A3" w:rsidRDefault="00617090" w:rsidP="00F31936">
            <w:pPr>
              <w:spacing w:after="60"/>
              <w:rPr>
                <w:rStyle w:val="Strong"/>
                <w:rFonts w:cstheme="minorHAnsi"/>
                <w:szCs w:val="20"/>
              </w:rPr>
            </w:pPr>
            <w:r w:rsidRPr="00F171A3">
              <w:rPr>
                <w:rFonts w:cstheme="minorHAnsi"/>
                <w:szCs w:val="20"/>
              </w:rPr>
              <w:t xml:space="preserve">Șos. Pantelimon nr.286, Bl. 41, sc.8, et.10, ap.318, </w:t>
            </w:r>
            <w:r w:rsidR="00F53B80" w:rsidRPr="00F171A3">
              <w:rPr>
                <w:rFonts w:cstheme="minorHAnsi"/>
                <w:szCs w:val="20"/>
              </w:rPr>
              <w:t>Sector 2</w:t>
            </w:r>
            <w:r w:rsidRPr="00F171A3">
              <w:rPr>
                <w:rFonts w:cstheme="minorHAnsi"/>
                <w:szCs w:val="20"/>
              </w:rPr>
              <w:t xml:space="preserve"> </w:t>
            </w:r>
          </w:p>
        </w:tc>
        <w:tc>
          <w:tcPr>
            <w:tcW w:w="1661" w:type="dxa"/>
          </w:tcPr>
          <w:p w14:paraId="5087449A"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0</w:t>
            </w:r>
          </w:p>
        </w:tc>
        <w:tc>
          <w:tcPr>
            <w:tcW w:w="1350" w:type="dxa"/>
          </w:tcPr>
          <w:p w14:paraId="705FA348"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1977AA7C"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6AD33EA7" w14:textId="77777777" w:rsidR="00617090" w:rsidRPr="00F171A3" w:rsidRDefault="00617090" w:rsidP="00F31936">
            <w:pPr>
              <w:spacing w:after="60"/>
              <w:rPr>
                <w:rStyle w:val="Strong"/>
                <w:rFonts w:cstheme="minorHAnsi"/>
                <w:szCs w:val="20"/>
              </w:rPr>
            </w:pPr>
            <w:r w:rsidRPr="00F171A3">
              <w:rPr>
                <w:rFonts w:cstheme="minorHAnsi"/>
                <w:color w:val="000000"/>
                <w:szCs w:val="20"/>
              </w:rPr>
              <w:t>13</w:t>
            </w:r>
          </w:p>
        </w:tc>
        <w:tc>
          <w:tcPr>
            <w:tcW w:w="5801" w:type="dxa"/>
          </w:tcPr>
          <w:p w14:paraId="45177053" w14:textId="3075FFF9" w:rsidR="00617090" w:rsidRPr="00F171A3" w:rsidRDefault="00617090" w:rsidP="00F31936">
            <w:pPr>
              <w:spacing w:after="60"/>
              <w:rPr>
                <w:rStyle w:val="Strong"/>
                <w:rFonts w:cstheme="minorHAnsi"/>
                <w:szCs w:val="20"/>
              </w:rPr>
            </w:pPr>
            <w:r w:rsidRPr="00F171A3">
              <w:rPr>
                <w:rFonts w:cstheme="minorHAnsi"/>
                <w:szCs w:val="20"/>
              </w:rPr>
              <w:t xml:space="preserve">Șos. Pantelimon nr. 291, bl. 9, sc. A, et. 6, ap. 23, </w:t>
            </w:r>
            <w:r w:rsidR="00F53B80" w:rsidRPr="00F171A3">
              <w:rPr>
                <w:rFonts w:cstheme="minorHAnsi"/>
                <w:szCs w:val="20"/>
              </w:rPr>
              <w:t>Sector 2</w:t>
            </w:r>
          </w:p>
        </w:tc>
        <w:tc>
          <w:tcPr>
            <w:tcW w:w="1661" w:type="dxa"/>
          </w:tcPr>
          <w:p w14:paraId="2F3CEA1C"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4EEDF25D"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0F1ADD8C"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1ED42294" w14:textId="77777777" w:rsidR="00617090" w:rsidRPr="00F171A3" w:rsidRDefault="00617090" w:rsidP="00F31936">
            <w:pPr>
              <w:spacing w:after="60"/>
              <w:rPr>
                <w:rStyle w:val="Strong"/>
                <w:rFonts w:cstheme="minorHAnsi"/>
                <w:szCs w:val="20"/>
              </w:rPr>
            </w:pPr>
            <w:r w:rsidRPr="00F171A3">
              <w:rPr>
                <w:rFonts w:cstheme="minorHAnsi"/>
                <w:color w:val="000000"/>
                <w:szCs w:val="20"/>
              </w:rPr>
              <w:t>14</w:t>
            </w:r>
          </w:p>
        </w:tc>
        <w:tc>
          <w:tcPr>
            <w:tcW w:w="5801" w:type="dxa"/>
          </w:tcPr>
          <w:p w14:paraId="4B3F3ED6" w14:textId="59AC4BD3" w:rsidR="00617090" w:rsidRPr="00F171A3" w:rsidRDefault="00617090" w:rsidP="00F31936">
            <w:pPr>
              <w:spacing w:after="60"/>
              <w:rPr>
                <w:rStyle w:val="Strong"/>
                <w:rFonts w:cstheme="minorHAnsi"/>
                <w:szCs w:val="20"/>
              </w:rPr>
            </w:pPr>
            <w:r w:rsidRPr="00F171A3">
              <w:rPr>
                <w:rFonts w:cstheme="minorHAnsi"/>
                <w:szCs w:val="20"/>
              </w:rPr>
              <w:t xml:space="preserve">Șos. Pantelimon nr. 291, bl. 9, sc. B, et. 8, ap. 70, </w:t>
            </w:r>
            <w:r w:rsidR="00F53B80" w:rsidRPr="00F171A3">
              <w:rPr>
                <w:rFonts w:cstheme="minorHAnsi"/>
                <w:szCs w:val="20"/>
              </w:rPr>
              <w:t>Sector 2</w:t>
            </w:r>
          </w:p>
        </w:tc>
        <w:tc>
          <w:tcPr>
            <w:tcW w:w="1661" w:type="dxa"/>
          </w:tcPr>
          <w:p w14:paraId="545A84FD"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2FACB14F"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46C46CB6"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14B20008" w14:textId="77777777" w:rsidR="00617090" w:rsidRPr="00F171A3" w:rsidRDefault="00617090" w:rsidP="00F31936">
            <w:pPr>
              <w:spacing w:after="60"/>
              <w:rPr>
                <w:rStyle w:val="Strong"/>
                <w:rFonts w:cstheme="minorHAnsi"/>
                <w:szCs w:val="20"/>
              </w:rPr>
            </w:pPr>
            <w:r w:rsidRPr="00F171A3">
              <w:rPr>
                <w:rFonts w:cstheme="minorHAnsi"/>
                <w:color w:val="000000"/>
                <w:szCs w:val="20"/>
              </w:rPr>
              <w:t>15</w:t>
            </w:r>
          </w:p>
        </w:tc>
        <w:tc>
          <w:tcPr>
            <w:tcW w:w="5801" w:type="dxa"/>
          </w:tcPr>
          <w:p w14:paraId="0BB7E0EA" w14:textId="469B10CB" w:rsidR="00617090" w:rsidRPr="00F171A3" w:rsidRDefault="00617090" w:rsidP="00F31936">
            <w:pPr>
              <w:spacing w:after="60"/>
              <w:rPr>
                <w:rStyle w:val="Strong"/>
                <w:rFonts w:cstheme="minorHAnsi"/>
                <w:szCs w:val="20"/>
              </w:rPr>
            </w:pPr>
            <w:r w:rsidRPr="00F171A3">
              <w:rPr>
                <w:rFonts w:cstheme="minorHAnsi"/>
                <w:szCs w:val="20"/>
              </w:rPr>
              <w:t xml:space="preserve">Str. </w:t>
            </w:r>
            <w:r w:rsidR="00A81580" w:rsidRPr="00F171A3">
              <w:rPr>
                <w:rFonts w:cstheme="minorHAnsi"/>
                <w:szCs w:val="20"/>
              </w:rPr>
              <w:t>Răscoala</w:t>
            </w:r>
            <w:r w:rsidRPr="00F171A3">
              <w:rPr>
                <w:rFonts w:cstheme="minorHAnsi"/>
                <w:szCs w:val="20"/>
              </w:rPr>
              <w:t xml:space="preserve"> 1907 nr.11, bl.16, sc.5, et.5, ap.189, </w:t>
            </w:r>
            <w:r w:rsidR="00F53B80" w:rsidRPr="00F171A3">
              <w:rPr>
                <w:rFonts w:cstheme="minorHAnsi"/>
                <w:szCs w:val="20"/>
              </w:rPr>
              <w:t>Sector 2</w:t>
            </w:r>
          </w:p>
        </w:tc>
        <w:tc>
          <w:tcPr>
            <w:tcW w:w="1661" w:type="dxa"/>
          </w:tcPr>
          <w:p w14:paraId="283C38B7"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295897CD"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68F03AB4"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788B68C4" w14:textId="77777777" w:rsidR="00617090" w:rsidRPr="00F171A3" w:rsidRDefault="00617090" w:rsidP="00F31936">
            <w:pPr>
              <w:spacing w:after="60"/>
              <w:rPr>
                <w:rStyle w:val="Strong"/>
                <w:rFonts w:cstheme="minorHAnsi"/>
                <w:szCs w:val="20"/>
              </w:rPr>
            </w:pPr>
            <w:r w:rsidRPr="00F171A3">
              <w:rPr>
                <w:rFonts w:cstheme="minorHAnsi"/>
                <w:color w:val="000000"/>
                <w:szCs w:val="20"/>
              </w:rPr>
              <w:t>16</w:t>
            </w:r>
          </w:p>
        </w:tc>
        <w:tc>
          <w:tcPr>
            <w:tcW w:w="5801" w:type="dxa"/>
          </w:tcPr>
          <w:p w14:paraId="173F2190" w14:textId="62D1CB96" w:rsidR="00617090" w:rsidRPr="00F171A3" w:rsidRDefault="00617090" w:rsidP="00F31936">
            <w:pPr>
              <w:spacing w:after="60"/>
              <w:rPr>
                <w:rStyle w:val="Strong"/>
                <w:rFonts w:cstheme="minorHAnsi"/>
                <w:szCs w:val="20"/>
              </w:rPr>
            </w:pPr>
            <w:r w:rsidRPr="00F171A3">
              <w:rPr>
                <w:rFonts w:cstheme="minorHAnsi"/>
                <w:szCs w:val="20"/>
              </w:rPr>
              <w:t xml:space="preserve">Str. Răscoala 1907 nr. 8, bl. 13, sc. 1, et. 8, ap. 51, </w:t>
            </w:r>
            <w:r w:rsidR="00F53B80" w:rsidRPr="00F171A3">
              <w:rPr>
                <w:rFonts w:cstheme="minorHAnsi"/>
                <w:szCs w:val="20"/>
              </w:rPr>
              <w:t>Sector 2</w:t>
            </w:r>
          </w:p>
        </w:tc>
        <w:tc>
          <w:tcPr>
            <w:tcW w:w="1661" w:type="dxa"/>
          </w:tcPr>
          <w:p w14:paraId="6BF75C9D"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4</w:t>
            </w:r>
          </w:p>
        </w:tc>
        <w:tc>
          <w:tcPr>
            <w:tcW w:w="1350" w:type="dxa"/>
          </w:tcPr>
          <w:p w14:paraId="0BA8E1EF"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7FEBF585"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63090406" w14:textId="77777777" w:rsidR="00617090" w:rsidRPr="00F171A3" w:rsidRDefault="00617090" w:rsidP="00F31936">
            <w:pPr>
              <w:spacing w:after="60"/>
              <w:rPr>
                <w:rStyle w:val="Strong"/>
                <w:rFonts w:cstheme="minorHAnsi"/>
                <w:szCs w:val="20"/>
              </w:rPr>
            </w:pPr>
            <w:r w:rsidRPr="00F171A3">
              <w:rPr>
                <w:rFonts w:cstheme="minorHAnsi"/>
                <w:color w:val="000000"/>
                <w:szCs w:val="20"/>
              </w:rPr>
              <w:t>17</w:t>
            </w:r>
          </w:p>
        </w:tc>
        <w:tc>
          <w:tcPr>
            <w:tcW w:w="5801" w:type="dxa"/>
          </w:tcPr>
          <w:p w14:paraId="6BEC44F3" w14:textId="3E9AE4D5" w:rsidR="00617090" w:rsidRPr="00F171A3" w:rsidRDefault="00617090" w:rsidP="00F31936">
            <w:pPr>
              <w:spacing w:after="60"/>
              <w:rPr>
                <w:rStyle w:val="Strong"/>
                <w:rFonts w:cstheme="minorHAnsi"/>
                <w:szCs w:val="20"/>
              </w:rPr>
            </w:pPr>
            <w:r w:rsidRPr="00F171A3">
              <w:rPr>
                <w:rFonts w:cstheme="minorHAnsi"/>
                <w:szCs w:val="20"/>
              </w:rPr>
              <w:t>Str.</w:t>
            </w:r>
            <w:r w:rsidR="00A81580">
              <w:rPr>
                <w:rFonts w:cstheme="minorHAnsi"/>
                <w:szCs w:val="20"/>
              </w:rPr>
              <w:t xml:space="preserve"> </w:t>
            </w:r>
            <w:r w:rsidRPr="00F171A3">
              <w:rPr>
                <w:rFonts w:cstheme="minorHAnsi"/>
                <w:szCs w:val="20"/>
              </w:rPr>
              <w:t xml:space="preserve">Tampa nr.1, bl.1B, ap.4, </w:t>
            </w:r>
            <w:r w:rsidR="00F53B80" w:rsidRPr="00F171A3">
              <w:rPr>
                <w:rFonts w:cstheme="minorHAnsi"/>
                <w:szCs w:val="20"/>
              </w:rPr>
              <w:t>Sector 2</w:t>
            </w:r>
          </w:p>
        </w:tc>
        <w:tc>
          <w:tcPr>
            <w:tcW w:w="1661" w:type="dxa"/>
          </w:tcPr>
          <w:p w14:paraId="621E1842"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37959117"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4F87E215"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1A36EB2D" w14:textId="77777777" w:rsidR="00617090" w:rsidRPr="00F171A3" w:rsidRDefault="00617090" w:rsidP="00F31936">
            <w:pPr>
              <w:spacing w:after="60"/>
              <w:rPr>
                <w:rStyle w:val="Strong"/>
                <w:rFonts w:cstheme="minorHAnsi"/>
                <w:szCs w:val="20"/>
              </w:rPr>
            </w:pPr>
            <w:r w:rsidRPr="00F171A3">
              <w:rPr>
                <w:rFonts w:cstheme="minorHAnsi"/>
                <w:color w:val="000000"/>
                <w:szCs w:val="20"/>
              </w:rPr>
              <w:t>18</w:t>
            </w:r>
          </w:p>
        </w:tc>
        <w:tc>
          <w:tcPr>
            <w:tcW w:w="5801" w:type="dxa"/>
          </w:tcPr>
          <w:p w14:paraId="47E8DA90" w14:textId="57498BA8" w:rsidR="00617090" w:rsidRPr="00F171A3" w:rsidRDefault="00617090" w:rsidP="00F31936">
            <w:pPr>
              <w:spacing w:after="60"/>
              <w:rPr>
                <w:rStyle w:val="Strong"/>
                <w:rFonts w:cstheme="minorHAnsi"/>
                <w:szCs w:val="20"/>
              </w:rPr>
            </w:pPr>
            <w:r w:rsidRPr="00F171A3">
              <w:rPr>
                <w:rFonts w:cstheme="minorHAnsi"/>
                <w:szCs w:val="20"/>
              </w:rPr>
              <w:t>Str. Zambila Ionita nr.2, bl.7C, ap.30, sc.</w:t>
            </w:r>
            <w:r w:rsidR="00A81580">
              <w:rPr>
                <w:rFonts w:cstheme="minorHAnsi"/>
                <w:szCs w:val="20"/>
              </w:rPr>
              <w:t xml:space="preserve"> </w:t>
            </w:r>
            <w:r w:rsidRPr="00F171A3">
              <w:rPr>
                <w:rFonts w:cstheme="minorHAnsi"/>
                <w:szCs w:val="20"/>
              </w:rPr>
              <w:t xml:space="preserve">A, et.9, </w:t>
            </w:r>
            <w:r w:rsidR="00F53B80" w:rsidRPr="00F171A3">
              <w:rPr>
                <w:rFonts w:cstheme="minorHAnsi"/>
                <w:szCs w:val="20"/>
              </w:rPr>
              <w:t>Sector 2</w:t>
            </w:r>
          </w:p>
        </w:tc>
        <w:tc>
          <w:tcPr>
            <w:tcW w:w="1661" w:type="dxa"/>
          </w:tcPr>
          <w:p w14:paraId="4B15AF83"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3</w:t>
            </w:r>
          </w:p>
        </w:tc>
        <w:tc>
          <w:tcPr>
            <w:tcW w:w="1350" w:type="dxa"/>
          </w:tcPr>
          <w:p w14:paraId="19FB0F55"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1D2FD2FE"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2AF90DEE" w14:textId="77777777" w:rsidR="00617090" w:rsidRPr="00F171A3" w:rsidRDefault="00617090" w:rsidP="00F31936">
            <w:pPr>
              <w:spacing w:after="60"/>
              <w:rPr>
                <w:rStyle w:val="Strong"/>
                <w:rFonts w:cstheme="minorHAnsi"/>
                <w:szCs w:val="20"/>
              </w:rPr>
            </w:pPr>
            <w:r w:rsidRPr="00F171A3">
              <w:rPr>
                <w:rFonts w:cstheme="minorHAnsi"/>
                <w:color w:val="000000"/>
                <w:szCs w:val="20"/>
              </w:rPr>
              <w:t>19</w:t>
            </w:r>
          </w:p>
        </w:tc>
        <w:tc>
          <w:tcPr>
            <w:tcW w:w="5801" w:type="dxa"/>
          </w:tcPr>
          <w:p w14:paraId="2F98362F" w14:textId="06F737DE" w:rsidR="00617090" w:rsidRPr="00F171A3" w:rsidRDefault="00617090" w:rsidP="00F31936">
            <w:pPr>
              <w:spacing w:after="60"/>
              <w:rPr>
                <w:rStyle w:val="Strong"/>
                <w:rFonts w:cstheme="minorHAnsi"/>
                <w:szCs w:val="20"/>
              </w:rPr>
            </w:pPr>
            <w:r w:rsidRPr="00F171A3">
              <w:rPr>
                <w:rFonts w:cstheme="minorHAnsi"/>
                <w:szCs w:val="20"/>
              </w:rPr>
              <w:t xml:space="preserve">Locuința Protejată Stolnicul – Str. Stolnicul Vasile nr. 17, bl. 42, sc. 2, ap. 20, </w:t>
            </w:r>
            <w:r w:rsidR="00F53B80" w:rsidRPr="00F171A3">
              <w:rPr>
                <w:rFonts w:cstheme="minorHAnsi"/>
                <w:szCs w:val="20"/>
              </w:rPr>
              <w:t>Sector 2</w:t>
            </w:r>
          </w:p>
        </w:tc>
        <w:tc>
          <w:tcPr>
            <w:tcW w:w="1661" w:type="dxa"/>
          </w:tcPr>
          <w:p w14:paraId="7D6370ED"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6AF03BB7"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003E401D"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4EBE2952" w14:textId="77777777" w:rsidR="00617090" w:rsidRPr="00F171A3" w:rsidRDefault="00617090" w:rsidP="00F31936">
            <w:pPr>
              <w:spacing w:after="60"/>
              <w:rPr>
                <w:rStyle w:val="Strong"/>
                <w:rFonts w:cstheme="minorHAnsi"/>
                <w:szCs w:val="20"/>
              </w:rPr>
            </w:pPr>
            <w:r w:rsidRPr="00F171A3">
              <w:rPr>
                <w:rFonts w:cstheme="minorHAnsi"/>
                <w:color w:val="000000"/>
                <w:szCs w:val="20"/>
              </w:rPr>
              <w:t>20</w:t>
            </w:r>
          </w:p>
        </w:tc>
        <w:tc>
          <w:tcPr>
            <w:tcW w:w="5801" w:type="dxa"/>
          </w:tcPr>
          <w:p w14:paraId="704420D4" w14:textId="544AFD36" w:rsidR="00617090" w:rsidRPr="00F171A3" w:rsidRDefault="00617090" w:rsidP="00F31936">
            <w:pPr>
              <w:spacing w:after="60"/>
              <w:rPr>
                <w:rStyle w:val="Strong"/>
                <w:rFonts w:cstheme="minorHAnsi"/>
                <w:szCs w:val="20"/>
              </w:rPr>
            </w:pPr>
            <w:r w:rsidRPr="00F171A3">
              <w:rPr>
                <w:rFonts w:cstheme="minorHAnsi"/>
                <w:szCs w:val="20"/>
              </w:rPr>
              <w:t xml:space="preserve">Locuința Protejată Radovanu – Str. Radovanu nr. 5 bl. 41 sc. 3 ap. 108, </w:t>
            </w:r>
            <w:r w:rsidR="00F53B80" w:rsidRPr="00F171A3">
              <w:rPr>
                <w:rFonts w:cstheme="minorHAnsi"/>
                <w:szCs w:val="20"/>
              </w:rPr>
              <w:t>Sector 2</w:t>
            </w:r>
            <w:r w:rsidRPr="00F171A3">
              <w:rPr>
                <w:rFonts w:cstheme="minorHAnsi"/>
                <w:szCs w:val="20"/>
              </w:rPr>
              <w:t xml:space="preserve"> </w:t>
            </w:r>
          </w:p>
        </w:tc>
        <w:tc>
          <w:tcPr>
            <w:tcW w:w="1661" w:type="dxa"/>
          </w:tcPr>
          <w:p w14:paraId="00AC5064"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6D94CB0A"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58F0B45D"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6F2E52C0" w14:textId="77777777" w:rsidR="00617090" w:rsidRPr="00F171A3" w:rsidRDefault="00617090" w:rsidP="00F31936">
            <w:pPr>
              <w:spacing w:after="60"/>
              <w:rPr>
                <w:rStyle w:val="Strong"/>
                <w:rFonts w:cstheme="minorHAnsi"/>
                <w:szCs w:val="20"/>
              </w:rPr>
            </w:pPr>
            <w:r w:rsidRPr="00F171A3">
              <w:rPr>
                <w:rFonts w:cstheme="minorHAnsi"/>
                <w:color w:val="000000"/>
                <w:szCs w:val="20"/>
              </w:rPr>
              <w:t>21</w:t>
            </w:r>
          </w:p>
        </w:tc>
        <w:tc>
          <w:tcPr>
            <w:tcW w:w="5801" w:type="dxa"/>
          </w:tcPr>
          <w:p w14:paraId="5F29951F" w14:textId="5DF8575A" w:rsidR="00617090" w:rsidRPr="00F171A3" w:rsidRDefault="00617090" w:rsidP="00F31936">
            <w:pPr>
              <w:spacing w:after="60"/>
              <w:rPr>
                <w:rStyle w:val="Strong"/>
                <w:rFonts w:cstheme="minorHAnsi"/>
                <w:szCs w:val="20"/>
              </w:rPr>
            </w:pPr>
            <w:r w:rsidRPr="00F171A3">
              <w:rPr>
                <w:rFonts w:cstheme="minorHAnsi"/>
                <w:szCs w:val="20"/>
              </w:rPr>
              <w:t xml:space="preserve">Locuința Protejată Ciocârliei – Str. Ciocârliei nr. 14 bl. D9, sc. 1 ap. 2, </w:t>
            </w:r>
            <w:r w:rsidR="00F53B80" w:rsidRPr="00F171A3">
              <w:rPr>
                <w:rFonts w:cstheme="minorHAnsi"/>
                <w:szCs w:val="20"/>
              </w:rPr>
              <w:t>Sector 2</w:t>
            </w:r>
          </w:p>
        </w:tc>
        <w:tc>
          <w:tcPr>
            <w:tcW w:w="1661" w:type="dxa"/>
          </w:tcPr>
          <w:p w14:paraId="594ABAC6"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6</w:t>
            </w:r>
          </w:p>
        </w:tc>
        <w:tc>
          <w:tcPr>
            <w:tcW w:w="1350" w:type="dxa"/>
          </w:tcPr>
          <w:p w14:paraId="22EC2914"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r w:rsidR="00617090" w:rsidRPr="00F171A3" w14:paraId="4D43CE3D" w14:textId="77777777" w:rsidTr="00F31936">
        <w:trPr>
          <w:cnfStyle w:val="000000010000" w:firstRow="0" w:lastRow="0" w:firstColumn="0" w:lastColumn="0" w:oddVBand="0" w:evenVBand="0" w:oddHBand="0" w:evenHBand="1" w:firstRowFirstColumn="0" w:firstRowLastColumn="0" w:lastRowFirstColumn="0" w:lastRowLastColumn="0"/>
        </w:trPr>
        <w:tc>
          <w:tcPr>
            <w:tcW w:w="624" w:type="dxa"/>
          </w:tcPr>
          <w:p w14:paraId="2544344B" w14:textId="77777777" w:rsidR="00617090" w:rsidRPr="00F171A3" w:rsidRDefault="00617090" w:rsidP="00F31936">
            <w:pPr>
              <w:spacing w:after="60"/>
              <w:rPr>
                <w:rStyle w:val="Strong"/>
                <w:rFonts w:cstheme="minorHAnsi"/>
                <w:szCs w:val="20"/>
              </w:rPr>
            </w:pPr>
            <w:r w:rsidRPr="00F171A3">
              <w:rPr>
                <w:rFonts w:cstheme="minorHAnsi"/>
                <w:color w:val="000000"/>
                <w:szCs w:val="20"/>
              </w:rPr>
              <w:t>22</w:t>
            </w:r>
          </w:p>
        </w:tc>
        <w:tc>
          <w:tcPr>
            <w:tcW w:w="5801" w:type="dxa"/>
          </w:tcPr>
          <w:p w14:paraId="4496F949" w14:textId="69AA5887" w:rsidR="00617090" w:rsidRPr="00F171A3" w:rsidRDefault="00617090" w:rsidP="00F31936">
            <w:pPr>
              <w:spacing w:after="60"/>
              <w:rPr>
                <w:rStyle w:val="Strong"/>
                <w:rFonts w:cstheme="minorHAnsi"/>
                <w:szCs w:val="20"/>
              </w:rPr>
            </w:pPr>
            <w:r w:rsidRPr="00F171A3">
              <w:rPr>
                <w:rFonts w:cstheme="minorHAnsi"/>
                <w:szCs w:val="20"/>
              </w:rPr>
              <w:t xml:space="preserve">Locuința Protejată Nr. 1 – Str. Balotului nr. 42, </w:t>
            </w:r>
            <w:r w:rsidR="00F53B80" w:rsidRPr="00F171A3">
              <w:rPr>
                <w:rFonts w:cstheme="minorHAnsi"/>
                <w:szCs w:val="20"/>
              </w:rPr>
              <w:t>Sector 2</w:t>
            </w:r>
          </w:p>
        </w:tc>
        <w:tc>
          <w:tcPr>
            <w:tcW w:w="1661" w:type="dxa"/>
          </w:tcPr>
          <w:p w14:paraId="6EE64FC4"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8</w:t>
            </w:r>
          </w:p>
        </w:tc>
        <w:tc>
          <w:tcPr>
            <w:tcW w:w="1350" w:type="dxa"/>
          </w:tcPr>
          <w:p w14:paraId="148F01C6" w14:textId="77777777" w:rsidR="00617090" w:rsidRPr="00F171A3" w:rsidRDefault="00617090" w:rsidP="00F31936">
            <w:pPr>
              <w:spacing w:after="60"/>
              <w:jc w:val="center"/>
              <w:rPr>
                <w:rStyle w:val="Strong"/>
                <w:rFonts w:cstheme="minorHAnsi"/>
                <w:szCs w:val="20"/>
              </w:rPr>
            </w:pPr>
            <w:r w:rsidRPr="00F171A3">
              <w:rPr>
                <w:rFonts w:cstheme="minorHAnsi"/>
                <w:szCs w:val="20"/>
              </w:rPr>
              <w:t>10</w:t>
            </w:r>
          </w:p>
        </w:tc>
      </w:tr>
      <w:tr w:rsidR="00617090" w:rsidRPr="00F171A3" w14:paraId="692FF517" w14:textId="77777777" w:rsidTr="00F31936">
        <w:trPr>
          <w:cnfStyle w:val="000000100000" w:firstRow="0" w:lastRow="0" w:firstColumn="0" w:lastColumn="0" w:oddVBand="0" w:evenVBand="0" w:oddHBand="1" w:evenHBand="0" w:firstRowFirstColumn="0" w:firstRowLastColumn="0" w:lastRowFirstColumn="0" w:lastRowLastColumn="0"/>
        </w:trPr>
        <w:tc>
          <w:tcPr>
            <w:tcW w:w="624" w:type="dxa"/>
          </w:tcPr>
          <w:p w14:paraId="3D4BD4AD" w14:textId="77777777" w:rsidR="00617090" w:rsidRPr="00F171A3" w:rsidRDefault="00617090" w:rsidP="00F31936">
            <w:pPr>
              <w:spacing w:after="60"/>
              <w:rPr>
                <w:rStyle w:val="Strong"/>
                <w:rFonts w:cstheme="minorHAnsi"/>
                <w:szCs w:val="20"/>
              </w:rPr>
            </w:pPr>
            <w:r w:rsidRPr="00F171A3">
              <w:rPr>
                <w:rFonts w:cstheme="minorHAnsi"/>
                <w:color w:val="000000"/>
                <w:szCs w:val="20"/>
              </w:rPr>
              <w:t>23</w:t>
            </w:r>
          </w:p>
        </w:tc>
        <w:tc>
          <w:tcPr>
            <w:tcW w:w="5801" w:type="dxa"/>
          </w:tcPr>
          <w:p w14:paraId="212AB483" w14:textId="45CA3342" w:rsidR="00617090" w:rsidRPr="00F171A3" w:rsidRDefault="00617090" w:rsidP="00F31936">
            <w:pPr>
              <w:spacing w:after="60"/>
              <w:rPr>
                <w:rStyle w:val="Strong"/>
                <w:rFonts w:cstheme="minorHAnsi"/>
                <w:szCs w:val="20"/>
              </w:rPr>
            </w:pPr>
            <w:r w:rsidRPr="00F171A3">
              <w:rPr>
                <w:rFonts w:cstheme="minorHAnsi"/>
                <w:szCs w:val="20"/>
              </w:rPr>
              <w:t xml:space="preserve">Locuința Protejată Nr. 2 – Str. Balotului nr. 42, </w:t>
            </w:r>
            <w:r w:rsidR="00F53B80" w:rsidRPr="00F171A3">
              <w:rPr>
                <w:rFonts w:cstheme="minorHAnsi"/>
                <w:szCs w:val="20"/>
              </w:rPr>
              <w:t>Sector 2</w:t>
            </w:r>
            <w:r w:rsidRPr="00F171A3">
              <w:rPr>
                <w:rFonts w:cstheme="minorHAnsi"/>
                <w:szCs w:val="20"/>
              </w:rPr>
              <w:t xml:space="preserve"> </w:t>
            </w:r>
          </w:p>
        </w:tc>
        <w:tc>
          <w:tcPr>
            <w:tcW w:w="1661" w:type="dxa"/>
          </w:tcPr>
          <w:p w14:paraId="7E5BB9E3" w14:textId="77777777" w:rsidR="00617090" w:rsidRPr="00F171A3" w:rsidRDefault="00617090" w:rsidP="00F31936">
            <w:pPr>
              <w:spacing w:after="60"/>
              <w:jc w:val="center"/>
              <w:rPr>
                <w:rStyle w:val="Strong"/>
                <w:rFonts w:cstheme="minorHAnsi"/>
                <w:szCs w:val="20"/>
              </w:rPr>
            </w:pPr>
            <w:r w:rsidRPr="00F171A3">
              <w:rPr>
                <w:rFonts w:cstheme="minorHAnsi"/>
                <w:color w:val="000000"/>
                <w:szCs w:val="20"/>
              </w:rPr>
              <w:t>4</w:t>
            </w:r>
          </w:p>
        </w:tc>
        <w:tc>
          <w:tcPr>
            <w:tcW w:w="1350" w:type="dxa"/>
          </w:tcPr>
          <w:p w14:paraId="1FF7316D" w14:textId="77777777" w:rsidR="00617090" w:rsidRPr="00F171A3" w:rsidRDefault="00617090" w:rsidP="00F31936">
            <w:pPr>
              <w:spacing w:after="60"/>
              <w:jc w:val="center"/>
              <w:rPr>
                <w:rStyle w:val="Strong"/>
                <w:rFonts w:cstheme="minorHAnsi"/>
                <w:szCs w:val="20"/>
              </w:rPr>
            </w:pPr>
            <w:r w:rsidRPr="00F171A3">
              <w:rPr>
                <w:rFonts w:cstheme="minorHAnsi"/>
                <w:szCs w:val="20"/>
              </w:rPr>
              <w:t>6</w:t>
            </w:r>
          </w:p>
        </w:tc>
      </w:tr>
    </w:tbl>
    <w:p w14:paraId="6FDA7308" w14:textId="77777777" w:rsidR="00617090" w:rsidRPr="00F171A3" w:rsidRDefault="00617090" w:rsidP="00FF6C80">
      <w:pPr>
        <w:jc w:val="right"/>
        <w:rPr>
          <w:color w:val="BFBFBF" w:themeColor="background1" w:themeShade="BF"/>
        </w:rPr>
      </w:pPr>
      <w:r w:rsidRPr="00F171A3">
        <w:rPr>
          <w:color w:val="BFBFBF" w:themeColor="background1" w:themeShade="BF"/>
        </w:rPr>
        <w:t>Sursa: DGASPC Sector 2</w:t>
      </w:r>
    </w:p>
    <w:p w14:paraId="2A7BE787" w14:textId="77777777" w:rsidR="00617090" w:rsidRPr="00F171A3" w:rsidRDefault="00617090" w:rsidP="00617090">
      <w:r w:rsidRPr="00F171A3">
        <w:t>Totodată, în Sectorul 2, funcționează un număr semnificativ de prestatori de servicii sociale de drept privat, care au peste 2.400 de beneficiari anual</w:t>
      </w:r>
      <w:r w:rsidRPr="00F171A3">
        <w:rPr>
          <w:rStyle w:val="FootnoteReference"/>
        </w:rPr>
        <w:footnoteReference w:id="13"/>
      </w:r>
      <w:r w:rsidRPr="00F171A3">
        <w:t>:</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4718"/>
        <w:gridCol w:w="4718"/>
      </w:tblGrid>
      <w:tr w:rsidR="00617090" w:rsidRPr="00F171A3" w14:paraId="376BB5E7" w14:textId="77777777" w:rsidTr="00D44B8A">
        <w:tc>
          <w:tcPr>
            <w:tcW w:w="4718" w:type="dxa"/>
            <w:shd w:val="clear" w:color="auto" w:fill="F2F2F2" w:themeFill="background1" w:themeFillShade="F2"/>
          </w:tcPr>
          <w:p w14:paraId="6E6DF5FD"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Fundația Hospice Casa Speranței</w:t>
            </w:r>
          </w:p>
        </w:tc>
        <w:tc>
          <w:tcPr>
            <w:tcW w:w="4718" w:type="dxa"/>
            <w:shd w:val="clear" w:color="auto" w:fill="F2F2F2" w:themeFill="background1" w:themeFillShade="F2"/>
          </w:tcPr>
          <w:p w14:paraId="0B82E3D9"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Butterfly Solutions S.R.L.</w:t>
            </w:r>
          </w:p>
        </w:tc>
      </w:tr>
      <w:tr w:rsidR="00617090" w:rsidRPr="00F171A3" w14:paraId="6095F1FC" w14:textId="77777777" w:rsidTr="00D44B8A">
        <w:tc>
          <w:tcPr>
            <w:tcW w:w="4718" w:type="dxa"/>
            <w:shd w:val="clear" w:color="auto" w:fill="F2F2F2" w:themeFill="background1" w:themeFillShade="F2"/>
          </w:tcPr>
          <w:p w14:paraId="3A2E2FFE"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4 Generații Care Home S.R.L.</w:t>
            </w:r>
          </w:p>
        </w:tc>
        <w:tc>
          <w:tcPr>
            <w:tcW w:w="4718" w:type="dxa"/>
            <w:shd w:val="clear" w:color="auto" w:fill="F2F2F2" w:themeFill="background1" w:themeFillShade="F2"/>
          </w:tcPr>
          <w:p w14:paraId="18F3EB48"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Filiala Asociația Diaconia Sector 2</w:t>
            </w:r>
          </w:p>
        </w:tc>
      </w:tr>
      <w:tr w:rsidR="00617090" w:rsidRPr="00F171A3" w14:paraId="6AF464B3" w14:textId="77777777" w:rsidTr="00D44B8A">
        <w:tc>
          <w:tcPr>
            <w:tcW w:w="4718" w:type="dxa"/>
            <w:shd w:val="clear" w:color="auto" w:fill="F2F2F2" w:themeFill="background1" w:themeFillShade="F2"/>
          </w:tcPr>
          <w:p w14:paraId="73713FAA"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Anais</w:t>
            </w:r>
          </w:p>
        </w:tc>
        <w:tc>
          <w:tcPr>
            <w:tcW w:w="4718" w:type="dxa"/>
            <w:shd w:val="clear" w:color="auto" w:fill="F2F2F2" w:themeFill="background1" w:themeFillShade="F2"/>
          </w:tcPr>
          <w:p w14:paraId="5AA444E8"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Fundația Dezvoltarea Popoarelor</w:t>
            </w:r>
          </w:p>
        </w:tc>
      </w:tr>
      <w:tr w:rsidR="00617090" w:rsidRPr="00F171A3" w14:paraId="229B803C" w14:textId="77777777" w:rsidTr="00D44B8A">
        <w:tc>
          <w:tcPr>
            <w:tcW w:w="4718" w:type="dxa"/>
            <w:shd w:val="clear" w:color="auto" w:fill="F2F2F2" w:themeFill="background1" w:themeFillShade="F2"/>
          </w:tcPr>
          <w:p w14:paraId="3CC820DC"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Autism Voice</w:t>
            </w:r>
          </w:p>
        </w:tc>
        <w:tc>
          <w:tcPr>
            <w:tcW w:w="4718" w:type="dxa"/>
            <w:shd w:val="clear" w:color="auto" w:fill="F2F2F2" w:themeFill="background1" w:themeFillShade="F2"/>
          </w:tcPr>
          <w:p w14:paraId="64A17F3F"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Fundația Bucuria Ajutorului</w:t>
            </w:r>
          </w:p>
        </w:tc>
      </w:tr>
      <w:tr w:rsidR="00617090" w:rsidRPr="00F171A3" w14:paraId="47DF1251" w14:textId="77777777" w:rsidTr="00D44B8A">
        <w:tc>
          <w:tcPr>
            <w:tcW w:w="4718" w:type="dxa"/>
            <w:shd w:val="clear" w:color="auto" w:fill="F2F2F2" w:themeFill="background1" w:themeFillShade="F2"/>
          </w:tcPr>
          <w:p w14:paraId="42934A4D"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Carusel</w:t>
            </w:r>
          </w:p>
        </w:tc>
        <w:tc>
          <w:tcPr>
            <w:tcW w:w="4718" w:type="dxa"/>
            <w:shd w:val="clear" w:color="auto" w:fill="F2F2F2" w:themeFill="background1" w:themeFillShade="F2"/>
          </w:tcPr>
          <w:p w14:paraId="279630E9"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Fundația Copii în Dificultate</w:t>
            </w:r>
          </w:p>
        </w:tc>
      </w:tr>
      <w:tr w:rsidR="00617090" w:rsidRPr="00F171A3" w14:paraId="50CF458F" w14:textId="77777777" w:rsidTr="00D44B8A">
        <w:tc>
          <w:tcPr>
            <w:tcW w:w="4718" w:type="dxa"/>
            <w:shd w:val="clear" w:color="auto" w:fill="F2F2F2" w:themeFill="background1" w:themeFillShade="F2"/>
          </w:tcPr>
          <w:p w14:paraId="53CE85B1"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Casa Fericirii</w:t>
            </w:r>
          </w:p>
        </w:tc>
        <w:tc>
          <w:tcPr>
            <w:tcW w:w="4718" w:type="dxa"/>
            <w:shd w:val="clear" w:color="auto" w:fill="F2F2F2" w:themeFill="background1" w:themeFillShade="F2"/>
          </w:tcPr>
          <w:p w14:paraId="34EBB018"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Fundația Inocenti – Filiala București</w:t>
            </w:r>
          </w:p>
        </w:tc>
      </w:tr>
      <w:tr w:rsidR="00617090" w:rsidRPr="00F171A3" w14:paraId="62B9A1EC" w14:textId="77777777" w:rsidTr="00D44B8A">
        <w:tc>
          <w:tcPr>
            <w:tcW w:w="4718" w:type="dxa"/>
            <w:shd w:val="clear" w:color="auto" w:fill="F2F2F2" w:themeFill="background1" w:themeFillShade="F2"/>
          </w:tcPr>
          <w:p w14:paraId="3AAC6BAC"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Casa Sfântul Andrei</w:t>
            </w:r>
          </w:p>
        </w:tc>
        <w:tc>
          <w:tcPr>
            <w:tcW w:w="4718" w:type="dxa"/>
            <w:shd w:val="clear" w:color="auto" w:fill="F2F2F2" w:themeFill="background1" w:themeFillShade="F2"/>
          </w:tcPr>
          <w:p w14:paraId="03AB6E78"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Fundația Sfântul Dimitrie</w:t>
            </w:r>
          </w:p>
        </w:tc>
      </w:tr>
      <w:tr w:rsidR="00617090" w:rsidRPr="00F171A3" w14:paraId="28145C70" w14:textId="77777777" w:rsidTr="00D44B8A">
        <w:tc>
          <w:tcPr>
            <w:tcW w:w="4718" w:type="dxa"/>
            <w:shd w:val="clear" w:color="auto" w:fill="F2F2F2" w:themeFill="background1" w:themeFillShade="F2"/>
          </w:tcPr>
          <w:p w14:paraId="0685BAA5"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Creștină Sfinții Ion și Ecaterina</w:t>
            </w:r>
          </w:p>
        </w:tc>
        <w:tc>
          <w:tcPr>
            <w:tcW w:w="4718" w:type="dxa"/>
            <w:shd w:val="clear" w:color="auto" w:fill="F2F2F2" w:themeFill="background1" w:themeFillShade="F2"/>
          </w:tcPr>
          <w:p w14:paraId="53561299"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Mănăstirea Christiana</w:t>
            </w:r>
          </w:p>
        </w:tc>
      </w:tr>
      <w:tr w:rsidR="00617090" w:rsidRPr="00F171A3" w14:paraId="0F054085" w14:textId="77777777" w:rsidTr="00D44B8A">
        <w:tc>
          <w:tcPr>
            <w:tcW w:w="4718" w:type="dxa"/>
            <w:shd w:val="clear" w:color="auto" w:fill="F2F2F2" w:themeFill="background1" w:themeFillShade="F2"/>
          </w:tcPr>
          <w:p w14:paraId="302AFAE6"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de Sprijin a Copiilor Handicapați Fizic – Roânia</w:t>
            </w:r>
          </w:p>
        </w:tc>
        <w:tc>
          <w:tcPr>
            <w:tcW w:w="4718" w:type="dxa"/>
            <w:shd w:val="clear" w:color="auto" w:fill="F2F2F2" w:themeFill="background1" w:themeFillShade="F2"/>
          </w:tcPr>
          <w:p w14:paraId="7BE80498"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Private Senior Center S.R.L.</w:t>
            </w:r>
          </w:p>
        </w:tc>
      </w:tr>
      <w:tr w:rsidR="00617090" w:rsidRPr="00F171A3" w14:paraId="10437C64" w14:textId="77777777" w:rsidTr="00D44B8A">
        <w:tc>
          <w:tcPr>
            <w:tcW w:w="4718" w:type="dxa"/>
            <w:shd w:val="clear" w:color="auto" w:fill="F2F2F2" w:themeFill="background1" w:themeFillShade="F2"/>
          </w:tcPr>
          <w:p w14:paraId="5788E730"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Fecioara Maria Milostivirii în România</w:t>
            </w:r>
          </w:p>
        </w:tc>
        <w:tc>
          <w:tcPr>
            <w:tcW w:w="4718" w:type="dxa"/>
            <w:shd w:val="clear" w:color="auto" w:fill="F2F2F2" w:themeFill="background1" w:themeFillShade="F2"/>
          </w:tcPr>
          <w:p w14:paraId="3A19F11B"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S.C. Nik &amp; Sara Travel Trans, S.R.L. Camin Cochet</w:t>
            </w:r>
          </w:p>
        </w:tc>
      </w:tr>
      <w:tr w:rsidR="00617090" w:rsidRPr="00F171A3" w14:paraId="4CA2E334" w14:textId="77777777" w:rsidTr="00D44B8A">
        <w:tc>
          <w:tcPr>
            <w:tcW w:w="4718" w:type="dxa"/>
            <w:shd w:val="clear" w:color="auto" w:fill="F2F2F2" w:themeFill="background1" w:themeFillShade="F2"/>
          </w:tcPr>
          <w:p w14:paraId="0807CB2B"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Națională pentru Copii și Adulți cu Autism din România</w:t>
            </w:r>
          </w:p>
        </w:tc>
        <w:tc>
          <w:tcPr>
            <w:tcW w:w="4718" w:type="dxa"/>
            <w:shd w:val="clear" w:color="auto" w:fill="F2F2F2" w:themeFill="background1" w:themeFillShade="F2"/>
          </w:tcPr>
          <w:p w14:paraId="2E09E4FF"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Organizația Suedeză pentru Ajutor Umanitar Individual</w:t>
            </w:r>
          </w:p>
        </w:tc>
      </w:tr>
      <w:tr w:rsidR="00617090" w:rsidRPr="00F171A3" w14:paraId="6857AE89" w14:textId="77777777" w:rsidTr="00D44B8A">
        <w:tc>
          <w:tcPr>
            <w:tcW w:w="4718" w:type="dxa"/>
            <w:shd w:val="clear" w:color="auto" w:fill="F2F2F2" w:themeFill="background1" w:themeFillShade="F2"/>
          </w:tcPr>
          <w:p w14:paraId="1FF31031"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pentru o Comunitate Solidară și Intervenție Socială</w:t>
            </w:r>
          </w:p>
        </w:tc>
        <w:tc>
          <w:tcPr>
            <w:tcW w:w="4718" w:type="dxa"/>
            <w:shd w:val="clear" w:color="auto" w:fill="F2F2F2" w:themeFill="background1" w:themeFillShade="F2"/>
          </w:tcPr>
          <w:p w14:paraId="4AC0FA85"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Arhiepiscopia Bucureștilor</w:t>
            </w:r>
          </w:p>
        </w:tc>
      </w:tr>
      <w:tr w:rsidR="00617090" w:rsidRPr="00F171A3" w14:paraId="405FB589" w14:textId="77777777" w:rsidTr="00D44B8A">
        <w:tc>
          <w:tcPr>
            <w:tcW w:w="4718" w:type="dxa"/>
            <w:shd w:val="clear" w:color="auto" w:fill="F2F2F2" w:themeFill="background1" w:themeFillShade="F2"/>
          </w:tcPr>
          <w:p w14:paraId="06CF9F08"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Română Anti – SIDA</w:t>
            </w:r>
          </w:p>
        </w:tc>
        <w:tc>
          <w:tcPr>
            <w:tcW w:w="4718" w:type="dxa"/>
            <w:shd w:val="clear" w:color="auto" w:fill="F2F2F2" w:themeFill="background1" w:themeFillShade="F2"/>
          </w:tcPr>
          <w:p w14:paraId="6614A08A"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Sf. Silvestru</w:t>
            </w:r>
          </w:p>
        </w:tc>
      </w:tr>
      <w:tr w:rsidR="00617090" w:rsidRPr="00F171A3" w14:paraId="4675C02A" w14:textId="77777777" w:rsidTr="00D44B8A">
        <w:tc>
          <w:tcPr>
            <w:tcW w:w="4718" w:type="dxa"/>
            <w:shd w:val="clear" w:color="auto" w:fill="F2F2F2" w:themeFill="background1" w:themeFillShade="F2"/>
          </w:tcPr>
          <w:p w14:paraId="32C415B9" w14:textId="5973A652" w:rsidR="00617090" w:rsidRPr="00F171A3" w:rsidRDefault="0060613A">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w:t>
            </w:r>
            <w:r w:rsidR="00617090" w:rsidRPr="00F171A3">
              <w:rPr>
                <w:rFonts w:asciiTheme="minorHAnsi" w:hAnsiTheme="minorHAnsi" w:cstheme="minorHAnsi"/>
                <w:color w:val="134753" w:themeColor="text2"/>
              </w:rPr>
              <w:t xml:space="preserve"> SOS Satele Copiilor România</w:t>
            </w:r>
          </w:p>
        </w:tc>
        <w:tc>
          <w:tcPr>
            <w:tcW w:w="4718" w:type="dxa"/>
            <w:shd w:val="clear" w:color="auto" w:fill="F2F2F2" w:themeFill="background1" w:themeFillShade="F2"/>
          </w:tcPr>
          <w:p w14:paraId="27822297"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 xml:space="preserve">Așezământul Acoperământul Maicii Domnului - Precupeții Vechii </w:t>
            </w:r>
          </w:p>
        </w:tc>
      </w:tr>
      <w:tr w:rsidR="00617090" w:rsidRPr="00F171A3" w14:paraId="63AD9B84" w14:textId="77777777" w:rsidTr="00D44B8A">
        <w:tc>
          <w:tcPr>
            <w:tcW w:w="4718" w:type="dxa"/>
            <w:shd w:val="clear" w:color="auto" w:fill="F2F2F2" w:themeFill="background1" w:themeFillShade="F2"/>
          </w:tcPr>
          <w:p w14:paraId="2E59E5C6"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Touched România</w:t>
            </w:r>
          </w:p>
        </w:tc>
        <w:tc>
          <w:tcPr>
            <w:tcW w:w="4718" w:type="dxa"/>
            <w:shd w:val="clear" w:color="auto" w:fill="F2F2F2" w:themeFill="background1" w:themeFillShade="F2"/>
          </w:tcPr>
          <w:p w14:paraId="49D0A097" w14:textId="77777777" w:rsidR="00617090" w:rsidRPr="00F171A3" w:rsidRDefault="00617090">
            <w:pPr>
              <w:pStyle w:val="ListParagraph"/>
              <w:numPr>
                <w:ilvl w:val="0"/>
                <w:numId w:val="19"/>
              </w:numPr>
              <w:rPr>
                <w:rFonts w:asciiTheme="minorHAnsi" w:hAnsiTheme="minorHAnsi" w:cstheme="minorHAnsi"/>
                <w:color w:val="134753" w:themeColor="text2"/>
              </w:rPr>
            </w:pPr>
            <w:r w:rsidRPr="00F171A3">
              <w:rPr>
                <w:rFonts w:asciiTheme="minorHAnsi" w:hAnsiTheme="minorHAnsi" w:cstheme="minorHAnsi"/>
                <w:color w:val="134753" w:themeColor="text2"/>
              </w:rPr>
              <w:t>Asociația Marathon</w:t>
            </w:r>
          </w:p>
        </w:tc>
      </w:tr>
    </w:tbl>
    <w:p w14:paraId="16340EEB" w14:textId="77777777" w:rsidR="00617090" w:rsidRPr="00F171A3" w:rsidRDefault="00617090" w:rsidP="00617090">
      <w:pPr>
        <w:spacing w:before="240"/>
      </w:pPr>
      <w:r w:rsidRPr="00F171A3">
        <w:t>În linii generale, aceste entități oferă servicii sociale diversificate, atât pentru copii, cât și pentru persoanele adulte sau vârstnice, în cadrul centrelor de zi, centrelor rezidențiale sau sub forma intervențiilor la domiciliu pentru persoanele vârstnice, dependente sau a persoanelor cu handicap.</w:t>
      </w:r>
    </w:p>
    <w:p w14:paraId="662CF96D" w14:textId="77777777" w:rsidR="00617090" w:rsidRPr="00F171A3" w:rsidRDefault="00617090" w:rsidP="00617090">
      <w:pPr>
        <w:spacing w:before="240"/>
      </w:pPr>
    </w:p>
    <w:p w14:paraId="6669C34E" w14:textId="77777777" w:rsidR="00617090" w:rsidRPr="00F171A3" w:rsidRDefault="00617090" w:rsidP="00617090">
      <w:pPr>
        <w:spacing w:before="240"/>
      </w:pPr>
    </w:p>
    <w:p w14:paraId="02767915" w14:textId="77777777" w:rsidR="00617090" w:rsidRPr="00F171A3" w:rsidRDefault="00617090" w:rsidP="00617090">
      <w:pPr>
        <w:spacing w:before="240"/>
      </w:pPr>
    </w:p>
    <w:p w14:paraId="160FC3C4" w14:textId="70BA615A" w:rsidR="00617090" w:rsidRPr="00F171A3" w:rsidRDefault="00617090" w:rsidP="00617090">
      <w:pPr>
        <w:pStyle w:val="Caption"/>
      </w:pPr>
      <w:bookmarkStart w:id="82" w:name="_Toc127198012"/>
      <w:r w:rsidRPr="00F171A3">
        <w:t xml:space="preserve">Figura </w:t>
      </w:r>
      <w:r w:rsidRPr="00F171A3">
        <w:fldChar w:fldCharType="begin"/>
      </w:r>
      <w:r w:rsidRPr="00F171A3">
        <w:instrText xml:space="preserve"> SEQ Figura \* ARABIC </w:instrText>
      </w:r>
      <w:r w:rsidRPr="00F171A3">
        <w:fldChar w:fldCharType="separate"/>
      </w:r>
      <w:r w:rsidR="005A6DD8">
        <w:rPr>
          <w:noProof/>
        </w:rPr>
        <w:t>24</w:t>
      </w:r>
      <w:r w:rsidRPr="00F171A3">
        <w:fldChar w:fldCharType="end"/>
      </w:r>
      <w:r w:rsidRPr="00F171A3">
        <w:t xml:space="preserve"> Distribuția locuințelor sociale în Sectorul 2</w:t>
      </w:r>
      <w:bookmarkEnd w:id="82"/>
    </w:p>
    <w:p w14:paraId="75D60554" w14:textId="77777777" w:rsidR="00617090" w:rsidRPr="00F171A3" w:rsidRDefault="00617090" w:rsidP="00617090">
      <w:r w:rsidRPr="00F171A3">
        <w:rPr>
          <w:noProof/>
        </w:rPr>
        <w:drawing>
          <wp:inline distT="0" distB="0" distL="0" distR="0" wp14:anchorId="1AF633C5" wp14:editId="722CCE47">
            <wp:extent cx="5996940" cy="8473440"/>
            <wp:effectExtent l="0" t="0" r="3810" b="3810"/>
            <wp:docPr id="25612" name="Picture 2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96940" cy="8473440"/>
                    </a:xfrm>
                    <a:prstGeom prst="rect">
                      <a:avLst/>
                    </a:prstGeom>
                    <a:noFill/>
                    <a:ln>
                      <a:noFill/>
                    </a:ln>
                  </pic:spPr>
                </pic:pic>
              </a:graphicData>
            </a:graphic>
          </wp:inline>
        </w:drawing>
      </w:r>
    </w:p>
    <w:p w14:paraId="2E97512A" w14:textId="77777777" w:rsidR="00617090" w:rsidRPr="00F171A3" w:rsidRDefault="00617090" w:rsidP="00FF6C80">
      <w:pPr>
        <w:jc w:val="right"/>
        <w:rPr>
          <w:color w:val="BFBFBF" w:themeColor="background1" w:themeShade="BF"/>
        </w:rPr>
      </w:pPr>
      <w:r w:rsidRPr="00F171A3">
        <w:rPr>
          <w:color w:val="BFBFBF" w:themeColor="background1" w:themeShade="BF"/>
        </w:rPr>
        <w:t>Sursa: Prelucrare proprie a datelor primite de la DGASPC Sector 2</w:t>
      </w:r>
    </w:p>
    <w:p w14:paraId="7E119697" w14:textId="77777777" w:rsidR="00617090" w:rsidRPr="00F171A3" w:rsidRDefault="00617090" w:rsidP="00617090">
      <w:pPr>
        <w:pStyle w:val="Normal0"/>
      </w:pPr>
      <w:r w:rsidRPr="00F171A3">
        <w:t>În cadrul procesului de actualizare a strategiei au fost consultați diverși actori relevanți, mediul non-guvernamental precum și cetățenii din Sectorul 2, prin intermediul unui chestionar online. Astfel, răspunsurile din chestionarele aplicate cetățenilor din Sectorul 2 indică faptul că 55,7% dintre locuitori consideră că toate tipurile de servicii sociale prezente în figura de mai jos sunt necesare și foarte necesare. Într-o ordine ierarhică, cele mai necesare servicii sociale conform locuitorilor Sectorului 2, sunt:</w:t>
      </w:r>
    </w:p>
    <w:p w14:paraId="03CB1300" w14:textId="77777777" w:rsidR="00617090" w:rsidRPr="00F171A3" w:rsidRDefault="00617090">
      <w:pPr>
        <w:pStyle w:val="Normal0"/>
        <w:numPr>
          <w:ilvl w:val="0"/>
          <w:numId w:val="37"/>
        </w:numPr>
        <w:rPr>
          <w:color w:val="134753" w:themeColor="text2"/>
        </w:rPr>
      </w:pPr>
      <w:r w:rsidRPr="00F171A3">
        <w:rPr>
          <w:color w:val="134753" w:themeColor="text2"/>
        </w:rPr>
        <w:t>Servicii de îngrijire la domiciliu pentru persoanele vârstnice (87,6% dintre respondenți consideră acest serviciu social ca fiind necesar și foarte necesar);</w:t>
      </w:r>
    </w:p>
    <w:p w14:paraId="20A48918" w14:textId="77777777" w:rsidR="00617090" w:rsidRPr="00F171A3" w:rsidRDefault="00617090">
      <w:pPr>
        <w:pStyle w:val="Normal0"/>
        <w:numPr>
          <w:ilvl w:val="0"/>
          <w:numId w:val="37"/>
        </w:numPr>
        <w:rPr>
          <w:color w:val="134753" w:themeColor="text2"/>
        </w:rPr>
      </w:pPr>
      <w:r w:rsidRPr="00F171A3">
        <w:rPr>
          <w:color w:val="134753" w:themeColor="text2"/>
        </w:rPr>
        <w:t>Servicii de suport (recuperare medicală, asistent personal, etc.) pentru copiii cu dizabilități (86,2% dintre respondenți consideră acest serviciu social ca fiind necesar și foarte necesar);</w:t>
      </w:r>
    </w:p>
    <w:p w14:paraId="632C29FE" w14:textId="77777777" w:rsidR="00617090" w:rsidRPr="00F171A3" w:rsidRDefault="00617090">
      <w:pPr>
        <w:pStyle w:val="Normal0"/>
        <w:numPr>
          <w:ilvl w:val="0"/>
          <w:numId w:val="37"/>
        </w:numPr>
        <w:rPr>
          <w:color w:val="134753" w:themeColor="text2"/>
        </w:rPr>
      </w:pPr>
      <w:r w:rsidRPr="00F171A3">
        <w:rPr>
          <w:color w:val="134753" w:themeColor="text2"/>
        </w:rPr>
        <w:t>Servicii de suport (recuperare medicală, asistent personal, etc.) pentru persoanele adulte cu dizabilități (84,8% dintre respondenți consideră acest serviciu social ca fiind necesar și foarte necesar);</w:t>
      </w:r>
    </w:p>
    <w:p w14:paraId="3053F208" w14:textId="77777777" w:rsidR="00617090" w:rsidRPr="00F171A3" w:rsidRDefault="00617090">
      <w:pPr>
        <w:pStyle w:val="Normal0"/>
        <w:numPr>
          <w:ilvl w:val="0"/>
          <w:numId w:val="37"/>
        </w:numPr>
        <w:rPr>
          <w:color w:val="134753" w:themeColor="text2"/>
        </w:rPr>
      </w:pPr>
      <w:r w:rsidRPr="00F171A3">
        <w:rPr>
          <w:color w:val="134753" w:themeColor="text2"/>
        </w:rPr>
        <w:t>Servicii de suport (consiliere, locuințe de necesitate, etc.) pentru victimele violenței domestice (82,3% dintre respondenți consideră acest serviciu social ca fiind necesar și foarte necesar).</w:t>
      </w:r>
    </w:p>
    <w:p w14:paraId="1F78E0F2" w14:textId="77777777" w:rsidR="00617090" w:rsidRPr="00F171A3" w:rsidRDefault="00617090" w:rsidP="00617090">
      <w:pPr>
        <w:rPr>
          <w:rFonts w:ascii="Calibri" w:eastAsia="Times New Roman" w:hAnsi="Calibri" w:cs="Times New Roman"/>
        </w:rPr>
      </w:pPr>
      <w:r w:rsidRPr="00F171A3">
        <w:rPr>
          <w:rFonts w:ascii="Calibri" w:eastAsia="Times New Roman" w:hAnsi="Calibri" w:cs="Times New Roman"/>
        </w:rPr>
        <w:t>La polul opus, următoarele servicii sociale au fost considerate necesare sau foarte necesare de un număr mai mic de respondenți:</w:t>
      </w:r>
    </w:p>
    <w:p w14:paraId="7B5A54B0" w14:textId="77777777" w:rsidR="00617090" w:rsidRPr="00F171A3" w:rsidRDefault="00617090">
      <w:pPr>
        <w:pStyle w:val="ListParagraph"/>
        <w:numPr>
          <w:ilvl w:val="0"/>
          <w:numId w:val="36"/>
        </w:numPr>
        <w:rPr>
          <w:rFonts w:ascii="Calibri" w:eastAsia="Times New Roman" w:hAnsi="Calibri" w:cs="Times New Roman"/>
          <w:color w:val="134753" w:themeColor="text2"/>
        </w:rPr>
      </w:pPr>
      <w:r w:rsidRPr="00F171A3">
        <w:rPr>
          <w:rFonts w:ascii="Calibri" w:eastAsia="Times New Roman" w:hAnsi="Calibri" w:cs="Times New Roman"/>
          <w:color w:val="134753" w:themeColor="text2"/>
        </w:rPr>
        <w:t>Cantina socială (55,7% dintre respondenți consideră acest serviciu social ca fiind necesar și foarte necesar;</w:t>
      </w:r>
    </w:p>
    <w:p w14:paraId="536FEDA8" w14:textId="77777777" w:rsidR="00617090" w:rsidRPr="00F171A3" w:rsidRDefault="00617090">
      <w:pPr>
        <w:pStyle w:val="ListParagraph"/>
        <w:numPr>
          <w:ilvl w:val="0"/>
          <w:numId w:val="36"/>
        </w:numPr>
        <w:rPr>
          <w:rFonts w:ascii="Calibri" w:eastAsia="Times New Roman" w:hAnsi="Calibri" w:cs="Times New Roman"/>
          <w:color w:val="134753" w:themeColor="text2"/>
        </w:rPr>
      </w:pPr>
      <w:r w:rsidRPr="00F171A3">
        <w:rPr>
          <w:rFonts w:ascii="Calibri" w:eastAsia="Times New Roman" w:hAnsi="Calibri" w:cs="Times New Roman"/>
          <w:color w:val="134753" w:themeColor="text2"/>
        </w:rPr>
        <w:t>Magazin social dedicat persoanelor cu venituri reduse (56,0% dintre respondenți consideră acest serviciu social ca fiind necesar și foarte necesar;</w:t>
      </w:r>
    </w:p>
    <w:p w14:paraId="07FD1A7B" w14:textId="3D7A0982" w:rsidR="00617090" w:rsidRPr="00F171A3" w:rsidRDefault="00617090">
      <w:pPr>
        <w:pStyle w:val="ListParagraph"/>
        <w:numPr>
          <w:ilvl w:val="0"/>
          <w:numId w:val="36"/>
        </w:numPr>
        <w:rPr>
          <w:rFonts w:ascii="Calibri" w:eastAsia="Times New Roman" w:hAnsi="Calibri" w:cs="Times New Roman"/>
          <w:color w:val="134753" w:themeColor="text2"/>
        </w:rPr>
      </w:pPr>
      <w:r w:rsidRPr="00F171A3">
        <w:rPr>
          <w:rFonts w:ascii="Calibri" w:eastAsia="Times New Roman" w:hAnsi="Calibri" w:cs="Times New Roman"/>
          <w:color w:val="134753" w:themeColor="text2"/>
        </w:rPr>
        <w:t>Acordarea de locuințe sociale familiilor aflate în risc de marginalizare</w:t>
      </w:r>
      <w:r w:rsidR="00F171A3">
        <w:rPr>
          <w:rFonts w:ascii="Calibri" w:eastAsia="Times New Roman" w:hAnsi="Calibri" w:cs="Times New Roman"/>
          <w:color w:val="134753" w:themeColor="text2"/>
        </w:rPr>
        <w:t xml:space="preserve"> </w:t>
      </w:r>
      <w:r w:rsidRPr="00F171A3">
        <w:rPr>
          <w:rFonts w:ascii="Calibri" w:eastAsia="Times New Roman" w:hAnsi="Calibri" w:cs="Times New Roman"/>
          <w:color w:val="134753" w:themeColor="text2"/>
        </w:rPr>
        <w:t>și excluziune socială (57,8% dintre respondenți consideră acest serviciu social ca fiind necesar și foarte necesar)</w:t>
      </w:r>
      <w:r w:rsidR="00D44B8A" w:rsidRPr="00F171A3">
        <w:rPr>
          <w:rFonts w:ascii="Calibri" w:eastAsia="Times New Roman" w:hAnsi="Calibri" w:cs="Times New Roman"/>
          <w:color w:val="134753" w:themeColor="text2"/>
        </w:rPr>
        <w:t>.</w:t>
      </w:r>
    </w:p>
    <w:p w14:paraId="13ED88FF" w14:textId="77777777" w:rsidR="00617090" w:rsidRPr="00F171A3" w:rsidRDefault="00617090" w:rsidP="00617090">
      <w:pPr>
        <w:pStyle w:val="Normal0"/>
      </w:pPr>
    </w:p>
    <w:p w14:paraId="1AAD6DD7" w14:textId="323954EB" w:rsidR="00617090" w:rsidRPr="00F171A3" w:rsidRDefault="00617090" w:rsidP="00617090">
      <w:pPr>
        <w:pStyle w:val="Caption"/>
      </w:pPr>
      <w:bookmarkStart w:id="83" w:name="_Toc127198013"/>
      <w:r w:rsidRPr="00F171A3">
        <w:t xml:space="preserve">Figura </w:t>
      </w:r>
      <w:r w:rsidRPr="00F171A3">
        <w:fldChar w:fldCharType="begin"/>
      </w:r>
      <w:r w:rsidRPr="00F171A3">
        <w:instrText xml:space="preserve"> SEQ Figura \* ARABIC </w:instrText>
      </w:r>
      <w:r w:rsidRPr="00F171A3">
        <w:fldChar w:fldCharType="separate"/>
      </w:r>
      <w:r w:rsidR="005A6DD8">
        <w:rPr>
          <w:noProof/>
        </w:rPr>
        <w:t>25</w:t>
      </w:r>
      <w:r w:rsidRPr="00F171A3">
        <w:fldChar w:fldCharType="end"/>
      </w:r>
      <w:r w:rsidRPr="00F171A3">
        <w:t xml:space="preserve"> Răspunsul locuitorilor Sectorului 2 la întrebarea ,,Cât de necesară considerați că este oferirea următoarelor servicii/beneficii de asistență socială în Sectorul 2?”</w:t>
      </w:r>
      <w:bookmarkEnd w:id="83"/>
    </w:p>
    <w:p w14:paraId="0A5B845C" w14:textId="77777777" w:rsidR="00617090" w:rsidRPr="00F171A3" w:rsidRDefault="00617090" w:rsidP="00617090">
      <w:pPr>
        <w:pStyle w:val="Bottomcaption"/>
        <w:jc w:val="both"/>
      </w:pPr>
      <w:r w:rsidRPr="00F171A3">
        <w:rPr>
          <w:noProof/>
        </w:rPr>
        <w:drawing>
          <wp:inline distT="0" distB="0" distL="0" distR="0" wp14:anchorId="3BF25F19" wp14:editId="5C370BBC">
            <wp:extent cx="5998210" cy="4089717"/>
            <wp:effectExtent l="0" t="0" r="2540" b="6350"/>
            <wp:docPr id="39"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3F17A30" w14:textId="77777777" w:rsidR="00617090" w:rsidRPr="00F171A3" w:rsidRDefault="00617090" w:rsidP="00FF6C80">
      <w:pPr>
        <w:jc w:val="right"/>
        <w:rPr>
          <w:color w:val="BFBFBF" w:themeColor="background1" w:themeShade="BF"/>
        </w:rPr>
      </w:pPr>
      <w:r w:rsidRPr="00F171A3">
        <w:rPr>
          <w:color w:val="BFBFBF" w:themeColor="background1" w:themeShade="BF"/>
        </w:rPr>
        <w:t>Sursa: Prelucrare proprie pe baza răspunsurilor din chestionarele adresate locuitorilor din Sectorul 2</w:t>
      </w:r>
    </w:p>
    <w:p w14:paraId="11E96931" w14:textId="0DCB9BCB" w:rsidR="00617090" w:rsidRPr="00F171A3" w:rsidRDefault="00617090" w:rsidP="00617090">
      <w:pPr>
        <w:pStyle w:val="Normal0"/>
      </w:pPr>
      <w:r w:rsidRPr="00F171A3">
        <w:t>De asemenea, din perspectiva mediului non-guvernamental, activitatea DGASPC Sector 2 a fost clasată ca al doilea cel mai important aspect pozitiv la nivelul Sectorului 2, ceea ce indică o imagine bună a instituției și a activității acesteia în domeniul serviciilor sociale.</w:t>
      </w:r>
    </w:p>
    <w:p w14:paraId="0AC6016D" w14:textId="77777777" w:rsidR="00D44B8A" w:rsidRPr="00F171A3" w:rsidRDefault="00D44B8A" w:rsidP="00617090">
      <w:pPr>
        <w:pStyle w:val="Normal0"/>
      </w:pPr>
    </w:p>
    <w:p w14:paraId="42754A0D" w14:textId="77777777" w:rsidR="00617090" w:rsidRPr="00F171A3" w:rsidRDefault="00617090" w:rsidP="00617090">
      <w:pPr>
        <w:pStyle w:val="Focus"/>
      </w:pPr>
      <w:r w:rsidRPr="00F171A3">
        <w:t>Situația beneficiarilor de servicii de asistență socială</w:t>
      </w:r>
    </w:p>
    <w:p w14:paraId="28A6B8FA" w14:textId="77777777" w:rsidR="00617090" w:rsidRPr="00F171A3" w:rsidRDefault="00617090" w:rsidP="00617090">
      <w:r w:rsidRPr="00F171A3">
        <w:t>Conform datelor DGASPC Sector 2, în anul 2021, la nivelul Sectorului 2 existau 32.861 de beneficiari de servicii de asistență socială, în scădere față de anul 2015 (61.296), și într-o continuă creștere începând cu anul 2018. O situație nefavorabilă este înregistrată în cazul persoanelor cu dizabilități. Astfel, în perioada 2015-2021, numărul copiilor cu dizabilități a crescut cu 57%, de la circa 850 la 1.350, punând astfel o presiune pe disponibilitatea și calitatea serviciilor sociale prestate. Pe de altă parte, numărul adulților cu dizabilități a scăzut cu circa 12% (-1.900). De asemenea, conform evidențelor DGASPC Sector 2, la finalul anului 2021 erau angajate 27 de persoane cu dizabilități, cu 7 mai multe față de anul 2015.</w:t>
      </w:r>
    </w:p>
    <w:p w14:paraId="1F132A03" w14:textId="2181AC59" w:rsidR="00617090" w:rsidRPr="00F171A3" w:rsidRDefault="00617090" w:rsidP="00617090">
      <w:pPr>
        <w:pStyle w:val="Caption"/>
      </w:pPr>
      <w:bookmarkStart w:id="84" w:name="_Toc127198014"/>
      <w:r w:rsidRPr="00F171A3">
        <w:t xml:space="preserve">Figura </w:t>
      </w:r>
      <w:r w:rsidRPr="00F171A3">
        <w:fldChar w:fldCharType="begin"/>
      </w:r>
      <w:r w:rsidRPr="00F171A3">
        <w:instrText xml:space="preserve"> SEQ Figura \* ARABIC </w:instrText>
      </w:r>
      <w:r w:rsidRPr="00F171A3">
        <w:fldChar w:fldCharType="separate"/>
      </w:r>
      <w:r w:rsidR="005A6DD8">
        <w:rPr>
          <w:noProof/>
        </w:rPr>
        <w:t>26</w:t>
      </w:r>
      <w:r w:rsidRPr="00F171A3">
        <w:fldChar w:fldCharType="end"/>
      </w:r>
      <w:r w:rsidRPr="00F171A3">
        <w:t xml:space="preserve"> Evoluția numărului de persoane cu dizabilități (adulți și copii) din sectorul 2, în perioada 2015-2021</w:t>
      </w:r>
      <w:bookmarkEnd w:id="84"/>
    </w:p>
    <w:p w14:paraId="3D3F6ABD" w14:textId="77777777" w:rsidR="00617090" w:rsidRPr="00F171A3" w:rsidRDefault="00617090" w:rsidP="00617090">
      <w:r w:rsidRPr="00F171A3">
        <w:rPr>
          <w:noProof/>
        </w:rPr>
        <w:drawing>
          <wp:inline distT="0" distB="0" distL="0" distR="0" wp14:anchorId="46CA1A57" wp14:editId="52615CC9">
            <wp:extent cx="6010275" cy="3000375"/>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4EEB099" w14:textId="77777777" w:rsidR="00617090" w:rsidRPr="00F171A3" w:rsidRDefault="00617090" w:rsidP="00FF6C80">
      <w:pPr>
        <w:jc w:val="right"/>
        <w:rPr>
          <w:color w:val="BFBFBF" w:themeColor="background1" w:themeShade="BF"/>
        </w:rPr>
      </w:pPr>
      <w:r w:rsidRPr="00F171A3">
        <w:rPr>
          <w:color w:val="BFBFBF" w:themeColor="background1" w:themeShade="BF"/>
        </w:rPr>
        <w:t>Sursa: Date transmise de către DGASPC</w:t>
      </w:r>
    </w:p>
    <w:p w14:paraId="13F9B28E" w14:textId="77777777" w:rsidR="00617090" w:rsidRPr="00F171A3" w:rsidRDefault="00617090" w:rsidP="00617090">
      <w:r w:rsidRPr="00F171A3">
        <w:t xml:space="preserve">În anul 2021, în Sectorul 2 al capitalei existau 367 de copii cu cel puțin un părinte plecat la muncă în străinătate, dintre care: 36 de copii cu ambii părinți plecați la muncă în străinătate, 282 de copii cu un părinte plecat la muncă în străinătate și 49 cu părinte unic susținător al familiei monoparentale plecat la muncă în străinătate. Dacă în perioada 2015-2020, în medie erau înregistrați între 40 și 60 de copii cu cel puțin un părinte plecat în străinătate, în anul 2021 numărul de cazuri înregistrate a crescut de câteva ori. </w:t>
      </w:r>
    </w:p>
    <w:p w14:paraId="6D43A44F" w14:textId="77777777" w:rsidR="00617090" w:rsidRPr="00F171A3" w:rsidRDefault="00617090" w:rsidP="00617090">
      <w:r w:rsidRPr="00F171A3">
        <w:t>În ceea ce privește copiii aflați în diverse forme de plasament, pentru anul 2021, DGASPC Sector 2 avea în evidență un număr de 221 de copii în această situație, din care 95 în plasament la asistenți maternali profesioniști (AMP) și 126 de copii aflați în plasament la rude sau familii. Față de anul 2015, numărul copiilor aflați în plasament la rude a scăzut cu 42, în timp ce numărul copiilor aflați în plasament la asistenți maternali a scăzut cu 6. Totuși, în acest context este important de menționat că numărul asistenților maternali profesioniști a scăzut în perioada 2015-2021, de la 92 la 77. De asemenea, din cei 77 de asistenți maternali activi, 18 ocroteau copii cu handicap. În contextul în care organigrama prevede un număr de 100 de posturi pentru asistenții maternali, mereu există posturi vacante. Totuși, aceste posturi sunt fie insuficient de atractive, fie persoanele care aplică nu sunt destul de calificate pentru a le ocupa.</w:t>
      </w:r>
    </w:p>
    <w:p w14:paraId="570369C7" w14:textId="01245F4D" w:rsidR="00617090" w:rsidRPr="00F171A3" w:rsidRDefault="00617090" w:rsidP="00617090">
      <w:pPr>
        <w:pStyle w:val="Caption"/>
      </w:pPr>
      <w:bookmarkStart w:id="85" w:name="_Toc127198015"/>
      <w:r w:rsidRPr="00F171A3">
        <w:t xml:space="preserve">Figura </w:t>
      </w:r>
      <w:r w:rsidRPr="00F171A3">
        <w:fldChar w:fldCharType="begin"/>
      </w:r>
      <w:r w:rsidRPr="00F171A3">
        <w:instrText xml:space="preserve"> SEQ Figura \* ARABIC </w:instrText>
      </w:r>
      <w:r w:rsidRPr="00F171A3">
        <w:fldChar w:fldCharType="separate"/>
      </w:r>
      <w:r w:rsidR="005A6DD8">
        <w:rPr>
          <w:noProof/>
        </w:rPr>
        <w:t>27</w:t>
      </w:r>
      <w:r w:rsidRPr="00F171A3">
        <w:fldChar w:fldCharType="end"/>
      </w:r>
      <w:r w:rsidRPr="00F171A3">
        <w:t xml:space="preserve"> Situația copiilor aflați în plasament și a asistenților maternali profesioniști, în sectorul 2, în perioada 2015-2021</w:t>
      </w:r>
      <w:bookmarkEnd w:id="85"/>
    </w:p>
    <w:p w14:paraId="38FDD388" w14:textId="77777777" w:rsidR="00617090" w:rsidRPr="00F171A3" w:rsidRDefault="00617090" w:rsidP="00617090">
      <w:r w:rsidRPr="00F171A3">
        <w:rPr>
          <w:noProof/>
        </w:rPr>
        <w:drawing>
          <wp:inline distT="0" distB="0" distL="0" distR="0" wp14:anchorId="7C317B69" wp14:editId="32B4001D">
            <wp:extent cx="6179820" cy="32004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CA8D2E2" w14:textId="77777777" w:rsidR="00617090" w:rsidRPr="00F171A3" w:rsidRDefault="00617090" w:rsidP="00FF6C80">
      <w:pPr>
        <w:jc w:val="right"/>
        <w:rPr>
          <w:color w:val="BFBFBF" w:themeColor="background1" w:themeShade="BF"/>
        </w:rPr>
      </w:pPr>
      <w:r w:rsidRPr="00F171A3">
        <w:rPr>
          <w:color w:val="BFBFBF" w:themeColor="background1" w:themeShade="BF"/>
        </w:rPr>
        <w:t>Sursa: Date furnizate de către DGASPC</w:t>
      </w:r>
    </w:p>
    <w:p w14:paraId="73AF1711" w14:textId="77777777" w:rsidR="00617090" w:rsidRPr="00F171A3" w:rsidRDefault="00617090" w:rsidP="00617090">
      <w:r w:rsidRPr="00F171A3">
        <w:t>O situație detaliată a beneficiarilor de asistență socială este prezentată în cadrul Strategiei Locale de Dezvoltare a Serviciilor Sociale din Sectorul 2, pentru perioada 2021-2027. Astfel, conform acesteia, numărul beneficiarilor de prestații sociale, pe tipuri de prestații, este prezentat în tabelul următor:</w:t>
      </w:r>
    </w:p>
    <w:p w14:paraId="1F14E7D4" w14:textId="0DF04D95" w:rsidR="00617090" w:rsidRPr="00F171A3" w:rsidRDefault="00617090" w:rsidP="00617090">
      <w:pPr>
        <w:pStyle w:val="Caption"/>
      </w:pPr>
      <w:bookmarkStart w:id="86" w:name="_Toc126943274"/>
      <w:r w:rsidRPr="00F171A3">
        <w:t xml:space="preserve">Tabel </w:t>
      </w:r>
      <w:r w:rsidRPr="00F171A3">
        <w:fldChar w:fldCharType="begin"/>
      </w:r>
      <w:r w:rsidRPr="00F171A3">
        <w:instrText xml:space="preserve"> SEQ Tabel \* ARABIC </w:instrText>
      </w:r>
      <w:r w:rsidRPr="00F171A3">
        <w:fldChar w:fldCharType="separate"/>
      </w:r>
      <w:r w:rsidR="005A6DD8">
        <w:rPr>
          <w:noProof/>
        </w:rPr>
        <w:t>17</w:t>
      </w:r>
      <w:r w:rsidRPr="00F171A3">
        <w:fldChar w:fldCharType="end"/>
      </w:r>
      <w:r w:rsidRPr="00F171A3">
        <w:t xml:space="preserve"> Situația beneficiarilor de prestații sociale acordate de la bugetul de stat, din sectorul 2</w:t>
      </w:r>
      <w:bookmarkEnd w:id="86"/>
    </w:p>
    <w:tbl>
      <w:tblPr>
        <w:tblStyle w:val="Civittatable"/>
        <w:tblW w:w="0" w:type="auto"/>
        <w:tblLook w:val="04A0" w:firstRow="1" w:lastRow="0" w:firstColumn="1" w:lastColumn="0" w:noHBand="0" w:noVBand="1"/>
      </w:tblPr>
      <w:tblGrid>
        <w:gridCol w:w="4675"/>
        <w:gridCol w:w="990"/>
        <w:gridCol w:w="990"/>
        <w:gridCol w:w="1170"/>
        <w:gridCol w:w="1611"/>
      </w:tblGrid>
      <w:tr w:rsidR="00617090" w:rsidRPr="00F171A3" w14:paraId="43337CA7" w14:textId="77777777" w:rsidTr="00D44B8A">
        <w:trPr>
          <w:cnfStyle w:val="100000000000" w:firstRow="1" w:lastRow="0" w:firstColumn="0" w:lastColumn="0" w:oddVBand="0" w:evenVBand="0" w:oddHBand="0" w:evenHBand="0" w:firstRowFirstColumn="0" w:firstRowLastColumn="0" w:lastRowFirstColumn="0" w:lastRowLastColumn="0"/>
        </w:trPr>
        <w:tc>
          <w:tcPr>
            <w:tcW w:w="4675" w:type="dxa"/>
            <w:vAlign w:val="center"/>
          </w:tcPr>
          <w:p w14:paraId="000E8537" w14:textId="77777777" w:rsidR="00617090" w:rsidRPr="00F171A3" w:rsidRDefault="00617090" w:rsidP="00D44B8A">
            <w:pPr>
              <w:jc w:val="center"/>
              <w:rPr>
                <w:b/>
                <w:bCs/>
              </w:rPr>
            </w:pPr>
            <w:r w:rsidRPr="00F171A3">
              <w:rPr>
                <w:b/>
                <w:bCs/>
              </w:rPr>
              <w:t>Beneficii de asistență socială</w:t>
            </w:r>
          </w:p>
        </w:tc>
        <w:tc>
          <w:tcPr>
            <w:tcW w:w="990" w:type="dxa"/>
            <w:vAlign w:val="center"/>
          </w:tcPr>
          <w:p w14:paraId="48193040" w14:textId="77777777" w:rsidR="00617090" w:rsidRPr="00F171A3" w:rsidRDefault="00617090" w:rsidP="00D44B8A">
            <w:pPr>
              <w:jc w:val="center"/>
              <w:rPr>
                <w:b/>
                <w:bCs/>
              </w:rPr>
            </w:pPr>
            <w:r w:rsidRPr="00F171A3">
              <w:rPr>
                <w:b/>
                <w:bCs/>
              </w:rPr>
              <w:t>2018</w:t>
            </w:r>
          </w:p>
        </w:tc>
        <w:tc>
          <w:tcPr>
            <w:tcW w:w="990" w:type="dxa"/>
            <w:vAlign w:val="center"/>
          </w:tcPr>
          <w:p w14:paraId="095CD39B" w14:textId="77777777" w:rsidR="00617090" w:rsidRPr="00F171A3" w:rsidRDefault="00617090" w:rsidP="00D44B8A">
            <w:pPr>
              <w:jc w:val="center"/>
              <w:rPr>
                <w:b/>
                <w:bCs/>
              </w:rPr>
            </w:pPr>
            <w:r w:rsidRPr="00F171A3">
              <w:rPr>
                <w:b/>
                <w:bCs/>
              </w:rPr>
              <w:t>2019</w:t>
            </w:r>
          </w:p>
        </w:tc>
        <w:tc>
          <w:tcPr>
            <w:tcW w:w="1170" w:type="dxa"/>
            <w:vAlign w:val="center"/>
          </w:tcPr>
          <w:p w14:paraId="492EA5F1" w14:textId="77777777" w:rsidR="00617090" w:rsidRPr="00F171A3" w:rsidRDefault="00617090" w:rsidP="00D44B8A">
            <w:pPr>
              <w:jc w:val="center"/>
              <w:rPr>
                <w:b/>
                <w:bCs/>
              </w:rPr>
            </w:pPr>
            <w:r w:rsidRPr="00F171A3">
              <w:rPr>
                <w:b/>
                <w:bCs/>
              </w:rPr>
              <w:t>2020</w:t>
            </w:r>
          </w:p>
        </w:tc>
        <w:tc>
          <w:tcPr>
            <w:tcW w:w="1611" w:type="dxa"/>
            <w:vAlign w:val="center"/>
          </w:tcPr>
          <w:p w14:paraId="1DA0F714" w14:textId="77777777" w:rsidR="00617090" w:rsidRPr="00F171A3" w:rsidRDefault="00617090" w:rsidP="00D44B8A">
            <w:pPr>
              <w:jc w:val="center"/>
              <w:rPr>
                <w:b/>
                <w:bCs/>
              </w:rPr>
            </w:pPr>
            <w:r w:rsidRPr="00F171A3">
              <w:rPr>
                <w:b/>
                <w:bCs/>
              </w:rPr>
              <w:t>2021 (până în 30.09.2021)</w:t>
            </w:r>
          </w:p>
        </w:tc>
      </w:tr>
      <w:tr w:rsidR="00617090" w:rsidRPr="00F171A3" w14:paraId="1DDA7E8A" w14:textId="77777777" w:rsidTr="00F31936">
        <w:trPr>
          <w:cnfStyle w:val="000000100000" w:firstRow="0" w:lastRow="0" w:firstColumn="0" w:lastColumn="0" w:oddVBand="0" w:evenVBand="0" w:oddHBand="1" w:evenHBand="0" w:firstRowFirstColumn="0" w:firstRowLastColumn="0" w:lastRowFirstColumn="0" w:lastRowLastColumn="0"/>
        </w:trPr>
        <w:tc>
          <w:tcPr>
            <w:tcW w:w="4675" w:type="dxa"/>
          </w:tcPr>
          <w:p w14:paraId="2941E9F6" w14:textId="77777777" w:rsidR="00617090" w:rsidRPr="00F171A3" w:rsidRDefault="00617090" w:rsidP="00F31936">
            <w:r w:rsidRPr="00F171A3">
              <w:t>Alocație de stat</w:t>
            </w:r>
          </w:p>
        </w:tc>
        <w:tc>
          <w:tcPr>
            <w:tcW w:w="990" w:type="dxa"/>
          </w:tcPr>
          <w:p w14:paraId="60B94D4B" w14:textId="77777777" w:rsidR="00617090" w:rsidRPr="00F171A3" w:rsidRDefault="00617090" w:rsidP="00F31936">
            <w:r w:rsidRPr="00F171A3">
              <w:t>2.038</w:t>
            </w:r>
          </w:p>
        </w:tc>
        <w:tc>
          <w:tcPr>
            <w:tcW w:w="990" w:type="dxa"/>
          </w:tcPr>
          <w:p w14:paraId="3FD728A9" w14:textId="77777777" w:rsidR="00617090" w:rsidRPr="00F171A3" w:rsidRDefault="00617090" w:rsidP="00F31936">
            <w:r w:rsidRPr="00F171A3">
              <w:t>2.202</w:t>
            </w:r>
          </w:p>
        </w:tc>
        <w:tc>
          <w:tcPr>
            <w:tcW w:w="1170" w:type="dxa"/>
          </w:tcPr>
          <w:p w14:paraId="3C3FC33F" w14:textId="77777777" w:rsidR="00617090" w:rsidRPr="00F171A3" w:rsidRDefault="00617090" w:rsidP="00F31936">
            <w:r w:rsidRPr="00F171A3">
              <w:t>2.159</w:t>
            </w:r>
          </w:p>
        </w:tc>
        <w:tc>
          <w:tcPr>
            <w:tcW w:w="1611" w:type="dxa"/>
          </w:tcPr>
          <w:p w14:paraId="75321848" w14:textId="77777777" w:rsidR="00617090" w:rsidRPr="00F171A3" w:rsidRDefault="00617090" w:rsidP="00F31936">
            <w:r w:rsidRPr="00F171A3">
              <w:t>1.741</w:t>
            </w:r>
          </w:p>
        </w:tc>
      </w:tr>
      <w:tr w:rsidR="00617090" w:rsidRPr="00F171A3" w14:paraId="24BE3B5B" w14:textId="77777777" w:rsidTr="00F31936">
        <w:trPr>
          <w:cnfStyle w:val="000000010000" w:firstRow="0" w:lastRow="0" w:firstColumn="0" w:lastColumn="0" w:oddVBand="0" w:evenVBand="0" w:oddHBand="0" w:evenHBand="1" w:firstRowFirstColumn="0" w:firstRowLastColumn="0" w:lastRowFirstColumn="0" w:lastRowLastColumn="0"/>
        </w:trPr>
        <w:tc>
          <w:tcPr>
            <w:tcW w:w="4675" w:type="dxa"/>
          </w:tcPr>
          <w:p w14:paraId="62353BB0" w14:textId="77777777" w:rsidR="00617090" w:rsidRPr="00F171A3" w:rsidRDefault="00617090" w:rsidP="00F31936">
            <w:r w:rsidRPr="00F171A3">
              <w:t>Indemnizații creștere copil și stimulente inserție</w:t>
            </w:r>
          </w:p>
        </w:tc>
        <w:tc>
          <w:tcPr>
            <w:tcW w:w="990" w:type="dxa"/>
          </w:tcPr>
          <w:p w14:paraId="2F3FBAB0" w14:textId="77777777" w:rsidR="00617090" w:rsidRPr="00F171A3" w:rsidRDefault="00617090" w:rsidP="00F31936">
            <w:r w:rsidRPr="00F171A3">
              <w:t>4.158</w:t>
            </w:r>
          </w:p>
        </w:tc>
        <w:tc>
          <w:tcPr>
            <w:tcW w:w="990" w:type="dxa"/>
          </w:tcPr>
          <w:p w14:paraId="3AE9AD0E" w14:textId="77777777" w:rsidR="00617090" w:rsidRPr="00F171A3" w:rsidRDefault="00617090" w:rsidP="00F31936">
            <w:r w:rsidRPr="00F171A3">
              <w:t>4.692</w:t>
            </w:r>
          </w:p>
        </w:tc>
        <w:tc>
          <w:tcPr>
            <w:tcW w:w="1170" w:type="dxa"/>
          </w:tcPr>
          <w:p w14:paraId="31A0D7FD" w14:textId="77777777" w:rsidR="00617090" w:rsidRPr="00F171A3" w:rsidRDefault="00617090" w:rsidP="00F31936">
            <w:r w:rsidRPr="00F171A3">
              <w:t>4.191</w:t>
            </w:r>
          </w:p>
        </w:tc>
        <w:tc>
          <w:tcPr>
            <w:tcW w:w="1611" w:type="dxa"/>
          </w:tcPr>
          <w:p w14:paraId="028ADFF4" w14:textId="77777777" w:rsidR="00617090" w:rsidRPr="00F171A3" w:rsidRDefault="00617090" w:rsidP="00F31936">
            <w:r w:rsidRPr="00F171A3">
              <w:t>2.979</w:t>
            </w:r>
          </w:p>
        </w:tc>
      </w:tr>
      <w:tr w:rsidR="00617090" w:rsidRPr="00F171A3" w14:paraId="2DEEC835" w14:textId="77777777" w:rsidTr="00F31936">
        <w:trPr>
          <w:cnfStyle w:val="000000100000" w:firstRow="0" w:lastRow="0" w:firstColumn="0" w:lastColumn="0" w:oddVBand="0" w:evenVBand="0" w:oddHBand="1" w:evenHBand="0" w:firstRowFirstColumn="0" w:firstRowLastColumn="0" w:lastRowFirstColumn="0" w:lastRowLastColumn="0"/>
        </w:trPr>
        <w:tc>
          <w:tcPr>
            <w:tcW w:w="4675" w:type="dxa"/>
          </w:tcPr>
          <w:p w14:paraId="30F7CFE1" w14:textId="77777777" w:rsidR="00617090" w:rsidRPr="00F171A3" w:rsidRDefault="00617090" w:rsidP="00F31936">
            <w:r w:rsidRPr="00F171A3">
              <w:t>Prestații sociale pentru minorul cu handicap</w:t>
            </w:r>
          </w:p>
        </w:tc>
        <w:tc>
          <w:tcPr>
            <w:tcW w:w="990" w:type="dxa"/>
          </w:tcPr>
          <w:p w14:paraId="2DEEAF99" w14:textId="77777777" w:rsidR="00617090" w:rsidRPr="00F171A3" w:rsidRDefault="00617090" w:rsidP="00F31936">
            <w:r w:rsidRPr="00F171A3">
              <w:t>971</w:t>
            </w:r>
          </w:p>
        </w:tc>
        <w:tc>
          <w:tcPr>
            <w:tcW w:w="990" w:type="dxa"/>
          </w:tcPr>
          <w:p w14:paraId="38D357A6" w14:textId="77777777" w:rsidR="00617090" w:rsidRPr="00F171A3" w:rsidRDefault="00617090" w:rsidP="00F31936">
            <w:r w:rsidRPr="00F171A3">
              <w:t>1.022</w:t>
            </w:r>
          </w:p>
        </w:tc>
        <w:tc>
          <w:tcPr>
            <w:tcW w:w="1170" w:type="dxa"/>
          </w:tcPr>
          <w:p w14:paraId="1ED657B2" w14:textId="77777777" w:rsidR="00617090" w:rsidRPr="00F171A3" w:rsidRDefault="00617090" w:rsidP="00F31936">
            <w:r w:rsidRPr="00F171A3">
              <w:t>1.125</w:t>
            </w:r>
          </w:p>
        </w:tc>
        <w:tc>
          <w:tcPr>
            <w:tcW w:w="1611" w:type="dxa"/>
          </w:tcPr>
          <w:p w14:paraId="1FEEF9B8" w14:textId="77777777" w:rsidR="00617090" w:rsidRPr="00F171A3" w:rsidRDefault="00617090" w:rsidP="00F31936">
            <w:r w:rsidRPr="00F171A3">
              <w:t>1.204</w:t>
            </w:r>
          </w:p>
        </w:tc>
      </w:tr>
      <w:tr w:rsidR="00617090" w:rsidRPr="00F171A3" w14:paraId="7BE10DD1" w14:textId="77777777" w:rsidTr="00F31936">
        <w:trPr>
          <w:cnfStyle w:val="000000010000" w:firstRow="0" w:lastRow="0" w:firstColumn="0" w:lastColumn="0" w:oddVBand="0" w:evenVBand="0" w:oddHBand="0" w:evenHBand="1" w:firstRowFirstColumn="0" w:firstRowLastColumn="0" w:lastRowFirstColumn="0" w:lastRowLastColumn="0"/>
        </w:trPr>
        <w:tc>
          <w:tcPr>
            <w:tcW w:w="4675" w:type="dxa"/>
          </w:tcPr>
          <w:p w14:paraId="3C837438" w14:textId="2B7194B5" w:rsidR="00617090" w:rsidRPr="00F171A3" w:rsidRDefault="00617090" w:rsidP="00F31936">
            <w:r w:rsidRPr="00F171A3">
              <w:t xml:space="preserve">Presații sociale pentru </w:t>
            </w:r>
            <w:r w:rsidR="00F171A3" w:rsidRPr="00F171A3">
              <w:t>persoane</w:t>
            </w:r>
            <w:r w:rsidRPr="00F171A3">
              <w:t xml:space="preserve"> adulte cu handicap</w:t>
            </w:r>
          </w:p>
        </w:tc>
        <w:tc>
          <w:tcPr>
            <w:tcW w:w="990" w:type="dxa"/>
          </w:tcPr>
          <w:p w14:paraId="1A0E4F74" w14:textId="77777777" w:rsidR="00617090" w:rsidRPr="00F171A3" w:rsidRDefault="00617090" w:rsidP="00F31936">
            <w:r w:rsidRPr="00F171A3">
              <w:t>13.066</w:t>
            </w:r>
          </w:p>
        </w:tc>
        <w:tc>
          <w:tcPr>
            <w:tcW w:w="990" w:type="dxa"/>
          </w:tcPr>
          <w:p w14:paraId="320AD714" w14:textId="77777777" w:rsidR="00617090" w:rsidRPr="00F171A3" w:rsidRDefault="00617090" w:rsidP="00F31936">
            <w:r w:rsidRPr="00F171A3">
              <w:t>13.489</w:t>
            </w:r>
          </w:p>
        </w:tc>
        <w:tc>
          <w:tcPr>
            <w:tcW w:w="1170" w:type="dxa"/>
          </w:tcPr>
          <w:p w14:paraId="64E9EE1C" w14:textId="77777777" w:rsidR="00617090" w:rsidRPr="00F171A3" w:rsidRDefault="00617090" w:rsidP="00F31936">
            <w:r w:rsidRPr="00F171A3">
              <w:t>13.452</w:t>
            </w:r>
          </w:p>
        </w:tc>
        <w:tc>
          <w:tcPr>
            <w:tcW w:w="1611" w:type="dxa"/>
          </w:tcPr>
          <w:p w14:paraId="7D608BD3" w14:textId="77777777" w:rsidR="00617090" w:rsidRPr="00F171A3" w:rsidRDefault="00617090" w:rsidP="00F31936">
            <w:r w:rsidRPr="00F171A3">
              <w:t>13.331</w:t>
            </w:r>
          </w:p>
        </w:tc>
      </w:tr>
      <w:tr w:rsidR="00617090" w:rsidRPr="00F171A3" w14:paraId="1F865C02" w14:textId="77777777" w:rsidTr="00F31936">
        <w:trPr>
          <w:cnfStyle w:val="000000100000" w:firstRow="0" w:lastRow="0" w:firstColumn="0" w:lastColumn="0" w:oddVBand="0" w:evenVBand="0" w:oddHBand="1" w:evenHBand="0" w:firstRowFirstColumn="0" w:firstRowLastColumn="0" w:lastRowFirstColumn="0" w:lastRowLastColumn="0"/>
        </w:trPr>
        <w:tc>
          <w:tcPr>
            <w:tcW w:w="4675" w:type="dxa"/>
          </w:tcPr>
          <w:p w14:paraId="03DC07FC" w14:textId="77777777" w:rsidR="00617090" w:rsidRPr="00F171A3" w:rsidRDefault="00617090" w:rsidP="00F31936">
            <w:r w:rsidRPr="00F171A3">
              <w:t>Gratuități transport interurban</w:t>
            </w:r>
          </w:p>
        </w:tc>
        <w:tc>
          <w:tcPr>
            <w:tcW w:w="990" w:type="dxa"/>
          </w:tcPr>
          <w:p w14:paraId="2B2B082B" w14:textId="77777777" w:rsidR="00617090" w:rsidRPr="00F171A3" w:rsidRDefault="00617090" w:rsidP="00F31936">
            <w:r w:rsidRPr="00F171A3">
              <w:t>3.684</w:t>
            </w:r>
          </w:p>
        </w:tc>
        <w:tc>
          <w:tcPr>
            <w:tcW w:w="990" w:type="dxa"/>
          </w:tcPr>
          <w:p w14:paraId="2CE52740" w14:textId="77777777" w:rsidR="00617090" w:rsidRPr="00F171A3" w:rsidRDefault="00617090" w:rsidP="00F31936">
            <w:r w:rsidRPr="00F171A3">
              <w:t>3.737</w:t>
            </w:r>
          </w:p>
        </w:tc>
        <w:tc>
          <w:tcPr>
            <w:tcW w:w="1170" w:type="dxa"/>
          </w:tcPr>
          <w:p w14:paraId="6E1F7C9E" w14:textId="77777777" w:rsidR="00617090" w:rsidRPr="00F171A3" w:rsidRDefault="00617090" w:rsidP="00F31936">
            <w:r w:rsidRPr="00F171A3">
              <w:t>2.839</w:t>
            </w:r>
          </w:p>
        </w:tc>
        <w:tc>
          <w:tcPr>
            <w:tcW w:w="1611" w:type="dxa"/>
          </w:tcPr>
          <w:p w14:paraId="48FCA658" w14:textId="77777777" w:rsidR="00617090" w:rsidRPr="00F171A3" w:rsidRDefault="00617090" w:rsidP="00F31936">
            <w:r w:rsidRPr="00F171A3">
              <w:t>3.499</w:t>
            </w:r>
          </w:p>
        </w:tc>
      </w:tr>
      <w:tr w:rsidR="00617090" w:rsidRPr="00F171A3" w14:paraId="3CBA8746" w14:textId="77777777" w:rsidTr="00F31936">
        <w:trPr>
          <w:cnfStyle w:val="000000010000" w:firstRow="0" w:lastRow="0" w:firstColumn="0" w:lastColumn="0" w:oddVBand="0" w:evenVBand="0" w:oddHBand="0" w:evenHBand="1" w:firstRowFirstColumn="0" w:firstRowLastColumn="0" w:lastRowFirstColumn="0" w:lastRowLastColumn="0"/>
        </w:trPr>
        <w:tc>
          <w:tcPr>
            <w:tcW w:w="4675" w:type="dxa"/>
          </w:tcPr>
          <w:p w14:paraId="00846AA2" w14:textId="77777777" w:rsidR="00617090" w:rsidRPr="00F171A3" w:rsidRDefault="00617090" w:rsidP="00F31936">
            <w:r w:rsidRPr="00F171A3">
              <w:t>Venit minim garantat</w:t>
            </w:r>
          </w:p>
        </w:tc>
        <w:tc>
          <w:tcPr>
            <w:tcW w:w="990" w:type="dxa"/>
          </w:tcPr>
          <w:p w14:paraId="72FB7B47" w14:textId="77777777" w:rsidR="00617090" w:rsidRPr="00F171A3" w:rsidRDefault="00617090" w:rsidP="00F31936">
            <w:r w:rsidRPr="00F171A3">
              <w:t>49</w:t>
            </w:r>
          </w:p>
        </w:tc>
        <w:tc>
          <w:tcPr>
            <w:tcW w:w="990" w:type="dxa"/>
          </w:tcPr>
          <w:p w14:paraId="34B53600" w14:textId="77777777" w:rsidR="00617090" w:rsidRPr="00F171A3" w:rsidRDefault="00617090" w:rsidP="00F31936">
            <w:r w:rsidRPr="00F171A3">
              <w:t>28</w:t>
            </w:r>
          </w:p>
        </w:tc>
        <w:tc>
          <w:tcPr>
            <w:tcW w:w="1170" w:type="dxa"/>
          </w:tcPr>
          <w:p w14:paraId="26E56FE6" w14:textId="77777777" w:rsidR="00617090" w:rsidRPr="00F171A3" w:rsidRDefault="00617090" w:rsidP="00F31936">
            <w:r w:rsidRPr="00F171A3">
              <w:t>41</w:t>
            </w:r>
          </w:p>
        </w:tc>
        <w:tc>
          <w:tcPr>
            <w:tcW w:w="1611" w:type="dxa"/>
          </w:tcPr>
          <w:p w14:paraId="4B02927C" w14:textId="77777777" w:rsidR="00617090" w:rsidRPr="00F171A3" w:rsidRDefault="00617090" w:rsidP="00F31936">
            <w:r w:rsidRPr="00F171A3">
              <w:t>52</w:t>
            </w:r>
          </w:p>
        </w:tc>
      </w:tr>
      <w:tr w:rsidR="00617090" w:rsidRPr="00F171A3" w14:paraId="1DC343F1" w14:textId="77777777" w:rsidTr="00F31936">
        <w:trPr>
          <w:cnfStyle w:val="000000100000" w:firstRow="0" w:lastRow="0" w:firstColumn="0" w:lastColumn="0" w:oddVBand="0" w:evenVBand="0" w:oddHBand="1" w:evenHBand="0" w:firstRowFirstColumn="0" w:firstRowLastColumn="0" w:lastRowFirstColumn="0" w:lastRowLastColumn="0"/>
        </w:trPr>
        <w:tc>
          <w:tcPr>
            <w:tcW w:w="4675" w:type="dxa"/>
          </w:tcPr>
          <w:p w14:paraId="5AE4554E" w14:textId="77777777" w:rsidR="00617090" w:rsidRPr="00F171A3" w:rsidRDefault="00617090" w:rsidP="00F31936">
            <w:r w:rsidRPr="00F171A3">
              <w:t>Alocații pentru susținerea familiei</w:t>
            </w:r>
          </w:p>
        </w:tc>
        <w:tc>
          <w:tcPr>
            <w:tcW w:w="990" w:type="dxa"/>
          </w:tcPr>
          <w:p w14:paraId="04A9791E" w14:textId="77777777" w:rsidR="00617090" w:rsidRPr="00F171A3" w:rsidRDefault="00617090" w:rsidP="00F31936">
            <w:r w:rsidRPr="00F171A3">
              <w:t>686</w:t>
            </w:r>
          </w:p>
        </w:tc>
        <w:tc>
          <w:tcPr>
            <w:tcW w:w="990" w:type="dxa"/>
          </w:tcPr>
          <w:p w14:paraId="749816F6" w14:textId="77777777" w:rsidR="00617090" w:rsidRPr="00F171A3" w:rsidRDefault="00617090" w:rsidP="00F31936">
            <w:r w:rsidRPr="00F171A3">
              <w:t>51</w:t>
            </w:r>
          </w:p>
        </w:tc>
        <w:tc>
          <w:tcPr>
            <w:tcW w:w="1170" w:type="dxa"/>
          </w:tcPr>
          <w:p w14:paraId="09B5DBDF" w14:textId="77777777" w:rsidR="00617090" w:rsidRPr="00F171A3" w:rsidRDefault="00617090" w:rsidP="00F31936">
            <w:r w:rsidRPr="00F171A3">
              <w:t>48</w:t>
            </w:r>
          </w:p>
        </w:tc>
        <w:tc>
          <w:tcPr>
            <w:tcW w:w="1611" w:type="dxa"/>
          </w:tcPr>
          <w:p w14:paraId="20C0C145" w14:textId="77777777" w:rsidR="00617090" w:rsidRPr="00F171A3" w:rsidRDefault="00617090" w:rsidP="00F31936">
            <w:r w:rsidRPr="00F171A3">
              <w:t>51</w:t>
            </w:r>
          </w:p>
        </w:tc>
      </w:tr>
      <w:tr w:rsidR="00617090" w:rsidRPr="00F171A3" w14:paraId="2AF24F5D" w14:textId="77777777" w:rsidTr="00F31936">
        <w:trPr>
          <w:cnfStyle w:val="000000010000" w:firstRow="0" w:lastRow="0" w:firstColumn="0" w:lastColumn="0" w:oddVBand="0" w:evenVBand="0" w:oddHBand="0" w:evenHBand="1" w:firstRowFirstColumn="0" w:firstRowLastColumn="0" w:lastRowFirstColumn="0" w:lastRowLastColumn="0"/>
        </w:trPr>
        <w:tc>
          <w:tcPr>
            <w:tcW w:w="4675" w:type="dxa"/>
          </w:tcPr>
          <w:p w14:paraId="67124027" w14:textId="77777777" w:rsidR="00617090" w:rsidRPr="00F171A3" w:rsidRDefault="00617090" w:rsidP="00F31936">
            <w:r w:rsidRPr="00F171A3">
              <w:t>Ajutor încălzire</w:t>
            </w:r>
          </w:p>
        </w:tc>
        <w:tc>
          <w:tcPr>
            <w:tcW w:w="990" w:type="dxa"/>
          </w:tcPr>
          <w:p w14:paraId="4233FC92" w14:textId="77777777" w:rsidR="00617090" w:rsidRPr="00F171A3" w:rsidRDefault="00617090" w:rsidP="00F31936">
            <w:r w:rsidRPr="00F171A3">
              <w:t>212</w:t>
            </w:r>
          </w:p>
        </w:tc>
        <w:tc>
          <w:tcPr>
            <w:tcW w:w="990" w:type="dxa"/>
          </w:tcPr>
          <w:p w14:paraId="5F6D5629" w14:textId="77777777" w:rsidR="00617090" w:rsidRPr="00F171A3" w:rsidRDefault="00617090" w:rsidP="00F31936">
            <w:r w:rsidRPr="00F171A3">
              <w:t>101</w:t>
            </w:r>
          </w:p>
        </w:tc>
        <w:tc>
          <w:tcPr>
            <w:tcW w:w="1170" w:type="dxa"/>
          </w:tcPr>
          <w:p w14:paraId="008F5D08" w14:textId="77777777" w:rsidR="00617090" w:rsidRPr="00F171A3" w:rsidRDefault="00617090" w:rsidP="00F31936">
            <w:r w:rsidRPr="00F171A3">
              <w:t>113</w:t>
            </w:r>
          </w:p>
        </w:tc>
        <w:tc>
          <w:tcPr>
            <w:tcW w:w="1611" w:type="dxa"/>
          </w:tcPr>
          <w:p w14:paraId="16F0B23B" w14:textId="77777777" w:rsidR="00617090" w:rsidRPr="00F171A3" w:rsidRDefault="00617090" w:rsidP="00F31936">
            <w:r w:rsidRPr="00F171A3">
              <w:t>81</w:t>
            </w:r>
          </w:p>
        </w:tc>
      </w:tr>
      <w:tr w:rsidR="00617090" w:rsidRPr="00F171A3" w14:paraId="17DC3680" w14:textId="77777777" w:rsidTr="00F31936">
        <w:trPr>
          <w:cnfStyle w:val="000000100000" w:firstRow="0" w:lastRow="0" w:firstColumn="0" w:lastColumn="0" w:oddVBand="0" w:evenVBand="0" w:oddHBand="1" w:evenHBand="0" w:firstRowFirstColumn="0" w:firstRowLastColumn="0" w:lastRowFirstColumn="0" w:lastRowLastColumn="0"/>
        </w:trPr>
        <w:tc>
          <w:tcPr>
            <w:tcW w:w="4675" w:type="dxa"/>
          </w:tcPr>
          <w:p w14:paraId="2CDB5E2B" w14:textId="77777777" w:rsidR="00617090" w:rsidRPr="00F171A3" w:rsidRDefault="00617090" w:rsidP="00F31936">
            <w:r w:rsidRPr="00F171A3">
              <w:t>Ajutoare alimente UE (POAD)</w:t>
            </w:r>
          </w:p>
        </w:tc>
        <w:tc>
          <w:tcPr>
            <w:tcW w:w="990" w:type="dxa"/>
          </w:tcPr>
          <w:p w14:paraId="76B85C5D" w14:textId="77777777" w:rsidR="00617090" w:rsidRPr="00F171A3" w:rsidRDefault="00617090" w:rsidP="00F31936">
            <w:r w:rsidRPr="00F171A3">
              <w:t>0</w:t>
            </w:r>
          </w:p>
        </w:tc>
        <w:tc>
          <w:tcPr>
            <w:tcW w:w="990" w:type="dxa"/>
          </w:tcPr>
          <w:p w14:paraId="19BC61F2" w14:textId="77777777" w:rsidR="00617090" w:rsidRPr="00F171A3" w:rsidRDefault="00617090" w:rsidP="00F31936">
            <w:r w:rsidRPr="00F171A3">
              <w:t>0</w:t>
            </w:r>
          </w:p>
        </w:tc>
        <w:tc>
          <w:tcPr>
            <w:tcW w:w="1170" w:type="dxa"/>
          </w:tcPr>
          <w:p w14:paraId="6B065069" w14:textId="77777777" w:rsidR="00617090" w:rsidRPr="00F171A3" w:rsidRDefault="00617090" w:rsidP="00F31936">
            <w:r w:rsidRPr="00F171A3">
              <w:t>460</w:t>
            </w:r>
          </w:p>
        </w:tc>
        <w:tc>
          <w:tcPr>
            <w:tcW w:w="1611" w:type="dxa"/>
          </w:tcPr>
          <w:p w14:paraId="6C47C1A1" w14:textId="77777777" w:rsidR="00617090" w:rsidRPr="00F171A3" w:rsidRDefault="00617090" w:rsidP="00F31936">
            <w:r w:rsidRPr="00F171A3">
              <w:t>924</w:t>
            </w:r>
          </w:p>
        </w:tc>
      </w:tr>
      <w:tr w:rsidR="00617090" w:rsidRPr="00F171A3" w14:paraId="32A0B304" w14:textId="77777777" w:rsidTr="00F31936">
        <w:trPr>
          <w:cnfStyle w:val="000000010000" w:firstRow="0" w:lastRow="0" w:firstColumn="0" w:lastColumn="0" w:oddVBand="0" w:evenVBand="0" w:oddHBand="0" w:evenHBand="1" w:firstRowFirstColumn="0" w:firstRowLastColumn="0" w:lastRowFirstColumn="0" w:lastRowLastColumn="0"/>
        </w:trPr>
        <w:tc>
          <w:tcPr>
            <w:tcW w:w="4675" w:type="dxa"/>
          </w:tcPr>
          <w:p w14:paraId="76238D76" w14:textId="77777777" w:rsidR="00617090" w:rsidRPr="00F171A3" w:rsidRDefault="00617090" w:rsidP="00F31936">
            <w:r w:rsidRPr="00F171A3">
              <w:t>Tichete grădiniță</w:t>
            </w:r>
          </w:p>
        </w:tc>
        <w:tc>
          <w:tcPr>
            <w:tcW w:w="990" w:type="dxa"/>
          </w:tcPr>
          <w:p w14:paraId="4CF6D437" w14:textId="77777777" w:rsidR="00617090" w:rsidRPr="00F171A3" w:rsidRDefault="00617090" w:rsidP="00F31936">
            <w:r w:rsidRPr="00F171A3">
              <w:t>-</w:t>
            </w:r>
          </w:p>
        </w:tc>
        <w:tc>
          <w:tcPr>
            <w:tcW w:w="990" w:type="dxa"/>
          </w:tcPr>
          <w:p w14:paraId="34380EA2" w14:textId="77777777" w:rsidR="00617090" w:rsidRPr="00F171A3" w:rsidRDefault="00617090" w:rsidP="00F31936">
            <w:r w:rsidRPr="00F171A3">
              <w:t>-</w:t>
            </w:r>
          </w:p>
        </w:tc>
        <w:tc>
          <w:tcPr>
            <w:tcW w:w="1170" w:type="dxa"/>
          </w:tcPr>
          <w:p w14:paraId="65962FB8" w14:textId="77777777" w:rsidR="00617090" w:rsidRPr="00F171A3" w:rsidRDefault="00617090" w:rsidP="00F31936">
            <w:r w:rsidRPr="00F171A3">
              <w:t>-</w:t>
            </w:r>
          </w:p>
        </w:tc>
        <w:tc>
          <w:tcPr>
            <w:tcW w:w="1611" w:type="dxa"/>
          </w:tcPr>
          <w:p w14:paraId="4DB1A200" w14:textId="77777777" w:rsidR="00617090" w:rsidRPr="00F171A3" w:rsidRDefault="00617090" w:rsidP="00F31936">
            <w:r w:rsidRPr="00F171A3">
              <w:t>5</w:t>
            </w:r>
          </w:p>
        </w:tc>
      </w:tr>
    </w:tbl>
    <w:p w14:paraId="5A007233" w14:textId="77777777" w:rsidR="00617090" w:rsidRPr="00F171A3" w:rsidRDefault="00617090" w:rsidP="00FF6C80">
      <w:pPr>
        <w:jc w:val="right"/>
        <w:rPr>
          <w:color w:val="BFBFBF" w:themeColor="background1" w:themeShade="BF"/>
        </w:rPr>
      </w:pPr>
      <w:r w:rsidRPr="00F171A3">
        <w:rPr>
          <w:color w:val="BFBFBF" w:themeColor="background1" w:themeShade="BF"/>
        </w:rPr>
        <w:t>Sursa: Strategia Locală de Dezvoltare a Serviciilor Sociale Sector 2, 2021-2027</w:t>
      </w:r>
    </w:p>
    <w:p w14:paraId="5E29EEE2" w14:textId="22B980E1" w:rsidR="00617090" w:rsidRPr="00F171A3" w:rsidRDefault="00617090" w:rsidP="00617090">
      <w:pPr>
        <w:pStyle w:val="Caption"/>
      </w:pPr>
      <w:bookmarkStart w:id="87" w:name="_Toc126943275"/>
      <w:r w:rsidRPr="00F171A3">
        <w:t xml:space="preserve">Tabel </w:t>
      </w:r>
      <w:r w:rsidRPr="00F171A3">
        <w:fldChar w:fldCharType="begin"/>
      </w:r>
      <w:r w:rsidRPr="00F171A3">
        <w:instrText xml:space="preserve"> SEQ Tabel \* ARABIC </w:instrText>
      </w:r>
      <w:r w:rsidRPr="00F171A3">
        <w:fldChar w:fldCharType="separate"/>
      </w:r>
      <w:r w:rsidR="005A6DD8">
        <w:rPr>
          <w:noProof/>
        </w:rPr>
        <w:t>18</w:t>
      </w:r>
      <w:r w:rsidRPr="00F171A3">
        <w:fldChar w:fldCharType="end"/>
      </w:r>
      <w:r w:rsidRPr="00F171A3">
        <w:t xml:space="preserve"> Situația beneficiarilor de prestații sociale acordate de la bugetul local al sectorului 2</w:t>
      </w:r>
      <w:bookmarkEnd w:id="87"/>
    </w:p>
    <w:tbl>
      <w:tblPr>
        <w:tblStyle w:val="Civittatable"/>
        <w:tblW w:w="0" w:type="auto"/>
        <w:tblLook w:val="04A0" w:firstRow="1" w:lastRow="0" w:firstColumn="1" w:lastColumn="0" w:noHBand="0" w:noVBand="1"/>
      </w:tblPr>
      <w:tblGrid>
        <w:gridCol w:w="4135"/>
        <w:gridCol w:w="990"/>
        <w:gridCol w:w="1170"/>
        <w:gridCol w:w="1253"/>
        <w:gridCol w:w="1888"/>
      </w:tblGrid>
      <w:tr w:rsidR="00617090" w:rsidRPr="00F171A3" w14:paraId="5FA0269A" w14:textId="77777777" w:rsidTr="00D44B8A">
        <w:trPr>
          <w:cnfStyle w:val="100000000000" w:firstRow="1" w:lastRow="0" w:firstColumn="0" w:lastColumn="0" w:oddVBand="0" w:evenVBand="0" w:oddHBand="0" w:evenHBand="0" w:firstRowFirstColumn="0" w:firstRowLastColumn="0" w:lastRowFirstColumn="0" w:lastRowLastColumn="0"/>
        </w:trPr>
        <w:tc>
          <w:tcPr>
            <w:tcW w:w="4135" w:type="dxa"/>
            <w:vAlign w:val="center"/>
          </w:tcPr>
          <w:p w14:paraId="09BE4493" w14:textId="77777777" w:rsidR="00617090" w:rsidRPr="00F171A3" w:rsidRDefault="00617090" w:rsidP="00D44B8A">
            <w:pPr>
              <w:jc w:val="center"/>
              <w:rPr>
                <w:b/>
                <w:bCs/>
              </w:rPr>
            </w:pPr>
            <w:r w:rsidRPr="00F171A3">
              <w:rPr>
                <w:b/>
                <w:bCs/>
              </w:rPr>
              <w:t>Beneficii de asistență socială</w:t>
            </w:r>
          </w:p>
        </w:tc>
        <w:tc>
          <w:tcPr>
            <w:tcW w:w="990" w:type="dxa"/>
            <w:vAlign w:val="center"/>
          </w:tcPr>
          <w:p w14:paraId="6359612A" w14:textId="77777777" w:rsidR="00617090" w:rsidRPr="00F171A3" w:rsidRDefault="00617090" w:rsidP="00D44B8A">
            <w:pPr>
              <w:jc w:val="center"/>
              <w:rPr>
                <w:b/>
                <w:bCs/>
              </w:rPr>
            </w:pPr>
            <w:r w:rsidRPr="00F171A3">
              <w:rPr>
                <w:b/>
                <w:bCs/>
              </w:rPr>
              <w:t>2018</w:t>
            </w:r>
          </w:p>
        </w:tc>
        <w:tc>
          <w:tcPr>
            <w:tcW w:w="1170" w:type="dxa"/>
            <w:vAlign w:val="center"/>
          </w:tcPr>
          <w:p w14:paraId="76F17713" w14:textId="77777777" w:rsidR="00617090" w:rsidRPr="00F171A3" w:rsidRDefault="00617090" w:rsidP="00D44B8A">
            <w:pPr>
              <w:jc w:val="center"/>
              <w:rPr>
                <w:b/>
                <w:bCs/>
              </w:rPr>
            </w:pPr>
            <w:r w:rsidRPr="00F171A3">
              <w:rPr>
                <w:b/>
                <w:bCs/>
              </w:rPr>
              <w:t>2019</w:t>
            </w:r>
          </w:p>
        </w:tc>
        <w:tc>
          <w:tcPr>
            <w:tcW w:w="1253" w:type="dxa"/>
            <w:vAlign w:val="center"/>
          </w:tcPr>
          <w:p w14:paraId="2872068B" w14:textId="77777777" w:rsidR="00617090" w:rsidRPr="00F171A3" w:rsidRDefault="00617090" w:rsidP="00D44B8A">
            <w:pPr>
              <w:jc w:val="center"/>
              <w:rPr>
                <w:b/>
                <w:bCs/>
              </w:rPr>
            </w:pPr>
            <w:r w:rsidRPr="00F171A3">
              <w:rPr>
                <w:b/>
                <w:bCs/>
              </w:rPr>
              <w:t>2020</w:t>
            </w:r>
          </w:p>
        </w:tc>
        <w:tc>
          <w:tcPr>
            <w:tcW w:w="1888" w:type="dxa"/>
            <w:vAlign w:val="center"/>
          </w:tcPr>
          <w:p w14:paraId="3971D90A" w14:textId="77777777" w:rsidR="00617090" w:rsidRPr="00F171A3" w:rsidRDefault="00617090" w:rsidP="00D44B8A">
            <w:pPr>
              <w:jc w:val="center"/>
              <w:rPr>
                <w:b/>
                <w:bCs/>
              </w:rPr>
            </w:pPr>
            <w:r w:rsidRPr="00F171A3">
              <w:rPr>
                <w:b/>
                <w:bCs/>
              </w:rPr>
              <w:t>2021 (până în 30.09.2021)</w:t>
            </w:r>
          </w:p>
        </w:tc>
      </w:tr>
      <w:tr w:rsidR="00617090" w:rsidRPr="00F171A3" w14:paraId="2BDD5B9B" w14:textId="77777777" w:rsidTr="00F31936">
        <w:trPr>
          <w:cnfStyle w:val="000000100000" w:firstRow="0" w:lastRow="0" w:firstColumn="0" w:lastColumn="0" w:oddVBand="0" w:evenVBand="0" w:oddHBand="1" w:evenHBand="0" w:firstRowFirstColumn="0" w:firstRowLastColumn="0" w:lastRowFirstColumn="0" w:lastRowLastColumn="0"/>
        </w:trPr>
        <w:tc>
          <w:tcPr>
            <w:tcW w:w="4135" w:type="dxa"/>
          </w:tcPr>
          <w:p w14:paraId="1DF5D736" w14:textId="77777777" w:rsidR="00617090" w:rsidRPr="00F171A3" w:rsidRDefault="00617090" w:rsidP="00F31936">
            <w:pPr>
              <w:jc w:val="left"/>
            </w:pPr>
            <w:r w:rsidRPr="00F171A3">
              <w:t>Indemnizații însoțitor copil cu handicap</w:t>
            </w:r>
          </w:p>
        </w:tc>
        <w:tc>
          <w:tcPr>
            <w:tcW w:w="990" w:type="dxa"/>
          </w:tcPr>
          <w:p w14:paraId="7B4DF05B" w14:textId="77777777" w:rsidR="00617090" w:rsidRPr="00F171A3" w:rsidRDefault="00617090" w:rsidP="00F31936">
            <w:r w:rsidRPr="00F171A3">
              <w:t>556</w:t>
            </w:r>
          </w:p>
        </w:tc>
        <w:tc>
          <w:tcPr>
            <w:tcW w:w="1170" w:type="dxa"/>
          </w:tcPr>
          <w:p w14:paraId="780AC6AB" w14:textId="77777777" w:rsidR="00617090" w:rsidRPr="00F171A3" w:rsidRDefault="00617090" w:rsidP="00F31936">
            <w:r w:rsidRPr="00F171A3">
              <w:t>532</w:t>
            </w:r>
          </w:p>
        </w:tc>
        <w:tc>
          <w:tcPr>
            <w:tcW w:w="1253" w:type="dxa"/>
          </w:tcPr>
          <w:p w14:paraId="507498D0" w14:textId="77777777" w:rsidR="00617090" w:rsidRPr="00F171A3" w:rsidRDefault="00617090" w:rsidP="00F31936">
            <w:r w:rsidRPr="00F171A3">
              <w:t>584</w:t>
            </w:r>
          </w:p>
        </w:tc>
        <w:tc>
          <w:tcPr>
            <w:tcW w:w="1888" w:type="dxa"/>
          </w:tcPr>
          <w:p w14:paraId="241745CC" w14:textId="77777777" w:rsidR="00617090" w:rsidRPr="00F171A3" w:rsidRDefault="00617090" w:rsidP="00F31936">
            <w:r w:rsidRPr="00F171A3">
              <w:t>646</w:t>
            </w:r>
          </w:p>
        </w:tc>
      </w:tr>
      <w:tr w:rsidR="00617090" w:rsidRPr="00F171A3" w14:paraId="0526A73F" w14:textId="77777777" w:rsidTr="00F31936">
        <w:trPr>
          <w:cnfStyle w:val="000000010000" w:firstRow="0" w:lastRow="0" w:firstColumn="0" w:lastColumn="0" w:oddVBand="0" w:evenVBand="0" w:oddHBand="0" w:evenHBand="1" w:firstRowFirstColumn="0" w:firstRowLastColumn="0" w:lastRowFirstColumn="0" w:lastRowLastColumn="0"/>
        </w:trPr>
        <w:tc>
          <w:tcPr>
            <w:tcW w:w="4135" w:type="dxa"/>
          </w:tcPr>
          <w:p w14:paraId="6610217F" w14:textId="77777777" w:rsidR="00617090" w:rsidRPr="00F171A3" w:rsidRDefault="00617090" w:rsidP="00F31936">
            <w:pPr>
              <w:jc w:val="left"/>
            </w:pPr>
            <w:r w:rsidRPr="00F171A3">
              <w:t>Indemnizații însoțitor adult cu handicap</w:t>
            </w:r>
          </w:p>
        </w:tc>
        <w:tc>
          <w:tcPr>
            <w:tcW w:w="990" w:type="dxa"/>
          </w:tcPr>
          <w:p w14:paraId="13E1FD53" w14:textId="77777777" w:rsidR="00617090" w:rsidRPr="00F171A3" w:rsidRDefault="00617090" w:rsidP="00F31936">
            <w:r w:rsidRPr="00F171A3">
              <w:t>2.476</w:t>
            </w:r>
          </w:p>
        </w:tc>
        <w:tc>
          <w:tcPr>
            <w:tcW w:w="1170" w:type="dxa"/>
          </w:tcPr>
          <w:p w14:paraId="5FC01A1D" w14:textId="77777777" w:rsidR="00617090" w:rsidRPr="00F171A3" w:rsidRDefault="00617090" w:rsidP="00F31936">
            <w:r w:rsidRPr="00F171A3">
              <w:t>2.690</w:t>
            </w:r>
          </w:p>
        </w:tc>
        <w:tc>
          <w:tcPr>
            <w:tcW w:w="1253" w:type="dxa"/>
          </w:tcPr>
          <w:p w14:paraId="67B6B6E1" w14:textId="77777777" w:rsidR="00617090" w:rsidRPr="00F171A3" w:rsidRDefault="00617090" w:rsidP="00F31936">
            <w:r w:rsidRPr="00F171A3">
              <w:t>2.727</w:t>
            </w:r>
          </w:p>
        </w:tc>
        <w:tc>
          <w:tcPr>
            <w:tcW w:w="1888" w:type="dxa"/>
          </w:tcPr>
          <w:p w14:paraId="6792C89A" w14:textId="77777777" w:rsidR="00617090" w:rsidRPr="00F171A3" w:rsidRDefault="00617090" w:rsidP="00F31936">
            <w:r w:rsidRPr="00F171A3">
              <w:t>2.757</w:t>
            </w:r>
          </w:p>
        </w:tc>
      </w:tr>
      <w:tr w:rsidR="00617090" w:rsidRPr="00F171A3" w14:paraId="099ADCDE" w14:textId="77777777" w:rsidTr="00F31936">
        <w:trPr>
          <w:cnfStyle w:val="000000100000" w:firstRow="0" w:lastRow="0" w:firstColumn="0" w:lastColumn="0" w:oddVBand="0" w:evenVBand="0" w:oddHBand="1" w:evenHBand="0" w:firstRowFirstColumn="0" w:firstRowLastColumn="0" w:lastRowFirstColumn="0" w:lastRowLastColumn="0"/>
        </w:trPr>
        <w:tc>
          <w:tcPr>
            <w:tcW w:w="4135" w:type="dxa"/>
          </w:tcPr>
          <w:p w14:paraId="36EAD38F" w14:textId="77777777" w:rsidR="00617090" w:rsidRPr="00F171A3" w:rsidRDefault="00617090" w:rsidP="00F31936">
            <w:pPr>
              <w:jc w:val="left"/>
            </w:pPr>
            <w:r w:rsidRPr="00F171A3">
              <w:t xml:space="preserve">Gratuități transport urban </w:t>
            </w:r>
          </w:p>
        </w:tc>
        <w:tc>
          <w:tcPr>
            <w:tcW w:w="990" w:type="dxa"/>
          </w:tcPr>
          <w:p w14:paraId="69C2ED36" w14:textId="77777777" w:rsidR="00617090" w:rsidRPr="00F171A3" w:rsidRDefault="00617090" w:rsidP="00F31936">
            <w:r w:rsidRPr="00F171A3">
              <w:t>3.156</w:t>
            </w:r>
          </w:p>
        </w:tc>
        <w:tc>
          <w:tcPr>
            <w:tcW w:w="1170" w:type="dxa"/>
          </w:tcPr>
          <w:p w14:paraId="76132FC4" w14:textId="77777777" w:rsidR="00617090" w:rsidRPr="00F171A3" w:rsidRDefault="00617090" w:rsidP="00F31936">
            <w:r w:rsidRPr="00F171A3">
              <w:t>3.864</w:t>
            </w:r>
          </w:p>
        </w:tc>
        <w:tc>
          <w:tcPr>
            <w:tcW w:w="1253" w:type="dxa"/>
          </w:tcPr>
          <w:p w14:paraId="591C7BC5" w14:textId="77777777" w:rsidR="00617090" w:rsidRPr="00F171A3" w:rsidRDefault="00617090" w:rsidP="00F31936">
            <w:r w:rsidRPr="00F171A3">
              <w:t>3.038</w:t>
            </w:r>
          </w:p>
        </w:tc>
        <w:tc>
          <w:tcPr>
            <w:tcW w:w="1888" w:type="dxa"/>
          </w:tcPr>
          <w:p w14:paraId="34C5214A" w14:textId="77777777" w:rsidR="00617090" w:rsidRPr="00F171A3" w:rsidRDefault="00617090" w:rsidP="00F31936">
            <w:r w:rsidRPr="00F171A3">
              <w:t>3.233</w:t>
            </w:r>
          </w:p>
        </w:tc>
      </w:tr>
      <w:tr w:rsidR="00617090" w:rsidRPr="00F171A3" w14:paraId="3CFAAC8F" w14:textId="77777777" w:rsidTr="00F31936">
        <w:trPr>
          <w:cnfStyle w:val="000000010000" w:firstRow="0" w:lastRow="0" w:firstColumn="0" w:lastColumn="0" w:oddVBand="0" w:evenVBand="0" w:oddHBand="0" w:evenHBand="1" w:firstRowFirstColumn="0" w:firstRowLastColumn="0" w:lastRowFirstColumn="0" w:lastRowLastColumn="0"/>
        </w:trPr>
        <w:tc>
          <w:tcPr>
            <w:tcW w:w="4135" w:type="dxa"/>
          </w:tcPr>
          <w:p w14:paraId="1517E0FB" w14:textId="77777777" w:rsidR="00617090" w:rsidRPr="00F171A3" w:rsidRDefault="00617090" w:rsidP="00F31936">
            <w:pPr>
              <w:jc w:val="left"/>
            </w:pPr>
            <w:r w:rsidRPr="00F171A3">
              <w:t xml:space="preserve">Ajutoare de urgență și alte tipuri de prestații (ajutoare de urgență pentru plata chiriei) </w:t>
            </w:r>
          </w:p>
        </w:tc>
        <w:tc>
          <w:tcPr>
            <w:tcW w:w="990" w:type="dxa"/>
          </w:tcPr>
          <w:p w14:paraId="501EB6BA" w14:textId="77777777" w:rsidR="00617090" w:rsidRPr="00F171A3" w:rsidRDefault="00617090" w:rsidP="00F31936">
            <w:r w:rsidRPr="00F171A3">
              <w:t>1.934</w:t>
            </w:r>
          </w:p>
        </w:tc>
        <w:tc>
          <w:tcPr>
            <w:tcW w:w="1170" w:type="dxa"/>
          </w:tcPr>
          <w:p w14:paraId="4554EA97" w14:textId="77777777" w:rsidR="00617090" w:rsidRPr="00F171A3" w:rsidRDefault="00617090" w:rsidP="00F31936">
            <w:r w:rsidRPr="00F171A3">
              <w:t>370</w:t>
            </w:r>
          </w:p>
        </w:tc>
        <w:tc>
          <w:tcPr>
            <w:tcW w:w="1253" w:type="dxa"/>
          </w:tcPr>
          <w:p w14:paraId="65B887B5" w14:textId="77777777" w:rsidR="00617090" w:rsidRPr="00F171A3" w:rsidRDefault="00617090" w:rsidP="00F31936">
            <w:r w:rsidRPr="00F171A3">
              <w:t>975</w:t>
            </w:r>
          </w:p>
        </w:tc>
        <w:tc>
          <w:tcPr>
            <w:tcW w:w="1888" w:type="dxa"/>
          </w:tcPr>
          <w:p w14:paraId="733B1752" w14:textId="77777777" w:rsidR="00617090" w:rsidRPr="00F171A3" w:rsidRDefault="00617090" w:rsidP="00F31936">
            <w:r w:rsidRPr="00F171A3">
              <w:t>505</w:t>
            </w:r>
          </w:p>
        </w:tc>
      </w:tr>
      <w:tr w:rsidR="00617090" w:rsidRPr="00F171A3" w14:paraId="7C19F50D" w14:textId="77777777" w:rsidTr="00F31936">
        <w:trPr>
          <w:cnfStyle w:val="000000100000" w:firstRow="0" w:lastRow="0" w:firstColumn="0" w:lastColumn="0" w:oddVBand="0" w:evenVBand="0" w:oddHBand="1" w:evenHBand="0" w:firstRowFirstColumn="0" w:firstRowLastColumn="0" w:lastRowFirstColumn="0" w:lastRowLastColumn="0"/>
        </w:trPr>
        <w:tc>
          <w:tcPr>
            <w:tcW w:w="4135" w:type="dxa"/>
          </w:tcPr>
          <w:p w14:paraId="77BAC8E1" w14:textId="77777777" w:rsidR="00617090" w:rsidRPr="00F171A3" w:rsidRDefault="00617090" w:rsidP="00F31936">
            <w:pPr>
              <w:jc w:val="left"/>
            </w:pPr>
            <w:r w:rsidRPr="00F171A3">
              <w:t>Ajutoare financiare de urgență</w:t>
            </w:r>
          </w:p>
        </w:tc>
        <w:tc>
          <w:tcPr>
            <w:tcW w:w="990" w:type="dxa"/>
          </w:tcPr>
          <w:p w14:paraId="53B96542" w14:textId="77777777" w:rsidR="00617090" w:rsidRPr="00F171A3" w:rsidRDefault="00617090" w:rsidP="00F31936">
            <w:r w:rsidRPr="00F171A3">
              <w:t>11</w:t>
            </w:r>
          </w:p>
        </w:tc>
        <w:tc>
          <w:tcPr>
            <w:tcW w:w="1170" w:type="dxa"/>
          </w:tcPr>
          <w:p w14:paraId="0A6E8932" w14:textId="77777777" w:rsidR="00617090" w:rsidRPr="00F171A3" w:rsidRDefault="00617090" w:rsidP="00F31936">
            <w:r w:rsidRPr="00F171A3">
              <w:t>0</w:t>
            </w:r>
          </w:p>
        </w:tc>
        <w:tc>
          <w:tcPr>
            <w:tcW w:w="1253" w:type="dxa"/>
          </w:tcPr>
          <w:p w14:paraId="4D91EC13" w14:textId="77777777" w:rsidR="00617090" w:rsidRPr="00F171A3" w:rsidRDefault="00617090" w:rsidP="00F31936">
            <w:r w:rsidRPr="00F171A3">
              <w:t>1</w:t>
            </w:r>
          </w:p>
        </w:tc>
        <w:tc>
          <w:tcPr>
            <w:tcW w:w="1888" w:type="dxa"/>
          </w:tcPr>
          <w:p w14:paraId="721A757B" w14:textId="77777777" w:rsidR="00617090" w:rsidRPr="00F171A3" w:rsidRDefault="00617090" w:rsidP="00F31936">
            <w:r w:rsidRPr="00F171A3">
              <w:t>16</w:t>
            </w:r>
          </w:p>
        </w:tc>
      </w:tr>
      <w:tr w:rsidR="00617090" w:rsidRPr="00F171A3" w14:paraId="156B8771" w14:textId="77777777" w:rsidTr="00F31936">
        <w:trPr>
          <w:cnfStyle w:val="000000010000" w:firstRow="0" w:lastRow="0" w:firstColumn="0" w:lastColumn="0" w:oddVBand="0" w:evenVBand="0" w:oddHBand="0" w:evenHBand="1" w:firstRowFirstColumn="0" w:firstRowLastColumn="0" w:lastRowFirstColumn="0" w:lastRowLastColumn="0"/>
        </w:trPr>
        <w:tc>
          <w:tcPr>
            <w:tcW w:w="4135" w:type="dxa"/>
          </w:tcPr>
          <w:p w14:paraId="0ADB0037" w14:textId="77777777" w:rsidR="00617090" w:rsidRPr="00F171A3" w:rsidRDefault="00617090" w:rsidP="00F31936">
            <w:pPr>
              <w:jc w:val="left"/>
            </w:pPr>
            <w:r w:rsidRPr="00F171A3">
              <w:t xml:space="preserve">Ajutoare de înmormântare </w:t>
            </w:r>
          </w:p>
        </w:tc>
        <w:tc>
          <w:tcPr>
            <w:tcW w:w="990" w:type="dxa"/>
          </w:tcPr>
          <w:p w14:paraId="0EA407A3" w14:textId="77777777" w:rsidR="00617090" w:rsidRPr="00F171A3" w:rsidRDefault="00617090" w:rsidP="00F31936">
            <w:r w:rsidRPr="00F171A3">
              <w:t>31</w:t>
            </w:r>
          </w:p>
        </w:tc>
        <w:tc>
          <w:tcPr>
            <w:tcW w:w="1170" w:type="dxa"/>
          </w:tcPr>
          <w:p w14:paraId="45C5C0E5" w14:textId="77777777" w:rsidR="00617090" w:rsidRPr="00F171A3" w:rsidRDefault="00617090" w:rsidP="00F31936">
            <w:r w:rsidRPr="00F171A3">
              <w:t>27</w:t>
            </w:r>
          </w:p>
        </w:tc>
        <w:tc>
          <w:tcPr>
            <w:tcW w:w="1253" w:type="dxa"/>
          </w:tcPr>
          <w:p w14:paraId="4E85F25F" w14:textId="77777777" w:rsidR="00617090" w:rsidRPr="00F171A3" w:rsidRDefault="00617090" w:rsidP="00F31936">
            <w:r w:rsidRPr="00F171A3">
              <w:t>15</w:t>
            </w:r>
          </w:p>
        </w:tc>
        <w:tc>
          <w:tcPr>
            <w:tcW w:w="1888" w:type="dxa"/>
          </w:tcPr>
          <w:p w14:paraId="03B016E8" w14:textId="77777777" w:rsidR="00617090" w:rsidRPr="00F171A3" w:rsidRDefault="00617090" w:rsidP="00F31936">
            <w:r w:rsidRPr="00F171A3">
              <w:t>74</w:t>
            </w:r>
          </w:p>
        </w:tc>
      </w:tr>
      <w:tr w:rsidR="00617090" w:rsidRPr="00F171A3" w14:paraId="4FEA4CA4" w14:textId="77777777" w:rsidTr="00F31936">
        <w:trPr>
          <w:cnfStyle w:val="000000100000" w:firstRow="0" w:lastRow="0" w:firstColumn="0" w:lastColumn="0" w:oddVBand="0" w:evenVBand="0" w:oddHBand="1" w:evenHBand="0" w:firstRowFirstColumn="0" w:firstRowLastColumn="0" w:lastRowFirstColumn="0" w:lastRowLastColumn="0"/>
        </w:trPr>
        <w:tc>
          <w:tcPr>
            <w:tcW w:w="4135" w:type="dxa"/>
          </w:tcPr>
          <w:p w14:paraId="5937C6A0" w14:textId="77777777" w:rsidR="00617090" w:rsidRPr="00F171A3" w:rsidRDefault="00617090" w:rsidP="00F31936">
            <w:pPr>
              <w:jc w:val="left"/>
            </w:pPr>
            <w:r w:rsidRPr="00F171A3">
              <w:t xml:space="preserve">Ajutoare de urgență pentru prevenirea abandonului </w:t>
            </w:r>
          </w:p>
        </w:tc>
        <w:tc>
          <w:tcPr>
            <w:tcW w:w="990" w:type="dxa"/>
          </w:tcPr>
          <w:p w14:paraId="4BCBDA64" w14:textId="77777777" w:rsidR="00617090" w:rsidRPr="00F171A3" w:rsidRDefault="00617090" w:rsidP="00F31936">
            <w:r w:rsidRPr="00F171A3">
              <w:t>0</w:t>
            </w:r>
          </w:p>
        </w:tc>
        <w:tc>
          <w:tcPr>
            <w:tcW w:w="1170" w:type="dxa"/>
          </w:tcPr>
          <w:p w14:paraId="6686083D" w14:textId="77777777" w:rsidR="00617090" w:rsidRPr="00F171A3" w:rsidRDefault="00617090" w:rsidP="00F31936">
            <w:r w:rsidRPr="00F171A3">
              <w:t>25</w:t>
            </w:r>
          </w:p>
        </w:tc>
        <w:tc>
          <w:tcPr>
            <w:tcW w:w="1253" w:type="dxa"/>
          </w:tcPr>
          <w:p w14:paraId="3EF70B2A" w14:textId="77777777" w:rsidR="00617090" w:rsidRPr="00F171A3" w:rsidRDefault="00617090" w:rsidP="00F31936">
            <w:r w:rsidRPr="00F171A3">
              <w:t>88</w:t>
            </w:r>
          </w:p>
        </w:tc>
        <w:tc>
          <w:tcPr>
            <w:tcW w:w="1888" w:type="dxa"/>
          </w:tcPr>
          <w:p w14:paraId="26741F87" w14:textId="77777777" w:rsidR="00617090" w:rsidRPr="00F171A3" w:rsidRDefault="00617090" w:rsidP="00F31936">
            <w:r w:rsidRPr="00F171A3">
              <w:t>118</w:t>
            </w:r>
          </w:p>
        </w:tc>
      </w:tr>
      <w:tr w:rsidR="00617090" w:rsidRPr="00F171A3" w14:paraId="5FEB79ED" w14:textId="77777777" w:rsidTr="00F31936">
        <w:trPr>
          <w:cnfStyle w:val="000000010000" w:firstRow="0" w:lastRow="0" w:firstColumn="0" w:lastColumn="0" w:oddVBand="0" w:evenVBand="0" w:oddHBand="0" w:evenHBand="1" w:firstRowFirstColumn="0" w:firstRowLastColumn="0" w:lastRowFirstColumn="0" w:lastRowLastColumn="0"/>
        </w:trPr>
        <w:tc>
          <w:tcPr>
            <w:tcW w:w="4135" w:type="dxa"/>
          </w:tcPr>
          <w:p w14:paraId="6A8B1E2C" w14:textId="77777777" w:rsidR="00617090" w:rsidRPr="00F171A3" w:rsidRDefault="00617090" w:rsidP="00F31936">
            <w:pPr>
              <w:jc w:val="left"/>
            </w:pPr>
            <w:r w:rsidRPr="00F171A3">
              <w:t>Tichete sociale de sănătate</w:t>
            </w:r>
          </w:p>
        </w:tc>
        <w:tc>
          <w:tcPr>
            <w:tcW w:w="990" w:type="dxa"/>
          </w:tcPr>
          <w:p w14:paraId="76115BB7" w14:textId="77777777" w:rsidR="00617090" w:rsidRPr="00F171A3" w:rsidRDefault="00617090" w:rsidP="00F31936">
            <w:r w:rsidRPr="00F171A3">
              <w:t>959</w:t>
            </w:r>
          </w:p>
        </w:tc>
        <w:tc>
          <w:tcPr>
            <w:tcW w:w="1170" w:type="dxa"/>
          </w:tcPr>
          <w:p w14:paraId="12F8849A" w14:textId="77777777" w:rsidR="00617090" w:rsidRPr="00F171A3" w:rsidRDefault="00617090" w:rsidP="00F31936">
            <w:r w:rsidRPr="00F171A3">
              <w:t>1.170</w:t>
            </w:r>
          </w:p>
        </w:tc>
        <w:tc>
          <w:tcPr>
            <w:tcW w:w="1253" w:type="dxa"/>
          </w:tcPr>
          <w:p w14:paraId="6303CB01" w14:textId="77777777" w:rsidR="00617090" w:rsidRPr="00F171A3" w:rsidRDefault="00617090" w:rsidP="00F31936">
            <w:r w:rsidRPr="00F171A3">
              <w:t>1.311</w:t>
            </w:r>
          </w:p>
        </w:tc>
        <w:tc>
          <w:tcPr>
            <w:tcW w:w="1888" w:type="dxa"/>
          </w:tcPr>
          <w:p w14:paraId="238FD502" w14:textId="77777777" w:rsidR="00617090" w:rsidRPr="00F171A3" w:rsidRDefault="00617090" w:rsidP="00F31936">
            <w:r w:rsidRPr="00F171A3">
              <w:t>1.107</w:t>
            </w:r>
          </w:p>
        </w:tc>
      </w:tr>
      <w:tr w:rsidR="00617090" w:rsidRPr="00F171A3" w14:paraId="618D794B" w14:textId="77777777" w:rsidTr="00F31936">
        <w:trPr>
          <w:cnfStyle w:val="000000100000" w:firstRow="0" w:lastRow="0" w:firstColumn="0" w:lastColumn="0" w:oddVBand="0" w:evenVBand="0" w:oddHBand="1" w:evenHBand="0" w:firstRowFirstColumn="0" w:firstRowLastColumn="0" w:lastRowFirstColumn="0" w:lastRowLastColumn="0"/>
        </w:trPr>
        <w:tc>
          <w:tcPr>
            <w:tcW w:w="4135" w:type="dxa"/>
          </w:tcPr>
          <w:p w14:paraId="67B16EE2" w14:textId="77777777" w:rsidR="00617090" w:rsidRPr="00F171A3" w:rsidRDefault="00617090" w:rsidP="00F31936">
            <w:pPr>
              <w:jc w:val="left"/>
            </w:pPr>
            <w:r w:rsidRPr="00F171A3">
              <w:t>Tichete alimente</w:t>
            </w:r>
          </w:p>
        </w:tc>
        <w:tc>
          <w:tcPr>
            <w:tcW w:w="990" w:type="dxa"/>
          </w:tcPr>
          <w:p w14:paraId="1CF7C2A0" w14:textId="77777777" w:rsidR="00617090" w:rsidRPr="00F171A3" w:rsidRDefault="00617090" w:rsidP="00F31936">
            <w:r w:rsidRPr="00F171A3">
              <w:t>1.438</w:t>
            </w:r>
          </w:p>
        </w:tc>
        <w:tc>
          <w:tcPr>
            <w:tcW w:w="1170" w:type="dxa"/>
          </w:tcPr>
          <w:p w14:paraId="67F22487" w14:textId="77777777" w:rsidR="00617090" w:rsidRPr="00F171A3" w:rsidRDefault="00617090" w:rsidP="00F31936">
            <w:r w:rsidRPr="00F171A3">
              <w:t>1.405</w:t>
            </w:r>
          </w:p>
        </w:tc>
        <w:tc>
          <w:tcPr>
            <w:tcW w:w="1253" w:type="dxa"/>
          </w:tcPr>
          <w:p w14:paraId="4F7035EB" w14:textId="77777777" w:rsidR="00617090" w:rsidRPr="00F171A3" w:rsidRDefault="00617090" w:rsidP="00F31936">
            <w:r w:rsidRPr="00F171A3">
              <w:t>1.456</w:t>
            </w:r>
          </w:p>
        </w:tc>
        <w:tc>
          <w:tcPr>
            <w:tcW w:w="1888" w:type="dxa"/>
          </w:tcPr>
          <w:p w14:paraId="1ED16146" w14:textId="77777777" w:rsidR="00617090" w:rsidRPr="00F171A3" w:rsidRDefault="00617090" w:rsidP="00F31936">
            <w:r w:rsidRPr="00F171A3">
              <w:t>1.116</w:t>
            </w:r>
          </w:p>
        </w:tc>
      </w:tr>
      <w:tr w:rsidR="00617090" w:rsidRPr="00F171A3" w14:paraId="29C95B62" w14:textId="77777777" w:rsidTr="00F31936">
        <w:trPr>
          <w:cnfStyle w:val="000000010000" w:firstRow="0" w:lastRow="0" w:firstColumn="0" w:lastColumn="0" w:oddVBand="0" w:evenVBand="0" w:oddHBand="0" w:evenHBand="1" w:firstRowFirstColumn="0" w:firstRowLastColumn="0" w:lastRowFirstColumn="0" w:lastRowLastColumn="0"/>
        </w:trPr>
        <w:tc>
          <w:tcPr>
            <w:tcW w:w="4135" w:type="dxa"/>
          </w:tcPr>
          <w:p w14:paraId="0B731B4D" w14:textId="77777777" w:rsidR="00617090" w:rsidRPr="00F171A3" w:rsidRDefault="00617090" w:rsidP="00F31936">
            <w:pPr>
              <w:jc w:val="left"/>
            </w:pPr>
            <w:r w:rsidRPr="00F171A3">
              <w:t>Ajutoare incendiu</w:t>
            </w:r>
          </w:p>
        </w:tc>
        <w:tc>
          <w:tcPr>
            <w:tcW w:w="990" w:type="dxa"/>
          </w:tcPr>
          <w:p w14:paraId="59EAFF69" w14:textId="77777777" w:rsidR="00617090" w:rsidRPr="00F171A3" w:rsidRDefault="00617090" w:rsidP="00F31936">
            <w:r w:rsidRPr="00F171A3">
              <w:t>-</w:t>
            </w:r>
          </w:p>
        </w:tc>
        <w:tc>
          <w:tcPr>
            <w:tcW w:w="1170" w:type="dxa"/>
          </w:tcPr>
          <w:p w14:paraId="27553FF4" w14:textId="77777777" w:rsidR="00617090" w:rsidRPr="00F171A3" w:rsidRDefault="00617090" w:rsidP="00F31936">
            <w:r w:rsidRPr="00F171A3">
              <w:t>1</w:t>
            </w:r>
          </w:p>
        </w:tc>
        <w:tc>
          <w:tcPr>
            <w:tcW w:w="1253" w:type="dxa"/>
          </w:tcPr>
          <w:p w14:paraId="0C834132" w14:textId="77777777" w:rsidR="00617090" w:rsidRPr="00F171A3" w:rsidRDefault="00617090" w:rsidP="00F31936">
            <w:r w:rsidRPr="00F171A3">
              <w:t>3</w:t>
            </w:r>
          </w:p>
        </w:tc>
        <w:tc>
          <w:tcPr>
            <w:tcW w:w="1888" w:type="dxa"/>
          </w:tcPr>
          <w:p w14:paraId="2268CE91" w14:textId="77777777" w:rsidR="00617090" w:rsidRPr="00F171A3" w:rsidRDefault="00617090" w:rsidP="00F31936">
            <w:r w:rsidRPr="00F171A3">
              <w:t>0</w:t>
            </w:r>
          </w:p>
        </w:tc>
      </w:tr>
    </w:tbl>
    <w:p w14:paraId="2CC375C0" w14:textId="77777777" w:rsidR="00617090" w:rsidRPr="00F171A3" w:rsidRDefault="00617090" w:rsidP="00FF6C80">
      <w:pPr>
        <w:jc w:val="right"/>
        <w:rPr>
          <w:color w:val="BFBFBF" w:themeColor="background1" w:themeShade="BF"/>
        </w:rPr>
      </w:pPr>
      <w:r w:rsidRPr="00F171A3">
        <w:rPr>
          <w:color w:val="BFBFBF" w:themeColor="background1" w:themeShade="BF"/>
        </w:rPr>
        <w:t>Sursa: Strategia Locală de Dezvoltare a Serviciilor Sociale Sector 2 2021-2027</w:t>
      </w:r>
    </w:p>
    <w:p w14:paraId="61891499" w14:textId="499D4710" w:rsidR="00617090" w:rsidRPr="00F171A3" w:rsidRDefault="00617090" w:rsidP="00617090">
      <w:r w:rsidRPr="00F171A3">
        <w:t xml:space="preserve">Din numărul total de beneficiari ai prestațiilor sociale, 71,3% beneficiau de prestații acordate de la bugetul de stat, respectiv 28,7% beneficiau de prestații sociale acordate de la bugetul local al Primăriei Sectorului 2. Pe tipuri de beneficiari ai prestațiilor plătite de la bugetul local, în perioada respectivă, este înregistrată o creștere a numărului de beneficiari în cazul tuturor tipurilor de beneficiari, cu excepția celor care </w:t>
      </w:r>
      <w:r w:rsidR="00F171A3" w:rsidRPr="00F171A3">
        <w:t>beneficiază</w:t>
      </w:r>
      <w:r w:rsidRPr="00F171A3">
        <w:t xml:space="preserve"> de tichete de alimente și ajutoare de urgență, al căror număr a scăzut semnificativ. Situația respectivă indică o presiune tot mai accentuată a cheltuielilor din sfera serviciilor sociale asupra bugetului local. </w:t>
      </w:r>
    </w:p>
    <w:p w14:paraId="62E82738" w14:textId="77777777" w:rsidR="00617090" w:rsidRPr="00F171A3" w:rsidRDefault="00617090" w:rsidP="00617090">
      <w:r w:rsidRPr="00F171A3">
        <w:t xml:space="preserve">Pe tipuri de prestații finanțate de la bugetul local, cei mai mulți dintre beneficiari aveau nevoie de gratuități la transportul urban (34%), indemnizații însoțitor adult cu handicap (29%), tichete alimente (12%) și tichete sociale de sănătate (11%). De partea cealaltă, a fost înregistrat un număr redus de ajutoare de înmormântare și ajutoare financiare de urgență. </w:t>
      </w:r>
    </w:p>
    <w:p w14:paraId="7F356FEC" w14:textId="511E667F" w:rsidR="00617090" w:rsidRPr="00F171A3" w:rsidRDefault="00617090" w:rsidP="00617090">
      <w:pPr>
        <w:pStyle w:val="Caption"/>
      </w:pPr>
      <w:bookmarkStart w:id="88" w:name="_Toc127198016"/>
      <w:r w:rsidRPr="00F171A3">
        <w:t xml:space="preserve">Figura </w:t>
      </w:r>
      <w:r w:rsidRPr="00F171A3">
        <w:fldChar w:fldCharType="begin"/>
      </w:r>
      <w:r w:rsidRPr="00F171A3">
        <w:instrText xml:space="preserve"> SEQ Figura \* ARABIC </w:instrText>
      </w:r>
      <w:r w:rsidRPr="00F171A3">
        <w:fldChar w:fldCharType="separate"/>
      </w:r>
      <w:r w:rsidR="005A6DD8">
        <w:rPr>
          <w:noProof/>
        </w:rPr>
        <w:t>28</w:t>
      </w:r>
      <w:r w:rsidRPr="00F171A3">
        <w:fldChar w:fldCharType="end"/>
      </w:r>
      <w:r w:rsidRPr="00F171A3">
        <w:t xml:space="preserve"> Numărul beneficiarilor de prestații sociale de la bugetul local al sectorului 2, pe tipuri de beneficiI, în anul 2021</w:t>
      </w:r>
      <w:bookmarkEnd w:id="88"/>
    </w:p>
    <w:p w14:paraId="4013B61B" w14:textId="77777777" w:rsidR="00617090" w:rsidRPr="00F171A3" w:rsidRDefault="00617090" w:rsidP="00617090">
      <w:r w:rsidRPr="00F171A3">
        <w:rPr>
          <w:noProof/>
        </w:rPr>
        <w:drawing>
          <wp:inline distT="0" distB="0" distL="0" distR="0" wp14:anchorId="0501AAC7" wp14:editId="2C0140CD">
            <wp:extent cx="6012180" cy="3939540"/>
            <wp:effectExtent l="0" t="0" r="7620" b="381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F171A3">
        <w:t xml:space="preserve"> </w:t>
      </w:r>
    </w:p>
    <w:p w14:paraId="4F3E0FEF" w14:textId="77777777" w:rsidR="00617090" w:rsidRPr="00F171A3" w:rsidRDefault="00617090" w:rsidP="00FF6C80">
      <w:pPr>
        <w:jc w:val="right"/>
        <w:rPr>
          <w:color w:val="BFBFBF" w:themeColor="background1" w:themeShade="BF"/>
        </w:rPr>
      </w:pPr>
      <w:r w:rsidRPr="00F171A3">
        <w:rPr>
          <w:color w:val="BFBFBF" w:themeColor="background1" w:themeShade="BF"/>
        </w:rPr>
        <w:t>Sursa: Strategia Locală de Dezvoltare a Serviciilor Sociale Sector 2, 2021-2027</w:t>
      </w:r>
    </w:p>
    <w:p w14:paraId="5D862AC1" w14:textId="77777777" w:rsidR="001C6F0A" w:rsidRPr="00F171A3" w:rsidRDefault="001C6F0A" w:rsidP="001C6F0A"/>
    <w:p w14:paraId="460F03F9" w14:textId="5AC7F1B7" w:rsidR="00BF7FBF" w:rsidRPr="00F171A3" w:rsidRDefault="001E0A0F" w:rsidP="001E0A0F">
      <w:pPr>
        <w:pStyle w:val="Heading4"/>
      </w:pPr>
      <w:bookmarkStart w:id="89" w:name="_Toc100767807"/>
      <w:r w:rsidRPr="00F171A3">
        <w:t>SĂNĂTATE</w:t>
      </w:r>
      <w:bookmarkEnd w:id="89"/>
      <w:r w:rsidRPr="00F171A3">
        <w:t xml:space="preserve"> </w:t>
      </w:r>
    </w:p>
    <w:p w14:paraId="1B962D71" w14:textId="77777777" w:rsidR="003F5EA3" w:rsidRPr="00F171A3" w:rsidRDefault="003F5EA3" w:rsidP="003F5EA3">
      <w:r w:rsidRPr="00F171A3">
        <w:t>La nivel național, municipiul București este principalul furnizor de servicii de sănătate datorită dotărilor și expertizei disponibile în cadrul unităților spitalicești. Rețeaua de unități medico-sanitare din Sectorul 2 este compusă din spitale, laboratoare medicale, farmacii, cabinete stomatologice, cabinete de specialitate. În ultimii ani, un rol tot mai important în rețeaua medicală îl are mediul privat, care deține un număr important de cabinete stomatologice, cabinete medicale de familie, farmacii, laboratoare de analiză, etc. Totuși, rețeaua publică de sănătate este administrată de către autoritățile municipale sau de către Ministerul Sănătății, prerogativele Primăriei Sectorului 2 în acest domeniu fiind reduse.</w:t>
      </w:r>
    </w:p>
    <w:p w14:paraId="6B5A0A36" w14:textId="77777777" w:rsidR="003F5EA3" w:rsidRPr="00F171A3" w:rsidRDefault="003F5EA3" w:rsidP="003F5EA3">
      <w:r w:rsidRPr="00F171A3">
        <w:t>Pe teritoriul Sectorului 2 sunt prezente următoarele spitale:</w:t>
      </w:r>
    </w:p>
    <w:p w14:paraId="7846A25D" w14:textId="77777777" w:rsidR="003F5EA3" w:rsidRPr="00F171A3" w:rsidRDefault="003F5EA3" w:rsidP="003F5EA3">
      <w:pPr>
        <w:pStyle w:val="Bullet"/>
      </w:pPr>
      <w:r w:rsidRPr="00F171A3">
        <w:t xml:space="preserve">Spitalul Clinic de Urgență Sfântul Pantelimon; </w:t>
      </w:r>
    </w:p>
    <w:p w14:paraId="48CFC797" w14:textId="77777777" w:rsidR="003F5EA3" w:rsidRPr="00F171A3" w:rsidRDefault="003F5EA3" w:rsidP="003F5EA3">
      <w:pPr>
        <w:pStyle w:val="Bullet"/>
      </w:pPr>
      <w:r w:rsidRPr="00F171A3">
        <w:t xml:space="preserve">Spitalul Clinic Nicolae Malaxa; </w:t>
      </w:r>
    </w:p>
    <w:p w14:paraId="6628C4CB" w14:textId="77777777" w:rsidR="003F5EA3" w:rsidRPr="00F171A3" w:rsidRDefault="003F5EA3" w:rsidP="003F5EA3">
      <w:pPr>
        <w:pStyle w:val="Bullet"/>
      </w:pPr>
      <w:r w:rsidRPr="00F171A3">
        <w:t xml:space="preserve">Centrului Clinic de Boli Reumatismale "Dr. I. Stoia"; </w:t>
      </w:r>
    </w:p>
    <w:p w14:paraId="451290E3" w14:textId="77777777" w:rsidR="003F5EA3" w:rsidRPr="00F171A3" w:rsidRDefault="003F5EA3" w:rsidP="003F5EA3">
      <w:pPr>
        <w:pStyle w:val="Bullet"/>
      </w:pPr>
      <w:r w:rsidRPr="00F171A3">
        <w:t xml:space="preserve">Spitalul Colentina; </w:t>
      </w:r>
    </w:p>
    <w:p w14:paraId="744D38F1" w14:textId="77777777" w:rsidR="003F5EA3" w:rsidRPr="00F171A3" w:rsidRDefault="003F5EA3" w:rsidP="003F5EA3">
      <w:pPr>
        <w:pStyle w:val="Bullet"/>
      </w:pPr>
      <w:r w:rsidRPr="00F171A3">
        <w:t xml:space="preserve">Spitalul de Urgență Profesor Doctor Dimitrie Gerota; </w:t>
      </w:r>
    </w:p>
    <w:p w14:paraId="518E65A5" w14:textId="77777777" w:rsidR="003F5EA3" w:rsidRPr="00F171A3" w:rsidRDefault="003F5EA3" w:rsidP="003F5EA3">
      <w:pPr>
        <w:pStyle w:val="Bullet"/>
      </w:pPr>
      <w:r w:rsidRPr="00F171A3">
        <w:t xml:space="preserve">Spitalul Clinic Doctor Ioan Cantacuzino; </w:t>
      </w:r>
    </w:p>
    <w:p w14:paraId="5EDE3A97" w14:textId="77777777" w:rsidR="003F5EA3" w:rsidRPr="00F171A3" w:rsidRDefault="003F5EA3" w:rsidP="003F5EA3">
      <w:pPr>
        <w:pStyle w:val="Bullet"/>
      </w:pPr>
      <w:r w:rsidRPr="00F171A3">
        <w:t xml:space="preserve">Spitalul Sfântul Ștefan; </w:t>
      </w:r>
    </w:p>
    <w:p w14:paraId="0E7A8FEB" w14:textId="77777777" w:rsidR="003F5EA3" w:rsidRPr="00F171A3" w:rsidRDefault="003F5EA3" w:rsidP="003F5EA3">
      <w:pPr>
        <w:pStyle w:val="Bullet"/>
      </w:pPr>
      <w:r w:rsidRPr="00F171A3">
        <w:t xml:space="preserve">Institutul Clinic Fundeni; </w:t>
      </w:r>
    </w:p>
    <w:p w14:paraId="0EEFF4C7" w14:textId="77777777" w:rsidR="003F5EA3" w:rsidRPr="00F171A3" w:rsidRDefault="003F5EA3" w:rsidP="003F5EA3">
      <w:pPr>
        <w:pStyle w:val="Bullet"/>
      </w:pPr>
      <w:r w:rsidRPr="00F171A3">
        <w:t xml:space="preserve">Spitalul Clinic de Ortopedie Foișor; </w:t>
      </w:r>
    </w:p>
    <w:p w14:paraId="268E37EF" w14:textId="77777777" w:rsidR="003F5EA3" w:rsidRPr="00F171A3" w:rsidRDefault="003F5EA3" w:rsidP="003F5EA3">
      <w:pPr>
        <w:pStyle w:val="Bullet"/>
      </w:pPr>
      <w:r w:rsidRPr="00F171A3">
        <w:t xml:space="preserve">Spitalul Militar Al Ministerului De Interne; </w:t>
      </w:r>
    </w:p>
    <w:p w14:paraId="390483CC" w14:textId="77777777" w:rsidR="003F5EA3" w:rsidRPr="00F171A3" w:rsidRDefault="003F5EA3" w:rsidP="003F5EA3">
      <w:pPr>
        <w:pStyle w:val="Bullet"/>
      </w:pPr>
      <w:r w:rsidRPr="00F171A3">
        <w:t>Spitalul Clinic Județean de Urgență Ilfov.</w:t>
      </w:r>
    </w:p>
    <w:p w14:paraId="7D40F6E2" w14:textId="77777777" w:rsidR="003F5EA3" w:rsidRPr="00F171A3" w:rsidRDefault="003F5EA3" w:rsidP="003F5EA3"/>
    <w:p w14:paraId="404C2AC5" w14:textId="25D567B5" w:rsidR="003F5EA3" w:rsidRPr="00F171A3" w:rsidRDefault="00D44B8A" w:rsidP="003F5EA3">
      <w:pPr>
        <w:rPr>
          <w:rStyle w:val="Strong"/>
        </w:rPr>
      </w:pPr>
      <w:r w:rsidRPr="00F171A3">
        <w:rPr>
          <w:rStyle w:val="Strong"/>
        </w:rPr>
        <w:t>PERSONALUL MEDICAL</w:t>
      </w:r>
    </w:p>
    <w:p w14:paraId="4511AC58" w14:textId="77777777" w:rsidR="003F5EA3" w:rsidRPr="00F171A3" w:rsidRDefault="003F5EA3" w:rsidP="003F5EA3">
      <w:r w:rsidRPr="00F171A3">
        <w:t>Conform INS, în anul 2020, întregul personal medico-sanitar din municipiul București număra peste 61.200 de cadre, dintre care 24,4% erau medici, 6% erau stomatologi, 6,8% erau farmaciști, 37,9% reprezenta personalul sanitar mediu, 17,3% - personalul sanitar auxiliar, și 7,5% - alte tipuri de personal sanitar cu studii superioare. În funcție de forma de proprietate, în rândul stomatologilor și a farmaciilor, majoritatea activau în unități private, în timp ce în celelalte cazuri predomina sectorul public. Totuși, la nivel național a fost înregistrată o tendință de tranziție a cadrelor medico-sanitare către mediul privat în favoarea condițiilor de muncă și salariale mai bune.</w:t>
      </w:r>
    </w:p>
    <w:p w14:paraId="520D9192" w14:textId="5E96B2B1" w:rsidR="003F5EA3" w:rsidRPr="00F171A3" w:rsidRDefault="003F5EA3" w:rsidP="003F5EA3">
      <w:pPr>
        <w:pStyle w:val="Caption"/>
      </w:pPr>
      <w:bookmarkStart w:id="90" w:name="_Toc127198017"/>
      <w:r w:rsidRPr="00F171A3">
        <w:t xml:space="preserve">Figura </w:t>
      </w:r>
      <w:r w:rsidRPr="00F171A3">
        <w:fldChar w:fldCharType="begin"/>
      </w:r>
      <w:r w:rsidRPr="00F171A3">
        <w:instrText xml:space="preserve"> SEQ Figura \* ARABIC </w:instrText>
      </w:r>
      <w:r w:rsidRPr="00F171A3">
        <w:fldChar w:fldCharType="separate"/>
      </w:r>
      <w:r w:rsidR="005A6DD8">
        <w:rPr>
          <w:noProof/>
        </w:rPr>
        <w:t>29</w:t>
      </w:r>
      <w:r w:rsidRPr="00F171A3">
        <w:fldChar w:fldCharType="end"/>
      </w:r>
      <w:r w:rsidRPr="00F171A3">
        <w:t xml:space="preserve"> Distribuția personalului medical la nivelul municipiului București, în anul 2020</w:t>
      </w:r>
      <w:bookmarkEnd w:id="90"/>
    </w:p>
    <w:p w14:paraId="6D967390" w14:textId="77777777" w:rsidR="003F5EA3" w:rsidRPr="00F171A3" w:rsidRDefault="003F5EA3" w:rsidP="003F5EA3">
      <w:pPr>
        <w:rPr>
          <w:sz w:val="24"/>
        </w:rPr>
      </w:pPr>
      <w:r w:rsidRPr="00F171A3">
        <w:rPr>
          <w:noProof/>
          <w:sz w:val="24"/>
        </w:rPr>
        <w:drawing>
          <wp:inline distT="0" distB="0" distL="0" distR="0" wp14:anchorId="64F3E663" wp14:editId="7BDA4E49">
            <wp:extent cx="6124575" cy="291465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FDC603C" w14:textId="77777777" w:rsidR="003F5EA3" w:rsidRPr="00F171A3" w:rsidRDefault="003F5EA3" w:rsidP="00FF6C80">
      <w:pPr>
        <w:jc w:val="right"/>
        <w:rPr>
          <w:color w:val="BFBFBF" w:themeColor="background1" w:themeShade="BF"/>
        </w:rPr>
      </w:pPr>
      <w:r w:rsidRPr="00F171A3">
        <w:rPr>
          <w:color w:val="BFBFBF" w:themeColor="background1" w:themeShade="BF"/>
        </w:rPr>
        <w:t>Sursa: INS. Baza de date TEMPO Online</w:t>
      </w:r>
    </w:p>
    <w:p w14:paraId="0464C0A2" w14:textId="77777777" w:rsidR="003F5EA3" w:rsidRPr="00F171A3" w:rsidRDefault="003F5EA3" w:rsidP="003F5EA3">
      <w:r w:rsidRPr="00F171A3">
        <w:t>În anul 2020, în funcție de numărul de persoane ce revine unui medic, la nivelul municipiului București a fost înregistrată o medie de 145 de persoane / medic, 587 de persoane / stomatolog, și 519 persoane / farmacist. Față de anul 2015, numărul de persoane per cadru medical a scăzut în cazul tuturor tipurilor de medici sau personal auxiliar, cu excepția farmaciștilor, unde numărul de persoane ce revine unui farmacist a crescut de la 463 la 519. Totodată, a scăzut semnificativ numărul de persoane de revin unui stomatolog, ca urmare a deschiderii de multe clinici stomatologice noi în Capitală.</w:t>
      </w:r>
    </w:p>
    <w:p w14:paraId="283EAA5F" w14:textId="77777777" w:rsidR="003F5EA3" w:rsidRPr="00F171A3" w:rsidRDefault="003F5EA3" w:rsidP="003F5EA3">
      <w:r w:rsidRPr="00F171A3">
        <w:t>Analizând personalul medical din municipiul București este important de menționat impactul puternic pe care l-a avut pandemia de COVID-19 asupra cadrelor medico-sanitare, acestea fiind suprasolicitate și lucrând în condiții foarte dificile pentru o perioadă lungă de timp. În același context, a fost solicitată și infrastructura medicală din Capitală, aceasta fiind deseori depășită de cererea imensă în valurile pandemice, deoarece unitățile spitalicești din Capitală deserveau pacienți din toată țara, preluând cele mai grave cazuri. În acest sens, concluziile au fost evidente în direcția necesității de a investi în spitale publice și de a atrage mai multe cadre medicale în sectorul public, pentru a putea deservi populația. De asemenea, în perioada pandemică a suferit calitatea și disponibilitatea serviciilor medicale, în ideea în care mai multe unități spitalicești au devenit “Spitale COVID-19” care tratau preponderent pacienți infectați cu COVID-19, fără a fi funcționale și un șir de cabinete medicale de alt profil decât infecțios.</w:t>
      </w:r>
    </w:p>
    <w:p w14:paraId="071AB5BD" w14:textId="77777777" w:rsidR="003F5EA3" w:rsidRPr="00F171A3" w:rsidRDefault="003F5EA3" w:rsidP="003F5EA3"/>
    <w:p w14:paraId="26BAC21E" w14:textId="0E319C1D" w:rsidR="003F5EA3" w:rsidRPr="00695D7C" w:rsidRDefault="003F5EA3" w:rsidP="00695D7C">
      <w:pPr>
        <w:pStyle w:val="Caption"/>
      </w:pPr>
      <w:bookmarkStart w:id="91" w:name="_Toc127198018"/>
      <w:r w:rsidRPr="00695D7C">
        <w:t xml:space="preserve">Figura </w:t>
      </w:r>
      <w:r w:rsidRPr="00695D7C">
        <w:fldChar w:fldCharType="begin"/>
      </w:r>
      <w:r w:rsidRPr="00695D7C">
        <w:instrText xml:space="preserve"> SEQ Figura \* ARABIC </w:instrText>
      </w:r>
      <w:r w:rsidRPr="00695D7C">
        <w:fldChar w:fldCharType="separate"/>
      </w:r>
      <w:r w:rsidR="005A6DD8">
        <w:rPr>
          <w:noProof/>
        </w:rPr>
        <w:t>30</w:t>
      </w:r>
      <w:r w:rsidRPr="00695D7C">
        <w:fldChar w:fldCharType="end"/>
      </w:r>
      <w:r w:rsidRPr="00695D7C">
        <w:t xml:space="preserve"> </w:t>
      </w:r>
      <w:r w:rsidR="00695D7C" w:rsidRPr="00695D7C">
        <w:t>Numărul mediu de persoane ce revine unui cadru medical, pe tipuri de personal medical, în Mun. București, 2015 - 2020</w:t>
      </w:r>
      <w:bookmarkEnd w:id="91"/>
    </w:p>
    <w:p w14:paraId="65B5C40D" w14:textId="77777777" w:rsidR="003F5EA3" w:rsidRPr="00F171A3" w:rsidRDefault="003F5EA3" w:rsidP="003F5EA3">
      <w:r w:rsidRPr="00F171A3">
        <w:rPr>
          <w:noProof/>
        </w:rPr>
        <w:drawing>
          <wp:inline distT="0" distB="0" distL="0" distR="0" wp14:anchorId="00FA3D0F" wp14:editId="1B0529B7">
            <wp:extent cx="6067425" cy="32004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92F07AF" w14:textId="77777777" w:rsidR="003F5EA3" w:rsidRPr="00F171A3" w:rsidRDefault="003F5EA3" w:rsidP="00FF6C80">
      <w:pPr>
        <w:jc w:val="right"/>
        <w:rPr>
          <w:color w:val="BFBFBF" w:themeColor="background1" w:themeShade="BF"/>
        </w:rPr>
      </w:pPr>
      <w:r w:rsidRPr="00F171A3">
        <w:rPr>
          <w:color w:val="BFBFBF" w:themeColor="background1" w:themeShade="BF"/>
        </w:rPr>
        <w:t>Sursa: INS. Baza de date TEMPO Online</w:t>
      </w:r>
    </w:p>
    <w:p w14:paraId="6C4679B2" w14:textId="77777777" w:rsidR="003F5EA3" w:rsidRPr="00F171A3" w:rsidRDefault="003F5EA3" w:rsidP="003F5EA3">
      <w:r w:rsidRPr="00F171A3">
        <w:t xml:space="preserve">Conform INS, numărul de paturi disponibile în spitalele din Capitală era de 22.378, dintre care 20.403 (91,2%) în spitale publice, respectiv 1.975 (8,8%) în clinici private. În dinamică, față de anul 2015, numărul total de paturi a crescut cu 1,8%: în sectorul public acesta a crescut cu 0,1% iar în sectorul privat cu 24%. </w:t>
      </w:r>
      <w:bookmarkStart w:id="92" w:name="_Hlk114152670"/>
      <w:r w:rsidRPr="00F171A3">
        <w:t>Acest fapt este explicat prin interesul tot mai mare al pacienților față de tehnici specializate și condiții mai bune de îngrijire, cu mențiunea că și costurile aferente sunt cu mult superioare</w:t>
      </w:r>
      <w:bookmarkEnd w:id="92"/>
      <w:r w:rsidRPr="00F171A3">
        <w:t>.</w:t>
      </w:r>
    </w:p>
    <w:p w14:paraId="66B7998C" w14:textId="2FCC6A0E" w:rsidR="003F5EA3" w:rsidRPr="00F171A3" w:rsidRDefault="003F5EA3" w:rsidP="003F5EA3">
      <w:pPr>
        <w:pStyle w:val="Caption"/>
      </w:pPr>
      <w:bookmarkStart w:id="93" w:name="_Toc126943276"/>
      <w:r w:rsidRPr="00F171A3">
        <w:t xml:space="preserve">Tabel </w:t>
      </w:r>
      <w:r w:rsidRPr="00F171A3">
        <w:fldChar w:fldCharType="begin"/>
      </w:r>
      <w:r w:rsidRPr="00F171A3">
        <w:instrText xml:space="preserve"> SEQ Tabel \* ARABIC </w:instrText>
      </w:r>
      <w:r w:rsidRPr="00F171A3">
        <w:fldChar w:fldCharType="separate"/>
      </w:r>
      <w:r w:rsidR="005A6DD8">
        <w:rPr>
          <w:noProof/>
        </w:rPr>
        <w:t>19</w:t>
      </w:r>
      <w:r w:rsidRPr="00F171A3">
        <w:fldChar w:fldCharType="end"/>
      </w:r>
      <w:r w:rsidRPr="00F171A3">
        <w:t xml:space="preserve"> Numărul de paturi ce revine la 1.000 de locuitori, în polii de creștere din țară, în anul 2020</w:t>
      </w:r>
      <w:bookmarkEnd w:id="93"/>
    </w:p>
    <w:tbl>
      <w:tblPr>
        <w:tblStyle w:val="Civittatable"/>
        <w:tblW w:w="0" w:type="auto"/>
        <w:tblLook w:val="04A0" w:firstRow="1" w:lastRow="0" w:firstColumn="1" w:lastColumn="0" w:noHBand="0" w:noVBand="1"/>
      </w:tblPr>
      <w:tblGrid>
        <w:gridCol w:w="4624"/>
        <w:gridCol w:w="4624"/>
      </w:tblGrid>
      <w:tr w:rsidR="003F5EA3" w:rsidRPr="00F171A3" w14:paraId="321C0E6E" w14:textId="77777777" w:rsidTr="00F31936">
        <w:trPr>
          <w:cnfStyle w:val="100000000000" w:firstRow="1" w:lastRow="0" w:firstColumn="0" w:lastColumn="0" w:oddVBand="0" w:evenVBand="0" w:oddHBand="0" w:evenHBand="0" w:firstRowFirstColumn="0" w:firstRowLastColumn="0" w:lastRowFirstColumn="0" w:lastRowLastColumn="0"/>
          <w:trHeight w:val="227"/>
        </w:trPr>
        <w:tc>
          <w:tcPr>
            <w:tcW w:w="4624" w:type="dxa"/>
          </w:tcPr>
          <w:p w14:paraId="2C8A81AD" w14:textId="77777777" w:rsidR="003F5EA3" w:rsidRPr="00F171A3" w:rsidRDefault="003F5EA3" w:rsidP="00F31936">
            <w:pPr>
              <w:jc w:val="center"/>
              <w:rPr>
                <w:b/>
                <w:bCs/>
              </w:rPr>
            </w:pPr>
            <w:r w:rsidRPr="00F171A3">
              <w:rPr>
                <w:b/>
                <w:bCs/>
              </w:rPr>
              <w:t>Pol de creștere</w:t>
            </w:r>
          </w:p>
        </w:tc>
        <w:tc>
          <w:tcPr>
            <w:tcW w:w="4624" w:type="dxa"/>
          </w:tcPr>
          <w:p w14:paraId="589DA050" w14:textId="77777777" w:rsidR="003F5EA3" w:rsidRPr="00F171A3" w:rsidRDefault="003F5EA3" w:rsidP="00F31936">
            <w:pPr>
              <w:jc w:val="center"/>
              <w:rPr>
                <w:b/>
                <w:bCs/>
              </w:rPr>
            </w:pPr>
            <w:r w:rsidRPr="00F171A3">
              <w:rPr>
                <w:b/>
                <w:bCs/>
              </w:rPr>
              <w:t>Numărul de paturi / 1.000 locuitori</w:t>
            </w:r>
          </w:p>
        </w:tc>
      </w:tr>
      <w:tr w:rsidR="003F5EA3" w:rsidRPr="00F171A3" w14:paraId="099CE5DC" w14:textId="77777777" w:rsidTr="00F31936">
        <w:trPr>
          <w:cnfStyle w:val="000000100000" w:firstRow="0" w:lastRow="0" w:firstColumn="0" w:lastColumn="0" w:oddVBand="0" w:evenVBand="0" w:oddHBand="1" w:evenHBand="0" w:firstRowFirstColumn="0" w:firstRowLastColumn="0" w:lastRowFirstColumn="0" w:lastRowLastColumn="0"/>
          <w:trHeight w:val="227"/>
        </w:trPr>
        <w:tc>
          <w:tcPr>
            <w:tcW w:w="4624" w:type="dxa"/>
          </w:tcPr>
          <w:p w14:paraId="796264FA" w14:textId="77777777" w:rsidR="003F5EA3" w:rsidRPr="00F171A3" w:rsidRDefault="003F5EA3" w:rsidP="00F31936">
            <w:pPr>
              <w:jc w:val="center"/>
            </w:pPr>
            <w:r w:rsidRPr="00F171A3">
              <w:t>București</w:t>
            </w:r>
          </w:p>
        </w:tc>
        <w:tc>
          <w:tcPr>
            <w:tcW w:w="4624" w:type="dxa"/>
          </w:tcPr>
          <w:p w14:paraId="4EC8D4EA" w14:textId="77777777" w:rsidR="003F5EA3" w:rsidRPr="00F171A3" w:rsidRDefault="003F5EA3" w:rsidP="00F31936">
            <w:pPr>
              <w:jc w:val="center"/>
              <w:rPr>
                <w:szCs w:val="20"/>
              </w:rPr>
            </w:pPr>
            <w:r w:rsidRPr="00F171A3">
              <w:rPr>
                <w:rFonts w:ascii="Calibri" w:hAnsi="Calibri" w:cs="Calibri"/>
                <w:color w:val="000000"/>
                <w:szCs w:val="20"/>
              </w:rPr>
              <w:t>10.4</w:t>
            </w:r>
          </w:p>
        </w:tc>
      </w:tr>
      <w:tr w:rsidR="003F5EA3" w:rsidRPr="00F171A3" w14:paraId="1DECD582" w14:textId="77777777" w:rsidTr="00F31936">
        <w:trPr>
          <w:cnfStyle w:val="000000010000" w:firstRow="0" w:lastRow="0" w:firstColumn="0" w:lastColumn="0" w:oddVBand="0" w:evenVBand="0" w:oddHBand="0" w:evenHBand="1" w:firstRowFirstColumn="0" w:firstRowLastColumn="0" w:lastRowFirstColumn="0" w:lastRowLastColumn="0"/>
          <w:trHeight w:val="234"/>
        </w:trPr>
        <w:tc>
          <w:tcPr>
            <w:tcW w:w="4624" w:type="dxa"/>
          </w:tcPr>
          <w:p w14:paraId="632ADC05" w14:textId="77777777" w:rsidR="003F5EA3" w:rsidRPr="00F171A3" w:rsidRDefault="003F5EA3" w:rsidP="00F31936">
            <w:pPr>
              <w:jc w:val="center"/>
            </w:pPr>
            <w:r w:rsidRPr="00F171A3">
              <w:t>Cluj-Napoca</w:t>
            </w:r>
          </w:p>
        </w:tc>
        <w:tc>
          <w:tcPr>
            <w:tcW w:w="4624" w:type="dxa"/>
          </w:tcPr>
          <w:p w14:paraId="7E47A75F" w14:textId="77777777" w:rsidR="003F5EA3" w:rsidRPr="00F171A3" w:rsidRDefault="003F5EA3" w:rsidP="00F31936">
            <w:pPr>
              <w:jc w:val="center"/>
              <w:rPr>
                <w:szCs w:val="20"/>
              </w:rPr>
            </w:pPr>
            <w:r w:rsidRPr="00F171A3">
              <w:rPr>
                <w:rFonts w:ascii="Calibri" w:hAnsi="Calibri" w:cs="Calibri"/>
                <w:color w:val="000000"/>
                <w:szCs w:val="20"/>
              </w:rPr>
              <w:t>16.2</w:t>
            </w:r>
          </w:p>
        </w:tc>
      </w:tr>
      <w:tr w:rsidR="003F5EA3" w:rsidRPr="00F171A3" w14:paraId="6F3998E6" w14:textId="77777777" w:rsidTr="00F31936">
        <w:trPr>
          <w:cnfStyle w:val="000000100000" w:firstRow="0" w:lastRow="0" w:firstColumn="0" w:lastColumn="0" w:oddVBand="0" w:evenVBand="0" w:oddHBand="1" w:evenHBand="0" w:firstRowFirstColumn="0" w:firstRowLastColumn="0" w:lastRowFirstColumn="0" w:lastRowLastColumn="0"/>
          <w:trHeight w:val="227"/>
        </w:trPr>
        <w:tc>
          <w:tcPr>
            <w:tcW w:w="4624" w:type="dxa"/>
          </w:tcPr>
          <w:p w14:paraId="21C7A895" w14:textId="77777777" w:rsidR="003F5EA3" w:rsidRPr="00F171A3" w:rsidRDefault="003F5EA3" w:rsidP="00F31936">
            <w:pPr>
              <w:jc w:val="center"/>
            </w:pPr>
            <w:r w:rsidRPr="00F171A3">
              <w:t>Iași</w:t>
            </w:r>
          </w:p>
        </w:tc>
        <w:tc>
          <w:tcPr>
            <w:tcW w:w="4624" w:type="dxa"/>
          </w:tcPr>
          <w:p w14:paraId="039B1321" w14:textId="77777777" w:rsidR="003F5EA3" w:rsidRPr="00F171A3" w:rsidRDefault="003F5EA3" w:rsidP="00F31936">
            <w:pPr>
              <w:jc w:val="center"/>
              <w:rPr>
                <w:szCs w:val="20"/>
              </w:rPr>
            </w:pPr>
            <w:r w:rsidRPr="00F171A3">
              <w:rPr>
                <w:rFonts w:ascii="Calibri" w:hAnsi="Calibri" w:cs="Calibri"/>
                <w:color w:val="000000"/>
                <w:szCs w:val="20"/>
              </w:rPr>
              <w:t>16.0</w:t>
            </w:r>
          </w:p>
        </w:tc>
      </w:tr>
      <w:tr w:rsidR="003F5EA3" w:rsidRPr="00F171A3" w14:paraId="759AF395" w14:textId="77777777" w:rsidTr="00F31936">
        <w:trPr>
          <w:cnfStyle w:val="000000010000" w:firstRow="0" w:lastRow="0" w:firstColumn="0" w:lastColumn="0" w:oddVBand="0" w:evenVBand="0" w:oddHBand="0" w:evenHBand="1" w:firstRowFirstColumn="0" w:firstRowLastColumn="0" w:lastRowFirstColumn="0" w:lastRowLastColumn="0"/>
          <w:trHeight w:val="227"/>
        </w:trPr>
        <w:tc>
          <w:tcPr>
            <w:tcW w:w="4624" w:type="dxa"/>
          </w:tcPr>
          <w:p w14:paraId="0FABAD70" w14:textId="77777777" w:rsidR="003F5EA3" w:rsidRPr="00F171A3" w:rsidRDefault="003F5EA3" w:rsidP="00F31936">
            <w:pPr>
              <w:jc w:val="center"/>
            </w:pPr>
            <w:r w:rsidRPr="00F171A3">
              <w:t>Timișoara</w:t>
            </w:r>
          </w:p>
        </w:tc>
        <w:tc>
          <w:tcPr>
            <w:tcW w:w="4624" w:type="dxa"/>
          </w:tcPr>
          <w:p w14:paraId="48295B28" w14:textId="77777777" w:rsidR="003F5EA3" w:rsidRPr="00F171A3" w:rsidRDefault="003F5EA3" w:rsidP="00F31936">
            <w:pPr>
              <w:jc w:val="center"/>
              <w:rPr>
                <w:szCs w:val="20"/>
              </w:rPr>
            </w:pPr>
            <w:r w:rsidRPr="00F171A3">
              <w:rPr>
                <w:rFonts w:ascii="Calibri" w:hAnsi="Calibri" w:cs="Calibri"/>
                <w:color w:val="000000"/>
                <w:szCs w:val="20"/>
              </w:rPr>
              <w:t>11.9</w:t>
            </w:r>
          </w:p>
        </w:tc>
      </w:tr>
      <w:tr w:rsidR="003F5EA3" w:rsidRPr="00F171A3" w14:paraId="67DCE960" w14:textId="77777777" w:rsidTr="00F31936">
        <w:trPr>
          <w:cnfStyle w:val="000000100000" w:firstRow="0" w:lastRow="0" w:firstColumn="0" w:lastColumn="0" w:oddVBand="0" w:evenVBand="0" w:oddHBand="1" w:evenHBand="0" w:firstRowFirstColumn="0" w:firstRowLastColumn="0" w:lastRowFirstColumn="0" w:lastRowLastColumn="0"/>
          <w:trHeight w:val="227"/>
        </w:trPr>
        <w:tc>
          <w:tcPr>
            <w:tcW w:w="4624" w:type="dxa"/>
          </w:tcPr>
          <w:p w14:paraId="547F841A" w14:textId="77777777" w:rsidR="003F5EA3" w:rsidRPr="00F171A3" w:rsidRDefault="003F5EA3" w:rsidP="00F31936">
            <w:pPr>
              <w:jc w:val="center"/>
            </w:pPr>
            <w:r w:rsidRPr="00F171A3">
              <w:t>Craiova</w:t>
            </w:r>
          </w:p>
        </w:tc>
        <w:tc>
          <w:tcPr>
            <w:tcW w:w="4624" w:type="dxa"/>
          </w:tcPr>
          <w:p w14:paraId="3AFBC5B8" w14:textId="77777777" w:rsidR="003F5EA3" w:rsidRPr="00F171A3" w:rsidRDefault="003F5EA3" w:rsidP="00F31936">
            <w:pPr>
              <w:jc w:val="center"/>
              <w:rPr>
                <w:szCs w:val="20"/>
              </w:rPr>
            </w:pPr>
            <w:r w:rsidRPr="00F171A3">
              <w:rPr>
                <w:rFonts w:ascii="Calibri" w:hAnsi="Calibri" w:cs="Calibri"/>
                <w:color w:val="000000"/>
                <w:szCs w:val="20"/>
              </w:rPr>
              <w:t>11.0</w:t>
            </w:r>
          </w:p>
        </w:tc>
      </w:tr>
      <w:tr w:rsidR="003F5EA3" w:rsidRPr="00F171A3" w14:paraId="51230111" w14:textId="77777777" w:rsidTr="00F31936">
        <w:trPr>
          <w:cnfStyle w:val="000000010000" w:firstRow="0" w:lastRow="0" w:firstColumn="0" w:lastColumn="0" w:oddVBand="0" w:evenVBand="0" w:oddHBand="0" w:evenHBand="1" w:firstRowFirstColumn="0" w:firstRowLastColumn="0" w:lastRowFirstColumn="0" w:lastRowLastColumn="0"/>
          <w:trHeight w:val="227"/>
        </w:trPr>
        <w:tc>
          <w:tcPr>
            <w:tcW w:w="4624" w:type="dxa"/>
          </w:tcPr>
          <w:p w14:paraId="20F1F74C" w14:textId="77777777" w:rsidR="003F5EA3" w:rsidRPr="00F171A3" w:rsidRDefault="003F5EA3" w:rsidP="00F31936">
            <w:pPr>
              <w:jc w:val="center"/>
            </w:pPr>
            <w:r w:rsidRPr="00F171A3">
              <w:t>Constanța</w:t>
            </w:r>
          </w:p>
        </w:tc>
        <w:tc>
          <w:tcPr>
            <w:tcW w:w="4624" w:type="dxa"/>
          </w:tcPr>
          <w:p w14:paraId="7DA8D5E7" w14:textId="77777777" w:rsidR="003F5EA3" w:rsidRPr="00F171A3" w:rsidRDefault="003F5EA3" w:rsidP="00F31936">
            <w:pPr>
              <w:jc w:val="center"/>
              <w:rPr>
                <w:szCs w:val="20"/>
              </w:rPr>
            </w:pPr>
            <w:r w:rsidRPr="00F171A3">
              <w:rPr>
                <w:rFonts w:ascii="Calibri" w:hAnsi="Calibri" w:cs="Calibri"/>
                <w:color w:val="000000"/>
                <w:szCs w:val="20"/>
              </w:rPr>
              <w:t>8.7</w:t>
            </w:r>
          </w:p>
        </w:tc>
      </w:tr>
      <w:tr w:rsidR="003F5EA3" w:rsidRPr="00F171A3" w14:paraId="41BFFE5E" w14:textId="77777777" w:rsidTr="00F31936">
        <w:trPr>
          <w:cnfStyle w:val="000000100000" w:firstRow="0" w:lastRow="0" w:firstColumn="0" w:lastColumn="0" w:oddVBand="0" w:evenVBand="0" w:oddHBand="1" w:evenHBand="0" w:firstRowFirstColumn="0" w:firstRowLastColumn="0" w:lastRowFirstColumn="0" w:lastRowLastColumn="0"/>
          <w:trHeight w:val="227"/>
        </w:trPr>
        <w:tc>
          <w:tcPr>
            <w:tcW w:w="4624" w:type="dxa"/>
          </w:tcPr>
          <w:p w14:paraId="46ECD6A5" w14:textId="77777777" w:rsidR="003F5EA3" w:rsidRPr="00F171A3" w:rsidRDefault="003F5EA3" w:rsidP="00F31936">
            <w:pPr>
              <w:jc w:val="center"/>
            </w:pPr>
            <w:r w:rsidRPr="00F171A3">
              <w:t>Brașov</w:t>
            </w:r>
          </w:p>
        </w:tc>
        <w:tc>
          <w:tcPr>
            <w:tcW w:w="4624" w:type="dxa"/>
          </w:tcPr>
          <w:p w14:paraId="06F3603F" w14:textId="77777777" w:rsidR="003F5EA3" w:rsidRPr="00F171A3" w:rsidRDefault="003F5EA3" w:rsidP="00F31936">
            <w:pPr>
              <w:jc w:val="center"/>
              <w:rPr>
                <w:szCs w:val="20"/>
              </w:rPr>
            </w:pPr>
            <w:r w:rsidRPr="00F171A3">
              <w:rPr>
                <w:rFonts w:ascii="Calibri" w:hAnsi="Calibri" w:cs="Calibri"/>
                <w:color w:val="000000"/>
                <w:szCs w:val="20"/>
              </w:rPr>
              <w:t>7.7</w:t>
            </w:r>
          </w:p>
        </w:tc>
      </w:tr>
      <w:tr w:rsidR="003F5EA3" w:rsidRPr="00F171A3" w14:paraId="0F23E946" w14:textId="77777777" w:rsidTr="00F31936">
        <w:trPr>
          <w:cnfStyle w:val="000000010000" w:firstRow="0" w:lastRow="0" w:firstColumn="0" w:lastColumn="0" w:oddVBand="0" w:evenVBand="0" w:oddHBand="0" w:evenHBand="1" w:firstRowFirstColumn="0" w:firstRowLastColumn="0" w:lastRowFirstColumn="0" w:lastRowLastColumn="0"/>
          <w:trHeight w:val="227"/>
        </w:trPr>
        <w:tc>
          <w:tcPr>
            <w:tcW w:w="4624" w:type="dxa"/>
          </w:tcPr>
          <w:p w14:paraId="7D8E3FCD" w14:textId="77777777" w:rsidR="003F5EA3" w:rsidRPr="00F171A3" w:rsidRDefault="003F5EA3" w:rsidP="00F31936">
            <w:pPr>
              <w:jc w:val="center"/>
            </w:pPr>
            <w:r w:rsidRPr="00F171A3">
              <w:t>Ploiești</w:t>
            </w:r>
          </w:p>
        </w:tc>
        <w:tc>
          <w:tcPr>
            <w:tcW w:w="4624" w:type="dxa"/>
          </w:tcPr>
          <w:p w14:paraId="55328BA4" w14:textId="77777777" w:rsidR="003F5EA3" w:rsidRPr="00F171A3" w:rsidRDefault="003F5EA3" w:rsidP="00F31936">
            <w:pPr>
              <w:jc w:val="center"/>
              <w:rPr>
                <w:szCs w:val="20"/>
              </w:rPr>
            </w:pPr>
            <w:r w:rsidRPr="00F171A3">
              <w:rPr>
                <w:rFonts w:ascii="Calibri" w:hAnsi="Calibri" w:cs="Calibri"/>
                <w:color w:val="000000"/>
                <w:szCs w:val="20"/>
              </w:rPr>
              <w:t>9.8</w:t>
            </w:r>
          </w:p>
        </w:tc>
      </w:tr>
    </w:tbl>
    <w:p w14:paraId="6FB8DBF9" w14:textId="77777777" w:rsidR="003F5EA3" w:rsidRPr="00F171A3" w:rsidRDefault="003F5EA3" w:rsidP="00FF6C80">
      <w:pPr>
        <w:jc w:val="right"/>
        <w:rPr>
          <w:color w:val="BFBFBF" w:themeColor="background1" w:themeShade="BF"/>
        </w:rPr>
      </w:pPr>
      <w:r w:rsidRPr="00F171A3">
        <w:rPr>
          <w:color w:val="BFBFBF" w:themeColor="background1" w:themeShade="BF"/>
        </w:rPr>
        <w:t>Sursa: Tempo INS, calcule proprii</w:t>
      </w:r>
    </w:p>
    <w:p w14:paraId="21DBCC7B" w14:textId="19A34388" w:rsidR="003F5EA3" w:rsidRPr="00F171A3" w:rsidRDefault="003F5EA3" w:rsidP="003F5EA3">
      <w:r w:rsidRPr="00F171A3">
        <w:t xml:space="preserve">În comparație cu polii de creștere din țară, municipiul București ocupă a 5-a poziție în funcție de numărul de paturi disponibile la 1.000 de locuitori, cu o medie de 10.4 paturi. Capitala este depășite de </w:t>
      </w:r>
      <w:r w:rsidR="008A1AFD" w:rsidRPr="00F171A3">
        <w:t>municipiile</w:t>
      </w:r>
      <w:r w:rsidRPr="00F171A3">
        <w:t xml:space="preserve"> Cluj-Napoca (16,2), Iași (16), Timișoara (11,9) și Craiova (11). Totuși, în acest context este important de menționat că </w:t>
      </w:r>
      <w:bookmarkStart w:id="94" w:name="_Hlk114152842"/>
      <w:r w:rsidRPr="00F171A3">
        <w:t>în cazul polilor de creștere, infrastructura sanitară deservește câteva județe – fiind de folos regional</w:t>
      </w:r>
      <w:bookmarkEnd w:id="94"/>
      <w:r w:rsidRPr="00F171A3">
        <w:t>, în timp ce infrastructura sanitară din Capitală deservește atât Regiunea București-Ilfov, cât și pacienți din toată țara, prin prisma expertizei și dotării tehnice de care dispune.</w:t>
      </w:r>
    </w:p>
    <w:p w14:paraId="08404941" w14:textId="77777777" w:rsidR="003F5EA3" w:rsidRPr="00F171A3" w:rsidRDefault="003F5EA3" w:rsidP="003F5EA3">
      <w:r w:rsidRPr="00F171A3">
        <w:t xml:space="preserve">În contextul analizei sectorului de sănătate, este important de menționat gradul de poluare excesiv înregistrat în municipiul București, orașul fiind considerat una dintre cele mai poluate capitale ale Uniunii Europene. În special, </w:t>
      </w:r>
      <w:bookmarkStart w:id="95" w:name="_Hlk114152923"/>
      <w:r w:rsidRPr="00F171A3">
        <w:t>poluarea aerului din municipiul București este cauza pentru afecțiunile și bolile pulmonare</w:t>
      </w:r>
      <w:bookmarkEnd w:id="95"/>
      <w:r w:rsidRPr="00F171A3">
        <w:t>, care la rândul lor reprezintă în multe rânduri cauzele deceselor premature.</w:t>
      </w:r>
    </w:p>
    <w:p w14:paraId="2546E96E" w14:textId="452F8D47" w:rsidR="003F5EA3" w:rsidRPr="00F171A3" w:rsidRDefault="003F5EA3" w:rsidP="003F5EA3">
      <w:bookmarkStart w:id="96" w:name="_Hlk114153444"/>
      <w:r w:rsidRPr="00F171A3">
        <w:t xml:space="preserve">Conform rezultatelor unui chestionar aplicat locuitorilor din Sectorul 2, în cadrul procesului de consultare a populației în vederea </w:t>
      </w:r>
      <w:r w:rsidR="008A1AFD" w:rsidRPr="00F171A3">
        <w:t>actualizării</w:t>
      </w:r>
      <w:r w:rsidRPr="00F171A3">
        <w:t xml:space="preserve"> prezentei strategii, reiese că sistemul privat de sănătate are o imagine mai bună în comparație cu sistemul public de servicii medicale</w:t>
      </w:r>
      <w:bookmarkEnd w:id="96"/>
      <w:r w:rsidRPr="00F171A3">
        <w:t xml:space="preserve">. Astfel, </w:t>
      </w:r>
      <w:bookmarkStart w:id="97" w:name="_Hlk114153570"/>
      <w:r w:rsidRPr="00F171A3">
        <w:t>51,4% din respondenți se declară mulțumiți sau foarte mulțumiți de oferta de servicii private sănătate</w:t>
      </w:r>
      <w:bookmarkEnd w:id="97"/>
      <w:r w:rsidRPr="00F171A3">
        <w:t xml:space="preserve">, </w:t>
      </w:r>
      <w:bookmarkStart w:id="98" w:name="_Hlk114153675"/>
      <w:r w:rsidRPr="00F171A3">
        <w:t xml:space="preserve">53,8% se declară mulțumiți sau foarte mulțumiți de calitatea serviciilor </w:t>
      </w:r>
      <w:bookmarkEnd w:id="98"/>
      <w:r w:rsidRPr="00F171A3">
        <w:t xml:space="preserve">și dotărilor din sistemul privat de sănătate și 51,8% se declară mulțumiți sau foarte mulțumiți de disponibilitatea cadrelor medicale specializate din unitățile private. Pe de altă parte, doar 32,4% din respondenți se declară mulțumiți sau foarte mulțumiți de serviciile publice de sănătate, 19,6% se declară mulțumiți sau foarte mulțumiți de calitatea serviciilor și dotărilor publice de sănătate și 25,3% se declară mulțumiți sau foarte mulțumiți de </w:t>
      </w:r>
      <w:r w:rsidR="008A1AFD" w:rsidRPr="00F171A3">
        <w:t>disponibilitatea</w:t>
      </w:r>
      <w:r w:rsidRPr="00F171A3">
        <w:t xml:space="preserve"> cadrelor medicale specializate din sistemul public de sănătate.</w:t>
      </w:r>
    </w:p>
    <w:p w14:paraId="2C75D7E3" w14:textId="632408A3" w:rsidR="003F5EA3" w:rsidRPr="00F171A3" w:rsidRDefault="003F5EA3" w:rsidP="003F5EA3">
      <w:r w:rsidRPr="00F171A3">
        <w:t xml:space="preserve">În medie, cele 3 elemente care descriu sistemul de sănătate din domeniul privat au înregistrat o medie de 52,3% a </w:t>
      </w:r>
      <w:r w:rsidR="008A1AFD" w:rsidRPr="00F171A3">
        <w:t>respondenților</w:t>
      </w:r>
      <w:r w:rsidRPr="00F171A3">
        <w:t xml:space="preserve"> mulțumiți sau foarte mulțumiți, în timp ce față de sistemul public a fost înregistrată o medie de 25,7% a respondenților care se declară mulțumiți sau foarte mulțumiți.</w:t>
      </w:r>
    </w:p>
    <w:p w14:paraId="3FE7D869" w14:textId="27B72832" w:rsidR="003F5EA3" w:rsidRPr="00F171A3" w:rsidRDefault="003F5EA3" w:rsidP="003F5EA3">
      <w:pPr>
        <w:pStyle w:val="Caption"/>
      </w:pPr>
      <w:bookmarkStart w:id="99" w:name="_Toc127198019"/>
      <w:r w:rsidRPr="00F171A3">
        <w:t xml:space="preserve">Figura </w:t>
      </w:r>
      <w:r w:rsidRPr="00F171A3">
        <w:fldChar w:fldCharType="begin"/>
      </w:r>
      <w:r w:rsidRPr="00F171A3">
        <w:instrText xml:space="preserve"> SEQ Figura \* ARABIC </w:instrText>
      </w:r>
      <w:r w:rsidRPr="00F171A3">
        <w:fldChar w:fldCharType="separate"/>
      </w:r>
      <w:r w:rsidR="005A6DD8">
        <w:rPr>
          <w:noProof/>
        </w:rPr>
        <w:t>31</w:t>
      </w:r>
      <w:r w:rsidRPr="00F171A3">
        <w:fldChar w:fldCharType="end"/>
      </w:r>
      <w:r w:rsidRPr="00F171A3">
        <w:t xml:space="preserve"> Gradul de mulțumire al locuitorilor Sectorului 2 față de sistemul public și privat de servicii medicale</w:t>
      </w:r>
      <w:bookmarkEnd w:id="99"/>
    </w:p>
    <w:p w14:paraId="3C660FC8" w14:textId="77777777" w:rsidR="003F5EA3" w:rsidRPr="00F171A3" w:rsidRDefault="003F5EA3" w:rsidP="003F5EA3">
      <w:pPr>
        <w:jc w:val="center"/>
      </w:pPr>
      <w:r w:rsidRPr="00F171A3">
        <w:rPr>
          <w:noProof/>
        </w:rPr>
        <w:drawing>
          <wp:inline distT="0" distB="0" distL="0" distR="0" wp14:anchorId="301E0CFA" wp14:editId="0BE49A58">
            <wp:extent cx="5865962" cy="3933645"/>
            <wp:effectExtent l="0" t="0" r="1905" b="0"/>
            <wp:docPr id="40"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2784B1E" w14:textId="77777777" w:rsidR="003F5EA3" w:rsidRPr="00F171A3" w:rsidRDefault="003F5EA3" w:rsidP="00FF6C80">
      <w:pPr>
        <w:jc w:val="right"/>
        <w:rPr>
          <w:color w:val="BFBFBF" w:themeColor="background1" w:themeShade="BF"/>
        </w:rPr>
      </w:pPr>
      <w:r w:rsidRPr="00F171A3">
        <w:rPr>
          <w:color w:val="BFBFBF" w:themeColor="background1" w:themeShade="BF"/>
        </w:rPr>
        <w:t>Sursa: Prelucrare proprie pe baza răspunsurilor din chestionarele adresate locuitorilor din Sectorul 2</w:t>
      </w:r>
    </w:p>
    <w:p w14:paraId="671260B7" w14:textId="249D7EB8" w:rsidR="00391683" w:rsidRPr="00F171A3" w:rsidRDefault="003F5EA3" w:rsidP="003F5EA3">
      <w:pPr>
        <w:pStyle w:val="Normal0"/>
      </w:pPr>
      <w:r w:rsidRPr="00F171A3">
        <w:t xml:space="preserve">Prin urmare, la nivelul Sectorului 2, pe lângă extinderea rețelei publice de servicii medicale, e nevoie și de modernizarea, dotarea și amenajarea corespunzătoare a unităților medicale existente, pentru a crește calitatea serviciilor prestate. Acest fapt reprezintă și opțiunea cetățenilor, în contextul în care, pe o scară de la 1 la 5, la întrebarea “Care considerați că sunt cele mai importante măsuri pentru dezvoltarea comunității dumneavoastră?”, răspunsul “Modernizarea infrastructurii de sănătate (spitale, policlinici)” a înregistrat o medie de 4,45, situându-se pe primul loc, peste alte măsuri care ar viza </w:t>
      </w:r>
      <w:r w:rsidR="008A1AFD" w:rsidRPr="00F171A3">
        <w:t>transportul</w:t>
      </w:r>
      <w:r w:rsidRPr="00F171A3">
        <w:t xml:space="preserve"> public, spațiile verzi, utilitățile publice sau educația.</w:t>
      </w:r>
    </w:p>
    <w:p w14:paraId="031B263B" w14:textId="25EA19CE" w:rsidR="00BF7FBF" w:rsidRPr="00F171A3" w:rsidRDefault="00BF7FBF" w:rsidP="00BF7FBF"/>
    <w:p w14:paraId="0ED31999" w14:textId="7E9D7DA3" w:rsidR="00DD26B6" w:rsidRPr="00F171A3" w:rsidRDefault="001E0A0F" w:rsidP="001E0A0F">
      <w:pPr>
        <w:pStyle w:val="Heading4"/>
      </w:pPr>
      <w:r w:rsidRPr="00F171A3">
        <w:t>EDUCAȚIE</w:t>
      </w:r>
    </w:p>
    <w:p w14:paraId="5C418C37" w14:textId="6B9713EE" w:rsidR="00A02130" w:rsidRPr="00F171A3" w:rsidRDefault="00A02130" w:rsidP="00A02130">
      <w:r w:rsidRPr="00F171A3">
        <w:rPr>
          <w:b/>
          <w:bCs/>
          <w:color w:val="134753" w:themeColor="accent2"/>
        </w:rPr>
        <w:t>EFECTIVELE ȘCOLARE |</w:t>
      </w:r>
      <w:r w:rsidRPr="00F171A3">
        <w:rPr>
          <w:color w:val="134753" w:themeColor="accent2"/>
        </w:rPr>
        <w:t xml:space="preserve"> </w:t>
      </w:r>
      <w:r w:rsidRPr="00F171A3">
        <w:t xml:space="preserve">În anul școlar 2020-2021, în instituțiile de învățământ preuniversitar din Sectorul 2 erau înmatriculați 54.057 de preșcolari și elevi, în creștere cu 3,4% față de efectivele școlare din anul anterior. </w:t>
      </w:r>
      <w:bookmarkStart w:id="100" w:name="_Hlk114154473"/>
      <w:r w:rsidRPr="00F171A3">
        <w:t xml:space="preserve">Conform datelor Inspectoratului Școlar al </w:t>
      </w:r>
      <w:r w:rsidR="00DE36DE" w:rsidRPr="00F171A3">
        <w:t>m</w:t>
      </w:r>
      <w:r w:rsidRPr="00F171A3">
        <w:t>unicipiului București</w:t>
      </w:r>
      <w:bookmarkEnd w:id="100"/>
      <w:r w:rsidRPr="00F171A3">
        <w:t xml:space="preserve">, în anul școlar 2019-2020 jumătate din efectivele școlare din Sectorul 2 se regăseau în ciclurile primar și gimnazial, pe când în ciclul liceal erau înscriși aproape 14.700 de elevi (28,1%), iar grădinițele școlarizau peste 7.600 de copii (14,6%). </w:t>
      </w:r>
    </w:p>
    <w:p w14:paraId="59ACFA69" w14:textId="4A3CC24F" w:rsidR="00A02130" w:rsidRPr="00F171A3" w:rsidRDefault="00A02130" w:rsidP="00A02130">
      <w:pPr>
        <w:pStyle w:val="Caption"/>
      </w:pPr>
      <w:bookmarkStart w:id="101" w:name="_Toc127198020"/>
      <w:r w:rsidRPr="00F171A3">
        <w:t xml:space="preserve">Figura </w:t>
      </w:r>
      <w:r w:rsidRPr="00F171A3">
        <w:fldChar w:fldCharType="begin"/>
      </w:r>
      <w:r w:rsidRPr="00F171A3">
        <w:instrText xml:space="preserve"> SEQ Figura \* ARABIC </w:instrText>
      </w:r>
      <w:r w:rsidRPr="00F171A3">
        <w:fldChar w:fldCharType="separate"/>
      </w:r>
      <w:r w:rsidR="005A6DD8">
        <w:rPr>
          <w:noProof/>
        </w:rPr>
        <w:t>32</w:t>
      </w:r>
      <w:r w:rsidRPr="00F171A3">
        <w:fldChar w:fldCharType="end"/>
      </w:r>
      <w:r w:rsidRPr="00F171A3">
        <w:t xml:space="preserve"> Distribuția pe niveluri de învățământ a efectivelor școlare din Sectorul 2, an școlar 2019-2020</w:t>
      </w:r>
      <w:bookmarkEnd w:id="101"/>
    </w:p>
    <w:p w14:paraId="5C0F8594" w14:textId="77777777" w:rsidR="00A02130" w:rsidRPr="00F171A3" w:rsidRDefault="00A02130" w:rsidP="00A02130">
      <w:r w:rsidRPr="00F171A3">
        <w:rPr>
          <w:noProof/>
        </w:rPr>
        <w:drawing>
          <wp:inline distT="0" distB="0" distL="0" distR="0" wp14:anchorId="5FC42919" wp14:editId="03699C7F">
            <wp:extent cx="5676900" cy="2743200"/>
            <wp:effectExtent l="0" t="0" r="0" b="0"/>
            <wp:docPr id="37" name="Chart 37">
              <a:extLst xmlns:a="http://schemas.openxmlformats.org/drawingml/2006/main">
                <a:ext uri="{FF2B5EF4-FFF2-40B4-BE49-F238E27FC236}">
                  <a16:creationId xmlns:a16="http://schemas.microsoft.com/office/drawing/2014/main" id="{7A8DE7F5-E9E4-362A-347A-39F876CCED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A846D22" w14:textId="60DC74D6" w:rsidR="00A02130" w:rsidRPr="00F171A3" w:rsidRDefault="00A02130" w:rsidP="00FF6C80">
      <w:pPr>
        <w:jc w:val="right"/>
        <w:rPr>
          <w:color w:val="BFBFBF" w:themeColor="background1" w:themeShade="BF"/>
        </w:rPr>
      </w:pPr>
      <w:r w:rsidRPr="00F171A3">
        <w:rPr>
          <w:color w:val="BFBFBF" w:themeColor="background1" w:themeShade="BF"/>
        </w:rPr>
        <w:t xml:space="preserve">Sursa: </w:t>
      </w:r>
      <w:r w:rsidR="00FF6C80" w:rsidRPr="00F171A3">
        <w:rPr>
          <w:color w:val="BFBFBF" w:themeColor="background1" w:themeShade="BF"/>
        </w:rPr>
        <w:t>P</w:t>
      </w:r>
      <w:r w:rsidRPr="00F171A3">
        <w:rPr>
          <w:color w:val="BFBFBF" w:themeColor="background1" w:themeShade="BF"/>
        </w:rPr>
        <w:t xml:space="preserve">relucrare proprie după datele din Raportul stării învățământului în </w:t>
      </w:r>
      <w:r w:rsidR="00DE36DE" w:rsidRPr="00F171A3">
        <w:rPr>
          <w:color w:val="BFBFBF" w:themeColor="background1" w:themeShade="BF"/>
        </w:rPr>
        <w:t>m</w:t>
      </w:r>
      <w:r w:rsidRPr="00F171A3">
        <w:rPr>
          <w:color w:val="BFBFBF" w:themeColor="background1" w:themeShade="BF"/>
        </w:rPr>
        <w:t>unicipiul București, ISMB</w:t>
      </w:r>
    </w:p>
    <w:p w14:paraId="255BA08C" w14:textId="77777777" w:rsidR="00A02130" w:rsidRPr="00F171A3" w:rsidRDefault="00A02130" w:rsidP="00A02130">
      <w:r w:rsidRPr="00F171A3">
        <w:t>Din perspectiva distribuției elevilor în școli, se observă la nivelul Sectorului 2 un număr de 14 unități școlare mari, cu peste 1.000 de tineri înscriși, și 34 de instituții care școlarizau în 2020-2021 între 500 și 1.000 de copii. În topul celor mai mari unități de învățământ din acest punct de vedere se regăsesc: Școala Gimnazială nr. 56, Școala Postliceală Sanitară ”Fundeni” și Colegiul Național "Școala Centrală”, acestea 3 cumulând aproape 5.000 de școlari. Printre unitățile de învățământ cu cifră de școlarizare mare se observă că majoritatea sunt acreditate pentru școlarizarea în ciclurile primar și gimnazial, iar 6 instituții se ocupă de școlarizarea la liceu.</w:t>
      </w:r>
    </w:p>
    <w:p w14:paraId="472AE39D" w14:textId="5BA5FE53" w:rsidR="00A02130" w:rsidRPr="00F171A3" w:rsidRDefault="00A02130" w:rsidP="00A02130">
      <w:pPr>
        <w:pStyle w:val="Caption"/>
      </w:pPr>
      <w:bookmarkStart w:id="102" w:name="_Toc126943277"/>
      <w:r w:rsidRPr="00F171A3">
        <w:t xml:space="preserve">Tabel </w:t>
      </w:r>
      <w:r w:rsidRPr="00F171A3">
        <w:fldChar w:fldCharType="begin"/>
      </w:r>
      <w:r w:rsidRPr="00F171A3">
        <w:instrText xml:space="preserve"> SEQ Tabel \* ARABIC </w:instrText>
      </w:r>
      <w:r w:rsidRPr="00F171A3">
        <w:fldChar w:fldCharType="separate"/>
      </w:r>
      <w:r w:rsidR="005A6DD8">
        <w:rPr>
          <w:noProof/>
        </w:rPr>
        <w:t>20</w:t>
      </w:r>
      <w:r w:rsidRPr="00F171A3">
        <w:fldChar w:fldCharType="end"/>
      </w:r>
      <w:r w:rsidRPr="00F171A3">
        <w:t xml:space="preserve"> Top 10 Cele mai mari instituții de învățământ preuniversitar din Sectorul 2, în funcție de numărul de elevi înmatriculați în anul școlar 2020-2021</w:t>
      </w:r>
      <w:bookmarkEnd w:id="102"/>
    </w:p>
    <w:tbl>
      <w:tblPr>
        <w:tblStyle w:val="Civittatable"/>
        <w:tblW w:w="0" w:type="auto"/>
        <w:tblLook w:val="04A0" w:firstRow="1" w:lastRow="0" w:firstColumn="1" w:lastColumn="0" w:noHBand="0" w:noVBand="1"/>
      </w:tblPr>
      <w:tblGrid>
        <w:gridCol w:w="677"/>
        <w:gridCol w:w="3775"/>
        <w:gridCol w:w="1605"/>
        <w:gridCol w:w="2139"/>
        <w:gridCol w:w="1240"/>
      </w:tblGrid>
      <w:tr w:rsidR="00A02130" w:rsidRPr="00F171A3" w14:paraId="2C5D1A62" w14:textId="77777777" w:rsidTr="00D44B8A">
        <w:trPr>
          <w:cnfStyle w:val="100000000000" w:firstRow="1" w:lastRow="0" w:firstColumn="0" w:lastColumn="0" w:oddVBand="0" w:evenVBand="0" w:oddHBand="0" w:evenHBand="0" w:firstRowFirstColumn="0" w:firstRowLastColumn="0" w:lastRowFirstColumn="0" w:lastRowLastColumn="0"/>
          <w:trHeight w:val="300"/>
        </w:trPr>
        <w:tc>
          <w:tcPr>
            <w:tcW w:w="704" w:type="dxa"/>
            <w:vAlign w:val="center"/>
          </w:tcPr>
          <w:p w14:paraId="536AE62F" w14:textId="77777777" w:rsidR="00A02130" w:rsidRPr="00F171A3" w:rsidRDefault="00A02130" w:rsidP="00D44B8A">
            <w:pPr>
              <w:jc w:val="center"/>
              <w:rPr>
                <w:b/>
                <w:bCs/>
              </w:rPr>
            </w:pPr>
            <w:r w:rsidRPr="00F171A3">
              <w:rPr>
                <w:b/>
                <w:bCs/>
              </w:rPr>
              <w:t>Nr. crt.</w:t>
            </w:r>
          </w:p>
        </w:tc>
        <w:tc>
          <w:tcPr>
            <w:tcW w:w="3775" w:type="dxa"/>
            <w:noWrap/>
            <w:vAlign w:val="center"/>
          </w:tcPr>
          <w:p w14:paraId="470D8558" w14:textId="77777777" w:rsidR="00A02130" w:rsidRPr="00F171A3" w:rsidRDefault="00A02130" w:rsidP="00D44B8A">
            <w:pPr>
              <w:jc w:val="center"/>
              <w:rPr>
                <w:b/>
                <w:bCs/>
              </w:rPr>
            </w:pPr>
            <w:r w:rsidRPr="00F171A3">
              <w:rPr>
                <w:b/>
                <w:bCs/>
              </w:rPr>
              <w:t>Denumire unitate de învățământ</w:t>
            </w:r>
          </w:p>
        </w:tc>
        <w:tc>
          <w:tcPr>
            <w:tcW w:w="1605" w:type="dxa"/>
            <w:noWrap/>
            <w:vAlign w:val="center"/>
          </w:tcPr>
          <w:p w14:paraId="6CC16CDD" w14:textId="06F85397" w:rsidR="00A02130" w:rsidRPr="00F171A3" w:rsidRDefault="00A02130" w:rsidP="00D44B8A">
            <w:pPr>
              <w:jc w:val="center"/>
              <w:rPr>
                <w:b/>
                <w:bCs/>
              </w:rPr>
            </w:pPr>
            <w:r w:rsidRPr="00F171A3">
              <w:rPr>
                <w:b/>
                <w:bCs/>
              </w:rPr>
              <w:t>Forma de proprietate</w:t>
            </w:r>
          </w:p>
        </w:tc>
        <w:tc>
          <w:tcPr>
            <w:tcW w:w="2139" w:type="dxa"/>
            <w:noWrap/>
            <w:vAlign w:val="center"/>
          </w:tcPr>
          <w:p w14:paraId="537A49B4" w14:textId="77777777" w:rsidR="00A02130" w:rsidRPr="00F171A3" w:rsidRDefault="00A02130" w:rsidP="00D44B8A">
            <w:pPr>
              <w:jc w:val="center"/>
              <w:rPr>
                <w:b/>
                <w:bCs/>
              </w:rPr>
            </w:pPr>
            <w:r w:rsidRPr="00F171A3">
              <w:rPr>
                <w:b/>
                <w:bCs/>
              </w:rPr>
              <w:t>Număr elevi înscriși în anul școlar 2020-2021</w:t>
            </w:r>
          </w:p>
        </w:tc>
        <w:tc>
          <w:tcPr>
            <w:tcW w:w="1213" w:type="dxa"/>
            <w:vAlign w:val="center"/>
          </w:tcPr>
          <w:p w14:paraId="156A5C21" w14:textId="77777777" w:rsidR="00A02130" w:rsidRPr="00F171A3" w:rsidRDefault="00A02130" w:rsidP="00D44B8A">
            <w:pPr>
              <w:jc w:val="center"/>
              <w:rPr>
                <w:b/>
                <w:bCs/>
              </w:rPr>
            </w:pPr>
            <w:r w:rsidRPr="00F171A3">
              <w:rPr>
                <w:b/>
                <w:bCs/>
              </w:rPr>
              <w:t>Nivel școlarizat</w:t>
            </w:r>
          </w:p>
        </w:tc>
      </w:tr>
      <w:tr w:rsidR="00A02130" w:rsidRPr="00F171A3" w14:paraId="2ADC0916" w14:textId="77777777" w:rsidTr="00F31936">
        <w:trPr>
          <w:cnfStyle w:val="000000100000" w:firstRow="0" w:lastRow="0" w:firstColumn="0" w:lastColumn="0" w:oddVBand="0" w:evenVBand="0" w:oddHBand="1" w:evenHBand="0" w:firstRowFirstColumn="0" w:firstRowLastColumn="0" w:lastRowFirstColumn="0" w:lastRowLastColumn="0"/>
          <w:trHeight w:val="300"/>
        </w:trPr>
        <w:tc>
          <w:tcPr>
            <w:tcW w:w="704" w:type="dxa"/>
          </w:tcPr>
          <w:p w14:paraId="0AC9E484" w14:textId="77777777" w:rsidR="00A02130" w:rsidRPr="00F171A3" w:rsidRDefault="00A02130" w:rsidP="00F31936">
            <w:r w:rsidRPr="00F171A3">
              <w:t>1</w:t>
            </w:r>
          </w:p>
        </w:tc>
        <w:tc>
          <w:tcPr>
            <w:tcW w:w="3775" w:type="dxa"/>
            <w:noWrap/>
            <w:hideMark/>
          </w:tcPr>
          <w:p w14:paraId="7E50574B" w14:textId="77777777" w:rsidR="00A02130" w:rsidRPr="00F171A3" w:rsidRDefault="00A02130" w:rsidP="00F31936">
            <w:r w:rsidRPr="00F171A3">
              <w:t>Școala Gimnazială nr. 56</w:t>
            </w:r>
          </w:p>
        </w:tc>
        <w:tc>
          <w:tcPr>
            <w:tcW w:w="1605" w:type="dxa"/>
            <w:noWrap/>
            <w:hideMark/>
          </w:tcPr>
          <w:p w14:paraId="6B31D30D" w14:textId="77777777" w:rsidR="00A02130" w:rsidRPr="00F171A3" w:rsidRDefault="00A02130" w:rsidP="00F31936">
            <w:r w:rsidRPr="00F171A3">
              <w:t>Publică</w:t>
            </w:r>
          </w:p>
        </w:tc>
        <w:tc>
          <w:tcPr>
            <w:tcW w:w="2139" w:type="dxa"/>
            <w:noWrap/>
            <w:hideMark/>
          </w:tcPr>
          <w:p w14:paraId="717A8ED5" w14:textId="77777777" w:rsidR="00A02130" w:rsidRPr="00F171A3" w:rsidRDefault="00A02130" w:rsidP="00F31936">
            <w:r w:rsidRPr="00F171A3">
              <w:t>1738</w:t>
            </w:r>
          </w:p>
        </w:tc>
        <w:tc>
          <w:tcPr>
            <w:tcW w:w="1213" w:type="dxa"/>
          </w:tcPr>
          <w:p w14:paraId="05C67DFD" w14:textId="77777777" w:rsidR="00A02130" w:rsidRPr="00F171A3" w:rsidRDefault="00A02130" w:rsidP="00F31936">
            <w:r w:rsidRPr="00F171A3">
              <w:t>Primar, Gimnazial</w:t>
            </w:r>
          </w:p>
        </w:tc>
      </w:tr>
      <w:tr w:rsidR="00A02130" w:rsidRPr="00F171A3" w14:paraId="24DCFD59" w14:textId="77777777" w:rsidTr="00F31936">
        <w:trPr>
          <w:cnfStyle w:val="000000010000" w:firstRow="0" w:lastRow="0" w:firstColumn="0" w:lastColumn="0" w:oddVBand="0" w:evenVBand="0" w:oddHBand="0" w:evenHBand="1" w:firstRowFirstColumn="0" w:firstRowLastColumn="0" w:lastRowFirstColumn="0" w:lastRowLastColumn="0"/>
          <w:trHeight w:val="300"/>
        </w:trPr>
        <w:tc>
          <w:tcPr>
            <w:tcW w:w="704" w:type="dxa"/>
          </w:tcPr>
          <w:p w14:paraId="565550FB" w14:textId="77777777" w:rsidR="00A02130" w:rsidRPr="00F171A3" w:rsidRDefault="00A02130" w:rsidP="00F31936">
            <w:r w:rsidRPr="00F171A3">
              <w:t>2</w:t>
            </w:r>
          </w:p>
        </w:tc>
        <w:tc>
          <w:tcPr>
            <w:tcW w:w="3775" w:type="dxa"/>
            <w:noWrap/>
            <w:hideMark/>
          </w:tcPr>
          <w:p w14:paraId="22108BAC" w14:textId="77777777" w:rsidR="00A02130" w:rsidRPr="00F171A3" w:rsidRDefault="00A02130" w:rsidP="00F31936">
            <w:r w:rsidRPr="00F171A3">
              <w:t>Școala Postliceală Sanitară ”Fundeni”</w:t>
            </w:r>
          </w:p>
        </w:tc>
        <w:tc>
          <w:tcPr>
            <w:tcW w:w="1605" w:type="dxa"/>
            <w:noWrap/>
            <w:hideMark/>
          </w:tcPr>
          <w:p w14:paraId="6FCAFAD5" w14:textId="77777777" w:rsidR="00A02130" w:rsidRPr="00F171A3" w:rsidRDefault="00A02130" w:rsidP="00F31936">
            <w:r w:rsidRPr="00F171A3">
              <w:t>Publică</w:t>
            </w:r>
          </w:p>
        </w:tc>
        <w:tc>
          <w:tcPr>
            <w:tcW w:w="2139" w:type="dxa"/>
            <w:noWrap/>
            <w:hideMark/>
          </w:tcPr>
          <w:p w14:paraId="5905A3CE" w14:textId="77777777" w:rsidR="00A02130" w:rsidRPr="00F171A3" w:rsidRDefault="00A02130" w:rsidP="00F31936">
            <w:r w:rsidRPr="00F171A3">
              <w:t>1639</w:t>
            </w:r>
          </w:p>
        </w:tc>
        <w:tc>
          <w:tcPr>
            <w:tcW w:w="1213" w:type="dxa"/>
          </w:tcPr>
          <w:p w14:paraId="4869FB5D" w14:textId="77777777" w:rsidR="00A02130" w:rsidRPr="00F171A3" w:rsidRDefault="00A02130" w:rsidP="00F31936">
            <w:r w:rsidRPr="00F171A3">
              <w:t>Postliceal</w:t>
            </w:r>
          </w:p>
        </w:tc>
      </w:tr>
      <w:tr w:rsidR="00A02130" w:rsidRPr="00F171A3" w14:paraId="44AA5958" w14:textId="77777777" w:rsidTr="00F31936">
        <w:trPr>
          <w:cnfStyle w:val="000000100000" w:firstRow="0" w:lastRow="0" w:firstColumn="0" w:lastColumn="0" w:oddVBand="0" w:evenVBand="0" w:oddHBand="1" w:evenHBand="0" w:firstRowFirstColumn="0" w:firstRowLastColumn="0" w:lastRowFirstColumn="0" w:lastRowLastColumn="0"/>
          <w:trHeight w:val="300"/>
        </w:trPr>
        <w:tc>
          <w:tcPr>
            <w:tcW w:w="704" w:type="dxa"/>
          </w:tcPr>
          <w:p w14:paraId="4CEFFBA6" w14:textId="77777777" w:rsidR="00A02130" w:rsidRPr="00F171A3" w:rsidRDefault="00A02130" w:rsidP="00F31936">
            <w:r w:rsidRPr="00F171A3">
              <w:t>3</w:t>
            </w:r>
          </w:p>
        </w:tc>
        <w:tc>
          <w:tcPr>
            <w:tcW w:w="3775" w:type="dxa"/>
            <w:noWrap/>
            <w:hideMark/>
          </w:tcPr>
          <w:p w14:paraId="2D95F19D" w14:textId="77777777" w:rsidR="00A02130" w:rsidRPr="00F171A3" w:rsidRDefault="00A02130" w:rsidP="00F31936">
            <w:r w:rsidRPr="00F171A3">
              <w:t>Colegiul Național "Școala Centrală”</w:t>
            </w:r>
          </w:p>
        </w:tc>
        <w:tc>
          <w:tcPr>
            <w:tcW w:w="1605" w:type="dxa"/>
            <w:noWrap/>
            <w:hideMark/>
          </w:tcPr>
          <w:p w14:paraId="6C62D37F" w14:textId="77777777" w:rsidR="00A02130" w:rsidRPr="00F171A3" w:rsidRDefault="00A02130" w:rsidP="00F31936">
            <w:r w:rsidRPr="00F171A3">
              <w:t>Publică</w:t>
            </w:r>
          </w:p>
        </w:tc>
        <w:tc>
          <w:tcPr>
            <w:tcW w:w="2139" w:type="dxa"/>
            <w:noWrap/>
            <w:hideMark/>
          </w:tcPr>
          <w:p w14:paraId="2658A992" w14:textId="77777777" w:rsidR="00A02130" w:rsidRPr="00F171A3" w:rsidRDefault="00A02130" w:rsidP="00F31936">
            <w:r w:rsidRPr="00F171A3">
              <w:t>1576</w:t>
            </w:r>
          </w:p>
        </w:tc>
        <w:tc>
          <w:tcPr>
            <w:tcW w:w="1213" w:type="dxa"/>
          </w:tcPr>
          <w:p w14:paraId="326E1863" w14:textId="77777777" w:rsidR="00A02130" w:rsidRPr="00F171A3" w:rsidRDefault="00A02130" w:rsidP="00F31936">
            <w:r w:rsidRPr="00F171A3">
              <w:t>Primar, Gimnazial, Liceal</w:t>
            </w:r>
          </w:p>
        </w:tc>
      </w:tr>
      <w:tr w:rsidR="00A02130" w:rsidRPr="00F171A3" w14:paraId="202FADA1" w14:textId="77777777" w:rsidTr="00F31936">
        <w:trPr>
          <w:cnfStyle w:val="000000010000" w:firstRow="0" w:lastRow="0" w:firstColumn="0" w:lastColumn="0" w:oddVBand="0" w:evenVBand="0" w:oddHBand="0" w:evenHBand="1" w:firstRowFirstColumn="0" w:firstRowLastColumn="0" w:lastRowFirstColumn="0" w:lastRowLastColumn="0"/>
          <w:trHeight w:val="300"/>
        </w:trPr>
        <w:tc>
          <w:tcPr>
            <w:tcW w:w="704" w:type="dxa"/>
          </w:tcPr>
          <w:p w14:paraId="56325477" w14:textId="77777777" w:rsidR="00A02130" w:rsidRPr="00F171A3" w:rsidRDefault="00A02130" w:rsidP="00F31936">
            <w:r w:rsidRPr="00F171A3">
              <w:t>4</w:t>
            </w:r>
          </w:p>
        </w:tc>
        <w:tc>
          <w:tcPr>
            <w:tcW w:w="3775" w:type="dxa"/>
            <w:noWrap/>
            <w:hideMark/>
          </w:tcPr>
          <w:p w14:paraId="63DF4EB7" w14:textId="282144A6" w:rsidR="00A02130" w:rsidRPr="00F171A3" w:rsidRDefault="0060613A" w:rsidP="00F31936">
            <w:r w:rsidRPr="00F171A3">
              <w:t>Școala</w:t>
            </w:r>
            <w:r w:rsidR="00A02130" w:rsidRPr="00F171A3">
              <w:t xml:space="preserve"> Postliceală Sanitară "Carol Davila"</w:t>
            </w:r>
          </w:p>
        </w:tc>
        <w:tc>
          <w:tcPr>
            <w:tcW w:w="1605" w:type="dxa"/>
            <w:noWrap/>
            <w:hideMark/>
          </w:tcPr>
          <w:p w14:paraId="08DBBB7E" w14:textId="77777777" w:rsidR="00A02130" w:rsidRPr="00F171A3" w:rsidRDefault="00A02130" w:rsidP="00F31936">
            <w:r w:rsidRPr="00F171A3">
              <w:t>Privată</w:t>
            </w:r>
          </w:p>
        </w:tc>
        <w:tc>
          <w:tcPr>
            <w:tcW w:w="2139" w:type="dxa"/>
            <w:noWrap/>
            <w:hideMark/>
          </w:tcPr>
          <w:p w14:paraId="70B491A9" w14:textId="77777777" w:rsidR="00A02130" w:rsidRPr="00F171A3" w:rsidRDefault="00A02130" w:rsidP="00F31936">
            <w:r w:rsidRPr="00F171A3">
              <w:t>1480</w:t>
            </w:r>
          </w:p>
        </w:tc>
        <w:tc>
          <w:tcPr>
            <w:tcW w:w="1213" w:type="dxa"/>
          </w:tcPr>
          <w:p w14:paraId="5A44E5C5" w14:textId="77777777" w:rsidR="00A02130" w:rsidRPr="00F171A3" w:rsidRDefault="00A02130" w:rsidP="00F31936">
            <w:r w:rsidRPr="00F171A3">
              <w:t>Postliceal</w:t>
            </w:r>
          </w:p>
        </w:tc>
      </w:tr>
      <w:tr w:rsidR="00A02130" w:rsidRPr="00F171A3" w14:paraId="39FE326C" w14:textId="77777777" w:rsidTr="00F31936">
        <w:trPr>
          <w:cnfStyle w:val="000000100000" w:firstRow="0" w:lastRow="0" w:firstColumn="0" w:lastColumn="0" w:oddVBand="0" w:evenVBand="0" w:oddHBand="1" w:evenHBand="0" w:firstRowFirstColumn="0" w:firstRowLastColumn="0" w:lastRowFirstColumn="0" w:lastRowLastColumn="0"/>
          <w:trHeight w:val="300"/>
        </w:trPr>
        <w:tc>
          <w:tcPr>
            <w:tcW w:w="704" w:type="dxa"/>
          </w:tcPr>
          <w:p w14:paraId="6024C504" w14:textId="77777777" w:rsidR="00A02130" w:rsidRPr="00F171A3" w:rsidRDefault="00A02130" w:rsidP="00F31936">
            <w:r w:rsidRPr="00F171A3">
              <w:t>5</w:t>
            </w:r>
          </w:p>
        </w:tc>
        <w:tc>
          <w:tcPr>
            <w:tcW w:w="3775" w:type="dxa"/>
            <w:noWrap/>
            <w:hideMark/>
          </w:tcPr>
          <w:p w14:paraId="7DA707E3" w14:textId="77777777" w:rsidR="00A02130" w:rsidRPr="00F171A3" w:rsidRDefault="00A02130" w:rsidP="00F31936">
            <w:r w:rsidRPr="00F171A3">
              <w:t>Școala Gimnazială nr. 39</w:t>
            </w:r>
          </w:p>
        </w:tc>
        <w:tc>
          <w:tcPr>
            <w:tcW w:w="1605" w:type="dxa"/>
            <w:noWrap/>
            <w:hideMark/>
          </w:tcPr>
          <w:p w14:paraId="0BE67CB7" w14:textId="77777777" w:rsidR="00A02130" w:rsidRPr="00F171A3" w:rsidRDefault="00A02130" w:rsidP="00F31936">
            <w:r w:rsidRPr="00F171A3">
              <w:t>Publică</w:t>
            </w:r>
          </w:p>
        </w:tc>
        <w:tc>
          <w:tcPr>
            <w:tcW w:w="2139" w:type="dxa"/>
            <w:noWrap/>
            <w:hideMark/>
          </w:tcPr>
          <w:p w14:paraId="244B25AA" w14:textId="77777777" w:rsidR="00A02130" w:rsidRPr="00F171A3" w:rsidRDefault="00A02130" w:rsidP="00F31936">
            <w:r w:rsidRPr="00F171A3">
              <w:t>1446</w:t>
            </w:r>
          </w:p>
        </w:tc>
        <w:tc>
          <w:tcPr>
            <w:tcW w:w="1213" w:type="dxa"/>
          </w:tcPr>
          <w:p w14:paraId="71F0B289" w14:textId="77777777" w:rsidR="00A02130" w:rsidRPr="00F171A3" w:rsidRDefault="00A02130" w:rsidP="00F31936">
            <w:r w:rsidRPr="00F171A3">
              <w:t>Primar, Gimnazial</w:t>
            </w:r>
          </w:p>
        </w:tc>
      </w:tr>
      <w:tr w:rsidR="00A02130" w:rsidRPr="00F171A3" w14:paraId="6B85BD36" w14:textId="77777777" w:rsidTr="00F31936">
        <w:trPr>
          <w:cnfStyle w:val="000000010000" w:firstRow="0" w:lastRow="0" w:firstColumn="0" w:lastColumn="0" w:oddVBand="0" w:evenVBand="0" w:oddHBand="0" w:evenHBand="1" w:firstRowFirstColumn="0" w:firstRowLastColumn="0" w:lastRowFirstColumn="0" w:lastRowLastColumn="0"/>
          <w:trHeight w:val="300"/>
        </w:trPr>
        <w:tc>
          <w:tcPr>
            <w:tcW w:w="704" w:type="dxa"/>
          </w:tcPr>
          <w:p w14:paraId="67E12E6D" w14:textId="77777777" w:rsidR="00A02130" w:rsidRPr="00F171A3" w:rsidRDefault="00A02130" w:rsidP="00F31936">
            <w:r w:rsidRPr="00F171A3">
              <w:t>6</w:t>
            </w:r>
          </w:p>
        </w:tc>
        <w:tc>
          <w:tcPr>
            <w:tcW w:w="3775" w:type="dxa"/>
            <w:noWrap/>
            <w:hideMark/>
          </w:tcPr>
          <w:p w14:paraId="44BEF998" w14:textId="77777777" w:rsidR="00A02130" w:rsidRPr="00F171A3" w:rsidRDefault="00A02130" w:rsidP="00F31936">
            <w:r w:rsidRPr="00F171A3">
              <w:t>Școala Gimnazială ”Grigorie Ghica Voievod”</w:t>
            </w:r>
          </w:p>
        </w:tc>
        <w:tc>
          <w:tcPr>
            <w:tcW w:w="1605" w:type="dxa"/>
            <w:noWrap/>
            <w:hideMark/>
          </w:tcPr>
          <w:p w14:paraId="6D7A0891" w14:textId="77777777" w:rsidR="00A02130" w:rsidRPr="00F171A3" w:rsidRDefault="00A02130" w:rsidP="00F31936">
            <w:r w:rsidRPr="00F171A3">
              <w:t>Publică</w:t>
            </w:r>
          </w:p>
        </w:tc>
        <w:tc>
          <w:tcPr>
            <w:tcW w:w="2139" w:type="dxa"/>
            <w:noWrap/>
            <w:hideMark/>
          </w:tcPr>
          <w:p w14:paraId="7DA7A665" w14:textId="77777777" w:rsidR="00A02130" w:rsidRPr="00F171A3" w:rsidRDefault="00A02130" w:rsidP="00F31936">
            <w:r w:rsidRPr="00F171A3">
              <w:t>1230</w:t>
            </w:r>
          </w:p>
        </w:tc>
        <w:tc>
          <w:tcPr>
            <w:tcW w:w="1213" w:type="dxa"/>
          </w:tcPr>
          <w:p w14:paraId="23A77D7C" w14:textId="77777777" w:rsidR="00A02130" w:rsidRPr="00F171A3" w:rsidRDefault="00A02130" w:rsidP="00F31936">
            <w:r w:rsidRPr="00F171A3">
              <w:t>Primar, Gimnazial</w:t>
            </w:r>
          </w:p>
        </w:tc>
      </w:tr>
      <w:tr w:rsidR="00A02130" w:rsidRPr="00F171A3" w14:paraId="5CA5E509" w14:textId="77777777" w:rsidTr="00F31936">
        <w:trPr>
          <w:cnfStyle w:val="000000100000" w:firstRow="0" w:lastRow="0" w:firstColumn="0" w:lastColumn="0" w:oddVBand="0" w:evenVBand="0" w:oddHBand="1" w:evenHBand="0" w:firstRowFirstColumn="0" w:firstRowLastColumn="0" w:lastRowFirstColumn="0" w:lastRowLastColumn="0"/>
          <w:trHeight w:val="300"/>
        </w:trPr>
        <w:tc>
          <w:tcPr>
            <w:tcW w:w="704" w:type="dxa"/>
          </w:tcPr>
          <w:p w14:paraId="04B89F2E" w14:textId="77777777" w:rsidR="00A02130" w:rsidRPr="00F171A3" w:rsidRDefault="00A02130" w:rsidP="00F31936">
            <w:r w:rsidRPr="00F171A3">
              <w:t>7</w:t>
            </w:r>
          </w:p>
        </w:tc>
        <w:tc>
          <w:tcPr>
            <w:tcW w:w="3775" w:type="dxa"/>
            <w:noWrap/>
            <w:hideMark/>
          </w:tcPr>
          <w:p w14:paraId="39BF642E" w14:textId="77777777" w:rsidR="00A02130" w:rsidRPr="00F171A3" w:rsidRDefault="00A02130" w:rsidP="00F31936">
            <w:r w:rsidRPr="00F171A3">
              <w:t>Școala Gimnazială nr. 27</w:t>
            </w:r>
          </w:p>
        </w:tc>
        <w:tc>
          <w:tcPr>
            <w:tcW w:w="1605" w:type="dxa"/>
            <w:noWrap/>
            <w:hideMark/>
          </w:tcPr>
          <w:p w14:paraId="7E730296" w14:textId="77777777" w:rsidR="00A02130" w:rsidRPr="00F171A3" w:rsidRDefault="00A02130" w:rsidP="00F31936">
            <w:r w:rsidRPr="00F171A3">
              <w:t>Publică</w:t>
            </w:r>
          </w:p>
        </w:tc>
        <w:tc>
          <w:tcPr>
            <w:tcW w:w="2139" w:type="dxa"/>
            <w:noWrap/>
            <w:hideMark/>
          </w:tcPr>
          <w:p w14:paraId="1D373872" w14:textId="77777777" w:rsidR="00A02130" w:rsidRPr="00F171A3" w:rsidRDefault="00A02130" w:rsidP="00F31936">
            <w:r w:rsidRPr="00F171A3">
              <w:t>1226</w:t>
            </w:r>
          </w:p>
        </w:tc>
        <w:tc>
          <w:tcPr>
            <w:tcW w:w="1213" w:type="dxa"/>
          </w:tcPr>
          <w:p w14:paraId="6A7D1BF1" w14:textId="77777777" w:rsidR="00A02130" w:rsidRPr="00F171A3" w:rsidRDefault="00A02130" w:rsidP="00F31936">
            <w:r w:rsidRPr="00F171A3">
              <w:t>Primar, Gimnazial</w:t>
            </w:r>
          </w:p>
        </w:tc>
      </w:tr>
      <w:tr w:rsidR="00A02130" w:rsidRPr="00F171A3" w14:paraId="4F4FA742" w14:textId="77777777" w:rsidTr="00F31936">
        <w:trPr>
          <w:cnfStyle w:val="000000010000" w:firstRow="0" w:lastRow="0" w:firstColumn="0" w:lastColumn="0" w:oddVBand="0" w:evenVBand="0" w:oddHBand="0" w:evenHBand="1" w:firstRowFirstColumn="0" w:firstRowLastColumn="0" w:lastRowFirstColumn="0" w:lastRowLastColumn="0"/>
          <w:trHeight w:val="300"/>
        </w:trPr>
        <w:tc>
          <w:tcPr>
            <w:tcW w:w="704" w:type="dxa"/>
          </w:tcPr>
          <w:p w14:paraId="6350671B" w14:textId="77777777" w:rsidR="00A02130" w:rsidRPr="00F171A3" w:rsidRDefault="00A02130" w:rsidP="00F31936">
            <w:r w:rsidRPr="00F171A3">
              <w:t>8</w:t>
            </w:r>
          </w:p>
        </w:tc>
        <w:tc>
          <w:tcPr>
            <w:tcW w:w="3775" w:type="dxa"/>
            <w:noWrap/>
            <w:hideMark/>
          </w:tcPr>
          <w:p w14:paraId="1E9052AC" w14:textId="77777777" w:rsidR="00A02130" w:rsidRPr="00F171A3" w:rsidRDefault="00A02130" w:rsidP="00F31936">
            <w:r w:rsidRPr="00F171A3">
              <w:t>Școala Gimnazială nr. 49</w:t>
            </w:r>
          </w:p>
        </w:tc>
        <w:tc>
          <w:tcPr>
            <w:tcW w:w="1605" w:type="dxa"/>
            <w:noWrap/>
            <w:hideMark/>
          </w:tcPr>
          <w:p w14:paraId="21C05E7D" w14:textId="77777777" w:rsidR="00A02130" w:rsidRPr="00F171A3" w:rsidRDefault="00A02130" w:rsidP="00F31936">
            <w:r w:rsidRPr="00F171A3">
              <w:t>Publică</w:t>
            </w:r>
          </w:p>
        </w:tc>
        <w:tc>
          <w:tcPr>
            <w:tcW w:w="2139" w:type="dxa"/>
            <w:noWrap/>
            <w:hideMark/>
          </w:tcPr>
          <w:p w14:paraId="6BF59841" w14:textId="77777777" w:rsidR="00A02130" w:rsidRPr="00F171A3" w:rsidRDefault="00A02130" w:rsidP="00F31936">
            <w:r w:rsidRPr="00F171A3">
              <w:t>1217</w:t>
            </w:r>
          </w:p>
        </w:tc>
        <w:tc>
          <w:tcPr>
            <w:tcW w:w="1213" w:type="dxa"/>
          </w:tcPr>
          <w:p w14:paraId="47DEF451" w14:textId="77777777" w:rsidR="00A02130" w:rsidRPr="00F171A3" w:rsidRDefault="00A02130" w:rsidP="00F31936">
            <w:r w:rsidRPr="00F171A3">
              <w:t>Primar, Gimnazial</w:t>
            </w:r>
          </w:p>
        </w:tc>
      </w:tr>
      <w:tr w:rsidR="00A02130" w:rsidRPr="00F171A3" w14:paraId="0E28E076" w14:textId="77777777" w:rsidTr="00F31936">
        <w:trPr>
          <w:cnfStyle w:val="000000100000" w:firstRow="0" w:lastRow="0" w:firstColumn="0" w:lastColumn="0" w:oddVBand="0" w:evenVBand="0" w:oddHBand="1" w:evenHBand="0" w:firstRowFirstColumn="0" w:firstRowLastColumn="0" w:lastRowFirstColumn="0" w:lastRowLastColumn="0"/>
          <w:trHeight w:val="300"/>
        </w:trPr>
        <w:tc>
          <w:tcPr>
            <w:tcW w:w="704" w:type="dxa"/>
          </w:tcPr>
          <w:p w14:paraId="3DD07508" w14:textId="77777777" w:rsidR="00A02130" w:rsidRPr="00F171A3" w:rsidRDefault="00A02130" w:rsidP="00F31936">
            <w:r w:rsidRPr="00F171A3">
              <w:t>9</w:t>
            </w:r>
          </w:p>
        </w:tc>
        <w:tc>
          <w:tcPr>
            <w:tcW w:w="3775" w:type="dxa"/>
            <w:noWrap/>
            <w:hideMark/>
          </w:tcPr>
          <w:p w14:paraId="01267686" w14:textId="77777777" w:rsidR="00A02130" w:rsidRPr="00F171A3" w:rsidRDefault="00A02130" w:rsidP="00F31936">
            <w:r w:rsidRPr="00F171A3">
              <w:t>Colegiul Național ”Mihai Viteazul”</w:t>
            </w:r>
          </w:p>
        </w:tc>
        <w:tc>
          <w:tcPr>
            <w:tcW w:w="1605" w:type="dxa"/>
            <w:noWrap/>
            <w:hideMark/>
          </w:tcPr>
          <w:p w14:paraId="3B9D9226" w14:textId="77777777" w:rsidR="00A02130" w:rsidRPr="00F171A3" w:rsidRDefault="00A02130" w:rsidP="00F31936">
            <w:r w:rsidRPr="00F171A3">
              <w:t>Publică</w:t>
            </w:r>
          </w:p>
        </w:tc>
        <w:tc>
          <w:tcPr>
            <w:tcW w:w="2139" w:type="dxa"/>
            <w:noWrap/>
            <w:hideMark/>
          </w:tcPr>
          <w:p w14:paraId="26FCA0BC" w14:textId="77777777" w:rsidR="00A02130" w:rsidRPr="00F171A3" w:rsidRDefault="00A02130" w:rsidP="00F31936">
            <w:r w:rsidRPr="00F171A3">
              <w:t>1178</w:t>
            </w:r>
          </w:p>
        </w:tc>
        <w:tc>
          <w:tcPr>
            <w:tcW w:w="1213" w:type="dxa"/>
          </w:tcPr>
          <w:p w14:paraId="44AF24F0" w14:textId="77777777" w:rsidR="00A02130" w:rsidRPr="00F171A3" w:rsidRDefault="00A02130" w:rsidP="00F31936">
            <w:r w:rsidRPr="00F171A3">
              <w:t>Liceal</w:t>
            </w:r>
          </w:p>
        </w:tc>
      </w:tr>
      <w:tr w:rsidR="00A02130" w:rsidRPr="00F171A3" w14:paraId="04984C83" w14:textId="77777777" w:rsidTr="00F31936">
        <w:trPr>
          <w:cnfStyle w:val="000000010000" w:firstRow="0" w:lastRow="0" w:firstColumn="0" w:lastColumn="0" w:oddVBand="0" w:evenVBand="0" w:oddHBand="0" w:evenHBand="1" w:firstRowFirstColumn="0" w:firstRowLastColumn="0" w:lastRowFirstColumn="0" w:lastRowLastColumn="0"/>
          <w:trHeight w:val="300"/>
        </w:trPr>
        <w:tc>
          <w:tcPr>
            <w:tcW w:w="704" w:type="dxa"/>
          </w:tcPr>
          <w:p w14:paraId="5137B71A" w14:textId="77777777" w:rsidR="00A02130" w:rsidRPr="00F171A3" w:rsidRDefault="00A02130" w:rsidP="00F31936">
            <w:r w:rsidRPr="00F171A3">
              <w:t>10</w:t>
            </w:r>
          </w:p>
        </w:tc>
        <w:tc>
          <w:tcPr>
            <w:tcW w:w="3775" w:type="dxa"/>
            <w:noWrap/>
            <w:hideMark/>
          </w:tcPr>
          <w:p w14:paraId="61784F0A" w14:textId="77777777" w:rsidR="00A02130" w:rsidRPr="00F171A3" w:rsidRDefault="00A02130" w:rsidP="00F31936">
            <w:r w:rsidRPr="00F171A3">
              <w:t>Colegiul Național Bilingv ”George Coșbuc”</w:t>
            </w:r>
          </w:p>
        </w:tc>
        <w:tc>
          <w:tcPr>
            <w:tcW w:w="1605" w:type="dxa"/>
            <w:noWrap/>
            <w:hideMark/>
          </w:tcPr>
          <w:p w14:paraId="5F7D105E" w14:textId="77777777" w:rsidR="00A02130" w:rsidRPr="00F171A3" w:rsidRDefault="00A02130" w:rsidP="00F31936">
            <w:r w:rsidRPr="00F171A3">
              <w:t>Publică</w:t>
            </w:r>
          </w:p>
        </w:tc>
        <w:tc>
          <w:tcPr>
            <w:tcW w:w="2139" w:type="dxa"/>
            <w:noWrap/>
            <w:hideMark/>
          </w:tcPr>
          <w:p w14:paraId="5BE9C8E7" w14:textId="77777777" w:rsidR="00A02130" w:rsidRPr="00F171A3" w:rsidRDefault="00A02130" w:rsidP="00F31936">
            <w:r w:rsidRPr="00F171A3">
              <w:t>1141</w:t>
            </w:r>
          </w:p>
        </w:tc>
        <w:tc>
          <w:tcPr>
            <w:tcW w:w="1213" w:type="dxa"/>
          </w:tcPr>
          <w:p w14:paraId="32CD2F31" w14:textId="77777777" w:rsidR="00A02130" w:rsidRPr="00F171A3" w:rsidRDefault="00A02130" w:rsidP="00F31936">
            <w:r w:rsidRPr="00F171A3">
              <w:t>Gimnazial, Liceal</w:t>
            </w:r>
          </w:p>
        </w:tc>
      </w:tr>
    </w:tbl>
    <w:p w14:paraId="61BBEBAB" w14:textId="77777777" w:rsidR="00A02130" w:rsidRPr="00F171A3" w:rsidRDefault="00A02130" w:rsidP="00FF6C80">
      <w:pPr>
        <w:jc w:val="right"/>
        <w:rPr>
          <w:color w:val="BFBFBF" w:themeColor="background1" w:themeShade="BF"/>
        </w:rPr>
      </w:pPr>
      <w:r w:rsidRPr="00F171A3">
        <w:rPr>
          <w:color w:val="BFBFBF" w:themeColor="background1" w:themeShade="BF"/>
        </w:rPr>
        <w:t>Sursa: Date furnizate de către ISMB</w:t>
      </w:r>
    </w:p>
    <w:p w14:paraId="014CF42A" w14:textId="77777777" w:rsidR="00A02130" w:rsidRPr="00F171A3" w:rsidRDefault="00A02130" w:rsidP="00A02130">
      <w:r w:rsidRPr="00F171A3">
        <w:t>La fel ca la nivelul întregii țări, și la nivelul Sectorului 2 se întâlnesc fenomenele de absenteism și abandon școlar. Conform datelor DGASPC Sector 2, la nivelul anului 2020, 124 de elevi se aflau în risc de abandon școlar, dintre care 79 erau înscriși în învățământul primar, 44 în învățământul gimnazial și un elev în cel liceal. Din analiza dinamică asupra perioadei 2014-2020 se poate vedea că în cazul învățământului primar și gimnazial a fost înregistrat un trend descrescător al numărului de astfel de cazuri. În schimb, trecerea forțată la sistemul de învățământ online din timpul pandemiei de COVID-19 a avut ca efect intensificarea fenomenului de abandon școlar. Acest lucru a survenit ca urmare a provocărilor pentru familiile cu mulți copii sau pentru cele cu venituri modeste, care inițial nu și-au putut achiziționa toate echipamentele necesare pentru efectuarea activităților didactice online.</w:t>
      </w:r>
    </w:p>
    <w:p w14:paraId="003F9819" w14:textId="77777777" w:rsidR="00A02130" w:rsidRPr="00F171A3" w:rsidRDefault="00A02130" w:rsidP="00A02130">
      <w:r w:rsidRPr="00F171A3">
        <w:t>Ca rezultat final, conform Serviciului Prevenirea Separării Copilului de Familie din cadrul DGASPC Sectorul 2, în anul 2020 au abandonat școala 72 elevi, din care 50 de vârstă corespunzătoare învățământului gimnazial, 2 provenind din învățământului liceal și 20 din învățământul primar, cărora li se adaugă alți 20 de copii neșcolarizați. În dinamică, situația este mai gravă în anul 2020 decât în anul 2014 în cazul copiilor care corespund vârstei învățământului gimnazial, numărul acestora aproape dublându-se (de la 27 de cazuri în 2014, la 50 de cazuri în 2020) și celor școlarizați în ciclul primar (de la 10 cazuri în 2014 la 20 de cazuri în anul 2020). De partea cealaltă, situația copiilor neșcolarizați sau a celor din învățământul liceal s-a îmbunătățit nesemnificativ.</w:t>
      </w:r>
    </w:p>
    <w:p w14:paraId="22BAAA56" w14:textId="005F3550" w:rsidR="00A02130" w:rsidRPr="00F171A3" w:rsidRDefault="00A02130" w:rsidP="00A02130">
      <w:r w:rsidRPr="00F171A3">
        <w:rPr>
          <w:b/>
          <w:bCs/>
          <w:color w:val="134753" w:themeColor="accent2"/>
        </w:rPr>
        <w:t xml:space="preserve">INFRASTRUCTURA ȘCOLARĂ | </w:t>
      </w:r>
      <w:r w:rsidRPr="00F171A3">
        <w:t xml:space="preserve">Conform Inspectoratului Școlar al </w:t>
      </w:r>
      <w:r w:rsidR="00DE36DE" w:rsidRPr="00F171A3">
        <w:t>m</w:t>
      </w:r>
      <w:r w:rsidRPr="00F171A3">
        <w:t>unicipiului București, pentru anul școlar 2020-2021 rețeaua școlară din Sectorul 2 al capitalei este formată din 85 de unități de învățământ de stat și 42 de unități de învățământ privat. Acestea acoperă toate nivelurile de educație: de la nivelul preșcolar, până la cel postliceal, inclusiv învăţământul special. Astfel, rețeaua școlară de stat era formată din 20 de grădinițe, 32 de școli cu învățământ primar și gimnazial, 2 școli gimnaziale de arte,  25 de colegii și licee, o școală postliceală cu profil sanitar, 2 școli profesionale, 2 cluburi sportive și un club al copiilor. Acestea sunt completate de rețeaua de unități de învățământ particular după cum urmează: 29 de grădinițe, 4 școli primare, din care 4 oferă și învățământ preșcolar, 5 licee teoretice, un liceu vocațional și 3 școli postliceale sanitare.</w:t>
      </w:r>
    </w:p>
    <w:p w14:paraId="6E256D82" w14:textId="77777777" w:rsidR="00A02130" w:rsidRPr="00F171A3" w:rsidRDefault="00A02130" w:rsidP="00A02130">
      <w:r w:rsidRPr="00F171A3">
        <w:t>Chiar dacă infrastructura de învățământ este extinsă la nivelul sectorului, aceasta nu a înregistrat în ultimii ani apariția unor construcții noi de școli, ci doar proiecte de modernizare și eficientizare a spațiilor existente. Astfel, și la nivelul Sectorului 2 se observă că în majoritatea instituțiilor școlare activitatea didactică se desfășoară în mai multe schimburi, în funcție de disponibilitatea spațiilor.</w:t>
      </w:r>
    </w:p>
    <w:p w14:paraId="2CE6F483" w14:textId="77777777" w:rsidR="00A02130" w:rsidRPr="00F171A3" w:rsidRDefault="00A02130" w:rsidP="00A02130">
      <w:r w:rsidRPr="00F171A3">
        <w:t>Din punct de vedere al deservirii spațiale, în Sectorul 2 se înregistrează o situație bună a unităților de învățământ în majoritatea zonelor pentru ciclurile primar și gimnazial, excepție fiind zona Pipera, unde nu există școli sau grădinițe publice. Pe de altă parte, în cazul învățământului preșcolar nivelul de deservire este doar unul mediu dacă luăm în considerare și unitățile din sistemul privat de învățământ. Astfel, se distinge un necesar de grădinițe în zonele Andronache, Ion Creangă, Colentina, Baicului, Obor și zonele de sud și nord din Pantelimon și Tei. Ca atare, învățământul preșcolar existent în Sectorul 2 nu acoperă cererea existentă, atât din punct de vedere numeric, cât și teritorial. Situația este mult mai gravă în cazul creșelor, în sector existând doar 5 creșe funcționale, cu o capacitate de aproximativ 400 de locuri, cu mult sub cererea existentă. În acest sens, sunt în derulare patru proiecte prin care vor fi construite grădinițe cu grupe de creșe, însă este nevoie de mai multe investiții în această direcție pentru a putea satisface cererile cetățenilor în toate zonele și cartierele din Sectorul 2.</w:t>
      </w:r>
    </w:p>
    <w:p w14:paraId="333F08CD" w14:textId="7CA3E240" w:rsidR="00A02130" w:rsidRPr="00F171A3" w:rsidRDefault="00A02130" w:rsidP="00A02130">
      <w:pPr>
        <w:pStyle w:val="CommentText"/>
        <w:rPr>
          <w:sz w:val="22"/>
          <w:szCs w:val="22"/>
        </w:rPr>
      </w:pPr>
      <w:r w:rsidRPr="00F171A3">
        <w:rPr>
          <w:sz w:val="22"/>
          <w:szCs w:val="22"/>
        </w:rPr>
        <w:t xml:space="preserve">În anumite zone din sector, slaba deservire la nivel de infrastructură școlară să </w:t>
      </w:r>
      <w:r w:rsidR="008A1AFD" w:rsidRPr="00F171A3">
        <w:rPr>
          <w:sz w:val="22"/>
          <w:szCs w:val="22"/>
        </w:rPr>
        <w:t>înmatricularea</w:t>
      </w:r>
      <w:r w:rsidRPr="00F171A3">
        <w:rPr>
          <w:sz w:val="22"/>
          <w:szCs w:val="22"/>
        </w:rPr>
        <w:t xml:space="preserve"> elevilor în unități școlare care nu se află în proximitatea locuinței, contribuie la congestionarea traficului rutier urban și pun presiune pe sistemul de transport. În plus, nevoia de mobilitate între diferite zone ale sectorului, dar și între sectoare, pentru participarea la activitățile didactice este și un factor de risc în ce privește siguranța rutieră din jurul unităților școlare, unde zilnic se observă aglomerări de autoturisme.  </w:t>
      </w:r>
    </w:p>
    <w:p w14:paraId="144177B1" w14:textId="77777777" w:rsidR="00A02130" w:rsidRPr="00F171A3" w:rsidRDefault="00A02130" w:rsidP="00A02130">
      <w:r w:rsidRPr="00F171A3">
        <w:t xml:space="preserve">În paralel cu asigurarea unui nivel bun de deservire al infrastructurii școlare, Primăria Sectorului 2 are atribuții și în menținerea sau modernizarea stării tehnice și operaționale a clădirilor cu specific educațional, </w:t>
      </w:r>
      <w:bookmarkStart w:id="103" w:name="_Hlk114155871"/>
      <w:r w:rsidRPr="00F171A3">
        <w:t xml:space="preserve">de administrarea cărora se ocupă prin intermediul Direcției Generale Administrare Patrimoniu </w:t>
      </w:r>
      <w:bookmarkEnd w:id="103"/>
      <w:r w:rsidRPr="00F171A3">
        <w:t>și Imobil (DGAPI). Astfel, conform DGAPI,</w:t>
      </w:r>
      <w:bookmarkStart w:id="104" w:name="_Hlk114155954"/>
      <w:r w:rsidRPr="00F171A3">
        <w:t xml:space="preserve"> în perioada 2014-2020, au fost realizate lucrări de reabilitare și modernizare finanțate din fonduri europene nerambursabile</w:t>
      </w:r>
      <w:bookmarkEnd w:id="104"/>
      <w:r w:rsidRPr="00F171A3">
        <w:t xml:space="preserve"> pentru Grădinița Albinuța, Grădinița Luminița, Grădinița nr. 233, Grădinița nr. 280, Grădinița Steluța și Grădinița nr. 189. În plus, </w:t>
      </w:r>
      <w:bookmarkStart w:id="105" w:name="_Hlk114156084"/>
      <w:r w:rsidRPr="00F171A3">
        <w:t xml:space="preserve">alte peste 50 de instituții de învățământ din Sectorul 2 au beneficiat de intervenții </w:t>
      </w:r>
      <w:bookmarkEnd w:id="105"/>
      <w:r w:rsidRPr="00F171A3">
        <w:t xml:space="preserve">în vederea eficientizării energetice, </w:t>
      </w:r>
      <w:bookmarkStart w:id="106" w:name="_Hlk114156146"/>
      <w:r w:rsidRPr="00F171A3">
        <w:t>majoritatea realizate prin accesarea de fonduri europene</w:t>
      </w:r>
      <w:bookmarkEnd w:id="106"/>
      <w:r w:rsidRPr="00F171A3">
        <w:t xml:space="preserve">. Totuși, DGAPI a identificat încă </w:t>
      </w:r>
      <w:bookmarkStart w:id="107" w:name="_Hlk114156352"/>
      <w:r w:rsidRPr="00F171A3">
        <w:t xml:space="preserve">peste 50 de clădiri publice, din domeniul educațional, care necesită diferite tipuri de lucrări </w:t>
      </w:r>
      <w:bookmarkEnd w:id="107"/>
      <w:r w:rsidRPr="00F171A3">
        <w:t>și intervenții, cum ar fi modernizare, reabilitare, dotare, îmbunătățirea rețelei de siguranță sau eficientizare energetică.</w:t>
      </w:r>
    </w:p>
    <w:p w14:paraId="2E998543" w14:textId="77777777" w:rsidR="00A02130" w:rsidRPr="00F171A3" w:rsidRDefault="00A02130" w:rsidP="00A02130">
      <w:r w:rsidRPr="00F171A3">
        <w:t xml:space="preserve">Alte probleme care țin de infrastructura educațională vizează slaba dotare a unităților de învățământ cu laboratoare, spații verzi și terenuri sportive. La nivelul Sectorului 2 au fost înregistrate o serie de unități de învățământ care nu dispuneau de niciun laborator, cum ar fi Școala Gimnazială de Arte nr. 2, Școala Gimnazială de Arte nr. 4, Școala Gimnazială nr. 85, Școala Gimnazială nr. 40 și Liceul Teoretic Waldorf. De asemenea, 14 unități școlare dispuneau de mai puțin de 3 laboratoare didactice, fapt ce susține concluzia că </w:t>
      </w:r>
      <w:bookmarkStart w:id="108" w:name="_Hlk114156802"/>
      <w:r w:rsidRPr="00F171A3">
        <w:t xml:space="preserve">în aceste unități de învățământ predarea se realizează preponderent teoretic, </w:t>
      </w:r>
      <w:bookmarkStart w:id="109" w:name="_Hlk114156525"/>
      <w:r w:rsidRPr="00F171A3">
        <w:t>astfel că metodele didactice interactive lipsesc din activitatea la clasă</w:t>
      </w:r>
      <w:bookmarkEnd w:id="108"/>
      <w:bookmarkEnd w:id="109"/>
      <w:r w:rsidRPr="00F171A3">
        <w:t>. În aceeași ordine de idei, infrastructura sportivă aferentă unităților de învățământ este slab dezvoltată la nivelul întregului sector, fiind înregistrată în special o criză a bazinelor școlare, a terenurilor multifuncționale sportive, acestea din urmă fiind vitale pentru practicarea activităților sportive și educarea elevilor cu privire la menținerea unui stil de viață sănătos.</w:t>
      </w:r>
    </w:p>
    <w:p w14:paraId="529A2B83" w14:textId="77777777" w:rsidR="00A02130" w:rsidRPr="00F171A3" w:rsidRDefault="00A02130" w:rsidP="00A02130"/>
    <w:p w14:paraId="7F842810" w14:textId="77777777" w:rsidR="00A02130" w:rsidRPr="00F171A3" w:rsidRDefault="00A02130" w:rsidP="00A02130"/>
    <w:p w14:paraId="0C01E819" w14:textId="79C1C484" w:rsidR="00A02130" w:rsidRPr="00F171A3" w:rsidRDefault="00A02130" w:rsidP="00A02130">
      <w:pPr>
        <w:pStyle w:val="Caption"/>
      </w:pPr>
      <w:bookmarkStart w:id="110" w:name="_Toc127198021"/>
      <w:r w:rsidRPr="00F171A3">
        <w:t xml:space="preserve">Figura </w:t>
      </w:r>
      <w:r w:rsidRPr="00F171A3">
        <w:fldChar w:fldCharType="begin"/>
      </w:r>
      <w:r w:rsidRPr="00F171A3">
        <w:instrText xml:space="preserve"> SEQ Figura \* ARABIC </w:instrText>
      </w:r>
      <w:r w:rsidRPr="00F171A3">
        <w:fldChar w:fldCharType="separate"/>
      </w:r>
      <w:r w:rsidR="005A6DD8">
        <w:rPr>
          <w:noProof/>
        </w:rPr>
        <w:t>33</w:t>
      </w:r>
      <w:r w:rsidRPr="00F171A3">
        <w:fldChar w:fldCharType="end"/>
      </w:r>
      <w:r w:rsidRPr="00F171A3">
        <w:t xml:space="preserve"> Distribuția teritorială a infrastructurii școlare în Sectorul 2 al municipiului București, 2021</w:t>
      </w:r>
      <w:bookmarkEnd w:id="110"/>
    </w:p>
    <w:p w14:paraId="4031CB58" w14:textId="77777777" w:rsidR="00A02130" w:rsidRPr="00F171A3" w:rsidRDefault="00A02130" w:rsidP="00D44B8A">
      <w:pPr>
        <w:jc w:val="center"/>
      </w:pPr>
      <w:r w:rsidRPr="00F171A3">
        <w:rPr>
          <w:noProof/>
        </w:rPr>
        <w:drawing>
          <wp:inline distT="0" distB="0" distL="0" distR="0" wp14:anchorId="05A563A5" wp14:editId="4277A2EE">
            <wp:extent cx="5818909" cy="8222612"/>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0164" cy="8224385"/>
                    </a:xfrm>
                    <a:prstGeom prst="rect">
                      <a:avLst/>
                    </a:prstGeom>
                    <a:noFill/>
                    <a:ln>
                      <a:noFill/>
                    </a:ln>
                  </pic:spPr>
                </pic:pic>
              </a:graphicData>
            </a:graphic>
          </wp:inline>
        </w:drawing>
      </w:r>
    </w:p>
    <w:p w14:paraId="5152B4A7" w14:textId="77777777" w:rsidR="00A02130" w:rsidRPr="00F171A3" w:rsidRDefault="00A02130" w:rsidP="00FF6C80">
      <w:pPr>
        <w:jc w:val="right"/>
        <w:rPr>
          <w:color w:val="BFBFBF" w:themeColor="background1" w:themeShade="BF"/>
        </w:rPr>
      </w:pPr>
      <w:r w:rsidRPr="00F171A3">
        <w:rPr>
          <w:color w:val="BFBFBF" w:themeColor="background1" w:themeShade="BF"/>
        </w:rPr>
        <w:t>Sursa: ISJ București</w:t>
      </w:r>
    </w:p>
    <w:p w14:paraId="6CE941A8" w14:textId="36323B9A" w:rsidR="00A02130" w:rsidRPr="00F171A3" w:rsidRDefault="00A02130" w:rsidP="00A02130">
      <w:pPr>
        <w:pStyle w:val="Caption"/>
      </w:pPr>
      <w:bookmarkStart w:id="111" w:name="_Toc127198022"/>
      <w:r w:rsidRPr="00F171A3">
        <w:t xml:space="preserve">Figura </w:t>
      </w:r>
      <w:r w:rsidRPr="00F171A3">
        <w:fldChar w:fldCharType="begin"/>
      </w:r>
      <w:r w:rsidRPr="00F171A3">
        <w:instrText xml:space="preserve"> SEQ Figura \* ARABIC </w:instrText>
      </w:r>
      <w:r w:rsidRPr="00F171A3">
        <w:fldChar w:fldCharType="separate"/>
      </w:r>
      <w:r w:rsidR="005A6DD8">
        <w:rPr>
          <w:noProof/>
        </w:rPr>
        <w:t>34</w:t>
      </w:r>
      <w:r w:rsidRPr="00F171A3">
        <w:fldChar w:fldCharType="end"/>
      </w:r>
      <w:r w:rsidRPr="00F171A3">
        <w:t xml:space="preserve"> Nivelul de deservire al infrastructurii de învățământ preșcolar în Sectorul 2, 2021</w:t>
      </w:r>
      <w:bookmarkEnd w:id="111"/>
      <w:r w:rsidRPr="00F171A3">
        <w:t xml:space="preserve"> </w:t>
      </w:r>
    </w:p>
    <w:p w14:paraId="4B88C5D0" w14:textId="77777777" w:rsidR="00A02130" w:rsidRPr="00F171A3" w:rsidRDefault="00A02130" w:rsidP="00D44B8A">
      <w:pPr>
        <w:jc w:val="center"/>
      </w:pPr>
      <w:r w:rsidRPr="00F171A3">
        <w:rPr>
          <w:noProof/>
        </w:rPr>
        <w:drawing>
          <wp:inline distT="0" distB="0" distL="0" distR="0" wp14:anchorId="6CC0E3F0" wp14:editId="6BC26D4F">
            <wp:extent cx="5866410" cy="8289735"/>
            <wp:effectExtent l="0" t="0" r="127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6907" cy="8290437"/>
                    </a:xfrm>
                    <a:prstGeom prst="rect">
                      <a:avLst/>
                    </a:prstGeom>
                    <a:noFill/>
                    <a:ln>
                      <a:noFill/>
                    </a:ln>
                  </pic:spPr>
                </pic:pic>
              </a:graphicData>
            </a:graphic>
          </wp:inline>
        </w:drawing>
      </w:r>
    </w:p>
    <w:p w14:paraId="59199919" w14:textId="77777777" w:rsidR="00A02130" w:rsidRPr="00F171A3" w:rsidRDefault="00A02130" w:rsidP="00FF6C80">
      <w:pPr>
        <w:jc w:val="right"/>
        <w:rPr>
          <w:color w:val="BFBFBF" w:themeColor="background1" w:themeShade="BF"/>
        </w:rPr>
      </w:pPr>
      <w:r w:rsidRPr="00F171A3">
        <w:rPr>
          <w:color w:val="BFBFBF" w:themeColor="background1" w:themeShade="BF"/>
        </w:rPr>
        <w:t>Sursa: ISJ București</w:t>
      </w:r>
    </w:p>
    <w:p w14:paraId="46133A6F" w14:textId="77777777" w:rsidR="00A02130" w:rsidRPr="00F171A3" w:rsidRDefault="00A02130" w:rsidP="00A02130">
      <w:pPr>
        <w:pStyle w:val="Caption"/>
      </w:pPr>
    </w:p>
    <w:p w14:paraId="6AB592CE" w14:textId="5987074E" w:rsidR="00A02130" w:rsidRPr="00F171A3" w:rsidRDefault="00A02130" w:rsidP="00A02130">
      <w:pPr>
        <w:pStyle w:val="Caption"/>
      </w:pPr>
      <w:bookmarkStart w:id="112" w:name="_Toc127198023"/>
      <w:r w:rsidRPr="00F171A3">
        <w:t xml:space="preserve">Figura </w:t>
      </w:r>
      <w:r w:rsidRPr="00F171A3">
        <w:fldChar w:fldCharType="begin"/>
      </w:r>
      <w:r w:rsidRPr="00F171A3">
        <w:instrText xml:space="preserve"> SEQ Figura \* ARABIC </w:instrText>
      </w:r>
      <w:r w:rsidRPr="00F171A3">
        <w:fldChar w:fldCharType="separate"/>
      </w:r>
      <w:r w:rsidR="005A6DD8">
        <w:rPr>
          <w:noProof/>
        </w:rPr>
        <w:t>35</w:t>
      </w:r>
      <w:r w:rsidRPr="00F171A3">
        <w:fldChar w:fldCharType="end"/>
      </w:r>
      <w:r w:rsidRPr="00F171A3">
        <w:t xml:space="preserve"> Nivelul de deservire al infrastructurii de învățământ primar și gimnazial în Sectorul 2 al municipiului București, 2021</w:t>
      </w:r>
      <w:bookmarkEnd w:id="112"/>
    </w:p>
    <w:p w14:paraId="52CDEAE9" w14:textId="77777777" w:rsidR="00A02130" w:rsidRPr="00F171A3" w:rsidRDefault="00A02130" w:rsidP="00D44B8A">
      <w:pPr>
        <w:jc w:val="center"/>
      </w:pPr>
      <w:r w:rsidRPr="00F171A3">
        <w:rPr>
          <w:noProof/>
        </w:rPr>
        <w:drawing>
          <wp:inline distT="0" distB="0" distL="0" distR="0" wp14:anchorId="63E17A64" wp14:editId="3B9E38AF">
            <wp:extent cx="5593278" cy="7903777"/>
            <wp:effectExtent l="0" t="0" r="762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96748" cy="7908680"/>
                    </a:xfrm>
                    <a:prstGeom prst="rect">
                      <a:avLst/>
                    </a:prstGeom>
                    <a:noFill/>
                    <a:ln>
                      <a:noFill/>
                    </a:ln>
                  </pic:spPr>
                </pic:pic>
              </a:graphicData>
            </a:graphic>
          </wp:inline>
        </w:drawing>
      </w:r>
    </w:p>
    <w:p w14:paraId="40B9D312" w14:textId="77777777" w:rsidR="00A02130" w:rsidRPr="00F171A3" w:rsidRDefault="00A02130" w:rsidP="00FF6C80">
      <w:pPr>
        <w:jc w:val="right"/>
        <w:rPr>
          <w:color w:val="BFBFBF" w:themeColor="background1" w:themeShade="BF"/>
        </w:rPr>
      </w:pPr>
      <w:r w:rsidRPr="00F171A3">
        <w:rPr>
          <w:color w:val="BFBFBF" w:themeColor="background1" w:themeShade="BF"/>
        </w:rPr>
        <w:t>Sursa: ISJ București</w:t>
      </w:r>
    </w:p>
    <w:p w14:paraId="33E33EFE" w14:textId="77777777" w:rsidR="00A02130" w:rsidRPr="00F171A3" w:rsidRDefault="00A02130" w:rsidP="00A02130"/>
    <w:p w14:paraId="2FF46DDE" w14:textId="6B060923" w:rsidR="00A02130" w:rsidRPr="00F171A3" w:rsidRDefault="00A02130" w:rsidP="00A02130">
      <w:r w:rsidRPr="00F171A3">
        <w:t xml:space="preserve">La nivelul </w:t>
      </w:r>
      <w:r w:rsidR="00F171A3" w:rsidRPr="00F171A3">
        <w:t>S</w:t>
      </w:r>
      <w:r w:rsidRPr="00F171A3">
        <w:t>ectorului 2 un număr de 8 licee au înregistrat la nivelul anului 2021 rate de promovare a examenului de bacalaureat de peste 90%, intrând astfel în Top 300 la nivel național. Astfel, în funcție de media obținută la examenul de Bacalaureat, topul liceelor din Sectorul 2 era format din Colegiul Național Bilingv ”George Coșbuc”, care ocupa locul 11, Colegiul Național "Mihai Viteazul", ce se situa pe locul 14, și Colegiul Național „Spiru Haret”, care se regăsea pe poziția 25.</w:t>
      </w:r>
    </w:p>
    <w:p w14:paraId="4F279E16" w14:textId="77777777" w:rsidR="00A02130" w:rsidRPr="00F171A3" w:rsidRDefault="00A02130" w:rsidP="00A02130">
      <w:r w:rsidRPr="00F171A3">
        <w:t>Pe de altă parte, din cele 22 de instituții în care s-a organizat examenul de bacalaureat, 7 licee au înregistrat rate de promovare de sub 50%, dintre care 5 s-au situat chiar sub pragul de 25%. Aceste licee au majoritar profil tehnologic, iar mediile obținute de către elevii acestora s-au situat în majoritatea cazurilor sub pragul notei 4, fapt ce relevă o situație gravă din punct de vedere al înțelegerii conținuturilor școlare. În acest sens, se distinge necesitatea realizării unor ore suplimentare în vederea remedierii carențelor școlare acumulate.</w:t>
      </w:r>
    </w:p>
    <w:p w14:paraId="3DE893ED" w14:textId="283F82F0" w:rsidR="00A02130" w:rsidRPr="00F171A3" w:rsidRDefault="00A02130" w:rsidP="00A02130">
      <w:pPr>
        <w:pStyle w:val="Caption"/>
      </w:pPr>
      <w:bookmarkStart w:id="113" w:name="_Toc126943278"/>
      <w:r w:rsidRPr="00F171A3">
        <w:t xml:space="preserve">Tabel </w:t>
      </w:r>
      <w:r w:rsidRPr="00F171A3">
        <w:fldChar w:fldCharType="begin"/>
      </w:r>
      <w:r w:rsidRPr="00F171A3">
        <w:instrText xml:space="preserve"> SEQ Tabel \* ARABIC </w:instrText>
      </w:r>
      <w:r w:rsidRPr="00F171A3">
        <w:fldChar w:fldCharType="separate"/>
      </w:r>
      <w:r w:rsidR="005A6DD8">
        <w:rPr>
          <w:noProof/>
        </w:rPr>
        <w:t>21</w:t>
      </w:r>
      <w:r w:rsidRPr="00F171A3">
        <w:fldChar w:fldCharType="end"/>
      </w:r>
      <w:r w:rsidRPr="00F171A3">
        <w:t xml:space="preserve"> Topul instituțiilor de învățământ din sectorul 2 în funcție de media obținută la examenul de Bacalaureat, în anul 2021</w:t>
      </w:r>
      <w:bookmarkEnd w:id="113"/>
    </w:p>
    <w:tbl>
      <w:tblPr>
        <w:tblStyle w:val="Civittatable"/>
        <w:tblW w:w="0" w:type="auto"/>
        <w:tblLook w:val="04A0" w:firstRow="1" w:lastRow="0" w:firstColumn="1" w:lastColumn="0" w:noHBand="0" w:noVBand="1"/>
      </w:tblPr>
      <w:tblGrid>
        <w:gridCol w:w="805"/>
        <w:gridCol w:w="3913"/>
        <w:gridCol w:w="2359"/>
        <w:gridCol w:w="2359"/>
      </w:tblGrid>
      <w:tr w:rsidR="00A02130" w:rsidRPr="00F171A3" w14:paraId="1F400F18" w14:textId="77777777" w:rsidTr="00D44B8A">
        <w:trPr>
          <w:cnfStyle w:val="100000000000" w:firstRow="1" w:lastRow="0" w:firstColumn="0" w:lastColumn="0" w:oddVBand="0" w:evenVBand="0" w:oddHBand="0" w:evenHBand="0" w:firstRowFirstColumn="0" w:firstRowLastColumn="0" w:lastRowFirstColumn="0" w:lastRowLastColumn="0"/>
        </w:trPr>
        <w:tc>
          <w:tcPr>
            <w:tcW w:w="805" w:type="dxa"/>
            <w:vAlign w:val="center"/>
          </w:tcPr>
          <w:p w14:paraId="1E7FAE16" w14:textId="610CA63E" w:rsidR="00A02130" w:rsidRPr="00F171A3" w:rsidRDefault="00A02130" w:rsidP="00D44B8A">
            <w:pPr>
              <w:jc w:val="center"/>
              <w:rPr>
                <w:b/>
                <w:bCs/>
              </w:rPr>
            </w:pPr>
            <w:r w:rsidRPr="00F171A3">
              <w:rPr>
                <w:b/>
                <w:bCs/>
              </w:rPr>
              <w:t>Nr. Crt</w:t>
            </w:r>
            <w:r w:rsidR="00D44B8A" w:rsidRPr="00F171A3">
              <w:rPr>
                <w:b/>
                <w:bCs/>
              </w:rPr>
              <w:t>.</w:t>
            </w:r>
          </w:p>
        </w:tc>
        <w:tc>
          <w:tcPr>
            <w:tcW w:w="3913" w:type="dxa"/>
            <w:vAlign w:val="center"/>
          </w:tcPr>
          <w:p w14:paraId="2346444E" w14:textId="77777777" w:rsidR="00A02130" w:rsidRPr="00F171A3" w:rsidRDefault="00A02130" w:rsidP="00D44B8A">
            <w:pPr>
              <w:jc w:val="center"/>
              <w:rPr>
                <w:b/>
                <w:bCs/>
              </w:rPr>
            </w:pPr>
            <w:r w:rsidRPr="00F171A3">
              <w:rPr>
                <w:b/>
                <w:bCs/>
              </w:rPr>
              <w:t>Instituție de învățământ</w:t>
            </w:r>
          </w:p>
        </w:tc>
        <w:tc>
          <w:tcPr>
            <w:tcW w:w="2359" w:type="dxa"/>
            <w:vAlign w:val="center"/>
          </w:tcPr>
          <w:p w14:paraId="59B734A8" w14:textId="77777777" w:rsidR="00A02130" w:rsidRPr="00F171A3" w:rsidRDefault="00A02130" w:rsidP="00D44B8A">
            <w:pPr>
              <w:jc w:val="center"/>
              <w:rPr>
                <w:b/>
                <w:bCs/>
              </w:rPr>
            </w:pPr>
            <w:r w:rsidRPr="00F171A3">
              <w:rPr>
                <w:b/>
                <w:bCs/>
              </w:rPr>
              <w:t>Medie BAC</w:t>
            </w:r>
          </w:p>
        </w:tc>
        <w:tc>
          <w:tcPr>
            <w:tcW w:w="2359" w:type="dxa"/>
            <w:vAlign w:val="center"/>
          </w:tcPr>
          <w:p w14:paraId="646C0671" w14:textId="77777777" w:rsidR="00A02130" w:rsidRPr="00F171A3" w:rsidRDefault="00A02130" w:rsidP="00D44B8A">
            <w:pPr>
              <w:jc w:val="center"/>
              <w:rPr>
                <w:b/>
                <w:bCs/>
              </w:rPr>
            </w:pPr>
            <w:r w:rsidRPr="00F171A3">
              <w:rPr>
                <w:b/>
                <w:bCs/>
              </w:rPr>
              <w:t>Promovabilitate BAC</w:t>
            </w:r>
          </w:p>
        </w:tc>
      </w:tr>
      <w:tr w:rsidR="00A02130" w:rsidRPr="00F171A3" w14:paraId="50E160DD" w14:textId="77777777" w:rsidTr="00F31936">
        <w:trPr>
          <w:cnfStyle w:val="000000100000" w:firstRow="0" w:lastRow="0" w:firstColumn="0" w:lastColumn="0" w:oddVBand="0" w:evenVBand="0" w:oddHBand="1" w:evenHBand="0" w:firstRowFirstColumn="0" w:firstRowLastColumn="0" w:lastRowFirstColumn="0" w:lastRowLastColumn="0"/>
        </w:trPr>
        <w:tc>
          <w:tcPr>
            <w:tcW w:w="805" w:type="dxa"/>
          </w:tcPr>
          <w:p w14:paraId="778FD0BA" w14:textId="77777777" w:rsidR="00A02130" w:rsidRPr="00F171A3" w:rsidRDefault="00A02130" w:rsidP="00F31936">
            <w:r w:rsidRPr="00F171A3">
              <w:t>1</w:t>
            </w:r>
          </w:p>
        </w:tc>
        <w:tc>
          <w:tcPr>
            <w:tcW w:w="3913" w:type="dxa"/>
          </w:tcPr>
          <w:p w14:paraId="63475492" w14:textId="77777777" w:rsidR="00A02130" w:rsidRPr="00F171A3" w:rsidRDefault="00A02130" w:rsidP="00F31936">
            <w:r w:rsidRPr="00F171A3">
              <w:t>Colegiul Național Bilingv ”George Coșbuc”</w:t>
            </w:r>
          </w:p>
        </w:tc>
        <w:tc>
          <w:tcPr>
            <w:tcW w:w="2359" w:type="dxa"/>
          </w:tcPr>
          <w:p w14:paraId="42845F8C" w14:textId="77777777" w:rsidR="00A02130" w:rsidRPr="00F171A3" w:rsidRDefault="00A02130" w:rsidP="00F31936">
            <w:r w:rsidRPr="00F171A3">
              <w:t>9,02</w:t>
            </w:r>
          </w:p>
        </w:tc>
        <w:tc>
          <w:tcPr>
            <w:tcW w:w="2359" w:type="dxa"/>
          </w:tcPr>
          <w:p w14:paraId="6B525706" w14:textId="77777777" w:rsidR="00A02130" w:rsidRPr="00F171A3" w:rsidRDefault="00A02130" w:rsidP="00F31936">
            <w:r w:rsidRPr="00F171A3">
              <w:t>100%</w:t>
            </w:r>
          </w:p>
        </w:tc>
      </w:tr>
      <w:tr w:rsidR="00A02130" w:rsidRPr="00F171A3" w14:paraId="75041EB4" w14:textId="77777777" w:rsidTr="00F31936">
        <w:trPr>
          <w:cnfStyle w:val="000000010000" w:firstRow="0" w:lastRow="0" w:firstColumn="0" w:lastColumn="0" w:oddVBand="0" w:evenVBand="0" w:oddHBand="0" w:evenHBand="1" w:firstRowFirstColumn="0" w:firstRowLastColumn="0" w:lastRowFirstColumn="0" w:lastRowLastColumn="0"/>
        </w:trPr>
        <w:tc>
          <w:tcPr>
            <w:tcW w:w="805" w:type="dxa"/>
          </w:tcPr>
          <w:p w14:paraId="714DD679" w14:textId="77777777" w:rsidR="00A02130" w:rsidRPr="00F171A3" w:rsidRDefault="00A02130" w:rsidP="00F31936">
            <w:r w:rsidRPr="00F171A3">
              <w:t>2</w:t>
            </w:r>
          </w:p>
        </w:tc>
        <w:tc>
          <w:tcPr>
            <w:tcW w:w="3913" w:type="dxa"/>
          </w:tcPr>
          <w:p w14:paraId="5229D824" w14:textId="77777777" w:rsidR="00A02130" w:rsidRPr="00F171A3" w:rsidRDefault="00A02130" w:rsidP="00F31936">
            <w:r w:rsidRPr="00F171A3">
              <w:t>Colegiul Național "Mihai Viteazul"</w:t>
            </w:r>
          </w:p>
        </w:tc>
        <w:tc>
          <w:tcPr>
            <w:tcW w:w="2359" w:type="dxa"/>
          </w:tcPr>
          <w:p w14:paraId="2A55C468" w14:textId="77777777" w:rsidR="00A02130" w:rsidRPr="00F171A3" w:rsidRDefault="00A02130" w:rsidP="00F31936">
            <w:r w:rsidRPr="00F171A3">
              <w:t>9,05</w:t>
            </w:r>
          </w:p>
        </w:tc>
        <w:tc>
          <w:tcPr>
            <w:tcW w:w="2359" w:type="dxa"/>
          </w:tcPr>
          <w:p w14:paraId="375C8FC4" w14:textId="77777777" w:rsidR="00A02130" w:rsidRPr="00F171A3" w:rsidRDefault="00A02130" w:rsidP="00F31936">
            <w:r w:rsidRPr="00F171A3">
              <w:t>99,36%</w:t>
            </w:r>
          </w:p>
        </w:tc>
      </w:tr>
      <w:tr w:rsidR="00A02130" w:rsidRPr="00F171A3" w14:paraId="25F049D8" w14:textId="77777777" w:rsidTr="00F31936">
        <w:trPr>
          <w:cnfStyle w:val="000000100000" w:firstRow="0" w:lastRow="0" w:firstColumn="0" w:lastColumn="0" w:oddVBand="0" w:evenVBand="0" w:oddHBand="1" w:evenHBand="0" w:firstRowFirstColumn="0" w:firstRowLastColumn="0" w:lastRowFirstColumn="0" w:lastRowLastColumn="0"/>
        </w:trPr>
        <w:tc>
          <w:tcPr>
            <w:tcW w:w="805" w:type="dxa"/>
          </w:tcPr>
          <w:p w14:paraId="3A1ACAB0" w14:textId="77777777" w:rsidR="00A02130" w:rsidRPr="00F171A3" w:rsidRDefault="00A02130" w:rsidP="00F31936">
            <w:r w:rsidRPr="00F171A3">
              <w:t>3</w:t>
            </w:r>
          </w:p>
        </w:tc>
        <w:tc>
          <w:tcPr>
            <w:tcW w:w="3913" w:type="dxa"/>
          </w:tcPr>
          <w:p w14:paraId="30DE9FF9" w14:textId="77777777" w:rsidR="00A02130" w:rsidRPr="00F171A3" w:rsidRDefault="00A02130" w:rsidP="00F31936">
            <w:r w:rsidRPr="00F171A3">
              <w:t>Colegiul Național „Spiru Haret”</w:t>
            </w:r>
          </w:p>
        </w:tc>
        <w:tc>
          <w:tcPr>
            <w:tcW w:w="2359" w:type="dxa"/>
          </w:tcPr>
          <w:p w14:paraId="67ABEBB8" w14:textId="77777777" w:rsidR="00A02130" w:rsidRPr="00F171A3" w:rsidRDefault="00A02130" w:rsidP="00F31936">
            <w:r w:rsidRPr="00F171A3">
              <w:t>8,93</w:t>
            </w:r>
          </w:p>
        </w:tc>
        <w:tc>
          <w:tcPr>
            <w:tcW w:w="2359" w:type="dxa"/>
          </w:tcPr>
          <w:p w14:paraId="497EF0FF" w14:textId="77777777" w:rsidR="00A02130" w:rsidRPr="00F171A3" w:rsidRDefault="00A02130" w:rsidP="00F31936">
            <w:r w:rsidRPr="00F171A3">
              <w:t>98,61%</w:t>
            </w:r>
          </w:p>
        </w:tc>
      </w:tr>
      <w:tr w:rsidR="00A02130" w:rsidRPr="00F171A3" w14:paraId="12FBE942" w14:textId="77777777" w:rsidTr="00F31936">
        <w:trPr>
          <w:cnfStyle w:val="000000010000" w:firstRow="0" w:lastRow="0" w:firstColumn="0" w:lastColumn="0" w:oddVBand="0" w:evenVBand="0" w:oddHBand="0" w:evenHBand="1" w:firstRowFirstColumn="0" w:firstRowLastColumn="0" w:lastRowFirstColumn="0" w:lastRowLastColumn="0"/>
        </w:trPr>
        <w:tc>
          <w:tcPr>
            <w:tcW w:w="805" w:type="dxa"/>
          </w:tcPr>
          <w:p w14:paraId="0E4DA9D4" w14:textId="77777777" w:rsidR="00A02130" w:rsidRPr="00F171A3" w:rsidRDefault="00A02130" w:rsidP="00F31936">
            <w:r w:rsidRPr="00F171A3">
              <w:t>4</w:t>
            </w:r>
          </w:p>
        </w:tc>
        <w:tc>
          <w:tcPr>
            <w:tcW w:w="3913" w:type="dxa"/>
          </w:tcPr>
          <w:p w14:paraId="5478F2FF" w14:textId="77777777" w:rsidR="00A02130" w:rsidRPr="00F171A3" w:rsidRDefault="00A02130" w:rsidP="00F31936">
            <w:pPr>
              <w:tabs>
                <w:tab w:val="left" w:pos="2136"/>
              </w:tabs>
            </w:pPr>
            <w:r w:rsidRPr="00F171A3">
              <w:t>Colegiul Național „Cantemir Vodă”</w:t>
            </w:r>
          </w:p>
        </w:tc>
        <w:tc>
          <w:tcPr>
            <w:tcW w:w="2359" w:type="dxa"/>
          </w:tcPr>
          <w:p w14:paraId="3F0EF754" w14:textId="77777777" w:rsidR="00A02130" w:rsidRPr="00F171A3" w:rsidRDefault="00A02130" w:rsidP="00F31936">
            <w:r w:rsidRPr="00F171A3">
              <w:t>8,61</w:t>
            </w:r>
          </w:p>
        </w:tc>
        <w:tc>
          <w:tcPr>
            <w:tcW w:w="2359" w:type="dxa"/>
          </w:tcPr>
          <w:p w14:paraId="3C33316D" w14:textId="77777777" w:rsidR="00A02130" w:rsidRPr="00F171A3" w:rsidRDefault="00A02130" w:rsidP="00F31936">
            <w:r w:rsidRPr="00F171A3">
              <w:t>98,73%</w:t>
            </w:r>
          </w:p>
        </w:tc>
      </w:tr>
      <w:tr w:rsidR="00A02130" w:rsidRPr="00F171A3" w14:paraId="1BE400A5" w14:textId="77777777" w:rsidTr="00F31936">
        <w:trPr>
          <w:cnfStyle w:val="000000100000" w:firstRow="0" w:lastRow="0" w:firstColumn="0" w:lastColumn="0" w:oddVBand="0" w:evenVBand="0" w:oddHBand="1" w:evenHBand="0" w:firstRowFirstColumn="0" w:firstRowLastColumn="0" w:lastRowFirstColumn="0" w:lastRowLastColumn="0"/>
        </w:trPr>
        <w:tc>
          <w:tcPr>
            <w:tcW w:w="805" w:type="dxa"/>
          </w:tcPr>
          <w:p w14:paraId="65304777" w14:textId="77777777" w:rsidR="00A02130" w:rsidRPr="00F171A3" w:rsidRDefault="00A02130" w:rsidP="00F31936">
            <w:r w:rsidRPr="00F171A3">
              <w:t>5</w:t>
            </w:r>
          </w:p>
        </w:tc>
        <w:tc>
          <w:tcPr>
            <w:tcW w:w="3913" w:type="dxa"/>
          </w:tcPr>
          <w:p w14:paraId="08328CCE" w14:textId="77777777" w:rsidR="00A02130" w:rsidRPr="00F171A3" w:rsidRDefault="00A02130" w:rsidP="00F31936">
            <w:r w:rsidRPr="00F171A3">
              <w:t>Colegiul Național „Iulia Hașdeu”</w:t>
            </w:r>
          </w:p>
        </w:tc>
        <w:tc>
          <w:tcPr>
            <w:tcW w:w="2359" w:type="dxa"/>
          </w:tcPr>
          <w:p w14:paraId="165075E2" w14:textId="77777777" w:rsidR="00A02130" w:rsidRPr="00F171A3" w:rsidRDefault="00A02130" w:rsidP="00F31936">
            <w:r w:rsidRPr="00F171A3">
              <w:t>8,56</w:t>
            </w:r>
          </w:p>
        </w:tc>
        <w:tc>
          <w:tcPr>
            <w:tcW w:w="2359" w:type="dxa"/>
          </w:tcPr>
          <w:p w14:paraId="27C717AD" w14:textId="77777777" w:rsidR="00A02130" w:rsidRPr="00F171A3" w:rsidRDefault="00A02130" w:rsidP="00F31936">
            <w:r w:rsidRPr="00F171A3">
              <w:t>98,47%</w:t>
            </w:r>
          </w:p>
        </w:tc>
      </w:tr>
      <w:tr w:rsidR="00A02130" w:rsidRPr="00F171A3" w14:paraId="15C3235B" w14:textId="77777777" w:rsidTr="00F31936">
        <w:trPr>
          <w:cnfStyle w:val="000000010000" w:firstRow="0" w:lastRow="0" w:firstColumn="0" w:lastColumn="0" w:oddVBand="0" w:evenVBand="0" w:oddHBand="0" w:evenHBand="1" w:firstRowFirstColumn="0" w:firstRowLastColumn="0" w:lastRowFirstColumn="0" w:lastRowLastColumn="0"/>
        </w:trPr>
        <w:tc>
          <w:tcPr>
            <w:tcW w:w="805" w:type="dxa"/>
          </w:tcPr>
          <w:p w14:paraId="14F987A5" w14:textId="77777777" w:rsidR="00A02130" w:rsidRPr="00F171A3" w:rsidRDefault="00A02130" w:rsidP="00F31936">
            <w:r w:rsidRPr="00F171A3">
              <w:t>6</w:t>
            </w:r>
          </w:p>
        </w:tc>
        <w:tc>
          <w:tcPr>
            <w:tcW w:w="3913" w:type="dxa"/>
          </w:tcPr>
          <w:p w14:paraId="43D58647" w14:textId="77777777" w:rsidR="00A02130" w:rsidRPr="00F171A3" w:rsidRDefault="00A02130" w:rsidP="00F31936">
            <w:r w:rsidRPr="00F171A3">
              <w:t>Colegiul Național "Școala Centrală”</w:t>
            </w:r>
          </w:p>
        </w:tc>
        <w:tc>
          <w:tcPr>
            <w:tcW w:w="2359" w:type="dxa"/>
          </w:tcPr>
          <w:p w14:paraId="718D3A9D" w14:textId="77777777" w:rsidR="00A02130" w:rsidRPr="00F171A3" w:rsidRDefault="00A02130" w:rsidP="00F31936">
            <w:r w:rsidRPr="00F171A3">
              <w:t>7,88</w:t>
            </w:r>
          </w:p>
        </w:tc>
        <w:tc>
          <w:tcPr>
            <w:tcW w:w="2359" w:type="dxa"/>
          </w:tcPr>
          <w:p w14:paraId="520E9DA8" w14:textId="77777777" w:rsidR="00A02130" w:rsidRPr="00F171A3" w:rsidRDefault="00A02130" w:rsidP="00F31936">
            <w:r w:rsidRPr="00F171A3">
              <w:t>94,51%</w:t>
            </w:r>
          </w:p>
        </w:tc>
      </w:tr>
      <w:tr w:rsidR="00A02130" w:rsidRPr="00F171A3" w14:paraId="214DC805" w14:textId="77777777" w:rsidTr="00F31936">
        <w:trPr>
          <w:cnfStyle w:val="000000100000" w:firstRow="0" w:lastRow="0" w:firstColumn="0" w:lastColumn="0" w:oddVBand="0" w:evenVBand="0" w:oddHBand="1" w:evenHBand="0" w:firstRowFirstColumn="0" w:firstRowLastColumn="0" w:lastRowFirstColumn="0" w:lastRowLastColumn="0"/>
        </w:trPr>
        <w:tc>
          <w:tcPr>
            <w:tcW w:w="805" w:type="dxa"/>
          </w:tcPr>
          <w:p w14:paraId="7A300E0E" w14:textId="77777777" w:rsidR="00A02130" w:rsidRPr="00F171A3" w:rsidRDefault="00A02130" w:rsidP="00F31936">
            <w:r w:rsidRPr="00F171A3">
              <w:t>7</w:t>
            </w:r>
          </w:p>
        </w:tc>
        <w:tc>
          <w:tcPr>
            <w:tcW w:w="3913" w:type="dxa"/>
          </w:tcPr>
          <w:p w14:paraId="2098318A" w14:textId="77777777" w:rsidR="00A02130" w:rsidRPr="00F171A3" w:rsidRDefault="00A02130" w:rsidP="00F31936">
            <w:r w:rsidRPr="00F171A3">
              <w:t>Liceul Teoretic “C.A. Rosetti”</w:t>
            </w:r>
          </w:p>
        </w:tc>
        <w:tc>
          <w:tcPr>
            <w:tcW w:w="2359" w:type="dxa"/>
          </w:tcPr>
          <w:p w14:paraId="09B137C1" w14:textId="77777777" w:rsidR="00A02130" w:rsidRPr="00F171A3" w:rsidRDefault="00A02130" w:rsidP="00F31936">
            <w:r w:rsidRPr="00F171A3">
              <w:t>7,74</w:t>
            </w:r>
          </w:p>
        </w:tc>
        <w:tc>
          <w:tcPr>
            <w:tcW w:w="2359" w:type="dxa"/>
          </w:tcPr>
          <w:p w14:paraId="6EB49890" w14:textId="77777777" w:rsidR="00A02130" w:rsidRPr="00F171A3" w:rsidRDefault="00A02130" w:rsidP="00F31936">
            <w:r w:rsidRPr="00F171A3">
              <w:t>93,93%</w:t>
            </w:r>
          </w:p>
        </w:tc>
      </w:tr>
      <w:tr w:rsidR="00A02130" w:rsidRPr="00F171A3" w14:paraId="68F46430" w14:textId="77777777" w:rsidTr="00F31936">
        <w:trPr>
          <w:cnfStyle w:val="000000010000" w:firstRow="0" w:lastRow="0" w:firstColumn="0" w:lastColumn="0" w:oddVBand="0" w:evenVBand="0" w:oddHBand="0" w:evenHBand="1" w:firstRowFirstColumn="0" w:firstRowLastColumn="0" w:lastRowFirstColumn="0" w:lastRowLastColumn="0"/>
        </w:trPr>
        <w:tc>
          <w:tcPr>
            <w:tcW w:w="805" w:type="dxa"/>
          </w:tcPr>
          <w:p w14:paraId="3FFF3D76" w14:textId="77777777" w:rsidR="00A02130" w:rsidRPr="00F171A3" w:rsidRDefault="00A02130" w:rsidP="00F31936">
            <w:r w:rsidRPr="00F171A3">
              <w:t>8</w:t>
            </w:r>
          </w:p>
        </w:tc>
        <w:tc>
          <w:tcPr>
            <w:tcW w:w="3913" w:type="dxa"/>
          </w:tcPr>
          <w:p w14:paraId="3DE5A2F2" w14:textId="77777777" w:rsidR="00A02130" w:rsidRPr="00F171A3" w:rsidRDefault="00A02130" w:rsidP="00F31936">
            <w:r w:rsidRPr="00F171A3">
              <w:t>Colegiul Economic „A.D. Xenopol”</w:t>
            </w:r>
          </w:p>
        </w:tc>
        <w:tc>
          <w:tcPr>
            <w:tcW w:w="2359" w:type="dxa"/>
          </w:tcPr>
          <w:p w14:paraId="2DA8F7E8" w14:textId="77777777" w:rsidR="00A02130" w:rsidRPr="00F171A3" w:rsidRDefault="00A02130" w:rsidP="00F31936">
            <w:r w:rsidRPr="00F171A3">
              <w:t>7,54</w:t>
            </w:r>
          </w:p>
        </w:tc>
        <w:tc>
          <w:tcPr>
            <w:tcW w:w="2359" w:type="dxa"/>
          </w:tcPr>
          <w:p w14:paraId="463B3887" w14:textId="77777777" w:rsidR="00A02130" w:rsidRPr="00F171A3" w:rsidRDefault="00A02130" w:rsidP="00F31936">
            <w:r w:rsidRPr="00F171A3">
              <w:t>91,67%</w:t>
            </w:r>
          </w:p>
        </w:tc>
      </w:tr>
      <w:tr w:rsidR="00A02130" w:rsidRPr="00F171A3" w14:paraId="2052E162" w14:textId="77777777" w:rsidTr="00F31936">
        <w:trPr>
          <w:cnfStyle w:val="000000100000" w:firstRow="0" w:lastRow="0" w:firstColumn="0" w:lastColumn="0" w:oddVBand="0" w:evenVBand="0" w:oddHBand="1" w:evenHBand="0" w:firstRowFirstColumn="0" w:firstRowLastColumn="0" w:lastRowFirstColumn="0" w:lastRowLastColumn="0"/>
        </w:trPr>
        <w:tc>
          <w:tcPr>
            <w:tcW w:w="805" w:type="dxa"/>
          </w:tcPr>
          <w:p w14:paraId="02B47AC7" w14:textId="77777777" w:rsidR="00A02130" w:rsidRPr="00F171A3" w:rsidRDefault="00A02130" w:rsidP="00F31936">
            <w:r w:rsidRPr="00F171A3">
              <w:t>9</w:t>
            </w:r>
          </w:p>
        </w:tc>
        <w:tc>
          <w:tcPr>
            <w:tcW w:w="3913" w:type="dxa"/>
          </w:tcPr>
          <w:p w14:paraId="60D6E900" w14:textId="77777777" w:rsidR="00A02130" w:rsidRPr="00F171A3" w:rsidRDefault="00A02130" w:rsidP="00F31936">
            <w:r w:rsidRPr="00F171A3">
              <w:t>Colegiul Național “Victor Babeș”</w:t>
            </w:r>
          </w:p>
        </w:tc>
        <w:tc>
          <w:tcPr>
            <w:tcW w:w="2359" w:type="dxa"/>
          </w:tcPr>
          <w:p w14:paraId="2FB5947F" w14:textId="77777777" w:rsidR="00A02130" w:rsidRPr="00F171A3" w:rsidRDefault="00A02130" w:rsidP="00F31936">
            <w:r w:rsidRPr="00F171A3">
              <w:t>6,83</w:t>
            </w:r>
          </w:p>
        </w:tc>
        <w:tc>
          <w:tcPr>
            <w:tcW w:w="2359" w:type="dxa"/>
          </w:tcPr>
          <w:p w14:paraId="640EA167" w14:textId="77777777" w:rsidR="00A02130" w:rsidRPr="00F171A3" w:rsidRDefault="00A02130" w:rsidP="00F31936">
            <w:r w:rsidRPr="00F171A3">
              <w:t>84,29</w:t>
            </w:r>
          </w:p>
        </w:tc>
      </w:tr>
      <w:tr w:rsidR="00A02130" w:rsidRPr="00F171A3" w14:paraId="771253FA" w14:textId="77777777" w:rsidTr="00F31936">
        <w:trPr>
          <w:cnfStyle w:val="000000010000" w:firstRow="0" w:lastRow="0" w:firstColumn="0" w:lastColumn="0" w:oddVBand="0" w:evenVBand="0" w:oddHBand="0" w:evenHBand="1" w:firstRowFirstColumn="0" w:firstRowLastColumn="0" w:lastRowFirstColumn="0" w:lastRowLastColumn="0"/>
        </w:trPr>
        <w:tc>
          <w:tcPr>
            <w:tcW w:w="805" w:type="dxa"/>
          </w:tcPr>
          <w:p w14:paraId="269D34D6" w14:textId="77777777" w:rsidR="00A02130" w:rsidRPr="00F171A3" w:rsidRDefault="00A02130" w:rsidP="00F31936">
            <w:r w:rsidRPr="00F171A3">
              <w:t>10</w:t>
            </w:r>
          </w:p>
        </w:tc>
        <w:tc>
          <w:tcPr>
            <w:tcW w:w="3913" w:type="dxa"/>
          </w:tcPr>
          <w:p w14:paraId="7800AD1C" w14:textId="77777777" w:rsidR="00A02130" w:rsidRPr="00F171A3" w:rsidRDefault="00A02130" w:rsidP="00F31936">
            <w:r w:rsidRPr="00F171A3">
              <w:t>Colegiul Național “Emil Racoviță”</w:t>
            </w:r>
          </w:p>
        </w:tc>
        <w:tc>
          <w:tcPr>
            <w:tcW w:w="2359" w:type="dxa"/>
          </w:tcPr>
          <w:p w14:paraId="4CFE144A" w14:textId="77777777" w:rsidR="00A02130" w:rsidRPr="00F171A3" w:rsidRDefault="00A02130" w:rsidP="00F31936">
            <w:r w:rsidRPr="00F171A3">
              <w:t>6,34</w:t>
            </w:r>
          </w:p>
        </w:tc>
        <w:tc>
          <w:tcPr>
            <w:tcW w:w="2359" w:type="dxa"/>
          </w:tcPr>
          <w:p w14:paraId="4A5D444E" w14:textId="77777777" w:rsidR="00A02130" w:rsidRPr="00F171A3" w:rsidRDefault="00A02130" w:rsidP="00F31936">
            <w:r w:rsidRPr="00F171A3">
              <w:t>77,50</w:t>
            </w:r>
          </w:p>
        </w:tc>
      </w:tr>
    </w:tbl>
    <w:p w14:paraId="152C9063" w14:textId="77777777" w:rsidR="00A02130" w:rsidRPr="00F171A3" w:rsidRDefault="00A02130" w:rsidP="00FF6C80">
      <w:pPr>
        <w:jc w:val="right"/>
        <w:rPr>
          <w:color w:val="BFBFBF" w:themeColor="background1" w:themeShade="BF"/>
        </w:rPr>
      </w:pPr>
      <w:r w:rsidRPr="00F171A3">
        <w:rPr>
          <w:color w:val="BFBFBF" w:themeColor="background1" w:themeShade="BF"/>
        </w:rPr>
        <w:t>Sursa: www.admitereliceu.ro</w:t>
      </w:r>
    </w:p>
    <w:p w14:paraId="69ABF576" w14:textId="77777777" w:rsidR="00A02130" w:rsidRPr="00F171A3" w:rsidRDefault="00A02130" w:rsidP="00A02130">
      <w:r w:rsidRPr="00F171A3">
        <w:t xml:space="preserve">Analizând dispersia teritorială a unităților de învățământ, precum și calitatea învățământului și numărul de elevi înmatriculați în anul școlar 2020-2021, </w:t>
      </w:r>
      <w:bookmarkStart w:id="114" w:name="_Hlk114159665"/>
      <w:r w:rsidRPr="00F171A3">
        <w:t>putem deduce că instituțiile de învățământ performante și cele aflate în apropiere de zona centrală sunt în mod uzual suprasolicitate sau supraaglomerate, spre deosebire de școlile din zonele periferice</w:t>
      </w:r>
      <w:bookmarkEnd w:id="114"/>
      <w:r w:rsidRPr="00F171A3">
        <w:t xml:space="preserve">. Acest fapt pune presiune pe infrastructura școlară existentă și pe cadrele didactice, </w:t>
      </w:r>
      <w:bookmarkStart w:id="115" w:name="_Hlk114159854"/>
      <w:r w:rsidRPr="00F171A3">
        <w:t xml:space="preserve">ceea ce poate avea efecte negative asupra calității </w:t>
      </w:r>
      <w:bookmarkEnd w:id="115"/>
      <w:r w:rsidRPr="00F171A3">
        <w:t>învățământului. Nu în ultimul rând, aglomerarea unităților de învățământ din zona de sud-vest a sectorului (zona centrală a municipiului București) alimentează fenomenul de congestie în trafic prin faptul că o bună parte dintre elevi fac naveta spre și dinspre școlile respective.</w:t>
      </w:r>
    </w:p>
    <w:p w14:paraId="04F4A55C" w14:textId="5E84754F" w:rsidR="00A02130" w:rsidRPr="00F171A3" w:rsidRDefault="00A02130" w:rsidP="00A02130">
      <w:r w:rsidRPr="00F171A3">
        <w:t xml:space="preserve">La nivelul ofertei educaționale pentru elevii care promovează ciclul gimnazial, pe lângă oferta extinsă de locuri în învățământul liceal, la nivelul Sectorului 2, în 2021 se regăseau trei instituții care puneau la dispoziție elevilor o ofertă de învățământ profesional și tehnic, totalizând 164 de locuri. Din această listă, în cadrul Liceului Tehnologic "Nikola Tesla" și </w:t>
      </w:r>
      <w:r w:rsidR="0060613A" w:rsidRPr="00F171A3">
        <w:t>Colegiului</w:t>
      </w:r>
      <w:r w:rsidRPr="00F171A3">
        <w:t xml:space="preserve"> Tehnic "Ion I.C: Brătianu" se regăseau doar locuri pentru învățământ dual, pe când oferta Colegiului Tehnic ”Dimitrie Leonida” cuprindea și 2 opțiuni de învățământ profesional simplu. Ca distribuție, dintre aceste 164 de locuri jumătate erau în domeniul mecanicii, 19,5% în domeniul electronicii și automatizărilor, 16,5% se regăseau în domeniul turismului și alimentației, iar 22 de locuri erau propuse în domeniul electric.</w:t>
      </w:r>
    </w:p>
    <w:p w14:paraId="387866B5" w14:textId="15233408" w:rsidR="00A02130" w:rsidRPr="00F171A3" w:rsidRDefault="00A02130" w:rsidP="00A02130">
      <w:bookmarkStart w:id="116" w:name="_Hlk114160257"/>
      <w:r w:rsidRPr="00F171A3">
        <w:t>Așa cum reiese din răspunsurile la un chestionar aplicat locuitorilor Sectorului 2, elevii și părinții care utilizează serviciile sistemului de învățământ se declară cei mai mulțumiți</w:t>
      </w:r>
      <w:bookmarkEnd w:id="116"/>
      <w:r w:rsidRPr="00F171A3">
        <w:t xml:space="preserve"> de calitatea actului didactic (38,9% dintre respondenți se declară mulțumiți sau foarte mulțumiți). În ordine ierarhică, în funcție de gradul de mulțumire, </w:t>
      </w:r>
      <w:bookmarkStart w:id="117" w:name="_Hlk114160411"/>
      <w:r w:rsidRPr="00F171A3">
        <w:t xml:space="preserve">opțiunile </w:t>
      </w:r>
      <w:r w:rsidR="008A1AFD" w:rsidRPr="00F171A3">
        <w:t>respondenților</w:t>
      </w:r>
      <w:r w:rsidRPr="00F171A3">
        <w:t xml:space="preserve"> sunt</w:t>
      </w:r>
      <w:bookmarkEnd w:id="117"/>
      <w:r w:rsidRPr="00F171A3">
        <w:t>:</w:t>
      </w:r>
    </w:p>
    <w:p w14:paraId="7E08EEA3" w14:textId="77777777" w:rsidR="00A02130" w:rsidRPr="00F171A3" w:rsidRDefault="00A02130">
      <w:pPr>
        <w:pStyle w:val="Bullet"/>
        <w:numPr>
          <w:ilvl w:val="0"/>
          <w:numId w:val="38"/>
        </w:numPr>
      </w:pPr>
      <w:r w:rsidRPr="00F171A3">
        <w:t>Calitatea actului didactic (38,9% dintre respondenți se declară mulțumiți și foarte mulțumiți);</w:t>
      </w:r>
    </w:p>
    <w:p w14:paraId="37B7EEF5" w14:textId="77777777" w:rsidR="00A02130" w:rsidRPr="00F171A3" w:rsidRDefault="00A02130">
      <w:pPr>
        <w:pStyle w:val="Bullet"/>
        <w:numPr>
          <w:ilvl w:val="0"/>
          <w:numId w:val="38"/>
        </w:numPr>
      </w:pPr>
      <w:r w:rsidRPr="00F171A3">
        <w:t>Numărul de școli/locuri în școli (34,1% dintre respondenți se declară mulțumiți și foarte mulțumiți);</w:t>
      </w:r>
    </w:p>
    <w:p w14:paraId="2656FDB4" w14:textId="77777777" w:rsidR="00A02130" w:rsidRPr="00F171A3" w:rsidRDefault="00A02130">
      <w:pPr>
        <w:pStyle w:val="Bullet"/>
        <w:numPr>
          <w:ilvl w:val="0"/>
          <w:numId w:val="38"/>
        </w:numPr>
      </w:pPr>
      <w:r w:rsidRPr="00F171A3">
        <w:t>Numărul de licee/locuri în licee (26,3% dintre respondenți se declară mulțumiți și foarte mulțumiți);</w:t>
      </w:r>
    </w:p>
    <w:p w14:paraId="724FADEA" w14:textId="77777777" w:rsidR="00A02130" w:rsidRPr="00F171A3" w:rsidRDefault="00A02130">
      <w:pPr>
        <w:pStyle w:val="Bullet"/>
        <w:numPr>
          <w:ilvl w:val="0"/>
          <w:numId w:val="38"/>
        </w:numPr>
      </w:pPr>
      <w:r w:rsidRPr="00F171A3">
        <w:t>Infrastructura și dotările din cadrul școlilor (22,3% dintre respondenți se declară mulțumiți și foarte mulțumiți);</w:t>
      </w:r>
    </w:p>
    <w:p w14:paraId="75CFEDCE" w14:textId="77777777" w:rsidR="00A02130" w:rsidRPr="00F171A3" w:rsidRDefault="00A02130">
      <w:pPr>
        <w:pStyle w:val="Bullet"/>
        <w:numPr>
          <w:ilvl w:val="0"/>
          <w:numId w:val="38"/>
        </w:numPr>
      </w:pPr>
      <w:r w:rsidRPr="00F171A3">
        <w:t>Numărul de grădinițe/locuri în grădinițe (19,1% dintre respondenți se declară mulțumiți și foarte mulțumiți);</w:t>
      </w:r>
    </w:p>
    <w:p w14:paraId="44E2E528" w14:textId="77777777" w:rsidR="00A02130" w:rsidRPr="00F171A3" w:rsidRDefault="00A02130">
      <w:pPr>
        <w:pStyle w:val="Bullet"/>
        <w:numPr>
          <w:ilvl w:val="0"/>
          <w:numId w:val="38"/>
        </w:numPr>
      </w:pPr>
      <w:r w:rsidRPr="00F171A3">
        <w:t>Infrastructura și dotările din cadrul liceelor (17,0% dintre respondenți se declară mulțumiți și foarte mulțumiți);</w:t>
      </w:r>
    </w:p>
    <w:p w14:paraId="4F7E09F8" w14:textId="21C8CB21" w:rsidR="00A02130" w:rsidRPr="00F171A3" w:rsidRDefault="00A02130">
      <w:pPr>
        <w:pStyle w:val="Bullet"/>
        <w:numPr>
          <w:ilvl w:val="0"/>
          <w:numId w:val="38"/>
        </w:numPr>
      </w:pPr>
      <w:r w:rsidRPr="00F171A3">
        <w:t>Infrastructura și dotările din cadrul grădinițelor (17,0% dintre respondenți se declară mulțumiți și foarte mulțumiți)</w:t>
      </w:r>
      <w:r w:rsidR="00D44B8A" w:rsidRPr="00F171A3">
        <w:t>.</w:t>
      </w:r>
    </w:p>
    <w:p w14:paraId="31515226" w14:textId="77777777" w:rsidR="00A02130" w:rsidRPr="00F171A3" w:rsidRDefault="00A02130" w:rsidP="00A02130">
      <w:pPr>
        <w:pStyle w:val="Normal0"/>
      </w:pPr>
      <w:r w:rsidRPr="00F171A3">
        <w:t>Totuși, în rândul respondenților, între 29 și 46% nu cunosc informații referitoare la infrastructura de învățământ și 16-24% sunt neutri în raport cu acestea.</w:t>
      </w:r>
    </w:p>
    <w:p w14:paraId="17C95A97" w14:textId="5CBBAD18" w:rsidR="00A02130" w:rsidRPr="0098109E" w:rsidRDefault="00A02130" w:rsidP="0098109E">
      <w:pPr>
        <w:pStyle w:val="Caption"/>
      </w:pPr>
      <w:bookmarkStart w:id="118" w:name="_Toc127198024"/>
      <w:r w:rsidRPr="0098109E">
        <w:t xml:space="preserve">Figura </w:t>
      </w:r>
      <w:r w:rsidRPr="0098109E">
        <w:fldChar w:fldCharType="begin"/>
      </w:r>
      <w:r w:rsidRPr="0098109E">
        <w:instrText xml:space="preserve"> SEQ Figura \* ARABIC </w:instrText>
      </w:r>
      <w:r w:rsidRPr="0098109E">
        <w:fldChar w:fldCharType="separate"/>
      </w:r>
      <w:r w:rsidR="005A6DD8">
        <w:rPr>
          <w:noProof/>
        </w:rPr>
        <w:t>36</w:t>
      </w:r>
      <w:r w:rsidRPr="0098109E">
        <w:fldChar w:fldCharType="end"/>
      </w:r>
      <w:r w:rsidRPr="0098109E">
        <w:t xml:space="preserve"> </w:t>
      </w:r>
      <w:bookmarkStart w:id="119" w:name="_Hlk114160566"/>
      <w:r w:rsidR="0098109E" w:rsidRPr="0098109E">
        <w:t xml:space="preserve">Gradul de satisfacție </w:t>
      </w:r>
      <w:bookmarkEnd w:id="119"/>
      <w:r w:rsidR="0098109E" w:rsidRPr="0098109E">
        <w:t>față de sistemul de învățământ din Sectorul 2</w:t>
      </w:r>
      <w:bookmarkEnd w:id="118"/>
    </w:p>
    <w:p w14:paraId="22A52414" w14:textId="77777777" w:rsidR="00A02130" w:rsidRPr="00F171A3" w:rsidRDefault="00A02130" w:rsidP="00A02130">
      <w:r w:rsidRPr="00F171A3">
        <w:rPr>
          <w:color w:val="134753" w:themeColor="text2"/>
        </w:rPr>
        <w:t>Bazat pe experiența dumneavoastră directă sau ca părinte, cât de mulțumit/ă sunteți de serviciile sistemului de învățământ pe care le utilizați/le-ați utilizat:</w:t>
      </w:r>
      <w:r w:rsidRPr="00F171A3">
        <w:rPr>
          <w:caps/>
          <w:color w:val="134753" w:themeColor="text2"/>
        </w:rPr>
        <w:cr/>
      </w:r>
      <w:r w:rsidRPr="00F171A3">
        <w:rPr>
          <w:noProof/>
        </w:rPr>
        <w:drawing>
          <wp:inline distT="0" distB="0" distL="0" distR="0" wp14:anchorId="00B55849" wp14:editId="4808A390">
            <wp:extent cx="5995358" cy="3562709"/>
            <wp:effectExtent l="0" t="0" r="5715" b="0"/>
            <wp:docPr id="4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465E936" w14:textId="77777777" w:rsidR="00A02130" w:rsidRPr="00F171A3" w:rsidRDefault="00A02130" w:rsidP="00FF6C80">
      <w:pPr>
        <w:jc w:val="right"/>
        <w:rPr>
          <w:color w:val="BFBFBF" w:themeColor="background1" w:themeShade="BF"/>
        </w:rPr>
      </w:pPr>
      <w:r w:rsidRPr="00F171A3">
        <w:rPr>
          <w:color w:val="BFBFBF" w:themeColor="background1" w:themeShade="BF"/>
        </w:rPr>
        <w:t>Sursa: Prelucrare proprie pe baza răspunsurilor din chestionarele adresate locuitorilor din Sectorul 2</w:t>
      </w:r>
    </w:p>
    <w:p w14:paraId="41C023C2" w14:textId="2F25698F" w:rsidR="00A02130" w:rsidRPr="00F171A3" w:rsidRDefault="00A02130" w:rsidP="00D44B8A">
      <w:pPr>
        <w:pStyle w:val="Normal0"/>
      </w:pPr>
      <w:r w:rsidRPr="00F171A3">
        <w:t>Reieșind din cele expuse mai sus, infrastructura de învățământ din Sectorul 2 necesită investiții de modernizare, pentru a putea crește calitatea actului didactic și pentru a crea condiții optime de dezvoltare pentru elevi, respectiv, de lucru – pentru cadrele didactice.</w:t>
      </w:r>
    </w:p>
    <w:p w14:paraId="0328AA96" w14:textId="77777777" w:rsidR="00A02130" w:rsidRPr="00F171A3" w:rsidRDefault="00A02130" w:rsidP="00A02130">
      <w:r w:rsidRPr="00F171A3">
        <w:rPr>
          <w:b/>
          <w:bCs/>
          <w:color w:val="134753" w:themeColor="accent2"/>
        </w:rPr>
        <w:t xml:space="preserve">ÎNVĂȚĂMÂNT UNIVERSITAR | </w:t>
      </w:r>
      <w:r w:rsidRPr="00F171A3">
        <w:t>La nivel național, municipiul București este cel mai mare și important centru universitar, fiind urmat de orașe precum Cluj-Napoca, Iași și Timișoara. Tradiția universitară bucureșteană datează încă din anii 1860, când a fost înființată Universitatea din București. Astfel, în municipiul București sunt prezenți 42% din totalul studenților din cele mai mari 7 centre universitare din țară, urmând la mare distanță Cluj-Napoca cu 17,4%, Iași cu 13,6% și Timișoara cu 10,5%.</w:t>
      </w:r>
    </w:p>
    <w:p w14:paraId="4A24FF8D" w14:textId="3CF5E55B" w:rsidR="00A02130" w:rsidRPr="00F171A3" w:rsidRDefault="00A02130" w:rsidP="00A02130">
      <w:pPr>
        <w:pStyle w:val="Caption"/>
      </w:pPr>
      <w:bookmarkStart w:id="120" w:name="_Toc127198025"/>
      <w:r w:rsidRPr="00F171A3">
        <w:t xml:space="preserve">Figura </w:t>
      </w:r>
      <w:r w:rsidRPr="00F171A3">
        <w:fldChar w:fldCharType="begin"/>
      </w:r>
      <w:r w:rsidRPr="00F171A3">
        <w:instrText xml:space="preserve"> SEQ Figura \* ARABIC </w:instrText>
      </w:r>
      <w:r w:rsidRPr="00F171A3">
        <w:fldChar w:fldCharType="separate"/>
      </w:r>
      <w:r w:rsidR="005A6DD8">
        <w:rPr>
          <w:noProof/>
        </w:rPr>
        <w:t>37</w:t>
      </w:r>
      <w:r w:rsidRPr="00F171A3">
        <w:fldChar w:fldCharType="end"/>
      </w:r>
      <w:r w:rsidRPr="00F171A3">
        <w:t xml:space="preserve"> Distribuția numărului de studenți din centrele mari universitare din țară în totalul numărului de studenți din centrele respective, în anul 2020</w:t>
      </w:r>
      <w:bookmarkEnd w:id="120"/>
    </w:p>
    <w:p w14:paraId="086CB3DF" w14:textId="77777777" w:rsidR="00A02130" w:rsidRPr="00F171A3" w:rsidRDefault="00A02130" w:rsidP="00A02130">
      <w:r w:rsidRPr="00F171A3">
        <w:rPr>
          <w:noProof/>
        </w:rPr>
        <w:drawing>
          <wp:inline distT="0" distB="0" distL="0" distR="0" wp14:anchorId="0E77AA40" wp14:editId="1FCB1D83">
            <wp:extent cx="5857875" cy="2371725"/>
            <wp:effectExtent l="0" t="0" r="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F171A3">
        <w:t xml:space="preserve"> </w:t>
      </w:r>
    </w:p>
    <w:p w14:paraId="4D3D2EDA" w14:textId="77777777" w:rsidR="00A02130" w:rsidRPr="00F171A3" w:rsidRDefault="00A02130" w:rsidP="00FF6C80">
      <w:pPr>
        <w:jc w:val="right"/>
        <w:rPr>
          <w:color w:val="BFBFBF" w:themeColor="background1" w:themeShade="BF"/>
        </w:rPr>
      </w:pPr>
      <w:r w:rsidRPr="00F171A3">
        <w:rPr>
          <w:color w:val="BFBFBF" w:themeColor="background1" w:themeShade="BF"/>
        </w:rPr>
        <w:t>Sursa: INS. Baza de date TEMPO Online</w:t>
      </w:r>
    </w:p>
    <w:p w14:paraId="3F3B4DEB" w14:textId="77777777" w:rsidR="00A02130" w:rsidRPr="00F171A3" w:rsidRDefault="00A02130" w:rsidP="00A02130">
      <w:r w:rsidRPr="00F171A3">
        <w:t>Ponderea studenților din municipiul București în totalul populației cu domiciliul în capitală era de 8,2% în 2020, înregistrând mici fluctuații în perioada 2015-2020. Dintr-o perspectivă comparativă, studenții înscriși la instituțiile de învățământ superior din municipiul Cluj-Napoca reprezentau 22,2% din totalul populației, înregistrând un trend crescător în perioada 2015-2020, în timp ce în municipiul Iași, ponderea studenților era de 14,6%, iar trendul înregistrat era descrescător. Valoarea acestui indicator este relevantă deoarece absolvenții de studii superioare reprezintă o forță de muncă care poate genera o valoare adăugată sporită.</w:t>
      </w:r>
    </w:p>
    <w:p w14:paraId="6128F959" w14:textId="1209EFEA" w:rsidR="00A02130" w:rsidRPr="00F171A3" w:rsidRDefault="00A02130" w:rsidP="00A02130">
      <w:pPr>
        <w:pStyle w:val="Caption"/>
      </w:pPr>
      <w:bookmarkStart w:id="121" w:name="_Toc127198026"/>
      <w:r w:rsidRPr="00F171A3">
        <w:t xml:space="preserve">Figura </w:t>
      </w:r>
      <w:r w:rsidRPr="00F171A3">
        <w:fldChar w:fldCharType="begin"/>
      </w:r>
      <w:r w:rsidRPr="00F171A3">
        <w:instrText xml:space="preserve"> SEQ Figura \* ARABIC </w:instrText>
      </w:r>
      <w:r w:rsidRPr="00F171A3">
        <w:fldChar w:fldCharType="separate"/>
      </w:r>
      <w:r w:rsidR="005A6DD8">
        <w:rPr>
          <w:noProof/>
        </w:rPr>
        <w:t>38</w:t>
      </w:r>
      <w:r w:rsidRPr="00F171A3">
        <w:fldChar w:fldCharType="end"/>
      </w:r>
      <w:r w:rsidRPr="00F171A3">
        <w:t xml:space="preserve"> Ponderea studenților din totalul populație cu domiciliu, în municipiile București, Cluj-Napoca și Iași, în perioada 2015-2020</w:t>
      </w:r>
      <w:bookmarkEnd w:id="121"/>
    </w:p>
    <w:p w14:paraId="7BF2C862" w14:textId="77777777" w:rsidR="00A02130" w:rsidRPr="00F171A3" w:rsidRDefault="00A02130" w:rsidP="00A02130">
      <w:r w:rsidRPr="00F171A3">
        <w:rPr>
          <w:noProof/>
        </w:rPr>
        <w:drawing>
          <wp:inline distT="0" distB="0" distL="0" distR="0" wp14:anchorId="4E37F046" wp14:editId="5309846C">
            <wp:extent cx="6143625" cy="2619375"/>
            <wp:effectExtent l="0" t="0" r="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BFE5DE0" w14:textId="77777777" w:rsidR="00A02130" w:rsidRPr="00F171A3" w:rsidRDefault="00A02130" w:rsidP="00FF6C80">
      <w:pPr>
        <w:jc w:val="right"/>
        <w:rPr>
          <w:color w:val="BFBFBF" w:themeColor="background1" w:themeShade="BF"/>
        </w:rPr>
      </w:pPr>
      <w:r w:rsidRPr="00F171A3">
        <w:rPr>
          <w:color w:val="BFBFBF" w:themeColor="background1" w:themeShade="BF"/>
        </w:rPr>
        <w:t>Sursa: INS. Baza de date TEMPO Online</w:t>
      </w:r>
    </w:p>
    <w:p w14:paraId="58642108" w14:textId="77777777" w:rsidR="00A02130" w:rsidRPr="00F171A3" w:rsidRDefault="00A02130" w:rsidP="00A02130">
      <w:r w:rsidRPr="00F171A3">
        <w:t>La nivelul Sectorului 2 își au sediul 8 facultăţi şi două centre de cercetare din cadrul a 4 universităţi de stat, două universităţi particulare acreditate, 3 universităţi autorizate provizoriu şi alte 3 instituţii de învăţământ alternativ sau postliceal. De asemenea, tot în Sectorul 2 se află Campusul Universitar Tei din cadrul Universității Tehnice de Construcții București. Astfel, rețeaua universitară din Sectorul 2 este compusă din următoarele unități:</w:t>
      </w:r>
    </w:p>
    <w:p w14:paraId="145414C3" w14:textId="77777777" w:rsidR="00A02130" w:rsidRPr="00F171A3" w:rsidRDefault="00A02130" w:rsidP="00A02130">
      <w:pPr>
        <w:pStyle w:val="Bullet"/>
      </w:pPr>
      <w:r w:rsidRPr="00F171A3">
        <w:t>Universități de stat:</w:t>
      </w:r>
    </w:p>
    <w:p w14:paraId="78AD430B" w14:textId="77777777" w:rsidR="00A02130" w:rsidRPr="00F171A3" w:rsidRDefault="00A02130">
      <w:pPr>
        <w:pStyle w:val="Bullet"/>
        <w:numPr>
          <w:ilvl w:val="1"/>
          <w:numId w:val="68"/>
        </w:numPr>
      </w:pPr>
      <w:r w:rsidRPr="00F171A3">
        <w:t xml:space="preserve">Academia de Studii Economice (ASE) - Facultatea de Cibernetică, Statistică și Informatică Economică; </w:t>
      </w:r>
    </w:p>
    <w:p w14:paraId="29F204C5" w14:textId="77777777" w:rsidR="00A02130" w:rsidRPr="00F171A3" w:rsidRDefault="00A02130">
      <w:pPr>
        <w:pStyle w:val="Bullet"/>
        <w:numPr>
          <w:ilvl w:val="1"/>
          <w:numId w:val="68"/>
        </w:numPr>
      </w:pPr>
      <w:r w:rsidRPr="00F171A3">
        <w:t xml:space="preserve">Universitatea din București – Facultatea de Chimie (Sediul Dumbrava Roşie); </w:t>
      </w:r>
    </w:p>
    <w:p w14:paraId="44ADB223" w14:textId="77777777" w:rsidR="00A02130" w:rsidRPr="00F171A3" w:rsidRDefault="00A02130">
      <w:pPr>
        <w:pStyle w:val="Bullet"/>
        <w:numPr>
          <w:ilvl w:val="1"/>
          <w:numId w:val="68"/>
        </w:numPr>
      </w:pPr>
      <w:r w:rsidRPr="00F171A3">
        <w:t xml:space="preserve">Universitatea de Medicină și Farmacie Carol Davila din București – Facultatea de farmacie; </w:t>
      </w:r>
    </w:p>
    <w:p w14:paraId="5697C7DF" w14:textId="77777777" w:rsidR="00A02130" w:rsidRPr="00F171A3" w:rsidRDefault="00A02130">
      <w:pPr>
        <w:pStyle w:val="Bullet"/>
        <w:numPr>
          <w:ilvl w:val="1"/>
          <w:numId w:val="68"/>
        </w:numPr>
      </w:pPr>
      <w:r w:rsidRPr="00F171A3">
        <w:t>Universitatea Tehnică de Construcții din București (UTCB) – Facultatea de Construcţii Civile, Facultatea de Inginerie a Instalaţiilor, Facultatea de Hidrotehnică, Facultatea de Geodezie, Facultatea de Căi Ferate, Drumuri şi Poduri, Centrul de Cercetare Ingineria Apelor Subterane;</w:t>
      </w:r>
    </w:p>
    <w:p w14:paraId="17DBAA14" w14:textId="525CE4B4" w:rsidR="00A02130" w:rsidRPr="00F171A3" w:rsidRDefault="00A02130">
      <w:pPr>
        <w:pStyle w:val="Bullet"/>
        <w:numPr>
          <w:ilvl w:val="1"/>
          <w:numId w:val="68"/>
        </w:numPr>
      </w:pPr>
      <w:r w:rsidRPr="00F171A3">
        <w:t xml:space="preserve"> Institutul Central de Cercetare Ştiinţifică al Universităţii Spiru Haret</w:t>
      </w:r>
      <w:r w:rsidR="00D44B8A" w:rsidRPr="00F171A3">
        <w:t>;</w:t>
      </w:r>
    </w:p>
    <w:p w14:paraId="6118829A" w14:textId="77777777" w:rsidR="00A02130" w:rsidRPr="00F171A3" w:rsidRDefault="00A02130" w:rsidP="00A02130">
      <w:pPr>
        <w:pStyle w:val="Bullet"/>
      </w:pPr>
      <w:r w:rsidRPr="00F171A3">
        <w:t>Universități particulare:</w:t>
      </w:r>
    </w:p>
    <w:p w14:paraId="045736C6" w14:textId="77777777" w:rsidR="00A02130" w:rsidRPr="00F171A3" w:rsidRDefault="00A02130">
      <w:pPr>
        <w:pStyle w:val="Bullet"/>
        <w:numPr>
          <w:ilvl w:val="1"/>
          <w:numId w:val="68"/>
        </w:numPr>
      </w:pPr>
      <w:r w:rsidRPr="00F171A3">
        <w:t>Universitatea „Hyperion”;</w:t>
      </w:r>
    </w:p>
    <w:p w14:paraId="20DD01D4" w14:textId="77777777" w:rsidR="00A02130" w:rsidRPr="00F171A3" w:rsidRDefault="00A02130">
      <w:pPr>
        <w:pStyle w:val="Bullet"/>
        <w:numPr>
          <w:ilvl w:val="1"/>
          <w:numId w:val="68"/>
        </w:numPr>
      </w:pPr>
      <w:r w:rsidRPr="00F171A3">
        <w:t>Universitatea „Athenaeum”;</w:t>
      </w:r>
    </w:p>
    <w:p w14:paraId="599BE8D2" w14:textId="77777777" w:rsidR="00A02130" w:rsidRPr="00F171A3" w:rsidRDefault="00A02130">
      <w:pPr>
        <w:pStyle w:val="Bullet"/>
        <w:numPr>
          <w:ilvl w:val="1"/>
          <w:numId w:val="68"/>
        </w:numPr>
      </w:pPr>
      <w:r w:rsidRPr="00F171A3">
        <w:t>Fundația „Pro-Universitate Media”;</w:t>
      </w:r>
    </w:p>
    <w:p w14:paraId="4D3FB314" w14:textId="77777777" w:rsidR="00A02130" w:rsidRPr="00F171A3" w:rsidRDefault="00A02130">
      <w:pPr>
        <w:pStyle w:val="Bullet"/>
        <w:numPr>
          <w:ilvl w:val="1"/>
          <w:numId w:val="68"/>
        </w:numPr>
      </w:pPr>
      <w:r w:rsidRPr="00F171A3">
        <w:t xml:space="preserve">Institutul Teologic Creștin după Evanghelie „Timotheus”; </w:t>
      </w:r>
    </w:p>
    <w:p w14:paraId="1FC5EA99" w14:textId="5D752069" w:rsidR="00A02130" w:rsidRPr="00F171A3" w:rsidRDefault="00A02130">
      <w:pPr>
        <w:pStyle w:val="Bullet"/>
        <w:numPr>
          <w:ilvl w:val="1"/>
          <w:numId w:val="68"/>
        </w:numPr>
      </w:pPr>
      <w:r w:rsidRPr="00F171A3">
        <w:t>Universitatea Europei de Sud-Est „Lumina”</w:t>
      </w:r>
      <w:r w:rsidR="00D44B8A" w:rsidRPr="00F171A3">
        <w:t>;</w:t>
      </w:r>
    </w:p>
    <w:p w14:paraId="06C5AB61" w14:textId="77777777" w:rsidR="00A02130" w:rsidRPr="00F171A3" w:rsidRDefault="00A02130" w:rsidP="00A02130">
      <w:pPr>
        <w:pStyle w:val="Bullet"/>
      </w:pPr>
      <w:r w:rsidRPr="00F171A3">
        <w:t>Alte instituții</w:t>
      </w:r>
    </w:p>
    <w:p w14:paraId="684C59C4" w14:textId="77777777" w:rsidR="00A02130" w:rsidRPr="00F171A3" w:rsidRDefault="00A02130">
      <w:pPr>
        <w:pStyle w:val="Bullet"/>
        <w:numPr>
          <w:ilvl w:val="1"/>
          <w:numId w:val="68"/>
        </w:numPr>
      </w:pPr>
      <w:r w:rsidRPr="00F171A3">
        <w:t xml:space="preserve">Universitatea Alternativă; </w:t>
      </w:r>
    </w:p>
    <w:p w14:paraId="541C9084" w14:textId="77777777" w:rsidR="00A02130" w:rsidRPr="00F171A3" w:rsidRDefault="00A02130">
      <w:pPr>
        <w:pStyle w:val="Bullet"/>
        <w:numPr>
          <w:ilvl w:val="1"/>
          <w:numId w:val="68"/>
        </w:numPr>
      </w:pPr>
      <w:r w:rsidRPr="00F171A3">
        <w:t xml:space="preserve">Școala Națională de Sănătate Publică, Management și Perfecționare în Domeniul Sanitar București; </w:t>
      </w:r>
    </w:p>
    <w:p w14:paraId="66E0E966" w14:textId="77777777" w:rsidR="00A02130" w:rsidRPr="00F171A3" w:rsidRDefault="00A02130">
      <w:pPr>
        <w:pStyle w:val="Bullet"/>
        <w:numPr>
          <w:ilvl w:val="1"/>
          <w:numId w:val="68"/>
        </w:numPr>
      </w:pPr>
      <w:r w:rsidRPr="00F171A3">
        <w:t>Şcoala postliceală a Universităţii Carol Davila.</w:t>
      </w:r>
    </w:p>
    <w:p w14:paraId="5D66D8E7" w14:textId="2333D0A2" w:rsidR="00A02130" w:rsidRPr="00F171A3" w:rsidRDefault="00A02130" w:rsidP="00A02130">
      <w:r w:rsidRPr="00F171A3">
        <w:t xml:space="preserve">Aferente universităților, în Sectorul 2 există și cămine studențești în cadrul unor </w:t>
      </w:r>
      <w:r w:rsidR="0060613A" w:rsidRPr="00F171A3">
        <w:t>campusuri</w:t>
      </w:r>
      <w:r w:rsidRPr="00F171A3">
        <w:t xml:space="preserve">: </w:t>
      </w:r>
    </w:p>
    <w:p w14:paraId="4D9BF081" w14:textId="77777777" w:rsidR="00A02130" w:rsidRPr="00F171A3" w:rsidRDefault="00A02130" w:rsidP="00A02130">
      <w:pPr>
        <w:pStyle w:val="Bullet"/>
      </w:pPr>
      <w:r w:rsidRPr="00F171A3">
        <w:t xml:space="preserve">Campus studenţesc Tei – unde există cămine care țin de Universitatea Tehnică de Construcții din București, Universitatea de Arhitectură și Urbanism Ion Mincu şi Academia de Studii Economice; </w:t>
      </w:r>
    </w:p>
    <w:p w14:paraId="26ACF3EC" w14:textId="726675DA" w:rsidR="00790A83" w:rsidRPr="00F171A3" w:rsidRDefault="00A02130" w:rsidP="00A02130">
      <w:pPr>
        <w:pStyle w:val="Bullet"/>
      </w:pPr>
      <w:r w:rsidRPr="00F171A3">
        <w:t>Cămin studenţesc privat Campus Est.</w:t>
      </w:r>
    </w:p>
    <w:p w14:paraId="4C5C3054" w14:textId="77777777" w:rsidR="008A6FAE" w:rsidRPr="00F171A3" w:rsidRDefault="008A6FAE" w:rsidP="00790A83">
      <w:pPr>
        <w:sectPr w:rsidR="008A6FAE" w:rsidRPr="00F171A3" w:rsidSect="00135952">
          <w:pgSz w:w="11907" w:h="16839" w:code="9"/>
          <w:pgMar w:top="1151" w:right="1440" w:bottom="1440" w:left="1021" w:header="709" w:footer="284" w:gutter="0"/>
          <w:cols w:space="708"/>
          <w:titlePg/>
          <w:docGrid w:linePitch="360"/>
        </w:sectPr>
      </w:pPr>
    </w:p>
    <w:p w14:paraId="691E6B8B" w14:textId="662819DF" w:rsidR="009F12E0" w:rsidRPr="00F171A3" w:rsidRDefault="001E0A0F" w:rsidP="001E0A0F">
      <w:pPr>
        <w:pStyle w:val="Heading3"/>
        <w:rPr>
          <w:lang w:val="ro-RO"/>
        </w:rPr>
      </w:pPr>
      <w:bookmarkStart w:id="122" w:name="_Toc127199271"/>
      <w:r w:rsidRPr="00F171A3">
        <w:rPr>
          <w:caps w:val="0"/>
          <w:lang w:val="ro-RO"/>
        </w:rPr>
        <w:t>CULTURĂ, TURISM ȘI PETRECEREA TIMPULUI LIBER</w:t>
      </w:r>
      <w:bookmarkEnd w:id="122"/>
      <w:r w:rsidRPr="00F171A3">
        <w:rPr>
          <w:caps w:val="0"/>
          <w:lang w:val="ro-RO"/>
        </w:rPr>
        <w:t xml:space="preserve"> </w:t>
      </w:r>
    </w:p>
    <w:p w14:paraId="5ACFE4B5" w14:textId="3D9C66FD" w:rsidR="00303644" w:rsidRPr="00F171A3" w:rsidRDefault="00303644" w:rsidP="00303644">
      <w:r w:rsidRPr="00F171A3">
        <w:t xml:space="preserve">Ca parte a </w:t>
      </w:r>
      <w:r w:rsidR="00DE36DE" w:rsidRPr="00F171A3">
        <w:t>m</w:t>
      </w:r>
      <w:r w:rsidRPr="00F171A3">
        <w:t>unicipiului București, dezvoltarea culturală și turistică a Sectorului 2 nu poate fi privită individual, ci doar în contextul mai extins al Capitalei și chiar al teritoriului periurban al acesteia. Caracterul polarizator al Bucureștiului, care concentrează cea mai mare aglomerație de locuitori, activități economice și instituții din România, face ca toate sectoarele să se confrunte cu o serie de probleme și provocări similare în ceea ce privește domeniul cultural, turistic și de petrecere a timpului liber.</w:t>
      </w:r>
      <w:r w:rsidRPr="00F171A3">
        <w:rPr>
          <w:vertAlign w:val="superscript"/>
        </w:rPr>
        <w:footnoteReference w:id="14"/>
      </w:r>
    </w:p>
    <w:p w14:paraId="7485D0F6" w14:textId="717D606B" w:rsidR="00303644" w:rsidRPr="00F171A3" w:rsidRDefault="00303644" w:rsidP="00303644">
      <w:r w:rsidRPr="00F171A3">
        <w:t>În același timp, evenimentele din ultimii ani au afectat toți cetățenii și numeroase sectoare economice s-au aflat într-o situație dificilă, sectorul cultural și cel turistic, dar și oportunitățile de petrecere a timpului liber fiind printre cele mai grav afectate. Mai mult, în timpul pandemiei de COVID-19, când mulți oameni au fost limitați în mișcare, a devenit și mai important pentru persoanele de toate vârstele, ca acestea să fie cât mai active. Este foarte important astfel să analizăm cum poate fi gestionată revenirea acestor sectoare sau care sunt noile practici de consum cultural, de loisir și turistic care se desprind după această perioadă.</w:t>
      </w:r>
    </w:p>
    <w:p w14:paraId="71E8CA33" w14:textId="77777777" w:rsidR="00D44B8A" w:rsidRPr="00F171A3" w:rsidRDefault="00D44B8A" w:rsidP="00303644"/>
    <w:p w14:paraId="4CAE6C12" w14:textId="3D75DE4C" w:rsidR="00303644" w:rsidRPr="00F171A3" w:rsidRDefault="001E0A0F" w:rsidP="001E0A0F">
      <w:pPr>
        <w:pStyle w:val="Heading4"/>
      </w:pPr>
      <w:bookmarkStart w:id="123" w:name="_heading=h.39kk8xu" w:colFirst="0" w:colLast="0"/>
      <w:bookmarkEnd w:id="123"/>
      <w:r w:rsidRPr="00F171A3">
        <w:t>CULTURA</w:t>
      </w:r>
    </w:p>
    <w:p w14:paraId="5A74CE5F" w14:textId="3D3AD37C" w:rsidR="00303644" w:rsidRPr="00F171A3" w:rsidRDefault="00303644" w:rsidP="00303644">
      <w:r w:rsidRPr="00F171A3">
        <w:t xml:space="preserve">Această secțiune are ca scop evaluarea serviciilor culturale prezente la nivelul Sectorului 2, atât din perspectiva infrastructurii culturale existente, cât și cu privire la consumul cultural al locuitorilor și al turiștilor. Oferta culturală a </w:t>
      </w:r>
      <w:r w:rsidR="00DE36DE" w:rsidRPr="00F171A3">
        <w:t>m</w:t>
      </w:r>
      <w:r w:rsidRPr="00F171A3">
        <w:t xml:space="preserve">unicipiului București joacă un rol deosebit de important în definirea identității Capitalei României, fiind unul dintre principalii factori care contribuie la atractivitatea orașului atât pentru locuitori, cât și pentru vizitatori și inclusiv în contextul Sectorului 2, care alături de celelalte sectoare ale orașului contribuie la definirea acestei identități. În acest context diversitatea de dotări, spații, stiluri și activități reprezintă pe de-o parte un factor inedit care are potențialul de a fi exploatat prin varietatea ofertei culturale datorate eclectismului general al </w:t>
      </w:r>
      <w:r w:rsidR="00DE36DE" w:rsidRPr="00F171A3">
        <w:t>m</w:t>
      </w:r>
      <w:r w:rsidRPr="00F171A3">
        <w:t>unicipiului București, iar pe de altă parte poate fi privită drept un punct slab al orașului prin disparitățile care se conturează la nivel urban, prin concentrarea vieții culturale cu precădere în centrul orașului și prin slaba dezvoltare și valorificare a oportunităților prezente în zonele rezidențiale și periferice</w:t>
      </w:r>
      <w:r w:rsidRPr="00F171A3">
        <w:rPr>
          <w:vertAlign w:val="superscript"/>
        </w:rPr>
        <w:footnoteReference w:id="15"/>
      </w:r>
      <w:r w:rsidRPr="00F171A3">
        <w:t xml:space="preserve"> – lucru ce se aplică inclusiv la nivelul anumitor zone din Sectorul 2.</w:t>
      </w:r>
    </w:p>
    <w:p w14:paraId="4E1DF890" w14:textId="0C7D274E" w:rsidR="00303644" w:rsidRPr="00F171A3" w:rsidRDefault="00303644" w:rsidP="00303644">
      <w:r w:rsidRPr="00F171A3">
        <w:t xml:space="preserve">Din cauza faptului că aceste echipamente sunt concentrate excesiv în zona centrală a </w:t>
      </w:r>
      <w:r w:rsidR="00DE36DE" w:rsidRPr="00F171A3">
        <w:t>m</w:t>
      </w:r>
      <w:r w:rsidRPr="00F171A3">
        <w:t>unicipiului București (inclusiv o parte din Sectorul 2), există în prezent un deficit destul de mare în cartierele periferice ale orașului. De altfel, există un deficit de spații pentru diverse funcțiuni (de la spații de expunere / prezentare / difuzare, la ateliere, spații de producție, cercetare, laborator etc.) atât la nivelul Sectorului 2, cât și la nivelul întregului oraș. În plus, în lipsa unor investiții consecvente, multe dintre echipamentele existente sunt subdimensionate, improprii sau puțin atractive.</w:t>
      </w:r>
      <w:r w:rsidRPr="00F171A3">
        <w:rPr>
          <w:vertAlign w:val="superscript"/>
        </w:rPr>
        <w:footnoteReference w:id="16"/>
      </w:r>
    </w:p>
    <w:p w14:paraId="6ED59549" w14:textId="206929B7" w:rsidR="00303644" w:rsidRPr="00F171A3" w:rsidRDefault="00D44B8A" w:rsidP="00303644">
      <w:pPr>
        <w:keepNext/>
        <w:pBdr>
          <w:top w:val="nil"/>
          <w:left w:val="nil"/>
          <w:bottom w:val="nil"/>
          <w:right w:val="nil"/>
          <w:between w:val="nil"/>
        </w:pBdr>
        <w:rPr>
          <w:b/>
          <w:smallCaps/>
          <w:color w:val="134753"/>
        </w:rPr>
      </w:pPr>
      <w:r w:rsidRPr="00F171A3">
        <w:rPr>
          <w:b/>
          <w:smallCaps/>
          <w:color w:val="134753"/>
        </w:rPr>
        <w:t>INFRASTRUCTURA CULTURALĂ</w:t>
      </w:r>
    </w:p>
    <w:p w14:paraId="12CCFDB8" w14:textId="612CD7B0" w:rsidR="00303644" w:rsidRPr="00F171A3" w:rsidRDefault="00303644" w:rsidP="00303644">
      <w:r w:rsidRPr="00F171A3">
        <w:t xml:space="preserve">Aspectele referitoare la cultură și petrecerea timpului liber reprezintă elemente de plus valoare și un avantaj competitiv atât la nivel local, cât și în context mai extins acestea putând fi astfel valorificate pentru a atrage atenția și a spori notorietatea Sectorului 2 și a </w:t>
      </w:r>
      <w:r w:rsidR="00DE36DE" w:rsidRPr="00F171A3">
        <w:t>m</w:t>
      </w:r>
      <w:r w:rsidRPr="00F171A3">
        <w:t>unicipiului București. Cu toate acestea, studiile și strategiile realizate recent în domeniul cultural indică existența unor provocări majore în ceea ce privește distribuția spațială și capacitatea de deservire a locuitorilor, atractivitatea și vizibilitatea dotărilor sau starea, nivelul de echipare și provocările de finanțare.</w:t>
      </w:r>
      <w:r w:rsidRPr="00F171A3">
        <w:rPr>
          <w:vertAlign w:val="superscript"/>
        </w:rPr>
        <w:footnoteReference w:id="17"/>
      </w:r>
    </w:p>
    <w:p w14:paraId="5D2E3A68" w14:textId="77777777" w:rsidR="00303644" w:rsidRPr="00F171A3" w:rsidRDefault="00303644" w:rsidP="00303644">
      <w:r w:rsidRPr="00F171A3">
        <w:t xml:space="preserve">Printre </w:t>
      </w:r>
      <w:r w:rsidRPr="00F171A3">
        <w:rPr>
          <w:b/>
          <w:color w:val="3CA1BC"/>
        </w:rPr>
        <w:t>PRINCIPALELE DOTĂRI CULTURALE</w:t>
      </w:r>
      <w:r w:rsidRPr="00F171A3">
        <w:rPr>
          <w:color w:val="3CA1BC"/>
        </w:rPr>
        <w:t xml:space="preserve"> </w:t>
      </w:r>
      <w:r w:rsidRPr="00F171A3">
        <w:t>prezente în Sectorul 2 se regăsesc o serie de spații de interior și în aer liber care pot găzdui evenimente și manifestații culturale. Infrastructura culturală a Sectorului 2 cuprinde</w:t>
      </w:r>
      <w:r w:rsidRPr="00F171A3">
        <w:rPr>
          <w:vertAlign w:val="superscript"/>
        </w:rPr>
        <w:footnoteReference w:id="18"/>
      </w:r>
      <w:r w:rsidRPr="00F171A3">
        <w:t xml:space="preserve"> </w:t>
      </w:r>
      <w:r w:rsidRPr="00F171A3">
        <w:rPr>
          <w:vertAlign w:val="superscript"/>
        </w:rPr>
        <w:footnoteReference w:id="19"/>
      </w:r>
      <w:r w:rsidRPr="00F171A3">
        <w:t>:</w:t>
      </w:r>
    </w:p>
    <w:p w14:paraId="51839B52" w14:textId="77777777" w:rsidR="00303644" w:rsidRPr="00F171A3" w:rsidRDefault="00303644" w:rsidP="00303644">
      <w:r w:rsidRPr="00F171A3">
        <w:rPr>
          <w:b/>
          <w:color w:val="3CA1BC"/>
        </w:rPr>
        <w:t>TEATRE |</w:t>
      </w:r>
      <w:r w:rsidRPr="00F171A3">
        <w:rPr>
          <w:color w:val="3CA1BC"/>
        </w:rPr>
        <w:t xml:space="preserve"> </w:t>
      </w:r>
      <w:r w:rsidRPr="00F171A3">
        <w:t>Teatrul Bulandra – Sala Toma Caragiu, Teatrul de Artă București, Teatrul Metropolis, Teatrul Zurli, Teatrul în Culise, Teatrul Vienez de Copii, Teatrul Apropo, Cuibul Artiștilor, Teatrul Principal, Teatrul LUMIDA, Amfiteatrul Mihai Eminescu și Teatrul de Vară din Parcul Național, Circul de Stat.</w:t>
      </w:r>
    </w:p>
    <w:p w14:paraId="40EA7613" w14:textId="70FBFABF" w:rsidR="00303644" w:rsidRPr="00F171A3" w:rsidRDefault="00303644" w:rsidP="00303644">
      <w:r w:rsidRPr="00F171A3">
        <w:rPr>
          <w:b/>
          <w:color w:val="3CA1BC"/>
        </w:rPr>
        <w:t>MUZEE |</w:t>
      </w:r>
      <w:r w:rsidRPr="00F171A3">
        <w:rPr>
          <w:color w:val="3CA1BC"/>
        </w:rPr>
        <w:t xml:space="preserve"> </w:t>
      </w:r>
      <w:r w:rsidRPr="00F171A3">
        <w:t>Muzeul Național al Literaturii Române, Muzeul Național al Pompierilor, Green House Museum, Muzeul de Artă Modernă și Contemporană Pavel Susara, Muzeul Național al Aviației Române, Muzeul Theodor Pallady, Muzeul de Artă Vasile Grigore – pictor și colecționar, Memorialul Victimelor Comunismului și al Rezistenței – București, Muzeul pompierului în turn (Foișorul de Foc) și Colecția Muzeală a Episcopiei Armeano-Gregoriene.</w:t>
      </w:r>
    </w:p>
    <w:p w14:paraId="7DC09635" w14:textId="77777777" w:rsidR="00303644" w:rsidRPr="00F171A3" w:rsidRDefault="00303644" w:rsidP="00303644">
      <w:r w:rsidRPr="00F171A3">
        <w:rPr>
          <w:b/>
          <w:color w:val="3CA1BC"/>
        </w:rPr>
        <w:t>CINEMATOGRAFE |</w:t>
      </w:r>
      <w:r w:rsidRPr="00F171A3">
        <w:rPr>
          <w:color w:val="3CA1BC"/>
        </w:rPr>
        <w:t xml:space="preserve"> </w:t>
      </w:r>
      <w:r w:rsidRPr="00F171A3">
        <w:t>Cinema Elvire Popesco, Grădina cu Filme, Cinema Europa sau rețeaua de săli de cinema multiplex Cinema City din Mega Mall și Veranda Mall.</w:t>
      </w:r>
    </w:p>
    <w:p w14:paraId="604F7141" w14:textId="7B794777" w:rsidR="00303644" w:rsidRPr="00F171A3" w:rsidRDefault="00303644" w:rsidP="00303644">
      <w:r w:rsidRPr="00F171A3">
        <w:rPr>
          <w:b/>
          <w:color w:val="3CA1BC"/>
        </w:rPr>
        <w:t>INSTITUTE CULTURALE |</w:t>
      </w:r>
      <w:r w:rsidRPr="00F171A3">
        <w:t>Forumul cultural austriac, Institutul Francez din România, Fundația Löwendal.</w:t>
      </w:r>
    </w:p>
    <w:p w14:paraId="62B8AA25" w14:textId="77777777" w:rsidR="00303644" w:rsidRPr="00F171A3" w:rsidRDefault="00303644" w:rsidP="00303644">
      <w:r w:rsidRPr="00F171A3">
        <w:rPr>
          <w:b/>
          <w:color w:val="3CA1BC"/>
        </w:rPr>
        <w:t xml:space="preserve">GALERII DE ARTĂ | </w:t>
      </w:r>
      <w:r w:rsidRPr="00F171A3">
        <w:t>Galeria Dialog,</w:t>
      </w:r>
      <w:r w:rsidRPr="00F171A3">
        <w:rPr>
          <w:b/>
        </w:rPr>
        <w:t xml:space="preserve"> </w:t>
      </w:r>
      <w:r w:rsidRPr="00F171A3">
        <w:t>Galeria DADA, ARTERA, Carol Gallery, AiurART, Galeria Posibilă, Ara Art Galerie și Casa de Licitații, Anca Poterasu Gallery, Gold Art Gallery, seabam.art, Estopia Art Gallery, Adina Enciu Art Gallery, Suprainfinit Gallery, Galeria Basil, LABORNA Contemporary Art Gallery, Make a Point, Galeria de artă Alchemia, Point Contemporary, Ivan Gallery, Galerie de Arta Digitala București - Galeria 115, Galeria Dialog, Streetwise Gallery, 80east, Atelier Buleu, Celula de Artă etc.</w:t>
      </w:r>
    </w:p>
    <w:p w14:paraId="61643DFB" w14:textId="77777777" w:rsidR="00303644" w:rsidRPr="00F171A3" w:rsidRDefault="00303644" w:rsidP="00303644">
      <w:r w:rsidRPr="00F171A3">
        <w:rPr>
          <w:b/>
          <w:color w:val="3CA1BC"/>
        </w:rPr>
        <w:t>BIBLIOTECI |</w:t>
      </w:r>
      <w:r w:rsidRPr="00F171A3">
        <w:rPr>
          <w:color w:val="3CA1BC"/>
        </w:rPr>
        <w:t xml:space="preserve"> </w:t>
      </w:r>
      <w:r w:rsidRPr="00F171A3">
        <w:t>Biblioteca Metropolitană București – Filiala Lucian Blaga, Filiala Dimitrie Cantemir, Filiala Panait Istrati, Filiala Alexandru Odobescu, Filiala Costache Negruzzi, Sediul Central Mihail Sadoveanu, Filiala Elena Văcărescu, Arcadia 2000 și Artoteca BMB, la care se adaugă și bibliotecile din instituțiile de învățământ (dar care nu sunt întotdeauna accesibile publicului).</w:t>
      </w:r>
    </w:p>
    <w:p w14:paraId="5DAABFA4" w14:textId="77777777" w:rsidR="00303644" w:rsidRPr="00F171A3" w:rsidRDefault="00303644" w:rsidP="00303644">
      <w:r w:rsidRPr="00F171A3">
        <w:rPr>
          <w:b/>
          <w:color w:val="3CA1BC"/>
        </w:rPr>
        <w:t>CENTRE CULTURALE |</w:t>
      </w:r>
      <w:r w:rsidRPr="00F171A3">
        <w:rPr>
          <w:color w:val="3CA1BC"/>
        </w:rPr>
        <w:t xml:space="preserve"> </w:t>
      </w:r>
      <w:r w:rsidRPr="00F171A3">
        <w:t>Casa de Cultură Friedrich Schiller, Centrul Cultural Turc "Yunus Emre", Centul Cultural UNESCO "Mihai Eminescu" (instituție publică de cultură sub autoritatea Consiliului Local Sector 2), Centrul Socio-Cultural Jean-Louis Calderon (serviciu al Primăriei Sectorului 2), Centrul Cultural al Republicii Ungare, Creart – Centrul de Creație, Artă și Tradiție, Clubul Copiilor Mihai Eminescu și Clubul Seniorilor Mihai Eminescu.</w:t>
      </w:r>
    </w:p>
    <w:p w14:paraId="7A86E146" w14:textId="77777777" w:rsidR="00303644" w:rsidRPr="00F171A3" w:rsidRDefault="00303644" w:rsidP="00303644">
      <w:r w:rsidRPr="00F171A3">
        <w:rPr>
          <w:b/>
          <w:color w:val="3CA1BC"/>
        </w:rPr>
        <w:t>LIBRĂRII |</w:t>
      </w:r>
      <w:r w:rsidRPr="00F171A3">
        <w:rPr>
          <w:color w:val="3CA1BC"/>
        </w:rPr>
        <w:t xml:space="preserve"> </w:t>
      </w:r>
      <w:r w:rsidRPr="00F171A3">
        <w:t>Sola Scriptura, Librăriile CLB, Librăria Mihaela, Librarium, Cărturești, Librăria Părintele Galeriu.</w:t>
      </w:r>
    </w:p>
    <w:p w14:paraId="237D2D72" w14:textId="77777777" w:rsidR="00303644" w:rsidRPr="00F171A3" w:rsidRDefault="00303644" w:rsidP="00303644">
      <w:r w:rsidRPr="00F171A3">
        <w:t xml:space="preserve">Se constată faptul că majoritatea dotărilor culturale și de petrecere a timpului liber se concentrează în zona central-istorică a orașului, în special atracțiile reprezentative precum teatrele, muzeele și bibliotecile și oferă posibilitatea pentru administrație și actorii locali de a dezvolta infrastructura de servicii și a ofertei culturale pentru producție și consum cultural de proximitate. </w:t>
      </w:r>
    </w:p>
    <w:p w14:paraId="1445415D" w14:textId="1B6E40DB" w:rsidR="00303644" w:rsidRPr="00F171A3" w:rsidRDefault="00303644" w:rsidP="00303644">
      <w:r w:rsidRPr="00F171A3">
        <w:t xml:space="preserve">Distribuția spațială a infrastructurii culturale indică și de această dată un dezechilibru între zona centrală și celelalte zone rezidențiale din Sectorul 2.  Principalele echipamente care se regăsesc în aceste zone sunt anumite filiale ale Bibliotecii Metropolitane București, muzee și case memoriale administrate de Muzeul </w:t>
      </w:r>
      <w:r w:rsidR="00DE36DE" w:rsidRPr="00F171A3">
        <w:t>m</w:t>
      </w:r>
      <w:r w:rsidRPr="00F171A3">
        <w:t>unicipiului București sau cinematografe ce se regăsesc în cadrul centrelor comerciale de pe teritoriul orașului. În acest context, se remarcă zone întinse fără acces facil la dotări culturale Sectorul 2 fiind printre cele cu cele mai puține echipamente culturale în afara inelului central.</w:t>
      </w:r>
    </w:p>
    <w:p w14:paraId="3FE9432F" w14:textId="77777777" w:rsidR="00303644" w:rsidRPr="00F171A3" w:rsidRDefault="00303644" w:rsidP="00303644"/>
    <w:p w14:paraId="6BC90CD0" w14:textId="06D31797" w:rsidR="00303644" w:rsidRPr="00E9298E" w:rsidRDefault="00303644" w:rsidP="00E9298E">
      <w:pPr>
        <w:pStyle w:val="Caption"/>
      </w:pPr>
      <w:bookmarkStart w:id="124" w:name="_heading=h.1opuj5n" w:colFirst="0" w:colLast="0"/>
      <w:bookmarkStart w:id="125" w:name="_Toc115268546"/>
      <w:bookmarkStart w:id="126" w:name="_Toc127198027"/>
      <w:bookmarkEnd w:id="124"/>
      <w:r w:rsidRPr="00E9298E">
        <w:t xml:space="preserve">Figura </w:t>
      </w:r>
      <w:r w:rsidRPr="00E9298E">
        <w:fldChar w:fldCharType="begin"/>
      </w:r>
      <w:r w:rsidRPr="00E9298E">
        <w:instrText xml:space="preserve"> SEQ Figura \* ARABIC </w:instrText>
      </w:r>
      <w:r w:rsidRPr="00E9298E">
        <w:fldChar w:fldCharType="separate"/>
      </w:r>
      <w:r w:rsidR="005A6DD8">
        <w:rPr>
          <w:noProof/>
        </w:rPr>
        <w:t>39</w:t>
      </w:r>
      <w:r w:rsidRPr="00E9298E">
        <w:fldChar w:fldCharType="end"/>
      </w:r>
      <w:r w:rsidRPr="00E9298E">
        <w:t xml:space="preserve"> </w:t>
      </w:r>
      <w:r w:rsidR="00E9298E" w:rsidRPr="00E9298E">
        <w:t>distribuția spațială a infrastructurii culturale pe teritoriul sectorului 2</w:t>
      </w:r>
      <w:bookmarkEnd w:id="125"/>
      <w:bookmarkEnd w:id="126"/>
    </w:p>
    <w:p w14:paraId="1AFD89CA" w14:textId="77777777" w:rsidR="00303644" w:rsidRPr="00F171A3" w:rsidRDefault="00303644" w:rsidP="00303644">
      <w:pPr>
        <w:rPr>
          <w:i/>
        </w:rPr>
      </w:pPr>
      <w:r w:rsidRPr="00F171A3">
        <w:rPr>
          <w:i/>
          <w:noProof/>
        </w:rPr>
        <w:drawing>
          <wp:inline distT="0" distB="0" distL="0" distR="0" wp14:anchorId="7338DD6E" wp14:editId="6793BFFE">
            <wp:extent cx="5996940" cy="8382000"/>
            <wp:effectExtent l="0" t="0" r="3810" b="0"/>
            <wp:docPr id="2574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rotWithShape="1">
                    <a:blip r:embed="rId76"/>
                    <a:srcRect b="1079"/>
                    <a:stretch/>
                  </pic:blipFill>
                  <pic:spPr bwMode="auto">
                    <a:xfrm>
                      <a:off x="0" y="0"/>
                      <a:ext cx="5996940" cy="8382000"/>
                    </a:xfrm>
                    <a:prstGeom prst="rect">
                      <a:avLst/>
                    </a:prstGeom>
                    <a:ln>
                      <a:noFill/>
                    </a:ln>
                    <a:extLst>
                      <a:ext uri="{53640926-AAD7-44D8-BBD7-CCE9431645EC}">
                        <a14:shadowObscured xmlns:a14="http://schemas.microsoft.com/office/drawing/2010/main"/>
                      </a:ext>
                    </a:extLst>
                  </pic:spPr>
                </pic:pic>
              </a:graphicData>
            </a:graphic>
          </wp:inline>
        </w:drawing>
      </w:r>
    </w:p>
    <w:p w14:paraId="0B9BD889" w14:textId="77777777" w:rsidR="00303644" w:rsidRPr="00F171A3" w:rsidRDefault="00303644" w:rsidP="00FF6C80">
      <w:pPr>
        <w:jc w:val="right"/>
        <w:rPr>
          <w:color w:val="BFBFBF" w:themeColor="background1" w:themeShade="BF"/>
        </w:rPr>
      </w:pPr>
      <w:r w:rsidRPr="00F171A3">
        <w:rPr>
          <w:color w:val="BFBFBF" w:themeColor="background1" w:themeShade="BF"/>
        </w:rPr>
        <w:t>Sursa: Cartare Google Maps</w:t>
      </w:r>
    </w:p>
    <w:p w14:paraId="74CEC48D" w14:textId="77777777" w:rsidR="00303644" w:rsidRPr="00F171A3" w:rsidRDefault="00303644" w:rsidP="00303644">
      <w:r w:rsidRPr="00F171A3">
        <w:t xml:space="preserve">Bucureștiul și în special Sectorul 2, dispune de foarte puține spații gazdă pentru evenimente culturale, având câteva echipamente mari consacrate precum Arena Națională, Creart – Centrul de Creație, Artă și Tradiție, Complexul Cultural Sportiv Studențesc Tei, teatre, galerii și cluburi private, în marea lor majoritate de mici dimensiuni, care funcționează într-o bună măsură ca spații gazdă. Spațiile instituțiilor publice de spectacole, sau cele ale muzeelor sunt folosite ocazional pentru a găzdui alte evenimente, în cadrul unor festivaluri proprii sau pe baza unor contracte de parteneriat sau închiriere. Pe lângă acestea, locuitorii Sectorului 2 mai pot avea acces și la infrastructura culturală din oraș, cum ar fi: Sala Palatului, Sala Polivalentă și Pavilionul de Expoziții Romexpo, Palatul Național al Copiilor, Opera Națională, Sala Radio, Arenele Romane sau spații multifuncționale de dimensiune medie precum The Ark și Hanul Gabroveni al ARCUB etc., care vin în completarea celor menționate anterior. </w:t>
      </w:r>
    </w:p>
    <w:p w14:paraId="3B574BAF" w14:textId="77777777" w:rsidR="00303644" w:rsidRPr="00F171A3" w:rsidRDefault="00303644" w:rsidP="00303644">
      <w:r w:rsidRPr="00F171A3">
        <w:t>Există astfel o nevoie și o necesitate pentru o mai mare diversitate de spații gazdă de diverse dimensiuni care să permită o ofertă diversă de evenimente, de la spectacole și concerte, la expoziții sau târguri, produse de companii și inițiative private care nu dispun de spații proprii, și care să găzduiască în mod constant și acțiuni mai importante din țară sau din străinătate.</w:t>
      </w:r>
    </w:p>
    <w:p w14:paraId="450C328A" w14:textId="599CDD10" w:rsidR="00303644" w:rsidRPr="00F171A3" w:rsidRDefault="00303644" w:rsidP="00303644">
      <w:r w:rsidRPr="00F171A3">
        <w:t xml:space="preserve">Având în vedere necesitatea diversificării ofertei culturale, un factor important îl reprezintă spațiile abandonate cu potențial de revitalizare, care pot fi transformate în spații dedicate activităților socio-culturale. </w:t>
      </w:r>
      <w:bookmarkStart w:id="127" w:name="_heading=h.48pi1tg" w:colFirst="0" w:colLast="0"/>
      <w:bookmarkEnd w:id="127"/>
    </w:p>
    <w:p w14:paraId="7FFBBE42" w14:textId="46B9AF8F" w:rsidR="00303644" w:rsidRPr="00F171A3" w:rsidRDefault="00303644" w:rsidP="00303644">
      <w:pPr>
        <w:pStyle w:val="Caption"/>
      </w:pPr>
      <w:bookmarkStart w:id="128" w:name="_Toc115268547"/>
      <w:bookmarkStart w:id="129" w:name="_Toc127198028"/>
      <w:r w:rsidRPr="00F171A3">
        <w:t xml:space="preserve">Figura </w:t>
      </w:r>
      <w:r w:rsidRPr="00F171A3">
        <w:fldChar w:fldCharType="begin"/>
      </w:r>
      <w:r w:rsidRPr="00F171A3">
        <w:instrText xml:space="preserve"> SEQ Figura \* ARABIC </w:instrText>
      </w:r>
      <w:r w:rsidRPr="00F171A3">
        <w:fldChar w:fldCharType="separate"/>
      </w:r>
      <w:r w:rsidR="005A6DD8">
        <w:rPr>
          <w:noProof/>
        </w:rPr>
        <w:t>40</w:t>
      </w:r>
      <w:r w:rsidRPr="00F171A3">
        <w:fldChar w:fldCharType="end"/>
      </w:r>
      <w:r w:rsidRPr="00F171A3">
        <w:t xml:space="preserve"> Spațiile nefolosite din Municipiul București cu potențial de activare culturală, la nivelul anului 2015</w:t>
      </w:r>
      <w:bookmarkEnd w:id="128"/>
      <w:bookmarkEnd w:id="129"/>
    </w:p>
    <w:p w14:paraId="77BED9EB" w14:textId="77777777" w:rsidR="00303644" w:rsidRPr="00F171A3" w:rsidRDefault="00303644" w:rsidP="00303644">
      <w:r w:rsidRPr="00F171A3">
        <w:rPr>
          <w:noProof/>
        </w:rPr>
        <w:drawing>
          <wp:inline distT="0" distB="0" distL="0" distR="0" wp14:anchorId="2A395701" wp14:editId="74CB9222">
            <wp:extent cx="5948283" cy="4200929"/>
            <wp:effectExtent l="0" t="0" r="0" b="0"/>
            <wp:docPr id="2574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7"/>
                    <a:srcRect/>
                    <a:stretch>
                      <a:fillRect/>
                    </a:stretch>
                  </pic:blipFill>
                  <pic:spPr>
                    <a:xfrm>
                      <a:off x="0" y="0"/>
                      <a:ext cx="5948283" cy="4200929"/>
                    </a:xfrm>
                    <a:prstGeom prst="rect">
                      <a:avLst/>
                    </a:prstGeom>
                    <a:ln/>
                  </pic:spPr>
                </pic:pic>
              </a:graphicData>
            </a:graphic>
          </wp:inline>
        </w:drawing>
      </w:r>
    </w:p>
    <w:p w14:paraId="6FBAF498" w14:textId="6B9B96A3" w:rsidR="00303644" w:rsidRPr="00F171A3" w:rsidRDefault="00303644" w:rsidP="00FF6C80">
      <w:pPr>
        <w:jc w:val="right"/>
        <w:rPr>
          <w:color w:val="BFBFBF" w:themeColor="background1" w:themeShade="BF"/>
        </w:rPr>
      </w:pPr>
      <w:r w:rsidRPr="00F171A3">
        <w:rPr>
          <w:color w:val="BFBFBF" w:themeColor="background1" w:themeShade="BF"/>
        </w:rPr>
        <w:t xml:space="preserve">Sursa: Strategia Culturală a Municipiului București 2016-2016, pe baza studiului privind Cartarea infrastructurii la nivelul </w:t>
      </w:r>
      <w:r w:rsidR="00DE36DE" w:rsidRPr="00F171A3">
        <w:rPr>
          <w:color w:val="BFBFBF" w:themeColor="background1" w:themeShade="BF"/>
        </w:rPr>
        <w:t>m</w:t>
      </w:r>
      <w:r w:rsidRPr="00F171A3">
        <w:rPr>
          <w:color w:val="BFBFBF" w:themeColor="background1" w:themeShade="BF"/>
        </w:rPr>
        <w:t>unicipiului București – Spații potențiale pentru activități culturale/ creative, realizat de Universitatea de Arhitectură „Ion Mincu” – Centrul de Cercetare, Proiectare, Expertiză și Consultanță București</w:t>
      </w:r>
    </w:p>
    <w:p w14:paraId="72465E88" w14:textId="4868D509" w:rsidR="00303644" w:rsidRPr="00F171A3" w:rsidRDefault="00303644" w:rsidP="00303644">
      <w:r w:rsidRPr="00F171A3">
        <w:t xml:space="preserve">Se poate observa astfel că la nivelul </w:t>
      </w:r>
      <w:r w:rsidR="00DE36DE" w:rsidRPr="00F171A3">
        <w:t>m</w:t>
      </w:r>
      <w:r w:rsidRPr="00F171A3">
        <w:t>unicipiului București există în acest moment o cartare a spațiilor potențiale pentru activități culturale / creative. În cazul studiului au fost cartate peste 400 de spații abandonate și se poate vedea o detaliere a acestora pe fiecare sector.  Trebuie menționat totuși faptul că studiul a fost realizat la nivelul anului 2015 și necesită în acest moment o actualizare.</w:t>
      </w:r>
    </w:p>
    <w:p w14:paraId="10A5763A" w14:textId="77777777" w:rsidR="00303644" w:rsidRPr="00F171A3" w:rsidRDefault="00303644" w:rsidP="00303644">
      <w:r w:rsidRPr="00F171A3">
        <w:t>Acestea reprezintă o resursă valoroasă la nivelul Sectorului 2, acesta dispunând atât de spații abandonate precum foste instituții de învățământ sau sănătate, foste cinematografe (precum cinema Cosmos), spații deschise neutilizate de dimensiuni reduse sau terenuri virane, foste spații industriale (precum fosta fabrică de trăsuri, care ar putea fi transformată într-un centru comunitar sau Moara lui Asan) sau zona Gării Obor (care ar putea beneficia în viitor de investiții de amenajarea unui parc liniar, a unui spațiu public la Gara de Est, reabilitarea acesteia și amenajarea unui Muzeu CFR). În același context, Muzeul Aviației se află în acest moment într-un amplu proces de reabilitare, alături de clădirile de patrimoniu pe care acesta le deține. Se dorește de asemenea realizarea unei operațiuni de amenajare a parcului din cadrul muzeului pentru a putea fi deschis publicului.</w:t>
      </w:r>
      <w:r w:rsidRPr="00F171A3">
        <w:rPr>
          <w:rStyle w:val="FootnoteReference"/>
        </w:rPr>
        <w:footnoteReference w:id="20"/>
      </w:r>
    </w:p>
    <w:p w14:paraId="36B55B6C" w14:textId="77777777" w:rsidR="00303644" w:rsidRPr="00F171A3" w:rsidRDefault="00303644" w:rsidP="00303644">
      <w:r w:rsidRPr="00F171A3">
        <w:t>O atenție deosebită trebuie însă acordată lucrărilor de amenajare pentru a transforma aceste spații în stare avansată de degradare în spații sigure și atractive pentru viitorii utilizatori. În București, există deja mai multe spații care au fost regândite ca noduri culturale, unde se desfășoară activități artistice, în general, inițiate de diverse asociații sau organizații neguvernamentale. Astfel de spații sunt, de cele mai multe ori, foste case sau conace și se află în zona centrală – Dianei 4, Carol 53, Interfon 77 și Artskul, unde activitățile preponderente sunt evenimentele muzicale, lansări de carte, piese de teatru, vernisaje, cursuri și workshop-uri, însă au existat și proiecte mai mari cum sunt transformarea fostelor fabrici și hale – Fabrica de ciorapi, devenită club Fabrica și B52, fostul restaurant Berlin, devenit club Control, dar și în centre de creație, ca fabrica Industria Bumbacului, devenită Nod Makerspace sau fabrica Flaros, devenită Working Art Space and Production.</w:t>
      </w:r>
    </w:p>
    <w:p w14:paraId="66811B98" w14:textId="77777777" w:rsidR="00303644" w:rsidRPr="00F171A3" w:rsidRDefault="00303644" w:rsidP="00303644">
      <w:pPr>
        <w:keepNext/>
        <w:pBdr>
          <w:top w:val="nil"/>
          <w:left w:val="nil"/>
          <w:bottom w:val="nil"/>
          <w:right w:val="nil"/>
          <w:between w:val="nil"/>
        </w:pBdr>
        <w:rPr>
          <w:b/>
          <w:smallCaps/>
          <w:color w:val="134753"/>
        </w:rPr>
      </w:pPr>
    </w:p>
    <w:p w14:paraId="020C7C80" w14:textId="236393FB" w:rsidR="00303644" w:rsidRPr="00F171A3" w:rsidRDefault="00D44B8A" w:rsidP="00303644">
      <w:pPr>
        <w:keepNext/>
        <w:pBdr>
          <w:top w:val="nil"/>
          <w:left w:val="nil"/>
          <w:bottom w:val="nil"/>
          <w:right w:val="nil"/>
          <w:between w:val="nil"/>
        </w:pBdr>
        <w:rPr>
          <w:b/>
          <w:smallCaps/>
          <w:color w:val="134753"/>
        </w:rPr>
      </w:pPr>
      <w:r w:rsidRPr="00F171A3">
        <w:rPr>
          <w:b/>
          <w:smallCaps/>
          <w:color w:val="134753"/>
        </w:rPr>
        <w:t>VIAȚA ȘI AGENDA CULTURALĂ</w:t>
      </w:r>
    </w:p>
    <w:p w14:paraId="3410EBA7" w14:textId="77777777" w:rsidR="00303644" w:rsidRPr="00F171A3" w:rsidRDefault="00303644" w:rsidP="00303644">
      <w:r w:rsidRPr="00F171A3">
        <w:t>Vitalitatea culturală a unui oraș indică gradul de utilizare a infrastructurii culturale, oferta de activități culturale, interesul, precum și nivelul de implicare a populației și vizitatorilor în viața culturală a orașului respectiv. Indicii de vitalitate culturală în acest context reflectă infrastructura culturală, participarea culturală, cheltuielile bugetare alocate sectorului cultural, resursele umane specializate și industriile creative, precum și așteptările și motivațiile utilizatorilor.</w:t>
      </w:r>
    </w:p>
    <w:p w14:paraId="082D4582" w14:textId="77777777" w:rsidR="00303644" w:rsidRPr="00F171A3" w:rsidRDefault="00303644" w:rsidP="00303644">
      <w:r w:rsidRPr="00F171A3">
        <w:t>O privire de ansamblu asupra evoluției numărului de utilizatori ai principalelor tipologii de infrastructură culturală din Capitală redă tendințele generale de consum cultural ce includ atât locuitorii, cât și vizitatorii orașului și poate inclusiv să ne ofere o idee de ansamblu a ceea ce se întâmplă inclusiv la nivelul Sectorului 2. Deși trendul general în intervalul 2016-2019 a fost de creștere a numărului total de utilizatori cu 30,41%, acest lucru s-a produs diferențiat în funcție de categoriile de dotări vizate.</w:t>
      </w:r>
    </w:p>
    <w:p w14:paraId="0EAFF37F" w14:textId="4E863C7F" w:rsidR="00303644" w:rsidRPr="00F171A3" w:rsidRDefault="00303644" w:rsidP="00303644">
      <w:pPr>
        <w:pStyle w:val="Caption"/>
      </w:pPr>
      <w:bookmarkStart w:id="130" w:name="_heading=h.2nusc19" w:colFirst="0" w:colLast="0"/>
      <w:bookmarkStart w:id="131" w:name="_Toc115268548"/>
      <w:bookmarkStart w:id="132" w:name="_Toc127198029"/>
      <w:bookmarkEnd w:id="130"/>
      <w:r w:rsidRPr="00F171A3">
        <w:t xml:space="preserve">Figura </w:t>
      </w:r>
      <w:r w:rsidRPr="00F171A3">
        <w:fldChar w:fldCharType="begin"/>
      </w:r>
      <w:r w:rsidRPr="00F171A3">
        <w:instrText xml:space="preserve"> SEQ Figura \* ARABIC </w:instrText>
      </w:r>
      <w:r w:rsidRPr="00F171A3">
        <w:fldChar w:fldCharType="separate"/>
      </w:r>
      <w:r w:rsidR="005A6DD8">
        <w:rPr>
          <w:noProof/>
        </w:rPr>
        <w:t>41</w:t>
      </w:r>
      <w:r w:rsidRPr="00F171A3">
        <w:fldChar w:fldCharType="end"/>
      </w:r>
      <w:r w:rsidRPr="00F171A3">
        <w:t xml:space="preserve"> Evoluția consumului cultural în Municipiul București în perioada 2016-2020, număr de persoane</w:t>
      </w:r>
      <w:bookmarkEnd w:id="131"/>
      <w:bookmarkEnd w:id="132"/>
    </w:p>
    <w:p w14:paraId="0F1D15CC" w14:textId="77777777" w:rsidR="00303644" w:rsidRPr="00F171A3" w:rsidRDefault="00303644" w:rsidP="00303644">
      <w:r w:rsidRPr="00F171A3">
        <w:rPr>
          <w:noProof/>
        </w:rPr>
        <w:drawing>
          <wp:inline distT="0" distB="0" distL="0" distR="0" wp14:anchorId="40B21B36" wp14:editId="0BCAC003">
            <wp:extent cx="5998210" cy="3562350"/>
            <wp:effectExtent l="0" t="0" r="0" b="0"/>
            <wp:docPr id="94" name="Diagramă 256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9D9F199" w14:textId="77777777" w:rsidR="00303644" w:rsidRPr="00F171A3" w:rsidRDefault="00303644" w:rsidP="00FF6C80">
      <w:pPr>
        <w:jc w:val="right"/>
        <w:rPr>
          <w:color w:val="BFBFBF" w:themeColor="background1" w:themeShade="BF"/>
        </w:rPr>
      </w:pPr>
      <w:r w:rsidRPr="00F171A3">
        <w:rPr>
          <w:color w:val="BFBFBF" w:themeColor="background1" w:themeShade="BF"/>
        </w:rPr>
        <w:t>Sursa: Baza de date INS TEMPO</w:t>
      </w:r>
    </w:p>
    <w:p w14:paraId="69166727" w14:textId="77777777" w:rsidR="00303644" w:rsidRPr="00F171A3" w:rsidRDefault="00303644" w:rsidP="00303644">
      <w:r w:rsidRPr="00F171A3">
        <w:t>Această creștere este datorată în special interesului crescut al vizitatorilor în muzee și colecții publice, fiind înregistrată o creștere de 35,17% în anul 2019, respectiv cu aproape 595.000 de mii de participanți mai mulți în perioada 2014-2019. În același timp, se înregistrează o creștere și în cazul spectatorilor la reprezentanții artistice, fiind cu 27,25% mai mulți spectatori în anul 2019, față de anul 2016. Pentru perioada 2020 se observă o scădere drastică din punct de vedere al consumului cultural, lucru datorat faptului că aproape toată perioada anului 2020, teatrele, muzeele și alte echipamente culturale au fost închise, iar accesul publicului la astfel de evenimente a fost restricționat sau limitat.</w:t>
      </w:r>
    </w:p>
    <w:p w14:paraId="1B802494" w14:textId="77777777" w:rsidR="00303644" w:rsidRPr="00F171A3" w:rsidRDefault="00303644" w:rsidP="00303644">
      <w:r w:rsidRPr="00F171A3">
        <w:t xml:space="preserve">Cu toate acestea, numărul cititorilor activi la biblioteci înregistrează o creștere ușoară la nivelul anului 2019, însă o scădere per total la nivelul perioadei 2016-2020 de aproximativ -5,06%, valoare care demonstrează atractivitatea din ce în ce mai scăzută a acestor echipamente. </w:t>
      </w:r>
    </w:p>
    <w:p w14:paraId="1E07FA57" w14:textId="77777777" w:rsidR="00303644" w:rsidRPr="00F171A3" w:rsidRDefault="00303644" w:rsidP="00303644">
      <w:r w:rsidRPr="00F171A3">
        <w:t>De asemenea, principala sursă de consum cultural și de divertisment preferată de public este și cea din mediul online, de pe rețelele de streaming unde aceștia pot avea acces la o serie de spectacole înregistrate, piese de teatru, concerte sau balet, precum și televizorul și/sau radio-ul. Mai mult, pentru anul 2020, având în vedere că mai bine de jumătate de an, cinematografele și teatrele au fost închise, oamenii au petrecut mai mult timp acasă, în fața televizorului, citind sau ascultând muzică.</w:t>
      </w:r>
    </w:p>
    <w:p w14:paraId="331B9467" w14:textId="35086B98" w:rsidR="00303644" w:rsidRPr="00F171A3" w:rsidRDefault="00303644" w:rsidP="00303644">
      <w:r w:rsidRPr="00F171A3">
        <w:t>Parcurile (precum Parcul Creangă din cartierul Ion Creangă, Parcul Ioanid, Parcul Obor, Grădina Icoanei, Cinema Floreasca, Tei, Păsărari, Ciurea, Parcul Național, Parcul Morarilor, Plumbuita etc.)  și mall-urile sunt însă principalele atracții de proximitate și sunt pe primul, respectiv al doilea loc ca frecventare a unor echipamente publice la nivelul întregului oraș.</w:t>
      </w:r>
      <w:r w:rsidRPr="00F171A3">
        <w:rPr>
          <w:vertAlign w:val="superscript"/>
        </w:rPr>
        <w:footnoteReference w:id="21"/>
      </w:r>
      <w:r w:rsidRPr="00F171A3">
        <w:t xml:space="preserve"> În general, mersul la mall este o activitate frecventă mai ales în jumătatea sudică a </w:t>
      </w:r>
      <w:r w:rsidR="00DE36DE" w:rsidRPr="00F171A3">
        <w:t>m</w:t>
      </w:r>
      <w:r w:rsidRPr="00F171A3">
        <w:t>unicipiului București, în afara centrului, unde echipamentele culturale, și în general echipamentele publice (inclusiv infrastructura de socializare), sunt mai rare iar mall-urile mai dese și în proximitate, în timp ce plimbatul pe stradă este o activitate frecventă mai ales în jumătatea nordică (inclusiv Sectorul 2), unde spațiile publice precum cele din zona Parcului Circului, Obor, străzi din Cartierul Armenesc, zona Tei sau străzile din carterele de pe lângă parcuri și zonele mai centrale, sunt mai atractive – aici putem menționa Veranda Mall, Mega Mall sau Complexul Bucur Obor.</w:t>
      </w:r>
    </w:p>
    <w:p w14:paraId="4419011E" w14:textId="77777777" w:rsidR="00303644" w:rsidRPr="00F171A3" w:rsidRDefault="00303644" w:rsidP="00303644">
      <w:r w:rsidRPr="00F171A3">
        <w:t>Cu privire la nivelul de satisfacție al bucureștenilor față de evenimentele culturale locale, aceștia sunt mai curând mulțumiți decât nemulțumiți, în special de evenimentele în instituțiile publice de cultură. Cu toate acestea, indiferent de natura activităților, cea mai mare parte a locuitorilor Capitalei au o atitudine neutră cu privire la acestea, aceștia putând fi primii care să fie atrași de o ofertă culturală mai dezvoltată, mai diversificată sau mai bine promovată.</w:t>
      </w:r>
      <w:r w:rsidRPr="00F171A3">
        <w:rPr>
          <w:vertAlign w:val="superscript"/>
        </w:rPr>
        <w:footnoteReference w:id="22"/>
      </w:r>
    </w:p>
    <w:p w14:paraId="0E4CC39A" w14:textId="77777777" w:rsidR="00303644" w:rsidRPr="00F171A3" w:rsidRDefault="00303644" w:rsidP="00303644">
      <w:r w:rsidRPr="00F171A3">
        <w:t xml:space="preserve">În ceea ce privește vitalitatea culturală a unui oraș, aceasta este redată și de efervescența vieții culturale, </w:t>
      </w:r>
      <w:r w:rsidRPr="00F171A3">
        <w:rPr>
          <w:b/>
          <w:color w:val="3CA1BC"/>
        </w:rPr>
        <w:t>OFERTA DE EVENIMENTE ȘI ACTIVITĂȚI CULTURALE</w:t>
      </w:r>
      <w:r w:rsidRPr="00F171A3">
        <w:rPr>
          <w:color w:val="3CA1BC"/>
        </w:rPr>
        <w:t xml:space="preserve"> </w:t>
      </w:r>
      <w:r w:rsidRPr="00F171A3">
        <w:t>fiind definitorie în acest sens. Municipiul București poate fi caracterizat drept un oraș vibrant, în care întotdeauna se întâmplă numeroase evenimente fie că este vorba despre activități culturale clasice precum piese de teatru, expoziții, concerte de operă, lansări de carte etc., fie că este vorba despre inițiative inedite precum festivaluri, concerte, conferințe sau evenimente recurente de tipul tururilor ghidate sau vânători de comori.</w:t>
      </w:r>
      <w:r w:rsidRPr="00F171A3">
        <w:rPr>
          <w:vertAlign w:val="superscript"/>
        </w:rPr>
        <w:footnoteReference w:id="23"/>
      </w:r>
    </w:p>
    <w:p w14:paraId="31F8AD68" w14:textId="77777777" w:rsidR="00303644" w:rsidRPr="00F171A3" w:rsidRDefault="00303644" w:rsidP="00303644">
      <w:r w:rsidRPr="00F171A3">
        <w:t>Cu toate acestea, 41,5% din respondenții</w:t>
      </w:r>
      <w:r w:rsidRPr="00F171A3">
        <w:rPr>
          <w:rStyle w:val="FootnoteReference"/>
        </w:rPr>
        <w:footnoteReference w:id="24"/>
      </w:r>
      <w:r w:rsidRPr="00F171A3">
        <w:t xml:space="preserve"> la sondajul realizat pentru elaborarea prezentei strategii descriu viața culturală din Sectorul 2 ca fiind în cea mai mare măsură moderată, 33,4% dintre aceștia o consideră puțin activă și 17,1% foarte puțin activă. Viața culturală din Sectorul 2 este caracterizată ca fiind activă și foarte activă de doar 7,9% dintre respondenți.</w:t>
      </w:r>
    </w:p>
    <w:p w14:paraId="2C214D0B" w14:textId="77777777" w:rsidR="00303644" w:rsidRPr="00F171A3" w:rsidRDefault="00303644" w:rsidP="00303644">
      <w:r w:rsidRPr="00F171A3">
        <w:t>Instituțiile culturale majore din Sectorul 2 – precum Teatrul de Artă București, Teatrul Metropolis, Cuibul Artiștilor, Muzeul Național al Literaturii Române, Muzeul Colecțiilor de Artă, Muzeul de Artă Modernă și Contemporană Pavel Susara, Cinema Elvire Popesco, Biblioteca Metropolitană București, Centrul Socio-Cultural Jean-Louis Calderon sau Centul Cultural UNESCO "Mihai Eminescu" sunt foarte importante atât prin activitatea permanentă, cât și prin faptul că derulează o serie de proiecte cu impact sau potențial cultural ridicat. În acest sens, se remarcă evenimentele culturale de teatru sau de film desfășurate la Cinema Elvire Popesco, Centrul Socio-Cultural Jean-Louis Calderon, Teatrul Metropolis sau Cuibul Artiștilor, precum și o serie de evenimente de lansări de carte, expoziții și de promovare a tinerilor artiști la nivelul celorlalte instituții. Mai mult, acestea reprezintă un partener stabil și de încredere, cu personal calificat și cu experiență, capabil de a se implica în acțiuni de studiere, interpretare și promovare a culturii.</w:t>
      </w:r>
    </w:p>
    <w:p w14:paraId="149565CE" w14:textId="77777777" w:rsidR="00303644" w:rsidRPr="00F171A3" w:rsidRDefault="00303644" w:rsidP="00303644">
      <w:r w:rsidRPr="00F171A3">
        <w:t>În același timp, există instituții culturale care, deși își desfășoară activitatea în Sectorul 2, se simt izolate de sector și de viața culturală a acestuia, fiind nevoie totodată și de o bază de date completă a tuturor instituțiilor culturale și a actorilor culturali implicați pe raza Sectorului 2, pentru a putea crea o rețea a actorilor culturali prin care pot derula evenimente culturale și artistice împreună.</w:t>
      </w:r>
      <w:r w:rsidRPr="00F171A3">
        <w:rPr>
          <w:rStyle w:val="FootnoteReference"/>
        </w:rPr>
        <w:footnoteReference w:id="25"/>
      </w:r>
      <w:r w:rsidRPr="00F171A3">
        <w:t xml:space="preserve"> </w:t>
      </w:r>
    </w:p>
    <w:p w14:paraId="426F5C43" w14:textId="77777777" w:rsidR="00303644" w:rsidRPr="00F171A3" w:rsidRDefault="00303644" w:rsidP="00303644">
      <w:r w:rsidRPr="00F171A3">
        <w:t>Este astfel importantă și o cartografiere a Sectorului 2 pentru a putea identifica resursele culturale existente și posibilitatea de activare a acestora, însă este nevoie și de o mapare a actorilor culturali pentru a putea crea o rețea funcțională de actori. În acest sens se poate avea în vedere o mai bună conectare între instituțiile culturale pentru a crea conținut nou cu scopul de a diversifica evenimentele și agenda culturală.</w:t>
      </w:r>
      <w:r w:rsidRPr="00F171A3">
        <w:rPr>
          <w:rStyle w:val="FootnoteReference"/>
        </w:rPr>
        <w:footnoteReference w:id="26"/>
      </w:r>
    </w:p>
    <w:p w14:paraId="45335AAB" w14:textId="77777777" w:rsidR="00303644" w:rsidRPr="00F171A3" w:rsidRDefault="00303644" w:rsidP="00303644">
      <w:r w:rsidRPr="00F171A3">
        <w:t>La nivel de evenimente, locuitorii Sectorului 2 se pot bucura atât de evenimentele organizate la nivelul capitalei de instituții publice și private care au loc și pe teritoriul Sectorului, cât și de activitățile propuse de instituțiile din Sectorul 2. Alături de Primăria Sector 2, Centrul UNESCO Mihai Eminescu reprezintă unul dintre principalii organizatori care aduc la nivelul sectorului unele dintre cele mai importante acțiuni și evenimente artistice.</w:t>
      </w:r>
    </w:p>
    <w:p w14:paraId="5E2A3447" w14:textId="77777777" w:rsidR="00303644" w:rsidRPr="00F171A3" w:rsidRDefault="00303644" w:rsidP="00303644">
      <w:r w:rsidRPr="00F171A3">
        <w:t>Centrul Cultural UNESCO "Mihai Eminescu" este o instituție publică de cultură, aflată în subordinea Consiliului Local al Primăriei Sectorului 2, fiind finanțat din surse de la bugetul local și din venituri proprii, conform legilor în vigoare. Acesta promovează literatura, arta tradițională prin stimularea potențialului creator și artistic al tuturor tinerilor. Instituția este deschisă pentru comunicarea culturală, la nivel local, național și internațional, fiind promotori ai afirmării culturii și valorilor naționale.</w:t>
      </w:r>
      <w:r w:rsidRPr="00F171A3">
        <w:rPr>
          <w:vertAlign w:val="superscript"/>
        </w:rPr>
        <w:footnoteReference w:id="27"/>
      </w:r>
      <w:r w:rsidRPr="00F171A3">
        <w:t xml:space="preserve"> </w:t>
      </w:r>
    </w:p>
    <w:p w14:paraId="14245FB0" w14:textId="77777777" w:rsidR="00303644" w:rsidRPr="00F171A3" w:rsidRDefault="00303644" w:rsidP="00303644">
      <w:r w:rsidRPr="00F171A3">
        <w:t xml:space="preserve">Printre cele mai importante evenimente care au fost organizate aproape în fiecare an (și) pe teritoriul Sectorului 2 se numără: Street Delivery, Femei pe Mătăsari (aflat la cea de-a 10-a ediție în 2022), Noaptea Muzeelor (ajuns la a 18-a ediție în 2022), Noaptea Albă a Galeriilor (a 15-a ediție în 2021), Noaptea Caselor (ediția a 5-a în anul 2018), Bucharest International Experimental Film Festival (aflat la a 12-a ediție), Târgul Ozosep, Festivalul CineMAiubit, UrbanEye Film Festival, la care se adaugă evenimente organizate anual precum Ziua Europei, Târgul Anticarilor, Dance Fest, Zilele Sectorului 2 sau Balul de Caritate al Primăriei Sectorului 2. </w:t>
      </w:r>
    </w:p>
    <w:p w14:paraId="527798E3" w14:textId="77777777" w:rsidR="00303644" w:rsidRPr="00F171A3" w:rsidRDefault="00303644" w:rsidP="00303644">
      <w:r w:rsidRPr="00F171A3">
        <w:t>Printre alte evenimente organizate cu precădere înainte de perioada pandemiei și promovate pe pagina de Facebook – Evenimente Sector 2 se numără și spectacolele din cadrul Stagiunii estivale Madrigal 2020 sau spectacole de stand-up comedy organizate la Teatrul de Vară Mihai Eminescu, spectacole folclorice în Parcul Obor cu ocazia Zilei Naționale a României, Târgul de Pâine din Parcul Național etc.</w:t>
      </w:r>
    </w:p>
    <w:p w14:paraId="51310DE9" w14:textId="494AAC08" w:rsidR="00303644" w:rsidRPr="00F171A3" w:rsidRDefault="00303644" w:rsidP="00303644">
      <w:r w:rsidRPr="00F171A3">
        <w:t>Activitatea cultural artistică în anul 2020 și 2021 a fost una destul de grea, multe dintre evenimentele programate fiind anulate pe fondul evoluției pandemiei de COVID-19. Cu toate acestea, multe instituții s-au adaptat, conținutul cultural a fost transpus în mediul online și o serie de evenimente noi au putut fi create și gândite în jurul spațiului public, astfel încât comunitatea să se afle în siguranță.</w:t>
      </w:r>
    </w:p>
    <w:p w14:paraId="61EF8E7E" w14:textId="41F28182" w:rsidR="00303644" w:rsidRPr="00F171A3" w:rsidRDefault="00303644" w:rsidP="00303644">
      <w:r w:rsidRPr="00F171A3">
        <w:t>Un astfel de exemplu este și Festivalul Lights On, în premieră în parcurile din Sectorul 2. Evenimentul a avut loc în iarna anului 2021 și a fost organizat de Primăria Sector</w:t>
      </w:r>
      <w:r w:rsidR="00F53B80" w:rsidRPr="00F171A3">
        <w:t>ului</w:t>
      </w:r>
      <w:r w:rsidRPr="00F171A3">
        <w:t xml:space="preserve"> 2 în colaborare cu Centrul UNESCO "Mihai Eminescu". Festivalul Lights On Romania face parte din rețeaua International Lights Festival Organisation, fiind înfrățit cu evenimente majore la nivel internațional, iar în cadrul evenimentului din parcurile Sectorului 2 au fost expuse lucrări create de artiști din România, Austria, Olanda, Marea Britanie și Rusia. În total 9  lucrări de artă au fost expuse în Parcul Ioanid (</w:t>
      </w:r>
      <w:r w:rsidRPr="00F171A3">
        <w:rPr>
          <w:i/>
        </w:rPr>
        <w:t>Gaia</w:t>
      </w:r>
      <w:r w:rsidRPr="00F171A3">
        <w:rPr>
          <w:i/>
          <w:vertAlign w:val="superscript"/>
        </w:rPr>
        <w:footnoteReference w:id="28"/>
      </w:r>
      <w:r w:rsidRPr="00F171A3">
        <w:t xml:space="preserve"> și </w:t>
      </w:r>
      <w:r w:rsidRPr="00F171A3">
        <w:rPr>
          <w:i/>
        </w:rPr>
        <w:t>We are here</w:t>
      </w:r>
      <w:r w:rsidRPr="00F171A3">
        <w:rPr>
          <w:i/>
          <w:vertAlign w:val="superscript"/>
        </w:rPr>
        <w:footnoteReference w:id="29"/>
      </w:r>
      <w:r w:rsidRPr="00F171A3">
        <w:t xml:space="preserve">), Parcul Obor – </w:t>
      </w:r>
      <w:r w:rsidRPr="00F171A3">
        <w:rPr>
          <w:i/>
        </w:rPr>
        <w:t>Fierfly Field</w:t>
      </w:r>
      <w:r w:rsidRPr="00F171A3">
        <w:rPr>
          <w:i/>
          <w:vertAlign w:val="superscript"/>
        </w:rPr>
        <w:footnoteReference w:id="30"/>
      </w:r>
      <w:r w:rsidRPr="00F171A3">
        <w:t xml:space="preserve"> și </w:t>
      </w:r>
      <w:r w:rsidRPr="00F171A3">
        <w:rPr>
          <w:i/>
        </w:rPr>
        <w:t>Social Sparkles</w:t>
      </w:r>
      <w:r w:rsidRPr="00F171A3">
        <w:rPr>
          <w:i/>
          <w:vertAlign w:val="superscript"/>
        </w:rPr>
        <w:footnoteReference w:id="31"/>
      </w:r>
      <w:r w:rsidRPr="00F171A3">
        <w:t xml:space="preserve">, Parcul Sticlăriei – </w:t>
      </w:r>
      <w:r w:rsidRPr="00F171A3">
        <w:rPr>
          <w:i/>
        </w:rPr>
        <w:t>Breathe</w:t>
      </w:r>
      <w:r w:rsidRPr="00F171A3">
        <w:rPr>
          <w:i/>
          <w:vertAlign w:val="superscript"/>
        </w:rPr>
        <w:footnoteReference w:id="32"/>
      </w:r>
      <w:r w:rsidRPr="00F171A3">
        <w:t xml:space="preserve"> și </w:t>
      </w:r>
      <w:r w:rsidRPr="00F171A3">
        <w:rPr>
          <w:i/>
        </w:rPr>
        <w:t>Private Moon</w:t>
      </w:r>
      <w:r w:rsidRPr="00F171A3">
        <w:rPr>
          <w:i/>
          <w:vertAlign w:val="superscript"/>
        </w:rPr>
        <w:footnoteReference w:id="33"/>
      </w:r>
      <w:r w:rsidRPr="00F171A3">
        <w:t xml:space="preserve">, Parcul Tei – </w:t>
      </w:r>
      <w:r w:rsidRPr="00F171A3">
        <w:rPr>
          <w:i/>
        </w:rPr>
        <w:t>Oumua</w:t>
      </w:r>
      <w:r w:rsidRPr="00F171A3">
        <w:rPr>
          <w:i/>
          <w:vertAlign w:val="superscript"/>
        </w:rPr>
        <w:footnoteReference w:id="34"/>
      </w:r>
      <w:r w:rsidRPr="00F171A3">
        <w:t xml:space="preserve"> și </w:t>
      </w:r>
      <w:r w:rsidRPr="00F171A3">
        <w:rPr>
          <w:i/>
        </w:rPr>
        <w:t>Cerebrum</w:t>
      </w:r>
      <w:r w:rsidRPr="00F171A3">
        <w:rPr>
          <w:i/>
          <w:vertAlign w:val="superscript"/>
        </w:rPr>
        <w:footnoteReference w:id="35"/>
      </w:r>
      <w:r w:rsidRPr="00F171A3">
        <w:t xml:space="preserve"> și în Miniparcul Tudor Vladimirescu cu lucrarea </w:t>
      </w:r>
      <w:r w:rsidRPr="00F171A3">
        <w:rPr>
          <w:i/>
        </w:rPr>
        <w:t>Tunelul</w:t>
      </w:r>
      <w:r w:rsidRPr="00F171A3">
        <w:rPr>
          <w:i/>
          <w:vertAlign w:val="superscript"/>
        </w:rPr>
        <w:footnoteReference w:id="36"/>
      </w:r>
      <w:r w:rsidRPr="00F171A3">
        <w:t>.</w:t>
      </w:r>
    </w:p>
    <w:p w14:paraId="3E3A525D" w14:textId="77777777" w:rsidR="00303644" w:rsidRPr="00F171A3" w:rsidRDefault="00303644" w:rsidP="00303644">
      <w:r w:rsidRPr="00F171A3">
        <w:t>Pe lângă acesta, Primăria Sectorului 2 a continuat la nivelul perioadei 2021-2022 să realizeze o serie de proiecte culturale ce încurajează participarea la actul de cultură</w:t>
      </w:r>
      <w:r w:rsidRPr="00F171A3">
        <w:rPr>
          <w:vertAlign w:val="superscript"/>
        </w:rPr>
        <w:footnoteReference w:id="37"/>
      </w:r>
      <w:r w:rsidRPr="00F171A3">
        <w:t>:</w:t>
      </w:r>
    </w:p>
    <w:p w14:paraId="5E76846A" w14:textId="72976B4C" w:rsidR="00303644" w:rsidRPr="00F171A3" w:rsidRDefault="00303644" w:rsidP="00303644">
      <w:pPr>
        <w:pStyle w:val="Bullet"/>
      </w:pPr>
      <w:r w:rsidRPr="00F171A3">
        <w:t>GALERIA DE ARTĂ "2Art" – Susținerea și promovarea expozițiilor de artă plastică sau modernă (pictură, sculptură, grafică, fotografie), conferințe și lansări de carte / albume de artă</w:t>
      </w:r>
      <w:r w:rsidR="00D44B8A" w:rsidRPr="00F171A3">
        <w:t>;</w:t>
      </w:r>
    </w:p>
    <w:p w14:paraId="03C2AD0E" w14:textId="2A87ACB5" w:rsidR="00303644" w:rsidRPr="00F171A3" w:rsidRDefault="00303644" w:rsidP="00303644">
      <w:pPr>
        <w:pStyle w:val="Bullet"/>
      </w:pPr>
      <w:r w:rsidRPr="00F171A3">
        <w:t>GALERIA DE ARTĂ "Calderon Art Studio" – Susținerea și promovarea expozițiilor de artă plastică sau modernă (pictură, sculptură, grafică, fotografie), conferințe și lansări de carte / albume de artă</w:t>
      </w:r>
      <w:r w:rsidR="00D44B8A" w:rsidRPr="00F171A3">
        <w:t>;</w:t>
      </w:r>
    </w:p>
    <w:p w14:paraId="5E759DB1" w14:textId="4675242E" w:rsidR="00303644" w:rsidRPr="00F171A3" w:rsidRDefault="00303644" w:rsidP="00303644">
      <w:pPr>
        <w:pStyle w:val="Bullet"/>
      </w:pPr>
      <w:r w:rsidRPr="00F171A3">
        <w:t>TIME 2 MIHAI EMINESCU – Concurs online de poezie în urma căruia, celor mai talentați creatori de la categoria copii și adulți le-au fost publicate câte un volum de debut</w:t>
      </w:r>
      <w:r w:rsidR="00D44B8A" w:rsidRPr="00F171A3">
        <w:t>;</w:t>
      </w:r>
    </w:p>
    <w:p w14:paraId="612F8490" w14:textId="09B8D545" w:rsidR="00303644" w:rsidRPr="00F171A3" w:rsidRDefault="00303644" w:rsidP="00303644">
      <w:pPr>
        <w:pStyle w:val="Bullet"/>
      </w:pPr>
      <w:r w:rsidRPr="00F171A3">
        <w:t>JAZZ AND BLUES NIGHTS – Muzică live de bună calitate, în care sunt promovați tinerii interpreți, fiind prezentate totodată și vedete ale unor genuri muzicale speciale: jazz și blues. Evenimentul a fost completat cu o prezentare de modă cu rochii unicat de inspirație folclorică și cu o expoziție de costume tradiționale românești foarte vechi</w:t>
      </w:r>
      <w:r w:rsidR="00D44B8A" w:rsidRPr="00F171A3">
        <w:t>;</w:t>
      </w:r>
    </w:p>
    <w:p w14:paraId="76FD6C6A" w14:textId="5E59FC51" w:rsidR="00303644" w:rsidRPr="00F171A3" w:rsidRDefault="00303644" w:rsidP="00303644">
      <w:pPr>
        <w:pStyle w:val="Bullet"/>
      </w:pPr>
      <w:r w:rsidRPr="00F171A3">
        <w:t>MONUMENT ISTORIC "Crucea Eroilor Necunoscuți" – Proiectul a constat în realizarea unor monumente istorice reprezentând "Crucea Eroilor Necunoscuți", căzuți pe câmpurile de luptă. Acestea vor fi amplasate în curțile interioare ale bisericilor</w:t>
      </w:r>
      <w:r w:rsidR="00D44B8A" w:rsidRPr="00F171A3">
        <w:t>;</w:t>
      </w:r>
    </w:p>
    <w:p w14:paraId="7335121F" w14:textId="02547122" w:rsidR="00303644" w:rsidRPr="00F171A3" w:rsidRDefault="00303644" w:rsidP="00303644">
      <w:pPr>
        <w:pStyle w:val="Bullet"/>
      </w:pPr>
      <w:r w:rsidRPr="00F171A3">
        <w:t>SPIRITUL MEMORIEI – Editarea unei cărți despre preoții, trecuți în neființă, care au fost oameni  de carte care au slujit la bisericile din Sectorul 2</w:t>
      </w:r>
      <w:r w:rsidR="00D44B8A" w:rsidRPr="00F171A3">
        <w:t>;</w:t>
      </w:r>
    </w:p>
    <w:p w14:paraId="56051397" w14:textId="599512A6" w:rsidR="00303644" w:rsidRPr="00F171A3" w:rsidRDefault="00303644" w:rsidP="00303644">
      <w:pPr>
        <w:pStyle w:val="Bullet"/>
      </w:pPr>
      <w:r w:rsidRPr="00F171A3">
        <w:t>BIJUTERII ARHITECTURALE UITATE – Proiectul constă în realizarea unor lucrări de artă cu monumente UNESCO, cu parcuri și clădiri vechi din Sectorul 2, care sunt adevărate capodopere arhitecturale, în cadrul unei tabere de creație</w:t>
      </w:r>
      <w:r w:rsidR="00D44B8A" w:rsidRPr="00F171A3">
        <w:t>;</w:t>
      </w:r>
    </w:p>
    <w:p w14:paraId="1BCD6A17" w14:textId="32BF9A34" w:rsidR="00303644" w:rsidRPr="00F171A3" w:rsidRDefault="00303644" w:rsidP="00303644">
      <w:pPr>
        <w:pStyle w:val="Bullet"/>
      </w:pPr>
      <w:r w:rsidRPr="00F171A3">
        <w:t>CU ȘEVALETUL PRIN MICUL PARIS – Bulevardul Dacia – 100 de ani de artă urbană! Proiectul constă într-un eveniment în aer liber, în Sectorul 2. Mai mulți pictori și-au pus șevaletele pe trotuarele Bulevardului Dacia și au pictat clădirile istorice de pe bulevard: Vila Constantin Geblescu, Vila Maria Ioanidi, Vila comandor Alexandru Cătuneanu, Casa Scarlat Kretzulescu, Colegiul  Cantemir Vodă sunt doar câteva din locațiile care ar putea inspira artiștii</w:t>
      </w:r>
      <w:r w:rsidR="00D44B8A" w:rsidRPr="00F171A3">
        <w:t>;</w:t>
      </w:r>
    </w:p>
    <w:p w14:paraId="326BACDA" w14:textId="31EC3A98" w:rsidR="00303644" w:rsidRPr="00F171A3" w:rsidRDefault="00303644" w:rsidP="00303644">
      <w:pPr>
        <w:pStyle w:val="Bullet"/>
      </w:pPr>
      <w:r w:rsidRPr="00F171A3">
        <w:t>SERI CULTURALE LA MĂNĂSTIREA MĂRCUȚA – Prin acest proiect se dorește oferirea unor momente de istorie, cultură și spiritualitate pentru toți cetățenii, prin intermediul unor creații artistice de o valoare culturală autentică: concert cu muzică clasică, muzică corală, momente literar-artistice, piese de teatru cu tematică istorico-religioasă, conferințe, tabără de creație artistică și expoziție de pictură</w:t>
      </w:r>
      <w:r w:rsidR="00D44B8A" w:rsidRPr="00F171A3">
        <w:t>;</w:t>
      </w:r>
    </w:p>
    <w:p w14:paraId="67D2FF62" w14:textId="1E88AB43" w:rsidR="00303644" w:rsidRPr="00F171A3" w:rsidRDefault="00303644" w:rsidP="00303644">
      <w:pPr>
        <w:pStyle w:val="Bullet"/>
      </w:pPr>
      <w:r w:rsidRPr="00F171A3">
        <w:t>ARTĂ ȘI PATRIMONIU – Expoziții de picturi ale Centrului Cultural "Mihai Eminescu", în sălile de expoziție ale muzeelor din țară și în afara granițelor, în parteneriat cu Institutul Cultural Român</w:t>
      </w:r>
      <w:r w:rsidR="00D44B8A" w:rsidRPr="00F171A3">
        <w:t>;</w:t>
      </w:r>
    </w:p>
    <w:p w14:paraId="249C4ACA" w14:textId="78E50454" w:rsidR="00303644" w:rsidRPr="00F171A3" w:rsidRDefault="00303644" w:rsidP="00303644">
      <w:pPr>
        <w:pStyle w:val="Bullet"/>
      </w:pPr>
      <w:r w:rsidRPr="00F171A3">
        <w:t>O SEARĂ DE TEATRU – Reprezentații teatrale ale unor companii naționale (de prestigiu, dar și debutante) cu piese din dramaturgia românească și internațională</w:t>
      </w:r>
      <w:r w:rsidR="00D44B8A" w:rsidRPr="00F171A3">
        <w:t>;</w:t>
      </w:r>
    </w:p>
    <w:p w14:paraId="1AEDE859" w14:textId="77777777" w:rsidR="00303644" w:rsidRPr="00F171A3" w:rsidRDefault="00303644" w:rsidP="00303644">
      <w:pPr>
        <w:pStyle w:val="Bullet"/>
      </w:pPr>
      <w:r w:rsidRPr="00F171A3">
        <w:t>GALA UNESCO – Centrul Cultural "Mihai Eminescu" a organizat acest eveniment ce constă în expoziție de artă, lansare de carte, dineu și momente artistice.</w:t>
      </w:r>
    </w:p>
    <w:p w14:paraId="33F76451" w14:textId="77777777" w:rsidR="00303644" w:rsidRPr="00F171A3" w:rsidRDefault="00303644" w:rsidP="00303644">
      <w:pPr>
        <w:spacing w:before="240"/>
      </w:pPr>
      <w:r w:rsidRPr="00F171A3">
        <w:t>Pentru anul 2022, agenda culturală este una bogată. În lumea artelor, cea de-a 6-a ediție a Festivalului "American Independent Film" se ține la Cinema Elvire Popesco și Cinema Muzeul Țăranului și va reveni la formatul avut înainte de restricțiile COVID. Vizualul realizat anul acesta pentru festival va celebra împlinirea a 40 de ani de la lansarea celebrului film "E.T. Extraterestrul", ce a fost regizat de Steven Spielberg. În cadrul festivalului vor fi proiectate mai multe filme, de origine americană.</w:t>
      </w:r>
      <w:r w:rsidRPr="00F171A3">
        <w:rPr>
          <w:vertAlign w:val="superscript"/>
        </w:rPr>
        <w:footnoteReference w:id="38"/>
      </w:r>
    </w:p>
    <w:p w14:paraId="34D043EE" w14:textId="77777777" w:rsidR="00303644" w:rsidRPr="00F171A3" w:rsidRDefault="00303644" w:rsidP="00303644">
      <w:r w:rsidRPr="00F171A3">
        <w:t>Un alt proiect important, recent inițiat de Centrul Cultural UNESCO "Mihai Eminescu", constă în organizarea de cursuri pentru cetățenii Sectorului 2 în cadrul celor două cluburi: Clubul Seniorilor Mihai Eminescu si Clubul Copiilor Mihai Eminescu. Proiectul, intitulat "Pantelimon 301" propune cursuri gratuite destinate adulților care au domiciliul în Sectorul 2 – gimnastică aerobică, zumba, pictură și engleză și cursuri destinate copiilor care locuiesc în Sectorul 2 sau sunt înscriși în unități de învățământ din Sectorul 2 – pictură, actorie, pian, tobe, chitară, balet, dansuri populare, canto muzică ușoară, canto muzică populară, arte marțiale.</w:t>
      </w:r>
    </w:p>
    <w:p w14:paraId="34CAC665" w14:textId="77777777" w:rsidR="00303644" w:rsidRPr="00F171A3" w:rsidRDefault="00303644" w:rsidP="00303644">
      <w:r w:rsidRPr="00F171A3">
        <w:t>Cu toate acestea, locuitorii zonei Pantelimon au propus în cadrul întâlnirilor de lucru, diversificarea activităților pentru copii și seniori din cadrul Complexului pentru Activități Recreative și Educative „Sf. Pantelimon”, precum și crearea unui acces mai facil la aceste activități ale locuitorilor fără posibilități materiale din zona Pantelimon.</w:t>
      </w:r>
      <w:r w:rsidRPr="00F171A3">
        <w:rPr>
          <w:rStyle w:val="FootnoteReference"/>
        </w:rPr>
        <w:footnoteReference w:id="39"/>
      </w:r>
    </w:p>
    <w:p w14:paraId="6229EEBA" w14:textId="77777777" w:rsidR="00303644" w:rsidRPr="00F171A3" w:rsidRDefault="00303644" w:rsidP="00303644">
      <w:r w:rsidRPr="00F171A3">
        <w:t>Alte evenimente realizate de Centrul Cultural UNESCO "Mihai Eminescu" de menționat sunt și următoarele</w:t>
      </w:r>
      <w:r w:rsidRPr="00F171A3">
        <w:rPr>
          <w:vertAlign w:val="superscript"/>
        </w:rPr>
        <w:footnoteReference w:id="40"/>
      </w:r>
      <w:r w:rsidRPr="00F171A3">
        <w:t>: Albume cu imagini și istorii reprezentative despre Sectorul 2, Teatru pentru Sectorul 2, Cunoaște lumea!, Primăvara începe cu un mărțișor, Duminica Ortodoxiei, Mândri că suntem români, Park Film Festival, Șlagăre românești sau Bilanț cultural la sfârșit de an.</w:t>
      </w:r>
    </w:p>
    <w:p w14:paraId="7DB82DD5" w14:textId="035BDF5A" w:rsidR="00303644" w:rsidRPr="00F171A3" w:rsidRDefault="00303644" w:rsidP="00303644">
      <w:r w:rsidRPr="00F171A3">
        <w:t>Tot la nivelul anului 2022, Primăria Sectorului 2 a finanțat integral mai multe proiecte culturale desfășurate în colaborare cu societatea civilă. Printre acestea s-au numărat: KINOdisee, cel mai mare festival internațional de film pentru publicul tânăr (copii și adolescenți) din Europa de Sud-Est, Art Robots, Cultură în natură, Seen, Obiceiuri și tradiții reinterpretate în urban și Povești urbane în Pipera.</w:t>
      </w:r>
      <w:r w:rsidRPr="00F171A3">
        <w:rPr>
          <w:vertAlign w:val="superscript"/>
        </w:rPr>
        <w:footnoteReference w:id="41"/>
      </w:r>
      <w:r w:rsidRPr="00F171A3">
        <w:t xml:space="preserve"> Sediul Primăriei a fost de asemenea deschis studenților de la Arte, care și-au susținut lucrarea de licență în spațiul expozițional din cadrul Primăriei Sector</w:t>
      </w:r>
      <w:r w:rsidR="00F53B80" w:rsidRPr="00F171A3">
        <w:t>ului</w:t>
      </w:r>
      <w:r w:rsidRPr="00F171A3">
        <w:t xml:space="preserve"> 2. </w:t>
      </w:r>
    </w:p>
    <w:p w14:paraId="1DC34389" w14:textId="77777777" w:rsidR="00303644" w:rsidRPr="00F171A3" w:rsidRDefault="00303644" w:rsidP="00303644">
      <w:r w:rsidRPr="00F171A3">
        <w:t>Dacă starea echipamentelor culturale poate influența practicile de consum cultural, în cazul evenimentelor fanion acestea au loc în funcție de specificul lor într-un număr relativ limitat de locații care se pretează unor astfel de activități. Printre acestea se numără atât locații indoor, cât și outdoor precum Parcul Obor, Parcul Ioanid, Parcul Național, Parcul și Lacul Tei, Parcul Sticlăriei, Miniparcul Tudor Vladimirescu, Cinema Elvire Popesco, Bibliotecile și muzeele care pun la dispoziție spațiile amenajate etc.</w:t>
      </w:r>
    </w:p>
    <w:p w14:paraId="67029BAF" w14:textId="77777777" w:rsidR="00303644" w:rsidRPr="00F171A3" w:rsidRDefault="00303644" w:rsidP="00303644">
      <w:r w:rsidRPr="00F171A3">
        <w:t xml:space="preserve">Astfel, oferta evenimentelor culturale de la nivelul Sectorului 2 este diversificată, punând la dispoziția locuitorilor o gamă variată de activități  pe tot parcursul anului. Cu toate acestea, majoritatea acestor evenimente au loc cu precădere tot în zona centrală a Capitalei, evidențiind încă o dată necesitatea suplimentării activităților artistice și de petrecere a timpului liber și in zonele rezidențiale din afara perimetrului central. De asemenea, în ceea ce privește planificarea evenimentelor la nivel local, Sectorul 2 nu are stabilită încă o agendă culturală care să reunească toate activitățile culturale ce au loc pe perioada unui an, fiind astfel nevoie de o agendă culturală care să reunească toate inițiativele și evenimentele coordonate la nivel municipal cu cele administrate de instituțiile culturale din Sectorul 2. </w:t>
      </w:r>
    </w:p>
    <w:p w14:paraId="6A1B7C43" w14:textId="77777777" w:rsidR="00303644" w:rsidRPr="00F171A3" w:rsidRDefault="00303644" w:rsidP="00303644">
      <w:r w:rsidRPr="00F171A3">
        <w:t>Se observă astfel o nevoie de coordonare între actorii locali și agendele anuale, inclusiv pentru a evita suprapunerile de evenimente majore sau similare în aceiași perioadă. În același timp, o altă problemă care a fost semnalată în cadrul grupurilor de lucru ținute cu actorii locali este și slaba digitalizare a informației în spațiul public, fiind foarte greu de găsit informații despre ce poți face în Sectorul 2 sau un portal al tuturor evenimentelor culturale care au loc la nivelul Bucureștiului.</w:t>
      </w:r>
    </w:p>
    <w:p w14:paraId="3B7B0190" w14:textId="711CCA23" w:rsidR="00303644" w:rsidRPr="00F171A3" w:rsidRDefault="00303644" w:rsidP="00303644">
      <w:r w:rsidRPr="00F171A3">
        <w:t xml:space="preserve">Cu toate acestea, agenda culturală a Centrului Cultural UNESCO "Mihai Eminescu" joacă un rol foarte important în oferta culturală și evenimentele care se petrec pe raza Sectorului 2, aceștia fiind principalii actori care inițiază și susțin aceste activități. Pe lângă acestea, locuitorii Sectorului 2 se pot bucura și de evenimentele care se petrec la nivelul </w:t>
      </w:r>
      <w:r w:rsidR="00DE36DE" w:rsidRPr="00F171A3">
        <w:t>m</w:t>
      </w:r>
      <w:r w:rsidRPr="00F171A3">
        <w:t>unicipiului București, agenda culturală de la nivelul întregului oraș fiind una mult mai bogată și diversă.</w:t>
      </w:r>
    </w:p>
    <w:p w14:paraId="78F7C860" w14:textId="77777777" w:rsidR="00303644" w:rsidRPr="00F171A3" w:rsidRDefault="00303644" w:rsidP="00303644"/>
    <w:p w14:paraId="54CF0DA0" w14:textId="3C3C9E00" w:rsidR="00303644" w:rsidRPr="00F171A3" w:rsidRDefault="00D44B8A" w:rsidP="00303644">
      <w:pPr>
        <w:keepNext/>
        <w:pBdr>
          <w:top w:val="nil"/>
          <w:left w:val="nil"/>
          <w:bottom w:val="nil"/>
          <w:right w:val="nil"/>
          <w:between w:val="nil"/>
        </w:pBdr>
        <w:rPr>
          <w:b/>
          <w:smallCaps/>
          <w:color w:val="134753"/>
        </w:rPr>
      </w:pPr>
      <w:r w:rsidRPr="00F171A3">
        <w:rPr>
          <w:b/>
          <w:smallCaps/>
          <w:color w:val="134753"/>
        </w:rPr>
        <w:t>VIZIBILITATEA OFERTEI CULTURALE</w:t>
      </w:r>
    </w:p>
    <w:p w14:paraId="264A8B9E" w14:textId="77777777" w:rsidR="00303644" w:rsidRPr="00F171A3" w:rsidRDefault="00303644" w:rsidP="00303644">
      <w:r w:rsidRPr="00F171A3">
        <w:t>Oferta culturală a Capitalei este atât de vastă încât încă nu există o agendă integratoare a evenimentelor care să poate oferi informații exact despre numărul total al activităților culturale disponibile pe parcursul unui an, motiv pentru care și vizibilitatea ofertei culturale este una destul de greu de perceput.</w:t>
      </w:r>
    </w:p>
    <w:p w14:paraId="14DAF3BC" w14:textId="77777777" w:rsidR="00303644" w:rsidRPr="00F171A3" w:rsidRDefault="00303644" w:rsidP="00303644">
      <w:r w:rsidRPr="00F171A3">
        <w:t xml:space="preserve">La nivel local, o mare parte a instituțiilor de cultură din Sectorul 2 au o prezență în mediul online prin existența unui site oficial sau a unei pagini de Facebook oficiale. Principalul avantaj al acestor servicii este accesul facil la informații precum programul, informațiile generale despre instituție sau tarifele. Acesta este și cazul site-ului oficial al Centrului Cultural UNESCO "Mihai Eminescu" – </w:t>
      </w:r>
      <w:hyperlink r:id="rId79">
        <w:r w:rsidRPr="00F171A3">
          <w:rPr>
            <w:color w:val="3CA1BC"/>
            <w:u w:val="single"/>
          </w:rPr>
          <w:t>https://centruleminescu.ro/</w:t>
        </w:r>
      </w:hyperlink>
      <w:r w:rsidRPr="00F171A3">
        <w:t>, unde se pot găsi informații despre activitatea și evenimentele desfășurate de această instituție.</w:t>
      </w:r>
    </w:p>
    <w:p w14:paraId="2EC523C7" w14:textId="77777777" w:rsidR="00303644" w:rsidRPr="00F171A3" w:rsidRDefault="00303644" w:rsidP="00303644">
      <w:r w:rsidRPr="00F171A3">
        <w:t xml:space="preserve">Obiectivele Centrului Cultural UNESCO "Mihai Eminescu" și strategia culturală au fost bine definite și  permanent adaptate la nevoile de schimbare ale societății ce își fundamentează o nouă viziune asupra diferitelor aspecte ale vieții. Centrul oferă sprijin în educație prin organizarea de activități specifice și oferă alternative pentru petrecerea timpului liber, sub formă de spectacole în spațiile publice din Sectorul 2. Cu toate acestea, secțiunea de Evenimente de pe pagina centrului este una cu un conținut relativ redus al informației, majoritatea detaliilor referitoare la evenimentele desfășurate fiind mai accesibile pentru majoritatea locuitorilor Sectorului 2 prin intermediul paginii de Facebook a Centrului Cultural –  </w:t>
      </w:r>
      <w:hyperlink r:id="rId80">
        <w:r w:rsidRPr="00F171A3">
          <w:rPr>
            <w:color w:val="3CA1BC"/>
            <w:u w:val="single"/>
          </w:rPr>
          <w:t>https://www.facebook.com/centrulculturalmihaieminescu/</w:t>
        </w:r>
      </w:hyperlink>
      <w:r w:rsidRPr="00F171A3">
        <w:t xml:space="preserve">. </w:t>
      </w:r>
    </w:p>
    <w:p w14:paraId="5BFA50C6" w14:textId="77777777" w:rsidR="00303644" w:rsidRPr="00F171A3" w:rsidRDefault="00303644" w:rsidP="00303644">
      <w:r w:rsidRPr="00F171A3">
        <w:t>În cazul muzeelor, majoritatea instituțiilor dețin un site propriu cu informații pentru localnici și turiști referitoare la prețurile de vizitare, serviciile culturale oferite de instituție, direcții cu privire la locația instituției, expozițiile temporare și permanente, ultimele evenimente sau cele viitoare, precum și modul de funcționare a muzeelor în condițiile date de pandemia de COVID-19. La nivelul instituțiilor de cultură, cea mai bună reprezentare în social media o au teatrele, muzeele și galeriile de artă, care pregătesc și actualizează regulat un conținut de calitate fie pe site-urile oficiale, fie pe paginile de promovare precum Facebook sau Instagram.</w:t>
      </w:r>
    </w:p>
    <w:p w14:paraId="2CF9A0B6" w14:textId="68155EEA" w:rsidR="00303644" w:rsidRPr="00F171A3" w:rsidRDefault="00303644" w:rsidP="00303644">
      <w:r w:rsidRPr="00F171A3">
        <w:t xml:space="preserve">Cu toate acestea, un exemplu de spațiu puțin cunoscut de locuitorii Sectorului 2 sau ai </w:t>
      </w:r>
      <w:r w:rsidR="00DE36DE" w:rsidRPr="00F171A3">
        <w:t>m</w:t>
      </w:r>
      <w:r w:rsidRPr="00F171A3">
        <w:t xml:space="preserve">unicipiului București este și Școala Tehnică a Aeronauticii (STA), fostă instituție de învățământ care pregătea cadre tehnice în diferite specialități din domeniul aviației, înființată în 1920 în Pipera. Astfel de informații despre istoria unor zone sau dotări culturale din Sectorul 2 sunt foarte greu de găsit pe site-urile de promovare, sau site-urilor instituțiilor culturale, însă ar putea beneficia de o mai mare promovare și vizibilitate către turiști și locuitori. </w:t>
      </w:r>
      <w:r w:rsidRPr="00F171A3">
        <w:rPr>
          <w:rStyle w:val="FootnoteReference"/>
        </w:rPr>
        <w:footnoteReference w:id="42"/>
      </w:r>
    </w:p>
    <w:p w14:paraId="7F97255A" w14:textId="3E6EED9A" w:rsidR="00303644" w:rsidRPr="00F171A3" w:rsidRDefault="00303644" w:rsidP="00303644">
      <w:r w:rsidRPr="00F171A3">
        <w:t xml:space="preserve">Unele dintre cele mai utile instrumente pentru oferta culturală a Sectorului 2, și nu numai, fiindcă în acest caz putem să vorbim de contextul </w:t>
      </w:r>
      <w:r w:rsidR="00DE36DE" w:rsidRPr="00F171A3">
        <w:t>m</w:t>
      </w:r>
      <w:r w:rsidRPr="00F171A3">
        <w:t xml:space="preserve">unicipiului București, sunt și aplicațiile mobile și platformele web de vizitare a Bucureștiului care reunesc în același loc atât oferta turistică a orașului și atracțiile principale ale acesteia, precum și oferta culturală, alături de ultimele evenimente care au loc sau locuri și spectacole pe care atât locuitorii cât și vizitatorii le pot accesa. Una dintre aceste platforme este și </w:t>
      </w:r>
      <w:r w:rsidRPr="00F171A3">
        <w:rPr>
          <w:color w:val="3CA1BC"/>
        </w:rPr>
        <w:t>visitbucharest.today</w:t>
      </w:r>
      <w:r w:rsidRPr="00F171A3">
        <w:rPr>
          <w:vertAlign w:val="superscript"/>
        </w:rPr>
        <w:footnoteReference w:id="43"/>
      </w:r>
      <w:r w:rsidRPr="00F171A3">
        <w:t xml:space="preserve">, platformă online și aplicație mobilă ce pune la dispoziția turiștilor o gamă variată de atracții turistice din București, muzee, tururi ghidate, experiențe și recomandări, precum și o secțiune dedicată special evenimentelor care au loc în București sau care vor urma în viitorul apropiat. Tot aici putem vorbi și de site-uri precum </w:t>
      </w:r>
      <w:r w:rsidRPr="00F171A3">
        <w:rPr>
          <w:color w:val="3CA1BC"/>
        </w:rPr>
        <w:t>Evenimente București Zilnic</w:t>
      </w:r>
      <w:r w:rsidRPr="00F171A3">
        <w:rPr>
          <w:vertAlign w:val="superscript"/>
        </w:rPr>
        <w:footnoteReference w:id="44"/>
      </w:r>
      <w:r w:rsidRPr="00F171A3">
        <w:t xml:space="preserve">, </w:t>
      </w:r>
      <w:r w:rsidRPr="00F171A3">
        <w:rPr>
          <w:color w:val="3CA1BC"/>
        </w:rPr>
        <w:t>bucuresti.fest.ro</w:t>
      </w:r>
      <w:r w:rsidRPr="00F171A3">
        <w:rPr>
          <w:vertAlign w:val="superscript"/>
        </w:rPr>
        <w:footnoteReference w:id="45"/>
      </w:r>
      <w:r w:rsidRPr="00F171A3">
        <w:t xml:space="preserve">, </w:t>
      </w:r>
      <w:r w:rsidRPr="00F171A3">
        <w:rPr>
          <w:color w:val="3CA1BC"/>
        </w:rPr>
        <w:t>bucuresteni.ro</w:t>
      </w:r>
      <w:r w:rsidRPr="00F171A3">
        <w:rPr>
          <w:vertAlign w:val="superscript"/>
        </w:rPr>
        <w:footnoteReference w:id="46"/>
      </w:r>
      <w:r w:rsidRPr="00F171A3">
        <w:t xml:space="preserve">, </w:t>
      </w:r>
      <w:r w:rsidRPr="00F171A3">
        <w:rPr>
          <w:color w:val="3CA1BC"/>
        </w:rPr>
        <w:t>vinsieu.ro</w:t>
      </w:r>
      <w:r w:rsidRPr="00F171A3">
        <w:rPr>
          <w:vertAlign w:val="superscript"/>
        </w:rPr>
        <w:footnoteReference w:id="47"/>
      </w:r>
      <w:r w:rsidRPr="00F171A3">
        <w:t>, sau aplicația mobilă București City (disponibilă pe Android și IOS).</w:t>
      </w:r>
    </w:p>
    <w:p w14:paraId="6480F996" w14:textId="3DE6E8BC" w:rsidR="00303644" w:rsidRPr="00F171A3" w:rsidRDefault="00303644" w:rsidP="00303644">
      <w:r w:rsidRPr="00F171A3">
        <w:t xml:space="preserve">Atât platformele cât și aplicațiile sunt de mare ajutor celor care vor să viziteze atât Sectorul 2 cât și alte zone și cartiere din </w:t>
      </w:r>
      <w:r w:rsidR="00DE36DE" w:rsidRPr="00F171A3">
        <w:t>m</w:t>
      </w:r>
      <w:r w:rsidRPr="00F171A3">
        <w:t xml:space="preserve">unicipiul București, acestea fiind utile datorită secțiunilor speciale desemnate, fiecare secțiune oferind informațiile necesare pe care le caută un turist sau un locuitor al orașului. Mai mult, acestea reprezintă un instrument pentru promovarea ofertei culturale util atât vizitatorilor, cât și comunității locale. Prin intermediul acestora, majoritatea atracțiilor de tip muzeal și cultural sau atracțiile principale ale </w:t>
      </w:r>
      <w:r w:rsidR="00DE36DE" w:rsidRPr="00F171A3">
        <w:t>m</w:t>
      </w:r>
      <w:r w:rsidRPr="00F171A3">
        <w:t>unicipiului București și inclusiv ale Sectorului 2, sunt promovate integrat, inclusiv de către autoritățile publice și de agențiile de turism. De asemenea, la nivelul Sectorului 2, în cadrul grupurilor de lucru s-a semnalat această nevoie de a avea o aplicație pentru evenimentele culturale și/sau turistice care să notifice utilizatorii despre acțiunile care se desfășoară în sector în timp real. În același context, se aduce în discuție și posibilitatea de amplasare a unor ecrane / totem-uri în spațiile importante din Sector – parcuri, la metrou, centre comunitare sau foișor, care să prezinte filmulețe sau spot-uri publicitare de câteva minute cu principalele acțiuni culturale din luna respectivă.</w:t>
      </w:r>
    </w:p>
    <w:p w14:paraId="42F3CE20" w14:textId="77777777" w:rsidR="00303644" w:rsidRPr="00F171A3" w:rsidRDefault="00303644" w:rsidP="00303644">
      <w:r w:rsidRPr="00F171A3">
        <w:t xml:space="preserve">O altă problemă remarcată și de actorii locali implicați în sectorul cultural este și slaba vizibilitate a evenimentelor culturale care se desfășoară pe raza Sectorului 2, fiind nevoie de o promovare activă a instituțiilor între ele, precum și mai mult sprijin pentru alocarea unui buget dedicat pentru media, marketing, colaborare cu STB sau Metrorex etc. </w:t>
      </w:r>
      <w:r w:rsidRPr="00F171A3">
        <w:rPr>
          <w:rStyle w:val="FootnoteReference"/>
        </w:rPr>
        <w:footnoteReference w:id="48"/>
      </w:r>
    </w:p>
    <w:p w14:paraId="1E378B47" w14:textId="3988BC5F" w:rsidR="00303644" w:rsidRPr="00F171A3" w:rsidRDefault="00303644" w:rsidP="00303644">
      <w:r w:rsidRPr="00F171A3">
        <w:t xml:space="preserve">Cu toate acestea, se simte o lipsă destul de mare a unei Agende Culturale care să reunească la un loc toate aceste activități și atracții culturale pe care Bucureștiul le deține. Sectorul 2 se confruntă cu provocări asemănătoare cu cele la nivelul </w:t>
      </w:r>
      <w:r w:rsidR="00DE36DE" w:rsidRPr="00F171A3">
        <w:t>m</w:t>
      </w:r>
      <w:r w:rsidRPr="00F171A3">
        <w:t xml:space="preserve">unicipiului București, fiind într-o strânsă legătură cu acesta prin distribuția spațială a dotărilor și evenimentelor culturale pe întreg teritoriul urban. De asemenea, Sectorul 2 nu are încă o identitate proprie suficient conturată astfel încât să se deosebească drept un punct de atracție pentru comunitate sau pentru turiști, fie prin evenimentele pe care le susține local, ori prin infrastructura culturală și de petrecerea timpului liber de care dispune. </w:t>
      </w:r>
    </w:p>
    <w:p w14:paraId="53E6DA9D" w14:textId="77777777" w:rsidR="00303644" w:rsidRPr="00F171A3" w:rsidRDefault="00303644" w:rsidP="00303644"/>
    <w:p w14:paraId="5A5D9F3C" w14:textId="4207E776" w:rsidR="00303644" w:rsidRPr="00F171A3" w:rsidRDefault="001E0A0F" w:rsidP="001E0A0F">
      <w:pPr>
        <w:pStyle w:val="Heading4"/>
      </w:pPr>
      <w:bookmarkStart w:id="133" w:name="_heading=h.1302m92" w:colFirst="0" w:colLast="0"/>
      <w:bookmarkEnd w:id="133"/>
      <w:r w:rsidRPr="00F171A3">
        <w:t>POTENȚIALUL TURISTIC AL SECTORULUI 2</w:t>
      </w:r>
    </w:p>
    <w:p w14:paraId="54B2B7B5" w14:textId="5DCCD7D0" w:rsidR="00303644" w:rsidRPr="00F171A3" w:rsidRDefault="00303644" w:rsidP="00303644">
      <w:r w:rsidRPr="00F171A3">
        <w:t xml:space="preserve">Turismul reprezintă un sector de perspectivă, ce poate contribui la dezvoltarea economică a unui loc prin identitatea acestuia pe care o proiectează, precum și prin gradul de atractivitate pe care îl poate determina. Potențialul turistic al Sectorului 2 poate fi, cu toate acestea, privit doar în contextul mai extins al </w:t>
      </w:r>
      <w:r w:rsidR="00DE36DE" w:rsidRPr="00F171A3">
        <w:t>m</w:t>
      </w:r>
      <w:r w:rsidRPr="00F171A3">
        <w:t xml:space="preserve">unicipiului București, acesta fiind și cel mai important centru industrial, comercial și de atracție al turiștilor din țară. </w:t>
      </w:r>
    </w:p>
    <w:p w14:paraId="673E7EB5" w14:textId="4DC69150" w:rsidR="00303644" w:rsidRPr="00F171A3" w:rsidRDefault="00303644" w:rsidP="00303644">
      <w:r w:rsidRPr="00F171A3">
        <w:t xml:space="preserve">Cu un trecut deosebit, o atmosferă plină de viață și numeroase atracții turistice inedite, Bucureștiul este una dintre cele mai sigure și mai accesibile destinații din Europa. Arhitectura sa aparte, ce reprezintă un amestec între perioada comunistă și influențele moderne de azi, reflectă istoria variată a orașului și atrage anual un număr mare de turiști care doresc să se plimbe și să observe clădirile arhitecturale. Alături de acest aspect, oferta variată de activități pentru petrecerea timpului liber, precum și poziția sa ca punct de plecare către numeroase alte destinații fac din </w:t>
      </w:r>
      <w:r w:rsidR="00DE36DE" w:rsidRPr="00F171A3">
        <w:t>m</w:t>
      </w:r>
      <w:r w:rsidRPr="00F171A3">
        <w:t xml:space="preserve">unicipiul București o destinație turistică atractivă pentru toate tipurile de turiști. </w:t>
      </w:r>
    </w:p>
    <w:p w14:paraId="1E7C2776" w14:textId="7B418E59" w:rsidR="00303644" w:rsidRPr="00F171A3" w:rsidRDefault="00303644" w:rsidP="00D44B8A">
      <w:r w:rsidRPr="00F171A3">
        <w:t xml:space="preserve">În acest context, Sectorul 2 al </w:t>
      </w:r>
      <w:r w:rsidR="00DE36DE" w:rsidRPr="00F171A3">
        <w:t>m</w:t>
      </w:r>
      <w:r w:rsidRPr="00F171A3">
        <w:t>unicipiului București contribuie la atractivitatea de ansamblu a Capitalei, însă nu poate fi privit ca o destinație turistică în sine, neavând o identitate puternic conturată din acest punct de vedere.</w:t>
      </w:r>
      <w:r w:rsidRPr="00F171A3">
        <w:rPr>
          <w:vertAlign w:val="superscript"/>
        </w:rPr>
        <w:footnoteReference w:id="49"/>
      </w:r>
    </w:p>
    <w:p w14:paraId="1C028DF2" w14:textId="462F028F" w:rsidR="00303644" w:rsidRPr="00F171A3" w:rsidRDefault="00D44B8A" w:rsidP="00303644">
      <w:pPr>
        <w:keepNext/>
        <w:pBdr>
          <w:top w:val="nil"/>
          <w:left w:val="nil"/>
          <w:bottom w:val="nil"/>
          <w:right w:val="nil"/>
          <w:between w:val="nil"/>
        </w:pBdr>
        <w:rPr>
          <w:b/>
          <w:smallCaps/>
          <w:color w:val="134753"/>
        </w:rPr>
      </w:pPr>
      <w:r w:rsidRPr="00F171A3">
        <w:rPr>
          <w:b/>
          <w:smallCaps/>
          <w:color w:val="134753"/>
        </w:rPr>
        <w:t>TIPOLOGII DE TURISM</w:t>
      </w:r>
    </w:p>
    <w:p w14:paraId="290C399C" w14:textId="77837B05" w:rsidR="00303644" w:rsidRPr="00F171A3" w:rsidRDefault="00303644" w:rsidP="00303644">
      <w:r w:rsidRPr="00F171A3">
        <w:t xml:space="preserve">În ceea ce privește potențialul turistic al Sectorului 2, acesta se înscrie în tipologiile de turism caracteristice la nivelul </w:t>
      </w:r>
      <w:r w:rsidR="00DE36DE" w:rsidRPr="00F171A3">
        <w:t>m</w:t>
      </w:r>
      <w:r w:rsidRPr="00F171A3">
        <w:t>unicipiului București, si contribuie la oferta turistică a Capitalei din prezent datorită numeroaselor elemente care fac parte din imaginea turistică de ansamblu a Bucureștiului. În acest context, se poate vorbi de o gamă variată de tipologii de turism care există sau care ar putea fi mai mult valorificate și promovate.</w:t>
      </w:r>
    </w:p>
    <w:p w14:paraId="550ACE18" w14:textId="7BF89856" w:rsidR="00303644" w:rsidRPr="00F171A3" w:rsidRDefault="00303644" w:rsidP="00303644">
      <w:r w:rsidRPr="00F171A3">
        <w:rPr>
          <w:b/>
          <w:color w:val="3CA1BC"/>
        </w:rPr>
        <w:t>TURISMUL DE TRANZIT</w:t>
      </w:r>
      <w:r w:rsidRPr="00F171A3">
        <w:rPr>
          <w:color w:val="3CA1BC"/>
        </w:rPr>
        <w:t xml:space="preserve"> </w:t>
      </w:r>
      <w:r w:rsidRPr="00F171A3">
        <w:t>este cel în cadrul căruia accentul este pus cel mai mult pe activitățile și infrastructura turistică destinată unei perioade reduse a sejururilor. Acest tip de turism cuprinde turiștii care traversează o zonă sau o țară pentru a ajunge la destinația aleasă. În condițiile accesului crescut la toate mijloacele de transport – aerian, feroviar și rutier (</w:t>
      </w:r>
      <w:r w:rsidR="00DE36DE" w:rsidRPr="00F171A3">
        <w:t>m</w:t>
      </w:r>
      <w:r w:rsidRPr="00F171A3">
        <w:t xml:space="preserve">unicipiul București fiind unul dintre cele mai importante noduri de transport care oferă legături directe către alte zone din țară), turismul de tranzit a căpătat o amploare deosebită. Din aceste considerente, </w:t>
      </w:r>
      <w:r w:rsidR="00DE36DE" w:rsidRPr="00F171A3">
        <w:t>m</w:t>
      </w:r>
      <w:r w:rsidRPr="00F171A3">
        <w:t xml:space="preserve">unicipiul București este favorizat de poziția și importanța sa la nivel regional. </w:t>
      </w:r>
    </w:p>
    <w:p w14:paraId="1A913FF2" w14:textId="6D6E0C97" w:rsidR="00303644" w:rsidRPr="00F171A3" w:rsidRDefault="00303644" w:rsidP="00303644">
      <w:r w:rsidRPr="00F171A3">
        <w:t>În acest caz, este importantă, pe de-o parte infrastructura de cazare care trebuie să fie atractivă și accesibilă,  oferta de activități care trebuie să pună la dispoziția turiștilor o gamă variată de oportunități de petrecere a timpului liber de tipul dotărilor de alimentație publică sau culturale,</w:t>
      </w:r>
      <w:r w:rsidRPr="00F171A3">
        <w:rPr>
          <w:vertAlign w:val="superscript"/>
        </w:rPr>
        <w:footnoteReference w:id="50"/>
      </w:r>
      <w:r w:rsidRPr="00F171A3">
        <w:t xml:space="preserve"> precum și o serie de instrumente adecvate de promovare a acestora către turiștii care aleg să petreacă puțin timp în București. Prin intermediul unei promovări potrivite și vizibile a orașului și a ceea ce poate acesta să le ofere turiștilor, aceștia pot alege să revină aici pentru a petrece mai mult timp și pentru a putea vizita mai multe obiective. </w:t>
      </w:r>
    </w:p>
    <w:p w14:paraId="514ED67E" w14:textId="77777777" w:rsidR="00303644" w:rsidRPr="00F171A3" w:rsidRDefault="00303644" w:rsidP="00303644">
      <w:r w:rsidRPr="00F171A3">
        <w:rPr>
          <w:b/>
          <w:color w:val="3CA1BC"/>
        </w:rPr>
        <w:t xml:space="preserve">TURISMUL DE TIP CITY-BREAK </w:t>
      </w:r>
      <w:r w:rsidRPr="00F171A3">
        <w:t>este o formă de turism determinat de un sejur scurt, de obicei cuprins între 2-4 zile, în care se pot vizita mai multe obiective. În acest context, Sectorul 2 poate contribui atât prin infrastructura culturală și evenimentele culturale care se petrec pe raza acestuia, cât și prin cea turistică la asigurarea unei oferte variate de atracții pentru o perioadă scurtă de timp. De asemenea, această ofertă vine în completarea celei existente la nivelul întregului București, turiștii având astfel posibilitatea de a experimenta mult mai multe locații.</w:t>
      </w:r>
    </w:p>
    <w:p w14:paraId="588786B9" w14:textId="5A36534D" w:rsidR="00303644" w:rsidRPr="00F171A3" w:rsidRDefault="00303644" w:rsidP="00303644">
      <w:r w:rsidRPr="00F171A3">
        <w:rPr>
          <w:b/>
          <w:color w:val="3CA1BC"/>
        </w:rPr>
        <w:t>TURISMUL DE AFACERI SAU MICE (Meetings, Incentives, Conventions, Exhibition)</w:t>
      </w:r>
      <w:r w:rsidRPr="00F171A3">
        <w:t xml:space="preserve"> reprezintă o componentă a industriei ospitalității și este generatoare de imagine pozitivă și de venituri substanțiale pentru destinația în care se desfășoară această tipologie de turism. Circulația turistică are din ce în ce mai des drept motivație deplasarea în scop de muncă sau cu scopul de a participa la congrese și conferințe internaționale, expoziții și târguri specializate, forumuri de afaceri, sesiuni de training și programe de Team Building sau călătorii de stimulare a angajaților.</w:t>
      </w:r>
    </w:p>
    <w:p w14:paraId="62485713" w14:textId="0EAAB81A" w:rsidR="00303644" w:rsidRPr="00F171A3" w:rsidRDefault="00303644" w:rsidP="00303644">
      <w:r w:rsidRPr="00F171A3">
        <w:t xml:space="preserve">Rolul </w:t>
      </w:r>
      <w:r w:rsidR="00DE36DE" w:rsidRPr="00F171A3">
        <w:t>m</w:t>
      </w:r>
      <w:r w:rsidRPr="00F171A3">
        <w:t>unicipiului București de Capitală și localizarea unora dintre cele mai importante instituții publice de interes național a țării, precum și infrastructura de afaceri foarte bine dezvoltată spre exemplu în partea de nord a Bucureștiului, asigură un flux constant de turiști care aleg această destinație în scopuri de business. Pentru Sectorul 2 cea mai importantă astfel de zonă este zona Pipera – situată în partea de nord-est a Bucureștiului, fiind totodată și una dintre cele mai valoroase și populare zone business din București.</w:t>
      </w:r>
    </w:p>
    <w:p w14:paraId="0C415503" w14:textId="12CE8FB3" w:rsidR="00303644" w:rsidRPr="00F171A3" w:rsidRDefault="00303644" w:rsidP="00303644">
      <w:r w:rsidRPr="00F171A3">
        <w:rPr>
          <w:b/>
          <w:color w:val="3CA1BC"/>
        </w:rPr>
        <w:t>TURISMUL CULTURAL</w:t>
      </w:r>
      <w:r w:rsidRPr="00F171A3">
        <w:rPr>
          <w:color w:val="3CA1BC"/>
        </w:rPr>
        <w:t xml:space="preserve"> </w:t>
      </w:r>
      <w:r w:rsidRPr="00F171A3">
        <w:t>este definit</w:t>
      </w:r>
      <w:r w:rsidRPr="00F171A3">
        <w:rPr>
          <w:vertAlign w:val="superscript"/>
        </w:rPr>
        <w:footnoteReference w:id="51"/>
      </w:r>
      <w:r w:rsidRPr="00F171A3">
        <w:t xml:space="preserve"> ca fiind orice deplasare a unei persoane din motive esențial culturale cum ar fi circuitele turistice de studiu, artele spectacolului (dansul, teatru, muzica etc.), circuitele culturale, călătoriile la festivaluri sau alte evenimente culturale, vizitele în locuri culturale și la monumente etc. Acest tip de turism abordează cultura unui loc, în special valorile ei artistice și se bazează pe resursele locale din categoria lăcașurilor de cult religios, a instituțiilor de cultură, a monumentelor istorice și a spațiilor cu potențial de valorificare culturală.</w:t>
      </w:r>
    </w:p>
    <w:p w14:paraId="41671727" w14:textId="196B8CD6" w:rsidR="00303644" w:rsidRPr="00F171A3" w:rsidRDefault="00303644" w:rsidP="00303644">
      <w:r w:rsidRPr="00F171A3">
        <w:rPr>
          <w:b/>
          <w:color w:val="3CA1BC"/>
        </w:rPr>
        <w:t>TURISMUL DE AGREMENT</w:t>
      </w:r>
      <w:r w:rsidRPr="00F171A3">
        <w:rPr>
          <w:color w:val="3CA1BC"/>
        </w:rPr>
        <w:t xml:space="preserve"> </w:t>
      </w:r>
      <w:r w:rsidRPr="00F171A3">
        <w:t xml:space="preserve">fiind reprezentat prin ansamblul mijloacelor materiale și al activităților umane capabile să asigure turistului individual sau a unui grup de turiști, o stare de bună dispoziție, de plăcere și o amintire plăcută. </w:t>
      </w:r>
    </w:p>
    <w:p w14:paraId="2AEFFC73" w14:textId="77777777" w:rsidR="00303644" w:rsidRPr="00F171A3" w:rsidRDefault="00303644" w:rsidP="00303644">
      <w:bookmarkStart w:id="134" w:name="_heading=h.3mzq4wv" w:colFirst="0" w:colLast="0"/>
      <w:bookmarkEnd w:id="134"/>
      <w:r w:rsidRPr="00F171A3">
        <w:t>În același timp, proximitatea Capitalei cu regiunea București-Ilfov, oferă turiștilor și pasionaților de natură un număr mare de arii protejate de interes național (Lacul Snagov, Pădurea Snagov, Aria Naturală Protejată Scroviștea), sau domenii naturale protejate (Lacul și Pădurea Cernica, zona Gradiștea – Căldărușani – Dridu sau Pădurea Mogoșoaia). Acestora li se adaugă o serie de  alte zone de agrement precum Parcul Natural Delta Văcărești, Edenland Park, Divertiland Aqua Park, Artha Park, Water Park Otopeni, Ferma Animalelor, Phoenix Aventura Parc, Parc Aventura Comana, Parcul Codrii Vlăsiei sau Terra Park.</w:t>
      </w:r>
    </w:p>
    <w:p w14:paraId="53B493FB" w14:textId="77777777" w:rsidR="00303644" w:rsidRPr="00F171A3" w:rsidRDefault="00303644" w:rsidP="00303644">
      <w:r w:rsidRPr="00F171A3">
        <w:t xml:space="preserve">La nivel local, Sectorul 2 oferă posibilități multiple de petrecere a timpului liber și de agrement, unele dintre cele mai căutate locuri de agrement fiind parcurile de pe teritoriul Sectorului – Parcul Tei, Parcul Circului, Parcul Plumbuita, Parcul Obor, Parcul Florilor, Parcul Morarilor, Parcul Grădina Icoanei, Parcul Ioanid, alături de mall-urile Veranda Mall și Mega Mall sau Parcul de Agrement Tei alături de toate instalațiile existente (lanțuri, roata mică și roata mare etc.) sau Linden Park. </w:t>
      </w:r>
    </w:p>
    <w:p w14:paraId="519DD39B" w14:textId="3E0B6F80" w:rsidR="00303644" w:rsidRPr="00F171A3" w:rsidRDefault="00303644" w:rsidP="00303644">
      <w:r w:rsidRPr="00F171A3">
        <w:rPr>
          <w:b/>
          <w:color w:val="3CA1BC"/>
        </w:rPr>
        <w:t xml:space="preserve">TURISMUL DE EVENIMENTE </w:t>
      </w:r>
      <w:r w:rsidRPr="00F171A3">
        <w:t>este reprezentat de planificarea, dezvoltarea și marketingul sistematic al festivalurilor și al evenimentelor speciale considerate atracții turistice și nu numai.</w:t>
      </w:r>
      <w:r w:rsidRPr="00F171A3">
        <w:rPr>
          <w:b/>
        </w:rPr>
        <w:t xml:space="preserve"> </w:t>
      </w:r>
      <w:r w:rsidRPr="00F171A3">
        <w:t>El reprezintă unul dintre cele mai profitabile tipuri de turism și</w:t>
      </w:r>
      <w:r w:rsidRPr="00F171A3">
        <w:rPr>
          <w:b/>
          <w:color w:val="3CA1BC"/>
        </w:rPr>
        <w:t xml:space="preserve"> </w:t>
      </w:r>
      <w:r w:rsidRPr="00F171A3">
        <w:t xml:space="preserve">este foarte important la nivelul </w:t>
      </w:r>
      <w:r w:rsidR="00DE36DE" w:rsidRPr="00F171A3">
        <w:t>m</w:t>
      </w:r>
      <w:r w:rsidRPr="00F171A3">
        <w:t>unicipiului București, pe tot parcursul anului aici având loc o mare varietate de manifestații cultural-artistice.</w:t>
      </w:r>
    </w:p>
    <w:p w14:paraId="2ECBCFD4" w14:textId="2E8F5927" w:rsidR="00303644" w:rsidRPr="00F171A3" w:rsidRDefault="00303644" w:rsidP="00303644">
      <w:r w:rsidRPr="00F171A3">
        <w:t xml:space="preserve">Din perspectiva promovării culturii </w:t>
      </w:r>
      <w:r w:rsidR="00DE36DE" w:rsidRPr="00F171A3">
        <w:t>m</w:t>
      </w:r>
      <w:r w:rsidRPr="00F171A3">
        <w:t>unicipiului București, aceasta este realizată prin intermediul festivalurilor organizate la nivel local care îmbină diferite forme de exprimare, precum piese de teatru, muzică, gastronomie, arte vizuale și digitale, evenimente underground etc. Pe plan local, în vederea sporirii atractivității destinației și a Sectorului 2 pentru turiști, este necesară dezvoltarea unor noi produse turistice atractive și o promovare mai accentuată a acestora, astfel încât să atragă un număr cât mai mare și o gamă cât mai variată de turiști, care să găsească aici diverse oportunități inedite de petrecere a timpului liber.</w:t>
      </w:r>
    </w:p>
    <w:p w14:paraId="5BF0CEC8" w14:textId="77777777" w:rsidR="00303644" w:rsidRPr="00F171A3" w:rsidRDefault="00303644" w:rsidP="00303644"/>
    <w:p w14:paraId="4039B588" w14:textId="3ED4FCD3" w:rsidR="00303644" w:rsidRPr="00F171A3" w:rsidRDefault="00D44B8A" w:rsidP="00303644">
      <w:pPr>
        <w:keepNext/>
        <w:pBdr>
          <w:top w:val="nil"/>
          <w:left w:val="nil"/>
          <w:bottom w:val="nil"/>
          <w:right w:val="nil"/>
          <w:between w:val="nil"/>
        </w:pBdr>
        <w:rPr>
          <w:b/>
          <w:smallCaps/>
          <w:color w:val="134753"/>
        </w:rPr>
      </w:pPr>
      <w:r w:rsidRPr="00F171A3">
        <w:rPr>
          <w:b/>
          <w:smallCaps/>
          <w:color w:val="134753"/>
        </w:rPr>
        <w:t>INFRASTRUCTURA TURISTICĂ</w:t>
      </w:r>
    </w:p>
    <w:p w14:paraId="00F60B4F" w14:textId="7DBCF4FA" w:rsidR="00303644" w:rsidRPr="00F171A3" w:rsidRDefault="00303644" w:rsidP="00303644">
      <w:r w:rsidRPr="00F171A3">
        <w:t xml:space="preserve">În ceea ce privește infrastructura turistică, aceasta este alcătuită în primul rând din unitățile de cazare existente pe teritoriul </w:t>
      </w:r>
      <w:r w:rsidR="00DE36DE" w:rsidRPr="00F171A3">
        <w:t>m</w:t>
      </w:r>
      <w:r w:rsidRPr="00F171A3">
        <w:t>unicipiului București. La nivelul anului 2022, în Capitală sunt clasificate conform datelor</w:t>
      </w:r>
      <w:r w:rsidRPr="00F171A3">
        <w:rPr>
          <w:vertAlign w:val="superscript"/>
        </w:rPr>
        <w:footnoteReference w:id="52"/>
      </w:r>
      <w:r w:rsidRPr="00F171A3">
        <w:t xml:space="preserve"> de pe site-ul Ministerului Antreprenoriatului și  Turismului, un număr de 652 de astfel de structuri de cazare. Dintre acestea, 124 de structuri sunt numai în Sectorul 2, reprezentând aproximativ 19,02% din capacitatea totală de cazare.</w:t>
      </w:r>
    </w:p>
    <w:p w14:paraId="357C415D" w14:textId="39A4EFD3" w:rsidR="00303644" w:rsidRPr="00F171A3" w:rsidRDefault="00303644" w:rsidP="00303644">
      <w:pPr>
        <w:pStyle w:val="Caption"/>
      </w:pPr>
      <w:bookmarkStart w:id="135" w:name="_heading=h.2250f4o" w:colFirst="0" w:colLast="0"/>
      <w:bookmarkStart w:id="136" w:name="_Toc115268549"/>
      <w:bookmarkStart w:id="137" w:name="_Toc127198030"/>
      <w:bookmarkEnd w:id="135"/>
      <w:r w:rsidRPr="00F171A3">
        <w:t xml:space="preserve">Figura </w:t>
      </w:r>
      <w:r w:rsidRPr="00F171A3">
        <w:fldChar w:fldCharType="begin"/>
      </w:r>
      <w:r w:rsidRPr="00F171A3">
        <w:instrText xml:space="preserve"> SEQ Figura \* ARABIC </w:instrText>
      </w:r>
      <w:r w:rsidRPr="00F171A3">
        <w:fldChar w:fldCharType="separate"/>
      </w:r>
      <w:r w:rsidR="005A6DD8">
        <w:rPr>
          <w:noProof/>
        </w:rPr>
        <w:t>42</w:t>
      </w:r>
      <w:r w:rsidRPr="00F171A3">
        <w:fldChar w:fldCharType="end"/>
      </w:r>
      <w:r w:rsidRPr="00F171A3">
        <w:t xml:space="preserve"> Numărul de unități de cazare din Sectorul 2, după tipologia structurilor de primire turistică, anul 2022</w:t>
      </w:r>
      <w:bookmarkEnd w:id="136"/>
      <w:bookmarkEnd w:id="137"/>
    </w:p>
    <w:p w14:paraId="7AE4651F" w14:textId="77777777" w:rsidR="00303644" w:rsidRPr="00F171A3" w:rsidRDefault="00303644" w:rsidP="00303644">
      <w:r w:rsidRPr="00F171A3">
        <w:rPr>
          <w:noProof/>
        </w:rPr>
        <w:drawing>
          <wp:inline distT="0" distB="0" distL="0" distR="0" wp14:anchorId="7C34DAF3" wp14:editId="12C08E65">
            <wp:extent cx="5998210" cy="2178050"/>
            <wp:effectExtent l="0" t="0" r="0" b="0"/>
            <wp:docPr id="95" name="Diagramă 256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7085C63" w14:textId="6355E0E0" w:rsidR="00303644" w:rsidRPr="00F171A3" w:rsidRDefault="00303644" w:rsidP="00FF6C80">
      <w:pPr>
        <w:jc w:val="right"/>
        <w:rPr>
          <w:color w:val="BFBFBF" w:themeColor="background1" w:themeShade="BF"/>
        </w:rPr>
      </w:pPr>
      <w:r w:rsidRPr="00F171A3">
        <w:rPr>
          <w:color w:val="BFBFBF" w:themeColor="background1" w:themeShade="BF"/>
        </w:rPr>
        <w:t>Sursa: Ministerul Antreprenoriatului și Turismului</w:t>
      </w:r>
    </w:p>
    <w:p w14:paraId="06CCFAD7" w14:textId="77777777" w:rsidR="00303644" w:rsidRPr="00F171A3" w:rsidRDefault="00303644" w:rsidP="00303644">
      <w:r w:rsidRPr="00F171A3">
        <w:t>Din totalul acestor structuri, cea mai mare pondere este reprezentată de structura apartamentelor de închiriat care însumează un număr de 57 de unități de cazare și 303 de locuri de cazare, urmată de camerele de închiriat cu 26 de unități de cazare și 770 de locuri de cazare și cele 23 de structuri hoteliere cu 1.868 de locuri de cazare. Cele mai scăzute numere se înregistrează în cazul hostelurilor (9 unități de cazare), vilelor turistice (5 unități de cazare), pensiunilor turistice (3 unități de cazare) și hotel-apartamentelor (1 singură unitate de cazare).</w:t>
      </w:r>
    </w:p>
    <w:p w14:paraId="00BFB86A" w14:textId="77777777" w:rsidR="00303644" w:rsidRPr="00F171A3" w:rsidRDefault="00303644" w:rsidP="00303644">
      <w:r w:rsidRPr="00F171A3">
        <w:t>Diversitatea ofertei de cazare este vizibilă și la nivelul distribuției unităților de cazare clasificate pe categoriile de confort, în cadrul căreia predomină structurile de 3 stele – 99 de unități, urmate de structurile de 4 stele – 11 unități și structurile de 2 stele – 10 unități de acest fel. La nivelul Sectorului 2 sunt înregistrate 2 unități cu o singură stea și 1 unitate cu 2 flori. În ceea ce privește unitățile de cazare de 5 stele, pentru Sectorul 2 se înregistrează o singură unitate de acest fel.</w:t>
      </w:r>
    </w:p>
    <w:p w14:paraId="1D87DD69" w14:textId="2E40C0F4" w:rsidR="00303644" w:rsidRPr="00F171A3" w:rsidRDefault="00303644" w:rsidP="00303644">
      <w:pPr>
        <w:pStyle w:val="Caption"/>
      </w:pPr>
      <w:bookmarkStart w:id="138" w:name="_heading=h.haapch" w:colFirst="0" w:colLast="0"/>
      <w:bookmarkStart w:id="139" w:name="_Toc115268550"/>
      <w:bookmarkStart w:id="140" w:name="_Toc127198031"/>
      <w:bookmarkEnd w:id="138"/>
      <w:r w:rsidRPr="00F171A3">
        <w:t xml:space="preserve">Figura </w:t>
      </w:r>
      <w:r w:rsidRPr="00F171A3">
        <w:fldChar w:fldCharType="begin"/>
      </w:r>
      <w:r w:rsidRPr="00F171A3">
        <w:instrText xml:space="preserve"> SEQ Figura \* ARABIC </w:instrText>
      </w:r>
      <w:r w:rsidRPr="00F171A3">
        <w:fldChar w:fldCharType="separate"/>
      </w:r>
      <w:r w:rsidR="005A6DD8">
        <w:rPr>
          <w:noProof/>
        </w:rPr>
        <w:t>43</w:t>
      </w:r>
      <w:r w:rsidRPr="00F171A3">
        <w:fldChar w:fldCharType="end"/>
      </w:r>
      <w:r w:rsidRPr="00F171A3">
        <w:t xml:space="preserve"> Numărul de unități de cazare clasificate din Sectorul 2, pe categorii de confort, anul 2022</w:t>
      </w:r>
      <w:bookmarkEnd w:id="139"/>
      <w:bookmarkEnd w:id="140"/>
    </w:p>
    <w:p w14:paraId="0045C4FD" w14:textId="77777777" w:rsidR="00303644" w:rsidRPr="00F171A3" w:rsidRDefault="00303644" w:rsidP="00303644">
      <w:r w:rsidRPr="00F171A3">
        <w:rPr>
          <w:noProof/>
        </w:rPr>
        <w:drawing>
          <wp:inline distT="0" distB="0" distL="0" distR="0" wp14:anchorId="002384BF" wp14:editId="6DA854DF">
            <wp:extent cx="5998210" cy="2095500"/>
            <wp:effectExtent l="0" t="0" r="0" b="0"/>
            <wp:docPr id="96" name="Diagramă 256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FA2C819" w14:textId="496D1871" w:rsidR="00303644" w:rsidRPr="00F171A3" w:rsidRDefault="00303644" w:rsidP="00FF6C80">
      <w:pPr>
        <w:jc w:val="right"/>
        <w:rPr>
          <w:color w:val="BFBFBF" w:themeColor="background1" w:themeShade="BF"/>
        </w:rPr>
      </w:pPr>
      <w:r w:rsidRPr="00F171A3">
        <w:rPr>
          <w:color w:val="BFBFBF" w:themeColor="background1" w:themeShade="BF"/>
        </w:rPr>
        <w:t>Sursa: Ministerul Antreprenoriatului și Turismului</w:t>
      </w:r>
    </w:p>
    <w:p w14:paraId="72E324AC" w14:textId="40A35A4F" w:rsidR="00303644" w:rsidRPr="00F171A3" w:rsidRDefault="00303644" w:rsidP="00303644">
      <w:r w:rsidRPr="00F171A3">
        <w:t xml:space="preserve">Pentru a observa evoluția capacității de cazare de la nivelul </w:t>
      </w:r>
      <w:r w:rsidR="00DE36DE" w:rsidRPr="00F171A3">
        <w:t>m</w:t>
      </w:r>
      <w:r w:rsidRPr="00F171A3">
        <w:t>unicipiului București, precum și viitoarele tendințe de dezvoltare ale acestuia, baza de date a Institutului Național de Statistică oferă posibilitatea studierii ofertei de cazare din ultimii ani.</w:t>
      </w:r>
    </w:p>
    <w:p w14:paraId="79BA009C" w14:textId="71838372" w:rsidR="00303644" w:rsidRPr="00F171A3" w:rsidRDefault="00303644" w:rsidP="00303644">
      <w:pPr>
        <w:pStyle w:val="Caption"/>
      </w:pPr>
      <w:bookmarkStart w:id="141" w:name="_heading=h.319y80a" w:colFirst="0" w:colLast="0"/>
      <w:bookmarkStart w:id="142" w:name="_Toc115268551"/>
      <w:bookmarkStart w:id="143" w:name="_Toc127198032"/>
      <w:bookmarkEnd w:id="141"/>
      <w:r w:rsidRPr="00F171A3">
        <w:t xml:space="preserve">Figura </w:t>
      </w:r>
      <w:r w:rsidRPr="00F171A3">
        <w:fldChar w:fldCharType="begin"/>
      </w:r>
      <w:r w:rsidRPr="00F171A3">
        <w:instrText xml:space="preserve"> SEQ Figura \* ARABIC </w:instrText>
      </w:r>
      <w:r w:rsidRPr="00F171A3">
        <w:fldChar w:fldCharType="separate"/>
      </w:r>
      <w:r w:rsidR="005A6DD8">
        <w:rPr>
          <w:noProof/>
        </w:rPr>
        <w:t>44</w:t>
      </w:r>
      <w:r w:rsidRPr="00F171A3">
        <w:fldChar w:fldCharType="end"/>
      </w:r>
      <w:r w:rsidRPr="00F171A3">
        <w:t xml:space="preserve"> Evoluția capacității de cazare turistică existentă pe tipuri de structuri turistice la nivelul Municipiului București, număr de locuri în perioada 2016-2021</w:t>
      </w:r>
      <w:bookmarkEnd w:id="142"/>
      <w:bookmarkEnd w:id="143"/>
    </w:p>
    <w:p w14:paraId="6FB64C44" w14:textId="77777777" w:rsidR="00303644" w:rsidRPr="00F171A3" w:rsidRDefault="00303644" w:rsidP="00303644">
      <w:r w:rsidRPr="00F171A3">
        <w:rPr>
          <w:noProof/>
        </w:rPr>
        <w:drawing>
          <wp:inline distT="0" distB="0" distL="0" distR="0" wp14:anchorId="6DCCE5C6" wp14:editId="6897C168">
            <wp:extent cx="5998210" cy="2019300"/>
            <wp:effectExtent l="0" t="0" r="0" b="0"/>
            <wp:docPr id="97" name="Diagramă 256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F98C69D" w14:textId="77777777" w:rsidR="00303644" w:rsidRPr="00F171A3" w:rsidRDefault="00303644" w:rsidP="00FF6C80">
      <w:pPr>
        <w:jc w:val="right"/>
        <w:rPr>
          <w:color w:val="BFBFBF" w:themeColor="background1" w:themeShade="BF"/>
        </w:rPr>
      </w:pPr>
      <w:r w:rsidRPr="00F171A3">
        <w:rPr>
          <w:color w:val="BFBFBF" w:themeColor="background1" w:themeShade="BF"/>
        </w:rPr>
        <w:t>Sursa: Baza de date INS TEMPO</w:t>
      </w:r>
    </w:p>
    <w:p w14:paraId="63083CE4" w14:textId="1A71D663" w:rsidR="00303644" w:rsidRPr="00F171A3" w:rsidRDefault="00303644" w:rsidP="00303644">
      <w:r w:rsidRPr="00F171A3">
        <w:t xml:space="preserve">Astfel, la nivelul bazei de date colectate, în cadrul </w:t>
      </w:r>
      <w:r w:rsidR="00DE36DE" w:rsidRPr="00F171A3">
        <w:t>m</w:t>
      </w:r>
      <w:r w:rsidRPr="00F171A3">
        <w:t>unicipiului București există pentru anul 2021 un număr de 22.625 de locuri de cazare, reprezentând o creștere de aproximativ 11,74% față de anul 2016. Această creștere indică interesul crescut pentru dezvoltarea sectorului turistic din ultimii ani și influența pozitivă pe care o are bogăția culturală și scena cultural-artistică activă asupra sectorului turistic, inclusiv în perioada pandemiei de COVID-19.</w:t>
      </w:r>
    </w:p>
    <w:p w14:paraId="4E14D816" w14:textId="0703BB7D" w:rsidR="00303644" w:rsidRPr="00F171A3" w:rsidRDefault="00303644" w:rsidP="00303644">
      <w:r w:rsidRPr="00F171A3">
        <w:t xml:space="preserve">În ceea ce privește oferta structurilor de cazare în Sectorul 2 al </w:t>
      </w:r>
      <w:r w:rsidR="00DE36DE" w:rsidRPr="00F171A3">
        <w:t>m</w:t>
      </w:r>
      <w:r w:rsidRPr="00F171A3">
        <w:t>unicipiului București, prin sondarea portalurilor web</w:t>
      </w:r>
      <w:r w:rsidRPr="00F171A3">
        <w:rPr>
          <w:vertAlign w:val="superscript"/>
        </w:rPr>
        <w:footnoteReference w:id="53"/>
      </w:r>
      <w:r w:rsidRPr="00F171A3">
        <w:t xml:space="preserve">  care intermediază servicii de cazare (Booking și Airbnb), se constată un număr mult mai mare de înregistrări ale unităților de cazare față de datele disponibile în bazele de date ale Ministerului Antreprenoriatului și Turismului, Airbnb înregistrând un număr de 300 de unități de cazare, iar Booking un număr de 261 de unități de cazare. </w:t>
      </w:r>
    </w:p>
    <w:p w14:paraId="2E0A9550" w14:textId="5616C558" w:rsidR="00303644" w:rsidRPr="00F171A3" w:rsidRDefault="00303644" w:rsidP="00303644">
      <w:pPr>
        <w:pStyle w:val="Caption"/>
      </w:pPr>
      <w:bookmarkStart w:id="144" w:name="_heading=h.1gf8i83" w:colFirst="0" w:colLast="0"/>
      <w:bookmarkStart w:id="145" w:name="_Toc115268552"/>
      <w:bookmarkStart w:id="146" w:name="_Toc127198033"/>
      <w:bookmarkEnd w:id="144"/>
      <w:r w:rsidRPr="00F171A3">
        <w:t xml:space="preserve">Figura </w:t>
      </w:r>
      <w:r w:rsidRPr="00F171A3">
        <w:fldChar w:fldCharType="begin"/>
      </w:r>
      <w:r w:rsidRPr="00F171A3">
        <w:instrText xml:space="preserve"> SEQ Figura \* ARABIC </w:instrText>
      </w:r>
      <w:r w:rsidRPr="00F171A3">
        <w:fldChar w:fldCharType="separate"/>
      </w:r>
      <w:r w:rsidR="005A6DD8">
        <w:rPr>
          <w:noProof/>
        </w:rPr>
        <w:t>45</w:t>
      </w:r>
      <w:r w:rsidRPr="00F171A3">
        <w:fldChar w:fldCharType="end"/>
      </w:r>
      <w:r w:rsidRPr="00F171A3">
        <w:t xml:space="preserve"> Numărul unităților de cazare din Sectorul 2, comparație Ministerul Antreprenoriatului și Turismului – Airbnb – Booking, anul 2022</w:t>
      </w:r>
      <w:bookmarkEnd w:id="145"/>
      <w:bookmarkEnd w:id="146"/>
    </w:p>
    <w:p w14:paraId="670EEB03" w14:textId="77777777" w:rsidR="00303644" w:rsidRPr="00F171A3" w:rsidRDefault="00303644" w:rsidP="00303644">
      <w:pPr>
        <w:jc w:val="center"/>
      </w:pPr>
      <w:r w:rsidRPr="00F171A3">
        <w:rPr>
          <w:noProof/>
        </w:rPr>
        <w:drawing>
          <wp:inline distT="0" distB="0" distL="0" distR="0" wp14:anchorId="20E3A2F3" wp14:editId="57EF1AE5">
            <wp:extent cx="4351020" cy="2072640"/>
            <wp:effectExtent l="0" t="0" r="0" b="0"/>
            <wp:docPr id="98" name="Diagramă 256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25AC0D6" w14:textId="239B7463" w:rsidR="00303644" w:rsidRPr="00F171A3" w:rsidRDefault="00303644" w:rsidP="00FF6C80">
      <w:pPr>
        <w:jc w:val="right"/>
        <w:rPr>
          <w:color w:val="BFBFBF" w:themeColor="background1" w:themeShade="BF"/>
        </w:rPr>
      </w:pPr>
      <w:r w:rsidRPr="00F171A3">
        <w:rPr>
          <w:color w:val="BFBFBF" w:themeColor="background1" w:themeShade="BF"/>
        </w:rPr>
        <w:t>Sursa: Baza de date a Ministerului Antreprenoriatului și Turismului, Booking și Airbnb</w:t>
      </w:r>
    </w:p>
    <w:p w14:paraId="2EA4970D" w14:textId="77777777" w:rsidR="00303644" w:rsidRPr="00F171A3" w:rsidRDefault="00303644" w:rsidP="00303644">
      <w:r w:rsidRPr="00F171A3">
        <w:t xml:space="preserve">Distribuția în teritoriu a acestor unități de cazare indică o concentrare preponderent în zona centrală a Capitalei sau în proximitatea unor puncte de interes precum Gara Obor, Arena Națională, Institutul Clinic Fundeni, Spitalul Clinic Colentina, zona Dorobanți, cartierul Armenesc, Calea Moșilor, Maria Rosetti sau zone cu deschidere la bulevard și acces la un mijloc de transport în comun. De asemenea, acestea sunt localizate în special acolo unde există o concentrare de monumente și de locuri de importanță arhitectural-urbanistică, culturală sau istorică. </w:t>
      </w:r>
    </w:p>
    <w:p w14:paraId="7B43A83C" w14:textId="77777777" w:rsidR="00303644" w:rsidRPr="00F171A3" w:rsidRDefault="00303644" w:rsidP="00303644">
      <w:pPr>
        <w:rPr>
          <w:i/>
        </w:rPr>
      </w:pPr>
      <w:r w:rsidRPr="00F171A3">
        <w:t>La polul opus, zona Pantelimon de exemplu, nu prezintă nicio unitate de cazare pusă pe platforme de închiriere. De altfel, există fragmente din Sectorul 2 în care sectorul turistic nu este dezvoltat (Tei, Doamna Ghica, Electronici, Chișinău) sau zone ample de locuire individuală, fără potențial turistic precum cartierele Andronache, Ion Creangă și Pantelimon, astfel că și unitățile de cazare din aceste zone sunt mai restrânse.</w:t>
      </w:r>
      <w:r w:rsidRPr="00F171A3">
        <w:rPr>
          <w:vertAlign w:val="superscript"/>
        </w:rPr>
        <w:footnoteReference w:id="54"/>
      </w:r>
    </w:p>
    <w:p w14:paraId="45922607" w14:textId="22B93323" w:rsidR="00303644" w:rsidRPr="00F171A3" w:rsidRDefault="00303644" w:rsidP="00303644">
      <w:pPr>
        <w:pStyle w:val="Caption"/>
      </w:pPr>
      <w:bookmarkStart w:id="147" w:name="_heading=h.40ew0vw" w:colFirst="0" w:colLast="0"/>
      <w:bookmarkStart w:id="148" w:name="_Toc115268553"/>
      <w:bookmarkStart w:id="149" w:name="_Toc127198034"/>
      <w:bookmarkEnd w:id="147"/>
      <w:r w:rsidRPr="00F171A3">
        <w:t xml:space="preserve">Figura </w:t>
      </w:r>
      <w:r w:rsidRPr="00F171A3">
        <w:fldChar w:fldCharType="begin"/>
      </w:r>
      <w:r w:rsidRPr="00F171A3">
        <w:instrText xml:space="preserve"> SEQ Figura \* ARABIC </w:instrText>
      </w:r>
      <w:r w:rsidRPr="00F171A3">
        <w:fldChar w:fldCharType="separate"/>
      </w:r>
      <w:r w:rsidR="005A6DD8">
        <w:rPr>
          <w:noProof/>
        </w:rPr>
        <w:t>46</w:t>
      </w:r>
      <w:r w:rsidRPr="00F171A3">
        <w:fldChar w:fldCharType="end"/>
      </w:r>
      <w:r w:rsidRPr="00F171A3">
        <w:t xml:space="preserve"> Distribuția spațială a unităților de cazare la nivelul Sectorului 2, conform Booking</w:t>
      </w:r>
      <w:bookmarkEnd w:id="148"/>
      <w:bookmarkEnd w:id="149"/>
    </w:p>
    <w:p w14:paraId="12C9B330" w14:textId="77777777" w:rsidR="00303644" w:rsidRPr="00F171A3" w:rsidRDefault="00303644" w:rsidP="00303644">
      <w:pPr>
        <w:jc w:val="center"/>
      </w:pPr>
      <w:r w:rsidRPr="00F171A3">
        <w:rPr>
          <w:noProof/>
        </w:rPr>
        <w:drawing>
          <wp:inline distT="0" distB="0" distL="0" distR="0" wp14:anchorId="0AE79C23" wp14:editId="725D8F21">
            <wp:extent cx="5998210" cy="4447455"/>
            <wp:effectExtent l="0" t="0" r="0" b="0"/>
            <wp:docPr id="257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5"/>
                    <a:srcRect t="9700" b="2573"/>
                    <a:stretch>
                      <a:fillRect/>
                    </a:stretch>
                  </pic:blipFill>
                  <pic:spPr>
                    <a:xfrm>
                      <a:off x="0" y="0"/>
                      <a:ext cx="5998210" cy="4447455"/>
                    </a:xfrm>
                    <a:prstGeom prst="rect">
                      <a:avLst/>
                    </a:prstGeom>
                    <a:ln/>
                  </pic:spPr>
                </pic:pic>
              </a:graphicData>
            </a:graphic>
          </wp:inline>
        </w:drawing>
      </w:r>
    </w:p>
    <w:p w14:paraId="5EEBE757" w14:textId="77777777" w:rsidR="00303644" w:rsidRPr="00F171A3" w:rsidRDefault="00303644" w:rsidP="00FF6C80">
      <w:pPr>
        <w:jc w:val="right"/>
        <w:rPr>
          <w:color w:val="BFBFBF" w:themeColor="background1" w:themeShade="BF"/>
        </w:rPr>
      </w:pPr>
      <w:r w:rsidRPr="00F171A3">
        <w:rPr>
          <w:color w:val="BFBFBF" w:themeColor="background1" w:themeShade="BF"/>
        </w:rPr>
        <w:t xml:space="preserve">Sursa: Booking.com </w:t>
      </w:r>
    </w:p>
    <w:p w14:paraId="1B16E992" w14:textId="77777777" w:rsidR="00303644" w:rsidRPr="00F171A3" w:rsidRDefault="00303644" w:rsidP="00303644">
      <w:r w:rsidRPr="00F171A3">
        <w:t>Mai mult, aceste două platforme aduc un aport considerabil la oferta turistică existentă în Sectorul 2, atât prin diversificarea tipologiilor de structuri disponibile, cât și prin posibilitatea accesării unui număr mult mai mare de oferte de cazare la nivelul acestei zone.</w:t>
      </w:r>
    </w:p>
    <w:p w14:paraId="590B4E45" w14:textId="77777777" w:rsidR="00303644" w:rsidRPr="00F171A3" w:rsidRDefault="00303644" w:rsidP="00303644">
      <w:pPr>
        <w:keepNext/>
        <w:pBdr>
          <w:top w:val="nil"/>
          <w:left w:val="nil"/>
          <w:bottom w:val="nil"/>
          <w:right w:val="nil"/>
          <w:between w:val="nil"/>
        </w:pBdr>
        <w:rPr>
          <w:b/>
          <w:smallCaps/>
          <w:color w:val="134753"/>
        </w:rPr>
      </w:pPr>
    </w:p>
    <w:p w14:paraId="21C68ACE" w14:textId="25587846" w:rsidR="00303644" w:rsidRPr="00F171A3" w:rsidRDefault="00D44B8A" w:rsidP="00303644">
      <w:pPr>
        <w:keepNext/>
        <w:pBdr>
          <w:top w:val="nil"/>
          <w:left w:val="nil"/>
          <w:bottom w:val="nil"/>
          <w:right w:val="nil"/>
          <w:between w:val="nil"/>
        </w:pBdr>
        <w:rPr>
          <w:b/>
          <w:smallCaps/>
          <w:color w:val="134753"/>
        </w:rPr>
      </w:pPr>
      <w:r w:rsidRPr="00F171A3">
        <w:rPr>
          <w:b/>
          <w:smallCaps/>
          <w:color w:val="134753"/>
        </w:rPr>
        <w:t>CIRCULAȚIA ȘI PERFORMANȚA TURISTICĂ</w:t>
      </w:r>
    </w:p>
    <w:p w14:paraId="58C7BD3A" w14:textId="77777777" w:rsidR="00303644" w:rsidRPr="00F171A3" w:rsidRDefault="00303644" w:rsidP="00303644">
      <w:r w:rsidRPr="00F171A3">
        <w:t xml:space="preserve">Sectorul turismului a înregistrat în ultimii ani o creștere susținută, fiind un sector care contribuie exponențial la dezvoltarea regională și creșterea competitivității economice. Principalele beneficii ale turismului sunt producerea de venit și generarea de locuri de muncă. </w:t>
      </w:r>
    </w:p>
    <w:p w14:paraId="01B34359" w14:textId="77777777" w:rsidR="00303644" w:rsidRPr="00F171A3" w:rsidRDefault="00303644" w:rsidP="00303644">
      <w:r w:rsidRPr="00F171A3">
        <w:t>La nivel municipal, se poate observa faptul că în ultimii ani s-a înregistrat o tendință ușoară de creștere a numărului de turiști sosiți (perioada anterioară pandemiei), pe fondul atât al dezvoltării economice a Capitalei, cât și al inițiativelor de promovare turistică și de diversificare a ofertelor cultural-turistice de la nivel național.</w:t>
      </w:r>
    </w:p>
    <w:p w14:paraId="7D5B894A" w14:textId="7657C6EB" w:rsidR="00303644" w:rsidRPr="00F171A3" w:rsidRDefault="00303644" w:rsidP="00303644">
      <w:pPr>
        <w:pStyle w:val="Caption"/>
      </w:pPr>
      <w:bookmarkStart w:id="150" w:name="_heading=h.2fk6b3p" w:colFirst="0" w:colLast="0"/>
      <w:bookmarkStart w:id="151" w:name="_Toc126943279"/>
      <w:bookmarkEnd w:id="150"/>
      <w:r w:rsidRPr="00F171A3">
        <w:t xml:space="preserve">Tabel </w:t>
      </w:r>
      <w:r w:rsidRPr="00F171A3">
        <w:fldChar w:fldCharType="begin"/>
      </w:r>
      <w:r w:rsidRPr="00F171A3">
        <w:instrText xml:space="preserve"> SEQ Tabel \* ARABIC </w:instrText>
      </w:r>
      <w:r w:rsidRPr="00F171A3">
        <w:fldChar w:fldCharType="separate"/>
      </w:r>
      <w:r w:rsidR="005A6DD8">
        <w:rPr>
          <w:noProof/>
        </w:rPr>
        <w:t>22</w:t>
      </w:r>
      <w:r w:rsidRPr="00F171A3">
        <w:fldChar w:fldCharType="end"/>
      </w:r>
      <w:r w:rsidRPr="00F171A3">
        <w:t xml:space="preserve"> Evoluția principalolor indicatori ai circulației turistice în Municipiul București, în perioada 2016-2021</w:t>
      </w:r>
      <w:bookmarkEnd w:id="151"/>
    </w:p>
    <w:tbl>
      <w:tblPr>
        <w:tblStyle w:val="Civittatable"/>
        <w:tblW w:w="5000" w:type="pct"/>
        <w:tblLayout w:type="fixed"/>
        <w:tblLook w:val="0420" w:firstRow="1" w:lastRow="0" w:firstColumn="0" w:lastColumn="0" w:noHBand="0" w:noVBand="1"/>
      </w:tblPr>
      <w:tblGrid>
        <w:gridCol w:w="1178"/>
        <w:gridCol w:w="1829"/>
        <w:gridCol w:w="1683"/>
        <w:gridCol w:w="1972"/>
        <w:gridCol w:w="2774"/>
      </w:tblGrid>
      <w:tr w:rsidR="00303644" w:rsidRPr="00F171A3" w14:paraId="6A92DFD4" w14:textId="77777777" w:rsidTr="00D44B8A">
        <w:trPr>
          <w:cnfStyle w:val="100000000000" w:firstRow="1" w:lastRow="0" w:firstColumn="0" w:lastColumn="0" w:oddVBand="0" w:evenVBand="0" w:oddHBand="0" w:evenHBand="0" w:firstRowFirstColumn="0" w:firstRowLastColumn="0" w:lastRowFirstColumn="0" w:lastRowLastColumn="0"/>
          <w:trHeight w:val="670"/>
        </w:trPr>
        <w:tc>
          <w:tcPr>
            <w:tcW w:w="624" w:type="pct"/>
            <w:vAlign w:val="center"/>
          </w:tcPr>
          <w:p w14:paraId="3BAEE7ED" w14:textId="77777777" w:rsidR="00303644" w:rsidRPr="00F171A3" w:rsidRDefault="00303644" w:rsidP="00D44B8A">
            <w:pPr>
              <w:jc w:val="center"/>
              <w:rPr>
                <w:b/>
                <w:bCs/>
              </w:rPr>
            </w:pPr>
            <w:r w:rsidRPr="00F171A3">
              <w:rPr>
                <w:b/>
                <w:bCs/>
              </w:rPr>
              <w:t>ANUL</w:t>
            </w:r>
          </w:p>
        </w:tc>
        <w:tc>
          <w:tcPr>
            <w:tcW w:w="969" w:type="pct"/>
            <w:vAlign w:val="center"/>
          </w:tcPr>
          <w:p w14:paraId="4004354E" w14:textId="77777777" w:rsidR="00303644" w:rsidRPr="00F171A3" w:rsidRDefault="00303644" w:rsidP="00D44B8A">
            <w:pPr>
              <w:jc w:val="center"/>
              <w:rPr>
                <w:b/>
                <w:bCs/>
              </w:rPr>
            </w:pPr>
            <w:r w:rsidRPr="00F171A3">
              <w:rPr>
                <w:b/>
                <w:bCs/>
              </w:rPr>
              <w:t>SOSIRI ALE TURIȘTILOR</w:t>
            </w:r>
          </w:p>
        </w:tc>
        <w:tc>
          <w:tcPr>
            <w:tcW w:w="892" w:type="pct"/>
            <w:vAlign w:val="center"/>
          </w:tcPr>
          <w:p w14:paraId="7C7DD2BD" w14:textId="77777777" w:rsidR="00303644" w:rsidRPr="00F171A3" w:rsidRDefault="00303644" w:rsidP="00D44B8A">
            <w:pPr>
              <w:jc w:val="center"/>
              <w:rPr>
                <w:b/>
                <w:bCs/>
              </w:rPr>
            </w:pPr>
            <w:r w:rsidRPr="00F171A3">
              <w:rPr>
                <w:b/>
                <w:bCs/>
              </w:rPr>
              <w:t>ÎNNOPTĂRI ALE TURIȘTILOR</w:t>
            </w:r>
          </w:p>
        </w:tc>
        <w:tc>
          <w:tcPr>
            <w:tcW w:w="1045" w:type="pct"/>
            <w:vAlign w:val="center"/>
          </w:tcPr>
          <w:p w14:paraId="020AA1F6" w14:textId="77777777" w:rsidR="00303644" w:rsidRPr="00F171A3" w:rsidRDefault="00303644" w:rsidP="00D44B8A">
            <w:pPr>
              <w:jc w:val="center"/>
              <w:rPr>
                <w:b/>
                <w:bCs/>
              </w:rPr>
            </w:pPr>
            <w:r w:rsidRPr="00F171A3">
              <w:rPr>
                <w:b/>
                <w:bCs/>
              </w:rPr>
              <w:t>DURATA MEDIE DE ȘEDERE</w:t>
            </w:r>
          </w:p>
        </w:tc>
        <w:tc>
          <w:tcPr>
            <w:tcW w:w="1470" w:type="pct"/>
            <w:vAlign w:val="center"/>
          </w:tcPr>
          <w:p w14:paraId="6CF4133C" w14:textId="4E0AE77A" w:rsidR="00303644" w:rsidRPr="00F171A3" w:rsidRDefault="00303644" w:rsidP="00D44B8A">
            <w:pPr>
              <w:jc w:val="center"/>
              <w:rPr>
                <w:b/>
                <w:bCs/>
              </w:rPr>
            </w:pPr>
            <w:r w:rsidRPr="00F171A3">
              <w:rPr>
                <w:b/>
                <w:bCs/>
              </w:rPr>
              <w:t>INDICELE DE UTILIZARE A CAPACITĂȚII DE CAZARE</w:t>
            </w:r>
          </w:p>
        </w:tc>
      </w:tr>
      <w:tr w:rsidR="00303644" w:rsidRPr="00F171A3" w14:paraId="55AC19C5" w14:textId="77777777" w:rsidTr="00303644">
        <w:trPr>
          <w:cnfStyle w:val="000000100000" w:firstRow="0" w:lastRow="0" w:firstColumn="0" w:lastColumn="0" w:oddVBand="0" w:evenVBand="0" w:oddHBand="1" w:evenHBand="0" w:firstRowFirstColumn="0" w:firstRowLastColumn="0" w:lastRowFirstColumn="0" w:lastRowLastColumn="0"/>
          <w:trHeight w:val="397"/>
        </w:trPr>
        <w:tc>
          <w:tcPr>
            <w:tcW w:w="624" w:type="pct"/>
          </w:tcPr>
          <w:p w14:paraId="1FA1C2AD" w14:textId="77777777" w:rsidR="00303644" w:rsidRPr="00F171A3" w:rsidRDefault="00303644" w:rsidP="00F31936">
            <w:pPr>
              <w:spacing w:after="0"/>
              <w:jc w:val="center"/>
              <w:rPr>
                <w:color w:val="000000"/>
              </w:rPr>
            </w:pPr>
            <w:r w:rsidRPr="00F171A3">
              <w:rPr>
                <w:color w:val="000000"/>
              </w:rPr>
              <w:t>2016</w:t>
            </w:r>
          </w:p>
        </w:tc>
        <w:tc>
          <w:tcPr>
            <w:tcW w:w="969" w:type="pct"/>
          </w:tcPr>
          <w:p w14:paraId="1BB62797" w14:textId="77777777" w:rsidR="00303644" w:rsidRPr="00F171A3" w:rsidRDefault="00303644" w:rsidP="00F31936">
            <w:pPr>
              <w:spacing w:after="0"/>
              <w:jc w:val="center"/>
              <w:rPr>
                <w:color w:val="000000"/>
              </w:rPr>
            </w:pPr>
            <w:r w:rsidRPr="00F171A3">
              <w:rPr>
                <w:color w:val="000000"/>
              </w:rPr>
              <w:t>1.926.919</w:t>
            </w:r>
          </w:p>
        </w:tc>
        <w:tc>
          <w:tcPr>
            <w:tcW w:w="892" w:type="pct"/>
          </w:tcPr>
          <w:p w14:paraId="36197CEF" w14:textId="77777777" w:rsidR="00303644" w:rsidRPr="00F171A3" w:rsidRDefault="00303644" w:rsidP="00F31936">
            <w:pPr>
              <w:spacing w:after="0"/>
              <w:jc w:val="center"/>
              <w:rPr>
                <w:color w:val="000000"/>
              </w:rPr>
            </w:pPr>
            <w:r w:rsidRPr="00F171A3">
              <w:rPr>
                <w:color w:val="000000"/>
              </w:rPr>
              <w:t>3.149.970</w:t>
            </w:r>
          </w:p>
        </w:tc>
        <w:tc>
          <w:tcPr>
            <w:tcW w:w="1045" w:type="pct"/>
          </w:tcPr>
          <w:p w14:paraId="0ADAB5B1" w14:textId="77777777" w:rsidR="00303644" w:rsidRPr="00F171A3" w:rsidRDefault="00303644" w:rsidP="00F31936">
            <w:pPr>
              <w:spacing w:after="0"/>
              <w:jc w:val="center"/>
              <w:rPr>
                <w:color w:val="000000"/>
              </w:rPr>
            </w:pPr>
            <w:r w:rsidRPr="00F171A3">
              <w:rPr>
                <w:color w:val="000000"/>
              </w:rPr>
              <w:t>1,63</w:t>
            </w:r>
          </w:p>
        </w:tc>
        <w:tc>
          <w:tcPr>
            <w:tcW w:w="1470" w:type="pct"/>
          </w:tcPr>
          <w:p w14:paraId="03790B1D" w14:textId="77777777" w:rsidR="00303644" w:rsidRPr="00F171A3" w:rsidRDefault="00303644" w:rsidP="00F31936">
            <w:pPr>
              <w:spacing w:after="0"/>
              <w:jc w:val="center"/>
              <w:rPr>
                <w:color w:val="000000"/>
              </w:rPr>
            </w:pPr>
            <w:r w:rsidRPr="00F171A3">
              <w:rPr>
                <w:color w:val="000000"/>
              </w:rPr>
              <w:t>42,49%</w:t>
            </w:r>
          </w:p>
        </w:tc>
      </w:tr>
      <w:tr w:rsidR="00303644" w:rsidRPr="00F171A3" w14:paraId="261969F8" w14:textId="77777777" w:rsidTr="00303644">
        <w:trPr>
          <w:cnfStyle w:val="000000010000" w:firstRow="0" w:lastRow="0" w:firstColumn="0" w:lastColumn="0" w:oddVBand="0" w:evenVBand="0" w:oddHBand="0" w:evenHBand="1" w:firstRowFirstColumn="0" w:firstRowLastColumn="0" w:lastRowFirstColumn="0" w:lastRowLastColumn="0"/>
          <w:trHeight w:val="397"/>
        </w:trPr>
        <w:tc>
          <w:tcPr>
            <w:tcW w:w="624" w:type="pct"/>
          </w:tcPr>
          <w:p w14:paraId="46658A49" w14:textId="77777777" w:rsidR="00303644" w:rsidRPr="00F171A3" w:rsidRDefault="00303644" w:rsidP="00F31936">
            <w:pPr>
              <w:spacing w:after="0"/>
              <w:jc w:val="center"/>
              <w:rPr>
                <w:color w:val="000000"/>
              </w:rPr>
            </w:pPr>
            <w:r w:rsidRPr="00F171A3">
              <w:rPr>
                <w:color w:val="000000"/>
              </w:rPr>
              <w:t>2017</w:t>
            </w:r>
          </w:p>
        </w:tc>
        <w:tc>
          <w:tcPr>
            <w:tcW w:w="969" w:type="pct"/>
          </w:tcPr>
          <w:p w14:paraId="4076E5B1" w14:textId="77777777" w:rsidR="00303644" w:rsidRPr="00F171A3" w:rsidRDefault="00303644" w:rsidP="00F31936">
            <w:pPr>
              <w:tabs>
                <w:tab w:val="left" w:pos="1385"/>
              </w:tabs>
              <w:spacing w:after="0"/>
              <w:jc w:val="center"/>
              <w:rPr>
                <w:color w:val="000000"/>
              </w:rPr>
            </w:pPr>
            <w:r w:rsidRPr="00F171A3">
              <w:rPr>
                <w:color w:val="000000"/>
              </w:rPr>
              <w:t>2.043.970</w:t>
            </w:r>
          </w:p>
        </w:tc>
        <w:tc>
          <w:tcPr>
            <w:tcW w:w="892" w:type="pct"/>
          </w:tcPr>
          <w:p w14:paraId="2C56829B" w14:textId="77777777" w:rsidR="00303644" w:rsidRPr="00F171A3" w:rsidRDefault="00303644" w:rsidP="00F31936">
            <w:pPr>
              <w:spacing w:after="0"/>
              <w:jc w:val="center"/>
              <w:rPr>
                <w:color w:val="000000"/>
              </w:rPr>
            </w:pPr>
            <w:r w:rsidRPr="00F171A3">
              <w:rPr>
                <w:color w:val="000000"/>
              </w:rPr>
              <w:t>3.360.245</w:t>
            </w:r>
          </w:p>
        </w:tc>
        <w:tc>
          <w:tcPr>
            <w:tcW w:w="1045" w:type="pct"/>
          </w:tcPr>
          <w:p w14:paraId="0DDD3CD8" w14:textId="77777777" w:rsidR="00303644" w:rsidRPr="00F171A3" w:rsidRDefault="00303644" w:rsidP="00F31936">
            <w:pPr>
              <w:spacing w:after="0"/>
              <w:jc w:val="center"/>
              <w:rPr>
                <w:color w:val="000000"/>
              </w:rPr>
            </w:pPr>
            <w:r w:rsidRPr="00F171A3">
              <w:rPr>
                <w:color w:val="000000"/>
              </w:rPr>
              <w:t>1,64</w:t>
            </w:r>
          </w:p>
        </w:tc>
        <w:tc>
          <w:tcPr>
            <w:tcW w:w="1470" w:type="pct"/>
          </w:tcPr>
          <w:p w14:paraId="7B73D759" w14:textId="77777777" w:rsidR="00303644" w:rsidRPr="00F171A3" w:rsidRDefault="00303644" w:rsidP="00F31936">
            <w:pPr>
              <w:spacing w:after="0"/>
              <w:jc w:val="center"/>
              <w:rPr>
                <w:color w:val="000000"/>
              </w:rPr>
            </w:pPr>
            <w:r w:rsidRPr="00F171A3">
              <w:rPr>
                <w:color w:val="000000"/>
              </w:rPr>
              <w:t>44,06%</w:t>
            </w:r>
          </w:p>
        </w:tc>
      </w:tr>
      <w:tr w:rsidR="00303644" w:rsidRPr="00F171A3" w14:paraId="3A5824D6" w14:textId="77777777" w:rsidTr="00303644">
        <w:trPr>
          <w:cnfStyle w:val="000000100000" w:firstRow="0" w:lastRow="0" w:firstColumn="0" w:lastColumn="0" w:oddVBand="0" w:evenVBand="0" w:oddHBand="1" w:evenHBand="0" w:firstRowFirstColumn="0" w:firstRowLastColumn="0" w:lastRowFirstColumn="0" w:lastRowLastColumn="0"/>
          <w:trHeight w:val="397"/>
        </w:trPr>
        <w:tc>
          <w:tcPr>
            <w:tcW w:w="624" w:type="pct"/>
          </w:tcPr>
          <w:p w14:paraId="380313A7" w14:textId="77777777" w:rsidR="00303644" w:rsidRPr="00F171A3" w:rsidRDefault="00303644" w:rsidP="00F31936">
            <w:pPr>
              <w:spacing w:after="0"/>
              <w:jc w:val="center"/>
              <w:rPr>
                <w:color w:val="000000"/>
              </w:rPr>
            </w:pPr>
            <w:r w:rsidRPr="00F171A3">
              <w:rPr>
                <w:color w:val="000000"/>
              </w:rPr>
              <w:t>2018</w:t>
            </w:r>
          </w:p>
        </w:tc>
        <w:tc>
          <w:tcPr>
            <w:tcW w:w="969" w:type="pct"/>
          </w:tcPr>
          <w:p w14:paraId="6915CF39" w14:textId="77777777" w:rsidR="00303644" w:rsidRPr="00F171A3" w:rsidRDefault="00303644" w:rsidP="00F31936">
            <w:pPr>
              <w:spacing w:after="0"/>
              <w:jc w:val="center"/>
              <w:rPr>
                <w:color w:val="000000"/>
              </w:rPr>
            </w:pPr>
            <w:r w:rsidRPr="00F171A3">
              <w:rPr>
                <w:color w:val="000000"/>
              </w:rPr>
              <w:t>2.080.229</w:t>
            </w:r>
          </w:p>
        </w:tc>
        <w:tc>
          <w:tcPr>
            <w:tcW w:w="892" w:type="pct"/>
          </w:tcPr>
          <w:p w14:paraId="04BBAA95" w14:textId="77777777" w:rsidR="00303644" w:rsidRPr="00F171A3" w:rsidRDefault="00303644" w:rsidP="00F31936">
            <w:pPr>
              <w:spacing w:after="0"/>
              <w:jc w:val="center"/>
              <w:rPr>
                <w:color w:val="000000"/>
              </w:rPr>
            </w:pPr>
            <w:r w:rsidRPr="00F171A3">
              <w:rPr>
                <w:color w:val="000000"/>
              </w:rPr>
              <w:t>3.398.817</w:t>
            </w:r>
          </w:p>
        </w:tc>
        <w:tc>
          <w:tcPr>
            <w:tcW w:w="1045" w:type="pct"/>
          </w:tcPr>
          <w:p w14:paraId="2E8BC6AF" w14:textId="77777777" w:rsidR="00303644" w:rsidRPr="00F171A3" w:rsidRDefault="00303644" w:rsidP="00F31936">
            <w:pPr>
              <w:spacing w:after="0"/>
              <w:jc w:val="center"/>
              <w:rPr>
                <w:color w:val="000000"/>
              </w:rPr>
            </w:pPr>
            <w:r w:rsidRPr="00F171A3">
              <w:rPr>
                <w:color w:val="000000"/>
              </w:rPr>
              <w:t>1,63</w:t>
            </w:r>
          </w:p>
        </w:tc>
        <w:tc>
          <w:tcPr>
            <w:tcW w:w="1470" w:type="pct"/>
          </w:tcPr>
          <w:p w14:paraId="4351F606" w14:textId="77777777" w:rsidR="00303644" w:rsidRPr="00F171A3" w:rsidRDefault="00303644" w:rsidP="00F31936">
            <w:pPr>
              <w:spacing w:after="0"/>
              <w:jc w:val="center"/>
              <w:rPr>
                <w:color w:val="000000"/>
              </w:rPr>
            </w:pPr>
            <w:r w:rsidRPr="00F171A3">
              <w:rPr>
                <w:color w:val="000000"/>
              </w:rPr>
              <w:t>43,50%</w:t>
            </w:r>
          </w:p>
        </w:tc>
      </w:tr>
      <w:tr w:rsidR="00303644" w:rsidRPr="00F171A3" w14:paraId="4BD11488" w14:textId="77777777" w:rsidTr="00303644">
        <w:trPr>
          <w:cnfStyle w:val="000000010000" w:firstRow="0" w:lastRow="0" w:firstColumn="0" w:lastColumn="0" w:oddVBand="0" w:evenVBand="0" w:oddHBand="0" w:evenHBand="1" w:firstRowFirstColumn="0" w:firstRowLastColumn="0" w:lastRowFirstColumn="0" w:lastRowLastColumn="0"/>
          <w:trHeight w:val="397"/>
        </w:trPr>
        <w:tc>
          <w:tcPr>
            <w:tcW w:w="624" w:type="pct"/>
          </w:tcPr>
          <w:p w14:paraId="628A0BB8" w14:textId="77777777" w:rsidR="00303644" w:rsidRPr="00F171A3" w:rsidRDefault="00303644" w:rsidP="00F31936">
            <w:pPr>
              <w:spacing w:after="0"/>
              <w:jc w:val="center"/>
              <w:rPr>
                <w:color w:val="000000"/>
              </w:rPr>
            </w:pPr>
            <w:r w:rsidRPr="00F171A3">
              <w:rPr>
                <w:color w:val="000000"/>
              </w:rPr>
              <w:t>2019</w:t>
            </w:r>
          </w:p>
        </w:tc>
        <w:tc>
          <w:tcPr>
            <w:tcW w:w="969" w:type="pct"/>
          </w:tcPr>
          <w:p w14:paraId="64F073D9" w14:textId="77777777" w:rsidR="00303644" w:rsidRPr="00F171A3" w:rsidRDefault="00303644" w:rsidP="00F31936">
            <w:pPr>
              <w:spacing w:after="0"/>
              <w:jc w:val="center"/>
              <w:rPr>
                <w:color w:val="000000"/>
              </w:rPr>
            </w:pPr>
            <w:r w:rsidRPr="00F171A3">
              <w:rPr>
                <w:color w:val="000000"/>
              </w:rPr>
              <w:t>2.038.858</w:t>
            </w:r>
          </w:p>
        </w:tc>
        <w:tc>
          <w:tcPr>
            <w:tcW w:w="892" w:type="pct"/>
          </w:tcPr>
          <w:p w14:paraId="77993C25" w14:textId="77777777" w:rsidR="00303644" w:rsidRPr="00F171A3" w:rsidRDefault="00303644" w:rsidP="00F31936">
            <w:pPr>
              <w:spacing w:after="0"/>
              <w:jc w:val="center"/>
              <w:rPr>
                <w:color w:val="000000"/>
              </w:rPr>
            </w:pPr>
            <w:r w:rsidRPr="00F171A3">
              <w:rPr>
                <w:color w:val="000000"/>
              </w:rPr>
              <w:t>3.549.708</w:t>
            </w:r>
          </w:p>
        </w:tc>
        <w:tc>
          <w:tcPr>
            <w:tcW w:w="1045" w:type="pct"/>
          </w:tcPr>
          <w:p w14:paraId="4CA5625C" w14:textId="77777777" w:rsidR="00303644" w:rsidRPr="00F171A3" w:rsidRDefault="00303644" w:rsidP="00F31936">
            <w:pPr>
              <w:spacing w:after="0"/>
              <w:jc w:val="center"/>
              <w:rPr>
                <w:color w:val="000000"/>
              </w:rPr>
            </w:pPr>
            <w:r w:rsidRPr="00F171A3">
              <w:rPr>
                <w:color w:val="000000"/>
              </w:rPr>
              <w:t>1,74</w:t>
            </w:r>
          </w:p>
        </w:tc>
        <w:tc>
          <w:tcPr>
            <w:tcW w:w="1470" w:type="pct"/>
          </w:tcPr>
          <w:p w14:paraId="7FBB3444" w14:textId="77777777" w:rsidR="00303644" w:rsidRPr="00F171A3" w:rsidRDefault="00303644" w:rsidP="00F31936">
            <w:pPr>
              <w:spacing w:after="0"/>
              <w:jc w:val="center"/>
              <w:rPr>
                <w:color w:val="000000"/>
              </w:rPr>
            </w:pPr>
            <w:r w:rsidRPr="00F171A3">
              <w:rPr>
                <w:color w:val="000000"/>
              </w:rPr>
              <w:t>44,72%</w:t>
            </w:r>
          </w:p>
        </w:tc>
      </w:tr>
      <w:tr w:rsidR="00303644" w:rsidRPr="00F171A3" w14:paraId="5A2757F1" w14:textId="77777777" w:rsidTr="00303644">
        <w:trPr>
          <w:cnfStyle w:val="000000100000" w:firstRow="0" w:lastRow="0" w:firstColumn="0" w:lastColumn="0" w:oddVBand="0" w:evenVBand="0" w:oddHBand="1" w:evenHBand="0" w:firstRowFirstColumn="0" w:firstRowLastColumn="0" w:lastRowFirstColumn="0" w:lastRowLastColumn="0"/>
          <w:trHeight w:val="397"/>
        </w:trPr>
        <w:tc>
          <w:tcPr>
            <w:tcW w:w="624" w:type="pct"/>
          </w:tcPr>
          <w:p w14:paraId="2F0D7AC0" w14:textId="77777777" w:rsidR="00303644" w:rsidRPr="00F171A3" w:rsidRDefault="00303644" w:rsidP="00F31936">
            <w:pPr>
              <w:spacing w:after="0"/>
              <w:jc w:val="center"/>
              <w:rPr>
                <w:color w:val="000000"/>
              </w:rPr>
            </w:pPr>
            <w:r w:rsidRPr="00F171A3">
              <w:rPr>
                <w:color w:val="000000"/>
              </w:rPr>
              <w:t>2020</w:t>
            </w:r>
          </w:p>
        </w:tc>
        <w:tc>
          <w:tcPr>
            <w:tcW w:w="969" w:type="pct"/>
          </w:tcPr>
          <w:p w14:paraId="332AED52" w14:textId="77777777" w:rsidR="00303644" w:rsidRPr="00F171A3" w:rsidRDefault="00303644" w:rsidP="00F31936">
            <w:pPr>
              <w:spacing w:after="0"/>
              <w:jc w:val="center"/>
              <w:rPr>
                <w:color w:val="000000"/>
              </w:rPr>
            </w:pPr>
            <w:r w:rsidRPr="00F171A3">
              <w:rPr>
                <w:color w:val="000000"/>
              </w:rPr>
              <w:t>559.802</w:t>
            </w:r>
          </w:p>
        </w:tc>
        <w:tc>
          <w:tcPr>
            <w:tcW w:w="892" w:type="pct"/>
          </w:tcPr>
          <w:p w14:paraId="10DF26E7" w14:textId="77777777" w:rsidR="00303644" w:rsidRPr="00F171A3" w:rsidRDefault="00303644" w:rsidP="00F31936">
            <w:pPr>
              <w:spacing w:after="0"/>
              <w:jc w:val="center"/>
              <w:rPr>
                <w:color w:val="000000"/>
              </w:rPr>
            </w:pPr>
            <w:r w:rsidRPr="00F171A3">
              <w:rPr>
                <w:color w:val="000000"/>
              </w:rPr>
              <w:t>970.550</w:t>
            </w:r>
          </w:p>
        </w:tc>
        <w:tc>
          <w:tcPr>
            <w:tcW w:w="1045" w:type="pct"/>
          </w:tcPr>
          <w:p w14:paraId="5BE423AA" w14:textId="77777777" w:rsidR="00303644" w:rsidRPr="00F171A3" w:rsidRDefault="00303644" w:rsidP="00F31936">
            <w:pPr>
              <w:spacing w:after="0"/>
              <w:jc w:val="center"/>
              <w:rPr>
                <w:color w:val="000000"/>
              </w:rPr>
            </w:pPr>
            <w:r w:rsidRPr="00F171A3">
              <w:rPr>
                <w:color w:val="000000"/>
              </w:rPr>
              <w:t>1,73</w:t>
            </w:r>
          </w:p>
        </w:tc>
        <w:tc>
          <w:tcPr>
            <w:tcW w:w="1470" w:type="pct"/>
          </w:tcPr>
          <w:p w14:paraId="5A390FFE" w14:textId="77777777" w:rsidR="00303644" w:rsidRPr="00F171A3" w:rsidRDefault="00303644" w:rsidP="00F31936">
            <w:pPr>
              <w:spacing w:after="0"/>
              <w:jc w:val="center"/>
              <w:rPr>
                <w:color w:val="000000"/>
              </w:rPr>
            </w:pPr>
            <w:r w:rsidRPr="00F171A3">
              <w:rPr>
                <w:color w:val="000000"/>
              </w:rPr>
              <w:t>16,98%</w:t>
            </w:r>
          </w:p>
        </w:tc>
      </w:tr>
      <w:tr w:rsidR="00303644" w:rsidRPr="00F171A3" w14:paraId="33124F50" w14:textId="77777777" w:rsidTr="00303644">
        <w:trPr>
          <w:cnfStyle w:val="000000010000" w:firstRow="0" w:lastRow="0" w:firstColumn="0" w:lastColumn="0" w:oddVBand="0" w:evenVBand="0" w:oddHBand="0" w:evenHBand="1" w:firstRowFirstColumn="0" w:firstRowLastColumn="0" w:lastRowFirstColumn="0" w:lastRowLastColumn="0"/>
          <w:trHeight w:val="397"/>
        </w:trPr>
        <w:tc>
          <w:tcPr>
            <w:tcW w:w="624" w:type="pct"/>
          </w:tcPr>
          <w:p w14:paraId="32659C22" w14:textId="77777777" w:rsidR="00303644" w:rsidRPr="00F171A3" w:rsidRDefault="00303644" w:rsidP="00F31936">
            <w:pPr>
              <w:spacing w:after="0"/>
              <w:jc w:val="center"/>
              <w:rPr>
                <w:color w:val="000000"/>
              </w:rPr>
            </w:pPr>
            <w:r w:rsidRPr="00F171A3">
              <w:rPr>
                <w:color w:val="000000"/>
              </w:rPr>
              <w:t>2021</w:t>
            </w:r>
          </w:p>
        </w:tc>
        <w:tc>
          <w:tcPr>
            <w:tcW w:w="969" w:type="pct"/>
          </w:tcPr>
          <w:p w14:paraId="7F23872F" w14:textId="77777777" w:rsidR="00303644" w:rsidRPr="00F171A3" w:rsidRDefault="00303644" w:rsidP="00F31936">
            <w:pPr>
              <w:spacing w:after="0"/>
              <w:jc w:val="center"/>
              <w:rPr>
                <w:color w:val="000000"/>
              </w:rPr>
            </w:pPr>
            <w:r w:rsidRPr="00F171A3">
              <w:rPr>
                <w:color w:val="000000"/>
              </w:rPr>
              <w:t>905.425</w:t>
            </w:r>
          </w:p>
        </w:tc>
        <w:tc>
          <w:tcPr>
            <w:tcW w:w="892" w:type="pct"/>
          </w:tcPr>
          <w:p w14:paraId="1106172E" w14:textId="77777777" w:rsidR="00303644" w:rsidRPr="00F171A3" w:rsidRDefault="00303644" w:rsidP="00F31936">
            <w:pPr>
              <w:spacing w:after="0"/>
              <w:jc w:val="center"/>
              <w:rPr>
                <w:color w:val="000000"/>
              </w:rPr>
            </w:pPr>
            <w:r w:rsidRPr="00F171A3">
              <w:rPr>
                <w:color w:val="000000"/>
              </w:rPr>
              <w:t>1.658.973</w:t>
            </w:r>
          </w:p>
        </w:tc>
        <w:tc>
          <w:tcPr>
            <w:tcW w:w="1045" w:type="pct"/>
          </w:tcPr>
          <w:p w14:paraId="31B3F1FD" w14:textId="77777777" w:rsidR="00303644" w:rsidRPr="00F171A3" w:rsidRDefault="00303644" w:rsidP="00F31936">
            <w:pPr>
              <w:spacing w:after="0"/>
              <w:jc w:val="center"/>
              <w:rPr>
                <w:color w:val="000000"/>
              </w:rPr>
            </w:pPr>
            <w:r w:rsidRPr="00F171A3">
              <w:rPr>
                <w:color w:val="000000"/>
              </w:rPr>
              <w:t>1,83</w:t>
            </w:r>
          </w:p>
        </w:tc>
        <w:tc>
          <w:tcPr>
            <w:tcW w:w="1470" w:type="pct"/>
          </w:tcPr>
          <w:p w14:paraId="5F574C2D" w14:textId="77777777" w:rsidR="00303644" w:rsidRPr="00F171A3" w:rsidRDefault="00303644" w:rsidP="00F31936">
            <w:pPr>
              <w:spacing w:after="0"/>
              <w:jc w:val="center"/>
              <w:rPr>
                <w:color w:val="000000"/>
              </w:rPr>
            </w:pPr>
            <w:r w:rsidRPr="00F171A3">
              <w:rPr>
                <w:color w:val="000000"/>
              </w:rPr>
              <w:t>23,84%</w:t>
            </w:r>
          </w:p>
        </w:tc>
      </w:tr>
      <w:tr w:rsidR="00303644" w:rsidRPr="00F171A3" w14:paraId="5B4BB8B7" w14:textId="77777777" w:rsidTr="00303644">
        <w:trPr>
          <w:cnfStyle w:val="000000100000" w:firstRow="0" w:lastRow="0" w:firstColumn="0" w:lastColumn="0" w:oddVBand="0" w:evenVBand="0" w:oddHBand="1" w:evenHBand="0" w:firstRowFirstColumn="0" w:firstRowLastColumn="0" w:lastRowFirstColumn="0" w:lastRowLastColumn="0"/>
          <w:trHeight w:val="397"/>
        </w:trPr>
        <w:tc>
          <w:tcPr>
            <w:tcW w:w="624" w:type="pct"/>
            <w:shd w:val="clear" w:color="auto" w:fill="ABCD3A" w:themeFill="accent5"/>
          </w:tcPr>
          <w:p w14:paraId="6079784B" w14:textId="77777777" w:rsidR="00303644" w:rsidRPr="00F171A3" w:rsidRDefault="00303644" w:rsidP="00F31936">
            <w:pPr>
              <w:spacing w:after="0"/>
              <w:jc w:val="center"/>
              <w:rPr>
                <w:b/>
                <w:bCs/>
                <w:color w:val="FFFFFF"/>
              </w:rPr>
            </w:pPr>
            <w:r w:rsidRPr="00F171A3">
              <w:rPr>
                <w:b/>
                <w:bCs/>
                <w:color w:val="FFFFFF"/>
              </w:rPr>
              <w:t>EVOLUȚIE</w:t>
            </w:r>
          </w:p>
        </w:tc>
        <w:tc>
          <w:tcPr>
            <w:tcW w:w="969" w:type="pct"/>
            <w:shd w:val="clear" w:color="auto" w:fill="ABCD3A" w:themeFill="accent5"/>
          </w:tcPr>
          <w:p w14:paraId="2F08B2FC" w14:textId="77777777" w:rsidR="00303644" w:rsidRPr="00F171A3" w:rsidRDefault="00303644" w:rsidP="00F31936">
            <w:pPr>
              <w:spacing w:after="0"/>
              <w:jc w:val="center"/>
              <w:rPr>
                <w:b/>
                <w:bCs/>
                <w:color w:val="FFFFFF"/>
              </w:rPr>
            </w:pPr>
            <w:r w:rsidRPr="00F171A3">
              <w:rPr>
                <w:b/>
                <w:bCs/>
                <w:color w:val="FFFFFF"/>
              </w:rPr>
              <w:t>-53,01%</w:t>
            </w:r>
          </w:p>
        </w:tc>
        <w:tc>
          <w:tcPr>
            <w:tcW w:w="892" w:type="pct"/>
            <w:shd w:val="clear" w:color="auto" w:fill="ABCD3A" w:themeFill="accent5"/>
          </w:tcPr>
          <w:p w14:paraId="7BC729F0" w14:textId="77777777" w:rsidR="00303644" w:rsidRPr="00F171A3" w:rsidRDefault="00303644" w:rsidP="00F31936">
            <w:pPr>
              <w:spacing w:after="0"/>
              <w:jc w:val="center"/>
              <w:rPr>
                <w:b/>
                <w:bCs/>
                <w:color w:val="FFFFFF"/>
              </w:rPr>
            </w:pPr>
            <w:r w:rsidRPr="00F171A3">
              <w:rPr>
                <w:b/>
                <w:bCs/>
                <w:color w:val="FFFFFF"/>
              </w:rPr>
              <w:t>-47,33%</w:t>
            </w:r>
          </w:p>
        </w:tc>
        <w:tc>
          <w:tcPr>
            <w:tcW w:w="1045" w:type="pct"/>
            <w:shd w:val="clear" w:color="auto" w:fill="ABCD3A" w:themeFill="accent5"/>
          </w:tcPr>
          <w:p w14:paraId="22A0C577" w14:textId="77777777" w:rsidR="00303644" w:rsidRPr="00F171A3" w:rsidRDefault="00303644" w:rsidP="00F31936">
            <w:pPr>
              <w:spacing w:after="0"/>
              <w:jc w:val="center"/>
              <w:rPr>
                <w:b/>
                <w:bCs/>
                <w:color w:val="FFFFFF"/>
              </w:rPr>
            </w:pPr>
            <w:r w:rsidRPr="00F171A3">
              <w:rPr>
                <w:b/>
                <w:bCs/>
                <w:color w:val="FFFFFF"/>
              </w:rPr>
              <w:t>12,08%</w:t>
            </w:r>
          </w:p>
        </w:tc>
        <w:tc>
          <w:tcPr>
            <w:tcW w:w="1470" w:type="pct"/>
            <w:shd w:val="clear" w:color="auto" w:fill="ABCD3A" w:themeFill="accent5"/>
          </w:tcPr>
          <w:p w14:paraId="0CC421A7" w14:textId="77777777" w:rsidR="00303644" w:rsidRPr="00F171A3" w:rsidRDefault="00303644" w:rsidP="00F31936">
            <w:pPr>
              <w:spacing w:after="0"/>
              <w:jc w:val="center"/>
              <w:rPr>
                <w:b/>
                <w:bCs/>
                <w:color w:val="FFFFFF"/>
              </w:rPr>
            </w:pPr>
            <w:r w:rsidRPr="00F171A3">
              <w:rPr>
                <w:b/>
                <w:bCs/>
                <w:color w:val="FFFFFF"/>
              </w:rPr>
              <w:t>-43,88%</w:t>
            </w:r>
          </w:p>
        </w:tc>
      </w:tr>
    </w:tbl>
    <w:p w14:paraId="02FA3567" w14:textId="77777777" w:rsidR="00303644" w:rsidRPr="00F171A3" w:rsidRDefault="00303644" w:rsidP="00FF6C80">
      <w:pPr>
        <w:jc w:val="right"/>
        <w:rPr>
          <w:color w:val="BFBFBF" w:themeColor="background1" w:themeShade="BF"/>
        </w:rPr>
      </w:pPr>
      <w:r w:rsidRPr="00F171A3">
        <w:rPr>
          <w:color w:val="BFBFBF" w:themeColor="background1" w:themeShade="BF"/>
        </w:rPr>
        <w:t>Sursa: Baza de date INS TEMPO</w:t>
      </w:r>
    </w:p>
    <w:p w14:paraId="53DF59A1" w14:textId="6774C470" w:rsidR="00303644" w:rsidRPr="00F171A3" w:rsidRDefault="00303644" w:rsidP="00303644">
      <w:r w:rsidRPr="00F171A3">
        <w:t xml:space="preserve">Cu toate acestea, ultimii doi ani de pandemie au avut rezultate dezastruoase pentru circulația turistică din </w:t>
      </w:r>
      <w:r w:rsidR="00DE36DE" w:rsidRPr="00F171A3">
        <w:t>m</w:t>
      </w:r>
      <w:r w:rsidRPr="00F171A3">
        <w:t>unicipiul București, atât numărul de sosiri, cât și numărul de înnoptări ale turiștilor au înregistrat scăderi substanțiale de -53,01% în cazul sosirilor și de -47,33% în cazul înnoptărilor. Trebuie să ținem cont însă de faptul că acest trend se pretează doar la nivelul perioadei de pandemie, imediat după ridicarea restricțiilor de călătorie impuse de pandemie, activitatea turistică a început să înregistreze fluxuri mai crescute de turiști, lucru ce se poate observa inclusiv la nivelul anului 2021 când valorile sunt ușor în creștere față de anul precedent.</w:t>
      </w:r>
    </w:p>
    <w:p w14:paraId="3A7E4B95" w14:textId="089490B9" w:rsidR="00303644" w:rsidRPr="00F171A3" w:rsidRDefault="00303644" w:rsidP="00303644">
      <w:r w:rsidRPr="00F171A3">
        <w:t xml:space="preserve">Mai mult, în ciuda unui număr scăzut de turiști înregistrat în această perioadă, durata medie de ședere a turiștilor a cunoscut o creștere de aproximativ 12,08%, fiind în jurul pragului de 1,83 zile. Acest lucru indică însă în continuare caracterul predominant de turism de tranzit care predomină în </w:t>
      </w:r>
      <w:r w:rsidR="00DE36DE" w:rsidRPr="00F171A3">
        <w:t>m</w:t>
      </w:r>
      <w:r w:rsidRPr="00F171A3">
        <w:t>unicipiul București, neputând menține turiștii pentru o perioadă mai îndelungată.</w:t>
      </w:r>
    </w:p>
    <w:p w14:paraId="1A2678A9" w14:textId="561ADCFE" w:rsidR="00303644" w:rsidRPr="00F171A3" w:rsidRDefault="00303644" w:rsidP="00303644">
      <w:pPr>
        <w:rPr>
          <w:i/>
        </w:rPr>
      </w:pPr>
      <w:r w:rsidRPr="00F171A3">
        <w:t xml:space="preserve">În ceea ce privește structura turiștilor sosiți, această analiză a fost realizată la nivelul </w:t>
      </w:r>
      <w:r w:rsidR="00DE36DE" w:rsidRPr="00F171A3">
        <w:t>m</w:t>
      </w:r>
      <w:r w:rsidRPr="00F171A3">
        <w:t>unicipiului București, iar datele nu reflectă în totalitate situația reală pentru Sectorul 2 al municipiului. Se constată astfel faptul că înainte de perioada pandemiei (perioada 2016-2019), exista un trend crescător atât din punct de vedere al turiștilor români (+9,21%), cât și din punct de vedere al turiștilor străini (+15,07%). Mai mult, se constată faptul că ponderea turiștilor străini (aproximativ 2 milioane de turiști anual), este mult mai mare față de ponderea turiștilor români (aproximativ 1,3 milioane de turiști anual).</w:t>
      </w:r>
    </w:p>
    <w:p w14:paraId="1463BA8A" w14:textId="52EE9E0D" w:rsidR="00303644" w:rsidRPr="00F171A3" w:rsidRDefault="00303644" w:rsidP="00303644">
      <w:pPr>
        <w:pStyle w:val="Caption"/>
      </w:pPr>
      <w:bookmarkStart w:id="152" w:name="_heading=h.upglbi" w:colFirst="0" w:colLast="0"/>
      <w:bookmarkStart w:id="153" w:name="_Toc115268554"/>
      <w:bookmarkStart w:id="154" w:name="_Toc127198035"/>
      <w:bookmarkEnd w:id="152"/>
      <w:r w:rsidRPr="00F171A3">
        <w:t xml:space="preserve">Figura </w:t>
      </w:r>
      <w:r w:rsidRPr="00F171A3">
        <w:fldChar w:fldCharType="begin"/>
      </w:r>
      <w:r w:rsidRPr="00F171A3">
        <w:instrText xml:space="preserve"> SEQ Figura \* ARABIC </w:instrText>
      </w:r>
      <w:r w:rsidRPr="00F171A3">
        <w:fldChar w:fldCharType="separate"/>
      </w:r>
      <w:r w:rsidR="005A6DD8">
        <w:rPr>
          <w:noProof/>
        </w:rPr>
        <w:t>47</w:t>
      </w:r>
      <w:r w:rsidRPr="00F171A3">
        <w:fldChar w:fldCharType="end"/>
      </w:r>
      <w:r w:rsidRPr="00F171A3">
        <w:t xml:space="preserve"> Evoluția structurii turiștilor sosiți în perioada 2016-2021 în Municipiul București, număr turiști</w:t>
      </w:r>
      <w:bookmarkEnd w:id="153"/>
      <w:bookmarkEnd w:id="154"/>
    </w:p>
    <w:p w14:paraId="50F7FC13" w14:textId="77777777" w:rsidR="00303644" w:rsidRPr="00F171A3" w:rsidRDefault="00303644" w:rsidP="00303644">
      <w:r w:rsidRPr="00F171A3">
        <w:rPr>
          <w:noProof/>
        </w:rPr>
        <w:drawing>
          <wp:inline distT="0" distB="0" distL="0" distR="0" wp14:anchorId="0A48C979" wp14:editId="2565CA66">
            <wp:extent cx="5998210" cy="2389909"/>
            <wp:effectExtent l="0" t="0" r="0" b="0"/>
            <wp:docPr id="99" name="Diagramă 256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48E4ABB" w14:textId="77777777" w:rsidR="00303644" w:rsidRPr="00F171A3" w:rsidRDefault="00303644" w:rsidP="00FF6C80">
      <w:pPr>
        <w:jc w:val="right"/>
        <w:rPr>
          <w:color w:val="BFBFBF" w:themeColor="background1" w:themeShade="BF"/>
        </w:rPr>
      </w:pPr>
      <w:r w:rsidRPr="00F171A3">
        <w:rPr>
          <w:color w:val="BFBFBF" w:themeColor="background1" w:themeShade="BF"/>
        </w:rPr>
        <w:t>Sursa: Baza de date INS TEMPO</w:t>
      </w:r>
    </w:p>
    <w:p w14:paraId="71D5BC00" w14:textId="1FDA3C2F" w:rsidR="00303644" w:rsidRPr="00F171A3" w:rsidRDefault="00303644" w:rsidP="00303644">
      <w:r w:rsidRPr="00F171A3">
        <w:t xml:space="preserve">Cu toate acestea, în anul 2020 pandemia de COVID-19 și restricțiile de circulație impuse în această perioadă au avut efecte negative asupra turiștilor de peste tot, fiind astfel înregistrat cel mai mic număr de turiști sosiți în </w:t>
      </w:r>
      <w:r w:rsidR="00DE36DE" w:rsidRPr="00F171A3">
        <w:t>m</w:t>
      </w:r>
      <w:r w:rsidRPr="00F171A3">
        <w:t>unicipiul București, respectiv cu -81,09% în cazul turiștilor străini în anul 2020 față de anul 2019 și cu -59,66% în cazul turiștilor români în anul 2020 față de anul 2019.</w:t>
      </w:r>
    </w:p>
    <w:p w14:paraId="2F9A4490" w14:textId="77777777" w:rsidR="00303644" w:rsidRPr="00F171A3" w:rsidRDefault="00303644" w:rsidP="00303644">
      <w:r w:rsidRPr="00F171A3">
        <w:t>În ansamblu, destinația București nu se află mereu în topul căutărilor turiștilor din moment ce clădirile și ansamblurile cu cea mai mare valoare identitară (și atractivitate) de la nivelul țării se află în altă parte (de exemplu, monumentele UNESCO din Transilvania, Bucovina sau Oltenia).</w:t>
      </w:r>
      <w:r w:rsidRPr="00F171A3">
        <w:rPr>
          <w:vertAlign w:val="superscript"/>
        </w:rPr>
        <w:footnoteReference w:id="55"/>
      </w:r>
      <w:r w:rsidRPr="00F171A3">
        <w:t xml:space="preserve"> </w:t>
      </w:r>
    </w:p>
    <w:p w14:paraId="4C4505D4" w14:textId="77777777" w:rsidR="00303644" w:rsidRPr="00F171A3" w:rsidRDefault="00303644" w:rsidP="00303644">
      <w:r w:rsidRPr="00F171A3">
        <w:t>Posibile puncte de atracție pe plan internațional sunt inclusiv categorii de evenimente și spații foarte puțin sau deloc promovate oficial, dar care sunt căutate și vizitate în mod constant datorită caracterului unic / inedit al acestora . Este cazul modernismului interbelic și al arhitecturii din perioada socialistă – nu doar Palatul Parlamentului și Bulevardul Libertății alături de Piața Constituției și Bulevardul Unirii, ci și multe ansambluri din anii ’60 și ’70. Operele cele mai reprezentative de arhitectură contemporană (fie că este vorba de lucrări complet noi – MARe, fie de restaurări și reabilitări – The Ark: the place, biroul Headvertising, Studio Hermes, Cinema Elivire Popesco) devin, de asemenea, puncte de atracție pe plan internațional. Festivalul Enescu reprezintă, de asemenea, un pol de atractivitate pentru publicul internațional de muzică clasică. Noile spații creative, festivalurile, cluburile și evenimente underground, pe de altă parte, au dus la o poziționare a Bucureștiul ca "un Berlin al estului", ce atrage din ce în ce mai mult turiști interesați de experiențe memorabile.</w:t>
      </w:r>
      <w:r w:rsidRPr="00F171A3">
        <w:rPr>
          <w:vertAlign w:val="superscript"/>
        </w:rPr>
        <w:footnoteReference w:id="56"/>
      </w:r>
      <w:r w:rsidRPr="00F171A3">
        <w:t xml:space="preserve"> </w:t>
      </w:r>
    </w:p>
    <w:p w14:paraId="0EFD74BA" w14:textId="77777777" w:rsidR="00303644" w:rsidRPr="00F171A3" w:rsidRDefault="00303644" w:rsidP="00303644">
      <w:r w:rsidRPr="00F171A3">
        <w:t>Cu toate acestea, potențialul turistic al Sectorului 2 poate fi fructificat alături de prezența obiectivelor culturale și turistice pe care teritoriul le deține, prin promovarea mai intensă a acestora în cadrul mijloacelor de transport în comun (reclame în STB sau metrou), fie printr-o prezență mai activă în social media sau dezvoltarea unei aplicații pentru obiectivele turistice și istorice pe care Sectorul 2 le deține.</w:t>
      </w:r>
      <w:r w:rsidRPr="00F171A3">
        <w:rPr>
          <w:rStyle w:val="FootnoteReference"/>
        </w:rPr>
        <w:footnoteReference w:id="57"/>
      </w:r>
    </w:p>
    <w:p w14:paraId="2C73CDD3" w14:textId="77777777" w:rsidR="00303644" w:rsidRPr="00F171A3" w:rsidRDefault="00303644" w:rsidP="00303644"/>
    <w:p w14:paraId="71ABF1B7" w14:textId="196CCFA2" w:rsidR="00303644" w:rsidRPr="00F171A3" w:rsidRDefault="001E0A0F" w:rsidP="001E0A0F">
      <w:pPr>
        <w:pStyle w:val="Heading4"/>
      </w:pPr>
      <w:bookmarkStart w:id="155" w:name="_heading=h.3ep43zb" w:colFirst="0" w:colLast="0"/>
      <w:bookmarkEnd w:id="155"/>
      <w:r w:rsidRPr="00F171A3">
        <w:t>PETRECEREA TIMPULUI LIBER</w:t>
      </w:r>
    </w:p>
    <w:p w14:paraId="6C64E00E" w14:textId="77777777" w:rsidR="00303644" w:rsidRPr="00F171A3" w:rsidRDefault="00303644" w:rsidP="00303644">
      <w:r w:rsidRPr="00F171A3">
        <w:t>Infrastructura, activitățile, evenimentele și serviciile pentru petrecerea timpului liber reprezintă un mod de a satisface necesitățile comunității locale, implicarea actorilor locali publici și privați fiind deosebit de importantă în asigurarea unor oportunități de petrecere a timpului liber care să ajute la menținerea unui mediu de viață sănătos și social atractiv pentru comunitatea locală.</w:t>
      </w:r>
    </w:p>
    <w:p w14:paraId="74F46C8C" w14:textId="77777777" w:rsidR="00303644" w:rsidRPr="00F171A3" w:rsidRDefault="00303644" w:rsidP="00303644">
      <w:r w:rsidRPr="00F171A3">
        <w:t>Activitatea sportiv-recreativă constituie o necesitate care condiționează randamentul sporit al cetățeanului, indiferent de vârstă sau profesie. Prin rolul atribuit de societate, activitățile sportive și recreative se dovedesc utile în formarea și pregătirea cetățenilor pentru viața socială.</w:t>
      </w:r>
    </w:p>
    <w:p w14:paraId="5FF5339D" w14:textId="77777777" w:rsidR="00303644" w:rsidRPr="00F171A3" w:rsidRDefault="00303644" w:rsidP="00303644"/>
    <w:p w14:paraId="5CC9F882" w14:textId="3FF0566C" w:rsidR="00303644" w:rsidRPr="00F171A3" w:rsidRDefault="00D44B8A" w:rsidP="00303644">
      <w:pPr>
        <w:keepNext/>
        <w:pBdr>
          <w:top w:val="nil"/>
          <w:left w:val="nil"/>
          <w:bottom w:val="nil"/>
          <w:right w:val="nil"/>
          <w:between w:val="nil"/>
        </w:pBdr>
        <w:rPr>
          <w:b/>
          <w:smallCaps/>
          <w:color w:val="134753"/>
        </w:rPr>
      </w:pPr>
      <w:r w:rsidRPr="00F171A3">
        <w:rPr>
          <w:b/>
          <w:smallCaps/>
          <w:color w:val="134753"/>
        </w:rPr>
        <w:t>INFRASTRUCTURA ȘI ACTIVITĂȚILE SPORTIVE</w:t>
      </w:r>
    </w:p>
    <w:p w14:paraId="4B4F7156" w14:textId="40A7C827" w:rsidR="00303644" w:rsidRPr="00F171A3" w:rsidRDefault="00303644" w:rsidP="00303644">
      <w:r w:rsidRPr="00F171A3">
        <w:t xml:space="preserve">Având în vedere concentrarea ridicată a locuitorilor din </w:t>
      </w:r>
      <w:r w:rsidR="00DE36DE" w:rsidRPr="00F171A3">
        <w:t>m</w:t>
      </w:r>
      <w:r w:rsidRPr="00F171A3">
        <w:t xml:space="preserve">unicipiul București, oferta disponibilă la nivelul Capitalei pentru activitățile sportive și recreative joacă un rol deosebit de important întrucât aceasta contribuie la menținerea atât a unui mediu de viață sănătos pentru comunitatea locală, cât și a unui cadru social atractiv. În acest context, Sectorul 2 joacă un rol important prin aportul considerabil pe care îl aduce, aici fiind identificate unele dintre cele mai importante structuri sportive de la nivelul întregului </w:t>
      </w:r>
      <w:r w:rsidR="00DE36DE" w:rsidRPr="00F171A3">
        <w:t>m</w:t>
      </w:r>
      <w:r w:rsidRPr="00F171A3">
        <w:t xml:space="preserve">unicipiu – Arena Națională, Stadionul Dinamo sau Complexul Sportiv Ion Țiriac. </w:t>
      </w:r>
    </w:p>
    <w:p w14:paraId="41BBCF7A" w14:textId="77777777" w:rsidR="00303644" w:rsidRPr="00F171A3" w:rsidRDefault="00303644" w:rsidP="00303644">
      <w:r w:rsidRPr="00F171A3">
        <w:t>În același timp, trebuie făcută diferența dintre sportul de masă și sportul de performanță, întrucât acestea au scopuri diferite și se adresează unor categorii diferite de persoane. Pe de-o parte, sportul de masă sau sportul pentru toți reprezintă o oportunitate pentru dezvoltarea de comportamente care favorizează orientarea către performanța cotidiană și asigură o dezvoltare sănătoasă a omului. Pe de altă parte, prin sportul de performanță</w:t>
      </w:r>
      <w:r w:rsidRPr="00F171A3">
        <w:rPr>
          <w:vertAlign w:val="superscript"/>
        </w:rPr>
        <w:footnoteReference w:id="58"/>
      </w:r>
      <w:r w:rsidRPr="00F171A3">
        <w:rPr>
          <w:vertAlign w:val="superscript"/>
        </w:rPr>
        <w:t xml:space="preserve"> </w:t>
      </w:r>
      <w:r w:rsidRPr="00F171A3">
        <w:t>se urmărește valorificarea aptitudinilor individului într-un sistem organizat de selecție, pregătire și competiție, având ca scop ameliorarea rezultatelor sportive, realizarea de recorduri și obținerea victoriei. În același timp, activitățile de socializare și timp liber au ca obiectiv dezvoltarea solidarității și promovarea toleranței între locuitori, dezvoltarea calității sistemelor de susținere a activităților de tineret, valorificarea abilităților și competențelor comunității.</w:t>
      </w:r>
    </w:p>
    <w:p w14:paraId="5D134FFD" w14:textId="41AF40EC" w:rsidR="00303644" w:rsidRPr="00F171A3" w:rsidRDefault="00303644" w:rsidP="00303644">
      <w:r w:rsidRPr="00F171A3">
        <w:t xml:space="preserve">Analizând situația de la nivelul </w:t>
      </w:r>
      <w:r w:rsidR="00DE36DE" w:rsidRPr="00F171A3">
        <w:t>m</w:t>
      </w:r>
      <w:r w:rsidRPr="00F171A3">
        <w:t xml:space="preserve">unicipiului București, se remarcă faptul că sectorul sportului de performanță a cunoscut o tendință ușoară de creștere de aproximativ 18,85% în perioada 2016-2020. Astfel, la nivelul anului 2020 se remarcă un număr mai crescut al secțiilor sportive, fiind înregistrate cu aproximativ 175 de secții mai multe față de anul 2016 când erau înregistrate în total 928 de secții. Această creștere este una benefică, dat fiind faptul că în anul 2020 populația </w:t>
      </w:r>
      <w:r w:rsidR="00DE36DE" w:rsidRPr="00F171A3">
        <w:t>m</w:t>
      </w:r>
      <w:r w:rsidRPr="00F171A3">
        <w:t>unicipiului București era încă limitată de restricțiile impuse de răspândirea pandemiei, sportul fiind și el limitat.</w:t>
      </w:r>
    </w:p>
    <w:p w14:paraId="4D7E249C" w14:textId="0F60E502" w:rsidR="00303644" w:rsidRPr="00F171A3" w:rsidRDefault="00303644" w:rsidP="00303644">
      <w:pPr>
        <w:pStyle w:val="Caption"/>
      </w:pPr>
      <w:bookmarkStart w:id="156" w:name="_heading=h.1tuee74" w:colFirst="0" w:colLast="0"/>
      <w:bookmarkStart w:id="157" w:name="_Toc115268555"/>
      <w:bookmarkStart w:id="158" w:name="_Toc127198036"/>
      <w:bookmarkEnd w:id="156"/>
      <w:r w:rsidRPr="00F171A3">
        <w:t xml:space="preserve">Figura </w:t>
      </w:r>
      <w:r w:rsidRPr="00F171A3">
        <w:fldChar w:fldCharType="begin"/>
      </w:r>
      <w:r w:rsidRPr="00F171A3">
        <w:instrText xml:space="preserve"> SEQ Figura \* ARABIC </w:instrText>
      </w:r>
      <w:r w:rsidRPr="00F171A3">
        <w:fldChar w:fldCharType="separate"/>
      </w:r>
      <w:r w:rsidR="005A6DD8">
        <w:rPr>
          <w:noProof/>
        </w:rPr>
        <w:t>48</w:t>
      </w:r>
      <w:r w:rsidRPr="00F171A3">
        <w:fldChar w:fldCharType="end"/>
      </w:r>
      <w:r w:rsidRPr="00F171A3">
        <w:t xml:space="preserve"> Evoluția numărului de secții sportive în Municipiul București, perioada 2016-2020</w:t>
      </w:r>
      <w:bookmarkEnd w:id="157"/>
      <w:bookmarkEnd w:id="158"/>
    </w:p>
    <w:p w14:paraId="7B4F4F68" w14:textId="77777777" w:rsidR="00303644" w:rsidRPr="00F171A3" w:rsidRDefault="00303644" w:rsidP="00303644">
      <w:pPr>
        <w:jc w:val="center"/>
      </w:pPr>
      <w:r w:rsidRPr="00F171A3">
        <w:rPr>
          <w:noProof/>
        </w:rPr>
        <w:drawing>
          <wp:inline distT="0" distB="0" distL="0" distR="0" wp14:anchorId="4D1281AC" wp14:editId="5A057C6C">
            <wp:extent cx="5928360" cy="1733550"/>
            <wp:effectExtent l="0" t="0" r="0" b="0"/>
            <wp:docPr id="100" name="Diagramă 256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CA647B6" w14:textId="77777777" w:rsidR="00303644" w:rsidRPr="00F171A3" w:rsidRDefault="00303644" w:rsidP="00FF6C80">
      <w:pPr>
        <w:jc w:val="right"/>
        <w:rPr>
          <w:color w:val="BFBFBF" w:themeColor="background1" w:themeShade="BF"/>
        </w:rPr>
      </w:pPr>
      <w:r w:rsidRPr="00F171A3">
        <w:rPr>
          <w:color w:val="BFBFBF" w:themeColor="background1" w:themeShade="BF"/>
        </w:rPr>
        <w:t>Sursa: Baza de date INS TEMPO</w:t>
      </w:r>
    </w:p>
    <w:p w14:paraId="0219DF92" w14:textId="559C3740" w:rsidR="00303644" w:rsidRPr="00F171A3" w:rsidRDefault="00303644" w:rsidP="00303644">
      <w:pPr>
        <w:rPr>
          <w:i/>
        </w:rPr>
      </w:pPr>
      <w:r w:rsidRPr="00F171A3">
        <w:t xml:space="preserve">În același timp, numărul total al sportivilor legitimați din </w:t>
      </w:r>
      <w:r w:rsidR="00DE36DE" w:rsidRPr="00F171A3">
        <w:t>m</w:t>
      </w:r>
      <w:r w:rsidRPr="00F171A3">
        <w:t xml:space="preserve">unicipiul București a înregistrat pentru aceeași perioadă o creștere de aproximativ 38,02%, reprezentând cu aproximativ 13.379 de sportivi legitimați mai mulți în anul 2020 față de anul 2014. Această creștere indică o sporire a atractivității acestui sector în rândul populației, fiind din ce în ce mai apreciată activitatea fizică, precum și practicarea unui sport de performanță, inclusiv în perioada pandemiei. </w:t>
      </w:r>
    </w:p>
    <w:p w14:paraId="3AA108DC" w14:textId="41975194" w:rsidR="00303644" w:rsidRPr="00F171A3" w:rsidRDefault="00303644" w:rsidP="00303644">
      <w:pPr>
        <w:pStyle w:val="Caption"/>
      </w:pPr>
      <w:bookmarkStart w:id="159" w:name="_heading=h.4du1wux" w:colFirst="0" w:colLast="0"/>
      <w:bookmarkStart w:id="160" w:name="_Toc115268556"/>
      <w:bookmarkStart w:id="161" w:name="_Toc127198037"/>
      <w:bookmarkEnd w:id="159"/>
      <w:r w:rsidRPr="00F171A3">
        <w:t xml:space="preserve">Figura </w:t>
      </w:r>
      <w:r w:rsidRPr="00F171A3">
        <w:fldChar w:fldCharType="begin"/>
      </w:r>
      <w:r w:rsidRPr="00F171A3">
        <w:instrText xml:space="preserve"> SEQ Figura \* ARABIC </w:instrText>
      </w:r>
      <w:r w:rsidRPr="00F171A3">
        <w:fldChar w:fldCharType="separate"/>
      </w:r>
      <w:r w:rsidR="005A6DD8">
        <w:rPr>
          <w:noProof/>
        </w:rPr>
        <w:t>49</w:t>
      </w:r>
      <w:r w:rsidRPr="00F171A3">
        <w:fldChar w:fldCharType="end"/>
      </w:r>
      <w:r w:rsidRPr="00F171A3">
        <w:t xml:space="preserve"> Evoluția numărului de sportivi legitimați în Municipiul București, perioada 2016-2020</w:t>
      </w:r>
      <w:bookmarkEnd w:id="160"/>
      <w:bookmarkEnd w:id="161"/>
    </w:p>
    <w:p w14:paraId="4EDDB291" w14:textId="77777777" w:rsidR="00303644" w:rsidRPr="00F171A3" w:rsidRDefault="00303644" w:rsidP="00303644">
      <w:pPr>
        <w:jc w:val="center"/>
      </w:pPr>
      <w:r w:rsidRPr="00F171A3">
        <w:rPr>
          <w:noProof/>
        </w:rPr>
        <w:drawing>
          <wp:inline distT="0" distB="0" distL="0" distR="0" wp14:anchorId="1F832C61" wp14:editId="4C856640">
            <wp:extent cx="6080760" cy="1757548"/>
            <wp:effectExtent l="0" t="0" r="0" b="0"/>
            <wp:docPr id="101" name="Diagramă 256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A184BEE" w14:textId="77777777" w:rsidR="00303644" w:rsidRPr="00F171A3" w:rsidRDefault="00303644" w:rsidP="00FF6C80">
      <w:pPr>
        <w:jc w:val="right"/>
        <w:rPr>
          <w:color w:val="BFBFBF" w:themeColor="background1" w:themeShade="BF"/>
        </w:rPr>
      </w:pPr>
      <w:r w:rsidRPr="00F171A3">
        <w:rPr>
          <w:color w:val="BFBFBF" w:themeColor="background1" w:themeShade="BF"/>
        </w:rPr>
        <w:t>Sursa: Baza de date INS TEMPO</w:t>
      </w:r>
    </w:p>
    <w:p w14:paraId="0125A87B" w14:textId="77777777" w:rsidR="00303644" w:rsidRPr="00F171A3" w:rsidRDefault="00303644" w:rsidP="00303644">
      <w:r w:rsidRPr="00F171A3">
        <w:t xml:space="preserve">În contextul în care sportul contribuie într-o manieră definitorie la menținerea unui echilibru fizic și mental, dar și la dezvoltarea interacțiunilor sociale, este necesar ca acesta să devină o prioritate în dezvoltarea Sectorului, iar beneficiile acestuia să fie promovate către cât mai multe persoane. </w:t>
      </w:r>
    </w:p>
    <w:p w14:paraId="1CBD20F2" w14:textId="0AEB8D30" w:rsidR="00303644" w:rsidRPr="00F171A3" w:rsidRDefault="00303644" w:rsidP="00303644">
      <w:r w:rsidRPr="00F171A3">
        <w:t xml:space="preserve">Cea mai mare parte a infrastructurii sportive și de agrement se regăsește localizată în afara zonei centrale, fiind alcătuită din baze sportive, parcuri de distracții sau cluburi pentru tineret. Deși nu există o bază de date integrată cu infrastructura sportivă din Capitală, nivelul de dotare, capacitatea și starea acesteia, pot fi identificate principalele </w:t>
      </w:r>
      <w:r w:rsidRPr="00F171A3">
        <w:rPr>
          <w:b/>
          <w:color w:val="3CA1BC"/>
        </w:rPr>
        <w:t xml:space="preserve">DOTĂRI SPORTIVE </w:t>
      </w:r>
      <w:r w:rsidRPr="00F171A3">
        <w:t xml:space="preserve">din Sectorul 2: Arena Națională și Complexul Sportiv Național „Lia Manoliu” – cea mai importantă bază sportivă de pe teritoriul </w:t>
      </w:r>
      <w:r w:rsidR="00DE36DE" w:rsidRPr="00F171A3">
        <w:t>m</w:t>
      </w:r>
      <w:r w:rsidRPr="00F171A3">
        <w:t>unicipiului București, cu facilități diverse, aflată în gestiunea Primăriei Municipiului București și a Ministerului Tineretului și Sportului, Complexul Sportiv Dinamo aflat în gestiunea Ministerului Afacerilor Interne, Baza Sportivă ICSIM, Baza Sportivă Pescariu Sports &amp; Spa administrată de Ministerul Educației Naționale, Complexul Cultural Sportiv Studențesc Tei, Baza Sportivă ACS Daco-Getică București, Complexul Sportiv Ion Țiriac sau Baza Sportivă Republica.</w:t>
      </w:r>
    </w:p>
    <w:p w14:paraId="1EA5A87A" w14:textId="77777777" w:rsidR="00303644" w:rsidRPr="00F171A3" w:rsidRDefault="00303644" w:rsidP="00303644">
      <w:r w:rsidRPr="00F171A3">
        <w:t>La acestea se adaugă și zonele sportive din cadrul parcurilor de pe teritoriul Sectorului 2 precum terenurile de sport din Parcul Plumbuita, Parcul Tei, Ștrandul M.A.N., Ștrandul Tei, Parcul Sf. Pantelimon, Parcul Național, precum și terenurile adiacente salbei de lacuri a râului Colentina care ar putea găzdui evenimente și activități outdoor pentru locuitorii Sectorului 2 și nu numai. Se remarcă totodată și o concentrare a dotărilor sportive de dimensiuni mai mari în zona salbei de lacuri, deși o mare parte dintre aceste dotări nu sunt administrate de către Primăria Sectorului 2.</w:t>
      </w:r>
    </w:p>
    <w:p w14:paraId="46A8C99C" w14:textId="398C88D2" w:rsidR="00303644" w:rsidRPr="00F171A3" w:rsidRDefault="00303644" w:rsidP="00303644">
      <w:pPr>
        <w:pStyle w:val="Caption"/>
      </w:pPr>
      <w:bookmarkStart w:id="162" w:name="_heading=h.2szc72q" w:colFirst="0" w:colLast="0"/>
      <w:bookmarkStart w:id="163" w:name="_Toc115268557"/>
      <w:bookmarkStart w:id="164" w:name="_Toc127198038"/>
      <w:bookmarkEnd w:id="162"/>
      <w:r w:rsidRPr="00F171A3">
        <w:t xml:space="preserve">Figura </w:t>
      </w:r>
      <w:r w:rsidRPr="00F171A3">
        <w:fldChar w:fldCharType="begin"/>
      </w:r>
      <w:r w:rsidRPr="00F171A3">
        <w:instrText xml:space="preserve"> SEQ Figura \* ARABIC </w:instrText>
      </w:r>
      <w:r w:rsidRPr="00F171A3">
        <w:fldChar w:fldCharType="separate"/>
      </w:r>
      <w:r w:rsidR="005A6DD8">
        <w:rPr>
          <w:noProof/>
        </w:rPr>
        <w:t>50</w:t>
      </w:r>
      <w:r w:rsidRPr="00F171A3">
        <w:fldChar w:fldCharType="end"/>
      </w:r>
      <w:r w:rsidRPr="00F171A3">
        <w:t xml:space="preserve"> Principalele dotări sportive din Sectorul 2</w:t>
      </w:r>
      <w:bookmarkEnd w:id="163"/>
      <w:bookmarkEnd w:id="164"/>
    </w:p>
    <w:p w14:paraId="544B3D0A" w14:textId="77777777" w:rsidR="00303644" w:rsidRPr="00F171A3" w:rsidRDefault="00303644" w:rsidP="00303644">
      <w:r w:rsidRPr="00F171A3">
        <w:rPr>
          <w:i/>
          <w:noProof/>
        </w:rPr>
        <w:drawing>
          <wp:inline distT="0" distB="0" distL="0" distR="0" wp14:anchorId="6A06C3C9" wp14:editId="2091EC09">
            <wp:extent cx="5996940" cy="8122920"/>
            <wp:effectExtent l="0" t="0" r="0" b="0"/>
            <wp:docPr id="2573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9"/>
                    <a:srcRect t="900" b="1886"/>
                    <a:stretch>
                      <a:fillRect/>
                    </a:stretch>
                  </pic:blipFill>
                  <pic:spPr>
                    <a:xfrm>
                      <a:off x="0" y="0"/>
                      <a:ext cx="5996940" cy="8122920"/>
                    </a:xfrm>
                    <a:prstGeom prst="rect">
                      <a:avLst/>
                    </a:prstGeom>
                    <a:ln/>
                  </pic:spPr>
                </pic:pic>
              </a:graphicData>
            </a:graphic>
          </wp:inline>
        </w:drawing>
      </w:r>
    </w:p>
    <w:p w14:paraId="65717A87" w14:textId="77777777" w:rsidR="00303644" w:rsidRPr="00F171A3" w:rsidRDefault="00303644" w:rsidP="00FF6C80">
      <w:pPr>
        <w:jc w:val="right"/>
        <w:rPr>
          <w:color w:val="BFBFBF" w:themeColor="background1" w:themeShade="BF"/>
        </w:rPr>
      </w:pPr>
      <w:r w:rsidRPr="00F171A3">
        <w:rPr>
          <w:color w:val="BFBFBF" w:themeColor="background1" w:themeShade="BF"/>
        </w:rPr>
        <w:t xml:space="preserve">Sursa: Cartare Google Maps </w:t>
      </w:r>
    </w:p>
    <w:p w14:paraId="4D767B56" w14:textId="055762DA" w:rsidR="00303644" w:rsidRPr="00F171A3" w:rsidRDefault="00303644" w:rsidP="00303644">
      <w:r w:rsidRPr="00F171A3">
        <w:t xml:space="preserve">Analizând distribuția infrastructurii sportive la nivelul </w:t>
      </w:r>
      <w:r w:rsidR="00DE36DE" w:rsidRPr="00F171A3">
        <w:t>m</w:t>
      </w:r>
      <w:r w:rsidRPr="00F171A3">
        <w:t xml:space="preserve">unicipiului București, se remarcă faptul că aceasta este alcătuită din baze și complexuri sportive, terenuri de sport, stadioane și bazine de înot, aflate în mare parte în proprietatea unor instituții publice precum Primăria Municipiului București, Ministerul Tineretului și Sportului, Ministerul Educației Naționale, Asociațiile Municipale sportive etc., dar și în proprietare sau administrarea unor cluburi sportive sau actori privați. La acestea se adaugă și principalele dotări pentru sportul de masă cum este cazul sălilor de sport / fitness private sau dotările aferente unităților de învățământ, </w:t>
      </w:r>
      <w:r w:rsidR="00DE36DE" w:rsidRPr="00F171A3">
        <w:t>m</w:t>
      </w:r>
      <w:r w:rsidRPr="00F171A3">
        <w:t>unicipiul București dispunând în anul 2020 – conform bazei de date INS Tempo, de 382 de terenuri de sport, 17 bazine de înot și 380 de săli de gimnastică în cadrul școlilor, liceelor și universităților, care vor fi deschise publicului în afara orelor de curs – conform unui regulament adoptat de către Consiliul Local al Sectorului 2. Aceste spații pot constitui o alternativă la infrastructura sportivă majoră existentă, însă în eventualitatea utilizării acesteia trebuie să se țină cont și de necesitatea asigurării măsurilor de pază pe parcursul orelor de închiriere.</w:t>
      </w:r>
    </w:p>
    <w:p w14:paraId="55667A77" w14:textId="77777777" w:rsidR="00303644" w:rsidRPr="00F171A3" w:rsidRDefault="00303644" w:rsidP="00303644">
      <w:r w:rsidRPr="00F171A3">
        <w:t xml:space="preserve">Interesul autorităților locale pentru dezvoltarea infrastructurii sportive este unul ridicat, fiind astfel realizate sau în curs de implementare o serie de demersuri în acest sector. În acest context, trebuie menționate investițiile finanțate și de către Compania Națională de Investiții, ce au vizat în principal dotările sportive aferente unităților de învățământ, dar și o serie de proiecte majore precum realizarea bazinului olimpic de înot la Clubul Sportiv Dinamo sau sala de sport din incinta Clubului Sportiv Dinamo (finalizată în anul 2019). Pe lângă acestea, administrația Sectorului 2 are pe lista proiectelor pentru anul 2022 o serie de proiecte ce prevăd reabilitarea sălilor de sport din cadrul unităților de învățământ de pe teritoriul Sectorului 2: </w:t>
      </w:r>
    </w:p>
    <w:p w14:paraId="57751A78" w14:textId="77777777" w:rsidR="00303644" w:rsidRPr="00F171A3" w:rsidRDefault="00303644" w:rsidP="00303644">
      <w:pPr>
        <w:pStyle w:val="Bullet"/>
      </w:pPr>
      <w:r w:rsidRPr="00F171A3">
        <w:t>Consolidare, reabilitare și modernizare imobil școală, sală sport și internat din cadrul Școlii Gimnaziale nr. 24 (finalizare obiectiv 50%);</w:t>
      </w:r>
    </w:p>
    <w:p w14:paraId="4285555F" w14:textId="77777777" w:rsidR="00303644" w:rsidRPr="00F171A3" w:rsidRDefault="00303644" w:rsidP="00303644">
      <w:pPr>
        <w:pStyle w:val="Bullet"/>
      </w:pPr>
      <w:r w:rsidRPr="00F171A3">
        <w:t>Reabilitare și modernizare corp școală și sală de sport din cadrul Școlii Gimnaziale nr. 25 (finalizare obiectiv 50%);</w:t>
      </w:r>
    </w:p>
    <w:p w14:paraId="1028E6F2" w14:textId="77777777" w:rsidR="00303644" w:rsidRPr="00F171A3" w:rsidRDefault="00303644" w:rsidP="00303644">
      <w:pPr>
        <w:pStyle w:val="Bullet"/>
      </w:pPr>
      <w:r w:rsidRPr="00F171A3">
        <w:t>Modernizare sală sport corp C1 din cadrul Colegiului Național Spiru Haret (finalizare servicii de proiectare);</w:t>
      </w:r>
    </w:p>
    <w:p w14:paraId="0C3085B1" w14:textId="3031A900" w:rsidR="00303644" w:rsidRPr="00F171A3" w:rsidRDefault="00303644" w:rsidP="00303644">
      <w:pPr>
        <w:pStyle w:val="Bullet"/>
      </w:pPr>
      <w:r w:rsidRPr="00F171A3">
        <w:t>Reabilitarea sală sport din cadrul Colegiului Național George Coșbuc (finalizare obiectiv 100%);</w:t>
      </w:r>
    </w:p>
    <w:p w14:paraId="3C859E7C" w14:textId="77777777" w:rsidR="00303644" w:rsidRPr="00F171A3" w:rsidRDefault="00303644" w:rsidP="00303644">
      <w:pPr>
        <w:pStyle w:val="Bullet"/>
      </w:pPr>
      <w:r w:rsidRPr="00F171A3">
        <w:t>Reabilitare sală sport din cadrul Școlii Gimnaziale Petre Ghelmez (finalizare obiectiv 100%).</w:t>
      </w:r>
    </w:p>
    <w:p w14:paraId="6D1DC3F3" w14:textId="77777777" w:rsidR="00303644" w:rsidRPr="00F171A3" w:rsidRDefault="00303644" w:rsidP="00303644">
      <w:pPr>
        <w:spacing w:before="240"/>
      </w:pPr>
      <w:r w:rsidRPr="00F171A3">
        <w:t>De asemenea, se află în desfășurare și/sau pe lista de sinteză de la C.N.I. o serie de proiecte pe care administrația Sectorului 2 dorește să le realizeze cât mai curând precum:</w:t>
      </w:r>
    </w:p>
    <w:p w14:paraId="29F3375E" w14:textId="77777777" w:rsidR="00303644" w:rsidRPr="00F171A3" w:rsidRDefault="00303644" w:rsidP="00303644">
      <w:pPr>
        <w:pStyle w:val="Bullet"/>
      </w:pPr>
      <w:r w:rsidRPr="00F171A3">
        <w:t>Reabilitarea Stadionului Central din incinta Complexului Sportiv Dinamo (lista de sinteză);</w:t>
      </w:r>
    </w:p>
    <w:p w14:paraId="729FCED0" w14:textId="77777777" w:rsidR="00303644" w:rsidRPr="00F171A3" w:rsidRDefault="00303644" w:rsidP="00303644">
      <w:pPr>
        <w:pStyle w:val="Bullet"/>
      </w:pPr>
      <w:r w:rsidRPr="00F171A3">
        <w:t>Stadion nou pentru Clubul Sportiv Dinamo București, Șoseaua Ștefan cel Mare, nr. 7-9, sectorul 2, LOT ½ (lista de sinteză);</w:t>
      </w:r>
    </w:p>
    <w:p w14:paraId="77CDEE35" w14:textId="7327F49F" w:rsidR="00303644" w:rsidRPr="00F171A3" w:rsidRDefault="00303644" w:rsidP="00303644">
      <w:pPr>
        <w:pStyle w:val="Bullet"/>
      </w:pPr>
      <w:r w:rsidRPr="00F171A3">
        <w:t xml:space="preserve">Reabilitare sală sport, bazin polo, sală scrimă Complex Sportiv Floreasca, </w:t>
      </w:r>
      <w:r w:rsidR="00F53B80" w:rsidRPr="00F171A3">
        <w:t>S</w:t>
      </w:r>
      <w:r w:rsidRPr="00F171A3">
        <w:t>ector 2 (lista de sinteză);</w:t>
      </w:r>
    </w:p>
    <w:p w14:paraId="32384FC8" w14:textId="61A3F04A" w:rsidR="00303644" w:rsidRPr="00F171A3" w:rsidRDefault="00303644" w:rsidP="00303644">
      <w:pPr>
        <w:pStyle w:val="Bullet"/>
      </w:pPr>
      <w:r w:rsidRPr="00F171A3">
        <w:t xml:space="preserve">Reabilitare si modernizare Baza Sportiva de natație și atletism, Club Sportiv Național Lia Manoliu – Str. Maior Coravu Ion nr. 34, </w:t>
      </w:r>
      <w:r w:rsidR="00F53B80" w:rsidRPr="00F171A3">
        <w:t>S</w:t>
      </w:r>
      <w:r w:rsidRPr="00F171A3">
        <w:t>ector 2 (lista de sinteză);</w:t>
      </w:r>
    </w:p>
    <w:p w14:paraId="35596E1E" w14:textId="77777777" w:rsidR="00303644" w:rsidRPr="00F171A3" w:rsidRDefault="00303644" w:rsidP="00303644">
      <w:pPr>
        <w:pStyle w:val="Bullet"/>
      </w:pPr>
      <w:r w:rsidRPr="00F171A3">
        <w:t>Construire Arena multifuncțională C.S. Dinamo București, Șoseaua Ștefan cel Mare, Nr. 7-9, Lot 1/1, sectorul 2 (lista de sinteză);</w:t>
      </w:r>
    </w:p>
    <w:p w14:paraId="42E25329" w14:textId="77777777" w:rsidR="00303644" w:rsidRPr="00F171A3" w:rsidRDefault="00303644" w:rsidP="00303644">
      <w:pPr>
        <w:pStyle w:val="Bullet"/>
      </w:pPr>
      <w:r w:rsidRPr="00F171A3">
        <w:t>Construire complex sportiv școlar – Școala Gimnazială nr. 51, Str. Herta, nr. 1, sectorul 2 (lista de sinteză).</w:t>
      </w:r>
    </w:p>
    <w:p w14:paraId="7F9D12B3" w14:textId="77777777" w:rsidR="00303644" w:rsidRPr="00F171A3" w:rsidRDefault="00303644" w:rsidP="00303644">
      <w:r w:rsidRPr="00F171A3">
        <w:t>Unul dintre proiectele care se află și pe lista Primăriei Sectorului 2 este acela de a permite accesul în curțile școlilor în afara orelor de curs al copiilor și tinerilor domiciliați în Sectorul 2 sau care frecventează unități de învățământ de pe raza sectorului. Proiectul de Regulament pentru accesul copiilor și tinerilor în curțile școlilor a fost aprobat de către Consiliul Local al Sectorului 2.</w:t>
      </w:r>
      <w:r w:rsidRPr="00F171A3">
        <w:rPr>
          <w:vertAlign w:val="superscript"/>
        </w:rPr>
        <w:footnoteReference w:id="59"/>
      </w:r>
    </w:p>
    <w:p w14:paraId="47E34FD1" w14:textId="6A66E29A" w:rsidR="00303644" w:rsidRPr="00F171A3" w:rsidRDefault="00303644" w:rsidP="00303644">
      <w:r w:rsidRPr="00F171A3">
        <w:t>La cele menționate anterior se adaugă și proiectul “Cartierul micilor sportivi de la Baza Granitul” prin care s-a pornit un proiect de reglementare urbanistică ce vizează dezvoltarea integrată a unui Cartier al Micilor Sportivi. Copiii vor învăța beneficiile sportului de la cele mai mici vârste, având la îndemână spații special create și amenajate pentru aceștia pe o suprafață de aproximativ 15 hectare din care o parte din funcțiuni există – baza sportivă Granitul. Astfel, pe lângă creșa de minim 100 de locuri care se va construi pe strada Ion Vlad în cadrul acestui proiect, se reglementează și construirea unei grădinițe cu profil sportiv cu minim 100 de locuri, a unui complex sportiv cu terenuri de fotbal, terenuri de tenis, bazin de înot și o bază sportivă nautică, precum și a unui parc cu posibilitatea desfășurării de activități de agrement nautic.</w:t>
      </w:r>
      <w:r w:rsidRPr="00F171A3">
        <w:rPr>
          <w:vertAlign w:val="superscript"/>
        </w:rPr>
        <w:footnoteReference w:id="60"/>
      </w:r>
    </w:p>
    <w:p w14:paraId="7679E940" w14:textId="77777777" w:rsidR="00303644" w:rsidRPr="00F171A3" w:rsidRDefault="00303644" w:rsidP="00303644">
      <w:r w:rsidRPr="00F171A3">
        <w:t>Aceste proiecte vor răspunde unor nevoie actuale ale Sectorului 2, de a suplimenta oferta de dotări sportive omologate pentru mai multe ramuri sportive, de a spori oferta de terenuri sintetice pentru practicarea sporturilor în sezonul rece, precum și de a asigura servicii superioare de antrenament și organizare de competiții pentru sportivii de performanță, dar și pentru practicanții sportului de masă.</w:t>
      </w:r>
    </w:p>
    <w:p w14:paraId="2BB9119C" w14:textId="173E0451" w:rsidR="00303644" w:rsidRPr="00F171A3" w:rsidRDefault="00303644" w:rsidP="00303644">
      <w:r w:rsidRPr="00F171A3">
        <w:t>În același timp, locuitorii Sectorului 2 doresc activarea salbei de lacuri și propun amplasarea unor bărci pentru agrement pe acestea, în vederea diversificării activităților de agrement care se pot realiza în această zonă. Alături de aceste activități, locuitorii Sectorului 2 își doresc dezvoltarea infrastructurii de sport și crearea unor noi centre / baze sportive pentru copiii din Sector, unde aceștia să poată practica diverse sporturi gratuit, precum și mai multe bazine de înot și un velodrom.</w:t>
      </w:r>
    </w:p>
    <w:p w14:paraId="75E5518E" w14:textId="0A5D86B8" w:rsidR="00303644" w:rsidRPr="00F171A3" w:rsidRDefault="00303644" w:rsidP="00303644">
      <w:r w:rsidRPr="00F171A3">
        <w:t xml:space="preserve">Cu privire la </w:t>
      </w:r>
      <w:r w:rsidRPr="00F171A3">
        <w:rPr>
          <w:b/>
          <w:color w:val="3CA1BC"/>
        </w:rPr>
        <w:t>EVENIMENTELE ȘI ACTIVITĂȚILE SPORTIVE</w:t>
      </w:r>
      <w:r w:rsidRPr="00F171A3">
        <w:rPr>
          <w:color w:val="3CA1BC"/>
        </w:rPr>
        <w:t xml:space="preserve"> </w:t>
      </w:r>
      <w:r w:rsidRPr="00F171A3">
        <w:t xml:space="preserve">din Sectorul 2 și implicit la nivelul </w:t>
      </w:r>
      <w:r w:rsidR="00DE36DE" w:rsidRPr="00F171A3">
        <w:t>m</w:t>
      </w:r>
      <w:r w:rsidRPr="00F171A3">
        <w:t>unicipiul București, locuitorii orașului și nu numai pot lua parte sau pot fi spectatori la numeroase manifestații pe tot parcursul anului. Acestea sunt dedicate pe de-o parte sportului de performanță, fiind vorba despre meciuri / etape în campionate naționale sau în competiții internaționale, iar pe de altă parte sportului de masă, cele mai multe evenimente de acest fel fiind maratoanele, crosurile și festivalurile sportive.</w:t>
      </w:r>
      <w:r w:rsidRPr="00F171A3">
        <w:rPr>
          <w:vertAlign w:val="superscript"/>
        </w:rPr>
        <w:footnoteReference w:id="61"/>
      </w:r>
      <w:r w:rsidRPr="00F171A3">
        <w:t xml:space="preserve"> În funcție de specificul lor, aceste evenimente au loc fie în spații dedicate sportului, precum Arena Națională, bazele cluburilor sportive, fie în spații neconvenționale, în cazul activităților dedicate publicului larg, cum ar fi mall-urile, parcurile sau arterele de circulație ale Capitalei. </w:t>
      </w:r>
    </w:p>
    <w:p w14:paraId="7976A427" w14:textId="1D5255C4" w:rsidR="00303644" w:rsidRPr="00F171A3" w:rsidRDefault="00303644" w:rsidP="00303644">
      <w:r w:rsidRPr="00F171A3">
        <w:t>O mare diversitate se remarcă și în cadrul organizatorilor acestor manifestații, de la instituții publice precum Primăria Municipiului București, Clubul pentru Tineret al Municipiului București, Asociațiile Municipale sportive, Ministerul Tineretului și Sportului, PROEDUS sau Primăriile de Sector și actorii independenți și privați.</w:t>
      </w:r>
      <w:r w:rsidRPr="00F171A3">
        <w:rPr>
          <w:vertAlign w:val="superscript"/>
        </w:rPr>
        <w:footnoteReference w:id="62"/>
      </w:r>
      <w:r w:rsidRPr="00F171A3">
        <w:t xml:space="preserve"> În total, în </w:t>
      </w:r>
      <w:r w:rsidR="00DE36DE" w:rsidRPr="00F171A3">
        <w:t>m</w:t>
      </w:r>
      <w:r w:rsidRPr="00F171A3">
        <w:t>unicipiul București, activitățile sportive sunt susținute și promovate de numeroasele structuri sportive existente, aici fiind localizate aproximativ 1.276 de asociații și cluburi sportive</w:t>
      </w:r>
      <w:r w:rsidRPr="00F171A3">
        <w:rPr>
          <w:vertAlign w:val="superscript"/>
        </w:rPr>
        <w:footnoteReference w:id="63"/>
      </w:r>
      <w:r w:rsidRPr="00F171A3">
        <w:t xml:space="preserve"> ce își desfășoară activitatea în peste 80 de ramuri sportive.</w:t>
      </w:r>
    </w:p>
    <w:p w14:paraId="578457D7" w14:textId="77777777" w:rsidR="00303644" w:rsidRPr="00F171A3" w:rsidRDefault="00303644" w:rsidP="00303644">
      <w:r w:rsidRPr="00F171A3">
        <w:t>Mai mult, se remarcă în ultima perioadă și o serie de acțiuni menite să încurajeze practicarea sportului de masă, inclusiv pentru încurajarea oamenilor să practice sport în perioada pandemiei – parcurile mari de pe raza Sectorului 2 fiind deschise în această perioadă pentru a permite locuitorilor sectorului să alerge sau să desfășoare activități sportive în proximitatea locuinței.</w:t>
      </w:r>
    </w:p>
    <w:p w14:paraId="0B2AADB3" w14:textId="6B382DFB" w:rsidR="00303644" w:rsidRPr="00F171A3" w:rsidRDefault="00303644" w:rsidP="00303644">
      <w:r w:rsidRPr="00F171A3">
        <w:t>De asemenea, de menționat este și posibilitatea de finanțare prin fonduri nerambursabile din partea Primăriei Sectorului 2 a proiectelor sportive. Acestea sunt dedicate persoanelor fizice, organizațiilor și fundațiilor de profil nonprofit care au idei de proiecte dinamice și atractive care să încurajeze sportul în Sectorul 2. Prin aceste finanțări, Primăria Sectorului 2 a urmărit de-a lungul timpului organizarea de</w:t>
      </w:r>
      <w:r w:rsidRPr="00F171A3">
        <w:rPr>
          <w:vertAlign w:val="superscript"/>
        </w:rPr>
        <w:footnoteReference w:id="64"/>
      </w:r>
      <w:r w:rsidRPr="00F171A3">
        <w:t>:</w:t>
      </w:r>
    </w:p>
    <w:p w14:paraId="7F56504A" w14:textId="26D7FA84" w:rsidR="00303644" w:rsidRPr="00F171A3" w:rsidRDefault="00C65A9E" w:rsidP="00303644">
      <w:pPr>
        <w:pStyle w:val="Bullet"/>
      </w:pPr>
      <w:r w:rsidRPr="00F171A3">
        <w:t>C</w:t>
      </w:r>
      <w:r w:rsidR="00303644" w:rsidRPr="00F171A3">
        <w:t>ompetiții și activități sportive adaptate la diversele segmente de vârstă (elevi, maturi, vârstnici) astfel încât să atragă și să implice cât mai mulți locuitori ai Sectorului 2;</w:t>
      </w:r>
    </w:p>
    <w:p w14:paraId="2D5323CA" w14:textId="439E8C1F" w:rsidR="00303644" w:rsidRPr="00F171A3" w:rsidRDefault="00C65A9E" w:rsidP="00303644">
      <w:pPr>
        <w:pStyle w:val="Bullet"/>
      </w:pPr>
      <w:r w:rsidRPr="00F171A3">
        <w:t>C</w:t>
      </w:r>
      <w:r w:rsidR="00303644" w:rsidRPr="00F171A3">
        <w:t>ompetiții și activități sportive adaptate persoanelor cu dizabilități din Sectorul 2;</w:t>
      </w:r>
    </w:p>
    <w:p w14:paraId="6990CE6D" w14:textId="21ECE851" w:rsidR="00303644" w:rsidRPr="00F171A3" w:rsidRDefault="00C65A9E" w:rsidP="00303644">
      <w:pPr>
        <w:pStyle w:val="Bullet"/>
      </w:pPr>
      <w:r w:rsidRPr="00F171A3">
        <w:t>C</w:t>
      </w:r>
      <w:r w:rsidR="00303644" w:rsidRPr="00F171A3">
        <w:t>ursuri de sport;</w:t>
      </w:r>
    </w:p>
    <w:p w14:paraId="734C27D3" w14:textId="49F1FFA9" w:rsidR="00303644" w:rsidRPr="00F171A3" w:rsidRDefault="00C65A9E" w:rsidP="00303644">
      <w:pPr>
        <w:pStyle w:val="Bullet"/>
      </w:pPr>
      <w:r w:rsidRPr="00F171A3">
        <w:t>E</w:t>
      </w:r>
      <w:r w:rsidR="00303644" w:rsidRPr="00F171A3">
        <w:t>venimente atractive care îmbină acțiunile sociale cu cele sportiv-culturale astfel încât să atragă cât mai multe persoane cu vârste și din medii diferite.</w:t>
      </w:r>
    </w:p>
    <w:p w14:paraId="4BA0D000" w14:textId="77777777" w:rsidR="00303644" w:rsidRPr="00F171A3" w:rsidRDefault="00303644" w:rsidP="00303644">
      <w:pPr>
        <w:spacing w:before="240"/>
      </w:pPr>
      <w:r w:rsidRPr="00F171A3">
        <w:t>În urma încheierii etapei de analiză a proiectelor depuse pentru atragerea de Fonduri Nerambursabile de la bugetul local la începutul anului 2022, au fost alese o serie de proiecte care au îndeplinit criteriile de eligibilitate</w:t>
      </w:r>
      <w:r w:rsidRPr="00F171A3">
        <w:rPr>
          <w:vertAlign w:val="superscript"/>
        </w:rPr>
        <w:footnoteReference w:id="65"/>
      </w:r>
      <w:r w:rsidRPr="00F171A3">
        <w:t>:</w:t>
      </w:r>
    </w:p>
    <w:p w14:paraId="73585DB3" w14:textId="77777777" w:rsidR="00303644" w:rsidRPr="00F171A3" w:rsidRDefault="00303644" w:rsidP="00303644">
      <w:pPr>
        <w:pStyle w:val="Bullet"/>
      </w:pPr>
      <w:r w:rsidRPr="00F171A3">
        <w:t>Sectorul 2 susține Ciclismul – Asociația Club Sportiv Academia Velo București;</w:t>
      </w:r>
    </w:p>
    <w:p w14:paraId="200F83BB" w14:textId="77777777" w:rsidR="00303644" w:rsidRPr="00F171A3" w:rsidRDefault="00303644" w:rsidP="00303644">
      <w:pPr>
        <w:pStyle w:val="Bullet"/>
      </w:pPr>
      <w:r w:rsidRPr="00F171A3">
        <w:t>FIBA 3X3 Nations League Triple Stop – conferința U21 Europa de Est – Asociația Clubul Sportiv Sport Promotion;</w:t>
      </w:r>
    </w:p>
    <w:p w14:paraId="0E3D5F66" w14:textId="77777777" w:rsidR="00303644" w:rsidRPr="00F171A3" w:rsidRDefault="00303644" w:rsidP="00303644">
      <w:pPr>
        <w:pStyle w:val="Bullet"/>
      </w:pPr>
      <w:r w:rsidRPr="00F171A3">
        <w:t>Minionii învață Handbal – partea a 2-a – Asociația Club Sportiv Ștefan Birtalan;</w:t>
      </w:r>
    </w:p>
    <w:p w14:paraId="638183F3" w14:textId="77777777" w:rsidR="00303644" w:rsidRPr="00F171A3" w:rsidRDefault="00303644" w:rsidP="00303644">
      <w:pPr>
        <w:pStyle w:val="Bullet"/>
      </w:pPr>
      <w:r w:rsidRPr="00F171A3">
        <w:t>Sport pentru Tineri – Asociația The Social Incubator;</w:t>
      </w:r>
    </w:p>
    <w:p w14:paraId="7AAFEE72" w14:textId="77777777" w:rsidR="00303644" w:rsidRPr="00F171A3" w:rsidRDefault="00303644" w:rsidP="00303644">
      <w:pPr>
        <w:pStyle w:val="Bullet"/>
      </w:pPr>
      <w:r w:rsidRPr="00F171A3">
        <w:t>Edusport Sana – Clubul Sportiv Fortuna București.</w:t>
      </w:r>
    </w:p>
    <w:p w14:paraId="33057539" w14:textId="06FFD6DA" w:rsidR="00303644" w:rsidRPr="00F171A3" w:rsidRDefault="00303644" w:rsidP="00303644">
      <w:r w:rsidRPr="00F171A3">
        <w:t xml:space="preserve">Pe lângă acestea, o serie de programe de la nivelul </w:t>
      </w:r>
      <w:r w:rsidR="00DE36DE" w:rsidRPr="00F171A3">
        <w:t>m</w:t>
      </w:r>
      <w:r w:rsidRPr="00F171A3">
        <w:t xml:space="preserve">unicipiului București precum Programul Sportul pentru toți, inițiat de Fundația Comunitară București împreună cu Decathlon România sau proiectul Sănătate prin Sport derulat în perioada 2019-2021 și organizat de </w:t>
      </w:r>
      <w:r w:rsidR="00DE36DE" w:rsidRPr="00F171A3">
        <w:t>m</w:t>
      </w:r>
      <w:r w:rsidRPr="00F171A3">
        <w:t xml:space="preserve">unicipiul București prin Administrația Spitalelor și Serviciilor Medicale București, urmăresc crearea unor condiții și contexte mai bune pentru ca bucureștenii să poată practica sport din plăcere și în siguranță. În același sens, pentru organizarea/programarea evenimentelor sportive sau culturale este necesară în continuare o coordonare între instituțiile PMB, Primăriile Sectoarelor, Ministerul Sportului sau alți actori din sectorul privat pentru a dezvolta o agendă a evenimentelor cât mai variate și complexe. </w:t>
      </w:r>
    </w:p>
    <w:p w14:paraId="736EC77F" w14:textId="77777777" w:rsidR="00303644" w:rsidRPr="00F171A3" w:rsidRDefault="00303644" w:rsidP="00303644">
      <w:r w:rsidRPr="00F171A3">
        <w:t>Cu toate acestea, activitatea sportivă din Sectorul 2 este descrisă de către cei mai mulți dintre locuitorii care au participat la chestionarul aplicat</w:t>
      </w:r>
      <w:r w:rsidRPr="00F171A3">
        <w:rPr>
          <w:rStyle w:val="FootnoteReference"/>
        </w:rPr>
        <w:footnoteReference w:id="66"/>
      </w:r>
      <w:r w:rsidRPr="00F171A3">
        <w:t xml:space="preserve"> în cadrul prezentei strategii, ca fiind moderată (37,1%), puțin activă (32,9%) și foarte puțin activă (15,4%). O pondere de doar 14,7% dintre respondenți caracterizează activitatea sportivă din Sectorul 2 ca fiind activă și foarte activă.</w:t>
      </w:r>
    </w:p>
    <w:p w14:paraId="7BE85163" w14:textId="77777777" w:rsidR="00303644" w:rsidRPr="00F171A3" w:rsidRDefault="00303644" w:rsidP="00303644">
      <w:r w:rsidRPr="00F171A3">
        <w:t>Nu în ultimul rând, trebuie menționat faptul că Bucureștiul a fost gazda mai multor evenimente sportive de talie națională și internațională, unul dintre cele mai recente fiind chiar EURO 2020 ce s-a desfășurat pe Arena Națională din Sectorul 2. Toate acestea susțin o ofertă diversificată a activităților sportive disponibile pentru comunitatea locală. Este însă necesară sporirea activităților de promovare a sportului în vederea atragerii a unui număr cât mai mare de participanți. De asemenea, organizarea frecventă a competițiilor sportive de talie națională ar putea spori activitatea turistică și ar stimula îmbunătățirea sau dezvoltarea infrastructurii sportive actuale.</w:t>
      </w:r>
    </w:p>
    <w:p w14:paraId="1A8745B8" w14:textId="77777777" w:rsidR="00303644" w:rsidRPr="00F171A3" w:rsidRDefault="00303644" w:rsidP="00303644">
      <w:r w:rsidRPr="00F171A3">
        <w:t>De asemenea, o mare parte dintre locuitorii Sectorului 2 consideră faptul că toate activitățile sportive ar trebui promovate în Sectorul 2, însă printre activitățile sportive cel mai adesea menționate de către aceștia sunt următoarele: ciclismul, atletismul, fotbalul, înotul, tenisul, baschetul, voleiul, patinajul, tenisul, dansul sportiv, fitness, gimnastică, handbalul, tenisul de masă și artele marțiale.</w:t>
      </w:r>
    </w:p>
    <w:p w14:paraId="528A55F8" w14:textId="77777777" w:rsidR="00303644" w:rsidRPr="00F171A3" w:rsidRDefault="00303644" w:rsidP="00303644">
      <w:pPr>
        <w:keepNext/>
        <w:pBdr>
          <w:top w:val="nil"/>
          <w:left w:val="nil"/>
          <w:bottom w:val="nil"/>
          <w:right w:val="nil"/>
          <w:between w:val="nil"/>
        </w:pBdr>
        <w:rPr>
          <w:b/>
          <w:smallCaps/>
          <w:color w:val="134753"/>
        </w:rPr>
      </w:pPr>
    </w:p>
    <w:p w14:paraId="2010F8CB" w14:textId="1D02F2AB" w:rsidR="00303644" w:rsidRPr="00F171A3" w:rsidRDefault="00C65A9E" w:rsidP="00303644">
      <w:pPr>
        <w:keepNext/>
        <w:pBdr>
          <w:top w:val="nil"/>
          <w:left w:val="nil"/>
          <w:bottom w:val="nil"/>
          <w:right w:val="nil"/>
          <w:between w:val="nil"/>
        </w:pBdr>
        <w:rPr>
          <w:b/>
          <w:smallCaps/>
          <w:color w:val="134753"/>
        </w:rPr>
      </w:pPr>
      <w:r w:rsidRPr="00F171A3">
        <w:rPr>
          <w:b/>
          <w:smallCaps/>
          <w:color w:val="134753"/>
        </w:rPr>
        <w:t>INFRASTRUCTURA ȘI ACTIVITĂȚILE DE AGREMENT</w:t>
      </w:r>
    </w:p>
    <w:p w14:paraId="4625343A" w14:textId="77777777" w:rsidR="00303644" w:rsidRPr="00F171A3" w:rsidRDefault="00303644" w:rsidP="00303644">
      <w:r w:rsidRPr="00F171A3">
        <w:t>În ceea ce privește tipologiile de dotări de petrecere a timpului liber existente pe teritoriul Sectorului 2, acestea se grupează în general în cadrul unor categorii principale în funcție de interesul utilizatorilor. Astfel, cele mai răspândite sunt dotările de alimentație publică (restaurante, baruri, cafenele) aflate în special spre centrul orașului, care în funcție de specificul și localizarea lor, pot fi frecventate atât de locuitorii, cât și de vizitatorii din Capitală.</w:t>
      </w:r>
      <w:r w:rsidRPr="00F171A3">
        <w:rPr>
          <w:vertAlign w:val="superscript"/>
        </w:rPr>
        <w:footnoteReference w:id="67"/>
      </w:r>
      <w:r w:rsidRPr="00F171A3">
        <w:t xml:space="preserve"> </w:t>
      </w:r>
    </w:p>
    <w:p w14:paraId="1C515C8E" w14:textId="3FFFC954" w:rsidR="00303644" w:rsidRPr="00F171A3" w:rsidRDefault="00303644" w:rsidP="00303644">
      <w:r w:rsidRPr="00F171A3">
        <w:t xml:space="preserve">Printre cele mai des practicate activități de către locuitorii Sectorului 2 și la scară mai extinsă – la nivelul </w:t>
      </w:r>
      <w:r w:rsidR="00DE36DE" w:rsidRPr="00F171A3">
        <w:t>m</w:t>
      </w:r>
      <w:r w:rsidRPr="00F171A3">
        <w:t>unicipiului București, sunt activitățile în aer liber, parcurile, spațiile verzi și locurile de joacă pentru copii fiind în topul preferințelor acestora. Nu în ultimul rând, acestora li se alătură o serie de alte facilități de agrement precum cluburile de noapte, parcurile de distracții, cluburile de wellness sau escape room-urile, care însă în general se regăsesc într-un număr mai redus.</w:t>
      </w:r>
    </w:p>
    <w:p w14:paraId="78587200" w14:textId="77777777" w:rsidR="00303644" w:rsidRPr="00F171A3" w:rsidRDefault="00303644" w:rsidP="00303644">
      <w:r w:rsidRPr="00F171A3">
        <w:t>Conform respondenților la sondajul realizat pentru elaborarea strategiei</w:t>
      </w:r>
      <w:r w:rsidRPr="00F171A3">
        <w:rPr>
          <w:rStyle w:val="FootnoteReference"/>
        </w:rPr>
        <w:footnoteReference w:id="68"/>
      </w:r>
      <w:r w:rsidRPr="00F171A3">
        <w:t>, parcurile, grădinile publice și locurile de joacă pentru copii reprezintă cele mai satisfăcătoare repere de petrecere a timpului liber în Sectorul 2, respectiv de 50,4% dintre respondenți pentru parcuri și grădini publice și de 45,6% dintre respondenți pentru locurile de joacă. Opus acestora, aspectele cele mai puțin satisfăcătoare din perspectiva activităților de petrecere a timpului liber din Sectorul 2 sunt zonele de agrement și picnic (14,8%), concertele (13,3%) și patinoarele (9,5%).</w:t>
      </w:r>
    </w:p>
    <w:p w14:paraId="741A4F9A" w14:textId="6548E719" w:rsidR="00303644" w:rsidRPr="00F171A3" w:rsidRDefault="00303644" w:rsidP="00303644">
      <w:r w:rsidRPr="00F171A3">
        <w:t xml:space="preserve">Printre cele mai importante atracții outdoor de pe teritoriul Sectorului 2 se numără: Parcul Tei, Parcul Circului (care nu este în Administrația Primăriei Sectorului 2, ci în Administrația Lacuri, Parcuri și Agrement București), Parcul Plumbuita, Parcul Obor, Parcul Florilor, Parcul Morarilor, Parcul Grădina Icoanei, Parcul Ioanid, Parcul Sportiv Dinamo, Parcul Verdi, Parcul Cinema Floreasca, Parcul Național, Parcul Ciurea, Parcul Călin Ottoi, Parcul Nichita Stănescu, Parcul Bozioru, Parcul Grădina Engleză, Grădina Mătăsari, Miniparcul Fluierului, Parcul Motodrom, Parcul Cosmos sau Parcul Ecologic Dobroești. </w:t>
      </w:r>
    </w:p>
    <w:p w14:paraId="306CAC79" w14:textId="77777777" w:rsidR="00303644" w:rsidRPr="00F171A3" w:rsidRDefault="00303644" w:rsidP="00303644">
      <w:r w:rsidRPr="00F171A3">
        <w:t>Cu toate acestea se constată că există zone și cartiere din Sectorul 2 care nu beneficiază încă de resurse de spații verzi. Unul din exemplele acestea este cartierul Andronache care în acest moment nu beneficiază de un spațiu verde major.</w:t>
      </w:r>
    </w:p>
    <w:p w14:paraId="54217C97" w14:textId="77777777" w:rsidR="00303644" w:rsidRPr="00F171A3" w:rsidRDefault="00303644" w:rsidP="00303644">
      <w:pPr>
        <w:rPr>
          <w:b/>
          <w:color w:val="3CA1BC"/>
        </w:rPr>
      </w:pPr>
    </w:p>
    <w:p w14:paraId="085BB10D" w14:textId="1F73DBD1" w:rsidR="00303644" w:rsidRPr="00F171A3" w:rsidRDefault="00303644" w:rsidP="00303644">
      <w:pPr>
        <w:pStyle w:val="Caption"/>
      </w:pPr>
      <w:bookmarkStart w:id="165" w:name="_heading=h.184mhaj" w:colFirst="0" w:colLast="0"/>
      <w:bookmarkStart w:id="166" w:name="_Toc115268558"/>
      <w:bookmarkStart w:id="167" w:name="_Toc127198039"/>
      <w:bookmarkEnd w:id="165"/>
      <w:r w:rsidRPr="00F171A3">
        <w:t xml:space="preserve">Figura </w:t>
      </w:r>
      <w:r w:rsidRPr="00F171A3">
        <w:fldChar w:fldCharType="begin"/>
      </w:r>
      <w:r w:rsidRPr="00F171A3">
        <w:instrText xml:space="preserve"> SEQ Figura \* ARABIC </w:instrText>
      </w:r>
      <w:r w:rsidRPr="00F171A3">
        <w:fldChar w:fldCharType="separate"/>
      </w:r>
      <w:r w:rsidR="005A6DD8">
        <w:rPr>
          <w:noProof/>
        </w:rPr>
        <w:t>51</w:t>
      </w:r>
      <w:r w:rsidRPr="00F171A3">
        <w:fldChar w:fldCharType="end"/>
      </w:r>
      <w:r w:rsidRPr="00F171A3">
        <w:t xml:space="preserve"> Principalele dotări de agrement din Sectorul 2</w:t>
      </w:r>
      <w:bookmarkEnd w:id="166"/>
      <w:bookmarkEnd w:id="167"/>
    </w:p>
    <w:p w14:paraId="40A3FF90" w14:textId="77777777" w:rsidR="00303644" w:rsidRPr="00F171A3" w:rsidRDefault="00303644" w:rsidP="00303644">
      <w:r w:rsidRPr="00F171A3">
        <w:rPr>
          <w:i/>
          <w:noProof/>
        </w:rPr>
        <w:drawing>
          <wp:inline distT="0" distB="0" distL="0" distR="0" wp14:anchorId="1918CBF8" wp14:editId="6755B37F">
            <wp:extent cx="5996940" cy="8298180"/>
            <wp:effectExtent l="0" t="0" r="0" b="0"/>
            <wp:docPr id="2573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0"/>
                    <a:srcRect b="2068"/>
                    <a:stretch>
                      <a:fillRect/>
                    </a:stretch>
                  </pic:blipFill>
                  <pic:spPr>
                    <a:xfrm>
                      <a:off x="0" y="0"/>
                      <a:ext cx="5996940" cy="8298180"/>
                    </a:xfrm>
                    <a:prstGeom prst="rect">
                      <a:avLst/>
                    </a:prstGeom>
                    <a:ln/>
                  </pic:spPr>
                </pic:pic>
              </a:graphicData>
            </a:graphic>
          </wp:inline>
        </w:drawing>
      </w:r>
    </w:p>
    <w:p w14:paraId="6E9007DC" w14:textId="77777777" w:rsidR="00303644" w:rsidRPr="00F171A3" w:rsidRDefault="00303644" w:rsidP="00FF6C80">
      <w:pPr>
        <w:jc w:val="right"/>
        <w:rPr>
          <w:color w:val="BFBFBF" w:themeColor="background1" w:themeShade="BF"/>
        </w:rPr>
      </w:pPr>
      <w:r w:rsidRPr="00F171A3">
        <w:rPr>
          <w:color w:val="BFBFBF" w:themeColor="background1" w:themeShade="BF"/>
        </w:rPr>
        <w:t xml:space="preserve">Sursa: Cartare Google Maps </w:t>
      </w:r>
    </w:p>
    <w:p w14:paraId="268A66E1" w14:textId="77777777" w:rsidR="00303644" w:rsidRPr="00F171A3" w:rsidRDefault="00303644" w:rsidP="00303644">
      <w:r w:rsidRPr="00F171A3">
        <w:t>Un potențial semnificativ îl prezintă și salba de lacuri a râului Colentina împreună cu terenurile adiacente care ar putea găzdui evenimente și activități outdoor pentru locuitorii Sectorului 2 și care beneficiază de un proiect amplu de amenajare. Acțiunile ce vizează acest proiect și care sunt în desfășurare în acest moment sunt</w:t>
      </w:r>
      <w:r w:rsidRPr="00F171A3">
        <w:rPr>
          <w:vertAlign w:val="superscript"/>
        </w:rPr>
        <w:footnoteReference w:id="69"/>
      </w:r>
      <w:r w:rsidRPr="00F171A3">
        <w:t>:</w:t>
      </w:r>
    </w:p>
    <w:p w14:paraId="26998534" w14:textId="77777777" w:rsidR="00303644" w:rsidRPr="00F171A3" w:rsidRDefault="00303644" w:rsidP="00303644">
      <w:pPr>
        <w:pStyle w:val="Bullet"/>
      </w:pPr>
      <w:r w:rsidRPr="00F171A3">
        <w:t>Plan Urbanistic Zonal – Amenajare maluri salbă de lacuri Sectorul 2 al Capitalei (PMB a inițiat PUZ Lacul Floreasca și Lacul Tei);</w:t>
      </w:r>
    </w:p>
    <w:p w14:paraId="6A97EFF5" w14:textId="77777777" w:rsidR="00303644" w:rsidRPr="00F171A3" w:rsidRDefault="00303644" w:rsidP="00303644">
      <w:pPr>
        <w:pStyle w:val="Bullet"/>
      </w:pPr>
      <w:r w:rsidRPr="00F171A3">
        <w:t>Program complex de amenajare maluri – etapa I Lacurile Fundeni și Dobroești (în derulare / proiect realizat în parteneriat cu ADP și Poliția Locală Sector 2) – Administrația Domeniului Public Sector 2 a igienizat malurile  lacului Colentina, între Petricani și Lac Fundeni;</w:t>
      </w:r>
    </w:p>
    <w:p w14:paraId="61DD8290" w14:textId="2D42F87D" w:rsidR="00303644" w:rsidRPr="00F171A3" w:rsidRDefault="00303644" w:rsidP="00303644">
      <w:pPr>
        <w:pStyle w:val="Bullet"/>
      </w:pPr>
      <w:r w:rsidRPr="00F171A3">
        <w:t>Amenajare insula Plumbuita (proiect realizat în parteneriat cu ADP și Apele Române) – se va demara elaborarea documentației în vederea reamenajării Insulei Plumbuita (Certificat Urbanism, Studiu Fezabilitate, avize conform Protocolului de colaborare);</w:t>
      </w:r>
    </w:p>
    <w:p w14:paraId="09E6B21F" w14:textId="77777777" w:rsidR="00303644" w:rsidRPr="00F171A3" w:rsidRDefault="00303644" w:rsidP="00303644">
      <w:pPr>
        <w:pStyle w:val="Bullet"/>
      </w:pPr>
      <w:r w:rsidRPr="00F171A3">
        <w:t>Program complex de amenajare maluri - etapa II Lacurile Tei și Plumbuita (în derulare / proiect realizat în parteneriat cu ADP și Poliția Locală Sector 2) – Administrația Domeniului Public Sector 2 a igienizat malurile lacului Colentina, între Petricani și Lac Plumbuita, Fabrica de Gheață.</w:t>
      </w:r>
    </w:p>
    <w:p w14:paraId="724C00A3" w14:textId="77777777" w:rsidR="00303644" w:rsidRPr="00F171A3" w:rsidRDefault="00303644" w:rsidP="00303644">
      <w:pPr>
        <w:spacing w:before="240"/>
      </w:pPr>
      <w:r w:rsidRPr="00F171A3">
        <w:t>De asemenea, pe lângă cele menționate anterior, la nivelul infrastructurii verzi și al spațiilor publice ale Sectorului 2 au fost demarate o serie de proiecte care au avut finalitate în anul 2022. Printre acestea se numără și proiectul de reamenajare a Parcului Grădina Icoanei și care a durat mai bine de 3 luni. Lucrările au costat circa 2,7 milioane de lei și au vizat în principal modernizarea celor două fântâni, a aleilor de nisip și a mobilierului urban. Printre alte proiecte și investiții realizate de Primăria Sectorului 2 în amenajarea spațiilor publice și verzi de pe teritoriul sectorului se pot menționa și următoarele</w:t>
      </w:r>
      <w:r w:rsidRPr="00F171A3">
        <w:rPr>
          <w:vertAlign w:val="superscript"/>
        </w:rPr>
        <w:footnoteReference w:id="70"/>
      </w:r>
      <w:r w:rsidRPr="00F171A3">
        <w:t>:</w:t>
      </w:r>
    </w:p>
    <w:p w14:paraId="68C161F3" w14:textId="77777777" w:rsidR="00303644" w:rsidRPr="00F171A3" w:rsidRDefault="00303644" w:rsidP="00303644">
      <w:pPr>
        <w:pStyle w:val="Bullet"/>
      </w:pPr>
      <w:r w:rsidRPr="00F171A3">
        <w:t>PT + Execuție amenajare zonă verde adiacentă Parcului Petricani - Aleea Petricani (finalizat 2021);</w:t>
      </w:r>
    </w:p>
    <w:p w14:paraId="5DD7A77A" w14:textId="77777777" w:rsidR="00303644" w:rsidRPr="00F171A3" w:rsidRDefault="00303644" w:rsidP="00303644">
      <w:pPr>
        <w:pStyle w:val="Bullet"/>
      </w:pPr>
      <w:r w:rsidRPr="00F171A3">
        <w:t>Amenajare loc de joacă pentru copii în Parcul Morarilor (finalizat 2021);</w:t>
      </w:r>
    </w:p>
    <w:p w14:paraId="3540EB5B" w14:textId="77777777" w:rsidR="00303644" w:rsidRPr="00F171A3" w:rsidRDefault="00303644" w:rsidP="00303644">
      <w:pPr>
        <w:pStyle w:val="Bullet"/>
      </w:pPr>
      <w:r w:rsidRPr="00F171A3">
        <w:t>Execuție și reamenajare - Parcul Sticlăriei (finalizat 2021);</w:t>
      </w:r>
    </w:p>
    <w:p w14:paraId="1691DB73" w14:textId="77777777" w:rsidR="00303644" w:rsidRPr="00F171A3" w:rsidRDefault="00303644" w:rsidP="00303644">
      <w:pPr>
        <w:pStyle w:val="Bullet"/>
      </w:pPr>
      <w:r w:rsidRPr="00F171A3">
        <w:t>Proiectare și execuție reamenajare - Parcul Gradina Icoanei (finalizat 2021);</w:t>
      </w:r>
    </w:p>
    <w:p w14:paraId="749C9900" w14:textId="77777777" w:rsidR="00303644" w:rsidRPr="00F171A3" w:rsidRDefault="00303644" w:rsidP="00303644">
      <w:pPr>
        <w:pStyle w:val="Bullet"/>
      </w:pPr>
      <w:r w:rsidRPr="00F171A3">
        <w:t>Proiectarea și execuția amenajării zona Aventura și Tiroliana Parc Național (finalizat 2021);</w:t>
      </w:r>
    </w:p>
    <w:p w14:paraId="36A6871E" w14:textId="77777777" w:rsidR="00303644" w:rsidRPr="00F171A3" w:rsidRDefault="00303644" w:rsidP="00303644">
      <w:pPr>
        <w:pStyle w:val="Bullet"/>
      </w:pPr>
      <w:r w:rsidRPr="00F171A3">
        <w:t>Reamenajare loc de odihna și recreere Chiristigii x Mihai Bravu (finalizat 2021).</w:t>
      </w:r>
    </w:p>
    <w:p w14:paraId="2D9A55F4" w14:textId="77777777" w:rsidR="00303644" w:rsidRPr="00F171A3" w:rsidRDefault="00303644" w:rsidP="00303644">
      <w:pPr>
        <w:spacing w:before="240"/>
      </w:pPr>
      <w:r w:rsidRPr="00F171A3">
        <w:t>Alături de acestea, Parcul Verdi (ce este inclus în patrimoniul Primăriei Capitalei) este propus pentru un proiect de amenajare, însă din cauza unor probleme ce țin de regimul funciar, acesta nu a intrat încă in amplul proces de reamenajare și modernizare. Pentru suplimentarea spațiilor verzi majore de pe teritoriul Sectorului 2, administrația publică Sector 2 dorește să realizeze în zona Petricani un parc de aproximativ 20 de hectare, în legătură directă cu salba de lacuri și care va deservi în același timp și cartierul Andronache.</w:t>
      </w:r>
    </w:p>
    <w:p w14:paraId="14E03322" w14:textId="77777777" w:rsidR="00303644" w:rsidRPr="00F171A3" w:rsidRDefault="00303644" w:rsidP="00303644">
      <w:r w:rsidRPr="00F171A3">
        <w:t>La acestea se adaugă și proiectul de amenajare și regenerarea spațiului urban din Sectorul 2, realizat în parteneriat cu Ordinul Arhitecților din România filiala București, Universitatea de Arhitectură și Urbanism „Ion Mincu”, Asociația Peisagiștilor, Universitatea de Științe Agronomice și Medicină Veterinară – Departamentul Peisagistică al Facultății de Horticultură, Școala Națională de Studii Politice și Administrative si cu echipe din AMAIS, StudioBASAR, Baza-Deschidem orașul</w:t>
      </w:r>
      <w:r w:rsidRPr="00F171A3">
        <w:rPr>
          <w:vertAlign w:val="superscript"/>
        </w:rPr>
        <w:footnoteReference w:id="71"/>
      </w:r>
      <w:r w:rsidRPr="00F171A3">
        <w:t xml:space="preserve">. Astfel, pentru 4 zone pilot problematice au fost realizate analize și detaliate soluții de amenajare și regenerare. Zonele vizate au fost: zona Colentina – Mașina de Pâine, zona Obor (Aleea Avrig-Chiristigiilor), zona Delfinului și zona Grădina Ioanid. </w:t>
      </w:r>
    </w:p>
    <w:p w14:paraId="78164962" w14:textId="0FD644C0" w:rsidR="00303644" w:rsidRPr="00F171A3" w:rsidRDefault="00303644" w:rsidP="00303644">
      <w:r w:rsidRPr="00F171A3">
        <w:t xml:space="preserve">De asemenea, Primăria Sectorului 2 dorește ca în următorii ani Sectorul 2 să se dezvolte armonios, punându-se accent pe dezvoltarea spațiului public și spațiilor verzi. Astfel în acest moment se dorește realizarea unui concurs internațional de soluții cu tema </w:t>
      </w:r>
      <w:r w:rsidRPr="00F171A3">
        <w:rPr>
          <w:i/>
        </w:rPr>
        <w:t>Amenajarea, reconfigurarea, sistematizarea zonelor (malurile) aferente salbiei de lacuri situată pe raza teritorial administrativă a Sectorului 2</w:t>
      </w:r>
      <w:r w:rsidRPr="00F171A3">
        <w:t xml:space="preserve"> și un concurs internațional de soluții cu tema </w:t>
      </w:r>
      <w:r w:rsidRPr="00F171A3">
        <w:rPr>
          <w:i/>
        </w:rPr>
        <w:t>Reamenajare și modernizare a  unui num</w:t>
      </w:r>
      <w:r w:rsidR="008A1AFD">
        <w:rPr>
          <w:i/>
        </w:rPr>
        <w:t>ă</w:t>
      </w:r>
      <w:r w:rsidRPr="00F171A3">
        <w:rPr>
          <w:i/>
        </w:rPr>
        <w:t xml:space="preserve">r de 6 spații publice din Sectorul 2 al </w:t>
      </w:r>
      <w:r w:rsidR="00DE36DE" w:rsidRPr="00F171A3">
        <w:rPr>
          <w:i/>
        </w:rPr>
        <w:t>m</w:t>
      </w:r>
      <w:r w:rsidRPr="00F171A3">
        <w:rPr>
          <w:i/>
        </w:rPr>
        <w:t>unicipiului București</w:t>
      </w:r>
      <w:r w:rsidRPr="00F171A3">
        <w:t>. Pentru ambele proiecte, stadiul acestora este în elaborarea documentațiilor de atribuire.</w:t>
      </w:r>
      <w:r w:rsidRPr="00F171A3">
        <w:rPr>
          <w:vertAlign w:val="superscript"/>
        </w:rPr>
        <w:footnoteReference w:id="72"/>
      </w:r>
      <w:r w:rsidRPr="00F171A3">
        <w:t xml:space="preserve"> </w:t>
      </w:r>
    </w:p>
    <w:p w14:paraId="0A0A30FC" w14:textId="47AC5BFB" w:rsidR="00303644" w:rsidRPr="00F171A3" w:rsidRDefault="00303644" w:rsidP="00303644">
      <w:r w:rsidRPr="00F171A3">
        <w:t xml:space="preserve">Pornind de la tipologia și distribuția dotărilor de petrecere a timpului liber din Sectorul 2 și din </w:t>
      </w:r>
      <w:r w:rsidR="00DE36DE" w:rsidRPr="00F171A3">
        <w:t>m</w:t>
      </w:r>
      <w:r w:rsidRPr="00F171A3">
        <w:t>unicipiul București, se remarcă faptul că, deși numărul acestora este unul ridicat, acestea acoperă o gamă relativ restrânsă de activități, care vizează mai curând o serie de activități de scurtă durată. Pentru dotări mai diverse, care să permită o evadare din cotidian și o alternativă la aglomerația orașului, atât locuitorii cât și turiștii din Capitală au acces la numeroase facilități de agrement în Județul Ilfov.</w:t>
      </w:r>
    </w:p>
    <w:p w14:paraId="4405FB1A" w14:textId="77777777" w:rsidR="00303644" w:rsidRPr="00F171A3" w:rsidRDefault="00303644" w:rsidP="00303644">
      <w:r w:rsidRPr="00F171A3">
        <w:t>Conform chestionarului</w:t>
      </w:r>
      <w:r w:rsidRPr="00F171A3">
        <w:rPr>
          <w:rStyle w:val="FootnoteReference"/>
        </w:rPr>
        <w:footnoteReference w:id="73"/>
      </w:r>
      <w:r w:rsidRPr="00F171A3">
        <w:t xml:space="preserve"> aplicat cetățenilor din Sectorul 2, aceștia se deplasează în alt sector al municipiului București sau în altă localitate pentru următoarele categorii de dotări pe care nu le regăsesc în zona Sectorului 2: plimbat cu barca, carusel pentru copii, patinoar, înot, pistă de alergat cu tartan, plimbări nocturne în parcuri (exemplu în IOR), zonă de promenadă, activități culturale mai diverse sau plimbări cu bicicleta în natură.</w:t>
      </w:r>
    </w:p>
    <w:p w14:paraId="347F0031" w14:textId="77777777" w:rsidR="00303644" w:rsidRPr="00F171A3" w:rsidRDefault="00303644" w:rsidP="00303644">
      <w:r w:rsidRPr="00F171A3">
        <w:t>În Ilfov oferta de agrement este foarte diversificată, fiind alcătuită din numeroase parcuri de distracție, dotări de wellness și relaxare, echitație, karting, parașutism sau terenuri de golf la care se adaugă o serie de facilități pentru practicarea activităților sportive sau în natură, precum activități de relaxare în pădurile din județ, plimbări cu ambarcațiunile pe lacuri (spre exemplu, cele organizate de centrele de agrement din Snagov), pescuit sportiv sau ciclism.</w:t>
      </w:r>
      <w:r w:rsidRPr="00F171A3">
        <w:rPr>
          <w:vertAlign w:val="superscript"/>
        </w:rPr>
        <w:footnoteReference w:id="74"/>
      </w:r>
    </w:p>
    <w:p w14:paraId="07373949" w14:textId="77777777" w:rsidR="00303644" w:rsidRPr="00F171A3" w:rsidRDefault="00303644" w:rsidP="00303644">
      <w:r w:rsidRPr="00F171A3">
        <w:t>Printre principalele dotări de agrement de pe teritoriul județului Ilfov se numără: pădurile și lacurile precum Snagov, Căldărușani, sau Mogoșoaia. Acestora li se adaugă o serie de  alte zone de agrement precum Parcul Natural Delta Văcărești, Edenland Park, Divertiland Aqua Park, Artha Park, Water Park Otopeni, Ferma Animalelor, Phoenix Aventura Parc, Parc Aventura Comana, Parcul Codrii Vlăsiei sau Terra Park.</w:t>
      </w:r>
    </w:p>
    <w:p w14:paraId="6C9D650E" w14:textId="77777777" w:rsidR="00303644" w:rsidRPr="00F171A3" w:rsidRDefault="00303644" w:rsidP="00303644">
      <w:r w:rsidRPr="00F171A3">
        <w:t>Pe lângă elementele reprezentative menționate anterior, în cadrul Sectorului 2 și al Capitalei există și o serie de artere și spații pietonale reprezentative care sunt folosite ca alternative de petrecere a timpului liber de către locuitori și turiști, datorită concertării și distribuției dotărilor conexe. Deși au o acoperire ridicată, aceste facilități se concentrează mai ales în zona centrală și central-nordică a orașului, în cadrul acesteia remarcându-se în special centrul istoric ca zona de agrement cu cea mai mare notorietate din Capitală. Aceasta este completată de o serie de alte zone în continuă dezvoltare cum sunt de exemplu: zona Grădina Icoanei (Sectorul 2) – Piața Romană – Șoseaua Ștefan cel Mare (inclusiv Sectorul 2), Calea Victoriei, zona Calea Moșilor – Bdul Pache Protopopescu – Calea Călărași sau zona Floreasca (inclusiv Sectorul 2) – Dorobanți – Piața Victoriei – Bdul Ion Mihalache.</w:t>
      </w:r>
    </w:p>
    <w:p w14:paraId="6D3ACB7C" w14:textId="77777777" w:rsidR="00303644" w:rsidRPr="00F171A3" w:rsidRDefault="00303644" w:rsidP="00303644">
      <w:r w:rsidRPr="00F171A3">
        <w:t>În acest sens trebuie menționat și proiectul Străzi Deschise – ediția 2022, care propune extinderea proiectului și spre străzile cartierelor din sectoarele Bucureștiului, inclusiv Sectorul 2. De la strada Mătăsari și zona Arenei Naționale către cartierul Andronache și Calea Moșilor (sectorul 2), la Șoseaua Berceni și strada Candiano Popescu (sectorul 4), dar și Bulevardul Drumul Taberei (sectorul 6), administrațiile locale au oferit variante pentru ca bucureștenii să se meargă la plimbare pe străzi închise circulației mașinilor. În plus, în fiecare sector, printre care și Sectorul 2, vor fi pentru anul 2022 programate 4 weekenduri cu porțiuni închise de străzi, dar cu multă muzică, sport și voie bună, cu artă în toate formele sale.</w:t>
      </w:r>
      <w:r w:rsidRPr="00F171A3">
        <w:rPr>
          <w:vertAlign w:val="superscript"/>
        </w:rPr>
        <w:footnoteReference w:id="75"/>
      </w:r>
    </w:p>
    <w:p w14:paraId="039D4890" w14:textId="2A183F23" w:rsidR="00303644" w:rsidRPr="00F171A3" w:rsidRDefault="00303644" w:rsidP="00303644">
      <w:r w:rsidRPr="00F171A3">
        <w:t>Proiectul Străzi Deschise a pornit ca un răspuns al societății civile la ridicarea restricțiilor pandemiei impuse de starea de urgență, evoluând spre o soluție pentru creșterea numărului de trasee pietonale și îmbunătățirea vieții urbane din centrul Bucureștiului, care a condus la revitalizarea social-culturală și economică a unei întregi artere centrale,</w:t>
      </w:r>
      <w:r w:rsidRPr="00F171A3">
        <w:rPr>
          <w:vertAlign w:val="superscript"/>
        </w:rPr>
        <w:footnoteReference w:id="76"/>
      </w:r>
      <w:r w:rsidRPr="00F171A3">
        <w:t xml:space="preserve"> respectiv în zona Calea Victoriei și care a reușit să se extindă și să cuprindă și străzi precum Bulevardul Mircea Vodă nr. 5, Șoseaua Kiseleff, strada General Ștefan Burileanu, Bulevardul Unirii între Splaiul Independenței și Bulevardul Dimitrie Cantemir, respectiv în</w:t>
      </w:r>
      <w:r w:rsidR="008A1AFD">
        <w:t>t</w:t>
      </w:r>
      <w:r w:rsidRPr="00F171A3">
        <w:t xml:space="preserve">re Bulevardul Dimitrie Cantemir și Bulevardul Mircea Vodă (spre Piața Alba Iulia) etc. </w:t>
      </w:r>
    </w:p>
    <w:p w14:paraId="43F5812C" w14:textId="77777777" w:rsidR="00303644" w:rsidRPr="00F171A3" w:rsidRDefault="00303644" w:rsidP="00303644">
      <w:r w:rsidRPr="00F171A3">
        <w:t>Referitor la oferta de petrecere a timpului liber, mai mult de jumătate dintre respondenții la sondajul aplicat locuitorilor</w:t>
      </w:r>
      <w:r w:rsidRPr="00F171A3">
        <w:rPr>
          <w:rStyle w:val="FootnoteReference"/>
        </w:rPr>
        <w:footnoteReference w:id="77"/>
      </w:r>
      <w:r w:rsidRPr="00F171A3">
        <w:t xml:space="preserve"> indică faptul că sunt mulțumiți de oferta de agrement a Sectorului 2. Printre cele mai apreciate dotări menționate sunt: parcuri și grădini publice (91,2% dintre respondenți sunt mulțumiți), locuri de joacă pentru copii (85,9% dintre respondenți sunt mulțumiți), săli și terenurile de sport (60,1% dintre respondenți sunt mulțumiți) și cinematografele (53,4% dintre respondenți sunt mulțumiți). </w:t>
      </w:r>
    </w:p>
    <w:p w14:paraId="3C694C0D" w14:textId="77777777" w:rsidR="00303644" w:rsidRPr="00F171A3" w:rsidRDefault="00303644" w:rsidP="00303644">
      <w:r w:rsidRPr="00F171A3">
        <w:t>Acestea sunt urmate de ștranduri și bazine de înot (48,8% dintre respondenți sunt mulțumiți), teatre (42,8% dintre respondenți sunt mulțumiți), biblioteci (38,0% dintre respondenți sunt mulțumiți), muzee (34,5% dintre respondenți sunt mulțumiți), evenimente culturale și artistice (32,2% dintre respondenți sunt mulțumiți), zone de agrement și picnic (29,3% dintre respondenți sunt mulțumiți), concerte (28,5% dintre respondenți sunt mulțumiți) și patinoare (21,9%dintre respondenți sunt mulțumiți).</w:t>
      </w:r>
    </w:p>
    <w:p w14:paraId="2E976B1C" w14:textId="6E9881A4" w:rsidR="00303644" w:rsidRPr="00F171A3" w:rsidRDefault="00303644" w:rsidP="00303644">
      <w:r w:rsidRPr="00F171A3">
        <w:t xml:space="preserve">Chiar dacă oferta de petrecere a timpului liber este în creștere, aceasta poate fi îmbunătățită prin modernizarea spațiilor existente și prin amenajarea unor noi dotări de agrement pentru a oferi o gamă mai largă de opțiuni pentru locuitori și pentru turiștii care vizitează </w:t>
      </w:r>
      <w:r w:rsidR="00DE36DE" w:rsidRPr="00F171A3">
        <w:t>m</w:t>
      </w:r>
      <w:r w:rsidRPr="00F171A3">
        <w:t xml:space="preserve">unicipiul București sau care sunt în trecere prin Sectorul 2. Mai mult, raportat la nevoile și oportunitățile de dezvoltare durabilă, locuitorii </w:t>
      </w:r>
      <w:r w:rsidR="00DE36DE" w:rsidRPr="00F171A3">
        <w:t>m</w:t>
      </w:r>
      <w:r w:rsidRPr="00F171A3">
        <w:t xml:space="preserve">unicipiului București au evidențiat necesitatea dezvoltării zonelor pentru agrement și sport, dezvoltarea zonelor verzi, reabilitarea și extinderea zonelor de recreere sau diversificarea oportunităților de petrecere a timpului liber. La acestea se adaugă, conform locuitorilor din Sectorul 2, o serie de activități de petrecere a timpului liber care sunt necesare, precum: </w:t>
      </w:r>
    </w:p>
    <w:p w14:paraId="01F4E997" w14:textId="77777777" w:rsidR="00303644" w:rsidRPr="00F171A3" w:rsidRDefault="00303644" w:rsidP="00303644">
      <w:r w:rsidRPr="00F171A3">
        <w:rPr>
          <w:noProof/>
        </w:rPr>
        <w:drawing>
          <wp:inline distT="0" distB="0" distL="0" distR="0" wp14:anchorId="5DD3F723" wp14:editId="5611AC4A">
            <wp:extent cx="6004560" cy="2667000"/>
            <wp:effectExtent l="0" t="0" r="0" b="1905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2BB20638" w14:textId="77777777" w:rsidR="00303644" w:rsidRPr="00F171A3" w:rsidRDefault="00303644" w:rsidP="00303644">
      <w:r w:rsidRPr="00F171A3">
        <w:t xml:space="preserve">Sunt astfel necesare în continuare lucrări de reabilitare, modernizare, extindere și chiar construire de noi dotări pe teritoriul sectorului și municipiului, pentru a oferi locuitorilor acestora o ofertă cât mai bogată și diversă de activități de loisir. </w:t>
      </w:r>
    </w:p>
    <w:p w14:paraId="67A56D4F" w14:textId="77777777" w:rsidR="00303644" w:rsidRPr="00F171A3" w:rsidRDefault="00303644" w:rsidP="00303644">
      <w:r w:rsidRPr="00F171A3">
        <w:t>Nu în ultimul rând, conform răspunsurilor înregistrate în cadrul Chestionarului adresat ONG-urilor</w:t>
      </w:r>
      <w:r w:rsidRPr="00F171A3">
        <w:rPr>
          <w:rStyle w:val="FootnoteReference"/>
        </w:rPr>
        <w:footnoteReference w:id="78"/>
      </w:r>
      <w:r w:rsidRPr="00F171A3">
        <w:t>, principalele direcții pe care Sectorul 2 ar trebui să mizeze în demersurile viitoare de dezvoltare pentru a asigura o calitate mai bună a vieții pentru cetățeni sunt: dezvoltarea continuă a serviciilor de sănătate, sociale, culturale și de învățământ, dezvoltarea oportunităților de practicare a sporturilor, diversificarea competițiilor pentru copii, în natură și sportive, dezvoltarea zonelor verzi, facilitarea accesului la spații culturale sau implicarea cetățenilor din medii defavorizate în diverse activități culturale.</w:t>
      </w:r>
    </w:p>
    <w:p w14:paraId="198F949B" w14:textId="505F4DCF" w:rsidR="0084367C" w:rsidRPr="00F171A3" w:rsidRDefault="00303644" w:rsidP="00303644">
      <w:r w:rsidRPr="00F171A3">
        <w:t xml:space="preserve">De asemenea, dezvoltarea locală a Sectorului 2 poate fi susținută și cu ajutorul ONG-urilor, iar interesul acestora pentru implicare în diverse activități de dezvoltare este foarte mare. Printre activitățile recomandate de către aceștia se pot evidenția: activități sau proiecte culturale, activități sau proiecte open-air de educație culturală în școli sau licee, evenimente de implicare a scriitorilor, organizare a bibliotecilor mobile în parcuri, activități și proiecte de dezvoltare a sportului și a competițiilor sportive sau proiecte de artă. </w:t>
      </w:r>
      <w:r w:rsidR="0084367C" w:rsidRPr="00F171A3">
        <w:t xml:space="preserve"> </w:t>
      </w:r>
    </w:p>
    <w:p w14:paraId="07B6E6A7" w14:textId="77777777" w:rsidR="008A6FAE" w:rsidRPr="00F171A3" w:rsidRDefault="008A6FAE" w:rsidP="0084367C">
      <w:pPr>
        <w:sectPr w:rsidR="008A6FAE" w:rsidRPr="00F171A3" w:rsidSect="00135952">
          <w:pgSz w:w="11907" w:h="16839" w:code="9"/>
          <w:pgMar w:top="1151" w:right="1440" w:bottom="1440" w:left="1021" w:header="709" w:footer="284" w:gutter="0"/>
          <w:cols w:space="708"/>
          <w:titlePg/>
          <w:docGrid w:linePitch="360"/>
        </w:sectPr>
      </w:pPr>
    </w:p>
    <w:p w14:paraId="6C385D0E" w14:textId="70230120" w:rsidR="007B5564" w:rsidRPr="00F171A3" w:rsidRDefault="001E0A0F" w:rsidP="001E0A0F">
      <w:pPr>
        <w:pStyle w:val="Heading3"/>
        <w:rPr>
          <w:lang w:val="ro-RO"/>
        </w:rPr>
      </w:pPr>
      <w:bookmarkStart w:id="168" w:name="_Toc127199272"/>
      <w:r w:rsidRPr="00F171A3">
        <w:rPr>
          <w:caps w:val="0"/>
          <w:lang w:val="ro-RO"/>
        </w:rPr>
        <w:t>PATRIMONIU CONSTRUIT</w:t>
      </w:r>
      <w:bookmarkEnd w:id="168"/>
    </w:p>
    <w:p w14:paraId="78C9EE07" w14:textId="77777777" w:rsidR="007B5564" w:rsidRPr="00F171A3" w:rsidRDefault="007B5564" w:rsidP="007B5564">
      <w:pPr>
        <w:rPr>
          <w:rFonts w:cstheme="minorHAnsi"/>
        </w:rPr>
      </w:pPr>
      <w:r w:rsidRPr="00F171A3">
        <w:rPr>
          <w:rFonts w:cstheme="minorHAnsi"/>
        </w:rPr>
        <w:t xml:space="preserve">Sectorul 2 include în perimetrul său 6 monumente istorice de valoare națională excepțională reprezentând valori de patrimoniu cultural de interes național, conform Legii nr. 5/2000, privind aprobarea Planului de amenajare a teritoriului național - Secțiunea a III-a - zone protejate: </w:t>
      </w:r>
    </w:p>
    <w:p w14:paraId="75BD801F" w14:textId="77777777" w:rsidR="007B5564" w:rsidRPr="00F171A3" w:rsidRDefault="007B5564">
      <w:pPr>
        <w:numPr>
          <w:ilvl w:val="0"/>
          <w:numId w:val="69"/>
        </w:numPr>
        <w:pBdr>
          <w:top w:val="nil"/>
          <w:left w:val="nil"/>
          <w:bottom w:val="nil"/>
          <w:right w:val="nil"/>
          <w:between w:val="nil"/>
        </w:pBdr>
        <w:spacing w:after="60"/>
        <w:rPr>
          <w:rFonts w:cstheme="minorHAnsi"/>
        </w:rPr>
      </w:pPr>
      <w:r w:rsidRPr="00F171A3">
        <w:rPr>
          <w:rFonts w:cstheme="minorHAnsi"/>
          <w:color w:val="134753"/>
        </w:rPr>
        <w:t>Clădiri civile urbane: Casa Melik, Palatul Ghica-Tei, Școala Centrală de Fete;</w:t>
      </w:r>
    </w:p>
    <w:p w14:paraId="01E90F97" w14:textId="77777777" w:rsidR="007B5564" w:rsidRPr="00F171A3" w:rsidRDefault="007B5564">
      <w:pPr>
        <w:numPr>
          <w:ilvl w:val="0"/>
          <w:numId w:val="69"/>
        </w:numPr>
        <w:pBdr>
          <w:top w:val="nil"/>
          <w:left w:val="nil"/>
          <w:bottom w:val="nil"/>
          <w:right w:val="nil"/>
          <w:between w:val="nil"/>
        </w:pBdr>
        <w:spacing w:after="60"/>
        <w:rPr>
          <w:rFonts w:cstheme="minorHAnsi"/>
        </w:rPr>
      </w:pPr>
      <w:r w:rsidRPr="00F171A3">
        <w:rPr>
          <w:rFonts w:cstheme="minorHAnsi"/>
          <w:color w:val="134753"/>
        </w:rPr>
        <w:t>Biserici și ansambluri mănăstirești: Biserica Mărcuța, Ansamblul Mănăstirii Plumbuita;</w:t>
      </w:r>
    </w:p>
    <w:p w14:paraId="6507BDBD" w14:textId="77777777" w:rsidR="007B5564" w:rsidRPr="00F171A3" w:rsidRDefault="007B5564">
      <w:pPr>
        <w:numPr>
          <w:ilvl w:val="0"/>
          <w:numId w:val="69"/>
        </w:numPr>
        <w:pBdr>
          <w:top w:val="nil"/>
          <w:left w:val="nil"/>
          <w:bottom w:val="nil"/>
          <w:right w:val="nil"/>
          <w:between w:val="nil"/>
        </w:pBdr>
        <w:spacing w:after="60"/>
        <w:rPr>
          <w:rFonts w:cstheme="minorHAnsi"/>
        </w:rPr>
      </w:pPr>
      <w:r w:rsidRPr="00F171A3">
        <w:rPr>
          <w:rFonts w:cstheme="minorHAnsi"/>
          <w:color w:val="134753"/>
        </w:rPr>
        <w:t>Arhitectură industrială: Moara lui Assan.</w:t>
      </w:r>
    </w:p>
    <w:p w14:paraId="7506EA1B" w14:textId="77777777" w:rsidR="007B5564" w:rsidRPr="00F171A3" w:rsidRDefault="007B5564" w:rsidP="007B5564">
      <w:pPr>
        <w:rPr>
          <w:rFonts w:cstheme="minorHAnsi"/>
        </w:rPr>
      </w:pPr>
      <w:r w:rsidRPr="00F171A3">
        <w:rPr>
          <w:rFonts w:cstheme="minorHAnsi"/>
        </w:rPr>
        <w:t>Pe teritoriul Sectorului 2 se regăsesc 475</w:t>
      </w:r>
      <w:r w:rsidRPr="00F171A3">
        <w:rPr>
          <w:rFonts w:cstheme="minorHAnsi"/>
          <w:vertAlign w:val="superscript"/>
        </w:rPr>
        <w:footnoteReference w:id="79"/>
      </w:r>
      <w:r w:rsidRPr="00F171A3">
        <w:rPr>
          <w:rFonts w:cstheme="minorHAnsi"/>
        </w:rPr>
        <w:t xml:space="preserve"> de monumente istorice (ansambluri si situri urbane, ansambluri de arhitectură, monumente istorice și subcomponentele acestora incluse în categoriile situri arheologice - I, monumente de arhitectură - II, monumente de for public - III și monumente funerare și memoriale - IV) reprezentând 17.4% din totalul monumentelor istorice din București (2698 de monumente istorice</w:t>
      </w:r>
      <w:r w:rsidRPr="00F171A3">
        <w:rPr>
          <w:rFonts w:cstheme="minorHAnsi"/>
          <w:vertAlign w:val="superscript"/>
        </w:rPr>
        <w:footnoteReference w:id="80"/>
      </w:r>
      <w:r w:rsidRPr="00F171A3">
        <w:rPr>
          <w:rFonts w:cstheme="minorHAnsi"/>
        </w:rPr>
        <w:t xml:space="preserve">). Dintre monumentele istorice identificate pe teritoriul Sectorului 2, 39 de ansambluri de arhitectură și monumente istorice sunt monumente istorice de importanță națională (grupa valorică A), clădiri emblematice pentru curentele arhitecturale specifice perioadei postbizantine, secolelor XIX și XX: Mănăstirea Mărcuța, Circul de Stat-Pavilionul Central, Ansamblul Palatul Ghica-Tei, Școala Centrală de Fete (arhitect Ion Mincu, una dintre exemplele reprezentative ale stilului neoromânesc), Biserica "Sf. Nicolae, Adormirea Maicii Domnului" – Olari, Casă de târgoveț, Ansamblul Bisericii Mântuleasa, Ansamblul Mănăstirii Plumbuita, Ansamblul Bisericii Grecești, Biserica "Buna Vestire", Fostul Palat al Legației Elene, azi Ambasada Republicii Elene,  Moara lui Assan, Casa Melik-azi Muzeul Theodor Pallady (una dintre cele mai vechi case negustorești din București), Biserica ”Sf. Ioachim și Ana”; amenajări reprezentative pentru operațiunile urbanistice bucureștene de la sfârșitul secolului XIX și începutul secolului XX: Parcul Ioanid; momente de for public și monumente memoriale și funerare: Monumentul lui C. A. Rosetti, Piatra de mormânt a domnitorului Grigore Ghica IV, Monument funerar Grigore Ghica IV. </w:t>
      </w:r>
    </w:p>
    <w:p w14:paraId="254FF49D" w14:textId="1036BD49" w:rsidR="007B5564" w:rsidRPr="00F171A3" w:rsidRDefault="007B5564" w:rsidP="007B5564">
      <w:pPr>
        <w:rPr>
          <w:rFonts w:cstheme="minorHAnsi"/>
        </w:rPr>
      </w:pPr>
      <w:r w:rsidRPr="00F171A3">
        <w:rPr>
          <w:rFonts w:cstheme="minorHAnsi"/>
        </w:rPr>
        <w:t xml:space="preserve">O analiză a distribuției spațiale a clădirilor monument istoric pe teritoriul Sectorului 2 indică o concentrare a acestora preponderent în zona centrală a capitalei, în perimetrul centrului istoric și zona cuprinsă între limita centrului </w:t>
      </w:r>
      <w:r w:rsidR="008A1AFD" w:rsidRPr="00F171A3">
        <w:rPr>
          <w:rFonts w:cstheme="minorHAnsi"/>
        </w:rPr>
        <w:t>istoric</w:t>
      </w:r>
      <w:r w:rsidRPr="00F171A3">
        <w:rPr>
          <w:rFonts w:cstheme="minorHAnsi"/>
        </w:rPr>
        <w:t xml:space="preserve"> și inelul central de circulații al municipiului (șoseaua Ștefan cel Mare – șoseaua Mihai Bravu). . Pe lângă aceasta, cartierul în care se regăsește un număr semnificativ de monumente este cartierul Tei, aici localizându-se și unele monumente de interes național precum Moara lui Assan, Circul de Stat sau Ansamblul Palatului Ghica Tei.</w:t>
      </w:r>
    </w:p>
    <w:p w14:paraId="0767E69B" w14:textId="77777777" w:rsidR="007B5564" w:rsidRPr="00F171A3" w:rsidRDefault="007B5564" w:rsidP="007B5564">
      <w:pPr>
        <w:rPr>
          <w:rFonts w:cstheme="minorHAnsi"/>
        </w:rPr>
      </w:pPr>
      <w:r w:rsidRPr="00F171A3">
        <w:rPr>
          <w:rFonts w:cstheme="minorHAnsi"/>
        </w:rPr>
        <w:t>În perioada 2015-2022 au avut loc modificări ale LMI prin clasarea sau declasarea unor imobile din Lista Monumentelor Istorice. Dintre acestea, cea mai importantă operațiune este clasarea ca monumente istorice de importanță națională a 7 clădiri din cadrul Ansamblului Mănăstirii Plumbuita, ansamblu de arhitectură de importanță națională (grupa A): Cuhnia și cămara, Trapeza și chiliile sud-est, Stăreția nouă, Arhondaricul, Stăreția veche, Chiliile nord-vest, zidurile de incintă, alături de clădirile deja existente în LMI: Biserica "Nașterea Sf. Proroc Ioan Botezătorul și Înaintemergătorul", Palatul domnesc și Turnul clopotniță. În perioada 2015-2022 în Sectorul 2 au fost declasate din LMI 4 imobile monumente istorice de importanță locală: Casă Str. Ionescu Grigore 28, Casă Str. Berechet 10A, Casă Str. Maica Domnului 15</w:t>
      </w:r>
      <w:r w:rsidRPr="00F171A3">
        <w:rPr>
          <w:rFonts w:cstheme="minorHAnsi"/>
          <w:vertAlign w:val="superscript"/>
        </w:rPr>
        <w:footnoteReference w:id="81"/>
      </w:r>
      <w:r w:rsidRPr="00F171A3">
        <w:rPr>
          <w:rFonts w:cstheme="minorHAnsi"/>
        </w:rPr>
        <w:t xml:space="preserve">, respectiv casa aflată la adresa str. Avrig 78 </w:t>
      </w:r>
      <w:r w:rsidRPr="00F171A3">
        <w:rPr>
          <w:rStyle w:val="FootnoteReference"/>
          <w:rFonts w:cstheme="minorHAnsi"/>
        </w:rPr>
        <w:footnoteReference w:id="82"/>
      </w:r>
      <w:r w:rsidRPr="00F171A3">
        <w:rPr>
          <w:rFonts w:cstheme="minorHAnsi"/>
        </w:rPr>
        <w:t>. În același timp, se află în curs de derulare procedurile de clasare ca monumente istorice pentru două imobile aflate în domeniul public: Parcul Circului (procedura demarată în 2021) și Spitalul pentru Copii Dr. Victor Gomoiu (procedura demarată în 2019)</w:t>
      </w:r>
      <w:r w:rsidRPr="00F171A3">
        <w:rPr>
          <w:rStyle w:val="FootnoteReference"/>
          <w:rFonts w:cstheme="minorHAnsi"/>
        </w:rPr>
        <w:footnoteReference w:id="83"/>
      </w:r>
      <w:r w:rsidRPr="00F171A3">
        <w:rPr>
          <w:rFonts w:cstheme="minorHAnsi"/>
        </w:rPr>
        <w:t>.</w:t>
      </w:r>
    </w:p>
    <w:p w14:paraId="38068B4C" w14:textId="77777777" w:rsidR="007B5564" w:rsidRPr="00F171A3" w:rsidRDefault="007B5564" w:rsidP="007B5564">
      <w:pPr>
        <w:rPr>
          <w:rFonts w:cstheme="minorHAnsi"/>
        </w:rPr>
      </w:pPr>
    </w:p>
    <w:p w14:paraId="6E1AA4EB" w14:textId="45F76289" w:rsidR="007B5564" w:rsidRPr="00F171A3" w:rsidRDefault="00FF6C80" w:rsidP="00FF6C80">
      <w:pPr>
        <w:pStyle w:val="Caption"/>
        <w:rPr>
          <w:b w:val="0"/>
        </w:rPr>
      </w:pPr>
      <w:bookmarkStart w:id="169" w:name="_heading=h.279ka65" w:colFirst="0" w:colLast="0"/>
      <w:bookmarkStart w:id="170" w:name="_Toc127198040"/>
      <w:bookmarkEnd w:id="169"/>
      <w:r w:rsidRPr="00F171A3">
        <w:t xml:space="preserve">Figura </w:t>
      </w:r>
      <w:r w:rsidRPr="00F171A3">
        <w:fldChar w:fldCharType="begin"/>
      </w:r>
      <w:r w:rsidRPr="00F171A3">
        <w:instrText xml:space="preserve"> SEQ Figura \* ARABIC </w:instrText>
      </w:r>
      <w:r w:rsidRPr="00F171A3">
        <w:fldChar w:fldCharType="separate"/>
      </w:r>
      <w:r w:rsidR="005A6DD8">
        <w:rPr>
          <w:noProof/>
        </w:rPr>
        <w:t>52</w:t>
      </w:r>
      <w:r w:rsidRPr="00F171A3">
        <w:fldChar w:fldCharType="end"/>
      </w:r>
      <w:r w:rsidRPr="00F171A3">
        <w:t xml:space="preserve"> </w:t>
      </w:r>
      <w:r w:rsidR="007B5564" w:rsidRPr="00F171A3">
        <w:t>Distribuția spațială a clădirilor monumente istorice pe teritoriul Sectorului 2, 2022</w:t>
      </w:r>
      <w:bookmarkEnd w:id="170"/>
    </w:p>
    <w:p w14:paraId="0F35C210" w14:textId="77777777" w:rsidR="007B5564" w:rsidRPr="00F171A3" w:rsidRDefault="007B5564" w:rsidP="007B5564">
      <w:pPr>
        <w:jc w:val="center"/>
        <w:rPr>
          <w:rFonts w:cstheme="minorHAnsi"/>
          <w:highlight w:val="yellow"/>
        </w:rPr>
      </w:pPr>
      <w:r w:rsidRPr="00F171A3">
        <w:rPr>
          <w:rFonts w:cstheme="minorHAnsi"/>
          <w:noProof/>
        </w:rPr>
        <w:drawing>
          <wp:inline distT="0" distB="0" distL="0" distR="0" wp14:anchorId="2017B414" wp14:editId="48642594">
            <wp:extent cx="5906718" cy="8357677"/>
            <wp:effectExtent l="0" t="0" r="0" b="0"/>
            <wp:docPr id="2573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6"/>
                    <a:srcRect/>
                    <a:stretch>
                      <a:fillRect/>
                    </a:stretch>
                  </pic:blipFill>
                  <pic:spPr>
                    <a:xfrm>
                      <a:off x="0" y="0"/>
                      <a:ext cx="5906718" cy="8357677"/>
                    </a:xfrm>
                    <a:prstGeom prst="rect">
                      <a:avLst/>
                    </a:prstGeom>
                    <a:ln/>
                  </pic:spPr>
                </pic:pic>
              </a:graphicData>
            </a:graphic>
          </wp:inline>
        </w:drawing>
      </w:r>
    </w:p>
    <w:p w14:paraId="1C628880" w14:textId="77777777" w:rsidR="007B5564" w:rsidRPr="00F171A3" w:rsidRDefault="007B5564" w:rsidP="00FF6C80">
      <w:pPr>
        <w:jc w:val="right"/>
        <w:rPr>
          <w:color w:val="BFBFBF" w:themeColor="background1" w:themeShade="BF"/>
        </w:rPr>
      </w:pPr>
      <w:r w:rsidRPr="00F171A3">
        <w:rPr>
          <w:color w:val="BFBFBF" w:themeColor="background1" w:themeShade="BF"/>
        </w:rPr>
        <w:t xml:space="preserve">Sursa: Ministerul Culturii, Lista monumentelor istorice din București 2015 </w:t>
      </w:r>
    </w:p>
    <w:p w14:paraId="0B1B622E" w14:textId="77777777" w:rsidR="007B5564" w:rsidRPr="00F171A3" w:rsidRDefault="007B5564" w:rsidP="007B5564">
      <w:pPr>
        <w:rPr>
          <w:rFonts w:cstheme="minorHAnsi"/>
        </w:rPr>
      </w:pPr>
      <w:r w:rsidRPr="00F171A3">
        <w:rPr>
          <w:rFonts w:cstheme="minorHAnsi"/>
        </w:rPr>
        <w:t>Pe teritoriul Sectorului 2, adițional monumentelor istorice, au fost identificate o serie de clădiri cu valoare arhitectural-urbanistică și memorial-simbolică deosebită, acestea  având potențialul de a fi valorificate ca resurse socio-culturale</w:t>
      </w:r>
      <w:r w:rsidRPr="00F171A3">
        <w:rPr>
          <w:rFonts w:cstheme="minorHAnsi"/>
          <w:vertAlign w:val="superscript"/>
        </w:rPr>
        <w:footnoteReference w:id="84"/>
      </w:r>
      <w:r w:rsidRPr="00F171A3">
        <w:rPr>
          <w:rFonts w:cstheme="minorHAnsi"/>
        </w:rPr>
        <w:t xml:space="preserve">: </w:t>
      </w:r>
    </w:p>
    <w:p w14:paraId="349243B9" w14:textId="77777777" w:rsidR="007B5564" w:rsidRPr="00F171A3" w:rsidRDefault="007B5564">
      <w:pPr>
        <w:numPr>
          <w:ilvl w:val="0"/>
          <w:numId w:val="70"/>
        </w:numPr>
        <w:pBdr>
          <w:top w:val="nil"/>
          <w:left w:val="nil"/>
          <w:bottom w:val="nil"/>
          <w:right w:val="nil"/>
          <w:between w:val="nil"/>
        </w:pBdr>
        <w:spacing w:after="60"/>
        <w:rPr>
          <w:rFonts w:cstheme="minorHAnsi"/>
        </w:rPr>
      </w:pPr>
      <w:r w:rsidRPr="00F171A3">
        <w:rPr>
          <w:rFonts w:cstheme="minorHAnsi"/>
          <w:color w:val="134753"/>
        </w:rPr>
        <w:t>Clădiri culturale și de cult: str. Delea Veche nr. 29A, Calea Moșilor nr 257, Str. Reînvierii nr. 4 (clădirea prin care se face accesul în cimitirul Reînvierea), amfiteatrul Mihai Eminescu (Str. Arh. Hârjeu);</w:t>
      </w:r>
    </w:p>
    <w:p w14:paraId="6A3CCED8" w14:textId="77777777" w:rsidR="007B5564" w:rsidRPr="00F171A3" w:rsidRDefault="007B5564">
      <w:pPr>
        <w:numPr>
          <w:ilvl w:val="0"/>
          <w:numId w:val="70"/>
        </w:numPr>
        <w:pBdr>
          <w:top w:val="nil"/>
          <w:left w:val="nil"/>
          <w:bottom w:val="nil"/>
          <w:right w:val="nil"/>
          <w:between w:val="nil"/>
        </w:pBdr>
        <w:spacing w:after="60"/>
        <w:rPr>
          <w:rFonts w:cstheme="minorHAnsi"/>
        </w:rPr>
      </w:pPr>
      <w:r w:rsidRPr="00F171A3">
        <w:rPr>
          <w:rFonts w:cstheme="minorHAnsi"/>
          <w:color w:val="134753"/>
        </w:rPr>
        <w:t>Unități sanitare: Bd. Ștefan cel Mare nr. 11, bd. Basarabia nr. 21 (clădirea veche a Spitalului Gomoiu);</w:t>
      </w:r>
    </w:p>
    <w:p w14:paraId="39D82EFA" w14:textId="77777777" w:rsidR="007B5564" w:rsidRPr="00F171A3" w:rsidRDefault="007B5564">
      <w:pPr>
        <w:numPr>
          <w:ilvl w:val="0"/>
          <w:numId w:val="70"/>
        </w:numPr>
        <w:pBdr>
          <w:top w:val="nil"/>
          <w:left w:val="nil"/>
          <w:bottom w:val="nil"/>
          <w:right w:val="nil"/>
          <w:between w:val="nil"/>
        </w:pBdr>
        <w:spacing w:after="60"/>
        <w:rPr>
          <w:rFonts w:cstheme="minorHAnsi"/>
        </w:rPr>
      </w:pPr>
      <w:r w:rsidRPr="00F171A3">
        <w:rPr>
          <w:rFonts w:cstheme="minorHAnsi"/>
          <w:color w:val="134753"/>
        </w:rPr>
        <w:t>Unități de învățământ: Str. Matei Voievod nr. 75-77 (Universitatea Națională de Artă Teatrală și Cinematografică Ion Luca Caragiale), Bd. Ferdinand I nr. 91 (Colegiul Național Iulia Hașdeu), Str. Austrului nr. 33 (Școala Gimnazială Specială pentru Deficienți de Vedere);</w:t>
      </w:r>
    </w:p>
    <w:p w14:paraId="358F05FC" w14:textId="77777777" w:rsidR="007B5564" w:rsidRPr="00F171A3" w:rsidRDefault="007B5564">
      <w:pPr>
        <w:numPr>
          <w:ilvl w:val="0"/>
          <w:numId w:val="70"/>
        </w:numPr>
        <w:pBdr>
          <w:top w:val="nil"/>
          <w:left w:val="nil"/>
          <w:bottom w:val="nil"/>
          <w:right w:val="nil"/>
          <w:between w:val="nil"/>
        </w:pBdr>
        <w:spacing w:after="60"/>
        <w:rPr>
          <w:rFonts w:cstheme="minorHAnsi"/>
        </w:rPr>
      </w:pPr>
      <w:r w:rsidRPr="00F171A3">
        <w:rPr>
          <w:rFonts w:cstheme="minorHAnsi"/>
          <w:color w:val="134753"/>
        </w:rPr>
        <w:t>Instituții: Bd. Ștefan cel Mare nr. 13-15;</w:t>
      </w:r>
    </w:p>
    <w:p w14:paraId="4AE5743B" w14:textId="77777777" w:rsidR="007B5564" w:rsidRPr="00F171A3" w:rsidRDefault="007B5564">
      <w:pPr>
        <w:numPr>
          <w:ilvl w:val="0"/>
          <w:numId w:val="70"/>
        </w:numPr>
        <w:pBdr>
          <w:top w:val="nil"/>
          <w:left w:val="nil"/>
          <w:bottom w:val="nil"/>
          <w:right w:val="nil"/>
          <w:between w:val="nil"/>
        </w:pBdr>
        <w:spacing w:after="60"/>
        <w:rPr>
          <w:rFonts w:cstheme="minorHAnsi"/>
        </w:rPr>
      </w:pPr>
      <w:r w:rsidRPr="00F171A3">
        <w:rPr>
          <w:rFonts w:cstheme="minorHAnsi"/>
          <w:color w:val="134753"/>
        </w:rPr>
        <w:t>Garaje și depouri: Str. Țepeș Vodă nr. 88;</w:t>
      </w:r>
    </w:p>
    <w:p w14:paraId="5FA8D38C" w14:textId="77777777" w:rsidR="007B5564" w:rsidRPr="00F171A3" w:rsidRDefault="007B5564">
      <w:pPr>
        <w:numPr>
          <w:ilvl w:val="0"/>
          <w:numId w:val="70"/>
        </w:numPr>
        <w:pBdr>
          <w:top w:val="nil"/>
          <w:left w:val="nil"/>
          <w:bottom w:val="nil"/>
          <w:right w:val="nil"/>
          <w:between w:val="nil"/>
        </w:pBdr>
        <w:spacing w:after="60"/>
        <w:rPr>
          <w:rFonts w:cstheme="minorHAnsi"/>
        </w:rPr>
      </w:pPr>
      <w:r w:rsidRPr="00F171A3">
        <w:rPr>
          <w:rFonts w:cstheme="minorHAnsi"/>
          <w:color w:val="134753"/>
        </w:rPr>
        <w:t>Locuințe: Intr. Episcopul Radu nr. 5; Str. Episcopul Radu nr. 16, 18, Str. Ion Maiorescu nr. 34, Str. Făinări nr. 1, Str. Marcel Iancu nr. 8, 9, 10, 11, 12, 13, Str. Precupeții Vechi nr. 16, 18, Str. Despot Vodă nr. 25.</w:t>
      </w:r>
    </w:p>
    <w:p w14:paraId="6AC89313" w14:textId="77777777" w:rsidR="007B5564" w:rsidRPr="00F171A3" w:rsidRDefault="007B5564" w:rsidP="007B5564">
      <w:pPr>
        <w:spacing w:after="0"/>
        <w:jc w:val="left"/>
        <w:rPr>
          <w:rFonts w:cstheme="minorHAnsi"/>
          <w:color w:val="134753"/>
        </w:rPr>
      </w:pPr>
      <w:r w:rsidRPr="00F171A3">
        <w:rPr>
          <w:rFonts w:cstheme="minorHAnsi"/>
        </w:rPr>
        <w:br w:type="page"/>
      </w:r>
    </w:p>
    <w:p w14:paraId="2BBF2B5A" w14:textId="6F0DDB78" w:rsidR="007B5564" w:rsidRPr="00F171A3" w:rsidRDefault="00FF6C80" w:rsidP="00FF6C80">
      <w:pPr>
        <w:pStyle w:val="Caption"/>
        <w:rPr>
          <w:b w:val="0"/>
        </w:rPr>
      </w:pPr>
      <w:bookmarkStart w:id="171" w:name="_heading=h.meukdy" w:colFirst="0" w:colLast="0"/>
      <w:bookmarkStart w:id="172" w:name="_Toc127198041"/>
      <w:bookmarkEnd w:id="171"/>
      <w:r w:rsidRPr="00F171A3">
        <w:t xml:space="preserve">Figura </w:t>
      </w:r>
      <w:r w:rsidRPr="00F171A3">
        <w:fldChar w:fldCharType="begin"/>
      </w:r>
      <w:r w:rsidRPr="00F171A3">
        <w:instrText xml:space="preserve"> SEQ Figura \* ARABIC </w:instrText>
      </w:r>
      <w:r w:rsidRPr="00F171A3">
        <w:fldChar w:fldCharType="separate"/>
      </w:r>
      <w:r w:rsidR="005A6DD8">
        <w:rPr>
          <w:noProof/>
        </w:rPr>
        <w:t>53</w:t>
      </w:r>
      <w:r w:rsidRPr="00F171A3">
        <w:fldChar w:fldCharType="end"/>
      </w:r>
      <w:r w:rsidRPr="00F171A3">
        <w:t xml:space="preserve"> </w:t>
      </w:r>
      <w:r w:rsidR="007B5564" w:rsidRPr="00F171A3">
        <w:t>Distribuția spațială a clădirilor cu valoare arhitectural-urbanistică și memorial-simbolică deosebită de pe teritoriul Sectorului 2</w:t>
      </w:r>
      <w:bookmarkEnd w:id="172"/>
    </w:p>
    <w:p w14:paraId="5FEEE174" w14:textId="77777777" w:rsidR="007B5564" w:rsidRPr="00F171A3" w:rsidRDefault="007B5564" w:rsidP="00FF6C80">
      <w:pPr>
        <w:pBdr>
          <w:top w:val="nil"/>
          <w:left w:val="nil"/>
          <w:bottom w:val="nil"/>
          <w:right w:val="nil"/>
          <w:between w:val="nil"/>
        </w:pBdr>
        <w:spacing w:before="120" w:after="360"/>
        <w:jc w:val="right"/>
        <w:rPr>
          <w:rFonts w:cstheme="minorHAnsi"/>
          <w:color w:val="808080"/>
          <w:sz w:val="20"/>
          <w:szCs w:val="20"/>
        </w:rPr>
      </w:pPr>
      <w:r w:rsidRPr="00F171A3">
        <w:rPr>
          <w:rFonts w:cstheme="minorHAnsi"/>
          <w:noProof/>
          <w:color w:val="808080"/>
          <w:sz w:val="20"/>
          <w:szCs w:val="20"/>
        </w:rPr>
        <w:drawing>
          <wp:inline distT="0" distB="0" distL="0" distR="0" wp14:anchorId="45026F17" wp14:editId="44446C8F">
            <wp:extent cx="5771408" cy="8277102"/>
            <wp:effectExtent l="0" t="0" r="1270" b="0"/>
            <wp:docPr id="2573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7"/>
                    <a:srcRect/>
                    <a:stretch>
                      <a:fillRect/>
                    </a:stretch>
                  </pic:blipFill>
                  <pic:spPr>
                    <a:xfrm>
                      <a:off x="0" y="0"/>
                      <a:ext cx="5779470" cy="8288664"/>
                    </a:xfrm>
                    <a:prstGeom prst="rect">
                      <a:avLst/>
                    </a:prstGeom>
                    <a:ln/>
                  </pic:spPr>
                </pic:pic>
              </a:graphicData>
            </a:graphic>
          </wp:inline>
        </w:drawing>
      </w:r>
      <w:r w:rsidRPr="00F171A3">
        <w:rPr>
          <w:color w:val="BFBFBF" w:themeColor="background1" w:themeShade="BF"/>
        </w:rPr>
        <w:t>Sursa: PUZ Sector 2</w:t>
      </w:r>
    </w:p>
    <w:p w14:paraId="6A4BFD19" w14:textId="77777777" w:rsidR="007B5564" w:rsidRPr="00F171A3" w:rsidRDefault="007B5564" w:rsidP="007B5564">
      <w:pPr>
        <w:rPr>
          <w:rFonts w:cstheme="minorHAnsi"/>
        </w:rPr>
      </w:pPr>
      <w:r w:rsidRPr="00F171A3">
        <w:rPr>
          <w:rFonts w:cstheme="minorHAnsi"/>
        </w:rPr>
        <w:t>Cu toate că majoritatea clădirilor monumente istorice de interes național se află într-o stare bună sau foarte bună, este important de menționat faptul că Moara lui Assan, o importantă mărturie a momentului incipient al industrializării moderne românești, se află astăzi într-o avansată stare de degradare. Construită în anul 1853 de comerciantul Gheorghe Assan, aceasta reprezintă un spațiu cu un real potențial de revitalizare, ce ar putea găzdui evenimente sau instituții socio-culturale care ar contribui nu numai la diversificarea ofertei culturale la nivelul Sectorului 2, dar ar putea reprezenta un proiect fanion la nivel municipal, transformându-se într-un centru polarizator pentru turiști și pentru masa creativă.</w:t>
      </w:r>
    </w:p>
    <w:p w14:paraId="00399FBF" w14:textId="77777777" w:rsidR="007B5564" w:rsidRPr="00F171A3" w:rsidRDefault="007B5564" w:rsidP="007B5564">
      <w:pPr>
        <w:rPr>
          <w:rFonts w:cstheme="minorHAnsi"/>
        </w:rPr>
      </w:pPr>
      <w:r w:rsidRPr="00F171A3">
        <w:rPr>
          <w:rFonts w:cstheme="minorHAnsi"/>
        </w:rPr>
        <w:t xml:space="preserve">Situația este diferită în cazul clădirilor monument de interes local, unde se înregistrează numeroase cazuri de monumente aflate în stare avansată de degradare care necesită intervenții de restaurare, reabilitare sau consolidare. Pe lângă clădirile din zona centrală, un studiu din anul 2015 indică faptul că 34 din cele 84 de monumente din afara perimetrului central sunt degradate, în ruină sau au fost demolate. </w:t>
      </w:r>
    </w:p>
    <w:p w14:paraId="3DB218EF" w14:textId="77777777" w:rsidR="007B5564" w:rsidRPr="00F171A3" w:rsidRDefault="007B5564" w:rsidP="007B5564">
      <w:pPr>
        <w:rPr>
          <w:rFonts w:cstheme="minorHAnsi"/>
        </w:rPr>
      </w:pPr>
      <w:r w:rsidRPr="00F171A3">
        <w:rPr>
          <w:rFonts w:cstheme="minorHAnsi"/>
        </w:rPr>
        <w:t xml:space="preserve">La nivelul anului 2019, în ceea ce privește cele 92 de monumentele istorice aflate în afara Zonelor Construite Protejate, în cadrul Studiului Istoric General aferent PUZ Sector 2 au fost identificate clădirile aflate în stare de degradare, stare precară precum și clădirile care au fost demolate și înlocuite de clădiri noi: </w:t>
      </w:r>
    </w:p>
    <w:p w14:paraId="74736BA7" w14:textId="77777777" w:rsidR="007B5564" w:rsidRPr="00F171A3" w:rsidRDefault="007B5564">
      <w:pPr>
        <w:numPr>
          <w:ilvl w:val="0"/>
          <w:numId w:val="71"/>
        </w:numPr>
        <w:pBdr>
          <w:top w:val="nil"/>
          <w:left w:val="nil"/>
          <w:bottom w:val="nil"/>
          <w:right w:val="nil"/>
          <w:between w:val="nil"/>
        </w:pBdr>
        <w:spacing w:after="60"/>
        <w:rPr>
          <w:rFonts w:cstheme="minorHAnsi"/>
        </w:rPr>
      </w:pPr>
      <w:r w:rsidRPr="00F171A3">
        <w:rPr>
          <w:rFonts w:cstheme="minorHAnsi"/>
          <w:color w:val="134753"/>
        </w:rPr>
        <w:t>Monumente istorice aflate în avansată stare de degradare, stare precară sau ușor precară: B-IIm-B-18705 / Casă de birjar Str. Episcopul Radu 53-55 (cercetarea de teren indică existența unei clădiri noi pe amplasamentul monumentului istoric), B-II-m-B-18902/ Casă Str. Halmeu 1, B-II-m-B-18903 / Casă Str. Halmeu 5, B-II-m-B-18434/ Imobil Str. Chiristigiilor 24, B-II-m-B-19059/ Casă Str. Lizeanu 14, B-II-m-B-19062/ Casă Str. Lizeanu 20, B-II-m-B-19064 / Casă Str. Lizeanu 22-24, B-II-m-B-19069 / Casă Str. Lizeanu 39, B-II-m-B-19070 / Str. Lizeanu 40, B-II-m-B-19122 / Casă Str. Maica Domnului 21-23, B-II-m-B-19315/ Casă Str. Oteșani 28, B-II-m-B-19515 / Casă Str. Rădulescu Heliade Ion 15, B-II-m-B-19517 / Casă Str. Rădulescu Heliade Ion 33;</w:t>
      </w:r>
    </w:p>
    <w:p w14:paraId="0AF5E44D" w14:textId="77777777" w:rsidR="007B5564" w:rsidRPr="00F171A3" w:rsidRDefault="007B5564">
      <w:pPr>
        <w:numPr>
          <w:ilvl w:val="0"/>
          <w:numId w:val="71"/>
        </w:numPr>
        <w:pBdr>
          <w:top w:val="nil"/>
          <w:left w:val="nil"/>
          <w:bottom w:val="nil"/>
          <w:right w:val="nil"/>
          <w:between w:val="nil"/>
        </w:pBdr>
        <w:spacing w:after="60"/>
        <w:rPr>
          <w:rFonts w:cstheme="minorHAnsi"/>
        </w:rPr>
      </w:pPr>
      <w:r w:rsidRPr="00F171A3">
        <w:rPr>
          <w:rFonts w:cstheme="minorHAnsi"/>
          <w:color w:val="134753"/>
        </w:rPr>
        <w:t>Monumentele istorice inițiale au fost demolate, înlocuite de clădiri noi: B-II-m-B-18216 / Casă Str. Brădești 18, B-II-m-B-18907/ Casă Str. Halmeu 25, B-II-m-B-19118 / Str. Maica Domnului 6, B-II-m-B-17937/ Casă Str. Sfânta Treime 55, B-II-m-B-17938/ Casă Str. Sfânta Treime 57.</w:t>
      </w:r>
    </w:p>
    <w:p w14:paraId="1644108D" w14:textId="77777777" w:rsidR="007B5564" w:rsidRPr="00F171A3" w:rsidRDefault="007B5564" w:rsidP="007B5564">
      <w:pPr>
        <w:rPr>
          <w:rFonts w:cstheme="minorHAnsi"/>
        </w:rPr>
      </w:pPr>
      <w:r w:rsidRPr="00F171A3">
        <w:rPr>
          <w:rFonts w:cstheme="minorHAnsi"/>
        </w:rPr>
        <w:t>La nivelul anului 2020, în Sectorul 2 au fost identificate 4 imobile monumente istorice aflate în stare de colaps (monumente aflate în stare de ruină, monumente demolate pe amplasamentul cărora au fost realizate construcții noi): B-II-m-B-19488/ Imobil Piața Protopopescu Pache 14, B-II-m-B-17937/ Casă Str. Sfânta Treime 55, B-II-m-B-17938/ Casă Str. Sfânta Treime 57, B-II-m-B-19748 / Casă de târgoveț Str. Stroiescu V. Vasile 1-3. Pe teritoriul Sectorului 2, în anul 2020 au fost identificate 4 imobile monumente istorice aflate în stare de precolaps: B-II-m-B-18902/ Casă Str. Halmeu 1, B-II-m-B-18903 / Casă Str. Halmeu 5, B-II-m-B-19247/ Casă Calea Moșilor 71, B-II-m-B-19689/Casă cu gang Str. Sfinților 13</w:t>
      </w:r>
      <w:r w:rsidRPr="00F171A3">
        <w:rPr>
          <w:rFonts w:cstheme="minorHAnsi"/>
          <w:vertAlign w:val="superscript"/>
        </w:rPr>
        <w:footnoteReference w:id="85"/>
      </w:r>
      <w:r w:rsidRPr="00F171A3">
        <w:rPr>
          <w:rFonts w:cstheme="minorHAnsi"/>
        </w:rPr>
        <w:t xml:space="preserve">. </w:t>
      </w:r>
    </w:p>
    <w:p w14:paraId="4C3BBC00" w14:textId="77777777" w:rsidR="007B5564" w:rsidRPr="00F171A3" w:rsidRDefault="007B5564" w:rsidP="007B5564">
      <w:pPr>
        <w:rPr>
          <w:rFonts w:cstheme="minorHAnsi"/>
        </w:rPr>
      </w:pPr>
      <w:r w:rsidRPr="00F171A3">
        <w:rPr>
          <w:rFonts w:cstheme="minorHAnsi"/>
        </w:rPr>
        <w:t>La nivelul anului 2022, în inventarul Direcției pentru Cultură a Municipiului București</w:t>
      </w:r>
      <w:r w:rsidRPr="00F171A3">
        <w:rPr>
          <w:rStyle w:val="FootnoteReference"/>
          <w:rFonts w:cstheme="minorHAnsi"/>
        </w:rPr>
        <w:footnoteReference w:id="86"/>
      </w:r>
      <w:r w:rsidRPr="00F171A3">
        <w:rPr>
          <w:rFonts w:cstheme="minorHAnsi"/>
        </w:rPr>
        <w:t xml:space="preserve"> se regăsesc 56 de imobile aflate în stare de degradare (15 imobile), degradare avansată (33 de imobile), precolaps, dispariție fizică sau lipsă întreținere curentă, remarcându-se o concentrare foarte mare a acestor imobile pe strada Lizeanu (15 imobile) dar și pe străzile Mântuleasa, Pache Protopopescu și Alexandru Romano:  </w:t>
      </w:r>
    </w:p>
    <w:p w14:paraId="2AA8307B" w14:textId="77777777" w:rsidR="007B5564" w:rsidRPr="00F171A3" w:rsidRDefault="007B5564">
      <w:pPr>
        <w:pStyle w:val="ListParagraph"/>
        <w:numPr>
          <w:ilvl w:val="0"/>
          <w:numId w:val="43"/>
        </w:numPr>
        <w:rPr>
          <w:rFonts w:cstheme="minorHAnsi"/>
          <w:color w:val="134753"/>
        </w:rPr>
      </w:pPr>
      <w:r w:rsidRPr="00F171A3">
        <w:rPr>
          <w:rFonts w:cstheme="minorHAnsi"/>
          <w:color w:val="134753"/>
        </w:rPr>
        <w:t>Monumente istorice aflate în stare de degradare: B-II-m-B-18049 / Casă Str. Avrig 6; B-II-m-B-19279 / Casă Str. Negustori 10; B-II-m-B-19456 / Casă Str. Popa Soare 52; B-II-m-B-19581 / Casă Str. Romano Alexandru pictor 8; B-II-m-B-19582 / Casă Str. Romano Alexandru pictor 10; B-II-m-B-19583 / Casă Str. Romano Alexandru pictor 15; B-II-m-B-19584 / Casă Str. Romano Alexandru pictor 16; B-II-m-B-19585 / Casă Str. Romano Alexandru pictor 19; B-II-m-B-19590 / Casă Str. Romano Alexandru pictor 28; B-II-m-B-19627 / Imobil Str. Rosetti Maria 15; B-II-m-B-19628 / Imobil Str. Rosetti Maria 36; B-II-m-B-19686 / Casă Str. Sfinților 9; B-II-m-B-19722 / Casa Str. Spătarului 19; B-II-m-B-19817 / Casă Str. Traian 208; B-II-m-B-19878 / Casa Ortansa Paciurea Str. Viitorului 94;</w:t>
      </w:r>
    </w:p>
    <w:p w14:paraId="1158A86B" w14:textId="77777777" w:rsidR="007B5564" w:rsidRPr="00F171A3" w:rsidRDefault="007B5564">
      <w:pPr>
        <w:pStyle w:val="ListParagraph"/>
        <w:numPr>
          <w:ilvl w:val="0"/>
          <w:numId w:val="43"/>
        </w:numPr>
        <w:rPr>
          <w:rFonts w:cstheme="minorHAnsi"/>
          <w:color w:val="134753"/>
        </w:rPr>
      </w:pPr>
      <w:r w:rsidRPr="00F171A3">
        <w:rPr>
          <w:rFonts w:cstheme="minorHAnsi"/>
          <w:color w:val="134753"/>
        </w:rPr>
        <w:t xml:space="preserve">Monumente istorice aflate în stare de degradare avansată: B-II-m-B-19057 / Casa Ion Țuculescu Str. Lizeanu 5; B-II-m-B-19058 / Casă Str. Lizeanu 13; B-II-m-B-19059 / Casă Str. Lizeanu 14; B-II-m-B-19060 / Casă Str. Lizeanu 17; B-II-m-B-19061 / Casă Str. Lizeanu 19; B-II-m-B-19062 / Casă Str. Lizeanu 20; B-II-m-B-19063 / Casă Str. Lizeanu 21; B-II-m-B-19064 / Casă Str. Lizeanu 22-24; B-II-m-B-19065 / Casă Str. Lizeanu 25; B-II-m-B-19066 / Casă Str. Lizeanu 30; B-II-m-B-19067 / Casă Str. Lizeanu 35; B-II-m-B-19068 / Casă Str. Lizeanu 37; B-II-m-B-19069 / Casă Str. Lizeanu 39; B-II-m-B-19070 / Casă Str. Lizeanu 40; B-II-m-B-19071 / Casă Str. Lizeanu 46; B-II-m-B-19177 / Casă Str. Mântuleasa 17; B-II-m-B-19178 / Casă Str. Mântuleasa 19; B-II-m-B-19181 / Casă Str. Mântuleasa 23; B-II-m-B-19278 / Casă Str. Negustori 9; B-II-m-B-19280 / Casă Str. Negustori 11-11 bis; B-II-m-B-19392 / Casă Str. Plantelor 54; B-II-m-B-19393 / Casă Str. Plantelor 56-58; B-II-m-B-19455 / Casa Mircea Vulcănescu Str. Popa Soare 16A; B-II-m-B-19474 / Imobil Str. Protopopescu Pache 2; B-II-m-B-19475 / Imobil Str. Protopopescu Pache 4; B-II-m-B-19480/ Imobil Str. Protopopescu Pache 11; B-II-m-B-19482 / Imobil Str. Protopopescu Pache 18; B-II-m-B-19683 / Casă Str. Sfinților 1; B-II-m-B-19687 / Casă Str. Sfinților 11; B-II-m-B-19689 / Casă Str. Sfinților 13; B-II-m-B-19721 / Casa fizicianului C. Miculescu Str. Spătarului 3; B-II-m-B-19812 / Casă Str. Traian 176; B-II-m-B-18704 / Casă Alexandru Dimitriu Str. Episcopul Radu 29; </w:t>
      </w:r>
    </w:p>
    <w:p w14:paraId="1141BA29" w14:textId="77777777" w:rsidR="007B5564" w:rsidRPr="00F171A3" w:rsidRDefault="007B5564">
      <w:pPr>
        <w:pStyle w:val="ListParagraph"/>
        <w:numPr>
          <w:ilvl w:val="0"/>
          <w:numId w:val="43"/>
        </w:numPr>
        <w:rPr>
          <w:rFonts w:cstheme="minorHAnsi"/>
          <w:color w:val="134753"/>
        </w:rPr>
      </w:pPr>
      <w:r w:rsidRPr="00F171A3">
        <w:rPr>
          <w:rFonts w:cstheme="minorHAnsi"/>
          <w:color w:val="134753"/>
        </w:rPr>
        <w:t>Monumente istorice dispărute fizic/aflate în stare de degradare avansată: B-II-m-B-19748 / Casă de târgoveț, Str. Stroiescu Vasile 1-3;</w:t>
      </w:r>
    </w:p>
    <w:p w14:paraId="218F6D98" w14:textId="77777777" w:rsidR="007B5564" w:rsidRPr="00F171A3" w:rsidRDefault="007B5564">
      <w:pPr>
        <w:pStyle w:val="ListParagraph"/>
        <w:numPr>
          <w:ilvl w:val="0"/>
          <w:numId w:val="43"/>
        </w:numPr>
        <w:rPr>
          <w:rFonts w:cstheme="minorHAnsi"/>
          <w:color w:val="134753"/>
        </w:rPr>
      </w:pPr>
      <w:r w:rsidRPr="00F171A3">
        <w:rPr>
          <w:rFonts w:cstheme="minorHAnsi"/>
          <w:color w:val="134753"/>
        </w:rPr>
        <w:t xml:space="preserve">Monumente istorice aflate în stare de degradare avansată/precolaps: B-II-m-B-18705 / Casă de birjar Str. Episcopul Radu 53-55 (cercetarea de teren indică existența unei clădiri noi pe amplasamentul monumentului istoric); </w:t>
      </w:r>
    </w:p>
    <w:p w14:paraId="166C2AA0" w14:textId="77777777" w:rsidR="007B5564" w:rsidRPr="00F171A3" w:rsidRDefault="007B5564">
      <w:pPr>
        <w:pStyle w:val="ListParagraph"/>
        <w:numPr>
          <w:ilvl w:val="0"/>
          <w:numId w:val="43"/>
        </w:numPr>
        <w:rPr>
          <w:rFonts w:cstheme="minorHAnsi"/>
          <w:color w:val="134753"/>
        </w:rPr>
      </w:pPr>
      <w:r w:rsidRPr="00F171A3">
        <w:rPr>
          <w:rFonts w:cstheme="minorHAnsi"/>
          <w:color w:val="134753"/>
        </w:rPr>
        <w:t xml:space="preserve">Monumente istorice care necesită lucrări de refacere a fațadelor și finisajelor: B-II-m-B-18263 / Imobil locuință colectivă Str. Caimatei 8; </w:t>
      </w:r>
    </w:p>
    <w:p w14:paraId="4EABFDC3" w14:textId="77777777" w:rsidR="007B5564" w:rsidRPr="00F171A3" w:rsidRDefault="007B5564">
      <w:pPr>
        <w:pStyle w:val="ListParagraph"/>
        <w:numPr>
          <w:ilvl w:val="0"/>
          <w:numId w:val="43"/>
        </w:numPr>
        <w:rPr>
          <w:rFonts w:cstheme="minorHAnsi"/>
          <w:color w:val="134753"/>
        </w:rPr>
      </w:pPr>
      <w:r w:rsidRPr="00F171A3">
        <w:rPr>
          <w:rFonts w:cstheme="minorHAnsi"/>
          <w:color w:val="134753"/>
        </w:rPr>
        <w:t xml:space="preserve">Monumente istorice aflate în stare de colaps/precolaps: B-IV-m-B-20976/ Atelierul pictorului Nicolae Grigorescu Str. Batiștei 20, B-II-m-B-21024 / Str. Batiștei 27(corp 1);  B-II-m-B-18050 / Imobil Str. Avrig 18; B-II-m-B-19012 / Casa Dumitru Stoenescu Str. Vasile Lascăr 34; </w:t>
      </w:r>
    </w:p>
    <w:p w14:paraId="3733002D" w14:textId="77777777" w:rsidR="007B5564" w:rsidRPr="00F171A3" w:rsidRDefault="007B5564">
      <w:pPr>
        <w:pStyle w:val="ListParagraph"/>
        <w:numPr>
          <w:ilvl w:val="0"/>
          <w:numId w:val="43"/>
        </w:numPr>
        <w:rPr>
          <w:rFonts w:cstheme="minorHAnsi"/>
          <w:color w:val="134753"/>
        </w:rPr>
      </w:pPr>
      <w:r w:rsidRPr="00F171A3">
        <w:rPr>
          <w:rFonts w:cstheme="minorHAnsi"/>
          <w:color w:val="134753"/>
        </w:rPr>
        <w:t xml:space="preserve">Monumente istorice care necesită lucrări de întreținere curentă: B-II-m-B-19161 / Casă Str. Mașina de Pâine 47. </w:t>
      </w:r>
    </w:p>
    <w:p w14:paraId="3A9A8C20" w14:textId="77777777" w:rsidR="007B5564" w:rsidRPr="00F171A3" w:rsidRDefault="007B5564" w:rsidP="007B5564">
      <w:pPr>
        <w:rPr>
          <w:rFonts w:cstheme="minorHAnsi"/>
        </w:rPr>
      </w:pPr>
      <w:r w:rsidRPr="00F171A3">
        <w:rPr>
          <w:rFonts w:cstheme="minorHAnsi"/>
        </w:rPr>
        <w:t xml:space="preserve">Suplimentar, la nivelul anului 2022 trebuie menționat cazul Halei Centrale Obor, clădire reprezentativă pentru arhitectura industrială interbelică și postbelică, aflată în proprietate privată, în incinta cărei funcționează o piață agroalimentară și care necesită operațiuni urgente de restaurare în vederea conservării componentelor arhitecturale și tehnice cu valoare de patrimoniu cultural. </w:t>
      </w:r>
    </w:p>
    <w:p w14:paraId="55FE6FEE" w14:textId="77777777" w:rsidR="007B5564" w:rsidRPr="00F171A3" w:rsidRDefault="007B5564" w:rsidP="007B5564">
      <w:pPr>
        <w:rPr>
          <w:rFonts w:cstheme="minorHAnsi"/>
        </w:rPr>
      </w:pPr>
      <w:r w:rsidRPr="00F171A3">
        <w:rPr>
          <w:rFonts w:cstheme="minorHAnsi"/>
        </w:rPr>
        <w:t>Din punct de vedere al riscului seismic al clădirilor monumente istorice incluse în lista imobilelor expertizate tehnic și încadrate în clase de urgență sau clase de risc seismic, în anul 2020 pe teritoriul Sectorului 2 au fost identificate 8 imobile încadrate în clasa de urgență U1, 12 imobile încadrate în clasa de urgență U2, 12 imobile încadrate în clasa de urgență U3, un imobil încadrat în clasă mixtă, 6 imobile încadrate în clasa I de risc, 2 imobile încadrate în clasa II de risc, 3 imobile încadrate în clasa III de risc. Din Lista Imobilelor Expertizate până în anul 2020, 2 imobile monumente istorice au fost consolidate B-II-m-B-18541/Imobil Bd. Dacia 85 și B-II-m-B-19483/Casa Elena Lupescu, Bd. Protopopescu Pache 51.</w:t>
      </w:r>
      <w:r w:rsidRPr="00F171A3">
        <w:rPr>
          <w:rFonts w:cstheme="minorHAnsi"/>
          <w:vertAlign w:val="superscript"/>
        </w:rPr>
        <w:footnoteReference w:id="87"/>
      </w:r>
      <w:r w:rsidRPr="00F171A3">
        <w:rPr>
          <w:rFonts w:cstheme="minorHAnsi"/>
        </w:rPr>
        <w:t xml:space="preserve"> </w:t>
      </w:r>
    </w:p>
    <w:p w14:paraId="1D18E22B" w14:textId="77777777" w:rsidR="007B5564" w:rsidRPr="00F171A3" w:rsidRDefault="007B5564" w:rsidP="007B5564">
      <w:pPr>
        <w:rPr>
          <w:rFonts w:cstheme="minorHAnsi"/>
        </w:rPr>
      </w:pPr>
      <w:r w:rsidRPr="00F171A3">
        <w:rPr>
          <w:rFonts w:cstheme="minorHAnsi"/>
        </w:rPr>
        <w:t>Administrația publică locală are în vedere implementarea de proiecte de reabilitare a unor clădiri aflate în domeniul public al Sectorului 2, situate în perimetrul zonelor construite protejate:</w:t>
      </w:r>
    </w:p>
    <w:p w14:paraId="5EA943E4" w14:textId="77777777" w:rsidR="007B5564" w:rsidRPr="00F171A3" w:rsidRDefault="007B5564">
      <w:pPr>
        <w:numPr>
          <w:ilvl w:val="0"/>
          <w:numId w:val="72"/>
        </w:numPr>
        <w:pBdr>
          <w:top w:val="nil"/>
          <w:left w:val="nil"/>
          <w:bottom w:val="nil"/>
          <w:right w:val="nil"/>
          <w:between w:val="nil"/>
        </w:pBdr>
        <w:spacing w:after="60"/>
        <w:rPr>
          <w:rFonts w:cstheme="minorHAnsi"/>
        </w:rPr>
      </w:pPr>
      <w:r w:rsidRPr="00F171A3">
        <w:rPr>
          <w:rFonts w:cstheme="minorHAnsi"/>
          <w:color w:val="134753"/>
        </w:rPr>
        <w:t>Amenajarea peisagistică a curții imobilului Str. Olari nr. 19;</w:t>
      </w:r>
    </w:p>
    <w:p w14:paraId="1E9E6B7B" w14:textId="77777777" w:rsidR="007B5564" w:rsidRPr="00F171A3" w:rsidRDefault="007B5564">
      <w:pPr>
        <w:numPr>
          <w:ilvl w:val="0"/>
          <w:numId w:val="72"/>
        </w:numPr>
        <w:pBdr>
          <w:top w:val="nil"/>
          <w:left w:val="nil"/>
          <w:bottom w:val="nil"/>
          <w:right w:val="nil"/>
          <w:between w:val="nil"/>
        </w:pBdr>
        <w:rPr>
          <w:rFonts w:cstheme="minorHAnsi"/>
        </w:rPr>
      </w:pPr>
      <w:r w:rsidRPr="00F171A3">
        <w:rPr>
          <w:rFonts w:cstheme="minorHAnsi"/>
          <w:color w:val="134753"/>
        </w:rPr>
        <w:t xml:space="preserve">Consolidarea sediului administrativ de pe Str. Olari nr. 15. </w:t>
      </w:r>
    </w:p>
    <w:p w14:paraId="3E8E0581" w14:textId="77777777" w:rsidR="007B5564" w:rsidRPr="00F171A3" w:rsidRDefault="007B5564" w:rsidP="007B5564">
      <w:pPr>
        <w:rPr>
          <w:rFonts w:cstheme="minorHAnsi"/>
        </w:rPr>
      </w:pPr>
      <w:r w:rsidRPr="00F171A3">
        <w:rPr>
          <w:rFonts w:cstheme="minorHAnsi"/>
        </w:rPr>
        <w:t>Administrația publică locală are în vedere implementarea de proiecte de monitorizare și gestiune a monumentelor istorice care includ dezvoltarea unei baze de date în sistem GIS:</w:t>
      </w:r>
    </w:p>
    <w:p w14:paraId="69760C10" w14:textId="77777777" w:rsidR="007B5564" w:rsidRPr="00F171A3" w:rsidRDefault="007B5564">
      <w:pPr>
        <w:numPr>
          <w:ilvl w:val="0"/>
          <w:numId w:val="73"/>
        </w:numPr>
        <w:pBdr>
          <w:top w:val="nil"/>
          <w:left w:val="nil"/>
          <w:bottom w:val="nil"/>
          <w:right w:val="nil"/>
          <w:between w:val="nil"/>
        </w:pBdr>
        <w:rPr>
          <w:rFonts w:cstheme="minorHAnsi"/>
        </w:rPr>
      </w:pPr>
      <w:r w:rsidRPr="00F171A3">
        <w:rPr>
          <w:rFonts w:cstheme="minorHAnsi"/>
          <w:color w:val="134753"/>
        </w:rPr>
        <w:t>Realizarea unui sistem de monitorizare a monumentelor degradate în sistem GIS, supraimpozitarea proprietarilor care nu le îngrijesc;</w:t>
      </w:r>
    </w:p>
    <w:p w14:paraId="70B9B8B9" w14:textId="77777777" w:rsidR="007B5564" w:rsidRPr="00F171A3" w:rsidRDefault="007B5564">
      <w:pPr>
        <w:numPr>
          <w:ilvl w:val="0"/>
          <w:numId w:val="73"/>
        </w:numPr>
        <w:pBdr>
          <w:top w:val="nil"/>
          <w:left w:val="nil"/>
          <w:bottom w:val="nil"/>
          <w:right w:val="nil"/>
          <w:between w:val="nil"/>
        </w:pBdr>
        <w:rPr>
          <w:rFonts w:cstheme="minorHAnsi"/>
        </w:rPr>
      </w:pPr>
      <w:r w:rsidRPr="00F171A3">
        <w:rPr>
          <w:rFonts w:cstheme="minorHAnsi"/>
          <w:color w:val="134753"/>
        </w:rPr>
        <w:t xml:space="preserve">Implementarea monumentelor istorice și a zonelor de protecție realizate în coordonate STEREO 70 în sistem GIS, transmiterea zonelor la OCPI în vederea înscrierii în cartea funciară a servituților patrimoniale, inclusiv dreptul de preemțiune (475 de monumente istorice, 11 situri arheologice, 25 de clădiri cu potențial de resursă culturală, 4 parcelări, 10 ansambluri de arhitectură). </w:t>
      </w:r>
    </w:p>
    <w:p w14:paraId="1FF0752A" w14:textId="77777777" w:rsidR="007B5564" w:rsidRPr="00F171A3" w:rsidRDefault="007B5564" w:rsidP="007B5564">
      <w:pPr>
        <w:rPr>
          <w:rFonts w:cstheme="minorHAnsi"/>
        </w:rPr>
      </w:pPr>
      <w:r w:rsidRPr="00F171A3">
        <w:rPr>
          <w:rFonts w:cstheme="minorHAnsi"/>
        </w:rPr>
        <w:t xml:space="preserve">La nivelul Sectorului 2 în cadrul SIDU București se are în vedere implementarea unei serii de operațiuni care vizează conservarea monumentelor istorice și a zonelor de protecție a acestora: </w:t>
      </w:r>
    </w:p>
    <w:p w14:paraId="66CB8BB8" w14:textId="77777777" w:rsidR="007B5564" w:rsidRPr="00F171A3" w:rsidRDefault="007B5564">
      <w:pPr>
        <w:numPr>
          <w:ilvl w:val="0"/>
          <w:numId w:val="74"/>
        </w:numPr>
        <w:pBdr>
          <w:top w:val="nil"/>
          <w:left w:val="nil"/>
          <w:bottom w:val="nil"/>
          <w:right w:val="nil"/>
          <w:between w:val="nil"/>
        </w:pBdr>
        <w:rPr>
          <w:rFonts w:cstheme="minorHAnsi"/>
        </w:rPr>
      </w:pPr>
      <w:r w:rsidRPr="00F171A3">
        <w:rPr>
          <w:rFonts w:cstheme="minorHAnsi"/>
          <w:color w:val="134753"/>
        </w:rPr>
        <w:t>Utilizarea ca spații publice a clădirilor cu valoare istorică din administrare privată în urma încheierii unui parteneriat public-privat cu proprietarii;</w:t>
      </w:r>
    </w:p>
    <w:p w14:paraId="29BC0C47" w14:textId="77777777" w:rsidR="007B5564" w:rsidRPr="00F171A3" w:rsidRDefault="007B5564">
      <w:pPr>
        <w:numPr>
          <w:ilvl w:val="0"/>
          <w:numId w:val="74"/>
        </w:numPr>
        <w:pBdr>
          <w:top w:val="nil"/>
          <w:left w:val="nil"/>
          <w:bottom w:val="nil"/>
          <w:right w:val="nil"/>
          <w:between w:val="nil"/>
        </w:pBdr>
        <w:rPr>
          <w:rFonts w:cstheme="minorHAnsi"/>
        </w:rPr>
      </w:pPr>
      <w:r w:rsidRPr="00F171A3">
        <w:rPr>
          <w:rFonts w:cstheme="minorHAnsi"/>
          <w:color w:val="134753"/>
        </w:rPr>
        <w:t>Restaurarea, consolidarea, protecția și conservarea imobilului din Strada Plantelor, nr. 4, București (Proiectul poate include, indirect, componente legate de reabilitarea seismică a clădirilor/ infrastructurii publice);</w:t>
      </w:r>
    </w:p>
    <w:p w14:paraId="2E2FD1FE" w14:textId="77777777" w:rsidR="007B5564" w:rsidRPr="00F171A3" w:rsidRDefault="007B5564">
      <w:pPr>
        <w:numPr>
          <w:ilvl w:val="0"/>
          <w:numId w:val="74"/>
        </w:numPr>
        <w:pBdr>
          <w:top w:val="nil"/>
          <w:left w:val="nil"/>
          <w:bottom w:val="nil"/>
          <w:right w:val="nil"/>
          <w:between w:val="nil"/>
        </w:pBdr>
        <w:rPr>
          <w:rFonts w:cstheme="minorHAnsi"/>
        </w:rPr>
      </w:pPr>
      <w:r w:rsidRPr="00F171A3">
        <w:rPr>
          <w:rFonts w:cstheme="minorHAnsi"/>
          <w:color w:val="134753"/>
        </w:rPr>
        <w:t>Consolidare, restaurare și punere în valoare a bisericii ”Adormirea Maicii Domnului-Icoanei”;</w:t>
      </w:r>
    </w:p>
    <w:p w14:paraId="7B97BAB6" w14:textId="77777777" w:rsidR="007B5564" w:rsidRPr="00F171A3" w:rsidRDefault="007B5564">
      <w:pPr>
        <w:numPr>
          <w:ilvl w:val="0"/>
          <w:numId w:val="74"/>
        </w:numPr>
        <w:pBdr>
          <w:top w:val="nil"/>
          <w:left w:val="nil"/>
          <w:bottom w:val="nil"/>
          <w:right w:val="nil"/>
          <w:between w:val="nil"/>
        </w:pBdr>
        <w:spacing w:after="60"/>
        <w:rPr>
          <w:rFonts w:cstheme="minorHAnsi"/>
        </w:rPr>
      </w:pPr>
      <w:r w:rsidRPr="00F171A3">
        <w:rPr>
          <w:rFonts w:cstheme="minorHAnsi"/>
          <w:color w:val="134753"/>
        </w:rPr>
        <w:t>Identificarea, conservarea și valorificarea culturală și economică a clădirilor  cu potențial de resursă culturală și istorică (valoare arhitectural-urbanistică, valoare memorial-simbolică) și introducerea acestora în circuitul cultural local;</w:t>
      </w:r>
    </w:p>
    <w:p w14:paraId="06E2D63A" w14:textId="77777777" w:rsidR="007B5564" w:rsidRPr="00F171A3" w:rsidRDefault="007B5564">
      <w:pPr>
        <w:numPr>
          <w:ilvl w:val="0"/>
          <w:numId w:val="74"/>
        </w:numPr>
        <w:pBdr>
          <w:top w:val="nil"/>
          <w:left w:val="nil"/>
          <w:bottom w:val="nil"/>
          <w:right w:val="nil"/>
          <w:between w:val="nil"/>
        </w:pBdr>
        <w:spacing w:after="60"/>
        <w:rPr>
          <w:rFonts w:cstheme="minorHAnsi"/>
        </w:rPr>
      </w:pPr>
      <w:r w:rsidRPr="00F171A3">
        <w:rPr>
          <w:rFonts w:cstheme="minorHAnsi"/>
          <w:color w:val="134753"/>
        </w:rPr>
        <w:t>Consolidarea, conservarea și reabilitarea fațadelor clădirilor istorice;</w:t>
      </w:r>
    </w:p>
    <w:p w14:paraId="47411728" w14:textId="77777777" w:rsidR="007B5564" w:rsidRPr="00F171A3" w:rsidRDefault="007B5564">
      <w:pPr>
        <w:numPr>
          <w:ilvl w:val="0"/>
          <w:numId w:val="74"/>
        </w:numPr>
        <w:pBdr>
          <w:top w:val="nil"/>
          <w:left w:val="nil"/>
          <w:bottom w:val="nil"/>
          <w:right w:val="nil"/>
          <w:between w:val="nil"/>
        </w:pBdr>
        <w:spacing w:after="60"/>
        <w:rPr>
          <w:rFonts w:cstheme="minorHAnsi"/>
        </w:rPr>
      </w:pPr>
      <w:r w:rsidRPr="00F171A3">
        <w:rPr>
          <w:rFonts w:cstheme="minorHAnsi"/>
          <w:color w:val="134753"/>
        </w:rPr>
        <w:t>Consolidarea Teatrului Lucia Sturza Bulandra;</w:t>
      </w:r>
    </w:p>
    <w:p w14:paraId="27223A31" w14:textId="77777777" w:rsidR="007B5564" w:rsidRPr="00F171A3" w:rsidRDefault="007B5564">
      <w:pPr>
        <w:numPr>
          <w:ilvl w:val="0"/>
          <w:numId w:val="74"/>
        </w:numPr>
        <w:pBdr>
          <w:top w:val="nil"/>
          <w:left w:val="nil"/>
          <w:bottom w:val="nil"/>
          <w:right w:val="nil"/>
          <w:between w:val="nil"/>
        </w:pBdr>
        <w:spacing w:after="60"/>
        <w:rPr>
          <w:rFonts w:cstheme="minorHAnsi"/>
        </w:rPr>
      </w:pPr>
      <w:r w:rsidRPr="00F171A3">
        <w:rPr>
          <w:rFonts w:cstheme="minorHAnsi"/>
          <w:color w:val="134753"/>
        </w:rPr>
        <w:t>Reabilitarea Hanului Solacolu - atelier meșteșugăresc/galerii/centru comunitar.</w:t>
      </w:r>
    </w:p>
    <w:p w14:paraId="671F296A" w14:textId="77777777" w:rsidR="007B5564" w:rsidRPr="00F171A3" w:rsidRDefault="007B5564" w:rsidP="007B5564">
      <w:pPr>
        <w:rPr>
          <w:rFonts w:cstheme="minorHAnsi"/>
        </w:rPr>
      </w:pPr>
      <w:r w:rsidRPr="00F171A3">
        <w:rPr>
          <w:rFonts w:cstheme="minorHAnsi"/>
        </w:rPr>
        <w:t xml:space="preserve">În ceea ce privește imaginea urbană a zonelor istorice de pe teritoriul Sectorului 2 se remarcă existența unor zone cu imagine unitară, cu valoare arhitecturală și urbanistică deosebită delimitate în cadrul unor ansambluri de arhitectură înscrise în LMI 2015 (Str. Batiștei, Bd. Dacia, Str. Dumbrava Roșie nr. 1-11; 2-16, Str. Mântuleasa – care se continuă în Sectorul 3, Calea Moșilor, Str. Negustori, nr. 1-19; 6-16, Str. Părintele Stăniloaie, Str. Popa Soare – care se continuă în Sectorul 3, Str. Romulus Mântuleasa – care se continuă în Sectorul 3, Str. și P-ța Sf. Ștefan) și parcelări înscrise în LMI 2015 (Călărași-Hârjeu, Iancului, Gara Obor - fostă Ferdinand I, Negroponte). </w:t>
      </w:r>
    </w:p>
    <w:p w14:paraId="3184A984" w14:textId="77777777" w:rsidR="007B5564" w:rsidRPr="00F171A3" w:rsidRDefault="007B5564" w:rsidP="007B5564">
      <w:pPr>
        <w:rPr>
          <w:rFonts w:cstheme="minorHAnsi"/>
        </w:rPr>
      </w:pPr>
      <w:r w:rsidRPr="00F171A3">
        <w:rPr>
          <w:rFonts w:cstheme="minorHAnsi"/>
        </w:rPr>
        <w:t>Sectorul 2 include în teritoriul său, total sau parțial, 28 din cele 98 de zone construite protejate existente în București, aprobate conform HCGMB nr. 279/2000, ilustrând tipologii diferite de țesut urban, caracteristice pentru evoluția Bucureștiului în secolele XIX și XX</w:t>
      </w:r>
      <w:r w:rsidRPr="00F171A3">
        <w:rPr>
          <w:rFonts w:cstheme="minorHAnsi"/>
          <w:vertAlign w:val="superscript"/>
        </w:rPr>
        <w:footnoteReference w:id="88"/>
      </w:r>
      <w:r w:rsidRPr="00F171A3">
        <w:rPr>
          <w:rFonts w:cstheme="minorHAnsi"/>
        </w:rPr>
        <w:t xml:space="preserve">: </w:t>
      </w:r>
    </w:p>
    <w:p w14:paraId="4967F6E8" w14:textId="289979CA" w:rsidR="007B5564" w:rsidRPr="00F171A3" w:rsidRDefault="007B5564">
      <w:pPr>
        <w:numPr>
          <w:ilvl w:val="0"/>
          <w:numId w:val="75"/>
        </w:numPr>
        <w:pBdr>
          <w:top w:val="nil"/>
          <w:left w:val="nil"/>
          <w:bottom w:val="nil"/>
          <w:right w:val="nil"/>
          <w:between w:val="nil"/>
        </w:pBdr>
        <w:spacing w:after="60"/>
        <w:rPr>
          <w:rFonts w:cstheme="minorHAnsi"/>
        </w:rPr>
      </w:pPr>
      <w:r w:rsidRPr="00F171A3">
        <w:rPr>
          <w:rFonts w:cstheme="minorHAnsi"/>
          <w:color w:val="134753"/>
        </w:rPr>
        <w:t xml:space="preserve">Străzi tradiționale comerciale: Calea Moșilor, Calea Călărașilor  (zona inclusă </w:t>
      </w:r>
      <w:r w:rsidR="0060613A" w:rsidRPr="00F171A3">
        <w:rPr>
          <w:rFonts w:cstheme="minorHAnsi"/>
          <w:color w:val="134753"/>
        </w:rPr>
        <w:t>parțial</w:t>
      </w:r>
      <w:r w:rsidRPr="00F171A3">
        <w:rPr>
          <w:rFonts w:cstheme="minorHAnsi"/>
          <w:color w:val="134753"/>
        </w:rPr>
        <w:t xml:space="preserve"> </w:t>
      </w:r>
      <w:r w:rsidR="008A1AFD">
        <w:rPr>
          <w:rFonts w:cstheme="minorHAnsi"/>
          <w:color w:val="134753"/>
        </w:rPr>
        <w:t>î</w:t>
      </w:r>
      <w:r w:rsidRPr="00F171A3">
        <w:rPr>
          <w:rFonts w:cstheme="minorHAnsi"/>
          <w:color w:val="134753"/>
        </w:rPr>
        <w:t>n Sectorul 2)- străzi martor ale evoluției orașului premodern (străzi tradiționale comerciale) care împreună cu țesutul difuz adiacent reprezintă elemente definitorii pentru identitatea orașului;</w:t>
      </w:r>
    </w:p>
    <w:p w14:paraId="347806D6" w14:textId="77777777" w:rsidR="007B5564" w:rsidRPr="00F171A3" w:rsidRDefault="007B5564">
      <w:pPr>
        <w:numPr>
          <w:ilvl w:val="0"/>
          <w:numId w:val="75"/>
        </w:numPr>
        <w:pBdr>
          <w:top w:val="nil"/>
          <w:left w:val="nil"/>
          <w:bottom w:val="nil"/>
          <w:right w:val="nil"/>
          <w:between w:val="nil"/>
        </w:pBdr>
        <w:spacing w:after="60"/>
        <w:rPr>
          <w:rFonts w:cstheme="minorHAnsi"/>
        </w:rPr>
      </w:pPr>
      <w:r w:rsidRPr="00F171A3">
        <w:rPr>
          <w:rFonts w:cstheme="minorHAnsi"/>
          <w:color w:val="134753"/>
        </w:rPr>
        <w:t xml:space="preserve">Bulevarde </w:t>
      </w:r>
      <w:r w:rsidRPr="00F171A3">
        <w:rPr>
          <w:rFonts w:cstheme="minorHAnsi"/>
          <w:i/>
          <w:color w:val="134753"/>
        </w:rPr>
        <w:t>haussmanniene</w:t>
      </w:r>
      <w:r w:rsidRPr="00F171A3">
        <w:rPr>
          <w:rFonts w:cstheme="minorHAnsi"/>
          <w:color w:val="134753"/>
        </w:rPr>
        <w:t>: Carol I, Ferdinand I - axe monumentale caracteristice pentru perioada de configurare a orașului “burghez” reprezentând elemente de modernizare a țesutului premodern;</w:t>
      </w:r>
    </w:p>
    <w:p w14:paraId="7BAB1070" w14:textId="77777777" w:rsidR="007B5564" w:rsidRPr="00F171A3" w:rsidRDefault="007B5564">
      <w:pPr>
        <w:numPr>
          <w:ilvl w:val="0"/>
          <w:numId w:val="75"/>
        </w:numPr>
        <w:pBdr>
          <w:top w:val="nil"/>
          <w:left w:val="nil"/>
          <w:bottom w:val="nil"/>
          <w:right w:val="nil"/>
          <w:between w:val="nil"/>
        </w:pBdr>
        <w:spacing w:after="60"/>
        <w:rPr>
          <w:rFonts w:cstheme="minorHAnsi"/>
        </w:rPr>
      </w:pPr>
      <w:r w:rsidRPr="00F171A3">
        <w:rPr>
          <w:rFonts w:cstheme="minorHAnsi"/>
          <w:color w:val="134753"/>
        </w:rPr>
        <w:t xml:space="preserve">Bulevard </w:t>
      </w:r>
      <w:r w:rsidRPr="00F171A3">
        <w:rPr>
          <w:rFonts w:cstheme="minorHAnsi"/>
          <w:i/>
          <w:color w:val="134753"/>
        </w:rPr>
        <w:t>haussmannian</w:t>
      </w:r>
      <w:r w:rsidRPr="00F171A3">
        <w:rPr>
          <w:rFonts w:cstheme="minorHAnsi"/>
          <w:color w:val="134753"/>
        </w:rPr>
        <w:t xml:space="preserve"> de țesut: Hristo-Botev - axă de țesut caracteristică pentru perioada de configurare a orașului “burghez” reprezentând element de modernizare a țesutului premodern;</w:t>
      </w:r>
    </w:p>
    <w:p w14:paraId="6CA28A93" w14:textId="73C2632A" w:rsidR="007B5564" w:rsidRPr="00F171A3" w:rsidRDefault="007B5564">
      <w:pPr>
        <w:numPr>
          <w:ilvl w:val="0"/>
          <w:numId w:val="75"/>
        </w:numPr>
        <w:pBdr>
          <w:top w:val="nil"/>
          <w:left w:val="nil"/>
          <w:bottom w:val="nil"/>
          <w:right w:val="nil"/>
          <w:between w:val="nil"/>
        </w:pBdr>
        <w:spacing w:after="60"/>
        <w:rPr>
          <w:rFonts w:cstheme="minorHAnsi"/>
        </w:rPr>
      </w:pPr>
      <w:r w:rsidRPr="00F171A3">
        <w:rPr>
          <w:rFonts w:cstheme="minorHAnsi"/>
          <w:color w:val="134753"/>
        </w:rPr>
        <w:t>Bulevard rezidențial: Dacia – bulevard rezidențial, care îmbină rigoarea și unitatea unei intervenții reglementate cu scara și caracterul domestic al țesutului bucureștean rezidențial de sfârșit de secol XIX</w:t>
      </w:r>
      <w:r w:rsidR="00C65A9E" w:rsidRPr="00F171A3">
        <w:rPr>
          <w:rFonts w:cstheme="minorHAnsi"/>
          <w:color w:val="134753"/>
        </w:rPr>
        <w:t>;</w:t>
      </w:r>
    </w:p>
    <w:p w14:paraId="32AB2D34" w14:textId="77777777" w:rsidR="007B5564" w:rsidRPr="00F171A3" w:rsidRDefault="007B5564">
      <w:pPr>
        <w:numPr>
          <w:ilvl w:val="0"/>
          <w:numId w:val="76"/>
        </w:numPr>
        <w:pBdr>
          <w:top w:val="nil"/>
          <w:left w:val="nil"/>
          <w:bottom w:val="nil"/>
          <w:right w:val="nil"/>
          <w:between w:val="nil"/>
        </w:pBdr>
        <w:spacing w:after="60"/>
        <w:rPr>
          <w:rFonts w:cstheme="minorHAnsi"/>
          <w:color w:val="134753"/>
        </w:rPr>
      </w:pPr>
      <w:r w:rsidRPr="00F171A3">
        <w:rPr>
          <w:rFonts w:cstheme="minorHAnsi"/>
          <w:color w:val="134753"/>
        </w:rPr>
        <w:t>Străzi de țesut tradiționale majore: C.A. Rosetti – Maria Rosetti – Popa Petre, Vasile Lascăr, Traian, Batiștei, Jean-Louis Calderon – Polonă, Mântuleasa: axe tradiționale structurante la nivel local pentru țesutul istoric difuz;</w:t>
      </w:r>
    </w:p>
    <w:p w14:paraId="6BF1EAD8" w14:textId="77777777" w:rsidR="007B5564" w:rsidRPr="00F171A3" w:rsidRDefault="007B5564">
      <w:pPr>
        <w:numPr>
          <w:ilvl w:val="0"/>
          <w:numId w:val="76"/>
        </w:numPr>
        <w:pBdr>
          <w:top w:val="nil"/>
          <w:left w:val="nil"/>
          <w:bottom w:val="nil"/>
          <w:right w:val="nil"/>
          <w:between w:val="nil"/>
        </w:pBdr>
        <w:spacing w:after="60"/>
        <w:rPr>
          <w:rFonts w:cstheme="minorHAnsi"/>
          <w:color w:val="134753"/>
        </w:rPr>
      </w:pPr>
      <w:r w:rsidRPr="00F171A3">
        <w:rPr>
          <w:rFonts w:cstheme="minorHAnsi"/>
          <w:color w:val="134753"/>
        </w:rPr>
        <w:t>Stradă majoră: Mihai Eminescu - axă tradițională structurantă la nivel local pentru țesutul istoric difuz;</w:t>
      </w:r>
    </w:p>
    <w:p w14:paraId="3ACB6132" w14:textId="77777777" w:rsidR="007B5564" w:rsidRPr="00F171A3" w:rsidRDefault="007B5564">
      <w:pPr>
        <w:numPr>
          <w:ilvl w:val="0"/>
          <w:numId w:val="76"/>
        </w:numPr>
        <w:pBdr>
          <w:top w:val="nil"/>
          <w:left w:val="nil"/>
          <w:bottom w:val="nil"/>
          <w:right w:val="nil"/>
          <w:between w:val="nil"/>
        </w:pBdr>
        <w:spacing w:after="60"/>
        <w:rPr>
          <w:rFonts w:cstheme="minorHAnsi"/>
          <w:color w:val="134753"/>
        </w:rPr>
      </w:pPr>
      <w:r w:rsidRPr="00F171A3">
        <w:rPr>
          <w:rFonts w:cstheme="minorHAnsi"/>
          <w:color w:val="134753"/>
        </w:rPr>
        <w:t>Țesut tradițional difuz: Caimatei, Vasile Conta, Thomas Masaryk, Pitar Moș, Sfântul Ștefan, Armenească, Icoanei, Silvestru - țesuturi rezidențiale tradiționale tipice, unicat la nivel internațional, cu fond construit cu valoare arhitecturală ridicată;</w:t>
      </w:r>
    </w:p>
    <w:p w14:paraId="275C9767" w14:textId="77777777" w:rsidR="007B5564" w:rsidRPr="00F171A3" w:rsidRDefault="007B5564">
      <w:pPr>
        <w:numPr>
          <w:ilvl w:val="0"/>
          <w:numId w:val="76"/>
        </w:numPr>
        <w:pBdr>
          <w:top w:val="nil"/>
          <w:left w:val="nil"/>
          <w:bottom w:val="nil"/>
          <w:right w:val="nil"/>
          <w:between w:val="nil"/>
        </w:pBdr>
        <w:spacing w:after="60"/>
        <w:rPr>
          <w:rFonts w:cstheme="minorHAnsi"/>
          <w:color w:val="134753"/>
        </w:rPr>
      </w:pPr>
      <w:r w:rsidRPr="00F171A3">
        <w:rPr>
          <w:rFonts w:cstheme="minorHAnsi"/>
          <w:color w:val="134753"/>
        </w:rPr>
        <w:t xml:space="preserve">Parcelări reglementate: </w:t>
      </w:r>
    </w:p>
    <w:p w14:paraId="262914E6" w14:textId="77777777" w:rsidR="007B5564" w:rsidRPr="00F171A3" w:rsidRDefault="007B5564">
      <w:pPr>
        <w:numPr>
          <w:ilvl w:val="0"/>
          <w:numId w:val="76"/>
        </w:numPr>
        <w:pBdr>
          <w:top w:val="nil"/>
          <w:left w:val="nil"/>
          <w:bottom w:val="nil"/>
          <w:right w:val="nil"/>
          <w:between w:val="nil"/>
        </w:pBdr>
        <w:spacing w:after="60"/>
        <w:rPr>
          <w:rFonts w:cstheme="minorHAnsi"/>
          <w:color w:val="134753"/>
        </w:rPr>
      </w:pPr>
      <w:r w:rsidRPr="00F171A3">
        <w:rPr>
          <w:rFonts w:cstheme="minorHAnsi"/>
          <w:color w:val="134753"/>
        </w:rPr>
        <w:t>Parcelarea Vatra Luminoasă: cartier rezidențial de standard redus caracteristic pentru prima jumătate a secolului al XX-lea și cvartal de locuințe caracteristic pentru perioada urbanismului sovietic de după Cel de-al II-lea Război Mondial;</w:t>
      </w:r>
    </w:p>
    <w:p w14:paraId="1113842A" w14:textId="77777777" w:rsidR="007B5564" w:rsidRPr="00F171A3" w:rsidRDefault="007B5564">
      <w:pPr>
        <w:numPr>
          <w:ilvl w:val="0"/>
          <w:numId w:val="76"/>
        </w:numPr>
        <w:pBdr>
          <w:top w:val="nil"/>
          <w:left w:val="nil"/>
          <w:bottom w:val="nil"/>
          <w:right w:val="nil"/>
          <w:between w:val="nil"/>
        </w:pBdr>
        <w:spacing w:after="60"/>
        <w:rPr>
          <w:rFonts w:cstheme="minorHAnsi"/>
          <w:color w:val="134753"/>
        </w:rPr>
      </w:pPr>
      <w:r w:rsidRPr="00F171A3">
        <w:rPr>
          <w:rFonts w:cstheme="minorHAnsi"/>
          <w:color w:val="134753"/>
        </w:rPr>
        <w:t>Parcelarea Maior Coravu, Parcelarea Baicului - cartiere rezidențiale de standard ridicat, tipice pentru opțiunea culturală  occidentală a elitelor din prima jumătate a secolului al XX-lea;</w:t>
      </w:r>
    </w:p>
    <w:p w14:paraId="34C1F31C" w14:textId="77777777" w:rsidR="007B5564" w:rsidRPr="00F171A3" w:rsidRDefault="007B5564">
      <w:pPr>
        <w:numPr>
          <w:ilvl w:val="0"/>
          <w:numId w:val="76"/>
        </w:numPr>
        <w:pBdr>
          <w:top w:val="nil"/>
          <w:left w:val="nil"/>
          <w:bottom w:val="nil"/>
          <w:right w:val="nil"/>
          <w:between w:val="nil"/>
        </w:pBdr>
        <w:spacing w:after="60"/>
        <w:rPr>
          <w:rFonts w:cstheme="minorHAnsi"/>
          <w:color w:val="134753"/>
        </w:rPr>
      </w:pPr>
      <w:r w:rsidRPr="00F171A3">
        <w:rPr>
          <w:rFonts w:cstheme="minorHAnsi"/>
          <w:color w:val="134753"/>
        </w:rPr>
        <w:t>Parcelarea Parcul Ioanid - grupare rezidențială aristocratică, tipică pentru opțiunea culturală  occidentală a elitelor de la sfârșitul secolului al XIX-lea;</w:t>
      </w:r>
    </w:p>
    <w:p w14:paraId="0F984753" w14:textId="77777777" w:rsidR="007B5564" w:rsidRPr="00F171A3" w:rsidRDefault="007B5564">
      <w:pPr>
        <w:numPr>
          <w:ilvl w:val="0"/>
          <w:numId w:val="76"/>
        </w:numPr>
        <w:pBdr>
          <w:top w:val="nil"/>
          <w:left w:val="nil"/>
          <w:bottom w:val="nil"/>
          <w:right w:val="nil"/>
          <w:between w:val="nil"/>
        </w:pBdr>
        <w:spacing w:after="60"/>
        <w:rPr>
          <w:rFonts w:cstheme="minorHAnsi"/>
          <w:color w:val="134753"/>
        </w:rPr>
      </w:pPr>
      <w:r w:rsidRPr="00F171A3">
        <w:rPr>
          <w:rFonts w:cstheme="minorHAnsi"/>
          <w:color w:val="134753"/>
        </w:rPr>
        <w:t xml:space="preserve">Parc: Plumbuita – parc referință al Bucureștiului; </w:t>
      </w:r>
    </w:p>
    <w:p w14:paraId="5FF4FFEF" w14:textId="03634B02" w:rsidR="007B5564" w:rsidRPr="00F171A3" w:rsidRDefault="007B5564">
      <w:pPr>
        <w:numPr>
          <w:ilvl w:val="0"/>
          <w:numId w:val="76"/>
        </w:numPr>
        <w:pBdr>
          <w:top w:val="nil"/>
          <w:left w:val="nil"/>
          <w:bottom w:val="nil"/>
          <w:right w:val="nil"/>
          <w:between w:val="nil"/>
        </w:pBdr>
        <w:spacing w:after="0"/>
        <w:jc w:val="left"/>
        <w:rPr>
          <w:rFonts w:cstheme="minorHAnsi"/>
          <w:i/>
          <w:color w:val="134753"/>
        </w:rPr>
      </w:pPr>
      <w:r w:rsidRPr="00F171A3">
        <w:rPr>
          <w:rFonts w:cstheme="minorHAnsi"/>
          <w:color w:val="134753"/>
        </w:rPr>
        <w:t>Țesut istoric difuz: Polonă, Horei - țesut rezidențial tradițional tipic</w:t>
      </w:r>
      <w:r w:rsidR="00C65A9E" w:rsidRPr="00F171A3">
        <w:rPr>
          <w:rFonts w:cstheme="minorHAnsi"/>
          <w:color w:val="134753"/>
        </w:rPr>
        <w:t>.</w:t>
      </w:r>
    </w:p>
    <w:p w14:paraId="550B6A49" w14:textId="77777777" w:rsidR="007B5564" w:rsidRPr="00F171A3" w:rsidRDefault="007B5564" w:rsidP="007B5564">
      <w:pPr>
        <w:pBdr>
          <w:top w:val="nil"/>
          <w:left w:val="nil"/>
          <w:bottom w:val="nil"/>
          <w:right w:val="nil"/>
          <w:between w:val="nil"/>
        </w:pBdr>
        <w:spacing w:after="0"/>
        <w:ind w:left="720" w:hanging="360"/>
        <w:jc w:val="left"/>
        <w:rPr>
          <w:rFonts w:cstheme="minorHAnsi"/>
          <w:i/>
          <w:color w:val="134753"/>
        </w:rPr>
      </w:pPr>
    </w:p>
    <w:p w14:paraId="31F95307" w14:textId="77777777" w:rsidR="007B5564" w:rsidRPr="00F171A3" w:rsidRDefault="007B5564" w:rsidP="007B5564">
      <w:pPr>
        <w:spacing w:after="0"/>
        <w:jc w:val="left"/>
        <w:rPr>
          <w:rFonts w:cstheme="minorHAnsi"/>
          <w:i/>
        </w:rPr>
      </w:pPr>
      <w:r w:rsidRPr="00F171A3">
        <w:rPr>
          <w:rFonts w:cstheme="minorHAnsi"/>
        </w:rPr>
        <w:br w:type="page"/>
      </w:r>
    </w:p>
    <w:p w14:paraId="44F30B95" w14:textId="699AEA8D" w:rsidR="007B5564" w:rsidRPr="00F171A3" w:rsidRDefault="00FF6C80" w:rsidP="00FF6C80">
      <w:pPr>
        <w:pStyle w:val="Caption"/>
        <w:rPr>
          <w:b w:val="0"/>
        </w:rPr>
      </w:pPr>
      <w:bookmarkStart w:id="173" w:name="_heading=h.36ei31r" w:colFirst="0" w:colLast="0"/>
      <w:bookmarkStart w:id="174" w:name="_Toc127198042"/>
      <w:bookmarkEnd w:id="173"/>
      <w:r w:rsidRPr="00F171A3">
        <w:t xml:space="preserve">Figura </w:t>
      </w:r>
      <w:r w:rsidRPr="00F171A3">
        <w:fldChar w:fldCharType="begin"/>
      </w:r>
      <w:r w:rsidRPr="00F171A3">
        <w:instrText xml:space="preserve"> SEQ Figura \* ARABIC </w:instrText>
      </w:r>
      <w:r w:rsidRPr="00F171A3">
        <w:fldChar w:fldCharType="separate"/>
      </w:r>
      <w:r w:rsidR="005A6DD8">
        <w:rPr>
          <w:noProof/>
        </w:rPr>
        <w:t>54</w:t>
      </w:r>
      <w:r w:rsidRPr="00F171A3">
        <w:fldChar w:fldCharType="end"/>
      </w:r>
      <w:r w:rsidRPr="00F171A3">
        <w:t xml:space="preserve"> </w:t>
      </w:r>
      <w:r w:rsidR="007B5564" w:rsidRPr="00F171A3">
        <w:t>Zonele Construite Protejate aflate pe teritoriul Sectorului 2</w:t>
      </w:r>
      <w:bookmarkEnd w:id="174"/>
    </w:p>
    <w:p w14:paraId="3B103D61" w14:textId="77777777" w:rsidR="007B5564" w:rsidRPr="00F171A3" w:rsidRDefault="007B5564" w:rsidP="007B5564">
      <w:pPr>
        <w:jc w:val="center"/>
        <w:rPr>
          <w:rFonts w:cstheme="minorHAnsi"/>
          <w:i/>
        </w:rPr>
      </w:pPr>
      <w:r w:rsidRPr="00F171A3">
        <w:rPr>
          <w:rFonts w:cstheme="minorHAnsi"/>
          <w:i/>
          <w:noProof/>
        </w:rPr>
        <w:drawing>
          <wp:inline distT="0" distB="0" distL="0" distR="0" wp14:anchorId="25862576" wp14:editId="2657E4E1">
            <wp:extent cx="5823715" cy="8228680"/>
            <wp:effectExtent l="0" t="0" r="0" b="0"/>
            <wp:docPr id="2574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8"/>
                    <a:srcRect/>
                    <a:stretch>
                      <a:fillRect/>
                    </a:stretch>
                  </pic:blipFill>
                  <pic:spPr>
                    <a:xfrm>
                      <a:off x="0" y="0"/>
                      <a:ext cx="5823715" cy="8228680"/>
                    </a:xfrm>
                    <a:prstGeom prst="rect">
                      <a:avLst/>
                    </a:prstGeom>
                    <a:ln/>
                  </pic:spPr>
                </pic:pic>
              </a:graphicData>
            </a:graphic>
          </wp:inline>
        </w:drawing>
      </w:r>
    </w:p>
    <w:p w14:paraId="790F7B71" w14:textId="77777777" w:rsidR="007B5564" w:rsidRPr="00F171A3" w:rsidRDefault="007B5564" w:rsidP="00FF6C80">
      <w:pPr>
        <w:jc w:val="right"/>
      </w:pPr>
      <w:r w:rsidRPr="00F171A3">
        <w:rPr>
          <w:color w:val="BFBFBF" w:themeColor="background1" w:themeShade="BF"/>
        </w:rPr>
        <w:t>Sursa: PUZ Zone Construite Protejate, aprobat prin HCGMB nr. 279/2000</w:t>
      </w:r>
      <w:r w:rsidRPr="00F171A3">
        <w:br w:type="page"/>
      </w:r>
    </w:p>
    <w:p w14:paraId="61FF89A5" w14:textId="77777777" w:rsidR="007B5564" w:rsidRPr="00F171A3" w:rsidRDefault="007B5564" w:rsidP="007B5564">
      <w:pPr>
        <w:rPr>
          <w:rFonts w:cstheme="minorHAnsi"/>
        </w:rPr>
      </w:pPr>
      <w:r w:rsidRPr="00F171A3">
        <w:rPr>
          <w:rFonts w:cstheme="minorHAnsi"/>
        </w:rPr>
        <w:t>În ceea ce privește zona centrală a capitalei, aceasta se suprapune și peste conturul Sectorului 2, fiind inclusă în limitele administrative ale acestuia. Conform împărțirii în subzone din cadrul Planului Integrat de Dezvoltare Urbană pentru Zona Centrală București, două subzone fac preponderent parte din Sectorul 2 al capitalei. Subzona 3 este parte a nucleului medieval, fiind caracterizată de o slabă prezență a activităților comerciale și a activităților de alimentație publică, de clădiri în mare măsură degradate și de o populație cu nivel socio-economic modest. Subzona 7 este preponderent rezidențială în care predomină case unifamiliale și clădiri de înălțime joasă, cu un număr redus de apartamente, însă buna accesibilitate și proximitatea față de zonele active îi conferă percepția de apartenență la zona centrală.</w:t>
      </w:r>
    </w:p>
    <w:p w14:paraId="235078DA" w14:textId="45506A84" w:rsidR="007B5564" w:rsidRPr="00F171A3" w:rsidRDefault="00FF6C80" w:rsidP="00FF6C80">
      <w:pPr>
        <w:pStyle w:val="Caption"/>
        <w:rPr>
          <w:b w:val="0"/>
        </w:rPr>
      </w:pPr>
      <w:bookmarkStart w:id="175" w:name="_heading=h.1ljsd9k" w:colFirst="0" w:colLast="0"/>
      <w:bookmarkStart w:id="176" w:name="_Toc127198043"/>
      <w:bookmarkEnd w:id="175"/>
      <w:r w:rsidRPr="00F171A3">
        <w:t xml:space="preserve">Figura </w:t>
      </w:r>
      <w:r w:rsidRPr="00F171A3">
        <w:fldChar w:fldCharType="begin"/>
      </w:r>
      <w:r w:rsidRPr="00F171A3">
        <w:instrText xml:space="preserve"> SEQ Figura \* ARABIC </w:instrText>
      </w:r>
      <w:r w:rsidRPr="00F171A3">
        <w:fldChar w:fldCharType="separate"/>
      </w:r>
      <w:r w:rsidR="005A6DD8">
        <w:rPr>
          <w:noProof/>
        </w:rPr>
        <w:t>55</w:t>
      </w:r>
      <w:r w:rsidRPr="00F171A3">
        <w:fldChar w:fldCharType="end"/>
      </w:r>
      <w:r w:rsidRPr="00F171A3">
        <w:t xml:space="preserve"> </w:t>
      </w:r>
      <w:r w:rsidR="007B5564" w:rsidRPr="00F171A3">
        <w:t>Subzonele zonei centrale</w:t>
      </w:r>
      <w:bookmarkEnd w:id="176"/>
    </w:p>
    <w:p w14:paraId="61390AFA" w14:textId="77777777" w:rsidR="007B5564" w:rsidRPr="00F171A3" w:rsidRDefault="007B5564" w:rsidP="007B5564">
      <w:pPr>
        <w:jc w:val="center"/>
        <w:rPr>
          <w:rFonts w:cstheme="minorHAnsi"/>
          <w:i/>
        </w:rPr>
      </w:pPr>
      <w:r w:rsidRPr="00F171A3">
        <w:rPr>
          <w:rFonts w:cstheme="minorHAnsi"/>
          <w:i/>
          <w:noProof/>
        </w:rPr>
        <w:drawing>
          <wp:inline distT="0" distB="0" distL="0" distR="0" wp14:anchorId="14F44A62" wp14:editId="7AD63F61">
            <wp:extent cx="4522034" cy="4554333"/>
            <wp:effectExtent l="0" t="0" r="0" b="0"/>
            <wp:docPr id="2574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9"/>
                    <a:srcRect l="22933" t="11814" r="30534" b="4884"/>
                    <a:stretch>
                      <a:fillRect/>
                    </a:stretch>
                  </pic:blipFill>
                  <pic:spPr>
                    <a:xfrm>
                      <a:off x="0" y="0"/>
                      <a:ext cx="4522034" cy="4554333"/>
                    </a:xfrm>
                    <a:prstGeom prst="rect">
                      <a:avLst/>
                    </a:prstGeom>
                    <a:ln/>
                  </pic:spPr>
                </pic:pic>
              </a:graphicData>
            </a:graphic>
          </wp:inline>
        </w:drawing>
      </w:r>
    </w:p>
    <w:p w14:paraId="6466F31B" w14:textId="77777777" w:rsidR="007B5564" w:rsidRPr="00F171A3" w:rsidRDefault="007B5564" w:rsidP="00FF6C80">
      <w:pPr>
        <w:jc w:val="right"/>
        <w:rPr>
          <w:color w:val="BFBFBF" w:themeColor="background1" w:themeShade="BF"/>
        </w:rPr>
      </w:pPr>
      <w:r w:rsidRPr="00F171A3">
        <w:rPr>
          <w:color w:val="BFBFBF" w:themeColor="background1" w:themeShade="BF"/>
        </w:rPr>
        <w:t>Sursa: Planul Integrat de Dezvoltare Urbană pentru Zona Centrală București</w:t>
      </w:r>
    </w:p>
    <w:p w14:paraId="5C894E4A" w14:textId="77777777" w:rsidR="007B5564" w:rsidRPr="00F171A3" w:rsidRDefault="007B5564" w:rsidP="007B5564">
      <w:pPr>
        <w:rPr>
          <w:rFonts w:cstheme="minorHAnsi"/>
        </w:rPr>
      </w:pPr>
      <w:r w:rsidRPr="00F171A3">
        <w:rPr>
          <w:rFonts w:cstheme="minorHAnsi"/>
        </w:rPr>
        <w:t>Evoluția zonei centrale este strâns legată de evoluția Bucureștiului, pe teritoriului zonei 3 fiind o parte a nucleului inițial al orașului, existent încă dinaintea primei menționări documentare a acestuia în 1459. După războiul ruso-turc (1806-1812) apare primul „Regulament pentru înfrumusețarea orașului” care a stat la baza lucrărilor de asanare a lacurilor Bucureștioarei. Acest fapt a dat naștere numeroaselor spații publice de pe teritoriul actual al Sectorului 2, precum Piața Lahovary, scuarul de la intersecția străzii Dionisie Lupu și J. Michelet, Grădina Icoanei sau fostul maidan de la intersecția str. Dionisie Lupu, C.A. Rosetti și T. Arghezi.</w:t>
      </w:r>
    </w:p>
    <w:p w14:paraId="1A8D53E9" w14:textId="77777777" w:rsidR="007B5564" w:rsidRPr="00F171A3" w:rsidRDefault="007B5564" w:rsidP="007B5564">
      <w:pPr>
        <w:rPr>
          <w:rFonts w:cstheme="minorHAnsi"/>
        </w:rPr>
      </w:pPr>
      <w:r w:rsidRPr="00F171A3">
        <w:rPr>
          <w:rFonts w:cstheme="minorHAnsi"/>
        </w:rPr>
        <w:t xml:space="preserve">Bucureștiului a devenit capitala Principatelor Unite în anul 1862, fiind marcat de o amplă dezvoltare. În perioada următoare fondul construit s-a densificat și au apărut numeroase parcelări precum parcelarea Ioanid dezvoltată în jurul parcului cu același nume. Bucureștiul interbelic este marcat de apariția primului Plan de Sistematizare din 1935, moment în care sunt trasate și Bulevardele Magheru și Bălcescu. În perioada comunistă, zona centrală este marcată de un declin deoarece odată cu procesul de naționalizare, clădirile nu au mai fost îngrijite și au intrat într-o stare de degradare. După anul 1990 s-a pus accent în principal pe lucrări de consolidare și reabilitare. </w:t>
      </w:r>
    </w:p>
    <w:p w14:paraId="3AD8E21E" w14:textId="77777777" w:rsidR="007B5564" w:rsidRPr="00F171A3" w:rsidRDefault="007B5564" w:rsidP="007B5564">
      <w:pPr>
        <w:rPr>
          <w:rFonts w:cstheme="minorHAnsi"/>
        </w:rPr>
      </w:pPr>
      <w:r w:rsidRPr="00F171A3">
        <w:rPr>
          <w:rFonts w:cstheme="minorHAnsi"/>
        </w:rPr>
        <w:t xml:space="preserve">În cadrul chestionarului adresat locuitorilor, cartierele istorice, clădirile de patrimoniu (cu precădere Moara lui Assan) sunt considerate unele dintre cele mai importante resurse ale Sectorului 2, în timp ce reabilitarea și valorificarea monumentelor istorice este unul din aspecte necesare pentru dezvoltarea comunității locale. </w:t>
      </w:r>
    </w:p>
    <w:p w14:paraId="2D6775E3" w14:textId="0C6FF7D4" w:rsidR="007B5564" w:rsidRPr="00F171A3" w:rsidRDefault="007B5564" w:rsidP="007B5564">
      <w:pPr>
        <w:rPr>
          <w:rFonts w:cstheme="minorHAnsi"/>
        </w:rPr>
      </w:pPr>
      <w:r w:rsidRPr="00F171A3">
        <w:rPr>
          <w:rFonts w:cstheme="minorHAnsi"/>
        </w:rPr>
        <w:t>În cadrul procesului de consultare a cetățenilor cu privire la prioritățile de dezvoltare pe termen lung a Sectorului 2, în ceea ce privește protejarea și valorificarea patrimoniului construit au fost semnalate necesitatea realizării unui program de reabilitare a fațadelor clădirilor din centrul istoric (acordarea de granturi pentru refacerea fațadelor clădirilor aflate în proprietate privată), necesitatea consolidării monumentelor istorice, implementarea de măsuri de prevenire a demolării clădirilor cu valoare de patrimoniu, montarea de indicatoare către monumentele istorice, cu precădere obiectivele culturale sau turistice, reabilitarea unor construcții cu valo</w:t>
      </w:r>
      <w:r w:rsidR="008A1AFD">
        <w:rPr>
          <w:rFonts w:cstheme="minorHAnsi"/>
        </w:rPr>
        <w:t>a</w:t>
      </w:r>
      <w:r w:rsidRPr="00F171A3">
        <w:rPr>
          <w:rFonts w:cstheme="minorHAnsi"/>
        </w:rPr>
        <w:t xml:space="preserve">re culturală deosebită – amfiteatrul Mihai Eminescu. </w:t>
      </w:r>
      <w:bookmarkStart w:id="177" w:name="_heading=h.45jfvxd" w:colFirst="0" w:colLast="0"/>
      <w:bookmarkEnd w:id="177"/>
    </w:p>
    <w:p w14:paraId="28D47165" w14:textId="77777777" w:rsidR="008A6FAE" w:rsidRPr="00F171A3" w:rsidRDefault="008A6FAE" w:rsidP="007B5564">
      <w:pPr>
        <w:rPr>
          <w:rFonts w:cstheme="minorHAnsi"/>
        </w:rPr>
        <w:sectPr w:rsidR="008A6FAE" w:rsidRPr="00F171A3" w:rsidSect="00135952">
          <w:pgSz w:w="11907" w:h="16839" w:code="9"/>
          <w:pgMar w:top="1151" w:right="1440" w:bottom="1440" w:left="1021" w:header="709" w:footer="284" w:gutter="0"/>
          <w:cols w:space="708"/>
          <w:titlePg/>
          <w:docGrid w:linePitch="360"/>
        </w:sectPr>
      </w:pPr>
    </w:p>
    <w:p w14:paraId="752248E6" w14:textId="13B0073E" w:rsidR="007B5564" w:rsidRPr="00F171A3" w:rsidRDefault="001E0A0F" w:rsidP="001E0A0F">
      <w:pPr>
        <w:pStyle w:val="Heading3"/>
        <w:rPr>
          <w:lang w:val="ro-RO"/>
        </w:rPr>
      </w:pPr>
      <w:bookmarkStart w:id="178" w:name="_Toc114505864"/>
      <w:bookmarkStart w:id="179" w:name="_Toc127199273"/>
      <w:r w:rsidRPr="00F171A3">
        <w:rPr>
          <w:caps w:val="0"/>
          <w:lang w:val="ro-RO"/>
        </w:rPr>
        <w:t>SPAȚIU PUBLIC</w:t>
      </w:r>
      <w:bookmarkEnd w:id="178"/>
      <w:bookmarkEnd w:id="179"/>
    </w:p>
    <w:p w14:paraId="3F538BAD" w14:textId="77777777" w:rsidR="007B5564" w:rsidRPr="00F171A3" w:rsidRDefault="007B5564" w:rsidP="007B5564">
      <w:pPr>
        <w:rPr>
          <w:rFonts w:cstheme="minorHAnsi"/>
        </w:rPr>
      </w:pPr>
      <w:r w:rsidRPr="00F171A3">
        <w:rPr>
          <w:rFonts w:cstheme="minorHAnsi"/>
        </w:rPr>
        <w:t xml:space="preserve">Acest capitol face referire la rețeaua de spații publice din Sectorului 2, incluzând atât spațiile verzi (cf. Legii nr. 24/2007) cât și piațetele, străzile pietonale sau chiar piețele agroalimentare. Astfel, capitolul abordează spațiul public ca parte esențială a Sectorului 2, element de legătură cu celelalte sectoare ale municipiului București și suport al relațiilor sociale și vieții urbane, incluzând totodată și rolul ecologic al acestuia din perspectiva spațiilor verzi. </w:t>
      </w:r>
    </w:p>
    <w:p w14:paraId="032249E3" w14:textId="506F143F" w:rsidR="007B5564" w:rsidRPr="00F171A3" w:rsidRDefault="001E0A0F" w:rsidP="001E0A0F">
      <w:pPr>
        <w:pStyle w:val="Heading4"/>
      </w:pPr>
      <w:bookmarkStart w:id="180" w:name="_heading=h.2koq656" w:colFirst="0" w:colLast="0"/>
      <w:bookmarkStart w:id="181" w:name="_Toc114505865"/>
      <w:bookmarkEnd w:id="180"/>
      <w:r w:rsidRPr="00F171A3">
        <w:t>CLASIFICAREA MULTICRITERIALĂ A SISTEMULUI MAJOR DE SPAȚII PUBLICE</w:t>
      </w:r>
      <w:bookmarkEnd w:id="181"/>
    </w:p>
    <w:p w14:paraId="55793B5E" w14:textId="77777777" w:rsidR="007B5564" w:rsidRPr="00F171A3" w:rsidRDefault="007B5564" w:rsidP="007B5564">
      <w:pPr>
        <w:rPr>
          <w:rFonts w:cstheme="minorHAnsi"/>
        </w:rPr>
      </w:pPr>
      <w:r w:rsidRPr="00F171A3">
        <w:rPr>
          <w:rFonts w:cstheme="minorHAnsi"/>
        </w:rPr>
        <w:t xml:space="preserve">Analiza morfologică a rețelei de spații publice are în vedere 3 categorii principale: </w:t>
      </w:r>
    </w:p>
    <w:p w14:paraId="26E75DF1" w14:textId="77777777" w:rsidR="007B5564" w:rsidRPr="00F171A3" w:rsidRDefault="007B5564">
      <w:pPr>
        <w:numPr>
          <w:ilvl w:val="0"/>
          <w:numId w:val="77"/>
        </w:numPr>
        <w:pBdr>
          <w:top w:val="nil"/>
          <w:left w:val="nil"/>
          <w:bottom w:val="nil"/>
          <w:right w:val="nil"/>
          <w:between w:val="nil"/>
        </w:pBdr>
        <w:spacing w:after="60"/>
        <w:rPr>
          <w:rFonts w:cstheme="minorHAnsi"/>
        </w:rPr>
      </w:pPr>
      <w:r w:rsidRPr="00F171A3">
        <w:rPr>
          <w:rFonts w:cstheme="minorHAnsi"/>
          <w:color w:val="134753"/>
        </w:rPr>
        <w:t>Spații de tip suprafață (spații publice ample de tip parc sau grădină);</w:t>
      </w:r>
    </w:p>
    <w:p w14:paraId="150BBA66" w14:textId="77777777" w:rsidR="007B5564" w:rsidRPr="00F171A3" w:rsidRDefault="007B5564">
      <w:pPr>
        <w:numPr>
          <w:ilvl w:val="0"/>
          <w:numId w:val="77"/>
        </w:numPr>
        <w:pBdr>
          <w:top w:val="nil"/>
          <w:left w:val="nil"/>
          <w:bottom w:val="nil"/>
          <w:right w:val="nil"/>
          <w:between w:val="nil"/>
        </w:pBdr>
        <w:spacing w:after="60"/>
        <w:rPr>
          <w:rFonts w:cstheme="minorHAnsi"/>
        </w:rPr>
      </w:pPr>
      <w:r w:rsidRPr="00F171A3">
        <w:rPr>
          <w:rFonts w:cstheme="minorHAnsi"/>
          <w:color w:val="134753"/>
        </w:rPr>
        <w:t>Spații de tip linie</w:t>
      </w:r>
      <w:r w:rsidRPr="00F171A3">
        <w:rPr>
          <w:rFonts w:cstheme="minorHAnsi"/>
          <w:color w:val="134753"/>
          <w:vertAlign w:val="superscript"/>
        </w:rPr>
        <w:footnoteReference w:id="89"/>
      </w:r>
      <w:r w:rsidRPr="00F171A3">
        <w:rPr>
          <w:rFonts w:cstheme="minorHAnsi"/>
          <w:color w:val="134753"/>
        </w:rPr>
        <w:t xml:space="preserve"> (bulevarde care grupează o varietate mare de activități deschise către public);</w:t>
      </w:r>
    </w:p>
    <w:p w14:paraId="7DFA9858" w14:textId="77777777" w:rsidR="007B5564" w:rsidRPr="00F171A3" w:rsidRDefault="007B5564">
      <w:pPr>
        <w:numPr>
          <w:ilvl w:val="0"/>
          <w:numId w:val="77"/>
        </w:numPr>
        <w:pBdr>
          <w:top w:val="nil"/>
          <w:left w:val="nil"/>
          <w:bottom w:val="nil"/>
          <w:right w:val="nil"/>
          <w:between w:val="nil"/>
        </w:pBdr>
        <w:rPr>
          <w:rFonts w:cstheme="minorHAnsi"/>
        </w:rPr>
      </w:pPr>
      <w:r w:rsidRPr="00F171A3">
        <w:rPr>
          <w:rFonts w:cstheme="minorHAnsi"/>
          <w:color w:val="134753"/>
        </w:rPr>
        <w:t xml:space="preserve">Spații de tip punct (scuar, piațetă, spațiu comunitar, loc de joacă). </w:t>
      </w:r>
    </w:p>
    <w:p w14:paraId="11B35824" w14:textId="6D70023E" w:rsidR="007B5564" w:rsidRPr="00F171A3" w:rsidRDefault="00C65A9E" w:rsidP="007B5564">
      <w:pPr>
        <w:rPr>
          <w:rFonts w:cstheme="minorHAnsi"/>
        </w:rPr>
      </w:pPr>
      <w:r w:rsidRPr="00F171A3">
        <w:rPr>
          <w:rFonts w:cstheme="minorHAnsi"/>
          <w:b/>
          <w:smallCaps/>
          <w:color w:val="134753"/>
        </w:rPr>
        <w:t xml:space="preserve">SPAȚII DE TIP SUPRAFAȚĂ </w:t>
      </w:r>
      <w:r w:rsidR="007B5564" w:rsidRPr="00F171A3">
        <w:rPr>
          <w:rFonts w:cstheme="minorHAnsi"/>
          <w:b/>
          <w:smallCaps/>
          <w:color w:val="134753"/>
        </w:rPr>
        <w:t>|</w:t>
      </w:r>
      <w:r w:rsidR="007B5564" w:rsidRPr="00F171A3">
        <w:rPr>
          <w:rFonts w:cstheme="minorHAnsi"/>
        </w:rPr>
        <w:t xml:space="preserve"> Deși Sectorul 2 duce lipsă de spații publice amenajate de mare amploare, cum sunt cele amplasate în celelalte sectoare (Herăstrău, Tineretului, Titan etc.), acesta beneficiază de o serie de parcuri de dimensiuni mici (Parcul Ecologic Dobroești, Parcul Cosmos, Parcul Cinema Floreasca, Grădina Icoanei, Parcul Ioanid, Parcul Râul Colentina, Parcul Lunca Florilor, Parcul Gării Obor, Parcul Obor, Parcul Păsărari, Parcul Sf. Pantelimon) (sub 3 ha) sau medii (Parcul Tei, Parcul Circului, Parcul Național, Parcul Plumbuita I, Parcul Plumbuita II, Parcul Verdi, Parcul Motodrom, Parcul Morarilor, Parcul Florilor, Parcul Sticlăriei) (3 – 10 ha)</w:t>
      </w:r>
      <w:r w:rsidR="007B5564" w:rsidRPr="00F171A3">
        <w:rPr>
          <w:rFonts w:cstheme="minorHAnsi"/>
          <w:vertAlign w:val="superscript"/>
        </w:rPr>
        <w:footnoteReference w:id="90"/>
      </w:r>
      <w:r w:rsidR="007B5564" w:rsidRPr="00F171A3">
        <w:rPr>
          <w:rFonts w:cstheme="minorHAnsi"/>
        </w:rPr>
        <w:t xml:space="preserve"> care reușesc să deservească cea mai mare parte a populației. Astfel, spațiile publice de tip suprafață se regăsesc preponderent în zonele cu o densitate foarte mare a populației, cum ar fi cartierele Pantelimon, Vatra Luminoasă, Colentina sau Tei. Parcul Circului, care deservește cartierul Tei, deține și un centru comunitar în care se desfășoară o varietate amplă de evenimente sub egida Grupul de Inițiativă Civică Lacul Tei. Astfel de dotări comunitare reprezintă elemente cu un importat rol în ceea ce privește întărirea spiritului comunitar. Din acest motiv este favorabilă conturarea unei rețele de centre comunitare sau culturale care să deservească zonele rezidențiale ale Sectorului 2. Valențele educaționale ale spațiilor verzi au fost valorificate în cadrul proiectului de reabilitare a Parcului Sticlăriei și transformarea acestuia în parc ecologic oferind vizitatorilor posibilitatea studierii diferitelor habitate din cadrul acestuia.  Spațiile publice ample lipsesc în schimb în totalitate din zona centrală, unde se păstrează doar Grădina Icoanei și Parcul Ioanid, ambele spații verzi fiind de mici dimensiuni. </w:t>
      </w:r>
    </w:p>
    <w:p w14:paraId="28490D69" w14:textId="77777777" w:rsidR="007B5564" w:rsidRPr="00F171A3" w:rsidRDefault="007B5564" w:rsidP="007B5564">
      <w:pPr>
        <w:rPr>
          <w:rFonts w:cstheme="minorHAnsi"/>
          <w:color w:val="000000"/>
        </w:rPr>
      </w:pPr>
      <w:r w:rsidRPr="00F171A3">
        <w:rPr>
          <w:rFonts w:cstheme="minorHAnsi"/>
        </w:rPr>
        <w:t>În ceea ce privește dotarea spațiilor publice de suprafață, datele calitative indică faptul că o mare parte din spațiile identificate beneficiază doar de facilități de bază (mobilier urban minimal, iluminat public limitat etc.), multe dintre acestea fiind lipsite de dotări considerate</w:t>
      </w:r>
      <w:r w:rsidRPr="00F171A3">
        <w:rPr>
          <w:rFonts w:cstheme="minorHAnsi"/>
          <w:color w:val="000000"/>
        </w:rPr>
        <w:t xml:space="preserve"> dotări esențiale într-un spațiu urban de calitate, precum toalete publice și instalații de apă (fântâni, cișmele și țâșnitori). Astfel, spațiile publice din Sectorul 2 totalizau, în anul 2020</w:t>
      </w:r>
      <w:r w:rsidRPr="00F171A3">
        <w:rPr>
          <w:rFonts w:cstheme="minorHAnsi"/>
          <w:color w:val="000000"/>
          <w:vertAlign w:val="superscript"/>
        </w:rPr>
        <w:footnoteReference w:id="91"/>
      </w:r>
      <w:r w:rsidRPr="00F171A3">
        <w:rPr>
          <w:rFonts w:cstheme="minorHAnsi"/>
          <w:color w:val="000000"/>
        </w:rPr>
        <w:t xml:space="preserve">, 13 toalete automate și ecologice amplasate în Parcul Circului, Parcul Cinema Floreasca și în Parcul Plumbuita, la care se adaugă grupurile sanitare din Parcul Circului, Parcul Național, Parcul Obor și cele amplasate adiacent străzilor (Maria Rosetti, Maior Coravu, Tunari, Basarabia, Traian, Pantelimon (conform inventarului ADPS2)) și 14 instalații de apă amplasate preponderent în interiorul inelului median. </w:t>
      </w:r>
    </w:p>
    <w:p w14:paraId="15942EB1" w14:textId="77777777" w:rsidR="007B5564" w:rsidRPr="00F171A3" w:rsidRDefault="007B5564" w:rsidP="007B5564">
      <w:pPr>
        <w:spacing w:after="0"/>
        <w:jc w:val="left"/>
        <w:rPr>
          <w:rFonts w:cstheme="minorHAnsi"/>
          <w:color w:val="000000"/>
        </w:rPr>
      </w:pPr>
      <w:r w:rsidRPr="00F171A3">
        <w:rPr>
          <w:rFonts w:cstheme="minorHAnsi"/>
        </w:rPr>
        <w:br w:type="page"/>
      </w:r>
    </w:p>
    <w:p w14:paraId="70D002F5" w14:textId="71017E7D" w:rsidR="007B5564" w:rsidRPr="00F171A3" w:rsidRDefault="00FF6C80" w:rsidP="00FF6C80">
      <w:pPr>
        <w:pStyle w:val="Caption"/>
        <w:rPr>
          <w:b w:val="0"/>
        </w:rPr>
      </w:pPr>
      <w:bookmarkStart w:id="182" w:name="_heading=h.zu0gcz" w:colFirst="0" w:colLast="0"/>
      <w:bookmarkStart w:id="183" w:name="_Toc127198044"/>
      <w:bookmarkEnd w:id="182"/>
      <w:r w:rsidRPr="00F171A3">
        <w:t xml:space="preserve">Figura </w:t>
      </w:r>
      <w:r w:rsidRPr="00F171A3">
        <w:fldChar w:fldCharType="begin"/>
      </w:r>
      <w:r w:rsidRPr="00F171A3">
        <w:instrText xml:space="preserve"> SEQ Figura \* ARABIC </w:instrText>
      </w:r>
      <w:r w:rsidRPr="00F171A3">
        <w:fldChar w:fldCharType="separate"/>
      </w:r>
      <w:r w:rsidR="005A6DD8">
        <w:rPr>
          <w:noProof/>
        </w:rPr>
        <w:t>56</w:t>
      </w:r>
      <w:r w:rsidRPr="00F171A3">
        <w:fldChar w:fldCharType="end"/>
      </w:r>
      <w:r w:rsidR="007B5564" w:rsidRPr="00F171A3">
        <w:t xml:space="preserve"> Clasificarea multicriterială a sistemului major de spații publice din Sectorul 2</w:t>
      </w:r>
      <w:bookmarkEnd w:id="183"/>
    </w:p>
    <w:p w14:paraId="770E55DB" w14:textId="740FFAA7" w:rsidR="007B5564" w:rsidRPr="00F171A3" w:rsidRDefault="007B5564" w:rsidP="00FF6C80">
      <w:pPr>
        <w:pBdr>
          <w:top w:val="nil"/>
          <w:left w:val="nil"/>
          <w:bottom w:val="nil"/>
          <w:right w:val="nil"/>
          <w:between w:val="nil"/>
        </w:pBdr>
        <w:spacing w:before="120" w:after="360"/>
        <w:jc w:val="right"/>
        <w:rPr>
          <w:rFonts w:cstheme="minorHAnsi"/>
          <w:color w:val="808080"/>
          <w:sz w:val="20"/>
          <w:szCs w:val="20"/>
        </w:rPr>
      </w:pPr>
      <w:r w:rsidRPr="00F171A3">
        <w:rPr>
          <w:rFonts w:cstheme="minorHAnsi"/>
          <w:noProof/>
          <w:color w:val="808080"/>
          <w:sz w:val="20"/>
          <w:szCs w:val="20"/>
        </w:rPr>
        <w:drawing>
          <wp:inline distT="0" distB="0" distL="0" distR="0" wp14:anchorId="084A6BC5" wp14:editId="2A151E0A">
            <wp:extent cx="5994400" cy="8470900"/>
            <wp:effectExtent l="0" t="0" r="0" b="0"/>
            <wp:docPr id="2574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00"/>
                    <a:srcRect/>
                    <a:stretch>
                      <a:fillRect/>
                    </a:stretch>
                  </pic:blipFill>
                  <pic:spPr>
                    <a:xfrm>
                      <a:off x="0" y="0"/>
                      <a:ext cx="5994400" cy="8470900"/>
                    </a:xfrm>
                    <a:prstGeom prst="rect">
                      <a:avLst/>
                    </a:prstGeom>
                    <a:ln/>
                  </pic:spPr>
                </pic:pic>
              </a:graphicData>
            </a:graphic>
          </wp:inline>
        </w:drawing>
      </w:r>
      <w:r w:rsidRPr="00F171A3">
        <w:rPr>
          <w:color w:val="BFBFBF" w:themeColor="background1" w:themeShade="BF"/>
        </w:rPr>
        <w:t xml:space="preserve">Sursa: </w:t>
      </w:r>
      <w:r w:rsidR="00FF6C80" w:rsidRPr="00F171A3">
        <w:rPr>
          <w:color w:val="BFBFBF" w:themeColor="background1" w:themeShade="BF"/>
        </w:rPr>
        <w:t>P</w:t>
      </w:r>
      <w:r w:rsidRPr="00F171A3">
        <w:rPr>
          <w:color w:val="BFBFBF" w:themeColor="background1" w:themeShade="BF"/>
        </w:rPr>
        <w:t>relucrarea consultantului</w:t>
      </w:r>
    </w:p>
    <w:p w14:paraId="7C009F47" w14:textId="77777777" w:rsidR="007B5564" w:rsidRPr="00F171A3" w:rsidRDefault="007B5564" w:rsidP="007B5564">
      <w:pPr>
        <w:rPr>
          <w:rFonts w:cstheme="minorHAnsi"/>
        </w:rPr>
      </w:pPr>
      <w:r w:rsidRPr="00F171A3">
        <w:rPr>
          <w:rFonts w:cstheme="minorHAnsi"/>
        </w:rPr>
        <w:t>În ceea ce privește infrastructura de spații verzi aflată în administrarea Primăriei Sectorului 2, aceasta are în vedere preluarea în administrare de la ALPAB a parcurilor Verdi, Circului și luciul de apă aferent Parcului Național și realizarea de lucrări de amenajare a acestor spații verzi. În acest sens, Primăria Sectorului 2 are în vedere amenajarea peisagistică a parcului Verdi, parc care în prezent deține doar o serie de amenajări minimale, degradate și un loc de joacă la marginea lui. Prin proiect de dorește amenajarea parcului ca zonă de odihnă, relaxare și plimbare destinată tuturor categoriilor de vârstă, prin realizarea unor compoziții care să ducă la îmbunătățirea calității mediului prin plantarea unui număr semnificativ de arbori/arbuști/specii floricole, introducerea unui sistem performant de irigație a spațiilor verzi, montarea de mobilier stradal de calitate (bănci, coșuri de gunoi, foișoare lemn, amenajare spații de joacă, spații pentru exerciții fizice etc.), realizarea de alei.</w:t>
      </w:r>
    </w:p>
    <w:p w14:paraId="3EEB5636" w14:textId="77777777" w:rsidR="007B5564" w:rsidRPr="00F171A3" w:rsidRDefault="007B5564" w:rsidP="007B5564">
      <w:pPr>
        <w:pBdr>
          <w:top w:val="nil"/>
          <w:left w:val="nil"/>
          <w:bottom w:val="nil"/>
          <w:right w:val="nil"/>
          <w:between w:val="nil"/>
        </w:pBdr>
        <w:rPr>
          <w:rFonts w:cstheme="minorHAnsi"/>
          <w:color w:val="000000"/>
        </w:rPr>
      </w:pPr>
      <w:r w:rsidRPr="00F171A3">
        <w:rPr>
          <w:rFonts w:cstheme="minorHAnsi"/>
          <w:color w:val="000000"/>
        </w:rPr>
        <w:t xml:space="preserve">Parcurile aflate aproape de limita administrativă a Sectorului 2 deservesc și populația din sectoarele învecinate - Parcul Național, Parcul Morarilor și Parcul Sticlăriei – zona Basarabia/Titan (Sector 3), Parcul Verdi – Zona Floreasca (Sector 1), în timp ce parcurile Gheorghe Petrașcu, A.I. Cuza și Titan, aflate în Sectorul 3, deservesc, o mare parte din populația care locuiește pe B-dul. Basarabia. </w:t>
      </w:r>
    </w:p>
    <w:p w14:paraId="6557335A" w14:textId="6D54C02D" w:rsidR="007B5564" w:rsidRPr="00F171A3" w:rsidRDefault="00983F17" w:rsidP="007B5564">
      <w:pPr>
        <w:rPr>
          <w:rFonts w:cstheme="minorHAnsi"/>
        </w:rPr>
      </w:pPr>
      <w:r w:rsidRPr="00F171A3">
        <w:rPr>
          <w:rFonts w:cstheme="minorHAnsi"/>
          <w:b/>
          <w:smallCaps/>
          <w:color w:val="134753"/>
        </w:rPr>
        <w:t xml:space="preserve">SPAȚII DE TIP LINIE </w:t>
      </w:r>
      <w:r w:rsidR="007B5564" w:rsidRPr="00F171A3">
        <w:rPr>
          <w:rFonts w:cstheme="minorHAnsi"/>
          <w:b/>
          <w:smallCaps/>
          <w:color w:val="134753"/>
        </w:rPr>
        <w:t>|</w:t>
      </w:r>
      <w:r w:rsidR="007B5564" w:rsidRPr="00F171A3">
        <w:rPr>
          <w:rFonts w:cstheme="minorHAnsi"/>
        </w:rPr>
        <w:t xml:space="preserve"> În ceea ce privește spațiile publice liniare, acestea se regăsesc preponderent în lungul marilor artere de circulație (Șos. Colentina, Șos. Pantelimon, Șos. Iancului, Șos. Ștefan cel Mare, Șos. Mihai Bravu, etc.). Aceste artere beneficiază de trotuare generoase, peste 2 m lățime, delimitate de regulă de vegetație de aliniament și deservite de activități comerciale și alimentație publică la parterul locuințelor colective. Din acest motiv, ele sunt tranzitate foarte des de locuitori și de utilizatorii zonei pentru a accesa dotările de interes cotidian. Deși capacitatea lor este adecvată pentru fluxurile de pietoni care le tranzitează, calitatea imaginii urbane este una precară în acest caz. Pietonalele sunt degradate, calitatea estetică a funcțiunilor de la parter este precară, mobilierul urban este adesea plin de afișe lipite ilegal, nu există piste de bicicliști care să faciliteze parcurgerea lor în siguranță atât pentru pietoni, cât și pentru bicicliști, iar poluarea fonică produsă de traficul rutier transformă aceste artere în spații publice mai puțin atractive. </w:t>
      </w:r>
    </w:p>
    <w:p w14:paraId="5D59E673" w14:textId="77777777" w:rsidR="007B5564" w:rsidRPr="00F171A3" w:rsidRDefault="007B5564" w:rsidP="007B5564">
      <w:pPr>
        <w:rPr>
          <w:rFonts w:cstheme="minorHAnsi"/>
        </w:rPr>
      </w:pPr>
      <w:r w:rsidRPr="00F171A3">
        <w:rPr>
          <w:rFonts w:cstheme="minorHAnsi"/>
        </w:rPr>
        <w:t>Lipsa unor spații publice de tip liniar se regăsește mai ales în zona centrală, unde o mare parte din străzi ar avea capacitatea de a prelua acest rol, dar ele sunt în continuare blocate de autovehicule parcate pe trotuare. Această nevoie este vizibilă deja prin evenimentele anuale inițiate de ONG-uri cu sprijinul administrației publice locale, menite să promoveze pietonalizarea unor străzi din zona centrală precum str. A. Verona (Street Delivery) sau str. Mătăsari (Femei pe Mătăsari), Strada Ion Luca Caragiale (între str. J.L. Calderon și str. Icoanei) (Block Party – în cadrul proiectului cultural District 40, începând cu anul 2018) sau prin includerea temporară în anul 2021 în proiectul Străzi Deschise a străzilor din zona delimitată de Bd. Gh. Magheru – Str. George Enescu – Piața Lahovari – Bd. Dacia – Str. Aurel Vlaicu – Str. Icoanei – Str. I.L. Caragiale – Str. Maria Rosetti</w:t>
      </w:r>
      <w:r w:rsidRPr="00F171A3">
        <w:rPr>
          <w:rFonts w:cstheme="minorHAnsi"/>
          <w:vertAlign w:val="superscript"/>
        </w:rPr>
        <w:footnoteReference w:id="92"/>
      </w:r>
      <w:r w:rsidRPr="00F171A3">
        <w:rPr>
          <w:rFonts w:cstheme="minorHAnsi"/>
        </w:rPr>
        <w:t>. În anul 2022 proiectul Străzi Deschise a inclus 3 areale din Sectorul 2: Mătăsari (între str. Pache Protopopescu și Matei Voievod), Str. Jean Louis Calderon (între str. Batiștei și C.A.Rosetti), respectiv giratoriul de pe str. Maior Coravu (intrarea în Arena Națională).</w:t>
      </w:r>
    </w:p>
    <w:p w14:paraId="5CEAB30D" w14:textId="0E7B7AB6" w:rsidR="007B5564" w:rsidRPr="00F171A3" w:rsidRDefault="00FF6C80" w:rsidP="007B5564">
      <w:pPr>
        <w:rPr>
          <w:rFonts w:cstheme="minorHAnsi"/>
        </w:rPr>
      </w:pPr>
      <w:r w:rsidRPr="00F171A3">
        <w:rPr>
          <w:rFonts w:cstheme="minorHAnsi"/>
          <w:b/>
          <w:smallCaps/>
          <w:color w:val="134753"/>
        </w:rPr>
        <w:t xml:space="preserve">SPAȚII DE TIP PUNCT </w:t>
      </w:r>
      <w:r w:rsidR="007B5564" w:rsidRPr="00F171A3">
        <w:rPr>
          <w:rFonts w:cstheme="minorHAnsi"/>
          <w:b/>
          <w:smallCaps/>
          <w:color w:val="134753"/>
        </w:rPr>
        <w:t>|</w:t>
      </w:r>
      <w:r w:rsidR="007B5564" w:rsidRPr="00F171A3">
        <w:rPr>
          <w:rFonts w:cstheme="minorHAnsi"/>
        </w:rPr>
        <w:t xml:space="preserve"> Spațiile publice de tip punct reprezentate de regulă prin scuaruri, „miniparcuri” (Popa Soare/ General Nicolae Dabija, Țepeș Vodă), piațete sau locuri de joacă pentru copii se regăsesc preponderent în zona centrală sau în incintele locuințelor colective. Nevoia de spații publice de mici dimensiuni se resimte cu precădere în zonele de locuințe individuale cum ar fi Andronache, Plumbuita sau Baicului. Lipsa acestor dotări esențiale îngreunează interacțiunea socială între rezidenți. În perioada 2016-2022 administrația publică locală a implementat o serie de proiecte de amenajare a spațiilor publice aferente ansamblurilor de locuințe colective, printre acestea numărându-se proiectele de amenajare a spațiilor verzi adiacente clădirilor rezidențiale din zona Gara Obor - Obor (între bulevardul Gării Obor, Ferdinand, Baicului), zona Marcu Armașu (între Șoseaua Pantelimon și Șoseaua Vergului), Șos. Colentina, Strada Berindei, Aleea Teiul Doamnei, Strada Alexandru cel Bun, Aleea Circului și zona adiacentă, în Floreasca pe strada Bach 1A. În perioada 2016-2022 administrația publică locală a realizat o serie de parteneriate cu asociațiile de proprietari în vederea amenajării spațiilor verzi din cartiere.</w:t>
      </w:r>
    </w:p>
    <w:p w14:paraId="32E3DB6E" w14:textId="77777777" w:rsidR="007B5564" w:rsidRPr="00F171A3" w:rsidRDefault="007B5564" w:rsidP="007B5564">
      <w:pPr>
        <w:rPr>
          <w:rFonts w:cstheme="minorHAnsi"/>
        </w:rPr>
      </w:pPr>
      <w:r w:rsidRPr="00F171A3">
        <w:rPr>
          <w:rFonts w:cstheme="minorHAnsi"/>
        </w:rPr>
        <w:t xml:space="preserve">Rețeaua de spații publice nu cuprinde piețe sau zone pietonale ample care să susțină evenimente de interes pentru comunitate sau vizitatori. Există totuși zone care odată pietonalizate ar putea prelua acest rol: zona Obor, zone pieței Colentina sau segmente din zona centrală, așa cum se ilustrează în proiecte punctuale de pietonalizare temporară a unor străzi, inițiate de ONG-uri. </w:t>
      </w:r>
    </w:p>
    <w:p w14:paraId="6A65DF67" w14:textId="77777777" w:rsidR="007B5564" w:rsidRPr="00F171A3" w:rsidRDefault="007B5564" w:rsidP="007B5564">
      <w:pPr>
        <w:rPr>
          <w:rFonts w:cstheme="minorHAnsi"/>
        </w:rPr>
      </w:pPr>
      <w:r w:rsidRPr="00F171A3">
        <w:rPr>
          <w:rFonts w:cstheme="minorHAnsi"/>
        </w:rPr>
        <w:t xml:space="preserve">Un demers în vederea valorificării piețelor urbane din zona centrală îl constituie proiectul de reamenajare si modernizare a  unui număr de 6 spații publice din Sectorul 2 al municipiului București inițiat de Primăria Sectorului 2 care are în vedere reconfigurarea și modernizarea Piețelor Spaniei, Cantacuzino, Foișorul de Foc, Italiană (Stefanik M.R.), Sf. Ștefan, Popa Soare (G-ral N. Dabija), intersecției străzilor Salcâmilor și Toamnei și zona Bisericii Popa Chițu, strada Logofăt Luca Stroici. În corelare cu acest proiect, Primăria Sectorului 2 are în vedere derularea unui concurs internațional de soluții cu tema „Reamenajare, modernizare spații publice, respectiv: 1) Piața Spaniei - Str. Dumbrava Roșie - Piața Cantacuzino - Str. Jean Louis Calderon și Arthur Verona, 2)  Str. Logofăt Luca Stroici aferentă Bisericii Popa Chițu, Str. Maria Rosetti și intersecțiile aferente între Str. Vasile Lascăr și Str. Toamnei, 3) Intersecție Str. Salcâmilor cu Str. Toamnei, 4) Foișorul de Foc, 5) Str. Sfântu Ștefan, respectiv Popa Soare (Piața G-ral N. Dabija) și Piața Sf. Ștefan, 6) Piața Italiană (Piața M. R. Stefanik) și racord cu străzile adiacente”. </w:t>
      </w:r>
    </w:p>
    <w:p w14:paraId="61386774" w14:textId="77777777" w:rsidR="007B5564" w:rsidRPr="00F171A3" w:rsidRDefault="007B5564" w:rsidP="007B5564">
      <w:pPr>
        <w:rPr>
          <w:rFonts w:cstheme="minorHAnsi"/>
          <w:i/>
        </w:rPr>
      </w:pPr>
      <w:r w:rsidRPr="00F171A3">
        <w:rPr>
          <w:rFonts w:cstheme="minorHAnsi"/>
        </w:rPr>
        <w:t xml:space="preserve">În vederea extinderii suprafețelor de spații publice, accesibile comunităților locale, pot fi implementate variante alternative de valorificare și activare a unor spații cu potențial de utilizare pe parcursul întregii zile. Astfel, utilizarea curților școlilor pentru diverse activități sportive și de recreere în afara programului școlar poate deveni o soluție viabilă pentru Sectorul 2. Aceste spații pot revitaliza viața urbană a comunităților locale, mai ales acolo unde spațiul existent nu permite intervenții sau extinderi mai ample în acest scop. </w:t>
      </w:r>
    </w:p>
    <w:p w14:paraId="4BE5C2B4" w14:textId="608DE0E0" w:rsidR="007B5564" w:rsidRPr="00F171A3" w:rsidRDefault="00FF6C80" w:rsidP="00FF6C80">
      <w:pPr>
        <w:pStyle w:val="Caption"/>
        <w:rPr>
          <w:b w:val="0"/>
        </w:rPr>
      </w:pPr>
      <w:bookmarkStart w:id="184" w:name="_heading=h.3jtnz0s" w:colFirst="0" w:colLast="0"/>
      <w:bookmarkStart w:id="185" w:name="_Toc127198045"/>
      <w:bookmarkEnd w:id="184"/>
      <w:r w:rsidRPr="00F171A3">
        <w:t xml:space="preserve">Figura </w:t>
      </w:r>
      <w:r w:rsidRPr="00F171A3">
        <w:fldChar w:fldCharType="begin"/>
      </w:r>
      <w:r w:rsidRPr="00F171A3">
        <w:instrText xml:space="preserve"> SEQ Figura \* ARABIC </w:instrText>
      </w:r>
      <w:r w:rsidRPr="00F171A3">
        <w:fldChar w:fldCharType="separate"/>
      </w:r>
      <w:r w:rsidR="005A6DD8">
        <w:rPr>
          <w:noProof/>
        </w:rPr>
        <w:t>57</w:t>
      </w:r>
      <w:r w:rsidRPr="00F171A3">
        <w:fldChar w:fldCharType="end"/>
      </w:r>
      <w:r w:rsidRPr="00F171A3">
        <w:t xml:space="preserve"> </w:t>
      </w:r>
      <w:r w:rsidR="007B5564" w:rsidRPr="00F171A3">
        <w:t>Spațiile aferente unităților de învățământ preuniversitar din Sectorul 2 care pot fi utilizate ca spații cu acces public în afara programului școlar, 2020</w:t>
      </w:r>
      <w:bookmarkEnd w:id="185"/>
    </w:p>
    <w:p w14:paraId="486B4D01" w14:textId="77777777" w:rsidR="007B5564" w:rsidRPr="00F171A3" w:rsidRDefault="007B5564" w:rsidP="00FF6C80">
      <w:pPr>
        <w:rPr>
          <w:rFonts w:cstheme="minorHAnsi"/>
          <w:i/>
        </w:rPr>
      </w:pPr>
      <w:r w:rsidRPr="00F171A3">
        <w:rPr>
          <w:rFonts w:cstheme="minorHAnsi"/>
          <w:noProof/>
        </w:rPr>
        <w:drawing>
          <wp:inline distT="0" distB="0" distL="0" distR="0" wp14:anchorId="072E2553" wp14:editId="105AA3C4">
            <wp:extent cx="3919080" cy="3305692"/>
            <wp:effectExtent l="0" t="0" r="0" b="0"/>
            <wp:docPr id="25745" name="image6.jpg" descr="A4_scoli.jpg"/>
            <wp:cNvGraphicFramePr/>
            <a:graphic xmlns:a="http://schemas.openxmlformats.org/drawingml/2006/main">
              <a:graphicData uri="http://schemas.openxmlformats.org/drawingml/2006/picture">
                <pic:pic xmlns:pic="http://schemas.openxmlformats.org/drawingml/2006/picture">
                  <pic:nvPicPr>
                    <pic:cNvPr id="0" name="image6.jpg" descr="A4_scoli.jpg"/>
                    <pic:cNvPicPr preferRelativeResize="0"/>
                  </pic:nvPicPr>
                  <pic:blipFill>
                    <a:blip r:embed="rId101"/>
                    <a:srcRect l="51538" t="27520" r="15166" b="44396"/>
                    <a:stretch>
                      <a:fillRect/>
                    </a:stretch>
                  </pic:blipFill>
                  <pic:spPr>
                    <a:xfrm>
                      <a:off x="0" y="0"/>
                      <a:ext cx="3919080" cy="3305692"/>
                    </a:xfrm>
                    <a:prstGeom prst="rect">
                      <a:avLst/>
                    </a:prstGeom>
                    <a:ln/>
                  </pic:spPr>
                </pic:pic>
              </a:graphicData>
            </a:graphic>
          </wp:inline>
        </w:drawing>
      </w:r>
      <w:r w:rsidRPr="00F171A3">
        <w:rPr>
          <w:rFonts w:cstheme="minorHAnsi"/>
          <w:noProof/>
        </w:rPr>
        <w:drawing>
          <wp:inline distT="0" distB="0" distL="0" distR="0" wp14:anchorId="00495C0A" wp14:editId="195CAA33">
            <wp:extent cx="2072876" cy="518219"/>
            <wp:effectExtent l="0" t="0" r="0" b="0"/>
            <wp:docPr id="25746" name="image6.jpg" descr="A4_scoli.jpg"/>
            <wp:cNvGraphicFramePr/>
            <a:graphic xmlns:a="http://schemas.openxmlformats.org/drawingml/2006/main">
              <a:graphicData uri="http://schemas.openxmlformats.org/drawingml/2006/picture">
                <pic:pic xmlns:pic="http://schemas.openxmlformats.org/drawingml/2006/picture">
                  <pic:nvPicPr>
                    <pic:cNvPr id="0" name="image6.jpg" descr="A4_scoli.jpg"/>
                    <pic:cNvPicPr preferRelativeResize="0"/>
                  </pic:nvPicPr>
                  <pic:blipFill>
                    <a:blip r:embed="rId101"/>
                    <a:srcRect l="11149" t="82983" r="52157" b="7843"/>
                    <a:stretch>
                      <a:fillRect/>
                    </a:stretch>
                  </pic:blipFill>
                  <pic:spPr>
                    <a:xfrm>
                      <a:off x="0" y="0"/>
                      <a:ext cx="2072876" cy="518219"/>
                    </a:xfrm>
                    <a:prstGeom prst="rect">
                      <a:avLst/>
                    </a:prstGeom>
                    <a:ln/>
                  </pic:spPr>
                </pic:pic>
              </a:graphicData>
            </a:graphic>
          </wp:inline>
        </w:drawing>
      </w:r>
    </w:p>
    <w:p w14:paraId="5776027E" w14:textId="77777777" w:rsidR="007B5564" w:rsidRPr="00F171A3" w:rsidRDefault="007B5564" w:rsidP="00FF6C80">
      <w:pPr>
        <w:jc w:val="right"/>
        <w:rPr>
          <w:color w:val="BFBFBF" w:themeColor="background1" w:themeShade="BF"/>
        </w:rPr>
      </w:pPr>
      <w:r w:rsidRPr="00F171A3">
        <w:rPr>
          <w:color w:val="BFBFBF" w:themeColor="background1" w:themeShade="BF"/>
        </w:rPr>
        <w:t>Sursa: SIDU Municipiul București</w:t>
      </w:r>
    </w:p>
    <w:p w14:paraId="654A8186" w14:textId="2D94EEA7" w:rsidR="007B5564" w:rsidRPr="00F171A3" w:rsidRDefault="00983F17" w:rsidP="007B5564">
      <w:pPr>
        <w:pBdr>
          <w:top w:val="nil"/>
          <w:left w:val="nil"/>
          <w:bottom w:val="nil"/>
          <w:right w:val="nil"/>
          <w:between w:val="nil"/>
        </w:pBdr>
        <w:rPr>
          <w:rFonts w:cstheme="minorHAnsi"/>
          <w:color w:val="000000"/>
        </w:rPr>
      </w:pPr>
      <w:r w:rsidRPr="00F171A3">
        <w:rPr>
          <w:rFonts w:cstheme="minorHAnsi"/>
          <w:b/>
          <w:smallCaps/>
          <w:color w:val="134753"/>
        </w:rPr>
        <w:t xml:space="preserve">STAREA SPAȚIILOR PUBLICE </w:t>
      </w:r>
      <w:r w:rsidR="007B5564" w:rsidRPr="00F171A3">
        <w:rPr>
          <w:rFonts w:cstheme="minorHAnsi"/>
          <w:b/>
          <w:smallCaps/>
          <w:color w:val="134753"/>
        </w:rPr>
        <w:t>|</w:t>
      </w:r>
      <w:r w:rsidR="007B5564" w:rsidRPr="00F171A3">
        <w:rPr>
          <w:rFonts w:cstheme="minorHAnsi"/>
          <w:color w:val="000000"/>
        </w:rPr>
        <w:t xml:space="preserve"> Dacă parcurile se află în cea mai mare parte într-o stare bună, există în continuare un număr ridicat de spații publice de mici dimensiuni abandonate</w:t>
      </w:r>
      <w:r w:rsidR="007B5564" w:rsidRPr="00F171A3">
        <w:rPr>
          <w:rFonts w:cstheme="minorHAnsi"/>
          <w:color w:val="000000"/>
          <w:vertAlign w:val="superscript"/>
        </w:rPr>
        <w:footnoteReference w:id="93"/>
      </w:r>
      <w:r w:rsidR="007B5564" w:rsidRPr="00F171A3">
        <w:rPr>
          <w:rFonts w:cstheme="minorHAnsi"/>
          <w:color w:val="000000"/>
        </w:rPr>
        <w:t xml:space="preserve"> (preponderent în zona centrală). Revitalizarea acestor spații se poate face în parteneriat public-privat prin implicarea societății civile, a grupurilor de acțiune civică, cu costuri reduse, dar cu un impact important în ceea ce privește posibilitatea lansării unui proces de regenerare, mai ales în zona centrală. Este de menționat faptul că la nivelul anului 2020, în cadrul SIDU București, pe teritoriul Sectorului 2 a fost identificat un spațiu abandonat de mari dimensiuni (peste 4.000 mp), cu o populație deservită la o distanță de 10 minute cuprinsă între 7.200 și 12.000 de locuitori, amplasat în lungul Str. Doamna Ghica, în vecinătatea Parcurilor Lunca Florilor și Râul Colentina, care, prin intervenții minimale de amenajare poate fi inclus în rețeaua de spații verzi a Sectorului 2.</w:t>
      </w:r>
    </w:p>
    <w:p w14:paraId="7657E524" w14:textId="77777777" w:rsidR="007B5564" w:rsidRPr="00F171A3" w:rsidRDefault="007B5564" w:rsidP="007B5564">
      <w:pPr>
        <w:rPr>
          <w:rFonts w:cstheme="minorHAnsi"/>
        </w:rPr>
      </w:pPr>
      <w:r w:rsidRPr="00F171A3">
        <w:rPr>
          <w:rFonts w:cstheme="minorHAnsi"/>
        </w:rPr>
        <w:t xml:space="preserve">Situația actuală a spațiilor publice din Sectorul 2 impune necesitatea gândirii unor politici de revitalizare sau de creare a unor noi spații dedicate petrecerii timpului liber, care să corespundă mai multor categorii de vârstă și care să încurajeze interacțiuni între mai multe generații. De asemenea, o atenție deosebită ar trebui acordată procesului de proiectare al acestor spații, de la faza de proiect până la faza de implementare, unde detaliile joacă un rol esențial în crearea unui spațiu de calitate. </w:t>
      </w:r>
    </w:p>
    <w:p w14:paraId="24FE92C3" w14:textId="77777777" w:rsidR="007B5564" w:rsidRPr="00F171A3" w:rsidRDefault="007B5564" w:rsidP="007B5564">
      <w:pPr>
        <w:rPr>
          <w:rFonts w:cstheme="minorHAnsi"/>
        </w:rPr>
      </w:pPr>
      <w:r w:rsidRPr="00F171A3">
        <w:rPr>
          <w:rFonts w:cstheme="minorHAnsi"/>
        </w:rPr>
        <w:t xml:space="preserve">O posibilitate de dezvoltare a rețelei de spații verzi din Sectorul 2 este amenajarea de terase verzi în cadrul locuințelor colective facilitând accesul locuitorilor din zonele slab deservite de rețeaua de spații publice la dotări destinate petrecerii timpului liber, intenție deja manifestată de administrația publică locală. </w:t>
      </w:r>
    </w:p>
    <w:p w14:paraId="5550FFE8" w14:textId="5ACA0358" w:rsidR="007B5564" w:rsidRPr="00F171A3" w:rsidRDefault="00983F17" w:rsidP="007B5564">
      <w:pPr>
        <w:pBdr>
          <w:top w:val="nil"/>
          <w:left w:val="nil"/>
          <w:bottom w:val="nil"/>
          <w:right w:val="nil"/>
          <w:between w:val="nil"/>
        </w:pBdr>
        <w:rPr>
          <w:rFonts w:cstheme="minorHAnsi"/>
          <w:color w:val="000000"/>
        </w:rPr>
      </w:pPr>
      <w:r w:rsidRPr="00F171A3">
        <w:rPr>
          <w:rFonts w:cstheme="minorHAnsi"/>
          <w:b/>
          <w:smallCaps/>
          <w:color w:val="134753"/>
        </w:rPr>
        <w:t xml:space="preserve">OPERAȚIUNI DE REVITALIZARE ȘI EXTINDERE A SPAȚIILOR PUBLICE </w:t>
      </w:r>
      <w:r w:rsidR="007B5564" w:rsidRPr="00F171A3">
        <w:rPr>
          <w:rFonts w:cstheme="minorHAnsi"/>
          <w:b/>
          <w:smallCaps/>
          <w:color w:val="134753"/>
        </w:rPr>
        <w:t>|</w:t>
      </w:r>
      <w:r w:rsidR="007B5564" w:rsidRPr="00F171A3">
        <w:rPr>
          <w:rFonts w:cstheme="minorHAnsi"/>
          <w:color w:val="000000"/>
        </w:rPr>
        <w:t xml:space="preserve"> În perioada 2016-2022 la nivelul Sectorului 2 s-au înregistrat ample operațiuni de reamenajare și de modernizare a infrastructurii de spații verzi, atât în zonele rezidențiale, cât și în zona centrală: reabilitarea Parcul Sticlăriei - parc ecologic, Parc de agrement Tei-Plumbuita (</w:t>
      </w:r>
      <w:r w:rsidR="007B5564" w:rsidRPr="00F171A3">
        <w:t>SMIS 18397, proiect finalizat în 2016),</w:t>
      </w:r>
      <w:r w:rsidR="007B5564" w:rsidRPr="00F171A3">
        <w:rPr>
          <w:rFonts w:cstheme="minorHAnsi"/>
          <w:color w:val="000000"/>
        </w:rPr>
        <w:t xml:space="preserve"> reamenajarea Parcului Grădina Icoanei, Parcului Sfântul Pantelimon, Parcului Morarilor, Parcului Fabrica de Gheață (proiecte finalizate) și reabilitarea Parcului Național (proiect aflat în curs de implementare). </w:t>
      </w:r>
    </w:p>
    <w:p w14:paraId="1F76428C" w14:textId="77777777" w:rsidR="007B5564" w:rsidRPr="00F171A3" w:rsidRDefault="007B5564" w:rsidP="007B5564">
      <w:pPr>
        <w:pBdr>
          <w:top w:val="nil"/>
          <w:left w:val="nil"/>
          <w:bottom w:val="nil"/>
          <w:right w:val="nil"/>
          <w:between w:val="nil"/>
        </w:pBdr>
        <w:rPr>
          <w:rFonts w:cstheme="minorHAnsi"/>
          <w:color w:val="000000"/>
        </w:rPr>
      </w:pPr>
      <w:r w:rsidRPr="00F171A3">
        <w:rPr>
          <w:rFonts w:cstheme="minorHAnsi"/>
          <w:color w:val="000000"/>
        </w:rPr>
        <w:t xml:space="preserve">În ceea ce privește revitalizarea spațiilor publice, Primăria Sectorului 2 a demarat, în parteneriat cu OAR (alături de Universitatea de Arhitectură și Urbanism „Ion Mincu”, Asociația Peisagiștilor, Universitatea de Științe Agronomice și Medicină Veterinară – Departamentul Peisagistică al Facultății de Horticultură, Școala Națională de Studii Politice și Administrative si cu echipe din AMAIS, StudioBASAR, Baza-Deschidem orașul) un proiect pilot de tip workshop-uri (ateliere de lucru interdisciplinare) pentru generarea unor modele de amenajare a spațiilor publice prin analizarea și propunerea de revitalizare a 4 situri din Sectorul 2, atingând 12 paliere/componentele principale: spații pietonale, spații verzi, sisteme de drenaj ale apelor pluviale, mobilier urban, spații de joacă, iluminat artificial, signaletică, publicitate urbană, parcări, accesibilitate (spațiu public incluziv), tipuri de intervenții în spațiul public și concursurile de soluții. Cele 4 situri pilot reprezintă problematici și tipologii urbane diferite, necesitând soluții specifice de amenajare și regenerare a spațiului urban: </w:t>
      </w:r>
    </w:p>
    <w:p w14:paraId="16E3B17B" w14:textId="77777777" w:rsidR="007B5564" w:rsidRPr="00F171A3" w:rsidRDefault="007B5564">
      <w:pPr>
        <w:numPr>
          <w:ilvl w:val="0"/>
          <w:numId w:val="78"/>
        </w:numPr>
        <w:pBdr>
          <w:top w:val="nil"/>
          <w:left w:val="nil"/>
          <w:bottom w:val="nil"/>
          <w:right w:val="nil"/>
          <w:between w:val="nil"/>
        </w:pBdr>
        <w:spacing w:after="60"/>
        <w:rPr>
          <w:rFonts w:cstheme="minorHAnsi"/>
          <w:color w:val="134753"/>
        </w:rPr>
      </w:pPr>
      <w:r w:rsidRPr="00F171A3">
        <w:rPr>
          <w:rFonts w:cstheme="minorHAnsi"/>
          <w:color w:val="134753"/>
        </w:rPr>
        <w:t>Zona Colentina – Mașina de Pâine, ansamblu de locuințe colective,  cu o densitate mare de locuitori și mașini. În acest areal spațiile publice trebuie să includă spații verzi, alei, mobilier urban, spații de relaxare și trebuie să aibă în vedere modul de relaționare cu Biserica Sf. Dumitru;</w:t>
      </w:r>
    </w:p>
    <w:p w14:paraId="381C6D23" w14:textId="77777777" w:rsidR="007B5564" w:rsidRPr="00F171A3" w:rsidRDefault="007B5564">
      <w:pPr>
        <w:numPr>
          <w:ilvl w:val="0"/>
          <w:numId w:val="78"/>
        </w:numPr>
        <w:pBdr>
          <w:top w:val="nil"/>
          <w:left w:val="nil"/>
          <w:bottom w:val="nil"/>
          <w:right w:val="nil"/>
          <w:between w:val="nil"/>
        </w:pBdr>
        <w:spacing w:after="60"/>
        <w:rPr>
          <w:rFonts w:cstheme="minorHAnsi"/>
          <w:color w:val="134753"/>
        </w:rPr>
      </w:pPr>
      <w:r w:rsidRPr="00F171A3">
        <w:rPr>
          <w:rFonts w:cstheme="minorHAnsi"/>
          <w:color w:val="134753"/>
        </w:rPr>
        <w:t>Zona Obor (Aleea Avrig – Strada Chiristigiilor) – zonă intens tranzitată, zonă mixtă care include locuințe pe lot și ansambluri de locuințe colective, cu străzi înguste; zonă în care este necesară crearea unei relații între zonele rezidențiale și Parcul Bucur-Obor;</w:t>
      </w:r>
    </w:p>
    <w:p w14:paraId="3593AD0F" w14:textId="77777777" w:rsidR="007B5564" w:rsidRPr="00F171A3" w:rsidRDefault="007B5564">
      <w:pPr>
        <w:numPr>
          <w:ilvl w:val="0"/>
          <w:numId w:val="78"/>
        </w:numPr>
        <w:pBdr>
          <w:top w:val="nil"/>
          <w:left w:val="nil"/>
          <w:bottom w:val="nil"/>
          <w:right w:val="nil"/>
          <w:between w:val="nil"/>
        </w:pBdr>
        <w:spacing w:after="60"/>
        <w:rPr>
          <w:rFonts w:cstheme="minorHAnsi"/>
          <w:color w:val="134753"/>
        </w:rPr>
      </w:pPr>
      <w:r w:rsidRPr="00F171A3">
        <w:rPr>
          <w:rFonts w:cstheme="minorHAnsi"/>
          <w:color w:val="134753"/>
        </w:rPr>
        <w:t>Zona Delfinului (str. Renului) - zonă cu locuințe colective unde este necesară revitalizarea spațiului verde și a spațiului public și reconfigurarea parcării;</w:t>
      </w:r>
    </w:p>
    <w:p w14:paraId="7D62EE04" w14:textId="77777777" w:rsidR="007B5564" w:rsidRPr="00F171A3" w:rsidRDefault="007B5564">
      <w:pPr>
        <w:numPr>
          <w:ilvl w:val="0"/>
          <w:numId w:val="78"/>
        </w:numPr>
        <w:pBdr>
          <w:top w:val="nil"/>
          <w:left w:val="nil"/>
          <w:bottom w:val="nil"/>
          <w:right w:val="nil"/>
          <w:between w:val="nil"/>
        </w:pBdr>
        <w:spacing w:after="60"/>
        <w:rPr>
          <w:rFonts w:cstheme="minorHAnsi"/>
          <w:color w:val="134753"/>
        </w:rPr>
      </w:pPr>
      <w:r w:rsidRPr="00F171A3">
        <w:rPr>
          <w:rFonts w:cstheme="minorHAnsi"/>
          <w:color w:val="134753"/>
        </w:rPr>
        <w:t xml:space="preserve">Zona Grădina Ioanid (intrarea Ion Voicu). </w:t>
      </w:r>
    </w:p>
    <w:p w14:paraId="5751F9ED" w14:textId="77777777" w:rsidR="007B5564" w:rsidRPr="00F171A3" w:rsidRDefault="007B5564" w:rsidP="007B5564">
      <w:pPr>
        <w:pBdr>
          <w:top w:val="nil"/>
          <w:left w:val="nil"/>
          <w:bottom w:val="nil"/>
          <w:right w:val="nil"/>
          <w:between w:val="nil"/>
        </w:pBdr>
        <w:rPr>
          <w:rFonts w:cstheme="minorHAnsi"/>
          <w:color w:val="000000"/>
        </w:rPr>
      </w:pPr>
      <w:r w:rsidRPr="00F171A3">
        <w:rPr>
          <w:rFonts w:cstheme="minorHAnsi"/>
          <w:color w:val="000000"/>
        </w:rPr>
        <w:t>La nivelul Sectorului 2 au fost demarate operațiuni de dezvoltare urbană integrată și de regenerare urbană a spațiilor publice sau de creare a unui cadru operațional pentru implementarea proiectelor de regenerare urbană a spațiilor publice și a fondului construit din Sectorul 2, realizate în parteneriat cu Banca Mondială:</w:t>
      </w:r>
    </w:p>
    <w:p w14:paraId="7EEDD747" w14:textId="77777777" w:rsidR="007B5564" w:rsidRPr="00F171A3" w:rsidRDefault="007B5564">
      <w:pPr>
        <w:numPr>
          <w:ilvl w:val="0"/>
          <w:numId w:val="79"/>
        </w:numPr>
        <w:pBdr>
          <w:top w:val="nil"/>
          <w:left w:val="nil"/>
          <w:bottom w:val="nil"/>
          <w:right w:val="nil"/>
          <w:between w:val="nil"/>
        </w:pBdr>
        <w:spacing w:after="60"/>
        <w:rPr>
          <w:rFonts w:cstheme="minorHAnsi"/>
        </w:rPr>
      </w:pPr>
      <w:r w:rsidRPr="00F171A3">
        <w:rPr>
          <w:rFonts w:cstheme="minorHAnsi"/>
          <w:color w:val="134753"/>
        </w:rPr>
        <w:t>Activare și Planificare pentru Eficiență Locală (APEL) Colentina – Tei - Ghid de regenerare urbană prin tehnici de urbanism participativ și proiect de conștientizare &amp; management al riscului seismic pentru zona Colentina - Tei din București. Proiectul vizează zona Șoseaua Colentina, Str. Doamna Ghica, Bulevardul Lacul Tei, Str. Maica Domnului și Str. Reînvierii, zonă cu o densitate ridicată a populației și a fondului construit, cu trafic auto intens. Ghidul propune soluții referitoare la revitalizarea și sistematizarea spațiilor verzi aferente ansamblurilor de locuințe colective, amenajarea de parcuri de proximitate, o grădină comunitară pe str. Oteșani, eficientizarea infrastructurii pietonale, amenajarea de piste de biciclete, modernizarea mobilierului urban, amenajarea locurilor de parcare, reconfigurări punctuale de străzi, reconfigurarea  intersecției dintre bulevardul Teiul Doamnei și str. Mașina de Pâine dar și măsuri pre și post cutremur</w:t>
      </w:r>
      <w:r w:rsidRPr="00F171A3">
        <w:rPr>
          <w:rStyle w:val="FootnoteReference"/>
          <w:rFonts w:cstheme="minorHAnsi"/>
          <w:color w:val="134753"/>
        </w:rPr>
        <w:footnoteReference w:id="94"/>
      </w:r>
      <w:r w:rsidRPr="00F171A3">
        <w:rPr>
          <w:rFonts w:cstheme="minorHAnsi"/>
          <w:color w:val="134753"/>
        </w:rPr>
        <w:t xml:space="preserve">; </w:t>
      </w:r>
    </w:p>
    <w:p w14:paraId="0568CB5D" w14:textId="77777777" w:rsidR="007B5564" w:rsidRPr="00F171A3" w:rsidRDefault="007B5564" w:rsidP="007B5564">
      <w:pPr>
        <w:pStyle w:val="Caption"/>
      </w:pPr>
      <w:r w:rsidRPr="00F171A3">
        <w:t xml:space="preserve">Figura 75 Propunere regenerare urbană a zonei </w:t>
      </w:r>
      <w:r w:rsidRPr="00F171A3">
        <w:rPr>
          <w:rFonts w:cstheme="minorHAnsi"/>
          <w:color w:val="134753"/>
        </w:rPr>
        <w:t>Colentina - Tei</w:t>
      </w:r>
      <w:r w:rsidRPr="00F171A3">
        <w:t>, 2022</w:t>
      </w:r>
    </w:p>
    <w:p w14:paraId="204E58F9" w14:textId="77777777" w:rsidR="007B5564" w:rsidRPr="00F171A3" w:rsidRDefault="007B5564" w:rsidP="007B5564">
      <w:pPr>
        <w:pBdr>
          <w:top w:val="nil"/>
          <w:left w:val="nil"/>
          <w:bottom w:val="nil"/>
          <w:right w:val="nil"/>
          <w:between w:val="nil"/>
        </w:pBdr>
        <w:spacing w:after="60"/>
        <w:rPr>
          <w:rFonts w:cstheme="minorHAnsi"/>
        </w:rPr>
      </w:pPr>
    </w:p>
    <w:p w14:paraId="78B8060C" w14:textId="77777777" w:rsidR="007B5564" w:rsidRPr="00F171A3" w:rsidRDefault="007B5564" w:rsidP="007B5564">
      <w:pPr>
        <w:pStyle w:val="Normal0"/>
      </w:pPr>
      <w:r w:rsidRPr="00F171A3">
        <w:rPr>
          <w:noProof/>
        </w:rPr>
        <w:drawing>
          <wp:inline distT="0" distB="0" distL="0" distR="0" wp14:anchorId="12FA33B5" wp14:editId="239E6C0C">
            <wp:extent cx="2477540" cy="2423160"/>
            <wp:effectExtent l="0" t="0" r="0" b="0"/>
            <wp:docPr id="25847" name="Picture 25847" descr="May be an image of text that says 'Spații publice și verzi MMRHI F 福風 MTR S Spații plantate Spații publice revitalizate Locuri de joacă Coridor verde Barieră de vegetație Plantație de aliniament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text that says 'Spații publice și verzi MMRHI F 福風 MTR S Spații plantate Spații publice revitalizate Locuri de joacă Coridor verde Barieră de vegetație Plantație de aliniament 80'"/>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566" t="4127" r="5383" b="3043"/>
                    <a:stretch/>
                  </pic:blipFill>
                  <pic:spPr bwMode="auto">
                    <a:xfrm>
                      <a:off x="0" y="0"/>
                      <a:ext cx="2477540" cy="2423160"/>
                    </a:xfrm>
                    <a:prstGeom prst="rect">
                      <a:avLst/>
                    </a:prstGeom>
                    <a:noFill/>
                    <a:ln>
                      <a:noFill/>
                    </a:ln>
                    <a:extLst>
                      <a:ext uri="{53640926-AAD7-44D8-BBD7-CCE9431645EC}">
                        <a14:shadowObscured xmlns:a14="http://schemas.microsoft.com/office/drawing/2010/main"/>
                      </a:ext>
                    </a:extLst>
                  </pic:spPr>
                </pic:pic>
              </a:graphicData>
            </a:graphic>
          </wp:inline>
        </w:drawing>
      </w:r>
      <w:r w:rsidRPr="00F171A3">
        <w:t xml:space="preserve"> </w:t>
      </w:r>
      <w:r w:rsidRPr="00F171A3">
        <w:rPr>
          <w:noProof/>
        </w:rPr>
        <w:drawing>
          <wp:inline distT="0" distB="0" distL="0" distR="0" wp14:anchorId="0FA3C45D" wp14:editId="18B0CBBA">
            <wp:extent cx="3431302" cy="2423160"/>
            <wp:effectExtent l="0" t="0" r="0" b="0"/>
            <wp:docPr id="25848" name="Picture 25848" descr="May be an image of map and text that says 'W008 4 analiză spații verzi parcul spaÈii verzi semipublice spații verzi tip condominiu scuaruri spații verzi de aliniament locuri de joacă terenuri de sport 厂 Circului parcul 200m cimitir rază de deservire parculPlumbuita Pumbut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map and text that says 'W008 4 analiză spații verzi parcul spaÈii verzi semipublice spații verzi tip condominiu scuaruri spații verzi de aliniament locuri de joacă terenuri de sport 厂 Circului parcul 200m cimitir rază de deservire parculPlumbuita Pumbute_'"/>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5265" t="7239" r="8635" b="13156"/>
                    <a:stretch/>
                  </pic:blipFill>
                  <pic:spPr bwMode="auto">
                    <a:xfrm>
                      <a:off x="0" y="0"/>
                      <a:ext cx="3431302" cy="2423160"/>
                    </a:xfrm>
                    <a:prstGeom prst="rect">
                      <a:avLst/>
                    </a:prstGeom>
                    <a:noFill/>
                    <a:ln>
                      <a:noFill/>
                    </a:ln>
                    <a:extLst>
                      <a:ext uri="{53640926-AAD7-44D8-BBD7-CCE9431645EC}">
                        <a14:shadowObscured xmlns:a14="http://schemas.microsoft.com/office/drawing/2010/main"/>
                      </a:ext>
                    </a:extLst>
                  </pic:spPr>
                </pic:pic>
              </a:graphicData>
            </a:graphic>
          </wp:inline>
        </w:drawing>
      </w:r>
      <w:r w:rsidRPr="00F171A3">
        <w:t xml:space="preserve"> </w:t>
      </w:r>
    </w:p>
    <w:p w14:paraId="46CCE009" w14:textId="77777777" w:rsidR="007B5564" w:rsidRPr="00F171A3" w:rsidRDefault="007B5564" w:rsidP="00FF6C80">
      <w:pPr>
        <w:jc w:val="right"/>
        <w:rPr>
          <w:color w:val="BFBFBF" w:themeColor="background1" w:themeShade="BF"/>
        </w:rPr>
      </w:pPr>
      <w:r w:rsidRPr="00F171A3">
        <w:rPr>
          <w:color w:val="BFBFBF" w:themeColor="background1" w:themeShade="BF"/>
        </w:rPr>
        <w:t>Sursa: Pagina de Facebook Primăria Sectorului 2 București</w:t>
      </w:r>
    </w:p>
    <w:p w14:paraId="3CBBA5D7" w14:textId="77777777" w:rsidR="007B5564" w:rsidRPr="00F171A3" w:rsidRDefault="007B5564" w:rsidP="007B5564">
      <w:pPr>
        <w:spacing w:after="0"/>
        <w:jc w:val="left"/>
        <w:rPr>
          <w:rFonts w:ascii="inherit" w:eastAsia="Times New Roman" w:hAnsi="inherit" w:cs="Segoe UI Historic"/>
          <w:color w:val="E4E6EB"/>
          <w:sz w:val="21"/>
          <w:szCs w:val="21"/>
        </w:rPr>
      </w:pPr>
      <w:r w:rsidRPr="00F171A3">
        <w:rPr>
          <w:rFonts w:ascii="inherit" w:eastAsia="Times New Roman" w:hAnsi="inherit" w:cs="Segoe UI Historic"/>
          <w:color w:val="E4E6EB"/>
          <w:sz w:val="21"/>
          <w:szCs w:val="21"/>
        </w:rPr>
        <w:t xml:space="preserve">  </w:t>
      </w:r>
    </w:p>
    <w:p w14:paraId="05D60A84" w14:textId="77777777" w:rsidR="007B5564" w:rsidRPr="00F171A3" w:rsidRDefault="007B5564">
      <w:pPr>
        <w:numPr>
          <w:ilvl w:val="0"/>
          <w:numId w:val="80"/>
        </w:numPr>
        <w:pBdr>
          <w:top w:val="nil"/>
          <w:left w:val="nil"/>
          <w:bottom w:val="nil"/>
          <w:right w:val="nil"/>
          <w:between w:val="nil"/>
        </w:pBdr>
        <w:spacing w:after="60"/>
        <w:rPr>
          <w:rFonts w:cstheme="minorHAnsi"/>
        </w:rPr>
      </w:pPr>
      <w:r w:rsidRPr="00F171A3">
        <w:rPr>
          <w:rFonts w:cstheme="minorHAnsi"/>
          <w:color w:val="134753"/>
        </w:rPr>
        <w:t xml:space="preserve">Proiect </w:t>
      </w:r>
      <w:bookmarkStart w:id="186" w:name="_Hlk113054912"/>
      <w:r w:rsidRPr="00F171A3">
        <w:rPr>
          <w:rFonts w:cstheme="minorHAnsi"/>
          <w:color w:val="134753"/>
        </w:rPr>
        <w:t>de regenerare urbană a zonei istorice a Sectorului 2 (Calea Moșilor - Str. Mântuleasa)</w:t>
      </w:r>
      <w:bookmarkEnd w:id="186"/>
      <w:r w:rsidRPr="00F171A3">
        <w:rPr>
          <w:rFonts w:cstheme="minorHAnsi"/>
          <w:color w:val="134753"/>
        </w:rPr>
        <w:t>. Proiectul vizează zona cuprinsă între bulevardul Carol, str. Hristo Botev, Calea Călărașilor și str. Sfântul Ștefan și are în vedere creșterea suprafeței de spații verzi (suprafață totală de spații verzi propusă: 11313 mp), creșterea numărului de arbori din spațiul public (de la 293 la 1228 de arbori), amenajarea de locuri de joacă (suprafață de 944 mp), extinderea suprafețelor pietonale (suprafață totală de 62918 mp), amenajarea de piste de biciclete (1935 m) și reconfigurări de străzi</w:t>
      </w:r>
      <w:r w:rsidRPr="00F171A3">
        <w:rPr>
          <w:rStyle w:val="FootnoteReference"/>
          <w:rFonts w:cstheme="minorHAnsi"/>
          <w:color w:val="134753"/>
        </w:rPr>
        <w:footnoteReference w:id="95"/>
      </w:r>
      <w:r w:rsidRPr="00F171A3">
        <w:rPr>
          <w:rFonts w:cstheme="minorHAnsi"/>
          <w:color w:val="134753"/>
        </w:rPr>
        <w:t xml:space="preserve">. </w:t>
      </w:r>
    </w:p>
    <w:p w14:paraId="7F5E2285" w14:textId="77777777" w:rsidR="007B5564" w:rsidRPr="00F171A3" w:rsidRDefault="007B5564" w:rsidP="007B5564">
      <w:pPr>
        <w:pStyle w:val="Caption"/>
      </w:pPr>
      <w:r w:rsidRPr="00F171A3">
        <w:t>Figura 75 Propunere regenerare urbană a zonei istorice a Sectorului 2 (Calea Moșilor - Str. Mântuleasa), 2022</w:t>
      </w:r>
    </w:p>
    <w:p w14:paraId="595F4DD6" w14:textId="77777777" w:rsidR="007B5564" w:rsidRPr="00F171A3" w:rsidRDefault="007B5564" w:rsidP="007B5564">
      <w:pPr>
        <w:pBdr>
          <w:top w:val="nil"/>
          <w:left w:val="nil"/>
          <w:bottom w:val="nil"/>
          <w:right w:val="nil"/>
          <w:between w:val="nil"/>
        </w:pBdr>
        <w:spacing w:after="60"/>
        <w:rPr>
          <w:rFonts w:cstheme="minorHAnsi"/>
        </w:rPr>
      </w:pPr>
      <w:r w:rsidRPr="00F171A3">
        <w:rPr>
          <w:noProof/>
        </w:rPr>
        <w:drawing>
          <wp:inline distT="0" distB="0" distL="0" distR="0" wp14:anchorId="51844AED" wp14:editId="5B3B5451">
            <wp:extent cx="5998210" cy="4006850"/>
            <wp:effectExtent l="0" t="0" r="2540" b="0"/>
            <wp:docPr id="25846" name="Picture 25846" descr="May be an image of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ma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98210" cy="4006850"/>
                    </a:xfrm>
                    <a:prstGeom prst="rect">
                      <a:avLst/>
                    </a:prstGeom>
                    <a:noFill/>
                    <a:ln>
                      <a:noFill/>
                    </a:ln>
                  </pic:spPr>
                </pic:pic>
              </a:graphicData>
            </a:graphic>
          </wp:inline>
        </w:drawing>
      </w:r>
    </w:p>
    <w:p w14:paraId="3839FEF5" w14:textId="77777777" w:rsidR="007B5564" w:rsidRPr="00F171A3" w:rsidRDefault="007B5564" w:rsidP="00FF6C80">
      <w:pPr>
        <w:jc w:val="right"/>
        <w:rPr>
          <w:color w:val="BFBFBF" w:themeColor="background1" w:themeShade="BF"/>
        </w:rPr>
      </w:pPr>
      <w:r w:rsidRPr="00F171A3">
        <w:rPr>
          <w:color w:val="BFBFBF" w:themeColor="background1" w:themeShade="BF"/>
        </w:rPr>
        <w:t>Sursa: Pagina de Facebook Primăria Sectorului 2 București</w:t>
      </w:r>
    </w:p>
    <w:p w14:paraId="23F6CC48" w14:textId="77777777" w:rsidR="007B5564" w:rsidRPr="00F171A3" w:rsidRDefault="007B5564" w:rsidP="007B5564">
      <w:pPr>
        <w:rPr>
          <w:rFonts w:cstheme="minorHAnsi"/>
        </w:rPr>
      </w:pPr>
      <w:r w:rsidRPr="00F171A3">
        <w:rPr>
          <w:rFonts w:cstheme="minorHAnsi"/>
        </w:rPr>
        <w:t xml:space="preserve">În prezent Primăria Sectorului 2 are ca prioritate pentru anul 2022 elaborarea unui regulament care să cuprindă reguli și măsuri pentru modul de ocupare al domeniului public (regulament pentru ocuparea domeniului public). Elaborarea regulamentului va include inventarierea construcțiilor amplasate pe domeniul public, coroborarea și actualizarea regulamentelor existente, reglementarea unor aspecte precum mobilier urban, construcții provizorii, organizarea comerțului de întâmpinare sau infrastructură „smart” (parcări biciclete, stații încărcare, easybox-uri etc). De asemenea, se dorește realizarea unui set de reguli/măsuri care să vizeze îmbunătățirea calității aerului în raport cu direcțiile europene privind protejarea spațiilor verzi și reducerea gazelor cu efect de seră prin amenajarea/reamenajarea de spații verzi, spații publice parcări etc. </w:t>
      </w:r>
    </w:p>
    <w:p w14:paraId="4E07A060" w14:textId="77777777" w:rsidR="007B5564" w:rsidRPr="00F171A3" w:rsidRDefault="007B5564" w:rsidP="007B5564">
      <w:pPr>
        <w:rPr>
          <w:rFonts w:cstheme="minorHAnsi"/>
        </w:rPr>
      </w:pPr>
      <w:r w:rsidRPr="00F171A3">
        <w:rPr>
          <w:rFonts w:cstheme="minorHAnsi"/>
        </w:rPr>
        <w:t>În vederea creșterii calității spațiilor publice și spațiilor verzi, în următoarea perioadă, administrația publică locală are în vedere implementarea unui portofoliu larg de proiecte destinat obiectivelor de utilitate publică:</w:t>
      </w:r>
    </w:p>
    <w:p w14:paraId="15A061E3"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Reamenajarea/reabilitarea locurilor de joacă aferente ansamblurilor de locuințe – 25 de locații amplasate pe Str. Delfinului, Aleea Socului, Str. Cernăuți, Aleea Codlea, Șos. Pantelimon, Bd. Basarabia, Bd. Mihai Bravu, Bd. Ștefan cel Mare, Calea Moșilor, Str. Petre Antonescu, Str. Visarion, Șos. Iancului, Str. Căminului, Str. Fabrica de Gheață, Str. Popa Nicolae, Str. Abanosului, Aleea Sinaia, Str. Avrig;Amenajarea unui parc de-a lungul Văii Saulei și conectarea cu parcul public propus în zona Petricani (suprafață de 173 ha) (proiect propus și în cadrul SIDU București sub denumirea - Amenajarea unui parc (173 ha) între Șoseaua Petricani, A3 și strada Gherghiței - Parcul Valea Saulei);</w:t>
      </w:r>
    </w:p>
    <w:p w14:paraId="44D8013B" w14:textId="3E8339C9"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Amenajarea peisagistică și arhitecturală a spațiului verde de-a lungul</w:t>
      </w:r>
      <w:r w:rsidR="008A1AFD">
        <w:rPr>
          <w:rFonts w:cstheme="minorHAnsi"/>
          <w:color w:val="134753"/>
        </w:rPr>
        <w:t xml:space="preserve"> </w:t>
      </w:r>
      <w:r w:rsidRPr="00F171A3">
        <w:rPr>
          <w:rFonts w:cstheme="minorHAnsi"/>
          <w:color w:val="134753"/>
        </w:rPr>
        <w:t xml:space="preserve">str. Ricinului (suprafață de 3.511mp); </w:t>
      </w:r>
    </w:p>
    <w:p w14:paraId="2DB3FE04"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Reamenajarea parcului Sticlăriei de pe Șoseaua Vergului nr. 503-504 (suprafață de 30.000 mp);</w:t>
      </w:r>
    </w:p>
    <w:p w14:paraId="6D24A12A"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Refacerea a 10 zone verzi (parcuri și alte zone verzi): Plumbuita I, Plumbuita II, Tei, Rodica, Sf. Pantelimon, Petricani, Lunca Florilor, Motodrom, Ion Creangă;</w:t>
      </w:r>
    </w:p>
    <w:p w14:paraId="3147AD90"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Reamenajarea Parcului Grădina Icoanei;</w:t>
      </w:r>
    </w:p>
    <w:p w14:paraId="25DA36F8"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Amenajarea unui parc de joacă pentru copii în Parcul Morarilor (proiect propus și în cadrul SIDU București);</w:t>
      </w:r>
    </w:p>
    <w:p w14:paraId="3F7B90C6"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Reabilitarea/reamenajarea râului artificial Parc Plumbuita (proiect propus și în cadrul SIDU București);</w:t>
      </w:r>
    </w:p>
    <w:p w14:paraId="026DDD1E"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Reamenajarea de zone verzi: zonele Lacul Tei, Șos. Iancului, Str. Maior Băcilă, Bd. Mihai Bravu, Șos. Colentina, Șos. Vergului, Șos</w:t>
      </w:r>
      <w:r w:rsidRPr="00F171A3">
        <w:rPr>
          <w:rFonts w:cstheme="minorHAnsi"/>
          <w:color w:val="4F4F4F"/>
        </w:rPr>
        <w:t xml:space="preserve">. </w:t>
      </w:r>
      <w:r w:rsidRPr="00F171A3">
        <w:rPr>
          <w:rFonts w:cstheme="minorHAnsi"/>
          <w:color w:val="134753"/>
        </w:rPr>
        <w:t>Petricani, Bd. Pierre de Coubertin, Șos. Ștefan Cel Mare, Dna. Ghica (scuaruri, platbande și extensii), zona Obor, Rond Obor, Șos. Ștefan cel Mare nr. 230 (Poșta), Șos. Stefan cel Mare nr. 226, Bd. Mihai Bravu (în spatele cofetăriei Alice), Metafora Vieții și fântâna  electroaparataj,  intersecția  Bd. Matei  Voievod  cu  str. Teleajen, intersecția str</w:t>
      </w:r>
      <w:r w:rsidRPr="00F171A3">
        <w:rPr>
          <w:rFonts w:cstheme="minorHAnsi"/>
          <w:color w:val="313131"/>
        </w:rPr>
        <w:t xml:space="preserve">. </w:t>
      </w:r>
      <w:r w:rsidRPr="00F171A3">
        <w:rPr>
          <w:rFonts w:cstheme="minorHAnsi"/>
          <w:color w:val="134753"/>
        </w:rPr>
        <w:t>Popa Nan cu str. Țepeș Vodă, Bd</w:t>
      </w:r>
      <w:r w:rsidRPr="00F171A3">
        <w:rPr>
          <w:rFonts w:cstheme="minorHAnsi"/>
          <w:color w:val="313131"/>
        </w:rPr>
        <w:t xml:space="preserve">.  </w:t>
      </w:r>
      <w:r w:rsidRPr="00F171A3">
        <w:rPr>
          <w:rFonts w:cstheme="minorHAnsi"/>
          <w:color w:val="134753"/>
        </w:rPr>
        <w:t>Basarabia,  str.  Stănescu  Gheorghe nr. 4 (loc de joacă în spatele școlii nr.46), Gradina Engleză, Bd. Chișinău;</w:t>
      </w:r>
    </w:p>
    <w:p w14:paraId="4BC86B90"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Reîntregirea parcului Floreasca (suprafață 2,6 ha) prin adăugarea unui teren de 6.500 mp din baza STB Floreasca și inventarierea spațiilor verzi dintre blocuri (suprafață 11.150mp);</w:t>
      </w:r>
    </w:p>
    <w:p w14:paraId="62D35ED6"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Realizarea unui parc nou în cartierul Ion Creangă aferent străzii Moroeni (suprafață 1 ha);</w:t>
      </w:r>
    </w:p>
    <w:p w14:paraId="61EA1B52"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Introducerea în circuitul parcurilor a zonelor Lunca Florilor, Rodica, Colentina, Creangă, a diferitor spații verzi amenajate din cartierul Floreasca;</w:t>
      </w:r>
    </w:p>
    <w:p w14:paraId="6D2701FC"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Refacerea/amenajarea/reamenajarea vegetației de aliniament pe străzile secundare;</w:t>
      </w:r>
    </w:p>
    <w:p w14:paraId="0C8421A7"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Refacerea/amenajarea/reamenajarea vegetației aferentă spațiilor/zonelor din imediata vecinătate a locuințelor colective;</w:t>
      </w:r>
    </w:p>
    <w:p w14:paraId="440BB5F2" w14:textId="77777777" w:rsidR="007B5564" w:rsidRPr="00F171A3" w:rsidRDefault="007B5564">
      <w:pPr>
        <w:numPr>
          <w:ilvl w:val="0"/>
          <w:numId w:val="81"/>
        </w:numPr>
        <w:pBdr>
          <w:top w:val="nil"/>
          <w:left w:val="nil"/>
          <w:bottom w:val="nil"/>
          <w:right w:val="nil"/>
          <w:between w:val="nil"/>
        </w:pBdr>
        <w:spacing w:after="60"/>
        <w:rPr>
          <w:rFonts w:cstheme="minorHAnsi"/>
        </w:rPr>
      </w:pPr>
      <w:r w:rsidRPr="00F171A3">
        <w:rPr>
          <w:rFonts w:cstheme="minorHAnsi"/>
          <w:color w:val="134753"/>
        </w:rPr>
        <w:t>Reabilitarea/reamenajarea oglinzii de apă/malului din Parcul Plumbuita.</w:t>
      </w:r>
    </w:p>
    <w:p w14:paraId="104FDA30" w14:textId="77777777" w:rsidR="007B5564" w:rsidRPr="00F171A3" w:rsidRDefault="007B5564" w:rsidP="007B5564">
      <w:pPr>
        <w:rPr>
          <w:rFonts w:cstheme="minorHAnsi"/>
        </w:rPr>
      </w:pPr>
      <w:r w:rsidRPr="00F171A3">
        <w:rPr>
          <w:rFonts w:cstheme="minorHAnsi"/>
        </w:rPr>
        <w:t xml:space="preserve">Suplimentar, la nivelul Sectorului 2 în cadrul SIDU București se are în vedere implementarea unei serii de operațiuni care vizează extinderea rețelei de spații verzi/ inclusiv prin reconversia unor terenuri degradate / abandonate: </w:t>
      </w:r>
    </w:p>
    <w:p w14:paraId="62720BAC"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Reabilitare Parcul Național;</w:t>
      </w:r>
    </w:p>
    <w:p w14:paraId="4C36B414"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Montarea de sisteme automate de irigare a spatiilor verzi din parcuri, aliniamente stradale;</w:t>
      </w:r>
    </w:p>
    <w:p w14:paraId="69A74100"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Completare vegetație de aliniament: Calea Moșilor, Șos. Colentina, Șos. Ștefan cel Mare, Șos. Mihai Bravu, Bd. Carol I și str. Ziduri Moși;</w:t>
      </w:r>
    </w:p>
    <w:p w14:paraId="50757FC1" w14:textId="620EA6C2"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 xml:space="preserve">Identificarea spatiilor publice abandonate si revitalizarea acestora in colaborare cu diverse grupuri </w:t>
      </w:r>
      <w:r w:rsidR="0060613A" w:rsidRPr="00F171A3">
        <w:rPr>
          <w:rFonts w:cstheme="minorHAnsi"/>
          <w:color w:val="134753"/>
        </w:rPr>
        <w:t>civice; Înființarea</w:t>
      </w:r>
      <w:r w:rsidRPr="00F171A3">
        <w:rPr>
          <w:rFonts w:cstheme="minorHAnsi"/>
          <w:color w:val="134753"/>
        </w:rPr>
        <w:t xml:space="preserve"> de noi spații verzi, amenajarea și reamenajarea peisagistică a spațiilor verzi existente în zonele cu densitate mare a locuințelor colective;</w:t>
      </w:r>
    </w:p>
    <w:p w14:paraId="46B2F863"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Extinderea parcurilor existente (Circului, Floreasca, Verdi, Sticlăriei);</w:t>
      </w:r>
    </w:p>
    <w:p w14:paraId="5AEFCFAC"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Amenajarea lacului din Parcul Circului;</w:t>
      </w:r>
    </w:p>
    <w:p w14:paraId="3CFECDEE"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Amenajarea Parcului Moroeni;</w:t>
      </w:r>
    </w:p>
    <w:p w14:paraId="162EF223"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Refacere zone verzi;</w:t>
      </w:r>
    </w:p>
    <w:p w14:paraId="220BF7EB"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Plantarea unui arbore pentru fiecare nou-născut și îngrijirea acestuia de către copil și părinți;</w:t>
      </w:r>
    </w:p>
    <w:p w14:paraId="7208A7E4" w14:textId="4A857943"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Amenajarea unui parc (173 ha) între șoseaua Petricani, A3 și strada Gherghiței – Parcul Valea Saulei;</w:t>
      </w:r>
    </w:p>
    <w:p w14:paraId="5622A1C5" w14:textId="77777777" w:rsidR="00983F17"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Realizare axă verde Parcul Tei – Parcul Verdi;</w:t>
      </w:r>
    </w:p>
    <w:p w14:paraId="14213989" w14:textId="77777777" w:rsidR="00983F17"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 xml:space="preserve">Proiect integrat de regenerare urbană Infrastructură Spații Verzi. </w:t>
      </w:r>
    </w:p>
    <w:p w14:paraId="7CB21060" w14:textId="09A4D8E3" w:rsidR="007B5564" w:rsidRPr="00F171A3" w:rsidRDefault="007B5564" w:rsidP="00983F17">
      <w:pPr>
        <w:pBdr>
          <w:top w:val="nil"/>
          <w:left w:val="nil"/>
          <w:bottom w:val="nil"/>
          <w:right w:val="nil"/>
          <w:between w:val="nil"/>
        </w:pBdr>
        <w:spacing w:after="60"/>
        <w:rPr>
          <w:rFonts w:cstheme="minorHAnsi"/>
        </w:rPr>
      </w:pPr>
      <w:r w:rsidRPr="00F171A3">
        <w:rPr>
          <w:rFonts w:cstheme="minorHAnsi"/>
        </w:rPr>
        <w:t xml:space="preserve">La nivelul Sectorului 2 în cadrul SIDU București se are în vedere implementarea unei serii de operațiuni care vizează regenerarea și extinderea spațiilor publice: </w:t>
      </w:r>
    </w:p>
    <w:p w14:paraId="562B3D7E"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Amenajare Insula Plumbuita;</w:t>
      </w:r>
    </w:p>
    <w:p w14:paraId="53E2E61C"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Amenajare loc de joacă pentru copii în Parcul Morarilor;</w:t>
      </w:r>
    </w:p>
    <w:p w14:paraId="42A2AA1F"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Amenajare parc Pipera;</w:t>
      </w:r>
    </w:p>
    <w:p w14:paraId="75653AF4"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Program de reconfigurare a spațiilor dintre blocuri în zonele de locuințe colective;</w:t>
      </w:r>
    </w:p>
    <w:p w14:paraId="47939EB9"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 complex de reconversie și dezvoltare pol urban principal Barbu Văcărescu – Gheorghe Țițeica prin studiu de oportunitate, reglementare urbanistică şi amenajarea spaţiilor publice;</w:t>
      </w:r>
    </w:p>
    <w:p w14:paraId="053CF142"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 complex de reconversie și dezvoltare pol urban principal Petricani prin studiu de oportunitate, reglementare urbanistică şi amenajarea spaţiilor publice;</w:t>
      </w:r>
    </w:p>
    <w:p w14:paraId="0E00207C"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 complex de reconversie și valorificare a zonei industriale Obor – Electronicii prin studiu de oportunitate, reglementare urbanistică şi amenajarea spaţiilor publice;</w:t>
      </w:r>
    </w:p>
    <w:p w14:paraId="35EAEEAB"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Proiect-pilot de reconfigurare a spaţiilor dintre locuinţele colective în cartierul Floreasca: spaţii verzi comunitare, dotări pentru sport, locuri de joacă pentru copii, alei pietonale şi parcări rezidenţiale, inclusiv soluții terase verzi;</w:t>
      </w:r>
    </w:p>
    <w:p w14:paraId="10D2E3C0"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Proiect-pilot de reconfigurare a spaţiilor dintre locuinţele colective în cartierul Pantelimon: spaţii verzi comunitare, dotări pentru sport, locuri de joacă pentru copii, alei pietonale şi parcări rezidenţiale, inclusiv soluții terase verzi;</w:t>
      </w:r>
    </w:p>
    <w:p w14:paraId="0577F71F"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Proiect-pilot de reconfigurare a spaţiilor dintre locuinţele colective în zona Iancului: spaţii verzi comunitare, dotări pentru sport, locuri de joacă pentru copii, alei pietonale şi parcări rezidenţiale;</w:t>
      </w:r>
    </w:p>
    <w:p w14:paraId="665026D8"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Proiect-pilot de reconfigurare a spaţiilor dintre locuinţele colective în zona zona B-dul Ferdinand - Str. Căminului: spaţii verzi comunitare, dotări pentru sport, locuri de joacă pentru copii, alei pietonale şi parcări rezidenţiale la sol;</w:t>
      </w:r>
    </w:p>
    <w:p w14:paraId="2BEF0A5B"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Reconfigurarea zonei Obor - transformare în zonă cu prioritate pentru pietoni;</w:t>
      </w:r>
    </w:p>
    <w:p w14:paraId="0C6D0F64"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 integrat de regenerare urbana Zona Obor prin crearea unui complex muzeal feroviar, a unui sistem de spații verzi și amenajarea peisagistică a Pieței Gării Obor;</w:t>
      </w:r>
    </w:p>
    <w:p w14:paraId="4EF429FF"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Proiect integrat de regenerare urbană, cartier integrat Centru Vechi- Zona Armenească;</w:t>
      </w:r>
    </w:p>
    <w:p w14:paraId="07FBFE19"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Program de revitalizare a spațiilor publice abandonate de mici dimensiuni (în parteneriat cu asociații profesionale/ONG-uri active în domeniu);</w:t>
      </w:r>
    </w:p>
    <w:p w14:paraId="694FAC1E"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Achiziție cu montaj echipamente de joacă;</w:t>
      </w:r>
    </w:p>
    <w:p w14:paraId="308AED17"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Achiziție cu montaj foișoare de lemn;</w:t>
      </w:r>
    </w:p>
    <w:p w14:paraId="5CB65E4D"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Achiziție cu montaj mobilier urban;</w:t>
      </w:r>
    </w:p>
    <w:p w14:paraId="5B4C8CBC"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Toaletă automată;</w:t>
      </w:r>
    </w:p>
    <w:p w14:paraId="22BFDD31"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Toaletă automată pentru persoane cu dizabilități;</w:t>
      </w:r>
    </w:p>
    <w:p w14:paraId="359572EC" w14:textId="77777777" w:rsidR="007B5564" w:rsidRPr="00F171A3" w:rsidRDefault="007B5564">
      <w:pPr>
        <w:numPr>
          <w:ilvl w:val="0"/>
          <w:numId w:val="81"/>
        </w:numPr>
        <w:pBdr>
          <w:top w:val="nil"/>
          <w:left w:val="nil"/>
          <w:bottom w:val="nil"/>
          <w:right w:val="nil"/>
          <w:between w:val="nil"/>
        </w:pBdr>
        <w:spacing w:after="60"/>
        <w:rPr>
          <w:rFonts w:cstheme="minorHAnsi"/>
          <w:color w:val="134753"/>
        </w:rPr>
      </w:pPr>
      <w:r w:rsidRPr="00F171A3">
        <w:rPr>
          <w:rFonts w:cstheme="minorHAnsi"/>
          <w:color w:val="134753"/>
        </w:rPr>
        <w:t>Rețea metropolitană de cișmele și toalete publice.</w:t>
      </w:r>
    </w:p>
    <w:p w14:paraId="4166A492" w14:textId="78E37E7B" w:rsidR="007B5564" w:rsidRPr="00F171A3" w:rsidRDefault="00983F17" w:rsidP="007B5564">
      <w:pPr>
        <w:rPr>
          <w:rFonts w:cstheme="minorHAnsi"/>
        </w:rPr>
      </w:pPr>
      <w:r w:rsidRPr="00F171A3">
        <w:rPr>
          <w:rFonts w:cstheme="minorHAnsi"/>
          <w:b/>
          <w:smallCaps/>
          <w:color w:val="134753"/>
        </w:rPr>
        <w:t xml:space="preserve">SPAȚII PUBLICE ADIACENTE SALBEI DE LACURI </w:t>
      </w:r>
      <w:r w:rsidR="007B5564" w:rsidRPr="00F171A3">
        <w:rPr>
          <w:rFonts w:cstheme="minorHAnsi"/>
          <w:b/>
          <w:smallCaps/>
          <w:color w:val="134753"/>
        </w:rPr>
        <w:t>|</w:t>
      </w:r>
      <w:r w:rsidR="007B5564" w:rsidRPr="00F171A3">
        <w:rPr>
          <w:rFonts w:cstheme="minorHAnsi"/>
        </w:rPr>
        <w:t xml:space="preserve"> Specifice pentru rețeaua de spații publice a Sectorului 2 sunt parcurile amenajate în lungul salbei de lacuri ale râului Colentinei. Această zonă a beneficiat de amenajări ample în ultimii 15 ani, perioadă în care au fost create o serie de spații verzi de diferite dimensiuni, inclusiv amenajarea Parcului de agrement Tei - Plumbuita, proiect finalizat în anul 2016, finanțat prin fonduri externe nerambursabile. Totuși, în continuare cea mai mare parte a malurilor de apă nu sunt amenajate și de multe ori nu sunt accesibile publicului. Dezvoltările din ultimele două decenii de locuințe individuale în lungul apei au compromis, de asemenea, accesul la părți considerabile din malul de lac. Pentru a putea valorifica malurile de lac sub forma unui circuit de agrement va trebui completat procesul de amenajare și echipare cu dotări a acestora. Acest demers trebuie susținut sub forma unui parteneriat pe orizontală cu Sectorul 1</w:t>
      </w:r>
      <w:r w:rsidR="007B5564" w:rsidRPr="00F171A3">
        <w:rPr>
          <w:rFonts w:cstheme="minorHAnsi"/>
          <w:vertAlign w:val="superscript"/>
        </w:rPr>
        <w:footnoteReference w:id="96"/>
      </w:r>
      <w:r w:rsidR="007B5564" w:rsidRPr="00F171A3">
        <w:rPr>
          <w:rFonts w:cstheme="minorHAnsi"/>
        </w:rPr>
        <w:t>, orașul Pantelimon și comuna Dobroești.</w:t>
      </w:r>
    </w:p>
    <w:p w14:paraId="19C450E7" w14:textId="77777777" w:rsidR="007B5564" w:rsidRPr="00F171A3" w:rsidRDefault="007B5564" w:rsidP="007B5564">
      <w:pPr>
        <w:spacing w:after="60"/>
        <w:rPr>
          <w:rFonts w:cstheme="minorHAnsi"/>
        </w:rPr>
      </w:pPr>
      <w:r w:rsidRPr="00F171A3">
        <w:rPr>
          <w:rFonts w:cstheme="minorHAnsi"/>
        </w:rPr>
        <w:t>În vederea amenajării malurilor de lac din lungul salbei de lacuri, Primăria Sectorului 2 are ca prioritate pentru anul 2022 igienizarea și amenajarea lacurilor de pe teritoriul Sectorului 2, operațiune prin care se are în vedere regenerarea urbană a zonei prin operațiuni de salubrizare a digurilor, malurilor, insulelor și cursurilor de apă, asanarea terenurilor insalubre și prevenirea poluării apelor precum și realizarea ridicării topografice a zonei. În cadrul acestei priorități Primăria Sectorului 2 a demarat un proiect și un concurs internațional de soluții aferent acestuia care are în vedere realizarea de lucrări de amenajare, reconfigurare, sistematizare a zonelor (malurilor) aferente salbei de lacuri situată pe raza sectorului 2: A</w:t>
      </w:r>
      <w:r w:rsidRPr="00F171A3">
        <w:rPr>
          <w:rFonts w:cstheme="minorHAnsi"/>
          <w:i/>
          <w:color w:val="000000"/>
        </w:rPr>
        <w:t>menajarea, reconfigurarea, sistematizarea zonelor (malurile) aferente salbei de lacuri situată pe raza teritorial administrativă a Sectorului 2</w:t>
      </w:r>
      <w:r w:rsidRPr="00F171A3">
        <w:rPr>
          <w:rFonts w:cstheme="minorHAnsi"/>
        </w:rPr>
        <w:t xml:space="preserve"> </w:t>
      </w:r>
      <w:r w:rsidRPr="00F171A3">
        <w:rPr>
          <w:rFonts w:cstheme="minorHAnsi"/>
          <w:i/>
        </w:rPr>
        <w:t>(Tronson I - Zona Lacul Tei, Tronson II - Zona Lacul Plumbuita, Tronson III - Zona Valea Saulei, Tronson IV - Zona Râul Colentina si Lacul Fundeni, Tronson V - Zona Lacul Dobroești si Pantelimon)</w:t>
      </w:r>
      <w:r w:rsidRPr="00F171A3">
        <w:rPr>
          <w:rFonts w:cstheme="minorHAnsi"/>
        </w:rPr>
        <w:t>. Obiectivele specifice ale proiectului au în vedere:</w:t>
      </w:r>
    </w:p>
    <w:p w14:paraId="1B607BEC"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Îmbunătățirea protecției mediului prin eliminarea zonelor de depozitare gunoaie;</w:t>
      </w:r>
    </w:p>
    <w:p w14:paraId="5F7EC395"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Sistematizarea, amenajarea și consolidarea malurilor de lac aflate în prezent în stare de degradare și/sau aflate sub nivelul cotei de inundabilitate;</w:t>
      </w:r>
    </w:p>
    <w:p w14:paraId="1D220379"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Realizarea unor investiții împotriva inundațiilor;</w:t>
      </w:r>
    </w:p>
    <w:p w14:paraId="3CEBF25A"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Configurarea unor drumuri de exploatare și întreținere a salbei de lacuri, modernizarea drumurilor existente, precum și amenajarea/modernizarea aleilor pietonale;</w:t>
      </w:r>
    </w:p>
    <w:p w14:paraId="42BD45C8"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Amenajarea de piste de biciclete;</w:t>
      </w:r>
    </w:p>
    <w:p w14:paraId="722AD063"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Amenajarea spațiilor de agrement;</w:t>
      </w:r>
    </w:p>
    <w:p w14:paraId="6F8951C9"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Extinderea suprafețelor de spații verzi prin renaturarea unor terenuri supuse eroziunii eoliene;</w:t>
      </w:r>
    </w:p>
    <w:p w14:paraId="0213748C"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Îmbunătățirea serviciilor oferite utilizatorilor de parcuri și spații verzi, de terenuri de joacă și de sport de agrement la nivel urban;</w:t>
      </w:r>
    </w:p>
    <w:p w14:paraId="3F6AE152"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Îmbunătățirea calității aerului prin utilizarea transportului nepoluant;</w:t>
      </w:r>
    </w:p>
    <w:p w14:paraId="0252E50E"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Sisteme de iluminat inteligente;</w:t>
      </w:r>
    </w:p>
    <w:p w14:paraId="412A0188" w14:textId="77777777" w:rsidR="007B5564" w:rsidRPr="00F171A3" w:rsidRDefault="007B5564">
      <w:pPr>
        <w:numPr>
          <w:ilvl w:val="0"/>
          <w:numId w:val="82"/>
        </w:numPr>
        <w:pBdr>
          <w:top w:val="nil"/>
          <w:left w:val="nil"/>
          <w:bottom w:val="nil"/>
          <w:right w:val="nil"/>
          <w:between w:val="nil"/>
        </w:pBdr>
        <w:spacing w:after="60"/>
        <w:rPr>
          <w:rFonts w:cstheme="minorHAnsi"/>
        </w:rPr>
      </w:pPr>
      <w:r w:rsidRPr="00F171A3">
        <w:rPr>
          <w:rFonts w:cstheme="minorHAnsi"/>
          <w:color w:val="134753"/>
        </w:rPr>
        <w:t>Echipamente de supraveghere video necesare pentru prevenirea infracționalității.</w:t>
      </w:r>
    </w:p>
    <w:p w14:paraId="0389A823" w14:textId="77777777" w:rsidR="007B5564" w:rsidRPr="00F171A3" w:rsidRDefault="007B5564" w:rsidP="007B5564">
      <w:pPr>
        <w:rPr>
          <w:rFonts w:cstheme="minorHAnsi"/>
        </w:rPr>
      </w:pPr>
      <w:r w:rsidRPr="00F171A3">
        <w:rPr>
          <w:rFonts w:cstheme="minorHAnsi"/>
        </w:rPr>
        <w:t xml:space="preserve">În vederea implementării proiectelor de amenajare a malurilor de lac, până în prezent Primăria Sectorului 2 a demarat un proiect de cartare a acestora (studiu topografic și cadastral - acțiune demarată în 2021 prin care se urmărește intabularea terenurilor situate de-a lungul salbei de lacuri în vederea amenajării acestora), a încheiat un protocol de colaborare cu Agenția Națională Apele Române și ALPAB în baza căruia a fost inițiate acțiunile de salubrizare a digurilor, malurilor (malurile  lacului Colentina, Etapa I - între Petricani și Lac Fundeni, Etapa II - între Petricani și Lac Plumbuita, Fabrica de Gheață), insulelor, cursurilor de apă, asanare a terenurilor insalubre și acțiuni de prevenire a poluării apelor și a implementat un  proiect de modernizare a accesului către Mănăstirea Plumbuita și de curățare a insulei Plumbuita. În paralel, cu accent pe salba de lacuri și spațiile verzi adiacente au fost elaborate documentații de urbanism (Plan Urbanistic Zonal – Amenajare maluri salbă de lacuri Sectorul 2 al Capitalei), documentații tehnico-economice (amenajarea insulei Plumbuita - proiect realizat în parteneriat cu ADP și Apele Române). </w:t>
      </w:r>
    </w:p>
    <w:p w14:paraId="5303F625" w14:textId="7EAB7D60" w:rsidR="007B5564" w:rsidRPr="00F171A3" w:rsidRDefault="007B5564" w:rsidP="007B5564">
      <w:pPr>
        <w:rPr>
          <w:rFonts w:cstheme="minorHAnsi"/>
        </w:rPr>
      </w:pPr>
      <w:r w:rsidRPr="00F171A3">
        <w:rPr>
          <w:rFonts w:cstheme="minorHAnsi"/>
        </w:rPr>
        <w:t>În ceea ce privește infrastructura suport necesară administrării spațiilor verzi din Sectorul 2, sunt necesare lucrări de modernizare pentru construcții aflate în administrarea ADP S2, respectiv sediul ADP S2, Șos. Electronicii nr. 44, clădirile administrative din Parcurile Tolbuhin, Național și Morarilor, punctul de lucru Str. Andronache nr. 16B, serele și clădirile aferente Pantelimon și Voluntari</w:t>
      </w:r>
      <w:r w:rsidRPr="00F171A3">
        <w:rPr>
          <w:rStyle w:val="FootnoteReference"/>
          <w:rFonts w:cstheme="minorHAnsi"/>
        </w:rPr>
        <w:footnoteReference w:id="97"/>
      </w:r>
      <w:r w:rsidRPr="00F171A3">
        <w:rPr>
          <w:rFonts w:cstheme="minorHAnsi"/>
        </w:rPr>
        <w:t>.</w:t>
      </w:r>
    </w:p>
    <w:p w14:paraId="13F5C530" w14:textId="77777777" w:rsidR="00983F17" w:rsidRPr="00F171A3" w:rsidRDefault="00983F17" w:rsidP="007B5564">
      <w:pPr>
        <w:rPr>
          <w:rFonts w:cstheme="minorHAnsi"/>
        </w:rPr>
      </w:pPr>
    </w:p>
    <w:p w14:paraId="5A06C274" w14:textId="2742BEBE" w:rsidR="007B5564" w:rsidRPr="00F171A3" w:rsidRDefault="001E0A0F" w:rsidP="001E0A0F">
      <w:pPr>
        <w:pStyle w:val="Heading4"/>
      </w:pPr>
      <w:bookmarkStart w:id="187" w:name="_heading=h.1yyy98l" w:colFirst="0" w:colLast="0"/>
      <w:bookmarkStart w:id="188" w:name="_Toc114505866"/>
      <w:bookmarkEnd w:id="187"/>
      <w:r w:rsidRPr="00F171A3">
        <w:t>REȚEAUA DE SPAȚII VERZI</w:t>
      </w:r>
      <w:bookmarkEnd w:id="188"/>
    </w:p>
    <w:p w14:paraId="505ED440" w14:textId="77777777" w:rsidR="007B5564" w:rsidRPr="00F171A3" w:rsidRDefault="007B5564" w:rsidP="007B5564">
      <w:pPr>
        <w:rPr>
          <w:rFonts w:cstheme="minorHAnsi"/>
        </w:rPr>
      </w:pPr>
      <w:r w:rsidRPr="00F171A3">
        <w:rPr>
          <w:rFonts w:cstheme="minorHAnsi"/>
        </w:rPr>
        <w:t>În ceea ce privește gradul de deservire a rețelei de spații verzi, cea mai mare parte a locuitorilor pot ajunge în mai puțin de 10 minute până la un spațiu verde amenajat. Acest lucru este datorat în mare măsură spațiilor verzi de mici dimensiuni care asigură o bună deservire a zonelor de locuit. Doar segmente reduse din cartierul Andronache, zona centrală și din zona de birouri Pipera au acces îngreunat la spații verzi amenajate. Sunt avantajate zonele Barbu Văcărescu, Bulevardul Lacul Tei, Șoseaua Colentina, Șoseaua Pantelimon care beneficiază de acces facil la multiple spații verzi de tip parc, de dimensiuni medii, asigurându-se astfel o bună deservire a zonelor cu o densitate ridicată a populației. În același timp, SIDU Municipiul București identifică zona Andronache ca una dintre cele 3 zone ample de locuințe individuale nedeservite de spații publice de mari dimensiuni. În zona Andronache ar mai exista rezerve de teren sub forma unor situri industriale abandonate. Părți din aceste terenuri pot fi folosite pentru a insera spații verzi de dimensiuni mici sau medii, dotări esențiale pentru calitatea locuirii dar și pentru interacțiunea socială.</w:t>
      </w:r>
    </w:p>
    <w:p w14:paraId="61017B9B" w14:textId="77777777" w:rsidR="007B5564" w:rsidRPr="00F171A3" w:rsidRDefault="007B5564" w:rsidP="007B5564">
      <w:pPr>
        <w:rPr>
          <w:rFonts w:cstheme="minorHAnsi"/>
        </w:rPr>
      </w:pPr>
      <w:r w:rsidRPr="00F171A3">
        <w:rPr>
          <w:rFonts w:cstheme="minorHAnsi"/>
        </w:rPr>
        <w:t>Accesul la spații verzi este mai dificil în zona centrală, unde din cauza unui țesut foarte dens rezervele de teren pentru asemenea dotări sunt foarte mici. În acest sens, accentul trebuie pus pe amenajarea spațiilor publice existente (piațete urbane) și pe identificarea unor terenuri libere care să fie achiziționate de către primărie și transformate în mici spații verzi de tip scuar. Un alt aspect esențial pentru rețeaua de spații verzi este completarea cu elemente de legătură de tipul străzilor cu vegetație de aliniament.</w:t>
      </w:r>
    </w:p>
    <w:p w14:paraId="10EFD9C7" w14:textId="77777777" w:rsidR="007B5564" w:rsidRPr="00F171A3" w:rsidRDefault="007B5564" w:rsidP="007B5564">
      <w:pPr>
        <w:rPr>
          <w:rFonts w:cstheme="minorHAnsi"/>
        </w:rPr>
      </w:pPr>
      <w:r w:rsidRPr="00F171A3">
        <w:rPr>
          <w:rFonts w:cstheme="minorHAnsi"/>
        </w:rPr>
        <w:t>În prezent, legăturile dintre spațiile verzi se realizează cu dificultate în cele mai multe cazuri, motiv pentru care ele nu pot fi considerate ca parte a unui traseu mai amplu. În acest sens, în perioada 2016-2022 administrația publică locală a implementat proiectul de realizare a unei axe verzi în partea de sud-est a Sectorului 2, între Arena Națională,  Parcul Florilor, Parcul Morarilor și Parcul Sticlăriei. În zona centrală, se intervine punctual în completarea rețelei de spații verzi prin intermediul a două proiecte aflate în curs de implementare: revitalizare scuaruri existente și amenajare aliniamente stradale - axa Str. Vasile Lascăr - Str. Viitorului - Str. Icoanei și revitalizare scuaruri existente și amenajare aliniamente stradale - axa Str. Țepeș Vodă - Str. Frunzei.</w:t>
      </w:r>
    </w:p>
    <w:p w14:paraId="5C82736B" w14:textId="77777777" w:rsidR="007B5564" w:rsidRPr="00F171A3" w:rsidRDefault="007B5564" w:rsidP="007B5564">
      <w:pPr>
        <w:rPr>
          <w:rFonts w:cstheme="minorHAnsi"/>
        </w:rPr>
      </w:pPr>
      <w:r w:rsidRPr="00F171A3">
        <w:rPr>
          <w:rFonts w:cstheme="minorHAnsi"/>
        </w:rPr>
        <w:t>Aceeași problemă, a lipsei de legătura dintre spațiile verzi,  este sesizată și în cazul spațiilor verzi din lungul salbei de lacuri, deși o mare parte dintre acestea au fost amenajate în ultimii 15 ani. Se resimte astfel nevoia de a completa rețeaua de spații verzi, preponderent prin elemente de legătură (străzi cu vegetație de aliniament) dar și cu spații de tip scuar/grădină, mai ales în zona centrală și în marile cartiere rezidențiale. În acest sens proiectul de a</w:t>
      </w:r>
      <w:r w:rsidRPr="00F171A3">
        <w:rPr>
          <w:rFonts w:cstheme="minorHAnsi"/>
          <w:color w:val="000000"/>
        </w:rPr>
        <w:t xml:space="preserve">menajare a zonelor (malurile) aferente salbei de lacuri </w:t>
      </w:r>
      <w:r w:rsidRPr="00F171A3">
        <w:rPr>
          <w:rFonts w:cstheme="minorHAnsi"/>
        </w:rPr>
        <w:t>va contribui la completarea rețelei de spații verzi și de crearea unor axe de legătură între principalele parcuri adiacente salbei de lacuri.</w:t>
      </w:r>
    </w:p>
    <w:p w14:paraId="1392BEB1" w14:textId="77777777" w:rsidR="007B5564" w:rsidRPr="00F171A3" w:rsidRDefault="007B5564" w:rsidP="007B5564">
      <w:pPr>
        <w:pBdr>
          <w:top w:val="nil"/>
          <w:left w:val="nil"/>
          <w:bottom w:val="nil"/>
          <w:right w:val="nil"/>
          <w:between w:val="nil"/>
        </w:pBdr>
        <w:spacing w:after="60"/>
        <w:rPr>
          <w:rFonts w:cstheme="minorHAnsi"/>
          <w:color w:val="134753"/>
        </w:rPr>
      </w:pPr>
      <w:r w:rsidRPr="00F171A3">
        <w:rPr>
          <w:rFonts w:cstheme="minorHAnsi"/>
        </w:rPr>
        <w:t>La nivelul Sectorului 2 în cadrul SIDU București se are în vedere implementarea unui proiect care vizează extinderea rețelei de spații verzi/ inclusiv prin reconversia unor terenuri degradate/abandonate și crearea unei axe verzi: realizare axă verde Parcul Tei - Parcul Circului - Parcul Verdi.</w:t>
      </w:r>
    </w:p>
    <w:p w14:paraId="7FAA5893" w14:textId="77777777" w:rsidR="007B5564" w:rsidRPr="00F171A3" w:rsidRDefault="007B5564" w:rsidP="007B5564">
      <w:pPr>
        <w:pBdr>
          <w:top w:val="nil"/>
          <w:left w:val="nil"/>
          <w:bottom w:val="nil"/>
          <w:right w:val="nil"/>
          <w:between w:val="nil"/>
        </w:pBdr>
        <w:spacing w:after="60"/>
        <w:rPr>
          <w:rFonts w:cstheme="minorHAnsi"/>
        </w:rPr>
      </w:pPr>
      <w:r w:rsidRPr="00F171A3">
        <w:rPr>
          <w:rFonts w:cstheme="minorHAnsi"/>
        </w:rPr>
        <w:t>În cadrul chestionarului dedicat populației Sectorului 2 au evidențiat spațiile verzi/parcurile și locurile de joacă ca fiind unele dintre aspectele pozitive ale acestuia, fiind recunoscut accesul facil la parcuri/spații verzi. În același timp spațiile verzi insuficiente se numără printre problemele cele mai importante cu care se confruntă Sectorul 2. Gradul de mulțumire a populației față de modul de administrare a parcurilor/spațiilor publice este foarte scăzut (28,5%). În același timp, printre măsurile necesare pentru dezvoltarea comunității locale s-au numărat amenajarea lacurilor și spațiilor adiacente ca zone de agrement, creșterea suprafeței și/sau numărului de spații verzi, reabilitarea și modernizarea spațiilor publice, spațiilor verzi, spațiilor dintre blocuri, amenajarea de noi spații de joacă pentru copii.</w:t>
      </w:r>
    </w:p>
    <w:p w14:paraId="4514FC28" w14:textId="77777777" w:rsidR="007B5564" w:rsidRPr="00F171A3" w:rsidRDefault="007B5564" w:rsidP="007B5564">
      <w:pPr>
        <w:pBdr>
          <w:top w:val="nil"/>
          <w:left w:val="nil"/>
          <w:bottom w:val="nil"/>
          <w:right w:val="nil"/>
          <w:between w:val="nil"/>
        </w:pBdr>
        <w:spacing w:after="60"/>
        <w:rPr>
          <w:rFonts w:cstheme="minorHAnsi"/>
        </w:rPr>
      </w:pPr>
      <w:r w:rsidRPr="00F171A3">
        <w:rPr>
          <w:rFonts w:cstheme="minorHAnsi"/>
        </w:rPr>
        <w:t>În cadrul consultărilor cu locuitorii Sectorului 2 au fost identificate o serie de priorități viitoare referitoare la spațiile publice și spațiile verzi din Sectorul 2:</w:t>
      </w:r>
    </w:p>
    <w:p w14:paraId="511A7501"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Reamenajarea Parcului Ioanid;</w:t>
      </w:r>
    </w:p>
    <w:p w14:paraId="7F078578"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Refacerea locurilor de joacă din Parcul Circului;</w:t>
      </w:r>
    </w:p>
    <w:p w14:paraId="5E985230"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Reamenajarea și modernizarea Parcului Plumbuita (înlocuirea aparatelor de gimnastică);</w:t>
      </w:r>
    </w:p>
    <w:p w14:paraId="1495F68C"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Modernizarea parcului Plumbuita II;</w:t>
      </w:r>
    </w:p>
    <w:p w14:paraId="58201D0B"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Modernizarea sistemelor de irigații din parcuri (de exemplu Parcul Motodrom);</w:t>
      </w:r>
    </w:p>
    <w:p w14:paraId="63071413"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Sistematizarea accesului și modernizarea locului de joacă pentru animale din Parcul Păsărari;</w:t>
      </w:r>
    </w:p>
    <w:p w14:paraId="2199F804"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Suplimentarea echipamentelor din locurile de joacă din parcul Morarilor și amenajarea unei tiroliene;</w:t>
      </w:r>
    </w:p>
    <w:p w14:paraId="2ACC8680"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Amplasarea în parcuri a unor fântâni cu apă potabilă;</w:t>
      </w:r>
    </w:p>
    <w:p w14:paraId="03509633"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Amenajarea unui parc în zona Pieței Delfinului;</w:t>
      </w:r>
    </w:p>
    <w:p w14:paraId="459ED0C2"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Igienizarea și reamenajarea spațiului verde de pe aleea Vergului nr. 7;</w:t>
      </w:r>
    </w:p>
    <w:p w14:paraId="78BB7F16"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Creșterea numărului de spații verzi de pe str. Mașina de Pâine şi reamenajarea spațiilor verzi existente;</w:t>
      </w:r>
    </w:p>
    <w:p w14:paraId="4C077351"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Amenajarea ca spațiu verde a terenului din zona Țițeica – Barbu Văcărescu utilizat în prezent pentru evenimente culturale;</w:t>
      </w:r>
    </w:p>
    <w:p w14:paraId="54DFBBDF"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Amenajarea de perdele de vegetație în lungul străzilor, inclusiv studierea posibilității realizării unui parteneriat public-privat în acest sens; creșterea suprafețelor de spații verzi din lungul marilor bulevarde;</w:t>
      </w:r>
    </w:p>
    <w:p w14:paraId="263744DD" w14:textId="77777777" w:rsidR="007B5564" w:rsidRPr="00F171A3" w:rsidRDefault="007B5564">
      <w:pPr>
        <w:numPr>
          <w:ilvl w:val="0"/>
          <w:numId w:val="83"/>
        </w:numPr>
        <w:pBdr>
          <w:top w:val="nil"/>
          <w:left w:val="nil"/>
          <w:bottom w:val="nil"/>
          <w:right w:val="nil"/>
          <w:between w:val="nil"/>
        </w:pBdr>
        <w:spacing w:after="60"/>
        <w:rPr>
          <w:rFonts w:cstheme="minorHAnsi"/>
          <w:color w:val="134753" w:themeColor="text2"/>
        </w:rPr>
      </w:pPr>
      <w:r w:rsidRPr="00F171A3">
        <w:rPr>
          <w:rFonts w:cstheme="minorHAnsi"/>
          <w:color w:val="134753"/>
        </w:rPr>
        <w:t xml:space="preserve">Continuarea procesului de amenajare a spațiilor verzi adiacente ansamblurilor de locuințe colective (în ceea ce privește  mobilierul urban este necesară creșterea numărului de bănci) (de exemplu din zona Colentina); se propune implicarea comunităților locale (asociațiile de proprietari) în procesul de amenajare a spațiilor verzi și dezvoltarea unui program de educare a populației cu privire </w:t>
      </w:r>
      <w:r w:rsidRPr="00F171A3">
        <w:rPr>
          <w:rFonts w:cstheme="minorHAnsi"/>
          <w:color w:val="134753" w:themeColor="text2"/>
        </w:rPr>
        <w:t>la amenajarea și mentenanța spațiilor verzi adiacente locuințelor;</w:t>
      </w:r>
    </w:p>
    <w:p w14:paraId="31598683" w14:textId="77777777" w:rsidR="007B5564" w:rsidRPr="00F171A3" w:rsidRDefault="007B5564">
      <w:pPr>
        <w:numPr>
          <w:ilvl w:val="0"/>
          <w:numId w:val="83"/>
        </w:numPr>
        <w:pBdr>
          <w:top w:val="nil"/>
          <w:left w:val="nil"/>
          <w:bottom w:val="nil"/>
          <w:right w:val="nil"/>
          <w:between w:val="nil"/>
        </w:pBdr>
        <w:spacing w:after="60"/>
        <w:rPr>
          <w:rFonts w:cstheme="minorHAnsi"/>
          <w:color w:val="134753" w:themeColor="text2"/>
        </w:rPr>
      </w:pPr>
      <w:r w:rsidRPr="00F171A3">
        <w:rPr>
          <w:rFonts w:cstheme="minorHAnsi"/>
          <w:color w:val="134753" w:themeColor="text2"/>
        </w:rPr>
        <w:t>Necesitatea implementării unor sisteme de supraveghere video a spațiilor publice cu precădere în parcuri (de ex. Morarilor);</w:t>
      </w:r>
    </w:p>
    <w:p w14:paraId="528A1A38" w14:textId="77777777" w:rsidR="007B5564" w:rsidRPr="00F171A3" w:rsidRDefault="007B5564">
      <w:pPr>
        <w:numPr>
          <w:ilvl w:val="0"/>
          <w:numId w:val="83"/>
        </w:numPr>
        <w:pBdr>
          <w:top w:val="nil"/>
          <w:left w:val="nil"/>
          <w:bottom w:val="nil"/>
          <w:right w:val="nil"/>
          <w:between w:val="nil"/>
        </w:pBdr>
        <w:spacing w:after="60"/>
        <w:rPr>
          <w:rFonts w:cstheme="minorHAnsi"/>
          <w:color w:val="134753" w:themeColor="text2"/>
        </w:rPr>
      </w:pPr>
      <w:r w:rsidRPr="00F171A3">
        <w:rPr>
          <w:rFonts w:cstheme="minorHAnsi"/>
          <w:color w:val="134753" w:themeColor="text2"/>
        </w:rPr>
        <w:t xml:space="preserve">Realizarea de toalete publice în spațiile publice: toalete pentru copii, în parcuri; toalete publice pe arterele de circulații intens tranzitate (zona intersecției </w:t>
      </w:r>
      <w:r w:rsidRPr="00F171A3">
        <w:rPr>
          <w:color w:val="134753" w:themeColor="text2"/>
        </w:rPr>
        <w:t>Șos. Colentina și Șos. Fundeni)</w:t>
      </w:r>
      <w:r w:rsidRPr="00F171A3">
        <w:rPr>
          <w:rFonts w:cstheme="minorHAnsi"/>
          <w:color w:val="134753" w:themeColor="text2"/>
        </w:rPr>
        <w:t>;</w:t>
      </w:r>
    </w:p>
    <w:p w14:paraId="171CACE4" w14:textId="77777777" w:rsidR="007B5564" w:rsidRPr="00F171A3" w:rsidRDefault="007B5564">
      <w:pPr>
        <w:numPr>
          <w:ilvl w:val="0"/>
          <w:numId w:val="83"/>
        </w:numPr>
        <w:pBdr>
          <w:top w:val="nil"/>
          <w:left w:val="nil"/>
          <w:bottom w:val="nil"/>
          <w:right w:val="nil"/>
          <w:between w:val="nil"/>
        </w:pBdr>
        <w:spacing w:after="60"/>
        <w:rPr>
          <w:rFonts w:cstheme="minorHAnsi"/>
          <w:color w:val="134753" w:themeColor="text2"/>
        </w:rPr>
      </w:pPr>
      <w:r w:rsidRPr="00F171A3">
        <w:rPr>
          <w:rFonts w:cstheme="minorHAnsi"/>
          <w:color w:val="134753" w:themeColor="text2"/>
        </w:rPr>
        <w:t>Reamenajarea Pieței Spaniei – zonă pietonală;</w:t>
      </w:r>
    </w:p>
    <w:p w14:paraId="42215270" w14:textId="77777777" w:rsidR="007B5564" w:rsidRPr="00F171A3" w:rsidRDefault="007B5564">
      <w:pPr>
        <w:numPr>
          <w:ilvl w:val="0"/>
          <w:numId w:val="83"/>
        </w:numPr>
        <w:pBdr>
          <w:top w:val="nil"/>
          <w:left w:val="nil"/>
          <w:bottom w:val="nil"/>
          <w:right w:val="nil"/>
          <w:between w:val="nil"/>
        </w:pBdr>
        <w:spacing w:after="60"/>
        <w:rPr>
          <w:rFonts w:cstheme="minorHAnsi"/>
          <w:color w:val="134753" w:themeColor="text2"/>
        </w:rPr>
      </w:pPr>
      <w:r w:rsidRPr="00F171A3">
        <w:rPr>
          <w:rFonts w:cstheme="minorHAnsi"/>
          <w:color w:val="134753" w:themeColor="text2"/>
        </w:rPr>
        <w:t xml:space="preserve">Amenajarea unui loc de joacă în vecinătatea miniparcului Țepeș Vodă; </w:t>
      </w:r>
    </w:p>
    <w:p w14:paraId="13646197" w14:textId="77777777" w:rsidR="007B5564" w:rsidRPr="00F171A3" w:rsidRDefault="007B5564">
      <w:pPr>
        <w:numPr>
          <w:ilvl w:val="0"/>
          <w:numId w:val="83"/>
        </w:numPr>
        <w:pBdr>
          <w:top w:val="nil"/>
          <w:left w:val="nil"/>
          <w:bottom w:val="nil"/>
          <w:right w:val="nil"/>
          <w:between w:val="nil"/>
        </w:pBdr>
        <w:spacing w:after="60"/>
        <w:rPr>
          <w:rFonts w:cstheme="minorHAnsi"/>
          <w:color w:val="134753" w:themeColor="text2"/>
        </w:rPr>
      </w:pPr>
      <w:r w:rsidRPr="00F171A3">
        <w:rPr>
          <w:rFonts w:cstheme="minorHAnsi"/>
          <w:color w:val="134753" w:themeColor="text2"/>
        </w:rPr>
        <w:t xml:space="preserve">Modernizarea mobilierului urban din spațiul public: creșterea numărului de coșuri de gunoi de pe străzi și din parcuri; </w:t>
      </w:r>
    </w:p>
    <w:p w14:paraId="0D009B9A" w14:textId="77777777" w:rsidR="007B5564" w:rsidRPr="00F171A3" w:rsidRDefault="007B5564">
      <w:pPr>
        <w:numPr>
          <w:ilvl w:val="0"/>
          <w:numId w:val="83"/>
        </w:numPr>
        <w:pBdr>
          <w:top w:val="nil"/>
          <w:left w:val="nil"/>
          <w:bottom w:val="nil"/>
          <w:right w:val="nil"/>
          <w:between w:val="nil"/>
        </w:pBdr>
        <w:spacing w:after="60"/>
        <w:rPr>
          <w:rFonts w:cstheme="minorHAnsi"/>
          <w:color w:val="134753" w:themeColor="text2"/>
        </w:rPr>
      </w:pPr>
      <w:r w:rsidRPr="00F171A3">
        <w:rPr>
          <w:rFonts w:cstheme="minorHAnsi"/>
          <w:color w:val="134753" w:themeColor="text2"/>
        </w:rPr>
        <w:t>Amenajarea de noi locuri de joacă pentru copii;</w:t>
      </w:r>
    </w:p>
    <w:p w14:paraId="6B5E09D5" w14:textId="77777777" w:rsidR="007B5564" w:rsidRPr="00F171A3" w:rsidRDefault="007B5564">
      <w:pPr>
        <w:numPr>
          <w:ilvl w:val="0"/>
          <w:numId w:val="83"/>
        </w:numPr>
        <w:pBdr>
          <w:top w:val="nil"/>
          <w:left w:val="nil"/>
          <w:bottom w:val="nil"/>
          <w:right w:val="nil"/>
          <w:between w:val="nil"/>
        </w:pBdr>
        <w:spacing w:after="60"/>
        <w:rPr>
          <w:rFonts w:cstheme="minorHAnsi"/>
          <w:color w:val="134753"/>
        </w:rPr>
      </w:pPr>
      <w:r w:rsidRPr="00F171A3">
        <w:rPr>
          <w:rFonts w:cstheme="minorHAnsi"/>
          <w:color w:val="134753"/>
        </w:rPr>
        <w:t>Amenajarea de noi parcuri/locuri de joacă pentru animalele de companie.</w:t>
      </w:r>
    </w:p>
    <w:p w14:paraId="11AC14A3" w14:textId="77777777" w:rsidR="007B5564" w:rsidRPr="00F171A3" w:rsidRDefault="007B5564" w:rsidP="007B5564">
      <w:pPr>
        <w:rPr>
          <w:rFonts w:cstheme="minorHAnsi"/>
          <w:i/>
        </w:rPr>
      </w:pPr>
      <w:r w:rsidRPr="00F171A3">
        <w:rPr>
          <w:rFonts w:cstheme="minorHAnsi"/>
        </w:rPr>
        <w:br w:type="page"/>
      </w:r>
    </w:p>
    <w:p w14:paraId="11A06631" w14:textId="7FA20B4D" w:rsidR="007B5564" w:rsidRPr="00F171A3" w:rsidRDefault="00FF6C80" w:rsidP="00FF6C80">
      <w:pPr>
        <w:pStyle w:val="Caption"/>
        <w:rPr>
          <w:b w:val="0"/>
        </w:rPr>
      </w:pPr>
      <w:bookmarkStart w:id="189" w:name="_heading=h.4iylrwe" w:colFirst="0" w:colLast="0"/>
      <w:bookmarkStart w:id="190" w:name="_Toc127198046"/>
      <w:bookmarkEnd w:id="189"/>
      <w:r w:rsidRPr="00F171A3">
        <w:t xml:space="preserve">Figura </w:t>
      </w:r>
      <w:r w:rsidRPr="00F171A3">
        <w:fldChar w:fldCharType="begin"/>
      </w:r>
      <w:r w:rsidRPr="00F171A3">
        <w:instrText xml:space="preserve"> SEQ Figura \* ARABIC </w:instrText>
      </w:r>
      <w:r w:rsidRPr="00F171A3">
        <w:fldChar w:fldCharType="separate"/>
      </w:r>
      <w:r w:rsidR="005A6DD8">
        <w:rPr>
          <w:noProof/>
        </w:rPr>
        <w:t>58</w:t>
      </w:r>
      <w:r w:rsidRPr="00F171A3">
        <w:fldChar w:fldCharType="end"/>
      </w:r>
      <w:r w:rsidR="007B5564" w:rsidRPr="00F171A3">
        <w:t xml:space="preserve"> Izocrone de accesibilitate pentru spațiile verzi majore (parc / grădină)</w:t>
      </w:r>
      <w:bookmarkEnd w:id="190"/>
    </w:p>
    <w:p w14:paraId="517D2963" w14:textId="77777777" w:rsidR="007B5564" w:rsidRPr="00F171A3" w:rsidRDefault="007B5564" w:rsidP="007B5564">
      <w:pPr>
        <w:pBdr>
          <w:top w:val="nil"/>
          <w:left w:val="nil"/>
          <w:bottom w:val="nil"/>
          <w:right w:val="nil"/>
          <w:between w:val="nil"/>
        </w:pBdr>
        <w:jc w:val="center"/>
        <w:rPr>
          <w:rFonts w:cstheme="minorHAnsi"/>
          <w:i/>
          <w:color w:val="000000"/>
        </w:rPr>
      </w:pPr>
      <w:r w:rsidRPr="00F171A3">
        <w:rPr>
          <w:rFonts w:cstheme="minorHAnsi"/>
          <w:i/>
          <w:noProof/>
          <w:color w:val="000000"/>
        </w:rPr>
        <w:drawing>
          <wp:inline distT="0" distB="0" distL="0" distR="0" wp14:anchorId="0E1E88B0" wp14:editId="446E7292">
            <wp:extent cx="5919288" cy="8364756"/>
            <wp:effectExtent l="0" t="0" r="0" b="0"/>
            <wp:docPr id="2574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05"/>
                    <a:srcRect/>
                    <a:stretch>
                      <a:fillRect/>
                    </a:stretch>
                  </pic:blipFill>
                  <pic:spPr>
                    <a:xfrm>
                      <a:off x="0" y="0"/>
                      <a:ext cx="5919288" cy="8364756"/>
                    </a:xfrm>
                    <a:prstGeom prst="rect">
                      <a:avLst/>
                    </a:prstGeom>
                    <a:ln/>
                  </pic:spPr>
                </pic:pic>
              </a:graphicData>
            </a:graphic>
          </wp:inline>
        </w:drawing>
      </w:r>
    </w:p>
    <w:p w14:paraId="49A98EA9" w14:textId="7136409B" w:rsidR="007B5564" w:rsidRPr="00F171A3" w:rsidRDefault="007B5564" w:rsidP="00FF6C80">
      <w:pPr>
        <w:jc w:val="right"/>
        <w:rPr>
          <w:color w:val="BFBFBF" w:themeColor="background1" w:themeShade="BF"/>
        </w:rPr>
      </w:pPr>
      <w:r w:rsidRPr="00F171A3">
        <w:rPr>
          <w:color w:val="BFBFBF" w:themeColor="background1" w:themeShade="BF"/>
        </w:rPr>
        <w:t xml:space="preserve">Sursa: </w:t>
      </w:r>
      <w:r w:rsidR="00FF6C80" w:rsidRPr="00F171A3">
        <w:rPr>
          <w:color w:val="BFBFBF" w:themeColor="background1" w:themeShade="BF"/>
        </w:rPr>
        <w:t>P</w:t>
      </w:r>
      <w:r w:rsidRPr="00F171A3">
        <w:rPr>
          <w:color w:val="BFBFBF" w:themeColor="background1" w:themeShade="BF"/>
        </w:rPr>
        <w:t>relucrarea consultantului</w:t>
      </w:r>
    </w:p>
    <w:p w14:paraId="08D2BF1E" w14:textId="5390533D" w:rsidR="007B5564" w:rsidRPr="00F171A3" w:rsidRDefault="001E0A0F" w:rsidP="001E0A0F">
      <w:pPr>
        <w:pStyle w:val="Heading4"/>
      </w:pPr>
      <w:bookmarkStart w:id="191" w:name="_heading=h.2y3w247" w:colFirst="0" w:colLast="0"/>
      <w:bookmarkStart w:id="192" w:name="_Toc114505867"/>
      <w:bookmarkEnd w:id="191"/>
      <w:r w:rsidRPr="00F171A3">
        <w:t>REȚEAUA DE DOTĂRI COMUNITARE</w:t>
      </w:r>
      <w:bookmarkEnd w:id="192"/>
    </w:p>
    <w:p w14:paraId="17FA8D96" w14:textId="77777777" w:rsidR="007B5564" w:rsidRPr="00F171A3" w:rsidRDefault="007B5564" w:rsidP="007B5564">
      <w:pPr>
        <w:pBdr>
          <w:top w:val="nil"/>
          <w:left w:val="nil"/>
          <w:bottom w:val="nil"/>
          <w:right w:val="nil"/>
          <w:between w:val="nil"/>
        </w:pBdr>
        <w:rPr>
          <w:rFonts w:cstheme="minorHAnsi"/>
          <w:color w:val="000000"/>
        </w:rPr>
      </w:pPr>
      <w:r w:rsidRPr="00F171A3">
        <w:rPr>
          <w:rFonts w:cstheme="minorHAnsi"/>
          <w:color w:val="000000"/>
        </w:rPr>
        <w:t xml:space="preserve">În categoria spațiilor publice de tip punct sunt incluse și dotări comunitare, precum piețe agroalimentare, librării, centre culturale/comunitare. În cadrul prezentului capitol se are în vedere analiza infrastructurii de piețe agroalimentare de pe teritoriul Sectorului 2 aflate în administrarea directă sau indirectă a Administrației Piețelor Sector 2 și de spații și echipamente destinate amenajării de piețe volante, sezoniere, sau temporare. </w:t>
      </w:r>
    </w:p>
    <w:p w14:paraId="02166300" w14:textId="7CDBFE17" w:rsidR="007B5564" w:rsidRPr="00F171A3" w:rsidRDefault="007B5564" w:rsidP="007B5564">
      <w:pPr>
        <w:pBdr>
          <w:top w:val="nil"/>
          <w:left w:val="nil"/>
          <w:bottom w:val="nil"/>
          <w:right w:val="nil"/>
          <w:between w:val="nil"/>
        </w:pBdr>
        <w:rPr>
          <w:rFonts w:cstheme="minorHAnsi"/>
          <w:color w:val="000000"/>
        </w:rPr>
      </w:pPr>
      <w:r w:rsidRPr="00F171A3">
        <w:rPr>
          <w:rFonts w:cstheme="minorHAnsi"/>
          <w:color w:val="000000"/>
        </w:rPr>
        <w:t>Conform adresei nr. 546/06.05.2022 primite din partea Administrației Piețelor Sector 2, în prezent, există în administrare directă 3 piețe agroalimentare: Hala Terminal - Piața Obor, pentru care se află în curs de elaborare documentația tehnico-economică pentru modernizarea clădirii, Piața Delfinului (Rotondă), Piața Colentina (Strada Cremenița) (piață modernizată integral în 2020). La acestea se adaugă 11 piețe aflate în administrare indirectă</w:t>
      </w:r>
      <w:r w:rsidRPr="00F171A3">
        <w:rPr>
          <w:rFonts w:cstheme="minorHAnsi"/>
          <w:color w:val="000000"/>
          <w:vertAlign w:val="superscript"/>
        </w:rPr>
        <w:footnoteReference w:id="98"/>
      </w:r>
      <w:r w:rsidRPr="00F171A3">
        <w:rPr>
          <w:rFonts w:cstheme="minorHAnsi"/>
          <w:color w:val="000000"/>
        </w:rPr>
        <w:t xml:space="preserve"> (Piața Obor Market &amp; Mall-Complex Comercial, Piața Aghireș, Piața Dimitrie Pompeiu, Târg de produse casnice și uz gospodăresc, Piața de flori Colentina, Piața Cernăuți, Piața Maica Domnului, Piața Mihai Bravu, Piața Latină, Piața Galați), dintre care două piețe (Piața de flori Colentina și Piața Cernăuți) sunt în prezent nefuncționale.</w:t>
      </w:r>
      <w:r w:rsidR="008A1AFD">
        <w:rPr>
          <w:rFonts w:cstheme="minorHAnsi"/>
          <w:color w:val="000000"/>
        </w:rPr>
        <w:t xml:space="preserve"> A</w:t>
      </w:r>
      <w:r w:rsidRPr="00F171A3">
        <w:rPr>
          <w:rFonts w:cstheme="minorHAnsi"/>
          <w:color w:val="000000"/>
        </w:rPr>
        <w:t>dministrația publică locală derulează un proiect pilot de amenajare a 5 spații publice în care vor fi organizate piețe volante, sezoniere sau temporare: Piața Cernăuți, intersecția Bd. Carol cu Str. Paleologu, B-dul Basarabiei (alee de acces în Parcul Național), B-dul Basarabiei (în zona de intrare a stadionului), B-dul Chișinău (Piața Delfinului). Investițiile necesare funcționalizării piețelor volante/sezoniere includ achiziția de chioșcuri, dotarea cu toalete ecologice și asigurarea echipamentelor suport (cântare de control etc).</w:t>
      </w:r>
    </w:p>
    <w:p w14:paraId="2FE0B09F" w14:textId="77777777" w:rsidR="007B5564" w:rsidRPr="00F171A3" w:rsidRDefault="007B5564" w:rsidP="007B5564">
      <w:pPr>
        <w:pBdr>
          <w:top w:val="nil"/>
          <w:left w:val="nil"/>
          <w:bottom w:val="nil"/>
          <w:right w:val="nil"/>
          <w:between w:val="nil"/>
        </w:pBdr>
        <w:rPr>
          <w:rFonts w:cstheme="minorHAnsi"/>
          <w:color w:val="000000"/>
        </w:rPr>
      </w:pPr>
      <w:r w:rsidRPr="00F171A3">
        <w:rPr>
          <w:rFonts w:cstheme="minorHAnsi"/>
          <w:color w:val="000000"/>
        </w:rPr>
        <w:t>Deficiențele majore cu care se confruntă administrația publică locală, în ceea ce privește infrastructura de piețe agroalimentare, sunt reprezentate de gradul mic de ocupare al piețelor agroalimentare, în paralel cu dezvoltarea comerțului online în detrimentul spațiilor comerciale clasice, dezvoltarea unui număr semnificativ de supermarketuri/hipermarketuri în zonele de deservire ale piețelor agroalimentare (de exemplu în zona Obor și în vecinătatea pieței Delfinului) și totodată existența unui număr foarte mare de vânzători ambulanți sau chioșcuri private amplasate pe domeniul public în zonele cu trafic pietonal intens (de exemplu zona Obor) sau în cadrul ansamblurilor de locuințe colective.</w:t>
      </w:r>
    </w:p>
    <w:p w14:paraId="59E49163" w14:textId="77777777" w:rsidR="007B5564" w:rsidRPr="00F171A3" w:rsidRDefault="007B5564" w:rsidP="007B5564">
      <w:pPr>
        <w:pBdr>
          <w:top w:val="nil"/>
          <w:left w:val="nil"/>
          <w:bottom w:val="nil"/>
          <w:right w:val="nil"/>
          <w:between w:val="nil"/>
        </w:pBdr>
        <w:rPr>
          <w:rFonts w:cstheme="minorHAnsi"/>
          <w:color w:val="000000"/>
        </w:rPr>
      </w:pPr>
      <w:r w:rsidRPr="00F171A3">
        <w:rPr>
          <w:rFonts w:cstheme="minorHAnsi"/>
          <w:color w:val="000000"/>
        </w:rPr>
        <w:t>În ceea ce privește accesibilitatea populației din Sectorul 2 la piețele agroalimentare amplasate în vecinătatea locuințelor, persoanele respondente au declar că piețele agroalimentare (</w:t>
      </w:r>
      <w:r w:rsidRPr="00F171A3">
        <w:t>57,1% confirmă accesul facil)</w:t>
      </w:r>
      <w:r w:rsidRPr="00F171A3">
        <w:rPr>
          <w:rFonts w:cstheme="minorHAnsi"/>
          <w:color w:val="000000"/>
        </w:rPr>
        <w:t xml:space="preserve"> au un acces semnificativ redus prin comparație cu </w:t>
      </w:r>
      <w:r w:rsidRPr="00F171A3">
        <w:t xml:space="preserve">magazine de tip supermarket și/sau hypermarket (83,6% confirmă accesul facil). În același timp, Piața Obor est recunoscută ca fiind una dintre principalele resurse ale Sectorului 2, care pot fi valorificare pentru dezvoltarea durabilă a acestuia. </w:t>
      </w:r>
    </w:p>
    <w:p w14:paraId="30AA7AB4" w14:textId="77777777" w:rsidR="007B5564" w:rsidRPr="00F171A3" w:rsidRDefault="007B5564" w:rsidP="007B5564">
      <w:pPr>
        <w:pBdr>
          <w:top w:val="nil"/>
          <w:left w:val="nil"/>
          <w:bottom w:val="nil"/>
          <w:right w:val="nil"/>
          <w:between w:val="nil"/>
        </w:pBdr>
        <w:rPr>
          <w:rFonts w:cstheme="minorHAnsi"/>
        </w:rPr>
      </w:pPr>
      <w:r w:rsidRPr="00F171A3">
        <w:rPr>
          <w:rFonts w:cstheme="minorHAnsi"/>
        </w:rPr>
        <w:t xml:space="preserve">În cadrul procesului de consultare a cetățenilor cu privire la prioritățile de dezvoltare pe termen lung a Sectorului 2, în ceea ce privește dezvoltarea rețelei de dotări comunitare – piețe agroalimentare – au fost semnalate următoarele necesități și propuneri de dezvoltare: </w:t>
      </w:r>
    </w:p>
    <w:p w14:paraId="173208E9" w14:textId="77777777" w:rsidR="007B5564" w:rsidRPr="00F171A3" w:rsidRDefault="007B5564">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Starea precară în care se află Piața Galați și necesitatea modernizării acesteia;</w:t>
      </w:r>
    </w:p>
    <w:p w14:paraId="758C8AFD" w14:textId="77777777" w:rsidR="007B5564" w:rsidRPr="00F171A3" w:rsidRDefault="007B5564">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Amenajarea unei piețe volante în zona Colentina;</w:t>
      </w:r>
    </w:p>
    <w:p w14:paraId="2BBCFC87" w14:textId="77777777" w:rsidR="007B5564" w:rsidRPr="00F171A3" w:rsidRDefault="007B5564">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Piața Colentina (Strada Cremenița), deși a fost modernizată, nu are utilizatori, locuitorii necesitând deschiderea acesteia; studierea posibilității transformării Pieței Colentina în piață de gros;</w:t>
      </w:r>
    </w:p>
    <w:p w14:paraId="0C30A12F" w14:textId="77777777" w:rsidR="007B5564" w:rsidRPr="00F171A3" w:rsidRDefault="007B5564">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 xml:space="preserve">Modernizarea Pieței Delfinului.  </w:t>
      </w:r>
    </w:p>
    <w:p w14:paraId="40A44F42" w14:textId="77777777" w:rsidR="007B5564" w:rsidRPr="00F171A3" w:rsidRDefault="007B5564" w:rsidP="007B5564">
      <w:pPr>
        <w:pBdr>
          <w:top w:val="nil"/>
          <w:left w:val="nil"/>
          <w:bottom w:val="nil"/>
          <w:right w:val="nil"/>
          <w:between w:val="nil"/>
        </w:pBdr>
        <w:rPr>
          <w:rFonts w:cstheme="minorHAnsi"/>
          <w:color w:val="000000"/>
        </w:rPr>
      </w:pPr>
    </w:p>
    <w:p w14:paraId="7A815FE1" w14:textId="77777777" w:rsidR="007B5564" w:rsidRPr="00F171A3" w:rsidRDefault="007B5564" w:rsidP="007B5564">
      <w:pPr>
        <w:spacing w:after="0"/>
        <w:jc w:val="left"/>
        <w:rPr>
          <w:rFonts w:cstheme="minorHAnsi"/>
          <w:i/>
        </w:rPr>
      </w:pPr>
      <w:r w:rsidRPr="00F171A3">
        <w:rPr>
          <w:rFonts w:cstheme="minorHAnsi"/>
        </w:rPr>
        <w:br w:type="page"/>
      </w:r>
    </w:p>
    <w:p w14:paraId="504830D3" w14:textId="4C629BD0" w:rsidR="007B5564" w:rsidRPr="00F171A3" w:rsidRDefault="00FF6C80" w:rsidP="00FF6C80">
      <w:pPr>
        <w:pStyle w:val="Caption"/>
        <w:rPr>
          <w:b w:val="0"/>
        </w:rPr>
      </w:pPr>
      <w:bookmarkStart w:id="193" w:name="_heading=h.1d96cc0" w:colFirst="0" w:colLast="0"/>
      <w:bookmarkStart w:id="194" w:name="_Toc127198047"/>
      <w:bookmarkEnd w:id="193"/>
      <w:r w:rsidRPr="00F171A3">
        <w:t xml:space="preserve">Figura </w:t>
      </w:r>
      <w:r w:rsidRPr="00F171A3">
        <w:fldChar w:fldCharType="begin"/>
      </w:r>
      <w:r w:rsidRPr="00F171A3">
        <w:instrText xml:space="preserve"> SEQ Figura \* ARABIC </w:instrText>
      </w:r>
      <w:r w:rsidRPr="00F171A3">
        <w:fldChar w:fldCharType="separate"/>
      </w:r>
      <w:r w:rsidR="005A6DD8">
        <w:rPr>
          <w:noProof/>
        </w:rPr>
        <w:t>59</w:t>
      </w:r>
      <w:r w:rsidRPr="00F171A3">
        <w:fldChar w:fldCharType="end"/>
      </w:r>
      <w:r w:rsidRPr="00F171A3">
        <w:t xml:space="preserve"> </w:t>
      </w:r>
      <w:r w:rsidR="007B5564" w:rsidRPr="00F171A3">
        <w:t>Distribuția spațială a piețelor agroalimentare și spațiilor destinate piețelor volante/sezoniere din Sectorul 2</w:t>
      </w:r>
      <w:bookmarkEnd w:id="194"/>
    </w:p>
    <w:p w14:paraId="7C85F2AE" w14:textId="77777777" w:rsidR="007B5564" w:rsidRPr="00F171A3" w:rsidRDefault="007B5564" w:rsidP="007B5564">
      <w:pPr>
        <w:pBdr>
          <w:top w:val="nil"/>
          <w:left w:val="nil"/>
          <w:bottom w:val="nil"/>
          <w:right w:val="nil"/>
          <w:between w:val="nil"/>
        </w:pBdr>
        <w:jc w:val="center"/>
        <w:rPr>
          <w:rFonts w:cstheme="minorHAnsi"/>
          <w:color w:val="000000"/>
        </w:rPr>
      </w:pPr>
      <w:r w:rsidRPr="00F171A3">
        <w:rPr>
          <w:rFonts w:cstheme="minorHAnsi"/>
          <w:noProof/>
          <w:color w:val="000000"/>
        </w:rPr>
        <w:drawing>
          <wp:inline distT="0" distB="0" distL="0" distR="0" wp14:anchorId="5C2E3270" wp14:editId="7351E600">
            <wp:extent cx="5820274" cy="8229152"/>
            <wp:effectExtent l="0" t="0" r="0" b="0"/>
            <wp:docPr id="2574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06"/>
                    <a:srcRect/>
                    <a:stretch>
                      <a:fillRect/>
                    </a:stretch>
                  </pic:blipFill>
                  <pic:spPr>
                    <a:xfrm>
                      <a:off x="0" y="0"/>
                      <a:ext cx="5820274" cy="8229152"/>
                    </a:xfrm>
                    <a:prstGeom prst="rect">
                      <a:avLst/>
                    </a:prstGeom>
                    <a:ln/>
                  </pic:spPr>
                </pic:pic>
              </a:graphicData>
            </a:graphic>
          </wp:inline>
        </w:drawing>
      </w:r>
    </w:p>
    <w:p w14:paraId="39BBE9DC" w14:textId="77777777" w:rsidR="007B5564" w:rsidRPr="00F171A3" w:rsidRDefault="007B5564" w:rsidP="00FF6C80">
      <w:pPr>
        <w:jc w:val="right"/>
        <w:rPr>
          <w:color w:val="BFBFBF" w:themeColor="background1" w:themeShade="BF"/>
        </w:rPr>
      </w:pPr>
      <w:r w:rsidRPr="00F171A3">
        <w:rPr>
          <w:color w:val="BFBFBF" w:themeColor="background1" w:themeShade="BF"/>
        </w:rPr>
        <w:t>Sursa: Administrația Piețelor Sector 2</w:t>
      </w:r>
    </w:p>
    <w:p w14:paraId="79075F15" w14:textId="77777777" w:rsidR="007B5564" w:rsidRPr="00F171A3" w:rsidRDefault="007B5564" w:rsidP="007B5564">
      <w:pPr>
        <w:keepNext/>
        <w:pBdr>
          <w:top w:val="nil"/>
          <w:left w:val="nil"/>
          <w:bottom w:val="nil"/>
          <w:right w:val="nil"/>
          <w:between w:val="nil"/>
        </w:pBdr>
        <w:rPr>
          <w:rFonts w:cstheme="minorHAnsi"/>
          <w:b/>
          <w:color w:val="134753"/>
        </w:rPr>
      </w:pPr>
      <w:r w:rsidRPr="00F171A3">
        <w:rPr>
          <w:rFonts w:cstheme="minorHAnsi"/>
          <w:b/>
          <w:color w:val="134753"/>
        </w:rPr>
        <w:t>Concluzii</w:t>
      </w:r>
    </w:p>
    <w:p w14:paraId="2AD79161" w14:textId="77777777" w:rsidR="007B5564" w:rsidRPr="00F171A3" w:rsidRDefault="007B5564" w:rsidP="007B5564">
      <w:pPr>
        <w:rPr>
          <w:rFonts w:cstheme="minorHAnsi"/>
        </w:rPr>
      </w:pPr>
      <w:r w:rsidRPr="00F171A3">
        <w:rPr>
          <w:rFonts w:cstheme="minorHAnsi"/>
        </w:rPr>
        <w:t>În concluzie, deși Sectorul 2 este lipsit de spații verzi de mare amploare, investițiile constante în noi parcuri și scuaruri și în amenajarea spațiilor verzi aferente ansamblurilor de locuințe colective au reușit să asigure o bună deservire cu spații publice a majorității zonelor rezidențiale. Cu toate acestea, deși spațiile verzi aferente ansamblurilor de locuințe au contribuit la asigurarea un confort sporit pentru comunitatea locală, Sectorul 2 prezintă în continuare un deficit major din perspectiva numărului minim de metri pătrați de spațiu verde pe cap de locuitor, fiind astfel necesară identificarea unor soluții pe termen lung de extindere a acestor spații. Așadar, există rezerve de teren și spații publice abandonate care pot fi valorificate pentru a completa rețeaua de spații publice. Sectorul 2 este lipsit în continuare de spații publice reprezentative, ample zone pietonale care să poată găzdui evenimente pentru comunitate dar și pentru vizitatori, deși există zone cu un mare potențial de a prelua acest rol.</w:t>
      </w:r>
    </w:p>
    <w:p w14:paraId="2AF10DAE" w14:textId="77777777" w:rsidR="007B5564" w:rsidRPr="00F171A3" w:rsidRDefault="007B5564" w:rsidP="007B5564">
      <w:pPr>
        <w:rPr>
          <w:rFonts w:cstheme="minorHAnsi"/>
        </w:rPr>
      </w:pPr>
      <w:r w:rsidRPr="00F171A3">
        <w:rPr>
          <w:rFonts w:cstheme="minorHAnsi"/>
        </w:rPr>
        <w:t>Marile artere rutiere preiau rolul de spații publice lineare datorită unor pietonale generoase. Cu toate acestea, imaginea urbană precară, circulația pietonală îngreunată de obstacole (chioșcuri, terase ilegale sau mașini parcate) și activități neadecvate, determină calitatea acestor spații publice să fie una redusă.</w:t>
      </w:r>
    </w:p>
    <w:p w14:paraId="20461B55" w14:textId="790EEE41" w:rsidR="007B5564" w:rsidRPr="00F171A3" w:rsidRDefault="007B5564" w:rsidP="007B5564">
      <w:pPr>
        <w:rPr>
          <w:rFonts w:cstheme="minorHAnsi"/>
          <w:color w:val="000000"/>
        </w:rPr>
      </w:pPr>
      <w:r w:rsidRPr="00F171A3">
        <w:rPr>
          <w:rFonts w:cstheme="minorHAnsi"/>
          <w:color w:val="000000"/>
        </w:rPr>
        <w:t>Pentru a ameliora calitatea locuirii va fi nevoie de suplimentarea spațiilor publice de tip scuar sau piațetă în incintele locuințelor colective și va fi necesară amenajarea spațiilor publice de mici dimensiuni existente în zona centrală, în cadrul țesutului istoric tradițional. In acest sens, administrația publică locală a inițiat implementarea unor proiecte de amenajare de spații publice și de regenerare urbană în zona centrală și în cartierele Colentina – Tei și Obor. De asemenea, va fi esențial demersul amenajării malurilor de lac, operațiune demarată de Primăria Sectorului 2, astfel încât să se poată forma un traseu de agrement la nivelul municipiului București.</w:t>
      </w:r>
    </w:p>
    <w:p w14:paraId="274B6859" w14:textId="77777777" w:rsidR="008A6FAE" w:rsidRPr="00F171A3" w:rsidRDefault="008A6FAE" w:rsidP="007B5564">
      <w:pPr>
        <w:rPr>
          <w:highlight w:val="yellow"/>
        </w:rPr>
        <w:sectPr w:rsidR="008A6FAE" w:rsidRPr="00F171A3" w:rsidSect="00135952">
          <w:pgSz w:w="11907" w:h="16839" w:code="9"/>
          <w:pgMar w:top="1151" w:right="1440" w:bottom="1440" w:left="1021" w:header="709" w:footer="284" w:gutter="0"/>
          <w:cols w:space="708"/>
          <w:titlePg/>
          <w:docGrid w:linePitch="360"/>
        </w:sectPr>
      </w:pPr>
    </w:p>
    <w:p w14:paraId="613F6F12" w14:textId="31FD9E5A" w:rsidR="0011330B" w:rsidRPr="00F171A3" w:rsidRDefault="00000000" w:rsidP="0011330B">
      <w:pPr>
        <w:pStyle w:val="Heading2"/>
        <w:rPr>
          <w:lang w:val="ro-RO"/>
        </w:rPr>
      </w:pPr>
      <w:hyperlink w:anchor="_Toc493866722" w:history="1">
        <w:bookmarkStart w:id="195" w:name="_Toc127199274"/>
        <w:r w:rsidR="00213A2E" w:rsidRPr="00F171A3">
          <w:rPr>
            <w:caps w:val="0"/>
            <w:lang w:val="ro-RO"/>
          </w:rPr>
          <w:t>PROFIL ECONOMI</w:t>
        </w:r>
      </w:hyperlink>
      <w:r w:rsidR="00213A2E" w:rsidRPr="00F171A3">
        <w:rPr>
          <w:caps w:val="0"/>
          <w:lang w:val="ro-RO"/>
        </w:rPr>
        <w:t>C</w:t>
      </w:r>
      <w:bookmarkEnd w:id="195"/>
    </w:p>
    <w:p w14:paraId="373879F9" w14:textId="41BA24FF" w:rsidR="00161769" w:rsidRPr="00F171A3" w:rsidRDefault="001E0A0F" w:rsidP="00161769">
      <w:pPr>
        <w:pStyle w:val="Heading3"/>
        <w:rPr>
          <w:lang w:val="ro-RO"/>
        </w:rPr>
      </w:pPr>
      <w:bookmarkStart w:id="196" w:name="_Toc127199275"/>
      <w:r w:rsidRPr="00F171A3">
        <w:rPr>
          <w:caps w:val="0"/>
          <w:lang w:val="ro-RO"/>
        </w:rPr>
        <w:t>SECTORUL 2 ÎN CONTEXTUL CAPITALEI ȘI LA NIVEL REGIONAL ȘI NAȚIONAL</w:t>
      </w:r>
      <w:bookmarkEnd w:id="196"/>
    </w:p>
    <w:p w14:paraId="0CAC29A4" w14:textId="55D51CDE" w:rsidR="00161769" w:rsidRPr="00F171A3" w:rsidRDefault="00161769" w:rsidP="00161769">
      <w:r w:rsidRPr="00F171A3">
        <w:t>Conform Eurostat, în anul 2019, ultimul an pentru care erau date disponibile la momentul analizei, PIB-ul regiunii București-Ilfov era de circa 61,7 mil. EUR din care 55,4 mil. EUR reprezenta PIB-ul municipiului București, respectiv 6,2 mil. EUR era PIB-ul județului Ilfov. În dinamică, în perioada 2014-2019, PIB-ul municipiului București în moneda EUR a crescut cu circa 53,8%, peste ritmul de creștere înregistrat la nivel național (+48,1%), dar inferior unor județe cu ritm mai accelerat de creștere (Cluj, Sibiu, etc.). Totuși, pentru a realiza o analiză în termeni comparabili, vom folosi PIB-ul actualizat cu puterea de cumpărare standar</w:t>
      </w:r>
      <w:r w:rsidR="008A1AFD">
        <w:t>d</w:t>
      </w:r>
      <w:r w:rsidRPr="00F171A3">
        <w:t xml:space="preserve"> (PPS) per locuitor. Astfel, la nivelul anului 2019, PIB-ul (PPS)/locuitor al municipiului București a înregistrat o creștere de  50,4% față de anul 2014, depășind rata creștere înregistrată la nivel european, național, și regional. Totodată, Regiunea București-Ilfov și municipiul București reprezintă unica zonă din România care depășește media UE-27 a PIB-ului (PPS)/locuitor. Aceste cifre indică faptul că municipiul București este cel mai important motor economic din țară și un important motor economic din Europa de Sud-Est.</w:t>
      </w:r>
    </w:p>
    <w:p w14:paraId="43C6266F" w14:textId="77777777" w:rsidR="00161769" w:rsidRPr="00F171A3" w:rsidRDefault="00161769" w:rsidP="00161769">
      <w:r w:rsidRPr="00F171A3">
        <w:t xml:space="preserve">În acest context, Sectorul 2 se bucură de o poziție favorabilă, fiind poziționat în cea mai competitivă regiune și cel mai competitiv oraș din punct de vedere economic. Acest fapt relevă setul de oportunități și avantaje economice de care beneficiază Sectorul 2 în vederea creșterii economice cantitative și calitative, ceea ce în final duce la creșterea calității vieții. </w:t>
      </w:r>
    </w:p>
    <w:p w14:paraId="23BD5076" w14:textId="272C04E5" w:rsidR="00161769" w:rsidRPr="00F171A3" w:rsidRDefault="00161769" w:rsidP="00161769">
      <w:pPr>
        <w:pStyle w:val="Caption"/>
      </w:pPr>
      <w:bookmarkStart w:id="197" w:name="_Toc127198048"/>
      <w:r w:rsidRPr="00F171A3">
        <w:t xml:space="preserve">Figura </w:t>
      </w:r>
      <w:r w:rsidRPr="00F171A3">
        <w:fldChar w:fldCharType="begin"/>
      </w:r>
      <w:r w:rsidRPr="00F171A3">
        <w:instrText xml:space="preserve"> SEQ Figura \* ARABIC </w:instrText>
      </w:r>
      <w:r w:rsidRPr="00F171A3">
        <w:fldChar w:fldCharType="separate"/>
      </w:r>
      <w:r w:rsidR="005A6DD8">
        <w:rPr>
          <w:noProof/>
        </w:rPr>
        <w:t>60</w:t>
      </w:r>
      <w:r w:rsidRPr="00F171A3">
        <w:fldChar w:fldCharType="end"/>
      </w:r>
      <w:r w:rsidRPr="00F171A3">
        <w:t xml:space="preserve"> Evoluția pib (pps)/locuitor în perioada 2014-2019</w:t>
      </w:r>
      <w:bookmarkEnd w:id="197"/>
    </w:p>
    <w:p w14:paraId="30C47411" w14:textId="77777777" w:rsidR="00161769" w:rsidRPr="00F171A3" w:rsidRDefault="00161769" w:rsidP="00161769">
      <w:r w:rsidRPr="00F171A3">
        <w:rPr>
          <w:noProof/>
        </w:rPr>
        <w:drawing>
          <wp:inline distT="0" distB="0" distL="0" distR="0" wp14:anchorId="13244468" wp14:editId="71610785">
            <wp:extent cx="5996940" cy="3200400"/>
            <wp:effectExtent l="0" t="0" r="3810" b="0"/>
            <wp:docPr id="48" name="Chart 256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BA588AA" w14:textId="77777777" w:rsidR="00161769" w:rsidRPr="00F171A3" w:rsidRDefault="00161769" w:rsidP="0046391E">
      <w:pPr>
        <w:jc w:val="right"/>
        <w:rPr>
          <w:color w:val="BFBFBF" w:themeColor="background1" w:themeShade="BF"/>
        </w:rPr>
      </w:pPr>
      <w:r w:rsidRPr="00F171A3">
        <w:rPr>
          <w:color w:val="BFBFBF" w:themeColor="background1" w:themeShade="BF"/>
        </w:rPr>
        <w:t>Sursa: Baza de date Eurostat</w:t>
      </w:r>
    </w:p>
    <w:p w14:paraId="1878CF75" w14:textId="6BC15C65" w:rsidR="00161769" w:rsidRPr="00F171A3" w:rsidRDefault="00161769" w:rsidP="00161769">
      <w:r w:rsidRPr="00F171A3">
        <w:t>Conform bazei de date Eurostat, în anul 2019, 30% din valoarea adăugată brută (VAB) din municipiul București era generată de către sectoarele: intermedieri financiare și asigurări, tranzacții imobiliare, servicii administrative și activități profesionale, științifice și tehnice, urmând comerțul, tran</w:t>
      </w:r>
      <w:r w:rsidR="008A1AFD">
        <w:t>s</w:t>
      </w:r>
      <w:r w:rsidRPr="00F171A3">
        <w:t>porturile și HORECA (19%), IT&amp;C (14%), administrație publică (7%). Totuși, acestea nu sunt complet defalcate la nivel de secțiune CAEN, ceea ce denaturează imaginea completă asupra structurii valorii adăugate. Totuși, în următoarele sub-capitole, o imagine mai clară asupra ramurilor economice din Sectorul 2 va fi disponibilă în baza raportului între cifra de afaceri și numărul de salariați.</w:t>
      </w:r>
    </w:p>
    <w:p w14:paraId="6DBB6BFB" w14:textId="0D2173E7" w:rsidR="00161769" w:rsidRPr="00F171A3" w:rsidRDefault="00161769" w:rsidP="00161769">
      <w:pPr>
        <w:pStyle w:val="Caption"/>
      </w:pPr>
      <w:bookmarkStart w:id="198" w:name="_Toc127198049"/>
      <w:r w:rsidRPr="00F171A3">
        <w:t xml:space="preserve">Figura </w:t>
      </w:r>
      <w:r w:rsidRPr="00F171A3">
        <w:fldChar w:fldCharType="begin"/>
      </w:r>
      <w:r w:rsidRPr="00F171A3">
        <w:instrText xml:space="preserve"> SEQ Figura \* ARABIC </w:instrText>
      </w:r>
      <w:r w:rsidRPr="00F171A3">
        <w:fldChar w:fldCharType="separate"/>
      </w:r>
      <w:r w:rsidR="005A6DD8">
        <w:rPr>
          <w:noProof/>
        </w:rPr>
        <w:t>61</w:t>
      </w:r>
      <w:r w:rsidRPr="00F171A3">
        <w:fldChar w:fldCharType="end"/>
      </w:r>
      <w:r w:rsidRPr="00F171A3">
        <w:t xml:space="preserve"> Structura VAB în municipiul bucurești pe sectoare ale economiei naționale, în anul 2019</w:t>
      </w:r>
      <w:bookmarkEnd w:id="198"/>
    </w:p>
    <w:p w14:paraId="4A2A6A07" w14:textId="77777777" w:rsidR="00161769" w:rsidRPr="00F171A3" w:rsidRDefault="00161769" w:rsidP="00161769">
      <w:r w:rsidRPr="00F171A3">
        <w:rPr>
          <w:noProof/>
        </w:rPr>
        <w:drawing>
          <wp:inline distT="0" distB="0" distL="0" distR="0" wp14:anchorId="326A6CEF" wp14:editId="37E1CACA">
            <wp:extent cx="6067425" cy="4695825"/>
            <wp:effectExtent l="0" t="0" r="0" b="0"/>
            <wp:docPr id="49" name="Chart 256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8327378" w14:textId="77777777" w:rsidR="00161769" w:rsidRPr="00F171A3" w:rsidRDefault="00161769" w:rsidP="0046391E">
      <w:pPr>
        <w:jc w:val="right"/>
        <w:rPr>
          <w:color w:val="BFBFBF" w:themeColor="background1" w:themeShade="BF"/>
        </w:rPr>
      </w:pPr>
      <w:r w:rsidRPr="00F171A3">
        <w:rPr>
          <w:color w:val="BFBFBF" w:themeColor="background1" w:themeShade="BF"/>
        </w:rPr>
        <w:t>Sursa: Baza de date Eurostat</w:t>
      </w:r>
    </w:p>
    <w:p w14:paraId="2284B623" w14:textId="77777777" w:rsidR="00161769" w:rsidRPr="00F171A3" w:rsidRDefault="00161769" w:rsidP="00161769">
      <w:r w:rsidRPr="00F171A3">
        <w:t>Analiza valorii adăugate brute (VAB) indică încă odată impactul și contribuția semnificativă a municipiului București la economia regională și națională. Astfel, Capitala contribuia în anul 2019 cu 24,9% la VAB național (față de 23,9% în anul 2014) și cu 89,9% (față de 90,3%, în anul 2014) la VAB regional. Aceste cifre vorbesc despre rolul tot mai important al Capitalei în modernizarea și inovarea economiei românești. La nivelul ramurilor economice, 55% din totalul VAB generat în țară în sectorul IT&amp;C era realizat de către municipiul București. În domeniul domeniul artei și culturii, municipiul București genera 32% din totalul înregistrat la nivel național în această ramură, și 37% din domeniul intermedierilor financiare și asigurărilor, tranzacțiilor imobiliare, activităților profesionale, științifice și suport.</w:t>
      </w:r>
    </w:p>
    <w:p w14:paraId="584C13A3" w14:textId="77777777" w:rsidR="00161769" w:rsidRPr="00F171A3" w:rsidRDefault="00161769" w:rsidP="00161769">
      <w:r w:rsidRPr="00F171A3">
        <w:t>În dinamică, în perioada 2014-2019, valoarea adăugată brută generată de municipiul București a crescut cu 57,2% iar cea a regiunii București - Ilfov cu 58%, peste ritmul de creștere înregistrat la nivel național (51,4%) și european (18,7%), dar sub ritmul de creștere înregistrat în unele județe din țară, precum Cluj (70,1%), Ialomița (75,9%), Satu Mare (64%), etc. Totuși, deși mai multe județe au înregistrat un ritm de creștere superior, valoarea adăugată brută generată de acestea este cu mult inferioară valorilor înregistrate de municipiul București, respectiv de regiunea București – Ilfov, fiind vizibil mai degrabă efectul de bază.</w:t>
      </w:r>
    </w:p>
    <w:p w14:paraId="799A3385" w14:textId="5472DF36" w:rsidR="00161769" w:rsidRPr="00F171A3" w:rsidRDefault="00161769" w:rsidP="00161769">
      <w:pPr>
        <w:pStyle w:val="Caption"/>
      </w:pPr>
      <w:bookmarkStart w:id="199" w:name="_Toc127198050"/>
      <w:r w:rsidRPr="00F171A3">
        <w:t xml:space="preserve">Figura </w:t>
      </w:r>
      <w:r w:rsidRPr="00F171A3">
        <w:fldChar w:fldCharType="begin"/>
      </w:r>
      <w:r w:rsidRPr="00F171A3">
        <w:instrText xml:space="preserve"> SEQ Figura \* ARABIC </w:instrText>
      </w:r>
      <w:r w:rsidRPr="00F171A3">
        <w:fldChar w:fldCharType="separate"/>
      </w:r>
      <w:r w:rsidR="005A6DD8">
        <w:rPr>
          <w:noProof/>
        </w:rPr>
        <w:t>62</w:t>
      </w:r>
      <w:r w:rsidRPr="00F171A3">
        <w:fldChar w:fldCharType="end"/>
      </w:r>
      <w:r w:rsidRPr="00F171A3">
        <w:t xml:space="preserve"> Evoluția VAB la nivelul municipiului bucurești și a celor mai dezvoltate județe din țară (TOP 7), în perioada 2014-2019</w:t>
      </w:r>
      <w:bookmarkEnd w:id="199"/>
    </w:p>
    <w:p w14:paraId="2BB77752" w14:textId="77777777" w:rsidR="00161769" w:rsidRPr="00F171A3" w:rsidRDefault="00161769" w:rsidP="00161769">
      <w:r w:rsidRPr="00F171A3">
        <w:rPr>
          <w:noProof/>
        </w:rPr>
        <w:drawing>
          <wp:inline distT="0" distB="0" distL="0" distR="0" wp14:anchorId="6C2D8989" wp14:editId="2A024B06">
            <wp:extent cx="6153150" cy="3200400"/>
            <wp:effectExtent l="0" t="0" r="0" b="0"/>
            <wp:docPr id="50" name="Chart 256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38693DF6" w14:textId="77777777" w:rsidR="00161769" w:rsidRPr="00F171A3" w:rsidRDefault="00161769" w:rsidP="0046391E">
      <w:pPr>
        <w:jc w:val="right"/>
        <w:rPr>
          <w:color w:val="BFBFBF" w:themeColor="background1" w:themeShade="BF"/>
        </w:rPr>
      </w:pPr>
      <w:r w:rsidRPr="00F171A3">
        <w:rPr>
          <w:color w:val="BFBFBF" w:themeColor="background1" w:themeShade="BF"/>
        </w:rPr>
        <w:t>Sursa: Baza de date Eurostat</w:t>
      </w:r>
    </w:p>
    <w:p w14:paraId="387AD08C" w14:textId="1C962DF7" w:rsidR="00161769" w:rsidRPr="00F171A3" w:rsidRDefault="00161769" w:rsidP="00161769">
      <w:r w:rsidRPr="00F171A3">
        <w:t xml:space="preserve">Prin urmare, putem concluziona prin faptul că municipiul București este principalul motor economic al țării, care concentrează o proporție foarte mare a ramurilor economice cu valoare adăugată sporită, precum intermedieri financiare, asigurări, activități științifice, tehnice, profesionale și IT&amp;C. Competitivitatea economică a orașului este conturată și de universitățile numeroase și puternice care atrag anual mii de tineri și generează ulterior forță de muncă înalt calificată. Pe lângă aceasta, Bucureștiul este principala poartă aeriană a țării și cel mai mare oraș din țară, la mare distanță de următoarele orașe, este nucleul financiar-bancar al țării și capitala țării, unde funcționează numeroase instituții de importanță națională. Prin urmare, aceste aspecte ce oferă un avantaj competitiv economic Capitalei, pot fi considerate premise </w:t>
      </w:r>
      <w:r w:rsidR="008A1AFD" w:rsidRPr="00F171A3">
        <w:t>favorabile</w:t>
      </w:r>
      <w:r w:rsidRPr="00F171A3">
        <w:t xml:space="preserve"> pentru dezvoltarea Sectorului 2, însă în același timp, este necesară o analiză detaliată a modului în care activitatea economică din Sectorul 2 contribuie la poziția de centru economic principal al Capitalei.</w:t>
      </w:r>
    </w:p>
    <w:p w14:paraId="07427A2C" w14:textId="77777777" w:rsidR="00983F17" w:rsidRPr="00F171A3" w:rsidRDefault="00983F17" w:rsidP="00161769"/>
    <w:p w14:paraId="5A9F5DF4" w14:textId="7F2AC315" w:rsidR="00161769" w:rsidRPr="00F171A3" w:rsidRDefault="001E0A0F" w:rsidP="00161769">
      <w:pPr>
        <w:pStyle w:val="Heading3"/>
        <w:rPr>
          <w:lang w:val="ro-RO"/>
        </w:rPr>
      </w:pPr>
      <w:bookmarkStart w:id="200" w:name="_Toc127199276"/>
      <w:r w:rsidRPr="00F171A3">
        <w:rPr>
          <w:caps w:val="0"/>
          <w:lang w:val="ro-RO"/>
        </w:rPr>
        <w:t>MEDIUL DE AFACERI ȘI DINAMICA ANTREPRENORIALĂ</w:t>
      </w:r>
      <w:bookmarkEnd w:id="200"/>
    </w:p>
    <w:p w14:paraId="2EE44457" w14:textId="1651C7F4" w:rsidR="00161769" w:rsidRPr="00F171A3" w:rsidRDefault="00983F17" w:rsidP="00161769">
      <w:pPr>
        <w:rPr>
          <w:b/>
          <w:bCs/>
          <w:color w:val="134753" w:themeColor="text2"/>
        </w:rPr>
      </w:pPr>
      <w:r w:rsidRPr="00F171A3">
        <w:rPr>
          <w:b/>
          <w:bCs/>
          <w:color w:val="134753" w:themeColor="text2"/>
        </w:rPr>
        <w:t>SITUAȚIA ÎNTREPRINDERILOR ACTIVE</w:t>
      </w:r>
    </w:p>
    <w:p w14:paraId="061E8A43" w14:textId="77777777" w:rsidR="00161769" w:rsidRPr="00F171A3" w:rsidRDefault="00161769" w:rsidP="00161769">
      <w:r w:rsidRPr="00F171A3">
        <w:t xml:space="preserve">Conform INS, în anul 2020, în Sectorul 2 din municipiul București activau 25.195 de firme, care includeau peste 256.000 de salariați și generau o cifră de afaceri de 29,9 md. EUR. Față de anul 2014, numărul de firme a crescut cu 11,8% (+2.652), numărul salariaților cu 14,2% (31.783), iar cifra de afaceri generată de aceste firme a crescut cu 55,7% (+10,7 md. EUR). Prin urmare, o creștere atât de accentuată a cifrei de afaceri față de o creștere cu mult mai modestă a numărului de salariați și a numărului de firme indică o creștere a productivității muncii în rândul firmelor din Sectorul 2. Totuși, este important de menționat că datele disponibile fac referire la anul 2020, fiind influențate de pandemia de COVID-19 din anii 2020-2022, cu efecte potențial vizibile până în prezent. O altă sursă de instabilitate și incertitudine economică, alături de o creștere a inflației este cauzată și din conflictul militar din Ucraina. Altfel spus, impactul economic al acestor evenimente va putea fi măsurat și evaluat doar în următorii ani. </w:t>
      </w:r>
    </w:p>
    <w:p w14:paraId="5CAAD8D9" w14:textId="0A216D35" w:rsidR="00161769" w:rsidRPr="00F171A3" w:rsidRDefault="00161769" w:rsidP="00161769">
      <w:pPr>
        <w:pStyle w:val="Caption"/>
      </w:pPr>
      <w:bookmarkStart w:id="201" w:name="_Toc127198051"/>
      <w:r w:rsidRPr="00F171A3">
        <w:t xml:space="preserve">Figura </w:t>
      </w:r>
      <w:r w:rsidRPr="00F171A3">
        <w:fldChar w:fldCharType="begin"/>
      </w:r>
      <w:r w:rsidRPr="00F171A3">
        <w:instrText xml:space="preserve"> SEQ Figura \* ARABIC </w:instrText>
      </w:r>
      <w:r w:rsidRPr="00F171A3">
        <w:fldChar w:fldCharType="separate"/>
      </w:r>
      <w:r w:rsidR="005A6DD8">
        <w:rPr>
          <w:noProof/>
        </w:rPr>
        <w:t>63</w:t>
      </w:r>
      <w:r w:rsidRPr="00F171A3">
        <w:fldChar w:fldCharType="end"/>
      </w:r>
      <w:r w:rsidRPr="00F171A3">
        <w:t xml:space="preserve"> Evoluția principalilor indicatori economici în perioada 2014-2020, în sectorul 2</w:t>
      </w:r>
      <w:bookmarkEnd w:id="201"/>
    </w:p>
    <w:p w14:paraId="214DD2A1" w14:textId="77777777" w:rsidR="00161769" w:rsidRPr="00F171A3" w:rsidRDefault="00161769" w:rsidP="00161769">
      <w:r w:rsidRPr="00F171A3">
        <w:rPr>
          <w:noProof/>
        </w:rPr>
        <w:drawing>
          <wp:inline distT="0" distB="0" distL="0" distR="0" wp14:anchorId="35050191" wp14:editId="1C19F018">
            <wp:extent cx="5962650" cy="2876550"/>
            <wp:effectExtent l="0" t="0" r="0" b="0"/>
            <wp:docPr id="25636" name="Chart 256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1961D24"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36E8BFD3" w14:textId="77777777" w:rsidR="00161769" w:rsidRPr="00F171A3" w:rsidRDefault="00161769" w:rsidP="00161769">
      <w:r w:rsidRPr="00F171A3">
        <w:t>În comparație cu celelalte sectoare, conform INS, la nivelul anului 2020, în Sectorul 2 existau cele mai multe întreprinderi active. Deși diferențele față de Sectorul 1 și Sectorul 3 nu sunt semnificative, față de celelalte sectoare, Sectorul 2 are o amprentă mult mai puternică în economia municipiului București. Din alt punct de vedere, Sectorul 2 se remarcă prin dinamismul mediului de afaceri la nivelul Capitalei, numărul de întreprinderi active înregistrând printre cele mai ridicate rate de creștere (11,8%), alături de Sectorul 1 (13,5%). Cel mai lent ritm de creștere a numărului de întreprinderi a fost înregistrat în Sectorul 4, cu doar 5,6%.</w:t>
      </w:r>
    </w:p>
    <w:p w14:paraId="1A13E203" w14:textId="6865988C" w:rsidR="00161769" w:rsidRPr="00F171A3" w:rsidRDefault="00161769" w:rsidP="00161769">
      <w:pPr>
        <w:pStyle w:val="Caption"/>
      </w:pPr>
      <w:bookmarkStart w:id="202" w:name="_Toc127198052"/>
      <w:r w:rsidRPr="00F171A3">
        <w:t xml:space="preserve">Figura </w:t>
      </w:r>
      <w:r w:rsidRPr="00F171A3">
        <w:fldChar w:fldCharType="begin"/>
      </w:r>
      <w:r w:rsidRPr="00F171A3">
        <w:instrText xml:space="preserve"> SEQ Figura \* ARABIC </w:instrText>
      </w:r>
      <w:r w:rsidRPr="00F171A3">
        <w:fldChar w:fldCharType="separate"/>
      </w:r>
      <w:r w:rsidR="005A6DD8">
        <w:rPr>
          <w:noProof/>
        </w:rPr>
        <w:t>64</w:t>
      </w:r>
      <w:r w:rsidRPr="00F171A3">
        <w:fldChar w:fldCharType="end"/>
      </w:r>
      <w:r w:rsidRPr="00F171A3">
        <w:t xml:space="preserve"> Ponderea numărului de întreprinderi active din sectoarele Capitalei, în numărul total de întreprinderi active din municipiul București, în anii 2014 și 2020</w:t>
      </w:r>
      <w:bookmarkEnd w:id="202"/>
    </w:p>
    <w:p w14:paraId="07D25733" w14:textId="77777777" w:rsidR="00161769" w:rsidRPr="00F171A3" w:rsidRDefault="00161769" w:rsidP="00161769">
      <w:pPr>
        <w:jc w:val="center"/>
      </w:pPr>
      <w:r w:rsidRPr="00F171A3">
        <w:rPr>
          <w:noProof/>
        </w:rPr>
        <w:drawing>
          <wp:inline distT="0" distB="0" distL="0" distR="0" wp14:anchorId="2A1C8915" wp14:editId="23C3C598">
            <wp:extent cx="2773680" cy="2895600"/>
            <wp:effectExtent l="0" t="0" r="7620" b="0"/>
            <wp:docPr id="25637" name="Chart 256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Pr="00F171A3">
        <w:rPr>
          <w:noProof/>
        </w:rPr>
        <w:drawing>
          <wp:inline distT="0" distB="0" distL="0" distR="0" wp14:anchorId="28801F54" wp14:editId="563E9B74">
            <wp:extent cx="2773680" cy="2895600"/>
            <wp:effectExtent l="0" t="0" r="7620" b="0"/>
            <wp:docPr id="25638" name="Chart 256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B67E54B"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4BD436B4" w14:textId="77777777" w:rsidR="00161769" w:rsidRPr="00F171A3" w:rsidRDefault="00161769" w:rsidP="00161769">
      <w:r w:rsidRPr="00F171A3">
        <w:t xml:space="preserve">Totuși, raportat la numărul de locuitori, statistica întreprinderilor diferă. Astfel, densitatea întreprinderilor, măsurată ca raport al numărului de întreprinderi la 1.000 de locuitori, era cu mult superioară în Sectorul 1 (valoarea ajungând la 95,7 întreprinderi/1.000 locuitori), comparativ cu celelalte sectoare ale Capitalei. Din acest punct de vedere, Sectorul 2 ocupa poziția a 2-a, cu o valoare de 67,8 întreprinderi/1.000 locuitori, înregistrând o creștere de 8 puncte față de anul 2014. În dinamică, Sectorul 2 a înregistrat cea mai mare creștere a densității întreprinderilor, fiind și unicul sector care a înregistrat o creștere în fiecare an, în perioada 2014-2020. Totuși, valoarea densității întreprinderilor este comparabil mai ridicată la nivelul Sectorului 2, raportată la alte municipii din țară sau la media națională, indicând un element important de potențial și de atractivitate. Efectele de aglomerare generate de o densitate ridicată a companiilor se reflectă în potențialul de specializare, dinamism economic crescut, piață de desfacere mai mare, oportunități de dezvoltare a unor relații comerciale bazate atât pe competiție, cât și pe colaborare. </w:t>
      </w:r>
    </w:p>
    <w:p w14:paraId="274363AB" w14:textId="73ECD065" w:rsidR="00161769" w:rsidRPr="00F171A3" w:rsidRDefault="00161769" w:rsidP="00161769">
      <w:pPr>
        <w:pStyle w:val="Caption"/>
      </w:pPr>
      <w:bookmarkStart w:id="203" w:name="_Toc127198053"/>
      <w:r w:rsidRPr="00F171A3">
        <w:t xml:space="preserve">Figura </w:t>
      </w:r>
      <w:r w:rsidRPr="00F171A3">
        <w:fldChar w:fldCharType="begin"/>
      </w:r>
      <w:r w:rsidRPr="00F171A3">
        <w:instrText xml:space="preserve"> SEQ Figura \* ARABIC </w:instrText>
      </w:r>
      <w:r w:rsidRPr="00F171A3">
        <w:fldChar w:fldCharType="separate"/>
      </w:r>
      <w:r w:rsidR="005A6DD8">
        <w:rPr>
          <w:noProof/>
        </w:rPr>
        <w:t>65</w:t>
      </w:r>
      <w:r w:rsidRPr="00F171A3">
        <w:fldChar w:fldCharType="end"/>
      </w:r>
      <w:r w:rsidRPr="00F171A3">
        <w:t xml:space="preserve"> Densitatea întreprinderilor (întreprinderi / 1000 locuitori) în perioada 2014-2020, în sectoarele municipiului București</w:t>
      </w:r>
      <w:bookmarkEnd w:id="203"/>
    </w:p>
    <w:p w14:paraId="5F536D83" w14:textId="77777777" w:rsidR="00161769" w:rsidRPr="00F171A3" w:rsidRDefault="00161769" w:rsidP="00161769">
      <w:r w:rsidRPr="00F171A3">
        <w:rPr>
          <w:noProof/>
        </w:rPr>
        <w:drawing>
          <wp:inline distT="0" distB="0" distL="0" distR="0" wp14:anchorId="3ADE84FC" wp14:editId="05A09B35">
            <wp:extent cx="6134100" cy="3200400"/>
            <wp:effectExtent l="0" t="0" r="0" b="0"/>
            <wp:docPr id="25639" name="Chart 256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13214B9" w14:textId="6C391F1C" w:rsidR="00983F17" w:rsidRPr="00F171A3" w:rsidRDefault="00161769" w:rsidP="0046391E">
      <w:pPr>
        <w:jc w:val="right"/>
        <w:rPr>
          <w:color w:val="BFBFBF" w:themeColor="background1" w:themeShade="BF"/>
        </w:rPr>
      </w:pPr>
      <w:r w:rsidRPr="00F171A3">
        <w:rPr>
          <w:color w:val="BFBFBF" w:themeColor="background1" w:themeShade="BF"/>
        </w:rPr>
        <w:t>Sursa: INS eDemos</w:t>
      </w:r>
    </w:p>
    <w:p w14:paraId="0DA0D50E" w14:textId="0DB9850E" w:rsidR="00161769" w:rsidRPr="00F171A3" w:rsidRDefault="00983F17" w:rsidP="00161769">
      <w:pPr>
        <w:rPr>
          <w:b/>
          <w:bCs/>
          <w:color w:val="134753" w:themeColor="text2"/>
        </w:rPr>
      </w:pPr>
      <w:r w:rsidRPr="00F171A3">
        <w:rPr>
          <w:b/>
          <w:bCs/>
          <w:color w:val="134753" w:themeColor="text2"/>
        </w:rPr>
        <w:t>CLASE DE MĂRIME</w:t>
      </w:r>
    </w:p>
    <w:p w14:paraId="6E1A3713" w14:textId="72E918DD" w:rsidR="00161769" w:rsidRPr="00F171A3" w:rsidRDefault="00161769" w:rsidP="00161769">
      <w:pPr>
        <w:pStyle w:val="Caption"/>
      </w:pPr>
      <w:bookmarkStart w:id="204" w:name="_Toc127198054"/>
      <w:r w:rsidRPr="00F171A3">
        <w:t xml:space="preserve">Figura </w:t>
      </w:r>
      <w:r w:rsidRPr="00F171A3">
        <w:fldChar w:fldCharType="begin"/>
      </w:r>
      <w:r w:rsidRPr="00F171A3">
        <w:instrText xml:space="preserve"> SEQ Figura \* ARABIC </w:instrText>
      </w:r>
      <w:r w:rsidRPr="00F171A3">
        <w:fldChar w:fldCharType="separate"/>
      </w:r>
      <w:r w:rsidR="005A6DD8">
        <w:rPr>
          <w:noProof/>
        </w:rPr>
        <w:t>66</w:t>
      </w:r>
      <w:r w:rsidRPr="00F171A3">
        <w:fldChar w:fldCharType="end"/>
      </w:r>
      <w:r w:rsidRPr="00F171A3">
        <w:t xml:space="preserve"> Distribuția întreprinderilor active pe clase de mărime, 2014 (stânga) și 2019 (dreapta)</w:t>
      </w:r>
      <w:bookmarkEnd w:id="204"/>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06"/>
        <w:gridCol w:w="4930"/>
      </w:tblGrid>
      <w:tr w:rsidR="00161769" w:rsidRPr="00F171A3" w14:paraId="60D7491C" w14:textId="77777777" w:rsidTr="00983F17">
        <w:trPr>
          <w:trHeight w:val="3119"/>
          <w:jc w:val="center"/>
        </w:trPr>
        <w:tc>
          <w:tcPr>
            <w:tcW w:w="4506" w:type="dxa"/>
          </w:tcPr>
          <w:p w14:paraId="7EBFCE8E" w14:textId="77777777" w:rsidR="00161769" w:rsidRPr="00F171A3" w:rsidRDefault="00161769" w:rsidP="00F31936">
            <w:pPr>
              <w:jc w:val="center"/>
              <w:rPr>
                <w:rFonts w:asciiTheme="minorHAnsi" w:hAnsiTheme="minorHAnsi"/>
                <w:sz w:val="22"/>
                <w:szCs w:val="22"/>
              </w:rPr>
            </w:pPr>
            <w:r w:rsidRPr="00F171A3">
              <w:rPr>
                <w:noProof/>
              </w:rPr>
              <w:drawing>
                <wp:inline distT="0" distB="0" distL="0" distR="0" wp14:anchorId="7D6EE3B1" wp14:editId="2221FA49">
                  <wp:extent cx="2714625" cy="2350770"/>
                  <wp:effectExtent l="0" t="0" r="0" b="0"/>
                  <wp:docPr id="25640" name="Chart 25621">
                    <a:extLst xmlns:a="http://schemas.openxmlformats.org/drawingml/2006/main">
                      <a:ext uri="{FF2B5EF4-FFF2-40B4-BE49-F238E27FC236}">
                        <a16:creationId xmlns:a16="http://schemas.microsoft.com/office/drawing/2014/main" id="{C02E4988-A6C0-D1EE-F042-5590BAE48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c>
        <w:tc>
          <w:tcPr>
            <w:tcW w:w="4930" w:type="dxa"/>
          </w:tcPr>
          <w:p w14:paraId="1F642B21" w14:textId="77777777" w:rsidR="00161769" w:rsidRPr="00F171A3" w:rsidRDefault="00161769" w:rsidP="00F31936">
            <w:pPr>
              <w:jc w:val="center"/>
              <w:rPr>
                <w:rFonts w:asciiTheme="minorHAnsi" w:hAnsiTheme="minorHAnsi"/>
                <w:sz w:val="22"/>
                <w:szCs w:val="22"/>
              </w:rPr>
            </w:pPr>
            <w:r w:rsidRPr="00F171A3">
              <w:rPr>
                <w:noProof/>
              </w:rPr>
              <w:drawing>
                <wp:inline distT="0" distB="0" distL="0" distR="0" wp14:anchorId="0C8B7519" wp14:editId="5D180ADC">
                  <wp:extent cx="2715768" cy="2350008"/>
                  <wp:effectExtent l="0" t="0" r="8890" b="0"/>
                  <wp:docPr id="25654" name="Chart 25622">
                    <a:extLst xmlns:a="http://schemas.openxmlformats.org/drawingml/2006/main">
                      <a:ext uri="{FF2B5EF4-FFF2-40B4-BE49-F238E27FC236}">
                        <a16:creationId xmlns:a16="http://schemas.microsoft.com/office/drawing/2014/main" id="{4C0BC1C0-9D81-D83D-4B85-84192EA822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r>
    </w:tbl>
    <w:p w14:paraId="3E1C92E2" w14:textId="77777777" w:rsidR="00161769" w:rsidRPr="00F171A3" w:rsidRDefault="00161769" w:rsidP="0046391E">
      <w:pPr>
        <w:jc w:val="right"/>
        <w:rPr>
          <w:color w:val="BFBFBF" w:themeColor="background1" w:themeShade="BF"/>
        </w:rPr>
      </w:pPr>
      <w:r w:rsidRPr="00F171A3">
        <w:rPr>
          <w:color w:val="BFBFBF" w:themeColor="background1" w:themeShade="BF"/>
        </w:rPr>
        <w:t>Sursa: prelucrare proprie după BORG Design, baza de date Listă Firme</w:t>
      </w:r>
    </w:p>
    <w:p w14:paraId="693BCE87" w14:textId="1951BE3F" w:rsidR="00161769" w:rsidRPr="00F171A3" w:rsidRDefault="00161769" w:rsidP="00161769">
      <w:r w:rsidRPr="00F171A3">
        <w:t>În ceea ce privește distribuția pe clase de mărime, atât în anul 2014, cât și anul 2019, în Sectorul 2 predomină microîntreprinderile (în proporție de aproximativ 90%), urmate de IMM-uri și firme mari. Acest fapt generează o anumită flexibilitate a mediului de afaceri local, micii antreprenori având de obicei o capacitate importantă de adaptare la crize și provocări. În același timp, microîntreprinderile sunt și cele mai vulnerabile la șocuri economice, cum a fost pandemia de COVID-19, având nevoie de susținere sporită pentru creșterea rezilienței. De aceea, un element important este sprijinirea microîntreprinderilor pentru a-și dezvolta produsele și serviciile, și pentru a crea noi locuri de muncă, fiind un angajator deloc de neglijat în orice economie locală sau națională. În același timp, în Sectorul 2, numărul firmelor mari a crescut în perioada 2014-2019, de la 184 de companii la 201 companii, generând beneficii asupra nivelului taxelor și locurilor de muncă create.</w:t>
      </w:r>
    </w:p>
    <w:p w14:paraId="6FFC43D6" w14:textId="77777777" w:rsidR="00983F17" w:rsidRPr="00F171A3" w:rsidRDefault="00983F17" w:rsidP="00161769">
      <w:pPr>
        <w:rPr>
          <w:b/>
          <w:bCs/>
        </w:rPr>
      </w:pPr>
    </w:p>
    <w:p w14:paraId="366EF67F" w14:textId="50001BDE" w:rsidR="00161769" w:rsidRPr="00F171A3" w:rsidRDefault="00983F17" w:rsidP="00161769">
      <w:pPr>
        <w:rPr>
          <w:b/>
          <w:bCs/>
          <w:color w:val="134753" w:themeColor="text2"/>
        </w:rPr>
      </w:pPr>
      <w:r w:rsidRPr="00F171A3">
        <w:rPr>
          <w:b/>
          <w:bCs/>
          <w:color w:val="134753" w:themeColor="text2"/>
        </w:rPr>
        <w:t>DINAMICA ANTREPRENORIALĂ</w:t>
      </w:r>
    </w:p>
    <w:p w14:paraId="59F33DBA" w14:textId="77777777" w:rsidR="00161769" w:rsidRPr="00F171A3" w:rsidRDefault="00161769" w:rsidP="00161769">
      <w:r w:rsidRPr="00F171A3">
        <w:t>Datele statistice indică o creștere a numărului de întreprinderi în perioada 2014-2020, susținută și de dinamica numărului de firme noi înființate și a firmelor închise. Astfel, în anul 2019, ultimul an pentru care există date la momentul elaborării analizei, în Sectorul 2 au fost înființate 3.303 de firme noi și au fost închise 2.620 de întreprinderi, fiind înregistrată astfel o balanță pozitivă a numărului de întreprinderi. Totuși, în anul 2019, au fost înregistrate cele mai puține firme noi din perioada analizată, în timp ce cele mai multe firme au fost închise în anul 2014. Prin urmare, în anul 2019, sporul natural al întreprinderilor</w:t>
      </w:r>
      <w:r w:rsidRPr="00F171A3">
        <w:rPr>
          <w:rStyle w:val="FootnoteReference"/>
        </w:rPr>
        <w:footnoteReference w:id="99"/>
      </w:r>
      <w:r w:rsidRPr="00F171A3">
        <w:t xml:space="preserve"> din Sectorul 2 era de 27,78</w:t>
      </w:r>
      <w:r w:rsidRPr="00F171A3">
        <w:rPr>
          <w:rFonts w:cstheme="minorHAnsi"/>
        </w:rPr>
        <w:t>‰</w:t>
      </w:r>
      <w:r w:rsidRPr="00F171A3">
        <w:t>, ceea ce-l plasa în topul sectoarelor din capitală. Față de anul 2014, sporul natural a crescut nesemnificativ în Sectorul 2, fiind înregistrate diverse variații anuale.</w:t>
      </w:r>
    </w:p>
    <w:p w14:paraId="6393EF5F" w14:textId="77777777" w:rsidR="00161769" w:rsidRPr="00F171A3" w:rsidRDefault="00161769" w:rsidP="00161769">
      <w:r w:rsidRPr="00F171A3">
        <w:t>Un alt indice relevant în analiza mediului economic este capacitatea antreprenorială, calculată ca un raport al numărului de firme noi create la 1.000 de locuitori. În funcție de capacitatea antreprenorială, Sectorul 2 ocupa a doua poziție la nivelul municipiului București, cu o valoare de 8,87 de întreprinderi create/1.000 locuitori, fiind depășit doar de Sectorul 1. În dinamică, în anul 2019 au fost înregistrate cele mai mici valori pentru majoritatea sectoarelor din capitală, inclusiv pentru Sectorul 2, valoarea maximă fiind înregistrată în anul 2018, de 9,54 întreprinderi create/1.000 locuitori.</w:t>
      </w:r>
    </w:p>
    <w:p w14:paraId="3D52F172" w14:textId="77777777" w:rsidR="00161769" w:rsidRPr="00F171A3" w:rsidRDefault="00161769" w:rsidP="00161769">
      <w:r w:rsidRPr="00F171A3">
        <w:t xml:space="preserve">Măsurile de sprijinire a antreprenoriatului și cele de stimulare a micilor întreprinzători în primii ani de la înființarea companiilor sunt esențiale pentru asigurarea unui spor natural al întreprinderilor pozitiv, care să contribuie permanent la creșterea numărului de firme. Acest fapt determină și creșterea numărului de locuri de muncă disponibile în domenii diverse, de la cele cu valoare adăugată redusă, la cele din domenii high-tech. </w:t>
      </w:r>
    </w:p>
    <w:p w14:paraId="32056567" w14:textId="009BEC99" w:rsidR="00161769" w:rsidRPr="00F171A3" w:rsidRDefault="00161769" w:rsidP="00161769">
      <w:pPr>
        <w:pStyle w:val="Caption"/>
      </w:pPr>
      <w:bookmarkStart w:id="205" w:name="_Toc127198055"/>
      <w:r w:rsidRPr="00F171A3">
        <w:t xml:space="preserve">Figura </w:t>
      </w:r>
      <w:r w:rsidRPr="00F171A3">
        <w:fldChar w:fldCharType="begin"/>
      </w:r>
      <w:r w:rsidRPr="00F171A3">
        <w:instrText xml:space="preserve"> SEQ Figura \* ARABIC </w:instrText>
      </w:r>
      <w:r w:rsidRPr="00F171A3">
        <w:fldChar w:fldCharType="separate"/>
      </w:r>
      <w:r w:rsidR="005A6DD8">
        <w:rPr>
          <w:noProof/>
        </w:rPr>
        <w:t>67</w:t>
      </w:r>
      <w:r w:rsidRPr="00F171A3">
        <w:fldChar w:fldCharType="end"/>
      </w:r>
      <w:r w:rsidRPr="00F171A3">
        <w:t xml:space="preserve"> Numărul de firme noi înființate și de firme închise, în perioada 2014-2019, în sectorul 2</w:t>
      </w:r>
      <w:bookmarkEnd w:id="205"/>
    </w:p>
    <w:p w14:paraId="140FE2BC" w14:textId="77777777" w:rsidR="00161769" w:rsidRPr="00F171A3" w:rsidRDefault="00161769" w:rsidP="00161769">
      <w:r w:rsidRPr="00F171A3">
        <w:rPr>
          <w:noProof/>
        </w:rPr>
        <w:drawing>
          <wp:inline distT="0" distB="0" distL="0" distR="0" wp14:anchorId="7E657E66" wp14:editId="16AEFF26">
            <wp:extent cx="6105525" cy="2219325"/>
            <wp:effectExtent l="0" t="0" r="0" b="0"/>
            <wp:docPr id="25655" name="Chart 256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079F042"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2102E307" w14:textId="2F39FC1A" w:rsidR="00161769" w:rsidRPr="00F171A3" w:rsidRDefault="00161769" w:rsidP="00161769">
      <w:pPr>
        <w:rPr>
          <w:szCs w:val="20"/>
        </w:rPr>
      </w:pPr>
      <w:r w:rsidRPr="00F171A3">
        <w:t xml:space="preserve">Totodată, </w:t>
      </w:r>
      <w:r w:rsidRPr="00F171A3">
        <w:rPr>
          <w:szCs w:val="20"/>
        </w:rPr>
        <w:t xml:space="preserve">dezvoltarea companiilor se află în strânsă legătură cu capacitatea administrației publice de a crea un cadru de dialog și un spațiu de interacțiune prietenos cu mediul de afaceri. Calitatea serviciilor oferite mediului de afaceri, în special în contextul nevoii de aliniere la tendințele de digitalizare, reprezintă din ce în ce mai mult o necesitate, nu doar pentru antreprenori și companiile active în domenii digitale, ci și pentru firmele care urmăresc creșterea eficienței. </w:t>
      </w:r>
    </w:p>
    <w:p w14:paraId="5E892CDD" w14:textId="77777777" w:rsidR="00983F17" w:rsidRPr="00F171A3" w:rsidRDefault="00983F17" w:rsidP="00161769">
      <w:pPr>
        <w:rPr>
          <w:szCs w:val="20"/>
        </w:rPr>
      </w:pPr>
    </w:p>
    <w:p w14:paraId="06CC4F39" w14:textId="21009E95" w:rsidR="00161769" w:rsidRPr="00F171A3" w:rsidRDefault="00983F17" w:rsidP="00161769">
      <w:pPr>
        <w:rPr>
          <w:b/>
          <w:bCs/>
          <w:color w:val="134753" w:themeColor="text2"/>
        </w:rPr>
      </w:pPr>
      <w:r w:rsidRPr="00F171A3">
        <w:rPr>
          <w:b/>
          <w:bCs/>
          <w:color w:val="134753" w:themeColor="text2"/>
        </w:rPr>
        <w:t>REZULTATELE ÎNTREPRINDERILOR ACTIVE</w:t>
      </w:r>
    </w:p>
    <w:p w14:paraId="670802B7" w14:textId="7902E775" w:rsidR="00161769" w:rsidRPr="00F171A3" w:rsidRDefault="00161769" w:rsidP="00161769">
      <w:r w:rsidRPr="00F171A3">
        <w:t xml:space="preserve">Conform INS, în anul 2020, cifra de afaceri înregistrată de firmele din Sectorul 2 se ridica la 29,9 md. EUR, în creștere cu 55,7% față de anul 2014. În funcție de cifra de afaceri a întreprinderilor active, Sectorul 2 ocupa a doua poziție în Capitală, la mare distanță după Sectorul 1, care înregistra o cifră de afaceri de peste 66 md. EUR. Ca și pondere, Sectorul 2 genera circa 21% din cifra de afaceri însumată de toate sectoarele. În dinamică, cifra de afaceri din Sectorul 2 a crescut cu 55,9% față de anul 2014, înregistrând un ritm net superior celui din Sectorul 1 (8%), și a municipiului București în total (27%). Totuși, în perioada 2014-2020, cel mai însemnat ritm de creștere al cifrei de afaceri a fost </w:t>
      </w:r>
      <w:r w:rsidR="008A1AFD" w:rsidRPr="00F171A3">
        <w:t>înregistrat</w:t>
      </w:r>
      <w:r w:rsidRPr="00F171A3">
        <w:t xml:space="preserve"> în Sectorul 6 (73%). În ciuda ratei inflației, creșterile sunt însemnate, de aceea a fost aleasă prezentarea dinamicii în moneda EUR. În contextul prezentei analizei este necesar de menționat că datele respective fac referire la sediul firmei, nu și la toate punctele de lucru ale întreprinderilor, ceea ce poate influența într-o oarecare măsură realitatea economică din teren.</w:t>
      </w:r>
    </w:p>
    <w:p w14:paraId="395D0B7C" w14:textId="77777777" w:rsidR="00161769" w:rsidRPr="00F171A3" w:rsidRDefault="00161769" w:rsidP="00161769">
      <w:r w:rsidRPr="00F171A3">
        <w:t>În ceea ce privește productivitatea muncii, calculată ca cifra de afaceri raportată la numărul de salariați, în Sectorul 2 a fost înregistrată o medie de circa 565.736 lei / salariat (aproximativ 116.957 EUR). Față de anul 2014, în moneda EUR, productivitatea muncii a crescut cu 36,3% (+31,198 EUR). La nivel de sectoare economice, cele mai mari randamente erau înregistrate în domeniul energetic (4,4 mil. lei / salariat), determinată de prezența sediilor celor mai mari firme din domeniu în Sectorul 2, urmând domeniul intermedierilor financiare și asigurărilor, IT&amp;C, comerțul, etc.</w:t>
      </w:r>
    </w:p>
    <w:p w14:paraId="418E6831" w14:textId="089F4337" w:rsidR="00161769" w:rsidRPr="00F171A3" w:rsidRDefault="00161769" w:rsidP="00161769">
      <w:pPr>
        <w:pStyle w:val="Caption"/>
      </w:pPr>
      <w:bookmarkStart w:id="206" w:name="_Toc127198056"/>
      <w:r w:rsidRPr="00F171A3">
        <w:t xml:space="preserve">Figura </w:t>
      </w:r>
      <w:r w:rsidRPr="00F171A3">
        <w:fldChar w:fldCharType="begin"/>
      </w:r>
      <w:r w:rsidRPr="00F171A3">
        <w:instrText xml:space="preserve"> SEQ Figura \* ARABIC </w:instrText>
      </w:r>
      <w:r w:rsidRPr="00F171A3">
        <w:fldChar w:fldCharType="separate"/>
      </w:r>
      <w:r w:rsidR="005A6DD8">
        <w:rPr>
          <w:noProof/>
        </w:rPr>
        <w:t>68</w:t>
      </w:r>
      <w:r w:rsidRPr="00F171A3">
        <w:fldChar w:fldCharType="end"/>
      </w:r>
      <w:r w:rsidRPr="00F171A3">
        <w:t xml:space="preserve"> Ponderea sectoarelor din municipiul București, în Cifra de afaceri totală generată de întreprinderile active, în anul 2020</w:t>
      </w:r>
      <w:bookmarkEnd w:id="206"/>
    </w:p>
    <w:p w14:paraId="0F3FF8F8" w14:textId="77777777" w:rsidR="00161769" w:rsidRPr="00F171A3" w:rsidRDefault="00161769" w:rsidP="00161769">
      <w:r w:rsidRPr="00F171A3">
        <w:rPr>
          <w:noProof/>
        </w:rPr>
        <w:drawing>
          <wp:inline distT="0" distB="0" distL="0" distR="0" wp14:anchorId="527F2474" wp14:editId="72A65333">
            <wp:extent cx="6010275" cy="3067050"/>
            <wp:effectExtent l="0" t="0" r="0" b="0"/>
            <wp:docPr id="25656" name="Chart 256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243EFB6A"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6E3F947B" w14:textId="77777777" w:rsidR="00983F17" w:rsidRPr="00F171A3" w:rsidRDefault="00983F17" w:rsidP="00161769">
      <w:pPr>
        <w:rPr>
          <w:b/>
          <w:bCs/>
          <w:color w:val="134753" w:themeColor="text2"/>
        </w:rPr>
      </w:pPr>
    </w:p>
    <w:p w14:paraId="1F3FE9A0" w14:textId="0A6AF3AB" w:rsidR="00161769" w:rsidRPr="00F171A3" w:rsidRDefault="00983F17" w:rsidP="00161769">
      <w:pPr>
        <w:rPr>
          <w:b/>
          <w:bCs/>
          <w:color w:val="134753" w:themeColor="text2"/>
        </w:rPr>
      </w:pPr>
      <w:r w:rsidRPr="00F171A3">
        <w:rPr>
          <w:b/>
          <w:bCs/>
          <w:color w:val="134753" w:themeColor="text2"/>
        </w:rPr>
        <w:t>CLASE DE MARIME</w:t>
      </w:r>
    </w:p>
    <w:p w14:paraId="71F269FA" w14:textId="77777777" w:rsidR="00161769" w:rsidRPr="00F171A3" w:rsidRDefault="00161769" w:rsidP="00161769">
      <w:r w:rsidRPr="00F171A3">
        <w:t xml:space="preserve">Pe clase de mărime, peste 50% din cifra de afaceri este generat de companiile mari, deși acestea reprezintă doar 0,6% din totalul firmelor active, în timp ce microîntreprinderile contribuie cu doar 9,6% la cifra de afaceri, deși reprezintă peste 90% din companii. Astfel, creșterea productivității în rândul firmelor foarte mici este esențială pentru creșterea competitivității locale, iar sprijinirea acestora prin acces facil la investiții de capital și personal calificat este o măsură necesară. În același timp, facilitarea accesului la alte piețe și clienți, prin activități comune de promovare și stabilire de relații comerciale poate sprijini creșterea vânzărilor acestor companii, cu efecte asupra rezilienței acestora în fața șocurilor economice. </w:t>
      </w:r>
    </w:p>
    <w:p w14:paraId="7BD88744" w14:textId="3C5B0691" w:rsidR="00161769" w:rsidRPr="00F171A3" w:rsidRDefault="00161769" w:rsidP="00161769">
      <w:pPr>
        <w:pStyle w:val="Caption"/>
      </w:pPr>
      <w:bookmarkStart w:id="207" w:name="_Toc127198057"/>
      <w:r w:rsidRPr="00F171A3">
        <w:t xml:space="preserve">Figura </w:t>
      </w:r>
      <w:r w:rsidRPr="00F171A3">
        <w:fldChar w:fldCharType="begin"/>
      </w:r>
      <w:r w:rsidRPr="00F171A3">
        <w:instrText xml:space="preserve"> SEQ Figura \* ARABIC </w:instrText>
      </w:r>
      <w:r w:rsidRPr="00F171A3">
        <w:fldChar w:fldCharType="separate"/>
      </w:r>
      <w:r w:rsidR="005A6DD8">
        <w:rPr>
          <w:noProof/>
        </w:rPr>
        <w:t>69</w:t>
      </w:r>
      <w:r w:rsidRPr="00F171A3">
        <w:fldChar w:fldCharType="end"/>
      </w:r>
      <w:r w:rsidRPr="00F171A3">
        <w:t xml:space="preserve"> Distribuția cifrei de afaceri din întreprinderile active pe clase de mărime, 2014 (stânga) și 2019 (dreapta)</w:t>
      </w:r>
      <w:bookmarkEnd w:id="207"/>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06"/>
        <w:gridCol w:w="4930"/>
      </w:tblGrid>
      <w:tr w:rsidR="00161769" w:rsidRPr="00F171A3" w14:paraId="273BE334" w14:textId="77777777" w:rsidTr="00983F17">
        <w:trPr>
          <w:trHeight w:val="3119"/>
          <w:jc w:val="center"/>
        </w:trPr>
        <w:tc>
          <w:tcPr>
            <w:tcW w:w="4506" w:type="dxa"/>
          </w:tcPr>
          <w:p w14:paraId="3CCA27D3" w14:textId="77777777" w:rsidR="00161769" w:rsidRPr="00F171A3" w:rsidRDefault="00161769" w:rsidP="00F31936">
            <w:pPr>
              <w:jc w:val="center"/>
              <w:rPr>
                <w:rFonts w:asciiTheme="minorHAnsi" w:hAnsiTheme="minorHAnsi"/>
                <w:sz w:val="22"/>
                <w:szCs w:val="22"/>
              </w:rPr>
            </w:pPr>
            <w:r w:rsidRPr="00F171A3">
              <w:rPr>
                <w:noProof/>
              </w:rPr>
              <w:drawing>
                <wp:inline distT="0" distB="0" distL="0" distR="0" wp14:anchorId="71D2BC4B" wp14:editId="3C8E7152">
                  <wp:extent cx="2715768" cy="2350008"/>
                  <wp:effectExtent l="0" t="0" r="8890" b="0"/>
                  <wp:docPr id="25657" name="Chart 25625">
                    <a:extLst xmlns:a="http://schemas.openxmlformats.org/drawingml/2006/main">
                      <a:ext uri="{FF2B5EF4-FFF2-40B4-BE49-F238E27FC236}">
                        <a16:creationId xmlns:a16="http://schemas.microsoft.com/office/drawing/2014/main" id="{66B1C45B-5590-B50C-FAB2-A1C19BCF9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c>
          <w:tcPr>
            <w:tcW w:w="4930" w:type="dxa"/>
          </w:tcPr>
          <w:p w14:paraId="3266A7B0" w14:textId="77777777" w:rsidR="00161769" w:rsidRPr="00F171A3" w:rsidRDefault="00161769" w:rsidP="00F31936">
            <w:pPr>
              <w:jc w:val="center"/>
              <w:rPr>
                <w:rFonts w:asciiTheme="minorHAnsi" w:hAnsiTheme="minorHAnsi"/>
                <w:sz w:val="22"/>
                <w:szCs w:val="22"/>
              </w:rPr>
            </w:pPr>
            <w:r w:rsidRPr="00F171A3">
              <w:rPr>
                <w:noProof/>
              </w:rPr>
              <w:drawing>
                <wp:inline distT="0" distB="0" distL="0" distR="0" wp14:anchorId="3F9E3C2B" wp14:editId="34770E3F">
                  <wp:extent cx="2715768" cy="2350008"/>
                  <wp:effectExtent l="0" t="0" r="8890" b="0"/>
                  <wp:docPr id="25658" name="Chart 25626">
                    <a:extLst xmlns:a="http://schemas.openxmlformats.org/drawingml/2006/main">
                      <a:ext uri="{FF2B5EF4-FFF2-40B4-BE49-F238E27FC236}">
                        <a16:creationId xmlns:a16="http://schemas.microsoft.com/office/drawing/2014/main" id="{45501237-F068-7D57-D61D-56788CECC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bl>
    <w:p w14:paraId="3F881AAE" w14:textId="77777777" w:rsidR="00161769" w:rsidRPr="00F171A3" w:rsidRDefault="00161769" w:rsidP="0046391E">
      <w:pPr>
        <w:jc w:val="right"/>
        <w:rPr>
          <w:color w:val="BFBFBF" w:themeColor="background1" w:themeShade="BF"/>
        </w:rPr>
      </w:pPr>
      <w:r w:rsidRPr="00F171A3">
        <w:rPr>
          <w:color w:val="BFBFBF" w:themeColor="background1" w:themeShade="BF"/>
        </w:rPr>
        <w:t>Sursa: prelucrare proprie după BORG Design, baza de date Listă Firme</w:t>
      </w:r>
    </w:p>
    <w:p w14:paraId="6374686A" w14:textId="77777777" w:rsidR="00161769" w:rsidRPr="00F171A3" w:rsidRDefault="00161769" w:rsidP="00161769">
      <w:r w:rsidRPr="00F171A3">
        <w:t xml:space="preserve">La nivelul Sectorului 2, cei mai mari contribuabili la bugetul local al Primăriei Sectorului 2 sunt prezentați în tabelul de mai jos, împreună cu domeniul de activitate, cifra de afaceri înregistrată și numărul mediu de salariați. Astfel, se observă o pondere majoritară a firmelor din domeniul imobiliar. Sectorul imobiliar este unul deosebit de dinamic și cu randamente ridicate, reflectând potențialul existent atât în Sectorul 2, cât și la nivelul întregii Capitale. </w:t>
      </w:r>
    </w:p>
    <w:p w14:paraId="03D6973C" w14:textId="60518BD8" w:rsidR="00161769" w:rsidRPr="00F171A3" w:rsidRDefault="00161769" w:rsidP="00161769">
      <w:pPr>
        <w:pStyle w:val="Caption"/>
      </w:pPr>
      <w:bookmarkStart w:id="208" w:name="_Toc126943280"/>
      <w:r w:rsidRPr="00F171A3">
        <w:t xml:space="preserve">Tabel </w:t>
      </w:r>
      <w:r w:rsidRPr="00F171A3">
        <w:fldChar w:fldCharType="begin"/>
      </w:r>
      <w:r w:rsidRPr="00F171A3">
        <w:instrText xml:space="preserve"> SEQ Tabel \* ARABIC </w:instrText>
      </w:r>
      <w:r w:rsidRPr="00F171A3">
        <w:fldChar w:fldCharType="separate"/>
      </w:r>
      <w:r w:rsidR="005A6DD8">
        <w:rPr>
          <w:noProof/>
        </w:rPr>
        <w:t>23</w:t>
      </w:r>
      <w:r w:rsidRPr="00F171A3">
        <w:fldChar w:fldCharType="end"/>
      </w:r>
      <w:r w:rsidRPr="00F171A3">
        <w:t xml:space="preserve"> Top 15 al contribuabililor la bugetul local al PS 2, în anul 2021, cifra de afaceri și numărul de salariați înregistrată de aceștia în anul 2020</w:t>
      </w:r>
      <w:bookmarkEnd w:id="208"/>
    </w:p>
    <w:tbl>
      <w:tblPr>
        <w:tblStyle w:val="Civittatable"/>
        <w:tblW w:w="9592" w:type="dxa"/>
        <w:tblLook w:val="04A0" w:firstRow="1" w:lastRow="0" w:firstColumn="1" w:lastColumn="0" w:noHBand="0" w:noVBand="1"/>
      </w:tblPr>
      <w:tblGrid>
        <w:gridCol w:w="863"/>
        <w:gridCol w:w="3722"/>
        <w:gridCol w:w="3330"/>
        <w:gridCol w:w="1677"/>
      </w:tblGrid>
      <w:tr w:rsidR="00161769" w:rsidRPr="00F171A3" w14:paraId="464DB3D3" w14:textId="77777777" w:rsidTr="00983F17">
        <w:trPr>
          <w:cnfStyle w:val="100000000000" w:firstRow="1" w:lastRow="0" w:firstColumn="0" w:lastColumn="0" w:oddVBand="0" w:evenVBand="0" w:oddHBand="0" w:evenHBand="0" w:firstRowFirstColumn="0" w:firstRowLastColumn="0" w:lastRowFirstColumn="0" w:lastRowLastColumn="0"/>
          <w:trHeight w:val="660"/>
        </w:trPr>
        <w:tc>
          <w:tcPr>
            <w:tcW w:w="863" w:type="dxa"/>
            <w:vAlign w:val="center"/>
          </w:tcPr>
          <w:p w14:paraId="5A747B6A" w14:textId="4412A29D" w:rsidR="00161769" w:rsidRPr="00F171A3" w:rsidRDefault="00161769" w:rsidP="00983F17">
            <w:pPr>
              <w:jc w:val="center"/>
              <w:rPr>
                <w:b/>
                <w:bCs/>
              </w:rPr>
            </w:pPr>
            <w:r w:rsidRPr="00F171A3">
              <w:rPr>
                <w:b/>
                <w:bCs/>
              </w:rPr>
              <w:t>Nr. crt</w:t>
            </w:r>
            <w:r w:rsidR="00983F17" w:rsidRPr="00F171A3">
              <w:rPr>
                <w:b/>
                <w:bCs/>
              </w:rPr>
              <w:t>.</w:t>
            </w:r>
          </w:p>
        </w:tc>
        <w:tc>
          <w:tcPr>
            <w:tcW w:w="3722" w:type="dxa"/>
            <w:vAlign w:val="center"/>
          </w:tcPr>
          <w:p w14:paraId="41AF6833" w14:textId="77777777" w:rsidR="00161769" w:rsidRPr="00F171A3" w:rsidRDefault="00161769" w:rsidP="00983F17">
            <w:pPr>
              <w:jc w:val="center"/>
              <w:rPr>
                <w:b/>
                <w:bCs/>
              </w:rPr>
            </w:pPr>
            <w:r w:rsidRPr="00F171A3">
              <w:rPr>
                <w:b/>
                <w:bCs/>
              </w:rPr>
              <w:t>Nume contribuabil</w:t>
            </w:r>
          </w:p>
        </w:tc>
        <w:tc>
          <w:tcPr>
            <w:tcW w:w="3330" w:type="dxa"/>
            <w:vAlign w:val="center"/>
          </w:tcPr>
          <w:p w14:paraId="013D4C71" w14:textId="77777777" w:rsidR="00161769" w:rsidRPr="00F171A3" w:rsidRDefault="00161769" w:rsidP="00983F17">
            <w:pPr>
              <w:jc w:val="center"/>
              <w:rPr>
                <w:b/>
                <w:bCs/>
              </w:rPr>
            </w:pPr>
            <w:r w:rsidRPr="00F171A3">
              <w:rPr>
                <w:b/>
                <w:bCs/>
              </w:rPr>
              <w:t>Domeniu de activitate</w:t>
            </w:r>
          </w:p>
        </w:tc>
        <w:tc>
          <w:tcPr>
            <w:tcW w:w="1677" w:type="dxa"/>
            <w:vAlign w:val="center"/>
          </w:tcPr>
          <w:p w14:paraId="27AA2B59" w14:textId="77777777" w:rsidR="00161769" w:rsidRPr="00F171A3" w:rsidRDefault="00161769" w:rsidP="00983F17">
            <w:pPr>
              <w:jc w:val="center"/>
              <w:rPr>
                <w:b/>
                <w:bCs/>
              </w:rPr>
            </w:pPr>
            <w:r w:rsidRPr="00F171A3">
              <w:rPr>
                <w:b/>
                <w:bCs/>
              </w:rPr>
              <w:t>cifra de afaceri (lei)</w:t>
            </w:r>
          </w:p>
        </w:tc>
      </w:tr>
      <w:tr w:rsidR="00161769" w:rsidRPr="00F171A3" w14:paraId="14BAF722" w14:textId="77777777" w:rsidTr="00F31936">
        <w:trPr>
          <w:cnfStyle w:val="000000100000" w:firstRow="0" w:lastRow="0" w:firstColumn="0" w:lastColumn="0" w:oddVBand="0" w:evenVBand="0" w:oddHBand="1" w:evenHBand="0" w:firstRowFirstColumn="0" w:firstRowLastColumn="0" w:lastRowFirstColumn="0" w:lastRowLastColumn="0"/>
          <w:trHeight w:val="450"/>
        </w:trPr>
        <w:tc>
          <w:tcPr>
            <w:tcW w:w="863" w:type="dxa"/>
          </w:tcPr>
          <w:p w14:paraId="2DF8775D" w14:textId="77777777" w:rsidR="00161769" w:rsidRPr="00F171A3" w:rsidRDefault="00161769" w:rsidP="00F31936">
            <w:r w:rsidRPr="00F171A3">
              <w:t>1</w:t>
            </w:r>
          </w:p>
        </w:tc>
        <w:tc>
          <w:tcPr>
            <w:tcW w:w="3722" w:type="dxa"/>
            <w:vAlign w:val="bottom"/>
          </w:tcPr>
          <w:p w14:paraId="3007F484" w14:textId="77777777" w:rsidR="00161769" w:rsidRPr="00F171A3" w:rsidRDefault="00161769" w:rsidP="00F31936">
            <w:pPr>
              <w:rPr>
                <w:i/>
                <w:iCs/>
                <w:szCs w:val="20"/>
              </w:rPr>
            </w:pPr>
            <w:r w:rsidRPr="00F171A3">
              <w:rPr>
                <w:rFonts w:ascii="Calibri" w:hAnsi="Calibri" w:cs="Calibri"/>
                <w:i/>
                <w:iCs/>
                <w:color w:val="000000"/>
                <w:szCs w:val="20"/>
              </w:rPr>
              <w:t>KAUFLAND ROMANIA SOCIETATE IN COMANDITA*</w:t>
            </w:r>
          </w:p>
        </w:tc>
        <w:tc>
          <w:tcPr>
            <w:tcW w:w="3330" w:type="dxa"/>
            <w:vAlign w:val="bottom"/>
          </w:tcPr>
          <w:p w14:paraId="3C3C3B9A" w14:textId="77777777" w:rsidR="00161769" w:rsidRPr="00F171A3" w:rsidRDefault="00161769" w:rsidP="00F31936">
            <w:pPr>
              <w:rPr>
                <w:i/>
                <w:iCs/>
                <w:szCs w:val="20"/>
              </w:rPr>
            </w:pPr>
            <w:r w:rsidRPr="00F171A3">
              <w:rPr>
                <w:rFonts w:ascii="Calibri" w:hAnsi="Calibri" w:cs="Calibri"/>
                <w:i/>
                <w:iCs/>
                <w:szCs w:val="20"/>
              </w:rPr>
              <w:t>Comerț cu amănuntul în magazine nespecializate</w:t>
            </w:r>
          </w:p>
        </w:tc>
        <w:tc>
          <w:tcPr>
            <w:tcW w:w="1677" w:type="dxa"/>
            <w:vAlign w:val="bottom"/>
          </w:tcPr>
          <w:p w14:paraId="6DC76001" w14:textId="77777777" w:rsidR="00161769" w:rsidRPr="00F171A3" w:rsidRDefault="00161769" w:rsidP="00F31936">
            <w:pPr>
              <w:rPr>
                <w:i/>
                <w:iCs/>
                <w:szCs w:val="20"/>
              </w:rPr>
            </w:pPr>
            <w:r w:rsidRPr="00F171A3">
              <w:rPr>
                <w:rFonts w:ascii="Calibri" w:hAnsi="Calibri" w:cs="Calibri"/>
                <w:i/>
                <w:iCs/>
                <w:szCs w:val="20"/>
              </w:rPr>
              <w:t xml:space="preserve">12,835,836,082 </w:t>
            </w:r>
          </w:p>
        </w:tc>
      </w:tr>
      <w:tr w:rsidR="00161769" w:rsidRPr="00F171A3" w14:paraId="733885E2" w14:textId="77777777" w:rsidTr="00F31936">
        <w:trPr>
          <w:cnfStyle w:val="000000010000" w:firstRow="0" w:lastRow="0" w:firstColumn="0" w:lastColumn="0" w:oddVBand="0" w:evenVBand="0" w:oddHBand="0" w:evenHBand="1" w:firstRowFirstColumn="0" w:firstRowLastColumn="0" w:lastRowFirstColumn="0" w:lastRowLastColumn="0"/>
          <w:trHeight w:val="405"/>
        </w:trPr>
        <w:tc>
          <w:tcPr>
            <w:tcW w:w="863" w:type="dxa"/>
          </w:tcPr>
          <w:p w14:paraId="63A79510" w14:textId="77777777" w:rsidR="00161769" w:rsidRPr="00F171A3" w:rsidRDefault="00161769" w:rsidP="00F31936">
            <w:r w:rsidRPr="00F171A3">
              <w:t>2</w:t>
            </w:r>
          </w:p>
        </w:tc>
        <w:tc>
          <w:tcPr>
            <w:tcW w:w="3722" w:type="dxa"/>
            <w:vAlign w:val="bottom"/>
          </w:tcPr>
          <w:p w14:paraId="2F0E6C1E" w14:textId="77777777" w:rsidR="00161769" w:rsidRPr="00F171A3" w:rsidRDefault="00161769" w:rsidP="00F31936">
            <w:pPr>
              <w:rPr>
                <w:szCs w:val="20"/>
              </w:rPr>
            </w:pPr>
            <w:r w:rsidRPr="00F171A3">
              <w:rPr>
                <w:rFonts w:ascii="Calibri" w:hAnsi="Calibri" w:cs="Calibri"/>
                <w:color w:val="000000"/>
                <w:szCs w:val="20"/>
              </w:rPr>
              <w:t>ARVAL SERVICE LEASE ROMANIA SRL</w:t>
            </w:r>
          </w:p>
        </w:tc>
        <w:tc>
          <w:tcPr>
            <w:tcW w:w="3330" w:type="dxa"/>
            <w:vAlign w:val="bottom"/>
          </w:tcPr>
          <w:p w14:paraId="5756848D" w14:textId="77777777" w:rsidR="00161769" w:rsidRPr="00F171A3" w:rsidRDefault="00161769" w:rsidP="00F31936">
            <w:pPr>
              <w:rPr>
                <w:szCs w:val="20"/>
              </w:rPr>
            </w:pPr>
            <w:r w:rsidRPr="00F171A3">
              <w:rPr>
                <w:rFonts w:ascii="Calibri" w:hAnsi="Calibri" w:cs="Calibri"/>
                <w:szCs w:val="20"/>
              </w:rPr>
              <w:t>Închirieri și leasing de autoturisme</w:t>
            </w:r>
          </w:p>
        </w:tc>
        <w:tc>
          <w:tcPr>
            <w:tcW w:w="1677" w:type="dxa"/>
            <w:vAlign w:val="bottom"/>
          </w:tcPr>
          <w:p w14:paraId="2D280445" w14:textId="77777777" w:rsidR="00161769" w:rsidRPr="00F171A3" w:rsidRDefault="00161769" w:rsidP="00F31936">
            <w:pPr>
              <w:rPr>
                <w:szCs w:val="20"/>
              </w:rPr>
            </w:pPr>
            <w:r w:rsidRPr="00F171A3">
              <w:rPr>
                <w:rFonts w:ascii="Calibri" w:hAnsi="Calibri" w:cs="Calibri"/>
                <w:szCs w:val="20"/>
              </w:rPr>
              <w:t xml:space="preserve">298,089,843 </w:t>
            </w:r>
          </w:p>
        </w:tc>
      </w:tr>
      <w:tr w:rsidR="00161769" w:rsidRPr="00F171A3" w14:paraId="0A36CC86" w14:textId="77777777" w:rsidTr="00F31936">
        <w:trPr>
          <w:cnfStyle w:val="000000100000" w:firstRow="0" w:lastRow="0" w:firstColumn="0" w:lastColumn="0" w:oddVBand="0" w:evenVBand="0" w:oddHBand="1" w:evenHBand="0" w:firstRowFirstColumn="0" w:firstRowLastColumn="0" w:lastRowFirstColumn="0" w:lastRowLastColumn="0"/>
          <w:trHeight w:val="450"/>
        </w:trPr>
        <w:tc>
          <w:tcPr>
            <w:tcW w:w="863" w:type="dxa"/>
          </w:tcPr>
          <w:p w14:paraId="5A751F7E" w14:textId="77777777" w:rsidR="00161769" w:rsidRPr="00F171A3" w:rsidRDefault="00161769" w:rsidP="00F31936">
            <w:r w:rsidRPr="00F171A3">
              <w:t>3</w:t>
            </w:r>
          </w:p>
        </w:tc>
        <w:tc>
          <w:tcPr>
            <w:tcW w:w="3722" w:type="dxa"/>
            <w:vAlign w:val="bottom"/>
          </w:tcPr>
          <w:p w14:paraId="5A46104B" w14:textId="77777777" w:rsidR="00161769" w:rsidRPr="00F171A3" w:rsidRDefault="00161769" w:rsidP="00F31936">
            <w:pPr>
              <w:rPr>
                <w:szCs w:val="20"/>
              </w:rPr>
            </w:pPr>
            <w:r w:rsidRPr="00F171A3">
              <w:rPr>
                <w:rFonts w:ascii="Calibri" w:hAnsi="Calibri" w:cs="Calibri"/>
                <w:color w:val="000000"/>
                <w:szCs w:val="20"/>
              </w:rPr>
              <w:t>CORINTHIAN FIVE SRL</w:t>
            </w:r>
          </w:p>
        </w:tc>
        <w:tc>
          <w:tcPr>
            <w:tcW w:w="3330" w:type="dxa"/>
            <w:vAlign w:val="bottom"/>
          </w:tcPr>
          <w:p w14:paraId="4CEC0030" w14:textId="77777777" w:rsidR="00161769" w:rsidRPr="00F171A3" w:rsidRDefault="00161769" w:rsidP="00F31936">
            <w:pPr>
              <w:rPr>
                <w:szCs w:val="20"/>
              </w:rPr>
            </w:pPr>
            <w:r w:rsidRPr="00F171A3">
              <w:rPr>
                <w:rFonts w:ascii="Calibri" w:hAnsi="Calibri" w:cs="Calibri"/>
                <w:szCs w:val="20"/>
              </w:rPr>
              <w:t>Dezvoltare imobiliară</w:t>
            </w:r>
          </w:p>
        </w:tc>
        <w:tc>
          <w:tcPr>
            <w:tcW w:w="1677" w:type="dxa"/>
            <w:vAlign w:val="bottom"/>
          </w:tcPr>
          <w:p w14:paraId="14CFFD58" w14:textId="77777777" w:rsidR="00161769" w:rsidRPr="00F171A3" w:rsidRDefault="00161769" w:rsidP="00F31936">
            <w:pPr>
              <w:rPr>
                <w:szCs w:val="20"/>
              </w:rPr>
            </w:pPr>
            <w:r w:rsidRPr="00F171A3">
              <w:rPr>
                <w:rFonts w:ascii="Calibri" w:hAnsi="Calibri" w:cs="Calibri"/>
                <w:szCs w:val="20"/>
              </w:rPr>
              <w:t xml:space="preserve">69,347,668 </w:t>
            </w:r>
          </w:p>
        </w:tc>
      </w:tr>
      <w:tr w:rsidR="00161769" w:rsidRPr="00F171A3" w14:paraId="1CAA14B3" w14:textId="77777777" w:rsidTr="00F31936">
        <w:trPr>
          <w:cnfStyle w:val="000000010000" w:firstRow="0" w:lastRow="0" w:firstColumn="0" w:lastColumn="0" w:oddVBand="0" w:evenVBand="0" w:oddHBand="0" w:evenHBand="1" w:firstRowFirstColumn="0" w:firstRowLastColumn="0" w:lastRowFirstColumn="0" w:lastRowLastColumn="0"/>
          <w:trHeight w:val="468"/>
        </w:trPr>
        <w:tc>
          <w:tcPr>
            <w:tcW w:w="863" w:type="dxa"/>
          </w:tcPr>
          <w:p w14:paraId="7350E2F4" w14:textId="77777777" w:rsidR="00161769" w:rsidRPr="00F171A3" w:rsidRDefault="00161769" w:rsidP="00F31936">
            <w:r w:rsidRPr="00F171A3">
              <w:t>4</w:t>
            </w:r>
          </w:p>
        </w:tc>
        <w:tc>
          <w:tcPr>
            <w:tcW w:w="3722" w:type="dxa"/>
            <w:vAlign w:val="bottom"/>
          </w:tcPr>
          <w:p w14:paraId="011FA647" w14:textId="77777777" w:rsidR="00161769" w:rsidRPr="00F171A3" w:rsidRDefault="00161769" w:rsidP="00F31936">
            <w:pPr>
              <w:rPr>
                <w:szCs w:val="20"/>
              </w:rPr>
            </w:pPr>
            <w:r w:rsidRPr="00F171A3">
              <w:rPr>
                <w:rFonts w:ascii="Calibri" w:hAnsi="Calibri" w:cs="Calibri"/>
                <w:color w:val="000000"/>
                <w:szCs w:val="20"/>
              </w:rPr>
              <w:t>BOC REAL PROPERTY SRL</w:t>
            </w:r>
          </w:p>
        </w:tc>
        <w:tc>
          <w:tcPr>
            <w:tcW w:w="3330" w:type="dxa"/>
            <w:vAlign w:val="bottom"/>
          </w:tcPr>
          <w:p w14:paraId="363A9A2E" w14:textId="77777777" w:rsidR="00161769" w:rsidRPr="00F171A3" w:rsidRDefault="00161769" w:rsidP="00F31936">
            <w:pPr>
              <w:rPr>
                <w:szCs w:val="20"/>
              </w:rPr>
            </w:pPr>
            <w:r w:rsidRPr="00F171A3">
              <w:rPr>
                <w:rFonts w:ascii="Calibri" w:hAnsi="Calibri" w:cs="Calibri"/>
                <w:szCs w:val="20"/>
              </w:rPr>
              <w:t>Dezvoltare imobiliară</w:t>
            </w:r>
          </w:p>
        </w:tc>
        <w:tc>
          <w:tcPr>
            <w:tcW w:w="1677" w:type="dxa"/>
            <w:vAlign w:val="bottom"/>
          </w:tcPr>
          <w:p w14:paraId="0139ACE2" w14:textId="77777777" w:rsidR="00161769" w:rsidRPr="00F171A3" w:rsidRDefault="00161769" w:rsidP="00F31936">
            <w:pPr>
              <w:rPr>
                <w:szCs w:val="20"/>
              </w:rPr>
            </w:pPr>
            <w:r w:rsidRPr="00F171A3">
              <w:rPr>
                <w:rFonts w:ascii="Calibri" w:hAnsi="Calibri" w:cs="Calibri"/>
                <w:szCs w:val="20"/>
              </w:rPr>
              <w:t>67,331,331</w:t>
            </w:r>
          </w:p>
        </w:tc>
      </w:tr>
      <w:tr w:rsidR="00161769" w:rsidRPr="00F171A3" w14:paraId="786CED4F" w14:textId="77777777" w:rsidTr="00F31936">
        <w:trPr>
          <w:cnfStyle w:val="000000100000" w:firstRow="0" w:lastRow="0" w:firstColumn="0" w:lastColumn="0" w:oddVBand="0" w:evenVBand="0" w:oddHBand="1" w:evenHBand="0" w:firstRowFirstColumn="0" w:firstRowLastColumn="0" w:lastRowFirstColumn="0" w:lastRowLastColumn="0"/>
          <w:trHeight w:val="450"/>
        </w:trPr>
        <w:tc>
          <w:tcPr>
            <w:tcW w:w="863" w:type="dxa"/>
          </w:tcPr>
          <w:p w14:paraId="43E8CC27" w14:textId="77777777" w:rsidR="00161769" w:rsidRPr="00F171A3" w:rsidRDefault="00161769" w:rsidP="00F31936">
            <w:r w:rsidRPr="00F171A3">
              <w:t>5</w:t>
            </w:r>
          </w:p>
        </w:tc>
        <w:tc>
          <w:tcPr>
            <w:tcW w:w="3722" w:type="dxa"/>
            <w:vAlign w:val="bottom"/>
          </w:tcPr>
          <w:p w14:paraId="54ECD131" w14:textId="77777777" w:rsidR="00161769" w:rsidRPr="00F171A3" w:rsidRDefault="00161769" w:rsidP="00F31936">
            <w:pPr>
              <w:rPr>
                <w:szCs w:val="20"/>
              </w:rPr>
            </w:pPr>
            <w:r w:rsidRPr="00F171A3">
              <w:rPr>
                <w:rFonts w:ascii="Calibri" w:hAnsi="Calibri" w:cs="Calibri"/>
                <w:color w:val="000000"/>
                <w:szCs w:val="20"/>
              </w:rPr>
              <w:t>ITALIAN ROMANIAN INDUSTRIAL DEVELOPMENT ENTERPRISE I.R.I.D.E. SA</w:t>
            </w:r>
          </w:p>
        </w:tc>
        <w:tc>
          <w:tcPr>
            <w:tcW w:w="3330" w:type="dxa"/>
            <w:vAlign w:val="bottom"/>
          </w:tcPr>
          <w:p w14:paraId="1C221EDE" w14:textId="77777777" w:rsidR="00161769" w:rsidRPr="00F171A3" w:rsidRDefault="00161769" w:rsidP="00F31936">
            <w:pPr>
              <w:jc w:val="left"/>
              <w:rPr>
                <w:szCs w:val="20"/>
              </w:rPr>
            </w:pPr>
            <w:r w:rsidRPr="00F171A3">
              <w:rPr>
                <w:rFonts w:ascii="Calibri" w:hAnsi="Calibri" w:cs="Calibri"/>
                <w:szCs w:val="20"/>
              </w:rPr>
              <w:t>Dezvoltare imobiliară</w:t>
            </w:r>
          </w:p>
        </w:tc>
        <w:tc>
          <w:tcPr>
            <w:tcW w:w="1677" w:type="dxa"/>
            <w:vAlign w:val="bottom"/>
          </w:tcPr>
          <w:p w14:paraId="6406EADC" w14:textId="77777777" w:rsidR="00161769" w:rsidRPr="00F171A3" w:rsidRDefault="00161769" w:rsidP="00F31936">
            <w:pPr>
              <w:rPr>
                <w:szCs w:val="20"/>
              </w:rPr>
            </w:pPr>
            <w:r w:rsidRPr="00F171A3">
              <w:rPr>
                <w:rFonts w:ascii="Calibri" w:hAnsi="Calibri" w:cs="Calibri"/>
                <w:szCs w:val="20"/>
              </w:rPr>
              <w:t xml:space="preserve">62,286,865 </w:t>
            </w:r>
          </w:p>
        </w:tc>
      </w:tr>
      <w:tr w:rsidR="00161769" w:rsidRPr="00F171A3" w14:paraId="2AB26393" w14:textId="77777777" w:rsidTr="00F31936">
        <w:trPr>
          <w:cnfStyle w:val="000000010000" w:firstRow="0" w:lastRow="0" w:firstColumn="0" w:lastColumn="0" w:oddVBand="0" w:evenVBand="0" w:oddHBand="0" w:evenHBand="1" w:firstRowFirstColumn="0" w:firstRowLastColumn="0" w:lastRowFirstColumn="0" w:lastRowLastColumn="0"/>
          <w:trHeight w:val="435"/>
        </w:trPr>
        <w:tc>
          <w:tcPr>
            <w:tcW w:w="863" w:type="dxa"/>
          </w:tcPr>
          <w:p w14:paraId="05D8E56A" w14:textId="77777777" w:rsidR="00161769" w:rsidRPr="00F171A3" w:rsidRDefault="00161769" w:rsidP="00F31936">
            <w:r w:rsidRPr="00F171A3">
              <w:t>6</w:t>
            </w:r>
          </w:p>
        </w:tc>
        <w:tc>
          <w:tcPr>
            <w:tcW w:w="3722" w:type="dxa"/>
            <w:vAlign w:val="bottom"/>
          </w:tcPr>
          <w:p w14:paraId="6CE5D4C5" w14:textId="77777777" w:rsidR="00161769" w:rsidRPr="00F171A3" w:rsidRDefault="00161769" w:rsidP="00F31936">
            <w:pPr>
              <w:rPr>
                <w:szCs w:val="20"/>
              </w:rPr>
            </w:pPr>
            <w:r w:rsidRPr="00F171A3">
              <w:rPr>
                <w:rFonts w:ascii="Calibri" w:hAnsi="Calibri" w:cs="Calibri"/>
                <w:color w:val="000000"/>
                <w:szCs w:val="20"/>
              </w:rPr>
              <w:t>NETRON INVESTMENT SRL</w:t>
            </w:r>
          </w:p>
        </w:tc>
        <w:tc>
          <w:tcPr>
            <w:tcW w:w="3330" w:type="dxa"/>
            <w:vAlign w:val="bottom"/>
          </w:tcPr>
          <w:p w14:paraId="48206B6C" w14:textId="77777777" w:rsidR="00161769" w:rsidRPr="00F171A3" w:rsidRDefault="00161769" w:rsidP="00F31936">
            <w:pPr>
              <w:jc w:val="left"/>
              <w:rPr>
                <w:szCs w:val="20"/>
              </w:rPr>
            </w:pPr>
            <w:r w:rsidRPr="00F171A3">
              <w:rPr>
                <w:rFonts w:ascii="Calibri" w:hAnsi="Calibri" w:cs="Calibri"/>
                <w:color w:val="000000"/>
                <w:szCs w:val="20"/>
              </w:rPr>
              <w:t>Dezvoltare imobiliară</w:t>
            </w:r>
          </w:p>
        </w:tc>
        <w:tc>
          <w:tcPr>
            <w:tcW w:w="1677" w:type="dxa"/>
            <w:vAlign w:val="bottom"/>
          </w:tcPr>
          <w:p w14:paraId="1EC5F0C4" w14:textId="77777777" w:rsidR="00161769" w:rsidRPr="00F171A3" w:rsidRDefault="00161769" w:rsidP="00F31936">
            <w:pPr>
              <w:rPr>
                <w:szCs w:val="20"/>
              </w:rPr>
            </w:pPr>
            <w:r w:rsidRPr="00F171A3">
              <w:rPr>
                <w:rFonts w:ascii="Calibri" w:hAnsi="Calibri" w:cs="Calibri"/>
                <w:color w:val="000000"/>
                <w:szCs w:val="20"/>
              </w:rPr>
              <w:t xml:space="preserve">61,245,354 </w:t>
            </w:r>
          </w:p>
        </w:tc>
      </w:tr>
      <w:tr w:rsidR="00161769" w:rsidRPr="00F171A3" w14:paraId="74FC3404" w14:textId="77777777" w:rsidTr="00F31936">
        <w:trPr>
          <w:cnfStyle w:val="000000100000" w:firstRow="0" w:lastRow="0" w:firstColumn="0" w:lastColumn="0" w:oddVBand="0" w:evenVBand="0" w:oddHBand="1" w:evenHBand="0" w:firstRowFirstColumn="0" w:firstRowLastColumn="0" w:lastRowFirstColumn="0" w:lastRowLastColumn="0"/>
          <w:trHeight w:val="612"/>
        </w:trPr>
        <w:tc>
          <w:tcPr>
            <w:tcW w:w="863" w:type="dxa"/>
          </w:tcPr>
          <w:p w14:paraId="18A2C61D" w14:textId="77777777" w:rsidR="00161769" w:rsidRPr="00F171A3" w:rsidRDefault="00161769" w:rsidP="00F31936">
            <w:r w:rsidRPr="00F171A3">
              <w:t>7</w:t>
            </w:r>
          </w:p>
        </w:tc>
        <w:tc>
          <w:tcPr>
            <w:tcW w:w="3722" w:type="dxa"/>
            <w:vAlign w:val="bottom"/>
          </w:tcPr>
          <w:p w14:paraId="3796F37E" w14:textId="77777777" w:rsidR="00161769" w:rsidRPr="00F171A3" w:rsidRDefault="00161769" w:rsidP="00F31936">
            <w:pPr>
              <w:rPr>
                <w:szCs w:val="20"/>
              </w:rPr>
            </w:pPr>
            <w:r w:rsidRPr="00F171A3">
              <w:rPr>
                <w:rFonts w:ascii="Calibri" w:hAnsi="Calibri" w:cs="Calibri"/>
                <w:color w:val="000000"/>
                <w:szCs w:val="20"/>
              </w:rPr>
              <w:t>NGY PROPERTIERS INVESTMENT SRL</w:t>
            </w:r>
          </w:p>
        </w:tc>
        <w:tc>
          <w:tcPr>
            <w:tcW w:w="3330" w:type="dxa"/>
            <w:vAlign w:val="bottom"/>
          </w:tcPr>
          <w:p w14:paraId="35080204" w14:textId="77777777" w:rsidR="00161769" w:rsidRPr="00F171A3" w:rsidRDefault="00161769" w:rsidP="00F31936">
            <w:pPr>
              <w:jc w:val="left"/>
              <w:rPr>
                <w:szCs w:val="20"/>
              </w:rPr>
            </w:pPr>
            <w:r w:rsidRPr="00F171A3">
              <w:rPr>
                <w:rFonts w:ascii="Calibri" w:hAnsi="Calibri" w:cs="Calibri"/>
                <w:szCs w:val="20"/>
              </w:rPr>
              <w:t>Dezvoltare imobiliară</w:t>
            </w:r>
          </w:p>
        </w:tc>
        <w:tc>
          <w:tcPr>
            <w:tcW w:w="1677" w:type="dxa"/>
            <w:vAlign w:val="bottom"/>
          </w:tcPr>
          <w:p w14:paraId="0F4213BF" w14:textId="77777777" w:rsidR="00161769" w:rsidRPr="00F171A3" w:rsidRDefault="00161769" w:rsidP="00F31936">
            <w:pPr>
              <w:rPr>
                <w:szCs w:val="20"/>
              </w:rPr>
            </w:pPr>
            <w:r w:rsidRPr="00F171A3">
              <w:rPr>
                <w:rFonts w:ascii="Calibri" w:hAnsi="Calibri" w:cs="Calibri"/>
                <w:szCs w:val="20"/>
              </w:rPr>
              <w:t xml:space="preserve">49,975,548 </w:t>
            </w:r>
          </w:p>
        </w:tc>
      </w:tr>
      <w:tr w:rsidR="00161769" w:rsidRPr="00F171A3" w14:paraId="47696FE6" w14:textId="77777777" w:rsidTr="00F31936">
        <w:trPr>
          <w:cnfStyle w:val="000000010000" w:firstRow="0" w:lastRow="0" w:firstColumn="0" w:lastColumn="0" w:oddVBand="0" w:evenVBand="0" w:oddHBand="0" w:evenHBand="1" w:firstRowFirstColumn="0" w:firstRowLastColumn="0" w:lastRowFirstColumn="0" w:lastRowLastColumn="0"/>
          <w:trHeight w:val="435"/>
        </w:trPr>
        <w:tc>
          <w:tcPr>
            <w:tcW w:w="863" w:type="dxa"/>
          </w:tcPr>
          <w:p w14:paraId="0A646F0C" w14:textId="77777777" w:rsidR="00161769" w:rsidRPr="00F171A3" w:rsidRDefault="00161769" w:rsidP="00F31936">
            <w:r w:rsidRPr="00F171A3">
              <w:t>8</w:t>
            </w:r>
          </w:p>
        </w:tc>
        <w:tc>
          <w:tcPr>
            <w:tcW w:w="3722" w:type="dxa"/>
            <w:vAlign w:val="bottom"/>
          </w:tcPr>
          <w:p w14:paraId="4A04E0EC" w14:textId="77777777" w:rsidR="00161769" w:rsidRPr="00F171A3" w:rsidRDefault="00161769" w:rsidP="00F31936">
            <w:pPr>
              <w:rPr>
                <w:szCs w:val="20"/>
              </w:rPr>
            </w:pPr>
            <w:r w:rsidRPr="00F171A3">
              <w:rPr>
                <w:rFonts w:ascii="Calibri" w:hAnsi="Calibri" w:cs="Calibri"/>
                <w:color w:val="000000"/>
                <w:szCs w:val="20"/>
              </w:rPr>
              <w:t>OREGON PARK 1 SRL</w:t>
            </w:r>
          </w:p>
        </w:tc>
        <w:tc>
          <w:tcPr>
            <w:tcW w:w="3330" w:type="dxa"/>
            <w:vAlign w:val="bottom"/>
          </w:tcPr>
          <w:p w14:paraId="3835951A" w14:textId="77777777" w:rsidR="00161769" w:rsidRPr="00F171A3" w:rsidRDefault="00161769" w:rsidP="00F31936">
            <w:pPr>
              <w:jc w:val="left"/>
              <w:rPr>
                <w:szCs w:val="20"/>
              </w:rPr>
            </w:pPr>
            <w:r w:rsidRPr="00F171A3">
              <w:rPr>
                <w:rFonts w:ascii="Calibri" w:hAnsi="Calibri" w:cs="Calibri"/>
                <w:szCs w:val="20"/>
              </w:rPr>
              <w:t>Dezvoltare imobiliară</w:t>
            </w:r>
          </w:p>
        </w:tc>
        <w:tc>
          <w:tcPr>
            <w:tcW w:w="1677" w:type="dxa"/>
            <w:vAlign w:val="bottom"/>
          </w:tcPr>
          <w:p w14:paraId="7AA5D857" w14:textId="77777777" w:rsidR="00161769" w:rsidRPr="00F171A3" w:rsidRDefault="00161769" w:rsidP="00F31936">
            <w:pPr>
              <w:rPr>
                <w:szCs w:val="20"/>
              </w:rPr>
            </w:pPr>
            <w:r w:rsidRPr="00F171A3">
              <w:rPr>
                <w:rFonts w:ascii="Calibri" w:hAnsi="Calibri" w:cs="Calibri"/>
                <w:szCs w:val="20"/>
              </w:rPr>
              <w:t xml:space="preserve">44,769,645 </w:t>
            </w:r>
          </w:p>
        </w:tc>
      </w:tr>
      <w:tr w:rsidR="00161769" w:rsidRPr="00F171A3" w14:paraId="2796AF01" w14:textId="77777777" w:rsidTr="00F31936">
        <w:trPr>
          <w:cnfStyle w:val="000000100000" w:firstRow="0" w:lastRow="0" w:firstColumn="0" w:lastColumn="0" w:oddVBand="0" w:evenVBand="0" w:oddHBand="1" w:evenHBand="0" w:firstRowFirstColumn="0" w:firstRowLastColumn="0" w:lastRowFirstColumn="0" w:lastRowLastColumn="0"/>
          <w:trHeight w:val="705"/>
        </w:trPr>
        <w:tc>
          <w:tcPr>
            <w:tcW w:w="863" w:type="dxa"/>
          </w:tcPr>
          <w:p w14:paraId="32F6B2C8" w14:textId="77777777" w:rsidR="00161769" w:rsidRPr="00F171A3" w:rsidRDefault="00161769" w:rsidP="00F31936">
            <w:r w:rsidRPr="00F171A3">
              <w:t>9</w:t>
            </w:r>
          </w:p>
        </w:tc>
        <w:tc>
          <w:tcPr>
            <w:tcW w:w="3722" w:type="dxa"/>
            <w:vAlign w:val="bottom"/>
          </w:tcPr>
          <w:p w14:paraId="3D356F88" w14:textId="77777777" w:rsidR="00161769" w:rsidRPr="00F171A3" w:rsidRDefault="00161769" w:rsidP="00F31936">
            <w:pPr>
              <w:rPr>
                <w:i/>
                <w:iCs/>
                <w:szCs w:val="20"/>
              </w:rPr>
            </w:pPr>
            <w:r w:rsidRPr="00F171A3">
              <w:rPr>
                <w:rFonts w:ascii="Calibri" w:hAnsi="Calibri" w:cs="Calibri"/>
                <w:color w:val="000000"/>
                <w:szCs w:val="20"/>
              </w:rPr>
              <w:t>PIPERA BUSINESS PARK SRL</w:t>
            </w:r>
          </w:p>
        </w:tc>
        <w:tc>
          <w:tcPr>
            <w:tcW w:w="3330" w:type="dxa"/>
            <w:vAlign w:val="bottom"/>
          </w:tcPr>
          <w:p w14:paraId="46049C2F" w14:textId="77777777" w:rsidR="00161769" w:rsidRPr="00F171A3" w:rsidRDefault="00161769" w:rsidP="00F31936">
            <w:pPr>
              <w:jc w:val="left"/>
              <w:rPr>
                <w:i/>
                <w:iCs/>
                <w:szCs w:val="20"/>
              </w:rPr>
            </w:pPr>
            <w:r w:rsidRPr="00F171A3">
              <w:rPr>
                <w:rFonts w:ascii="Calibri" w:hAnsi="Calibri" w:cs="Calibri"/>
                <w:szCs w:val="20"/>
              </w:rPr>
              <w:t>Închirierea și subînchirierea bunurilor imobiliare proprii sau închiriate</w:t>
            </w:r>
          </w:p>
        </w:tc>
        <w:tc>
          <w:tcPr>
            <w:tcW w:w="1677" w:type="dxa"/>
            <w:vAlign w:val="bottom"/>
          </w:tcPr>
          <w:p w14:paraId="39E88081" w14:textId="77777777" w:rsidR="00161769" w:rsidRPr="00F171A3" w:rsidRDefault="00161769" w:rsidP="00F31936">
            <w:pPr>
              <w:rPr>
                <w:i/>
                <w:iCs/>
                <w:szCs w:val="20"/>
              </w:rPr>
            </w:pPr>
            <w:r w:rsidRPr="00F171A3">
              <w:rPr>
                <w:rFonts w:ascii="Calibri" w:hAnsi="Calibri" w:cs="Calibri"/>
                <w:szCs w:val="20"/>
              </w:rPr>
              <w:t xml:space="preserve">42,963,315 </w:t>
            </w:r>
          </w:p>
        </w:tc>
      </w:tr>
      <w:tr w:rsidR="00161769" w:rsidRPr="00F171A3" w14:paraId="4018ED45" w14:textId="77777777" w:rsidTr="00F31936">
        <w:trPr>
          <w:cnfStyle w:val="000000010000" w:firstRow="0" w:lastRow="0" w:firstColumn="0" w:lastColumn="0" w:oddVBand="0" w:evenVBand="0" w:oddHBand="0" w:evenHBand="1" w:firstRowFirstColumn="0" w:firstRowLastColumn="0" w:lastRowFirstColumn="0" w:lastRowLastColumn="0"/>
          <w:trHeight w:val="450"/>
        </w:trPr>
        <w:tc>
          <w:tcPr>
            <w:tcW w:w="863" w:type="dxa"/>
          </w:tcPr>
          <w:p w14:paraId="5AC4808B" w14:textId="77777777" w:rsidR="00161769" w:rsidRPr="00F171A3" w:rsidRDefault="00161769" w:rsidP="00F31936">
            <w:r w:rsidRPr="00F171A3">
              <w:t>10</w:t>
            </w:r>
          </w:p>
        </w:tc>
        <w:tc>
          <w:tcPr>
            <w:tcW w:w="3722" w:type="dxa"/>
            <w:vAlign w:val="bottom"/>
          </w:tcPr>
          <w:p w14:paraId="3F8443C4" w14:textId="77777777" w:rsidR="00161769" w:rsidRPr="00F171A3" w:rsidRDefault="00161769" w:rsidP="00F31936">
            <w:pPr>
              <w:rPr>
                <w:szCs w:val="20"/>
              </w:rPr>
            </w:pPr>
            <w:r w:rsidRPr="00F171A3">
              <w:rPr>
                <w:rFonts w:ascii="Calibri" w:hAnsi="Calibri" w:cs="Calibri"/>
                <w:color w:val="000000"/>
                <w:szCs w:val="20"/>
              </w:rPr>
              <w:t>VERANDA OBOR SA</w:t>
            </w:r>
          </w:p>
        </w:tc>
        <w:tc>
          <w:tcPr>
            <w:tcW w:w="3330" w:type="dxa"/>
            <w:vAlign w:val="bottom"/>
          </w:tcPr>
          <w:p w14:paraId="502885ED" w14:textId="77777777" w:rsidR="00161769" w:rsidRPr="00F171A3" w:rsidRDefault="00161769" w:rsidP="00F31936">
            <w:pPr>
              <w:rPr>
                <w:szCs w:val="20"/>
              </w:rPr>
            </w:pPr>
            <w:r w:rsidRPr="00F171A3">
              <w:rPr>
                <w:rFonts w:ascii="Calibri" w:hAnsi="Calibri" w:cs="Calibri"/>
                <w:szCs w:val="20"/>
              </w:rPr>
              <w:t>Dezvoltare imobiliară</w:t>
            </w:r>
          </w:p>
        </w:tc>
        <w:tc>
          <w:tcPr>
            <w:tcW w:w="1677" w:type="dxa"/>
            <w:vAlign w:val="bottom"/>
          </w:tcPr>
          <w:p w14:paraId="3DA6B921" w14:textId="77777777" w:rsidR="00161769" w:rsidRPr="00F171A3" w:rsidRDefault="00161769" w:rsidP="00F31936">
            <w:pPr>
              <w:rPr>
                <w:szCs w:val="20"/>
              </w:rPr>
            </w:pPr>
            <w:r w:rsidRPr="00F171A3">
              <w:rPr>
                <w:rFonts w:ascii="Calibri" w:hAnsi="Calibri" w:cs="Calibri"/>
                <w:szCs w:val="20"/>
              </w:rPr>
              <w:t xml:space="preserve">31,409,131 </w:t>
            </w:r>
          </w:p>
        </w:tc>
      </w:tr>
      <w:tr w:rsidR="00161769" w:rsidRPr="00F171A3" w14:paraId="24F61290" w14:textId="77777777" w:rsidTr="00F31936">
        <w:trPr>
          <w:cnfStyle w:val="000000100000" w:firstRow="0" w:lastRow="0" w:firstColumn="0" w:lastColumn="0" w:oddVBand="0" w:evenVBand="0" w:oddHBand="1" w:evenHBand="0" w:firstRowFirstColumn="0" w:firstRowLastColumn="0" w:lastRowFirstColumn="0" w:lastRowLastColumn="0"/>
          <w:trHeight w:val="378"/>
        </w:trPr>
        <w:tc>
          <w:tcPr>
            <w:tcW w:w="863" w:type="dxa"/>
          </w:tcPr>
          <w:p w14:paraId="17535872" w14:textId="77777777" w:rsidR="00161769" w:rsidRPr="00F171A3" w:rsidRDefault="00161769" w:rsidP="00F31936">
            <w:r w:rsidRPr="00F171A3">
              <w:t>11</w:t>
            </w:r>
          </w:p>
        </w:tc>
        <w:tc>
          <w:tcPr>
            <w:tcW w:w="3722" w:type="dxa"/>
            <w:vAlign w:val="bottom"/>
          </w:tcPr>
          <w:p w14:paraId="7374C1DC" w14:textId="77777777" w:rsidR="00161769" w:rsidRPr="00F171A3" w:rsidRDefault="00161769" w:rsidP="00F31936">
            <w:pPr>
              <w:rPr>
                <w:szCs w:val="20"/>
              </w:rPr>
            </w:pPr>
            <w:r w:rsidRPr="00F171A3">
              <w:rPr>
                <w:rFonts w:ascii="Calibri" w:hAnsi="Calibri" w:cs="Calibri"/>
                <w:color w:val="000000"/>
                <w:szCs w:val="20"/>
              </w:rPr>
              <w:t>CORINTHIAN TOWER SRL</w:t>
            </w:r>
          </w:p>
        </w:tc>
        <w:tc>
          <w:tcPr>
            <w:tcW w:w="3330" w:type="dxa"/>
            <w:vAlign w:val="bottom"/>
          </w:tcPr>
          <w:p w14:paraId="613E1AD1" w14:textId="77777777" w:rsidR="00161769" w:rsidRPr="00F171A3" w:rsidRDefault="00161769" w:rsidP="00F31936">
            <w:pPr>
              <w:rPr>
                <w:szCs w:val="20"/>
              </w:rPr>
            </w:pPr>
            <w:r w:rsidRPr="00F171A3">
              <w:rPr>
                <w:rFonts w:ascii="Calibri" w:hAnsi="Calibri" w:cs="Calibri"/>
                <w:szCs w:val="20"/>
              </w:rPr>
              <w:t>Dezvoltare imobiliară</w:t>
            </w:r>
          </w:p>
        </w:tc>
        <w:tc>
          <w:tcPr>
            <w:tcW w:w="1677" w:type="dxa"/>
            <w:vAlign w:val="bottom"/>
          </w:tcPr>
          <w:p w14:paraId="2697B48B" w14:textId="77777777" w:rsidR="00161769" w:rsidRPr="00F171A3" w:rsidRDefault="00161769" w:rsidP="00F31936">
            <w:pPr>
              <w:rPr>
                <w:szCs w:val="20"/>
              </w:rPr>
            </w:pPr>
            <w:r w:rsidRPr="00F171A3">
              <w:rPr>
                <w:rFonts w:ascii="Calibri" w:hAnsi="Calibri" w:cs="Calibri"/>
                <w:szCs w:val="20"/>
              </w:rPr>
              <w:t xml:space="preserve">30,375,107 </w:t>
            </w:r>
          </w:p>
        </w:tc>
      </w:tr>
      <w:tr w:rsidR="00161769" w:rsidRPr="00F171A3" w14:paraId="7048DF7D" w14:textId="77777777" w:rsidTr="00F31936">
        <w:trPr>
          <w:cnfStyle w:val="000000010000" w:firstRow="0" w:lastRow="0" w:firstColumn="0" w:lastColumn="0" w:oddVBand="0" w:evenVBand="0" w:oddHBand="0" w:evenHBand="1" w:firstRowFirstColumn="0" w:firstRowLastColumn="0" w:lastRowFirstColumn="0" w:lastRowLastColumn="0"/>
          <w:trHeight w:val="468"/>
        </w:trPr>
        <w:tc>
          <w:tcPr>
            <w:tcW w:w="863" w:type="dxa"/>
          </w:tcPr>
          <w:p w14:paraId="0F32DE88" w14:textId="77777777" w:rsidR="00161769" w:rsidRPr="00F171A3" w:rsidRDefault="00161769" w:rsidP="00F31936">
            <w:r w:rsidRPr="00F171A3">
              <w:t>12</w:t>
            </w:r>
          </w:p>
        </w:tc>
        <w:tc>
          <w:tcPr>
            <w:tcW w:w="3722" w:type="dxa"/>
            <w:vAlign w:val="bottom"/>
          </w:tcPr>
          <w:p w14:paraId="2D8FAE12" w14:textId="77777777" w:rsidR="00161769" w:rsidRPr="00F171A3" w:rsidRDefault="00161769" w:rsidP="00F31936">
            <w:pPr>
              <w:rPr>
                <w:szCs w:val="20"/>
              </w:rPr>
            </w:pPr>
            <w:r w:rsidRPr="00F171A3">
              <w:rPr>
                <w:rFonts w:ascii="Calibri" w:hAnsi="Calibri" w:cs="Calibri"/>
                <w:color w:val="000000"/>
                <w:szCs w:val="20"/>
              </w:rPr>
              <w:t>SPC GAMMA PROPERTY DEVELOPMENT COMPANY SRL</w:t>
            </w:r>
          </w:p>
        </w:tc>
        <w:tc>
          <w:tcPr>
            <w:tcW w:w="3330" w:type="dxa"/>
            <w:vAlign w:val="bottom"/>
          </w:tcPr>
          <w:p w14:paraId="7C15B7E3" w14:textId="77777777" w:rsidR="00161769" w:rsidRPr="00F171A3" w:rsidRDefault="00161769" w:rsidP="00F31936">
            <w:pPr>
              <w:rPr>
                <w:szCs w:val="20"/>
              </w:rPr>
            </w:pPr>
            <w:r w:rsidRPr="00F171A3">
              <w:rPr>
                <w:rFonts w:ascii="Calibri" w:hAnsi="Calibri" w:cs="Calibri"/>
                <w:szCs w:val="20"/>
              </w:rPr>
              <w:t>Dezvoltare imobiliară</w:t>
            </w:r>
          </w:p>
        </w:tc>
        <w:tc>
          <w:tcPr>
            <w:tcW w:w="1677" w:type="dxa"/>
            <w:vAlign w:val="bottom"/>
          </w:tcPr>
          <w:p w14:paraId="683C6703" w14:textId="77777777" w:rsidR="00161769" w:rsidRPr="00F171A3" w:rsidRDefault="00161769" w:rsidP="00F31936">
            <w:pPr>
              <w:rPr>
                <w:szCs w:val="20"/>
              </w:rPr>
            </w:pPr>
            <w:r w:rsidRPr="00F171A3">
              <w:rPr>
                <w:rFonts w:ascii="Calibri" w:hAnsi="Calibri" w:cs="Calibri"/>
                <w:szCs w:val="20"/>
              </w:rPr>
              <w:t xml:space="preserve">21,267,312 </w:t>
            </w:r>
          </w:p>
        </w:tc>
      </w:tr>
      <w:tr w:rsidR="00161769" w:rsidRPr="00F171A3" w14:paraId="0307AED1" w14:textId="77777777" w:rsidTr="00F31936">
        <w:trPr>
          <w:cnfStyle w:val="000000100000" w:firstRow="0" w:lastRow="0" w:firstColumn="0" w:lastColumn="0" w:oddVBand="0" w:evenVBand="0" w:oddHBand="1" w:evenHBand="0" w:firstRowFirstColumn="0" w:firstRowLastColumn="0" w:lastRowFirstColumn="0" w:lastRowLastColumn="0"/>
          <w:trHeight w:val="705"/>
        </w:trPr>
        <w:tc>
          <w:tcPr>
            <w:tcW w:w="863" w:type="dxa"/>
          </w:tcPr>
          <w:p w14:paraId="36B2B2DA" w14:textId="77777777" w:rsidR="00161769" w:rsidRPr="00F171A3" w:rsidRDefault="00161769" w:rsidP="00F31936">
            <w:r w:rsidRPr="00F171A3">
              <w:t>13</w:t>
            </w:r>
          </w:p>
        </w:tc>
        <w:tc>
          <w:tcPr>
            <w:tcW w:w="3722" w:type="dxa"/>
            <w:vAlign w:val="bottom"/>
          </w:tcPr>
          <w:p w14:paraId="0084132A" w14:textId="77777777" w:rsidR="00161769" w:rsidRPr="00F171A3" w:rsidRDefault="00161769" w:rsidP="00F31936">
            <w:pPr>
              <w:rPr>
                <w:szCs w:val="20"/>
              </w:rPr>
            </w:pPr>
            <w:r w:rsidRPr="00F171A3">
              <w:rPr>
                <w:rFonts w:ascii="Calibri" w:hAnsi="Calibri" w:cs="Calibri"/>
                <w:szCs w:val="20"/>
              </w:rPr>
              <w:t>SPC BETA PROPERTY DEVELOPMENT COMPANY SRL</w:t>
            </w:r>
          </w:p>
        </w:tc>
        <w:tc>
          <w:tcPr>
            <w:tcW w:w="3330" w:type="dxa"/>
            <w:vAlign w:val="bottom"/>
          </w:tcPr>
          <w:p w14:paraId="65DFEE0C" w14:textId="77777777" w:rsidR="00161769" w:rsidRPr="00F171A3" w:rsidRDefault="00161769" w:rsidP="00F31936">
            <w:pPr>
              <w:rPr>
                <w:szCs w:val="20"/>
              </w:rPr>
            </w:pPr>
            <w:r w:rsidRPr="00F171A3">
              <w:rPr>
                <w:rFonts w:ascii="Calibri" w:hAnsi="Calibri" w:cs="Calibri"/>
                <w:szCs w:val="20"/>
              </w:rPr>
              <w:t>Dezvoltare imobiliară</w:t>
            </w:r>
          </w:p>
        </w:tc>
        <w:tc>
          <w:tcPr>
            <w:tcW w:w="1677" w:type="dxa"/>
            <w:vAlign w:val="bottom"/>
          </w:tcPr>
          <w:p w14:paraId="5ABC409D" w14:textId="77777777" w:rsidR="00161769" w:rsidRPr="00F171A3" w:rsidRDefault="00161769" w:rsidP="00F31936">
            <w:pPr>
              <w:rPr>
                <w:szCs w:val="20"/>
              </w:rPr>
            </w:pPr>
            <w:r w:rsidRPr="00F171A3">
              <w:rPr>
                <w:rFonts w:ascii="Calibri" w:hAnsi="Calibri" w:cs="Calibri"/>
                <w:szCs w:val="20"/>
              </w:rPr>
              <w:t xml:space="preserve">20,876,094 </w:t>
            </w:r>
          </w:p>
        </w:tc>
      </w:tr>
      <w:tr w:rsidR="00161769" w:rsidRPr="00F171A3" w14:paraId="568DFD69" w14:textId="77777777" w:rsidTr="00F31936">
        <w:trPr>
          <w:cnfStyle w:val="000000010000" w:firstRow="0" w:lastRow="0" w:firstColumn="0" w:lastColumn="0" w:oddVBand="0" w:evenVBand="0" w:oddHBand="0" w:evenHBand="1" w:firstRowFirstColumn="0" w:firstRowLastColumn="0" w:lastRowFirstColumn="0" w:lastRowLastColumn="0"/>
          <w:trHeight w:val="675"/>
        </w:trPr>
        <w:tc>
          <w:tcPr>
            <w:tcW w:w="863" w:type="dxa"/>
          </w:tcPr>
          <w:p w14:paraId="58CA2AFE" w14:textId="77777777" w:rsidR="00161769" w:rsidRPr="00F171A3" w:rsidRDefault="00161769" w:rsidP="00F31936">
            <w:r w:rsidRPr="00F171A3">
              <w:t>14</w:t>
            </w:r>
          </w:p>
        </w:tc>
        <w:tc>
          <w:tcPr>
            <w:tcW w:w="3722" w:type="dxa"/>
            <w:vAlign w:val="bottom"/>
          </w:tcPr>
          <w:p w14:paraId="5EE02C6A" w14:textId="77777777" w:rsidR="00161769" w:rsidRPr="00F171A3" w:rsidRDefault="00161769" w:rsidP="00F31936">
            <w:pPr>
              <w:rPr>
                <w:szCs w:val="20"/>
              </w:rPr>
            </w:pPr>
            <w:r w:rsidRPr="00F171A3">
              <w:rPr>
                <w:rFonts w:ascii="Calibri" w:hAnsi="Calibri" w:cs="Calibri"/>
                <w:color w:val="000000"/>
                <w:szCs w:val="20"/>
              </w:rPr>
              <w:t>SPC EPSILON PROPERTY DEVELOPMENT COMPANY SRL</w:t>
            </w:r>
          </w:p>
        </w:tc>
        <w:tc>
          <w:tcPr>
            <w:tcW w:w="3330" w:type="dxa"/>
            <w:vAlign w:val="bottom"/>
          </w:tcPr>
          <w:p w14:paraId="5914BCB1" w14:textId="77777777" w:rsidR="00161769" w:rsidRPr="00F171A3" w:rsidRDefault="00161769" w:rsidP="00F31936">
            <w:pPr>
              <w:rPr>
                <w:szCs w:val="20"/>
              </w:rPr>
            </w:pPr>
            <w:r w:rsidRPr="00F171A3">
              <w:rPr>
                <w:rFonts w:ascii="Calibri" w:hAnsi="Calibri" w:cs="Calibri"/>
                <w:szCs w:val="20"/>
              </w:rPr>
              <w:t>Dezvoltare imobiliară</w:t>
            </w:r>
          </w:p>
        </w:tc>
        <w:tc>
          <w:tcPr>
            <w:tcW w:w="1677" w:type="dxa"/>
            <w:vAlign w:val="bottom"/>
          </w:tcPr>
          <w:p w14:paraId="0B97B882" w14:textId="77777777" w:rsidR="00161769" w:rsidRPr="00F171A3" w:rsidRDefault="00161769" w:rsidP="00F31936">
            <w:pPr>
              <w:rPr>
                <w:szCs w:val="20"/>
              </w:rPr>
            </w:pPr>
            <w:r w:rsidRPr="00F171A3">
              <w:rPr>
                <w:rFonts w:ascii="Calibri" w:hAnsi="Calibri" w:cs="Calibri"/>
                <w:szCs w:val="20"/>
              </w:rPr>
              <w:t xml:space="preserve">17,848,737 </w:t>
            </w:r>
          </w:p>
        </w:tc>
      </w:tr>
      <w:tr w:rsidR="00161769" w:rsidRPr="00F171A3" w14:paraId="7C93F13E" w14:textId="77777777" w:rsidTr="00F31936">
        <w:trPr>
          <w:cnfStyle w:val="000000100000" w:firstRow="0" w:lastRow="0" w:firstColumn="0" w:lastColumn="0" w:oddVBand="0" w:evenVBand="0" w:oddHBand="1" w:evenHBand="0" w:firstRowFirstColumn="0" w:firstRowLastColumn="0" w:lastRowFirstColumn="0" w:lastRowLastColumn="0"/>
          <w:trHeight w:val="705"/>
        </w:trPr>
        <w:tc>
          <w:tcPr>
            <w:tcW w:w="863" w:type="dxa"/>
          </w:tcPr>
          <w:p w14:paraId="203F891A" w14:textId="77777777" w:rsidR="00161769" w:rsidRPr="00F171A3" w:rsidRDefault="00161769" w:rsidP="00F31936">
            <w:r w:rsidRPr="00F171A3">
              <w:t>15</w:t>
            </w:r>
          </w:p>
        </w:tc>
        <w:tc>
          <w:tcPr>
            <w:tcW w:w="3722" w:type="dxa"/>
            <w:vAlign w:val="bottom"/>
          </w:tcPr>
          <w:p w14:paraId="407B69C3" w14:textId="77777777" w:rsidR="00161769" w:rsidRPr="00F171A3" w:rsidRDefault="00161769" w:rsidP="00F31936">
            <w:pPr>
              <w:rPr>
                <w:szCs w:val="20"/>
              </w:rPr>
            </w:pPr>
            <w:r w:rsidRPr="00F171A3">
              <w:rPr>
                <w:rFonts w:ascii="Calibri" w:hAnsi="Calibri" w:cs="Calibri"/>
                <w:color w:val="000000"/>
                <w:szCs w:val="20"/>
              </w:rPr>
              <w:t>SPC ZETA PROPERTY DEVELOPMENT COMPANY SRL</w:t>
            </w:r>
          </w:p>
        </w:tc>
        <w:tc>
          <w:tcPr>
            <w:tcW w:w="3330" w:type="dxa"/>
            <w:vAlign w:val="bottom"/>
          </w:tcPr>
          <w:p w14:paraId="599523F9" w14:textId="77777777" w:rsidR="00161769" w:rsidRPr="00F171A3" w:rsidRDefault="00161769" w:rsidP="00F31936">
            <w:pPr>
              <w:rPr>
                <w:szCs w:val="20"/>
              </w:rPr>
            </w:pPr>
            <w:r w:rsidRPr="00F171A3">
              <w:rPr>
                <w:rFonts w:ascii="Calibri" w:hAnsi="Calibri" w:cs="Calibri"/>
                <w:szCs w:val="20"/>
              </w:rPr>
              <w:t>Dezvoltare imobiliară</w:t>
            </w:r>
          </w:p>
        </w:tc>
        <w:tc>
          <w:tcPr>
            <w:tcW w:w="1677" w:type="dxa"/>
            <w:vAlign w:val="bottom"/>
          </w:tcPr>
          <w:p w14:paraId="4991E1E5" w14:textId="77777777" w:rsidR="00161769" w:rsidRPr="00F171A3" w:rsidRDefault="00161769" w:rsidP="00F31936">
            <w:pPr>
              <w:rPr>
                <w:szCs w:val="20"/>
              </w:rPr>
            </w:pPr>
            <w:r w:rsidRPr="00F171A3">
              <w:rPr>
                <w:rFonts w:ascii="Calibri" w:hAnsi="Calibri" w:cs="Calibri"/>
                <w:szCs w:val="20"/>
              </w:rPr>
              <w:t xml:space="preserve">13,406,480 </w:t>
            </w:r>
          </w:p>
        </w:tc>
      </w:tr>
    </w:tbl>
    <w:p w14:paraId="529ADCAC" w14:textId="77777777" w:rsidR="00161769" w:rsidRPr="00F171A3" w:rsidRDefault="00161769" w:rsidP="0046391E">
      <w:pPr>
        <w:jc w:val="right"/>
        <w:rPr>
          <w:color w:val="BFBFBF" w:themeColor="background1" w:themeShade="BF"/>
        </w:rPr>
      </w:pPr>
      <w:r w:rsidRPr="00F171A3">
        <w:rPr>
          <w:color w:val="BFBFBF" w:themeColor="background1" w:themeShade="BF"/>
        </w:rPr>
        <w:t xml:space="preserve">Sursa: Primăria Sectorului 2, </w:t>
      </w:r>
      <w:hyperlink r:id="rId120" w:history="1">
        <w:r w:rsidRPr="00F171A3">
          <w:rPr>
            <w:rStyle w:val="Hyperlink"/>
            <w:color w:val="BFBFBF" w:themeColor="background1" w:themeShade="BF"/>
          </w:rPr>
          <w:t>www.listafirme.ro</w:t>
        </w:r>
      </w:hyperlink>
    </w:p>
    <w:p w14:paraId="1A1083C9" w14:textId="77777777" w:rsidR="00161769" w:rsidRPr="00F171A3" w:rsidRDefault="00161769" w:rsidP="0046391E">
      <w:pPr>
        <w:jc w:val="right"/>
        <w:rPr>
          <w:color w:val="BFBFBF" w:themeColor="background1" w:themeShade="BF"/>
        </w:rPr>
      </w:pPr>
      <w:r w:rsidRPr="00F171A3">
        <w:rPr>
          <w:color w:val="BFBFBF" w:themeColor="background1" w:themeShade="BF"/>
        </w:rPr>
        <w:t>*valoarea se referă la cifra de afaceri totală, la nivel național</w:t>
      </w:r>
    </w:p>
    <w:p w14:paraId="7128264D" w14:textId="7A1E1E6A" w:rsidR="00983F17" w:rsidRPr="00F171A3" w:rsidRDefault="00983F17" w:rsidP="00983F17"/>
    <w:p w14:paraId="7081CEDA" w14:textId="3EE97542" w:rsidR="00983F17" w:rsidRPr="00F171A3" w:rsidRDefault="00983F17" w:rsidP="00983F17"/>
    <w:p w14:paraId="1D444CC1" w14:textId="77777777" w:rsidR="00983F17" w:rsidRPr="00F171A3" w:rsidRDefault="00983F17" w:rsidP="00983F17"/>
    <w:p w14:paraId="069C6C92" w14:textId="19F5436B" w:rsidR="00161769" w:rsidRPr="00F171A3" w:rsidRDefault="001E0A0F" w:rsidP="00161769">
      <w:pPr>
        <w:pStyle w:val="Heading3"/>
        <w:rPr>
          <w:lang w:val="ro-RO"/>
        </w:rPr>
      </w:pPr>
      <w:bookmarkStart w:id="209" w:name="_Toc127199277"/>
      <w:r w:rsidRPr="00F171A3">
        <w:rPr>
          <w:caps w:val="0"/>
          <w:lang w:val="ro-RO"/>
        </w:rPr>
        <w:t>FORȚA DE MUNCĂ</w:t>
      </w:r>
      <w:bookmarkEnd w:id="209"/>
    </w:p>
    <w:p w14:paraId="39FDD982" w14:textId="44E21BA3" w:rsidR="00161769" w:rsidRPr="00F171A3" w:rsidRDefault="00983F17" w:rsidP="00161769">
      <w:pPr>
        <w:rPr>
          <w:b/>
          <w:bCs/>
          <w:color w:val="134753" w:themeColor="text2"/>
        </w:rPr>
      </w:pPr>
      <w:r w:rsidRPr="00F171A3">
        <w:rPr>
          <w:b/>
          <w:bCs/>
          <w:color w:val="134753" w:themeColor="text2"/>
        </w:rPr>
        <w:t>NUMĂRUL MEDIU DE SALARIAȚI</w:t>
      </w:r>
    </w:p>
    <w:p w14:paraId="5A8E1A1B" w14:textId="77777777" w:rsidR="00161769" w:rsidRPr="00F171A3" w:rsidRDefault="00161769" w:rsidP="00161769">
      <w:r w:rsidRPr="00F171A3">
        <w:t>În anul 2020, numărul mediu de salariați din întreprinderile active din Sectorul 2, era de 256.167, în creștere cu 14,2% (+31.780) față de anul 2014. Astfel, Sectorul 2 reprezenta 22,1% din totalul numărului mediu de salariați din anul 2020 din capitală, înregistrând o pondere mai mare față de anul 2014 – 20,1%. Din punct de vedere al numărului mediu de salariați din întreprinderile active, Sectorul 2 ocupă poziția a doua la nivelul capitalei, fiind depășit doar de Sectorul 1, care înregistra peste 400.000 de salariați, cu o pondere de 35,7% în numărul total de salariați din capitală.</w:t>
      </w:r>
    </w:p>
    <w:p w14:paraId="188C5B66" w14:textId="6EDA63C6" w:rsidR="00161769" w:rsidRPr="00F171A3" w:rsidRDefault="00161769" w:rsidP="00161769">
      <w:pPr>
        <w:pStyle w:val="Caption"/>
      </w:pPr>
      <w:bookmarkStart w:id="210" w:name="_Toc127198058"/>
      <w:r w:rsidRPr="00F171A3">
        <w:t xml:space="preserve">Figura </w:t>
      </w:r>
      <w:r w:rsidRPr="00F171A3">
        <w:fldChar w:fldCharType="begin"/>
      </w:r>
      <w:r w:rsidRPr="00F171A3">
        <w:instrText xml:space="preserve"> SEQ Figura \* ARABIC </w:instrText>
      </w:r>
      <w:r w:rsidRPr="00F171A3">
        <w:fldChar w:fldCharType="separate"/>
      </w:r>
      <w:r w:rsidR="005A6DD8">
        <w:rPr>
          <w:noProof/>
        </w:rPr>
        <w:t>70</w:t>
      </w:r>
      <w:r w:rsidRPr="00F171A3">
        <w:fldChar w:fldCharType="end"/>
      </w:r>
      <w:r w:rsidRPr="00F171A3">
        <w:t xml:space="preserve"> Numărul mediu de salariați din întreprinderile active din Sectorul 2, în perioada 2014-2020</w:t>
      </w:r>
      <w:bookmarkEnd w:id="210"/>
    </w:p>
    <w:p w14:paraId="5B9B0682" w14:textId="77777777" w:rsidR="00161769" w:rsidRPr="00F171A3" w:rsidRDefault="00161769" w:rsidP="00161769">
      <w:r w:rsidRPr="00F171A3">
        <w:rPr>
          <w:noProof/>
        </w:rPr>
        <w:drawing>
          <wp:inline distT="0" distB="0" distL="0" distR="0" wp14:anchorId="566A4B72" wp14:editId="46DD35F8">
            <wp:extent cx="6057900" cy="2971800"/>
            <wp:effectExtent l="0" t="0" r="0" b="0"/>
            <wp:docPr id="25660" name="Chart 256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5559ABE"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201E4BFC" w14:textId="77777777" w:rsidR="00161769" w:rsidRPr="00F171A3" w:rsidRDefault="00161769" w:rsidP="00161769">
      <w:pPr>
        <w:rPr>
          <w:b/>
          <w:bCs/>
          <w:color w:val="134753" w:themeColor="text2"/>
        </w:rPr>
      </w:pPr>
    </w:p>
    <w:p w14:paraId="4555B7AC" w14:textId="25CE28F6" w:rsidR="00161769" w:rsidRPr="00F171A3" w:rsidRDefault="00983F17" w:rsidP="00161769">
      <w:pPr>
        <w:rPr>
          <w:b/>
          <w:bCs/>
          <w:color w:val="134753" w:themeColor="text2"/>
        </w:rPr>
      </w:pPr>
      <w:r w:rsidRPr="00F171A3">
        <w:rPr>
          <w:b/>
          <w:bCs/>
          <w:color w:val="134753" w:themeColor="text2"/>
        </w:rPr>
        <w:t>CLASE DE MĂRIME</w:t>
      </w:r>
    </w:p>
    <w:p w14:paraId="04741303" w14:textId="77777777" w:rsidR="00161769" w:rsidRPr="00F171A3" w:rsidRDefault="00161769" w:rsidP="00161769">
      <w:r w:rsidRPr="00F171A3">
        <w:t xml:space="preserve">Cea mai mare parte a salariaților din Sectorul 2 se regăsesc în companiile mari (62,2%), indicând faptul că acestea reprezintă motorul economiei locale. Așa cum menționam anterior, microîntreprinderile au o performanță sub potențialul lor, angajând puțin sub 9% din totalul salariaților, fapt ce determină nevoia de întărire a capacității acestora de a rezista pe piață și de a genera rezultate favorabile dezvoltării. </w:t>
      </w:r>
    </w:p>
    <w:p w14:paraId="7409FF2D" w14:textId="5A80464C" w:rsidR="00161769" w:rsidRPr="00F171A3" w:rsidRDefault="00161769" w:rsidP="00161769">
      <w:pPr>
        <w:pStyle w:val="Caption"/>
      </w:pPr>
      <w:bookmarkStart w:id="211" w:name="_Toc127198059"/>
      <w:r w:rsidRPr="00F171A3">
        <w:t xml:space="preserve">Figura </w:t>
      </w:r>
      <w:r w:rsidRPr="00F171A3">
        <w:fldChar w:fldCharType="begin"/>
      </w:r>
      <w:r w:rsidRPr="00F171A3">
        <w:instrText xml:space="preserve"> SEQ Figura \* ARABIC </w:instrText>
      </w:r>
      <w:r w:rsidRPr="00F171A3">
        <w:fldChar w:fldCharType="separate"/>
      </w:r>
      <w:r w:rsidR="005A6DD8">
        <w:rPr>
          <w:noProof/>
        </w:rPr>
        <w:t>71</w:t>
      </w:r>
      <w:r w:rsidRPr="00F171A3">
        <w:fldChar w:fldCharType="end"/>
      </w:r>
      <w:r w:rsidRPr="00F171A3">
        <w:t xml:space="preserve"> Distribuția numărului mediu de salariați din întreprinderile active pe clase de mărime, 2014 (stânga) și 2019 (dreapta)</w:t>
      </w:r>
      <w:bookmarkEnd w:id="211"/>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06"/>
        <w:gridCol w:w="4930"/>
      </w:tblGrid>
      <w:tr w:rsidR="00161769" w:rsidRPr="00F171A3" w14:paraId="7645603D" w14:textId="77777777" w:rsidTr="00983F17">
        <w:trPr>
          <w:trHeight w:val="3119"/>
          <w:jc w:val="center"/>
        </w:trPr>
        <w:tc>
          <w:tcPr>
            <w:tcW w:w="4506" w:type="dxa"/>
          </w:tcPr>
          <w:p w14:paraId="3E8F5E2E" w14:textId="77777777" w:rsidR="00161769" w:rsidRPr="00F171A3" w:rsidRDefault="00161769" w:rsidP="00F31936">
            <w:pPr>
              <w:jc w:val="center"/>
              <w:rPr>
                <w:rFonts w:asciiTheme="minorHAnsi" w:hAnsiTheme="minorHAnsi"/>
                <w:sz w:val="22"/>
                <w:szCs w:val="22"/>
              </w:rPr>
            </w:pPr>
            <w:r w:rsidRPr="00F171A3">
              <w:rPr>
                <w:noProof/>
              </w:rPr>
              <w:drawing>
                <wp:inline distT="0" distB="0" distL="0" distR="0" wp14:anchorId="2F6C57F7" wp14:editId="6A7775A5">
                  <wp:extent cx="2715768" cy="2350008"/>
                  <wp:effectExtent l="0" t="0" r="8890" b="0"/>
                  <wp:docPr id="25661" name="Chart 25628">
                    <a:extLst xmlns:a="http://schemas.openxmlformats.org/drawingml/2006/main">
                      <a:ext uri="{FF2B5EF4-FFF2-40B4-BE49-F238E27FC236}">
                        <a16:creationId xmlns:a16="http://schemas.microsoft.com/office/drawing/2014/main" id="{9562931D-7D22-B92F-8842-9E344D42E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c>
          <w:tcPr>
            <w:tcW w:w="4930" w:type="dxa"/>
          </w:tcPr>
          <w:p w14:paraId="1D1CD5DE" w14:textId="77777777" w:rsidR="00161769" w:rsidRPr="00F171A3" w:rsidRDefault="00161769" w:rsidP="00F31936">
            <w:pPr>
              <w:jc w:val="center"/>
              <w:rPr>
                <w:rFonts w:asciiTheme="minorHAnsi" w:hAnsiTheme="minorHAnsi"/>
                <w:sz w:val="22"/>
                <w:szCs w:val="22"/>
              </w:rPr>
            </w:pPr>
            <w:r w:rsidRPr="00F171A3">
              <w:rPr>
                <w:noProof/>
              </w:rPr>
              <w:drawing>
                <wp:inline distT="0" distB="0" distL="0" distR="0" wp14:anchorId="03E92FC2" wp14:editId="23D9DFC6">
                  <wp:extent cx="2715768" cy="2350008"/>
                  <wp:effectExtent l="0" t="0" r="8890" b="0"/>
                  <wp:docPr id="25662" name="Chart 25629">
                    <a:extLst xmlns:a="http://schemas.openxmlformats.org/drawingml/2006/main">
                      <a:ext uri="{FF2B5EF4-FFF2-40B4-BE49-F238E27FC236}">
                        <a16:creationId xmlns:a16="http://schemas.microsoft.com/office/drawing/2014/main" id="{3BD7504E-7BEF-A374-114C-3CFD1B5D64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r>
    </w:tbl>
    <w:p w14:paraId="5E8A0602" w14:textId="0B8B9120" w:rsidR="00161769" w:rsidRPr="00F171A3" w:rsidRDefault="00161769" w:rsidP="0046391E">
      <w:pPr>
        <w:jc w:val="right"/>
        <w:rPr>
          <w:color w:val="BFBFBF" w:themeColor="background1" w:themeShade="BF"/>
        </w:rPr>
      </w:pPr>
      <w:r w:rsidRPr="00F171A3">
        <w:rPr>
          <w:color w:val="BFBFBF" w:themeColor="background1" w:themeShade="BF"/>
        </w:rPr>
        <w:t xml:space="preserve">Sursa: </w:t>
      </w:r>
      <w:r w:rsidR="0046391E" w:rsidRPr="00F171A3">
        <w:rPr>
          <w:color w:val="BFBFBF" w:themeColor="background1" w:themeShade="BF"/>
        </w:rPr>
        <w:t>P</w:t>
      </w:r>
      <w:r w:rsidRPr="00F171A3">
        <w:rPr>
          <w:color w:val="BFBFBF" w:themeColor="background1" w:themeShade="BF"/>
        </w:rPr>
        <w:t>relucrare proprie după BORG Design, baza de date Listă Firme</w:t>
      </w:r>
    </w:p>
    <w:p w14:paraId="162F9763" w14:textId="77777777" w:rsidR="00983F17" w:rsidRPr="00F171A3" w:rsidRDefault="00983F17" w:rsidP="00161769">
      <w:pPr>
        <w:rPr>
          <w:b/>
          <w:bCs/>
          <w:color w:val="134753" w:themeColor="text2"/>
        </w:rPr>
      </w:pPr>
    </w:p>
    <w:p w14:paraId="701572AF" w14:textId="56F46CE7" w:rsidR="00161769" w:rsidRPr="00F171A3" w:rsidRDefault="00983F17" w:rsidP="00161769">
      <w:pPr>
        <w:rPr>
          <w:b/>
          <w:bCs/>
          <w:color w:val="134753" w:themeColor="text2"/>
        </w:rPr>
      </w:pPr>
      <w:r w:rsidRPr="00F171A3">
        <w:rPr>
          <w:b/>
          <w:bCs/>
          <w:color w:val="134753" w:themeColor="text2"/>
        </w:rPr>
        <w:t>ȘOMAJUL</w:t>
      </w:r>
    </w:p>
    <w:p w14:paraId="01DD9C5D" w14:textId="36784798" w:rsidR="00161769" w:rsidRPr="00F171A3" w:rsidRDefault="00161769" w:rsidP="00161769">
      <w:r w:rsidRPr="00F171A3">
        <w:t xml:space="preserve">Date cu privire la fenomenul șomajului sunt prezente doar la nivelul municipiului București, nu și la nivel de sector. Astfel, conform INS, în anul 2021, la nivelul </w:t>
      </w:r>
      <w:r w:rsidR="00DE36DE" w:rsidRPr="00F171A3">
        <w:t>m</w:t>
      </w:r>
      <w:r w:rsidRPr="00F171A3">
        <w:t>unicipiului București erau înregistrați 14.004 șomeri, dintre care 84% nu beneficiau de drepturi bănești, iar 16% erau beneficiari de îndemnizație de șomaj. Din numărul total de șomeri, 35,8% aveau o pregătire primară, gimnazială sau profesională, 40,2% aveau absolvite studii liceale și 24% erau absolvenți de studii universitare. Din totalul șomerilor care beneficiază de drepturi bănești, 96,6% erau șomeri cu experiență de muncă anterioară, ceea ce indică prezența șomajului de lungă durată. Pe de altă parte, această categorie de șomeri reprezintă doar 15,4% din numărul total de șomeri înregistrați. În funcție de sex, în anul 2021, 53,1% din numărul total de șomeri erau femei, respectiv 46,9% erau bărbați.</w:t>
      </w:r>
    </w:p>
    <w:p w14:paraId="2DC447C5" w14:textId="77777777" w:rsidR="00161769" w:rsidRPr="00F171A3" w:rsidRDefault="00161769" w:rsidP="00161769">
      <w:pPr>
        <w:pStyle w:val="Normal0"/>
      </w:pPr>
      <w:r w:rsidRPr="00F171A3">
        <w:t>În dinamică, față de anul 2014, numărul de șomeri înregistrați la nivelul Capitalei a scăzut cu 35,3%. Totuși, aceste date indică doar numărul șomerilor înregistrați la Agenția Națională pentru Ocuparea Forței de Muncă sau la instituțiile subordonate acesteia. În realitate, numărul de șomeri este mai mare, un număr relevant de persoane</w:t>
      </w:r>
      <w:r w:rsidRPr="00F171A3">
        <w:rPr>
          <w:rStyle w:val="CommentReference"/>
        </w:rPr>
        <w:t xml:space="preserve"> </w:t>
      </w:r>
      <w:r w:rsidRPr="00F171A3">
        <w:t>nefiind înregistrate la ANOFM din diverse motive (comunități dezavantajate, șomeri de scurtă durată, etc.)</w:t>
      </w:r>
    </w:p>
    <w:p w14:paraId="5E021BF2" w14:textId="77777777" w:rsidR="00161769" w:rsidRPr="00F171A3" w:rsidRDefault="00161769" w:rsidP="00161769">
      <w:r w:rsidRPr="00F171A3">
        <w:t>Ca și pondere a șomerilor înregistrați în totalul resurselor de muncă disponibile, municipiul București înregistra în anul 2021 doar 1%, în scădere față de anul 2014 (1,5%), această valoarea fiind inferioară mediei naționale de 1,7%.</w:t>
      </w:r>
    </w:p>
    <w:p w14:paraId="11F6F96B" w14:textId="3E886730" w:rsidR="00161769" w:rsidRPr="00F171A3" w:rsidRDefault="00161769" w:rsidP="00161769">
      <w:pPr>
        <w:pStyle w:val="Caption"/>
      </w:pPr>
      <w:bookmarkStart w:id="212" w:name="_Toc127198060"/>
      <w:r w:rsidRPr="00F171A3">
        <w:t xml:space="preserve">Figura </w:t>
      </w:r>
      <w:r w:rsidRPr="00F171A3">
        <w:fldChar w:fldCharType="begin"/>
      </w:r>
      <w:r w:rsidRPr="00F171A3">
        <w:instrText xml:space="preserve"> SEQ Figura \* ARABIC </w:instrText>
      </w:r>
      <w:r w:rsidRPr="00F171A3">
        <w:fldChar w:fldCharType="separate"/>
      </w:r>
      <w:r w:rsidR="005A6DD8">
        <w:rPr>
          <w:noProof/>
        </w:rPr>
        <w:t>72</w:t>
      </w:r>
      <w:r w:rsidRPr="00F171A3">
        <w:fldChar w:fldCharType="end"/>
      </w:r>
      <w:r w:rsidRPr="00F171A3">
        <w:t xml:space="preserve"> Numărul șomerilor înregistrați în perioada 2014-2021 în municipiul București</w:t>
      </w:r>
      <w:bookmarkEnd w:id="212"/>
    </w:p>
    <w:p w14:paraId="4ACB43EE" w14:textId="77777777" w:rsidR="00161769" w:rsidRPr="00F171A3" w:rsidRDefault="00161769" w:rsidP="00161769">
      <w:r w:rsidRPr="00F171A3">
        <w:rPr>
          <w:noProof/>
        </w:rPr>
        <w:drawing>
          <wp:inline distT="0" distB="0" distL="0" distR="0" wp14:anchorId="786A6E8A" wp14:editId="261FAC81">
            <wp:extent cx="6000750" cy="2924175"/>
            <wp:effectExtent l="0" t="0" r="0" b="0"/>
            <wp:docPr id="25663" name="Chart 256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72F9D4EE" w14:textId="77777777" w:rsidR="00161769" w:rsidRPr="00F171A3" w:rsidRDefault="00161769" w:rsidP="0046391E">
      <w:pPr>
        <w:jc w:val="right"/>
        <w:rPr>
          <w:color w:val="BFBFBF" w:themeColor="background1" w:themeShade="BF"/>
        </w:rPr>
      </w:pPr>
      <w:r w:rsidRPr="00F171A3">
        <w:rPr>
          <w:color w:val="BFBFBF" w:themeColor="background1" w:themeShade="BF"/>
        </w:rPr>
        <w:t>Sursa: INS Baza de date TEMPO Online</w:t>
      </w:r>
    </w:p>
    <w:p w14:paraId="756A95A2" w14:textId="77777777" w:rsidR="00161769" w:rsidRPr="00F171A3" w:rsidRDefault="00161769" w:rsidP="00161769">
      <w:r w:rsidRPr="00F171A3">
        <w:t>În anul 2021, rata șomajului din municipiul București a fost de 1,1%, fiind înregistrată o scădere continuă față de anul 2014 (-0,9%). De asemenea, rata șomajului din Capitală este cu mult inferioară celei înregistrate la nivel național (2,7%), fapt explicat de complexitatea economică a Capitalei, a numărului mare de firme, investitori și de existența unei economii dezvoltate și diversificate. Totuși, după cum este menționat și anterior, aceste date au la bază numărul șomerilor înregistrați la ANOFM, ceea ce nu corespunde cu fenomenul real al șomajului înregistrat atât în Capitală, cât și în țară.</w:t>
      </w:r>
    </w:p>
    <w:p w14:paraId="14FB6CB4" w14:textId="223F2DEB" w:rsidR="00161769" w:rsidRPr="00F171A3" w:rsidRDefault="00161769" w:rsidP="00161769">
      <w:pPr>
        <w:pStyle w:val="Caption"/>
      </w:pPr>
      <w:bookmarkStart w:id="213" w:name="_Toc127198061"/>
      <w:r w:rsidRPr="00F171A3">
        <w:t xml:space="preserve">Figura </w:t>
      </w:r>
      <w:r w:rsidRPr="00F171A3">
        <w:fldChar w:fldCharType="begin"/>
      </w:r>
      <w:r w:rsidRPr="00F171A3">
        <w:instrText xml:space="preserve"> SEQ Figura \* ARABIC </w:instrText>
      </w:r>
      <w:r w:rsidRPr="00F171A3">
        <w:fldChar w:fldCharType="separate"/>
      </w:r>
      <w:r w:rsidR="005A6DD8">
        <w:rPr>
          <w:noProof/>
        </w:rPr>
        <w:t>73</w:t>
      </w:r>
      <w:r w:rsidRPr="00F171A3">
        <w:fldChar w:fldCharType="end"/>
      </w:r>
      <w:r w:rsidRPr="00F171A3">
        <w:t xml:space="preserve"> Rata șomajului la nivelul municipiului București și a țării, în perioada 2014-2021</w:t>
      </w:r>
      <w:bookmarkEnd w:id="213"/>
    </w:p>
    <w:p w14:paraId="0C85EAD1" w14:textId="77777777" w:rsidR="00161769" w:rsidRPr="00F171A3" w:rsidRDefault="00161769" w:rsidP="00161769">
      <w:r w:rsidRPr="00F171A3">
        <w:rPr>
          <w:noProof/>
        </w:rPr>
        <w:drawing>
          <wp:inline distT="0" distB="0" distL="0" distR="0" wp14:anchorId="28299AD2" wp14:editId="5F25287A">
            <wp:extent cx="6000750" cy="3114675"/>
            <wp:effectExtent l="0" t="0" r="0" b="0"/>
            <wp:docPr id="70" name="Chart 256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88E1AF6" w14:textId="77777777" w:rsidR="00161769" w:rsidRPr="00F171A3" w:rsidRDefault="00161769" w:rsidP="0046391E">
      <w:pPr>
        <w:jc w:val="right"/>
        <w:rPr>
          <w:color w:val="BFBFBF" w:themeColor="background1" w:themeShade="BF"/>
        </w:rPr>
      </w:pPr>
      <w:r w:rsidRPr="00F171A3">
        <w:rPr>
          <w:color w:val="BFBFBF" w:themeColor="background1" w:themeShade="BF"/>
        </w:rPr>
        <w:t>Sursa: INS Baza de date TEMPO Online</w:t>
      </w:r>
    </w:p>
    <w:p w14:paraId="4EAD0A56" w14:textId="7A02C6EF" w:rsidR="00161769" w:rsidRPr="00F171A3" w:rsidRDefault="00161769" w:rsidP="00161769">
      <w:r w:rsidRPr="00F171A3">
        <w:t>În altă ordine de idei, conform evidențelor ANOFM, în perioada 2014-2022, 3.769 de persoane au fost înregistrate la cursurile de formare personală din cadrul Agenției Muncipiale pentru Ocuparea Forței de Muncă, dintre care 3.179 au absolvit aceste cursuri. Pentru perioada 2021-2022, ANOFM punea la dispoziții cursuri de formare profesională în următoarele domenii: expert achiziții publice, manager proiect, designer pagini web, inspector resurse umane, operator introducere și validare date. De asemenea, la nivelul Capitalei, în perioada 2015-2021 au fost active 5 întreprinderi sociale: Verifield SRL, IRI Life SRL, Centru pentru Afaceri Solidare SRL, Zelda Business Consultancy SRL, Asociația Ateliere fără Frontiere. Dintre acestea, Asociația Ateliere fără Frontiere are circa 30 de angajați care provin din grupuri vulnerabile, și Centrul pentru Afaceri Solidare are un singur angajat (aceasta fiind și unica întreprinderi socială din cele 5, care se află pe teritoriul Sectorului 2), în timp ce celelalte firme nu au niciun angajat din grupuri vulnerabile. Pe de altă parte, în municipiul București nu este certificată nicio întreprindere socială de inserție, ceea ce îngreunează activitatea de reinserție economică a șomerilor și pune o presiune în plus pe serviciile sociale.</w:t>
      </w:r>
    </w:p>
    <w:p w14:paraId="5796CA0A" w14:textId="77777777" w:rsidR="00983F17" w:rsidRPr="00F171A3" w:rsidRDefault="00983F17" w:rsidP="00161769"/>
    <w:p w14:paraId="5F725D35" w14:textId="61E64209" w:rsidR="00161769" w:rsidRPr="00F171A3" w:rsidRDefault="00983F17" w:rsidP="00161769">
      <w:pPr>
        <w:pStyle w:val="Actiontitle"/>
      </w:pPr>
      <w:r w:rsidRPr="00F171A3">
        <w:t>CÂȘTIGUL SALARIAL</w:t>
      </w:r>
    </w:p>
    <w:p w14:paraId="416E9D89" w14:textId="4FC81322" w:rsidR="00161769" w:rsidRPr="00F171A3" w:rsidRDefault="00161769" w:rsidP="00161769">
      <w:r w:rsidRPr="00F171A3">
        <w:t xml:space="preserve">Institutul Național de Statistică pune la dispoziție date cu privire la câștigul salarial la nivel de județ și pentru întreg municipiul București. Astfel, în anul 2020, ultimul pentru care există astfel de date, în Capitală, salariu mediu net lunar era de 4.408 lei, în creștere cu 80,6% față de anul 2014. Municipiul București înregistra cea mai mare medie a salariilor din țară, fiind urmărit de județul Cluj (3.744 lei), Timiș (3.536 lei), Ilfov (3.348 lei), Iași (3.327 lei), etc. Această situație reprezintă unul dintre motivele principale pentru care Capitala atrage anual mii de tineri atât pentru studii, cât și pentru un loc de muncă bine plătit. Totuși, aceste date trebuie actualizate cu rata inflației. Spre exemplu, la nivelul Capitalei, în moneda EUR, creșterea salarială a fost de 65,9%, iar în județele Cluj și Iași aceasta depășit </w:t>
      </w:r>
      <w:r w:rsidR="0060613A" w:rsidRPr="00F171A3">
        <w:t>valoarea</w:t>
      </w:r>
      <w:r w:rsidRPr="00F171A3">
        <w:t xml:space="preserve"> de 85%. Pe sexe, în anul 2020, câștigul salarial mediu lunar net al unui bărbat era de 4.523 de lei, iar a unei femei de 4.283 de lei.</w:t>
      </w:r>
    </w:p>
    <w:p w14:paraId="4B9E5E18" w14:textId="29BBC706" w:rsidR="00161769" w:rsidRPr="00F171A3" w:rsidRDefault="00161769" w:rsidP="00161769">
      <w:pPr>
        <w:pStyle w:val="Caption"/>
      </w:pPr>
      <w:bookmarkStart w:id="214" w:name="_Toc127198062"/>
      <w:r w:rsidRPr="00F171A3">
        <w:t xml:space="preserve">Figura </w:t>
      </w:r>
      <w:r w:rsidRPr="00F171A3">
        <w:fldChar w:fldCharType="begin"/>
      </w:r>
      <w:r w:rsidRPr="00F171A3">
        <w:instrText xml:space="preserve"> SEQ Figura \* ARABIC </w:instrText>
      </w:r>
      <w:r w:rsidRPr="00F171A3">
        <w:fldChar w:fldCharType="separate"/>
      </w:r>
      <w:r w:rsidR="005A6DD8">
        <w:rPr>
          <w:noProof/>
        </w:rPr>
        <w:t>74</w:t>
      </w:r>
      <w:r w:rsidRPr="00F171A3">
        <w:fldChar w:fldCharType="end"/>
      </w:r>
      <w:r w:rsidRPr="00F171A3">
        <w:t xml:space="preserve"> Salariul mediu lunar net la nivelul capitalei și a județelor care au reședință polii de creștere, în anii 2014 și 2020</w:t>
      </w:r>
      <w:bookmarkEnd w:id="214"/>
    </w:p>
    <w:p w14:paraId="158CA9F2" w14:textId="77777777" w:rsidR="00161769" w:rsidRPr="00F171A3" w:rsidRDefault="00161769" w:rsidP="00161769">
      <w:r w:rsidRPr="00F171A3">
        <w:rPr>
          <w:noProof/>
        </w:rPr>
        <w:drawing>
          <wp:inline distT="0" distB="0" distL="0" distR="0" wp14:anchorId="2F8EC762" wp14:editId="1383C622">
            <wp:extent cx="6057900" cy="2905125"/>
            <wp:effectExtent l="0" t="0" r="0" b="0"/>
            <wp:docPr id="84" name="Chart 256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5060599E" w14:textId="77777777" w:rsidR="00161769" w:rsidRPr="00F171A3" w:rsidRDefault="00161769" w:rsidP="0046391E">
      <w:pPr>
        <w:jc w:val="right"/>
        <w:rPr>
          <w:color w:val="BFBFBF" w:themeColor="background1" w:themeShade="BF"/>
        </w:rPr>
      </w:pPr>
      <w:r w:rsidRPr="00F171A3">
        <w:rPr>
          <w:color w:val="BFBFBF" w:themeColor="background1" w:themeShade="BF"/>
        </w:rPr>
        <w:t>Sursa: INS Baza de date TEMPO Online</w:t>
      </w:r>
    </w:p>
    <w:p w14:paraId="1B5ADECA" w14:textId="77777777" w:rsidR="00161769" w:rsidRPr="00F171A3" w:rsidRDefault="00161769" w:rsidP="00161769">
      <w:r w:rsidRPr="00F171A3">
        <w:t xml:space="preserve">La nivel de ramuri economice, cele mai mari salarii erau înregistrate în industria extractivă (8.930 lei, în creștere cu 33,3% față de anul 2014), informații și comunicații (7.067 lei, +80,6%), intermedieri financiare și asigurări (6.831 lei, +34,1%), administrație publică și apărare (6.717 lei, +67,1%), sectorul energetic (5.609 lei, +56,9%), activități profesionale, științifice și tehnice ( 5.452 lei, +75,8%). La polul opus se află sectorul HORECA, cu un salariu mediu net lunar de 2.207 lei, înregistrând o creștere de 73,2% față de anul 2014. </w:t>
      </w:r>
    </w:p>
    <w:p w14:paraId="08219D70" w14:textId="12C0F224" w:rsidR="00161769" w:rsidRPr="00F171A3" w:rsidRDefault="00161769" w:rsidP="00161769">
      <w:r w:rsidRPr="00F171A3">
        <w:t>Analizând comparativ concentrarea salariaților în ramuri economice cu salarii ridicate, în ordinea descrescătoare a acestora, reiese faptul că aproximativ 20,8% din salariați au venituri lunare nete peste media salariului la nivelul municipiului București. Această val</w:t>
      </w:r>
      <w:r w:rsidR="008A1AFD">
        <w:t>o</w:t>
      </w:r>
      <w:r w:rsidRPr="00F171A3">
        <w:t xml:space="preserve">are este totuși redusă, mai ales din perspectiva faptului că cele mai active sectoare sunt puțin intensive în cunoaștere și tehnologie (de exemplu, comerțul sau fabricarea unor produse ce implică intensitate în forța de muncă – producția de tutun, fabricarea băuturilor etc). În altă ordine de idei, circa 10% din salariații din întreprinderile active din Sectorul 2, lucrau în domenii în care salariul mediu net lunar nu depășea suma de 3.000 de lei (HORECA, agricultură, activități de spectacole, culturale și recreative și alte activități de servicii). În acest context, este nevoie de o diversificare a activităților economice care au potențial – de exemplu, fabricarea produselor farmaceutice, IT&amp;C, sectorul CDI, transporturile aeriene, sănătatea, ce acum prezintă o concentrare redusă a forței de muncă.  </w:t>
      </w:r>
    </w:p>
    <w:p w14:paraId="0CA1920E" w14:textId="1706D297" w:rsidR="00161769" w:rsidRPr="00F171A3" w:rsidRDefault="00161769" w:rsidP="00161769">
      <w:pPr>
        <w:pStyle w:val="Caption"/>
      </w:pPr>
      <w:bookmarkStart w:id="215" w:name="_Toc126943281"/>
      <w:r w:rsidRPr="00F171A3">
        <w:t xml:space="preserve">Tabel </w:t>
      </w:r>
      <w:r w:rsidRPr="00F171A3">
        <w:fldChar w:fldCharType="begin"/>
      </w:r>
      <w:r w:rsidRPr="00F171A3">
        <w:instrText xml:space="preserve"> SEQ Tabel \* ARABIC </w:instrText>
      </w:r>
      <w:r w:rsidRPr="00F171A3">
        <w:fldChar w:fldCharType="separate"/>
      </w:r>
      <w:r w:rsidR="005A6DD8">
        <w:rPr>
          <w:noProof/>
        </w:rPr>
        <w:t>24</w:t>
      </w:r>
      <w:r w:rsidRPr="00F171A3">
        <w:fldChar w:fldCharType="end"/>
      </w:r>
      <w:r w:rsidRPr="00F171A3">
        <w:t xml:space="preserve"> Topul ramurilor economice în funcție de câștigul salarial în anul 2020, numărul mediu de salariați și ponderea numărului de salariați din sectorul 2, în anul 2020</w:t>
      </w:r>
      <w:bookmarkEnd w:id="215"/>
    </w:p>
    <w:tbl>
      <w:tblPr>
        <w:tblStyle w:val="Civittatable"/>
        <w:tblW w:w="0" w:type="auto"/>
        <w:tblLook w:val="04A0" w:firstRow="1" w:lastRow="0" w:firstColumn="1" w:lastColumn="0" w:noHBand="0" w:noVBand="1"/>
      </w:tblPr>
      <w:tblGrid>
        <w:gridCol w:w="625"/>
        <w:gridCol w:w="3330"/>
        <w:gridCol w:w="1620"/>
        <w:gridCol w:w="2126"/>
        <w:gridCol w:w="1735"/>
      </w:tblGrid>
      <w:tr w:rsidR="00161769" w:rsidRPr="00F171A3" w14:paraId="7C8E43E9" w14:textId="77777777" w:rsidTr="00983F17">
        <w:trPr>
          <w:cnfStyle w:val="100000000000" w:firstRow="1" w:lastRow="0" w:firstColumn="0" w:lastColumn="0" w:oddVBand="0" w:evenVBand="0" w:oddHBand="0" w:evenHBand="0" w:firstRowFirstColumn="0" w:firstRowLastColumn="0" w:lastRowFirstColumn="0" w:lastRowLastColumn="0"/>
        </w:trPr>
        <w:tc>
          <w:tcPr>
            <w:tcW w:w="625" w:type="dxa"/>
            <w:vAlign w:val="center"/>
          </w:tcPr>
          <w:p w14:paraId="2D6CD7B0" w14:textId="59805053" w:rsidR="00161769" w:rsidRPr="00F171A3" w:rsidRDefault="00161769" w:rsidP="00983F17">
            <w:pPr>
              <w:jc w:val="center"/>
              <w:rPr>
                <w:b/>
                <w:bCs/>
              </w:rPr>
            </w:pPr>
            <w:r w:rsidRPr="00F171A3">
              <w:rPr>
                <w:b/>
                <w:bCs/>
              </w:rPr>
              <w:t>Nr. crt</w:t>
            </w:r>
            <w:r w:rsidR="00983F17" w:rsidRPr="00F171A3">
              <w:rPr>
                <w:b/>
                <w:bCs/>
              </w:rPr>
              <w:t>.</w:t>
            </w:r>
          </w:p>
        </w:tc>
        <w:tc>
          <w:tcPr>
            <w:tcW w:w="3330" w:type="dxa"/>
            <w:vAlign w:val="center"/>
          </w:tcPr>
          <w:p w14:paraId="439B420B" w14:textId="77777777" w:rsidR="00161769" w:rsidRPr="00F171A3" w:rsidRDefault="00161769" w:rsidP="00983F17">
            <w:pPr>
              <w:jc w:val="center"/>
              <w:rPr>
                <w:b/>
                <w:bCs/>
              </w:rPr>
            </w:pPr>
            <w:r w:rsidRPr="00F171A3">
              <w:rPr>
                <w:b/>
                <w:bCs/>
              </w:rPr>
              <w:t>Ramură economică</w:t>
            </w:r>
          </w:p>
        </w:tc>
        <w:tc>
          <w:tcPr>
            <w:tcW w:w="1620" w:type="dxa"/>
            <w:vAlign w:val="center"/>
          </w:tcPr>
          <w:p w14:paraId="3641884C" w14:textId="77777777" w:rsidR="00161769" w:rsidRPr="00F171A3" w:rsidRDefault="00161769" w:rsidP="00983F17">
            <w:pPr>
              <w:jc w:val="center"/>
              <w:rPr>
                <w:b/>
                <w:bCs/>
              </w:rPr>
            </w:pPr>
            <w:r w:rsidRPr="00F171A3">
              <w:rPr>
                <w:b/>
                <w:bCs/>
              </w:rPr>
              <w:t>Salariul mediu net lunar (2020) (lei)</w:t>
            </w:r>
          </w:p>
        </w:tc>
        <w:tc>
          <w:tcPr>
            <w:tcW w:w="2126" w:type="dxa"/>
            <w:vAlign w:val="center"/>
          </w:tcPr>
          <w:p w14:paraId="0B169F75" w14:textId="77777777" w:rsidR="00161769" w:rsidRPr="00F171A3" w:rsidRDefault="00161769" w:rsidP="00983F17">
            <w:pPr>
              <w:jc w:val="center"/>
              <w:rPr>
                <w:b/>
                <w:bCs/>
              </w:rPr>
            </w:pPr>
            <w:r w:rsidRPr="00F171A3">
              <w:rPr>
                <w:b/>
                <w:bCs/>
              </w:rPr>
              <w:t>Număr mediu de salariați în anul 2020 în Sectorul 2</w:t>
            </w:r>
          </w:p>
        </w:tc>
        <w:tc>
          <w:tcPr>
            <w:tcW w:w="1735" w:type="dxa"/>
            <w:vAlign w:val="center"/>
          </w:tcPr>
          <w:p w14:paraId="7DF008CB" w14:textId="77777777" w:rsidR="00161769" w:rsidRPr="00F171A3" w:rsidRDefault="00161769" w:rsidP="00983F17">
            <w:pPr>
              <w:jc w:val="center"/>
              <w:rPr>
                <w:b/>
                <w:bCs/>
              </w:rPr>
            </w:pPr>
            <w:r w:rsidRPr="00F171A3">
              <w:rPr>
                <w:b/>
                <w:bCs/>
              </w:rPr>
              <w:t>Ponderea nR. de salariați în total (%)</w:t>
            </w:r>
          </w:p>
        </w:tc>
      </w:tr>
      <w:tr w:rsidR="00161769" w:rsidRPr="00F171A3" w14:paraId="2A287467"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78D03EB2" w14:textId="77777777" w:rsidR="00161769" w:rsidRPr="00F171A3" w:rsidRDefault="00161769" w:rsidP="00F31936">
            <w:r w:rsidRPr="00F171A3">
              <w:t>1</w:t>
            </w:r>
          </w:p>
        </w:tc>
        <w:tc>
          <w:tcPr>
            <w:tcW w:w="3330" w:type="dxa"/>
            <w:vAlign w:val="center"/>
          </w:tcPr>
          <w:p w14:paraId="68023902" w14:textId="77777777" w:rsidR="00161769" w:rsidRPr="00F171A3" w:rsidRDefault="00161769" w:rsidP="00F31936">
            <w:pPr>
              <w:jc w:val="left"/>
            </w:pPr>
            <w:r w:rsidRPr="00F171A3">
              <w:rPr>
                <w:rFonts w:ascii="Calibri" w:hAnsi="Calibri" w:cs="Calibri"/>
                <w:b/>
                <w:bCs/>
                <w:color w:val="000000"/>
                <w:szCs w:val="20"/>
              </w:rPr>
              <w:t>B INDUSTRIA EXTRACTIVA</w:t>
            </w:r>
          </w:p>
        </w:tc>
        <w:tc>
          <w:tcPr>
            <w:tcW w:w="1620" w:type="dxa"/>
            <w:vAlign w:val="bottom"/>
          </w:tcPr>
          <w:p w14:paraId="3851F5CB" w14:textId="77777777" w:rsidR="00161769" w:rsidRPr="00F171A3" w:rsidRDefault="00161769" w:rsidP="00F31936">
            <w:pPr>
              <w:jc w:val="center"/>
            </w:pPr>
            <w:r w:rsidRPr="00F171A3">
              <w:rPr>
                <w:rFonts w:ascii="Calibri" w:hAnsi="Calibri" w:cs="Calibri"/>
                <w:color w:val="000000"/>
                <w:szCs w:val="20"/>
              </w:rPr>
              <w:t>8930</w:t>
            </w:r>
          </w:p>
        </w:tc>
        <w:tc>
          <w:tcPr>
            <w:tcW w:w="2126" w:type="dxa"/>
            <w:vAlign w:val="bottom"/>
          </w:tcPr>
          <w:p w14:paraId="3B4F2E16" w14:textId="77777777" w:rsidR="00161769" w:rsidRPr="00F171A3" w:rsidRDefault="00161769" w:rsidP="00F31936">
            <w:pPr>
              <w:jc w:val="center"/>
            </w:pPr>
            <w:r w:rsidRPr="00F171A3">
              <w:rPr>
                <w:rFonts w:ascii="Calibri" w:hAnsi="Calibri" w:cs="Calibri"/>
                <w:color w:val="000000"/>
                <w:szCs w:val="20"/>
              </w:rPr>
              <w:t>185</w:t>
            </w:r>
          </w:p>
        </w:tc>
        <w:tc>
          <w:tcPr>
            <w:tcW w:w="1735" w:type="dxa"/>
            <w:vAlign w:val="bottom"/>
          </w:tcPr>
          <w:p w14:paraId="67A7C474" w14:textId="77777777" w:rsidR="00161769" w:rsidRPr="00F171A3" w:rsidRDefault="00161769" w:rsidP="00F31936">
            <w:pPr>
              <w:jc w:val="center"/>
            </w:pPr>
            <w:r w:rsidRPr="00F171A3">
              <w:rPr>
                <w:rFonts w:ascii="Calibri" w:hAnsi="Calibri" w:cs="Calibri"/>
                <w:color w:val="000000"/>
                <w:szCs w:val="20"/>
              </w:rPr>
              <w:t>0.1%</w:t>
            </w:r>
          </w:p>
        </w:tc>
      </w:tr>
      <w:tr w:rsidR="00161769" w:rsidRPr="00F171A3" w14:paraId="33F130DF"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6D065A39" w14:textId="77777777" w:rsidR="00161769" w:rsidRPr="00F171A3" w:rsidRDefault="00161769" w:rsidP="00F31936">
            <w:r w:rsidRPr="00F171A3">
              <w:t>2</w:t>
            </w:r>
          </w:p>
        </w:tc>
        <w:tc>
          <w:tcPr>
            <w:tcW w:w="3330" w:type="dxa"/>
            <w:vAlign w:val="center"/>
          </w:tcPr>
          <w:p w14:paraId="27C02F80" w14:textId="2AE318D6" w:rsidR="00161769" w:rsidRPr="00F171A3" w:rsidRDefault="00161769" w:rsidP="00F31936">
            <w:pPr>
              <w:jc w:val="left"/>
            </w:pPr>
            <w:r w:rsidRPr="00F171A3">
              <w:rPr>
                <w:rFonts w:ascii="Calibri" w:hAnsi="Calibri" w:cs="Calibri"/>
                <w:b/>
                <w:bCs/>
                <w:color w:val="000000"/>
                <w:szCs w:val="20"/>
              </w:rPr>
              <w:t xml:space="preserve">19 Fabricarea produselor de cocserie si a produselor </w:t>
            </w:r>
            <w:r w:rsidR="008A1AFD" w:rsidRPr="00F171A3">
              <w:rPr>
                <w:rFonts w:ascii="Calibri" w:hAnsi="Calibri" w:cs="Calibri"/>
                <w:b/>
                <w:bCs/>
                <w:color w:val="000000"/>
                <w:szCs w:val="20"/>
              </w:rPr>
              <w:t>obținute</w:t>
            </w:r>
            <w:r w:rsidRPr="00F171A3">
              <w:rPr>
                <w:rFonts w:ascii="Calibri" w:hAnsi="Calibri" w:cs="Calibri"/>
                <w:b/>
                <w:bCs/>
                <w:color w:val="000000"/>
                <w:szCs w:val="20"/>
              </w:rPr>
              <w:t xml:space="preserve"> din prelucrarea </w:t>
            </w:r>
            <w:r w:rsidR="008A1AFD" w:rsidRPr="00F171A3">
              <w:rPr>
                <w:rFonts w:ascii="Calibri" w:hAnsi="Calibri" w:cs="Calibri"/>
                <w:b/>
                <w:bCs/>
                <w:color w:val="000000"/>
                <w:szCs w:val="20"/>
              </w:rPr>
              <w:t>țițeiului</w:t>
            </w:r>
          </w:p>
        </w:tc>
        <w:tc>
          <w:tcPr>
            <w:tcW w:w="1620" w:type="dxa"/>
            <w:vAlign w:val="bottom"/>
          </w:tcPr>
          <w:p w14:paraId="12EAFF78" w14:textId="77777777" w:rsidR="00161769" w:rsidRPr="00F171A3" w:rsidRDefault="00161769" w:rsidP="00F31936">
            <w:pPr>
              <w:jc w:val="center"/>
            </w:pPr>
            <w:r w:rsidRPr="00F171A3">
              <w:rPr>
                <w:rFonts w:ascii="Calibri" w:hAnsi="Calibri" w:cs="Calibri"/>
                <w:color w:val="000000"/>
                <w:szCs w:val="20"/>
              </w:rPr>
              <w:t>8898</w:t>
            </w:r>
          </w:p>
        </w:tc>
        <w:tc>
          <w:tcPr>
            <w:tcW w:w="2126" w:type="dxa"/>
            <w:vAlign w:val="bottom"/>
          </w:tcPr>
          <w:p w14:paraId="5C575A63" w14:textId="77777777" w:rsidR="00161769" w:rsidRPr="00F171A3" w:rsidRDefault="00161769" w:rsidP="00F31936">
            <w:pPr>
              <w:jc w:val="center"/>
            </w:pPr>
            <w:r w:rsidRPr="00F171A3">
              <w:rPr>
                <w:rFonts w:ascii="Calibri" w:hAnsi="Calibri" w:cs="Calibri"/>
                <w:color w:val="000000"/>
                <w:szCs w:val="20"/>
              </w:rPr>
              <w:t>16</w:t>
            </w:r>
          </w:p>
        </w:tc>
        <w:tc>
          <w:tcPr>
            <w:tcW w:w="1735" w:type="dxa"/>
            <w:vAlign w:val="bottom"/>
          </w:tcPr>
          <w:p w14:paraId="1E335FDC" w14:textId="77777777" w:rsidR="00161769" w:rsidRPr="00F171A3" w:rsidRDefault="00161769" w:rsidP="00F31936">
            <w:pPr>
              <w:jc w:val="center"/>
            </w:pPr>
            <w:r w:rsidRPr="00F171A3">
              <w:rPr>
                <w:rFonts w:ascii="Calibri" w:hAnsi="Calibri" w:cs="Calibri"/>
                <w:color w:val="000000"/>
                <w:szCs w:val="20"/>
              </w:rPr>
              <w:t>0.0%</w:t>
            </w:r>
          </w:p>
        </w:tc>
      </w:tr>
      <w:tr w:rsidR="00161769" w:rsidRPr="00F171A3" w14:paraId="76760184"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46ECAC75" w14:textId="77777777" w:rsidR="00161769" w:rsidRPr="00F171A3" w:rsidRDefault="00161769" w:rsidP="00F31936">
            <w:r w:rsidRPr="00F171A3">
              <w:t>3</w:t>
            </w:r>
          </w:p>
        </w:tc>
        <w:tc>
          <w:tcPr>
            <w:tcW w:w="3330" w:type="dxa"/>
            <w:vAlign w:val="center"/>
          </w:tcPr>
          <w:p w14:paraId="00A0EF5B" w14:textId="4927CE40" w:rsidR="00161769" w:rsidRPr="00F171A3" w:rsidRDefault="00161769" w:rsidP="00F31936">
            <w:pPr>
              <w:jc w:val="left"/>
            </w:pPr>
            <w:r w:rsidRPr="00F171A3">
              <w:rPr>
                <w:rFonts w:ascii="Calibri" w:hAnsi="Calibri" w:cs="Calibri"/>
                <w:b/>
                <w:bCs/>
                <w:color w:val="000000"/>
                <w:szCs w:val="20"/>
              </w:rPr>
              <w:t xml:space="preserve">62-63 </w:t>
            </w:r>
            <w:r w:rsidR="0060613A" w:rsidRPr="00F171A3">
              <w:rPr>
                <w:rFonts w:ascii="Calibri" w:hAnsi="Calibri" w:cs="Calibri"/>
                <w:b/>
                <w:bCs/>
                <w:color w:val="000000"/>
                <w:szCs w:val="20"/>
              </w:rPr>
              <w:t>Activități</w:t>
            </w:r>
            <w:r w:rsidRPr="00F171A3">
              <w:rPr>
                <w:rFonts w:ascii="Calibri" w:hAnsi="Calibri" w:cs="Calibri"/>
                <w:b/>
                <w:bCs/>
                <w:color w:val="000000"/>
                <w:szCs w:val="20"/>
              </w:rPr>
              <w:t xml:space="preserve"> de servicii in tehnologia </w:t>
            </w:r>
            <w:r w:rsidR="0060613A" w:rsidRPr="00F171A3">
              <w:rPr>
                <w:rFonts w:ascii="Calibri" w:hAnsi="Calibri" w:cs="Calibri"/>
                <w:b/>
                <w:bCs/>
                <w:color w:val="000000"/>
                <w:szCs w:val="20"/>
              </w:rPr>
              <w:t>informației</w:t>
            </w:r>
            <w:r w:rsidRPr="00F171A3">
              <w:rPr>
                <w:rFonts w:ascii="Calibri" w:hAnsi="Calibri" w:cs="Calibri"/>
                <w:b/>
                <w:bCs/>
                <w:color w:val="000000"/>
                <w:szCs w:val="20"/>
              </w:rPr>
              <w:t xml:space="preserve">; </w:t>
            </w:r>
            <w:r w:rsidR="0060613A" w:rsidRPr="00F171A3">
              <w:rPr>
                <w:rFonts w:ascii="Calibri" w:hAnsi="Calibri" w:cs="Calibri"/>
                <w:b/>
                <w:bCs/>
                <w:color w:val="000000"/>
                <w:szCs w:val="20"/>
              </w:rPr>
              <w:t>Activități</w:t>
            </w:r>
            <w:r w:rsidRPr="00F171A3">
              <w:rPr>
                <w:rFonts w:ascii="Calibri" w:hAnsi="Calibri" w:cs="Calibri"/>
                <w:b/>
                <w:bCs/>
                <w:color w:val="000000"/>
                <w:szCs w:val="20"/>
              </w:rPr>
              <w:t xml:space="preserve"> de servicii informatice</w:t>
            </w:r>
          </w:p>
        </w:tc>
        <w:tc>
          <w:tcPr>
            <w:tcW w:w="1620" w:type="dxa"/>
            <w:vAlign w:val="bottom"/>
          </w:tcPr>
          <w:p w14:paraId="390B2A49" w14:textId="77777777" w:rsidR="00161769" w:rsidRPr="00F171A3" w:rsidRDefault="00161769" w:rsidP="00F31936">
            <w:pPr>
              <w:jc w:val="center"/>
            </w:pPr>
            <w:r w:rsidRPr="00F171A3">
              <w:rPr>
                <w:rFonts w:ascii="Calibri" w:hAnsi="Calibri" w:cs="Calibri"/>
                <w:color w:val="000000"/>
                <w:szCs w:val="20"/>
              </w:rPr>
              <w:t>8610</w:t>
            </w:r>
          </w:p>
        </w:tc>
        <w:tc>
          <w:tcPr>
            <w:tcW w:w="2126" w:type="dxa"/>
            <w:shd w:val="clear" w:color="auto" w:fill="ABCD3A" w:themeFill="accent5"/>
            <w:vAlign w:val="bottom"/>
          </w:tcPr>
          <w:p w14:paraId="7C61FD25" w14:textId="77777777" w:rsidR="00161769" w:rsidRPr="00F171A3" w:rsidRDefault="00161769" w:rsidP="00F31936">
            <w:pPr>
              <w:jc w:val="center"/>
            </w:pPr>
            <w:r w:rsidRPr="00F171A3">
              <w:rPr>
                <w:rFonts w:ascii="Calibri" w:hAnsi="Calibri" w:cs="Calibri"/>
                <w:color w:val="000000"/>
                <w:szCs w:val="20"/>
              </w:rPr>
              <w:t>19,629</w:t>
            </w:r>
          </w:p>
        </w:tc>
        <w:tc>
          <w:tcPr>
            <w:tcW w:w="1735" w:type="dxa"/>
            <w:shd w:val="clear" w:color="auto" w:fill="ABCD3A" w:themeFill="accent5"/>
            <w:vAlign w:val="bottom"/>
          </w:tcPr>
          <w:p w14:paraId="56397CCF" w14:textId="77777777" w:rsidR="00161769" w:rsidRPr="00F171A3" w:rsidRDefault="00161769" w:rsidP="00F31936">
            <w:pPr>
              <w:jc w:val="center"/>
            </w:pPr>
            <w:r w:rsidRPr="00F171A3">
              <w:rPr>
                <w:rFonts w:ascii="Calibri" w:hAnsi="Calibri" w:cs="Calibri"/>
                <w:color w:val="000000"/>
                <w:szCs w:val="20"/>
              </w:rPr>
              <w:t>7.7%</w:t>
            </w:r>
          </w:p>
        </w:tc>
      </w:tr>
      <w:tr w:rsidR="00161769" w:rsidRPr="00F171A3" w14:paraId="6A13F94C"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28250982" w14:textId="77777777" w:rsidR="00161769" w:rsidRPr="00F171A3" w:rsidRDefault="00161769" w:rsidP="00F31936">
            <w:r w:rsidRPr="00F171A3">
              <w:t>4</w:t>
            </w:r>
          </w:p>
        </w:tc>
        <w:tc>
          <w:tcPr>
            <w:tcW w:w="3330" w:type="dxa"/>
            <w:vAlign w:val="center"/>
          </w:tcPr>
          <w:p w14:paraId="2FEA9113" w14:textId="328326E3" w:rsidR="00161769" w:rsidRPr="00F171A3" w:rsidRDefault="00161769" w:rsidP="00F31936">
            <w:pPr>
              <w:jc w:val="left"/>
            </w:pPr>
            <w:r w:rsidRPr="00F171A3">
              <w:rPr>
                <w:rFonts w:ascii="Calibri" w:hAnsi="Calibri" w:cs="Calibri"/>
                <w:b/>
                <w:bCs/>
                <w:color w:val="000000"/>
                <w:szCs w:val="20"/>
              </w:rPr>
              <w:t xml:space="preserve">58 </w:t>
            </w:r>
            <w:r w:rsidR="0060613A" w:rsidRPr="00F171A3">
              <w:rPr>
                <w:rFonts w:ascii="Calibri" w:hAnsi="Calibri" w:cs="Calibri"/>
                <w:b/>
                <w:bCs/>
                <w:color w:val="000000"/>
                <w:szCs w:val="20"/>
              </w:rPr>
              <w:t>Activități</w:t>
            </w:r>
            <w:r w:rsidRPr="00F171A3">
              <w:rPr>
                <w:rFonts w:ascii="Calibri" w:hAnsi="Calibri" w:cs="Calibri"/>
                <w:b/>
                <w:bCs/>
                <w:color w:val="000000"/>
                <w:szCs w:val="20"/>
              </w:rPr>
              <w:t xml:space="preserve"> de editare</w:t>
            </w:r>
          </w:p>
        </w:tc>
        <w:tc>
          <w:tcPr>
            <w:tcW w:w="1620" w:type="dxa"/>
            <w:vAlign w:val="bottom"/>
          </w:tcPr>
          <w:p w14:paraId="54CC5F5E" w14:textId="77777777" w:rsidR="00161769" w:rsidRPr="00F171A3" w:rsidRDefault="00161769" w:rsidP="00F31936">
            <w:pPr>
              <w:jc w:val="center"/>
            </w:pPr>
            <w:r w:rsidRPr="00F171A3">
              <w:rPr>
                <w:rFonts w:ascii="Calibri" w:hAnsi="Calibri" w:cs="Calibri"/>
                <w:color w:val="000000"/>
                <w:szCs w:val="20"/>
              </w:rPr>
              <w:t>7573</w:t>
            </w:r>
          </w:p>
        </w:tc>
        <w:tc>
          <w:tcPr>
            <w:tcW w:w="2126" w:type="dxa"/>
            <w:vAlign w:val="bottom"/>
          </w:tcPr>
          <w:p w14:paraId="3F736E58" w14:textId="77777777" w:rsidR="00161769" w:rsidRPr="00F171A3" w:rsidRDefault="00161769" w:rsidP="00F31936">
            <w:pPr>
              <w:jc w:val="center"/>
            </w:pPr>
            <w:r w:rsidRPr="00F171A3">
              <w:rPr>
                <w:rFonts w:ascii="Calibri" w:hAnsi="Calibri" w:cs="Calibri"/>
                <w:color w:val="000000"/>
                <w:szCs w:val="20"/>
              </w:rPr>
              <w:t>3,647</w:t>
            </w:r>
          </w:p>
        </w:tc>
        <w:tc>
          <w:tcPr>
            <w:tcW w:w="1735" w:type="dxa"/>
            <w:vAlign w:val="bottom"/>
          </w:tcPr>
          <w:p w14:paraId="4A5CED9A" w14:textId="77777777" w:rsidR="00161769" w:rsidRPr="00F171A3" w:rsidRDefault="00161769" w:rsidP="00F31936">
            <w:pPr>
              <w:jc w:val="center"/>
            </w:pPr>
            <w:r w:rsidRPr="00F171A3">
              <w:rPr>
                <w:rFonts w:ascii="Calibri" w:hAnsi="Calibri" w:cs="Calibri"/>
                <w:color w:val="000000"/>
                <w:szCs w:val="20"/>
              </w:rPr>
              <w:t>1.4%</w:t>
            </w:r>
          </w:p>
        </w:tc>
      </w:tr>
      <w:tr w:rsidR="00161769" w:rsidRPr="00F171A3" w14:paraId="7520E612"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1B4FB5F9" w14:textId="77777777" w:rsidR="00161769" w:rsidRPr="00F171A3" w:rsidRDefault="00161769" w:rsidP="00F31936">
            <w:r w:rsidRPr="00F171A3">
              <w:t>5</w:t>
            </w:r>
          </w:p>
        </w:tc>
        <w:tc>
          <w:tcPr>
            <w:tcW w:w="3330" w:type="dxa"/>
            <w:vAlign w:val="center"/>
          </w:tcPr>
          <w:p w14:paraId="5C04D15F" w14:textId="77777777" w:rsidR="00161769" w:rsidRPr="00F171A3" w:rsidRDefault="00161769" w:rsidP="00F31936">
            <w:pPr>
              <w:jc w:val="left"/>
              <w:rPr>
                <w:rFonts w:ascii="Calibri" w:hAnsi="Calibri" w:cs="Calibri"/>
                <w:b/>
                <w:bCs/>
                <w:color w:val="000000"/>
                <w:sz w:val="22"/>
              </w:rPr>
            </w:pPr>
            <w:r w:rsidRPr="00F171A3">
              <w:rPr>
                <w:rFonts w:ascii="Calibri" w:hAnsi="Calibri" w:cs="Calibri"/>
                <w:b/>
                <w:bCs/>
                <w:color w:val="000000"/>
                <w:szCs w:val="20"/>
              </w:rPr>
              <w:t>12 Fabricarea produselor din tutun</w:t>
            </w:r>
          </w:p>
        </w:tc>
        <w:tc>
          <w:tcPr>
            <w:tcW w:w="1620" w:type="dxa"/>
            <w:vAlign w:val="bottom"/>
          </w:tcPr>
          <w:p w14:paraId="3FE10107" w14:textId="77777777" w:rsidR="00161769" w:rsidRPr="00F171A3" w:rsidRDefault="00161769" w:rsidP="00F31936">
            <w:pPr>
              <w:jc w:val="center"/>
            </w:pPr>
            <w:r w:rsidRPr="00F171A3">
              <w:rPr>
                <w:rFonts w:ascii="Calibri" w:hAnsi="Calibri" w:cs="Calibri"/>
                <w:color w:val="000000"/>
                <w:szCs w:val="20"/>
              </w:rPr>
              <w:t>7201</w:t>
            </w:r>
          </w:p>
        </w:tc>
        <w:tc>
          <w:tcPr>
            <w:tcW w:w="2126" w:type="dxa"/>
            <w:vAlign w:val="bottom"/>
          </w:tcPr>
          <w:p w14:paraId="35F14961" w14:textId="77777777" w:rsidR="00161769" w:rsidRPr="00F171A3" w:rsidRDefault="00161769" w:rsidP="00F31936">
            <w:pPr>
              <w:jc w:val="center"/>
            </w:pPr>
            <w:r w:rsidRPr="00F171A3">
              <w:rPr>
                <w:rFonts w:ascii="Calibri" w:hAnsi="Calibri" w:cs="Calibri"/>
                <w:color w:val="000000"/>
                <w:szCs w:val="20"/>
              </w:rPr>
              <w:t>445</w:t>
            </w:r>
          </w:p>
        </w:tc>
        <w:tc>
          <w:tcPr>
            <w:tcW w:w="1735" w:type="dxa"/>
            <w:vAlign w:val="bottom"/>
          </w:tcPr>
          <w:p w14:paraId="0498CDEE" w14:textId="77777777" w:rsidR="00161769" w:rsidRPr="00F171A3" w:rsidRDefault="00161769" w:rsidP="00F31936">
            <w:pPr>
              <w:jc w:val="center"/>
            </w:pPr>
            <w:r w:rsidRPr="00F171A3">
              <w:rPr>
                <w:rFonts w:ascii="Calibri" w:hAnsi="Calibri" w:cs="Calibri"/>
                <w:color w:val="000000"/>
                <w:szCs w:val="20"/>
              </w:rPr>
              <w:t>0.2%</w:t>
            </w:r>
          </w:p>
        </w:tc>
      </w:tr>
      <w:tr w:rsidR="00161769" w:rsidRPr="00F171A3" w14:paraId="53BAA4E2"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0A272CBD" w14:textId="77777777" w:rsidR="00161769" w:rsidRPr="00F171A3" w:rsidRDefault="00161769" w:rsidP="00F31936">
            <w:r w:rsidRPr="00F171A3">
              <w:t>6</w:t>
            </w:r>
          </w:p>
        </w:tc>
        <w:tc>
          <w:tcPr>
            <w:tcW w:w="3330" w:type="dxa"/>
            <w:vAlign w:val="center"/>
          </w:tcPr>
          <w:p w14:paraId="1BEC0D3A" w14:textId="77777777" w:rsidR="00161769" w:rsidRPr="00F171A3" w:rsidRDefault="00161769" w:rsidP="00F31936">
            <w:pPr>
              <w:jc w:val="left"/>
            </w:pPr>
            <w:r w:rsidRPr="00F171A3">
              <w:rPr>
                <w:rFonts w:ascii="Calibri" w:hAnsi="Calibri" w:cs="Calibri"/>
                <w:b/>
                <w:bCs/>
                <w:color w:val="000000"/>
                <w:szCs w:val="20"/>
              </w:rPr>
              <w:t>K INTERMEDIERI FINANCIARE SI ASIGURARI</w:t>
            </w:r>
          </w:p>
        </w:tc>
        <w:tc>
          <w:tcPr>
            <w:tcW w:w="1620" w:type="dxa"/>
            <w:vAlign w:val="bottom"/>
          </w:tcPr>
          <w:p w14:paraId="49C4373F" w14:textId="77777777" w:rsidR="00161769" w:rsidRPr="00F171A3" w:rsidRDefault="00161769" w:rsidP="00F31936">
            <w:pPr>
              <w:jc w:val="center"/>
            </w:pPr>
            <w:r w:rsidRPr="00F171A3">
              <w:rPr>
                <w:rFonts w:ascii="Calibri" w:hAnsi="Calibri" w:cs="Calibri"/>
                <w:color w:val="000000"/>
                <w:szCs w:val="20"/>
              </w:rPr>
              <w:t>6831</w:t>
            </w:r>
          </w:p>
        </w:tc>
        <w:tc>
          <w:tcPr>
            <w:tcW w:w="2126" w:type="dxa"/>
            <w:vAlign w:val="bottom"/>
          </w:tcPr>
          <w:p w14:paraId="0788492D" w14:textId="77777777" w:rsidR="00161769" w:rsidRPr="00F171A3" w:rsidRDefault="00161769" w:rsidP="00F31936">
            <w:pPr>
              <w:jc w:val="center"/>
            </w:pPr>
            <w:r w:rsidRPr="00F171A3">
              <w:rPr>
                <w:rFonts w:ascii="Calibri" w:hAnsi="Calibri" w:cs="Calibri"/>
                <w:color w:val="000000"/>
                <w:szCs w:val="20"/>
              </w:rPr>
              <w:t>7,402</w:t>
            </w:r>
          </w:p>
        </w:tc>
        <w:tc>
          <w:tcPr>
            <w:tcW w:w="1735" w:type="dxa"/>
            <w:vAlign w:val="bottom"/>
          </w:tcPr>
          <w:p w14:paraId="126BFC4C" w14:textId="77777777" w:rsidR="00161769" w:rsidRPr="00F171A3" w:rsidRDefault="00161769" w:rsidP="00F31936">
            <w:pPr>
              <w:jc w:val="center"/>
            </w:pPr>
            <w:r w:rsidRPr="00F171A3">
              <w:rPr>
                <w:rFonts w:ascii="Calibri" w:hAnsi="Calibri" w:cs="Calibri"/>
                <w:color w:val="000000"/>
                <w:szCs w:val="20"/>
              </w:rPr>
              <w:t>2.9%</w:t>
            </w:r>
          </w:p>
        </w:tc>
      </w:tr>
      <w:tr w:rsidR="00161769" w:rsidRPr="00F171A3" w14:paraId="49EED91A"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3A545190" w14:textId="77777777" w:rsidR="00161769" w:rsidRPr="00F171A3" w:rsidRDefault="00161769" w:rsidP="00F31936">
            <w:r w:rsidRPr="00F171A3">
              <w:t>7</w:t>
            </w:r>
          </w:p>
        </w:tc>
        <w:tc>
          <w:tcPr>
            <w:tcW w:w="3330" w:type="dxa"/>
            <w:vAlign w:val="center"/>
          </w:tcPr>
          <w:p w14:paraId="4FC9C486" w14:textId="432BBFC3" w:rsidR="00161769" w:rsidRPr="00F171A3" w:rsidRDefault="00161769" w:rsidP="00F31936">
            <w:pPr>
              <w:jc w:val="left"/>
            </w:pPr>
            <w:r w:rsidRPr="00F171A3">
              <w:rPr>
                <w:rFonts w:ascii="Calibri" w:hAnsi="Calibri" w:cs="Calibri"/>
                <w:b/>
                <w:bCs/>
                <w:color w:val="000000"/>
                <w:szCs w:val="20"/>
              </w:rPr>
              <w:t xml:space="preserve">52 Depozitare si </w:t>
            </w:r>
            <w:r w:rsidR="0060613A" w:rsidRPr="00F171A3">
              <w:rPr>
                <w:rFonts w:ascii="Calibri" w:hAnsi="Calibri" w:cs="Calibri"/>
                <w:b/>
                <w:bCs/>
                <w:color w:val="000000"/>
                <w:szCs w:val="20"/>
              </w:rPr>
              <w:t>activități</w:t>
            </w:r>
            <w:r w:rsidRPr="00F171A3">
              <w:rPr>
                <w:rFonts w:ascii="Calibri" w:hAnsi="Calibri" w:cs="Calibri"/>
                <w:b/>
                <w:bCs/>
                <w:color w:val="000000"/>
                <w:szCs w:val="20"/>
              </w:rPr>
              <w:t xml:space="preserve"> auxiliare pentru transporturi</w:t>
            </w:r>
          </w:p>
        </w:tc>
        <w:tc>
          <w:tcPr>
            <w:tcW w:w="1620" w:type="dxa"/>
            <w:vAlign w:val="bottom"/>
          </w:tcPr>
          <w:p w14:paraId="0A851FE6" w14:textId="77777777" w:rsidR="00161769" w:rsidRPr="00F171A3" w:rsidRDefault="00161769" w:rsidP="00F31936">
            <w:pPr>
              <w:jc w:val="center"/>
            </w:pPr>
            <w:r w:rsidRPr="00F171A3">
              <w:rPr>
                <w:rFonts w:ascii="Calibri" w:hAnsi="Calibri" w:cs="Calibri"/>
                <w:color w:val="000000"/>
                <w:szCs w:val="20"/>
              </w:rPr>
              <w:t>6429</w:t>
            </w:r>
          </w:p>
        </w:tc>
        <w:tc>
          <w:tcPr>
            <w:tcW w:w="2126" w:type="dxa"/>
            <w:vAlign w:val="bottom"/>
          </w:tcPr>
          <w:p w14:paraId="30257E84" w14:textId="77777777" w:rsidR="00161769" w:rsidRPr="00F171A3" w:rsidRDefault="00161769" w:rsidP="00F31936">
            <w:pPr>
              <w:jc w:val="center"/>
            </w:pPr>
            <w:r w:rsidRPr="00F171A3">
              <w:rPr>
                <w:rFonts w:ascii="Calibri" w:hAnsi="Calibri" w:cs="Calibri"/>
                <w:color w:val="000000"/>
                <w:szCs w:val="20"/>
              </w:rPr>
              <w:t>2,048</w:t>
            </w:r>
          </w:p>
        </w:tc>
        <w:tc>
          <w:tcPr>
            <w:tcW w:w="1735" w:type="dxa"/>
            <w:vAlign w:val="bottom"/>
          </w:tcPr>
          <w:p w14:paraId="29735E21" w14:textId="77777777" w:rsidR="00161769" w:rsidRPr="00F171A3" w:rsidRDefault="00161769" w:rsidP="00F31936">
            <w:pPr>
              <w:jc w:val="center"/>
            </w:pPr>
            <w:r w:rsidRPr="00F171A3">
              <w:rPr>
                <w:rFonts w:ascii="Calibri" w:hAnsi="Calibri" w:cs="Calibri"/>
                <w:color w:val="000000"/>
                <w:szCs w:val="20"/>
              </w:rPr>
              <w:t>0.8%</w:t>
            </w:r>
          </w:p>
        </w:tc>
      </w:tr>
      <w:tr w:rsidR="00161769" w:rsidRPr="00F171A3" w14:paraId="765B42EB"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6B0B8E5D" w14:textId="77777777" w:rsidR="00161769" w:rsidRPr="00F171A3" w:rsidRDefault="00161769" w:rsidP="00F31936">
            <w:r w:rsidRPr="00F171A3">
              <w:t>8</w:t>
            </w:r>
          </w:p>
        </w:tc>
        <w:tc>
          <w:tcPr>
            <w:tcW w:w="3330" w:type="dxa"/>
            <w:vAlign w:val="center"/>
          </w:tcPr>
          <w:p w14:paraId="35617069" w14:textId="77777777" w:rsidR="00161769" w:rsidRPr="00F171A3" w:rsidRDefault="00161769" w:rsidP="00F31936">
            <w:pPr>
              <w:jc w:val="left"/>
            </w:pPr>
            <w:r w:rsidRPr="00F171A3">
              <w:rPr>
                <w:rFonts w:ascii="Calibri" w:hAnsi="Calibri" w:cs="Calibri"/>
                <w:b/>
                <w:bCs/>
                <w:color w:val="000000"/>
                <w:szCs w:val="20"/>
              </w:rPr>
              <w:t>29 Fabricarea autovehiculelor de transport rutier, a remorcilor si semiremorcilor</w:t>
            </w:r>
          </w:p>
        </w:tc>
        <w:tc>
          <w:tcPr>
            <w:tcW w:w="1620" w:type="dxa"/>
            <w:vAlign w:val="bottom"/>
          </w:tcPr>
          <w:p w14:paraId="762231E6" w14:textId="77777777" w:rsidR="00161769" w:rsidRPr="00F171A3" w:rsidRDefault="00161769" w:rsidP="00F31936">
            <w:pPr>
              <w:jc w:val="center"/>
            </w:pPr>
            <w:r w:rsidRPr="00F171A3">
              <w:rPr>
                <w:rFonts w:ascii="Calibri" w:hAnsi="Calibri" w:cs="Calibri"/>
                <w:color w:val="000000"/>
                <w:szCs w:val="20"/>
              </w:rPr>
              <w:t>6130</w:t>
            </w:r>
          </w:p>
        </w:tc>
        <w:tc>
          <w:tcPr>
            <w:tcW w:w="2126" w:type="dxa"/>
            <w:vAlign w:val="bottom"/>
          </w:tcPr>
          <w:p w14:paraId="18E148E1" w14:textId="77777777" w:rsidR="00161769" w:rsidRPr="00F171A3" w:rsidRDefault="00161769" w:rsidP="00F31936">
            <w:pPr>
              <w:jc w:val="center"/>
            </w:pPr>
            <w:r w:rsidRPr="00F171A3">
              <w:rPr>
                <w:rFonts w:ascii="Calibri" w:hAnsi="Calibri" w:cs="Calibri"/>
                <w:color w:val="000000"/>
                <w:szCs w:val="20"/>
              </w:rPr>
              <w:t>101</w:t>
            </w:r>
          </w:p>
        </w:tc>
        <w:tc>
          <w:tcPr>
            <w:tcW w:w="1735" w:type="dxa"/>
            <w:vAlign w:val="bottom"/>
          </w:tcPr>
          <w:p w14:paraId="15B5B130" w14:textId="77777777" w:rsidR="00161769" w:rsidRPr="00F171A3" w:rsidRDefault="00161769" w:rsidP="00F31936">
            <w:pPr>
              <w:jc w:val="center"/>
            </w:pPr>
            <w:r w:rsidRPr="00F171A3">
              <w:rPr>
                <w:rFonts w:ascii="Calibri" w:hAnsi="Calibri" w:cs="Calibri"/>
                <w:color w:val="000000"/>
                <w:szCs w:val="20"/>
              </w:rPr>
              <w:t>0.0%</w:t>
            </w:r>
          </w:p>
        </w:tc>
      </w:tr>
      <w:tr w:rsidR="00161769" w:rsidRPr="00F171A3" w14:paraId="63E52266"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26233253" w14:textId="77777777" w:rsidR="00161769" w:rsidRPr="00F171A3" w:rsidRDefault="00161769" w:rsidP="00F31936">
            <w:r w:rsidRPr="00F171A3">
              <w:t>9</w:t>
            </w:r>
          </w:p>
        </w:tc>
        <w:tc>
          <w:tcPr>
            <w:tcW w:w="3330" w:type="dxa"/>
            <w:vAlign w:val="center"/>
          </w:tcPr>
          <w:p w14:paraId="2F4E64DB" w14:textId="77777777" w:rsidR="00161769" w:rsidRPr="00F171A3" w:rsidRDefault="00161769" w:rsidP="00F31936">
            <w:pPr>
              <w:jc w:val="left"/>
            </w:pPr>
            <w:r w:rsidRPr="00F171A3">
              <w:rPr>
                <w:rFonts w:ascii="Calibri" w:hAnsi="Calibri" w:cs="Calibri"/>
                <w:b/>
                <w:bCs/>
                <w:color w:val="000000"/>
                <w:szCs w:val="20"/>
              </w:rPr>
              <w:t>23 Fabricarea altor produse din minerale nemetalice</w:t>
            </w:r>
          </w:p>
        </w:tc>
        <w:tc>
          <w:tcPr>
            <w:tcW w:w="1620" w:type="dxa"/>
            <w:vAlign w:val="bottom"/>
          </w:tcPr>
          <w:p w14:paraId="6D800311" w14:textId="77777777" w:rsidR="00161769" w:rsidRPr="00F171A3" w:rsidRDefault="00161769" w:rsidP="00F31936">
            <w:pPr>
              <w:jc w:val="center"/>
            </w:pPr>
            <w:r w:rsidRPr="00F171A3">
              <w:rPr>
                <w:rFonts w:ascii="Calibri" w:hAnsi="Calibri" w:cs="Calibri"/>
                <w:color w:val="000000"/>
                <w:szCs w:val="20"/>
              </w:rPr>
              <w:t>6096</w:t>
            </w:r>
          </w:p>
        </w:tc>
        <w:tc>
          <w:tcPr>
            <w:tcW w:w="2126" w:type="dxa"/>
            <w:vAlign w:val="bottom"/>
          </w:tcPr>
          <w:p w14:paraId="63029763" w14:textId="77777777" w:rsidR="00161769" w:rsidRPr="00F171A3" w:rsidRDefault="00161769" w:rsidP="00F31936">
            <w:pPr>
              <w:jc w:val="center"/>
            </w:pPr>
            <w:r w:rsidRPr="00F171A3">
              <w:rPr>
                <w:rFonts w:ascii="Calibri" w:hAnsi="Calibri" w:cs="Calibri"/>
                <w:color w:val="000000"/>
                <w:szCs w:val="20"/>
              </w:rPr>
              <w:t>1,069</w:t>
            </w:r>
          </w:p>
        </w:tc>
        <w:tc>
          <w:tcPr>
            <w:tcW w:w="1735" w:type="dxa"/>
            <w:vAlign w:val="bottom"/>
          </w:tcPr>
          <w:p w14:paraId="7576A6AD" w14:textId="77777777" w:rsidR="00161769" w:rsidRPr="00F171A3" w:rsidRDefault="00161769" w:rsidP="00F31936">
            <w:pPr>
              <w:jc w:val="center"/>
            </w:pPr>
            <w:r w:rsidRPr="00F171A3">
              <w:rPr>
                <w:rFonts w:ascii="Calibri" w:hAnsi="Calibri" w:cs="Calibri"/>
                <w:color w:val="000000"/>
                <w:szCs w:val="20"/>
              </w:rPr>
              <w:t>0.4%</w:t>
            </w:r>
          </w:p>
        </w:tc>
      </w:tr>
      <w:tr w:rsidR="00161769" w:rsidRPr="00F171A3" w14:paraId="1A12EF84"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68657E17" w14:textId="77777777" w:rsidR="00161769" w:rsidRPr="00F171A3" w:rsidRDefault="00161769" w:rsidP="00F31936">
            <w:r w:rsidRPr="00F171A3">
              <w:t>10</w:t>
            </w:r>
          </w:p>
        </w:tc>
        <w:tc>
          <w:tcPr>
            <w:tcW w:w="3330" w:type="dxa"/>
            <w:vAlign w:val="center"/>
          </w:tcPr>
          <w:p w14:paraId="18A32CCC" w14:textId="429FA413" w:rsidR="00161769" w:rsidRPr="00F171A3" w:rsidRDefault="00161769" w:rsidP="00F31936">
            <w:pPr>
              <w:jc w:val="left"/>
            </w:pPr>
            <w:r w:rsidRPr="00F171A3">
              <w:rPr>
                <w:rFonts w:ascii="Calibri" w:hAnsi="Calibri" w:cs="Calibri"/>
                <w:b/>
                <w:bCs/>
                <w:color w:val="000000"/>
                <w:szCs w:val="20"/>
              </w:rPr>
              <w:t xml:space="preserve">36 Captarea, tratarea si </w:t>
            </w:r>
            <w:r w:rsidR="0060613A" w:rsidRPr="00F171A3">
              <w:rPr>
                <w:rFonts w:ascii="Calibri" w:hAnsi="Calibri" w:cs="Calibri"/>
                <w:b/>
                <w:bCs/>
                <w:color w:val="000000"/>
                <w:szCs w:val="20"/>
              </w:rPr>
              <w:t>distribuția</w:t>
            </w:r>
            <w:r w:rsidRPr="00F171A3">
              <w:rPr>
                <w:rFonts w:ascii="Calibri" w:hAnsi="Calibri" w:cs="Calibri"/>
                <w:b/>
                <w:bCs/>
                <w:color w:val="000000"/>
                <w:szCs w:val="20"/>
              </w:rPr>
              <w:t xml:space="preserve"> apei</w:t>
            </w:r>
          </w:p>
        </w:tc>
        <w:tc>
          <w:tcPr>
            <w:tcW w:w="1620" w:type="dxa"/>
            <w:vAlign w:val="bottom"/>
          </w:tcPr>
          <w:p w14:paraId="46FA4BED" w14:textId="77777777" w:rsidR="00161769" w:rsidRPr="00F171A3" w:rsidRDefault="00161769" w:rsidP="00F31936">
            <w:pPr>
              <w:jc w:val="center"/>
            </w:pPr>
            <w:r w:rsidRPr="00F171A3">
              <w:rPr>
                <w:rFonts w:ascii="Calibri" w:hAnsi="Calibri" w:cs="Calibri"/>
                <w:color w:val="000000"/>
                <w:szCs w:val="20"/>
              </w:rPr>
              <w:t>5922</w:t>
            </w:r>
          </w:p>
        </w:tc>
        <w:tc>
          <w:tcPr>
            <w:tcW w:w="2126" w:type="dxa"/>
            <w:vAlign w:val="bottom"/>
          </w:tcPr>
          <w:p w14:paraId="0B3F9752" w14:textId="77777777" w:rsidR="00161769" w:rsidRPr="00F171A3" w:rsidRDefault="00161769" w:rsidP="00F31936">
            <w:pPr>
              <w:jc w:val="center"/>
            </w:pPr>
            <w:r w:rsidRPr="00F171A3">
              <w:rPr>
                <w:rFonts w:ascii="Calibri" w:hAnsi="Calibri" w:cs="Calibri"/>
                <w:color w:val="000000"/>
                <w:szCs w:val="20"/>
              </w:rPr>
              <w:t>1,800</w:t>
            </w:r>
          </w:p>
        </w:tc>
        <w:tc>
          <w:tcPr>
            <w:tcW w:w="1735" w:type="dxa"/>
            <w:vAlign w:val="bottom"/>
          </w:tcPr>
          <w:p w14:paraId="219CDE90" w14:textId="77777777" w:rsidR="00161769" w:rsidRPr="00F171A3" w:rsidRDefault="00161769" w:rsidP="00F31936">
            <w:pPr>
              <w:jc w:val="center"/>
            </w:pPr>
            <w:r w:rsidRPr="00F171A3">
              <w:rPr>
                <w:rFonts w:ascii="Calibri" w:hAnsi="Calibri" w:cs="Calibri"/>
                <w:color w:val="000000"/>
                <w:szCs w:val="20"/>
              </w:rPr>
              <w:t>0.7%</w:t>
            </w:r>
          </w:p>
        </w:tc>
      </w:tr>
      <w:tr w:rsidR="00161769" w:rsidRPr="00F171A3" w14:paraId="29AFA487"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637B4D14" w14:textId="77777777" w:rsidR="00161769" w:rsidRPr="00F171A3" w:rsidRDefault="00161769" w:rsidP="00F31936">
            <w:r w:rsidRPr="00F171A3">
              <w:t>11</w:t>
            </w:r>
          </w:p>
        </w:tc>
        <w:tc>
          <w:tcPr>
            <w:tcW w:w="3330" w:type="dxa"/>
            <w:vAlign w:val="center"/>
          </w:tcPr>
          <w:p w14:paraId="0C48E5F7" w14:textId="77777777" w:rsidR="00161769" w:rsidRPr="00F171A3" w:rsidRDefault="00161769" w:rsidP="00F31936">
            <w:pPr>
              <w:jc w:val="left"/>
              <w:rPr>
                <w:rFonts w:ascii="Calibri" w:hAnsi="Calibri" w:cs="Calibri"/>
                <w:b/>
                <w:bCs/>
                <w:color w:val="000000"/>
                <w:szCs w:val="20"/>
              </w:rPr>
            </w:pPr>
            <w:r w:rsidRPr="00F171A3">
              <w:rPr>
                <w:rFonts w:ascii="Calibri" w:hAnsi="Calibri" w:cs="Calibri"/>
                <w:b/>
                <w:bCs/>
                <w:color w:val="000000"/>
                <w:szCs w:val="20"/>
              </w:rPr>
              <w:t>51 Transporturi aeriene</w:t>
            </w:r>
          </w:p>
        </w:tc>
        <w:tc>
          <w:tcPr>
            <w:tcW w:w="1620" w:type="dxa"/>
            <w:vAlign w:val="bottom"/>
          </w:tcPr>
          <w:p w14:paraId="63AAE535"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5489</w:t>
            </w:r>
          </w:p>
        </w:tc>
        <w:tc>
          <w:tcPr>
            <w:tcW w:w="2126" w:type="dxa"/>
            <w:vAlign w:val="bottom"/>
          </w:tcPr>
          <w:p w14:paraId="2E28101A"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 xml:space="preserve">                  32 </w:t>
            </w:r>
          </w:p>
        </w:tc>
        <w:tc>
          <w:tcPr>
            <w:tcW w:w="1735" w:type="dxa"/>
            <w:vAlign w:val="bottom"/>
          </w:tcPr>
          <w:p w14:paraId="51FE73DC"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0.0%</w:t>
            </w:r>
          </w:p>
        </w:tc>
      </w:tr>
      <w:tr w:rsidR="00161769" w:rsidRPr="00F171A3" w14:paraId="27203B8A"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52478E35" w14:textId="77777777" w:rsidR="00161769" w:rsidRPr="00F171A3" w:rsidRDefault="00161769" w:rsidP="00F31936">
            <w:r w:rsidRPr="00F171A3">
              <w:t>12</w:t>
            </w:r>
          </w:p>
        </w:tc>
        <w:tc>
          <w:tcPr>
            <w:tcW w:w="3330" w:type="dxa"/>
            <w:vAlign w:val="center"/>
          </w:tcPr>
          <w:p w14:paraId="1E2765D1" w14:textId="77777777" w:rsidR="00161769" w:rsidRPr="00F171A3" w:rsidRDefault="00161769" w:rsidP="00F31936">
            <w:pPr>
              <w:jc w:val="left"/>
              <w:rPr>
                <w:rFonts w:ascii="Calibri" w:hAnsi="Calibri" w:cs="Calibri"/>
                <w:b/>
                <w:bCs/>
                <w:color w:val="000000"/>
                <w:szCs w:val="20"/>
              </w:rPr>
            </w:pPr>
            <w:r w:rsidRPr="00F171A3">
              <w:rPr>
                <w:rFonts w:ascii="Calibri" w:hAnsi="Calibri" w:cs="Calibri"/>
                <w:b/>
                <w:bCs/>
                <w:color w:val="000000"/>
                <w:szCs w:val="20"/>
              </w:rPr>
              <w:t>72 Cercetare-dezvoltare</w:t>
            </w:r>
          </w:p>
        </w:tc>
        <w:tc>
          <w:tcPr>
            <w:tcW w:w="1620" w:type="dxa"/>
            <w:vAlign w:val="bottom"/>
          </w:tcPr>
          <w:p w14:paraId="6879BF3E"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4949</w:t>
            </w:r>
          </w:p>
        </w:tc>
        <w:tc>
          <w:tcPr>
            <w:tcW w:w="2126" w:type="dxa"/>
            <w:vAlign w:val="bottom"/>
          </w:tcPr>
          <w:p w14:paraId="21AA8FD5"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 xml:space="preserve">                789 </w:t>
            </w:r>
          </w:p>
        </w:tc>
        <w:tc>
          <w:tcPr>
            <w:tcW w:w="1735" w:type="dxa"/>
            <w:vAlign w:val="bottom"/>
          </w:tcPr>
          <w:p w14:paraId="275C9DD8"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0.3%</w:t>
            </w:r>
          </w:p>
        </w:tc>
      </w:tr>
      <w:tr w:rsidR="00161769" w:rsidRPr="00F171A3" w14:paraId="7E1D36F4"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1A98EF55" w14:textId="77777777" w:rsidR="00161769" w:rsidRPr="00F171A3" w:rsidRDefault="00161769" w:rsidP="00F31936">
            <w:r w:rsidRPr="00F171A3">
              <w:t>13</w:t>
            </w:r>
          </w:p>
        </w:tc>
        <w:tc>
          <w:tcPr>
            <w:tcW w:w="3330" w:type="dxa"/>
            <w:vAlign w:val="center"/>
          </w:tcPr>
          <w:p w14:paraId="78224D51" w14:textId="4F64CBB9" w:rsidR="00161769" w:rsidRPr="00F171A3" w:rsidRDefault="00161769" w:rsidP="00F31936">
            <w:pPr>
              <w:jc w:val="left"/>
              <w:rPr>
                <w:rFonts w:ascii="Calibri" w:hAnsi="Calibri" w:cs="Calibri"/>
                <w:b/>
                <w:bCs/>
                <w:color w:val="000000"/>
                <w:szCs w:val="20"/>
              </w:rPr>
            </w:pPr>
            <w:r w:rsidRPr="00F171A3">
              <w:rPr>
                <w:rFonts w:ascii="Calibri" w:hAnsi="Calibri" w:cs="Calibri"/>
                <w:b/>
                <w:bCs/>
                <w:color w:val="000000"/>
                <w:szCs w:val="20"/>
              </w:rPr>
              <w:t xml:space="preserve">61 </w:t>
            </w:r>
            <w:r w:rsidR="0060613A" w:rsidRPr="00F171A3">
              <w:rPr>
                <w:rFonts w:ascii="Calibri" w:hAnsi="Calibri" w:cs="Calibri"/>
                <w:b/>
                <w:bCs/>
                <w:color w:val="000000"/>
                <w:szCs w:val="20"/>
              </w:rPr>
              <w:t>Telecomunicații</w:t>
            </w:r>
          </w:p>
        </w:tc>
        <w:tc>
          <w:tcPr>
            <w:tcW w:w="1620" w:type="dxa"/>
            <w:vAlign w:val="bottom"/>
          </w:tcPr>
          <w:p w14:paraId="56FD1A87"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4880</w:t>
            </w:r>
          </w:p>
        </w:tc>
        <w:tc>
          <w:tcPr>
            <w:tcW w:w="2126" w:type="dxa"/>
            <w:vAlign w:val="bottom"/>
          </w:tcPr>
          <w:p w14:paraId="46EFA1DB"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 xml:space="preserve">            6,773 </w:t>
            </w:r>
          </w:p>
        </w:tc>
        <w:tc>
          <w:tcPr>
            <w:tcW w:w="1735" w:type="dxa"/>
            <w:vAlign w:val="bottom"/>
          </w:tcPr>
          <w:p w14:paraId="72212F37"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2.6%</w:t>
            </w:r>
          </w:p>
        </w:tc>
      </w:tr>
      <w:tr w:rsidR="00161769" w:rsidRPr="00F171A3" w14:paraId="78B98A0C"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41D23716" w14:textId="77777777" w:rsidR="00161769" w:rsidRPr="00F171A3" w:rsidRDefault="00161769" w:rsidP="00F31936">
            <w:r w:rsidRPr="00F171A3">
              <w:t>14</w:t>
            </w:r>
          </w:p>
        </w:tc>
        <w:tc>
          <w:tcPr>
            <w:tcW w:w="3330" w:type="dxa"/>
            <w:vAlign w:val="center"/>
          </w:tcPr>
          <w:p w14:paraId="389817FE" w14:textId="77777777" w:rsidR="00161769" w:rsidRPr="00F171A3" w:rsidRDefault="00161769" w:rsidP="00F31936">
            <w:pPr>
              <w:jc w:val="left"/>
              <w:rPr>
                <w:rFonts w:ascii="Calibri" w:hAnsi="Calibri" w:cs="Calibri"/>
                <w:b/>
                <w:bCs/>
                <w:color w:val="000000"/>
                <w:szCs w:val="20"/>
              </w:rPr>
            </w:pPr>
            <w:r w:rsidRPr="00F171A3">
              <w:rPr>
                <w:rFonts w:ascii="Calibri" w:hAnsi="Calibri" w:cs="Calibri"/>
                <w:b/>
                <w:bCs/>
                <w:color w:val="000000"/>
                <w:szCs w:val="20"/>
              </w:rPr>
              <w:t>Q SANATATE SI ASISTENTA SOCIALA</w:t>
            </w:r>
          </w:p>
        </w:tc>
        <w:tc>
          <w:tcPr>
            <w:tcW w:w="1620" w:type="dxa"/>
            <w:vAlign w:val="bottom"/>
          </w:tcPr>
          <w:p w14:paraId="3DDD2C50"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4785</w:t>
            </w:r>
          </w:p>
        </w:tc>
        <w:tc>
          <w:tcPr>
            <w:tcW w:w="2126" w:type="dxa"/>
            <w:vAlign w:val="bottom"/>
          </w:tcPr>
          <w:p w14:paraId="68F9C603"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 xml:space="preserve">            4,498 </w:t>
            </w:r>
          </w:p>
        </w:tc>
        <w:tc>
          <w:tcPr>
            <w:tcW w:w="1735" w:type="dxa"/>
            <w:vAlign w:val="bottom"/>
          </w:tcPr>
          <w:p w14:paraId="512E4FD5"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1.8%</w:t>
            </w:r>
          </w:p>
        </w:tc>
      </w:tr>
      <w:tr w:rsidR="00161769" w:rsidRPr="00F171A3" w14:paraId="121533C0"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00F1EF3D" w14:textId="77777777" w:rsidR="00161769" w:rsidRPr="00F171A3" w:rsidRDefault="00161769" w:rsidP="00F31936">
            <w:r w:rsidRPr="00F171A3">
              <w:t>15</w:t>
            </w:r>
          </w:p>
        </w:tc>
        <w:tc>
          <w:tcPr>
            <w:tcW w:w="3330" w:type="dxa"/>
            <w:vAlign w:val="center"/>
          </w:tcPr>
          <w:p w14:paraId="5C73BAD2" w14:textId="77777777" w:rsidR="00161769" w:rsidRPr="00F171A3" w:rsidRDefault="00161769" w:rsidP="00F31936">
            <w:pPr>
              <w:jc w:val="left"/>
              <w:rPr>
                <w:rFonts w:ascii="Calibri" w:hAnsi="Calibri" w:cs="Calibri"/>
                <w:b/>
                <w:bCs/>
                <w:color w:val="000000"/>
                <w:szCs w:val="20"/>
              </w:rPr>
            </w:pPr>
            <w:r w:rsidRPr="00F171A3">
              <w:rPr>
                <w:rFonts w:ascii="Calibri" w:hAnsi="Calibri" w:cs="Calibri"/>
                <w:b/>
                <w:bCs/>
                <w:color w:val="000000"/>
                <w:szCs w:val="20"/>
              </w:rPr>
              <w:t>21 Fabricarea produselor farmaceutice de baza si a preparatelor farmaceutice</w:t>
            </w:r>
          </w:p>
        </w:tc>
        <w:tc>
          <w:tcPr>
            <w:tcW w:w="1620" w:type="dxa"/>
            <w:vAlign w:val="bottom"/>
          </w:tcPr>
          <w:p w14:paraId="5ED2E4F4"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4746</w:t>
            </w:r>
          </w:p>
        </w:tc>
        <w:tc>
          <w:tcPr>
            <w:tcW w:w="2126" w:type="dxa"/>
            <w:vAlign w:val="bottom"/>
          </w:tcPr>
          <w:p w14:paraId="5BA641B3"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 xml:space="preserve">                256 </w:t>
            </w:r>
          </w:p>
        </w:tc>
        <w:tc>
          <w:tcPr>
            <w:tcW w:w="1735" w:type="dxa"/>
            <w:vAlign w:val="bottom"/>
          </w:tcPr>
          <w:p w14:paraId="143360CC"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0.1%</w:t>
            </w:r>
          </w:p>
        </w:tc>
      </w:tr>
      <w:tr w:rsidR="00161769" w:rsidRPr="00F171A3" w14:paraId="0BAD7117"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526F04B8" w14:textId="77777777" w:rsidR="00161769" w:rsidRPr="00F171A3" w:rsidRDefault="00161769" w:rsidP="00F31936">
            <w:r w:rsidRPr="00F171A3">
              <w:t>16</w:t>
            </w:r>
          </w:p>
        </w:tc>
        <w:tc>
          <w:tcPr>
            <w:tcW w:w="3330" w:type="dxa"/>
            <w:vAlign w:val="center"/>
          </w:tcPr>
          <w:p w14:paraId="0814FAFD" w14:textId="31AF1E68" w:rsidR="00161769" w:rsidRPr="00F171A3" w:rsidRDefault="00161769" w:rsidP="00F31936">
            <w:pPr>
              <w:jc w:val="left"/>
              <w:rPr>
                <w:rFonts w:ascii="Calibri" w:hAnsi="Calibri" w:cs="Calibri"/>
                <w:b/>
                <w:bCs/>
                <w:color w:val="000000"/>
                <w:szCs w:val="20"/>
              </w:rPr>
            </w:pPr>
            <w:r w:rsidRPr="00F171A3">
              <w:rPr>
                <w:rFonts w:ascii="Calibri" w:hAnsi="Calibri" w:cs="Calibri"/>
                <w:b/>
                <w:bCs/>
                <w:color w:val="000000"/>
                <w:szCs w:val="20"/>
              </w:rPr>
              <w:t xml:space="preserve">11 Fabricarea </w:t>
            </w:r>
            <w:r w:rsidR="0060613A" w:rsidRPr="00F171A3">
              <w:rPr>
                <w:rFonts w:ascii="Calibri" w:hAnsi="Calibri" w:cs="Calibri"/>
                <w:b/>
                <w:bCs/>
                <w:color w:val="000000"/>
                <w:szCs w:val="20"/>
              </w:rPr>
              <w:t>băuturilor</w:t>
            </w:r>
          </w:p>
        </w:tc>
        <w:tc>
          <w:tcPr>
            <w:tcW w:w="1620" w:type="dxa"/>
            <w:vAlign w:val="bottom"/>
          </w:tcPr>
          <w:p w14:paraId="27ED5DDB"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4738</w:t>
            </w:r>
          </w:p>
        </w:tc>
        <w:tc>
          <w:tcPr>
            <w:tcW w:w="2126" w:type="dxa"/>
            <w:vAlign w:val="bottom"/>
          </w:tcPr>
          <w:p w14:paraId="583658E6"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 xml:space="preserve">            2,655 </w:t>
            </w:r>
          </w:p>
        </w:tc>
        <w:tc>
          <w:tcPr>
            <w:tcW w:w="1735" w:type="dxa"/>
            <w:vAlign w:val="bottom"/>
          </w:tcPr>
          <w:p w14:paraId="37FD4E31"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1.0%</w:t>
            </w:r>
          </w:p>
        </w:tc>
      </w:tr>
      <w:tr w:rsidR="00161769" w:rsidRPr="00F171A3" w14:paraId="3EC898C5" w14:textId="77777777" w:rsidTr="00F31936">
        <w:trPr>
          <w:cnfStyle w:val="000000100000" w:firstRow="0" w:lastRow="0" w:firstColumn="0" w:lastColumn="0" w:oddVBand="0" w:evenVBand="0" w:oddHBand="1" w:evenHBand="0" w:firstRowFirstColumn="0" w:firstRowLastColumn="0" w:lastRowFirstColumn="0" w:lastRowLastColumn="0"/>
        </w:trPr>
        <w:tc>
          <w:tcPr>
            <w:tcW w:w="625" w:type="dxa"/>
          </w:tcPr>
          <w:p w14:paraId="17D8372E" w14:textId="77777777" w:rsidR="00161769" w:rsidRPr="00F171A3" w:rsidRDefault="00161769" w:rsidP="00F31936">
            <w:r w:rsidRPr="00F171A3">
              <w:t>17</w:t>
            </w:r>
          </w:p>
        </w:tc>
        <w:tc>
          <w:tcPr>
            <w:tcW w:w="3330" w:type="dxa"/>
            <w:vAlign w:val="center"/>
          </w:tcPr>
          <w:p w14:paraId="5CC99F8C" w14:textId="5EB8C0B1" w:rsidR="00161769" w:rsidRPr="00F171A3" w:rsidRDefault="00161769" w:rsidP="00F31936">
            <w:pPr>
              <w:jc w:val="left"/>
              <w:rPr>
                <w:rFonts w:ascii="Calibri" w:hAnsi="Calibri" w:cs="Calibri"/>
                <w:b/>
                <w:bCs/>
                <w:color w:val="000000"/>
                <w:szCs w:val="20"/>
              </w:rPr>
            </w:pPr>
            <w:r w:rsidRPr="00F171A3">
              <w:rPr>
                <w:rFonts w:ascii="Calibri" w:hAnsi="Calibri" w:cs="Calibri"/>
                <w:b/>
                <w:bCs/>
                <w:color w:val="000000"/>
                <w:szCs w:val="20"/>
              </w:rPr>
              <w:t xml:space="preserve">33 Repararea, </w:t>
            </w:r>
            <w:r w:rsidR="0060613A" w:rsidRPr="00F171A3">
              <w:rPr>
                <w:rFonts w:ascii="Calibri" w:hAnsi="Calibri" w:cs="Calibri"/>
                <w:b/>
                <w:bCs/>
                <w:color w:val="000000"/>
                <w:szCs w:val="20"/>
              </w:rPr>
              <w:t>întreținerea</w:t>
            </w:r>
            <w:r w:rsidRPr="00F171A3">
              <w:rPr>
                <w:rFonts w:ascii="Calibri" w:hAnsi="Calibri" w:cs="Calibri"/>
                <w:b/>
                <w:bCs/>
                <w:color w:val="000000"/>
                <w:szCs w:val="20"/>
              </w:rPr>
              <w:t xml:space="preserve"> </w:t>
            </w:r>
            <w:r w:rsidR="0060613A">
              <w:rPr>
                <w:rFonts w:ascii="Calibri" w:hAnsi="Calibri" w:cs="Calibri"/>
                <w:b/>
                <w:bCs/>
                <w:color w:val="000000"/>
                <w:szCs w:val="20"/>
              </w:rPr>
              <w:t>ș</w:t>
            </w:r>
            <w:r w:rsidRPr="00F171A3">
              <w:rPr>
                <w:rFonts w:ascii="Calibri" w:hAnsi="Calibri" w:cs="Calibri"/>
                <w:b/>
                <w:bCs/>
                <w:color w:val="000000"/>
                <w:szCs w:val="20"/>
              </w:rPr>
              <w:t xml:space="preserve">i instalarea </w:t>
            </w:r>
            <w:r w:rsidR="0060613A" w:rsidRPr="00F171A3">
              <w:rPr>
                <w:rFonts w:ascii="Calibri" w:hAnsi="Calibri" w:cs="Calibri"/>
                <w:b/>
                <w:bCs/>
                <w:color w:val="000000"/>
                <w:szCs w:val="20"/>
              </w:rPr>
              <w:t>mașinilor</w:t>
            </w:r>
            <w:r w:rsidRPr="00F171A3">
              <w:rPr>
                <w:rFonts w:ascii="Calibri" w:hAnsi="Calibri" w:cs="Calibri"/>
                <w:b/>
                <w:bCs/>
                <w:color w:val="000000"/>
                <w:szCs w:val="20"/>
              </w:rPr>
              <w:t xml:space="preserve"> si echipamentelor</w:t>
            </w:r>
          </w:p>
        </w:tc>
        <w:tc>
          <w:tcPr>
            <w:tcW w:w="1620" w:type="dxa"/>
            <w:vAlign w:val="bottom"/>
          </w:tcPr>
          <w:p w14:paraId="3DFAB4C5"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4457</w:t>
            </w:r>
          </w:p>
        </w:tc>
        <w:tc>
          <w:tcPr>
            <w:tcW w:w="2126" w:type="dxa"/>
            <w:vAlign w:val="bottom"/>
          </w:tcPr>
          <w:p w14:paraId="55F5CD85"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 xml:space="preserve">            1,601 </w:t>
            </w:r>
          </w:p>
        </w:tc>
        <w:tc>
          <w:tcPr>
            <w:tcW w:w="1735" w:type="dxa"/>
            <w:vAlign w:val="bottom"/>
          </w:tcPr>
          <w:p w14:paraId="51DA4CFE"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0.6%</w:t>
            </w:r>
          </w:p>
        </w:tc>
      </w:tr>
      <w:tr w:rsidR="00161769" w:rsidRPr="00F171A3" w14:paraId="3A9F978A" w14:textId="77777777" w:rsidTr="00F31936">
        <w:trPr>
          <w:cnfStyle w:val="000000010000" w:firstRow="0" w:lastRow="0" w:firstColumn="0" w:lastColumn="0" w:oddVBand="0" w:evenVBand="0" w:oddHBand="0" w:evenHBand="1" w:firstRowFirstColumn="0" w:firstRowLastColumn="0" w:lastRowFirstColumn="0" w:lastRowLastColumn="0"/>
        </w:trPr>
        <w:tc>
          <w:tcPr>
            <w:tcW w:w="625" w:type="dxa"/>
          </w:tcPr>
          <w:p w14:paraId="30999802" w14:textId="77777777" w:rsidR="00161769" w:rsidRPr="00F171A3" w:rsidRDefault="00161769" w:rsidP="00F31936">
            <w:r w:rsidRPr="00F171A3">
              <w:t>18</w:t>
            </w:r>
          </w:p>
        </w:tc>
        <w:tc>
          <w:tcPr>
            <w:tcW w:w="3330" w:type="dxa"/>
            <w:vAlign w:val="center"/>
          </w:tcPr>
          <w:p w14:paraId="0F69416C" w14:textId="77777777" w:rsidR="00161769" w:rsidRPr="00F171A3" w:rsidRDefault="00161769" w:rsidP="00F31936">
            <w:pPr>
              <w:jc w:val="left"/>
              <w:rPr>
                <w:rFonts w:ascii="Calibri" w:hAnsi="Calibri" w:cs="Calibri"/>
                <w:b/>
                <w:bCs/>
                <w:color w:val="000000"/>
                <w:szCs w:val="20"/>
              </w:rPr>
            </w:pPr>
            <w:r w:rsidRPr="00F171A3">
              <w:rPr>
                <w:rFonts w:ascii="Calibri" w:hAnsi="Calibri" w:cs="Calibri"/>
                <w:b/>
                <w:bCs/>
                <w:color w:val="000000"/>
                <w:szCs w:val="20"/>
              </w:rPr>
              <w:t>30 Fabricarea altor mijloace de transport</w:t>
            </w:r>
          </w:p>
        </w:tc>
        <w:tc>
          <w:tcPr>
            <w:tcW w:w="1620" w:type="dxa"/>
            <w:vAlign w:val="bottom"/>
          </w:tcPr>
          <w:p w14:paraId="53FF84A8"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4413</w:t>
            </w:r>
          </w:p>
        </w:tc>
        <w:tc>
          <w:tcPr>
            <w:tcW w:w="2126" w:type="dxa"/>
            <w:vAlign w:val="bottom"/>
          </w:tcPr>
          <w:p w14:paraId="0C90F242"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 xml:space="preserve">                214 </w:t>
            </w:r>
          </w:p>
        </w:tc>
        <w:tc>
          <w:tcPr>
            <w:tcW w:w="1735" w:type="dxa"/>
            <w:vAlign w:val="bottom"/>
          </w:tcPr>
          <w:p w14:paraId="2FAA7D8F" w14:textId="77777777" w:rsidR="00161769" w:rsidRPr="00F171A3" w:rsidRDefault="00161769" w:rsidP="00F31936">
            <w:pPr>
              <w:jc w:val="center"/>
              <w:rPr>
                <w:rFonts w:ascii="Calibri" w:hAnsi="Calibri" w:cs="Calibri"/>
                <w:color w:val="000000"/>
                <w:szCs w:val="20"/>
              </w:rPr>
            </w:pPr>
            <w:r w:rsidRPr="00F171A3">
              <w:rPr>
                <w:rFonts w:ascii="Calibri" w:hAnsi="Calibri" w:cs="Calibri"/>
                <w:color w:val="000000"/>
                <w:szCs w:val="20"/>
              </w:rPr>
              <w:t>0.1%</w:t>
            </w:r>
          </w:p>
        </w:tc>
      </w:tr>
    </w:tbl>
    <w:p w14:paraId="178552A4" w14:textId="77777777" w:rsidR="00161769" w:rsidRPr="00F171A3" w:rsidRDefault="00161769" w:rsidP="0046391E">
      <w:pPr>
        <w:jc w:val="right"/>
        <w:rPr>
          <w:color w:val="BFBFBF" w:themeColor="background1" w:themeShade="BF"/>
        </w:rPr>
      </w:pPr>
      <w:r w:rsidRPr="00F171A3">
        <w:rPr>
          <w:color w:val="BFBFBF" w:themeColor="background1" w:themeShade="BF"/>
        </w:rPr>
        <w:t>Sursa: INS Baza de date TEMPO Online, INS eDemos</w:t>
      </w:r>
    </w:p>
    <w:p w14:paraId="70C01852" w14:textId="77777777" w:rsidR="00161769" w:rsidRPr="00F171A3" w:rsidRDefault="00161769" w:rsidP="00161769">
      <w:pPr>
        <w:rPr>
          <w:noProof/>
        </w:rPr>
      </w:pPr>
      <w:r w:rsidRPr="00F171A3">
        <w:rPr>
          <w:noProof/>
        </w:rPr>
        <w:t xml:space="preserve">Capacitatea de păstrare a angajaților reprezintă aspectul cel mai satisfăcător din perspectiva forței de muncă, astfel, angajatorii sunt mulțumiți și foarte mulțumiți de acest aspect în proporție de 41,4%. Tot aceștia sunt în cea mai mare măsură  nemulțumiți și foarte nemulțumiți  de numărul de candidați la care compania are acces (34,3%). </w:t>
      </w:r>
    </w:p>
    <w:p w14:paraId="1471EB37" w14:textId="43655AA3" w:rsidR="00161769" w:rsidRPr="00F171A3" w:rsidRDefault="00161769" w:rsidP="00161769">
      <w:pPr>
        <w:pStyle w:val="Caption"/>
      </w:pPr>
      <w:bookmarkStart w:id="216" w:name="_Toc127198063"/>
      <w:r w:rsidRPr="00F171A3">
        <w:t xml:space="preserve">Figura </w:t>
      </w:r>
      <w:r w:rsidRPr="00F171A3">
        <w:fldChar w:fldCharType="begin"/>
      </w:r>
      <w:r w:rsidRPr="00F171A3">
        <w:instrText xml:space="preserve"> SEQ Figura \* ARABIC </w:instrText>
      </w:r>
      <w:r w:rsidRPr="00F171A3">
        <w:fldChar w:fldCharType="separate"/>
      </w:r>
      <w:r w:rsidR="005A6DD8">
        <w:rPr>
          <w:noProof/>
        </w:rPr>
        <w:t>75</w:t>
      </w:r>
      <w:r w:rsidRPr="00F171A3">
        <w:fldChar w:fldCharType="end"/>
      </w:r>
      <w:r w:rsidRPr="00F171A3">
        <w:t xml:space="preserve"> Opinia mediului de afaceri din Sectorul 2 cu privire la forța de muncă disponibilă, conform chestionarului aplicat</w:t>
      </w:r>
      <w:bookmarkEnd w:id="216"/>
    </w:p>
    <w:p w14:paraId="71596655" w14:textId="77777777" w:rsidR="00161769" w:rsidRPr="00F171A3" w:rsidRDefault="00161769" w:rsidP="00161769">
      <w:pPr>
        <w:pStyle w:val="Bottomcaption"/>
      </w:pPr>
      <w:r w:rsidRPr="00F171A3">
        <w:rPr>
          <w:noProof/>
        </w:rPr>
        <w:drawing>
          <wp:inline distT="0" distB="0" distL="0" distR="0" wp14:anchorId="4154BD6D" wp14:editId="6AF3C57A">
            <wp:extent cx="5943600" cy="2987040"/>
            <wp:effectExtent l="0" t="0" r="0" b="3810"/>
            <wp:docPr id="46"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0DB7C46A" w14:textId="373B2FC6" w:rsidR="00161769" w:rsidRPr="00F171A3" w:rsidRDefault="00161769" w:rsidP="0046391E">
      <w:pPr>
        <w:jc w:val="right"/>
        <w:rPr>
          <w:color w:val="BFBFBF" w:themeColor="background1" w:themeShade="BF"/>
        </w:rPr>
      </w:pPr>
      <w:r w:rsidRPr="00F171A3">
        <w:rPr>
          <w:color w:val="BFBFBF" w:themeColor="background1" w:themeShade="BF"/>
        </w:rPr>
        <w:t xml:space="preserve">Sursa. Prelucrare proprie pe baza </w:t>
      </w:r>
      <w:r w:rsidR="0060613A" w:rsidRPr="00F171A3">
        <w:rPr>
          <w:color w:val="BFBFBF" w:themeColor="background1" w:themeShade="BF"/>
        </w:rPr>
        <w:t>chestionarului</w:t>
      </w:r>
      <w:r w:rsidRPr="00F171A3">
        <w:rPr>
          <w:color w:val="BFBFBF" w:themeColor="background1" w:themeShade="BF"/>
        </w:rPr>
        <w:t xml:space="preserve"> aplicat mediului de afaceri din Sectorul 2</w:t>
      </w:r>
    </w:p>
    <w:p w14:paraId="65F00C78" w14:textId="77777777" w:rsidR="00983F17" w:rsidRPr="00F171A3" w:rsidRDefault="00983F17" w:rsidP="00983F17"/>
    <w:p w14:paraId="5DF6E1F6" w14:textId="2A966010" w:rsidR="00161769" w:rsidRPr="00F171A3" w:rsidRDefault="001E0A0F" w:rsidP="00161769">
      <w:pPr>
        <w:pStyle w:val="Heading3"/>
        <w:rPr>
          <w:lang w:val="ro-RO"/>
        </w:rPr>
      </w:pPr>
      <w:bookmarkStart w:id="217" w:name="_Toc127199278"/>
      <w:r w:rsidRPr="00F171A3">
        <w:rPr>
          <w:caps w:val="0"/>
          <w:lang w:val="ro-RO"/>
        </w:rPr>
        <w:t>STRUCTURA ECONOMIEI LOCALE ȘI SECTOARE CU POTENȚIAL DE SPECIALIZARE</w:t>
      </w:r>
      <w:bookmarkEnd w:id="217"/>
    </w:p>
    <w:p w14:paraId="634770D5" w14:textId="77777777" w:rsidR="00161769" w:rsidRPr="00F171A3" w:rsidRDefault="00161769" w:rsidP="00161769">
      <w:r w:rsidRPr="00F171A3">
        <w:t>Pe ramuri economice, în anul 2020, 52% din totalul cifrei de afaceri a firmelor din Sectorul 2 era generat de către firmele din sectorul comerțului, urmând la mare distanță domeniile inovative și moderne, precum IT&amp;C (9%) și intermedieri financiare (9%). Sectorul construcțiilor și industria prelucrătoare generau circa 6%. Cele mai mici contribuții erau înregistrate de către firmele din industria extractivă, învățământ, activități de spectacole și recreative și HORECA. Contribuția modestă a acestor domenii poate fi explicată de numărul mic de firme din domeniu și de valoarea adăugată redusă generată de firmele respective.</w:t>
      </w:r>
    </w:p>
    <w:p w14:paraId="46C08CBF" w14:textId="77777777" w:rsidR="00161769" w:rsidRPr="00F171A3" w:rsidRDefault="00161769" w:rsidP="00161769">
      <w:r w:rsidRPr="00F171A3">
        <w:t>Totuși, aceste date trebuie interpretate ținând cont că raportarea cifrei de afaceri face referire la sediul firmei, fără a lua în considerare că o pentru o bună parte din firme, activitatea are loc și în alte județe ale țării, cum ar fi de exemplu lanțurile de supermarket-uri din sectorul comerțului, sau a firmelor din domeniul IT&amp;C care au filiale și în alte orașe, în special în centrele universitare ale țării, unde există forță de muncă înalt calificată.</w:t>
      </w:r>
    </w:p>
    <w:p w14:paraId="48A0CF83" w14:textId="452ECD1C" w:rsidR="00161769" w:rsidRPr="00F171A3" w:rsidRDefault="00161769" w:rsidP="00161769">
      <w:r w:rsidRPr="00F171A3">
        <w:t>În perioada 2014-2020, cele mai dinamice sectoare economice din Sectorul 2 în funcție de evoluția cifrei de afaceri în moneda națională au fost: transporturi aeriene (+10.720%), ca urmare a stabilirii de sediu a unor companii aeriene și ca a creșterii volumului de încasări a companiilor cu sediul în Sectorul 2 (CARGO BUDDY SOLUTIONS SRL, FLYWORLD CONSULTING SRL); Captarea, tratarea și distribuția apei (+2.854%); telecomunicații (+550%), fabricarea altor mijloace de transport (+533%; NEXTEAM GROUP ROMANIA SRL, HIGH PERFORMANCE STRUCTURES INOVATIE SI DEZVOLTARE SRL, GLOCAL TAG SRL, etc.) activități de servicii privind forța de muncă (+434%), activități de servicii sociale fără cazare (+283%), lucrări speciale de construcții (+223%), etc. Totuși, aceste creșteri trebuie interpretate luând în considerare și rata inflației în perioada respectivă. De asemenea, creșterea cifrei de afaceri în domeniile profesiilor liberale (IT&amp;C, servicii suport, asistență socială) indică o atractivitate a acestor domenii, în care și câștigul salarial tinde să fie superior mediei naționale.</w:t>
      </w:r>
    </w:p>
    <w:p w14:paraId="5C45A55C" w14:textId="43B47972" w:rsidR="00161769" w:rsidRPr="00F171A3" w:rsidRDefault="00161769" w:rsidP="00161769">
      <w:pPr>
        <w:pStyle w:val="Caption"/>
      </w:pPr>
      <w:bookmarkStart w:id="218" w:name="_Toc127198064"/>
      <w:r w:rsidRPr="00F171A3">
        <w:t xml:space="preserve">Figura </w:t>
      </w:r>
      <w:r w:rsidRPr="00F171A3">
        <w:fldChar w:fldCharType="begin"/>
      </w:r>
      <w:r w:rsidRPr="00F171A3">
        <w:instrText xml:space="preserve"> SEQ Figura \* ARABIC </w:instrText>
      </w:r>
      <w:r w:rsidRPr="00F171A3">
        <w:fldChar w:fldCharType="separate"/>
      </w:r>
      <w:r w:rsidR="005A6DD8">
        <w:rPr>
          <w:noProof/>
        </w:rPr>
        <w:t>76</w:t>
      </w:r>
      <w:r w:rsidRPr="00F171A3">
        <w:fldChar w:fldCharType="end"/>
      </w:r>
      <w:r w:rsidRPr="00F171A3">
        <w:t xml:space="preserve"> Ponderea ramurilor economice în totalul cifrei de afaceri din sectorul 2, în anul 2020</w:t>
      </w:r>
      <w:bookmarkEnd w:id="218"/>
    </w:p>
    <w:p w14:paraId="76E5B347" w14:textId="77777777" w:rsidR="00161769" w:rsidRPr="00F171A3" w:rsidRDefault="00161769" w:rsidP="00161769">
      <w:r w:rsidRPr="00F171A3">
        <w:rPr>
          <w:noProof/>
        </w:rPr>
        <w:drawing>
          <wp:inline distT="0" distB="0" distL="0" distR="0" wp14:anchorId="24EBD315" wp14:editId="060D868D">
            <wp:extent cx="6134100" cy="5629275"/>
            <wp:effectExtent l="0" t="0" r="0" b="0"/>
            <wp:docPr id="86" name="Chart 25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651BAA78"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7167AB36" w14:textId="77777777" w:rsidR="00161769" w:rsidRPr="00F171A3" w:rsidRDefault="00161769" w:rsidP="00161769">
      <w:r w:rsidRPr="00F171A3">
        <w:t>Cele mai multe firme din Sectorul 2 activau în domeniul comerțului, peste 7.366 de unități (29,2%), urmând sectorul activităților profesionale, științifice și tehnice, cu 4.840 de firme (19,2%), IT&amp;C – 2.126 (8,4%), construcții – 2.035 (8,1%). De partea cealaltă, cele mai puține firme erau înregistrate în ramuri economice precum: industria extractivă, o ramură care a înregistrat un puternic declin în ultimii ani, sectorul energetic, distribuția apei, agricultură, etc. Dacă activitățile agricole nu sunt reprezentative mediului urban, atunci în cazul celorlalte ramuri numărul de firme redus este explicat de natura domeniilor, unde activează mari companii de stat și intrarea unor firme mici pe piață este foarte dificilă.</w:t>
      </w:r>
    </w:p>
    <w:p w14:paraId="31202CDB" w14:textId="6099111A" w:rsidR="00161769" w:rsidRPr="00F171A3" w:rsidRDefault="00161769" w:rsidP="00161769">
      <w:r w:rsidRPr="00F171A3">
        <w:t xml:space="preserve">Totodată, cele mai dinamice sectoare din perspectiva numărului de întreprinderi active au fost cele din sfera serviciilor intensive în cunoaștere: IT&amp;C, </w:t>
      </w:r>
      <w:r w:rsidR="008A1AFD" w:rsidRPr="00F171A3">
        <w:t>sănătate</w:t>
      </w:r>
      <w:r w:rsidRPr="00F171A3">
        <w:t xml:space="preserve">, activități diverse profesionale, științifice și tehnice, ceea ce indică o tendință de transformare a economiei locale. Totuși, sectorul comerțului se află de asemenea în creștere, cel puțin după numărul de salariați, însă creșterea este mai redusă comparativ cu tendința ce poate fi observată în cazul sectorului IT&amp;C.  </w:t>
      </w:r>
    </w:p>
    <w:p w14:paraId="3A659950" w14:textId="181F1A59" w:rsidR="00161769" w:rsidRPr="00F171A3" w:rsidRDefault="00161769" w:rsidP="00161769">
      <w:pPr>
        <w:pStyle w:val="Caption"/>
      </w:pPr>
      <w:bookmarkStart w:id="219" w:name="_Toc126943282"/>
      <w:r w:rsidRPr="00F171A3">
        <w:t xml:space="preserve">Tabel </w:t>
      </w:r>
      <w:r w:rsidRPr="00F171A3">
        <w:fldChar w:fldCharType="begin"/>
      </w:r>
      <w:r w:rsidRPr="00F171A3">
        <w:instrText xml:space="preserve"> SEQ Tabel \* ARABIC </w:instrText>
      </w:r>
      <w:r w:rsidRPr="00F171A3">
        <w:fldChar w:fldCharType="separate"/>
      </w:r>
      <w:r w:rsidR="005A6DD8">
        <w:rPr>
          <w:noProof/>
        </w:rPr>
        <w:t>25</w:t>
      </w:r>
      <w:r w:rsidRPr="00F171A3">
        <w:fldChar w:fldCharType="end"/>
      </w:r>
      <w:r w:rsidRPr="00F171A3">
        <w:t xml:space="preserve"> Clasamentul sectoarelor economice cu peste 500 de întreprinderi active în anul 2020, Sectorul 2</w:t>
      </w:r>
      <w:bookmarkEnd w:id="219"/>
    </w:p>
    <w:tbl>
      <w:tblPr>
        <w:tblStyle w:val="Civittatable"/>
        <w:tblW w:w="0" w:type="auto"/>
        <w:tblLook w:val="04A0" w:firstRow="1" w:lastRow="0" w:firstColumn="1" w:lastColumn="0" w:noHBand="0" w:noVBand="1"/>
      </w:tblPr>
      <w:tblGrid>
        <w:gridCol w:w="3993"/>
        <w:gridCol w:w="2664"/>
        <w:gridCol w:w="2665"/>
      </w:tblGrid>
      <w:tr w:rsidR="00161769" w:rsidRPr="00F171A3" w14:paraId="054DD99B" w14:textId="77777777" w:rsidTr="00F31936">
        <w:trPr>
          <w:cnfStyle w:val="100000000000" w:firstRow="1" w:lastRow="0" w:firstColumn="0" w:lastColumn="0" w:oddVBand="0" w:evenVBand="0" w:oddHBand="0" w:evenHBand="0" w:firstRowFirstColumn="0" w:firstRowLastColumn="0" w:lastRowFirstColumn="0" w:lastRowLastColumn="0"/>
        </w:trPr>
        <w:tc>
          <w:tcPr>
            <w:tcW w:w="3993" w:type="dxa"/>
            <w:vAlign w:val="center"/>
          </w:tcPr>
          <w:p w14:paraId="66B75E0A" w14:textId="77777777" w:rsidR="00161769" w:rsidRPr="00F171A3" w:rsidRDefault="00161769" w:rsidP="00F31936">
            <w:pPr>
              <w:jc w:val="center"/>
              <w:rPr>
                <w:b/>
                <w:bCs/>
                <w:szCs w:val="20"/>
              </w:rPr>
            </w:pPr>
            <w:r w:rsidRPr="00F171A3">
              <w:rPr>
                <w:b/>
                <w:bCs/>
                <w:szCs w:val="20"/>
              </w:rPr>
              <w:t>Sector economic</w:t>
            </w:r>
          </w:p>
        </w:tc>
        <w:tc>
          <w:tcPr>
            <w:tcW w:w="2664" w:type="dxa"/>
            <w:vAlign w:val="center"/>
          </w:tcPr>
          <w:p w14:paraId="239F8684" w14:textId="77777777" w:rsidR="00161769" w:rsidRPr="00F171A3" w:rsidRDefault="00161769" w:rsidP="00F31936">
            <w:pPr>
              <w:jc w:val="center"/>
              <w:rPr>
                <w:b/>
                <w:bCs/>
                <w:szCs w:val="20"/>
              </w:rPr>
            </w:pPr>
            <w:r w:rsidRPr="00F171A3">
              <w:rPr>
                <w:b/>
                <w:bCs/>
                <w:szCs w:val="20"/>
              </w:rPr>
              <w:t>Număr întreprinderi active 2020</w:t>
            </w:r>
          </w:p>
        </w:tc>
        <w:tc>
          <w:tcPr>
            <w:tcW w:w="2665" w:type="dxa"/>
            <w:vAlign w:val="center"/>
          </w:tcPr>
          <w:p w14:paraId="39F84A79" w14:textId="77777777" w:rsidR="00161769" w:rsidRPr="00F171A3" w:rsidRDefault="00161769" w:rsidP="00F31936">
            <w:pPr>
              <w:jc w:val="center"/>
              <w:rPr>
                <w:b/>
                <w:bCs/>
                <w:szCs w:val="20"/>
              </w:rPr>
            </w:pPr>
            <w:r w:rsidRPr="00F171A3">
              <w:rPr>
                <w:b/>
                <w:bCs/>
                <w:szCs w:val="20"/>
              </w:rPr>
              <w:t>Rata de creștere 2014-2020</w:t>
            </w:r>
          </w:p>
        </w:tc>
      </w:tr>
      <w:tr w:rsidR="00161769" w:rsidRPr="00F171A3" w14:paraId="15745995"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16A1B407" w14:textId="77777777" w:rsidR="00161769" w:rsidRPr="00F171A3" w:rsidRDefault="00161769" w:rsidP="00F31936">
            <w:pPr>
              <w:rPr>
                <w:szCs w:val="20"/>
              </w:rPr>
            </w:pPr>
            <w:r w:rsidRPr="00F171A3">
              <w:rPr>
                <w:rFonts w:ascii="Calibri" w:hAnsi="Calibri" w:cs="Calibri"/>
                <w:color w:val="000000"/>
                <w:szCs w:val="20"/>
              </w:rPr>
              <w:t>46 - Comerţ cu ridicata cu excepţia comerţului cu autovehicule şi motociclete</w:t>
            </w:r>
          </w:p>
        </w:tc>
        <w:tc>
          <w:tcPr>
            <w:tcW w:w="2664" w:type="dxa"/>
            <w:vAlign w:val="bottom"/>
          </w:tcPr>
          <w:p w14:paraId="5484242B" w14:textId="77777777" w:rsidR="00161769" w:rsidRPr="00F171A3" w:rsidRDefault="00161769" w:rsidP="00F31936">
            <w:pPr>
              <w:jc w:val="center"/>
              <w:rPr>
                <w:szCs w:val="18"/>
              </w:rPr>
            </w:pPr>
            <w:r w:rsidRPr="00F171A3">
              <w:rPr>
                <w:rFonts w:ascii="Calibri" w:hAnsi="Calibri" w:cs="Calibri"/>
                <w:color w:val="000000"/>
                <w:szCs w:val="20"/>
              </w:rPr>
              <w:t>3522</w:t>
            </w:r>
          </w:p>
        </w:tc>
        <w:tc>
          <w:tcPr>
            <w:tcW w:w="2665" w:type="dxa"/>
            <w:vAlign w:val="bottom"/>
          </w:tcPr>
          <w:p w14:paraId="6C6C653A" w14:textId="77777777" w:rsidR="00161769" w:rsidRPr="00F171A3" w:rsidRDefault="00161769" w:rsidP="00F31936">
            <w:pPr>
              <w:jc w:val="center"/>
              <w:rPr>
                <w:szCs w:val="18"/>
              </w:rPr>
            </w:pPr>
            <w:r w:rsidRPr="00F171A3">
              <w:rPr>
                <w:rFonts w:ascii="Calibri" w:hAnsi="Calibri" w:cs="Calibri"/>
                <w:color w:val="000000"/>
                <w:szCs w:val="20"/>
              </w:rPr>
              <w:t>-17.0%</w:t>
            </w:r>
          </w:p>
        </w:tc>
      </w:tr>
      <w:tr w:rsidR="00161769" w:rsidRPr="00F171A3" w14:paraId="760D6D3E"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2B9D782E" w14:textId="77777777" w:rsidR="00161769" w:rsidRPr="00F171A3" w:rsidRDefault="00161769" w:rsidP="00F31936">
            <w:pPr>
              <w:rPr>
                <w:szCs w:val="20"/>
              </w:rPr>
            </w:pPr>
            <w:r w:rsidRPr="00F171A3">
              <w:rPr>
                <w:rFonts w:ascii="Calibri" w:hAnsi="Calibri" w:cs="Calibri"/>
                <w:color w:val="000000"/>
                <w:szCs w:val="20"/>
              </w:rPr>
              <w:t>47 - Comerţ cu amănuntul cu excepţia autovehiculelor şi motocicletelor</w:t>
            </w:r>
          </w:p>
        </w:tc>
        <w:tc>
          <w:tcPr>
            <w:tcW w:w="2664" w:type="dxa"/>
            <w:vAlign w:val="bottom"/>
          </w:tcPr>
          <w:p w14:paraId="53184863" w14:textId="77777777" w:rsidR="00161769" w:rsidRPr="00F171A3" w:rsidRDefault="00161769" w:rsidP="00F31936">
            <w:pPr>
              <w:jc w:val="center"/>
              <w:rPr>
                <w:szCs w:val="18"/>
              </w:rPr>
            </w:pPr>
            <w:r w:rsidRPr="00F171A3">
              <w:rPr>
                <w:rFonts w:ascii="Calibri" w:hAnsi="Calibri" w:cs="Calibri"/>
                <w:color w:val="000000"/>
                <w:szCs w:val="20"/>
              </w:rPr>
              <w:t>3257</w:t>
            </w:r>
          </w:p>
        </w:tc>
        <w:tc>
          <w:tcPr>
            <w:tcW w:w="2665" w:type="dxa"/>
            <w:vAlign w:val="bottom"/>
          </w:tcPr>
          <w:p w14:paraId="659DE956" w14:textId="77777777" w:rsidR="00161769" w:rsidRPr="00F171A3" w:rsidRDefault="00161769" w:rsidP="00F31936">
            <w:pPr>
              <w:jc w:val="center"/>
              <w:rPr>
                <w:szCs w:val="18"/>
              </w:rPr>
            </w:pPr>
            <w:r w:rsidRPr="00F171A3">
              <w:rPr>
                <w:rFonts w:ascii="Calibri" w:hAnsi="Calibri" w:cs="Calibri"/>
                <w:color w:val="000000"/>
                <w:szCs w:val="20"/>
              </w:rPr>
              <w:t>1.6%</w:t>
            </w:r>
          </w:p>
        </w:tc>
      </w:tr>
      <w:tr w:rsidR="00161769" w:rsidRPr="00F171A3" w14:paraId="72BE7895"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7C24DE07" w14:textId="77777777" w:rsidR="00161769" w:rsidRPr="00F171A3" w:rsidRDefault="00161769" w:rsidP="00F31936">
            <w:pPr>
              <w:rPr>
                <w:szCs w:val="20"/>
              </w:rPr>
            </w:pPr>
            <w:r w:rsidRPr="00F171A3">
              <w:rPr>
                <w:rFonts w:ascii="Calibri" w:hAnsi="Calibri" w:cs="Calibri"/>
                <w:color w:val="000000"/>
                <w:szCs w:val="20"/>
              </w:rPr>
              <w:t>70 - Activităţi ale direcţiilor(centralelor) birourilor administrative centralizate; activităţi de management şi de consultanţă în management</w:t>
            </w:r>
          </w:p>
        </w:tc>
        <w:tc>
          <w:tcPr>
            <w:tcW w:w="2664" w:type="dxa"/>
            <w:vAlign w:val="bottom"/>
          </w:tcPr>
          <w:p w14:paraId="2D66B226" w14:textId="77777777" w:rsidR="00161769" w:rsidRPr="00F171A3" w:rsidRDefault="00161769" w:rsidP="00F31936">
            <w:pPr>
              <w:jc w:val="center"/>
              <w:rPr>
                <w:szCs w:val="18"/>
              </w:rPr>
            </w:pPr>
            <w:r w:rsidRPr="00F171A3">
              <w:rPr>
                <w:rFonts w:ascii="Calibri" w:hAnsi="Calibri" w:cs="Calibri"/>
                <w:color w:val="000000"/>
                <w:szCs w:val="20"/>
              </w:rPr>
              <w:t>1397</w:t>
            </w:r>
          </w:p>
        </w:tc>
        <w:tc>
          <w:tcPr>
            <w:tcW w:w="2665" w:type="dxa"/>
            <w:vAlign w:val="bottom"/>
          </w:tcPr>
          <w:p w14:paraId="57CD1C2B" w14:textId="77777777" w:rsidR="00161769" w:rsidRPr="00F171A3" w:rsidRDefault="00161769" w:rsidP="00F31936">
            <w:pPr>
              <w:jc w:val="center"/>
              <w:rPr>
                <w:szCs w:val="18"/>
              </w:rPr>
            </w:pPr>
            <w:r w:rsidRPr="00F171A3">
              <w:rPr>
                <w:rFonts w:ascii="Calibri" w:hAnsi="Calibri" w:cs="Calibri"/>
                <w:color w:val="000000"/>
                <w:szCs w:val="20"/>
              </w:rPr>
              <w:t>-3.9%</w:t>
            </w:r>
          </w:p>
        </w:tc>
      </w:tr>
      <w:tr w:rsidR="00161769" w:rsidRPr="00F171A3" w14:paraId="7B575875"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1024D99A" w14:textId="77777777" w:rsidR="00161769" w:rsidRPr="00F171A3" w:rsidRDefault="00161769" w:rsidP="00F31936">
            <w:pPr>
              <w:rPr>
                <w:szCs w:val="20"/>
              </w:rPr>
            </w:pPr>
            <w:r w:rsidRPr="00F171A3">
              <w:rPr>
                <w:rFonts w:ascii="Calibri" w:hAnsi="Calibri" w:cs="Calibri"/>
                <w:color w:val="000000"/>
                <w:szCs w:val="20"/>
              </w:rPr>
              <w:t>71 - Activităţi de arhitectură şi inginerie; activităţi de testări şi analiză tehnică</w:t>
            </w:r>
          </w:p>
        </w:tc>
        <w:tc>
          <w:tcPr>
            <w:tcW w:w="2664" w:type="dxa"/>
            <w:vAlign w:val="bottom"/>
          </w:tcPr>
          <w:p w14:paraId="70BCAAF4" w14:textId="77777777" w:rsidR="00161769" w:rsidRPr="00F171A3" w:rsidRDefault="00161769" w:rsidP="00F31936">
            <w:pPr>
              <w:jc w:val="center"/>
              <w:rPr>
                <w:szCs w:val="18"/>
              </w:rPr>
            </w:pPr>
            <w:r w:rsidRPr="00F171A3">
              <w:rPr>
                <w:rFonts w:ascii="Calibri" w:hAnsi="Calibri" w:cs="Calibri"/>
                <w:color w:val="000000"/>
                <w:szCs w:val="20"/>
              </w:rPr>
              <w:t>1195</w:t>
            </w:r>
          </w:p>
        </w:tc>
        <w:tc>
          <w:tcPr>
            <w:tcW w:w="2665" w:type="dxa"/>
            <w:vAlign w:val="bottom"/>
          </w:tcPr>
          <w:p w14:paraId="10F753D2" w14:textId="77777777" w:rsidR="00161769" w:rsidRPr="00F171A3" w:rsidRDefault="00161769" w:rsidP="00F31936">
            <w:pPr>
              <w:jc w:val="center"/>
              <w:rPr>
                <w:szCs w:val="18"/>
              </w:rPr>
            </w:pPr>
            <w:r w:rsidRPr="00F171A3">
              <w:rPr>
                <w:rFonts w:ascii="Calibri" w:hAnsi="Calibri" w:cs="Calibri"/>
                <w:color w:val="000000"/>
                <w:szCs w:val="20"/>
              </w:rPr>
              <w:t>16.7%</w:t>
            </w:r>
          </w:p>
        </w:tc>
      </w:tr>
      <w:tr w:rsidR="00161769" w:rsidRPr="00F171A3" w14:paraId="63B880B0"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60E9710B" w14:textId="77777777" w:rsidR="00161769" w:rsidRPr="00F171A3" w:rsidRDefault="00161769" w:rsidP="00F31936">
            <w:pPr>
              <w:rPr>
                <w:szCs w:val="20"/>
              </w:rPr>
            </w:pPr>
            <w:r w:rsidRPr="00F171A3">
              <w:rPr>
                <w:rFonts w:ascii="Calibri" w:hAnsi="Calibri" w:cs="Calibri"/>
                <w:color w:val="000000"/>
                <w:szCs w:val="20"/>
              </w:rPr>
              <w:t>68 - Tranzacţii imobiliare</w:t>
            </w:r>
          </w:p>
        </w:tc>
        <w:tc>
          <w:tcPr>
            <w:tcW w:w="2664" w:type="dxa"/>
            <w:vAlign w:val="bottom"/>
          </w:tcPr>
          <w:p w14:paraId="76A2AC9A" w14:textId="77777777" w:rsidR="00161769" w:rsidRPr="00F171A3" w:rsidRDefault="00161769" w:rsidP="00F31936">
            <w:pPr>
              <w:jc w:val="center"/>
              <w:rPr>
                <w:szCs w:val="18"/>
              </w:rPr>
            </w:pPr>
            <w:r w:rsidRPr="00F171A3">
              <w:rPr>
                <w:rFonts w:ascii="Calibri" w:hAnsi="Calibri" w:cs="Calibri"/>
                <w:color w:val="000000"/>
                <w:szCs w:val="20"/>
              </w:rPr>
              <w:t>1150</w:t>
            </w:r>
          </w:p>
        </w:tc>
        <w:tc>
          <w:tcPr>
            <w:tcW w:w="2665" w:type="dxa"/>
            <w:vAlign w:val="bottom"/>
          </w:tcPr>
          <w:p w14:paraId="59C48894" w14:textId="77777777" w:rsidR="00161769" w:rsidRPr="00F171A3" w:rsidRDefault="00161769" w:rsidP="00F31936">
            <w:pPr>
              <w:jc w:val="center"/>
              <w:rPr>
                <w:szCs w:val="18"/>
              </w:rPr>
            </w:pPr>
            <w:r w:rsidRPr="00F171A3">
              <w:rPr>
                <w:rFonts w:ascii="Calibri" w:hAnsi="Calibri" w:cs="Calibri"/>
                <w:color w:val="000000"/>
                <w:szCs w:val="20"/>
              </w:rPr>
              <w:t>24.7%</w:t>
            </w:r>
          </w:p>
        </w:tc>
      </w:tr>
      <w:tr w:rsidR="00161769" w:rsidRPr="00F171A3" w14:paraId="6EEE995F"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382DC17F" w14:textId="77777777" w:rsidR="00161769" w:rsidRPr="00F171A3" w:rsidRDefault="00161769" w:rsidP="00F31936">
            <w:pPr>
              <w:rPr>
                <w:szCs w:val="20"/>
              </w:rPr>
            </w:pPr>
            <w:r w:rsidRPr="00F171A3">
              <w:rPr>
                <w:rFonts w:ascii="Calibri" w:hAnsi="Calibri" w:cs="Calibri"/>
                <w:color w:val="000000"/>
                <w:szCs w:val="20"/>
              </w:rPr>
              <w:t>41 - Construcţii de clădiri</w:t>
            </w:r>
          </w:p>
        </w:tc>
        <w:tc>
          <w:tcPr>
            <w:tcW w:w="2664" w:type="dxa"/>
            <w:vAlign w:val="bottom"/>
          </w:tcPr>
          <w:p w14:paraId="4E64EBA5" w14:textId="77777777" w:rsidR="00161769" w:rsidRPr="00F171A3" w:rsidRDefault="00161769" w:rsidP="00F31936">
            <w:pPr>
              <w:jc w:val="center"/>
              <w:rPr>
                <w:szCs w:val="18"/>
              </w:rPr>
            </w:pPr>
            <w:r w:rsidRPr="00F171A3">
              <w:rPr>
                <w:rFonts w:ascii="Calibri" w:hAnsi="Calibri" w:cs="Calibri"/>
                <w:color w:val="000000"/>
                <w:szCs w:val="20"/>
              </w:rPr>
              <w:t>1148</w:t>
            </w:r>
          </w:p>
        </w:tc>
        <w:tc>
          <w:tcPr>
            <w:tcW w:w="2665" w:type="dxa"/>
            <w:vAlign w:val="bottom"/>
          </w:tcPr>
          <w:p w14:paraId="10B0EFDD" w14:textId="77777777" w:rsidR="00161769" w:rsidRPr="00F171A3" w:rsidRDefault="00161769" w:rsidP="00F31936">
            <w:pPr>
              <w:jc w:val="center"/>
              <w:rPr>
                <w:szCs w:val="18"/>
              </w:rPr>
            </w:pPr>
            <w:r w:rsidRPr="00F171A3">
              <w:rPr>
                <w:rFonts w:ascii="Calibri" w:hAnsi="Calibri" w:cs="Calibri"/>
                <w:color w:val="000000"/>
                <w:szCs w:val="20"/>
              </w:rPr>
              <w:t>37.2%</w:t>
            </w:r>
          </w:p>
        </w:tc>
      </w:tr>
      <w:tr w:rsidR="00161769" w:rsidRPr="00F171A3" w14:paraId="64603A97"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527EB22B" w14:textId="77777777" w:rsidR="00161769" w:rsidRPr="00F171A3" w:rsidRDefault="00161769" w:rsidP="00F31936">
            <w:pPr>
              <w:rPr>
                <w:szCs w:val="20"/>
              </w:rPr>
            </w:pPr>
            <w:r w:rsidRPr="00F171A3">
              <w:rPr>
                <w:rFonts w:ascii="Calibri" w:hAnsi="Calibri" w:cs="Calibri"/>
                <w:color w:val="000000"/>
                <w:szCs w:val="20"/>
              </w:rPr>
              <w:t>62 - Activităţi de servicii în tehnologia informaţiei</w:t>
            </w:r>
          </w:p>
        </w:tc>
        <w:tc>
          <w:tcPr>
            <w:tcW w:w="2664" w:type="dxa"/>
            <w:vAlign w:val="bottom"/>
          </w:tcPr>
          <w:p w14:paraId="618601BF" w14:textId="77777777" w:rsidR="00161769" w:rsidRPr="00F171A3" w:rsidRDefault="00161769" w:rsidP="00F31936">
            <w:pPr>
              <w:jc w:val="center"/>
              <w:rPr>
                <w:szCs w:val="18"/>
              </w:rPr>
            </w:pPr>
            <w:r w:rsidRPr="00F171A3">
              <w:rPr>
                <w:rFonts w:ascii="Calibri" w:hAnsi="Calibri" w:cs="Calibri"/>
                <w:color w:val="000000"/>
                <w:szCs w:val="20"/>
              </w:rPr>
              <w:t>1050</w:t>
            </w:r>
          </w:p>
        </w:tc>
        <w:tc>
          <w:tcPr>
            <w:tcW w:w="2665" w:type="dxa"/>
            <w:shd w:val="clear" w:color="auto" w:fill="ABCD3A" w:themeFill="accent5"/>
            <w:vAlign w:val="bottom"/>
          </w:tcPr>
          <w:p w14:paraId="6CFDEC54" w14:textId="77777777" w:rsidR="00161769" w:rsidRPr="00F171A3" w:rsidRDefault="00161769" w:rsidP="00F31936">
            <w:pPr>
              <w:jc w:val="center"/>
              <w:rPr>
                <w:szCs w:val="18"/>
              </w:rPr>
            </w:pPr>
            <w:r w:rsidRPr="00F171A3">
              <w:rPr>
                <w:rFonts w:ascii="Calibri" w:hAnsi="Calibri" w:cs="Calibri"/>
                <w:color w:val="000000"/>
                <w:szCs w:val="20"/>
              </w:rPr>
              <w:t>60.6%</w:t>
            </w:r>
          </w:p>
        </w:tc>
      </w:tr>
      <w:tr w:rsidR="00161769" w:rsidRPr="00F171A3" w14:paraId="743D4A4D"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5AB4983B" w14:textId="77777777" w:rsidR="00161769" w:rsidRPr="00F171A3" w:rsidRDefault="00161769" w:rsidP="00F31936">
            <w:pPr>
              <w:rPr>
                <w:szCs w:val="20"/>
              </w:rPr>
            </w:pPr>
            <w:r w:rsidRPr="00F171A3">
              <w:rPr>
                <w:rFonts w:ascii="Calibri" w:hAnsi="Calibri" w:cs="Calibri"/>
                <w:color w:val="000000"/>
                <w:szCs w:val="20"/>
              </w:rPr>
              <w:t>86 - Activităţi referitoare la sănătatea umană</w:t>
            </w:r>
          </w:p>
        </w:tc>
        <w:tc>
          <w:tcPr>
            <w:tcW w:w="2664" w:type="dxa"/>
            <w:vAlign w:val="bottom"/>
          </w:tcPr>
          <w:p w14:paraId="5D41066B" w14:textId="77777777" w:rsidR="00161769" w:rsidRPr="00F171A3" w:rsidRDefault="00161769" w:rsidP="00F31936">
            <w:pPr>
              <w:jc w:val="center"/>
              <w:rPr>
                <w:szCs w:val="18"/>
              </w:rPr>
            </w:pPr>
            <w:r w:rsidRPr="00F171A3">
              <w:rPr>
                <w:rFonts w:ascii="Calibri" w:hAnsi="Calibri" w:cs="Calibri"/>
                <w:color w:val="000000"/>
                <w:szCs w:val="20"/>
              </w:rPr>
              <w:t>914</w:t>
            </w:r>
          </w:p>
        </w:tc>
        <w:tc>
          <w:tcPr>
            <w:tcW w:w="2665" w:type="dxa"/>
            <w:shd w:val="clear" w:color="auto" w:fill="ABCD3A" w:themeFill="accent5"/>
            <w:vAlign w:val="bottom"/>
          </w:tcPr>
          <w:p w14:paraId="22A021CC" w14:textId="77777777" w:rsidR="00161769" w:rsidRPr="00F171A3" w:rsidRDefault="00161769" w:rsidP="00F31936">
            <w:pPr>
              <w:jc w:val="center"/>
              <w:rPr>
                <w:szCs w:val="18"/>
              </w:rPr>
            </w:pPr>
            <w:r w:rsidRPr="00F171A3">
              <w:rPr>
                <w:rFonts w:ascii="Calibri" w:hAnsi="Calibri" w:cs="Calibri"/>
                <w:color w:val="000000"/>
                <w:szCs w:val="20"/>
              </w:rPr>
              <w:t>62.1%</w:t>
            </w:r>
          </w:p>
        </w:tc>
      </w:tr>
      <w:tr w:rsidR="00161769" w:rsidRPr="00F171A3" w14:paraId="72E1F5ED"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6E5858D7" w14:textId="77777777" w:rsidR="00161769" w:rsidRPr="00F171A3" w:rsidRDefault="00161769" w:rsidP="00F31936">
            <w:pPr>
              <w:rPr>
                <w:szCs w:val="20"/>
              </w:rPr>
            </w:pPr>
            <w:r w:rsidRPr="00F171A3">
              <w:rPr>
                <w:rFonts w:ascii="Calibri" w:hAnsi="Calibri" w:cs="Calibri"/>
                <w:color w:val="000000"/>
                <w:szCs w:val="20"/>
              </w:rPr>
              <w:t>73 - Publicitate şi activităţi de studiere a pieţei</w:t>
            </w:r>
          </w:p>
        </w:tc>
        <w:tc>
          <w:tcPr>
            <w:tcW w:w="2664" w:type="dxa"/>
            <w:vAlign w:val="bottom"/>
          </w:tcPr>
          <w:p w14:paraId="4E552D76" w14:textId="77777777" w:rsidR="00161769" w:rsidRPr="00F171A3" w:rsidRDefault="00161769" w:rsidP="00F31936">
            <w:pPr>
              <w:jc w:val="center"/>
              <w:rPr>
                <w:szCs w:val="18"/>
              </w:rPr>
            </w:pPr>
            <w:r w:rsidRPr="00F171A3">
              <w:rPr>
                <w:rFonts w:ascii="Calibri" w:hAnsi="Calibri" w:cs="Calibri"/>
                <w:color w:val="000000"/>
                <w:szCs w:val="20"/>
              </w:rPr>
              <w:t>855</w:t>
            </w:r>
          </w:p>
        </w:tc>
        <w:tc>
          <w:tcPr>
            <w:tcW w:w="2665" w:type="dxa"/>
            <w:vAlign w:val="bottom"/>
          </w:tcPr>
          <w:p w14:paraId="34BDDD5D" w14:textId="77777777" w:rsidR="00161769" w:rsidRPr="00F171A3" w:rsidRDefault="00161769" w:rsidP="00F31936">
            <w:pPr>
              <w:jc w:val="center"/>
              <w:rPr>
                <w:szCs w:val="18"/>
              </w:rPr>
            </w:pPr>
            <w:r w:rsidRPr="00F171A3">
              <w:rPr>
                <w:rFonts w:ascii="Calibri" w:hAnsi="Calibri" w:cs="Calibri"/>
                <w:color w:val="000000"/>
                <w:szCs w:val="20"/>
              </w:rPr>
              <w:t>3.8%</w:t>
            </w:r>
          </w:p>
        </w:tc>
      </w:tr>
      <w:tr w:rsidR="00161769" w:rsidRPr="00F171A3" w14:paraId="0808170B"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61A46754" w14:textId="77777777" w:rsidR="00161769" w:rsidRPr="00F171A3" w:rsidRDefault="00161769" w:rsidP="00F31936">
            <w:pPr>
              <w:rPr>
                <w:szCs w:val="20"/>
              </w:rPr>
            </w:pPr>
            <w:r w:rsidRPr="00F171A3">
              <w:rPr>
                <w:rFonts w:ascii="Calibri" w:hAnsi="Calibri" w:cs="Calibri"/>
                <w:color w:val="000000"/>
                <w:szCs w:val="20"/>
              </w:rPr>
              <w:t>49 - Transporturi terestre şi transporturi prin conducte</w:t>
            </w:r>
          </w:p>
        </w:tc>
        <w:tc>
          <w:tcPr>
            <w:tcW w:w="2664" w:type="dxa"/>
            <w:vAlign w:val="bottom"/>
          </w:tcPr>
          <w:p w14:paraId="7B1CE072" w14:textId="77777777" w:rsidR="00161769" w:rsidRPr="00F171A3" w:rsidRDefault="00161769" w:rsidP="00F31936">
            <w:pPr>
              <w:jc w:val="center"/>
              <w:rPr>
                <w:szCs w:val="18"/>
              </w:rPr>
            </w:pPr>
            <w:r w:rsidRPr="00F171A3">
              <w:rPr>
                <w:rFonts w:ascii="Calibri" w:hAnsi="Calibri" w:cs="Calibri"/>
                <w:color w:val="000000"/>
                <w:szCs w:val="20"/>
              </w:rPr>
              <w:t>833</w:t>
            </w:r>
          </w:p>
        </w:tc>
        <w:tc>
          <w:tcPr>
            <w:tcW w:w="2665" w:type="dxa"/>
            <w:shd w:val="clear" w:color="auto" w:fill="ABCD3A" w:themeFill="accent5"/>
            <w:vAlign w:val="bottom"/>
          </w:tcPr>
          <w:p w14:paraId="1DDB7AF0" w14:textId="77777777" w:rsidR="00161769" w:rsidRPr="00F171A3" w:rsidRDefault="00161769" w:rsidP="00F31936">
            <w:pPr>
              <w:jc w:val="center"/>
              <w:rPr>
                <w:szCs w:val="18"/>
              </w:rPr>
            </w:pPr>
            <w:r w:rsidRPr="00F171A3">
              <w:rPr>
                <w:rFonts w:ascii="Calibri" w:hAnsi="Calibri" w:cs="Calibri"/>
                <w:color w:val="000000"/>
                <w:szCs w:val="20"/>
              </w:rPr>
              <w:t>47.4%</w:t>
            </w:r>
          </w:p>
        </w:tc>
      </w:tr>
      <w:tr w:rsidR="00161769" w:rsidRPr="00F171A3" w14:paraId="5CEA1D5F"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3968A9E8" w14:textId="77777777" w:rsidR="00161769" w:rsidRPr="00F171A3" w:rsidRDefault="00161769" w:rsidP="00F31936">
            <w:pPr>
              <w:rPr>
                <w:szCs w:val="20"/>
              </w:rPr>
            </w:pPr>
            <w:r w:rsidRPr="00F171A3">
              <w:rPr>
                <w:rFonts w:ascii="Calibri" w:hAnsi="Calibri" w:cs="Calibri"/>
                <w:color w:val="000000"/>
                <w:szCs w:val="20"/>
              </w:rPr>
              <w:t>43 - Lucrări speciale de construcţii</w:t>
            </w:r>
          </w:p>
        </w:tc>
        <w:tc>
          <w:tcPr>
            <w:tcW w:w="2664" w:type="dxa"/>
            <w:vAlign w:val="bottom"/>
          </w:tcPr>
          <w:p w14:paraId="7F4B09DC" w14:textId="77777777" w:rsidR="00161769" w:rsidRPr="00F171A3" w:rsidRDefault="00161769" w:rsidP="00F31936">
            <w:pPr>
              <w:jc w:val="center"/>
              <w:rPr>
                <w:szCs w:val="18"/>
              </w:rPr>
            </w:pPr>
            <w:r w:rsidRPr="00F171A3">
              <w:rPr>
                <w:rFonts w:ascii="Calibri" w:hAnsi="Calibri" w:cs="Calibri"/>
                <w:color w:val="000000"/>
                <w:szCs w:val="20"/>
              </w:rPr>
              <w:t>801</w:t>
            </w:r>
          </w:p>
        </w:tc>
        <w:tc>
          <w:tcPr>
            <w:tcW w:w="2665" w:type="dxa"/>
            <w:vAlign w:val="bottom"/>
          </w:tcPr>
          <w:p w14:paraId="7CC6424A" w14:textId="77777777" w:rsidR="00161769" w:rsidRPr="00F171A3" w:rsidRDefault="00161769" w:rsidP="00F31936">
            <w:pPr>
              <w:jc w:val="center"/>
              <w:rPr>
                <w:szCs w:val="18"/>
              </w:rPr>
            </w:pPr>
            <w:r w:rsidRPr="00F171A3">
              <w:rPr>
                <w:rFonts w:ascii="Calibri" w:hAnsi="Calibri" w:cs="Calibri"/>
                <w:color w:val="000000"/>
                <w:szCs w:val="20"/>
              </w:rPr>
              <w:t>8.0%</w:t>
            </w:r>
          </w:p>
        </w:tc>
      </w:tr>
      <w:tr w:rsidR="00161769" w:rsidRPr="00F171A3" w14:paraId="28626461"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1C75B588" w14:textId="77777777" w:rsidR="00161769" w:rsidRPr="00F171A3" w:rsidRDefault="00161769" w:rsidP="00F31936">
            <w:pPr>
              <w:rPr>
                <w:szCs w:val="20"/>
              </w:rPr>
            </w:pPr>
            <w:r w:rsidRPr="00F171A3">
              <w:rPr>
                <w:rFonts w:ascii="Calibri" w:hAnsi="Calibri" w:cs="Calibri"/>
                <w:color w:val="000000"/>
                <w:szCs w:val="20"/>
              </w:rPr>
              <w:t>69 - Activităţi juridice şi de contabilitate</w:t>
            </w:r>
          </w:p>
        </w:tc>
        <w:tc>
          <w:tcPr>
            <w:tcW w:w="2664" w:type="dxa"/>
            <w:vAlign w:val="bottom"/>
          </w:tcPr>
          <w:p w14:paraId="6AC1EB16" w14:textId="77777777" w:rsidR="00161769" w:rsidRPr="00F171A3" w:rsidRDefault="00161769" w:rsidP="00F31936">
            <w:pPr>
              <w:jc w:val="center"/>
              <w:rPr>
                <w:szCs w:val="18"/>
              </w:rPr>
            </w:pPr>
            <w:r w:rsidRPr="00F171A3">
              <w:rPr>
                <w:rFonts w:ascii="Calibri" w:hAnsi="Calibri" w:cs="Calibri"/>
                <w:color w:val="000000"/>
                <w:szCs w:val="20"/>
              </w:rPr>
              <w:t>638</w:t>
            </w:r>
          </w:p>
        </w:tc>
        <w:tc>
          <w:tcPr>
            <w:tcW w:w="2665" w:type="dxa"/>
            <w:vAlign w:val="bottom"/>
          </w:tcPr>
          <w:p w14:paraId="2C648C2D" w14:textId="77777777" w:rsidR="00161769" w:rsidRPr="00F171A3" w:rsidRDefault="00161769" w:rsidP="00F31936">
            <w:pPr>
              <w:jc w:val="center"/>
              <w:rPr>
                <w:szCs w:val="18"/>
              </w:rPr>
            </w:pPr>
            <w:r w:rsidRPr="00F171A3">
              <w:rPr>
                <w:rFonts w:ascii="Calibri" w:hAnsi="Calibri" w:cs="Calibri"/>
                <w:color w:val="000000"/>
                <w:szCs w:val="20"/>
              </w:rPr>
              <w:t>8.0%</w:t>
            </w:r>
          </w:p>
        </w:tc>
      </w:tr>
      <w:tr w:rsidR="00161769" w:rsidRPr="00F171A3" w14:paraId="5CE2F71A"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61B1A265" w14:textId="77777777" w:rsidR="00161769" w:rsidRPr="00F171A3" w:rsidRDefault="00161769" w:rsidP="00F31936">
            <w:pPr>
              <w:rPr>
                <w:szCs w:val="20"/>
              </w:rPr>
            </w:pPr>
            <w:r w:rsidRPr="00F171A3">
              <w:rPr>
                <w:rFonts w:ascii="Calibri" w:hAnsi="Calibri" w:cs="Calibri"/>
                <w:color w:val="000000"/>
                <w:szCs w:val="20"/>
              </w:rPr>
              <w:t>56 - Restaurante şi alte activităţi de servicii de alimentaţie</w:t>
            </w:r>
          </w:p>
        </w:tc>
        <w:tc>
          <w:tcPr>
            <w:tcW w:w="2664" w:type="dxa"/>
            <w:vAlign w:val="bottom"/>
          </w:tcPr>
          <w:p w14:paraId="76AFEFA1" w14:textId="77777777" w:rsidR="00161769" w:rsidRPr="00F171A3" w:rsidRDefault="00161769" w:rsidP="00F31936">
            <w:pPr>
              <w:jc w:val="center"/>
              <w:rPr>
                <w:szCs w:val="18"/>
              </w:rPr>
            </w:pPr>
            <w:r w:rsidRPr="00F171A3">
              <w:rPr>
                <w:rFonts w:ascii="Calibri" w:hAnsi="Calibri" w:cs="Calibri"/>
                <w:color w:val="000000"/>
                <w:szCs w:val="20"/>
              </w:rPr>
              <w:t>618</w:t>
            </w:r>
          </w:p>
        </w:tc>
        <w:tc>
          <w:tcPr>
            <w:tcW w:w="2665" w:type="dxa"/>
            <w:vAlign w:val="bottom"/>
          </w:tcPr>
          <w:p w14:paraId="5688E5C1" w14:textId="77777777" w:rsidR="00161769" w:rsidRPr="00F171A3" w:rsidRDefault="00161769" w:rsidP="00F31936">
            <w:pPr>
              <w:jc w:val="center"/>
              <w:rPr>
                <w:szCs w:val="18"/>
              </w:rPr>
            </w:pPr>
            <w:r w:rsidRPr="00F171A3">
              <w:rPr>
                <w:rFonts w:ascii="Calibri" w:hAnsi="Calibri" w:cs="Calibri"/>
                <w:color w:val="000000"/>
                <w:szCs w:val="20"/>
              </w:rPr>
              <w:t>12.6%</w:t>
            </w:r>
          </w:p>
        </w:tc>
      </w:tr>
      <w:tr w:rsidR="00161769" w:rsidRPr="00F171A3" w14:paraId="0CBDC6A4"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0A2E800F" w14:textId="77777777" w:rsidR="00161769" w:rsidRPr="00F171A3" w:rsidRDefault="00161769" w:rsidP="00F31936">
            <w:pPr>
              <w:rPr>
                <w:szCs w:val="20"/>
              </w:rPr>
            </w:pPr>
            <w:r w:rsidRPr="00F171A3">
              <w:rPr>
                <w:rFonts w:ascii="Calibri" w:hAnsi="Calibri" w:cs="Calibri"/>
                <w:color w:val="000000"/>
                <w:szCs w:val="20"/>
              </w:rPr>
              <w:t>74 - Alte activităţi profesionale stiinţifice şi tehnice</w:t>
            </w:r>
          </w:p>
        </w:tc>
        <w:tc>
          <w:tcPr>
            <w:tcW w:w="2664" w:type="dxa"/>
            <w:vAlign w:val="bottom"/>
          </w:tcPr>
          <w:p w14:paraId="34F36A3C" w14:textId="77777777" w:rsidR="00161769" w:rsidRPr="00F171A3" w:rsidRDefault="00161769" w:rsidP="00F31936">
            <w:pPr>
              <w:jc w:val="center"/>
              <w:rPr>
                <w:szCs w:val="18"/>
              </w:rPr>
            </w:pPr>
            <w:r w:rsidRPr="00F171A3">
              <w:rPr>
                <w:rFonts w:ascii="Calibri" w:hAnsi="Calibri" w:cs="Calibri"/>
                <w:color w:val="000000"/>
                <w:szCs w:val="20"/>
              </w:rPr>
              <w:t>616</w:t>
            </w:r>
          </w:p>
        </w:tc>
        <w:tc>
          <w:tcPr>
            <w:tcW w:w="2665" w:type="dxa"/>
            <w:shd w:val="clear" w:color="auto" w:fill="ABCD3A" w:themeFill="accent5"/>
            <w:vAlign w:val="bottom"/>
          </w:tcPr>
          <w:p w14:paraId="793F4EC5" w14:textId="77777777" w:rsidR="00161769" w:rsidRPr="00F171A3" w:rsidRDefault="00161769" w:rsidP="00F31936">
            <w:pPr>
              <w:jc w:val="center"/>
              <w:rPr>
                <w:szCs w:val="18"/>
              </w:rPr>
            </w:pPr>
            <w:r w:rsidRPr="00F171A3">
              <w:rPr>
                <w:rFonts w:ascii="Calibri" w:hAnsi="Calibri" w:cs="Calibri"/>
                <w:color w:val="000000"/>
                <w:szCs w:val="20"/>
              </w:rPr>
              <w:t>67.4%</w:t>
            </w:r>
          </w:p>
        </w:tc>
      </w:tr>
      <w:tr w:rsidR="00161769" w:rsidRPr="00F171A3" w14:paraId="74000FAC"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677A4AC8" w14:textId="77777777" w:rsidR="00161769" w:rsidRPr="00F171A3" w:rsidRDefault="00161769" w:rsidP="00F31936">
            <w:pPr>
              <w:rPr>
                <w:szCs w:val="20"/>
              </w:rPr>
            </w:pPr>
            <w:r w:rsidRPr="00F171A3">
              <w:rPr>
                <w:rFonts w:ascii="Calibri" w:hAnsi="Calibri" w:cs="Calibri"/>
                <w:color w:val="000000"/>
                <w:szCs w:val="20"/>
              </w:rPr>
              <w:t>45 - Comerţ cu ridicata şi cu amănuntul întreţinerea şi repararea autovehiculelor şi a motocicletelor</w:t>
            </w:r>
          </w:p>
        </w:tc>
        <w:tc>
          <w:tcPr>
            <w:tcW w:w="2664" w:type="dxa"/>
            <w:vAlign w:val="bottom"/>
          </w:tcPr>
          <w:p w14:paraId="5993C641" w14:textId="77777777" w:rsidR="00161769" w:rsidRPr="00F171A3" w:rsidRDefault="00161769" w:rsidP="00F31936">
            <w:pPr>
              <w:jc w:val="center"/>
              <w:rPr>
                <w:szCs w:val="18"/>
              </w:rPr>
            </w:pPr>
            <w:r w:rsidRPr="00F171A3">
              <w:rPr>
                <w:rFonts w:ascii="Calibri" w:hAnsi="Calibri" w:cs="Calibri"/>
                <w:color w:val="000000"/>
                <w:szCs w:val="20"/>
              </w:rPr>
              <w:t>587</w:t>
            </w:r>
          </w:p>
        </w:tc>
        <w:tc>
          <w:tcPr>
            <w:tcW w:w="2665" w:type="dxa"/>
            <w:vAlign w:val="bottom"/>
          </w:tcPr>
          <w:p w14:paraId="15297F29" w14:textId="77777777" w:rsidR="00161769" w:rsidRPr="00F171A3" w:rsidRDefault="00161769" w:rsidP="00F31936">
            <w:pPr>
              <w:jc w:val="center"/>
              <w:rPr>
                <w:szCs w:val="18"/>
              </w:rPr>
            </w:pPr>
            <w:r w:rsidRPr="00F171A3">
              <w:rPr>
                <w:rFonts w:ascii="Calibri" w:hAnsi="Calibri" w:cs="Calibri"/>
                <w:color w:val="000000"/>
                <w:szCs w:val="20"/>
              </w:rPr>
              <w:t>15.6%</w:t>
            </w:r>
          </w:p>
        </w:tc>
      </w:tr>
      <w:tr w:rsidR="00161769" w:rsidRPr="00F171A3" w14:paraId="485E2725"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41663A23" w14:textId="77777777" w:rsidR="00161769" w:rsidRPr="00F171A3" w:rsidRDefault="00161769" w:rsidP="00F31936">
            <w:pPr>
              <w:rPr>
                <w:szCs w:val="20"/>
              </w:rPr>
            </w:pPr>
            <w:r w:rsidRPr="00F171A3">
              <w:rPr>
                <w:rFonts w:ascii="Calibri" w:hAnsi="Calibri" w:cs="Calibri"/>
                <w:color w:val="000000"/>
                <w:szCs w:val="20"/>
              </w:rPr>
              <w:t>82 - Activităţi de secretariat servicii suport şi alte activităţi de servicii prestate în principal întreprinderilor</w:t>
            </w:r>
          </w:p>
        </w:tc>
        <w:tc>
          <w:tcPr>
            <w:tcW w:w="2664" w:type="dxa"/>
            <w:vAlign w:val="bottom"/>
          </w:tcPr>
          <w:p w14:paraId="09D125E9" w14:textId="77777777" w:rsidR="00161769" w:rsidRPr="00F171A3" w:rsidRDefault="00161769" w:rsidP="00F31936">
            <w:pPr>
              <w:jc w:val="center"/>
              <w:rPr>
                <w:szCs w:val="18"/>
              </w:rPr>
            </w:pPr>
            <w:r w:rsidRPr="00F171A3">
              <w:rPr>
                <w:rFonts w:ascii="Calibri" w:hAnsi="Calibri" w:cs="Calibri"/>
                <w:color w:val="000000"/>
                <w:szCs w:val="20"/>
              </w:rPr>
              <w:t>509</w:t>
            </w:r>
          </w:p>
        </w:tc>
        <w:tc>
          <w:tcPr>
            <w:tcW w:w="2665" w:type="dxa"/>
            <w:vAlign w:val="bottom"/>
          </w:tcPr>
          <w:p w14:paraId="37A82347" w14:textId="77777777" w:rsidR="00161769" w:rsidRPr="00F171A3" w:rsidRDefault="00161769" w:rsidP="00F31936">
            <w:pPr>
              <w:jc w:val="center"/>
              <w:rPr>
                <w:szCs w:val="18"/>
              </w:rPr>
            </w:pPr>
            <w:r w:rsidRPr="00F171A3">
              <w:rPr>
                <w:rFonts w:ascii="Calibri" w:hAnsi="Calibri" w:cs="Calibri"/>
                <w:color w:val="000000"/>
                <w:szCs w:val="20"/>
              </w:rPr>
              <w:t>18.1%</w:t>
            </w:r>
          </w:p>
        </w:tc>
      </w:tr>
    </w:tbl>
    <w:p w14:paraId="5F1093CD"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1A0305C1" w14:textId="77777777" w:rsidR="00161769" w:rsidRPr="00F171A3" w:rsidRDefault="00161769" w:rsidP="00161769">
      <w:r w:rsidRPr="00F171A3">
        <w:t>Conform INS, în anul 2020, la nivel de ramuri economice, cei mai mulți salariați din întreprinderile active din Sectorul 2 lucrau în subramura comerțului (26%), urmând sectorul transporturilor (13%), IT&amp;C (12%), activități de servicii administrative și servicii suport (11%), activități profesionale, științifice și tehnice (7%). Comparativ cu municipiul București, la nivelul Sectorului 2 era înregistrată o pondere mai mare a numărului de salariați în domeniul comerțului, serviciilor administrative și suport, IT&amp;C, transporturilor și depozitării. Pe de altă parte, la nivelul Capitalei a fost înregistrat o pondere superioară a angajaților în domeniile: sănătății și asistenței sociale, învățământului, activităților profesionale, științifice și tehnice, administrației publice, construcțiilor, etc. În linii generale, structura ponderii ramurilor economice în totalul numărului de angajați din Sectorul 2 este relativ asemănătoare cu cea înregistrată la nivelul Capitalei, existând diferențe cauzate de localizarea unor angajatori privați sau publici (instituții publice cu număr mare de personal, universități, spitale, etc.) în diverse sectoare.</w:t>
      </w:r>
    </w:p>
    <w:p w14:paraId="01006E45" w14:textId="42FDA340" w:rsidR="00161769" w:rsidRPr="00F171A3" w:rsidRDefault="00161769" w:rsidP="00161769">
      <w:pPr>
        <w:pStyle w:val="Caption"/>
      </w:pPr>
      <w:bookmarkStart w:id="220" w:name="_Toc127198065"/>
      <w:r w:rsidRPr="00F171A3">
        <w:t xml:space="preserve">Figura </w:t>
      </w:r>
      <w:r w:rsidRPr="00F171A3">
        <w:fldChar w:fldCharType="begin"/>
      </w:r>
      <w:r w:rsidRPr="00F171A3">
        <w:instrText xml:space="preserve"> SEQ Figura \* ARABIC </w:instrText>
      </w:r>
      <w:r w:rsidRPr="00F171A3">
        <w:fldChar w:fldCharType="separate"/>
      </w:r>
      <w:r w:rsidR="005A6DD8">
        <w:rPr>
          <w:noProof/>
        </w:rPr>
        <w:t>77</w:t>
      </w:r>
      <w:r w:rsidRPr="00F171A3">
        <w:fldChar w:fldCharType="end"/>
      </w:r>
      <w:r w:rsidRPr="00F171A3">
        <w:t xml:space="preserve"> Numărul de salariați din întreprinderile active din sectorul 2, pe secțiuni CAEN, la nivelul anului 2020</w:t>
      </w:r>
      <w:bookmarkEnd w:id="220"/>
    </w:p>
    <w:p w14:paraId="0893068A" w14:textId="77777777" w:rsidR="00161769" w:rsidRPr="00F171A3" w:rsidRDefault="00161769" w:rsidP="0046391E">
      <w:pPr>
        <w:jc w:val="center"/>
      </w:pPr>
      <w:r w:rsidRPr="00F171A3">
        <w:rPr>
          <w:noProof/>
        </w:rPr>
        <w:drawing>
          <wp:inline distT="0" distB="0" distL="0" distR="0" wp14:anchorId="4FEF925C" wp14:editId="014DBFEA">
            <wp:extent cx="5925787" cy="4180114"/>
            <wp:effectExtent l="0" t="0" r="0" b="0"/>
            <wp:docPr id="89" name="Chart 25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0B6E9BD4"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2D5CBBC4" w14:textId="77777777" w:rsidR="00161769" w:rsidRPr="00F171A3" w:rsidRDefault="00161769" w:rsidP="00161769">
      <w:r w:rsidRPr="00F171A3">
        <w:t xml:space="preserve">După numărul de salariați, IT&amp;C, serviciile, construcțiile și comerțul reprezintă cele mai dinamice sectoare care antrenează o pondere importantă a salariaților din Sectorul 2. Totodată, cele 16 sectoare din tabelul de mai jos concentrează aproape 76% din totalul salariaților, indicând potențialul de dezvoltare al sectoarelor comerț, transport&amp;logistică și IT&amp;C. Acest fapt creează premise favorabile de dezvoltare în continuare pentru Sectorul 2. </w:t>
      </w:r>
    </w:p>
    <w:p w14:paraId="599C22AF" w14:textId="77777777" w:rsidR="00161769" w:rsidRPr="00F171A3" w:rsidRDefault="00161769" w:rsidP="00161769">
      <w:r w:rsidRPr="00F171A3">
        <w:t xml:space="preserve">De asemenea, este importantă mențiunea metodologică cu referire la următoarele domenii: </w:t>
      </w:r>
      <w:r w:rsidRPr="00F171A3">
        <w:rPr>
          <w:i/>
          <w:iCs/>
        </w:rPr>
        <w:t>Comerţ cu amănuntul cu excepţia autovehiculelor şi motocicletelor</w:t>
      </w:r>
      <w:r w:rsidRPr="00F171A3">
        <w:t xml:space="preserve">, unde numărul foarte mare de angajați se datorează și lanțurilor de market-uri Kaufland și Carrefour, care au sediul social în Sectorul 2, și reunesc peste 23.000 de angajați împreună. Deși aceștia sunt angajați care activează în diverse puncte din țară, raportarea statistică are loc la sediul social al întreprinderii, ceea ce distorsionează datele statistice; </w:t>
      </w:r>
      <w:r w:rsidRPr="00F171A3">
        <w:rPr>
          <w:i/>
          <w:iCs/>
        </w:rPr>
        <w:t>Activități de poștă și curier</w:t>
      </w:r>
      <w:r w:rsidRPr="00F171A3">
        <w:t xml:space="preserve">, unde numărul mare de angajați se datorează Poștei Române, care este și cel mai mare angajator din Sectorul 2 și firmei Fan Courier – una dintre cele mai mari firme de curierat din țară. În aceeași categorie se încadrează și domeniul </w:t>
      </w:r>
      <w:r w:rsidRPr="00F171A3">
        <w:rPr>
          <w:i/>
          <w:iCs/>
        </w:rPr>
        <w:t>Silvicultură și exploatare forestieră</w:t>
      </w:r>
      <w:r w:rsidRPr="00F171A3">
        <w:t>, unde cei peste 15.000 de angajați din Sectorul 2 sunt raportați la sediul ROMSILVA, în sector practic lipsind activități economice din acest domeniu.</w:t>
      </w:r>
    </w:p>
    <w:p w14:paraId="55EB78EA" w14:textId="385DF25B" w:rsidR="00161769" w:rsidRPr="00F171A3" w:rsidRDefault="00161769" w:rsidP="00161769">
      <w:pPr>
        <w:pStyle w:val="Caption"/>
      </w:pPr>
      <w:bookmarkStart w:id="221" w:name="_Toc126943283"/>
      <w:r w:rsidRPr="00F171A3">
        <w:t xml:space="preserve">Tabel </w:t>
      </w:r>
      <w:r w:rsidRPr="00F171A3">
        <w:fldChar w:fldCharType="begin"/>
      </w:r>
      <w:r w:rsidRPr="00F171A3">
        <w:instrText xml:space="preserve"> SEQ Tabel \* ARABIC </w:instrText>
      </w:r>
      <w:r w:rsidRPr="00F171A3">
        <w:fldChar w:fldCharType="separate"/>
      </w:r>
      <w:r w:rsidR="005A6DD8">
        <w:rPr>
          <w:noProof/>
        </w:rPr>
        <w:t>26</w:t>
      </w:r>
      <w:r w:rsidRPr="00F171A3">
        <w:fldChar w:fldCharType="end"/>
      </w:r>
      <w:r w:rsidRPr="00F171A3">
        <w:t xml:space="preserve"> Clasamentul primelor 15 sectoare economice după numărul mediu de salariați, 2020</w:t>
      </w:r>
      <w:bookmarkEnd w:id="221"/>
    </w:p>
    <w:tbl>
      <w:tblPr>
        <w:tblStyle w:val="Civittatable"/>
        <w:tblW w:w="0" w:type="auto"/>
        <w:tblLook w:val="04A0" w:firstRow="1" w:lastRow="0" w:firstColumn="1" w:lastColumn="0" w:noHBand="0" w:noVBand="1"/>
      </w:tblPr>
      <w:tblGrid>
        <w:gridCol w:w="3993"/>
        <w:gridCol w:w="2664"/>
        <w:gridCol w:w="2665"/>
      </w:tblGrid>
      <w:tr w:rsidR="00161769" w:rsidRPr="00F171A3" w14:paraId="0BE5937C" w14:textId="77777777" w:rsidTr="00F31936">
        <w:trPr>
          <w:cnfStyle w:val="100000000000" w:firstRow="1" w:lastRow="0" w:firstColumn="0" w:lastColumn="0" w:oddVBand="0" w:evenVBand="0" w:oddHBand="0" w:evenHBand="0" w:firstRowFirstColumn="0" w:firstRowLastColumn="0" w:lastRowFirstColumn="0" w:lastRowLastColumn="0"/>
        </w:trPr>
        <w:tc>
          <w:tcPr>
            <w:tcW w:w="3993" w:type="dxa"/>
            <w:vAlign w:val="center"/>
          </w:tcPr>
          <w:p w14:paraId="458A895E" w14:textId="77777777" w:rsidR="00161769" w:rsidRPr="00F171A3" w:rsidRDefault="00161769" w:rsidP="00F31936">
            <w:pPr>
              <w:jc w:val="center"/>
              <w:rPr>
                <w:b/>
                <w:bCs/>
                <w:szCs w:val="20"/>
              </w:rPr>
            </w:pPr>
            <w:r w:rsidRPr="00F171A3">
              <w:rPr>
                <w:b/>
                <w:bCs/>
                <w:szCs w:val="20"/>
              </w:rPr>
              <w:t>Sector economic</w:t>
            </w:r>
          </w:p>
        </w:tc>
        <w:tc>
          <w:tcPr>
            <w:tcW w:w="2664" w:type="dxa"/>
            <w:vAlign w:val="center"/>
          </w:tcPr>
          <w:p w14:paraId="6EC4A540" w14:textId="77777777" w:rsidR="00161769" w:rsidRPr="00F171A3" w:rsidRDefault="00161769" w:rsidP="00F31936">
            <w:pPr>
              <w:jc w:val="center"/>
              <w:rPr>
                <w:b/>
                <w:bCs/>
                <w:szCs w:val="20"/>
              </w:rPr>
            </w:pPr>
            <w:r w:rsidRPr="00F171A3">
              <w:rPr>
                <w:b/>
                <w:bCs/>
                <w:szCs w:val="20"/>
              </w:rPr>
              <w:t>Număr mediu salariați 2020</w:t>
            </w:r>
          </w:p>
        </w:tc>
        <w:tc>
          <w:tcPr>
            <w:tcW w:w="2665" w:type="dxa"/>
            <w:vAlign w:val="center"/>
          </w:tcPr>
          <w:p w14:paraId="09047ABE" w14:textId="77777777" w:rsidR="00161769" w:rsidRPr="00F171A3" w:rsidRDefault="00161769" w:rsidP="00F31936">
            <w:pPr>
              <w:jc w:val="center"/>
              <w:rPr>
                <w:b/>
                <w:bCs/>
                <w:szCs w:val="20"/>
              </w:rPr>
            </w:pPr>
            <w:r w:rsidRPr="00F171A3">
              <w:rPr>
                <w:b/>
                <w:bCs/>
                <w:szCs w:val="20"/>
              </w:rPr>
              <w:t>Rata de creștere 2014-2020</w:t>
            </w:r>
          </w:p>
        </w:tc>
      </w:tr>
      <w:tr w:rsidR="00161769" w:rsidRPr="00F171A3" w14:paraId="7C81B004"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0157A1F7" w14:textId="77777777" w:rsidR="00161769" w:rsidRPr="00F171A3" w:rsidRDefault="00161769" w:rsidP="00F31936">
            <w:pPr>
              <w:rPr>
                <w:szCs w:val="20"/>
              </w:rPr>
            </w:pPr>
            <w:r w:rsidRPr="00F171A3">
              <w:rPr>
                <w:rFonts w:ascii="Calibri" w:hAnsi="Calibri" w:cs="Calibri"/>
                <w:color w:val="000000"/>
                <w:szCs w:val="20"/>
              </w:rPr>
              <w:t>47 - Comerţ cu amănuntul cu excepţia autovehiculelor şi motocicletelor</w:t>
            </w:r>
          </w:p>
        </w:tc>
        <w:tc>
          <w:tcPr>
            <w:tcW w:w="2664" w:type="dxa"/>
            <w:vAlign w:val="bottom"/>
          </w:tcPr>
          <w:p w14:paraId="19ED30C3" w14:textId="77777777" w:rsidR="00161769" w:rsidRPr="00F171A3" w:rsidRDefault="00161769" w:rsidP="00F31936">
            <w:pPr>
              <w:jc w:val="center"/>
              <w:rPr>
                <w:szCs w:val="18"/>
              </w:rPr>
            </w:pPr>
            <w:r w:rsidRPr="00F171A3">
              <w:rPr>
                <w:rFonts w:ascii="Calibri" w:hAnsi="Calibri" w:cs="Calibri"/>
                <w:color w:val="000000"/>
                <w:szCs w:val="20"/>
              </w:rPr>
              <w:t xml:space="preserve">43,910 </w:t>
            </w:r>
          </w:p>
        </w:tc>
        <w:tc>
          <w:tcPr>
            <w:tcW w:w="2665" w:type="dxa"/>
            <w:shd w:val="clear" w:color="auto" w:fill="ABCD3A" w:themeFill="accent5"/>
            <w:vAlign w:val="bottom"/>
          </w:tcPr>
          <w:p w14:paraId="3B746CE0" w14:textId="77777777" w:rsidR="00161769" w:rsidRPr="00F171A3" w:rsidRDefault="00161769" w:rsidP="00F31936">
            <w:pPr>
              <w:jc w:val="center"/>
              <w:rPr>
                <w:szCs w:val="18"/>
              </w:rPr>
            </w:pPr>
            <w:r w:rsidRPr="00F171A3">
              <w:rPr>
                <w:rFonts w:ascii="Calibri" w:hAnsi="Calibri" w:cs="Calibri"/>
                <w:color w:val="000000"/>
                <w:szCs w:val="20"/>
              </w:rPr>
              <w:t>49.5%</w:t>
            </w:r>
          </w:p>
        </w:tc>
      </w:tr>
      <w:tr w:rsidR="00161769" w:rsidRPr="00F171A3" w14:paraId="43DAC957"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164A7B7F" w14:textId="77777777" w:rsidR="00161769" w:rsidRPr="00F171A3" w:rsidRDefault="00161769" w:rsidP="00F31936">
            <w:pPr>
              <w:rPr>
                <w:szCs w:val="20"/>
              </w:rPr>
            </w:pPr>
            <w:r w:rsidRPr="00F171A3">
              <w:rPr>
                <w:rFonts w:ascii="Calibri" w:hAnsi="Calibri" w:cs="Calibri"/>
                <w:color w:val="000000"/>
                <w:szCs w:val="20"/>
              </w:rPr>
              <w:t>53 - Activităţi de poştă şi de curier</w:t>
            </w:r>
          </w:p>
        </w:tc>
        <w:tc>
          <w:tcPr>
            <w:tcW w:w="2664" w:type="dxa"/>
            <w:vAlign w:val="bottom"/>
          </w:tcPr>
          <w:p w14:paraId="42707C4C" w14:textId="77777777" w:rsidR="00161769" w:rsidRPr="00F171A3" w:rsidRDefault="00161769" w:rsidP="00F31936">
            <w:pPr>
              <w:jc w:val="center"/>
              <w:rPr>
                <w:szCs w:val="18"/>
              </w:rPr>
            </w:pPr>
            <w:r w:rsidRPr="00F171A3">
              <w:rPr>
                <w:rFonts w:ascii="Calibri" w:hAnsi="Calibri" w:cs="Calibri"/>
                <w:color w:val="000000"/>
                <w:szCs w:val="20"/>
              </w:rPr>
              <w:t xml:space="preserve">26,425 </w:t>
            </w:r>
          </w:p>
        </w:tc>
        <w:tc>
          <w:tcPr>
            <w:tcW w:w="2665" w:type="dxa"/>
            <w:vAlign w:val="bottom"/>
          </w:tcPr>
          <w:p w14:paraId="705D3C2F" w14:textId="77777777" w:rsidR="00161769" w:rsidRPr="00F171A3" w:rsidRDefault="00161769" w:rsidP="00F31936">
            <w:pPr>
              <w:jc w:val="center"/>
              <w:rPr>
                <w:szCs w:val="18"/>
              </w:rPr>
            </w:pPr>
            <w:r w:rsidRPr="00F171A3">
              <w:rPr>
                <w:rFonts w:ascii="Calibri" w:hAnsi="Calibri" w:cs="Calibri"/>
                <w:color w:val="000000"/>
                <w:szCs w:val="20"/>
              </w:rPr>
              <w:t>-2.6%</w:t>
            </w:r>
          </w:p>
        </w:tc>
      </w:tr>
      <w:tr w:rsidR="00161769" w:rsidRPr="00F171A3" w14:paraId="796B763B"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3B6AE898" w14:textId="77777777" w:rsidR="00161769" w:rsidRPr="00F171A3" w:rsidRDefault="00161769" w:rsidP="00F31936">
            <w:pPr>
              <w:rPr>
                <w:szCs w:val="20"/>
              </w:rPr>
            </w:pPr>
            <w:r w:rsidRPr="00F171A3">
              <w:rPr>
                <w:rFonts w:ascii="Calibri" w:hAnsi="Calibri" w:cs="Calibri"/>
                <w:color w:val="000000"/>
                <w:szCs w:val="20"/>
              </w:rPr>
              <w:t>46 - Comerţ cu ridicata cu excepţia comerţului cu autovehicule şi motociclete</w:t>
            </w:r>
          </w:p>
        </w:tc>
        <w:tc>
          <w:tcPr>
            <w:tcW w:w="2664" w:type="dxa"/>
            <w:vAlign w:val="bottom"/>
          </w:tcPr>
          <w:p w14:paraId="0F69EED5" w14:textId="77777777" w:rsidR="00161769" w:rsidRPr="00F171A3" w:rsidRDefault="00161769" w:rsidP="00F31936">
            <w:pPr>
              <w:jc w:val="center"/>
              <w:rPr>
                <w:szCs w:val="18"/>
              </w:rPr>
            </w:pPr>
            <w:r w:rsidRPr="00F171A3">
              <w:rPr>
                <w:rFonts w:ascii="Calibri" w:hAnsi="Calibri" w:cs="Calibri"/>
                <w:color w:val="000000"/>
                <w:szCs w:val="20"/>
              </w:rPr>
              <w:t xml:space="preserve">18,518 </w:t>
            </w:r>
          </w:p>
        </w:tc>
        <w:tc>
          <w:tcPr>
            <w:tcW w:w="2665" w:type="dxa"/>
            <w:vAlign w:val="bottom"/>
          </w:tcPr>
          <w:p w14:paraId="6DFC0C29" w14:textId="77777777" w:rsidR="00161769" w:rsidRPr="00F171A3" w:rsidRDefault="00161769" w:rsidP="00F31936">
            <w:pPr>
              <w:jc w:val="center"/>
              <w:rPr>
                <w:szCs w:val="18"/>
              </w:rPr>
            </w:pPr>
            <w:r w:rsidRPr="00F171A3">
              <w:rPr>
                <w:rFonts w:ascii="Calibri" w:hAnsi="Calibri" w:cs="Calibri"/>
                <w:color w:val="000000"/>
                <w:szCs w:val="20"/>
              </w:rPr>
              <w:t>0.0%</w:t>
            </w:r>
          </w:p>
        </w:tc>
      </w:tr>
      <w:tr w:rsidR="00161769" w:rsidRPr="00F171A3" w14:paraId="3D6ED0E6"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2AA3A0A8" w14:textId="77777777" w:rsidR="00161769" w:rsidRPr="00F171A3" w:rsidRDefault="00161769" w:rsidP="00F31936">
            <w:pPr>
              <w:rPr>
                <w:szCs w:val="20"/>
              </w:rPr>
            </w:pPr>
            <w:r w:rsidRPr="00F171A3">
              <w:rPr>
                <w:rFonts w:ascii="Calibri" w:hAnsi="Calibri" w:cs="Calibri"/>
                <w:color w:val="000000"/>
                <w:szCs w:val="20"/>
              </w:rPr>
              <w:t>62 - Activităţi de servicii în tehnologia informaţiei</w:t>
            </w:r>
          </w:p>
        </w:tc>
        <w:tc>
          <w:tcPr>
            <w:tcW w:w="2664" w:type="dxa"/>
            <w:vAlign w:val="bottom"/>
          </w:tcPr>
          <w:p w14:paraId="6257242C" w14:textId="77777777" w:rsidR="00161769" w:rsidRPr="00F171A3" w:rsidRDefault="00161769" w:rsidP="00F31936">
            <w:pPr>
              <w:jc w:val="center"/>
              <w:rPr>
                <w:szCs w:val="18"/>
              </w:rPr>
            </w:pPr>
            <w:r w:rsidRPr="00F171A3">
              <w:rPr>
                <w:rFonts w:ascii="Calibri" w:hAnsi="Calibri" w:cs="Calibri"/>
                <w:color w:val="000000"/>
                <w:szCs w:val="20"/>
              </w:rPr>
              <w:t xml:space="preserve">17,552 </w:t>
            </w:r>
          </w:p>
        </w:tc>
        <w:tc>
          <w:tcPr>
            <w:tcW w:w="2665" w:type="dxa"/>
            <w:shd w:val="clear" w:color="auto" w:fill="ABCD3A" w:themeFill="accent5"/>
            <w:vAlign w:val="bottom"/>
          </w:tcPr>
          <w:p w14:paraId="44138F57" w14:textId="77777777" w:rsidR="00161769" w:rsidRPr="00F171A3" w:rsidRDefault="00161769" w:rsidP="00F31936">
            <w:pPr>
              <w:jc w:val="center"/>
              <w:rPr>
                <w:szCs w:val="18"/>
              </w:rPr>
            </w:pPr>
            <w:r w:rsidRPr="00F171A3">
              <w:rPr>
                <w:rFonts w:ascii="Calibri" w:hAnsi="Calibri" w:cs="Calibri"/>
                <w:color w:val="000000"/>
                <w:szCs w:val="20"/>
              </w:rPr>
              <w:t>142.0%</w:t>
            </w:r>
          </w:p>
        </w:tc>
      </w:tr>
      <w:tr w:rsidR="00161769" w:rsidRPr="00F171A3" w14:paraId="2CDAFE77"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5F50EEA8" w14:textId="77777777" w:rsidR="00161769" w:rsidRPr="00F171A3" w:rsidRDefault="00161769" w:rsidP="00F31936">
            <w:pPr>
              <w:rPr>
                <w:szCs w:val="20"/>
              </w:rPr>
            </w:pPr>
            <w:r w:rsidRPr="00F171A3">
              <w:rPr>
                <w:rFonts w:ascii="Calibri" w:hAnsi="Calibri" w:cs="Calibri"/>
                <w:color w:val="000000"/>
                <w:szCs w:val="20"/>
              </w:rPr>
              <w:t>02 - Silvicultură şi exploatare forestieră</w:t>
            </w:r>
          </w:p>
        </w:tc>
        <w:tc>
          <w:tcPr>
            <w:tcW w:w="2664" w:type="dxa"/>
            <w:vAlign w:val="bottom"/>
          </w:tcPr>
          <w:p w14:paraId="3EE07A79" w14:textId="77777777" w:rsidR="00161769" w:rsidRPr="00F171A3" w:rsidRDefault="00161769" w:rsidP="00F31936">
            <w:pPr>
              <w:jc w:val="center"/>
              <w:rPr>
                <w:szCs w:val="18"/>
              </w:rPr>
            </w:pPr>
            <w:r w:rsidRPr="00F171A3">
              <w:rPr>
                <w:rFonts w:ascii="Calibri" w:hAnsi="Calibri" w:cs="Calibri"/>
                <w:color w:val="000000"/>
                <w:szCs w:val="20"/>
              </w:rPr>
              <w:t xml:space="preserve">15,272 </w:t>
            </w:r>
          </w:p>
        </w:tc>
        <w:tc>
          <w:tcPr>
            <w:tcW w:w="2665" w:type="dxa"/>
            <w:vAlign w:val="bottom"/>
          </w:tcPr>
          <w:p w14:paraId="44C74CD2" w14:textId="77777777" w:rsidR="00161769" w:rsidRPr="00F171A3" w:rsidRDefault="00161769" w:rsidP="00F31936">
            <w:pPr>
              <w:jc w:val="center"/>
              <w:rPr>
                <w:szCs w:val="18"/>
              </w:rPr>
            </w:pPr>
            <w:r w:rsidRPr="00F171A3">
              <w:rPr>
                <w:rFonts w:ascii="Calibri" w:hAnsi="Calibri" w:cs="Calibri"/>
                <w:color w:val="000000"/>
                <w:szCs w:val="20"/>
              </w:rPr>
              <w:t>-9.0%</w:t>
            </w:r>
          </w:p>
        </w:tc>
      </w:tr>
      <w:tr w:rsidR="00161769" w:rsidRPr="00F171A3" w14:paraId="66776514"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6860DD77" w14:textId="77777777" w:rsidR="00161769" w:rsidRPr="00F171A3" w:rsidRDefault="00161769" w:rsidP="00F31936">
            <w:pPr>
              <w:rPr>
                <w:szCs w:val="20"/>
              </w:rPr>
            </w:pPr>
            <w:r w:rsidRPr="00F171A3">
              <w:rPr>
                <w:rFonts w:ascii="Calibri" w:hAnsi="Calibri" w:cs="Calibri"/>
                <w:color w:val="000000"/>
                <w:szCs w:val="20"/>
              </w:rPr>
              <w:t>82 - Activităţi de secretariat servicii suport şi alte activităţi de servicii prestate în principal întreprinderilor</w:t>
            </w:r>
          </w:p>
        </w:tc>
        <w:tc>
          <w:tcPr>
            <w:tcW w:w="2664" w:type="dxa"/>
            <w:vAlign w:val="bottom"/>
          </w:tcPr>
          <w:p w14:paraId="671D0DF2" w14:textId="77777777" w:rsidR="00161769" w:rsidRPr="00F171A3" w:rsidRDefault="00161769" w:rsidP="00F31936">
            <w:pPr>
              <w:jc w:val="center"/>
              <w:rPr>
                <w:szCs w:val="18"/>
              </w:rPr>
            </w:pPr>
            <w:r w:rsidRPr="00F171A3">
              <w:rPr>
                <w:rFonts w:ascii="Calibri" w:hAnsi="Calibri" w:cs="Calibri"/>
                <w:color w:val="000000"/>
                <w:szCs w:val="20"/>
              </w:rPr>
              <w:t xml:space="preserve">12,109 </w:t>
            </w:r>
          </w:p>
        </w:tc>
        <w:tc>
          <w:tcPr>
            <w:tcW w:w="2665" w:type="dxa"/>
            <w:shd w:val="clear" w:color="auto" w:fill="ABCD3A" w:themeFill="accent5"/>
            <w:vAlign w:val="bottom"/>
          </w:tcPr>
          <w:p w14:paraId="60ACF672" w14:textId="77777777" w:rsidR="00161769" w:rsidRPr="00F171A3" w:rsidRDefault="00161769" w:rsidP="00F31936">
            <w:pPr>
              <w:jc w:val="center"/>
              <w:rPr>
                <w:szCs w:val="18"/>
              </w:rPr>
            </w:pPr>
            <w:r w:rsidRPr="00F171A3">
              <w:rPr>
                <w:rFonts w:ascii="Calibri" w:hAnsi="Calibri" w:cs="Calibri"/>
                <w:color w:val="000000"/>
                <w:szCs w:val="20"/>
              </w:rPr>
              <w:t>66.9%</w:t>
            </w:r>
          </w:p>
        </w:tc>
      </w:tr>
      <w:tr w:rsidR="00161769" w:rsidRPr="00F171A3" w14:paraId="643B0F1A"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0D6D9F2A" w14:textId="77777777" w:rsidR="00161769" w:rsidRPr="00F171A3" w:rsidRDefault="00161769" w:rsidP="00F31936">
            <w:pPr>
              <w:rPr>
                <w:szCs w:val="20"/>
              </w:rPr>
            </w:pPr>
            <w:r w:rsidRPr="00F171A3">
              <w:rPr>
                <w:rFonts w:ascii="Calibri" w:hAnsi="Calibri" w:cs="Calibri"/>
                <w:color w:val="000000"/>
                <w:szCs w:val="20"/>
              </w:rPr>
              <w:t>70 - Activităţi ale direcţiilor(centralelor) birourilor administrative centralizate; activităţi de management şi de consultanţă în management</w:t>
            </w:r>
          </w:p>
        </w:tc>
        <w:tc>
          <w:tcPr>
            <w:tcW w:w="2664" w:type="dxa"/>
            <w:vAlign w:val="bottom"/>
          </w:tcPr>
          <w:p w14:paraId="417FBB24" w14:textId="77777777" w:rsidR="00161769" w:rsidRPr="00F171A3" w:rsidRDefault="00161769" w:rsidP="00F31936">
            <w:pPr>
              <w:jc w:val="center"/>
              <w:rPr>
                <w:szCs w:val="18"/>
              </w:rPr>
            </w:pPr>
            <w:r w:rsidRPr="00F171A3">
              <w:rPr>
                <w:rFonts w:ascii="Calibri" w:hAnsi="Calibri" w:cs="Calibri"/>
                <w:color w:val="000000"/>
                <w:szCs w:val="20"/>
              </w:rPr>
              <w:t xml:space="preserve">8,143 </w:t>
            </w:r>
          </w:p>
        </w:tc>
        <w:tc>
          <w:tcPr>
            <w:tcW w:w="2665" w:type="dxa"/>
            <w:vAlign w:val="bottom"/>
          </w:tcPr>
          <w:p w14:paraId="5C3B2659" w14:textId="77777777" w:rsidR="00161769" w:rsidRPr="00F171A3" w:rsidRDefault="00161769" w:rsidP="00F31936">
            <w:pPr>
              <w:jc w:val="center"/>
              <w:rPr>
                <w:szCs w:val="18"/>
              </w:rPr>
            </w:pPr>
            <w:r w:rsidRPr="00F171A3">
              <w:rPr>
                <w:rFonts w:ascii="Calibri" w:hAnsi="Calibri" w:cs="Calibri"/>
                <w:color w:val="000000"/>
                <w:szCs w:val="20"/>
              </w:rPr>
              <w:t>32.1%</w:t>
            </w:r>
          </w:p>
        </w:tc>
      </w:tr>
      <w:tr w:rsidR="00161769" w:rsidRPr="00F171A3" w14:paraId="063FA62B"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48BF526E" w14:textId="77777777" w:rsidR="00161769" w:rsidRPr="00F171A3" w:rsidRDefault="00161769" w:rsidP="00F31936">
            <w:pPr>
              <w:rPr>
                <w:szCs w:val="20"/>
              </w:rPr>
            </w:pPr>
            <w:r w:rsidRPr="00F171A3">
              <w:rPr>
                <w:rFonts w:ascii="Calibri" w:hAnsi="Calibri" w:cs="Calibri"/>
                <w:color w:val="000000"/>
                <w:szCs w:val="20"/>
              </w:rPr>
              <w:t>41 - Construcţii de clădiri</w:t>
            </w:r>
          </w:p>
        </w:tc>
        <w:tc>
          <w:tcPr>
            <w:tcW w:w="2664" w:type="dxa"/>
            <w:vAlign w:val="bottom"/>
          </w:tcPr>
          <w:p w14:paraId="6ECA14B5" w14:textId="77777777" w:rsidR="00161769" w:rsidRPr="00F171A3" w:rsidRDefault="00161769" w:rsidP="00F31936">
            <w:pPr>
              <w:jc w:val="center"/>
              <w:rPr>
                <w:szCs w:val="18"/>
              </w:rPr>
            </w:pPr>
            <w:r w:rsidRPr="00F171A3">
              <w:rPr>
                <w:rFonts w:ascii="Calibri" w:hAnsi="Calibri" w:cs="Calibri"/>
                <w:color w:val="000000"/>
                <w:szCs w:val="20"/>
              </w:rPr>
              <w:t xml:space="preserve">8,109 </w:t>
            </w:r>
          </w:p>
        </w:tc>
        <w:tc>
          <w:tcPr>
            <w:tcW w:w="2665" w:type="dxa"/>
            <w:shd w:val="clear" w:color="auto" w:fill="ABCD3A" w:themeFill="accent5"/>
            <w:vAlign w:val="bottom"/>
          </w:tcPr>
          <w:p w14:paraId="59896049" w14:textId="77777777" w:rsidR="00161769" w:rsidRPr="00F171A3" w:rsidRDefault="00161769" w:rsidP="00F31936">
            <w:pPr>
              <w:jc w:val="center"/>
              <w:rPr>
                <w:szCs w:val="18"/>
              </w:rPr>
            </w:pPr>
            <w:r w:rsidRPr="00F171A3">
              <w:rPr>
                <w:rFonts w:ascii="Calibri" w:hAnsi="Calibri" w:cs="Calibri"/>
                <w:color w:val="000000"/>
                <w:szCs w:val="20"/>
              </w:rPr>
              <w:t>62.5%</w:t>
            </w:r>
          </w:p>
        </w:tc>
      </w:tr>
      <w:tr w:rsidR="00161769" w:rsidRPr="00F171A3" w14:paraId="7E2A4B24"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52D66456" w14:textId="77777777" w:rsidR="00161769" w:rsidRPr="00F171A3" w:rsidRDefault="00161769" w:rsidP="00F31936">
            <w:pPr>
              <w:rPr>
                <w:szCs w:val="20"/>
              </w:rPr>
            </w:pPr>
            <w:r w:rsidRPr="00F171A3">
              <w:rPr>
                <w:rFonts w:ascii="Calibri" w:hAnsi="Calibri" w:cs="Calibri"/>
                <w:color w:val="000000"/>
                <w:szCs w:val="20"/>
              </w:rPr>
              <w:t>80 - Activităţi de investigaţii şi protecţie</w:t>
            </w:r>
          </w:p>
        </w:tc>
        <w:tc>
          <w:tcPr>
            <w:tcW w:w="2664" w:type="dxa"/>
            <w:vAlign w:val="bottom"/>
          </w:tcPr>
          <w:p w14:paraId="05D4113C" w14:textId="77777777" w:rsidR="00161769" w:rsidRPr="00F171A3" w:rsidRDefault="00161769" w:rsidP="00F31936">
            <w:pPr>
              <w:jc w:val="center"/>
              <w:rPr>
                <w:szCs w:val="18"/>
              </w:rPr>
            </w:pPr>
            <w:r w:rsidRPr="00F171A3">
              <w:rPr>
                <w:rFonts w:ascii="Calibri" w:hAnsi="Calibri" w:cs="Calibri"/>
                <w:color w:val="000000"/>
                <w:szCs w:val="20"/>
              </w:rPr>
              <w:t xml:space="preserve">7,514 </w:t>
            </w:r>
          </w:p>
        </w:tc>
        <w:tc>
          <w:tcPr>
            <w:tcW w:w="2665" w:type="dxa"/>
            <w:vAlign w:val="bottom"/>
          </w:tcPr>
          <w:p w14:paraId="33A5E40B" w14:textId="77777777" w:rsidR="00161769" w:rsidRPr="00F171A3" w:rsidRDefault="00161769" w:rsidP="00F31936">
            <w:pPr>
              <w:jc w:val="center"/>
              <w:rPr>
                <w:szCs w:val="18"/>
              </w:rPr>
            </w:pPr>
            <w:r w:rsidRPr="00F171A3">
              <w:rPr>
                <w:rFonts w:ascii="Calibri" w:hAnsi="Calibri" w:cs="Calibri"/>
                <w:color w:val="000000"/>
                <w:szCs w:val="20"/>
              </w:rPr>
              <w:t>-50.9%</w:t>
            </w:r>
          </w:p>
        </w:tc>
      </w:tr>
      <w:tr w:rsidR="00161769" w:rsidRPr="00F171A3" w14:paraId="7A091762"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3791996B" w14:textId="77777777" w:rsidR="00161769" w:rsidRPr="00F171A3" w:rsidRDefault="00161769" w:rsidP="00F31936">
            <w:pPr>
              <w:rPr>
                <w:szCs w:val="20"/>
              </w:rPr>
            </w:pPr>
            <w:r w:rsidRPr="00F171A3">
              <w:rPr>
                <w:rFonts w:ascii="Calibri" w:hAnsi="Calibri" w:cs="Calibri"/>
                <w:color w:val="000000"/>
                <w:szCs w:val="20"/>
              </w:rPr>
              <w:t>61 - Telecomunicaţii</w:t>
            </w:r>
          </w:p>
        </w:tc>
        <w:tc>
          <w:tcPr>
            <w:tcW w:w="2664" w:type="dxa"/>
            <w:vAlign w:val="bottom"/>
          </w:tcPr>
          <w:p w14:paraId="67B762BA" w14:textId="77777777" w:rsidR="00161769" w:rsidRPr="00F171A3" w:rsidRDefault="00161769" w:rsidP="00F31936">
            <w:pPr>
              <w:jc w:val="center"/>
              <w:rPr>
                <w:szCs w:val="18"/>
              </w:rPr>
            </w:pPr>
            <w:r w:rsidRPr="00F171A3">
              <w:rPr>
                <w:rFonts w:ascii="Calibri" w:hAnsi="Calibri" w:cs="Calibri"/>
                <w:color w:val="000000"/>
                <w:szCs w:val="20"/>
              </w:rPr>
              <w:t xml:space="preserve">6,773 </w:t>
            </w:r>
          </w:p>
        </w:tc>
        <w:tc>
          <w:tcPr>
            <w:tcW w:w="2665" w:type="dxa"/>
            <w:shd w:val="clear" w:color="auto" w:fill="ABCD3A" w:themeFill="accent5"/>
            <w:vAlign w:val="bottom"/>
          </w:tcPr>
          <w:p w14:paraId="01537701" w14:textId="77777777" w:rsidR="00161769" w:rsidRPr="00F171A3" w:rsidRDefault="00161769" w:rsidP="00F31936">
            <w:pPr>
              <w:jc w:val="center"/>
              <w:rPr>
                <w:szCs w:val="18"/>
              </w:rPr>
            </w:pPr>
            <w:r w:rsidRPr="00F171A3">
              <w:rPr>
                <w:rFonts w:ascii="Calibri" w:hAnsi="Calibri" w:cs="Calibri"/>
                <w:color w:val="000000"/>
                <w:szCs w:val="20"/>
              </w:rPr>
              <w:t>89.5%</w:t>
            </w:r>
          </w:p>
        </w:tc>
      </w:tr>
      <w:tr w:rsidR="00161769" w:rsidRPr="00F171A3" w14:paraId="4F3920EF"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49D30962" w14:textId="77777777" w:rsidR="00161769" w:rsidRPr="00F171A3" w:rsidRDefault="00161769" w:rsidP="00F31936">
            <w:pPr>
              <w:rPr>
                <w:szCs w:val="20"/>
              </w:rPr>
            </w:pPr>
            <w:r w:rsidRPr="00F171A3">
              <w:rPr>
                <w:rFonts w:ascii="Calibri" w:hAnsi="Calibri" w:cs="Calibri"/>
                <w:color w:val="000000"/>
                <w:szCs w:val="20"/>
              </w:rPr>
              <w:t>43 - Lucrări speciale de construcţii</w:t>
            </w:r>
          </w:p>
        </w:tc>
        <w:tc>
          <w:tcPr>
            <w:tcW w:w="2664" w:type="dxa"/>
            <w:vAlign w:val="bottom"/>
          </w:tcPr>
          <w:p w14:paraId="401BC081" w14:textId="77777777" w:rsidR="00161769" w:rsidRPr="00F171A3" w:rsidRDefault="00161769" w:rsidP="00F31936">
            <w:pPr>
              <w:jc w:val="center"/>
              <w:rPr>
                <w:szCs w:val="18"/>
              </w:rPr>
            </w:pPr>
            <w:r w:rsidRPr="00F171A3">
              <w:rPr>
                <w:rFonts w:ascii="Calibri" w:hAnsi="Calibri" w:cs="Calibri"/>
                <w:color w:val="000000"/>
                <w:szCs w:val="20"/>
              </w:rPr>
              <w:t xml:space="preserve">6,495 </w:t>
            </w:r>
          </w:p>
        </w:tc>
        <w:tc>
          <w:tcPr>
            <w:tcW w:w="2665" w:type="dxa"/>
            <w:vAlign w:val="bottom"/>
          </w:tcPr>
          <w:p w14:paraId="03B4EEC8" w14:textId="77777777" w:rsidR="00161769" w:rsidRPr="00F171A3" w:rsidRDefault="00161769" w:rsidP="00F31936">
            <w:pPr>
              <w:jc w:val="center"/>
              <w:rPr>
                <w:szCs w:val="18"/>
              </w:rPr>
            </w:pPr>
            <w:r w:rsidRPr="00F171A3">
              <w:rPr>
                <w:rFonts w:ascii="Calibri" w:hAnsi="Calibri" w:cs="Calibri"/>
                <w:color w:val="000000"/>
                <w:szCs w:val="20"/>
              </w:rPr>
              <w:t>54.5%</w:t>
            </w:r>
          </w:p>
        </w:tc>
      </w:tr>
      <w:tr w:rsidR="00161769" w:rsidRPr="00F171A3" w14:paraId="65E7648D"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5DB14617" w14:textId="77777777" w:rsidR="00161769" w:rsidRPr="00F171A3" w:rsidRDefault="00161769" w:rsidP="00F31936">
            <w:pPr>
              <w:rPr>
                <w:szCs w:val="20"/>
              </w:rPr>
            </w:pPr>
            <w:r w:rsidRPr="00F171A3">
              <w:rPr>
                <w:rFonts w:ascii="Calibri" w:hAnsi="Calibri" w:cs="Calibri"/>
                <w:color w:val="000000"/>
                <w:szCs w:val="20"/>
              </w:rPr>
              <w:t>78 - Activităţi de servicii privind forţa de muncă</w:t>
            </w:r>
          </w:p>
        </w:tc>
        <w:tc>
          <w:tcPr>
            <w:tcW w:w="2664" w:type="dxa"/>
            <w:vAlign w:val="bottom"/>
          </w:tcPr>
          <w:p w14:paraId="74DAD551" w14:textId="77777777" w:rsidR="00161769" w:rsidRPr="00F171A3" w:rsidRDefault="00161769" w:rsidP="00F31936">
            <w:pPr>
              <w:jc w:val="center"/>
              <w:rPr>
                <w:szCs w:val="18"/>
              </w:rPr>
            </w:pPr>
            <w:r w:rsidRPr="00F171A3">
              <w:rPr>
                <w:rFonts w:ascii="Calibri" w:hAnsi="Calibri" w:cs="Calibri"/>
                <w:color w:val="000000"/>
                <w:szCs w:val="20"/>
              </w:rPr>
              <w:t xml:space="preserve">5,789 </w:t>
            </w:r>
          </w:p>
        </w:tc>
        <w:tc>
          <w:tcPr>
            <w:tcW w:w="2665" w:type="dxa"/>
            <w:shd w:val="clear" w:color="auto" w:fill="ABCD3A" w:themeFill="accent5"/>
            <w:vAlign w:val="bottom"/>
          </w:tcPr>
          <w:p w14:paraId="0A367306" w14:textId="77777777" w:rsidR="00161769" w:rsidRPr="00F171A3" w:rsidRDefault="00161769" w:rsidP="00F31936">
            <w:pPr>
              <w:jc w:val="center"/>
              <w:rPr>
                <w:szCs w:val="18"/>
              </w:rPr>
            </w:pPr>
            <w:r w:rsidRPr="00F171A3">
              <w:rPr>
                <w:rFonts w:ascii="Calibri" w:hAnsi="Calibri" w:cs="Calibri"/>
                <w:color w:val="000000"/>
                <w:szCs w:val="20"/>
              </w:rPr>
              <w:t>232.9%</w:t>
            </w:r>
          </w:p>
        </w:tc>
      </w:tr>
      <w:tr w:rsidR="00161769" w:rsidRPr="00F171A3" w14:paraId="6BCC6EFC"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790957FA" w14:textId="77777777" w:rsidR="00161769" w:rsidRPr="00F171A3" w:rsidRDefault="00161769" w:rsidP="00F31936">
            <w:pPr>
              <w:rPr>
                <w:szCs w:val="20"/>
              </w:rPr>
            </w:pPr>
            <w:r w:rsidRPr="00F171A3">
              <w:rPr>
                <w:rFonts w:ascii="Calibri" w:hAnsi="Calibri" w:cs="Calibri"/>
                <w:color w:val="000000"/>
                <w:szCs w:val="20"/>
              </w:rPr>
              <w:t>56 - Restaurante şi alte activităţi de servicii de alimentaţie</w:t>
            </w:r>
          </w:p>
        </w:tc>
        <w:tc>
          <w:tcPr>
            <w:tcW w:w="2664" w:type="dxa"/>
            <w:vAlign w:val="bottom"/>
          </w:tcPr>
          <w:p w14:paraId="7680FB17" w14:textId="77777777" w:rsidR="00161769" w:rsidRPr="00F171A3" w:rsidRDefault="00161769" w:rsidP="00F31936">
            <w:pPr>
              <w:jc w:val="center"/>
              <w:rPr>
                <w:szCs w:val="18"/>
              </w:rPr>
            </w:pPr>
            <w:r w:rsidRPr="00F171A3">
              <w:rPr>
                <w:rFonts w:ascii="Calibri" w:hAnsi="Calibri" w:cs="Calibri"/>
                <w:color w:val="000000"/>
                <w:szCs w:val="20"/>
              </w:rPr>
              <w:t xml:space="preserve">5,082 </w:t>
            </w:r>
          </w:p>
        </w:tc>
        <w:tc>
          <w:tcPr>
            <w:tcW w:w="2665" w:type="dxa"/>
            <w:vAlign w:val="bottom"/>
          </w:tcPr>
          <w:p w14:paraId="4D2DA980" w14:textId="77777777" w:rsidR="00161769" w:rsidRPr="00F171A3" w:rsidRDefault="00161769" w:rsidP="00F31936">
            <w:pPr>
              <w:jc w:val="center"/>
              <w:rPr>
                <w:szCs w:val="18"/>
              </w:rPr>
            </w:pPr>
            <w:r w:rsidRPr="00F171A3">
              <w:rPr>
                <w:rFonts w:ascii="Calibri" w:hAnsi="Calibri" w:cs="Calibri"/>
                <w:color w:val="000000"/>
                <w:szCs w:val="20"/>
              </w:rPr>
              <w:t>9.0%</w:t>
            </w:r>
          </w:p>
        </w:tc>
      </w:tr>
      <w:tr w:rsidR="00161769" w:rsidRPr="00F171A3" w14:paraId="726A15D7"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1CCAB16F" w14:textId="77777777" w:rsidR="00161769" w:rsidRPr="00F171A3" w:rsidRDefault="00161769" w:rsidP="00F31936">
            <w:pPr>
              <w:rPr>
                <w:szCs w:val="20"/>
              </w:rPr>
            </w:pPr>
            <w:r w:rsidRPr="00F171A3">
              <w:rPr>
                <w:rFonts w:ascii="Calibri" w:hAnsi="Calibri" w:cs="Calibri"/>
                <w:color w:val="000000"/>
                <w:szCs w:val="20"/>
              </w:rPr>
              <w:t>64 - Intermedieri financiare cu excepţia activităţilor de asigurări şi ale fondurilor de pensii</w:t>
            </w:r>
          </w:p>
        </w:tc>
        <w:tc>
          <w:tcPr>
            <w:tcW w:w="2664" w:type="dxa"/>
            <w:vAlign w:val="bottom"/>
          </w:tcPr>
          <w:p w14:paraId="2705BAC7" w14:textId="77777777" w:rsidR="00161769" w:rsidRPr="00F171A3" w:rsidRDefault="00161769" w:rsidP="00F31936">
            <w:pPr>
              <w:jc w:val="center"/>
              <w:rPr>
                <w:szCs w:val="18"/>
              </w:rPr>
            </w:pPr>
            <w:r w:rsidRPr="00F171A3">
              <w:rPr>
                <w:rFonts w:ascii="Calibri" w:hAnsi="Calibri" w:cs="Calibri"/>
                <w:color w:val="000000"/>
                <w:szCs w:val="20"/>
              </w:rPr>
              <w:t xml:space="preserve">4,660 </w:t>
            </w:r>
          </w:p>
        </w:tc>
        <w:tc>
          <w:tcPr>
            <w:tcW w:w="2665" w:type="dxa"/>
            <w:vAlign w:val="bottom"/>
          </w:tcPr>
          <w:p w14:paraId="21DB3AC3" w14:textId="77777777" w:rsidR="00161769" w:rsidRPr="00F171A3" w:rsidRDefault="00161769" w:rsidP="00F31936">
            <w:pPr>
              <w:jc w:val="center"/>
              <w:rPr>
                <w:szCs w:val="18"/>
              </w:rPr>
            </w:pPr>
            <w:r w:rsidRPr="00F171A3">
              <w:rPr>
                <w:rFonts w:ascii="Calibri" w:hAnsi="Calibri" w:cs="Calibri"/>
                <w:color w:val="000000"/>
                <w:szCs w:val="20"/>
              </w:rPr>
              <w:t>-41.9%</w:t>
            </w:r>
          </w:p>
        </w:tc>
      </w:tr>
      <w:tr w:rsidR="00161769" w:rsidRPr="00F171A3" w14:paraId="5A1A8F90" w14:textId="77777777" w:rsidTr="00F31936">
        <w:trPr>
          <w:cnfStyle w:val="000000100000" w:firstRow="0" w:lastRow="0" w:firstColumn="0" w:lastColumn="0" w:oddVBand="0" w:evenVBand="0" w:oddHBand="1" w:evenHBand="0" w:firstRowFirstColumn="0" w:firstRowLastColumn="0" w:lastRowFirstColumn="0" w:lastRowLastColumn="0"/>
        </w:trPr>
        <w:tc>
          <w:tcPr>
            <w:tcW w:w="3993" w:type="dxa"/>
            <w:vAlign w:val="bottom"/>
          </w:tcPr>
          <w:p w14:paraId="6AD4D27D" w14:textId="77777777" w:rsidR="00161769" w:rsidRPr="00F171A3" w:rsidRDefault="00161769" w:rsidP="00F31936">
            <w:pPr>
              <w:rPr>
                <w:szCs w:val="20"/>
              </w:rPr>
            </w:pPr>
            <w:r w:rsidRPr="00F171A3">
              <w:rPr>
                <w:rFonts w:ascii="Calibri" w:hAnsi="Calibri" w:cs="Calibri"/>
                <w:color w:val="000000"/>
                <w:szCs w:val="20"/>
              </w:rPr>
              <w:t>86 - Activităţi referitoare la sănătatea umană</w:t>
            </w:r>
          </w:p>
        </w:tc>
        <w:tc>
          <w:tcPr>
            <w:tcW w:w="2664" w:type="dxa"/>
            <w:vAlign w:val="bottom"/>
          </w:tcPr>
          <w:p w14:paraId="019BE925" w14:textId="77777777" w:rsidR="00161769" w:rsidRPr="00F171A3" w:rsidRDefault="00161769" w:rsidP="00F31936">
            <w:pPr>
              <w:jc w:val="center"/>
              <w:rPr>
                <w:szCs w:val="18"/>
              </w:rPr>
            </w:pPr>
            <w:r w:rsidRPr="00F171A3">
              <w:rPr>
                <w:rFonts w:ascii="Calibri" w:hAnsi="Calibri" w:cs="Calibri"/>
                <w:color w:val="000000"/>
                <w:szCs w:val="20"/>
              </w:rPr>
              <w:t xml:space="preserve">4,395 </w:t>
            </w:r>
          </w:p>
        </w:tc>
        <w:tc>
          <w:tcPr>
            <w:tcW w:w="2665" w:type="dxa"/>
            <w:vAlign w:val="bottom"/>
          </w:tcPr>
          <w:p w14:paraId="554BDAED" w14:textId="77777777" w:rsidR="00161769" w:rsidRPr="00F171A3" w:rsidRDefault="00161769" w:rsidP="00F31936">
            <w:pPr>
              <w:jc w:val="center"/>
              <w:rPr>
                <w:szCs w:val="18"/>
              </w:rPr>
            </w:pPr>
            <w:r w:rsidRPr="00F171A3">
              <w:rPr>
                <w:rFonts w:ascii="Calibri" w:hAnsi="Calibri" w:cs="Calibri"/>
                <w:color w:val="000000"/>
                <w:szCs w:val="20"/>
              </w:rPr>
              <w:t>24.0%</w:t>
            </w:r>
          </w:p>
        </w:tc>
      </w:tr>
      <w:tr w:rsidR="00161769" w:rsidRPr="00F171A3" w14:paraId="2D651BD1" w14:textId="77777777" w:rsidTr="00F31936">
        <w:trPr>
          <w:cnfStyle w:val="000000010000" w:firstRow="0" w:lastRow="0" w:firstColumn="0" w:lastColumn="0" w:oddVBand="0" w:evenVBand="0" w:oddHBand="0" w:evenHBand="1" w:firstRowFirstColumn="0" w:firstRowLastColumn="0" w:lastRowFirstColumn="0" w:lastRowLastColumn="0"/>
        </w:trPr>
        <w:tc>
          <w:tcPr>
            <w:tcW w:w="3993" w:type="dxa"/>
            <w:vAlign w:val="bottom"/>
          </w:tcPr>
          <w:p w14:paraId="480267F8" w14:textId="77777777" w:rsidR="00161769" w:rsidRPr="00F171A3" w:rsidRDefault="00161769" w:rsidP="00F31936">
            <w:pPr>
              <w:rPr>
                <w:szCs w:val="20"/>
              </w:rPr>
            </w:pPr>
            <w:r w:rsidRPr="00F171A3">
              <w:rPr>
                <w:rFonts w:ascii="Calibri" w:hAnsi="Calibri" w:cs="Calibri"/>
                <w:color w:val="000000"/>
                <w:szCs w:val="20"/>
              </w:rPr>
              <w:t>71 - Activităţi de arhitectură şi inginerie; activităţi de testări şi analiză tehnică</w:t>
            </w:r>
          </w:p>
        </w:tc>
        <w:tc>
          <w:tcPr>
            <w:tcW w:w="2664" w:type="dxa"/>
            <w:vAlign w:val="bottom"/>
          </w:tcPr>
          <w:p w14:paraId="1F5B7B13" w14:textId="77777777" w:rsidR="00161769" w:rsidRPr="00F171A3" w:rsidRDefault="00161769" w:rsidP="00F31936">
            <w:pPr>
              <w:jc w:val="center"/>
              <w:rPr>
                <w:szCs w:val="18"/>
              </w:rPr>
            </w:pPr>
            <w:r w:rsidRPr="00F171A3">
              <w:rPr>
                <w:rFonts w:ascii="Calibri" w:hAnsi="Calibri" w:cs="Calibri"/>
                <w:color w:val="000000"/>
                <w:szCs w:val="20"/>
              </w:rPr>
              <w:t xml:space="preserve">3,810 </w:t>
            </w:r>
          </w:p>
        </w:tc>
        <w:tc>
          <w:tcPr>
            <w:tcW w:w="2665" w:type="dxa"/>
            <w:vAlign w:val="bottom"/>
          </w:tcPr>
          <w:p w14:paraId="138D438C" w14:textId="77777777" w:rsidR="00161769" w:rsidRPr="00F171A3" w:rsidRDefault="00161769" w:rsidP="00F31936">
            <w:pPr>
              <w:jc w:val="center"/>
              <w:rPr>
                <w:szCs w:val="18"/>
              </w:rPr>
            </w:pPr>
            <w:r w:rsidRPr="00F171A3">
              <w:rPr>
                <w:rFonts w:ascii="Calibri" w:hAnsi="Calibri" w:cs="Calibri"/>
                <w:color w:val="000000"/>
                <w:szCs w:val="20"/>
              </w:rPr>
              <w:t>-5.0%</w:t>
            </w:r>
          </w:p>
        </w:tc>
      </w:tr>
    </w:tbl>
    <w:p w14:paraId="1AE8DF1E" w14:textId="77777777" w:rsidR="00161769" w:rsidRPr="00F171A3" w:rsidRDefault="00161769" w:rsidP="0046391E">
      <w:pPr>
        <w:jc w:val="right"/>
        <w:rPr>
          <w:color w:val="BFBFBF" w:themeColor="background1" w:themeShade="BF"/>
        </w:rPr>
      </w:pPr>
      <w:r w:rsidRPr="00F171A3">
        <w:rPr>
          <w:color w:val="BFBFBF" w:themeColor="background1" w:themeShade="BF"/>
        </w:rPr>
        <w:t>Sursa: INS eDemos</w:t>
      </w:r>
    </w:p>
    <w:p w14:paraId="4CEA8185" w14:textId="77777777" w:rsidR="0046391E" w:rsidRPr="00F171A3" w:rsidRDefault="0046391E" w:rsidP="00161769">
      <w:pPr>
        <w:rPr>
          <w:b/>
          <w:bCs/>
          <w:color w:val="134753" w:themeColor="text2"/>
        </w:rPr>
      </w:pPr>
    </w:p>
    <w:p w14:paraId="72C45298" w14:textId="41B16132" w:rsidR="00161769" w:rsidRPr="00F171A3" w:rsidRDefault="00983F17" w:rsidP="00161769">
      <w:pPr>
        <w:rPr>
          <w:b/>
          <w:bCs/>
          <w:color w:val="134753" w:themeColor="text2"/>
        </w:rPr>
      </w:pPr>
      <w:r w:rsidRPr="00F171A3">
        <w:rPr>
          <w:b/>
          <w:bCs/>
          <w:color w:val="134753" w:themeColor="text2"/>
        </w:rPr>
        <w:t>CONCLUZII PRIVIND SECTOARELE CU POTENȚIAL DE MOTOR ECONOMIC LA NIVELUL SECTORULUI 2</w:t>
      </w:r>
    </w:p>
    <w:p w14:paraId="70A1831B" w14:textId="77777777" w:rsidR="00161769" w:rsidRPr="00F171A3" w:rsidRDefault="00161769" w:rsidP="00161769">
      <w:r w:rsidRPr="00F171A3">
        <w:t xml:space="preserve">La nivelul Sectorului 2 al Capitalei, cele mai bine dezvoltate ramuri economice sunt comerțul cu ridicata și cu amănuntul și IT&amp;C, acestea fiind urmate de domeniul intermedierilor financiare, construcțiilor și industriei prelucrătoare. </w:t>
      </w:r>
    </w:p>
    <w:p w14:paraId="7F2FA69B" w14:textId="7A2AA5AC" w:rsidR="00161769" w:rsidRPr="00F171A3" w:rsidRDefault="00161769" w:rsidP="00161769">
      <w:r w:rsidRPr="00F171A3">
        <w:t xml:space="preserve">Conform datelor privind cifra de afaceri, numărul de firme și numărul de salariați pentru anul 2020, sectorul comerțului este principalul motor economic al Sectorului 2, cu o pondere de 52% în totalul cifrei de afaceri generate de întreprinderile din Sector, 25,6% din totalul de salariați și 20,8% din firme. Totuși, în aceste date intră și lanțuri mari de supermarket-uri, precum Kaufland sau </w:t>
      </w:r>
      <w:r w:rsidR="008A1AFD" w:rsidRPr="00F171A3">
        <w:t>Carrefour</w:t>
      </w:r>
      <w:r w:rsidRPr="00F171A3">
        <w:t>, care își au sediul social al firmei în Sectorul 2, însă dețin puncte de lucru în toată țara.</w:t>
      </w:r>
    </w:p>
    <w:p w14:paraId="621775A1" w14:textId="77777777" w:rsidR="00161769" w:rsidRPr="00F171A3" w:rsidRDefault="00161769" w:rsidP="00161769">
      <w:r w:rsidRPr="00F171A3">
        <w:t>Sectorul IT&amp;C care înregistrează și printre cele mai bine plătite salarii, reprezintă un motor de creștere, care atrage tot mai mulți tineri specialiști și investitori străini. La nivelul anului 2020, domeniul IT&amp;C înregistra 9,4% din cifra de afaceri din Sectorul 2, 9,4% din numărul de firme și 12,5%, din numărul de salariați. Domeniul informațiilor și comunicațiilor este unul dintre cele mai efervescente sectoare din România, care generează o valoarea adăugată brută sporită și atrage anual investiții străine consistente în marile orașe ale țării, unde există forță de muncă specializată. O amenințare la adresa sectorului o reprezintă, totuși, migrația experților și a forței de muncă către țările din Vestul Europei, unde nivelul de salarizare în acest domeniu este cu mult mai mare.</w:t>
      </w:r>
    </w:p>
    <w:p w14:paraId="39087BED" w14:textId="77777777" w:rsidR="00161769" w:rsidRPr="00F171A3" w:rsidRDefault="00161769" w:rsidP="00161769">
      <w:r w:rsidRPr="00F171A3">
        <w:t>Un alt motor economic la nivelul sectorului reprezintă domeniul intermedierilor financiare și al asigurărilor care, deși reunea doar 2,9% din salariați și 2% din firme, genera peste 8,9% din cifra de afaceri, ceea ce indică o valoarea adăugată brută foarte înaltă și o productivitate a muncii destul de înaltă. De asemenea, acest domeniu se bucură de un nivel de salarizare înalt.</w:t>
      </w:r>
    </w:p>
    <w:p w14:paraId="15871628" w14:textId="73A4A1AD" w:rsidR="00161769" w:rsidRPr="00F171A3" w:rsidRDefault="00161769" w:rsidP="00161769">
      <w:r w:rsidRPr="00F171A3">
        <w:t>Alte ramuri economice relativ bine dezvoltate la nivelul Sectorului 2 sunt: industria prelucrătoare și sectorul construcțiilor. Industria prelucrătoare genera 5,6% din cifra de afaceri și reunea 6,6% din numărul de salariați. Cele mai bine dezvoltate subramuri sunt: fabricarea băuturilor, industria alimentară și fabricarea produselor din tutun, care generau peste 57% din totalul cifrei de afaceri din industria prelucrătoare. Sectorul construcțiilor antrena 6,2% din salariați, reunea 8,8% din numărul de firme și genera 5,9% din cifra de afaceri. Acest sector are la bază piața privată imobiliară, precum și lucrările publice de construcții sau de dezvoltare infrastructură.</w:t>
      </w:r>
    </w:p>
    <w:p w14:paraId="0DDB4C75" w14:textId="77777777" w:rsidR="00983F17" w:rsidRPr="00F171A3" w:rsidRDefault="00983F17" w:rsidP="00161769"/>
    <w:p w14:paraId="7A69B4F3" w14:textId="11880AF1" w:rsidR="00161769" w:rsidRPr="00F171A3" w:rsidRDefault="001E0A0F" w:rsidP="00161769">
      <w:pPr>
        <w:pStyle w:val="Heading3"/>
        <w:rPr>
          <w:lang w:val="ro-RO"/>
        </w:rPr>
      </w:pPr>
      <w:bookmarkStart w:id="222" w:name="_Toc127199279"/>
      <w:r w:rsidRPr="00F171A3">
        <w:rPr>
          <w:caps w:val="0"/>
          <w:lang w:val="ro-RO"/>
        </w:rPr>
        <w:t>COMERȚ ȘI INVESTIȚII STRĂINE</w:t>
      </w:r>
      <w:bookmarkEnd w:id="222"/>
    </w:p>
    <w:p w14:paraId="444FC5DD" w14:textId="7F6E52F0" w:rsidR="00161769" w:rsidRPr="00F171A3" w:rsidRDefault="00983F17" w:rsidP="00161769">
      <w:pPr>
        <w:pStyle w:val="Actiontitle"/>
      </w:pPr>
      <w:r w:rsidRPr="00F171A3">
        <w:t xml:space="preserve">INVESTIȚII STRĂINE </w:t>
      </w:r>
    </w:p>
    <w:p w14:paraId="4366853A" w14:textId="77777777" w:rsidR="00161769" w:rsidRPr="00F171A3" w:rsidRDefault="00161769" w:rsidP="00161769">
      <w:r w:rsidRPr="00F171A3">
        <w:t>Conform Oficiului Național al Registrului Comerțului, la finalul anului 2021, în municipiul București existau 109.613 de societăți cu participare străină la capital, ceea ce reprezenta 43% din numărul total de astfel de firme din țară. În total, valoarea capitalului social subscris al acestor firme depășea suma de 25.4 md. EUR, ceea ce plasa municipiul București pe primul loc în țară, cu o pondere de 53,6% la nivel național. Totuși, aceste date fac referire la un șir de multinaționale care și-au stabilit sediul social în Capitală, și au puncte de lucru în mai multe orașe din țară, realizând investițiile la nivelul întregii țări, raportarea însă fiind făcută la nivelul Capitalei.</w:t>
      </w:r>
    </w:p>
    <w:p w14:paraId="4F11E905" w14:textId="6E8FACE2" w:rsidR="00161769" w:rsidRPr="00F171A3" w:rsidRDefault="00161769" w:rsidP="00161769">
      <w:pPr>
        <w:pStyle w:val="Normal0"/>
      </w:pPr>
      <w:r w:rsidRPr="00F171A3">
        <w:t>Un număr mare de investiții sunt realizate de către multinaționale din domeniul comerțului (Auchan, Carrefour, Kaufland, Metro, etc.), serviciilor (Vodafone, Orange, Telekom), energetic (OMV, Lukoil, Enel Energie, Electrica Furnizare, Rompetrol, etc.). Totuși, la nivel de sector, cele mai importante investiții străine sunt ale firmelor care au cele mai mari puncte de lucru în Sectorul 2 și a firmelor din domenii cu nivel înalt de salarizare (IT&amp;C: ERICSSON TELECOMMUNICATIONS ROMÂNIA, SRL ORACLE ROMÂNIA SRL, LUXOFT PROFESSIONAL ROMÂNIA SRL, GAMELOFT ROMÂNIA SRL; intermedieri financiare: ASIGURAREA ROMANEASCA ASIROM VIENNA INSURANCE GROUP SA, UNICREDIT SERVICES GMBH, DIGITAL SALE SRL, Bursa de Valori București SA; servicii profesionale, științifice și tehnice: HP INC ROMANIA SRL, GLOBAL E BUSINESS OPERATIONS CENTRE SRL, DELL TECHNOLOGY SRL, ALLIANZ TECHNOLOGY SE MUNCHEN SUCURSALA BUCURESTI,  etc.)</w:t>
      </w:r>
      <w:r w:rsidR="00983F17" w:rsidRPr="00F171A3">
        <w:t>.</w:t>
      </w:r>
    </w:p>
    <w:p w14:paraId="602EEBC1" w14:textId="77777777" w:rsidR="00983F17" w:rsidRPr="00F171A3" w:rsidRDefault="00983F17" w:rsidP="00161769">
      <w:pPr>
        <w:pStyle w:val="Normal0"/>
      </w:pPr>
    </w:p>
    <w:p w14:paraId="7D2554AE" w14:textId="2BDFE012" w:rsidR="00161769" w:rsidRPr="00F171A3" w:rsidRDefault="00983F17" w:rsidP="00161769">
      <w:pPr>
        <w:rPr>
          <w:b/>
          <w:bCs/>
          <w:color w:val="134753" w:themeColor="text2"/>
        </w:rPr>
      </w:pPr>
      <w:r w:rsidRPr="00F171A3">
        <w:rPr>
          <w:b/>
          <w:bCs/>
          <w:color w:val="134753" w:themeColor="text2"/>
        </w:rPr>
        <w:t>COMERȚ</w:t>
      </w:r>
    </w:p>
    <w:p w14:paraId="1C2E9EAF" w14:textId="7EA0834E" w:rsidR="00161769" w:rsidRPr="00F171A3" w:rsidRDefault="00161769" w:rsidP="00161769">
      <w:r w:rsidRPr="00F171A3">
        <w:t xml:space="preserve">Conform INS, la nivelul anului 2021, la nivelul municipiului București au fost realizate importuri în valoare de 31,1 mlrd. EUR, în creștere cu 628,4% față de anul 2015, în timp ce valoarea exporturilor era de doar 13,6 mlrd. EUR, </w:t>
      </w:r>
      <w:r w:rsidR="008A1AFD" w:rsidRPr="00F171A3">
        <w:t>înregistrând</w:t>
      </w:r>
      <w:r w:rsidRPr="00F171A3">
        <w:t xml:space="preserve"> un ritm de creștere mai mic, de 444,5%, față de anul 2015. Prin urmare, la nivelul anului 2021, în municipiul București a fost înregistrată o balanță comercială negativă, cu un sold de -17,4 mlrd. EUR. În dinamică, soldul negativ al balanței comerciale a crescut constant în perioada 2015-2021. Totuși, aceste cifre nu indică neapărat o dezvoltare economică slabă sau lentă, deficit comercial fiind înregistrat și în alte județe prospere din punct de vedere economic, cum ar fi Cluj.</w:t>
      </w:r>
    </w:p>
    <w:p w14:paraId="438A62A3" w14:textId="48F55DD5" w:rsidR="00161769" w:rsidRPr="00F171A3" w:rsidRDefault="00161769" w:rsidP="00161769">
      <w:pPr>
        <w:pStyle w:val="Caption"/>
      </w:pPr>
      <w:bookmarkStart w:id="223" w:name="_Toc127198066"/>
      <w:r w:rsidRPr="00F171A3">
        <w:t xml:space="preserve">Figura </w:t>
      </w:r>
      <w:r w:rsidRPr="00F171A3">
        <w:fldChar w:fldCharType="begin"/>
      </w:r>
      <w:r w:rsidRPr="00F171A3">
        <w:instrText xml:space="preserve"> SEQ Figura \* ARABIC </w:instrText>
      </w:r>
      <w:r w:rsidRPr="00F171A3">
        <w:fldChar w:fldCharType="separate"/>
      </w:r>
      <w:r w:rsidR="005A6DD8">
        <w:rPr>
          <w:noProof/>
        </w:rPr>
        <w:t>78</w:t>
      </w:r>
      <w:r w:rsidRPr="00F171A3">
        <w:fldChar w:fldCharType="end"/>
      </w:r>
      <w:r w:rsidRPr="00F171A3">
        <w:t xml:space="preserve"> Valoarea importurilor (CIF) și Exporturilor (FOB) din municipiul București, în perioada 2015-2021 (mil. eur)</w:t>
      </w:r>
      <w:bookmarkEnd w:id="223"/>
    </w:p>
    <w:p w14:paraId="2EF6D07F" w14:textId="77777777" w:rsidR="00161769" w:rsidRPr="00F171A3" w:rsidRDefault="00161769" w:rsidP="00161769">
      <w:r w:rsidRPr="00F171A3">
        <w:rPr>
          <w:noProof/>
        </w:rPr>
        <w:drawing>
          <wp:inline distT="0" distB="0" distL="0" distR="0" wp14:anchorId="7669C590" wp14:editId="2CC84209">
            <wp:extent cx="6038850" cy="4120738"/>
            <wp:effectExtent l="0" t="0" r="0" b="0"/>
            <wp:docPr id="90" name="Chart 25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4DA96457" w14:textId="77777777" w:rsidR="00161769" w:rsidRPr="00F171A3" w:rsidRDefault="00161769" w:rsidP="0046391E">
      <w:pPr>
        <w:jc w:val="right"/>
        <w:rPr>
          <w:color w:val="BFBFBF" w:themeColor="background1" w:themeShade="BF"/>
        </w:rPr>
      </w:pPr>
      <w:r w:rsidRPr="00F171A3">
        <w:rPr>
          <w:color w:val="BFBFBF" w:themeColor="background1" w:themeShade="BF"/>
        </w:rPr>
        <w:t>Sursa: INS Baza de date TEMPO Online</w:t>
      </w:r>
    </w:p>
    <w:p w14:paraId="767B2D07" w14:textId="45F49685" w:rsidR="00161769" w:rsidRPr="00F171A3" w:rsidRDefault="00161769" w:rsidP="00161769">
      <w:pPr>
        <w:pStyle w:val="Normal0"/>
      </w:pPr>
      <w:r w:rsidRPr="00F171A3">
        <w:t xml:space="preserve">La sfârșitul anului 2021, cele mai mari importuri reprezentau mașini, aparate și echipamente electrice (23,2%), produse chimice (15,7%), produse minerale (12,4%), produse alimentare, băuturi și tutun (7,5%). De partea </w:t>
      </w:r>
      <w:r w:rsidR="008A1AFD" w:rsidRPr="00F171A3">
        <w:t>cealaltă</w:t>
      </w:r>
      <w:r w:rsidRPr="00F171A3">
        <w:t>, în cazul exporturilor, valoarea mașinilor, aparatelor și echipamentelor electrice exportate reprezenta 24,4% din totalul exporturilor, urmând produse vegetale (21,6%), produse minerale (13,6%), produse chimice (8,1%), instrumente și aparate optice (5,3%).</w:t>
      </w:r>
    </w:p>
    <w:p w14:paraId="16E18E3F" w14:textId="77777777" w:rsidR="00983F17" w:rsidRPr="00F171A3" w:rsidRDefault="00983F17" w:rsidP="00161769">
      <w:pPr>
        <w:pStyle w:val="Normal0"/>
      </w:pPr>
    </w:p>
    <w:p w14:paraId="6E7B540F" w14:textId="14867F3C" w:rsidR="00161769" w:rsidRPr="00F171A3" w:rsidRDefault="001E0A0F" w:rsidP="00161769">
      <w:pPr>
        <w:pStyle w:val="Heading3"/>
        <w:rPr>
          <w:lang w:val="ro-RO"/>
        </w:rPr>
      </w:pPr>
      <w:bookmarkStart w:id="224" w:name="_Toc127199280"/>
      <w:r w:rsidRPr="00F171A3">
        <w:rPr>
          <w:caps w:val="0"/>
          <w:lang w:val="ro-RO"/>
        </w:rPr>
        <w:t>PIAȚA IMOBILIARĂ</w:t>
      </w:r>
      <w:bookmarkEnd w:id="224"/>
    </w:p>
    <w:p w14:paraId="0C54C0A8" w14:textId="77777777" w:rsidR="00161769" w:rsidRPr="00F171A3" w:rsidRDefault="00161769" w:rsidP="00161769">
      <w:r w:rsidRPr="00F171A3">
        <w:t>Situația pieței imobiliare a Sectorului 2 trebuie analizată și înțeleasă în contextul localizării în municipiul București. Conform raportului Piața Imobiliară Rezidențială T4 2021</w:t>
      </w:r>
      <w:r w:rsidRPr="00F171A3">
        <w:rPr>
          <w:rStyle w:val="FootnoteReference"/>
        </w:rPr>
        <w:footnoteReference w:id="100"/>
      </w:r>
      <w:r w:rsidRPr="00F171A3">
        <w:t xml:space="preserve">, ce prezintă cei mai importanți indicatori din imobiliare și evoluția lor, prețul locuințelor la nivel național se află pe un trend ascendent, în T4 2021 situându-se la cel mai ridicat nivel al ultimilor patru ani. Astfel, municipiul București se situează pe locul al 2-lea după Cluj-Napoca cu 1640 EUR/mp în medie, fiind unul din municipiile unde evoluția procentuală în ultimele 3 luni a fost printre cele mai reduse (0,7%). Comparativ cu perioada anterioară cu 12 luni, evoluția a fost ridicată, de 11,7%, sub Cluj-Napoca și Brașov, cele mai dinamice piețe imobiliare din ultimul an. Cererea pentru locuințe de vânzare este în declin, atât în București cât și în alte centre urbane mari, însă în Capitală evoluția descendentă a cererii este mai lentă (-7,9% în ultimul trimestru). În ceea ce privește piața pentru închirieri de locuințe, Capitala conduce în clasamentul național, cu 7,6 EUR/ mp util, însă ritmul de creștere a prețului este mai degrabă scăzut (2,7%), comparativ cu Cluj-Napoca (9,6%) sau Brașov (7,8%). </w:t>
      </w:r>
    </w:p>
    <w:p w14:paraId="2A6FB497" w14:textId="77777777" w:rsidR="00161769" w:rsidRPr="00F171A3" w:rsidRDefault="00161769" w:rsidP="00161769">
      <w:r w:rsidRPr="00F171A3">
        <w:t xml:space="preserve">O analiză a prețurilor de vânzare a locuințelor pe zonele și cartierele din Sectorul 2 indică variații importante, în special la valorile maximale întâlnite în anunțurile imobiliare. Acestea sunt în mare măsură influențate de prezența ansamblurilor rezidențiale noi, ce pun la dispoziția potențialilor cumpărători apartamente spațioase, de tip penthouse, pentru care sumele cerute depășesc cu mult media pieței. Astfel de cazuri se întâlnesc în zonele cele mai dinamice din punct de vedere al reînnoirii fondului de locuințe din Sectorul 2 (zona Floreasca și Tei-Barbu Văcărescu). Așa cum reiese din tabelul de mai jos, prețul mediu / MP în zonele din Sectorul 2 este de 1402 EUR/MP, sub media municipiului București (1640 EUR/mp), la valorile minime întâlnite în ofertele disponibile. Sub medie se regăsesc locuințele cele mai scumpe din cartierele Baicului, Andronache și Doamna Ghica, în timp ce Fundeni, Floreasca și Tei-Barbu Văcărescu se remarcă prin prețurile ridicate. </w:t>
      </w:r>
    </w:p>
    <w:p w14:paraId="1A6FCA3E" w14:textId="1959D4A7" w:rsidR="00161769" w:rsidRPr="00F171A3" w:rsidRDefault="00161769" w:rsidP="00161769">
      <w:pPr>
        <w:pStyle w:val="Caption"/>
      </w:pPr>
      <w:bookmarkStart w:id="225" w:name="_Toc126943284"/>
      <w:r w:rsidRPr="00F171A3">
        <w:t xml:space="preserve">Tabel </w:t>
      </w:r>
      <w:r w:rsidRPr="00F171A3">
        <w:fldChar w:fldCharType="begin"/>
      </w:r>
      <w:r w:rsidRPr="00F171A3">
        <w:instrText xml:space="preserve"> SEQ Tabel \* ARABIC </w:instrText>
      </w:r>
      <w:r w:rsidRPr="00F171A3">
        <w:fldChar w:fldCharType="separate"/>
      </w:r>
      <w:r w:rsidR="005A6DD8">
        <w:rPr>
          <w:noProof/>
        </w:rPr>
        <w:t>27</w:t>
      </w:r>
      <w:r w:rsidRPr="00F171A3">
        <w:fldChar w:fldCharType="end"/>
      </w:r>
      <w:r w:rsidRPr="00F171A3">
        <w:t xml:space="preserve"> Valorile minime și maxime la prețurile pentru vânzări de locuințe, mai 2022</w:t>
      </w:r>
      <w:bookmarkEnd w:id="225"/>
    </w:p>
    <w:tbl>
      <w:tblPr>
        <w:tblStyle w:val="Civittatable"/>
        <w:tblW w:w="9364" w:type="dxa"/>
        <w:tblLook w:val="04A0" w:firstRow="1" w:lastRow="0" w:firstColumn="1" w:lastColumn="0" w:noHBand="0" w:noVBand="1"/>
      </w:tblPr>
      <w:tblGrid>
        <w:gridCol w:w="1910"/>
        <w:gridCol w:w="1289"/>
        <w:gridCol w:w="1127"/>
        <w:gridCol w:w="1150"/>
        <w:gridCol w:w="1611"/>
        <w:gridCol w:w="1127"/>
        <w:gridCol w:w="1150"/>
      </w:tblGrid>
      <w:tr w:rsidR="00833D23" w:rsidRPr="00F171A3" w14:paraId="05FD1049" w14:textId="77777777" w:rsidTr="00833D23">
        <w:trPr>
          <w:cnfStyle w:val="100000000000" w:firstRow="1" w:lastRow="0" w:firstColumn="0" w:lastColumn="0" w:oddVBand="0" w:evenVBand="0" w:oddHBand="0" w:evenHBand="0" w:firstRowFirstColumn="0" w:firstRowLastColumn="0" w:lastRowFirstColumn="0" w:lastRowLastColumn="0"/>
          <w:trHeight w:val="463"/>
        </w:trPr>
        <w:tc>
          <w:tcPr>
            <w:tcW w:w="1910" w:type="dxa"/>
            <w:vMerge w:val="restart"/>
            <w:noWrap/>
            <w:vAlign w:val="center"/>
            <w:hideMark/>
          </w:tcPr>
          <w:p w14:paraId="4DAE67A4" w14:textId="08C0B1F4" w:rsidR="00833D23" w:rsidRPr="00F171A3" w:rsidRDefault="00833D23" w:rsidP="00833D23">
            <w:pPr>
              <w:spacing w:after="0"/>
              <w:jc w:val="center"/>
              <w:rPr>
                <w:rFonts w:ascii="Times New Roman" w:eastAsia="Times New Roman" w:hAnsi="Times New Roman" w:cs="Times New Roman"/>
                <w:sz w:val="24"/>
                <w:szCs w:val="24"/>
                <w:lang w:eastAsia="en-GB"/>
              </w:rPr>
            </w:pPr>
            <w:r w:rsidRPr="00F171A3">
              <w:rPr>
                <w:rFonts w:ascii="Calibri" w:eastAsia="Times New Roman" w:hAnsi="Calibri" w:cs="Calibri"/>
                <w:b/>
                <w:bCs/>
                <w:szCs w:val="20"/>
                <w:lang w:eastAsia="en-GB"/>
              </w:rPr>
              <w:t>CARTIER/ZONĂ</w:t>
            </w:r>
          </w:p>
        </w:tc>
        <w:tc>
          <w:tcPr>
            <w:tcW w:w="3566" w:type="dxa"/>
            <w:gridSpan w:val="3"/>
            <w:noWrap/>
            <w:vAlign w:val="center"/>
            <w:hideMark/>
          </w:tcPr>
          <w:p w14:paraId="36CAE47B" w14:textId="5666B0E1" w:rsidR="00833D23" w:rsidRPr="00F171A3" w:rsidRDefault="00833D23" w:rsidP="00833D23">
            <w:pPr>
              <w:spacing w:after="0"/>
              <w:jc w:val="center"/>
              <w:rPr>
                <w:rFonts w:ascii="Times New Roman" w:eastAsia="Times New Roman" w:hAnsi="Times New Roman" w:cs="Times New Roman"/>
                <w:szCs w:val="20"/>
                <w:lang w:eastAsia="en-GB"/>
              </w:rPr>
            </w:pPr>
            <w:r w:rsidRPr="00F171A3">
              <w:rPr>
                <w:rFonts w:ascii="Calibri" w:eastAsia="Times New Roman" w:hAnsi="Calibri" w:cs="Calibri"/>
                <w:b/>
                <w:bCs/>
                <w:caps w:val="0"/>
                <w:szCs w:val="20"/>
                <w:lang w:eastAsia="en-GB"/>
              </w:rPr>
              <w:t>MIN</w:t>
            </w:r>
          </w:p>
        </w:tc>
        <w:tc>
          <w:tcPr>
            <w:tcW w:w="3888" w:type="dxa"/>
            <w:gridSpan w:val="3"/>
            <w:noWrap/>
            <w:vAlign w:val="center"/>
            <w:hideMark/>
          </w:tcPr>
          <w:p w14:paraId="20AC1DB9" w14:textId="5B54BA3D" w:rsidR="00833D23" w:rsidRPr="00F171A3" w:rsidRDefault="00833D23" w:rsidP="00833D23">
            <w:pPr>
              <w:spacing w:after="0"/>
              <w:jc w:val="center"/>
              <w:rPr>
                <w:rFonts w:ascii="Times New Roman" w:eastAsia="Times New Roman" w:hAnsi="Times New Roman" w:cs="Times New Roman"/>
                <w:szCs w:val="20"/>
                <w:lang w:eastAsia="en-GB"/>
              </w:rPr>
            </w:pPr>
            <w:r w:rsidRPr="00F171A3">
              <w:rPr>
                <w:rFonts w:ascii="Calibri" w:eastAsia="Times New Roman" w:hAnsi="Calibri" w:cs="Calibri"/>
                <w:b/>
                <w:bCs/>
                <w:caps w:val="0"/>
                <w:szCs w:val="20"/>
                <w:lang w:eastAsia="en-GB"/>
              </w:rPr>
              <w:t>MAX</w:t>
            </w:r>
          </w:p>
        </w:tc>
      </w:tr>
      <w:tr w:rsidR="00833D23" w:rsidRPr="00F171A3" w14:paraId="684724CE" w14:textId="77777777" w:rsidTr="00833D23">
        <w:trPr>
          <w:cnfStyle w:val="000000100000" w:firstRow="0" w:lastRow="0" w:firstColumn="0" w:lastColumn="0" w:oddVBand="0" w:evenVBand="0" w:oddHBand="1" w:evenHBand="0" w:firstRowFirstColumn="0" w:firstRowLastColumn="0" w:lastRowFirstColumn="0" w:lastRowLastColumn="0"/>
          <w:trHeight w:val="463"/>
        </w:trPr>
        <w:tc>
          <w:tcPr>
            <w:tcW w:w="1910" w:type="dxa"/>
            <w:vMerge/>
            <w:shd w:val="clear" w:color="auto" w:fill="134753" w:themeFill="text2"/>
            <w:noWrap/>
            <w:vAlign w:val="center"/>
            <w:hideMark/>
          </w:tcPr>
          <w:p w14:paraId="58667E56" w14:textId="477258AD" w:rsidR="00833D23" w:rsidRPr="00F171A3" w:rsidRDefault="00833D23" w:rsidP="00833D23">
            <w:pPr>
              <w:spacing w:after="0"/>
              <w:jc w:val="center"/>
              <w:rPr>
                <w:rFonts w:ascii="Calibri" w:eastAsia="Times New Roman" w:hAnsi="Calibri" w:cs="Calibri"/>
                <w:b/>
                <w:bCs/>
                <w:color w:val="FFFFFF" w:themeColor="background1"/>
                <w:szCs w:val="20"/>
                <w:lang w:eastAsia="en-GB"/>
              </w:rPr>
            </w:pPr>
          </w:p>
        </w:tc>
        <w:tc>
          <w:tcPr>
            <w:tcW w:w="1289" w:type="dxa"/>
            <w:shd w:val="clear" w:color="auto" w:fill="134753" w:themeFill="text2"/>
            <w:noWrap/>
            <w:vAlign w:val="center"/>
            <w:hideMark/>
          </w:tcPr>
          <w:p w14:paraId="6F097D76" w14:textId="3F84B6F0"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PREȚ TOTAL</w:t>
            </w:r>
          </w:p>
        </w:tc>
        <w:tc>
          <w:tcPr>
            <w:tcW w:w="1127" w:type="dxa"/>
            <w:shd w:val="clear" w:color="auto" w:fill="134753" w:themeFill="text2"/>
            <w:noWrap/>
            <w:vAlign w:val="center"/>
            <w:hideMark/>
          </w:tcPr>
          <w:p w14:paraId="5A1EF800" w14:textId="5ECB0C6E"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MP</w:t>
            </w:r>
          </w:p>
        </w:tc>
        <w:tc>
          <w:tcPr>
            <w:tcW w:w="1150" w:type="dxa"/>
            <w:shd w:val="clear" w:color="auto" w:fill="134753" w:themeFill="text2"/>
            <w:noWrap/>
            <w:vAlign w:val="center"/>
            <w:hideMark/>
          </w:tcPr>
          <w:p w14:paraId="711CF3A2" w14:textId="18CDF63E"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EUR/MP</w:t>
            </w:r>
          </w:p>
        </w:tc>
        <w:tc>
          <w:tcPr>
            <w:tcW w:w="1611" w:type="dxa"/>
            <w:shd w:val="clear" w:color="auto" w:fill="134753" w:themeFill="text2"/>
            <w:noWrap/>
            <w:vAlign w:val="center"/>
            <w:hideMark/>
          </w:tcPr>
          <w:p w14:paraId="7EBB93AC" w14:textId="533CF022"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PREȚ TOTAL</w:t>
            </w:r>
          </w:p>
        </w:tc>
        <w:tc>
          <w:tcPr>
            <w:tcW w:w="1127" w:type="dxa"/>
            <w:shd w:val="clear" w:color="auto" w:fill="134753" w:themeFill="text2"/>
            <w:noWrap/>
            <w:vAlign w:val="center"/>
            <w:hideMark/>
          </w:tcPr>
          <w:p w14:paraId="7D1D1734" w14:textId="0592C0B0"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MP</w:t>
            </w:r>
          </w:p>
        </w:tc>
        <w:tc>
          <w:tcPr>
            <w:tcW w:w="1150" w:type="dxa"/>
            <w:shd w:val="clear" w:color="auto" w:fill="134753" w:themeFill="text2"/>
            <w:noWrap/>
            <w:vAlign w:val="center"/>
            <w:hideMark/>
          </w:tcPr>
          <w:p w14:paraId="6010317B" w14:textId="3DA0751A"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EUR/MP</w:t>
            </w:r>
          </w:p>
        </w:tc>
      </w:tr>
      <w:tr w:rsidR="00161769" w:rsidRPr="00F171A3" w14:paraId="1C885C54"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0C5BECF9"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Fundeni</w:t>
            </w:r>
          </w:p>
        </w:tc>
        <w:tc>
          <w:tcPr>
            <w:tcW w:w="1289" w:type="dxa"/>
            <w:noWrap/>
            <w:hideMark/>
          </w:tcPr>
          <w:p w14:paraId="3D9EC2C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46,178 </w:t>
            </w:r>
          </w:p>
        </w:tc>
        <w:tc>
          <w:tcPr>
            <w:tcW w:w="1127" w:type="dxa"/>
            <w:noWrap/>
            <w:hideMark/>
          </w:tcPr>
          <w:p w14:paraId="0EA3409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30 </w:t>
            </w:r>
          </w:p>
        </w:tc>
        <w:tc>
          <w:tcPr>
            <w:tcW w:w="1150" w:type="dxa"/>
            <w:noWrap/>
            <w:hideMark/>
          </w:tcPr>
          <w:p w14:paraId="27F16A6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1,545 </w:t>
            </w:r>
          </w:p>
        </w:tc>
        <w:tc>
          <w:tcPr>
            <w:tcW w:w="1611" w:type="dxa"/>
            <w:noWrap/>
            <w:hideMark/>
          </w:tcPr>
          <w:p w14:paraId="738A9AF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245,000 </w:t>
            </w:r>
          </w:p>
        </w:tc>
        <w:tc>
          <w:tcPr>
            <w:tcW w:w="1127" w:type="dxa"/>
            <w:noWrap/>
            <w:hideMark/>
          </w:tcPr>
          <w:p w14:paraId="276821D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80 </w:t>
            </w:r>
          </w:p>
        </w:tc>
        <w:tc>
          <w:tcPr>
            <w:tcW w:w="1150" w:type="dxa"/>
            <w:noWrap/>
            <w:hideMark/>
          </w:tcPr>
          <w:p w14:paraId="60E717C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3,063 </w:t>
            </w:r>
          </w:p>
        </w:tc>
      </w:tr>
      <w:tr w:rsidR="00161769" w:rsidRPr="00F171A3" w14:paraId="79A7684E"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364AC1FB"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Baicului</w:t>
            </w:r>
          </w:p>
        </w:tc>
        <w:tc>
          <w:tcPr>
            <w:tcW w:w="1289" w:type="dxa"/>
            <w:noWrap/>
            <w:hideMark/>
          </w:tcPr>
          <w:p w14:paraId="6D008E4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22,500 </w:t>
            </w:r>
          </w:p>
        </w:tc>
        <w:tc>
          <w:tcPr>
            <w:tcW w:w="1127" w:type="dxa"/>
            <w:noWrap/>
            <w:hideMark/>
          </w:tcPr>
          <w:p w14:paraId="495E25CF"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14 </w:t>
            </w:r>
          </w:p>
        </w:tc>
        <w:tc>
          <w:tcPr>
            <w:tcW w:w="1150" w:type="dxa"/>
            <w:noWrap/>
            <w:hideMark/>
          </w:tcPr>
          <w:p w14:paraId="3BDD5A14"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1,607 </w:t>
            </w:r>
          </w:p>
        </w:tc>
        <w:tc>
          <w:tcPr>
            <w:tcW w:w="1611" w:type="dxa"/>
            <w:noWrap/>
            <w:hideMark/>
          </w:tcPr>
          <w:p w14:paraId="35D58FF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145,000 </w:t>
            </w:r>
          </w:p>
        </w:tc>
        <w:tc>
          <w:tcPr>
            <w:tcW w:w="1127" w:type="dxa"/>
            <w:noWrap/>
            <w:hideMark/>
          </w:tcPr>
          <w:p w14:paraId="5D01341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78 </w:t>
            </w:r>
          </w:p>
        </w:tc>
        <w:tc>
          <w:tcPr>
            <w:tcW w:w="1150" w:type="dxa"/>
            <w:noWrap/>
            <w:hideMark/>
          </w:tcPr>
          <w:p w14:paraId="123796F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1,859 </w:t>
            </w:r>
          </w:p>
        </w:tc>
      </w:tr>
      <w:tr w:rsidR="00161769" w:rsidRPr="00F171A3" w14:paraId="5A4D7514"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26596BBA"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Andronache</w:t>
            </w:r>
          </w:p>
        </w:tc>
        <w:tc>
          <w:tcPr>
            <w:tcW w:w="1289" w:type="dxa"/>
            <w:noWrap/>
            <w:hideMark/>
          </w:tcPr>
          <w:p w14:paraId="4F868DE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37,500 </w:t>
            </w:r>
          </w:p>
        </w:tc>
        <w:tc>
          <w:tcPr>
            <w:tcW w:w="1127" w:type="dxa"/>
            <w:noWrap/>
            <w:hideMark/>
          </w:tcPr>
          <w:p w14:paraId="77FF57E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33 </w:t>
            </w:r>
          </w:p>
        </w:tc>
        <w:tc>
          <w:tcPr>
            <w:tcW w:w="1150" w:type="dxa"/>
            <w:noWrap/>
            <w:hideMark/>
          </w:tcPr>
          <w:p w14:paraId="19DCD3A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1,136 </w:t>
            </w:r>
          </w:p>
        </w:tc>
        <w:tc>
          <w:tcPr>
            <w:tcW w:w="1611" w:type="dxa"/>
            <w:noWrap/>
            <w:hideMark/>
          </w:tcPr>
          <w:p w14:paraId="47AF6157"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290,000 </w:t>
            </w:r>
          </w:p>
        </w:tc>
        <w:tc>
          <w:tcPr>
            <w:tcW w:w="1127" w:type="dxa"/>
            <w:noWrap/>
            <w:hideMark/>
          </w:tcPr>
          <w:p w14:paraId="2E3613A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156 </w:t>
            </w:r>
          </w:p>
        </w:tc>
        <w:tc>
          <w:tcPr>
            <w:tcW w:w="1150" w:type="dxa"/>
            <w:noWrap/>
            <w:hideMark/>
          </w:tcPr>
          <w:p w14:paraId="6B9BFD3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1,859 </w:t>
            </w:r>
          </w:p>
        </w:tc>
      </w:tr>
      <w:tr w:rsidR="00161769" w:rsidRPr="00F171A3" w14:paraId="5A25B564"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68915B4D"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Colentina</w:t>
            </w:r>
          </w:p>
        </w:tc>
        <w:tc>
          <w:tcPr>
            <w:tcW w:w="1289" w:type="dxa"/>
            <w:noWrap/>
            <w:hideMark/>
          </w:tcPr>
          <w:p w14:paraId="2B688D6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25,500 </w:t>
            </w:r>
          </w:p>
        </w:tc>
        <w:tc>
          <w:tcPr>
            <w:tcW w:w="1127" w:type="dxa"/>
            <w:noWrap/>
            <w:hideMark/>
          </w:tcPr>
          <w:p w14:paraId="6505D95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26 </w:t>
            </w:r>
          </w:p>
        </w:tc>
        <w:tc>
          <w:tcPr>
            <w:tcW w:w="1150" w:type="dxa"/>
            <w:noWrap/>
            <w:hideMark/>
          </w:tcPr>
          <w:p w14:paraId="2C6F196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981 </w:t>
            </w:r>
          </w:p>
        </w:tc>
        <w:tc>
          <w:tcPr>
            <w:tcW w:w="1611" w:type="dxa"/>
            <w:noWrap/>
            <w:hideMark/>
          </w:tcPr>
          <w:p w14:paraId="3D2D31A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290,000 </w:t>
            </w:r>
          </w:p>
        </w:tc>
        <w:tc>
          <w:tcPr>
            <w:tcW w:w="1127" w:type="dxa"/>
            <w:noWrap/>
            <w:hideMark/>
          </w:tcPr>
          <w:p w14:paraId="09D6628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115 </w:t>
            </w:r>
          </w:p>
        </w:tc>
        <w:tc>
          <w:tcPr>
            <w:tcW w:w="1150" w:type="dxa"/>
            <w:noWrap/>
            <w:hideMark/>
          </w:tcPr>
          <w:p w14:paraId="008DC75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2,522 </w:t>
            </w:r>
          </w:p>
        </w:tc>
      </w:tr>
      <w:tr w:rsidR="00161769" w:rsidRPr="00F171A3" w14:paraId="2477F8D8"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73AC942B"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Pantelimon</w:t>
            </w:r>
          </w:p>
        </w:tc>
        <w:tc>
          <w:tcPr>
            <w:tcW w:w="1289" w:type="dxa"/>
            <w:noWrap/>
            <w:hideMark/>
          </w:tcPr>
          <w:p w14:paraId="3EBD2EE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31,500 </w:t>
            </w:r>
          </w:p>
        </w:tc>
        <w:tc>
          <w:tcPr>
            <w:tcW w:w="1127" w:type="dxa"/>
            <w:noWrap/>
            <w:hideMark/>
          </w:tcPr>
          <w:p w14:paraId="7ABE3D4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27 </w:t>
            </w:r>
          </w:p>
        </w:tc>
        <w:tc>
          <w:tcPr>
            <w:tcW w:w="1150" w:type="dxa"/>
            <w:noWrap/>
            <w:hideMark/>
          </w:tcPr>
          <w:p w14:paraId="6F42687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1,167 </w:t>
            </w:r>
          </w:p>
        </w:tc>
        <w:tc>
          <w:tcPr>
            <w:tcW w:w="1611" w:type="dxa"/>
            <w:noWrap/>
            <w:hideMark/>
          </w:tcPr>
          <w:p w14:paraId="61AEB81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549,799 </w:t>
            </w:r>
          </w:p>
        </w:tc>
        <w:tc>
          <w:tcPr>
            <w:tcW w:w="1127" w:type="dxa"/>
            <w:noWrap/>
            <w:hideMark/>
          </w:tcPr>
          <w:p w14:paraId="06D9CF0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215 </w:t>
            </w:r>
          </w:p>
        </w:tc>
        <w:tc>
          <w:tcPr>
            <w:tcW w:w="1150" w:type="dxa"/>
            <w:noWrap/>
            <w:hideMark/>
          </w:tcPr>
          <w:p w14:paraId="6CE83CF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2,557 </w:t>
            </w:r>
          </w:p>
        </w:tc>
      </w:tr>
      <w:tr w:rsidR="00161769" w:rsidRPr="00F171A3" w14:paraId="77BFD3A3"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29924EF6"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Doamna Ghica</w:t>
            </w:r>
          </w:p>
        </w:tc>
        <w:tc>
          <w:tcPr>
            <w:tcW w:w="1289" w:type="dxa"/>
            <w:noWrap/>
            <w:hideMark/>
          </w:tcPr>
          <w:p w14:paraId="6CEBFAB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18,900 </w:t>
            </w:r>
          </w:p>
        </w:tc>
        <w:tc>
          <w:tcPr>
            <w:tcW w:w="1127" w:type="dxa"/>
            <w:noWrap/>
            <w:hideMark/>
          </w:tcPr>
          <w:p w14:paraId="33FD7BDF"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16 </w:t>
            </w:r>
          </w:p>
        </w:tc>
        <w:tc>
          <w:tcPr>
            <w:tcW w:w="1150" w:type="dxa"/>
            <w:noWrap/>
            <w:hideMark/>
          </w:tcPr>
          <w:p w14:paraId="1E85E19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1,181 </w:t>
            </w:r>
          </w:p>
        </w:tc>
        <w:tc>
          <w:tcPr>
            <w:tcW w:w="1611" w:type="dxa"/>
            <w:noWrap/>
            <w:hideMark/>
          </w:tcPr>
          <w:p w14:paraId="112B636D"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330,000 </w:t>
            </w:r>
          </w:p>
        </w:tc>
        <w:tc>
          <w:tcPr>
            <w:tcW w:w="1127" w:type="dxa"/>
            <w:noWrap/>
            <w:hideMark/>
          </w:tcPr>
          <w:p w14:paraId="489207B7"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200 </w:t>
            </w:r>
          </w:p>
        </w:tc>
        <w:tc>
          <w:tcPr>
            <w:tcW w:w="1150" w:type="dxa"/>
            <w:noWrap/>
            <w:hideMark/>
          </w:tcPr>
          <w:p w14:paraId="253EDD6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1,650 </w:t>
            </w:r>
          </w:p>
        </w:tc>
      </w:tr>
      <w:tr w:rsidR="00161769" w:rsidRPr="00F171A3" w14:paraId="5D110CA8"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152708A8"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Vatra Luminoasă</w:t>
            </w:r>
          </w:p>
        </w:tc>
        <w:tc>
          <w:tcPr>
            <w:tcW w:w="1289" w:type="dxa"/>
            <w:noWrap/>
            <w:hideMark/>
          </w:tcPr>
          <w:p w14:paraId="1583D30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38,500 </w:t>
            </w:r>
          </w:p>
        </w:tc>
        <w:tc>
          <w:tcPr>
            <w:tcW w:w="1127" w:type="dxa"/>
            <w:noWrap/>
            <w:hideMark/>
          </w:tcPr>
          <w:p w14:paraId="7D4262C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22 </w:t>
            </w:r>
          </w:p>
        </w:tc>
        <w:tc>
          <w:tcPr>
            <w:tcW w:w="1150" w:type="dxa"/>
            <w:noWrap/>
            <w:hideMark/>
          </w:tcPr>
          <w:p w14:paraId="76D4DDA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1,750 </w:t>
            </w:r>
          </w:p>
        </w:tc>
        <w:tc>
          <w:tcPr>
            <w:tcW w:w="1611" w:type="dxa"/>
            <w:noWrap/>
            <w:hideMark/>
          </w:tcPr>
          <w:p w14:paraId="5F47929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380,000 </w:t>
            </w:r>
          </w:p>
        </w:tc>
        <w:tc>
          <w:tcPr>
            <w:tcW w:w="1127" w:type="dxa"/>
            <w:noWrap/>
            <w:hideMark/>
          </w:tcPr>
          <w:p w14:paraId="57CFF66F"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149 </w:t>
            </w:r>
          </w:p>
        </w:tc>
        <w:tc>
          <w:tcPr>
            <w:tcW w:w="1150" w:type="dxa"/>
            <w:noWrap/>
            <w:hideMark/>
          </w:tcPr>
          <w:p w14:paraId="602DEE0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2,549 </w:t>
            </w:r>
          </w:p>
        </w:tc>
      </w:tr>
      <w:tr w:rsidR="00161769" w:rsidRPr="00F171A3" w14:paraId="0C8F01D7"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721F76E0"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Obor</w:t>
            </w:r>
          </w:p>
        </w:tc>
        <w:tc>
          <w:tcPr>
            <w:tcW w:w="1289" w:type="dxa"/>
            <w:noWrap/>
            <w:hideMark/>
          </w:tcPr>
          <w:p w14:paraId="3C205427"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47,999 </w:t>
            </w:r>
          </w:p>
        </w:tc>
        <w:tc>
          <w:tcPr>
            <w:tcW w:w="1127" w:type="dxa"/>
            <w:noWrap/>
            <w:hideMark/>
          </w:tcPr>
          <w:p w14:paraId="3F4941D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32 </w:t>
            </w:r>
          </w:p>
        </w:tc>
        <w:tc>
          <w:tcPr>
            <w:tcW w:w="1150" w:type="dxa"/>
            <w:noWrap/>
            <w:hideMark/>
          </w:tcPr>
          <w:p w14:paraId="786FE7F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1,500 </w:t>
            </w:r>
          </w:p>
        </w:tc>
        <w:tc>
          <w:tcPr>
            <w:tcW w:w="1611" w:type="dxa"/>
            <w:noWrap/>
            <w:hideMark/>
          </w:tcPr>
          <w:p w14:paraId="7822C92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295,000 </w:t>
            </w:r>
          </w:p>
        </w:tc>
        <w:tc>
          <w:tcPr>
            <w:tcW w:w="1127" w:type="dxa"/>
            <w:noWrap/>
            <w:hideMark/>
          </w:tcPr>
          <w:p w14:paraId="698C59C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105 </w:t>
            </w:r>
          </w:p>
        </w:tc>
        <w:tc>
          <w:tcPr>
            <w:tcW w:w="1150" w:type="dxa"/>
            <w:noWrap/>
            <w:hideMark/>
          </w:tcPr>
          <w:p w14:paraId="485C0094"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2,810 </w:t>
            </w:r>
          </w:p>
        </w:tc>
      </w:tr>
      <w:tr w:rsidR="00161769" w:rsidRPr="00F171A3" w14:paraId="185B367A"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654640F0"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Tei</w:t>
            </w:r>
          </w:p>
        </w:tc>
        <w:tc>
          <w:tcPr>
            <w:tcW w:w="1289" w:type="dxa"/>
            <w:noWrap/>
            <w:hideMark/>
          </w:tcPr>
          <w:p w14:paraId="53361AF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34,000 </w:t>
            </w:r>
          </w:p>
        </w:tc>
        <w:tc>
          <w:tcPr>
            <w:tcW w:w="1127" w:type="dxa"/>
            <w:noWrap/>
            <w:hideMark/>
          </w:tcPr>
          <w:p w14:paraId="5DB65A0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24 </w:t>
            </w:r>
          </w:p>
        </w:tc>
        <w:tc>
          <w:tcPr>
            <w:tcW w:w="1150" w:type="dxa"/>
            <w:noWrap/>
            <w:hideMark/>
          </w:tcPr>
          <w:p w14:paraId="37A819D4"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1,417 </w:t>
            </w:r>
          </w:p>
        </w:tc>
        <w:tc>
          <w:tcPr>
            <w:tcW w:w="1611" w:type="dxa"/>
            <w:noWrap/>
            <w:hideMark/>
          </w:tcPr>
          <w:p w14:paraId="46F3B3B4"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749,000 </w:t>
            </w:r>
          </w:p>
        </w:tc>
        <w:tc>
          <w:tcPr>
            <w:tcW w:w="1127" w:type="dxa"/>
            <w:noWrap/>
            <w:hideMark/>
          </w:tcPr>
          <w:p w14:paraId="0E41EA7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250 </w:t>
            </w:r>
          </w:p>
        </w:tc>
        <w:tc>
          <w:tcPr>
            <w:tcW w:w="1150" w:type="dxa"/>
            <w:noWrap/>
            <w:hideMark/>
          </w:tcPr>
          <w:p w14:paraId="11CD9F0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2,996 </w:t>
            </w:r>
          </w:p>
        </w:tc>
      </w:tr>
      <w:tr w:rsidR="00161769" w:rsidRPr="00F171A3" w14:paraId="325A405F"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7E4592C0"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Floreasca</w:t>
            </w:r>
          </w:p>
        </w:tc>
        <w:tc>
          <w:tcPr>
            <w:tcW w:w="1289" w:type="dxa"/>
            <w:noWrap/>
            <w:hideMark/>
          </w:tcPr>
          <w:p w14:paraId="4E1BC4F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48,500 </w:t>
            </w:r>
          </w:p>
        </w:tc>
        <w:tc>
          <w:tcPr>
            <w:tcW w:w="1127" w:type="dxa"/>
            <w:noWrap/>
            <w:hideMark/>
          </w:tcPr>
          <w:p w14:paraId="1A5F085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28 </w:t>
            </w:r>
          </w:p>
        </w:tc>
        <w:tc>
          <w:tcPr>
            <w:tcW w:w="1150" w:type="dxa"/>
            <w:noWrap/>
            <w:hideMark/>
          </w:tcPr>
          <w:p w14:paraId="4ACF298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1,732 </w:t>
            </w:r>
          </w:p>
        </w:tc>
        <w:tc>
          <w:tcPr>
            <w:tcW w:w="1611" w:type="dxa"/>
            <w:noWrap/>
            <w:hideMark/>
          </w:tcPr>
          <w:p w14:paraId="0878DD9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5,150,000 </w:t>
            </w:r>
          </w:p>
        </w:tc>
        <w:tc>
          <w:tcPr>
            <w:tcW w:w="1127" w:type="dxa"/>
            <w:noWrap/>
            <w:hideMark/>
          </w:tcPr>
          <w:p w14:paraId="1FD895A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566 </w:t>
            </w:r>
          </w:p>
        </w:tc>
        <w:tc>
          <w:tcPr>
            <w:tcW w:w="1150" w:type="dxa"/>
            <w:noWrap/>
            <w:hideMark/>
          </w:tcPr>
          <w:p w14:paraId="52F23EA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eastAsia="Times New Roman" w:hAnsi="Calibri" w:cs="Calibri"/>
                <w:color w:val="000000"/>
                <w:szCs w:val="20"/>
                <w:lang w:eastAsia="en-GB"/>
              </w:rPr>
              <w:t xml:space="preserve">         9,099 </w:t>
            </w:r>
          </w:p>
        </w:tc>
      </w:tr>
    </w:tbl>
    <w:p w14:paraId="4B643CBA" w14:textId="77777777" w:rsidR="00161769" w:rsidRPr="00F171A3" w:rsidRDefault="00161769" w:rsidP="0046391E">
      <w:pPr>
        <w:jc w:val="right"/>
        <w:rPr>
          <w:color w:val="BFBFBF" w:themeColor="background1" w:themeShade="BF"/>
        </w:rPr>
      </w:pPr>
      <w:r w:rsidRPr="00F171A3">
        <w:rPr>
          <w:color w:val="BFBFBF" w:themeColor="background1" w:themeShade="BF"/>
        </w:rPr>
        <w:t>Sursa: imobiliare.ro</w:t>
      </w:r>
    </w:p>
    <w:p w14:paraId="6B5020F8" w14:textId="77777777" w:rsidR="0046391E" w:rsidRPr="00F171A3" w:rsidRDefault="0046391E" w:rsidP="00161769"/>
    <w:p w14:paraId="514D3291" w14:textId="72FBD738" w:rsidR="00833D23" w:rsidRPr="00F171A3" w:rsidRDefault="00161769" w:rsidP="00161769">
      <w:r w:rsidRPr="00F171A3">
        <w:t>În ceea ce privește piața pentru închi</w:t>
      </w:r>
      <w:r w:rsidR="008A1AFD">
        <w:t>rierea</w:t>
      </w:r>
      <w:r w:rsidRPr="00F171A3">
        <w:t xml:space="preserve"> de locuințe, prețul pe metru pătrat util variază între 7 și 13 EUR/ mp în medie, în jurul valorii medii (7,6 EUR/mp) calculată pentru municipiul București. Și în acest caz cartierele Floreasca și Tei-Barbu Văcărescu se remarcă prin valorile ridicate, dar și prin spațiile generoase puse la dispoziția chiriașilor. Cartierele periferice se remarcă prin variații reduse între prețurile minimale și maximale. </w:t>
      </w:r>
    </w:p>
    <w:p w14:paraId="787154EE" w14:textId="5EF12273" w:rsidR="00161769" w:rsidRPr="00F171A3" w:rsidRDefault="00161769" w:rsidP="00161769">
      <w:pPr>
        <w:pStyle w:val="Caption"/>
      </w:pPr>
      <w:bookmarkStart w:id="226" w:name="_Toc126943285"/>
      <w:r w:rsidRPr="00F171A3">
        <w:t xml:space="preserve">Tabel </w:t>
      </w:r>
      <w:r w:rsidRPr="00F171A3">
        <w:fldChar w:fldCharType="begin"/>
      </w:r>
      <w:r w:rsidRPr="00F171A3">
        <w:instrText xml:space="preserve"> SEQ Tabel \* ARABIC </w:instrText>
      </w:r>
      <w:r w:rsidRPr="00F171A3">
        <w:fldChar w:fldCharType="separate"/>
      </w:r>
      <w:r w:rsidR="005A6DD8">
        <w:rPr>
          <w:noProof/>
        </w:rPr>
        <w:t>28</w:t>
      </w:r>
      <w:r w:rsidRPr="00F171A3">
        <w:fldChar w:fldCharType="end"/>
      </w:r>
      <w:r w:rsidRPr="00F171A3">
        <w:t xml:space="preserve"> Valorile minime și maxime la prețurile pentru închirieri de locuințe, mai 2022</w:t>
      </w:r>
      <w:bookmarkEnd w:id="226"/>
    </w:p>
    <w:tbl>
      <w:tblPr>
        <w:tblStyle w:val="Civittatable"/>
        <w:tblW w:w="9364" w:type="dxa"/>
        <w:tblLook w:val="04A0" w:firstRow="1" w:lastRow="0" w:firstColumn="1" w:lastColumn="0" w:noHBand="0" w:noVBand="1"/>
      </w:tblPr>
      <w:tblGrid>
        <w:gridCol w:w="1910"/>
        <w:gridCol w:w="1289"/>
        <w:gridCol w:w="1127"/>
        <w:gridCol w:w="1150"/>
        <w:gridCol w:w="1611"/>
        <w:gridCol w:w="1127"/>
        <w:gridCol w:w="1150"/>
      </w:tblGrid>
      <w:tr w:rsidR="00833D23" w:rsidRPr="00F171A3" w14:paraId="125EB5FF" w14:textId="77777777" w:rsidTr="00833D23">
        <w:trPr>
          <w:cnfStyle w:val="100000000000" w:firstRow="1" w:lastRow="0" w:firstColumn="0" w:lastColumn="0" w:oddVBand="0" w:evenVBand="0" w:oddHBand="0" w:evenHBand="0" w:firstRowFirstColumn="0" w:firstRowLastColumn="0" w:lastRowFirstColumn="0" w:lastRowLastColumn="0"/>
          <w:trHeight w:val="463"/>
        </w:trPr>
        <w:tc>
          <w:tcPr>
            <w:tcW w:w="1910" w:type="dxa"/>
            <w:vMerge w:val="restart"/>
            <w:noWrap/>
            <w:vAlign w:val="center"/>
            <w:hideMark/>
          </w:tcPr>
          <w:p w14:paraId="2ED41603" w14:textId="602F9C36" w:rsidR="00833D23" w:rsidRPr="00F171A3" w:rsidRDefault="00833D23" w:rsidP="00833D23">
            <w:pPr>
              <w:spacing w:after="0"/>
              <w:jc w:val="center"/>
              <w:rPr>
                <w:rFonts w:ascii="Times New Roman" w:eastAsia="Times New Roman" w:hAnsi="Times New Roman" w:cs="Times New Roman"/>
                <w:b/>
                <w:bCs/>
                <w:sz w:val="24"/>
                <w:szCs w:val="24"/>
                <w:lang w:eastAsia="en-GB"/>
              </w:rPr>
            </w:pPr>
            <w:r w:rsidRPr="00F171A3">
              <w:rPr>
                <w:rFonts w:ascii="Calibri" w:eastAsia="Times New Roman" w:hAnsi="Calibri" w:cs="Calibri"/>
                <w:b/>
                <w:bCs/>
                <w:szCs w:val="20"/>
                <w:lang w:eastAsia="en-GB"/>
              </w:rPr>
              <w:t>CARTIER/ZONĂ</w:t>
            </w:r>
          </w:p>
        </w:tc>
        <w:tc>
          <w:tcPr>
            <w:tcW w:w="3566" w:type="dxa"/>
            <w:gridSpan w:val="3"/>
            <w:noWrap/>
            <w:vAlign w:val="center"/>
            <w:hideMark/>
          </w:tcPr>
          <w:p w14:paraId="195D4C21" w14:textId="76DA76B1" w:rsidR="00833D23" w:rsidRPr="00F171A3" w:rsidRDefault="00833D23" w:rsidP="00833D23">
            <w:pPr>
              <w:spacing w:after="0"/>
              <w:jc w:val="center"/>
              <w:rPr>
                <w:rFonts w:ascii="Times New Roman" w:eastAsia="Times New Roman" w:hAnsi="Times New Roman" w:cs="Times New Roman"/>
                <w:b/>
                <w:bCs/>
                <w:szCs w:val="20"/>
                <w:lang w:eastAsia="en-GB"/>
              </w:rPr>
            </w:pPr>
            <w:r w:rsidRPr="00F171A3">
              <w:rPr>
                <w:rFonts w:ascii="Calibri" w:eastAsia="Times New Roman" w:hAnsi="Calibri" w:cs="Calibri"/>
                <w:b/>
                <w:bCs/>
                <w:caps w:val="0"/>
                <w:szCs w:val="20"/>
                <w:lang w:eastAsia="en-GB"/>
              </w:rPr>
              <w:t>MIN</w:t>
            </w:r>
          </w:p>
        </w:tc>
        <w:tc>
          <w:tcPr>
            <w:tcW w:w="3888" w:type="dxa"/>
            <w:gridSpan w:val="3"/>
            <w:noWrap/>
            <w:vAlign w:val="center"/>
            <w:hideMark/>
          </w:tcPr>
          <w:p w14:paraId="2B3E5C11" w14:textId="7A49A317" w:rsidR="00833D23" w:rsidRPr="00F171A3" w:rsidRDefault="00833D23" w:rsidP="00833D23">
            <w:pPr>
              <w:spacing w:after="0"/>
              <w:jc w:val="center"/>
              <w:rPr>
                <w:rFonts w:ascii="Times New Roman" w:eastAsia="Times New Roman" w:hAnsi="Times New Roman" w:cs="Times New Roman"/>
                <w:b/>
                <w:bCs/>
                <w:szCs w:val="20"/>
                <w:lang w:eastAsia="en-GB"/>
              </w:rPr>
            </w:pPr>
            <w:r w:rsidRPr="00F171A3">
              <w:rPr>
                <w:rFonts w:ascii="Calibri" w:eastAsia="Times New Roman" w:hAnsi="Calibri" w:cs="Calibri"/>
                <w:b/>
                <w:bCs/>
                <w:caps w:val="0"/>
                <w:szCs w:val="20"/>
                <w:lang w:eastAsia="en-GB"/>
              </w:rPr>
              <w:t>MAX</w:t>
            </w:r>
          </w:p>
        </w:tc>
      </w:tr>
      <w:tr w:rsidR="00833D23" w:rsidRPr="00F171A3" w14:paraId="71D10F28" w14:textId="77777777" w:rsidTr="00833D23">
        <w:trPr>
          <w:cnfStyle w:val="000000100000" w:firstRow="0" w:lastRow="0" w:firstColumn="0" w:lastColumn="0" w:oddVBand="0" w:evenVBand="0" w:oddHBand="1" w:evenHBand="0" w:firstRowFirstColumn="0" w:firstRowLastColumn="0" w:lastRowFirstColumn="0" w:lastRowLastColumn="0"/>
          <w:trHeight w:val="463"/>
        </w:trPr>
        <w:tc>
          <w:tcPr>
            <w:tcW w:w="1910" w:type="dxa"/>
            <w:vMerge/>
            <w:shd w:val="clear" w:color="auto" w:fill="134753" w:themeFill="text2"/>
            <w:noWrap/>
            <w:vAlign w:val="center"/>
            <w:hideMark/>
          </w:tcPr>
          <w:p w14:paraId="5678A57E" w14:textId="3939243A" w:rsidR="00833D23" w:rsidRPr="00F171A3" w:rsidRDefault="00833D23" w:rsidP="00833D23">
            <w:pPr>
              <w:spacing w:after="0"/>
              <w:jc w:val="center"/>
              <w:rPr>
                <w:rFonts w:ascii="Calibri" w:eastAsia="Times New Roman" w:hAnsi="Calibri" w:cs="Calibri"/>
                <w:b/>
                <w:bCs/>
                <w:color w:val="FFFFFF" w:themeColor="background1"/>
                <w:szCs w:val="20"/>
                <w:lang w:eastAsia="en-GB"/>
              </w:rPr>
            </w:pPr>
          </w:p>
        </w:tc>
        <w:tc>
          <w:tcPr>
            <w:tcW w:w="1289" w:type="dxa"/>
            <w:shd w:val="clear" w:color="auto" w:fill="134753" w:themeFill="text2"/>
            <w:noWrap/>
            <w:vAlign w:val="center"/>
            <w:hideMark/>
          </w:tcPr>
          <w:p w14:paraId="6D71B2E7" w14:textId="257821E7"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PREȚ TOTAL</w:t>
            </w:r>
          </w:p>
        </w:tc>
        <w:tc>
          <w:tcPr>
            <w:tcW w:w="1127" w:type="dxa"/>
            <w:shd w:val="clear" w:color="auto" w:fill="134753" w:themeFill="text2"/>
            <w:noWrap/>
            <w:vAlign w:val="center"/>
            <w:hideMark/>
          </w:tcPr>
          <w:p w14:paraId="3DE949D8" w14:textId="40E0D23C"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MP</w:t>
            </w:r>
          </w:p>
        </w:tc>
        <w:tc>
          <w:tcPr>
            <w:tcW w:w="1150" w:type="dxa"/>
            <w:shd w:val="clear" w:color="auto" w:fill="134753" w:themeFill="text2"/>
            <w:noWrap/>
            <w:vAlign w:val="center"/>
            <w:hideMark/>
          </w:tcPr>
          <w:p w14:paraId="39C2BC1C" w14:textId="4BA9A393"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EUR/MP</w:t>
            </w:r>
          </w:p>
        </w:tc>
        <w:tc>
          <w:tcPr>
            <w:tcW w:w="1611" w:type="dxa"/>
            <w:shd w:val="clear" w:color="auto" w:fill="134753" w:themeFill="text2"/>
            <w:noWrap/>
            <w:vAlign w:val="center"/>
            <w:hideMark/>
          </w:tcPr>
          <w:p w14:paraId="7EB75370" w14:textId="657F21E7"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PREȚ TOTAL</w:t>
            </w:r>
          </w:p>
        </w:tc>
        <w:tc>
          <w:tcPr>
            <w:tcW w:w="1127" w:type="dxa"/>
            <w:shd w:val="clear" w:color="auto" w:fill="134753" w:themeFill="text2"/>
            <w:noWrap/>
            <w:vAlign w:val="center"/>
            <w:hideMark/>
          </w:tcPr>
          <w:p w14:paraId="5A08E4A6" w14:textId="3467EF52"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MP</w:t>
            </w:r>
          </w:p>
        </w:tc>
        <w:tc>
          <w:tcPr>
            <w:tcW w:w="1150" w:type="dxa"/>
            <w:shd w:val="clear" w:color="auto" w:fill="134753" w:themeFill="text2"/>
            <w:noWrap/>
            <w:vAlign w:val="center"/>
            <w:hideMark/>
          </w:tcPr>
          <w:p w14:paraId="2238A2FA" w14:textId="5CDD3A52" w:rsidR="00833D23"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EUR/MP</w:t>
            </w:r>
          </w:p>
        </w:tc>
      </w:tr>
      <w:tr w:rsidR="00161769" w:rsidRPr="00F171A3" w14:paraId="20A3C3F8"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7C3F7687"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Fundeni</w:t>
            </w:r>
          </w:p>
        </w:tc>
        <w:tc>
          <w:tcPr>
            <w:tcW w:w="1289" w:type="dxa"/>
            <w:noWrap/>
            <w:vAlign w:val="bottom"/>
            <w:hideMark/>
          </w:tcPr>
          <w:p w14:paraId="29B302C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280 </w:t>
            </w:r>
          </w:p>
        </w:tc>
        <w:tc>
          <w:tcPr>
            <w:tcW w:w="1127" w:type="dxa"/>
            <w:noWrap/>
            <w:vAlign w:val="bottom"/>
            <w:hideMark/>
          </w:tcPr>
          <w:p w14:paraId="537DFE6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34 </w:t>
            </w:r>
          </w:p>
        </w:tc>
        <w:tc>
          <w:tcPr>
            <w:tcW w:w="1150" w:type="dxa"/>
            <w:noWrap/>
            <w:vAlign w:val="bottom"/>
            <w:hideMark/>
          </w:tcPr>
          <w:p w14:paraId="2396AB0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 </w:t>
            </w:r>
          </w:p>
        </w:tc>
        <w:tc>
          <w:tcPr>
            <w:tcW w:w="1611" w:type="dxa"/>
            <w:noWrap/>
            <w:vAlign w:val="bottom"/>
            <w:hideMark/>
          </w:tcPr>
          <w:p w14:paraId="662B5EE4"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430 </w:t>
            </w:r>
          </w:p>
        </w:tc>
        <w:tc>
          <w:tcPr>
            <w:tcW w:w="1127" w:type="dxa"/>
            <w:noWrap/>
            <w:vAlign w:val="bottom"/>
            <w:hideMark/>
          </w:tcPr>
          <w:p w14:paraId="28E431A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80 </w:t>
            </w:r>
          </w:p>
        </w:tc>
        <w:tc>
          <w:tcPr>
            <w:tcW w:w="1150" w:type="dxa"/>
            <w:noWrap/>
            <w:vAlign w:val="bottom"/>
            <w:hideMark/>
          </w:tcPr>
          <w:p w14:paraId="555107C4"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5 </w:t>
            </w:r>
          </w:p>
        </w:tc>
      </w:tr>
      <w:tr w:rsidR="00161769" w:rsidRPr="00F171A3" w14:paraId="4258B3EC"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45A1CBCC"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Baicului</w:t>
            </w:r>
          </w:p>
        </w:tc>
        <w:tc>
          <w:tcPr>
            <w:tcW w:w="1289" w:type="dxa"/>
            <w:noWrap/>
            <w:vAlign w:val="bottom"/>
            <w:hideMark/>
          </w:tcPr>
          <w:p w14:paraId="6B142E9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250 </w:t>
            </w:r>
          </w:p>
        </w:tc>
        <w:tc>
          <w:tcPr>
            <w:tcW w:w="1127" w:type="dxa"/>
            <w:noWrap/>
            <w:vAlign w:val="bottom"/>
            <w:hideMark/>
          </w:tcPr>
          <w:p w14:paraId="004D579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51 </w:t>
            </w:r>
          </w:p>
        </w:tc>
        <w:tc>
          <w:tcPr>
            <w:tcW w:w="1150" w:type="dxa"/>
            <w:noWrap/>
            <w:vAlign w:val="bottom"/>
            <w:hideMark/>
          </w:tcPr>
          <w:p w14:paraId="3226F16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5 </w:t>
            </w:r>
          </w:p>
        </w:tc>
        <w:tc>
          <w:tcPr>
            <w:tcW w:w="1611" w:type="dxa"/>
            <w:noWrap/>
            <w:vAlign w:val="bottom"/>
            <w:hideMark/>
          </w:tcPr>
          <w:p w14:paraId="1B07242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650 </w:t>
            </w:r>
          </w:p>
        </w:tc>
        <w:tc>
          <w:tcPr>
            <w:tcW w:w="1127" w:type="dxa"/>
            <w:noWrap/>
            <w:vAlign w:val="bottom"/>
            <w:hideMark/>
          </w:tcPr>
          <w:p w14:paraId="7C02D57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88 </w:t>
            </w:r>
          </w:p>
        </w:tc>
        <w:tc>
          <w:tcPr>
            <w:tcW w:w="1150" w:type="dxa"/>
            <w:noWrap/>
            <w:vAlign w:val="bottom"/>
            <w:hideMark/>
          </w:tcPr>
          <w:p w14:paraId="13C331C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 </w:t>
            </w:r>
          </w:p>
        </w:tc>
      </w:tr>
      <w:tr w:rsidR="00161769" w:rsidRPr="00F171A3" w14:paraId="663C06EC"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5FFB3368"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Andronache</w:t>
            </w:r>
          </w:p>
        </w:tc>
        <w:tc>
          <w:tcPr>
            <w:tcW w:w="1289" w:type="dxa"/>
            <w:noWrap/>
            <w:vAlign w:val="bottom"/>
            <w:hideMark/>
          </w:tcPr>
          <w:p w14:paraId="42F0125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500 </w:t>
            </w:r>
          </w:p>
        </w:tc>
        <w:tc>
          <w:tcPr>
            <w:tcW w:w="1127" w:type="dxa"/>
            <w:noWrap/>
            <w:vAlign w:val="bottom"/>
            <w:hideMark/>
          </w:tcPr>
          <w:p w14:paraId="0EFC939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75 </w:t>
            </w:r>
          </w:p>
        </w:tc>
        <w:tc>
          <w:tcPr>
            <w:tcW w:w="1150" w:type="dxa"/>
            <w:noWrap/>
            <w:vAlign w:val="bottom"/>
            <w:hideMark/>
          </w:tcPr>
          <w:p w14:paraId="0AB69E4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 </w:t>
            </w:r>
          </w:p>
        </w:tc>
        <w:tc>
          <w:tcPr>
            <w:tcW w:w="1611" w:type="dxa"/>
            <w:noWrap/>
            <w:vAlign w:val="bottom"/>
            <w:hideMark/>
          </w:tcPr>
          <w:p w14:paraId="1AE22FB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650 </w:t>
            </w:r>
          </w:p>
        </w:tc>
        <w:tc>
          <w:tcPr>
            <w:tcW w:w="1127" w:type="dxa"/>
            <w:noWrap/>
            <w:vAlign w:val="bottom"/>
            <w:hideMark/>
          </w:tcPr>
          <w:p w14:paraId="724DE60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80 </w:t>
            </w:r>
          </w:p>
        </w:tc>
        <w:tc>
          <w:tcPr>
            <w:tcW w:w="1150" w:type="dxa"/>
            <w:noWrap/>
            <w:vAlign w:val="bottom"/>
            <w:hideMark/>
          </w:tcPr>
          <w:p w14:paraId="317EBD97"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 </w:t>
            </w:r>
          </w:p>
        </w:tc>
      </w:tr>
      <w:tr w:rsidR="00161769" w:rsidRPr="00F171A3" w14:paraId="6384B500"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27E26700"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Colentina</w:t>
            </w:r>
          </w:p>
        </w:tc>
        <w:tc>
          <w:tcPr>
            <w:tcW w:w="1289" w:type="dxa"/>
            <w:noWrap/>
            <w:vAlign w:val="bottom"/>
            <w:hideMark/>
          </w:tcPr>
          <w:p w14:paraId="3396279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200 </w:t>
            </w:r>
          </w:p>
        </w:tc>
        <w:tc>
          <w:tcPr>
            <w:tcW w:w="1127" w:type="dxa"/>
            <w:noWrap/>
            <w:vAlign w:val="bottom"/>
            <w:hideMark/>
          </w:tcPr>
          <w:p w14:paraId="227AB037"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36 </w:t>
            </w:r>
          </w:p>
        </w:tc>
        <w:tc>
          <w:tcPr>
            <w:tcW w:w="1150" w:type="dxa"/>
            <w:noWrap/>
            <w:vAlign w:val="bottom"/>
            <w:hideMark/>
          </w:tcPr>
          <w:p w14:paraId="57C7035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6 </w:t>
            </w:r>
          </w:p>
        </w:tc>
        <w:tc>
          <w:tcPr>
            <w:tcW w:w="1611" w:type="dxa"/>
            <w:noWrap/>
            <w:vAlign w:val="bottom"/>
            <w:hideMark/>
          </w:tcPr>
          <w:p w14:paraId="08D75CB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1,200 </w:t>
            </w:r>
          </w:p>
        </w:tc>
        <w:tc>
          <w:tcPr>
            <w:tcW w:w="1127" w:type="dxa"/>
            <w:noWrap/>
            <w:vAlign w:val="bottom"/>
            <w:hideMark/>
          </w:tcPr>
          <w:p w14:paraId="490CE951"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110 </w:t>
            </w:r>
          </w:p>
        </w:tc>
        <w:tc>
          <w:tcPr>
            <w:tcW w:w="1150" w:type="dxa"/>
            <w:noWrap/>
            <w:vAlign w:val="bottom"/>
            <w:hideMark/>
          </w:tcPr>
          <w:p w14:paraId="0F5FA68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11 </w:t>
            </w:r>
          </w:p>
        </w:tc>
      </w:tr>
      <w:tr w:rsidR="00161769" w:rsidRPr="00F171A3" w14:paraId="0E24F613"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7520BC08"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Pantelimon</w:t>
            </w:r>
          </w:p>
        </w:tc>
        <w:tc>
          <w:tcPr>
            <w:tcW w:w="1289" w:type="dxa"/>
            <w:noWrap/>
            <w:vAlign w:val="bottom"/>
            <w:hideMark/>
          </w:tcPr>
          <w:p w14:paraId="03DA627D"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200 </w:t>
            </w:r>
          </w:p>
        </w:tc>
        <w:tc>
          <w:tcPr>
            <w:tcW w:w="1127" w:type="dxa"/>
            <w:noWrap/>
            <w:vAlign w:val="bottom"/>
            <w:hideMark/>
          </w:tcPr>
          <w:p w14:paraId="6C01185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25 </w:t>
            </w:r>
          </w:p>
        </w:tc>
        <w:tc>
          <w:tcPr>
            <w:tcW w:w="1150" w:type="dxa"/>
            <w:noWrap/>
            <w:vAlign w:val="bottom"/>
            <w:hideMark/>
          </w:tcPr>
          <w:p w14:paraId="010EE38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 </w:t>
            </w:r>
          </w:p>
        </w:tc>
        <w:tc>
          <w:tcPr>
            <w:tcW w:w="1611" w:type="dxa"/>
            <w:noWrap/>
            <w:vAlign w:val="bottom"/>
            <w:hideMark/>
          </w:tcPr>
          <w:p w14:paraId="333A539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750 </w:t>
            </w:r>
          </w:p>
        </w:tc>
        <w:tc>
          <w:tcPr>
            <w:tcW w:w="1127" w:type="dxa"/>
            <w:noWrap/>
            <w:vAlign w:val="bottom"/>
            <w:hideMark/>
          </w:tcPr>
          <w:p w14:paraId="5FA549C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75 </w:t>
            </w:r>
          </w:p>
        </w:tc>
        <w:tc>
          <w:tcPr>
            <w:tcW w:w="1150" w:type="dxa"/>
            <w:noWrap/>
            <w:vAlign w:val="bottom"/>
            <w:hideMark/>
          </w:tcPr>
          <w:p w14:paraId="630D3E8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10 </w:t>
            </w:r>
          </w:p>
        </w:tc>
      </w:tr>
      <w:tr w:rsidR="00161769" w:rsidRPr="00F171A3" w14:paraId="3DF14C97"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3B00E462"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Doamna Ghica</w:t>
            </w:r>
          </w:p>
        </w:tc>
        <w:tc>
          <w:tcPr>
            <w:tcW w:w="1289" w:type="dxa"/>
            <w:noWrap/>
            <w:vAlign w:val="bottom"/>
            <w:hideMark/>
          </w:tcPr>
          <w:p w14:paraId="2C46674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200 </w:t>
            </w:r>
          </w:p>
        </w:tc>
        <w:tc>
          <w:tcPr>
            <w:tcW w:w="1127" w:type="dxa"/>
            <w:noWrap/>
            <w:vAlign w:val="bottom"/>
            <w:hideMark/>
          </w:tcPr>
          <w:p w14:paraId="23F418C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36 </w:t>
            </w:r>
          </w:p>
        </w:tc>
        <w:tc>
          <w:tcPr>
            <w:tcW w:w="1150" w:type="dxa"/>
            <w:noWrap/>
            <w:vAlign w:val="bottom"/>
            <w:hideMark/>
          </w:tcPr>
          <w:p w14:paraId="6667874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6 </w:t>
            </w:r>
          </w:p>
        </w:tc>
        <w:tc>
          <w:tcPr>
            <w:tcW w:w="1611" w:type="dxa"/>
            <w:noWrap/>
            <w:vAlign w:val="bottom"/>
            <w:hideMark/>
          </w:tcPr>
          <w:p w14:paraId="2CBD615F"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800 </w:t>
            </w:r>
          </w:p>
        </w:tc>
        <w:tc>
          <w:tcPr>
            <w:tcW w:w="1127" w:type="dxa"/>
            <w:noWrap/>
            <w:vAlign w:val="bottom"/>
            <w:hideMark/>
          </w:tcPr>
          <w:p w14:paraId="784D444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85 </w:t>
            </w:r>
          </w:p>
        </w:tc>
        <w:tc>
          <w:tcPr>
            <w:tcW w:w="1150" w:type="dxa"/>
            <w:noWrap/>
            <w:vAlign w:val="bottom"/>
            <w:hideMark/>
          </w:tcPr>
          <w:p w14:paraId="4741AF5D"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9 </w:t>
            </w:r>
          </w:p>
        </w:tc>
      </w:tr>
      <w:tr w:rsidR="00161769" w:rsidRPr="00F171A3" w14:paraId="075B2F39"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6D141378"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Vatra Luminoasă</w:t>
            </w:r>
          </w:p>
        </w:tc>
        <w:tc>
          <w:tcPr>
            <w:tcW w:w="1289" w:type="dxa"/>
            <w:noWrap/>
            <w:vAlign w:val="bottom"/>
            <w:hideMark/>
          </w:tcPr>
          <w:p w14:paraId="363BE1E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210 </w:t>
            </w:r>
          </w:p>
        </w:tc>
        <w:tc>
          <w:tcPr>
            <w:tcW w:w="1127" w:type="dxa"/>
            <w:noWrap/>
            <w:vAlign w:val="bottom"/>
            <w:hideMark/>
          </w:tcPr>
          <w:p w14:paraId="3255FF6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32 </w:t>
            </w:r>
          </w:p>
        </w:tc>
        <w:tc>
          <w:tcPr>
            <w:tcW w:w="1150" w:type="dxa"/>
            <w:noWrap/>
            <w:vAlign w:val="bottom"/>
            <w:hideMark/>
          </w:tcPr>
          <w:p w14:paraId="2834243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 </w:t>
            </w:r>
          </w:p>
        </w:tc>
        <w:tc>
          <w:tcPr>
            <w:tcW w:w="1611" w:type="dxa"/>
            <w:noWrap/>
            <w:vAlign w:val="bottom"/>
            <w:hideMark/>
          </w:tcPr>
          <w:p w14:paraId="735EB10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900 </w:t>
            </w:r>
          </w:p>
        </w:tc>
        <w:tc>
          <w:tcPr>
            <w:tcW w:w="1127" w:type="dxa"/>
            <w:noWrap/>
            <w:vAlign w:val="bottom"/>
            <w:hideMark/>
          </w:tcPr>
          <w:p w14:paraId="12BAC30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166 </w:t>
            </w:r>
          </w:p>
        </w:tc>
        <w:tc>
          <w:tcPr>
            <w:tcW w:w="1150" w:type="dxa"/>
            <w:noWrap/>
            <w:vAlign w:val="bottom"/>
            <w:hideMark/>
          </w:tcPr>
          <w:p w14:paraId="21D8705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5 </w:t>
            </w:r>
          </w:p>
        </w:tc>
      </w:tr>
      <w:tr w:rsidR="00161769" w:rsidRPr="00F171A3" w14:paraId="6579E4E1"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502F6137"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Obor</w:t>
            </w:r>
          </w:p>
        </w:tc>
        <w:tc>
          <w:tcPr>
            <w:tcW w:w="1289" w:type="dxa"/>
            <w:noWrap/>
            <w:vAlign w:val="bottom"/>
            <w:hideMark/>
          </w:tcPr>
          <w:p w14:paraId="44B16E1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250 </w:t>
            </w:r>
          </w:p>
        </w:tc>
        <w:tc>
          <w:tcPr>
            <w:tcW w:w="1127" w:type="dxa"/>
            <w:noWrap/>
            <w:vAlign w:val="bottom"/>
            <w:hideMark/>
          </w:tcPr>
          <w:p w14:paraId="65D8826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35 </w:t>
            </w:r>
          </w:p>
        </w:tc>
        <w:tc>
          <w:tcPr>
            <w:tcW w:w="1150" w:type="dxa"/>
            <w:noWrap/>
            <w:vAlign w:val="bottom"/>
            <w:hideMark/>
          </w:tcPr>
          <w:p w14:paraId="3E0E94E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 </w:t>
            </w:r>
          </w:p>
        </w:tc>
        <w:tc>
          <w:tcPr>
            <w:tcW w:w="1611" w:type="dxa"/>
            <w:noWrap/>
            <w:vAlign w:val="bottom"/>
            <w:hideMark/>
          </w:tcPr>
          <w:p w14:paraId="5073880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1,300 </w:t>
            </w:r>
          </w:p>
        </w:tc>
        <w:tc>
          <w:tcPr>
            <w:tcW w:w="1127" w:type="dxa"/>
            <w:noWrap/>
            <w:vAlign w:val="bottom"/>
            <w:hideMark/>
          </w:tcPr>
          <w:p w14:paraId="7B368F7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90 </w:t>
            </w:r>
          </w:p>
        </w:tc>
        <w:tc>
          <w:tcPr>
            <w:tcW w:w="1150" w:type="dxa"/>
            <w:noWrap/>
            <w:vAlign w:val="bottom"/>
            <w:hideMark/>
          </w:tcPr>
          <w:p w14:paraId="772BC6E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14 </w:t>
            </w:r>
          </w:p>
        </w:tc>
      </w:tr>
      <w:tr w:rsidR="00161769" w:rsidRPr="00F171A3" w14:paraId="6D8095FA"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104E73AB"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Tei</w:t>
            </w:r>
          </w:p>
        </w:tc>
        <w:tc>
          <w:tcPr>
            <w:tcW w:w="1289" w:type="dxa"/>
            <w:noWrap/>
            <w:vAlign w:val="bottom"/>
            <w:hideMark/>
          </w:tcPr>
          <w:p w14:paraId="2CB8182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235 </w:t>
            </w:r>
          </w:p>
        </w:tc>
        <w:tc>
          <w:tcPr>
            <w:tcW w:w="1127" w:type="dxa"/>
            <w:noWrap/>
            <w:vAlign w:val="bottom"/>
            <w:hideMark/>
          </w:tcPr>
          <w:p w14:paraId="2D82558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34 </w:t>
            </w:r>
          </w:p>
        </w:tc>
        <w:tc>
          <w:tcPr>
            <w:tcW w:w="1150" w:type="dxa"/>
            <w:noWrap/>
            <w:vAlign w:val="bottom"/>
            <w:hideMark/>
          </w:tcPr>
          <w:p w14:paraId="7C17BD9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 </w:t>
            </w:r>
          </w:p>
        </w:tc>
        <w:tc>
          <w:tcPr>
            <w:tcW w:w="1611" w:type="dxa"/>
            <w:noWrap/>
            <w:vAlign w:val="bottom"/>
            <w:hideMark/>
          </w:tcPr>
          <w:p w14:paraId="35D1F1E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2,500 </w:t>
            </w:r>
          </w:p>
        </w:tc>
        <w:tc>
          <w:tcPr>
            <w:tcW w:w="1127" w:type="dxa"/>
            <w:noWrap/>
            <w:vAlign w:val="bottom"/>
            <w:hideMark/>
          </w:tcPr>
          <w:p w14:paraId="5239D181"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306 </w:t>
            </w:r>
          </w:p>
        </w:tc>
        <w:tc>
          <w:tcPr>
            <w:tcW w:w="1150" w:type="dxa"/>
            <w:noWrap/>
            <w:vAlign w:val="bottom"/>
            <w:hideMark/>
          </w:tcPr>
          <w:p w14:paraId="0F27309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 </w:t>
            </w:r>
          </w:p>
        </w:tc>
      </w:tr>
      <w:tr w:rsidR="00161769" w:rsidRPr="00F171A3" w14:paraId="3557D71D"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790698B2"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Floreasca</w:t>
            </w:r>
          </w:p>
        </w:tc>
        <w:tc>
          <w:tcPr>
            <w:tcW w:w="1289" w:type="dxa"/>
            <w:noWrap/>
            <w:vAlign w:val="bottom"/>
            <w:hideMark/>
          </w:tcPr>
          <w:p w14:paraId="0D1CCEB1"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249 </w:t>
            </w:r>
          </w:p>
        </w:tc>
        <w:tc>
          <w:tcPr>
            <w:tcW w:w="1127" w:type="dxa"/>
            <w:noWrap/>
            <w:vAlign w:val="bottom"/>
            <w:hideMark/>
          </w:tcPr>
          <w:p w14:paraId="253210AD"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25 </w:t>
            </w:r>
          </w:p>
        </w:tc>
        <w:tc>
          <w:tcPr>
            <w:tcW w:w="1150" w:type="dxa"/>
            <w:noWrap/>
            <w:vAlign w:val="bottom"/>
            <w:hideMark/>
          </w:tcPr>
          <w:p w14:paraId="0CB6956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10 </w:t>
            </w:r>
          </w:p>
        </w:tc>
        <w:tc>
          <w:tcPr>
            <w:tcW w:w="1611" w:type="dxa"/>
            <w:noWrap/>
            <w:vAlign w:val="bottom"/>
            <w:hideMark/>
          </w:tcPr>
          <w:p w14:paraId="538ED1CF"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11,900 </w:t>
            </w:r>
          </w:p>
        </w:tc>
        <w:tc>
          <w:tcPr>
            <w:tcW w:w="1127" w:type="dxa"/>
            <w:noWrap/>
            <w:vAlign w:val="bottom"/>
            <w:hideMark/>
          </w:tcPr>
          <w:p w14:paraId="2913C4E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244 </w:t>
            </w:r>
          </w:p>
        </w:tc>
        <w:tc>
          <w:tcPr>
            <w:tcW w:w="1150" w:type="dxa"/>
            <w:noWrap/>
            <w:vAlign w:val="bottom"/>
            <w:hideMark/>
          </w:tcPr>
          <w:p w14:paraId="76765996"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49 </w:t>
            </w:r>
          </w:p>
        </w:tc>
      </w:tr>
    </w:tbl>
    <w:p w14:paraId="05E444B0" w14:textId="77777777" w:rsidR="00161769" w:rsidRPr="00F171A3" w:rsidRDefault="00161769" w:rsidP="0046391E">
      <w:pPr>
        <w:jc w:val="right"/>
        <w:rPr>
          <w:color w:val="BFBFBF" w:themeColor="background1" w:themeShade="BF"/>
        </w:rPr>
      </w:pPr>
      <w:r w:rsidRPr="00F171A3">
        <w:rPr>
          <w:color w:val="BFBFBF" w:themeColor="background1" w:themeShade="BF"/>
        </w:rPr>
        <w:t>Sursa: imobiliare.ro</w:t>
      </w:r>
    </w:p>
    <w:p w14:paraId="212BBC8D" w14:textId="77777777" w:rsidR="00161769" w:rsidRPr="00F171A3" w:rsidRDefault="00161769" w:rsidP="00161769">
      <w:r w:rsidRPr="00F171A3">
        <w:t xml:space="preserve">La fel ca și în cazul pieței rezidențiale, se remarcă oferta ridicată de spații de birouri și spații comerciale în cartierul Floreasca, unde se întâlnesc cele mai ridicate prețuri (în valoare absolută și raportat la MP). Totuși, spre deosebire de piața rezidențială, se remarcă variațiile însemnate cu privire la suprafețele spațiilor de vânzare, care pot depăși și 1000 mp în cazul clădirilor de birouri, ce găzduiesc adesea și spații comerciale. De asemenea, se remarcă spațiile industriale (de depozitare, scopuri multiple) doar în rândul a câteva cartiere, unde există rezerve de teren (Fundeni, Andronache și Pantelimon). </w:t>
      </w:r>
    </w:p>
    <w:p w14:paraId="25ED31EF" w14:textId="77777777" w:rsidR="00161769" w:rsidRPr="00F171A3" w:rsidRDefault="00161769" w:rsidP="00161769">
      <w:pPr>
        <w:pStyle w:val="Normal0"/>
      </w:pPr>
      <w:r w:rsidRPr="00F171A3">
        <w:t xml:space="preserve">Conform portalului web </w:t>
      </w:r>
      <w:hyperlink r:id="rId131" w:history="1">
        <w:r w:rsidRPr="00F171A3">
          <w:rPr>
            <w:rStyle w:val="Hyperlink"/>
          </w:rPr>
          <w:t>www.cautabirouri.ro</w:t>
        </w:r>
      </w:hyperlink>
      <w:r w:rsidRPr="00F171A3">
        <w:t>, în Sectorul 2 al Capitalei sunt disponibile următoarele spații de închirieri pentru birouri, cu mențiunea că această listă nu este exhaustivă</w:t>
      </w:r>
      <w:r w:rsidRPr="00F171A3">
        <w:rPr>
          <w:rStyle w:val="FootnoteReference"/>
        </w:rPr>
        <w:footnoteReference w:id="101"/>
      </w:r>
      <w:r w:rsidRPr="00F171A3">
        <w:t xml:space="preserv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4718"/>
        <w:gridCol w:w="4718"/>
      </w:tblGrid>
      <w:tr w:rsidR="00161769" w:rsidRPr="008A1AFD" w14:paraId="2373C5BC" w14:textId="77777777" w:rsidTr="00833D23">
        <w:tc>
          <w:tcPr>
            <w:tcW w:w="4718" w:type="dxa"/>
            <w:shd w:val="clear" w:color="auto" w:fill="F2F2F2" w:themeFill="background1" w:themeFillShade="F2"/>
          </w:tcPr>
          <w:p w14:paraId="17A166F5" w14:textId="77777777" w:rsidR="00161769" w:rsidRPr="008A1AFD" w:rsidRDefault="00161769">
            <w:pPr>
              <w:pStyle w:val="Normal0"/>
              <w:numPr>
                <w:ilvl w:val="0"/>
                <w:numId w:val="18"/>
              </w:numPr>
            </w:pPr>
            <w:r w:rsidRPr="008A1AFD">
              <w:t xml:space="preserve">AFI Park Floreasca; </w:t>
            </w:r>
          </w:p>
        </w:tc>
        <w:tc>
          <w:tcPr>
            <w:tcW w:w="4718" w:type="dxa"/>
            <w:shd w:val="clear" w:color="auto" w:fill="F2F2F2" w:themeFill="background1" w:themeFillShade="F2"/>
          </w:tcPr>
          <w:p w14:paraId="25F78345" w14:textId="77777777" w:rsidR="00161769" w:rsidRPr="008A1AFD" w:rsidRDefault="00161769">
            <w:pPr>
              <w:pStyle w:val="Normal0"/>
              <w:numPr>
                <w:ilvl w:val="0"/>
                <w:numId w:val="18"/>
              </w:numPr>
            </w:pPr>
            <w:r w:rsidRPr="008A1AFD">
              <w:t>Green Court Bucharest;</w:t>
            </w:r>
          </w:p>
        </w:tc>
      </w:tr>
      <w:tr w:rsidR="00161769" w:rsidRPr="008A1AFD" w14:paraId="40304D40" w14:textId="77777777" w:rsidTr="00833D23">
        <w:tc>
          <w:tcPr>
            <w:tcW w:w="4718" w:type="dxa"/>
            <w:shd w:val="clear" w:color="auto" w:fill="F2F2F2" w:themeFill="background1" w:themeFillShade="F2"/>
          </w:tcPr>
          <w:p w14:paraId="2B7584B5" w14:textId="77777777" w:rsidR="00161769" w:rsidRPr="008A1AFD" w:rsidRDefault="00161769">
            <w:pPr>
              <w:pStyle w:val="Normal0"/>
              <w:numPr>
                <w:ilvl w:val="0"/>
                <w:numId w:val="18"/>
              </w:numPr>
            </w:pPr>
            <w:r w:rsidRPr="008A1AFD">
              <w:t>Arion Green;</w:t>
            </w:r>
          </w:p>
        </w:tc>
        <w:tc>
          <w:tcPr>
            <w:tcW w:w="4718" w:type="dxa"/>
            <w:shd w:val="clear" w:color="auto" w:fill="F2F2F2" w:themeFill="background1" w:themeFillShade="F2"/>
          </w:tcPr>
          <w:p w14:paraId="5670CB33" w14:textId="77777777" w:rsidR="00161769" w:rsidRPr="008A1AFD" w:rsidRDefault="00161769">
            <w:pPr>
              <w:pStyle w:val="Normal0"/>
              <w:numPr>
                <w:ilvl w:val="0"/>
                <w:numId w:val="18"/>
              </w:numPr>
            </w:pPr>
            <w:r w:rsidRPr="008A1AFD">
              <w:t>International Business Center;</w:t>
            </w:r>
          </w:p>
        </w:tc>
      </w:tr>
      <w:tr w:rsidR="00161769" w:rsidRPr="008A1AFD" w14:paraId="7EBC496B" w14:textId="77777777" w:rsidTr="00833D23">
        <w:tc>
          <w:tcPr>
            <w:tcW w:w="4718" w:type="dxa"/>
            <w:shd w:val="clear" w:color="auto" w:fill="F2F2F2" w:themeFill="background1" w:themeFillShade="F2"/>
          </w:tcPr>
          <w:p w14:paraId="18107568" w14:textId="77777777" w:rsidR="00161769" w:rsidRPr="008A1AFD" w:rsidRDefault="00161769">
            <w:pPr>
              <w:pStyle w:val="Normal0"/>
              <w:numPr>
                <w:ilvl w:val="0"/>
                <w:numId w:val="18"/>
              </w:numPr>
            </w:pPr>
            <w:r w:rsidRPr="008A1AFD">
              <w:t>Conect I Business Park;</w:t>
            </w:r>
          </w:p>
        </w:tc>
        <w:tc>
          <w:tcPr>
            <w:tcW w:w="4718" w:type="dxa"/>
            <w:shd w:val="clear" w:color="auto" w:fill="F2F2F2" w:themeFill="background1" w:themeFillShade="F2"/>
          </w:tcPr>
          <w:p w14:paraId="4A74D280" w14:textId="77777777" w:rsidR="00161769" w:rsidRPr="008A1AFD" w:rsidRDefault="00161769">
            <w:pPr>
              <w:pStyle w:val="Normal0"/>
              <w:numPr>
                <w:ilvl w:val="0"/>
                <w:numId w:val="18"/>
              </w:numPr>
            </w:pPr>
            <w:r w:rsidRPr="008A1AFD">
              <w:t>Iride Business Park;</w:t>
            </w:r>
          </w:p>
        </w:tc>
      </w:tr>
      <w:tr w:rsidR="00161769" w:rsidRPr="008A1AFD" w14:paraId="596D670A" w14:textId="77777777" w:rsidTr="00833D23">
        <w:tc>
          <w:tcPr>
            <w:tcW w:w="4718" w:type="dxa"/>
            <w:shd w:val="clear" w:color="auto" w:fill="F2F2F2" w:themeFill="background1" w:themeFillShade="F2"/>
          </w:tcPr>
          <w:p w14:paraId="185994AB" w14:textId="77777777" w:rsidR="00161769" w:rsidRPr="008A1AFD" w:rsidRDefault="00161769">
            <w:pPr>
              <w:pStyle w:val="Normal0"/>
              <w:numPr>
                <w:ilvl w:val="0"/>
                <w:numId w:val="18"/>
              </w:numPr>
            </w:pPr>
            <w:r w:rsidRPr="008A1AFD">
              <w:t xml:space="preserve">Connect II Business Park; </w:t>
            </w:r>
          </w:p>
        </w:tc>
        <w:tc>
          <w:tcPr>
            <w:tcW w:w="4718" w:type="dxa"/>
            <w:shd w:val="clear" w:color="auto" w:fill="F2F2F2" w:themeFill="background1" w:themeFillShade="F2"/>
          </w:tcPr>
          <w:p w14:paraId="3FA93545" w14:textId="77777777" w:rsidR="00161769" w:rsidRPr="008A1AFD" w:rsidRDefault="00161769">
            <w:pPr>
              <w:pStyle w:val="Normal0"/>
              <w:numPr>
                <w:ilvl w:val="0"/>
                <w:numId w:val="18"/>
              </w:numPr>
            </w:pPr>
            <w:r w:rsidRPr="008A1AFD">
              <w:t>Jean Louis Calderon 70 Office Building;</w:t>
            </w:r>
          </w:p>
        </w:tc>
      </w:tr>
      <w:tr w:rsidR="00161769" w:rsidRPr="008A1AFD" w14:paraId="7A4C47BA" w14:textId="77777777" w:rsidTr="00833D23">
        <w:tc>
          <w:tcPr>
            <w:tcW w:w="4718" w:type="dxa"/>
            <w:shd w:val="clear" w:color="auto" w:fill="F2F2F2" w:themeFill="background1" w:themeFillShade="F2"/>
          </w:tcPr>
          <w:p w14:paraId="5516D5B4" w14:textId="77777777" w:rsidR="00161769" w:rsidRPr="008A1AFD" w:rsidRDefault="00161769">
            <w:pPr>
              <w:pStyle w:val="Normal0"/>
              <w:numPr>
                <w:ilvl w:val="0"/>
                <w:numId w:val="18"/>
              </w:numPr>
            </w:pPr>
            <w:r w:rsidRPr="008A1AFD">
              <w:t>Dacia 1;</w:t>
            </w:r>
          </w:p>
        </w:tc>
        <w:tc>
          <w:tcPr>
            <w:tcW w:w="4718" w:type="dxa"/>
            <w:shd w:val="clear" w:color="auto" w:fill="F2F2F2" w:themeFill="background1" w:themeFillShade="F2"/>
          </w:tcPr>
          <w:p w14:paraId="681149E2" w14:textId="77777777" w:rsidR="00161769" w:rsidRPr="008A1AFD" w:rsidRDefault="00161769">
            <w:pPr>
              <w:pStyle w:val="Normal0"/>
              <w:numPr>
                <w:ilvl w:val="0"/>
                <w:numId w:val="18"/>
              </w:numPr>
            </w:pPr>
            <w:r w:rsidRPr="008A1AFD">
              <w:t>Maria Rosetti Tower;</w:t>
            </w:r>
          </w:p>
        </w:tc>
      </w:tr>
      <w:tr w:rsidR="00161769" w:rsidRPr="008A1AFD" w14:paraId="2ADC9140" w14:textId="77777777" w:rsidTr="00833D23">
        <w:tc>
          <w:tcPr>
            <w:tcW w:w="4718" w:type="dxa"/>
            <w:shd w:val="clear" w:color="auto" w:fill="F2F2F2" w:themeFill="background1" w:themeFillShade="F2"/>
          </w:tcPr>
          <w:p w14:paraId="5B68A899" w14:textId="77777777" w:rsidR="00161769" w:rsidRPr="008A1AFD" w:rsidRDefault="00161769">
            <w:pPr>
              <w:pStyle w:val="Normal0"/>
              <w:numPr>
                <w:ilvl w:val="0"/>
                <w:numId w:val="18"/>
              </w:numPr>
            </w:pPr>
            <w:r w:rsidRPr="008A1AFD">
              <w:t>Dacia Business Center;</w:t>
            </w:r>
          </w:p>
        </w:tc>
        <w:tc>
          <w:tcPr>
            <w:tcW w:w="4718" w:type="dxa"/>
            <w:shd w:val="clear" w:color="auto" w:fill="F2F2F2" w:themeFill="background1" w:themeFillShade="F2"/>
          </w:tcPr>
          <w:p w14:paraId="5918E380" w14:textId="77777777" w:rsidR="00161769" w:rsidRPr="008A1AFD" w:rsidRDefault="00161769">
            <w:pPr>
              <w:pStyle w:val="Normal0"/>
              <w:numPr>
                <w:ilvl w:val="0"/>
                <w:numId w:val="18"/>
              </w:numPr>
            </w:pPr>
            <w:r w:rsidRPr="008A1AFD">
              <w:t>Multigalaxy I;</w:t>
            </w:r>
          </w:p>
        </w:tc>
      </w:tr>
      <w:tr w:rsidR="00161769" w:rsidRPr="008A1AFD" w14:paraId="0CEB90C4" w14:textId="77777777" w:rsidTr="00833D23">
        <w:tc>
          <w:tcPr>
            <w:tcW w:w="4718" w:type="dxa"/>
            <w:shd w:val="clear" w:color="auto" w:fill="F2F2F2" w:themeFill="background1" w:themeFillShade="F2"/>
          </w:tcPr>
          <w:p w14:paraId="6ABCFF5E" w14:textId="77777777" w:rsidR="00161769" w:rsidRPr="008A1AFD" w:rsidRDefault="00161769">
            <w:pPr>
              <w:pStyle w:val="Normal0"/>
              <w:numPr>
                <w:ilvl w:val="0"/>
                <w:numId w:val="18"/>
              </w:numPr>
            </w:pPr>
            <w:r w:rsidRPr="008A1AFD">
              <w:t>Delea Veche 24 Office;</w:t>
            </w:r>
          </w:p>
        </w:tc>
        <w:tc>
          <w:tcPr>
            <w:tcW w:w="4718" w:type="dxa"/>
            <w:shd w:val="clear" w:color="auto" w:fill="F2F2F2" w:themeFill="background1" w:themeFillShade="F2"/>
          </w:tcPr>
          <w:p w14:paraId="6F9D9F0C" w14:textId="77777777" w:rsidR="00161769" w:rsidRPr="008A1AFD" w:rsidRDefault="00161769">
            <w:pPr>
              <w:pStyle w:val="Normal0"/>
              <w:numPr>
                <w:ilvl w:val="0"/>
                <w:numId w:val="18"/>
              </w:numPr>
            </w:pPr>
            <w:r w:rsidRPr="008A1AFD">
              <w:t>myhive IRIDE;</w:t>
            </w:r>
          </w:p>
        </w:tc>
      </w:tr>
      <w:tr w:rsidR="00161769" w:rsidRPr="008A1AFD" w14:paraId="55AAF68C" w14:textId="77777777" w:rsidTr="00833D23">
        <w:tc>
          <w:tcPr>
            <w:tcW w:w="4718" w:type="dxa"/>
            <w:shd w:val="clear" w:color="auto" w:fill="F2F2F2" w:themeFill="background1" w:themeFillShade="F2"/>
          </w:tcPr>
          <w:p w14:paraId="441D56FD" w14:textId="77777777" w:rsidR="00161769" w:rsidRPr="008A1AFD" w:rsidRDefault="00161769">
            <w:pPr>
              <w:pStyle w:val="Normal0"/>
              <w:numPr>
                <w:ilvl w:val="0"/>
                <w:numId w:val="18"/>
              </w:numPr>
            </w:pPr>
            <w:r w:rsidRPr="008A1AFD">
              <w:t>Eos Business Park;</w:t>
            </w:r>
          </w:p>
        </w:tc>
        <w:tc>
          <w:tcPr>
            <w:tcW w:w="4718" w:type="dxa"/>
            <w:shd w:val="clear" w:color="auto" w:fill="F2F2F2" w:themeFill="background1" w:themeFillShade="F2"/>
          </w:tcPr>
          <w:p w14:paraId="349F130F" w14:textId="77777777" w:rsidR="00161769" w:rsidRPr="008A1AFD" w:rsidRDefault="00161769">
            <w:pPr>
              <w:pStyle w:val="Normal0"/>
              <w:numPr>
                <w:ilvl w:val="0"/>
                <w:numId w:val="18"/>
              </w:numPr>
            </w:pPr>
            <w:r w:rsidRPr="008A1AFD">
              <w:t>Novo Business Park;</w:t>
            </w:r>
          </w:p>
        </w:tc>
      </w:tr>
      <w:tr w:rsidR="00161769" w:rsidRPr="008A1AFD" w14:paraId="22FB52B0" w14:textId="77777777" w:rsidTr="00833D23">
        <w:tc>
          <w:tcPr>
            <w:tcW w:w="4718" w:type="dxa"/>
            <w:shd w:val="clear" w:color="auto" w:fill="F2F2F2" w:themeFill="background1" w:themeFillShade="F2"/>
          </w:tcPr>
          <w:p w14:paraId="1AC1395F" w14:textId="77777777" w:rsidR="00161769" w:rsidRPr="008A1AFD" w:rsidRDefault="00161769">
            <w:pPr>
              <w:pStyle w:val="Normal0"/>
              <w:numPr>
                <w:ilvl w:val="0"/>
                <w:numId w:val="18"/>
              </w:numPr>
            </w:pPr>
            <w:r w:rsidRPr="008A1AFD">
              <w:t>Equilibrium Buildings;</w:t>
            </w:r>
          </w:p>
        </w:tc>
        <w:tc>
          <w:tcPr>
            <w:tcW w:w="4718" w:type="dxa"/>
            <w:shd w:val="clear" w:color="auto" w:fill="F2F2F2" w:themeFill="background1" w:themeFillShade="F2"/>
          </w:tcPr>
          <w:p w14:paraId="01C2A331" w14:textId="77777777" w:rsidR="00161769" w:rsidRPr="008A1AFD" w:rsidRDefault="00161769">
            <w:pPr>
              <w:pStyle w:val="Normal0"/>
              <w:numPr>
                <w:ilvl w:val="0"/>
                <w:numId w:val="18"/>
              </w:numPr>
            </w:pPr>
            <w:r w:rsidRPr="008A1AFD">
              <w:t>Office Building (Gh. Matac 19 - Barbu Vacarescu area);</w:t>
            </w:r>
          </w:p>
        </w:tc>
      </w:tr>
      <w:tr w:rsidR="00161769" w:rsidRPr="008A1AFD" w14:paraId="1B1D13B1" w14:textId="77777777" w:rsidTr="00833D23">
        <w:tc>
          <w:tcPr>
            <w:tcW w:w="4718" w:type="dxa"/>
            <w:shd w:val="clear" w:color="auto" w:fill="F2F2F2" w:themeFill="background1" w:themeFillShade="F2"/>
          </w:tcPr>
          <w:p w14:paraId="1E9FF326" w14:textId="77777777" w:rsidR="00161769" w:rsidRPr="008A1AFD" w:rsidRDefault="00161769">
            <w:pPr>
              <w:pStyle w:val="Normal0"/>
              <w:numPr>
                <w:ilvl w:val="0"/>
                <w:numId w:val="18"/>
              </w:numPr>
            </w:pPr>
            <w:r w:rsidRPr="008A1AFD">
              <w:t>Ethos House;</w:t>
            </w:r>
          </w:p>
        </w:tc>
        <w:tc>
          <w:tcPr>
            <w:tcW w:w="4718" w:type="dxa"/>
            <w:shd w:val="clear" w:color="auto" w:fill="F2F2F2" w:themeFill="background1" w:themeFillShade="F2"/>
          </w:tcPr>
          <w:p w14:paraId="793FAEAD" w14:textId="77777777" w:rsidR="00161769" w:rsidRPr="008A1AFD" w:rsidRDefault="00161769">
            <w:pPr>
              <w:pStyle w:val="Normal0"/>
              <w:numPr>
                <w:ilvl w:val="0"/>
                <w:numId w:val="18"/>
              </w:numPr>
            </w:pPr>
            <w:r w:rsidRPr="008A1AFD">
              <w:t>Oregon Park;</w:t>
            </w:r>
          </w:p>
        </w:tc>
      </w:tr>
      <w:tr w:rsidR="00161769" w:rsidRPr="008A1AFD" w14:paraId="5948AD11" w14:textId="77777777" w:rsidTr="00833D23">
        <w:tc>
          <w:tcPr>
            <w:tcW w:w="4718" w:type="dxa"/>
            <w:shd w:val="clear" w:color="auto" w:fill="F2F2F2" w:themeFill="background1" w:themeFillShade="F2"/>
          </w:tcPr>
          <w:p w14:paraId="4589360E" w14:textId="77777777" w:rsidR="00161769" w:rsidRPr="008A1AFD" w:rsidRDefault="00161769">
            <w:pPr>
              <w:pStyle w:val="Normal0"/>
              <w:numPr>
                <w:ilvl w:val="0"/>
                <w:numId w:val="18"/>
              </w:numPr>
            </w:pPr>
            <w:r w:rsidRPr="008A1AFD">
              <w:t>EuroTower;</w:t>
            </w:r>
          </w:p>
        </w:tc>
        <w:tc>
          <w:tcPr>
            <w:tcW w:w="4718" w:type="dxa"/>
            <w:shd w:val="clear" w:color="auto" w:fill="F2F2F2" w:themeFill="background1" w:themeFillShade="F2"/>
          </w:tcPr>
          <w:p w14:paraId="3BEB9F3D" w14:textId="77777777" w:rsidR="00161769" w:rsidRPr="008A1AFD" w:rsidRDefault="00161769">
            <w:pPr>
              <w:pStyle w:val="Normal0"/>
              <w:numPr>
                <w:ilvl w:val="0"/>
                <w:numId w:val="18"/>
              </w:numPr>
            </w:pPr>
            <w:r w:rsidRPr="008A1AFD">
              <w:t>Pipera Business Tower;</w:t>
            </w:r>
          </w:p>
        </w:tc>
      </w:tr>
      <w:tr w:rsidR="00161769" w:rsidRPr="008A1AFD" w14:paraId="1115AAAB" w14:textId="77777777" w:rsidTr="00833D23">
        <w:tc>
          <w:tcPr>
            <w:tcW w:w="4718" w:type="dxa"/>
            <w:shd w:val="clear" w:color="auto" w:fill="F2F2F2" w:themeFill="background1" w:themeFillShade="F2"/>
          </w:tcPr>
          <w:p w14:paraId="54245112" w14:textId="77777777" w:rsidR="00161769" w:rsidRPr="008A1AFD" w:rsidRDefault="00161769">
            <w:pPr>
              <w:pStyle w:val="Normal0"/>
              <w:numPr>
                <w:ilvl w:val="0"/>
                <w:numId w:val="48"/>
              </w:numPr>
            </w:pPr>
            <w:r w:rsidRPr="008A1AFD">
              <w:t>Floreasca 182;</w:t>
            </w:r>
          </w:p>
        </w:tc>
        <w:tc>
          <w:tcPr>
            <w:tcW w:w="4718" w:type="dxa"/>
            <w:shd w:val="clear" w:color="auto" w:fill="F2F2F2" w:themeFill="background1" w:themeFillShade="F2"/>
          </w:tcPr>
          <w:p w14:paraId="10470EF6" w14:textId="77777777" w:rsidR="00161769" w:rsidRPr="008A1AFD" w:rsidRDefault="00161769">
            <w:pPr>
              <w:pStyle w:val="Normal0"/>
              <w:numPr>
                <w:ilvl w:val="0"/>
                <w:numId w:val="18"/>
              </w:numPr>
            </w:pPr>
            <w:r w:rsidRPr="008A1AFD">
              <w:t>Stefan cel Mare Building;</w:t>
            </w:r>
          </w:p>
        </w:tc>
      </w:tr>
      <w:tr w:rsidR="00161769" w:rsidRPr="008A1AFD" w14:paraId="622E3829" w14:textId="77777777" w:rsidTr="00833D23">
        <w:tc>
          <w:tcPr>
            <w:tcW w:w="4718" w:type="dxa"/>
            <w:shd w:val="clear" w:color="auto" w:fill="F2F2F2" w:themeFill="background1" w:themeFillShade="F2"/>
          </w:tcPr>
          <w:p w14:paraId="0741178C" w14:textId="77777777" w:rsidR="00161769" w:rsidRPr="008A1AFD" w:rsidRDefault="00161769">
            <w:pPr>
              <w:pStyle w:val="Normal0"/>
              <w:numPr>
                <w:ilvl w:val="0"/>
                <w:numId w:val="48"/>
              </w:numPr>
            </w:pPr>
            <w:r w:rsidRPr="008A1AFD">
              <w:t>Floreasca 60;</w:t>
            </w:r>
          </w:p>
        </w:tc>
        <w:tc>
          <w:tcPr>
            <w:tcW w:w="4718" w:type="dxa"/>
            <w:shd w:val="clear" w:color="auto" w:fill="F2F2F2" w:themeFill="background1" w:themeFillShade="F2"/>
          </w:tcPr>
          <w:p w14:paraId="67311CE4" w14:textId="77777777" w:rsidR="00161769" w:rsidRPr="008A1AFD" w:rsidRDefault="00161769">
            <w:pPr>
              <w:pStyle w:val="Normal0"/>
              <w:numPr>
                <w:ilvl w:val="0"/>
                <w:numId w:val="18"/>
              </w:numPr>
            </w:pPr>
            <w:r w:rsidRPr="008A1AFD">
              <w:t>Unimed Office Building;</w:t>
            </w:r>
          </w:p>
        </w:tc>
      </w:tr>
      <w:tr w:rsidR="00161769" w:rsidRPr="008A1AFD" w14:paraId="41DA1B38" w14:textId="77777777" w:rsidTr="00833D23">
        <w:tc>
          <w:tcPr>
            <w:tcW w:w="4718" w:type="dxa"/>
            <w:shd w:val="clear" w:color="auto" w:fill="F2F2F2" w:themeFill="background1" w:themeFillShade="F2"/>
          </w:tcPr>
          <w:p w14:paraId="222D54DD" w14:textId="77777777" w:rsidR="00161769" w:rsidRPr="008A1AFD" w:rsidRDefault="00161769">
            <w:pPr>
              <w:pStyle w:val="Normal0"/>
              <w:numPr>
                <w:ilvl w:val="0"/>
                <w:numId w:val="18"/>
              </w:numPr>
            </w:pPr>
            <w:r w:rsidRPr="008A1AFD">
              <w:t>Floreasca Park;</w:t>
            </w:r>
          </w:p>
        </w:tc>
        <w:tc>
          <w:tcPr>
            <w:tcW w:w="4718" w:type="dxa"/>
            <w:shd w:val="clear" w:color="auto" w:fill="F2F2F2" w:themeFill="background1" w:themeFillShade="F2"/>
          </w:tcPr>
          <w:p w14:paraId="401D5F34" w14:textId="77777777" w:rsidR="00161769" w:rsidRPr="008A1AFD" w:rsidRDefault="00161769">
            <w:pPr>
              <w:pStyle w:val="Normal0"/>
              <w:numPr>
                <w:ilvl w:val="0"/>
                <w:numId w:val="18"/>
              </w:numPr>
            </w:pPr>
            <w:r w:rsidRPr="008A1AFD">
              <w:t>Upground I – BOB;</w:t>
            </w:r>
          </w:p>
        </w:tc>
      </w:tr>
      <w:tr w:rsidR="00161769" w:rsidRPr="008A1AFD" w14:paraId="6AD2C863" w14:textId="77777777" w:rsidTr="00833D23">
        <w:tc>
          <w:tcPr>
            <w:tcW w:w="4718" w:type="dxa"/>
            <w:shd w:val="clear" w:color="auto" w:fill="F2F2F2" w:themeFill="background1" w:themeFillShade="F2"/>
          </w:tcPr>
          <w:p w14:paraId="6752F833" w14:textId="77777777" w:rsidR="00161769" w:rsidRPr="008A1AFD" w:rsidRDefault="00161769">
            <w:pPr>
              <w:pStyle w:val="Normal0"/>
              <w:numPr>
                <w:ilvl w:val="0"/>
                <w:numId w:val="18"/>
              </w:numPr>
            </w:pPr>
            <w:r w:rsidRPr="008A1AFD">
              <w:t>Globalworth Campus;</w:t>
            </w:r>
          </w:p>
        </w:tc>
        <w:tc>
          <w:tcPr>
            <w:tcW w:w="4718" w:type="dxa"/>
            <w:shd w:val="clear" w:color="auto" w:fill="F2F2F2" w:themeFill="background1" w:themeFillShade="F2"/>
          </w:tcPr>
          <w:p w14:paraId="7508B9F4" w14:textId="77777777" w:rsidR="00161769" w:rsidRPr="008A1AFD" w:rsidRDefault="00161769">
            <w:pPr>
              <w:pStyle w:val="Normal0"/>
              <w:numPr>
                <w:ilvl w:val="0"/>
                <w:numId w:val="18"/>
              </w:numPr>
            </w:pPr>
            <w:r w:rsidRPr="008A1AFD">
              <w:t>UTI Business Center;</w:t>
            </w:r>
          </w:p>
        </w:tc>
      </w:tr>
      <w:tr w:rsidR="00161769" w:rsidRPr="008A1AFD" w14:paraId="264FC97A" w14:textId="77777777" w:rsidTr="00833D23">
        <w:tc>
          <w:tcPr>
            <w:tcW w:w="4718" w:type="dxa"/>
            <w:shd w:val="clear" w:color="auto" w:fill="F2F2F2" w:themeFill="background1" w:themeFillShade="F2"/>
          </w:tcPr>
          <w:p w14:paraId="335E7CD2" w14:textId="77777777" w:rsidR="00161769" w:rsidRPr="008A1AFD" w:rsidRDefault="00161769">
            <w:pPr>
              <w:pStyle w:val="Normal0"/>
              <w:numPr>
                <w:ilvl w:val="0"/>
                <w:numId w:val="18"/>
              </w:numPr>
            </w:pPr>
            <w:r w:rsidRPr="008A1AFD">
              <w:t>Globalworth Tower;</w:t>
            </w:r>
          </w:p>
        </w:tc>
        <w:tc>
          <w:tcPr>
            <w:tcW w:w="4718" w:type="dxa"/>
            <w:shd w:val="clear" w:color="auto" w:fill="F2F2F2" w:themeFill="background1" w:themeFillShade="F2"/>
          </w:tcPr>
          <w:p w14:paraId="4AE74BB2" w14:textId="77777777" w:rsidR="00161769" w:rsidRPr="008A1AFD" w:rsidRDefault="00161769" w:rsidP="00F31936">
            <w:pPr>
              <w:pStyle w:val="Normal0"/>
              <w:ind w:left="360"/>
            </w:pPr>
          </w:p>
        </w:tc>
      </w:tr>
    </w:tbl>
    <w:p w14:paraId="28EF65D7" w14:textId="0CA1934B" w:rsidR="00161769" w:rsidRPr="00F171A3" w:rsidRDefault="00161769" w:rsidP="00161769">
      <w:pPr>
        <w:pStyle w:val="Caption"/>
      </w:pPr>
      <w:bookmarkStart w:id="227" w:name="_Toc126943286"/>
      <w:r w:rsidRPr="00F171A3">
        <w:t xml:space="preserve">Tabel </w:t>
      </w:r>
      <w:r w:rsidRPr="00F171A3">
        <w:fldChar w:fldCharType="begin"/>
      </w:r>
      <w:r w:rsidRPr="00F171A3">
        <w:instrText xml:space="preserve"> SEQ Tabel \* ARABIC </w:instrText>
      </w:r>
      <w:r w:rsidRPr="00F171A3">
        <w:fldChar w:fldCharType="separate"/>
      </w:r>
      <w:r w:rsidR="005A6DD8">
        <w:rPr>
          <w:noProof/>
        </w:rPr>
        <w:t>29</w:t>
      </w:r>
      <w:r w:rsidRPr="00F171A3">
        <w:fldChar w:fldCharType="end"/>
      </w:r>
      <w:r w:rsidRPr="00F171A3">
        <w:t xml:space="preserve"> Piața pentru spații comerciale de vânzare, mai 2022</w:t>
      </w:r>
      <w:bookmarkEnd w:id="227"/>
    </w:p>
    <w:tbl>
      <w:tblPr>
        <w:tblStyle w:val="Civittatable"/>
        <w:tblW w:w="9364" w:type="dxa"/>
        <w:tblLook w:val="04A0" w:firstRow="1" w:lastRow="0" w:firstColumn="1" w:lastColumn="0" w:noHBand="0" w:noVBand="1"/>
      </w:tblPr>
      <w:tblGrid>
        <w:gridCol w:w="1910"/>
        <w:gridCol w:w="1289"/>
        <w:gridCol w:w="1127"/>
        <w:gridCol w:w="1150"/>
        <w:gridCol w:w="1611"/>
        <w:gridCol w:w="1127"/>
        <w:gridCol w:w="1150"/>
      </w:tblGrid>
      <w:tr w:rsidR="00161769" w:rsidRPr="00F171A3" w14:paraId="23A6C31A" w14:textId="77777777" w:rsidTr="00833D23">
        <w:trPr>
          <w:cnfStyle w:val="100000000000" w:firstRow="1" w:lastRow="0" w:firstColumn="0" w:lastColumn="0" w:oddVBand="0" w:evenVBand="0" w:oddHBand="0" w:evenHBand="0" w:firstRowFirstColumn="0" w:firstRowLastColumn="0" w:lastRowFirstColumn="0" w:lastRowLastColumn="0"/>
          <w:trHeight w:val="463"/>
        </w:trPr>
        <w:tc>
          <w:tcPr>
            <w:tcW w:w="1910" w:type="dxa"/>
            <w:noWrap/>
            <w:vAlign w:val="center"/>
            <w:hideMark/>
          </w:tcPr>
          <w:p w14:paraId="0322B1DD" w14:textId="77777777" w:rsidR="00161769" w:rsidRPr="00F171A3" w:rsidRDefault="00161769" w:rsidP="00833D23">
            <w:pPr>
              <w:spacing w:after="0"/>
              <w:jc w:val="center"/>
              <w:rPr>
                <w:rFonts w:ascii="Times New Roman" w:eastAsia="Times New Roman" w:hAnsi="Times New Roman" w:cs="Times New Roman"/>
                <w:b/>
                <w:bCs/>
                <w:sz w:val="24"/>
                <w:szCs w:val="24"/>
                <w:lang w:eastAsia="en-GB"/>
              </w:rPr>
            </w:pPr>
          </w:p>
        </w:tc>
        <w:tc>
          <w:tcPr>
            <w:tcW w:w="3566" w:type="dxa"/>
            <w:gridSpan w:val="3"/>
            <w:noWrap/>
            <w:vAlign w:val="center"/>
            <w:hideMark/>
          </w:tcPr>
          <w:p w14:paraId="650E2D12" w14:textId="3E38DB51" w:rsidR="00161769" w:rsidRPr="00F171A3" w:rsidRDefault="00833D23" w:rsidP="00833D23">
            <w:pPr>
              <w:spacing w:after="0"/>
              <w:jc w:val="center"/>
              <w:rPr>
                <w:rFonts w:ascii="Times New Roman" w:eastAsia="Times New Roman" w:hAnsi="Times New Roman" w:cs="Times New Roman"/>
                <w:b/>
                <w:bCs/>
                <w:szCs w:val="20"/>
                <w:lang w:eastAsia="en-GB"/>
              </w:rPr>
            </w:pPr>
            <w:r w:rsidRPr="00F171A3">
              <w:rPr>
                <w:rFonts w:ascii="Calibri" w:eastAsia="Times New Roman" w:hAnsi="Calibri" w:cs="Calibri"/>
                <w:b/>
                <w:bCs/>
                <w:caps w:val="0"/>
                <w:szCs w:val="20"/>
                <w:lang w:eastAsia="en-GB"/>
              </w:rPr>
              <w:t>MIN</w:t>
            </w:r>
          </w:p>
        </w:tc>
        <w:tc>
          <w:tcPr>
            <w:tcW w:w="3888" w:type="dxa"/>
            <w:gridSpan w:val="3"/>
            <w:noWrap/>
            <w:vAlign w:val="center"/>
            <w:hideMark/>
          </w:tcPr>
          <w:p w14:paraId="6BE3F7CF" w14:textId="6111C9A0" w:rsidR="00161769" w:rsidRPr="00F171A3" w:rsidRDefault="00833D23" w:rsidP="00833D23">
            <w:pPr>
              <w:spacing w:after="0"/>
              <w:jc w:val="center"/>
              <w:rPr>
                <w:rFonts w:ascii="Times New Roman" w:eastAsia="Times New Roman" w:hAnsi="Times New Roman" w:cs="Times New Roman"/>
                <w:b/>
                <w:bCs/>
                <w:szCs w:val="20"/>
                <w:lang w:eastAsia="en-GB"/>
              </w:rPr>
            </w:pPr>
            <w:r w:rsidRPr="00F171A3">
              <w:rPr>
                <w:rFonts w:ascii="Calibri" w:eastAsia="Times New Roman" w:hAnsi="Calibri" w:cs="Calibri"/>
                <w:b/>
                <w:bCs/>
                <w:caps w:val="0"/>
                <w:szCs w:val="20"/>
                <w:lang w:eastAsia="en-GB"/>
              </w:rPr>
              <w:t>MAX</w:t>
            </w:r>
          </w:p>
        </w:tc>
      </w:tr>
      <w:tr w:rsidR="00161769" w:rsidRPr="00F171A3" w14:paraId="5B7331E8" w14:textId="77777777" w:rsidTr="00833D23">
        <w:trPr>
          <w:cnfStyle w:val="000000100000" w:firstRow="0" w:lastRow="0" w:firstColumn="0" w:lastColumn="0" w:oddVBand="0" w:evenVBand="0" w:oddHBand="1" w:evenHBand="0" w:firstRowFirstColumn="0" w:firstRowLastColumn="0" w:lastRowFirstColumn="0" w:lastRowLastColumn="0"/>
          <w:trHeight w:val="463"/>
        </w:trPr>
        <w:tc>
          <w:tcPr>
            <w:tcW w:w="1910" w:type="dxa"/>
            <w:shd w:val="clear" w:color="auto" w:fill="134753" w:themeFill="text2"/>
            <w:noWrap/>
            <w:vAlign w:val="center"/>
            <w:hideMark/>
          </w:tcPr>
          <w:p w14:paraId="4F977C82" w14:textId="402BD74A" w:rsidR="00161769"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CARTIER/ZONĂ</w:t>
            </w:r>
          </w:p>
        </w:tc>
        <w:tc>
          <w:tcPr>
            <w:tcW w:w="1289" w:type="dxa"/>
            <w:shd w:val="clear" w:color="auto" w:fill="134753" w:themeFill="text2"/>
            <w:noWrap/>
            <w:vAlign w:val="center"/>
            <w:hideMark/>
          </w:tcPr>
          <w:p w14:paraId="01906CAF" w14:textId="27711A1A" w:rsidR="00161769"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PREȚ TOTAL</w:t>
            </w:r>
          </w:p>
        </w:tc>
        <w:tc>
          <w:tcPr>
            <w:tcW w:w="1127" w:type="dxa"/>
            <w:shd w:val="clear" w:color="auto" w:fill="134753" w:themeFill="text2"/>
            <w:noWrap/>
            <w:vAlign w:val="center"/>
            <w:hideMark/>
          </w:tcPr>
          <w:p w14:paraId="1CA626CE" w14:textId="48D1A2D9" w:rsidR="00161769"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MP</w:t>
            </w:r>
          </w:p>
        </w:tc>
        <w:tc>
          <w:tcPr>
            <w:tcW w:w="1150" w:type="dxa"/>
            <w:shd w:val="clear" w:color="auto" w:fill="134753" w:themeFill="text2"/>
            <w:noWrap/>
            <w:vAlign w:val="center"/>
            <w:hideMark/>
          </w:tcPr>
          <w:p w14:paraId="2D2B6D47" w14:textId="07999B36" w:rsidR="00161769"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EUR/MP</w:t>
            </w:r>
          </w:p>
        </w:tc>
        <w:tc>
          <w:tcPr>
            <w:tcW w:w="1611" w:type="dxa"/>
            <w:shd w:val="clear" w:color="auto" w:fill="134753" w:themeFill="text2"/>
            <w:noWrap/>
            <w:vAlign w:val="center"/>
            <w:hideMark/>
          </w:tcPr>
          <w:p w14:paraId="760C03DC" w14:textId="096877D0" w:rsidR="00161769"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PREȚ TOTAL</w:t>
            </w:r>
          </w:p>
        </w:tc>
        <w:tc>
          <w:tcPr>
            <w:tcW w:w="1127" w:type="dxa"/>
            <w:shd w:val="clear" w:color="auto" w:fill="134753" w:themeFill="text2"/>
            <w:noWrap/>
            <w:vAlign w:val="center"/>
            <w:hideMark/>
          </w:tcPr>
          <w:p w14:paraId="45FD06EB" w14:textId="479A1315" w:rsidR="00161769"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MP</w:t>
            </w:r>
          </w:p>
        </w:tc>
        <w:tc>
          <w:tcPr>
            <w:tcW w:w="1150" w:type="dxa"/>
            <w:shd w:val="clear" w:color="auto" w:fill="134753" w:themeFill="text2"/>
            <w:noWrap/>
            <w:vAlign w:val="center"/>
            <w:hideMark/>
          </w:tcPr>
          <w:p w14:paraId="16FF4E80" w14:textId="7552550E" w:rsidR="00161769" w:rsidRPr="00F171A3" w:rsidRDefault="00833D23" w:rsidP="00833D23">
            <w:pPr>
              <w:spacing w:after="0"/>
              <w:jc w:val="center"/>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EUR/MP</w:t>
            </w:r>
          </w:p>
        </w:tc>
      </w:tr>
      <w:tr w:rsidR="00161769" w:rsidRPr="00F171A3" w14:paraId="74DD9104"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9364" w:type="dxa"/>
            <w:gridSpan w:val="7"/>
            <w:shd w:val="clear" w:color="auto" w:fill="3CA1BC" w:themeFill="accent3"/>
            <w:noWrap/>
          </w:tcPr>
          <w:p w14:paraId="6D4E6DF7" w14:textId="77777777" w:rsidR="00161769" w:rsidRPr="00F171A3" w:rsidRDefault="00161769" w:rsidP="00F31936">
            <w:pPr>
              <w:spacing w:after="0"/>
              <w:jc w:val="left"/>
              <w:rPr>
                <w:rFonts w:ascii="Calibri" w:eastAsia="Times New Roman" w:hAnsi="Calibri" w:cs="Calibri"/>
                <w:b/>
                <w:bCs/>
                <w:color w:val="FFFFFF" w:themeColor="background1"/>
                <w:szCs w:val="20"/>
                <w:lang w:eastAsia="en-GB"/>
              </w:rPr>
            </w:pPr>
            <w:r w:rsidRPr="00F171A3">
              <w:rPr>
                <w:rFonts w:ascii="Calibri" w:eastAsia="Times New Roman" w:hAnsi="Calibri" w:cs="Calibri"/>
                <w:b/>
                <w:bCs/>
                <w:color w:val="FFFFFF" w:themeColor="background1"/>
                <w:szCs w:val="20"/>
                <w:lang w:eastAsia="en-GB"/>
              </w:rPr>
              <w:t>BIROURI</w:t>
            </w:r>
          </w:p>
        </w:tc>
      </w:tr>
      <w:tr w:rsidR="00161769" w:rsidRPr="00F171A3" w14:paraId="140D7B76"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7311430E"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Fundeni</w:t>
            </w:r>
          </w:p>
        </w:tc>
        <w:tc>
          <w:tcPr>
            <w:tcW w:w="1289" w:type="dxa"/>
            <w:noWrap/>
            <w:vAlign w:val="bottom"/>
            <w:hideMark/>
          </w:tcPr>
          <w:p w14:paraId="784672F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27,000 </w:t>
            </w:r>
          </w:p>
        </w:tc>
        <w:tc>
          <w:tcPr>
            <w:tcW w:w="1127" w:type="dxa"/>
            <w:noWrap/>
            <w:vAlign w:val="bottom"/>
            <w:hideMark/>
          </w:tcPr>
          <w:p w14:paraId="41B613F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3,000 </w:t>
            </w:r>
          </w:p>
        </w:tc>
        <w:tc>
          <w:tcPr>
            <w:tcW w:w="1150" w:type="dxa"/>
            <w:noWrap/>
            <w:vAlign w:val="bottom"/>
            <w:hideMark/>
          </w:tcPr>
          <w:p w14:paraId="01291CFD"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9 </w:t>
            </w:r>
          </w:p>
        </w:tc>
        <w:tc>
          <w:tcPr>
            <w:tcW w:w="1611" w:type="dxa"/>
            <w:noWrap/>
            <w:vAlign w:val="bottom"/>
            <w:hideMark/>
          </w:tcPr>
          <w:p w14:paraId="2149CE1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27,000 </w:t>
            </w:r>
          </w:p>
        </w:tc>
        <w:tc>
          <w:tcPr>
            <w:tcW w:w="1127" w:type="dxa"/>
            <w:noWrap/>
            <w:vAlign w:val="bottom"/>
            <w:hideMark/>
          </w:tcPr>
          <w:p w14:paraId="2774C47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3,000 </w:t>
            </w:r>
          </w:p>
        </w:tc>
        <w:tc>
          <w:tcPr>
            <w:tcW w:w="1150" w:type="dxa"/>
            <w:noWrap/>
            <w:vAlign w:val="bottom"/>
            <w:hideMark/>
          </w:tcPr>
          <w:p w14:paraId="45A2DD3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9 </w:t>
            </w:r>
          </w:p>
        </w:tc>
      </w:tr>
      <w:tr w:rsidR="00161769" w:rsidRPr="00F171A3" w14:paraId="32F55AB2"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64460C05"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Colentina</w:t>
            </w:r>
          </w:p>
        </w:tc>
        <w:tc>
          <w:tcPr>
            <w:tcW w:w="1289" w:type="dxa"/>
            <w:noWrap/>
            <w:vAlign w:val="bottom"/>
            <w:hideMark/>
          </w:tcPr>
          <w:p w14:paraId="6E4817D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1,000 </w:t>
            </w:r>
          </w:p>
        </w:tc>
        <w:tc>
          <w:tcPr>
            <w:tcW w:w="1127" w:type="dxa"/>
            <w:noWrap/>
            <w:vAlign w:val="bottom"/>
            <w:hideMark/>
          </w:tcPr>
          <w:p w14:paraId="5EC6C4B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90 </w:t>
            </w:r>
          </w:p>
        </w:tc>
        <w:tc>
          <w:tcPr>
            <w:tcW w:w="1150" w:type="dxa"/>
            <w:noWrap/>
            <w:vAlign w:val="bottom"/>
            <w:hideMark/>
          </w:tcPr>
          <w:p w14:paraId="0A76141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11 </w:t>
            </w:r>
          </w:p>
        </w:tc>
        <w:tc>
          <w:tcPr>
            <w:tcW w:w="1611" w:type="dxa"/>
            <w:noWrap/>
            <w:vAlign w:val="bottom"/>
            <w:hideMark/>
          </w:tcPr>
          <w:p w14:paraId="6EECE41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7,140 </w:t>
            </w:r>
          </w:p>
        </w:tc>
        <w:tc>
          <w:tcPr>
            <w:tcW w:w="1127" w:type="dxa"/>
            <w:noWrap/>
            <w:vAlign w:val="bottom"/>
            <w:hideMark/>
          </w:tcPr>
          <w:p w14:paraId="10F6E8E7"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400 </w:t>
            </w:r>
          </w:p>
        </w:tc>
        <w:tc>
          <w:tcPr>
            <w:tcW w:w="1150" w:type="dxa"/>
            <w:noWrap/>
            <w:vAlign w:val="bottom"/>
            <w:hideMark/>
          </w:tcPr>
          <w:p w14:paraId="6B518F5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18 </w:t>
            </w:r>
          </w:p>
        </w:tc>
      </w:tr>
      <w:tr w:rsidR="00161769" w:rsidRPr="00F171A3" w14:paraId="63142B5C"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09A520D4"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Pantelimon</w:t>
            </w:r>
          </w:p>
        </w:tc>
        <w:tc>
          <w:tcPr>
            <w:tcW w:w="1289" w:type="dxa"/>
            <w:noWrap/>
            <w:vAlign w:val="bottom"/>
            <w:hideMark/>
          </w:tcPr>
          <w:p w14:paraId="1EE9276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120 </w:t>
            </w:r>
          </w:p>
        </w:tc>
        <w:tc>
          <w:tcPr>
            <w:tcW w:w="1127" w:type="dxa"/>
            <w:noWrap/>
            <w:vAlign w:val="bottom"/>
            <w:hideMark/>
          </w:tcPr>
          <w:p w14:paraId="719971B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15 </w:t>
            </w:r>
          </w:p>
        </w:tc>
        <w:tc>
          <w:tcPr>
            <w:tcW w:w="1150" w:type="dxa"/>
            <w:noWrap/>
            <w:vAlign w:val="bottom"/>
            <w:hideMark/>
          </w:tcPr>
          <w:p w14:paraId="26AC1E0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 </w:t>
            </w:r>
          </w:p>
        </w:tc>
        <w:tc>
          <w:tcPr>
            <w:tcW w:w="1611" w:type="dxa"/>
            <w:noWrap/>
            <w:vAlign w:val="bottom"/>
            <w:hideMark/>
          </w:tcPr>
          <w:p w14:paraId="34097E6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27,000 </w:t>
            </w:r>
          </w:p>
        </w:tc>
        <w:tc>
          <w:tcPr>
            <w:tcW w:w="1127" w:type="dxa"/>
            <w:noWrap/>
            <w:vAlign w:val="bottom"/>
            <w:hideMark/>
          </w:tcPr>
          <w:p w14:paraId="6B4369F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3,000 </w:t>
            </w:r>
          </w:p>
        </w:tc>
        <w:tc>
          <w:tcPr>
            <w:tcW w:w="1150" w:type="dxa"/>
            <w:noWrap/>
            <w:vAlign w:val="bottom"/>
            <w:hideMark/>
          </w:tcPr>
          <w:p w14:paraId="14462C0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9 </w:t>
            </w:r>
          </w:p>
        </w:tc>
      </w:tr>
      <w:tr w:rsidR="00161769" w:rsidRPr="00F171A3" w14:paraId="4813234B"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17D05D50"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Doamna Ghica</w:t>
            </w:r>
          </w:p>
        </w:tc>
        <w:tc>
          <w:tcPr>
            <w:tcW w:w="1289" w:type="dxa"/>
            <w:noWrap/>
            <w:vAlign w:val="bottom"/>
            <w:hideMark/>
          </w:tcPr>
          <w:p w14:paraId="2F988754"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411 </w:t>
            </w:r>
          </w:p>
        </w:tc>
        <w:tc>
          <w:tcPr>
            <w:tcW w:w="1127" w:type="dxa"/>
            <w:noWrap/>
            <w:vAlign w:val="bottom"/>
            <w:hideMark/>
          </w:tcPr>
          <w:p w14:paraId="098C5D0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69 </w:t>
            </w:r>
          </w:p>
        </w:tc>
        <w:tc>
          <w:tcPr>
            <w:tcW w:w="1150" w:type="dxa"/>
            <w:noWrap/>
            <w:vAlign w:val="bottom"/>
            <w:hideMark/>
          </w:tcPr>
          <w:p w14:paraId="68D8F81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6 </w:t>
            </w:r>
          </w:p>
        </w:tc>
        <w:tc>
          <w:tcPr>
            <w:tcW w:w="1611" w:type="dxa"/>
            <w:noWrap/>
            <w:vAlign w:val="bottom"/>
            <w:hideMark/>
          </w:tcPr>
          <w:p w14:paraId="66B3109A"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1,200 </w:t>
            </w:r>
          </w:p>
        </w:tc>
        <w:tc>
          <w:tcPr>
            <w:tcW w:w="1127" w:type="dxa"/>
            <w:noWrap/>
            <w:vAlign w:val="bottom"/>
            <w:hideMark/>
          </w:tcPr>
          <w:p w14:paraId="7E90DA41"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180 </w:t>
            </w:r>
          </w:p>
        </w:tc>
        <w:tc>
          <w:tcPr>
            <w:tcW w:w="1150" w:type="dxa"/>
            <w:noWrap/>
            <w:vAlign w:val="bottom"/>
            <w:hideMark/>
          </w:tcPr>
          <w:p w14:paraId="1611E88D"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 </w:t>
            </w:r>
          </w:p>
        </w:tc>
      </w:tr>
      <w:tr w:rsidR="00161769" w:rsidRPr="00F171A3" w14:paraId="6973B713"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213DC552"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Vatra Luminoasă</w:t>
            </w:r>
          </w:p>
        </w:tc>
        <w:tc>
          <w:tcPr>
            <w:tcW w:w="1289" w:type="dxa"/>
            <w:noWrap/>
            <w:vAlign w:val="bottom"/>
            <w:hideMark/>
          </w:tcPr>
          <w:p w14:paraId="59C7A2CB"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1,600 </w:t>
            </w:r>
          </w:p>
        </w:tc>
        <w:tc>
          <w:tcPr>
            <w:tcW w:w="1127" w:type="dxa"/>
            <w:noWrap/>
            <w:vAlign w:val="bottom"/>
            <w:hideMark/>
          </w:tcPr>
          <w:p w14:paraId="5ABD34F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240 </w:t>
            </w:r>
          </w:p>
        </w:tc>
        <w:tc>
          <w:tcPr>
            <w:tcW w:w="1150" w:type="dxa"/>
            <w:noWrap/>
            <w:vAlign w:val="bottom"/>
            <w:hideMark/>
          </w:tcPr>
          <w:p w14:paraId="27A4CA4F"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 </w:t>
            </w:r>
          </w:p>
        </w:tc>
        <w:tc>
          <w:tcPr>
            <w:tcW w:w="1611" w:type="dxa"/>
            <w:noWrap/>
            <w:vAlign w:val="bottom"/>
            <w:hideMark/>
          </w:tcPr>
          <w:p w14:paraId="77F1FA7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2,000 </w:t>
            </w:r>
          </w:p>
        </w:tc>
        <w:tc>
          <w:tcPr>
            <w:tcW w:w="1127" w:type="dxa"/>
            <w:noWrap/>
            <w:vAlign w:val="bottom"/>
            <w:hideMark/>
          </w:tcPr>
          <w:p w14:paraId="1923535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180 </w:t>
            </w:r>
          </w:p>
        </w:tc>
        <w:tc>
          <w:tcPr>
            <w:tcW w:w="1150" w:type="dxa"/>
            <w:noWrap/>
            <w:vAlign w:val="bottom"/>
            <w:hideMark/>
          </w:tcPr>
          <w:p w14:paraId="7B40366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11 </w:t>
            </w:r>
          </w:p>
        </w:tc>
      </w:tr>
      <w:tr w:rsidR="00161769" w:rsidRPr="00F171A3" w14:paraId="2BF21ED2"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174353CF"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Obor</w:t>
            </w:r>
          </w:p>
        </w:tc>
        <w:tc>
          <w:tcPr>
            <w:tcW w:w="1289" w:type="dxa"/>
            <w:noWrap/>
            <w:vAlign w:val="bottom"/>
            <w:hideMark/>
          </w:tcPr>
          <w:p w14:paraId="0CF2E20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83 </w:t>
            </w:r>
          </w:p>
        </w:tc>
        <w:tc>
          <w:tcPr>
            <w:tcW w:w="1127" w:type="dxa"/>
            <w:noWrap/>
            <w:vAlign w:val="bottom"/>
            <w:hideMark/>
          </w:tcPr>
          <w:p w14:paraId="5CD4DD8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14 </w:t>
            </w:r>
          </w:p>
        </w:tc>
        <w:tc>
          <w:tcPr>
            <w:tcW w:w="1150" w:type="dxa"/>
            <w:noWrap/>
            <w:vAlign w:val="bottom"/>
            <w:hideMark/>
          </w:tcPr>
          <w:p w14:paraId="6D42B75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6 </w:t>
            </w:r>
          </w:p>
        </w:tc>
        <w:tc>
          <w:tcPr>
            <w:tcW w:w="1611" w:type="dxa"/>
            <w:noWrap/>
            <w:vAlign w:val="bottom"/>
            <w:hideMark/>
          </w:tcPr>
          <w:p w14:paraId="337F7844"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71,568 </w:t>
            </w:r>
          </w:p>
        </w:tc>
        <w:tc>
          <w:tcPr>
            <w:tcW w:w="1127" w:type="dxa"/>
            <w:noWrap/>
            <w:vAlign w:val="bottom"/>
            <w:hideMark/>
          </w:tcPr>
          <w:p w14:paraId="3C359A7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5,467 </w:t>
            </w:r>
          </w:p>
        </w:tc>
        <w:tc>
          <w:tcPr>
            <w:tcW w:w="1150" w:type="dxa"/>
            <w:noWrap/>
            <w:vAlign w:val="bottom"/>
            <w:hideMark/>
          </w:tcPr>
          <w:p w14:paraId="6F730E22"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13 </w:t>
            </w:r>
          </w:p>
        </w:tc>
      </w:tr>
      <w:tr w:rsidR="00161769" w:rsidRPr="00F171A3" w14:paraId="0BBD4D65"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hideMark/>
          </w:tcPr>
          <w:p w14:paraId="02952A7F"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Tei</w:t>
            </w:r>
          </w:p>
        </w:tc>
        <w:tc>
          <w:tcPr>
            <w:tcW w:w="1289" w:type="dxa"/>
            <w:noWrap/>
            <w:vAlign w:val="bottom"/>
            <w:hideMark/>
          </w:tcPr>
          <w:p w14:paraId="2F8BF333"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2,083 </w:t>
            </w:r>
          </w:p>
        </w:tc>
        <w:tc>
          <w:tcPr>
            <w:tcW w:w="1127" w:type="dxa"/>
            <w:noWrap/>
            <w:vAlign w:val="bottom"/>
            <w:hideMark/>
          </w:tcPr>
          <w:p w14:paraId="26FDB3B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70 </w:t>
            </w:r>
          </w:p>
        </w:tc>
        <w:tc>
          <w:tcPr>
            <w:tcW w:w="1150" w:type="dxa"/>
            <w:noWrap/>
            <w:vAlign w:val="bottom"/>
            <w:hideMark/>
          </w:tcPr>
          <w:p w14:paraId="6DE32E57"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30 </w:t>
            </w:r>
          </w:p>
        </w:tc>
        <w:tc>
          <w:tcPr>
            <w:tcW w:w="1611" w:type="dxa"/>
            <w:noWrap/>
            <w:vAlign w:val="bottom"/>
            <w:hideMark/>
          </w:tcPr>
          <w:p w14:paraId="3F75C3C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4,500 </w:t>
            </w:r>
          </w:p>
        </w:tc>
        <w:tc>
          <w:tcPr>
            <w:tcW w:w="1127" w:type="dxa"/>
            <w:noWrap/>
            <w:vAlign w:val="bottom"/>
            <w:hideMark/>
          </w:tcPr>
          <w:p w14:paraId="23E4930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450 </w:t>
            </w:r>
          </w:p>
        </w:tc>
        <w:tc>
          <w:tcPr>
            <w:tcW w:w="1150" w:type="dxa"/>
            <w:noWrap/>
            <w:vAlign w:val="bottom"/>
            <w:hideMark/>
          </w:tcPr>
          <w:p w14:paraId="12E8E59C"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10 </w:t>
            </w:r>
          </w:p>
        </w:tc>
      </w:tr>
      <w:tr w:rsidR="00161769" w:rsidRPr="00F171A3" w14:paraId="469E07F3"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hideMark/>
          </w:tcPr>
          <w:p w14:paraId="784EC63F"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eastAsia="Times New Roman" w:hAnsi="Calibri" w:cs="Calibri"/>
                <w:b/>
                <w:bCs/>
                <w:color w:val="000000"/>
                <w:szCs w:val="20"/>
                <w:lang w:eastAsia="en-GB"/>
              </w:rPr>
              <w:t>Floreasca</w:t>
            </w:r>
          </w:p>
        </w:tc>
        <w:tc>
          <w:tcPr>
            <w:tcW w:w="1289" w:type="dxa"/>
            <w:noWrap/>
            <w:vAlign w:val="bottom"/>
            <w:hideMark/>
          </w:tcPr>
          <w:p w14:paraId="011865B0"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190 </w:t>
            </w:r>
          </w:p>
        </w:tc>
        <w:tc>
          <w:tcPr>
            <w:tcW w:w="1127" w:type="dxa"/>
            <w:noWrap/>
            <w:vAlign w:val="bottom"/>
            <w:hideMark/>
          </w:tcPr>
          <w:p w14:paraId="2001BBB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37 </w:t>
            </w:r>
          </w:p>
        </w:tc>
        <w:tc>
          <w:tcPr>
            <w:tcW w:w="1150" w:type="dxa"/>
            <w:noWrap/>
            <w:vAlign w:val="bottom"/>
            <w:hideMark/>
          </w:tcPr>
          <w:p w14:paraId="7D8B772E"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5 </w:t>
            </w:r>
          </w:p>
        </w:tc>
        <w:tc>
          <w:tcPr>
            <w:tcW w:w="1611" w:type="dxa"/>
            <w:noWrap/>
            <w:vAlign w:val="bottom"/>
            <w:hideMark/>
          </w:tcPr>
          <w:p w14:paraId="6A681648"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286,106 </w:t>
            </w:r>
          </w:p>
        </w:tc>
        <w:tc>
          <w:tcPr>
            <w:tcW w:w="1127" w:type="dxa"/>
            <w:noWrap/>
            <w:vAlign w:val="bottom"/>
            <w:hideMark/>
          </w:tcPr>
          <w:p w14:paraId="362BC669"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19,000 </w:t>
            </w:r>
          </w:p>
        </w:tc>
        <w:tc>
          <w:tcPr>
            <w:tcW w:w="1150" w:type="dxa"/>
            <w:noWrap/>
            <w:vAlign w:val="bottom"/>
            <w:hideMark/>
          </w:tcPr>
          <w:p w14:paraId="48678675" w14:textId="77777777" w:rsidR="00161769" w:rsidRPr="00F171A3" w:rsidRDefault="00161769" w:rsidP="00F31936">
            <w:pPr>
              <w:spacing w:after="0"/>
              <w:jc w:val="left"/>
              <w:rPr>
                <w:rFonts w:ascii="Calibri" w:eastAsia="Times New Roman" w:hAnsi="Calibri" w:cs="Calibri"/>
                <w:color w:val="000000"/>
                <w:szCs w:val="20"/>
                <w:lang w:eastAsia="en-GB"/>
              </w:rPr>
            </w:pPr>
            <w:r w:rsidRPr="00F171A3">
              <w:rPr>
                <w:rFonts w:ascii="Calibri" w:hAnsi="Calibri" w:cs="Calibri"/>
                <w:color w:val="000000"/>
                <w:szCs w:val="20"/>
              </w:rPr>
              <w:t xml:space="preserve">               15 </w:t>
            </w:r>
          </w:p>
        </w:tc>
      </w:tr>
      <w:tr w:rsidR="00161769" w:rsidRPr="00F171A3" w14:paraId="24DA0637"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9364" w:type="dxa"/>
            <w:gridSpan w:val="7"/>
            <w:shd w:val="clear" w:color="auto" w:fill="3CA1BC" w:themeFill="accent3"/>
            <w:noWrap/>
          </w:tcPr>
          <w:p w14:paraId="37A3E020" w14:textId="77777777" w:rsidR="00161769" w:rsidRPr="00F171A3" w:rsidRDefault="00161769" w:rsidP="00F31936">
            <w:pPr>
              <w:spacing w:after="0"/>
              <w:jc w:val="left"/>
              <w:rPr>
                <w:rFonts w:ascii="Calibri" w:hAnsi="Calibri" w:cs="Calibri"/>
                <w:b/>
                <w:bCs/>
                <w:color w:val="000000"/>
                <w:szCs w:val="20"/>
              </w:rPr>
            </w:pPr>
            <w:r w:rsidRPr="00F171A3">
              <w:rPr>
                <w:rFonts w:ascii="Calibri" w:hAnsi="Calibri" w:cs="Calibri"/>
                <w:b/>
                <w:bCs/>
                <w:color w:val="FFFFFF" w:themeColor="background1"/>
                <w:szCs w:val="20"/>
              </w:rPr>
              <w:t>SPAȚII COMERCIALE</w:t>
            </w:r>
          </w:p>
        </w:tc>
      </w:tr>
      <w:tr w:rsidR="00161769" w:rsidRPr="00F171A3" w14:paraId="600644FB"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vAlign w:val="bottom"/>
          </w:tcPr>
          <w:p w14:paraId="5B2D369C"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Fundeni</w:t>
            </w:r>
          </w:p>
        </w:tc>
        <w:tc>
          <w:tcPr>
            <w:tcW w:w="1289" w:type="dxa"/>
            <w:noWrap/>
            <w:vAlign w:val="bottom"/>
          </w:tcPr>
          <w:p w14:paraId="7094D536"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70,000 </w:t>
            </w:r>
          </w:p>
        </w:tc>
        <w:tc>
          <w:tcPr>
            <w:tcW w:w="1127" w:type="dxa"/>
            <w:noWrap/>
            <w:vAlign w:val="bottom"/>
          </w:tcPr>
          <w:p w14:paraId="18C470F4"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116 </w:t>
            </w:r>
          </w:p>
        </w:tc>
        <w:tc>
          <w:tcPr>
            <w:tcW w:w="1150" w:type="dxa"/>
            <w:noWrap/>
            <w:vAlign w:val="bottom"/>
          </w:tcPr>
          <w:p w14:paraId="432E0FB1"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603 </w:t>
            </w:r>
          </w:p>
        </w:tc>
        <w:tc>
          <w:tcPr>
            <w:tcW w:w="1611" w:type="dxa"/>
            <w:noWrap/>
            <w:vAlign w:val="bottom"/>
          </w:tcPr>
          <w:p w14:paraId="591CC4FA"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288,278 </w:t>
            </w:r>
          </w:p>
        </w:tc>
        <w:tc>
          <w:tcPr>
            <w:tcW w:w="1127" w:type="dxa"/>
            <w:noWrap/>
            <w:vAlign w:val="bottom"/>
          </w:tcPr>
          <w:p w14:paraId="3FBD9631"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390 </w:t>
            </w:r>
          </w:p>
        </w:tc>
        <w:tc>
          <w:tcPr>
            <w:tcW w:w="1150" w:type="dxa"/>
            <w:noWrap/>
            <w:vAlign w:val="bottom"/>
          </w:tcPr>
          <w:p w14:paraId="6737BACD"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739 </w:t>
            </w:r>
          </w:p>
        </w:tc>
      </w:tr>
      <w:tr w:rsidR="00161769" w:rsidRPr="00F171A3" w14:paraId="053F32DB"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vAlign w:val="bottom"/>
          </w:tcPr>
          <w:p w14:paraId="6B912A59"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Baicului</w:t>
            </w:r>
          </w:p>
        </w:tc>
        <w:tc>
          <w:tcPr>
            <w:tcW w:w="1289" w:type="dxa"/>
            <w:noWrap/>
            <w:vAlign w:val="bottom"/>
          </w:tcPr>
          <w:p w14:paraId="3B127804"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39,000 </w:t>
            </w:r>
          </w:p>
        </w:tc>
        <w:tc>
          <w:tcPr>
            <w:tcW w:w="1127" w:type="dxa"/>
            <w:noWrap/>
            <w:vAlign w:val="bottom"/>
          </w:tcPr>
          <w:p w14:paraId="4E9309A5"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23 </w:t>
            </w:r>
          </w:p>
        </w:tc>
        <w:tc>
          <w:tcPr>
            <w:tcW w:w="1150" w:type="dxa"/>
            <w:noWrap/>
            <w:vAlign w:val="bottom"/>
          </w:tcPr>
          <w:p w14:paraId="79E5D0C3"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1,664 </w:t>
            </w:r>
          </w:p>
        </w:tc>
        <w:tc>
          <w:tcPr>
            <w:tcW w:w="1611" w:type="dxa"/>
            <w:noWrap/>
            <w:vAlign w:val="bottom"/>
          </w:tcPr>
          <w:p w14:paraId="0086B02C"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236,000 </w:t>
            </w:r>
          </w:p>
        </w:tc>
        <w:tc>
          <w:tcPr>
            <w:tcW w:w="1127" w:type="dxa"/>
            <w:noWrap/>
            <w:vAlign w:val="bottom"/>
          </w:tcPr>
          <w:p w14:paraId="4A2127AE"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189 </w:t>
            </w:r>
          </w:p>
        </w:tc>
        <w:tc>
          <w:tcPr>
            <w:tcW w:w="1150" w:type="dxa"/>
            <w:noWrap/>
            <w:vAlign w:val="bottom"/>
          </w:tcPr>
          <w:p w14:paraId="74FC11AE"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1,252 </w:t>
            </w:r>
          </w:p>
        </w:tc>
      </w:tr>
      <w:tr w:rsidR="00161769" w:rsidRPr="00F171A3" w14:paraId="30769787"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vAlign w:val="bottom"/>
          </w:tcPr>
          <w:p w14:paraId="648EABBC"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Andronache</w:t>
            </w:r>
          </w:p>
        </w:tc>
        <w:tc>
          <w:tcPr>
            <w:tcW w:w="1289" w:type="dxa"/>
            <w:noWrap/>
            <w:vAlign w:val="bottom"/>
          </w:tcPr>
          <w:p w14:paraId="505F43A2"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   </w:t>
            </w:r>
          </w:p>
        </w:tc>
        <w:tc>
          <w:tcPr>
            <w:tcW w:w="1127" w:type="dxa"/>
            <w:noWrap/>
            <w:vAlign w:val="bottom"/>
          </w:tcPr>
          <w:p w14:paraId="71B26CC0"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   </w:t>
            </w:r>
          </w:p>
        </w:tc>
        <w:tc>
          <w:tcPr>
            <w:tcW w:w="1150" w:type="dxa"/>
            <w:noWrap/>
            <w:vAlign w:val="bottom"/>
          </w:tcPr>
          <w:p w14:paraId="6502E5DA"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   </w:t>
            </w:r>
          </w:p>
        </w:tc>
        <w:tc>
          <w:tcPr>
            <w:tcW w:w="1611" w:type="dxa"/>
            <w:noWrap/>
            <w:vAlign w:val="bottom"/>
          </w:tcPr>
          <w:p w14:paraId="3B38CFCF"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   </w:t>
            </w:r>
          </w:p>
        </w:tc>
        <w:tc>
          <w:tcPr>
            <w:tcW w:w="1127" w:type="dxa"/>
            <w:noWrap/>
            <w:vAlign w:val="bottom"/>
          </w:tcPr>
          <w:p w14:paraId="0D891C75"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   </w:t>
            </w:r>
          </w:p>
        </w:tc>
        <w:tc>
          <w:tcPr>
            <w:tcW w:w="1150" w:type="dxa"/>
            <w:noWrap/>
            <w:vAlign w:val="bottom"/>
          </w:tcPr>
          <w:p w14:paraId="60156954"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   </w:t>
            </w:r>
          </w:p>
        </w:tc>
      </w:tr>
      <w:tr w:rsidR="00161769" w:rsidRPr="00F171A3" w14:paraId="2ACC82CB"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vAlign w:val="bottom"/>
          </w:tcPr>
          <w:p w14:paraId="509FF1FB"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Colentina</w:t>
            </w:r>
          </w:p>
        </w:tc>
        <w:tc>
          <w:tcPr>
            <w:tcW w:w="1289" w:type="dxa"/>
            <w:noWrap/>
            <w:vAlign w:val="bottom"/>
          </w:tcPr>
          <w:p w14:paraId="2312FF28"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120,000 </w:t>
            </w:r>
          </w:p>
        </w:tc>
        <w:tc>
          <w:tcPr>
            <w:tcW w:w="1127" w:type="dxa"/>
            <w:noWrap/>
            <w:vAlign w:val="bottom"/>
          </w:tcPr>
          <w:p w14:paraId="2AD35442"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60 </w:t>
            </w:r>
          </w:p>
        </w:tc>
        <w:tc>
          <w:tcPr>
            <w:tcW w:w="1150" w:type="dxa"/>
            <w:noWrap/>
            <w:vAlign w:val="bottom"/>
          </w:tcPr>
          <w:p w14:paraId="085440B2"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2,000 </w:t>
            </w:r>
          </w:p>
        </w:tc>
        <w:tc>
          <w:tcPr>
            <w:tcW w:w="1611" w:type="dxa"/>
            <w:noWrap/>
            <w:vAlign w:val="bottom"/>
          </w:tcPr>
          <w:p w14:paraId="2342A28A"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1,079,000 </w:t>
            </w:r>
          </w:p>
        </w:tc>
        <w:tc>
          <w:tcPr>
            <w:tcW w:w="1127" w:type="dxa"/>
            <w:noWrap/>
            <w:vAlign w:val="bottom"/>
          </w:tcPr>
          <w:p w14:paraId="4E62529C"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980 </w:t>
            </w:r>
          </w:p>
        </w:tc>
        <w:tc>
          <w:tcPr>
            <w:tcW w:w="1150" w:type="dxa"/>
            <w:noWrap/>
            <w:vAlign w:val="bottom"/>
          </w:tcPr>
          <w:p w14:paraId="2D0819A4"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1,101 </w:t>
            </w:r>
          </w:p>
        </w:tc>
      </w:tr>
      <w:tr w:rsidR="00161769" w:rsidRPr="00F171A3" w14:paraId="1F98D4FE"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vAlign w:val="bottom"/>
          </w:tcPr>
          <w:p w14:paraId="02C273E6"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Pantelimon</w:t>
            </w:r>
          </w:p>
        </w:tc>
        <w:tc>
          <w:tcPr>
            <w:tcW w:w="1289" w:type="dxa"/>
            <w:noWrap/>
            <w:vAlign w:val="bottom"/>
          </w:tcPr>
          <w:p w14:paraId="78E50356"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59,000 </w:t>
            </w:r>
          </w:p>
        </w:tc>
        <w:tc>
          <w:tcPr>
            <w:tcW w:w="1127" w:type="dxa"/>
            <w:noWrap/>
            <w:vAlign w:val="bottom"/>
          </w:tcPr>
          <w:p w14:paraId="04BDF0B6"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28 </w:t>
            </w:r>
          </w:p>
        </w:tc>
        <w:tc>
          <w:tcPr>
            <w:tcW w:w="1150" w:type="dxa"/>
            <w:noWrap/>
            <w:vAlign w:val="bottom"/>
          </w:tcPr>
          <w:p w14:paraId="05C820E8"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2,107 </w:t>
            </w:r>
          </w:p>
        </w:tc>
        <w:tc>
          <w:tcPr>
            <w:tcW w:w="1611" w:type="dxa"/>
            <w:noWrap/>
            <w:vAlign w:val="bottom"/>
          </w:tcPr>
          <w:p w14:paraId="69A30CE4"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1,950,000 </w:t>
            </w:r>
          </w:p>
        </w:tc>
        <w:tc>
          <w:tcPr>
            <w:tcW w:w="1127" w:type="dxa"/>
            <w:noWrap/>
            <w:vAlign w:val="bottom"/>
          </w:tcPr>
          <w:p w14:paraId="2F3271E7"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1,000 </w:t>
            </w:r>
          </w:p>
        </w:tc>
        <w:tc>
          <w:tcPr>
            <w:tcW w:w="1150" w:type="dxa"/>
            <w:noWrap/>
            <w:vAlign w:val="bottom"/>
          </w:tcPr>
          <w:p w14:paraId="3D48740C"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1,950 </w:t>
            </w:r>
          </w:p>
        </w:tc>
      </w:tr>
      <w:tr w:rsidR="00161769" w:rsidRPr="00F171A3" w14:paraId="64BC1941"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vAlign w:val="bottom"/>
          </w:tcPr>
          <w:p w14:paraId="452FC594"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Doamna Ghica</w:t>
            </w:r>
          </w:p>
        </w:tc>
        <w:tc>
          <w:tcPr>
            <w:tcW w:w="1289" w:type="dxa"/>
            <w:noWrap/>
            <w:vAlign w:val="bottom"/>
          </w:tcPr>
          <w:p w14:paraId="54BB862C"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500,990 </w:t>
            </w:r>
          </w:p>
        </w:tc>
        <w:tc>
          <w:tcPr>
            <w:tcW w:w="1127" w:type="dxa"/>
            <w:noWrap/>
            <w:vAlign w:val="bottom"/>
          </w:tcPr>
          <w:p w14:paraId="391723CC"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156 </w:t>
            </w:r>
          </w:p>
        </w:tc>
        <w:tc>
          <w:tcPr>
            <w:tcW w:w="1150" w:type="dxa"/>
            <w:noWrap/>
            <w:vAlign w:val="bottom"/>
          </w:tcPr>
          <w:p w14:paraId="47C50C78"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3,211 </w:t>
            </w:r>
          </w:p>
        </w:tc>
        <w:tc>
          <w:tcPr>
            <w:tcW w:w="1611" w:type="dxa"/>
            <w:noWrap/>
            <w:vAlign w:val="bottom"/>
          </w:tcPr>
          <w:p w14:paraId="6D7C3CBF"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885,000 </w:t>
            </w:r>
          </w:p>
        </w:tc>
        <w:tc>
          <w:tcPr>
            <w:tcW w:w="1127" w:type="dxa"/>
            <w:noWrap/>
            <w:vAlign w:val="bottom"/>
          </w:tcPr>
          <w:p w14:paraId="52334D78"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156 </w:t>
            </w:r>
          </w:p>
        </w:tc>
        <w:tc>
          <w:tcPr>
            <w:tcW w:w="1150" w:type="dxa"/>
            <w:noWrap/>
            <w:vAlign w:val="bottom"/>
          </w:tcPr>
          <w:p w14:paraId="152FC598"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5,673 </w:t>
            </w:r>
          </w:p>
        </w:tc>
      </w:tr>
      <w:tr w:rsidR="00161769" w:rsidRPr="00F171A3" w14:paraId="515DA025"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vAlign w:val="bottom"/>
          </w:tcPr>
          <w:p w14:paraId="1F21C5EE"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Vatra Luminoasă</w:t>
            </w:r>
          </w:p>
        </w:tc>
        <w:tc>
          <w:tcPr>
            <w:tcW w:w="1289" w:type="dxa"/>
            <w:noWrap/>
            <w:vAlign w:val="bottom"/>
          </w:tcPr>
          <w:p w14:paraId="6DB303D7"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375,000 </w:t>
            </w:r>
          </w:p>
        </w:tc>
        <w:tc>
          <w:tcPr>
            <w:tcW w:w="1127" w:type="dxa"/>
            <w:noWrap/>
            <w:vAlign w:val="bottom"/>
          </w:tcPr>
          <w:p w14:paraId="07A73AC8"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322 </w:t>
            </w:r>
          </w:p>
        </w:tc>
        <w:tc>
          <w:tcPr>
            <w:tcW w:w="1150" w:type="dxa"/>
            <w:noWrap/>
            <w:vAlign w:val="bottom"/>
          </w:tcPr>
          <w:p w14:paraId="3586BEE2"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1,165 </w:t>
            </w:r>
          </w:p>
        </w:tc>
        <w:tc>
          <w:tcPr>
            <w:tcW w:w="1611" w:type="dxa"/>
            <w:noWrap/>
            <w:vAlign w:val="bottom"/>
          </w:tcPr>
          <w:p w14:paraId="0D55AEBC"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1,950,000 </w:t>
            </w:r>
          </w:p>
        </w:tc>
        <w:tc>
          <w:tcPr>
            <w:tcW w:w="1127" w:type="dxa"/>
            <w:noWrap/>
            <w:vAlign w:val="bottom"/>
          </w:tcPr>
          <w:p w14:paraId="2B1D127A"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1,000 </w:t>
            </w:r>
          </w:p>
        </w:tc>
        <w:tc>
          <w:tcPr>
            <w:tcW w:w="1150" w:type="dxa"/>
            <w:noWrap/>
            <w:vAlign w:val="bottom"/>
          </w:tcPr>
          <w:p w14:paraId="155AA44B"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1,950 </w:t>
            </w:r>
          </w:p>
        </w:tc>
      </w:tr>
      <w:tr w:rsidR="00161769" w:rsidRPr="00F171A3" w14:paraId="61F8DEED"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vAlign w:val="bottom"/>
          </w:tcPr>
          <w:p w14:paraId="0FD58F8D"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Obor</w:t>
            </w:r>
          </w:p>
        </w:tc>
        <w:tc>
          <w:tcPr>
            <w:tcW w:w="1289" w:type="dxa"/>
            <w:noWrap/>
            <w:vAlign w:val="bottom"/>
          </w:tcPr>
          <w:p w14:paraId="0EF0BB1D"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101,150 </w:t>
            </w:r>
          </w:p>
        </w:tc>
        <w:tc>
          <w:tcPr>
            <w:tcW w:w="1127" w:type="dxa"/>
            <w:noWrap/>
            <w:vAlign w:val="bottom"/>
          </w:tcPr>
          <w:p w14:paraId="4447056D"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69 </w:t>
            </w:r>
          </w:p>
        </w:tc>
        <w:tc>
          <w:tcPr>
            <w:tcW w:w="1150" w:type="dxa"/>
            <w:noWrap/>
            <w:vAlign w:val="bottom"/>
          </w:tcPr>
          <w:p w14:paraId="73A801C8"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1,473 </w:t>
            </w:r>
          </w:p>
        </w:tc>
        <w:tc>
          <w:tcPr>
            <w:tcW w:w="1611" w:type="dxa"/>
            <w:noWrap/>
            <w:vAlign w:val="bottom"/>
          </w:tcPr>
          <w:p w14:paraId="0F595809"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2,700,000 </w:t>
            </w:r>
          </w:p>
        </w:tc>
        <w:tc>
          <w:tcPr>
            <w:tcW w:w="1127" w:type="dxa"/>
            <w:noWrap/>
            <w:vAlign w:val="bottom"/>
          </w:tcPr>
          <w:p w14:paraId="719306D7"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2,200 </w:t>
            </w:r>
          </w:p>
        </w:tc>
        <w:tc>
          <w:tcPr>
            <w:tcW w:w="1150" w:type="dxa"/>
            <w:noWrap/>
            <w:vAlign w:val="bottom"/>
          </w:tcPr>
          <w:p w14:paraId="307A6170"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1,227 </w:t>
            </w:r>
          </w:p>
        </w:tc>
      </w:tr>
      <w:tr w:rsidR="00161769" w:rsidRPr="00F171A3" w14:paraId="543111F1"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vAlign w:val="bottom"/>
          </w:tcPr>
          <w:p w14:paraId="238D10C0"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Tei</w:t>
            </w:r>
          </w:p>
        </w:tc>
        <w:tc>
          <w:tcPr>
            <w:tcW w:w="1289" w:type="dxa"/>
            <w:noWrap/>
            <w:vAlign w:val="bottom"/>
          </w:tcPr>
          <w:p w14:paraId="75C869BE"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50,000 </w:t>
            </w:r>
          </w:p>
        </w:tc>
        <w:tc>
          <w:tcPr>
            <w:tcW w:w="1127" w:type="dxa"/>
            <w:noWrap/>
            <w:vAlign w:val="bottom"/>
          </w:tcPr>
          <w:p w14:paraId="248D8F9E"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60 </w:t>
            </w:r>
          </w:p>
        </w:tc>
        <w:tc>
          <w:tcPr>
            <w:tcW w:w="1150" w:type="dxa"/>
            <w:noWrap/>
            <w:vAlign w:val="bottom"/>
          </w:tcPr>
          <w:p w14:paraId="65CB61F5"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833 </w:t>
            </w:r>
          </w:p>
        </w:tc>
        <w:tc>
          <w:tcPr>
            <w:tcW w:w="1611" w:type="dxa"/>
            <w:noWrap/>
            <w:vAlign w:val="bottom"/>
          </w:tcPr>
          <w:p w14:paraId="4679F1BC"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780,000 </w:t>
            </w:r>
          </w:p>
        </w:tc>
        <w:tc>
          <w:tcPr>
            <w:tcW w:w="1127" w:type="dxa"/>
            <w:noWrap/>
            <w:vAlign w:val="bottom"/>
          </w:tcPr>
          <w:p w14:paraId="4F3B8B31"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244 </w:t>
            </w:r>
          </w:p>
        </w:tc>
        <w:tc>
          <w:tcPr>
            <w:tcW w:w="1150" w:type="dxa"/>
            <w:noWrap/>
            <w:vAlign w:val="bottom"/>
          </w:tcPr>
          <w:p w14:paraId="3A57C519"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3,197 </w:t>
            </w:r>
          </w:p>
        </w:tc>
      </w:tr>
      <w:tr w:rsidR="00161769" w:rsidRPr="00F171A3" w14:paraId="57A84572"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vAlign w:val="bottom"/>
          </w:tcPr>
          <w:p w14:paraId="798A3DCA" w14:textId="77777777" w:rsidR="00161769" w:rsidRPr="00F171A3" w:rsidRDefault="00161769" w:rsidP="00F31936">
            <w:pPr>
              <w:spacing w:after="0"/>
              <w:jc w:val="left"/>
              <w:rPr>
                <w:rFonts w:ascii="Calibri" w:eastAsia="Times New Roman" w:hAnsi="Calibri" w:cs="Calibri"/>
                <w:b/>
                <w:bCs/>
                <w:color w:val="000000"/>
                <w:szCs w:val="20"/>
                <w:lang w:eastAsia="en-GB"/>
              </w:rPr>
            </w:pPr>
            <w:r w:rsidRPr="00F171A3">
              <w:rPr>
                <w:rFonts w:ascii="Calibri" w:hAnsi="Calibri" w:cs="Calibri"/>
                <w:b/>
                <w:bCs/>
                <w:color w:val="000000"/>
                <w:szCs w:val="20"/>
              </w:rPr>
              <w:t>Floreasca</w:t>
            </w:r>
          </w:p>
        </w:tc>
        <w:tc>
          <w:tcPr>
            <w:tcW w:w="1289" w:type="dxa"/>
            <w:noWrap/>
            <w:vAlign w:val="bottom"/>
          </w:tcPr>
          <w:p w14:paraId="47715629"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705,670 </w:t>
            </w:r>
          </w:p>
        </w:tc>
        <w:tc>
          <w:tcPr>
            <w:tcW w:w="1127" w:type="dxa"/>
            <w:noWrap/>
            <w:vAlign w:val="bottom"/>
          </w:tcPr>
          <w:p w14:paraId="62032C66"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270 </w:t>
            </w:r>
          </w:p>
        </w:tc>
        <w:tc>
          <w:tcPr>
            <w:tcW w:w="1150" w:type="dxa"/>
            <w:noWrap/>
            <w:vAlign w:val="bottom"/>
          </w:tcPr>
          <w:p w14:paraId="2ECB262A"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2,614 </w:t>
            </w:r>
          </w:p>
        </w:tc>
        <w:tc>
          <w:tcPr>
            <w:tcW w:w="1611" w:type="dxa"/>
            <w:noWrap/>
            <w:vAlign w:val="bottom"/>
          </w:tcPr>
          <w:p w14:paraId="4283DC52"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1,585,080 </w:t>
            </w:r>
          </w:p>
        </w:tc>
        <w:tc>
          <w:tcPr>
            <w:tcW w:w="1127" w:type="dxa"/>
            <w:noWrap/>
            <w:vAlign w:val="bottom"/>
          </w:tcPr>
          <w:p w14:paraId="57A7FF11"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230 </w:t>
            </w:r>
          </w:p>
        </w:tc>
        <w:tc>
          <w:tcPr>
            <w:tcW w:w="1150" w:type="dxa"/>
            <w:noWrap/>
            <w:vAlign w:val="bottom"/>
          </w:tcPr>
          <w:p w14:paraId="62F121BD"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6,892 </w:t>
            </w:r>
          </w:p>
        </w:tc>
      </w:tr>
      <w:tr w:rsidR="00161769" w:rsidRPr="00F171A3" w14:paraId="7298EB97"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9364" w:type="dxa"/>
            <w:gridSpan w:val="7"/>
            <w:shd w:val="clear" w:color="auto" w:fill="3CA1BC" w:themeFill="accent3"/>
            <w:noWrap/>
            <w:vAlign w:val="bottom"/>
          </w:tcPr>
          <w:p w14:paraId="6D7D14EE" w14:textId="77777777" w:rsidR="00161769" w:rsidRPr="00F171A3" w:rsidRDefault="00161769" w:rsidP="00F31936">
            <w:pPr>
              <w:spacing w:after="0"/>
              <w:jc w:val="left"/>
              <w:rPr>
                <w:rFonts w:ascii="Calibri" w:hAnsi="Calibri" w:cs="Calibri"/>
                <w:b/>
                <w:bCs/>
                <w:color w:val="FFFFFF" w:themeColor="background1"/>
                <w:szCs w:val="20"/>
              </w:rPr>
            </w:pPr>
            <w:r w:rsidRPr="00F171A3">
              <w:rPr>
                <w:rFonts w:ascii="Calibri" w:hAnsi="Calibri" w:cs="Calibri"/>
                <w:b/>
                <w:bCs/>
                <w:color w:val="FFFFFF" w:themeColor="background1"/>
                <w:szCs w:val="20"/>
              </w:rPr>
              <w:t xml:space="preserve">SPAȚII INDUSTRIALE / </w:t>
            </w:r>
            <w:r w:rsidRPr="00F171A3">
              <w:rPr>
                <w:rFonts w:ascii="Calibri" w:hAnsi="Calibri" w:cs="Calibri"/>
                <w:b/>
                <w:bCs/>
                <w:i/>
                <w:iCs/>
                <w:color w:val="FFFFFF" w:themeColor="background1"/>
                <w:szCs w:val="20"/>
              </w:rPr>
              <w:t>TERENURI PENTRU INVESTIȚII</w:t>
            </w:r>
          </w:p>
        </w:tc>
      </w:tr>
      <w:tr w:rsidR="00161769" w:rsidRPr="00F171A3" w14:paraId="120CB3E8"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vAlign w:val="bottom"/>
          </w:tcPr>
          <w:p w14:paraId="6F92E6E1" w14:textId="77777777" w:rsidR="00161769" w:rsidRPr="00F171A3" w:rsidRDefault="00161769" w:rsidP="00F31936">
            <w:pPr>
              <w:spacing w:after="0"/>
              <w:jc w:val="left"/>
              <w:rPr>
                <w:rFonts w:ascii="Calibri" w:hAnsi="Calibri" w:cs="Calibri"/>
                <w:b/>
                <w:bCs/>
                <w:color w:val="000000"/>
                <w:szCs w:val="20"/>
              </w:rPr>
            </w:pPr>
            <w:r w:rsidRPr="00F171A3">
              <w:rPr>
                <w:rFonts w:ascii="Calibri" w:hAnsi="Calibri" w:cs="Calibri"/>
                <w:b/>
                <w:bCs/>
                <w:color w:val="000000"/>
                <w:szCs w:val="20"/>
              </w:rPr>
              <w:t>Fundeni</w:t>
            </w:r>
          </w:p>
        </w:tc>
        <w:tc>
          <w:tcPr>
            <w:tcW w:w="1289" w:type="dxa"/>
            <w:noWrap/>
            <w:vAlign w:val="bottom"/>
          </w:tcPr>
          <w:p w14:paraId="71B03CA6"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310,590 </w:t>
            </w:r>
          </w:p>
        </w:tc>
        <w:tc>
          <w:tcPr>
            <w:tcW w:w="1127" w:type="dxa"/>
            <w:noWrap/>
            <w:vAlign w:val="bottom"/>
          </w:tcPr>
          <w:p w14:paraId="11139056"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450 </w:t>
            </w:r>
          </w:p>
        </w:tc>
        <w:tc>
          <w:tcPr>
            <w:tcW w:w="1150" w:type="dxa"/>
            <w:noWrap/>
            <w:vAlign w:val="bottom"/>
          </w:tcPr>
          <w:p w14:paraId="3694F99A"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690 </w:t>
            </w:r>
          </w:p>
        </w:tc>
        <w:tc>
          <w:tcPr>
            <w:tcW w:w="1611" w:type="dxa"/>
            <w:noWrap/>
            <w:vAlign w:val="bottom"/>
          </w:tcPr>
          <w:p w14:paraId="0C3851EE"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310,590 </w:t>
            </w:r>
          </w:p>
        </w:tc>
        <w:tc>
          <w:tcPr>
            <w:tcW w:w="1127" w:type="dxa"/>
            <w:noWrap/>
            <w:vAlign w:val="bottom"/>
          </w:tcPr>
          <w:p w14:paraId="67ABC7CA"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450 </w:t>
            </w:r>
          </w:p>
        </w:tc>
        <w:tc>
          <w:tcPr>
            <w:tcW w:w="1150" w:type="dxa"/>
            <w:noWrap/>
            <w:vAlign w:val="bottom"/>
          </w:tcPr>
          <w:p w14:paraId="441C704B"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690 </w:t>
            </w:r>
          </w:p>
        </w:tc>
      </w:tr>
      <w:tr w:rsidR="00161769" w:rsidRPr="00F171A3" w14:paraId="1720CCF7"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vAlign w:val="bottom"/>
          </w:tcPr>
          <w:p w14:paraId="0C5E89C6" w14:textId="77777777" w:rsidR="00161769" w:rsidRPr="00F171A3" w:rsidRDefault="00161769" w:rsidP="00F31936">
            <w:pPr>
              <w:spacing w:after="0"/>
              <w:jc w:val="left"/>
              <w:rPr>
                <w:rFonts w:ascii="Calibri" w:hAnsi="Calibri" w:cs="Calibri"/>
                <w:b/>
                <w:bCs/>
                <w:color w:val="000000"/>
                <w:szCs w:val="20"/>
              </w:rPr>
            </w:pPr>
            <w:r w:rsidRPr="00F171A3">
              <w:rPr>
                <w:rFonts w:ascii="Calibri" w:hAnsi="Calibri" w:cs="Calibri"/>
                <w:b/>
                <w:bCs/>
                <w:color w:val="000000"/>
                <w:szCs w:val="20"/>
              </w:rPr>
              <w:t>Andronache</w:t>
            </w:r>
          </w:p>
        </w:tc>
        <w:tc>
          <w:tcPr>
            <w:tcW w:w="1289" w:type="dxa"/>
            <w:noWrap/>
            <w:vAlign w:val="bottom"/>
          </w:tcPr>
          <w:p w14:paraId="21D83724"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300,000 </w:t>
            </w:r>
          </w:p>
        </w:tc>
        <w:tc>
          <w:tcPr>
            <w:tcW w:w="1127" w:type="dxa"/>
            <w:noWrap/>
            <w:vAlign w:val="bottom"/>
          </w:tcPr>
          <w:p w14:paraId="7EC81B1E"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390 </w:t>
            </w:r>
          </w:p>
        </w:tc>
        <w:tc>
          <w:tcPr>
            <w:tcW w:w="1150" w:type="dxa"/>
            <w:noWrap/>
            <w:vAlign w:val="bottom"/>
          </w:tcPr>
          <w:p w14:paraId="5DC55332"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769 </w:t>
            </w:r>
          </w:p>
        </w:tc>
        <w:tc>
          <w:tcPr>
            <w:tcW w:w="1611" w:type="dxa"/>
            <w:noWrap/>
            <w:vAlign w:val="bottom"/>
          </w:tcPr>
          <w:p w14:paraId="76158465"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300,000 </w:t>
            </w:r>
          </w:p>
        </w:tc>
        <w:tc>
          <w:tcPr>
            <w:tcW w:w="1127" w:type="dxa"/>
            <w:noWrap/>
            <w:vAlign w:val="bottom"/>
          </w:tcPr>
          <w:p w14:paraId="328511BA"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390 </w:t>
            </w:r>
          </w:p>
        </w:tc>
        <w:tc>
          <w:tcPr>
            <w:tcW w:w="1150" w:type="dxa"/>
            <w:noWrap/>
            <w:vAlign w:val="bottom"/>
          </w:tcPr>
          <w:p w14:paraId="3605C9F0"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769 </w:t>
            </w:r>
          </w:p>
        </w:tc>
      </w:tr>
      <w:tr w:rsidR="00161769" w:rsidRPr="00F171A3" w14:paraId="75E0F8F4" w14:textId="77777777" w:rsidTr="00F31936">
        <w:trPr>
          <w:cnfStyle w:val="000000100000" w:firstRow="0" w:lastRow="0" w:firstColumn="0" w:lastColumn="0" w:oddVBand="0" w:evenVBand="0" w:oddHBand="1" w:evenHBand="0" w:firstRowFirstColumn="0" w:firstRowLastColumn="0" w:lastRowFirstColumn="0" w:lastRowLastColumn="0"/>
          <w:trHeight w:val="463"/>
        </w:trPr>
        <w:tc>
          <w:tcPr>
            <w:tcW w:w="1910" w:type="dxa"/>
            <w:noWrap/>
            <w:vAlign w:val="bottom"/>
          </w:tcPr>
          <w:p w14:paraId="6063CBDD" w14:textId="77777777" w:rsidR="00161769" w:rsidRPr="00F171A3" w:rsidRDefault="00161769" w:rsidP="00F31936">
            <w:pPr>
              <w:spacing w:after="0"/>
              <w:jc w:val="left"/>
              <w:rPr>
                <w:rFonts w:ascii="Calibri" w:hAnsi="Calibri" w:cs="Calibri"/>
                <w:b/>
                <w:bCs/>
                <w:color w:val="000000"/>
                <w:szCs w:val="20"/>
              </w:rPr>
            </w:pPr>
            <w:r w:rsidRPr="00F171A3">
              <w:rPr>
                <w:rFonts w:ascii="Calibri" w:hAnsi="Calibri" w:cs="Calibri"/>
                <w:b/>
                <w:bCs/>
                <w:color w:val="000000"/>
                <w:szCs w:val="20"/>
              </w:rPr>
              <w:t>Pantelimon</w:t>
            </w:r>
          </w:p>
        </w:tc>
        <w:tc>
          <w:tcPr>
            <w:tcW w:w="1289" w:type="dxa"/>
            <w:noWrap/>
            <w:vAlign w:val="bottom"/>
          </w:tcPr>
          <w:p w14:paraId="6F90B699"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359,999 </w:t>
            </w:r>
          </w:p>
        </w:tc>
        <w:tc>
          <w:tcPr>
            <w:tcW w:w="1127" w:type="dxa"/>
            <w:noWrap/>
            <w:vAlign w:val="bottom"/>
          </w:tcPr>
          <w:p w14:paraId="1DB9F934"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1,150 </w:t>
            </w:r>
          </w:p>
        </w:tc>
        <w:tc>
          <w:tcPr>
            <w:tcW w:w="1150" w:type="dxa"/>
            <w:noWrap/>
            <w:vAlign w:val="bottom"/>
          </w:tcPr>
          <w:p w14:paraId="029A0FD8"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313 </w:t>
            </w:r>
          </w:p>
        </w:tc>
        <w:tc>
          <w:tcPr>
            <w:tcW w:w="1611" w:type="dxa"/>
            <w:noWrap/>
            <w:vAlign w:val="bottom"/>
          </w:tcPr>
          <w:p w14:paraId="6B5E7DAD"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2,856,000 </w:t>
            </w:r>
          </w:p>
        </w:tc>
        <w:tc>
          <w:tcPr>
            <w:tcW w:w="1127" w:type="dxa"/>
            <w:noWrap/>
            <w:vAlign w:val="bottom"/>
          </w:tcPr>
          <w:p w14:paraId="23083623"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3,500 </w:t>
            </w:r>
          </w:p>
        </w:tc>
        <w:tc>
          <w:tcPr>
            <w:tcW w:w="1150" w:type="dxa"/>
            <w:noWrap/>
            <w:vAlign w:val="bottom"/>
          </w:tcPr>
          <w:p w14:paraId="0D11907E" w14:textId="77777777" w:rsidR="00161769" w:rsidRPr="00F171A3" w:rsidRDefault="00161769" w:rsidP="00F31936">
            <w:pPr>
              <w:spacing w:after="0"/>
              <w:jc w:val="left"/>
              <w:rPr>
                <w:rFonts w:ascii="Calibri" w:hAnsi="Calibri" w:cs="Calibri"/>
                <w:color w:val="000000"/>
                <w:szCs w:val="20"/>
              </w:rPr>
            </w:pPr>
            <w:r w:rsidRPr="00F171A3">
              <w:rPr>
                <w:rFonts w:ascii="Calibri" w:hAnsi="Calibri" w:cs="Calibri"/>
                <w:color w:val="000000"/>
                <w:szCs w:val="20"/>
              </w:rPr>
              <w:t xml:space="preserve">            816 </w:t>
            </w:r>
          </w:p>
        </w:tc>
      </w:tr>
      <w:tr w:rsidR="00161769" w:rsidRPr="00F171A3" w14:paraId="3C31F4FC" w14:textId="77777777" w:rsidTr="00F31936">
        <w:trPr>
          <w:cnfStyle w:val="000000010000" w:firstRow="0" w:lastRow="0" w:firstColumn="0" w:lastColumn="0" w:oddVBand="0" w:evenVBand="0" w:oddHBand="0" w:evenHBand="1" w:firstRowFirstColumn="0" w:firstRowLastColumn="0" w:lastRowFirstColumn="0" w:lastRowLastColumn="0"/>
          <w:trHeight w:val="463"/>
        </w:trPr>
        <w:tc>
          <w:tcPr>
            <w:tcW w:w="1910" w:type="dxa"/>
            <w:noWrap/>
            <w:vAlign w:val="bottom"/>
          </w:tcPr>
          <w:p w14:paraId="52BB97E9" w14:textId="77777777" w:rsidR="00161769" w:rsidRPr="00F171A3" w:rsidRDefault="00161769" w:rsidP="00F31936">
            <w:pPr>
              <w:spacing w:after="0"/>
              <w:jc w:val="left"/>
              <w:rPr>
                <w:rFonts w:ascii="Calibri" w:hAnsi="Calibri" w:cs="Calibri"/>
                <w:b/>
                <w:bCs/>
                <w:i/>
                <w:iCs/>
                <w:color w:val="000000"/>
                <w:szCs w:val="20"/>
              </w:rPr>
            </w:pPr>
            <w:r w:rsidRPr="00F171A3">
              <w:rPr>
                <w:rFonts w:ascii="Calibri" w:hAnsi="Calibri" w:cs="Calibri"/>
                <w:b/>
                <w:bCs/>
                <w:i/>
                <w:iCs/>
                <w:color w:val="000000"/>
                <w:szCs w:val="20"/>
              </w:rPr>
              <w:t>Obor</w:t>
            </w:r>
          </w:p>
        </w:tc>
        <w:tc>
          <w:tcPr>
            <w:tcW w:w="1289" w:type="dxa"/>
            <w:noWrap/>
            <w:vAlign w:val="bottom"/>
          </w:tcPr>
          <w:p w14:paraId="01BF9573" w14:textId="77777777" w:rsidR="00161769" w:rsidRPr="00F171A3" w:rsidRDefault="00161769" w:rsidP="00F31936">
            <w:pPr>
              <w:spacing w:after="0"/>
              <w:jc w:val="left"/>
              <w:rPr>
                <w:rFonts w:ascii="Calibri" w:hAnsi="Calibri" w:cs="Calibri"/>
                <w:i/>
                <w:iCs/>
                <w:color w:val="000000"/>
                <w:szCs w:val="20"/>
              </w:rPr>
            </w:pPr>
            <w:r w:rsidRPr="00F171A3">
              <w:rPr>
                <w:rFonts w:ascii="Calibri" w:hAnsi="Calibri" w:cs="Calibri"/>
                <w:i/>
                <w:iCs/>
                <w:color w:val="000000"/>
                <w:szCs w:val="20"/>
              </w:rPr>
              <w:t xml:space="preserve">       290,000 </w:t>
            </w:r>
          </w:p>
        </w:tc>
        <w:tc>
          <w:tcPr>
            <w:tcW w:w="1127" w:type="dxa"/>
            <w:noWrap/>
            <w:vAlign w:val="bottom"/>
          </w:tcPr>
          <w:p w14:paraId="2DD4FB0D" w14:textId="77777777" w:rsidR="00161769" w:rsidRPr="00F171A3" w:rsidRDefault="00161769" w:rsidP="00F31936">
            <w:pPr>
              <w:spacing w:after="0"/>
              <w:jc w:val="left"/>
              <w:rPr>
                <w:rFonts w:ascii="Calibri" w:hAnsi="Calibri" w:cs="Calibri"/>
                <w:i/>
                <w:iCs/>
                <w:color w:val="000000"/>
                <w:szCs w:val="20"/>
              </w:rPr>
            </w:pPr>
            <w:r w:rsidRPr="00F171A3">
              <w:rPr>
                <w:rFonts w:ascii="Calibri" w:hAnsi="Calibri" w:cs="Calibri"/>
                <w:i/>
                <w:iCs/>
                <w:color w:val="000000"/>
                <w:szCs w:val="20"/>
              </w:rPr>
              <w:t xml:space="preserve">            690 </w:t>
            </w:r>
          </w:p>
        </w:tc>
        <w:tc>
          <w:tcPr>
            <w:tcW w:w="1150" w:type="dxa"/>
            <w:noWrap/>
            <w:vAlign w:val="bottom"/>
          </w:tcPr>
          <w:p w14:paraId="5EAFE3E3" w14:textId="77777777" w:rsidR="00161769" w:rsidRPr="00F171A3" w:rsidRDefault="00161769" w:rsidP="00F31936">
            <w:pPr>
              <w:spacing w:after="0"/>
              <w:jc w:val="left"/>
              <w:rPr>
                <w:rFonts w:ascii="Calibri" w:hAnsi="Calibri" w:cs="Calibri"/>
                <w:i/>
                <w:iCs/>
                <w:color w:val="000000"/>
                <w:szCs w:val="20"/>
              </w:rPr>
            </w:pPr>
            <w:r w:rsidRPr="00F171A3">
              <w:rPr>
                <w:rFonts w:ascii="Calibri" w:hAnsi="Calibri" w:cs="Calibri"/>
                <w:i/>
                <w:iCs/>
                <w:color w:val="000000"/>
                <w:szCs w:val="20"/>
              </w:rPr>
              <w:t xml:space="preserve">            420 </w:t>
            </w:r>
          </w:p>
        </w:tc>
        <w:tc>
          <w:tcPr>
            <w:tcW w:w="1611" w:type="dxa"/>
            <w:noWrap/>
            <w:vAlign w:val="bottom"/>
          </w:tcPr>
          <w:p w14:paraId="1CC654DB" w14:textId="77777777" w:rsidR="00161769" w:rsidRPr="00F171A3" w:rsidRDefault="00161769" w:rsidP="00F31936">
            <w:pPr>
              <w:spacing w:after="0"/>
              <w:jc w:val="left"/>
              <w:rPr>
                <w:rFonts w:ascii="Calibri" w:hAnsi="Calibri" w:cs="Calibri"/>
                <w:i/>
                <w:iCs/>
                <w:color w:val="000000"/>
                <w:szCs w:val="20"/>
              </w:rPr>
            </w:pPr>
            <w:r w:rsidRPr="00F171A3">
              <w:rPr>
                <w:rFonts w:ascii="Calibri" w:hAnsi="Calibri" w:cs="Calibri"/>
                <w:i/>
                <w:iCs/>
                <w:color w:val="000000"/>
                <w:szCs w:val="20"/>
              </w:rPr>
              <w:t xml:space="preserve">             290,000 </w:t>
            </w:r>
          </w:p>
        </w:tc>
        <w:tc>
          <w:tcPr>
            <w:tcW w:w="1127" w:type="dxa"/>
            <w:noWrap/>
            <w:vAlign w:val="bottom"/>
          </w:tcPr>
          <w:p w14:paraId="7FB223C8" w14:textId="77777777" w:rsidR="00161769" w:rsidRPr="00F171A3" w:rsidRDefault="00161769" w:rsidP="00F31936">
            <w:pPr>
              <w:spacing w:after="0"/>
              <w:jc w:val="left"/>
              <w:rPr>
                <w:rFonts w:ascii="Calibri" w:hAnsi="Calibri" w:cs="Calibri"/>
                <w:i/>
                <w:iCs/>
                <w:color w:val="000000"/>
                <w:szCs w:val="20"/>
              </w:rPr>
            </w:pPr>
            <w:r w:rsidRPr="00F171A3">
              <w:rPr>
                <w:rFonts w:ascii="Calibri" w:hAnsi="Calibri" w:cs="Calibri"/>
                <w:i/>
                <w:iCs/>
                <w:color w:val="000000"/>
                <w:szCs w:val="20"/>
              </w:rPr>
              <w:t xml:space="preserve">            690 </w:t>
            </w:r>
          </w:p>
        </w:tc>
        <w:tc>
          <w:tcPr>
            <w:tcW w:w="1150" w:type="dxa"/>
            <w:noWrap/>
            <w:vAlign w:val="bottom"/>
          </w:tcPr>
          <w:p w14:paraId="7013A1C5" w14:textId="77777777" w:rsidR="00161769" w:rsidRPr="00F171A3" w:rsidRDefault="00161769" w:rsidP="00F31936">
            <w:pPr>
              <w:spacing w:after="0"/>
              <w:jc w:val="left"/>
              <w:rPr>
                <w:rFonts w:ascii="Calibri" w:hAnsi="Calibri" w:cs="Calibri"/>
                <w:i/>
                <w:iCs/>
                <w:color w:val="000000"/>
                <w:szCs w:val="20"/>
              </w:rPr>
            </w:pPr>
            <w:r w:rsidRPr="00F171A3">
              <w:rPr>
                <w:rFonts w:ascii="Calibri" w:hAnsi="Calibri" w:cs="Calibri"/>
                <w:i/>
                <w:iCs/>
                <w:color w:val="000000"/>
                <w:szCs w:val="20"/>
              </w:rPr>
              <w:t xml:space="preserve">            420 </w:t>
            </w:r>
          </w:p>
        </w:tc>
      </w:tr>
    </w:tbl>
    <w:p w14:paraId="6390291B" w14:textId="77777777" w:rsidR="00161769" w:rsidRPr="00F171A3" w:rsidRDefault="00161769" w:rsidP="0046391E">
      <w:pPr>
        <w:jc w:val="right"/>
        <w:rPr>
          <w:color w:val="BFBFBF" w:themeColor="background1" w:themeShade="BF"/>
        </w:rPr>
      </w:pPr>
      <w:r w:rsidRPr="00F171A3">
        <w:rPr>
          <w:color w:val="BFBFBF" w:themeColor="background1" w:themeShade="BF"/>
        </w:rPr>
        <w:t>Sursa: imobiliare.ro</w:t>
      </w:r>
    </w:p>
    <w:p w14:paraId="7DBE457D" w14:textId="77777777" w:rsidR="00833D23" w:rsidRPr="00F171A3" w:rsidRDefault="00833D23" w:rsidP="00833D23"/>
    <w:p w14:paraId="2C85EE8A" w14:textId="7295F3FE" w:rsidR="00161769" w:rsidRPr="00F171A3" w:rsidRDefault="001E0A0F" w:rsidP="00161769">
      <w:pPr>
        <w:pStyle w:val="Heading3"/>
        <w:rPr>
          <w:lang w:val="ro-RO"/>
        </w:rPr>
      </w:pPr>
      <w:bookmarkStart w:id="228" w:name="_Toc127199281"/>
      <w:r w:rsidRPr="00F171A3">
        <w:rPr>
          <w:caps w:val="0"/>
          <w:lang w:val="ro-RO"/>
        </w:rPr>
        <w:t>CERCETAREA, DEZVOLTAREA, INOVAREA ȘI INFRASTRUCTURA SUPORT PENTRU AFACERI</w:t>
      </w:r>
      <w:bookmarkEnd w:id="228"/>
    </w:p>
    <w:p w14:paraId="571758D6" w14:textId="3E49E331" w:rsidR="00161769" w:rsidRPr="00F171A3" w:rsidRDefault="00161769" w:rsidP="00161769">
      <w:r w:rsidRPr="00F171A3">
        <w:t>Municipiul București reprezintă cel mai important pol de competitivitate națională în domeniul CDI, datorită concentrării unui număr mare de institute de cercetare, de întreprinderi active și de salariați în domeniul respectiv. Astfel, în anul 2020, conform Institu</w:t>
      </w:r>
      <w:r w:rsidR="008A1AFD">
        <w:t>tu</w:t>
      </w:r>
      <w:r w:rsidRPr="00F171A3">
        <w:t>lui Național de Statistică, în municipiul București erau înregistrați peste 12.800 de salariați cu normă întreagă în activități de cercetare-dezvoltare, ceea ce reprezintă 79,4% din totalul regiunii București-Ilfov și 38,8% din totalul din România, fiind astfel lider detașat la nivel național. Totuși, în perioada 2014-2020, numărul de salariați cu normă întreagă în activități de cercetare-dezvoltare din municipiul București a crescut cu doar 3,6%, sub ritmul de creștere înregistrat la nivel național, de 5,7%.</w:t>
      </w:r>
    </w:p>
    <w:p w14:paraId="35B7F1F8" w14:textId="77777777" w:rsidR="00161769" w:rsidRPr="00F171A3" w:rsidRDefault="00161769" w:rsidP="00161769">
      <w:r w:rsidRPr="00F171A3">
        <w:t>De asemenea, municipiul București este lider detașat în ceea ce privește cheltuielile totale din activitatea de cercetare-dezvoltare. La nivelul anului 2020, cheltuielile totale din activitatea de cercetare-dezvoltare din municipiul București reprezentau 44,2% din totalul de astfel de cheltuieli de la nivel național și 80,2% din totalul de astfel de cheltuieli de la nivelul Regiunii București-Ilfov. În dinamică, față de anul 2014, cheltuielile totale din activitatea de cercetare-dezvoltare din municipiul București au crescut cu 127,5%, peste ritmul de creștere înregistrat la nivel național de 94,3%. Dintre județele cu cele mai mari cheltuieli, prezentate în figura de mai jos, un ritm de creștere mai mari a cheltuielilor de cercetare-dezvoltare a fost înregistrat în județul Timiș (+604%).</w:t>
      </w:r>
    </w:p>
    <w:p w14:paraId="6CCA83F8" w14:textId="64A44A74" w:rsidR="00161769" w:rsidRPr="00F171A3" w:rsidRDefault="00161769" w:rsidP="00161769">
      <w:pPr>
        <w:pStyle w:val="Caption"/>
      </w:pPr>
      <w:bookmarkStart w:id="229" w:name="_Toc127198067"/>
      <w:r w:rsidRPr="00F171A3">
        <w:t xml:space="preserve">Figura </w:t>
      </w:r>
      <w:r w:rsidRPr="00F171A3">
        <w:fldChar w:fldCharType="begin"/>
      </w:r>
      <w:r w:rsidRPr="00F171A3">
        <w:instrText xml:space="preserve"> SEQ Figura \* ARABIC </w:instrText>
      </w:r>
      <w:r w:rsidRPr="00F171A3">
        <w:fldChar w:fldCharType="separate"/>
      </w:r>
      <w:r w:rsidR="005A6DD8">
        <w:rPr>
          <w:noProof/>
        </w:rPr>
        <w:t>79</w:t>
      </w:r>
      <w:r w:rsidRPr="00F171A3">
        <w:fldChar w:fldCharType="end"/>
      </w:r>
      <w:r w:rsidRPr="00F171A3">
        <w:t xml:space="preserve"> Cheltuieli totale din activitatea de cercetare-dezvoltare – prețuri curente, top național la nivelul municipiului București și al celor mai reprezentative județe (mii lei)</w:t>
      </w:r>
      <w:bookmarkEnd w:id="229"/>
    </w:p>
    <w:p w14:paraId="3035A8DF" w14:textId="77777777" w:rsidR="00161769" w:rsidRPr="00F171A3" w:rsidRDefault="00161769" w:rsidP="00161769">
      <w:pPr>
        <w:jc w:val="center"/>
      </w:pPr>
      <w:r w:rsidRPr="00F171A3">
        <w:rPr>
          <w:noProof/>
        </w:rPr>
        <w:drawing>
          <wp:inline distT="0" distB="0" distL="0" distR="0" wp14:anchorId="21A3DC08" wp14:editId="336F0EB4">
            <wp:extent cx="6032665" cy="3200400"/>
            <wp:effectExtent l="0" t="0" r="6350" b="0"/>
            <wp:docPr id="32" name="Diagramă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159C3C85" w14:textId="77777777" w:rsidR="00161769" w:rsidRPr="00F171A3" w:rsidRDefault="00161769" w:rsidP="0046391E">
      <w:pPr>
        <w:jc w:val="right"/>
        <w:rPr>
          <w:color w:val="BFBFBF" w:themeColor="background1" w:themeShade="BF"/>
        </w:rPr>
      </w:pPr>
      <w:r w:rsidRPr="00F171A3">
        <w:rPr>
          <w:color w:val="BFBFBF" w:themeColor="background1" w:themeShade="BF"/>
        </w:rPr>
        <w:t>Sursa: INS. Baza de date TEMPO Online</w:t>
      </w:r>
    </w:p>
    <w:p w14:paraId="25CA7510" w14:textId="77777777" w:rsidR="00161769" w:rsidRPr="00F171A3" w:rsidRDefault="00161769" w:rsidP="00161769">
      <w:pPr>
        <w:pStyle w:val="Normal0"/>
      </w:pPr>
      <w:r w:rsidRPr="00F171A3">
        <w:t>În municipiul București, la nivelul anului 2019, ultimul pentru care există astfel de date la momentul elaborării analizei, cheltuielile cu CDI reprezentau doar 0,98% din PIB, departe de ținta de 2% propusă la nivel național pentru anul 2020. Dintre județele cu cele mai mari cheltuieli în CDI, municipiul București înregistrează o pondere mai mare comparativ cu județul Cluj (0,4%), județul Iași (0,83%) și județul Timiș (0,63%). Cea mai înaltă pondere o înregistrează județul Ilfov – de 1,91% din PIB, înregistrând, însă, o scădere față de anul 2018.</w:t>
      </w:r>
    </w:p>
    <w:p w14:paraId="62F9A9DF" w14:textId="77777777" w:rsidR="00161769" w:rsidRPr="00F171A3" w:rsidRDefault="00161769" w:rsidP="00161769">
      <w:pPr>
        <w:pStyle w:val="Normal0"/>
      </w:pPr>
      <w:r w:rsidRPr="00F171A3">
        <w:t>De asemenea, în perioada 2014-2020, ponderea cheltuielilor în PIB la nivelul capitalei a înregistrat o creștere, de la 0,60% în anul 2014, la 0,98% în anul 2019, înregistrând astfel cea mai semnificativă creștere la nivelul județelor comparate.</w:t>
      </w:r>
    </w:p>
    <w:p w14:paraId="1EF6BFA8" w14:textId="77777777" w:rsidR="00161769" w:rsidRPr="00F171A3" w:rsidRDefault="00161769" w:rsidP="00161769">
      <w:pPr>
        <w:pStyle w:val="Normal0"/>
      </w:pPr>
      <w:r w:rsidRPr="00F171A3">
        <w:t>Totuși, în contextul respectiv este important de menționat și cadrul național, deoarece România ocupă printre ultimele poziții la nivel european în ceea ce privește finanțarea activităților de CDI, acest sector înregistrând o subfinanțare cronică în ultimele decenii.</w:t>
      </w:r>
    </w:p>
    <w:p w14:paraId="7B235C3B" w14:textId="7311DD5A" w:rsidR="00161769" w:rsidRPr="00F171A3" w:rsidRDefault="00161769" w:rsidP="00161769">
      <w:pPr>
        <w:pStyle w:val="Caption"/>
      </w:pPr>
      <w:bookmarkStart w:id="230" w:name="_Toc127198068"/>
      <w:r w:rsidRPr="00F171A3">
        <w:t xml:space="preserve">Figura </w:t>
      </w:r>
      <w:r w:rsidRPr="00F171A3">
        <w:fldChar w:fldCharType="begin"/>
      </w:r>
      <w:r w:rsidRPr="00F171A3">
        <w:instrText xml:space="preserve"> SEQ Figura \* ARABIC </w:instrText>
      </w:r>
      <w:r w:rsidRPr="00F171A3">
        <w:fldChar w:fldCharType="separate"/>
      </w:r>
      <w:r w:rsidR="005A6DD8">
        <w:rPr>
          <w:noProof/>
        </w:rPr>
        <w:t>80</w:t>
      </w:r>
      <w:r w:rsidRPr="00F171A3">
        <w:fldChar w:fldCharType="end"/>
      </w:r>
      <w:r w:rsidRPr="00F171A3">
        <w:t xml:space="preserve"> Ponderea procentului din PIB corespunzător cheltuielilor legate de CDI</w:t>
      </w:r>
      <w:bookmarkEnd w:id="230"/>
    </w:p>
    <w:p w14:paraId="16963939" w14:textId="77777777" w:rsidR="00161769" w:rsidRPr="00F171A3" w:rsidRDefault="00161769" w:rsidP="00161769">
      <w:pPr>
        <w:pStyle w:val="Bottomcaption"/>
        <w:jc w:val="center"/>
      </w:pPr>
      <w:r w:rsidRPr="00F171A3">
        <w:rPr>
          <w:noProof/>
        </w:rPr>
        <w:drawing>
          <wp:inline distT="0" distB="0" distL="0" distR="0" wp14:anchorId="099E85E7" wp14:editId="5238DABA">
            <wp:extent cx="5821680" cy="3352800"/>
            <wp:effectExtent l="0" t="0" r="7620" b="0"/>
            <wp:docPr id="91" name="Diagramă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1C1E07DE" w14:textId="77777777" w:rsidR="00161769" w:rsidRPr="00F171A3" w:rsidRDefault="00161769" w:rsidP="0046391E">
      <w:pPr>
        <w:jc w:val="right"/>
        <w:rPr>
          <w:color w:val="BFBFBF" w:themeColor="background1" w:themeShade="BF"/>
        </w:rPr>
      </w:pPr>
      <w:r w:rsidRPr="00F171A3">
        <w:rPr>
          <w:color w:val="BFBFBF" w:themeColor="background1" w:themeShade="BF"/>
        </w:rPr>
        <w:t>Sursa: INS. Baza de date TEMPO Online</w:t>
      </w:r>
    </w:p>
    <w:p w14:paraId="4720800D" w14:textId="77777777" w:rsidR="00161769" w:rsidRPr="00F171A3" w:rsidRDefault="00161769" w:rsidP="00161769">
      <w:pPr>
        <w:pStyle w:val="Normal0"/>
      </w:pPr>
      <w:r w:rsidRPr="00F171A3">
        <w:t>Municipiul București ocupă poziția de lider la nivel național în ceea ce privește cererile de brevet de invenție, cererile de înregistrare mărci și cererile de înregistrare desene sau modele. Astfel, în anul 2021, municipiul București a înregistrat 323 de cereri de brevet de invenție (39,5% din totalul de astfel de cereri înregistrate la nivel național), 3.552 de cereri de înregistrare mărci (32% din totalul de astfel de cereri înregistrate la nivel național) și 52 de cereri de înregistrare desene sau modele (20% din totalul de astfel de cereri înregistrate la nivel național). Acest fapt se datorează în mare măsură activității de cercetare din cadrul universităților din capitală.</w:t>
      </w:r>
    </w:p>
    <w:p w14:paraId="44DD5999" w14:textId="339DA32C" w:rsidR="00161769" w:rsidRPr="00F171A3" w:rsidRDefault="00161769" w:rsidP="00161769">
      <w:pPr>
        <w:pStyle w:val="Normal0"/>
        <w:rPr>
          <w:b/>
          <w:bCs/>
        </w:rPr>
      </w:pPr>
      <w:r w:rsidRPr="00F171A3">
        <w:t>De asemenea, municipiul București se află în topul clasamentului la nivel național în ceea ce privește numărul de organizații care se ocupă activități de cercetare. Conform portalului “EERIS Engage in the European Research Infrastructures System”, în capitală există 174 de astfel de organizații, dintre care 50 se află în Sectorul 2. Printre cele mai reprezentative organizații de cercetare din Sectorul 2 sunt intitutule de cercetare și universitățile împreună cu centrele de cercetare din cadrul acestora, centre de transfer tehnologic, etc. Acestora li se adaugă infrastructuri și servicii de sprijin pentru afaceri, precum parcuri industriale, clustere, incubatoare de afaceri și hub-uri inovative. În ceea ce privește clusterele, o bună parte din acestea sunt afliate la Asociația Națională a Clusterelor din România (CLUSTERO): INDAGRO POL, ROMANIAN TEXTILE CONCEPT, MECHATREC, ELINCLUS, ROHEALTH – HEALTH AND BIOECONOMY CLUSTER; unele dintre acestea fiind active și pe plan internațional, pe baza unor parteneriate cu actori relevanți din ramurile în care activează.</w:t>
      </w:r>
    </w:p>
    <w:p w14:paraId="7AC32B7A" w14:textId="77777777" w:rsidR="00161769" w:rsidRPr="00F171A3" w:rsidRDefault="00161769" w:rsidP="00161769">
      <w:pPr>
        <w:pStyle w:val="Normal0"/>
      </w:pPr>
    </w:p>
    <w:p w14:paraId="2C67F2EA" w14:textId="2AE6C151" w:rsidR="00161769" w:rsidRPr="00F171A3" w:rsidRDefault="00161769" w:rsidP="00161769">
      <w:pPr>
        <w:pStyle w:val="Caption"/>
      </w:pPr>
      <w:bookmarkStart w:id="231" w:name="_Toc127198069"/>
      <w:r w:rsidRPr="00F171A3">
        <w:t xml:space="preserve">Figura </w:t>
      </w:r>
      <w:r w:rsidRPr="00F171A3">
        <w:fldChar w:fldCharType="begin"/>
      </w:r>
      <w:r w:rsidRPr="00F171A3">
        <w:instrText xml:space="preserve"> SEQ Figura \* ARABIC </w:instrText>
      </w:r>
      <w:r w:rsidRPr="00F171A3">
        <w:fldChar w:fldCharType="separate"/>
      </w:r>
      <w:r w:rsidR="005A6DD8">
        <w:rPr>
          <w:noProof/>
        </w:rPr>
        <w:t>81</w:t>
      </w:r>
      <w:r w:rsidRPr="00F171A3">
        <w:fldChar w:fldCharType="end"/>
      </w:r>
      <w:r w:rsidRPr="00F171A3">
        <w:t xml:space="preserve"> Infrastructurile de CDI ce oferă servicii de cercetare și tehnologice în municipiul București</w:t>
      </w:r>
      <w:bookmarkEnd w:id="231"/>
    </w:p>
    <w:p w14:paraId="2ADEBDC5" w14:textId="77777777" w:rsidR="00161769" w:rsidRPr="00F171A3" w:rsidRDefault="00161769" w:rsidP="00161769">
      <w:pPr>
        <w:pStyle w:val="Bottomcaption"/>
        <w:jc w:val="center"/>
      </w:pPr>
      <w:r w:rsidRPr="00F171A3">
        <w:rPr>
          <w:noProof/>
        </w:rPr>
        <w:drawing>
          <wp:inline distT="0" distB="0" distL="0" distR="0" wp14:anchorId="51A6721D" wp14:editId="7974A058">
            <wp:extent cx="5974598" cy="4839119"/>
            <wp:effectExtent l="0" t="0" r="7620" b="0"/>
            <wp:docPr id="92" name="I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ine 40"/>
                    <pic:cNvPicPr/>
                  </pic:nvPicPr>
                  <pic:blipFill>
                    <a:blip r:embed="rId134"/>
                    <a:stretch>
                      <a:fillRect/>
                    </a:stretch>
                  </pic:blipFill>
                  <pic:spPr>
                    <a:xfrm>
                      <a:off x="0" y="0"/>
                      <a:ext cx="5974598" cy="4839119"/>
                    </a:xfrm>
                    <a:prstGeom prst="rect">
                      <a:avLst/>
                    </a:prstGeom>
                  </pic:spPr>
                </pic:pic>
              </a:graphicData>
            </a:graphic>
          </wp:inline>
        </w:drawing>
      </w:r>
    </w:p>
    <w:p w14:paraId="3E230256" w14:textId="77777777" w:rsidR="00161769" w:rsidRPr="00F171A3" w:rsidRDefault="00161769" w:rsidP="0046391E">
      <w:pPr>
        <w:jc w:val="right"/>
        <w:rPr>
          <w:color w:val="BFBFBF" w:themeColor="background1" w:themeShade="BF"/>
        </w:rPr>
      </w:pPr>
      <w:r w:rsidRPr="00F171A3">
        <w:rPr>
          <w:color w:val="BFBFBF" w:themeColor="background1" w:themeShade="BF"/>
        </w:rPr>
        <w:t>Sursa: Platforma ERRIS (Engage in the Romanian Research Infrastructure System), UEFISCDI</w:t>
      </w:r>
    </w:p>
    <w:p w14:paraId="601D79ED" w14:textId="77777777" w:rsidR="00161769" w:rsidRPr="00F171A3" w:rsidRDefault="00161769" w:rsidP="00161769">
      <w:r w:rsidRPr="00F171A3">
        <w:t>De asemenea, în municipiul București există 3 parcuri industriale, care sprijină întreprinderile din capitală</w:t>
      </w:r>
      <w:r w:rsidRPr="00F171A3">
        <w:rPr>
          <w:rStyle w:val="FootnoteReference"/>
        </w:rPr>
        <w:footnoteReference w:id="102"/>
      </w:r>
      <w:r w:rsidRPr="00F171A3">
        <w:t>:</w:t>
      </w:r>
    </w:p>
    <w:p w14:paraId="65DB6D62" w14:textId="79E33A51"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Parcul industrial Metav (constituit conform O.G. nr. 65/2001), în zona de nord a Capitalei, fiind conceput atât pentru firme mari ce au nevoie de spații largi de depozitare și producție, cât și pentru întreprinderi mici şi mijlocii. Societatea de administrare Metav SA este membră a Asociației Parcurilor Industriale, Tehnologice, Științifice şi a Incubatoarelor din România (APITSIAR)</w:t>
      </w:r>
      <w:r w:rsidR="00833D23" w:rsidRPr="00F171A3">
        <w:rPr>
          <w:rFonts w:cstheme="minorHAnsi"/>
          <w:color w:val="134753" w:themeColor="text2"/>
        </w:rPr>
        <w:t>;</w:t>
      </w:r>
    </w:p>
    <w:p w14:paraId="2E004535" w14:textId="2939BDEB"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Parcul industrial Sema (constituit conform O.G. nr. 65/2001), situat în zona de vest a municipiului București, asigură toate facilitățile necesare organizării și desfășurării activităților de tip comercial, logistic sau de producție</w:t>
      </w:r>
      <w:r w:rsidR="00833D23" w:rsidRPr="00F171A3">
        <w:rPr>
          <w:rFonts w:cstheme="minorHAnsi"/>
          <w:color w:val="134753" w:themeColor="text2"/>
        </w:rPr>
        <w:t>;</w:t>
      </w:r>
    </w:p>
    <w:p w14:paraId="5B6BDEB7"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Parcul industrial FAUR (constituit confirm art.23 alin.2 din O.U.G. nr.115/2003) este localizat în zona de est a Capitalei, deținând o serie de spații de depozitare și producție ce pot găzdui o gamă variată de activități din domeniul industrial și logistic.</w:t>
      </w:r>
    </w:p>
    <w:p w14:paraId="544BF1DD" w14:textId="77777777" w:rsidR="00161769" w:rsidRPr="00F171A3" w:rsidRDefault="00161769" w:rsidP="00161769">
      <w:r w:rsidRPr="00F171A3">
        <w:t xml:space="preserve">Deși niciunul din parcurile enumerate nu se află în Sectorul 2, acestea oferă servicii suport pentru mediul de afaceri de la nivelul capitalei și a regiunii București-Ilfov. </w:t>
      </w:r>
    </w:p>
    <w:p w14:paraId="008A8DE5" w14:textId="0E0A42D7" w:rsidR="00161769" w:rsidRPr="00F171A3" w:rsidRDefault="00161769" w:rsidP="00161769">
      <w:pPr>
        <w:pStyle w:val="Caption"/>
      </w:pPr>
      <w:bookmarkStart w:id="232" w:name="_Toc127198070"/>
      <w:r w:rsidRPr="00F171A3">
        <w:t xml:space="preserve">Figura </w:t>
      </w:r>
      <w:r w:rsidRPr="00F171A3">
        <w:fldChar w:fldCharType="begin"/>
      </w:r>
      <w:r w:rsidRPr="00F171A3">
        <w:instrText xml:space="preserve"> SEQ Figura \* ARABIC </w:instrText>
      </w:r>
      <w:r w:rsidRPr="00F171A3">
        <w:fldChar w:fldCharType="separate"/>
      </w:r>
      <w:r w:rsidR="005A6DD8">
        <w:rPr>
          <w:noProof/>
        </w:rPr>
        <w:t>82</w:t>
      </w:r>
      <w:r w:rsidRPr="00F171A3">
        <w:fldChar w:fldCharType="end"/>
      </w:r>
      <w:r w:rsidRPr="00F171A3">
        <w:t xml:space="preserve"> Companii implicate în proiecte de CDI (1) și organizații cu rol de suport pentru inovare și antreprenoriat (2)</w:t>
      </w:r>
      <w:bookmarkEnd w:id="232"/>
      <w:r w:rsidRPr="00F171A3">
        <w:t xml:space="preserve"> </w:t>
      </w:r>
    </w:p>
    <w:p w14:paraId="5E723F2A" w14:textId="77777777" w:rsidR="00161769" w:rsidRPr="00F171A3" w:rsidRDefault="00161769" w:rsidP="00161769">
      <w:r w:rsidRPr="00F171A3">
        <w:rPr>
          <w:noProof/>
        </w:rPr>
        <w:drawing>
          <wp:inline distT="0" distB="0" distL="0" distR="0" wp14:anchorId="0A3839B2" wp14:editId="2A0A2088">
            <wp:extent cx="2750820" cy="2453780"/>
            <wp:effectExtent l="0" t="0" r="0" b="3810"/>
            <wp:docPr id="93" name="Imagine 93"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ine 93" descr="O imagine care conține hartă&#10;&#10;Descriere generată automat"/>
                    <pic:cNvPicPr/>
                  </pic:nvPicPr>
                  <pic:blipFill>
                    <a:blip r:embed="rId135"/>
                    <a:stretch>
                      <a:fillRect/>
                    </a:stretch>
                  </pic:blipFill>
                  <pic:spPr>
                    <a:xfrm>
                      <a:off x="0" y="0"/>
                      <a:ext cx="2763401" cy="2465003"/>
                    </a:xfrm>
                    <a:prstGeom prst="rect">
                      <a:avLst/>
                    </a:prstGeom>
                  </pic:spPr>
                </pic:pic>
              </a:graphicData>
            </a:graphic>
          </wp:inline>
        </w:drawing>
      </w:r>
      <w:r w:rsidRPr="00F171A3">
        <w:t xml:space="preserve">               </w:t>
      </w:r>
      <w:r w:rsidRPr="00F171A3">
        <w:rPr>
          <w:noProof/>
        </w:rPr>
        <w:drawing>
          <wp:inline distT="0" distB="0" distL="0" distR="0" wp14:anchorId="618EC417" wp14:editId="3D059985">
            <wp:extent cx="2832897" cy="2446020"/>
            <wp:effectExtent l="0" t="0" r="5715" b="0"/>
            <wp:docPr id="45" name="Imagine 45"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ine 45" descr="O imagine care conține hartă&#10;&#10;Descriere generată automat"/>
                    <pic:cNvPicPr/>
                  </pic:nvPicPr>
                  <pic:blipFill>
                    <a:blip r:embed="rId136"/>
                    <a:stretch>
                      <a:fillRect/>
                    </a:stretch>
                  </pic:blipFill>
                  <pic:spPr>
                    <a:xfrm>
                      <a:off x="0" y="0"/>
                      <a:ext cx="2852980" cy="2463360"/>
                    </a:xfrm>
                    <a:prstGeom prst="rect">
                      <a:avLst/>
                    </a:prstGeom>
                  </pic:spPr>
                </pic:pic>
              </a:graphicData>
            </a:graphic>
          </wp:inline>
        </w:drawing>
      </w:r>
    </w:p>
    <w:p w14:paraId="5FEE1835" w14:textId="77777777" w:rsidR="00161769" w:rsidRPr="00F171A3" w:rsidRDefault="00161769" w:rsidP="0046391E">
      <w:pPr>
        <w:jc w:val="right"/>
        <w:rPr>
          <w:color w:val="BFBFBF" w:themeColor="background1" w:themeShade="BF"/>
        </w:rPr>
      </w:pPr>
      <w:r w:rsidRPr="00F171A3">
        <w:rPr>
          <w:color w:val="BFBFBF" w:themeColor="background1" w:themeShade="BF"/>
        </w:rPr>
        <w:t>Sursa: Harta actorilor de inovare (https://geo.uefiscdi-direct.ro/firme-inovative), UEFISCDI</w:t>
      </w:r>
    </w:p>
    <w:p w14:paraId="4C23886A" w14:textId="77777777" w:rsidR="00161769" w:rsidRPr="00F171A3" w:rsidRDefault="00161769" w:rsidP="00161769">
      <w:r w:rsidRPr="00F171A3">
        <w:t>Pe de altă parte, la nivelul Sectorului pot fi întâlnite un număr relevant de companii implicate în proiecte de Cercetare-Dezvoltare-Inovare, precum și organizații care au un rol de suport pentru activitățile de inovare și pentru antreprenoriat. Pe lângă aceste entități care facilitează inovarea și creșterea economică, un rol important îl au și autoritățile publice, care pot participa activ la viața economică, prin activități de lobby, suport, promovare sau chiar finanțare (programe de genul Start Up Nation, etc.)</w:t>
      </w:r>
    </w:p>
    <w:p w14:paraId="0A351836" w14:textId="77777777" w:rsidR="00161769" w:rsidRPr="00F171A3" w:rsidRDefault="00161769" w:rsidP="00161769">
      <w:r w:rsidRPr="00F171A3">
        <w:t>Astfel, conform chestionarului aplicat mediului de afaceri din Sectorul 2, autoritățile publice locale ar putea îmbunătăți următoarele aspecte în raport cu mediul economic:</w:t>
      </w:r>
    </w:p>
    <w:p w14:paraId="31EE90F5"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Creșterea flexibilității;</w:t>
      </w:r>
    </w:p>
    <w:p w14:paraId="283BC978"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Aprofundarea comunicării;</w:t>
      </w:r>
    </w:p>
    <w:p w14:paraId="18ACB87E"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Digitalizarea proceselor;</w:t>
      </w:r>
    </w:p>
    <w:p w14:paraId="352E8095"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Reducerea termenelor de răspuns;</w:t>
      </w:r>
    </w:p>
    <w:p w14:paraId="5407A08E"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Sprijin în emiterea autorizațiilor și avizelor;</w:t>
      </w:r>
    </w:p>
    <w:p w14:paraId="43A74BEA"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Implicarea mediului de afaceri în proiecte de dezvoltare și digitalizare;</w:t>
      </w:r>
    </w:p>
    <w:p w14:paraId="0418322B"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Facilități fiscale;</w:t>
      </w:r>
    </w:p>
    <w:p w14:paraId="2F494D26"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Reducerea birocrației;</w:t>
      </w:r>
    </w:p>
    <w:p w14:paraId="2A21871E"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Asigurarea infrastructurii pentru birouri și hale de închiriat;</w:t>
      </w:r>
    </w:p>
    <w:p w14:paraId="63495B58" w14:textId="77777777" w:rsidR="00161769" w:rsidRPr="00F171A3" w:rsidRDefault="00161769">
      <w:pPr>
        <w:pStyle w:val="ListParagraph"/>
        <w:numPr>
          <w:ilvl w:val="0"/>
          <w:numId w:val="44"/>
        </w:numPr>
        <w:pBdr>
          <w:top w:val="nil"/>
          <w:left w:val="nil"/>
          <w:bottom w:val="nil"/>
          <w:right w:val="nil"/>
          <w:between w:val="nil"/>
        </w:pBdr>
        <w:rPr>
          <w:rFonts w:cstheme="minorHAnsi"/>
          <w:color w:val="134753" w:themeColor="text2"/>
        </w:rPr>
      </w:pPr>
      <w:r w:rsidRPr="00F171A3">
        <w:rPr>
          <w:rFonts w:cstheme="minorHAnsi"/>
          <w:color w:val="134753" w:themeColor="text2"/>
        </w:rPr>
        <w:t>Facilități pentru adoptarea măsurilor și a proiectelor verzi.</w:t>
      </w:r>
    </w:p>
    <w:p w14:paraId="104229D2" w14:textId="77777777" w:rsidR="00161769" w:rsidRPr="00F171A3" w:rsidRDefault="00161769" w:rsidP="00161769">
      <w:r w:rsidRPr="00F171A3">
        <w:t>Din alt punct de vedere, infrastructura IT, acoperirea broadband adecvată și accesul către legături de transport sunt principalele avantaje pe care reprezentanții mediului de afaceri le au desfășurând activități economice în Sectorul 2, București.</w:t>
      </w:r>
    </w:p>
    <w:p w14:paraId="554B1183" w14:textId="77777777" w:rsidR="00161769" w:rsidRPr="00F171A3" w:rsidRDefault="00161769" w:rsidP="00161769">
      <w:pPr>
        <w:pStyle w:val="Normal0"/>
      </w:pPr>
      <w:r w:rsidRPr="00F171A3">
        <w:t>Pe de altă parte, principalele direcții de acțiune pe care trebuie să le ia în considerare autoritățile publice pentru a crea condiții favorabile de creștere a competitivității mediului de afaceri, sunt prezentate în figura de mai jos:</w:t>
      </w:r>
    </w:p>
    <w:p w14:paraId="3BEBBF95" w14:textId="11E5B981" w:rsidR="00161769" w:rsidRPr="00F171A3" w:rsidRDefault="00161769" w:rsidP="00161769">
      <w:pPr>
        <w:pStyle w:val="Caption"/>
      </w:pPr>
      <w:bookmarkStart w:id="233" w:name="_Toc127198071"/>
      <w:r w:rsidRPr="00F171A3">
        <w:t xml:space="preserve">Figura </w:t>
      </w:r>
      <w:r w:rsidRPr="00F171A3">
        <w:fldChar w:fldCharType="begin"/>
      </w:r>
      <w:r w:rsidRPr="00F171A3">
        <w:instrText xml:space="preserve"> SEQ Figura \* ARABIC </w:instrText>
      </w:r>
      <w:r w:rsidRPr="00F171A3">
        <w:fldChar w:fldCharType="separate"/>
      </w:r>
      <w:r w:rsidR="005A6DD8">
        <w:rPr>
          <w:noProof/>
        </w:rPr>
        <w:t>83</w:t>
      </w:r>
      <w:r w:rsidRPr="00F171A3">
        <w:fldChar w:fldCharType="end"/>
      </w:r>
      <w:r w:rsidRPr="00F171A3">
        <w:t xml:space="preserve"> </w:t>
      </w:r>
      <w:r w:rsidRPr="00F171A3">
        <w:rPr>
          <w:lang w:eastAsia="ja-JP"/>
        </w:rPr>
        <w:t>Principalele direcții de acțiune necesare pentru creșterea competitivității mediului de afaceri la nivelul sectorului, conform mediului de afaceri din Sectorul 2</w:t>
      </w:r>
      <w:bookmarkEnd w:id="233"/>
    </w:p>
    <w:p w14:paraId="5E218DAB" w14:textId="77777777" w:rsidR="00161769" w:rsidRPr="00F171A3" w:rsidRDefault="00161769" w:rsidP="00161769">
      <w:r w:rsidRPr="00F171A3">
        <w:rPr>
          <w:noProof/>
        </w:rPr>
        <w:drawing>
          <wp:inline distT="0" distB="0" distL="0" distR="0" wp14:anchorId="1ADF6420" wp14:editId="104F795C">
            <wp:extent cx="5865962" cy="1820174"/>
            <wp:effectExtent l="0" t="0" r="20955" b="8890"/>
            <wp:docPr id="47"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14:paraId="2D51E589" w14:textId="5666D79F" w:rsidR="005E0EF1" w:rsidRPr="00F171A3" w:rsidRDefault="00161769" w:rsidP="0046391E">
      <w:pPr>
        <w:jc w:val="right"/>
        <w:rPr>
          <w:color w:val="BFBFBF" w:themeColor="background1" w:themeShade="BF"/>
        </w:rPr>
      </w:pPr>
      <w:r w:rsidRPr="00F171A3">
        <w:rPr>
          <w:color w:val="BFBFBF" w:themeColor="background1" w:themeShade="BF"/>
        </w:rPr>
        <w:t>Sursa: Prelucrare proprie pe baza chestionar</w:t>
      </w:r>
      <w:r w:rsidR="008A1AFD">
        <w:rPr>
          <w:color w:val="BFBFBF" w:themeColor="background1" w:themeShade="BF"/>
        </w:rPr>
        <w:t>e</w:t>
      </w:r>
      <w:r w:rsidRPr="00F171A3">
        <w:rPr>
          <w:color w:val="BFBFBF" w:themeColor="background1" w:themeShade="BF"/>
        </w:rPr>
        <w:t>lor aplicate mediului de afaceri din Sectorul 2</w:t>
      </w:r>
    </w:p>
    <w:p w14:paraId="6C232746" w14:textId="12EEE631" w:rsidR="00CA4805" w:rsidRPr="00F171A3" w:rsidRDefault="00CA4805" w:rsidP="00CA4805"/>
    <w:p w14:paraId="437E9DA9" w14:textId="77777777" w:rsidR="008A6FAE" w:rsidRPr="00F171A3" w:rsidRDefault="008A6FAE" w:rsidP="00CA4805">
      <w:pPr>
        <w:sectPr w:rsidR="008A6FAE" w:rsidRPr="00F171A3" w:rsidSect="00135952">
          <w:pgSz w:w="11907" w:h="16839" w:code="9"/>
          <w:pgMar w:top="1151" w:right="1440" w:bottom="1440" w:left="1021" w:header="709" w:footer="284" w:gutter="0"/>
          <w:cols w:space="708"/>
          <w:titlePg/>
          <w:docGrid w:linePitch="360"/>
        </w:sectPr>
      </w:pPr>
    </w:p>
    <w:p w14:paraId="5994E4E2" w14:textId="5E9051B7" w:rsidR="0011330B" w:rsidRPr="00F171A3" w:rsidRDefault="00000000" w:rsidP="002C4736">
      <w:pPr>
        <w:pStyle w:val="Heading2"/>
        <w:rPr>
          <w:lang w:val="ro-RO"/>
        </w:rPr>
      </w:pPr>
      <w:hyperlink w:anchor="_Toc493866723" w:history="1">
        <w:bookmarkStart w:id="234" w:name="_Toc127199282"/>
        <w:r w:rsidR="00213A2E" w:rsidRPr="00F171A3">
          <w:rPr>
            <w:lang w:val="ro-RO"/>
          </w:rPr>
          <w:t>DEZVOLTARE URBANĂ</w:t>
        </w:r>
        <w:bookmarkEnd w:id="234"/>
        <w:r w:rsidR="0011330B" w:rsidRPr="00F171A3">
          <w:rPr>
            <w:webHidden/>
            <w:lang w:val="ro-RO"/>
          </w:rPr>
          <w:tab/>
        </w:r>
      </w:hyperlink>
    </w:p>
    <w:p w14:paraId="001AC134" w14:textId="77777777" w:rsidR="00013122" w:rsidRPr="00F171A3" w:rsidRDefault="00000000" w:rsidP="00013122">
      <w:pPr>
        <w:pStyle w:val="Heading3"/>
        <w:rPr>
          <w:lang w:val="ro-RO"/>
        </w:rPr>
      </w:pPr>
      <w:hyperlink w:anchor="_heading=h.2pcmsun">
        <w:bookmarkStart w:id="235" w:name="_Toc114505877"/>
        <w:bookmarkStart w:id="236" w:name="_Toc127199283"/>
        <w:r w:rsidR="00013122" w:rsidRPr="00F171A3">
          <w:rPr>
            <w:lang w:val="ro-RO"/>
          </w:rPr>
          <w:t>PROFIL SPAŢIAL</w:t>
        </w:r>
        <w:bookmarkEnd w:id="235"/>
        <w:bookmarkEnd w:id="236"/>
        <w:r w:rsidR="00013122" w:rsidRPr="00F171A3">
          <w:rPr>
            <w:lang w:val="ro-RO"/>
          </w:rPr>
          <w:tab/>
        </w:r>
      </w:hyperlink>
    </w:p>
    <w:p w14:paraId="1D72A27D" w14:textId="77777777" w:rsidR="00013122" w:rsidRPr="00F171A3" w:rsidRDefault="00013122" w:rsidP="00013122">
      <w:pPr>
        <w:rPr>
          <w:rFonts w:cstheme="minorHAnsi"/>
        </w:rPr>
      </w:pPr>
      <w:r w:rsidRPr="00F171A3">
        <w:rPr>
          <w:rFonts w:cstheme="minorHAnsi"/>
        </w:rPr>
        <w:t>În ceea ce privește contextul în care se dezvoltă Sectorul 2, aceste este puternic influențat de cele două așezări învecinate, orașul Pantelimon și comuna Dobroești care au cunoscut o constantă creștere a populației datorată unui proces de expansiune accentuat. Deoarece această expansiune a suburbanului s-a realizat fără a asigura dotările necesare pentru noii rezidenți, aceștia utilizează infrastructura socio-culturală din Sectorul 2. Astfel, principalele căi de legătură între Pantelimon, Dobroești și Sectorul 2 sunt solicitate de către rezidenții celor două așezări care fac naveta către București pentru locuri de muncă, educație, agrement, cultură sau alte dotări de interes cotidian.</w:t>
      </w:r>
    </w:p>
    <w:p w14:paraId="51D04A89" w14:textId="77777777" w:rsidR="00013122" w:rsidRPr="00F171A3" w:rsidRDefault="00013122" w:rsidP="00013122">
      <w:pPr>
        <w:pBdr>
          <w:top w:val="nil"/>
          <w:left w:val="nil"/>
          <w:bottom w:val="nil"/>
          <w:right w:val="nil"/>
          <w:between w:val="nil"/>
        </w:pBdr>
        <w:rPr>
          <w:rFonts w:cstheme="minorHAnsi"/>
          <w:color w:val="000000"/>
        </w:rPr>
      </w:pPr>
      <w:r w:rsidRPr="00F171A3">
        <w:rPr>
          <w:rFonts w:cstheme="minorHAnsi"/>
          <w:color w:val="000000"/>
        </w:rPr>
        <w:t>Din perspectiva profilului spațial, Sectorul 2 poate fi împărțit în mai multe tipuri de zone. Cea mai evidentă diferențiere este vizibilă între zona centrală dominată de un țesut istoric, cu un număr mare de monumente (clasa A și B) și zone protejate și zona de locuințe colective dezvoltate în perioada comunistă pe bazele unei zone cu profund caracter rural</w:t>
      </w:r>
      <w:r w:rsidRPr="00F171A3">
        <w:rPr>
          <w:rFonts w:cstheme="minorHAnsi"/>
          <w:color w:val="000000"/>
          <w:vertAlign w:val="superscript"/>
        </w:rPr>
        <w:footnoteReference w:id="103"/>
      </w:r>
      <w:r w:rsidRPr="00F171A3">
        <w:rPr>
          <w:rFonts w:cstheme="minorHAnsi"/>
          <w:color w:val="000000"/>
        </w:rPr>
        <w:t>.</w:t>
      </w:r>
    </w:p>
    <w:p w14:paraId="3EC849AE" w14:textId="77777777" w:rsidR="00013122" w:rsidRPr="00F171A3" w:rsidRDefault="00013122" w:rsidP="00013122">
      <w:pPr>
        <w:spacing w:after="0"/>
        <w:jc w:val="left"/>
        <w:rPr>
          <w:rFonts w:cstheme="minorHAnsi"/>
          <w:i/>
        </w:rPr>
      </w:pPr>
      <w:bookmarkStart w:id="237" w:name="_heading=h.thw4kt" w:colFirst="0" w:colLast="0"/>
      <w:bookmarkEnd w:id="237"/>
      <w:r w:rsidRPr="00F171A3">
        <w:rPr>
          <w:rFonts w:cstheme="minorHAnsi"/>
        </w:rPr>
        <w:br w:type="page"/>
      </w:r>
    </w:p>
    <w:p w14:paraId="24BF5EDF" w14:textId="41C0914E" w:rsidR="00013122" w:rsidRPr="00F171A3" w:rsidRDefault="0046391E" w:rsidP="0046391E">
      <w:pPr>
        <w:pStyle w:val="Caption"/>
        <w:rPr>
          <w:b w:val="0"/>
        </w:rPr>
      </w:pPr>
      <w:bookmarkStart w:id="238" w:name="_heading=h.3dhjn8m" w:colFirst="0" w:colLast="0"/>
      <w:bookmarkStart w:id="239" w:name="_Toc127198072"/>
      <w:bookmarkEnd w:id="238"/>
      <w:r w:rsidRPr="00F171A3">
        <w:t xml:space="preserve">Figura </w:t>
      </w:r>
      <w:r w:rsidRPr="00F171A3">
        <w:fldChar w:fldCharType="begin"/>
      </w:r>
      <w:r w:rsidRPr="00F171A3">
        <w:instrText xml:space="preserve"> SEQ Figura \* ARABIC </w:instrText>
      </w:r>
      <w:r w:rsidRPr="00F171A3">
        <w:fldChar w:fldCharType="separate"/>
      </w:r>
      <w:r w:rsidR="005A6DD8">
        <w:rPr>
          <w:noProof/>
        </w:rPr>
        <w:t>84</w:t>
      </w:r>
      <w:r w:rsidRPr="00F171A3">
        <w:fldChar w:fldCharType="end"/>
      </w:r>
      <w:r w:rsidRPr="00F171A3">
        <w:t xml:space="preserve"> </w:t>
      </w:r>
      <w:r w:rsidR="00013122" w:rsidRPr="00F171A3">
        <w:t>Evoluția istorică a Sectorului 2</w:t>
      </w:r>
      <w:bookmarkEnd w:id="239"/>
    </w:p>
    <w:p w14:paraId="5CA74F80" w14:textId="77777777" w:rsidR="00013122" w:rsidRPr="00F171A3" w:rsidRDefault="00013122" w:rsidP="00013122">
      <w:pPr>
        <w:pBdr>
          <w:top w:val="nil"/>
          <w:left w:val="nil"/>
          <w:bottom w:val="nil"/>
          <w:right w:val="nil"/>
          <w:between w:val="nil"/>
        </w:pBdr>
        <w:jc w:val="center"/>
        <w:rPr>
          <w:rFonts w:cstheme="minorHAnsi"/>
          <w:i/>
          <w:color w:val="000000"/>
        </w:rPr>
      </w:pPr>
      <w:r w:rsidRPr="00F171A3">
        <w:rPr>
          <w:rFonts w:cstheme="minorHAnsi"/>
          <w:i/>
          <w:noProof/>
          <w:color w:val="000000"/>
        </w:rPr>
        <w:drawing>
          <wp:inline distT="0" distB="0" distL="0" distR="0" wp14:anchorId="317B7314" wp14:editId="67FA8F05">
            <wp:extent cx="5947104" cy="8401464"/>
            <wp:effectExtent l="0" t="0" r="0" b="0"/>
            <wp:docPr id="25759"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42"/>
                    <a:srcRect/>
                    <a:stretch>
                      <a:fillRect/>
                    </a:stretch>
                  </pic:blipFill>
                  <pic:spPr>
                    <a:xfrm>
                      <a:off x="0" y="0"/>
                      <a:ext cx="5947104" cy="8401464"/>
                    </a:xfrm>
                    <a:prstGeom prst="rect">
                      <a:avLst/>
                    </a:prstGeom>
                    <a:ln/>
                  </pic:spPr>
                </pic:pic>
              </a:graphicData>
            </a:graphic>
          </wp:inline>
        </w:drawing>
      </w:r>
    </w:p>
    <w:p w14:paraId="19A1CE13" w14:textId="1D4C50A3" w:rsidR="00013122" w:rsidRPr="00F171A3" w:rsidRDefault="00013122" w:rsidP="0046391E">
      <w:pPr>
        <w:jc w:val="right"/>
        <w:rPr>
          <w:color w:val="BFBFBF" w:themeColor="background1" w:themeShade="BF"/>
        </w:rPr>
      </w:pPr>
      <w:r w:rsidRPr="00F171A3">
        <w:rPr>
          <w:color w:val="BFBFBF" w:themeColor="background1" w:themeShade="BF"/>
        </w:rPr>
        <w:t xml:space="preserve">Sursa: </w:t>
      </w:r>
      <w:r w:rsidR="0046391E" w:rsidRPr="00F171A3">
        <w:rPr>
          <w:color w:val="BFBFBF" w:themeColor="background1" w:themeShade="BF"/>
        </w:rPr>
        <w:t>P</w:t>
      </w:r>
      <w:r w:rsidRPr="00F171A3">
        <w:rPr>
          <w:color w:val="BFBFBF" w:themeColor="background1" w:themeShade="BF"/>
        </w:rPr>
        <w:t>relucrarea consultantului</w:t>
      </w:r>
    </w:p>
    <w:p w14:paraId="6F6B69F1" w14:textId="77777777" w:rsidR="00013122" w:rsidRPr="00F171A3" w:rsidRDefault="00013122" w:rsidP="00013122">
      <w:pPr>
        <w:rPr>
          <w:rFonts w:cstheme="minorHAnsi"/>
        </w:rPr>
      </w:pPr>
      <w:r w:rsidRPr="00F171A3">
        <w:rPr>
          <w:rFonts w:cstheme="minorHAnsi"/>
        </w:rPr>
        <w:t>Zona de locuințe colective se caracterizează preponderent prin construcții înalte (peste P+6) dezvoltate în lungul unor artere de circulație de mare amploare. Locuințele colective orientate către circulațiile majore sunt echipate cu unități comerciale, servicii sau alimentație publică la parter. Astfel, acestea acoperă într-o oarecare măsură necesarul de dotări aferente rezidenților din proximitate.</w:t>
      </w:r>
    </w:p>
    <w:p w14:paraId="06CC47DA" w14:textId="77777777" w:rsidR="00013122" w:rsidRPr="00F171A3" w:rsidRDefault="00013122" w:rsidP="00013122">
      <w:pPr>
        <w:rPr>
          <w:rFonts w:cstheme="minorHAnsi"/>
        </w:rPr>
      </w:pPr>
      <w:r w:rsidRPr="00F171A3">
        <w:rPr>
          <w:rFonts w:cstheme="minorHAnsi"/>
        </w:rPr>
        <w:t>Tot pe baza criteriilor istorice se poate delimita și zona de locuințe individuale din cartierele Andronache, Plumbuita și Baicului, constituite preponderent după anii ‘50. În toate cele trei zone, dar mai ales în Baicului se remarcă un proces de densificare în ultimii ani. Casele vechi sunt extinse sau înlocuite de locuințe mai mari, aspect care conduce la creșterea gradului de ocupare a terenului. Aceste trei zone rezidențiale nu sunt echipate suficient cu dotări de interes cotidian, fiind adesea lipsite de grădinițe, dotări culturale sau spații verzi publice.</w:t>
      </w:r>
    </w:p>
    <w:p w14:paraId="65ED2F10" w14:textId="77777777" w:rsidR="00013122" w:rsidRPr="00F171A3" w:rsidRDefault="00013122" w:rsidP="00013122">
      <w:pPr>
        <w:rPr>
          <w:rFonts w:cstheme="minorHAnsi"/>
        </w:rPr>
      </w:pPr>
      <w:r w:rsidRPr="00F171A3">
        <w:rPr>
          <w:rFonts w:cstheme="minorHAnsi"/>
        </w:rPr>
        <w:t>Odată cu declinul industrial și mutarea acestor activități către noua periferie, terenurile industriale abandonate („brownfield”) au fost treptat preluate și ocupate de activități comerciale de mare amploare. Astfel, pe foste terenuri industriale au apărut mall-uri precum Mega Mall sau Veranda alături de centre comerciale de dimensiuni mari (Cora, Kaufland) sau medii (rețeaua Lidl). Toate aceste unități completează cererea de dotări transformându-se în centralități la nivelul Sectorului 2. În consecință, cu excepția zonei centrale (zona A. Verona) și a pieței Obor, cea mai mare parte a centralităților la nivelul Sectorului 2 este reprezentată de unități comerciale care au devenit principalele zone de întâlnire și petrecere a timpului liber.</w:t>
      </w:r>
    </w:p>
    <w:p w14:paraId="573373D8" w14:textId="77777777" w:rsidR="00013122" w:rsidRPr="00F171A3" w:rsidRDefault="00013122" w:rsidP="00013122">
      <w:pPr>
        <w:rPr>
          <w:rFonts w:cstheme="minorHAnsi"/>
        </w:rPr>
      </w:pPr>
      <w:r w:rsidRPr="00F171A3">
        <w:rPr>
          <w:rFonts w:cstheme="minorHAnsi"/>
        </w:rPr>
        <w:t>În completarea zonelor de locuire, pe teritoriul Sectorului 2 se regăsesc încă trei tipuri de zone cu un specific funcțional-morfologic aparte: zona Stadionului Arena Națională (unul dintre principalii generatori de trafic), zona UTCB care atrage un număr foarte mare de studenți și zona salbei de lacuri. Aceste trei zone sunt reprezentative la nivelul sectorului, dar cuprind și o serie de probleme specifice care trebuie ameliorate.</w:t>
      </w:r>
    </w:p>
    <w:p w14:paraId="6BF0090C" w14:textId="77777777" w:rsidR="00013122" w:rsidRPr="00F171A3" w:rsidRDefault="00013122" w:rsidP="00013122">
      <w:pPr>
        <w:pBdr>
          <w:top w:val="nil"/>
          <w:left w:val="nil"/>
          <w:bottom w:val="nil"/>
          <w:right w:val="nil"/>
          <w:between w:val="nil"/>
        </w:pBdr>
        <w:rPr>
          <w:rFonts w:cstheme="minorHAnsi"/>
          <w:color w:val="000000"/>
        </w:rPr>
      </w:pPr>
    </w:p>
    <w:p w14:paraId="7297FA8E" w14:textId="77777777" w:rsidR="00013122" w:rsidRPr="00F171A3" w:rsidRDefault="00013122" w:rsidP="00013122">
      <w:pPr>
        <w:rPr>
          <w:rFonts w:cstheme="minorHAnsi"/>
        </w:rPr>
      </w:pPr>
    </w:p>
    <w:p w14:paraId="4B741AB0" w14:textId="77777777" w:rsidR="00013122" w:rsidRPr="00F171A3" w:rsidRDefault="00013122" w:rsidP="00013122">
      <w:pPr>
        <w:spacing w:after="0"/>
        <w:jc w:val="left"/>
        <w:rPr>
          <w:rFonts w:cstheme="minorHAnsi"/>
          <w:i/>
        </w:rPr>
      </w:pPr>
      <w:bookmarkStart w:id="240" w:name="_heading=h.1smtxgf" w:colFirst="0" w:colLast="0"/>
      <w:bookmarkEnd w:id="240"/>
      <w:r w:rsidRPr="00F171A3">
        <w:rPr>
          <w:rFonts w:cstheme="minorHAnsi"/>
        </w:rPr>
        <w:br w:type="page"/>
      </w:r>
    </w:p>
    <w:p w14:paraId="4030AA94" w14:textId="4A069F2A" w:rsidR="00013122" w:rsidRPr="00F171A3" w:rsidRDefault="0046391E" w:rsidP="0046391E">
      <w:pPr>
        <w:pStyle w:val="Caption"/>
      </w:pPr>
      <w:bookmarkStart w:id="241" w:name="_heading=h.4cmhg48" w:colFirst="0" w:colLast="0"/>
      <w:bookmarkStart w:id="242" w:name="_Toc127198073"/>
      <w:bookmarkEnd w:id="241"/>
      <w:r w:rsidRPr="00F171A3">
        <w:t xml:space="preserve">Figura </w:t>
      </w:r>
      <w:r w:rsidRPr="00F171A3">
        <w:fldChar w:fldCharType="begin"/>
      </w:r>
      <w:r w:rsidRPr="00F171A3">
        <w:instrText xml:space="preserve"> SEQ Figura \* ARABIC </w:instrText>
      </w:r>
      <w:r w:rsidRPr="00F171A3">
        <w:fldChar w:fldCharType="separate"/>
      </w:r>
      <w:r w:rsidR="005A6DD8">
        <w:rPr>
          <w:noProof/>
        </w:rPr>
        <w:t>85</w:t>
      </w:r>
      <w:r w:rsidRPr="00F171A3">
        <w:fldChar w:fldCharType="end"/>
      </w:r>
      <w:r w:rsidRPr="00F171A3">
        <w:t xml:space="preserve"> </w:t>
      </w:r>
      <w:r w:rsidR="00013122" w:rsidRPr="00F171A3">
        <w:t>Centralități pe teritoriul Sectorului 2</w:t>
      </w:r>
      <w:bookmarkEnd w:id="242"/>
    </w:p>
    <w:p w14:paraId="260CC509" w14:textId="77777777" w:rsidR="00013122" w:rsidRPr="00F171A3" w:rsidRDefault="00013122" w:rsidP="00013122">
      <w:pPr>
        <w:jc w:val="center"/>
        <w:rPr>
          <w:rFonts w:cstheme="minorHAnsi"/>
        </w:rPr>
      </w:pPr>
      <w:r w:rsidRPr="00F171A3">
        <w:rPr>
          <w:rFonts w:cstheme="minorHAnsi"/>
          <w:noProof/>
        </w:rPr>
        <w:drawing>
          <wp:inline distT="0" distB="0" distL="0" distR="0" wp14:anchorId="124D9AF8" wp14:editId="463EE200">
            <wp:extent cx="5952817" cy="7334248"/>
            <wp:effectExtent l="0" t="0" r="0" b="0"/>
            <wp:docPr id="25756" name="image28.jpg" descr="C:\Users\stadler86\AppData\Local\Microsoft\Windows\INetCache\Content.Word\Centralitati.jpg"/>
            <wp:cNvGraphicFramePr/>
            <a:graphic xmlns:a="http://schemas.openxmlformats.org/drawingml/2006/main">
              <a:graphicData uri="http://schemas.openxmlformats.org/drawingml/2006/picture">
                <pic:pic xmlns:pic="http://schemas.openxmlformats.org/drawingml/2006/picture">
                  <pic:nvPicPr>
                    <pic:cNvPr id="0" name="image28.jpg" descr="C:\Users\stadler86\AppData\Local\Microsoft\Windows\INetCache\Content.Word\Centralitati.jpg"/>
                    <pic:cNvPicPr preferRelativeResize="0"/>
                  </pic:nvPicPr>
                  <pic:blipFill>
                    <a:blip r:embed="rId143"/>
                    <a:srcRect t="2841" b="4044"/>
                    <a:stretch>
                      <a:fillRect/>
                    </a:stretch>
                  </pic:blipFill>
                  <pic:spPr>
                    <a:xfrm>
                      <a:off x="0" y="0"/>
                      <a:ext cx="5952817" cy="7334248"/>
                    </a:xfrm>
                    <a:prstGeom prst="rect">
                      <a:avLst/>
                    </a:prstGeom>
                    <a:ln/>
                  </pic:spPr>
                </pic:pic>
              </a:graphicData>
            </a:graphic>
          </wp:inline>
        </w:drawing>
      </w:r>
    </w:p>
    <w:p w14:paraId="52EFB8DE" w14:textId="510252C0" w:rsidR="00013122" w:rsidRPr="00F171A3" w:rsidRDefault="00013122" w:rsidP="0046391E">
      <w:pPr>
        <w:jc w:val="right"/>
        <w:rPr>
          <w:color w:val="BFBFBF" w:themeColor="background1" w:themeShade="BF"/>
        </w:rPr>
      </w:pPr>
      <w:r w:rsidRPr="00F171A3">
        <w:rPr>
          <w:color w:val="BFBFBF" w:themeColor="background1" w:themeShade="BF"/>
        </w:rPr>
        <w:t xml:space="preserve">Sursa: </w:t>
      </w:r>
      <w:r w:rsidR="0046391E" w:rsidRPr="00F171A3">
        <w:rPr>
          <w:color w:val="BFBFBF" w:themeColor="background1" w:themeShade="BF"/>
        </w:rPr>
        <w:t>P</w:t>
      </w:r>
      <w:r w:rsidRPr="00F171A3">
        <w:rPr>
          <w:color w:val="BFBFBF" w:themeColor="background1" w:themeShade="BF"/>
        </w:rPr>
        <w:t>relucrarea consultantului</w:t>
      </w:r>
    </w:p>
    <w:p w14:paraId="51940B3E" w14:textId="77777777" w:rsidR="00013122" w:rsidRPr="00F171A3" w:rsidRDefault="00013122" w:rsidP="00013122">
      <w:pPr>
        <w:pBdr>
          <w:top w:val="nil"/>
          <w:left w:val="nil"/>
          <w:bottom w:val="nil"/>
          <w:right w:val="nil"/>
          <w:between w:val="nil"/>
        </w:pBdr>
        <w:rPr>
          <w:rFonts w:cstheme="minorHAnsi"/>
          <w:color w:val="000000"/>
        </w:rPr>
      </w:pPr>
      <w:bookmarkStart w:id="243" w:name="_heading=h.2rrrqc1" w:colFirst="0" w:colLast="0"/>
      <w:bookmarkEnd w:id="243"/>
      <w:r w:rsidRPr="00F171A3">
        <w:rPr>
          <w:rFonts w:cstheme="minorHAnsi"/>
          <w:color w:val="000000"/>
        </w:rPr>
        <w:t xml:space="preserve">În ceea ce privește dezvoltarea recentă, zona cu cea mai accentuată dinamică este în partea de nord a Sectorului 2, în cartierul Pipera. Cu excepția zonei de nord, nu mai există alte zone la fel de ample care au cunoscut o dinamică accentuată de dezvoltare. Alte dezvoltări recente se caracterizează preponderent prin inserții punctuale de construcții pe foste terenuri industriale cum ar fi centrele comerciale Cora Pantelimon, Mega Mall sau Veranda Mall. Inserțiile punctuale în cazul Sectorului 2 se traduc și printr-un proces de densificare vizibil prin dezvoltarea de ansambluri rezidențiale cu locuințe colective, preponderent în zonele Baicului – Colentina (ex. Rose Garden Residence sau Planorama), Doamna Ghica și Tei. O tendință similară se regăsește și în zona centrală unde în ultimii ani au apărut numeroase clădiri de birouri sau locuințe de dimensiuni medii (P+4 – P+5), în cele mai multe cazuri alăturate unor clădiri P-P+1 construite la sfârșitul secolului XIX – începutul secolului XX, dar și în zonele rezidențiale limitrofe unde în zonele de locuințe individuale se derulează un proces de îndesire prin apariția de noi locuințe colective (P+4-P+6) care pun presiuni suplimentare în special pe infrastructura de parcări a zonei (zonele Fabrica de Gheață (ansamblul Gran Via), Tei Toboc, Andronache). </w:t>
      </w:r>
    </w:p>
    <w:p w14:paraId="37802742" w14:textId="77777777" w:rsidR="00013122" w:rsidRPr="00F171A3" w:rsidRDefault="00013122" w:rsidP="00013122">
      <w:pPr>
        <w:pBdr>
          <w:top w:val="nil"/>
          <w:left w:val="nil"/>
          <w:bottom w:val="nil"/>
          <w:right w:val="nil"/>
          <w:between w:val="nil"/>
        </w:pBdr>
        <w:rPr>
          <w:rFonts w:cstheme="minorHAnsi"/>
          <w:color w:val="000000"/>
        </w:rPr>
      </w:pPr>
      <w:r w:rsidRPr="00F171A3">
        <w:rPr>
          <w:rFonts w:cstheme="minorHAnsi"/>
          <w:color w:val="000000"/>
        </w:rPr>
        <w:t xml:space="preserve">O altă investiție imobiliară care are în vedere valorificarea terenurilor libere din zonele periferice o reprezintă dezvoltarea pe terenul fostei Fabrici Helitube din zona Andronache-Colentina, a 3 supermarketuri/hipermarketuri (LIDL, Kaufland, Hornbach) operațiunea va întări statutul de pol comercial pe care zona îl deține datorită existenței complexului Dragonul Roșu, magazinelor Europa, complexului comercial Colentina (Carrefour, Dedeman), halele Andronache dar și zona comercială de pe bd. Eroilor (orașul Voluntari). </w:t>
      </w:r>
    </w:p>
    <w:p w14:paraId="4A6EF1BB" w14:textId="77777777" w:rsidR="00013122" w:rsidRPr="00F171A3" w:rsidRDefault="00013122" w:rsidP="00013122">
      <w:pPr>
        <w:pBdr>
          <w:top w:val="nil"/>
          <w:left w:val="nil"/>
          <w:bottom w:val="nil"/>
          <w:right w:val="nil"/>
          <w:between w:val="nil"/>
        </w:pBdr>
        <w:rPr>
          <w:rFonts w:cstheme="minorHAnsi"/>
          <w:color w:val="000000"/>
        </w:rPr>
      </w:pPr>
      <w:r w:rsidRPr="00F171A3">
        <w:rPr>
          <w:rFonts w:cstheme="minorHAnsi"/>
          <w:color w:val="000000"/>
        </w:rPr>
        <w:t>La nivelul anului 2022, pe teritoriul Sectorului 2 sunt înregistrate 175.022 de clădiri</w:t>
      </w:r>
      <w:r w:rsidRPr="00F171A3">
        <w:rPr>
          <w:rStyle w:val="FootnoteReference"/>
          <w:rFonts w:cstheme="minorHAnsi"/>
          <w:color w:val="000000"/>
        </w:rPr>
        <w:footnoteReference w:id="104"/>
      </w:r>
      <w:r w:rsidRPr="00F171A3">
        <w:rPr>
          <w:rFonts w:cstheme="minorHAnsi"/>
          <w:color w:val="000000"/>
        </w:rPr>
        <w:t xml:space="preserve"> aflate în proprietatea persoanelor fizice sau juridice, care raportate la populația Sectorului 2, de 368.601 locuitori, reprezintă o medie de 2,1 locuitori pe clădire. </w:t>
      </w:r>
    </w:p>
    <w:p w14:paraId="1D3C7C36" w14:textId="77777777" w:rsidR="00013122" w:rsidRPr="00F171A3" w:rsidRDefault="00013122" w:rsidP="00013122">
      <w:pPr>
        <w:rPr>
          <w:rFonts w:cstheme="minorHAnsi"/>
        </w:rPr>
      </w:pPr>
      <w:r w:rsidRPr="00F171A3">
        <w:rPr>
          <w:rFonts w:cstheme="minorHAnsi"/>
        </w:rPr>
        <w:t>În lipsa unor rezerve substanțiale de teren, expansiunea Sectorului 2 este relativ redusă în comparație cu alte zone ale Bucureștiului. Singurele zone în care a existat expansiune urbană în ultimul deceniu sunt segmente din Baicului, Fundeni sau Plumbuita unde există încă terenuri neconstruite. Pe lângă acestea, cartierul Ion Creangă este singurul care cuprinde zone de expansiune cu caracter comercial (ex. Complexul Comercial Dragonul Roșu).</w:t>
      </w:r>
    </w:p>
    <w:p w14:paraId="3475DEF6" w14:textId="77777777" w:rsidR="00013122" w:rsidRPr="00F171A3" w:rsidRDefault="00013122" w:rsidP="00013122">
      <w:pPr>
        <w:pBdr>
          <w:top w:val="nil"/>
          <w:left w:val="nil"/>
          <w:bottom w:val="nil"/>
          <w:right w:val="nil"/>
          <w:between w:val="nil"/>
        </w:pBdr>
        <w:rPr>
          <w:rFonts w:cstheme="minorHAnsi"/>
          <w:color w:val="000000"/>
        </w:rPr>
      </w:pPr>
      <w:r w:rsidRPr="00F171A3">
        <w:rPr>
          <w:rFonts w:cstheme="minorHAnsi"/>
          <w:color w:val="000000"/>
        </w:rPr>
        <w:t xml:space="preserve">În perioada 2016-2022 cele mai notabile zone de expansiune urbană se înregistrează în partea de nord în zona Fabrica de Glucoză prin dezvoltarea unor ansambluri rezidențiale de mari dimensiuni (Laguna Residence și Belvedere Residence) și, într-o mai mică măsură, în partea de est, în zona Străzii Iza prin extinderea zonelor rezidențiale ocupate de locuințe individuale. </w:t>
      </w:r>
    </w:p>
    <w:p w14:paraId="28F757D0" w14:textId="77777777" w:rsidR="00013122" w:rsidRPr="00F171A3" w:rsidRDefault="00013122" w:rsidP="00013122">
      <w:pPr>
        <w:pBdr>
          <w:top w:val="nil"/>
          <w:left w:val="nil"/>
          <w:bottom w:val="nil"/>
          <w:right w:val="nil"/>
          <w:between w:val="nil"/>
        </w:pBdr>
        <w:rPr>
          <w:rFonts w:cstheme="minorHAnsi"/>
          <w:color w:val="000000"/>
        </w:rPr>
      </w:pPr>
      <w:r w:rsidRPr="00F171A3">
        <w:rPr>
          <w:rFonts w:cstheme="minorHAnsi"/>
          <w:color w:val="000000"/>
        </w:rPr>
        <w:t xml:space="preserve">În cadrul consultărilor cu locuitorii Sectorului 2, referitor la fondul locativ existent în Sectorul 2 au fost identificate următoarele disfuncționalități și priorități de intervenție pentru dezvoltarea comunității locale: </w:t>
      </w:r>
    </w:p>
    <w:p w14:paraId="33F0953D" w14:textId="77777777" w:rsidR="00013122" w:rsidRPr="00F171A3" w:rsidRDefault="00013122">
      <w:pPr>
        <w:pStyle w:val="ListParagraph"/>
        <w:numPr>
          <w:ilvl w:val="0"/>
          <w:numId w:val="45"/>
        </w:numPr>
        <w:pBdr>
          <w:top w:val="nil"/>
          <w:left w:val="nil"/>
          <w:bottom w:val="nil"/>
          <w:right w:val="nil"/>
          <w:between w:val="nil"/>
        </w:pBdr>
        <w:rPr>
          <w:rFonts w:cstheme="minorHAnsi"/>
          <w:color w:val="134753" w:themeColor="text2"/>
        </w:rPr>
      </w:pPr>
      <w:r w:rsidRPr="00F171A3">
        <w:rPr>
          <w:rFonts w:cstheme="minorHAnsi"/>
          <w:color w:val="134753" w:themeColor="text2"/>
        </w:rPr>
        <w:t>Program de echipare a blocurilor cu rampe de acces; realizarea unor proiecte tip de modernizare și reamenajare a spațiilor de acces în blocuri, în acord cu normativele actuale;</w:t>
      </w:r>
    </w:p>
    <w:p w14:paraId="2F9A145C" w14:textId="77777777" w:rsidR="00013122" w:rsidRPr="00F171A3" w:rsidRDefault="00013122">
      <w:pPr>
        <w:pStyle w:val="ListParagraph"/>
        <w:numPr>
          <w:ilvl w:val="0"/>
          <w:numId w:val="45"/>
        </w:numPr>
        <w:pBdr>
          <w:top w:val="nil"/>
          <w:left w:val="nil"/>
          <w:bottom w:val="nil"/>
          <w:right w:val="nil"/>
          <w:between w:val="nil"/>
        </w:pBdr>
        <w:rPr>
          <w:rFonts w:cstheme="minorHAnsi"/>
          <w:color w:val="134753" w:themeColor="text2"/>
        </w:rPr>
      </w:pPr>
      <w:r w:rsidRPr="00F171A3">
        <w:rPr>
          <w:rFonts w:cstheme="minorHAnsi"/>
          <w:color w:val="134753" w:themeColor="text2"/>
        </w:rPr>
        <w:t xml:space="preserve">Program de acordare de sprijin tehnic asociațiilor de proprietari în vederea realizării de cărți tehnice pentru locuințele colective; </w:t>
      </w:r>
    </w:p>
    <w:p w14:paraId="450BE709" w14:textId="77777777" w:rsidR="00013122" w:rsidRPr="00F171A3" w:rsidRDefault="00013122">
      <w:pPr>
        <w:pStyle w:val="ListParagraph"/>
        <w:numPr>
          <w:ilvl w:val="0"/>
          <w:numId w:val="45"/>
        </w:numPr>
        <w:pBdr>
          <w:top w:val="nil"/>
          <w:left w:val="nil"/>
          <w:bottom w:val="nil"/>
          <w:right w:val="nil"/>
          <w:between w:val="nil"/>
        </w:pBdr>
        <w:rPr>
          <w:rFonts w:cstheme="minorHAnsi"/>
          <w:color w:val="134753" w:themeColor="text2"/>
        </w:rPr>
      </w:pPr>
      <w:r w:rsidRPr="00F171A3">
        <w:rPr>
          <w:rFonts w:cstheme="minorHAnsi"/>
          <w:color w:val="134753" w:themeColor="text2"/>
        </w:rPr>
        <w:t>Program de desființare a ghenelor de gunoi din blocuri, în acord cu decizia Primăriei Municipiului București și de refuncționalizare a acestor spații (se va studia posibilitatea transformării în spații de colectare a deșeurilor reciclabile din hârtie/sticlă);</w:t>
      </w:r>
    </w:p>
    <w:p w14:paraId="74AB2766" w14:textId="77777777" w:rsidR="00013122" w:rsidRPr="00F171A3" w:rsidRDefault="00013122">
      <w:pPr>
        <w:pStyle w:val="ListParagraph"/>
        <w:numPr>
          <w:ilvl w:val="0"/>
          <w:numId w:val="45"/>
        </w:numPr>
        <w:pBdr>
          <w:top w:val="nil"/>
          <w:left w:val="nil"/>
          <w:bottom w:val="nil"/>
          <w:right w:val="nil"/>
          <w:between w:val="nil"/>
        </w:pBdr>
        <w:rPr>
          <w:rFonts w:cstheme="minorHAnsi"/>
          <w:color w:val="134753" w:themeColor="text2"/>
        </w:rPr>
      </w:pPr>
      <w:r w:rsidRPr="00F171A3">
        <w:rPr>
          <w:rFonts w:cstheme="minorHAnsi"/>
          <w:color w:val="134753" w:themeColor="text2"/>
        </w:rPr>
        <w:t>Studierea posibilității amenajării de terase verzi pe terasele clădirilor de locuințe colective;</w:t>
      </w:r>
    </w:p>
    <w:p w14:paraId="651359CE" w14:textId="77777777" w:rsidR="00013122" w:rsidRPr="00F171A3" w:rsidRDefault="00013122">
      <w:pPr>
        <w:pStyle w:val="ListParagraph"/>
        <w:numPr>
          <w:ilvl w:val="0"/>
          <w:numId w:val="45"/>
        </w:numPr>
        <w:pBdr>
          <w:top w:val="nil"/>
          <w:left w:val="nil"/>
          <w:bottom w:val="nil"/>
          <w:right w:val="nil"/>
          <w:between w:val="nil"/>
        </w:pBdr>
        <w:rPr>
          <w:rFonts w:cstheme="minorHAnsi"/>
          <w:color w:val="134753" w:themeColor="text2"/>
        </w:rPr>
      </w:pPr>
      <w:r w:rsidRPr="00F171A3">
        <w:rPr>
          <w:rFonts w:cstheme="minorHAnsi"/>
          <w:color w:val="134753" w:themeColor="text2"/>
        </w:rPr>
        <w:t>Studierea posibilității amplasării pe terasele clădirilor de locuințe colective a unor sisteme de producere a energiei electrice din resurse regenerabile: panouri solare sau panouri fotovoltaice;</w:t>
      </w:r>
    </w:p>
    <w:p w14:paraId="32692774" w14:textId="77777777" w:rsidR="00013122" w:rsidRPr="00F171A3" w:rsidRDefault="00013122">
      <w:pPr>
        <w:pStyle w:val="ListParagraph"/>
        <w:numPr>
          <w:ilvl w:val="0"/>
          <w:numId w:val="45"/>
        </w:numPr>
        <w:pBdr>
          <w:top w:val="nil"/>
          <w:left w:val="nil"/>
          <w:bottom w:val="nil"/>
          <w:right w:val="nil"/>
          <w:between w:val="nil"/>
        </w:pBdr>
        <w:rPr>
          <w:rFonts w:cstheme="minorHAnsi"/>
          <w:color w:val="134753" w:themeColor="text2"/>
        </w:rPr>
      </w:pPr>
      <w:r w:rsidRPr="00F171A3">
        <w:rPr>
          <w:rFonts w:cstheme="minorHAnsi"/>
          <w:color w:val="134753" w:themeColor="text2"/>
        </w:rPr>
        <w:t>Realizarea unor dezvoltări imobiliare care, în raport cu numărul de locuințe nou create, să includă spații destinate dotărilor de bază și serviciilor de uz cotidian (spații verzi, grădinițe, terenuri de sport, magazine de proximitate etc).</w:t>
      </w:r>
    </w:p>
    <w:p w14:paraId="071B4B09" w14:textId="77777777" w:rsidR="00013122" w:rsidRPr="00F171A3" w:rsidRDefault="00013122" w:rsidP="00013122">
      <w:pPr>
        <w:spacing w:after="0"/>
        <w:jc w:val="left"/>
        <w:rPr>
          <w:rFonts w:cstheme="minorHAnsi"/>
          <w:i/>
        </w:rPr>
      </w:pPr>
      <w:r w:rsidRPr="00F171A3">
        <w:rPr>
          <w:rFonts w:cstheme="minorHAnsi"/>
        </w:rPr>
        <w:br w:type="page"/>
      </w:r>
    </w:p>
    <w:p w14:paraId="3D1A4D18" w14:textId="290AC533" w:rsidR="00013122" w:rsidRPr="00F171A3" w:rsidRDefault="0046391E" w:rsidP="0046391E">
      <w:pPr>
        <w:pStyle w:val="Caption"/>
        <w:rPr>
          <w:b w:val="0"/>
        </w:rPr>
      </w:pPr>
      <w:bookmarkStart w:id="244" w:name="_heading=h.16x20ju" w:colFirst="0" w:colLast="0"/>
      <w:bookmarkStart w:id="245" w:name="_Toc127198074"/>
      <w:bookmarkEnd w:id="244"/>
      <w:r w:rsidRPr="00F171A3">
        <w:t xml:space="preserve">Figura </w:t>
      </w:r>
      <w:r w:rsidRPr="00F171A3">
        <w:fldChar w:fldCharType="begin"/>
      </w:r>
      <w:r w:rsidRPr="00F171A3">
        <w:instrText xml:space="preserve"> SEQ Figura \* ARABIC </w:instrText>
      </w:r>
      <w:r w:rsidRPr="00F171A3">
        <w:fldChar w:fldCharType="separate"/>
      </w:r>
      <w:r w:rsidR="005A6DD8">
        <w:rPr>
          <w:noProof/>
        </w:rPr>
        <w:t>86</w:t>
      </w:r>
      <w:r w:rsidRPr="00F171A3">
        <w:fldChar w:fldCharType="end"/>
      </w:r>
      <w:r w:rsidRPr="00F171A3">
        <w:t xml:space="preserve"> </w:t>
      </w:r>
      <w:r w:rsidR="00013122" w:rsidRPr="00F171A3">
        <w:t>Principalele zone de expansiune și densificare pe teritoriul Sectorului  2</w:t>
      </w:r>
      <w:bookmarkEnd w:id="245"/>
    </w:p>
    <w:p w14:paraId="350C6DBB" w14:textId="77777777" w:rsidR="00013122" w:rsidRPr="00F171A3" w:rsidRDefault="00013122" w:rsidP="00013122">
      <w:pPr>
        <w:jc w:val="center"/>
        <w:rPr>
          <w:rFonts w:cstheme="minorHAnsi"/>
        </w:rPr>
      </w:pPr>
      <w:r w:rsidRPr="00F171A3">
        <w:rPr>
          <w:rFonts w:cstheme="minorHAnsi"/>
          <w:noProof/>
        </w:rPr>
        <w:drawing>
          <wp:inline distT="0" distB="0" distL="0" distR="0" wp14:anchorId="757105E5" wp14:editId="0BFC119D">
            <wp:extent cx="5801250" cy="8195416"/>
            <wp:effectExtent l="0" t="0" r="0" b="0"/>
            <wp:docPr id="25757"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44"/>
                    <a:srcRect/>
                    <a:stretch>
                      <a:fillRect/>
                    </a:stretch>
                  </pic:blipFill>
                  <pic:spPr>
                    <a:xfrm>
                      <a:off x="0" y="0"/>
                      <a:ext cx="5801250" cy="8195416"/>
                    </a:xfrm>
                    <a:prstGeom prst="rect">
                      <a:avLst/>
                    </a:prstGeom>
                    <a:ln/>
                  </pic:spPr>
                </pic:pic>
              </a:graphicData>
            </a:graphic>
          </wp:inline>
        </w:drawing>
      </w:r>
    </w:p>
    <w:p w14:paraId="38DA7ADF" w14:textId="496C221C" w:rsidR="00013122" w:rsidRPr="00F171A3" w:rsidRDefault="00013122" w:rsidP="0046391E">
      <w:pPr>
        <w:jc w:val="right"/>
        <w:rPr>
          <w:color w:val="BFBFBF" w:themeColor="background1" w:themeShade="BF"/>
        </w:rPr>
      </w:pPr>
      <w:bookmarkStart w:id="246" w:name="_heading=h.3qwpj7n" w:colFirst="0" w:colLast="0"/>
      <w:bookmarkEnd w:id="246"/>
      <w:r w:rsidRPr="00F171A3">
        <w:rPr>
          <w:color w:val="BFBFBF" w:themeColor="background1" w:themeShade="BF"/>
        </w:rPr>
        <w:t xml:space="preserve">Sursa: </w:t>
      </w:r>
      <w:r w:rsidR="0046391E" w:rsidRPr="00F171A3">
        <w:rPr>
          <w:color w:val="BFBFBF" w:themeColor="background1" w:themeShade="BF"/>
        </w:rPr>
        <w:t>P</w:t>
      </w:r>
      <w:r w:rsidRPr="00F171A3">
        <w:rPr>
          <w:color w:val="BFBFBF" w:themeColor="background1" w:themeShade="BF"/>
        </w:rPr>
        <w:t>relucrarea consultantului</w:t>
      </w:r>
    </w:p>
    <w:p w14:paraId="30A891FB" w14:textId="06AD248F" w:rsidR="00013122" w:rsidRPr="00F171A3" w:rsidRDefault="0046391E" w:rsidP="0046391E">
      <w:pPr>
        <w:pStyle w:val="Caption"/>
        <w:rPr>
          <w:b w:val="0"/>
        </w:rPr>
      </w:pPr>
      <w:bookmarkStart w:id="247" w:name="_heading=h.261ztfg" w:colFirst="0" w:colLast="0"/>
      <w:bookmarkStart w:id="248" w:name="_Toc127198075"/>
      <w:bookmarkEnd w:id="247"/>
      <w:r w:rsidRPr="00F171A3">
        <w:t xml:space="preserve">Figura </w:t>
      </w:r>
      <w:r w:rsidRPr="00F171A3">
        <w:fldChar w:fldCharType="begin"/>
      </w:r>
      <w:r w:rsidRPr="00F171A3">
        <w:instrText xml:space="preserve"> SEQ Figura \* ARABIC </w:instrText>
      </w:r>
      <w:r w:rsidRPr="00F171A3">
        <w:fldChar w:fldCharType="separate"/>
      </w:r>
      <w:r w:rsidR="005A6DD8">
        <w:rPr>
          <w:noProof/>
        </w:rPr>
        <w:t>87</w:t>
      </w:r>
      <w:r w:rsidRPr="00F171A3">
        <w:fldChar w:fldCharType="end"/>
      </w:r>
      <w:r w:rsidRPr="00F171A3">
        <w:t xml:space="preserve"> </w:t>
      </w:r>
      <w:r w:rsidR="00013122" w:rsidRPr="00F171A3">
        <w:t>Zone de tip brownfield și greenfield identificate pe teritoriul Sectorului 2</w:t>
      </w:r>
      <w:bookmarkEnd w:id="248"/>
    </w:p>
    <w:p w14:paraId="4DF52346" w14:textId="77777777" w:rsidR="00013122" w:rsidRPr="00F171A3" w:rsidRDefault="00013122" w:rsidP="00013122">
      <w:pPr>
        <w:pBdr>
          <w:top w:val="nil"/>
          <w:left w:val="nil"/>
          <w:bottom w:val="nil"/>
          <w:right w:val="nil"/>
          <w:between w:val="nil"/>
        </w:pBdr>
        <w:jc w:val="center"/>
        <w:rPr>
          <w:rFonts w:cstheme="minorHAnsi"/>
          <w:color w:val="000000"/>
        </w:rPr>
      </w:pPr>
      <w:r w:rsidRPr="00F171A3">
        <w:rPr>
          <w:rFonts w:cstheme="minorHAnsi"/>
          <w:noProof/>
          <w:color w:val="000000"/>
        </w:rPr>
        <w:drawing>
          <wp:inline distT="0" distB="0" distL="0" distR="0" wp14:anchorId="603C6B68" wp14:editId="08F1578A">
            <wp:extent cx="6021561" cy="5074094"/>
            <wp:effectExtent l="0" t="0" r="0" b="0"/>
            <wp:docPr id="25758" name="image18.jpg" descr="A4_greenfield%20si%20parcuri.jpg"/>
            <wp:cNvGraphicFramePr/>
            <a:graphic xmlns:a="http://schemas.openxmlformats.org/drawingml/2006/main">
              <a:graphicData uri="http://schemas.openxmlformats.org/drawingml/2006/picture">
                <pic:pic xmlns:pic="http://schemas.openxmlformats.org/drawingml/2006/picture">
                  <pic:nvPicPr>
                    <pic:cNvPr id="0" name="image18.jpg" descr="A4_greenfield%20si%20parcuri.jpg"/>
                    <pic:cNvPicPr preferRelativeResize="0"/>
                  </pic:nvPicPr>
                  <pic:blipFill>
                    <a:blip r:embed="rId145"/>
                    <a:srcRect l="51281" t="27988" r="16085" b="44513"/>
                    <a:stretch>
                      <a:fillRect/>
                    </a:stretch>
                  </pic:blipFill>
                  <pic:spPr>
                    <a:xfrm>
                      <a:off x="0" y="0"/>
                      <a:ext cx="6021561" cy="5074094"/>
                    </a:xfrm>
                    <a:prstGeom prst="rect">
                      <a:avLst/>
                    </a:prstGeom>
                    <a:ln/>
                  </pic:spPr>
                </pic:pic>
              </a:graphicData>
            </a:graphic>
          </wp:inline>
        </w:drawing>
      </w:r>
    </w:p>
    <w:p w14:paraId="50570D25" w14:textId="77777777" w:rsidR="00013122" w:rsidRPr="00F171A3" w:rsidRDefault="00013122" w:rsidP="00013122">
      <w:pPr>
        <w:pBdr>
          <w:top w:val="nil"/>
          <w:left w:val="nil"/>
          <w:bottom w:val="nil"/>
          <w:right w:val="nil"/>
          <w:between w:val="nil"/>
        </w:pBdr>
        <w:rPr>
          <w:rFonts w:cstheme="minorHAnsi"/>
          <w:color w:val="000000"/>
        </w:rPr>
      </w:pPr>
      <w:r w:rsidRPr="00F171A3">
        <w:rPr>
          <w:rFonts w:cstheme="minorHAnsi"/>
          <w:noProof/>
          <w:color w:val="000000"/>
        </w:rPr>
        <w:drawing>
          <wp:inline distT="0" distB="0" distL="0" distR="0" wp14:anchorId="2DB80C0C" wp14:editId="08B2E3B5">
            <wp:extent cx="3245569" cy="810691"/>
            <wp:effectExtent l="0" t="0" r="0" b="0"/>
            <wp:docPr id="25753" name="image18.jpg" descr="A4_greenfield%20si%20parcuri.jpg"/>
            <wp:cNvGraphicFramePr/>
            <a:graphic xmlns:a="http://schemas.openxmlformats.org/drawingml/2006/main">
              <a:graphicData uri="http://schemas.openxmlformats.org/drawingml/2006/picture">
                <pic:pic xmlns:pic="http://schemas.openxmlformats.org/drawingml/2006/picture">
                  <pic:nvPicPr>
                    <pic:cNvPr id="0" name="image18.jpg" descr="A4_greenfield%20si%20parcuri.jpg"/>
                    <pic:cNvPicPr preferRelativeResize="0"/>
                  </pic:nvPicPr>
                  <pic:blipFill>
                    <a:blip r:embed="rId145"/>
                    <a:srcRect l="11720" t="83170" r="51426" b="7624"/>
                    <a:stretch>
                      <a:fillRect/>
                    </a:stretch>
                  </pic:blipFill>
                  <pic:spPr>
                    <a:xfrm>
                      <a:off x="0" y="0"/>
                      <a:ext cx="3245569" cy="810691"/>
                    </a:xfrm>
                    <a:prstGeom prst="rect">
                      <a:avLst/>
                    </a:prstGeom>
                    <a:ln/>
                  </pic:spPr>
                </pic:pic>
              </a:graphicData>
            </a:graphic>
          </wp:inline>
        </w:drawing>
      </w:r>
    </w:p>
    <w:p w14:paraId="36A020AE" w14:textId="77777777" w:rsidR="00013122" w:rsidRPr="00F171A3" w:rsidRDefault="00013122" w:rsidP="0046391E">
      <w:pPr>
        <w:jc w:val="right"/>
        <w:rPr>
          <w:color w:val="BFBFBF" w:themeColor="background1" w:themeShade="BF"/>
        </w:rPr>
      </w:pPr>
      <w:r w:rsidRPr="00F171A3">
        <w:rPr>
          <w:color w:val="BFBFBF" w:themeColor="background1" w:themeShade="BF"/>
        </w:rPr>
        <w:t>Sursa: SIDU Municipiul București</w:t>
      </w:r>
    </w:p>
    <w:p w14:paraId="3DD4771C" w14:textId="77777777" w:rsidR="00DC7D39" w:rsidRDefault="00DC7D39" w:rsidP="00013122">
      <w:pPr>
        <w:pBdr>
          <w:top w:val="nil"/>
          <w:left w:val="nil"/>
          <w:bottom w:val="nil"/>
          <w:right w:val="nil"/>
          <w:between w:val="nil"/>
        </w:pBdr>
        <w:rPr>
          <w:rFonts w:cstheme="minorHAnsi"/>
          <w:color w:val="000000"/>
        </w:rPr>
      </w:pPr>
    </w:p>
    <w:p w14:paraId="38127DB1" w14:textId="10057E8C" w:rsidR="00013122" w:rsidRPr="00F171A3" w:rsidRDefault="00013122" w:rsidP="00013122">
      <w:pPr>
        <w:pBdr>
          <w:top w:val="nil"/>
          <w:left w:val="nil"/>
          <w:bottom w:val="nil"/>
          <w:right w:val="nil"/>
          <w:between w:val="nil"/>
        </w:pBdr>
        <w:rPr>
          <w:rFonts w:cstheme="minorHAnsi"/>
          <w:color w:val="000000"/>
        </w:rPr>
      </w:pPr>
      <w:r w:rsidRPr="00F171A3">
        <w:rPr>
          <w:rFonts w:cstheme="minorHAnsi"/>
          <w:color w:val="000000"/>
        </w:rPr>
        <w:t xml:space="preserve">În cadrul cercetării au fost identificate 8 zone ca principalele zone cu rezerve de teren cu potențial de dezvoltare urbană. </w:t>
      </w:r>
    </w:p>
    <w:p w14:paraId="386CB7E8"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1:  Șoseaua Petricani – Autostrada București – Ploiești – limita teritoriului administrativ al municipiului București</w:t>
      </w:r>
    </w:p>
    <w:p w14:paraId="3DD8197F" w14:textId="0D6EB761" w:rsidR="00013122" w:rsidRPr="00F171A3" w:rsidRDefault="00013122" w:rsidP="00013122">
      <w:pPr>
        <w:rPr>
          <w:rFonts w:cstheme="minorHAnsi"/>
          <w:color w:val="000000"/>
          <w:sz w:val="23"/>
          <w:szCs w:val="23"/>
        </w:rPr>
      </w:pPr>
      <w:r w:rsidRPr="00F171A3">
        <w:rPr>
          <w:rFonts w:cstheme="minorHAnsi"/>
        </w:rPr>
        <w:t xml:space="preserve">În ceea ce privește reglementările asupra zonei situate la est de Șoseaua Petricani, prin PUG-ul </w:t>
      </w:r>
      <w:r w:rsidR="00DE36DE" w:rsidRPr="00F171A3">
        <w:rPr>
          <w:rFonts w:cstheme="minorHAnsi"/>
        </w:rPr>
        <w:t>m</w:t>
      </w:r>
      <w:r w:rsidRPr="00F171A3">
        <w:rPr>
          <w:rFonts w:cstheme="minorHAnsi"/>
        </w:rPr>
        <w:t xml:space="preserve">unicipiului București este delimitată o zonă CB3 în vecinătatea căii ferate, subzonă dedicată polilor urbani principali. Utilizările admise în această zonă se referă la instituții și servicii publice supramunicipale și municipale, sedii ale unor organisme extrateritoriale, servicii financiar-bancare, de cercetare-dezvoltare, profesionale, turism și cultură, precum și unități dedicate activităților productive în domenii de vârf. Înălțimea clădirilor nu este limitată, POT-ul maxim este de 70% </w:t>
      </w:r>
      <w:r w:rsidRPr="00F171A3">
        <w:rPr>
          <w:rFonts w:cstheme="minorHAnsi"/>
          <w:color w:val="000000"/>
        </w:rPr>
        <w:t>cu posibilitatea acoperirii restului terenului în proporție de 80% cu clădiri cu maxim 2 niveluri, iar CUT-ul maxim este de 4,5 mp. ADC/mp teren.</w:t>
      </w:r>
    </w:p>
    <w:p w14:paraId="2656EB4A" w14:textId="77777777" w:rsidR="00013122" w:rsidRPr="00F171A3" w:rsidRDefault="00013122" w:rsidP="00013122">
      <w:pPr>
        <w:rPr>
          <w:rFonts w:cstheme="minorHAnsi"/>
          <w:color w:val="000000"/>
        </w:rPr>
      </w:pPr>
      <w:r w:rsidRPr="00F171A3">
        <w:rPr>
          <w:rFonts w:cstheme="minorHAnsi"/>
        </w:rPr>
        <w:t xml:space="preserve">Mai mult, PUG-ul reglementează prezența unei zone de spații verzi publice cu acces nelimitat, V1a, ce cuprinde </w:t>
      </w:r>
      <w:r w:rsidRPr="00F171A3">
        <w:rPr>
          <w:rFonts w:cstheme="minorHAnsi"/>
          <w:color w:val="000000"/>
        </w:rPr>
        <w:t>parcuri, grădini, scuaruri și fâșii plantate publice, plantații de aliniament artere principale/secundare, plantații promenade pietonale, amenajări locale ambientale. Utilizările admise cuprind spații plantate, circulații în special pietonale, elemente de mobilier urban și construcții pentru petrecerea timpului liber, precum și spații administrative și parcări. POT-ul maxim este de 15%, iar CUT-ul maxim de 0,2 mp ADC/mp Teren.</w:t>
      </w:r>
    </w:p>
    <w:p w14:paraId="6F8D3AAA" w14:textId="07DCF607" w:rsidR="00013122" w:rsidRPr="00F171A3" w:rsidRDefault="00013122" w:rsidP="00013122">
      <w:pPr>
        <w:rPr>
          <w:rFonts w:cstheme="minorHAnsi"/>
        </w:rPr>
      </w:pPr>
      <w:r w:rsidRPr="00F171A3">
        <w:rPr>
          <w:rFonts w:cstheme="minorHAnsi"/>
        </w:rPr>
        <w:t>În ceea ce privește intervențiile viitoare, în această zonă există intenții de investiții care vizează realizarea unor zone dedicate clădirilor de birouri. Deși viitoarea legătură cu autostrada A3 poate fi prielnică pentru astfel de dezvoltări, un dezavantaj îl va constitui suprasolicitarea infrastructurii de transport public, deja încărcată de zonele de birouri și activități economice din nordul capitalei. De asemenea, în contextul reglementării prin PUG a unei zone de spații verzi publice,  în această zonă este prevăzută realizarea unui parc (173 ha) între șoseaua Petricani, A3 și strada Gherghiței – Parcul Valea Saulei, conform propunerilor din cadrul SIDU București.</w:t>
      </w:r>
    </w:p>
    <w:p w14:paraId="42D723F0" w14:textId="77777777" w:rsidR="00833D23" w:rsidRPr="00F171A3" w:rsidRDefault="00833D23" w:rsidP="00013122">
      <w:pPr>
        <w:rPr>
          <w:rFonts w:cstheme="minorHAnsi"/>
        </w:rPr>
      </w:pPr>
    </w:p>
    <w:p w14:paraId="18108239"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2: Șoseaua Petricani – Șoseaua Fabrica de Glucoză – Strada Anton Holban – Aleea Ștrand Tei</w:t>
      </w:r>
    </w:p>
    <w:p w14:paraId="4C607EED" w14:textId="77777777" w:rsidR="00013122" w:rsidRPr="00F171A3" w:rsidRDefault="00013122" w:rsidP="00013122">
      <w:pPr>
        <w:rPr>
          <w:rFonts w:cstheme="minorHAnsi"/>
          <w:color w:val="000000"/>
        </w:rPr>
      </w:pPr>
      <w:r w:rsidRPr="00F171A3">
        <w:rPr>
          <w:rFonts w:cstheme="minorHAnsi"/>
        </w:rPr>
        <w:t xml:space="preserve">Reglementările cu privire la zona situată în vestul Șoselei Petricani, la nivel de PUG al capitalei o încadrează în categoria L1d – </w:t>
      </w:r>
      <w:r w:rsidRPr="00F171A3">
        <w:rPr>
          <w:rFonts w:cstheme="minorHAnsi"/>
          <w:color w:val="000000"/>
        </w:rPr>
        <w:t>locuințe individuale mici cu parcele cu POT &lt; 20%, situate în zona culoarelor plantate propuse pentru ameliorarea climatului capitalei. În această zonă sunt permise locuințele individuale dispuse numai în regim izolat, echipamente publice specifice zonei rezidențiale, precum și scuaruri publice. Înălțimea maximă a clădirilor este de P+2, POT-ul maxim este de 20 %, iar CUT-ul maxim este de  0,4 mp. ADC/mp. Teren pentru construcțiile P+1 și de  0,7 mp. ADC/mp. Teren pentru construcțiile P+2. Având în vedere concentrarea de locuri de muncă existente sau previzionate în vecinătate, o astfel de dezvoltare este benefică întrucât va suplimenta oferta de locuințe din vecinătatea zonelor de birouri și activități economice. Mai mult, prin tipologia impusă de zonă cu un procent scăzut de ocupare a terenului se va  asigura un standard mai ridicat de locuire, ce se va bucura și de proximitatea unui element de cadru natural favorabil, Lacul Tei.</w:t>
      </w:r>
    </w:p>
    <w:p w14:paraId="2CF2291C" w14:textId="77777777" w:rsidR="00013122" w:rsidRPr="00F171A3" w:rsidRDefault="00013122" w:rsidP="00013122">
      <w:pPr>
        <w:rPr>
          <w:rFonts w:cstheme="minorHAnsi"/>
          <w:color w:val="000000"/>
        </w:rPr>
      </w:pPr>
      <w:r w:rsidRPr="00F171A3">
        <w:rPr>
          <w:rFonts w:cstheme="minorHAnsi"/>
          <w:color w:val="000000"/>
        </w:rPr>
        <w:t xml:space="preserve">În vecinătatea acestei zonei libere, în ultimii ani au început să se dezvolte ansambluri de locuințe colective P+10 de mari dimensiuni care pun presiuni considerabile asupra infrastructurii de circulații și asupra infrastructurii tehnico-edilitare a zonei. </w:t>
      </w:r>
    </w:p>
    <w:p w14:paraId="611FD6EF" w14:textId="77777777" w:rsidR="00013122" w:rsidRPr="00F171A3" w:rsidRDefault="00013122" w:rsidP="00013122">
      <w:pPr>
        <w:rPr>
          <w:rFonts w:cstheme="minorHAnsi"/>
          <w:color w:val="000000"/>
        </w:rPr>
      </w:pPr>
      <w:r w:rsidRPr="00F171A3">
        <w:rPr>
          <w:rFonts w:cstheme="minorHAnsi"/>
          <w:color w:val="000000"/>
        </w:rPr>
        <w:t xml:space="preserve">În prezent, acest areal reprezintă una dintre zonele prioritare de intervenție ale Primăriei Sectorului 2 în vederea reglementării dezvoltării unor zone rezidențiale coerente, fiind inclusiv avute în vedere posibile parteneriate public-privat pentru dezvoltarea infrastructurilor tehnico-edilitare, de circulații și a dotărilor publice specifice zonelor rezidențiale (bazine de înot, unități de învățământ, spații verzi etc). </w:t>
      </w:r>
    </w:p>
    <w:p w14:paraId="1D857EC5" w14:textId="581D2856" w:rsidR="00013122" w:rsidRPr="00F171A3" w:rsidRDefault="00013122" w:rsidP="00013122">
      <w:r w:rsidRPr="00F171A3">
        <w:rPr>
          <w:rFonts w:cstheme="minorHAnsi"/>
          <w:bCs/>
        </w:rPr>
        <w:t xml:space="preserve">Din perspectiva dezvoltării </w:t>
      </w:r>
      <w:r w:rsidR="0077040F" w:rsidRPr="00F171A3">
        <w:rPr>
          <w:rFonts w:cstheme="minorHAnsi"/>
          <w:bCs/>
        </w:rPr>
        <w:t>teritoriale</w:t>
      </w:r>
      <w:r w:rsidRPr="00F171A3">
        <w:rPr>
          <w:rFonts w:cstheme="minorHAnsi"/>
          <w:bCs/>
        </w:rPr>
        <w:t xml:space="preserve"> este important de observat inclusiv situația PUZ-urilor  aprobate sau aflate în curs de elaborare, inițiate în perioada 2016-2022 și care propun modificarea reglementărilor PUG și modificarea caracterului zonei </w:t>
      </w:r>
      <w:r w:rsidRPr="00F171A3">
        <w:rPr>
          <w:rStyle w:val="FootnoteReference"/>
          <w:rFonts w:cstheme="minorHAnsi"/>
          <w:bCs/>
        </w:rPr>
        <w:footnoteReference w:id="105"/>
      </w:r>
      <w:r w:rsidRPr="00F171A3">
        <w:rPr>
          <w:rFonts w:cstheme="minorHAnsi"/>
          <w:bCs/>
        </w:rPr>
        <w:t xml:space="preserve">. Astfel PUZ Fabrica de Glucoză nr. 6-8 (în curs de avizare) </w:t>
      </w:r>
      <w:r w:rsidRPr="00F171A3">
        <w:t xml:space="preserve">propune realizarea de locuințe colective, birouri, comerț, servicii, club, hotel, biserici (inclusiv anexe bisericești), hypermarket, școală/grădiniță, cu un POT maxim de 30%, CUT maxim de 3,5 și H maxim de 40 m. Un alt PUZ (PUZ Fabrica de Glucoză nr. 7 – Bd. Dimitrie Pompeiu nr. 2D,  aflat în  etapa de avizare, propune realizarea de locuințe colective, comerț și servicii, cu un POT maxim de 50%, CUT maxim de 4  și H maxim de 80 m. Împreună cu PUZ Șoseaua Petricani nr. 5A (aflat tot în avizare, care propune realizarea de locuințe colective cu funcțiuni complementare și spații verzi, cu POT maxim de 50%, CUT maxim de </w:t>
      </w:r>
      <w:r w:rsidRPr="00F171A3">
        <w:rPr>
          <w:rFonts w:cstheme="minorHAnsi"/>
          <w:bCs/>
          <w:color w:val="134753"/>
        </w:rPr>
        <w:t>3,6</w:t>
      </w:r>
      <w:r w:rsidRPr="00F171A3">
        <w:rPr>
          <w:rFonts w:cstheme="minorHAnsi"/>
          <w:color w:val="000000"/>
        </w:rPr>
        <w:t xml:space="preserve"> și H maxim de 45 m), se observă faptul că perspectivele de dezvoltare ale acestei zone generează o serie de provocări în ceea ce privește traficul și ajustarea infrastructurilor tehnico-edilitare la numărul de utilizatori. . Se remarcă astfel faptul că în această zonă sunt propuse alte funcțiuni față de cele prevăzute în cadrul PUG, care vizează o ocupare a terenului mult mai densă și care vor conduce la o concentrare mare de fluxuri, ceea ce atrage atenția asupra nevoii unei dezvoltări teritoriale coerente și sustenabile în scopul sporirii calității standardelor de locuire prin limitarea valorilor indicatorilor urbanistici.</w:t>
      </w:r>
    </w:p>
    <w:p w14:paraId="255D0D48" w14:textId="77777777" w:rsidR="00013122" w:rsidRPr="00F171A3" w:rsidRDefault="00013122" w:rsidP="00013122">
      <w:pPr>
        <w:rPr>
          <w:rFonts w:cstheme="minorHAnsi"/>
          <w:color w:val="000000"/>
        </w:rPr>
      </w:pPr>
    </w:p>
    <w:p w14:paraId="7DD34218"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3: Zona fostului stadion Automatica</w:t>
      </w:r>
    </w:p>
    <w:p w14:paraId="2C9B82BD" w14:textId="54171575" w:rsidR="00013122" w:rsidRPr="00F171A3" w:rsidRDefault="00013122" w:rsidP="00013122">
      <w:pPr>
        <w:rPr>
          <w:rFonts w:cstheme="minorHAnsi"/>
          <w:color w:val="000000"/>
        </w:rPr>
      </w:pPr>
      <w:r w:rsidRPr="00F171A3">
        <w:rPr>
          <w:rFonts w:cstheme="minorHAnsi"/>
          <w:color w:val="000000"/>
        </w:rPr>
        <w:t xml:space="preserve">Zona fostului stadion Automatica este reglementată în PUG-ul </w:t>
      </w:r>
      <w:r w:rsidR="00DE36DE" w:rsidRPr="00F171A3">
        <w:rPr>
          <w:rFonts w:cstheme="minorHAnsi"/>
          <w:color w:val="000000"/>
        </w:rPr>
        <w:t>m</w:t>
      </w:r>
      <w:r w:rsidRPr="00F171A3">
        <w:rPr>
          <w:rFonts w:cstheme="minorHAnsi"/>
          <w:color w:val="000000"/>
        </w:rPr>
        <w:t>unicipiului București ca zonă CB3, aici fiind prevăzut polul urban principal Barbu Văcărescu. Principalele reglementări pentru aceste terenuri sunt menționate în descrierea caracteristicilor zonei 1, făcând parte din aceeași tipologie de zonă, CB3.</w:t>
      </w:r>
    </w:p>
    <w:p w14:paraId="64F3556A" w14:textId="77777777" w:rsidR="00013122" w:rsidRPr="00F171A3" w:rsidRDefault="00013122" w:rsidP="00013122">
      <w:pPr>
        <w:rPr>
          <w:rFonts w:cstheme="minorHAnsi"/>
          <w:color w:val="000000"/>
        </w:rPr>
      </w:pPr>
      <w:r w:rsidRPr="00F171A3">
        <w:rPr>
          <w:rFonts w:cstheme="minorHAnsi"/>
          <w:color w:val="000000"/>
        </w:rPr>
        <w:t>În ceea ce privește dezvoltările planificate pentru acest areal, trebuie menționată existența unei documentații ce prevede aici realizarea unei zone de birouri, fapt ce va valorifica potențialul unei importante resurse de teren la nivel municipal. Cu toate acestea, trebuie avute în vedere și o serie de posibile dezavantaje, precum posibilitatea suprasolicitării infrastructurii de transport public odată cu noile locuri de muncă create, precum și vecinătatea zonelor rezidențiale și necesitatea integrării viitoarelor dezvoltări în țesutul existent.</w:t>
      </w:r>
    </w:p>
    <w:p w14:paraId="6620ABA8" w14:textId="77777777" w:rsidR="00013122" w:rsidRPr="00F171A3" w:rsidRDefault="00013122" w:rsidP="00013122">
      <w:pPr>
        <w:rPr>
          <w:rFonts w:cstheme="minorHAnsi"/>
        </w:rPr>
      </w:pPr>
      <w:r w:rsidRPr="00F171A3">
        <w:rPr>
          <w:rFonts w:cstheme="minorHAnsi"/>
          <w:color w:val="000000"/>
        </w:rPr>
        <w:t>În cazul acestei zone se remarcă dezvoltarea unei serii de PUZ-uri în ultimii 5 ani, ce urmăresc în general dezvoltarea de locuințe colective/funcțiuni complementare (mixte) și de servicii, birouri și comerț. Aceste propuneri vizează într-o mare măsură modificarea prevederilor PUG pentru această zonă (CB3, care presupune dezvoltarea polilor urbani principali, cu POT maxim de 70%, CUT maxim de 4</w:t>
      </w:r>
      <w:r w:rsidRPr="00F171A3">
        <w:rPr>
          <w:rFonts w:cstheme="minorHAnsi"/>
        </w:rPr>
        <w:t>,5 și H maxim care nu este limitat). Propunerile detaliate ale PUZ-urilor sunt prezentate în continuare:</w:t>
      </w:r>
    </w:p>
    <w:p w14:paraId="0E66384E" w14:textId="15878EA8" w:rsidR="00013122" w:rsidRPr="00F171A3" w:rsidRDefault="00013122">
      <w:pPr>
        <w:pStyle w:val="ListParagraph"/>
        <w:numPr>
          <w:ilvl w:val="0"/>
          <w:numId w:val="54"/>
        </w:numPr>
        <w:rPr>
          <w:rFonts w:cstheme="minorHAnsi"/>
          <w:color w:val="134753" w:themeColor="text2"/>
        </w:rPr>
      </w:pPr>
      <w:r w:rsidRPr="00F171A3">
        <w:rPr>
          <w:rFonts w:cstheme="minorHAnsi"/>
          <w:color w:val="134753" w:themeColor="text2"/>
        </w:rPr>
        <w:t>PUZ Bd. Lacul Tei nr. 17 și str. Barbu Văcărescu nr. 102 se</w:t>
      </w:r>
      <w:r w:rsidR="008A1AFD">
        <w:rPr>
          <w:rFonts w:cstheme="minorHAnsi"/>
          <w:color w:val="134753" w:themeColor="text2"/>
        </w:rPr>
        <w:t xml:space="preserve"> </w:t>
      </w:r>
      <w:r w:rsidRPr="00F171A3">
        <w:rPr>
          <w:rFonts w:cstheme="minorHAnsi"/>
          <w:color w:val="134753" w:themeColor="text2"/>
        </w:rPr>
        <w:t>află în curs de elaborare, prevede realizarea de locuințe colective și funcțiuni complementare (POT maxim de  60%, CUT maxim de 3 și H maxim de 40 m);</w:t>
      </w:r>
    </w:p>
    <w:p w14:paraId="028ACDE0" w14:textId="77777777" w:rsidR="00013122" w:rsidRPr="00F171A3" w:rsidRDefault="00013122">
      <w:pPr>
        <w:pStyle w:val="ListParagraph"/>
        <w:numPr>
          <w:ilvl w:val="0"/>
          <w:numId w:val="54"/>
        </w:numPr>
        <w:rPr>
          <w:rFonts w:cstheme="minorHAnsi"/>
          <w:color w:val="134753" w:themeColor="text2"/>
        </w:rPr>
      </w:pPr>
      <w:r w:rsidRPr="00F171A3">
        <w:rPr>
          <w:rFonts w:cstheme="minorHAnsi"/>
          <w:color w:val="134753" w:themeColor="text2"/>
        </w:rPr>
        <w:t>PUZ Barbu Văcărescu nr. 120-144 se află în etapa de avizare - , prevede dezvoltarea unei zone rezidențiale, cu birouri, comerț, servicii, hotel (POT maxim - 47,8%, CUT maxim - 4,5 și H maxim – 100 m);</w:t>
      </w:r>
    </w:p>
    <w:p w14:paraId="2208AD12" w14:textId="77777777" w:rsidR="00013122" w:rsidRPr="00F171A3" w:rsidRDefault="00013122">
      <w:pPr>
        <w:pStyle w:val="ListParagraph"/>
        <w:numPr>
          <w:ilvl w:val="0"/>
          <w:numId w:val="54"/>
        </w:numPr>
        <w:rPr>
          <w:rFonts w:cstheme="minorHAnsi"/>
          <w:color w:val="134753" w:themeColor="text2"/>
        </w:rPr>
      </w:pPr>
      <w:r w:rsidRPr="00F171A3">
        <w:rPr>
          <w:rFonts w:cstheme="minorHAnsi"/>
          <w:color w:val="134753" w:themeColor="text2"/>
        </w:rPr>
        <w:t>PUZ str. Ramuri Tei nr. 1 se află în etapa de avizare , prevede realizarea unui clădiri de birouri (KAUFLAND ROMANIA) (POT maxim - 60%, CUT maxim - 3 și H maxim - 24 m);</w:t>
      </w:r>
    </w:p>
    <w:p w14:paraId="41E442D7" w14:textId="77777777" w:rsidR="00013122" w:rsidRPr="00F171A3" w:rsidRDefault="00013122">
      <w:pPr>
        <w:pStyle w:val="ListParagraph"/>
        <w:numPr>
          <w:ilvl w:val="0"/>
          <w:numId w:val="54"/>
        </w:numPr>
        <w:rPr>
          <w:rFonts w:cstheme="minorHAnsi"/>
          <w:color w:val="134753" w:themeColor="text2"/>
        </w:rPr>
      </w:pPr>
      <w:r w:rsidRPr="00F171A3">
        <w:rPr>
          <w:color w:val="134753" w:themeColor="text2"/>
        </w:rPr>
        <w:t>PUZ str. Gheorghe Titeica nr. 109-119 e</w:t>
      </w:r>
      <w:r w:rsidRPr="00F171A3">
        <w:rPr>
          <w:rFonts w:cstheme="minorHAnsi"/>
          <w:color w:val="134753" w:themeColor="text2"/>
        </w:rPr>
        <w:t>ste aprobat, prevede realizarea de locuințe colective și funcțiuni complementare mixte (POT maxim - 70%, CUT maxim - 3 3 și H maxim - 46,4 m);</w:t>
      </w:r>
    </w:p>
    <w:p w14:paraId="6CE4FE88" w14:textId="77777777" w:rsidR="00013122" w:rsidRPr="00F171A3" w:rsidRDefault="00013122">
      <w:pPr>
        <w:pStyle w:val="ListParagraph"/>
        <w:numPr>
          <w:ilvl w:val="0"/>
          <w:numId w:val="54"/>
        </w:numPr>
        <w:rPr>
          <w:color w:val="134753" w:themeColor="text2"/>
        </w:rPr>
      </w:pPr>
      <w:r w:rsidRPr="00F171A3">
        <w:rPr>
          <w:color w:val="134753" w:themeColor="text2"/>
        </w:rPr>
        <w:t>PUZ Barbu Văcărescu nr. 164E este aprobat, prevede dezvoltarea unei zone de comerț, locuințe colective, birouri, servicii (POT maxim - 60%, CUT maxim - 4,5 și H maxim - 75 m).</w:t>
      </w:r>
    </w:p>
    <w:p w14:paraId="28058BBD" w14:textId="0386F4FD" w:rsidR="00013122" w:rsidRPr="00F171A3" w:rsidRDefault="00013122" w:rsidP="00013122">
      <w:r w:rsidRPr="00F171A3">
        <w:t xml:space="preserve">Această zonă se pretează cel mai eficient la dezvoltarea serviciilor publice/instituțiilor în contextul în care la nivelul capitalei această resursă de teren este foarte importantă și trebuie valorificată. Se poate observa faptul că indicatorii urbanistici propuși în cadrul PUZ-urilor respectă prevederile PUG, chiar dacă la nivel de funcțiuni sunt vizate și altele precum zonele de locuințe colective/funcțiuni complementare. Această situație indică adaptarea dezvoltării urbanistice la noile tendințe și nevoi, astfel că la nivelul municipiului încep să se contureze poli integrați care concentrează atât zone de birouri/servicii, cât și locuințe și care facilitează reducerea navetismului, respectiv susține concretizarea conceptului de „oraș de 15 minute”. Totuși, una dintre problemele remarcate este faptul că noile dezvoltări nu prevăd în cele mai multe dintre cazuri și asigurarea de servicii de bază, precum </w:t>
      </w:r>
      <w:r w:rsidR="008A1AFD" w:rsidRPr="00F171A3">
        <w:t>grădinițe</w:t>
      </w:r>
      <w:r w:rsidRPr="00F171A3">
        <w:t>/școli, spații verzi etc.</w:t>
      </w:r>
    </w:p>
    <w:p w14:paraId="77CE8D86" w14:textId="77777777" w:rsidR="00013122" w:rsidRPr="00F171A3" w:rsidRDefault="00013122" w:rsidP="00013122"/>
    <w:p w14:paraId="4A1852E7"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4: Moara lui Assan</w:t>
      </w:r>
    </w:p>
    <w:p w14:paraId="22314043" w14:textId="77777777" w:rsidR="00013122" w:rsidRPr="00F171A3" w:rsidRDefault="00013122" w:rsidP="00013122">
      <w:pPr>
        <w:rPr>
          <w:rFonts w:cstheme="minorHAnsi"/>
          <w:color w:val="000000"/>
        </w:rPr>
      </w:pPr>
      <w:r w:rsidRPr="00F171A3">
        <w:rPr>
          <w:rFonts w:cstheme="minorHAnsi"/>
          <w:color w:val="000000"/>
        </w:rPr>
        <w:t xml:space="preserve">Acest teren este ocupat de monumentul Moara lui Assan, monument istoric de interes național, care însă se află într-o stare avansată de degradare. PUG-ul încadrează acest areal în categoria A3 - </w:t>
      </w:r>
      <w:r w:rsidRPr="00F171A3">
        <w:rPr>
          <w:rFonts w:cstheme="minorHAnsi"/>
        </w:rPr>
        <w:t xml:space="preserve">subzona unităților mici și mijlocii productive și de servicii. </w:t>
      </w:r>
      <w:r w:rsidRPr="00F171A3">
        <w:rPr>
          <w:rFonts w:cstheme="minorHAnsi"/>
          <w:color w:val="000000"/>
        </w:rPr>
        <w:t xml:space="preserve">Cu privire la viitoarele utilizări ale acestei zone, se remarcă lipsa unor PUZ-uri care să propună valorificarea acestor rezerve de teren și de clădiri istorice. În timp ce construcțiile continuă să se degradeze, este imperios necesară adoptarea unor măsuri care să stopeze acest proces. Mai mult, poziționarea favorabilă la nivelul municipiului și moștenirea istorică a monumentelor reprezintă premize favorabile pentru conversia zonei într-un centru cultural și pentru petrecerea timpului liber care să aducă un adevărat plus locuitorilor Sectorului 2. Cu toate acestea, una dintre dificultățile remarcate este faptul că imobilul se află în proprietate privată, ceea ce îngreunează eventualele demersuri ale administrației publice de a implementa măsuri de valorificare a monumentului istoric;  în acest caz este utilă dezvoltarea unui parteneriat public-privat între proprietarii imobilului și administrația locală.  </w:t>
      </w:r>
    </w:p>
    <w:p w14:paraId="567B03BC" w14:textId="77777777" w:rsidR="00013122" w:rsidRPr="00F171A3" w:rsidRDefault="00013122" w:rsidP="00013122">
      <w:pPr>
        <w:rPr>
          <w:rFonts w:cstheme="minorHAnsi"/>
          <w:color w:val="000000"/>
          <w:sz w:val="23"/>
          <w:szCs w:val="23"/>
        </w:rPr>
      </w:pPr>
    </w:p>
    <w:p w14:paraId="484B2261"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5: malul sudic al lacului Fundeni în zona strada Rodica și insula Fundeni</w:t>
      </w:r>
    </w:p>
    <w:p w14:paraId="0572D056" w14:textId="354A01E1" w:rsidR="00013122" w:rsidRPr="00F171A3" w:rsidRDefault="00013122" w:rsidP="00013122">
      <w:pPr>
        <w:rPr>
          <w:rFonts w:cstheme="minorHAnsi"/>
        </w:rPr>
      </w:pPr>
      <w:r w:rsidRPr="00F171A3">
        <w:rPr>
          <w:rFonts w:cstheme="minorHAnsi"/>
          <w:color w:val="000000"/>
        </w:rPr>
        <w:t xml:space="preserve">În cazul zonei situate pe malul lacului Fundeni PUG-ul </w:t>
      </w:r>
      <w:r w:rsidR="00DE36DE" w:rsidRPr="00F171A3">
        <w:rPr>
          <w:rFonts w:cstheme="minorHAnsi"/>
          <w:color w:val="000000"/>
        </w:rPr>
        <w:t>m</w:t>
      </w:r>
      <w:r w:rsidRPr="00F171A3">
        <w:rPr>
          <w:rFonts w:cstheme="minorHAnsi"/>
          <w:color w:val="000000"/>
        </w:rPr>
        <w:t xml:space="preserve">unicipiului București prevede pentru această zonă un areal L1a de </w:t>
      </w:r>
      <w:r w:rsidRPr="00F171A3">
        <w:rPr>
          <w:rFonts w:cstheme="minorHAnsi"/>
        </w:rPr>
        <w:t>locuințe individuale și colective mici cu maxim P+2 niveluri situate în afara perimetrelor de protecție și unul V3a pentru baze de agrement, parcuri de distracții, poli de agrement.</w:t>
      </w:r>
    </w:p>
    <w:p w14:paraId="20AF38B4" w14:textId="77777777" w:rsidR="00013122" w:rsidRPr="00F171A3" w:rsidRDefault="00013122" w:rsidP="00013122">
      <w:pPr>
        <w:rPr>
          <w:rFonts w:cstheme="minorHAnsi"/>
        </w:rPr>
      </w:pPr>
      <w:r w:rsidRPr="00F171A3">
        <w:rPr>
          <w:rFonts w:cstheme="minorHAnsi"/>
          <w:color w:val="000000"/>
        </w:rPr>
        <w:t>În această zonă s-au dezvoltat în ultimii 5 ani 5 PUZ-uri, acestea fiind fie aprobate, fie în diferite faze de elaborare. În general propunerile vizează modificări ale prevederilor din PUG (inclusiv în ceea ce privește indicatorii urbanistici)  - zonă L1a – locuințe individuale și colective mici (maxim P+2) cu POT maxim de 45%, CUT maxim de 0,9 pentru P+1 și 1,3 pentru P+2, respectiv V3 – baze de agrement, parcuri și poli de agrement:</w:t>
      </w:r>
    </w:p>
    <w:p w14:paraId="7D1F1379" w14:textId="77777777" w:rsidR="00013122" w:rsidRPr="00F171A3" w:rsidRDefault="00013122">
      <w:pPr>
        <w:pStyle w:val="ListParagraph"/>
        <w:numPr>
          <w:ilvl w:val="0"/>
          <w:numId w:val="55"/>
        </w:numPr>
        <w:rPr>
          <w:rFonts w:cstheme="minorHAnsi"/>
          <w:color w:val="134753" w:themeColor="text2"/>
        </w:rPr>
      </w:pPr>
      <w:r w:rsidRPr="00F171A3">
        <w:rPr>
          <w:rFonts w:cstheme="minorHAnsi"/>
          <w:color w:val="134753" w:themeColor="text2"/>
        </w:rPr>
        <w:t>PUZ Heliade între Vii nr. 72 este aprobat, prevede realizarea de locuințe și servicii (POT maxim - 60%, CUT maxim – 3 și H maxim - 40 m cu posibilitatea accentelor de peste 45 m);</w:t>
      </w:r>
    </w:p>
    <w:p w14:paraId="2C3B111A" w14:textId="77777777" w:rsidR="00013122" w:rsidRPr="00F171A3" w:rsidRDefault="00013122">
      <w:pPr>
        <w:pStyle w:val="ListParagraph"/>
        <w:numPr>
          <w:ilvl w:val="0"/>
          <w:numId w:val="55"/>
        </w:numPr>
        <w:rPr>
          <w:rFonts w:cstheme="minorHAnsi"/>
          <w:color w:val="134753" w:themeColor="text2"/>
        </w:rPr>
      </w:pPr>
      <w:r w:rsidRPr="00F171A3">
        <w:rPr>
          <w:rFonts w:cstheme="minorHAnsi"/>
          <w:color w:val="134753" w:themeColor="text2"/>
        </w:rPr>
        <w:t>PUZ Azuga nr. 32 este aprobat, prevede realizarea de locuințe unifamiliale și multifamiliale (POT maxim - 45%, CUT maxim - 1,56 și H maxim - 21 m);</w:t>
      </w:r>
    </w:p>
    <w:p w14:paraId="710BEDEE" w14:textId="77777777" w:rsidR="00013122" w:rsidRPr="00F171A3" w:rsidRDefault="00013122">
      <w:pPr>
        <w:pStyle w:val="ListParagraph"/>
        <w:numPr>
          <w:ilvl w:val="0"/>
          <w:numId w:val="55"/>
        </w:numPr>
        <w:rPr>
          <w:rFonts w:cstheme="minorHAnsi"/>
          <w:color w:val="134753" w:themeColor="text2"/>
        </w:rPr>
      </w:pPr>
      <w:r w:rsidRPr="00F171A3">
        <w:rPr>
          <w:rFonts w:cstheme="minorHAnsi"/>
          <w:color w:val="134753" w:themeColor="text2"/>
        </w:rPr>
        <w:t>PUZ Cremenița 98-100 se află în etapa de avizare, prevede realizarea unui ansamblu de locuințe colective și un segment de stradă de legătură între două străzi publice (POT maxim - 45%, CUT maxim - 2,5 și H maxim - 23 m);</w:t>
      </w:r>
    </w:p>
    <w:p w14:paraId="71B3BB58"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PUZ str. Fântânica nr. 36, 38, 38A și str. Torentului nr. 2. 7 se află în etapa de elaborare a propunerilor, prevede realizarea unui ansamblu cu funcțiune mixtă UTR M2 (POT maxim - 70%, CUT maxim – 3 și</w:t>
      </w:r>
      <w:r w:rsidRPr="00F171A3">
        <w:rPr>
          <w:rFonts w:cstheme="minorHAnsi"/>
          <w:color w:val="134753" w:themeColor="text2"/>
        </w:rPr>
        <w:t xml:space="preserve"> H maxim – 45 m)</w:t>
      </w:r>
      <w:r w:rsidRPr="00F171A3">
        <w:rPr>
          <w:rFonts w:cstheme="minorHAnsi"/>
          <w:bCs/>
          <w:color w:val="134753" w:themeColor="text2"/>
        </w:rPr>
        <w:t>;</w:t>
      </w:r>
    </w:p>
    <w:p w14:paraId="172710CA"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 xml:space="preserve">PUZ Șoseaua Pantelimon nr. 161 este aprobat, prevede realizarea de spații comerciale (POT maxim - 21%, CUT maxim - 1 </w:t>
      </w:r>
      <w:r w:rsidRPr="00F171A3">
        <w:rPr>
          <w:rFonts w:cstheme="minorHAnsi"/>
          <w:color w:val="134753" w:themeColor="text2"/>
        </w:rPr>
        <w:t>și H maxim - 10 m).</w:t>
      </w:r>
    </w:p>
    <w:p w14:paraId="50BBC590" w14:textId="0299BE34" w:rsidR="00013122" w:rsidRPr="00F171A3" w:rsidRDefault="00013122" w:rsidP="00013122">
      <w:pPr>
        <w:rPr>
          <w:rFonts w:cstheme="minorHAnsi"/>
        </w:rPr>
      </w:pPr>
      <w:r w:rsidRPr="00F171A3">
        <w:rPr>
          <w:rFonts w:cstheme="minorHAnsi"/>
        </w:rPr>
        <w:t xml:space="preserve">Astfel, există funcțiuni propuse precum serviciile/comerțul care modifică prevederile PUG. Mai mult, în ceea ce privește propunerile ce vizează locuințele individuale/colective, în cazul tuturor PUZ-urilor (cu </w:t>
      </w:r>
      <w:r w:rsidR="008A1AFD" w:rsidRPr="00F171A3">
        <w:rPr>
          <w:rFonts w:cstheme="minorHAnsi"/>
        </w:rPr>
        <w:t>excepția</w:t>
      </w:r>
      <w:r w:rsidRPr="00F171A3">
        <w:rPr>
          <w:rFonts w:cstheme="minorHAnsi"/>
        </w:rPr>
        <w:t xml:space="preserve"> PUZ Șoseaua Pantelimon nr. 161) înălțimea maximă nou reglementată oscilează între 10 m și 45 m, ceea ce va contribui la modificare siluetei zonei dar și la creșterea densității urbane. Densitatea construită sporită previzionată pentru această zonă, determinată îndeosebi de un număr crescut de noi locuitori, va genera probleme referitoare la capacitatea infrastructurii de circulație și tehnico-edilitare de a răspunde noilor cerințe. Totodată, se va contura necesitatea asigurării unor servicii și dotări publice adecvat dimensionate, toate acestea contribuind în final la modificarea semnificativă a caracterului zonei..</w:t>
      </w:r>
    </w:p>
    <w:p w14:paraId="4E96F749" w14:textId="77777777" w:rsidR="00013122" w:rsidRPr="00F171A3" w:rsidRDefault="00013122" w:rsidP="00013122">
      <w:pPr>
        <w:rPr>
          <w:rFonts w:cstheme="minorHAnsi"/>
        </w:rPr>
      </w:pPr>
    </w:p>
    <w:p w14:paraId="10997A6C"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6: fosta fabrică Zefirul – Șoseaua Iancului</w:t>
      </w:r>
    </w:p>
    <w:p w14:paraId="6AFA3EF9" w14:textId="77777777" w:rsidR="00013122" w:rsidRPr="00F171A3" w:rsidRDefault="00013122" w:rsidP="00013122">
      <w:pPr>
        <w:rPr>
          <w:rFonts w:cstheme="minorHAnsi"/>
        </w:rPr>
      </w:pPr>
      <w:r w:rsidRPr="00F171A3">
        <w:rPr>
          <w:rFonts w:cstheme="minorHAnsi"/>
        </w:rPr>
        <w:t>Acest teren a fost ocupat de fosta fabrică Zefirul, care a fost demolată. Reglementările pentru această zonă din cadrul PUG-ului prevăd în acest areal o zonă A3 de activități productive, înconjurată de o zonă rezidențială L2b de locuințe individuale și colective mici realizate pe baza unor lotizări urbane anterioare cu P - P+2 niveluri, situate în zone protejate, această zonă făcând parte din zona protejată 46 – parcelarea Vatra Luminoasă.</w:t>
      </w:r>
    </w:p>
    <w:p w14:paraId="1D4ECA13" w14:textId="77777777" w:rsidR="00013122" w:rsidRPr="00F171A3" w:rsidRDefault="00013122" w:rsidP="00013122">
      <w:pPr>
        <w:rPr>
          <w:rFonts w:cstheme="minorHAnsi"/>
        </w:rPr>
      </w:pPr>
    </w:p>
    <w:p w14:paraId="72AAF8DE" w14:textId="02AF6F31" w:rsidR="00013122" w:rsidRPr="00F171A3" w:rsidRDefault="00013122" w:rsidP="00013122">
      <w:pPr>
        <w:rPr>
          <w:rFonts w:cstheme="minorHAnsi"/>
        </w:rPr>
      </w:pPr>
      <w:r w:rsidRPr="00F171A3">
        <w:rPr>
          <w:rFonts w:cstheme="minorHAnsi"/>
        </w:rPr>
        <w:t xml:space="preserve">Pe amplasament a fost elaborat </w:t>
      </w:r>
      <w:r w:rsidRPr="00F171A3">
        <w:rPr>
          <w:rFonts w:cstheme="minorHAnsi"/>
          <w:bCs/>
        </w:rPr>
        <w:t>PUZ Șoseaua Iancului nr. 90, care prevede realizarea de locuințe, birouri, servicii, indicatorii urbanistici propuși fiind următorii: POT maxim - 48%, CUT maxim - 2,16 și</w:t>
      </w:r>
      <w:r w:rsidRPr="00F171A3">
        <w:rPr>
          <w:rFonts w:cstheme="minorHAnsi"/>
        </w:rPr>
        <w:t xml:space="preserve"> H maxim - 30 m. Reglementările propuse prin PUZ au rolul de a integra mai bine imobilul în caract</w:t>
      </w:r>
      <w:r w:rsidR="008A1AFD">
        <w:rPr>
          <w:rFonts w:cstheme="minorHAnsi"/>
        </w:rPr>
        <w:t>er</w:t>
      </w:r>
      <w:r w:rsidRPr="00F171A3">
        <w:rPr>
          <w:rFonts w:cstheme="minorHAnsi"/>
        </w:rPr>
        <w:t>ul zonei.</w:t>
      </w:r>
    </w:p>
    <w:p w14:paraId="241A3ECE" w14:textId="77777777" w:rsidR="00013122" w:rsidRPr="00F171A3" w:rsidRDefault="00013122" w:rsidP="00013122">
      <w:pPr>
        <w:rPr>
          <w:rFonts w:cstheme="minorHAnsi"/>
        </w:rPr>
      </w:pPr>
    </w:p>
    <w:p w14:paraId="1DE83CE1"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7: zona situată între Lacul Dobroești și Șoseaua Pantelimon</w:t>
      </w:r>
    </w:p>
    <w:p w14:paraId="7174479F" w14:textId="1DE43002" w:rsidR="00013122" w:rsidRPr="00F171A3" w:rsidRDefault="00013122" w:rsidP="00013122">
      <w:pPr>
        <w:rPr>
          <w:rFonts w:cstheme="minorHAnsi"/>
          <w:color w:val="000000"/>
        </w:rPr>
      </w:pPr>
      <w:r w:rsidRPr="00F171A3">
        <w:rPr>
          <w:rFonts w:cstheme="minorHAnsi"/>
        </w:rPr>
        <w:t xml:space="preserve">În ceea ce privește zona situată între Lacul Dobroești și Șoseaua Pantelimon, PUG-ul </w:t>
      </w:r>
      <w:r w:rsidR="00DE36DE" w:rsidRPr="00F171A3">
        <w:rPr>
          <w:rFonts w:cstheme="minorHAnsi"/>
        </w:rPr>
        <w:t>m</w:t>
      </w:r>
      <w:r w:rsidRPr="00F171A3">
        <w:rPr>
          <w:rFonts w:cstheme="minorHAnsi"/>
        </w:rPr>
        <w:t>unicipiului București reglementează 2 tipuri de zone: subzona verde V1a și subzona CB3 dedicată polilor urbani principali</w:t>
      </w:r>
      <w:r w:rsidRPr="00F171A3">
        <w:rPr>
          <w:rFonts w:cstheme="minorHAnsi"/>
          <w:color w:val="000000"/>
        </w:rPr>
        <w:t>.</w:t>
      </w:r>
    </w:p>
    <w:p w14:paraId="14EC8E55" w14:textId="77777777" w:rsidR="00013122" w:rsidRPr="00F171A3" w:rsidRDefault="00013122" w:rsidP="00013122">
      <w:pPr>
        <w:rPr>
          <w:rFonts w:cstheme="minorHAnsi"/>
        </w:rPr>
      </w:pPr>
      <w:r w:rsidRPr="00F171A3">
        <w:rPr>
          <w:rFonts w:cstheme="minorHAnsi"/>
        </w:rPr>
        <w:t xml:space="preserve">Zona Pantelimon-Dobroești reprezintă, în prezent, una din prioritățile de intervenție ale Primăriei Sectorului 2, fiind demarată elaborarea unui PUZ pe un teritoriu de aproximativ de 63 ha cuprins între Str. Aurului (vest), malul Lacului Dobroești (nord, est), Șos. Pantelimon și Șos. Vergului (sud), în vederea realizării unui complex multifuncțional educațional, sportiv și de agrement dar și a altor obiective de utilitate publică: </w:t>
      </w:r>
    </w:p>
    <w:p w14:paraId="521D1830"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color w:val="134753"/>
        </w:rPr>
        <w:t xml:space="preserve"> </w:t>
      </w:r>
      <w:r w:rsidRPr="00F171A3">
        <w:rPr>
          <w:rFonts w:cstheme="minorHAnsi"/>
          <w:bCs/>
          <w:color w:val="134753" w:themeColor="text2"/>
        </w:rPr>
        <w:t>Centru educațional multifuncțional dedicat învățământului preșcolar și primar, dotat cu:</w:t>
      </w:r>
    </w:p>
    <w:p w14:paraId="4135C3F3" w14:textId="77777777" w:rsidR="00013122" w:rsidRPr="00F171A3" w:rsidRDefault="00013122">
      <w:pPr>
        <w:pStyle w:val="ListParagraph"/>
        <w:keepNext/>
        <w:numPr>
          <w:ilvl w:val="1"/>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Creșă - obiectivul de investiții „Construire creșă cu o capacitate de 110 locuri”, în cadrul programului Național de Construcții de Interes Public și Social, Subprogramul „Unități și instituții de învățământ de stat”, cu modificările și completările ulterioare;</w:t>
      </w:r>
    </w:p>
    <w:p w14:paraId="46AB2B4D" w14:textId="77777777" w:rsidR="00013122" w:rsidRPr="00F171A3" w:rsidRDefault="00013122">
      <w:pPr>
        <w:pStyle w:val="ListParagraph"/>
        <w:keepNext/>
        <w:numPr>
          <w:ilvl w:val="1"/>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Grădiniță cu minim 100 de locuri;</w:t>
      </w:r>
    </w:p>
    <w:p w14:paraId="2FA903A3"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Baze și complexe sportive multifuncționale și a unor noi spații de promenadă și agrement dedicate întregii familii, după cum urmează:</w:t>
      </w:r>
    </w:p>
    <w:p w14:paraId="01FD55D1" w14:textId="77777777" w:rsidR="00013122" w:rsidRPr="00F171A3" w:rsidRDefault="00013122">
      <w:pPr>
        <w:pStyle w:val="ListParagraph"/>
        <w:keepNext/>
        <w:numPr>
          <w:ilvl w:val="1"/>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Complex sportiv constituit din: terenuri de tenis, terenuri de fotbal, terenuri de baschet, bazin de înot, patinoar;</w:t>
      </w:r>
    </w:p>
    <w:p w14:paraId="6ED1DEFB" w14:textId="77777777" w:rsidR="00013122" w:rsidRPr="00F171A3" w:rsidRDefault="00013122">
      <w:pPr>
        <w:pStyle w:val="ListParagraph"/>
        <w:keepNext/>
        <w:numPr>
          <w:ilvl w:val="1"/>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Bază sportivă nautică pentru practicarea canotajului și a yachting-ului;</w:t>
      </w:r>
    </w:p>
    <w:p w14:paraId="04643BE6" w14:textId="77777777" w:rsidR="00013122" w:rsidRPr="00F171A3" w:rsidRDefault="00013122">
      <w:pPr>
        <w:pStyle w:val="ListParagraph"/>
        <w:keepNext/>
        <w:numPr>
          <w:ilvl w:val="1"/>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Parc, incluzând zona de promenadă pe malul Lacului Dobroești, precum și posibilitatea desfășurării unor activități de agrement nautic;</w:t>
      </w:r>
    </w:p>
    <w:p w14:paraId="145AA293" w14:textId="77777777" w:rsidR="00013122" w:rsidRPr="00F171A3" w:rsidRDefault="00013122">
      <w:pPr>
        <w:pStyle w:val="ListParagraph"/>
        <w:keepNext/>
        <w:numPr>
          <w:ilvl w:val="1"/>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Alte spații (acoperite sau descoperite) cu destinație specifică sau multifuncțională care pot deservi funcțiuni de agrement și sportive;</w:t>
      </w:r>
    </w:p>
    <w:p w14:paraId="741BA7D5"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Locuințe sociale.</w:t>
      </w:r>
    </w:p>
    <w:p w14:paraId="64028CB0" w14:textId="77777777" w:rsidR="00013122" w:rsidRPr="00F171A3" w:rsidRDefault="00013122" w:rsidP="00013122">
      <w:pPr>
        <w:rPr>
          <w:rFonts w:cstheme="minorHAnsi"/>
        </w:rPr>
      </w:pPr>
      <w:r w:rsidRPr="00F171A3">
        <w:rPr>
          <w:rFonts w:cstheme="minorHAnsi"/>
        </w:rPr>
        <w:t>Pentru a fi asigurat un grad ridicat de utilizare a acestui spațiu este recomandată amenajarea lui odată cu viitoarele intervenții de revitalizare a malurilor de lac aferente salbei de lacuri de pe râul Colentina. Astfel, acesta va putea fi integrat într-un circuit de agrement de importanță municipală. Mai mult, gradul de utilizare al acestuia va crește odată cu realizarea unor legături pietonale peste salba de lacuri a râului Colentina, locuitorii din orașul Pantelimon sau din comuna Dobroești urmând să aibă un acces mai facil la acest spațiu verde. În același timp, este necesară corelarea și integrarea intervențiilor în această zonă cu dezvoltarea Complexului Sportiv Ion Țiriac și Stadionului Metaloglobus.</w:t>
      </w:r>
    </w:p>
    <w:p w14:paraId="50DC34F2" w14:textId="77777777" w:rsidR="00013122" w:rsidRPr="00F171A3" w:rsidRDefault="00013122" w:rsidP="00013122">
      <w:pPr>
        <w:rPr>
          <w:rFonts w:cstheme="minorHAnsi"/>
        </w:rPr>
      </w:pPr>
    </w:p>
    <w:p w14:paraId="2AE80F2B"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8: zona Gării Obor</w:t>
      </w:r>
    </w:p>
    <w:p w14:paraId="239AA3A3" w14:textId="1F24AD02" w:rsidR="00013122" w:rsidRPr="00F171A3" w:rsidRDefault="00013122" w:rsidP="00013122">
      <w:pPr>
        <w:rPr>
          <w:rFonts w:cstheme="minorHAnsi"/>
        </w:rPr>
      </w:pPr>
      <w:r w:rsidRPr="00F171A3">
        <w:rPr>
          <w:rFonts w:cstheme="minorHAnsi"/>
        </w:rPr>
        <w:t xml:space="preserve">Această zonă este reprezentată de Gara Obor și terenurile din vecinătatea acesteia, inclusiv terenurile libere și fostele platforme industriale din zona Electronicii și fosta platformă industrială Aversa. Reglementările pentru aceste areale incluse în PUG-ul </w:t>
      </w:r>
      <w:r w:rsidR="00DE36DE" w:rsidRPr="00F171A3">
        <w:rPr>
          <w:rFonts w:cstheme="minorHAnsi"/>
        </w:rPr>
        <w:t>m</w:t>
      </w:r>
      <w:r w:rsidRPr="00F171A3">
        <w:rPr>
          <w:rFonts w:cstheme="minorHAnsi"/>
        </w:rPr>
        <w:t>unicipiului București prevăd aici următoarele subzone:</w:t>
      </w:r>
    </w:p>
    <w:p w14:paraId="7E8474D6"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Subzona CB3 – zona polului urban principal Obor;</w:t>
      </w:r>
    </w:p>
    <w:p w14:paraId="3A8320AA"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Subzona A2b – subzona unităților industriale și de servicii;</w:t>
      </w:r>
    </w:p>
    <w:p w14:paraId="5388FB63"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Subzona A3 – subzona unităților mici și mijlocii productive și de servicii;</w:t>
      </w:r>
    </w:p>
    <w:p w14:paraId="4920F8CE"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Subzona T2 – subzona transporturilor feroviare.</w:t>
      </w:r>
    </w:p>
    <w:p w14:paraId="10F5C9A3" w14:textId="77777777" w:rsidR="00013122" w:rsidRPr="00F171A3" w:rsidRDefault="00013122" w:rsidP="00013122">
      <w:pPr>
        <w:rPr>
          <w:rFonts w:cstheme="minorHAnsi"/>
        </w:rPr>
      </w:pPr>
      <w:r w:rsidRPr="00F171A3">
        <w:rPr>
          <w:rFonts w:cstheme="minorHAnsi"/>
        </w:rPr>
        <w:t>La nivel de reglementări, dacă celelalte subzone au mai fost caracterizate anterior, pentru subzona A2b care este și cea mai extinsă, trebuie menționat faptul că înălțimea maximă admisă este de 20 m, POT-ul maxim este de 80%, iar CUT-ul volumetric maxim de 15%.</w:t>
      </w:r>
    </w:p>
    <w:p w14:paraId="40451AAD" w14:textId="77777777" w:rsidR="00013122" w:rsidRPr="00F171A3" w:rsidRDefault="00013122" w:rsidP="00013122">
      <w:pPr>
        <w:rPr>
          <w:rFonts w:cstheme="minorHAnsi"/>
        </w:rPr>
      </w:pPr>
      <w:r w:rsidRPr="00F171A3">
        <w:rPr>
          <w:rFonts w:cstheme="minorHAnsi"/>
        </w:rPr>
        <w:t xml:space="preserve">În ceea ce privește dezvoltările viitoare, având în vedere complexitatea zonei, este necesară realizarea unei documentații de urbanism care să stabilească viitoarele destinații ale terenurilor pornind de la necesitățile tuturor actorilor implicați precum Primăria Sectorului 2, Primăria Municipiului București, CFR, comunitatea locală și investitorii privați. Acesta trebuie să fie corelat și cu prevederile viitoarelor documentații de urbanism de nivel superior. </w:t>
      </w:r>
    </w:p>
    <w:p w14:paraId="361D3BFC" w14:textId="77777777" w:rsidR="00013122" w:rsidRPr="00F171A3" w:rsidRDefault="00013122" w:rsidP="00013122">
      <w:pPr>
        <w:rPr>
          <w:rFonts w:cstheme="minorHAnsi"/>
        </w:rPr>
      </w:pPr>
      <w:r w:rsidRPr="00F171A3">
        <w:rPr>
          <w:rFonts w:cstheme="minorHAnsi"/>
        </w:rPr>
        <w:t xml:space="preserve">În prezent, realizarea unei documentații unitare de dezvoltare a acestei zone reprezintă una dintre prioritățile Primăriei Sectorului 2, proiectul de regenerare urbană fiind dezvoltat în colaborare cu Banca Mondială. Astfel, zona Obor face obiectul unei importante operațiuni de dezvoltare urbană integrată și de regenerare urbană a spațiilor publice și a fondului construit din Sectorul 2 - proiectul de regenerare urbană și reconversie a Zonei </w:t>
      </w:r>
      <w:bookmarkStart w:id="249" w:name="_Hlk113055057"/>
      <w:r w:rsidRPr="00F171A3">
        <w:rPr>
          <w:rFonts w:cstheme="minorHAnsi"/>
        </w:rPr>
        <w:t>Gara Obor - Piața Obor</w:t>
      </w:r>
      <w:bookmarkEnd w:id="249"/>
      <w:r w:rsidRPr="00F171A3">
        <w:rPr>
          <w:rFonts w:cstheme="minorHAnsi"/>
        </w:rPr>
        <w:t>, propus pentru finanțare prin PNRR, POR 2021-2027 sau bugetul de stat</w:t>
      </w:r>
      <w:r w:rsidRPr="00F171A3">
        <w:rPr>
          <w:rStyle w:val="FootnoteReference"/>
          <w:rFonts w:cstheme="minorHAnsi"/>
        </w:rPr>
        <w:footnoteReference w:id="106"/>
      </w:r>
      <w:r w:rsidRPr="00F171A3">
        <w:rPr>
          <w:rFonts w:cstheme="minorHAnsi"/>
        </w:rPr>
        <w:t xml:space="preserve">: </w:t>
      </w:r>
      <w:r w:rsidRPr="00F171A3" w:rsidDel="0078159C">
        <w:rPr>
          <w:rFonts w:cstheme="minorHAnsi"/>
        </w:rPr>
        <w:t xml:space="preserve"> </w:t>
      </w:r>
    </w:p>
    <w:p w14:paraId="1A9303EC"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Crearea unui parc liniar în zona feroviară și conectarea acestuia cu amplasamentele limitrofe;</w:t>
      </w:r>
    </w:p>
    <w:p w14:paraId="150A3241"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Consolidarea și modernizarea clădirii Gării de Est;</w:t>
      </w:r>
    </w:p>
    <w:p w14:paraId="43369FF6"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Construirea unei noi gări în cadrul unui complex multimodal;</w:t>
      </w:r>
    </w:p>
    <w:p w14:paraId="21A36AA0"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Dezvoltarea unor spații publice ample aferente traseului Metrou Obor și Gara de Est;</w:t>
      </w:r>
    </w:p>
    <w:p w14:paraId="153E2FD4"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Reconfigurarea urbană, pietonalizarea și amenajarea de spații verzi noi în arealul cuprins între șos. Ștefan cel Mare și zona feroviară adiacentă Gării de Est;</w:t>
      </w:r>
    </w:p>
    <w:p w14:paraId="0DBD983C" w14:textId="77777777" w:rsidR="00013122" w:rsidRPr="00F171A3" w:rsidRDefault="00013122">
      <w:pPr>
        <w:pStyle w:val="ListParagraph"/>
        <w:keepNext/>
        <w:numPr>
          <w:ilvl w:val="0"/>
          <w:numId w:val="55"/>
        </w:numPr>
        <w:pBdr>
          <w:top w:val="nil"/>
          <w:left w:val="nil"/>
          <w:bottom w:val="nil"/>
          <w:right w:val="nil"/>
          <w:between w:val="nil"/>
        </w:pBdr>
        <w:rPr>
          <w:rFonts w:cstheme="minorHAnsi"/>
          <w:bCs/>
          <w:color w:val="134753" w:themeColor="text2"/>
        </w:rPr>
      </w:pPr>
      <w:r w:rsidRPr="00F171A3">
        <w:rPr>
          <w:rFonts w:cstheme="minorHAnsi"/>
          <w:bCs/>
          <w:color w:val="134753" w:themeColor="text2"/>
        </w:rPr>
        <w:t>Crearea unui campus dedicat învățământului profesional în sistem dual.</w:t>
      </w:r>
    </w:p>
    <w:p w14:paraId="3D85DC76" w14:textId="77777777" w:rsidR="00013122" w:rsidRPr="00F171A3" w:rsidRDefault="00013122" w:rsidP="00013122">
      <w:pPr>
        <w:pBdr>
          <w:top w:val="nil"/>
          <w:left w:val="nil"/>
          <w:bottom w:val="nil"/>
          <w:right w:val="nil"/>
          <w:between w:val="nil"/>
        </w:pBdr>
        <w:spacing w:after="60"/>
        <w:rPr>
          <w:rFonts w:cstheme="minorHAnsi"/>
        </w:rPr>
      </w:pPr>
      <w:r w:rsidRPr="00F171A3">
        <w:rPr>
          <w:rFonts w:cstheme="minorHAnsi"/>
        </w:rPr>
        <w:t>Proiectul se relaționează cu una din prioritățile principale de dezvoltare ale Sectorului 2 în următoarea perioadă, respectiv dezvoltarea unor poli urbani micști care să combine activitățile de locuire cu cele de birouri și servicii de proximitate, reducând timpul de deplasare dintre locuință și locul de muncă și contribuind la dezvoltarea „orașului de 15 minute”.</w:t>
      </w:r>
    </w:p>
    <w:p w14:paraId="53676A37" w14:textId="77777777" w:rsidR="00013122" w:rsidRPr="00F171A3" w:rsidRDefault="00013122" w:rsidP="00013122">
      <w:pPr>
        <w:pStyle w:val="Caption"/>
      </w:pPr>
      <w:r w:rsidRPr="00F171A3">
        <w:t>Figura 76 Propunere regenerare urbană Zona Gara Obor - Piața Obor, 2022</w:t>
      </w:r>
    </w:p>
    <w:p w14:paraId="4162A788" w14:textId="77777777" w:rsidR="00013122" w:rsidRPr="00F171A3" w:rsidRDefault="00013122" w:rsidP="00013122">
      <w:pPr>
        <w:jc w:val="center"/>
        <w:rPr>
          <w:rFonts w:cstheme="minorHAnsi"/>
        </w:rPr>
      </w:pPr>
      <w:r w:rsidRPr="00F171A3">
        <w:rPr>
          <w:noProof/>
        </w:rPr>
        <w:drawing>
          <wp:inline distT="0" distB="0" distL="0" distR="0" wp14:anchorId="51D644D6" wp14:editId="241B946B">
            <wp:extent cx="5998210" cy="4265295"/>
            <wp:effectExtent l="0" t="0" r="2540" b="1905"/>
            <wp:docPr id="25845" name="Picture 25845" descr="May be an image of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map"/>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98210" cy="4265295"/>
                    </a:xfrm>
                    <a:prstGeom prst="rect">
                      <a:avLst/>
                    </a:prstGeom>
                    <a:noFill/>
                    <a:ln>
                      <a:noFill/>
                    </a:ln>
                  </pic:spPr>
                </pic:pic>
              </a:graphicData>
            </a:graphic>
          </wp:inline>
        </w:drawing>
      </w:r>
    </w:p>
    <w:p w14:paraId="49C9306A" w14:textId="77777777" w:rsidR="0046391E" w:rsidRPr="00F171A3" w:rsidRDefault="00013122" w:rsidP="0046391E">
      <w:pPr>
        <w:jc w:val="right"/>
        <w:rPr>
          <w:color w:val="BFBFBF" w:themeColor="background1" w:themeShade="BF"/>
        </w:rPr>
      </w:pPr>
      <w:r w:rsidRPr="00F171A3">
        <w:rPr>
          <w:color w:val="BFBFBF" w:themeColor="background1" w:themeShade="BF"/>
        </w:rPr>
        <w:t>Sursa: Pagina de Facebook Primăria Sectorului 2 București</w:t>
      </w:r>
    </w:p>
    <w:p w14:paraId="00C1E74C" w14:textId="2E9211E8" w:rsidR="00013122" w:rsidRPr="00F171A3" w:rsidRDefault="00013122" w:rsidP="00013122">
      <w:r w:rsidRPr="00F171A3">
        <w:t xml:space="preserve">Dintre toate cele 9 zone identificate cu potențial de valorificare, aceasta este cea unde în ultimii 5 ani s-au </w:t>
      </w:r>
      <w:r w:rsidR="008A1AFD" w:rsidRPr="00F171A3">
        <w:t>realizat</w:t>
      </w:r>
      <w:r w:rsidRPr="00F171A3">
        <w:t xml:space="preserve"> cele mai multe PUZ-uri, fiind un areal cu probleme și nevoi complexe. Se remarcă faptul că multe dintre propuneri prevăd realizarea de locuințe, ceea ce nu corespunde cu </w:t>
      </w:r>
      <w:r w:rsidR="008A1AFD" w:rsidRPr="00F171A3">
        <w:t>prevederile</w:t>
      </w:r>
      <w:r w:rsidRPr="00F171A3">
        <w:t xml:space="preserve"> PUG (zonele CB3, A2b (zona unităților industriale și de servicii) - POT maxim 80%, CUT maxim volumetric 15 </w:t>
      </w:r>
      <w:r w:rsidRPr="00F171A3">
        <w:rPr>
          <w:lang w:eastAsia="ja-JP"/>
        </w:rPr>
        <w:t>mc/mp. teren și H maxim 20 m</w:t>
      </w:r>
      <w:r w:rsidRPr="00F171A3">
        <w:t>, A3 și T2 (zona transporturilor feroviare)):</w:t>
      </w:r>
    </w:p>
    <w:p w14:paraId="29D30EC0" w14:textId="1A97FCAB" w:rsidR="00013122" w:rsidRPr="00F171A3" w:rsidRDefault="00013122">
      <w:pPr>
        <w:pStyle w:val="NormalWhite"/>
        <w:numPr>
          <w:ilvl w:val="0"/>
          <w:numId w:val="56"/>
        </w:numPr>
        <w:rPr>
          <w:color w:val="134753" w:themeColor="text2"/>
          <w:lang w:val="ro-RO"/>
        </w:rPr>
      </w:pPr>
      <w:r w:rsidRPr="00F171A3">
        <w:rPr>
          <w:color w:val="134753" w:themeColor="text2"/>
          <w:lang w:val="ro-RO"/>
        </w:rPr>
        <w:t xml:space="preserve">PUZ str. Ziduri Moși nr. 25 se află în etapa de aprobare (în dezbatere publică), prevede realizarea unui ansamblu rezidențial, a unui complex </w:t>
      </w:r>
      <w:r w:rsidR="008A1AFD" w:rsidRPr="00F171A3">
        <w:rPr>
          <w:color w:val="134753" w:themeColor="text2"/>
          <w:lang w:val="ro-RO"/>
        </w:rPr>
        <w:t>comercial</w:t>
      </w:r>
      <w:r w:rsidRPr="00F171A3">
        <w:rPr>
          <w:color w:val="134753" w:themeColor="text2"/>
          <w:lang w:val="ro-RO"/>
        </w:rPr>
        <w:t>, clădiri pentru birouri și funcțiuni conexe (POT maxim - 55%, CUT maxim - 4 și H maxim - 40 m);</w:t>
      </w:r>
    </w:p>
    <w:p w14:paraId="20E9A1D0" w14:textId="77777777" w:rsidR="00013122" w:rsidRPr="00F171A3" w:rsidRDefault="00013122">
      <w:pPr>
        <w:pStyle w:val="NormalWhite"/>
        <w:numPr>
          <w:ilvl w:val="0"/>
          <w:numId w:val="56"/>
        </w:numPr>
        <w:rPr>
          <w:color w:val="134753" w:themeColor="text2"/>
          <w:lang w:val="ro-RO"/>
        </w:rPr>
      </w:pPr>
      <w:r w:rsidRPr="00F171A3">
        <w:rPr>
          <w:color w:val="134753" w:themeColor="text2"/>
          <w:lang w:val="ro-RO"/>
        </w:rPr>
        <w:t>PUZ Șoseaua Pantelimon nr. 1A-1B, NC210149 și 210150 se află în etapa de elaborare a propunerilor, prevede realizarea unui ansamblu rezidențial și a funcțiunilor complementare (POT maxim - 45%, CUT maxim - 3,3 și H maxim - 41 m);</w:t>
      </w:r>
    </w:p>
    <w:p w14:paraId="3DF1612C" w14:textId="77777777" w:rsidR="00013122" w:rsidRPr="00F171A3" w:rsidRDefault="00013122">
      <w:pPr>
        <w:pStyle w:val="NormalWhite"/>
        <w:numPr>
          <w:ilvl w:val="0"/>
          <w:numId w:val="56"/>
        </w:numPr>
        <w:rPr>
          <w:color w:val="134753" w:themeColor="text2"/>
          <w:lang w:val="ro-RO"/>
        </w:rPr>
      </w:pPr>
      <w:r w:rsidRPr="00F171A3">
        <w:rPr>
          <w:color w:val="134753" w:themeColor="text2"/>
          <w:lang w:val="ro-RO"/>
        </w:rPr>
        <w:t>PUZ Șoseaua Pantelimon nr. 1-3 se află în stadiul de anunț de intenție, prevede realizarea de funcțiuni mixte – locuințe colective, comerț, servicii, birouri);</w:t>
      </w:r>
    </w:p>
    <w:p w14:paraId="7029A471" w14:textId="77777777" w:rsidR="00013122" w:rsidRPr="00F171A3" w:rsidRDefault="00013122">
      <w:pPr>
        <w:pStyle w:val="NormalWhite"/>
        <w:numPr>
          <w:ilvl w:val="0"/>
          <w:numId w:val="56"/>
        </w:numPr>
        <w:rPr>
          <w:color w:val="134753" w:themeColor="text2"/>
          <w:lang w:val="ro-RO"/>
        </w:rPr>
      </w:pPr>
      <w:r w:rsidRPr="00F171A3">
        <w:rPr>
          <w:color w:val="134753" w:themeColor="text2"/>
          <w:lang w:val="ro-RO"/>
        </w:rPr>
        <w:t>PUZ Șoseaua Electronicii nr. 44B, 44C se află în etapa de avizarea a proiectului, prevede realizarea unui ansamblu cu funcțiuni mixte – locuințe colective, comerț, service (POT maxim - 38%, CUT maxim – 3 și H maxim - 46 m);</w:t>
      </w:r>
    </w:p>
    <w:p w14:paraId="08968847" w14:textId="77777777" w:rsidR="00013122" w:rsidRPr="00F171A3" w:rsidRDefault="00013122">
      <w:pPr>
        <w:pStyle w:val="NormalWhite"/>
        <w:numPr>
          <w:ilvl w:val="0"/>
          <w:numId w:val="56"/>
        </w:numPr>
        <w:rPr>
          <w:color w:val="134753" w:themeColor="text2"/>
          <w:lang w:val="ro-RO"/>
        </w:rPr>
      </w:pPr>
      <w:r w:rsidRPr="00F171A3">
        <w:rPr>
          <w:color w:val="134753" w:themeColor="text2"/>
          <w:lang w:val="ro-RO"/>
        </w:rPr>
        <w:t>PUZ str. Ziduri între Vii nr. 22 se află în etapa de elaborare a propunerilor, prevede realizarea de locuințe colective, comerț, servicii, birouri, zone de recreere, accente de înălțime de max. P+29 etaje (POT maxim - 60%, CUT maxim – 4 și H maxim - la cornișă 22 m, cu accente 91 m);</w:t>
      </w:r>
    </w:p>
    <w:p w14:paraId="11F6BDC6" w14:textId="45CEE36F" w:rsidR="00013122" w:rsidRPr="00F171A3" w:rsidRDefault="00013122">
      <w:pPr>
        <w:pStyle w:val="NormalWhite"/>
        <w:numPr>
          <w:ilvl w:val="0"/>
          <w:numId w:val="56"/>
        </w:numPr>
        <w:rPr>
          <w:color w:val="134753" w:themeColor="text2"/>
          <w:lang w:val="ro-RO"/>
        </w:rPr>
      </w:pPr>
      <w:r w:rsidRPr="00F171A3">
        <w:rPr>
          <w:color w:val="134753" w:themeColor="text2"/>
          <w:lang w:val="ro-RO"/>
        </w:rPr>
        <w:t xml:space="preserve">PUZ Șoseaua Electronicii nr. 31 se află în etapa de avizare a proiectului, prevede reconfigurarea circulațiilor carosabile din documentațiile de urbanism aprobate anterior – PUZ Șos. Baicului nr. 31, lot 4, </w:t>
      </w:r>
      <w:r w:rsidR="00F53B80" w:rsidRPr="00F171A3">
        <w:rPr>
          <w:color w:val="134753" w:themeColor="text2"/>
          <w:lang w:val="ro-RO"/>
        </w:rPr>
        <w:t>S</w:t>
      </w:r>
      <w:r w:rsidRPr="00F171A3">
        <w:rPr>
          <w:color w:val="134753" w:themeColor="text2"/>
          <w:lang w:val="ro-RO"/>
        </w:rPr>
        <w:t>ector 2, București (POT maxim - 60%, CUT maxim – 3,6 și H maxim - 48 m);</w:t>
      </w:r>
    </w:p>
    <w:p w14:paraId="41DB0E53" w14:textId="77777777" w:rsidR="00013122" w:rsidRPr="00F171A3" w:rsidRDefault="00013122">
      <w:pPr>
        <w:pStyle w:val="NormalWhite"/>
        <w:numPr>
          <w:ilvl w:val="0"/>
          <w:numId w:val="56"/>
        </w:numPr>
        <w:rPr>
          <w:color w:val="134753" w:themeColor="text2"/>
          <w:lang w:val="ro-RO"/>
        </w:rPr>
      </w:pPr>
      <w:r w:rsidRPr="00F171A3">
        <w:rPr>
          <w:color w:val="134753" w:themeColor="text2"/>
          <w:lang w:val="ro-RO"/>
        </w:rPr>
        <w:t>PUZ Electronicii nr. 16-18 se află în etapa de avizare a proiectului, prevede realizarea de locuințe colective cu funcțiuni complementare (POT maxim - 50%, CUT maxim - 3,5 m și H maxim - 36 m);</w:t>
      </w:r>
    </w:p>
    <w:p w14:paraId="0BC1653D" w14:textId="77777777" w:rsidR="00013122" w:rsidRPr="00F171A3" w:rsidRDefault="00013122">
      <w:pPr>
        <w:pStyle w:val="NormalWhite"/>
        <w:numPr>
          <w:ilvl w:val="0"/>
          <w:numId w:val="56"/>
        </w:numPr>
        <w:rPr>
          <w:color w:val="134753" w:themeColor="text2"/>
          <w:lang w:val="ro-RO"/>
        </w:rPr>
      </w:pPr>
      <w:r w:rsidRPr="00F171A3">
        <w:rPr>
          <w:color w:val="134753" w:themeColor="text2"/>
          <w:lang w:val="ro-RO"/>
        </w:rPr>
        <w:t>PUZ Șoseaua Electronicii nr. 25 este aprobat, prevede realizarea unui ansamblu rezidențial, realizarea de servicii, comerț, birouri (POT maxim - 40%, CUT maxim - 2.5 și H maxim - 45 m);</w:t>
      </w:r>
    </w:p>
    <w:p w14:paraId="15559BE5" w14:textId="77777777" w:rsidR="00013122" w:rsidRPr="00F171A3" w:rsidRDefault="00013122">
      <w:pPr>
        <w:pStyle w:val="NormalWhite"/>
        <w:numPr>
          <w:ilvl w:val="0"/>
          <w:numId w:val="56"/>
        </w:numPr>
        <w:rPr>
          <w:color w:val="134753" w:themeColor="text2"/>
          <w:lang w:val="ro-RO"/>
        </w:rPr>
      </w:pPr>
      <w:r w:rsidRPr="00F171A3">
        <w:rPr>
          <w:color w:val="134753" w:themeColor="text2"/>
          <w:lang w:val="ro-RO"/>
        </w:rPr>
        <w:t>PUZ str. Baicului nr. 31 este aprobat, prevede realizarea unui ansamblu rezidențial și realizarea de servicii publice (POT maxim - 80%, CUT maxim vol. – 15 și H maxim - 20 m).</w:t>
      </w:r>
    </w:p>
    <w:p w14:paraId="104A65A7" w14:textId="77777777" w:rsidR="00013122" w:rsidRPr="00F171A3" w:rsidRDefault="00013122" w:rsidP="00013122">
      <w:pPr>
        <w:rPr>
          <w:rFonts w:cstheme="minorHAnsi"/>
          <w:bCs/>
        </w:rPr>
      </w:pPr>
      <w:r w:rsidRPr="00F171A3">
        <w:rPr>
          <w:rFonts w:cstheme="minorHAnsi"/>
          <w:bCs/>
        </w:rPr>
        <w:t>Multe dintre PUZ-urile menționate anterior prevăd realizarea de locuințe, comerț, servicii și zone de recreere În contextul dezvoltării proiectului de regenerare urbană și reconversie a Zonei Gara Obor - Piața Obor, aceste noi reglementări ilustrează tendința de dezvoltare viitoare a zonei de est a Bucureștiului și de conturare a unei arii reper la nivelul capitalei care să se constituie într-o  centralitate importantă/un pol urban principal care include  activități variate.</w:t>
      </w:r>
    </w:p>
    <w:p w14:paraId="112A79C2" w14:textId="77777777" w:rsidR="00013122" w:rsidRPr="00F171A3" w:rsidRDefault="00013122" w:rsidP="00013122">
      <w:pPr>
        <w:rPr>
          <w:rFonts w:cstheme="minorHAnsi"/>
          <w:bCs/>
        </w:rPr>
      </w:pPr>
    </w:p>
    <w:p w14:paraId="258DC2E6" w14:textId="77777777" w:rsidR="00013122" w:rsidRPr="00F171A3" w:rsidRDefault="00013122" w:rsidP="00013122">
      <w:pPr>
        <w:rPr>
          <w:rFonts w:cstheme="minorHAnsi"/>
          <w:b/>
          <w:color w:val="134753" w:themeColor="text2"/>
        </w:rPr>
      </w:pPr>
      <w:r w:rsidRPr="00F171A3">
        <w:rPr>
          <w:rFonts w:cstheme="minorHAnsi"/>
          <w:b/>
          <w:color w:val="134753" w:themeColor="text2"/>
        </w:rPr>
        <w:t>Caracteristici zona 9: zona Pipera – Dimitrie Pompeiu</w:t>
      </w:r>
    </w:p>
    <w:p w14:paraId="4A7AA69B" w14:textId="77777777" w:rsidR="00013122" w:rsidRPr="00F171A3" w:rsidRDefault="00013122" w:rsidP="00013122">
      <w:pPr>
        <w:rPr>
          <w:rFonts w:cstheme="minorHAnsi"/>
        </w:rPr>
      </w:pPr>
      <w:r w:rsidRPr="00F171A3">
        <w:rPr>
          <w:rFonts w:cstheme="minorHAnsi"/>
        </w:rPr>
        <w:t xml:space="preserve">Fosta zonă industrială Pipera, dezvoltată în ultimele decenii ca cea mai mare zonă de birouri din București, necesită în prezent intervenții de sistematizare a spațiilor publice în vederea reglementării unei trame stradale coerente și a unui sistem de spații verzi, aceasta reprezentând una din prioritățile de dezvoltare ale Primăriei Sectorului 2 pentru perioada următoare. În această zonă sunt reglementate conform PUG UTR-urile A2b și CB1 (servicii publice dispersate în afara zonelor protejate) – POT maxim de 50%, CUT maxim de 2,2 </w:t>
      </w:r>
      <w:r w:rsidRPr="00F171A3">
        <w:rPr>
          <w:color w:val="000000"/>
          <w:lang w:eastAsia="ja-JP"/>
        </w:rPr>
        <w:t>pentru P3/P+4 și 2,4 pentru P+6/mai mult de P+6, H maxim de 45 m</w:t>
      </w:r>
      <w:r w:rsidRPr="00F171A3">
        <w:rPr>
          <w:rFonts w:cstheme="minorHAnsi"/>
        </w:rPr>
        <w:t>. În această zonă se remarcă 4 PUZ-uri demarate în ultimii 5 ani. Reglementările acestora prevăd în general realizarea de zone cu comerț/servicii:</w:t>
      </w:r>
    </w:p>
    <w:p w14:paraId="5E5652DC" w14:textId="77777777" w:rsidR="00013122" w:rsidRPr="00F171A3" w:rsidRDefault="00013122">
      <w:pPr>
        <w:pStyle w:val="NormalWhite"/>
        <w:numPr>
          <w:ilvl w:val="0"/>
          <w:numId w:val="57"/>
        </w:numPr>
        <w:rPr>
          <w:color w:val="134753" w:themeColor="text2"/>
          <w:lang w:val="ro-RO"/>
        </w:rPr>
      </w:pPr>
      <w:r w:rsidRPr="00F171A3">
        <w:rPr>
          <w:color w:val="134753" w:themeColor="text2"/>
          <w:lang w:val="ro-RO"/>
        </w:rPr>
        <w:t>PUZ Dimitrie Pompeiu nr. 10 se află în etapa de avizare, prevede realizarea de comerț, servicii (POT maxim - 30%, CUT maxim – 3,5 și H maxim - 65 m);</w:t>
      </w:r>
    </w:p>
    <w:p w14:paraId="30B5B7DC" w14:textId="77777777" w:rsidR="00013122" w:rsidRPr="00F171A3" w:rsidRDefault="00013122">
      <w:pPr>
        <w:pStyle w:val="NormalWhite"/>
        <w:numPr>
          <w:ilvl w:val="0"/>
          <w:numId w:val="57"/>
        </w:numPr>
        <w:rPr>
          <w:color w:val="134753" w:themeColor="text2"/>
          <w:lang w:val="ro-RO"/>
        </w:rPr>
      </w:pPr>
      <w:r w:rsidRPr="00F171A3">
        <w:rPr>
          <w:color w:val="134753" w:themeColor="text2"/>
          <w:lang w:val="ro-RO"/>
        </w:rPr>
        <w:t>PUZ Șoseaua Pipera nr. 46D-46E-48-48 se află în etapa de avizare a proiectului, prevede realizarea unei zone mixte cu comerț, servicii (POT maxim - 45%, CUT maxim - 2,5 și H maxim - 45 m);</w:t>
      </w:r>
    </w:p>
    <w:p w14:paraId="465B4904" w14:textId="77777777" w:rsidR="00013122" w:rsidRPr="00F171A3" w:rsidRDefault="00013122">
      <w:pPr>
        <w:pStyle w:val="NormalWhite"/>
        <w:numPr>
          <w:ilvl w:val="0"/>
          <w:numId w:val="57"/>
        </w:numPr>
        <w:rPr>
          <w:color w:val="134753" w:themeColor="text2"/>
          <w:lang w:val="ro-RO"/>
        </w:rPr>
      </w:pPr>
      <w:r w:rsidRPr="00F171A3">
        <w:rPr>
          <w:color w:val="134753" w:themeColor="text2"/>
          <w:lang w:val="ro-RO"/>
        </w:rPr>
        <w:t>PUZ Dimitrie Pompeiu 5E-5F-5G-5J este aprobat, prevede realizarea de locuințe colective și funcțiuni complementare (POT maxim -  70%, CUT maxim – 4 și H maxim - 75 m);</w:t>
      </w:r>
    </w:p>
    <w:p w14:paraId="370CECFB" w14:textId="77777777" w:rsidR="00013122" w:rsidRPr="00F171A3" w:rsidRDefault="00013122">
      <w:pPr>
        <w:pStyle w:val="NormalWhite"/>
        <w:numPr>
          <w:ilvl w:val="0"/>
          <w:numId w:val="57"/>
        </w:numPr>
        <w:rPr>
          <w:color w:val="134753" w:themeColor="text2"/>
          <w:lang w:val="ro-RO"/>
        </w:rPr>
      </w:pPr>
      <w:r w:rsidRPr="00F171A3">
        <w:rPr>
          <w:color w:val="134753" w:themeColor="text2"/>
          <w:lang w:val="ro-RO"/>
        </w:rPr>
        <w:t>PUZ Pipera nr. 44 se află în etapa de avizare a proiectului, prevede realizarea de spații comerciale (POT maxim 40%, CUT maxim – 4 și H maxim - 70 m).</w:t>
      </w:r>
    </w:p>
    <w:p w14:paraId="05EC1A73" w14:textId="77777777" w:rsidR="00013122" w:rsidRPr="00F171A3" w:rsidRDefault="00013122" w:rsidP="00013122">
      <w:pPr>
        <w:keepNext/>
        <w:pBdr>
          <w:top w:val="nil"/>
          <w:left w:val="nil"/>
          <w:bottom w:val="nil"/>
          <w:right w:val="nil"/>
          <w:between w:val="nil"/>
        </w:pBdr>
        <w:rPr>
          <w:rFonts w:cstheme="minorHAnsi"/>
          <w:bCs/>
        </w:rPr>
      </w:pPr>
      <w:r w:rsidRPr="00F171A3">
        <w:rPr>
          <w:rFonts w:cstheme="minorHAnsi"/>
          <w:bCs/>
        </w:rPr>
        <w:t xml:space="preserve"> </w:t>
      </w:r>
    </w:p>
    <w:p w14:paraId="4DBF6945" w14:textId="7C9038EF" w:rsidR="00013122" w:rsidRPr="00F171A3" w:rsidRDefault="00013122" w:rsidP="00013122">
      <w:pPr>
        <w:keepNext/>
        <w:pBdr>
          <w:top w:val="nil"/>
          <w:left w:val="nil"/>
          <w:bottom w:val="nil"/>
          <w:right w:val="nil"/>
          <w:between w:val="nil"/>
        </w:pBdr>
        <w:rPr>
          <w:rFonts w:cstheme="minorHAnsi"/>
          <w:bCs/>
        </w:rPr>
      </w:pPr>
      <w:r w:rsidRPr="00F171A3">
        <w:rPr>
          <w:rFonts w:cstheme="minorHAnsi"/>
          <w:bCs/>
        </w:rPr>
        <w:t xml:space="preserve">În această situație este important de subliniat faptul că, în contextul dezvoltării unor poli integrați la nivelul capitalei, care să includă și zone de locuire (fiind susținut conceptul „orașului de 15 minute”, amintit inclusiv în cazul zonei 3 - Zona fostului stadion Automatica), trebuie să fie abordate soluții eficiente în ceea ce privește traficul, spațiile publice subdimensionate și în multe cazuri neamenajate. Se evidențiază astfel nevoia de reconfigurare/ajustare a infrastructurii și dezvoltarea dotărilor de proximitate pornind de la gabaritele actuale și cele previzionate, cu atât mai mult cu cât această zonă este una reprezentativă la nivelul capitalei. din punct de vedere.  </w:t>
      </w:r>
    </w:p>
    <w:p w14:paraId="43E52DAC" w14:textId="77777777" w:rsidR="00833D23" w:rsidRPr="00F171A3" w:rsidRDefault="00833D23" w:rsidP="00013122">
      <w:pPr>
        <w:keepNext/>
        <w:pBdr>
          <w:top w:val="nil"/>
          <w:left w:val="nil"/>
          <w:bottom w:val="nil"/>
          <w:right w:val="nil"/>
          <w:between w:val="nil"/>
        </w:pBdr>
        <w:rPr>
          <w:rFonts w:cstheme="minorHAnsi"/>
          <w:bCs/>
        </w:rPr>
      </w:pPr>
    </w:p>
    <w:p w14:paraId="43365E73" w14:textId="77777777" w:rsidR="00013122" w:rsidRPr="00F171A3" w:rsidRDefault="00013122" w:rsidP="00013122">
      <w:pPr>
        <w:keepNext/>
        <w:pBdr>
          <w:top w:val="nil"/>
          <w:left w:val="nil"/>
          <w:bottom w:val="nil"/>
          <w:right w:val="nil"/>
          <w:between w:val="nil"/>
        </w:pBdr>
        <w:rPr>
          <w:rFonts w:cstheme="minorHAnsi"/>
          <w:b/>
          <w:color w:val="134753"/>
        </w:rPr>
      </w:pPr>
      <w:r w:rsidRPr="00F171A3">
        <w:rPr>
          <w:rFonts w:cstheme="minorHAnsi"/>
          <w:b/>
          <w:color w:val="134753"/>
        </w:rPr>
        <w:t>Concluzii</w:t>
      </w:r>
    </w:p>
    <w:p w14:paraId="17D22836" w14:textId="77777777" w:rsidR="00013122" w:rsidRPr="00F171A3" w:rsidRDefault="00013122" w:rsidP="00013122">
      <w:pPr>
        <w:rPr>
          <w:rFonts w:cstheme="minorHAnsi"/>
        </w:rPr>
      </w:pPr>
      <w:r w:rsidRPr="00F171A3">
        <w:rPr>
          <w:rFonts w:cstheme="minorHAnsi"/>
        </w:rPr>
        <w:t>În concluzie, profilul spațial funcțional al Sectorului 2 este marcat de amplele cartiere de locuințe colective dezvoltate în lungul principalelor artere de circulație (Pantelimon, Iancului, Colentina, etc.). Elementele distinctive din profilul spațial funcțional ale Sectorului 2 sunt:</w:t>
      </w:r>
    </w:p>
    <w:p w14:paraId="745D6F90" w14:textId="77777777" w:rsidR="00013122" w:rsidRPr="00F171A3" w:rsidRDefault="00013122">
      <w:pPr>
        <w:numPr>
          <w:ilvl w:val="0"/>
          <w:numId w:val="42"/>
        </w:numPr>
        <w:pBdr>
          <w:top w:val="nil"/>
          <w:left w:val="nil"/>
          <w:bottom w:val="nil"/>
          <w:right w:val="nil"/>
          <w:between w:val="nil"/>
        </w:pBdr>
        <w:spacing w:after="60"/>
        <w:rPr>
          <w:rFonts w:cstheme="minorHAnsi"/>
        </w:rPr>
      </w:pPr>
      <w:r w:rsidRPr="00F171A3">
        <w:rPr>
          <w:rFonts w:cstheme="minorHAnsi"/>
          <w:color w:val="134753"/>
        </w:rPr>
        <w:t>Cea mai amplă zonă de birouri din București, aflată în continuă dezvoltare (fosta platformă industrială Pipera)</w:t>
      </w:r>
      <w:r w:rsidRPr="00F171A3">
        <w:rPr>
          <w:rFonts w:cstheme="minorHAnsi"/>
          <w:color w:val="134753"/>
          <w:vertAlign w:val="superscript"/>
        </w:rPr>
        <w:footnoteReference w:id="107"/>
      </w:r>
      <w:r w:rsidRPr="00F171A3">
        <w:rPr>
          <w:rFonts w:cstheme="minorHAnsi"/>
          <w:color w:val="134753"/>
        </w:rPr>
        <w:t>;</w:t>
      </w:r>
    </w:p>
    <w:p w14:paraId="3F8DE03F" w14:textId="77777777" w:rsidR="00013122" w:rsidRPr="00F171A3" w:rsidRDefault="00013122">
      <w:pPr>
        <w:numPr>
          <w:ilvl w:val="0"/>
          <w:numId w:val="42"/>
        </w:numPr>
        <w:pBdr>
          <w:top w:val="nil"/>
          <w:left w:val="nil"/>
          <w:bottom w:val="nil"/>
          <w:right w:val="nil"/>
          <w:between w:val="nil"/>
        </w:pBdr>
        <w:spacing w:after="60"/>
        <w:rPr>
          <w:rFonts w:cstheme="minorHAnsi"/>
        </w:rPr>
      </w:pPr>
      <w:r w:rsidRPr="00F171A3">
        <w:rPr>
          <w:rFonts w:cstheme="minorHAnsi"/>
          <w:color w:val="134753"/>
        </w:rPr>
        <w:t>Cel mai ridicat număr de baze sportive de mare amploare (ex. Stadionul Dinamo, Stadionul Național, Parcul Studențesc Tei sau Stadionul Colentina Juventus) completat de o serie de unități sportive private (ex. Complexul Sportiv Ion Țiriac);</w:t>
      </w:r>
    </w:p>
    <w:p w14:paraId="40E0B152" w14:textId="77777777" w:rsidR="00013122" w:rsidRPr="00F171A3" w:rsidRDefault="00013122">
      <w:pPr>
        <w:numPr>
          <w:ilvl w:val="0"/>
          <w:numId w:val="42"/>
        </w:numPr>
        <w:pBdr>
          <w:top w:val="nil"/>
          <w:left w:val="nil"/>
          <w:bottom w:val="nil"/>
          <w:right w:val="nil"/>
          <w:between w:val="nil"/>
        </w:pBdr>
        <w:spacing w:after="60"/>
        <w:rPr>
          <w:rFonts w:cstheme="minorHAnsi"/>
        </w:rPr>
      </w:pPr>
      <w:r w:rsidRPr="00F171A3">
        <w:rPr>
          <w:rFonts w:cstheme="minorHAnsi"/>
          <w:color w:val="134753"/>
        </w:rPr>
        <w:t>Cea mai mare parte a salbei de lacuri se află pe teritoriul Sectorului 2 aspect care face ca acesta să includă suprafețe ample de spații verzi cu rol de protecție;</w:t>
      </w:r>
    </w:p>
    <w:p w14:paraId="06FF67DE" w14:textId="77777777" w:rsidR="00013122" w:rsidRPr="00F171A3" w:rsidRDefault="00013122">
      <w:pPr>
        <w:numPr>
          <w:ilvl w:val="0"/>
          <w:numId w:val="42"/>
        </w:numPr>
        <w:pBdr>
          <w:top w:val="nil"/>
          <w:left w:val="nil"/>
          <w:bottom w:val="nil"/>
          <w:right w:val="nil"/>
          <w:between w:val="nil"/>
        </w:pBdr>
        <w:spacing w:after="60"/>
      </w:pPr>
      <w:r w:rsidRPr="00F171A3">
        <w:rPr>
          <w:rFonts w:cstheme="minorHAnsi"/>
          <w:color w:val="134753"/>
        </w:rPr>
        <w:t>Existența a numeroase rezerve de teren care în baza unor reglementări urbanistice unitare, se pot transforma în poli de dezvoltare urbană tematici (educaționali, de agrement, culturali, comerciali), reprezentativi la nivelul municipiului București.</w:t>
      </w:r>
    </w:p>
    <w:p w14:paraId="0F40514B" w14:textId="77777777" w:rsidR="00013122" w:rsidRPr="00F171A3" w:rsidRDefault="00013122" w:rsidP="00013122"/>
    <w:p w14:paraId="4A15FB45" w14:textId="77777777" w:rsidR="00833D23" w:rsidRPr="00F171A3" w:rsidRDefault="00833D23" w:rsidP="00432992">
      <w:pPr>
        <w:sectPr w:rsidR="00833D23" w:rsidRPr="00F171A3" w:rsidSect="00135952">
          <w:pgSz w:w="11907" w:h="16839" w:code="9"/>
          <w:pgMar w:top="1151" w:right="1440" w:bottom="1440" w:left="1021" w:header="709" w:footer="284" w:gutter="0"/>
          <w:cols w:space="708"/>
          <w:titlePg/>
          <w:docGrid w:linePitch="360"/>
        </w:sectPr>
      </w:pPr>
    </w:p>
    <w:p w14:paraId="77189C57" w14:textId="3FCA6057" w:rsidR="0011330B" w:rsidRPr="00F171A3" w:rsidRDefault="00000000" w:rsidP="002C4736">
      <w:pPr>
        <w:pStyle w:val="Heading3"/>
        <w:rPr>
          <w:lang w:val="ro-RO"/>
        </w:rPr>
      </w:pPr>
      <w:hyperlink w:anchor="_Toc493866725" w:history="1">
        <w:bookmarkStart w:id="250" w:name="_Toc127199284"/>
        <w:r w:rsidR="00213A2E" w:rsidRPr="00F171A3">
          <w:rPr>
            <w:lang w:val="ro-RO"/>
          </w:rPr>
          <w:t>INFRASTRUCTURĂ EDILITARĂ</w:t>
        </w:r>
        <w:bookmarkEnd w:id="250"/>
        <w:r w:rsidR="00213A2E" w:rsidRPr="00F171A3">
          <w:rPr>
            <w:webHidden/>
            <w:lang w:val="ro-RO"/>
          </w:rPr>
          <w:tab/>
        </w:r>
      </w:hyperlink>
    </w:p>
    <w:p w14:paraId="2D8DD0EB" w14:textId="687CA564" w:rsidR="003C3918" w:rsidRPr="00F171A3" w:rsidRDefault="001E0A0F" w:rsidP="001E0A0F">
      <w:pPr>
        <w:pStyle w:val="Heading4"/>
      </w:pPr>
      <w:r w:rsidRPr="00F171A3">
        <w:t>ALIMENTARE CU ENERGIE ELECTRICĂ ȘI ILUMINAT PUBLIC</w:t>
      </w:r>
    </w:p>
    <w:p w14:paraId="36C2067A" w14:textId="7BCA7E16" w:rsidR="00AC6922" w:rsidRPr="00F171A3" w:rsidRDefault="00AC6922" w:rsidP="00AC6922">
      <w:pPr>
        <w:pStyle w:val="Normal0"/>
      </w:pPr>
      <w:r w:rsidRPr="00F171A3">
        <w:t xml:space="preserve">Datele furnizate de către Agenția Națională pentru Reglementarea Energiei indică faptul că nu există surse de producere a energiei electrice cu putere electrică de peste 1 MW pe teritoriul sectorului 2 al </w:t>
      </w:r>
      <w:r w:rsidR="00DE36DE" w:rsidRPr="00F171A3">
        <w:t>m</w:t>
      </w:r>
      <w:r w:rsidRPr="00F171A3">
        <w:t>unicipiului București. Cele mai importante centrale electrice din municipiul București sunt localizate în sectoarele 6 (CET București Vest, CET Grozăvești, CET Vest-Energo), 3 (CET București Sud), 4 (CET Progresul) și 1 (CET Grivița).</w:t>
      </w:r>
    </w:p>
    <w:p w14:paraId="4C7F466B" w14:textId="77777777" w:rsidR="00AC6922" w:rsidRPr="00F171A3" w:rsidRDefault="00AC6922" w:rsidP="00AC6922">
      <w:pPr>
        <w:pStyle w:val="Normal0"/>
      </w:pPr>
      <w:r w:rsidRPr="00F171A3">
        <w:t>În ceea ce privește sistemul de transport al energiei electrice, pe teritoriul sectorului 2 se află stația de sistem 220/110 kV București Est (Fundeni), aflată în proprietatea Transelectrica. Cât privește sistemul de distribuție, pe teritoriul sectorului 2 regăsim patru stații de transformare ce asigură alimentarea cu energie electrică a consumatorilor, aflate în patrimoniul Electrica Muntenia Sud – Sucursala București - Pipera (110/20/10 kV), Mihai Bravu (110/20 kV), Obor (110/20/10 kV), Dr. Morarilor (110/10 kV) -, precum și o stație de transformare aflată în proprietatea Transelectrica (Fundeni, 110/20 kV). Teritoriul sectorului 2 este traversat de către 8 linii electrice subterane (LES) de 110 kV, din care una (Linia Fundeni – Pipera circuitul 2, în lungime de 7 km, situată în paralel cu calea ferată București - Constanța) este în stare avansată de uzură tehnică. Sistemul de distribuție de medie tensiune din sectorul 2 cuprinde și 38 de puncte de alimentare (având toate o vechime de peste 30 de ani și un grad avansat de uzură fizică și morală) și 825 de posturi de transformare (circa 90 % echipate cu echipamente vechi, necesar a fi înlocuite)</w:t>
      </w:r>
      <w:r w:rsidRPr="00F171A3">
        <w:rPr>
          <w:rStyle w:val="FootnoteReference"/>
        </w:rPr>
        <w:footnoteReference w:id="108"/>
      </w:r>
      <w:r w:rsidRPr="00F171A3">
        <w:t>.</w:t>
      </w:r>
    </w:p>
    <w:p w14:paraId="49BD5761" w14:textId="4F7B523B" w:rsidR="00AC6922" w:rsidRPr="00F171A3" w:rsidRDefault="00AC6922" w:rsidP="00AC6922">
      <w:pPr>
        <w:pStyle w:val="Normal0"/>
      </w:pPr>
      <w:r w:rsidRPr="00F171A3">
        <w:t>În anul 2019, E-Distribuție Muntenia a realizat investiții din surse proprii pentru schimbarea rețelelor de distribuție de 6 și 10 kV în linii electrice de 20 kV, inclusiv în zona Floreasca. Alte proiecte importante realizate în ultimii ani au fost noua linie electrică subterană de înaltă tensiune Fundeni – București Nord. Este planificată, de asemenea, modernizarea rețelelor de distribuție din zona Toamnei – Eminescu</w:t>
      </w:r>
      <w:r w:rsidRPr="00F171A3">
        <w:rPr>
          <w:rStyle w:val="FootnoteReference"/>
        </w:rPr>
        <w:footnoteReference w:id="109"/>
      </w:r>
      <w:r w:rsidRPr="00F171A3">
        <w:t>. Conform informațiilor transmise în mai 2022, Planul de investiții al E-Distribuție Muntenia SA pentru perioada 2019-2023 prevede modernizarea stației 110/20/10 kV Obor și lucrarea de înlocuire LES 110 kV Fundeni Pipera 2. De asemenea, planul are în vedere modernizarea și retehnologizarea posturilor de transformare și a liniilor de medie tensiune cu echipamente noi, de ultimă generație.</w:t>
      </w:r>
      <w:r w:rsidR="00E438C6">
        <w:t xml:space="preserve"> Pentru zona de nord a Sectorului 2, sunt necesare investiții pentru suplimentarea puterii disponibile dată fiind capacitatea limitată a stației Pipera de a prelua viitorii consumatori (inclusiv stațiile de încărcare pentru autovehicule electrice).</w:t>
      </w:r>
    </w:p>
    <w:p w14:paraId="7FCDFC47" w14:textId="59680722" w:rsidR="00AC6922" w:rsidRPr="00F171A3" w:rsidRDefault="00AC6922" w:rsidP="00AC6922">
      <w:pPr>
        <w:pStyle w:val="Caption"/>
      </w:pPr>
      <w:bookmarkStart w:id="251" w:name="_Toc127198076"/>
      <w:r w:rsidRPr="00F171A3">
        <w:t xml:space="preserve">Figura </w:t>
      </w:r>
      <w:r w:rsidRPr="00F171A3">
        <w:fldChar w:fldCharType="begin"/>
      </w:r>
      <w:r w:rsidRPr="00F171A3">
        <w:instrText xml:space="preserve"> SEQ Figura \* ARABIC </w:instrText>
      </w:r>
      <w:r w:rsidRPr="00F171A3">
        <w:fldChar w:fldCharType="separate"/>
      </w:r>
      <w:r w:rsidR="005A6DD8">
        <w:rPr>
          <w:noProof/>
        </w:rPr>
        <w:t>88</w:t>
      </w:r>
      <w:r w:rsidRPr="00F171A3">
        <w:fldChar w:fldCharType="end"/>
      </w:r>
      <w:r w:rsidRPr="00F171A3">
        <w:t xml:space="preserve"> Evoluția consumului de energie electrică (total și casnic, kWh) în perioada 2015-2021</w:t>
      </w:r>
      <w:bookmarkEnd w:id="251"/>
    </w:p>
    <w:p w14:paraId="1C541A0B" w14:textId="77777777" w:rsidR="00AC6922" w:rsidRPr="00F171A3" w:rsidRDefault="00AC6922" w:rsidP="00AC6922">
      <w:pPr>
        <w:pStyle w:val="Normal0"/>
        <w:jc w:val="center"/>
      </w:pPr>
      <w:r w:rsidRPr="00F171A3">
        <w:rPr>
          <w:noProof/>
        </w:rPr>
        <w:drawing>
          <wp:inline distT="0" distB="0" distL="0" distR="0" wp14:anchorId="04025612" wp14:editId="207980C4">
            <wp:extent cx="6115685" cy="2422566"/>
            <wp:effectExtent l="0" t="0" r="0" b="0"/>
            <wp:docPr id="103" name="Diagramă 32">
              <a:extLst xmlns:a="http://schemas.openxmlformats.org/drawingml/2006/main">
                <a:ext uri="{FF2B5EF4-FFF2-40B4-BE49-F238E27FC236}">
                  <a16:creationId xmlns:a16="http://schemas.microsoft.com/office/drawing/2014/main" id="{C965B05C-235F-D644-0D71-2166103274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177E159" w14:textId="77777777" w:rsidR="00AC6922" w:rsidRPr="00F171A3" w:rsidRDefault="00AC6922" w:rsidP="0046391E">
      <w:pPr>
        <w:jc w:val="right"/>
        <w:rPr>
          <w:color w:val="BFBFBF" w:themeColor="background1" w:themeShade="BF"/>
        </w:rPr>
      </w:pPr>
      <w:r w:rsidRPr="00F171A3">
        <w:rPr>
          <w:color w:val="BFBFBF" w:themeColor="background1" w:themeShade="BF"/>
        </w:rPr>
        <w:t>Sursa: Prelucrare după datele furnizate de către E-Distribuție Muntenia SA</w:t>
      </w:r>
    </w:p>
    <w:p w14:paraId="4F0D0CDD" w14:textId="77777777" w:rsidR="00AC6922" w:rsidRPr="00F171A3" w:rsidRDefault="00AC6922" w:rsidP="00AC6922">
      <w:pPr>
        <w:pStyle w:val="Normal0"/>
      </w:pPr>
      <w:r w:rsidRPr="00F171A3">
        <w:t>În perioada 2015 – 2021 numărul de clienți casnici a crescut cu 6,50 %, de la 160.737 la 171.188. În același interval de timp, numărul de clienți agenți economici a scăzut cu 4,56 %, de la 11.128 la 10.621. În ceea ce privește consumul de energie electrică, datele furnizate de către E-Distribuție Muntenia SA indică o creștere accentuată a consumului în perioada 2015 – 2017 (circa 21 %), urmată de o scădere în intervalul 2018 – 2020. În 2021, consumul total la nivelul Sectorului 2 a fost de  908.061 kWh (circa 18 % din consumul total la nivelul municipiului București). Circa 36 % din consumul total era reprezentat în anul 2021 de consumul casnic (34 % în 2015).</w:t>
      </w:r>
    </w:p>
    <w:p w14:paraId="42B36BF4" w14:textId="4ACB187D" w:rsidR="00AC6922" w:rsidRPr="00F171A3" w:rsidRDefault="00AC6922" w:rsidP="00AC6922">
      <w:pPr>
        <w:pStyle w:val="Caption"/>
      </w:pPr>
      <w:bookmarkStart w:id="252" w:name="_Toc127198077"/>
      <w:r w:rsidRPr="00F171A3">
        <w:t xml:space="preserve">Figura </w:t>
      </w:r>
      <w:r w:rsidRPr="00F171A3">
        <w:fldChar w:fldCharType="begin"/>
      </w:r>
      <w:r w:rsidRPr="00F171A3">
        <w:instrText xml:space="preserve"> SEQ Figura \* ARABIC </w:instrText>
      </w:r>
      <w:r w:rsidRPr="00F171A3">
        <w:fldChar w:fldCharType="separate"/>
      </w:r>
      <w:r w:rsidR="005A6DD8">
        <w:rPr>
          <w:noProof/>
        </w:rPr>
        <w:t>89</w:t>
      </w:r>
      <w:r w:rsidRPr="00F171A3">
        <w:fldChar w:fldCharType="end"/>
      </w:r>
      <w:r w:rsidRPr="00F171A3">
        <w:t xml:space="preserve"> Evoluția consumului de energie electrică (publice, învățământ, sănătate, kwH) în perioada 2015-2021</w:t>
      </w:r>
      <w:bookmarkEnd w:id="252"/>
    </w:p>
    <w:p w14:paraId="7841382B" w14:textId="77777777" w:rsidR="00AC6922" w:rsidRPr="00F171A3" w:rsidRDefault="00AC6922" w:rsidP="00AC6922">
      <w:pPr>
        <w:pStyle w:val="Normal0"/>
        <w:jc w:val="center"/>
      </w:pPr>
      <w:r w:rsidRPr="00F171A3">
        <w:rPr>
          <w:noProof/>
        </w:rPr>
        <w:drawing>
          <wp:inline distT="0" distB="0" distL="0" distR="0" wp14:anchorId="4153C82E" wp14:editId="159F4D47">
            <wp:extent cx="5973288" cy="2743200"/>
            <wp:effectExtent l="0" t="0" r="8890" b="0"/>
            <wp:docPr id="104" name="Diagramă 40">
              <a:extLst xmlns:a="http://schemas.openxmlformats.org/drawingml/2006/main">
                <a:ext uri="{FF2B5EF4-FFF2-40B4-BE49-F238E27FC236}">
                  <a16:creationId xmlns:a16="http://schemas.microsoft.com/office/drawing/2014/main" id="{B83B3762-282C-BF96-1124-554E33F070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7914C33A" w14:textId="77777777" w:rsidR="00AC6922" w:rsidRPr="00F171A3" w:rsidRDefault="00AC6922" w:rsidP="0046391E">
      <w:pPr>
        <w:jc w:val="right"/>
        <w:rPr>
          <w:color w:val="BFBFBF" w:themeColor="background1" w:themeShade="BF"/>
        </w:rPr>
      </w:pPr>
      <w:r w:rsidRPr="00F171A3">
        <w:rPr>
          <w:color w:val="BFBFBF" w:themeColor="background1" w:themeShade="BF"/>
        </w:rPr>
        <w:t>Sursa: Prelucrare după datele furnizate de către E-Distribuție Muntenia SA</w:t>
      </w:r>
    </w:p>
    <w:p w14:paraId="2C9280C8" w14:textId="77777777" w:rsidR="00AC6922" w:rsidRPr="00F171A3" w:rsidRDefault="00AC6922" w:rsidP="00AC6922">
      <w:pPr>
        <w:pStyle w:val="Normal0"/>
      </w:pPr>
      <w:r w:rsidRPr="00F171A3">
        <w:t xml:space="preserve">Scăderea consumului total în perioada 2020 – 2021 poate fi explicată și de reducerea activităților cauzate de pandemia Covid-19. Un exemplu în acest caz îl reprezintă consumul pentru activități de învățământ, care a scăzut de la 8.205 kWh în 2015 la 5.888 kWh în 2021. Consumul de energie electrică în sectorul public, activități de învățământ și activități din domeniul sanitar reprezenta, în 2021, 8,81 % din consumul total de energie electrică la nivelul sectorului 2.Gestionarul sistemului de iluminat public din municipiul București este Compania Municipală Iluminat Public București (din ianuarie 2020). Conform răspunsurilor primite din partea companiei la solicitările de date transmise cu ocazia elaborării prezentei strategii, 4 artere importante de circulație sunt incluse în </w:t>
      </w:r>
      <w:r w:rsidRPr="00F171A3">
        <w:rPr>
          <w:i/>
          <w:iCs/>
        </w:rPr>
        <w:t>Programul de creștere a eficienței energetice prin montarea de aparate de iluminat de tip LED pentru o perioadă de 12 luni</w:t>
      </w:r>
      <w:r w:rsidRPr="00F171A3">
        <w:t>: Șos. Colentina, Șos. Ștefan cel Mare, Șos. Mihai Bravu și str. Gherghiței (lucrare deja executată, 58 de lămpi cu sodiu 150 W fiind înlocuite cu aparate LED 79 W). Există, de asemenea, proiecte tehnice aprobate de către Primăria Municipiului București, în faza de pregătire a execuției, pentru extinderi punctuale ale sistemului de iluminat public în 13 zone din sector.</w:t>
      </w:r>
    </w:p>
    <w:p w14:paraId="0B63441D" w14:textId="51B5133C" w:rsidR="00AC6922" w:rsidRPr="00F171A3" w:rsidRDefault="00AC6922" w:rsidP="00AC6922">
      <w:r w:rsidRPr="00F171A3">
        <w:t>Dintre spațiile verzi aflate în administrarea ADP Sector 2, următoarele prezintă disfuncții în ceea ce privește asigurarea unui iluminat public corespunzător: parc</w:t>
      </w:r>
      <w:r w:rsidR="008A1AFD">
        <w:t>u</w:t>
      </w:r>
      <w:r w:rsidRPr="00F171A3">
        <w:t>rile Morarilor, Ostrov, Dobroiești, Plumbuita II și zona malului de lac Dobroiești. Pentru toate acestea, este propusă execuția de sisteme de iluminat public în bugetul anului 2022.</w:t>
      </w:r>
    </w:p>
    <w:p w14:paraId="7A38BCA3" w14:textId="77777777" w:rsidR="00AC6922" w:rsidRPr="00F171A3" w:rsidRDefault="00AC6922" w:rsidP="00AC6922">
      <w:pPr>
        <w:pStyle w:val="Normal0"/>
      </w:pPr>
      <w:r w:rsidRPr="00F171A3">
        <w:t>Conform opiniilor exprimate în cadrul chestionarului aplicat cetățenilor din sector, majoritatea respondenților (85 %) s-au declarat mulțumiți și foarte mulțumiți de alimentarea cu energie electrică. Situația este mai puțin favorabilă în cazul iluminatului public, unde doar 49,3 % dintre respondenți se declară mulțumiți și foarte mulțumiți.</w:t>
      </w:r>
    </w:p>
    <w:p w14:paraId="2101E93A" w14:textId="77777777" w:rsidR="00AC6922" w:rsidRPr="00F171A3" w:rsidRDefault="00AC6922" w:rsidP="00AC6922">
      <w:pPr>
        <w:pStyle w:val="Normal0"/>
      </w:pPr>
    </w:p>
    <w:p w14:paraId="615D1A7A" w14:textId="6300B413" w:rsidR="00AC6922" w:rsidRPr="00F171A3" w:rsidRDefault="001E0A0F" w:rsidP="001E0A0F">
      <w:pPr>
        <w:pStyle w:val="Heading4"/>
      </w:pPr>
      <w:r w:rsidRPr="00F171A3">
        <w:t>ALIMENTARE CU GAZE NATURALE</w:t>
      </w:r>
    </w:p>
    <w:p w14:paraId="4BCDB44E" w14:textId="77777777" w:rsidR="00AC6922" w:rsidRPr="00F171A3" w:rsidRDefault="00AC6922" w:rsidP="00AC6922">
      <w:pPr>
        <w:pStyle w:val="Normal0"/>
      </w:pPr>
      <w:r w:rsidRPr="00F171A3">
        <w:t xml:space="preserve">Pe teritoriul sectorului 2 al municipiului București se regăsesc următoarele componente ale schemei de generale de alimentare cu gaze naturale a municipiului București: trei stații de sector (Gherghiței, Pipera, 23 August), precum și conducte de medie presiune pe străzile Gherghiței, Șos. Pipera, Calea Călărașilor și cele din zona Maior Coravu. </w:t>
      </w:r>
    </w:p>
    <w:p w14:paraId="2D8AE316" w14:textId="77777777" w:rsidR="00AC6922" w:rsidRPr="00F171A3" w:rsidRDefault="00AC6922" w:rsidP="00AC6922">
      <w:pPr>
        <w:pStyle w:val="Normal0"/>
      </w:pPr>
      <w:r w:rsidRPr="00F171A3">
        <w:t>Lungimea totală a conductelor din OL pentru distribuția gazelor naturale, la nivelul Sectorului 2, este de circa 46,4 km. Din această lungime, pentru circa 9,18 km (aproximativ 20 % din total) sunt necesare lucrări de reabilitare sau înlocuire a rețelei. Majoritatea străzilor unde sunt necesare astfel de lucrări sunt localizate în interiorul primului inel de circulație, cele mai lungi sectoare (peste 400 m) fiind pe B-dul Pache Protopopescu (circa 1 km), Strada Fântânica (888,62 m) și Strada Ronda (475,31 m).</w:t>
      </w:r>
    </w:p>
    <w:p w14:paraId="44369929" w14:textId="77777777" w:rsidR="00AC6922" w:rsidRPr="00F171A3" w:rsidRDefault="00AC6922" w:rsidP="00AC6922">
      <w:pPr>
        <w:pStyle w:val="Normal0"/>
      </w:pPr>
      <w:r w:rsidRPr="00F171A3">
        <w:t>Conform informațiilor transmise de către Distrigaz Sud Rețele, există lucrări de extindere a sistemului de distribuție naturale, în diferite stadii, pe 66 de străzi din sector. Acestea se concentrează atât în zona peri-centrală (Cireșului, Călușei), cât și în cartiere (Ion Creangă, Baicului, Andronache, Fundeni).</w:t>
      </w:r>
    </w:p>
    <w:p w14:paraId="7D9E8F62" w14:textId="77777777" w:rsidR="00AC6922" w:rsidRPr="00F171A3" w:rsidRDefault="00AC6922" w:rsidP="00AC6922">
      <w:pPr>
        <w:pStyle w:val="Normal0"/>
      </w:pPr>
      <w:r w:rsidRPr="00F171A3">
        <w:t>În ceea ce privește rețeaua de distribuție, se remarcă următoarele disfuncționalități</w:t>
      </w:r>
      <w:r w:rsidRPr="00F171A3">
        <w:rPr>
          <w:rStyle w:val="FootnoteReference"/>
        </w:rPr>
        <w:footnoteReference w:id="110"/>
      </w:r>
      <w:r w:rsidRPr="00F171A3">
        <w:t>:</w:t>
      </w:r>
    </w:p>
    <w:p w14:paraId="46EFAC78" w14:textId="410F22DB" w:rsidR="00AC6922" w:rsidRPr="00F171A3" w:rsidRDefault="00AC6922">
      <w:pPr>
        <w:pStyle w:val="Normal0"/>
        <w:numPr>
          <w:ilvl w:val="0"/>
          <w:numId w:val="84"/>
        </w:numPr>
        <w:rPr>
          <w:color w:val="134753" w:themeColor="text2"/>
        </w:rPr>
      </w:pPr>
      <w:r w:rsidRPr="00F171A3">
        <w:rPr>
          <w:color w:val="134753" w:themeColor="text2"/>
        </w:rPr>
        <w:t>Existența unei zone cu o deservire necorespunzătoare a rețelei, în zona aflată între Șos. Gherghiței, Șos. Andronache, Șos. Colentina și Șos. Fundeni</w:t>
      </w:r>
      <w:r w:rsidR="00833D23" w:rsidRPr="00F171A3">
        <w:rPr>
          <w:color w:val="134753" w:themeColor="text2"/>
        </w:rPr>
        <w:t>;</w:t>
      </w:r>
    </w:p>
    <w:p w14:paraId="73B859D2" w14:textId="77777777" w:rsidR="00AC6922" w:rsidRPr="00F171A3" w:rsidRDefault="00AC6922">
      <w:pPr>
        <w:pStyle w:val="Normal0"/>
        <w:numPr>
          <w:ilvl w:val="0"/>
          <w:numId w:val="84"/>
        </w:numPr>
        <w:rPr>
          <w:color w:val="134753" w:themeColor="text2"/>
        </w:rPr>
      </w:pPr>
      <w:r w:rsidRPr="00F171A3">
        <w:rPr>
          <w:color w:val="134753" w:themeColor="text2"/>
        </w:rPr>
        <w:t>O zonă care funcționează în regim de presiune joasă, situată în zona centrală, între B-dul Dacia, B-dul Nicolae Bălcescu, B-dul Carol I, Str. Traian, Calea Moșilor.</w:t>
      </w:r>
    </w:p>
    <w:p w14:paraId="025AD284" w14:textId="5A6927E9" w:rsidR="00AC6922" w:rsidRPr="00F171A3" w:rsidRDefault="00AC6922" w:rsidP="00AC6922">
      <w:pPr>
        <w:pStyle w:val="Normal0"/>
      </w:pPr>
      <w:r w:rsidRPr="00F171A3">
        <w:t xml:space="preserve">Analiza datelor furnizate de </w:t>
      </w:r>
      <w:r w:rsidR="008A1AFD" w:rsidRPr="00F171A3">
        <w:t>către</w:t>
      </w:r>
      <w:r w:rsidRPr="00F171A3">
        <w:t xml:space="preserve"> Distrigaz Sud Rețele ilustrează creșterea constantă a numărului de consumatori în perioada 2015-2019 (+22,84 %, circa 13.000 noi consumatori). Creșterea este și mai importantă în rândul consumatorilor non-casnici (+44,16 %, de la 3.551 consumatori în 2015 la 5.119 în 2021). Creșterea în rândul consumatorilor casnici poate fi explicată atât prin extinderea rețelelor de distribuție a gazelor naturale în zone fără acces în trecut, cât și prin debranșarea unor locuințe de la sistemul de alimentare centralizată a energiei termice.</w:t>
      </w:r>
    </w:p>
    <w:p w14:paraId="714AC3ED" w14:textId="6C52272D" w:rsidR="00AC6922" w:rsidRPr="00F171A3" w:rsidRDefault="00AC6922" w:rsidP="00AC6922">
      <w:pPr>
        <w:pStyle w:val="Caption"/>
      </w:pPr>
      <w:bookmarkStart w:id="253" w:name="_Toc127198078"/>
      <w:r w:rsidRPr="00F171A3">
        <w:t xml:space="preserve">Figura </w:t>
      </w:r>
      <w:r w:rsidRPr="00F171A3">
        <w:fldChar w:fldCharType="begin"/>
      </w:r>
      <w:r w:rsidRPr="00F171A3">
        <w:instrText xml:space="preserve"> SEQ Figura \* ARABIC </w:instrText>
      </w:r>
      <w:r w:rsidRPr="00F171A3">
        <w:fldChar w:fldCharType="separate"/>
      </w:r>
      <w:r w:rsidR="005A6DD8">
        <w:rPr>
          <w:noProof/>
        </w:rPr>
        <w:t>90</w:t>
      </w:r>
      <w:r w:rsidRPr="00F171A3">
        <w:fldChar w:fldCharType="end"/>
      </w:r>
      <w:r w:rsidRPr="00F171A3">
        <w:t xml:space="preserve"> Evoluția numărului de consumatori de gaze naturale în perioada 2015-2021</w:t>
      </w:r>
      <w:bookmarkEnd w:id="253"/>
    </w:p>
    <w:p w14:paraId="5C4B6138" w14:textId="77777777" w:rsidR="00AC6922" w:rsidRPr="00F171A3" w:rsidRDefault="00AC6922" w:rsidP="00AC6922">
      <w:pPr>
        <w:pStyle w:val="Normal0"/>
        <w:jc w:val="center"/>
      </w:pPr>
      <w:r w:rsidRPr="00F171A3">
        <w:rPr>
          <w:noProof/>
        </w:rPr>
        <w:drawing>
          <wp:inline distT="0" distB="0" distL="0" distR="0" wp14:anchorId="3A1DA17C" wp14:editId="4874F5D2">
            <wp:extent cx="6092041" cy="2743200"/>
            <wp:effectExtent l="0" t="0" r="4445" b="0"/>
            <wp:docPr id="105" name="Chart 105">
              <a:extLst xmlns:a="http://schemas.openxmlformats.org/drawingml/2006/main">
                <a:ext uri="{FF2B5EF4-FFF2-40B4-BE49-F238E27FC236}">
                  <a16:creationId xmlns:a16="http://schemas.microsoft.com/office/drawing/2014/main" id="{B44CBFA8-ADD9-4852-82AA-280652F1FA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52DD9781" w14:textId="77777777" w:rsidR="00AC6922" w:rsidRPr="00F171A3" w:rsidRDefault="00AC6922" w:rsidP="0046391E">
      <w:pPr>
        <w:jc w:val="right"/>
        <w:rPr>
          <w:color w:val="BFBFBF" w:themeColor="background1" w:themeShade="BF"/>
        </w:rPr>
      </w:pPr>
      <w:r w:rsidRPr="00F171A3">
        <w:rPr>
          <w:color w:val="BFBFBF" w:themeColor="background1" w:themeShade="BF"/>
        </w:rPr>
        <w:t>Sursa: Prelucrare după datele furnizate de către Distrigaz Sud Rețele</w:t>
      </w:r>
    </w:p>
    <w:p w14:paraId="10B55273" w14:textId="7CB90864" w:rsidR="00AC6922" w:rsidRPr="00F171A3" w:rsidRDefault="00AC6922" w:rsidP="00AC6922">
      <w:pPr>
        <w:pStyle w:val="Normal0"/>
      </w:pPr>
      <w:r w:rsidRPr="00F171A3">
        <w:t>Această creștere este reflectată și în evoluția cantității de gaze naturale distribuite, ce a crescut cu circa 5 % în perioada 2015-2021 (+4,92 % în cazul consumatorilor casnici și +5,50 % în cazul consumatorilor non-casnici). Rata mai scăzută a creșterii cantității distribuite (comparativ cu cea a creșterii numărului de consumatori) sugerează atât ponderea mare a locuințelor individuale sau a apartamentelor singulare în rândul noilor consumatori, cât și progresul înregistrat în ceea ce privește eficientizarea energetică a locuințelor.</w:t>
      </w:r>
    </w:p>
    <w:p w14:paraId="1728C82B" w14:textId="5BA7C002" w:rsidR="00AC6922" w:rsidRPr="00F171A3" w:rsidRDefault="00AC6922" w:rsidP="00AC6922">
      <w:pPr>
        <w:pStyle w:val="Caption"/>
      </w:pPr>
      <w:bookmarkStart w:id="254" w:name="_Toc127198079"/>
      <w:r w:rsidRPr="00F171A3">
        <w:t xml:space="preserve">Figura </w:t>
      </w:r>
      <w:r w:rsidRPr="00F171A3">
        <w:fldChar w:fldCharType="begin"/>
      </w:r>
      <w:r w:rsidRPr="00F171A3">
        <w:instrText xml:space="preserve"> SEQ Figura \* ARABIC </w:instrText>
      </w:r>
      <w:r w:rsidRPr="00F171A3">
        <w:fldChar w:fldCharType="separate"/>
      </w:r>
      <w:r w:rsidR="005A6DD8">
        <w:rPr>
          <w:noProof/>
        </w:rPr>
        <w:t>91</w:t>
      </w:r>
      <w:r w:rsidRPr="00F171A3">
        <w:fldChar w:fldCharType="end"/>
      </w:r>
      <w:r w:rsidRPr="00F171A3">
        <w:t xml:space="preserve"> Evoluția cantității de gaze naturale distribuite în perioada 2015-2021 (milioane kwh)</w:t>
      </w:r>
      <w:bookmarkEnd w:id="254"/>
    </w:p>
    <w:p w14:paraId="1293CA8D" w14:textId="77777777" w:rsidR="00AC6922" w:rsidRPr="00F171A3" w:rsidRDefault="00AC6922" w:rsidP="00AC6922">
      <w:pPr>
        <w:pStyle w:val="Normal0"/>
        <w:jc w:val="center"/>
      </w:pPr>
      <w:r w:rsidRPr="00F171A3">
        <w:rPr>
          <w:noProof/>
        </w:rPr>
        <w:drawing>
          <wp:inline distT="0" distB="0" distL="0" distR="0" wp14:anchorId="40647142" wp14:editId="42D6C17B">
            <wp:extent cx="5913911" cy="2743200"/>
            <wp:effectExtent l="0" t="0" r="0" b="0"/>
            <wp:docPr id="106" name="Chart 106">
              <a:extLst xmlns:a="http://schemas.openxmlformats.org/drawingml/2006/main">
                <a:ext uri="{FF2B5EF4-FFF2-40B4-BE49-F238E27FC236}">
                  <a16:creationId xmlns:a16="http://schemas.microsoft.com/office/drawing/2014/main" id="{770B4FD2-8B6C-4C87-BBE3-4131B9DF01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4ACE4E27" w14:textId="77777777" w:rsidR="00AC6922" w:rsidRPr="00F171A3" w:rsidRDefault="00AC6922" w:rsidP="0046391E">
      <w:pPr>
        <w:jc w:val="right"/>
        <w:rPr>
          <w:color w:val="BFBFBF" w:themeColor="background1" w:themeShade="BF"/>
        </w:rPr>
      </w:pPr>
      <w:r w:rsidRPr="00F171A3">
        <w:rPr>
          <w:color w:val="BFBFBF" w:themeColor="background1" w:themeShade="BF"/>
        </w:rPr>
        <w:t>Sursa: Prelucrare după datele furnizate de către Distrigaz Sud Rețele</w:t>
      </w:r>
    </w:p>
    <w:p w14:paraId="72C41E31" w14:textId="77777777" w:rsidR="00AC6922" w:rsidRPr="00F171A3" w:rsidRDefault="00AC6922" w:rsidP="00AC6922">
      <w:pPr>
        <w:pStyle w:val="Normal0"/>
      </w:pPr>
    </w:p>
    <w:p w14:paraId="68C7348F" w14:textId="447654D9" w:rsidR="00AC6922" w:rsidRPr="00F171A3" w:rsidRDefault="001E0A0F" w:rsidP="001E0A0F">
      <w:pPr>
        <w:pStyle w:val="Heading4"/>
      </w:pPr>
      <w:r w:rsidRPr="00F171A3">
        <w:t>ALIMENTARE CU ENERGIE TERMICĂ</w:t>
      </w:r>
    </w:p>
    <w:p w14:paraId="3D384E68" w14:textId="0FA3CA65" w:rsidR="00AC6922" w:rsidRPr="00F171A3" w:rsidRDefault="00AC6922" w:rsidP="00AC6922">
      <w:pPr>
        <w:pStyle w:val="Normal0"/>
      </w:pPr>
      <w:r w:rsidRPr="00F171A3">
        <w:t xml:space="preserve">Din decembrie 2019, gestiunea rețelei de transport și distribuție a energiei termice din </w:t>
      </w:r>
      <w:r w:rsidR="00DE36DE" w:rsidRPr="00F171A3">
        <w:t>m</w:t>
      </w:r>
      <w:r w:rsidRPr="00F171A3">
        <w:t>unicipiul București a revenit companiei municipale Termoenergetica. Închiderea, în perioada 2009 – 2014, a CET Titan și CET Pipera, a condus la o disfuncție în cadrul sistemului de alimentare centralizată cu energie termică a municipiului București. Astfel, nordul și estul Bucureștiului sunt în prezent alimentate, în cea mai mare parte, de către CET Sud</w:t>
      </w:r>
      <w:r w:rsidRPr="00F171A3">
        <w:rPr>
          <w:rStyle w:val="FootnoteReference"/>
        </w:rPr>
        <w:footnoteReference w:id="111"/>
      </w:r>
      <w:r w:rsidRPr="00F171A3">
        <w:t>.</w:t>
      </w:r>
    </w:p>
    <w:p w14:paraId="3424BA4F" w14:textId="77777777" w:rsidR="00AC6922" w:rsidRPr="00F171A3" w:rsidRDefault="00AC6922" w:rsidP="00AC6922">
      <w:pPr>
        <w:pStyle w:val="Normal0"/>
      </w:pPr>
      <w:r w:rsidRPr="00F171A3">
        <w:t>Magistrala de termoficare principală ce alimentează sectorul este magistrala I Sud (ce pleacă din CET Sud), la care se adaugă magistralele V Sud (pe Șos. Mihai Bravu și Șos. Ștefan cel Mare) și III Grozăvești (pe Șos. Ștefan cel Mare). Alte rețele de transport majore de pe teritoriul sectorului sunt</w:t>
      </w:r>
      <w:r w:rsidRPr="00F171A3">
        <w:rPr>
          <w:rStyle w:val="FootnoteReference"/>
        </w:rPr>
        <w:footnoteReference w:id="112"/>
      </w:r>
      <w:r w:rsidRPr="00F171A3">
        <w:t>:</w:t>
      </w:r>
    </w:p>
    <w:p w14:paraId="000C29F7" w14:textId="77777777" w:rsidR="00AC6922" w:rsidRPr="00F171A3" w:rsidRDefault="00AC6922">
      <w:pPr>
        <w:pStyle w:val="Normal0"/>
        <w:numPr>
          <w:ilvl w:val="0"/>
          <w:numId w:val="84"/>
        </w:numPr>
        <w:rPr>
          <w:color w:val="134753" w:themeColor="text2"/>
        </w:rPr>
      </w:pPr>
      <w:r w:rsidRPr="00F171A3">
        <w:rPr>
          <w:color w:val="134753" w:themeColor="text2"/>
        </w:rPr>
        <w:t>Rețeaua Dn 600 mm pe Șos. Colentina și pe străzile Mașina de Pâine, Iuren Spandarian și Șos. Fundeni;</w:t>
      </w:r>
    </w:p>
    <w:p w14:paraId="6DB2A439" w14:textId="77777777" w:rsidR="00AC6922" w:rsidRPr="00F171A3" w:rsidRDefault="00AC6922">
      <w:pPr>
        <w:pStyle w:val="Normal0"/>
        <w:numPr>
          <w:ilvl w:val="0"/>
          <w:numId w:val="84"/>
        </w:numPr>
        <w:rPr>
          <w:color w:val="134753" w:themeColor="text2"/>
        </w:rPr>
      </w:pPr>
      <w:r w:rsidRPr="00F171A3">
        <w:rPr>
          <w:color w:val="134753" w:themeColor="text2"/>
        </w:rPr>
        <w:t>Rețeaua Dn 600 mm amplasată pe B-dul Basarabia;</w:t>
      </w:r>
    </w:p>
    <w:p w14:paraId="79530116" w14:textId="77777777" w:rsidR="00AC6922" w:rsidRPr="00F171A3" w:rsidRDefault="00AC6922">
      <w:pPr>
        <w:pStyle w:val="Normal0"/>
        <w:numPr>
          <w:ilvl w:val="0"/>
          <w:numId w:val="84"/>
        </w:numPr>
        <w:rPr>
          <w:color w:val="134753" w:themeColor="text2"/>
        </w:rPr>
      </w:pPr>
      <w:r w:rsidRPr="00F171A3">
        <w:rPr>
          <w:color w:val="134753" w:themeColor="text2"/>
        </w:rPr>
        <w:t>Rețeaua cu diamentre de 500 și 400 mm de pe Șos. Pantelimon și Șos. Iancului;</w:t>
      </w:r>
    </w:p>
    <w:p w14:paraId="005DA381" w14:textId="77777777" w:rsidR="00AC6922" w:rsidRPr="00F171A3" w:rsidRDefault="00AC6922">
      <w:pPr>
        <w:pStyle w:val="Normal0"/>
        <w:numPr>
          <w:ilvl w:val="0"/>
          <w:numId w:val="84"/>
        </w:numPr>
        <w:rPr>
          <w:color w:val="134753" w:themeColor="text2"/>
        </w:rPr>
      </w:pPr>
      <w:r w:rsidRPr="00F171A3">
        <w:rPr>
          <w:color w:val="134753" w:themeColor="text2"/>
        </w:rPr>
        <w:t>Rețeaua Dn 500 mm de pe str. Ion Maiorescu, Calea Moșilor și Str. Mântuleasa.</w:t>
      </w:r>
    </w:p>
    <w:p w14:paraId="23563EBE" w14:textId="74DFC535" w:rsidR="00AC6922" w:rsidRPr="00F171A3" w:rsidRDefault="00AC6922" w:rsidP="00AC6922">
      <w:pPr>
        <w:pStyle w:val="Normal0"/>
      </w:pPr>
      <w:r w:rsidRPr="00F171A3">
        <w:t>Prepararea agentului termic secundar se face prin intermediul schimbătoarelor de căldură din cadrul punctelor termice, de unde agentul termic este apoi distribuit către consumator prin rețelele secundare de termoficare. Rețeaua de transport (principală) și de distribuție (secundară) a energiei termice deservește toate cartierele de locuințe colective din sector (Floreasca, Tei, Colentina, Fundeni, Baicului), precum și blocurile de locuințe situate de-a lungul bulevardelor principale (Șos. Ștefan cel Mare, Șos. Mihai Bravu, Calea Moșilor) și unele cartiere de locuințe individuale (Vatra Luminoasă). Cea mai mare parte a zonei centrale și a cartierelor de locuințe individuale nu are acces la sistemul de alimentare centralizată a energiei termice.</w:t>
      </w:r>
    </w:p>
    <w:p w14:paraId="3EB1BF50" w14:textId="48FAC495" w:rsidR="00AC6922" w:rsidRPr="00F171A3" w:rsidRDefault="00AC6922" w:rsidP="00AC6922">
      <w:pPr>
        <w:pStyle w:val="Normal0"/>
      </w:pPr>
      <w:r w:rsidRPr="00F171A3">
        <w:t xml:space="preserve">O problemă cu care se confruntă întregul sistem este reprezentată de avariile înregistrate atât în cazul capacităților de producere a agentului termic, cât și în cazul </w:t>
      </w:r>
      <w:r w:rsidR="008A1AFD" w:rsidRPr="00F171A3">
        <w:t>rețelelor</w:t>
      </w:r>
      <w:r w:rsidRPr="00F171A3">
        <w:t xml:space="preserve"> principale și secundare (inclusiv puncte termice). Numărul de întreruperi ale furnizării agentului termic a crescut în ultimii ani, la fel ca și perioadele în care agentul termic nu îndeplinește parametrii normali. În lipsa unor investiții importante în reabilitarea sistemului centralizat de termoficare (circa 70-80 % din rețea are o vechime mai mare de 25 de ani, iar pierderile sunt de circa 20 % pe rețelele principale și 10 % pe cele secundare), există riscul ca acesta să devină inoperabil în următorii ani. În paralel, sunt necesare investiții în modernizarea capacităților de producere a agentului termic pentru ca acestea să respecte standardele de mediu stabilite la nivel european</w:t>
      </w:r>
      <w:r w:rsidRPr="00F171A3">
        <w:rPr>
          <w:rStyle w:val="FootnoteReference"/>
        </w:rPr>
        <w:footnoteReference w:id="113"/>
      </w:r>
      <w:r w:rsidRPr="00F171A3">
        <w:t>.</w:t>
      </w:r>
    </w:p>
    <w:p w14:paraId="147870BA" w14:textId="77777777" w:rsidR="00833D23" w:rsidRPr="00F171A3" w:rsidRDefault="00833D23" w:rsidP="00AC6922">
      <w:pPr>
        <w:pStyle w:val="Normal0"/>
      </w:pPr>
    </w:p>
    <w:p w14:paraId="44054272" w14:textId="04C0AB2A" w:rsidR="00AC6922" w:rsidRPr="00F171A3" w:rsidRDefault="001E0A0F" w:rsidP="001E0A0F">
      <w:pPr>
        <w:pStyle w:val="Heading4"/>
      </w:pPr>
      <w:r w:rsidRPr="00F171A3">
        <w:t>ALIMENTARE CU APĂ. CANALIZARE</w:t>
      </w:r>
    </w:p>
    <w:p w14:paraId="18D2D5D9" w14:textId="77777777" w:rsidR="00AC6922" w:rsidRPr="00F171A3" w:rsidRDefault="00AC6922" w:rsidP="00AC6922">
      <w:pPr>
        <w:pStyle w:val="Normal0"/>
      </w:pPr>
      <w:r w:rsidRPr="00F171A3">
        <w:t>Din anul 2000, concesionarul serviciilor de alimentare cu apă și canalizare din municipiul București este compania SC Apa Nova București SA. Întrucât capacitățile de producere a apei din surse subterane sunt puse în conservare, sursele de apă ale municipiului București sunt apele de suprafață, respectiv râurile Dâmbovița (prin stațiile de tratare a apei de la Roșu și Arcuda) și Argeș (prin stația de tratare de la Crivina). De la stațiile tratare, apa este transportată prin aducțiuni până la 20 de rezervoare de apă și 7 stații de pompare localizare în municipiul București. Sectorul 2 este deservit prin intermediul stației de pompare Nord (ce conține 3 rezervoare de apă, cu o capacitate totală de 125.000 mc), ce este alimentată prin două apeducte Dn 2200 mm cu apă de la stațiile de tratare Arcuda și Roșu.</w:t>
      </w:r>
    </w:p>
    <w:p w14:paraId="6B62B5C7" w14:textId="77777777" w:rsidR="00AC6922" w:rsidRPr="00F171A3" w:rsidRDefault="00AC6922" w:rsidP="00AC6922">
      <w:pPr>
        <w:pStyle w:val="Normal0"/>
      </w:pPr>
      <w:r w:rsidRPr="00F171A3">
        <w:t>Pe lângă stația de pompare Nord (localizată în zona Pipera), în sectorul 2 se regăsesc 9 stații de repompare a apei (SRP) pentru asigurarea presiunii în rețea, pe străzile Cheile Zănoagei, Comarnic, Luntrei, Polovraci, Ziduri Moși, Seneslav Voievod, Logofătul Dan, Hobița și Săniuței. Toate aceste stații au fost reabilitate după anul 2000. De asemenea, pentru asigurarea presiunii în punctele înalte de consum, în sector se află 61 stații de hidrofor aferente marilor ansambluri de locuințe: Ștefan cel Mare, Barbu Văcărescu, Lizeanu, Moșilor, Colentina, Vergului, Pantelimon, Iancului, Mihai Bravu, Vatra Luminoasă, B-dul Ferdinand. Pentru 38 din aceste stații de hidrofor, rețelele de înaltă presiune nu au regim de rețele publice, neputând fi astfel întreținute de către Apa Nova SA</w:t>
      </w:r>
      <w:r w:rsidRPr="00F171A3">
        <w:rPr>
          <w:rStyle w:val="FootnoteReference"/>
        </w:rPr>
        <w:footnoteReference w:id="114"/>
      </w:r>
      <w:r w:rsidRPr="00F171A3">
        <w:t>.</w:t>
      </w:r>
    </w:p>
    <w:p w14:paraId="44E48C3A" w14:textId="77777777" w:rsidR="00AC6922" w:rsidRPr="00F171A3" w:rsidRDefault="00AC6922" w:rsidP="00AC6922">
      <w:pPr>
        <w:pStyle w:val="Normal0"/>
      </w:pPr>
      <w:r w:rsidRPr="00F171A3">
        <w:t>Pe teritoriul sectorului rețeaua principală de alimentare cu apă (artere) are o lungime de 83,76 km. Rețeaua de pe arterele amplasate în exteriorul inelului Ștefan cel Mare – Mihai Bravu este realizată după 1970, în timp ce rețeaua din interiorul inelului are o vechime mult mai mare, de peste 50 de ani. De altfel, pierderile pe rețea sunt estimate ca fiind mai mari de 20 %, din cauza uzurii mari a rețelei, a vechimii acesteia și a materialelor din care este realizată</w:t>
      </w:r>
      <w:r w:rsidRPr="00F171A3">
        <w:rPr>
          <w:rStyle w:val="FootnoteReference"/>
        </w:rPr>
        <w:footnoteReference w:id="115"/>
      </w:r>
      <w:r w:rsidRPr="00F171A3">
        <w:t>. Graficul de mai jos ilustrează faptul că doar circa 33 % din rețeaua principală este alcătuită din materiale mai noi (PREMO), iar circa 29 % din rețea este realizată din fontă gri și fontă ductilă (fiind astfel destul de veche). Peste un sfert din rețeaua principală de alimentare cu apă din sector este alcătuită din oțel – având în vedere faptul că în perioada 2015 – 2019, peste 80 % dintre avarii au fost înregistrate la arterele din municipiul București realizate din oțel</w:t>
      </w:r>
      <w:r w:rsidRPr="00F171A3">
        <w:rPr>
          <w:rStyle w:val="FootnoteReference"/>
        </w:rPr>
        <w:footnoteReference w:id="116"/>
      </w:r>
      <w:r w:rsidRPr="00F171A3">
        <w:t>, sunt necesare și aici lucrări de modernizare, în special pe rețeaua principală situată de-a lungul primului inel de circulații, a B-dului Pache Protopopescu și a Șos. Iancului.</w:t>
      </w:r>
    </w:p>
    <w:p w14:paraId="0EE46D82" w14:textId="7751EAA0" w:rsidR="00AC6922" w:rsidRPr="00F171A3" w:rsidRDefault="00AC6922" w:rsidP="00AC6922">
      <w:pPr>
        <w:pStyle w:val="Caption"/>
      </w:pPr>
      <w:bookmarkStart w:id="255" w:name="_Toc127198080"/>
      <w:r w:rsidRPr="00F171A3">
        <w:t xml:space="preserve">Figura </w:t>
      </w:r>
      <w:r w:rsidRPr="00F171A3">
        <w:fldChar w:fldCharType="begin"/>
      </w:r>
      <w:r w:rsidRPr="00F171A3">
        <w:instrText xml:space="preserve"> SEQ Figura \* ARABIC </w:instrText>
      </w:r>
      <w:r w:rsidRPr="00F171A3">
        <w:fldChar w:fldCharType="separate"/>
      </w:r>
      <w:r w:rsidR="005A6DD8">
        <w:rPr>
          <w:noProof/>
        </w:rPr>
        <w:t>92</w:t>
      </w:r>
      <w:r w:rsidRPr="00F171A3">
        <w:fldChar w:fldCharType="end"/>
      </w:r>
      <w:r w:rsidRPr="00F171A3">
        <w:t xml:space="preserve"> Structura rețelei principale de alimentare cu apă, după materialul conductelor (%)</w:t>
      </w:r>
      <w:bookmarkEnd w:id="255"/>
    </w:p>
    <w:p w14:paraId="6C49BEEF" w14:textId="77777777" w:rsidR="00AC6922" w:rsidRPr="00F171A3" w:rsidRDefault="00AC6922" w:rsidP="00AC6922">
      <w:pPr>
        <w:pStyle w:val="Normal0"/>
        <w:jc w:val="center"/>
      </w:pPr>
      <w:r w:rsidRPr="00F171A3">
        <w:rPr>
          <w:noProof/>
        </w:rPr>
        <w:drawing>
          <wp:inline distT="0" distB="0" distL="0" distR="0" wp14:anchorId="566D951E" wp14:editId="44FE7518">
            <wp:extent cx="4572000" cy="2743200"/>
            <wp:effectExtent l="0" t="0" r="0" b="0"/>
            <wp:docPr id="71" name="Chart 71">
              <a:extLst xmlns:a="http://schemas.openxmlformats.org/drawingml/2006/main">
                <a:ext uri="{FF2B5EF4-FFF2-40B4-BE49-F238E27FC236}">
                  <a16:creationId xmlns:a16="http://schemas.microsoft.com/office/drawing/2014/main" id="{FF02DC58-CEC7-47DB-99A3-6FE1CAD784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642EC531" w14:textId="77777777" w:rsidR="00AC6922" w:rsidRPr="00F171A3" w:rsidRDefault="00AC6922" w:rsidP="0046391E">
      <w:pPr>
        <w:jc w:val="right"/>
        <w:rPr>
          <w:color w:val="BFBFBF" w:themeColor="background1" w:themeShade="BF"/>
        </w:rPr>
      </w:pPr>
      <w:r w:rsidRPr="00F171A3">
        <w:rPr>
          <w:color w:val="BFBFBF" w:themeColor="background1" w:themeShade="BF"/>
        </w:rPr>
        <w:t>Sursa: Prelucrare după datele din Memoriu General – PUZ Sector 2</w:t>
      </w:r>
    </w:p>
    <w:p w14:paraId="714FD811" w14:textId="5B5077FD" w:rsidR="00AC6922" w:rsidRPr="00F171A3" w:rsidRDefault="00AC6922" w:rsidP="00AC6922">
      <w:pPr>
        <w:pStyle w:val="Normal0"/>
      </w:pPr>
      <w:r w:rsidRPr="00F171A3">
        <w:t xml:space="preserve">În ceea ce privește rețeaua secundară (conducte de serviciu), lungimea acesteia pe teritoriul sectorului este de 319,71 km. Se remarcă, și în acest caz, vechimea conductelor, peste 71 % fiind realizate din fontă și fontă ductilă (materialul cel mai vulnerabil la avarii pe rețeaua secundară în perioada 2015-2019, conform studiului de utilități publice elaborat pentru SIDU București 2035) și doar 2 % din materiale mai noi (PEID). Se recomandă prioritizarea redimensionării și </w:t>
      </w:r>
      <w:r w:rsidR="008A1AFD" w:rsidRPr="00F171A3">
        <w:t>înlocuirii</w:t>
      </w:r>
      <w:r w:rsidRPr="00F171A3">
        <w:t xml:space="preserve"> rețelelor secundare de apă realizate din fontă (în interiorul primului inel de circulații și în cartierele Tei, Floreasca și Colentina).</w:t>
      </w:r>
    </w:p>
    <w:p w14:paraId="1F20FA44" w14:textId="28A1654F" w:rsidR="00AC6922" w:rsidRPr="00F171A3" w:rsidRDefault="00AC6922" w:rsidP="00833D23">
      <w:pPr>
        <w:pStyle w:val="Caption"/>
        <w:jc w:val="left"/>
      </w:pPr>
      <w:bookmarkStart w:id="256" w:name="_Toc127198081"/>
      <w:r w:rsidRPr="00F171A3">
        <w:t xml:space="preserve">Figura </w:t>
      </w:r>
      <w:r w:rsidRPr="00F171A3">
        <w:fldChar w:fldCharType="begin"/>
      </w:r>
      <w:r w:rsidRPr="00F171A3">
        <w:instrText xml:space="preserve"> SEQ Figura \* ARABIC </w:instrText>
      </w:r>
      <w:r w:rsidRPr="00F171A3">
        <w:fldChar w:fldCharType="separate"/>
      </w:r>
      <w:r w:rsidR="005A6DD8">
        <w:rPr>
          <w:noProof/>
        </w:rPr>
        <w:t>93</w:t>
      </w:r>
      <w:r w:rsidRPr="00F171A3">
        <w:fldChar w:fldCharType="end"/>
      </w:r>
      <w:r w:rsidRPr="00F171A3">
        <w:t xml:space="preserve"> Structura rețelei secundare de alimentare cu apă, după materialul conductelor (%)</w:t>
      </w:r>
      <w:bookmarkEnd w:id="256"/>
    </w:p>
    <w:p w14:paraId="4F2DC05E" w14:textId="77777777" w:rsidR="00AC6922" w:rsidRPr="00F171A3" w:rsidRDefault="00AC6922" w:rsidP="00AC6922">
      <w:pPr>
        <w:pStyle w:val="Normal0"/>
        <w:jc w:val="center"/>
      </w:pPr>
      <w:r w:rsidRPr="00F171A3">
        <w:rPr>
          <w:noProof/>
        </w:rPr>
        <w:drawing>
          <wp:inline distT="0" distB="0" distL="0" distR="0" wp14:anchorId="70DEE159" wp14:editId="3178060C">
            <wp:extent cx="4572000" cy="2743200"/>
            <wp:effectExtent l="0" t="0" r="0" b="0"/>
            <wp:docPr id="72" name="Chart 72">
              <a:extLst xmlns:a="http://schemas.openxmlformats.org/drawingml/2006/main">
                <a:ext uri="{FF2B5EF4-FFF2-40B4-BE49-F238E27FC236}">
                  <a16:creationId xmlns:a16="http://schemas.microsoft.com/office/drawing/2014/main" id="{71B491FF-4438-4A56-8A57-F7673BDDB1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2939C2CC" w14:textId="77777777" w:rsidR="00AC6922" w:rsidRPr="00F171A3" w:rsidRDefault="00AC6922" w:rsidP="0046391E">
      <w:pPr>
        <w:jc w:val="right"/>
        <w:rPr>
          <w:color w:val="BFBFBF" w:themeColor="background1" w:themeShade="BF"/>
        </w:rPr>
      </w:pPr>
      <w:r w:rsidRPr="00F171A3">
        <w:rPr>
          <w:color w:val="BFBFBF" w:themeColor="background1" w:themeShade="BF"/>
        </w:rPr>
        <w:t>Sursa: Prelucrare după datele din Memoriu General – PUZ Sector 2</w:t>
      </w:r>
    </w:p>
    <w:p w14:paraId="27F2CE1F" w14:textId="77777777" w:rsidR="00AC6922" w:rsidRPr="00F171A3" w:rsidRDefault="00AC6922" w:rsidP="00AC6922">
      <w:pPr>
        <w:pStyle w:val="Normal0"/>
      </w:pPr>
      <w:r w:rsidRPr="00F171A3">
        <w:t>Datele furnizate de Apa Nova SA în mai 2022 indică o lungime totală a tronsoanelor de rețea de apă potabilă existentă de 458,23 km.</w:t>
      </w:r>
    </w:p>
    <w:p w14:paraId="28DA5614" w14:textId="77777777" w:rsidR="00AC6922" w:rsidRPr="00F171A3" w:rsidRDefault="00AC6922" w:rsidP="00AC6922">
      <w:pPr>
        <w:pStyle w:val="Normal0"/>
      </w:pPr>
      <w:r w:rsidRPr="00F171A3">
        <w:t>Sistemul de canalizare al municipiului București se bazează pe un sistem de canale de serviciu și canale colectoare. Teritoriul sectorului 2 este străbătut de următoarele colectoare principale de canalizare, ce se descarcă toate în colectorul general reprezentat de Caseta de Ape Uzate</w:t>
      </w:r>
      <w:r w:rsidRPr="00F171A3">
        <w:rPr>
          <w:rStyle w:val="FootnoteReference"/>
        </w:rPr>
        <w:footnoteReference w:id="117"/>
      </w:r>
      <w:r w:rsidRPr="00F171A3">
        <w:t>, situată sub albia amenajată a râului Dâmbovița: canalul principal C1, ce se racordează la colectorul principal B7, colectoarele principale B4, B5, B6, B7 și dublura canalului colector B5. Pentru zona din vecinătatea râului Colentina, pe teritoriul sectorului se află 18 stații de pompare a apelor uzate. Rețeaua de colectoare principale deservește circa 80 % din suprafața totală a sectorului</w:t>
      </w:r>
      <w:r w:rsidRPr="00F171A3">
        <w:rPr>
          <w:rStyle w:val="FootnoteReference"/>
        </w:rPr>
        <w:footnoteReference w:id="118"/>
      </w:r>
      <w:r w:rsidRPr="00F171A3">
        <w:t>, cea mai mare parte a zonelor locuite fiind acoperite.</w:t>
      </w:r>
    </w:p>
    <w:p w14:paraId="5B24F66F" w14:textId="77777777" w:rsidR="00AC6922" w:rsidRPr="00F171A3" w:rsidRDefault="00AC6922" w:rsidP="00AC6922">
      <w:pPr>
        <w:pStyle w:val="Normal0"/>
      </w:pPr>
      <w:r w:rsidRPr="00F171A3">
        <w:t>Cea mai mare parte a rețelei de canalizare din sector funcționează în regim unitar. Rețeaua separată de colectare a apelor pluviale, respectiv a apelor menajere se regăsește în zone în care extinderea rețelelor s-a realizat în sistem separativ (cartierele Andronache, Tei-Toboc, Fundeni). Sistemul unitar de canalizare reprezintă o disfuncție importantă, în contextul proiectării rețelelor pentru debite corespunzătoare ploilor cu frecvența de apariție 1:1 și 1:2, al accentuării fenomenelor extreme (creșterea intensității ploilor) și al gradului ridicat de impermeabilizare a solului din municipiul București. Există posibilitatea folosirii văii Colentinei ca emisar pentru apele meteorice colectate în zona de nord a capitalei, în cazul extinderii sistemelor de colectare separată</w:t>
      </w:r>
      <w:r w:rsidRPr="00F171A3">
        <w:rPr>
          <w:rStyle w:val="FootnoteReference"/>
        </w:rPr>
        <w:footnoteReference w:id="119"/>
      </w:r>
      <w:r w:rsidRPr="00F171A3">
        <w:t>.</w:t>
      </w:r>
    </w:p>
    <w:p w14:paraId="340EF0DE" w14:textId="77777777" w:rsidR="00AC6922" w:rsidRPr="00F171A3" w:rsidRDefault="00AC6922" w:rsidP="00AC6922">
      <w:pPr>
        <w:pStyle w:val="Normal0"/>
      </w:pPr>
      <w:r w:rsidRPr="00F171A3">
        <w:t>Majoritatea canalelor de apă uzată sunt construite din beton simplu sau beton armat (localizate preponderent în zona centrală și în marile cartiere de locuit), fiind în general mai vechi de 50 de ani. Conductele din PAFSIN sau PVC se întâlnesc în zonele unde rețeaua de canalizare este mai recentă (cartierele Tei Toboc, Andronache, Ion Creangă, Fundeni)</w:t>
      </w:r>
      <w:r w:rsidRPr="00F171A3">
        <w:rPr>
          <w:rStyle w:val="FootnoteReference"/>
        </w:rPr>
        <w:footnoteReference w:id="120"/>
      </w:r>
      <w:r w:rsidRPr="00F171A3">
        <w:t>.</w:t>
      </w:r>
    </w:p>
    <w:p w14:paraId="3C3B47BF" w14:textId="77777777" w:rsidR="00AC6922" w:rsidRPr="00F171A3" w:rsidRDefault="00AC6922" w:rsidP="00AC6922">
      <w:pPr>
        <w:pStyle w:val="Normal0"/>
      </w:pPr>
      <w:r w:rsidRPr="00F171A3">
        <w:t>Datele furnizate de Apa Nova SA în mai 2022 indică o lungime totală a tronsoanelor de rețea de canalizare existentă de 443,23 km.</w:t>
      </w:r>
    </w:p>
    <w:p w14:paraId="493C2EB9" w14:textId="014AA8CE" w:rsidR="00AC6922" w:rsidRPr="00F171A3" w:rsidRDefault="00AC6922" w:rsidP="00AC6922">
      <w:pPr>
        <w:pStyle w:val="Normal0"/>
      </w:pPr>
      <w:r w:rsidRPr="00F171A3">
        <w:t xml:space="preserve">Teritoriul sectorului 2 este deservit, în cea mai mare parte de rețeaua de alimentare cu apă și canalizare, lucru confirmat de lipsa unor zone din sector care să fie incluse în proiectele de extindere a rețelelor de alimentare cu apă din cadrul Master Planului pentru furnizarea serviciilor de alimentare cu apă și canalizare în </w:t>
      </w:r>
      <w:r w:rsidR="00DE36DE" w:rsidRPr="00F171A3">
        <w:t>m</w:t>
      </w:r>
      <w:r w:rsidRPr="00F171A3">
        <w:t>unicipiul București. Dintre problemele ce au reieșit din discuția cu reprezentanții Direcției Servicii Publice a Primăriei Sectorului 2 menționăm realizarea de dezvoltări imobiliare în zone lipsite de utilități publice (de exemplu, pe str. Fabrica de Glucoză) și nevoia de reabilitare a canalizării în zona Fundeni (inundarea curților din zonă). O altă prioritate identificată, legată atât de rețelele de apă și canalizare, cât și de alte rețele tehnico-edilitare (energie electrică, iluminat public, gaze naturale, termoficare sau telecomunicații), este realizarea unei cartări digitale a tuturor rețelelor din sector și integrarea acestora într-o bază de date urbane, fapt ce ar facilita atât gestionarea, cât și prioritizarea investițiilor necesare.</w:t>
      </w:r>
    </w:p>
    <w:p w14:paraId="24D93BDC" w14:textId="6B895D91" w:rsidR="00AC6922" w:rsidRPr="00F171A3" w:rsidRDefault="00AC6922" w:rsidP="00AC6922">
      <w:pPr>
        <w:pStyle w:val="Normal0"/>
      </w:pPr>
      <w:r w:rsidRPr="00F171A3">
        <w:t>Conform opiniilor exprimate în cadrul chestionarului aplicat cetățenilor din sector, majoritatea respondenților s-au declarat mulțumiți și foarte mulțumiți de alimentarea cu apă potabilă (76,2 %), respectiv de canalizarea din sector (68,4 %).</w:t>
      </w:r>
    </w:p>
    <w:p w14:paraId="0FD78741" w14:textId="77777777" w:rsidR="00833D23" w:rsidRPr="00F171A3" w:rsidRDefault="00833D23" w:rsidP="00AC6922">
      <w:pPr>
        <w:pStyle w:val="Normal0"/>
      </w:pPr>
    </w:p>
    <w:p w14:paraId="3CDA39CB" w14:textId="39855F61" w:rsidR="00AC6922" w:rsidRPr="00F171A3" w:rsidRDefault="001E0A0F" w:rsidP="001E0A0F">
      <w:pPr>
        <w:pStyle w:val="Heading4"/>
      </w:pPr>
      <w:r w:rsidRPr="00F171A3">
        <w:t>TELECOMUNICAȚII</w:t>
      </w:r>
    </w:p>
    <w:p w14:paraId="1AE7F68B" w14:textId="77777777" w:rsidR="00AC6922" w:rsidRPr="00F171A3" w:rsidRDefault="00AC6922" w:rsidP="00AC6922">
      <w:pPr>
        <w:pStyle w:val="Normal0"/>
      </w:pPr>
      <w:r w:rsidRPr="00F171A3">
        <w:t xml:space="preserve">Rețeaua subterană de telecomunicații din București (fibră optică), gestionată de către SC NetCity Telecom SRL, acoperă în prezent majoritatea arterelor principale ale municipiului. În ultimii 3 ani, au fost realizate extinderi ale rețelei de telecomunicații pe Șos. Fundeni, Șos. Andronache, Șos. Gherase, B-dul Lacu Tei și B-dul Ghica Tei. Astfel, în prezent, majoritatea străzilor principale din sectorul 2 sunt deservite, excepție făcând Șos. Gherghiței, Str. Doamna Ghica (între Piața Delfinului și intersecția cu str. Heliade între Vii). Printre zonele nedeservite enumerăm cartierele Baicului, Ion Creangă și Andronache. </w:t>
      </w:r>
    </w:p>
    <w:p w14:paraId="4FE9E526" w14:textId="77777777" w:rsidR="00AC6922" w:rsidRPr="00F171A3" w:rsidRDefault="00AC6922" w:rsidP="00AC6922">
      <w:pPr>
        <w:pStyle w:val="Normal0"/>
      </w:pPr>
      <w:r w:rsidRPr="00F171A3">
        <w:t>Municipalitatea a realizat, în ultimii ani, acțiuni de dezafectare a cablurilor aeriene și de migrare a acestora în subteran. În majoritatea zonelor din sector, aceste acțiuni au fost deja realizate. Printre zonele cu termen de migrare al cablurilor depășit (mai 2022) se numără cartierul Tei (Str. Nada Florilor, Str. Lăptari Tei, Aleea Brașoveni, Str. Arhitect Anonescu Petre, Str. Inginerilor Tei, Str. Bălteni, Str. Berechet, Str. Dorin Pavel), zona Parcului Plumbuita și zona Str. Gherghiței – Str. Fabrica de Gheață</w:t>
      </w:r>
      <w:r w:rsidRPr="00F171A3">
        <w:rPr>
          <w:rStyle w:val="FootnoteReference"/>
        </w:rPr>
        <w:footnoteReference w:id="121"/>
      </w:r>
      <w:r w:rsidRPr="00F171A3">
        <w:t>.</w:t>
      </w:r>
    </w:p>
    <w:p w14:paraId="5B08B48D" w14:textId="546AE3D5" w:rsidR="00AC6922" w:rsidRPr="00F171A3" w:rsidRDefault="00AC6922" w:rsidP="00AC6922">
      <w:pPr>
        <w:pStyle w:val="Caption"/>
      </w:pPr>
      <w:bookmarkStart w:id="257" w:name="_Toc127198082"/>
      <w:r w:rsidRPr="00F171A3">
        <w:t xml:space="preserve">Figura </w:t>
      </w:r>
      <w:r w:rsidRPr="00F171A3">
        <w:fldChar w:fldCharType="begin"/>
      </w:r>
      <w:r w:rsidRPr="00F171A3">
        <w:instrText xml:space="preserve"> SEQ Figura \* ARABIC </w:instrText>
      </w:r>
      <w:r w:rsidRPr="00F171A3">
        <w:fldChar w:fldCharType="separate"/>
      </w:r>
      <w:r w:rsidR="005A6DD8">
        <w:rPr>
          <w:noProof/>
        </w:rPr>
        <w:t>94</w:t>
      </w:r>
      <w:r w:rsidRPr="00F171A3">
        <w:fldChar w:fldCharType="end"/>
      </w:r>
      <w:r w:rsidRPr="00F171A3">
        <w:t xml:space="preserve"> Hartă acoperire rețea NetCity (mai 2022)</w:t>
      </w:r>
      <w:bookmarkEnd w:id="257"/>
    </w:p>
    <w:p w14:paraId="78036594" w14:textId="77777777" w:rsidR="00AC6922" w:rsidRPr="00F171A3" w:rsidRDefault="00AC6922" w:rsidP="00AC6922">
      <w:pPr>
        <w:pStyle w:val="Normal0"/>
        <w:jc w:val="center"/>
      </w:pPr>
      <w:r w:rsidRPr="00F171A3">
        <w:rPr>
          <w:noProof/>
        </w:rPr>
        <w:drawing>
          <wp:inline distT="0" distB="0" distL="0" distR="0" wp14:anchorId="648CD7CB" wp14:editId="0A3F73FF">
            <wp:extent cx="5998210" cy="3397250"/>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98210" cy="3397250"/>
                    </a:xfrm>
                    <a:prstGeom prst="rect">
                      <a:avLst/>
                    </a:prstGeom>
                    <a:noFill/>
                    <a:ln>
                      <a:noFill/>
                    </a:ln>
                  </pic:spPr>
                </pic:pic>
              </a:graphicData>
            </a:graphic>
          </wp:inline>
        </w:drawing>
      </w:r>
    </w:p>
    <w:p w14:paraId="355CCF3C" w14:textId="64AFE8ED" w:rsidR="00AC6922" w:rsidRPr="00F171A3" w:rsidRDefault="00AC6922" w:rsidP="0046391E">
      <w:pPr>
        <w:jc w:val="right"/>
        <w:rPr>
          <w:color w:val="BFBFBF" w:themeColor="background1" w:themeShade="BF"/>
        </w:rPr>
      </w:pPr>
      <w:r w:rsidRPr="00F171A3">
        <w:rPr>
          <w:color w:val="BFBFBF" w:themeColor="background1" w:themeShade="BF"/>
        </w:rPr>
        <w:t xml:space="preserve">Sursa: Cf. </w:t>
      </w:r>
      <w:hyperlink r:id="rId154" w:history="1">
        <w:r w:rsidRPr="00F171A3">
          <w:rPr>
            <w:rStyle w:val="Hyperlink"/>
            <w:i/>
            <w:iCs/>
            <w:color w:val="BFBFBF" w:themeColor="background1" w:themeShade="BF"/>
          </w:rPr>
          <w:t>https://net-city.ro/acoperirea-netcity/</w:t>
        </w:r>
      </w:hyperlink>
      <w:r w:rsidRPr="00F171A3">
        <w:rPr>
          <w:color w:val="BFBFBF" w:themeColor="background1" w:themeShade="BF"/>
        </w:rPr>
        <w:t xml:space="preserve">  consultat la data de 13.05.2022</w:t>
      </w:r>
    </w:p>
    <w:p w14:paraId="4486FD00" w14:textId="77777777" w:rsidR="00AC6922" w:rsidRPr="00F171A3" w:rsidRDefault="00AC6922" w:rsidP="00AC6922">
      <w:pPr>
        <w:pStyle w:val="Normal0"/>
      </w:pPr>
      <w:r w:rsidRPr="00F171A3">
        <w:t>Întreg municipiul București este acoperit de servicii de telecomunicații 5G, oferite de către trei operatori: Vodafone, Digi și Orange</w:t>
      </w:r>
      <w:r w:rsidRPr="00F171A3">
        <w:rPr>
          <w:rStyle w:val="FootnoteReference"/>
        </w:rPr>
        <w:footnoteReference w:id="122"/>
      </w:r>
      <w:r w:rsidRPr="00F171A3">
        <w:t>. Cu toate acestea, posibilitatea accesului gratuit la conexiuni WiFi rămâne redusă în spațiile publice din sectorul 2.</w:t>
      </w:r>
    </w:p>
    <w:p w14:paraId="09A4B86D" w14:textId="5AAFAD1E" w:rsidR="00AC6922" w:rsidRPr="00F171A3" w:rsidRDefault="00AC6922" w:rsidP="00AC6922">
      <w:pPr>
        <w:pStyle w:val="Normal0"/>
      </w:pPr>
      <w:r w:rsidRPr="00F171A3">
        <w:t xml:space="preserve">Dintre serviciile publice din sector, infrastructura de telecomunicații a obținut cel mai favorabil scor în cadrul chestionarului aplicat cetățenilor din sector. Astfel, 86,6 % dintre </w:t>
      </w:r>
      <w:r w:rsidR="00C66438" w:rsidRPr="00F171A3">
        <w:t>respondenți</w:t>
      </w:r>
      <w:r w:rsidRPr="00F171A3">
        <w:t xml:space="preserve"> se declară mulțumiți și foarte mulțumiți de serviciile de telecomunicații de pe raza sectorului 2.</w:t>
      </w:r>
    </w:p>
    <w:p w14:paraId="0F43F5C2" w14:textId="77777777" w:rsidR="00AC6922" w:rsidRPr="00F171A3" w:rsidRDefault="00AC6922" w:rsidP="00AC6922">
      <w:pPr>
        <w:pStyle w:val="Normal0"/>
      </w:pPr>
    </w:p>
    <w:p w14:paraId="3D37C3E1" w14:textId="47117122" w:rsidR="00AC6922" w:rsidRPr="00F171A3" w:rsidRDefault="001E0A0F" w:rsidP="001E0A0F">
      <w:pPr>
        <w:pStyle w:val="Heading4"/>
      </w:pPr>
      <w:r w:rsidRPr="00F171A3">
        <w:t>GESTIUNEA DEȘEURILOR</w:t>
      </w:r>
    </w:p>
    <w:p w14:paraId="1F62759E" w14:textId="77777777" w:rsidR="00AC6922" w:rsidRPr="00F171A3" w:rsidRDefault="00AC6922" w:rsidP="00AC6922">
      <w:r w:rsidRPr="00F171A3">
        <w:t xml:space="preserve">Conform Planului de Gestionare al Deșeurilor din Municipiul București 2020-2025, operatorii de salubritate din sectorul 2 al municipiului București sunt SC SUPERCOM SA (pentru deșeuri menajere, similare, deșeuri din piețe, deșeuri stradale) și Administrația Domeniului Public Sector 2 (pentru deșeurile din parcuri și grădini). Pe teritoriul sectorului există, de asemenea, 75 de operatori economici autorizați pentru reciclarea și valorificarea deșeurilor, conform datelor furnizate de către APM București. </w:t>
      </w:r>
    </w:p>
    <w:p w14:paraId="1F46F0F0" w14:textId="77777777" w:rsidR="00AC6922" w:rsidRPr="00F171A3" w:rsidRDefault="00AC6922" w:rsidP="00AC6922">
      <w:pPr>
        <w:pStyle w:val="Normal0"/>
      </w:pPr>
      <w:r w:rsidRPr="00F171A3">
        <w:t xml:space="preserve">Pentru anul 2020, ținta cu privire la colectarea separată a deșeurilor menajere, stabilită ca indicator de performanță în cadrul contractului operatorului de salubritate, stipula ca până în 2020 minim 50 % din cantitatea totală de deșeuri reciclabile menajere și asimilabile generate să fie colectate separat și acceptate la o stație de sortare autorizată. Actualul contract prevede ținte ambițioase și pentru colectarea biodeșeurilor (minim 90 % din cantitate de biodeșeuri din deșeurile similare și deșeurile din piețe colectată separat și acceptată la instalațiile de digestie anaerobă în 2025). În prezent, se dorește realizare unei proceduri de achiziție publică pentru un nou contract de salubritate, care să explice clar toate îndatoririle operatorului, inclusiv cele privind activitatea de colectare selectivă a deșeurilor. </w:t>
      </w:r>
    </w:p>
    <w:p w14:paraId="7F95E60C" w14:textId="77777777" w:rsidR="00AC6922" w:rsidRPr="00F171A3" w:rsidRDefault="00AC6922" w:rsidP="00AC6922">
      <w:r w:rsidRPr="00F171A3">
        <w:t>Deșeurile municipale din București sunt depozitate în trei depozite ecologice: depozitul IRIDEX (situat în sectorul 1 al capitalei) și depozitele de la Glina și Vidra (situate în județul Ilfov). Până la depozitare, deșeurile municipale sunt gestionate prin intermediul a 8 stații de sortare, una din ele aflându-se pe teritoriul sectorului 2 (stația de pe Str. Gherghiței, operator SC SUPERCOM SA, cu o capacitate de 120.000 tone/an)</w:t>
      </w:r>
      <w:r w:rsidRPr="00F171A3">
        <w:rPr>
          <w:rStyle w:val="FootnoteReference"/>
        </w:rPr>
        <w:footnoteReference w:id="123"/>
      </w:r>
      <w:r w:rsidRPr="00F171A3">
        <w:t>. Stația de sortare funcționează însă mult sub capacitatea proiectată, cea mai mare cantitate primită înregistrându-se în anul 2020 (circa 8.364 tone), când însă și eficiența a fost una foarte redusă (circa 27 %, mult sub procentul minim de 75 % stabilit prin OUG nr. 74/2018</w:t>
      </w:r>
      <w:r w:rsidRPr="00F171A3">
        <w:rPr>
          <w:rStyle w:val="FootnoteReference"/>
        </w:rPr>
        <w:footnoteReference w:id="124"/>
      </w:r>
      <w:r w:rsidRPr="00F171A3">
        <w:t>). Majoritatea stațiilor de sortare (inclusiv stația Gherghiței) nu au contracte încheiate cu autoritățile locale de sector.</w:t>
      </w:r>
    </w:p>
    <w:p w14:paraId="34A769C6" w14:textId="6919B96F" w:rsidR="00AC6922" w:rsidRPr="00F171A3" w:rsidRDefault="00AC6922" w:rsidP="00AC6922">
      <w:r w:rsidRPr="00F171A3">
        <w:t xml:space="preserve">Din considerente de mediu, se are în vedere în continuarea posibilitatea realizării unei noi stații de sortare, menționată și în Strategia de Dezvoltare locală 2016-2025 a Sectorului 2 al </w:t>
      </w:r>
      <w:r w:rsidR="00DE36DE" w:rsidRPr="00F171A3">
        <w:t>m</w:t>
      </w:r>
      <w:r w:rsidRPr="00F171A3">
        <w:t>unicipiului București.</w:t>
      </w:r>
    </w:p>
    <w:p w14:paraId="15919DE2" w14:textId="1CBF9350" w:rsidR="00AC6922" w:rsidRPr="00F171A3" w:rsidRDefault="00AC6922" w:rsidP="00AC6922">
      <w:pPr>
        <w:pStyle w:val="Caption"/>
      </w:pPr>
      <w:bookmarkStart w:id="258" w:name="_Toc127198083"/>
      <w:r w:rsidRPr="00F171A3">
        <w:t xml:space="preserve">Figura </w:t>
      </w:r>
      <w:r w:rsidRPr="00F171A3">
        <w:fldChar w:fldCharType="begin"/>
      </w:r>
      <w:r w:rsidRPr="00F171A3">
        <w:instrText xml:space="preserve"> SEQ Figura \* ARABIC </w:instrText>
      </w:r>
      <w:r w:rsidRPr="00F171A3">
        <w:fldChar w:fldCharType="separate"/>
      </w:r>
      <w:r w:rsidR="005A6DD8">
        <w:rPr>
          <w:noProof/>
        </w:rPr>
        <w:t>95</w:t>
      </w:r>
      <w:r w:rsidRPr="00F171A3">
        <w:fldChar w:fldCharType="end"/>
      </w:r>
      <w:r w:rsidRPr="00F171A3">
        <w:t xml:space="preserve"> Cantitatea de deșeuri sortată în stația de sortare Gherghiței (2015 – 2020)</w:t>
      </w:r>
      <w:bookmarkEnd w:id="258"/>
    </w:p>
    <w:p w14:paraId="0E62AF7C" w14:textId="77777777" w:rsidR="00AC6922" w:rsidRPr="00F171A3" w:rsidRDefault="00AC6922" w:rsidP="00AC6922">
      <w:pPr>
        <w:jc w:val="center"/>
      </w:pPr>
      <w:r w:rsidRPr="00F171A3">
        <w:rPr>
          <w:noProof/>
        </w:rPr>
        <w:drawing>
          <wp:inline distT="0" distB="0" distL="0" distR="0" wp14:anchorId="3F51AAAB" wp14:editId="3B0D4254">
            <wp:extent cx="6067425" cy="2619375"/>
            <wp:effectExtent l="0" t="0" r="0" b="0"/>
            <wp:docPr id="74" name="Chart 74">
              <a:extLst xmlns:a="http://schemas.openxmlformats.org/drawingml/2006/main">
                <a:ext uri="{FF2B5EF4-FFF2-40B4-BE49-F238E27FC236}">
                  <a16:creationId xmlns:a16="http://schemas.microsoft.com/office/drawing/2014/main" id="{07FFFE04-7608-4734-892C-029F315F3F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7AF2ED5A" w14:textId="77777777" w:rsidR="00AC6922" w:rsidRPr="00F171A3" w:rsidRDefault="00AC6922" w:rsidP="0046391E">
      <w:pPr>
        <w:jc w:val="right"/>
        <w:rPr>
          <w:color w:val="BFBFBF" w:themeColor="background1" w:themeShade="BF"/>
        </w:rPr>
      </w:pPr>
      <w:r w:rsidRPr="00F171A3">
        <w:rPr>
          <w:color w:val="BFBFBF" w:themeColor="background1" w:themeShade="BF"/>
        </w:rPr>
        <w:t>Sursa: Date furnizate de către Agenția pentru Protecția Mediului București</w:t>
      </w:r>
    </w:p>
    <w:p w14:paraId="54889692" w14:textId="77777777" w:rsidR="00AC6922" w:rsidRPr="00F171A3" w:rsidRDefault="00AC6922" w:rsidP="00AC6922">
      <w:r w:rsidRPr="00F171A3">
        <w:t>Infrastructura de colectare separată a deșeurilor pentru anul 2019/2020 este una slab dezvoltată, existând doar 52 de puncte supraterane de colectare a deșeurilor reciclabile cu igloo-uri de 2,5 mc (comparativ cu sectorul 1, care avea 400 de puncte supraterane și 1.973 puncte subterane de colectare, sau cu sectorul 3, care avea 2.671 puncte supraterane și 204 puncte subterane de colectare). În ceea ce privește colectarea deșeurilor reciclabile din poartă în poartă, aceasta se realizează prin saci pentru hârtie/carton și plastic și containere pentru sticlă</w:t>
      </w:r>
      <w:r w:rsidRPr="00F171A3">
        <w:rPr>
          <w:rStyle w:val="FootnoteReference"/>
        </w:rPr>
        <w:footnoteReference w:id="125"/>
      </w:r>
      <w:r w:rsidRPr="00F171A3">
        <w:t>. În zonele de locuințe colective, deșeurile reciclabile se colectează separat în cadrul ghenelor din blocuri, însă nu există niciun sistem de monitorizare, iar campaniile de informare lipsesc. Prin urmare, gradul de impuritate ajunge să fie unul ridicat chiar și în cazul deșeurilor colectate separat.</w:t>
      </w:r>
    </w:p>
    <w:p w14:paraId="17054911" w14:textId="77777777" w:rsidR="00AC6922" w:rsidRPr="00F171A3" w:rsidRDefault="00AC6922" w:rsidP="00AC6922">
      <w:r w:rsidRPr="00F171A3">
        <w:t>Tariful pentru utilizatori casnici persoane fizice, pentru serviciul de salubritate (colectare, transport și depozitare deșeuri) din Sectorul 2, este de 437,23 lei/tonă pentru deșeurile reziduale și 576,64 lei/tonă în cazul în care deșeurile menajere sunt predate în amestec (depuse necorespunzător). În mai 2022, erau semnate 15.384 contracte pentru persoane fizice/case (63 %) și 2.403 contracte pentru asociații de bloc (93 %). Deșeurile voluminoase se colectează gratuit în fiecare săptămână, sâmbăta, cu condiția contactării operatorului de salubritate cu minim 24 de ore înainte, iar deșeurile din construcții pot fi colectate contracost (circa 400 lei pentru un container de 4 mc)</w:t>
      </w:r>
      <w:r w:rsidRPr="00F171A3">
        <w:rPr>
          <w:rStyle w:val="FootnoteReference"/>
        </w:rPr>
        <w:footnoteReference w:id="126"/>
      </w:r>
      <w:r w:rsidRPr="00F171A3">
        <w:t>.</w:t>
      </w:r>
    </w:p>
    <w:p w14:paraId="40D0C57A" w14:textId="77777777" w:rsidR="00AC6922" w:rsidRPr="00F171A3" w:rsidRDefault="00AC6922" w:rsidP="00AC6922">
      <w:r w:rsidRPr="00F171A3">
        <w:t>În anul 2021 însă, au fost colectate selectiv doar 555 de tone de deșeuri de la populație (din care 12 tone DEEE) și 859 tone de la agenții economici (din care 4,34 tone DEEE). Astfel, din totalul deșeurilor municipale colectate în 2021 (134.576,35 tone), doar 1 % au fost deșeurile colectate selectiv. De asemenea, nu au fost colectate deșeuri voluminoase (mobilier, saltele) în 2021 – vezi tabelul de mai jos.</w:t>
      </w:r>
    </w:p>
    <w:p w14:paraId="2434AAEB" w14:textId="7C957FB5" w:rsidR="00AC6922" w:rsidRPr="00F171A3" w:rsidRDefault="00AC6922" w:rsidP="00AC6922">
      <w:pPr>
        <w:pStyle w:val="Caption"/>
      </w:pPr>
      <w:bookmarkStart w:id="259" w:name="_Toc126943287"/>
      <w:r w:rsidRPr="00F171A3">
        <w:t xml:space="preserve">Tabel </w:t>
      </w:r>
      <w:r w:rsidRPr="00F171A3">
        <w:fldChar w:fldCharType="begin"/>
      </w:r>
      <w:r w:rsidRPr="00F171A3">
        <w:instrText xml:space="preserve"> SEQ Tabel \* ARABIC </w:instrText>
      </w:r>
      <w:r w:rsidRPr="00F171A3">
        <w:fldChar w:fldCharType="separate"/>
      </w:r>
      <w:r w:rsidR="005A6DD8">
        <w:rPr>
          <w:noProof/>
        </w:rPr>
        <w:t>30</w:t>
      </w:r>
      <w:r w:rsidRPr="00F171A3">
        <w:fldChar w:fldCharType="end"/>
      </w:r>
      <w:r w:rsidRPr="00F171A3">
        <w:t xml:space="preserve"> Gestionarea deșeurilor municipale în anul 2021 de către operatorul SC SUPERCOM SA</w:t>
      </w:r>
      <w:bookmarkEnd w:id="259"/>
    </w:p>
    <w:tbl>
      <w:tblPr>
        <w:tblStyle w:val="Civittatable"/>
        <w:tblW w:w="9493" w:type="dxa"/>
        <w:tblLook w:val="04A0" w:firstRow="1" w:lastRow="0" w:firstColumn="1" w:lastColumn="0" w:noHBand="0" w:noVBand="1"/>
      </w:tblPr>
      <w:tblGrid>
        <w:gridCol w:w="4957"/>
        <w:gridCol w:w="4536"/>
      </w:tblGrid>
      <w:tr w:rsidR="00AC6922" w:rsidRPr="00F171A3" w14:paraId="632D4D18" w14:textId="77777777" w:rsidTr="0046391E">
        <w:trPr>
          <w:cnfStyle w:val="100000000000" w:firstRow="1" w:lastRow="0" w:firstColumn="0" w:lastColumn="0" w:oddVBand="0" w:evenVBand="0" w:oddHBand="0" w:evenHBand="0" w:firstRowFirstColumn="0" w:firstRowLastColumn="0" w:lastRowFirstColumn="0" w:lastRowLastColumn="0"/>
          <w:trHeight w:val="334"/>
        </w:trPr>
        <w:tc>
          <w:tcPr>
            <w:tcW w:w="4957" w:type="dxa"/>
            <w:vAlign w:val="center"/>
          </w:tcPr>
          <w:p w14:paraId="138DCBCC" w14:textId="77777777" w:rsidR="00AC6922" w:rsidRPr="00F171A3" w:rsidRDefault="00AC6922" w:rsidP="00F31936">
            <w:pPr>
              <w:jc w:val="center"/>
              <w:rPr>
                <w:b/>
                <w:bCs/>
              </w:rPr>
            </w:pPr>
            <w:r w:rsidRPr="00F171A3">
              <w:rPr>
                <w:b/>
                <w:bCs/>
              </w:rPr>
              <w:t>Categorie deșeu</w:t>
            </w:r>
          </w:p>
        </w:tc>
        <w:tc>
          <w:tcPr>
            <w:tcW w:w="4536" w:type="dxa"/>
            <w:vAlign w:val="center"/>
          </w:tcPr>
          <w:p w14:paraId="41CFFD18" w14:textId="77777777" w:rsidR="00AC6922" w:rsidRPr="00F171A3" w:rsidRDefault="00AC6922" w:rsidP="00F31936">
            <w:pPr>
              <w:jc w:val="center"/>
              <w:rPr>
                <w:b/>
                <w:bCs/>
              </w:rPr>
            </w:pPr>
            <w:r w:rsidRPr="00F171A3">
              <w:rPr>
                <w:b/>
                <w:bCs/>
              </w:rPr>
              <w:t>Cantitate colectată (tone)</w:t>
            </w:r>
          </w:p>
        </w:tc>
      </w:tr>
      <w:tr w:rsidR="00AC6922" w:rsidRPr="00F171A3" w14:paraId="63EC4642" w14:textId="77777777" w:rsidTr="00F31936">
        <w:trPr>
          <w:cnfStyle w:val="000000100000" w:firstRow="0" w:lastRow="0" w:firstColumn="0" w:lastColumn="0" w:oddVBand="0" w:evenVBand="0" w:oddHBand="1" w:evenHBand="0" w:firstRowFirstColumn="0" w:firstRowLastColumn="0" w:lastRowFirstColumn="0" w:lastRowLastColumn="0"/>
          <w:trHeight w:val="70"/>
        </w:trPr>
        <w:tc>
          <w:tcPr>
            <w:tcW w:w="4957" w:type="dxa"/>
          </w:tcPr>
          <w:p w14:paraId="5BF38794" w14:textId="77777777" w:rsidR="00AC6922" w:rsidRPr="00F171A3" w:rsidRDefault="00AC6922" w:rsidP="00F31936">
            <w:r w:rsidRPr="00F171A3">
              <w:t>Deșeu menajer mixt de la populație</w:t>
            </w:r>
          </w:p>
        </w:tc>
        <w:tc>
          <w:tcPr>
            <w:tcW w:w="4536" w:type="dxa"/>
          </w:tcPr>
          <w:p w14:paraId="28A52E41" w14:textId="77777777" w:rsidR="00AC6922" w:rsidRPr="00F171A3" w:rsidRDefault="00AC6922" w:rsidP="00F31936">
            <w:pPr>
              <w:jc w:val="center"/>
            </w:pPr>
            <w:r w:rsidRPr="00F171A3">
              <w:t>91.060,34</w:t>
            </w:r>
          </w:p>
        </w:tc>
      </w:tr>
      <w:tr w:rsidR="00AC6922" w:rsidRPr="00F171A3" w14:paraId="704B4B79" w14:textId="77777777" w:rsidTr="00F31936">
        <w:trPr>
          <w:cnfStyle w:val="000000010000" w:firstRow="0" w:lastRow="0" w:firstColumn="0" w:lastColumn="0" w:oddVBand="0" w:evenVBand="0" w:oddHBand="0" w:evenHBand="1" w:firstRowFirstColumn="0" w:firstRowLastColumn="0" w:lastRowFirstColumn="0" w:lastRowLastColumn="0"/>
          <w:trHeight w:val="162"/>
        </w:trPr>
        <w:tc>
          <w:tcPr>
            <w:tcW w:w="4957" w:type="dxa"/>
          </w:tcPr>
          <w:p w14:paraId="7A503939" w14:textId="77777777" w:rsidR="00AC6922" w:rsidRPr="00F171A3" w:rsidRDefault="00AC6922" w:rsidP="00F31936">
            <w:r w:rsidRPr="00F171A3">
              <w:t>Deșeu menajer mixt de la agenți economici, instituții</w:t>
            </w:r>
          </w:p>
        </w:tc>
        <w:tc>
          <w:tcPr>
            <w:tcW w:w="4536" w:type="dxa"/>
          </w:tcPr>
          <w:p w14:paraId="72B04B72" w14:textId="77777777" w:rsidR="00AC6922" w:rsidRPr="00F171A3" w:rsidRDefault="00AC6922" w:rsidP="00F31936">
            <w:pPr>
              <w:jc w:val="center"/>
            </w:pPr>
            <w:r w:rsidRPr="00F171A3">
              <w:t>24.174,14</w:t>
            </w:r>
          </w:p>
        </w:tc>
      </w:tr>
      <w:tr w:rsidR="00AC6922" w:rsidRPr="00F171A3" w14:paraId="63E663B5" w14:textId="77777777" w:rsidTr="00F31936">
        <w:trPr>
          <w:cnfStyle w:val="000000100000" w:firstRow="0" w:lastRow="0" w:firstColumn="0" w:lastColumn="0" w:oddVBand="0" w:evenVBand="0" w:oddHBand="1" w:evenHBand="0" w:firstRowFirstColumn="0" w:firstRowLastColumn="0" w:lastRowFirstColumn="0" w:lastRowLastColumn="0"/>
          <w:trHeight w:val="70"/>
        </w:trPr>
        <w:tc>
          <w:tcPr>
            <w:tcW w:w="4957" w:type="dxa"/>
          </w:tcPr>
          <w:p w14:paraId="139B52ED" w14:textId="77777777" w:rsidR="00AC6922" w:rsidRPr="00F171A3" w:rsidRDefault="00AC6922" w:rsidP="00F31936">
            <w:r w:rsidRPr="00F171A3">
              <w:t>Deșeu din colectarea selectivă de la populație</w:t>
            </w:r>
          </w:p>
        </w:tc>
        <w:tc>
          <w:tcPr>
            <w:tcW w:w="4536" w:type="dxa"/>
          </w:tcPr>
          <w:p w14:paraId="48C90C37" w14:textId="77777777" w:rsidR="00AC6922" w:rsidRPr="00F171A3" w:rsidRDefault="00AC6922" w:rsidP="00F31936">
            <w:pPr>
              <w:jc w:val="center"/>
            </w:pPr>
            <w:r w:rsidRPr="00F171A3">
              <w:t>554,69</w:t>
            </w:r>
          </w:p>
        </w:tc>
      </w:tr>
      <w:tr w:rsidR="00AC6922" w:rsidRPr="00F171A3" w14:paraId="5D28331B" w14:textId="77777777" w:rsidTr="00F31936">
        <w:trPr>
          <w:cnfStyle w:val="000000010000" w:firstRow="0" w:lastRow="0" w:firstColumn="0" w:lastColumn="0" w:oddVBand="0" w:evenVBand="0" w:oddHBand="0" w:evenHBand="1" w:firstRowFirstColumn="0" w:firstRowLastColumn="0" w:lastRowFirstColumn="0" w:lastRowLastColumn="0"/>
          <w:trHeight w:val="131"/>
        </w:trPr>
        <w:tc>
          <w:tcPr>
            <w:tcW w:w="4957" w:type="dxa"/>
          </w:tcPr>
          <w:p w14:paraId="188C0CC5" w14:textId="77777777" w:rsidR="00AC6922" w:rsidRPr="00F171A3" w:rsidRDefault="00AC6922" w:rsidP="00F31936">
            <w:r w:rsidRPr="00F171A3">
              <w:t>Deșeu din colectarea selectivă de la agenți și instituții.</w:t>
            </w:r>
          </w:p>
        </w:tc>
        <w:tc>
          <w:tcPr>
            <w:tcW w:w="4536" w:type="dxa"/>
          </w:tcPr>
          <w:p w14:paraId="4FD29843" w14:textId="77777777" w:rsidR="00AC6922" w:rsidRPr="00F171A3" w:rsidRDefault="00AC6922" w:rsidP="00F31936">
            <w:pPr>
              <w:jc w:val="center"/>
            </w:pPr>
            <w:r w:rsidRPr="00F171A3">
              <w:t>859,24</w:t>
            </w:r>
          </w:p>
        </w:tc>
      </w:tr>
      <w:tr w:rsidR="00AC6922" w:rsidRPr="00F171A3" w14:paraId="511B968B" w14:textId="77777777" w:rsidTr="00F31936">
        <w:trPr>
          <w:cnfStyle w:val="000000100000" w:firstRow="0" w:lastRow="0" w:firstColumn="0" w:lastColumn="0" w:oddVBand="0" w:evenVBand="0" w:oddHBand="1" w:evenHBand="0" w:firstRowFirstColumn="0" w:firstRowLastColumn="0" w:lastRowFirstColumn="0" w:lastRowLastColumn="0"/>
          <w:trHeight w:val="123"/>
        </w:trPr>
        <w:tc>
          <w:tcPr>
            <w:tcW w:w="4957" w:type="dxa"/>
          </w:tcPr>
          <w:p w14:paraId="6A3D7ACF" w14:textId="77777777" w:rsidR="00AC6922" w:rsidRPr="00F171A3" w:rsidRDefault="00AC6922" w:rsidP="00F31936">
            <w:r w:rsidRPr="00F171A3">
              <w:t>Deșeuri voluminoase (mobilier, saltele etc.)</w:t>
            </w:r>
          </w:p>
        </w:tc>
        <w:tc>
          <w:tcPr>
            <w:tcW w:w="4536" w:type="dxa"/>
          </w:tcPr>
          <w:p w14:paraId="539D3588" w14:textId="77777777" w:rsidR="00AC6922" w:rsidRPr="00F171A3" w:rsidRDefault="00AC6922" w:rsidP="00F31936">
            <w:pPr>
              <w:jc w:val="center"/>
            </w:pPr>
            <w:r w:rsidRPr="00F171A3">
              <w:t>0,00</w:t>
            </w:r>
          </w:p>
        </w:tc>
      </w:tr>
      <w:tr w:rsidR="00AC6922" w:rsidRPr="00F171A3" w14:paraId="4656D800" w14:textId="77777777" w:rsidTr="00F31936">
        <w:trPr>
          <w:cnfStyle w:val="000000010000" w:firstRow="0" w:lastRow="0" w:firstColumn="0" w:lastColumn="0" w:oddVBand="0" w:evenVBand="0" w:oddHBand="0" w:evenHBand="1" w:firstRowFirstColumn="0" w:firstRowLastColumn="0" w:lastRowFirstColumn="0" w:lastRowLastColumn="0"/>
          <w:trHeight w:val="123"/>
        </w:trPr>
        <w:tc>
          <w:tcPr>
            <w:tcW w:w="4957" w:type="dxa"/>
          </w:tcPr>
          <w:p w14:paraId="2A6B412B" w14:textId="77777777" w:rsidR="00AC6922" w:rsidRPr="00F171A3" w:rsidRDefault="00AC6922" w:rsidP="00F31936">
            <w:r w:rsidRPr="00F171A3">
              <w:t>Deșeuri fără altă specificație</w:t>
            </w:r>
          </w:p>
        </w:tc>
        <w:tc>
          <w:tcPr>
            <w:tcW w:w="4536" w:type="dxa"/>
          </w:tcPr>
          <w:p w14:paraId="6FAFCCF5" w14:textId="77777777" w:rsidR="00AC6922" w:rsidRPr="00F171A3" w:rsidRDefault="00AC6922" w:rsidP="00F31936">
            <w:pPr>
              <w:jc w:val="center"/>
            </w:pPr>
            <w:r w:rsidRPr="00F171A3">
              <w:t>17.927,94</w:t>
            </w:r>
          </w:p>
        </w:tc>
      </w:tr>
      <w:tr w:rsidR="00AC6922" w:rsidRPr="00F171A3" w14:paraId="5CEA3A80" w14:textId="77777777" w:rsidTr="00F31936">
        <w:trPr>
          <w:cnfStyle w:val="000000100000" w:firstRow="0" w:lastRow="0" w:firstColumn="0" w:lastColumn="0" w:oddVBand="0" w:evenVBand="0" w:oddHBand="1" w:evenHBand="0" w:firstRowFirstColumn="0" w:firstRowLastColumn="0" w:lastRowFirstColumn="0" w:lastRowLastColumn="0"/>
          <w:trHeight w:val="123"/>
        </w:trPr>
        <w:tc>
          <w:tcPr>
            <w:tcW w:w="4957" w:type="dxa"/>
          </w:tcPr>
          <w:p w14:paraId="0CA961BA" w14:textId="77777777" w:rsidR="00AC6922" w:rsidRPr="00F171A3" w:rsidRDefault="00AC6922" w:rsidP="00F31936">
            <w:pPr>
              <w:rPr>
                <w:b/>
                <w:bCs/>
              </w:rPr>
            </w:pPr>
            <w:r w:rsidRPr="00F171A3">
              <w:rPr>
                <w:b/>
                <w:bCs/>
              </w:rPr>
              <w:t>TOTAL DEȘEU MUNICIPAL</w:t>
            </w:r>
          </w:p>
        </w:tc>
        <w:tc>
          <w:tcPr>
            <w:tcW w:w="4536" w:type="dxa"/>
          </w:tcPr>
          <w:p w14:paraId="5916DB5C" w14:textId="77777777" w:rsidR="00AC6922" w:rsidRPr="00F171A3" w:rsidRDefault="00AC6922" w:rsidP="00F31936">
            <w:pPr>
              <w:jc w:val="center"/>
              <w:rPr>
                <w:b/>
                <w:bCs/>
              </w:rPr>
            </w:pPr>
            <w:r w:rsidRPr="00F171A3">
              <w:rPr>
                <w:b/>
                <w:bCs/>
              </w:rPr>
              <w:t>134.576,35</w:t>
            </w:r>
          </w:p>
        </w:tc>
      </w:tr>
      <w:tr w:rsidR="00AC6922" w:rsidRPr="00F171A3" w14:paraId="1A080537" w14:textId="77777777" w:rsidTr="00F31936">
        <w:trPr>
          <w:cnfStyle w:val="000000010000" w:firstRow="0" w:lastRow="0" w:firstColumn="0" w:lastColumn="0" w:oddVBand="0" w:evenVBand="0" w:oddHBand="0" w:evenHBand="1" w:firstRowFirstColumn="0" w:firstRowLastColumn="0" w:lastRowFirstColumn="0" w:lastRowLastColumn="0"/>
          <w:trHeight w:val="123"/>
        </w:trPr>
        <w:tc>
          <w:tcPr>
            <w:tcW w:w="4957" w:type="dxa"/>
          </w:tcPr>
          <w:p w14:paraId="20D337CA" w14:textId="77777777" w:rsidR="00AC6922" w:rsidRPr="00F171A3" w:rsidRDefault="00AC6922" w:rsidP="00F31936">
            <w:r w:rsidRPr="00F171A3">
              <w:t>Deșeu din construcții / demolări</w:t>
            </w:r>
          </w:p>
        </w:tc>
        <w:tc>
          <w:tcPr>
            <w:tcW w:w="4536" w:type="dxa"/>
          </w:tcPr>
          <w:p w14:paraId="620FFA73" w14:textId="77777777" w:rsidR="00AC6922" w:rsidRPr="00F171A3" w:rsidRDefault="00AC6922" w:rsidP="00F31936">
            <w:pPr>
              <w:jc w:val="center"/>
            </w:pPr>
            <w:r w:rsidRPr="00F171A3">
              <w:t>3.849,52</w:t>
            </w:r>
          </w:p>
        </w:tc>
      </w:tr>
      <w:tr w:rsidR="00AC6922" w:rsidRPr="00F171A3" w14:paraId="6B41F1C7" w14:textId="77777777" w:rsidTr="00F31936">
        <w:trPr>
          <w:cnfStyle w:val="000000100000" w:firstRow="0" w:lastRow="0" w:firstColumn="0" w:lastColumn="0" w:oddVBand="0" w:evenVBand="0" w:oddHBand="1" w:evenHBand="0" w:firstRowFirstColumn="0" w:firstRowLastColumn="0" w:lastRowFirstColumn="0" w:lastRowLastColumn="0"/>
          <w:trHeight w:val="123"/>
        </w:trPr>
        <w:tc>
          <w:tcPr>
            <w:tcW w:w="4957" w:type="dxa"/>
          </w:tcPr>
          <w:p w14:paraId="40BCD6FD" w14:textId="77777777" w:rsidR="00AC6922" w:rsidRPr="00F171A3" w:rsidRDefault="00AC6922" w:rsidP="00F31936">
            <w:pPr>
              <w:rPr>
                <w:b/>
                <w:bCs/>
              </w:rPr>
            </w:pPr>
            <w:r w:rsidRPr="00F171A3">
              <w:rPr>
                <w:b/>
                <w:bCs/>
              </w:rPr>
              <w:t>TOTAL GENERAL (INCLUSIV SERVICII MUNICIPALE)</w:t>
            </w:r>
          </w:p>
        </w:tc>
        <w:tc>
          <w:tcPr>
            <w:tcW w:w="4536" w:type="dxa"/>
          </w:tcPr>
          <w:p w14:paraId="279070BE" w14:textId="77777777" w:rsidR="00AC6922" w:rsidRPr="00F171A3" w:rsidRDefault="00AC6922" w:rsidP="00F31936">
            <w:pPr>
              <w:jc w:val="center"/>
              <w:rPr>
                <w:b/>
                <w:bCs/>
              </w:rPr>
            </w:pPr>
            <w:r w:rsidRPr="00F171A3">
              <w:rPr>
                <w:b/>
                <w:bCs/>
              </w:rPr>
              <w:t>146.002,55</w:t>
            </w:r>
          </w:p>
        </w:tc>
      </w:tr>
    </w:tbl>
    <w:p w14:paraId="5BE54771" w14:textId="77777777" w:rsidR="00AC6922" w:rsidRPr="00F171A3" w:rsidRDefault="00AC6922" w:rsidP="0046391E">
      <w:pPr>
        <w:jc w:val="right"/>
        <w:rPr>
          <w:color w:val="BFBFBF" w:themeColor="background1" w:themeShade="BF"/>
        </w:rPr>
      </w:pPr>
      <w:r w:rsidRPr="00F171A3">
        <w:rPr>
          <w:color w:val="BFBFBF" w:themeColor="background1" w:themeShade="BF"/>
        </w:rPr>
        <w:t>Sursa: Date furnizate de către Direcția Servicii Publice – Primăria Sectorului 2 al Municipiului București</w:t>
      </w:r>
    </w:p>
    <w:p w14:paraId="05F2A67A" w14:textId="77777777" w:rsidR="00AC6922" w:rsidRPr="00F171A3" w:rsidRDefault="00AC6922" w:rsidP="00AC6922">
      <w:r w:rsidRPr="00F171A3">
        <w:t>De altfel, pentru toți anii analizați (2015 – 2021), ratele de colectare selectivă a deșeurilor sunt de sub 1,50 %. În perioada 2015 – 2021, cantitatea de deșeuri a crescut de la un total de 82.428,15 tone deșeuri municipale în 2015 la 134.576,35 tone în 2021 (+63 %). Prin urmare, slaba dezvoltare a sistemului de colectare selectivă a deșeurilor se reflectă în valorile foarte mici ale ratei de reciclare.</w:t>
      </w:r>
    </w:p>
    <w:p w14:paraId="48E9436D" w14:textId="77777777" w:rsidR="00AC6922" w:rsidRPr="00F171A3" w:rsidRDefault="00AC6922" w:rsidP="00AC6922">
      <w:r w:rsidRPr="00F171A3">
        <w:t>Printre problemele cu care se confruntă Primăria Sectorului 2 privind gestiunea deșeurilor enumerăm lipsa de corelare între contractele de salubritate și numărul gospodăriilor și al persoanelor (întrucât acestea nu au fost declarate corespunzător), faptul că actualul operator nu asigură servicii de salubritate în anumite zone (alei fără nume, spații din spatele blocurilor, parcări de reședință), problema disponibilității de spațiu pentru ghenele exterioare situate pe parcele retrocedate (cartierul Floreasca) sau gestiunea necorespunzătoare a deșeurilor din construcții. De asemenea, până în 2025 trebuie închise tubulaturile pentru gunoi din blocuri, fiind necesară identificarea unor soluții pentru gestiunea deșeurilor în cartierele de locuințe colective</w:t>
      </w:r>
      <w:r w:rsidRPr="00F171A3">
        <w:rPr>
          <w:rStyle w:val="FootnoteReference"/>
        </w:rPr>
        <w:footnoteReference w:id="127"/>
      </w:r>
      <w:r w:rsidRPr="00F171A3">
        <w:t>.</w:t>
      </w:r>
    </w:p>
    <w:p w14:paraId="37CC93C6" w14:textId="77777777" w:rsidR="00AC6922" w:rsidRPr="00F171A3" w:rsidRDefault="00AC6922" w:rsidP="00AC6922">
      <w:r w:rsidRPr="00F171A3">
        <w:t>Problema managementului deșeurilor la nivelul sectorului a fost subliniată și de rezultatele chestionarului aplicat cetățenilor. Astfel, doar 17,1 % dintre respondenți se declară mulțumiți și foarte mulțumiți de curățenia și managementul deșeurilor la nivelul sectorului.</w:t>
      </w:r>
    </w:p>
    <w:p w14:paraId="3E4DF157" w14:textId="4D6A6E15" w:rsidR="00AC6922" w:rsidRPr="00F171A3" w:rsidRDefault="00AC6922" w:rsidP="00AC6922">
      <w:pPr>
        <w:pStyle w:val="Caption"/>
      </w:pPr>
      <w:bookmarkStart w:id="260" w:name="_Toc127198084"/>
      <w:r w:rsidRPr="00F171A3">
        <w:t xml:space="preserve">Figura </w:t>
      </w:r>
      <w:r w:rsidRPr="00F171A3">
        <w:fldChar w:fldCharType="begin"/>
      </w:r>
      <w:r w:rsidRPr="00F171A3">
        <w:instrText xml:space="preserve"> SEQ Figura \* ARABIC </w:instrText>
      </w:r>
      <w:r w:rsidRPr="00F171A3">
        <w:fldChar w:fldCharType="separate"/>
      </w:r>
      <w:r w:rsidR="005A6DD8">
        <w:rPr>
          <w:noProof/>
        </w:rPr>
        <w:t>96</w:t>
      </w:r>
      <w:r w:rsidRPr="00F171A3">
        <w:fldChar w:fldCharType="end"/>
      </w:r>
      <w:r w:rsidRPr="00F171A3">
        <w:t xml:space="preserve"> Cantitatea de deșeuri municipale gestionată de către SC SUPERCOM SA (2015 – 2021)</w:t>
      </w:r>
      <w:bookmarkEnd w:id="260"/>
    </w:p>
    <w:p w14:paraId="4F306B59" w14:textId="77777777" w:rsidR="00AC6922" w:rsidRPr="00F171A3" w:rsidRDefault="00AC6922" w:rsidP="00AC6922">
      <w:pPr>
        <w:jc w:val="center"/>
      </w:pPr>
      <w:r w:rsidRPr="00F171A3">
        <w:rPr>
          <w:noProof/>
        </w:rPr>
        <w:drawing>
          <wp:inline distT="0" distB="0" distL="0" distR="0" wp14:anchorId="06B6730D" wp14:editId="206867BB">
            <wp:extent cx="6057900" cy="2800350"/>
            <wp:effectExtent l="0" t="0" r="0" b="0"/>
            <wp:docPr id="75" name="Chart 75">
              <a:extLst xmlns:a="http://schemas.openxmlformats.org/drawingml/2006/main">
                <a:ext uri="{FF2B5EF4-FFF2-40B4-BE49-F238E27FC236}">
                  <a16:creationId xmlns:a16="http://schemas.microsoft.com/office/drawing/2014/main" id="{35BE1B6C-0F7F-4BDD-A9A1-C5F013A7B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0F931FE2" w14:textId="77777777" w:rsidR="00AC6922" w:rsidRPr="00F171A3" w:rsidRDefault="00AC6922" w:rsidP="0046391E">
      <w:pPr>
        <w:jc w:val="right"/>
        <w:rPr>
          <w:color w:val="BFBFBF" w:themeColor="background1" w:themeShade="BF"/>
        </w:rPr>
      </w:pPr>
      <w:r w:rsidRPr="00F171A3">
        <w:rPr>
          <w:color w:val="BFBFBF" w:themeColor="background1" w:themeShade="BF"/>
        </w:rPr>
        <w:t>Sursa: Date furnizate de către Direcția Servicii Publice – Primăria Sectorului 2 al Municipiului București</w:t>
      </w:r>
    </w:p>
    <w:p w14:paraId="1A3ADFD2" w14:textId="77777777" w:rsidR="00AC6922" w:rsidRPr="00F171A3" w:rsidRDefault="00AC6922" w:rsidP="00AC6922">
      <w:r w:rsidRPr="00F171A3">
        <w:t>Planul de Gestionare al Deșeurilor din Municipiul București 2020 – 2025 include prevederi ce răspund principalelor provocări identificate anterior. Astfel, alternativa selectată în cadrul planului prevede următoarele investiții:</w:t>
      </w:r>
    </w:p>
    <w:p w14:paraId="5FA93009" w14:textId="77777777" w:rsidR="00AC6922" w:rsidRPr="00F171A3" w:rsidRDefault="00AC6922">
      <w:pPr>
        <w:pStyle w:val="Normal0"/>
        <w:numPr>
          <w:ilvl w:val="0"/>
          <w:numId w:val="84"/>
        </w:numPr>
        <w:rPr>
          <w:color w:val="134753" w:themeColor="text2"/>
        </w:rPr>
      </w:pPr>
      <w:r w:rsidRPr="00F171A3">
        <w:rPr>
          <w:color w:val="134753" w:themeColor="text2"/>
        </w:rPr>
        <w:t>Extinderea sistemului de colectare separată a deșeurilor reciclabile, pentru atingerea țintelor fiind necesară introducerea colectării separate pe 3 fracții a deșeurilor reciclabile: hârtie/carton, plastic/metal și sticlă (pentru colectare din poartă în poartă: hârtie/carton, plastic/metal);</w:t>
      </w:r>
    </w:p>
    <w:p w14:paraId="78A4C4AC" w14:textId="77777777" w:rsidR="00AC6922" w:rsidRPr="00F171A3" w:rsidRDefault="00AC6922">
      <w:pPr>
        <w:pStyle w:val="Normal0"/>
        <w:numPr>
          <w:ilvl w:val="0"/>
          <w:numId w:val="84"/>
        </w:numPr>
        <w:rPr>
          <w:color w:val="134753" w:themeColor="text2"/>
        </w:rPr>
      </w:pPr>
      <w:r w:rsidRPr="00F171A3">
        <w:rPr>
          <w:color w:val="134753" w:themeColor="text2"/>
        </w:rPr>
        <w:t>Extinderea sistemului de colectare separată a biodeșeurilor din parcuri și grădini publice;</w:t>
      </w:r>
    </w:p>
    <w:p w14:paraId="641A00E7" w14:textId="77777777" w:rsidR="00AC6922" w:rsidRPr="00F171A3" w:rsidRDefault="00AC6922">
      <w:pPr>
        <w:pStyle w:val="Normal0"/>
        <w:numPr>
          <w:ilvl w:val="0"/>
          <w:numId w:val="84"/>
        </w:numPr>
        <w:rPr>
          <w:color w:val="134753" w:themeColor="text2"/>
        </w:rPr>
      </w:pPr>
      <w:r w:rsidRPr="00F171A3">
        <w:rPr>
          <w:color w:val="134753" w:themeColor="text2"/>
        </w:rPr>
        <w:t>Implementarea sistemului de colectare separată a biodeșeurilor din deșeuri menajere, similare și din piețe;</w:t>
      </w:r>
    </w:p>
    <w:p w14:paraId="54A19906" w14:textId="77777777" w:rsidR="00AC6922" w:rsidRPr="00F171A3" w:rsidRDefault="00AC6922">
      <w:pPr>
        <w:pStyle w:val="Normal0"/>
        <w:numPr>
          <w:ilvl w:val="0"/>
          <w:numId w:val="84"/>
        </w:numPr>
        <w:rPr>
          <w:color w:val="134753" w:themeColor="text2"/>
        </w:rPr>
      </w:pPr>
      <w:r w:rsidRPr="00F171A3">
        <w:rPr>
          <w:color w:val="134753" w:themeColor="text2"/>
        </w:rPr>
        <w:t>Asigurarea capacităților de sortare pentru obținerea de material reciclabil cu randament crescut și obținerea de SRF/RDF valorificabil energetic;</w:t>
      </w:r>
    </w:p>
    <w:p w14:paraId="567865BA" w14:textId="77777777" w:rsidR="00AC6922" w:rsidRPr="00F171A3" w:rsidRDefault="00AC6922">
      <w:pPr>
        <w:pStyle w:val="Normal0"/>
        <w:numPr>
          <w:ilvl w:val="0"/>
          <w:numId w:val="84"/>
        </w:numPr>
        <w:rPr>
          <w:color w:val="134753" w:themeColor="text2"/>
        </w:rPr>
      </w:pPr>
      <w:r w:rsidRPr="00F171A3">
        <w:rPr>
          <w:color w:val="134753" w:themeColor="text2"/>
        </w:rPr>
        <w:t>Asigurarea capacităților de reciclare a biodeșeurilor colectate separat prin compostare în sistem închis și digestie anaerobă – pentru aceasta se propun 2 instalații: o instalație de compostare în sistem închis și o instalație de digestie anaerobă nouă;</w:t>
      </w:r>
    </w:p>
    <w:p w14:paraId="63E375A6" w14:textId="77777777" w:rsidR="00AC6922" w:rsidRPr="00F171A3" w:rsidRDefault="00AC6922">
      <w:pPr>
        <w:pStyle w:val="Normal0"/>
        <w:numPr>
          <w:ilvl w:val="0"/>
          <w:numId w:val="84"/>
        </w:numPr>
        <w:rPr>
          <w:color w:val="134753" w:themeColor="text2"/>
        </w:rPr>
      </w:pPr>
      <w:r w:rsidRPr="00F171A3">
        <w:rPr>
          <w:color w:val="134753" w:themeColor="text2"/>
        </w:rPr>
        <w:t>Asigurarea capacităților de tratare a deșeurilor reziduale – pentru aceasta se propun două instalații de tratare mecanică;</w:t>
      </w:r>
    </w:p>
    <w:p w14:paraId="28253C6B" w14:textId="77777777" w:rsidR="00AC6922" w:rsidRPr="00F171A3" w:rsidRDefault="00AC6922">
      <w:pPr>
        <w:pStyle w:val="Normal0"/>
        <w:numPr>
          <w:ilvl w:val="0"/>
          <w:numId w:val="84"/>
        </w:numPr>
        <w:rPr>
          <w:color w:val="134753" w:themeColor="text2"/>
        </w:rPr>
      </w:pPr>
      <w:r w:rsidRPr="00F171A3">
        <w:rPr>
          <w:color w:val="134753" w:themeColor="text2"/>
        </w:rPr>
        <w:t>Investiții pentru colectarea/valorificare deșeurilor din construcții și demolări și a altor fluxuri de deșeuri speciale – prin realizare centre civice de colectare (prin aport voluntar al populației(, precum și prin capacități de prelucrare primară (concasoare mobile, tocătoare);</w:t>
      </w:r>
    </w:p>
    <w:p w14:paraId="378BA9EA" w14:textId="77777777" w:rsidR="00AC6922" w:rsidRPr="00F171A3" w:rsidRDefault="00AC6922">
      <w:pPr>
        <w:pStyle w:val="Normal0"/>
        <w:numPr>
          <w:ilvl w:val="0"/>
          <w:numId w:val="84"/>
        </w:numPr>
        <w:rPr>
          <w:color w:val="134753" w:themeColor="text2"/>
        </w:rPr>
      </w:pPr>
      <w:r w:rsidRPr="00F171A3">
        <w:rPr>
          <w:color w:val="134753" w:themeColor="text2"/>
        </w:rPr>
        <w:t>Asigurarea capacității necesare de depozitare.</w:t>
      </w:r>
    </w:p>
    <w:p w14:paraId="3F50C0B9" w14:textId="2DB54256" w:rsidR="006E7C7D" w:rsidRPr="00F171A3" w:rsidRDefault="006E7C7D" w:rsidP="00AC6922">
      <w:pPr>
        <w:ind w:left="360"/>
      </w:pPr>
    </w:p>
    <w:p w14:paraId="6B7343DE" w14:textId="77777777" w:rsidR="008A6FAE" w:rsidRPr="00F171A3" w:rsidRDefault="008A6FAE" w:rsidP="006E7C7D">
      <w:pPr>
        <w:sectPr w:rsidR="008A6FAE" w:rsidRPr="00F171A3" w:rsidSect="00135952">
          <w:pgSz w:w="11907" w:h="16839" w:code="9"/>
          <w:pgMar w:top="1151" w:right="1440" w:bottom="1440" w:left="1021" w:header="709" w:footer="284" w:gutter="0"/>
          <w:cols w:space="708"/>
          <w:titlePg/>
          <w:docGrid w:linePitch="360"/>
        </w:sectPr>
      </w:pPr>
    </w:p>
    <w:p w14:paraId="173C182E" w14:textId="55AE7188" w:rsidR="00BF71E1" w:rsidRPr="00F171A3" w:rsidRDefault="00213A2E" w:rsidP="000379F0">
      <w:pPr>
        <w:pStyle w:val="Heading2"/>
        <w:rPr>
          <w:lang w:val="ro-RO"/>
        </w:rPr>
      </w:pPr>
      <w:bookmarkStart w:id="261" w:name="_Toc127199285"/>
      <w:r w:rsidRPr="00F171A3">
        <w:rPr>
          <w:lang w:val="ro-RO"/>
        </w:rPr>
        <w:t>MOBILITATE ȘI CONECTIVITATE</w:t>
      </w:r>
      <w:bookmarkEnd w:id="261"/>
    </w:p>
    <w:p w14:paraId="0F91AE46" w14:textId="77777777" w:rsidR="00644677" w:rsidRPr="00F171A3" w:rsidRDefault="00644677" w:rsidP="00644677">
      <w:r w:rsidRPr="00F171A3">
        <w:t xml:space="preserve">Prezentul capitol are scopul de a analiza mobilitatea și conectivitatea la nivelul Sectorului 2 al municipiului București, având ca bază situația identificată în cadrul Strategiei de Dezvoltare Locală 2016-2025, precum și corelarea cu Planul de Mobilitate Urbană București-Ilfov, respectiv Strategia Integrată de Dezvoltarea Urbană a municipiului București. Capitolul va contura astfel o actualizare a analizei realizate la nivelul anului 2016, luând în considerare premisele mobilității urbane durabile, precum și noile preocupări și priorități evidențiate la nivel european. </w:t>
      </w:r>
    </w:p>
    <w:p w14:paraId="20466026" w14:textId="03590BA1" w:rsidR="00784BFA" w:rsidRPr="00F171A3" w:rsidRDefault="00644677" w:rsidP="00644677">
      <w:r w:rsidRPr="00F171A3">
        <w:t>Analiza cuprinde întreg teritoriul administrativ al Sectorului 2, dar va evidenția inclusiv legăturile pe care sectorul le are cu restul teritoriului municipiului București, precum și cu localitățile din județul Ilfov. De asemenea, analiza va ține cont de atribuțiile pe care Primăria Sectorului 2 le are cu privire la domeniul mobilității și transportului, luând în considerare faptul că mare parte a acestor atribuții revine de drept Primăriei Municipiului București</w:t>
      </w:r>
      <w:r w:rsidRPr="00F171A3">
        <w:rPr>
          <w:rStyle w:val="FootnoteReference"/>
        </w:rPr>
        <w:footnoteReference w:id="128"/>
      </w:r>
      <w:r w:rsidRPr="00F171A3">
        <w:t>.</w:t>
      </w:r>
    </w:p>
    <w:p w14:paraId="0A1FC02A" w14:textId="75C1FCDD" w:rsidR="00644677" w:rsidRPr="00F171A3" w:rsidRDefault="003C1451" w:rsidP="00644677">
      <w:pPr>
        <w:pStyle w:val="Heading3"/>
        <w:rPr>
          <w:lang w:val="ro-RO"/>
        </w:rPr>
      </w:pPr>
      <w:bookmarkStart w:id="262" w:name="_Toc127199286"/>
      <w:r w:rsidRPr="00F171A3">
        <w:rPr>
          <w:caps w:val="0"/>
          <w:lang w:val="ro-RO"/>
        </w:rPr>
        <w:t>CONTEXT</w:t>
      </w:r>
      <w:bookmarkEnd w:id="262"/>
    </w:p>
    <w:p w14:paraId="0AB3A83D" w14:textId="77777777" w:rsidR="00644677" w:rsidRPr="00F171A3" w:rsidRDefault="00644677" w:rsidP="00644677">
      <w:r w:rsidRPr="00F171A3">
        <w:t>Sectorul 2 al municipiului București este localizat în zona de nord-est a municipiului și este conectat direct la rețeaua europeană de transport TEN-T fiind parte din coridorul Rin-Dunăre</w:t>
      </w:r>
      <w:r w:rsidRPr="00F171A3">
        <w:rPr>
          <w:rStyle w:val="FootnoteReference"/>
        </w:rPr>
        <w:footnoteReference w:id="129"/>
      </w:r>
      <w:r w:rsidRPr="00F171A3">
        <w:t xml:space="preserve">, ce asigură legătura între teritoriul național (Portul Constanța) și centre urbane importante din Europa Centrală și de Vest (capetele sunt: Frankfurt am Main / Mainz și Strasbourg). Principalele elemente de infrastructură de pe teritoriul municipiului București care aparțin acestui coridor sunt autostrăzile A1, A2, DN5, DN6, DNCB, Aeroportul Internațional Henri Coandă, precum și magistralele feroviare 300, 500, 800 și 900 împreună cu Gara de Nord. </w:t>
      </w:r>
    </w:p>
    <w:p w14:paraId="2949F332" w14:textId="77777777" w:rsidR="00644677" w:rsidRPr="00F171A3" w:rsidRDefault="00644677" w:rsidP="00644677">
      <w:r w:rsidRPr="00F171A3">
        <w:t xml:space="preserve">Legăturile Sectorului 2 cu aceste elemente de infrastructură sunt unele facile, aspect ce face ca Sectorul 2 să se bucure de o bună accesibilitate internațională. Accesul la cele 3 autostrăzi este unul bun, sectorul fiind deservit în mod direct de autostrada A3 și dispunând de timpi relativ reduși de deplasare către celelalte două autostrăzi (20-25 de minute pe cale rutieră până la intrarea pe autostradă). Legăturile cu Gara de Nord sunt unele bune, sectorul fiind deservit de linia de metrou M1, ce asigură conexiune directă cu gara, precum și de o serie de linii de transport public de suprafață (ex. 79, 182, 282), al căror traseu ajunge și la Gara de Nord. </w:t>
      </w:r>
    </w:p>
    <w:p w14:paraId="15038023" w14:textId="77777777" w:rsidR="00644677" w:rsidRPr="00F171A3" w:rsidRDefault="00644677" w:rsidP="00644677">
      <w:r w:rsidRPr="00F171A3">
        <w:t xml:space="preserve">O accesibilitate mai redusă se remarcă, totuși, în cazul Aeroportului Internațional Henri Coandă. Acesta nu poate fi accesat în mod direct prin intermediul transportului public local, fiind necesar un schimb fie între mai multe mijloace de suprafață, fie între metrou și autobuz. Începând cu anul 2020, locuitorii au la dispoziție și un tren direct între Gara de Nord și aeroport, devenind o opțiune viabilă și pentru locuitorii Sectorului 2, ce dispun de legături facile către gară, timpul de deplasare fiind astfel de cca. 1h până la aeroport. </w:t>
      </w:r>
    </w:p>
    <w:p w14:paraId="42577051" w14:textId="77777777" w:rsidR="00644677" w:rsidRPr="00F171A3" w:rsidRDefault="00644677" w:rsidP="00644677">
      <w:r w:rsidRPr="00F171A3">
        <w:t xml:space="preserve">Elementelor anterior menționate li se adaugă și aeroportul Băneasa și Gara Obor, împreună cu care este asigurată o bună accesibilitate internațională și națională a Sectorului 2. În ultimii ani Aeroportul Băneasa nu a mai operat curse de linie, fiind deschis numai pentru zboruri de tip charter și zboruri private, întrucât au fost realizate lucrări de reabilitare a terminalului de pasageri, lucrări finalizate la începutul anului 2022.. În ceea ce privește Gara Obor, aceasta se află pe teritoriul administrativ al Sectorului 2, fiind una dintre principalele gări de la nivelul municipiului. Aceasta dispune însă de un număr redus de curse zilnice, fiind în general curse orientate către sud-estul teritoriului național (județele Ialomița și Constanța). </w:t>
      </w:r>
    </w:p>
    <w:p w14:paraId="2F7CB6B5" w14:textId="77777777" w:rsidR="00644677" w:rsidRPr="00F171A3" w:rsidRDefault="00644677" w:rsidP="00644677">
      <w:r w:rsidRPr="00F171A3">
        <w:t xml:space="preserve">Din punct de vedere al accesibilității la nivel național și, în special în legătură cu localitățile învecinate, se remarcă următoarele elemente de infrastructură rutieră care asigură conectivitatea: </w:t>
      </w:r>
    </w:p>
    <w:p w14:paraId="5E7A0B14" w14:textId="77777777" w:rsidR="00644677" w:rsidRPr="00F171A3" w:rsidRDefault="00644677">
      <w:pPr>
        <w:pStyle w:val="ListParagraph"/>
        <w:numPr>
          <w:ilvl w:val="0"/>
          <w:numId w:val="95"/>
        </w:numPr>
        <w:contextualSpacing/>
        <w:rPr>
          <w:color w:val="134753" w:themeColor="text2"/>
        </w:rPr>
      </w:pPr>
      <w:r w:rsidRPr="00F171A3">
        <w:rPr>
          <w:color w:val="134753" w:themeColor="text2"/>
        </w:rPr>
        <w:t>A3 București – Ploiești;</w:t>
      </w:r>
    </w:p>
    <w:p w14:paraId="0B07E97E" w14:textId="77777777" w:rsidR="00644677" w:rsidRPr="00F171A3" w:rsidRDefault="00644677">
      <w:pPr>
        <w:pStyle w:val="ListParagraph"/>
        <w:numPr>
          <w:ilvl w:val="0"/>
          <w:numId w:val="95"/>
        </w:numPr>
        <w:contextualSpacing/>
        <w:rPr>
          <w:color w:val="134753" w:themeColor="text2"/>
        </w:rPr>
      </w:pPr>
      <w:r w:rsidRPr="00F171A3">
        <w:rPr>
          <w:color w:val="134753" w:themeColor="text2"/>
        </w:rPr>
        <w:t>DN2 București – Voluntari – Urziceni – Buzău;</w:t>
      </w:r>
    </w:p>
    <w:p w14:paraId="4995377A" w14:textId="77777777" w:rsidR="00644677" w:rsidRPr="00F171A3" w:rsidRDefault="00644677">
      <w:pPr>
        <w:pStyle w:val="ListParagraph"/>
        <w:numPr>
          <w:ilvl w:val="0"/>
          <w:numId w:val="95"/>
        </w:numPr>
        <w:contextualSpacing/>
        <w:rPr>
          <w:color w:val="134753" w:themeColor="text2"/>
        </w:rPr>
      </w:pPr>
      <w:r w:rsidRPr="00F171A3">
        <w:rPr>
          <w:color w:val="134753" w:themeColor="text2"/>
        </w:rPr>
        <w:t>DN3 București – Pantelimon – Fundulea – Călărași;</w:t>
      </w:r>
    </w:p>
    <w:p w14:paraId="7C7E1FB4" w14:textId="77777777" w:rsidR="00644677" w:rsidRPr="00F171A3" w:rsidRDefault="00644677">
      <w:pPr>
        <w:pStyle w:val="ListParagraph"/>
        <w:numPr>
          <w:ilvl w:val="0"/>
          <w:numId w:val="95"/>
        </w:numPr>
        <w:contextualSpacing/>
        <w:rPr>
          <w:color w:val="134753" w:themeColor="text2"/>
        </w:rPr>
      </w:pPr>
      <w:r w:rsidRPr="00F171A3">
        <w:rPr>
          <w:color w:val="134753" w:themeColor="text2"/>
        </w:rPr>
        <w:t>Șoseaua Andronache – DJ200 (către jud. Ilfov);</w:t>
      </w:r>
    </w:p>
    <w:p w14:paraId="0D933B2C" w14:textId="77777777" w:rsidR="00644677" w:rsidRPr="00F171A3" w:rsidRDefault="00644677">
      <w:pPr>
        <w:pStyle w:val="ListParagraph"/>
        <w:numPr>
          <w:ilvl w:val="0"/>
          <w:numId w:val="95"/>
        </w:numPr>
        <w:contextualSpacing/>
        <w:rPr>
          <w:color w:val="134753" w:themeColor="text2"/>
        </w:rPr>
      </w:pPr>
      <w:r w:rsidRPr="00F171A3">
        <w:rPr>
          <w:color w:val="134753" w:themeColor="text2"/>
        </w:rPr>
        <w:t>Șoseaua Fundeni (către jud. Ilfov);</w:t>
      </w:r>
    </w:p>
    <w:p w14:paraId="6451C759" w14:textId="77777777" w:rsidR="00644677" w:rsidRPr="00F171A3" w:rsidRDefault="00644677">
      <w:pPr>
        <w:pStyle w:val="ListParagraph"/>
        <w:numPr>
          <w:ilvl w:val="0"/>
          <w:numId w:val="95"/>
        </w:numPr>
        <w:contextualSpacing/>
        <w:rPr>
          <w:color w:val="134753" w:themeColor="text2"/>
        </w:rPr>
      </w:pPr>
      <w:r w:rsidRPr="00F171A3">
        <w:rPr>
          <w:color w:val="134753" w:themeColor="text2"/>
        </w:rPr>
        <w:t>Șoseaua Fabrica de Glucoză (către A3);</w:t>
      </w:r>
    </w:p>
    <w:p w14:paraId="30597C4C" w14:textId="77777777" w:rsidR="00644677" w:rsidRPr="00F171A3" w:rsidRDefault="00644677">
      <w:pPr>
        <w:pStyle w:val="ListParagraph"/>
        <w:numPr>
          <w:ilvl w:val="0"/>
          <w:numId w:val="95"/>
        </w:numPr>
        <w:contextualSpacing/>
        <w:rPr>
          <w:color w:val="134753" w:themeColor="text2"/>
        </w:rPr>
      </w:pPr>
      <w:r w:rsidRPr="00F171A3">
        <w:rPr>
          <w:color w:val="134753" w:themeColor="text2"/>
        </w:rPr>
        <w:t>Strada Petricani (către A3 și jud. Ilfov);</w:t>
      </w:r>
    </w:p>
    <w:p w14:paraId="740236B7" w14:textId="77777777" w:rsidR="00644677" w:rsidRPr="00F171A3" w:rsidRDefault="00644677">
      <w:pPr>
        <w:pStyle w:val="ListParagraph"/>
        <w:numPr>
          <w:ilvl w:val="0"/>
          <w:numId w:val="95"/>
        </w:numPr>
        <w:contextualSpacing/>
        <w:rPr>
          <w:color w:val="134753" w:themeColor="text2"/>
        </w:rPr>
      </w:pPr>
      <w:r w:rsidRPr="00F171A3">
        <w:rPr>
          <w:color w:val="134753" w:themeColor="text2"/>
        </w:rPr>
        <w:t>Str. Barbu Văcărescu (către Sectorul 1 și DN1 către Ploiești – Brașov).</w:t>
      </w:r>
    </w:p>
    <w:p w14:paraId="13F9F2C9" w14:textId="77777777" w:rsidR="00644677" w:rsidRPr="00F171A3" w:rsidRDefault="00644677" w:rsidP="00644677">
      <w:r w:rsidRPr="00F171A3">
        <w:t>Cele mai ridicate volume de trafic din zona periurbană intră în Sectorul 2 prin intermediul drumurilor naționale DN2 și DN3 și a drumurilor județene DJ200 și DJ08, acestea colectând un număr ridicat de navetiști din localitățile Voluntari, Pantelimon și Dobroești. Fluxuri importante de trafic sunt concentrate și pe autostrada A3, aceasta concentrând fluxuri de pe parcursul traseului București – Ploiești. După intersecția cu DNCB însă nivelul de serviciu al arterelor care preiau traficul de pe principalele conexiuni rutiere în teritoriu ale Sectorului 2 este unul foarte scăzut (Nivel F – Congestionat).</w:t>
      </w:r>
    </w:p>
    <w:p w14:paraId="49007869" w14:textId="468FBE0A" w:rsidR="00644677" w:rsidRPr="00F171A3" w:rsidRDefault="00644677" w:rsidP="00644677">
      <w:pPr>
        <w:pStyle w:val="Caption"/>
      </w:pPr>
      <w:bookmarkStart w:id="263" w:name="_Toc127198085"/>
      <w:r w:rsidRPr="00F171A3">
        <w:t xml:space="preserve">Figura </w:t>
      </w:r>
      <w:r w:rsidRPr="00F171A3">
        <w:fldChar w:fldCharType="begin"/>
      </w:r>
      <w:r w:rsidRPr="00F171A3">
        <w:instrText xml:space="preserve"> SEQ Figura \* ARABIC </w:instrText>
      </w:r>
      <w:r w:rsidRPr="00F171A3">
        <w:fldChar w:fldCharType="separate"/>
      </w:r>
      <w:r w:rsidR="005A6DD8">
        <w:rPr>
          <w:noProof/>
        </w:rPr>
        <w:t>97</w:t>
      </w:r>
      <w:r w:rsidRPr="00F171A3">
        <w:fldChar w:fldCharType="end"/>
      </w:r>
      <w:r w:rsidRPr="00F171A3">
        <w:t xml:space="preserve"> Nivelul de serviciu pe centura existentă și drumurile radiale</w:t>
      </w:r>
      <w:bookmarkEnd w:id="263"/>
    </w:p>
    <w:p w14:paraId="3218237F" w14:textId="77777777" w:rsidR="00644677" w:rsidRPr="00F171A3" w:rsidRDefault="00644677" w:rsidP="00644677">
      <w:r w:rsidRPr="00F171A3">
        <w:rPr>
          <w:noProof/>
        </w:rPr>
        <w:drawing>
          <wp:inline distT="0" distB="0" distL="0" distR="0" wp14:anchorId="7E1C75C5" wp14:editId="24DF0067">
            <wp:extent cx="5943600" cy="4358640"/>
            <wp:effectExtent l="0" t="0" r="0" b="3810"/>
            <wp:docPr id="158" name="Picture 1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7" descr="Map&#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4358640"/>
                    </a:xfrm>
                    <a:prstGeom prst="rect">
                      <a:avLst/>
                    </a:prstGeom>
                    <a:noFill/>
                    <a:ln>
                      <a:noFill/>
                    </a:ln>
                  </pic:spPr>
                </pic:pic>
              </a:graphicData>
            </a:graphic>
          </wp:inline>
        </w:drawing>
      </w:r>
    </w:p>
    <w:p w14:paraId="63168053" w14:textId="77777777" w:rsidR="00644677" w:rsidRPr="00F171A3" w:rsidRDefault="00644677" w:rsidP="0046391E">
      <w:pPr>
        <w:jc w:val="right"/>
        <w:rPr>
          <w:color w:val="BFBFBF" w:themeColor="background1" w:themeShade="BF"/>
        </w:rPr>
      </w:pPr>
      <w:r w:rsidRPr="00F171A3">
        <w:rPr>
          <w:color w:val="BFBFBF" w:themeColor="background1" w:themeShade="BF"/>
        </w:rPr>
        <w:t>Sursa: Egis, Studiu Strategic pentru Șoselele de Centură ale Bucureștiului, 2018</w:t>
      </w:r>
    </w:p>
    <w:p w14:paraId="1A9FFB90" w14:textId="2F402ED4" w:rsidR="00644677" w:rsidRPr="00F171A3" w:rsidRDefault="00644677" w:rsidP="00644677">
      <w:r w:rsidRPr="00F171A3">
        <w:t>Per total, Sectorul 2 este bine conectat în teritoriu, fiind deservit de multiple artere majore de circulație și, totodată, are acces facil la infrastructura majoră de transport feroviar și aerian de la nivel național care asigură o accesibilitate crescută spre și dinspre teritoriul Sectorului 2.</w:t>
      </w:r>
    </w:p>
    <w:p w14:paraId="5024B894" w14:textId="6DC6D907" w:rsidR="00644677" w:rsidRPr="00F171A3" w:rsidRDefault="00644677" w:rsidP="00A65F3F">
      <w:pPr>
        <w:pStyle w:val="Heading3"/>
        <w:rPr>
          <w:lang w:val="ro-RO"/>
        </w:rPr>
      </w:pPr>
      <w:bookmarkStart w:id="264" w:name="_Toc114505887"/>
      <w:bookmarkStart w:id="265" w:name="_Toc127199287"/>
      <w:r w:rsidRPr="00F171A3">
        <w:rPr>
          <w:lang w:val="ro-RO"/>
        </w:rPr>
        <w:t>SUPORTUL SOCIO-ECONOMIC PENTRU NEVOIA DE MOBILITATE</w:t>
      </w:r>
      <w:bookmarkEnd w:id="264"/>
      <w:bookmarkEnd w:id="265"/>
    </w:p>
    <w:p w14:paraId="147E08DB" w14:textId="21771F8B" w:rsidR="00644677" w:rsidRPr="00F171A3" w:rsidRDefault="00644677" w:rsidP="00644677">
      <w:r w:rsidRPr="00F171A3">
        <w:t>O mare parte din deplasările de pe teritoriul Sectorului 2 sunt generate de principalele obiective de interes localizate în sector, Zona de birouri din partea de nord a sectorului (Aurel Vlaicu - Pipera) reprezintă unul din principalii generatori de trafic al Capitalei, mai ales în ceea ce privește deplasarea către locul de muncă. Concentrarea unui număr foarte ridicat de locuri de muncă în acea zonă suprasolicită sistemul de transport public (Metrou M2, tramvaiele 4, 16 și 36 sau liniile de autobuz 343, 135 etc.) și rețeaua stradală (str. Barbu Văcărescu, Sos. Pipera și Sos. Petricani – str. Doamna Ghica) la orele de vârf (07:00-09:00 și 17:00-19:00).</w:t>
      </w:r>
    </w:p>
    <w:p w14:paraId="42267A26" w14:textId="77777777" w:rsidR="00644677" w:rsidRPr="00F171A3" w:rsidRDefault="00644677" w:rsidP="00644677">
      <w:r w:rsidRPr="00F171A3">
        <w:t xml:space="preserve">Dotările comerciale au, de asemenea, un aport semnificativ la generarea traficului pe teritoriul Sectorului 2, cu dotări precum Piața Obor, Mega Mall sau Veranda Mall atrăgând fluxuri semnificative de persoane. Acestora li se adaugă și marile centre comerciale din sector, precum Cora Pantelimon, zona Kaufland Barbu Văcărescu, Carrefour Colentina etc. Mare parte dintre aceste centre comerciale atrag fluxurile de trafic preponderent în cursul serii, după programul de muncă și în weekenduri. Există totuși și excepții, precum Piața Obor, aceasta având fluxuri ridicate pe tot parcursul zilei. </w:t>
      </w:r>
    </w:p>
    <w:p w14:paraId="5928CD4F" w14:textId="77777777" w:rsidR="00644677" w:rsidRPr="00F171A3" w:rsidRDefault="00644677" w:rsidP="00644677">
      <w:r w:rsidRPr="00F171A3">
        <w:t>În mod similar, parterele comerciale ale blocurilor (în special unitățile comerciale dezvoltate consistent în ultimii ani, precum Mega Image), dar și unitățile comerciale individuale (ex. Lidl, Penny, Carrefour Market etc.) situate în lungul principalelor artere de trafic (ex. șos. Pantelimon, șos. Ștefan cel Mare, șos. Colentina, șos. Iancului etc.) atrag de asemenea un număr semnificativ de utilizatori. Pe perioada weekendului și în special pe perioada verii, dotările de alimentație publică (în special din zona centrală), precum și cele pentru sport și petrecerea timpului liber (ex. zona Studențesc, Arena Națională, stadionul Dinamo) dispun de asemenea de un număr ridicat de utilizatori, parte din aceștia deplasându-se din cadrul altor sectoare din capitală. Alți generatori de trafic importanți sunt zonele specializate precum Universitatea Tehnică de Construcții București sau spitalele și unitățile medicale majore (ex. Institutul Clinic Fundeni – peste 2900 de angajați, Spitalul Clinic de Urgență Sf. Pantelimon – peste 2300 de angajați, Spitalul Colentina – peste 1800 de angajați sau Institutul Național de Boli Infecțioase Prof. Matei Balș – peste 1400 de angajați</w:t>
      </w:r>
      <w:r w:rsidRPr="00F171A3">
        <w:rPr>
          <w:rStyle w:val="FootnoteReference"/>
        </w:rPr>
        <w:footnoteReference w:id="130"/>
      </w:r>
      <w:r w:rsidRPr="00F171A3">
        <w:t xml:space="preserve"> etc.). </w:t>
      </w:r>
    </w:p>
    <w:p w14:paraId="0D5930CF" w14:textId="73F9FC8E" w:rsidR="00644677" w:rsidRPr="00F171A3" w:rsidRDefault="00644677" w:rsidP="00644677">
      <w:pPr>
        <w:pStyle w:val="Caption"/>
      </w:pPr>
      <w:bookmarkStart w:id="266" w:name="_Ref102119430"/>
      <w:bookmarkStart w:id="267" w:name="_Toc127198086"/>
      <w:r w:rsidRPr="00F171A3">
        <w:t xml:space="preserve">Figura </w:t>
      </w:r>
      <w:r w:rsidRPr="00F171A3">
        <w:fldChar w:fldCharType="begin"/>
      </w:r>
      <w:r w:rsidRPr="00F171A3">
        <w:instrText xml:space="preserve"> SEQ Figura \* ARABIC </w:instrText>
      </w:r>
      <w:r w:rsidRPr="00F171A3">
        <w:fldChar w:fldCharType="separate"/>
      </w:r>
      <w:r w:rsidR="005A6DD8">
        <w:rPr>
          <w:noProof/>
        </w:rPr>
        <w:t>98</w:t>
      </w:r>
      <w:r w:rsidRPr="00F171A3">
        <w:fldChar w:fldCharType="end"/>
      </w:r>
      <w:bookmarkEnd w:id="266"/>
      <w:r w:rsidRPr="00F171A3">
        <w:t xml:space="preserve"> Principalii generatori de trafic din Sectorul 2</w:t>
      </w:r>
      <w:bookmarkEnd w:id="267"/>
    </w:p>
    <w:p w14:paraId="31B23843" w14:textId="1C3000F6" w:rsidR="00644677" w:rsidRPr="00F171A3" w:rsidRDefault="00A65F3F" w:rsidP="00644677">
      <w:r w:rsidRPr="00F171A3">
        <w:rPr>
          <w:noProof/>
        </w:rPr>
        <w:drawing>
          <wp:inline distT="0" distB="0" distL="0" distR="0" wp14:anchorId="4D3130CD" wp14:editId="3BB2B144">
            <wp:extent cx="5998210" cy="7916569"/>
            <wp:effectExtent l="0" t="0" r="2540" b="825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8">
                      <a:extLst>
                        <a:ext uri="{28A0092B-C50C-407E-A947-70E740481C1C}">
                          <a14:useLocalDpi xmlns:a14="http://schemas.microsoft.com/office/drawing/2010/main" val="0"/>
                        </a:ext>
                      </a:extLst>
                    </a:blip>
                    <a:srcRect t="6586"/>
                    <a:stretch/>
                  </pic:blipFill>
                  <pic:spPr bwMode="auto">
                    <a:xfrm>
                      <a:off x="0" y="0"/>
                      <a:ext cx="5998210" cy="7916569"/>
                    </a:xfrm>
                    <a:prstGeom prst="rect">
                      <a:avLst/>
                    </a:prstGeom>
                    <a:noFill/>
                    <a:ln>
                      <a:noFill/>
                    </a:ln>
                    <a:extLst>
                      <a:ext uri="{53640926-AAD7-44D8-BBD7-CCE9431645EC}">
                        <a14:shadowObscured xmlns:a14="http://schemas.microsoft.com/office/drawing/2010/main"/>
                      </a:ext>
                    </a:extLst>
                  </pic:spPr>
                </pic:pic>
              </a:graphicData>
            </a:graphic>
          </wp:inline>
        </w:drawing>
      </w:r>
    </w:p>
    <w:p w14:paraId="1D252B9F" w14:textId="77777777" w:rsidR="00644677" w:rsidRPr="00F171A3" w:rsidRDefault="00644677" w:rsidP="0046391E">
      <w:pPr>
        <w:jc w:val="right"/>
        <w:rPr>
          <w:color w:val="BFBFBF" w:themeColor="background1" w:themeShade="BF"/>
        </w:rPr>
      </w:pPr>
      <w:r w:rsidRPr="00F171A3">
        <w:rPr>
          <w:color w:val="BFBFBF" w:themeColor="background1" w:themeShade="BF"/>
        </w:rPr>
        <w:t xml:space="preserve">Sursa: Strategia Integrată de Dezvoltare urbană (SIDU) a municipiului București - </w:t>
      </w:r>
      <w:hyperlink r:id="rId159" w:history="1">
        <w:r w:rsidRPr="00F171A3">
          <w:rPr>
            <w:rStyle w:val="Hyperlink"/>
            <w:color w:val="BFBFBF" w:themeColor="background1" w:themeShade="BF"/>
          </w:rPr>
          <w:t>https://estibucuresti.org/sidu</w:t>
        </w:r>
      </w:hyperlink>
      <w:r w:rsidRPr="00F171A3">
        <w:rPr>
          <w:color w:val="BFBFBF" w:themeColor="background1" w:themeShade="BF"/>
        </w:rPr>
        <w:t xml:space="preserve"> </w:t>
      </w:r>
    </w:p>
    <w:p w14:paraId="4C5141E6" w14:textId="3F39E896" w:rsidR="00644677" w:rsidRPr="00F171A3" w:rsidRDefault="00644677" w:rsidP="00644677">
      <w:r w:rsidRPr="00F171A3">
        <w:t>Luând în considerare că acești generatori de trafic sunt concentrați în lungul principalelor artere din Sectorul 2, se remarcă o suprasolicitare a acestora, în special în ceea ce privește șos. Pantelimon, Colentina, Ștefan cel Mare, Fundeni etc. O presiune accentuată asupra infrastructurii se resimte și la nivel local cu străzi precum Barbu Văcărescu, Grigore Moisil, Doamna Ghica sau Lizeanu fiind foarte aglomerate la orele de vârf, acestea fiind totodată utilizate și ca alternative / scurtături pentru principalele circulații din oraș. Acest lucru vine în contextul în care transportul public local nu este optimizat corespunzător, iar transportul public de mare capacitate (ex. metroul) nu deservește întreg teritoriul sectorului, astfel că locuitorii optează pentru utilizarea autoturismului personal. Totodată, nu este încă valorificat potențialul căii ferate care ar putea de exemplu deservi foarte ușor zona de birouri de la Pipera sau Institutul Clinic Fundeni care atrag populație din întreaga regiune. Pentru persoanele care se deplasează din zona suburbană a municipiului, autoturismul rămâne principalul mijloc de transport preferat în lipsa unor soluții viabile de transfer către transportul public local la intrarea în municipiu. În acest context, se remarcă necesitatea optimizării și prioritizării transportului public local, precum și a asigurării infrastructurii de transfer necesare pentru a diminua fluxuri de trafic care întră în sector.</w:t>
      </w:r>
    </w:p>
    <w:p w14:paraId="2B9C8A33" w14:textId="2F6E99D9" w:rsidR="00644677" w:rsidRPr="00F171A3" w:rsidRDefault="00644677" w:rsidP="00644677"/>
    <w:p w14:paraId="4110F312" w14:textId="13E4F1C2" w:rsidR="00644677" w:rsidRPr="00F171A3" w:rsidRDefault="00644677" w:rsidP="00A65F3F">
      <w:pPr>
        <w:pStyle w:val="Heading3"/>
        <w:rPr>
          <w:lang w:val="ro-RO"/>
        </w:rPr>
      </w:pPr>
      <w:bookmarkStart w:id="268" w:name="_Toc127199288"/>
      <w:r w:rsidRPr="00F171A3">
        <w:rPr>
          <w:lang w:val="ro-RO"/>
        </w:rPr>
        <w:t>TRANSPORT RUTIER</w:t>
      </w:r>
      <w:bookmarkEnd w:id="268"/>
    </w:p>
    <w:p w14:paraId="267EB04C" w14:textId="77777777" w:rsidR="00644677" w:rsidRPr="00F171A3" w:rsidRDefault="00644677" w:rsidP="00644677">
      <w:r w:rsidRPr="00F171A3">
        <w:t>Infrastructura de transport rutier a Sectorului 2 este alcătuită din 926 de străzi, dintre cartere 30 sunt artere majore de circulație (străzi de categoriile I și II), restul fiind străzi colectoare și de importanță locală</w:t>
      </w:r>
      <w:r w:rsidRPr="00F171A3">
        <w:rPr>
          <w:rStyle w:val="FootnoteReference"/>
        </w:rPr>
        <w:footnoteReference w:id="131"/>
      </w:r>
      <w:r w:rsidRPr="00F171A3">
        <w:t>.  Arterele principale sunt în mare parte aflate în gestiunea Primăriei Municipiului București, Primăria Sectorului 2 având posibilități limitate de intervenție asupra acestora. Totuși, aceasta are în vedere preluarea în administrarea Consiliului Local al Sectorului 2 a unor artere principale din sector printre care se numără șos. Ștefan cel Mare, șos. Colentina, Calea Moșilor, bd. Pache Protopopescu și bd. Carol I. Scopul principal este amenajarea rețelei velo în lungul acestor artere, precum și a măsurilor conexe pentru funcționarea și dotarea acesteia. În prezent în administrarea ADP Sectorul 2 se află un total de 821 străzi din care 85 au fost modernizate în perioada 2016-2021, 51 de străzi sunt prevăzute pentru modernizare în 2022 și aproximativ 120 de străzi sunt planificate pentru perioada 2023-2025</w:t>
      </w:r>
      <w:r w:rsidRPr="00F171A3">
        <w:rPr>
          <w:rStyle w:val="FootnoteReference"/>
        </w:rPr>
        <w:footnoteReference w:id="132"/>
      </w:r>
      <w:r w:rsidRPr="00F171A3">
        <w:t>.</w:t>
      </w:r>
    </w:p>
    <w:p w14:paraId="653E10F9" w14:textId="77777777" w:rsidR="00644677" w:rsidRPr="00F171A3" w:rsidRDefault="00644677" w:rsidP="00644677">
      <w:r w:rsidRPr="00F171A3">
        <w:t xml:space="preserve">Calitatea infrastructurii rutiere principale este în general una bună, deficiențele apărând în cazul străzilor secundare și ale celor locale. Un exemplu notabil sunt străzile Lizeanu și Maica Domnului, acestea fiind într-o stare precară, mare parte din problemă fiind reprezentată de șinele de tramvai învechite situate pe acest tronson (pe ambele sensuri), făcând deplasarea autovehiculelor foarte dificilă (dar și a tramvaielor). Alte zone cu probleme de calitate a infrastructurii rutiere se evidențiază în zonele/cartierele Tei-Toboc, Andronache sau Colentina. Probleme privind starea străzilor sunt prezente și în zonele noilor dezvoltări rezidențiale din sector (ex. zona str. Fabrica de Glucoză), unde străzile locale nu sunt întotdeauna asfaltate. </w:t>
      </w:r>
    </w:p>
    <w:p w14:paraId="191E1799" w14:textId="3AA76795" w:rsidR="00644677" w:rsidRPr="00F171A3" w:rsidRDefault="00644677" w:rsidP="00644677">
      <w:pPr>
        <w:pStyle w:val="Caption"/>
      </w:pPr>
      <w:bookmarkStart w:id="269" w:name="_Toc127198087"/>
      <w:r w:rsidRPr="00F171A3">
        <w:t xml:space="preserve">Figura </w:t>
      </w:r>
      <w:r w:rsidRPr="00F171A3">
        <w:fldChar w:fldCharType="begin"/>
      </w:r>
      <w:r w:rsidRPr="00F171A3">
        <w:instrText xml:space="preserve"> SEQ Figura \* ARABIC </w:instrText>
      </w:r>
      <w:r w:rsidRPr="00F171A3">
        <w:fldChar w:fldCharType="separate"/>
      </w:r>
      <w:r w:rsidR="005A6DD8">
        <w:rPr>
          <w:noProof/>
        </w:rPr>
        <w:t>99</w:t>
      </w:r>
      <w:r w:rsidRPr="00F171A3">
        <w:fldChar w:fldCharType="end"/>
      </w:r>
      <w:r w:rsidRPr="00F171A3">
        <w:t xml:space="preserve"> Străzi cu o calitate redusă în Sectorul 2</w:t>
      </w:r>
      <w:bookmarkEnd w:id="269"/>
    </w:p>
    <w:p w14:paraId="327BF4B7" w14:textId="77777777" w:rsidR="00644677" w:rsidRPr="00F171A3" w:rsidRDefault="00644677" w:rsidP="00644677">
      <w:r w:rsidRPr="00F171A3">
        <w:rPr>
          <w:noProof/>
        </w:rPr>
        <w:drawing>
          <wp:inline distT="0" distB="0" distL="0" distR="0" wp14:anchorId="107FFE30" wp14:editId="19473029">
            <wp:extent cx="5998210" cy="5149850"/>
            <wp:effectExtent l="0" t="0" r="2540" b="0"/>
            <wp:docPr id="161" name="Picture 1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iagram&#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l="47917" t="27077" r="20192" b="53551"/>
                    <a:stretch>
                      <a:fillRect/>
                    </a:stretch>
                  </pic:blipFill>
                  <pic:spPr bwMode="auto">
                    <a:xfrm>
                      <a:off x="0" y="0"/>
                      <a:ext cx="5998210" cy="5149850"/>
                    </a:xfrm>
                    <a:prstGeom prst="rect">
                      <a:avLst/>
                    </a:prstGeom>
                    <a:noFill/>
                    <a:ln>
                      <a:noFill/>
                    </a:ln>
                  </pic:spPr>
                </pic:pic>
              </a:graphicData>
            </a:graphic>
          </wp:inline>
        </w:drawing>
      </w:r>
      <w:r w:rsidRPr="00F171A3">
        <w:rPr>
          <w:noProof/>
        </w:rPr>
        <w:drawing>
          <wp:inline distT="0" distB="0" distL="0" distR="0" wp14:anchorId="5B0F5BA0" wp14:editId="773AF4F2">
            <wp:extent cx="5998210" cy="1068070"/>
            <wp:effectExtent l="0" t="0" r="2540" b="0"/>
            <wp:docPr id="162" name="Picture 1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g" descr="Diagram&#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t="83723" b="3549"/>
                    <a:stretch>
                      <a:fillRect/>
                    </a:stretch>
                  </pic:blipFill>
                  <pic:spPr bwMode="auto">
                    <a:xfrm>
                      <a:off x="0" y="0"/>
                      <a:ext cx="5998210" cy="1068070"/>
                    </a:xfrm>
                    <a:prstGeom prst="rect">
                      <a:avLst/>
                    </a:prstGeom>
                    <a:noFill/>
                    <a:ln>
                      <a:noFill/>
                    </a:ln>
                  </pic:spPr>
                </pic:pic>
              </a:graphicData>
            </a:graphic>
          </wp:inline>
        </w:drawing>
      </w:r>
    </w:p>
    <w:p w14:paraId="5867E9CB" w14:textId="77777777" w:rsidR="00644677" w:rsidRPr="00F171A3" w:rsidRDefault="00644677" w:rsidP="0046391E">
      <w:pPr>
        <w:jc w:val="right"/>
        <w:rPr>
          <w:color w:val="BFBFBF" w:themeColor="background1" w:themeShade="BF"/>
        </w:rPr>
      </w:pPr>
      <w:r w:rsidRPr="00F171A3">
        <w:rPr>
          <w:color w:val="BFBFBF" w:themeColor="background1" w:themeShade="BF"/>
        </w:rPr>
        <w:t xml:space="preserve">Sursa: Strategia Integrată de Dezvoltare urbană (SIDU) a municipiului București - </w:t>
      </w:r>
      <w:hyperlink r:id="rId161" w:history="1">
        <w:r w:rsidRPr="00F171A3">
          <w:rPr>
            <w:rStyle w:val="Hyperlink"/>
            <w:color w:val="BFBFBF" w:themeColor="background1" w:themeShade="BF"/>
          </w:rPr>
          <w:t>https://estibucuresti.org/sidu</w:t>
        </w:r>
      </w:hyperlink>
    </w:p>
    <w:p w14:paraId="2580FE5E" w14:textId="77777777" w:rsidR="00644677" w:rsidRPr="00F171A3" w:rsidRDefault="00644677" w:rsidP="00644677">
      <w:r w:rsidRPr="00F171A3">
        <w:t xml:space="preserve">Începând din anul 2018, Sectorul 2 este deservit și de autostrada A3 care asigură legătura cu municipiul Ploiești. Legăturile către autostrada A3 se realizează prin intermediul str. Fabrica de Glucoză, respectiv str. Petricani, ce asigură ulterior legăturile cu cartierele Tei, Floreasca și Colentina. Autostrada a soluționat problemele de conectivitate de la nivelul zonei de nord-est, oferind soluții viabile pentru ieșirea din municipiu, în special în ceea ce privește legătura către localitățile din nordul și nord-estul județului Ilfov. De asemenea, o dată cu finalizarea pasajului Doamna Ghica, se va asigura o fluidizare a traficului și către partea estică a teritoriului Sectorului 2, inclusiv către cartierul Pantelimon (legătura A3 – str. Petricani – str. Doamna Ghica – Piața Delfinului – șos. Pantelimon). Pasajul Doamna Ghica este unul dintre proiectele majore de infrastructură rutieră ce se află în implementare pe teritoriul Sectorului 2, dar și la nivelul municipiului București, urmând ca acesta să asigure fluidizarea traficului la intersecția dintre șos. Colentina și str. Doamna Ghica, aceasta fiind una dintre cele mai aglomerate intersecții din București, în special la orele de vârf când există un flux ridicat de trafic pe direcția periferie – centru (Ilfov – centru via șos. Colentina). Pasajul este realizat de Primăria Municipiului București, împreună cu Primăria Sectorului 2 și lucrările se află în prezent în curs de realizare.  </w:t>
      </w:r>
    </w:p>
    <w:p w14:paraId="60AB2C05" w14:textId="77777777" w:rsidR="00644677" w:rsidRPr="00F171A3" w:rsidRDefault="00644677" w:rsidP="00644677">
      <w:r w:rsidRPr="00F171A3">
        <w:t>Totodată, Primăria Sectorului 2 are în vedere realizarea unor pasaje supraterane în zonele șos. Fundeni – str. Gherghiței, str. Baicului și bd. Ferdinand – bd. Gării Obor – str. Heliade Între Vii, documentație de atribuire pentru acestea fiind în curs de elaborare. Pasajul are un rol esențial și în sistemul de transport public local întrucât face parte din al doilea inel de linii de tramvai (planificat) care ar conecta zona Pipera de Pantelimon, Delta Văcărești continuând până aproape de Gara Progresu.</w:t>
      </w:r>
    </w:p>
    <w:p w14:paraId="21C4ADC9" w14:textId="77777777" w:rsidR="00644677" w:rsidRPr="00F171A3" w:rsidRDefault="00644677" w:rsidP="00644677">
      <w:r w:rsidRPr="00F171A3">
        <w:t xml:space="preserve">Așa cum s-a menționat și anterior, șos. Colentina este una dintre cele mai aglomerate artere din Sectorul 2, aceasta fiind și singura arteră majoră care asigură legătura periferie-centru pe direcția nord-est – sud-vest, fiind suprasolicitată. Pe parcursul șoselei, aceasta se intersectează și cu alte artere importante la nivelul sectorului (ex. str. Doamna Ghica, șos. Fundeni, șos. Ștefan cel Mare etc.) din cadrul cărora mai preia fluxuri semnificative de trafic. Începând cu intersecția Piața Obor, șos. Colentina se continuă cu Calea Moșilor, o altă arteră destul de solicitată la orele de vârf. Se remarcă astfel faptul că nu există legături alternative majore către zona centrală, rezultând în probleme de conectivitate pe direcția nord-est – sud-vest, cauzate în mare parte de salba de lacuri și de linia de cale ferată care traversează Sectorul 2. Cele două reprezintă bariere pentru care trebuie realizate intervenții de traversare, acestea fiind de cele mai multe ori foarte costisitoare. </w:t>
      </w:r>
    </w:p>
    <w:p w14:paraId="114BB610" w14:textId="77777777" w:rsidR="00644677" w:rsidRPr="00F171A3" w:rsidRDefault="00644677" w:rsidP="00644677">
      <w:r w:rsidRPr="00F171A3">
        <w:t xml:space="preserve">Pe lângă legăturile deficitare cu zona centrală a municipiului București, se mai regăsesc probleme de conectivitate și în interiorul sectorului. Printre acestea se numără legătura între str. Barbu Văcărescu și șos. Ștefan cel Mare, care de multe ori se realizează pe direcția str. Gheorghe Țițeica – str. Grigore Moisil – str. Maica Domnului – str. Lizeanu, aceasta fiind una din alternativele pentru legătura între cartierul Tei și zona centrală. Totodată, zone din cartierul Pantelimon prezintă de asemenea probleme de conectivitate, fiind vorba despre zona dintre șos. Vergului și bd. Basarabia sau zona cuprinsă între șos. Pantelimon, bd. Chișinău, bd. Basarabia și șos. Morarilor. Zona situată în interiorul inelului central al municipiului este de asemenea deficitară, aceasta nedispunând de suficiente străzi de categoria I și II. </w:t>
      </w:r>
    </w:p>
    <w:p w14:paraId="20944693" w14:textId="107EED9F" w:rsidR="00644677" w:rsidRPr="00F171A3" w:rsidRDefault="00644677" w:rsidP="00644677">
      <w:r w:rsidRPr="00F171A3">
        <w:t xml:space="preserve">Creșterea conectivității la nivel local este importantă pentru îmbunătățirea circulației în cadrul sectorului, precum și pentru fluidizarea traficului la nivel local, scăzând presiune de pe arterele majore existente. Acest lucru vine în contextul în care există multiple zone de congestie în Sectorul 2, în special pe perioada orelor de vârf (07:30 – 10:00, respectiv 16:30 – 19:00). </w:t>
      </w:r>
      <w:r w:rsidR="003C1451" w:rsidRPr="00F171A3">
        <w:t xml:space="preserve">Figura de mai jos </w:t>
      </w:r>
      <w:r w:rsidRPr="00F171A3">
        <w:t xml:space="preserve">ilustrează arterele congestionate pe teritoriul Sectorului 2. Așa cum se poate observa din figură, mare parte din zonele congestionate din oraș se află în lungul marilor artere de circulație, precum și în intersecțiile majore din lungul acestora. Cele mai afectate cartiere sunt astfel Colentina, Tei, Andronache, Pantelimon, Obor, precum și zona aferentă inelului central. </w:t>
      </w:r>
    </w:p>
    <w:p w14:paraId="2A1868C8" w14:textId="114BB8F8" w:rsidR="00644677" w:rsidRPr="00F171A3" w:rsidRDefault="00644677" w:rsidP="00644677">
      <w:r w:rsidRPr="00F171A3">
        <w:t xml:space="preserve">Diminuarea congestiei devine astfel un factor important în îmbunătățirea sistemului rutier local, fiind unul dintre aspectele care vor contribui semnificativ la creșterea calității locuirii la nivel local. În acest sens, trebuie abordate măsuri de creștere a conectivității, de încurajare a utilizării mijloacelor de transport mai puțin poluante în interiorul orașului și de limitare a utilizării autovehiculul personal, în special pe distanțe scurte și medii. </w:t>
      </w:r>
    </w:p>
    <w:p w14:paraId="6F12097B" w14:textId="4BA9965C" w:rsidR="00644677" w:rsidRPr="00F171A3" w:rsidRDefault="00644677" w:rsidP="00644677">
      <w:pPr>
        <w:pStyle w:val="Caption"/>
      </w:pPr>
      <w:bookmarkStart w:id="270" w:name="_Ref103254825"/>
      <w:bookmarkStart w:id="271" w:name="_Toc127198088"/>
      <w:r w:rsidRPr="00F171A3">
        <w:t xml:space="preserve">Figura </w:t>
      </w:r>
      <w:r w:rsidRPr="00F171A3">
        <w:fldChar w:fldCharType="begin"/>
      </w:r>
      <w:r w:rsidRPr="00F171A3">
        <w:instrText xml:space="preserve"> SEQ Figura \* ARABIC </w:instrText>
      </w:r>
      <w:r w:rsidRPr="00F171A3">
        <w:fldChar w:fldCharType="separate"/>
      </w:r>
      <w:r w:rsidR="005A6DD8">
        <w:rPr>
          <w:noProof/>
        </w:rPr>
        <w:t>100</w:t>
      </w:r>
      <w:r w:rsidRPr="00F171A3">
        <w:fldChar w:fldCharType="end"/>
      </w:r>
      <w:bookmarkEnd w:id="270"/>
      <w:r w:rsidRPr="00F171A3">
        <w:t xml:space="preserve"> Artere congestionate în Sectorul 2</w:t>
      </w:r>
      <w:bookmarkEnd w:id="271"/>
    </w:p>
    <w:p w14:paraId="2202B743" w14:textId="77777777" w:rsidR="00644677" w:rsidRPr="00F171A3" w:rsidRDefault="00644677" w:rsidP="00644677">
      <w:r w:rsidRPr="00F171A3">
        <w:rPr>
          <w:noProof/>
        </w:rPr>
        <w:drawing>
          <wp:inline distT="0" distB="0" distL="0" distR="0" wp14:anchorId="2BD3D05E" wp14:editId="77ED61B7">
            <wp:extent cx="5996940" cy="7924800"/>
            <wp:effectExtent l="0" t="0" r="3810" b="0"/>
            <wp:docPr id="163" name="Picture 16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agram&#10;&#10;Description automatically generated with medium confidence"/>
                    <pic:cNvPicPr>
                      <a:picLocks noChangeAspect="1" noChangeArrowheads="1"/>
                    </pic:cNvPicPr>
                  </pic:nvPicPr>
                  <pic:blipFill>
                    <a:blip r:embed="rId162">
                      <a:extLst>
                        <a:ext uri="{28A0092B-C50C-407E-A947-70E740481C1C}">
                          <a14:useLocalDpi xmlns:a14="http://schemas.microsoft.com/office/drawing/2010/main" val="0"/>
                        </a:ext>
                      </a:extLst>
                    </a:blip>
                    <a:srcRect b="6560"/>
                    <a:stretch>
                      <a:fillRect/>
                    </a:stretch>
                  </pic:blipFill>
                  <pic:spPr bwMode="auto">
                    <a:xfrm>
                      <a:off x="0" y="0"/>
                      <a:ext cx="5996940" cy="7924800"/>
                    </a:xfrm>
                    <a:prstGeom prst="rect">
                      <a:avLst/>
                    </a:prstGeom>
                    <a:noFill/>
                    <a:ln>
                      <a:noFill/>
                    </a:ln>
                  </pic:spPr>
                </pic:pic>
              </a:graphicData>
            </a:graphic>
          </wp:inline>
        </w:drawing>
      </w:r>
    </w:p>
    <w:p w14:paraId="5D3D3751" w14:textId="77777777" w:rsidR="00644677" w:rsidRPr="00F171A3" w:rsidRDefault="00644677" w:rsidP="0046391E">
      <w:pPr>
        <w:jc w:val="right"/>
        <w:rPr>
          <w:color w:val="BFBFBF" w:themeColor="background1" w:themeShade="BF"/>
        </w:rPr>
      </w:pPr>
      <w:r w:rsidRPr="00F171A3">
        <w:rPr>
          <w:color w:val="BFBFBF" w:themeColor="background1" w:themeShade="BF"/>
        </w:rPr>
        <w:t>Sursa: Prelucrarea consultantului pe baza datelor furnizate de Google Maps</w:t>
      </w:r>
    </w:p>
    <w:p w14:paraId="4B27B615" w14:textId="0454CB87" w:rsidR="008A6FAE" w:rsidRPr="00F171A3" w:rsidRDefault="008A6FAE" w:rsidP="00784BFA"/>
    <w:p w14:paraId="31CEEFB2" w14:textId="3DCB55CC" w:rsidR="00644677" w:rsidRPr="00F171A3" w:rsidRDefault="00644677" w:rsidP="00A65F3F">
      <w:pPr>
        <w:pStyle w:val="Heading4"/>
      </w:pPr>
      <w:r w:rsidRPr="00F171A3">
        <w:t>INDICELE DE MONITORIZARE</w:t>
      </w:r>
      <w:r w:rsidR="00DC632A" w:rsidRPr="00F171A3">
        <w:t xml:space="preserve"> </w:t>
      </w:r>
      <w:r w:rsidR="00DC632A" w:rsidRPr="00F171A3">
        <w:rPr>
          <w:rStyle w:val="FootnoteReference"/>
        </w:rPr>
        <w:footnoteReference w:id="133"/>
      </w:r>
    </w:p>
    <w:p w14:paraId="61D74944" w14:textId="14DB0802" w:rsidR="00644677" w:rsidRPr="00F171A3" w:rsidRDefault="00644677" w:rsidP="00644677">
      <w:r w:rsidRPr="00F171A3">
        <w:t xml:space="preserve">Un aspect important în analiza sistemului de transport rutier de la nivel local este reprezentant de indicele de motorizare de la nivelul zonei analizate, acesta evidențiind gradul de motorizare regăsit în teritoriu. În Sectorul 2, indicele de motorizare este de 713,71 autoturisme / 1.000 de locuitori, o valoare foarte ridicată ce evidențiază un grad de motorizare accentuat, ce pune presiune pe infrastructura rutieră existentă. Acesta reprezintă și una din cauzele principale pentru problemele de poluare și congestie regăsite la nivelul teritoriului Sectorului 2. </w:t>
      </w:r>
    </w:p>
    <w:p w14:paraId="1051A95B" w14:textId="0E44E18B" w:rsidR="008A6FAE" w:rsidRPr="00F171A3" w:rsidRDefault="00644677" w:rsidP="00644677">
      <w:r w:rsidRPr="00F171A3">
        <w:t>În cazul municipiului București și, implicit, a Sectorului 2, trebuie avut în vedere faptul că gradul de motorizare este mai ridicat întrucât teritoriul este traversat zilnic și de un număr ridicat de navetiști care au domiciliul și autoturismele înmatriculate în alte localități din țară, nefiind astfel incluse în calculul realizat la nivel local. Aceste autoturisme pun o presiune suplimentară pe infrastructura existentă, fiind astfel necesare măsuri de descurajare a navetiștilor de a mai utiliza autovehiculele personale pe teritoriul municipiului. Acest lucru poate fi realizat prin amenajarea unor parcări de transfer la intrările în orașe, bine corelate cu sistemul de transport public local, devenind astfel o opțiune viabilă pentru vizitatori.</w:t>
      </w:r>
    </w:p>
    <w:p w14:paraId="038D437A" w14:textId="5D6258B7" w:rsidR="00644677" w:rsidRPr="00F171A3" w:rsidRDefault="00644677" w:rsidP="00644677">
      <w:pPr>
        <w:rPr>
          <w:b/>
          <w:bCs/>
          <w:color w:val="134753" w:themeColor="text2"/>
        </w:rPr>
      </w:pPr>
    </w:p>
    <w:p w14:paraId="20F24391" w14:textId="4CE1FBD8" w:rsidR="00644677" w:rsidRPr="00F171A3" w:rsidRDefault="00644677" w:rsidP="00A65F3F">
      <w:pPr>
        <w:pStyle w:val="Heading4"/>
      </w:pPr>
      <w:r w:rsidRPr="00F171A3">
        <w:t>PARCARE</w:t>
      </w:r>
    </w:p>
    <w:p w14:paraId="252FE708" w14:textId="77777777" w:rsidR="00644677" w:rsidRPr="00F171A3" w:rsidRDefault="00644677" w:rsidP="00644677">
      <w:r w:rsidRPr="00F171A3">
        <w:t>Una din componentele principale ale parcării este reprezentată de parcarea rezidențială, aceasta reprezentând una dintre provocările majore atât la nivelul municipiului, cât și la nivelul Sectorului 2. Acest aspect vine ca o consecință a cererii ridicate cauzată de un indice de motorizare în creștere continuă la nivelul municipiului, acesta înregistrând 567 de autoturisme / 1.000 de locuitori la nivelul anului 2021</w:t>
      </w:r>
      <w:r w:rsidRPr="00F171A3">
        <w:rPr>
          <w:rStyle w:val="FootnoteReference"/>
        </w:rPr>
        <w:footnoteReference w:id="134"/>
      </w:r>
      <w:r w:rsidRPr="00F171A3">
        <w:t xml:space="preserve">. În mod realist, gradul de motorizare al municipiului este unul mult mai ridicat, întrucât există un bazin ridicat de populație care utilizează teritoriul în mod constant (ex. navetiști din localitățile învecinate), precum și segmente de populație care nu au autoturismele sau domiciliul înregistrat în București (ex. persoane care lucrează temporar în oraș, studenți etc.). </w:t>
      </w:r>
    </w:p>
    <w:p w14:paraId="39BED3EE" w14:textId="77777777" w:rsidR="00644677" w:rsidRPr="00F171A3" w:rsidRDefault="00644677" w:rsidP="00644677">
      <w:r w:rsidRPr="00F171A3">
        <w:t xml:space="preserve">Totodată, nevoia de parcare rezidențială este marcată și de multiplele zone de locuințe colective evidențiate la nivelul Sectorului 2, majoritatea fiind blocuri de P+10 cu multiple scări, fiind astfel vorba de o densitate ridicată a populației, ce poate atinge în unele zone până la 1.000 de locuitori / ha. În acest context, asigurarea parcării rezidențiale reprezintă un factor cheie în conturarea unei bune calități a locuirii. </w:t>
      </w:r>
    </w:p>
    <w:p w14:paraId="68D529E0" w14:textId="77777777" w:rsidR="00644677" w:rsidRPr="00F171A3" w:rsidRDefault="00644677" w:rsidP="00644677">
      <w:r w:rsidRPr="00F171A3">
        <w:t>În prezent parcarea rezidențială din Sectorul 2 este gestionată de Administrația Domeniului Public (ADP) Sector 2 în baza regulamentului intern conturat la nivelul instituției. În Sectorul 2 există locuri de parcare de reședință amenajate, acestea fiind taxate anual în funcție de zona în care se află. Taxele pentru locurile de parcare de reședință au fost majorate la nivelul municipiului București începând cu 1 ianuarie 2022</w:t>
      </w:r>
      <w:r w:rsidRPr="00F171A3">
        <w:rPr>
          <w:rStyle w:val="FootnoteReference"/>
        </w:rPr>
        <w:footnoteReference w:id="135"/>
      </w:r>
      <w:r w:rsidRPr="00F171A3">
        <w:t>, taxele fiind preluate și la nivelul Sectorului 2. Astfel, prețul pentru un loc de parcare de reședință variază în prezent între 300 de lei (zona D) și 600 de lei (zona A). Tarifele mai ridicate pentru parcarea de reședință sunt una dintre măsurile utilizate la nivel internațional pentru gestiunea parcării și pentru asigurarea taxării corespunzătoare a spațiului public, una din resursele pentru care orașele nu dispun de suprafețe suficiente. Conform datelor furnizate de Direcția Venituri Buget Local a Primăriei Sectorului 2, până la data de 31.12.2021, au fost încasați circa 3,4 mil. lei din plata parcărilor rezidențiale</w:t>
      </w:r>
      <w:r w:rsidRPr="00F171A3">
        <w:rPr>
          <w:rStyle w:val="FootnoteReference"/>
        </w:rPr>
        <w:footnoteReference w:id="136"/>
      </w:r>
      <w:r w:rsidRPr="00F171A3">
        <w:t xml:space="preserve">. </w:t>
      </w:r>
    </w:p>
    <w:p w14:paraId="54B45D1A" w14:textId="77777777" w:rsidR="00644677" w:rsidRPr="00F171A3" w:rsidRDefault="00644677" w:rsidP="00644677">
      <w:r w:rsidRPr="00F171A3">
        <w:t xml:space="preserve">Sectorul 2 se confruntă cu o serie de provocări în ceea ce privește parcarea rezidențială. O astfel de provocare se regăsește în cazul zonelor rezidențiale de locuințe colective, unde deși sunt amenajate locuri de parcare de reședință, cererea este mult mai ridicată, astfel că cei care nu au un loc de parcare rezervat sunt nevoiți să parcheze pe carosabil, pe trotuar sau, după caz, pe terenurile virane din vecinătate (acolo unde acestea există), creând impedimente suplimentare și pentru restul participanților la trafic. </w:t>
      </w:r>
    </w:p>
    <w:p w14:paraId="26648969" w14:textId="77777777" w:rsidR="00644677" w:rsidRPr="00F171A3" w:rsidRDefault="00644677" w:rsidP="00644677">
      <w:r w:rsidRPr="00F171A3">
        <w:t xml:space="preserve">O soluție optimă în astfel de cazuri ar fi reconfigurarea parcărilor de reședință și gruparea acestora în parcări multietajate, în special în zonele unde spațiile interstițiale dintre blocuri sunt suficiente pentru inserarea unor astfel de parcări. Un astfel de demers este deja dorit la nivelul Sectorului 2, totuși, întâmpină o oarecare reticență din partea locuitorilor, aceștia nedorind ca astfel de parcări să fie amenajate în vecinătatea blocurilor lor. Totodată, în unele dintre cazuri, costurile pentru pregătirea locațiilor pentru parcare sunt foarte ridicate și nu justifică investiția. </w:t>
      </w:r>
    </w:p>
    <w:p w14:paraId="79F84840" w14:textId="77777777" w:rsidR="00644677" w:rsidRPr="00F171A3" w:rsidRDefault="00644677" w:rsidP="00644677">
      <w:r w:rsidRPr="00F171A3">
        <w:t xml:space="preserve">O altă provocare cu care se confruntă Sectorul 2 din punct de vedere al parcărilor este cea al asigurării locurilor de parcare pentru vizitatori. Astfel, în zonele de locuințe individuale, deși parcarea trebuie asigurată de fiecare proprietar în parte pe propria parcelă, aceștia nu dispun de locuri suplimentare pentru vizitatori (fie că este vorba de vizitatori pentru locuitorii din zonă, fie că este vorba de clienții / angajații operatorilor economici din zonă), astfel că aceștia ajung să parcheze tot pe trotuar sau pe prima bandă a carosabilului. Astfel de situații se regăsesc în zone precum Maica Domnului, Baicului, Obor sau Vatra Luminoasă, având un impact negativ asupra imaginii urbane, precum și asupra traficului din zonă. </w:t>
      </w:r>
    </w:p>
    <w:p w14:paraId="44F8A78D" w14:textId="77777777" w:rsidR="00644677" w:rsidRPr="00F171A3" w:rsidRDefault="00644677" w:rsidP="00644677">
      <w:r w:rsidRPr="00F171A3">
        <w:t xml:space="preserve">Probleme mai apar și în cazul marilor generatori de trafic (ex. centre comerciale majore, mall-uri, Arena Națională etc.) care, deși au parcări amenajate, acestea sunt de cele mai multe ori cu plată, astfel că utilizatorii preferă să parcheze în vecinătatea lor pentru a evita plata parcării. Acest lucru devine o problemă în relația cu parcările rezidențiale, ce ajung să fie ocupate de utilizatorii acestor funcțiuni. Pe de o parte acest lucru devine o problemă pentru cei care au închiriat un loc de parcare de reședință și nu îl pot utiliza, fiind necesară intervenția Poliției locale pentru soluționarea conflictelor. Pe de altă parte, acest lucru rezultă în subutilizarea parcărilor amenajate (fie ele publice sau private) și o suprasolicitare a locurilor de parcare de la stradă. Totodată, probleme apar și în zona centrală, una dintre cele mai solicitate zone din punct de vedere al parcării ca urmare a multiplelor funcțiuni, servicii și instituții care se regăsesc aici. De asemenea, mare parte din zona centrală cuprinde un patrimoniu construi valoros, încadrat ca zonă protejată, astfel că intervențiile asupra țesutului sunt minimale. Acest lucru creează o presiune suplimentară asupra infrastructurii existente, întrucât configurația parcelelor de multe ori nu permite parcarea pe parcelă a niciunui autoturism, astfel că locuitorii sunt nevoiți să parcheze tot pe stradă. </w:t>
      </w:r>
    </w:p>
    <w:p w14:paraId="1240A012" w14:textId="77777777" w:rsidR="00644677" w:rsidRPr="00F171A3" w:rsidRDefault="00644677" w:rsidP="00644677">
      <w:r w:rsidRPr="00F171A3">
        <w:t xml:space="preserve">Ca și în cazul zonelor de locuințe colective, soluția optimă este reprezentată de parcări multietajate inserate acolo unde există terenuri care să permită astfel de construcții. O parte dintre acestea parcări multietajate trebuie localizate și la intrarea în zona centrală (intersecția principalelor artere de circulație cu zona centrală), ele urmând să acționeze ca parcări de transfer care să preia parte din fluxurile ce intră în zona centrală, populația fiind ulterior redirecționată către transportul public local sau mijloace nemotorizate de deplasare. Acest lucru ar soluționa pe de o parte problema parcărilor în zona centrală, în special în ceea ce privește utilizatorii funcțiunilor din zonă, iar pe de altă parte va contribui la reducerea traficului din zona centrală, permițând astfel orientarea arterelor de circulație din zona centrală către mijloace de transport mai prietenoase cu mediul. </w:t>
      </w:r>
    </w:p>
    <w:p w14:paraId="54498FD4" w14:textId="77777777" w:rsidR="00644677" w:rsidRPr="00F171A3" w:rsidRDefault="00644677" w:rsidP="00644677">
      <w:r w:rsidRPr="00F171A3">
        <w:t xml:space="preserve">O abordare similară privind parcările de transfer trebuie avută în vedere la nivelul întregului teritoriu al sectorului, în special în zonele de legătură cu localitățile învecinate din județul Ilfov. Conturarea unei rețele de parcări de tip park&amp;ride va permite preluarea navetiștilor din zona metropolitană și orientarea lor către mijloacele de transport public local. O astfel de inițiativă este deja începută la nivelul zonei Pantelimon, unde a fost construită o astfel de parcare, nefiind însă pusă în funcțiune până în prezent. Parcările de transfer pot fi realizate în parteneriat cu Primăria Municipiului București și pot face parte dintr-un sistem mai larg de astfel de parcări de la nivelul municipiului. </w:t>
      </w:r>
    </w:p>
    <w:p w14:paraId="251FA82F" w14:textId="3FFA91CE" w:rsidR="00644677" w:rsidRPr="00F171A3" w:rsidRDefault="00644677" w:rsidP="00644677">
      <w:r w:rsidRPr="00F171A3">
        <w:t xml:space="preserve">Pe lângă parcările de reședință, la nivelul Sectorului 2 sunt prezente și o serie de parcări publice cu plată, acestea aflându-se în gestiunea Companiei Municipale Parking București, ce aparține de Primăria Municipiului București. Tarifele pentru parcările publice sunt cuprinse între 2,5 și 10 lei/oră în funcție de zonă, sume ce pot fi achitate direct la personalul parcărilor (acolo unde acesta există), prin SMS sau prin intermediul aplicațiilor dedicate utilizând cardul bancar. Totodată, utilizatorii au la dispoziție și achiziționarea unor abonamente zilnice, săptămânale, lunare, semestriale sau anuale, precum și a abonamentelor pentru riverani, cu sau fără rezervare. </w:t>
      </w:r>
    </w:p>
    <w:p w14:paraId="4A83E9B1" w14:textId="281269E5" w:rsidR="00644677" w:rsidRPr="00F171A3" w:rsidRDefault="00644677" w:rsidP="00644677">
      <w:pPr>
        <w:pStyle w:val="Caption"/>
      </w:pPr>
      <w:bookmarkStart w:id="272" w:name="_Ref102038858"/>
      <w:bookmarkStart w:id="273" w:name="_Toc127198089"/>
      <w:r w:rsidRPr="00F171A3">
        <w:t xml:space="preserve">Figura </w:t>
      </w:r>
      <w:r w:rsidRPr="00F171A3">
        <w:fldChar w:fldCharType="begin"/>
      </w:r>
      <w:r w:rsidRPr="00F171A3">
        <w:instrText xml:space="preserve"> SEQ Figura \* ARABIC </w:instrText>
      </w:r>
      <w:r w:rsidRPr="00F171A3">
        <w:fldChar w:fldCharType="separate"/>
      </w:r>
      <w:r w:rsidR="005A6DD8">
        <w:rPr>
          <w:noProof/>
        </w:rPr>
        <w:t>101</w:t>
      </w:r>
      <w:r w:rsidRPr="00F171A3">
        <w:fldChar w:fldCharType="end"/>
      </w:r>
      <w:bookmarkEnd w:id="272"/>
      <w:r w:rsidRPr="00F171A3">
        <w:t xml:space="preserve"> Parcări publice cu plată în Sectorul 2</w:t>
      </w:r>
      <w:bookmarkEnd w:id="273"/>
    </w:p>
    <w:p w14:paraId="41A9043E" w14:textId="77777777" w:rsidR="00644677" w:rsidRPr="00F171A3" w:rsidRDefault="00644677" w:rsidP="00644677">
      <w:r w:rsidRPr="00F171A3">
        <w:rPr>
          <w:noProof/>
        </w:rPr>
        <w:drawing>
          <wp:inline distT="0" distB="0" distL="0" distR="0" wp14:anchorId="6F96B2DE" wp14:editId="0358E4AA">
            <wp:extent cx="5998210" cy="2946400"/>
            <wp:effectExtent l="0" t="0" r="2540" b="6350"/>
            <wp:docPr id="164" name="Picture 1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t="12704" r="4871" b="4292"/>
                    <a:stretch>
                      <a:fillRect/>
                    </a:stretch>
                  </pic:blipFill>
                  <pic:spPr bwMode="auto">
                    <a:xfrm>
                      <a:off x="0" y="0"/>
                      <a:ext cx="5998210" cy="2946400"/>
                    </a:xfrm>
                    <a:prstGeom prst="rect">
                      <a:avLst/>
                    </a:prstGeom>
                    <a:noFill/>
                    <a:ln>
                      <a:noFill/>
                    </a:ln>
                  </pic:spPr>
                </pic:pic>
              </a:graphicData>
            </a:graphic>
          </wp:inline>
        </w:drawing>
      </w:r>
    </w:p>
    <w:p w14:paraId="0C14894E" w14:textId="77777777" w:rsidR="00644677" w:rsidRPr="00F171A3" w:rsidRDefault="00644677" w:rsidP="0046391E">
      <w:pPr>
        <w:jc w:val="right"/>
        <w:rPr>
          <w:color w:val="BFBFBF" w:themeColor="background1" w:themeShade="BF"/>
        </w:rPr>
      </w:pPr>
      <w:r w:rsidRPr="00F171A3">
        <w:rPr>
          <w:color w:val="BFBFBF" w:themeColor="background1" w:themeShade="BF"/>
        </w:rPr>
        <w:t xml:space="preserve">Sursa: parkingbucuresti.ro  </w:t>
      </w:r>
    </w:p>
    <w:p w14:paraId="14875BFF" w14:textId="02DA8FC1" w:rsidR="00644677" w:rsidRPr="00F171A3" w:rsidRDefault="00644677" w:rsidP="00644677">
      <w:r w:rsidRPr="00F171A3">
        <w:t>Aceste locuri de parcare ar putea suplimenta cererea evidențiată la nivelul Sectorului 2, însă costurile aferente sunt descurajatoare pentru populația locală, fiind preferată găsirea opțiunilor alternative pentru a parca fără plată. Totodată, se remarcă faptul că pe teritoriul Sectorului 2 parcările sunt orientate cu precădere către zona centrală și, punctual, în jurul unor obiective de interes, astfel că acestea nu pot suplini cererea cea mai ridicată și anume cea din zonele rezidențiale.</w:t>
      </w:r>
    </w:p>
    <w:p w14:paraId="15C9A15A" w14:textId="733FC30D" w:rsidR="00644677" w:rsidRPr="00F171A3" w:rsidRDefault="00644677" w:rsidP="00644677"/>
    <w:p w14:paraId="702AB3E5" w14:textId="4A20FF94" w:rsidR="00644677" w:rsidRPr="00F171A3" w:rsidRDefault="00644677" w:rsidP="00A65F3F">
      <w:pPr>
        <w:pStyle w:val="Heading4"/>
      </w:pPr>
      <w:r w:rsidRPr="00F171A3">
        <w:t>SIGURANȚĂ ÎN TRAFIC</w:t>
      </w:r>
    </w:p>
    <w:p w14:paraId="4D128187" w14:textId="77777777" w:rsidR="00644677" w:rsidRPr="00F171A3" w:rsidRDefault="00644677" w:rsidP="00644677">
      <w:r w:rsidRPr="00F171A3">
        <w:t>În ceea ce privește siguranța în trafic, la nivelul anului 2018 pe teritoriul Sectorului 2 s-au înregistrat 3.343 de accidente. De asemenea, au fost înregistrate și 53 de persoane decedate ca urmare a accidentelor rutiere produse, un număr destul de ridicat, totuși în corelare cu tendințele naționale. În ultimii ani, România s-a aflat pe primul loc la nivel european din punct de vedere al numărului de decese raportate la 1 mil. de locuitori, înregistrând la nivelul anului 2021 85 de persoane decedate / 1 mil. de locuitori</w:t>
      </w:r>
      <w:r w:rsidRPr="00F171A3">
        <w:rPr>
          <w:rStyle w:val="FootnoteReference"/>
        </w:rPr>
        <w:footnoteReference w:id="137"/>
      </w:r>
      <w:r w:rsidRPr="00F171A3">
        <w:t>.</w:t>
      </w:r>
    </w:p>
    <w:p w14:paraId="59FFE930" w14:textId="77777777" w:rsidR="00644677" w:rsidRPr="00F171A3" w:rsidRDefault="00644677" w:rsidP="00644677">
      <w:r w:rsidRPr="00F171A3">
        <w:t xml:space="preserve">Mare parte dintre acestea s-au situat în lungul principalelor artere de circulație, precum și în principalele intersecții din sector. Astfel, inelul central, șos. Colentina, șos. Pantelimon sau Calea Moșilor au fost principalele artere afectate, împreună cu intersecțiile majore aferente (ex. Obor, Lizeanu, Delfinului, Eminescu, Fundeni etc.). Principalele cauze ale accidentelor rutiere din 2018 au fost traversarea neregulamentară a pietonilor (665 de accidente), neacordarea priorității pentru vehicule (616 accidente) și pietoni (573 de accidente), nerespectarea distanței între vehicule (306 accidente), neasigurarea la schimbarea direcției de mers (201 accidente), abateri pasageri/călători/însoțitori (185 de accidente), viteza neadaptată la condițiile de drum (179 de accidente) și pietoni pe partea carosabilă (171 accidente). Restul cauzelor au înregistrat un număr mai redus de accidente / cauză (sub 100 de accidente fiecare), având astfel un aport mai scăzut în numărul total de accidente. </w:t>
      </w:r>
    </w:p>
    <w:p w14:paraId="49A1CBC6" w14:textId="77777777" w:rsidR="00644677" w:rsidRPr="00F171A3" w:rsidRDefault="00644677" w:rsidP="00644677">
      <w:r w:rsidRPr="00F171A3">
        <w:t xml:space="preserve">Se remarcă totuși că, un număr ridicat de accidente (cca. 50% din totalul accidentelor înregistrate în 2018) au implicat pietoni sau bicicliști. Acest lucru este îngrijorător întrucât aceștia reprezintă categoriile cele mai vulnerabile în trafic, fiind necesară asigurarea deplasării lor în siguranță prin intervenții specifice de amenajare a infrastructurii dedicate deplasărilor nemotorizate, precum și de gestiune corespunzătoare a traficului și amplasarea marcajelor corespunzătoare, în special în punctele cheie precum marile intersecții. </w:t>
      </w:r>
    </w:p>
    <w:p w14:paraId="5F135600" w14:textId="10175092" w:rsidR="00644677" w:rsidRPr="00F171A3" w:rsidRDefault="00644677" w:rsidP="00644677">
      <w:pPr>
        <w:pStyle w:val="Caption"/>
      </w:pPr>
      <w:bookmarkStart w:id="274" w:name="_Toc127198090"/>
      <w:r w:rsidRPr="00F171A3">
        <w:t xml:space="preserve">Figura </w:t>
      </w:r>
      <w:r w:rsidRPr="00F171A3">
        <w:fldChar w:fldCharType="begin"/>
      </w:r>
      <w:r w:rsidRPr="00F171A3">
        <w:instrText xml:space="preserve"> SEQ Figura \* ARABIC </w:instrText>
      </w:r>
      <w:r w:rsidRPr="00F171A3">
        <w:fldChar w:fldCharType="separate"/>
      </w:r>
      <w:r w:rsidR="005A6DD8">
        <w:rPr>
          <w:noProof/>
        </w:rPr>
        <w:t>102</w:t>
      </w:r>
      <w:r w:rsidRPr="00F171A3">
        <w:fldChar w:fldCharType="end"/>
      </w:r>
      <w:r w:rsidRPr="00F171A3">
        <w:t xml:space="preserve"> Accidente rutiere pe teritoriul Sectorului 2, 2018</w:t>
      </w:r>
      <w:bookmarkEnd w:id="274"/>
    </w:p>
    <w:p w14:paraId="03D72D7F" w14:textId="77777777" w:rsidR="00644677" w:rsidRPr="00F171A3" w:rsidRDefault="00644677" w:rsidP="00644677">
      <w:r w:rsidRPr="00F171A3">
        <w:rPr>
          <w:noProof/>
        </w:rPr>
        <w:drawing>
          <wp:inline distT="0" distB="0" distL="0" distR="0" wp14:anchorId="20368A16" wp14:editId="675C358C">
            <wp:extent cx="5996940" cy="7475220"/>
            <wp:effectExtent l="0" t="0" r="3810" b="0"/>
            <wp:docPr id="165" name="Picture 1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agram&#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b="11838"/>
                    <a:stretch>
                      <a:fillRect/>
                    </a:stretch>
                  </pic:blipFill>
                  <pic:spPr bwMode="auto">
                    <a:xfrm>
                      <a:off x="0" y="0"/>
                      <a:ext cx="5996940" cy="7475220"/>
                    </a:xfrm>
                    <a:prstGeom prst="rect">
                      <a:avLst/>
                    </a:prstGeom>
                    <a:noFill/>
                    <a:ln>
                      <a:noFill/>
                    </a:ln>
                  </pic:spPr>
                </pic:pic>
              </a:graphicData>
            </a:graphic>
          </wp:inline>
        </w:drawing>
      </w:r>
    </w:p>
    <w:p w14:paraId="70F91F66" w14:textId="77777777" w:rsidR="00644677" w:rsidRPr="00F171A3" w:rsidRDefault="00644677" w:rsidP="0046391E">
      <w:pPr>
        <w:jc w:val="right"/>
        <w:rPr>
          <w:color w:val="BFBFBF" w:themeColor="background1" w:themeShade="BF"/>
        </w:rPr>
      </w:pPr>
      <w:r w:rsidRPr="00F171A3">
        <w:rPr>
          <w:color w:val="BFBFBF" w:themeColor="background1" w:themeShade="BF"/>
        </w:rPr>
        <w:t>Sursa: Prelucrarea consultantului pe baza datelor furnizate de Inspectoratul General al Poliției Române</w:t>
      </w:r>
    </w:p>
    <w:p w14:paraId="6EF9B8B0" w14:textId="0FBFFD35" w:rsidR="00644677" w:rsidRPr="00F171A3" w:rsidRDefault="00644677" w:rsidP="00644677"/>
    <w:p w14:paraId="536197D8" w14:textId="3843CE50" w:rsidR="00644677" w:rsidRPr="00F171A3" w:rsidRDefault="00644677" w:rsidP="00A65F3F">
      <w:pPr>
        <w:pStyle w:val="Heading3"/>
        <w:rPr>
          <w:lang w:val="ro-RO"/>
        </w:rPr>
      </w:pPr>
      <w:bookmarkStart w:id="275" w:name="_Toc127199289"/>
      <w:r w:rsidRPr="00F171A3">
        <w:rPr>
          <w:lang w:val="ro-RO"/>
        </w:rPr>
        <w:t>TRANSPORT PUBLIC</w:t>
      </w:r>
      <w:bookmarkEnd w:id="275"/>
    </w:p>
    <w:p w14:paraId="1C4EA509" w14:textId="5A7B776D" w:rsidR="00644677" w:rsidRPr="00F171A3" w:rsidRDefault="00644677" w:rsidP="00A65F3F">
      <w:pPr>
        <w:pStyle w:val="Heading4"/>
      </w:pPr>
      <w:r w:rsidRPr="00F171A3">
        <w:t>TRANSPORT FEROVIAR</w:t>
      </w:r>
    </w:p>
    <w:p w14:paraId="32B5A075" w14:textId="77777777" w:rsidR="00644677" w:rsidRPr="00F171A3" w:rsidRDefault="00644677" w:rsidP="00644677">
      <w:r w:rsidRPr="00F171A3">
        <w:t xml:space="preserve">Accesul la serviciile de transport feroviar se face prin Gara Obor, aceasta fiind conectată la magistrala de cale ferată 800. Deși are un potențial ridicat de a deveni o importantă poartă de acces în oraș, Gara Obor este în prezent mult subutilizată, dispunând de numai 5 curse zilnice (3 spre Fetești și câte una spre Constanța, respectiv București Nord). Acest număr de curse este unul foarte mic în comparație cu capacitatea gării, ce ar putea susține un flux mai ridicat de trenuri zilnice, în special în contextul asigurării accesibilității la nivel metropolitan și chiar regional. </w:t>
      </w:r>
    </w:p>
    <w:p w14:paraId="7CD974C7" w14:textId="77777777" w:rsidR="00644677" w:rsidRPr="00F171A3" w:rsidRDefault="00644677" w:rsidP="00644677">
      <w:r w:rsidRPr="00F171A3">
        <w:t>Gara Obor este cuprinsă și în proiectul de tren metropolitan al municipiului București prevăzut în Planul investițional pentru dezvoltarea infrastructurii de transport pentru perioada 2020-2030</w:t>
      </w:r>
      <w:r w:rsidRPr="00F171A3">
        <w:rPr>
          <w:rStyle w:val="FootnoteReference"/>
        </w:rPr>
        <w:footnoteReference w:id="138"/>
      </w:r>
      <w:r w:rsidRPr="00F171A3">
        <w:t xml:space="preserve">, urmând ca aceasta să fie capăt pentru 5 dintre liniile de tren metropolitan prevăzute la nivelul municipiului, respectiv Gara Obor – Chiajna – Vasile Milea, Gara Obor – Jilava – Vasile Milea, Gara Obor – Tunari – Aeroport Otopeni T1, Gara Obor – Băneasa – Aeroport Otopeni T1 și Gara Obor – Brănești – Islaz. </w:t>
      </w:r>
    </w:p>
    <w:p w14:paraId="3D61F30D" w14:textId="38375571" w:rsidR="00644677" w:rsidRPr="00F171A3" w:rsidRDefault="00644677" w:rsidP="00644677">
      <w:pPr>
        <w:pStyle w:val="Caption"/>
      </w:pPr>
      <w:bookmarkStart w:id="276" w:name="_Toc127198091"/>
      <w:r w:rsidRPr="00F171A3">
        <w:t xml:space="preserve">Figura </w:t>
      </w:r>
      <w:r w:rsidRPr="00F171A3">
        <w:fldChar w:fldCharType="begin"/>
      </w:r>
      <w:r w:rsidRPr="00F171A3">
        <w:instrText xml:space="preserve"> SEQ Figura \* ARABIC </w:instrText>
      </w:r>
      <w:r w:rsidRPr="00F171A3">
        <w:fldChar w:fldCharType="separate"/>
      </w:r>
      <w:r w:rsidR="005A6DD8">
        <w:rPr>
          <w:noProof/>
        </w:rPr>
        <w:t>103</w:t>
      </w:r>
      <w:r w:rsidRPr="00F171A3">
        <w:fldChar w:fldCharType="end"/>
      </w:r>
      <w:r w:rsidRPr="00F171A3">
        <w:t xml:space="preserve"> Tren metropolitan municipiul București - rute planificate</w:t>
      </w:r>
      <w:bookmarkEnd w:id="276"/>
    </w:p>
    <w:p w14:paraId="71B5FDD4" w14:textId="77777777" w:rsidR="00644677" w:rsidRPr="00F171A3" w:rsidRDefault="00644677" w:rsidP="00644677">
      <w:r w:rsidRPr="00F171A3">
        <w:rPr>
          <w:noProof/>
        </w:rPr>
        <w:drawing>
          <wp:inline distT="0" distB="0" distL="0" distR="0" wp14:anchorId="36205489" wp14:editId="1157DF8B">
            <wp:extent cx="5996940" cy="8054340"/>
            <wp:effectExtent l="0" t="0" r="3810" b="3810"/>
            <wp:docPr id="166" name="Picture 16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96940" cy="8054340"/>
                    </a:xfrm>
                    <a:prstGeom prst="rect">
                      <a:avLst/>
                    </a:prstGeom>
                    <a:noFill/>
                    <a:ln>
                      <a:noFill/>
                    </a:ln>
                  </pic:spPr>
                </pic:pic>
              </a:graphicData>
            </a:graphic>
          </wp:inline>
        </w:drawing>
      </w:r>
    </w:p>
    <w:p w14:paraId="6DD7B27D" w14:textId="77777777" w:rsidR="00644677" w:rsidRPr="00F171A3" w:rsidRDefault="00644677" w:rsidP="0046391E">
      <w:pPr>
        <w:jc w:val="right"/>
        <w:rPr>
          <w:color w:val="BFBFBF" w:themeColor="background1" w:themeShade="BF"/>
        </w:rPr>
      </w:pPr>
      <w:r w:rsidRPr="00F171A3">
        <w:rPr>
          <w:color w:val="BFBFBF" w:themeColor="background1" w:themeShade="BF"/>
        </w:rPr>
        <w:t>Sursa: Planul investițional pentru dezvoltarea infrastructurii de transport pentru perioada 2020-2030</w:t>
      </w:r>
    </w:p>
    <w:p w14:paraId="06E744A6" w14:textId="1DE1E422" w:rsidR="00644677" w:rsidRPr="00F171A3" w:rsidRDefault="00644677" w:rsidP="00644677">
      <w:pPr>
        <w:pStyle w:val="Caption"/>
      </w:pPr>
      <w:bookmarkStart w:id="277" w:name="_Toc127198092"/>
      <w:r w:rsidRPr="00F171A3">
        <w:t xml:space="preserve">Figura </w:t>
      </w:r>
      <w:r w:rsidRPr="00F171A3">
        <w:fldChar w:fldCharType="begin"/>
      </w:r>
      <w:r w:rsidRPr="00F171A3">
        <w:instrText xml:space="preserve"> SEQ Figura \* ARABIC </w:instrText>
      </w:r>
      <w:r w:rsidRPr="00F171A3">
        <w:fldChar w:fldCharType="separate"/>
      </w:r>
      <w:r w:rsidR="005A6DD8">
        <w:rPr>
          <w:noProof/>
        </w:rPr>
        <w:t>104</w:t>
      </w:r>
      <w:r w:rsidRPr="00F171A3">
        <w:fldChar w:fldCharType="end"/>
      </w:r>
      <w:r w:rsidRPr="00F171A3">
        <w:t xml:space="preserve"> Izocrone de accesibilitate pietonală față de Gara Obor</w:t>
      </w:r>
      <w:bookmarkEnd w:id="277"/>
    </w:p>
    <w:p w14:paraId="714142AF" w14:textId="77777777" w:rsidR="00644677" w:rsidRPr="00F171A3" w:rsidRDefault="00644677" w:rsidP="00644677">
      <w:r w:rsidRPr="00F171A3">
        <w:rPr>
          <w:noProof/>
        </w:rPr>
        <w:drawing>
          <wp:inline distT="0" distB="0" distL="0" distR="0" wp14:anchorId="73278DD1" wp14:editId="4F787F37">
            <wp:extent cx="5998210" cy="4142740"/>
            <wp:effectExtent l="0" t="0" r="2540" b="0"/>
            <wp:docPr id="167" name="Picture 1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l="21916" t="15810" r="9476"/>
                    <a:stretch>
                      <a:fillRect/>
                    </a:stretch>
                  </pic:blipFill>
                  <pic:spPr bwMode="auto">
                    <a:xfrm>
                      <a:off x="0" y="0"/>
                      <a:ext cx="5998210" cy="4142740"/>
                    </a:xfrm>
                    <a:prstGeom prst="rect">
                      <a:avLst/>
                    </a:prstGeom>
                    <a:noFill/>
                    <a:ln>
                      <a:noFill/>
                    </a:ln>
                  </pic:spPr>
                </pic:pic>
              </a:graphicData>
            </a:graphic>
          </wp:inline>
        </w:drawing>
      </w:r>
    </w:p>
    <w:p w14:paraId="6FA81E1F" w14:textId="77777777" w:rsidR="00644677" w:rsidRPr="00F171A3" w:rsidRDefault="00644677" w:rsidP="0046391E">
      <w:pPr>
        <w:jc w:val="right"/>
        <w:rPr>
          <w:color w:val="BFBFBF" w:themeColor="background1" w:themeShade="BF"/>
        </w:rPr>
      </w:pPr>
      <w:r w:rsidRPr="00F171A3">
        <w:rPr>
          <w:color w:val="BFBFBF" w:themeColor="background1" w:themeShade="BF"/>
        </w:rPr>
        <w:t>Sursa: Openrouteservice</w:t>
      </w:r>
    </w:p>
    <w:p w14:paraId="4DA17454" w14:textId="0AB86F6B" w:rsidR="00644677" w:rsidRPr="00F171A3" w:rsidRDefault="00644677" w:rsidP="00644677">
      <w:r w:rsidRPr="00F171A3">
        <w:t>Cu toate acestea, pentru buna dezvoltare a Gării Obor ca poartă de acces atât în municipiu, cât și la nivel de sector, este necesară îmbunătățirea legăturilor locale către aceasta, în special din punct de vedere al transportului public local și al deplasărilor nemotorizate. Gara Obor dispune de o bună accesibilitate pietonală, într-un interval de 15 minute aceasta deservind mare parte din sector. Cu toate acestea, legăturile către zona de nord a sectorului sunt diminuate semnificativ, acestea presupunând fie ocolirea gării (via Bd. Ferdinand – str. Ziduri Moși – șos. Colentina), fie traversarea la sol a căii ferate spre șos. Electronicii. Pasarela peste calea ferată în acea zonă este extrem de degradată, motiv pentru care ea a fost închisă circulației. Totodată, trebuie avută în vedere și consolidarea legăturii între Gara Obor și stația de metrou Obor, astfel încât să fie asigurat un transfer facil între transportul public local și transportul public intraurban de mare capacitate.</w:t>
      </w:r>
    </w:p>
    <w:p w14:paraId="32162CBC" w14:textId="17BEE42B" w:rsidR="00644677" w:rsidRPr="00F171A3" w:rsidRDefault="00644677" w:rsidP="00644677"/>
    <w:p w14:paraId="1143FE1F" w14:textId="2DF25F8E" w:rsidR="00644677" w:rsidRPr="00F171A3" w:rsidRDefault="00644677" w:rsidP="00A65F3F">
      <w:pPr>
        <w:pStyle w:val="Heading4"/>
      </w:pPr>
      <w:r w:rsidRPr="00F171A3">
        <w:t>TRANSPORT PUBLIC LOCAL</w:t>
      </w:r>
    </w:p>
    <w:p w14:paraId="01DEC93B" w14:textId="77777777" w:rsidR="00644677" w:rsidRPr="00F171A3" w:rsidRDefault="00644677" w:rsidP="00644677">
      <w:r w:rsidRPr="00F171A3">
        <w:t xml:space="preserve">Transportul public local din municipiul București și, implicit, din Sectorul 2 este asigurat prin intermediul operatorilor: Societatea de Transport București (STB) și Metrorex. Totodată, legăturile către localitățile învecinate se realizează atât prin rutele metropolitane oferite de STB, cât și prin intermediul serviciilor de transport public puse la dispoziție de Primăria Orașului Voluntari prin Serviciul Transport Voluntari (STV), ce deservesc parțial și teritoriul Sectorului 2, liniile aferente (407, 409, 411, 412, 413, 417, 451, 460, 461, 467 și 468) având unul dintre capete în zonele Cora Pantelimon și Obor. Astfel, Sectorul 2 dispune de legături directe cu toate localitățile aflate în vecinătatea sectorului (Voluntari, Pantelimon și Dobroești).  </w:t>
      </w:r>
    </w:p>
    <w:p w14:paraId="5ADA8A10" w14:textId="77777777" w:rsidR="00644677" w:rsidRPr="00F171A3" w:rsidRDefault="00644677" w:rsidP="00644677"/>
    <w:p w14:paraId="0CEF7969" w14:textId="77777777" w:rsidR="00644677" w:rsidRPr="00F171A3" w:rsidRDefault="00644677" w:rsidP="00644677">
      <w:r w:rsidRPr="00F171A3">
        <w:t>În ceea ce privește costurile aferente transportului public local, din anul 2022, utilizatorii au la dispoziție posibilitatea de a achiziționa bilete și abonamente integrate pentru serviciile de transport public subterane și de suprafață, prețul acestora fiind după cum urmează:</w:t>
      </w:r>
    </w:p>
    <w:p w14:paraId="5A116358" w14:textId="45CD25F2" w:rsidR="00644677" w:rsidRPr="00F171A3" w:rsidRDefault="00644677">
      <w:pPr>
        <w:pStyle w:val="ListParagraph"/>
        <w:numPr>
          <w:ilvl w:val="0"/>
          <w:numId w:val="96"/>
        </w:numPr>
        <w:contextualSpacing/>
        <w:rPr>
          <w:color w:val="134753" w:themeColor="text2"/>
        </w:rPr>
      </w:pPr>
      <w:r w:rsidRPr="00F171A3">
        <w:rPr>
          <w:color w:val="134753" w:themeColor="text2"/>
        </w:rPr>
        <w:t>1 călătorie (120 min.) – 5 lei;</w:t>
      </w:r>
    </w:p>
    <w:p w14:paraId="681D1BA1" w14:textId="6A358130" w:rsidR="00644677" w:rsidRPr="00F171A3" w:rsidRDefault="00644677">
      <w:pPr>
        <w:pStyle w:val="ListParagraph"/>
        <w:numPr>
          <w:ilvl w:val="0"/>
          <w:numId w:val="96"/>
        </w:numPr>
        <w:contextualSpacing/>
        <w:rPr>
          <w:color w:val="134753" w:themeColor="text2"/>
        </w:rPr>
      </w:pPr>
      <w:r w:rsidRPr="00F171A3">
        <w:rPr>
          <w:color w:val="134753" w:themeColor="text2"/>
        </w:rPr>
        <w:t>10 călătorii (120 min. fiecare) – 45 lei;</w:t>
      </w:r>
    </w:p>
    <w:p w14:paraId="3FB9E893" w14:textId="21AA0B32" w:rsidR="00644677" w:rsidRPr="00F171A3" w:rsidRDefault="00644677">
      <w:pPr>
        <w:pStyle w:val="ListParagraph"/>
        <w:numPr>
          <w:ilvl w:val="0"/>
          <w:numId w:val="96"/>
        </w:numPr>
        <w:contextualSpacing/>
        <w:rPr>
          <w:color w:val="134753" w:themeColor="text2"/>
        </w:rPr>
      </w:pPr>
      <w:r w:rsidRPr="00F171A3">
        <w:rPr>
          <w:color w:val="134753" w:themeColor="text2"/>
        </w:rPr>
        <w:t>Abonament de 1 zi – 14 lei;</w:t>
      </w:r>
    </w:p>
    <w:p w14:paraId="5A1C1742" w14:textId="137C4134" w:rsidR="00644677" w:rsidRPr="00F171A3" w:rsidRDefault="00644677">
      <w:pPr>
        <w:pStyle w:val="ListParagraph"/>
        <w:numPr>
          <w:ilvl w:val="0"/>
          <w:numId w:val="96"/>
        </w:numPr>
        <w:contextualSpacing/>
        <w:rPr>
          <w:color w:val="134753" w:themeColor="text2"/>
        </w:rPr>
      </w:pPr>
      <w:r w:rsidRPr="00F171A3">
        <w:rPr>
          <w:color w:val="134753" w:themeColor="text2"/>
        </w:rPr>
        <w:t>Abonament de 3 zile – 35 lei;</w:t>
      </w:r>
    </w:p>
    <w:p w14:paraId="02B5203D" w14:textId="20DE18AC" w:rsidR="00644677" w:rsidRPr="00F171A3" w:rsidRDefault="00644677">
      <w:pPr>
        <w:pStyle w:val="ListParagraph"/>
        <w:numPr>
          <w:ilvl w:val="0"/>
          <w:numId w:val="96"/>
        </w:numPr>
        <w:contextualSpacing/>
        <w:rPr>
          <w:color w:val="134753" w:themeColor="text2"/>
        </w:rPr>
      </w:pPr>
      <w:r w:rsidRPr="00F171A3">
        <w:rPr>
          <w:color w:val="134753" w:themeColor="text2"/>
        </w:rPr>
        <w:t>Abonament de 1 săptămână – 50 lei;</w:t>
      </w:r>
    </w:p>
    <w:p w14:paraId="79A26ECB" w14:textId="77777777" w:rsidR="00644677" w:rsidRPr="00F171A3" w:rsidRDefault="00644677">
      <w:pPr>
        <w:pStyle w:val="ListParagraph"/>
        <w:numPr>
          <w:ilvl w:val="0"/>
          <w:numId w:val="96"/>
        </w:numPr>
        <w:contextualSpacing/>
        <w:rPr>
          <w:color w:val="134753" w:themeColor="text2"/>
        </w:rPr>
      </w:pPr>
      <w:r w:rsidRPr="00F171A3">
        <w:rPr>
          <w:color w:val="134753" w:themeColor="text2"/>
        </w:rPr>
        <w:t xml:space="preserve">Abonament de 1 lună – 140 lei. </w:t>
      </w:r>
    </w:p>
    <w:p w14:paraId="67814926" w14:textId="77777777" w:rsidR="00644677" w:rsidRPr="00F171A3" w:rsidRDefault="00644677" w:rsidP="00644677">
      <w:r w:rsidRPr="00F171A3">
        <w:t>Aceștia au în continuare și posibilitatea de a opta pentru bilete / abonamente separate pentru cele două servicii de transport public, caz în care tarifele sunt ceva mai reduse, respectiv:</w:t>
      </w:r>
    </w:p>
    <w:p w14:paraId="65E01AD5" w14:textId="03653B7B" w:rsidR="00644677" w:rsidRPr="00F171A3" w:rsidRDefault="00644677">
      <w:pPr>
        <w:pStyle w:val="ListParagraph"/>
        <w:numPr>
          <w:ilvl w:val="0"/>
          <w:numId w:val="97"/>
        </w:numPr>
        <w:contextualSpacing/>
        <w:rPr>
          <w:color w:val="134753" w:themeColor="text2"/>
        </w:rPr>
      </w:pPr>
      <w:r w:rsidRPr="00F171A3">
        <w:rPr>
          <w:color w:val="134753" w:themeColor="text2"/>
        </w:rPr>
        <w:t>1 călătorie (90 min. numai la STB) – 3 lei;</w:t>
      </w:r>
    </w:p>
    <w:p w14:paraId="61724A06" w14:textId="5DA78B9D" w:rsidR="00644677" w:rsidRPr="00F171A3" w:rsidRDefault="00644677">
      <w:pPr>
        <w:pStyle w:val="ListParagraph"/>
        <w:numPr>
          <w:ilvl w:val="0"/>
          <w:numId w:val="97"/>
        </w:numPr>
        <w:contextualSpacing/>
        <w:rPr>
          <w:color w:val="134753" w:themeColor="text2"/>
        </w:rPr>
      </w:pPr>
      <w:r w:rsidRPr="00F171A3">
        <w:rPr>
          <w:color w:val="134753" w:themeColor="text2"/>
        </w:rPr>
        <w:t>10 călătorii (90 min. fiecare numai la STB) – 25 lei;</w:t>
      </w:r>
    </w:p>
    <w:p w14:paraId="788EB08D" w14:textId="7FA3ED22" w:rsidR="00644677" w:rsidRPr="00F171A3" w:rsidRDefault="00644677">
      <w:pPr>
        <w:pStyle w:val="ListParagraph"/>
        <w:numPr>
          <w:ilvl w:val="0"/>
          <w:numId w:val="97"/>
        </w:numPr>
        <w:contextualSpacing/>
        <w:rPr>
          <w:color w:val="134753" w:themeColor="text2"/>
        </w:rPr>
      </w:pPr>
      <w:r w:rsidRPr="00F171A3">
        <w:rPr>
          <w:color w:val="134753" w:themeColor="text2"/>
        </w:rPr>
        <w:t>Abonament de 1 zi – 8 lei;</w:t>
      </w:r>
    </w:p>
    <w:p w14:paraId="15181267" w14:textId="4ECD2F28" w:rsidR="00644677" w:rsidRPr="00F171A3" w:rsidRDefault="00644677">
      <w:pPr>
        <w:pStyle w:val="ListParagraph"/>
        <w:numPr>
          <w:ilvl w:val="0"/>
          <w:numId w:val="97"/>
        </w:numPr>
        <w:contextualSpacing/>
        <w:rPr>
          <w:color w:val="134753" w:themeColor="text2"/>
        </w:rPr>
      </w:pPr>
      <w:r w:rsidRPr="00F171A3">
        <w:rPr>
          <w:color w:val="134753" w:themeColor="text2"/>
        </w:rPr>
        <w:t>Abonament de 3 zile – 20 lei;</w:t>
      </w:r>
    </w:p>
    <w:p w14:paraId="5786B296" w14:textId="3096EA79" w:rsidR="00644677" w:rsidRPr="00F171A3" w:rsidRDefault="00644677">
      <w:pPr>
        <w:pStyle w:val="ListParagraph"/>
        <w:numPr>
          <w:ilvl w:val="0"/>
          <w:numId w:val="97"/>
        </w:numPr>
        <w:contextualSpacing/>
        <w:rPr>
          <w:color w:val="134753" w:themeColor="text2"/>
        </w:rPr>
      </w:pPr>
      <w:r w:rsidRPr="00F171A3">
        <w:rPr>
          <w:color w:val="134753" w:themeColor="text2"/>
        </w:rPr>
        <w:t>Abonament de 1 săptămână – 30 lei;</w:t>
      </w:r>
    </w:p>
    <w:p w14:paraId="657E1508" w14:textId="77777777" w:rsidR="00644677" w:rsidRPr="00F171A3" w:rsidRDefault="00644677">
      <w:pPr>
        <w:pStyle w:val="ListParagraph"/>
        <w:numPr>
          <w:ilvl w:val="0"/>
          <w:numId w:val="97"/>
        </w:numPr>
        <w:contextualSpacing/>
        <w:rPr>
          <w:color w:val="134753" w:themeColor="text2"/>
        </w:rPr>
      </w:pPr>
      <w:r w:rsidRPr="00F171A3">
        <w:rPr>
          <w:color w:val="134753" w:themeColor="text2"/>
        </w:rPr>
        <w:t xml:space="preserve">Abonament de 1 lună – 80 lei. </w:t>
      </w:r>
    </w:p>
    <w:p w14:paraId="30F9CD5E" w14:textId="77777777" w:rsidR="00644677" w:rsidRPr="00F171A3" w:rsidRDefault="00644677" w:rsidP="00644677">
      <w:r w:rsidRPr="00F171A3">
        <w:t>Recent pachetele tarifare au fost completate abonamente integrate (metrou, tren și transport de suprafață – urban/metropolitan) configurate pe 24/72 ore sau 1/6/12 luni. Astfel locuitorii Sectorului 2 dar și cei din împrejurimi au acces facil dotările de interes fără a fi nevoiți să achiziționeze bilete sau abonamente multiple.</w:t>
      </w:r>
    </w:p>
    <w:p w14:paraId="7A48537B" w14:textId="77777777" w:rsidR="00644677" w:rsidRPr="00F171A3" w:rsidRDefault="00644677" w:rsidP="00644677">
      <w:r w:rsidRPr="00F171A3">
        <w:t xml:space="preserve">În ultimii ani au fost diversificate și modalitățile de plată a biletelor / abonamentelor, astfel că acestea se pot achiziționa în mod direct de la punctele de vânzare și/sau chioșcurile amenajate în vecinătatea anumitor stații de transport public de suprafață sau de la metrou, precum și de la anumite oficii poștale din București. Pentru serviciile de transport public de suprafață oferite de STB plata se poate realiza și prin metode digitale, respectiv site-ul STB (banii sunt încărcați pe card în 24h), prin SMS sau prin intermediul unor aplicații (ex. 24pay). Totodată, la metrou și în anumite mijloace de transport de suprafață, utilizatorii pot plăti direct cu cardul bancar la dispozitivele special amenajate (turnicheți, respectiv aparate de taxare). </w:t>
      </w:r>
    </w:p>
    <w:p w14:paraId="43B788B3" w14:textId="7CBB4A05" w:rsidR="00644677" w:rsidRPr="00F171A3" w:rsidRDefault="00644677" w:rsidP="00644677">
      <w:r w:rsidRPr="00F171A3">
        <w:t>A fost îmbunătățit și accesul la informații pentru utilizatori. Cetățenii au la dispoziție platformele Google Maps și Moovit pentru planificarea rutelor de transport public la nivelul orașului. De asemenea, STB dispune de propria aplicația – Info Transport București, ce permite planificarea rutelor cu transportul public, punând la dispoziție informații actualizate în timp real cu privire la sosirea următorului mijloc de transport în comun. Planificatorul de rute oferit de STB include și liniile de metrou și cele de transport public metropolitan dar lipsesc încă informații cu privire la trenuri (mai ales grenul Gara de Nord-Aeroport Henri Coandă).</w:t>
      </w:r>
    </w:p>
    <w:p w14:paraId="73040DF8" w14:textId="77777777" w:rsidR="00644677" w:rsidRPr="00F171A3" w:rsidRDefault="00644677" w:rsidP="00644677">
      <w:r w:rsidRPr="00F171A3">
        <w:t>Confortul furnizat de serviciul de transport public a crescut considerabil în ultimii ani prin investițiile de modernizare a flotei (130 autobuze hibrid, 400 autobuze diesel Euro 6) și prin investițiile de modernizare a stațiilor de transport public. Cu toate acestea, flota de tramvaie este învechită – vechime medie de peste 20 de ani (se păstrează încă 80 de tramvaie Tatra fabricate între 1973 și 1975), ne accesibilizată iar majoritatea tramvaielor nu dispun de aer condiționat. Problema flotei învechite, fără aer condiționat se aplică și la autobuze (aprox. 750 de autobuze Mercedes Citaro active – cu normă de poluare Euro 4-5) sau troleibuze (ex. 90 de troleibuze Ikarus active cu o vechime de peste 20 de ani). Pentru a ameliora aceste probleme PMB continuă programul de modernizarea a flotei prin achiziția a 100 de tramvaie (contract semnat cu Astra Arad), achiziția de 100 de autobuze electrice și noile proiecte depuse pe PNRR (46 de tramvaie, 135 de autobuze electrice și 8 troleibuze cu autonomie).</w:t>
      </w:r>
    </w:p>
    <w:p w14:paraId="7D98E637" w14:textId="77777777" w:rsidR="00644677" w:rsidRPr="00F171A3" w:rsidRDefault="00644677" w:rsidP="00644677">
      <w:r w:rsidRPr="00F171A3">
        <w:t>În ceea ce privește stațiile de așteptare, în cazul transportului public de suprafață acestea au fost modernizate în ultimii ani, fiind înlocuite cu stații moderne, ce oferă protecție împotriva intemperiilor și loc de odihnă</w:t>
      </w:r>
      <w:r w:rsidRPr="00F171A3">
        <w:rPr>
          <w:rStyle w:val="FootnoteReference"/>
        </w:rPr>
        <w:footnoteReference w:id="139"/>
      </w:r>
      <w:r w:rsidRPr="00F171A3">
        <w:t xml:space="preserve">. Totuși, acestea nu dispun încă de panouri digitale de afișare a informațiilor în timp real cu privire la sosirea mijloacelor de transport în comun.. În cazul metroului, stațiile sunt dotate cu hărți ale rețelelor, fiind de asemenea prezente și panouri digitale care prezintă ora de sosire a metroului sau timpul trecut de la sosirea metroului precedent, după caz. </w:t>
      </w:r>
    </w:p>
    <w:p w14:paraId="6DC4C763" w14:textId="77777777" w:rsidR="00644677" w:rsidRPr="00F171A3" w:rsidRDefault="00644677" w:rsidP="00644677">
      <w:r w:rsidRPr="00F171A3">
        <w:t>Un alt aspect cheie în analiza transportului public local pentru Sectorul 2 este dat de deservirea cu transport public a teritoriului. Astfel, se remarcă faptul că Sectorul 2 este destul de bine acoperit de transportul public de suprafață, existând totuși și câteva excepții, precum segmente din cartierele Tei (ex. str. Gheorghe Țițeica), Andronache (la nord de șos. Colentina), Creangă (la sud de șos. Colentina) sau zona Tei-Toboc. Deși cartierul Ion Creangă are în proximitatea sa linia 343 (frecvență de 20 min.) actuala tramă stradală nu oferă suficiente conexiuni cu str. Drumul Gării pe care circulă autobuzele. Astfel linia deservește cu precădere locuitorii comunei Dobroești.</w:t>
      </w:r>
    </w:p>
    <w:p w14:paraId="31220119" w14:textId="77777777" w:rsidR="00644677" w:rsidRPr="00F171A3" w:rsidRDefault="00644677" w:rsidP="00644677">
      <w:r w:rsidRPr="00F171A3">
        <w:t xml:space="preserve">Pentru îmbunătățirea deservirii cu transport public a teritoriului Sectorului 2, primăria are în vedere elaborarea unui studiu de fezabilitate pentru Modernizarea și extinderea căii de rulare a tramvaiului pe traseul bd. Dimitrie Pompei – șos. Petricani – calea ferată – bd. Lacul Tei (intersecție cu str. Doamna Ghica) – bd. Chișinău – șos. Pantelimon – bd. Basarabia – șos. Vergului, urmând ca serviciile de elaborare să fie scoase spre achiziție publică în anul 2022. </w:t>
      </w:r>
    </w:p>
    <w:p w14:paraId="4AD2DDBE" w14:textId="6B38804E" w:rsidR="00A65F3F" w:rsidRPr="00F171A3" w:rsidRDefault="00644677" w:rsidP="00A65F3F">
      <w:pPr>
        <w:pStyle w:val="Caption"/>
      </w:pPr>
      <w:bookmarkStart w:id="278" w:name="_Toc127198093"/>
      <w:r w:rsidRPr="00F171A3">
        <w:t xml:space="preserve">Figura </w:t>
      </w:r>
      <w:r w:rsidRPr="00F171A3">
        <w:fldChar w:fldCharType="begin"/>
      </w:r>
      <w:r w:rsidRPr="00F171A3">
        <w:instrText xml:space="preserve"> SEQ Figura \* ARABIC </w:instrText>
      </w:r>
      <w:r w:rsidRPr="00F171A3">
        <w:fldChar w:fldCharType="separate"/>
      </w:r>
      <w:r w:rsidR="005A6DD8">
        <w:rPr>
          <w:noProof/>
        </w:rPr>
        <w:t>105</w:t>
      </w:r>
      <w:r w:rsidRPr="00F171A3">
        <w:fldChar w:fldCharType="end"/>
      </w:r>
      <w:r w:rsidRPr="00F171A3">
        <w:t xml:space="preserve"> Deservirea Sectorului 2 cu transportul public de suprafață</w:t>
      </w:r>
      <w:bookmarkEnd w:id="278"/>
    </w:p>
    <w:p w14:paraId="547C2D4D" w14:textId="0D888E97" w:rsidR="00644677" w:rsidRPr="00F171A3" w:rsidRDefault="00A65F3F" w:rsidP="00644677">
      <w:r w:rsidRPr="00F171A3">
        <w:rPr>
          <w:noProof/>
        </w:rPr>
        <w:drawing>
          <wp:inline distT="0" distB="0" distL="0" distR="0" wp14:anchorId="2B183EB0" wp14:editId="09A156B8">
            <wp:extent cx="5998210" cy="7904695"/>
            <wp:effectExtent l="0" t="0" r="2540" b="127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7">
                      <a:extLst>
                        <a:ext uri="{28A0092B-C50C-407E-A947-70E740481C1C}">
                          <a14:useLocalDpi xmlns:a14="http://schemas.microsoft.com/office/drawing/2010/main" val="0"/>
                        </a:ext>
                      </a:extLst>
                    </a:blip>
                    <a:srcRect t="6726"/>
                    <a:stretch/>
                  </pic:blipFill>
                  <pic:spPr bwMode="auto">
                    <a:xfrm>
                      <a:off x="0" y="0"/>
                      <a:ext cx="5998210" cy="7904695"/>
                    </a:xfrm>
                    <a:prstGeom prst="rect">
                      <a:avLst/>
                    </a:prstGeom>
                    <a:noFill/>
                    <a:ln>
                      <a:noFill/>
                    </a:ln>
                    <a:extLst>
                      <a:ext uri="{53640926-AAD7-44D8-BBD7-CCE9431645EC}">
                        <a14:shadowObscured xmlns:a14="http://schemas.microsoft.com/office/drawing/2010/main"/>
                      </a:ext>
                    </a:extLst>
                  </pic:spPr>
                </pic:pic>
              </a:graphicData>
            </a:graphic>
          </wp:inline>
        </w:drawing>
      </w:r>
    </w:p>
    <w:p w14:paraId="3AE2CC8C" w14:textId="77777777" w:rsidR="00644677" w:rsidRPr="00F171A3" w:rsidRDefault="00644677" w:rsidP="0046391E">
      <w:pPr>
        <w:jc w:val="right"/>
        <w:rPr>
          <w:color w:val="BFBFBF" w:themeColor="background1" w:themeShade="BF"/>
        </w:rPr>
      </w:pPr>
      <w:r w:rsidRPr="00F171A3">
        <w:rPr>
          <w:color w:val="BFBFBF" w:themeColor="background1" w:themeShade="BF"/>
        </w:rPr>
        <w:t xml:space="preserve">Sursa: Adaptare după Strategia Integrată de Dezvoltare urbană (SIDU) a municipiului București - </w:t>
      </w:r>
      <w:hyperlink r:id="rId168" w:history="1">
        <w:r w:rsidRPr="00F171A3">
          <w:rPr>
            <w:rStyle w:val="Hyperlink"/>
            <w:color w:val="BFBFBF" w:themeColor="background1" w:themeShade="BF"/>
          </w:rPr>
          <w:t>https://estibucuresti.org/sidu</w:t>
        </w:r>
      </w:hyperlink>
    </w:p>
    <w:p w14:paraId="29CDF98B" w14:textId="77777777" w:rsidR="00644677" w:rsidRPr="00F171A3" w:rsidRDefault="00644677" w:rsidP="00644677">
      <w:r w:rsidRPr="00F171A3">
        <w:t xml:space="preserve">Alături de Sectorul 5, Sectorul 2 se află în rândul sectoarelor cu o deservire precară a rețelei de metrou. Pe teritoriul Sectorului 2 se regăsesc numai 5 stații de metrou (Ștefan cel Mare, Obor, Piața Iancului, Piața Muncii și Pipera) acestea fiind parte din linia inelară (exceptând Pipera). Sectorul 2 nu dispune încă de o linie de metrou radială, care să asigure legătura cu zona centrală. Sectorul 2 se află în raza de deservire a stațiilor Aurel Vlaicu, Piața Romană, Universitate, Costin Georgian și Republica. Acestea acoperă numai zonele de sud-vest, nord-vest (parțial) și sud-est (parțial) ale Sectorului 2, existând multiple zone cu o densitate ridicată (peste 100 de locuitori / ha) ce nu dispun de acces facil la o stație de metrou (ex. Colentina, Tei, Doamna Ghica, Floreasca, Pantelimon, Andronache). </w:t>
      </w:r>
    </w:p>
    <w:p w14:paraId="5DEB0570" w14:textId="66CA242E" w:rsidR="00644677" w:rsidRPr="00F171A3" w:rsidRDefault="00644677" w:rsidP="00644677">
      <w:pPr>
        <w:pStyle w:val="Caption"/>
      </w:pPr>
      <w:bookmarkStart w:id="279" w:name="_Toc127198094"/>
      <w:r w:rsidRPr="00F171A3">
        <w:t xml:space="preserve">Figura </w:t>
      </w:r>
      <w:r w:rsidRPr="00F171A3">
        <w:fldChar w:fldCharType="begin"/>
      </w:r>
      <w:r w:rsidRPr="00F171A3">
        <w:instrText xml:space="preserve"> SEQ Figura \* ARABIC </w:instrText>
      </w:r>
      <w:r w:rsidRPr="00F171A3">
        <w:fldChar w:fldCharType="separate"/>
      </w:r>
      <w:r w:rsidR="005A6DD8">
        <w:rPr>
          <w:noProof/>
        </w:rPr>
        <w:t>106</w:t>
      </w:r>
      <w:r w:rsidRPr="00F171A3">
        <w:fldChar w:fldCharType="end"/>
      </w:r>
      <w:r w:rsidRPr="00F171A3">
        <w:t xml:space="preserve"> Deservirea Sectorului 2 cu transportul public subteran</w:t>
      </w:r>
      <w:bookmarkEnd w:id="279"/>
    </w:p>
    <w:p w14:paraId="1C3C7F84" w14:textId="77777777" w:rsidR="00644677" w:rsidRPr="00F171A3" w:rsidRDefault="00644677" w:rsidP="00644677">
      <w:r w:rsidRPr="00F171A3">
        <w:rPr>
          <w:noProof/>
        </w:rPr>
        <w:drawing>
          <wp:inline distT="0" distB="0" distL="0" distR="0" wp14:anchorId="1A436CCF" wp14:editId="27B207A2">
            <wp:extent cx="5996940" cy="7696200"/>
            <wp:effectExtent l="0" t="0" r="3810" b="0"/>
            <wp:docPr id="170" name="Picture 1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agram&#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b="9254"/>
                    <a:stretch>
                      <a:fillRect/>
                    </a:stretch>
                  </pic:blipFill>
                  <pic:spPr bwMode="auto">
                    <a:xfrm>
                      <a:off x="0" y="0"/>
                      <a:ext cx="5996940" cy="7696200"/>
                    </a:xfrm>
                    <a:prstGeom prst="rect">
                      <a:avLst/>
                    </a:prstGeom>
                    <a:noFill/>
                    <a:ln>
                      <a:noFill/>
                    </a:ln>
                  </pic:spPr>
                </pic:pic>
              </a:graphicData>
            </a:graphic>
          </wp:inline>
        </w:drawing>
      </w:r>
    </w:p>
    <w:p w14:paraId="57F4BF06" w14:textId="77777777" w:rsidR="00644677" w:rsidRPr="00F171A3" w:rsidRDefault="00644677" w:rsidP="0046391E">
      <w:pPr>
        <w:jc w:val="right"/>
        <w:rPr>
          <w:color w:val="BFBFBF" w:themeColor="background1" w:themeShade="BF"/>
        </w:rPr>
      </w:pPr>
      <w:r w:rsidRPr="00F171A3">
        <w:rPr>
          <w:color w:val="BFBFBF" w:themeColor="background1" w:themeShade="BF"/>
        </w:rPr>
        <w:t>Sursa: Prelucrarea consultantului pe baza datelor furnizate de Openrouteservice</w:t>
      </w:r>
    </w:p>
    <w:p w14:paraId="63511B60" w14:textId="77777777" w:rsidR="00644677" w:rsidRPr="00F171A3" w:rsidRDefault="00644677" w:rsidP="00644677">
      <w:r w:rsidRPr="00F171A3">
        <w:t>Există planificate o serie de proiecte pentru extinderea liniilor de metrou la nivelul municipiului, acestea urmând să îmbunătățească și deservirea Sectorului 2. Astfel, unele dintre cele mai importante proiecte de infrastructură pentru sector sunt următoarele</w:t>
      </w:r>
      <w:r w:rsidRPr="00F171A3">
        <w:rPr>
          <w:rStyle w:val="FootnoteReference"/>
        </w:rPr>
        <w:footnoteReference w:id="140"/>
      </w:r>
      <w:r w:rsidRPr="00F171A3">
        <w:t>:</w:t>
      </w:r>
    </w:p>
    <w:p w14:paraId="399415AE" w14:textId="77777777" w:rsidR="00644677" w:rsidRPr="00F171A3" w:rsidRDefault="00644677">
      <w:pPr>
        <w:pStyle w:val="ListParagraph"/>
        <w:numPr>
          <w:ilvl w:val="0"/>
          <w:numId w:val="98"/>
        </w:numPr>
        <w:contextualSpacing/>
        <w:rPr>
          <w:color w:val="134753" w:themeColor="text2"/>
        </w:rPr>
      </w:pPr>
      <w:r w:rsidRPr="00F171A3">
        <w:rPr>
          <w:color w:val="134753" w:themeColor="text2"/>
        </w:rPr>
        <w:t>Construcție magistrala 7 de metrou Voluntari – Bragadiru – estimat finalizare în 2037;</w:t>
      </w:r>
    </w:p>
    <w:p w14:paraId="01108BF5" w14:textId="77777777" w:rsidR="00644677" w:rsidRPr="00F171A3" w:rsidRDefault="00644677">
      <w:pPr>
        <w:pStyle w:val="ListParagraph"/>
        <w:numPr>
          <w:ilvl w:val="0"/>
          <w:numId w:val="98"/>
        </w:numPr>
        <w:contextualSpacing/>
        <w:rPr>
          <w:color w:val="134753" w:themeColor="text2"/>
        </w:rPr>
      </w:pPr>
      <w:r w:rsidRPr="00F171A3">
        <w:rPr>
          <w:color w:val="134753" w:themeColor="text2"/>
        </w:rPr>
        <w:t>Construcție magistrala 5 de metrou (continuare) Eroilor – Universitate – Iancului – Pantelimon – estimat finalizare în 2027 (SF în lucru);</w:t>
      </w:r>
    </w:p>
    <w:p w14:paraId="72D5DE03" w14:textId="77777777" w:rsidR="00644677" w:rsidRPr="00F171A3" w:rsidRDefault="00644677">
      <w:pPr>
        <w:pStyle w:val="ListParagraph"/>
        <w:numPr>
          <w:ilvl w:val="0"/>
          <w:numId w:val="98"/>
        </w:numPr>
        <w:contextualSpacing/>
        <w:rPr>
          <w:color w:val="134753" w:themeColor="text2"/>
        </w:rPr>
      </w:pPr>
      <w:r w:rsidRPr="00F171A3">
        <w:rPr>
          <w:color w:val="134753" w:themeColor="text2"/>
        </w:rPr>
        <w:t xml:space="preserve">Extensie magistrala 2 de metrou Pipera – Petricani. </w:t>
      </w:r>
    </w:p>
    <w:p w14:paraId="11B31926" w14:textId="77777777" w:rsidR="00644677" w:rsidRPr="00F171A3" w:rsidRDefault="00644677" w:rsidP="00644677">
      <w:r w:rsidRPr="00F171A3">
        <w:t xml:space="preserve">O dată finalizate, noile linii de metrou vor acoperi o suprafață mai amplă a Sectorului 2, deservind și cartiere precum Pantelimon, Colentina sau Andronache și, totodată, asigurând o mai bună legătură cu zona centrală. Cu toate acestea, cartiere precum Tei sau Floreasca vor rămâne în continuare nedeservite (parțial) de transportul public subteran. Totodată, la nivelul Sectorului 2 sunt urmărite și investiții de extindere și modernizare a stațiilor existente, respectiv a stației de metrou Pipera, urmând ca achiziția publică pentru elaborarea documentațiilor aferente să fie demarată în anul 2022. </w:t>
      </w:r>
    </w:p>
    <w:p w14:paraId="70457FEE" w14:textId="7F605017" w:rsidR="00644677" w:rsidRPr="00F171A3" w:rsidRDefault="00644677" w:rsidP="00644677">
      <w:r w:rsidRPr="00F171A3">
        <w:t xml:space="preserve">Performanța sistemului de transport public este în mare măsură dependentă de viteza comercială și modul în care liniile de transport public reușesc sau nu să fie competitive cu deplasările cu autoturismul personal pe aceeași ruta (origine – destinație). În acest sens, în ultimii 5 ani au fost realizate progrese semnificative prin amenajarea de benzi dedicate pentru transportul public. În Sectorul 2, pe șos. Colentina șos. Ștefan cel Mare și șos. Mihai Bravu liniile de tramvai au fost delimitate de traficul general prin garduri metalice, pe șos. Pantelimon (până la intersecția cu șos. Iancului) liniile de tramvai sunt </w:t>
      </w:r>
      <w:r w:rsidR="00C66438" w:rsidRPr="00F171A3">
        <w:t>înierbate</w:t>
      </w:r>
      <w:r w:rsidRPr="00F171A3">
        <w:t xml:space="preserve"> iar linia de pe str. Petricani era oricum amenajată în afara profilului rutier. Pe liniile de tramvai delimitate prin garduri metalice circulă mai nou și autobuzele. Aceste măsuri au permis creșterea semnificativă a vitezei comerciale astfel încât de exemplu pe direcția Colentina – Centrul Istoric (sf. Gheorghe) diferența autoturism și tramvai este de 1-2 minute, în orele de vârf traseul se realizează chiar mai repede cu tramvaiul decât cu autoturismul. Problemele cele mai grave sunt însă la nivelul infrastructurii de tramvai, o mare parte din liniile de tramvai care necesită reparații urgente se află pe raza Sectorului 2. Cele două legături cu zona de birouri Pipera – Aurel Vlaicu necesită reparații de urgență. Linia 5 a fost repusă recent în funcțiune însă șinele sunt foarte degradate iar zgomotul și trepidațiile generate de tramvai reduc calitatea </w:t>
      </w:r>
      <w:r w:rsidR="00C66438" w:rsidRPr="00F171A3">
        <w:t>locuirii</w:t>
      </w:r>
      <w:r w:rsidRPr="00F171A3">
        <w:t xml:space="preserve"> în lungul acesteia. La liniile 16 și 36 sectorul critic este pe str. Maica Domnului, str. Reînvierii și str. Lizeanu. În general toate liniile de tramvai din centrul istoric au fie probleme în ceea ce privește degradarea sau de congestie întrucât nu sunt separate de traficul rutier.</w:t>
      </w:r>
    </w:p>
    <w:p w14:paraId="3549CEB7" w14:textId="77777777" w:rsidR="00644677" w:rsidRPr="00F171A3" w:rsidRDefault="00644677" w:rsidP="00644677">
      <w:r w:rsidRPr="00F171A3">
        <w:t xml:space="preserve">În cazul metroului viteza comercială este una mult mai ridicată în comparație cu transportul public de suprafață. Legăturile de care dispune în prezent Sectorul 2 sunt însă mai puțin eficiente. Doar o mică parte din populația Sectorului 2 poate accesa linia de metrou și este oricum nevoită să schimbe magistrala la Piața Victoriei pentru a putea accesa principalele zone de interes (zona de birouri Pipera-Aurel Vlaicu sau Centrul Istoric). Marile cartiere rezidențiale cu o densitate ridicată a populației (Colentina, Pantelimon, Tei) nu sunt conectate la rețeaua de metrou. </w:t>
      </w:r>
    </w:p>
    <w:p w14:paraId="46489E35" w14:textId="49D46BCF" w:rsidR="00644677" w:rsidRPr="00F171A3" w:rsidRDefault="00644677" w:rsidP="00644677">
      <w:r w:rsidRPr="00F171A3">
        <w:t>În acest context, este necesară optimizarea legăturilor cu principalele zone de interes din sector și din municipiu, pentru a crește atractivitatea serviciilor de transport public în rândul cetățenilor, aceasta putând să fie o măsură cheie în descurajarea utilizării autovehiculului personal. De asemenea, va fi importantă și corelarea rețelei de transport public local cu cea de transport județean / regional și dezvoltarea nodurilor intermodale (mai ales P&amp;R) pentru a putea reduce fluxurile de autoturisme care vin din periurban. Totuși, pentru Sectorul 2 prioritatea constă în revitalizarea tramvaiului (modernizări de linii, achiziție de flotă și prioritizare: șos. Pantelimon, șos. M. Bravu, Barbu Văcărescu / C. A. Șerbănescu sau Calea Moșilor) și pe termen mediu-lung dezvoltarea rețelei de metrou.</w:t>
      </w:r>
    </w:p>
    <w:p w14:paraId="7538BB90" w14:textId="1C807B93" w:rsidR="00644677" w:rsidRPr="00F171A3" w:rsidRDefault="00644677" w:rsidP="00644677"/>
    <w:p w14:paraId="08117E6A" w14:textId="569973D5" w:rsidR="00644677" w:rsidRPr="00F171A3" w:rsidRDefault="00644677" w:rsidP="00A65F3F">
      <w:pPr>
        <w:pStyle w:val="Heading4"/>
      </w:pPr>
      <w:r w:rsidRPr="00F171A3">
        <w:t>INTERMODALITATE</w:t>
      </w:r>
    </w:p>
    <w:p w14:paraId="796B46D4" w14:textId="77777777" w:rsidR="00644677" w:rsidRPr="00F171A3" w:rsidRDefault="00644677" w:rsidP="00644677">
      <w:r w:rsidRPr="00F171A3">
        <w:t xml:space="preserve">În ceea ce privește intermodalitatea, pe teritoriul Sectorului 2 sunt conturate 2 noduri intermodale, amenajate minimal și care funcționează relativ bine. Unul dintre aceste noduri intermodale este marcat de Gara Obor, ce asigură transferul între transport feroviar, transport intraurban (prin intermediul Autogării Obor), transport public local de suprafață, taxiuri și locuri de parcare. Cel de-al doilea nod intermodal este stația de metrou Obor, ce asigură transferul între transport public local subteran și transportul public local de suprafață, precum și către taxiuri și locuri de parcare. </w:t>
      </w:r>
    </w:p>
    <w:p w14:paraId="617EBD17" w14:textId="38FE1C03" w:rsidR="00644677" w:rsidRPr="00F171A3" w:rsidRDefault="00644677" w:rsidP="00644677">
      <w:r w:rsidRPr="00F171A3">
        <w:t>Pe lângă acestea două, a mai fost inaugurat recent un nod intermodal în vecinătatea Cora Pantelimon, acesta dispunând și de o parcare de tip park&amp;ride care preia traficul din zona periurbană, în special din comunele Dobroești și Pantelimon.</w:t>
      </w:r>
    </w:p>
    <w:p w14:paraId="57FD876C" w14:textId="003D46D7" w:rsidR="00644677" w:rsidRPr="00F171A3" w:rsidRDefault="00644677" w:rsidP="00644677">
      <w:r w:rsidRPr="00F171A3">
        <w:t>Prin configurația sistemului de transport public se conturează încă 4 potențiale noduri intermodale dar care nu dispun de amenajări specifice (Metrou Pipera – Dimitrie Pompeiu, intersecția șos. Colentina cu str. Andronache și Șoș. Fundeni, Șoș Fundeni și intersecția Barbu Văcărescu cu bd. Tei). Dificultăți în ceea ce privește intermodalitatea se regăsesc și în cazul transferului între bicicletă și transportul public. Deși bicicleta este o opțiune optimă de tip „last mile” și extinde practic raza de deservire a transportului public, majoritatea nodurilor intermodale nu sunt echipate cu rastele securizate.</w:t>
      </w:r>
    </w:p>
    <w:p w14:paraId="49D35A41" w14:textId="4C3A59A3" w:rsidR="00644677" w:rsidRPr="00F171A3" w:rsidRDefault="00644677" w:rsidP="00644677"/>
    <w:p w14:paraId="758DAB43" w14:textId="158C7A46" w:rsidR="00644677" w:rsidRPr="00F171A3" w:rsidRDefault="00644677" w:rsidP="00A65F3F">
      <w:pPr>
        <w:pStyle w:val="Heading3"/>
        <w:rPr>
          <w:lang w:val="ro-RO"/>
        </w:rPr>
      </w:pPr>
      <w:bookmarkStart w:id="280" w:name="_Toc127199290"/>
      <w:r w:rsidRPr="00F171A3">
        <w:rPr>
          <w:lang w:val="ro-RO"/>
        </w:rPr>
        <w:t>DEPLASĂRI PIETONALE</w:t>
      </w:r>
      <w:bookmarkEnd w:id="280"/>
    </w:p>
    <w:p w14:paraId="61F9CE10" w14:textId="77777777" w:rsidR="00644677" w:rsidRPr="00F171A3" w:rsidRDefault="00644677" w:rsidP="00644677">
      <w:r w:rsidRPr="00F171A3">
        <w:t>Infrastructura destinată deplasărilor pietonale din Sectorul 2 este marcată de trotuarele aferente arterelor de circulație, în special a șoselelor și bulevardul din sector (ex. șos. Colentina, șos. Ștefan cel Mare, bd. Lacul Tei, str. Barbu Văcărescu, șos. Mihai Bravu, șos. Pantelimon, Calea Moșilor etc.), acestea fiind mai generoase, de spațiile publice prezente pe teritoriul administrativ al sectorului (piețe, scuaruri), precum și de aleile aferente parcurilor din sector (ex. Parcul Circului, Parcul Național, Parcul Sticlăriei, Parcul Tei etc.).</w:t>
      </w:r>
    </w:p>
    <w:p w14:paraId="476321F1" w14:textId="77777777" w:rsidR="00644677" w:rsidRPr="00F171A3" w:rsidRDefault="00644677" w:rsidP="00644677">
      <w:r w:rsidRPr="00F171A3">
        <w:t>Sectorul 2 nu dispune de străzi exclusiv pietonale, totuși, există o serie de evenimente și inițiative care se organizează anual la nivelul Bucureștiului și care oferă un potențial ridicat de pietonalizare temporară a anumitor străzi din sector. Astfel de evenimente sunt Street Delivery, ce cuprinde străzi din zona centrală a municipiului București, inclusiv aparținând Sectorului 2 (ex. str. Arthur Verona) și Femei pe Mătăsari, organizat pe strada Mătăsari. De asemenea, la nivelul municipiului București se evidențiază și inițiativa „Străzi Deschise”, desfășurată în general în perioada mai-septembrie și care implică închiderea unor artere de circulație importante de la nivelul municipiului pentru traficul auto pe perioada weekend-ului, redându-l astfel pietonilor și bicicliștilor. Începând cu anul 2022, inițiativa prevede și extinderea străzilor închise și către cele 6 sectoare ale municipiului, astfel că pentru Sectorul 2 sunt propuse str. Mătăsari (între str. Pache Protopopescu și Matei Voievod), respectiv giratoriul de pe str. Maior Coravu (intrarea în Arena Națională)</w:t>
      </w:r>
      <w:r w:rsidRPr="00F171A3">
        <w:rPr>
          <w:rStyle w:val="FootnoteReference"/>
        </w:rPr>
        <w:footnoteReference w:id="141"/>
      </w:r>
      <w:r w:rsidRPr="00F171A3">
        <w:t xml:space="preserve">. </w:t>
      </w:r>
    </w:p>
    <w:p w14:paraId="4119E421" w14:textId="339549E8" w:rsidR="00644677" w:rsidRPr="00F171A3" w:rsidRDefault="00644677" w:rsidP="00644677">
      <w:r w:rsidRPr="00F171A3">
        <w:t>Pe teritoriul Sectorului 2 se regăsesc mai multe tipuri de probleme în ceea ce privește infrastructura destinată deplasărilor pietonale. O astfel de problemă este cea a conectivității reduse în anumite zone din sector, acestea fiind concentrate în jurul zonelor industriale din sector, precum și în lungul liniei de cale ferată (zona Gării Obor), acestea fiind zone greu de traversat de către pietoni. În cazul zonelor industriale, acestea se desfășoară de obicei pe distanțe lungi (până la 1.000 de m), fiind zone cu un grad de permeabilitate redus, pe care pietoni nu le pot traversa. În mare parte din cazuri acestea se află în declin, fiind necesară o conversie funcțională sau, după caz, o modernizare care să asigure utilizarea cât mai eficientă a spațiului. În cadrul acestor tipuri de intervenții va trebui avută în vedere și reconfigurarea tramei stradale, astfel încât noile zone să poată fi ușor traversate de către pietoni. În cazul zonei Gării Obor, trebuie avută în vedere asigurarea unor treceri sigure și eficiente peste calea ferată, acest lucru putând fi realizat prin pasaje / pasarele care să traverseze liniile de cale ferată, asigurând legătura între bd. Gării Obor și șos. Electronicii. Din cauza degradării pasarele pietonală peste calea ferată aflată la vest de Gara Obor nu mai este funcțională circulația pietonilor fiind interzisă.</w:t>
      </w:r>
    </w:p>
    <w:p w14:paraId="1951AE11" w14:textId="77777777" w:rsidR="00644677" w:rsidRPr="00F171A3" w:rsidRDefault="00644677" w:rsidP="00644677">
      <w:r w:rsidRPr="00F171A3">
        <w:t xml:space="preserve">O altă problemă semnificativă la nivelul infrastructurii pietonale este legată de calitatea acesteia. Zone din Doamna Ghica, Baicului sau șos. Vergului dispun de un număr ridicat de străzi cu un trotuar subdimensionat (sub 1,2m, minimul necesar conform standardelor în vigoare), îngreunând astfel circulația pietonilor și scăzând siguranța acestora în trafic, în special în situațiile în care sunt nevoiți să utilizeze partea carosabilă pentru deplasarea (ex. pentru a trece mai mulți pietoni unii pe lângă ceilalți, pentru a trece cu un cărucior etc.). Situația cea mai critică rămâne pe străzile Lizeanu și Maica Domnului unde trotuarele subdimensionate și degradate sunt ocupate adesea de autoturisme parcate neregulamentar. În acest caz degradarea este vizibilă și la nivelul stratului de asfalt și al liniilor de tramvai. Cele două străzi au un rol foarte important în rețeaua de circulații întrucât conectează zona căminelor și universitatea (UTCB) de centrul istoric. Alte zone care dețin străzi cu trotuare subdimensionate din Sectorul 2 sunt și zonele Tei-Toboc, Andronache sau punctual zone din Colentina / Obor. De asemenea, probleme sunt și în noile dezvoltări rezidențiale din sector unde, așa cum a fost menționat și anterior, există cazuri unde străzile nu sunt încă asfaltate, neavând astfel nici trotuare. </w:t>
      </w:r>
    </w:p>
    <w:p w14:paraId="6D8F811D" w14:textId="77777777" w:rsidR="00644677" w:rsidRPr="00F171A3" w:rsidRDefault="00644677" w:rsidP="00644677">
      <w:r w:rsidRPr="00F171A3">
        <w:t>Aceste probleme sunt accentuate și de alți factori, precum amplasarea chioșcurilor sau parcările neregulamentare în lungul străzilor cu trotuare subdimensionate, făcând în unele cazuri imposibilă trecerea pietonilor, aceștia trecând astfel pe carosabil. Acestea îngreunează deplasarea pietonilor și pe străzilor cu trotuare dimensionate corespunzător, dar a căror lățime este diminuată ca urmare a acestor obstacole. Parcările neregulamentare sunt o problemă majoră la nivelul întregului sector, întrucât în lipsa unor locuri de parcare special amenajate (rezidențiale, pentru vizitatori etc.), șoferii parchează mașinile pe trotuare, de multe ori acestea fiind singurele spații disponibile. Problema circulațiilor pietonale subdimensionate sau degradate se suprapune și peste accesibilizarea deficitară a trotuarelor care face practic imposibilă deplasarea persoanelor cu dizabilități locomotorii fără a avea un însoțitor.</w:t>
      </w:r>
    </w:p>
    <w:p w14:paraId="3559258E" w14:textId="77777777" w:rsidR="00644677" w:rsidRPr="00F171A3" w:rsidRDefault="00644677" w:rsidP="00644677">
      <w:r w:rsidRPr="00F171A3">
        <w:t>Accesibilitatea pietonală reprezintă o problemă și în lungul salbei de lacuri din lungul Colentinei unde deși în ultimii ani au fost realizate ample măsuri de salubrizare este în continuare nevoie de amenajări pietonale pentru a putea redeschide orașul către apă. Mai mult de jumătate din malul de apă dinspre Sectorul 2 nu este amenajate cu multiple secțiuni fiind complet inaccesibile cetățenilor (zona Heliade între Vii, malurile Lacului Fundeni etc.).</w:t>
      </w:r>
    </w:p>
    <w:p w14:paraId="62E3D566" w14:textId="17BCFE38" w:rsidR="00A65F3F" w:rsidRPr="00F171A3" w:rsidRDefault="00644677" w:rsidP="00A65F3F">
      <w:pPr>
        <w:pStyle w:val="Caption"/>
      </w:pPr>
      <w:bookmarkStart w:id="281" w:name="_Ref103333730"/>
      <w:bookmarkStart w:id="282" w:name="_Toc127198095"/>
      <w:r w:rsidRPr="00F171A3">
        <w:t xml:space="preserve">Figura </w:t>
      </w:r>
      <w:r w:rsidRPr="00F171A3">
        <w:fldChar w:fldCharType="begin"/>
      </w:r>
      <w:r w:rsidRPr="00F171A3">
        <w:instrText xml:space="preserve"> SEQ Figura \* ARABIC </w:instrText>
      </w:r>
      <w:r w:rsidRPr="00F171A3">
        <w:fldChar w:fldCharType="separate"/>
      </w:r>
      <w:r w:rsidR="005A6DD8">
        <w:rPr>
          <w:noProof/>
        </w:rPr>
        <w:t>107</w:t>
      </w:r>
      <w:r w:rsidRPr="00F171A3">
        <w:fldChar w:fldCharType="end"/>
      </w:r>
      <w:bookmarkEnd w:id="281"/>
      <w:r w:rsidRPr="00F171A3">
        <w:t xml:space="preserve"> Clasificarea infrastructurii pietonale în Sectorul 2</w:t>
      </w:r>
      <w:bookmarkEnd w:id="282"/>
    </w:p>
    <w:p w14:paraId="5328CEC1" w14:textId="7064B795" w:rsidR="00644677" w:rsidRPr="00F171A3" w:rsidRDefault="00A65F3F" w:rsidP="00644677">
      <w:r w:rsidRPr="00F171A3">
        <w:rPr>
          <w:noProof/>
        </w:rPr>
        <w:drawing>
          <wp:inline distT="0" distB="0" distL="0" distR="0" wp14:anchorId="37FE0DD9" wp14:editId="4738FD92">
            <wp:extent cx="5998210" cy="7916570"/>
            <wp:effectExtent l="0" t="0" r="2540" b="825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0">
                      <a:extLst>
                        <a:ext uri="{28A0092B-C50C-407E-A947-70E740481C1C}">
                          <a14:useLocalDpi xmlns:a14="http://schemas.microsoft.com/office/drawing/2010/main" val="0"/>
                        </a:ext>
                      </a:extLst>
                    </a:blip>
                    <a:srcRect t="6586"/>
                    <a:stretch/>
                  </pic:blipFill>
                  <pic:spPr bwMode="auto">
                    <a:xfrm>
                      <a:off x="0" y="0"/>
                      <a:ext cx="5998210" cy="7916570"/>
                    </a:xfrm>
                    <a:prstGeom prst="rect">
                      <a:avLst/>
                    </a:prstGeom>
                    <a:noFill/>
                    <a:ln>
                      <a:noFill/>
                    </a:ln>
                    <a:extLst>
                      <a:ext uri="{53640926-AAD7-44D8-BBD7-CCE9431645EC}">
                        <a14:shadowObscured xmlns:a14="http://schemas.microsoft.com/office/drawing/2010/main"/>
                      </a:ext>
                    </a:extLst>
                  </pic:spPr>
                </pic:pic>
              </a:graphicData>
            </a:graphic>
          </wp:inline>
        </w:drawing>
      </w:r>
    </w:p>
    <w:p w14:paraId="5F90AE62" w14:textId="77777777" w:rsidR="00644677" w:rsidRPr="00F171A3" w:rsidRDefault="00644677" w:rsidP="0046391E">
      <w:pPr>
        <w:jc w:val="right"/>
        <w:rPr>
          <w:color w:val="BFBFBF" w:themeColor="background1" w:themeShade="BF"/>
        </w:rPr>
      </w:pPr>
      <w:r w:rsidRPr="00F171A3">
        <w:rPr>
          <w:color w:val="BFBFBF" w:themeColor="background1" w:themeShade="BF"/>
        </w:rPr>
        <w:t xml:space="preserve">Sursa: Adaptare după Strategia Integrată de Dezvoltare urbană (SIDU) a municipiului București - </w:t>
      </w:r>
      <w:hyperlink r:id="rId171" w:history="1">
        <w:r w:rsidRPr="00F171A3">
          <w:rPr>
            <w:rStyle w:val="Hyperlink"/>
            <w:color w:val="BFBFBF" w:themeColor="background1" w:themeShade="BF"/>
          </w:rPr>
          <w:t>https://estibucuresti.org/sidu</w:t>
        </w:r>
      </w:hyperlink>
    </w:p>
    <w:p w14:paraId="4C7ED17F" w14:textId="77777777" w:rsidR="00644677" w:rsidRPr="00F171A3" w:rsidRDefault="00644677" w:rsidP="00644677">
      <w:r w:rsidRPr="00F171A3">
        <w:t>Primăria Sectorului 2 are planificate o serie de proiecte menite să îmbunătățească infrastructura nemotorizată din sector, inclusiv a celei destinate deplasărilor pietonale. Acestea sunt după cum urmează:</w:t>
      </w:r>
    </w:p>
    <w:p w14:paraId="3837E48E" w14:textId="77777777" w:rsidR="00644677" w:rsidRPr="00F171A3" w:rsidRDefault="00644677">
      <w:pPr>
        <w:pStyle w:val="ListParagraph"/>
        <w:numPr>
          <w:ilvl w:val="0"/>
          <w:numId w:val="99"/>
        </w:numPr>
        <w:contextualSpacing/>
        <w:rPr>
          <w:color w:val="134753" w:themeColor="text2"/>
        </w:rPr>
      </w:pPr>
      <w:r w:rsidRPr="00F171A3">
        <w:rPr>
          <w:color w:val="134753" w:themeColor="text2"/>
        </w:rPr>
        <w:t>Elaborare studiu de fezabilitate pentru obiectivul de investiții „Înființarea rețelei utilitare pentru transportul nemotorizat” – inițierea procedurilor legale de achiziție publică în 2022;</w:t>
      </w:r>
    </w:p>
    <w:p w14:paraId="5347F93F" w14:textId="77777777" w:rsidR="00644677" w:rsidRPr="00F171A3" w:rsidRDefault="00644677">
      <w:pPr>
        <w:pStyle w:val="ListParagraph"/>
        <w:numPr>
          <w:ilvl w:val="0"/>
          <w:numId w:val="99"/>
        </w:numPr>
        <w:contextualSpacing/>
        <w:rPr>
          <w:color w:val="134753" w:themeColor="text2"/>
        </w:rPr>
      </w:pPr>
      <w:r w:rsidRPr="00F171A3">
        <w:rPr>
          <w:color w:val="134753" w:themeColor="text2"/>
        </w:rPr>
        <w:t>Proiectul „Amenajarea, reconfigurarea, sistematizarea zonelor (malurile) aferente salbei de lacuri situată pe raza teritorial administrativă a Sectorului 2 (TRONSON I – Zona Lacului Tei, TRONSON II – Zona Lacului Plumbuita, TRONSON III – Zona Valea Saulei, TRONSON IV – Zona Râul Colentina și Lacul Fundeni, TRONSON V – Zona Lacului Dobroești și Pantelimon” – concurs internațional de soluții, documentație de atribuire elaborată;</w:t>
      </w:r>
    </w:p>
    <w:p w14:paraId="0B31C1AD" w14:textId="77777777" w:rsidR="00644677" w:rsidRPr="00F171A3" w:rsidRDefault="00644677">
      <w:pPr>
        <w:pStyle w:val="ListParagraph"/>
        <w:numPr>
          <w:ilvl w:val="0"/>
          <w:numId w:val="99"/>
        </w:numPr>
        <w:contextualSpacing/>
        <w:rPr>
          <w:color w:val="134753" w:themeColor="text2"/>
        </w:rPr>
      </w:pPr>
      <w:r w:rsidRPr="00F171A3">
        <w:rPr>
          <w:color w:val="134753" w:themeColor="text2"/>
        </w:rPr>
        <w:t>Proiectul „</w:t>
      </w:r>
      <w:r w:rsidRPr="00F171A3">
        <w:rPr>
          <w:rFonts w:ascii="Calibri" w:hAnsi="Calibri" w:cs="Calibri"/>
          <w:color w:val="134753" w:themeColor="text2"/>
        </w:rPr>
        <w:t xml:space="preserve">Reamenajare, modernizare spatii publice, respectiv: 1) Piața Spaniei – Str. Dumbrava Roșie – Piața Cantacuzino – Str. Jean Louis Calderon și Arthur Verona, 2) Str. Logofăt Luca Stroici aferentă Bisericii Popa Chițu, Str. Maria Rosetti și intersecțiile aferente între Str. Vasile Lascăr și Str. Toamnei, 3) Intersecție Str. Salcâmilor cu Str. Toamnei, 4) Foișorul de  Foc, 5) Str. Sfântu Ștefan,  respectiv  Popa Soare (Piața G-ral N. Dabija) și Piața Sf. Ștefan, 6) Piața Italiană (Piața M. R. Stefanik) și racord cu străzile adiacente” – </w:t>
      </w:r>
      <w:r w:rsidRPr="00F171A3">
        <w:rPr>
          <w:color w:val="134753" w:themeColor="text2"/>
        </w:rPr>
        <w:t xml:space="preserve">concurs internațional de soluții, documentație de atribuire elaborată. </w:t>
      </w:r>
    </w:p>
    <w:p w14:paraId="493B8D78" w14:textId="2A8420C6" w:rsidR="00644677" w:rsidRPr="00F171A3" w:rsidRDefault="00644677" w:rsidP="00644677">
      <w:r w:rsidRPr="00F171A3">
        <w:t>Implementarea acestor proiecte va conduce la creștere infrastructurii dedicate pietonilor, precum și la conturarea unor spații publice și pietonale de calitate, asigurând astfel deplasarea eficientă și în siguranță a pietonilor pe teritoriul Sectorului 2, precum și creștere posibilităților de petrecere a timpului liber din sector. Acestea sunt proiecte majore, ce vor contribui semnificativ la dezvoltarea sectorului. Totuși, acestea trebuie extinse și către celelalte zone cu probleme din teritoriu, urmărind amenajarea corespunzătoare a tuturor trotuarelor din sector (pe străzile aflate în administrarea Primăriei Sectorului 2, precum și pe restul arterelor prin colaborare cu Primăria Municipiului București), optimizarea și extinderea rețelei stradale, după caz, precum și intervenții de pietonalizare temporară și/sau completă a străzilor. Luând în considerare concentrarea problemelor de calitate și dimensionare a trotuarelor în zonele rezidențiale va fi important ca la nivelul Sectorului 2 (prin ADP Sector 2) modul de modernizare a străzilor secundare să fie revizuit luând în considerare concepte specifice zonelor rezidențiale (ex. Woonerf / Living Street) care tratează strada în primul rând ca spațiu public. Asta implică măsuri de calmare a traficului, declararea de zonă rezidențială (limită viteză 20 km/h cu prioritate pentru pietoni) și amenajare specifică unui spațiu pietonal (fără decalaj fizic între trotuar și profilul carosabil).</w:t>
      </w:r>
    </w:p>
    <w:p w14:paraId="29EA0ED8" w14:textId="13482FD1" w:rsidR="00644677" w:rsidRPr="00F171A3" w:rsidRDefault="00644677" w:rsidP="00644677"/>
    <w:p w14:paraId="535F1301" w14:textId="41FF5CAD" w:rsidR="00644677" w:rsidRPr="00F171A3" w:rsidRDefault="00644677" w:rsidP="00A65F3F">
      <w:pPr>
        <w:pStyle w:val="Heading3"/>
        <w:rPr>
          <w:lang w:val="ro-RO"/>
        </w:rPr>
      </w:pPr>
      <w:bookmarkStart w:id="283" w:name="_Toc127199291"/>
      <w:r w:rsidRPr="00F171A3">
        <w:rPr>
          <w:lang w:val="ro-RO"/>
        </w:rPr>
        <w:t>DEPLASĂRI VELO</w:t>
      </w:r>
      <w:bookmarkEnd w:id="283"/>
    </w:p>
    <w:p w14:paraId="0F23C418" w14:textId="77777777" w:rsidR="00644677" w:rsidRPr="00F171A3" w:rsidRDefault="00644677" w:rsidP="00644677">
      <w:r w:rsidRPr="00F171A3">
        <w:t>Infrastructura destinată deplasărilor cu bicicleta este slab dezvoltată la nivelul municipiului București, în comparație cu nevoile și cererea potențială a populației. Există un număr foarte redus de piste de biciclete amenajate la nivelul municipiului, astfel că bicicliștii sunt nevoiți să circule fie pe carosabil, fie pe trotuar. Conform Brigăzii Rutiere București</w:t>
      </w:r>
      <w:r w:rsidRPr="00F171A3">
        <w:rPr>
          <w:rStyle w:val="FootnoteReference"/>
        </w:rPr>
        <w:footnoteReference w:id="142"/>
      </w:r>
      <w:r w:rsidRPr="00F171A3">
        <w:t>, în prezent există numai 8 străzi care cuprind piste de biciclete amenajare corespunzător din punct de vedere al funcționalității și semnalizării rutiere, dintre care numai una singură se află pe teritoriul Sectorului 2, respectiv cea amenajată în lungul șoselei Fabrica de Glucoză</w:t>
      </w:r>
      <w:r w:rsidRPr="00F171A3">
        <w:rPr>
          <w:rStyle w:val="FootnoteReference"/>
        </w:rPr>
        <w:footnoteReference w:id="143"/>
      </w:r>
      <w:r w:rsidRPr="00F171A3">
        <w:t xml:space="preserve">. </w:t>
      </w:r>
    </w:p>
    <w:p w14:paraId="6A269625" w14:textId="479574FA" w:rsidR="00644677" w:rsidRPr="00F171A3" w:rsidRDefault="00644677" w:rsidP="00644677">
      <w:pPr>
        <w:pStyle w:val="Caption"/>
      </w:pPr>
      <w:bookmarkStart w:id="284" w:name="_Toc127198096"/>
      <w:r w:rsidRPr="00F171A3">
        <w:t xml:space="preserve">Figura </w:t>
      </w:r>
      <w:r w:rsidRPr="00F171A3">
        <w:fldChar w:fldCharType="begin"/>
      </w:r>
      <w:r w:rsidRPr="00F171A3">
        <w:instrText xml:space="preserve"> SEQ Figura \* ARABIC </w:instrText>
      </w:r>
      <w:r w:rsidRPr="00F171A3">
        <w:fldChar w:fldCharType="separate"/>
      </w:r>
      <w:r w:rsidR="005A6DD8">
        <w:rPr>
          <w:noProof/>
        </w:rPr>
        <w:t>108</w:t>
      </w:r>
      <w:r w:rsidRPr="00F171A3">
        <w:fldChar w:fldCharType="end"/>
      </w:r>
      <w:r w:rsidRPr="00F171A3">
        <w:t xml:space="preserve"> Piste de biciclete pe șos. Fabrica de Glucoză</w:t>
      </w:r>
      <w:bookmarkEnd w:id="284"/>
    </w:p>
    <w:p w14:paraId="655B09F1" w14:textId="77777777" w:rsidR="00644677" w:rsidRPr="00F171A3" w:rsidRDefault="00644677" w:rsidP="00644677">
      <w:r w:rsidRPr="00F171A3">
        <w:rPr>
          <w:noProof/>
        </w:rPr>
        <w:drawing>
          <wp:inline distT="0" distB="0" distL="0" distR="0" wp14:anchorId="32909F49" wp14:editId="713B89C2">
            <wp:extent cx="5998210" cy="2741295"/>
            <wp:effectExtent l="0" t="0" r="2540" b="1905"/>
            <wp:docPr id="173" name="Picture 173" descr="A picture containing text, way, road,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text, way, road, scene&#10;&#10;Description automatically generated"/>
                    <pic:cNvPicPr>
                      <a:picLocks noChangeAspect="1" noChangeArrowheads="1"/>
                    </pic:cNvPicPr>
                  </pic:nvPicPr>
                  <pic:blipFill>
                    <a:blip r:embed="rId172">
                      <a:extLst>
                        <a:ext uri="{28A0092B-C50C-407E-A947-70E740481C1C}">
                          <a14:useLocalDpi xmlns:a14="http://schemas.microsoft.com/office/drawing/2010/main" val="0"/>
                        </a:ext>
                      </a:extLst>
                    </a:blip>
                    <a:srcRect t="18916" r="15988" b="12761"/>
                    <a:stretch>
                      <a:fillRect/>
                    </a:stretch>
                  </pic:blipFill>
                  <pic:spPr bwMode="auto">
                    <a:xfrm>
                      <a:off x="0" y="0"/>
                      <a:ext cx="5998210" cy="2741295"/>
                    </a:xfrm>
                    <a:prstGeom prst="rect">
                      <a:avLst/>
                    </a:prstGeom>
                    <a:noFill/>
                    <a:ln>
                      <a:noFill/>
                    </a:ln>
                  </pic:spPr>
                </pic:pic>
              </a:graphicData>
            </a:graphic>
          </wp:inline>
        </w:drawing>
      </w:r>
    </w:p>
    <w:p w14:paraId="70995018" w14:textId="77777777" w:rsidR="00644677" w:rsidRPr="00F171A3" w:rsidRDefault="00644677" w:rsidP="0046391E">
      <w:pPr>
        <w:jc w:val="right"/>
        <w:rPr>
          <w:color w:val="BFBFBF" w:themeColor="background1" w:themeShade="BF"/>
        </w:rPr>
      </w:pPr>
      <w:r w:rsidRPr="00F171A3">
        <w:rPr>
          <w:color w:val="BFBFBF" w:themeColor="background1" w:themeShade="BF"/>
        </w:rPr>
        <w:t>Sursa: Google Street View</w:t>
      </w:r>
    </w:p>
    <w:p w14:paraId="44A297FD" w14:textId="77777777" w:rsidR="00644677" w:rsidRPr="00F171A3" w:rsidRDefault="00644677" w:rsidP="00644677">
      <w:r w:rsidRPr="00F171A3">
        <w:t xml:space="preserve">La nivelul municipiului mai există și alte piste de biciclete trasate, dar care prezintă o serie de disfuncționalități, aspect ce face ca ele să nu fie considerate funcționale. O astfel de pistă de biciclete se află și pe șos. Pantelimon, aceasta prezentând mai multe probleme, precum subdimensionare (pista are 1m lățime), dar și o poziționare necorespunzătoare, aceasta fiind fie direct expusă traficului auto pe anumite segmente, fie amplasată între parcările amenajate și vegetația de aliniament din lungul șoselei, ambele aspecte scăzând siguranța în deplasare a bicicliștilor. </w:t>
      </w:r>
    </w:p>
    <w:p w14:paraId="2CAD94B6" w14:textId="245039F2" w:rsidR="00644677" w:rsidRPr="00F171A3" w:rsidRDefault="00644677" w:rsidP="00644677">
      <w:pPr>
        <w:pStyle w:val="Caption"/>
      </w:pPr>
      <w:bookmarkStart w:id="285" w:name="_Toc127198097"/>
      <w:r w:rsidRPr="00F171A3">
        <w:t xml:space="preserve">Figura </w:t>
      </w:r>
      <w:r w:rsidRPr="00F171A3">
        <w:fldChar w:fldCharType="begin"/>
      </w:r>
      <w:r w:rsidRPr="00F171A3">
        <w:instrText xml:space="preserve"> SEQ Figura \* ARABIC </w:instrText>
      </w:r>
      <w:r w:rsidRPr="00F171A3">
        <w:fldChar w:fldCharType="separate"/>
      </w:r>
      <w:r w:rsidR="005A6DD8">
        <w:rPr>
          <w:noProof/>
        </w:rPr>
        <w:t>109</w:t>
      </w:r>
      <w:r w:rsidRPr="00F171A3">
        <w:fldChar w:fldCharType="end"/>
      </w:r>
      <w:r w:rsidRPr="00F171A3">
        <w:t xml:space="preserve"> Pistă de biciclete pe șos. Pantelimon</w:t>
      </w:r>
      <w:bookmarkEnd w:id="285"/>
    </w:p>
    <w:p w14:paraId="1A2ECEC1" w14:textId="77777777" w:rsidR="00644677" w:rsidRPr="00F171A3" w:rsidRDefault="00644677" w:rsidP="00644677">
      <w:r w:rsidRPr="00F171A3">
        <w:rPr>
          <w:noProof/>
        </w:rPr>
        <w:drawing>
          <wp:inline distT="0" distB="0" distL="0" distR="0" wp14:anchorId="1420DA4E" wp14:editId="4B639B81">
            <wp:extent cx="5996940" cy="2255520"/>
            <wp:effectExtent l="0" t="0" r="3810" b="0"/>
            <wp:docPr id="174" name="Picture 174" descr="A street with cars and building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treet with cars and buildings on the side&#10;&#10;Description automatically generated with low confidence"/>
                    <pic:cNvPicPr>
                      <a:picLocks noChangeAspect="1" noChangeArrowheads="1"/>
                    </pic:cNvPicPr>
                  </pic:nvPicPr>
                  <pic:blipFill>
                    <a:blip r:embed="rId173">
                      <a:extLst>
                        <a:ext uri="{28A0092B-C50C-407E-A947-70E740481C1C}">
                          <a14:useLocalDpi xmlns:a14="http://schemas.microsoft.com/office/drawing/2010/main" val="0"/>
                        </a:ext>
                      </a:extLst>
                    </a:blip>
                    <a:srcRect t="19763" b="13326"/>
                    <a:stretch>
                      <a:fillRect/>
                    </a:stretch>
                  </pic:blipFill>
                  <pic:spPr bwMode="auto">
                    <a:xfrm>
                      <a:off x="0" y="0"/>
                      <a:ext cx="5996940" cy="2255520"/>
                    </a:xfrm>
                    <a:prstGeom prst="rect">
                      <a:avLst/>
                    </a:prstGeom>
                    <a:noFill/>
                    <a:ln>
                      <a:noFill/>
                    </a:ln>
                  </pic:spPr>
                </pic:pic>
              </a:graphicData>
            </a:graphic>
          </wp:inline>
        </w:drawing>
      </w:r>
    </w:p>
    <w:p w14:paraId="10BE8447" w14:textId="77777777" w:rsidR="00644677" w:rsidRPr="00F171A3" w:rsidRDefault="00644677" w:rsidP="0046391E">
      <w:pPr>
        <w:jc w:val="right"/>
        <w:rPr>
          <w:color w:val="BFBFBF" w:themeColor="background1" w:themeShade="BF"/>
        </w:rPr>
      </w:pPr>
      <w:r w:rsidRPr="00F171A3">
        <w:rPr>
          <w:color w:val="BFBFBF" w:themeColor="background1" w:themeShade="BF"/>
        </w:rPr>
        <w:t>Sursa: Google Street View</w:t>
      </w:r>
    </w:p>
    <w:p w14:paraId="77E55A2D" w14:textId="77777777" w:rsidR="00644677" w:rsidRPr="00F171A3" w:rsidRDefault="00644677" w:rsidP="00644677">
      <w:r w:rsidRPr="00F171A3">
        <w:t>Se remarcă astfel că cererea nu este satisfăcută la nivel local, pistele existente (inclusiv cele considerate necorespunzătoare) deservind un teritoriu mult prea redus din cel al sectorului. Analizând rutele cel mai des utilizate de către bicicliști</w:t>
      </w:r>
      <w:r w:rsidRPr="00F171A3">
        <w:rPr>
          <w:rStyle w:val="FootnoteReference"/>
        </w:rPr>
        <w:footnoteReference w:id="144"/>
      </w:r>
      <w:r w:rsidRPr="00F171A3">
        <w:t xml:space="preserve">, se evidențiază o cerere crescută în lungul marilor artere de circulație din Sectorul 2, precum șos. Mihai Bravu, șos. Ștefan cel Mare, șos. Colentina, șos. Iancului sau șos. Pantelimon, dar și pe anumite străzi de importanță majoră din sector, precum str. Doamna Ghica, str. Petricani, str. Barbu Văcărescu sau bd. Lacul Tei. În cazul șoselelor, profilul generos al acestora face ca amenajarea unor piste de biciclete în conformitate cu standardele aflate în vigoare să fie ușor de realizat. În cazul celorlalte străzi din sector, amenajarea pistelor de biciclete va presupune o reconfigurare a profilului stradal și, în unele cazuri, eliminarea unor locuri de parcare. Totuși, o astfel de intervenție ar permite fluidizarea traficului în Sectorul 2 prin oferirea alternativelor viabile de deplasarea, fiind astfel urmărită și o scădere a utilizării autovehiculului personal. </w:t>
      </w:r>
    </w:p>
    <w:p w14:paraId="34C16E01" w14:textId="7A879C6D" w:rsidR="00644677" w:rsidRPr="00F171A3" w:rsidRDefault="00644677" w:rsidP="00644677">
      <w:pPr>
        <w:pStyle w:val="Caption"/>
      </w:pPr>
      <w:bookmarkStart w:id="286" w:name="_Toc127198098"/>
      <w:r w:rsidRPr="00F171A3">
        <w:t xml:space="preserve">Figura </w:t>
      </w:r>
      <w:r w:rsidRPr="00F171A3">
        <w:fldChar w:fldCharType="begin"/>
      </w:r>
      <w:r w:rsidRPr="00F171A3">
        <w:instrText xml:space="preserve"> SEQ Figura \* ARABIC </w:instrText>
      </w:r>
      <w:r w:rsidRPr="00F171A3">
        <w:fldChar w:fldCharType="separate"/>
      </w:r>
      <w:r w:rsidR="005A6DD8">
        <w:rPr>
          <w:noProof/>
        </w:rPr>
        <w:t>110</w:t>
      </w:r>
      <w:r w:rsidRPr="00F171A3">
        <w:fldChar w:fldCharType="end"/>
      </w:r>
      <w:r w:rsidRPr="00F171A3">
        <w:t xml:space="preserve"> Cele mai frecvente deplasări cu bicicleta în Sectorul 2, 2022</w:t>
      </w:r>
      <w:bookmarkEnd w:id="286"/>
    </w:p>
    <w:p w14:paraId="7BA5E75D" w14:textId="77777777" w:rsidR="00644677" w:rsidRPr="00F171A3" w:rsidRDefault="00644677" w:rsidP="00644677">
      <w:r w:rsidRPr="00F171A3">
        <w:rPr>
          <w:noProof/>
        </w:rPr>
        <w:drawing>
          <wp:inline distT="0" distB="0" distL="0" distR="0" wp14:anchorId="47519468" wp14:editId="1FB72CE1">
            <wp:extent cx="5998210" cy="4241165"/>
            <wp:effectExtent l="0" t="0" r="2540" b="6985"/>
            <wp:docPr id="175" name="Picture 1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l="26045" t="20610" r="14240" b="4291"/>
                    <a:stretch>
                      <a:fillRect/>
                    </a:stretch>
                  </pic:blipFill>
                  <pic:spPr bwMode="auto">
                    <a:xfrm>
                      <a:off x="0" y="0"/>
                      <a:ext cx="5998210" cy="4241165"/>
                    </a:xfrm>
                    <a:prstGeom prst="rect">
                      <a:avLst/>
                    </a:prstGeom>
                    <a:noFill/>
                    <a:ln>
                      <a:noFill/>
                    </a:ln>
                  </pic:spPr>
                </pic:pic>
              </a:graphicData>
            </a:graphic>
          </wp:inline>
        </w:drawing>
      </w:r>
    </w:p>
    <w:p w14:paraId="26A9D42C" w14:textId="77777777" w:rsidR="00644677" w:rsidRPr="00F171A3" w:rsidRDefault="00644677" w:rsidP="0046391E">
      <w:pPr>
        <w:jc w:val="right"/>
        <w:rPr>
          <w:color w:val="BFBFBF" w:themeColor="background1" w:themeShade="BF"/>
        </w:rPr>
      </w:pPr>
      <w:r w:rsidRPr="00F171A3">
        <w:rPr>
          <w:color w:val="BFBFBF" w:themeColor="background1" w:themeShade="BF"/>
        </w:rPr>
        <w:t xml:space="preserve">Sursa: Strava Heatmap – </w:t>
      </w:r>
      <w:hyperlink r:id="rId175" w:history="1">
        <w:r w:rsidRPr="00F171A3">
          <w:rPr>
            <w:rStyle w:val="Hyperlink"/>
            <w:color w:val="BFBFBF" w:themeColor="background1" w:themeShade="BF"/>
          </w:rPr>
          <w:t>https://www.strava.com/heatmap</w:t>
        </w:r>
      </w:hyperlink>
      <w:r w:rsidRPr="00F171A3">
        <w:rPr>
          <w:color w:val="BFBFBF" w:themeColor="background1" w:themeShade="BF"/>
        </w:rPr>
        <w:t xml:space="preserve"> </w:t>
      </w:r>
    </w:p>
    <w:p w14:paraId="5C3D5959" w14:textId="77777777" w:rsidR="00644677" w:rsidRPr="00F171A3" w:rsidRDefault="00644677" w:rsidP="00644677">
      <w:r w:rsidRPr="00F171A3">
        <w:t>La nivelul municipiului București există și un sistem de bike-sharing – i’Velo, ce permite închirierea bicicletelor din mai multe puncte de la nivelul orașului atât în scopuri de deplasare (i’Velo Urban), cât și pentru plimbări de relaxare (i’Velo Relax). Sistemul urban este unul de tip self-service, complet digitalizat, ce poate fi utilizat prin intermediul aplicației mobile dedicate, iar în cazul închirierii pentru plimbări de relaxare, aceasta se poate realiza din cele 3 puncte dedicate de la nivelul orașului (Aviatorilor, Tineretului și IOR). Costurile de utilizare sunt cuprinse între 15 lei (2h) și 365 lei (abonament anual) pentru i’Velo Urban, respectiv între 10 lei (1h) și 199 lei (abonament anual) pentru i’Velo Relax. În ambele cazuri, se percep și costuri suplimentare pentru depășirea perioadei de închiriere, acestea fiind de 8 lei / oră</w:t>
      </w:r>
      <w:r w:rsidRPr="00F171A3">
        <w:rPr>
          <w:rStyle w:val="FootnoteReference"/>
        </w:rPr>
        <w:footnoteReference w:id="145"/>
      </w:r>
      <w:r w:rsidRPr="00F171A3">
        <w:t xml:space="preserve">. </w:t>
      </w:r>
    </w:p>
    <w:p w14:paraId="3899A278" w14:textId="77777777" w:rsidR="00644677" w:rsidRPr="00F171A3" w:rsidRDefault="00644677" w:rsidP="00644677">
      <w:r w:rsidRPr="00F171A3">
        <w:t xml:space="preserve">Figura următoare ilustrează harta punctelor de închiriere a bicicletelor aferente sistemului de bike-sharing din municipiul București. Se poate remarca astfel că stațiile sunt orientate către zona centrală și pericentrală a municipiului, iar pe teritoriul Sectorului 2 se regăsesc numai 2 stații, respectiv Kaufland B. Văcărescu și str. Tunari. Ulterior conturării unui sistem coerent de piste de biciclete la nivelul municipiului București și, implicit, la nivelul Sectorului 2, va fi nevoie ca sistemul de bike-sharing să fie extins astfel încât un procent cât mai ridicat din populație să aibă acces la astfel de servicii. Acest lucru va fi necesar în special în relația cu principalele obiective de interes din sector și din municipiu, precum și în relația cu nodurile intermodale / punctele de transfer din sector, pentru a încuraja utilizarea bicicletei + transport public pentru deplasări pe distanțe scurte și medii, în defavoarea autovehiculului personal. </w:t>
      </w:r>
    </w:p>
    <w:p w14:paraId="78FAA816" w14:textId="1BA6C647" w:rsidR="00644677" w:rsidRPr="00F171A3" w:rsidRDefault="00644677" w:rsidP="00644677">
      <w:pPr>
        <w:pStyle w:val="Caption"/>
      </w:pPr>
      <w:bookmarkStart w:id="287" w:name="_Toc127198099"/>
      <w:r w:rsidRPr="00F171A3">
        <w:t xml:space="preserve">Figura </w:t>
      </w:r>
      <w:r w:rsidRPr="00F171A3">
        <w:fldChar w:fldCharType="begin"/>
      </w:r>
      <w:r w:rsidRPr="00F171A3">
        <w:instrText xml:space="preserve"> SEQ Figura \* ARABIC </w:instrText>
      </w:r>
      <w:r w:rsidRPr="00F171A3">
        <w:fldChar w:fldCharType="separate"/>
      </w:r>
      <w:r w:rsidR="005A6DD8">
        <w:rPr>
          <w:noProof/>
        </w:rPr>
        <w:t>111</w:t>
      </w:r>
      <w:r w:rsidRPr="00F171A3">
        <w:fldChar w:fldCharType="end"/>
      </w:r>
      <w:r w:rsidRPr="00F171A3">
        <w:t xml:space="preserve"> Bike-sharing în municipiul București</w:t>
      </w:r>
      <w:bookmarkEnd w:id="287"/>
    </w:p>
    <w:p w14:paraId="430F53AC" w14:textId="77777777" w:rsidR="00644677" w:rsidRPr="00F171A3" w:rsidRDefault="00644677" w:rsidP="00644677">
      <w:r w:rsidRPr="00F171A3">
        <w:rPr>
          <w:noProof/>
        </w:rPr>
        <w:drawing>
          <wp:inline distT="0" distB="0" distL="0" distR="0" wp14:anchorId="51417812" wp14:editId="57A83D8E">
            <wp:extent cx="5998210" cy="6187440"/>
            <wp:effectExtent l="0" t="0" r="2540" b="3810"/>
            <wp:docPr id="176" name="Picture 17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al user interface&#10;&#10;Description automatically generated with low confidence"/>
                    <pic:cNvPicPr>
                      <a:picLocks noChangeAspect="1" noChangeArrowheads="1"/>
                    </pic:cNvPicPr>
                  </pic:nvPicPr>
                  <pic:blipFill>
                    <a:blip r:embed="rId176">
                      <a:extLst>
                        <a:ext uri="{28A0092B-C50C-407E-A947-70E740481C1C}">
                          <a14:useLocalDpi xmlns:a14="http://schemas.microsoft.com/office/drawing/2010/main" val="0"/>
                        </a:ext>
                      </a:extLst>
                    </a:blip>
                    <a:srcRect l="47646" t="6776" r="6299" b="8809"/>
                    <a:stretch>
                      <a:fillRect/>
                    </a:stretch>
                  </pic:blipFill>
                  <pic:spPr bwMode="auto">
                    <a:xfrm>
                      <a:off x="0" y="0"/>
                      <a:ext cx="5998210" cy="6187440"/>
                    </a:xfrm>
                    <a:prstGeom prst="rect">
                      <a:avLst/>
                    </a:prstGeom>
                    <a:noFill/>
                    <a:ln>
                      <a:noFill/>
                    </a:ln>
                  </pic:spPr>
                </pic:pic>
              </a:graphicData>
            </a:graphic>
          </wp:inline>
        </w:drawing>
      </w:r>
    </w:p>
    <w:p w14:paraId="3E09B4BE" w14:textId="77777777" w:rsidR="00644677" w:rsidRPr="00F171A3" w:rsidRDefault="00644677" w:rsidP="0046391E">
      <w:pPr>
        <w:jc w:val="right"/>
        <w:rPr>
          <w:color w:val="BFBFBF" w:themeColor="background1" w:themeShade="BF"/>
        </w:rPr>
      </w:pPr>
      <w:r w:rsidRPr="00F171A3">
        <w:rPr>
          <w:color w:val="BFBFBF" w:themeColor="background1" w:themeShade="BF"/>
        </w:rPr>
        <w:t xml:space="preserve">Sursa: </w:t>
      </w:r>
      <w:hyperlink r:id="rId177" w:history="1">
        <w:r w:rsidRPr="00F171A3">
          <w:rPr>
            <w:rStyle w:val="Hyperlink"/>
            <w:color w:val="BFBFBF" w:themeColor="background1" w:themeShade="BF"/>
          </w:rPr>
          <w:t>https://ivelo.ro/</w:t>
        </w:r>
      </w:hyperlink>
      <w:r w:rsidRPr="00F171A3">
        <w:rPr>
          <w:color w:val="BFBFBF" w:themeColor="background1" w:themeShade="BF"/>
        </w:rPr>
        <w:t xml:space="preserve"> </w:t>
      </w:r>
    </w:p>
    <w:p w14:paraId="1567ACE6" w14:textId="77777777" w:rsidR="00644677" w:rsidRPr="00F171A3" w:rsidRDefault="00644677" w:rsidP="00644677">
      <w:r w:rsidRPr="00F171A3">
        <w:t>Un alt aspect important în analiza deplasărilor velo este legat de dotările conexe necesare deplasării cu bicicleta, respectiv a rastelelor și parcărilor pentru biciclete. Acestea sunt prezente în număr redus pe teritoriul Sectorului 2, fiind în general orientate către principalele instituții publice din sector (ex. Primăria Sectorului 2, ADP Sector 2), precum și în vecinătatea centrelor comerciale majore (ex. Mega Mall, Kaufland, Cora etc.). Amenajarea unor astfel de dotări este necesară pentru asigurarea siguranței bicicletelor și, implicit, creșterea atractivității deplasării cu bicicleta în rândul cetățenilor. Este cu atât mai relevant în contextul blocurilor de locuințe colective, unde mare parte din locuitori nu au unde să depoziteze o bicicletă</w:t>
      </w:r>
      <w:r w:rsidRPr="00F171A3">
        <w:rPr>
          <w:rStyle w:val="FootnoteReference"/>
        </w:rPr>
        <w:footnoteReference w:id="146"/>
      </w:r>
      <w:r w:rsidRPr="00F171A3">
        <w:t xml:space="preserve">, fiind astfel necesare soluții de parcare sigure și eficiente care să îi încurajeze pe aceștia să se deplaseze cu acest mijloc. </w:t>
      </w:r>
    </w:p>
    <w:p w14:paraId="4560BF28" w14:textId="77777777" w:rsidR="00644677" w:rsidRPr="00F171A3" w:rsidRDefault="00644677" w:rsidP="00644677">
      <w:r w:rsidRPr="00F171A3">
        <w:t>Per total, infrastructura pentru deplasările velo este mult prea puțin dezvoltată pe teritoriul Sectorului 2. Dezvoltarea acestui tip de infrastructură este esențială pentru reducerea dependenței față de autovehiculul personal, fiind necesară prioritizarea acestui tip de investiții atât la nivelul municipiului, cât și la nivelul Sectorului 2. În acest sens, Primăria Sectorului 2 are deja planificate o serie de demersuri care vor contribui sau care au potențial să contribuie la dezvoltarea unei rețele velo pe teritoriul Sectorului 2, respectiv:</w:t>
      </w:r>
    </w:p>
    <w:p w14:paraId="2B9245F0" w14:textId="77777777" w:rsidR="00644677" w:rsidRPr="00F171A3" w:rsidRDefault="00644677">
      <w:pPr>
        <w:pStyle w:val="ListParagraph"/>
        <w:numPr>
          <w:ilvl w:val="0"/>
          <w:numId w:val="99"/>
        </w:numPr>
        <w:contextualSpacing/>
        <w:rPr>
          <w:color w:val="134753" w:themeColor="text2"/>
        </w:rPr>
      </w:pPr>
      <w:r w:rsidRPr="00F171A3">
        <w:rPr>
          <w:color w:val="134753" w:themeColor="text2"/>
        </w:rPr>
        <w:t>Elaborare studiu de fezabilitate pentru obiectivul de investiții „Înființarea rețelei utilitare pentru transportul nemotorizat” – inițierea procedurilor legale de achiziție publică în 2022;</w:t>
      </w:r>
    </w:p>
    <w:p w14:paraId="2591CAF3" w14:textId="555993F9" w:rsidR="00644677" w:rsidRPr="00F171A3" w:rsidRDefault="00644677">
      <w:pPr>
        <w:pStyle w:val="ListParagraph"/>
        <w:numPr>
          <w:ilvl w:val="0"/>
          <w:numId w:val="99"/>
        </w:numPr>
        <w:contextualSpacing/>
        <w:rPr>
          <w:color w:val="134753" w:themeColor="text2"/>
        </w:rPr>
      </w:pPr>
      <w:r w:rsidRPr="00F171A3">
        <w:rPr>
          <w:color w:val="134753" w:themeColor="text2"/>
        </w:rPr>
        <w:t>Solicitarea acordului Consiliului General al Municipiului București pentru transmiterea din administrarea Administrației Străzilor București în administrarea Consiliului Local al Sectorului 2 a următoarelor artere principale: șos. Ștefan cel Mare, șos. Mihai Bravu, șos. Colentina, Calea Moșilor, bd. Pache Protopopescu și bd. Carol I în vederea implementării investițiilor de dezvoltare a unei rețele velo, precum și a măsurilor conexe pentru funcționarea și dotarea acesteia – au fost depuse pe PNRR proiecte pentru 10 trasee de piste pentru biciclete;</w:t>
      </w:r>
    </w:p>
    <w:p w14:paraId="6523A00C" w14:textId="421C5E47" w:rsidR="00644677" w:rsidRPr="00F171A3" w:rsidRDefault="00644677">
      <w:pPr>
        <w:pStyle w:val="ListParagraph"/>
        <w:numPr>
          <w:ilvl w:val="0"/>
          <w:numId w:val="99"/>
        </w:numPr>
        <w:contextualSpacing/>
        <w:rPr>
          <w:color w:val="134753" w:themeColor="text2"/>
        </w:rPr>
      </w:pPr>
      <w:r w:rsidRPr="00F171A3">
        <w:rPr>
          <w:color w:val="134753" w:themeColor="text2"/>
        </w:rPr>
        <w:t>Proiectul „Amenajarea, reconfigurarea, sistematizarea zonelor (malurile) aferente salbei de lacuri situată pe raza teritorial administrativă a Sectorului 2 (TRONSON I – Zona Lacului Tei, TRONSON II – Zona Lacului Plumbuita, TRONSON III – Zona Valea Saulei, TRONSON IV – Zona Râul Colentina și Lacul Fundeni, TRONSON V – Zona Lacului Dobroești și Pantelimon” – concurs internațional de soluții, documentație de atribuire elaborată</w:t>
      </w:r>
      <w:r w:rsidR="003C1451" w:rsidRPr="00F171A3">
        <w:rPr>
          <w:color w:val="134753" w:themeColor="text2"/>
        </w:rPr>
        <w:t>.</w:t>
      </w:r>
    </w:p>
    <w:p w14:paraId="7C933621" w14:textId="22BFC90C" w:rsidR="00644677" w:rsidRPr="00F171A3" w:rsidRDefault="00644677" w:rsidP="00644677">
      <w:r w:rsidRPr="00F171A3">
        <w:t>Proiectul „</w:t>
      </w:r>
      <w:r w:rsidRPr="00F171A3">
        <w:rPr>
          <w:rFonts w:ascii="Calibri" w:hAnsi="Calibri" w:cs="Calibri"/>
          <w:color w:val="000000"/>
        </w:rPr>
        <w:t xml:space="preserve">Reamenajare, modernizare spatii publice, respectiv: 1) Piața Spaniei – Str. Dumbrava Roșie – Piața Cantacuzino – Str. Jean Louis Calderon și Arthur Verona, 2) Str. Logofăt Luca Stroici aferentă Bisericii Popa Chițu, Str. Maria Rosetti și intersecțiile aferente între Str. Vasile Lascăr și Str. Toamnei, 3) Intersecție Str. Salcâmilor cu Str. Toamnei, 4) Foișorul de  Foc, 5) Str. Sfântu Ștefan,  respectiv  Popa Soare (Piața G-ral N. Dabija) și Piața Sf. Ștefan, 6) Piața Italiană (Piața M. R. Stefanik) și racord cu străzile adiacente” – </w:t>
      </w:r>
      <w:r w:rsidRPr="00F171A3">
        <w:t>concurs internațional de soluții, documentație de atribuire elaborată.</w:t>
      </w:r>
    </w:p>
    <w:p w14:paraId="33D3D72B" w14:textId="77777777" w:rsidR="00644677" w:rsidRPr="00F171A3" w:rsidRDefault="00644677" w:rsidP="00644677">
      <w:pPr>
        <w:rPr>
          <w:b/>
          <w:bCs/>
          <w:color w:val="134753" w:themeColor="text2"/>
        </w:rPr>
      </w:pPr>
    </w:p>
    <w:p w14:paraId="0C3135C4" w14:textId="77777777" w:rsidR="00644677" w:rsidRPr="00F171A3" w:rsidRDefault="00644677" w:rsidP="00644677"/>
    <w:p w14:paraId="696ACE7F" w14:textId="2A2CA865" w:rsidR="00644677" w:rsidRPr="00F171A3" w:rsidRDefault="00644677" w:rsidP="00644677">
      <w:pPr>
        <w:rPr>
          <w:highlight w:val="yellow"/>
        </w:rPr>
        <w:sectPr w:rsidR="00644677" w:rsidRPr="00F171A3" w:rsidSect="00135952">
          <w:pgSz w:w="11907" w:h="16839" w:code="9"/>
          <w:pgMar w:top="1151" w:right="1440" w:bottom="1440" w:left="1021" w:header="709" w:footer="284" w:gutter="0"/>
          <w:cols w:space="708"/>
          <w:titlePg/>
          <w:docGrid w:linePitch="360"/>
        </w:sectPr>
      </w:pPr>
    </w:p>
    <w:p w14:paraId="0632B19E" w14:textId="4F903CB6" w:rsidR="0011330B" w:rsidRPr="00F171A3" w:rsidRDefault="00000000" w:rsidP="00B52E67">
      <w:pPr>
        <w:pStyle w:val="Heading2"/>
        <w:rPr>
          <w:lang w:val="ro-RO"/>
        </w:rPr>
      </w:pPr>
      <w:hyperlink w:anchor="_Toc493866727" w:history="1">
        <w:bookmarkStart w:id="288" w:name="_Toc127199292"/>
        <w:r w:rsidR="00213A2E" w:rsidRPr="00F171A3">
          <w:rPr>
            <w:caps w:val="0"/>
            <w:lang w:val="ro-RO"/>
          </w:rPr>
          <w:t>MEDIU ŞI SCHIMBĂRI CLIMATICE</w:t>
        </w:r>
        <w:bookmarkEnd w:id="288"/>
        <w:r w:rsidR="00213A2E" w:rsidRPr="00F171A3">
          <w:rPr>
            <w:caps w:val="0"/>
            <w:webHidden/>
            <w:lang w:val="ro-RO"/>
          </w:rPr>
          <w:tab/>
        </w:r>
      </w:hyperlink>
    </w:p>
    <w:p w14:paraId="2FC2BF9E" w14:textId="54D8EFD7" w:rsidR="008047F3" w:rsidRPr="00F171A3" w:rsidRDefault="00000000" w:rsidP="008047F3">
      <w:pPr>
        <w:pStyle w:val="Heading3"/>
        <w:rPr>
          <w:lang w:val="ro-RO"/>
        </w:rPr>
      </w:pPr>
      <w:hyperlink w:anchor="_Toc493866728" w:history="1">
        <w:bookmarkStart w:id="289" w:name="_Toc100915452"/>
        <w:bookmarkStart w:id="290" w:name="_Toc127199293"/>
        <w:r w:rsidR="00213A2E" w:rsidRPr="00F171A3">
          <w:rPr>
            <w:caps w:val="0"/>
            <w:lang w:val="ro-RO"/>
          </w:rPr>
          <w:t>CADRUL NATURAL - FACTOR AL DEZVOLTĂRII</w:t>
        </w:r>
        <w:bookmarkEnd w:id="289"/>
        <w:bookmarkEnd w:id="290"/>
        <w:r w:rsidR="008047F3" w:rsidRPr="00F171A3">
          <w:rPr>
            <w:webHidden/>
            <w:lang w:val="ro-RO"/>
          </w:rPr>
          <w:tab/>
        </w:r>
      </w:hyperlink>
    </w:p>
    <w:p w14:paraId="39A6544E" w14:textId="452FA2FB" w:rsidR="00966CAA" w:rsidRPr="00F171A3" w:rsidRDefault="001E0A0F" w:rsidP="001E0A0F">
      <w:pPr>
        <w:pStyle w:val="Heading4"/>
      </w:pPr>
      <w:r w:rsidRPr="00F171A3">
        <w:t>GEOMOFOLOGIE ȘI GEOLOGIE</w:t>
      </w:r>
    </w:p>
    <w:p w14:paraId="5AC2FDE3" w14:textId="639A248B" w:rsidR="00096600" w:rsidRPr="00F171A3" w:rsidRDefault="00096600" w:rsidP="00096600">
      <w:r w:rsidRPr="00F171A3">
        <w:t xml:space="preserve">Teritoriul sectorului 2 se caracterizează printr-un relief favorabil dezvoltării așezărilor umane, datorită fragmentării și pantelor reduse caracteristice zonei de câmpie (Câmpia Bucureștiului, cu altitudini cuprinse între 55 – 95 m). Valea Colentinei reprezintă principalul factor modelator din punct de vedere geomorfologic, fiind caracterizată printr-o luncă largă, dezvoltată pe ambele maluri, două terase joase și patru popine (două pe teritoriul sectorului 2: Plumbuita și Ostrov). Sectorul 2 al </w:t>
      </w:r>
      <w:r w:rsidR="00DE36DE" w:rsidRPr="00F171A3">
        <w:t>m</w:t>
      </w:r>
      <w:r w:rsidRPr="00F171A3">
        <w:t>unicipiului București este situat pe unitățile de relief Câmpul Otopeni (la nord de valea Colentinei, circa 30 % din teritoriul administrativ) și Câmpul Colentinei. Prezența depozitelor loessoide (pe terasa joasă) favorizează apariția tasărilor, fapt ce restricționează posibilitățile de construire în zona cursurilor de apă</w:t>
      </w:r>
      <w:r w:rsidRPr="00F171A3">
        <w:rPr>
          <w:rStyle w:val="FootnoteReference"/>
        </w:rPr>
        <w:footnoteReference w:id="147"/>
      </w:r>
      <w:r w:rsidRPr="00F171A3">
        <w:t>.</w:t>
      </w:r>
    </w:p>
    <w:p w14:paraId="0592CE0D" w14:textId="5622881E" w:rsidR="00096600" w:rsidRPr="00F171A3" w:rsidRDefault="00096600" w:rsidP="00096600">
      <w:r w:rsidRPr="00F171A3">
        <w:t xml:space="preserve">Din punct de vedere seismic, municipiul București se încadrează în zona de macroseismicitate I = 8 pe scara MSK (perioadă medie de revenire de 50 ani). Conform normativului P100-1/2013 privind zonarea seismică a teritoriului României, în termeni de valori de vârf ale accelerației terenului pentru proiectare pentru cutremure având interval mediu de recurență (IMR) de 225 de ani (adică 20 % probabilitate depășire în 50 de ani), teritoriul Sectorului 2 al </w:t>
      </w:r>
      <w:r w:rsidR="00DE36DE" w:rsidRPr="00F171A3">
        <w:t>m</w:t>
      </w:r>
      <w:r w:rsidRPr="00F171A3">
        <w:t>unicipiului București se află în zona cu accelerație de 0,30 g. Acest fapt indică un risc seismic important, municipiul București fiind considerat a fi zona urbană cu cea mai mare expunere la risc seismic la nivel european.</w:t>
      </w:r>
    </w:p>
    <w:p w14:paraId="6BF7815E" w14:textId="196A4CAE" w:rsidR="00096600" w:rsidRPr="00F171A3" w:rsidRDefault="00096600" w:rsidP="00096600">
      <w:pPr>
        <w:pStyle w:val="Caption"/>
      </w:pPr>
      <w:bookmarkStart w:id="291" w:name="_Toc127198100"/>
      <w:r w:rsidRPr="00F171A3">
        <w:t xml:space="preserve">Figura </w:t>
      </w:r>
      <w:r w:rsidRPr="00F171A3">
        <w:fldChar w:fldCharType="begin"/>
      </w:r>
      <w:r w:rsidRPr="00F171A3">
        <w:instrText xml:space="preserve"> SEQ Figura \* ARABIC </w:instrText>
      </w:r>
      <w:r w:rsidRPr="00F171A3">
        <w:fldChar w:fldCharType="separate"/>
      </w:r>
      <w:r w:rsidR="005A6DD8">
        <w:rPr>
          <w:noProof/>
        </w:rPr>
        <w:t>112</w:t>
      </w:r>
      <w:r w:rsidRPr="00F171A3">
        <w:fldChar w:fldCharType="end"/>
      </w:r>
      <w:r w:rsidRPr="00F171A3">
        <w:t xml:space="preserve"> Valoarea accelerației terenului pentru cutremure având IMR de 225 de ani</w:t>
      </w:r>
      <w:bookmarkEnd w:id="291"/>
    </w:p>
    <w:p w14:paraId="112AD947" w14:textId="77777777" w:rsidR="00096600" w:rsidRPr="00F171A3" w:rsidRDefault="00096600" w:rsidP="0046391E">
      <w:pPr>
        <w:jc w:val="center"/>
      </w:pPr>
      <w:r w:rsidRPr="00F171A3">
        <w:rPr>
          <w:noProof/>
        </w:rPr>
        <w:drawing>
          <wp:inline distT="0" distB="0" distL="0" distR="0" wp14:anchorId="574B7E96" wp14:editId="4F2E2B9A">
            <wp:extent cx="5462649" cy="3855988"/>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67007" cy="3859064"/>
                    </a:xfrm>
                    <a:prstGeom prst="rect">
                      <a:avLst/>
                    </a:prstGeom>
                    <a:noFill/>
                    <a:ln>
                      <a:noFill/>
                    </a:ln>
                  </pic:spPr>
                </pic:pic>
              </a:graphicData>
            </a:graphic>
          </wp:inline>
        </w:drawing>
      </w:r>
    </w:p>
    <w:p w14:paraId="33DE4273" w14:textId="01D51B95" w:rsidR="00096600" w:rsidRPr="00F171A3" w:rsidRDefault="00096600" w:rsidP="0046391E">
      <w:pPr>
        <w:jc w:val="right"/>
        <w:rPr>
          <w:color w:val="BFBFBF" w:themeColor="background1" w:themeShade="BF"/>
        </w:rPr>
      </w:pPr>
      <w:r w:rsidRPr="00F171A3">
        <w:rPr>
          <w:color w:val="BFBFBF" w:themeColor="background1" w:themeShade="BF"/>
        </w:rPr>
        <w:t>Sursa: Prelucrare după Normativ P100-1/2013</w:t>
      </w:r>
    </w:p>
    <w:p w14:paraId="70A7FE75" w14:textId="19AC341D" w:rsidR="00096600" w:rsidRPr="00F171A3" w:rsidRDefault="00096600" w:rsidP="00096600">
      <w:r w:rsidRPr="00F171A3">
        <w:t>Sectorul 2 este considerat a fi deosebit de vulnerabil în cazul unui cutremur major, cea mai mare parte din teritoriul acestuia fiind situat în zona Pantelimon, cu o accelerație a solului de 300 cm/s</w:t>
      </w:r>
      <w:r w:rsidRPr="00F171A3">
        <w:rPr>
          <w:vertAlign w:val="superscript"/>
        </w:rPr>
        <w:t>2</w:t>
      </w:r>
      <w:r w:rsidRPr="00F171A3">
        <w:t xml:space="preserve"> și cu cea mai mare vibrație a terenului de pe teritoriul </w:t>
      </w:r>
      <w:r w:rsidR="00DE36DE" w:rsidRPr="00F171A3">
        <w:t>m</w:t>
      </w:r>
      <w:r w:rsidRPr="00F171A3">
        <w:t xml:space="preserve">unicipiului București (1,56 secunde) în cazul unui seism major (7,5 grade pe scara Richter). </w:t>
      </w:r>
    </w:p>
    <w:p w14:paraId="77D9AFAF" w14:textId="0F296E8F" w:rsidR="00096600" w:rsidRPr="00F171A3" w:rsidRDefault="00096600" w:rsidP="00096600">
      <w:r w:rsidRPr="00F171A3">
        <w:t>Din cele 363 de clădiri expertizate și încadrate în clasa de risc seismic I</w:t>
      </w:r>
      <w:r w:rsidRPr="00F171A3">
        <w:rPr>
          <w:rStyle w:val="FootnoteReference"/>
        </w:rPr>
        <w:footnoteReference w:id="148"/>
      </w:r>
      <w:r w:rsidRPr="00F171A3">
        <w:t>, 100 (27,5 %) se află pe teritoriul administrativ al sectorului 2. În același timp, 18 clădiri din sector expertizate tehnic au fost consolidate (circa 17,8 % din totalul clădirilor expertizate tehnic și consolidate din București)</w:t>
      </w:r>
      <w:r w:rsidRPr="00F171A3">
        <w:rPr>
          <w:rStyle w:val="FootnoteReference"/>
        </w:rPr>
        <w:footnoteReference w:id="149"/>
      </w:r>
      <w:r w:rsidRPr="00F171A3">
        <w:t xml:space="preserve">. Observăm că, față de situația din 2017 (în momentul elaborării Strategiei de Dezvoltare locală a Sectorului 2 2016-2025), numărul clădirilor expertizate tehnic și încadrate în clasa I de risc seismic a crescut (92 de clădiri din totalul de 349 clădiri expertizate atunci în </w:t>
      </w:r>
      <w:r w:rsidR="00DE36DE" w:rsidRPr="00F171A3">
        <w:t>m</w:t>
      </w:r>
      <w:r w:rsidRPr="00F171A3">
        <w:t>unicipiul București). Majoritatea clădirilor expertizate și încadrate în clase de risc sau de urgență sunt localizate în zona centrală, în interiorul primului inel. Excepție fac unele blocuri de locuințe colective, localizate preponderent de-a lungul Șos. Colentina și a Șos. Pantelimon.</w:t>
      </w:r>
    </w:p>
    <w:p w14:paraId="7535BD0A" w14:textId="77777777" w:rsidR="00096600" w:rsidRPr="00F171A3" w:rsidRDefault="00096600" w:rsidP="00096600">
      <w:r w:rsidRPr="00F171A3">
        <w:t>În ultima variantă discutată (iulie 2022), Planul Operațional Regional București-Ilfov 2021 – 2027 va finanța și consolidarea clădirilor publice expertizate tehnic și încadrate în clasele I și II de risc seismic. De asemenea, pentru clădirile publice, se are în vedere o abordare integrată care să cuprindă, pe lângă eficientizare energetică și utilizarea energiei din surse regenerabile, și consolidarea fondului construit expertizat tehnic și încadrat în clasele III și IV de risc seismic.</w:t>
      </w:r>
    </w:p>
    <w:p w14:paraId="29A21B33" w14:textId="670F1B57" w:rsidR="00096600" w:rsidRPr="00F171A3" w:rsidRDefault="00096600" w:rsidP="00096600">
      <w:pPr>
        <w:pStyle w:val="Caption"/>
      </w:pPr>
      <w:bookmarkStart w:id="292" w:name="_Toc127198101"/>
      <w:r w:rsidRPr="00F171A3">
        <w:t xml:space="preserve">Figura </w:t>
      </w:r>
      <w:r w:rsidRPr="00F171A3">
        <w:fldChar w:fldCharType="begin"/>
      </w:r>
      <w:r w:rsidRPr="00F171A3">
        <w:instrText xml:space="preserve"> SEQ Figura \* ARABIC </w:instrText>
      </w:r>
      <w:r w:rsidRPr="00F171A3">
        <w:fldChar w:fldCharType="separate"/>
      </w:r>
      <w:r w:rsidR="005A6DD8">
        <w:rPr>
          <w:noProof/>
        </w:rPr>
        <w:t>113</w:t>
      </w:r>
      <w:r w:rsidRPr="00F171A3">
        <w:fldChar w:fldCharType="end"/>
      </w:r>
      <w:r w:rsidRPr="00F171A3">
        <w:t xml:space="preserve"> Clădiri expertizate tehnic și încadrate în clase de risc seismic sau de urgență</w:t>
      </w:r>
      <w:bookmarkEnd w:id="292"/>
    </w:p>
    <w:p w14:paraId="4AFA4307" w14:textId="77777777" w:rsidR="00096600" w:rsidRPr="00F171A3" w:rsidRDefault="00096600" w:rsidP="00096600">
      <w:r w:rsidRPr="00F171A3">
        <w:rPr>
          <w:noProof/>
        </w:rPr>
        <w:drawing>
          <wp:inline distT="0" distB="0" distL="0" distR="0" wp14:anchorId="7E373A99" wp14:editId="27D00196">
            <wp:extent cx="5998210" cy="5330190"/>
            <wp:effectExtent l="0" t="0" r="254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98210" cy="5330190"/>
                    </a:xfrm>
                    <a:prstGeom prst="rect">
                      <a:avLst/>
                    </a:prstGeom>
                    <a:noFill/>
                    <a:ln>
                      <a:noFill/>
                    </a:ln>
                  </pic:spPr>
                </pic:pic>
              </a:graphicData>
            </a:graphic>
          </wp:inline>
        </w:drawing>
      </w:r>
    </w:p>
    <w:p w14:paraId="7DEA32AA" w14:textId="77777777" w:rsidR="00096600" w:rsidRPr="00F171A3" w:rsidRDefault="00096600" w:rsidP="0046391E">
      <w:pPr>
        <w:jc w:val="right"/>
        <w:rPr>
          <w:color w:val="BFBFBF" w:themeColor="background1" w:themeShade="BF"/>
        </w:rPr>
      </w:pPr>
      <w:r w:rsidRPr="00F171A3">
        <w:rPr>
          <w:color w:val="BFBFBF" w:themeColor="background1" w:themeShade="BF"/>
        </w:rPr>
        <w:t xml:space="preserve">Sursa: </w:t>
      </w:r>
      <w:hyperlink r:id="rId180" w:history="1">
        <w:r w:rsidRPr="00F171A3">
          <w:rPr>
            <w:rStyle w:val="Hyperlink"/>
            <w:color w:val="BFBFBF" w:themeColor="background1" w:themeShade="BF"/>
          </w:rPr>
          <w:t>http://seismic-alert.ro/</w:t>
        </w:r>
      </w:hyperlink>
      <w:r w:rsidRPr="00F171A3">
        <w:rPr>
          <w:color w:val="BFBFBF" w:themeColor="background1" w:themeShade="BF"/>
        </w:rPr>
        <w:t xml:space="preserve"> consultat la 13.05.2022</w:t>
      </w:r>
    </w:p>
    <w:p w14:paraId="3C01DEB4" w14:textId="77777777" w:rsidR="00507C46" w:rsidRPr="00F171A3" w:rsidRDefault="00507C46" w:rsidP="00507C46"/>
    <w:p w14:paraId="1CA69CC5" w14:textId="518A26DD" w:rsidR="00096600" w:rsidRPr="00F171A3" w:rsidRDefault="001E0A0F" w:rsidP="001E0A0F">
      <w:pPr>
        <w:pStyle w:val="Heading4"/>
      </w:pPr>
      <w:r w:rsidRPr="00F171A3">
        <w:t>HIDROGRAFIE</w:t>
      </w:r>
    </w:p>
    <w:p w14:paraId="3ED8F288" w14:textId="16350D23" w:rsidR="00096600" w:rsidRPr="00F171A3" w:rsidRDefault="00096600" w:rsidP="00096600">
      <w:r w:rsidRPr="00F171A3">
        <w:t>Elementul natural caracteristic este râul Colentina, ce are o lungime de 34,7 km pe teritoriul Sectorului 2. Amenajarea râului a început în 1945, când s-au realizat lacurile Buftea, Mogoșoaia, Băneasa, Herăstrău, Floreasca și Tei, ulterior amenajându-se și lacurile Buciumeni, Străulești, Grivița, Fundeni, Cernica, Pantelimon I și II. Pe raza sectorului se regăsesc patru lacuri: Tei (circa 80 ha), Plumbuita (circa 55 ha), Fundeni (circa 88 ha) și Pantelimon I (93 ha)</w:t>
      </w:r>
      <w:r w:rsidRPr="00F171A3">
        <w:rPr>
          <w:rStyle w:val="FootnoteReference"/>
        </w:rPr>
        <w:t xml:space="preserve"> </w:t>
      </w:r>
      <w:r w:rsidRPr="00F171A3">
        <w:rPr>
          <w:rStyle w:val="FootnoteReference"/>
        </w:rPr>
        <w:footnoteReference w:id="150"/>
      </w:r>
      <w:r w:rsidRPr="00F171A3">
        <w:t xml:space="preserve">. Tot în Sectorul 2 se află și Valea Saulei (în zona Șos. Petricani – Autostrada A3), un afluent al râului Colentina pe partea stângă pe care au fost amenajate două lacuri de acumulare (Saulei I și Saulei II), dar și Lacul Circului (0,87 ha, cel mai mic lac din </w:t>
      </w:r>
      <w:r w:rsidR="00DE36DE" w:rsidRPr="00F171A3">
        <w:t>m</w:t>
      </w:r>
      <w:r w:rsidRPr="00F171A3">
        <w:t>unicipiul București).</w:t>
      </w:r>
    </w:p>
    <w:p w14:paraId="23DD1164" w14:textId="77777777" w:rsidR="00096600" w:rsidRPr="00F171A3" w:rsidRDefault="00096600" w:rsidP="00096600">
      <w:r w:rsidRPr="00F171A3">
        <w:t>Din punct de vedere hidrogeologic, în zona municipiului București se găsesc următoarele strate acvifere / structuri principale</w:t>
      </w:r>
      <w:r w:rsidRPr="00F171A3">
        <w:rPr>
          <w:rStyle w:val="FootnoteReference"/>
        </w:rPr>
        <w:footnoteReference w:id="151"/>
      </w:r>
      <w:r w:rsidRPr="00F171A3">
        <w:t>:</w:t>
      </w:r>
    </w:p>
    <w:p w14:paraId="72F0F5D4" w14:textId="77777777" w:rsidR="00096600" w:rsidRPr="00F171A3" w:rsidRDefault="00096600">
      <w:pPr>
        <w:pStyle w:val="Normal0"/>
        <w:numPr>
          <w:ilvl w:val="0"/>
          <w:numId w:val="84"/>
        </w:numPr>
        <w:rPr>
          <w:color w:val="134753" w:themeColor="text2"/>
        </w:rPr>
      </w:pPr>
      <w:r w:rsidRPr="00F171A3">
        <w:rPr>
          <w:color w:val="134753" w:themeColor="text2"/>
        </w:rPr>
        <w:t>Sistemul (structura) de mică și medie adâncime (Pleistocen superior) din care fac parte: Pietrișurile de Colentina, Depozitele intermediare, Nisipurile de Mostiștea;</w:t>
      </w:r>
    </w:p>
    <w:p w14:paraId="2113B151" w14:textId="77777777" w:rsidR="00096600" w:rsidRPr="00F171A3" w:rsidRDefault="00096600">
      <w:pPr>
        <w:pStyle w:val="Normal0"/>
        <w:numPr>
          <w:ilvl w:val="0"/>
          <w:numId w:val="84"/>
        </w:numPr>
        <w:rPr>
          <w:color w:val="134753" w:themeColor="text2"/>
        </w:rPr>
      </w:pPr>
      <w:r w:rsidRPr="00F171A3">
        <w:rPr>
          <w:color w:val="134753" w:themeColor="text2"/>
        </w:rPr>
        <w:t>Sistemul (structura) de adâncime din care fac parte cele 3 orizonturi A, B, C ale acviferului cantonat în Formațiunea de Frătești (cel mai mare zăcământ de apă potabilă din țară).</w:t>
      </w:r>
    </w:p>
    <w:p w14:paraId="0B86281A" w14:textId="77777777" w:rsidR="00096600" w:rsidRPr="00F171A3" w:rsidRDefault="00096600" w:rsidP="00096600">
      <w:r w:rsidRPr="00F171A3">
        <w:t>În ceea ce privește riscul la inundații, acesta este redus pe teritoriul sectorului 2 ca urmare a amenajărilor hidrotehnice realizate de-a lungul râului Colentina. De altfel, sectorul nu este afectat nici de banda de inundabilitate a râului Dâmbovița, trasată conform studiului ICPGA (1987) de rupere a barajului acumulării Lacul Morii și propagarea undei de viitură în capitală.</w:t>
      </w:r>
    </w:p>
    <w:p w14:paraId="34BD1F59" w14:textId="77777777" w:rsidR="00096600" w:rsidRPr="00F171A3" w:rsidRDefault="00096600" w:rsidP="00096600">
      <w:r w:rsidRPr="00F171A3">
        <w:t>Un număr de 126 de străzi din sector sunt însă incluse în banda de inundabilitate a râului Colentina, trasată conform studiului SC AQUAPROIECT SA (1994) de rupere a barajului acumulării Buftea și propagarea undei de viitură prin salba de lacuri de pe râu, până la Cernica. Dintre obiectivele aflate în zona inundabilă a râului enumerăm Parcurile Verdi, Tei sau Plumbuita, Ștrandul Tei, Mănăstirea Plumbuita sau Depoul Pantelimon al Metrorex</w:t>
      </w:r>
      <w:r w:rsidRPr="00F171A3">
        <w:rPr>
          <w:rStyle w:val="FootnoteReference"/>
        </w:rPr>
        <w:footnoteReference w:id="152"/>
      </w:r>
      <w:r w:rsidRPr="00F171A3">
        <w:t>. Majoritatea străzilor situate în această bandă de inundabilitate sunt situate în cartierele Tei-Toboc, Plumbuita și Fundeni.</w:t>
      </w:r>
    </w:p>
    <w:p w14:paraId="5668721F" w14:textId="77777777" w:rsidR="00096600" w:rsidRPr="00F171A3" w:rsidRDefault="00096600" w:rsidP="00096600">
      <w:r w:rsidRPr="00F171A3">
        <w:t>Conform datelor transmise de către Administrația Bazinală de Ape Argeș-Vedea, pe cursurile de apă au fost identificate trei zone critice cu privire la starea lucrărilor hidrotehnice:</w:t>
      </w:r>
    </w:p>
    <w:p w14:paraId="7FEEF277" w14:textId="2BF63975" w:rsidR="00096600" w:rsidRPr="00F171A3" w:rsidRDefault="00096600">
      <w:pPr>
        <w:pStyle w:val="Normal0"/>
        <w:numPr>
          <w:ilvl w:val="0"/>
          <w:numId w:val="84"/>
        </w:numPr>
        <w:rPr>
          <w:color w:val="134753" w:themeColor="text2"/>
        </w:rPr>
      </w:pPr>
      <w:r w:rsidRPr="00F171A3">
        <w:rPr>
          <w:color w:val="134753" w:themeColor="text2"/>
        </w:rPr>
        <w:t>Valea Saulei – descărcarea apelor mari din Valea Saulei în acumularea Plumbuita, fiind necesară realizarea unui canal de evacuare ape mari la confluen</w:t>
      </w:r>
      <w:r w:rsidR="00C66438">
        <w:rPr>
          <w:color w:val="134753" w:themeColor="text2"/>
        </w:rPr>
        <w:t>t</w:t>
      </w:r>
      <w:r w:rsidRPr="00F171A3">
        <w:rPr>
          <w:color w:val="134753" w:themeColor="text2"/>
        </w:rPr>
        <w:t xml:space="preserve"> văii cu lacul;</w:t>
      </w:r>
    </w:p>
    <w:p w14:paraId="0CD8ABF4" w14:textId="6562B071" w:rsidR="00096600" w:rsidRPr="00F171A3" w:rsidRDefault="00096600">
      <w:pPr>
        <w:pStyle w:val="Normal0"/>
        <w:numPr>
          <w:ilvl w:val="0"/>
          <w:numId w:val="84"/>
        </w:numPr>
        <w:rPr>
          <w:color w:val="134753" w:themeColor="text2"/>
        </w:rPr>
      </w:pPr>
      <w:r w:rsidRPr="00F171A3">
        <w:rPr>
          <w:color w:val="134753" w:themeColor="text2"/>
        </w:rPr>
        <w:t>Acumularea Fundeni – nu poate fi exploatată la nivelul normal de retenție din cauza cartierului Ostrov, fiind necesară reabilitarea funcțiilor acumulării, în special a efectului de atenuare a viiturilor</w:t>
      </w:r>
      <w:r w:rsidR="00507C46" w:rsidRPr="00F171A3">
        <w:rPr>
          <w:color w:val="134753" w:themeColor="text2"/>
        </w:rPr>
        <w:t>;</w:t>
      </w:r>
    </w:p>
    <w:p w14:paraId="6F4978B1" w14:textId="77777777" w:rsidR="00096600" w:rsidRPr="00F171A3" w:rsidRDefault="00096600">
      <w:pPr>
        <w:pStyle w:val="Normal0"/>
        <w:numPr>
          <w:ilvl w:val="0"/>
          <w:numId w:val="84"/>
        </w:numPr>
        <w:rPr>
          <w:color w:val="134753" w:themeColor="text2"/>
        </w:rPr>
      </w:pPr>
      <w:r w:rsidRPr="00F171A3">
        <w:rPr>
          <w:color w:val="134753" w:themeColor="text2"/>
        </w:rPr>
        <w:t>Acumularea Pantelimon I – nu poate fi exploatată la nivelul normal de retenție din cauza existenței unor locuințe în cuveta acumulării, după grinda apărării de mal. Și aici este necesară reabilitarea funcțiilor acumulării, a efectului de atenuare a viiturilor împreună cu celelalte lacuri de pe salbă.</w:t>
      </w:r>
    </w:p>
    <w:p w14:paraId="70A82252" w14:textId="77777777" w:rsidR="00096600" w:rsidRPr="00F171A3" w:rsidRDefault="00096600" w:rsidP="00096600">
      <w:pPr>
        <w:rPr>
          <w:b/>
          <w:bCs/>
        </w:rPr>
      </w:pPr>
      <w:r w:rsidRPr="00F171A3">
        <w:t>În ciuda acestor disfuncții, salba de lacuri de pe teritoriul Sectorului 2 prezintă un potențial important pentru activități de loisir, majoritatea spațiilor verzi publice fiind concentrate de-a lungul acesteia. Prin influența pozitivă asupra microclimatului și a peisajului urban, dar și a rolului în reducerea riscului la inundații, zona salbei de lacuri reprezintă o competență distinctivă a Sectorului 2, insuficient valorificată în prezent.</w:t>
      </w:r>
    </w:p>
    <w:p w14:paraId="7D39A616" w14:textId="77777777" w:rsidR="00096600" w:rsidRPr="00F171A3" w:rsidRDefault="00096600" w:rsidP="00096600"/>
    <w:p w14:paraId="27A59567" w14:textId="77777777" w:rsidR="00096600" w:rsidRPr="00F171A3" w:rsidRDefault="00096600" w:rsidP="00096600"/>
    <w:p w14:paraId="16614A31" w14:textId="0FBAC7E7" w:rsidR="00096600" w:rsidRPr="00F171A3" w:rsidRDefault="00096600" w:rsidP="00096600">
      <w:pPr>
        <w:pStyle w:val="Caption"/>
      </w:pPr>
      <w:bookmarkStart w:id="293" w:name="_Toc127198102"/>
      <w:r w:rsidRPr="00F171A3">
        <w:t xml:space="preserve">Figura </w:t>
      </w:r>
      <w:r w:rsidRPr="00F171A3">
        <w:fldChar w:fldCharType="begin"/>
      </w:r>
      <w:r w:rsidRPr="00F171A3">
        <w:instrText xml:space="preserve"> SEQ Figura \* ARABIC </w:instrText>
      </w:r>
      <w:r w:rsidRPr="00F171A3">
        <w:fldChar w:fldCharType="separate"/>
      </w:r>
      <w:r w:rsidR="005A6DD8">
        <w:rPr>
          <w:noProof/>
        </w:rPr>
        <w:t>114</w:t>
      </w:r>
      <w:r w:rsidRPr="00F171A3">
        <w:fldChar w:fldCharType="end"/>
      </w:r>
      <w:r w:rsidRPr="00F171A3">
        <w:t xml:space="preserve"> Zone inundabile – Sectorul 2 al Municipiului București</w:t>
      </w:r>
      <w:bookmarkEnd w:id="293"/>
    </w:p>
    <w:p w14:paraId="2D67EF00" w14:textId="77777777" w:rsidR="00096600" w:rsidRPr="00F171A3" w:rsidRDefault="00096600" w:rsidP="00096600">
      <w:r w:rsidRPr="00F171A3">
        <w:rPr>
          <w:noProof/>
        </w:rPr>
        <w:drawing>
          <wp:inline distT="0" distB="0" distL="0" distR="0" wp14:anchorId="71D990A9" wp14:editId="428F93F0">
            <wp:extent cx="5998210" cy="4436745"/>
            <wp:effectExtent l="0" t="0" r="254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98210" cy="4436745"/>
                    </a:xfrm>
                    <a:prstGeom prst="rect">
                      <a:avLst/>
                    </a:prstGeom>
                    <a:noFill/>
                    <a:ln>
                      <a:noFill/>
                    </a:ln>
                  </pic:spPr>
                </pic:pic>
              </a:graphicData>
            </a:graphic>
          </wp:inline>
        </w:drawing>
      </w:r>
    </w:p>
    <w:p w14:paraId="0748AB7E" w14:textId="77777777" w:rsidR="00096600" w:rsidRPr="00F171A3" w:rsidRDefault="00096600" w:rsidP="00AF2C45">
      <w:pPr>
        <w:jc w:val="right"/>
        <w:rPr>
          <w:color w:val="BFBFBF" w:themeColor="background1" w:themeShade="BF"/>
        </w:rPr>
      </w:pPr>
      <w:r w:rsidRPr="00F171A3">
        <w:rPr>
          <w:color w:val="BFBFBF" w:themeColor="background1" w:themeShade="BF"/>
        </w:rPr>
        <w:t>Sursa: Administrația Bazinală de Ape Argeș-Vedea</w:t>
      </w:r>
    </w:p>
    <w:p w14:paraId="09E7C81C" w14:textId="77777777" w:rsidR="00096600" w:rsidRPr="00F171A3" w:rsidRDefault="00096600" w:rsidP="00096600"/>
    <w:p w14:paraId="1BF48AA7" w14:textId="31CFF502" w:rsidR="00096600" w:rsidRPr="00F171A3" w:rsidRDefault="001E0A0F" w:rsidP="001E0A0F">
      <w:pPr>
        <w:pStyle w:val="Heading4"/>
      </w:pPr>
      <w:r w:rsidRPr="00F171A3">
        <w:t>CLIMĂ</w:t>
      </w:r>
    </w:p>
    <w:p w14:paraId="0F77F027" w14:textId="77777777" w:rsidR="00096600" w:rsidRPr="00F171A3" w:rsidRDefault="00096600" w:rsidP="00096600">
      <w:r w:rsidRPr="00F171A3">
        <w:t>Clima municipiului București este temperat-continentală, fiind caracterizată de nuanțe excesive determinate de predominanța maselor de aer estice, cu veri fierbinți și ierni adesea aspre. Temperaturile medii anuale ale aerului au valori de 11°C, mai ridicate în zona centrală a municipiului comparativ cu periferia. De altfel, temperatura medie anuală din centrul municipiului este cu circa +1,5°C mai ridicată decât cea înregistrată în câmpia limitrofă din cauza efectului de insulă de căldură urbană</w:t>
      </w:r>
      <w:r w:rsidRPr="00F171A3">
        <w:rPr>
          <w:rStyle w:val="FootnoteReference"/>
        </w:rPr>
        <w:footnoteReference w:id="153"/>
      </w:r>
      <w:r w:rsidRPr="00F171A3">
        <w:t>.</w:t>
      </w:r>
    </w:p>
    <w:p w14:paraId="0744C696" w14:textId="77777777" w:rsidR="00096600" w:rsidRPr="00F171A3" w:rsidRDefault="00096600" w:rsidP="00096600">
      <w:r w:rsidRPr="00F171A3">
        <w:t>Analiza datelor meteorologice transmise de către Administrația Națională de Meteorologie indică o medie multianuală a temperaturii medii anuale în intervalul 1990 – 2000 de 11,04°C la stația meteorologică Băneasa. Temperaturile maxime din anii analizați au fost, în medie, de 37,04°C, iar temperaturile minime de -18,74°C. Considerând media ultimilor 5 ani, observăm o tendință de ușoară creștere a temperaturii medii anuale în intervalul de timp analizat, de la sub 11°C în anii 1990 la aproape 12°C în perioada 2016 – 2020.</w:t>
      </w:r>
    </w:p>
    <w:p w14:paraId="748327BB" w14:textId="30B47E0D" w:rsidR="00096600" w:rsidRPr="00F171A3" w:rsidRDefault="00096600" w:rsidP="00096600">
      <w:r w:rsidRPr="00F171A3">
        <w:t xml:space="preserve">Tendința de creștere este mai mare atunci când analizăm numărul de zile tropicale (în medie, 53 de zile în perioada 1990 – 2020). Astfel, media ultimilor 5 ani a crescut de la sub 50 de zile tropicale în anii 1990 la aproape 65 de zile tropicale (zile cu temperaturi maxime de peste 30 °C) în perioada 2016 – 2020. Coroborat cu valorile mari ale </w:t>
      </w:r>
      <w:r w:rsidR="00C66438" w:rsidRPr="00F171A3">
        <w:t>temperaturilor</w:t>
      </w:r>
      <w:r w:rsidRPr="00F171A3">
        <w:t xml:space="preserve"> maxime anuale (peste 35°C în 29 din cei 31 de ani analizați, cu valori care au ajuns până la 42,2°C în anul 2000), putem afirma că zona municipiului București este vulnerabilă la valuri de căldură, ce afectează starea de sănătate a populației pe perioada verii și conduc la un consum de energie important pentru răcirea </w:t>
      </w:r>
      <w:r w:rsidR="00C66438" w:rsidRPr="00F171A3">
        <w:t>spațiilor</w:t>
      </w:r>
      <w:r w:rsidRPr="00F171A3">
        <w:t xml:space="preserve"> interioare ale clădirilor.</w:t>
      </w:r>
    </w:p>
    <w:p w14:paraId="66981676" w14:textId="24E17276" w:rsidR="00096600" w:rsidRPr="00F171A3" w:rsidRDefault="00096600" w:rsidP="00096600">
      <w:pPr>
        <w:pStyle w:val="Caption"/>
      </w:pPr>
      <w:bookmarkStart w:id="294" w:name="_Toc127198103"/>
      <w:r w:rsidRPr="00F171A3">
        <w:t xml:space="preserve">Figura </w:t>
      </w:r>
      <w:r w:rsidRPr="00F171A3">
        <w:fldChar w:fldCharType="begin"/>
      </w:r>
      <w:r w:rsidRPr="00F171A3">
        <w:instrText xml:space="preserve"> SEQ Figura \* ARABIC </w:instrText>
      </w:r>
      <w:r w:rsidRPr="00F171A3">
        <w:fldChar w:fldCharType="separate"/>
      </w:r>
      <w:r w:rsidR="005A6DD8">
        <w:rPr>
          <w:noProof/>
        </w:rPr>
        <w:t>115</w:t>
      </w:r>
      <w:r w:rsidRPr="00F171A3">
        <w:fldChar w:fldCharType="end"/>
      </w:r>
      <w:r w:rsidRPr="00F171A3">
        <w:t xml:space="preserve"> Evoluția temperaturii medii a aerului în perioada 1990 – 2020 la stația meteorologică Băneasa</w:t>
      </w:r>
      <w:bookmarkEnd w:id="294"/>
    </w:p>
    <w:p w14:paraId="73A28B80" w14:textId="77777777" w:rsidR="00096600" w:rsidRPr="00F171A3" w:rsidRDefault="00096600" w:rsidP="00096600">
      <w:pPr>
        <w:jc w:val="center"/>
      </w:pPr>
      <w:r w:rsidRPr="00F171A3">
        <w:rPr>
          <w:noProof/>
        </w:rPr>
        <w:drawing>
          <wp:inline distT="0" distB="0" distL="0" distR="0" wp14:anchorId="192B316F" wp14:editId="39800619">
            <wp:extent cx="5997039" cy="2743200"/>
            <wp:effectExtent l="0" t="0" r="3810" b="0"/>
            <wp:docPr id="79" name="Chart 79">
              <a:extLst xmlns:a="http://schemas.openxmlformats.org/drawingml/2006/main">
                <a:ext uri="{FF2B5EF4-FFF2-40B4-BE49-F238E27FC236}">
                  <a16:creationId xmlns:a16="http://schemas.microsoft.com/office/drawing/2014/main" id="{671AA869-7F0F-4911-8E3A-928867678A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3DCE9726" w14:textId="77777777" w:rsidR="00096600" w:rsidRPr="00F171A3" w:rsidRDefault="00096600" w:rsidP="00AF2C45">
      <w:pPr>
        <w:jc w:val="right"/>
        <w:rPr>
          <w:color w:val="BFBFBF" w:themeColor="background1" w:themeShade="BF"/>
        </w:rPr>
      </w:pPr>
      <w:r w:rsidRPr="00F171A3">
        <w:rPr>
          <w:color w:val="BFBFBF" w:themeColor="background1" w:themeShade="BF"/>
        </w:rPr>
        <w:t>Sursa: Date Administrația Națională de Meteorologie</w:t>
      </w:r>
    </w:p>
    <w:p w14:paraId="39896B24" w14:textId="0D6D13E7" w:rsidR="00096600" w:rsidRPr="00F171A3" w:rsidRDefault="00096600" w:rsidP="00096600">
      <w:pPr>
        <w:pStyle w:val="Caption"/>
      </w:pPr>
      <w:bookmarkStart w:id="295" w:name="_Toc127198104"/>
      <w:r w:rsidRPr="00F171A3">
        <w:t xml:space="preserve">Figura </w:t>
      </w:r>
      <w:r w:rsidRPr="00F171A3">
        <w:fldChar w:fldCharType="begin"/>
      </w:r>
      <w:r w:rsidRPr="00F171A3">
        <w:instrText xml:space="preserve"> SEQ Figura \* ARABIC </w:instrText>
      </w:r>
      <w:r w:rsidRPr="00F171A3">
        <w:fldChar w:fldCharType="separate"/>
      </w:r>
      <w:r w:rsidR="005A6DD8">
        <w:rPr>
          <w:noProof/>
        </w:rPr>
        <w:t>116</w:t>
      </w:r>
      <w:r w:rsidRPr="00F171A3">
        <w:fldChar w:fldCharType="end"/>
      </w:r>
      <w:r w:rsidRPr="00F171A3">
        <w:t xml:space="preserve"> Evoluția numărului de zile tropicale în perioada 1990 – 2020 la stația meteorologică Băneasa</w:t>
      </w:r>
      <w:bookmarkEnd w:id="295"/>
    </w:p>
    <w:p w14:paraId="67E011DA" w14:textId="77777777" w:rsidR="00096600" w:rsidRPr="00F171A3" w:rsidRDefault="00096600" w:rsidP="00096600">
      <w:pPr>
        <w:jc w:val="center"/>
      </w:pPr>
      <w:r w:rsidRPr="00F171A3">
        <w:rPr>
          <w:noProof/>
        </w:rPr>
        <w:drawing>
          <wp:inline distT="0" distB="0" distL="0" distR="0" wp14:anchorId="09254EFF" wp14:editId="230DB80B">
            <wp:extent cx="5973288" cy="2743200"/>
            <wp:effectExtent l="0" t="0" r="8890" b="0"/>
            <wp:docPr id="80" name="Chart 80">
              <a:extLst xmlns:a="http://schemas.openxmlformats.org/drawingml/2006/main">
                <a:ext uri="{FF2B5EF4-FFF2-40B4-BE49-F238E27FC236}">
                  <a16:creationId xmlns:a16="http://schemas.microsoft.com/office/drawing/2014/main" id="{0900C26B-A537-48AC-94B2-BE00E6BD2C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1A19C6DE" w14:textId="77777777" w:rsidR="00096600" w:rsidRPr="00F171A3" w:rsidRDefault="00096600" w:rsidP="00AF2C45">
      <w:pPr>
        <w:jc w:val="right"/>
        <w:rPr>
          <w:color w:val="BFBFBF" w:themeColor="background1" w:themeShade="BF"/>
        </w:rPr>
      </w:pPr>
      <w:r w:rsidRPr="00F171A3">
        <w:rPr>
          <w:color w:val="BFBFBF" w:themeColor="background1" w:themeShade="BF"/>
        </w:rPr>
        <w:t>Sursa: Date Administrația Națională de Meteorologie</w:t>
      </w:r>
    </w:p>
    <w:p w14:paraId="69EEF0FD" w14:textId="67D687B2" w:rsidR="00096600" w:rsidRPr="00F171A3" w:rsidRDefault="00096600" w:rsidP="00096600">
      <w:r w:rsidRPr="00F171A3">
        <w:t xml:space="preserve">În ceea ce privește cantitatea totală de precipitații, media multianuală în intervalul 1990 – 2020 a fost de 631,51 mm, cu variații importante (de la 379 mm în anul 2000 la 1.077 mm în anul 2005). Cantitatea maximă de precipitații căzută în 24 de ore a fost, în medie, de 50,75 mm în ultimii 30 de ani. În ultimii 10 ani, s-au înregistrat valori de peste 50 mm doar în anii 2012 (52,6 mm) și 2020 (84,9 mm). Cu toate acestea, alte studii realizate la nivelul </w:t>
      </w:r>
      <w:r w:rsidR="00DE36DE" w:rsidRPr="00F171A3">
        <w:t>m</w:t>
      </w:r>
      <w:r w:rsidRPr="00F171A3">
        <w:t>unicipiului București indică o tendință de accentuare a intensității precipitațiilor: deși cantitatea medie de precipitații rămâne aproape la fel, numărul de zile ploioase scade.</w:t>
      </w:r>
    </w:p>
    <w:p w14:paraId="0E9FF88C" w14:textId="77777777" w:rsidR="00096600" w:rsidRPr="00F171A3" w:rsidRDefault="00096600" w:rsidP="00096600">
      <w:r w:rsidRPr="00F171A3">
        <w:t>Vânturile dominante în municipiul București sunt cele din sectoarele estic (direcția dominantă E-NE) și vestic (direcția dominantă V-SV)</w:t>
      </w:r>
      <w:r w:rsidRPr="00F171A3">
        <w:rPr>
          <w:rStyle w:val="FootnoteReference"/>
        </w:rPr>
        <w:footnoteReference w:id="154"/>
      </w:r>
      <w:r w:rsidRPr="00F171A3">
        <w:t>. Viteza medie a vântului la înălțimea de 50 m este de 4 m/s, fapt ce determină un potențial scăzut de utilizare a energiei eoliene pe teritoriul municipiului.</w:t>
      </w:r>
    </w:p>
    <w:p w14:paraId="2A0ED626" w14:textId="7A74BCC5" w:rsidR="00096600" w:rsidRPr="00F171A3" w:rsidRDefault="00096600" w:rsidP="00096600">
      <w:r w:rsidRPr="00F171A3">
        <w:t xml:space="preserve">Din punct de vedere microclimatic, în cadrul Sectorului 2 se disting atât un microclimat al zonelor centrale, caracterizat prin temperaturi mai ridicate (din cauza insulei de căldură urbană), cât și un microclimat al zonelor rezidențiale periferice, influențat de prezența salbei de lacuri, cu un rol important în apariția fenomenului de briză urbană caracteristic zonei de nord a </w:t>
      </w:r>
      <w:r w:rsidR="00DE36DE" w:rsidRPr="00F171A3">
        <w:t>m</w:t>
      </w:r>
      <w:r w:rsidRPr="00F171A3">
        <w:t>unicipiului București</w:t>
      </w:r>
      <w:r w:rsidRPr="00F171A3">
        <w:rPr>
          <w:rStyle w:val="FootnoteReference"/>
        </w:rPr>
        <w:footnoteReference w:id="155"/>
      </w:r>
      <w:r w:rsidRPr="00F171A3">
        <w:t>.</w:t>
      </w:r>
    </w:p>
    <w:p w14:paraId="163A27A1" w14:textId="0F429FA9" w:rsidR="00096600" w:rsidRPr="00F171A3" w:rsidRDefault="00096600" w:rsidP="00096600">
      <w:pPr>
        <w:pStyle w:val="Caption"/>
      </w:pPr>
      <w:bookmarkStart w:id="296" w:name="_Toc127198105"/>
      <w:r w:rsidRPr="00F171A3">
        <w:t xml:space="preserve">Figura </w:t>
      </w:r>
      <w:r w:rsidRPr="00F171A3">
        <w:fldChar w:fldCharType="begin"/>
      </w:r>
      <w:r w:rsidRPr="00F171A3">
        <w:instrText xml:space="preserve"> SEQ Figura \* ARABIC </w:instrText>
      </w:r>
      <w:r w:rsidRPr="00F171A3">
        <w:fldChar w:fldCharType="separate"/>
      </w:r>
      <w:r w:rsidR="005A6DD8">
        <w:rPr>
          <w:noProof/>
        </w:rPr>
        <w:t>117</w:t>
      </w:r>
      <w:r w:rsidRPr="00F171A3">
        <w:fldChar w:fldCharType="end"/>
      </w:r>
      <w:r w:rsidRPr="00F171A3">
        <w:t xml:space="preserve"> Radiația solară globală în România</w:t>
      </w:r>
      <w:bookmarkEnd w:id="296"/>
    </w:p>
    <w:p w14:paraId="500F0B54" w14:textId="77777777" w:rsidR="00096600" w:rsidRPr="00F171A3" w:rsidRDefault="00096600" w:rsidP="00096600">
      <w:pPr>
        <w:jc w:val="center"/>
      </w:pPr>
      <w:r w:rsidRPr="00F171A3">
        <w:rPr>
          <w:noProof/>
        </w:rPr>
        <w:drawing>
          <wp:inline distT="0" distB="0" distL="0" distR="0" wp14:anchorId="753DD4F0" wp14:editId="601EF7CB">
            <wp:extent cx="4165724" cy="4048125"/>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179823" cy="4061826"/>
                    </a:xfrm>
                    <a:prstGeom prst="rect">
                      <a:avLst/>
                    </a:prstGeom>
                  </pic:spPr>
                </pic:pic>
              </a:graphicData>
            </a:graphic>
          </wp:inline>
        </w:drawing>
      </w:r>
    </w:p>
    <w:p w14:paraId="6C326610" w14:textId="77777777" w:rsidR="00096600" w:rsidRPr="00F171A3" w:rsidRDefault="00096600" w:rsidP="00AF2C45">
      <w:pPr>
        <w:jc w:val="right"/>
        <w:rPr>
          <w:color w:val="BFBFBF" w:themeColor="background1" w:themeShade="BF"/>
        </w:rPr>
      </w:pPr>
      <w:r w:rsidRPr="00F171A3">
        <w:rPr>
          <w:color w:val="BFBFBF" w:themeColor="background1" w:themeShade="BF"/>
        </w:rPr>
        <w:t>Sursa: Global Solar Atlas, World Bank Group (finanțat de ESMAP și realizat de Solargis)</w:t>
      </w:r>
    </w:p>
    <w:p w14:paraId="648257C4" w14:textId="6246FEE1" w:rsidR="00096600" w:rsidRPr="00F171A3" w:rsidRDefault="00096600" w:rsidP="00096600">
      <w:r w:rsidRPr="00F171A3">
        <w:t>Valorile radiației solare globale în municipiul București depășesc 1.300 kWh/m</w:t>
      </w:r>
      <w:r w:rsidRPr="00F171A3">
        <w:rPr>
          <w:vertAlign w:val="superscript"/>
        </w:rPr>
        <w:t>2</w:t>
      </w:r>
      <w:r w:rsidRPr="00F171A3">
        <w:t xml:space="preserve"> (vezi figura de mai jos), fapt ce indică un</w:t>
      </w:r>
      <w:r w:rsidRPr="00F171A3">
        <w:rPr>
          <w:b/>
          <w:bCs/>
        </w:rPr>
        <w:t xml:space="preserve"> </w:t>
      </w:r>
      <w:r w:rsidRPr="00F171A3">
        <w:t xml:space="preserve">potențial ridicat de utilizare a energiei solare pe teritoriul Sectorului 2. Acest lucru este confirmat și de studiul realizat de ICEMENERG în 2006, ce plasează </w:t>
      </w:r>
      <w:r w:rsidR="00DE36DE" w:rsidRPr="00F171A3">
        <w:t>m</w:t>
      </w:r>
      <w:r w:rsidRPr="00F171A3">
        <w:t>unicipiul București în zona II de radiație solară (1.300 – 1.350 kwH/m</w:t>
      </w:r>
      <w:r w:rsidRPr="00F171A3">
        <w:rPr>
          <w:vertAlign w:val="superscript"/>
        </w:rPr>
        <w:t>2</w:t>
      </w:r>
      <w:r w:rsidRPr="00F171A3">
        <w:t>/an).</w:t>
      </w:r>
    </w:p>
    <w:p w14:paraId="776DE007" w14:textId="7DA2AEB9" w:rsidR="00096600" w:rsidRPr="00F171A3" w:rsidRDefault="00096600" w:rsidP="00096600">
      <w:r w:rsidRPr="00F171A3">
        <w:t xml:space="preserve">De altfel, domeniul energiei este unul important atunci când se au în vedere măsuri ce vizează atenuarea schimbărilor climatice. În cazul Sectorului 2, se remarcă faptul că a fost finalizată eficientizarea energetică a circa 1.200 de blocuri de locuințe, iar 122 de blocuri se află în prezent în curs de reabilitare. Alte două loturi (de 54, respectiv 84 de blocuri de locuințe) se află în pregătire. Prin urmare, doar pentru 379 de blocuri din sector (circa 20 %) nu există, în prezent, demersuri realizate pentru eficientizarea energetică. Situația este una foarte bună comparativ cu alte municipii din România sau chiar cu alte sectoare din </w:t>
      </w:r>
      <w:r w:rsidR="00DE36DE" w:rsidRPr="00F171A3">
        <w:t>m</w:t>
      </w:r>
      <w:r w:rsidRPr="00F171A3">
        <w:t>unicipiul București.</w:t>
      </w:r>
    </w:p>
    <w:p w14:paraId="4D3866FA" w14:textId="77777777" w:rsidR="00096600" w:rsidRPr="00F171A3" w:rsidRDefault="00096600" w:rsidP="00096600">
      <w:r w:rsidRPr="00F171A3">
        <w:t>Primăria Sectorului 2 dorește, de asemenea, implementarea unui program de amplasare a panourilor fotovoltaice pe terasele blocurilor și un program de amenajare a spațiilor verzi pe terasele blocurilor. Aceste componente, ce pot contribui la tranziția către o energie cu emisii scăzute de gaze cu efect de seră și la reducerea efectelor insulei de căldură urbană, ar putea fi integrate în cadrul noilor proiecte de eficientizare energetică a blocurilor de locuințe.</w:t>
      </w:r>
    </w:p>
    <w:p w14:paraId="07D3572C" w14:textId="77777777" w:rsidR="00096600" w:rsidRPr="00F171A3" w:rsidRDefault="00096600" w:rsidP="00096600">
      <w:r w:rsidRPr="00F171A3">
        <w:t xml:space="preserve">În ceea ce privește eficientizarea energetică a clădirilor publice, în prezent se află în implementare 3 proiecte, pentru sediul Direcției Publice de Evidență Persoane și Stare Civilă Sector 2 (Str. Olari nr. 19), pentru Școala nr. 64 Ferdinand I și pentru Liceul Tehnologic ”Ion I.C. Brătianu”. A fost deja implementat proiectul </w:t>
      </w:r>
      <w:r w:rsidRPr="00F171A3">
        <w:rPr>
          <w:i/>
          <w:iCs/>
        </w:rPr>
        <w:t>Eficientizare energetică prin reabilitare/modernizare a Liceului Teoretic ”Lucian Blaga” SMIS 1180197</w:t>
      </w:r>
      <w:r w:rsidRPr="00F171A3">
        <w:t>, în valoare de 7.302.341,61 lei. Analizând situația proiectelor de eficientizare energetică a clădirilor publice aflate în administrarea Direcției Generale pentru Administrarea Patrimoniului Imobiliar Sector 2, putem menționa următoarele aspecte:</w:t>
      </w:r>
    </w:p>
    <w:p w14:paraId="51C3D800" w14:textId="70530CE2" w:rsidR="00096600" w:rsidRPr="00F171A3" w:rsidRDefault="00096600">
      <w:pPr>
        <w:pStyle w:val="Normal0"/>
        <w:numPr>
          <w:ilvl w:val="0"/>
          <w:numId w:val="84"/>
        </w:numPr>
        <w:rPr>
          <w:color w:val="134753" w:themeColor="text2"/>
        </w:rPr>
      </w:pPr>
      <w:r w:rsidRPr="00F171A3">
        <w:rPr>
          <w:color w:val="134753" w:themeColor="text2"/>
        </w:rPr>
        <w:t>Pentru 55 de clădiri au fost demarate proiecte în perioada 2015 - 2021. Există 15 contracte de finanțare încheiate în perioada 2018 – 2020 pe PNDL, pentru lucrări de consolidare-reabilitare ce includ și lucrări de eficientizare energetică. Unele dintre aceste proiecte au fost finalizate (inclusiv proiecte pe POR -Liceul Teoretic ”Lucian Blaga” în perioada de programare 2014 – 2020 sau Colegiul Național ”Iulia Hasdeu” în perioada de programare 2007-2013</w:t>
      </w:r>
      <w:r w:rsidR="00507C46" w:rsidRPr="00F171A3">
        <w:rPr>
          <w:color w:val="134753" w:themeColor="text2"/>
        </w:rPr>
        <w:t>;</w:t>
      </w:r>
    </w:p>
    <w:p w14:paraId="6142477F" w14:textId="1754982F" w:rsidR="00096600" w:rsidRPr="00F171A3" w:rsidRDefault="00096600">
      <w:pPr>
        <w:pStyle w:val="Normal0"/>
        <w:numPr>
          <w:ilvl w:val="0"/>
          <w:numId w:val="84"/>
        </w:numPr>
        <w:rPr>
          <w:color w:val="134753" w:themeColor="text2"/>
        </w:rPr>
      </w:pPr>
      <w:r w:rsidRPr="00F171A3">
        <w:rPr>
          <w:color w:val="134753" w:themeColor="text2"/>
        </w:rPr>
        <w:t>Pentru perioada 2021 – 2027, sunt necesare investiții pentru eficientizarea energetică a alte 54 de clădiri. Pentru 8 (inclusiv cele menționate mai sus: DPEPSC Sector 2, Școala Ferdinand, Liceul Tehnologic Ion I.C. Brătianu) au fost încheiate contracte de fina</w:t>
      </w:r>
      <w:r w:rsidR="00C66438">
        <w:rPr>
          <w:color w:val="134753" w:themeColor="text2"/>
        </w:rPr>
        <w:t>n</w:t>
      </w:r>
      <w:r w:rsidRPr="00F171A3">
        <w:rPr>
          <w:color w:val="134753" w:themeColor="text2"/>
        </w:rPr>
        <w:t>țare pe POR în anul 2019, iar pentru alte 16 clădiri există deja DALI realizate.</w:t>
      </w:r>
    </w:p>
    <w:p w14:paraId="46BDC8A0" w14:textId="6160179E" w:rsidR="00096600" w:rsidRPr="00F171A3" w:rsidRDefault="00096600" w:rsidP="00096600">
      <w:r w:rsidRPr="00F171A3">
        <w:t xml:space="preserve">Prin urmare, pentru 79 din clădirile publice de pe teritoriul Sectorului 2 au fost realizate demersuri pentru lucrări de eficientizare energetică. Pentru 30 din cele 109 clădiri publice aflate în evidența DGAPI Sector 2 (circa 27 % din total) este necesară în continuare contractarea DALI pentru realizarea </w:t>
      </w:r>
      <w:r w:rsidR="00C66438" w:rsidRPr="00F171A3">
        <w:t>proiectelor</w:t>
      </w:r>
      <w:r w:rsidRPr="00F171A3">
        <w:t xml:space="preserve"> de reabilitare-modernizare.</w:t>
      </w:r>
    </w:p>
    <w:p w14:paraId="28AF4265" w14:textId="77777777" w:rsidR="00507C46" w:rsidRPr="00F171A3" w:rsidRDefault="00507C46" w:rsidP="00096600"/>
    <w:p w14:paraId="79C674C5" w14:textId="2EBDD471" w:rsidR="00096600" w:rsidRPr="00F171A3" w:rsidRDefault="00507C46" w:rsidP="00096600">
      <w:pPr>
        <w:pStyle w:val="Actiontitle"/>
      </w:pPr>
      <w:r w:rsidRPr="00F171A3">
        <w:t>PEDOLOGIE</w:t>
      </w:r>
    </w:p>
    <w:p w14:paraId="4D7A90D1" w14:textId="13B6F61B" w:rsidR="00096600" w:rsidRPr="00F171A3" w:rsidRDefault="00096600" w:rsidP="00096600">
      <w:r w:rsidRPr="00F171A3">
        <w:t xml:space="preserve">În zona </w:t>
      </w:r>
      <w:r w:rsidR="00DE36DE" w:rsidRPr="00F171A3">
        <w:t>m</w:t>
      </w:r>
      <w:r w:rsidRPr="00F171A3">
        <w:t>unicipiului București, cea mai mare răspândire o are clasa cernisolurilor, reprezentată prin mai multe tipuri de cernoziomuri, precum și clasa luvisoluri, dominată de solurile brun-roșcate. În zona de luncă a Colentinei se întâlnesc soluri azonale (soluri aluviale). Solurile din Sectorul 2 au suferit antropizări puternice ce au dus la destructurarea lor și apariția protosolurilor antropice (soluri de umplutură), cu o calitate scăzută, necesitând costuri suplimentare pentru amenajarea și întreținerea spațiilor verzi</w:t>
      </w:r>
      <w:r w:rsidRPr="00F171A3">
        <w:rPr>
          <w:rStyle w:val="FootnoteReference"/>
        </w:rPr>
        <w:footnoteReference w:id="156"/>
      </w:r>
      <w:r w:rsidRPr="00F171A3">
        <w:t>.</w:t>
      </w:r>
    </w:p>
    <w:p w14:paraId="6149A05D" w14:textId="77777777" w:rsidR="00507C46" w:rsidRPr="00F171A3" w:rsidRDefault="00507C46" w:rsidP="00096600"/>
    <w:p w14:paraId="72128773" w14:textId="106FD994" w:rsidR="00096600" w:rsidRPr="00F171A3" w:rsidRDefault="00507C46" w:rsidP="00096600">
      <w:pPr>
        <w:pStyle w:val="Actiontitle"/>
      </w:pPr>
      <w:r w:rsidRPr="00F171A3">
        <w:t>VEGETAȚIE ȘI FAUNĂ</w:t>
      </w:r>
    </w:p>
    <w:p w14:paraId="4BE34BB3" w14:textId="2DFABAD0" w:rsidR="00096600" w:rsidRPr="00F171A3" w:rsidRDefault="00096600" w:rsidP="00096600">
      <w:r w:rsidRPr="00F171A3">
        <w:t>Elemente de vegetație naturală se întâlnesc doar în zona salbei de lacuri de pe râul Colentina, sub forma vegetației azonale (de luncă) ce include specii precum salcie, plop, rogoz, papură, trestie sau nufărul galben. În rest, vegetația naturală a fost puternic antropizată, fiind înlocuită de specii care s-au adaptat condițiilor din mediul urban.</w:t>
      </w:r>
    </w:p>
    <w:p w14:paraId="06DD924F" w14:textId="77777777" w:rsidR="00507C46" w:rsidRPr="00F171A3" w:rsidRDefault="00507C46" w:rsidP="00096600"/>
    <w:p w14:paraId="69DBF4DB" w14:textId="77777777" w:rsidR="00096600" w:rsidRPr="00F171A3" w:rsidRDefault="00000000" w:rsidP="00096600">
      <w:pPr>
        <w:pStyle w:val="Heading3"/>
        <w:rPr>
          <w:lang w:val="ro-RO"/>
        </w:rPr>
      </w:pPr>
      <w:hyperlink w:anchor="_Toc493866729" w:history="1">
        <w:bookmarkStart w:id="297" w:name="_Toc100915453"/>
        <w:bookmarkStart w:id="298" w:name="_Toc127199294"/>
        <w:r w:rsidR="00096600" w:rsidRPr="00F171A3">
          <w:rPr>
            <w:caps w:val="0"/>
            <w:lang w:val="ro-RO"/>
          </w:rPr>
          <w:t>CALITATEA FACTORILOR DE MEDIU</w:t>
        </w:r>
        <w:bookmarkEnd w:id="297"/>
        <w:bookmarkEnd w:id="298"/>
        <w:r w:rsidR="00096600" w:rsidRPr="00F171A3">
          <w:rPr>
            <w:caps w:val="0"/>
            <w:webHidden/>
            <w:lang w:val="ro-RO"/>
          </w:rPr>
          <w:tab/>
        </w:r>
      </w:hyperlink>
    </w:p>
    <w:p w14:paraId="364D65CD" w14:textId="4667FB6F" w:rsidR="00096600" w:rsidRPr="00F171A3" w:rsidRDefault="001E0A0F" w:rsidP="001E0A0F">
      <w:pPr>
        <w:pStyle w:val="Heading4"/>
      </w:pPr>
      <w:r w:rsidRPr="00F171A3">
        <w:t>SURSE DE DEGRADARE A CALITĂȚII MEDIULUI</w:t>
      </w:r>
    </w:p>
    <w:p w14:paraId="5247470F" w14:textId="77777777" w:rsidR="00096600" w:rsidRPr="00F171A3" w:rsidRDefault="00096600" w:rsidP="00096600">
      <w:r w:rsidRPr="00F171A3">
        <w:t>Au fost solicitate autorizații de mediu în perioada 2017 – 2021 pentru următoarele categorii de activități economice la nivelul Sectorului 2:</w:t>
      </w:r>
    </w:p>
    <w:p w14:paraId="137DDF45" w14:textId="761EFE4C" w:rsidR="00096600" w:rsidRPr="00F171A3" w:rsidRDefault="00096600">
      <w:pPr>
        <w:pStyle w:val="Normal0"/>
        <w:numPr>
          <w:ilvl w:val="0"/>
          <w:numId w:val="84"/>
        </w:numPr>
        <w:rPr>
          <w:color w:val="134753" w:themeColor="text2"/>
        </w:rPr>
      </w:pPr>
      <w:r w:rsidRPr="00F171A3">
        <w:rPr>
          <w:color w:val="134753" w:themeColor="text2"/>
        </w:rPr>
        <w:t xml:space="preserve">Activități industriale: fabricare echipamente comunicații, producție panificație, producție lactate, fabricare produse plastic, fabricare băuturi alcoolice, fabricare confecții, </w:t>
      </w:r>
      <w:r w:rsidR="00C66438" w:rsidRPr="00F171A3">
        <w:rPr>
          <w:color w:val="134753" w:themeColor="text2"/>
        </w:rPr>
        <w:t>prelucrări</w:t>
      </w:r>
      <w:r w:rsidRPr="00F171A3">
        <w:rPr>
          <w:color w:val="134753" w:themeColor="text2"/>
        </w:rPr>
        <w:t xml:space="preserve"> mecanice, producere/prelucrare mobile;</w:t>
      </w:r>
    </w:p>
    <w:p w14:paraId="5EEB2538" w14:textId="6061EE60" w:rsidR="00096600" w:rsidRPr="00F171A3" w:rsidRDefault="00096600">
      <w:pPr>
        <w:pStyle w:val="Normal0"/>
        <w:numPr>
          <w:ilvl w:val="0"/>
          <w:numId w:val="84"/>
        </w:numPr>
        <w:rPr>
          <w:color w:val="134753" w:themeColor="text2"/>
        </w:rPr>
      </w:pPr>
      <w:r w:rsidRPr="00F171A3">
        <w:rPr>
          <w:color w:val="134753" w:themeColor="text2"/>
        </w:rPr>
        <w:t>Activități de gestionare a deșeurilor: colectare deșeuri, dezmembrare autoturisme, DEEE-uri, comerț deșeuri</w:t>
      </w:r>
      <w:r w:rsidR="00507C46" w:rsidRPr="00F171A3">
        <w:rPr>
          <w:color w:val="134753" w:themeColor="text2"/>
        </w:rPr>
        <w:t>;</w:t>
      </w:r>
    </w:p>
    <w:p w14:paraId="7DFFB64C" w14:textId="77777777" w:rsidR="00096600" w:rsidRPr="00F171A3" w:rsidRDefault="00096600">
      <w:pPr>
        <w:pStyle w:val="Normal0"/>
        <w:numPr>
          <w:ilvl w:val="0"/>
          <w:numId w:val="84"/>
        </w:numPr>
        <w:rPr>
          <w:color w:val="134753" w:themeColor="text2"/>
        </w:rPr>
      </w:pPr>
      <w:r w:rsidRPr="00F171A3">
        <w:rPr>
          <w:color w:val="134753" w:themeColor="text2"/>
        </w:rPr>
        <w:t>Alte activități: supermarket, spălătorie auto, tipografii, dezinsecție, dezinfecție, deratizare, service auto cu vopsitorie etc.</w:t>
      </w:r>
    </w:p>
    <w:p w14:paraId="56018376" w14:textId="77777777" w:rsidR="00096600" w:rsidRPr="00F171A3" w:rsidRDefault="00096600" w:rsidP="00096600">
      <w:r w:rsidRPr="00F171A3">
        <w:t>Se remarcă faptul că cea mai mare parte a activităților enumerate nu reprezintă surse semnificative de degradare a calității factorilor de mediu, fiind fie activități punctuale, desfășurate pe o arie restrânsă, fie activități de industrie ușoară. De altfel, la nivelul Sectorului 2 există o singură instalație IPPC – SC DANONE PDPA S.A., având ca obiect de activitate procesarea laptelui (400 tone/zi) și situată pe Str. Nicolae Cânea (zona cartierului Ion Creangă, aproape de calea ferată), cu impact în special în ceea ce privește calitatea apelor. De asemenea, pe teritoriul Sectorului există 7 agenți economici care vehiculează COV-uri (2021) – vezi tabelul de mai jos.</w:t>
      </w:r>
    </w:p>
    <w:p w14:paraId="131D1778" w14:textId="0F30D0B3" w:rsidR="00096600" w:rsidRPr="00F171A3" w:rsidRDefault="00096600" w:rsidP="00096600">
      <w:pPr>
        <w:pStyle w:val="Caption"/>
      </w:pPr>
      <w:bookmarkStart w:id="299" w:name="_Toc126943288"/>
      <w:r w:rsidRPr="00F171A3">
        <w:t xml:space="preserve">Tabel </w:t>
      </w:r>
      <w:r w:rsidRPr="00F171A3">
        <w:fldChar w:fldCharType="begin"/>
      </w:r>
      <w:r w:rsidRPr="00F171A3">
        <w:instrText xml:space="preserve"> SEQ Tabel \* ARABIC </w:instrText>
      </w:r>
      <w:r w:rsidRPr="00F171A3">
        <w:fldChar w:fldCharType="separate"/>
      </w:r>
      <w:r w:rsidR="005A6DD8">
        <w:rPr>
          <w:noProof/>
        </w:rPr>
        <w:t>31</w:t>
      </w:r>
      <w:r w:rsidRPr="00F171A3">
        <w:fldChar w:fldCharType="end"/>
      </w:r>
      <w:r w:rsidRPr="00F171A3">
        <w:t xml:space="preserve"> Lista agenților economici care vehiculează COV-uri în 2021</w:t>
      </w:r>
      <w:bookmarkEnd w:id="299"/>
    </w:p>
    <w:tbl>
      <w:tblPr>
        <w:tblStyle w:val="Civittatable"/>
        <w:tblW w:w="9493" w:type="dxa"/>
        <w:tblLook w:val="04A0" w:firstRow="1" w:lastRow="0" w:firstColumn="1" w:lastColumn="0" w:noHBand="0" w:noVBand="1"/>
      </w:tblPr>
      <w:tblGrid>
        <w:gridCol w:w="4248"/>
        <w:gridCol w:w="5245"/>
      </w:tblGrid>
      <w:tr w:rsidR="00096600" w:rsidRPr="00F171A3" w14:paraId="29E8CBD5" w14:textId="77777777" w:rsidTr="00244806">
        <w:trPr>
          <w:cnfStyle w:val="100000000000" w:firstRow="1" w:lastRow="0" w:firstColumn="0" w:lastColumn="0" w:oddVBand="0" w:evenVBand="0" w:oddHBand="0" w:evenHBand="0" w:firstRowFirstColumn="0" w:firstRowLastColumn="0" w:lastRowFirstColumn="0" w:lastRowLastColumn="0"/>
          <w:trHeight w:val="388"/>
        </w:trPr>
        <w:tc>
          <w:tcPr>
            <w:tcW w:w="4248" w:type="dxa"/>
            <w:vAlign w:val="center"/>
          </w:tcPr>
          <w:p w14:paraId="5E1A02A6" w14:textId="77777777" w:rsidR="00096600" w:rsidRPr="00F171A3" w:rsidRDefault="00096600" w:rsidP="00244806">
            <w:pPr>
              <w:jc w:val="center"/>
              <w:rPr>
                <w:b/>
                <w:bCs/>
              </w:rPr>
            </w:pPr>
            <w:r w:rsidRPr="00F171A3">
              <w:rPr>
                <w:b/>
                <w:bCs/>
              </w:rPr>
              <w:t>Denumire</w:t>
            </w:r>
          </w:p>
        </w:tc>
        <w:tc>
          <w:tcPr>
            <w:tcW w:w="5245" w:type="dxa"/>
            <w:vAlign w:val="center"/>
          </w:tcPr>
          <w:p w14:paraId="26E49304" w14:textId="77777777" w:rsidR="00096600" w:rsidRPr="00F171A3" w:rsidRDefault="00096600" w:rsidP="00244806">
            <w:pPr>
              <w:jc w:val="center"/>
              <w:rPr>
                <w:b/>
                <w:bCs/>
              </w:rPr>
            </w:pPr>
            <w:r w:rsidRPr="00F171A3">
              <w:rPr>
                <w:b/>
                <w:bCs/>
              </w:rPr>
              <w:t>Adresă</w:t>
            </w:r>
          </w:p>
        </w:tc>
      </w:tr>
      <w:tr w:rsidR="00096600" w:rsidRPr="00F171A3" w14:paraId="058C9FEF" w14:textId="77777777" w:rsidTr="00244806">
        <w:trPr>
          <w:cnfStyle w:val="000000100000" w:firstRow="0" w:lastRow="0" w:firstColumn="0" w:lastColumn="0" w:oddVBand="0" w:evenVBand="0" w:oddHBand="1" w:evenHBand="0" w:firstRowFirstColumn="0" w:firstRowLastColumn="0" w:lastRowFirstColumn="0" w:lastRowLastColumn="0"/>
          <w:trHeight w:val="70"/>
        </w:trPr>
        <w:tc>
          <w:tcPr>
            <w:tcW w:w="4248" w:type="dxa"/>
          </w:tcPr>
          <w:p w14:paraId="62E079E0" w14:textId="77777777" w:rsidR="00096600" w:rsidRPr="00F171A3" w:rsidRDefault="00096600" w:rsidP="00244806">
            <w:r w:rsidRPr="00F171A3">
              <w:t>SC ECO CLEAN SRL</w:t>
            </w:r>
          </w:p>
        </w:tc>
        <w:tc>
          <w:tcPr>
            <w:tcW w:w="5245" w:type="dxa"/>
          </w:tcPr>
          <w:p w14:paraId="58B07BDD" w14:textId="4082F50F" w:rsidR="00096600" w:rsidRPr="00F171A3" w:rsidRDefault="00096600" w:rsidP="00244806">
            <w:pPr>
              <w:jc w:val="left"/>
            </w:pPr>
            <w:r w:rsidRPr="00F171A3">
              <w:t xml:space="preserve">Str. Pierre Coubertain nr. 3-5m, </w:t>
            </w:r>
            <w:r w:rsidR="00F53B80" w:rsidRPr="00F171A3">
              <w:t>Sector 2</w:t>
            </w:r>
          </w:p>
        </w:tc>
      </w:tr>
      <w:tr w:rsidR="00096600" w:rsidRPr="00F171A3" w14:paraId="573F6BD5" w14:textId="77777777" w:rsidTr="00244806">
        <w:trPr>
          <w:cnfStyle w:val="000000010000" w:firstRow="0" w:lastRow="0" w:firstColumn="0" w:lastColumn="0" w:oddVBand="0" w:evenVBand="0" w:oddHBand="0" w:evenHBand="1" w:firstRowFirstColumn="0" w:firstRowLastColumn="0" w:lastRowFirstColumn="0" w:lastRowLastColumn="0"/>
          <w:trHeight w:val="162"/>
        </w:trPr>
        <w:tc>
          <w:tcPr>
            <w:tcW w:w="4248" w:type="dxa"/>
          </w:tcPr>
          <w:p w14:paraId="7EE054B5" w14:textId="77777777" w:rsidR="00096600" w:rsidRPr="00F171A3" w:rsidRDefault="00096600" w:rsidP="00244806">
            <w:r w:rsidRPr="00F171A3">
              <w:t>SC LAVA &amp; CUCE RO SRL</w:t>
            </w:r>
          </w:p>
        </w:tc>
        <w:tc>
          <w:tcPr>
            <w:tcW w:w="5245" w:type="dxa"/>
          </w:tcPr>
          <w:p w14:paraId="7F1EAF7E" w14:textId="4BE3D2BD" w:rsidR="00096600" w:rsidRPr="00F171A3" w:rsidRDefault="00096600" w:rsidP="00244806">
            <w:pPr>
              <w:jc w:val="left"/>
            </w:pPr>
            <w:r w:rsidRPr="00F171A3">
              <w:t xml:space="preserve">Punct de lucru CORA – Centrul Comercial Cora, </w:t>
            </w:r>
            <w:r w:rsidR="00F53B80" w:rsidRPr="00F171A3">
              <w:t>Sector 2</w:t>
            </w:r>
          </w:p>
        </w:tc>
      </w:tr>
      <w:tr w:rsidR="00096600" w:rsidRPr="00F171A3" w14:paraId="1BC405A3" w14:textId="77777777" w:rsidTr="00244806">
        <w:trPr>
          <w:cnfStyle w:val="000000100000" w:firstRow="0" w:lastRow="0" w:firstColumn="0" w:lastColumn="0" w:oddVBand="0" w:evenVBand="0" w:oddHBand="1" w:evenHBand="0" w:firstRowFirstColumn="0" w:firstRowLastColumn="0" w:lastRowFirstColumn="0" w:lastRowLastColumn="0"/>
          <w:trHeight w:val="70"/>
        </w:trPr>
        <w:tc>
          <w:tcPr>
            <w:tcW w:w="4248" w:type="dxa"/>
          </w:tcPr>
          <w:p w14:paraId="3718BC59" w14:textId="77777777" w:rsidR="00096600" w:rsidRPr="00F171A3" w:rsidRDefault="00096600" w:rsidP="00244806">
            <w:r w:rsidRPr="00F171A3">
              <w:t>SC NUFĂRUL SA</w:t>
            </w:r>
          </w:p>
        </w:tc>
        <w:tc>
          <w:tcPr>
            <w:tcW w:w="5245" w:type="dxa"/>
          </w:tcPr>
          <w:p w14:paraId="4AFE605F" w14:textId="0BF9D901" w:rsidR="00096600" w:rsidRPr="00F171A3" w:rsidRDefault="00096600" w:rsidP="00244806">
            <w:pPr>
              <w:jc w:val="left"/>
            </w:pPr>
            <w:r w:rsidRPr="00F171A3">
              <w:t xml:space="preserve">Calea Moșilor nr. 276, </w:t>
            </w:r>
            <w:r w:rsidR="00F53B80" w:rsidRPr="00F171A3">
              <w:t>Sector 2</w:t>
            </w:r>
          </w:p>
        </w:tc>
      </w:tr>
      <w:tr w:rsidR="00096600" w:rsidRPr="00F171A3" w14:paraId="5E7544B9" w14:textId="77777777" w:rsidTr="00244806">
        <w:trPr>
          <w:cnfStyle w:val="000000010000" w:firstRow="0" w:lastRow="0" w:firstColumn="0" w:lastColumn="0" w:oddVBand="0" w:evenVBand="0" w:oddHBand="0" w:evenHBand="1" w:firstRowFirstColumn="0" w:firstRowLastColumn="0" w:lastRowFirstColumn="0" w:lastRowLastColumn="0"/>
          <w:trHeight w:val="131"/>
        </w:trPr>
        <w:tc>
          <w:tcPr>
            <w:tcW w:w="4248" w:type="dxa"/>
          </w:tcPr>
          <w:p w14:paraId="4A1911FC" w14:textId="77777777" w:rsidR="00096600" w:rsidRPr="00F171A3" w:rsidRDefault="00096600" w:rsidP="00244806">
            <w:r w:rsidRPr="00F171A3">
              <w:t>SC NUFĂRUL SA</w:t>
            </w:r>
          </w:p>
        </w:tc>
        <w:tc>
          <w:tcPr>
            <w:tcW w:w="5245" w:type="dxa"/>
          </w:tcPr>
          <w:p w14:paraId="3ED3CD3C" w14:textId="18ADD3F4" w:rsidR="00096600" w:rsidRPr="00F171A3" w:rsidRDefault="00096600" w:rsidP="00244806">
            <w:pPr>
              <w:jc w:val="left"/>
            </w:pPr>
            <w:r w:rsidRPr="00F171A3">
              <w:t xml:space="preserve">B-dul Chișinău nr. 77, bl. A13, </w:t>
            </w:r>
            <w:r w:rsidR="00F53B80" w:rsidRPr="00F171A3">
              <w:t>Sector 2</w:t>
            </w:r>
          </w:p>
        </w:tc>
      </w:tr>
      <w:tr w:rsidR="00096600" w:rsidRPr="00F171A3" w14:paraId="636A568B" w14:textId="77777777" w:rsidTr="00244806">
        <w:trPr>
          <w:cnfStyle w:val="000000100000" w:firstRow="0" w:lastRow="0" w:firstColumn="0" w:lastColumn="0" w:oddVBand="0" w:evenVBand="0" w:oddHBand="1" w:evenHBand="0" w:firstRowFirstColumn="0" w:firstRowLastColumn="0" w:lastRowFirstColumn="0" w:lastRowLastColumn="0"/>
          <w:trHeight w:val="123"/>
        </w:trPr>
        <w:tc>
          <w:tcPr>
            <w:tcW w:w="4248" w:type="dxa"/>
          </w:tcPr>
          <w:p w14:paraId="53DA4373" w14:textId="77777777" w:rsidR="00096600" w:rsidRPr="00F171A3" w:rsidRDefault="00096600" w:rsidP="00244806">
            <w:r w:rsidRPr="00F171A3">
              <w:t>SC PINUM PRODUCTIE SA</w:t>
            </w:r>
          </w:p>
        </w:tc>
        <w:tc>
          <w:tcPr>
            <w:tcW w:w="5245" w:type="dxa"/>
          </w:tcPr>
          <w:p w14:paraId="775A6F3C" w14:textId="729ABE2A" w:rsidR="00096600" w:rsidRPr="00F171A3" w:rsidRDefault="00096600" w:rsidP="00244806">
            <w:pPr>
              <w:jc w:val="left"/>
            </w:pPr>
            <w:r w:rsidRPr="00F171A3">
              <w:t xml:space="preserve">Șos. Pipera nr. 48, </w:t>
            </w:r>
            <w:r w:rsidR="00F53B80" w:rsidRPr="00F171A3">
              <w:t>Sector 2</w:t>
            </w:r>
          </w:p>
        </w:tc>
      </w:tr>
      <w:tr w:rsidR="00096600" w:rsidRPr="00F171A3" w14:paraId="7BDE697E" w14:textId="77777777" w:rsidTr="00244806">
        <w:trPr>
          <w:cnfStyle w:val="000000010000" w:firstRow="0" w:lastRow="0" w:firstColumn="0" w:lastColumn="0" w:oddVBand="0" w:evenVBand="0" w:oddHBand="0" w:evenHBand="1" w:firstRowFirstColumn="0" w:firstRowLastColumn="0" w:lastRowFirstColumn="0" w:lastRowLastColumn="0"/>
          <w:trHeight w:val="123"/>
        </w:trPr>
        <w:tc>
          <w:tcPr>
            <w:tcW w:w="4248" w:type="dxa"/>
          </w:tcPr>
          <w:p w14:paraId="0186F52E" w14:textId="77777777" w:rsidR="00096600" w:rsidRPr="00F171A3" w:rsidRDefault="00096600" w:rsidP="00244806">
            <w:r w:rsidRPr="00F171A3">
              <w:t>SC POSTĂVĂRIA ROMÂNĂ SRL</w:t>
            </w:r>
          </w:p>
        </w:tc>
        <w:tc>
          <w:tcPr>
            <w:tcW w:w="5245" w:type="dxa"/>
          </w:tcPr>
          <w:p w14:paraId="3178A1A8" w14:textId="49C2F0B8" w:rsidR="00096600" w:rsidRPr="00F171A3" w:rsidRDefault="00096600" w:rsidP="00244806">
            <w:pPr>
              <w:jc w:val="left"/>
            </w:pPr>
            <w:r w:rsidRPr="00F171A3">
              <w:t xml:space="preserve">Șos. Morarilor nr. 1, </w:t>
            </w:r>
            <w:r w:rsidR="00F53B80" w:rsidRPr="00F171A3">
              <w:t>Sector 2</w:t>
            </w:r>
          </w:p>
        </w:tc>
      </w:tr>
      <w:tr w:rsidR="00096600" w:rsidRPr="00F171A3" w14:paraId="53A4ADBC" w14:textId="77777777" w:rsidTr="00244806">
        <w:trPr>
          <w:cnfStyle w:val="000000100000" w:firstRow="0" w:lastRow="0" w:firstColumn="0" w:lastColumn="0" w:oddVBand="0" w:evenVBand="0" w:oddHBand="1" w:evenHBand="0" w:firstRowFirstColumn="0" w:firstRowLastColumn="0" w:lastRowFirstColumn="0" w:lastRowLastColumn="0"/>
          <w:trHeight w:val="123"/>
        </w:trPr>
        <w:tc>
          <w:tcPr>
            <w:tcW w:w="4248" w:type="dxa"/>
          </w:tcPr>
          <w:p w14:paraId="1E820CB6" w14:textId="77777777" w:rsidR="00096600" w:rsidRPr="00F171A3" w:rsidRDefault="00096600" w:rsidP="00244806">
            <w:r w:rsidRPr="00F171A3">
              <w:t>SC CHEMICAL BROTHERS IMP-EXP SRL</w:t>
            </w:r>
          </w:p>
        </w:tc>
        <w:tc>
          <w:tcPr>
            <w:tcW w:w="5245" w:type="dxa"/>
          </w:tcPr>
          <w:p w14:paraId="7E2E5CA2" w14:textId="5CA9E7ED" w:rsidR="00096600" w:rsidRPr="00F171A3" w:rsidRDefault="00096600" w:rsidP="00244806">
            <w:pPr>
              <w:jc w:val="left"/>
            </w:pPr>
            <w:r w:rsidRPr="00F171A3">
              <w:t xml:space="preserve">Str. Zalelor nr. 31, </w:t>
            </w:r>
            <w:r w:rsidR="00F53B80" w:rsidRPr="00F171A3">
              <w:t>Sector 2</w:t>
            </w:r>
          </w:p>
        </w:tc>
      </w:tr>
    </w:tbl>
    <w:p w14:paraId="6FA9DAF0" w14:textId="77777777" w:rsidR="00096600" w:rsidRPr="00F171A3" w:rsidRDefault="00096600" w:rsidP="00AF2C45">
      <w:pPr>
        <w:jc w:val="right"/>
        <w:rPr>
          <w:color w:val="BFBFBF" w:themeColor="background1" w:themeShade="BF"/>
        </w:rPr>
      </w:pPr>
      <w:r w:rsidRPr="00F171A3">
        <w:rPr>
          <w:color w:val="BFBFBF" w:themeColor="background1" w:themeShade="BF"/>
        </w:rPr>
        <w:t>Sursa: Date furnizate de către Direcția Servicii Publice – Primăria Sectorului 2 al Municipiului București</w:t>
      </w:r>
    </w:p>
    <w:p w14:paraId="62411AA1" w14:textId="0392F94B" w:rsidR="00096600" w:rsidRPr="00F171A3" w:rsidRDefault="00096600" w:rsidP="00096600">
      <w:r w:rsidRPr="00F171A3">
        <w:t xml:space="preserve">Cea mai importantă sursă de degradare a mediului la nivelul </w:t>
      </w:r>
      <w:r w:rsidR="00DE36DE" w:rsidRPr="00F171A3">
        <w:t>m</w:t>
      </w:r>
      <w:r w:rsidRPr="00F171A3">
        <w:t>unicipiului București rămâne însă traficul rutier, ce contribuie direct și indirect cu mai mult de 60 % la poluarea aerului din capitală prin poluarea cu oxizi de azot, monoxid de carbon, compuși organici volatili (COV), particule în suspensie, freon și aerosoli</w:t>
      </w:r>
      <w:r w:rsidRPr="00F171A3">
        <w:rPr>
          <w:rStyle w:val="FootnoteReference"/>
        </w:rPr>
        <w:footnoteReference w:id="157"/>
      </w:r>
      <w:r w:rsidRPr="00F171A3">
        <w:t>.</w:t>
      </w:r>
    </w:p>
    <w:p w14:paraId="7CD6DA8B" w14:textId="77777777" w:rsidR="00AF2C45" w:rsidRPr="00F171A3" w:rsidRDefault="00AF2C45" w:rsidP="00096600"/>
    <w:p w14:paraId="76A76CA0" w14:textId="7BD0CE55" w:rsidR="00096600" w:rsidRPr="00F171A3" w:rsidRDefault="001E0A0F" w:rsidP="001E0A0F">
      <w:pPr>
        <w:pStyle w:val="Heading4"/>
      </w:pPr>
      <w:r w:rsidRPr="00F171A3">
        <w:t>CALITATEA AERULUI</w:t>
      </w:r>
    </w:p>
    <w:p w14:paraId="1746D8B1" w14:textId="32B24C74" w:rsidR="003E054F" w:rsidRPr="00F171A3" w:rsidRDefault="003E054F" w:rsidP="003E054F">
      <w:r w:rsidRPr="00F171A3">
        <w:t xml:space="preserve">Singura stație de monitorizare a calității aerului pe teritoriul </w:t>
      </w:r>
      <w:r w:rsidR="00C66438" w:rsidRPr="00F171A3">
        <w:t>administrativ</w:t>
      </w:r>
      <w:r w:rsidRPr="00F171A3">
        <w:t xml:space="preserve"> al sectorului este stația B3 – Mihai Bravu (stație de trafic). Începând cu luna mai 2022 în sector vor fi amplasate 2 noi puncte fixe de monitorizare a particulelor PM10/PM2,5, pe Șos. Colentina, respectiv Veranda-Mall Obor. Este vorba despre stațiile de monitorizare a calității aerului B-13 (stație de trafic urban, Veranda-Mall, funcțională în septembrie 2022) și B-15 (stație de trafic urban, situată în apropierea intersecției dintre Șos. Colentina și Șos. Fundeni, în curs de branșare la rețeaua de energie electrică</w:t>
      </w:r>
      <w:r w:rsidRPr="00F171A3">
        <w:rPr>
          <w:rStyle w:val="FootnoteReference"/>
        </w:rPr>
        <w:footnoteReference w:id="158"/>
      </w:r>
      <w:r w:rsidRPr="00F171A3">
        <w:t>).</w:t>
      </w:r>
    </w:p>
    <w:p w14:paraId="13F3B1B4" w14:textId="77777777" w:rsidR="003E054F" w:rsidRPr="00F171A3" w:rsidRDefault="003E054F" w:rsidP="003E054F">
      <w:r w:rsidRPr="00F171A3">
        <w:t>În anul 2020, la stația B-3 Mihai Bravu s-au înregistrat depășiri ale valorilor limită ale concentrații medii anuale pentru poluanții NO</w:t>
      </w:r>
      <w:r w:rsidRPr="00F171A3">
        <w:rPr>
          <w:vertAlign w:val="subscript"/>
        </w:rPr>
        <w:t>2</w:t>
      </w:r>
      <w:r w:rsidRPr="00F171A3">
        <w:t xml:space="preserve"> (40,2 µg/m</w:t>
      </w:r>
      <w:r w:rsidRPr="00F171A3">
        <w:rPr>
          <w:vertAlign w:val="superscript"/>
        </w:rPr>
        <w:t>3</w:t>
      </w:r>
      <w:r w:rsidRPr="00F171A3">
        <w:t xml:space="preserve"> față de valoarea limită de 40 µg/m</w:t>
      </w:r>
      <w:r w:rsidRPr="00F171A3">
        <w:rPr>
          <w:vertAlign w:val="superscript"/>
        </w:rPr>
        <w:t>3</w:t>
      </w:r>
      <w:r w:rsidRPr="00F171A3">
        <w:t>). În anii 2017-2018 (pentru 2015, 2016 și 2019 datele lipsesc) concentrația medie anuală de dioxid de azot la stația B-3 a depășit cu mult valoarea limită, fiind de peste 50 µg/m</w:t>
      </w:r>
      <w:r w:rsidRPr="00F171A3">
        <w:rPr>
          <w:vertAlign w:val="superscript"/>
        </w:rPr>
        <w:t>3</w:t>
      </w:r>
      <w:r w:rsidRPr="00F171A3">
        <w:t xml:space="preserve"> în anul 2017 și de aproape 60 µg/m</w:t>
      </w:r>
      <w:r w:rsidRPr="00F171A3">
        <w:rPr>
          <w:vertAlign w:val="superscript"/>
        </w:rPr>
        <w:t>3</w:t>
      </w:r>
      <w:r w:rsidRPr="00F171A3">
        <w:t xml:space="preserve"> în anul 2018. Prin urmare, nu există schimbări în bine față de situația indicată în Strategia de Dezvoltare Locală a Sectorului 2 2016 – 2025, în care existau depășiri ale valorilor limită anuale pentru indicatorul NO</w:t>
      </w:r>
      <w:r w:rsidRPr="00F171A3">
        <w:rPr>
          <w:vertAlign w:val="subscript"/>
        </w:rPr>
        <w:t>2</w:t>
      </w:r>
      <w:r w:rsidRPr="00F171A3">
        <w:t xml:space="preserve"> (în anii 2012 și 2013).</w:t>
      </w:r>
    </w:p>
    <w:p w14:paraId="06F51119" w14:textId="15FA8FCC" w:rsidR="003E054F" w:rsidRPr="00F171A3" w:rsidRDefault="003E054F" w:rsidP="003E054F">
      <w:r w:rsidRPr="00F171A3">
        <w:t>Valori apropiate de valoarea limită (40 µg/m</w:t>
      </w:r>
      <w:r w:rsidRPr="00F171A3">
        <w:rPr>
          <w:vertAlign w:val="superscript"/>
        </w:rPr>
        <w:t>3</w:t>
      </w:r>
      <w:r w:rsidRPr="00F171A3">
        <w:t>) au fost înregistrate și la PM10 (32,2 µg/m</w:t>
      </w:r>
      <w:r w:rsidRPr="00F171A3">
        <w:rPr>
          <w:vertAlign w:val="superscript"/>
        </w:rPr>
        <w:t>3</w:t>
      </w:r>
      <w:r w:rsidRPr="00F171A3">
        <w:t xml:space="preserve">, cea mai mare valoare înregistrată în stațiile de monitorizare din </w:t>
      </w:r>
      <w:r w:rsidR="00DE36DE" w:rsidRPr="00F171A3">
        <w:t>m</w:t>
      </w:r>
      <w:r w:rsidRPr="00F171A3">
        <w:t>unicipiul București). În anul 2020, la stația B-3 Mihai Bravu s-au înregistrat 21 de depășiri ale valorii limită zilnice pentru particule în suspensii PM10.</w:t>
      </w:r>
    </w:p>
    <w:p w14:paraId="029DA33C" w14:textId="577480FC" w:rsidR="003E054F" w:rsidRPr="00F171A3" w:rsidRDefault="003E054F" w:rsidP="003E054F">
      <w:r w:rsidRPr="00F171A3">
        <w:t>Au fost înregistrate la stația B-3 concentrații medii anuale de peste 35 µg/m</w:t>
      </w:r>
      <w:r w:rsidRPr="00F171A3">
        <w:rPr>
          <w:vertAlign w:val="superscript"/>
        </w:rPr>
        <w:t>3</w:t>
      </w:r>
      <w:r w:rsidRPr="00F171A3">
        <w:t xml:space="preserve"> la indicatorul particule în suspensie PM10 în toți anii analizați în perioada 2017 – 2019. În anul 2020, concentrațiile de PM10 au fost mai reduse la toate stațiile de monitorizare a calității aerului din </w:t>
      </w:r>
      <w:r w:rsidR="00DE36DE" w:rsidRPr="00F171A3">
        <w:t>m</w:t>
      </w:r>
      <w:r w:rsidRPr="00F171A3">
        <w:t>unicipiul București, ca urmare a restricțiilor de circulație impuse în starea de urgență/alertă (pandemie Covid-19).</w:t>
      </w:r>
    </w:p>
    <w:p w14:paraId="748BDC48" w14:textId="64725E50" w:rsidR="003E054F" w:rsidRPr="00F171A3" w:rsidRDefault="003E054F" w:rsidP="003E054F">
      <w:pPr>
        <w:pStyle w:val="Caption"/>
      </w:pPr>
      <w:bookmarkStart w:id="300" w:name="_Toc127198106"/>
      <w:r w:rsidRPr="00F171A3">
        <w:t xml:space="preserve">Figura </w:t>
      </w:r>
      <w:r w:rsidRPr="00F171A3">
        <w:fldChar w:fldCharType="begin"/>
      </w:r>
      <w:r w:rsidRPr="00F171A3">
        <w:instrText xml:space="preserve"> SEQ Figura \* ARABIC </w:instrText>
      </w:r>
      <w:r w:rsidRPr="00F171A3">
        <w:fldChar w:fldCharType="separate"/>
      </w:r>
      <w:r w:rsidR="005A6DD8">
        <w:rPr>
          <w:noProof/>
        </w:rPr>
        <w:t>118</w:t>
      </w:r>
      <w:r w:rsidRPr="00F171A3">
        <w:fldChar w:fldCharType="end"/>
      </w:r>
      <w:r w:rsidRPr="00F171A3">
        <w:t xml:space="preserve"> Concentrații medii anuale la stația B-3 (Mihai Bravu)</w:t>
      </w:r>
      <w:bookmarkEnd w:id="300"/>
    </w:p>
    <w:p w14:paraId="348EABCC" w14:textId="77777777" w:rsidR="003E054F" w:rsidRPr="00F171A3" w:rsidRDefault="003E054F" w:rsidP="003E054F">
      <w:pPr>
        <w:jc w:val="center"/>
      </w:pPr>
      <w:r w:rsidRPr="00F171A3">
        <w:rPr>
          <w:noProof/>
        </w:rPr>
        <w:drawing>
          <wp:inline distT="0" distB="0" distL="0" distR="0" wp14:anchorId="3B1E9C05" wp14:editId="205440A3">
            <wp:extent cx="5972175" cy="2676525"/>
            <wp:effectExtent l="0" t="0" r="0" b="0"/>
            <wp:docPr id="82" name="Chart 82">
              <a:extLst xmlns:a="http://schemas.openxmlformats.org/drawingml/2006/main">
                <a:ext uri="{FF2B5EF4-FFF2-40B4-BE49-F238E27FC236}">
                  <a16:creationId xmlns:a16="http://schemas.microsoft.com/office/drawing/2014/main" id="{318F82FA-BA09-43FD-B549-7BE49FBDF8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60618268" w14:textId="77777777" w:rsidR="003E054F" w:rsidRPr="00F171A3" w:rsidRDefault="003E054F" w:rsidP="00AF2C45">
      <w:pPr>
        <w:jc w:val="right"/>
        <w:rPr>
          <w:color w:val="BFBFBF" w:themeColor="background1" w:themeShade="BF"/>
        </w:rPr>
      </w:pPr>
      <w:r w:rsidRPr="00F171A3">
        <w:rPr>
          <w:color w:val="BFBFBF" w:themeColor="background1" w:themeShade="BF"/>
        </w:rPr>
        <w:t>Sursa: Prelucrare după Raportul privind starea mediului în Municipiul București în anul 2020, APM București</w:t>
      </w:r>
    </w:p>
    <w:p w14:paraId="17D4ACB2" w14:textId="77777777" w:rsidR="003E054F" w:rsidRPr="00F171A3" w:rsidRDefault="003E054F" w:rsidP="003E054F">
      <w:r w:rsidRPr="00F171A3">
        <w:t>În ceea ce privește zgomotul, principala sursă o reprezintă tot traficul rutier. Astfel, 71 artere rutiere din sectorul 2 înregistrează depășiri ale indicatorului Lzsn (peste 70 dB), în timp ce 90 înregistrează depășiri pentru indicatorul Ln (peste 60 dB în timpul nopții). Dintre zonele cele mai expuse din sector enumerăm Șos. Mihai Bravu, Strada Petricani, zona B-dul Ferdinand I – Pache Protopopescu – Piața Iancului, zona Calea Moșilor – Str. Traian, zona Șos. Pantelimon – Șos. Iancului. Alte surse de zgomot sunt reprezentate de traficul feroviar ușor (de-a lungul străzilor din sector cu cale de rulare pentru tramvaie) și de activitățile industriale (SC Glob-R-Enchim SRL, SC Danone PDPA SA, SC Pinum Producție SA)</w:t>
      </w:r>
      <w:r w:rsidRPr="00F171A3">
        <w:rPr>
          <w:rStyle w:val="FootnoteReference"/>
        </w:rPr>
        <w:footnoteReference w:id="159"/>
      </w:r>
      <w:r w:rsidRPr="00F171A3">
        <w:t>.</w:t>
      </w:r>
    </w:p>
    <w:p w14:paraId="54F1E521" w14:textId="3131BDAF" w:rsidR="003E054F" w:rsidRPr="00F171A3" w:rsidRDefault="003E054F" w:rsidP="003E054F">
      <w:r w:rsidRPr="00F171A3">
        <w:t xml:space="preserve">Prezentul Plan de Acțiune pentru diminuarea nivelului de zgomot în </w:t>
      </w:r>
      <w:r w:rsidR="00DE36DE" w:rsidRPr="00F171A3">
        <w:t>m</w:t>
      </w:r>
      <w:r w:rsidRPr="00F171A3">
        <w:t>unicipiul București prevede măsuri de reducere a zgomotului datorat traficului rutier, ce vizează cu precădere domeniul mobilității urbane: promovarea utilizării transportului public, realizarea de benzi unice dedicate transportului public și vehiculelor de intervenție, creșterea ponderii utilizării transportului electric public, introducerea unui sistem de transport public cu biciclete sau realizarea de facilități park &amp; ride la stațiile cheie de transport public și stații de transport intermodale tren/autobuz/metrou. Sunt, de altfel, măsuri ce pot contribui favorabil inclusiv la reducerea concentrațiilor de poluanți în atmosferă. În prezent se derulează contractul privind ”Refacerea hărților strategice de zgomot și reevaluarea/revizuirea Planurilor de acțiune pentru gestionarea zgomotului în municipiul București”.</w:t>
      </w:r>
    </w:p>
    <w:p w14:paraId="7B1678D6" w14:textId="044031FB" w:rsidR="00096600" w:rsidRPr="00F171A3" w:rsidRDefault="003E054F" w:rsidP="003E054F">
      <w:r w:rsidRPr="00F171A3">
        <w:t xml:space="preserve">La nivelul Primăriei Municipiului București au fost elaborate Planul Integrat de Calitate a Aerului în </w:t>
      </w:r>
      <w:r w:rsidR="00050FAA" w:rsidRPr="00F171A3">
        <w:t>m</w:t>
      </w:r>
      <w:r w:rsidRPr="00F171A3">
        <w:t>unicipiul București 2018 – 2020 (PICA) și Planul de Menținere a Calității Aerului în Municipiul București 2018 – 2022 (PMCA). Măsurile din PMCA se regăsesc în integralitate în cuprinsul măsurilor obligatorii cuprinse în PICA și se adresează sectorului trafic și eficiență energetică, având impact asupra concentrațiilor poluanților pentru care a fost elaborat planul de menținere, respectiv dioxid de sulf (SO</w:t>
      </w:r>
      <w:r w:rsidRPr="00F171A3">
        <w:rPr>
          <w:vertAlign w:val="subscript"/>
        </w:rPr>
        <w:t>2</w:t>
      </w:r>
      <w:r w:rsidRPr="00F171A3">
        <w:t>), monoxid de carbon (CO), plumb (Pb), arsen (As), cadmiu (Cd) și nichel (Ni), fiind aplicabile și poluanților pentru care a fost elaborat planul integrat de calitate, respectiv PM</w:t>
      </w:r>
      <w:r w:rsidRPr="00F171A3">
        <w:rPr>
          <w:vertAlign w:val="subscript"/>
        </w:rPr>
        <w:t>10</w:t>
      </w:r>
      <w:r w:rsidRPr="00F171A3">
        <w:t>, PM</w:t>
      </w:r>
      <w:r w:rsidRPr="00F171A3">
        <w:rPr>
          <w:vertAlign w:val="subscript"/>
        </w:rPr>
        <w:t>2,5</w:t>
      </w:r>
      <w:r w:rsidRPr="00F171A3">
        <w:t>, NO</w:t>
      </w:r>
      <w:r w:rsidRPr="00F171A3">
        <w:rPr>
          <w:vertAlign w:val="subscript"/>
        </w:rPr>
        <w:t>X</w:t>
      </w:r>
      <w:r w:rsidRPr="00F171A3">
        <w:t>/NO</w:t>
      </w:r>
      <w:r w:rsidRPr="00F171A3">
        <w:rPr>
          <w:vertAlign w:val="subscript"/>
        </w:rPr>
        <w:t>2</w:t>
      </w:r>
      <w:r w:rsidRPr="00F171A3">
        <w:t xml:space="preserve"> și benzen. </w:t>
      </w:r>
      <w:r w:rsidR="00096600" w:rsidRPr="00F171A3">
        <w:t xml:space="preserve"> </w:t>
      </w:r>
    </w:p>
    <w:p w14:paraId="3E7DE48A" w14:textId="77777777" w:rsidR="00507C46" w:rsidRPr="00F171A3" w:rsidRDefault="00507C46" w:rsidP="003E054F"/>
    <w:p w14:paraId="2826B5DC" w14:textId="4BF3AB94" w:rsidR="00096600" w:rsidRPr="00F171A3" w:rsidRDefault="001E0A0F" w:rsidP="001E0A0F">
      <w:pPr>
        <w:pStyle w:val="Heading4"/>
      </w:pPr>
      <w:r w:rsidRPr="00F171A3">
        <w:t>CALITATEA APEI</w:t>
      </w:r>
    </w:p>
    <w:p w14:paraId="701B862C" w14:textId="77777777" w:rsidR="00096600" w:rsidRPr="00F171A3" w:rsidRDefault="00096600" w:rsidP="00096600">
      <w:r w:rsidRPr="00F171A3">
        <w:t>Calitatea corpurilor de apă de suprafață a fost una moderată pentru perioada 2015 – 2021 atât pentru râul Colentina, cât și pentru Valea Saulei, conform datelor furnizate de către Administrația Bazinlă de Apă Argeș – Vedea.</w:t>
      </w:r>
    </w:p>
    <w:p w14:paraId="6AF72A3C" w14:textId="13044CA6" w:rsidR="00096600" w:rsidRPr="00F171A3" w:rsidRDefault="00096600" w:rsidP="00096600">
      <w:r w:rsidRPr="00F171A3">
        <w:t xml:space="preserve">Problemele de calitate a apei provin din sursele de degradare difuze din mediul urban (de exemplu, zonele rezidențiale care nu sunt conectate la rețeaua de canalizare, depozitele necontrolate de deșeuri sau activitățile de combatere a dăunătorilor din </w:t>
      </w:r>
      <w:r w:rsidR="00C66438" w:rsidRPr="00F171A3">
        <w:t>parcuri</w:t>
      </w:r>
      <w:r w:rsidRPr="00F171A3">
        <w:t>). Aceste probleme de calitatea apelor se resimt în special în cazurile lacurilor Plumbuita, Fundeni și Pantelimon.</w:t>
      </w:r>
      <w:r w:rsidRPr="00F171A3">
        <w:rPr>
          <w:b/>
          <w:bCs/>
        </w:rPr>
        <w:t xml:space="preserve"> </w:t>
      </w:r>
      <w:r w:rsidRPr="00F171A3">
        <w:t>Problema depozitării necontrolate a deșeurilor în zona malurilor de lac a fost sesizată și de către locuitorii cartierelor aflate în vecinătatea lacurilor, în cadrul consultărilor realizate cu cetățenii sectorului în luna iulie 2022.</w:t>
      </w:r>
    </w:p>
    <w:p w14:paraId="271C4180" w14:textId="77777777" w:rsidR="00096600" w:rsidRPr="00F171A3" w:rsidRDefault="00096600" w:rsidP="00096600">
      <w:r w:rsidRPr="00F171A3">
        <w:t>La calitatea diminuată a apelor contribuie și sedimentul în care se concentrează substanțe organice sau pesticide, fiind necesară curățarea acestuia pentru a preveni apariția unor probleme de insalubritate și de sănătate publică. O disfuncție specifică este și cea cu care se confruntă Lacul Circului, care și-a pierdut sursele de alimentare inițiale, având nevoie de aport antropic pentru compensarea deficitului de apă</w:t>
      </w:r>
      <w:r w:rsidRPr="00F171A3">
        <w:rPr>
          <w:rStyle w:val="FootnoteReference"/>
        </w:rPr>
        <w:footnoteReference w:id="160"/>
      </w:r>
      <w:r w:rsidRPr="00F171A3">
        <w:t>.</w:t>
      </w:r>
    </w:p>
    <w:p w14:paraId="02098F2A" w14:textId="7EB54E68" w:rsidR="00096600" w:rsidRPr="00F171A3" w:rsidRDefault="00096600" w:rsidP="00096600">
      <w:r w:rsidRPr="00F171A3">
        <w:t>În ceea ce privește calitatea apelor subterane, se consideră că acviferele de mică și medie adâncime (Mostiștea și Colentina) au fost degradate în zona municipiului București ca urmare a poluării cauzate de industrie și agricultură. De asemenea, exploatarea masivă, până în 1990, a stratelor de Frătești a condus la modificări semnificative ale calității apelor. Prin urmare, în prezent, utilizarea puțurilor orășenești și a celor aferente fronturilor subterane este oprită, capacitățile de producție a apei din surse subterane fiind trecute în conservare</w:t>
      </w:r>
      <w:r w:rsidRPr="00F171A3">
        <w:rPr>
          <w:rStyle w:val="FootnoteReference"/>
        </w:rPr>
        <w:footnoteReference w:id="161"/>
      </w:r>
      <w:r w:rsidRPr="00F171A3">
        <w:t>. Datele furnizate de către Administrația Bazinală de Apă Argeș – Vedea indică o stare calitativă bună pentru corpul de apă subterană București (Formațiunea de Frătești) pentru toți anii analizați în intervalul 2015 – 2021.</w:t>
      </w:r>
    </w:p>
    <w:p w14:paraId="0C8DE88A" w14:textId="77777777" w:rsidR="00507C46" w:rsidRPr="00F171A3" w:rsidRDefault="00507C46" w:rsidP="00096600"/>
    <w:p w14:paraId="43C5F28F" w14:textId="2117D317" w:rsidR="00096600" w:rsidRPr="00F171A3" w:rsidRDefault="001E0A0F" w:rsidP="001E0A0F">
      <w:pPr>
        <w:pStyle w:val="Heading4"/>
      </w:pPr>
      <w:r w:rsidRPr="00F171A3">
        <w:t>CALITATEA SOLURILOR</w:t>
      </w:r>
    </w:p>
    <w:p w14:paraId="1BF7298D" w14:textId="3C98FCCF" w:rsidR="00096600" w:rsidRPr="00F171A3" w:rsidRDefault="00096600" w:rsidP="00096600">
      <w:r w:rsidRPr="00F171A3">
        <w:t xml:space="preserve">Extinderea suprafețelor construite și a infrastructurilor este cea mai importantă sursă de degradare a solurilor urbane: circa 80 % din suprafața Bucureștiului este acoperită de suprafețe construite (inclusiv circulații). În lipsa unei monitorizări sistematice a calității solului la nivelul </w:t>
      </w:r>
      <w:r w:rsidR="00050FAA" w:rsidRPr="00F171A3">
        <w:t>m</w:t>
      </w:r>
      <w:r w:rsidRPr="00F171A3">
        <w:t>unicipiului București, concluziile cu privire la problemele existente pot fi extrase doar din studii izolate. Astfel, în cazul Parcului Obor, se remarcă faptul că valoarea concentrației de plumb în sol este de 4 ori mai ridicată decât pragul de intervenție la plumb, în special datorită apropierii de artere rutiere cu trafic intens</w:t>
      </w:r>
      <w:r w:rsidRPr="00F171A3">
        <w:rPr>
          <w:rStyle w:val="FootnoteReference"/>
        </w:rPr>
        <w:footnoteReference w:id="162"/>
      </w:r>
      <w:r w:rsidRPr="00F171A3">
        <w:t xml:space="preserve">. </w:t>
      </w:r>
    </w:p>
    <w:p w14:paraId="7401C948" w14:textId="1C93B817" w:rsidR="00096600" w:rsidRPr="00F171A3" w:rsidRDefault="00096600" w:rsidP="00096600">
      <w:r w:rsidRPr="00F171A3">
        <w:t>În baza de date a Agenției pentru Protecția Mediului București nu există, în prezent, situri contaminate înregistrate pe teritoriul Sectorului 2. Sunt incluse însă 16 situri potențial-contaminate, reprezentate de benzinăriile de pe teritoriul Sectorului 2, conform listei județene a siturilor potențial-contaminate publicate de către APM București.</w:t>
      </w:r>
    </w:p>
    <w:p w14:paraId="6A09F8A9" w14:textId="77777777" w:rsidR="00507C46" w:rsidRPr="00F171A3" w:rsidRDefault="00507C46" w:rsidP="00096600"/>
    <w:p w14:paraId="0393BECE" w14:textId="67A705AE" w:rsidR="00096600" w:rsidRPr="00F171A3" w:rsidRDefault="001E0A0F" w:rsidP="001E0A0F">
      <w:pPr>
        <w:pStyle w:val="Heading4"/>
      </w:pPr>
      <w:r w:rsidRPr="00F171A3">
        <w:t>CALITATEA FACTORILOR BIOTICI</w:t>
      </w:r>
    </w:p>
    <w:p w14:paraId="560B8AD3" w14:textId="597824D4" w:rsidR="00096600" w:rsidRPr="00F171A3" w:rsidRDefault="00096600" w:rsidP="00096600">
      <w:r w:rsidRPr="00F171A3">
        <w:t>Conform Raportului de Cercetare privind Starea Mediului în București (2022), suprafața de spații verzi din Sectorul 2 este de 444 ha (circa 14 % din supra</w:t>
      </w:r>
      <w:r w:rsidR="00C66438">
        <w:t>fa</w:t>
      </w:r>
      <w:r w:rsidRPr="00F171A3">
        <w:t xml:space="preserve">ța totală a Sectorului), din care 96,2 ha în parcuri și 347,8 ha în alte spații verzi. Dintre acestea, 19,1 ha reprezintă spații verzi degradate (4,3 %). Sectorul 2 prezintă cele mai mici valori dintre sectoarele </w:t>
      </w:r>
      <w:r w:rsidR="00050FAA" w:rsidRPr="00F171A3">
        <w:t>m</w:t>
      </w:r>
      <w:r w:rsidRPr="00F171A3">
        <w:t>unicipiului București atât în ceea ce privește suprafața de spațiu verde per cap de locuitor (12,43 mp), cât și în ceea ce privește numărul de arbori per locuitor 0,55</w:t>
      </w:r>
      <w:r w:rsidRPr="00F171A3">
        <w:rPr>
          <w:rStyle w:val="FootnoteReference"/>
        </w:rPr>
        <w:footnoteReference w:id="163"/>
      </w:r>
      <w:r w:rsidRPr="00F171A3">
        <w:t>. Cele mai importante spații verzi din Sectorul 2 sunt:</w:t>
      </w:r>
    </w:p>
    <w:p w14:paraId="13D99E04" w14:textId="77777777" w:rsidR="00096600" w:rsidRPr="00F171A3" w:rsidRDefault="00096600">
      <w:pPr>
        <w:pStyle w:val="Normal0"/>
        <w:numPr>
          <w:ilvl w:val="0"/>
          <w:numId w:val="84"/>
        </w:numPr>
        <w:rPr>
          <w:color w:val="134753" w:themeColor="text2"/>
        </w:rPr>
      </w:pPr>
      <w:r w:rsidRPr="00F171A3">
        <w:rPr>
          <w:color w:val="134753" w:themeColor="text2"/>
        </w:rPr>
        <w:t>Parcul Plumbuita – suprafață de 30,2 ha;</w:t>
      </w:r>
    </w:p>
    <w:p w14:paraId="1E8FBF5F" w14:textId="77777777" w:rsidR="00096600" w:rsidRPr="00F171A3" w:rsidRDefault="00096600">
      <w:pPr>
        <w:pStyle w:val="Normal0"/>
        <w:numPr>
          <w:ilvl w:val="0"/>
          <w:numId w:val="84"/>
        </w:numPr>
        <w:rPr>
          <w:color w:val="134753" w:themeColor="text2"/>
        </w:rPr>
      </w:pPr>
      <w:r w:rsidRPr="00F171A3">
        <w:rPr>
          <w:color w:val="134753" w:themeColor="text2"/>
        </w:rPr>
        <w:t>Parcul Național – 27,4 ha;</w:t>
      </w:r>
    </w:p>
    <w:p w14:paraId="0BAD50AB" w14:textId="77777777" w:rsidR="00096600" w:rsidRPr="00F171A3" w:rsidRDefault="00096600">
      <w:pPr>
        <w:pStyle w:val="Normal0"/>
        <w:numPr>
          <w:ilvl w:val="0"/>
          <w:numId w:val="84"/>
        </w:numPr>
        <w:rPr>
          <w:color w:val="134753" w:themeColor="text2"/>
        </w:rPr>
      </w:pPr>
      <w:r w:rsidRPr="00F171A3">
        <w:rPr>
          <w:color w:val="134753" w:themeColor="text2"/>
        </w:rPr>
        <w:t>Parcul Circului – 14,4 ha;</w:t>
      </w:r>
    </w:p>
    <w:p w14:paraId="12FC6998" w14:textId="77777777" w:rsidR="00096600" w:rsidRPr="00F171A3" w:rsidRDefault="00096600">
      <w:pPr>
        <w:pStyle w:val="Normal0"/>
        <w:numPr>
          <w:ilvl w:val="0"/>
          <w:numId w:val="84"/>
        </w:numPr>
        <w:rPr>
          <w:color w:val="134753" w:themeColor="text2"/>
        </w:rPr>
      </w:pPr>
      <w:r w:rsidRPr="00F171A3">
        <w:rPr>
          <w:color w:val="134753" w:themeColor="text2"/>
        </w:rPr>
        <w:t>Parcul Tei – 10,5 ha;</w:t>
      </w:r>
    </w:p>
    <w:p w14:paraId="786BABE8" w14:textId="77777777" w:rsidR="00096600" w:rsidRPr="00F171A3" w:rsidRDefault="00096600">
      <w:pPr>
        <w:pStyle w:val="Normal0"/>
        <w:numPr>
          <w:ilvl w:val="0"/>
          <w:numId w:val="84"/>
        </w:numPr>
        <w:rPr>
          <w:color w:val="134753" w:themeColor="text2"/>
        </w:rPr>
      </w:pPr>
      <w:r w:rsidRPr="00F171A3">
        <w:rPr>
          <w:color w:val="134753" w:themeColor="text2"/>
        </w:rPr>
        <w:t>Parcul Morarilor – 9,8 ha;</w:t>
      </w:r>
    </w:p>
    <w:p w14:paraId="55AECC41" w14:textId="77777777" w:rsidR="00096600" w:rsidRPr="00F171A3" w:rsidRDefault="00096600">
      <w:pPr>
        <w:pStyle w:val="Normal0"/>
        <w:numPr>
          <w:ilvl w:val="0"/>
          <w:numId w:val="84"/>
        </w:numPr>
        <w:rPr>
          <w:color w:val="134753" w:themeColor="text2"/>
        </w:rPr>
      </w:pPr>
      <w:r w:rsidRPr="00F171A3">
        <w:rPr>
          <w:color w:val="134753" w:themeColor="text2"/>
        </w:rPr>
        <w:t>Parcul Verdi – 6,3 ha;</w:t>
      </w:r>
    </w:p>
    <w:p w14:paraId="2DDEC5E3" w14:textId="77777777" w:rsidR="00096600" w:rsidRPr="00F171A3" w:rsidRDefault="00096600">
      <w:pPr>
        <w:pStyle w:val="Normal0"/>
        <w:numPr>
          <w:ilvl w:val="0"/>
          <w:numId w:val="84"/>
        </w:numPr>
        <w:rPr>
          <w:color w:val="134753" w:themeColor="text2"/>
        </w:rPr>
      </w:pPr>
      <w:r w:rsidRPr="00F171A3">
        <w:rPr>
          <w:color w:val="134753" w:themeColor="text2"/>
        </w:rPr>
        <w:t>Parcul Sticlăriei, recent reabilitat printr-un proiect al Primăriei Sectorului 2 – 5,2 ha;</w:t>
      </w:r>
    </w:p>
    <w:p w14:paraId="565A5AFF" w14:textId="77777777" w:rsidR="00096600" w:rsidRPr="00F171A3" w:rsidRDefault="00096600">
      <w:pPr>
        <w:pStyle w:val="Normal0"/>
        <w:numPr>
          <w:ilvl w:val="0"/>
          <w:numId w:val="84"/>
        </w:numPr>
        <w:rPr>
          <w:color w:val="134753" w:themeColor="text2"/>
        </w:rPr>
      </w:pPr>
      <w:r w:rsidRPr="00F171A3">
        <w:rPr>
          <w:color w:val="134753" w:themeColor="text2"/>
        </w:rPr>
        <w:t>Parcul Motodrom – 3,6 ha;</w:t>
      </w:r>
    </w:p>
    <w:p w14:paraId="6361D80E" w14:textId="77777777" w:rsidR="00096600" w:rsidRPr="00F171A3" w:rsidRDefault="00096600">
      <w:pPr>
        <w:pStyle w:val="Normal0"/>
        <w:numPr>
          <w:ilvl w:val="0"/>
          <w:numId w:val="84"/>
        </w:numPr>
        <w:rPr>
          <w:color w:val="134753" w:themeColor="text2"/>
        </w:rPr>
      </w:pPr>
      <w:r w:rsidRPr="00F171A3">
        <w:rPr>
          <w:color w:val="134753" w:themeColor="text2"/>
        </w:rPr>
        <w:t>Parcul Florilor – 3,3 ha;</w:t>
      </w:r>
    </w:p>
    <w:p w14:paraId="3BAA6EBF" w14:textId="77777777" w:rsidR="00096600" w:rsidRPr="00F171A3" w:rsidRDefault="00096600">
      <w:pPr>
        <w:pStyle w:val="Normal0"/>
        <w:numPr>
          <w:ilvl w:val="0"/>
          <w:numId w:val="84"/>
        </w:numPr>
        <w:rPr>
          <w:color w:val="134753" w:themeColor="text2"/>
        </w:rPr>
      </w:pPr>
      <w:r w:rsidRPr="00F171A3">
        <w:rPr>
          <w:color w:val="134753" w:themeColor="text2"/>
        </w:rPr>
        <w:t>Parcul Dobroești – 3 ha;</w:t>
      </w:r>
    </w:p>
    <w:p w14:paraId="1467712D" w14:textId="77777777" w:rsidR="00096600" w:rsidRPr="00F171A3" w:rsidRDefault="00096600">
      <w:pPr>
        <w:pStyle w:val="Normal0"/>
        <w:numPr>
          <w:ilvl w:val="0"/>
          <w:numId w:val="84"/>
        </w:numPr>
        <w:rPr>
          <w:color w:val="134753" w:themeColor="text2"/>
        </w:rPr>
      </w:pPr>
      <w:r w:rsidRPr="00F171A3">
        <w:rPr>
          <w:color w:val="134753" w:themeColor="text2"/>
        </w:rPr>
        <w:t>Parcul Obor – 3 ha;</w:t>
      </w:r>
    </w:p>
    <w:p w14:paraId="5F6D9261" w14:textId="77777777" w:rsidR="00096600" w:rsidRPr="00F171A3" w:rsidRDefault="00096600">
      <w:pPr>
        <w:pStyle w:val="Normal0"/>
        <w:numPr>
          <w:ilvl w:val="0"/>
          <w:numId w:val="84"/>
        </w:numPr>
        <w:rPr>
          <w:color w:val="134753" w:themeColor="text2"/>
        </w:rPr>
      </w:pPr>
      <w:r w:rsidRPr="00F171A3">
        <w:rPr>
          <w:color w:val="134753" w:themeColor="text2"/>
        </w:rPr>
        <w:t>Parcul Sfântul Pantelimon – 2,5 ha;</w:t>
      </w:r>
    </w:p>
    <w:p w14:paraId="09957493" w14:textId="77777777" w:rsidR="00096600" w:rsidRPr="00F171A3" w:rsidRDefault="00096600">
      <w:pPr>
        <w:pStyle w:val="Normal0"/>
        <w:numPr>
          <w:ilvl w:val="0"/>
          <w:numId w:val="84"/>
        </w:numPr>
        <w:rPr>
          <w:color w:val="134753" w:themeColor="text2"/>
        </w:rPr>
      </w:pPr>
      <w:r w:rsidRPr="00F171A3">
        <w:rPr>
          <w:color w:val="134753" w:themeColor="text2"/>
        </w:rPr>
        <w:t>Parcul Lunca Florilor – 1,8 ha;</w:t>
      </w:r>
    </w:p>
    <w:p w14:paraId="45A5DD01" w14:textId="77777777" w:rsidR="00096600" w:rsidRPr="00F171A3" w:rsidRDefault="00096600">
      <w:pPr>
        <w:pStyle w:val="Normal0"/>
        <w:numPr>
          <w:ilvl w:val="0"/>
          <w:numId w:val="84"/>
        </w:numPr>
        <w:rPr>
          <w:color w:val="134753" w:themeColor="text2"/>
        </w:rPr>
      </w:pPr>
      <w:r w:rsidRPr="00F171A3">
        <w:rPr>
          <w:color w:val="134753" w:themeColor="text2"/>
        </w:rPr>
        <w:t>Parcul Cosmos – 1,2 ha;</w:t>
      </w:r>
    </w:p>
    <w:p w14:paraId="071C52A6" w14:textId="77777777" w:rsidR="00096600" w:rsidRPr="00F171A3" w:rsidRDefault="00096600">
      <w:pPr>
        <w:pStyle w:val="Normal0"/>
        <w:numPr>
          <w:ilvl w:val="0"/>
          <w:numId w:val="84"/>
        </w:numPr>
        <w:rPr>
          <w:color w:val="134753" w:themeColor="text2"/>
        </w:rPr>
      </w:pPr>
      <w:r w:rsidRPr="00F171A3">
        <w:rPr>
          <w:color w:val="134753" w:themeColor="text2"/>
        </w:rPr>
        <w:t>Grădina Icoanei – 1 ha;</w:t>
      </w:r>
    </w:p>
    <w:p w14:paraId="649B5144" w14:textId="77777777" w:rsidR="00096600" w:rsidRPr="00F171A3" w:rsidRDefault="00096600">
      <w:pPr>
        <w:pStyle w:val="Normal0"/>
        <w:numPr>
          <w:ilvl w:val="0"/>
          <w:numId w:val="84"/>
        </w:numPr>
        <w:rPr>
          <w:color w:val="134753" w:themeColor="text2"/>
        </w:rPr>
      </w:pPr>
      <w:r w:rsidRPr="00F171A3">
        <w:rPr>
          <w:color w:val="134753" w:themeColor="text2"/>
        </w:rPr>
        <w:t>Parcul Păsărari – 1 ha;</w:t>
      </w:r>
    </w:p>
    <w:p w14:paraId="358988ED" w14:textId="77777777" w:rsidR="00096600" w:rsidRPr="00F171A3" w:rsidRDefault="00096600">
      <w:pPr>
        <w:pStyle w:val="Normal0"/>
        <w:numPr>
          <w:ilvl w:val="0"/>
          <w:numId w:val="84"/>
        </w:numPr>
        <w:rPr>
          <w:color w:val="134753" w:themeColor="text2"/>
        </w:rPr>
      </w:pPr>
      <w:r w:rsidRPr="00F171A3">
        <w:rPr>
          <w:color w:val="134753" w:themeColor="text2"/>
        </w:rPr>
        <w:t>Parcul Ioanic – 0,9 ha;</w:t>
      </w:r>
    </w:p>
    <w:p w14:paraId="7856C329" w14:textId="77777777" w:rsidR="00096600" w:rsidRPr="00F171A3" w:rsidRDefault="00096600">
      <w:pPr>
        <w:pStyle w:val="Normal0"/>
        <w:numPr>
          <w:ilvl w:val="0"/>
          <w:numId w:val="84"/>
        </w:numPr>
        <w:rPr>
          <w:color w:val="134753" w:themeColor="text2"/>
        </w:rPr>
      </w:pPr>
      <w:r w:rsidRPr="00F171A3">
        <w:rPr>
          <w:color w:val="134753" w:themeColor="text2"/>
        </w:rPr>
        <w:t>Parcul Titus Ozon – 0,8 ha.</w:t>
      </w:r>
    </w:p>
    <w:p w14:paraId="3389FEA5" w14:textId="77777777" w:rsidR="00096600" w:rsidRPr="00F171A3" w:rsidRDefault="00096600" w:rsidP="00096600">
      <w:r w:rsidRPr="00F171A3">
        <w:t>Administrația Domeniului Public Sector 2 deține în prezent o bază de date (sub formă de listă) cu toate spațiile verzi aflate în administrarea sa. Pentru următoarea perioadă, ADP Sector 2 vizează reabilitarea unor spații verzi existente (inclusiv schimbarea mobilierului urban, a sistemelor de irigații, modernizarea aparatelor din locurile de joacă), dar și realizarea unor spații verzi noi (pe Valea Saulei și pe Str. Moroieni)</w:t>
      </w:r>
      <w:r w:rsidRPr="00F171A3">
        <w:rPr>
          <w:rStyle w:val="FootnoteReference"/>
        </w:rPr>
        <w:footnoteReference w:id="164"/>
      </w:r>
      <w:r w:rsidRPr="00F171A3">
        <w:t xml:space="preserve">. O altă propunere de proiect ce vizează ameliorarea spațiilor verzi din Sectorul 2, cuprinsă și în lista proiectelor prioritare din SIDU București 2035, este </w:t>
      </w:r>
      <w:r w:rsidRPr="00F171A3">
        <w:rPr>
          <w:i/>
          <w:iCs/>
        </w:rPr>
        <w:t>Crearea infrastructurii verde-albastre de-a lungul salbei de lacuri, inclusiv Valea Saulei, situată pe teritoriul Sectorului 2</w:t>
      </w:r>
      <w:r w:rsidRPr="00F171A3">
        <w:t xml:space="preserve">. De altfel, se are în vedere organizarea unui concurs internațional de soluții cu tema </w:t>
      </w:r>
      <w:r w:rsidRPr="00F171A3">
        <w:rPr>
          <w:i/>
          <w:iCs/>
        </w:rPr>
        <w:t>Amenajarea, reconfigurarea, sistematizarea zonelor (malurile) aferente salbei de lacuri situată pe raza teritorial administrativă a Sectorului 2 (TRONSON I-Zona Lacului Tei, TRONSON II-Zona Lacului Plumbuita, TRONSON III-Zona Valea Saulei, TRONSON IV-Zona Râul Colentina și Lacul Fundeni, TRONSON V-Zona Lacului Dobroiești și Pantelimon)</w:t>
      </w:r>
      <w:r w:rsidRPr="00F171A3">
        <w:t>. Un alt proiect de interes este amenajarea peisagistică a Parcului Verdi (proiect cuprins, de altfel, și în actuala strategie de dezvoltare).</w:t>
      </w:r>
    </w:p>
    <w:p w14:paraId="4FFAD86E" w14:textId="77777777" w:rsidR="00096600" w:rsidRPr="00F171A3" w:rsidRDefault="00096600" w:rsidP="00096600">
      <w:r w:rsidRPr="00F171A3">
        <w:t>Suprafața spațiilor verzi aflate în evidența Administrației Domeniului Public Sector 2 este de 208,62 ha, din care 67,63 ha de parcuri. Cea mai mare suprafață este reprezentată de spațiile verzi aferente blocurilor (112,48 ha) – vezi figura de mai jos.</w:t>
      </w:r>
    </w:p>
    <w:p w14:paraId="654DE1A7" w14:textId="67149419" w:rsidR="00096600" w:rsidRPr="00F171A3" w:rsidRDefault="00096600" w:rsidP="00096600">
      <w:pPr>
        <w:pStyle w:val="Caption"/>
      </w:pPr>
      <w:bookmarkStart w:id="301" w:name="_Toc127198107"/>
      <w:r w:rsidRPr="00F171A3">
        <w:t xml:space="preserve">Figura </w:t>
      </w:r>
      <w:r w:rsidRPr="00F171A3">
        <w:fldChar w:fldCharType="begin"/>
      </w:r>
      <w:r w:rsidRPr="00F171A3">
        <w:instrText xml:space="preserve"> SEQ Figura \* ARABIC </w:instrText>
      </w:r>
      <w:r w:rsidRPr="00F171A3">
        <w:fldChar w:fldCharType="separate"/>
      </w:r>
      <w:r w:rsidR="005A6DD8">
        <w:rPr>
          <w:noProof/>
        </w:rPr>
        <w:t>119</w:t>
      </w:r>
      <w:r w:rsidRPr="00F171A3">
        <w:fldChar w:fldCharType="end"/>
      </w:r>
      <w:r w:rsidRPr="00F171A3">
        <w:t xml:space="preserve"> Spații verzi aflate în evidența adp sector 2 (ha)</w:t>
      </w:r>
      <w:bookmarkEnd w:id="301"/>
    </w:p>
    <w:p w14:paraId="77D6C0DF" w14:textId="77777777" w:rsidR="00096600" w:rsidRPr="00F171A3" w:rsidRDefault="00096600" w:rsidP="00096600">
      <w:pPr>
        <w:jc w:val="center"/>
      </w:pPr>
      <w:r w:rsidRPr="00F171A3">
        <w:rPr>
          <w:noProof/>
        </w:rPr>
        <w:drawing>
          <wp:inline distT="0" distB="0" distL="0" distR="0" wp14:anchorId="1E91A4B7" wp14:editId="1810AAE4">
            <wp:extent cx="4572000" cy="2743200"/>
            <wp:effectExtent l="0" t="0" r="0" b="0"/>
            <wp:docPr id="107" name="Chart 107">
              <a:extLst xmlns:a="http://schemas.openxmlformats.org/drawingml/2006/main">
                <a:ext uri="{FF2B5EF4-FFF2-40B4-BE49-F238E27FC236}">
                  <a16:creationId xmlns:a16="http://schemas.microsoft.com/office/drawing/2014/main" id="{AEF4F40B-CDE6-42C6-945B-82AAC5489D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04B218DC" w14:textId="77777777" w:rsidR="00096600" w:rsidRPr="00F171A3" w:rsidRDefault="00096600" w:rsidP="00AF2C45">
      <w:pPr>
        <w:jc w:val="right"/>
        <w:rPr>
          <w:color w:val="BFBFBF" w:themeColor="background1" w:themeShade="BF"/>
        </w:rPr>
      </w:pPr>
      <w:r w:rsidRPr="00F171A3">
        <w:rPr>
          <w:color w:val="BFBFBF" w:themeColor="background1" w:themeShade="BF"/>
        </w:rPr>
        <w:t>Sursa: Prelucrare după datele furnizate de către ADP Sector 2</w:t>
      </w:r>
    </w:p>
    <w:p w14:paraId="61D010FC" w14:textId="4180C490" w:rsidR="00966CAA" w:rsidRPr="00F171A3" w:rsidRDefault="00096600" w:rsidP="00966CAA">
      <w:r w:rsidRPr="00F171A3">
        <w:t xml:space="preserve">Importanța protejării și valorificării spațiilor verzi a reieșit inclusiv din chestionarul aplicat la nivelul cetățenilor din sector cu ocazia elaborării prezentei strategii. Astfel, una dintre primele două în rândul cetățenilor (cu un scor de 4,44 din 5,00) a fost considerată </w:t>
      </w:r>
      <w:r w:rsidRPr="00F171A3">
        <w:rPr>
          <w:i/>
          <w:iCs/>
        </w:rPr>
        <w:t>reabilitarea și modernizarea spațiilor publice, spațiilor verzi, spațiilor dintre blocuri, iluminatului public</w:t>
      </w:r>
      <w:r w:rsidRPr="00F171A3">
        <w:t>). De altfel, doar 28,5 % dintre respondenții la chestionar se declară mulțumiți și foarte mulțumiți de administrarea parcurilor și a spațiilor verzi din sector, fapt ce relevă nevoia de a îmbunătăți acest aspect.</w:t>
      </w:r>
    </w:p>
    <w:p w14:paraId="4F740FCB" w14:textId="77777777" w:rsidR="008A6FAE" w:rsidRPr="00F171A3" w:rsidRDefault="008A6FAE" w:rsidP="00966CAA">
      <w:pPr>
        <w:sectPr w:rsidR="008A6FAE" w:rsidRPr="00F171A3" w:rsidSect="00135952">
          <w:pgSz w:w="11907" w:h="16839" w:code="9"/>
          <w:pgMar w:top="1151" w:right="1440" w:bottom="1440" w:left="1021" w:header="709" w:footer="284" w:gutter="0"/>
          <w:cols w:space="708"/>
          <w:titlePg/>
          <w:docGrid w:linePitch="360"/>
        </w:sectPr>
      </w:pPr>
    </w:p>
    <w:p w14:paraId="4F86ADBF" w14:textId="2E0A395C" w:rsidR="00244CAC" w:rsidRPr="00F171A3" w:rsidRDefault="00000000" w:rsidP="000379F0">
      <w:pPr>
        <w:pStyle w:val="Heading2"/>
        <w:rPr>
          <w:lang w:val="ro-RO"/>
        </w:rPr>
      </w:pPr>
      <w:hyperlink w:anchor="_Toc493866730" w:history="1">
        <w:bookmarkStart w:id="302" w:name="_Toc127199295"/>
        <w:r w:rsidR="00213A2E" w:rsidRPr="00F171A3">
          <w:rPr>
            <w:caps w:val="0"/>
            <w:lang w:val="ro-RO"/>
          </w:rPr>
          <w:t>CAPACITATE ADMINISTRATIVĂ</w:t>
        </w:r>
        <w:bookmarkEnd w:id="302"/>
        <w:r w:rsidR="00213A2E" w:rsidRPr="00F171A3">
          <w:rPr>
            <w:caps w:val="0"/>
            <w:webHidden/>
            <w:lang w:val="ro-RO"/>
          </w:rPr>
          <w:tab/>
        </w:r>
      </w:hyperlink>
    </w:p>
    <w:p w14:paraId="37EBEA10" w14:textId="77777777" w:rsidR="0006359E" w:rsidRPr="00F171A3" w:rsidRDefault="0006359E" w:rsidP="0006359E">
      <w:pPr>
        <w:spacing w:before="144" w:after="144"/>
        <w:rPr>
          <w:i/>
        </w:rPr>
      </w:pPr>
      <w:r w:rsidRPr="00F171A3">
        <w:rPr>
          <w:i/>
        </w:rPr>
        <w:t>Procesul de revizuire a Strategiei de Dezvoltare Locală 2016-2025 a Sectorului 2 este o etapă cheie pentru a evalua evoluția obiectivelor, măsurilor și proiectelor asumate de instituție. În ceea ce privește domeniul de capacitate administrativă, prezentarea situației interne, analiza SWOT, dar și principalele concluzii și potențiale intervenții propuse au luat în considerare principalele elemente subliniate în versiunea anterioară a analizei.</w:t>
      </w:r>
    </w:p>
    <w:p w14:paraId="707F3B81" w14:textId="38E4843C" w:rsidR="0006359E" w:rsidRPr="00F171A3" w:rsidRDefault="0006359E" w:rsidP="0006359E">
      <w:pPr>
        <w:spacing w:before="144" w:after="144"/>
        <w:rPr>
          <w:i/>
        </w:rPr>
      </w:pPr>
      <w:r w:rsidRPr="00F171A3">
        <w:rPr>
          <w:i/>
        </w:rPr>
        <w:t>Analiza curentă constată o serie de evoluții favorabile comparativ cu provocările semnalate anterior, însă o parte dintre elementele identificate atunci ca amenințări la adresa capacității administrative a Primăriei Sector</w:t>
      </w:r>
      <w:r w:rsidR="00F53B80" w:rsidRPr="00F171A3">
        <w:rPr>
          <w:i/>
        </w:rPr>
        <w:t>ului</w:t>
      </w:r>
      <w:r w:rsidRPr="00F171A3">
        <w:rPr>
          <w:i/>
        </w:rPr>
        <w:t xml:space="preserve"> 2 persistă. Provocări semnalate în ceea ce țin de (i) politica de formare a personalului și modul în care aceasta răspunde nevoilor individuale și de la nivelul instituției, (ii) birocrația accentuată a proceselor interne și în relația cu cetățenii, (iii) procesul limitat de digitalizare a proceselor interne și serviciilor oferite de instituție, (iv) interacțiunea limitată cu cetățenii și lipsa de instrumente și mecanisme care să genereze o implicare extinsă a acestora în procesul de decizie de la nivel local au fost parțial adresate și necesită eforturi semnificative pentru a fi îmbunătățite.</w:t>
      </w:r>
    </w:p>
    <w:p w14:paraId="5C1ABFF1" w14:textId="2527EE94" w:rsidR="0006359E" w:rsidRPr="00F171A3" w:rsidRDefault="0006359E" w:rsidP="0006359E">
      <w:pPr>
        <w:spacing w:before="144" w:after="144"/>
        <w:rPr>
          <w:i/>
        </w:rPr>
      </w:pPr>
      <w:r w:rsidRPr="00F171A3">
        <w:rPr>
          <w:i/>
        </w:rPr>
        <w:t>Aceste provocări sunt însă adresate de obiectivele, măsurile și proiectele ce fac obiectul revizuirii Strategiei de Dezvoltare Locală sau au fost deja incluse în proiectele promovate de Primăria Sector</w:t>
      </w:r>
      <w:r w:rsidR="00F53B80" w:rsidRPr="00F171A3">
        <w:rPr>
          <w:i/>
        </w:rPr>
        <w:t>ului</w:t>
      </w:r>
      <w:r w:rsidRPr="00F171A3">
        <w:rPr>
          <w:i/>
        </w:rPr>
        <w:t xml:space="preserve"> 2 în ultimii ani. Suportul oferit de administrația Primăriei Sector</w:t>
      </w:r>
      <w:r w:rsidR="00F53B80" w:rsidRPr="00F171A3">
        <w:rPr>
          <w:i/>
        </w:rPr>
        <w:t>ului</w:t>
      </w:r>
      <w:r w:rsidRPr="00F171A3">
        <w:rPr>
          <w:i/>
        </w:rPr>
        <w:t xml:space="preserve"> 2 (atât managementul de top, dar și personalul de execuție) în acest exercițiu oferă premisele pentru accelerarea îmbunătățirii acestora. </w:t>
      </w:r>
    </w:p>
    <w:p w14:paraId="094278F7" w14:textId="69013EBE" w:rsidR="0006359E" w:rsidRPr="00F171A3" w:rsidRDefault="0006359E" w:rsidP="0006359E">
      <w:r w:rsidRPr="00F171A3">
        <w:t xml:space="preserve">Livrarea de servicii publice de calitate și un grad ridicat de satisfacție al cetățenilor rămân principalele obiective ale administrației publice locale. Pentru îndeplinirea acestor deziderate, administrația locală are nevoie, în primul rând, de o resursă umană performantă, ce beneficiază de programe de formare adaptate nevoilor individuale și de la nivelul instituției,  un mediu de lucru optim și ce se </w:t>
      </w:r>
      <w:r w:rsidR="00C66438" w:rsidRPr="00F171A3">
        <w:t>fundamentează</w:t>
      </w:r>
      <w:r w:rsidRPr="00F171A3">
        <w:t xml:space="preserve"> pe o cultură a eticii, transparenței și integrității. O structură administrativă eficientă necesită și proceduri clare, predictibile și transparente de funcționare, un management performant al resurselor economice disponibile și să dispună de capacitatea de a genera acele mecanisme și instrumente publice de consultare care să aducă cetățeanul cât mai aproape de deciziile de la nivel local și să-i ofere acestuia un rol esențial în modelarea viziunii de dezvoltare.</w:t>
      </w:r>
    </w:p>
    <w:p w14:paraId="56274B3C" w14:textId="77777777" w:rsidR="0006359E" w:rsidRPr="00F171A3" w:rsidRDefault="0006359E" w:rsidP="0006359E">
      <w:r w:rsidRPr="00F171A3">
        <w:t xml:space="preserve">Aceste atribute sunt esențiale pentru a facilita dezvoltarea economică, socială și culturală a comunității și pentru a mențiune un grad de satisfacție ridicat al cetățenilor vizavi de guvernarea locală. </w:t>
      </w:r>
    </w:p>
    <w:p w14:paraId="3C7E1CC8" w14:textId="2C19A784" w:rsidR="0006359E" w:rsidRPr="00F171A3" w:rsidRDefault="0006359E" w:rsidP="0006359E">
      <w:r w:rsidRPr="00F171A3">
        <w:t>Capitolul următor, ce analizează capacitatea administrativă a Primăriei Sector</w:t>
      </w:r>
      <w:r w:rsidR="00F53B80" w:rsidRPr="00F171A3">
        <w:t>ului</w:t>
      </w:r>
      <w:r w:rsidRPr="00F171A3">
        <w:t xml:space="preserve"> 2, oferă o imagine de ansamblu asupra modului în care resursele disponibile sunt utilizate pentru îndeplinirea responsabilităților autorității publice locale, în implementarea de politici publice locale în interesul cetățenilor și în susținerea unei creșteri sustenabile, inteligente și inclusive la nivel local și regional.  </w:t>
      </w:r>
    </w:p>
    <w:p w14:paraId="4D22F248" w14:textId="4AD169C2" w:rsidR="0006359E" w:rsidRPr="00F171A3" w:rsidRDefault="0006359E" w:rsidP="0006359E">
      <w:r w:rsidRPr="00F171A3">
        <w:t xml:space="preserve">Sunt prezentate o serie de caracteristici ale </w:t>
      </w:r>
      <w:r w:rsidRPr="00F171A3">
        <w:rPr>
          <w:i/>
        </w:rPr>
        <w:t>Primăriei Sector</w:t>
      </w:r>
      <w:r w:rsidR="00F53B80" w:rsidRPr="00F171A3">
        <w:rPr>
          <w:i/>
        </w:rPr>
        <w:t>ului</w:t>
      </w:r>
      <w:r w:rsidRPr="00F171A3">
        <w:rPr>
          <w:i/>
        </w:rPr>
        <w:t xml:space="preserve"> 2</w:t>
      </w:r>
      <w:r w:rsidRPr="00F171A3">
        <w:t xml:space="preserve"> urmărind: </w:t>
      </w:r>
    </w:p>
    <w:p w14:paraId="50B594E3" w14:textId="32AA860E" w:rsidR="0006359E" w:rsidRPr="00F171A3" w:rsidRDefault="00507C46">
      <w:pPr>
        <w:pStyle w:val="Normal0"/>
        <w:numPr>
          <w:ilvl w:val="0"/>
          <w:numId w:val="84"/>
        </w:numPr>
        <w:rPr>
          <w:color w:val="134753" w:themeColor="text2"/>
        </w:rPr>
      </w:pPr>
      <w:r w:rsidRPr="00F171A3">
        <w:rPr>
          <w:color w:val="134753" w:themeColor="text2"/>
        </w:rPr>
        <w:t>C</w:t>
      </w:r>
      <w:r w:rsidR="0006359E" w:rsidRPr="00F171A3">
        <w:rPr>
          <w:color w:val="134753" w:themeColor="text2"/>
        </w:rPr>
        <w:t>e presupune un management eficient al resursei umane, analiza organigramei, modulului în care comunică și relaționează structurile din interiorul instituției și programul de formare dedicat funcționarilor publici și personalului contractual</w:t>
      </w:r>
      <w:r w:rsidRPr="00F171A3">
        <w:rPr>
          <w:color w:val="134753" w:themeColor="text2"/>
        </w:rPr>
        <w:t>;</w:t>
      </w:r>
    </w:p>
    <w:p w14:paraId="611DB569" w14:textId="4EBD315F" w:rsidR="0006359E" w:rsidRPr="00F171A3" w:rsidRDefault="00507C46">
      <w:pPr>
        <w:pStyle w:val="Normal0"/>
        <w:numPr>
          <w:ilvl w:val="0"/>
          <w:numId w:val="84"/>
        </w:numPr>
        <w:rPr>
          <w:color w:val="134753" w:themeColor="text2"/>
        </w:rPr>
      </w:pPr>
      <w:r w:rsidRPr="00F171A3">
        <w:rPr>
          <w:color w:val="134753" w:themeColor="text2"/>
        </w:rPr>
        <w:t>A</w:t>
      </w:r>
      <w:r w:rsidR="0006359E" w:rsidRPr="00F171A3">
        <w:rPr>
          <w:color w:val="134753" w:themeColor="text2"/>
        </w:rPr>
        <w:t>naliza sustenabilității financiare și politicii de investiții, planificării bugetare, a structurii de venituri și cheltuieli</w:t>
      </w:r>
      <w:r w:rsidRPr="00F171A3">
        <w:rPr>
          <w:color w:val="134753" w:themeColor="text2"/>
        </w:rPr>
        <w:t>;</w:t>
      </w:r>
    </w:p>
    <w:p w14:paraId="4BC55B07" w14:textId="09DC2F20" w:rsidR="0006359E" w:rsidRPr="00F171A3" w:rsidRDefault="00507C46">
      <w:pPr>
        <w:pStyle w:val="Normal0"/>
        <w:numPr>
          <w:ilvl w:val="0"/>
          <w:numId w:val="84"/>
        </w:numPr>
        <w:rPr>
          <w:color w:val="134753" w:themeColor="text2"/>
        </w:rPr>
      </w:pPr>
      <w:r w:rsidRPr="00F171A3">
        <w:rPr>
          <w:color w:val="134753" w:themeColor="text2"/>
        </w:rPr>
        <w:t>O</w:t>
      </w:r>
      <w:r w:rsidR="0006359E" w:rsidRPr="00F171A3">
        <w:rPr>
          <w:color w:val="134753" w:themeColor="text2"/>
        </w:rPr>
        <w:t xml:space="preserve"> prezentare a resurselor materiale și procedurilor de lucru</w:t>
      </w:r>
      <w:r w:rsidRPr="00F171A3">
        <w:rPr>
          <w:color w:val="134753" w:themeColor="text2"/>
        </w:rPr>
        <w:t>;</w:t>
      </w:r>
    </w:p>
    <w:p w14:paraId="6D420C3C" w14:textId="26E2D4A5" w:rsidR="0006359E" w:rsidRPr="00F171A3" w:rsidRDefault="00507C46">
      <w:pPr>
        <w:pStyle w:val="Normal0"/>
        <w:numPr>
          <w:ilvl w:val="0"/>
          <w:numId w:val="84"/>
        </w:numPr>
        <w:rPr>
          <w:color w:val="134753" w:themeColor="text2"/>
        </w:rPr>
      </w:pPr>
      <w:r w:rsidRPr="00F171A3">
        <w:rPr>
          <w:color w:val="134753" w:themeColor="text2"/>
        </w:rPr>
        <w:t>D</w:t>
      </w:r>
      <w:r w:rsidR="0006359E" w:rsidRPr="00F171A3">
        <w:rPr>
          <w:color w:val="134753" w:themeColor="text2"/>
        </w:rPr>
        <w:t>eschiderea instituției, analiza mecanismelor de transparență și consultare publică cu mediul de afaceri, societatea civilă sau mediul academic de la nivel local</w:t>
      </w:r>
      <w:r w:rsidRPr="00F171A3">
        <w:rPr>
          <w:color w:val="134753" w:themeColor="text2"/>
        </w:rPr>
        <w:t>;</w:t>
      </w:r>
    </w:p>
    <w:p w14:paraId="19DC3AD5" w14:textId="4949F339" w:rsidR="0006359E" w:rsidRPr="00F171A3" w:rsidRDefault="00507C46">
      <w:pPr>
        <w:pStyle w:val="Normal0"/>
        <w:numPr>
          <w:ilvl w:val="0"/>
          <w:numId w:val="84"/>
        </w:numPr>
        <w:rPr>
          <w:color w:val="134753" w:themeColor="text2"/>
        </w:rPr>
      </w:pPr>
      <w:r w:rsidRPr="00F171A3">
        <w:rPr>
          <w:color w:val="134753" w:themeColor="text2"/>
        </w:rPr>
        <w:t>N</w:t>
      </w:r>
      <w:r w:rsidR="0006359E" w:rsidRPr="00F171A3">
        <w:rPr>
          <w:color w:val="134753" w:themeColor="text2"/>
        </w:rPr>
        <w:t>evoile și provocările de la nivelul instituției și capacitatea de a se adapta tranzițiilor în desfășurare, în special cea digitală (inclusiv creșterea competențelor digitale, securitatea datelor, securitate cibernetică).</w:t>
      </w:r>
    </w:p>
    <w:p w14:paraId="30C9B98C" w14:textId="1055701A" w:rsidR="0006359E" w:rsidRPr="00F171A3" w:rsidRDefault="0006359E" w:rsidP="0006359E">
      <w:r w:rsidRPr="00F171A3">
        <w:t>Mai mult, analiza își propune să identifice și să propună intervenții pentru acele domenii unde nevoile administrative sunt ridicate sau unde alocarea de resurse financiare, umane sau materiale nu este optimă pentru livrarea unor servicii publice eficiente, competitive și de calitate pentru comunitate. Pentru a fundamenta principalele concluzii și propuneri de îmbunătățire, un chestionar</w:t>
      </w:r>
      <w:r w:rsidRPr="00F171A3">
        <w:rPr>
          <w:rStyle w:val="FootnoteReference"/>
        </w:rPr>
        <w:footnoteReference w:id="165"/>
      </w:r>
      <w:r w:rsidRPr="00F171A3">
        <w:t xml:space="preserve"> a fost aplicat la nivelul personalului instituției pentru o mai bună înțelegere a mediului intern de lucru și principalelor obstacole și oportunități pe care aceștia le identifică, respectiv au fost realizate întâlniri cu o parte din direcțiile Primăriei Sector</w:t>
      </w:r>
      <w:r w:rsidR="00F53B80" w:rsidRPr="00F171A3">
        <w:t>ului</w:t>
      </w:r>
      <w:r w:rsidRPr="00F171A3">
        <w:t xml:space="preserve"> 2. </w:t>
      </w:r>
    </w:p>
    <w:p w14:paraId="45E0043B" w14:textId="77777777" w:rsidR="0006359E" w:rsidRPr="00F171A3" w:rsidRDefault="0006359E" w:rsidP="0006359E">
      <w:pPr>
        <w:rPr>
          <w:szCs w:val="20"/>
        </w:rPr>
      </w:pPr>
      <w:r w:rsidRPr="00F171A3">
        <w:rPr>
          <w:szCs w:val="20"/>
        </w:rPr>
        <w:t xml:space="preserve">În România, îmbunătățirea capacității administrative a autorităților publice este unul dintre principalele obiective asumate de România ca parte a Programului Operațional Capacitate Administrativă (POCA). POCA urmează unele dintre domeniile prioritare ale Strategiei Europa 2020 ce subliniază nevoia de continuă modernizare a administrației publice și de creștere a calității serviciilor publice furnizate. Cel mai recent raport de țară din cadrul pachetului Semestrul European indică numeroase provocări ale administrației publice din România cu efecte negative asupra dezvoltării și furnizării de servicii publice, inclusiv progresul limitat în oferirea de servicii publice digitale de către autoritățile centrale și locale.   </w:t>
      </w:r>
    </w:p>
    <w:p w14:paraId="3E0F1324" w14:textId="276450BF" w:rsidR="0006359E" w:rsidRPr="00F171A3" w:rsidRDefault="009D2E2C" w:rsidP="009D2E2C">
      <w:pPr>
        <w:pStyle w:val="Caption"/>
        <w:rPr>
          <w:b w:val="0"/>
        </w:rPr>
      </w:pPr>
      <w:bookmarkStart w:id="303" w:name="_heading=h.jzpmwk" w:colFirst="0" w:colLast="0"/>
      <w:bookmarkStart w:id="304" w:name="_Toc127198108"/>
      <w:bookmarkEnd w:id="303"/>
      <w:r w:rsidRPr="00F171A3">
        <w:t xml:space="preserve">Figura </w:t>
      </w:r>
      <w:r w:rsidRPr="00F171A3">
        <w:fldChar w:fldCharType="begin"/>
      </w:r>
      <w:r w:rsidRPr="00F171A3">
        <w:instrText xml:space="preserve"> SEQ Figura \* ARABIC </w:instrText>
      </w:r>
      <w:r w:rsidRPr="00F171A3">
        <w:fldChar w:fldCharType="separate"/>
      </w:r>
      <w:r w:rsidR="005A6DD8">
        <w:rPr>
          <w:noProof/>
        </w:rPr>
        <w:t>120</w:t>
      </w:r>
      <w:r w:rsidRPr="00F171A3">
        <w:fldChar w:fldCharType="end"/>
      </w:r>
      <w:r w:rsidRPr="00F171A3">
        <w:t xml:space="preserve"> </w:t>
      </w:r>
      <w:r w:rsidR="0006359E" w:rsidRPr="00F171A3">
        <w:t>Etape de suport pentru întărirea capacității administrative la nivelul autorității publice</w:t>
      </w:r>
      <w:bookmarkEnd w:id="304"/>
      <w:r w:rsidRPr="00F171A3">
        <w:rPr>
          <w:b w:val="0"/>
        </w:rPr>
        <w:t xml:space="preserve"> </w:t>
      </w:r>
    </w:p>
    <w:p w14:paraId="635E1F66" w14:textId="77777777" w:rsidR="0006359E" w:rsidRPr="00F171A3" w:rsidRDefault="0006359E" w:rsidP="0006359E">
      <w:r w:rsidRPr="00F171A3">
        <w:rPr>
          <w:noProof/>
        </w:rPr>
        <mc:AlternateContent>
          <mc:Choice Requires="wpg">
            <w:drawing>
              <wp:inline distT="0" distB="0" distL="0" distR="0" wp14:anchorId="0406B07A" wp14:editId="0FACFB03">
                <wp:extent cx="5997575" cy="1657985"/>
                <wp:effectExtent l="0" t="0" r="0" b="0"/>
                <wp:docPr id="25726" name="Group 25726"/>
                <wp:cNvGraphicFramePr/>
                <a:graphic xmlns:a="http://schemas.openxmlformats.org/drawingml/2006/main">
                  <a:graphicData uri="http://schemas.microsoft.com/office/word/2010/wordprocessingGroup">
                    <wpg:wgp>
                      <wpg:cNvGrpSpPr/>
                      <wpg:grpSpPr>
                        <a:xfrm>
                          <a:off x="0" y="0"/>
                          <a:ext cx="5997575" cy="1657985"/>
                          <a:chOff x="0" y="0"/>
                          <a:chExt cx="5997575" cy="1657975"/>
                        </a:xfrm>
                      </wpg:grpSpPr>
                      <wpg:grpSp>
                        <wpg:cNvPr id="25696" name="Group 25696"/>
                        <wpg:cNvGrpSpPr/>
                        <wpg:grpSpPr>
                          <a:xfrm>
                            <a:off x="0" y="0"/>
                            <a:ext cx="5997575" cy="1657975"/>
                            <a:chOff x="0" y="0"/>
                            <a:chExt cx="5997575" cy="1657975"/>
                          </a:xfrm>
                        </wpg:grpSpPr>
                        <wps:wsp>
                          <wps:cNvPr id="25697" name="Rectangle 25697"/>
                          <wps:cNvSpPr/>
                          <wps:spPr>
                            <a:xfrm>
                              <a:off x="0" y="0"/>
                              <a:ext cx="5997575" cy="1657975"/>
                            </a:xfrm>
                            <a:prstGeom prst="rect">
                              <a:avLst/>
                            </a:prstGeom>
                            <a:noFill/>
                            <a:ln>
                              <a:noFill/>
                            </a:ln>
                          </wps:spPr>
                          <wps:txbx>
                            <w:txbxContent>
                              <w:p w14:paraId="07C507A2" w14:textId="77777777" w:rsidR="0006359E" w:rsidRPr="00AF2C45" w:rsidRDefault="0006359E" w:rsidP="0006359E">
                                <w:pPr>
                                  <w:spacing w:after="0"/>
                                  <w:jc w:val="left"/>
                                  <w:textDirection w:val="btLr"/>
                                  <w:rPr>
                                    <w:b/>
                                    <w:bCs/>
                                    <w:color w:val="FFFFFF" w:themeColor="background1"/>
                                    <w:sz w:val="14"/>
                                    <w:szCs w:val="14"/>
                                  </w:rPr>
                                </w:pPr>
                              </w:p>
                            </w:txbxContent>
                          </wps:txbx>
                          <wps:bodyPr spcFirstLastPara="1" wrap="square" lIns="91425" tIns="91425" rIns="91425" bIns="91425" anchor="ctr" anchorCtr="0">
                            <a:noAutofit/>
                          </wps:bodyPr>
                        </wps:wsp>
                        <wps:wsp>
                          <wps:cNvPr id="25600" name="Chevron 25600"/>
                          <wps:cNvSpPr/>
                          <wps:spPr>
                            <a:xfrm>
                              <a:off x="1464" y="568355"/>
                              <a:ext cx="1303184" cy="521273"/>
                            </a:xfrm>
                            <a:prstGeom prst="chevron">
                              <a:avLst>
                                <a:gd name="adj" fmla="val 50000"/>
                              </a:avLst>
                            </a:prstGeom>
                            <a:solidFill>
                              <a:schemeClr val="lt2"/>
                            </a:solidFill>
                            <a:ln w="25400" cap="flat" cmpd="sng">
                              <a:solidFill>
                                <a:schemeClr val="lt1"/>
                              </a:solidFill>
                              <a:prstDash val="solid"/>
                              <a:round/>
                              <a:headEnd type="none" w="sm" len="sm"/>
                              <a:tailEnd type="none" w="sm" len="sm"/>
                            </a:ln>
                          </wps:spPr>
                          <wps:txbx>
                            <w:txbxContent>
                              <w:p w14:paraId="2CC284BB" w14:textId="77777777" w:rsidR="0006359E" w:rsidRPr="00AF2C45" w:rsidRDefault="0006359E" w:rsidP="0006359E">
                                <w:pPr>
                                  <w:spacing w:after="0"/>
                                  <w:jc w:val="left"/>
                                  <w:textDirection w:val="btLr"/>
                                  <w:rPr>
                                    <w:b/>
                                    <w:bCs/>
                                    <w:color w:val="FFFFFF" w:themeColor="background1"/>
                                    <w:sz w:val="14"/>
                                    <w:szCs w:val="14"/>
                                  </w:rPr>
                                </w:pPr>
                              </w:p>
                            </w:txbxContent>
                          </wps:txbx>
                          <wps:bodyPr spcFirstLastPara="1" wrap="square" lIns="91425" tIns="91425" rIns="91425" bIns="91425" anchor="ctr" anchorCtr="0">
                            <a:noAutofit/>
                          </wps:bodyPr>
                        </wps:wsp>
                        <wps:wsp>
                          <wps:cNvPr id="25601" name="Text Box 25601"/>
                          <wps:cNvSpPr txBox="1"/>
                          <wps:spPr>
                            <a:xfrm>
                              <a:off x="262101" y="568355"/>
                              <a:ext cx="781911" cy="521273"/>
                            </a:xfrm>
                            <a:prstGeom prst="rect">
                              <a:avLst/>
                            </a:prstGeom>
                            <a:noFill/>
                            <a:ln>
                              <a:noFill/>
                            </a:ln>
                          </wps:spPr>
                          <wps:txbx>
                            <w:txbxContent>
                              <w:p w14:paraId="3D6ABA39"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 xml:space="preserve">Management instituțional eficient și transparent  </w:t>
                                </w:r>
                              </w:p>
                            </w:txbxContent>
                          </wps:txbx>
                          <wps:bodyPr spcFirstLastPara="1" wrap="square" lIns="28000" tIns="9325" rIns="9325" bIns="9325" anchor="ctr" anchorCtr="0">
                            <a:noAutofit/>
                          </wps:bodyPr>
                        </wps:wsp>
                        <wps:wsp>
                          <wps:cNvPr id="25602" name="Chevron 25602"/>
                          <wps:cNvSpPr/>
                          <wps:spPr>
                            <a:xfrm>
                              <a:off x="1174329" y="568355"/>
                              <a:ext cx="1303184" cy="521273"/>
                            </a:xfrm>
                            <a:prstGeom prst="chevron">
                              <a:avLst>
                                <a:gd name="adj" fmla="val 50000"/>
                              </a:avLst>
                            </a:prstGeom>
                            <a:solidFill>
                              <a:schemeClr val="lt2"/>
                            </a:solidFill>
                            <a:ln w="25400" cap="flat" cmpd="sng">
                              <a:solidFill>
                                <a:schemeClr val="lt1"/>
                              </a:solidFill>
                              <a:prstDash val="solid"/>
                              <a:round/>
                              <a:headEnd type="none" w="sm" len="sm"/>
                              <a:tailEnd type="none" w="sm" len="sm"/>
                            </a:ln>
                          </wps:spPr>
                          <wps:txbx>
                            <w:txbxContent>
                              <w:p w14:paraId="4276F0B4" w14:textId="77777777" w:rsidR="0006359E" w:rsidRPr="00AF2C45" w:rsidRDefault="0006359E" w:rsidP="0006359E">
                                <w:pPr>
                                  <w:spacing w:after="0"/>
                                  <w:jc w:val="left"/>
                                  <w:textDirection w:val="btLr"/>
                                  <w:rPr>
                                    <w:b/>
                                    <w:bCs/>
                                    <w:color w:val="FFFFFF" w:themeColor="background1"/>
                                    <w:sz w:val="14"/>
                                    <w:szCs w:val="14"/>
                                  </w:rPr>
                                </w:pPr>
                              </w:p>
                            </w:txbxContent>
                          </wps:txbx>
                          <wps:bodyPr spcFirstLastPara="1" wrap="square" lIns="91425" tIns="91425" rIns="91425" bIns="91425" anchor="ctr" anchorCtr="0">
                            <a:noAutofit/>
                          </wps:bodyPr>
                        </wps:wsp>
                        <wps:wsp>
                          <wps:cNvPr id="25603" name="Text Box 25603"/>
                          <wps:cNvSpPr txBox="1"/>
                          <wps:spPr>
                            <a:xfrm>
                              <a:off x="1434966" y="568355"/>
                              <a:ext cx="781911" cy="521273"/>
                            </a:xfrm>
                            <a:prstGeom prst="rect">
                              <a:avLst/>
                            </a:prstGeom>
                            <a:noFill/>
                            <a:ln>
                              <a:noFill/>
                            </a:ln>
                          </wps:spPr>
                          <wps:txbx>
                            <w:txbxContent>
                              <w:p w14:paraId="67FCF49E"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Resurse umane cu un grad ridicat de expertiză  și competență</w:t>
                                </w:r>
                              </w:p>
                            </w:txbxContent>
                          </wps:txbx>
                          <wps:bodyPr spcFirstLastPara="1" wrap="square" lIns="28000" tIns="9325" rIns="9325" bIns="9325" anchor="ctr" anchorCtr="0">
                            <a:noAutofit/>
                          </wps:bodyPr>
                        </wps:wsp>
                        <wps:wsp>
                          <wps:cNvPr id="25604" name="Chevron 25604"/>
                          <wps:cNvSpPr/>
                          <wps:spPr>
                            <a:xfrm>
                              <a:off x="2347195" y="568355"/>
                              <a:ext cx="1303184" cy="521273"/>
                            </a:xfrm>
                            <a:prstGeom prst="chevron">
                              <a:avLst>
                                <a:gd name="adj" fmla="val 50000"/>
                              </a:avLst>
                            </a:prstGeom>
                            <a:solidFill>
                              <a:schemeClr val="lt2"/>
                            </a:solidFill>
                            <a:ln w="25400" cap="flat" cmpd="sng">
                              <a:solidFill>
                                <a:schemeClr val="lt1"/>
                              </a:solidFill>
                              <a:prstDash val="solid"/>
                              <a:round/>
                              <a:headEnd type="none" w="sm" len="sm"/>
                              <a:tailEnd type="none" w="sm" len="sm"/>
                            </a:ln>
                          </wps:spPr>
                          <wps:txbx>
                            <w:txbxContent>
                              <w:p w14:paraId="6E413952" w14:textId="77777777" w:rsidR="0006359E" w:rsidRPr="00AF2C45" w:rsidRDefault="0006359E" w:rsidP="0006359E">
                                <w:pPr>
                                  <w:spacing w:after="0"/>
                                  <w:jc w:val="left"/>
                                  <w:textDirection w:val="btLr"/>
                                  <w:rPr>
                                    <w:b/>
                                    <w:bCs/>
                                    <w:color w:val="FFFFFF" w:themeColor="background1"/>
                                    <w:sz w:val="14"/>
                                    <w:szCs w:val="14"/>
                                  </w:rPr>
                                </w:pPr>
                              </w:p>
                            </w:txbxContent>
                          </wps:txbx>
                          <wps:bodyPr spcFirstLastPara="1" wrap="square" lIns="91425" tIns="91425" rIns="91425" bIns="91425" anchor="ctr" anchorCtr="0">
                            <a:noAutofit/>
                          </wps:bodyPr>
                        </wps:wsp>
                        <wps:wsp>
                          <wps:cNvPr id="25605" name="Text Box 25605"/>
                          <wps:cNvSpPr txBox="1"/>
                          <wps:spPr>
                            <a:xfrm>
                              <a:off x="2607832" y="568355"/>
                              <a:ext cx="781911" cy="521273"/>
                            </a:xfrm>
                            <a:prstGeom prst="rect">
                              <a:avLst/>
                            </a:prstGeom>
                            <a:noFill/>
                            <a:ln>
                              <a:noFill/>
                            </a:ln>
                          </wps:spPr>
                          <wps:txbx>
                            <w:txbxContent>
                              <w:p w14:paraId="5740FC85"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 xml:space="preserve">Utilizare eficientă a resurselor financiare disponibile </w:t>
                                </w:r>
                              </w:p>
                            </w:txbxContent>
                          </wps:txbx>
                          <wps:bodyPr spcFirstLastPara="1" wrap="square" lIns="28000" tIns="9325" rIns="9325" bIns="9325" anchor="ctr" anchorCtr="0">
                            <a:noAutofit/>
                          </wps:bodyPr>
                        </wps:wsp>
                        <wps:wsp>
                          <wps:cNvPr id="25606" name="Chevron 25606"/>
                          <wps:cNvSpPr/>
                          <wps:spPr>
                            <a:xfrm>
                              <a:off x="3520061" y="568355"/>
                              <a:ext cx="1303184" cy="521273"/>
                            </a:xfrm>
                            <a:prstGeom prst="chevron">
                              <a:avLst>
                                <a:gd name="adj" fmla="val 50000"/>
                              </a:avLst>
                            </a:prstGeom>
                            <a:solidFill>
                              <a:schemeClr val="lt2"/>
                            </a:solidFill>
                            <a:ln w="25400" cap="flat" cmpd="sng">
                              <a:solidFill>
                                <a:schemeClr val="lt1"/>
                              </a:solidFill>
                              <a:prstDash val="solid"/>
                              <a:round/>
                              <a:headEnd type="none" w="sm" len="sm"/>
                              <a:tailEnd type="none" w="sm" len="sm"/>
                            </a:ln>
                          </wps:spPr>
                          <wps:txbx>
                            <w:txbxContent>
                              <w:p w14:paraId="73244C5C" w14:textId="77777777" w:rsidR="0006359E" w:rsidRPr="00AF2C45" w:rsidRDefault="0006359E" w:rsidP="0006359E">
                                <w:pPr>
                                  <w:spacing w:after="0"/>
                                  <w:jc w:val="left"/>
                                  <w:textDirection w:val="btLr"/>
                                  <w:rPr>
                                    <w:b/>
                                    <w:bCs/>
                                    <w:color w:val="FFFFFF" w:themeColor="background1"/>
                                    <w:sz w:val="14"/>
                                    <w:szCs w:val="14"/>
                                  </w:rPr>
                                </w:pPr>
                              </w:p>
                            </w:txbxContent>
                          </wps:txbx>
                          <wps:bodyPr spcFirstLastPara="1" wrap="square" lIns="91425" tIns="91425" rIns="91425" bIns="91425" anchor="ctr" anchorCtr="0">
                            <a:noAutofit/>
                          </wps:bodyPr>
                        </wps:wsp>
                        <wps:wsp>
                          <wps:cNvPr id="25607" name="Text Box 25607"/>
                          <wps:cNvSpPr txBox="1"/>
                          <wps:spPr>
                            <a:xfrm>
                              <a:off x="3780698" y="568355"/>
                              <a:ext cx="781911" cy="521273"/>
                            </a:xfrm>
                            <a:prstGeom prst="rect">
                              <a:avLst/>
                            </a:prstGeom>
                            <a:noFill/>
                            <a:ln>
                              <a:noFill/>
                            </a:ln>
                          </wps:spPr>
                          <wps:txbx>
                            <w:txbxContent>
                              <w:p w14:paraId="529261A7"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 xml:space="preserve">Proceduri și procese de funcționare clar stabilite și utilizate adecvat </w:t>
                                </w:r>
                              </w:p>
                            </w:txbxContent>
                          </wps:txbx>
                          <wps:bodyPr spcFirstLastPara="1" wrap="square" lIns="28000" tIns="9325" rIns="9325" bIns="9325" anchor="ctr" anchorCtr="0">
                            <a:noAutofit/>
                          </wps:bodyPr>
                        </wps:wsp>
                        <wps:wsp>
                          <wps:cNvPr id="25608" name="Chevron 25608"/>
                          <wps:cNvSpPr/>
                          <wps:spPr>
                            <a:xfrm>
                              <a:off x="4692926" y="568355"/>
                              <a:ext cx="1303184" cy="521273"/>
                            </a:xfrm>
                            <a:prstGeom prst="chevron">
                              <a:avLst>
                                <a:gd name="adj" fmla="val 50000"/>
                              </a:avLst>
                            </a:prstGeom>
                            <a:solidFill>
                              <a:schemeClr val="lt2"/>
                            </a:solidFill>
                            <a:ln w="25400" cap="flat" cmpd="sng">
                              <a:solidFill>
                                <a:schemeClr val="lt1"/>
                              </a:solidFill>
                              <a:prstDash val="solid"/>
                              <a:round/>
                              <a:headEnd type="none" w="sm" len="sm"/>
                              <a:tailEnd type="none" w="sm" len="sm"/>
                            </a:ln>
                          </wps:spPr>
                          <wps:txbx>
                            <w:txbxContent>
                              <w:p w14:paraId="54B923CD" w14:textId="77777777" w:rsidR="0006359E" w:rsidRPr="00AF2C45" w:rsidRDefault="0006359E" w:rsidP="0006359E">
                                <w:pPr>
                                  <w:spacing w:after="0"/>
                                  <w:jc w:val="left"/>
                                  <w:textDirection w:val="btLr"/>
                                  <w:rPr>
                                    <w:b/>
                                    <w:bCs/>
                                    <w:color w:val="FFFFFF" w:themeColor="background1"/>
                                    <w:sz w:val="14"/>
                                    <w:szCs w:val="14"/>
                                  </w:rPr>
                                </w:pPr>
                              </w:p>
                            </w:txbxContent>
                          </wps:txbx>
                          <wps:bodyPr spcFirstLastPara="1" wrap="square" lIns="91425" tIns="91425" rIns="91425" bIns="91425" anchor="ctr" anchorCtr="0">
                            <a:noAutofit/>
                          </wps:bodyPr>
                        </wps:wsp>
                        <wps:wsp>
                          <wps:cNvPr id="25609" name="Text Box 25609"/>
                          <wps:cNvSpPr txBox="1"/>
                          <wps:spPr>
                            <a:xfrm>
                              <a:off x="4953563" y="568355"/>
                              <a:ext cx="781911" cy="521273"/>
                            </a:xfrm>
                            <a:prstGeom prst="rect">
                              <a:avLst/>
                            </a:prstGeom>
                            <a:noFill/>
                            <a:ln>
                              <a:noFill/>
                            </a:ln>
                          </wps:spPr>
                          <wps:txbx>
                            <w:txbxContent>
                              <w:p w14:paraId="5D9F4B09"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 xml:space="preserve"> Capacitate administrativă ridicată și servicii publice de calitate și competitive </w:t>
                                </w:r>
                              </w:p>
                            </w:txbxContent>
                          </wps:txbx>
                          <wps:bodyPr spcFirstLastPara="1" wrap="square" lIns="28000" tIns="9325" rIns="9325" bIns="9325" anchor="ctr" anchorCtr="0">
                            <a:noAutofit/>
                          </wps:bodyPr>
                        </wps:wsp>
                      </wpg:grpSp>
                    </wpg:wgp>
                  </a:graphicData>
                </a:graphic>
              </wp:inline>
            </w:drawing>
          </mc:Choice>
          <mc:Fallback>
            <w:pict>
              <v:group w14:anchorId="0406B07A" id="Group 25726" o:spid="_x0000_s1026" style="width:472.25pt;height:130.55pt;mso-position-horizontal-relative:char;mso-position-vertical-relative:line" coordsize="59975,1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">
                <v:group id="Group 25696" o:spid="_x0000_s1027" style="position:absolute;width:59975;height:16579" coordsize="59975,1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">
                  <v:rect id="Rectangle 25697" o:spid="_x0000_s1028" style="position:absolute;width:59975;height:16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" filled="f" stroked="f">
                    <v:textbox inset="2.53958mm,2.53958mm,2.53958mm,2.53958mm">
                      <w:txbxContent>
                        <w:p w14:paraId="07C507A2" w14:textId="77777777" w:rsidR="0006359E" w:rsidRPr="00AF2C45" w:rsidRDefault="0006359E" w:rsidP="0006359E">
                          <w:pPr>
                            <w:spacing w:after="0"/>
                            <w:jc w:val="left"/>
                            <w:textDirection w:val="btLr"/>
                            <w:rPr>
                              <w:b/>
                              <w:bCs/>
                              <w:color w:val="FFFFFF" w:themeColor="background1"/>
                              <w:sz w:val="14"/>
                              <w:szCs w:val="14"/>
                            </w:rPr>
                          </w:pP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5600" o:spid="_x0000_s1029" type="#_x0000_t55" style="position:absolute;left:14;top:5683;width:13032;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" adj="17280" fillcolor="#3ca1bc [3203]" strokecolor="white [3201]" strokeweight="2pt">
                    <v:stroke startarrowwidth="narrow" startarrowlength="short" endarrowwidth="narrow" endarrowlength="short" joinstyle="round"/>
                    <v:textbox inset="2.53958mm,2.53958mm,2.53958mm,2.53958mm">
                      <w:txbxContent>
                        <w:p w14:paraId="2CC284BB" w14:textId="77777777" w:rsidR="0006359E" w:rsidRPr="00AF2C45" w:rsidRDefault="0006359E" w:rsidP="0006359E">
                          <w:pPr>
                            <w:spacing w:after="0"/>
                            <w:jc w:val="left"/>
                            <w:textDirection w:val="btLr"/>
                            <w:rPr>
                              <w:b/>
                              <w:bCs/>
                              <w:color w:val="FFFFFF" w:themeColor="background1"/>
                              <w:sz w:val="14"/>
                              <w:szCs w:val="14"/>
                            </w:rPr>
                          </w:pPr>
                        </w:p>
                      </w:txbxContent>
                    </v:textbox>
                  </v:shape>
                  <v:shapetype id="_x0000_t202" coordsize="21600,21600" o:spt="202" path="m,l,21600r21600,l21600,xe">
                    <v:stroke joinstyle="miter"/>
                    <v:path gradientshapeok="t" o:connecttype="rect"/>
                  </v:shapetype>
                  <v:shape id="Text Box 25601" o:spid="_x0000_s1030" type="#_x0000_t202" style="position:absolute;left:2621;top:5683;width:7819;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" filled="f" stroked="f">
                    <v:textbox inset=".77778mm,.25903mm,.25903mm,.25903mm">
                      <w:txbxContent>
                        <w:p w14:paraId="3D6ABA39"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 xml:space="preserve">Management instituțional eficient și transparent  </w:t>
                          </w:r>
                        </w:p>
                      </w:txbxContent>
                    </v:textbox>
                  </v:shape>
                  <v:shape id="Chevron 25602" o:spid="_x0000_s1031" type="#_x0000_t55" style="position:absolute;left:11743;top:5683;width:13032;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" adj="17280" fillcolor="#3ca1bc [3203]" strokecolor="white [3201]" strokeweight="2pt">
                    <v:stroke startarrowwidth="narrow" startarrowlength="short" endarrowwidth="narrow" endarrowlength="short" joinstyle="round"/>
                    <v:textbox inset="2.53958mm,2.53958mm,2.53958mm,2.53958mm">
                      <w:txbxContent>
                        <w:p w14:paraId="4276F0B4" w14:textId="77777777" w:rsidR="0006359E" w:rsidRPr="00AF2C45" w:rsidRDefault="0006359E" w:rsidP="0006359E">
                          <w:pPr>
                            <w:spacing w:after="0"/>
                            <w:jc w:val="left"/>
                            <w:textDirection w:val="btLr"/>
                            <w:rPr>
                              <w:b/>
                              <w:bCs/>
                              <w:color w:val="FFFFFF" w:themeColor="background1"/>
                              <w:sz w:val="14"/>
                              <w:szCs w:val="14"/>
                            </w:rPr>
                          </w:pPr>
                        </w:p>
                      </w:txbxContent>
                    </v:textbox>
                  </v:shape>
                  <v:shape id="Text Box 25603" o:spid="_x0000_s1032" type="#_x0000_t202" style="position:absolute;left:14349;top:5683;width:7819;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" filled="f" stroked="f">
                    <v:textbox inset=".77778mm,.25903mm,.25903mm,.25903mm">
                      <w:txbxContent>
                        <w:p w14:paraId="67FCF49E"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Resurse umane cu un grad ridicat de expertiză  și competență</w:t>
                          </w:r>
                        </w:p>
                      </w:txbxContent>
                    </v:textbox>
                  </v:shape>
                  <v:shape id="Chevron 25604" o:spid="_x0000_s1033" type="#_x0000_t55" style="position:absolute;left:23471;top:5683;width:13032;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" adj="17280" fillcolor="#3ca1bc [3203]" strokecolor="white [3201]" strokeweight="2pt">
                    <v:stroke startarrowwidth="narrow" startarrowlength="short" endarrowwidth="narrow" endarrowlength="short" joinstyle="round"/>
                    <v:textbox inset="2.53958mm,2.53958mm,2.53958mm,2.53958mm">
                      <w:txbxContent>
                        <w:p w14:paraId="6E413952" w14:textId="77777777" w:rsidR="0006359E" w:rsidRPr="00AF2C45" w:rsidRDefault="0006359E" w:rsidP="0006359E">
                          <w:pPr>
                            <w:spacing w:after="0"/>
                            <w:jc w:val="left"/>
                            <w:textDirection w:val="btLr"/>
                            <w:rPr>
                              <w:b/>
                              <w:bCs/>
                              <w:color w:val="FFFFFF" w:themeColor="background1"/>
                              <w:sz w:val="14"/>
                              <w:szCs w:val="14"/>
                            </w:rPr>
                          </w:pPr>
                        </w:p>
                      </w:txbxContent>
                    </v:textbox>
                  </v:shape>
                  <v:shape id="Text Box 25605" o:spid="_x0000_s1034" type="#_x0000_t202" style="position:absolute;left:26078;top:5683;width:7819;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" filled="f" stroked="f">
                    <v:textbox inset=".77778mm,.25903mm,.25903mm,.25903mm">
                      <w:txbxContent>
                        <w:p w14:paraId="5740FC85"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 xml:space="preserve">Utilizare eficientă a resurselor financiare disponibile </w:t>
                          </w:r>
                        </w:p>
                      </w:txbxContent>
                    </v:textbox>
                  </v:shape>
                  <v:shape id="Chevron 25606" o:spid="_x0000_s1035" type="#_x0000_t55" style="position:absolute;left:35200;top:5683;width:13032;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" adj="17280" fillcolor="#3ca1bc [3203]" strokecolor="white [3201]" strokeweight="2pt">
                    <v:stroke startarrowwidth="narrow" startarrowlength="short" endarrowwidth="narrow" endarrowlength="short" joinstyle="round"/>
                    <v:textbox inset="2.53958mm,2.53958mm,2.53958mm,2.53958mm">
                      <w:txbxContent>
                        <w:p w14:paraId="73244C5C" w14:textId="77777777" w:rsidR="0006359E" w:rsidRPr="00AF2C45" w:rsidRDefault="0006359E" w:rsidP="0006359E">
                          <w:pPr>
                            <w:spacing w:after="0"/>
                            <w:jc w:val="left"/>
                            <w:textDirection w:val="btLr"/>
                            <w:rPr>
                              <w:b/>
                              <w:bCs/>
                              <w:color w:val="FFFFFF" w:themeColor="background1"/>
                              <w:sz w:val="14"/>
                              <w:szCs w:val="14"/>
                            </w:rPr>
                          </w:pPr>
                        </w:p>
                      </w:txbxContent>
                    </v:textbox>
                  </v:shape>
                  <v:shape id="Text Box 25607" o:spid="_x0000_s1036" type="#_x0000_t202" style="position:absolute;left:37806;top:5683;width:7820;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" filled="f" stroked="f">
                    <v:textbox inset=".77778mm,.25903mm,.25903mm,.25903mm">
                      <w:txbxContent>
                        <w:p w14:paraId="529261A7"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 xml:space="preserve">Proceduri și procese de funcționare clar stabilite și utilizate adecvat </w:t>
                          </w:r>
                        </w:p>
                      </w:txbxContent>
                    </v:textbox>
                  </v:shape>
                  <v:shape id="Chevron 25608" o:spid="_x0000_s1037" type="#_x0000_t55" style="position:absolute;left:46929;top:5683;width:13032;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" adj="17280" fillcolor="#3ca1bc [3203]" strokecolor="white [3201]" strokeweight="2pt">
                    <v:stroke startarrowwidth="narrow" startarrowlength="short" endarrowwidth="narrow" endarrowlength="short" joinstyle="round"/>
                    <v:textbox inset="2.53958mm,2.53958mm,2.53958mm,2.53958mm">
                      <w:txbxContent>
                        <w:p w14:paraId="54B923CD" w14:textId="77777777" w:rsidR="0006359E" w:rsidRPr="00AF2C45" w:rsidRDefault="0006359E" w:rsidP="0006359E">
                          <w:pPr>
                            <w:spacing w:after="0"/>
                            <w:jc w:val="left"/>
                            <w:textDirection w:val="btLr"/>
                            <w:rPr>
                              <w:b/>
                              <w:bCs/>
                              <w:color w:val="FFFFFF" w:themeColor="background1"/>
                              <w:sz w:val="14"/>
                              <w:szCs w:val="14"/>
                            </w:rPr>
                          </w:pPr>
                        </w:p>
                      </w:txbxContent>
                    </v:textbox>
                  </v:shape>
                  <v:shape id="Text Box 25609" o:spid="_x0000_s1038" type="#_x0000_t202" style="position:absolute;left:49535;top:5683;width:7819;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" filled="f" stroked="f">
                    <v:textbox inset=".77778mm,.25903mm,.25903mm,.25903mm">
                      <w:txbxContent>
                        <w:p w14:paraId="5D9F4B09" w14:textId="77777777" w:rsidR="0006359E" w:rsidRPr="00AF2C45" w:rsidRDefault="0006359E" w:rsidP="0006359E">
                          <w:pPr>
                            <w:spacing w:after="0" w:line="215" w:lineRule="auto"/>
                            <w:jc w:val="center"/>
                            <w:textDirection w:val="btLr"/>
                            <w:rPr>
                              <w:b/>
                              <w:bCs/>
                              <w:color w:val="FFFFFF" w:themeColor="background1"/>
                              <w:sz w:val="14"/>
                              <w:szCs w:val="14"/>
                            </w:rPr>
                          </w:pPr>
                          <w:r w:rsidRPr="00AF2C45">
                            <w:rPr>
                              <w:b/>
                              <w:bCs/>
                              <w:color w:val="FFFFFF" w:themeColor="background1"/>
                              <w:sz w:val="14"/>
                              <w:szCs w:val="14"/>
                            </w:rPr>
                            <w:t xml:space="preserve"> Capacitate administrativă ridicată și servicii publice de calitate și competitive </w:t>
                          </w:r>
                        </w:p>
                      </w:txbxContent>
                    </v:textbox>
                  </v:shape>
                </v:group>
                <w10:anchorlock/>
              </v:group>
            </w:pict>
          </mc:Fallback>
        </mc:AlternateContent>
      </w:r>
    </w:p>
    <w:p w14:paraId="2CE7654C" w14:textId="77777777" w:rsidR="0006359E" w:rsidRPr="00F171A3" w:rsidRDefault="0006359E" w:rsidP="0006359E">
      <w:r w:rsidRPr="00F171A3">
        <w:t xml:space="preserve">Termenul de capacitatea administrativă se referă astfel la o utilizare eficientă a resurselor disponibile la nivelul autorității publice locale și instituirea unui management eficient și transparent bazat pe proceduri clare și transparente de funcționare. Astfel, administrația locală își poate îndeplini cu succes competențele stabilite prin lege, atingerea obiectivele propuse și furniza servicii publice competitive și de calitate.   </w:t>
      </w:r>
    </w:p>
    <w:p w14:paraId="4425D4E6" w14:textId="77777777" w:rsidR="0006359E" w:rsidRPr="00F171A3" w:rsidRDefault="0006359E" w:rsidP="0006359E">
      <w:pPr>
        <w:rPr>
          <w:i/>
        </w:rPr>
      </w:pPr>
      <w:r w:rsidRPr="00F171A3">
        <w:t xml:space="preserve"> În România, Ordonanța de Urgență nr. 57 din 3 iulie 2019 privind Codul administrativ reglementează </w:t>
      </w:r>
      <w:r w:rsidRPr="00F171A3">
        <w:rPr>
          <w:i/>
        </w:rPr>
        <w:t>„cadrul general pentru organizarea și funcționarea autorităților și instituțiilor administrației publice, statutul personalului din cadrul acestora, răspunderea administrativă, serviciile publice, precum și unele reguli specifice privind proprietatea publică și privată a statului și a unităților administrativ-teritoriale”.</w:t>
      </w:r>
    </w:p>
    <w:p w14:paraId="7A654F8C" w14:textId="77777777" w:rsidR="0006359E" w:rsidRPr="00F171A3" w:rsidRDefault="0006359E" w:rsidP="0006359E">
      <w:r w:rsidRPr="00F171A3">
        <w:t xml:space="preserve">Codul Administrativ definește instituția primăriei ca o </w:t>
      </w:r>
      <w:r w:rsidRPr="00F171A3">
        <w:rPr>
          <w:i/>
        </w:rPr>
        <w:t>„structură funcțională fără personalitate juridică și fără capacitate procesuală, cu activitate permanentă, care duce la îndeplinire hotărârile autorității deliberative și dispozițiile autorității executive, soluționând problemele curente ale colectivității locale, constituită din: primar, viceprimar, administratorul public, consilierii primarului sau persoanele încadrate la cabinetul primarului și aparatul de specialitate al primarului”.</w:t>
      </w:r>
      <w:r w:rsidRPr="00F171A3">
        <w:t xml:space="preserve"> </w:t>
      </w:r>
    </w:p>
    <w:p w14:paraId="1BA99F74" w14:textId="77777777" w:rsidR="0006359E" w:rsidRPr="00F171A3" w:rsidRDefault="0006359E" w:rsidP="0006359E">
      <w:r w:rsidRPr="00F171A3">
        <w:t xml:space="preserve">Aparatul de specialitate al primarului, unitate cheie în interiorul proceselor de guvernare la nivel local, este definit ca </w:t>
      </w:r>
      <w:r w:rsidRPr="00F171A3">
        <w:rPr>
          <w:i/>
        </w:rPr>
        <w:t>„totalitatea compartimentelor funcționale, fără personalitate juridică, de la nivelul unității/subdiviziunii administrativ-teritoriale, precum și secretarul general al unității/subdiviziunii administrativ-teritoriale”.</w:t>
      </w:r>
      <w:r w:rsidRPr="00F171A3">
        <w:t xml:space="preserve"> Din punct de vedere operațional, Consiliul local al municipiului are funcția de inițiativă și hotărăște, în condițiile enunțate de cadrul legal în vigoare, în toate problemele de interes local, cu excepția celor care sunt date prin lege în competența altor autorități. </w:t>
      </w:r>
    </w:p>
    <w:p w14:paraId="5556E6B4" w14:textId="67047B3B" w:rsidR="0006359E" w:rsidRPr="00F171A3" w:rsidRDefault="0006359E" w:rsidP="0006359E">
      <w:r w:rsidRPr="00F171A3">
        <w:t xml:space="preserve">Astfel, procesul de inițiere, implementare și evaluare a unei politici publice locale se realizează de către Consiliul local și Aparatul de specialitate al primarului. Cele două structuri au un rol cheie în îndeplinirea viziunii, obiectivelor generale și strategiilor adoptate de către autoritatea publică. În definirea politicilor publice locale, personalul aparatului de specialitate și consilierii locali pot organiza consultări publice la care participă cetățeni, reprezentanți ai mediului de afaceri, asociații legal constituite sau grupurilor civice. </w:t>
      </w:r>
    </w:p>
    <w:p w14:paraId="31F8769A" w14:textId="77777777" w:rsidR="00507C46" w:rsidRPr="00F171A3" w:rsidRDefault="00507C46" w:rsidP="0006359E"/>
    <w:p w14:paraId="01DD5EC3" w14:textId="77777777" w:rsidR="0006359E" w:rsidRPr="00F171A3" w:rsidRDefault="0006359E" w:rsidP="0006359E">
      <w:pPr>
        <w:pStyle w:val="Heading3"/>
        <w:rPr>
          <w:lang w:val="ro-RO"/>
        </w:rPr>
      </w:pPr>
      <w:bookmarkStart w:id="305" w:name="_heading=h.33zd5kd" w:colFirst="0" w:colLast="0"/>
      <w:bookmarkStart w:id="306" w:name="_Toc114505904"/>
      <w:bookmarkStart w:id="307" w:name="_Toc127199296"/>
      <w:bookmarkEnd w:id="305"/>
      <w:r w:rsidRPr="00F171A3">
        <w:rPr>
          <w:lang w:val="ro-RO"/>
        </w:rPr>
        <w:t>ANALIZA MEDIULUI INTERN</w:t>
      </w:r>
      <w:bookmarkEnd w:id="306"/>
      <w:bookmarkEnd w:id="307"/>
    </w:p>
    <w:p w14:paraId="24890A60" w14:textId="1F22BBC6" w:rsidR="0006359E" w:rsidRPr="00F171A3" w:rsidRDefault="001E0A0F" w:rsidP="001E0A0F">
      <w:pPr>
        <w:pStyle w:val="Heading4"/>
      </w:pPr>
      <w:bookmarkStart w:id="308" w:name="_heading=h.1j4nfs6" w:colFirst="0" w:colLast="0"/>
      <w:bookmarkStart w:id="309" w:name="_Toc114505905"/>
      <w:bookmarkEnd w:id="308"/>
      <w:r w:rsidRPr="00F171A3">
        <w:t>RESURSE UMANE</w:t>
      </w:r>
      <w:bookmarkEnd w:id="309"/>
    </w:p>
    <w:p w14:paraId="385FCCCF" w14:textId="738E486B" w:rsidR="0006359E" w:rsidRPr="00F171A3" w:rsidRDefault="0006359E" w:rsidP="0006359E">
      <w:r w:rsidRPr="00F171A3">
        <w:t>Managementul resursei umane este o dimensiune cheie în îmbunătățirea continuă a serviciilor oferite de Primăria Sector</w:t>
      </w:r>
      <w:r w:rsidR="00F53B80" w:rsidRPr="00F171A3">
        <w:t>ului</w:t>
      </w:r>
      <w:r w:rsidRPr="00F171A3">
        <w:t xml:space="preserve"> 2 și instituțiilor sub autoritatea Consiliului local Sector 2, asigurarea unei calități ridicate a vieții urbane și menținerea unui grad de satisfacție ridicat al cetățenilor. </w:t>
      </w:r>
    </w:p>
    <w:p w14:paraId="4E40FA10" w14:textId="449060FB" w:rsidR="0006359E" w:rsidRPr="00F171A3" w:rsidRDefault="0006359E" w:rsidP="0006359E">
      <w:r w:rsidRPr="00F171A3">
        <w:t>Un corp profesionist de funcționari publici și personal contractual, cu un nivel ridicat de competențe, ce beneficiază de programe de formare continuă în raport cu nevoile identificate la nivel individual și instituțional, și caracterizat de transparență, integritate și etică, poate asigura îndeplinirea viziunii și obiectivelor strategice asumate de Primăria Sector</w:t>
      </w:r>
      <w:r w:rsidR="00F53B80" w:rsidRPr="00F171A3">
        <w:t>ului</w:t>
      </w:r>
      <w:r w:rsidRPr="00F171A3">
        <w:t xml:space="preserve"> 2. Astfel, la modul general, managementul resursei umane se referă la acea paletă de strategii, activități, proceduri sau programe de formare care permit îmbunătățirea performanțelor individuale, colective și organizaționale ale personalului.  </w:t>
      </w:r>
    </w:p>
    <w:p w14:paraId="2DC621FD" w14:textId="77777777" w:rsidR="0006359E" w:rsidRPr="00F171A3" w:rsidRDefault="0006359E" w:rsidP="0006359E">
      <w:r w:rsidRPr="00F171A3">
        <w:t>Obiectivul cheie pentru un management eficient al personalului este acela de a susține principiile bunei guvernări, asigura funcționarea în parametri optimi a activităților autorității locale, îndeplini obiectivele asumate și susține dezvoltarea sustenabilă a unității administrativ-teritoriale. Modul în care personalul instituției este recrutat, format și rolurile care i se oferă trebuie să țină cont de cele mai bune practici la nivel național și european. Un proces eficient de management al resursei umane trebuie să includă:</w:t>
      </w:r>
    </w:p>
    <w:tbl>
      <w:tblPr>
        <w:tblStyle w:val="ListTable3-Accent21"/>
        <w:tblW w:w="94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Look w:val="0420" w:firstRow="1" w:lastRow="0" w:firstColumn="0" w:lastColumn="0" w:noHBand="0" w:noVBand="1"/>
      </w:tblPr>
      <w:tblGrid>
        <w:gridCol w:w="9436"/>
      </w:tblGrid>
      <w:tr w:rsidR="0006359E" w:rsidRPr="00F171A3" w14:paraId="57EFE029" w14:textId="77777777" w:rsidTr="00507C46">
        <w:trPr>
          <w:cnfStyle w:val="100000000000" w:firstRow="1" w:lastRow="0" w:firstColumn="0" w:lastColumn="0" w:oddVBand="0" w:evenVBand="0" w:oddHBand="0" w:evenHBand="0" w:firstRowFirstColumn="0" w:firstRowLastColumn="0" w:lastRowFirstColumn="0" w:lastRowLastColumn="0"/>
          <w:trHeight w:val="144"/>
        </w:trPr>
        <w:tc>
          <w:tcPr>
            <w:tcW w:w="9436" w:type="dxa"/>
            <w:shd w:val="clear" w:color="auto" w:fill="134753" w:themeFill="text2"/>
          </w:tcPr>
          <w:p w14:paraId="2512A926" w14:textId="77777777" w:rsidR="0006359E" w:rsidRPr="00F171A3" w:rsidRDefault="0006359E" w:rsidP="00F31936">
            <w:pPr>
              <w:jc w:val="center"/>
              <w:rPr>
                <w:sz w:val="20"/>
                <w:szCs w:val="20"/>
              </w:rPr>
            </w:pPr>
            <w:r w:rsidRPr="00F171A3">
              <w:rPr>
                <w:sz w:val="20"/>
                <w:szCs w:val="20"/>
              </w:rPr>
              <w:t>PROCESE DE BUNĂ PRACTICĂ LA NIVELUL MANAGEMENTULUI RESURSEI UMANE</w:t>
            </w:r>
          </w:p>
        </w:tc>
      </w:tr>
      <w:tr w:rsidR="0006359E" w:rsidRPr="00F171A3" w14:paraId="057A4F7C" w14:textId="77777777" w:rsidTr="00507C46">
        <w:trPr>
          <w:cnfStyle w:val="000000100000" w:firstRow="0" w:lastRow="0" w:firstColumn="0" w:lastColumn="0" w:oddVBand="0" w:evenVBand="0" w:oddHBand="1" w:evenHBand="0" w:firstRowFirstColumn="0" w:firstRowLastColumn="0" w:lastRowFirstColumn="0" w:lastRowLastColumn="0"/>
          <w:trHeight w:val="144"/>
        </w:trPr>
        <w:tc>
          <w:tcPr>
            <w:tcW w:w="9436" w:type="dxa"/>
            <w:tcBorders>
              <w:top w:val="none" w:sz="0" w:space="0" w:color="auto"/>
              <w:bottom w:val="none" w:sz="0" w:space="0" w:color="auto"/>
            </w:tcBorders>
            <w:shd w:val="clear" w:color="auto" w:fill="F2F2F2" w:themeFill="background1" w:themeFillShade="F2"/>
          </w:tcPr>
          <w:p w14:paraId="28775811" w14:textId="77777777" w:rsidR="0006359E" w:rsidRPr="00F171A3" w:rsidRDefault="0006359E">
            <w:pPr>
              <w:numPr>
                <w:ilvl w:val="0"/>
                <w:numId w:val="40"/>
              </w:numPr>
              <w:pBdr>
                <w:top w:val="nil"/>
                <w:left w:val="nil"/>
                <w:bottom w:val="nil"/>
                <w:right w:val="nil"/>
                <w:between w:val="nil"/>
              </w:pBdr>
              <w:spacing w:after="60"/>
              <w:rPr>
                <w:rFonts w:ascii="Calibri" w:eastAsia="Calibri" w:hAnsi="Calibri" w:cs="Calibri"/>
                <w:b/>
                <w:color w:val="000000"/>
                <w:sz w:val="20"/>
                <w:szCs w:val="20"/>
              </w:rPr>
            </w:pPr>
            <w:r w:rsidRPr="00F171A3">
              <w:rPr>
                <w:color w:val="000000"/>
                <w:sz w:val="20"/>
                <w:szCs w:val="20"/>
              </w:rPr>
              <w:t xml:space="preserve">Organigramă care să corespundă nevoilor instituției, viziunii si obiectivelor de dezvoltare; </w:t>
            </w:r>
          </w:p>
        </w:tc>
      </w:tr>
      <w:tr w:rsidR="0006359E" w:rsidRPr="00F171A3" w14:paraId="21F1133A" w14:textId="77777777" w:rsidTr="00507C46">
        <w:trPr>
          <w:trHeight w:val="144"/>
        </w:trPr>
        <w:tc>
          <w:tcPr>
            <w:tcW w:w="9436" w:type="dxa"/>
            <w:shd w:val="clear" w:color="auto" w:fill="F2F2F2" w:themeFill="background1" w:themeFillShade="F2"/>
          </w:tcPr>
          <w:p w14:paraId="4047EA37" w14:textId="77777777" w:rsidR="0006359E" w:rsidRPr="00F171A3" w:rsidRDefault="0006359E">
            <w:pPr>
              <w:numPr>
                <w:ilvl w:val="0"/>
                <w:numId w:val="40"/>
              </w:numPr>
              <w:pBdr>
                <w:top w:val="nil"/>
                <w:left w:val="nil"/>
                <w:bottom w:val="nil"/>
                <w:right w:val="nil"/>
                <w:between w:val="nil"/>
              </w:pBdr>
              <w:spacing w:after="60"/>
              <w:rPr>
                <w:rFonts w:ascii="Calibri" w:eastAsia="Calibri" w:hAnsi="Calibri" w:cs="Calibri"/>
                <w:b/>
                <w:color w:val="000000"/>
                <w:sz w:val="20"/>
                <w:szCs w:val="20"/>
              </w:rPr>
            </w:pPr>
            <w:r w:rsidRPr="00F171A3">
              <w:rPr>
                <w:color w:val="000000"/>
                <w:sz w:val="20"/>
                <w:szCs w:val="20"/>
              </w:rPr>
              <w:t xml:space="preserve">Roluri și responsabilități bine definite pentru personal prin planificarea si elaborarea fișelor de post; </w:t>
            </w:r>
          </w:p>
        </w:tc>
      </w:tr>
      <w:tr w:rsidR="0006359E" w:rsidRPr="00F171A3" w14:paraId="71AB7660" w14:textId="77777777" w:rsidTr="00507C46">
        <w:trPr>
          <w:cnfStyle w:val="000000100000" w:firstRow="0" w:lastRow="0" w:firstColumn="0" w:lastColumn="0" w:oddVBand="0" w:evenVBand="0" w:oddHBand="1" w:evenHBand="0" w:firstRowFirstColumn="0" w:firstRowLastColumn="0" w:lastRowFirstColumn="0" w:lastRowLastColumn="0"/>
          <w:trHeight w:val="144"/>
        </w:trPr>
        <w:tc>
          <w:tcPr>
            <w:tcW w:w="9436" w:type="dxa"/>
            <w:tcBorders>
              <w:top w:val="none" w:sz="0" w:space="0" w:color="auto"/>
              <w:bottom w:val="none" w:sz="0" w:space="0" w:color="auto"/>
            </w:tcBorders>
            <w:shd w:val="clear" w:color="auto" w:fill="F2F2F2" w:themeFill="background1" w:themeFillShade="F2"/>
          </w:tcPr>
          <w:p w14:paraId="387B6A58" w14:textId="77777777" w:rsidR="0006359E" w:rsidRPr="00F171A3" w:rsidRDefault="0006359E">
            <w:pPr>
              <w:numPr>
                <w:ilvl w:val="0"/>
                <w:numId w:val="40"/>
              </w:numPr>
              <w:pBdr>
                <w:top w:val="nil"/>
                <w:left w:val="nil"/>
                <w:bottom w:val="nil"/>
                <w:right w:val="nil"/>
                <w:between w:val="nil"/>
              </w:pBdr>
              <w:spacing w:after="60"/>
              <w:rPr>
                <w:rFonts w:ascii="Calibri" w:eastAsia="Calibri" w:hAnsi="Calibri" w:cs="Calibri"/>
                <w:b/>
                <w:color w:val="000000"/>
                <w:sz w:val="20"/>
                <w:szCs w:val="20"/>
              </w:rPr>
            </w:pPr>
            <w:r w:rsidRPr="00F171A3">
              <w:rPr>
                <w:color w:val="000000"/>
                <w:sz w:val="20"/>
                <w:szCs w:val="20"/>
              </w:rPr>
              <w:t>Strategie de resurse umane, aplicată în mod consecvent, și o politică de formare a personalului;</w:t>
            </w:r>
          </w:p>
        </w:tc>
      </w:tr>
      <w:tr w:rsidR="0006359E" w:rsidRPr="00F171A3" w14:paraId="6383D8AB" w14:textId="77777777" w:rsidTr="00507C46">
        <w:trPr>
          <w:trHeight w:val="144"/>
        </w:trPr>
        <w:tc>
          <w:tcPr>
            <w:tcW w:w="9436" w:type="dxa"/>
            <w:shd w:val="clear" w:color="auto" w:fill="F2F2F2" w:themeFill="background1" w:themeFillShade="F2"/>
          </w:tcPr>
          <w:p w14:paraId="59E93ADB" w14:textId="77777777" w:rsidR="0006359E" w:rsidRPr="00F171A3" w:rsidRDefault="0006359E">
            <w:pPr>
              <w:numPr>
                <w:ilvl w:val="0"/>
                <w:numId w:val="40"/>
              </w:numPr>
              <w:pBdr>
                <w:top w:val="nil"/>
                <w:left w:val="nil"/>
                <w:bottom w:val="nil"/>
                <w:right w:val="nil"/>
                <w:between w:val="nil"/>
              </w:pBdr>
              <w:spacing w:after="60"/>
              <w:rPr>
                <w:rFonts w:ascii="Calibri" w:eastAsia="Calibri" w:hAnsi="Calibri" w:cs="Calibri"/>
                <w:b/>
                <w:color w:val="000000"/>
                <w:sz w:val="20"/>
                <w:szCs w:val="20"/>
              </w:rPr>
            </w:pPr>
            <w:r w:rsidRPr="00F171A3">
              <w:rPr>
                <w:color w:val="000000"/>
                <w:sz w:val="20"/>
                <w:szCs w:val="20"/>
              </w:rPr>
              <w:t xml:space="preserve">Sistem transparent și bazat pe indicatori de performanță pentru recrutarea, selectarea și promovarea personalului; </w:t>
            </w:r>
          </w:p>
        </w:tc>
      </w:tr>
      <w:tr w:rsidR="0006359E" w:rsidRPr="00F171A3" w14:paraId="54512029" w14:textId="77777777" w:rsidTr="00507C46">
        <w:trPr>
          <w:cnfStyle w:val="000000100000" w:firstRow="0" w:lastRow="0" w:firstColumn="0" w:lastColumn="0" w:oddVBand="0" w:evenVBand="0" w:oddHBand="1" w:evenHBand="0" w:firstRowFirstColumn="0" w:firstRowLastColumn="0" w:lastRowFirstColumn="0" w:lastRowLastColumn="0"/>
          <w:trHeight w:val="144"/>
        </w:trPr>
        <w:tc>
          <w:tcPr>
            <w:tcW w:w="9436" w:type="dxa"/>
            <w:tcBorders>
              <w:top w:val="none" w:sz="0" w:space="0" w:color="auto"/>
              <w:bottom w:val="none" w:sz="0" w:space="0" w:color="auto"/>
            </w:tcBorders>
            <w:shd w:val="clear" w:color="auto" w:fill="F2F2F2" w:themeFill="background1" w:themeFillShade="F2"/>
          </w:tcPr>
          <w:p w14:paraId="541C14A7" w14:textId="77777777" w:rsidR="0006359E" w:rsidRPr="00F171A3" w:rsidRDefault="0006359E">
            <w:pPr>
              <w:numPr>
                <w:ilvl w:val="0"/>
                <w:numId w:val="40"/>
              </w:numPr>
              <w:pBdr>
                <w:top w:val="nil"/>
                <w:left w:val="nil"/>
                <w:bottom w:val="nil"/>
                <w:right w:val="nil"/>
                <w:between w:val="nil"/>
              </w:pBdr>
              <w:spacing w:after="60"/>
              <w:rPr>
                <w:rFonts w:ascii="Calibri" w:eastAsia="Calibri" w:hAnsi="Calibri" w:cs="Calibri"/>
                <w:b/>
                <w:color w:val="000000"/>
                <w:sz w:val="20"/>
                <w:szCs w:val="20"/>
              </w:rPr>
            </w:pPr>
            <w:r w:rsidRPr="00F171A3">
              <w:rPr>
                <w:color w:val="000000"/>
                <w:sz w:val="20"/>
                <w:szCs w:val="20"/>
              </w:rPr>
              <w:t xml:space="preserve">Evaluarea adecvată și obiectivă a performanțelor individuale și colective ale personalului; </w:t>
            </w:r>
          </w:p>
        </w:tc>
      </w:tr>
      <w:tr w:rsidR="0006359E" w:rsidRPr="00F171A3" w14:paraId="3C883349" w14:textId="77777777" w:rsidTr="00507C46">
        <w:trPr>
          <w:trHeight w:val="144"/>
        </w:trPr>
        <w:tc>
          <w:tcPr>
            <w:tcW w:w="9436" w:type="dxa"/>
            <w:shd w:val="clear" w:color="auto" w:fill="F2F2F2" w:themeFill="background1" w:themeFillShade="F2"/>
          </w:tcPr>
          <w:p w14:paraId="474BA866" w14:textId="77777777" w:rsidR="0006359E" w:rsidRPr="00F171A3" w:rsidRDefault="0006359E">
            <w:pPr>
              <w:numPr>
                <w:ilvl w:val="0"/>
                <w:numId w:val="40"/>
              </w:numPr>
              <w:pBdr>
                <w:top w:val="nil"/>
                <w:left w:val="nil"/>
                <w:bottom w:val="nil"/>
                <w:right w:val="nil"/>
                <w:between w:val="nil"/>
              </w:pBdr>
              <w:spacing w:after="60"/>
              <w:rPr>
                <w:rFonts w:ascii="Calibri" w:eastAsia="Calibri" w:hAnsi="Calibri" w:cs="Calibri"/>
                <w:b/>
                <w:color w:val="000000"/>
                <w:sz w:val="20"/>
                <w:szCs w:val="20"/>
              </w:rPr>
            </w:pPr>
            <w:r w:rsidRPr="00F171A3">
              <w:rPr>
                <w:color w:val="000000"/>
                <w:sz w:val="20"/>
                <w:szCs w:val="20"/>
              </w:rPr>
              <w:t>Strategie de evaluare a managementului resursei umane și un sistem de control adecvat;</w:t>
            </w:r>
          </w:p>
        </w:tc>
      </w:tr>
      <w:tr w:rsidR="0006359E" w:rsidRPr="00F171A3" w14:paraId="1D129F6E" w14:textId="77777777" w:rsidTr="00507C46">
        <w:trPr>
          <w:cnfStyle w:val="000000100000" w:firstRow="0" w:lastRow="0" w:firstColumn="0" w:lastColumn="0" w:oddVBand="0" w:evenVBand="0" w:oddHBand="1" w:evenHBand="0" w:firstRowFirstColumn="0" w:firstRowLastColumn="0" w:lastRowFirstColumn="0" w:lastRowLastColumn="0"/>
          <w:trHeight w:val="144"/>
        </w:trPr>
        <w:tc>
          <w:tcPr>
            <w:tcW w:w="9436" w:type="dxa"/>
            <w:tcBorders>
              <w:top w:val="none" w:sz="0" w:space="0" w:color="auto"/>
              <w:bottom w:val="none" w:sz="0" w:space="0" w:color="auto"/>
            </w:tcBorders>
            <w:shd w:val="clear" w:color="auto" w:fill="F2F2F2" w:themeFill="background1" w:themeFillShade="F2"/>
          </w:tcPr>
          <w:p w14:paraId="50245661" w14:textId="77777777" w:rsidR="0006359E" w:rsidRPr="00F171A3" w:rsidRDefault="0006359E">
            <w:pPr>
              <w:numPr>
                <w:ilvl w:val="0"/>
                <w:numId w:val="40"/>
              </w:numPr>
              <w:pBdr>
                <w:top w:val="nil"/>
                <w:left w:val="nil"/>
                <w:bottom w:val="nil"/>
                <w:right w:val="nil"/>
                <w:between w:val="nil"/>
              </w:pBdr>
              <w:spacing w:after="60"/>
              <w:rPr>
                <w:rFonts w:ascii="Calibri" w:eastAsia="Calibri" w:hAnsi="Calibri" w:cs="Calibri"/>
                <w:b/>
                <w:color w:val="000000"/>
                <w:sz w:val="20"/>
                <w:szCs w:val="20"/>
              </w:rPr>
            </w:pPr>
            <w:r w:rsidRPr="00F171A3">
              <w:rPr>
                <w:color w:val="000000"/>
                <w:sz w:val="20"/>
                <w:szCs w:val="20"/>
              </w:rPr>
              <w:t xml:space="preserve">Independență politică în managementul resursei umane. </w:t>
            </w:r>
          </w:p>
        </w:tc>
      </w:tr>
      <w:tr w:rsidR="0006359E" w:rsidRPr="00F171A3" w14:paraId="023FAFFD" w14:textId="77777777" w:rsidTr="00507C46">
        <w:trPr>
          <w:trHeight w:val="144"/>
        </w:trPr>
        <w:tc>
          <w:tcPr>
            <w:tcW w:w="9436" w:type="dxa"/>
            <w:shd w:val="clear" w:color="auto" w:fill="F2F2F2" w:themeFill="background1" w:themeFillShade="F2"/>
          </w:tcPr>
          <w:p w14:paraId="6E7B10C8" w14:textId="77777777" w:rsidR="0006359E" w:rsidRPr="00F171A3" w:rsidRDefault="0006359E">
            <w:pPr>
              <w:numPr>
                <w:ilvl w:val="0"/>
                <w:numId w:val="40"/>
              </w:numPr>
              <w:pBdr>
                <w:top w:val="nil"/>
                <w:left w:val="nil"/>
                <w:bottom w:val="nil"/>
                <w:right w:val="nil"/>
                <w:between w:val="nil"/>
              </w:pBdr>
              <w:spacing w:after="60"/>
              <w:rPr>
                <w:rFonts w:ascii="Calibri" w:eastAsia="Calibri" w:hAnsi="Calibri" w:cs="Calibri"/>
                <w:b/>
                <w:color w:val="000000"/>
                <w:sz w:val="20"/>
                <w:szCs w:val="20"/>
              </w:rPr>
            </w:pPr>
            <w:r w:rsidRPr="00F171A3">
              <w:rPr>
                <w:color w:val="000000"/>
                <w:sz w:val="20"/>
                <w:szCs w:val="20"/>
              </w:rPr>
              <w:t xml:space="preserve">Respectarea principiilor privind egalitatea de șanse. </w:t>
            </w:r>
          </w:p>
        </w:tc>
      </w:tr>
    </w:tbl>
    <w:p w14:paraId="560939C8" w14:textId="77777777" w:rsidR="0006359E" w:rsidRPr="00F171A3" w:rsidRDefault="0006359E" w:rsidP="0006359E">
      <w:pPr>
        <w:spacing w:before="240"/>
      </w:pPr>
      <w:r w:rsidRPr="00F171A3">
        <w:t xml:space="preserve">În conturarea unei politici de management a resursei umane, autoritatea publică locală trebuie să identifice acele etape necesare pentru consolidarea și profesionalizarea personalului instituției. Politica de personal trebuie să impună proceduri standard și adaptate nevoilor instituției și priorităților de dezvoltare privind (1) recrutarea și selectarea personalului, (2) îmbunătățirea continuă a corpului de funcționari publici și personal contractual, (3) proceduri privind managementul carierei, satisfacția și motivația personalului și (4) orientarea serviciilor publice oferite către beneficiarul final. </w:t>
      </w:r>
    </w:p>
    <w:p w14:paraId="3AFA8579" w14:textId="398BE8AC" w:rsidR="0006359E" w:rsidRPr="00F171A3" w:rsidRDefault="0006359E" w:rsidP="0006359E">
      <w:pPr>
        <w:rPr>
          <w:highlight w:val="yellow"/>
        </w:rPr>
      </w:pPr>
      <w:r w:rsidRPr="00F171A3">
        <w:t>Acest subcapitol prezintă și analizează structura de resurse umane de la nivelul Primăriei Sector</w:t>
      </w:r>
      <w:r w:rsidR="00F53B80" w:rsidRPr="00F171A3">
        <w:t>ului</w:t>
      </w:r>
      <w:r w:rsidRPr="00F171A3">
        <w:t xml:space="preserve"> 2, luând în considerare datele disponibile privind aparatul de specialitate, din considerentele enunțate anterior, dar va lista și prezenta și instituțiile sub autoritatea Consiliului Local Sector 2. Astfel, deși analiza va avea în centrul său aparatul de specialitate al primarului, aceasta va include elemente generale privind (1) managementul resursei umane și mobilitatea personalului, (2) vechimea, gradul profesional și gradul de ocupare al posturilor, (3) planul de formare al resursei umane și corelarea cu nevoile de la nivel instituțional (4) gradul de cunoaștere de către personal a obiectivelor strategice ale instituției și de participare la elaborarea acestora.</w:t>
      </w:r>
      <w:r w:rsidRPr="00F171A3">
        <w:rPr>
          <w:highlight w:val="yellow"/>
        </w:rPr>
        <w:t xml:space="preserve">   </w:t>
      </w:r>
    </w:p>
    <w:p w14:paraId="37DF484D" w14:textId="535B6D63" w:rsidR="0006359E" w:rsidRPr="00F171A3" w:rsidRDefault="0006359E" w:rsidP="0006359E">
      <w:r w:rsidRPr="00F171A3">
        <w:t>La nivelul Primăriei Sector</w:t>
      </w:r>
      <w:r w:rsidR="00F53B80" w:rsidRPr="00F171A3">
        <w:t>ului</w:t>
      </w:r>
      <w:r w:rsidRPr="00F171A3">
        <w:t xml:space="preserve"> 2, organigrama prevede, pe lângă aparatul de specialitate al primarului și Direcția Publică de eEvidență Persoane și Stare Civilă Sector 2 (instituție fără personalitate juridică), o serie de instituții și servicii cu personalitate juridică aflate în subordinea Consiliului Sector 2. Practica creării de servicii publice cu personalitate juridică este comună la nivelul administrațiilor publice locale și are de multe ori obiectivul eficientizării activității acestora prin comasarea sau preluarea mai multor servicii publice. </w:t>
      </w:r>
    </w:p>
    <w:p w14:paraId="0BE5878B" w14:textId="77777777" w:rsidR="0006359E" w:rsidRPr="00F171A3" w:rsidRDefault="0006359E" w:rsidP="0006359E">
      <w:r w:rsidRPr="00F171A3">
        <w:t xml:space="preserve">Noua organigramă a fost aprobată la data de 31 martie 2022, după un proces ce a presupus un audit la nivelul instituției, cu ajutor unui consultant extern, dar și un proces colaborativ intern. Propunerile de modificări au fost transmise tuturor structurilor din primărie, cu solicitarea de a oferi recomandări și feedback suplimentar, proces coordonat de Direcția de Resurse Umane. În plus, au existat consultări și cu sindicatul pe baza propunerilor. </w:t>
      </w:r>
    </w:p>
    <w:p w14:paraId="7F8DA39A" w14:textId="77777777" w:rsidR="0006359E" w:rsidRPr="00F171A3" w:rsidRDefault="0006359E" w:rsidP="0006359E">
      <w:r w:rsidRPr="00F171A3">
        <w:t>Direcțiile, serviciile, birourile și compartimentele care compun aparatul de specialitate al Primarului Sectorului 2 sunt următoarele:</w:t>
      </w:r>
    </w:p>
    <w:p w14:paraId="77CA4F6A" w14:textId="12485472" w:rsidR="0006359E" w:rsidRPr="00F171A3" w:rsidRDefault="00AF2C45" w:rsidP="00AF2C45">
      <w:pPr>
        <w:pStyle w:val="Caption"/>
        <w:rPr>
          <w:b w:val="0"/>
        </w:rPr>
      </w:pPr>
      <w:bookmarkStart w:id="310" w:name="_heading=h.434ayfz" w:colFirst="0" w:colLast="0"/>
      <w:bookmarkStart w:id="311" w:name="_Toc126943289"/>
      <w:bookmarkEnd w:id="310"/>
      <w:r w:rsidRPr="00F171A3">
        <w:t xml:space="preserve">Tabel </w:t>
      </w:r>
      <w:r w:rsidRPr="00F171A3">
        <w:fldChar w:fldCharType="begin"/>
      </w:r>
      <w:r w:rsidRPr="00F171A3">
        <w:instrText xml:space="preserve"> SEQ Tabel \* ARABIC </w:instrText>
      </w:r>
      <w:r w:rsidRPr="00F171A3">
        <w:fldChar w:fldCharType="separate"/>
      </w:r>
      <w:r w:rsidR="005A6DD8">
        <w:rPr>
          <w:noProof/>
        </w:rPr>
        <w:t>32</w:t>
      </w:r>
      <w:r w:rsidRPr="00F171A3">
        <w:fldChar w:fldCharType="end"/>
      </w:r>
      <w:r w:rsidRPr="00F171A3">
        <w:t xml:space="preserve"> </w:t>
      </w:r>
      <w:r w:rsidR="0006359E" w:rsidRPr="00F171A3">
        <w:t>Structură organizatorică Primăria Sector</w:t>
      </w:r>
      <w:r w:rsidR="00F53B80" w:rsidRPr="00F171A3">
        <w:t>ului</w:t>
      </w:r>
      <w:r w:rsidR="0006359E" w:rsidRPr="00F171A3">
        <w:t xml:space="preserve"> 2</w:t>
      </w:r>
      <w:bookmarkEnd w:id="311"/>
    </w:p>
    <w:tbl>
      <w:tblPr>
        <w:tblStyle w:val="ListTable3-Accent21"/>
        <w:tblW w:w="96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4101"/>
        <w:gridCol w:w="5571"/>
      </w:tblGrid>
      <w:tr w:rsidR="0006359E" w:rsidRPr="00F171A3" w14:paraId="1A2C2F8E" w14:textId="77777777" w:rsidTr="00507C46">
        <w:trPr>
          <w:cnfStyle w:val="100000000000" w:firstRow="1" w:lastRow="0" w:firstColumn="0" w:lastColumn="0" w:oddVBand="0" w:evenVBand="0" w:oddHBand="0" w:evenHBand="0" w:firstRowFirstColumn="0" w:firstRowLastColumn="0" w:lastRowFirstColumn="0" w:lastRowLastColumn="0"/>
          <w:trHeight w:val="236"/>
        </w:trPr>
        <w:tc>
          <w:tcPr>
            <w:tcW w:w="9672" w:type="dxa"/>
            <w:gridSpan w:val="2"/>
          </w:tcPr>
          <w:p w14:paraId="27559B1B" w14:textId="77777777" w:rsidR="0006359E" w:rsidRPr="00F171A3" w:rsidRDefault="0006359E" w:rsidP="00F31936">
            <w:pPr>
              <w:jc w:val="center"/>
              <w:rPr>
                <w:sz w:val="20"/>
                <w:szCs w:val="20"/>
              </w:rPr>
            </w:pPr>
            <w:r w:rsidRPr="00F171A3">
              <w:rPr>
                <w:sz w:val="20"/>
                <w:szCs w:val="20"/>
              </w:rPr>
              <w:t>STRUCTURĂ ORGANIZATORICĂ</w:t>
            </w:r>
          </w:p>
        </w:tc>
      </w:tr>
      <w:tr w:rsidR="0006359E" w:rsidRPr="00F171A3" w14:paraId="2EB8A50E"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2C291EC6" w14:textId="77777777" w:rsidR="0006359E" w:rsidRPr="00F171A3" w:rsidRDefault="0006359E" w:rsidP="00F31936">
            <w:pPr>
              <w:jc w:val="left"/>
              <w:rPr>
                <w:sz w:val="20"/>
                <w:szCs w:val="20"/>
              </w:rPr>
            </w:pPr>
            <w:r w:rsidRPr="00F171A3">
              <w:rPr>
                <w:sz w:val="20"/>
                <w:szCs w:val="20"/>
              </w:rPr>
              <w:t xml:space="preserve">1.SECRETARUL GENERAL AL SECTORULUI 2 </w:t>
            </w:r>
          </w:p>
        </w:tc>
        <w:tc>
          <w:tcPr>
            <w:tcW w:w="5571" w:type="dxa"/>
            <w:tcBorders>
              <w:top w:val="none" w:sz="0" w:space="0" w:color="auto"/>
              <w:bottom w:val="none" w:sz="0" w:space="0" w:color="auto"/>
            </w:tcBorders>
            <w:shd w:val="clear" w:color="auto" w:fill="F2F2F2" w:themeFill="background1" w:themeFillShade="F2"/>
          </w:tcPr>
          <w:p w14:paraId="408E50A5" w14:textId="77777777" w:rsidR="0006359E" w:rsidRPr="00F171A3" w:rsidRDefault="0006359E" w:rsidP="00F31936">
            <w:pPr>
              <w:jc w:val="center"/>
              <w:rPr>
                <w:sz w:val="20"/>
                <w:szCs w:val="20"/>
              </w:rPr>
            </w:pPr>
          </w:p>
        </w:tc>
      </w:tr>
      <w:tr w:rsidR="0006359E" w:rsidRPr="00F171A3" w14:paraId="15A6021B" w14:textId="77777777" w:rsidTr="00507C46">
        <w:trPr>
          <w:trHeight w:val="236"/>
        </w:trPr>
        <w:tc>
          <w:tcPr>
            <w:tcW w:w="4101" w:type="dxa"/>
            <w:shd w:val="clear" w:color="auto" w:fill="F2F2F2" w:themeFill="background1" w:themeFillShade="F2"/>
          </w:tcPr>
          <w:p w14:paraId="7CA0DF20" w14:textId="77777777" w:rsidR="0006359E" w:rsidRPr="00F171A3" w:rsidRDefault="0006359E" w:rsidP="00F31936">
            <w:pPr>
              <w:jc w:val="left"/>
              <w:rPr>
                <w:sz w:val="20"/>
                <w:szCs w:val="20"/>
              </w:rPr>
            </w:pPr>
            <w:r w:rsidRPr="00F171A3">
              <w:rPr>
                <w:sz w:val="20"/>
                <w:szCs w:val="20"/>
              </w:rPr>
              <w:t xml:space="preserve">2. SERVICIUL CORP CONTROL </w:t>
            </w:r>
          </w:p>
        </w:tc>
        <w:tc>
          <w:tcPr>
            <w:tcW w:w="5571" w:type="dxa"/>
            <w:shd w:val="clear" w:color="auto" w:fill="F2F2F2" w:themeFill="background1" w:themeFillShade="F2"/>
          </w:tcPr>
          <w:p w14:paraId="429CD50C" w14:textId="77777777" w:rsidR="0006359E" w:rsidRPr="00F171A3" w:rsidRDefault="0006359E" w:rsidP="00F31936">
            <w:pPr>
              <w:jc w:val="center"/>
              <w:rPr>
                <w:sz w:val="20"/>
                <w:szCs w:val="20"/>
              </w:rPr>
            </w:pPr>
          </w:p>
        </w:tc>
      </w:tr>
      <w:tr w:rsidR="0006359E" w:rsidRPr="00F171A3" w14:paraId="6ACEE9CE"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1CAB89FF" w14:textId="77777777" w:rsidR="0006359E" w:rsidRPr="00F171A3" w:rsidRDefault="0006359E" w:rsidP="00F31936">
            <w:pPr>
              <w:jc w:val="left"/>
              <w:rPr>
                <w:sz w:val="20"/>
                <w:szCs w:val="20"/>
              </w:rPr>
            </w:pPr>
            <w:r w:rsidRPr="00F171A3">
              <w:rPr>
                <w:sz w:val="20"/>
                <w:szCs w:val="20"/>
              </w:rPr>
              <w:t>3.SERVICIUL MANAGEMENT SITUAȚII DE URGENȚĂ</w:t>
            </w:r>
          </w:p>
        </w:tc>
        <w:tc>
          <w:tcPr>
            <w:tcW w:w="5571" w:type="dxa"/>
            <w:tcBorders>
              <w:top w:val="none" w:sz="0" w:space="0" w:color="auto"/>
              <w:bottom w:val="none" w:sz="0" w:space="0" w:color="auto"/>
            </w:tcBorders>
            <w:shd w:val="clear" w:color="auto" w:fill="F2F2F2" w:themeFill="background1" w:themeFillShade="F2"/>
          </w:tcPr>
          <w:p w14:paraId="7BD9BA59" w14:textId="77777777" w:rsidR="0006359E" w:rsidRPr="00F171A3" w:rsidRDefault="0006359E" w:rsidP="00F31936">
            <w:pPr>
              <w:jc w:val="center"/>
              <w:rPr>
                <w:sz w:val="20"/>
                <w:szCs w:val="20"/>
              </w:rPr>
            </w:pPr>
          </w:p>
        </w:tc>
      </w:tr>
      <w:tr w:rsidR="0006359E" w:rsidRPr="00F171A3" w14:paraId="41B27B67" w14:textId="77777777" w:rsidTr="00507C46">
        <w:trPr>
          <w:trHeight w:val="236"/>
        </w:trPr>
        <w:tc>
          <w:tcPr>
            <w:tcW w:w="4101" w:type="dxa"/>
            <w:shd w:val="clear" w:color="auto" w:fill="F2F2F2" w:themeFill="background1" w:themeFillShade="F2"/>
          </w:tcPr>
          <w:p w14:paraId="1EEC7F3F" w14:textId="77777777" w:rsidR="0006359E" w:rsidRPr="00F171A3" w:rsidRDefault="0006359E" w:rsidP="00F31936">
            <w:pPr>
              <w:jc w:val="left"/>
              <w:rPr>
                <w:sz w:val="20"/>
                <w:szCs w:val="20"/>
              </w:rPr>
            </w:pPr>
            <w:r w:rsidRPr="00F171A3">
              <w:rPr>
                <w:sz w:val="20"/>
                <w:szCs w:val="20"/>
              </w:rPr>
              <w:t>4. DIRECȚIA ECONOMICĂ</w:t>
            </w:r>
          </w:p>
        </w:tc>
        <w:tc>
          <w:tcPr>
            <w:tcW w:w="5571" w:type="dxa"/>
            <w:shd w:val="clear" w:color="auto" w:fill="F2F2F2" w:themeFill="background1" w:themeFillShade="F2"/>
          </w:tcPr>
          <w:p w14:paraId="71DA4DA7" w14:textId="77777777" w:rsidR="0006359E" w:rsidRPr="00F171A3" w:rsidRDefault="0006359E" w:rsidP="00F31936">
            <w:pPr>
              <w:rPr>
                <w:sz w:val="20"/>
                <w:szCs w:val="20"/>
              </w:rPr>
            </w:pPr>
            <w:r w:rsidRPr="00F171A3">
              <w:rPr>
                <w:sz w:val="20"/>
                <w:szCs w:val="20"/>
              </w:rPr>
              <w:t>4.1  Serviciul Contabilitate – financiară</w:t>
            </w:r>
          </w:p>
          <w:p w14:paraId="5EE20198" w14:textId="77777777" w:rsidR="0006359E" w:rsidRPr="00F171A3" w:rsidRDefault="0006359E" w:rsidP="00F31936">
            <w:pPr>
              <w:rPr>
                <w:sz w:val="20"/>
                <w:szCs w:val="20"/>
              </w:rPr>
            </w:pPr>
            <w:r w:rsidRPr="00F171A3">
              <w:rPr>
                <w:sz w:val="20"/>
                <w:szCs w:val="20"/>
              </w:rPr>
              <w:t>4.1.1 Serviciul Buget Local – CFP</w:t>
            </w:r>
          </w:p>
          <w:p w14:paraId="1F63FCDC" w14:textId="77777777" w:rsidR="0006359E" w:rsidRPr="00F171A3" w:rsidRDefault="0006359E" w:rsidP="00F31936">
            <w:pPr>
              <w:rPr>
                <w:sz w:val="20"/>
                <w:szCs w:val="20"/>
              </w:rPr>
            </w:pPr>
            <w:r w:rsidRPr="00F171A3">
              <w:rPr>
                <w:sz w:val="20"/>
                <w:szCs w:val="20"/>
              </w:rPr>
              <w:t>4.1.2 Compartiment CFP</w:t>
            </w:r>
          </w:p>
          <w:p w14:paraId="59E85930" w14:textId="77777777" w:rsidR="0006359E" w:rsidRPr="00F171A3" w:rsidRDefault="0006359E" w:rsidP="00F31936">
            <w:pPr>
              <w:jc w:val="center"/>
              <w:rPr>
                <w:sz w:val="20"/>
                <w:szCs w:val="20"/>
              </w:rPr>
            </w:pPr>
          </w:p>
        </w:tc>
      </w:tr>
      <w:tr w:rsidR="0006359E" w:rsidRPr="00F171A3" w14:paraId="745640C1"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7734E6A5" w14:textId="77777777" w:rsidR="0006359E" w:rsidRPr="00F171A3" w:rsidRDefault="0006359E" w:rsidP="00F31936">
            <w:pPr>
              <w:jc w:val="left"/>
              <w:rPr>
                <w:sz w:val="20"/>
                <w:szCs w:val="20"/>
              </w:rPr>
            </w:pPr>
            <w:r w:rsidRPr="00F171A3">
              <w:rPr>
                <w:sz w:val="20"/>
                <w:szCs w:val="20"/>
              </w:rPr>
              <w:t>5. DIRECȚIA ACHIZIȚII</w:t>
            </w:r>
          </w:p>
          <w:p w14:paraId="43814C0A" w14:textId="77777777" w:rsidR="0006359E" w:rsidRPr="00F171A3" w:rsidRDefault="0006359E" w:rsidP="00F31936">
            <w:pPr>
              <w:jc w:val="left"/>
              <w:rPr>
                <w:sz w:val="20"/>
                <w:szCs w:val="20"/>
              </w:rPr>
            </w:pPr>
          </w:p>
        </w:tc>
        <w:tc>
          <w:tcPr>
            <w:tcW w:w="5571" w:type="dxa"/>
            <w:tcBorders>
              <w:top w:val="none" w:sz="0" w:space="0" w:color="auto"/>
              <w:bottom w:val="none" w:sz="0" w:space="0" w:color="auto"/>
            </w:tcBorders>
            <w:shd w:val="clear" w:color="auto" w:fill="F2F2F2" w:themeFill="background1" w:themeFillShade="F2"/>
          </w:tcPr>
          <w:p w14:paraId="524EFE76" w14:textId="77777777" w:rsidR="0006359E" w:rsidRPr="00F171A3" w:rsidRDefault="0006359E" w:rsidP="00F31936">
            <w:pPr>
              <w:rPr>
                <w:sz w:val="20"/>
                <w:szCs w:val="20"/>
              </w:rPr>
            </w:pPr>
            <w:r w:rsidRPr="00F171A3">
              <w:rPr>
                <w:sz w:val="20"/>
                <w:szCs w:val="20"/>
              </w:rPr>
              <w:t>5.1 Serviciul Achiziții Publice</w:t>
            </w:r>
          </w:p>
          <w:p w14:paraId="3B84E51C" w14:textId="77777777" w:rsidR="0006359E" w:rsidRPr="00F171A3" w:rsidRDefault="0006359E" w:rsidP="00F31936">
            <w:pPr>
              <w:rPr>
                <w:sz w:val="20"/>
                <w:szCs w:val="20"/>
              </w:rPr>
            </w:pPr>
            <w:r w:rsidRPr="00F171A3">
              <w:rPr>
                <w:sz w:val="20"/>
                <w:szCs w:val="20"/>
              </w:rPr>
              <w:t>5.2 Compartiment Achiziții Sociale</w:t>
            </w:r>
          </w:p>
        </w:tc>
      </w:tr>
      <w:tr w:rsidR="0006359E" w:rsidRPr="00F171A3" w14:paraId="0DE76ECD" w14:textId="77777777" w:rsidTr="00507C46">
        <w:trPr>
          <w:trHeight w:val="236"/>
        </w:trPr>
        <w:tc>
          <w:tcPr>
            <w:tcW w:w="4101" w:type="dxa"/>
            <w:shd w:val="clear" w:color="auto" w:fill="F2F2F2" w:themeFill="background1" w:themeFillShade="F2"/>
          </w:tcPr>
          <w:p w14:paraId="2BFF274C" w14:textId="77777777" w:rsidR="0006359E" w:rsidRPr="00F171A3" w:rsidRDefault="0006359E" w:rsidP="00F31936">
            <w:pPr>
              <w:jc w:val="left"/>
              <w:rPr>
                <w:sz w:val="20"/>
                <w:szCs w:val="20"/>
              </w:rPr>
            </w:pPr>
            <w:r w:rsidRPr="00F171A3">
              <w:rPr>
                <w:sz w:val="20"/>
                <w:szCs w:val="20"/>
              </w:rPr>
              <w:t>6. ARHITECT ȘEF</w:t>
            </w:r>
          </w:p>
        </w:tc>
        <w:tc>
          <w:tcPr>
            <w:tcW w:w="5571" w:type="dxa"/>
            <w:shd w:val="clear" w:color="auto" w:fill="F2F2F2" w:themeFill="background1" w:themeFillShade="F2"/>
          </w:tcPr>
          <w:p w14:paraId="769359C2" w14:textId="77777777" w:rsidR="0006359E" w:rsidRPr="00F171A3" w:rsidRDefault="0006359E" w:rsidP="00F31936">
            <w:pPr>
              <w:rPr>
                <w:sz w:val="20"/>
                <w:szCs w:val="20"/>
              </w:rPr>
            </w:pPr>
          </w:p>
        </w:tc>
      </w:tr>
      <w:tr w:rsidR="0006359E" w:rsidRPr="00F171A3" w14:paraId="0D005929"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029263C0" w14:textId="77777777" w:rsidR="0006359E" w:rsidRPr="00F171A3" w:rsidRDefault="0006359E" w:rsidP="00F31936">
            <w:pPr>
              <w:jc w:val="left"/>
              <w:rPr>
                <w:sz w:val="20"/>
                <w:szCs w:val="20"/>
              </w:rPr>
            </w:pPr>
            <w:r w:rsidRPr="00F171A3">
              <w:rPr>
                <w:sz w:val="20"/>
                <w:szCs w:val="20"/>
              </w:rPr>
              <w:t xml:space="preserve">7.  DIRECȚIA URBANISM, CADASTRU ȘI GESTIONARE TERITORIU </w:t>
            </w:r>
          </w:p>
          <w:p w14:paraId="450975D8" w14:textId="77777777" w:rsidR="0006359E" w:rsidRPr="00F171A3" w:rsidRDefault="0006359E" w:rsidP="00F31936">
            <w:pPr>
              <w:jc w:val="left"/>
              <w:rPr>
                <w:sz w:val="20"/>
                <w:szCs w:val="20"/>
              </w:rPr>
            </w:pPr>
          </w:p>
        </w:tc>
        <w:tc>
          <w:tcPr>
            <w:tcW w:w="5571" w:type="dxa"/>
            <w:tcBorders>
              <w:top w:val="none" w:sz="0" w:space="0" w:color="auto"/>
              <w:bottom w:val="none" w:sz="0" w:space="0" w:color="auto"/>
            </w:tcBorders>
            <w:shd w:val="clear" w:color="auto" w:fill="F2F2F2" w:themeFill="background1" w:themeFillShade="F2"/>
          </w:tcPr>
          <w:p w14:paraId="16FAC90C" w14:textId="77777777" w:rsidR="0006359E" w:rsidRPr="00F171A3" w:rsidRDefault="0006359E" w:rsidP="00F31936">
            <w:pPr>
              <w:rPr>
                <w:sz w:val="20"/>
                <w:szCs w:val="20"/>
              </w:rPr>
            </w:pPr>
            <w:r w:rsidRPr="00F171A3">
              <w:rPr>
                <w:sz w:val="20"/>
                <w:szCs w:val="20"/>
              </w:rPr>
              <w:t>7.1 Serviciul Autorizare și Documentații Urbanism</w:t>
            </w:r>
          </w:p>
          <w:p w14:paraId="2DFF9938" w14:textId="77777777" w:rsidR="0006359E" w:rsidRPr="00F171A3" w:rsidRDefault="0006359E" w:rsidP="00F31936">
            <w:pPr>
              <w:rPr>
                <w:sz w:val="20"/>
                <w:szCs w:val="20"/>
              </w:rPr>
            </w:pPr>
            <w:r w:rsidRPr="00F171A3">
              <w:rPr>
                <w:sz w:val="20"/>
                <w:szCs w:val="20"/>
              </w:rPr>
              <w:t>7.1.1 Compartimentul Regularizare Taxe și Autorizare Activități Economice</w:t>
            </w:r>
          </w:p>
          <w:p w14:paraId="41A5B43D" w14:textId="77777777" w:rsidR="0006359E" w:rsidRPr="00F171A3" w:rsidRDefault="0006359E" w:rsidP="00F31936">
            <w:pPr>
              <w:rPr>
                <w:sz w:val="20"/>
                <w:szCs w:val="20"/>
              </w:rPr>
            </w:pPr>
            <w:r w:rsidRPr="00F171A3">
              <w:rPr>
                <w:sz w:val="20"/>
                <w:szCs w:val="20"/>
              </w:rPr>
              <w:t>7.2 Serviciul Fond Funciar, Cadastru</w:t>
            </w:r>
          </w:p>
        </w:tc>
      </w:tr>
      <w:tr w:rsidR="0006359E" w:rsidRPr="00F171A3" w14:paraId="6B8BD80B" w14:textId="77777777" w:rsidTr="00507C46">
        <w:trPr>
          <w:trHeight w:val="236"/>
        </w:trPr>
        <w:tc>
          <w:tcPr>
            <w:tcW w:w="4101" w:type="dxa"/>
            <w:shd w:val="clear" w:color="auto" w:fill="F2F2F2" w:themeFill="background1" w:themeFillShade="F2"/>
          </w:tcPr>
          <w:p w14:paraId="61693AEE" w14:textId="77777777" w:rsidR="0006359E" w:rsidRPr="00F171A3" w:rsidRDefault="0006359E" w:rsidP="00F31936">
            <w:pPr>
              <w:jc w:val="left"/>
              <w:rPr>
                <w:sz w:val="20"/>
                <w:szCs w:val="20"/>
              </w:rPr>
            </w:pPr>
            <w:r w:rsidRPr="00F171A3">
              <w:rPr>
                <w:sz w:val="20"/>
                <w:szCs w:val="20"/>
              </w:rPr>
              <w:t>8. DIRECȚIA AUDIT PUBLIC INTERN</w:t>
            </w:r>
          </w:p>
          <w:p w14:paraId="1D06AFC7" w14:textId="77777777" w:rsidR="0006359E" w:rsidRPr="00F171A3" w:rsidRDefault="0006359E" w:rsidP="00F31936">
            <w:pPr>
              <w:jc w:val="left"/>
              <w:rPr>
                <w:sz w:val="20"/>
                <w:szCs w:val="20"/>
              </w:rPr>
            </w:pPr>
          </w:p>
        </w:tc>
        <w:tc>
          <w:tcPr>
            <w:tcW w:w="5571" w:type="dxa"/>
            <w:shd w:val="clear" w:color="auto" w:fill="F2F2F2" w:themeFill="background1" w:themeFillShade="F2"/>
          </w:tcPr>
          <w:p w14:paraId="24922DAD" w14:textId="5386DC3B" w:rsidR="0006359E" w:rsidRPr="00F171A3" w:rsidRDefault="0006359E" w:rsidP="00F31936">
            <w:pPr>
              <w:rPr>
                <w:sz w:val="20"/>
                <w:szCs w:val="20"/>
              </w:rPr>
            </w:pPr>
            <w:r w:rsidRPr="00F171A3">
              <w:rPr>
                <w:sz w:val="20"/>
                <w:szCs w:val="20"/>
              </w:rPr>
              <w:t>8.1 Serviciul Audit Public Intern al Primăriei Sector</w:t>
            </w:r>
            <w:r w:rsidR="00F53B80" w:rsidRPr="00F171A3">
              <w:rPr>
                <w:sz w:val="20"/>
                <w:szCs w:val="20"/>
              </w:rPr>
              <w:t>ului</w:t>
            </w:r>
            <w:r w:rsidRPr="00F171A3">
              <w:rPr>
                <w:sz w:val="20"/>
                <w:szCs w:val="20"/>
              </w:rPr>
              <w:t xml:space="preserve"> 2 </w:t>
            </w:r>
          </w:p>
          <w:p w14:paraId="16EF0B29" w14:textId="77777777" w:rsidR="0006359E" w:rsidRPr="00F171A3" w:rsidRDefault="0006359E" w:rsidP="00F31936">
            <w:pPr>
              <w:rPr>
                <w:sz w:val="20"/>
                <w:szCs w:val="20"/>
              </w:rPr>
            </w:pPr>
            <w:r w:rsidRPr="00F171A3">
              <w:rPr>
                <w:sz w:val="20"/>
                <w:szCs w:val="20"/>
              </w:rPr>
              <w:t>8.2 Serviciul Auditare Servicii Publice de Interes Local</w:t>
            </w:r>
          </w:p>
        </w:tc>
      </w:tr>
      <w:tr w:rsidR="0006359E" w:rsidRPr="00F171A3" w14:paraId="303FA7FC"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6EEC0804" w14:textId="77777777" w:rsidR="0006359E" w:rsidRPr="00F171A3" w:rsidRDefault="0006359E" w:rsidP="00F31936">
            <w:pPr>
              <w:jc w:val="left"/>
              <w:rPr>
                <w:sz w:val="20"/>
                <w:szCs w:val="20"/>
              </w:rPr>
            </w:pPr>
            <w:r w:rsidRPr="00F171A3">
              <w:rPr>
                <w:sz w:val="20"/>
                <w:szCs w:val="20"/>
              </w:rPr>
              <w:t xml:space="preserve">9. DIRECȚIA MANAGEMENT RESURSE UMANE </w:t>
            </w:r>
          </w:p>
          <w:p w14:paraId="6FFC828D" w14:textId="77777777" w:rsidR="0006359E" w:rsidRPr="00F171A3" w:rsidRDefault="0006359E" w:rsidP="00F31936">
            <w:pPr>
              <w:jc w:val="left"/>
              <w:rPr>
                <w:sz w:val="20"/>
                <w:szCs w:val="20"/>
              </w:rPr>
            </w:pPr>
          </w:p>
        </w:tc>
        <w:tc>
          <w:tcPr>
            <w:tcW w:w="5571" w:type="dxa"/>
            <w:tcBorders>
              <w:top w:val="none" w:sz="0" w:space="0" w:color="auto"/>
              <w:bottom w:val="none" w:sz="0" w:space="0" w:color="auto"/>
            </w:tcBorders>
            <w:shd w:val="clear" w:color="auto" w:fill="F2F2F2" w:themeFill="background1" w:themeFillShade="F2"/>
          </w:tcPr>
          <w:p w14:paraId="45295A3A" w14:textId="77777777" w:rsidR="0006359E" w:rsidRPr="00F171A3" w:rsidRDefault="0006359E" w:rsidP="00F31936">
            <w:pPr>
              <w:rPr>
                <w:sz w:val="20"/>
                <w:szCs w:val="20"/>
              </w:rPr>
            </w:pPr>
            <w:r w:rsidRPr="00F171A3">
              <w:rPr>
                <w:sz w:val="20"/>
                <w:szCs w:val="20"/>
              </w:rPr>
              <w:t xml:space="preserve">9.1 Serviciul Organizare, Perfecționare și Gestiunea Carierei </w:t>
            </w:r>
          </w:p>
          <w:p w14:paraId="5E773869" w14:textId="77777777" w:rsidR="0006359E" w:rsidRPr="00F171A3" w:rsidRDefault="0006359E" w:rsidP="00F31936">
            <w:pPr>
              <w:rPr>
                <w:sz w:val="20"/>
                <w:szCs w:val="20"/>
              </w:rPr>
            </w:pPr>
            <w:r w:rsidRPr="00F171A3">
              <w:rPr>
                <w:sz w:val="20"/>
                <w:szCs w:val="20"/>
              </w:rPr>
              <w:t xml:space="preserve">9.2 Serviciul Resurse Umane </w:t>
            </w:r>
          </w:p>
          <w:p w14:paraId="1EBC1014" w14:textId="77777777" w:rsidR="0006359E" w:rsidRPr="00F171A3" w:rsidRDefault="0006359E" w:rsidP="00F31936">
            <w:pPr>
              <w:rPr>
                <w:sz w:val="20"/>
                <w:szCs w:val="20"/>
              </w:rPr>
            </w:pPr>
            <w:r w:rsidRPr="00F171A3">
              <w:rPr>
                <w:sz w:val="20"/>
                <w:szCs w:val="20"/>
              </w:rPr>
              <w:t>9.2.1. Compartiment Prevenire și Protecție</w:t>
            </w:r>
          </w:p>
          <w:p w14:paraId="2FC19360" w14:textId="77777777" w:rsidR="0006359E" w:rsidRPr="00F171A3" w:rsidRDefault="0006359E" w:rsidP="00F31936">
            <w:pPr>
              <w:rPr>
                <w:sz w:val="20"/>
                <w:szCs w:val="20"/>
              </w:rPr>
            </w:pPr>
            <w:r w:rsidRPr="00F171A3">
              <w:rPr>
                <w:sz w:val="20"/>
                <w:szCs w:val="20"/>
              </w:rPr>
              <w:t>9.3 Compartiment Control Intern și Managementul Calității</w:t>
            </w:r>
          </w:p>
        </w:tc>
      </w:tr>
      <w:tr w:rsidR="0006359E" w:rsidRPr="00F171A3" w14:paraId="4F06E7D0" w14:textId="77777777" w:rsidTr="00507C46">
        <w:trPr>
          <w:trHeight w:val="236"/>
        </w:trPr>
        <w:tc>
          <w:tcPr>
            <w:tcW w:w="4101" w:type="dxa"/>
            <w:shd w:val="clear" w:color="auto" w:fill="F2F2F2" w:themeFill="background1" w:themeFillShade="F2"/>
          </w:tcPr>
          <w:p w14:paraId="151C4DC9" w14:textId="77777777" w:rsidR="0006359E" w:rsidRPr="00F171A3" w:rsidRDefault="0006359E" w:rsidP="00F31936">
            <w:pPr>
              <w:jc w:val="left"/>
              <w:rPr>
                <w:sz w:val="20"/>
                <w:szCs w:val="20"/>
              </w:rPr>
            </w:pPr>
            <w:r w:rsidRPr="00F171A3">
              <w:rPr>
                <w:sz w:val="20"/>
                <w:szCs w:val="20"/>
              </w:rPr>
              <w:t xml:space="preserve">10. DIRECȚIA RELAȚII COMUNITARE </w:t>
            </w:r>
          </w:p>
          <w:p w14:paraId="79E0C652" w14:textId="77777777" w:rsidR="0006359E" w:rsidRPr="00F171A3" w:rsidRDefault="0006359E" w:rsidP="00F31936">
            <w:pPr>
              <w:jc w:val="left"/>
              <w:rPr>
                <w:sz w:val="20"/>
                <w:szCs w:val="20"/>
              </w:rPr>
            </w:pPr>
          </w:p>
        </w:tc>
        <w:tc>
          <w:tcPr>
            <w:tcW w:w="5571" w:type="dxa"/>
            <w:shd w:val="clear" w:color="auto" w:fill="F2F2F2" w:themeFill="background1" w:themeFillShade="F2"/>
          </w:tcPr>
          <w:p w14:paraId="3F2541BC" w14:textId="77777777" w:rsidR="0006359E" w:rsidRPr="00F171A3" w:rsidRDefault="0006359E" w:rsidP="00F31936">
            <w:pPr>
              <w:rPr>
                <w:sz w:val="20"/>
                <w:szCs w:val="20"/>
              </w:rPr>
            </w:pPr>
            <w:r w:rsidRPr="00F171A3">
              <w:rPr>
                <w:sz w:val="20"/>
                <w:szCs w:val="20"/>
              </w:rPr>
              <w:t xml:space="preserve">10.1 Biroul Spațiu Locativ </w:t>
            </w:r>
          </w:p>
          <w:p w14:paraId="13578C36" w14:textId="77777777" w:rsidR="0006359E" w:rsidRPr="00F171A3" w:rsidRDefault="0006359E" w:rsidP="00F31936">
            <w:pPr>
              <w:rPr>
                <w:sz w:val="20"/>
                <w:szCs w:val="20"/>
              </w:rPr>
            </w:pPr>
            <w:r w:rsidRPr="00F171A3">
              <w:rPr>
                <w:sz w:val="20"/>
                <w:szCs w:val="20"/>
              </w:rPr>
              <w:t xml:space="preserve">10.2 Serviciul Relații cu Societatea Civilă și Mediul de Afaceri </w:t>
            </w:r>
          </w:p>
          <w:p w14:paraId="20AAAEF6" w14:textId="77777777" w:rsidR="0006359E" w:rsidRPr="00F171A3" w:rsidRDefault="0006359E" w:rsidP="00F31936">
            <w:pPr>
              <w:rPr>
                <w:sz w:val="20"/>
                <w:szCs w:val="20"/>
              </w:rPr>
            </w:pPr>
            <w:r w:rsidRPr="00F171A3">
              <w:rPr>
                <w:sz w:val="20"/>
                <w:szCs w:val="20"/>
              </w:rPr>
              <w:t>10.3 Compartimentul Minorități</w:t>
            </w:r>
          </w:p>
        </w:tc>
      </w:tr>
      <w:tr w:rsidR="0006359E" w:rsidRPr="00F171A3" w14:paraId="5EEE374D"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56F7E53C" w14:textId="77777777" w:rsidR="0006359E" w:rsidRPr="00F171A3" w:rsidRDefault="0006359E" w:rsidP="00F31936">
            <w:pPr>
              <w:jc w:val="left"/>
              <w:rPr>
                <w:sz w:val="20"/>
                <w:szCs w:val="20"/>
              </w:rPr>
            </w:pPr>
            <w:r w:rsidRPr="00F171A3">
              <w:rPr>
                <w:sz w:val="20"/>
                <w:szCs w:val="20"/>
              </w:rPr>
              <w:t xml:space="preserve">11. DIRECȚIA COMUNICARE </w:t>
            </w:r>
          </w:p>
          <w:p w14:paraId="7F22245B" w14:textId="77777777" w:rsidR="0006359E" w:rsidRPr="00F171A3" w:rsidRDefault="0006359E" w:rsidP="00F31936">
            <w:pPr>
              <w:jc w:val="left"/>
              <w:rPr>
                <w:sz w:val="20"/>
                <w:szCs w:val="20"/>
              </w:rPr>
            </w:pPr>
          </w:p>
        </w:tc>
        <w:tc>
          <w:tcPr>
            <w:tcW w:w="5571" w:type="dxa"/>
            <w:tcBorders>
              <w:top w:val="none" w:sz="0" w:space="0" w:color="auto"/>
              <w:bottom w:val="none" w:sz="0" w:space="0" w:color="auto"/>
            </w:tcBorders>
            <w:shd w:val="clear" w:color="auto" w:fill="F2F2F2" w:themeFill="background1" w:themeFillShade="F2"/>
          </w:tcPr>
          <w:p w14:paraId="5BD9B709" w14:textId="77777777" w:rsidR="0006359E" w:rsidRPr="00F171A3" w:rsidRDefault="0006359E" w:rsidP="00F31936">
            <w:pPr>
              <w:rPr>
                <w:sz w:val="20"/>
                <w:szCs w:val="20"/>
              </w:rPr>
            </w:pPr>
            <w:r w:rsidRPr="00F171A3">
              <w:rPr>
                <w:sz w:val="20"/>
                <w:szCs w:val="20"/>
              </w:rPr>
              <w:t xml:space="preserve">11.1 Serviciul Secretariat General, Audiențe </w:t>
            </w:r>
          </w:p>
          <w:p w14:paraId="4A4FB766" w14:textId="77777777" w:rsidR="0006359E" w:rsidRPr="00F171A3" w:rsidRDefault="0006359E" w:rsidP="00F31936">
            <w:pPr>
              <w:rPr>
                <w:sz w:val="20"/>
                <w:szCs w:val="20"/>
              </w:rPr>
            </w:pPr>
            <w:r w:rsidRPr="00F171A3">
              <w:rPr>
                <w:sz w:val="20"/>
                <w:szCs w:val="20"/>
              </w:rPr>
              <w:t xml:space="preserve">11.2 Biroul Comunicare cu Mass Media și Promovarea Instituției </w:t>
            </w:r>
          </w:p>
          <w:p w14:paraId="6F3BA9CE" w14:textId="77777777" w:rsidR="0006359E" w:rsidRPr="00F171A3" w:rsidRDefault="0006359E" w:rsidP="00F31936">
            <w:pPr>
              <w:rPr>
                <w:sz w:val="20"/>
                <w:szCs w:val="20"/>
              </w:rPr>
            </w:pPr>
            <w:r w:rsidRPr="00F171A3">
              <w:rPr>
                <w:sz w:val="20"/>
                <w:szCs w:val="20"/>
              </w:rPr>
              <w:t>11.3 Serviciul Registratură, Relații Publice</w:t>
            </w:r>
          </w:p>
        </w:tc>
      </w:tr>
      <w:tr w:rsidR="0006359E" w:rsidRPr="00F171A3" w14:paraId="69A2EE2A" w14:textId="77777777" w:rsidTr="00507C46">
        <w:trPr>
          <w:trHeight w:val="236"/>
        </w:trPr>
        <w:tc>
          <w:tcPr>
            <w:tcW w:w="4101" w:type="dxa"/>
            <w:shd w:val="clear" w:color="auto" w:fill="F2F2F2" w:themeFill="background1" w:themeFillShade="F2"/>
          </w:tcPr>
          <w:p w14:paraId="73CC5B5D" w14:textId="77777777" w:rsidR="0006359E" w:rsidRPr="00F171A3" w:rsidRDefault="0006359E" w:rsidP="00F31936">
            <w:pPr>
              <w:jc w:val="left"/>
              <w:rPr>
                <w:sz w:val="20"/>
                <w:szCs w:val="20"/>
              </w:rPr>
            </w:pPr>
            <w:r w:rsidRPr="00F171A3">
              <w:rPr>
                <w:sz w:val="20"/>
                <w:szCs w:val="20"/>
              </w:rPr>
              <w:t xml:space="preserve">12. DIRECȚIA DIGITALIZARE </w:t>
            </w:r>
          </w:p>
          <w:p w14:paraId="01D9E930" w14:textId="77777777" w:rsidR="0006359E" w:rsidRPr="00F171A3" w:rsidRDefault="0006359E" w:rsidP="00F31936">
            <w:pPr>
              <w:jc w:val="left"/>
              <w:rPr>
                <w:sz w:val="20"/>
                <w:szCs w:val="20"/>
              </w:rPr>
            </w:pPr>
          </w:p>
        </w:tc>
        <w:tc>
          <w:tcPr>
            <w:tcW w:w="5571" w:type="dxa"/>
            <w:shd w:val="clear" w:color="auto" w:fill="F2F2F2" w:themeFill="background1" w:themeFillShade="F2"/>
          </w:tcPr>
          <w:p w14:paraId="1FD38738" w14:textId="77777777" w:rsidR="0006359E" w:rsidRPr="00F171A3" w:rsidRDefault="0006359E" w:rsidP="00F31936">
            <w:pPr>
              <w:rPr>
                <w:sz w:val="20"/>
                <w:szCs w:val="20"/>
              </w:rPr>
            </w:pPr>
            <w:r w:rsidRPr="00F171A3">
              <w:rPr>
                <w:sz w:val="20"/>
                <w:szCs w:val="20"/>
              </w:rPr>
              <w:t xml:space="preserve">12.1 Serviciul Digitalizare și Administrare Infrastructură IT </w:t>
            </w:r>
          </w:p>
          <w:p w14:paraId="10F72C57" w14:textId="77777777" w:rsidR="0006359E" w:rsidRPr="00F171A3" w:rsidRDefault="0006359E" w:rsidP="00F31936">
            <w:pPr>
              <w:rPr>
                <w:sz w:val="20"/>
                <w:szCs w:val="20"/>
              </w:rPr>
            </w:pPr>
            <w:r w:rsidRPr="00F171A3">
              <w:rPr>
                <w:sz w:val="20"/>
                <w:szCs w:val="20"/>
              </w:rPr>
              <w:t xml:space="preserve">12.1.1 Biroul Digitalizare </w:t>
            </w:r>
          </w:p>
          <w:p w14:paraId="756CCA89" w14:textId="77777777" w:rsidR="0006359E" w:rsidRPr="00F171A3" w:rsidRDefault="0006359E" w:rsidP="00F31936">
            <w:pPr>
              <w:rPr>
                <w:sz w:val="20"/>
                <w:szCs w:val="20"/>
              </w:rPr>
            </w:pPr>
            <w:r w:rsidRPr="00F171A3">
              <w:rPr>
                <w:sz w:val="20"/>
                <w:szCs w:val="20"/>
              </w:rPr>
              <w:t>12.2 Compartiment Suport IT&amp;C</w:t>
            </w:r>
          </w:p>
        </w:tc>
      </w:tr>
      <w:tr w:rsidR="0006359E" w:rsidRPr="00F171A3" w14:paraId="0A237D32"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2A97BFF7" w14:textId="77777777" w:rsidR="0006359E" w:rsidRPr="00F171A3" w:rsidRDefault="0006359E" w:rsidP="00F31936">
            <w:pPr>
              <w:jc w:val="left"/>
              <w:rPr>
                <w:sz w:val="20"/>
                <w:szCs w:val="20"/>
              </w:rPr>
            </w:pPr>
            <w:r w:rsidRPr="00F171A3">
              <w:rPr>
                <w:sz w:val="20"/>
                <w:szCs w:val="20"/>
              </w:rPr>
              <w:t xml:space="preserve">13. DIRECȚIA JURIDICĂ </w:t>
            </w:r>
          </w:p>
          <w:p w14:paraId="1AAC2021" w14:textId="77777777" w:rsidR="0006359E" w:rsidRPr="00F171A3" w:rsidRDefault="0006359E" w:rsidP="00F31936">
            <w:pPr>
              <w:jc w:val="left"/>
              <w:rPr>
                <w:sz w:val="20"/>
                <w:szCs w:val="20"/>
              </w:rPr>
            </w:pPr>
          </w:p>
        </w:tc>
        <w:tc>
          <w:tcPr>
            <w:tcW w:w="5571" w:type="dxa"/>
            <w:tcBorders>
              <w:top w:val="none" w:sz="0" w:space="0" w:color="auto"/>
              <w:bottom w:val="none" w:sz="0" w:space="0" w:color="auto"/>
            </w:tcBorders>
            <w:shd w:val="clear" w:color="auto" w:fill="F2F2F2" w:themeFill="background1" w:themeFillShade="F2"/>
          </w:tcPr>
          <w:p w14:paraId="58594AB5" w14:textId="77777777" w:rsidR="0006359E" w:rsidRPr="00F171A3" w:rsidRDefault="0006359E" w:rsidP="00F31936">
            <w:pPr>
              <w:rPr>
                <w:sz w:val="20"/>
                <w:szCs w:val="20"/>
              </w:rPr>
            </w:pPr>
            <w:r w:rsidRPr="00F171A3">
              <w:rPr>
                <w:sz w:val="20"/>
                <w:szCs w:val="20"/>
              </w:rPr>
              <w:t xml:space="preserve">13.1. Serviciul Contencios </w:t>
            </w:r>
          </w:p>
          <w:p w14:paraId="7493EED9" w14:textId="77777777" w:rsidR="0006359E" w:rsidRPr="00F171A3" w:rsidRDefault="0006359E" w:rsidP="00F31936">
            <w:pPr>
              <w:rPr>
                <w:sz w:val="20"/>
                <w:szCs w:val="20"/>
              </w:rPr>
            </w:pPr>
            <w:r w:rsidRPr="00F171A3">
              <w:rPr>
                <w:sz w:val="20"/>
                <w:szCs w:val="20"/>
              </w:rPr>
              <w:t xml:space="preserve">13.2. Serviciul Asistență Juridică </w:t>
            </w:r>
          </w:p>
          <w:p w14:paraId="6A3EE6A7" w14:textId="77777777" w:rsidR="0006359E" w:rsidRPr="00F171A3" w:rsidRDefault="0006359E" w:rsidP="00F31936">
            <w:pPr>
              <w:rPr>
                <w:sz w:val="20"/>
                <w:szCs w:val="20"/>
              </w:rPr>
            </w:pPr>
            <w:r w:rsidRPr="00F171A3">
              <w:rPr>
                <w:sz w:val="20"/>
                <w:szCs w:val="20"/>
              </w:rPr>
              <w:t>13.3. Serviciul Autoritate Tutelară</w:t>
            </w:r>
          </w:p>
        </w:tc>
      </w:tr>
      <w:tr w:rsidR="0006359E" w:rsidRPr="00F171A3" w14:paraId="30827129" w14:textId="77777777" w:rsidTr="00507C46">
        <w:trPr>
          <w:trHeight w:val="236"/>
        </w:trPr>
        <w:tc>
          <w:tcPr>
            <w:tcW w:w="4101" w:type="dxa"/>
            <w:shd w:val="clear" w:color="auto" w:fill="F2F2F2" w:themeFill="background1" w:themeFillShade="F2"/>
          </w:tcPr>
          <w:p w14:paraId="0E86A98E" w14:textId="77777777" w:rsidR="0006359E" w:rsidRPr="00F171A3" w:rsidRDefault="0006359E" w:rsidP="00F31936">
            <w:pPr>
              <w:jc w:val="left"/>
              <w:rPr>
                <w:sz w:val="20"/>
                <w:szCs w:val="20"/>
              </w:rPr>
            </w:pPr>
            <w:r w:rsidRPr="00F171A3">
              <w:rPr>
                <w:sz w:val="20"/>
                <w:szCs w:val="20"/>
              </w:rPr>
              <w:t xml:space="preserve">14. DIRECȚIA ADMINISTRAȚIE PUBLICĂ LOCALĂ </w:t>
            </w:r>
          </w:p>
          <w:p w14:paraId="5F235D83" w14:textId="77777777" w:rsidR="0006359E" w:rsidRPr="00F171A3" w:rsidRDefault="0006359E" w:rsidP="00F31936">
            <w:pPr>
              <w:jc w:val="left"/>
              <w:rPr>
                <w:sz w:val="20"/>
                <w:szCs w:val="20"/>
              </w:rPr>
            </w:pPr>
          </w:p>
        </w:tc>
        <w:tc>
          <w:tcPr>
            <w:tcW w:w="5571" w:type="dxa"/>
            <w:shd w:val="clear" w:color="auto" w:fill="F2F2F2" w:themeFill="background1" w:themeFillShade="F2"/>
          </w:tcPr>
          <w:p w14:paraId="6AC75BE1" w14:textId="77777777" w:rsidR="0006359E" w:rsidRPr="00F171A3" w:rsidRDefault="0006359E" w:rsidP="00F31936">
            <w:pPr>
              <w:rPr>
                <w:sz w:val="20"/>
                <w:szCs w:val="20"/>
              </w:rPr>
            </w:pPr>
            <w:r w:rsidRPr="00F171A3">
              <w:rPr>
                <w:sz w:val="20"/>
                <w:szCs w:val="20"/>
              </w:rPr>
              <w:t xml:space="preserve">14.1. Serviciul Administrație Publică Locală </w:t>
            </w:r>
          </w:p>
          <w:p w14:paraId="7D1CB926" w14:textId="77777777" w:rsidR="0006359E" w:rsidRPr="00F171A3" w:rsidRDefault="0006359E" w:rsidP="00F31936">
            <w:pPr>
              <w:rPr>
                <w:sz w:val="20"/>
                <w:szCs w:val="20"/>
              </w:rPr>
            </w:pPr>
            <w:r w:rsidRPr="00F171A3">
              <w:rPr>
                <w:sz w:val="20"/>
                <w:szCs w:val="20"/>
              </w:rPr>
              <w:t xml:space="preserve">14.2. Serviciul Arhivă, Evidență Electorală și Secretariat </w:t>
            </w:r>
          </w:p>
          <w:p w14:paraId="51F7F518" w14:textId="77777777" w:rsidR="0006359E" w:rsidRPr="00F171A3" w:rsidRDefault="0006359E" w:rsidP="00F31936">
            <w:pPr>
              <w:rPr>
                <w:sz w:val="20"/>
                <w:szCs w:val="20"/>
              </w:rPr>
            </w:pPr>
            <w:r w:rsidRPr="00F171A3">
              <w:rPr>
                <w:sz w:val="20"/>
                <w:szCs w:val="20"/>
              </w:rPr>
              <w:t>14.2.1. Compartiment Arhivă</w:t>
            </w:r>
          </w:p>
        </w:tc>
      </w:tr>
      <w:tr w:rsidR="0006359E" w:rsidRPr="00F171A3" w14:paraId="01277C46"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173C0AC3" w14:textId="77777777" w:rsidR="0006359E" w:rsidRPr="00F171A3" w:rsidRDefault="0006359E" w:rsidP="00F31936">
            <w:pPr>
              <w:jc w:val="left"/>
              <w:rPr>
                <w:sz w:val="20"/>
                <w:szCs w:val="20"/>
              </w:rPr>
            </w:pPr>
            <w:r w:rsidRPr="00F171A3">
              <w:rPr>
                <w:sz w:val="20"/>
                <w:szCs w:val="20"/>
              </w:rPr>
              <w:t>15. DIRECȚIA ADMINISTRATIVĂ ȘI ÎNTREȚINERE SĂLI ȘI ECHIPAMENTE</w:t>
            </w:r>
          </w:p>
          <w:p w14:paraId="75759EA6" w14:textId="77777777" w:rsidR="0006359E" w:rsidRPr="00F171A3" w:rsidRDefault="0006359E" w:rsidP="00F31936">
            <w:pPr>
              <w:jc w:val="left"/>
              <w:rPr>
                <w:sz w:val="20"/>
                <w:szCs w:val="20"/>
              </w:rPr>
            </w:pPr>
          </w:p>
        </w:tc>
        <w:tc>
          <w:tcPr>
            <w:tcW w:w="5571" w:type="dxa"/>
            <w:tcBorders>
              <w:top w:val="none" w:sz="0" w:space="0" w:color="auto"/>
              <w:bottom w:val="none" w:sz="0" w:space="0" w:color="auto"/>
            </w:tcBorders>
            <w:shd w:val="clear" w:color="auto" w:fill="F2F2F2" w:themeFill="background1" w:themeFillShade="F2"/>
          </w:tcPr>
          <w:p w14:paraId="3C542EE8" w14:textId="77777777" w:rsidR="0006359E" w:rsidRPr="00F171A3" w:rsidRDefault="0006359E" w:rsidP="00F31936">
            <w:pPr>
              <w:rPr>
                <w:sz w:val="20"/>
                <w:szCs w:val="20"/>
              </w:rPr>
            </w:pPr>
            <w:r w:rsidRPr="00F171A3">
              <w:rPr>
                <w:sz w:val="20"/>
                <w:szCs w:val="20"/>
              </w:rPr>
              <w:t xml:space="preserve">15.1. Serviciul Administrativ </w:t>
            </w:r>
          </w:p>
          <w:p w14:paraId="049843A4" w14:textId="77777777" w:rsidR="0006359E" w:rsidRPr="00F171A3" w:rsidRDefault="0006359E" w:rsidP="00F31936">
            <w:pPr>
              <w:rPr>
                <w:sz w:val="20"/>
                <w:szCs w:val="20"/>
              </w:rPr>
            </w:pPr>
            <w:r w:rsidRPr="00F171A3">
              <w:rPr>
                <w:sz w:val="20"/>
                <w:szCs w:val="20"/>
              </w:rPr>
              <w:t xml:space="preserve">15.2. Biroul Întreținere Clădiri </w:t>
            </w:r>
          </w:p>
          <w:p w14:paraId="60679762" w14:textId="77777777" w:rsidR="0006359E" w:rsidRPr="00F171A3" w:rsidRDefault="0006359E" w:rsidP="00F31936">
            <w:pPr>
              <w:rPr>
                <w:sz w:val="20"/>
                <w:szCs w:val="20"/>
              </w:rPr>
            </w:pPr>
            <w:r w:rsidRPr="00F171A3">
              <w:rPr>
                <w:sz w:val="20"/>
                <w:szCs w:val="20"/>
              </w:rPr>
              <w:t>15.3. Compartiment Administrare Echipamente</w:t>
            </w:r>
          </w:p>
        </w:tc>
      </w:tr>
      <w:tr w:rsidR="0006359E" w:rsidRPr="00F171A3" w14:paraId="2D766987" w14:textId="77777777" w:rsidTr="00507C46">
        <w:trPr>
          <w:trHeight w:val="236"/>
        </w:trPr>
        <w:tc>
          <w:tcPr>
            <w:tcW w:w="4101" w:type="dxa"/>
            <w:shd w:val="clear" w:color="auto" w:fill="F2F2F2" w:themeFill="background1" w:themeFillShade="F2"/>
          </w:tcPr>
          <w:p w14:paraId="62D72B98" w14:textId="77777777" w:rsidR="0006359E" w:rsidRPr="00F171A3" w:rsidRDefault="0006359E" w:rsidP="00F31936">
            <w:pPr>
              <w:jc w:val="left"/>
              <w:rPr>
                <w:sz w:val="20"/>
                <w:szCs w:val="20"/>
              </w:rPr>
            </w:pPr>
            <w:r w:rsidRPr="00F171A3">
              <w:rPr>
                <w:sz w:val="20"/>
                <w:szCs w:val="20"/>
              </w:rPr>
              <w:t>16. DIRECȚIA GENERALĂ PROGRAME DE DEZVOLTARE URBANĂ ȘI FONDURI EUROPENE</w:t>
            </w:r>
          </w:p>
          <w:p w14:paraId="73B05FD3" w14:textId="77777777" w:rsidR="0006359E" w:rsidRPr="00F171A3" w:rsidRDefault="0006359E" w:rsidP="00F31936">
            <w:pPr>
              <w:jc w:val="left"/>
              <w:rPr>
                <w:sz w:val="20"/>
                <w:szCs w:val="20"/>
              </w:rPr>
            </w:pPr>
          </w:p>
        </w:tc>
        <w:tc>
          <w:tcPr>
            <w:tcW w:w="5571" w:type="dxa"/>
            <w:shd w:val="clear" w:color="auto" w:fill="F2F2F2" w:themeFill="background1" w:themeFillShade="F2"/>
          </w:tcPr>
          <w:p w14:paraId="505925C0" w14:textId="77777777" w:rsidR="0006359E" w:rsidRPr="00F171A3" w:rsidRDefault="0006359E" w:rsidP="00F31936">
            <w:pPr>
              <w:rPr>
                <w:sz w:val="20"/>
                <w:szCs w:val="20"/>
              </w:rPr>
            </w:pPr>
            <w:r w:rsidRPr="00F171A3">
              <w:rPr>
                <w:sz w:val="20"/>
                <w:szCs w:val="20"/>
              </w:rPr>
              <w:t xml:space="preserve">16.1. Direcția Investiții Publice </w:t>
            </w:r>
          </w:p>
          <w:p w14:paraId="070A1996" w14:textId="77777777" w:rsidR="0006359E" w:rsidRPr="00F171A3" w:rsidRDefault="0006359E" w:rsidP="00F31936">
            <w:pPr>
              <w:rPr>
                <w:sz w:val="20"/>
                <w:szCs w:val="20"/>
              </w:rPr>
            </w:pPr>
            <w:r w:rsidRPr="00F171A3">
              <w:rPr>
                <w:sz w:val="20"/>
                <w:szCs w:val="20"/>
              </w:rPr>
              <w:t xml:space="preserve">16.1.1. Biroul Documentații Tehnice </w:t>
            </w:r>
          </w:p>
          <w:p w14:paraId="29843303" w14:textId="77777777" w:rsidR="0006359E" w:rsidRPr="00F171A3" w:rsidRDefault="0006359E" w:rsidP="00F31936">
            <w:pPr>
              <w:rPr>
                <w:sz w:val="20"/>
                <w:szCs w:val="20"/>
              </w:rPr>
            </w:pPr>
            <w:r w:rsidRPr="00F171A3">
              <w:rPr>
                <w:sz w:val="20"/>
                <w:szCs w:val="20"/>
              </w:rPr>
              <w:t xml:space="preserve">16.1.2. Compartimentul de Derulare Investiții </w:t>
            </w:r>
          </w:p>
          <w:p w14:paraId="4FA5B150" w14:textId="77777777" w:rsidR="0006359E" w:rsidRPr="00F171A3" w:rsidRDefault="0006359E" w:rsidP="00F31936">
            <w:pPr>
              <w:rPr>
                <w:sz w:val="20"/>
                <w:szCs w:val="20"/>
              </w:rPr>
            </w:pPr>
            <w:r w:rsidRPr="00F171A3">
              <w:rPr>
                <w:sz w:val="20"/>
                <w:szCs w:val="20"/>
              </w:rPr>
              <w:t xml:space="preserve">16.1.3. Serviciul Relații cu Asociații de Proprietari </w:t>
            </w:r>
          </w:p>
          <w:p w14:paraId="22901EE2" w14:textId="77777777" w:rsidR="0006359E" w:rsidRPr="00F171A3" w:rsidRDefault="0006359E" w:rsidP="00F31936">
            <w:pPr>
              <w:rPr>
                <w:sz w:val="20"/>
                <w:szCs w:val="20"/>
              </w:rPr>
            </w:pPr>
            <w:r w:rsidRPr="00F171A3">
              <w:rPr>
                <w:sz w:val="20"/>
                <w:szCs w:val="20"/>
              </w:rPr>
              <w:t xml:space="preserve">16.2. Serviciul Management Strategic </w:t>
            </w:r>
          </w:p>
          <w:p w14:paraId="0DFD8F42" w14:textId="77777777" w:rsidR="0006359E" w:rsidRPr="00F171A3" w:rsidRDefault="0006359E" w:rsidP="00F31936">
            <w:pPr>
              <w:rPr>
                <w:sz w:val="20"/>
                <w:szCs w:val="20"/>
              </w:rPr>
            </w:pPr>
            <w:r w:rsidRPr="00F171A3">
              <w:rPr>
                <w:sz w:val="20"/>
                <w:szCs w:val="20"/>
              </w:rPr>
              <w:t xml:space="preserve">16.3. Serviciul Fonduri Europene </w:t>
            </w:r>
          </w:p>
          <w:p w14:paraId="536D9192" w14:textId="77777777" w:rsidR="0006359E" w:rsidRPr="00F171A3" w:rsidRDefault="0006359E" w:rsidP="00F31936">
            <w:pPr>
              <w:rPr>
                <w:sz w:val="20"/>
                <w:szCs w:val="20"/>
              </w:rPr>
            </w:pPr>
            <w:r w:rsidRPr="00F171A3">
              <w:rPr>
                <w:sz w:val="20"/>
                <w:szCs w:val="20"/>
              </w:rPr>
              <w:t>16.3.1. Compartiment Implementare Proiecte</w:t>
            </w:r>
          </w:p>
        </w:tc>
      </w:tr>
      <w:tr w:rsidR="0006359E" w:rsidRPr="00F171A3" w14:paraId="2877809E" w14:textId="77777777" w:rsidTr="00507C46">
        <w:trPr>
          <w:cnfStyle w:val="000000100000" w:firstRow="0" w:lastRow="0" w:firstColumn="0" w:lastColumn="0" w:oddVBand="0" w:evenVBand="0" w:oddHBand="1" w:evenHBand="0" w:firstRowFirstColumn="0" w:firstRowLastColumn="0" w:lastRowFirstColumn="0" w:lastRowLastColumn="0"/>
          <w:trHeight w:val="236"/>
        </w:trPr>
        <w:tc>
          <w:tcPr>
            <w:tcW w:w="4101" w:type="dxa"/>
            <w:tcBorders>
              <w:top w:val="none" w:sz="0" w:space="0" w:color="auto"/>
              <w:bottom w:val="none" w:sz="0" w:space="0" w:color="auto"/>
            </w:tcBorders>
            <w:shd w:val="clear" w:color="auto" w:fill="F2F2F2" w:themeFill="background1" w:themeFillShade="F2"/>
          </w:tcPr>
          <w:p w14:paraId="32BB3191" w14:textId="77777777" w:rsidR="0006359E" w:rsidRPr="00F171A3" w:rsidRDefault="0006359E" w:rsidP="00F31936">
            <w:pPr>
              <w:jc w:val="left"/>
              <w:rPr>
                <w:sz w:val="20"/>
                <w:szCs w:val="20"/>
              </w:rPr>
            </w:pPr>
            <w:r w:rsidRPr="00F171A3">
              <w:rPr>
                <w:sz w:val="20"/>
                <w:szCs w:val="20"/>
              </w:rPr>
              <w:t xml:space="preserve">17. DIRECȚIA DE UTILITĂȚI PUBLICE ȘI MEDIU </w:t>
            </w:r>
          </w:p>
          <w:p w14:paraId="52695321" w14:textId="77777777" w:rsidR="0006359E" w:rsidRPr="00F171A3" w:rsidRDefault="0006359E" w:rsidP="00F31936">
            <w:pPr>
              <w:jc w:val="left"/>
              <w:rPr>
                <w:sz w:val="20"/>
                <w:szCs w:val="20"/>
              </w:rPr>
            </w:pPr>
          </w:p>
        </w:tc>
        <w:tc>
          <w:tcPr>
            <w:tcW w:w="5571" w:type="dxa"/>
            <w:tcBorders>
              <w:top w:val="none" w:sz="0" w:space="0" w:color="auto"/>
              <w:bottom w:val="none" w:sz="0" w:space="0" w:color="auto"/>
            </w:tcBorders>
            <w:shd w:val="clear" w:color="auto" w:fill="F2F2F2" w:themeFill="background1" w:themeFillShade="F2"/>
          </w:tcPr>
          <w:p w14:paraId="2DA6EF75" w14:textId="77777777" w:rsidR="0006359E" w:rsidRPr="00F171A3" w:rsidRDefault="0006359E" w:rsidP="00F31936">
            <w:pPr>
              <w:rPr>
                <w:sz w:val="20"/>
                <w:szCs w:val="20"/>
              </w:rPr>
            </w:pPr>
            <w:r w:rsidRPr="00F171A3">
              <w:rPr>
                <w:sz w:val="20"/>
                <w:szCs w:val="20"/>
              </w:rPr>
              <w:t>17.1. Serviciul de Utilități Publice și Monitorizare Spațiu Public</w:t>
            </w:r>
          </w:p>
          <w:p w14:paraId="783D2681" w14:textId="77777777" w:rsidR="0006359E" w:rsidRPr="00F171A3" w:rsidRDefault="0006359E" w:rsidP="00F31936">
            <w:pPr>
              <w:rPr>
                <w:sz w:val="20"/>
                <w:szCs w:val="20"/>
              </w:rPr>
            </w:pPr>
            <w:r w:rsidRPr="00F171A3">
              <w:rPr>
                <w:sz w:val="20"/>
                <w:szCs w:val="20"/>
              </w:rPr>
              <w:t>17.1.1 Compartiment Protecția Mediului și Dezvoltare Durabilă</w:t>
            </w:r>
          </w:p>
          <w:p w14:paraId="5CFB1C3F" w14:textId="77777777" w:rsidR="0006359E" w:rsidRPr="00F171A3" w:rsidRDefault="0006359E" w:rsidP="00F31936">
            <w:pPr>
              <w:rPr>
                <w:sz w:val="20"/>
                <w:szCs w:val="20"/>
              </w:rPr>
            </w:pPr>
            <w:r w:rsidRPr="00F171A3">
              <w:rPr>
                <w:sz w:val="20"/>
                <w:szCs w:val="20"/>
              </w:rPr>
              <w:t>17.2 Birou Adăpost Animale</w:t>
            </w:r>
          </w:p>
        </w:tc>
      </w:tr>
    </w:tbl>
    <w:p w14:paraId="0B8DFE2D" w14:textId="766177F9" w:rsidR="0006359E" w:rsidRPr="00F171A3" w:rsidRDefault="0006359E" w:rsidP="0006359E">
      <w:pPr>
        <w:spacing w:before="240"/>
      </w:pPr>
      <w:r w:rsidRPr="00F171A3">
        <w:t>Conform datelor furnizate de Primăria Sector</w:t>
      </w:r>
      <w:r w:rsidR="00F53B80" w:rsidRPr="00F171A3">
        <w:t xml:space="preserve">ului </w:t>
      </w:r>
      <w:r w:rsidRPr="00F171A3">
        <w:t>2 aferente lunii aprilie 2022, organigrama instituției (aparatul de specialitate) are aprobate 388 de posturi pentru aparatul propriu și ocupate 308, ceea ce corespunde unui grad ridicat de ocupare de 77%. Gradul de ocupare a funcțiilor este ridicat pentru toate serviciile și instituțiile, iar cele mai multe locuri vacante apar în direcțiile constituite sau cu structura organizatorică modificată după aprobarea noii organigrame din martie 2022.</w:t>
      </w:r>
    </w:p>
    <w:p w14:paraId="615CB07B" w14:textId="37EB481C" w:rsidR="0006359E" w:rsidRPr="00F171A3" w:rsidRDefault="00AF2C45" w:rsidP="00AF2C45">
      <w:pPr>
        <w:pStyle w:val="Caption"/>
        <w:rPr>
          <w:b w:val="0"/>
        </w:rPr>
      </w:pPr>
      <w:bookmarkStart w:id="312" w:name="_heading=h.2i9l8ns" w:colFirst="0" w:colLast="0"/>
      <w:bookmarkStart w:id="313" w:name="_Toc126943290"/>
      <w:bookmarkEnd w:id="312"/>
      <w:r w:rsidRPr="00F171A3">
        <w:t xml:space="preserve">Tabel </w:t>
      </w:r>
      <w:r w:rsidRPr="00F171A3">
        <w:fldChar w:fldCharType="begin"/>
      </w:r>
      <w:r w:rsidRPr="00F171A3">
        <w:instrText xml:space="preserve"> SEQ Tabel \* ARABIC </w:instrText>
      </w:r>
      <w:r w:rsidRPr="00F171A3">
        <w:fldChar w:fldCharType="separate"/>
      </w:r>
      <w:r w:rsidR="005A6DD8">
        <w:rPr>
          <w:noProof/>
        </w:rPr>
        <w:t>33</w:t>
      </w:r>
      <w:r w:rsidRPr="00F171A3">
        <w:fldChar w:fldCharType="end"/>
      </w:r>
      <w:r w:rsidRPr="00F171A3">
        <w:t xml:space="preserve"> </w:t>
      </w:r>
      <w:r w:rsidR="0006359E" w:rsidRPr="00F171A3">
        <w:t>Organigrama Primăriei Sector</w:t>
      </w:r>
      <w:r w:rsidR="00F53B80" w:rsidRPr="00F171A3">
        <w:t>ului</w:t>
      </w:r>
      <w:r w:rsidR="0006359E" w:rsidRPr="00F171A3">
        <w:t xml:space="preserve"> 2</w:t>
      </w:r>
      <w:bookmarkEnd w:id="313"/>
    </w:p>
    <w:tbl>
      <w:tblPr>
        <w:tblStyle w:val="ListTable3-Accent21"/>
        <w:tblW w:w="941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5125"/>
        <w:gridCol w:w="1350"/>
        <w:gridCol w:w="1530"/>
        <w:gridCol w:w="1411"/>
      </w:tblGrid>
      <w:tr w:rsidR="0006359E" w:rsidRPr="00F171A3" w14:paraId="64757A83" w14:textId="77777777" w:rsidTr="00507C46">
        <w:trPr>
          <w:cnfStyle w:val="100000000000" w:firstRow="1" w:lastRow="0" w:firstColumn="0" w:lastColumn="0" w:oddVBand="0" w:evenVBand="0" w:oddHBand="0" w:evenHBand="0" w:firstRowFirstColumn="0" w:firstRowLastColumn="0" w:lastRowFirstColumn="0" w:lastRowLastColumn="0"/>
          <w:trHeight w:val="235"/>
        </w:trPr>
        <w:tc>
          <w:tcPr>
            <w:tcW w:w="5125" w:type="dxa"/>
          </w:tcPr>
          <w:p w14:paraId="3BEB3800" w14:textId="77777777" w:rsidR="0006359E" w:rsidRPr="00F171A3" w:rsidRDefault="0006359E" w:rsidP="00F31936">
            <w:pPr>
              <w:jc w:val="center"/>
              <w:rPr>
                <w:sz w:val="20"/>
                <w:szCs w:val="20"/>
              </w:rPr>
            </w:pPr>
            <w:r w:rsidRPr="00F171A3">
              <w:rPr>
                <w:sz w:val="20"/>
                <w:szCs w:val="20"/>
              </w:rPr>
              <w:t>FUNCȚII</w:t>
            </w:r>
          </w:p>
        </w:tc>
        <w:tc>
          <w:tcPr>
            <w:tcW w:w="1350" w:type="dxa"/>
          </w:tcPr>
          <w:p w14:paraId="49D01F42" w14:textId="77777777" w:rsidR="0006359E" w:rsidRPr="00F171A3" w:rsidRDefault="0006359E" w:rsidP="00F31936">
            <w:pPr>
              <w:jc w:val="center"/>
              <w:rPr>
                <w:sz w:val="20"/>
                <w:szCs w:val="20"/>
              </w:rPr>
            </w:pPr>
            <w:r w:rsidRPr="00F171A3">
              <w:rPr>
                <w:sz w:val="20"/>
                <w:szCs w:val="20"/>
              </w:rPr>
              <w:t>NR POSTURI</w:t>
            </w:r>
          </w:p>
        </w:tc>
        <w:tc>
          <w:tcPr>
            <w:tcW w:w="1530" w:type="dxa"/>
          </w:tcPr>
          <w:p w14:paraId="504BF6D9" w14:textId="77777777" w:rsidR="0006359E" w:rsidRPr="00F171A3" w:rsidRDefault="0006359E" w:rsidP="00F31936">
            <w:pPr>
              <w:jc w:val="center"/>
              <w:rPr>
                <w:sz w:val="20"/>
                <w:szCs w:val="20"/>
              </w:rPr>
            </w:pPr>
            <w:r w:rsidRPr="00F171A3">
              <w:rPr>
                <w:sz w:val="20"/>
                <w:szCs w:val="20"/>
              </w:rPr>
              <w:t>OCUPATE</w:t>
            </w:r>
          </w:p>
        </w:tc>
        <w:tc>
          <w:tcPr>
            <w:tcW w:w="1411" w:type="dxa"/>
          </w:tcPr>
          <w:p w14:paraId="0D49D4CD" w14:textId="77777777" w:rsidR="0006359E" w:rsidRPr="00F171A3" w:rsidRDefault="0006359E" w:rsidP="00F31936">
            <w:pPr>
              <w:jc w:val="center"/>
              <w:rPr>
                <w:sz w:val="20"/>
                <w:szCs w:val="20"/>
              </w:rPr>
            </w:pPr>
            <w:r w:rsidRPr="00F171A3">
              <w:rPr>
                <w:sz w:val="20"/>
                <w:szCs w:val="20"/>
              </w:rPr>
              <w:t>VACANTE</w:t>
            </w:r>
          </w:p>
        </w:tc>
      </w:tr>
      <w:tr w:rsidR="0006359E" w:rsidRPr="00F171A3" w14:paraId="46CAC6A6"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09E9DCB8"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Funcții demnitate publică</w:t>
            </w:r>
          </w:p>
        </w:tc>
        <w:tc>
          <w:tcPr>
            <w:tcW w:w="1350" w:type="dxa"/>
            <w:tcBorders>
              <w:top w:val="none" w:sz="0" w:space="0" w:color="auto"/>
              <w:bottom w:val="none" w:sz="0" w:space="0" w:color="auto"/>
            </w:tcBorders>
            <w:shd w:val="clear" w:color="auto" w:fill="F2F2F2" w:themeFill="background1" w:themeFillShade="F2"/>
          </w:tcPr>
          <w:p w14:paraId="6BC52C3F" w14:textId="77777777" w:rsidR="0006359E" w:rsidRPr="00F171A3" w:rsidRDefault="0006359E" w:rsidP="00F31936">
            <w:pPr>
              <w:jc w:val="right"/>
              <w:rPr>
                <w:rFonts w:eastAsia="Calibri" w:cs="Calibri"/>
                <w:color w:val="000000"/>
                <w:sz w:val="20"/>
                <w:szCs w:val="20"/>
              </w:rPr>
            </w:pPr>
            <w:r w:rsidRPr="00F171A3">
              <w:rPr>
                <w:color w:val="000000"/>
                <w:sz w:val="20"/>
                <w:szCs w:val="20"/>
              </w:rPr>
              <w:t>3</w:t>
            </w:r>
          </w:p>
        </w:tc>
        <w:tc>
          <w:tcPr>
            <w:tcW w:w="1530" w:type="dxa"/>
            <w:tcBorders>
              <w:top w:val="none" w:sz="0" w:space="0" w:color="auto"/>
              <w:bottom w:val="none" w:sz="0" w:space="0" w:color="auto"/>
            </w:tcBorders>
            <w:shd w:val="clear" w:color="auto" w:fill="F2F2F2" w:themeFill="background1" w:themeFillShade="F2"/>
          </w:tcPr>
          <w:p w14:paraId="063F6FF1" w14:textId="77777777" w:rsidR="0006359E" w:rsidRPr="00F171A3" w:rsidRDefault="0006359E" w:rsidP="00F31936">
            <w:pPr>
              <w:jc w:val="right"/>
              <w:rPr>
                <w:rFonts w:eastAsia="Calibri" w:cs="Calibri"/>
                <w:color w:val="000000"/>
                <w:sz w:val="20"/>
                <w:szCs w:val="20"/>
              </w:rPr>
            </w:pPr>
            <w:r w:rsidRPr="00F171A3">
              <w:rPr>
                <w:color w:val="000000"/>
                <w:sz w:val="20"/>
                <w:szCs w:val="20"/>
              </w:rPr>
              <w:t>3</w:t>
            </w:r>
          </w:p>
        </w:tc>
        <w:tc>
          <w:tcPr>
            <w:tcW w:w="1411" w:type="dxa"/>
            <w:tcBorders>
              <w:top w:val="none" w:sz="0" w:space="0" w:color="auto"/>
              <w:bottom w:val="none" w:sz="0" w:space="0" w:color="auto"/>
            </w:tcBorders>
            <w:shd w:val="clear" w:color="auto" w:fill="F2F2F2" w:themeFill="background1" w:themeFillShade="F2"/>
          </w:tcPr>
          <w:p w14:paraId="4AB61830" w14:textId="77777777" w:rsidR="0006359E" w:rsidRPr="00F171A3" w:rsidRDefault="0006359E" w:rsidP="00F31936">
            <w:pPr>
              <w:jc w:val="right"/>
              <w:rPr>
                <w:rFonts w:eastAsia="Calibri" w:cs="Calibri"/>
                <w:color w:val="000000"/>
                <w:sz w:val="20"/>
                <w:szCs w:val="20"/>
              </w:rPr>
            </w:pPr>
            <w:r w:rsidRPr="00F171A3">
              <w:rPr>
                <w:color w:val="000000"/>
                <w:sz w:val="20"/>
                <w:szCs w:val="20"/>
              </w:rPr>
              <w:t>0</w:t>
            </w:r>
          </w:p>
        </w:tc>
      </w:tr>
      <w:tr w:rsidR="0006359E" w:rsidRPr="00F171A3" w14:paraId="26437875" w14:textId="77777777" w:rsidTr="00507C46">
        <w:trPr>
          <w:trHeight w:val="235"/>
        </w:trPr>
        <w:tc>
          <w:tcPr>
            <w:tcW w:w="5125" w:type="dxa"/>
            <w:shd w:val="clear" w:color="auto" w:fill="F2F2F2" w:themeFill="background1" w:themeFillShade="F2"/>
          </w:tcPr>
          <w:p w14:paraId="6C33A6A5"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Cabinet primar</w:t>
            </w:r>
          </w:p>
        </w:tc>
        <w:tc>
          <w:tcPr>
            <w:tcW w:w="1350" w:type="dxa"/>
            <w:shd w:val="clear" w:color="auto" w:fill="F2F2F2" w:themeFill="background1" w:themeFillShade="F2"/>
          </w:tcPr>
          <w:p w14:paraId="148CE7B4" w14:textId="77777777" w:rsidR="0006359E" w:rsidRPr="00F171A3" w:rsidRDefault="0006359E" w:rsidP="00F31936">
            <w:pPr>
              <w:jc w:val="right"/>
              <w:rPr>
                <w:rFonts w:eastAsia="Calibri" w:cs="Calibri"/>
                <w:color w:val="000000"/>
                <w:sz w:val="20"/>
                <w:szCs w:val="20"/>
              </w:rPr>
            </w:pPr>
            <w:r w:rsidRPr="00F171A3">
              <w:rPr>
                <w:color w:val="000000"/>
                <w:sz w:val="20"/>
                <w:szCs w:val="20"/>
              </w:rPr>
              <w:t>6</w:t>
            </w:r>
          </w:p>
        </w:tc>
        <w:tc>
          <w:tcPr>
            <w:tcW w:w="1530" w:type="dxa"/>
            <w:shd w:val="clear" w:color="auto" w:fill="F2F2F2" w:themeFill="background1" w:themeFillShade="F2"/>
          </w:tcPr>
          <w:p w14:paraId="7CA19D42" w14:textId="77777777" w:rsidR="0006359E" w:rsidRPr="00F171A3" w:rsidRDefault="0006359E" w:rsidP="00F31936">
            <w:pPr>
              <w:jc w:val="right"/>
              <w:rPr>
                <w:rFonts w:eastAsia="Calibri" w:cs="Calibri"/>
                <w:color w:val="000000"/>
                <w:sz w:val="20"/>
                <w:szCs w:val="20"/>
              </w:rPr>
            </w:pPr>
            <w:r w:rsidRPr="00F171A3">
              <w:rPr>
                <w:color w:val="000000"/>
                <w:sz w:val="20"/>
                <w:szCs w:val="20"/>
              </w:rPr>
              <w:t>6</w:t>
            </w:r>
          </w:p>
        </w:tc>
        <w:tc>
          <w:tcPr>
            <w:tcW w:w="1411" w:type="dxa"/>
            <w:shd w:val="clear" w:color="auto" w:fill="F2F2F2" w:themeFill="background1" w:themeFillShade="F2"/>
          </w:tcPr>
          <w:p w14:paraId="5F1AE802" w14:textId="77777777" w:rsidR="0006359E" w:rsidRPr="00F171A3" w:rsidRDefault="0006359E" w:rsidP="00F31936">
            <w:pPr>
              <w:jc w:val="right"/>
              <w:rPr>
                <w:rFonts w:eastAsia="Calibri" w:cs="Calibri"/>
                <w:color w:val="000000"/>
                <w:sz w:val="20"/>
                <w:szCs w:val="20"/>
              </w:rPr>
            </w:pPr>
            <w:r w:rsidRPr="00F171A3">
              <w:rPr>
                <w:color w:val="000000"/>
                <w:sz w:val="20"/>
                <w:szCs w:val="20"/>
              </w:rPr>
              <w:t>0</w:t>
            </w:r>
          </w:p>
        </w:tc>
      </w:tr>
      <w:tr w:rsidR="0006359E" w:rsidRPr="00F171A3" w14:paraId="1B444CE5"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0570F148"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cabinet viceprimari</w:t>
            </w:r>
          </w:p>
        </w:tc>
        <w:tc>
          <w:tcPr>
            <w:tcW w:w="1350" w:type="dxa"/>
            <w:tcBorders>
              <w:top w:val="none" w:sz="0" w:space="0" w:color="auto"/>
              <w:bottom w:val="none" w:sz="0" w:space="0" w:color="auto"/>
            </w:tcBorders>
            <w:shd w:val="clear" w:color="auto" w:fill="F2F2F2" w:themeFill="background1" w:themeFillShade="F2"/>
          </w:tcPr>
          <w:p w14:paraId="58E5034A" w14:textId="77777777" w:rsidR="0006359E" w:rsidRPr="00F171A3" w:rsidRDefault="0006359E" w:rsidP="00F31936">
            <w:pPr>
              <w:jc w:val="right"/>
              <w:rPr>
                <w:rFonts w:eastAsia="Calibri" w:cs="Calibri"/>
                <w:color w:val="000000"/>
                <w:sz w:val="20"/>
                <w:szCs w:val="20"/>
              </w:rPr>
            </w:pPr>
            <w:r w:rsidRPr="00F171A3">
              <w:rPr>
                <w:color w:val="000000"/>
                <w:sz w:val="20"/>
                <w:szCs w:val="20"/>
              </w:rPr>
              <w:t>4</w:t>
            </w:r>
          </w:p>
        </w:tc>
        <w:tc>
          <w:tcPr>
            <w:tcW w:w="1530" w:type="dxa"/>
            <w:tcBorders>
              <w:top w:val="none" w:sz="0" w:space="0" w:color="auto"/>
              <w:bottom w:val="none" w:sz="0" w:space="0" w:color="auto"/>
            </w:tcBorders>
            <w:shd w:val="clear" w:color="auto" w:fill="F2F2F2" w:themeFill="background1" w:themeFillShade="F2"/>
          </w:tcPr>
          <w:p w14:paraId="64BC0732" w14:textId="77777777" w:rsidR="0006359E" w:rsidRPr="00F171A3" w:rsidRDefault="0006359E" w:rsidP="00F31936">
            <w:pPr>
              <w:jc w:val="right"/>
              <w:rPr>
                <w:rFonts w:eastAsia="Calibri" w:cs="Calibri"/>
                <w:color w:val="000000"/>
                <w:sz w:val="20"/>
                <w:szCs w:val="20"/>
              </w:rPr>
            </w:pPr>
            <w:r w:rsidRPr="00F171A3">
              <w:rPr>
                <w:color w:val="000000"/>
                <w:sz w:val="20"/>
                <w:szCs w:val="20"/>
              </w:rPr>
              <w:t>4</w:t>
            </w:r>
          </w:p>
        </w:tc>
        <w:tc>
          <w:tcPr>
            <w:tcW w:w="1411" w:type="dxa"/>
            <w:tcBorders>
              <w:top w:val="none" w:sz="0" w:space="0" w:color="auto"/>
              <w:bottom w:val="none" w:sz="0" w:space="0" w:color="auto"/>
            </w:tcBorders>
            <w:shd w:val="clear" w:color="auto" w:fill="F2F2F2" w:themeFill="background1" w:themeFillShade="F2"/>
          </w:tcPr>
          <w:p w14:paraId="1C6CF6C9" w14:textId="77777777" w:rsidR="0006359E" w:rsidRPr="00F171A3" w:rsidRDefault="0006359E" w:rsidP="00F31936">
            <w:pPr>
              <w:jc w:val="right"/>
              <w:rPr>
                <w:rFonts w:eastAsia="Calibri" w:cs="Calibri"/>
                <w:color w:val="000000"/>
                <w:sz w:val="20"/>
                <w:szCs w:val="20"/>
              </w:rPr>
            </w:pPr>
            <w:r w:rsidRPr="00F171A3">
              <w:rPr>
                <w:color w:val="000000"/>
                <w:sz w:val="20"/>
                <w:szCs w:val="20"/>
              </w:rPr>
              <w:t>0</w:t>
            </w:r>
          </w:p>
        </w:tc>
      </w:tr>
      <w:tr w:rsidR="0006359E" w:rsidRPr="00F171A3" w14:paraId="13D14333" w14:textId="77777777" w:rsidTr="00507C46">
        <w:trPr>
          <w:trHeight w:val="235"/>
        </w:trPr>
        <w:tc>
          <w:tcPr>
            <w:tcW w:w="5125" w:type="dxa"/>
            <w:shd w:val="clear" w:color="auto" w:fill="F2F2F2" w:themeFill="background1" w:themeFillShade="F2"/>
          </w:tcPr>
          <w:p w14:paraId="2646B8CC"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 xml:space="preserve">Administrator public </w:t>
            </w:r>
          </w:p>
        </w:tc>
        <w:tc>
          <w:tcPr>
            <w:tcW w:w="1350" w:type="dxa"/>
            <w:shd w:val="clear" w:color="auto" w:fill="F2F2F2" w:themeFill="background1" w:themeFillShade="F2"/>
          </w:tcPr>
          <w:p w14:paraId="022C2827" w14:textId="77777777" w:rsidR="0006359E" w:rsidRPr="00F171A3" w:rsidRDefault="0006359E" w:rsidP="00F31936">
            <w:pPr>
              <w:jc w:val="right"/>
              <w:rPr>
                <w:rFonts w:eastAsia="Calibri" w:cs="Calibri"/>
                <w:color w:val="000000"/>
                <w:sz w:val="20"/>
                <w:szCs w:val="20"/>
              </w:rPr>
            </w:pPr>
            <w:r w:rsidRPr="00F171A3">
              <w:rPr>
                <w:color w:val="000000"/>
                <w:sz w:val="20"/>
                <w:szCs w:val="20"/>
              </w:rPr>
              <w:t>1</w:t>
            </w:r>
          </w:p>
        </w:tc>
        <w:tc>
          <w:tcPr>
            <w:tcW w:w="1530" w:type="dxa"/>
            <w:shd w:val="clear" w:color="auto" w:fill="F2F2F2" w:themeFill="background1" w:themeFillShade="F2"/>
          </w:tcPr>
          <w:p w14:paraId="730D22ED" w14:textId="77777777" w:rsidR="0006359E" w:rsidRPr="00F171A3" w:rsidRDefault="0006359E" w:rsidP="00F31936">
            <w:pPr>
              <w:jc w:val="right"/>
              <w:rPr>
                <w:rFonts w:eastAsia="Calibri" w:cs="Calibri"/>
                <w:color w:val="000000"/>
                <w:sz w:val="20"/>
                <w:szCs w:val="20"/>
              </w:rPr>
            </w:pPr>
            <w:r w:rsidRPr="00F171A3">
              <w:rPr>
                <w:color w:val="000000"/>
                <w:sz w:val="20"/>
                <w:szCs w:val="20"/>
              </w:rPr>
              <w:t>1</w:t>
            </w:r>
          </w:p>
        </w:tc>
        <w:tc>
          <w:tcPr>
            <w:tcW w:w="1411" w:type="dxa"/>
            <w:shd w:val="clear" w:color="auto" w:fill="F2F2F2" w:themeFill="background1" w:themeFillShade="F2"/>
          </w:tcPr>
          <w:p w14:paraId="5A01D83B" w14:textId="77777777" w:rsidR="0006359E" w:rsidRPr="00F171A3" w:rsidRDefault="0006359E" w:rsidP="00F31936">
            <w:pPr>
              <w:jc w:val="right"/>
              <w:rPr>
                <w:rFonts w:eastAsia="Calibri" w:cs="Calibri"/>
                <w:color w:val="000000"/>
                <w:sz w:val="20"/>
                <w:szCs w:val="20"/>
              </w:rPr>
            </w:pPr>
            <w:r w:rsidRPr="00F171A3">
              <w:rPr>
                <w:color w:val="000000"/>
                <w:sz w:val="20"/>
                <w:szCs w:val="20"/>
              </w:rPr>
              <w:t>0</w:t>
            </w:r>
          </w:p>
        </w:tc>
      </w:tr>
      <w:tr w:rsidR="0006359E" w:rsidRPr="00F171A3" w14:paraId="7E19006F"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5E0BC75A"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Arhitect Șef</w:t>
            </w:r>
          </w:p>
        </w:tc>
        <w:tc>
          <w:tcPr>
            <w:tcW w:w="1350" w:type="dxa"/>
            <w:tcBorders>
              <w:top w:val="none" w:sz="0" w:space="0" w:color="auto"/>
              <w:bottom w:val="none" w:sz="0" w:space="0" w:color="auto"/>
            </w:tcBorders>
            <w:shd w:val="clear" w:color="auto" w:fill="F2F2F2" w:themeFill="background1" w:themeFillShade="F2"/>
          </w:tcPr>
          <w:p w14:paraId="04EBC102" w14:textId="77777777" w:rsidR="0006359E" w:rsidRPr="00F171A3" w:rsidRDefault="0006359E" w:rsidP="00F31936">
            <w:pPr>
              <w:jc w:val="right"/>
              <w:rPr>
                <w:rFonts w:eastAsia="Calibri" w:cs="Calibri"/>
                <w:color w:val="000000"/>
                <w:sz w:val="20"/>
                <w:szCs w:val="20"/>
              </w:rPr>
            </w:pPr>
            <w:r w:rsidRPr="00F171A3">
              <w:rPr>
                <w:color w:val="000000"/>
                <w:sz w:val="20"/>
                <w:szCs w:val="20"/>
              </w:rPr>
              <w:t>1</w:t>
            </w:r>
          </w:p>
        </w:tc>
        <w:tc>
          <w:tcPr>
            <w:tcW w:w="1530" w:type="dxa"/>
            <w:tcBorders>
              <w:top w:val="none" w:sz="0" w:space="0" w:color="auto"/>
              <w:bottom w:val="none" w:sz="0" w:space="0" w:color="auto"/>
            </w:tcBorders>
            <w:shd w:val="clear" w:color="auto" w:fill="F2F2F2" w:themeFill="background1" w:themeFillShade="F2"/>
          </w:tcPr>
          <w:p w14:paraId="6358201F" w14:textId="77777777" w:rsidR="0006359E" w:rsidRPr="00F171A3" w:rsidRDefault="0006359E" w:rsidP="00F31936">
            <w:pPr>
              <w:jc w:val="right"/>
              <w:rPr>
                <w:rFonts w:eastAsia="Calibri" w:cs="Calibri"/>
                <w:color w:val="000000"/>
                <w:sz w:val="20"/>
                <w:szCs w:val="20"/>
              </w:rPr>
            </w:pPr>
            <w:r w:rsidRPr="00F171A3">
              <w:rPr>
                <w:color w:val="000000"/>
                <w:sz w:val="20"/>
                <w:szCs w:val="20"/>
              </w:rPr>
              <w:t>1</w:t>
            </w:r>
          </w:p>
        </w:tc>
        <w:tc>
          <w:tcPr>
            <w:tcW w:w="1411" w:type="dxa"/>
            <w:tcBorders>
              <w:top w:val="none" w:sz="0" w:space="0" w:color="auto"/>
              <w:bottom w:val="none" w:sz="0" w:space="0" w:color="auto"/>
            </w:tcBorders>
            <w:shd w:val="clear" w:color="auto" w:fill="F2F2F2" w:themeFill="background1" w:themeFillShade="F2"/>
          </w:tcPr>
          <w:p w14:paraId="46D54085" w14:textId="77777777" w:rsidR="0006359E" w:rsidRPr="00F171A3" w:rsidRDefault="0006359E" w:rsidP="00F31936">
            <w:pPr>
              <w:jc w:val="right"/>
              <w:rPr>
                <w:rFonts w:eastAsia="Calibri" w:cs="Calibri"/>
                <w:color w:val="000000"/>
                <w:sz w:val="20"/>
                <w:szCs w:val="20"/>
              </w:rPr>
            </w:pPr>
            <w:r w:rsidRPr="00F171A3">
              <w:rPr>
                <w:color w:val="000000"/>
                <w:sz w:val="20"/>
                <w:szCs w:val="20"/>
              </w:rPr>
              <w:t>0</w:t>
            </w:r>
          </w:p>
        </w:tc>
      </w:tr>
      <w:tr w:rsidR="0006359E" w:rsidRPr="00F171A3" w14:paraId="11DD46E1" w14:textId="77777777" w:rsidTr="00507C46">
        <w:trPr>
          <w:trHeight w:val="235"/>
        </w:trPr>
        <w:tc>
          <w:tcPr>
            <w:tcW w:w="5125" w:type="dxa"/>
            <w:shd w:val="clear" w:color="auto" w:fill="F2F2F2" w:themeFill="background1" w:themeFillShade="F2"/>
          </w:tcPr>
          <w:p w14:paraId="2032A587"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 xml:space="preserve">Secretar General </w:t>
            </w:r>
          </w:p>
        </w:tc>
        <w:tc>
          <w:tcPr>
            <w:tcW w:w="1350" w:type="dxa"/>
            <w:shd w:val="clear" w:color="auto" w:fill="F2F2F2" w:themeFill="background1" w:themeFillShade="F2"/>
          </w:tcPr>
          <w:p w14:paraId="5204E19E" w14:textId="77777777" w:rsidR="0006359E" w:rsidRPr="00F171A3" w:rsidRDefault="0006359E" w:rsidP="00F31936">
            <w:pPr>
              <w:jc w:val="right"/>
              <w:rPr>
                <w:rFonts w:eastAsia="Calibri" w:cs="Calibri"/>
                <w:color w:val="000000"/>
                <w:sz w:val="20"/>
                <w:szCs w:val="20"/>
              </w:rPr>
            </w:pPr>
            <w:r w:rsidRPr="00F171A3">
              <w:rPr>
                <w:color w:val="000000"/>
                <w:sz w:val="20"/>
                <w:szCs w:val="20"/>
              </w:rPr>
              <w:t>1</w:t>
            </w:r>
          </w:p>
        </w:tc>
        <w:tc>
          <w:tcPr>
            <w:tcW w:w="1530" w:type="dxa"/>
            <w:shd w:val="clear" w:color="auto" w:fill="F2F2F2" w:themeFill="background1" w:themeFillShade="F2"/>
          </w:tcPr>
          <w:p w14:paraId="20503F5F" w14:textId="77777777" w:rsidR="0006359E" w:rsidRPr="00F171A3" w:rsidRDefault="0006359E" w:rsidP="00F31936">
            <w:pPr>
              <w:jc w:val="right"/>
              <w:rPr>
                <w:rFonts w:eastAsia="Calibri" w:cs="Calibri"/>
                <w:color w:val="000000"/>
                <w:sz w:val="20"/>
                <w:szCs w:val="20"/>
              </w:rPr>
            </w:pPr>
            <w:r w:rsidRPr="00F171A3">
              <w:rPr>
                <w:color w:val="000000"/>
                <w:sz w:val="20"/>
                <w:szCs w:val="20"/>
              </w:rPr>
              <w:t>1</w:t>
            </w:r>
          </w:p>
        </w:tc>
        <w:tc>
          <w:tcPr>
            <w:tcW w:w="1411" w:type="dxa"/>
            <w:shd w:val="clear" w:color="auto" w:fill="F2F2F2" w:themeFill="background1" w:themeFillShade="F2"/>
          </w:tcPr>
          <w:p w14:paraId="419BD23D" w14:textId="77777777" w:rsidR="0006359E" w:rsidRPr="00F171A3" w:rsidRDefault="0006359E" w:rsidP="00F31936">
            <w:pPr>
              <w:jc w:val="right"/>
              <w:rPr>
                <w:rFonts w:eastAsia="Calibri" w:cs="Calibri"/>
                <w:color w:val="000000"/>
                <w:sz w:val="20"/>
                <w:szCs w:val="20"/>
              </w:rPr>
            </w:pPr>
            <w:r w:rsidRPr="00F171A3">
              <w:rPr>
                <w:color w:val="000000"/>
                <w:sz w:val="20"/>
                <w:szCs w:val="20"/>
              </w:rPr>
              <w:t>0</w:t>
            </w:r>
          </w:p>
        </w:tc>
      </w:tr>
      <w:tr w:rsidR="0006359E" w:rsidRPr="00F171A3" w14:paraId="76A9650F"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70F4DB9C"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economică</w:t>
            </w:r>
          </w:p>
        </w:tc>
        <w:tc>
          <w:tcPr>
            <w:tcW w:w="1350" w:type="dxa"/>
            <w:tcBorders>
              <w:top w:val="none" w:sz="0" w:space="0" w:color="auto"/>
              <w:bottom w:val="none" w:sz="0" w:space="0" w:color="auto"/>
            </w:tcBorders>
            <w:shd w:val="clear" w:color="auto" w:fill="F2F2F2" w:themeFill="background1" w:themeFillShade="F2"/>
          </w:tcPr>
          <w:p w14:paraId="7C99E083" w14:textId="77777777" w:rsidR="0006359E" w:rsidRPr="00F171A3" w:rsidRDefault="0006359E" w:rsidP="00F31936">
            <w:pPr>
              <w:jc w:val="right"/>
              <w:rPr>
                <w:rFonts w:eastAsia="Calibri" w:cs="Calibri"/>
                <w:color w:val="000000"/>
                <w:sz w:val="20"/>
                <w:szCs w:val="20"/>
              </w:rPr>
            </w:pPr>
            <w:r w:rsidRPr="00F171A3">
              <w:rPr>
                <w:color w:val="000000"/>
                <w:sz w:val="20"/>
                <w:szCs w:val="20"/>
              </w:rPr>
              <w:t>27</w:t>
            </w:r>
          </w:p>
        </w:tc>
        <w:tc>
          <w:tcPr>
            <w:tcW w:w="1530" w:type="dxa"/>
            <w:tcBorders>
              <w:top w:val="none" w:sz="0" w:space="0" w:color="auto"/>
              <w:bottom w:val="none" w:sz="0" w:space="0" w:color="auto"/>
            </w:tcBorders>
            <w:shd w:val="clear" w:color="auto" w:fill="F2F2F2" w:themeFill="background1" w:themeFillShade="F2"/>
          </w:tcPr>
          <w:p w14:paraId="3646F0B6" w14:textId="77777777" w:rsidR="0006359E" w:rsidRPr="00F171A3" w:rsidRDefault="0006359E" w:rsidP="00F31936">
            <w:pPr>
              <w:jc w:val="right"/>
              <w:rPr>
                <w:rFonts w:eastAsia="Calibri" w:cs="Calibri"/>
                <w:color w:val="000000"/>
                <w:sz w:val="20"/>
                <w:szCs w:val="20"/>
              </w:rPr>
            </w:pPr>
            <w:r w:rsidRPr="00F171A3">
              <w:rPr>
                <w:color w:val="000000"/>
                <w:sz w:val="20"/>
                <w:szCs w:val="20"/>
              </w:rPr>
              <w:t>26</w:t>
            </w:r>
          </w:p>
        </w:tc>
        <w:tc>
          <w:tcPr>
            <w:tcW w:w="1411" w:type="dxa"/>
            <w:tcBorders>
              <w:top w:val="none" w:sz="0" w:space="0" w:color="auto"/>
              <w:bottom w:val="none" w:sz="0" w:space="0" w:color="auto"/>
            </w:tcBorders>
            <w:shd w:val="clear" w:color="auto" w:fill="F2F2F2" w:themeFill="background1" w:themeFillShade="F2"/>
          </w:tcPr>
          <w:p w14:paraId="5A8D37FA" w14:textId="77777777" w:rsidR="0006359E" w:rsidRPr="00F171A3" w:rsidRDefault="0006359E" w:rsidP="00F31936">
            <w:pPr>
              <w:jc w:val="right"/>
              <w:rPr>
                <w:rFonts w:eastAsia="Calibri" w:cs="Calibri"/>
                <w:color w:val="000000"/>
                <w:sz w:val="20"/>
                <w:szCs w:val="20"/>
              </w:rPr>
            </w:pPr>
            <w:r w:rsidRPr="00F171A3">
              <w:rPr>
                <w:color w:val="000000"/>
                <w:sz w:val="20"/>
                <w:szCs w:val="20"/>
              </w:rPr>
              <w:t>1</w:t>
            </w:r>
          </w:p>
        </w:tc>
      </w:tr>
      <w:tr w:rsidR="0006359E" w:rsidRPr="00F171A3" w14:paraId="443C05F3" w14:textId="77777777" w:rsidTr="00507C46">
        <w:trPr>
          <w:trHeight w:val="235"/>
        </w:trPr>
        <w:tc>
          <w:tcPr>
            <w:tcW w:w="5125" w:type="dxa"/>
            <w:shd w:val="clear" w:color="auto" w:fill="F2F2F2" w:themeFill="background1" w:themeFillShade="F2"/>
          </w:tcPr>
          <w:p w14:paraId="5B96D839"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achiziții</w:t>
            </w:r>
          </w:p>
        </w:tc>
        <w:tc>
          <w:tcPr>
            <w:tcW w:w="1350" w:type="dxa"/>
            <w:shd w:val="clear" w:color="auto" w:fill="F2F2F2" w:themeFill="background1" w:themeFillShade="F2"/>
          </w:tcPr>
          <w:p w14:paraId="44F1F293" w14:textId="77777777" w:rsidR="0006359E" w:rsidRPr="00F171A3" w:rsidRDefault="0006359E" w:rsidP="00F31936">
            <w:pPr>
              <w:jc w:val="right"/>
              <w:rPr>
                <w:rFonts w:eastAsia="Calibri" w:cs="Calibri"/>
                <w:color w:val="000000"/>
                <w:sz w:val="20"/>
                <w:szCs w:val="20"/>
              </w:rPr>
            </w:pPr>
            <w:r w:rsidRPr="00F171A3">
              <w:rPr>
                <w:color w:val="000000"/>
                <w:sz w:val="20"/>
                <w:szCs w:val="20"/>
              </w:rPr>
              <w:t>17</w:t>
            </w:r>
          </w:p>
        </w:tc>
        <w:tc>
          <w:tcPr>
            <w:tcW w:w="1530" w:type="dxa"/>
            <w:shd w:val="clear" w:color="auto" w:fill="F2F2F2" w:themeFill="background1" w:themeFillShade="F2"/>
          </w:tcPr>
          <w:p w14:paraId="10F3D283" w14:textId="77777777" w:rsidR="0006359E" w:rsidRPr="00F171A3" w:rsidRDefault="0006359E" w:rsidP="00F31936">
            <w:pPr>
              <w:jc w:val="right"/>
              <w:rPr>
                <w:rFonts w:eastAsia="Calibri" w:cs="Calibri"/>
                <w:color w:val="000000"/>
                <w:sz w:val="20"/>
                <w:szCs w:val="20"/>
              </w:rPr>
            </w:pPr>
            <w:r w:rsidRPr="00F171A3">
              <w:rPr>
                <w:color w:val="000000"/>
                <w:sz w:val="20"/>
                <w:szCs w:val="20"/>
              </w:rPr>
              <w:t>11</w:t>
            </w:r>
          </w:p>
        </w:tc>
        <w:tc>
          <w:tcPr>
            <w:tcW w:w="1411" w:type="dxa"/>
            <w:shd w:val="clear" w:color="auto" w:fill="F2F2F2" w:themeFill="background1" w:themeFillShade="F2"/>
          </w:tcPr>
          <w:p w14:paraId="74DFAEA6" w14:textId="77777777" w:rsidR="0006359E" w:rsidRPr="00F171A3" w:rsidRDefault="0006359E" w:rsidP="00F31936">
            <w:pPr>
              <w:jc w:val="right"/>
              <w:rPr>
                <w:rFonts w:eastAsia="Calibri" w:cs="Calibri"/>
                <w:color w:val="000000"/>
                <w:sz w:val="20"/>
                <w:szCs w:val="20"/>
              </w:rPr>
            </w:pPr>
            <w:r w:rsidRPr="00F171A3">
              <w:rPr>
                <w:color w:val="000000"/>
                <w:sz w:val="20"/>
                <w:szCs w:val="20"/>
              </w:rPr>
              <w:t>6</w:t>
            </w:r>
          </w:p>
        </w:tc>
      </w:tr>
      <w:tr w:rsidR="0006359E" w:rsidRPr="00F171A3" w14:paraId="04DA2FC6"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4DBD07A1"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Urbanism Cadastru și Gestionare Teritoriu</w:t>
            </w:r>
          </w:p>
        </w:tc>
        <w:tc>
          <w:tcPr>
            <w:tcW w:w="1350" w:type="dxa"/>
            <w:tcBorders>
              <w:top w:val="none" w:sz="0" w:space="0" w:color="auto"/>
              <w:bottom w:val="none" w:sz="0" w:space="0" w:color="auto"/>
            </w:tcBorders>
            <w:shd w:val="clear" w:color="auto" w:fill="F2F2F2" w:themeFill="background1" w:themeFillShade="F2"/>
          </w:tcPr>
          <w:p w14:paraId="67DA88D9" w14:textId="77777777" w:rsidR="0006359E" w:rsidRPr="00F171A3" w:rsidRDefault="0006359E" w:rsidP="00F31936">
            <w:pPr>
              <w:jc w:val="right"/>
              <w:rPr>
                <w:rFonts w:eastAsia="Calibri" w:cs="Calibri"/>
                <w:color w:val="000000"/>
                <w:sz w:val="20"/>
                <w:szCs w:val="20"/>
              </w:rPr>
            </w:pPr>
            <w:r w:rsidRPr="00F171A3">
              <w:rPr>
                <w:color w:val="000000"/>
                <w:sz w:val="20"/>
                <w:szCs w:val="20"/>
              </w:rPr>
              <w:t>37</w:t>
            </w:r>
          </w:p>
        </w:tc>
        <w:tc>
          <w:tcPr>
            <w:tcW w:w="1530" w:type="dxa"/>
            <w:tcBorders>
              <w:top w:val="none" w:sz="0" w:space="0" w:color="auto"/>
              <w:bottom w:val="none" w:sz="0" w:space="0" w:color="auto"/>
            </w:tcBorders>
            <w:shd w:val="clear" w:color="auto" w:fill="F2F2F2" w:themeFill="background1" w:themeFillShade="F2"/>
          </w:tcPr>
          <w:p w14:paraId="45C0D31C" w14:textId="77777777" w:rsidR="0006359E" w:rsidRPr="00F171A3" w:rsidRDefault="0006359E" w:rsidP="00F31936">
            <w:pPr>
              <w:jc w:val="right"/>
              <w:rPr>
                <w:rFonts w:eastAsia="Calibri" w:cs="Calibri"/>
                <w:color w:val="000000"/>
                <w:sz w:val="20"/>
                <w:szCs w:val="20"/>
              </w:rPr>
            </w:pPr>
            <w:r w:rsidRPr="00F171A3">
              <w:rPr>
                <w:color w:val="000000"/>
                <w:sz w:val="20"/>
                <w:szCs w:val="20"/>
              </w:rPr>
              <w:t>30</w:t>
            </w:r>
          </w:p>
        </w:tc>
        <w:tc>
          <w:tcPr>
            <w:tcW w:w="1411" w:type="dxa"/>
            <w:tcBorders>
              <w:top w:val="none" w:sz="0" w:space="0" w:color="auto"/>
              <w:bottom w:val="none" w:sz="0" w:space="0" w:color="auto"/>
            </w:tcBorders>
            <w:shd w:val="clear" w:color="auto" w:fill="F2F2F2" w:themeFill="background1" w:themeFillShade="F2"/>
          </w:tcPr>
          <w:p w14:paraId="116FB0B1" w14:textId="77777777" w:rsidR="0006359E" w:rsidRPr="00F171A3" w:rsidRDefault="0006359E" w:rsidP="00F31936">
            <w:pPr>
              <w:jc w:val="right"/>
              <w:rPr>
                <w:rFonts w:eastAsia="Calibri" w:cs="Calibri"/>
                <w:color w:val="000000"/>
                <w:sz w:val="20"/>
                <w:szCs w:val="20"/>
              </w:rPr>
            </w:pPr>
            <w:r w:rsidRPr="00F171A3">
              <w:rPr>
                <w:color w:val="000000"/>
                <w:sz w:val="20"/>
                <w:szCs w:val="20"/>
              </w:rPr>
              <w:t>7</w:t>
            </w:r>
          </w:p>
        </w:tc>
      </w:tr>
      <w:tr w:rsidR="0006359E" w:rsidRPr="00F171A3" w14:paraId="1E39AEC1" w14:textId="77777777" w:rsidTr="00507C46">
        <w:trPr>
          <w:trHeight w:val="235"/>
        </w:trPr>
        <w:tc>
          <w:tcPr>
            <w:tcW w:w="5125" w:type="dxa"/>
            <w:shd w:val="clear" w:color="auto" w:fill="F2F2F2" w:themeFill="background1" w:themeFillShade="F2"/>
          </w:tcPr>
          <w:p w14:paraId="41677E9E"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Audit Public Intern</w:t>
            </w:r>
          </w:p>
        </w:tc>
        <w:tc>
          <w:tcPr>
            <w:tcW w:w="1350" w:type="dxa"/>
            <w:shd w:val="clear" w:color="auto" w:fill="F2F2F2" w:themeFill="background1" w:themeFillShade="F2"/>
          </w:tcPr>
          <w:p w14:paraId="3A715C60" w14:textId="77777777" w:rsidR="0006359E" w:rsidRPr="00F171A3" w:rsidRDefault="0006359E" w:rsidP="00F31936">
            <w:pPr>
              <w:jc w:val="right"/>
              <w:rPr>
                <w:rFonts w:eastAsia="Calibri" w:cs="Calibri"/>
                <w:color w:val="000000"/>
                <w:sz w:val="20"/>
                <w:szCs w:val="20"/>
              </w:rPr>
            </w:pPr>
            <w:r w:rsidRPr="00F171A3">
              <w:rPr>
                <w:color w:val="000000"/>
                <w:sz w:val="20"/>
                <w:szCs w:val="20"/>
              </w:rPr>
              <w:t>18</w:t>
            </w:r>
          </w:p>
        </w:tc>
        <w:tc>
          <w:tcPr>
            <w:tcW w:w="1530" w:type="dxa"/>
            <w:shd w:val="clear" w:color="auto" w:fill="F2F2F2" w:themeFill="background1" w:themeFillShade="F2"/>
          </w:tcPr>
          <w:p w14:paraId="29F194B6" w14:textId="77777777" w:rsidR="0006359E" w:rsidRPr="00F171A3" w:rsidRDefault="0006359E" w:rsidP="00F31936">
            <w:pPr>
              <w:jc w:val="right"/>
              <w:rPr>
                <w:rFonts w:eastAsia="Calibri" w:cs="Calibri"/>
                <w:color w:val="000000"/>
                <w:sz w:val="20"/>
                <w:szCs w:val="20"/>
              </w:rPr>
            </w:pPr>
            <w:r w:rsidRPr="00F171A3">
              <w:rPr>
                <w:color w:val="000000"/>
                <w:sz w:val="20"/>
                <w:szCs w:val="20"/>
              </w:rPr>
              <w:t>16</w:t>
            </w:r>
          </w:p>
        </w:tc>
        <w:tc>
          <w:tcPr>
            <w:tcW w:w="1411" w:type="dxa"/>
            <w:shd w:val="clear" w:color="auto" w:fill="F2F2F2" w:themeFill="background1" w:themeFillShade="F2"/>
          </w:tcPr>
          <w:p w14:paraId="33E2C8AF" w14:textId="77777777" w:rsidR="0006359E" w:rsidRPr="00F171A3" w:rsidRDefault="0006359E" w:rsidP="00F31936">
            <w:pPr>
              <w:jc w:val="right"/>
              <w:rPr>
                <w:rFonts w:eastAsia="Calibri" w:cs="Calibri"/>
                <w:color w:val="000000"/>
                <w:sz w:val="20"/>
                <w:szCs w:val="20"/>
              </w:rPr>
            </w:pPr>
            <w:r w:rsidRPr="00F171A3">
              <w:rPr>
                <w:color w:val="000000"/>
                <w:sz w:val="20"/>
                <w:szCs w:val="20"/>
              </w:rPr>
              <w:t>2</w:t>
            </w:r>
          </w:p>
        </w:tc>
      </w:tr>
      <w:tr w:rsidR="0006359E" w:rsidRPr="00F171A3" w14:paraId="3EFA22F3"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25F1D90A"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Management Resurse Umane</w:t>
            </w:r>
          </w:p>
        </w:tc>
        <w:tc>
          <w:tcPr>
            <w:tcW w:w="1350" w:type="dxa"/>
            <w:tcBorders>
              <w:top w:val="none" w:sz="0" w:space="0" w:color="auto"/>
              <w:bottom w:val="none" w:sz="0" w:space="0" w:color="auto"/>
            </w:tcBorders>
            <w:shd w:val="clear" w:color="auto" w:fill="F2F2F2" w:themeFill="background1" w:themeFillShade="F2"/>
          </w:tcPr>
          <w:p w14:paraId="4A200D94" w14:textId="77777777" w:rsidR="0006359E" w:rsidRPr="00F171A3" w:rsidRDefault="0006359E" w:rsidP="00F31936">
            <w:pPr>
              <w:jc w:val="right"/>
              <w:rPr>
                <w:rFonts w:eastAsia="Calibri" w:cs="Calibri"/>
                <w:color w:val="000000"/>
                <w:sz w:val="20"/>
                <w:szCs w:val="20"/>
              </w:rPr>
            </w:pPr>
            <w:r w:rsidRPr="00F171A3">
              <w:rPr>
                <w:color w:val="000000"/>
                <w:sz w:val="20"/>
                <w:szCs w:val="20"/>
              </w:rPr>
              <w:t>21</w:t>
            </w:r>
          </w:p>
        </w:tc>
        <w:tc>
          <w:tcPr>
            <w:tcW w:w="1530" w:type="dxa"/>
            <w:tcBorders>
              <w:top w:val="none" w:sz="0" w:space="0" w:color="auto"/>
              <w:bottom w:val="none" w:sz="0" w:space="0" w:color="auto"/>
            </w:tcBorders>
            <w:shd w:val="clear" w:color="auto" w:fill="F2F2F2" w:themeFill="background1" w:themeFillShade="F2"/>
          </w:tcPr>
          <w:p w14:paraId="4AB5C267" w14:textId="77777777" w:rsidR="0006359E" w:rsidRPr="00F171A3" w:rsidRDefault="0006359E" w:rsidP="00F31936">
            <w:pPr>
              <w:jc w:val="right"/>
              <w:rPr>
                <w:rFonts w:eastAsia="Calibri" w:cs="Calibri"/>
                <w:color w:val="000000"/>
                <w:sz w:val="20"/>
                <w:szCs w:val="20"/>
              </w:rPr>
            </w:pPr>
            <w:r w:rsidRPr="00F171A3">
              <w:rPr>
                <w:color w:val="000000"/>
                <w:sz w:val="20"/>
                <w:szCs w:val="20"/>
              </w:rPr>
              <w:t>19</w:t>
            </w:r>
          </w:p>
        </w:tc>
        <w:tc>
          <w:tcPr>
            <w:tcW w:w="1411" w:type="dxa"/>
            <w:tcBorders>
              <w:top w:val="none" w:sz="0" w:space="0" w:color="auto"/>
              <w:bottom w:val="none" w:sz="0" w:space="0" w:color="auto"/>
            </w:tcBorders>
            <w:shd w:val="clear" w:color="auto" w:fill="F2F2F2" w:themeFill="background1" w:themeFillShade="F2"/>
          </w:tcPr>
          <w:p w14:paraId="39EFC8E1" w14:textId="77777777" w:rsidR="0006359E" w:rsidRPr="00F171A3" w:rsidRDefault="0006359E" w:rsidP="00F31936">
            <w:pPr>
              <w:jc w:val="right"/>
              <w:rPr>
                <w:rFonts w:eastAsia="Calibri" w:cs="Calibri"/>
                <w:color w:val="000000"/>
                <w:sz w:val="20"/>
                <w:szCs w:val="20"/>
              </w:rPr>
            </w:pPr>
            <w:r w:rsidRPr="00F171A3">
              <w:rPr>
                <w:color w:val="000000"/>
                <w:sz w:val="20"/>
                <w:szCs w:val="20"/>
              </w:rPr>
              <w:t>2</w:t>
            </w:r>
          </w:p>
        </w:tc>
      </w:tr>
      <w:tr w:rsidR="0006359E" w:rsidRPr="00F171A3" w14:paraId="3B410547" w14:textId="77777777" w:rsidTr="00507C46">
        <w:trPr>
          <w:trHeight w:val="235"/>
        </w:trPr>
        <w:tc>
          <w:tcPr>
            <w:tcW w:w="5125" w:type="dxa"/>
            <w:shd w:val="clear" w:color="auto" w:fill="F2F2F2" w:themeFill="background1" w:themeFillShade="F2"/>
          </w:tcPr>
          <w:p w14:paraId="1D1B9B7F"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Relații Comunitare</w:t>
            </w:r>
          </w:p>
        </w:tc>
        <w:tc>
          <w:tcPr>
            <w:tcW w:w="1350" w:type="dxa"/>
            <w:shd w:val="clear" w:color="auto" w:fill="F2F2F2" w:themeFill="background1" w:themeFillShade="F2"/>
          </w:tcPr>
          <w:p w14:paraId="47291B19" w14:textId="77777777" w:rsidR="0006359E" w:rsidRPr="00F171A3" w:rsidRDefault="0006359E" w:rsidP="00F31936">
            <w:pPr>
              <w:jc w:val="right"/>
              <w:rPr>
                <w:rFonts w:eastAsia="Calibri" w:cs="Calibri"/>
                <w:color w:val="000000"/>
                <w:sz w:val="20"/>
                <w:szCs w:val="20"/>
              </w:rPr>
            </w:pPr>
            <w:r w:rsidRPr="00F171A3">
              <w:rPr>
                <w:color w:val="000000"/>
                <w:sz w:val="20"/>
                <w:szCs w:val="20"/>
              </w:rPr>
              <w:t>18</w:t>
            </w:r>
          </w:p>
        </w:tc>
        <w:tc>
          <w:tcPr>
            <w:tcW w:w="1530" w:type="dxa"/>
            <w:shd w:val="clear" w:color="auto" w:fill="F2F2F2" w:themeFill="background1" w:themeFillShade="F2"/>
          </w:tcPr>
          <w:p w14:paraId="0F015E42" w14:textId="77777777" w:rsidR="0006359E" w:rsidRPr="00F171A3" w:rsidRDefault="0006359E" w:rsidP="00F31936">
            <w:pPr>
              <w:jc w:val="right"/>
              <w:rPr>
                <w:rFonts w:eastAsia="Calibri" w:cs="Calibri"/>
                <w:color w:val="000000"/>
                <w:sz w:val="20"/>
                <w:szCs w:val="20"/>
              </w:rPr>
            </w:pPr>
            <w:r w:rsidRPr="00F171A3">
              <w:rPr>
                <w:color w:val="000000"/>
                <w:sz w:val="20"/>
                <w:szCs w:val="20"/>
              </w:rPr>
              <w:t>13</w:t>
            </w:r>
          </w:p>
        </w:tc>
        <w:tc>
          <w:tcPr>
            <w:tcW w:w="1411" w:type="dxa"/>
            <w:shd w:val="clear" w:color="auto" w:fill="F2F2F2" w:themeFill="background1" w:themeFillShade="F2"/>
          </w:tcPr>
          <w:p w14:paraId="4289CB17" w14:textId="77777777" w:rsidR="0006359E" w:rsidRPr="00F171A3" w:rsidRDefault="0006359E" w:rsidP="00F31936">
            <w:pPr>
              <w:jc w:val="right"/>
              <w:rPr>
                <w:rFonts w:eastAsia="Calibri" w:cs="Calibri"/>
                <w:color w:val="000000"/>
                <w:sz w:val="20"/>
                <w:szCs w:val="20"/>
              </w:rPr>
            </w:pPr>
            <w:r w:rsidRPr="00F171A3">
              <w:rPr>
                <w:color w:val="000000"/>
                <w:sz w:val="20"/>
                <w:szCs w:val="20"/>
              </w:rPr>
              <w:t>5</w:t>
            </w:r>
          </w:p>
        </w:tc>
      </w:tr>
      <w:tr w:rsidR="0006359E" w:rsidRPr="00F171A3" w14:paraId="733964AF"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4874390D"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Comunicare</w:t>
            </w:r>
          </w:p>
        </w:tc>
        <w:tc>
          <w:tcPr>
            <w:tcW w:w="1350" w:type="dxa"/>
            <w:tcBorders>
              <w:top w:val="none" w:sz="0" w:space="0" w:color="auto"/>
              <w:bottom w:val="none" w:sz="0" w:space="0" w:color="auto"/>
            </w:tcBorders>
            <w:shd w:val="clear" w:color="auto" w:fill="F2F2F2" w:themeFill="background1" w:themeFillShade="F2"/>
          </w:tcPr>
          <w:p w14:paraId="2DBD93C5" w14:textId="77777777" w:rsidR="0006359E" w:rsidRPr="00F171A3" w:rsidRDefault="0006359E" w:rsidP="00F31936">
            <w:pPr>
              <w:jc w:val="right"/>
              <w:rPr>
                <w:rFonts w:eastAsia="Calibri" w:cs="Calibri"/>
                <w:color w:val="000000"/>
                <w:sz w:val="20"/>
                <w:szCs w:val="20"/>
              </w:rPr>
            </w:pPr>
            <w:r w:rsidRPr="00F171A3">
              <w:rPr>
                <w:color w:val="000000"/>
                <w:sz w:val="20"/>
                <w:szCs w:val="20"/>
              </w:rPr>
              <w:t>31</w:t>
            </w:r>
          </w:p>
        </w:tc>
        <w:tc>
          <w:tcPr>
            <w:tcW w:w="1530" w:type="dxa"/>
            <w:tcBorders>
              <w:top w:val="none" w:sz="0" w:space="0" w:color="auto"/>
              <w:bottom w:val="none" w:sz="0" w:space="0" w:color="auto"/>
            </w:tcBorders>
            <w:shd w:val="clear" w:color="auto" w:fill="F2F2F2" w:themeFill="background1" w:themeFillShade="F2"/>
          </w:tcPr>
          <w:p w14:paraId="5CDAC38F" w14:textId="77777777" w:rsidR="0006359E" w:rsidRPr="00F171A3" w:rsidRDefault="0006359E" w:rsidP="00F31936">
            <w:pPr>
              <w:jc w:val="right"/>
              <w:rPr>
                <w:rFonts w:eastAsia="Calibri" w:cs="Calibri"/>
                <w:color w:val="000000"/>
                <w:sz w:val="20"/>
                <w:szCs w:val="20"/>
              </w:rPr>
            </w:pPr>
            <w:r w:rsidRPr="00F171A3">
              <w:rPr>
                <w:color w:val="000000"/>
                <w:sz w:val="20"/>
                <w:szCs w:val="20"/>
              </w:rPr>
              <w:t>27</w:t>
            </w:r>
          </w:p>
        </w:tc>
        <w:tc>
          <w:tcPr>
            <w:tcW w:w="1411" w:type="dxa"/>
            <w:tcBorders>
              <w:top w:val="none" w:sz="0" w:space="0" w:color="auto"/>
              <w:bottom w:val="none" w:sz="0" w:space="0" w:color="auto"/>
            </w:tcBorders>
            <w:shd w:val="clear" w:color="auto" w:fill="F2F2F2" w:themeFill="background1" w:themeFillShade="F2"/>
          </w:tcPr>
          <w:p w14:paraId="4F8D1A5E" w14:textId="77777777" w:rsidR="0006359E" w:rsidRPr="00F171A3" w:rsidRDefault="0006359E" w:rsidP="00F31936">
            <w:pPr>
              <w:jc w:val="right"/>
              <w:rPr>
                <w:rFonts w:eastAsia="Calibri" w:cs="Calibri"/>
                <w:color w:val="000000"/>
                <w:sz w:val="20"/>
                <w:szCs w:val="20"/>
              </w:rPr>
            </w:pPr>
            <w:r w:rsidRPr="00F171A3">
              <w:rPr>
                <w:color w:val="000000"/>
                <w:sz w:val="20"/>
                <w:szCs w:val="20"/>
              </w:rPr>
              <w:t>4</w:t>
            </w:r>
          </w:p>
        </w:tc>
      </w:tr>
      <w:tr w:rsidR="0006359E" w:rsidRPr="00F171A3" w14:paraId="27A7EB29" w14:textId="77777777" w:rsidTr="00507C46">
        <w:trPr>
          <w:trHeight w:val="235"/>
        </w:trPr>
        <w:tc>
          <w:tcPr>
            <w:tcW w:w="5125" w:type="dxa"/>
            <w:shd w:val="clear" w:color="auto" w:fill="F2F2F2" w:themeFill="background1" w:themeFillShade="F2"/>
          </w:tcPr>
          <w:p w14:paraId="7BD873EC"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Digitalizare</w:t>
            </w:r>
          </w:p>
        </w:tc>
        <w:tc>
          <w:tcPr>
            <w:tcW w:w="1350" w:type="dxa"/>
            <w:shd w:val="clear" w:color="auto" w:fill="F2F2F2" w:themeFill="background1" w:themeFillShade="F2"/>
          </w:tcPr>
          <w:p w14:paraId="39E429BC" w14:textId="77777777" w:rsidR="0006359E" w:rsidRPr="00F171A3" w:rsidRDefault="0006359E" w:rsidP="00F31936">
            <w:pPr>
              <w:jc w:val="right"/>
              <w:rPr>
                <w:rFonts w:eastAsia="Calibri" w:cs="Calibri"/>
                <w:color w:val="000000"/>
                <w:sz w:val="20"/>
                <w:szCs w:val="20"/>
              </w:rPr>
            </w:pPr>
            <w:r w:rsidRPr="00F171A3">
              <w:rPr>
                <w:color w:val="000000"/>
                <w:sz w:val="20"/>
                <w:szCs w:val="20"/>
              </w:rPr>
              <w:t>18</w:t>
            </w:r>
          </w:p>
        </w:tc>
        <w:tc>
          <w:tcPr>
            <w:tcW w:w="1530" w:type="dxa"/>
            <w:shd w:val="clear" w:color="auto" w:fill="F2F2F2" w:themeFill="background1" w:themeFillShade="F2"/>
          </w:tcPr>
          <w:p w14:paraId="0121D4A9" w14:textId="77777777" w:rsidR="0006359E" w:rsidRPr="00F171A3" w:rsidRDefault="0006359E" w:rsidP="00F31936">
            <w:pPr>
              <w:jc w:val="right"/>
              <w:rPr>
                <w:rFonts w:eastAsia="Calibri" w:cs="Calibri"/>
                <w:color w:val="000000"/>
                <w:sz w:val="20"/>
                <w:szCs w:val="20"/>
              </w:rPr>
            </w:pPr>
            <w:r w:rsidRPr="00F171A3">
              <w:rPr>
                <w:color w:val="000000"/>
                <w:sz w:val="20"/>
                <w:szCs w:val="20"/>
              </w:rPr>
              <w:t>10</w:t>
            </w:r>
          </w:p>
        </w:tc>
        <w:tc>
          <w:tcPr>
            <w:tcW w:w="1411" w:type="dxa"/>
            <w:shd w:val="clear" w:color="auto" w:fill="F2F2F2" w:themeFill="background1" w:themeFillShade="F2"/>
          </w:tcPr>
          <w:p w14:paraId="09E81630" w14:textId="77777777" w:rsidR="0006359E" w:rsidRPr="00F171A3" w:rsidRDefault="0006359E" w:rsidP="00F31936">
            <w:pPr>
              <w:jc w:val="right"/>
              <w:rPr>
                <w:rFonts w:eastAsia="Calibri" w:cs="Calibri"/>
                <w:color w:val="000000"/>
                <w:sz w:val="20"/>
                <w:szCs w:val="20"/>
              </w:rPr>
            </w:pPr>
            <w:r w:rsidRPr="00F171A3">
              <w:rPr>
                <w:color w:val="000000"/>
                <w:sz w:val="20"/>
                <w:szCs w:val="20"/>
              </w:rPr>
              <w:t>8</w:t>
            </w:r>
          </w:p>
        </w:tc>
      </w:tr>
      <w:tr w:rsidR="0006359E" w:rsidRPr="00F171A3" w14:paraId="3E446153"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6FF539F4"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Juridică</w:t>
            </w:r>
          </w:p>
        </w:tc>
        <w:tc>
          <w:tcPr>
            <w:tcW w:w="1350" w:type="dxa"/>
            <w:tcBorders>
              <w:top w:val="none" w:sz="0" w:space="0" w:color="auto"/>
              <w:bottom w:val="none" w:sz="0" w:space="0" w:color="auto"/>
            </w:tcBorders>
            <w:shd w:val="clear" w:color="auto" w:fill="F2F2F2" w:themeFill="background1" w:themeFillShade="F2"/>
          </w:tcPr>
          <w:p w14:paraId="2DBD34B9" w14:textId="77777777" w:rsidR="0006359E" w:rsidRPr="00F171A3" w:rsidRDefault="0006359E" w:rsidP="00F31936">
            <w:pPr>
              <w:jc w:val="right"/>
              <w:rPr>
                <w:rFonts w:eastAsia="Calibri" w:cs="Calibri"/>
                <w:color w:val="000000"/>
                <w:sz w:val="20"/>
                <w:szCs w:val="20"/>
              </w:rPr>
            </w:pPr>
            <w:r w:rsidRPr="00F171A3">
              <w:rPr>
                <w:color w:val="000000"/>
                <w:sz w:val="20"/>
                <w:szCs w:val="20"/>
              </w:rPr>
              <w:t>31</w:t>
            </w:r>
          </w:p>
        </w:tc>
        <w:tc>
          <w:tcPr>
            <w:tcW w:w="1530" w:type="dxa"/>
            <w:tcBorders>
              <w:top w:val="none" w:sz="0" w:space="0" w:color="auto"/>
              <w:bottom w:val="none" w:sz="0" w:space="0" w:color="auto"/>
            </w:tcBorders>
            <w:shd w:val="clear" w:color="auto" w:fill="F2F2F2" w:themeFill="background1" w:themeFillShade="F2"/>
          </w:tcPr>
          <w:p w14:paraId="4E9C6ECE" w14:textId="77777777" w:rsidR="0006359E" w:rsidRPr="00F171A3" w:rsidRDefault="0006359E" w:rsidP="00F31936">
            <w:pPr>
              <w:jc w:val="right"/>
              <w:rPr>
                <w:rFonts w:eastAsia="Calibri" w:cs="Calibri"/>
                <w:color w:val="000000"/>
                <w:sz w:val="20"/>
                <w:szCs w:val="20"/>
              </w:rPr>
            </w:pPr>
            <w:r w:rsidRPr="00F171A3">
              <w:rPr>
                <w:color w:val="000000"/>
                <w:sz w:val="20"/>
                <w:szCs w:val="20"/>
              </w:rPr>
              <w:t>23</w:t>
            </w:r>
          </w:p>
        </w:tc>
        <w:tc>
          <w:tcPr>
            <w:tcW w:w="1411" w:type="dxa"/>
            <w:tcBorders>
              <w:top w:val="none" w:sz="0" w:space="0" w:color="auto"/>
              <w:bottom w:val="none" w:sz="0" w:space="0" w:color="auto"/>
            </w:tcBorders>
            <w:shd w:val="clear" w:color="auto" w:fill="F2F2F2" w:themeFill="background1" w:themeFillShade="F2"/>
          </w:tcPr>
          <w:p w14:paraId="6253A741" w14:textId="77777777" w:rsidR="0006359E" w:rsidRPr="00F171A3" w:rsidRDefault="0006359E" w:rsidP="00F31936">
            <w:pPr>
              <w:jc w:val="right"/>
              <w:rPr>
                <w:rFonts w:eastAsia="Calibri" w:cs="Calibri"/>
                <w:color w:val="000000"/>
                <w:sz w:val="20"/>
                <w:szCs w:val="20"/>
              </w:rPr>
            </w:pPr>
            <w:r w:rsidRPr="00F171A3">
              <w:rPr>
                <w:color w:val="000000"/>
                <w:sz w:val="20"/>
                <w:szCs w:val="20"/>
              </w:rPr>
              <w:t>8</w:t>
            </w:r>
          </w:p>
        </w:tc>
      </w:tr>
      <w:tr w:rsidR="0006359E" w:rsidRPr="00F171A3" w14:paraId="46C657D9" w14:textId="77777777" w:rsidTr="00507C46">
        <w:trPr>
          <w:trHeight w:val="235"/>
        </w:trPr>
        <w:tc>
          <w:tcPr>
            <w:tcW w:w="5125" w:type="dxa"/>
            <w:shd w:val="clear" w:color="auto" w:fill="F2F2F2" w:themeFill="background1" w:themeFillShade="F2"/>
          </w:tcPr>
          <w:p w14:paraId="60567887"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Administrație publică locală</w:t>
            </w:r>
          </w:p>
        </w:tc>
        <w:tc>
          <w:tcPr>
            <w:tcW w:w="1350" w:type="dxa"/>
            <w:shd w:val="clear" w:color="auto" w:fill="F2F2F2" w:themeFill="background1" w:themeFillShade="F2"/>
          </w:tcPr>
          <w:p w14:paraId="705AC8E7" w14:textId="77777777" w:rsidR="0006359E" w:rsidRPr="00F171A3" w:rsidRDefault="0006359E" w:rsidP="00F31936">
            <w:pPr>
              <w:jc w:val="right"/>
              <w:rPr>
                <w:rFonts w:eastAsia="Calibri" w:cs="Calibri"/>
                <w:color w:val="000000"/>
                <w:sz w:val="20"/>
                <w:szCs w:val="20"/>
              </w:rPr>
            </w:pPr>
            <w:r w:rsidRPr="00F171A3">
              <w:rPr>
                <w:color w:val="000000"/>
                <w:sz w:val="20"/>
                <w:szCs w:val="20"/>
              </w:rPr>
              <w:t>20</w:t>
            </w:r>
          </w:p>
        </w:tc>
        <w:tc>
          <w:tcPr>
            <w:tcW w:w="1530" w:type="dxa"/>
            <w:shd w:val="clear" w:color="auto" w:fill="F2F2F2" w:themeFill="background1" w:themeFillShade="F2"/>
          </w:tcPr>
          <w:p w14:paraId="65DA3B67" w14:textId="77777777" w:rsidR="0006359E" w:rsidRPr="00F171A3" w:rsidRDefault="0006359E" w:rsidP="00F31936">
            <w:pPr>
              <w:jc w:val="right"/>
              <w:rPr>
                <w:rFonts w:eastAsia="Calibri" w:cs="Calibri"/>
                <w:color w:val="000000"/>
                <w:sz w:val="20"/>
                <w:szCs w:val="20"/>
              </w:rPr>
            </w:pPr>
            <w:r w:rsidRPr="00F171A3">
              <w:rPr>
                <w:color w:val="000000"/>
                <w:sz w:val="20"/>
                <w:szCs w:val="20"/>
              </w:rPr>
              <w:t>16</w:t>
            </w:r>
          </w:p>
        </w:tc>
        <w:tc>
          <w:tcPr>
            <w:tcW w:w="1411" w:type="dxa"/>
            <w:shd w:val="clear" w:color="auto" w:fill="F2F2F2" w:themeFill="background1" w:themeFillShade="F2"/>
          </w:tcPr>
          <w:p w14:paraId="0025D76E" w14:textId="77777777" w:rsidR="0006359E" w:rsidRPr="00F171A3" w:rsidRDefault="0006359E" w:rsidP="00F31936">
            <w:pPr>
              <w:jc w:val="right"/>
              <w:rPr>
                <w:rFonts w:eastAsia="Calibri" w:cs="Calibri"/>
                <w:color w:val="000000"/>
                <w:sz w:val="20"/>
                <w:szCs w:val="20"/>
              </w:rPr>
            </w:pPr>
            <w:r w:rsidRPr="00F171A3">
              <w:rPr>
                <w:color w:val="000000"/>
                <w:sz w:val="20"/>
                <w:szCs w:val="20"/>
              </w:rPr>
              <w:t>4</w:t>
            </w:r>
          </w:p>
        </w:tc>
      </w:tr>
      <w:tr w:rsidR="0006359E" w:rsidRPr="00F171A3" w14:paraId="22760DE1"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42250536"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administrare și întreținere sedii și echipamente</w:t>
            </w:r>
          </w:p>
        </w:tc>
        <w:tc>
          <w:tcPr>
            <w:tcW w:w="1350" w:type="dxa"/>
            <w:tcBorders>
              <w:top w:val="none" w:sz="0" w:space="0" w:color="auto"/>
              <w:bottom w:val="none" w:sz="0" w:space="0" w:color="auto"/>
            </w:tcBorders>
            <w:shd w:val="clear" w:color="auto" w:fill="F2F2F2" w:themeFill="background1" w:themeFillShade="F2"/>
          </w:tcPr>
          <w:p w14:paraId="2145C7A1" w14:textId="77777777" w:rsidR="0006359E" w:rsidRPr="00F171A3" w:rsidRDefault="0006359E" w:rsidP="00F31936">
            <w:pPr>
              <w:jc w:val="right"/>
              <w:rPr>
                <w:rFonts w:eastAsia="Calibri" w:cs="Calibri"/>
                <w:color w:val="000000"/>
                <w:sz w:val="20"/>
                <w:szCs w:val="20"/>
              </w:rPr>
            </w:pPr>
            <w:r w:rsidRPr="00F171A3">
              <w:rPr>
                <w:color w:val="000000"/>
                <w:sz w:val="20"/>
                <w:szCs w:val="20"/>
              </w:rPr>
              <w:t>37</w:t>
            </w:r>
          </w:p>
        </w:tc>
        <w:tc>
          <w:tcPr>
            <w:tcW w:w="1530" w:type="dxa"/>
            <w:tcBorders>
              <w:top w:val="none" w:sz="0" w:space="0" w:color="auto"/>
              <w:bottom w:val="none" w:sz="0" w:space="0" w:color="auto"/>
            </w:tcBorders>
            <w:shd w:val="clear" w:color="auto" w:fill="F2F2F2" w:themeFill="background1" w:themeFillShade="F2"/>
          </w:tcPr>
          <w:p w14:paraId="0D082B41" w14:textId="77777777" w:rsidR="0006359E" w:rsidRPr="00F171A3" w:rsidRDefault="0006359E" w:rsidP="00F31936">
            <w:pPr>
              <w:jc w:val="right"/>
              <w:rPr>
                <w:rFonts w:eastAsia="Calibri" w:cs="Calibri"/>
                <w:color w:val="000000"/>
                <w:sz w:val="20"/>
                <w:szCs w:val="20"/>
              </w:rPr>
            </w:pPr>
            <w:r w:rsidRPr="00F171A3">
              <w:rPr>
                <w:color w:val="000000"/>
                <w:sz w:val="20"/>
                <w:szCs w:val="20"/>
              </w:rPr>
              <w:t>33</w:t>
            </w:r>
          </w:p>
        </w:tc>
        <w:tc>
          <w:tcPr>
            <w:tcW w:w="1411" w:type="dxa"/>
            <w:tcBorders>
              <w:top w:val="none" w:sz="0" w:space="0" w:color="auto"/>
              <w:bottom w:val="none" w:sz="0" w:space="0" w:color="auto"/>
            </w:tcBorders>
            <w:shd w:val="clear" w:color="auto" w:fill="F2F2F2" w:themeFill="background1" w:themeFillShade="F2"/>
          </w:tcPr>
          <w:p w14:paraId="0D702632" w14:textId="77777777" w:rsidR="0006359E" w:rsidRPr="00F171A3" w:rsidRDefault="0006359E" w:rsidP="00F31936">
            <w:pPr>
              <w:jc w:val="right"/>
              <w:rPr>
                <w:rFonts w:eastAsia="Calibri" w:cs="Calibri"/>
                <w:color w:val="000000"/>
                <w:sz w:val="20"/>
                <w:szCs w:val="20"/>
              </w:rPr>
            </w:pPr>
            <w:r w:rsidRPr="00F171A3">
              <w:rPr>
                <w:color w:val="000000"/>
                <w:sz w:val="20"/>
                <w:szCs w:val="20"/>
              </w:rPr>
              <w:t>4</w:t>
            </w:r>
          </w:p>
        </w:tc>
      </w:tr>
      <w:tr w:rsidR="0006359E" w:rsidRPr="00F171A3" w14:paraId="0DB3B80F" w14:textId="77777777" w:rsidTr="00507C46">
        <w:trPr>
          <w:trHeight w:val="235"/>
        </w:trPr>
        <w:tc>
          <w:tcPr>
            <w:tcW w:w="5125" w:type="dxa"/>
            <w:shd w:val="clear" w:color="auto" w:fill="F2F2F2" w:themeFill="background1" w:themeFillShade="F2"/>
          </w:tcPr>
          <w:p w14:paraId="25FF2FAE"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generală programe de dezvoltare urbană și programe fonduri europene</w:t>
            </w:r>
          </w:p>
        </w:tc>
        <w:tc>
          <w:tcPr>
            <w:tcW w:w="1350" w:type="dxa"/>
            <w:shd w:val="clear" w:color="auto" w:fill="F2F2F2" w:themeFill="background1" w:themeFillShade="F2"/>
          </w:tcPr>
          <w:p w14:paraId="49D4EFDD" w14:textId="77777777" w:rsidR="0006359E" w:rsidRPr="00F171A3" w:rsidRDefault="0006359E" w:rsidP="00F31936">
            <w:pPr>
              <w:jc w:val="right"/>
              <w:rPr>
                <w:rFonts w:eastAsia="Calibri" w:cs="Calibri"/>
                <w:color w:val="000000"/>
                <w:sz w:val="20"/>
                <w:szCs w:val="20"/>
              </w:rPr>
            </w:pPr>
            <w:r w:rsidRPr="00F171A3">
              <w:rPr>
                <w:color w:val="000000"/>
                <w:sz w:val="20"/>
                <w:szCs w:val="20"/>
              </w:rPr>
              <w:t>53</w:t>
            </w:r>
          </w:p>
        </w:tc>
        <w:tc>
          <w:tcPr>
            <w:tcW w:w="1530" w:type="dxa"/>
            <w:shd w:val="clear" w:color="auto" w:fill="F2F2F2" w:themeFill="background1" w:themeFillShade="F2"/>
          </w:tcPr>
          <w:p w14:paraId="0902E055" w14:textId="77777777" w:rsidR="0006359E" w:rsidRPr="00F171A3" w:rsidRDefault="0006359E" w:rsidP="00F31936">
            <w:pPr>
              <w:jc w:val="right"/>
              <w:rPr>
                <w:rFonts w:eastAsia="Calibri" w:cs="Calibri"/>
                <w:color w:val="000000"/>
                <w:sz w:val="20"/>
                <w:szCs w:val="20"/>
              </w:rPr>
            </w:pPr>
            <w:r w:rsidRPr="00F171A3">
              <w:rPr>
                <w:color w:val="000000"/>
                <w:sz w:val="20"/>
                <w:szCs w:val="20"/>
              </w:rPr>
              <w:t>31</w:t>
            </w:r>
          </w:p>
        </w:tc>
        <w:tc>
          <w:tcPr>
            <w:tcW w:w="1411" w:type="dxa"/>
            <w:shd w:val="clear" w:color="auto" w:fill="F2F2F2" w:themeFill="background1" w:themeFillShade="F2"/>
          </w:tcPr>
          <w:p w14:paraId="4E64D7B2" w14:textId="77777777" w:rsidR="0006359E" w:rsidRPr="00F171A3" w:rsidRDefault="0006359E" w:rsidP="00F31936">
            <w:pPr>
              <w:jc w:val="right"/>
              <w:rPr>
                <w:rFonts w:eastAsia="Calibri" w:cs="Calibri"/>
                <w:color w:val="000000"/>
                <w:sz w:val="20"/>
                <w:szCs w:val="20"/>
              </w:rPr>
            </w:pPr>
            <w:r w:rsidRPr="00F171A3">
              <w:rPr>
                <w:color w:val="000000"/>
                <w:sz w:val="20"/>
                <w:szCs w:val="20"/>
              </w:rPr>
              <w:t>22</w:t>
            </w:r>
          </w:p>
        </w:tc>
      </w:tr>
      <w:tr w:rsidR="0006359E" w:rsidRPr="00F171A3" w14:paraId="1E2DE045"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42A8DC9C"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Direcția utilități publice și mediu</w:t>
            </w:r>
          </w:p>
        </w:tc>
        <w:tc>
          <w:tcPr>
            <w:tcW w:w="1350" w:type="dxa"/>
            <w:tcBorders>
              <w:top w:val="none" w:sz="0" w:space="0" w:color="auto"/>
              <w:bottom w:val="none" w:sz="0" w:space="0" w:color="auto"/>
            </w:tcBorders>
            <w:shd w:val="clear" w:color="auto" w:fill="F2F2F2" w:themeFill="background1" w:themeFillShade="F2"/>
          </w:tcPr>
          <w:p w14:paraId="6324193F" w14:textId="77777777" w:rsidR="0006359E" w:rsidRPr="00F171A3" w:rsidRDefault="0006359E" w:rsidP="00F31936">
            <w:pPr>
              <w:jc w:val="right"/>
              <w:rPr>
                <w:rFonts w:eastAsia="Calibri" w:cs="Calibri"/>
                <w:color w:val="000000"/>
                <w:sz w:val="20"/>
                <w:szCs w:val="20"/>
              </w:rPr>
            </w:pPr>
            <w:r w:rsidRPr="00F171A3">
              <w:rPr>
                <w:color w:val="000000"/>
                <w:sz w:val="20"/>
                <w:szCs w:val="20"/>
              </w:rPr>
              <w:t>28</w:t>
            </w:r>
          </w:p>
        </w:tc>
        <w:tc>
          <w:tcPr>
            <w:tcW w:w="1530" w:type="dxa"/>
            <w:tcBorders>
              <w:top w:val="none" w:sz="0" w:space="0" w:color="auto"/>
              <w:bottom w:val="none" w:sz="0" w:space="0" w:color="auto"/>
            </w:tcBorders>
            <w:shd w:val="clear" w:color="auto" w:fill="F2F2F2" w:themeFill="background1" w:themeFillShade="F2"/>
          </w:tcPr>
          <w:p w14:paraId="7AE97826" w14:textId="77777777" w:rsidR="0006359E" w:rsidRPr="00F171A3" w:rsidRDefault="0006359E" w:rsidP="00F31936">
            <w:pPr>
              <w:jc w:val="right"/>
              <w:rPr>
                <w:rFonts w:eastAsia="Calibri" w:cs="Calibri"/>
                <w:color w:val="000000"/>
                <w:sz w:val="20"/>
                <w:szCs w:val="20"/>
              </w:rPr>
            </w:pPr>
            <w:r w:rsidRPr="00F171A3">
              <w:rPr>
                <w:color w:val="000000"/>
                <w:sz w:val="20"/>
                <w:szCs w:val="20"/>
              </w:rPr>
              <w:t>20</w:t>
            </w:r>
          </w:p>
        </w:tc>
        <w:tc>
          <w:tcPr>
            <w:tcW w:w="1411" w:type="dxa"/>
            <w:tcBorders>
              <w:top w:val="none" w:sz="0" w:space="0" w:color="auto"/>
              <w:bottom w:val="none" w:sz="0" w:space="0" w:color="auto"/>
            </w:tcBorders>
            <w:shd w:val="clear" w:color="auto" w:fill="F2F2F2" w:themeFill="background1" w:themeFillShade="F2"/>
          </w:tcPr>
          <w:p w14:paraId="69B34A14" w14:textId="77777777" w:rsidR="0006359E" w:rsidRPr="00F171A3" w:rsidRDefault="0006359E" w:rsidP="00F31936">
            <w:pPr>
              <w:jc w:val="right"/>
              <w:rPr>
                <w:rFonts w:eastAsia="Calibri" w:cs="Calibri"/>
                <w:color w:val="000000"/>
                <w:sz w:val="20"/>
                <w:szCs w:val="20"/>
              </w:rPr>
            </w:pPr>
            <w:r w:rsidRPr="00F171A3">
              <w:rPr>
                <w:color w:val="000000"/>
                <w:sz w:val="20"/>
                <w:szCs w:val="20"/>
              </w:rPr>
              <w:t>8</w:t>
            </w:r>
          </w:p>
        </w:tc>
      </w:tr>
      <w:tr w:rsidR="0006359E" w:rsidRPr="00F171A3" w14:paraId="3095A299" w14:textId="77777777" w:rsidTr="00507C46">
        <w:trPr>
          <w:trHeight w:val="235"/>
        </w:trPr>
        <w:tc>
          <w:tcPr>
            <w:tcW w:w="5125" w:type="dxa"/>
            <w:shd w:val="clear" w:color="auto" w:fill="F2F2F2" w:themeFill="background1" w:themeFillShade="F2"/>
          </w:tcPr>
          <w:p w14:paraId="61018C55"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Serviciul corp control</w:t>
            </w:r>
          </w:p>
        </w:tc>
        <w:tc>
          <w:tcPr>
            <w:tcW w:w="1350" w:type="dxa"/>
            <w:shd w:val="clear" w:color="auto" w:fill="F2F2F2" w:themeFill="background1" w:themeFillShade="F2"/>
          </w:tcPr>
          <w:p w14:paraId="13718DD8" w14:textId="77777777" w:rsidR="0006359E" w:rsidRPr="00F171A3" w:rsidRDefault="0006359E" w:rsidP="00F31936">
            <w:pPr>
              <w:jc w:val="right"/>
              <w:rPr>
                <w:rFonts w:eastAsia="Calibri" w:cs="Calibri"/>
                <w:color w:val="000000"/>
                <w:sz w:val="20"/>
                <w:szCs w:val="20"/>
              </w:rPr>
            </w:pPr>
            <w:r w:rsidRPr="00F171A3">
              <w:rPr>
                <w:color w:val="000000"/>
                <w:sz w:val="20"/>
                <w:szCs w:val="20"/>
              </w:rPr>
              <w:t>8</w:t>
            </w:r>
          </w:p>
        </w:tc>
        <w:tc>
          <w:tcPr>
            <w:tcW w:w="1530" w:type="dxa"/>
            <w:shd w:val="clear" w:color="auto" w:fill="F2F2F2" w:themeFill="background1" w:themeFillShade="F2"/>
          </w:tcPr>
          <w:p w14:paraId="065B5FB4" w14:textId="77777777" w:rsidR="0006359E" w:rsidRPr="00F171A3" w:rsidRDefault="0006359E" w:rsidP="00F31936">
            <w:pPr>
              <w:jc w:val="right"/>
              <w:rPr>
                <w:rFonts w:eastAsia="Calibri" w:cs="Calibri"/>
                <w:color w:val="000000"/>
                <w:sz w:val="20"/>
                <w:szCs w:val="20"/>
              </w:rPr>
            </w:pPr>
            <w:r w:rsidRPr="00F171A3">
              <w:rPr>
                <w:color w:val="000000"/>
                <w:sz w:val="20"/>
                <w:szCs w:val="20"/>
              </w:rPr>
              <w:t>5</w:t>
            </w:r>
          </w:p>
        </w:tc>
        <w:tc>
          <w:tcPr>
            <w:tcW w:w="1411" w:type="dxa"/>
            <w:shd w:val="clear" w:color="auto" w:fill="F2F2F2" w:themeFill="background1" w:themeFillShade="F2"/>
          </w:tcPr>
          <w:p w14:paraId="7A7333C2" w14:textId="77777777" w:rsidR="0006359E" w:rsidRPr="00F171A3" w:rsidRDefault="0006359E" w:rsidP="00F31936">
            <w:pPr>
              <w:jc w:val="right"/>
              <w:rPr>
                <w:rFonts w:eastAsia="Calibri" w:cs="Calibri"/>
                <w:color w:val="000000"/>
                <w:sz w:val="20"/>
                <w:szCs w:val="20"/>
              </w:rPr>
            </w:pPr>
            <w:r w:rsidRPr="00F171A3">
              <w:rPr>
                <w:color w:val="000000"/>
                <w:sz w:val="20"/>
                <w:szCs w:val="20"/>
              </w:rPr>
              <w:t>3</w:t>
            </w:r>
          </w:p>
        </w:tc>
      </w:tr>
      <w:tr w:rsidR="0006359E" w:rsidRPr="00F171A3" w14:paraId="68529F79" w14:textId="77777777" w:rsidTr="00507C46">
        <w:trPr>
          <w:cnfStyle w:val="000000100000" w:firstRow="0" w:lastRow="0" w:firstColumn="0" w:lastColumn="0" w:oddVBand="0" w:evenVBand="0" w:oddHBand="1" w:evenHBand="0" w:firstRowFirstColumn="0" w:firstRowLastColumn="0" w:lastRowFirstColumn="0" w:lastRowLastColumn="0"/>
          <w:trHeight w:val="235"/>
        </w:trPr>
        <w:tc>
          <w:tcPr>
            <w:tcW w:w="5125" w:type="dxa"/>
            <w:tcBorders>
              <w:top w:val="none" w:sz="0" w:space="0" w:color="auto"/>
              <w:bottom w:val="none" w:sz="0" w:space="0" w:color="auto"/>
            </w:tcBorders>
            <w:shd w:val="clear" w:color="auto" w:fill="F2F2F2" w:themeFill="background1" w:themeFillShade="F2"/>
          </w:tcPr>
          <w:p w14:paraId="778B8AA4"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Serviciul management situații de urgență</w:t>
            </w:r>
          </w:p>
        </w:tc>
        <w:tc>
          <w:tcPr>
            <w:tcW w:w="1350" w:type="dxa"/>
            <w:tcBorders>
              <w:top w:val="none" w:sz="0" w:space="0" w:color="auto"/>
              <w:bottom w:val="none" w:sz="0" w:space="0" w:color="auto"/>
            </w:tcBorders>
            <w:shd w:val="clear" w:color="auto" w:fill="F2F2F2" w:themeFill="background1" w:themeFillShade="F2"/>
          </w:tcPr>
          <w:p w14:paraId="3F52A539" w14:textId="77777777" w:rsidR="0006359E" w:rsidRPr="00F171A3" w:rsidRDefault="0006359E" w:rsidP="00F31936">
            <w:pPr>
              <w:jc w:val="right"/>
              <w:rPr>
                <w:rFonts w:eastAsia="Calibri" w:cs="Calibri"/>
                <w:color w:val="000000"/>
                <w:sz w:val="20"/>
                <w:szCs w:val="20"/>
              </w:rPr>
            </w:pPr>
            <w:r w:rsidRPr="00F171A3">
              <w:rPr>
                <w:color w:val="000000"/>
                <w:sz w:val="20"/>
                <w:szCs w:val="20"/>
              </w:rPr>
              <w:t>8</w:t>
            </w:r>
          </w:p>
        </w:tc>
        <w:tc>
          <w:tcPr>
            <w:tcW w:w="1530" w:type="dxa"/>
            <w:tcBorders>
              <w:top w:val="none" w:sz="0" w:space="0" w:color="auto"/>
              <w:bottom w:val="none" w:sz="0" w:space="0" w:color="auto"/>
            </w:tcBorders>
            <w:shd w:val="clear" w:color="auto" w:fill="F2F2F2" w:themeFill="background1" w:themeFillShade="F2"/>
          </w:tcPr>
          <w:p w14:paraId="6099480F" w14:textId="77777777" w:rsidR="0006359E" w:rsidRPr="00F171A3" w:rsidRDefault="0006359E" w:rsidP="00F31936">
            <w:pPr>
              <w:jc w:val="right"/>
              <w:rPr>
                <w:rFonts w:eastAsia="Calibri" w:cs="Calibri"/>
                <w:color w:val="000000"/>
                <w:sz w:val="20"/>
                <w:szCs w:val="20"/>
              </w:rPr>
            </w:pPr>
            <w:r w:rsidRPr="00F171A3">
              <w:rPr>
                <w:color w:val="000000"/>
                <w:sz w:val="20"/>
                <w:szCs w:val="20"/>
              </w:rPr>
              <w:t>4</w:t>
            </w:r>
          </w:p>
        </w:tc>
        <w:tc>
          <w:tcPr>
            <w:tcW w:w="1411" w:type="dxa"/>
            <w:tcBorders>
              <w:top w:val="none" w:sz="0" w:space="0" w:color="auto"/>
              <w:bottom w:val="none" w:sz="0" w:space="0" w:color="auto"/>
            </w:tcBorders>
            <w:shd w:val="clear" w:color="auto" w:fill="F2F2F2" w:themeFill="background1" w:themeFillShade="F2"/>
          </w:tcPr>
          <w:p w14:paraId="736E44CF" w14:textId="77777777" w:rsidR="0006359E" w:rsidRPr="00F171A3" w:rsidRDefault="0006359E" w:rsidP="00F31936">
            <w:pPr>
              <w:jc w:val="right"/>
              <w:rPr>
                <w:rFonts w:eastAsia="Calibri" w:cs="Calibri"/>
                <w:color w:val="000000"/>
                <w:sz w:val="20"/>
                <w:szCs w:val="20"/>
              </w:rPr>
            </w:pPr>
            <w:r w:rsidRPr="00F171A3">
              <w:rPr>
                <w:color w:val="000000"/>
                <w:sz w:val="20"/>
                <w:szCs w:val="20"/>
              </w:rPr>
              <w:t>4</w:t>
            </w:r>
          </w:p>
        </w:tc>
      </w:tr>
      <w:tr w:rsidR="0006359E" w:rsidRPr="00F171A3" w14:paraId="0985A71B" w14:textId="77777777" w:rsidTr="00507C46">
        <w:trPr>
          <w:trHeight w:val="235"/>
        </w:trPr>
        <w:tc>
          <w:tcPr>
            <w:tcW w:w="5125" w:type="dxa"/>
            <w:shd w:val="clear" w:color="auto" w:fill="F2F2F2" w:themeFill="background1" w:themeFillShade="F2"/>
          </w:tcPr>
          <w:p w14:paraId="44BCE2E9" w14:textId="77777777" w:rsidR="0006359E" w:rsidRPr="00F171A3" w:rsidRDefault="0006359E" w:rsidP="00F31936">
            <w:pPr>
              <w:spacing w:after="0"/>
              <w:jc w:val="center"/>
              <w:rPr>
                <w:rFonts w:eastAsia="Calibri" w:cs="Calibri"/>
                <w:color w:val="000000"/>
                <w:sz w:val="20"/>
                <w:szCs w:val="20"/>
              </w:rPr>
            </w:pPr>
            <w:r w:rsidRPr="00F171A3">
              <w:rPr>
                <w:color w:val="000000"/>
                <w:sz w:val="20"/>
                <w:szCs w:val="20"/>
              </w:rPr>
              <w:t>Total</w:t>
            </w:r>
          </w:p>
        </w:tc>
        <w:tc>
          <w:tcPr>
            <w:tcW w:w="1350" w:type="dxa"/>
            <w:shd w:val="clear" w:color="auto" w:fill="F2F2F2" w:themeFill="background1" w:themeFillShade="F2"/>
          </w:tcPr>
          <w:p w14:paraId="1D59EB73" w14:textId="77777777" w:rsidR="0006359E" w:rsidRPr="00F171A3" w:rsidRDefault="0006359E" w:rsidP="00F31936">
            <w:pPr>
              <w:jc w:val="right"/>
              <w:rPr>
                <w:rFonts w:eastAsia="Calibri" w:cs="Calibri"/>
                <w:color w:val="000000"/>
                <w:sz w:val="20"/>
                <w:szCs w:val="20"/>
              </w:rPr>
            </w:pPr>
            <w:r w:rsidRPr="00F171A3">
              <w:rPr>
                <w:color w:val="000000"/>
                <w:sz w:val="20"/>
                <w:szCs w:val="20"/>
              </w:rPr>
              <w:t>388</w:t>
            </w:r>
          </w:p>
        </w:tc>
        <w:tc>
          <w:tcPr>
            <w:tcW w:w="1530" w:type="dxa"/>
            <w:shd w:val="clear" w:color="auto" w:fill="F2F2F2" w:themeFill="background1" w:themeFillShade="F2"/>
          </w:tcPr>
          <w:p w14:paraId="1DAA5659" w14:textId="77777777" w:rsidR="0006359E" w:rsidRPr="00F171A3" w:rsidRDefault="0006359E" w:rsidP="00F31936">
            <w:pPr>
              <w:jc w:val="right"/>
              <w:rPr>
                <w:rFonts w:eastAsia="Calibri" w:cs="Calibri"/>
                <w:color w:val="000000"/>
                <w:sz w:val="20"/>
                <w:szCs w:val="20"/>
              </w:rPr>
            </w:pPr>
            <w:r w:rsidRPr="00F171A3">
              <w:rPr>
                <w:color w:val="000000"/>
                <w:sz w:val="20"/>
                <w:szCs w:val="20"/>
              </w:rPr>
              <w:t>300</w:t>
            </w:r>
          </w:p>
        </w:tc>
        <w:tc>
          <w:tcPr>
            <w:tcW w:w="1411" w:type="dxa"/>
            <w:shd w:val="clear" w:color="auto" w:fill="F2F2F2" w:themeFill="background1" w:themeFillShade="F2"/>
          </w:tcPr>
          <w:p w14:paraId="2ABF5752" w14:textId="77777777" w:rsidR="0006359E" w:rsidRPr="00F171A3" w:rsidRDefault="0006359E" w:rsidP="00F31936">
            <w:pPr>
              <w:jc w:val="right"/>
              <w:rPr>
                <w:rFonts w:eastAsia="Calibri" w:cs="Calibri"/>
                <w:color w:val="000000"/>
                <w:sz w:val="20"/>
                <w:szCs w:val="20"/>
              </w:rPr>
            </w:pPr>
            <w:r w:rsidRPr="00F171A3">
              <w:rPr>
                <w:color w:val="000000"/>
                <w:sz w:val="20"/>
                <w:szCs w:val="20"/>
              </w:rPr>
              <w:t>88</w:t>
            </w:r>
          </w:p>
        </w:tc>
      </w:tr>
    </w:tbl>
    <w:p w14:paraId="676860C4" w14:textId="77777777" w:rsidR="0006359E" w:rsidRPr="00F171A3" w:rsidRDefault="0006359E" w:rsidP="0006359E">
      <w:pPr>
        <w:spacing w:before="240"/>
      </w:pPr>
      <w:r w:rsidRPr="00F171A3">
        <w:t>Alte servicii și instituții publice locale cu personalitate juridică includ (1) Administrația Domeniului Public Sector  (2) Administrația Piețelor Sector 2, (3)  Direcția Generală de Asistență Socială și Protecția Copilului Sector 2, (4) Poliția Locală Sector 2, (5) Direcția Venituri Buget Local Sector 2, (6) Centrul Teritorial Veterinar Sector 2, (7) Centrul Cultural Mihai Eminescu, (8)  Direcția Generală pentru Administrarea Patrimoniului Imobiliar Sector 2.  </w:t>
      </w:r>
    </w:p>
    <w:p w14:paraId="2A55349E" w14:textId="7EA5FF53" w:rsidR="0006359E" w:rsidRPr="00F171A3" w:rsidRDefault="00AF2C45" w:rsidP="00AF2C45">
      <w:pPr>
        <w:pStyle w:val="Caption"/>
        <w:rPr>
          <w:b w:val="0"/>
        </w:rPr>
      </w:pPr>
      <w:bookmarkStart w:id="314" w:name="_heading=h.xevivl" w:colFirst="0" w:colLast="0"/>
      <w:bookmarkStart w:id="315" w:name="_Toc126943291"/>
      <w:bookmarkEnd w:id="314"/>
      <w:r w:rsidRPr="00F171A3">
        <w:t xml:space="preserve">Tabel </w:t>
      </w:r>
      <w:r w:rsidRPr="00F171A3">
        <w:fldChar w:fldCharType="begin"/>
      </w:r>
      <w:r w:rsidRPr="00F171A3">
        <w:instrText xml:space="preserve"> SEQ Tabel \* ARABIC </w:instrText>
      </w:r>
      <w:r w:rsidRPr="00F171A3">
        <w:fldChar w:fldCharType="separate"/>
      </w:r>
      <w:r w:rsidR="005A6DD8">
        <w:rPr>
          <w:noProof/>
        </w:rPr>
        <w:t>34</w:t>
      </w:r>
      <w:r w:rsidRPr="00F171A3">
        <w:fldChar w:fldCharType="end"/>
      </w:r>
      <w:r w:rsidRPr="00F171A3">
        <w:t xml:space="preserve"> </w:t>
      </w:r>
      <w:r w:rsidR="0006359E" w:rsidRPr="00F171A3">
        <w:t>Instituții sub autoritatea Consiliului Local Sector 2</w:t>
      </w:r>
      <w:bookmarkEnd w:id="315"/>
      <w:r w:rsidR="0006359E" w:rsidRPr="00F171A3">
        <w:t xml:space="preserve">  </w:t>
      </w:r>
    </w:p>
    <w:tbl>
      <w:tblPr>
        <w:tblW w:w="943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515"/>
        <w:gridCol w:w="6920"/>
      </w:tblGrid>
      <w:tr w:rsidR="0006359E" w:rsidRPr="00F171A3" w14:paraId="2706A329" w14:textId="77777777" w:rsidTr="00F31936">
        <w:tc>
          <w:tcPr>
            <w:tcW w:w="2515" w:type="dxa"/>
            <w:shd w:val="clear" w:color="auto" w:fill="3CA1BC"/>
            <w:vAlign w:val="center"/>
          </w:tcPr>
          <w:p w14:paraId="21D05D14"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 xml:space="preserve">Administrația Domeniul Public Sector 2 </w:t>
            </w:r>
          </w:p>
        </w:tc>
        <w:tc>
          <w:tcPr>
            <w:tcW w:w="6920" w:type="dxa"/>
            <w:shd w:val="clear" w:color="auto" w:fill="F2F2F2"/>
            <w:vAlign w:val="center"/>
          </w:tcPr>
          <w:p w14:paraId="0B2B9B70" w14:textId="77777777" w:rsidR="0006359E" w:rsidRPr="00F171A3" w:rsidRDefault="0006359E" w:rsidP="00F31936">
            <w:pPr>
              <w:spacing w:before="120"/>
              <w:rPr>
                <w:rFonts w:ascii="Calibri" w:eastAsia="Calibri" w:hAnsi="Calibri" w:cs="Calibri"/>
                <w:sz w:val="20"/>
                <w:szCs w:val="20"/>
              </w:rPr>
            </w:pPr>
            <w:r w:rsidRPr="00F171A3">
              <w:rPr>
                <w:sz w:val="20"/>
                <w:szCs w:val="20"/>
              </w:rPr>
              <w:t xml:space="preserve">ADP Sector 2 funcționează ca instituție publică de interes local cu personalitate juridică și se află sub autoritatea Consiliului Local Sector 2. </w:t>
            </w:r>
          </w:p>
          <w:p w14:paraId="22F6C579" w14:textId="77777777" w:rsidR="0006359E" w:rsidRPr="00F171A3" w:rsidRDefault="0006359E" w:rsidP="00F31936">
            <w:pPr>
              <w:spacing w:before="120"/>
              <w:rPr>
                <w:rFonts w:ascii="Calibri" w:eastAsia="Calibri" w:hAnsi="Calibri" w:cs="Calibri"/>
                <w:sz w:val="20"/>
                <w:szCs w:val="20"/>
              </w:rPr>
            </w:pPr>
            <w:r w:rsidRPr="00F171A3">
              <w:rPr>
                <w:sz w:val="20"/>
                <w:szCs w:val="20"/>
              </w:rPr>
              <w:t xml:space="preserve">Organigramă: </w:t>
            </w:r>
            <w:r w:rsidRPr="00F171A3">
              <w:rPr>
                <w:rFonts w:ascii="Calibri" w:eastAsia="Calibri" w:hAnsi="Calibri" w:cs="Calibri"/>
                <w:sz w:val="20"/>
                <w:szCs w:val="20"/>
              </w:rPr>
              <w:t>Conform organigramei din Martie 2022, ADP Sector 2 are un număr total de 327 posturi prevăzute, din care 22 posturi de conducere, 109 personal TESA și 196 personal operativ. Numărul de posturi ocupate este de 278.</w:t>
            </w:r>
          </w:p>
          <w:p w14:paraId="700265C1" w14:textId="77777777" w:rsidR="0006359E" w:rsidRPr="00F171A3" w:rsidRDefault="0006359E" w:rsidP="00F31936">
            <w:pPr>
              <w:spacing w:before="120"/>
              <w:rPr>
                <w:rFonts w:ascii="Calibri" w:eastAsia="Calibri" w:hAnsi="Calibri" w:cs="Calibri"/>
                <w:sz w:val="20"/>
                <w:szCs w:val="20"/>
              </w:rPr>
            </w:pPr>
            <w:r w:rsidRPr="00F171A3">
              <w:rPr>
                <w:rFonts w:ascii="Calibri" w:eastAsia="Calibri" w:hAnsi="Calibri" w:cs="Calibri"/>
                <w:sz w:val="20"/>
                <w:szCs w:val="20"/>
              </w:rPr>
              <w:t xml:space="preserve">Finanțare: venituri proprii și subvenții acordate de la bugetul local. </w:t>
            </w:r>
          </w:p>
        </w:tc>
      </w:tr>
      <w:tr w:rsidR="0006359E" w:rsidRPr="00F171A3" w14:paraId="6B18041C" w14:textId="77777777" w:rsidTr="00F31936">
        <w:tc>
          <w:tcPr>
            <w:tcW w:w="2515" w:type="dxa"/>
            <w:shd w:val="clear" w:color="auto" w:fill="3CA1BC"/>
            <w:vAlign w:val="center"/>
          </w:tcPr>
          <w:p w14:paraId="44AE3416"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 xml:space="preserve">Administrația Piețelor Sector 2 </w:t>
            </w:r>
          </w:p>
        </w:tc>
        <w:tc>
          <w:tcPr>
            <w:tcW w:w="6920" w:type="dxa"/>
            <w:shd w:val="clear" w:color="auto" w:fill="F2F2F2"/>
            <w:vAlign w:val="center"/>
          </w:tcPr>
          <w:p w14:paraId="6A1101D0" w14:textId="77777777" w:rsidR="0006359E" w:rsidRPr="00F171A3" w:rsidRDefault="0006359E" w:rsidP="00F31936">
            <w:pPr>
              <w:spacing w:before="120"/>
              <w:rPr>
                <w:rFonts w:ascii="Calibri" w:eastAsia="Calibri" w:hAnsi="Calibri" w:cs="Calibri"/>
                <w:sz w:val="20"/>
                <w:szCs w:val="20"/>
              </w:rPr>
            </w:pPr>
            <w:r w:rsidRPr="00F171A3">
              <w:rPr>
                <w:sz w:val="20"/>
                <w:szCs w:val="20"/>
              </w:rPr>
              <w:t>Organizată şi funcţionează ca instituţie publică de interes local, finanţată din venituri proprii și subvenții acordate de la bugetul local potrivit art. 67, alin.1, lit.b) din Legea nr. 273/2006 privind finanțele publice locale, cu personalitate juridică, în baza O.U.G. nr. 71/2002, O.U.G. nr. 57/2019 privind Codul administrativ, cu modificările și completările ulterioare, Hotărârii Guvernului nr. 348/2004, Hotărârii Consiliului General al Municipiului Bucureşti nr. 239/2001 şi Hotărârii Consiliului General al Municipiului Bucureşti nr. 127/1996, aflată în subordinea Consiliului Local al Sectorului 2.</w:t>
            </w:r>
          </w:p>
          <w:p w14:paraId="297F6FE4" w14:textId="77777777" w:rsidR="0006359E" w:rsidRPr="00F171A3" w:rsidRDefault="0006359E" w:rsidP="00F31936">
            <w:pPr>
              <w:spacing w:before="120"/>
              <w:rPr>
                <w:rFonts w:ascii="Calibri" w:eastAsia="Calibri" w:hAnsi="Calibri" w:cs="Calibri"/>
                <w:sz w:val="20"/>
                <w:szCs w:val="20"/>
              </w:rPr>
            </w:pPr>
            <w:r w:rsidRPr="00F171A3">
              <w:rPr>
                <w:sz w:val="20"/>
                <w:szCs w:val="20"/>
              </w:rPr>
              <w:t>Organigramă: Numărul de posturi aprobat este de 35, dintre care 4 posturi de conducere și 31 de execuție.  2 posturi sunt vacante, 1 vacant temporar și 32 ocupate.</w:t>
            </w:r>
          </w:p>
          <w:p w14:paraId="18F443D0" w14:textId="77777777" w:rsidR="0006359E" w:rsidRPr="00F171A3" w:rsidRDefault="0006359E" w:rsidP="00F31936">
            <w:pPr>
              <w:spacing w:before="120"/>
              <w:rPr>
                <w:rFonts w:ascii="Calibri" w:eastAsia="Calibri" w:hAnsi="Calibri" w:cs="Calibri"/>
                <w:sz w:val="20"/>
                <w:szCs w:val="20"/>
              </w:rPr>
            </w:pPr>
            <w:r w:rsidRPr="00F171A3">
              <w:rPr>
                <w:sz w:val="20"/>
                <w:szCs w:val="20"/>
              </w:rPr>
              <w:t>Finanțare: Modalitatea de finanțare: din venituri proprii și subvenții acordate de la bugetul local potrivit art. 67, alin.1, lit. b) din Legea nr. 273/2006 privind finanțele publice locale, cu modificările și completările ulterioare;</w:t>
            </w:r>
          </w:p>
          <w:p w14:paraId="6DDA4F10" w14:textId="77777777" w:rsidR="0006359E" w:rsidRPr="00F171A3" w:rsidRDefault="0006359E" w:rsidP="00F31936">
            <w:pPr>
              <w:spacing w:before="120"/>
              <w:rPr>
                <w:rFonts w:ascii="Calibri" w:eastAsia="Calibri" w:hAnsi="Calibri" w:cs="Calibri"/>
                <w:sz w:val="20"/>
                <w:szCs w:val="20"/>
              </w:rPr>
            </w:pPr>
            <w:r w:rsidRPr="00F171A3">
              <w:rPr>
                <w:sz w:val="20"/>
                <w:szCs w:val="20"/>
              </w:rPr>
              <w:t>În 2021, finanțarea de la bugetul local a reprezentat 24.9% din bugetul total al instituției (4.420.998 RON din 17.692.00 RON)</w:t>
            </w:r>
          </w:p>
        </w:tc>
      </w:tr>
      <w:tr w:rsidR="0006359E" w:rsidRPr="00F171A3" w14:paraId="479B05DB" w14:textId="77777777" w:rsidTr="00F31936">
        <w:tc>
          <w:tcPr>
            <w:tcW w:w="2515" w:type="dxa"/>
            <w:shd w:val="clear" w:color="auto" w:fill="3CA1BC"/>
            <w:vAlign w:val="center"/>
          </w:tcPr>
          <w:p w14:paraId="13628436"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Direcția Generală de Asistență Socială și Protecția Copilului Sector 2</w:t>
            </w:r>
          </w:p>
        </w:tc>
        <w:tc>
          <w:tcPr>
            <w:tcW w:w="6920" w:type="dxa"/>
            <w:shd w:val="clear" w:color="auto" w:fill="F2F2F2"/>
            <w:vAlign w:val="center"/>
          </w:tcPr>
          <w:p w14:paraId="4576BD98" w14:textId="77777777" w:rsidR="0006359E" w:rsidRPr="00F171A3" w:rsidRDefault="0006359E" w:rsidP="00F31936">
            <w:pPr>
              <w:spacing w:before="120"/>
              <w:rPr>
                <w:rFonts w:ascii="Calibri" w:eastAsia="Calibri" w:hAnsi="Calibri" w:cs="Calibri"/>
                <w:sz w:val="20"/>
                <w:szCs w:val="20"/>
              </w:rPr>
            </w:pPr>
            <w:r w:rsidRPr="00F171A3">
              <w:rPr>
                <w:sz w:val="20"/>
                <w:szCs w:val="20"/>
              </w:rPr>
              <w:t>DGASPC Sector 2 funcționează ca instituție publică cu personalitate juridică, începând cu data de 1 ianuarie 2005, prin reorganizarea Direcției pentru Protecția Copilului Sector 2, Direcției de Protecție Socială Sector 2, Centrul de Recuperare și Reabilitare Persoane cu Handicap Sector 2 și Centrul de Îngrijire și Asistență Sector 2. Hotărârea de înființare nr. 43 din 2004.</w:t>
            </w:r>
          </w:p>
          <w:p w14:paraId="77544FF9" w14:textId="77777777" w:rsidR="0006359E" w:rsidRPr="00F171A3" w:rsidRDefault="0006359E" w:rsidP="00F31936">
            <w:pPr>
              <w:spacing w:before="120"/>
              <w:rPr>
                <w:rFonts w:ascii="Calibri" w:eastAsia="Calibri" w:hAnsi="Calibri" w:cs="Calibri"/>
                <w:sz w:val="20"/>
                <w:szCs w:val="20"/>
              </w:rPr>
            </w:pPr>
            <w:r w:rsidRPr="00F171A3">
              <w:rPr>
                <w:sz w:val="20"/>
                <w:szCs w:val="20"/>
              </w:rPr>
              <w:t>Organigramă: Conform organigramei din 2019, num</w:t>
            </w:r>
            <w:r w:rsidRPr="00F171A3">
              <w:rPr>
                <w:rFonts w:ascii="Calibri" w:eastAsia="Calibri" w:hAnsi="Calibri" w:cs="Calibri"/>
                <w:sz w:val="20"/>
                <w:szCs w:val="20"/>
              </w:rPr>
              <w:t>ărul total de posturi este de 2,404, din care funcții publice 383 și funcții contractuale 2,021. Funcțiile publice de conducere sunt de 53, iar cele de execuție 330. Funcțiile contractuale de conducere sunt 35, iar cele de execuție 1986.</w:t>
            </w:r>
          </w:p>
          <w:p w14:paraId="788D08E7" w14:textId="77777777" w:rsidR="0006359E" w:rsidRPr="00F171A3" w:rsidRDefault="0006359E" w:rsidP="00F31936">
            <w:pPr>
              <w:spacing w:before="120"/>
              <w:rPr>
                <w:rFonts w:ascii="Calibri" w:eastAsia="Calibri" w:hAnsi="Calibri" w:cs="Calibri"/>
                <w:sz w:val="20"/>
                <w:szCs w:val="20"/>
              </w:rPr>
            </w:pPr>
            <w:r w:rsidRPr="00F171A3">
              <w:rPr>
                <w:rFonts w:ascii="Calibri" w:eastAsia="Calibri" w:hAnsi="Calibri" w:cs="Calibri"/>
                <w:sz w:val="20"/>
                <w:szCs w:val="20"/>
              </w:rPr>
              <w:t>Finanțare</w:t>
            </w:r>
            <w:r w:rsidRPr="00F171A3">
              <w:rPr>
                <w:sz w:val="20"/>
                <w:szCs w:val="20"/>
              </w:rPr>
              <w:t>: DGASPC este finan</w:t>
            </w:r>
            <w:r w:rsidRPr="00F171A3">
              <w:rPr>
                <w:rFonts w:ascii="Calibri" w:eastAsia="Calibri" w:hAnsi="Calibri" w:cs="Calibri"/>
                <w:sz w:val="20"/>
                <w:szCs w:val="20"/>
              </w:rPr>
              <w:t xml:space="preserve">țată din mai multe surse, </w:t>
            </w:r>
            <w:r w:rsidRPr="00F171A3">
              <w:rPr>
                <w:i/>
                <w:sz w:val="20"/>
                <w:szCs w:val="20"/>
              </w:rPr>
              <w:t>potrivit art. 128 - Finanțarea asistenței sociale, din Lege 292/2011</w:t>
            </w:r>
            <w:r w:rsidRPr="00F171A3">
              <w:rPr>
                <w:sz w:val="20"/>
                <w:szCs w:val="20"/>
              </w:rPr>
              <w:t>: bugetul de stat, bugetul local, dona</w:t>
            </w:r>
            <w:r w:rsidRPr="00F171A3">
              <w:rPr>
                <w:rFonts w:ascii="Calibri" w:eastAsia="Calibri" w:hAnsi="Calibri" w:cs="Calibri"/>
                <w:sz w:val="20"/>
                <w:szCs w:val="20"/>
              </w:rPr>
              <w:t xml:space="preserve">ții, sponsorizări, alte contribuții, contribuții ale beneficiarilor cu respectarea prevederilor legale. </w:t>
            </w:r>
            <w:r w:rsidRPr="00F171A3">
              <w:rPr>
                <w:sz w:val="20"/>
                <w:szCs w:val="20"/>
              </w:rPr>
              <w:t xml:space="preserve"> </w:t>
            </w:r>
          </w:p>
          <w:p w14:paraId="559B7316" w14:textId="77777777" w:rsidR="0006359E" w:rsidRPr="00F171A3" w:rsidRDefault="0006359E" w:rsidP="00F31936">
            <w:pPr>
              <w:spacing w:before="120"/>
              <w:rPr>
                <w:rFonts w:ascii="Calibri" w:eastAsia="Calibri" w:hAnsi="Calibri" w:cs="Calibri"/>
                <w:sz w:val="20"/>
                <w:szCs w:val="20"/>
              </w:rPr>
            </w:pPr>
          </w:p>
        </w:tc>
      </w:tr>
      <w:tr w:rsidR="0006359E" w:rsidRPr="00F171A3" w14:paraId="70E6ECF2" w14:textId="77777777" w:rsidTr="00F31936">
        <w:tc>
          <w:tcPr>
            <w:tcW w:w="2515" w:type="dxa"/>
            <w:shd w:val="clear" w:color="auto" w:fill="3CA1BC"/>
            <w:vAlign w:val="center"/>
          </w:tcPr>
          <w:p w14:paraId="213C8DDC"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Poliția Locală Sector 2</w:t>
            </w:r>
          </w:p>
        </w:tc>
        <w:tc>
          <w:tcPr>
            <w:tcW w:w="6920" w:type="dxa"/>
            <w:shd w:val="clear" w:color="auto" w:fill="F2F2F2"/>
            <w:vAlign w:val="center"/>
          </w:tcPr>
          <w:p w14:paraId="2B1AE898" w14:textId="77777777" w:rsidR="0006359E" w:rsidRPr="00F171A3" w:rsidRDefault="0006359E" w:rsidP="00F31936">
            <w:pPr>
              <w:spacing w:before="120"/>
              <w:rPr>
                <w:rFonts w:ascii="Calibri" w:eastAsia="Calibri" w:hAnsi="Calibri" w:cs="Calibri"/>
                <w:sz w:val="20"/>
                <w:szCs w:val="20"/>
              </w:rPr>
            </w:pPr>
            <w:r w:rsidRPr="00F171A3">
              <w:rPr>
                <w:sz w:val="20"/>
                <w:szCs w:val="20"/>
              </w:rPr>
              <w:t xml:space="preserve">Înființată prin Hotărârea Consiliului Local Sector nr 10 din 2011. </w:t>
            </w:r>
          </w:p>
          <w:p w14:paraId="4259E77C" w14:textId="77777777" w:rsidR="0006359E" w:rsidRPr="00F171A3" w:rsidRDefault="0006359E" w:rsidP="00F31936">
            <w:pPr>
              <w:spacing w:before="120"/>
              <w:rPr>
                <w:rFonts w:ascii="Calibri" w:eastAsia="Calibri" w:hAnsi="Calibri" w:cs="Calibri"/>
                <w:sz w:val="20"/>
                <w:szCs w:val="20"/>
              </w:rPr>
            </w:pPr>
            <w:r w:rsidRPr="00F171A3">
              <w:rPr>
                <w:sz w:val="20"/>
                <w:szCs w:val="20"/>
              </w:rPr>
              <w:t xml:space="preserve">Organigramă: Numărul de posturi aprobat prin HCL 310/2019 este de 372, dintre care 9 sunt vacante și 3 în procedură de ocupare. </w:t>
            </w:r>
          </w:p>
          <w:p w14:paraId="0E1258D7" w14:textId="77777777" w:rsidR="0006359E" w:rsidRPr="00F171A3" w:rsidRDefault="0006359E" w:rsidP="00F31936">
            <w:pPr>
              <w:spacing w:before="120"/>
              <w:rPr>
                <w:rFonts w:ascii="Calibri" w:eastAsia="Calibri" w:hAnsi="Calibri" w:cs="Calibri"/>
                <w:sz w:val="20"/>
                <w:szCs w:val="20"/>
              </w:rPr>
            </w:pPr>
            <w:r w:rsidRPr="00F171A3">
              <w:rPr>
                <w:sz w:val="20"/>
                <w:szCs w:val="20"/>
              </w:rPr>
              <w:br/>
              <w:t>Finanțare: Integral de la bugetul local.</w:t>
            </w:r>
          </w:p>
        </w:tc>
      </w:tr>
      <w:tr w:rsidR="0006359E" w:rsidRPr="00F171A3" w14:paraId="53C4CD32" w14:textId="77777777" w:rsidTr="00F31936">
        <w:tc>
          <w:tcPr>
            <w:tcW w:w="2515" w:type="dxa"/>
            <w:shd w:val="clear" w:color="auto" w:fill="3CA1BC"/>
            <w:vAlign w:val="center"/>
          </w:tcPr>
          <w:p w14:paraId="661CECA2"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Direcția Venituri Buget Local Sector 2</w:t>
            </w:r>
          </w:p>
        </w:tc>
        <w:tc>
          <w:tcPr>
            <w:tcW w:w="6920" w:type="dxa"/>
            <w:shd w:val="clear" w:color="auto" w:fill="F2F2F2"/>
            <w:vAlign w:val="center"/>
          </w:tcPr>
          <w:p w14:paraId="7EAEF244" w14:textId="77777777" w:rsidR="0006359E" w:rsidRPr="00F171A3" w:rsidRDefault="0006359E" w:rsidP="00F31936">
            <w:pPr>
              <w:spacing w:before="120"/>
              <w:rPr>
                <w:rFonts w:ascii="Calibri" w:eastAsia="Calibri" w:hAnsi="Calibri" w:cs="Calibri"/>
                <w:sz w:val="20"/>
                <w:szCs w:val="20"/>
              </w:rPr>
            </w:pPr>
            <w:r w:rsidRPr="00F171A3">
              <w:rPr>
                <w:sz w:val="20"/>
                <w:szCs w:val="20"/>
              </w:rPr>
              <w:t>Înființată în baza Hotărârii Consiliului Local Sector 2 nr. 31/12.03.2001.</w:t>
            </w:r>
          </w:p>
          <w:p w14:paraId="18911EBB" w14:textId="77777777" w:rsidR="0006359E" w:rsidRPr="00F171A3" w:rsidRDefault="0006359E" w:rsidP="00F31936">
            <w:pPr>
              <w:spacing w:before="120"/>
              <w:rPr>
                <w:rFonts w:ascii="Calibri" w:eastAsia="Calibri" w:hAnsi="Calibri" w:cs="Calibri"/>
                <w:sz w:val="20"/>
                <w:szCs w:val="20"/>
              </w:rPr>
            </w:pPr>
            <w:r w:rsidRPr="00F171A3">
              <w:rPr>
                <w:sz w:val="20"/>
                <w:szCs w:val="20"/>
              </w:rPr>
              <w:br/>
              <w:t>Organigramă: Sunt aprobate 140 posturi din care: 116 posturi ocupate, 21 posturi vacante și 3 posturi temporar vacante. De asemenea, instituția se află în prezent în proces de reorganizare, urmând să se majoreze numărul posturilor de la 140 la 150.</w:t>
            </w:r>
          </w:p>
          <w:p w14:paraId="1254A183" w14:textId="77777777" w:rsidR="0006359E" w:rsidRPr="00F171A3" w:rsidRDefault="0006359E" w:rsidP="00F31936">
            <w:pPr>
              <w:spacing w:before="120"/>
              <w:rPr>
                <w:rFonts w:ascii="Calibri" w:eastAsia="Calibri" w:hAnsi="Calibri" w:cs="Calibri"/>
                <w:sz w:val="20"/>
                <w:szCs w:val="20"/>
              </w:rPr>
            </w:pPr>
            <w:r w:rsidRPr="00F171A3">
              <w:rPr>
                <w:sz w:val="20"/>
                <w:szCs w:val="20"/>
              </w:rPr>
              <w:t>Finanțare: Integral de la bugetul local.</w:t>
            </w:r>
          </w:p>
        </w:tc>
      </w:tr>
      <w:tr w:rsidR="0006359E" w:rsidRPr="00F171A3" w14:paraId="218FFBC2" w14:textId="77777777" w:rsidTr="00F31936">
        <w:tc>
          <w:tcPr>
            <w:tcW w:w="2515" w:type="dxa"/>
            <w:shd w:val="clear" w:color="auto" w:fill="3CA1BC"/>
            <w:vAlign w:val="center"/>
          </w:tcPr>
          <w:p w14:paraId="4000D041"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Centrul Teritorial Veterinar Sector 2</w:t>
            </w:r>
          </w:p>
        </w:tc>
        <w:tc>
          <w:tcPr>
            <w:tcW w:w="6920" w:type="dxa"/>
            <w:shd w:val="clear" w:color="auto" w:fill="F2F2F2"/>
            <w:vAlign w:val="center"/>
          </w:tcPr>
          <w:p w14:paraId="7A422653" w14:textId="77777777" w:rsidR="0006359E" w:rsidRPr="00F171A3" w:rsidRDefault="0006359E" w:rsidP="00F31936">
            <w:pPr>
              <w:spacing w:before="120"/>
              <w:rPr>
                <w:rFonts w:ascii="Calibri" w:eastAsia="Calibri" w:hAnsi="Calibri" w:cs="Calibri"/>
                <w:sz w:val="20"/>
                <w:szCs w:val="20"/>
              </w:rPr>
            </w:pPr>
            <w:r w:rsidRPr="00F171A3">
              <w:rPr>
                <w:sz w:val="20"/>
                <w:szCs w:val="20"/>
              </w:rPr>
              <w:t>Centrul Teritorial Veterinar Sector 2 a fost aprobat în urma hotărârii nr. 83 din 2001 prin reorganizarea Centrului Teritorial pentru Castrarea Câinilor fără Stăpân sector 2.  Este o instituție aflată în subordinea Consiliului Local Sector 2.</w:t>
            </w:r>
          </w:p>
          <w:p w14:paraId="56C540C0" w14:textId="77777777" w:rsidR="0006359E" w:rsidRPr="00F171A3" w:rsidRDefault="0006359E" w:rsidP="00F31936">
            <w:pPr>
              <w:spacing w:before="120"/>
              <w:rPr>
                <w:rFonts w:ascii="Calibri" w:eastAsia="Calibri" w:hAnsi="Calibri" w:cs="Calibri"/>
                <w:sz w:val="20"/>
                <w:szCs w:val="20"/>
              </w:rPr>
            </w:pPr>
            <w:r w:rsidRPr="00F171A3">
              <w:rPr>
                <w:sz w:val="20"/>
                <w:szCs w:val="20"/>
              </w:rPr>
              <w:t>Organigramă: Conform organigramei din 2016, CTV Sector</w:t>
            </w:r>
            <w:r w:rsidRPr="00F171A3">
              <w:rPr>
                <w:rFonts w:ascii="Calibri" w:eastAsia="Calibri" w:hAnsi="Calibri" w:cs="Calibri"/>
                <w:sz w:val="20"/>
                <w:szCs w:val="20"/>
              </w:rPr>
              <w:t xml:space="preserve"> 2</w:t>
            </w:r>
            <w:r w:rsidRPr="00F171A3">
              <w:rPr>
                <w:sz w:val="20"/>
                <w:szCs w:val="20"/>
              </w:rPr>
              <w:t xml:space="preserve"> are un num</w:t>
            </w:r>
            <w:r w:rsidRPr="00F171A3">
              <w:rPr>
                <w:rFonts w:ascii="Calibri" w:eastAsia="Calibri" w:hAnsi="Calibri" w:cs="Calibri"/>
                <w:sz w:val="20"/>
                <w:szCs w:val="20"/>
              </w:rPr>
              <w:t>ăr aprobat de 42 posturi, din care 5 de conducere și 37 de execuție.</w:t>
            </w:r>
          </w:p>
          <w:p w14:paraId="6851F6AA" w14:textId="77777777" w:rsidR="0006359E" w:rsidRPr="00F171A3" w:rsidRDefault="0006359E" w:rsidP="00F31936">
            <w:pPr>
              <w:spacing w:before="120"/>
              <w:rPr>
                <w:rFonts w:ascii="Calibri" w:eastAsia="Calibri" w:hAnsi="Calibri" w:cs="Calibri"/>
                <w:sz w:val="20"/>
                <w:szCs w:val="20"/>
              </w:rPr>
            </w:pPr>
            <w:r w:rsidRPr="00F171A3">
              <w:rPr>
                <w:rFonts w:ascii="Calibri" w:eastAsia="Calibri" w:hAnsi="Calibri" w:cs="Calibri"/>
                <w:sz w:val="20"/>
                <w:szCs w:val="20"/>
              </w:rPr>
              <w:t>Finanțare</w:t>
            </w:r>
            <w:r w:rsidRPr="00F171A3">
              <w:rPr>
                <w:sz w:val="20"/>
                <w:szCs w:val="20"/>
              </w:rPr>
              <w:t xml:space="preserve">: </w:t>
            </w:r>
            <w:r w:rsidRPr="00F171A3">
              <w:rPr>
                <w:rFonts w:ascii="Calibri" w:eastAsia="Calibri" w:hAnsi="Calibri" w:cs="Calibri"/>
                <w:sz w:val="20"/>
                <w:szCs w:val="20"/>
              </w:rPr>
              <w:t>Parțial de la bugetul local.</w:t>
            </w:r>
          </w:p>
          <w:p w14:paraId="2B70CDB2" w14:textId="77777777" w:rsidR="0006359E" w:rsidRPr="00F171A3" w:rsidRDefault="0006359E" w:rsidP="00F31936">
            <w:pPr>
              <w:spacing w:before="120"/>
              <w:rPr>
                <w:rFonts w:ascii="Calibri" w:eastAsia="Calibri" w:hAnsi="Calibri" w:cs="Calibri"/>
                <w:sz w:val="20"/>
                <w:szCs w:val="20"/>
              </w:rPr>
            </w:pPr>
          </w:p>
        </w:tc>
      </w:tr>
      <w:tr w:rsidR="0006359E" w:rsidRPr="00F171A3" w14:paraId="73E6BD90" w14:textId="77777777" w:rsidTr="00F31936">
        <w:tc>
          <w:tcPr>
            <w:tcW w:w="2515" w:type="dxa"/>
            <w:shd w:val="clear" w:color="auto" w:fill="3CA1BC"/>
            <w:vAlign w:val="center"/>
          </w:tcPr>
          <w:p w14:paraId="2BBA1001"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Centrul Cultural Mihai Eminescu</w:t>
            </w:r>
          </w:p>
        </w:tc>
        <w:tc>
          <w:tcPr>
            <w:tcW w:w="6920" w:type="dxa"/>
            <w:shd w:val="clear" w:color="auto" w:fill="F2F2F2"/>
            <w:vAlign w:val="center"/>
          </w:tcPr>
          <w:p w14:paraId="1C04B7A1" w14:textId="77777777" w:rsidR="0006359E" w:rsidRPr="00F171A3" w:rsidRDefault="0006359E" w:rsidP="00F31936">
            <w:pPr>
              <w:spacing w:before="120"/>
              <w:rPr>
                <w:rFonts w:ascii="Calibri" w:eastAsia="Calibri" w:hAnsi="Calibri" w:cs="Calibri"/>
                <w:sz w:val="20"/>
                <w:szCs w:val="20"/>
              </w:rPr>
            </w:pPr>
            <w:r w:rsidRPr="00F171A3">
              <w:rPr>
                <w:sz w:val="20"/>
                <w:szCs w:val="20"/>
              </w:rPr>
              <w:t>Înființat în baza autorizației nr. 1684/7.10.1939 a Fundației Regale "Principele Carol", la acea vreme purtând numele de Căminul Cultural Orășenesc Dichiu.  Instituția dobândește treptat statutul de centru cultural, luând denumirea de Centrul Cultural "Mihai Eminescu" în baza Hotărârii Consiliului Local al Sectorului 2 nr. 95/24.10.2002.</w:t>
            </w:r>
          </w:p>
          <w:p w14:paraId="7C0556FA" w14:textId="77777777" w:rsidR="0006359E" w:rsidRPr="00F171A3" w:rsidRDefault="0006359E" w:rsidP="00F31936">
            <w:pPr>
              <w:spacing w:before="120"/>
              <w:rPr>
                <w:rFonts w:ascii="Calibri" w:eastAsia="Calibri" w:hAnsi="Calibri" w:cs="Calibri"/>
                <w:sz w:val="20"/>
                <w:szCs w:val="20"/>
              </w:rPr>
            </w:pPr>
            <w:r w:rsidRPr="00F171A3">
              <w:rPr>
                <w:sz w:val="20"/>
                <w:szCs w:val="20"/>
              </w:rPr>
              <w:t>Organigramă: 32 posturi, din care sunt ocupate 28, iar 4 posturi sunt vacante.</w:t>
            </w:r>
            <w:r w:rsidRPr="00F171A3">
              <w:rPr>
                <w:sz w:val="20"/>
                <w:szCs w:val="20"/>
              </w:rPr>
              <w:br/>
            </w:r>
            <w:r w:rsidRPr="00F171A3">
              <w:rPr>
                <w:sz w:val="20"/>
                <w:szCs w:val="20"/>
              </w:rPr>
              <w:br/>
              <w:t xml:space="preserve">Finanțare: Parțial de la bugetul local al Sectorului 2. În 2021, finanțarea de la bugetul local a reprezentat 97.41% din bugetul total al instituției. </w:t>
            </w:r>
          </w:p>
        </w:tc>
      </w:tr>
      <w:tr w:rsidR="0006359E" w:rsidRPr="00F171A3" w14:paraId="5CB6303A" w14:textId="77777777" w:rsidTr="00F31936">
        <w:tc>
          <w:tcPr>
            <w:tcW w:w="2515" w:type="dxa"/>
            <w:shd w:val="clear" w:color="auto" w:fill="3CA1BC"/>
            <w:vAlign w:val="center"/>
          </w:tcPr>
          <w:p w14:paraId="76032A2E"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Direcția Generală pentru Administrarea Patrimoniului Imobiliar Sector 2</w:t>
            </w:r>
          </w:p>
        </w:tc>
        <w:tc>
          <w:tcPr>
            <w:tcW w:w="6920" w:type="dxa"/>
            <w:shd w:val="clear" w:color="auto" w:fill="F2F2F2"/>
            <w:vAlign w:val="center"/>
          </w:tcPr>
          <w:p w14:paraId="72762410" w14:textId="77777777" w:rsidR="0006359E" w:rsidRPr="00F171A3" w:rsidRDefault="0006359E" w:rsidP="00F31936">
            <w:pPr>
              <w:spacing w:before="120"/>
              <w:rPr>
                <w:rFonts w:ascii="Calibri" w:eastAsia="Calibri" w:hAnsi="Calibri" w:cs="Calibri"/>
                <w:sz w:val="20"/>
                <w:szCs w:val="20"/>
              </w:rPr>
            </w:pPr>
            <w:r w:rsidRPr="00F171A3">
              <w:rPr>
                <w:sz w:val="20"/>
                <w:szCs w:val="20"/>
              </w:rPr>
              <w:t xml:space="preserve">Înființată la data de 01.01.2003 prin Hotărârea Consiliului Local Sector nr 107/28.11.2002 ca urmare a reorganizării Direcției pentru Administrarea Unităților de Învățământ Sector 2 și Direcției pentru pentru Administrarea Unităților Sanitare Publice.  </w:t>
            </w:r>
          </w:p>
          <w:p w14:paraId="395275AB" w14:textId="77777777" w:rsidR="0006359E" w:rsidRPr="00F171A3" w:rsidRDefault="0006359E" w:rsidP="00F31936">
            <w:pPr>
              <w:spacing w:before="120"/>
              <w:rPr>
                <w:rFonts w:ascii="Calibri" w:eastAsia="Calibri" w:hAnsi="Calibri" w:cs="Calibri"/>
                <w:sz w:val="20"/>
                <w:szCs w:val="20"/>
              </w:rPr>
            </w:pPr>
            <w:r w:rsidRPr="00F171A3">
              <w:rPr>
                <w:sz w:val="20"/>
                <w:szCs w:val="20"/>
              </w:rPr>
              <w:t xml:space="preserve">Organigramă: Numărul de posturi aprobat prin HCL 346/28.11.2019 este de 52, dintre care 16 sunt vacante și 36 ocupate.  </w:t>
            </w:r>
          </w:p>
          <w:p w14:paraId="2B7904B4" w14:textId="77777777" w:rsidR="0006359E" w:rsidRPr="00F171A3" w:rsidRDefault="0006359E" w:rsidP="00F31936">
            <w:pPr>
              <w:spacing w:before="120"/>
              <w:rPr>
                <w:rFonts w:ascii="Calibri" w:eastAsia="Calibri" w:hAnsi="Calibri" w:cs="Calibri"/>
                <w:sz w:val="20"/>
                <w:szCs w:val="20"/>
              </w:rPr>
            </w:pPr>
            <w:r w:rsidRPr="00F171A3">
              <w:rPr>
                <w:sz w:val="20"/>
                <w:szCs w:val="20"/>
              </w:rPr>
              <w:br/>
              <w:t>Finanțare: Integral de la bugetul local.</w:t>
            </w:r>
          </w:p>
        </w:tc>
      </w:tr>
      <w:tr w:rsidR="0006359E" w:rsidRPr="00F171A3" w14:paraId="127F8982" w14:textId="77777777" w:rsidTr="00F31936">
        <w:tc>
          <w:tcPr>
            <w:tcW w:w="2515" w:type="dxa"/>
            <w:shd w:val="clear" w:color="auto" w:fill="3CA1BC"/>
            <w:vAlign w:val="center"/>
          </w:tcPr>
          <w:p w14:paraId="5464FBCF" w14:textId="77777777" w:rsidR="0006359E" w:rsidRPr="00F171A3" w:rsidRDefault="0006359E" w:rsidP="00F31936">
            <w:pPr>
              <w:spacing w:before="120"/>
              <w:jc w:val="left"/>
              <w:rPr>
                <w:rFonts w:ascii="Calibri" w:eastAsia="Calibri" w:hAnsi="Calibri" w:cs="Calibri"/>
                <w:color w:val="FFFFFF"/>
                <w:sz w:val="20"/>
                <w:szCs w:val="20"/>
              </w:rPr>
            </w:pPr>
            <w:r w:rsidRPr="00F171A3">
              <w:rPr>
                <w:color w:val="FFFFFF"/>
                <w:sz w:val="20"/>
                <w:szCs w:val="20"/>
              </w:rPr>
              <w:t>*Direcția Publică de Evidență Persoane și Stare Civilă Sector 2</w:t>
            </w:r>
          </w:p>
        </w:tc>
        <w:tc>
          <w:tcPr>
            <w:tcW w:w="6920" w:type="dxa"/>
            <w:shd w:val="clear" w:color="auto" w:fill="F2F2F2"/>
            <w:vAlign w:val="center"/>
          </w:tcPr>
          <w:p w14:paraId="411D0CC4" w14:textId="77777777" w:rsidR="0006359E" w:rsidRPr="00F171A3" w:rsidRDefault="0006359E" w:rsidP="00F31936">
            <w:pPr>
              <w:spacing w:before="120"/>
              <w:rPr>
                <w:rFonts w:ascii="Calibri" w:eastAsia="Calibri" w:hAnsi="Calibri" w:cs="Calibri"/>
                <w:sz w:val="20"/>
                <w:szCs w:val="20"/>
              </w:rPr>
            </w:pPr>
            <w:r w:rsidRPr="00F171A3">
              <w:rPr>
                <w:rFonts w:ascii="Calibri" w:eastAsia="Calibri" w:hAnsi="Calibri" w:cs="Calibri"/>
                <w:sz w:val="20"/>
                <w:szCs w:val="20"/>
              </w:rPr>
              <w:t>Serviciu fără personalitate juridică.</w:t>
            </w:r>
          </w:p>
        </w:tc>
      </w:tr>
    </w:tbl>
    <w:p w14:paraId="41CAEC96" w14:textId="1A79610A"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furnizate de Primăria Sector</w:t>
      </w:r>
      <w:r w:rsidR="00F53B80" w:rsidRPr="00F171A3">
        <w:rPr>
          <w:color w:val="BFBFBF" w:themeColor="background1" w:themeShade="BF"/>
        </w:rPr>
        <w:t>ului</w:t>
      </w:r>
      <w:r w:rsidRPr="00F171A3">
        <w:rPr>
          <w:color w:val="BFBFBF" w:themeColor="background1" w:themeShade="BF"/>
        </w:rPr>
        <w:t xml:space="preserve"> 2</w:t>
      </w:r>
    </w:p>
    <w:p w14:paraId="20E2FE5A" w14:textId="59289296" w:rsidR="0006359E" w:rsidRPr="00F171A3" w:rsidRDefault="0006359E" w:rsidP="0006359E">
      <w:r w:rsidRPr="00F171A3">
        <w:t>Aparatul propriu de la nivelul Primăriei Sector</w:t>
      </w:r>
      <w:r w:rsidR="00F53B80" w:rsidRPr="00F171A3">
        <w:t>ului</w:t>
      </w:r>
      <w:r w:rsidRPr="00F171A3">
        <w:t xml:space="preserve"> 2 dispune, din cele 388 posturi aprobate, de (i) 3 funcții demnitari publici (primar și 2 viceprimari), (ii) 298 funcții publice (funcționari publici) dintre care 255 de execuție și 43 de conducere și (iii) 87 posturi dedicate personalului contractual dintre care 82 de execuție și 5 de conducere. </w:t>
      </w:r>
    </w:p>
    <w:p w14:paraId="3F447D97" w14:textId="4830B9EB" w:rsidR="0006359E" w:rsidRPr="00F171A3" w:rsidRDefault="00AF2C45" w:rsidP="00AF2C45">
      <w:pPr>
        <w:pStyle w:val="Caption"/>
      </w:pPr>
      <w:bookmarkStart w:id="316" w:name="_heading=h.3hej1je" w:colFirst="0" w:colLast="0"/>
      <w:bookmarkStart w:id="317" w:name="_Toc126943292"/>
      <w:bookmarkEnd w:id="316"/>
      <w:r w:rsidRPr="00F171A3">
        <w:t xml:space="preserve">Tabel </w:t>
      </w:r>
      <w:r w:rsidRPr="00F171A3">
        <w:fldChar w:fldCharType="begin"/>
      </w:r>
      <w:r w:rsidRPr="00F171A3">
        <w:instrText xml:space="preserve"> SEQ Tabel \* ARABIC </w:instrText>
      </w:r>
      <w:r w:rsidRPr="00F171A3">
        <w:fldChar w:fldCharType="separate"/>
      </w:r>
      <w:r w:rsidR="005A6DD8">
        <w:rPr>
          <w:noProof/>
        </w:rPr>
        <w:t>35</w:t>
      </w:r>
      <w:r w:rsidRPr="00F171A3">
        <w:fldChar w:fldCharType="end"/>
      </w:r>
      <w:r w:rsidRPr="00F171A3">
        <w:t xml:space="preserve"> </w:t>
      </w:r>
      <w:r w:rsidR="0006359E" w:rsidRPr="00F171A3">
        <w:t>Număr de funcții în organigrama Primăriei Sector</w:t>
      </w:r>
      <w:r w:rsidR="00F53B80" w:rsidRPr="00F171A3">
        <w:t>ului</w:t>
      </w:r>
      <w:r w:rsidR="0006359E" w:rsidRPr="00F171A3">
        <w:t xml:space="preserve"> 2</w:t>
      </w:r>
      <w:bookmarkEnd w:id="317"/>
    </w:p>
    <w:tbl>
      <w:tblPr>
        <w:tblStyle w:val="ListTable3-Accent21"/>
        <w:tblW w:w="935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6977"/>
        <w:gridCol w:w="2380"/>
      </w:tblGrid>
      <w:tr w:rsidR="0006359E" w:rsidRPr="00F171A3" w14:paraId="4B9CEE88" w14:textId="77777777" w:rsidTr="00F555EE">
        <w:trPr>
          <w:cnfStyle w:val="100000000000" w:firstRow="1" w:lastRow="0" w:firstColumn="0" w:lastColumn="0" w:oddVBand="0" w:evenVBand="0" w:oddHBand="0" w:evenHBand="0" w:firstRowFirstColumn="0" w:firstRowLastColumn="0" w:lastRowFirstColumn="0" w:lastRowLastColumn="0"/>
          <w:trHeight w:val="473"/>
        </w:trPr>
        <w:tc>
          <w:tcPr>
            <w:tcW w:w="6977" w:type="dxa"/>
            <w:vAlign w:val="center"/>
          </w:tcPr>
          <w:p w14:paraId="4192DADA" w14:textId="6EF648F8" w:rsidR="0006359E" w:rsidRPr="00F171A3" w:rsidRDefault="00F555EE" w:rsidP="00F555EE">
            <w:pPr>
              <w:jc w:val="center"/>
              <w:rPr>
                <w:sz w:val="20"/>
                <w:szCs w:val="20"/>
              </w:rPr>
            </w:pPr>
            <w:r w:rsidRPr="00F171A3">
              <w:rPr>
                <w:sz w:val="20"/>
                <w:szCs w:val="20"/>
              </w:rPr>
              <w:t>FUNCȚII</w:t>
            </w:r>
          </w:p>
        </w:tc>
        <w:tc>
          <w:tcPr>
            <w:tcW w:w="2380" w:type="dxa"/>
            <w:vAlign w:val="center"/>
          </w:tcPr>
          <w:p w14:paraId="39E2C499" w14:textId="1695E79C" w:rsidR="0006359E" w:rsidRPr="00F171A3" w:rsidRDefault="00F555EE" w:rsidP="00F555EE">
            <w:pPr>
              <w:jc w:val="center"/>
              <w:rPr>
                <w:sz w:val="20"/>
                <w:szCs w:val="20"/>
              </w:rPr>
            </w:pPr>
            <w:r w:rsidRPr="00F171A3">
              <w:rPr>
                <w:sz w:val="20"/>
                <w:szCs w:val="20"/>
              </w:rPr>
              <w:t>NUMĂR</w:t>
            </w:r>
          </w:p>
        </w:tc>
      </w:tr>
      <w:tr w:rsidR="0006359E" w:rsidRPr="00F171A3" w14:paraId="0768A1D6" w14:textId="77777777" w:rsidTr="00DC7D39">
        <w:trPr>
          <w:cnfStyle w:val="000000100000" w:firstRow="0" w:lastRow="0" w:firstColumn="0" w:lastColumn="0" w:oddVBand="0" w:evenVBand="0" w:oddHBand="1" w:evenHBand="0" w:firstRowFirstColumn="0" w:firstRowLastColumn="0" w:lastRowFirstColumn="0" w:lastRowLastColumn="0"/>
          <w:trHeight w:val="473"/>
        </w:trPr>
        <w:tc>
          <w:tcPr>
            <w:tcW w:w="6977" w:type="dxa"/>
            <w:tcBorders>
              <w:top w:val="none" w:sz="0" w:space="0" w:color="auto"/>
              <w:bottom w:val="none" w:sz="0" w:space="0" w:color="auto"/>
            </w:tcBorders>
            <w:shd w:val="clear" w:color="auto" w:fill="F2F2F2" w:themeFill="background1" w:themeFillShade="F2"/>
          </w:tcPr>
          <w:p w14:paraId="5E77C626"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NUMĂR FUNCȚII DEMNITATE PUBLICĂ</w:t>
            </w:r>
          </w:p>
        </w:tc>
        <w:tc>
          <w:tcPr>
            <w:tcW w:w="2380" w:type="dxa"/>
            <w:tcBorders>
              <w:top w:val="none" w:sz="0" w:space="0" w:color="auto"/>
              <w:bottom w:val="none" w:sz="0" w:space="0" w:color="auto"/>
            </w:tcBorders>
            <w:shd w:val="clear" w:color="auto" w:fill="F2F2F2" w:themeFill="background1" w:themeFillShade="F2"/>
            <w:vAlign w:val="center"/>
          </w:tcPr>
          <w:p w14:paraId="33F98B7A"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3</w:t>
            </w:r>
          </w:p>
        </w:tc>
      </w:tr>
      <w:tr w:rsidR="0006359E" w:rsidRPr="00F171A3" w14:paraId="179A3B3B" w14:textId="77777777" w:rsidTr="00DC7D39">
        <w:trPr>
          <w:trHeight w:val="473"/>
        </w:trPr>
        <w:tc>
          <w:tcPr>
            <w:tcW w:w="6977" w:type="dxa"/>
            <w:shd w:val="clear" w:color="auto" w:fill="F2F2F2" w:themeFill="background1" w:themeFillShade="F2"/>
          </w:tcPr>
          <w:p w14:paraId="54155267"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NR. FUNCȚII PUBLICE</w:t>
            </w:r>
          </w:p>
        </w:tc>
        <w:tc>
          <w:tcPr>
            <w:tcW w:w="2380" w:type="dxa"/>
            <w:shd w:val="clear" w:color="auto" w:fill="F2F2F2" w:themeFill="background1" w:themeFillShade="F2"/>
            <w:vAlign w:val="center"/>
          </w:tcPr>
          <w:p w14:paraId="51071415"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298</w:t>
            </w:r>
          </w:p>
        </w:tc>
      </w:tr>
      <w:tr w:rsidR="0006359E" w:rsidRPr="00F171A3" w14:paraId="2203D6A4" w14:textId="77777777" w:rsidTr="00DC7D39">
        <w:trPr>
          <w:cnfStyle w:val="000000100000" w:firstRow="0" w:lastRow="0" w:firstColumn="0" w:lastColumn="0" w:oddVBand="0" w:evenVBand="0" w:oddHBand="1" w:evenHBand="0" w:firstRowFirstColumn="0" w:firstRowLastColumn="0" w:lastRowFirstColumn="0" w:lastRowLastColumn="0"/>
          <w:trHeight w:val="473"/>
        </w:trPr>
        <w:tc>
          <w:tcPr>
            <w:tcW w:w="6977" w:type="dxa"/>
            <w:tcBorders>
              <w:top w:val="none" w:sz="0" w:space="0" w:color="auto"/>
              <w:bottom w:val="none" w:sz="0" w:space="0" w:color="auto"/>
            </w:tcBorders>
            <w:shd w:val="clear" w:color="auto" w:fill="F2F2F2" w:themeFill="background1" w:themeFillShade="F2"/>
          </w:tcPr>
          <w:p w14:paraId="12DEF27F"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NR. FUNCȚII PUBLICE DE CONDUCERE</w:t>
            </w:r>
          </w:p>
        </w:tc>
        <w:tc>
          <w:tcPr>
            <w:tcW w:w="2380" w:type="dxa"/>
            <w:tcBorders>
              <w:top w:val="none" w:sz="0" w:space="0" w:color="auto"/>
              <w:bottom w:val="none" w:sz="0" w:space="0" w:color="auto"/>
            </w:tcBorders>
            <w:shd w:val="clear" w:color="auto" w:fill="F2F2F2" w:themeFill="background1" w:themeFillShade="F2"/>
            <w:vAlign w:val="center"/>
          </w:tcPr>
          <w:p w14:paraId="0E099E1F"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43</w:t>
            </w:r>
          </w:p>
        </w:tc>
      </w:tr>
      <w:tr w:rsidR="0006359E" w:rsidRPr="00F171A3" w14:paraId="1B228DFA" w14:textId="77777777" w:rsidTr="00DC7D39">
        <w:trPr>
          <w:trHeight w:val="473"/>
        </w:trPr>
        <w:tc>
          <w:tcPr>
            <w:tcW w:w="6977" w:type="dxa"/>
            <w:shd w:val="clear" w:color="auto" w:fill="F2F2F2" w:themeFill="background1" w:themeFillShade="F2"/>
          </w:tcPr>
          <w:p w14:paraId="084E2115"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NR. FUNCȚII PUBLICE DE EXECUȚIE</w:t>
            </w:r>
          </w:p>
        </w:tc>
        <w:tc>
          <w:tcPr>
            <w:tcW w:w="2380" w:type="dxa"/>
            <w:shd w:val="clear" w:color="auto" w:fill="F2F2F2" w:themeFill="background1" w:themeFillShade="F2"/>
            <w:vAlign w:val="center"/>
          </w:tcPr>
          <w:p w14:paraId="3857CB64"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255</w:t>
            </w:r>
          </w:p>
        </w:tc>
      </w:tr>
      <w:tr w:rsidR="0006359E" w:rsidRPr="00F171A3" w14:paraId="1C36A9FA" w14:textId="77777777" w:rsidTr="00DC7D39">
        <w:trPr>
          <w:cnfStyle w:val="000000100000" w:firstRow="0" w:lastRow="0" w:firstColumn="0" w:lastColumn="0" w:oddVBand="0" w:evenVBand="0" w:oddHBand="1" w:evenHBand="0" w:firstRowFirstColumn="0" w:firstRowLastColumn="0" w:lastRowFirstColumn="0" w:lastRowLastColumn="0"/>
          <w:trHeight w:val="473"/>
        </w:trPr>
        <w:tc>
          <w:tcPr>
            <w:tcW w:w="6977" w:type="dxa"/>
            <w:tcBorders>
              <w:top w:val="none" w:sz="0" w:space="0" w:color="auto"/>
              <w:bottom w:val="none" w:sz="0" w:space="0" w:color="auto"/>
            </w:tcBorders>
            <w:shd w:val="clear" w:color="auto" w:fill="F2F2F2" w:themeFill="background1" w:themeFillShade="F2"/>
          </w:tcPr>
          <w:p w14:paraId="17AD70B6"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NR. FUNCȚII CONTRACTUALE</w:t>
            </w:r>
          </w:p>
        </w:tc>
        <w:tc>
          <w:tcPr>
            <w:tcW w:w="2380" w:type="dxa"/>
            <w:tcBorders>
              <w:top w:val="none" w:sz="0" w:space="0" w:color="auto"/>
              <w:bottom w:val="none" w:sz="0" w:space="0" w:color="auto"/>
            </w:tcBorders>
            <w:shd w:val="clear" w:color="auto" w:fill="F2F2F2" w:themeFill="background1" w:themeFillShade="F2"/>
            <w:vAlign w:val="center"/>
          </w:tcPr>
          <w:p w14:paraId="73C9B521"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87</w:t>
            </w:r>
          </w:p>
        </w:tc>
      </w:tr>
      <w:tr w:rsidR="0006359E" w:rsidRPr="00F171A3" w14:paraId="06F57AC5" w14:textId="77777777" w:rsidTr="00DC7D39">
        <w:trPr>
          <w:trHeight w:val="473"/>
        </w:trPr>
        <w:tc>
          <w:tcPr>
            <w:tcW w:w="6977" w:type="dxa"/>
            <w:shd w:val="clear" w:color="auto" w:fill="F2F2F2" w:themeFill="background1" w:themeFillShade="F2"/>
          </w:tcPr>
          <w:p w14:paraId="7823A060"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NR. FUNCȚII CONTRACTUALE DE CONDUCERE</w:t>
            </w:r>
          </w:p>
        </w:tc>
        <w:tc>
          <w:tcPr>
            <w:tcW w:w="2380" w:type="dxa"/>
            <w:shd w:val="clear" w:color="auto" w:fill="F2F2F2" w:themeFill="background1" w:themeFillShade="F2"/>
            <w:vAlign w:val="center"/>
          </w:tcPr>
          <w:p w14:paraId="09CC8ACC"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5</w:t>
            </w:r>
          </w:p>
        </w:tc>
      </w:tr>
      <w:tr w:rsidR="0006359E" w:rsidRPr="00F171A3" w14:paraId="66D7A570" w14:textId="77777777" w:rsidTr="00DC7D39">
        <w:trPr>
          <w:cnfStyle w:val="000000100000" w:firstRow="0" w:lastRow="0" w:firstColumn="0" w:lastColumn="0" w:oddVBand="0" w:evenVBand="0" w:oddHBand="1" w:evenHBand="0" w:firstRowFirstColumn="0" w:firstRowLastColumn="0" w:lastRowFirstColumn="0" w:lastRowLastColumn="0"/>
          <w:trHeight w:val="473"/>
        </w:trPr>
        <w:tc>
          <w:tcPr>
            <w:tcW w:w="6977" w:type="dxa"/>
            <w:tcBorders>
              <w:top w:val="none" w:sz="0" w:space="0" w:color="auto"/>
              <w:bottom w:val="none" w:sz="0" w:space="0" w:color="auto"/>
            </w:tcBorders>
            <w:shd w:val="clear" w:color="auto" w:fill="F2F2F2" w:themeFill="background1" w:themeFillShade="F2"/>
          </w:tcPr>
          <w:p w14:paraId="1273960F"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NR. FUNCȚII CONTRACTUALE DE EXECUȚIE</w:t>
            </w:r>
          </w:p>
        </w:tc>
        <w:tc>
          <w:tcPr>
            <w:tcW w:w="2380" w:type="dxa"/>
            <w:tcBorders>
              <w:top w:val="none" w:sz="0" w:space="0" w:color="auto"/>
              <w:bottom w:val="none" w:sz="0" w:space="0" w:color="auto"/>
            </w:tcBorders>
            <w:shd w:val="clear" w:color="auto" w:fill="F2F2F2" w:themeFill="background1" w:themeFillShade="F2"/>
            <w:vAlign w:val="center"/>
          </w:tcPr>
          <w:p w14:paraId="775083A7"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82</w:t>
            </w:r>
          </w:p>
        </w:tc>
      </w:tr>
      <w:tr w:rsidR="0006359E" w:rsidRPr="00F171A3" w14:paraId="2BA22D96" w14:textId="77777777" w:rsidTr="00DC7D39">
        <w:trPr>
          <w:trHeight w:val="473"/>
        </w:trPr>
        <w:tc>
          <w:tcPr>
            <w:tcW w:w="6977" w:type="dxa"/>
            <w:shd w:val="clear" w:color="auto" w:fill="F2F2F2" w:themeFill="background1" w:themeFillShade="F2"/>
          </w:tcPr>
          <w:p w14:paraId="79F2989E"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NR. TOTAL DE FUNCȚII</w:t>
            </w:r>
          </w:p>
        </w:tc>
        <w:tc>
          <w:tcPr>
            <w:tcW w:w="2380" w:type="dxa"/>
            <w:shd w:val="clear" w:color="auto" w:fill="F2F2F2" w:themeFill="background1" w:themeFillShade="F2"/>
            <w:vAlign w:val="center"/>
          </w:tcPr>
          <w:p w14:paraId="6AD5EAEB"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388</w:t>
            </w:r>
          </w:p>
        </w:tc>
      </w:tr>
    </w:tbl>
    <w:p w14:paraId="07BBA2D8" w14:textId="70B0771C" w:rsidR="0006359E" w:rsidRPr="00F171A3" w:rsidRDefault="0006359E" w:rsidP="00AF2C45">
      <w:pPr>
        <w:jc w:val="right"/>
        <w:rPr>
          <w:color w:val="BFBFBF" w:themeColor="background1" w:themeShade="BF"/>
        </w:rPr>
      </w:pPr>
      <w:r w:rsidRPr="00F171A3">
        <w:rPr>
          <w:color w:val="BFBFBF" w:themeColor="background1" w:themeShade="BF"/>
        </w:rPr>
        <w:t>Sursă: Prelucrare proprie pe baza datelor furnizate de Primăria Sector</w:t>
      </w:r>
      <w:r w:rsidR="00F53B80" w:rsidRPr="00F171A3">
        <w:rPr>
          <w:color w:val="BFBFBF" w:themeColor="background1" w:themeShade="BF"/>
        </w:rPr>
        <w:t>ului</w:t>
      </w:r>
      <w:r w:rsidRPr="00F171A3">
        <w:rPr>
          <w:color w:val="BFBFBF" w:themeColor="background1" w:themeShade="BF"/>
        </w:rPr>
        <w:t xml:space="preserve"> 2</w:t>
      </w:r>
    </w:p>
    <w:p w14:paraId="4C2A22CB" w14:textId="385E98DD" w:rsidR="00AF2C45" w:rsidRPr="00F171A3" w:rsidRDefault="0006359E" w:rsidP="00AF2C45">
      <w:pPr>
        <w:spacing w:before="240"/>
        <w:rPr>
          <w:color w:val="000000"/>
        </w:rPr>
      </w:pPr>
      <w:r w:rsidRPr="00F171A3">
        <w:rPr>
          <w:color w:val="000000"/>
        </w:rPr>
        <w:t xml:space="preserve">Structura de personal a fost una stabilă în perioada 2018 - 2022, fără fluctuații semnificative în ceea ce numărul de angajări și plecări la nivelul aparatului de specialitate și Direcției de evidență persoane și stare civilă </w:t>
      </w:r>
      <w:r w:rsidR="00F53B80" w:rsidRPr="00F171A3">
        <w:rPr>
          <w:color w:val="000000"/>
        </w:rPr>
        <w:t>S</w:t>
      </w:r>
      <w:r w:rsidRPr="00F171A3">
        <w:rPr>
          <w:color w:val="000000"/>
        </w:rPr>
        <w:t xml:space="preserve">ector 2. Un număr ridicat de angajări a avut loc în 2018, urmând apoi o scădere în perioada 2019-2021. Numărul de plecări a fost constant în perioada analizată, de cca. 5-6% din întregul corp de angajați. </w:t>
      </w:r>
    </w:p>
    <w:p w14:paraId="24107CEC" w14:textId="4B10B19B" w:rsidR="0006359E" w:rsidRPr="00F171A3" w:rsidRDefault="00455C9D" w:rsidP="00455C9D">
      <w:pPr>
        <w:pStyle w:val="Caption"/>
        <w:rPr>
          <w:b w:val="0"/>
          <w:color w:val="000000"/>
          <w:szCs w:val="22"/>
        </w:rPr>
      </w:pPr>
      <w:bookmarkStart w:id="318" w:name="_Toc126943293"/>
      <w:r w:rsidRPr="00F171A3">
        <w:t xml:space="preserve">Tabel </w:t>
      </w:r>
      <w:r w:rsidRPr="00F171A3">
        <w:fldChar w:fldCharType="begin"/>
      </w:r>
      <w:r w:rsidRPr="00F171A3">
        <w:instrText xml:space="preserve"> SEQ Tabel \* ARABIC </w:instrText>
      </w:r>
      <w:r w:rsidRPr="00F171A3">
        <w:fldChar w:fldCharType="separate"/>
      </w:r>
      <w:r w:rsidR="005A6DD8">
        <w:rPr>
          <w:noProof/>
        </w:rPr>
        <w:t>36</w:t>
      </w:r>
      <w:r w:rsidRPr="00F171A3">
        <w:fldChar w:fldCharType="end"/>
      </w:r>
      <w:r w:rsidRPr="00F171A3">
        <w:t xml:space="preserve"> </w:t>
      </w:r>
      <w:r w:rsidR="0006359E" w:rsidRPr="00F171A3">
        <w:t xml:space="preserve">Mobilitatea personalului la nivelul aparatului de specialitate și direcției publice de evidență persoane și stare civilă </w:t>
      </w:r>
      <w:r w:rsidRPr="00F171A3">
        <w:t>S</w:t>
      </w:r>
      <w:r w:rsidR="0006359E" w:rsidRPr="00F171A3">
        <w:t>ector 2</w:t>
      </w:r>
      <w:bookmarkEnd w:id="318"/>
    </w:p>
    <w:tbl>
      <w:tblPr>
        <w:tblStyle w:val="ListTable3-Accent21"/>
        <w:tblW w:w="943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1705"/>
        <w:gridCol w:w="2160"/>
        <w:gridCol w:w="1890"/>
        <w:gridCol w:w="1260"/>
        <w:gridCol w:w="2420"/>
      </w:tblGrid>
      <w:tr w:rsidR="0006359E" w:rsidRPr="00F171A3" w14:paraId="6011D32F" w14:textId="77777777" w:rsidTr="00F555EE">
        <w:trPr>
          <w:cnfStyle w:val="100000000000" w:firstRow="1" w:lastRow="0" w:firstColumn="0" w:lastColumn="0" w:oddVBand="0" w:evenVBand="0" w:oddHBand="0" w:evenHBand="0" w:firstRowFirstColumn="0" w:firstRowLastColumn="0" w:lastRowFirstColumn="0" w:lastRowLastColumn="0"/>
          <w:trHeight w:val="263"/>
        </w:trPr>
        <w:tc>
          <w:tcPr>
            <w:tcW w:w="1705" w:type="dxa"/>
            <w:vAlign w:val="center"/>
          </w:tcPr>
          <w:p w14:paraId="279529E0" w14:textId="5948BD21" w:rsidR="0006359E" w:rsidRPr="00F171A3" w:rsidRDefault="00F555EE" w:rsidP="00F555EE">
            <w:pPr>
              <w:jc w:val="center"/>
              <w:rPr>
                <w:sz w:val="20"/>
                <w:szCs w:val="20"/>
              </w:rPr>
            </w:pPr>
            <w:r w:rsidRPr="00F171A3">
              <w:rPr>
                <w:sz w:val="20"/>
                <w:szCs w:val="20"/>
              </w:rPr>
              <w:t>AN</w:t>
            </w:r>
          </w:p>
        </w:tc>
        <w:tc>
          <w:tcPr>
            <w:tcW w:w="2160" w:type="dxa"/>
            <w:vAlign w:val="center"/>
          </w:tcPr>
          <w:p w14:paraId="20743C6F" w14:textId="65A1583A" w:rsidR="0006359E" w:rsidRPr="00F171A3" w:rsidRDefault="00F555EE" w:rsidP="00F555EE">
            <w:pPr>
              <w:jc w:val="center"/>
              <w:rPr>
                <w:sz w:val="20"/>
                <w:szCs w:val="20"/>
              </w:rPr>
            </w:pPr>
            <w:r w:rsidRPr="00F171A3">
              <w:rPr>
                <w:sz w:val="20"/>
                <w:szCs w:val="20"/>
              </w:rPr>
              <w:t>NR. TOTAL ANGAJAȚI LUNA IANUARIE</w:t>
            </w:r>
          </w:p>
        </w:tc>
        <w:tc>
          <w:tcPr>
            <w:tcW w:w="1890" w:type="dxa"/>
            <w:vAlign w:val="center"/>
          </w:tcPr>
          <w:p w14:paraId="263F41CC" w14:textId="3B971798" w:rsidR="0006359E" w:rsidRPr="00F171A3" w:rsidRDefault="00F555EE" w:rsidP="00F555EE">
            <w:pPr>
              <w:jc w:val="center"/>
              <w:rPr>
                <w:sz w:val="20"/>
                <w:szCs w:val="20"/>
              </w:rPr>
            </w:pPr>
            <w:r w:rsidRPr="00F171A3">
              <w:rPr>
                <w:sz w:val="20"/>
                <w:szCs w:val="20"/>
              </w:rPr>
              <w:t>NR. ANGAJĂRI</w:t>
            </w:r>
          </w:p>
        </w:tc>
        <w:tc>
          <w:tcPr>
            <w:tcW w:w="1260" w:type="dxa"/>
            <w:vAlign w:val="center"/>
          </w:tcPr>
          <w:p w14:paraId="63CBEFEC" w14:textId="3EE1A45D" w:rsidR="0006359E" w:rsidRPr="00F171A3" w:rsidRDefault="00F555EE" w:rsidP="00F555EE">
            <w:pPr>
              <w:jc w:val="center"/>
              <w:rPr>
                <w:sz w:val="20"/>
                <w:szCs w:val="20"/>
              </w:rPr>
            </w:pPr>
            <w:r w:rsidRPr="00F171A3">
              <w:rPr>
                <w:sz w:val="20"/>
                <w:szCs w:val="20"/>
              </w:rPr>
              <w:t>NR. PLECĂRI</w:t>
            </w:r>
          </w:p>
        </w:tc>
        <w:tc>
          <w:tcPr>
            <w:tcW w:w="2420" w:type="dxa"/>
            <w:vAlign w:val="center"/>
          </w:tcPr>
          <w:p w14:paraId="21C00F25" w14:textId="3EF9548A" w:rsidR="0006359E" w:rsidRPr="00F171A3" w:rsidRDefault="00F555EE" w:rsidP="00F555EE">
            <w:pPr>
              <w:jc w:val="center"/>
              <w:rPr>
                <w:sz w:val="20"/>
                <w:szCs w:val="20"/>
              </w:rPr>
            </w:pPr>
            <w:r w:rsidRPr="00F171A3">
              <w:rPr>
                <w:sz w:val="20"/>
                <w:szCs w:val="20"/>
              </w:rPr>
              <w:t>NR. TOTAL ANGAJAŢI LUNA DECEMBRIE</w:t>
            </w:r>
          </w:p>
        </w:tc>
      </w:tr>
      <w:tr w:rsidR="0006359E" w:rsidRPr="00F171A3" w14:paraId="19309CC7" w14:textId="77777777" w:rsidTr="00DC7D39">
        <w:trPr>
          <w:cnfStyle w:val="000000100000" w:firstRow="0" w:lastRow="0" w:firstColumn="0" w:lastColumn="0" w:oddVBand="0" w:evenVBand="0" w:oddHBand="1" w:evenHBand="0" w:firstRowFirstColumn="0" w:firstRowLastColumn="0" w:lastRowFirstColumn="0" w:lastRowLastColumn="0"/>
          <w:trHeight w:val="263"/>
        </w:trPr>
        <w:tc>
          <w:tcPr>
            <w:tcW w:w="1705" w:type="dxa"/>
            <w:tcBorders>
              <w:top w:val="none" w:sz="0" w:space="0" w:color="auto"/>
              <w:bottom w:val="none" w:sz="0" w:space="0" w:color="auto"/>
            </w:tcBorders>
            <w:shd w:val="clear" w:color="auto" w:fill="F2F2F2" w:themeFill="background1" w:themeFillShade="F2"/>
          </w:tcPr>
          <w:p w14:paraId="26DF9CA0"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2018</w:t>
            </w:r>
          </w:p>
        </w:tc>
        <w:tc>
          <w:tcPr>
            <w:tcW w:w="2160" w:type="dxa"/>
            <w:tcBorders>
              <w:top w:val="none" w:sz="0" w:space="0" w:color="auto"/>
              <w:bottom w:val="none" w:sz="0" w:space="0" w:color="auto"/>
            </w:tcBorders>
            <w:shd w:val="clear" w:color="auto" w:fill="F2F2F2" w:themeFill="background1" w:themeFillShade="F2"/>
            <w:vAlign w:val="center"/>
          </w:tcPr>
          <w:p w14:paraId="6B8864D6"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387</w:t>
            </w:r>
          </w:p>
        </w:tc>
        <w:tc>
          <w:tcPr>
            <w:tcW w:w="1890" w:type="dxa"/>
            <w:tcBorders>
              <w:top w:val="none" w:sz="0" w:space="0" w:color="auto"/>
              <w:bottom w:val="none" w:sz="0" w:space="0" w:color="auto"/>
            </w:tcBorders>
            <w:shd w:val="clear" w:color="auto" w:fill="F2F2F2" w:themeFill="background1" w:themeFillShade="F2"/>
            <w:vAlign w:val="center"/>
          </w:tcPr>
          <w:p w14:paraId="6A916737" w14:textId="77777777" w:rsidR="0006359E" w:rsidRPr="00F171A3" w:rsidRDefault="0006359E" w:rsidP="00DC7D39">
            <w:pPr>
              <w:jc w:val="center"/>
              <w:rPr>
                <w:rFonts w:ascii="Calibri" w:eastAsia="Calibri" w:hAnsi="Calibri" w:cs="Calibri"/>
                <w:color w:val="588133"/>
                <w:sz w:val="20"/>
                <w:szCs w:val="20"/>
              </w:rPr>
            </w:pPr>
            <w:r w:rsidRPr="00F171A3">
              <w:rPr>
                <w:color w:val="588133"/>
                <w:sz w:val="20"/>
                <w:szCs w:val="20"/>
              </w:rPr>
              <w:t>49</w:t>
            </w:r>
          </w:p>
        </w:tc>
        <w:tc>
          <w:tcPr>
            <w:tcW w:w="1260" w:type="dxa"/>
            <w:tcBorders>
              <w:top w:val="none" w:sz="0" w:space="0" w:color="auto"/>
              <w:bottom w:val="none" w:sz="0" w:space="0" w:color="auto"/>
            </w:tcBorders>
            <w:shd w:val="clear" w:color="auto" w:fill="F2F2F2" w:themeFill="background1" w:themeFillShade="F2"/>
            <w:vAlign w:val="center"/>
          </w:tcPr>
          <w:p w14:paraId="6731A463" w14:textId="77777777" w:rsidR="0006359E" w:rsidRPr="00F171A3" w:rsidRDefault="0006359E" w:rsidP="00DC7D39">
            <w:pPr>
              <w:jc w:val="center"/>
              <w:rPr>
                <w:rFonts w:ascii="Calibri" w:eastAsia="Calibri" w:hAnsi="Calibri" w:cs="Calibri"/>
                <w:color w:val="FF0000"/>
                <w:sz w:val="20"/>
                <w:szCs w:val="20"/>
              </w:rPr>
            </w:pPr>
            <w:r w:rsidRPr="00F171A3">
              <w:rPr>
                <w:color w:val="FF0000"/>
                <w:sz w:val="20"/>
                <w:szCs w:val="20"/>
              </w:rPr>
              <w:t>24</w:t>
            </w:r>
          </w:p>
        </w:tc>
        <w:tc>
          <w:tcPr>
            <w:tcW w:w="2420" w:type="dxa"/>
            <w:tcBorders>
              <w:top w:val="none" w:sz="0" w:space="0" w:color="auto"/>
              <w:bottom w:val="none" w:sz="0" w:space="0" w:color="auto"/>
            </w:tcBorders>
            <w:shd w:val="clear" w:color="auto" w:fill="F2F2F2" w:themeFill="background1" w:themeFillShade="F2"/>
            <w:vAlign w:val="center"/>
          </w:tcPr>
          <w:p w14:paraId="767C4A05"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412</w:t>
            </w:r>
          </w:p>
        </w:tc>
      </w:tr>
      <w:tr w:rsidR="0006359E" w:rsidRPr="00F171A3" w14:paraId="6E89A2D3" w14:textId="77777777" w:rsidTr="00DC7D39">
        <w:trPr>
          <w:trHeight w:val="263"/>
        </w:trPr>
        <w:tc>
          <w:tcPr>
            <w:tcW w:w="1705" w:type="dxa"/>
            <w:shd w:val="clear" w:color="auto" w:fill="F2F2F2" w:themeFill="background1" w:themeFillShade="F2"/>
          </w:tcPr>
          <w:p w14:paraId="78FB349D"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2019</w:t>
            </w:r>
          </w:p>
        </w:tc>
        <w:tc>
          <w:tcPr>
            <w:tcW w:w="2160" w:type="dxa"/>
            <w:shd w:val="clear" w:color="auto" w:fill="F2F2F2" w:themeFill="background1" w:themeFillShade="F2"/>
            <w:vAlign w:val="center"/>
          </w:tcPr>
          <w:p w14:paraId="581E5F53"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412</w:t>
            </w:r>
          </w:p>
        </w:tc>
        <w:tc>
          <w:tcPr>
            <w:tcW w:w="1890" w:type="dxa"/>
            <w:shd w:val="clear" w:color="auto" w:fill="F2F2F2" w:themeFill="background1" w:themeFillShade="F2"/>
            <w:vAlign w:val="center"/>
          </w:tcPr>
          <w:p w14:paraId="203BC966" w14:textId="77777777" w:rsidR="0006359E" w:rsidRPr="00F171A3" w:rsidRDefault="0006359E" w:rsidP="00DC7D39">
            <w:pPr>
              <w:jc w:val="center"/>
              <w:rPr>
                <w:rFonts w:ascii="Calibri" w:eastAsia="Calibri" w:hAnsi="Calibri" w:cs="Calibri"/>
                <w:color w:val="588133"/>
                <w:sz w:val="20"/>
                <w:szCs w:val="20"/>
              </w:rPr>
            </w:pPr>
            <w:r w:rsidRPr="00F171A3">
              <w:rPr>
                <w:color w:val="588133"/>
                <w:sz w:val="20"/>
                <w:szCs w:val="20"/>
              </w:rPr>
              <w:t>32</w:t>
            </w:r>
          </w:p>
        </w:tc>
        <w:tc>
          <w:tcPr>
            <w:tcW w:w="1260" w:type="dxa"/>
            <w:shd w:val="clear" w:color="auto" w:fill="F2F2F2" w:themeFill="background1" w:themeFillShade="F2"/>
            <w:vAlign w:val="center"/>
          </w:tcPr>
          <w:p w14:paraId="30AA0427" w14:textId="77777777" w:rsidR="0006359E" w:rsidRPr="00F171A3" w:rsidRDefault="0006359E" w:rsidP="00DC7D39">
            <w:pPr>
              <w:jc w:val="center"/>
              <w:rPr>
                <w:rFonts w:ascii="Calibri" w:eastAsia="Calibri" w:hAnsi="Calibri" w:cs="Calibri"/>
                <w:color w:val="FF0000"/>
                <w:sz w:val="20"/>
                <w:szCs w:val="20"/>
              </w:rPr>
            </w:pPr>
            <w:r w:rsidRPr="00F171A3">
              <w:rPr>
                <w:color w:val="FF0000"/>
                <w:sz w:val="20"/>
                <w:szCs w:val="20"/>
              </w:rPr>
              <w:t>23</w:t>
            </w:r>
          </w:p>
        </w:tc>
        <w:tc>
          <w:tcPr>
            <w:tcW w:w="2420" w:type="dxa"/>
            <w:shd w:val="clear" w:color="auto" w:fill="F2F2F2" w:themeFill="background1" w:themeFillShade="F2"/>
            <w:vAlign w:val="center"/>
          </w:tcPr>
          <w:p w14:paraId="056E2B8E"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421</w:t>
            </w:r>
          </w:p>
        </w:tc>
      </w:tr>
      <w:tr w:rsidR="0006359E" w:rsidRPr="00F171A3" w14:paraId="55DCBD3F" w14:textId="77777777" w:rsidTr="00DC7D39">
        <w:trPr>
          <w:cnfStyle w:val="000000100000" w:firstRow="0" w:lastRow="0" w:firstColumn="0" w:lastColumn="0" w:oddVBand="0" w:evenVBand="0" w:oddHBand="1" w:evenHBand="0" w:firstRowFirstColumn="0" w:firstRowLastColumn="0" w:lastRowFirstColumn="0" w:lastRowLastColumn="0"/>
          <w:trHeight w:val="263"/>
        </w:trPr>
        <w:tc>
          <w:tcPr>
            <w:tcW w:w="1705" w:type="dxa"/>
            <w:tcBorders>
              <w:top w:val="none" w:sz="0" w:space="0" w:color="auto"/>
              <w:bottom w:val="none" w:sz="0" w:space="0" w:color="auto"/>
            </w:tcBorders>
            <w:shd w:val="clear" w:color="auto" w:fill="F2F2F2" w:themeFill="background1" w:themeFillShade="F2"/>
          </w:tcPr>
          <w:p w14:paraId="31387A5B"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2020</w:t>
            </w:r>
          </w:p>
        </w:tc>
        <w:tc>
          <w:tcPr>
            <w:tcW w:w="2160" w:type="dxa"/>
            <w:tcBorders>
              <w:top w:val="none" w:sz="0" w:space="0" w:color="auto"/>
              <w:bottom w:val="none" w:sz="0" w:space="0" w:color="auto"/>
            </w:tcBorders>
            <w:shd w:val="clear" w:color="auto" w:fill="F2F2F2" w:themeFill="background1" w:themeFillShade="F2"/>
            <w:vAlign w:val="center"/>
          </w:tcPr>
          <w:p w14:paraId="5EBAB8B8"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421</w:t>
            </w:r>
          </w:p>
        </w:tc>
        <w:tc>
          <w:tcPr>
            <w:tcW w:w="1890" w:type="dxa"/>
            <w:tcBorders>
              <w:top w:val="none" w:sz="0" w:space="0" w:color="auto"/>
              <w:bottom w:val="none" w:sz="0" w:space="0" w:color="auto"/>
            </w:tcBorders>
            <w:shd w:val="clear" w:color="auto" w:fill="F2F2F2" w:themeFill="background1" w:themeFillShade="F2"/>
            <w:vAlign w:val="center"/>
          </w:tcPr>
          <w:p w14:paraId="3C4D4582" w14:textId="77777777" w:rsidR="0006359E" w:rsidRPr="00F171A3" w:rsidRDefault="0006359E" w:rsidP="00DC7D39">
            <w:pPr>
              <w:jc w:val="center"/>
              <w:rPr>
                <w:rFonts w:ascii="Calibri" w:eastAsia="Calibri" w:hAnsi="Calibri" w:cs="Calibri"/>
                <w:color w:val="588133"/>
                <w:sz w:val="20"/>
                <w:szCs w:val="20"/>
              </w:rPr>
            </w:pPr>
            <w:r w:rsidRPr="00F171A3">
              <w:rPr>
                <w:color w:val="588133"/>
                <w:sz w:val="20"/>
                <w:szCs w:val="20"/>
              </w:rPr>
              <w:t>14</w:t>
            </w:r>
          </w:p>
        </w:tc>
        <w:tc>
          <w:tcPr>
            <w:tcW w:w="1260" w:type="dxa"/>
            <w:tcBorders>
              <w:top w:val="none" w:sz="0" w:space="0" w:color="auto"/>
              <w:bottom w:val="none" w:sz="0" w:space="0" w:color="auto"/>
            </w:tcBorders>
            <w:shd w:val="clear" w:color="auto" w:fill="F2F2F2" w:themeFill="background1" w:themeFillShade="F2"/>
            <w:vAlign w:val="center"/>
          </w:tcPr>
          <w:p w14:paraId="7B705DD2" w14:textId="77777777" w:rsidR="0006359E" w:rsidRPr="00F171A3" w:rsidRDefault="0006359E" w:rsidP="00DC7D39">
            <w:pPr>
              <w:jc w:val="center"/>
              <w:rPr>
                <w:rFonts w:ascii="Calibri" w:eastAsia="Calibri" w:hAnsi="Calibri" w:cs="Calibri"/>
                <w:color w:val="FF0000"/>
                <w:sz w:val="20"/>
                <w:szCs w:val="20"/>
              </w:rPr>
            </w:pPr>
            <w:r w:rsidRPr="00F171A3">
              <w:rPr>
                <w:color w:val="FF0000"/>
                <w:sz w:val="20"/>
                <w:szCs w:val="20"/>
              </w:rPr>
              <w:t>26</w:t>
            </w:r>
          </w:p>
        </w:tc>
        <w:tc>
          <w:tcPr>
            <w:tcW w:w="2420" w:type="dxa"/>
            <w:tcBorders>
              <w:top w:val="none" w:sz="0" w:space="0" w:color="auto"/>
              <w:bottom w:val="none" w:sz="0" w:space="0" w:color="auto"/>
            </w:tcBorders>
            <w:shd w:val="clear" w:color="auto" w:fill="F2F2F2" w:themeFill="background1" w:themeFillShade="F2"/>
            <w:vAlign w:val="center"/>
          </w:tcPr>
          <w:p w14:paraId="20CC3A13"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409</w:t>
            </w:r>
          </w:p>
        </w:tc>
      </w:tr>
      <w:tr w:rsidR="0006359E" w:rsidRPr="00F171A3" w14:paraId="78D78F5A" w14:textId="77777777" w:rsidTr="00DC7D39">
        <w:trPr>
          <w:trHeight w:val="263"/>
        </w:trPr>
        <w:tc>
          <w:tcPr>
            <w:tcW w:w="1705" w:type="dxa"/>
            <w:shd w:val="clear" w:color="auto" w:fill="F2F2F2" w:themeFill="background1" w:themeFillShade="F2"/>
          </w:tcPr>
          <w:p w14:paraId="10550BA2" w14:textId="77777777" w:rsidR="0006359E" w:rsidRPr="00F171A3" w:rsidRDefault="0006359E" w:rsidP="00F31936">
            <w:pPr>
              <w:spacing w:after="0"/>
              <w:jc w:val="center"/>
              <w:rPr>
                <w:rFonts w:ascii="Calibri" w:eastAsia="Calibri" w:hAnsi="Calibri" w:cs="Calibri"/>
                <w:color w:val="000000"/>
                <w:sz w:val="20"/>
                <w:szCs w:val="20"/>
              </w:rPr>
            </w:pPr>
            <w:r w:rsidRPr="00F171A3">
              <w:rPr>
                <w:color w:val="000000"/>
                <w:sz w:val="20"/>
                <w:szCs w:val="20"/>
              </w:rPr>
              <w:t>2021</w:t>
            </w:r>
          </w:p>
        </w:tc>
        <w:tc>
          <w:tcPr>
            <w:tcW w:w="2160" w:type="dxa"/>
            <w:shd w:val="clear" w:color="auto" w:fill="F2F2F2" w:themeFill="background1" w:themeFillShade="F2"/>
            <w:vAlign w:val="center"/>
          </w:tcPr>
          <w:p w14:paraId="29ABEEFD"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409</w:t>
            </w:r>
          </w:p>
        </w:tc>
        <w:tc>
          <w:tcPr>
            <w:tcW w:w="1890" w:type="dxa"/>
            <w:shd w:val="clear" w:color="auto" w:fill="F2F2F2" w:themeFill="background1" w:themeFillShade="F2"/>
            <w:vAlign w:val="center"/>
          </w:tcPr>
          <w:p w14:paraId="43FC2F09" w14:textId="77777777" w:rsidR="0006359E" w:rsidRPr="00F171A3" w:rsidRDefault="0006359E" w:rsidP="00DC7D39">
            <w:pPr>
              <w:jc w:val="center"/>
              <w:rPr>
                <w:rFonts w:ascii="Calibri" w:eastAsia="Calibri" w:hAnsi="Calibri" w:cs="Calibri"/>
                <w:color w:val="588133"/>
                <w:sz w:val="20"/>
                <w:szCs w:val="20"/>
              </w:rPr>
            </w:pPr>
            <w:r w:rsidRPr="00F171A3">
              <w:rPr>
                <w:color w:val="588133"/>
                <w:sz w:val="20"/>
                <w:szCs w:val="20"/>
              </w:rPr>
              <w:t>15</w:t>
            </w:r>
          </w:p>
        </w:tc>
        <w:tc>
          <w:tcPr>
            <w:tcW w:w="1260" w:type="dxa"/>
            <w:shd w:val="clear" w:color="auto" w:fill="F2F2F2" w:themeFill="background1" w:themeFillShade="F2"/>
            <w:vAlign w:val="center"/>
          </w:tcPr>
          <w:p w14:paraId="3CA53EEA" w14:textId="77777777" w:rsidR="0006359E" w:rsidRPr="00F171A3" w:rsidRDefault="0006359E" w:rsidP="00DC7D39">
            <w:pPr>
              <w:jc w:val="center"/>
              <w:rPr>
                <w:rFonts w:ascii="Calibri" w:eastAsia="Calibri" w:hAnsi="Calibri" w:cs="Calibri"/>
                <w:color w:val="FF0000"/>
                <w:sz w:val="20"/>
                <w:szCs w:val="20"/>
              </w:rPr>
            </w:pPr>
            <w:r w:rsidRPr="00F171A3">
              <w:rPr>
                <w:color w:val="FF0000"/>
                <w:sz w:val="20"/>
                <w:szCs w:val="20"/>
              </w:rPr>
              <w:t>28</w:t>
            </w:r>
          </w:p>
        </w:tc>
        <w:tc>
          <w:tcPr>
            <w:tcW w:w="2420" w:type="dxa"/>
            <w:shd w:val="clear" w:color="auto" w:fill="F2F2F2" w:themeFill="background1" w:themeFillShade="F2"/>
            <w:vAlign w:val="center"/>
          </w:tcPr>
          <w:p w14:paraId="2A6B7E43" w14:textId="77777777" w:rsidR="0006359E" w:rsidRPr="00F171A3" w:rsidRDefault="0006359E" w:rsidP="00DC7D39">
            <w:pPr>
              <w:jc w:val="center"/>
              <w:rPr>
                <w:rFonts w:ascii="Calibri" w:eastAsia="Calibri" w:hAnsi="Calibri" w:cs="Calibri"/>
                <w:color w:val="000000"/>
                <w:sz w:val="20"/>
                <w:szCs w:val="20"/>
              </w:rPr>
            </w:pPr>
            <w:r w:rsidRPr="00F171A3">
              <w:rPr>
                <w:color w:val="000000"/>
                <w:sz w:val="20"/>
                <w:szCs w:val="20"/>
              </w:rPr>
              <w:t>396</w:t>
            </w:r>
          </w:p>
        </w:tc>
      </w:tr>
      <w:tr w:rsidR="0006359E" w:rsidRPr="00F171A3" w14:paraId="45461D8A" w14:textId="77777777" w:rsidTr="00DC7D39">
        <w:trPr>
          <w:cnfStyle w:val="000000100000" w:firstRow="0" w:lastRow="0" w:firstColumn="0" w:lastColumn="0" w:oddVBand="0" w:evenVBand="0" w:oddHBand="1" w:evenHBand="0" w:firstRowFirstColumn="0" w:firstRowLastColumn="0" w:lastRowFirstColumn="0" w:lastRowLastColumn="0"/>
          <w:trHeight w:val="263"/>
        </w:trPr>
        <w:tc>
          <w:tcPr>
            <w:tcW w:w="1705" w:type="dxa"/>
            <w:tcBorders>
              <w:top w:val="none" w:sz="0" w:space="0" w:color="auto"/>
              <w:bottom w:val="none" w:sz="0" w:space="0" w:color="auto"/>
            </w:tcBorders>
            <w:shd w:val="clear" w:color="auto" w:fill="F2F2F2" w:themeFill="background1" w:themeFillShade="F2"/>
          </w:tcPr>
          <w:p w14:paraId="00A366B0" w14:textId="77777777" w:rsidR="0006359E" w:rsidRPr="00F171A3" w:rsidRDefault="0006359E" w:rsidP="00F31936">
            <w:pPr>
              <w:spacing w:after="0"/>
              <w:jc w:val="center"/>
              <w:rPr>
                <w:color w:val="000000"/>
                <w:sz w:val="20"/>
                <w:szCs w:val="20"/>
              </w:rPr>
            </w:pPr>
            <w:r w:rsidRPr="00F171A3">
              <w:rPr>
                <w:color w:val="000000"/>
                <w:sz w:val="20"/>
                <w:szCs w:val="20"/>
              </w:rPr>
              <w:t>2022</w:t>
            </w:r>
          </w:p>
        </w:tc>
        <w:tc>
          <w:tcPr>
            <w:tcW w:w="2160" w:type="dxa"/>
            <w:tcBorders>
              <w:top w:val="none" w:sz="0" w:space="0" w:color="auto"/>
              <w:bottom w:val="none" w:sz="0" w:space="0" w:color="auto"/>
            </w:tcBorders>
            <w:shd w:val="clear" w:color="auto" w:fill="F2F2F2" w:themeFill="background1" w:themeFillShade="F2"/>
            <w:vAlign w:val="center"/>
          </w:tcPr>
          <w:p w14:paraId="17A70C23" w14:textId="77777777" w:rsidR="0006359E" w:rsidRPr="00F171A3" w:rsidRDefault="0006359E" w:rsidP="00DC7D39">
            <w:pPr>
              <w:jc w:val="center"/>
              <w:rPr>
                <w:color w:val="000000"/>
                <w:sz w:val="20"/>
                <w:szCs w:val="20"/>
              </w:rPr>
            </w:pPr>
            <w:r w:rsidRPr="00F171A3">
              <w:rPr>
                <w:color w:val="000000"/>
                <w:sz w:val="20"/>
                <w:szCs w:val="20"/>
              </w:rPr>
              <w:t>396</w:t>
            </w:r>
          </w:p>
        </w:tc>
        <w:tc>
          <w:tcPr>
            <w:tcW w:w="1890" w:type="dxa"/>
            <w:tcBorders>
              <w:top w:val="none" w:sz="0" w:space="0" w:color="auto"/>
              <w:bottom w:val="none" w:sz="0" w:space="0" w:color="auto"/>
            </w:tcBorders>
            <w:shd w:val="clear" w:color="auto" w:fill="F2F2F2" w:themeFill="background1" w:themeFillShade="F2"/>
            <w:vAlign w:val="center"/>
          </w:tcPr>
          <w:p w14:paraId="7E8955E8" w14:textId="77777777" w:rsidR="0006359E" w:rsidRPr="00F171A3" w:rsidRDefault="0006359E" w:rsidP="00DC7D39">
            <w:pPr>
              <w:jc w:val="center"/>
              <w:rPr>
                <w:color w:val="588133"/>
                <w:sz w:val="20"/>
                <w:szCs w:val="20"/>
              </w:rPr>
            </w:pPr>
            <w:r w:rsidRPr="00F171A3">
              <w:rPr>
                <w:color w:val="588133"/>
                <w:sz w:val="20"/>
                <w:szCs w:val="20"/>
              </w:rPr>
              <w:t>8</w:t>
            </w:r>
          </w:p>
        </w:tc>
        <w:tc>
          <w:tcPr>
            <w:tcW w:w="1260" w:type="dxa"/>
            <w:tcBorders>
              <w:top w:val="none" w:sz="0" w:space="0" w:color="auto"/>
              <w:bottom w:val="none" w:sz="0" w:space="0" w:color="auto"/>
            </w:tcBorders>
            <w:shd w:val="clear" w:color="auto" w:fill="F2F2F2" w:themeFill="background1" w:themeFillShade="F2"/>
            <w:vAlign w:val="center"/>
          </w:tcPr>
          <w:p w14:paraId="75B19DA7" w14:textId="77777777" w:rsidR="0006359E" w:rsidRPr="00F171A3" w:rsidRDefault="0006359E" w:rsidP="00DC7D39">
            <w:pPr>
              <w:jc w:val="center"/>
              <w:rPr>
                <w:color w:val="FF0000"/>
                <w:sz w:val="20"/>
                <w:szCs w:val="20"/>
              </w:rPr>
            </w:pPr>
            <w:r w:rsidRPr="00F171A3">
              <w:rPr>
                <w:color w:val="FF0000"/>
                <w:sz w:val="20"/>
                <w:szCs w:val="20"/>
              </w:rPr>
              <w:t>9</w:t>
            </w:r>
          </w:p>
        </w:tc>
        <w:tc>
          <w:tcPr>
            <w:tcW w:w="2420" w:type="dxa"/>
            <w:tcBorders>
              <w:top w:val="none" w:sz="0" w:space="0" w:color="auto"/>
              <w:bottom w:val="none" w:sz="0" w:space="0" w:color="auto"/>
            </w:tcBorders>
            <w:shd w:val="clear" w:color="auto" w:fill="F2F2F2" w:themeFill="background1" w:themeFillShade="F2"/>
            <w:vAlign w:val="center"/>
          </w:tcPr>
          <w:p w14:paraId="39F9F559" w14:textId="77777777" w:rsidR="0006359E" w:rsidRPr="00F171A3" w:rsidRDefault="0006359E" w:rsidP="00DC7D39">
            <w:pPr>
              <w:jc w:val="center"/>
              <w:rPr>
                <w:color w:val="000000"/>
                <w:sz w:val="20"/>
                <w:szCs w:val="20"/>
              </w:rPr>
            </w:pPr>
          </w:p>
        </w:tc>
      </w:tr>
    </w:tbl>
    <w:p w14:paraId="2DE8188B" w14:textId="04BAA4E0"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furnizate de Primăria Sector</w:t>
      </w:r>
      <w:r w:rsidR="00F53B80" w:rsidRPr="00F171A3">
        <w:rPr>
          <w:color w:val="BFBFBF" w:themeColor="background1" w:themeShade="BF"/>
        </w:rPr>
        <w:t>ului</w:t>
      </w:r>
      <w:r w:rsidRPr="00F171A3">
        <w:rPr>
          <w:color w:val="BFBFBF" w:themeColor="background1" w:themeShade="BF"/>
        </w:rPr>
        <w:t xml:space="preserve"> 2</w:t>
      </w:r>
    </w:p>
    <w:p w14:paraId="3C024511" w14:textId="240D9332" w:rsidR="0006359E" w:rsidRPr="00F171A3" w:rsidRDefault="0006359E" w:rsidP="0006359E">
      <w:r w:rsidRPr="00F171A3">
        <w:t>Conform informațiilor furnizate de către Primăria Sector</w:t>
      </w:r>
      <w:r w:rsidR="00F53B80" w:rsidRPr="00F171A3">
        <w:t>ului</w:t>
      </w:r>
      <w:r w:rsidRPr="00F171A3">
        <w:t xml:space="preserve"> 2, departamentele care s-au confruntat cu cea mai ridicată fluctuație de personal sunt:</w:t>
      </w:r>
    </w:p>
    <w:p w14:paraId="3E207C56" w14:textId="7E2D0347" w:rsidR="0006359E" w:rsidRPr="00F171A3" w:rsidRDefault="0006359E">
      <w:pPr>
        <w:numPr>
          <w:ilvl w:val="0"/>
          <w:numId w:val="85"/>
        </w:numPr>
        <w:pBdr>
          <w:top w:val="nil"/>
          <w:left w:val="nil"/>
          <w:bottom w:val="nil"/>
          <w:right w:val="nil"/>
          <w:between w:val="nil"/>
        </w:pBdr>
        <w:rPr>
          <w:color w:val="134753"/>
        </w:rPr>
      </w:pPr>
      <w:r w:rsidRPr="00F171A3">
        <w:rPr>
          <w:color w:val="134753"/>
        </w:rPr>
        <w:t>Direcţia Publică de Evidenţă Persoane şi Stare Civilă Sector 2</w:t>
      </w:r>
      <w:r w:rsidR="00F555EE" w:rsidRPr="00F171A3">
        <w:rPr>
          <w:color w:val="134753"/>
        </w:rPr>
        <w:t>;</w:t>
      </w:r>
    </w:p>
    <w:p w14:paraId="7F4EBCF0" w14:textId="1FE3B022" w:rsidR="0006359E" w:rsidRPr="00F171A3" w:rsidRDefault="0006359E">
      <w:pPr>
        <w:numPr>
          <w:ilvl w:val="0"/>
          <w:numId w:val="85"/>
        </w:numPr>
        <w:pBdr>
          <w:top w:val="nil"/>
          <w:left w:val="nil"/>
          <w:bottom w:val="nil"/>
          <w:right w:val="nil"/>
          <w:between w:val="nil"/>
        </w:pBdr>
        <w:rPr>
          <w:color w:val="134753"/>
        </w:rPr>
      </w:pPr>
      <w:r w:rsidRPr="00F171A3">
        <w:rPr>
          <w:color w:val="134753"/>
        </w:rPr>
        <w:t>Direcţia Achiziţii şi Contracte Publice</w:t>
      </w:r>
      <w:r w:rsidR="00F555EE" w:rsidRPr="00F171A3">
        <w:rPr>
          <w:color w:val="134753"/>
        </w:rPr>
        <w:t>;</w:t>
      </w:r>
    </w:p>
    <w:p w14:paraId="0AB35141" w14:textId="7CE8CD35" w:rsidR="0006359E" w:rsidRPr="00F171A3" w:rsidRDefault="0006359E">
      <w:pPr>
        <w:numPr>
          <w:ilvl w:val="0"/>
          <w:numId w:val="85"/>
        </w:numPr>
        <w:pBdr>
          <w:top w:val="nil"/>
          <w:left w:val="nil"/>
          <w:bottom w:val="nil"/>
          <w:right w:val="nil"/>
          <w:between w:val="nil"/>
        </w:pBdr>
        <w:rPr>
          <w:color w:val="134753"/>
        </w:rPr>
      </w:pPr>
      <w:r w:rsidRPr="00F171A3">
        <w:rPr>
          <w:color w:val="134753"/>
        </w:rPr>
        <w:t>Direcţia Sisteme Informatice şi Administrare Echipamente</w:t>
      </w:r>
      <w:r w:rsidR="00F555EE" w:rsidRPr="00F171A3">
        <w:rPr>
          <w:color w:val="134753"/>
        </w:rPr>
        <w:t>.</w:t>
      </w:r>
    </w:p>
    <w:p w14:paraId="1C40ED14" w14:textId="77777777" w:rsidR="0006359E" w:rsidRPr="00F171A3" w:rsidRDefault="0006359E" w:rsidP="0006359E">
      <w:r w:rsidRPr="00F171A3">
        <w:t xml:space="preserve">Una dintre explicațiile menținerii unui număr potențial mai ridicat de posturi vacante în anul 2020 poate fi decizia guvernului României care, în luna mai 2020, a adoptat </w:t>
      </w:r>
      <w:r w:rsidRPr="00F171A3">
        <w:rPr>
          <w:i/>
        </w:rPr>
        <w:t>Legea nr. 55/2020 privind unele măsuri pentru prevenirea și combaterea efectelor pandemiei de COVID-19</w:t>
      </w:r>
      <w:r w:rsidRPr="00F171A3">
        <w:t xml:space="preserve">. Concursurile pentru ocuparea posturilor sau funcțiilor vacante de la nivelul administrației publice au fost suspendate, cu excepția celor din domeniul sanitar. Acest lucru a afectat capacitatea autorității publice de a ocupa pozițiile vacante. În februarie 2021, prin derogare de la dispozițiile art. 27 alin.(3) din Legea nr.55/2020, Parlamentul României a decis </w:t>
      </w:r>
      <w:r w:rsidRPr="00F171A3">
        <w:rPr>
          <w:i/>
        </w:rPr>
        <w:t>„desfășurarea concursurile pentru ocuparea posturilor și funcțiilor vacante și temporar vacante din cadrul instituțiilor și autorităților publice, cu încadrare în sumele aprobate în buget pentru anul 2021”.</w:t>
      </w:r>
    </w:p>
    <w:p w14:paraId="01D3D02B" w14:textId="6C53B434" w:rsidR="0006359E" w:rsidRPr="00F171A3" w:rsidRDefault="0006359E" w:rsidP="0006359E">
      <w:r w:rsidRPr="00F171A3">
        <w:t>În ceea ce privește vechimea și gradul profesional aferent al funcționarilor publici și personalul contractual, Primăria Sector</w:t>
      </w:r>
      <w:r w:rsidR="00F53B80" w:rsidRPr="00F171A3">
        <w:t>ului</w:t>
      </w:r>
      <w:r w:rsidRPr="00F171A3">
        <w:t xml:space="preserve"> 2 dispune de un corp profesional echilibrat, cu cei mai mulți dintre angajați având între 5 și 10 ani vechime, iar raportul dintre cei cu gradație maximă, cu o vechime de peste 20 ani, și personalul aflat la început de carieră este echilibrată. În ceea ce privește aparatul propriu de specialitate și Direcția de evidență persoane și stare civilă, 33 angajați au gradație 5 (aferent a peste 20 ani de experiență), 55 au gradație 4 (15-20 ani), 26 au gradație 3 (10-15 ani), 159 au gradație 2 (5-10 ani), 49 au gradație 1 (3-5 ani) și 47 au gradație 0 (sub 3 ani). </w:t>
      </w:r>
    </w:p>
    <w:p w14:paraId="35E5A211" w14:textId="7485A7FE" w:rsidR="0006359E" w:rsidRPr="00F171A3" w:rsidRDefault="00AF2C45" w:rsidP="00AF2C45">
      <w:pPr>
        <w:pStyle w:val="Caption"/>
        <w:rPr>
          <w:b w:val="0"/>
        </w:rPr>
      </w:pPr>
      <w:bookmarkStart w:id="319" w:name="_heading=h.4gjguf0" w:colFirst="0" w:colLast="0"/>
      <w:bookmarkStart w:id="320" w:name="_Toc126943294"/>
      <w:bookmarkEnd w:id="319"/>
      <w:r w:rsidRPr="00F171A3">
        <w:t xml:space="preserve">Tabel </w:t>
      </w:r>
      <w:r w:rsidRPr="00F171A3">
        <w:fldChar w:fldCharType="begin"/>
      </w:r>
      <w:r w:rsidRPr="00F171A3">
        <w:instrText xml:space="preserve"> SEQ Tabel \* ARABIC </w:instrText>
      </w:r>
      <w:r w:rsidRPr="00F171A3">
        <w:fldChar w:fldCharType="separate"/>
      </w:r>
      <w:r w:rsidR="005A6DD8">
        <w:rPr>
          <w:noProof/>
        </w:rPr>
        <w:t>37</w:t>
      </w:r>
      <w:r w:rsidRPr="00F171A3">
        <w:fldChar w:fldCharType="end"/>
      </w:r>
      <w:r w:rsidRPr="00F171A3">
        <w:t xml:space="preserve"> </w:t>
      </w:r>
      <w:r w:rsidR="0006359E" w:rsidRPr="00F171A3">
        <w:t>Grad vechime aparat propriu de specialitate și direcția de evidență persoane și stare civilă</w:t>
      </w:r>
      <w:bookmarkEnd w:id="320"/>
    </w:p>
    <w:tbl>
      <w:tblPr>
        <w:tblStyle w:val="ListTable3-Accent21"/>
        <w:tblW w:w="949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2065"/>
        <w:gridCol w:w="1238"/>
        <w:gridCol w:w="1238"/>
        <w:gridCol w:w="1238"/>
        <w:gridCol w:w="1238"/>
        <w:gridCol w:w="1238"/>
        <w:gridCol w:w="1238"/>
      </w:tblGrid>
      <w:tr w:rsidR="0006359E" w:rsidRPr="00F171A3" w14:paraId="15571E4B" w14:textId="77777777" w:rsidTr="00AF2C45">
        <w:trPr>
          <w:cnfStyle w:val="100000000000" w:firstRow="1" w:lastRow="0" w:firstColumn="0" w:lastColumn="0" w:oddVBand="0" w:evenVBand="0" w:oddHBand="0" w:evenHBand="0" w:firstRowFirstColumn="0" w:firstRowLastColumn="0" w:lastRowFirstColumn="0" w:lastRowLastColumn="0"/>
          <w:trHeight w:val="144"/>
        </w:trPr>
        <w:tc>
          <w:tcPr>
            <w:tcW w:w="2065" w:type="dxa"/>
          </w:tcPr>
          <w:p w14:paraId="4587329B" w14:textId="1B1598FF" w:rsidR="0006359E" w:rsidRPr="00F171A3" w:rsidRDefault="00F555EE" w:rsidP="00F31936">
            <w:pPr>
              <w:jc w:val="center"/>
              <w:rPr>
                <w:color w:val="000000"/>
                <w:sz w:val="20"/>
                <w:szCs w:val="20"/>
              </w:rPr>
            </w:pPr>
            <w:r w:rsidRPr="00F171A3">
              <w:rPr>
                <w:sz w:val="20"/>
                <w:szCs w:val="20"/>
              </w:rPr>
              <w:t>PERSONAL</w:t>
            </w:r>
          </w:p>
        </w:tc>
        <w:tc>
          <w:tcPr>
            <w:tcW w:w="1238" w:type="dxa"/>
          </w:tcPr>
          <w:p w14:paraId="6EAD3946" w14:textId="2C1BDA4F" w:rsidR="0006359E" w:rsidRPr="00F171A3" w:rsidRDefault="00F555EE" w:rsidP="00F31936">
            <w:pPr>
              <w:jc w:val="center"/>
              <w:rPr>
                <w:sz w:val="20"/>
                <w:szCs w:val="20"/>
              </w:rPr>
            </w:pPr>
            <w:r w:rsidRPr="00F171A3">
              <w:rPr>
                <w:sz w:val="20"/>
                <w:szCs w:val="20"/>
              </w:rPr>
              <w:t>GRADAȚIE 5</w:t>
            </w:r>
          </w:p>
        </w:tc>
        <w:tc>
          <w:tcPr>
            <w:tcW w:w="1238" w:type="dxa"/>
          </w:tcPr>
          <w:p w14:paraId="067B31E3" w14:textId="70580FDC" w:rsidR="0006359E" w:rsidRPr="00F171A3" w:rsidRDefault="00F555EE" w:rsidP="00F31936">
            <w:pPr>
              <w:jc w:val="center"/>
              <w:rPr>
                <w:sz w:val="20"/>
                <w:szCs w:val="20"/>
              </w:rPr>
            </w:pPr>
            <w:r w:rsidRPr="00F171A3">
              <w:rPr>
                <w:sz w:val="20"/>
                <w:szCs w:val="20"/>
              </w:rPr>
              <w:t>GRADAȚIE 4</w:t>
            </w:r>
          </w:p>
        </w:tc>
        <w:tc>
          <w:tcPr>
            <w:tcW w:w="1238" w:type="dxa"/>
          </w:tcPr>
          <w:p w14:paraId="3F3583E4" w14:textId="362A839D" w:rsidR="0006359E" w:rsidRPr="00F171A3" w:rsidRDefault="00F555EE" w:rsidP="00F31936">
            <w:pPr>
              <w:jc w:val="center"/>
              <w:rPr>
                <w:sz w:val="20"/>
                <w:szCs w:val="20"/>
              </w:rPr>
            </w:pPr>
            <w:r w:rsidRPr="00F171A3">
              <w:rPr>
                <w:sz w:val="20"/>
                <w:szCs w:val="20"/>
              </w:rPr>
              <w:t>GRADAȚIE 3</w:t>
            </w:r>
          </w:p>
        </w:tc>
        <w:tc>
          <w:tcPr>
            <w:tcW w:w="1238" w:type="dxa"/>
          </w:tcPr>
          <w:p w14:paraId="0311A50A" w14:textId="05D111A3" w:rsidR="0006359E" w:rsidRPr="00F171A3" w:rsidRDefault="00F555EE" w:rsidP="00F31936">
            <w:pPr>
              <w:jc w:val="center"/>
              <w:rPr>
                <w:sz w:val="20"/>
                <w:szCs w:val="20"/>
              </w:rPr>
            </w:pPr>
            <w:r w:rsidRPr="00F171A3">
              <w:rPr>
                <w:sz w:val="20"/>
                <w:szCs w:val="20"/>
              </w:rPr>
              <w:t>GRADAȚIE 2</w:t>
            </w:r>
          </w:p>
        </w:tc>
        <w:tc>
          <w:tcPr>
            <w:tcW w:w="1238" w:type="dxa"/>
          </w:tcPr>
          <w:p w14:paraId="56F510A0" w14:textId="123A2672" w:rsidR="0006359E" w:rsidRPr="00F171A3" w:rsidRDefault="00F555EE" w:rsidP="00F31936">
            <w:pPr>
              <w:jc w:val="center"/>
              <w:rPr>
                <w:sz w:val="20"/>
                <w:szCs w:val="20"/>
              </w:rPr>
            </w:pPr>
            <w:r w:rsidRPr="00F171A3">
              <w:rPr>
                <w:sz w:val="20"/>
                <w:szCs w:val="20"/>
              </w:rPr>
              <w:t>GRADAȚIE 1</w:t>
            </w:r>
          </w:p>
        </w:tc>
        <w:tc>
          <w:tcPr>
            <w:tcW w:w="1238" w:type="dxa"/>
          </w:tcPr>
          <w:p w14:paraId="128BB979" w14:textId="775E0665" w:rsidR="0006359E" w:rsidRPr="00F171A3" w:rsidRDefault="00F555EE" w:rsidP="00F31936">
            <w:pPr>
              <w:jc w:val="center"/>
              <w:rPr>
                <w:sz w:val="20"/>
                <w:szCs w:val="20"/>
              </w:rPr>
            </w:pPr>
            <w:r w:rsidRPr="00F171A3">
              <w:rPr>
                <w:sz w:val="20"/>
                <w:szCs w:val="20"/>
              </w:rPr>
              <w:t>GRADAȚIE 0</w:t>
            </w:r>
          </w:p>
        </w:tc>
      </w:tr>
      <w:tr w:rsidR="0006359E" w:rsidRPr="00F171A3" w14:paraId="1E44043B" w14:textId="77777777" w:rsidTr="00AF2C45">
        <w:trPr>
          <w:cnfStyle w:val="000000100000" w:firstRow="0" w:lastRow="0" w:firstColumn="0" w:lastColumn="0" w:oddVBand="0" w:evenVBand="0" w:oddHBand="1" w:evenHBand="0" w:firstRowFirstColumn="0" w:firstRowLastColumn="0" w:lastRowFirstColumn="0" w:lastRowLastColumn="0"/>
          <w:trHeight w:val="144"/>
        </w:trPr>
        <w:tc>
          <w:tcPr>
            <w:tcW w:w="2065" w:type="dxa"/>
            <w:tcBorders>
              <w:top w:val="none" w:sz="0" w:space="0" w:color="auto"/>
              <w:bottom w:val="none" w:sz="0" w:space="0" w:color="auto"/>
            </w:tcBorders>
            <w:shd w:val="clear" w:color="auto" w:fill="F2F2F2" w:themeFill="background1" w:themeFillShade="F2"/>
          </w:tcPr>
          <w:p w14:paraId="4A31D3B9" w14:textId="77777777" w:rsidR="0006359E" w:rsidRPr="00F171A3" w:rsidRDefault="0006359E" w:rsidP="00F31936">
            <w:pPr>
              <w:rPr>
                <w:color w:val="000000"/>
                <w:sz w:val="20"/>
                <w:szCs w:val="20"/>
              </w:rPr>
            </w:pPr>
            <w:r w:rsidRPr="00F171A3">
              <w:rPr>
                <w:color w:val="000000"/>
                <w:sz w:val="20"/>
                <w:szCs w:val="20"/>
              </w:rPr>
              <w:t>Funcționari publici</w:t>
            </w:r>
          </w:p>
        </w:tc>
        <w:tc>
          <w:tcPr>
            <w:tcW w:w="1238" w:type="dxa"/>
            <w:tcBorders>
              <w:top w:val="none" w:sz="0" w:space="0" w:color="auto"/>
              <w:bottom w:val="none" w:sz="0" w:space="0" w:color="auto"/>
            </w:tcBorders>
            <w:shd w:val="clear" w:color="auto" w:fill="F2F2F2" w:themeFill="background1" w:themeFillShade="F2"/>
          </w:tcPr>
          <w:p w14:paraId="74944E0D" w14:textId="77777777" w:rsidR="0006359E" w:rsidRPr="00F171A3" w:rsidRDefault="0006359E" w:rsidP="00F31936">
            <w:pPr>
              <w:jc w:val="center"/>
              <w:rPr>
                <w:color w:val="000000"/>
                <w:sz w:val="20"/>
                <w:szCs w:val="20"/>
              </w:rPr>
            </w:pPr>
            <w:r w:rsidRPr="00F171A3">
              <w:rPr>
                <w:color w:val="000000"/>
                <w:sz w:val="20"/>
                <w:szCs w:val="20"/>
              </w:rPr>
              <w:t>31</w:t>
            </w:r>
          </w:p>
        </w:tc>
        <w:tc>
          <w:tcPr>
            <w:tcW w:w="1238" w:type="dxa"/>
            <w:tcBorders>
              <w:top w:val="none" w:sz="0" w:space="0" w:color="auto"/>
              <w:bottom w:val="none" w:sz="0" w:space="0" w:color="auto"/>
            </w:tcBorders>
            <w:shd w:val="clear" w:color="auto" w:fill="F2F2F2" w:themeFill="background1" w:themeFillShade="F2"/>
          </w:tcPr>
          <w:p w14:paraId="78832D80" w14:textId="77777777" w:rsidR="0006359E" w:rsidRPr="00F171A3" w:rsidRDefault="0006359E" w:rsidP="00F31936">
            <w:pPr>
              <w:jc w:val="center"/>
              <w:rPr>
                <w:color w:val="000000"/>
                <w:sz w:val="20"/>
                <w:szCs w:val="20"/>
              </w:rPr>
            </w:pPr>
            <w:r w:rsidRPr="00F171A3">
              <w:rPr>
                <w:color w:val="000000"/>
                <w:sz w:val="20"/>
                <w:szCs w:val="20"/>
              </w:rPr>
              <w:t>50</w:t>
            </w:r>
          </w:p>
        </w:tc>
        <w:tc>
          <w:tcPr>
            <w:tcW w:w="1238" w:type="dxa"/>
            <w:tcBorders>
              <w:top w:val="none" w:sz="0" w:space="0" w:color="auto"/>
              <w:bottom w:val="none" w:sz="0" w:space="0" w:color="auto"/>
            </w:tcBorders>
            <w:shd w:val="clear" w:color="auto" w:fill="F2F2F2" w:themeFill="background1" w:themeFillShade="F2"/>
          </w:tcPr>
          <w:p w14:paraId="5B756D2D" w14:textId="77777777" w:rsidR="0006359E" w:rsidRPr="00F171A3" w:rsidRDefault="0006359E" w:rsidP="00F31936">
            <w:pPr>
              <w:jc w:val="center"/>
              <w:rPr>
                <w:color w:val="000000"/>
                <w:sz w:val="20"/>
                <w:szCs w:val="20"/>
              </w:rPr>
            </w:pPr>
            <w:r w:rsidRPr="00F171A3">
              <w:rPr>
                <w:color w:val="000000"/>
                <w:sz w:val="20"/>
                <w:szCs w:val="20"/>
              </w:rPr>
              <w:t>24</w:t>
            </w:r>
          </w:p>
        </w:tc>
        <w:tc>
          <w:tcPr>
            <w:tcW w:w="1238" w:type="dxa"/>
            <w:tcBorders>
              <w:top w:val="none" w:sz="0" w:space="0" w:color="auto"/>
              <w:bottom w:val="none" w:sz="0" w:space="0" w:color="auto"/>
            </w:tcBorders>
            <w:shd w:val="clear" w:color="auto" w:fill="F2F2F2" w:themeFill="background1" w:themeFillShade="F2"/>
          </w:tcPr>
          <w:p w14:paraId="42EA43EB" w14:textId="77777777" w:rsidR="0006359E" w:rsidRPr="00F171A3" w:rsidRDefault="0006359E" w:rsidP="00F31936">
            <w:pPr>
              <w:jc w:val="center"/>
              <w:rPr>
                <w:color w:val="000000"/>
                <w:sz w:val="20"/>
                <w:szCs w:val="20"/>
              </w:rPr>
            </w:pPr>
            <w:r w:rsidRPr="00F171A3">
              <w:rPr>
                <w:color w:val="000000"/>
                <w:sz w:val="20"/>
                <w:szCs w:val="20"/>
              </w:rPr>
              <w:t>133</w:t>
            </w:r>
          </w:p>
        </w:tc>
        <w:tc>
          <w:tcPr>
            <w:tcW w:w="1238" w:type="dxa"/>
            <w:tcBorders>
              <w:top w:val="none" w:sz="0" w:space="0" w:color="auto"/>
              <w:bottom w:val="none" w:sz="0" w:space="0" w:color="auto"/>
            </w:tcBorders>
            <w:shd w:val="clear" w:color="auto" w:fill="F2F2F2" w:themeFill="background1" w:themeFillShade="F2"/>
          </w:tcPr>
          <w:p w14:paraId="303C6FC7" w14:textId="77777777" w:rsidR="0006359E" w:rsidRPr="00F171A3" w:rsidRDefault="0006359E" w:rsidP="00F31936">
            <w:pPr>
              <w:jc w:val="center"/>
              <w:rPr>
                <w:color w:val="000000"/>
                <w:sz w:val="20"/>
                <w:szCs w:val="20"/>
              </w:rPr>
            </w:pPr>
            <w:r w:rsidRPr="00F171A3">
              <w:rPr>
                <w:color w:val="000000"/>
                <w:sz w:val="20"/>
                <w:szCs w:val="20"/>
              </w:rPr>
              <w:t>35</w:t>
            </w:r>
          </w:p>
        </w:tc>
        <w:tc>
          <w:tcPr>
            <w:tcW w:w="1238" w:type="dxa"/>
            <w:tcBorders>
              <w:top w:val="none" w:sz="0" w:space="0" w:color="auto"/>
              <w:bottom w:val="none" w:sz="0" w:space="0" w:color="auto"/>
            </w:tcBorders>
            <w:shd w:val="clear" w:color="auto" w:fill="F2F2F2" w:themeFill="background1" w:themeFillShade="F2"/>
          </w:tcPr>
          <w:p w14:paraId="1999043B" w14:textId="77777777" w:rsidR="0006359E" w:rsidRPr="00F171A3" w:rsidRDefault="0006359E" w:rsidP="00F31936">
            <w:pPr>
              <w:jc w:val="center"/>
              <w:rPr>
                <w:color w:val="000000"/>
                <w:sz w:val="20"/>
                <w:szCs w:val="20"/>
              </w:rPr>
            </w:pPr>
            <w:r w:rsidRPr="00F171A3">
              <w:rPr>
                <w:color w:val="000000"/>
                <w:sz w:val="20"/>
                <w:szCs w:val="20"/>
              </w:rPr>
              <w:t>30</w:t>
            </w:r>
          </w:p>
        </w:tc>
      </w:tr>
      <w:tr w:rsidR="0006359E" w:rsidRPr="00F171A3" w14:paraId="74400902" w14:textId="77777777" w:rsidTr="00AF2C45">
        <w:trPr>
          <w:trHeight w:val="144"/>
        </w:trPr>
        <w:tc>
          <w:tcPr>
            <w:tcW w:w="2065" w:type="dxa"/>
            <w:shd w:val="clear" w:color="auto" w:fill="F2F2F2" w:themeFill="background1" w:themeFillShade="F2"/>
          </w:tcPr>
          <w:p w14:paraId="32631923" w14:textId="77777777" w:rsidR="0006359E" w:rsidRPr="00F171A3" w:rsidRDefault="0006359E" w:rsidP="00F31936">
            <w:pPr>
              <w:rPr>
                <w:color w:val="000000"/>
                <w:sz w:val="20"/>
                <w:szCs w:val="20"/>
              </w:rPr>
            </w:pPr>
            <w:r w:rsidRPr="00F171A3">
              <w:rPr>
                <w:color w:val="000000"/>
                <w:sz w:val="20"/>
                <w:szCs w:val="20"/>
              </w:rPr>
              <w:t>Personal contractual</w:t>
            </w:r>
          </w:p>
        </w:tc>
        <w:tc>
          <w:tcPr>
            <w:tcW w:w="1238" w:type="dxa"/>
            <w:shd w:val="clear" w:color="auto" w:fill="F2F2F2" w:themeFill="background1" w:themeFillShade="F2"/>
          </w:tcPr>
          <w:p w14:paraId="1EC8150E" w14:textId="77777777" w:rsidR="0006359E" w:rsidRPr="00F171A3" w:rsidRDefault="0006359E" w:rsidP="00F31936">
            <w:pPr>
              <w:jc w:val="center"/>
              <w:rPr>
                <w:color w:val="000000"/>
                <w:sz w:val="20"/>
                <w:szCs w:val="20"/>
              </w:rPr>
            </w:pPr>
            <w:r w:rsidRPr="00F171A3">
              <w:rPr>
                <w:color w:val="000000"/>
                <w:sz w:val="20"/>
                <w:szCs w:val="20"/>
              </w:rPr>
              <w:t>2</w:t>
            </w:r>
          </w:p>
        </w:tc>
        <w:tc>
          <w:tcPr>
            <w:tcW w:w="1238" w:type="dxa"/>
            <w:shd w:val="clear" w:color="auto" w:fill="F2F2F2" w:themeFill="background1" w:themeFillShade="F2"/>
          </w:tcPr>
          <w:p w14:paraId="7CDC7C8B" w14:textId="77777777" w:rsidR="0006359E" w:rsidRPr="00F171A3" w:rsidRDefault="0006359E" w:rsidP="00F31936">
            <w:pPr>
              <w:jc w:val="center"/>
              <w:rPr>
                <w:color w:val="000000"/>
                <w:sz w:val="20"/>
                <w:szCs w:val="20"/>
              </w:rPr>
            </w:pPr>
            <w:r w:rsidRPr="00F171A3">
              <w:rPr>
                <w:color w:val="000000"/>
                <w:sz w:val="20"/>
                <w:szCs w:val="20"/>
              </w:rPr>
              <w:t>5</w:t>
            </w:r>
          </w:p>
        </w:tc>
        <w:tc>
          <w:tcPr>
            <w:tcW w:w="1238" w:type="dxa"/>
            <w:shd w:val="clear" w:color="auto" w:fill="F2F2F2" w:themeFill="background1" w:themeFillShade="F2"/>
          </w:tcPr>
          <w:p w14:paraId="31A2E51F" w14:textId="77777777" w:rsidR="0006359E" w:rsidRPr="00F171A3" w:rsidRDefault="0006359E" w:rsidP="00F31936">
            <w:pPr>
              <w:jc w:val="center"/>
              <w:rPr>
                <w:color w:val="000000"/>
                <w:sz w:val="20"/>
                <w:szCs w:val="20"/>
              </w:rPr>
            </w:pPr>
            <w:r w:rsidRPr="00F171A3">
              <w:rPr>
                <w:color w:val="000000"/>
                <w:sz w:val="20"/>
                <w:szCs w:val="20"/>
              </w:rPr>
              <w:t>2</w:t>
            </w:r>
          </w:p>
        </w:tc>
        <w:tc>
          <w:tcPr>
            <w:tcW w:w="1238" w:type="dxa"/>
            <w:shd w:val="clear" w:color="auto" w:fill="F2F2F2" w:themeFill="background1" w:themeFillShade="F2"/>
          </w:tcPr>
          <w:p w14:paraId="513C9D38" w14:textId="77777777" w:rsidR="0006359E" w:rsidRPr="00F171A3" w:rsidRDefault="0006359E" w:rsidP="00F31936">
            <w:pPr>
              <w:jc w:val="center"/>
              <w:rPr>
                <w:color w:val="000000"/>
                <w:sz w:val="20"/>
                <w:szCs w:val="20"/>
              </w:rPr>
            </w:pPr>
            <w:r w:rsidRPr="00F171A3">
              <w:rPr>
                <w:color w:val="000000"/>
                <w:sz w:val="20"/>
                <w:szCs w:val="20"/>
              </w:rPr>
              <w:t>26</w:t>
            </w:r>
          </w:p>
        </w:tc>
        <w:tc>
          <w:tcPr>
            <w:tcW w:w="1238" w:type="dxa"/>
            <w:shd w:val="clear" w:color="auto" w:fill="F2F2F2" w:themeFill="background1" w:themeFillShade="F2"/>
          </w:tcPr>
          <w:p w14:paraId="1D6847B6" w14:textId="77777777" w:rsidR="0006359E" w:rsidRPr="00F171A3" w:rsidRDefault="0006359E" w:rsidP="00F31936">
            <w:pPr>
              <w:jc w:val="center"/>
              <w:rPr>
                <w:color w:val="000000"/>
                <w:sz w:val="20"/>
                <w:szCs w:val="20"/>
              </w:rPr>
            </w:pPr>
            <w:r w:rsidRPr="00F171A3">
              <w:rPr>
                <w:color w:val="000000"/>
                <w:sz w:val="20"/>
                <w:szCs w:val="20"/>
              </w:rPr>
              <w:t>14</w:t>
            </w:r>
          </w:p>
        </w:tc>
        <w:tc>
          <w:tcPr>
            <w:tcW w:w="1238" w:type="dxa"/>
            <w:shd w:val="clear" w:color="auto" w:fill="F2F2F2" w:themeFill="background1" w:themeFillShade="F2"/>
          </w:tcPr>
          <w:p w14:paraId="4493C6D7" w14:textId="77777777" w:rsidR="0006359E" w:rsidRPr="00F171A3" w:rsidRDefault="0006359E" w:rsidP="00F31936">
            <w:pPr>
              <w:jc w:val="center"/>
              <w:rPr>
                <w:color w:val="000000"/>
                <w:sz w:val="20"/>
                <w:szCs w:val="20"/>
              </w:rPr>
            </w:pPr>
            <w:r w:rsidRPr="00F171A3">
              <w:rPr>
                <w:color w:val="000000"/>
                <w:sz w:val="20"/>
                <w:szCs w:val="20"/>
              </w:rPr>
              <w:t>17</w:t>
            </w:r>
          </w:p>
        </w:tc>
      </w:tr>
    </w:tbl>
    <w:p w14:paraId="57A688F0" w14:textId="3F9E2D15" w:rsidR="0006359E" w:rsidRPr="00F171A3" w:rsidRDefault="0006359E" w:rsidP="00AF2C45">
      <w:pPr>
        <w:jc w:val="right"/>
        <w:rPr>
          <w:color w:val="BFBFBF" w:themeColor="background1" w:themeShade="BF"/>
        </w:rPr>
      </w:pPr>
      <w:r w:rsidRPr="00F171A3">
        <w:rPr>
          <w:color w:val="BFBFBF" w:themeColor="background1" w:themeShade="BF"/>
        </w:rPr>
        <w:t>Sursă: Prelucrare proprie pe baza datelor furnizate de Primăria Sector</w:t>
      </w:r>
      <w:r w:rsidR="00F53B80" w:rsidRPr="00F171A3">
        <w:rPr>
          <w:color w:val="BFBFBF" w:themeColor="background1" w:themeShade="BF"/>
        </w:rPr>
        <w:t>ului</w:t>
      </w:r>
      <w:r w:rsidRPr="00F171A3">
        <w:rPr>
          <w:color w:val="BFBFBF" w:themeColor="background1" w:themeShade="BF"/>
        </w:rPr>
        <w:t xml:space="preserve"> 2</w:t>
      </w:r>
    </w:p>
    <w:p w14:paraId="2AE038BA" w14:textId="77777777" w:rsidR="0006359E" w:rsidRPr="00F171A3" w:rsidRDefault="0006359E" w:rsidP="0006359E">
      <w:pPr>
        <w:rPr>
          <w:color w:val="000000"/>
        </w:rPr>
      </w:pPr>
      <w:r w:rsidRPr="00F171A3">
        <w:rPr>
          <w:color w:val="000000"/>
        </w:rPr>
        <w:t xml:space="preserve">La nivelul instituției există o strategie de atragere a personalului la început de carieră, dar și programe de practică desfășurate împreună cu instituțiile de învățământ superior și, începând cu anul 2021, și un program plătit de internship. </w:t>
      </w:r>
      <w:r w:rsidRPr="00F171A3">
        <w:rPr>
          <w:i/>
          <w:color w:val="000000"/>
        </w:rPr>
        <w:t>Serviciul Organizare, Perfecționare și Gestiunea Carierei</w:t>
      </w:r>
      <w:r w:rsidRPr="00F171A3">
        <w:rPr>
          <w:color w:val="000000"/>
        </w:rPr>
        <w:t xml:space="preserve"> este responsabil, conform noului ROF, de programul de internship și de efectuarea practicii de către studenții unităților de învățământ. </w:t>
      </w:r>
    </w:p>
    <w:p w14:paraId="76ED13BB" w14:textId="43B2AF3B" w:rsidR="0006359E" w:rsidRPr="00F171A3" w:rsidRDefault="0006359E" w:rsidP="0006359E">
      <w:pPr>
        <w:rPr>
          <w:color w:val="000000"/>
        </w:rPr>
      </w:pPr>
      <w:r w:rsidRPr="00F171A3">
        <w:rPr>
          <w:color w:val="000000"/>
        </w:rPr>
        <w:t>O strategie de atragere a personalului aflat la început de carieră ar trebui în continuare prioritizată. Deși numărul de posturi care poate fi aprobat în cadrul unităților administrativ teritoriale este reglementat de legislația națională, fiind influențat de numărul total de locuitori, actuala structură de personal a Primăriei Sector</w:t>
      </w:r>
      <w:r w:rsidR="00F53B80" w:rsidRPr="00F171A3">
        <w:rPr>
          <w:color w:val="000000"/>
        </w:rPr>
        <w:t>ului</w:t>
      </w:r>
      <w:r w:rsidRPr="00F171A3">
        <w:rPr>
          <w:color w:val="000000"/>
        </w:rPr>
        <w:t xml:space="preserve"> 2 indică un număr semnificativ de angajați aflați la început de carieră. Practica de a transforma poziții publice vacantate care nu se ocupă în posturi cu grad de debutant poate ajuta instituția să selecteze și promoveze personal aflat la început de carieră, mai ales în domeniile unde nevoia de personal este ridicată. Acest lucru poate fi cu atât mai benefic cu cât instituția derulează programe de practică și internship. </w:t>
      </w:r>
    </w:p>
    <w:p w14:paraId="101DF19E" w14:textId="77777777" w:rsidR="00AF2C45" w:rsidRPr="00F171A3" w:rsidRDefault="00AF2C45" w:rsidP="0006359E">
      <w:pPr>
        <w:rPr>
          <w:color w:val="000000"/>
        </w:rPr>
      </w:pPr>
    </w:p>
    <w:p w14:paraId="001AD6D0" w14:textId="6A34C8BD" w:rsidR="0006359E" w:rsidRPr="00F171A3" w:rsidRDefault="001E0A0F" w:rsidP="001E0A0F">
      <w:pPr>
        <w:pStyle w:val="Heading4"/>
      </w:pPr>
      <w:bookmarkStart w:id="321" w:name="_heading=h.2vor4mt" w:colFirst="0" w:colLast="0"/>
      <w:bookmarkStart w:id="322" w:name="_Toc114505906"/>
      <w:bookmarkEnd w:id="321"/>
      <w:r w:rsidRPr="00F171A3">
        <w:t>FORMARE ȘI PERFECȚIONARE</w:t>
      </w:r>
      <w:bookmarkEnd w:id="322"/>
    </w:p>
    <w:p w14:paraId="20AF9001" w14:textId="77777777" w:rsidR="0006359E" w:rsidRPr="00F171A3" w:rsidRDefault="0006359E" w:rsidP="0006359E">
      <w:pPr>
        <w:rPr>
          <w:color w:val="000000"/>
        </w:rPr>
      </w:pPr>
      <w:r w:rsidRPr="00F171A3">
        <w:rPr>
          <w:color w:val="000000"/>
        </w:rPr>
        <w:t xml:space="preserve">Creșterea capacității administrative și livrarea de servicii publice de calitate depind de îmbunătățirea cadrului de competențe existent la nivelul personalului și stabilirea unui program de formare adecvat, adaptat nevoilor de perfecționare și dezvoltare profesională ale personalului și obiectivelor asumate la nivelul administrației. Implementarea, monitorizarea și evaluarea constantă a programului de formare și perfecționare a angajaților sunt etape necesare pentru o administrație performantă.  </w:t>
      </w:r>
    </w:p>
    <w:p w14:paraId="0A3430D0" w14:textId="6EA02A86" w:rsidR="0006359E" w:rsidRPr="00F171A3" w:rsidRDefault="0006359E" w:rsidP="0006359E">
      <w:pPr>
        <w:rPr>
          <w:color w:val="000000"/>
        </w:rPr>
      </w:pPr>
      <w:r w:rsidRPr="00F171A3">
        <w:rPr>
          <w:color w:val="000000"/>
        </w:rPr>
        <w:t>Cu atât mai importantă este strategia de formare la nivelul instituției întrucât Primăria Sector</w:t>
      </w:r>
      <w:r w:rsidR="00F53B80" w:rsidRPr="00F171A3">
        <w:rPr>
          <w:color w:val="000000"/>
        </w:rPr>
        <w:t>ului</w:t>
      </w:r>
      <w:r w:rsidRPr="00F171A3">
        <w:rPr>
          <w:color w:val="000000"/>
        </w:rPr>
        <w:t xml:space="preserve"> 2 a trecut recent printr-o reorganizare administrativă, cu noi direcții create sau unele comasate, cu transferuri de responsabilități între structuri sau noi responsabilități la nivelul întregului corp profesional. Reorganizarea instituției trebuie să fie urmată de o analiză a nevoilor care decurg din acest proces, la nivelul fiecărei direcții și în urma unui proces care necesită o consultare extinsă a personalului. Acest proces este unul  critic pentru buna funcționare a instituției post reorganizare, îndeplinirea cu succes atribuțiilor colective și individuale, respectiv a obiectivelor pe care Primăria Sector</w:t>
      </w:r>
      <w:r w:rsidR="00F53B80" w:rsidRPr="00F171A3">
        <w:rPr>
          <w:color w:val="000000"/>
        </w:rPr>
        <w:t>ului</w:t>
      </w:r>
      <w:r w:rsidRPr="00F171A3">
        <w:rPr>
          <w:color w:val="000000"/>
        </w:rPr>
        <w:t xml:space="preserve"> 2 și le-a propus. </w:t>
      </w:r>
    </w:p>
    <w:p w14:paraId="0F415124" w14:textId="77777777" w:rsidR="0006359E" w:rsidRPr="00F171A3" w:rsidRDefault="0006359E" w:rsidP="0006359E">
      <w:r w:rsidRPr="00F171A3">
        <w:t>În România, cadrul</w:t>
      </w:r>
      <w:r w:rsidRPr="00F171A3">
        <w:rPr>
          <w:color w:val="000000"/>
        </w:rPr>
        <w:t xml:space="preserve"> legal privind formarea și perfecționarea profesională este bine reglementat pentru funcționarii publici și personalul contractual. </w:t>
      </w:r>
      <w:r w:rsidRPr="00F171A3">
        <w:t>Acesta prevede drepturi și obligații în ceea ce privește politica de formare continuă a personalului și impune autorităților publice responsabilitatea de a elabora un plan anual de formare pentru întreg personalul, coroborat cu alocarea de resurse financiare adecvate pentru participarea la programele de formare. Funcționarii publici și personalul contractual au la rândul lor obligația și responsabilitatea de a-și îmbunătăți în mod continuu abilitățile și pregătirea profesională.</w:t>
      </w:r>
    </w:p>
    <w:p w14:paraId="57D280AF" w14:textId="77777777" w:rsidR="0006359E" w:rsidRPr="00F171A3" w:rsidRDefault="0006359E" w:rsidP="0006359E">
      <w:r w:rsidRPr="00F171A3">
        <w:t xml:space="preserve">Mai mult, modernizarea, eficientizarea și profesionalizarea administrației publice pentru a răspunde provocărilor economice, sociale și culturale sunt obiective cheie pentru România, asumate în cadrul </w:t>
      </w:r>
      <w:r w:rsidRPr="00F171A3">
        <w:rPr>
          <w:i/>
        </w:rPr>
        <w:t xml:space="preserve">Strategiei Europa 2020. </w:t>
      </w:r>
    </w:p>
    <w:p w14:paraId="419F92AA" w14:textId="77777777" w:rsidR="0006359E" w:rsidRPr="00F171A3" w:rsidRDefault="0006359E" w:rsidP="0006359E">
      <w:pPr>
        <w:rPr>
          <w:color w:val="000000"/>
        </w:rPr>
      </w:pPr>
      <w:r w:rsidRPr="00F171A3">
        <w:rPr>
          <w:color w:val="000000"/>
        </w:rPr>
        <w:t xml:space="preserve">Principalele prevederi legale privind politica de formare a personalului autorității publice se regăsesc în:  </w:t>
      </w:r>
    </w:p>
    <w:p w14:paraId="21CA5C7A"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Ordonanța de Urgență nr. 57 din 3 iulie 2019 privind Codul Administrativ;</w:t>
      </w:r>
    </w:p>
    <w:p w14:paraId="6B4A6A31"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Hotărârea nr. 650/2016 pentru aprobarea strategiei privind formarea profesională pentru administrația publică 2016-2020;</w:t>
      </w:r>
    </w:p>
    <w:p w14:paraId="20D8CAA5"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Legea nr. 188/1999 privind Statutul funcționarilor publici;</w:t>
      </w:r>
    </w:p>
    <w:p w14:paraId="37E2E4B3"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Hotărârea Guvernului nr. 611/2008 pentru aprobarea normelor privind organizarea și dezvoltarea carierei funcționarilor publici;</w:t>
      </w:r>
    </w:p>
    <w:p w14:paraId="166C68D1" w14:textId="32AB811A" w:rsidR="0006359E" w:rsidRPr="00F171A3" w:rsidRDefault="0006359E">
      <w:pPr>
        <w:numPr>
          <w:ilvl w:val="0"/>
          <w:numId w:val="85"/>
        </w:numPr>
        <w:pBdr>
          <w:top w:val="nil"/>
          <w:left w:val="nil"/>
          <w:bottom w:val="nil"/>
          <w:right w:val="nil"/>
          <w:between w:val="nil"/>
        </w:pBdr>
        <w:rPr>
          <w:color w:val="134753"/>
        </w:rPr>
      </w:pPr>
      <w:r w:rsidRPr="00F171A3">
        <w:rPr>
          <w:color w:val="134753"/>
        </w:rPr>
        <w:t>Hotărârea Guvernului nr. 1066/2008 pentru aprobarea normelor privind formarea profesională a funcționarilor publici</w:t>
      </w:r>
      <w:r w:rsidR="00F555EE" w:rsidRPr="00F171A3">
        <w:rPr>
          <w:color w:val="134753"/>
        </w:rPr>
        <w:t>;</w:t>
      </w:r>
    </w:p>
    <w:p w14:paraId="57FDDFD5"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Ordinele ANFP privind formarea și perfecționare profesională și a tematicii specifice programelor de formare și perfecționare profesională a funcționarilor publici, respectiv pentru aprobarea conținutului și instrucțiunilor de elaborare a planului de perfecționare profesională a funcționarilor publici.</w:t>
      </w:r>
    </w:p>
    <w:p w14:paraId="4180DA47" w14:textId="77777777" w:rsidR="0006359E" w:rsidRPr="00F171A3" w:rsidRDefault="0006359E" w:rsidP="0006359E">
      <w:pPr>
        <w:rPr>
          <w:color w:val="000000"/>
        </w:rPr>
      </w:pPr>
      <w:r w:rsidRPr="00F171A3">
        <w:rPr>
          <w:color w:val="000000"/>
        </w:rPr>
        <w:t xml:space="preserve">Cadrul legal impune funcționarilor publici și personalului contractual obligația de a-și îmbunătăți în mod continuu abilitățile și pregătirea profesională. </w:t>
      </w:r>
      <w:r w:rsidRPr="00F171A3">
        <w:rPr>
          <w:i/>
          <w:color w:val="000000"/>
        </w:rPr>
        <w:t>Secțiunea a 4-a privind Formarea și perfecționarea profesională a funcționarilor publici</w:t>
      </w:r>
      <w:r w:rsidRPr="00F171A3">
        <w:rPr>
          <w:color w:val="000000"/>
        </w:rPr>
        <w:t xml:space="preserve"> (</w:t>
      </w:r>
      <w:r w:rsidRPr="00F171A3">
        <w:rPr>
          <w:i/>
          <w:color w:val="000000"/>
        </w:rPr>
        <w:t>Articolele 458 și 459</w:t>
      </w:r>
      <w:r w:rsidRPr="00F171A3">
        <w:rPr>
          <w:color w:val="000000"/>
        </w:rPr>
        <w:t xml:space="preserve">) din Codul Administrativ stabilește cadrul general pentru formarea funcționarilor publici și o serie de drepturi și obligații ale acestora: </w:t>
      </w:r>
    </w:p>
    <w:p w14:paraId="07429EDA"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Dreptul și obligația de a-și îmbunătăți în mod continuu abilitățile și pregătirea profesională;</w:t>
      </w:r>
    </w:p>
    <w:p w14:paraId="21D4C87F"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Participarea fiecărui funcționar public cel puțin o dată la doi ani la un program de formare și pregătire profesională;</w:t>
      </w:r>
    </w:p>
    <w:p w14:paraId="7B1C658F"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Elaborarea anuală a planul de perfecționare profesională a funcționărilor publici de către autoritatea publică. </w:t>
      </w:r>
    </w:p>
    <w:p w14:paraId="0B710C59" w14:textId="77777777" w:rsidR="0006359E" w:rsidRPr="00F171A3" w:rsidRDefault="0006359E" w:rsidP="0006359E">
      <w:pPr>
        <w:rPr>
          <w:color w:val="000000"/>
        </w:rPr>
      </w:pPr>
      <w:r w:rsidRPr="00F171A3">
        <w:rPr>
          <w:color w:val="000000"/>
        </w:rPr>
        <w:t xml:space="preserve">Formarea personalului contractual este prevăzută la Articolul 551 - </w:t>
      </w:r>
      <w:r w:rsidRPr="00F171A3">
        <w:rPr>
          <w:i/>
          <w:color w:val="000000"/>
        </w:rPr>
        <w:t>Alte drepturi și obligații specifice personalului contractual</w:t>
      </w:r>
      <w:r w:rsidRPr="00F171A3">
        <w:rPr>
          <w:color w:val="000000"/>
        </w:rPr>
        <w:t xml:space="preserve">. </w:t>
      </w:r>
    </w:p>
    <w:p w14:paraId="0AF36D4E"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Dreptul și obligația de a-și îmbunătăți în mod continuu abilitățile și pregătirea profesională;</w:t>
      </w:r>
    </w:p>
    <w:p w14:paraId="37B4FAF0"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Responsabilitățile autorităților și instituțiilor publice includ “elaborarea planului de perfecționare profesională a personalului contractual, anual, precum și obligația să prevadă în buget sumele necesare pentru plată programelor de pregătire, formare și perfecționare profesională”. </w:t>
      </w:r>
    </w:p>
    <w:p w14:paraId="350BAC78" w14:textId="77777777" w:rsidR="0006359E" w:rsidRPr="00F171A3" w:rsidRDefault="0006359E" w:rsidP="0006359E">
      <w:pPr>
        <w:rPr>
          <w:color w:val="000000"/>
        </w:rPr>
      </w:pPr>
      <w:r w:rsidRPr="00F171A3">
        <w:rPr>
          <w:color w:val="000000"/>
        </w:rPr>
        <w:t xml:space="preserve">La nivelul instituției există o strategie agreată privind planul de formare și buget multianual dedicat. Strategia privind identificarea nevoilor de dezvoltare ale personalului se fundamentează în special pe rapoartele de evaluare pregătite de personal. </w:t>
      </w:r>
    </w:p>
    <w:p w14:paraId="1BE444EC" w14:textId="19BB5D58" w:rsidR="0006359E" w:rsidRPr="00F171A3" w:rsidRDefault="0006359E" w:rsidP="0006359E">
      <w:pPr>
        <w:rPr>
          <w:color w:val="000000"/>
        </w:rPr>
      </w:pPr>
      <w:r w:rsidRPr="00F171A3">
        <w:rPr>
          <w:color w:val="000000"/>
        </w:rPr>
        <w:t>Primăria Sector</w:t>
      </w:r>
      <w:r w:rsidR="00F53B80" w:rsidRPr="00F171A3">
        <w:rPr>
          <w:color w:val="000000"/>
        </w:rPr>
        <w:t>ului</w:t>
      </w:r>
      <w:r w:rsidRPr="00F171A3">
        <w:rPr>
          <w:color w:val="000000"/>
        </w:rPr>
        <w:t xml:space="preserve"> 2 a elaborat în perioada 2018-2022 un plan anual de formare care să țină cont de nevoile de dezvoltare profesională ale personalului și obiectivele instituției și a alocat fonduri pentru îndeplinirea acestuia. La elaborarea planurilor anuale de evaluare ale personalului, fiecare structură din primărie propune planul de perfecționare în funcție de nevoile identificate, iar Direcția Management Resurse Umane centralizează aceste nevoi și coordonează procesul. În interiorul domeniilor de perfecționare identificate prin ordinul ANFP, structurile din interiorul instituției au flexibilitatea de a adapta cele solicitate la nevoile identificate de personal. </w:t>
      </w:r>
    </w:p>
    <w:p w14:paraId="1F34D699" w14:textId="77777777" w:rsidR="0006359E" w:rsidRPr="00F171A3" w:rsidRDefault="0006359E" w:rsidP="0006359E">
      <w:pPr>
        <w:rPr>
          <w:color w:val="000000"/>
        </w:rPr>
      </w:pPr>
      <w:r w:rsidRPr="00F171A3">
        <w:rPr>
          <w:color w:val="000000"/>
        </w:rPr>
        <w:t xml:space="preserve">În noua organigramă, Serviciul Organizare, Perfecționare și Gestiunea Carierei, parte a Direcției Management Resurse Umane, se ocupă de gestionarea carierei profesionale pentru angajații din cadrul Primăriei Sectorului 2 și Direcției Publice de Evidență Persoane și Stare Civilă Sector 2, gestionează procesului de evaluare a performanțelor profesionale și monitorizează procesul de perfecționare a personalului. </w:t>
      </w:r>
    </w:p>
    <w:p w14:paraId="49195C49" w14:textId="77777777" w:rsidR="0006359E" w:rsidRPr="00F171A3" w:rsidRDefault="0006359E" w:rsidP="0006359E">
      <w:pPr>
        <w:rPr>
          <w:color w:val="000000"/>
        </w:rPr>
      </w:pPr>
      <w:r w:rsidRPr="00F171A3">
        <w:rPr>
          <w:color w:val="000000"/>
        </w:rPr>
        <w:t>Elaborarea planurilor anuale de formare profesională a urmat un proces optim, însă cu toate acestea o serie de nevoi și provocări persistă. Cele mai importante sincope se referă la domeniul Tehnologia Informațiilor și Comunicațiilor (TIC). Deși nevoia de perfecționare în domeniu este ridicată, iar noile transformări tehnologice impun cunoștințe extinse și competențe digitale semnificative, aceasta nu a fost identificată ca o nevoie urgentă la nivelul Primăriei Sectorului 2 așa cum reiese din tabelul următor sau nu au existat cursuri de formare dedicate.</w:t>
      </w:r>
    </w:p>
    <w:p w14:paraId="6CF638E7" w14:textId="77777777" w:rsidR="0006359E" w:rsidRPr="00F171A3" w:rsidRDefault="0006359E" w:rsidP="0006359E">
      <w:pPr>
        <w:rPr>
          <w:color w:val="000000"/>
        </w:rPr>
      </w:pPr>
      <w:r w:rsidRPr="00F171A3">
        <w:rPr>
          <w:color w:val="000000"/>
        </w:rPr>
        <w:t xml:space="preserve">Lansarea cererilor de ofertă de către instituție a fost fără succes în 2021, iar pentru realizarea cursurilor nu s-au primit oferte din partea unor entități externe. Din practica altor administrații publice locale care se confruntă cu provocări similare, unele exemple de succes pentru creșterea competențelor personalului în domeniul TIC au fost crearea de parteneriate cu asociații sau organizații non profit. Cu ajutorul acestora, care au asistat administrația în identificarea nevoilor și unor actori externi care să ofere cursurile solicitate sau chiar organizarea de cursuri pro bono, aceste sincope au fost acoperite. Este nevoie însă de un proces colaborativ cu actori externi, mai ales atunci când instituția se află în imposibilitatea de a îndeplini o urgență identificată de personal. </w:t>
      </w:r>
    </w:p>
    <w:p w14:paraId="3CF1F4B2" w14:textId="77777777" w:rsidR="0006359E" w:rsidRPr="00F171A3" w:rsidRDefault="0006359E" w:rsidP="0006359E">
      <w:pPr>
        <w:rPr>
          <w:color w:val="000000"/>
        </w:rPr>
      </w:pPr>
      <w:r w:rsidRPr="00F171A3">
        <w:rPr>
          <w:color w:val="000000"/>
        </w:rPr>
        <w:t>Alte domenii de formare unde este necesară o regândire a capacității instituției de a atrage expertiză sunt cele de Arhitectură și Urbanism. Datele din perioada analizată indică o execuție limitată a cursurilor de formare deși, ca și în cazul domeniului TIC, aceste cursuri au fost identificate ca prioritate.</w:t>
      </w:r>
    </w:p>
    <w:p w14:paraId="29453764" w14:textId="68DA43EA" w:rsidR="0006359E" w:rsidRPr="00F171A3" w:rsidRDefault="00AF2C45" w:rsidP="00AF2C45">
      <w:pPr>
        <w:pStyle w:val="Caption"/>
        <w:rPr>
          <w:b w:val="0"/>
        </w:rPr>
      </w:pPr>
      <w:bookmarkStart w:id="323" w:name="_heading=h.1au1eum" w:colFirst="0" w:colLast="0"/>
      <w:bookmarkStart w:id="324" w:name="_Toc126943295"/>
      <w:bookmarkEnd w:id="323"/>
      <w:r w:rsidRPr="00F171A3">
        <w:t xml:space="preserve">Tabel </w:t>
      </w:r>
      <w:r w:rsidRPr="00F171A3">
        <w:fldChar w:fldCharType="begin"/>
      </w:r>
      <w:r w:rsidRPr="00F171A3">
        <w:instrText xml:space="preserve"> SEQ Tabel \* ARABIC </w:instrText>
      </w:r>
      <w:r w:rsidRPr="00F171A3">
        <w:fldChar w:fldCharType="separate"/>
      </w:r>
      <w:r w:rsidR="005A6DD8">
        <w:rPr>
          <w:noProof/>
        </w:rPr>
        <w:t>38</w:t>
      </w:r>
      <w:r w:rsidRPr="00F171A3">
        <w:fldChar w:fldCharType="end"/>
      </w:r>
      <w:r w:rsidRPr="00F171A3">
        <w:t xml:space="preserve"> </w:t>
      </w:r>
      <w:r w:rsidR="0006359E" w:rsidRPr="00F171A3">
        <w:t>Participarea la cursuri de perfecționare în perioada 2017-2021</w:t>
      </w:r>
      <w:bookmarkEnd w:id="324"/>
    </w:p>
    <w:tbl>
      <w:tblPr>
        <w:tblStyle w:val="ListTable3-Accent21"/>
        <w:tblW w:w="949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534"/>
        <w:gridCol w:w="1351"/>
        <w:gridCol w:w="720"/>
        <w:gridCol w:w="810"/>
        <w:gridCol w:w="720"/>
        <w:gridCol w:w="810"/>
        <w:gridCol w:w="720"/>
        <w:gridCol w:w="810"/>
        <w:gridCol w:w="720"/>
        <w:gridCol w:w="810"/>
        <w:gridCol w:w="720"/>
        <w:gridCol w:w="768"/>
      </w:tblGrid>
      <w:tr w:rsidR="0006359E" w:rsidRPr="00F171A3" w14:paraId="05F70D10" w14:textId="77777777" w:rsidTr="00963E4C">
        <w:trPr>
          <w:cnfStyle w:val="100000000000" w:firstRow="1" w:lastRow="0" w:firstColumn="0" w:lastColumn="0" w:oddVBand="0" w:evenVBand="0" w:oddHBand="0" w:evenHBand="0" w:firstRowFirstColumn="0" w:firstRowLastColumn="0" w:lastRowFirstColumn="0" w:lastRowLastColumn="0"/>
          <w:trHeight w:val="288"/>
        </w:trPr>
        <w:tc>
          <w:tcPr>
            <w:tcW w:w="534" w:type="dxa"/>
          </w:tcPr>
          <w:p w14:paraId="5F6AD24A" w14:textId="554583F3" w:rsidR="0006359E" w:rsidRPr="00F171A3" w:rsidRDefault="0006359E" w:rsidP="00F31936">
            <w:pPr>
              <w:jc w:val="center"/>
              <w:rPr>
                <w:sz w:val="20"/>
                <w:szCs w:val="20"/>
              </w:rPr>
            </w:pPr>
            <w:r w:rsidRPr="00F171A3">
              <w:rPr>
                <w:sz w:val="20"/>
                <w:szCs w:val="20"/>
              </w:rPr>
              <w:t>NR</w:t>
            </w:r>
          </w:p>
        </w:tc>
        <w:tc>
          <w:tcPr>
            <w:tcW w:w="1351" w:type="dxa"/>
          </w:tcPr>
          <w:p w14:paraId="20124E5B" w14:textId="77777777" w:rsidR="0006359E" w:rsidRPr="00F171A3" w:rsidRDefault="0006359E" w:rsidP="00F31936">
            <w:pPr>
              <w:jc w:val="center"/>
              <w:rPr>
                <w:sz w:val="20"/>
                <w:szCs w:val="20"/>
              </w:rPr>
            </w:pPr>
            <w:r w:rsidRPr="00F171A3">
              <w:rPr>
                <w:sz w:val="20"/>
                <w:szCs w:val="20"/>
              </w:rPr>
              <w:t>DOMENIU</w:t>
            </w:r>
          </w:p>
        </w:tc>
        <w:tc>
          <w:tcPr>
            <w:tcW w:w="1530" w:type="dxa"/>
            <w:gridSpan w:val="2"/>
          </w:tcPr>
          <w:p w14:paraId="7954BAFE" w14:textId="77777777" w:rsidR="0006359E" w:rsidRPr="00F171A3" w:rsidRDefault="0006359E" w:rsidP="00F31936">
            <w:pPr>
              <w:jc w:val="center"/>
              <w:rPr>
                <w:sz w:val="20"/>
                <w:szCs w:val="20"/>
              </w:rPr>
            </w:pPr>
            <w:r w:rsidRPr="00F171A3">
              <w:rPr>
                <w:sz w:val="20"/>
                <w:szCs w:val="20"/>
              </w:rPr>
              <w:t>2018</w:t>
            </w:r>
          </w:p>
        </w:tc>
        <w:tc>
          <w:tcPr>
            <w:tcW w:w="1530" w:type="dxa"/>
            <w:gridSpan w:val="2"/>
          </w:tcPr>
          <w:p w14:paraId="42969C7B" w14:textId="77777777" w:rsidR="0006359E" w:rsidRPr="00F171A3" w:rsidRDefault="0006359E" w:rsidP="00F31936">
            <w:pPr>
              <w:jc w:val="center"/>
              <w:rPr>
                <w:sz w:val="20"/>
                <w:szCs w:val="20"/>
              </w:rPr>
            </w:pPr>
            <w:r w:rsidRPr="00F171A3">
              <w:rPr>
                <w:sz w:val="20"/>
                <w:szCs w:val="20"/>
              </w:rPr>
              <w:t>2019</w:t>
            </w:r>
          </w:p>
        </w:tc>
        <w:tc>
          <w:tcPr>
            <w:tcW w:w="1530" w:type="dxa"/>
            <w:gridSpan w:val="2"/>
          </w:tcPr>
          <w:p w14:paraId="26FDFE6A" w14:textId="77777777" w:rsidR="0006359E" w:rsidRPr="00F171A3" w:rsidRDefault="0006359E" w:rsidP="00F31936">
            <w:pPr>
              <w:jc w:val="center"/>
              <w:rPr>
                <w:sz w:val="20"/>
                <w:szCs w:val="20"/>
              </w:rPr>
            </w:pPr>
            <w:r w:rsidRPr="00F171A3">
              <w:rPr>
                <w:sz w:val="20"/>
                <w:szCs w:val="20"/>
              </w:rPr>
              <w:t>2020</w:t>
            </w:r>
          </w:p>
        </w:tc>
        <w:tc>
          <w:tcPr>
            <w:tcW w:w="1530" w:type="dxa"/>
            <w:gridSpan w:val="2"/>
          </w:tcPr>
          <w:p w14:paraId="7915F947" w14:textId="77777777" w:rsidR="0006359E" w:rsidRPr="00F171A3" w:rsidRDefault="0006359E" w:rsidP="00F31936">
            <w:pPr>
              <w:jc w:val="center"/>
              <w:rPr>
                <w:sz w:val="20"/>
                <w:szCs w:val="20"/>
              </w:rPr>
            </w:pPr>
            <w:r w:rsidRPr="00F171A3">
              <w:rPr>
                <w:sz w:val="20"/>
                <w:szCs w:val="20"/>
              </w:rPr>
              <w:t>2021</w:t>
            </w:r>
          </w:p>
        </w:tc>
        <w:tc>
          <w:tcPr>
            <w:tcW w:w="1488" w:type="dxa"/>
            <w:gridSpan w:val="2"/>
          </w:tcPr>
          <w:p w14:paraId="5B0911A7" w14:textId="77777777" w:rsidR="0006359E" w:rsidRPr="00F171A3" w:rsidRDefault="0006359E" w:rsidP="00F31936">
            <w:pPr>
              <w:jc w:val="center"/>
              <w:rPr>
                <w:sz w:val="20"/>
                <w:szCs w:val="20"/>
              </w:rPr>
            </w:pPr>
            <w:r w:rsidRPr="00F171A3">
              <w:rPr>
                <w:sz w:val="20"/>
                <w:szCs w:val="20"/>
              </w:rPr>
              <w:t>2022</w:t>
            </w:r>
          </w:p>
        </w:tc>
      </w:tr>
      <w:tr w:rsidR="0006359E" w:rsidRPr="00F171A3" w14:paraId="3B6245FE" w14:textId="77777777" w:rsidTr="00963E4C">
        <w:trPr>
          <w:cnfStyle w:val="000000100000" w:firstRow="0" w:lastRow="0" w:firstColumn="0" w:lastColumn="0" w:oddVBand="0" w:evenVBand="0" w:oddHBand="1" w:evenHBand="0" w:firstRowFirstColumn="0" w:firstRowLastColumn="0" w:lastRowFirstColumn="0" w:lastRowLastColumn="0"/>
          <w:trHeight w:val="635"/>
        </w:trPr>
        <w:tc>
          <w:tcPr>
            <w:tcW w:w="534" w:type="dxa"/>
            <w:tcBorders>
              <w:top w:val="none" w:sz="0" w:space="0" w:color="auto"/>
              <w:bottom w:val="none" w:sz="0" w:space="0" w:color="auto"/>
            </w:tcBorders>
            <w:shd w:val="clear" w:color="auto" w:fill="F2F2F2" w:themeFill="background1" w:themeFillShade="F2"/>
          </w:tcPr>
          <w:p w14:paraId="71BCC6AC" w14:textId="77777777" w:rsidR="0006359E" w:rsidRPr="00F171A3" w:rsidRDefault="0006359E" w:rsidP="00F31936">
            <w:pPr>
              <w:jc w:val="center"/>
              <w:rPr>
                <w:sz w:val="20"/>
                <w:szCs w:val="20"/>
              </w:rPr>
            </w:pPr>
          </w:p>
        </w:tc>
        <w:tc>
          <w:tcPr>
            <w:tcW w:w="1351" w:type="dxa"/>
            <w:tcBorders>
              <w:top w:val="none" w:sz="0" w:space="0" w:color="auto"/>
              <w:bottom w:val="none" w:sz="0" w:space="0" w:color="auto"/>
            </w:tcBorders>
            <w:shd w:val="clear" w:color="auto" w:fill="F2F2F2" w:themeFill="background1" w:themeFillShade="F2"/>
          </w:tcPr>
          <w:p w14:paraId="721EA699" w14:textId="77777777" w:rsidR="0006359E" w:rsidRPr="00F171A3" w:rsidRDefault="0006359E" w:rsidP="00F31936">
            <w:pPr>
              <w:jc w:val="center"/>
              <w:rPr>
                <w:sz w:val="20"/>
                <w:szCs w:val="20"/>
              </w:rPr>
            </w:pPr>
          </w:p>
        </w:tc>
        <w:tc>
          <w:tcPr>
            <w:tcW w:w="720" w:type="dxa"/>
            <w:tcBorders>
              <w:top w:val="none" w:sz="0" w:space="0" w:color="auto"/>
              <w:bottom w:val="none" w:sz="0" w:space="0" w:color="auto"/>
            </w:tcBorders>
            <w:shd w:val="clear" w:color="auto" w:fill="F2F2F2" w:themeFill="background1" w:themeFillShade="F2"/>
          </w:tcPr>
          <w:p w14:paraId="1CEA2E00" w14:textId="77777777" w:rsidR="0006359E" w:rsidRPr="00F171A3" w:rsidRDefault="0006359E" w:rsidP="00F31936">
            <w:pPr>
              <w:jc w:val="center"/>
              <w:rPr>
                <w:sz w:val="16"/>
                <w:szCs w:val="16"/>
              </w:rPr>
            </w:pPr>
            <w:r w:rsidRPr="00F171A3">
              <w:rPr>
                <w:sz w:val="16"/>
                <w:szCs w:val="16"/>
              </w:rPr>
              <w:t>Propus</w:t>
            </w:r>
          </w:p>
        </w:tc>
        <w:tc>
          <w:tcPr>
            <w:tcW w:w="810" w:type="dxa"/>
            <w:tcBorders>
              <w:top w:val="none" w:sz="0" w:space="0" w:color="auto"/>
              <w:bottom w:val="none" w:sz="0" w:space="0" w:color="auto"/>
            </w:tcBorders>
            <w:shd w:val="clear" w:color="auto" w:fill="F2F2F2" w:themeFill="background1" w:themeFillShade="F2"/>
          </w:tcPr>
          <w:p w14:paraId="5EF37790" w14:textId="77777777" w:rsidR="0006359E" w:rsidRPr="00F171A3" w:rsidRDefault="0006359E" w:rsidP="00F31936">
            <w:pPr>
              <w:jc w:val="center"/>
              <w:rPr>
                <w:sz w:val="16"/>
                <w:szCs w:val="16"/>
              </w:rPr>
            </w:pPr>
            <w:r w:rsidRPr="00F171A3">
              <w:rPr>
                <w:sz w:val="16"/>
                <w:szCs w:val="16"/>
              </w:rPr>
              <w:t>Realizat</w:t>
            </w:r>
          </w:p>
        </w:tc>
        <w:tc>
          <w:tcPr>
            <w:tcW w:w="720" w:type="dxa"/>
            <w:tcBorders>
              <w:top w:val="none" w:sz="0" w:space="0" w:color="auto"/>
              <w:bottom w:val="none" w:sz="0" w:space="0" w:color="auto"/>
            </w:tcBorders>
            <w:shd w:val="clear" w:color="auto" w:fill="F2F2F2" w:themeFill="background1" w:themeFillShade="F2"/>
          </w:tcPr>
          <w:p w14:paraId="3D3EA6AE" w14:textId="77777777" w:rsidR="0006359E" w:rsidRPr="00F171A3" w:rsidRDefault="0006359E" w:rsidP="00F31936">
            <w:pPr>
              <w:jc w:val="center"/>
              <w:rPr>
                <w:sz w:val="16"/>
                <w:szCs w:val="16"/>
              </w:rPr>
            </w:pPr>
            <w:r w:rsidRPr="00F171A3">
              <w:rPr>
                <w:sz w:val="16"/>
                <w:szCs w:val="16"/>
              </w:rPr>
              <w:t>Propus</w:t>
            </w:r>
          </w:p>
        </w:tc>
        <w:tc>
          <w:tcPr>
            <w:tcW w:w="810" w:type="dxa"/>
            <w:tcBorders>
              <w:top w:val="none" w:sz="0" w:space="0" w:color="auto"/>
              <w:bottom w:val="none" w:sz="0" w:space="0" w:color="auto"/>
            </w:tcBorders>
            <w:shd w:val="clear" w:color="auto" w:fill="F2F2F2" w:themeFill="background1" w:themeFillShade="F2"/>
          </w:tcPr>
          <w:p w14:paraId="278D331C" w14:textId="77777777" w:rsidR="0006359E" w:rsidRPr="00F171A3" w:rsidRDefault="0006359E" w:rsidP="00F31936">
            <w:pPr>
              <w:jc w:val="center"/>
              <w:rPr>
                <w:sz w:val="16"/>
                <w:szCs w:val="16"/>
              </w:rPr>
            </w:pPr>
            <w:r w:rsidRPr="00F171A3">
              <w:rPr>
                <w:sz w:val="16"/>
                <w:szCs w:val="16"/>
              </w:rPr>
              <w:t>Realizat</w:t>
            </w:r>
          </w:p>
        </w:tc>
        <w:tc>
          <w:tcPr>
            <w:tcW w:w="720" w:type="dxa"/>
            <w:tcBorders>
              <w:top w:val="none" w:sz="0" w:space="0" w:color="auto"/>
              <w:bottom w:val="none" w:sz="0" w:space="0" w:color="auto"/>
            </w:tcBorders>
            <w:shd w:val="clear" w:color="auto" w:fill="F2F2F2" w:themeFill="background1" w:themeFillShade="F2"/>
          </w:tcPr>
          <w:p w14:paraId="6EEE811A" w14:textId="77777777" w:rsidR="0006359E" w:rsidRPr="00F171A3" w:rsidRDefault="0006359E" w:rsidP="00F31936">
            <w:pPr>
              <w:jc w:val="center"/>
              <w:rPr>
                <w:sz w:val="16"/>
                <w:szCs w:val="16"/>
              </w:rPr>
            </w:pPr>
            <w:r w:rsidRPr="00F171A3">
              <w:rPr>
                <w:sz w:val="16"/>
                <w:szCs w:val="16"/>
              </w:rPr>
              <w:t>Propus</w:t>
            </w:r>
          </w:p>
        </w:tc>
        <w:tc>
          <w:tcPr>
            <w:tcW w:w="810" w:type="dxa"/>
            <w:tcBorders>
              <w:top w:val="none" w:sz="0" w:space="0" w:color="auto"/>
              <w:bottom w:val="none" w:sz="0" w:space="0" w:color="auto"/>
            </w:tcBorders>
            <w:shd w:val="clear" w:color="auto" w:fill="F2F2F2" w:themeFill="background1" w:themeFillShade="F2"/>
          </w:tcPr>
          <w:p w14:paraId="4EDBAAAC" w14:textId="77777777" w:rsidR="0006359E" w:rsidRPr="00F171A3" w:rsidRDefault="0006359E" w:rsidP="00F31936">
            <w:pPr>
              <w:jc w:val="center"/>
              <w:rPr>
                <w:sz w:val="16"/>
                <w:szCs w:val="16"/>
              </w:rPr>
            </w:pPr>
            <w:r w:rsidRPr="00F171A3">
              <w:rPr>
                <w:sz w:val="16"/>
                <w:szCs w:val="16"/>
              </w:rPr>
              <w:t>Realizat</w:t>
            </w:r>
          </w:p>
        </w:tc>
        <w:tc>
          <w:tcPr>
            <w:tcW w:w="720" w:type="dxa"/>
            <w:tcBorders>
              <w:top w:val="none" w:sz="0" w:space="0" w:color="auto"/>
              <w:bottom w:val="none" w:sz="0" w:space="0" w:color="auto"/>
            </w:tcBorders>
            <w:shd w:val="clear" w:color="auto" w:fill="F2F2F2" w:themeFill="background1" w:themeFillShade="F2"/>
          </w:tcPr>
          <w:p w14:paraId="5C2F556F" w14:textId="77777777" w:rsidR="0006359E" w:rsidRPr="00F171A3" w:rsidRDefault="0006359E" w:rsidP="00F31936">
            <w:pPr>
              <w:jc w:val="center"/>
              <w:rPr>
                <w:sz w:val="16"/>
                <w:szCs w:val="16"/>
              </w:rPr>
            </w:pPr>
            <w:r w:rsidRPr="00F171A3">
              <w:rPr>
                <w:sz w:val="16"/>
                <w:szCs w:val="16"/>
              </w:rPr>
              <w:t>Propus</w:t>
            </w:r>
          </w:p>
        </w:tc>
        <w:tc>
          <w:tcPr>
            <w:tcW w:w="810" w:type="dxa"/>
            <w:tcBorders>
              <w:top w:val="none" w:sz="0" w:space="0" w:color="auto"/>
              <w:bottom w:val="none" w:sz="0" w:space="0" w:color="auto"/>
            </w:tcBorders>
            <w:shd w:val="clear" w:color="auto" w:fill="F2F2F2" w:themeFill="background1" w:themeFillShade="F2"/>
          </w:tcPr>
          <w:p w14:paraId="1EED7212" w14:textId="77777777" w:rsidR="0006359E" w:rsidRPr="00F171A3" w:rsidRDefault="0006359E" w:rsidP="00F31936">
            <w:pPr>
              <w:jc w:val="center"/>
              <w:rPr>
                <w:sz w:val="16"/>
                <w:szCs w:val="16"/>
              </w:rPr>
            </w:pPr>
            <w:r w:rsidRPr="00F171A3">
              <w:rPr>
                <w:sz w:val="16"/>
                <w:szCs w:val="16"/>
              </w:rPr>
              <w:t>Realizat</w:t>
            </w:r>
          </w:p>
        </w:tc>
        <w:tc>
          <w:tcPr>
            <w:tcW w:w="720" w:type="dxa"/>
            <w:tcBorders>
              <w:top w:val="none" w:sz="0" w:space="0" w:color="auto"/>
              <w:bottom w:val="none" w:sz="0" w:space="0" w:color="auto"/>
            </w:tcBorders>
            <w:shd w:val="clear" w:color="auto" w:fill="F2F2F2" w:themeFill="background1" w:themeFillShade="F2"/>
          </w:tcPr>
          <w:p w14:paraId="163DE1DA" w14:textId="77777777" w:rsidR="0006359E" w:rsidRPr="00F171A3" w:rsidRDefault="0006359E" w:rsidP="00F31936">
            <w:pPr>
              <w:jc w:val="center"/>
              <w:rPr>
                <w:sz w:val="16"/>
                <w:szCs w:val="16"/>
              </w:rPr>
            </w:pPr>
            <w:r w:rsidRPr="00F171A3">
              <w:rPr>
                <w:sz w:val="16"/>
                <w:szCs w:val="16"/>
              </w:rPr>
              <w:t>Propus</w:t>
            </w:r>
          </w:p>
        </w:tc>
        <w:tc>
          <w:tcPr>
            <w:tcW w:w="768" w:type="dxa"/>
            <w:tcBorders>
              <w:top w:val="none" w:sz="0" w:space="0" w:color="auto"/>
              <w:bottom w:val="none" w:sz="0" w:space="0" w:color="auto"/>
            </w:tcBorders>
            <w:shd w:val="clear" w:color="auto" w:fill="F2F2F2" w:themeFill="background1" w:themeFillShade="F2"/>
          </w:tcPr>
          <w:p w14:paraId="5F0E1C58" w14:textId="77777777" w:rsidR="0006359E" w:rsidRPr="00F171A3" w:rsidRDefault="0006359E" w:rsidP="00F31936">
            <w:pPr>
              <w:jc w:val="center"/>
              <w:rPr>
                <w:sz w:val="16"/>
                <w:szCs w:val="16"/>
              </w:rPr>
            </w:pPr>
            <w:r w:rsidRPr="00F171A3">
              <w:rPr>
                <w:sz w:val="16"/>
                <w:szCs w:val="16"/>
              </w:rPr>
              <w:t>Realizat</w:t>
            </w:r>
          </w:p>
        </w:tc>
      </w:tr>
      <w:tr w:rsidR="0006359E" w:rsidRPr="00F171A3" w14:paraId="74054C1E" w14:textId="77777777" w:rsidTr="00963E4C">
        <w:trPr>
          <w:trHeight w:val="288"/>
        </w:trPr>
        <w:tc>
          <w:tcPr>
            <w:tcW w:w="534" w:type="dxa"/>
            <w:shd w:val="clear" w:color="auto" w:fill="F2F2F2" w:themeFill="background1" w:themeFillShade="F2"/>
          </w:tcPr>
          <w:p w14:paraId="4423FBF0" w14:textId="77777777" w:rsidR="0006359E" w:rsidRPr="00F171A3" w:rsidRDefault="0006359E" w:rsidP="00F31936">
            <w:pPr>
              <w:spacing w:after="0"/>
              <w:jc w:val="center"/>
              <w:rPr>
                <w:sz w:val="20"/>
                <w:szCs w:val="20"/>
              </w:rPr>
            </w:pPr>
            <w:r w:rsidRPr="00F171A3">
              <w:rPr>
                <w:sz w:val="20"/>
                <w:szCs w:val="20"/>
              </w:rPr>
              <w:t>1</w:t>
            </w:r>
          </w:p>
        </w:tc>
        <w:tc>
          <w:tcPr>
            <w:tcW w:w="1351" w:type="dxa"/>
            <w:shd w:val="clear" w:color="auto" w:fill="F2F2F2" w:themeFill="background1" w:themeFillShade="F2"/>
          </w:tcPr>
          <w:p w14:paraId="3384F7C9" w14:textId="77777777" w:rsidR="0006359E" w:rsidRPr="00F171A3" w:rsidRDefault="0006359E" w:rsidP="00F31936">
            <w:pPr>
              <w:spacing w:after="0"/>
              <w:jc w:val="center"/>
              <w:rPr>
                <w:color w:val="000000"/>
                <w:sz w:val="16"/>
                <w:szCs w:val="16"/>
              </w:rPr>
            </w:pPr>
            <w:r w:rsidRPr="00F171A3">
              <w:rPr>
                <w:color w:val="000000"/>
                <w:sz w:val="16"/>
                <w:szCs w:val="16"/>
              </w:rPr>
              <w:t>ARHITECTURĂ ȘI URBANISM</w:t>
            </w:r>
          </w:p>
        </w:tc>
        <w:tc>
          <w:tcPr>
            <w:tcW w:w="720" w:type="dxa"/>
            <w:shd w:val="clear" w:color="auto" w:fill="F2F2F2" w:themeFill="background1" w:themeFillShade="F2"/>
          </w:tcPr>
          <w:p w14:paraId="0F22AC72" w14:textId="77777777" w:rsidR="0006359E" w:rsidRPr="00F171A3" w:rsidRDefault="0006359E" w:rsidP="00F31936">
            <w:pPr>
              <w:jc w:val="center"/>
              <w:rPr>
                <w:i/>
                <w:color w:val="00B050"/>
                <w:sz w:val="20"/>
                <w:szCs w:val="20"/>
              </w:rPr>
            </w:pPr>
            <w:r w:rsidRPr="00F171A3">
              <w:rPr>
                <w:color w:val="00B050"/>
                <w:sz w:val="20"/>
                <w:szCs w:val="20"/>
              </w:rPr>
              <w:t>15</w:t>
            </w:r>
          </w:p>
        </w:tc>
        <w:tc>
          <w:tcPr>
            <w:tcW w:w="810" w:type="dxa"/>
            <w:shd w:val="clear" w:color="auto" w:fill="F2F2F2" w:themeFill="background1" w:themeFillShade="F2"/>
          </w:tcPr>
          <w:p w14:paraId="403E3D66" w14:textId="77777777" w:rsidR="0006359E" w:rsidRPr="00F171A3" w:rsidRDefault="0006359E" w:rsidP="00F31936">
            <w:pPr>
              <w:jc w:val="center"/>
              <w:rPr>
                <w:i/>
                <w:color w:val="00B050"/>
                <w:sz w:val="20"/>
                <w:szCs w:val="20"/>
              </w:rPr>
            </w:pPr>
            <w:r w:rsidRPr="00F171A3">
              <w:rPr>
                <w:color w:val="00B050"/>
                <w:sz w:val="20"/>
                <w:szCs w:val="20"/>
              </w:rPr>
              <w:t>0</w:t>
            </w:r>
          </w:p>
        </w:tc>
        <w:tc>
          <w:tcPr>
            <w:tcW w:w="720" w:type="dxa"/>
            <w:shd w:val="clear" w:color="auto" w:fill="F2F2F2" w:themeFill="background1" w:themeFillShade="F2"/>
          </w:tcPr>
          <w:p w14:paraId="2EC63D6F" w14:textId="77777777" w:rsidR="0006359E" w:rsidRPr="00F171A3" w:rsidRDefault="0006359E" w:rsidP="00F31936">
            <w:pPr>
              <w:jc w:val="center"/>
              <w:rPr>
                <w:color w:val="00B050"/>
                <w:sz w:val="20"/>
                <w:szCs w:val="20"/>
              </w:rPr>
            </w:pPr>
            <w:r w:rsidRPr="00F171A3">
              <w:rPr>
                <w:color w:val="00B050"/>
                <w:sz w:val="20"/>
                <w:szCs w:val="20"/>
              </w:rPr>
              <w:t>19</w:t>
            </w:r>
          </w:p>
        </w:tc>
        <w:tc>
          <w:tcPr>
            <w:tcW w:w="810" w:type="dxa"/>
            <w:shd w:val="clear" w:color="auto" w:fill="F2F2F2" w:themeFill="background1" w:themeFillShade="F2"/>
          </w:tcPr>
          <w:p w14:paraId="062F9AD4" w14:textId="77777777" w:rsidR="0006359E" w:rsidRPr="00F171A3" w:rsidRDefault="0006359E" w:rsidP="00F31936">
            <w:pPr>
              <w:jc w:val="center"/>
              <w:rPr>
                <w:color w:val="00B050"/>
                <w:sz w:val="20"/>
                <w:szCs w:val="20"/>
              </w:rPr>
            </w:pPr>
            <w:r w:rsidRPr="00F171A3">
              <w:rPr>
                <w:color w:val="00B050"/>
                <w:sz w:val="20"/>
                <w:szCs w:val="20"/>
              </w:rPr>
              <w:t>19</w:t>
            </w:r>
          </w:p>
        </w:tc>
        <w:tc>
          <w:tcPr>
            <w:tcW w:w="720" w:type="dxa"/>
            <w:shd w:val="clear" w:color="auto" w:fill="F2F2F2" w:themeFill="background1" w:themeFillShade="F2"/>
          </w:tcPr>
          <w:p w14:paraId="6B535FC6" w14:textId="77777777" w:rsidR="0006359E" w:rsidRPr="00F171A3" w:rsidRDefault="0006359E" w:rsidP="00F31936">
            <w:pPr>
              <w:jc w:val="center"/>
              <w:rPr>
                <w:color w:val="00B050"/>
                <w:sz w:val="20"/>
                <w:szCs w:val="20"/>
              </w:rPr>
            </w:pPr>
            <w:r w:rsidRPr="00F171A3">
              <w:rPr>
                <w:color w:val="00B050"/>
                <w:sz w:val="20"/>
                <w:szCs w:val="20"/>
              </w:rPr>
              <w:t>17</w:t>
            </w:r>
          </w:p>
        </w:tc>
        <w:tc>
          <w:tcPr>
            <w:tcW w:w="810" w:type="dxa"/>
            <w:shd w:val="clear" w:color="auto" w:fill="F2F2F2" w:themeFill="background1" w:themeFillShade="F2"/>
          </w:tcPr>
          <w:p w14:paraId="788E27F0" w14:textId="77777777" w:rsidR="0006359E" w:rsidRPr="00F171A3" w:rsidRDefault="0006359E" w:rsidP="00F31936">
            <w:pPr>
              <w:jc w:val="center"/>
              <w:rPr>
                <w:color w:val="00B050"/>
                <w:sz w:val="20"/>
                <w:szCs w:val="20"/>
              </w:rPr>
            </w:pPr>
            <w:r w:rsidRPr="00F171A3">
              <w:rPr>
                <w:color w:val="00B050"/>
                <w:sz w:val="20"/>
                <w:szCs w:val="20"/>
              </w:rPr>
              <w:t>1</w:t>
            </w:r>
          </w:p>
        </w:tc>
        <w:tc>
          <w:tcPr>
            <w:tcW w:w="720" w:type="dxa"/>
            <w:shd w:val="clear" w:color="auto" w:fill="F2F2F2" w:themeFill="background1" w:themeFillShade="F2"/>
          </w:tcPr>
          <w:p w14:paraId="009F0985" w14:textId="77777777" w:rsidR="0006359E" w:rsidRPr="00F171A3" w:rsidRDefault="0006359E" w:rsidP="00F31936">
            <w:pPr>
              <w:jc w:val="center"/>
              <w:rPr>
                <w:color w:val="00B050"/>
                <w:sz w:val="20"/>
                <w:szCs w:val="20"/>
              </w:rPr>
            </w:pPr>
            <w:r w:rsidRPr="00F171A3">
              <w:rPr>
                <w:color w:val="00B050"/>
                <w:sz w:val="20"/>
                <w:szCs w:val="20"/>
              </w:rPr>
              <w:t>30</w:t>
            </w:r>
          </w:p>
        </w:tc>
        <w:tc>
          <w:tcPr>
            <w:tcW w:w="810" w:type="dxa"/>
            <w:shd w:val="clear" w:color="auto" w:fill="F2F2F2" w:themeFill="background1" w:themeFillShade="F2"/>
          </w:tcPr>
          <w:p w14:paraId="703CD302" w14:textId="77777777" w:rsidR="0006359E" w:rsidRPr="00F171A3" w:rsidRDefault="0006359E" w:rsidP="00F31936">
            <w:pPr>
              <w:jc w:val="center"/>
              <w:rPr>
                <w:color w:val="00B050"/>
                <w:sz w:val="20"/>
                <w:szCs w:val="20"/>
              </w:rPr>
            </w:pPr>
            <w:r w:rsidRPr="00F171A3">
              <w:rPr>
                <w:color w:val="00B050"/>
                <w:sz w:val="20"/>
                <w:szCs w:val="20"/>
              </w:rPr>
              <w:t>0</w:t>
            </w:r>
          </w:p>
        </w:tc>
        <w:tc>
          <w:tcPr>
            <w:tcW w:w="720" w:type="dxa"/>
            <w:shd w:val="clear" w:color="auto" w:fill="F2F2F2" w:themeFill="background1" w:themeFillShade="F2"/>
          </w:tcPr>
          <w:p w14:paraId="6877ED8F" w14:textId="77777777" w:rsidR="0006359E" w:rsidRPr="00F171A3" w:rsidRDefault="0006359E" w:rsidP="00F31936">
            <w:pPr>
              <w:jc w:val="center"/>
              <w:rPr>
                <w:color w:val="00B050"/>
                <w:sz w:val="20"/>
                <w:szCs w:val="20"/>
              </w:rPr>
            </w:pPr>
            <w:r w:rsidRPr="00F171A3">
              <w:rPr>
                <w:color w:val="00B050"/>
                <w:sz w:val="20"/>
                <w:szCs w:val="20"/>
              </w:rPr>
              <w:t>30</w:t>
            </w:r>
          </w:p>
        </w:tc>
        <w:tc>
          <w:tcPr>
            <w:tcW w:w="768" w:type="dxa"/>
            <w:shd w:val="clear" w:color="auto" w:fill="F2F2F2" w:themeFill="background1" w:themeFillShade="F2"/>
          </w:tcPr>
          <w:p w14:paraId="5BE179AA" w14:textId="77777777" w:rsidR="0006359E" w:rsidRPr="00F171A3" w:rsidRDefault="0006359E" w:rsidP="00F31936">
            <w:pPr>
              <w:jc w:val="center"/>
              <w:rPr>
                <w:color w:val="000000"/>
                <w:sz w:val="20"/>
                <w:szCs w:val="20"/>
              </w:rPr>
            </w:pPr>
          </w:p>
        </w:tc>
      </w:tr>
      <w:tr w:rsidR="0006359E" w:rsidRPr="00F171A3" w14:paraId="195035AA" w14:textId="77777777" w:rsidTr="00963E4C">
        <w:trPr>
          <w:cnfStyle w:val="000000100000" w:firstRow="0" w:lastRow="0" w:firstColumn="0" w:lastColumn="0" w:oddVBand="0" w:evenVBand="0" w:oddHBand="1" w:evenHBand="0" w:firstRowFirstColumn="0" w:firstRowLastColumn="0" w:lastRowFirstColumn="0" w:lastRowLastColumn="0"/>
          <w:trHeight w:val="288"/>
        </w:trPr>
        <w:tc>
          <w:tcPr>
            <w:tcW w:w="534" w:type="dxa"/>
            <w:tcBorders>
              <w:top w:val="none" w:sz="0" w:space="0" w:color="auto"/>
              <w:bottom w:val="none" w:sz="0" w:space="0" w:color="auto"/>
            </w:tcBorders>
            <w:shd w:val="clear" w:color="auto" w:fill="F2F2F2" w:themeFill="background1" w:themeFillShade="F2"/>
          </w:tcPr>
          <w:p w14:paraId="0A46012E" w14:textId="77777777" w:rsidR="0006359E" w:rsidRPr="00F171A3" w:rsidRDefault="0006359E" w:rsidP="00F31936">
            <w:pPr>
              <w:spacing w:after="0"/>
              <w:jc w:val="center"/>
              <w:rPr>
                <w:sz w:val="20"/>
                <w:szCs w:val="20"/>
              </w:rPr>
            </w:pPr>
            <w:r w:rsidRPr="00F171A3">
              <w:rPr>
                <w:sz w:val="20"/>
                <w:szCs w:val="20"/>
              </w:rPr>
              <w:t>2</w:t>
            </w:r>
          </w:p>
        </w:tc>
        <w:tc>
          <w:tcPr>
            <w:tcW w:w="1351" w:type="dxa"/>
            <w:tcBorders>
              <w:top w:val="none" w:sz="0" w:space="0" w:color="auto"/>
              <w:bottom w:val="none" w:sz="0" w:space="0" w:color="auto"/>
            </w:tcBorders>
            <w:shd w:val="clear" w:color="auto" w:fill="F2F2F2" w:themeFill="background1" w:themeFillShade="F2"/>
          </w:tcPr>
          <w:p w14:paraId="3AA7F2F1" w14:textId="77777777" w:rsidR="0006359E" w:rsidRPr="00F171A3" w:rsidRDefault="0006359E" w:rsidP="00F31936">
            <w:pPr>
              <w:spacing w:after="0"/>
              <w:jc w:val="center"/>
              <w:rPr>
                <w:rFonts w:eastAsia="Calibri" w:cs="Calibri"/>
                <w:color w:val="000000"/>
                <w:sz w:val="16"/>
                <w:szCs w:val="16"/>
              </w:rPr>
            </w:pPr>
            <w:r w:rsidRPr="00F171A3">
              <w:rPr>
                <w:color w:val="000000"/>
                <w:sz w:val="16"/>
                <w:szCs w:val="16"/>
              </w:rPr>
              <w:t>COMUNICARE ȘI TRANSPARENȚĂ DECIZIONALĂ</w:t>
            </w:r>
          </w:p>
        </w:tc>
        <w:tc>
          <w:tcPr>
            <w:tcW w:w="720" w:type="dxa"/>
            <w:tcBorders>
              <w:top w:val="none" w:sz="0" w:space="0" w:color="auto"/>
              <w:bottom w:val="none" w:sz="0" w:space="0" w:color="auto"/>
            </w:tcBorders>
            <w:shd w:val="clear" w:color="auto" w:fill="F2F2F2" w:themeFill="background1" w:themeFillShade="F2"/>
          </w:tcPr>
          <w:p w14:paraId="581FC7FD" w14:textId="77777777" w:rsidR="0006359E" w:rsidRPr="00F171A3" w:rsidRDefault="0006359E" w:rsidP="00F31936">
            <w:pPr>
              <w:jc w:val="center"/>
              <w:rPr>
                <w:i/>
                <w:color w:val="000000"/>
                <w:sz w:val="20"/>
                <w:szCs w:val="20"/>
              </w:rPr>
            </w:pPr>
            <w:r w:rsidRPr="00F171A3">
              <w:rPr>
                <w:color w:val="000000"/>
                <w:sz w:val="20"/>
                <w:szCs w:val="20"/>
              </w:rPr>
              <w:t>47</w:t>
            </w:r>
          </w:p>
        </w:tc>
        <w:tc>
          <w:tcPr>
            <w:tcW w:w="810" w:type="dxa"/>
            <w:tcBorders>
              <w:top w:val="none" w:sz="0" w:space="0" w:color="auto"/>
              <w:bottom w:val="none" w:sz="0" w:space="0" w:color="auto"/>
            </w:tcBorders>
            <w:shd w:val="clear" w:color="auto" w:fill="F2F2F2" w:themeFill="background1" w:themeFillShade="F2"/>
          </w:tcPr>
          <w:p w14:paraId="564816D7" w14:textId="77777777" w:rsidR="0006359E" w:rsidRPr="00F171A3" w:rsidRDefault="0006359E" w:rsidP="00F31936">
            <w:pPr>
              <w:jc w:val="center"/>
              <w:rPr>
                <w:i/>
                <w:color w:val="000000"/>
                <w:sz w:val="20"/>
                <w:szCs w:val="20"/>
              </w:rPr>
            </w:pPr>
            <w:r w:rsidRPr="00F171A3">
              <w:rPr>
                <w:color w:val="000000"/>
                <w:sz w:val="20"/>
                <w:szCs w:val="20"/>
              </w:rPr>
              <w:t>46</w:t>
            </w:r>
          </w:p>
        </w:tc>
        <w:tc>
          <w:tcPr>
            <w:tcW w:w="720" w:type="dxa"/>
            <w:tcBorders>
              <w:top w:val="none" w:sz="0" w:space="0" w:color="auto"/>
              <w:bottom w:val="none" w:sz="0" w:space="0" w:color="auto"/>
            </w:tcBorders>
            <w:shd w:val="clear" w:color="auto" w:fill="F2F2F2" w:themeFill="background1" w:themeFillShade="F2"/>
          </w:tcPr>
          <w:p w14:paraId="26A11F75" w14:textId="77777777" w:rsidR="0006359E" w:rsidRPr="00F171A3" w:rsidRDefault="0006359E" w:rsidP="00F31936">
            <w:pPr>
              <w:jc w:val="center"/>
              <w:rPr>
                <w:color w:val="000000"/>
                <w:sz w:val="20"/>
                <w:szCs w:val="20"/>
              </w:rPr>
            </w:pPr>
            <w:r w:rsidRPr="00F171A3">
              <w:rPr>
                <w:color w:val="000000"/>
                <w:sz w:val="20"/>
                <w:szCs w:val="20"/>
              </w:rPr>
              <w:t>48</w:t>
            </w:r>
          </w:p>
        </w:tc>
        <w:tc>
          <w:tcPr>
            <w:tcW w:w="810" w:type="dxa"/>
            <w:tcBorders>
              <w:top w:val="none" w:sz="0" w:space="0" w:color="auto"/>
              <w:bottom w:val="none" w:sz="0" w:space="0" w:color="auto"/>
            </w:tcBorders>
            <w:shd w:val="clear" w:color="auto" w:fill="F2F2F2" w:themeFill="background1" w:themeFillShade="F2"/>
          </w:tcPr>
          <w:p w14:paraId="0E408DD2" w14:textId="77777777" w:rsidR="0006359E" w:rsidRPr="00F171A3" w:rsidRDefault="0006359E" w:rsidP="00F31936">
            <w:pPr>
              <w:jc w:val="center"/>
              <w:rPr>
                <w:color w:val="000000"/>
                <w:sz w:val="20"/>
                <w:szCs w:val="20"/>
              </w:rPr>
            </w:pPr>
            <w:r w:rsidRPr="00F171A3">
              <w:rPr>
                <w:color w:val="000000"/>
                <w:sz w:val="20"/>
                <w:szCs w:val="20"/>
              </w:rPr>
              <w:t>44</w:t>
            </w:r>
          </w:p>
        </w:tc>
        <w:tc>
          <w:tcPr>
            <w:tcW w:w="720" w:type="dxa"/>
            <w:tcBorders>
              <w:top w:val="none" w:sz="0" w:space="0" w:color="auto"/>
              <w:bottom w:val="none" w:sz="0" w:space="0" w:color="auto"/>
            </w:tcBorders>
            <w:shd w:val="clear" w:color="auto" w:fill="F2F2F2" w:themeFill="background1" w:themeFillShade="F2"/>
          </w:tcPr>
          <w:p w14:paraId="5D8D5B3F" w14:textId="77777777" w:rsidR="0006359E" w:rsidRPr="00F171A3" w:rsidRDefault="0006359E" w:rsidP="00F31936">
            <w:pPr>
              <w:jc w:val="center"/>
              <w:rPr>
                <w:color w:val="000000"/>
                <w:sz w:val="20"/>
                <w:szCs w:val="20"/>
              </w:rPr>
            </w:pPr>
            <w:r w:rsidRPr="00F171A3">
              <w:rPr>
                <w:color w:val="000000"/>
                <w:sz w:val="20"/>
                <w:szCs w:val="20"/>
              </w:rPr>
              <w:t>45</w:t>
            </w:r>
          </w:p>
        </w:tc>
        <w:tc>
          <w:tcPr>
            <w:tcW w:w="810" w:type="dxa"/>
            <w:tcBorders>
              <w:top w:val="none" w:sz="0" w:space="0" w:color="auto"/>
              <w:bottom w:val="none" w:sz="0" w:space="0" w:color="auto"/>
            </w:tcBorders>
            <w:shd w:val="clear" w:color="auto" w:fill="F2F2F2" w:themeFill="background1" w:themeFillShade="F2"/>
          </w:tcPr>
          <w:p w14:paraId="12F2754D" w14:textId="77777777" w:rsidR="0006359E" w:rsidRPr="00F171A3" w:rsidRDefault="0006359E" w:rsidP="00F31936">
            <w:pPr>
              <w:jc w:val="center"/>
              <w:rPr>
                <w:color w:val="000000"/>
                <w:sz w:val="20"/>
                <w:szCs w:val="20"/>
              </w:rPr>
            </w:pPr>
            <w:r w:rsidRPr="00F171A3">
              <w:rPr>
                <w:color w:val="000000"/>
                <w:sz w:val="20"/>
                <w:szCs w:val="20"/>
              </w:rPr>
              <w:t>30</w:t>
            </w:r>
          </w:p>
        </w:tc>
        <w:tc>
          <w:tcPr>
            <w:tcW w:w="720" w:type="dxa"/>
            <w:tcBorders>
              <w:top w:val="none" w:sz="0" w:space="0" w:color="auto"/>
              <w:bottom w:val="none" w:sz="0" w:space="0" w:color="auto"/>
            </w:tcBorders>
            <w:shd w:val="clear" w:color="auto" w:fill="F2F2F2" w:themeFill="background1" w:themeFillShade="F2"/>
          </w:tcPr>
          <w:p w14:paraId="7A8AD6A6" w14:textId="77777777" w:rsidR="0006359E" w:rsidRPr="00F171A3" w:rsidRDefault="0006359E" w:rsidP="00F31936">
            <w:pPr>
              <w:jc w:val="center"/>
              <w:rPr>
                <w:color w:val="000000"/>
                <w:sz w:val="20"/>
                <w:szCs w:val="20"/>
              </w:rPr>
            </w:pPr>
            <w:r w:rsidRPr="00F171A3">
              <w:rPr>
                <w:color w:val="000000"/>
                <w:sz w:val="20"/>
                <w:szCs w:val="20"/>
              </w:rPr>
              <w:t>46</w:t>
            </w:r>
          </w:p>
        </w:tc>
        <w:tc>
          <w:tcPr>
            <w:tcW w:w="810" w:type="dxa"/>
            <w:tcBorders>
              <w:top w:val="none" w:sz="0" w:space="0" w:color="auto"/>
              <w:bottom w:val="none" w:sz="0" w:space="0" w:color="auto"/>
            </w:tcBorders>
            <w:shd w:val="clear" w:color="auto" w:fill="F2F2F2" w:themeFill="background1" w:themeFillShade="F2"/>
          </w:tcPr>
          <w:p w14:paraId="3B5989AD" w14:textId="77777777" w:rsidR="0006359E" w:rsidRPr="00F171A3" w:rsidRDefault="0006359E" w:rsidP="00F31936">
            <w:pPr>
              <w:jc w:val="center"/>
              <w:rPr>
                <w:color w:val="000000"/>
                <w:sz w:val="20"/>
                <w:szCs w:val="20"/>
              </w:rPr>
            </w:pPr>
            <w:r w:rsidRPr="00F171A3">
              <w:rPr>
                <w:color w:val="000000"/>
                <w:sz w:val="20"/>
                <w:szCs w:val="20"/>
              </w:rPr>
              <w:t>63</w:t>
            </w:r>
          </w:p>
        </w:tc>
        <w:tc>
          <w:tcPr>
            <w:tcW w:w="720" w:type="dxa"/>
            <w:tcBorders>
              <w:top w:val="none" w:sz="0" w:space="0" w:color="auto"/>
              <w:bottom w:val="none" w:sz="0" w:space="0" w:color="auto"/>
            </w:tcBorders>
            <w:shd w:val="clear" w:color="auto" w:fill="F2F2F2" w:themeFill="background1" w:themeFillShade="F2"/>
          </w:tcPr>
          <w:p w14:paraId="750396EC" w14:textId="77777777" w:rsidR="0006359E" w:rsidRPr="00F171A3" w:rsidRDefault="0006359E" w:rsidP="00F31936">
            <w:pPr>
              <w:jc w:val="center"/>
              <w:rPr>
                <w:color w:val="000000"/>
                <w:sz w:val="20"/>
                <w:szCs w:val="20"/>
              </w:rPr>
            </w:pPr>
            <w:r w:rsidRPr="00F171A3">
              <w:rPr>
                <w:color w:val="000000"/>
                <w:sz w:val="20"/>
                <w:szCs w:val="20"/>
              </w:rPr>
              <w:t>42</w:t>
            </w:r>
          </w:p>
        </w:tc>
        <w:tc>
          <w:tcPr>
            <w:tcW w:w="768" w:type="dxa"/>
            <w:tcBorders>
              <w:top w:val="none" w:sz="0" w:space="0" w:color="auto"/>
              <w:bottom w:val="none" w:sz="0" w:space="0" w:color="auto"/>
            </w:tcBorders>
            <w:shd w:val="clear" w:color="auto" w:fill="F2F2F2" w:themeFill="background1" w:themeFillShade="F2"/>
          </w:tcPr>
          <w:p w14:paraId="25C1DD36" w14:textId="77777777" w:rsidR="0006359E" w:rsidRPr="00F171A3" w:rsidRDefault="0006359E" w:rsidP="00F31936">
            <w:pPr>
              <w:jc w:val="center"/>
              <w:rPr>
                <w:color w:val="000000"/>
                <w:sz w:val="20"/>
                <w:szCs w:val="20"/>
              </w:rPr>
            </w:pPr>
          </w:p>
        </w:tc>
      </w:tr>
      <w:tr w:rsidR="0006359E" w:rsidRPr="00F171A3" w14:paraId="03750103" w14:textId="77777777" w:rsidTr="00963E4C">
        <w:trPr>
          <w:trHeight w:val="288"/>
        </w:trPr>
        <w:tc>
          <w:tcPr>
            <w:tcW w:w="534" w:type="dxa"/>
            <w:shd w:val="clear" w:color="auto" w:fill="F2F2F2" w:themeFill="background1" w:themeFillShade="F2"/>
          </w:tcPr>
          <w:p w14:paraId="35277474" w14:textId="77777777" w:rsidR="0006359E" w:rsidRPr="00F171A3" w:rsidRDefault="0006359E" w:rsidP="00F31936">
            <w:pPr>
              <w:spacing w:after="0"/>
              <w:jc w:val="center"/>
              <w:rPr>
                <w:sz w:val="20"/>
                <w:szCs w:val="20"/>
              </w:rPr>
            </w:pPr>
            <w:r w:rsidRPr="00F171A3">
              <w:rPr>
                <w:sz w:val="20"/>
                <w:szCs w:val="20"/>
              </w:rPr>
              <w:t>3</w:t>
            </w:r>
          </w:p>
        </w:tc>
        <w:tc>
          <w:tcPr>
            <w:tcW w:w="1351" w:type="dxa"/>
            <w:shd w:val="clear" w:color="auto" w:fill="F2F2F2" w:themeFill="background1" w:themeFillShade="F2"/>
          </w:tcPr>
          <w:p w14:paraId="45AB5ABC" w14:textId="77777777" w:rsidR="0006359E" w:rsidRPr="00F171A3" w:rsidRDefault="0006359E" w:rsidP="00F31936">
            <w:pPr>
              <w:spacing w:after="0"/>
              <w:jc w:val="center"/>
              <w:rPr>
                <w:color w:val="000000"/>
                <w:sz w:val="16"/>
                <w:szCs w:val="16"/>
              </w:rPr>
            </w:pPr>
            <w:r w:rsidRPr="00F171A3">
              <w:rPr>
                <w:color w:val="000000"/>
                <w:sz w:val="16"/>
                <w:szCs w:val="16"/>
              </w:rPr>
              <w:t>DEZVOLTARE PERSONALĂ</w:t>
            </w:r>
          </w:p>
        </w:tc>
        <w:tc>
          <w:tcPr>
            <w:tcW w:w="720" w:type="dxa"/>
            <w:shd w:val="clear" w:color="auto" w:fill="F2F2F2" w:themeFill="background1" w:themeFillShade="F2"/>
          </w:tcPr>
          <w:p w14:paraId="59C4BAE8" w14:textId="77777777" w:rsidR="0006359E" w:rsidRPr="00F171A3" w:rsidRDefault="0006359E" w:rsidP="00F31936">
            <w:pPr>
              <w:jc w:val="center"/>
              <w:rPr>
                <w:i/>
                <w:color w:val="000000"/>
                <w:sz w:val="20"/>
                <w:szCs w:val="20"/>
              </w:rPr>
            </w:pPr>
            <w:r w:rsidRPr="00F171A3">
              <w:rPr>
                <w:color w:val="000000"/>
                <w:sz w:val="20"/>
                <w:szCs w:val="20"/>
              </w:rPr>
              <w:t>42</w:t>
            </w:r>
          </w:p>
        </w:tc>
        <w:tc>
          <w:tcPr>
            <w:tcW w:w="810" w:type="dxa"/>
            <w:shd w:val="clear" w:color="auto" w:fill="F2F2F2" w:themeFill="background1" w:themeFillShade="F2"/>
          </w:tcPr>
          <w:p w14:paraId="6B434399" w14:textId="77777777" w:rsidR="0006359E" w:rsidRPr="00F171A3" w:rsidRDefault="0006359E" w:rsidP="00F31936">
            <w:pPr>
              <w:jc w:val="center"/>
              <w:rPr>
                <w:i/>
                <w:color w:val="000000"/>
                <w:sz w:val="20"/>
                <w:szCs w:val="20"/>
              </w:rPr>
            </w:pPr>
            <w:r w:rsidRPr="00F171A3">
              <w:rPr>
                <w:color w:val="000000"/>
                <w:sz w:val="20"/>
                <w:szCs w:val="20"/>
              </w:rPr>
              <w:t>43</w:t>
            </w:r>
          </w:p>
        </w:tc>
        <w:tc>
          <w:tcPr>
            <w:tcW w:w="720" w:type="dxa"/>
            <w:shd w:val="clear" w:color="auto" w:fill="F2F2F2" w:themeFill="background1" w:themeFillShade="F2"/>
          </w:tcPr>
          <w:p w14:paraId="0E854550" w14:textId="77777777" w:rsidR="0006359E" w:rsidRPr="00F171A3" w:rsidRDefault="0006359E" w:rsidP="00F31936">
            <w:pPr>
              <w:jc w:val="center"/>
              <w:rPr>
                <w:color w:val="000000"/>
                <w:sz w:val="20"/>
                <w:szCs w:val="20"/>
              </w:rPr>
            </w:pPr>
            <w:r w:rsidRPr="00F171A3">
              <w:rPr>
                <w:color w:val="000000"/>
                <w:sz w:val="20"/>
                <w:szCs w:val="20"/>
              </w:rPr>
              <w:t>68</w:t>
            </w:r>
          </w:p>
        </w:tc>
        <w:tc>
          <w:tcPr>
            <w:tcW w:w="810" w:type="dxa"/>
            <w:shd w:val="clear" w:color="auto" w:fill="F2F2F2" w:themeFill="background1" w:themeFillShade="F2"/>
          </w:tcPr>
          <w:p w14:paraId="29C0C3F0" w14:textId="77777777" w:rsidR="0006359E" w:rsidRPr="00F171A3" w:rsidRDefault="0006359E" w:rsidP="00F31936">
            <w:pPr>
              <w:jc w:val="center"/>
              <w:rPr>
                <w:color w:val="000000"/>
                <w:sz w:val="20"/>
                <w:szCs w:val="20"/>
              </w:rPr>
            </w:pPr>
            <w:r w:rsidRPr="00F171A3">
              <w:rPr>
                <w:color w:val="000000"/>
                <w:sz w:val="20"/>
                <w:szCs w:val="20"/>
              </w:rPr>
              <w:t>63</w:t>
            </w:r>
          </w:p>
        </w:tc>
        <w:tc>
          <w:tcPr>
            <w:tcW w:w="720" w:type="dxa"/>
            <w:shd w:val="clear" w:color="auto" w:fill="F2F2F2" w:themeFill="background1" w:themeFillShade="F2"/>
          </w:tcPr>
          <w:p w14:paraId="632998AA" w14:textId="77777777" w:rsidR="0006359E" w:rsidRPr="00F171A3" w:rsidRDefault="0006359E" w:rsidP="00F31936">
            <w:pPr>
              <w:jc w:val="center"/>
              <w:rPr>
                <w:color w:val="000000"/>
                <w:sz w:val="20"/>
                <w:szCs w:val="20"/>
              </w:rPr>
            </w:pPr>
            <w:r w:rsidRPr="00F171A3">
              <w:rPr>
                <w:color w:val="000000"/>
                <w:sz w:val="20"/>
                <w:szCs w:val="20"/>
              </w:rPr>
              <w:t>43</w:t>
            </w:r>
          </w:p>
        </w:tc>
        <w:tc>
          <w:tcPr>
            <w:tcW w:w="810" w:type="dxa"/>
            <w:shd w:val="clear" w:color="auto" w:fill="F2F2F2" w:themeFill="background1" w:themeFillShade="F2"/>
          </w:tcPr>
          <w:p w14:paraId="4DD2A0BA" w14:textId="77777777" w:rsidR="0006359E" w:rsidRPr="00F171A3" w:rsidRDefault="0006359E" w:rsidP="00F31936">
            <w:pPr>
              <w:jc w:val="center"/>
              <w:rPr>
                <w:color w:val="000000"/>
                <w:sz w:val="20"/>
                <w:szCs w:val="20"/>
              </w:rPr>
            </w:pPr>
            <w:r w:rsidRPr="00F171A3">
              <w:rPr>
                <w:color w:val="000000"/>
                <w:sz w:val="20"/>
                <w:szCs w:val="20"/>
              </w:rPr>
              <w:t>0</w:t>
            </w:r>
          </w:p>
        </w:tc>
        <w:tc>
          <w:tcPr>
            <w:tcW w:w="720" w:type="dxa"/>
            <w:shd w:val="clear" w:color="auto" w:fill="F2F2F2" w:themeFill="background1" w:themeFillShade="F2"/>
          </w:tcPr>
          <w:p w14:paraId="246CD9C9" w14:textId="77777777" w:rsidR="0006359E" w:rsidRPr="00F171A3" w:rsidRDefault="0006359E" w:rsidP="00F31936">
            <w:pPr>
              <w:jc w:val="center"/>
              <w:rPr>
                <w:color w:val="000000"/>
                <w:sz w:val="20"/>
                <w:szCs w:val="20"/>
              </w:rPr>
            </w:pPr>
            <w:r w:rsidRPr="00F171A3">
              <w:rPr>
                <w:color w:val="000000"/>
                <w:sz w:val="20"/>
                <w:szCs w:val="20"/>
              </w:rPr>
              <w:t>41</w:t>
            </w:r>
          </w:p>
        </w:tc>
        <w:tc>
          <w:tcPr>
            <w:tcW w:w="810" w:type="dxa"/>
            <w:shd w:val="clear" w:color="auto" w:fill="F2F2F2" w:themeFill="background1" w:themeFillShade="F2"/>
          </w:tcPr>
          <w:p w14:paraId="7EEBC22B" w14:textId="77777777" w:rsidR="0006359E" w:rsidRPr="00F171A3" w:rsidRDefault="0006359E" w:rsidP="00F31936">
            <w:pPr>
              <w:jc w:val="center"/>
              <w:rPr>
                <w:color w:val="000000"/>
                <w:sz w:val="20"/>
                <w:szCs w:val="20"/>
              </w:rPr>
            </w:pPr>
            <w:r w:rsidRPr="00F171A3">
              <w:rPr>
                <w:color w:val="000000"/>
                <w:sz w:val="20"/>
                <w:szCs w:val="20"/>
              </w:rPr>
              <w:t>41</w:t>
            </w:r>
          </w:p>
        </w:tc>
        <w:tc>
          <w:tcPr>
            <w:tcW w:w="720" w:type="dxa"/>
            <w:shd w:val="clear" w:color="auto" w:fill="F2F2F2" w:themeFill="background1" w:themeFillShade="F2"/>
          </w:tcPr>
          <w:p w14:paraId="3584D6C5" w14:textId="77777777" w:rsidR="0006359E" w:rsidRPr="00F171A3" w:rsidRDefault="0006359E" w:rsidP="00F31936">
            <w:pPr>
              <w:jc w:val="center"/>
              <w:rPr>
                <w:color w:val="000000"/>
                <w:sz w:val="20"/>
                <w:szCs w:val="20"/>
              </w:rPr>
            </w:pPr>
            <w:r w:rsidRPr="00F171A3">
              <w:rPr>
                <w:color w:val="000000"/>
                <w:sz w:val="20"/>
                <w:szCs w:val="20"/>
              </w:rPr>
              <w:t>46</w:t>
            </w:r>
          </w:p>
        </w:tc>
        <w:tc>
          <w:tcPr>
            <w:tcW w:w="768" w:type="dxa"/>
            <w:shd w:val="clear" w:color="auto" w:fill="F2F2F2" w:themeFill="background1" w:themeFillShade="F2"/>
          </w:tcPr>
          <w:p w14:paraId="443013D1" w14:textId="77777777" w:rsidR="0006359E" w:rsidRPr="00F171A3" w:rsidRDefault="0006359E" w:rsidP="00F31936">
            <w:pPr>
              <w:jc w:val="center"/>
              <w:rPr>
                <w:color w:val="000000"/>
                <w:sz w:val="20"/>
                <w:szCs w:val="20"/>
              </w:rPr>
            </w:pPr>
          </w:p>
        </w:tc>
      </w:tr>
      <w:tr w:rsidR="0006359E" w:rsidRPr="00F171A3" w14:paraId="17ADEDC6" w14:textId="77777777" w:rsidTr="00963E4C">
        <w:trPr>
          <w:cnfStyle w:val="000000100000" w:firstRow="0" w:lastRow="0" w:firstColumn="0" w:lastColumn="0" w:oddVBand="0" w:evenVBand="0" w:oddHBand="1" w:evenHBand="0" w:firstRowFirstColumn="0" w:firstRowLastColumn="0" w:lastRowFirstColumn="0" w:lastRowLastColumn="0"/>
          <w:trHeight w:val="288"/>
        </w:trPr>
        <w:tc>
          <w:tcPr>
            <w:tcW w:w="534" w:type="dxa"/>
            <w:tcBorders>
              <w:top w:val="none" w:sz="0" w:space="0" w:color="auto"/>
              <w:bottom w:val="none" w:sz="0" w:space="0" w:color="auto"/>
            </w:tcBorders>
            <w:shd w:val="clear" w:color="auto" w:fill="F2F2F2" w:themeFill="background1" w:themeFillShade="F2"/>
          </w:tcPr>
          <w:p w14:paraId="3AB47987" w14:textId="77777777" w:rsidR="0006359E" w:rsidRPr="00F171A3" w:rsidRDefault="0006359E" w:rsidP="00F31936">
            <w:pPr>
              <w:spacing w:after="0"/>
              <w:jc w:val="center"/>
              <w:rPr>
                <w:sz w:val="20"/>
                <w:szCs w:val="20"/>
              </w:rPr>
            </w:pPr>
            <w:r w:rsidRPr="00F171A3">
              <w:rPr>
                <w:sz w:val="20"/>
                <w:szCs w:val="20"/>
              </w:rPr>
              <w:t>4</w:t>
            </w:r>
          </w:p>
        </w:tc>
        <w:tc>
          <w:tcPr>
            <w:tcW w:w="1351" w:type="dxa"/>
            <w:tcBorders>
              <w:top w:val="none" w:sz="0" w:space="0" w:color="auto"/>
              <w:bottom w:val="none" w:sz="0" w:space="0" w:color="auto"/>
            </w:tcBorders>
            <w:shd w:val="clear" w:color="auto" w:fill="F2F2F2" w:themeFill="background1" w:themeFillShade="F2"/>
          </w:tcPr>
          <w:p w14:paraId="38A6F4AE" w14:textId="77777777" w:rsidR="0006359E" w:rsidRPr="00F171A3" w:rsidRDefault="0006359E" w:rsidP="00F31936">
            <w:pPr>
              <w:spacing w:after="0"/>
              <w:jc w:val="center"/>
              <w:rPr>
                <w:color w:val="000000"/>
                <w:sz w:val="16"/>
                <w:szCs w:val="16"/>
              </w:rPr>
            </w:pPr>
            <w:r w:rsidRPr="00F171A3">
              <w:rPr>
                <w:color w:val="000000"/>
                <w:sz w:val="16"/>
                <w:szCs w:val="16"/>
              </w:rPr>
              <w:t>DEZVOLTARE REGIONALĂ DURABILĂ</w:t>
            </w:r>
          </w:p>
        </w:tc>
        <w:tc>
          <w:tcPr>
            <w:tcW w:w="720" w:type="dxa"/>
            <w:tcBorders>
              <w:top w:val="none" w:sz="0" w:space="0" w:color="auto"/>
              <w:bottom w:val="none" w:sz="0" w:space="0" w:color="auto"/>
            </w:tcBorders>
            <w:shd w:val="clear" w:color="auto" w:fill="F2F2F2" w:themeFill="background1" w:themeFillShade="F2"/>
          </w:tcPr>
          <w:p w14:paraId="7805795F" w14:textId="77777777" w:rsidR="0006359E" w:rsidRPr="00F171A3" w:rsidRDefault="0006359E" w:rsidP="00F31936">
            <w:pPr>
              <w:jc w:val="center"/>
              <w:rPr>
                <w:i/>
                <w:color w:val="000000"/>
                <w:sz w:val="20"/>
                <w:szCs w:val="20"/>
              </w:rPr>
            </w:pPr>
            <w:r w:rsidRPr="00F171A3">
              <w:rPr>
                <w:color w:val="000000"/>
                <w:sz w:val="20"/>
                <w:szCs w:val="20"/>
              </w:rPr>
              <w:t>18</w:t>
            </w:r>
          </w:p>
        </w:tc>
        <w:tc>
          <w:tcPr>
            <w:tcW w:w="810" w:type="dxa"/>
            <w:tcBorders>
              <w:top w:val="none" w:sz="0" w:space="0" w:color="auto"/>
              <w:bottom w:val="none" w:sz="0" w:space="0" w:color="auto"/>
            </w:tcBorders>
            <w:shd w:val="clear" w:color="auto" w:fill="F2F2F2" w:themeFill="background1" w:themeFillShade="F2"/>
          </w:tcPr>
          <w:p w14:paraId="050E1A44" w14:textId="77777777" w:rsidR="0006359E" w:rsidRPr="00F171A3" w:rsidRDefault="0006359E" w:rsidP="00F31936">
            <w:pPr>
              <w:jc w:val="center"/>
              <w:rPr>
                <w:i/>
                <w:color w:val="000000"/>
                <w:sz w:val="20"/>
                <w:szCs w:val="20"/>
              </w:rPr>
            </w:pPr>
            <w:r w:rsidRPr="00F171A3">
              <w:rPr>
                <w:color w:val="000000"/>
                <w:sz w:val="20"/>
                <w:szCs w:val="20"/>
              </w:rPr>
              <w:t>0</w:t>
            </w:r>
          </w:p>
        </w:tc>
        <w:tc>
          <w:tcPr>
            <w:tcW w:w="720" w:type="dxa"/>
            <w:tcBorders>
              <w:top w:val="none" w:sz="0" w:space="0" w:color="auto"/>
              <w:bottom w:val="none" w:sz="0" w:space="0" w:color="auto"/>
            </w:tcBorders>
            <w:shd w:val="clear" w:color="auto" w:fill="F2F2F2" w:themeFill="background1" w:themeFillShade="F2"/>
          </w:tcPr>
          <w:p w14:paraId="091253C9" w14:textId="77777777" w:rsidR="0006359E" w:rsidRPr="00F171A3" w:rsidRDefault="0006359E" w:rsidP="00F31936">
            <w:pPr>
              <w:jc w:val="center"/>
              <w:rPr>
                <w:color w:val="000000"/>
                <w:sz w:val="20"/>
                <w:szCs w:val="20"/>
              </w:rPr>
            </w:pPr>
            <w:r w:rsidRPr="00F171A3">
              <w:rPr>
                <w:color w:val="000000"/>
                <w:sz w:val="20"/>
                <w:szCs w:val="20"/>
              </w:rPr>
              <w:t>18</w:t>
            </w:r>
          </w:p>
        </w:tc>
        <w:tc>
          <w:tcPr>
            <w:tcW w:w="810" w:type="dxa"/>
            <w:tcBorders>
              <w:top w:val="none" w:sz="0" w:space="0" w:color="auto"/>
              <w:bottom w:val="none" w:sz="0" w:space="0" w:color="auto"/>
            </w:tcBorders>
            <w:shd w:val="clear" w:color="auto" w:fill="F2F2F2" w:themeFill="background1" w:themeFillShade="F2"/>
          </w:tcPr>
          <w:p w14:paraId="1F24F886" w14:textId="77777777" w:rsidR="0006359E" w:rsidRPr="00F171A3" w:rsidRDefault="0006359E" w:rsidP="00F31936">
            <w:pPr>
              <w:jc w:val="center"/>
              <w:rPr>
                <w:color w:val="000000"/>
                <w:sz w:val="20"/>
                <w:szCs w:val="20"/>
              </w:rPr>
            </w:pPr>
            <w:r w:rsidRPr="00F171A3">
              <w:rPr>
                <w:color w:val="000000"/>
                <w:sz w:val="20"/>
                <w:szCs w:val="20"/>
              </w:rPr>
              <w:t>8</w:t>
            </w:r>
          </w:p>
        </w:tc>
        <w:tc>
          <w:tcPr>
            <w:tcW w:w="720" w:type="dxa"/>
            <w:tcBorders>
              <w:top w:val="none" w:sz="0" w:space="0" w:color="auto"/>
              <w:bottom w:val="none" w:sz="0" w:space="0" w:color="auto"/>
            </w:tcBorders>
            <w:shd w:val="clear" w:color="auto" w:fill="F2F2F2" w:themeFill="background1" w:themeFillShade="F2"/>
          </w:tcPr>
          <w:p w14:paraId="685EF07D" w14:textId="77777777" w:rsidR="0006359E" w:rsidRPr="00F171A3" w:rsidRDefault="0006359E" w:rsidP="00F31936">
            <w:pPr>
              <w:jc w:val="center"/>
              <w:rPr>
                <w:color w:val="000000"/>
                <w:sz w:val="20"/>
                <w:szCs w:val="20"/>
              </w:rPr>
            </w:pPr>
            <w:r w:rsidRPr="00F171A3">
              <w:rPr>
                <w:color w:val="000000"/>
                <w:sz w:val="20"/>
                <w:szCs w:val="20"/>
              </w:rPr>
              <w:t>0</w:t>
            </w:r>
          </w:p>
        </w:tc>
        <w:tc>
          <w:tcPr>
            <w:tcW w:w="810" w:type="dxa"/>
            <w:tcBorders>
              <w:top w:val="none" w:sz="0" w:space="0" w:color="auto"/>
              <w:bottom w:val="none" w:sz="0" w:space="0" w:color="auto"/>
            </w:tcBorders>
            <w:shd w:val="clear" w:color="auto" w:fill="F2F2F2" w:themeFill="background1" w:themeFillShade="F2"/>
          </w:tcPr>
          <w:p w14:paraId="1D3CD403" w14:textId="77777777" w:rsidR="0006359E" w:rsidRPr="00F171A3" w:rsidRDefault="0006359E" w:rsidP="00F31936">
            <w:pPr>
              <w:jc w:val="center"/>
              <w:rPr>
                <w:color w:val="000000"/>
                <w:sz w:val="20"/>
                <w:szCs w:val="20"/>
              </w:rPr>
            </w:pPr>
            <w:r w:rsidRPr="00F171A3">
              <w:rPr>
                <w:color w:val="000000"/>
                <w:sz w:val="20"/>
                <w:szCs w:val="20"/>
              </w:rPr>
              <w:t>0</w:t>
            </w:r>
          </w:p>
        </w:tc>
        <w:tc>
          <w:tcPr>
            <w:tcW w:w="720" w:type="dxa"/>
            <w:tcBorders>
              <w:top w:val="none" w:sz="0" w:space="0" w:color="auto"/>
              <w:bottom w:val="none" w:sz="0" w:space="0" w:color="auto"/>
            </w:tcBorders>
            <w:shd w:val="clear" w:color="auto" w:fill="F2F2F2" w:themeFill="background1" w:themeFillShade="F2"/>
          </w:tcPr>
          <w:p w14:paraId="419E4072" w14:textId="77777777" w:rsidR="0006359E" w:rsidRPr="00F171A3" w:rsidRDefault="0006359E" w:rsidP="00F31936">
            <w:pPr>
              <w:jc w:val="center"/>
              <w:rPr>
                <w:color w:val="000000"/>
                <w:sz w:val="20"/>
                <w:szCs w:val="20"/>
              </w:rPr>
            </w:pPr>
            <w:r w:rsidRPr="00F171A3">
              <w:rPr>
                <w:color w:val="000000"/>
                <w:sz w:val="20"/>
                <w:szCs w:val="20"/>
              </w:rPr>
              <w:t>30</w:t>
            </w:r>
          </w:p>
        </w:tc>
        <w:tc>
          <w:tcPr>
            <w:tcW w:w="810" w:type="dxa"/>
            <w:tcBorders>
              <w:top w:val="none" w:sz="0" w:space="0" w:color="auto"/>
              <w:bottom w:val="none" w:sz="0" w:space="0" w:color="auto"/>
            </w:tcBorders>
            <w:shd w:val="clear" w:color="auto" w:fill="F2F2F2" w:themeFill="background1" w:themeFillShade="F2"/>
          </w:tcPr>
          <w:p w14:paraId="6F1B2895" w14:textId="77777777" w:rsidR="0006359E" w:rsidRPr="00F171A3" w:rsidRDefault="0006359E" w:rsidP="00F31936">
            <w:pPr>
              <w:jc w:val="center"/>
              <w:rPr>
                <w:color w:val="000000"/>
                <w:sz w:val="20"/>
                <w:szCs w:val="20"/>
              </w:rPr>
            </w:pPr>
            <w:r w:rsidRPr="00F171A3">
              <w:rPr>
                <w:color w:val="000000"/>
                <w:sz w:val="20"/>
                <w:szCs w:val="20"/>
              </w:rPr>
              <w:t>22</w:t>
            </w:r>
          </w:p>
        </w:tc>
        <w:tc>
          <w:tcPr>
            <w:tcW w:w="720" w:type="dxa"/>
            <w:tcBorders>
              <w:top w:val="none" w:sz="0" w:space="0" w:color="auto"/>
              <w:bottom w:val="none" w:sz="0" w:space="0" w:color="auto"/>
            </w:tcBorders>
            <w:shd w:val="clear" w:color="auto" w:fill="F2F2F2" w:themeFill="background1" w:themeFillShade="F2"/>
          </w:tcPr>
          <w:p w14:paraId="7FF0CDCB" w14:textId="77777777" w:rsidR="0006359E" w:rsidRPr="00F171A3" w:rsidRDefault="0006359E" w:rsidP="00F31936">
            <w:pPr>
              <w:jc w:val="center"/>
              <w:rPr>
                <w:color w:val="000000"/>
                <w:sz w:val="20"/>
                <w:szCs w:val="20"/>
              </w:rPr>
            </w:pPr>
            <w:r w:rsidRPr="00F171A3">
              <w:rPr>
                <w:color w:val="000000"/>
                <w:sz w:val="20"/>
                <w:szCs w:val="20"/>
              </w:rPr>
              <w:t>22</w:t>
            </w:r>
          </w:p>
        </w:tc>
        <w:tc>
          <w:tcPr>
            <w:tcW w:w="768" w:type="dxa"/>
            <w:tcBorders>
              <w:top w:val="none" w:sz="0" w:space="0" w:color="auto"/>
              <w:bottom w:val="none" w:sz="0" w:space="0" w:color="auto"/>
            </w:tcBorders>
            <w:shd w:val="clear" w:color="auto" w:fill="F2F2F2" w:themeFill="background1" w:themeFillShade="F2"/>
          </w:tcPr>
          <w:p w14:paraId="5413D3B7" w14:textId="77777777" w:rsidR="0006359E" w:rsidRPr="00F171A3" w:rsidRDefault="0006359E" w:rsidP="00F31936">
            <w:pPr>
              <w:jc w:val="center"/>
              <w:rPr>
                <w:color w:val="000000"/>
                <w:sz w:val="20"/>
                <w:szCs w:val="20"/>
              </w:rPr>
            </w:pPr>
          </w:p>
        </w:tc>
      </w:tr>
      <w:tr w:rsidR="0006359E" w:rsidRPr="00F171A3" w14:paraId="53F28A82" w14:textId="77777777" w:rsidTr="00963E4C">
        <w:trPr>
          <w:trHeight w:val="288"/>
        </w:trPr>
        <w:tc>
          <w:tcPr>
            <w:tcW w:w="534" w:type="dxa"/>
            <w:shd w:val="clear" w:color="auto" w:fill="F2F2F2" w:themeFill="background1" w:themeFillShade="F2"/>
          </w:tcPr>
          <w:p w14:paraId="068773B0" w14:textId="77777777" w:rsidR="0006359E" w:rsidRPr="00F171A3" w:rsidRDefault="0006359E" w:rsidP="00F31936">
            <w:pPr>
              <w:spacing w:after="0"/>
              <w:jc w:val="center"/>
              <w:rPr>
                <w:sz w:val="20"/>
                <w:szCs w:val="20"/>
              </w:rPr>
            </w:pPr>
            <w:r w:rsidRPr="00F171A3">
              <w:rPr>
                <w:sz w:val="20"/>
                <w:szCs w:val="20"/>
              </w:rPr>
              <w:t>5</w:t>
            </w:r>
          </w:p>
        </w:tc>
        <w:tc>
          <w:tcPr>
            <w:tcW w:w="1351" w:type="dxa"/>
            <w:shd w:val="clear" w:color="auto" w:fill="F2F2F2" w:themeFill="background1" w:themeFillShade="F2"/>
          </w:tcPr>
          <w:p w14:paraId="156DE79B" w14:textId="77777777" w:rsidR="0006359E" w:rsidRPr="00F171A3" w:rsidRDefault="0006359E" w:rsidP="00F31936">
            <w:pPr>
              <w:spacing w:after="0"/>
              <w:jc w:val="center"/>
              <w:rPr>
                <w:color w:val="000000"/>
                <w:sz w:val="16"/>
                <w:szCs w:val="16"/>
              </w:rPr>
            </w:pPr>
            <w:r w:rsidRPr="00F171A3">
              <w:rPr>
                <w:color w:val="000000"/>
                <w:sz w:val="16"/>
                <w:szCs w:val="16"/>
              </w:rPr>
              <w:t>DREPT ȘI LEGISLAȚIE COMUNITARĂ</w:t>
            </w:r>
          </w:p>
        </w:tc>
        <w:tc>
          <w:tcPr>
            <w:tcW w:w="720" w:type="dxa"/>
            <w:shd w:val="clear" w:color="auto" w:fill="F2F2F2" w:themeFill="background1" w:themeFillShade="F2"/>
          </w:tcPr>
          <w:p w14:paraId="345ACF6B" w14:textId="77777777" w:rsidR="0006359E" w:rsidRPr="00F171A3" w:rsidRDefault="0006359E" w:rsidP="00F31936">
            <w:pPr>
              <w:jc w:val="center"/>
              <w:rPr>
                <w:i/>
                <w:color w:val="000000"/>
                <w:sz w:val="20"/>
                <w:szCs w:val="20"/>
              </w:rPr>
            </w:pPr>
            <w:r w:rsidRPr="00F171A3">
              <w:rPr>
                <w:color w:val="000000"/>
                <w:sz w:val="20"/>
                <w:szCs w:val="20"/>
              </w:rPr>
              <w:t>10</w:t>
            </w:r>
          </w:p>
        </w:tc>
        <w:tc>
          <w:tcPr>
            <w:tcW w:w="810" w:type="dxa"/>
            <w:shd w:val="clear" w:color="auto" w:fill="F2F2F2" w:themeFill="background1" w:themeFillShade="F2"/>
          </w:tcPr>
          <w:p w14:paraId="1AD418DC" w14:textId="77777777" w:rsidR="0006359E" w:rsidRPr="00F171A3" w:rsidRDefault="0006359E" w:rsidP="00F31936">
            <w:pPr>
              <w:jc w:val="center"/>
              <w:rPr>
                <w:i/>
                <w:color w:val="000000"/>
                <w:sz w:val="20"/>
                <w:szCs w:val="20"/>
              </w:rPr>
            </w:pPr>
            <w:r w:rsidRPr="00F171A3">
              <w:rPr>
                <w:color w:val="000000"/>
                <w:sz w:val="20"/>
                <w:szCs w:val="20"/>
              </w:rPr>
              <w:t>1</w:t>
            </w:r>
          </w:p>
        </w:tc>
        <w:tc>
          <w:tcPr>
            <w:tcW w:w="720" w:type="dxa"/>
            <w:shd w:val="clear" w:color="auto" w:fill="F2F2F2" w:themeFill="background1" w:themeFillShade="F2"/>
          </w:tcPr>
          <w:p w14:paraId="55CA735B" w14:textId="77777777" w:rsidR="0006359E" w:rsidRPr="00F171A3" w:rsidRDefault="0006359E" w:rsidP="00F31936">
            <w:pPr>
              <w:jc w:val="center"/>
              <w:rPr>
                <w:color w:val="000000"/>
                <w:sz w:val="20"/>
                <w:szCs w:val="20"/>
              </w:rPr>
            </w:pPr>
            <w:r w:rsidRPr="00F171A3">
              <w:rPr>
                <w:color w:val="000000"/>
                <w:sz w:val="20"/>
                <w:szCs w:val="20"/>
              </w:rPr>
              <w:t>14</w:t>
            </w:r>
          </w:p>
        </w:tc>
        <w:tc>
          <w:tcPr>
            <w:tcW w:w="810" w:type="dxa"/>
            <w:shd w:val="clear" w:color="auto" w:fill="F2F2F2" w:themeFill="background1" w:themeFillShade="F2"/>
          </w:tcPr>
          <w:p w14:paraId="52B8562E" w14:textId="77777777" w:rsidR="0006359E" w:rsidRPr="00F171A3" w:rsidRDefault="0006359E" w:rsidP="00F31936">
            <w:pPr>
              <w:jc w:val="center"/>
              <w:rPr>
                <w:color w:val="000000"/>
                <w:sz w:val="20"/>
                <w:szCs w:val="20"/>
              </w:rPr>
            </w:pPr>
            <w:r w:rsidRPr="00F171A3">
              <w:rPr>
                <w:color w:val="000000"/>
                <w:sz w:val="20"/>
                <w:szCs w:val="20"/>
              </w:rPr>
              <w:t>14</w:t>
            </w:r>
          </w:p>
        </w:tc>
        <w:tc>
          <w:tcPr>
            <w:tcW w:w="720" w:type="dxa"/>
            <w:shd w:val="clear" w:color="auto" w:fill="F2F2F2" w:themeFill="background1" w:themeFillShade="F2"/>
          </w:tcPr>
          <w:p w14:paraId="04CF00AD" w14:textId="77777777" w:rsidR="0006359E" w:rsidRPr="00F171A3" w:rsidRDefault="0006359E" w:rsidP="00F31936">
            <w:pPr>
              <w:jc w:val="center"/>
              <w:rPr>
                <w:color w:val="000000"/>
                <w:sz w:val="20"/>
                <w:szCs w:val="20"/>
              </w:rPr>
            </w:pPr>
            <w:r w:rsidRPr="00F171A3">
              <w:rPr>
                <w:color w:val="000000"/>
                <w:sz w:val="20"/>
                <w:szCs w:val="20"/>
              </w:rPr>
              <w:t>11</w:t>
            </w:r>
          </w:p>
        </w:tc>
        <w:tc>
          <w:tcPr>
            <w:tcW w:w="810" w:type="dxa"/>
            <w:shd w:val="clear" w:color="auto" w:fill="F2F2F2" w:themeFill="background1" w:themeFillShade="F2"/>
          </w:tcPr>
          <w:p w14:paraId="145997C9" w14:textId="77777777" w:rsidR="0006359E" w:rsidRPr="00F171A3" w:rsidRDefault="0006359E" w:rsidP="00F31936">
            <w:pPr>
              <w:jc w:val="center"/>
              <w:rPr>
                <w:color w:val="000000"/>
                <w:sz w:val="20"/>
                <w:szCs w:val="20"/>
              </w:rPr>
            </w:pPr>
            <w:r w:rsidRPr="00F171A3">
              <w:rPr>
                <w:color w:val="000000"/>
                <w:sz w:val="20"/>
                <w:szCs w:val="20"/>
              </w:rPr>
              <w:t>13</w:t>
            </w:r>
          </w:p>
        </w:tc>
        <w:tc>
          <w:tcPr>
            <w:tcW w:w="720" w:type="dxa"/>
            <w:shd w:val="clear" w:color="auto" w:fill="F2F2F2" w:themeFill="background1" w:themeFillShade="F2"/>
          </w:tcPr>
          <w:p w14:paraId="4C20B091" w14:textId="77777777" w:rsidR="0006359E" w:rsidRPr="00F171A3" w:rsidRDefault="0006359E" w:rsidP="00F31936">
            <w:pPr>
              <w:jc w:val="center"/>
              <w:rPr>
                <w:color w:val="000000"/>
                <w:sz w:val="20"/>
                <w:szCs w:val="20"/>
              </w:rPr>
            </w:pPr>
            <w:r w:rsidRPr="00F171A3">
              <w:rPr>
                <w:color w:val="000000"/>
                <w:sz w:val="20"/>
                <w:szCs w:val="20"/>
              </w:rPr>
              <w:t>25</w:t>
            </w:r>
          </w:p>
        </w:tc>
        <w:tc>
          <w:tcPr>
            <w:tcW w:w="810" w:type="dxa"/>
            <w:shd w:val="clear" w:color="auto" w:fill="F2F2F2" w:themeFill="background1" w:themeFillShade="F2"/>
          </w:tcPr>
          <w:p w14:paraId="1D228D82" w14:textId="77777777" w:rsidR="0006359E" w:rsidRPr="00F171A3" w:rsidRDefault="0006359E" w:rsidP="00F31936">
            <w:pPr>
              <w:jc w:val="center"/>
              <w:rPr>
                <w:color w:val="000000"/>
                <w:sz w:val="20"/>
                <w:szCs w:val="20"/>
              </w:rPr>
            </w:pPr>
            <w:r w:rsidRPr="00F171A3">
              <w:rPr>
                <w:color w:val="000000"/>
                <w:sz w:val="20"/>
                <w:szCs w:val="20"/>
              </w:rPr>
              <w:t>14</w:t>
            </w:r>
          </w:p>
        </w:tc>
        <w:tc>
          <w:tcPr>
            <w:tcW w:w="720" w:type="dxa"/>
            <w:shd w:val="clear" w:color="auto" w:fill="F2F2F2" w:themeFill="background1" w:themeFillShade="F2"/>
          </w:tcPr>
          <w:p w14:paraId="519B7E1B" w14:textId="77777777" w:rsidR="0006359E" w:rsidRPr="00F171A3" w:rsidRDefault="0006359E" w:rsidP="00F31936">
            <w:pPr>
              <w:jc w:val="center"/>
              <w:rPr>
                <w:color w:val="000000"/>
                <w:sz w:val="20"/>
                <w:szCs w:val="20"/>
              </w:rPr>
            </w:pPr>
            <w:r w:rsidRPr="00F171A3">
              <w:rPr>
                <w:color w:val="000000"/>
                <w:sz w:val="20"/>
                <w:szCs w:val="20"/>
              </w:rPr>
              <w:t>22</w:t>
            </w:r>
          </w:p>
        </w:tc>
        <w:tc>
          <w:tcPr>
            <w:tcW w:w="768" w:type="dxa"/>
            <w:shd w:val="clear" w:color="auto" w:fill="F2F2F2" w:themeFill="background1" w:themeFillShade="F2"/>
          </w:tcPr>
          <w:p w14:paraId="5541AF65" w14:textId="77777777" w:rsidR="0006359E" w:rsidRPr="00F171A3" w:rsidRDefault="0006359E" w:rsidP="00F31936">
            <w:pPr>
              <w:jc w:val="center"/>
              <w:rPr>
                <w:color w:val="000000"/>
                <w:sz w:val="20"/>
                <w:szCs w:val="20"/>
              </w:rPr>
            </w:pPr>
          </w:p>
        </w:tc>
      </w:tr>
      <w:tr w:rsidR="0006359E" w:rsidRPr="00F171A3" w14:paraId="4D5283B9" w14:textId="77777777" w:rsidTr="00963E4C">
        <w:trPr>
          <w:cnfStyle w:val="000000100000" w:firstRow="0" w:lastRow="0" w:firstColumn="0" w:lastColumn="0" w:oddVBand="0" w:evenVBand="0" w:oddHBand="1" w:evenHBand="0" w:firstRowFirstColumn="0" w:firstRowLastColumn="0" w:lastRowFirstColumn="0" w:lastRowLastColumn="0"/>
          <w:trHeight w:val="288"/>
        </w:trPr>
        <w:tc>
          <w:tcPr>
            <w:tcW w:w="534" w:type="dxa"/>
            <w:tcBorders>
              <w:top w:val="none" w:sz="0" w:space="0" w:color="auto"/>
              <w:bottom w:val="none" w:sz="0" w:space="0" w:color="auto"/>
            </w:tcBorders>
            <w:shd w:val="clear" w:color="auto" w:fill="F2F2F2" w:themeFill="background1" w:themeFillShade="F2"/>
          </w:tcPr>
          <w:p w14:paraId="1AB88EBF" w14:textId="77777777" w:rsidR="0006359E" w:rsidRPr="00F171A3" w:rsidRDefault="0006359E" w:rsidP="00F31936">
            <w:pPr>
              <w:spacing w:after="0"/>
              <w:jc w:val="center"/>
              <w:rPr>
                <w:sz w:val="20"/>
                <w:szCs w:val="20"/>
              </w:rPr>
            </w:pPr>
            <w:r w:rsidRPr="00F171A3">
              <w:rPr>
                <w:sz w:val="20"/>
                <w:szCs w:val="20"/>
              </w:rPr>
              <w:t>6</w:t>
            </w:r>
          </w:p>
        </w:tc>
        <w:tc>
          <w:tcPr>
            <w:tcW w:w="1351" w:type="dxa"/>
            <w:tcBorders>
              <w:top w:val="none" w:sz="0" w:space="0" w:color="auto"/>
              <w:bottom w:val="none" w:sz="0" w:space="0" w:color="auto"/>
            </w:tcBorders>
            <w:shd w:val="clear" w:color="auto" w:fill="F2F2F2" w:themeFill="background1" w:themeFillShade="F2"/>
          </w:tcPr>
          <w:p w14:paraId="3548EFFB" w14:textId="77777777" w:rsidR="0006359E" w:rsidRPr="00F171A3" w:rsidRDefault="0006359E" w:rsidP="00F31936">
            <w:pPr>
              <w:spacing w:after="0"/>
              <w:jc w:val="center"/>
              <w:rPr>
                <w:color w:val="000000"/>
                <w:sz w:val="16"/>
                <w:szCs w:val="16"/>
              </w:rPr>
            </w:pPr>
            <w:r w:rsidRPr="00F171A3">
              <w:rPr>
                <w:color w:val="000000"/>
                <w:sz w:val="16"/>
                <w:szCs w:val="16"/>
              </w:rPr>
              <w:t>GESTIONAREA FONDURILOR EXTERNE</w:t>
            </w:r>
          </w:p>
        </w:tc>
        <w:tc>
          <w:tcPr>
            <w:tcW w:w="720" w:type="dxa"/>
            <w:tcBorders>
              <w:top w:val="none" w:sz="0" w:space="0" w:color="auto"/>
              <w:bottom w:val="none" w:sz="0" w:space="0" w:color="auto"/>
            </w:tcBorders>
            <w:shd w:val="clear" w:color="auto" w:fill="F2F2F2" w:themeFill="background1" w:themeFillShade="F2"/>
          </w:tcPr>
          <w:p w14:paraId="4A2B4BAC" w14:textId="77777777" w:rsidR="0006359E" w:rsidRPr="00F171A3" w:rsidRDefault="0006359E" w:rsidP="00F31936">
            <w:pPr>
              <w:jc w:val="center"/>
              <w:rPr>
                <w:i/>
                <w:color w:val="000000"/>
                <w:sz w:val="20"/>
                <w:szCs w:val="20"/>
              </w:rPr>
            </w:pPr>
            <w:r w:rsidRPr="00F171A3">
              <w:rPr>
                <w:color w:val="000000"/>
                <w:sz w:val="20"/>
                <w:szCs w:val="20"/>
              </w:rPr>
              <w:t>32</w:t>
            </w:r>
          </w:p>
        </w:tc>
        <w:tc>
          <w:tcPr>
            <w:tcW w:w="810" w:type="dxa"/>
            <w:tcBorders>
              <w:top w:val="none" w:sz="0" w:space="0" w:color="auto"/>
              <w:bottom w:val="none" w:sz="0" w:space="0" w:color="auto"/>
            </w:tcBorders>
            <w:shd w:val="clear" w:color="auto" w:fill="F2F2F2" w:themeFill="background1" w:themeFillShade="F2"/>
          </w:tcPr>
          <w:p w14:paraId="7A02D701" w14:textId="77777777" w:rsidR="0006359E" w:rsidRPr="00F171A3" w:rsidRDefault="0006359E" w:rsidP="00F31936">
            <w:pPr>
              <w:jc w:val="center"/>
              <w:rPr>
                <w:i/>
                <w:color w:val="000000"/>
                <w:sz w:val="20"/>
                <w:szCs w:val="20"/>
              </w:rPr>
            </w:pPr>
            <w:r w:rsidRPr="00F171A3">
              <w:rPr>
                <w:color w:val="000000"/>
                <w:sz w:val="20"/>
                <w:szCs w:val="20"/>
              </w:rPr>
              <w:t>35</w:t>
            </w:r>
          </w:p>
        </w:tc>
        <w:tc>
          <w:tcPr>
            <w:tcW w:w="720" w:type="dxa"/>
            <w:tcBorders>
              <w:top w:val="none" w:sz="0" w:space="0" w:color="auto"/>
              <w:bottom w:val="none" w:sz="0" w:space="0" w:color="auto"/>
            </w:tcBorders>
            <w:shd w:val="clear" w:color="auto" w:fill="F2F2F2" w:themeFill="background1" w:themeFillShade="F2"/>
          </w:tcPr>
          <w:p w14:paraId="59FF332E" w14:textId="77777777" w:rsidR="0006359E" w:rsidRPr="00F171A3" w:rsidRDefault="0006359E" w:rsidP="00F31936">
            <w:pPr>
              <w:jc w:val="center"/>
              <w:rPr>
                <w:color w:val="000000"/>
                <w:sz w:val="20"/>
                <w:szCs w:val="20"/>
              </w:rPr>
            </w:pPr>
            <w:r w:rsidRPr="00F171A3">
              <w:rPr>
                <w:color w:val="000000"/>
                <w:sz w:val="20"/>
                <w:szCs w:val="20"/>
              </w:rPr>
              <w:t>31</w:t>
            </w:r>
          </w:p>
        </w:tc>
        <w:tc>
          <w:tcPr>
            <w:tcW w:w="810" w:type="dxa"/>
            <w:tcBorders>
              <w:top w:val="none" w:sz="0" w:space="0" w:color="auto"/>
              <w:bottom w:val="none" w:sz="0" w:space="0" w:color="auto"/>
            </w:tcBorders>
            <w:shd w:val="clear" w:color="auto" w:fill="F2F2F2" w:themeFill="background1" w:themeFillShade="F2"/>
          </w:tcPr>
          <w:p w14:paraId="2E5B4241" w14:textId="77777777" w:rsidR="0006359E" w:rsidRPr="00F171A3" w:rsidRDefault="0006359E" w:rsidP="00F31936">
            <w:pPr>
              <w:jc w:val="center"/>
              <w:rPr>
                <w:color w:val="000000"/>
                <w:sz w:val="20"/>
                <w:szCs w:val="20"/>
              </w:rPr>
            </w:pPr>
            <w:r w:rsidRPr="00F171A3">
              <w:rPr>
                <w:color w:val="000000"/>
                <w:sz w:val="20"/>
                <w:szCs w:val="20"/>
              </w:rPr>
              <w:t>31</w:t>
            </w:r>
          </w:p>
        </w:tc>
        <w:tc>
          <w:tcPr>
            <w:tcW w:w="720" w:type="dxa"/>
            <w:tcBorders>
              <w:top w:val="none" w:sz="0" w:space="0" w:color="auto"/>
              <w:bottom w:val="none" w:sz="0" w:space="0" w:color="auto"/>
            </w:tcBorders>
            <w:shd w:val="clear" w:color="auto" w:fill="F2F2F2" w:themeFill="background1" w:themeFillShade="F2"/>
          </w:tcPr>
          <w:p w14:paraId="7E098995" w14:textId="77777777" w:rsidR="0006359E" w:rsidRPr="00F171A3" w:rsidRDefault="0006359E" w:rsidP="00F31936">
            <w:pPr>
              <w:jc w:val="center"/>
              <w:rPr>
                <w:color w:val="000000"/>
                <w:sz w:val="20"/>
                <w:szCs w:val="20"/>
              </w:rPr>
            </w:pPr>
            <w:r w:rsidRPr="00F171A3">
              <w:rPr>
                <w:color w:val="000000"/>
                <w:sz w:val="20"/>
                <w:szCs w:val="20"/>
              </w:rPr>
              <w:t>21</w:t>
            </w:r>
          </w:p>
        </w:tc>
        <w:tc>
          <w:tcPr>
            <w:tcW w:w="810" w:type="dxa"/>
            <w:tcBorders>
              <w:top w:val="none" w:sz="0" w:space="0" w:color="auto"/>
              <w:bottom w:val="none" w:sz="0" w:space="0" w:color="auto"/>
            </w:tcBorders>
            <w:shd w:val="clear" w:color="auto" w:fill="F2F2F2" w:themeFill="background1" w:themeFillShade="F2"/>
          </w:tcPr>
          <w:p w14:paraId="4EF00E64" w14:textId="77777777" w:rsidR="0006359E" w:rsidRPr="00F171A3" w:rsidRDefault="0006359E" w:rsidP="00F31936">
            <w:pPr>
              <w:jc w:val="center"/>
              <w:rPr>
                <w:color w:val="000000"/>
                <w:sz w:val="20"/>
                <w:szCs w:val="20"/>
              </w:rPr>
            </w:pPr>
            <w:r w:rsidRPr="00F171A3">
              <w:rPr>
                <w:color w:val="000000"/>
                <w:sz w:val="20"/>
                <w:szCs w:val="20"/>
              </w:rPr>
              <w:t>21</w:t>
            </w:r>
          </w:p>
        </w:tc>
        <w:tc>
          <w:tcPr>
            <w:tcW w:w="720" w:type="dxa"/>
            <w:tcBorders>
              <w:top w:val="none" w:sz="0" w:space="0" w:color="auto"/>
              <w:bottom w:val="none" w:sz="0" w:space="0" w:color="auto"/>
            </w:tcBorders>
            <w:shd w:val="clear" w:color="auto" w:fill="F2F2F2" w:themeFill="background1" w:themeFillShade="F2"/>
          </w:tcPr>
          <w:p w14:paraId="6A64F681" w14:textId="77777777" w:rsidR="0006359E" w:rsidRPr="00F171A3" w:rsidRDefault="0006359E" w:rsidP="00F31936">
            <w:pPr>
              <w:jc w:val="center"/>
              <w:rPr>
                <w:color w:val="000000"/>
                <w:sz w:val="20"/>
                <w:szCs w:val="20"/>
              </w:rPr>
            </w:pPr>
            <w:r w:rsidRPr="00F171A3">
              <w:rPr>
                <w:color w:val="000000"/>
                <w:sz w:val="20"/>
                <w:szCs w:val="20"/>
              </w:rPr>
              <w:t>37</w:t>
            </w:r>
          </w:p>
        </w:tc>
        <w:tc>
          <w:tcPr>
            <w:tcW w:w="810" w:type="dxa"/>
            <w:tcBorders>
              <w:top w:val="none" w:sz="0" w:space="0" w:color="auto"/>
              <w:bottom w:val="none" w:sz="0" w:space="0" w:color="auto"/>
            </w:tcBorders>
            <w:shd w:val="clear" w:color="auto" w:fill="F2F2F2" w:themeFill="background1" w:themeFillShade="F2"/>
          </w:tcPr>
          <w:p w14:paraId="3E51AD72" w14:textId="77777777" w:rsidR="0006359E" w:rsidRPr="00F171A3" w:rsidRDefault="0006359E" w:rsidP="00F31936">
            <w:pPr>
              <w:jc w:val="center"/>
              <w:rPr>
                <w:color w:val="000000"/>
                <w:sz w:val="20"/>
                <w:szCs w:val="20"/>
              </w:rPr>
            </w:pPr>
            <w:r w:rsidRPr="00F171A3">
              <w:rPr>
                <w:color w:val="000000"/>
                <w:sz w:val="20"/>
                <w:szCs w:val="20"/>
              </w:rPr>
              <w:t>15</w:t>
            </w:r>
          </w:p>
        </w:tc>
        <w:tc>
          <w:tcPr>
            <w:tcW w:w="720" w:type="dxa"/>
            <w:tcBorders>
              <w:top w:val="none" w:sz="0" w:space="0" w:color="auto"/>
              <w:bottom w:val="none" w:sz="0" w:space="0" w:color="auto"/>
            </w:tcBorders>
            <w:shd w:val="clear" w:color="auto" w:fill="F2F2F2" w:themeFill="background1" w:themeFillShade="F2"/>
          </w:tcPr>
          <w:p w14:paraId="5E77CE8C" w14:textId="77777777" w:rsidR="0006359E" w:rsidRPr="00F171A3" w:rsidRDefault="0006359E" w:rsidP="00F31936">
            <w:pPr>
              <w:jc w:val="center"/>
              <w:rPr>
                <w:color w:val="000000"/>
                <w:sz w:val="20"/>
                <w:szCs w:val="20"/>
              </w:rPr>
            </w:pPr>
            <w:r w:rsidRPr="00F171A3">
              <w:rPr>
                <w:color w:val="000000"/>
                <w:sz w:val="20"/>
                <w:szCs w:val="20"/>
              </w:rPr>
              <w:t>10</w:t>
            </w:r>
          </w:p>
        </w:tc>
        <w:tc>
          <w:tcPr>
            <w:tcW w:w="768" w:type="dxa"/>
            <w:tcBorders>
              <w:top w:val="none" w:sz="0" w:space="0" w:color="auto"/>
              <w:bottom w:val="none" w:sz="0" w:space="0" w:color="auto"/>
            </w:tcBorders>
            <w:shd w:val="clear" w:color="auto" w:fill="F2F2F2" w:themeFill="background1" w:themeFillShade="F2"/>
          </w:tcPr>
          <w:p w14:paraId="353BAC6C" w14:textId="77777777" w:rsidR="0006359E" w:rsidRPr="00F171A3" w:rsidRDefault="0006359E" w:rsidP="00F31936">
            <w:pPr>
              <w:jc w:val="center"/>
              <w:rPr>
                <w:color w:val="000000"/>
                <w:sz w:val="20"/>
                <w:szCs w:val="20"/>
              </w:rPr>
            </w:pPr>
          </w:p>
        </w:tc>
      </w:tr>
      <w:tr w:rsidR="0006359E" w:rsidRPr="00F171A3" w14:paraId="0DF07E00" w14:textId="77777777" w:rsidTr="00963E4C">
        <w:trPr>
          <w:trHeight w:val="288"/>
        </w:trPr>
        <w:tc>
          <w:tcPr>
            <w:tcW w:w="534" w:type="dxa"/>
            <w:shd w:val="clear" w:color="auto" w:fill="F2F2F2" w:themeFill="background1" w:themeFillShade="F2"/>
          </w:tcPr>
          <w:p w14:paraId="71943DE6" w14:textId="77777777" w:rsidR="0006359E" w:rsidRPr="00F171A3" w:rsidRDefault="0006359E" w:rsidP="00F31936">
            <w:pPr>
              <w:spacing w:after="0"/>
              <w:jc w:val="center"/>
              <w:rPr>
                <w:sz w:val="20"/>
                <w:szCs w:val="20"/>
              </w:rPr>
            </w:pPr>
            <w:r w:rsidRPr="00F171A3">
              <w:rPr>
                <w:sz w:val="20"/>
                <w:szCs w:val="20"/>
              </w:rPr>
              <w:t>7</w:t>
            </w:r>
          </w:p>
        </w:tc>
        <w:tc>
          <w:tcPr>
            <w:tcW w:w="1351" w:type="dxa"/>
            <w:shd w:val="clear" w:color="auto" w:fill="F2F2F2" w:themeFill="background1" w:themeFillShade="F2"/>
          </w:tcPr>
          <w:p w14:paraId="5F179DC2" w14:textId="77777777" w:rsidR="0006359E" w:rsidRPr="00F171A3" w:rsidRDefault="0006359E" w:rsidP="00F31936">
            <w:pPr>
              <w:spacing w:after="0"/>
              <w:jc w:val="center"/>
              <w:rPr>
                <w:color w:val="000000"/>
                <w:sz w:val="16"/>
                <w:szCs w:val="16"/>
              </w:rPr>
            </w:pPr>
            <w:r w:rsidRPr="00F171A3">
              <w:rPr>
                <w:color w:val="000000"/>
                <w:sz w:val="16"/>
                <w:szCs w:val="16"/>
              </w:rPr>
              <w:t>IT&amp;C</w:t>
            </w:r>
          </w:p>
        </w:tc>
        <w:tc>
          <w:tcPr>
            <w:tcW w:w="720" w:type="dxa"/>
            <w:shd w:val="clear" w:color="auto" w:fill="F2F2F2" w:themeFill="background1" w:themeFillShade="F2"/>
          </w:tcPr>
          <w:p w14:paraId="280C0966" w14:textId="77777777" w:rsidR="0006359E" w:rsidRPr="00F171A3" w:rsidRDefault="0006359E" w:rsidP="00F31936">
            <w:pPr>
              <w:jc w:val="center"/>
              <w:rPr>
                <w:i/>
                <w:color w:val="00B050"/>
                <w:sz w:val="20"/>
                <w:szCs w:val="20"/>
              </w:rPr>
            </w:pPr>
            <w:r w:rsidRPr="00F171A3">
              <w:rPr>
                <w:color w:val="00B050"/>
                <w:sz w:val="20"/>
                <w:szCs w:val="20"/>
              </w:rPr>
              <w:t>116</w:t>
            </w:r>
          </w:p>
        </w:tc>
        <w:tc>
          <w:tcPr>
            <w:tcW w:w="810" w:type="dxa"/>
            <w:shd w:val="clear" w:color="auto" w:fill="F2F2F2" w:themeFill="background1" w:themeFillShade="F2"/>
          </w:tcPr>
          <w:p w14:paraId="70D15370" w14:textId="77777777" w:rsidR="0006359E" w:rsidRPr="00F171A3" w:rsidRDefault="0006359E" w:rsidP="00F31936">
            <w:pPr>
              <w:jc w:val="center"/>
              <w:rPr>
                <w:i/>
                <w:color w:val="00B050"/>
                <w:sz w:val="20"/>
                <w:szCs w:val="20"/>
              </w:rPr>
            </w:pPr>
            <w:r w:rsidRPr="00F171A3">
              <w:rPr>
                <w:color w:val="00B050"/>
                <w:sz w:val="20"/>
                <w:szCs w:val="20"/>
              </w:rPr>
              <w:t>107</w:t>
            </w:r>
          </w:p>
        </w:tc>
        <w:tc>
          <w:tcPr>
            <w:tcW w:w="720" w:type="dxa"/>
            <w:shd w:val="clear" w:color="auto" w:fill="F2F2F2" w:themeFill="background1" w:themeFillShade="F2"/>
          </w:tcPr>
          <w:p w14:paraId="297AD12C" w14:textId="77777777" w:rsidR="0006359E" w:rsidRPr="00F171A3" w:rsidRDefault="0006359E" w:rsidP="00F31936">
            <w:pPr>
              <w:jc w:val="center"/>
              <w:rPr>
                <w:color w:val="00B050"/>
                <w:sz w:val="20"/>
                <w:szCs w:val="20"/>
              </w:rPr>
            </w:pPr>
            <w:r w:rsidRPr="00F171A3">
              <w:rPr>
                <w:color w:val="00B050"/>
                <w:sz w:val="20"/>
                <w:szCs w:val="20"/>
              </w:rPr>
              <w:t>0</w:t>
            </w:r>
          </w:p>
        </w:tc>
        <w:tc>
          <w:tcPr>
            <w:tcW w:w="810" w:type="dxa"/>
            <w:shd w:val="clear" w:color="auto" w:fill="F2F2F2" w:themeFill="background1" w:themeFillShade="F2"/>
          </w:tcPr>
          <w:p w14:paraId="67B74499" w14:textId="77777777" w:rsidR="0006359E" w:rsidRPr="00F171A3" w:rsidRDefault="0006359E" w:rsidP="00F31936">
            <w:pPr>
              <w:jc w:val="center"/>
              <w:rPr>
                <w:color w:val="00B050"/>
                <w:sz w:val="20"/>
                <w:szCs w:val="20"/>
              </w:rPr>
            </w:pPr>
            <w:r w:rsidRPr="00F171A3">
              <w:rPr>
                <w:color w:val="00B050"/>
                <w:sz w:val="20"/>
                <w:szCs w:val="20"/>
              </w:rPr>
              <w:t>0</w:t>
            </w:r>
          </w:p>
        </w:tc>
        <w:tc>
          <w:tcPr>
            <w:tcW w:w="720" w:type="dxa"/>
            <w:shd w:val="clear" w:color="auto" w:fill="F2F2F2" w:themeFill="background1" w:themeFillShade="F2"/>
          </w:tcPr>
          <w:p w14:paraId="7CCF8396" w14:textId="77777777" w:rsidR="0006359E" w:rsidRPr="00F171A3" w:rsidRDefault="0006359E" w:rsidP="00F31936">
            <w:pPr>
              <w:jc w:val="center"/>
              <w:rPr>
                <w:color w:val="00B050"/>
                <w:sz w:val="20"/>
                <w:szCs w:val="20"/>
              </w:rPr>
            </w:pPr>
            <w:r w:rsidRPr="00F171A3">
              <w:rPr>
                <w:color w:val="00B050"/>
                <w:sz w:val="20"/>
                <w:szCs w:val="20"/>
              </w:rPr>
              <w:t>0</w:t>
            </w:r>
          </w:p>
        </w:tc>
        <w:tc>
          <w:tcPr>
            <w:tcW w:w="810" w:type="dxa"/>
            <w:shd w:val="clear" w:color="auto" w:fill="F2F2F2" w:themeFill="background1" w:themeFillShade="F2"/>
          </w:tcPr>
          <w:p w14:paraId="3FF801CF" w14:textId="77777777" w:rsidR="0006359E" w:rsidRPr="00F171A3" w:rsidRDefault="0006359E" w:rsidP="00F31936">
            <w:pPr>
              <w:jc w:val="center"/>
              <w:rPr>
                <w:color w:val="00B050"/>
                <w:sz w:val="20"/>
                <w:szCs w:val="20"/>
              </w:rPr>
            </w:pPr>
            <w:r w:rsidRPr="00F171A3">
              <w:rPr>
                <w:color w:val="00B050"/>
                <w:sz w:val="20"/>
                <w:szCs w:val="20"/>
              </w:rPr>
              <w:t>0</w:t>
            </w:r>
          </w:p>
        </w:tc>
        <w:tc>
          <w:tcPr>
            <w:tcW w:w="720" w:type="dxa"/>
            <w:shd w:val="clear" w:color="auto" w:fill="F2F2F2" w:themeFill="background1" w:themeFillShade="F2"/>
          </w:tcPr>
          <w:p w14:paraId="286A46D4" w14:textId="77777777" w:rsidR="0006359E" w:rsidRPr="00F171A3" w:rsidRDefault="0006359E" w:rsidP="00F31936">
            <w:pPr>
              <w:jc w:val="center"/>
              <w:rPr>
                <w:color w:val="00B050"/>
                <w:sz w:val="20"/>
                <w:szCs w:val="20"/>
              </w:rPr>
            </w:pPr>
            <w:r w:rsidRPr="00F171A3">
              <w:rPr>
                <w:color w:val="00B050"/>
                <w:sz w:val="20"/>
                <w:szCs w:val="20"/>
              </w:rPr>
              <w:t>50</w:t>
            </w:r>
          </w:p>
        </w:tc>
        <w:tc>
          <w:tcPr>
            <w:tcW w:w="810" w:type="dxa"/>
            <w:shd w:val="clear" w:color="auto" w:fill="F2F2F2" w:themeFill="background1" w:themeFillShade="F2"/>
          </w:tcPr>
          <w:p w14:paraId="102C0AAF" w14:textId="77777777" w:rsidR="0006359E" w:rsidRPr="00F171A3" w:rsidRDefault="0006359E" w:rsidP="00F31936">
            <w:pPr>
              <w:jc w:val="center"/>
              <w:rPr>
                <w:color w:val="00B050"/>
                <w:sz w:val="20"/>
                <w:szCs w:val="20"/>
              </w:rPr>
            </w:pPr>
            <w:r w:rsidRPr="00F171A3">
              <w:rPr>
                <w:color w:val="00B050"/>
                <w:sz w:val="20"/>
                <w:szCs w:val="20"/>
              </w:rPr>
              <w:t>0</w:t>
            </w:r>
          </w:p>
        </w:tc>
        <w:tc>
          <w:tcPr>
            <w:tcW w:w="720" w:type="dxa"/>
            <w:shd w:val="clear" w:color="auto" w:fill="F2F2F2" w:themeFill="background1" w:themeFillShade="F2"/>
          </w:tcPr>
          <w:p w14:paraId="04A2A2FC" w14:textId="77777777" w:rsidR="0006359E" w:rsidRPr="00F171A3" w:rsidRDefault="0006359E" w:rsidP="00F31936">
            <w:pPr>
              <w:jc w:val="center"/>
              <w:rPr>
                <w:color w:val="00B050"/>
                <w:sz w:val="20"/>
                <w:szCs w:val="20"/>
              </w:rPr>
            </w:pPr>
            <w:r w:rsidRPr="00F171A3">
              <w:rPr>
                <w:color w:val="00B050"/>
                <w:sz w:val="20"/>
                <w:szCs w:val="20"/>
              </w:rPr>
              <w:t>66</w:t>
            </w:r>
          </w:p>
        </w:tc>
        <w:tc>
          <w:tcPr>
            <w:tcW w:w="768" w:type="dxa"/>
            <w:shd w:val="clear" w:color="auto" w:fill="F2F2F2" w:themeFill="background1" w:themeFillShade="F2"/>
          </w:tcPr>
          <w:p w14:paraId="6E5354FE" w14:textId="77777777" w:rsidR="0006359E" w:rsidRPr="00F171A3" w:rsidRDefault="0006359E" w:rsidP="00F31936">
            <w:pPr>
              <w:jc w:val="center"/>
              <w:rPr>
                <w:color w:val="000000"/>
                <w:sz w:val="20"/>
                <w:szCs w:val="20"/>
              </w:rPr>
            </w:pPr>
          </w:p>
        </w:tc>
      </w:tr>
      <w:tr w:rsidR="0006359E" w:rsidRPr="00F171A3" w14:paraId="43FA8F62" w14:textId="77777777" w:rsidTr="00963E4C">
        <w:trPr>
          <w:cnfStyle w:val="000000100000" w:firstRow="0" w:lastRow="0" w:firstColumn="0" w:lastColumn="0" w:oddVBand="0" w:evenVBand="0" w:oddHBand="1" w:evenHBand="0" w:firstRowFirstColumn="0" w:firstRowLastColumn="0" w:lastRowFirstColumn="0" w:lastRowLastColumn="0"/>
          <w:trHeight w:val="288"/>
        </w:trPr>
        <w:tc>
          <w:tcPr>
            <w:tcW w:w="534" w:type="dxa"/>
            <w:tcBorders>
              <w:top w:val="none" w:sz="0" w:space="0" w:color="auto"/>
              <w:bottom w:val="none" w:sz="0" w:space="0" w:color="auto"/>
            </w:tcBorders>
            <w:shd w:val="clear" w:color="auto" w:fill="F2F2F2" w:themeFill="background1" w:themeFillShade="F2"/>
          </w:tcPr>
          <w:p w14:paraId="5E1E84DD" w14:textId="77777777" w:rsidR="0006359E" w:rsidRPr="00F171A3" w:rsidRDefault="0006359E" w:rsidP="00F31936">
            <w:pPr>
              <w:spacing w:after="0"/>
              <w:jc w:val="center"/>
              <w:rPr>
                <w:sz w:val="20"/>
                <w:szCs w:val="20"/>
              </w:rPr>
            </w:pPr>
            <w:r w:rsidRPr="00F171A3">
              <w:rPr>
                <w:sz w:val="20"/>
                <w:szCs w:val="20"/>
              </w:rPr>
              <w:t>8</w:t>
            </w:r>
          </w:p>
        </w:tc>
        <w:tc>
          <w:tcPr>
            <w:tcW w:w="1351" w:type="dxa"/>
            <w:tcBorders>
              <w:top w:val="none" w:sz="0" w:space="0" w:color="auto"/>
              <w:bottom w:val="none" w:sz="0" w:space="0" w:color="auto"/>
            </w:tcBorders>
            <w:shd w:val="clear" w:color="auto" w:fill="F2F2F2" w:themeFill="background1" w:themeFillShade="F2"/>
          </w:tcPr>
          <w:p w14:paraId="53DBFB55" w14:textId="77777777" w:rsidR="0006359E" w:rsidRPr="00F171A3" w:rsidRDefault="0006359E" w:rsidP="00F31936">
            <w:pPr>
              <w:spacing w:after="0"/>
              <w:jc w:val="center"/>
              <w:rPr>
                <w:color w:val="000000"/>
                <w:sz w:val="16"/>
                <w:szCs w:val="16"/>
              </w:rPr>
            </w:pPr>
            <w:r w:rsidRPr="00F171A3">
              <w:rPr>
                <w:color w:val="000000"/>
                <w:sz w:val="16"/>
                <w:szCs w:val="16"/>
              </w:rPr>
              <w:t>MANAGEMENT</w:t>
            </w:r>
          </w:p>
        </w:tc>
        <w:tc>
          <w:tcPr>
            <w:tcW w:w="720" w:type="dxa"/>
            <w:tcBorders>
              <w:top w:val="none" w:sz="0" w:space="0" w:color="auto"/>
              <w:bottom w:val="none" w:sz="0" w:space="0" w:color="auto"/>
            </w:tcBorders>
            <w:shd w:val="clear" w:color="auto" w:fill="F2F2F2" w:themeFill="background1" w:themeFillShade="F2"/>
          </w:tcPr>
          <w:p w14:paraId="3945DF0B" w14:textId="77777777" w:rsidR="0006359E" w:rsidRPr="00F171A3" w:rsidRDefault="0006359E" w:rsidP="00F31936">
            <w:pPr>
              <w:jc w:val="center"/>
              <w:rPr>
                <w:i/>
                <w:color w:val="000000"/>
                <w:sz w:val="20"/>
                <w:szCs w:val="20"/>
              </w:rPr>
            </w:pPr>
            <w:r w:rsidRPr="00F171A3">
              <w:rPr>
                <w:color w:val="000000"/>
                <w:sz w:val="20"/>
                <w:szCs w:val="20"/>
              </w:rPr>
              <w:t>172</w:t>
            </w:r>
          </w:p>
        </w:tc>
        <w:tc>
          <w:tcPr>
            <w:tcW w:w="810" w:type="dxa"/>
            <w:tcBorders>
              <w:top w:val="none" w:sz="0" w:space="0" w:color="auto"/>
              <w:bottom w:val="none" w:sz="0" w:space="0" w:color="auto"/>
            </w:tcBorders>
            <w:shd w:val="clear" w:color="auto" w:fill="F2F2F2" w:themeFill="background1" w:themeFillShade="F2"/>
          </w:tcPr>
          <w:p w14:paraId="488A89CE" w14:textId="77777777" w:rsidR="0006359E" w:rsidRPr="00F171A3" w:rsidRDefault="0006359E" w:rsidP="00F31936">
            <w:pPr>
              <w:jc w:val="center"/>
              <w:rPr>
                <w:i/>
                <w:color w:val="000000"/>
                <w:sz w:val="20"/>
                <w:szCs w:val="20"/>
              </w:rPr>
            </w:pPr>
            <w:r w:rsidRPr="00F171A3">
              <w:rPr>
                <w:color w:val="000000"/>
                <w:sz w:val="20"/>
                <w:szCs w:val="20"/>
              </w:rPr>
              <w:t>174</w:t>
            </w:r>
          </w:p>
        </w:tc>
        <w:tc>
          <w:tcPr>
            <w:tcW w:w="720" w:type="dxa"/>
            <w:tcBorders>
              <w:top w:val="none" w:sz="0" w:space="0" w:color="auto"/>
              <w:bottom w:val="none" w:sz="0" w:space="0" w:color="auto"/>
            </w:tcBorders>
            <w:shd w:val="clear" w:color="auto" w:fill="F2F2F2" w:themeFill="background1" w:themeFillShade="F2"/>
          </w:tcPr>
          <w:p w14:paraId="05D57164" w14:textId="77777777" w:rsidR="0006359E" w:rsidRPr="00F171A3" w:rsidRDefault="0006359E" w:rsidP="00F31936">
            <w:pPr>
              <w:jc w:val="center"/>
              <w:rPr>
                <w:color w:val="000000"/>
                <w:sz w:val="20"/>
                <w:szCs w:val="20"/>
              </w:rPr>
            </w:pPr>
            <w:r w:rsidRPr="00F171A3">
              <w:rPr>
                <w:color w:val="000000"/>
                <w:sz w:val="20"/>
                <w:szCs w:val="20"/>
              </w:rPr>
              <w:t>120</w:t>
            </w:r>
          </w:p>
        </w:tc>
        <w:tc>
          <w:tcPr>
            <w:tcW w:w="810" w:type="dxa"/>
            <w:tcBorders>
              <w:top w:val="none" w:sz="0" w:space="0" w:color="auto"/>
              <w:bottom w:val="none" w:sz="0" w:space="0" w:color="auto"/>
            </w:tcBorders>
            <w:shd w:val="clear" w:color="auto" w:fill="F2F2F2" w:themeFill="background1" w:themeFillShade="F2"/>
          </w:tcPr>
          <w:p w14:paraId="686BBCBA" w14:textId="77777777" w:rsidR="0006359E" w:rsidRPr="00F171A3" w:rsidRDefault="0006359E" w:rsidP="00F31936">
            <w:pPr>
              <w:jc w:val="center"/>
              <w:rPr>
                <w:color w:val="000000"/>
                <w:sz w:val="20"/>
                <w:szCs w:val="20"/>
              </w:rPr>
            </w:pPr>
            <w:r w:rsidRPr="00F171A3">
              <w:rPr>
                <w:color w:val="000000"/>
                <w:sz w:val="20"/>
                <w:szCs w:val="20"/>
              </w:rPr>
              <w:t>115</w:t>
            </w:r>
          </w:p>
        </w:tc>
        <w:tc>
          <w:tcPr>
            <w:tcW w:w="720" w:type="dxa"/>
            <w:tcBorders>
              <w:top w:val="none" w:sz="0" w:space="0" w:color="auto"/>
              <w:bottom w:val="none" w:sz="0" w:space="0" w:color="auto"/>
            </w:tcBorders>
            <w:shd w:val="clear" w:color="auto" w:fill="F2F2F2" w:themeFill="background1" w:themeFillShade="F2"/>
          </w:tcPr>
          <w:p w14:paraId="08341CA4" w14:textId="77777777" w:rsidR="0006359E" w:rsidRPr="00F171A3" w:rsidRDefault="0006359E" w:rsidP="00F31936">
            <w:pPr>
              <w:jc w:val="center"/>
              <w:rPr>
                <w:color w:val="000000"/>
                <w:sz w:val="20"/>
                <w:szCs w:val="20"/>
              </w:rPr>
            </w:pPr>
            <w:r w:rsidRPr="00F171A3">
              <w:rPr>
                <w:color w:val="000000"/>
                <w:sz w:val="20"/>
                <w:szCs w:val="20"/>
              </w:rPr>
              <w:t>72</w:t>
            </w:r>
          </w:p>
        </w:tc>
        <w:tc>
          <w:tcPr>
            <w:tcW w:w="810" w:type="dxa"/>
            <w:tcBorders>
              <w:top w:val="none" w:sz="0" w:space="0" w:color="auto"/>
              <w:bottom w:val="none" w:sz="0" w:space="0" w:color="auto"/>
            </w:tcBorders>
            <w:shd w:val="clear" w:color="auto" w:fill="F2F2F2" w:themeFill="background1" w:themeFillShade="F2"/>
          </w:tcPr>
          <w:p w14:paraId="523B76B9" w14:textId="77777777" w:rsidR="0006359E" w:rsidRPr="00F171A3" w:rsidRDefault="0006359E" w:rsidP="00F31936">
            <w:pPr>
              <w:jc w:val="center"/>
              <w:rPr>
                <w:color w:val="000000"/>
                <w:sz w:val="20"/>
                <w:szCs w:val="20"/>
              </w:rPr>
            </w:pPr>
            <w:r w:rsidRPr="00F171A3">
              <w:rPr>
                <w:color w:val="000000"/>
                <w:sz w:val="20"/>
                <w:szCs w:val="20"/>
              </w:rPr>
              <w:t>23</w:t>
            </w:r>
          </w:p>
        </w:tc>
        <w:tc>
          <w:tcPr>
            <w:tcW w:w="720" w:type="dxa"/>
            <w:tcBorders>
              <w:top w:val="none" w:sz="0" w:space="0" w:color="auto"/>
              <w:bottom w:val="none" w:sz="0" w:space="0" w:color="auto"/>
            </w:tcBorders>
            <w:shd w:val="clear" w:color="auto" w:fill="F2F2F2" w:themeFill="background1" w:themeFillShade="F2"/>
          </w:tcPr>
          <w:p w14:paraId="4E468B6C" w14:textId="77777777" w:rsidR="0006359E" w:rsidRPr="00F171A3" w:rsidRDefault="0006359E" w:rsidP="00F31936">
            <w:pPr>
              <w:jc w:val="center"/>
              <w:rPr>
                <w:color w:val="000000"/>
                <w:sz w:val="20"/>
                <w:szCs w:val="20"/>
              </w:rPr>
            </w:pPr>
            <w:r w:rsidRPr="00F171A3">
              <w:rPr>
                <w:color w:val="000000"/>
                <w:sz w:val="20"/>
                <w:szCs w:val="20"/>
              </w:rPr>
              <w:t>91</w:t>
            </w:r>
          </w:p>
        </w:tc>
        <w:tc>
          <w:tcPr>
            <w:tcW w:w="810" w:type="dxa"/>
            <w:tcBorders>
              <w:top w:val="none" w:sz="0" w:space="0" w:color="auto"/>
              <w:bottom w:val="none" w:sz="0" w:space="0" w:color="auto"/>
            </w:tcBorders>
            <w:shd w:val="clear" w:color="auto" w:fill="F2F2F2" w:themeFill="background1" w:themeFillShade="F2"/>
          </w:tcPr>
          <w:p w14:paraId="035F7D83" w14:textId="77777777" w:rsidR="0006359E" w:rsidRPr="00F171A3" w:rsidRDefault="0006359E" w:rsidP="00F31936">
            <w:pPr>
              <w:jc w:val="center"/>
              <w:rPr>
                <w:color w:val="000000"/>
                <w:sz w:val="20"/>
                <w:szCs w:val="20"/>
              </w:rPr>
            </w:pPr>
            <w:r w:rsidRPr="00F171A3">
              <w:rPr>
                <w:color w:val="000000"/>
                <w:sz w:val="20"/>
                <w:szCs w:val="20"/>
              </w:rPr>
              <w:t>49</w:t>
            </w:r>
          </w:p>
        </w:tc>
        <w:tc>
          <w:tcPr>
            <w:tcW w:w="720" w:type="dxa"/>
            <w:tcBorders>
              <w:top w:val="none" w:sz="0" w:space="0" w:color="auto"/>
              <w:bottom w:val="none" w:sz="0" w:space="0" w:color="auto"/>
            </w:tcBorders>
            <w:shd w:val="clear" w:color="auto" w:fill="F2F2F2" w:themeFill="background1" w:themeFillShade="F2"/>
          </w:tcPr>
          <w:p w14:paraId="015EC4D0" w14:textId="77777777" w:rsidR="0006359E" w:rsidRPr="00F171A3" w:rsidRDefault="0006359E" w:rsidP="00F31936">
            <w:pPr>
              <w:jc w:val="center"/>
              <w:rPr>
                <w:color w:val="000000"/>
                <w:sz w:val="20"/>
                <w:szCs w:val="20"/>
              </w:rPr>
            </w:pPr>
            <w:r w:rsidRPr="00F171A3">
              <w:rPr>
                <w:color w:val="000000"/>
                <w:sz w:val="20"/>
                <w:szCs w:val="20"/>
              </w:rPr>
              <w:t>115</w:t>
            </w:r>
          </w:p>
        </w:tc>
        <w:tc>
          <w:tcPr>
            <w:tcW w:w="768" w:type="dxa"/>
            <w:tcBorders>
              <w:top w:val="none" w:sz="0" w:space="0" w:color="auto"/>
              <w:bottom w:val="none" w:sz="0" w:space="0" w:color="auto"/>
            </w:tcBorders>
            <w:shd w:val="clear" w:color="auto" w:fill="F2F2F2" w:themeFill="background1" w:themeFillShade="F2"/>
          </w:tcPr>
          <w:p w14:paraId="2BB11836" w14:textId="77777777" w:rsidR="0006359E" w:rsidRPr="00F171A3" w:rsidRDefault="0006359E" w:rsidP="00F31936">
            <w:pPr>
              <w:jc w:val="center"/>
              <w:rPr>
                <w:color w:val="000000"/>
                <w:sz w:val="20"/>
                <w:szCs w:val="20"/>
              </w:rPr>
            </w:pPr>
          </w:p>
        </w:tc>
      </w:tr>
      <w:tr w:rsidR="0006359E" w:rsidRPr="00F171A3" w14:paraId="00D14F62" w14:textId="77777777" w:rsidTr="00963E4C">
        <w:trPr>
          <w:trHeight w:val="288"/>
        </w:trPr>
        <w:tc>
          <w:tcPr>
            <w:tcW w:w="534" w:type="dxa"/>
            <w:shd w:val="clear" w:color="auto" w:fill="F2F2F2" w:themeFill="background1" w:themeFillShade="F2"/>
          </w:tcPr>
          <w:p w14:paraId="7E5B77AE" w14:textId="77777777" w:rsidR="0006359E" w:rsidRPr="00F171A3" w:rsidRDefault="0006359E" w:rsidP="00F31936">
            <w:pPr>
              <w:spacing w:after="0"/>
              <w:jc w:val="center"/>
              <w:rPr>
                <w:sz w:val="20"/>
                <w:szCs w:val="20"/>
              </w:rPr>
            </w:pPr>
            <w:r w:rsidRPr="00F171A3">
              <w:rPr>
                <w:sz w:val="20"/>
                <w:szCs w:val="20"/>
              </w:rPr>
              <w:t>9</w:t>
            </w:r>
          </w:p>
        </w:tc>
        <w:tc>
          <w:tcPr>
            <w:tcW w:w="1351" w:type="dxa"/>
            <w:shd w:val="clear" w:color="auto" w:fill="F2F2F2" w:themeFill="background1" w:themeFillShade="F2"/>
          </w:tcPr>
          <w:p w14:paraId="160B44E6" w14:textId="77777777" w:rsidR="0006359E" w:rsidRPr="00F171A3" w:rsidRDefault="0006359E" w:rsidP="00F31936">
            <w:pPr>
              <w:spacing w:after="0"/>
              <w:jc w:val="center"/>
              <w:rPr>
                <w:color w:val="000000"/>
                <w:sz w:val="16"/>
                <w:szCs w:val="16"/>
              </w:rPr>
            </w:pPr>
            <w:r w:rsidRPr="00F171A3">
              <w:rPr>
                <w:color w:val="000000"/>
                <w:sz w:val="16"/>
                <w:szCs w:val="16"/>
              </w:rPr>
              <w:t>RESURSE ȘI SERVICII PUBLICE</w:t>
            </w:r>
          </w:p>
        </w:tc>
        <w:tc>
          <w:tcPr>
            <w:tcW w:w="720" w:type="dxa"/>
            <w:shd w:val="clear" w:color="auto" w:fill="F2F2F2" w:themeFill="background1" w:themeFillShade="F2"/>
          </w:tcPr>
          <w:p w14:paraId="495EFA9B" w14:textId="77777777" w:rsidR="0006359E" w:rsidRPr="00F171A3" w:rsidRDefault="0006359E" w:rsidP="00F31936">
            <w:pPr>
              <w:jc w:val="center"/>
              <w:rPr>
                <w:i/>
                <w:color w:val="000000"/>
                <w:sz w:val="20"/>
                <w:szCs w:val="20"/>
              </w:rPr>
            </w:pPr>
            <w:r w:rsidRPr="00F171A3">
              <w:rPr>
                <w:color w:val="000000"/>
                <w:sz w:val="20"/>
                <w:szCs w:val="20"/>
              </w:rPr>
              <w:t>58</w:t>
            </w:r>
          </w:p>
        </w:tc>
        <w:tc>
          <w:tcPr>
            <w:tcW w:w="810" w:type="dxa"/>
            <w:shd w:val="clear" w:color="auto" w:fill="F2F2F2" w:themeFill="background1" w:themeFillShade="F2"/>
          </w:tcPr>
          <w:p w14:paraId="5BC0D7FC" w14:textId="77777777" w:rsidR="0006359E" w:rsidRPr="00F171A3" w:rsidRDefault="0006359E" w:rsidP="00F31936">
            <w:pPr>
              <w:jc w:val="center"/>
              <w:rPr>
                <w:i/>
                <w:color w:val="000000"/>
                <w:sz w:val="20"/>
                <w:szCs w:val="20"/>
              </w:rPr>
            </w:pPr>
            <w:r w:rsidRPr="00F171A3">
              <w:rPr>
                <w:color w:val="000000"/>
                <w:sz w:val="20"/>
                <w:szCs w:val="20"/>
              </w:rPr>
              <w:t>39</w:t>
            </w:r>
          </w:p>
        </w:tc>
        <w:tc>
          <w:tcPr>
            <w:tcW w:w="720" w:type="dxa"/>
            <w:shd w:val="clear" w:color="auto" w:fill="F2F2F2" w:themeFill="background1" w:themeFillShade="F2"/>
          </w:tcPr>
          <w:p w14:paraId="102AC9EC" w14:textId="77777777" w:rsidR="0006359E" w:rsidRPr="00F171A3" w:rsidRDefault="0006359E" w:rsidP="00F31936">
            <w:pPr>
              <w:jc w:val="center"/>
              <w:rPr>
                <w:color w:val="000000"/>
                <w:sz w:val="20"/>
                <w:szCs w:val="20"/>
              </w:rPr>
            </w:pPr>
            <w:r w:rsidRPr="00F171A3">
              <w:rPr>
                <w:color w:val="000000"/>
                <w:sz w:val="20"/>
                <w:szCs w:val="20"/>
              </w:rPr>
              <w:t>12</w:t>
            </w:r>
          </w:p>
        </w:tc>
        <w:tc>
          <w:tcPr>
            <w:tcW w:w="810" w:type="dxa"/>
            <w:shd w:val="clear" w:color="auto" w:fill="F2F2F2" w:themeFill="background1" w:themeFillShade="F2"/>
          </w:tcPr>
          <w:p w14:paraId="54912160" w14:textId="77777777" w:rsidR="0006359E" w:rsidRPr="00F171A3" w:rsidRDefault="0006359E" w:rsidP="00F31936">
            <w:pPr>
              <w:jc w:val="center"/>
              <w:rPr>
                <w:color w:val="000000"/>
                <w:sz w:val="20"/>
                <w:szCs w:val="20"/>
              </w:rPr>
            </w:pPr>
            <w:r w:rsidRPr="00F171A3">
              <w:rPr>
                <w:color w:val="000000"/>
                <w:sz w:val="20"/>
                <w:szCs w:val="20"/>
              </w:rPr>
              <w:t>12</w:t>
            </w:r>
          </w:p>
        </w:tc>
        <w:tc>
          <w:tcPr>
            <w:tcW w:w="720" w:type="dxa"/>
            <w:shd w:val="clear" w:color="auto" w:fill="F2F2F2" w:themeFill="background1" w:themeFillShade="F2"/>
          </w:tcPr>
          <w:p w14:paraId="5EBA3405" w14:textId="77777777" w:rsidR="0006359E" w:rsidRPr="00F171A3" w:rsidRDefault="0006359E" w:rsidP="00F31936">
            <w:pPr>
              <w:jc w:val="center"/>
              <w:rPr>
                <w:color w:val="000000"/>
                <w:sz w:val="20"/>
                <w:szCs w:val="20"/>
              </w:rPr>
            </w:pPr>
            <w:r w:rsidRPr="00F171A3">
              <w:rPr>
                <w:color w:val="000000"/>
                <w:sz w:val="20"/>
                <w:szCs w:val="20"/>
              </w:rPr>
              <w:t>0</w:t>
            </w:r>
          </w:p>
        </w:tc>
        <w:tc>
          <w:tcPr>
            <w:tcW w:w="810" w:type="dxa"/>
            <w:shd w:val="clear" w:color="auto" w:fill="F2F2F2" w:themeFill="background1" w:themeFillShade="F2"/>
          </w:tcPr>
          <w:p w14:paraId="286A7CFC" w14:textId="77777777" w:rsidR="0006359E" w:rsidRPr="00F171A3" w:rsidRDefault="0006359E" w:rsidP="00F31936">
            <w:pPr>
              <w:jc w:val="center"/>
              <w:rPr>
                <w:color w:val="000000"/>
                <w:sz w:val="20"/>
                <w:szCs w:val="20"/>
              </w:rPr>
            </w:pPr>
            <w:r w:rsidRPr="00F171A3">
              <w:rPr>
                <w:color w:val="000000"/>
                <w:sz w:val="20"/>
                <w:szCs w:val="20"/>
              </w:rPr>
              <w:t>0</w:t>
            </w:r>
          </w:p>
        </w:tc>
        <w:tc>
          <w:tcPr>
            <w:tcW w:w="720" w:type="dxa"/>
            <w:shd w:val="clear" w:color="auto" w:fill="F2F2F2" w:themeFill="background1" w:themeFillShade="F2"/>
          </w:tcPr>
          <w:p w14:paraId="184988DF" w14:textId="77777777" w:rsidR="0006359E" w:rsidRPr="00F171A3" w:rsidRDefault="0006359E" w:rsidP="00F31936">
            <w:pPr>
              <w:jc w:val="center"/>
              <w:rPr>
                <w:color w:val="000000"/>
                <w:sz w:val="20"/>
                <w:szCs w:val="20"/>
              </w:rPr>
            </w:pPr>
            <w:r w:rsidRPr="00F171A3">
              <w:rPr>
                <w:color w:val="000000"/>
                <w:sz w:val="20"/>
                <w:szCs w:val="20"/>
              </w:rPr>
              <w:t>29</w:t>
            </w:r>
          </w:p>
        </w:tc>
        <w:tc>
          <w:tcPr>
            <w:tcW w:w="810" w:type="dxa"/>
            <w:shd w:val="clear" w:color="auto" w:fill="F2F2F2" w:themeFill="background1" w:themeFillShade="F2"/>
          </w:tcPr>
          <w:p w14:paraId="581484C3" w14:textId="77777777" w:rsidR="0006359E" w:rsidRPr="00F171A3" w:rsidRDefault="0006359E" w:rsidP="00F31936">
            <w:pPr>
              <w:jc w:val="center"/>
              <w:rPr>
                <w:color w:val="000000"/>
                <w:sz w:val="20"/>
                <w:szCs w:val="20"/>
              </w:rPr>
            </w:pPr>
            <w:r w:rsidRPr="00F171A3">
              <w:rPr>
                <w:color w:val="000000"/>
                <w:sz w:val="20"/>
                <w:szCs w:val="20"/>
              </w:rPr>
              <w:t>17</w:t>
            </w:r>
          </w:p>
        </w:tc>
        <w:tc>
          <w:tcPr>
            <w:tcW w:w="720" w:type="dxa"/>
            <w:shd w:val="clear" w:color="auto" w:fill="F2F2F2" w:themeFill="background1" w:themeFillShade="F2"/>
          </w:tcPr>
          <w:p w14:paraId="26361E0F" w14:textId="77777777" w:rsidR="0006359E" w:rsidRPr="00F171A3" w:rsidRDefault="0006359E" w:rsidP="00F31936">
            <w:pPr>
              <w:jc w:val="center"/>
              <w:rPr>
                <w:color w:val="000000"/>
                <w:sz w:val="20"/>
                <w:szCs w:val="20"/>
              </w:rPr>
            </w:pPr>
            <w:r w:rsidRPr="00F171A3">
              <w:rPr>
                <w:color w:val="000000"/>
                <w:sz w:val="20"/>
                <w:szCs w:val="20"/>
              </w:rPr>
              <w:t>12</w:t>
            </w:r>
          </w:p>
        </w:tc>
        <w:tc>
          <w:tcPr>
            <w:tcW w:w="768" w:type="dxa"/>
            <w:shd w:val="clear" w:color="auto" w:fill="F2F2F2" w:themeFill="background1" w:themeFillShade="F2"/>
          </w:tcPr>
          <w:p w14:paraId="052BEA89" w14:textId="77777777" w:rsidR="0006359E" w:rsidRPr="00F171A3" w:rsidRDefault="0006359E" w:rsidP="00F31936">
            <w:pPr>
              <w:jc w:val="center"/>
              <w:rPr>
                <w:color w:val="000000"/>
                <w:sz w:val="20"/>
                <w:szCs w:val="20"/>
              </w:rPr>
            </w:pPr>
          </w:p>
        </w:tc>
      </w:tr>
    </w:tbl>
    <w:p w14:paraId="78DF0C42" w14:textId="60D2B937"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furnizate de Primăria Sector</w:t>
      </w:r>
      <w:r w:rsidR="00F53B80" w:rsidRPr="00F171A3">
        <w:rPr>
          <w:color w:val="BFBFBF" w:themeColor="background1" w:themeShade="BF"/>
        </w:rPr>
        <w:t>ului</w:t>
      </w:r>
      <w:r w:rsidRPr="00F171A3">
        <w:rPr>
          <w:color w:val="BFBFBF" w:themeColor="background1" w:themeShade="BF"/>
        </w:rPr>
        <w:t xml:space="preserve"> 2</w:t>
      </w:r>
    </w:p>
    <w:p w14:paraId="1FE63FE2" w14:textId="77777777" w:rsidR="0006359E" w:rsidRPr="00F171A3" w:rsidRDefault="0006359E" w:rsidP="0006359E">
      <w:pPr>
        <w:spacing w:before="240"/>
      </w:pPr>
      <w:r w:rsidRPr="00F171A3">
        <w:t xml:space="preserve">Domeniile de perfecționare identificate ca prioritare indică o preferință către domeniul de management, cursuri de dezvoltare personală sau comunicare și transparență decizională. Domenii de perfecționare profesională precum </w:t>
      </w:r>
      <w:r w:rsidRPr="00F171A3">
        <w:rPr>
          <w:i/>
        </w:rPr>
        <w:t>IT&amp;C</w:t>
      </w:r>
      <w:r w:rsidRPr="00F171A3">
        <w:t xml:space="preserve">, </w:t>
      </w:r>
      <w:r w:rsidRPr="00F171A3">
        <w:rPr>
          <w:i/>
        </w:rPr>
        <w:t>Arhitectură și Urbanism</w:t>
      </w:r>
      <w:r w:rsidRPr="00F171A3">
        <w:t xml:space="preserve">, </w:t>
      </w:r>
      <w:r w:rsidRPr="00F171A3">
        <w:rPr>
          <w:i/>
        </w:rPr>
        <w:t xml:space="preserve">Gestionarea fondurilor externe </w:t>
      </w:r>
      <w:r w:rsidRPr="00F171A3">
        <w:t xml:space="preserve">sau </w:t>
      </w:r>
      <w:r w:rsidRPr="00F171A3">
        <w:rPr>
          <w:i/>
        </w:rPr>
        <w:t>Dezvoltare regionale durabilă</w:t>
      </w:r>
      <w:r w:rsidRPr="00F171A3">
        <w:t xml:space="preserve"> nu apar ca prioritare în rapoartele de evaluare, ceea ce creează o discrepanță între domeniile potențiale de formare. </w:t>
      </w:r>
    </w:p>
    <w:p w14:paraId="5F2D8283" w14:textId="3B3CF002" w:rsidR="0006359E" w:rsidRPr="00F171A3" w:rsidRDefault="0006359E" w:rsidP="0006359E">
      <w:r w:rsidRPr="00F171A3">
        <w:t>Singurele cursuri din domeniul IT&amp;C absolvite de personalul Primăriei Sector</w:t>
      </w:r>
      <w:r w:rsidR="00F53B80" w:rsidRPr="00F171A3">
        <w:t>ului</w:t>
      </w:r>
      <w:r w:rsidRPr="00F171A3">
        <w:t xml:space="preserve"> 2 au fost cele privind permisul european de conducere a computerului (ECDL – European Computer Driving Licence), curs absolvit în anul 2018. Nu au existat alte cursuri de formare privind siguranța cibernetică, utilizarea echipamentelor electronice (inclusiv noile soluții software de la nivelul instituții), utilizarea de date publice și gradul lor de siguranță, etc. </w:t>
      </w:r>
    </w:p>
    <w:p w14:paraId="6FF4CB61" w14:textId="77777777" w:rsidR="0006359E" w:rsidRPr="00F171A3" w:rsidRDefault="0006359E" w:rsidP="0006359E">
      <w:r w:rsidRPr="00F171A3">
        <w:t xml:space="preserve">Sumele alocate din bugetul local pentru finanțarea cursurilor formare pentru personalul instituției sunt reduse. Aparatul propriu de specialitate și Direcția de Evidență persoane și stare civilă au avut alocări de 235.000 RON în 2018, 350.000 RON în 2019, 118.000 RON în 2020, 148.500 RON în 2021 și 262,000 RON în 2022. Execuția bugetară indică că aceste sume nu au fost cheltuite în totalitate. În 2018 au fost cheltuiți 174.856 RON, în 2019 271.381 RON, în 2020 19,739 RON, în 2021 68,589 RON. </w:t>
      </w:r>
    </w:p>
    <w:p w14:paraId="1D2B48BE" w14:textId="50B3DB7E" w:rsidR="0006359E" w:rsidRPr="00F171A3" w:rsidRDefault="00AF2C45" w:rsidP="00AF2C45">
      <w:pPr>
        <w:pStyle w:val="Caption"/>
        <w:rPr>
          <w:color w:val="000000"/>
        </w:rPr>
      </w:pPr>
      <w:bookmarkStart w:id="325" w:name="_heading=h.3utoxif" w:colFirst="0" w:colLast="0"/>
      <w:bookmarkStart w:id="326" w:name="_Toc126943296"/>
      <w:bookmarkEnd w:id="325"/>
      <w:r w:rsidRPr="00F171A3">
        <w:t xml:space="preserve">Tabel </w:t>
      </w:r>
      <w:r w:rsidRPr="00F171A3">
        <w:fldChar w:fldCharType="begin"/>
      </w:r>
      <w:r w:rsidRPr="00F171A3">
        <w:instrText xml:space="preserve"> SEQ Tabel \* ARABIC </w:instrText>
      </w:r>
      <w:r w:rsidRPr="00F171A3">
        <w:fldChar w:fldCharType="separate"/>
      </w:r>
      <w:r w:rsidR="005A6DD8">
        <w:rPr>
          <w:noProof/>
        </w:rPr>
        <w:t>39</w:t>
      </w:r>
      <w:r w:rsidRPr="00F171A3">
        <w:fldChar w:fldCharType="end"/>
      </w:r>
      <w:r w:rsidRPr="00F171A3">
        <w:t xml:space="preserve"> </w:t>
      </w:r>
      <w:r w:rsidR="0006359E" w:rsidRPr="00F171A3">
        <w:t>Sume alocate din buget pentru finanțarea planului de formare pentru personal în perioada 2017-2022</w:t>
      </w:r>
      <w:r w:rsidR="0006359E" w:rsidRPr="00F171A3">
        <w:rPr>
          <w:smallCaps/>
          <w:color w:val="134753"/>
          <w:sz w:val="20"/>
          <w:vertAlign w:val="superscript"/>
        </w:rPr>
        <w:footnoteReference w:id="166"/>
      </w:r>
      <w:bookmarkEnd w:id="326"/>
    </w:p>
    <w:tbl>
      <w:tblPr>
        <w:tblStyle w:val="ListTable3-Accent21"/>
        <w:tblW w:w="94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3290"/>
        <w:gridCol w:w="1441"/>
        <w:gridCol w:w="1234"/>
        <w:gridCol w:w="1159"/>
        <w:gridCol w:w="1157"/>
        <w:gridCol w:w="1155"/>
      </w:tblGrid>
      <w:tr w:rsidR="0006359E" w:rsidRPr="00F171A3" w14:paraId="12AB7186" w14:textId="77777777" w:rsidTr="00F555EE">
        <w:trPr>
          <w:cnfStyle w:val="100000000000" w:firstRow="1" w:lastRow="0" w:firstColumn="0" w:lastColumn="0" w:oddVBand="0" w:evenVBand="0" w:oddHBand="0" w:evenHBand="0" w:firstRowFirstColumn="0" w:firstRowLastColumn="0" w:lastRowFirstColumn="0" w:lastRowLastColumn="0"/>
          <w:trHeight w:val="263"/>
        </w:trPr>
        <w:tc>
          <w:tcPr>
            <w:tcW w:w="3290" w:type="dxa"/>
          </w:tcPr>
          <w:p w14:paraId="20926848" w14:textId="77777777" w:rsidR="0006359E" w:rsidRPr="00F171A3" w:rsidRDefault="0006359E" w:rsidP="00F31936">
            <w:pPr>
              <w:jc w:val="center"/>
              <w:rPr>
                <w:sz w:val="20"/>
                <w:szCs w:val="20"/>
              </w:rPr>
            </w:pPr>
            <w:r w:rsidRPr="00F171A3">
              <w:rPr>
                <w:sz w:val="20"/>
                <w:szCs w:val="20"/>
              </w:rPr>
              <w:t>STRUCTURA</w:t>
            </w:r>
          </w:p>
        </w:tc>
        <w:tc>
          <w:tcPr>
            <w:tcW w:w="1441" w:type="dxa"/>
          </w:tcPr>
          <w:p w14:paraId="2BB76208" w14:textId="77777777" w:rsidR="0006359E" w:rsidRPr="00F171A3" w:rsidRDefault="0006359E" w:rsidP="00F31936">
            <w:pPr>
              <w:jc w:val="center"/>
              <w:rPr>
                <w:sz w:val="20"/>
                <w:szCs w:val="20"/>
              </w:rPr>
            </w:pPr>
            <w:r w:rsidRPr="00F171A3">
              <w:rPr>
                <w:sz w:val="20"/>
                <w:szCs w:val="20"/>
              </w:rPr>
              <w:t>2018</w:t>
            </w:r>
          </w:p>
        </w:tc>
        <w:tc>
          <w:tcPr>
            <w:tcW w:w="1234" w:type="dxa"/>
          </w:tcPr>
          <w:p w14:paraId="35389883" w14:textId="77777777" w:rsidR="0006359E" w:rsidRPr="00F171A3" w:rsidRDefault="0006359E" w:rsidP="00F31936">
            <w:pPr>
              <w:jc w:val="center"/>
              <w:rPr>
                <w:sz w:val="20"/>
                <w:szCs w:val="20"/>
              </w:rPr>
            </w:pPr>
            <w:r w:rsidRPr="00F171A3">
              <w:rPr>
                <w:sz w:val="20"/>
                <w:szCs w:val="20"/>
              </w:rPr>
              <w:t>2019</w:t>
            </w:r>
          </w:p>
        </w:tc>
        <w:tc>
          <w:tcPr>
            <w:tcW w:w="1159" w:type="dxa"/>
          </w:tcPr>
          <w:p w14:paraId="573F97A1" w14:textId="77777777" w:rsidR="0006359E" w:rsidRPr="00F171A3" w:rsidRDefault="0006359E" w:rsidP="00F31936">
            <w:pPr>
              <w:jc w:val="center"/>
              <w:rPr>
                <w:sz w:val="20"/>
                <w:szCs w:val="20"/>
              </w:rPr>
            </w:pPr>
            <w:r w:rsidRPr="00F171A3">
              <w:rPr>
                <w:sz w:val="20"/>
                <w:szCs w:val="20"/>
              </w:rPr>
              <w:t>2020</w:t>
            </w:r>
          </w:p>
        </w:tc>
        <w:tc>
          <w:tcPr>
            <w:tcW w:w="1157" w:type="dxa"/>
          </w:tcPr>
          <w:p w14:paraId="3DA8E49D" w14:textId="77777777" w:rsidR="0006359E" w:rsidRPr="00F171A3" w:rsidRDefault="0006359E" w:rsidP="00F31936">
            <w:pPr>
              <w:jc w:val="center"/>
              <w:rPr>
                <w:sz w:val="20"/>
                <w:szCs w:val="20"/>
              </w:rPr>
            </w:pPr>
            <w:r w:rsidRPr="00F171A3">
              <w:rPr>
                <w:sz w:val="20"/>
                <w:szCs w:val="20"/>
              </w:rPr>
              <w:t>2021</w:t>
            </w:r>
          </w:p>
        </w:tc>
        <w:tc>
          <w:tcPr>
            <w:tcW w:w="1155" w:type="dxa"/>
          </w:tcPr>
          <w:p w14:paraId="13572ECF" w14:textId="77777777" w:rsidR="0006359E" w:rsidRPr="00F171A3" w:rsidRDefault="0006359E" w:rsidP="00F31936">
            <w:pPr>
              <w:jc w:val="center"/>
              <w:rPr>
                <w:sz w:val="20"/>
                <w:szCs w:val="20"/>
              </w:rPr>
            </w:pPr>
            <w:r w:rsidRPr="00F171A3">
              <w:rPr>
                <w:sz w:val="20"/>
                <w:szCs w:val="20"/>
              </w:rPr>
              <w:t>2022</w:t>
            </w:r>
          </w:p>
        </w:tc>
      </w:tr>
      <w:tr w:rsidR="0006359E" w:rsidRPr="00F171A3" w14:paraId="61AAE38D" w14:textId="77777777" w:rsidTr="00F555EE">
        <w:trPr>
          <w:cnfStyle w:val="000000100000" w:firstRow="0" w:lastRow="0" w:firstColumn="0" w:lastColumn="0" w:oddVBand="0" w:evenVBand="0" w:oddHBand="1" w:evenHBand="0" w:firstRowFirstColumn="0" w:firstRowLastColumn="0" w:lastRowFirstColumn="0" w:lastRowLastColumn="0"/>
          <w:trHeight w:val="263"/>
        </w:trPr>
        <w:tc>
          <w:tcPr>
            <w:tcW w:w="9436" w:type="dxa"/>
            <w:gridSpan w:val="6"/>
            <w:tcBorders>
              <w:top w:val="none" w:sz="0" w:space="0" w:color="auto"/>
              <w:bottom w:val="none" w:sz="0" w:space="0" w:color="auto"/>
            </w:tcBorders>
            <w:shd w:val="clear" w:color="auto" w:fill="F2F2F2" w:themeFill="background1" w:themeFillShade="F2"/>
          </w:tcPr>
          <w:p w14:paraId="562EEF9B" w14:textId="77777777" w:rsidR="0006359E" w:rsidRPr="00F171A3" w:rsidRDefault="0006359E" w:rsidP="00F31936">
            <w:pPr>
              <w:jc w:val="center"/>
              <w:rPr>
                <w:color w:val="000000"/>
                <w:sz w:val="20"/>
                <w:szCs w:val="20"/>
              </w:rPr>
            </w:pPr>
            <w:r w:rsidRPr="00F171A3">
              <w:rPr>
                <w:color w:val="000000"/>
                <w:sz w:val="20"/>
                <w:szCs w:val="20"/>
              </w:rPr>
              <w:t xml:space="preserve">BUGET APROBAT VS. BUGET EXECUTAT </w:t>
            </w:r>
          </w:p>
        </w:tc>
      </w:tr>
      <w:tr w:rsidR="0006359E" w:rsidRPr="00F171A3" w14:paraId="7F24280C" w14:textId="77777777" w:rsidTr="00F555EE">
        <w:trPr>
          <w:trHeight w:val="263"/>
        </w:trPr>
        <w:tc>
          <w:tcPr>
            <w:tcW w:w="3290" w:type="dxa"/>
            <w:shd w:val="clear" w:color="auto" w:fill="F2F2F2" w:themeFill="background1" w:themeFillShade="F2"/>
          </w:tcPr>
          <w:p w14:paraId="73E874AE" w14:textId="77777777" w:rsidR="0006359E" w:rsidRPr="00F171A3" w:rsidRDefault="0006359E" w:rsidP="00F31936">
            <w:pPr>
              <w:spacing w:after="0"/>
              <w:jc w:val="center"/>
              <w:rPr>
                <w:color w:val="000000"/>
                <w:sz w:val="20"/>
                <w:szCs w:val="20"/>
              </w:rPr>
            </w:pPr>
            <w:r w:rsidRPr="00F171A3">
              <w:rPr>
                <w:color w:val="000000"/>
                <w:sz w:val="20"/>
                <w:szCs w:val="20"/>
              </w:rPr>
              <w:t xml:space="preserve">Aparatul de specialitate </w:t>
            </w:r>
          </w:p>
          <w:p w14:paraId="37D13CF5" w14:textId="77777777" w:rsidR="0006359E" w:rsidRPr="00F171A3" w:rsidRDefault="0006359E" w:rsidP="00F31936">
            <w:pPr>
              <w:spacing w:after="0"/>
              <w:jc w:val="center"/>
              <w:rPr>
                <w:color w:val="000000"/>
                <w:sz w:val="20"/>
                <w:szCs w:val="20"/>
              </w:rPr>
            </w:pPr>
            <w:r w:rsidRPr="00F171A3">
              <w:rPr>
                <w:color w:val="000000"/>
                <w:sz w:val="20"/>
                <w:szCs w:val="20"/>
              </w:rPr>
              <w:t xml:space="preserve">și </w:t>
            </w:r>
          </w:p>
          <w:p w14:paraId="711C65AF" w14:textId="77777777" w:rsidR="0006359E" w:rsidRPr="00F171A3" w:rsidRDefault="0006359E" w:rsidP="00F31936">
            <w:pPr>
              <w:spacing w:after="0"/>
              <w:jc w:val="center"/>
              <w:rPr>
                <w:color w:val="000000"/>
                <w:sz w:val="20"/>
                <w:szCs w:val="20"/>
              </w:rPr>
            </w:pPr>
            <w:r w:rsidRPr="00F171A3">
              <w:rPr>
                <w:color w:val="000000"/>
                <w:sz w:val="20"/>
                <w:szCs w:val="20"/>
              </w:rPr>
              <w:t>Direcția de Evidență Persoane și Stare</w:t>
            </w:r>
          </w:p>
          <w:p w14:paraId="6975CCE1" w14:textId="77777777" w:rsidR="0006359E" w:rsidRPr="00F171A3" w:rsidRDefault="0006359E" w:rsidP="00F31936">
            <w:pPr>
              <w:spacing w:after="0"/>
              <w:jc w:val="center"/>
              <w:rPr>
                <w:color w:val="000000"/>
                <w:sz w:val="20"/>
                <w:szCs w:val="20"/>
              </w:rPr>
            </w:pPr>
            <w:r w:rsidRPr="00F171A3">
              <w:rPr>
                <w:color w:val="000000"/>
                <w:sz w:val="20"/>
                <w:szCs w:val="20"/>
              </w:rPr>
              <w:t xml:space="preserve"> Civilă Sector 2</w:t>
            </w:r>
          </w:p>
        </w:tc>
        <w:tc>
          <w:tcPr>
            <w:tcW w:w="1441" w:type="dxa"/>
            <w:shd w:val="clear" w:color="auto" w:fill="F2F2F2" w:themeFill="background1" w:themeFillShade="F2"/>
          </w:tcPr>
          <w:p w14:paraId="6741B990" w14:textId="77777777" w:rsidR="0006359E" w:rsidRPr="00F171A3" w:rsidRDefault="0006359E" w:rsidP="00F31936">
            <w:pPr>
              <w:jc w:val="center"/>
              <w:rPr>
                <w:color w:val="000000"/>
                <w:sz w:val="20"/>
                <w:szCs w:val="20"/>
              </w:rPr>
            </w:pPr>
            <w:r w:rsidRPr="00F171A3">
              <w:rPr>
                <w:color w:val="000000"/>
                <w:sz w:val="20"/>
                <w:szCs w:val="20"/>
              </w:rPr>
              <w:t>235.000/ 174.856 RON</w:t>
            </w:r>
          </w:p>
        </w:tc>
        <w:tc>
          <w:tcPr>
            <w:tcW w:w="1234" w:type="dxa"/>
            <w:shd w:val="clear" w:color="auto" w:fill="F2F2F2" w:themeFill="background1" w:themeFillShade="F2"/>
          </w:tcPr>
          <w:p w14:paraId="5F78C3BE" w14:textId="77777777" w:rsidR="0006359E" w:rsidRPr="00F171A3" w:rsidRDefault="0006359E" w:rsidP="00F31936">
            <w:pPr>
              <w:jc w:val="center"/>
              <w:rPr>
                <w:color w:val="000000"/>
                <w:sz w:val="20"/>
                <w:szCs w:val="20"/>
              </w:rPr>
            </w:pPr>
            <w:r w:rsidRPr="00F171A3">
              <w:rPr>
                <w:color w:val="000000"/>
                <w:sz w:val="20"/>
                <w:szCs w:val="20"/>
              </w:rPr>
              <w:t>350.000/ 271.381 RON</w:t>
            </w:r>
          </w:p>
        </w:tc>
        <w:tc>
          <w:tcPr>
            <w:tcW w:w="1159" w:type="dxa"/>
            <w:shd w:val="clear" w:color="auto" w:fill="F2F2F2" w:themeFill="background1" w:themeFillShade="F2"/>
          </w:tcPr>
          <w:p w14:paraId="36FA4895" w14:textId="77777777" w:rsidR="0006359E" w:rsidRPr="00F171A3" w:rsidRDefault="0006359E" w:rsidP="00F31936">
            <w:pPr>
              <w:jc w:val="center"/>
              <w:rPr>
                <w:color w:val="000000"/>
                <w:sz w:val="20"/>
                <w:szCs w:val="20"/>
              </w:rPr>
            </w:pPr>
            <w:r w:rsidRPr="00F171A3">
              <w:rPr>
                <w:color w:val="000000"/>
                <w:sz w:val="20"/>
                <w:szCs w:val="20"/>
              </w:rPr>
              <w:t>118.000/ 19.7939 RON</w:t>
            </w:r>
          </w:p>
        </w:tc>
        <w:tc>
          <w:tcPr>
            <w:tcW w:w="1157" w:type="dxa"/>
            <w:shd w:val="clear" w:color="auto" w:fill="F2F2F2" w:themeFill="background1" w:themeFillShade="F2"/>
          </w:tcPr>
          <w:p w14:paraId="3ABF5FEF" w14:textId="77777777" w:rsidR="0006359E" w:rsidRPr="00F171A3" w:rsidRDefault="0006359E" w:rsidP="00F31936">
            <w:pPr>
              <w:jc w:val="center"/>
              <w:rPr>
                <w:color w:val="000000"/>
                <w:sz w:val="20"/>
                <w:szCs w:val="20"/>
              </w:rPr>
            </w:pPr>
            <w:r w:rsidRPr="00F171A3">
              <w:rPr>
                <w:color w:val="000000"/>
                <w:sz w:val="20"/>
                <w:szCs w:val="20"/>
              </w:rPr>
              <w:t>148.000/ 68.539 RON</w:t>
            </w:r>
          </w:p>
        </w:tc>
        <w:tc>
          <w:tcPr>
            <w:tcW w:w="1155" w:type="dxa"/>
            <w:shd w:val="clear" w:color="auto" w:fill="F2F2F2" w:themeFill="background1" w:themeFillShade="F2"/>
          </w:tcPr>
          <w:p w14:paraId="5AD02B90" w14:textId="77777777" w:rsidR="0006359E" w:rsidRPr="00F171A3" w:rsidRDefault="0006359E" w:rsidP="00F31936">
            <w:pPr>
              <w:jc w:val="center"/>
              <w:rPr>
                <w:color w:val="000000"/>
                <w:sz w:val="20"/>
                <w:szCs w:val="20"/>
              </w:rPr>
            </w:pPr>
            <w:r w:rsidRPr="00F171A3">
              <w:rPr>
                <w:color w:val="000000"/>
                <w:sz w:val="20"/>
                <w:szCs w:val="20"/>
              </w:rPr>
              <w:t xml:space="preserve">262.000 RON / </w:t>
            </w:r>
          </w:p>
        </w:tc>
      </w:tr>
    </w:tbl>
    <w:p w14:paraId="2921546A" w14:textId="445E79FD" w:rsidR="0006359E" w:rsidRPr="00F171A3" w:rsidRDefault="0006359E" w:rsidP="00AF2C45">
      <w:pPr>
        <w:jc w:val="right"/>
        <w:rPr>
          <w:color w:val="BFBFBF" w:themeColor="background1" w:themeShade="BF"/>
        </w:rPr>
      </w:pPr>
      <w:r w:rsidRPr="00F171A3">
        <w:rPr>
          <w:color w:val="BFBFBF" w:themeColor="background1" w:themeShade="BF"/>
        </w:rPr>
        <w:t>Sursă: Prelucrare proprie pe baza datelor furnizate de Primăria Sector</w:t>
      </w:r>
      <w:r w:rsidR="00F53B80" w:rsidRPr="00F171A3">
        <w:rPr>
          <w:color w:val="BFBFBF" w:themeColor="background1" w:themeShade="BF"/>
        </w:rPr>
        <w:t>ului</w:t>
      </w:r>
      <w:r w:rsidRPr="00F171A3">
        <w:rPr>
          <w:color w:val="BFBFBF" w:themeColor="background1" w:themeShade="BF"/>
        </w:rPr>
        <w:t xml:space="preserve"> 2</w:t>
      </w:r>
    </w:p>
    <w:p w14:paraId="7EB02A50" w14:textId="77777777" w:rsidR="0006359E" w:rsidRPr="00F171A3" w:rsidRDefault="0006359E" w:rsidP="0006359E">
      <w:pPr>
        <w:spacing w:before="240"/>
      </w:pPr>
      <w:r w:rsidRPr="00F171A3">
        <w:t xml:space="preserve">Formarea profesională trebuie să reprezinte o prioritate la nivelul oricărei administrații publice, iar o strategie de formare profesională este necesară pentru a îmbunătăți competențele corpului de funcționari publici și personal contractual și a orienta administrația către bună guvernare. Dezvoltarea de noi competențe în raport cu transformările în desfășurare (în special cele din domeniul dezvoltării tehnologice) trebuie prioritizată, iar programele de formare trebuie să includă un număr adecvat de funcționari publici și personal contractual, atât dintre cei cu o experiență îndelungată  în administrația publică, dar și personal aflat la începutul carierei. </w:t>
      </w:r>
    </w:p>
    <w:p w14:paraId="47544E07" w14:textId="791F41BE" w:rsidR="0006359E" w:rsidRPr="00F171A3" w:rsidRDefault="0006359E" w:rsidP="0006359E">
      <w:pPr>
        <w:spacing w:before="240"/>
      </w:pPr>
      <w:r w:rsidRPr="00F171A3">
        <w:t>Conform datelor furnizate de Primăria Sector</w:t>
      </w:r>
      <w:r w:rsidR="00F53B80" w:rsidRPr="00F171A3">
        <w:t>ului</w:t>
      </w:r>
      <w:r w:rsidRPr="00F171A3">
        <w:t xml:space="preserve"> 2, în perioada 2018-2022 au participat la cursuri 1.105 persoane, cursuri ce au fost organizate la nivelul instituției. Din totalul de 1.105 participanți la cursuri, personalul contractual a participat la un număr de 88 de cursuri.  </w:t>
      </w:r>
    </w:p>
    <w:p w14:paraId="08422BE7" w14:textId="77777777" w:rsidR="0006359E" w:rsidRPr="00F171A3" w:rsidRDefault="0006359E" w:rsidP="0006359E">
      <w:pPr>
        <w:rPr>
          <w:i/>
          <w:szCs w:val="20"/>
        </w:rPr>
      </w:pPr>
      <w:r w:rsidRPr="00F171A3">
        <w:rPr>
          <w:szCs w:val="20"/>
        </w:rPr>
        <w:t>Un chestionar aplicat la nivelul personalului</w:t>
      </w:r>
      <w:r w:rsidRPr="00F171A3">
        <w:t xml:space="preserve"> </w:t>
      </w:r>
      <w:r w:rsidRPr="00F171A3">
        <w:rPr>
          <w:szCs w:val="20"/>
        </w:rPr>
        <w:t>a analizat</w:t>
      </w:r>
      <w:r w:rsidRPr="00F171A3">
        <w:rPr>
          <w:i/>
          <w:szCs w:val="20"/>
        </w:rPr>
        <w:t xml:space="preserve"> </w:t>
      </w:r>
      <w:r w:rsidRPr="00F171A3">
        <w:rPr>
          <w:szCs w:val="20"/>
        </w:rPr>
        <w:t xml:space="preserve">gradul de percepție al acestora privind implicarea în efortul de îndeplinire a obiectivelor strategice de la nivelul instituției, respectiv obiectivelor specifice ale structurii funcționale din care fac parte. Acest proces este unul critic pentru buna îndeplinire a responsabilităților prin includerea personalului în toate etapele elaborării documentelor strategice de la nivel local și care au impact asupra activității lor de zi cu zi. </w:t>
      </w:r>
    </w:p>
    <w:p w14:paraId="6D9AE9B9" w14:textId="77777777" w:rsidR="0006359E" w:rsidRPr="00F171A3" w:rsidRDefault="0006359E" w:rsidP="0006359E">
      <w:pPr>
        <w:rPr>
          <w:szCs w:val="20"/>
        </w:rPr>
      </w:pPr>
      <w:r w:rsidRPr="00F171A3">
        <w:rPr>
          <w:szCs w:val="20"/>
        </w:rPr>
        <w:t xml:space="preserve">Nu există diferențe semnificative între implicarea personalului în îndeplinirea obiectivelor strategice ale instituției și așteptările acestora. </w:t>
      </w:r>
      <w:r w:rsidRPr="00F171A3">
        <w:rPr>
          <w:color w:val="000000"/>
        </w:rPr>
        <w:t xml:space="preserve">Din perspectiva activităților zilnice, se regăsesc și contribuie efectiv la îndeplinirea obiectivelor strategice și prioritare ale primăriei </w:t>
      </w:r>
      <w:r w:rsidRPr="00F171A3">
        <w:rPr>
          <w:i/>
          <w:color w:val="000000"/>
        </w:rPr>
        <w:t>Mult și Foarte mult</w:t>
      </w:r>
      <w:r w:rsidRPr="00F171A3">
        <w:rPr>
          <w:color w:val="000000"/>
        </w:rPr>
        <w:t xml:space="preserve"> 56,4% dintre respondenți, iar 67,5% consideră că ar trebui să se regăsească și să fie valorizați în îndeplinirea obiectivelor generale ale primăriei </w:t>
      </w:r>
      <w:r w:rsidRPr="00F171A3">
        <w:rPr>
          <w:i/>
          <w:color w:val="000000"/>
        </w:rPr>
        <w:t>Mult și Foarte mult</w:t>
      </w:r>
      <w:r w:rsidRPr="00F171A3">
        <w:rPr>
          <w:color w:val="000000"/>
        </w:rPr>
        <w:t>. Acest fapt evidențiază o pondere de 11,1% respondenți care consideră că nu se regăsesc și nu contribuie la efortul de îndeplinire a obiectivelor primăriei, dar cred că ar fi necesar acest lucru.</w:t>
      </w:r>
      <w:r w:rsidRPr="00F171A3">
        <w:rPr>
          <w:szCs w:val="20"/>
        </w:rPr>
        <w:t xml:space="preserve"> Diferența de 11.1% indică nevoia de extindere continuă a implicării personalului în activitățile  generale de la nivelul instituției. </w:t>
      </w:r>
    </w:p>
    <w:p w14:paraId="6B054FDF" w14:textId="0A8F4473" w:rsidR="0006359E" w:rsidRPr="00F171A3" w:rsidRDefault="00AF2C45" w:rsidP="00AF2C45">
      <w:pPr>
        <w:pStyle w:val="Caption"/>
      </w:pPr>
      <w:bookmarkStart w:id="327" w:name="_Toc127198109"/>
      <w:r w:rsidRPr="00F171A3">
        <w:t xml:space="preserve">Figura </w:t>
      </w:r>
      <w:r w:rsidRPr="00F171A3">
        <w:fldChar w:fldCharType="begin"/>
      </w:r>
      <w:r w:rsidRPr="00F171A3">
        <w:instrText xml:space="preserve"> SEQ Figura \* ARABIC </w:instrText>
      </w:r>
      <w:r w:rsidRPr="00F171A3">
        <w:fldChar w:fldCharType="separate"/>
      </w:r>
      <w:r w:rsidR="005A6DD8">
        <w:rPr>
          <w:noProof/>
        </w:rPr>
        <w:t>121</w:t>
      </w:r>
      <w:r w:rsidRPr="00F171A3">
        <w:fldChar w:fldCharType="end"/>
      </w:r>
      <w:r w:rsidRPr="00F171A3">
        <w:t xml:space="preserve"> Percepția privind măsura în care personalul declară că se regăsește, respectiv ar trebui să se regăsească, în efortul de îndeplinire a obiectivelor generale ale Primăriei Sectorului 2</w:t>
      </w:r>
      <w:bookmarkEnd w:id="327"/>
    </w:p>
    <w:p w14:paraId="45D60CFB" w14:textId="77777777" w:rsidR="0006359E" w:rsidRPr="00F171A3" w:rsidRDefault="0006359E" w:rsidP="0006359E">
      <w:pPr>
        <w:spacing w:before="240"/>
      </w:pPr>
      <w:r w:rsidRPr="00F171A3">
        <w:rPr>
          <w:noProof/>
          <w:color w:val="000000"/>
          <w:bdr w:val="none" w:sz="0" w:space="0" w:color="auto" w:frame="1"/>
        </w:rPr>
        <w:drawing>
          <wp:inline distT="0" distB="0" distL="0" distR="0" wp14:anchorId="7A264886" wp14:editId="29B943DA">
            <wp:extent cx="5998210" cy="2618508"/>
            <wp:effectExtent l="0" t="0" r="2540" b="0"/>
            <wp:docPr id="146" name="Picture 146" descr="https://lh3.googleusercontent.com/XUEvaJ329O4AmkTQgohLM_xA6Ftufd5wv4SF3RWvQ1wCjWClMbL9FC3ny4f61thHab8yTPLQ1fMjchGHZFI1zPNNKSdpXkw4x4_oyu3Bjewv-46TeBJR1JoLzgkpEmNijMir7kctiKbK1VK-TiIj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XUEvaJ329O4AmkTQgohLM_xA6Ftufd5wv4SF3RWvQ1wCjWClMbL9FC3ny4f61thHab8yTPLQ1fMjchGHZFI1zPNNKSdpXkw4x4_oyu3Bjewv-46TeBJR1JoLzgkpEmNijMir7kctiKbK1VK-TiIj3Q"/>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98210" cy="2618508"/>
                    </a:xfrm>
                    <a:prstGeom prst="rect">
                      <a:avLst/>
                    </a:prstGeom>
                    <a:noFill/>
                    <a:ln>
                      <a:noFill/>
                    </a:ln>
                  </pic:spPr>
                </pic:pic>
              </a:graphicData>
            </a:graphic>
          </wp:inline>
        </w:drawing>
      </w:r>
    </w:p>
    <w:p w14:paraId="3FBCD379" w14:textId="70BE4F83" w:rsidR="0006359E" w:rsidRPr="00F171A3" w:rsidRDefault="0006359E" w:rsidP="0006359E">
      <w:pPr>
        <w:spacing w:before="240"/>
        <w:rPr>
          <w:rFonts w:eastAsia="Times New Roman"/>
          <w:color w:val="000000"/>
        </w:rPr>
      </w:pPr>
      <w:r w:rsidRPr="00F171A3">
        <w:t xml:space="preserve">Așa cum era de așteptat, diferențele se reduc când personalul instituției se autoevaluează privind implicarea în procesul de îndeplinire a obiectivelor specifice structurii funcționale din care fac parte. </w:t>
      </w:r>
      <w:r w:rsidRPr="00F171A3">
        <w:rPr>
          <w:rFonts w:eastAsia="Times New Roman"/>
          <w:color w:val="000000"/>
        </w:rPr>
        <w:t xml:space="preserve">72,0% dintre respondenți consideră că se regăsesc și contribuie efectiv </w:t>
      </w:r>
      <w:r w:rsidRPr="00F171A3">
        <w:rPr>
          <w:rFonts w:eastAsia="Times New Roman"/>
          <w:i/>
          <w:color w:val="000000"/>
        </w:rPr>
        <w:t>Mult și Foarte mult</w:t>
      </w:r>
      <w:r w:rsidRPr="00F171A3">
        <w:rPr>
          <w:rFonts w:eastAsia="Times New Roman"/>
          <w:color w:val="000000"/>
        </w:rPr>
        <w:t xml:space="preserve">, iar 79,7% dintre respondenți consideră că ar trebui să se regăsească și să fie valorizați </w:t>
      </w:r>
      <w:r w:rsidRPr="00F171A3">
        <w:rPr>
          <w:rFonts w:eastAsia="Times New Roman"/>
          <w:i/>
          <w:color w:val="000000"/>
        </w:rPr>
        <w:t>Mult și Foarte mult</w:t>
      </w:r>
      <w:r w:rsidRPr="00F171A3">
        <w:rPr>
          <w:rFonts w:eastAsia="Times New Roman"/>
          <w:color w:val="000000"/>
        </w:rPr>
        <w:t>. 7.6% consideră că nu se regăsesc și nu contribuie în efortul de îndeplinire a obiectivelor specifice ale structurii funcționale din care fac parte, dar ar trebui să se regăsească.</w:t>
      </w:r>
    </w:p>
    <w:p w14:paraId="4FFD4043" w14:textId="1E480DE6" w:rsidR="00AF2C45" w:rsidRPr="00F171A3" w:rsidRDefault="00AF2C45" w:rsidP="0006359E">
      <w:pPr>
        <w:spacing w:before="240"/>
        <w:rPr>
          <w:rFonts w:eastAsia="Times New Roman"/>
          <w:color w:val="000000"/>
        </w:rPr>
      </w:pPr>
    </w:p>
    <w:p w14:paraId="4D4A0287" w14:textId="77777777" w:rsidR="00AF2C45" w:rsidRPr="00F171A3" w:rsidRDefault="00AF2C45" w:rsidP="0006359E">
      <w:pPr>
        <w:spacing w:before="240"/>
      </w:pPr>
    </w:p>
    <w:p w14:paraId="4A099E13" w14:textId="223849C1" w:rsidR="0006359E" w:rsidRPr="00F171A3" w:rsidRDefault="00AF2C45" w:rsidP="00AF2C45">
      <w:pPr>
        <w:pStyle w:val="Caption"/>
      </w:pPr>
      <w:bookmarkStart w:id="328" w:name="_Toc127198110"/>
      <w:r w:rsidRPr="00F171A3">
        <w:t xml:space="preserve">Figura </w:t>
      </w:r>
      <w:r w:rsidRPr="00F171A3">
        <w:fldChar w:fldCharType="begin"/>
      </w:r>
      <w:r w:rsidRPr="00F171A3">
        <w:instrText xml:space="preserve"> SEQ Figura \* ARABIC </w:instrText>
      </w:r>
      <w:r w:rsidRPr="00F171A3">
        <w:fldChar w:fldCharType="separate"/>
      </w:r>
      <w:r w:rsidR="005A6DD8">
        <w:rPr>
          <w:noProof/>
        </w:rPr>
        <w:t>122</w:t>
      </w:r>
      <w:r w:rsidRPr="00F171A3">
        <w:fldChar w:fldCharType="end"/>
      </w:r>
      <w:r w:rsidRPr="00F171A3">
        <w:t xml:space="preserve"> Percepția privind măsura în care personalul declară că se regăsește, respectiv ar trebui să se regăsească, în efortul de îndeplinire a obiectivelor generale ale structurii funcționale din care face parte</w:t>
      </w:r>
      <w:bookmarkEnd w:id="328"/>
    </w:p>
    <w:p w14:paraId="6E0225ED" w14:textId="77777777" w:rsidR="0006359E" w:rsidRPr="00F171A3" w:rsidRDefault="0006359E" w:rsidP="0006359E"/>
    <w:p w14:paraId="6375EBEF" w14:textId="77777777" w:rsidR="0006359E" w:rsidRPr="00F171A3" w:rsidRDefault="0006359E" w:rsidP="0006359E">
      <w:r w:rsidRPr="00F171A3">
        <w:rPr>
          <w:noProof/>
          <w:color w:val="000000"/>
          <w:bdr w:val="none" w:sz="0" w:space="0" w:color="auto" w:frame="1"/>
        </w:rPr>
        <w:drawing>
          <wp:inline distT="0" distB="0" distL="0" distR="0" wp14:anchorId="436CCFBF" wp14:editId="406AAC27">
            <wp:extent cx="5943600" cy="2080260"/>
            <wp:effectExtent l="0" t="0" r="0" b="0"/>
            <wp:docPr id="147" name="Picture 147" descr="https://lh4.googleusercontent.com/S8LCS0nCACcd8yPeXUHQHIUYc50UQxeIP44dcZHa6LzH4dJKtgfGuNp4WpyGadK-3ThQ3ZEwjTLjmAMmhQXkc1W9g7HBuINKYlnxxiO7MsNuRjNKHT6Q27tRtEmQlBHPLbbuMRWrKenlZr0FsttW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S8LCS0nCACcd8yPeXUHQHIUYc50UQxeIP44dcZHa6LzH4dJKtgfGuNp4WpyGadK-3ThQ3ZEwjTLjmAMmhQXkc1W9g7HBuINKYlnxxiO7MsNuRjNKHT6Q27tRtEmQlBHPLbbuMRWrKenlZr0FsttWgQ"/>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080260"/>
                    </a:xfrm>
                    <a:prstGeom prst="rect">
                      <a:avLst/>
                    </a:prstGeom>
                    <a:noFill/>
                    <a:ln>
                      <a:noFill/>
                    </a:ln>
                  </pic:spPr>
                </pic:pic>
              </a:graphicData>
            </a:graphic>
          </wp:inline>
        </w:drawing>
      </w:r>
    </w:p>
    <w:p w14:paraId="79DFD889" w14:textId="77777777" w:rsidR="0006359E" w:rsidRPr="00F171A3" w:rsidRDefault="0006359E" w:rsidP="0006359E">
      <w:pPr>
        <w:rPr>
          <w:rFonts w:ascii="Times New Roman" w:eastAsia="Times New Roman" w:hAnsi="Times New Roman" w:cs="Times New Roman"/>
        </w:rPr>
      </w:pPr>
      <w:r w:rsidRPr="00F171A3">
        <w:rPr>
          <w:rFonts w:eastAsia="Times New Roman"/>
          <w:color w:val="000000"/>
        </w:rPr>
        <w:t>Majoritatea respondenților (64,4%) consideră că dețin informații în legătură cu rolul strategiilor și planurilor strategice sectoriale ce se pot implementa la nivelul unei primării. Totuși, puțin peste o treime  din totalul respondenților nu sunt informați deloc, iar cei mai mulți, (46,4%) din numărul acestora sunt informați, dar nu în totalitate. Astfel, ponderea respondenților care sunt în totalitate informați cu privire la rolul strategiilor și al planurilor strategice sectoriale ce se pot implementa la nivelul unei primării este de 18,0%, restul fiind informați într-o doar oarecare măsură sau neinformați.</w:t>
      </w:r>
    </w:p>
    <w:p w14:paraId="0C5D9CBA" w14:textId="03FA3783" w:rsidR="0006359E" w:rsidRPr="00F171A3" w:rsidRDefault="00AF2C45" w:rsidP="00AF2C45">
      <w:pPr>
        <w:pStyle w:val="Caption"/>
      </w:pPr>
      <w:bookmarkStart w:id="329" w:name="_Toc127198111"/>
      <w:r w:rsidRPr="00F171A3">
        <w:t xml:space="preserve">Figura </w:t>
      </w:r>
      <w:r w:rsidRPr="00F171A3">
        <w:fldChar w:fldCharType="begin"/>
      </w:r>
      <w:r w:rsidRPr="00F171A3">
        <w:instrText xml:space="preserve"> SEQ Figura \* ARABIC </w:instrText>
      </w:r>
      <w:r w:rsidRPr="00F171A3">
        <w:fldChar w:fldCharType="separate"/>
      </w:r>
      <w:r w:rsidR="005A6DD8">
        <w:rPr>
          <w:noProof/>
        </w:rPr>
        <w:t>123</w:t>
      </w:r>
      <w:r w:rsidRPr="00F171A3">
        <w:fldChar w:fldCharType="end"/>
      </w:r>
      <w:r w:rsidRPr="00F171A3">
        <w:t xml:space="preserve"> Grad de cunoaștere documente strategice </w:t>
      </w:r>
      <w:r w:rsidR="0006359E" w:rsidRPr="00F171A3">
        <w:t>la nivelul unei primării</w:t>
      </w:r>
      <w:bookmarkEnd w:id="329"/>
    </w:p>
    <w:p w14:paraId="7E523F44" w14:textId="77777777" w:rsidR="0006359E" w:rsidRPr="00F171A3" w:rsidRDefault="0006359E" w:rsidP="0006359E">
      <w:pPr>
        <w:spacing w:before="240"/>
      </w:pPr>
      <w:r w:rsidRPr="00F171A3">
        <w:rPr>
          <w:noProof/>
          <w:color w:val="000000"/>
          <w:bdr w:val="none" w:sz="0" w:space="0" w:color="auto" w:frame="1"/>
        </w:rPr>
        <w:drawing>
          <wp:inline distT="0" distB="0" distL="0" distR="0" wp14:anchorId="575B1EDF" wp14:editId="5DBC2E85">
            <wp:extent cx="5745480" cy="2583180"/>
            <wp:effectExtent l="0" t="0" r="0" b="0"/>
            <wp:docPr id="148" name="Picture 148" descr="https://lh3.googleusercontent.com/uqDHZfZylNCY_F5Do1wdvNKjYZDL8JFpbyF3Brhkoh8ssRRTKDzHLklIZXJFI8oue_3tzPM4thLmHvTf5sHpsufnIG0BWKi7ekOjMnoeJ2yU1h_WKFUeL7atRiYS0i8AaRGPW9GkB2gkypTJ7ZIC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uqDHZfZylNCY_F5Do1wdvNKjYZDL8JFpbyF3Brhkoh8ssRRTKDzHLklIZXJFI8oue_3tzPM4thLmHvTf5sHpsufnIG0BWKi7ekOjMnoeJ2yU1h_WKFUeL7atRiYS0i8AaRGPW9GkB2gkypTJ7ZICwA"/>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45480" cy="2583180"/>
                    </a:xfrm>
                    <a:prstGeom prst="rect">
                      <a:avLst/>
                    </a:prstGeom>
                    <a:noFill/>
                    <a:ln>
                      <a:noFill/>
                    </a:ln>
                  </pic:spPr>
                </pic:pic>
              </a:graphicData>
            </a:graphic>
          </wp:inline>
        </w:drawing>
      </w:r>
    </w:p>
    <w:p w14:paraId="345220A5" w14:textId="3733C373" w:rsidR="0006359E" w:rsidRPr="00F171A3" w:rsidRDefault="0006359E" w:rsidP="0006359E">
      <w:pPr>
        <w:spacing w:before="240"/>
        <w:rPr>
          <w:bCs/>
        </w:rPr>
      </w:pPr>
      <w:r w:rsidRPr="00F171A3">
        <w:t xml:space="preserve">În ceea ce privește </w:t>
      </w:r>
      <w:r w:rsidRPr="00F171A3">
        <w:rPr>
          <w:bCs/>
        </w:rPr>
        <w:t>participarea directă sau cu informații la elaborarea unor documente strategice ale Primăriei Sector</w:t>
      </w:r>
      <w:r w:rsidR="00135D70" w:rsidRPr="00F171A3">
        <w:rPr>
          <w:bCs/>
        </w:rPr>
        <w:t>ului</w:t>
      </w:r>
      <w:r w:rsidRPr="00F171A3">
        <w:rPr>
          <w:bCs/>
        </w:rPr>
        <w:t xml:space="preserve"> 2, 67.1% au declarat că nu au fost implicați, 23,1% consideră că sunt implicați prin activități de furnizare a informațiilor către cei care elaborează documentele de planificare strategică, iar 9,8% participă direct prin grupuri de lucru sau evenimente de consultare la elaborarea unor documente strategice.</w:t>
      </w:r>
    </w:p>
    <w:p w14:paraId="4DBB270B" w14:textId="77777777" w:rsidR="0006359E" w:rsidRPr="00F171A3" w:rsidRDefault="0006359E" w:rsidP="0006359E">
      <w:pPr>
        <w:spacing w:before="240"/>
      </w:pPr>
    </w:p>
    <w:p w14:paraId="1FD5A751" w14:textId="51A91762" w:rsidR="0006359E" w:rsidRPr="00F171A3" w:rsidRDefault="0006359E" w:rsidP="0006359E">
      <w:pPr>
        <w:pStyle w:val="Heading3"/>
        <w:rPr>
          <w:lang w:val="ro-RO"/>
        </w:rPr>
      </w:pPr>
      <w:bookmarkStart w:id="330" w:name="_heading=h.29yz7q8" w:colFirst="0" w:colLast="0"/>
      <w:bookmarkStart w:id="331" w:name="_Toc114505907"/>
      <w:bookmarkStart w:id="332" w:name="_Toc127199297"/>
      <w:bookmarkEnd w:id="330"/>
      <w:r w:rsidRPr="00F171A3">
        <w:rPr>
          <w:lang w:val="ro-RO"/>
        </w:rPr>
        <w:t>SISTEMUL DE PROCEDURI LA NIVELUL PRIMĂRIEI SECTOR</w:t>
      </w:r>
      <w:r w:rsidR="00F53B80" w:rsidRPr="00F171A3">
        <w:rPr>
          <w:lang w:val="ro-RO"/>
        </w:rPr>
        <w:t>ULUI</w:t>
      </w:r>
      <w:r w:rsidRPr="00F171A3">
        <w:rPr>
          <w:lang w:val="ro-RO"/>
        </w:rPr>
        <w:t xml:space="preserve"> 2</w:t>
      </w:r>
      <w:bookmarkEnd w:id="331"/>
      <w:bookmarkEnd w:id="332"/>
    </w:p>
    <w:p w14:paraId="62808B7E" w14:textId="77777777" w:rsidR="0006359E" w:rsidRPr="00F171A3" w:rsidRDefault="0006359E" w:rsidP="0006359E">
      <w:pPr>
        <w:rPr>
          <w:color w:val="000000"/>
        </w:rPr>
      </w:pPr>
      <w:r w:rsidRPr="00F171A3">
        <w:rPr>
          <w:color w:val="000000"/>
        </w:rPr>
        <w:t xml:space="preserve">Un sistem optim de proceduri reprezintă o componentă cheie pentru buna desfășurare a proceselor interne ale administrației Sector 2. Reglementarea și eficientizarea activității, formalizarea și stabilirea parametrilor de lucru din interiorul instituției, clarificarea rolurilor și delimitarea responsabilităților și competențelor necesită proceduri de lucru și de sistem bine clarificate, asumate de întreg personalul și, desigur, cunoscute de aceștia. </w:t>
      </w:r>
    </w:p>
    <w:p w14:paraId="78743C08" w14:textId="28737F5A" w:rsidR="0006359E" w:rsidRPr="00F171A3" w:rsidRDefault="0006359E" w:rsidP="0006359E">
      <w:pPr>
        <w:rPr>
          <w:color w:val="000000"/>
        </w:rPr>
      </w:pPr>
      <w:r w:rsidRPr="00F171A3">
        <w:rPr>
          <w:color w:val="000000"/>
        </w:rPr>
        <w:t>La nivelul Primăriei Sector</w:t>
      </w:r>
      <w:r w:rsidR="00135D70" w:rsidRPr="00F171A3">
        <w:rPr>
          <w:color w:val="000000"/>
        </w:rPr>
        <w:t>ului</w:t>
      </w:r>
      <w:r w:rsidRPr="00F171A3">
        <w:rPr>
          <w:color w:val="000000"/>
        </w:rPr>
        <w:t xml:space="preserve"> 2 sunt implementate două tipuri de proceduri: (1) </w:t>
      </w:r>
      <w:r w:rsidRPr="00F171A3">
        <w:rPr>
          <w:i/>
          <w:color w:val="000000"/>
        </w:rPr>
        <w:t>proceduri de sistem</w:t>
      </w:r>
      <w:r w:rsidRPr="00F171A3">
        <w:rPr>
          <w:color w:val="000000"/>
        </w:rPr>
        <w:t xml:space="preserve"> care </w:t>
      </w:r>
      <w:r w:rsidRPr="00F171A3">
        <w:t xml:space="preserve">descriu procese desfăşurate la nivelul întregului aparat administrativ sau majorităţii compartimentelor din cadrul instituţiei, respectiv </w:t>
      </w:r>
      <w:r w:rsidRPr="00F171A3">
        <w:rPr>
          <w:color w:val="000000"/>
        </w:rPr>
        <w:t xml:space="preserve"> (2) </w:t>
      </w:r>
      <w:r w:rsidRPr="00F171A3">
        <w:rPr>
          <w:i/>
          <w:color w:val="000000"/>
        </w:rPr>
        <w:t>proceduri de lucru</w:t>
      </w:r>
      <w:r w:rsidRPr="00F171A3">
        <w:rPr>
          <w:color w:val="000000"/>
        </w:rPr>
        <w:t xml:space="preserve"> care </w:t>
      </w:r>
      <w:r w:rsidRPr="00F171A3">
        <w:t>descriu un proces sau o activitate care se desfăşoară la nivelul unuia sau mai multor compartimente dintr-o entitate, fără aplicabilitate la nivelul întregii entități publice</w:t>
      </w:r>
      <w:r w:rsidR="00F555EE" w:rsidRPr="00F171A3">
        <w:t>.</w:t>
      </w:r>
    </w:p>
    <w:p w14:paraId="1E300841" w14:textId="77777777" w:rsidR="0006359E" w:rsidRPr="00F171A3" w:rsidRDefault="0006359E" w:rsidP="0006359E">
      <w:pPr>
        <w:rPr>
          <w:color w:val="000000"/>
        </w:rPr>
      </w:pPr>
      <w:r w:rsidRPr="00F171A3">
        <w:rPr>
          <w:color w:val="000000"/>
        </w:rPr>
        <w:t xml:space="preserve">Procedurile asigură o abordare unitară și coerentă a activităților autorității publice, ajută la îmbunătățirea calității serviciilor publice oferite și creșterea transparenței. </w:t>
      </w:r>
      <w:r w:rsidRPr="00F171A3">
        <w:t xml:space="preserve">  La nivelul Primăriei Sectorului 2 este în vigoare procedura de sistem </w:t>
      </w:r>
      <w:r w:rsidRPr="00F171A3">
        <w:rPr>
          <w:i/>
        </w:rPr>
        <w:t>PS2-PS-001 – Elaborarea procedurilor documentate – proceduri de sistem şi proceduri de lucru,</w:t>
      </w:r>
      <w:r w:rsidRPr="00F171A3">
        <w:t xml:space="preserve"> cu respectarea   prevederilor OSGG 600/2018 privind aprobarea Codului controlului intern managerial al entităților publice  și ale Standardului ISO 9001:2015</w:t>
      </w:r>
      <w:r w:rsidRPr="00F171A3">
        <w:rPr>
          <w:i/>
        </w:rPr>
        <w:t xml:space="preserve"> Sisteme de management al calității. Cerinţe.</w:t>
      </w:r>
      <w:r w:rsidRPr="00F171A3">
        <w:t xml:space="preserve"> </w:t>
      </w:r>
    </w:p>
    <w:p w14:paraId="33B95724" w14:textId="4A607BF5" w:rsidR="0006359E" w:rsidRPr="00F171A3" w:rsidRDefault="0006359E" w:rsidP="0006359E">
      <w:r w:rsidRPr="00F171A3">
        <w:t>La nivelul Primăriei Sector</w:t>
      </w:r>
      <w:r w:rsidR="00135D70" w:rsidRPr="00F171A3">
        <w:t>ului</w:t>
      </w:r>
      <w:r w:rsidRPr="00F171A3">
        <w:t xml:space="preserve"> 2 este alcătuită o comisie de monitorizare, coordonare și îndrumare metodologică cu rol cheie în dezvoltarea și aplicarea sistemului intern de control, proceduri și de implementare a standardelor de management. Această abordare permite personalului administrativ un control cât mai eficient asupra funcționării instituției. Conform informațiilor furnizate de personalul primăriei, procedurile adoptate reglementează majoritatea activităților interne și urmează un cadru bine reglementat la nivel intern. Sistemul de proceduri nu integrează și soluții software.</w:t>
      </w:r>
    </w:p>
    <w:p w14:paraId="6850DC63" w14:textId="77777777" w:rsidR="0006359E" w:rsidRPr="00F171A3" w:rsidRDefault="0006359E" w:rsidP="0006359E">
      <w:r w:rsidRPr="00F171A3">
        <w:t>Identificarea proceselor ce necesită derularea de proceduri specifice urmează două etape, în funcție de aplicabilitatea acestora.</w:t>
      </w:r>
    </w:p>
    <w:p w14:paraId="0123B9C8" w14:textId="7E6B9B14" w:rsidR="0006359E" w:rsidRPr="00F171A3" w:rsidRDefault="0006359E">
      <w:pPr>
        <w:numPr>
          <w:ilvl w:val="0"/>
          <w:numId w:val="85"/>
        </w:numPr>
        <w:pBdr>
          <w:top w:val="nil"/>
          <w:left w:val="nil"/>
          <w:bottom w:val="nil"/>
          <w:right w:val="nil"/>
          <w:between w:val="nil"/>
        </w:pBdr>
        <w:rPr>
          <w:color w:val="134753"/>
        </w:rPr>
      </w:pPr>
      <w:r w:rsidRPr="00F171A3">
        <w:rPr>
          <w:color w:val="134753"/>
        </w:rPr>
        <w:t>Procedurile de sistem pot fi identificate de către membrii Comisiei de monitorizare a Sistemului de Control Intern Managerial, membrii Comitetului Director al Calităţii în cadrul unor audituri interne/externe, etc. Procedurile de sistem se vor elabora în cadrul unor grupuri de lucru nominalizate în acest sens</w:t>
      </w:r>
      <w:r w:rsidR="00F555EE" w:rsidRPr="00F171A3">
        <w:rPr>
          <w:color w:val="134753"/>
        </w:rPr>
        <w:t>;</w:t>
      </w:r>
    </w:p>
    <w:p w14:paraId="529ACBC7"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Procedurile de lucru (operaţionale) sunt identificate de către conducătorul serviciului/biroului/ compartimentului din cadrul PS2, împreună cu conducătorul ierarhic (în funcţie de specificul structurii) pentru a descrie procesele majore şi activităţile semnificative.  </w:t>
      </w:r>
    </w:p>
    <w:p w14:paraId="17886BE3" w14:textId="77777777" w:rsidR="0006359E" w:rsidRPr="00F171A3" w:rsidRDefault="0006359E" w:rsidP="0006359E">
      <w:r w:rsidRPr="00F171A3">
        <w:t>În a doua etapă, procedurile sunt elaborate în cadrul unor colective de lucru formate, de regulă, din personalul de conducere, personal de execuţie (implicat în mod direct în desfăşurarea procesului/activităţii procedurate) şi responsabilul/responsabilii cu gestionarea documentației Sistemului de Control Intern Managerial (SCIM) și Sistemului de Management al Calității (SMC).</w:t>
      </w:r>
    </w:p>
    <w:p w14:paraId="679F9331" w14:textId="2DE0A7FE" w:rsidR="0006359E" w:rsidRPr="00F171A3" w:rsidRDefault="0006359E">
      <w:pPr>
        <w:numPr>
          <w:ilvl w:val="0"/>
          <w:numId w:val="85"/>
        </w:numPr>
        <w:pBdr>
          <w:top w:val="nil"/>
          <w:left w:val="nil"/>
          <w:bottom w:val="nil"/>
          <w:right w:val="nil"/>
          <w:between w:val="nil"/>
        </w:pBdr>
        <w:rPr>
          <w:color w:val="134753"/>
        </w:rPr>
      </w:pPr>
      <w:r w:rsidRPr="00F171A3">
        <w:rPr>
          <w:color w:val="134753"/>
        </w:rPr>
        <w:t>Procedurile de lucru  sunt semnate de către elaborator şi transmise spre verificare şi semnare către şeful/şefii ierarhic/ierarhici al/ai colectivelor de elaborare. În cazul în care sunt implicate mai multe compartimente în această etapă, se utilizează formularul de analiză proceduri documentate. Ulterior, procedurile sunt transmise către Biroul Control Intern și Managementul Calităţii, în vederea verificării conformităţii cu prezenta procedură de sistem şi ulterior transmiterii spre avizare de către Preşedintele Comisiei SCIM şi aprobare de către Primar</w:t>
      </w:r>
      <w:r w:rsidR="00F555EE" w:rsidRPr="00F171A3">
        <w:rPr>
          <w:color w:val="134753"/>
        </w:rPr>
        <w:t>;</w:t>
      </w:r>
    </w:p>
    <w:p w14:paraId="6FDEB3B0"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Procedurile de sistem se transmite de către compartimentul iniţiator, în format printat şi electronic (editabil), către BCIMC. Personalul BCIMC asigură transmiterea în format electronic a procedurilor de sistem către toţi membrii Comisiei SCIM, în vederea analizării şi verificării acestora. </w:t>
      </w:r>
    </w:p>
    <w:p w14:paraId="24BDA04E" w14:textId="77777777" w:rsidR="00AF2C45" w:rsidRPr="00F171A3" w:rsidRDefault="00AF2C45" w:rsidP="00AF2C45">
      <w:bookmarkStart w:id="333" w:name="_heading=h.p49hy1" w:colFirst="0" w:colLast="0"/>
      <w:bookmarkEnd w:id="333"/>
    </w:p>
    <w:p w14:paraId="4DA04E90" w14:textId="652CA4F2" w:rsidR="0006359E" w:rsidRPr="00F171A3" w:rsidRDefault="00AF2C45" w:rsidP="00AF2C45">
      <w:pPr>
        <w:pStyle w:val="Caption"/>
        <w:rPr>
          <w:b w:val="0"/>
        </w:rPr>
      </w:pPr>
      <w:bookmarkStart w:id="334" w:name="_Toc127198112"/>
      <w:r w:rsidRPr="00F171A3">
        <w:t xml:space="preserve">Figura </w:t>
      </w:r>
      <w:r w:rsidRPr="00F171A3">
        <w:fldChar w:fldCharType="begin"/>
      </w:r>
      <w:r w:rsidRPr="00F171A3">
        <w:instrText xml:space="preserve"> SEQ Figura \* ARABIC </w:instrText>
      </w:r>
      <w:r w:rsidRPr="00F171A3">
        <w:fldChar w:fldCharType="separate"/>
      </w:r>
      <w:r w:rsidR="005A6DD8">
        <w:rPr>
          <w:noProof/>
        </w:rPr>
        <w:t>124</w:t>
      </w:r>
      <w:r w:rsidRPr="00F171A3">
        <w:fldChar w:fldCharType="end"/>
      </w:r>
      <w:r w:rsidRPr="00F171A3">
        <w:t xml:space="preserve"> </w:t>
      </w:r>
      <w:r w:rsidR="0006359E" w:rsidRPr="00F171A3">
        <w:t>Procesul elaborării unei proceduri</w:t>
      </w:r>
      <w:bookmarkEnd w:id="334"/>
    </w:p>
    <w:p w14:paraId="19F2CC3F" w14:textId="77777777" w:rsidR="0006359E" w:rsidRPr="00F171A3" w:rsidRDefault="0006359E" w:rsidP="0006359E">
      <w:pPr>
        <w:spacing w:after="0"/>
        <w:jc w:val="center"/>
        <w:rPr>
          <w:color w:val="000000"/>
        </w:rPr>
      </w:pPr>
      <w:r w:rsidRPr="00F171A3">
        <w:rPr>
          <w:noProof/>
        </w:rPr>
        <mc:AlternateContent>
          <mc:Choice Requires="wpg">
            <w:drawing>
              <wp:inline distT="0" distB="0" distL="0" distR="0" wp14:anchorId="17519888" wp14:editId="218AD79B">
                <wp:extent cx="5791200" cy="1950720"/>
                <wp:effectExtent l="0" t="0" r="0" b="0"/>
                <wp:docPr id="108" name="Group 108"/>
                <wp:cNvGraphicFramePr/>
                <a:graphic xmlns:a="http://schemas.openxmlformats.org/drawingml/2006/main">
                  <a:graphicData uri="http://schemas.microsoft.com/office/word/2010/wordprocessingGroup">
                    <wpg:wgp>
                      <wpg:cNvGrpSpPr/>
                      <wpg:grpSpPr>
                        <a:xfrm>
                          <a:off x="0" y="0"/>
                          <a:ext cx="5791200" cy="1950720"/>
                          <a:chOff x="0" y="0"/>
                          <a:chExt cx="5791200" cy="1950700"/>
                        </a:xfrm>
                      </wpg:grpSpPr>
                      <wpg:grpSp>
                        <wpg:cNvPr id="109" name="Group 109"/>
                        <wpg:cNvGrpSpPr/>
                        <wpg:grpSpPr>
                          <a:xfrm>
                            <a:off x="0" y="0"/>
                            <a:ext cx="5791200" cy="1950700"/>
                            <a:chOff x="0" y="0"/>
                            <a:chExt cx="5791200" cy="1950700"/>
                          </a:xfrm>
                        </wpg:grpSpPr>
                        <wps:wsp>
                          <wps:cNvPr id="110" name="Rectangle 110"/>
                          <wps:cNvSpPr/>
                          <wps:spPr>
                            <a:xfrm>
                              <a:off x="0" y="0"/>
                              <a:ext cx="5791200" cy="1950700"/>
                            </a:xfrm>
                            <a:prstGeom prst="rect">
                              <a:avLst/>
                            </a:prstGeom>
                            <a:noFill/>
                            <a:ln>
                              <a:noFill/>
                            </a:ln>
                          </wps:spPr>
                          <wps:txbx>
                            <w:txbxContent>
                              <w:p w14:paraId="430E70C3"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11" name="Rounded Rectangle 25612"/>
                          <wps:cNvSpPr/>
                          <wps:spPr>
                            <a:xfrm>
                              <a:off x="73505" y="0"/>
                              <a:ext cx="1062949" cy="1166400"/>
                            </a:xfrm>
                            <a:prstGeom prst="roundRect">
                              <a:avLst>
                                <a:gd name="adj" fmla="val 10000"/>
                              </a:avLst>
                            </a:prstGeom>
                            <a:solidFill>
                              <a:srgbClr val="134753"/>
                            </a:solidFill>
                            <a:ln w="25400" cap="flat" cmpd="sng">
                              <a:solidFill>
                                <a:schemeClr val="lt1"/>
                              </a:solidFill>
                              <a:prstDash val="solid"/>
                              <a:round/>
                              <a:headEnd type="none" w="sm" len="sm"/>
                              <a:tailEnd type="none" w="sm" len="sm"/>
                            </a:ln>
                          </wps:spPr>
                          <wps:txbx>
                            <w:txbxContent>
                              <w:p w14:paraId="1C08B02D" w14:textId="77777777" w:rsidR="0006359E" w:rsidRPr="00F555EE" w:rsidRDefault="0006359E" w:rsidP="0006359E">
                                <w:pPr>
                                  <w:spacing w:after="0"/>
                                  <w:jc w:val="left"/>
                                  <w:textDirection w:val="btLr"/>
                                  <w:rPr>
                                    <w:color w:val="FFFFFF" w:themeColor="background1"/>
                                    <w:sz w:val="20"/>
                                    <w:szCs w:val="20"/>
                                  </w:rPr>
                                </w:pPr>
                              </w:p>
                            </w:txbxContent>
                          </wps:txbx>
                          <wps:bodyPr spcFirstLastPara="1" wrap="square" lIns="91425" tIns="91425" rIns="91425" bIns="91425" anchor="ctr" anchorCtr="0">
                            <a:noAutofit/>
                          </wps:bodyPr>
                        </wps:wsp>
                        <wps:wsp>
                          <wps:cNvPr id="112" name="Text Box 112"/>
                          <wps:cNvSpPr txBox="1"/>
                          <wps:spPr>
                            <a:xfrm>
                              <a:off x="73505" y="0"/>
                              <a:ext cx="1062949" cy="368012"/>
                            </a:xfrm>
                            <a:prstGeom prst="rect">
                              <a:avLst/>
                            </a:prstGeom>
                            <a:noFill/>
                            <a:ln>
                              <a:noFill/>
                            </a:ln>
                          </wps:spPr>
                          <wps:txbx>
                            <w:txbxContent>
                              <w:p w14:paraId="145B5ED4" w14:textId="77777777" w:rsidR="0006359E" w:rsidRPr="00F555EE" w:rsidRDefault="0006359E" w:rsidP="0006359E">
                                <w:pPr>
                                  <w:spacing w:after="0" w:line="215" w:lineRule="auto"/>
                                  <w:jc w:val="left"/>
                                  <w:textDirection w:val="btLr"/>
                                  <w:rPr>
                                    <w:color w:val="FFFFFF" w:themeColor="background1"/>
                                    <w:sz w:val="20"/>
                                    <w:szCs w:val="20"/>
                                  </w:rPr>
                                </w:pPr>
                                <w:r w:rsidRPr="00F555EE">
                                  <w:rPr>
                                    <w:color w:val="FFFFFF" w:themeColor="background1"/>
                                    <w:sz w:val="20"/>
                                    <w:szCs w:val="20"/>
                                  </w:rPr>
                                  <w:t xml:space="preserve">   I</w:t>
                                </w:r>
                                <w:r w:rsidRPr="00F555EE">
                                  <w:rPr>
                                    <w:b/>
                                    <w:color w:val="FFFFFF" w:themeColor="background1"/>
                                    <w:sz w:val="20"/>
                                    <w:szCs w:val="20"/>
                                  </w:rPr>
                                  <w:t>nițiere</w:t>
                                </w:r>
                                <w:r w:rsidRPr="00F555EE">
                                  <w:rPr>
                                    <w:color w:val="FFFFFF" w:themeColor="background1"/>
                                    <w:sz w:val="20"/>
                                    <w:szCs w:val="20"/>
                                  </w:rPr>
                                  <w:t xml:space="preserve"> </w:t>
                                </w:r>
                                <w:r w:rsidRPr="00F555EE">
                                  <w:rPr>
                                    <w:b/>
                                    <w:color w:val="FFFFFF" w:themeColor="background1"/>
                                    <w:sz w:val="20"/>
                                    <w:szCs w:val="20"/>
                                  </w:rPr>
                                  <w:t>procedură</w:t>
                                </w:r>
                                <w:r w:rsidRPr="00F555EE">
                                  <w:rPr>
                                    <w:color w:val="FFFFFF" w:themeColor="background1"/>
                                    <w:sz w:val="20"/>
                                    <w:szCs w:val="20"/>
                                  </w:rPr>
                                  <w:t xml:space="preserve"> </w:t>
                                </w:r>
                              </w:p>
                            </w:txbxContent>
                          </wps:txbx>
                          <wps:bodyPr spcFirstLastPara="1" wrap="square" lIns="49775" tIns="49775" rIns="49775" bIns="26650" anchor="t" anchorCtr="0">
                            <a:noAutofit/>
                          </wps:bodyPr>
                        </wps:wsp>
                        <wps:wsp>
                          <wps:cNvPr id="113" name="Rounded Rectangle 25614"/>
                          <wps:cNvSpPr/>
                          <wps:spPr>
                            <a:xfrm>
                              <a:off x="183237" y="381766"/>
                              <a:ext cx="1075572" cy="1555200"/>
                            </a:xfrm>
                            <a:prstGeom prst="roundRect">
                              <a:avLst>
                                <a:gd name="adj" fmla="val 10000"/>
                              </a:avLst>
                            </a:prstGeom>
                            <a:solidFill>
                              <a:schemeClr val="lt1">
                                <a:alpha val="89803"/>
                              </a:schemeClr>
                            </a:solidFill>
                            <a:ln w="25400" cap="flat" cmpd="sng">
                              <a:solidFill>
                                <a:schemeClr val="accent1"/>
                              </a:solidFill>
                              <a:prstDash val="solid"/>
                              <a:round/>
                              <a:headEnd type="none" w="sm" len="sm"/>
                              <a:tailEnd type="none" w="sm" len="sm"/>
                            </a:ln>
                          </wps:spPr>
                          <wps:txbx>
                            <w:txbxContent>
                              <w:p w14:paraId="1051B280"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14" name="Text Box 114"/>
                          <wps:cNvSpPr txBox="1"/>
                          <wps:spPr>
                            <a:xfrm>
                              <a:off x="214739" y="413268"/>
                              <a:ext cx="1012568" cy="1492196"/>
                            </a:xfrm>
                            <a:prstGeom prst="rect">
                              <a:avLst/>
                            </a:prstGeom>
                            <a:noFill/>
                            <a:ln>
                              <a:noFill/>
                            </a:ln>
                          </wps:spPr>
                          <wps:txbx>
                            <w:txbxContent>
                              <w:p w14:paraId="293996EB" w14:textId="5DA15451" w:rsidR="0006359E" w:rsidRPr="00F555EE" w:rsidRDefault="0006359E" w:rsidP="0006359E">
                                <w:pPr>
                                  <w:spacing w:after="0" w:line="215" w:lineRule="auto"/>
                                  <w:ind w:left="90" w:firstLine="60"/>
                                  <w:jc w:val="left"/>
                                  <w:textDirection w:val="btLr"/>
                                  <w:rPr>
                                    <w:sz w:val="20"/>
                                    <w:szCs w:val="20"/>
                                  </w:rPr>
                                </w:pPr>
                                <w:r w:rsidRPr="00F555EE">
                                  <w:rPr>
                                    <w:b/>
                                    <w:color w:val="000000"/>
                                    <w:sz w:val="20"/>
                                    <w:szCs w:val="20"/>
                                  </w:rPr>
                                  <w:t xml:space="preserve"> </w:t>
                                </w:r>
                                <w:r w:rsidR="00EA6209" w:rsidRPr="00F555EE">
                                  <w:rPr>
                                    <w:b/>
                                    <w:color w:val="000000"/>
                                    <w:sz w:val="20"/>
                                    <w:szCs w:val="20"/>
                                  </w:rPr>
                                  <w:t>Proceduri</w:t>
                                </w:r>
                                <w:r w:rsidRPr="00F555EE">
                                  <w:rPr>
                                    <w:b/>
                                    <w:color w:val="000000"/>
                                    <w:sz w:val="20"/>
                                    <w:szCs w:val="20"/>
                                  </w:rPr>
                                  <w:t xml:space="preserve"> de lucru - Conducătorii direcțiilor, serviciilor, compartimentelor sau personalul din subordinea acestora pentru proceduri de lucru.</w:t>
                                </w:r>
                              </w:p>
                              <w:p w14:paraId="215F749D" w14:textId="77777777" w:rsidR="0006359E" w:rsidRPr="00F555EE" w:rsidRDefault="0006359E" w:rsidP="0006359E">
                                <w:pPr>
                                  <w:spacing w:before="18" w:after="0" w:line="215" w:lineRule="auto"/>
                                  <w:ind w:left="90" w:firstLine="60"/>
                                  <w:jc w:val="left"/>
                                  <w:textDirection w:val="btLr"/>
                                  <w:rPr>
                                    <w:sz w:val="20"/>
                                    <w:szCs w:val="20"/>
                                  </w:rPr>
                                </w:pPr>
                                <w:r w:rsidRPr="00F555EE">
                                  <w:rPr>
                                    <w:b/>
                                    <w:color w:val="000000"/>
                                    <w:sz w:val="20"/>
                                    <w:szCs w:val="20"/>
                                  </w:rPr>
                                  <w:t xml:space="preserve">Proceduri de sistem - membrii SCIM, membrii CDC </w:t>
                                </w:r>
                                <w:r w:rsidRPr="00F555EE">
                                  <w:rPr>
                                    <w:b/>
                                    <w:color w:val="000000"/>
                                    <w:sz w:val="20"/>
                                    <w:szCs w:val="20"/>
                                  </w:rPr>
                                  <w:tab/>
                                </w:r>
                              </w:p>
                              <w:p w14:paraId="66096A33" w14:textId="77777777" w:rsidR="0006359E" w:rsidRPr="00F555EE" w:rsidRDefault="0006359E" w:rsidP="0006359E">
                                <w:pPr>
                                  <w:spacing w:before="18" w:after="0" w:line="215" w:lineRule="auto"/>
                                  <w:ind w:left="90" w:firstLine="60"/>
                                  <w:jc w:val="left"/>
                                  <w:textDirection w:val="btLr"/>
                                  <w:rPr>
                                    <w:sz w:val="20"/>
                                    <w:szCs w:val="20"/>
                                  </w:rPr>
                                </w:pPr>
                                <w:r w:rsidRPr="00F555EE">
                                  <w:rPr>
                                    <w:b/>
                                    <w:color w:val="000000"/>
                                    <w:sz w:val="20"/>
                                    <w:szCs w:val="20"/>
                                  </w:rPr>
                                  <w:t>Procedurile pot fi inițiate și la solicitarea conducerii instituției.</w:t>
                                </w:r>
                              </w:p>
                            </w:txbxContent>
                          </wps:txbx>
                          <wps:bodyPr spcFirstLastPara="1" wrap="square" lIns="42650" tIns="42650" rIns="42650" bIns="42650" anchor="t" anchorCtr="0">
                            <a:noAutofit/>
                          </wps:bodyPr>
                        </wps:wsp>
                        <wps:wsp>
                          <wps:cNvPr id="115" name="Right Arrow 25616"/>
                          <wps:cNvSpPr/>
                          <wps:spPr>
                            <a:xfrm rot="30706">
                              <a:off x="1259402" y="76485"/>
                              <a:ext cx="260668" cy="229061"/>
                            </a:xfrm>
                            <a:prstGeom prst="rightArrow">
                              <a:avLst>
                                <a:gd name="adj1" fmla="val 60000"/>
                                <a:gd name="adj2" fmla="val 50000"/>
                              </a:avLst>
                            </a:prstGeom>
                            <a:solidFill>
                              <a:srgbClr val="BFBFBF"/>
                            </a:solidFill>
                            <a:ln>
                              <a:noFill/>
                            </a:ln>
                          </wps:spPr>
                          <wps:txbx>
                            <w:txbxContent>
                              <w:p w14:paraId="123C0517"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16" name="Text Box 116"/>
                          <wps:cNvSpPr txBox="1"/>
                          <wps:spPr>
                            <a:xfrm rot="30706">
                              <a:off x="1259403" y="121990"/>
                              <a:ext cx="191950" cy="137437"/>
                            </a:xfrm>
                            <a:prstGeom prst="rect">
                              <a:avLst/>
                            </a:prstGeom>
                            <a:noFill/>
                            <a:ln>
                              <a:noFill/>
                            </a:ln>
                          </wps:spPr>
                          <wps:txbx>
                            <w:txbxContent>
                              <w:p w14:paraId="239BFFAD" w14:textId="77777777" w:rsidR="0006359E" w:rsidRPr="00F555EE" w:rsidRDefault="0006359E" w:rsidP="0006359E">
                                <w:pPr>
                                  <w:spacing w:after="0" w:line="215" w:lineRule="auto"/>
                                  <w:jc w:val="center"/>
                                  <w:textDirection w:val="btLr"/>
                                  <w:rPr>
                                    <w:sz w:val="20"/>
                                    <w:szCs w:val="20"/>
                                  </w:rPr>
                                </w:pPr>
                              </w:p>
                            </w:txbxContent>
                          </wps:txbx>
                          <wps:bodyPr spcFirstLastPara="1" wrap="square" lIns="0" tIns="0" rIns="0" bIns="0" anchor="ctr" anchorCtr="0">
                            <a:noAutofit/>
                          </wps:bodyPr>
                        </wps:wsp>
                        <wps:wsp>
                          <wps:cNvPr id="117" name="Rounded Rectangle 25618"/>
                          <wps:cNvSpPr/>
                          <wps:spPr>
                            <a:xfrm>
                              <a:off x="1628263" y="13753"/>
                              <a:ext cx="1032993" cy="1166400"/>
                            </a:xfrm>
                            <a:prstGeom prst="roundRect">
                              <a:avLst>
                                <a:gd name="adj" fmla="val 10000"/>
                              </a:avLst>
                            </a:prstGeom>
                            <a:solidFill>
                              <a:srgbClr val="134753"/>
                            </a:solidFill>
                            <a:ln w="25400" cap="flat" cmpd="sng">
                              <a:solidFill>
                                <a:schemeClr val="lt1"/>
                              </a:solidFill>
                              <a:prstDash val="solid"/>
                              <a:round/>
                              <a:headEnd type="none" w="sm" len="sm"/>
                              <a:tailEnd type="none" w="sm" len="sm"/>
                            </a:ln>
                          </wps:spPr>
                          <wps:txbx>
                            <w:txbxContent>
                              <w:p w14:paraId="32AC4BCB"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18" name="Text Box 118"/>
                          <wps:cNvSpPr txBox="1"/>
                          <wps:spPr>
                            <a:xfrm>
                              <a:off x="1628263" y="13753"/>
                              <a:ext cx="1032993" cy="368012"/>
                            </a:xfrm>
                            <a:prstGeom prst="rect">
                              <a:avLst/>
                            </a:prstGeom>
                            <a:noFill/>
                            <a:ln>
                              <a:noFill/>
                            </a:ln>
                          </wps:spPr>
                          <wps:txbx>
                            <w:txbxContent>
                              <w:p w14:paraId="16E46A37" w14:textId="77777777" w:rsidR="0006359E" w:rsidRPr="00F555EE" w:rsidRDefault="0006359E" w:rsidP="0006359E">
                                <w:pPr>
                                  <w:spacing w:after="0" w:line="215" w:lineRule="auto"/>
                                  <w:jc w:val="left"/>
                                  <w:textDirection w:val="btLr"/>
                                  <w:rPr>
                                    <w:color w:val="FFFFFF" w:themeColor="background1"/>
                                    <w:sz w:val="20"/>
                                    <w:szCs w:val="20"/>
                                  </w:rPr>
                                </w:pPr>
                                <w:r w:rsidRPr="00F555EE">
                                  <w:rPr>
                                    <w:b/>
                                    <w:color w:val="FFFFFF" w:themeColor="background1"/>
                                    <w:sz w:val="20"/>
                                    <w:szCs w:val="20"/>
                                  </w:rPr>
                                  <w:t>Elaborare</w:t>
                                </w:r>
                              </w:p>
                            </w:txbxContent>
                          </wps:txbx>
                          <wps:bodyPr spcFirstLastPara="1" wrap="square" lIns="49775" tIns="49775" rIns="49775" bIns="26650" anchor="t" anchorCtr="0">
                            <a:noAutofit/>
                          </wps:bodyPr>
                        </wps:wsp>
                        <wps:wsp>
                          <wps:cNvPr id="120" name="Rounded Rectangle 25620"/>
                          <wps:cNvSpPr/>
                          <wps:spPr>
                            <a:xfrm>
                              <a:off x="1873184" y="381766"/>
                              <a:ext cx="920031" cy="1555200"/>
                            </a:xfrm>
                            <a:prstGeom prst="roundRect">
                              <a:avLst>
                                <a:gd name="adj" fmla="val 10000"/>
                              </a:avLst>
                            </a:prstGeom>
                            <a:solidFill>
                              <a:schemeClr val="lt1">
                                <a:alpha val="89803"/>
                              </a:schemeClr>
                            </a:solidFill>
                            <a:ln w="25400" cap="flat" cmpd="sng">
                              <a:solidFill>
                                <a:schemeClr val="accent1"/>
                              </a:solidFill>
                              <a:prstDash val="solid"/>
                              <a:round/>
                              <a:headEnd type="none" w="sm" len="sm"/>
                              <a:tailEnd type="none" w="sm" len="sm"/>
                            </a:ln>
                          </wps:spPr>
                          <wps:txbx>
                            <w:txbxContent>
                              <w:p w14:paraId="53CB6DB0"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21" name="Text Box 121"/>
                          <wps:cNvSpPr txBox="1"/>
                          <wps:spPr>
                            <a:xfrm>
                              <a:off x="1900131" y="408713"/>
                              <a:ext cx="866137" cy="1501306"/>
                            </a:xfrm>
                            <a:prstGeom prst="rect">
                              <a:avLst/>
                            </a:prstGeom>
                            <a:noFill/>
                            <a:ln>
                              <a:noFill/>
                            </a:ln>
                          </wps:spPr>
                          <wps:txbx>
                            <w:txbxContent>
                              <w:p w14:paraId="3E3BCB22" w14:textId="77777777" w:rsidR="0006359E" w:rsidRPr="00F555EE" w:rsidRDefault="0006359E" w:rsidP="0006359E">
                                <w:pPr>
                                  <w:spacing w:after="0" w:line="215" w:lineRule="auto"/>
                                  <w:ind w:left="90" w:firstLine="60"/>
                                  <w:jc w:val="left"/>
                                  <w:textDirection w:val="btLr"/>
                                  <w:rPr>
                                    <w:sz w:val="20"/>
                                    <w:szCs w:val="20"/>
                                  </w:rPr>
                                </w:pPr>
                                <w:r w:rsidRPr="00F555EE">
                                  <w:rPr>
                                    <w:b/>
                                    <w:color w:val="000000"/>
                                    <w:sz w:val="20"/>
                                    <w:szCs w:val="20"/>
                                  </w:rPr>
                                  <w:t xml:space="preserve">Grupuri de lucru formate din </w:t>
                                </w:r>
                                <w:r w:rsidRPr="00F555EE">
                                  <w:rPr>
                                    <w:color w:val="000000"/>
                                    <w:sz w:val="20"/>
                                    <w:szCs w:val="20"/>
                                  </w:rPr>
                                  <w:t>personalul de conducere (şef/şefi de serviciu/birou), personal de execuţie (implicat în mod direct în desfăşurarea procesului/activităţii procedurate) şi Responsabilul/Responsabilii SCIM și SMC.</w:t>
                                </w:r>
                                <w:r w:rsidRPr="00F555EE">
                                  <w:rPr>
                                    <w:color w:val="000000"/>
                                    <w:sz w:val="20"/>
                                    <w:szCs w:val="20"/>
                                  </w:rPr>
                                  <w:tab/>
                                </w:r>
                              </w:p>
                            </w:txbxContent>
                          </wps:txbx>
                          <wps:bodyPr spcFirstLastPara="1" wrap="square" lIns="42650" tIns="42650" rIns="42650" bIns="42650" anchor="t" anchorCtr="0">
                            <a:noAutofit/>
                          </wps:bodyPr>
                        </wps:wsp>
                        <wps:wsp>
                          <wps:cNvPr id="122" name="Right Arrow 25622"/>
                          <wps:cNvSpPr/>
                          <wps:spPr>
                            <a:xfrm>
                              <a:off x="2786609" y="83229"/>
                              <a:ext cx="265748" cy="229061"/>
                            </a:xfrm>
                            <a:prstGeom prst="rightArrow">
                              <a:avLst>
                                <a:gd name="adj1" fmla="val 60000"/>
                                <a:gd name="adj2" fmla="val 50000"/>
                              </a:avLst>
                            </a:prstGeom>
                            <a:solidFill>
                              <a:srgbClr val="BFBFBF"/>
                            </a:solidFill>
                            <a:ln>
                              <a:noFill/>
                            </a:ln>
                          </wps:spPr>
                          <wps:txbx>
                            <w:txbxContent>
                              <w:p w14:paraId="16ECBB29"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23" name="Text Box 123"/>
                          <wps:cNvSpPr txBox="1"/>
                          <wps:spPr>
                            <a:xfrm>
                              <a:off x="2786609" y="129041"/>
                              <a:ext cx="197030" cy="137437"/>
                            </a:xfrm>
                            <a:prstGeom prst="rect">
                              <a:avLst/>
                            </a:prstGeom>
                            <a:noFill/>
                            <a:ln>
                              <a:noFill/>
                            </a:ln>
                          </wps:spPr>
                          <wps:txbx>
                            <w:txbxContent>
                              <w:p w14:paraId="12D4C546" w14:textId="77777777" w:rsidR="0006359E" w:rsidRPr="00F555EE" w:rsidRDefault="0006359E" w:rsidP="0006359E">
                                <w:pPr>
                                  <w:spacing w:after="0" w:line="215" w:lineRule="auto"/>
                                  <w:jc w:val="center"/>
                                  <w:textDirection w:val="btLr"/>
                                  <w:rPr>
                                    <w:sz w:val="20"/>
                                    <w:szCs w:val="20"/>
                                  </w:rPr>
                                </w:pPr>
                              </w:p>
                            </w:txbxContent>
                          </wps:txbx>
                          <wps:bodyPr spcFirstLastPara="1" wrap="square" lIns="0" tIns="0" rIns="0" bIns="0" anchor="ctr" anchorCtr="0">
                            <a:noAutofit/>
                          </wps:bodyPr>
                        </wps:wsp>
                        <wps:wsp>
                          <wps:cNvPr id="124" name="Rounded Rectangle 25624"/>
                          <wps:cNvSpPr/>
                          <wps:spPr>
                            <a:xfrm>
                              <a:off x="3162669" y="13753"/>
                              <a:ext cx="1002080" cy="1166400"/>
                            </a:xfrm>
                            <a:prstGeom prst="roundRect">
                              <a:avLst>
                                <a:gd name="adj" fmla="val 10000"/>
                              </a:avLst>
                            </a:prstGeom>
                            <a:solidFill>
                              <a:srgbClr val="134753"/>
                            </a:solidFill>
                            <a:ln w="25400" cap="flat" cmpd="sng">
                              <a:solidFill>
                                <a:schemeClr val="lt1"/>
                              </a:solidFill>
                              <a:prstDash val="solid"/>
                              <a:round/>
                              <a:headEnd type="none" w="sm" len="sm"/>
                              <a:tailEnd type="none" w="sm" len="sm"/>
                            </a:ln>
                          </wps:spPr>
                          <wps:txbx>
                            <w:txbxContent>
                              <w:p w14:paraId="07A0DCCF"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25" name="Text Box 125"/>
                          <wps:cNvSpPr txBox="1"/>
                          <wps:spPr>
                            <a:xfrm>
                              <a:off x="3162669" y="13753"/>
                              <a:ext cx="1002080" cy="368012"/>
                            </a:xfrm>
                            <a:prstGeom prst="rect">
                              <a:avLst/>
                            </a:prstGeom>
                            <a:noFill/>
                            <a:ln>
                              <a:noFill/>
                            </a:ln>
                          </wps:spPr>
                          <wps:txbx>
                            <w:txbxContent>
                              <w:p w14:paraId="4143A486" w14:textId="77777777" w:rsidR="0006359E" w:rsidRPr="00F555EE" w:rsidRDefault="0006359E" w:rsidP="0006359E">
                                <w:pPr>
                                  <w:spacing w:after="0" w:line="215" w:lineRule="auto"/>
                                  <w:jc w:val="left"/>
                                  <w:textDirection w:val="btLr"/>
                                  <w:rPr>
                                    <w:color w:val="FFFFFF" w:themeColor="background1"/>
                                    <w:sz w:val="20"/>
                                    <w:szCs w:val="20"/>
                                  </w:rPr>
                                </w:pPr>
                                <w:r w:rsidRPr="00F555EE">
                                  <w:rPr>
                                    <w:b/>
                                    <w:color w:val="FFFFFF" w:themeColor="background1"/>
                                    <w:sz w:val="20"/>
                                    <w:szCs w:val="20"/>
                                  </w:rPr>
                                  <w:t xml:space="preserve">Avizare și verificare </w:t>
                                </w:r>
                                <w:r w:rsidRPr="00F555EE">
                                  <w:rPr>
                                    <w:b/>
                                    <w:color w:val="FFFFFF" w:themeColor="background1"/>
                                    <w:sz w:val="20"/>
                                    <w:szCs w:val="20"/>
                                  </w:rPr>
                                  <w:tab/>
                                </w:r>
                              </w:p>
                            </w:txbxContent>
                          </wps:txbx>
                          <wps:bodyPr spcFirstLastPara="1" wrap="square" lIns="49775" tIns="49775" rIns="49775" bIns="26650" anchor="t" anchorCtr="0">
                            <a:noAutofit/>
                          </wps:bodyPr>
                        </wps:wsp>
                        <wps:wsp>
                          <wps:cNvPr id="126" name="Rounded Rectangle 25626"/>
                          <wps:cNvSpPr/>
                          <wps:spPr>
                            <a:xfrm>
                              <a:off x="3392134" y="381766"/>
                              <a:ext cx="920031" cy="1555200"/>
                            </a:xfrm>
                            <a:prstGeom prst="roundRect">
                              <a:avLst>
                                <a:gd name="adj" fmla="val 10000"/>
                              </a:avLst>
                            </a:prstGeom>
                            <a:solidFill>
                              <a:schemeClr val="lt1">
                                <a:alpha val="89803"/>
                              </a:schemeClr>
                            </a:solidFill>
                            <a:ln w="25400" cap="flat" cmpd="sng">
                              <a:solidFill>
                                <a:schemeClr val="accent1"/>
                              </a:solidFill>
                              <a:prstDash val="solid"/>
                              <a:round/>
                              <a:headEnd type="none" w="sm" len="sm"/>
                              <a:tailEnd type="none" w="sm" len="sm"/>
                            </a:ln>
                          </wps:spPr>
                          <wps:txbx>
                            <w:txbxContent>
                              <w:p w14:paraId="5B0B92C7"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27" name="Text Box 127"/>
                          <wps:cNvSpPr txBox="1"/>
                          <wps:spPr>
                            <a:xfrm>
                              <a:off x="3419081" y="408713"/>
                              <a:ext cx="866137" cy="1501306"/>
                            </a:xfrm>
                            <a:prstGeom prst="rect">
                              <a:avLst/>
                            </a:prstGeom>
                            <a:noFill/>
                            <a:ln>
                              <a:noFill/>
                            </a:ln>
                          </wps:spPr>
                          <wps:txbx>
                            <w:txbxContent>
                              <w:p w14:paraId="660ABDEC" w14:textId="77777777" w:rsidR="0006359E" w:rsidRPr="00F555EE" w:rsidRDefault="0006359E" w:rsidP="0006359E">
                                <w:pPr>
                                  <w:spacing w:after="0" w:line="215" w:lineRule="auto"/>
                                  <w:ind w:left="90" w:firstLine="60"/>
                                  <w:jc w:val="left"/>
                                  <w:textDirection w:val="btLr"/>
                                  <w:rPr>
                                    <w:sz w:val="20"/>
                                    <w:szCs w:val="20"/>
                                  </w:rPr>
                                </w:pPr>
                                <w:r w:rsidRPr="00F555EE">
                                  <w:rPr>
                                    <w:b/>
                                    <w:i/>
                                    <w:color w:val="000000"/>
                                    <w:sz w:val="20"/>
                                    <w:szCs w:val="20"/>
                                  </w:rPr>
                                  <w:t xml:space="preserve">Proceduri de lucru </w:t>
                                </w:r>
                                <w:r w:rsidRPr="00F555EE">
                                  <w:rPr>
                                    <w:i/>
                                    <w:color w:val="000000"/>
                                    <w:sz w:val="20"/>
                                    <w:szCs w:val="20"/>
                                  </w:rPr>
                                  <w:t xml:space="preserve">- BCIMC, în vederea verificării conformităţii cu  procedura de sistem și transmitere spre avizare de către Preşedintele Comisiei SCIM. </w:t>
                                </w:r>
                              </w:p>
                              <w:p w14:paraId="4524FA93" w14:textId="77777777" w:rsidR="0006359E" w:rsidRPr="00F555EE" w:rsidRDefault="0006359E" w:rsidP="0006359E">
                                <w:pPr>
                                  <w:spacing w:before="18" w:after="0" w:line="215" w:lineRule="auto"/>
                                  <w:ind w:left="90" w:firstLine="60"/>
                                  <w:jc w:val="left"/>
                                  <w:textDirection w:val="btLr"/>
                                  <w:rPr>
                                    <w:sz w:val="20"/>
                                    <w:szCs w:val="20"/>
                                  </w:rPr>
                                </w:pPr>
                                <w:r w:rsidRPr="00F555EE">
                                  <w:rPr>
                                    <w:b/>
                                    <w:color w:val="000000"/>
                                    <w:sz w:val="20"/>
                                    <w:szCs w:val="20"/>
                                  </w:rPr>
                                  <w:t xml:space="preserve">Proceduri de sistem - </w:t>
                                </w:r>
                                <w:r w:rsidRPr="00F555EE">
                                  <w:rPr>
                                    <w:color w:val="000000"/>
                                    <w:sz w:val="20"/>
                                    <w:szCs w:val="20"/>
                                  </w:rPr>
                                  <w:t xml:space="preserve">Personalul </w:t>
                                </w:r>
                                <w:r w:rsidRPr="00F555EE">
                                  <w:rPr>
                                    <w:i/>
                                    <w:color w:val="000000"/>
                                    <w:sz w:val="20"/>
                                    <w:szCs w:val="20"/>
                                  </w:rPr>
                                  <w:t>BCIMC asigură transmiterea procedurilor de sistem către toţi membrii Comisiei SCIM, în vederea analizării şi verificării acestora.</w:t>
                                </w:r>
                                <w:r w:rsidRPr="00F555EE">
                                  <w:rPr>
                                    <w:color w:val="000000"/>
                                    <w:sz w:val="20"/>
                                    <w:szCs w:val="20"/>
                                  </w:rPr>
                                  <w:t xml:space="preserve"> </w:t>
                                </w:r>
                              </w:p>
                            </w:txbxContent>
                          </wps:txbx>
                          <wps:bodyPr spcFirstLastPara="1" wrap="square" lIns="42650" tIns="42650" rIns="42650" bIns="42650" anchor="t" anchorCtr="0">
                            <a:noAutofit/>
                          </wps:bodyPr>
                        </wps:wsp>
                        <wps:wsp>
                          <wps:cNvPr id="128" name="Right Arrow 25628"/>
                          <wps:cNvSpPr/>
                          <wps:spPr>
                            <a:xfrm>
                              <a:off x="4293967" y="83229"/>
                              <a:ext cx="273940" cy="229061"/>
                            </a:xfrm>
                            <a:prstGeom prst="rightArrow">
                              <a:avLst>
                                <a:gd name="adj1" fmla="val 60000"/>
                                <a:gd name="adj2" fmla="val 50000"/>
                              </a:avLst>
                            </a:prstGeom>
                            <a:solidFill>
                              <a:srgbClr val="BFBFBF"/>
                            </a:solidFill>
                            <a:ln>
                              <a:noFill/>
                            </a:ln>
                          </wps:spPr>
                          <wps:txbx>
                            <w:txbxContent>
                              <w:p w14:paraId="36ADAC33"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29" name="Text Box 129"/>
                          <wps:cNvSpPr txBox="1"/>
                          <wps:spPr>
                            <a:xfrm>
                              <a:off x="4293967" y="129041"/>
                              <a:ext cx="205222" cy="137437"/>
                            </a:xfrm>
                            <a:prstGeom prst="rect">
                              <a:avLst/>
                            </a:prstGeom>
                            <a:noFill/>
                            <a:ln>
                              <a:noFill/>
                            </a:ln>
                          </wps:spPr>
                          <wps:txbx>
                            <w:txbxContent>
                              <w:p w14:paraId="3FB3EF5A" w14:textId="77777777" w:rsidR="0006359E" w:rsidRPr="00F555EE" w:rsidRDefault="0006359E" w:rsidP="0006359E">
                                <w:pPr>
                                  <w:spacing w:after="0" w:line="215" w:lineRule="auto"/>
                                  <w:jc w:val="center"/>
                                  <w:textDirection w:val="btLr"/>
                                  <w:rPr>
                                    <w:sz w:val="20"/>
                                    <w:szCs w:val="20"/>
                                  </w:rPr>
                                </w:pPr>
                              </w:p>
                            </w:txbxContent>
                          </wps:txbx>
                          <wps:bodyPr spcFirstLastPara="1" wrap="square" lIns="0" tIns="0" rIns="0" bIns="0" anchor="ctr" anchorCtr="0">
                            <a:noAutofit/>
                          </wps:bodyPr>
                        </wps:wsp>
                        <wps:wsp>
                          <wps:cNvPr id="130" name="Rounded Rectangle 25630"/>
                          <wps:cNvSpPr/>
                          <wps:spPr>
                            <a:xfrm>
                              <a:off x="4681619" y="13753"/>
                              <a:ext cx="920031" cy="1166400"/>
                            </a:xfrm>
                            <a:prstGeom prst="roundRect">
                              <a:avLst>
                                <a:gd name="adj" fmla="val 10000"/>
                              </a:avLst>
                            </a:prstGeom>
                            <a:solidFill>
                              <a:srgbClr val="134753"/>
                            </a:solidFill>
                            <a:ln w="25400" cap="flat" cmpd="sng">
                              <a:solidFill>
                                <a:schemeClr val="lt1"/>
                              </a:solidFill>
                              <a:prstDash val="solid"/>
                              <a:round/>
                              <a:headEnd type="none" w="sm" len="sm"/>
                              <a:tailEnd type="none" w="sm" len="sm"/>
                            </a:ln>
                          </wps:spPr>
                          <wps:txbx>
                            <w:txbxContent>
                              <w:p w14:paraId="74F22CD4"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31" name="Text Box 131"/>
                          <wps:cNvSpPr txBox="1"/>
                          <wps:spPr>
                            <a:xfrm>
                              <a:off x="4681619" y="13753"/>
                              <a:ext cx="920031" cy="368012"/>
                            </a:xfrm>
                            <a:prstGeom prst="rect">
                              <a:avLst/>
                            </a:prstGeom>
                            <a:noFill/>
                            <a:ln>
                              <a:noFill/>
                            </a:ln>
                          </wps:spPr>
                          <wps:txbx>
                            <w:txbxContent>
                              <w:p w14:paraId="09AEB8C1" w14:textId="77777777" w:rsidR="0006359E" w:rsidRPr="00F555EE" w:rsidRDefault="0006359E" w:rsidP="0006359E">
                                <w:pPr>
                                  <w:spacing w:after="0" w:line="215" w:lineRule="auto"/>
                                  <w:jc w:val="left"/>
                                  <w:textDirection w:val="btLr"/>
                                  <w:rPr>
                                    <w:color w:val="FFFFFF" w:themeColor="background1"/>
                                    <w:sz w:val="20"/>
                                    <w:szCs w:val="20"/>
                                  </w:rPr>
                                </w:pPr>
                                <w:r w:rsidRPr="00F555EE">
                                  <w:rPr>
                                    <w:b/>
                                    <w:color w:val="FFFFFF" w:themeColor="background1"/>
                                    <w:sz w:val="20"/>
                                    <w:szCs w:val="20"/>
                                  </w:rPr>
                                  <w:t>Aprobare</w:t>
                                </w:r>
                                <w:r w:rsidRPr="00F555EE">
                                  <w:rPr>
                                    <w:color w:val="FFFFFF" w:themeColor="background1"/>
                                    <w:sz w:val="20"/>
                                    <w:szCs w:val="20"/>
                                  </w:rPr>
                                  <w:t xml:space="preserve"> </w:t>
                                </w:r>
                                <w:r w:rsidRPr="00F555EE">
                                  <w:rPr>
                                    <w:b/>
                                    <w:color w:val="FFFFFF" w:themeColor="background1"/>
                                    <w:sz w:val="20"/>
                                    <w:szCs w:val="20"/>
                                  </w:rPr>
                                  <w:t>procedură</w:t>
                                </w:r>
                                <w:r w:rsidRPr="00F555EE">
                                  <w:rPr>
                                    <w:color w:val="FFFFFF" w:themeColor="background1"/>
                                    <w:sz w:val="20"/>
                                    <w:szCs w:val="20"/>
                                  </w:rPr>
                                  <w:t xml:space="preserve"> </w:t>
                                </w:r>
                              </w:p>
                            </w:txbxContent>
                          </wps:txbx>
                          <wps:bodyPr spcFirstLastPara="1" wrap="square" lIns="49775" tIns="49775" rIns="49775" bIns="26650" anchor="t" anchorCtr="0">
                            <a:noAutofit/>
                          </wps:bodyPr>
                        </wps:wsp>
                        <wps:wsp>
                          <wps:cNvPr id="132" name="Rounded Rectangle 25632"/>
                          <wps:cNvSpPr/>
                          <wps:spPr>
                            <a:xfrm>
                              <a:off x="4870059" y="381766"/>
                              <a:ext cx="920031" cy="1555200"/>
                            </a:xfrm>
                            <a:prstGeom prst="roundRect">
                              <a:avLst>
                                <a:gd name="adj" fmla="val 10000"/>
                              </a:avLst>
                            </a:prstGeom>
                            <a:solidFill>
                              <a:schemeClr val="lt1">
                                <a:alpha val="89803"/>
                              </a:schemeClr>
                            </a:solidFill>
                            <a:ln w="25400" cap="flat" cmpd="sng">
                              <a:solidFill>
                                <a:schemeClr val="accent1"/>
                              </a:solidFill>
                              <a:prstDash val="solid"/>
                              <a:round/>
                              <a:headEnd type="none" w="sm" len="sm"/>
                              <a:tailEnd type="none" w="sm" len="sm"/>
                            </a:ln>
                          </wps:spPr>
                          <wps:txbx>
                            <w:txbxContent>
                              <w:p w14:paraId="0EF281C8" w14:textId="77777777" w:rsidR="0006359E" w:rsidRPr="00F555EE" w:rsidRDefault="0006359E" w:rsidP="0006359E">
                                <w:pPr>
                                  <w:spacing w:after="0"/>
                                  <w:jc w:val="left"/>
                                  <w:textDirection w:val="btLr"/>
                                  <w:rPr>
                                    <w:sz w:val="20"/>
                                    <w:szCs w:val="20"/>
                                  </w:rPr>
                                </w:pPr>
                              </w:p>
                            </w:txbxContent>
                          </wps:txbx>
                          <wps:bodyPr spcFirstLastPara="1" wrap="square" lIns="91425" tIns="91425" rIns="91425" bIns="91425" anchor="ctr" anchorCtr="0">
                            <a:noAutofit/>
                          </wps:bodyPr>
                        </wps:wsp>
                        <wps:wsp>
                          <wps:cNvPr id="133" name="Text Box 133"/>
                          <wps:cNvSpPr txBox="1"/>
                          <wps:spPr>
                            <a:xfrm>
                              <a:off x="4897006" y="408713"/>
                              <a:ext cx="866137" cy="1501306"/>
                            </a:xfrm>
                            <a:prstGeom prst="rect">
                              <a:avLst/>
                            </a:prstGeom>
                            <a:noFill/>
                            <a:ln>
                              <a:noFill/>
                            </a:ln>
                          </wps:spPr>
                          <wps:txbx>
                            <w:txbxContent>
                              <w:p w14:paraId="08699BF1" w14:textId="77777777" w:rsidR="0006359E" w:rsidRPr="00F555EE" w:rsidRDefault="0006359E" w:rsidP="0006359E">
                                <w:pPr>
                                  <w:spacing w:after="0" w:line="215" w:lineRule="auto"/>
                                  <w:ind w:left="90" w:firstLine="60"/>
                                  <w:jc w:val="left"/>
                                  <w:textDirection w:val="btLr"/>
                                  <w:rPr>
                                    <w:sz w:val="20"/>
                                    <w:szCs w:val="20"/>
                                  </w:rPr>
                                </w:pPr>
                                <w:r w:rsidRPr="00F555EE">
                                  <w:rPr>
                                    <w:b/>
                                    <w:color w:val="000000"/>
                                    <w:sz w:val="20"/>
                                    <w:szCs w:val="20"/>
                                  </w:rPr>
                                  <w:t xml:space="preserve">PRIMAR, după primirea întregii documentații avizate și verificate. </w:t>
                                </w:r>
                              </w:p>
                            </w:txbxContent>
                          </wps:txbx>
                          <wps:bodyPr spcFirstLastPara="1" wrap="square" lIns="42650" tIns="42650" rIns="42650" bIns="42650" anchor="t" anchorCtr="0">
                            <a:noAutofit/>
                          </wps:bodyPr>
                        </wps:wsp>
                      </wpg:grpSp>
                    </wpg:wgp>
                  </a:graphicData>
                </a:graphic>
              </wp:inline>
            </w:drawing>
          </mc:Choice>
          <mc:Fallback>
            <w:pict>
              <v:group w14:anchorId="17519888" id="Group 108" o:spid="_x0000_s1039" style="width:456pt;height:153.6pt;mso-position-horizontal-relative:char;mso-position-vertical-relative:line" coordsize="57912,1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">
                <v:group id="Group 109" o:spid="_x0000_s1040" style="position:absolute;width:57912;height:19507" coordsize="57912,1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rect id="Rectangle 110" o:spid="_x0000_s1041" style="position:absolute;width:57912;height:19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" filled="f" stroked="f">
                    <v:textbox inset="2.53958mm,2.53958mm,2.53958mm,2.53958mm">
                      <w:txbxContent>
                        <w:p w14:paraId="430E70C3" w14:textId="77777777" w:rsidR="0006359E" w:rsidRPr="00F555EE" w:rsidRDefault="0006359E" w:rsidP="0006359E">
                          <w:pPr>
                            <w:spacing w:after="0"/>
                            <w:jc w:val="left"/>
                            <w:textDirection w:val="btLr"/>
                            <w:rPr>
                              <w:sz w:val="20"/>
                              <w:szCs w:val="20"/>
                            </w:rPr>
                          </w:pPr>
                        </w:p>
                      </w:txbxContent>
                    </v:textbox>
                  </v:rect>
                  <v:roundrect id="Rounded Rectangle 25612" o:spid="_x0000_s1042" style="position:absolute;left:735;width:10629;height:1166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" fillcolor="#134753" strokecolor="white [3201]" strokeweight="2pt">
                    <v:stroke startarrowwidth="narrow" startarrowlength="short" endarrowwidth="narrow" endarrowlength="short"/>
                    <v:textbox inset="2.53958mm,2.53958mm,2.53958mm,2.53958mm">
                      <w:txbxContent>
                        <w:p w14:paraId="1C08B02D" w14:textId="77777777" w:rsidR="0006359E" w:rsidRPr="00F555EE" w:rsidRDefault="0006359E" w:rsidP="0006359E">
                          <w:pPr>
                            <w:spacing w:after="0"/>
                            <w:jc w:val="left"/>
                            <w:textDirection w:val="btLr"/>
                            <w:rPr>
                              <w:color w:val="FFFFFF" w:themeColor="background1"/>
                              <w:sz w:val="20"/>
                              <w:szCs w:val="20"/>
                            </w:rPr>
                          </w:pPr>
                        </w:p>
                      </w:txbxContent>
                    </v:textbox>
                  </v:roundrect>
                  <v:shape id="Text Box 112" o:spid="_x0000_s1043" type="#_x0000_t202" style="position:absolute;left:735;width:10629;height: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" filled="f" stroked="f">
                    <v:textbox inset="1.3826mm,1.3826mm,1.3826mm,.74028mm">
                      <w:txbxContent>
                        <w:p w14:paraId="145B5ED4" w14:textId="77777777" w:rsidR="0006359E" w:rsidRPr="00F555EE" w:rsidRDefault="0006359E" w:rsidP="0006359E">
                          <w:pPr>
                            <w:spacing w:after="0" w:line="215" w:lineRule="auto"/>
                            <w:jc w:val="left"/>
                            <w:textDirection w:val="btLr"/>
                            <w:rPr>
                              <w:color w:val="FFFFFF" w:themeColor="background1"/>
                              <w:sz w:val="20"/>
                              <w:szCs w:val="20"/>
                            </w:rPr>
                          </w:pPr>
                          <w:r w:rsidRPr="00F555EE">
                            <w:rPr>
                              <w:color w:val="FFFFFF" w:themeColor="background1"/>
                              <w:sz w:val="20"/>
                              <w:szCs w:val="20"/>
                            </w:rPr>
                            <w:t xml:space="preserve">   I</w:t>
                          </w:r>
                          <w:r w:rsidRPr="00F555EE">
                            <w:rPr>
                              <w:b/>
                              <w:color w:val="FFFFFF" w:themeColor="background1"/>
                              <w:sz w:val="20"/>
                              <w:szCs w:val="20"/>
                            </w:rPr>
                            <w:t>nițiere</w:t>
                          </w:r>
                          <w:r w:rsidRPr="00F555EE">
                            <w:rPr>
                              <w:color w:val="FFFFFF" w:themeColor="background1"/>
                              <w:sz w:val="20"/>
                              <w:szCs w:val="20"/>
                            </w:rPr>
                            <w:t xml:space="preserve"> </w:t>
                          </w:r>
                          <w:r w:rsidRPr="00F555EE">
                            <w:rPr>
                              <w:b/>
                              <w:color w:val="FFFFFF" w:themeColor="background1"/>
                              <w:sz w:val="20"/>
                              <w:szCs w:val="20"/>
                            </w:rPr>
                            <w:t>procedură</w:t>
                          </w:r>
                          <w:r w:rsidRPr="00F555EE">
                            <w:rPr>
                              <w:color w:val="FFFFFF" w:themeColor="background1"/>
                              <w:sz w:val="20"/>
                              <w:szCs w:val="20"/>
                            </w:rPr>
                            <w:t xml:space="preserve"> </w:t>
                          </w:r>
                        </w:p>
                      </w:txbxContent>
                    </v:textbox>
                  </v:shape>
                  <v:roundrect id="Rounded Rectangle 25614" o:spid="_x0000_s1044" style="position:absolute;left:1832;top:3817;width:10756;height:15552;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" fillcolor="white [3201]" strokecolor="#7f7f7f [3204]" strokeweight="2pt">
                    <v:fill opacity="58853f"/>
                    <v:stroke startarrowwidth="narrow" startarrowlength="short" endarrowwidth="narrow" endarrowlength="short"/>
                    <v:textbox inset="2.53958mm,2.53958mm,2.53958mm,2.53958mm">
                      <w:txbxContent>
                        <w:p w14:paraId="1051B280" w14:textId="77777777" w:rsidR="0006359E" w:rsidRPr="00F555EE" w:rsidRDefault="0006359E" w:rsidP="0006359E">
                          <w:pPr>
                            <w:spacing w:after="0"/>
                            <w:jc w:val="left"/>
                            <w:textDirection w:val="btLr"/>
                            <w:rPr>
                              <w:sz w:val="20"/>
                              <w:szCs w:val="20"/>
                            </w:rPr>
                          </w:pPr>
                        </w:p>
                      </w:txbxContent>
                    </v:textbox>
                  </v:roundrect>
                  <v:shape id="Text Box 114" o:spid="_x0000_s1045" type="#_x0000_t202" style="position:absolute;left:2147;top:4132;width:10126;height:14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" filled="f" stroked="f">
                    <v:textbox inset="1.1847mm,1.1847mm,1.1847mm,1.1847mm">
                      <w:txbxContent>
                        <w:p w14:paraId="293996EB" w14:textId="5DA15451" w:rsidR="0006359E" w:rsidRPr="00F555EE" w:rsidRDefault="0006359E" w:rsidP="0006359E">
                          <w:pPr>
                            <w:spacing w:after="0" w:line="215" w:lineRule="auto"/>
                            <w:ind w:left="90" w:firstLine="60"/>
                            <w:jc w:val="left"/>
                            <w:textDirection w:val="btLr"/>
                            <w:rPr>
                              <w:sz w:val="20"/>
                              <w:szCs w:val="20"/>
                            </w:rPr>
                          </w:pPr>
                          <w:r w:rsidRPr="00F555EE">
                            <w:rPr>
                              <w:b/>
                              <w:color w:val="000000"/>
                              <w:sz w:val="20"/>
                              <w:szCs w:val="20"/>
                            </w:rPr>
                            <w:t xml:space="preserve"> </w:t>
                          </w:r>
                          <w:r w:rsidR="00EA6209" w:rsidRPr="00F555EE">
                            <w:rPr>
                              <w:b/>
                              <w:color w:val="000000"/>
                              <w:sz w:val="20"/>
                              <w:szCs w:val="20"/>
                            </w:rPr>
                            <w:t>Proceduri</w:t>
                          </w:r>
                          <w:r w:rsidRPr="00F555EE">
                            <w:rPr>
                              <w:b/>
                              <w:color w:val="000000"/>
                              <w:sz w:val="20"/>
                              <w:szCs w:val="20"/>
                            </w:rPr>
                            <w:t xml:space="preserve"> de lucru - Conducătorii direcțiilor, serviciilor, compartimentelor sau personalul din subordinea acestora pentru proceduri de lucru.</w:t>
                          </w:r>
                        </w:p>
                        <w:p w14:paraId="215F749D" w14:textId="77777777" w:rsidR="0006359E" w:rsidRPr="00F555EE" w:rsidRDefault="0006359E" w:rsidP="0006359E">
                          <w:pPr>
                            <w:spacing w:before="18" w:after="0" w:line="215" w:lineRule="auto"/>
                            <w:ind w:left="90" w:firstLine="60"/>
                            <w:jc w:val="left"/>
                            <w:textDirection w:val="btLr"/>
                            <w:rPr>
                              <w:sz w:val="20"/>
                              <w:szCs w:val="20"/>
                            </w:rPr>
                          </w:pPr>
                          <w:r w:rsidRPr="00F555EE">
                            <w:rPr>
                              <w:b/>
                              <w:color w:val="000000"/>
                              <w:sz w:val="20"/>
                              <w:szCs w:val="20"/>
                            </w:rPr>
                            <w:t xml:space="preserve">Proceduri de sistem - membrii SCIM, membrii CDC </w:t>
                          </w:r>
                          <w:r w:rsidRPr="00F555EE">
                            <w:rPr>
                              <w:b/>
                              <w:color w:val="000000"/>
                              <w:sz w:val="20"/>
                              <w:szCs w:val="20"/>
                            </w:rPr>
                            <w:tab/>
                          </w:r>
                        </w:p>
                        <w:p w14:paraId="66096A33" w14:textId="77777777" w:rsidR="0006359E" w:rsidRPr="00F555EE" w:rsidRDefault="0006359E" w:rsidP="0006359E">
                          <w:pPr>
                            <w:spacing w:before="18" w:after="0" w:line="215" w:lineRule="auto"/>
                            <w:ind w:left="90" w:firstLine="60"/>
                            <w:jc w:val="left"/>
                            <w:textDirection w:val="btLr"/>
                            <w:rPr>
                              <w:sz w:val="20"/>
                              <w:szCs w:val="20"/>
                            </w:rPr>
                          </w:pPr>
                          <w:r w:rsidRPr="00F555EE">
                            <w:rPr>
                              <w:b/>
                              <w:color w:val="000000"/>
                              <w:sz w:val="20"/>
                              <w:szCs w:val="20"/>
                            </w:rPr>
                            <w:t>Procedurile pot fi inițiate și la solicitarea conducerii instituției.</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5616" o:spid="_x0000_s1046" type="#_x0000_t13" style="position:absolute;left:12594;top:764;width:2606;height:2291;rotation:335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" adj="12110,4320" fillcolor="#bfbfbf" stroked="f">
                    <v:textbox inset="2.53958mm,2.53958mm,2.53958mm,2.53958mm">
                      <w:txbxContent>
                        <w:p w14:paraId="123C0517" w14:textId="77777777" w:rsidR="0006359E" w:rsidRPr="00F555EE" w:rsidRDefault="0006359E" w:rsidP="0006359E">
                          <w:pPr>
                            <w:spacing w:after="0"/>
                            <w:jc w:val="left"/>
                            <w:textDirection w:val="btLr"/>
                            <w:rPr>
                              <w:sz w:val="20"/>
                              <w:szCs w:val="20"/>
                            </w:rPr>
                          </w:pPr>
                        </w:p>
                      </w:txbxContent>
                    </v:textbox>
                  </v:shape>
                  <v:shape id="Text Box 116" o:spid="_x0000_s1047" type="#_x0000_t202" style="position:absolute;left:12594;top:1219;width:1919;height:1375;rotation:335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" filled="f" stroked="f">
                    <v:textbox inset="0,0,0,0">
                      <w:txbxContent>
                        <w:p w14:paraId="239BFFAD" w14:textId="77777777" w:rsidR="0006359E" w:rsidRPr="00F555EE" w:rsidRDefault="0006359E" w:rsidP="0006359E">
                          <w:pPr>
                            <w:spacing w:after="0" w:line="215" w:lineRule="auto"/>
                            <w:jc w:val="center"/>
                            <w:textDirection w:val="btLr"/>
                            <w:rPr>
                              <w:sz w:val="20"/>
                              <w:szCs w:val="20"/>
                            </w:rPr>
                          </w:pPr>
                        </w:p>
                      </w:txbxContent>
                    </v:textbox>
                  </v:shape>
                  <v:roundrect id="Rounded Rectangle 25618" o:spid="_x0000_s1048" style="position:absolute;left:16282;top:137;width:10330;height:1166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" fillcolor="#134753" strokecolor="white [3201]" strokeweight="2pt">
                    <v:stroke startarrowwidth="narrow" startarrowlength="short" endarrowwidth="narrow" endarrowlength="short"/>
                    <v:textbox inset="2.53958mm,2.53958mm,2.53958mm,2.53958mm">
                      <w:txbxContent>
                        <w:p w14:paraId="32AC4BCB" w14:textId="77777777" w:rsidR="0006359E" w:rsidRPr="00F555EE" w:rsidRDefault="0006359E" w:rsidP="0006359E">
                          <w:pPr>
                            <w:spacing w:after="0"/>
                            <w:jc w:val="left"/>
                            <w:textDirection w:val="btLr"/>
                            <w:rPr>
                              <w:sz w:val="20"/>
                              <w:szCs w:val="20"/>
                            </w:rPr>
                          </w:pPr>
                        </w:p>
                      </w:txbxContent>
                    </v:textbox>
                  </v:roundrect>
                  <v:shape id="Text Box 118" o:spid="_x0000_s1049" type="#_x0000_t202" style="position:absolute;left:16282;top:137;width:10330;height: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" filled="f" stroked="f">
                    <v:textbox inset="1.3826mm,1.3826mm,1.3826mm,.74028mm">
                      <w:txbxContent>
                        <w:p w14:paraId="16E46A37" w14:textId="77777777" w:rsidR="0006359E" w:rsidRPr="00F555EE" w:rsidRDefault="0006359E" w:rsidP="0006359E">
                          <w:pPr>
                            <w:spacing w:after="0" w:line="215" w:lineRule="auto"/>
                            <w:jc w:val="left"/>
                            <w:textDirection w:val="btLr"/>
                            <w:rPr>
                              <w:color w:val="FFFFFF" w:themeColor="background1"/>
                              <w:sz w:val="20"/>
                              <w:szCs w:val="20"/>
                            </w:rPr>
                          </w:pPr>
                          <w:r w:rsidRPr="00F555EE">
                            <w:rPr>
                              <w:b/>
                              <w:color w:val="FFFFFF" w:themeColor="background1"/>
                              <w:sz w:val="20"/>
                              <w:szCs w:val="20"/>
                            </w:rPr>
                            <w:t>Elaborare</w:t>
                          </w:r>
                        </w:p>
                      </w:txbxContent>
                    </v:textbox>
                  </v:shape>
                  <v:roundrect id="Rounded Rectangle 25620" o:spid="_x0000_s1050" style="position:absolute;left:18731;top:3817;width:9201;height:15552;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" fillcolor="white [3201]" strokecolor="#7f7f7f [3204]" strokeweight="2pt">
                    <v:fill opacity="58853f"/>
                    <v:stroke startarrowwidth="narrow" startarrowlength="short" endarrowwidth="narrow" endarrowlength="short"/>
                    <v:textbox inset="2.53958mm,2.53958mm,2.53958mm,2.53958mm">
                      <w:txbxContent>
                        <w:p w14:paraId="53CB6DB0" w14:textId="77777777" w:rsidR="0006359E" w:rsidRPr="00F555EE" w:rsidRDefault="0006359E" w:rsidP="0006359E">
                          <w:pPr>
                            <w:spacing w:after="0"/>
                            <w:jc w:val="left"/>
                            <w:textDirection w:val="btLr"/>
                            <w:rPr>
                              <w:sz w:val="20"/>
                              <w:szCs w:val="20"/>
                            </w:rPr>
                          </w:pPr>
                        </w:p>
                      </w:txbxContent>
                    </v:textbox>
                  </v:roundrect>
                  <v:shape id="Text Box 121" o:spid="_x0000_s1051" type="#_x0000_t202" style="position:absolute;left:19001;top:4087;width:8661;height:15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" filled="f" stroked="f">
                    <v:textbox inset="1.1847mm,1.1847mm,1.1847mm,1.1847mm">
                      <w:txbxContent>
                        <w:p w14:paraId="3E3BCB22" w14:textId="77777777" w:rsidR="0006359E" w:rsidRPr="00F555EE" w:rsidRDefault="0006359E" w:rsidP="0006359E">
                          <w:pPr>
                            <w:spacing w:after="0" w:line="215" w:lineRule="auto"/>
                            <w:ind w:left="90" w:firstLine="60"/>
                            <w:jc w:val="left"/>
                            <w:textDirection w:val="btLr"/>
                            <w:rPr>
                              <w:sz w:val="20"/>
                              <w:szCs w:val="20"/>
                            </w:rPr>
                          </w:pPr>
                          <w:r w:rsidRPr="00F555EE">
                            <w:rPr>
                              <w:b/>
                              <w:color w:val="000000"/>
                              <w:sz w:val="20"/>
                              <w:szCs w:val="20"/>
                            </w:rPr>
                            <w:t xml:space="preserve">Grupuri de lucru formate din </w:t>
                          </w:r>
                          <w:r w:rsidRPr="00F555EE">
                            <w:rPr>
                              <w:color w:val="000000"/>
                              <w:sz w:val="20"/>
                              <w:szCs w:val="20"/>
                            </w:rPr>
                            <w:t>personalul de conducere (şef/şefi de serviciu/birou), personal de execuţie (implicat în mod direct în desfăşurarea procesului/activităţii procedurate) şi Responsabilul/Responsabilii SCIM și SMC.</w:t>
                          </w:r>
                          <w:r w:rsidRPr="00F555EE">
                            <w:rPr>
                              <w:color w:val="000000"/>
                              <w:sz w:val="20"/>
                              <w:szCs w:val="20"/>
                            </w:rPr>
                            <w:tab/>
                          </w:r>
                        </w:p>
                      </w:txbxContent>
                    </v:textbox>
                  </v:shape>
                  <v:shape id="Right Arrow 25622" o:spid="_x0000_s1052" type="#_x0000_t13" style="position:absolute;left:27866;top:832;width:2657;height:2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" adj="12291,4320" fillcolor="#bfbfbf" stroked="f">
                    <v:textbox inset="2.53958mm,2.53958mm,2.53958mm,2.53958mm">
                      <w:txbxContent>
                        <w:p w14:paraId="16ECBB29" w14:textId="77777777" w:rsidR="0006359E" w:rsidRPr="00F555EE" w:rsidRDefault="0006359E" w:rsidP="0006359E">
                          <w:pPr>
                            <w:spacing w:after="0"/>
                            <w:jc w:val="left"/>
                            <w:textDirection w:val="btLr"/>
                            <w:rPr>
                              <w:sz w:val="20"/>
                              <w:szCs w:val="20"/>
                            </w:rPr>
                          </w:pPr>
                        </w:p>
                      </w:txbxContent>
                    </v:textbox>
                  </v:shape>
                  <v:shape id="Text Box 123" o:spid="_x0000_s1053" type="#_x0000_t202" style="position:absolute;left:27866;top:1290;width:1970;height:1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" filled="f" stroked="f">
                    <v:textbox inset="0,0,0,0">
                      <w:txbxContent>
                        <w:p w14:paraId="12D4C546" w14:textId="77777777" w:rsidR="0006359E" w:rsidRPr="00F555EE" w:rsidRDefault="0006359E" w:rsidP="0006359E">
                          <w:pPr>
                            <w:spacing w:after="0" w:line="215" w:lineRule="auto"/>
                            <w:jc w:val="center"/>
                            <w:textDirection w:val="btLr"/>
                            <w:rPr>
                              <w:sz w:val="20"/>
                              <w:szCs w:val="20"/>
                            </w:rPr>
                          </w:pPr>
                        </w:p>
                      </w:txbxContent>
                    </v:textbox>
                  </v:shape>
                  <v:roundrect id="Rounded Rectangle 25624" o:spid="_x0000_s1054" style="position:absolute;left:31626;top:137;width:10021;height:1166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" fillcolor="#134753" strokecolor="white [3201]" strokeweight="2pt">
                    <v:stroke startarrowwidth="narrow" startarrowlength="short" endarrowwidth="narrow" endarrowlength="short"/>
                    <v:textbox inset="2.53958mm,2.53958mm,2.53958mm,2.53958mm">
                      <w:txbxContent>
                        <w:p w14:paraId="07A0DCCF" w14:textId="77777777" w:rsidR="0006359E" w:rsidRPr="00F555EE" w:rsidRDefault="0006359E" w:rsidP="0006359E">
                          <w:pPr>
                            <w:spacing w:after="0"/>
                            <w:jc w:val="left"/>
                            <w:textDirection w:val="btLr"/>
                            <w:rPr>
                              <w:sz w:val="20"/>
                              <w:szCs w:val="20"/>
                            </w:rPr>
                          </w:pPr>
                        </w:p>
                      </w:txbxContent>
                    </v:textbox>
                  </v:roundrect>
                  <v:shape id="Text Box 125" o:spid="_x0000_s1055" type="#_x0000_t202" style="position:absolute;left:31626;top:137;width:10021;height: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" filled="f" stroked="f">
                    <v:textbox inset="1.3826mm,1.3826mm,1.3826mm,.74028mm">
                      <w:txbxContent>
                        <w:p w14:paraId="4143A486" w14:textId="77777777" w:rsidR="0006359E" w:rsidRPr="00F555EE" w:rsidRDefault="0006359E" w:rsidP="0006359E">
                          <w:pPr>
                            <w:spacing w:after="0" w:line="215" w:lineRule="auto"/>
                            <w:jc w:val="left"/>
                            <w:textDirection w:val="btLr"/>
                            <w:rPr>
                              <w:color w:val="FFFFFF" w:themeColor="background1"/>
                              <w:sz w:val="20"/>
                              <w:szCs w:val="20"/>
                            </w:rPr>
                          </w:pPr>
                          <w:r w:rsidRPr="00F555EE">
                            <w:rPr>
                              <w:b/>
                              <w:color w:val="FFFFFF" w:themeColor="background1"/>
                              <w:sz w:val="20"/>
                              <w:szCs w:val="20"/>
                            </w:rPr>
                            <w:t xml:space="preserve">Avizare și verificare </w:t>
                          </w:r>
                          <w:r w:rsidRPr="00F555EE">
                            <w:rPr>
                              <w:b/>
                              <w:color w:val="FFFFFF" w:themeColor="background1"/>
                              <w:sz w:val="20"/>
                              <w:szCs w:val="20"/>
                            </w:rPr>
                            <w:tab/>
                          </w:r>
                        </w:p>
                      </w:txbxContent>
                    </v:textbox>
                  </v:shape>
                  <v:roundrect id="Rounded Rectangle 25626" o:spid="_x0000_s1056" style="position:absolute;left:33921;top:3817;width:9200;height:15552;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" fillcolor="white [3201]" strokecolor="#7f7f7f [3204]" strokeweight="2pt">
                    <v:fill opacity="58853f"/>
                    <v:stroke startarrowwidth="narrow" startarrowlength="short" endarrowwidth="narrow" endarrowlength="short"/>
                    <v:textbox inset="2.53958mm,2.53958mm,2.53958mm,2.53958mm">
                      <w:txbxContent>
                        <w:p w14:paraId="5B0B92C7" w14:textId="77777777" w:rsidR="0006359E" w:rsidRPr="00F555EE" w:rsidRDefault="0006359E" w:rsidP="0006359E">
                          <w:pPr>
                            <w:spacing w:after="0"/>
                            <w:jc w:val="left"/>
                            <w:textDirection w:val="btLr"/>
                            <w:rPr>
                              <w:sz w:val="20"/>
                              <w:szCs w:val="20"/>
                            </w:rPr>
                          </w:pPr>
                        </w:p>
                      </w:txbxContent>
                    </v:textbox>
                  </v:roundrect>
                  <v:shape id="Text Box 127" o:spid="_x0000_s1057" type="#_x0000_t202" style="position:absolute;left:34190;top:4087;width:8662;height:15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" filled="f" stroked="f">
                    <v:textbox inset="1.1847mm,1.1847mm,1.1847mm,1.1847mm">
                      <w:txbxContent>
                        <w:p w14:paraId="660ABDEC" w14:textId="77777777" w:rsidR="0006359E" w:rsidRPr="00F555EE" w:rsidRDefault="0006359E" w:rsidP="0006359E">
                          <w:pPr>
                            <w:spacing w:after="0" w:line="215" w:lineRule="auto"/>
                            <w:ind w:left="90" w:firstLine="60"/>
                            <w:jc w:val="left"/>
                            <w:textDirection w:val="btLr"/>
                            <w:rPr>
                              <w:sz w:val="20"/>
                              <w:szCs w:val="20"/>
                            </w:rPr>
                          </w:pPr>
                          <w:r w:rsidRPr="00F555EE">
                            <w:rPr>
                              <w:b/>
                              <w:i/>
                              <w:color w:val="000000"/>
                              <w:sz w:val="20"/>
                              <w:szCs w:val="20"/>
                            </w:rPr>
                            <w:t xml:space="preserve">Proceduri de lucru </w:t>
                          </w:r>
                          <w:r w:rsidRPr="00F555EE">
                            <w:rPr>
                              <w:i/>
                              <w:color w:val="000000"/>
                              <w:sz w:val="20"/>
                              <w:szCs w:val="20"/>
                            </w:rPr>
                            <w:t xml:space="preserve">- BCIMC, în vederea verificării conformităţii cu  procedura de sistem și transmitere spre avizare de către Preşedintele Comisiei SCIM. </w:t>
                          </w:r>
                        </w:p>
                        <w:p w14:paraId="4524FA93" w14:textId="77777777" w:rsidR="0006359E" w:rsidRPr="00F555EE" w:rsidRDefault="0006359E" w:rsidP="0006359E">
                          <w:pPr>
                            <w:spacing w:before="18" w:after="0" w:line="215" w:lineRule="auto"/>
                            <w:ind w:left="90" w:firstLine="60"/>
                            <w:jc w:val="left"/>
                            <w:textDirection w:val="btLr"/>
                            <w:rPr>
                              <w:sz w:val="20"/>
                              <w:szCs w:val="20"/>
                            </w:rPr>
                          </w:pPr>
                          <w:r w:rsidRPr="00F555EE">
                            <w:rPr>
                              <w:b/>
                              <w:color w:val="000000"/>
                              <w:sz w:val="20"/>
                              <w:szCs w:val="20"/>
                            </w:rPr>
                            <w:t xml:space="preserve">Proceduri de sistem - </w:t>
                          </w:r>
                          <w:r w:rsidRPr="00F555EE">
                            <w:rPr>
                              <w:color w:val="000000"/>
                              <w:sz w:val="20"/>
                              <w:szCs w:val="20"/>
                            </w:rPr>
                            <w:t xml:space="preserve">Personalul </w:t>
                          </w:r>
                          <w:r w:rsidRPr="00F555EE">
                            <w:rPr>
                              <w:i/>
                              <w:color w:val="000000"/>
                              <w:sz w:val="20"/>
                              <w:szCs w:val="20"/>
                            </w:rPr>
                            <w:t>BCIMC asigură transmiterea procedurilor de sistem către toţi membrii Comisiei SCIM, în vederea analizării şi verificării acestora.</w:t>
                          </w:r>
                          <w:r w:rsidRPr="00F555EE">
                            <w:rPr>
                              <w:color w:val="000000"/>
                              <w:sz w:val="20"/>
                              <w:szCs w:val="20"/>
                            </w:rPr>
                            <w:t xml:space="preserve"> </w:t>
                          </w:r>
                        </w:p>
                      </w:txbxContent>
                    </v:textbox>
                  </v:shape>
                  <v:shape id="Right Arrow 25628" o:spid="_x0000_s1058" type="#_x0000_t13" style="position:absolute;left:42939;top:832;width:2740;height:2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" adj="12569,4320" fillcolor="#bfbfbf" stroked="f">
                    <v:textbox inset="2.53958mm,2.53958mm,2.53958mm,2.53958mm">
                      <w:txbxContent>
                        <w:p w14:paraId="36ADAC33" w14:textId="77777777" w:rsidR="0006359E" w:rsidRPr="00F555EE" w:rsidRDefault="0006359E" w:rsidP="0006359E">
                          <w:pPr>
                            <w:spacing w:after="0"/>
                            <w:jc w:val="left"/>
                            <w:textDirection w:val="btLr"/>
                            <w:rPr>
                              <w:sz w:val="20"/>
                              <w:szCs w:val="20"/>
                            </w:rPr>
                          </w:pPr>
                        </w:p>
                      </w:txbxContent>
                    </v:textbox>
                  </v:shape>
                  <v:shape id="Text Box 129" o:spid="_x0000_s1059" type="#_x0000_t202" style="position:absolute;left:42939;top:1290;width:2052;height:1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" filled="f" stroked="f">
                    <v:textbox inset="0,0,0,0">
                      <w:txbxContent>
                        <w:p w14:paraId="3FB3EF5A" w14:textId="77777777" w:rsidR="0006359E" w:rsidRPr="00F555EE" w:rsidRDefault="0006359E" w:rsidP="0006359E">
                          <w:pPr>
                            <w:spacing w:after="0" w:line="215" w:lineRule="auto"/>
                            <w:jc w:val="center"/>
                            <w:textDirection w:val="btLr"/>
                            <w:rPr>
                              <w:sz w:val="20"/>
                              <w:szCs w:val="20"/>
                            </w:rPr>
                          </w:pPr>
                        </w:p>
                      </w:txbxContent>
                    </v:textbox>
                  </v:shape>
                  <v:roundrect id="Rounded Rectangle 25630" o:spid="_x0000_s1060" style="position:absolute;left:46816;top:137;width:9200;height:1166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" fillcolor="#134753" strokecolor="white [3201]" strokeweight="2pt">
                    <v:stroke startarrowwidth="narrow" startarrowlength="short" endarrowwidth="narrow" endarrowlength="short"/>
                    <v:textbox inset="2.53958mm,2.53958mm,2.53958mm,2.53958mm">
                      <w:txbxContent>
                        <w:p w14:paraId="74F22CD4" w14:textId="77777777" w:rsidR="0006359E" w:rsidRPr="00F555EE" w:rsidRDefault="0006359E" w:rsidP="0006359E">
                          <w:pPr>
                            <w:spacing w:after="0"/>
                            <w:jc w:val="left"/>
                            <w:textDirection w:val="btLr"/>
                            <w:rPr>
                              <w:sz w:val="20"/>
                              <w:szCs w:val="20"/>
                            </w:rPr>
                          </w:pPr>
                        </w:p>
                      </w:txbxContent>
                    </v:textbox>
                  </v:roundrect>
                  <v:shape id="Text Box 131" o:spid="_x0000_s1061" type="#_x0000_t202" style="position:absolute;left:46816;top:137;width:9200;height: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" filled="f" stroked="f">
                    <v:textbox inset="1.3826mm,1.3826mm,1.3826mm,.74028mm">
                      <w:txbxContent>
                        <w:p w14:paraId="09AEB8C1" w14:textId="77777777" w:rsidR="0006359E" w:rsidRPr="00F555EE" w:rsidRDefault="0006359E" w:rsidP="0006359E">
                          <w:pPr>
                            <w:spacing w:after="0" w:line="215" w:lineRule="auto"/>
                            <w:jc w:val="left"/>
                            <w:textDirection w:val="btLr"/>
                            <w:rPr>
                              <w:color w:val="FFFFFF" w:themeColor="background1"/>
                              <w:sz w:val="20"/>
                              <w:szCs w:val="20"/>
                            </w:rPr>
                          </w:pPr>
                          <w:r w:rsidRPr="00F555EE">
                            <w:rPr>
                              <w:b/>
                              <w:color w:val="FFFFFF" w:themeColor="background1"/>
                              <w:sz w:val="20"/>
                              <w:szCs w:val="20"/>
                            </w:rPr>
                            <w:t>Aprobare</w:t>
                          </w:r>
                          <w:r w:rsidRPr="00F555EE">
                            <w:rPr>
                              <w:color w:val="FFFFFF" w:themeColor="background1"/>
                              <w:sz w:val="20"/>
                              <w:szCs w:val="20"/>
                            </w:rPr>
                            <w:t xml:space="preserve"> </w:t>
                          </w:r>
                          <w:r w:rsidRPr="00F555EE">
                            <w:rPr>
                              <w:b/>
                              <w:color w:val="FFFFFF" w:themeColor="background1"/>
                              <w:sz w:val="20"/>
                              <w:szCs w:val="20"/>
                            </w:rPr>
                            <w:t>procedură</w:t>
                          </w:r>
                          <w:r w:rsidRPr="00F555EE">
                            <w:rPr>
                              <w:color w:val="FFFFFF" w:themeColor="background1"/>
                              <w:sz w:val="20"/>
                              <w:szCs w:val="20"/>
                            </w:rPr>
                            <w:t xml:space="preserve"> </w:t>
                          </w:r>
                        </w:p>
                      </w:txbxContent>
                    </v:textbox>
                  </v:shape>
                  <v:roundrect id="Rounded Rectangle 25632" o:spid="_x0000_s1062" style="position:absolute;left:48700;top:3817;width:9200;height:15552;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" fillcolor="white [3201]" strokecolor="#7f7f7f [3204]" strokeweight="2pt">
                    <v:fill opacity="58853f"/>
                    <v:stroke startarrowwidth="narrow" startarrowlength="short" endarrowwidth="narrow" endarrowlength="short"/>
                    <v:textbox inset="2.53958mm,2.53958mm,2.53958mm,2.53958mm">
                      <w:txbxContent>
                        <w:p w14:paraId="0EF281C8" w14:textId="77777777" w:rsidR="0006359E" w:rsidRPr="00F555EE" w:rsidRDefault="0006359E" w:rsidP="0006359E">
                          <w:pPr>
                            <w:spacing w:after="0"/>
                            <w:jc w:val="left"/>
                            <w:textDirection w:val="btLr"/>
                            <w:rPr>
                              <w:sz w:val="20"/>
                              <w:szCs w:val="20"/>
                            </w:rPr>
                          </w:pPr>
                        </w:p>
                      </w:txbxContent>
                    </v:textbox>
                  </v:roundrect>
                  <v:shape id="Text Box 133" o:spid="_x0000_s1063" type="#_x0000_t202" style="position:absolute;left:48970;top:4087;width:8661;height:15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" filled="f" stroked="f">
                    <v:textbox inset="1.1847mm,1.1847mm,1.1847mm,1.1847mm">
                      <w:txbxContent>
                        <w:p w14:paraId="08699BF1" w14:textId="77777777" w:rsidR="0006359E" w:rsidRPr="00F555EE" w:rsidRDefault="0006359E" w:rsidP="0006359E">
                          <w:pPr>
                            <w:spacing w:after="0" w:line="215" w:lineRule="auto"/>
                            <w:ind w:left="90" w:firstLine="60"/>
                            <w:jc w:val="left"/>
                            <w:textDirection w:val="btLr"/>
                            <w:rPr>
                              <w:sz w:val="20"/>
                              <w:szCs w:val="20"/>
                            </w:rPr>
                          </w:pPr>
                          <w:r w:rsidRPr="00F555EE">
                            <w:rPr>
                              <w:b/>
                              <w:color w:val="000000"/>
                              <w:sz w:val="20"/>
                              <w:szCs w:val="20"/>
                            </w:rPr>
                            <w:t xml:space="preserve">PRIMAR, după primirea întregii documentații avizate și verificate. </w:t>
                          </w:r>
                        </w:p>
                      </w:txbxContent>
                    </v:textbox>
                  </v:shape>
                </v:group>
                <w10:anchorlock/>
              </v:group>
            </w:pict>
          </mc:Fallback>
        </mc:AlternateContent>
      </w:r>
    </w:p>
    <w:p w14:paraId="12924FE0" w14:textId="246CE3ED"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furnizate de Primăria Sector</w:t>
      </w:r>
      <w:r w:rsidR="00135D70" w:rsidRPr="00F171A3">
        <w:rPr>
          <w:color w:val="BFBFBF" w:themeColor="background1" w:themeShade="BF"/>
        </w:rPr>
        <w:t>ului</w:t>
      </w:r>
      <w:r w:rsidRPr="00F171A3">
        <w:rPr>
          <w:color w:val="BFBFBF" w:themeColor="background1" w:themeShade="BF"/>
        </w:rPr>
        <w:t xml:space="preserve"> 2</w:t>
      </w:r>
    </w:p>
    <w:p w14:paraId="120F06B1" w14:textId="046D3E4A" w:rsidR="0006359E" w:rsidRPr="00F171A3" w:rsidRDefault="00AF2C45" w:rsidP="00AF2C45">
      <w:pPr>
        <w:pStyle w:val="Caption"/>
        <w:rPr>
          <w:b w:val="0"/>
        </w:rPr>
      </w:pPr>
      <w:bookmarkStart w:id="335" w:name="_heading=h.393x0lu" w:colFirst="0" w:colLast="0"/>
      <w:bookmarkStart w:id="336" w:name="_Toc127198113"/>
      <w:bookmarkEnd w:id="335"/>
      <w:r w:rsidRPr="00F171A3">
        <w:t xml:space="preserve">Figura </w:t>
      </w:r>
      <w:r w:rsidRPr="00F171A3">
        <w:fldChar w:fldCharType="begin"/>
      </w:r>
      <w:r w:rsidRPr="00F171A3">
        <w:instrText xml:space="preserve"> SEQ Figura \* ARABIC </w:instrText>
      </w:r>
      <w:r w:rsidRPr="00F171A3">
        <w:fldChar w:fldCharType="separate"/>
      </w:r>
      <w:r w:rsidR="005A6DD8">
        <w:rPr>
          <w:noProof/>
        </w:rPr>
        <w:t>125</w:t>
      </w:r>
      <w:r w:rsidRPr="00F171A3">
        <w:fldChar w:fldCharType="end"/>
      </w:r>
      <w:r w:rsidRPr="00F171A3">
        <w:t xml:space="preserve"> </w:t>
      </w:r>
      <w:r w:rsidR="0006359E" w:rsidRPr="00F171A3">
        <w:t>Sistemul de proceduri identificat</w:t>
      </w:r>
      <w:bookmarkEnd w:id="336"/>
    </w:p>
    <w:p w14:paraId="65805E42" w14:textId="77777777" w:rsidR="0006359E" w:rsidRPr="00F171A3" w:rsidRDefault="0006359E" w:rsidP="0006359E">
      <w:pPr>
        <w:spacing w:after="0"/>
        <w:jc w:val="center"/>
        <w:rPr>
          <w:color w:val="000000"/>
        </w:rPr>
      </w:pPr>
      <w:r w:rsidRPr="00F171A3">
        <w:rPr>
          <w:noProof/>
          <w:color w:val="92D050"/>
        </w:rPr>
        <mc:AlternateContent>
          <mc:Choice Requires="wpg">
            <w:drawing>
              <wp:inline distT="0" distB="0" distL="0" distR="0" wp14:anchorId="579DBBCB" wp14:editId="593A39C1">
                <wp:extent cx="3581400" cy="2971799"/>
                <wp:effectExtent l="0" t="0" r="0" b="38735"/>
                <wp:docPr id="134" name="Group 134"/>
                <wp:cNvGraphicFramePr/>
                <a:graphic xmlns:a="http://schemas.openxmlformats.org/drawingml/2006/main">
                  <a:graphicData uri="http://schemas.microsoft.com/office/word/2010/wordprocessingGroup">
                    <wpg:wgp>
                      <wpg:cNvGrpSpPr/>
                      <wpg:grpSpPr>
                        <a:xfrm>
                          <a:off x="0" y="0"/>
                          <a:ext cx="3581400" cy="2971799"/>
                          <a:chOff x="0" y="0"/>
                          <a:chExt cx="3581400" cy="2971799"/>
                        </a:xfrm>
                      </wpg:grpSpPr>
                      <wpg:grpSp>
                        <wpg:cNvPr id="135" name="Group 135"/>
                        <wpg:cNvGrpSpPr/>
                        <wpg:grpSpPr>
                          <a:xfrm>
                            <a:off x="0" y="0"/>
                            <a:ext cx="3581400" cy="2971799"/>
                            <a:chOff x="0" y="0"/>
                            <a:chExt cx="3581400" cy="2971799"/>
                          </a:xfrm>
                        </wpg:grpSpPr>
                        <wps:wsp>
                          <wps:cNvPr id="136" name="Rectangle 136"/>
                          <wps:cNvSpPr/>
                          <wps:spPr>
                            <a:xfrm>
                              <a:off x="0" y="0"/>
                              <a:ext cx="3581400" cy="2876550"/>
                            </a:xfrm>
                            <a:prstGeom prst="rect">
                              <a:avLst/>
                            </a:prstGeom>
                            <a:noFill/>
                            <a:ln>
                              <a:noFill/>
                            </a:ln>
                          </wps:spPr>
                          <wps:txbx>
                            <w:txbxContent>
                              <w:p w14:paraId="56902E90" w14:textId="77777777" w:rsidR="0006359E" w:rsidRDefault="0006359E" w:rsidP="0006359E">
                                <w:pPr>
                                  <w:spacing w:after="0"/>
                                  <w:jc w:val="left"/>
                                  <w:textDirection w:val="btLr"/>
                                </w:pPr>
                              </w:p>
                            </w:txbxContent>
                          </wps:txbx>
                          <wps:bodyPr spcFirstLastPara="1" wrap="square" lIns="91425" tIns="91425" rIns="91425" bIns="91425" anchor="ctr" anchorCtr="0">
                            <a:noAutofit/>
                          </wps:bodyPr>
                        </wps:wsp>
                        <wps:wsp>
                          <wps:cNvPr id="137" name="Freeform 25636"/>
                          <wps:cNvSpPr/>
                          <wps:spPr>
                            <a:xfrm>
                              <a:off x="1227145" y="16871"/>
                              <a:ext cx="1384560" cy="1384771"/>
                            </a:xfrm>
                            <a:custGeom>
                              <a:avLst/>
                              <a:gdLst/>
                              <a:ahLst/>
                              <a:cxnLst/>
                              <a:rect l="l" t="t" r="r" b="b"/>
                              <a:pathLst>
                                <a:path w="120000" h="120000" extrusionOk="0">
                                  <a:moveTo>
                                    <a:pt x="8412" y="60000"/>
                                  </a:moveTo>
                                  <a:lnTo>
                                    <a:pt x="8412" y="60000"/>
                                  </a:lnTo>
                                  <a:cubicBezTo>
                                    <a:pt x="8412" y="32962"/>
                                    <a:pt x="29287" y="10511"/>
                                    <a:pt x="56253" y="8547"/>
                                  </a:cubicBezTo>
                                  <a:cubicBezTo>
                                    <a:pt x="83219" y="6583"/>
                                    <a:pt x="107126" y="25773"/>
                                    <a:pt x="111044" y="52526"/>
                                  </a:cubicBezTo>
                                  <a:cubicBezTo>
                                    <a:pt x="114961" y="79279"/>
                                    <a:pt x="97559" y="104517"/>
                                    <a:pt x="71162" y="110367"/>
                                  </a:cubicBezTo>
                                  <a:lnTo>
                                    <a:pt x="70593" y="118429"/>
                                  </a:lnTo>
                                  <a:lnTo>
                                    <a:pt x="56830" y="104890"/>
                                  </a:lnTo>
                                  <a:lnTo>
                                    <a:pt x="72706" y="88508"/>
                                  </a:lnTo>
                                  <a:lnTo>
                                    <a:pt x="72145" y="96445"/>
                                  </a:lnTo>
                                  <a:cubicBezTo>
                                    <a:pt x="90761" y="90240"/>
                                    <a:pt x="101708" y="70999"/>
                                    <a:pt x="97532" y="51824"/>
                                  </a:cubicBezTo>
                                  <a:cubicBezTo>
                                    <a:pt x="93356" y="32649"/>
                                    <a:pt x="75399" y="19705"/>
                                    <a:pt x="55889" y="21805"/>
                                  </a:cubicBezTo>
                                  <a:cubicBezTo>
                                    <a:pt x="36379" y="23906"/>
                                    <a:pt x="21588" y="40375"/>
                                    <a:pt x="21588" y="60000"/>
                                  </a:cubicBezTo>
                                  <a:close/>
                                </a:path>
                              </a:pathLst>
                            </a:custGeom>
                            <a:solidFill>
                              <a:srgbClr val="92D050"/>
                            </a:solidFill>
                            <a:ln w="25400" cap="flat" cmpd="sng">
                              <a:solidFill>
                                <a:schemeClr val="lt1"/>
                              </a:solidFill>
                              <a:prstDash val="solid"/>
                              <a:round/>
                              <a:headEnd type="none" w="sm" len="sm"/>
                              <a:tailEnd type="none" w="sm" len="sm"/>
                            </a:ln>
                          </wps:spPr>
                          <wps:txbx>
                            <w:txbxContent>
                              <w:p w14:paraId="7457251F" w14:textId="77777777" w:rsidR="0006359E" w:rsidRDefault="0006359E" w:rsidP="0006359E">
                                <w:pPr>
                                  <w:spacing w:after="0"/>
                                  <w:jc w:val="left"/>
                                  <w:textDirection w:val="btLr"/>
                                </w:pPr>
                              </w:p>
                            </w:txbxContent>
                          </wps:txbx>
                          <wps:bodyPr spcFirstLastPara="1" wrap="square" lIns="91425" tIns="91425" rIns="91425" bIns="91425" anchor="ctr" anchorCtr="0">
                            <a:noAutofit/>
                          </wps:bodyPr>
                        </wps:wsp>
                        <wps:wsp>
                          <wps:cNvPr id="138" name="Rectangle 138"/>
                          <wps:cNvSpPr/>
                          <wps:spPr>
                            <a:xfrm>
                              <a:off x="1533178" y="460176"/>
                              <a:ext cx="769373" cy="497873"/>
                            </a:xfrm>
                            <a:prstGeom prst="rect">
                              <a:avLst/>
                            </a:prstGeom>
                            <a:noFill/>
                            <a:ln>
                              <a:noFill/>
                            </a:ln>
                          </wps:spPr>
                          <wps:txbx>
                            <w:txbxContent>
                              <w:p w14:paraId="4E381C28" w14:textId="77777777" w:rsidR="0006359E" w:rsidRDefault="0006359E" w:rsidP="0006359E">
                                <w:pPr>
                                  <w:spacing w:after="0"/>
                                  <w:jc w:val="left"/>
                                  <w:textDirection w:val="btLr"/>
                                </w:pPr>
                              </w:p>
                            </w:txbxContent>
                          </wps:txbx>
                          <wps:bodyPr spcFirstLastPara="1" wrap="square" lIns="91425" tIns="91425" rIns="91425" bIns="91425" anchor="ctr" anchorCtr="0">
                            <a:noAutofit/>
                          </wps:bodyPr>
                        </wps:wsp>
                        <wps:wsp>
                          <wps:cNvPr id="139" name="Text Box 139"/>
                          <wps:cNvSpPr txBox="1"/>
                          <wps:spPr>
                            <a:xfrm>
                              <a:off x="1533178" y="460176"/>
                              <a:ext cx="769373" cy="497873"/>
                            </a:xfrm>
                            <a:prstGeom prst="rect">
                              <a:avLst/>
                            </a:prstGeom>
                            <a:noFill/>
                            <a:ln>
                              <a:noFill/>
                            </a:ln>
                          </wps:spPr>
                          <wps:txbx>
                            <w:txbxContent>
                              <w:p w14:paraId="599D1B26" w14:textId="77777777" w:rsidR="0006359E" w:rsidRDefault="0006359E" w:rsidP="0006359E">
                                <w:pPr>
                                  <w:spacing w:after="0" w:line="215" w:lineRule="auto"/>
                                  <w:jc w:val="center"/>
                                  <w:textDirection w:val="btLr"/>
                                </w:pPr>
                                <w:r>
                                  <w:rPr>
                                    <w:color w:val="000000"/>
                                    <w:sz w:val="18"/>
                                  </w:rPr>
                                  <w:t>proceduri de sistem</w:t>
                                </w:r>
                              </w:p>
                            </w:txbxContent>
                          </wps:txbx>
                          <wps:bodyPr spcFirstLastPara="1" wrap="square" lIns="5700" tIns="5700" rIns="5700" bIns="5700" anchor="ctr" anchorCtr="0">
                            <a:noAutofit/>
                          </wps:bodyPr>
                        </wps:wsp>
                        <wps:wsp>
                          <wps:cNvPr id="140" name="Freeform 25639"/>
                          <wps:cNvSpPr/>
                          <wps:spPr>
                            <a:xfrm>
                              <a:off x="842588" y="812525"/>
                              <a:ext cx="1384560" cy="1384771"/>
                            </a:xfrm>
                            <a:custGeom>
                              <a:avLst/>
                              <a:gdLst/>
                              <a:ahLst/>
                              <a:cxnLst/>
                              <a:rect l="l" t="t" r="r" b="b"/>
                              <a:pathLst>
                                <a:path w="120000" h="120000" extrusionOk="0">
                                  <a:moveTo>
                                    <a:pt x="96481" y="23524"/>
                                  </a:moveTo>
                                  <a:lnTo>
                                    <a:pt x="87165" y="32840"/>
                                  </a:lnTo>
                                  <a:cubicBezTo>
                                    <a:pt x="75945" y="21617"/>
                                    <a:pt x="58981" y="18448"/>
                                    <a:pt x="44467" y="24865"/>
                                  </a:cubicBezTo>
                                  <a:cubicBezTo>
                                    <a:pt x="29954" y="31283"/>
                                    <a:pt x="20881" y="45964"/>
                                    <a:pt x="21631" y="61816"/>
                                  </a:cubicBezTo>
                                  <a:cubicBezTo>
                                    <a:pt x="22381" y="77668"/>
                                    <a:pt x="32801" y="91427"/>
                                    <a:pt x="47855" y="96445"/>
                                  </a:cubicBezTo>
                                  <a:lnTo>
                                    <a:pt x="47294" y="88508"/>
                                  </a:lnTo>
                                  <a:lnTo>
                                    <a:pt x="63170" y="104890"/>
                                  </a:lnTo>
                                  <a:lnTo>
                                    <a:pt x="49407" y="118429"/>
                                  </a:lnTo>
                                  <a:lnTo>
                                    <a:pt x="48838" y="110367"/>
                                  </a:lnTo>
                                  <a:lnTo>
                                    <a:pt x="48838" y="110367"/>
                                  </a:lnTo>
                                  <a:cubicBezTo>
                                    <a:pt x="27395" y="105615"/>
                                    <a:pt x="11311" y="87806"/>
                                    <a:pt x="8761" y="65990"/>
                                  </a:cubicBezTo>
                                  <a:cubicBezTo>
                                    <a:pt x="6211" y="44174"/>
                                    <a:pt x="17753" y="23136"/>
                                    <a:pt x="37522" y="13566"/>
                                  </a:cubicBezTo>
                                  <a:cubicBezTo>
                                    <a:pt x="57291" y="3995"/>
                                    <a:pt x="80952" y="7992"/>
                                    <a:pt x="96481" y="23524"/>
                                  </a:cubicBezTo>
                                  <a:close/>
                                </a:path>
                              </a:pathLst>
                            </a:custGeom>
                            <a:solidFill>
                              <a:schemeClr val="accent5"/>
                            </a:solidFill>
                            <a:ln w="25400" cap="flat" cmpd="sng">
                              <a:solidFill>
                                <a:schemeClr val="lt1"/>
                              </a:solidFill>
                              <a:prstDash val="solid"/>
                              <a:round/>
                              <a:headEnd type="none" w="sm" len="sm"/>
                              <a:tailEnd type="none" w="sm" len="sm"/>
                            </a:ln>
                          </wps:spPr>
                          <wps:txbx>
                            <w:txbxContent>
                              <w:p w14:paraId="7B275ADD" w14:textId="77777777" w:rsidR="0006359E" w:rsidRDefault="0006359E" w:rsidP="0006359E">
                                <w:pPr>
                                  <w:spacing w:after="0"/>
                                  <w:jc w:val="left"/>
                                  <w:textDirection w:val="btLr"/>
                                </w:pPr>
                              </w:p>
                            </w:txbxContent>
                          </wps:txbx>
                          <wps:bodyPr spcFirstLastPara="1" wrap="square" lIns="91425" tIns="91425" rIns="91425" bIns="91425" anchor="ctr" anchorCtr="0">
                            <a:noAutofit/>
                          </wps:bodyPr>
                        </wps:wsp>
                        <wps:wsp>
                          <wps:cNvPr id="141" name="Rectangle 141"/>
                          <wps:cNvSpPr/>
                          <wps:spPr>
                            <a:xfrm>
                              <a:off x="1160029" y="1277666"/>
                              <a:ext cx="769373" cy="384594"/>
                            </a:xfrm>
                            <a:prstGeom prst="rect">
                              <a:avLst/>
                            </a:prstGeom>
                            <a:noFill/>
                            <a:ln>
                              <a:noFill/>
                            </a:ln>
                          </wps:spPr>
                          <wps:txbx>
                            <w:txbxContent>
                              <w:p w14:paraId="2FD5DD3A" w14:textId="77777777" w:rsidR="0006359E" w:rsidRDefault="0006359E" w:rsidP="0006359E">
                                <w:pPr>
                                  <w:spacing w:after="0"/>
                                  <w:jc w:val="left"/>
                                  <w:textDirection w:val="btLr"/>
                                </w:pPr>
                              </w:p>
                            </w:txbxContent>
                          </wps:txbx>
                          <wps:bodyPr spcFirstLastPara="1" wrap="square" lIns="91425" tIns="91425" rIns="91425" bIns="91425" anchor="ctr" anchorCtr="0">
                            <a:noAutofit/>
                          </wps:bodyPr>
                        </wps:wsp>
                        <wps:wsp>
                          <wps:cNvPr id="142" name="Text Box 142"/>
                          <wps:cNvSpPr txBox="1"/>
                          <wps:spPr>
                            <a:xfrm>
                              <a:off x="1160029" y="1277666"/>
                              <a:ext cx="769373" cy="384594"/>
                            </a:xfrm>
                            <a:prstGeom prst="rect">
                              <a:avLst/>
                            </a:prstGeom>
                            <a:noFill/>
                            <a:ln>
                              <a:noFill/>
                            </a:ln>
                          </wps:spPr>
                          <wps:txbx>
                            <w:txbxContent>
                              <w:p w14:paraId="3A94C72C" w14:textId="77777777" w:rsidR="0006359E" w:rsidRDefault="0006359E" w:rsidP="0006359E">
                                <w:pPr>
                                  <w:spacing w:after="0" w:line="215" w:lineRule="auto"/>
                                  <w:jc w:val="center"/>
                                  <w:textDirection w:val="btLr"/>
                                </w:pPr>
                                <w:r>
                                  <w:rPr>
                                    <w:b/>
                                    <w:color w:val="000000"/>
                                    <w:sz w:val="16"/>
                                  </w:rPr>
                                  <w:t>proceduri operaționale</w:t>
                                </w:r>
                              </w:p>
                            </w:txbxContent>
                          </wps:txbx>
                          <wps:bodyPr spcFirstLastPara="1" wrap="square" lIns="5075" tIns="5075" rIns="5075" bIns="5075" anchor="ctr" anchorCtr="0">
                            <a:noAutofit/>
                          </wps:bodyPr>
                        </wps:wsp>
                        <wps:wsp>
                          <wps:cNvPr id="143" name="Block Arc 143"/>
                          <wps:cNvSpPr/>
                          <wps:spPr>
                            <a:xfrm>
                              <a:off x="1131666" y="1707586"/>
                              <a:ext cx="1862993" cy="1264213"/>
                            </a:xfrm>
                            <a:prstGeom prst="blockArc">
                              <a:avLst>
                                <a:gd name="adj1" fmla="val 13500000"/>
                                <a:gd name="adj2" fmla="val 10800000"/>
                                <a:gd name="adj3" fmla="val 12740"/>
                              </a:avLst>
                            </a:prstGeom>
                            <a:solidFill>
                              <a:srgbClr val="00B0F0"/>
                            </a:solidFill>
                            <a:ln w="25400" cap="flat" cmpd="sng">
                              <a:solidFill>
                                <a:schemeClr val="lt1"/>
                              </a:solidFill>
                              <a:prstDash val="solid"/>
                              <a:round/>
                              <a:headEnd type="none" w="sm" len="sm"/>
                              <a:tailEnd type="none" w="sm" len="sm"/>
                            </a:ln>
                          </wps:spPr>
                          <wps:txbx>
                            <w:txbxContent>
                              <w:p w14:paraId="78A9B94C" w14:textId="77777777" w:rsidR="0006359E" w:rsidRDefault="0006359E" w:rsidP="0006359E">
                                <w:pPr>
                                  <w:spacing w:after="0"/>
                                  <w:jc w:val="left"/>
                                  <w:textDirection w:val="btLr"/>
                                </w:pPr>
                              </w:p>
                            </w:txbxContent>
                          </wps:txbx>
                          <wps:bodyPr spcFirstLastPara="1" wrap="square" lIns="91425" tIns="91425" rIns="91425" bIns="91425" anchor="ctr" anchorCtr="0">
                            <a:noAutofit/>
                          </wps:bodyPr>
                        </wps:wsp>
                        <wps:wsp>
                          <wps:cNvPr id="144" name="Rectangle 144"/>
                          <wps:cNvSpPr/>
                          <wps:spPr>
                            <a:xfrm>
                              <a:off x="1577741" y="2007890"/>
                              <a:ext cx="855335" cy="605771"/>
                            </a:xfrm>
                            <a:prstGeom prst="rect">
                              <a:avLst/>
                            </a:prstGeom>
                            <a:noFill/>
                            <a:ln>
                              <a:noFill/>
                            </a:ln>
                          </wps:spPr>
                          <wps:txbx>
                            <w:txbxContent>
                              <w:p w14:paraId="2236A268" w14:textId="77777777" w:rsidR="0006359E" w:rsidRDefault="0006359E" w:rsidP="0006359E">
                                <w:pPr>
                                  <w:spacing w:after="0"/>
                                  <w:jc w:val="left"/>
                                  <w:textDirection w:val="btLr"/>
                                </w:pPr>
                              </w:p>
                            </w:txbxContent>
                          </wps:txbx>
                          <wps:bodyPr spcFirstLastPara="1" wrap="square" lIns="91425" tIns="91425" rIns="91425" bIns="91425" anchor="ctr" anchorCtr="0">
                            <a:noAutofit/>
                          </wps:bodyPr>
                        </wps:wsp>
                        <wps:wsp>
                          <wps:cNvPr id="145" name="Text Box 145"/>
                          <wps:cNvSpPr txBox="1"/>
                          <wps:spPr>
                            <a:xfrm>
                              <a:off x="1577741" y="2007890"/>
                              <a:ext cx="855335" cy="651490"/>
                            </a:xfrm>
                            <a:prstGeom prst="rect">
                              <a:avLst/>
                            </a:prstGeom>
                            <a:noFill/>
                            <a:ln>
                              <a:noFill/>
                            </a:ln>
                          </wps:spPr>
                          <wps:txbx>
                            <w:txbxContent>
                              <w:p w14:paraId="250124C2" w14:textId="77777777" w:rsidR="0006359E" w:rsidRDefault="0006359E" w:rsidP="0006359E">
                                <w:pPr>
                                  <w:spacing w:after="0" w:line="215" w:lineRule="auto"/>
                                  <w:jc w:val="center"/>
                                  <w:textDirection w:val="btLr"/>
                                </w:pPr>
                                <w:r>
                                  <w:rPr>
                                    <w:b/>
                                    <w:i/>
                                    <w:color w:val="000000"/>
                                    <w:sz w:val="14"/>
                                  </w:rPr>
                                  <w:t>Procedura de sistem PS2-PS-001 – “Elaborarea procedurilor documentate – proceduri de sistem şi proceduri de lucru</w:t>
                                </w:r>
                              </w:p>
                            </w:txbxContent>
                          </wps:txbx>
                          <wps:bodyPr spcFirstLastPara="1" wrap="square" lIns="4425" tIns="4425" rIns="4425" bIns="4425" anchor="ctr" anchorCtr="0">
                            <a:noAutofit/>
                          </wps:bodyPr>
                        </wps:wsp>
                      </wpg:grpSp>
                    </wpg:wgp>
                  </a:graphicData>
                </a:graphic>
              </wp:inline>
            </w:drawing>
          </mc:Choice>
          <mc:Fallback>
            <w:pict>
              <v:group w14:anchorId="579DBBCB" id="Group 134" o:spid="_x0000_s1064" style="width:282pt;height:234pt;mso-position-horizontal-relative:char;mso-position-vertical-relative:line" coordsize="35814,2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">
                <v:group id="Group 135" o:spid="_x0000_s1065" style="position:absolute;width:35814;height:29717" coordsize="35814,29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rect id="Rectangle 136" o:spid="_x0000_s1066" style="position:absolute;width:35814;height:28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" filled="f" stroked="f">
                    <v:textbox inset="2.53958mm,2.53958mm,2.53958mm,2.53958mm">
                      <w:txbxContent>
                        <w:p w14:paraId="56902E90" w14:textId="77777777" w:rsidR="0006359E" w:rsidRDefault="0006359E" w:rsidP="0006359E">
                          <w:pPr>
                            <w:spacing w:after="0"/>
                            <w:jc w:val="left"/>
                            <w:textDirection w:val="btLr"/>
                          </w:pPr>
                        </w:p>
                      </w:txbxContent>
                    </v:textbox>
                  </v:rect>
                  <v:shape id="Freeform 25636" o:spid="_x0000_s1067" style="position:absolute;left:12271;top:168;width:13846;height:1384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" adj="-11796480,,5400" path="m8412,60000r,c8412,32962,29287,10511,56253,8547v26966,-1964,50873,17226,54791,43979c114961,79279,97559,104517,71162,110367r-569,8062l56830,104890,72706,88508r-561,7937c90761,90240,101708,70999,97532,51824,93356,32649,75399,19705,55889,21805,36379,23906,21588,40375,21588,60000r-13176,xe" fillcolor="#92d050" strokecolor="white [3201]"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7457251F" w14:textId="77777777" w:rsidR="0006359E" w:rsidRDefault="0006359E" w:rsidP="0006359E">
                          <w:pPr>
                            <w:spacing w:after="0"/>
                            <w:jc w:val="left"/>
                            <w:textDirection w:val="btLr"/>
                          </w:pPr>
                        </w:p>
                      </w:txbxContent>
                    </v:textbox>
                  </v:shape>
                  <v:rect id="Rectangle 138" o:spid="_x0000_s1068" style="position:absolute;left:15331;top:4601;width:7694;height:4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" filled="f" stroked="f">
                    <v:textbox inset="2.53958mm,2.53958mm,2.53958mm,2.53958mm">
                      <w:txbxContent>
                        <w:p w14:paraId="4E381C28" w14:textId="77777777" w:rsidR="0006359E" w:rsidRDefault="0006359E" w:rsidP="0006359E">
                          <w:pPr>
                            <w:spacing w:after="0"/>
                            <w:jc w:val="left"/>
                            <w:textDirection w:val="btLr"/>
                          </w:pPr>
                        </w:p>
                      </w:txbxContent>
                    </v:textbox>
                  </v:rect>
                  <v:shape id="Text Box 139" o:spid="_x0000_s1069" type="#_x0000_t202" style="position:absolute;left:15331;top:4601;width:7694;height:4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" filled="f" stroked="f">
                    <v:textbox inset=".15833mm,.15833mm,.15833mm,.15833mm">
                      <w:txbxContent>
                        <w:p w14:paraId="599D1B26" w14:textId="77777777" w:rsidR="0006359E" w:rsidRDefault="0006359E" w:rsidP="0006359E">
                          <w:pPr>
                            <w:spacing w:after="0" w:line="215" w:lineRule="auto"/>
                            <w:jc w:val="center"/>
                            <w:textDirection w:val="btLr"/>
                          </w:pPr>
                          <w:r>
                            <w:rPr>
                              <w:color w:val="000000"/>
                              <w:sz w:val="18"/>
                            </w:rPr>
                            <w:t>proceduri de sistem</w:t>
                          </w:r>
                        </w:p>
                      </w:txbxContent>
                    </v:textbox>
                  </v:shape>
                  <v:shape id="Freeform 25639" o:spid="_x0000_s1070" style="position:absolute;left:8425;top:8125;width:13846;height:1384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" adj="-11796480,,5400" path="m96481,23524r-9316,9316c75945,21617,58981,18448,44467,24865,29954,31283,20881,45964,21631,61816v750,15852,11170,29611,26224,34629l47294,88508r15876,16382l49407,118429r-569,-8062l48838,110367c27395,105615,11311,87806,8761,65990,6211,44174,17753,23136,37522,13566,57291,3995,80952,7992,96481,23524xe" fillcolor="#abcd3a [3208]" strokecolor="white [3201]"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7B275ADD" w14:textId="77777777" w:rsidR="0006359E" w:rsidRDefault="0006359E" w:rsidP="0006359E">
                          <w:pPr>
                            <w:spacing w:after="0"/>
                            <w:jc w:val="left"/>
                            <w:textDirection w:val="btLr"/>
                          </w:pPr>
                        </w:p>
                      </w:txbxContent>
                    </v:textbox>
                  </v:shape>
                  <v:rect id="Rectangle 141" o:spid="_x0000_s1071" style="position:absolute;left:11600;top:12776;width:7694;height:3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" filled="f" stroked="f">
                    <v:textbox inset="2.53958mm,2.53958mm,2.53958mm,2.53958mm">
                      <w:txbxContent>
                        <w:p w14:paraId="2FD5DD3A" w14:textId="77777777" w:rsidR="0006359E" w:rsidRDefault="0006359E" w:rsidP="0006359E">
                          <w:pPr>
                            <w:spacing w:after="0"/>
                            <w:jc w:val="left"/>
                            <w:textDirection w:val="btLr"/>
                          </w:pPr>
                        </w:p>
                      </w:txbxContent>
                    </v:textbox>
                  </v:rect>
                  <v:shape id="Text Box 142" o:spid="_x0000_s1072" type="#_x0000_t202" style="position:absolute;left:11600;top:12776;width:7694;height:3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" filled="f" stroked="f">
                    <v:textbox inset=".14097mm,.14097mm,.14097mm,.14097mm">
                      <w:txbxContent>
                        <w:p w14:paraId="3A94C72C" w14:textId="77777777" w:rsidR="0006359E" w:rsidRDefault="0006359E" w:rsidP="0006359E">
                          <w:pPr>
                            <w:spacing w:after="0" w:line="215" w:lineRule="auto"/>
                            <w:jc w:val="center"/>
                            <w:textDirection w:val="btLr"/>
                          </w:pPr>
                          <w:r>
                            <w:rPr>
                              <w:b/>
                              <w:color w:val="000000"/>
                              <w:sz w:val="16"/>
                            </w:rPr>
                            <w:t>proceduri operaționale</w:t>
                          </w:r>
                        </w:p>
                      </w:txbxContent>
                    </v:textbox>
                  </v:shape>
                  <v:shape id="Block Arc 143" o:spid="_x0000_s1073" style="position:absolute;left:11316;top:17075;width:18630;height:12642;visibility:visible;mso-wrap-style:square;v-text-anchor:middle" coordsize="1862993,12642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" adj="-11796480,,5400" path="m408449,109059c676871,-14546,1020724,-34489,1316163,56414v509602,156798,701940,580933,410415,905026c1534018,1175512,1173163,1292082,806893,1258533,344788,1216206,,948532,,632107r161061,c161061,870265,451807,1070956,838485,1099708v286716,21319,568852,-57200,730851,-203399c1843831,648587,1675914,309206,1222863,196046,996038,139391,738660,152080,529613,230225l408449,109059xe" fillcolor="#00b0f0" strokecolor="white [3201]" strokeweight="2pt">
                    <v:stroke startarrowwidth="narrow" startarrowlength="short" endarrowwidth="narrow" endarrowlength="short" joinstyle="round"/>
                    <v:formulas/>
                    <v:path arrowok="t" o:connecttype="custom" o:connectlocs="408449,109059;1316163,56414;1726578,961440;806893,1258533;0,632107;161061,632107;838485,1099708;1569336,896309;1222863,196046;529613,230225;408449,109059" o:connectangles="0,0,0,0,0,0,0,0,0,0,0" textboxrect="0,0,1862993,1264213"/>
                    <v:textbox inset="2.53958mm,2.53958mm,2.53958mm,2.53958mm">
                      <w:txbxContent>
                        <w:p w14:paraId="78A9B94C" w14:textId="77777777" w:rsidR="0006359E" w:rsidRDefault="0006359E" w:rsidP="0006359E">
                          <w:pPr>
                            <w:spacing w:after="0"/>
                            <w:jc w:val="left"/>
                            <w:textDirection w:val="btLr"/>
                          </w:pPr>
                        </w:p>
                      </w:txbxContent>
                    </v:textbox>
                  </v:shape>
                  <v:rect id="Rectangle 144" o:spid="_x0000_s1074" style="position:absolute;left:15777;top:20078;width:8553;height:6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" filled="f" stroked="f">
                    <v:textbox inset="2.53958mm,2.53958mm,2.53958mm,2.53958mm">
                      <w:txbxContent>
                        <w:p w14:paraId="2236A268" w14:textId="77777777" w:rsidR="0006359E" w:rsidRDefault="0006359E" w:rsidP="0006359E">
                          <w:pPr>
                            <w:spacing w:after="0"/>
                            <w:jc w:val="left"/>
                            <w:textDirection w:val="btLr"/>
                          </w:pPr>
                        </w:p>
                      </w:txbxContent>
                    </v:textbox>
                  </v:rect>
                  <v:shape id="Text Box 145" o:spid="_x0000_s1075" type="#_x0000_t202" style="position:absolute;left:15777;top:20078;width:8553;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" filled="f" stroked="f">
                    <v:textbox inset=".1229mm,.1229mm,.1229mm,.1229mm">
                      <w:txbxContent>
                        <w:p w14:paraId="250124C2" w14:textId="77777777" w:rsidR="0006359E" w:rsidRDefault="0006359E" w:rsidP="0006359E">
                          <w:pPr>
                            <w:spacing w:after="0" w:line="215" w:lineRule="auto"/>
                            <w:jc w:val="center"/>
                            <w:textDirection w:val="btLr"/>
                          </w:pPr>
                          <w:r>
                            <w:rPr>
                              <w:b/>
                              <w:i/>
                              <w:color w:val="000000"/>
                              <w:sz w:val="14"/>
                            </w:rPr>
                            <w:t>Procedura de sistem PS2-PS-001 – “Elaborarea procedurilor documentate – proceduri de sistem şi proceduri de lucru</w:t>
                          </w:r>
                        </w:p>
                      </w:txbxContent>
                    </v:textbox>
                  </v:shape>
                </v:group>
                <w10:anchorlock/>
              </v:group>
            </w:pict>
          </mc:Fallback>
        </mc:AlternateContent>
      </w:r>
    </w:p>
    <w:p w14:paraId="08ACFF65" w14:textId="77777777" w:rsidR="0006359E" w:rsidRPr="00F171A3" w:rsidRDefault="0006359E" w:rsidP="0006359E">
      <w:pPr>
        <w:spacing w:after="0"/>
        <w:jc w:val="left"/>
        <w:rPr>
          <w:color w:val="000000"/>
        </w:rPr>
      </w:pPr>
    </w:p>
    <w:p w14:paraId="6FCE6B01" w14:textId="37736FC0"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furnizate de Primăria Sector</w:t>
      </w:r>
      <w:r w:rsidR="00135D70" w:rsidRPr="00F171A3">
        <w:rPr>
          <w:color w:val="BFBFBF" w:themeColor="background1" w:themeShade="BF"/>
        </w:rPr>
        <w:t>ului</w:t>
      </w:r>
      <w:r w:rsidRPr="00F171A3">
        <w:rPr>
          <w:color w:val="BFBFBF" w:themeColor="background1" w:themeShade="BF"/>
        </w:rPr>
        <w:t xml:space="preserve"> 2</w:t>
      </w:r>
    </w:p>
    <w:p w14:paraId="4EACBCEB" w14:textId="77777777" w:rsidR="00F555EE" w:rsidRPr="00F171A3" w:rsidRDefault="00F555EE" w:rsidP="00F555EE">
      <w:bookmarkStart w:id="337" w:name="_heading=h.1o97atn" w:colFirst="0" w:colLast="0"/>
      <w:bookmarkStart w:id="338" w:name="_Toc114505908"/>
      <w:bookmarkEnd w:id="337"/>
    </w:p>
    <w:p w14:paraId="5CEBF0BC" w14:textId="228475ED" w:rsidR="0006359E" w:rsidRPr="00F171A3" w:rsidRDefault="0006359E" w:rsidP="0006359E">
      <w:pPr>
        <w:pStyle w:val="Heading3"/>
        <w:rPr>
          <w:lang w:val="ro-RO"/>
        </w:rPr>
      </w:pPr>
      <w:bookmarkStart w:id="339" w:name="_Toc127199298"/>
      <w:r w:rsidRPr="00F171A3">
        <w:rPr>
          <w:lang w:val="ro-RO"/>
        </w:rPr>
        <w:t>CAPACITATE FINANCIARĂ. ANALIZA RESURSELOR FINANCIARE</w:t>
      </w:r>
      <w:bookmarkEnd w:id="338"/>
      <w:bookmarkEnd w:id="339"/>
      <w:r w:rsidRPr="00F171A3">
        <w:rPr>
          <w:lang w:val="ro-RO"/>
        </w:rPr>
        <w:t xml:space="preserve"> </w:t>
      </w:r>
    </w:p>
    <w:p w14:paraId="627F4160" w14:textId="77777777" w:rsidR="0006359E" w:rsidRPr="00F171A3" w:rsidRDefault="0006359E" w:rsidP="0006359E">
      <w:r w:rsidRPr="00F171A3">
        <w:t xml:space="preserve">Administrațiile publice locale dispun de resurse financiare limitate, deseori afectate de volatilitate, în special ca o consecință a utilizării de derogări de la Legea privind finanțele publice locale nr 273/2006. Mai mult, sistemul de echilibrare bugetară, respectiv limitele legale în privința resurselor ce pot fi accesate local pot crea dificultăți în planificarea anuală și, în special, cea multianuală. </w:t>
      </w:r>
    </w:p>
    <w:p w14:paraId="46FBDAFD" w14:textId="77777777" w:rsidR="0006359E" w:rsidRPr="00F171A3" w:rsidRDefault="0006359E" w:rsidP="0006359E">
      <w:r w:rsidRPr="00F171A3">
        <w:t xml:space="preserve">Primăriile sectoarelor municipiului București au responsabilități cheie în dezvoltarea urbană și susținerea a numeroase servicii publice pe plan local, iar relaţia dintre autorităţile administraţiei publice din municipiul Bucureşti este delimitată de prevederile Codului Administrațiv și legislației adiacente. </w:t>
      </w:r>
    </w:p>
    <w:p w14:paraId="470CF0F4" w14:textId="77777777" w:rsidR="0006359E" w:rsidRPr="00F171A3" w:rsidRDefault="0006359E" w:rsidP="0006359E">
      <w:r w:rsidRPr="00F171A3">
        <w:t xml:space="preserve">O administrație locală de sector trebuie să asigure resurse financiare, printre altele, pentru, (i) întreținerea drumurilor publice ce intră în competența sa, (ii) întreținerea clădirilor publice și programe de reabilitare (inclusiv clădiri private), (iii) construcția de locuințe sociale, construcția și susținerea de creșe, facilități pentru persoanele vârstnice, și asistență socială, (iv) facilități culturale, sportive, de recreere, parcuri, zone verzi și grădini publice, (v) salubritate și gestionarea deșeurilor, (vi) cheltuieli în domeniul sănătății și educației, (vii) să mențină ordinea publică prin Poliția locală de sector sau (viii) să adopte politici locale de protecția mediului. </w:t>
      </w:r>
    </w:p>
    <w:p w14:paraId="5684A0B3" w14:textId="77777777" w:rsidR="0006359E" w:rsidRPr="00F171A3" w:rsidRDefault="0006359E" w:rsidP="0006359E">
      <w:r w:rsidRPr="00F171A3">
        <w:t>În comparație cu alte administrații publice locale (municipii, orașe sau comune), primăriile de sector nu au în responsabilitatea lor sistemele de termoficare sau susținerea transportului public local. Cele două servicii, ce reprezintă un cost semnificativ pentru administrația de la nivelul Bucureștiului, sunt de competența Primăriei Generale a municipiului București. Cu toate acestea, în ultimii ani se observă inițiative de a prelua o parte din costurile acestor servicii (în special investiții) și de către primăriile de sector. Aceleași inițiative, organizate cu acordul dintre cele două părți, au loc și în domeniul mobilității și reabilitării de drumuri publice (inclusiv construcții de pasaje, reabilitări drumuri/trotuare din aria de responsabilitate a Primăriei generale a municipiului București, etc).</w:t>
      </w:r>
    </w:p>
    <w:p w14:paraId="3915C79F" w14:textId="77777777" w:rsidR="0006359E" w:rsidRPr="00F171A3" w:rsidRDefault="0006359E" w:rsidP="0006359E">
      <w:r w:rsidRPr="00F171A3">
        <w:t xml:space="preserve">Susținerea acestor servicii publice necesită resurse financiare semnificative pentru a putea menține un grad de satisfacție ridicat al cetățenilor, iar planificarea optimă a acestora și utilizarea lor eficientă o dimensiune cheie a bunei guvernări. </w:t>
      </w:r>
    </w:p>
    <w:p w14:paraId="1397FB60" w14:textId="77777777" w:rsidR="0006359E" w:rsidRPr="00F171A3" w:rsidRDefault="0006359E" w:rsidP="0006359E">
      <w:r w:rsidRPr="00F171A3">
        <w:t xml:space="preserve">În România, finanțarea autorităților publice locale este reglementată în principal de Legea nr. 273/2006 privind finanțele publice locale ce stabilește „principiile, cadrul general și procedurile privind formarea, administrarea, angajarea și utilizarea fondurilor publice locale, precum și responsabilitățile autorităților administrației publice locale și ale instituțiilor publice implicate în domeniul finanțelor publice locale. Volatilitatea în alocările financiare bazate pe impozitul pe venit și taxa pe valoare adăugată, prin utilizarea de derogări anuale în redactarea și adoptarea </w:t>
      </w:r>
      <w:r w:rsidRPr="00F171A3">
        <w:rPr>
          <w:i/>
        </w:rPr>
        <w:t>Legii bugetului de stat</w:t>
      </w:r>
      <w:r w:rsidRPr="00F171A3">
        <w:t xml:space="preserve"> de la </w:t>
      </w:r>
      <w:r w:rsidRPr="00F171A3">
        <w:rPr>
          <w:i/>
        </w:rPr>
        <w:t>Legea privind finanțele publice locale</w:t>
      </w:r>
      <w:r w:rsidRPr="00F171A3">
        <w:t>, creează o interdependență a bugetelor locale de alocările de la nivel central și poate impacte o planificare bugetară optimă, inclusiv prin utilizarea a numeroase rectificări bugetare.</w:t>
      </w:r>
    </w:p>
    <w:p w14:paraId="489358D5" w14:textId="77777777" w:rsidR="0006359E" w:rsidRPr="00F171A3" w:rsidRDefault="0006359E" w:rsidP="0006359E">
      <w:r w:rsidRPr="00F171A3">
        <w:t xml:space="preserve">Autoritățile publice locale depind în principal de trei fluxuri de venituri: </w:t>
      </w:r>
    </w:p>
    <w:p w14:paraId="57C3BDBE" w14:textId="5EF3EF14" w:rsidR="0006359E" w:rsidRPr="00F171A3" w:rsidRDefault="00F555EE">
      <w:pPr>
        <w:numPr>
          <w:ilvl w:val="0"/>
          <w:numId w:val="41"/>
        </w:numPr>
        <w:pBdr>
          <w:top w:val="nil"/>
          <w:left w:val="nil"/>
          <w:bottom w:val="nil"/>
          <w:right w:val="nil"/>
          <w:between w:val="nil"/>
        </w:pBdr>
        <w:rPr>
          <w:color w:val="134753" w:themeColor="text2"/>
        </w:rPr>
      </w:pPr>
      <w:r w:rsidRPr="00F171A3">
        <w:rPr>
          <w:color w:val="134753" w:themeColor="text2"/>
        </w:rPr>
        <w:t>C</w:t>
      </w:r>
      <w:r w:rsidR="0006359E" w:rsidRPr="00F171A3">
        <w:rPr>
          <w:color w:val="134753" w:themeColor="text2"/>
        </w:rPr>
        <w:t>otele defalcate din impozitul pe venit (inclusiv alocările pentru echilibrarea bugetelor locale), cea mai importantă resursă financiară la nivel local</w:t>
      </w:r>
      <w:r w:rsidRPr="00F171A3">
        <w:rPr>
          <w:color w:val="134753" w:themeColor="text2"/>
        </w:rPr>
        <w:t>;</w:t>
      </w:r>
    </w:p>
    <w:p w14:paraId="0B52FE1D" w14:textId="1AD57E9D" w:rsidR="0006359E" w:rsidRPr="00F171A3" w:rsidRDefault="00F555EE">
      <w:pPr>
        <w:numPr>
          <w:ilvl w:val="0"/>
          <w:numId w:val="41"/>
        </w:numPr>
        <w:pBdr>
          <w:top w:val="nil"/>
          <w:left w:val="nil"/>
          <w:bottom w:val="nil"/>
          <w:right w:val="nil"/>
          <w:between w:val="nil"/>
        </w:pBdr>
        <w:rPr>
          <w:color w:val="134753" w:themeColor="text2"/>
        </w:rPr>
      </w:pPr>
      <w:r w:rsidRPr="00F171A3">
        <w:rPr>
          <w:color w:val="134753" w:themeColor="text2"/>
        </w:rPr>
        <w:t>S</w:t>
      </w:r>
      <w:r w:rsidR="0006359E" w:rsidRPr="00F171A3">
        <w:rPr>
          <w:color w:val="134753" w:themeColor="text2"/>
        </w:rPr>
        <w:t>umele defalcate din taxa pe valoare adăugată (inclusiv alocările pentru echilibrarea bugetelor locale)</w:t>
      </w:r>
      <w:r w:rsidRPr="00F171A3">
        <w:rPr>
          <w:color w:val="134753" w:themeColor="text2"/>
        </w:rPr>
        <w:t>;</w:t>
      </w:r>
    </w:p>
    <w:p w14:paraId="09EB5B15" w14:textId="727758C4" w:rsidR="0006359E" w:rsidRPr="00F171A3" w:rsidRDefault="00F555EE">
      <w:pPr>
        <w:numPr>
          <w:ilvl w:val="0"/>
          <w:numId w:val="41"/>
        </w:numPr>
        <w:pBdr>
          <w:top w:val="nil"/>
          <w:left w:val="nil"/>
          <w:bottom w:val="nil"/>
          <w:right w:val="nil"/>
          <w:between w:val="nil"/>
        </w:pBdr>
        <w:rPr>
          <w:color w:val="134753" w:themeColor="text2"/>
        </w:rPr>
      </w:pPr>
      <w:r w:rsidRPr="00F171A3">
        <w:rPr>
          <w:color w:val="134753" w:themeColor="text2"/>
        </w:rPr>
        <w:t>R</w:t>
      </w:r>
      <w:r w:rsidR="0006359E" w:rsidRPr="00F171A3">
        <w:rPr>
          <w:color w:val="134753" w:themeColor="text2"/>
        </w:rPr>
        <w:t xml:space="preserve">esursele colectate la nivel local – taxe și impozite, servicii, venituri din capital, etc. </w:t>
      </w:r>
    </w:p>
    <w:p w14:paraId="2511DF1D" w14:textId="77777777" w:rsidR="0006359E" w:rsidRPr="00F171A3" w:rsidRDefault="0006359E" w:rsidP="0006359E">
      <w:r w:rsidRPr="00F171A3">
        <w:t xml:space="preserve">Pe lângă aceste categorii de venituri, autoritățile publice locale pot beneficia de resurse financiare semnificative și ca urmare a: </w:t>
      </w:r>
    </w:p>
    <w:p w14:paraId="39A93500" w14:textId="3B564D8E" w:rsidR="0006359E" w:rsidRPr="00F171A3" w:rsidRDefault="00F555EE">
      <w:pPr>
        <w:numPr>
          <w:ilvl w:val="0"/>
          <w:numId w:val="41"/>
        </w:numPr>
        <w:pBdr>
          <w:top w:val="nil"/>
          <w:left w:val="nil"/>
          <w:bottom w:val="nil"/>
          <w:right w:val="nil"/>
          <w:between w:val="nil"/>
        </w:pBdr>
        <w:rPr>
          <w:color w:val="134753" w:themeColor="text2"/>
        </w:rPr>
      </w:pPr>
      <w:r w:rsidRPr="00F171A3">
        <w:rPr>
          <w:color w:val="134753" w:themeColor="text2"/>
        </w:rPr>
        <w:t>A</w:t>
      </w:r>
      <w:r w:rsidR="0006359E" w:rsidRPr="00F171A3">
        <w:rPr>
          <w:color w:val="134753" w:themeColor="text2"/>
        </w:rPr>
        <w:t>tragerii de fonduri europene nerambursabile</w:t>
      </w:r>
      <w:r w:rsidRPr="00F171A3">
        <w:rPr>
          <w:color w:val="134753" w:themeColor="text2"/>
        </w:rPr>
        <w:t>;</w:t>
      </w:r>
    </w:p>
    <w:p w14:paraId="2B631632" w14:textId="22156EC4" w:rsidR="0006359E" w:rsidRPr="00F171A3" w:rsidRDefault="00F555EE">
      <w:pPr>
        <w:numPr>
          <w:ilvl w:val="0"/>
          <w:numId w:val="41"/>
        </w:numPr>
        <w:pBdr>
          <w:top w:val="nil"/>
          <w:left w:val="nil"/>
          <w:bottom w:val="nil"/>
          <w:right w:val="nil"/>
          <w:between w:val="nil"/>
        </w:pBdr>
        <w:rPr>
          <w:color w:val="134753" w:themeColor="text2"/>
        </w:rPr>
      </w:pPr>
      <w:r w:rsidRPr="00F171A3">
        <w:rPr>
          <w:color w:val="134753" w:themeColor="text2"/>
        </w:rPr>
        <w:t>S</w:t>
      </w:r>
      <w:r w:rsidR="0006359E" w:rsidRPr="00F171A3">
        <w:rPr>
          <w:color w:val="134753" w:themeColor="text2"/>
        </w:rPr>
        <w:t xml:space="preserve">ubvenții de la bugetul de stat (pentru cheltuieli de capital sau operaționale).  </w:t>
      </w:r>
    </w:p>
    <w:p w14:paraId="135743CC" w14:textId="77777777" w:rsidR="0006359E" w:rsidRPr="00F171A3" w:rsidRDefault="0006359E" w:rsidP="0006359E">
      <w:r w:rsidRPr="00F171A3">
        <w:t xml:space="preserve">Primăriile de sector de la nivelul municipiului București au unele dintre cele mai ridicate venituri totale, depășind deseori inclusiv municipii reședințe de județ cu o populație similară, în special datorită nivelul ridicat de dezvoltare al Bucureștiului. Acest lucru se traduce în venituri ridicate ca urmare a unei medii salariale mult peste media națională, număr ridicat de salariați ca raport din populația totală și concentrării a numeroase companii în oraș.  </w:t>
      </w:r>
    </w:p>
    <w:p w14:paraId="15D0B577" w14:textId="77777777" w:rsidR="0006359E" w:rsidRPr="00F171A3" w:rsidRDefault="0006359E" w:rsidP="0006359E">
      <w:r w:rsidRPr="00963E4C">
        <w:rPr>
          <w:iCs/>
        </w:rPr>
        <w:t>Figura următoare</w:t>
      </w:r>
      <w:r w:rsidRPr="00F171A3">
        <w:t xml:space="preserve"> indică veniturile totale ale Primăriilor de Sector din București în perioada 2007-2020. În cifre absolute, la nivelul anului 2020, Primăria Sectorului 2 avea al treilea buget la nivelul sectoarelor, însă dacă ne raportăm la venituri per locuitor, acesta s-ar clasa pe locul secund</w:t>
      </w:r>
      <w:r w:rsidRPr="00F171A3">
        <w:rPr>
          <w:vertAlign w:val="superscript"/>
        </w:rPr>
        <w:footnoteReference w:id="167"/>
      </w:r>
      <w:r w:rsidRPr="00F171A3">
        <w:t xml:space="preserve">. </w:t>
      </w:r>
    </w:p>
    <w:p w14:paraId="02CE4D3B" w14:textId="77777777" w:rsidR="0006359E" w:rsidRPr="00F171A3" w:rsidRDefault="0006359E" w:rsidP="0006359E"/>
    <w:p w14:paraId="3F759059" w14:textId="77777777" w:rsidR="0006359E" w:rsidRPr="00F171A3" w:rsidRDefault="0006359E" w:rsidP="0006359E"/>
    <w:p w14:paraId="7417DB6E" w14:textId="36F2B24D" w:rsidR="0006359E" w:rsidRPr="00F171A3" w:rsidRDefault="00AF2C45" w:rsidP="00AF2C45">
      <w:pPr>
        <w:pStyle w:val="Caption"/>
        <w:rPr>
          <w:b w:val="0"/>
          <w:smallCaps/>
          <w:color w:val="134753"/>
          <w:sz w:val="20"/>
        </w:rPr>
      </w:pPr>
      <w:bookmarkStart w:id="340" w:name="_heading=h.488uthg" w:colFirst="0" w:colLast="0"/>
      <w:bookmarkStart w:id="341" w:name="_Toc127198114"/>
      <w:bookmarkEnd w:id="340"/>
      <w:r w:rsidRPr="00F171A3">
        <w:t xml:space="preserve">Figura </w:t>
      </w:r>
      <w:r w:rsidRPr="00F171A3">
        <w:fldChar w:fldCharType="begin"/>
      </w:r>
      <w:r w:rsidRPr="00F171A3">
        <w:instrText xml:space="preserve"> SEQ Figura \* ARABIC </w:instrText>
      </w:r>
      <w:r w:rsidRPr="00F171A3">
        <w:fldChar w:fldCharType="separate"/>
      </w:r>
      <w:r w:rsidR="005A6DD8">
        <w:rPr>
          <w:noProof/>
        </w:rPr>
        <w:t>126</w:t>
      </w:r>
      <w:r w:rsidRPr="00F171A3">
        <w:fldChar w:fldCharType="end"/>
      </w:r>
      <w:r w:rsidRPr="00F171A3">
        <w:t xml:space="preserve"> </w:t>
      </w:r>
      <w:r w:rsidR="0006359E" w:rsidRPr="00F171A3">
        <w:t>Structura veniturilor ale primăriilor de sector din municipiul București în perioada 2007-2020</w:t>
      </w:r>
      <w:r w:rsidR="0006359E" w:rsidRPr="00F171A3">
        <w:rPr>
          <w:smallCaps/>
          <w:color w:val="134753"/>
          <w:sz w:val="20"/>
          <w:vertAlign w:val="superscript"/>
        </w:rPr>
        <w:footnoteReference w:id="168"/>
      </w:r>
      <w:bookmarkEnd w:id="341"/>
    </w:p>
    <w:p w14:paraId="5249EF84" w14:textId="77777777" w:rsidR="0006359E" w:rsidRPr="00F171A3" w:rsidRDefault="0006359E" w:rsidP="0006359E">
      <w:pPr>
        <w:rPr>
          <w:highlight w:val="yellow"/>
        </w:rPr>
      </w:pPr>
      <w:r w:rsidRPr="00F171A3">
        <w:rPr>
          <w:noProof/>
        </w:rPr>
        <w:drawing>
          <wp:inline distT="0" distB="0" distL="0" distR="0" wp14:anchorId="29C6873E" wp14:editId="403F1F1A">
            <wp:extent cx="6111240" cy="2750820"/>
            <wp:effectExtent l="0" t="0" r="0" b="0"/>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79766BCC" w14:textId="3E243849"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Ministerul Dezvoltării, Lucrărilor Publice și Administrației, Direcția pentru Politici Fiscale și Bugetare Locale</w:t>
      </w:r>
    </w:p>
    <w:p w14:paraId="4F1270F0" w14:textId="78EA1B19" w:rsidR="0006359E" w:rsidRPr="00F171A3" w:rsidRDefault="0006359E" w:rsidP="0006359E">
      <w:r w:rsidRPr="00F171A3">
        <w:t>Mai mult, administrațiile locale au nevoie o planificare atentă a resurselor financiare pe anul în curs, dar și îmbunătățirea capacității de a modela scenarii financiare pentru anii fiscali următori. Estimările de resurse financiare disponibile pe termen mediu și lung pot fi influențate de numeroși factori interni și externi, ceea ce necesită o capacitate crescută la nivel instituțional pentru o planificare optimă și utilizarea a mai multor scenarii financiare pentru a nu afecta livrarea serviciilor publice la nivel local.</w:t>
      </w:r>
    </w:p>
    <w:p w14:paraId="481E781B" w14:textId="77777777" w:rsidR="00F555EE" w:rsidRPr="00F171A3" w:rsidRDefault="00F555EE" w:rsidP="0006359E"/>
    <w:p w14:paraId="11837C89" w14:textId="77777777" w:rsidR="0006359E" w:rsidRPr="00F171A3" w:rsidRDefault="0006359E" w:rsidP="0006359E">
      <w:pPr>
        <w:pStyle w:val="Heading3"/>
        <w:rPr>
          <w:lang w:val="ro-RO"/>
        </w:rPr>
      </w:pPr>
      <w:bookmarkStart w:id="342" w:name="_heading=h.2ne53p9" w:colFirst="0" w:colLast="0"/>
      <w:bookmarkStart w:id="343" w:name="_Toc114505909"/>
      <w:bookmarkStart w:id="344" w:name="_Toc127199299"/>
      <w:bookmarkEnd w:id="342"/>
      <w:r w:rsidRPr="00F171A3">
        <w:rPr>
          <w:lang w:val="ro-RO"/>
        </w:rPr>
        <w:t>ANALIZA PLANIFICĂRII BUGETARE</w:t>
      </w:r>
      <w:bookmarkEnd w:id="343"/>
      <w:bookmarkEnd w:id="344"/>
    </w:p>
    <w:p w14:paraId="7C4D42F9" w14:textId="131A6871" w:rsidR="0006359E" w:rsidRPr="00F171A3" w:rsidRDefault="0006359E" w:rsidP="0006359E">
      <w:pPr>
        <w:spacing w:before="240"/>
        <w:rPr>
          <w:color w:val="000000"/>
        </w:rPr>
      </w:pPr>
      <w:r w:rsidRPr="00F171A3">
        <w:t>Primăria Sector</w:t>
      </w:r>
      <w:r w:rsidR="00135D70" w:rsidRPr="00F171A3">
        <w:t>ului</w:t>
      </w:r>
      <w:r w:rsidRPr="00F171A3">
        <w:t xml:space="preserve"> 2 este o autoritate publică locală cu venituri în creștere, cu o curbă ascendentă a tuturor categoriilor de venituri. Așa cum indică </w:t>
      </w:r>
      <w:r w:rsidRPr="00F171A3">
        <w:rPr>
          <w:i/>
        </w:rPr>
        <w:t>graficul următor</w:t>
      </w:r>
      <w:r w:rsidRPr="00F171A3">
        <w:t xml:space="preserve">, structura de venituri și cheltuieli este una echilibrată, fără fluctuații semnificative.  </w:t>
      </w:r>
      <w:r w:rsidRPr="00F171A3">
        <w:rPr>
          <w:color w:val="000000"/>
        </w:rPr>
        <w:t xml:space="preserve">În perioada 2015-2021, instituția a raportat un rezultat financiar anual pozitiv în perioada 2015-2017 și 2018, urmat de un rezultat anual negativ în 2017 și perioada 2020-2021. În 2019, rezultatul financiar anual a identificat o diferență între venituri și cheltuieli de 198.2 milioane RON (aprox. 22.2% din totalul veniturilor), cea mai ridicată diferență în perioada analizată.   </w:t>
      </w:r>
    </w:p>
    <w:p w14:paraId="3B0F34EE" w14:textId="77777777" w:rsidR="0006359E" w:rsidRPr="00F171A3" w:rsidRDefault="0006359E" w:rsidP="0006359E">
      <w:pPr>
        <w:spacing w:before="240"/>
        <w:rPr>
          <w:color w:val="000000"/>
        </w:rPr>
      </w:pPr>
    </w:p>
    <w:p w14:paraId="516E6CA5" w14:textId="77777777" w:rsidR="0006359E" w:rsidRPr="00F171A3" w:rsidRDefault="0006359E" w:rsidP="0006359E">
      <w:pPr>
        <w:spacing w:before="240"/>
        <w:rPr>
          <w:color w:val="000000"/>
        </w:rPr>
      </w:pPr>
    </w:p>
    <w:p w14:paraId="144ADC26" w14:textId="77777777" w:rsidR="0006359E" w:rsidRPr="00F171A3" w:rsidRDefault="0006359E" w:rsidP="0006359E">
      <w:pPr>
        <w:spacing w:before="240"/>
        <w:rPr>
          <w:color w:val="000000"/>
        </w:rPr>
      </w:pPr>
    </w:p>
    <w:p w14:paraId="16EC47FE" w14:textId="77777777" w:rsidR="0006359E" w:rsidRPr="00F171A3" w:rsidRDefault="0006359E" w:rsidP="0006359E">
      <w:pPr>
        <w:spacing w:before="240"/>
        <w:rPr>
          <w:color w:val="000000"/>
        </w:rPr>
      </w:pPr>
    </w:p>
    <w:p w14:paraId="019298DE" w14:textId="77777777" w:rsidR="0006359E" w:rsidRPr="00F171A3" w:rsidRDefault="0006359E" w:rsidP="0006359E">
      <w:pPr>
        <w:spacing w:before="240"/>
        <w:rPr>
          <w:color w:val="000000"/>
        </w:rPr>
      </w:pPr>
    </w:p>
    <w:p w14:paraId="6FFF3BF6" w14:textId="77777777" w:rsidR="0006359E" w:rsidRPr="00F171A3" w:rsidRDefault="0006359E" w:rsidP="0006359E">
      <w:pPr>
        <w:spacing w:before="240"/>
        <w:rPr>
          <w:color w:val="000000"/>
        </w:rPr>
      </w:pPr>
    </w:p>
    <w:p w14:paraId="2DAC38DE" w14:textId="347F18F5" w:rsidR="0006359E" w:rsidRPr="00F171A3" w:rsidRDefault="00AF2C45" w:rsidP="00AF2C45">
      <w:pPr>
        <w:pStyle w:val="Caption"/>
        <w:rPr>
          <w:b w:val="0"/>
        </w:rPr>
      </w:pPr>
      <w:bookmarkStart w:id="345" w:name="_heading=h.12jfdx2" w:colFirst="0" w:colLast="0"/>
      <w:bookmarkStart w:id="346" w:name="_Toc127198115"/>
      <w:bookmarkEnd w:id="345"/>
      <w:r w:rsidRPr="00F171A3">
        <w:t xml:space="preserve">Figura </w:t>
      </w:r>
      <w:r w:rsidRPr="00F171A3">
        <w:fldChar w:fldCharType="begin"/>
      </w:r>
      <w:r w:rsidRPr="00F171A3">
        <w:instrText xml:space="preserve"> SEQ Figura \* ARABIC </w:instrText>
      </w:r>
      <w:r w:rsidRPr="00F171A3">
        <w:fldChar w:fldCharType="separate"/>
      </w:r>
      <w:r w:rsidR="005A6DD8">
        <w:rPr>
          <w:noProof/>
        </w:rPr>
        <w:t>127</w:t>
      </w:r>
      <w:r w:rsidRPr="00F171A3">
        <w:fldChar w:fldCharType="end"/>
      </w:r>
      <w:r w:rsidRPr="00F171A3">
        <w:t xml:space="preserve"> </w:t>
      </w:r>
      <w:r w:rsidR="0006359E" w:rsidRPr="00F171A3">
        <w:t>Rezultatele financiare la nivelul Primăriei Sector</w:t>
      </w:r>
      <w:r w:rsidR="00F53B80" w:rsidRPr="00F171A3">
        <w:t>ului</w:t>
      </w:r>
      <w:r w:rsidR="0006359E" w:rsidRPr="00F171A3">
        <w:t xml:space="preserve"> 2 în perioada 2015-2021</w:t>
      </w:r>
      <w:bookmarkEnd w:id="346"/>
    </w:p>
    <w:p w14:paraId="430E5C43" w14:textId="77777777" w:rsidR="0006359E" w:rsidRPr="00F171A3" w:rsidRDefault="0006359E" w:rsidP="0006359E">
      <w:pPr>
        <w:rPr>
          <w:highlight w:val="yellow"/>
        </w:rPr>
      </w:pPr>
      <w:r w:rsidRPr="00F171A3">
        <w:rPr>
          <w:noProof/>
        </w:rPr>
        <w:drawing>
          <wp:inline distT="0" distB="0" distL="0" distR="0" wp14:anchorId="50991085" wp14:editId="1B1BA39F">
            <wp:extent cx="6115050" cy="3067050"/>
            <wp:effectExtent l="0" t="0" r="0" b="0"/>
            <wp:docPr id="150" name="Chart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18F65859" w14:textId="08ED67B0"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Ministerul Dezvoltării, Lucrărilor Publice și Administrației, Direcția pentru Politici Fiscale și Bugetare Locale, respectiv Primăria Sector</w:t>
      </w:r>
      <w:r w:rsidR="00135D70" w:rsidRPr="00F171A3">
        <w:rPr>
          <w:color w:val="BFBFBF" w:themeColor="background1" w:themeShade="BF"/>
        </w:rPr>
        <w:t>ului</w:t>
      </w:r>
      <w:r w:rsidRPr="00F171A3">
        <w:rPr>
          <w:color w:val="BFBFBF" w:themeColor="background1" w:themeShade="BF"/>
        </w:rPr>
        <w:t xml:space="preserve"> 2 </w:t>
      </w:r>
    </w:p>
    <w:p w14:paraId="3DA81849" w14:textId="635C50AA" w:rsidR="0006359E" w:rsidRPr="00F171A3" w:rsidRDefault="0006359E" w:rsidP="0006359E">
      <w:pPr>
        <w:spacing w:before="240"/>
      </w:pPr>
      <w:r w:rsidRPr="00F171A3">
        <w:t xml:space="preserve">Unul dintre obiectivele cheie ale Programului Operațional Capacitate Administrativă (2014-2020 este  susținerea și consolidarea capacității autorităților publice locale de a derula programe de planificare strategică și bugetară. Rapoartele de țară din cadrul pachetului Semestrul European subliniază anual nevoia de îmbunătățire semnificativă a capacității administrațiilor publice centrale și locale în acest domeniu.  </w:t>
      </w:r>
      <w:r w:rsidRPr="00F171A3">
        <w:br/>
      </w:r>
      <w:r w:rsidRPr="00F171A3">
        <w:rPr>
          <w:highlight w:val="yellow"/>
        </w:rPr>
        <w:br/>
      </w:r>
      <w:r w:rsidRPr="00F171A3">
        <w:t>Capacitatea Primăriei Sector</w:t>
      </w:r>
      <w:r w:rsidR="00135D70" w:rsidRPr="00F171A3">
        <w:t>ului</w:t>
      </w:r>
      <w:r w:rsidRPr="00F171A3">
        <w:t xml:space="preserve"> 2 de a-și planifica veniturile pentru exercițiu financiar curent este una ridicată. Deși practica rectificărilor bugetare este una larg răspândită la nivelul administrațiilor locale, din cauze interne și externe,  evoluția planificării veniturilor nu relevă diferențe semnificative decât în cazuri izolate și linii minore de buget. Per bugetul total de venituri, raportul dintre veniturile realizate și cele planificate inițial a fost în ultimii 4 ani între 90.6% și 104.7%, ceea ce indică un proces de planificare adecvat.</w:t>
      </w:r>
    </w:p>
    <w:p w14:paraId="74B88D12" w14:textId="77777777" w:rsidR="0006359E" w:rsidRPr="00F171A3" w:rsidRDefault="0006359E" w:rsidP="0006359E">
      <w:r w:rsidRPr="00F171A3">
        <w:t xml:space="preserve">O atenție limitată este oferită estimării pe următorii trei ani, așa cum stabilește Legea privind finanțele publice locale. Ministerul Finanțelor publice oferă indicatorii macroeconomici pe baza cărora aceste estimări pot fi realizate, însă, de cele mai multe ori, acestea sunt inexacte. Practica de a oferi un cadru realist și informat pentru planificarea bugetară doar la intervale de un an este una utilizată deseori de toate administrațiile publice, fie locale sau centrale. </w:t>
      </w:r>
    </w:p>
    <w:p w14:paraId="6708E299" w14:textId="643BD463" w:rsidR="0006359E" w:rsidRPr="00F171A3" w:rsidRDefault="00AF2C45" w:rsidP="00AF2C45">
      <w:pPr>
        <w:pStyle w:val="Caption"/>
        <w:rPr>
          <w:b w:val="0"/>
        </w:rPr>
      </w:pPr>
      <w:bookmarkStart w:id="347" w:name="_heading=h.3mj2wkv" w:colFirst="0" w:colLast="0"/>
      <w:bookmarkStart w:id="348" w:name="_Toc126943297"/>
      <w:bookmarkEnd w:id="347"/>
      <w:r w:rsidRPr="00F171A3">
        <w:t xml:space="preserve">Tabel </w:t>
      </w:r>
      <w:r w:rsidRPr="00F171A3">
        <w:fldChar w:fldCharType="begin"/>
      </w:r>
      <w:r w:rsidRPr="00F171A3">
        <w:instrText xml:space="preserve"> SEQ Tabel \* ARABIC </w:instrText>
      </w:r>
      <w:r w:rsidRPr="00F171A3">
        <w:fldChar w:fldCharType="separate"/>
      </w:r>
      <w:r w:rsidR="005A6DD8">
        <w:rPr>
          <w:noProof/>
        </w:rPr>
        <w:t>40</w:t>
      </w:r>
      <w:r w:rsidRPr="00F171A3">
        <w:fldChar w:fldCharType="end"/>
      </w:r>
      <w:r w:rsidRPr="00F171A3">
        <w:t xml:space="preserve"> </w:t>
      </w:r>
      <w:r w:rsidR="0006359E" w:rsidRPr="00F171A3">
        <w:t>Evoluția planificării veniturilor totale în perioada 2018-2021</w:t>
      </w:r>
      <w:bookmarkEnd w:id="348"/>
    </w:p>
    <w:tbl>
      <w:tblPr>
        <w:tblStyle w:val="ListTable3-Accent21"/>
        <w:tblW w:w="944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2643"/>
        <w:gridCol w:w="1774"/>
        <w:gridCol w:w="1774"/>
        <w:gridCol w:w="1577"/>
        <w:gridCol w:w="1679"/>
      </w:tblGrid>
      <w:tr w:rsidR="0006359E" w:rsidRPr="00F171A3" w14:paraId="7D751DDC" w14:textId="77777777" w:rsidTr="00F555EE">
        <w:trPr>
          <w:cnfStyle w:val="100000000000" w:firstRow="1" w:lastRow="0" w:firstColumn="0" w:lastColumn="0" w:oddVBand="0" w:evenVBand="0" w:oddHBand="0" w:evenHBand="0" w:firstRowFirstColumn="0" w:firstRowLastColumn="0" w:lastRowFirstColumn="0" w:lastRowLastColumn="0"/>
          <w:trHeight w:val="425"/>
        </w:trPr>
        <w:tc>
          <w:tcPr>
            <w:tcW w:w="2644" w:type="dxa"/>
          </w:tcPr>
          <w:p w14:paraId="5AE9F98C" w14:textId="77777777" w:rsidR="0006359E" w:rsidRPr="00F171A3" w:rsidRDefault="0006359E" w:rsidP="00F31936">
            <w:pPr>
              <w:jc w:val="center"/>
              <w:rPr>
                <w:sz w:val="20"/>
                <w:szCs w:val="20"/>
              </w:rPr>
            </w:pPr>
          </w:p>
        </w:tc>
        <w:tc>
          <w:tcPr>
            <w:tcW w:w="1774" w:type="dxa"/>
          </w:tcPr>
          <w:p w14:paraId="5D175443" w14:textId="77777777" w:rsidR="0006359E" w:rsidRPr="00F171A3" w:rsidRDefault="0006359E" w:rsidP="00F31936">
            <w:pPr>
              <w:jc w:val="center"/>
              <w:rPr>
                <w:sz w:val="20"/>
                <w:szCs w:val="20"/>
              </w:rPr>
            </w:pPr>
            <w:r w:rsidRPr="00F171A3">
              <w:rPr>
                <w:sz w:val="20"/>
                <w:szCs w:val="20"/>
              </w:rPr>
              <w:t>2021</w:t>
            </w:r>
          </w:p>
        </w:tc>
        <w:tc>
          <w:tcPr>
            <w:tcW w:w="1774" w:type="dxa"/>
          </w:tcPr>
          <w:p w14:paraId="63087776" w14:textId="77777777" w:rsidR="0006359E" w:rsidRPr="00F171A3" w:rsidRDefault="0006359E" w:rsidP="00F31936">
            <w:pPr>
              <w:jc w:val="center"/>
              <w:rPr>
                <w:sz w:val="20"/>
                <w:szCs w:val="20"/>
              </w:rPr>
            </w:pPr>
            <w:r w:rsidRPr="00F171A3">
              <w:rPr>
                <w:sz w:val="20"/>
                <w:szCs w:val="20"/>
              </w:rPr>
              <w:t>2020</w:t>
            </w:r>
          </w:p>
        </w:tc>
        <w:tc>
          <w:tcPr>
            <w:tcW w:w="1577" w:type="dxa"/>
          </w:tcPr>
          <w:p w14:paraId="56DBE400" w14:textId="77777777" w:rsidR="0006359E" w:rsidRPr="00F171A3" w:rsidRDefault="0006359E" w:rsidP="00F31936">
            <w:pPr>
              <w:jc w:val="center"/>
              <w:rPr>
                <w:sz w:val="20"/>
                <w:szCs w:val="20"/>
              </w:rPr>
            </w:pPr>
            <w:r w:rsidRPr="00F171A3">
              <w:rPr>
                <w:sz w:val="20"/>
                <w:szCs w:val="20"/>
              </w:rPr>
              <w:t>2019</w:t>
            </w:r>
          </w:p>
        </w:tc>
        <w:tc>
          <w:tcPr>
            <w:tcW w:w="1679" w:type="dxa"/>
          </w:tcPr>
          <w:p w14:paraId="4CC6B0B0" w14:textId="77777777" w:rsidR="0006359E" w:rsidRPr="00F171A3" w:rsidRDefault="0006359E" w:rsidP="00F31936">
            <w:pPr>
              <w:jc w:val="center"/>
              <w:rPr>
                <w:sz w:val="20"/>
                <w:szCs w:val="20"/>
              </w:rPr>
            </w:pPr>
            <w:r w:rsidRPr="00F171A3">
              <w:rPr>
                <w:sz w:val="20"/>
                <w:szCs w:val="20"/>
              </w:rPr>
              <w:t>2018</w:t>
            </w:r>
          </w:p>
        </w:tc>
      </w:tr>
      <w:tr w:rsidR="0006359E" w:rsidRPr="00F171A3" w14:paraId="7B564B7C" w14:textId="77777777" w:rsidTr="00F555EE">
        <w:trPr>
          <w:cnfStyle w:val="000000100000" w:firstRow="0" w:lastRow="0" w:firstColumn="0" w:lastColumn="0" w:oddVBand="0" w:evenVBand="0" w:oddHBand="1" w:evenHBand="0" w:firstRowFirstColumn="0" w:firstRowLastColumn="0" w:lastRowFirstColumn="0" w:lastRowLastColumn="0"/>
          <w:trHeight w:val="476"/>
        </w:trPr>
        <w:tc>
          <w:tcPr>
            <w:tcW w:w="2644" w:type="dxa"/>
            <w:tcBorders>
              <w:top w:val="none" w:sz="0" w:space="0" w:color="auto"/>
              <w:bottom w:val="none" w:sz="0" w:space="0" w:color="auto"/>
            </w:tcBorders>
            <w:shd w:val="clear" w:color="auto" w:fill="F2F2F2" w:themeFill="background1" w:themeFillShade="F2"/>
          </w:tcPr>
          <w:p w14:paraId="11077D88" w14:textId="77777777" w:rsidR="0006359E" w:rsidRPr="00F171A3" w:rsidRDefault="0006359E" w:rsidP="00F31936">
            <w:pPr>
              <w:jc w:val="center"/>
              <w:rPr>
                <w:sz w:val="20"/>
                <w:szCs w:val="20"/>
              </w:rPr>
            </w:pPr>
            <w:r w:rsidRPr="00F171A3">
              <w:rPr>
                <w:sz w:val="20"/>
                <w:szCs w:val="20"/>
              </w:rPr>
              <w:t>Venituri planificate buget inițial</w:t>
            </w:r>
          </w:p>
        </w:tc>
        <w:tc>
          <w:tcPr>
            <w:tcW w:w="1774" w:type="dxa"/>
            <w:tcBorders>
              <w:top w:val="none" w:sz="0" w:space="0" w:color="auto"/>
              <w:bottom w:val="none" w:sz="0" w:space="0" w:color="auto"/>
            </w:tcBorders>
            <w:shd w:val="clear" w:color="auto" w:fill="F2F2F2" w:themeFill="background1" w:themeFillShade="F2"/>
          </w:tcPr>
          <w:p w14:paraId="67678094" w14:textId="77777777" w:rsidR="0006359E" w:rsidRPr="00F171A3" w:rsidRDefault="0006359E" w:rsidP="00F31936">
            <w:pPr>
              <w:spacing w:after="0"/>
              <w:jc w:val="center"/>
              <w:rPr>
                <w:sz w:val="20"/>
                <w:szCs w:val="20"/>
              </w:rPr>
            </w:pPr>
            <w:r w:rsidRPr="00F171A3">
              <w:rPr>
                <w:sz w:val="20"/>
                <w:szCs w:val="20"/>
              </w:rPr>
              <w:t>1,106,441,000</w:t>
            </w:r>
          </w:p>
        </w:tc>
        <w:tc>
          <w:tcPr>
            <w:tcW w:w="1774" w:type="dxa"/>
            <w:tcBorders>
              <w:top w:val="none" w:sz="0" w:space="0" w:color="auto"/>
              <w:bottom w:val="none" w:sz="0" w:space="0" w:color="auto"/>
            </w:tcBorders>
            <w:shd w:val="clear" w:color="auto" w:fill="F2F2F2" w:themeFill="background1" w:themeFillShade="F2"/>
          </w:tcPr>
          <w:p w14:paraId="08BC941F" w14:textId="77777777" w:rsidR="0006359E" w:rsidRPr="00F171A3" w:rsidRDefault="0006359E" w:rsidP="00F31936">
            <w:pPr>
              <w:jc w:val="center"/>
              <w:rPr>
                <w:sz w:val="20"/>
                <w:szCs w:val="20"/>
              </w:rPr>
            </w:pPr>
            <w:r w:rsidRPr="00F171A3">
              <w:rPr>
                <w:sz w:val="20"/>
                <w:szCs w:val="20"/>
              </w:rPr>
              <w:t>1,134,555,000</w:t>
            </w:r>
          </w:p>
        </w:tc>
        <w:tc>
          <w:tcPr>
            <w:tcW w:w="1577" w:type="dxa"/>
            <w:tcBorders>
              <w:top w:val="none" w:sz="0" w:space="0" w:color="auto"/>
              <w:bottom w:val="none" w:sz="0" w:space="0" w:color="auto"/>
            </w:tcBorders>
            <w:shd w:val="clear" w:color="auto" w:fill="F2F2F2" w:themeFill="background1" w:themeFillShade="F2"/>
          </w:tcPr>
          <w:p w14:paraId="458B2162" w14:textId="77777777" w:rsidR="0006359E" w:rsidRPr="00F171A3" w:rsidRDefault="0006359E" w:rsidP="00F31936">
            <w:pPr>
              <w:jc w:val="center"/>
              <w:rPr>
                <w:sz w:val="20"/>
                <w:szCs w:val="20"/>
              </w:rPr>
            </w:pPr>
            <w:r w:rsidRPr="00F171A3">
              <w:rPr>
                <w:sz w:val="20"/>
                <w:szCs w:val="20"/>
              </w:rPr>
              <w:t>966,369,000</w:t>
            </w:r>
          </w:p>
        </w:tc>
        <w:tc>
          <w:tcPr>
            <w:tcW w:w="1679" w:type="dxa"/>
            <w:tcBorders>
              <w:top w:val="none" w:sz="0" w:space="0" w:color="auto"/>
              <w:bottom w:val="none" w:sz="0" w:space="0" w:color="auto"/>
            </w:tcBorders>
            <w:shd w:val="clear" w:color="auto" w:fill="F2F2F2" w:themeFill="background1" w:themeFillShade="F2"/>
          </w:tcPr>
          <w:p w14:paraId="058C8851" w14:textId="77777777" w:rsidR="0006359E" w:rsidRPr="00F171A3" w:rsidRDefault="0006359E" w:rsidP="00F31936">
            <w:pPr>
              <w:jc w:val="center"/>
              <w:rPr>
                <w:sz w:val="20"/>
                <w:szCs w:val="20"/>
              </w:rPr>
            </w:pPr>
            <w:r w:rsidRPr="00F171A3">
              <w:rPr>
                <w:sz w:val="20"/>
                <w:szCs w:val="20"/>
              </w:rPr>
              <w:t>852,831,000</w:t>
            </w:r>
          </w:p>
        </w:tc>
      </w:tr>
      <w:tr w:rsidR="0006359E" w:rsidRPr="00F171A3" w14:paraId="5F40855C" w14:textId="77777777" w:rsidTr="00F555EE">
        <w:trPr>
          <w:trHeight w:val="425"/>
        </w:trPr>
        <w:tc>
          <w:tcPr>
            <w:tcW w:w="2644" w:type="dxa"/>
            <w:shd w:val="clear" w:color="auto" w:fill="F2F2F2" w:themeFill="background1" w:themeFillShade="F2"/>
          </w:tcPr>
          <w:p w14:paraId="389ADFDD" w14:textId="77777777" w:rsidR="0006359E" w:rsidRPr="00F171A3" w:rsidRDefault="0006359E" w:rsidP="00F31936">
            <w:pPr>
              <w:jc w:val="center"/>
              <w:rPr>
                <w:sz w:val="20"/>
                <w:szCs w:val="20"/>
              </w:rPr>
            </w:pPr>
            <w:r w:rsidRPr="00F171A3">
              <w:rPr>
                <w:sz w:val="20"/>
                <w:szCs w:val="20"/>
              </w:rPr>
              <w:t>Venituri buget final</w:t>
            </w:r>
          </w:p>
        </w:tc>
        <w:tc>
          <w:tcPr>
            <w:tcW w:w="1774" w:type="dxa"/>
            <w:shd w:val="clear" w:color="auto" w:fill="F2F2F2" w:themeFill="background1" w:themeFillShade="F2"/>
          </w:tcPr>
          <w:p w14:paraId="288AF907" w14:textId="77777777" w:rsidR="0006359E" w:rsidRPr="00F171A3" w:rsidRDefault="0006359E" w:rsidP="00F31936">
            <w:pPr>
              <w:jc w:val="center"/>
              <w:rPr>
                <w:sz w:val="20"/>
                <w:szCs w:val="20"/>
              </w:rPr>
            </w:pPr>
            <w:r w:rsidRPr="00F171A3">
              <w:rPr>
                <w:sz w:val="20"/>
                <w:szCs w:val="20"/>
              </w:rPr>
              <w:t>1,173,244,000</w:t>
            </w:r>
          </w:p>
        </w:tc>
        <w:tc>
          <w:tcPr>
            <w:tcW w:w="1774" w:type="dxa"/>
            <w:shd w:val="clear" w:color="auto" w:fill="F2F2F2" w:themeFill="background1" w:themeFillShade="F2"/>
          </w:tcPr>
          <w:p w14:paraId="76804FEA" w14:textId="77777777" w:rsidR="0006359E" w:rsidRPr="00F171A3" w:rsidRDefault="0006359E" w:rsidP="00F31936">
            <w:pPr>
              <w:jc w:val="center"/>
              <w:rPr>
                <w:sz w:val="20"/>
                <w:szCs w:val="20"/>
              </w:rPr>
            </w:pPr>
            <w:r w:rsidRPr="00F171A3">
              <w:rPr>
                <w:sz w:val="20"/>
                <w:szCs w:val="20"/>
              </w:rPr>
              <w:t>1,021,773,000</w:t>
            </w:r>
          </w:p>
        </w:tc>
        <w:tc>
          <w:tcPr>
            <w:tcW w:w="1577" w:type="dxa"/>
            <w:shd w:val="clear" w:color="auto" w:fill="F2F2F2" w:themeFill="background1" w:themeFillShade="F2"/>
          </w:tcPr>
          <w:p w14:paraId="3386C410" w14:textId="77777777" w:rsidR="0006359E" w:rsidRPr="00F171A3" w:rsidRDefault="0006359E" w:rsidP="00F31936">
            <w:pPr>
              <w:jc w:val="center"/>
              <w:rPr>
                <w:sz w:val="20"/>
                <w:szCs w:val="20"/>
              </w:rPr>
            </w:pPr>
            <w:r w:rsidRPr="00F171A3">
              <w:rPr>
                <w:sz w:val="20"/>
                <w:szCs w:val="20"/>
              </w:rPr>
              <w:t>883,653,000</w:t>
            </w:r>
          </w:p>
        </w:tc>
        <w:tc>
          <w:tcPr>
            <w:tcW w:w="1679" w:type="dxa"/>
            <w:shd w:val="clear" w:color="auto" w:fill="F2F2F2" w:themeFill="background1" w:themeFillShade="F2"/>
          </w:tcPr>
          <w:p w14:paraId="541C5D9F" w14:textId="77777777" w:rsidR="0006359E" w:rsidRPr="00F171A3" w:rsidRDefault="0006359E" w:rsidP="00F31936">
            <w:pPr>
              <w:jc w:val="center"/>
              <w:rPr>
                <w:sz w:val="20"/>
                <w:szCs w:val="20"/>
              </w:rPr>
            </w:pPr>
            <w:r w:rsidRPr="00F171A3">
              <w:rPr>
                <w:sz w:val="20"/>
                <w:szCs w:val="20"/>
              </w:rPr>
              <w:t>914,080,000</w:t>
            </w:r>
          </w:p>
        </w:tc>
      </w:tr>
      <w:tr w:rsidR="0006359E" w:rsidRPr="00F171A3" w14:paraId="66759BC9" w14:textId="77777777" w:rsidTr="00F555EE">
        <w:trPr>
          <w:cnfStyle w:val="000000100000" w:firstRow="0" w:lastRow="0" w:firstColumn="0" w:lastColumn="0" w:oddVBand="0" w:evenVBand="0" w:oddHBand="1" w:evenHBand="0" w:firstRowFirstColumn="0" w:firstRowLastColumn="0" w:lastRowFirstColumn="0" w:lastRowLastColumn="0"/>
          <w:trHeight w:val="411"/>
        </w:trPr>
        <w:tc>
          <w:tcPr>
            <w:tcW w:w="2644" w:type="dxa"/>
            <w:tcBorders>
              <w:top w:val="none" w:sz="0" w:space="0" w:color="auto"/>
              <w:bottom w:val="none" w:sz="0" w:space="0" w:color="auto"/>
            </w:tcBorders>
            <w:shd w:val="clear" w:color="auto" w:fill="F2F2F2" w:themeFill="background1" w:themeFillShade="F2"/>
          </w:tcPr>
          <w:p w14:paraId="49490A24" w14:textId="77777777" w:rsidR="0006359E" w:rsidRPr="00F171A3" w:rsidRDefault="0006359E" w:rsidP="00F31936">
            <w:pPr>
              <w:jc w:val="center"/>
              <w:rPr>
                <w:sz w:val="20"/>
                <w:szCs w:val="20"/>
              </w:rPr>
            </w:pPr>
            <w:r w:rsidRPr="00F171A3">
              <w:rPr>
                <w:sz w:val="20"/>
                <w:szCs w:val="20"/>
              </w:rPr>
              <w:t>Venituri realizate</w:t>
            </w:r>
          </w:p>
        </w:tc>
        <w:tc>
          <w:tcPr>
            <w:tcW w:w="1774" w:type="dxa"/>
            <w:tcBorders>
              <w:top w:val="none" w:sz="0" w:space="0" w:color="auto"/>
              <w:bottom w:val="none" w:sz="0" w:space="0" w:color="auto"/>
            </w:tcBorders>
            <w:shd w:val="clear" w:color="auto" w:fill="F2F2F2" w:themeFill="background1" w:themeFillShade="F2"/>
          </w:tcPr>
          <w:p w14:paraId="1216DA40" w14:textId="77777777" w:rsidR="0006359E" w:rsidRPr="00F171A3" w:rsidRDefault="0006359E" w:rsidP="00F31936">
            <w:pPr>
              <w:jc w:val="center"/>
              <w:rPr>
                <w:sz w:val="20"/>
                <w:szCs w:val="20"/>
              </w:rPr>
            </w:pPr>
            <w:r w:rsidRPr="00F171A3">
              <w:rPr>
                <w:sz w:val="20"/>
                <w:szCs w:val="20"/>
              </w:rPr>
              <w:t>1,159,062,566</w:t>
            </w:r>
          </w:p>
        </w:tc>
        <w:tc>
          <w:tcPr>
            <w:tcW w:w="1774" w:type="dxa"/>
            <w:tcBorders>
              <w:top w:val="none" w:sz="0" w:space="0" w:color="auto"/>
              <w:bottom w:val="none" w:sz="0" w:space="0" w:color="auto"/>
            </w:tcBorders>
            <w:shd w:val="clear" w:color="auto" w:fill="F2F2F2" w:themeFill="background1" w:themeFillShade="F2"/>
          </w:tcPr>
          <w:p w14:paraId="11BF948E" w14:textId="77777777" w:rsidR="0006359E" w:rsidRPr="00F171A3" w:rsidRDefault="0006359E" w:rsidP="00F31936">
            <w:pPr>
              <w:jc w:val="center"/>
              <w:rPr>
                <w:sz w:val="20"/>
                <w:szCs w:val="20"/>
              </w:rPr>
            </w:pPr>
            <w:r w:rsidRPr="00F171A3">
              <w:rPr>
                <w:sz w:val="20"/>
                <w:szCs w:val="20"/>
              </w:rPr>
              <w:t>1,028,302,722</w:t>
            </w:r>
          </w:p>
        </w:tc>
        <w:tc>
          <w:tcPr>
            <w:tcW w:w="1577" w:type="dxa"/>
            <w:tcBorders>
              <w:top w:val="none" w:sz="0" w:space="0" w:color="auto"/>
              <w:bottom w:val="none" w:sz="0" w:space="0" w:color="auto"/>
            </w:tcBorders>
            <w:shd w:val="clear" w:color="auto" w:fill="F2F2F2" w:themeFill="background1" w:themeFillShade="F2"/>
          </w:tcPr>
          <w:p w14:paraId="7DB2D41D" w14:textId="77777777" w:rsidR="0006359E" w:rsidRPr="00F171A3" w:rsidRDefault="0006359E" w:rsidP="00F31936">
            <w:pPr>
              <w:jc w:val="center"/>
              <w:rPr>
                <w:sz w:val="20"/>
                <w:szCs w:val="20"/>
              </w:rPr>
            </w:pPr>
            <w:r w:rsidRPr="00F171A3">
              <w:rPr>
                <w:sz w:val="20"/>
                <w:szCs w:val="20"/>
              </w:rPr>
              <w:t>890,219,509</w:t>
            </w:r>
          </w:p>
        </w:tc>
        <w:tc>
          <w:tcPr>
            <w:tcW w:w="1679" w:type="dxa"/>
            <w:tcBorders>
              <w:top w:val="none" w:sz="0" w:space="0" w:color="auto"/>
              <w:bottom w:val="none" w:sz="0" w:space="0" w:color="auto"/>
            </w:tcBorders>
            <w:shd w:val="clear" w:color="auto" w:fill="F2F2F2" w:themeFill="background1" w:themeFillShade="F2"/>
          </w:tcPr>
          <w:p w14:paraId="50805625" w14:textId="77777777" w:rsidR="0006359E" w:rsidRPr="00F171A3" w:rsidRDefault="0006359E" w:rsidP="00F31936">
            <w:pPr>
              <w:jc w:val="center"/>
              <w:rPr>
                <w:sz w:val="20"/>
                <w:szCs w:val="20"/>
              </w:rPr>
            </w:pPr>
            <w:r w:rsidRPr="00F171A3">
              <w:rPr>
                <w:sz w:val="20"/>
                <w:szCs w:val="20"/>
              </w:rPr>
              <w:t>880,400,249</w:t>
            </w:r>
          </w:p>
        </w:tc>
      </w:tr>
      <w:tr w:rsidR="0006359E" w:rsidRPr="00F171A3" w14:paraId="62476AD4" w14:textId="77777777" w:rsidTr="00F555EE">
        <w:trPr>
          <w:trHeight w:val="629"/>
        </w:trPr>
        <w:tc>
          <w:tcPr>
            <w:tcW w:w="2644" w:type="dxa"/>
            <w:shd w:val="clear" w:color="auto" w:fill="F2F2F2" w:themeFill="background1" w:themeFillShade="F2"/>
          </w:tcPr>
          <w:p w14:paraId="48E65FC3" w14:textId="77777777" w:rsidR="0006359E" w:rsidRPr="00F171A3" w:rsidRDefault="0006359E" w:rsidP="00F31936">
            <w:pPr>
              <w:jc w:val="center"/>
              <w:rPr>
                <w:sz w:val="20"/>
                <w:szCs w:val="20"/>
              </w:rPr>
            </w:pPr>
            <w:r w:rsidRPr="00F171A3">
              <w:rPr>
                <w:sz w:val="20"/>
                <w:szCs w:val="20"/>
              </w:rPr>
              <w:t>Venituri realizate / venituri planificate inițial (%)</w:t>
            </w:r>
          </w:p>
        </w:tc>
        <w:tc>
          <w:tcPr>
            <w:tcW w:w="1774" w:type="dxa"/>
            <w:shd w:val="clear" w:color="auto" w:fill="F2F2F2" w:themeFill="background1" w:themeFillShade="F2"/>
          </w:tcPr>
          <w:p w14:paraId="48F48B57" w14:textId="77777777" w:rsidR="0006359E" w:rsidRPr="00F171A3" w:rsidRDefault="0006359E" w:rsidP="00F31936">
            <w:pPr>
              <w:jc w:val="center"/>
              <w:rPr>
                <w:sz w:val="20"/>
                <w:szCs w:val="20"/>
              </w:rPr>
            </w:pPr>
            <w:r w:rsidRPr="00F171A3">
              <w:rPr>
                <w:sz w:val="20"/>
                <w:szCs w:val="20"/>
              </w:rPr>
              <w:t>104.76%</w:t>
            </w:r>
          </w:p>
        </w:tc>
        <w:tc>
          <w:tcPr>
            <w:tcW w:w="1774" w:type="dxa"/>
            <w:shd w:val="clear" w:color="auto" w:fill="F2F2F2" w:themeFill="background1" w:themeFillShade="F2"/>
          </w:tcPr>
          <w:p w14:paraId="689257BA" w14:textId="77777777" w:rsidR="0006359E" w:rsidRPr="00F171A3" w:rsidRDefault="0006359E" w:rsidP="00F31936">
            <w:pPr>
              <w:jc w:val="center"/>
              <w:rPr>
                <w:sz w:val="20"/>
                <w:szCs w:val="20"/>
              </w:rPr>
            </w:pPr>
            <w:r w:rsidRPr="00F171A3">
              <w:rPr>
                <w:sz w:val="20"/>
                <w:szCs w:val="20"/>
              </w:rPr>
              <w:t>90.63%</w:t>
            </w:r>
          </w:p>
        </w:tc>
        <w:tc>
          <w:tcPr>
            <w:tcW w:w="1577" w:type="dxa"/>
            <w:shd w:val="clear" w:color="auto" w:fill="F2F2F2" w:themeFill="background1" w:themeFillShade="F2"/>
          </w:tcPr>
          <w:p w14:paraId="513C7394" w14:textId="77777777" w:rsidR="0006359E" w:rsidRPr="00F171A3" w:rsidRDefault="0006359E" w:rsidP="00F31936">
            <w:pPr>
              <w:jc w:val="center"/>
              <w:rPr>
                <w:sz w:val="20"/>
                <w:szCs w:val="20"/>
              </w:rPr>
            </w:pPr>
            <w:r w:rsidRPr="00F171A3">
              <w:rPr>
                <w:sz w:val="20"/>
                <w:szCs w:val="20"/>
              </w:rPr>
              <w:t>92.12%</w:t>
            </w:r>
          </w:p>
        </w:tc>
        <w:tc>
          <w:tcPr>
            <w:tcW w:w="1679" w:type="dxa"/>
            <w:shd w:val="clear" w:color="auto" w:fill="F2F2F2" w:themeFill="background1" w:themeFillShade="F2"/>
          </w:tcPr>
          <w:p w14:paraId="172ADC05" w14:textId="77777777" w:rsidR="0006359E" w:rsidRPr="00F171A3" w:rsidRDefault="0006359E" w:rsidP="00F31936">
            <w:pPr>
              <w:jc w:val="center"/>
              <w:rPr>
                <w:sz w:val="20"/>
                <w:szCs w:val="20"/>
              </w:rPr>
            </w:pPr>
            <w:r w:rsidRPr="00F171A3">
              <w:rPr>
                <w:sz w:val="20"/>
                <w:szCs w:val="20"/>
              </w:rPr>
              <w:t>103.23%</w:t>
            </w:r>
          </w:p>
        </w:tc>
      </w:tr>
    </w:tbl>
    <w:p w14:paraId="68DA3E00" w14:textId="7B19DA1A"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primite de la  Primăria Municipiului Sector</w:t>
      </w:r>
      <w:r w:rsidR="00135D70" w:rsidRPr="00F171A3">
        <w:rPr>
          <w:color w:val="BFBFBF" w:themeColor="background1" w:themeShade="BF"/>
        </w:rPr>
        <w:t>ului</w:t>
      </w:r>
      <w:r w:rsidRPr="00F171A3">
        <w:rPr>
          <w:color w:val="BFBFBF" w:themeColor="background1" w:themeShade="BF"/>
        </w:rPr>
        <w:t xml:space="preserve"> 2</w:t>
      </w:r>
    </w:p>
    <w:p w14:paraId="178970ED" w14:textId="77777777" w:rsidR="0006359E" w:rsidRPr="00F171A3" w:rsidRDefault="0006359E" w:rsidP="0006359E">
      <w:r w:rsidRPr="00F171A3">
        <w:t xml:space="preserve">Planificarea cheltuielilor este de asemenea adecvată, fără diferențe semnificative în timpul anului fiscal, însă cu un raport între planificarea acestora și execuția mai scăzut ca în cazul veniturilor. În perioada 2019-2021, cheltuielile executate au reprezentat între 73.5% și 97.9% din cele previzionate la începutul anului fiscal. Se remarcă o capacitate ridicată a instituției de a-și îndeplini țintele de cheltuieli asumate odată cu adoptarea bugetului pe anul în curs. </w:t>
      </w:r>
    </w:p>
    <w:p w14:paraId="0EBDEF4B" w14:textId="2AADB05C" w:rsidR="0006359E" w:rsidRPr="00F171A3" w:rsidRDefault="00AF2C45" w:rsidP="00AF2C45">
      <w:pPr>
        <w:pStyle w:val="Caption"/>
        <w:rPr>
          <w:b w:val="0"/>
        </w:rPr>
      </w:pPr>
      <w:bookmarkStart w:id="349" w:name="_heading=h.21od6so" w:colFirst="0" w:colLast="0"/>
      <w:bookmarkStart w:id="350" w:name="_Toc126943298"/>
      <w:bookmarkEnd w:id="349"/>
      <w:r w:rsidRPr="00F171A3">
        <w:t xml:space="preserve">Tabel </w:t>
      </w:r>
      <w:r w:rsidRPr="00F171A3">
        <w:fldChar w:fldCharType="begin"/>
      </w:r>
      <w:r w:rsidRPr="00F171A3">
        <w:instrText xml:space="preserve"> SEQ Tabel \* ARABIC </w:instrText>
      </w:r>
      <w:r w:rsidRPr="00F171A3">
        <w:fldChar w:fldCharType="separate"/>
      </w:r>
      <w:r w:rsidR="005A6DD8">
        <w:rPr>
          <w:noProof/>
        </w:rPr>
        <w:t>41</w:t>
      </w:r>
      <w:r w:rsidRPr="00F171A3">
        <w:fldChar w:fldCharType="end"/>
      </w:r>
      <w:r w:rsidRPr="00F171A3">
        <w:t xml:space="preserve"> </w:t>
      </w:r>
      <w:r w:rsidR="0006359E" w:rsidRPr="00F171A3">
        <w:t>Evoluția planificării cheltuielilor totale în perioada 2017-2021</w:t>
      </w:r>
      <w:bookmarkEnd w:id="350"/>
      <w:r w:rsidR="0006359E" w:rsidRPr="00F171A3">
        <w:t xml:space="preserve"> </w:t>
      </w:r>
    </w:p>
    <w:tbl>
      <w:tblPr>
        <w:tblStyle w:val="ListTable3-Accent21"/>
        <w:tblW w:w="955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3577"/>
        <w:gridCol w:w="1494"/>
        <w:gridCol w:w="1494"/>
        <w:gridCol w:w="1494"/>
        <w:gridCol w:w="1494"/>
      </w:tblGrid>
      <w:tr w:rsidR="0006359E" w:rsidRPr="00F171A3" w14:paraId="613E6582" w14:textId="77777777" w:rsidTr="00F555EE">
        <w:trPr>
          <w:cnfStyle w:val="100000000000" w:firstRow="1" w:lastRow="0" w:firstColumn="0" w:lastColumn="0" w:oddVBand="0" w:evenVBand="0" w:oddHBand="0" w:evenHBand="0" w:firstRowFirstColumn="0" w:firstRowLastColumn="0" w:lastRowFirstColumn="0" w:lastRowLastColumn="0"/>
          <w:trHeight w:val="438"/>
        </w:trPr>
        <w:tc>
          <w:tcPr>
            <w:tcW w:w="3577" w:type="dxa"/>
          </w:tcPr>
          <w:p w14:paraId="2791D6C1" w14:textId="77777777" w:rsidR="0006359E" w:rsidRPr="00F171A3" w:rsidRDefault="0006359E" w:rsidP="00F31936">
            <w:pPr>
              <w:jc w:val="center"/>
              <w:rPr>
                <w:sz w:val="20"/>
                <w:szCs w:val="20"/>
              </w:rPr>
            </w:pPr>
          </w:p>
        </w:tc>
        <w:tc>
          <w:tcPr>
            <w:tcW w:w="1494" w:type="dxa"/>
          </w:tcPr>
          <w:p w14:paraId="20E88108" w14:textId="77777777" w:rsidR="0006359E" w:rsidRPr="00F171A3" w:rsidRDefault="0006359E" w:rsidP="00F31936">
            <w:pPr>
              <w:jc w:val="center"/>
              <w:rPr>
                <w:sz w:val="20"/>
                <w:szCs w:val="20"/>
              </w:rPr>
            </w:pPr>
            <w:r w:rsidRPr="00F171A3">
              <w:rPr>
                <w:sz w:val="20"/>
                <w:szCs w:val="20"/>
              </w:rPr>
              <w:t>2021</w:t>
            </w:r>
          </w:p>
        </w:tc>
        <w:tc>
          <w:tcPr>
            <w:tcW w:w="1494" w:type="dxa"/>
          </w:tcPr>
          <w:p w14:paraId="12AADE5C" w14:textId="77777777" w:rsidR="0006359E" w:rsidRPr="00F171A3" w:rsidRDefault="0006359E" w:rsidP="00F31936">
            <w:pPr>
              <w:jc w:val="center"/>
              <w:rPr>
                <w:sz w:val="20"/>
                <w:szCs w:val="20"/>
              </w:rPr>
            </w:pPr>
            <w:r w:rsidRPr="00F171A3">
              <w:rPr>
                <w:sz w:val="20"/>
                <w:szCs w:val="20"/>
              </w:rPr>
              <w:t>2020</w:t>
            </w:r>
          </w:p>
        </w:tc>
        <w:tc>
          <w:tcPr>
            <w:tcW w:w="1494" w:type="dxa"/>
          </w:tcPr>
          <w:p w14:paraId="402129B7" w14:textId="77777777" w:rsidR="0006359E" w:rsidRPr="00F171A3" w:rsidRDefault="0006359E" w:rsidP="00F31936">
            <w:pPr>
              <w:jc w:val="center"/>
              <w:rPr>
                <w:sz w:val="20"/>
                <w:szCs w:val="20"/>
              </w:rPr>
            </w:pPr>
            <w:r w:rsidRPr="00F171A3">
              <w:rPr>
                <w:sz w:val="20"/>
                <w:szCs w:val="20"/>
              </w:rPr>
              <w:t>2019</w:t>
            </w:r>
          </w:p>
        </w:tc>
        <w:tc>
          <w:tcPr>
            <w:tcW w:w="1494" w:type="dxa"/>
          </w:tcPr>
          <w:p w14:paraId="534A3775" w14:textId="77777777" w:rsidR="0006359E" w:rsidRPr="00F171A3" w:rsidRDefault="0006359E" w:rsidP="00F31936">
            <w:pPr>
              <w:jc w:val="center"/>
              <w:rPr>
                <w:sz w:val="20"/>
                <w:szCs w:val="20"/>
              </w:rPr>
            </w:pPr>
            <w:r w:rsidRPr="00F171A3">
              <w:rPr>
                <w:sz w:val="20"/>
                <w:szCs w:val="20"/>
              </w:rPr>
              <w:t>2018</w:t>
            </w:r>
          </w:p>
        </w:tc>
      </w:tr>
      <w:tr w:rsidR="0006359E" w:rsidRPr="00F171A3" w14:paraId="5D4F76AC" w14:textId="77777777" w:rsidTr="00F555EE">
        <w:trPr>
          <w:cnfStyle w:val="000000100000" w:firstRow="0" w:lastRow="0" w:firstColumn="0" w:lastColumn="0" w:oddVBand="0" w:evenVBand="0" w:oddHBand="1" w:evenHBand="0" w:firstRowFirstColumn="0" w:firstRowLastColumn="0" w:lastRowFirstColumn="0" w:lastRowLastColumn="0"/>
          <w:trHeight w:val="323"/>
        </w:trPr>
        <w:tc>
          <w:tcPr>
            <w:tcW w:w="3577" w:type="dxa"/>
            <w:tcBorders>
              <w:top w:val="none" w:sz="0" w:space="0" w:color="auto"/>
              <w:bottom w:val="none" w:sz="0" w:space="0" w:color="auto"/>
            </w:tcBorders>
            <w:shd w:val="clear" w:color="auto" w:fill="F2F2F2" w:themeFill="background1" w:themeFillShade="F2"/>
          </w:tcPr>
          <w:p w14:paraId="31C91C8C" w14:textId="77777777" w:rsidR="0006359E" w:rsidRPr="00F171A3" w:rsidRDefault="0006359E" w:rsidP="00F31936">
            <w:pPr>
              <w:jc w:val="center"/>
              <w:rPr>
                <w:sz w:val="20"/>
                <w:szCs w:val="20"/>
              </w:rPr>
            </w:pPr>
            <w:r w:rsidRPr="00F171A3">
              <w:rPr>
                <w:color w:val="000000"/>
                <w:sz w:val="20"/>
                <w:szCs w:val="20"/>
              </w:rPr>
              <w:t>Cheltuieli planificate buget inițial</w:t>
            </w:r>
          </w:p>
        </w:tc>
        <w:tc>
          <w:tcPr>
            <w:tcW w:w="1494" w:type="dxa"/>
            <w:tcBorders>
              <w:top w:val="none" w:sz="0" w:space="0" w:color="auto"/>
              <w:bottom w:val="none" w:sz="0" w:space="0" w:color="auto"/>
            </w:tcBorders>
            <w:shd w:val="clear" w:color="auto" w:fill="F2F2F2" w:themeFill="background1" w:themeFillShade="F2"/>
          </w:tcPr>
          <w:p w14:paraId="0B58E50E" w14:textId="77777777" w:rsidR="0006359E" w:rsidRPr="00F171A3" w:rsidRDefault="0006359E" w:rsidP="00F31936">
            <w:pPr>
              <w:jc w:val="center"/>
              <w:rPr>
                <w:sz w:val="20"/>
                <w:szCs w:val="20"/>
              </w:rPr>
            </w:pPr>
            <w:r w:rsidRPr="00F171A3">
              <w:rPr>
                <w:color w:val="000000"/>
                <w:sz w:val="20"/>
                <w:szCs w:val="20"/>
              </w:rPr>
              <w:t>1,185,249,000</w:t>
            </w:r>
          </w:p>
        </w:tc>
        <w:tc>
          <w:tcPr>
            <w:tcW w:w="1494" w:type="dxa"/>
            <w:tcBorders>
              <w:top w:val="none" w:sz="0" w:space="0" w:color="auto"/>
              <w:bottom w:val="none" w:sz="0" w:space="0" w:color="auto"/>
            </w:tcBorders>
            <w:shd w:val="clear" w:color="auto" w:fill="F2F2F2" w:themeFill="background1" w:themeFillShade="F2"/>
          </w:tcPr>
          <w:p w14:paraId="6C57F46B" w14:textId="77777777" w:rsidR="0006359E" w:rsidRPr="00F171A3" w:rsidRDefault="0006359E" w:rsidP="00F31936">
            <w:pPr>
              <w:jc w:val="center"/>
              <w:rPr>
                <w:sz w:val="20"/>
                <w:szCs w:val="20"/>
              </w:rPr>
            </w:pPr>
            <w:r w:rsidRPr="00F171A3">
              <w:rPr>
                <w:color w:val="000000"/>
                <w:sz w:val="20"/>
                <w:szCs w:val="20"/>
              </w:rPr>
              <w:t>1,255,669,000</w:t>
            </w:r>
          </w:p>
        </w:tc>
        <w:tc>
          <w:tcPr>
            <w:tcW w:w="1494" w:type="dxa"/>
            <w:tcBorders>
              <w:top w:val="none" w:sz="0" w:space="0" w:color="auto"/>
              <w:bottom w:val="none" w:sz="0" w:space="0" w:color="auto"/>
            </w:tcBorders>
            <w:shd w:val="clear" w:color="auto" w:fill="F2F2F2" w:themeFill="background1" w:themeFillShade="F2"/>
          </w:tcPr>
          <w:p w14:paraId="05489EC4" w14:textId="77777777" w:rsidR="0006359E" w:rsidRPr="00F171A3" w:rsidRDefault="0006359E" w:rsidP="00F31936">
            <w:pPr>
              <w:jc w:val="center"/>
              <w:rPr>
                <w:sz w:val="20"/>
                <w:szCs w:val="20"/>
              </w:rPr>
            </w:pPr>
            <w:r w:rsidRPr="00F171A3">
              <w:rPr>
                <w:color w:val="000000"/>
                <w:sz w:val="20"/>
                <w:szCs w:val="20"/>
              </w:rPr>
              <w:t>1,282,820,000</w:t>
            </w:r>
          </w:p>
        </w:tc>
        <w:tc>
          <w:tcPr>
            <w:tcW w:w="1494" w:type="dxa"/>
            <w:tcBorders>
              <w:top w:val="none" w:sz="0" w:space="0" w:color="auto"/>
              <w:bottom w:val="none" w:sz="0" w:space="0" w:color="auto"/>
            </w:tcBorders>
            <w:shd w:val="clear" w:color="auto" w:fill="F2F2F2" w:themeFill="background1" w:themeFillShade="F2"/>
          </w:tcPr>
          <w:p w14:paraId="4DFF7C46" w14:textId="77777777" w:rsidR="0006359E" w:rsidRPr="00F171A3" w:rsidRDefault="0006359E" w:rsidP="00F31936">
            <w:pPr>
              <w:jc w:val="center"/>
              <w:rPr>
                <w:sz w:val="20"/>
                <w:szCs w:val="20"/>
              </w:rPr>
            </w:pPr>
            <w:r w:rsidRPr="00F171A3">
              <w:rPr>
                <w:color w:val="000000"/>
                <w:sz w:val="20"/>
                <w:szCs w:val="20"/>
              </w:rPr>
              <w:t>1,101,285,000</w:t>
            </w:r>
          </w:p>
        </w:tc>
      </w:tr>
      <w:tr w:rsidR="0006359E" w:rsidRPr="00F171A3" w14:paraId="5E133210" w14:textId="77777777" w:rsidTr="00F555EE">
        <w:trPr>
          <w:trHeight w:val="395"/>
        </w:trPr>
        <w:tc>
          <w:tcPr>
            <w:tcW w:w="3577" w:type="dxa"/>
            <w:shd w:val="clear" w:color="auto" w:fill="F2F2F2" w:themeFill="background1" w:themeFillShade="F2"/>
          </w:tcPr>
          <w:p w14:paraId="4C889E3E" w14:textId="77777777" w:rsidR="0006359E" w:rsidRPr="00F171A3" w:rsidRDefault="0006359E" w:rsidP="00F31936">
            <w:pPr>
              <w:jc w:val="center"/>
              <w:rPr>
                <w:sz w:val="20"/>
                <w:szCs w:val="20"/>
              </w:rPr>
            </w:pPr>
            <w:r w:rsidRPr="00F171A3">
              <w:rPr>
                <w:color w:val="000000"/>
                <w:sz w:val="20"/>
                <w:szCs w:val="20"/>
              </w:rPr>
              <w:t>Cheltuieli buget final</w:t>
            </w:r>
          </w:p>
        </w:tc>
        <w:tc>
          <w:tcPr>
            <w:tcW w:w="1494" w:type="dxa"/>
            <w:shd w:val="clear" w:color="auto" w:fill="F2F2F2" w:themeFill="background1" w:themeFillShade="F2"/>
          </w:tcPr>
          <w:p w14:paraId="302B90BC" w14:textId="77777777" w:rsidR="0006359E" w:rsidRPr="00F171A3" w:rsidRDefault="0006359E" w:rsidP="00F31936">
            <w:pPr>
              <w:jc w:val="center"/>
              <w:rPr>
                <w:sz w:val="20"/>
                <w:szCs w:val="20"/>
              </w:rPr>
            </w:pPr>
            <w:r w:rsidRPr="00F171A3">
              <w:rPr>
                <w:color w:val="000000"/>
                <w:sz w:val="20"/>
                <w:szCs w:val="20"/>
              </w:rPr>
              <w:t>1,252,052,000</w:t>
            </w:r>
          </w:p>
        </w:tc>
        <w:tc>
          <w:tcPr>
            <w:tcW w:w="1494" w:type="dxa"/>
            <w:shd w:val="clear" w:color="auto" w:fill="F2F2F2" w:themeFill="background1" w:themeFillShade="F2"/>
          </w:tcPr>
          <w:p w14:paraId="125C3878" w14:textId="77777777" w:rsidR="0006359E" w:rsidRPr="00F171A3" w:rsidRDefault="0006359E" w:rsidP="00F31936">
            <w:pPr>
              <w:jc w:val="center"/>
              <w:rPr>
                <w:sz w:val="20"/>
                <w:szCs w:val="20"/>
              </w:rPr>
            </w:pPr>
            <w:r w:rsidRPr="00F171A3">
              <w:rPr>
                <w:color w:val="000000"/>
                <w:sz w:val="20"/>
                <w:szCs w:val="20"/>
              </w:rPr>
              <w:t>1,142,887,000</w:t>
            </w:r>
          </w:p>
        </w:tc>
        <w:tc>
          <w:tcPr>
            <w:tcW w:w="1494" w:type="dxa"/>
            <w:shd w:val="clear" w:color="auto" w:fill="F2F2F2" w:themeFill="background1" w:themeFillShade="F2"/>
          </w:tcPr>
          <w:p w14:paraId="76EF0199" w14:textId="77777777" w:rsidR="0006359E" w:rsidRPr="00F171A3" w:rsidRDefault="0006359E" w:rsidP="00F31936">
            <w:pPr>
              <w:jc w:val="center"/>
              <w:rPr>
                <w:sz w:val="20"/>
                <w:szCs w:val="20"/>
              </w:rPr>
            </w:pPr>
            <w:r w:rsidRPr="00F171A3">
              <w:rPr>
                <w:color w:val="000000"/>
                <w:sz w:val="20"/>
                <w:szCs w:val="20"/>
              </w:rPr>
              <w:t>1,203,056,000</w:t>
            </w:r>
          </w:p>
        </w:tc>
        <w:tc>
          <w:tcPr>
            <w:tcW w:w="1494" w:type="dxa"/>
            <w:shd w:val="clear" w:color="auto" w:fill="F2F2F2" w:themeFill="background1" w:themeFillShade="F2"/>
          </w:tcPr>
          <w:p w14:paraId="4A1D38A7" w14:textId="77777777" w:rsidR="0006359E" w:rsidRPr="00F171A3" w:rsidRDefault="0006359E" w:rsidP="00F31936">
            <w:pPr>
              <w:jc w:val="center"/>
              <w:rPr>
                <w:sz w:val="20"/>
                <w:szCs w:val="20"/>
              </w:rPr>
            </w:pPr>
            <w:r w:rsidRPr="00F171A3">
              <w:rPr>
                <w:color w:val="000000"/>
                <w:sz w:val="20"/>
                <w:szCs w:val="20"/>
              </w:rPr>
              <w:t>1,013,425,000</w:t>
            </w:r>
          </w:p>
        </w:tc>
      </w:tr>
      <w:tr w:rsidR="0006359E" w:rsidRPr="00F171A3" w14:paraId="142E9FA9" w14:textId="77777777" w:rsidTr="00F555EE">
        <w:trPr>
          <w:cnfStyle w:val="000000100000" w:firstRow="0" w:lastRow="0" w:firstColumn="0" w:lastColumn="0" w:oddVBand="0" w:evenVBand="0" w:oddHBand="1" w:evenHBand="0" w:firstRowFirstColumn="0" w:firstRowLastColumn="0" w:lastRowFirstColumn="0" w:lastRowLastColumn="0"/>
          <w:trHeight w:val="409"/>
        </w:trPr>
        <w:tc>
          <w:tcPr>
            <w:tcW w:w="3577" w:type="dxa"/>
            <w:tcBorders>
              <w:top w:val="none" w:sz="0" w:space="0" w:color="auto"/>
              <w:bottom w:val="none" w:sz="0" w:space="0" w:color="auto"/>
            </w:tcBorders>
            <w:shd w:val="clear" w:color="auto" w:fill="F2F2F2" w:themeFill="background1" w:themeFillShade="F2"/>
          </w:tcPr>
          <w:p w14:paraId="21747006" w14:textId="77777777" w:rsidR="0006359E" w:rsidRPr="00F171A3" w:rsidRDefault="0006359E" w:rsidP="00F31936">
            <w:pPr>
              <w:jc w:val="center"/>
              <w:rPr>
                <w:sz w:val="20"/>
                <w:szCs w:val="20"/>
              </w:rPr>
            </w:pPr>
            <w:r w:rsidRPr="00F171A3">
              <w:rPr>
                <w:color w:val="000000"/>
                <w:sz w:val="20"/>
                <w:szCs w:val="20"/>
              </w:rPr>
              <w:t>Cheltuieli executate</w:t>
            </w:r>
          </w:p>
        </w:tc>
        <w:tc>
          <w:tcPr>
            <w:tcW w:w="1494" w:type="dxa"/>
            <w:tcBorders>
              <w:top w:val="none" w:sz="0" w:space="0" w:color="auto"/>
              <w:bottom w:val="none" w:sz="0" w:space="0" w:color="auto"/>
            </w:tcBorders>
            <w:shd w:val="clear" w:color="auto" w:fill="F2F2F2" w:themeFill="background1" w:themeFillShade="F2"/>
          </w:tcPr>
          <w:p w14:paraId="0AFA525A" w14:textId="77777777" w:rsidR="0006359E" w:rsidRPr="00F171A3" w:rsidRDefault="0006359E" w:rsidP="00F31936">
            <w:pPr>
              <w:jc w:val="center"/>
              <w:rPr>
                <w:sz w:val="20"/>
                <w:szCs w:val="20"/>
              </w:rPr>
            </w:pPr>
            <w:r w:rsidRPr="00F171A3">
              <w:rPr>
                <w:color w:val="000000"/>
                <w:sz w:val="20"/>
                <w:szCs w:val="20"/>
              </w:rPr>
              <w:t>1,160,723,093</w:t>
            </w:r>
          </w:p>
        </w:tc>
        <w:tc>
          <w:tcPr>
            <w:tcW w:w="1494" w:type="dxa"/>
            <w:tcBorders>
              <w:top w:val="none" w:sz="0" w:space="0" w:color="auto"/>
              <w:bottom w:val="none" w:sz="0" w:space="0" w:color="auto"/>
            </w:tcBorders>
            <w:shd w:val="clear" w:color="auto" w:fill="F2F2F2" w:themeFill="background1" w:themeFillShade="F2"/>
          </w:tcPr>
          <w:p w14:paraId="4035F4B4" w14:textId="77777777" w:rsidR="0006359E" w:rsidRPr="00F171A3" w:rsidRDefault="0006359E" w:rsidP="00F31936">
            <w:pPr>
              <w:jc w:val="center"/>
              <w:rPr>
                <w:sz w:val="20"/>
                <w:szCs w:val="20"/>
              </w:rPr>
            </w:pPr>
            <w:r w:rsidRPr="00F171A3">
              <w:rPr>
                <w:color w:val="000000"/>
                <w:sz w:val="20"/>
                <w:szCs w:val="20"/>
              </w:rPr>
              <w:t>1,070,608,042</w:t>
            </w:r>
          </w:p>
        </w:tc>
        <w:tc>
          <w:tcPr>
            <w:tcW w:w="1494" w:type="dxa"/>
            <w:tcBorders>
              <w:top w:val="none" w:sz="0" w:space="0" w:color="auto"/>
              <w:bottom w:val="none" w:sz="0" w:space="0" w:color="auto"/>
            </w:tcBorders>
            <w:shd w:val="clear" w:color="auto" w:fill="F2F2F2" w:themeFill="background1" w:themeFillShade="F2"/>
          </w:tcPr>
          <w:p w14:paraId="70F96518" w14:textId="77777777" w:rsidR="0006359E" w:rsidRPr="00F171A3" w:rsidRDefault="0006359E" w:rsidP="00F31936">
            <w:pPr>
              <w:jc w:val="center"/>
              <w:rPr>
                <w:sz w:val="20"/>
                <w:szCs w:val="20"/>
              </w:rPr>
            </w:pPr>
            <w:r w:rsidRPr="00F171A3">
              <w:rPr>
                <w:color w:val="000000"/>
                <w:sz w:val="20"/>
                <w:szCs w:val="20"/>
              </w:rPr>
              <w:t>1,088,508,821</w:t>
            </w:r>
          </w:p>
        </w:tc>
        <w:tc>
          <w:tcPr>
            <w:tcW w:w="1494" w:type="dxa"/>
            <w:tcBorders>
              <w:top w:val="none" w:sz="0" w:space="0" w:color="auto"/>
              <w:bottom w:val="none" w:sz="0" w:space="0" w:color="auto"/>
            </w:tcBorders>
            <w:shd w:val="clear" w:color="auto" w:fill="F2F2F2" w:themeFill="background1" w:themeFillShade="F2"/>
          </w:tcPr>
          <w:p w14:paraId="2AA84367" w14:textId="77777777" w:rsidR="0006359E" w:rsidRPr="00F171A3" w:rsidRDefault="0006359E" w:rsidP="00F31936">
            <w:pPr>
              <w:jc w:val="center"/>
              <w:rPr>
                <w:sz w:val="20"/>
                <w:szCs w:val="20"/>
              </w:rPr>
            </w:pPr>
            <w:r w:rsidRPr="00F171A3">
              <w:rPr>
                <w:color w:val="000000"/>
                <w:sz w:val="20"/>
                <w:szCs w:val="20"/>
              </w:rPr>
              <w:t>809,451,541</w:t>
            </w:r>
          </w:p>
        </w:tc>
      </w:tr>
      <w:tr w:rsidR="0006359E" w:rsidRPr="00F171A3" w14:paraId="083A4D76" w14:textId="77777777" w:rsidTr="00F555EE">
        <w:trPr>
          <w:trHeight w:val="643"/>
        </w:trPr>
        <w:tc>
          <w:tcPr>
            <w:tcW w:w="3577" w:type="dxa"/>
            <w:shd w:val="clear" w:color="auto" w:fill="F2F2F2" w:themeFill="background1" w:themeFillShade="F2"/>
          </w:tcPr>
          <w:p w14:paraId="5BAFD6AF" w14:textId="77777777" w:rsidR="0006359E" w:rsidRPr="00F171A3" w:rsidRDefault="0006359E" w:rsidP="00F31936">
            <w:pPr>
              <w:jc w:val="center"/>
              <w:rPr>
                <w:sz w:val="20"/>
                <w:szCs w:val="20"/>
              </w:rPr>
            </w:pPr>
            <w:r w:rsidRPr="00F171A3">
              <w:rPr>
                <w:sz w:val="20"/>
                <w:szCs w:val="20"/>
              </w:rPr>
              <w:t>Cheltuieli executate / cheltuieli planificate inițial (%)</w:t>
            </w:r>
          </w:p>
        </w:tc>
        <w:tc>
          <w:tcPr>
            <w:tcW w:w="1494" w:type="dxa"/>
            <w:shd w:val="clear" w:color="auto" w:fill="F2F2F2" w:themeFill="background1" w:themeFillShade="F2"/>
          </w:tcPr>
          <w:p w14:paraId="03CBCB93" w14:textId="77777777" w:rsidR="0006359E" w:rsidRPr="00F171A3" w:rsidRDefault="0006359E" w:rsidP="00F31936">
            <w:pPr>
              <w:jc w:val="center"/>
              <w:rPr>
                <w:sz w:val="20"/>
                <w:szCs w:val="20"/>
              </w:rPr>
            </w:pPr>
            <w:r w:rsidRPr="00F171A3">
              <w:rPr>
                <w:color w:val="000000"/>
                <w:sz w:val="20"/>
                <w:szCs w:val="20"/>
              </w:rPr>
              <w:t>97.93%</w:t>
            </w:r>
          </w:p>
        </w:tc>
        <w:tc>
          <w:tcPr>
            <w:tcW w:w="1494" w:type="dxa"/>
            <w:shd w:val="clear" w:color="auto" w:fill="F2F2F2" w:themeFill="background1" w:themeFillShade="F2"/>
          </w:tcPr>
          <w:p w14:paraId="3C4D6B45" w14:textId="77777777" w:rsidR="0006359E" w:rsidRPr="00F171A3" w:rsidRDefault="0006359E" w:rsidP="00F31936">
            <w:pPr>
              <w:jc w:val="center"/>
              <w:rPr>
                <w:sz w:val="20"/>
                <w:szCs w:val="20"/>
              </w:rPr>
            </w:pPr>
            <w:r w:rsidRPr="00F171A3">
              <w:rPr>
                <w:color w:val="000000"/>
                <w:sz w:val="20"/>
                <w:szCs w:val="20"/>
              </w:rPr>
              <w:t>85.26%</w:t>
            </w:r>
          </w:p>
        </w:tc>
        <w:tc>
          <w:tcPr>
            <w:tcW w:w="1494" w:type="dxa"/>
            <w:shd w:val="clear" w:color="auto" w:fill="F2F2F2" w:themeFill="background1" w:themeFillShade="F2"/>
          </w:tcPr>
          <w:p w14:paraId="0118F7A2" w14:textId="77777777" w:rsidR="0006359E" w:rsidRPr="00F171A3" w:rsidRDefault="0006359E" w:rsidP="00F31936">
            <w:pPr>
              <w:jc w:val="center"/>
              <w:rPr>
                <w:sz w:val="20"/>
                <w:szCs w:val="20"/>
              </w:rPr>
            </w:pPr>
            <w:r w:rsidRPr="00F171A3">
              <w:rPr>
                <w:color w:val="000000"/>
                <w:sz w:val="20"/>
                <w:szCs w:val="20"/>
              </w:rPr>
              <w:t>84.85%</w:t>
            </w:r>
          </w:p>
        </w:tc>
        <w:tc>
          <w:tcPr>
            <w:tcW w:w="1494" w:type="dxa"/>
            <w:shd w:val="clear" w:color="auto" w:fill="F2F2F2" w:themeFill="background1" w:themeFillShade="F2"/>
          </w:tcPr>
          <w:p w14:paraId="35E0B2DB" w14:textId="77777777" w:rsidR="0006359E" w:rsidRPr="00F171A3" w:rsidRDefault="0006359E" w:rsidP="00F31936">
            <w:pPr>
              <w:jc w:val="center"/>
              <w:rPr>
                <w:sz w:val="20"/>
                <w:szCs w:val="20"/>
              </w:rPr>
            </w:pPr>
            <w:r w:rsidRPr="00F171A3">
              <w:rPr>
                <w:color w:val="000000"/>
                <w:sz w:val="20"/>
                <w:szCs w:val="20"/>
              </w:rPr>
              <w:t>73.50%</w:t>
            </w:r>
          </w:p>
        </w:tc>
      </w:tr>
    </w:tbl>
    <w:p w14:paraId="3FBA54E6" w14:textId="335856D3"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Primăria Sector</w:t>
      </w:r>
      <w:r w:rsidR="00135D70" w:rsidRPr="00F171A3">
        <w:rPr>
          <w:color w:val="BFBFBF" w:themeColor="background1" w:themeShade="BF"/>
        </w:rPr>
        <w:t>ului</w:t>
      </w:r>
      <w:r w:rsidRPr="00F171A3">
        <w:rPr>
          <w:color w:val="BFBFBF" w:themeColor="background1" w:themeShade="BF"/>
        </w:rPr>
        <w:t xml:space="preserve"> 2</w:t>
      </w:r>
    </w:p>
    <w:p w14:paraId="6A57DBC3" w14:textId="3FA2A854" w:rsidR="0006359E" w:rsidRPr="00F171A3" w:rsidRDefault="0006359E" w:rsidP="0006359E">
      <w:r w:rsidRPr="00F171A3">
        <w:t>Așa cum indică următoarele table, cheltuielile secțiunii de funcționare au avut un grad de realizare semnificativ mai ridicat ca planificarea cheltuielilor secțiunii de dezvoltare. În primul caz, observăm un raport între 84% și 101% între cheltuielile planificate inițial și cele executate la finalul anului, în timp ce în cazul secțiunii de dezvoltare, același raport a variat între 37.6% și 105%. Se remarcă însă estimările pe ultimul an fiscal, cu un raport mult mai apropiat de planif</w:t>
      </w:r>
      <w:r w:rsidR="00C66438">
        <w:t>ic</w:t>
      </w:r>
      <w:r w:rsidRPr="00F171A3">
        <w:t xml:space="preserve">area inițială.  </w:t>
      </w:r>
    </w:p>
    <w:p w14:paraId="4796AA5F" w14:textId="0F7A1451" w:rsidR="0006359E" w:rsidRPr="00F171A3" w:rsidRDefault="00AF2C45" w:rsidP="00AF2C45">
      <w:pPr>
        <w:pStyle w:val="Caption"/>
        <w:rPr>
          <w:b w:val="0"/>
          <w:highlight w:val="yellow"/>
        </w:rPr>
      </w:pPr>
      <w:bookmarkStart w:id="351" w:name="_heading=h.gtnh0h" w:colFirst="0" w:colLast="0"/>
      <w:bookmarkStart w:id="352" w:name="_Toc126943299"/>
      <w:bookmarkEnd w:id="351"/>
      <w:r w:rsidRPr="00F171A3">
        <w:t xml:space="preserve">Tabel </w:t>
      </w:r>
      <w:r w:rsidRPr="00F171A3">
        <w:fldChar w:fldCharType="begin"/>
      </w:r>
      <w:r w:rsidRPr="00F171A3">
        <w:instrText xml:space="preserve"> SEQ Tabel \* ARABIC </w:instrText>
      </w:r>
      <w:r w:rsidRPr="00F171A3">
        <w:fldChar w:fldCharType="separate"/>
      </w:r>
      <w:r w:rsidR="005A6DD8">
        <w:rPr>
          <w:noProof/>
        </w:rPr>
        <w:t>42</w:t>
      </w:r>
      <w:r w:rsidRPr="00F171A3">
        <w:fldChar w:fldCharType="end"/>
      </w:r>
      <w:r w:rsidRPr="00F171A3">
        <w:t xml:space="preserve"> </w:t>
      </w:r>
      <w:r w:rsidR="0006359E" w:rsidRPr="00F171A3">
        <w:t>Evoluția planificării cheltuielilor secțiunea de funcționare în perioada 2018-2021</w:t>
      </w:r>
      <w:bookmarkEnd w:id="352"/>
    </w:p>
    <w:tbl>
      <w:tblPr>
        <w:tblStyle w:val="ListTable3-Accent21"/>
        <w:tblW w:w="928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3302"/>
        <w:gridCol w:w="1496"/>
        <w:gridCol w:w="1496"/>
        <w:gridCol w:w="1496"/>
        <w:gridCol w:w="1496"/>
      </w:tblGrid>
      <w:tr w:rsidR="0006359E" w:rsidRPr="00F171A3" w14:paraId="7CFF945B" w14:textId="77777777" w:rsidTr="00F555EE">
        <w:trPr>
          <w:cnfStyle w:val="100000000000" w:firstRow="1" w:lastRow="0" w:firstColumn="0" w:lastColumn="0" w:oddVBand="0" w:evenVBand="0" w:oddHBand="0" w:evenHBand="0" w:firstRowFirstColumn="0" w:firstRowLastColumn="0" w:lastRowFirstColumn="0" w:lastRowLastColumn="0"/>
        </w:trPr>
        <w:tc>
          <w:tcPr>
            <w:tcW w:w="3302" w:type="dxa"/>
          </w:tcPr>
          <w:p w14:paraId="7A12D2E1" w14:textId="77777777" w:rsidR="0006359E" w:rsidRPr="00F171A3" w:rsidRDefault="0006359E" w:rsidP="00F31936">
            <w:pPr>
              <w:jc w:val="center"/>
              <w:rPr>
                <w:sz w:val="20"/>
                <w:szCs w:val="20"/>
              </w:rPr>
            </w:pPr>
          </w:p>
        </w:tc>
        <w:tc>
          <w:tcPr>
            <w:tcW w:w="1496" w:type="dxa"/>
          </w:tcPr>
          <w:p w14:paraId="3F30EFCF" w14:textId="77777777" w:rsidR="0006359E" w:rsidRPr="00F171A3" w:rsidRDefault="0006359E" w:rsidP="00F31936">
            <w:pPr>
              <w:jc w:val="center"/>
              <w:rPr>
                <w:sz w:val="20"/>
                <w:szCs w:val="20"/>
              </w:rPr>
            </w:pPr>
            <w:r w:rsidRPr="00F171A3">
              <w:rPr>
                <w:sz w:val="20"/>
                <w:szCs w:val="20"/>
              </w:rPr>
              <w:t>2021</w:t>
            </w:r>
          </w:p>
        </w:tc>
        <w:tc>
          <w:tcPr>
            <w:tcW w:w="1496" w:type="dxa"/>
          </w:tcPr>
          <w:p w14:paraId="536CAB98" w14:textId="77777777" w:rsidR="0006359E" w:rsidRPr="00F171A3" w:rsidRDefault="0006359E" w:rsidP="00F31936">
            <w:pPr>
              <w:jc w:val="center"/>
              <w:rPr>
                <w:sz w:val="20"/>
                <w:szCs w:val="20"/>
              </w:rPr>
            </w:pPr>
            <w:r w:rsidRPr="00F171A3">
              <w:rPr>
                <w:sz w:val="20"/>
                <w:szCs w:val="20"/>
              </w:rPr>
              <w:t>2020</w:t>
            </w:r>
          </w:p>
        </w:tc>
        <w:tc>
          <w:tcPr>
            <w:tcW w:w="1496" w:type="dxa"/>
          </w:tcPr>
          <w:p w14:paraId="0AFFC66E" w14:textId="77777777" w:rsidR="0006359E" w:rsidRPr="00F171A3" w:rsidRDefault="0006359E" w:rsidP="00F31936">
            <w:pPr>
              <w:jc w:val="center"/>
              <w:rPr>
                <w:sz w:val="20"/>
                <w:szCs w:val="20"/>
              </w:rPr>
            </w:pPr>
            <w:r w:rsidRPr="00F171A3">
              <w:rPr>
                <w:sz w:val="20"/>
                <w:szCs w:val="20"/>
              </w:rPr>
              <w:t>2019</w:t>
            </w:r>
          </w:p>
        </w:tc>
        <w:tc>
          <w:tcPr>
            <w:tcW w:w="1496" w:type="dxa"/>
          </w:tcPr>
          <w:p w14:paraId="116C2622" w14:textId="77777777" w:rsidR="0006359E" w:rsidRPr="00F171A3" w:rsidRDefault="0006359E" w:rsidP="00F31936">
            <w:pPr>
              <w:jc w:val="center"/>
              <w:rPr>
                <w:sz w:val="20"/>
                <w:szCs w:val="20"/>
              </w:rPr>
            </w:pPr>
            <w:r w:rsidRPr="00F171A3">
              <w:rPr>
                <w:sz w:val="20"/>
                <w:szCs w:val="20"/>
              </w:rPr>
              <w:t>2018</w:t>
            </w:r>
          </w:p>
        </w:tc>
      </w:tr>
      <w:tr w:rsidR="0006359E" w:rsidRPr="00F171A3" w14:paraId="59EBAA3E"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3302" w:type="dxa"/>
            <w:tcBorders>
              <w:top w:val="none" w:sz="0" w:space="0" w:color="auto"/>
              <w:bottom w:val="none" w:sz="0" w:space="0" w:color="auto"/>
            </w:tcBorders>
            <w:shd w:val="clear" w:color="auto" w:fill="F2F2F2" w:themeFill="background1" w:themeFillShade="F2"/>
          </w:tcPr>
          <w:p w14:paraId="73EB5520" w14:textId="77777777" w:rsidR="0006359E" w:rsidRPr="00F171A3" w:rsidRDefault="0006359E" w:rsidP="00F31936">
            <w:pPr>
              <w:jc w:val="center"/>
              <w:rPr>
                <w:sz w:val="20"/>
                <w:szCs w:val="20"/>
              </w:rPr>
            </w:pPr>
            <w:r w:rsidRPr="00F171A3">
              <w:rPr>
                <w:color w:val="000000"/>
                <w:sz w:val="20"/>
                <w:szCs w:val="20"/>
              </w:rPr>
              <w:t>Cheltuieli planificate buget inițial secțiunea de funcționare</w:t>
            </w:r>
          </w:p>
        </w:tc>
        <w:tc>
          <w:tcPr>
            <w:tcW w:w="1496" w:type="dxa"/>
            <w:tcBorders>
              <w:top w:val="none" w:sz="0" w:space="0" w:color="auto"/>
              <w:bottom w:val="none" w:sz="0" w:space="0" w:color="auto"/>
            </w:tcBorders>
            <w:shd w:val="clear" w:color="auto" w:fill="F2F2F2" w:themeFill="background1" w:themeFillShade="F2"/>
          </w:tcPr>
          <w:p w14:paraId="262DA663" w14:textId="77777777" w:rsidR="0006359E" w:rsidRPr="00F171A3" w:rsidRDefault="0006359E" w:rsidP="00F31936">
            <w:pPr>
              <w:jc w:val="center"/>
              <w:rPr>
                <w:sz w:val="20"/>
                <w:szCs w:val="20"/>
              </w:rPr>
            </w:pPr>
            <w:r w:rsidRPr="00F171A3">
              <w:rPr>
                <w:color w:val="000000"/>
                <w:sz w:val="20"/>
                <w:szCs w:val="20"/>
              </w:rPr>
              <w:t>888,088,000</w:t>
            </w:r>
          </w:p>
        </w:tc>
        <w:tc>
          <w:tcPr>
            <w:tcW w:w="1496" w:type="dxa"/>
            <w:tcBorders>
              <w:top w:val="none" w:sz="0" w:space="0" w:color="auto"/>
              <w:bottom w:val="none" w:sz="0" w:space="0" w:color="auto"/>
            </w:tcBorders>
            <w:shd w:val="clear" w:color="auto" w:fill="F2F2F2" w:themeFill="background1" w:themeFillShade="F2"/>
          </w:tcPr>
          <w:p w14:paraId="4054DDE2" w14:textId="77777777" w:rsidR="0006359E" w:rsidRPr="00F171A3" w:rsidRDefault="0006359E" w:rsidP="00F31936">
            <w:pPr>
              <w:jc w:val="center"/>
              <w:rPr>
                <w:sz w:val="20"/>
                <w:szCs w:val="20"/>
              </w:rPr>
            </w:pPr>
            <w:r w:rsidRPr="00F171A3">
              <w:rPr>
                <w:color w:val="000000"/>
                <w:sz w:val="20"/>
                <w:szCs w:val="20"/>
              </w:rPr>
              <w:t>867,023,000</w:t>
            </w:r>
          </w:p>
        </w:tc>
        <w:tc>
          <w:tcPr>
            <w:tcW w:w="1496" w:type="dxa"/>
            <w:tcBorders>
              <w:top w:val="none" w:sz="0" w:space="0" w:color="auto"/>
              <w:bottom w:val="none" w:sz="0" w:space="0" w:color="auto"/>
            </w:tcBorders>
            <w:shd w:val="clear" w:color="auto" w:fill="F2F2F2" w:themeFill="background1" w:themeFillShade="F2"/>
          </w:tcPr>
          <w:p w14:paraId="12D1109B" w14:textId="77777777" w:rsidR="0006359E" w:rsidRPr="00F171A3" w:rsidRDefault="0006359E" w:rsidP="00F31936">
            <w:pPr>
              <w:jc w:val="center"/>
              <w:rPr>
                <w:sz w:val="20"/>
                <w:szCs w:val="20"/>
              </w:rPr>
            </w:pPr>
            <w:r w:rsidRPr="00F171A3">
              <w:rPr>
                <w:color w:val="000000"/>
                <w:sz w:val="20"/>
                <w:szCs w:val="20"/>
              </w:rPr>
              <w:t>944,087,000</w:t>
            </w:r>
          </w:p>
        </w:tc>
        <w:tc>
          <w:tcPr>
            <w:tcW w:w="1496" w:type="dxa"/>
            <w:tcBorders>
              <w:top w:val="none" w:sz="0" w:space="0" w:color="auto"/>
              <w:bottom w:val="none" w:sz="0" w:space="0" w:color="auto"/>
            </w:tcBorders>
            <w:shd w:val="clear" w:color="auto" w:fill="F2F2F2" w:themeFill="background1" w:themeFillShade="F2"/>
          </w:tcPr>
          <w:p w14:paraId="7976B431" w14:textId="77777777" w:rsidR="0006359E" w:rsidRPr="00F171A3" w:rsidRDefault="0006359E" w:rsidP="00F31936">
            <w:pPr>
              <w:jc w:val="center"/>
              <w:rPr>
                <w:sz w:val="20"/>
                <w:szCs w:val="20"/>
              </w:rPr>
            </w:pPr>
            <w:r w:rsidRPr="00F171A3">
              <w:rPr>
                <w:color w:val="000000"/>
                <w:sz w:val="20"/>
                <w:szCs w:val="20"/>
              </w:rPr>
              <w:t>847,006,000</w:t>
            </w:r>
          </w:p>
        </w:tc>
      </w:tr>
      <w:tr w:rsidR="0006359E" w:rsidRPr="00F171A3" w14:paraId="13B4D58E" w14:textId="77777777" w:rsidTr="00F555EE">
        <w:tc>
          <w:tcPr>
            <w:tcW w:w="3302" w:type="dxa"/>
            <w:shd w:val="clear" w:color="auto" w:fill="F2F2F2" w:themeFill="background1" w:themeFillShade="F2"/>
          </w:tcPr>
          <w:p w14:paraId="40EF02D6" w14:textId="77777777" w:rsidR="0006359E" w:rsidRPr="00F171A3" w:rsidRDefault="0006359E" w:rsidP="00F31936">
            <w:pPr>
              <w:jc w:val="center"/>
              <w:rPr>
                <w:sz w:val="20"/>
                <w:szCs w:val="20"/>
              </w:rPr>
            </w:pPr>
            <w:r w:rsidRPr="00F171A3">
              <w:rPr>
                <w:color w:val="000000"/>
                <w:sz w:val="20"/>
                <w:szCs w:val="20"/>
              </w:rPr>
              <w:t>Cheltuieli planificate buget final secțiunea de funcționare</w:t>
            </w:r>
          </w:p>
        </w:tc>
        <w:tc>
          <w:tcPr>
            <w:tcW w:w="1496" w:type="dxa"/>
            <w:shd w:val="clear" w:color="auto" w:fill="F2F2F2" w:themeFill="background1" w:themeFillShade="F2"/>
          </w:tcPr>
          <w:p w14:paraId="2C4C9E51" w14:textId="77777777" w:rsidR="0006359E" w:rsidRPr="00F171A3" w:rsidRDefault="0006359E" w:rsidP="00F31936">
            <w:pPr>
              <w:jc w:val="center"/>
              <w:rPr>
                <w:sz w:val="20"/>
                <w:szCs w:val="20"/>
              </w:rPr>
            </w:pPr>
            <w:r w:rsidRPr="00F171A3">
              <w:rPr>
                <w:color w:val="000000"/>
                <w:sz w:val="20"/>
                <w:szCs w:val="20"/>
              </w:rPr>
              <w:t>880,793,000</w:t>
            </w:r>
          </w:p>
        </w:tc>
        <w:tc>
          <w:tcPr>
            <w:tcW w:w="1496" w:type="dxa"/>
            <w:shd w:val="clear" w:color="auto" w:fill="F2F2F2" w:themeFill="background1" w:themeFillShade="F2"/>
          </w:tcPr>
          <w:p w14:paraId="12624359" w14:textId="77777777" w:rsidR="0006359E" w:rsidRPr="00F171A3" w:rsidRDefault="0006359E" w:rsidP="00F31936">
            <w:pPr>
              <w:jc w:val="center"/>
              <w:rPr>
                <w:sz w:val="20"/>
                <w:szCs w:val="20"/>
              </w:rPr>
            </w:pPr>
            <w:r w:rsidRPr="00F171A3">
              <w:rPr>
                <w:color w:val="000000"/>
                <w:sz w:val="20"/>
                <w:szCs w:val="20"/>
              </w:rPr>
              <w:t>927,127,000</w:t>
            </w:r>
          </w:p>
        </w:tc>
        <w:tc>
          <w:tcPr>
            <w:tcW w:w="1496" w:type="dxa"/>
            <w:shd w:val="clear" w:color="auto" w:fill="F2F2F2" w:themeFill="background1" w:themeFillShade="F2"/>
          </w:tcPr>
          <w:p w14:paraId="5EBE7077" w14:textId="77777777" w:rsidR="0006359E" w:rsidRPr="00F171A3" w:rsidRDefault="0006359E" w:rsidP="00F31936">
            <w:pPr>
              <w:jc w:val="center"/>
              <w:rPr>
                <w:sz w:val="20"/>
                <w:szCs w:val="20"/>
              </w:rPr>
            </w:pPr>
            <w:r w:rsidRPr="00F171A3">
              <w:rPr>
                <w:color w:val="000000"/>
                <w:sz w:val="20"/>
                <w:szCs w:val="20"/>
              </w:rPr>
              <w:t>852,782,000</w:t>
            </w:r>
          </w:p>
        </w:tc>
        <w:tc>
          <w:tcPr>
            <w:tcW w:w="1496" w:type="dxa"/>
            <w:shd w:val="clear" w:color="auto" w:fill="F2F2F2" w:themeFill="background1" w:themeFillShade="F2"/>
          </w:tcPr>
          <w:p w14:paraId="4AED7BD7" w14:textId="77777777" w:rsidR="0006359E" w:rsidRPr="00F171A3" w:rsidRDefault="0006359E" w:rsidP="00F31936">
            <w:pPr>
              <w:jc w:val="center"/>
              <w:rPr>
                <w:sz w:val="20"/>
                <w:szCs w:val="20"/>
              </w:rPr>
            </w:pPr>
            <w:r w:rsidRPr="00F171A3">
              <w:rPr>
                <w:color w:val="000000"/>
                <w:sz w:val="20"/>
                <w:szCs w:val="20"/>
              </w:rPr>
              <w:t>808,308,000</w:t>
            </w:r>
          </w:p>
        </w:tc>
      </w:tr>
      <w:tr w:rsidR="0006359E" w:rsidRPr="00F171A3" w14:paraId="4242EA5B" w14:textId="77777777" w:rsidTr="00F555EE">
        <w:trPr>
          <w:cnfStyle w:val="000000100000" w:firstRow="0" w:lastRow="0" w:firstColumn="0" w:lastColumn="0" w:oddVBand="0" w:evenVBand="0" w:oddHBand="1" w:evenHBand="0" w:firstRowFirstColumn="0" w:firstRowLastColumn="0" w:lastRowFirstColumn="0" w:lastRowLastColumn="0"/>
        </w:trPr>
        <w:tc>
          <w:tcPr>
            <w:tcW w:w="3302" w:type="dxa"/>
            <w:tcBorders>
              <w:top w:val="none" w:sz="0" w:space="0" w:color="auto"/>
              <w:bottom w:val="none" w:sz="0" w:space="0" w:color="auto"/>
            </w:tcBorders>
            <w:shd w:val="clear" w:color="auto" w:fill="F2F2F2" w:themeFill="background1" w:themeFillShade="F2"/>
          </w:tcPr>
          <w:p w14:paraId="1B715206" w14:textId="77777777" w:rsidR="0006359E" w:rsidRPr="00F171A3" w:rsidRDefault="0006359E" w:rsidP="00F31936">
            <w:pPr>
              <w:jc w:val="center"/>
              <w:rPr>
                <w:sz w:val="20"/>
                <w:szCs w:val="20"/>
              </w:rPr>
            </w:pPr>
            <w:r w:rsidRPr="00F171A3">
              <w:rPr>
                <w:color w:val="000000"/>
                <w:sz w:val="20"/>
                <w:szCs w:val="20"/>
              </w:rPr>
              <w:t>Cheltuieli executate secțiunea de funcționare</w:t>
            </w:r>
          </w:p>
        </w:tc>
        <w:tc>
          <w:tcPr>
            <w:tcW w:w="1496" w:type="dxa"/>
            <w:tcBorders>
              <w:top w:val="none" w:sz="0" w:space="0" w:color="auto"/>
              <w:bottom w:val="none" w:sz="0" w:space="0" w:color="auto"/>
            </w:tcBorders>
            <w:shd w:val="clear" w:color="auto" w:fill="F2F2F2" w:themeFill="background1" w:themeFillShade="F2"/>
          </w:tcPr>
          <w:p w14:paraId="656474D0" w14:textId="77777777" w:rsidR="0006359E" w:rsidRPr="00F171A3" w:rsidRDefault="0006359E" w:rsidP="00F31936">
            <w:pPr>
              <w:jc w:val="center"/>
              <w:rPr>
                <w:sz w:val="20"/>
                <w:szCs w:val="20"/>
              </w:rPr>
            </w:pPr>
            <w:r w:rsidRPr="00F171A3">
              <w:rPr>
                <w:color w:val="000000"/>
                <w:sz w:val="20"/>
                <w:szCs w:val="20"/>
              </w:rPr>
              <w:t>848,234,515</w:t>
            </w:r>
          </w:p>
        </w:tc>
        <w:tc>
          <w:tcPr>
            <w:tcW w:w="1496" w:type="dxa"/>
            <w:tcBorders>
              <w:top w:val="none" w:sz="0" w:space="0" w:color="auto"/>
              <w:bottom w:val="none" w:sz="0" w:space="0" w:color="auto"/>
            </w:tcBorders>
            <w:shd w:val="clear" w:color="auto" w:fill="F2F2F2" w:themeFill="background1" w:themeFillShade="F2"/>
          </w:tcPr>
          <w:p w14:paraId="59E23816" w14:textId="77777777" w:rsidR="0006359E" w:rsidRPr="00F171A3" w:rsidRDefault="0006359E" w:rsidP="00F31936">
            <w:pPr>
              <w:jc w:val="center"/>
              <w:rPr>
                <w:sz w:val="20"/>
                <w:szCs w:val="20"/>
              </w:rPr>
            </w:pPr>
            <w:r w:rsidRPr="00F171A3">
              <w:rPr>
                <w:color w:val="000000"/>
                <w:sz w:val="20"/>
                <w:szCs w:val="20"/>
              </w:rPr>
              <w:t>881,282,313</w:t>
            </w:r>
          </w:p>
        </w:tc>
        <w:tc>
          <w:tcPr>
            <w:tcW w:w="1496" w:type="dxa"/>
            <w:tcBorders>
              <w:top w:val="none" w:sz="0" w:space="0" w:color="auto"/>
              <w:bottom w:val="none" w:sz="0" w:space="0" w:color="auto"/>
            </w:tcBorders>
            <w:shd w:val="clear" w:color="auto" w:fill="F2F2F2" w:themeFill="background1" w:themeFillShade="F2"/>
          </w:tcPr>
          <w:p w14:paraId="568E8CBE" w14:textId="77777777" w:rsidR="0006359E" w:rsidRPr="00F171A3" w:rsidRDefault="0006359E" w:rsidP="00F31936">
            <w:pPr>
              <w:jc w:val="center"/>
              <w:rPr>
                <w:sz w:val="20"/>
                <w:szCs w:val="20"/>
              </w:rPr>
            </w:pPr>
            <w:r w:rsidRPr="00F171A3">
              <w:rPr>
                <w:color w:val="000000"/>
                <w:sz w:val="20"/>
                <w:szCs w:val="20"/>
              </w:rPr>
              <w:t>789,407,897</w:t>
            </w:r>
          </w:p>
        </w:tc>
        <w:tc>
          <w:tcPr>
            <w:tcW w:w="1496" w:type="dxa"/>
            <w:tcBorders>
              <w:top w:val="none" w:sz="0" w:space="0" w:color="auto"/>
              <w:bottom w:val="none" w:sz="0" w:space="0" w:color="auto"/>
            </w:tcBorders>
            <w:shd w:val="clear" w:color="auto" w:fill="F2F2F2" w:themeFill="background1" w:themeFillShade="F2"/>
          </w:tcPr>
          <w:p w14:paraId="35BA2C51" w14:textId="77777777" w:rsidR="0006359E" w:rsidRPr="00F171A3" w:rsidRDefault="0006359E" w:rsidP="00F31936">
            <w:pPr>
              <w:jc w:val="center"/>
              <w:rPr>
                <w:sz w:val="20"/>
                <w:szCs w:val="20"/>
              </w:rPr>
            </w:pPr>
            <w:r w:rsidRPr="00F171A3">
              <w:rPr>
                <w:color w:val="000000"/>
                <w:sz w:val="20"/>
                <w:szCs w:val="20"/>
              </w:rPr>
              <w:t>713,716,258</w:t>
            </w:r>
          </w:p>
        </w:tc>
      </w:tr>
      <w:tr w:rsidR="0006359E" w:rsidRPr="00F171A3" w14:paraId="12174127" w14:textId="77777777" w:rsidTr="00F555EE">
        <w:tc>
          <w:tcPr>
            <w:tcW w:w="3302" w:type="dxa"/>
            <w:shd w:val="clear" w:color="auto" w:fill="F2F2F2" w:themeFill="background1" w:themeFillShade="F2"/>
          </w:tcPr>
          <w:p w14:paraId="1C25711D" w14:textId="77777777" w:rsidR="0006359E" w:rsidRPr="00F171A3" w:rsidRDefault="0006359E" w:rsidP="00F31936">
            <w:pPr>
              <w:jc w:val="center"/>
              <w:rPr>
                <w:sz w:val="20"/>
                <w:szCs w:val="20"/>
              </w:rPr>
            </w:pPr>
            <w:r w:rsidRPr="00F171A3">
              <w:rPr>
                <w:sz w:val="20"/>
                <w:szCs w:val="20"/>
              </w:rPr>
              <w:t>Cheltuieli executate / cheltuieli planificate inițial (%)</w:t>
            </w:r>
          </w:p>
        </w:tc>
        <w:tc>
          <w:tcPr>
            <w:tcW w:w="1496" w:type="dxa"/>
            <w:shd w:val="clear" w:color="auto" w:fill="F2F2F2" w:themeFill="background1" w:themeFillShade="F2"/>
          </w:tcPr>
          <w:p w14:paraId="63712705" w14:textId="77777777" w:rsidR="0006359E" w:rsidRPr="00F171A3" w:rsidRDefault="0006359E" w:rsidP="00F31936">
            <w:pPr>
              <w:jc w:val="center"/>
              <w:rPr>
                <w:sz w:val="20"/>
                <w:szCs w:val="20"/>
              </w:rPr>
            </w:pPr>
            <w:r w:rsidRPr="00F171A3">
              <w:rPr>
                <w:color w:val="000000"/>
                <w:sz w:val="20"/>
                <w:szCs w:val="20"/>
              </w:rPr>
              <w:t>95.51%</w:t>
            </w:r>
          </w:p>
        </w:tc>
        <w:tc>
          <w:tcPr>
            <w:tcW w:w="1496" w:type="dxa"/>
            <w:shd w:val="clear" w:color="auto" w:fill="F2F2F2" w:themeFill="background1" w:themeFillShade="F2"/>
          </w:tcPr>
          <w:p w14:paraId="06F2E195" w14:textId="77777777" w:rsidR="0006359E" w:rsidRPr="00F171A3" w:rsidRDefault="0006359E" w:rsidP="00F31936">
            <w:pPr>
              <w:jc w:val="center"/>
              <w:rPr>
                <w:sz w:val="20"/>
                <w:szCs w:val="20"/>
              </w:rPr>
            </w:pPr>
            <w:r w:rsidRPr="00F171A3">
              <w:rPr>
                <w:color w:val="000000"/>
                <w:sz w:val="20"/>
                <w:szCs w:val="20"/>
              </w:rPr>
              <w:t>101.64%</w:t>
            </w:r>
          </w:p>
        </w:tc>
        <w:tc>
          <w:tcPr>
            <w:tcW w:w="1496" w:type="dxa"/>
            <w:shd w:val="clear" w:color="auto" w:fill="F2F2F2" w:themeFill="background1" w:themeFillShade="F2"/>
          </w:tcPr>
          <w:p w14:paraId="2EC4C0C9" w14:textId="77777777" w:rsidR="0006359E" w:rsidRPr="00F171A3" w:rsidRDefault="0006359E" w:rsidP="00F31936">
            <w:pPr>
              <w:jc w:val="center"/>
              <w:rPr>
                <w:sz w:val="20"/>
                <w:szCs w:val="20"/>
              </w:rPr>
            </w:pPr>
            <w:r w:rsidRPr="00F171A3">
              <w:rPr>
                <w:color w:val="000000"/>
                <w:sz w:val="20"/>
                <w:szCs w:val="20"/>
              </w:rPr>
              <w:t>83.62%</w:t>
            </w:r>
          </w:p>
        </w:tc>
        <w:tc>
          <w:tcPr>
            <w:tcW w:w="1496" w:type="dxa"/>
            <w:shd w:val="clear" w:color="auto" w:fill="F2F2F2" w:themeFill="background1" w:themeFillShade="F2"/>
          </w:tcPr>
          <w:p w14:paraId="4D24A693" w14:textId="77777777" w:rsidR="0006359E" w:rsidRPr="00F171A3" w:rsidRDefault="0006359E" w:rsidP="00F31936">
            <w:pPr>
              <w:jc w:val="center"/>
              <w:rPr>
                <w:sz w:val="20"/>
                <w:szCs w:val="20"/>
              </w:rPr>
            </w:pPr>
            <w:r w:rsidRPr="00F171A3">
              <w:rPr>
                <w:color w:val="000000"/>
                <w:sz w:val="20"/>
                <w:szCs w:val="20"/>
              </w:rPr>
              <w:t>84.26%</w:t>
            </w:r>
          </w:p>
        </w:tc>
      </w:tr>
    </w:tbl>
    <w:p w14:paraId="212B304A" w14:textId="4960D926" w:rsidR="0006359E" w:rsidRPr="00F171A3" w:rsidRDefault="0006359E" w:rsidP="00AF2C45">
      <w:pPr>
        <w:jc w:val="right"/>
        <w:rPr>
          <w:color w:val="BFBFBF" w:themeColor="background1" w:themeShade="BF"/>
        </w:rPr>
      </w:pPr>
      <w:bookmarkStart w:id="353" w:name="_heading=h.30tazoa" w:colFirst="0" w:colLast="0"/>
      <w:bookmarkEnd w:id="353"/>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Primăria Sector</w:t>
      </w:r>
      <w:r w:rsidR="00135D70" w:rsidRPr="00F171A3">
        <w:rPr>
          <w:color w:val="BFBFBF" w:themeColor="background1" w:themeShade="BF"/>
        </w:rPr>
        <w:t>ului</w:t>
      </w:r>
      <w:r w:rsidRPr="00F171A3">
        <w:rPr>
          <w:color w:val="BFBFBF" w:themeColor="background1" w:themeShade="BF"/>
        </w:rPr>
        <w:t xml:space="preserve"> 2</w:t>
      </w:r>
    </w:p>
    <w:p w14:paraId="39E27846" w14:textId="3123AC6B" w:rsidR="0006359E" w:rsidRPr="00F171A3" w:rsidRDefault="00AF2C45" w:rsidP="00AF2C45">
      <w:pPr>
        <w:pStyle w:val="Caption"/>
        <w:rPr>
          <w:b w:val="0"/>
          <w:highlight w:val="yellow"/>
        </w:rPr>
      </w:pPr>
      <w:bookmarkStart w:id="354" w:name="_Toc126943300"/>
      <w:r w:rsidRPr="00F171A3">
        <w:t xml:space="preserve">Tabel </w:t>
      </w:r>
      <w:r w:rsidRPr="00F171A3">
        <w:fldChar w:fldCharType="begin"/>
      </w:r>
      <w:r w:rsidRPr="00F171A3">
        <w:instrText xml:space="preserve"> SEQ Tabel \* ARABIC </w:instrText>
      </w:r>
      <w:r w:rsidRPr="00F171A3">
        <w:fldChar w:fldCharType="separate"/>
      </w:r>
      <w:r w:rsidR="005A6DD8">
        <w:rPr>
          <w:noProof/>
        </w:rPr>
        <w:t>43</w:t>
      </w:r>
      <w:r w:rsidRPr="00F171A3">
        <w:fldChar w:fldCharType="end"/>
      </w:r>
      <w:r w:rsidRPr="00F171A3">
        <w:t xml:space="preserve"> </w:t>
      </w:r>
      <w:r w:rsidR="0006359E" w:rsidRPr="00F171A3">
        <w:t>Evoluția planificării cheltuielilor secțiunea de dezvoltare în perioada 2018-2021</w:t>
      </w:r>
      <w:bookmarkEnd w:id="354"/>
    </w:p>
    <w:tbl>
      <w:tblPr>
        <w:tblStyle w:val="ListTable3-Accent21"/>
        <w:tblW w:w="928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3302"/>
        <w:gridCol w:w="1496"/>
        <w:gridCol w:w="1496"/>
        <w:gridCol w:w="1496"/>
        <w:gridCol w:w="1496"/>
      </w:tblGrid>
      <w:tr w:rsidR="0006359E" w:rsidRPr="00F171A3" w14:paraId="05DB1B94" w14:textId="77777777" w:rsidTr="00F555EE">
        <w:trPr>
          <w:cnfStyle w:val="100000000000" w:firstRow="1" w:lastRow="0" w:firstColumn="0" w:lastColumn="0" w:oddVBand="0" w:evenVBand="0" w:oddHBand="0" w:evenHBand="0" w:firstRowFirstColumn="0" w:firstRowLastColumn="0" w:lastRowFirstColumn="0" w:lastRowLastColumn="0"/>
        </w:trPr>
        <w:tc>
          <w:tcPr>
            <w:tcW w:w="3302" w:type="dxa"/>
          </w:tcPr>
          <w:p w14:paraId="402CE381" w14:textId="77777777" w:rsidR="0006359E" w:rsidRPr="00F171A3" w:rsidRDefault="0006359E" w:rsidP="00F31936">
            <w:pPr>
              <w:jc w:val="center"/>
              <w:rPr>
                <w:sz w:val="20"/>
                <w:szCs w:val="20"/>
              </w:rPr>
            </w:pPr>
          </w:p>
        </w:tc>
        <w:tc>
          <w:tcPr>
            <w:tcW w:w="1496" w:type="dxa"/>
          </w:tcPr>
          <w:p w14:paraId="1520B00C" w14:textId="77777777" w:rsidR="0006359E" w:rsidRPr="00F171A3" w:rsidRDefault="0006359E" w:rsidP="00F31936">
            <w:pPr>
              <w:jc w:val="center"/>
              <w:rPr>
                <w:sz w:val="20"/>
                <w:szCs w:val="20"/>
              </w:rPr>
            </w:pPr>
            <w:r w:rsidRPr="00F171A3">
              <w:rPr>
                <w:sz w:val="20"/>
                <w:szCs w:val="20"/>
              </w:rPr>
              <w:t>2021</w:t>
            </w:r>
          </w:p>
        </w:tc>
        <w:tc>
          <w:tcPr>
            <w:tcW w:w="1496" w:type="dxa"/>
          </w:tcPr>
          <w:p w14:paraId="220E6A38" w14:textId="77777777" w:rsidR="0006359E" w:rsidRPr="00F171A3" w:rsidRDefault="0006359E" w:rsidP="00F31936">
            <w:pPr>
              <w:jc w:val="center"/>
              <w:rPr>
                <w:sz w:val="20"/>
                <w:szCs w:val="20"/>
              </w:rPr>
            </w:pPr>
            <w:r w:rsidRPr="00F171A3">
              <w:rPr>
                <w:sz w:val="20"/>
                <w:szCs w:val="20"/>
              </w:rPr>
              <w:t>2020</w:t>
            </w:r>
          </w:p>
        </w:tc>
        <w:tc>
          <w:tcPr>
            <w:tcW w:w="1496" w:type="dxa"/>
          </w:tcPr>
          <w:p w14:paraId="1E0DA01E" w14:textId="77777777" w:rsidR="0006359E" w:rsidRPr="00F171A3" w:rsidRDefault="0006359E" w:rsidP="00F31936">
            <w:pPr>
              <w:jc w:val="center"/>
              <w:rPr>
                <w:sz w:val="20"/>
                <w:szCs w:val="20"/>
              </w:rPr>
            </w:pPr>
            <w:r w:rsidRPr="00F171A3">
              <w:rPr>
                <w:sz w:val="20"/>
                <w:szCs w:val="20"/>
              </w:rPr>
              <w:t>2019</w:t>
            </w:r>
          </w:p>
        </w:tc>
        <w:tc>
          <w:tcPr>
            <w:tcW w:w="1496" w:type="dxa"/>
          </w:tcPr>
          <w:p w14:paraId="0BC4541A" w14:textId="77777777" w:rsidR="0006359E" w:rsidRPr="00F171A3" w:rsidRDefault="0006359E" w:rsidP="00F31936">
            <w:pPr>
              <w:jc w:val="center"/>
              <w:rPr>
                <w:sz w:val="20"/>
                <w:szCs w:val="20"/>
              </w:rPr>
            </w:pPr>
            <w:r w:rsidRPr="00F171A3">
              <w:rPr>
                <w:sz w:val="20"/>
                <w:szCs w:val="20"/>
              </w:rPr>
              <w:t>2018</w:t>
            </w:r>
          </w:p>
        </w:tc>
      </w:tr>
      <w:tr w:rsidR="0006359E" w:rsidRPr="00F171A3" w14:paraId="34DF1883"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3302" w:type="dxa"/>
            <w:tcBorders>
              <w:top w:val="none" w:sz="0" w:space="0" w:color="auto"/>
              <w:bottom w:val="none" w:sz="0" w:space="0" w:color="auto"/>
            </w:tcBorders>
            <w:shd w:val="clear" w:color="auto" w:fill="F2F2F2" w:themeFill="background1" w:themeFillShade="F2"/>
          </w:tcPr>
          <w:p w14:paraId="41BD9DBC" w14:textId="77777777" w:rsidR="0006359E" w:rsidRPr="00F171A3" w:rsidRDefault="0006359E" w:rsidP="00F31936">
            <w:pPr>
              <w:jc w:val="center"/>
              <w:rPr>
                <w:sz w:val="20"/>
                <w:szCs w:val="20"/>
              </w:rPr>
            </w:pPr>
            <w:r w:rsidRPr="00F171A3">
              <w:rPr>
                <w:color w:val="000000"/>
                <w:sz w:val="20"/>
                <w:szCs w:val="20"/>
              </w:rPr>
              <w:t>Cheltuieli planificate buget inițial secțiunea de dezvoltare</w:t>
            </w:r>
          </w:p>
        </w:tc>
        <w:tc>
          <w:tcPr>
            <w:tcW w:w="1496" w:type="dxa"/>
            <w:tcBorders>
              <w:top w:val="none" w:sz="0" w:space="0" w:color="auto"/>
              <w:bottom w:val="none" w:sz="0" w:space="0" w:color="auto"/>
            </w:tcBorders>
            <w:shd w:val="clear" w:color="auto" w:fill="F2F2F2" w:themeFill="background1" w:themeFillShade="F2"/>
          </w:tcPr>
          <w:p w14:paraId="22590C24" w14:textId="77777777" w:rsidR="0006359E" w:rsidRPr="00F171A3" w:rsidRDefault="0006359E" w:rsidP="00F31936">
            <w:pPr>
              <w:jc w:val="center"/>
              <w:rPr>
                <w:sz w:val="20"/>
                <w:szCs w:val="20"/>
              </w:rPr>
            </w:pPr>
            <w:r w:rsidRPr="00F171A3">
              <w:rPr>
                <w:color w:val="000000"/>
                <w:sz w:val="20"/>
                <w:szCs w:val="20"/>
              </w:rPr>
              <w:t>297,161,000</w:t>
            </w:r>
          </w:p>
        </w:tc>
        <w:tc>
          <w:tcPr>
            <w:tcW w:w="1496" w:type="dxa"/>
            <w:tcBorders>
              <w:top w:val="none" w:sz="0" w:space="0" w:color="auto"/>
              <w:bottom w:val="none" w:sz="0" w:space="0" w:color="auto"/>
            </w:tcBorders>
            <w:shd w:val="clear" w:color="auto" w:fill="F2F2F2" w:themeFill="background1" w:themeFillShade="F2"/>
          </w:tcPr>
          <w:p w14:paraId="4D33888F" w14:textId="77777777" w:rsidR="0006359E" w:rsidRPr="00F171A3" w:rsidRDefault="0006359E" w:rsidP="00F31936">
            <w:pPr>
              <w:jc w:val="center"/>
              <w:rPr>
                <w:sz w:val="20"/>
                <w:szCs w:val="20"/>
              </w:rPr>
            </w:pPr>
            <w:r w:rsidRPr="00F171A3">
              <w:rPr>
                <w:color w:val="000000"/>
                <w:sz w:val="20"/>
                <w:szCs w:val="20"/>
              </w:rPr>
              <w:t>388,646,000</w:t>
            </w:r>
          </w:p>
        </w:tc>
        <w:tc>
          <w:tcPr>
            <w:tcW w:w="1496" w:type="dxa"/>
            <w:tcBorders>
              <w:top w:val="none" w:sz="0" w:space="0" w:color="auto"/>
              <w:bottom w:val="none" w:sz="0" w:space="0" w:color="auto"/>
            </w:tcBorders>
            <w:shd w:val="clear" w:color="auto" w:fill="F2F2F2" w:themeFill="background1" w:themeFillShade="F2"/>
          </w:tcPr>
          <w:p w14:paraId="4D0ABABA" w14:textId="77777777" w:rsidR="0006359E" w:rsidRPr="00F171A3" w:rsidRDefault="0006359E" w:rsidP="00F31936">
            <w:pPr>
              <w:jc w:val="center"/>
              <w:rPr>
                <w:sz w:val="20"/>
                <w:szCs w:val="20"/>
              </w:rPr>
            </w:pPr>
            <w:r w:rsidRPr="00F171A3">
              <w:rPr>
                <w:color w:val="000000"/>
                <w:sz w:val="20"/>
                <w:szCs w:val="20"/>
              </w:rPr>
              <w:t>338,733,000</w:t>
            </w:r>
          </w:p>
        </w:tc>
        <w:tc>
          <w:tcPr>
            <w:tcW w:w="1496" w:type="dxa"/>
            <w:tcBorders>
              <w:top w:val="none" w:sz="0" w:space="0" w:color="auto"/>
              <w:bottom w:val="none" w:sz="0" w:space="0" w:color="auto"/>
            </w:tcBorders>
            <w:shd w:val="clear" w:color="auto" w:fill="F2F2F2" w:themeFill="background1" w:themeFillShade="F2"/>
          </w:tcPr>
          <w:p w14:paraId="2FAA572D" w14:textId="77777777" w:rsidR="0006359E" w:rsidRPr="00F171A3" w:rsidRDefault="0006359E" w:rsidP="00F31936">
            <w:pPr>
              <w:jc w:val="center"/>
              <w:rPr>
                <w:sz w:val="20"/>
                <w:szCs w:val="20"/>
              </w:rPr>
            </w:pPr>
            <w:r w:rsidRPr="00F171A3">
              <w:rPr>
                <w:color w:val="000000"/>
                <w:sz w:val="20"/>
                <w:szCs w:val="20"/>
              </w:rPr>
              <w:t>254,279,000</w:t>
            </w:r>
          </w:p>
        </w:tc>
      </w:tr>
      <w:tr w:rsidR="0006359E" w:rsidRPr="00F171A3" w14:paraId="61972126" w14:textId="77777777" w:rsidTr="00F555EE">
        <w:tc>
          <w:tcPr>
            <w:tcW w:w="3302" w:type="dxa"/>
            <w:shd w:val="clear" w:color="auto" w:fill="F2F2F2" w:themeFill="background1" w:themeFillShade="F2"/>
          </w:tcPr>
          <w:p w14:paraId="6DBC3826" w14:textId="77777777" w:rsidR="0006359E" w:rsidRPr="00F171A3" w:rsidRDefault="0006359E" w:rsidP="00F31936">
            <w:pPr>
              <w:jc w:val="center"/>
              <w:rPr>
                <w:sz w:val="20"/>
                <w:szCs w:val="20"/>
              </w:rPr>
            </w:pPr>
            <w:r w:rsidRPr="00F171A3">
              <w:rPr>
                <w:color w:val="000000"/>
                <w:sz w:val="20"/>
                <w:szCs w:val="20"/>
              </w:rPr>
              <w:t>Cheltuieli planificate buget final secțiunea de dezvoltare</w:t>
            </w:r>
          </w:p>
        </w:tc>
        <w:tc>
          <w:tcPr>
            <w:tcW w:w="1496" w:type="dxa"/>
            <w:shd w:val="clear" w:color="auto" w:fill="F2F2F2" w:themeFill="background1" w:themeFillShade="F2"/>
          </w:tcPr>
          <w:p w14:paraId="68C2EC7C" w14:textId="77777777" w:rsidR="0006359E" w:rsidRPr="00F171A3" w:rsidRDefault="0006359E" w:rsidP="00F31936">
            <w:pPr>
              <w:jc w:val="center"/>
              <w:rPr>
                <w:sz w:val="20"/>
                <w:szCs w:val="20"/>
              </w:rPr>
            </w:pPr>
            <w:r w:rsidRPr="00F171A3">
              <w:rPr>
                <w:color w:val="000000"/>
                <w:sz w:val="20"/>
                <w:szCs w:val="20"/>
              </w:rPr>
              <w:t>371,259,000</w:t>
            </w:r>
          </w:p>
        </w:tc>
        <w:tc>
          <w:tcPr>
            <w:tcW w:w="1496" w:type="dxa"/>
            <w:shd w:val="clear" w:color="auto" w:fill="F2F2F2" w:themeFill="background1" w:themeFillShade="F2"/>
          </w:tcPr>
          <w:p w14:paraId="18F7336E" w14:textId="77777777" w:rsidR="0006359E" w:rsidRPr="00F171A3" w:rsidRDefault="0006359E" w:rsidP="00F31936">
            <w:pPr>
              <w:jc w:val="center"/>
              <w:rPr>
                <w:sz w:val="20"/>
                <w:szCs w:val="20"/>
              </w:rPr>
            </w:pPr>
            <w:r w:rsidRPr="00F171A3">
              <w:rPr>
                <w:color w:val="000000"/>
                <w:sz w:val="20"/>
                <w:szCs w:val="20"/>
              </w:rPr>
              <w:t>215,760,000</w:t>
            </w:r>
          </w:p>
        </w:tc>
        <w:tc>
          <w:tcPr>
            <w:tcW w:w="1496" w:type="dxa"/>
            <w:shd w:val="clear" w:color="auto" w:fill="F2F2F2" w:themeFill="background1" w:themeFillShade="F2"/>
          </w:tcPr>
          <w:p w14:paraId="5E7CC964" w14:textId="77777777" w:rsidR="0006359E" w:rsidRPr="00F171A3" w:rsidRDefault="0006359E" w:rsidP="00F31936">
            <w:pPr>
              <w:jc w:val="center"/>
              <w:rPr>
                <w:sz w:val="20"/>
                <w:szCs w:val="20"/>
              </w:rPr>
            </w:pPr>
            <w:r w:rsidRPr="00F171A3">
              <w:rPr>
                <w:color w:val="000000"/>
                <w:sz w:val="20"/>
                <w:szCs w:val="20"/>
              </w:rPr>
              <w:t>350,274,000</w:t>
            </w:r>
          </w:p>
        </w:tc>
        <w:tc>
          <w:tcPr>
            <w:tcW w:w="1496" w:type="dxa"/>
            <w:shd w:val="clear" w:color="auto" w:fill="F2F2F2" w:themeFill="background1" w:themeFillShade="F2"/>
          </w:tcPr>
          <w:p w14:paraId="7446F7A3" w14:textId="77777777" w:rsidR="0006359E" w:rsidRPr="00F171A3" w:rsidRDefault="0006359E" w:rsidP="00F31936">
            <w:pPr>
              <w:jc w:val="center"/>
              <w:rPr>
                <w:sz w:val="20"/>
                <w:szCs w:val="20"/>
              </w:rPr>
            </w:pPr>
            <w:r w:rsidRPr="00F171A3">
              <w:rPr>
                <w:color w:val="000000"/>
                <w:sz w:val="20"/>
                <w:szCs w:val="20"/>
              </w:rPr>
              <w:t>205,117,000</w:t>
            </w:r>
          </w:p>
        </w:tc>
      </w:tr>
      <w:tr w:rsidR="0006359E" w:rsidRPr="00F171A3" w14:paraId="3C8C4202" w14:textId="77777777" w:rsidTr="00F555EE">
        <w:trPr>
          <w:cnfStyle w:val="000000100000" w:firstRow="0" w:lastRow="0" w:firstColumn="0" w:lastColumn="0" w:oddVBand="0" w:evenVBand="0" w:oddHBand="1" w:evenHBand="0" w:firstRowFirstColumn="0" w:firstRowLastColumn="0" w:lastRowFirstColumn="0" w:lastRowLastColumn="0"/>
        </w:trPr>
        <w:tc>
          <w:tcPr>
            <w:tcW w:w="3302" w:type="dxa"/>
            <w:tcBorders>
              <w:top w:val="none" w:sz="0" w:space="0" w:color="auto"/>
              <w:bottom w:val="none" w:sz="0" w:space="0" w:color="auto"/>
            </w:tcBorders>
            <w:shd w:val="clear" w:color="auto" w:fill="F2F2F2" w:themeFill="background1" w:themeFillShade="F2"/>
          </w:tcPr>
          <w:p w14:paraId="7DDF8F3C" w14:textId="77777777" w:rsidR="0006359E" w:rsidRPr="00F171A3" w:rsidRDefault="0006359E" w:rsidP="00F31936">
            <w:pPr>
              <w:jc w:val="center"/>
              <w:rPr>
                <w:sz w:val="20"/>
                <w:szCs w:val="20"/>
              </w:rPr>
            </w:pPr>
            <w:r w:rsidRPr="00F171A3">
              <w:rPr>
                <w:color w:val="000000"/>
                <w:sz w:val="20"/>
                <w:szCs w:val="20"/>
              </w:rPr>
              <w:t>Cheltuieli executate secțiunea de dezvoltare</w:t>
            </w:r>
          </w:p>
        </w:tc>
        <w:tc>
          <w:tcPr>
            <w:tcW w:w="1496" w:type="dxa"/>
            <w:tcBorders>
              <w:top w:val="none" w:sz="0" w:space="0" w:color="auto"/>
              <w:bottom w:val="none" w:sz="0" w:space="0" w:color="auto"/>
            </w:tcBorders>
            <w:shd w:val="clear" w:color="auto" w:fill="F2F2F2" w:themeFill="background1" w:themeFillShade="F2"/>
          </w:tcPr>
          <w:p w14:paraId="0486E83D" w14:textId="77777777" w:rsidR="0006359E" w:rsidRPr="00F171A3" w:rsidRDefault="0006359E" w:rsidP="00F31936">
            <w:pPr>
              <w:jc w:val="center"/>
              <w:rPr>
                <w:sz w:val="20"/>
                <w:szCs w:val="20"/>
              </w:rPr>
            </w:pPr>
            <w:r w:rsidRPr="00F171A3">
              <w:rPr>
                <w:color w:val="000000"/>
                <w:sz w:val="20"/>
                <w:szCs w:val="20"/>
              </w:rPr>
              <w:t>312,488,579</w:t>
            </w:r>
          </w:p>
        </w:tc>
        <w:tc>
          <w:tcPr>
            <w:tcW w:w="1496" w:type="dxa"/>
            <w:tcBorders>
              <w:top w:val="none" w:sz="0" w:space="0" w:color="auto"/>
              <w:bottom w:val="none" w:sz="0" w:space="0" w:color="auto"/>
            </w:tcBorders>
            <w:shd w:val="clear" w:color="auto" w:fill="F2F2F2" w:themeFill="background1" w:themeFillShade="F2"/>
          </w:tcPr>
          <w:p w14:paraId="46880DF4" w14:textId="77777777" w:rsidR="0006359E" w:rsidRPr="00F171A3" w:rsidRDefault="0006359E" w:rsidP="00F31936">
            <w:pPr>
              <w:jc w:val="center"/>
              <w:rPr>
                <w:sz w:val="20"/>
                <w:szCs w:val="20"/>
              </w:rPr>
            </w:pPr>
            <w:r w:rsidRPr="00F171A3">
              <w:rPr>
                <w:color w:val="000000"/>
                <w:sz w:val="20"/>
                <w:szCs w:val="20"/>
              </w:rPr>
              <w:t>189,325,729</w:t>
            </w:r>
          </w:p>
        </w:tc>
        <w:tc>
          <w:tcPr>
            <w:tcW w:w="1496" w:type="dxa"/>
            <w:tcBorders>
              <w:top w:val="none" w:sz="0" w:space="0" w:color="auto"/>
              <w:bottom w:val="none" w:sz="0" w:space="0" w:color="auto"/>
            </w:tcBorders>
            <w:shd w:val="clear" w:color="auto" w:fill="F2F2F2" w:themeFill="background1" w:themeFillShade="F2"/>
          </w:tcPr>
          <w:p w14:paraId="6C8C2068" w14:textId="77777777" w:rsidR="0006359E" w:rsidRPr="00F171A3" w:rsidRDefault="0006359E" w:rsidP="00F31936">
            <w:pPr>
              <w:jc w:val="center"/>
              <w:rPr>
                <w:sz w:val="20"/>
                <w:szCs w:val="20"/>
              </w:rPr>
            </w:pPr>
            <w:r w:rsidRPr="00F171A3">
              <w:rPr>
                <w:color w:val="000000"/>
                <w:sz w:val="20"/>
                <w:szCs w:val="20"/>
              </w:rPr>
              <w:t>299,100,924</w:t>
            </w:r>
          </w:p>
        </w:tc>
        <w:tc>
          <w:tcPr>
            <w:tcW w:w="1496" w:type="dxa"/>
            <w:tcBorders>
              <w:top w:val="none" w:sz="0" w:space="0" w:color="auto"/>
              <w:bottom w:val="none" w:sz="0" w:space="0" w:color="auto"/>
            </w:tcBorders>
            <w:shd w:val="clear" w:color="auto" w:fill="F2F2F2" w:themeFill="background1" w:themeFillShade="F2"/>
          </w:tcPr>
          <w:p w14:paraId="56C41CA8" w14:textId="77777777" w:rsidR="0006359E" w:rsidRPr="00F171A3" w:rsidRDefault="0006359E" w:rsidP="00F31936">
            <w:pPr>
              <w:jc w:val="center"/>
              <w:rPr>
                <w:sz w:val="20"/>
                <w:szCs w:val="20"/>
              </w:rPr>
            </w:pPr>
            <w:r w:rsidRPr="00F171A3">
              <w:rPr>
                <w:color w:val="000000"/>
                <w:sz w:val="20"/>
                <w:szCs w:val="20"/>
              </w:rPr>
              <w:t>95,735,275</w:t>
            </w:r>
          </w:p>
        </w:tc>
      </w:tr>
      <w:tr w:rsidR="0006359E" w:rsidRPr="00F171A3" w14:paraId="42601F6D" w14:textId="77777777" w:rsidTr="00F555EE">
        <w:tc>
          <w:tcPr>
            <w:tcW w:w="3302" w:type="dxa"/>
            <w:shd w:val="clear" w:color="auto" w:fill="F2F2F2" w:themeFill="background1" w:themeFillShade="F2"/>
          </w:tcPr>
          <w:p w14:paraId="6BCD0C8F" w14:textId="77777777" w:rsidR="0006359E" w:rsidRPr="00F171A3" w:rsidRDefault="0006359E" w:rsidP="00F31936">
            <w:pPr>
              <w:jc w:val="center"/>
              <w:rPr>
                <w:sz w:val="20"/>
                <w:szCs w:val="20"/>
              </w:rPr>
            </w:pPr>
            <w:r w:rsidRPr="00F171A3">
              <w:rPr>
                <w:sz w:val="20"/>
                <w:szCs w:val="20"/>
              </w:rPr>
              <w:t>Cheltuieli executate / cheltuieli planificate inițial (%)</w:t>
            </w:r>
          </w:p>
        </w:tc>
        <w:tc>
          <w:tcPr>
            <w:tcW w:w="1496" w:type="dxa"/>
            <w:shd w:val="clear" w:color="auto" w:fill="F2F2F2" w:themeFill="background1" w:themeFillShade="F2"/>
          </w:tcPr>
          <w:p w14:paraId="3467AEE1" w14:textId="77777777" w:rsidR="0006359E" w:rsidRPr="00F171A3" w:rsidRDefault="0006359E" w:rsidP="00F31936">
            <w:pPr>
              <w:jc w:val="center"/>
              <w:rPr>
                <w:sz w:val="20"/>
                <w:szCs w:val="20"/>
              </w:rPr>
            </w:pPr>
            <w:r w:rsidRPr="00F171A3">
              <w:rPr>
                <w:color w:val="000000"/>
                <w:sz w:val="20"/>
                <w:szCs w:val="20"/>
              </w:rPr>
              <w:t>105.16%</w:t>
            </w:r>
          </w:p>
        </w:tc>
        <w:tc>
          <w:tcPr>
            <w:tcW w:w="1496" w:type="dxa"/>
            <w:shd w:val="clear" w:color="auto" w:fill="F2F2F2" w:themeFill="background1" w:themeFillShade="F2"/>
          </w:tcPr>
          <w:p w14:paraId="08ACBAFE" w14:textId="77777777" w:rsidR="0006359E" w:rsidRPr="00F171A3" w:rsidRDefault="0006359E" w:rsidP="00F31936">
            <w:pPr>
              <w:jc w:val="center"/>
              <w:rPr>
                <w:sz w:val="20"/>
                <w:szCs w:val="20"/>
              </w:rPr>
            </w:pPr>
            <w:r w:rsidRPr="00F171A3">
              <w:rPr>
                <w:color w:val="000000"/>
                <w:sz w:val="20"/>
                <w:szCs w:val="20"/>
              </w:rPr>
              <w:t>48.71%</w:t>
            </w:r>
          </w:p>
        </w:tc>
        <w:tc>
          <w:tcPr>
            <w:tcW w:w="1496" w:type="dxa"/>
            <w:shd w:val="clear" w:color="auto" w:fill="F2F2F2" w:themeFill="background1" w:themeFillShade="F2"/>
          </w:tcPr>
          <w:p w14:paraId="658E602A" w14:textId="77777777" w:rsidR="0006359E" w:rsidRPr="00F171A3" w:rsidRDefault="0006359E" w:rsidP="00F31936">
            <w:pPr>
              <w:jc w:val="center"/>
              <w:rPr>
                <w:sz w:val="20"/>
                <w:szCs w:val="20"/>
              </w:rPr>
            </w:pPr>
            <w:r w:rsidRPr="00F171A3">
              <w:rPr>
                <w:color w:val="000000"/>
                <w:sz w:val="20"/>
                <w:szCs w:val="20"/>
              </w:rPr>
              <w:t>88.30%</w:t>
            </w:r>
          </w:p>
        </w:tc>
        <w:tc>
          <w:tcPr>
            <w:tcW w:w="1496" w:type="dxa"/>
            <w:shd w:val="clear" w:color="auto" w:fill="F2F2F2" w:themeFill="background1" w:themeFillShade="F2"/>
          </w:tcPr>
          <w:p w14:paraId="220C0673" w14:textId="77777777" w:rsidR="0006359E" w:rsidRPr="00F171A3" w:rsidRDefault="0006359E" w:rsidP="00F31936">
            <w:pPr>
              <w:jc w:val="center"/>
              <w:rPr>
                <w:sz w:val="20"/>
                <w:szCs w:val="20"/>
              </w:rPr>
            </w:pPr>
            <w:r w:rsidRPr="00F171A3">
              <w:rPr>
                <w:color w:val="000000"/>
                <w:sz w:val="20"/>
                <w:szCs w:val="20"/>
              </w:rPr>
              <w:t>37.65%</w:t>
            </w:r>
          </w:p>
        </w:tc>
      </w:tr>
    </w:tbl>
    <w:p w14:paraId="7CA27488" w14:textId="31AE1F1E" w:rsidR="0006359E" w:rsidRPr="00F171A3" w:rsidRDefault="0006359E" w:rsidP="00AF2C45">
      <w:pPr>
        <w:jc w:val="right"/>
        <w:rPr>
          <w:color w:val="BFBFBF" w:themeColor="background1" w:themeShade="BF"/>
        </w:rPr>
      </w:pPr>
      <w:r w:rsidRPr="00F171A3">
        <w:rPr>
          <w:color w:val="BFBFBF" w:themeColor="background1" w:themeShade="BF"/>
        </w:rPr>
        <w:t>Sursă: Prelucrare proprie pe baza datelor publice prezentate de  Primăria Sector</w:t>
      </w:r>
      <w:r w:rsidR="00135D70" w:rsidRPr="00F171A3">
        <w:rPr>
          <w:color w:val="BFBFBF" w:themeColor="background1" w:themeShade="BF"/>
        </w:rPr>
        <w:t>ului</w:t>
      </w:r>
      <w:r w:rsidRPr="00F171A3">
        <w:rPr>
          <w:color w:val="BFBFBF" w:themeColor="background1" w:themeShade="BF"/>
        </w:rPr>
        <w:t xml:space="preserve"> 2</w:t>
      </w:r>
    </w:p>
    <w:p w14:paraId="7F5D80BC" w14:textId="77777777" w:rsidR="0006359E" w:rsidRPr="00F171A3" w:rsidRDefault="0006359E" w:rsidP="0006359E"/>
    <w:p w14:paraId="4120ABE6" w14:textId="77777777" w:rsidR="0006359E" w:rsidRPr="00F171A3" w:rsidRDefault="0006359E" w:rsidP="0006359E">
      <w:r w:rsidRPr="00F171A3">
        <w:t xml:space="preserve">Cheltuielile secțiunii de dezvoltare a municipalității au fost supra estimate semnificativ în perioada 2018-2020, cu un grad scăzut de realizare. În ceea ce ține de estimarea cheltuielilor cu proiectele FEN, acestea au fost supra estimate în toată perioada analizată, având un grad de execuție modest. Acest lucru poate fi de obicei explicat prin lipsa unor proiecte mature la nivelul administrației locale, preferința de a utiliza fonduri proprii sau împrumuturi pentru investiții, dar și lansarea cu întârziere a unor axe de finanțare. </w:t>
      </w:r>
    </w:p>
    <w:p w14:paraId="1D6F7D49" w14:textId="41778D36" w:rsidR="0006359E" w:rsidRPr="00F171A3" w:rsidRDefault="00AF2C45" w:rsidP="00AF2C45">
      <w:pPr>
        <w:pStyle w:val="Caption"/>
        <w:rPr>
          <w:b w:val="0"/>
        </w:rPr>
      </w:pPr>
      <w:bookmarkStart w:id="355" w:name="_heading=h.1fyl9w3" w:colFirst="0" w:colLast="0"/>
      <w:bookmarkStart w:id="356" w:name="_Toc126943301"/>
      <w:bookmarkEnd w:id="355"/>
      <w:r w:rsidRPr="00F171A3">
        <w:t xml:space="preserve">Tabel </w:t>
      </w:r>
      <w:r w:rsidRPr="00F171A3">
        <w:fldChar w:fldCharType="begin"/>
      </w:r>
      <w:r w:rsidRPr="00F171A3">
        <w:instrText xml:space="preserve"> SEQ Tabel \* ARABIC </w:instrText>
      </w:r>
      <w:r w:rsidRPr="00F171A3">
        <w:fldChar w:fldCharType="separate"/>
      </w:r>
      <w:r w:rsidR="005A6DD8">
        <w:rPr>
          <w:noProof/>
        </w:rPr>
        <w:t>44</w:t>
      </w:r>
      <w:r w:rsidRPr="00F171A3">
        <w:fldChar w:fldCharType="end"/>
      </w:r>
      <w:r w:rsidRPr="00F171A3">
        <w:t xml:space="preserve"> </w:t>
      </w:r>
      <w:r w:rsidR="0006359E" w:rsidRPr="00F171A3">
        <w:t>Evoluția planificării cheltuielilor cu proiecte FEN în perioada 2018-2021</w:t>
      </w:r>
      <w:bookmarkEnd w:id="356"/>
    </w:p>
    <w:tbl>
      <w:tblPr>
        <w:tblStyle w:val="ListTable3-Accent21"/>
        <w:tblW w:w="928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3302"/>
        <w:gridCol w:w="1496"/>
        <w:gridCol w:w="1496"/>
        <w:gridCol w:w="1496"/>
        <w:gridCol w:w="1496"/>
      </w:tblGrid>
      <w:tr w:rsidR="0006359E" w:rsidRPr="00F171A3" w14:paraId="29712CAD" w14:textId="77777777" w:rsidTr="00F555EE">
        <w:trPr>
          <w:cnfStyle w:val="100000000000" w:firstRow="1" w:lastRow="0" w:firstColumn="0" w:lastColumn="0" w:oddVBand="0" w:evenVBand="0" w:oddHBand="0" w:evenHBand="0" w:firstRowFirstColumn="0" w:firstRowLastColumn="0" w:lastRowFirstColumn="0" w:lastRowLastColumn="0"/>
        </w:trPr>
        <w:tc>
          <w:tcPr>
            <w:tcW w:w="3302" w:type="dxa"/>
          </w:tcPr>
          <w:p w14:paraId="59260E1E" w14:textId="77777777" w:rsidR="0006359E" w:rsidRPr="00F171A3" w:rsidRDefault="0006359E" w:rsidP="00F31936">
            <w:pPr>
              <w:jc w:val="center"/>
              <w:rPr>
                <w:sz w:val="20"/>
                <w:szCs w:val="20"/>
              </w:rPr>
            </w:pPr>
          </w:p>
        </w:tc>
        <w:tc>
          <w:tcPr>
            <w:tcW w:w="1496" w:type="dxa"/>
          </w:tcPr>
          <w:p w14:paraId="23F8825F" w14:textId="77777777" w:rsidR="0006359E" w:rsidRPr="00F171A3" w:rsidRDefault="0006359E" w:rsidP="00F31936">
            <w:pPr>
              <w:jc w:val="center"/>
              <w:rPr>
                <w:sz w:val="20"/>
                <w:szCs w:val="20"/>
              </w:rPr>
            </w:pPr>
            <w:r w:rsidRPr="00F171A3">
              <w:rPr>
                <w:sz w:val="20"/>
                <w:szCs w:val="20"/>
              </w:rPr>
              <w:t>2021</w:t>
            </w:r>
          </w:p>
        </w:tc>
        <w:tc>
          <w:tcPr>
            <w:tcW w:w="1496" w:type="dxa"/>
          </w:tcPr>
          <w:p w14:paraId="0FAE3874" w14:textId="77777777" w:rsidR="0006359E" w:rsidRPr="00F171A3" w:rsidRDefault="0006359E" w:rsidP="00F31936">
            <w:pPr>
              <w:jc w:val="center"/>
              <w:rPr>
                <w:sz w:val="20"/>
                <w:szCs w:val="20"/>
              </w:rPr>
            </w:pPr>
            <w:r w:rsidRPr="00F171A3">
              <w:rPr>
                <w:sz w:val="20"/>
                <w:szCs w:val="20"/>
              </w:rPr>
              <w:t>2020</w:t>
            </w:r>
          </w:p>
        </w:tc>
        <w:tc>
          <w:tcPr>
            <w:tcW w:w="1496" w:type="dxa"/>
          </w:tcPr>
          <w:p w14:paraId="29B867A0" w14:textId="77777777" w:rsidR="0006359E" w:rsidRPr="00F171A3" w:rsidRDefault="0006359E" w:rsidP="00F31936">
            <w:pPr>
              <w:jc w:val="center"/>
              <w:rPr>
                <w:sz w:val="20"/>
                <w:szCs w:val="20"/>
              </w:rPr>
            </w:pPr>
            <w:r w:rsidRPr="00F171A3">
              <w:rPr>
                <w:sz w:val="20"/>
                <w:szCs w:val="20"/>
              </w:rPr>
              <w:t>2019</w:t>
            </w:r>
          </w:p>
        </w:tc>
        <w:tc>
          <w:tcPr>
            <w:tcW w:w="1496" w:type="dxa"/>
          </w:tcPr>
          <w:p w14:paraId="226C226B" w14:textId="77777777" w:rsidR="0006359E" w:rsidRPr="00F171A3" w:rsidRDefault="0006359E" w:rsidP="00F31936">
            <w:pPr>
              <w:jc w:val="center"/>
              <w:rPr>
                <w:sz w:val="20"/>
                <w:szCs w:val="20"/>
              </w:rPr>
            </w:pPr>
            <w:r w:rsidRPr="00F171A3">
              <w:rPr>
                <w:sz w:val="20"/>
                <w:szCs w:val="20"/>
              </w:rPr>
              <w:t>2018</w:t>
            </w:r>
          </w:p>
        </w:tc>
      </w:tr>
      <w:tr w:rsidR="0006359E" w:rsidRPr="00F171A3" w14:paraId="6BBD44FB"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3302" w:type="dxa"/>
            <w:tcBorders>
              <w:top w:val="none" w:sz="0" w:space="0" w:color="auto"/>
              <w:bottom w:val="none" w:sz="0" w:space="0" w:color="auto"/>
            </w:tcBorders>
            <w:shd w:val="clear" w:color="auto" w:fill="F2F2F2" w:themeFill="background1" w:themeFillShade="F2"/>
          </w:tcPr>
          <w:p w14:paraId="75CBBF76" w14:textId="77777777" w:rsidR="0006359E" w:rsidRPr="00F171A3" w:rsidRDefault="0006359E" w:rsidP="00F31936">
            <w:pPr>
              <w:jc w:val="center"/>
              <w:rPr>
                <w:sz w:val="20"/>
                <w:szCs w:val="20"/>
              </w:rPr>
            </w:pPr>
            <w:r w:rsidRPr="00F171A3">
              <w:rPr>
                <w:color w:val="000000"/>
                <w:sz w:val="20"/>
                <w:szCs w:val="20"/>
              </w:rPr>
              <w:t xml:space="preserve">Cheltuieli planificate buget inițial </w:t>
            </w:r>
          </w:p>
        </w:tc>
        <w:tc>
          <w:tcPr>
            <w:tcW w:w="1496" w:type="dxa"/>
            <w:tcBorders>
              <w:top w:val="none" w:sz="0" w:space="0" w:color="auto"/>
              <w:bottom w:val="none" w:sz="0" w:space="0" w:color="auto"/>
            </w:tcBorders>
            <w:shd w:val="clear" w:color="auto" w:fill="F2F2F2" w:themeFill="background1" w:themeFillShade="F2"/>
          </w:tcPr>
          <w:p w14:paraId="247D112C" w14:textId="77777777" w:rsidR="0006359E" w:rsidRPr="00F171A3" w:rsidRDefault="0006359E" w:rsidP="00F31936">
            <w:pPr>
              <w:jc w:val="center"/>
              <w:rPr>
                <w:sz w:val="20"/>
                <w:szCs w:val="20"/>
              </w:rPr>
            </w:pPr>
            <w:r w:rsidRPr="00F171A3">
              <w:rPr>
                <w:color w:val="000000"/>
                <w:sz w:val="20"/>
                <w:szCs w:val="20"/>
              </w:rPr>
              <w:t>33,698,000</w:t>
            </w:r>
          </w:p>
        </w:tc>
        <w:tc>
          <w:tcPr>
            <w:tcW w:w="1496" w:type="dxa"/>
            <w:tcBorders>
              <w:top w:val="none" w:sz="0" w:space="0" w:color="auto"/>
              <w:bottom w:val="none" w:sz="0" w:space="0" w:color="auto"/>
            </w:tcBorders>
            <w:shd w:val="clear" w:color="auto" w:fill="F2F2F2" w:themeFill="background1" w:themeFillShade="F2"/>
          </w:tcPr>
          <w:p w14:paraId="6D088FD6" w14:textId="77777777" w:rsidR="0006359E" w:rsidRPr="00F171A3" w:rsidRDefault="0006359E" w:rsidP="00F31936">
            <w:pPr>
              <w:jc w:val="center"/>
              <w:rPr>
                <w:sz w:val="20"/>
                <w:szCs w:val="20"/>
              </w:rPr>
            </w:pPr>
            <w:r w:rsidRPr="00F171A3">
              <w:rPr>
                <w:color w:val="000000"/>
                <w:sz w:val="20"/>
                <w:szCs w:val="20"/>
              </w:rPr>
              <w:t>30,616,000</w:t>
            </w:r>
          </w:p>
        </w:tc>
        <w:tc>
          <w:tcPr>
            <w:tcW w:w="1496" w:type="dxa"/>
            <w:tcBorders>
              <w:top w:val="none" w:sz="0" w:space="0" w:color="auto"/>
              <w:bottom w:val="none" w:sz="0" w:space="0" w:color="auto"/>
            </w:tcBorders>
            <w:shd w:val="clear" w:color="auto" w:fill="F2F2F2" w:themeFill="background1" w:themeFillShade="F2"/>
          </w:tcPr>
          <w:p w14:paraId="7C82F030" w14:textId="77777777" w:rsidR="0006359E" w:rsidRPr="00F171A3" w:rsidRDefault="0006359E" w:rsidP="00F31936">
            <w:pPr>
              <w:jc w:val="center"/>
              <w:rPr>
                <w:sz w:val="20"/>
                <w:szCs w:val="20"/>
              </w:rPr>
            </w:pPr>
            <w:r w:rsidRPr="00F171A3">
              <w:rPr>
                <w:color w:val="000000"/>
                <w:sz w:val="20"/>
                <w:szCs w:val="20"/>
              </w:rPr>
              <w:t>20,207,000</w:t>
            </w:r>
          </w:p>
        </w:tc>
        <w:tc>
          <w:tcPr>
            <w:tcW w:w="1496" w:type="dxa"/>
            <w:tcBorders>
              <w:top w:val="none" w:sz="0" w:space="0" w:color="auto"/>
              <w:bottom w:val="none" w:sz="0" w:space="0" w:color="auto"/>
            </w:tcBorders>
            <w:shd w:val="clear" w:color="auto" w:fill="F2F2F2" w:themeFill="background1" w:themeFillShade="F2"/>
          </w:tcPr>
          <w:p w14:paraId="46454D8F" w14:textId="77777777" w:rsidR="0006359E" w:rsidRPr="00F171A3" w:rsidRDefault="0006359E" w:rsidP="00F31936">
            <w:pPr>
              <w:jc w:val="center"/>
              <w:rPr>
                <w:sz w:val="20"/>
                <w:szCs w:val="20"/>
              </w:rPr>
            </w:pPr>
            <w:r w:rsidRPr="00F171A3">
              <w:rPr>
                <w:color w:val="000000"/>
                <w:sz w:val="20"/>
                <w:szCs w:val="20"/>
              </w:rPr>
              <w:t>2,205,000</w:t>
            </w:r>
          </w:p>
        </w:tc>
      </w:tr>
      <w:tr w:rsidR="0006359E" w:rsidRPr="00F171A3" w14:paraId="10B0335D" w14:textId="77777777" w:rsidTr="00F555EE">
        <w:tc>
          <w:tcPr>
            <w:tcW w:w="3302" w:type="dxa"/>
            <w:shd w:val="clear" w:color="auto" w:fill="F2F2F2" w:themeFill="background1" w:themeFillShade="F2"/>
          </w:tcPr>
          <w:p w14:paraId="570C4FD0" w14:textId="77777777" w:rsidR="0006359E" w:rsidRPr="00F171A3" w:rsidRDefault="0006359E" w:rsidP="00F31936">
            <w:pPr>
              <w:jc w:val="center"/>
              <w:rPr>
                <w:sz w:val="20"/>
                <w:szCs w:val="20"/>
              </w:rPr>
            </w:pPr>
            <w:r w:rsidRPr="00F171A3">
              <w:rPr>
                <w:color w:val="000000"/>
                <w:sz w:val="20"/>
                <w:szCs w:val="20"/>
              </w:rPr>
              <w:t xml:space="preserve">Cheltuieli planificate buget final </w:t>
            </w:r>
          </w:p>
        </w:tc>
        <w:tc>
          <w:tcPr>
            <w:tcW w:w="1496" w:type="dxa"/>
            <w:shd w:val="clear" w:color="auto" w:fill="F2F2F2" w:themeFill="background1" w:themeFillShade="F2"/>
          </w:tcPr>
          <w:p w14:paraId="0E5EB781" w14:textId="77777777" w:rsidR="0006359E" w:rsidRPr="00F171A3" w:rsidRDefault="0006359E" w:rsidP="00F31936">
            <w:pPr>
              <w:jc w:val="center"/>
              <w:rPr>
                <w:sz w:val="20"/>
                <w:szCs w:val="20"/>
              </w:rPr>
            </w:pPr>
            <w:r w:rsidRPr="00F171A3">
              <w:rPr>
                <w:color w:val="000000"/>
                <w:sz w:val="20"/>
                <w:szCs w:val="20"/>
              </w:rPr>
              <w:t>5,807,000</w:t>
            </w:r>
          </w:p>
        </w:tc>
        <w:tc>
          <w:tcPr>
            <w:tcW w:w="1496" w:type="dxa"/>
            <w:shd w:val="clear" w:color="auto" w:fill="F2F2F2" w:themeFill="background1" w:themeFillShade="F2"/>
          </w:tcPr>
          <w:p w14:paraId="62B29AA4" w14:textId="77777777" w:rsidR="0006359E" w:rsidRPr="00F171A3" w:rsidRDefault="0006359E" w:rsidP="00F31936">
            <w:pPr>
              <w:jc w:val="center"/>
              <w:rPr>
                <w:sz w:val="20"/>
                <w:szCs w:val="20"/>
              </w:rPr>
            </w:pPr>
            <w:r w:rsidRPr="00F171A3">
              <w:rPr>
                <w:color w:val="000000"/>
                <w:sz w:val="20"/>
                <w:szCs w:val="20"/>
              </w:rPr>
              <w:t>11,934,000</w:t>
            </w:r>
          </w:p>
        </w:tc>
        <w:tc>
          <w:tcPr>
            <w:tcW w:w="1496" w:type="dxa"/>
            <w:shd w:val="clear" w:color="auto" w:fill="F2F2F2" w:themeFill="background1" w:themeFillShade="F2"/>
          </w:tcPr>
          <w:p w14:paraId="78E36A0E" w14:textId="77777777" w:rsidR="0006359E" w:rsidRPr="00F171A3" w:rsidRDefault="0006359E" w:rsidP="00F31936">
            <w:pPr>
              <w:jc w:val="center"/>
              <w:rPr>
                <w:sz w:val="20"/>
                <w:szCs w:val="20"/>
              </w:rPr>
            </w:pPr>
            <w:r w:rsidRPr="00F171A3">
              <w:rPr>
                <w:color w:val="000000"/>
                <w:sz w:val="20"/>
                <w:szCs w:val="20"/>
              </w:rPr>
              <w:t>15,565,000</w:t>
            </w:r>
          </w:p>
        </w:tc>
        <w:tc>
          <w:tcPr>
            <w:tcW w:w="1496" w:type="dxa"/>
            <w:shd w:val="clear" w:color="auto" w:fill="F2F2F2" w:themeFill="background1" w:themeFillShade="F2"/>
          </w:tcPr>
          <w:p w14:paraId="47688B2E" w14:textId="77777777" w:rsidR="0006359E" w:rsidRPr="00F171A3" w:rsidRDefault="0006359E" w:rsidP="00F31936">
            <w:pPr>
              <w:jc w:val="center"/>
              <w:rPr>
                <w:sz w:val="20"/>
                <w:szCs w:val="20"/>
              </w:rPr>
            </w:pPr>
            <w:r w:rsidRPr="00F171A3">
              <w:rPr>
                <w:color w:val="000000"/>
                <w:sz w:val="20"/>
                <w:szCs w:val="20"/>
              </w:rPr>
              <w:t>12,411,000</w:t>
            </w:r>
          </w:p>
        </w:tc>
      </w:tr>
      <w:tr w:rsidR="0006359E" w:rsidRPr="00F171A3" w14:paraId="724965E0" w14:textId="77777777" w:rsidTr="00F555EE">
        <w:trPr>
          <w:cnfStyle w:val="000000100000" w:firstRow="0" w:lastRow="0" w:firstColumn="0" w:lastColumn="0" w:oddVBand="0" w:evenVBand="0" w:oddHBand="1" w:evenHBand="0" w:firstRowFirstColumn="0" w:firstRowLastColumn="0" w:lastRowFirstColumn="0" w:lastRowLastColumn="0"/>
        </w:trPr>
        <w:tc>
          <w:tcPr>
            <w:tcW w:w="3302" w:type="dxa"/>
            <w:tcBorders>
              <w:top w:val="none" w:sz="0" w:space="0" w:color="auto"/>
              <w:bottom w:val="none" w:sz="0" w:space="0" w:color="auto"/>
            </w:tcBorders>
            <w:shd w:val="clear" w:color="auto" w:fill="F2F2F2" w:themeFill="background1" w:themeFillShade="F2"/>
          </w:tcPr>
          <w:p w14:paraId="52AF2D7B" w14:textId="77777777" w:rsidR="0006359E" w:rsidRPr="00F171A3" w:rsidRDefault="0006359E" w:rsidP="00F31936">
            <w:pPr>
              <w:jc w:val="center"/>
              <w:rPr>
                <w:sz w:val="20"/>
                <w:szCs w:val="20"/>
              </w:rPr>
            </w:pPr>
            <w:r w:rsidRPr="00F171A3">
              <w:rPr>
                <w:color w:val="000000"/>
                <w:sz w:val="20"/>
                <w:szCs w:val="20"/>
              </w:rPr>
              <w:t xml:space="preserve">Cheltuieli executate </w:t>
            </w:r>
          </w:p>
        </w:tc>
        <w:tc>
          <w:tcPr>
            <w:tcW w:w="1496" w:type="dxa"/>
            <w:tcBorders>
              <w:top w:val="none" w:sz="0" w:space="0" w:color="auto"/>
              <w:bottom w:val="none" w:sz="0" w:space="0" w:color="auto"/>
            </w:tcBorders>
            <w:shd w:val="clear" w:color="auto" w:fill="F2F2F2" w:themeFill="background1" w:themeFillShade="F2"/>
          </w:tcPr>
          <w:p w14:paraId="2570B874" w14:textId="77777777" w:rsidR="0006359E" w:rsidRPr="00F171A3" w:rsidRDefault="0006359E" w:rsidP="00F31936">
            <w:pPr>
              <w:jc w:val="center"/>
              <w:rPr>
                <w:sz w:val="20"/>
                <w:szCs w:val="20"/>
              </w:rPr>
            </w:pPr>
            <w:r w:rsidRPr="00F171A3">
              <w:rPr>
                <w:color w:val="000000"/>
                <w:sz w:val="20"/>
                <w:szCs w:val="20"/>
              </w:rPr>
              <w:t>2,974,860</w:t>
            </w:r>
          </w:p>
        </w:tc>
        <w:tc>
          <w:tcPr>
            <w:tcW w:w="1496" w:type="dxa"/>
            <w:tcBorders>
              <w:top w:val="none" w:sz="0" w:space="0" w:color="auto"/>
              <w:bottom w:val="none" w:sz="0" w:space="0" w:color="auto"/>
            </w:tcBorders>
            <w:shd w:val="clear" w:color="auto" w:fill="F2F2F2" w:themeFill="background1" w:themeFillShade="F2"/>
          </w:tcPr>
          <w:p w14:paraId="7060FBC6" w14:textId="77777777" w:rsidR="0006359E" w:rsidRPr="00F171A3" w:rsidRDefault="0006359E" w:rsidP="00F31936">
            <w:pPr>
              <w:jc w:val="center"/>
              <w:rPr>
                <w:sz w:val="20"/>
                <w:szCs w:val="20"/>
              </w:rPr>
            </w:pPr>
            <w:r w:rsidRPr="00F171A3">
              <w:rPr>
                <w:color w:val="000000"/>
                <w:sz w:val="20"/>
                <w:szCs w:val="20"/>
              </w:rPr>
              <w:t>6,898,304</w:t>
            </w:r>
          </w:p>
        </w:tc>
        <w:tc>
          <w:tcPr>
            <w:tcW w:w="1496" w:type="dxa"/>
            <w:tcBorders>
              <w:top w:val="none" w:sz="0" w:space="0" w:color="auto"/>
              <w:bottom w:val="none" w:sz="0" w:space="0" w:color="auto"/>
            </w:tcBorders>
            <w:shd w:val="clear" w:color="auto" w:fill="F2F2F2" w:themeFill="background1" w:themeFillShade="F2"/>
          </w:tcPr>
          <w:p w14:paraId="53A7DFA0" w14:textId="77777777" w:rsidR="0006359E" w:rsidRPr="00F171A3" w:rsidRDefault="0006359E" w:rsidP="00F31936">
            <w:pPr>
              <w:jc w:val="center"/>
              <w:rPr>
                <w:sz w:val="20"/>
                <w:szCs w:val="20"/>
              </w:rPr>
            </w:pPr>
            <w:r w:rsidRPr="00F171A3">
              <w:rPr>
                <w:color w:val="000000"/>
                <w:sz w:val="20"/>
                <w:szCs w:val="20"/>
              </w:rPr>
              <w:t>11,081,548</w:t>
            </w:r>
          </w:p>
        </w:tc>
        <w:tc>
          <w:tcPr>
            <w:tcW w:w="1496" w:type="dxa"/>
            <w:tcBorders>
              <w:top w:val="none" w:sz="0" w:space="0" w:color="auto"/>
              <w:bottom w:val="none" w:sz="0" w:space="0" w:color="auto"/>
            </w:tcBorders>
            <w:shd w:val="clear" w:color="auto" w:fill="F2F2F2" w:themeFill="background1" w:themeFillShade="F2"/>
          </w:tcPr>
          <w:p w14:paraId="6A3AF156" w14:textId="77777777" w:rsidR="0006359E" w:rsidRPr="00F171A3" w:rsidRDefault="0006359E" w:rsidP="00F31936">
            <w:pPr>
              <w:jc w:val="center"/>
              <w:rPr>
                <w:sz w:val="20"/>
                <w:szCs w:val="20"/>
              </w:rPr>
            </w:pPr>
            <w:r w:rsidRPr="00F171A3">
              <w:rPr>
                <w:color w:val="000000"/>
                <w:sz w:val="20"/>
                <w:szCs w:val="20"/>
              </w:rPr>
              <w:t>491,250</w:t>
            </w:r>
          </w:p>
        </w:tc>
      </w:tr>
      <w:tr w:rsidR="0006359E" w:rsidRPr="00F171A3" w14:paraId="7FC8A4F7" w14:textId="77777777" w:rsidTr="00F555EE">
        <w:tc>
          <w:tcPr>
            <w:tcW w:w="3302" w:type="dxa"/>
            <w:shd w:val="clear" w:color="auto" w:fill="F2F2F2" w:themeFill="background1" w:themeFillShade="F2"/>
          </w:tcPr>
          <w:p w14:paraId="04D64953" w14:textId="77777777" w:rsidR="0006359E" w:rsidRPr="00F171A3" w:rsidRDefault="0006359E" w:rsidP="00F31936">
            <w:pPr>
              <w:jc w:val="center"/>
              <w:rPr>
                <w:sz w:val="20"/>
                <w:szCs w:val="20"/>
              </w:rPr>
            </w:pPr>
            <w:r w:rsidRPr="00F171A3">
              <w:rPr>
                <w:sz w:val="20"/>
                <w:szCs w:val="20"/>
              </w:rPr>
              <w:t>Cheltuieli executate / cheltuieli planificate inițial (%)</w:t>
            </w:r>
          </w:p>
        </w:tc>
        <w:tc>
          <w:tcPr>
            <w:tcW w:w="1496" w:type="dxa"/>
            <w:shd w:val="clear" w:color="auto" w:fill="F2F2F2" w:themeFill="background1" w:themeFillShade="F2"/>
          </w:tcPr>
          <w:p w14:paraId="2BC7ADE0" w14:textId="77777777" w:rsidR="0006359E" w:rsidRPr="00F171A3" w:rsidRDefault="0006359E" w:rsidP="00F31936">
            <w:pPr>
              <w:jc w:val="center"/>
              <w:rPr>
                <w:sz w:val="20"/>
                <w:szCs w:val="20"/>
              </w:rPr>
            </w:pPr>
            <w:r w:rsidRPr="00F171A3">
              <w:rPr>
                <w:color w:val="000000"/>
                <w:sz w:val="20"/>
                <w:szCs w:val="20"/>
              </w:rPr>
              <w:t>8.83%</w:t>
            </w:r>
          </w:p>
        </w:tc>
        <w:tc>
          <w:tcPr>
            <w:tcW w:w="1496" w:type="dxa"/>
            <w:shd w:val="clear" w:color="auto" w:fill="F2F2F2" w:themeFill="background1" w:themeFillShade="F2"/>
          </w:tcPr>
          <w:p w14:paraId="2666311C" w14:textId="77777777" w:rsidR="0006359E" w:rsidRPr="00F171A3" w:rsidRDefault="0006359E" w:rsidP="00F31936">
            <w:pPr>
              <w:jc w:val="center"/>
              <w:rPr>
                <w:sz w:val="20"/>
                <w:szCs w:val="20"/>
              </w:rPr>
            </w:pPr>
            <w:r w:rsidRPr="00F171A3">
              <w:rPr>
                <w:color w:val="000000"/>
                <w:sz w:val="20"/>
                <w:szCs w:val="20"/>
              </w:rPr>
              <w:t>22.53%</w:t>
            </w:r>
          </w:p>
        </w:tc>
        <w:tc>
          <w:tcPr>
            <w:tcW w:w="1496" w:type="dxa"/>
            <w:shd w:val="clear" w:color="auto" w:fill="F2F2F2" w:themeFill="background1" w:themeFillShade="F2"/>
          </w:tcPr>
          <w:p w14:paraId="3976C4A2" w14:textId="77777777" w:rsidR="0006359E" w:rsidRPr="00F171A3" w:rsidRDefault="0006359E" w:rsidP="00F31936">
            <w:pPr>
              <w:jc w:val="center"/>
              <w:rPr>
                <w:sz w:val="20"/>
                <w:szCs w:val="20"/>
              </w:rPr>
            </w:pPr>
            <w:r w:rsidRPr="00F171A3">
              <w:rPr>
                <w:color w:val="000000"/>
                <w:sz w:val="20"/>
                <w:szCs w:val="20"/>
              </w:rPr>
              <w:t>54.84%</w:t>
            </w:r>
          </w:p>
        </w:tc>
        <w:tc>
          <w:tcPr>
            <w:tcW w:w="1496" w:type="dxa"/>
            <w:shd w:val="clear" w:color="auto" w:fill="F2F2F2" w:themeFill="background1" w:themeFillShade="F2"/>
          </w:tcPr>
          <w:p w14:paraId="1C623CF1" w14:textId="77777777" w:rsidR="0006359E" w:rsidRPr="00F171A3" w:rsidRDefault="0006359E" w:rsidP="00F31936">
            <w:pPr>
              <w:jc w:val="center"/>
              <w:rPr>
                <w:sz w:val="20"/>
                <w:szCs w:val="20"/>
              </w:rPr>
            </w:pPr>
            <w:r w:rsidRPr="00F171A3">
              <w:rPr>
                <w:color w:val="000000"/>
                <w:sz w:val="20"/>
                <w:szCs w:val="20"/>
              </w:rPr>
              <w:t>22.28%</w:t>
            </w:r>
          </w:p>
        </w:tc>
      </w:tr>
    </w:tbl>
    <w:p w14:paraId="4F6D9981" w14:textId="2DB42838"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Primăria Sector</w:t>
      </w:r>
      <w:r w:rsidR="00135D70" w:rsidRPr="00F171A3">
        <w:rPr>
          <w:color w:val="BFBFBF" w:themeColor="background1" w:themeShade="BF"/>
        </w:rPr>
        <w:t>ului</w:t>
      </w:r>
      <w:r w:rsidRPr="00F171A3">
        <w:rPr>
          <w:color w:val="BFBFBF" w:themeColor="background1" w:themeShade="BF"/>
        </w:rPr>
        <w:t xml:space="preserve"> 2</w:t>
      </w:r>
    </w:p>
    <w:p w14:paraId="2E23FA3B" w14:textId="5E377593" w:rsidR="0006359E" w:rsidRPr="00F171A3" w:rsidRDefault="0006359E" w:rsidP="0006359E">
      <w:pPr>
        <w:spacing w:before="240"/>
      </w:pPr>
      <w:r w:rsidRPr="00F171A3">
        <w:t>Pentru optimizarea procesului de planificare bugetară, administrațiile locale recurg în timpul anului fiscal la practica rectificărilor bugetare. Numărul acestora este ridicat și în cazul Primăriei Sector</w:t>
      </w:r>
      <w:r w:rsidR="00135D70" w:rsidRPr="00F171A3">
        <w:t>ului</w:t>
      </w:r>
      <w:r w:rsidRPr="00F171A3">
        <w:t xml:space="preserve"> 2.Conform datelor primite de la administrația locală, numărul rectificărilor bugetare este de: </w:t>
      </w:r>
    </w:p>
    <w:p w14:paraId="35437F87" w14:textId="6FDE4FD2" w:rsidR="0006359E" w:rsidRPr="00F171A3" w:rsidRDefault="0006359E">
      <w:pPr>
        <w:numPr>
          <w:ilvl w:val="0"/>
          <w:numId w:val="39"/>
        </w:numPr>
        <w:pBdr>
          <w:top w:val="nil"/>
          <w:left w:val="nil"/>
          <w:bottom w:val="nil"/>
          <w:right w:val="nil"/>
          <w:between w:val="nil"/>
        </w:pBdr>
        <w:rPr>
          <w:color w:val="134753" w:themeColor="text2"/>
        </w:rPr>
      </w:pPr>
      <w:r w:rsidRPr="00F171A3">
        <w:rPr>
          <w:color w:val="134753" w:themeColor="text2"/>
        </w:rPr>
        <w:t>Pentru anul 2017 s-au aprobat 5 rectificări bugetare modificând bugetul inițial al Sectorului 2 aprobat prin HCLS2 nr. 46/03.04.2017</w:t>
      </w:r>
      <w:r w:rsidR="00F555EE" w:rsidRPr="00F171A3">
        <w:rPr>
          <w:color w:val="134753" w:themeColor="text2"/>
        </w:rPr>
        <w:t>;</w:t>
      </w:r>
    </w:p>
    <w:p w14:paraId="79802C91" w14:textId="3EA92725" w:rsidR="0006359E" w:rsidRPr="00F171A3" w:rsidRDefault="0006359E">
      <w:pPr>
        <w:numPr>
          <w:ilvl w:val="0"/>
          <w:numId w:val="39"/>
        </w:numPr>
        <w:pBdr>
          <w:top w:val="nil"/>
          <w:left w:val="nil"/>
          <w:bottom w:val="nil"/>
          <w:right w:val="nil"/>
          <w:between w:val="nil"/>
        </w:pBdr>
        <w:rPr>
          <w:color w:val="134753" w:themeColor="text2"/>
        </w:rPr>
      </w:pPr>
      <w:r w:rsidRPr="00F171A3">
        <w:rPr>
          <w:color w:val="134753" w:themeColor="text2"/>
        </w:rPr>
        <w:t>Pentru anul 2018 s-au aprobat 8 rectificări bugetare modificând bugetul inițial al Sectorului 2 aprobat prin HCLS2 nr. 11/20.02.2018</w:t>
      </w:r>
      <w:r w:rsidR="00F555EE" w:rsidRPr="00F171A3">
        <w:rPr>
          <w:color w:val="134753" w:themeColor="text2"/>
        </w:rPr>
        <w:t>;</w:t>
      </w:r>
    </w:p>
    <w:p w14:paraId="453A9E4D" w14:textId="7A4F9A05" w:rsidR="0006359E" w:rsidRPr="00F171A3" w:rsidRDefault="0006359E">
      <w:pPr>
        <w:numPr>
          <w:ilvl w:val="0"/>
          <w:numId w:val="39"/>
        </w:numPr>
        <w:pBdr>
          <w:top w:val="nil"/>
          <w:left w:val="nil"/>
          <w:bottom w:val="nil"/>
          <w:right w:val="nil"/>
          <w:between w:val="nil"/>
        </w:pBdr>
        <w:rPr>
          <w:color w:val="134753" w:themeColor="text2"/>
        </w:rPr>
      </w:pPr>
      <w:r w:rsidRPr="00F171A3">
        <w:rPr>
          <w:color w:val="134753" w:themeColor="text2"/>
        </w:rPr>
        <w:t>Pentru anul 2019 s-au aprobat 7 rectificări bugetare modificând bugetul inițial al Sectorului 2 aprobat prin HCLS2 nr. 94/17.04.2019</w:t>
      </w:r>
      <w:r w:rsidR="00F555EE" w:rsidRPr="00F171A3">
        <w:rPr>
          <w:color w:val="134753" w:themeColor="text2"/>
        </w:rPr>
        <w:t>;</w:t>
      </w:r>
    </w:p>
    <w:p w14:paraId="74D7D1E7" w14:textId="5AD49B04" w:rsidR="0006359E" w:rsidRPr="00F171A3" w:rsidRDefault="0006359E">
      <w:pPr>
        <w:numPr>
          <w:ilvl w:val="0"/>
          <w:numId w:val="39"/>
        </w:numPr>
        <w:pBdr>
          <w:top w:val="nil"/>
          <w:left w:val="nil"/>
          <w:bottom w:val="nil"/>
          <w:right w:val="nil"/>
          <w:between w:val="nil"/>
        </w:pBdr>
        <w:rPr>
          <w:color w:val="134753" w:themeColor="text2"/>
        </w:rPr>
      </w:pPr>
      <w:r w:rsidRPr="00F171A3">
        <w:rPr>
          <w:color w:val="134753" w:themeColor="text2"/>
        </w:rPr>
        <w:t>Pentru anul 2020 s-au aprobat 9 rectificări bugetare modificând bugetul inițial al Sectorului 2 aprobat prin HCLS2 nr. 15/20.02.2020</w:t>
      </w:r>
      <w:r w:rsidR="00F555EE" w:rsidRPr="00F171A3">
        <w:rPr>
          <w:color w:val="134753" w:themeColor="text2"/>
        </w:rPr>
        <w:t>;</w:t>
      </w:r>
    </w:p>
    <w:p w14:paraId="169C7445" w14:textId="5A8C075D" w:rsidR="0006359E" w:rsidRPr="00F171A3" w:rsidRDefault="0006359E">
      <w:pPr>
        <w:numPr>
          <w:ilvl w:val="0"/>
          <w:numId w:val="39"/>
        </w:numPr>
        <w:pBdr>
          <w:top w:val="nil"/>
          <w:left w:val="nil"/>
          <w:bottom w:val="nil"/>
          <w:right w:val="nil"/>
          <w:between w:val="nil"/>
        </w:pBdr>
        <w:rPr>
          <w:color w:val="134753" w:themeColor="text2"/>
        </w:rPr>
      </w:pPr>
      <w:r w:rsidRPr="00F171A3">
        <w:rPr>
          <w:color w:val="134753" w:themeColor="text2"/>
        </w:rPr>
        <w:t>Pentru anul 2021 s-au aprobat 7 rectificări bugetare modificând bugetul inițial al Sectorului 2 aprobat prin HCLS2 nr. 148/22.04.2021</w:t>
      </w:r>
      <w:r w:rsidR="00F555EE" w:rsidRPr="00F171A3">
        <w:rPr>
          <w:color w:val="134753" w:themeColor="text2"/>
        </w:rPr>
        <w:t>.</w:t>
      </w:r>
    </w:p>
    <w:p w14:paraId="49036F73" w14:textId="77777777" w:rsidR="00F555EE" w:rsidRPr="00F171A3" w:rsidRDefault="00F555EE" w:rsidP="00F555EE">
      <w:pPr>
        <w:pBdr>
          <w:top w:val="nil"/>
          <w:left w:val="nil"/>
          <w:bottom w:val="nil"/>
          <w:right w:val="nil"/>
          <w:between w:val="nil"/>
        </w:pBdr>
        <w:rPr>
          <w:color w:val="134753" w:themeColor="text2"/>
        </w:rPr>
      </w:pPr>
    </w:p>
    <w:p w14:paraId="0B253D88" w14:textId="17FEC0D0" w:rsidR="0006359E" w:rsidRPr="00F171A3" w:rsidRDefault="001E0A0F" w:rsidP="001E0A0F">
      <w:pPr>
        <w:pStyle w:val="Heading4"/>
        <w:rPr>
          <w:color w:val="3CA1BC" w:themeColor="background2"/>
        </w:rPr>
      </w:pPr>
      <w:bookmarkStart w:id="357" w:name="_heading=h.3zy8sjw" w:colFirst="0" w:colLast="0"/>
      <w:bookmarkStart w:id="358" w:name="_Toc114505910"/>
      <w:bookmarkEnd w:id="357"/>
      <w:r w:rsidRPr="00F171A3">
        <w:rPr>
          <w:color w:val="3CA1BC" w:themeColor="background2"/>
        </w:rPr>
        <w:t>ANALIZA VENITURILOR LA NIVELUL PRIMĂRIEI SECTOR</w:t>
      </w:r>
      <w:r w:rsidR="00135D70" w:rsidRPr="00F171A3">
        <w:rPr>
          <w:color w:val="3CA1BC" w:themeColor="background2"/>
        </w:rPr>
        <w:t>ULUI</w:t>
      </w:r>
      <w:r w:rsidRPr="00F171A3">
        <w:rPr>
          <w:color w:val="3CA1BC" w:themeColor="background2"/>
        </w:rPr>
        <w:t xml:space="preserve"> 2</w:t>
      </w:r>
      <w:bookmarkEnd w:id="358"/>
    </w:p>
    <w:p w14:paraId="2EB6424E" w14:textId="6BF2FCB1" w:rsidR="0006359E" w:rsidRPr="00F171A3" w:rsidRDefault="0006359E" w:rsidP="0006359E">
      <w:pPr>
        <w:spacing w:before="240"/>
      </w:pPr>
      <w:r w:rsidRPr="00F171A3">
        <w:rPr>
          <w:color w:val="000000"/>
        </w:rPr>
        <w:t>Primăria Sector</w:t>
      </w:r>
      <w:r w:rsidR="00135D70" w:rsidRPr="00F171A3">
        <w:rPr>
          <w:color w:val="000000"/>
        </w:rPr>
        <w:t>ului</w:t>
      </w:r>
      <w:r w:rsidRPr="00F171A3">
        <w:rPr>
          <w:color w:val="000000"/>
        </w:rPr>
        <w:t xml:space="preserve"> 2 a raportat venituri în creștere în ultima anii, de la 890 milioane RON în 2019 la 1,028 miliarde RON în 2019 și 1,159 miliarde RON în 2021. Creșterea semnificativă de venituri, de peste 30%, este generată de o creștere a majorității fluxurilor financiare, însă cu precădere de veniturile proprii (83% din totalul veniturilor în 2021 – inclusiv venituri din impozit pe venit și venituri generate la nivel local din taxe, impozite, capital, etc.) </w:t>
      </w:r>
    </w:p>
    <w:p w14:paraId="211A7125" w14:textId="77777777" w:rsidR="0006359E" w:rsidRPr="00F171A3" w:rsidRDefault="0006359E" w:rsidP="0006359E">
      <w:pPr>
        <w:rPr>
          <w:highlight w:val="yellow"/>
        </w:rPr>
      </w:pPr>
    </w:p>
    <w:p w14:paraId="0E7364DF" w14:textId="77777777" w:rsidR="0006359E" w:rsidRPr="00F171A3" w:rsidRDefault="0006359E" w:rsidP="0006359E">
      <w:pPr>
        <w:rPr>
          <w:highlight w:val="yellow"/>
        </w:rPr>
      </w:pPr>
    </w:p>
    <w:p w14:paraId="7BF17CF9" w14:textId="07C40A7D" w:rsidR="0006359E" w:rsidRPr="00F171A3" w:rsidRDefault="00AF2C45" w:rsidP="00AF2C45">
      <w:pPr>
        <w:pStyle w:val="Caption"/>
        <w:rPr>
          <w:b w:val="0"/>
        </w:rPr>
      </w:pPr>
      <w:bookmarkStart w:id="359" w:name="_heading=h.2f3j2rp" w:colFirst="0" w:colLast="0"/>
      <w:bookmarkStart w:id="360" w:name="_Toc126943302"/>
      <w:bookmarkEnd w:id="359"/>
      <w:r w:rsidRPr="00F171A3">
        <w:t xml:space="preserve">Tabel </w:t>
      </w:r>
      <w:r w:rsidRPr="00F171A3">
        <w:fldChar w:fldCharType="begin"/>
      </w:r>
      <w:r w:rsidRPr="00F171A3">
        <w:instrText xml:space="preserve"> SEQ Tabel \* ARABIC </w:instrText>
      </w:r>
      <w:r w:rsidRPr="00F171A3">
        <w:fldChar w:fldCharType="separate"/>
      </w:r>
      <w:r w:rsidR="005A6DD8">
        <w:rPr>
          <w:noProof/>
        </w:rPr>
        <w:t>45</w:t>
      </w:r>
      <w:r w:rsidRPr="00F171A3">
        <w:fldChar w:fldCharType="end"/>
      </w:r>
      <w:r w:rsidRPr="00F171A3">
        <w:t xml:space="preserve"> </w:t>
      </w:r>
      <w:r w:rsidR="0006359E" w:rsidRPr="00F171A3">
        <w:t>Venituri Primăria Sector</w:t>
      </w:r>
      <w:r w:rsidR="00135D70" w:rsidRPr="00F171A3">
        <w:t>ului</w:t>
      </w:r>
      <w:r w:rsidR="0006359E" w:rsidRPr="00F171A3">
        <w:t xml:space="preserve"> 2 în perioada 2015-2021</w:t>
      </w:r>
      <w:r w:rsidR="00000000">
        <w:rPr>
          <w:b w:val="0"/>
          <w:color w:val="auto"/>
          <w:szCs w:val="22"/>
        </w:rPr>
        <w:object w:dxaOrig="1440" w:dyaOrig="1440" w14:anchorId="7B12D0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left:0;text-align:left;margin-left:0;margin-top:18.4pt;width:473.2pt;height:252.8pt;z-index:251659264;mso-position-horizontal:absolute;mso-position-horizontal-relative:margin;mso-position-vertical:absolute;mso-position-vertical-relative:text" wrapcoords="-33 0 -33 21469 21600 21469 21600 0 -33 0">
            <v:imagedata r:id="rId192" o:title=""/>
            <w10:wrap type="tight" anchorx="margin"/>
          </v:shape>
          <o:OLEObject Type="Embed" ProgID="Excel.Sheet.12" ShapeID="_x0000_s2058" DrawAspect="Content" ObjectID="_1740489889" r:id="rId193"/>
        </w:object>
      </w:r>
      <w:bookmarkEnd w:id="360"/>
    </w:p>
    <w:p w14:paraId="7A5464F9" w14:textId="0425AAF5"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Ministerul Dezvoltării, Lucrărilor Publice și Administrației, Direcția pentru Politici Fiscale și Bugetare Locale, respectiv Primăria Sector</w:t>
      </w:r>
      <w:r w:rsidR="00135D70" w:rsidRPr="00F171A3">
        <w:rPr>
          <w:color w:val="BFBFBF" w:themeColor="background1" w:themeShade="BF"/>
        </w:rPr>
        <w:t>ului</w:t>
      </w:r>
      <w:r w:rsidRPr="00F171A3">
        <w:rPr>
          <w:color w:val="BFBFBF" w:themeColor="background1" w:themeShade="BF"/>
        </w:rPr>
        <w:t xml:space="preserve"> 2 </w:t>
      </w:r>
    </w:p>
    <w:p w14:paraId="12B2A2DD" w14:textId="77777777" w:rsidR="0006359E" w:rsidRPr="00F171A3" w:rsidRDefault="0006359E" w:rsidP="0006359E">
      <w:pPr>
        <w:rPr>
          <w:color w:val="000000"/>
        </w:rPr>
      </w:pPr>
      <w:r w:rsidRPr="00F171A3">
        <w:rPr>
          <w:color w:val="000000"/>
        </w:rPr>
        <w:t xml:space="preserve">Veniturile din impozitul pe venit (inclusiv cotele defalcate pentru echilibrarea bugetelor locale) au crescut cu o marjă similară (27%) în perioada 2018-2021 și reprezintă peste 53% din totalul veniturilor. O creștere semnificativă este reprezentată de alocările din TVA, 185.6 milioane RON în 2021, 16% din totalul veniturilor, de la 12.5% în 2019 și 11.3% în 2018. Scăderea raportului veniturilor din TVA în bugetul local post 2018 se explică prin preluarea anvelopei salariale a profesorilor la bugetul central (o scădere similară regăsim și la secțiuni de cheltuieli). </w:t>
      </w:r>
    </w:p>
    <w:p w14:paraId="6A1EBC3E" w14:textId="1F85036C" w:rsidR="0006359E" w:rsidRPr="00F171A3" w:rsidRDefault="0006359E" w:rsidP="0006359E">
      <w:r w:rsidRPr="00F171A3">
        <w:t xml:space="preserve">Veniturile proprii generate la nivel local, altele decât cele bazate pe impozitul pe venit, sunt și ele în creștere. Acestea au o valoarea relativ constantă ca procent din totalul veniturilor și reprezintă 30% în anul 2021, comparativ cu 27.2% în anul 2020, 34.6% în anul 2019 și 32% în 2018. Ușoara scădere din anul 2020 a acestor venituri este o cauză directă a </w:t>
      </w:r>
      <w:r w:rsidR="00C66438" w:rsidRPr="00F171A3">
        <w:t>efectelor</w:t>
      </w:r>
      <w:r w:rsidRPr="00F171A3">
        <w:t xml:space="preserve"> pandemiei COVID-19, însă creșterea procentuală anuală (2020-2021) a fost una ridicată, de peste 25%. </w:t>
      </w:r>
    </w:p>
    <w:p w14:paraId="67C8B832" w14:textId="5438A8D2" w:rsidR="00F555EE" w:rsidRPr="00F171A3" w:rsidRDefault="0006359E" w:rsidP="0006359E">
      <w:r w:rsidRPr="00F171A3">
        <w:t xml:space="preserve">Cele mai importante venituri generate la nivel local provenind din taxe și impozite locale – impozite pe clădiri, terenuri, mijloace de transport. La nivelul municipiului București, nivelurile taxelor și impozitelor locale sunt aprobate prin hotărâri ale Consiliului General al Municipiului București. Legislația națională impune limitări pentru cele mai importante categorii de taxe și impozite locale, iar pentru taxa pe clădiri, cel mai important flux financiar generat la nivel local, o limită de taxare, între 0,08 – 0,2% pentru imobilele rezidențiale, atât pentru persoanele fizice, cât și juridice, respectiv între 0,2-1,5% pentru clădirile nerezidențiale deținute de persoanele juridice. Tabelul următor indică nivelul acestor taxe la nivelul municipiului București. </w:t>
      </w:r>
    </w:p>
    <w:p w14:paraId="1CB1545C" w14:textId="59FE1F9E" w:rsidR="00F555EE" w:rsidRPr="00F171A3" w:rsidRDefault="00F555EE" w:rsidP="0006359E"/>
    <w:p w14:paraId="050FD435" w14:textId="4B4CA6A2" w:rsidR="00F555EE" w:rsidRPr="00F171A3" w:rsidRDefault="00F555EE" w:rsidP="0006359E"/>
    <w:p w14:paraId="56A1633A" w14:textId="086881C3" w:rsidR="00F555EE" w:rsidRPr="00F171A3" w:rsidRDefault="00F555EE" w:rsidP="0006359E"/>
    <w:p w14:paraId="2C46D994" w14:textId="3515BE09" w:rsidR="00F555EE" w:rsidRPr="00F171A3" w:rsidRDefault="00F555EE" w:rsidP="0006359E"/>
    <w:p w14:paraId="1E282CBF" w14:textId="77777777" w:rsidR="00F555EE" w:rsidRPr="00F171A3" w:rsidRDefault="00F555EE" w:rsidP="0006359E"/>
    <w:p w14:paraId="06B85FEE" w14:textId="103E225C" w:rsidR="0006359E" w:rsidRPr="00F171A3" w:rsidRDefault="00AF2C45" w:rsidP="00AF2C45">
      <w:pPr>
        <w:pStyle w:val="Caption"/>
        <w:rPr>
          <w:b w:val="0"/>
        </w:rPr>
      </w:pPr>
      <w:bookmarkStart w:id="361" w:name="_heading=h.u8tczi" w:colFirst="0" w:colLast="0"/>
      <w:bookmarkStart w:id="362" w:name="_Toc126943303"/>
      <w:bookmarkEnd w:id="361"/>
      <w:r w:rsidRPr="00F171A3">
        <w:t xml:space="preserve">Tabel </w:t>
      </w:r>
      <w:r w:rsidRPr="00F171A3">
        <w:fldChar w:fldCharType="begin"/>
      </w:r>
      <w:r w:rsidRPr="00F171A3">
        <w:instrText xml:space="preserve"> SEQ Tabel \* ARABIC </w:instrText>
      </w:r>
      <w:r w:rsidRPr="00F171A3">
        <w:fldChar w:fldCharType="separate"/>
      </w:r>
      <w:r w:rsidR="005A6DD8">
        <w:rPr>
          <w:noProof/>
        </w:rPr>
        <w:t>46</w:t>
      </w:r>
      <w:r w:rsidRPr="00F171A3">
        <w:fldChar w:fldCharType="end"/>
      </w:r>
      <w:r w:rsidRPr="00F171A3">
        <w:t xml:space="preserve"> </w:t>
      </w:r>
      <w:r w:rsidR="0006359E" w:rsidRPr="00F171A3">
        <w:t>Cotă valoare principalele taxe și impozite locale</w:t>
      </w:r>
      <w:bookmarkEnd w:id="362"/>
      <w:r w:rsidR="0006359E" w:rsidRPr="00F171A3">
        <w:t xml:space="preserve"> </w:t>
      </w:r>
    </w:p>
    <w:tbl>
      <w:tblPr>
        <w:tblStyle w:val="ListTable3-Accent21"/>
        <w:tblW w:w="932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696"/>
        <w:gridCol w:w="1341"/>
        <w:gridCol w:w="1527"/>
        <w:gridCol w:w="1401"/>
        <w:gridCol w:w="1526"/>
        <w:gridCol w:w="1610"/>
        <w:gridCol w:w="1221"/>
      </w:tblGrid>
      <w:tr w:rsidR="0006359E" w:rsidRPr="00F171A3" w14:paraId="2C6EA15E" w14:textId="77777777" w:rsidTr="00F555EE">
        <w:trPr>
          <w:cnfStyle w:val="100000000000" w:firstRow="1" w:lastRow="0" w:firstColumn="0" w:lastColumn="0" w:oddVBand="0" w:evenVBand="0" w:oddHBand="0" w:evenHBand="0" w:firstRowFirstColumn="0" w:firstRowLastColumn="0" w:lastRowFirstColumn="0" w:lastRowLastColumn="0"/>
        </w:trPr>
        <w:tc>
          <w:tcPr>
            <w:tcW w:w="696" w:type="dxa"/>
            <w:vAlign w:val="center"/>
          </w:tcPr>
          <w:p w14:paraId="6A44DB04" w14:textId="1487C3E8" w:rsidR="0006359E" w:rsidRPr="00F171A3" w:rsidRDefault="00F555EE" w:rsidP="00F555EE">
            <w:pPr>
              <w:jc w:val="center"/>
              <w:rPr>
                <w:sz w:val="20"/>
                <w:szCs w:val="20"/>
              </w:rPr>
            </w:pPr>
            <w:r w:rsidRPr="00F171A3">
              <w:rPr>
                <w:sz w:val="20"/>
                <w:szCs w:val="20"/>
              </w:rPr>
              <w:t>AN</w:t>
            </w:r>
          </w:p>
        </w:tc>
        <w:tc>
          <w:tcPr>
            <w:tcW w:w="2868" w:type="dxa"/>
            <w:gridSpan w:val="2"/>
          </w:tcPr>
          <w:p w14:paraId="6E931313" w14:textId="5F28288F" w:rsidR="0006359E" w:rsidRPr="00F171A3" w:rsidRDefault="00F555EE" w:rsidP="00F31936">
            <w:pPr>
              <w:jc w:val="center"/>
              <w:rPr>
                <w:sz w:val="20"/>
                <w:szCs w:val="20"/>
              </w:rPr>
            </w:pPr>
            <w:r w:rsidRPr="00F171A3">
              <w:rPr>
                <w:sz w:val="20"/>
                <w:szCs w:val="20"/>
              </w:rPr>
              <w:t>PERSOANE FIZICE</w:t>
            </w:r>
          </w:p>
        </w:tc>
        <w:tc>
          <w:tcPr>
            <w:tcW w:w="2927" w:type="dxa"/>
            <w:gridSpan w:val="2"/>
          </w:tcPr>
          <w:p w14:paraId="1B4FABF4" w14:textId="4365F0F7" w:rsidR="0006359E" w:rsidRPr="00F171A3" w:rsidRDefault="00F555EE" w:rsidP="00F31936">
            <w:pPr>
              <w:jc w:val="center"/>
              <w:rPr>
                <w:sz w:val="20"/>
                <w:szCs w:val="20"/>
              </w:rPr>
            </w:pPr>
            <w:r w:rsidRPr="00F171A3">
              <w:rPr>
                <w:sz w:val="20"/>
                <w:szCs w:val="20"/>
              </w:rPr>
              <w:t>PERSOANE JURIDICE</w:t>
            </w:r>
          </w:p>
        </w:tc>
        <w:tc>
          <w:tcPr>
            <w:tcW w:w="1610" w:type="dxa"/>
          </w:tcPr>
          <w:p w14:paraId="5A84606B" w14:textId="77777777" w:rsidR="0006359E" w:rsidRPr="00F171A3" w:rsidRDefault="0006359E" w:rsidP="00F31936">
            <w:pPr>
              <w:jc w:val="center"/>
              <w:rPr>
                <w:sz w:val="20"/>
                <w:szCs w:val="20"/>
              </w:rPr>
            </w:pPr>
          </w:p>
        </w:tc>
        <w:tc>
          <w:tcPr>
            <w:tcW w:w="1221" w:type="dxa"/>
          </w:tcPr>
          <w:p w14:paraId="2373CC3A" w14:textId="77777777" w:rsidR="0006359E" w:rsidRPr="00F171A3" w:rsidRDefault="0006359E" w:rsidP="00F31936">
            <w:pPr>
              <w:jc w:val="center"/>
              <w:rPr>
                <w:sz w:val="20"/>
                <w:szCs w:val="20"/>
              </w:rPr>
            </w:pPr>
          </w:p>
        </w:tc>
      </w:tr>
      <w:tr w:rsidR="0006359E" w:rsidRPr="00F171A3" w14:paraId="188C0E6F"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696" w:type="dxa"/>
            <w:tcBorders>
              <w:top w:val="none" w:sz="0" w:space="0" w:color="auto"/>
              <w:bottom w:val="none" w:sz="0" w:space="0" w:color="auto"/>
            </w:tcBorders>
            <w:shd w:val="clear" w:color="auto" w:fill="F2F2F2" w:themeFill="background1" w:themeFillShade="F2"/>
          </w:tcPr>
          <w:p w14:paraId="2B3153E3" w14:textId="77777777" w:rsidR="0006359E" w:rsidRPr="00F171A3" w:rsidRDefault="0006359E" w:rsidP="00F31936">
            <w:pPr>
              <w:rPr>
                <w:sz w:val="20"/>
                <w:szCs w:val="20"/>
              </w:rPr>
            </w:pPr>
          </w:p>
        </w:tc>
        <w:tc>
          <w:tcPr>
            <w:tcW w:w="1341" w:type="dxa"/>
            <w:tcBorders>
              <w:top w:val="none" w:sz="0" w:space="0" w:color="auto"/>
              <w:bottom w:val="none" w:sz="0" w:space="0" w:color="auto"/>
            </w:tcBorders>
            <w:shd w:val="clear" w:color="auto" w:fill="F2F2F2" w:themeFill="background1" w:themeFillShade="F2"/>
          </w:tcPr>
          <w:p w14:paraId="1E6C02E9" w14:textId="77777777" w:rsidR="0006359E" w:rsidRPr="00F171A3" w:rsidRDefault="0006359E" w:rsidP="00F31936">
            <w:pPr>
              <w:rPr>
                <w:sz w:val="20"/>
                <w:szCs w:val="20"/>
              </w:rPr>
            </w:pPr>
            <w:r w:rsidRPr="00F171A3">
              <w:rPr>
                <w:sz w:val="20"/>
                <w:szCs w:val="20"/>
              </w:rPr>
              <w:t xml:space="preserve">Imobile </w:t>
            </w:r>
          </w:p>
          <w:p w14:paraId="30B85726" w14:textId="77777777" w:rsidR="0006359E" w:rsidRPr="00F171A3" w:rsidRDefault="0006359E" w:rsidP="00F31936">
            <w:pPr>
              <w:rPr>
                <w:sz w:val="20"/>
                <w:szCs w:val="20"/>
              </w:rPr>
            </w:pPr>
            <w:r w:rsidRPr="00F171A3">
              <w:rPr>
                <w:sz w:val="20"/>
                <w:szCs w:val="20"/>
              </w:rPr>
              <w:t>rezidențiale</w:t>
            </w:r>
          </w:p>
        </w:tc>
        <w:tc>
          <w:tcPr>
            <w:tcW w:w="1527" w:type="dxa"/>
            <w:tcBorders>
              <w:top w:val="none" w:sz="0" w:space="0" w:color="auto"/>
              <w:bottom w:val="none" w:sz="0" w:space="0" w:color="auto"/>
            </w:tcBorders>
            <w:shd w:val="clear" w:color="auto" w:fill="F2F2F2" w:themeFill="background1" w:themeFillShade="F2"/>
          </w:tcPr>
          <w:p w14:paraId="2AF4109E" w14:textId="77777777" w:rsidR="0006359E" w:rsidRPr="00F171A3" w:rsidRDefault="0006359E" w:rsidP="00F31936">
            <w:pPr>
              <w:rPr>
                <w:sz w:val="20"/>
                <w:szCs w:val="20"/>
              </w:rPr>
            </w:pPr>
            <w:r w:rsidRPr="00F171A3">
              <w:rPr>
                <w:sz w:val="20"/>
                <w:szCs w:val="20"/>
              </w:rPr>
              <w:t xml:space="preserve">Imobile </w:t>
            </w:r>
          </w:p>
          <w:p w14:paraId="702E3FA2" w14:textId="77777777" w:rsidR="0006359E" w:rsidRPr="00F171A3" w:rsidRDefault="0006359E" w:rsidP="00F31936">
            <w:pPr>
              <w:rPr>
                <w:sz w:val="20"/>
                <w:szCs w:val="20"/>
              </w:rPr>
            </w:pPr>
            <w:r w:rsidRPr="00F171A3">
              <w:rPr>
                <w:sz w:val="20"/>
                <w:szCs w:val="20"/>
              </w:rPr>
              <w:t>nerezidențiale</w:t>
            </w:r>
          </w:p>
        </w:tc>
        <w:tc>
          <w:tcPr>
            <w:tcW w:w="1401" w:type="dxa"/>
            <w:tcBorders>
              <w:top w:val="none" w:sz="0" w:space="0" w:color="auto"/>
              <w:bottom w:val="none" w:sz="0" w:space="0" w:color="auto"/>
            </w:tcBorders>
            <w:shd w:val="clear" w:color="auto" w:fill="F2F2F2" w:themeFill="background1" w:themeFillShade="F2"/>
          </w:tcPr>
          <w:p w14:paraId="394C1992" w14:textId="77777777" w:rsidR="0006359E" w:rsidRPr="00F171A3" w:rsidRDefault="0006359E" w:rsidP="00F31936">
            <w:pPr>
              <w:rPr>
                <w:sz w:val="20"/>
                <w:szCs w:val="20"/>
              </w:rPr>
            </w:pPr>
            <w:r w:rsidRPr="00F171A3">
              <w:rPr>
                <w:sz w:val="20"/>
                <w:szCs w:val="20"/>
              </w:rPr>
              <w:t xml:space="preserve">Imobile </w:t>
            </w:r>
          </w:p>
          <w:p w14:paraId="377DC949" w14:textId="77777777" w:rsidR="0006359E" w:rsidRPr="00F171A3" w:rsidRDefault="0006359E" w:rsidP="00F31936">
            <w:pPr>
              <w:rPr>
                <w:sz w:val="20"/>
                <w:szCs w:val="20"/>
              </w:rPr>
            </w:pPr>
            <w:r w:rsidRPr="00F171A3">
              <w:rPr>
                <w:sz w:val="20"/>
                <w:szCs w:val="20"/>
              </w:rPr>
              <w:t>rezidențiale</w:t>
            </w:r>
          </w:p>
        </w:tc>
        <w:tc>
          <w:tcPr>
            <w:tcW w:w="1526" w:type="dxa"/>
            <w:tcBorders>
              <w:top w:val="none" w:sz="0" w:space="0" w:color="auto"/>
              <w:bottom w:val="none" w:sz="0" w:space="0" w:color="auto"/>
            </w:tcBorders>
            <w:shd w:val="clear" w:color="auto" w:fill="F2F2F2" w:themeFill="background1" w:themeFillShade="F2"/>
          </w:tcPr>
          <w:p w14:paraId="6F9FC7CA" w14:textId="77777777" w:rsidR="0006359E" w:rsidRPr="00F171A3" w:rsidRDefault="0006359E" w:rsidP="00F31936">
            <w:pPr>
              <w:rPr>
                <w:sz w:val="20"/>
                <w:szCs w:val="20"/>
              </w:rPr>
            </w:pPr>
            <w:r w:rsidRPr="00F171A3">
              <w:rPr>
                <w:sz w:val="20"/>
                <w:szCs w:val="20"/>
              </w:rPr>
              <w:t xml:space="preserve">Imobile </w:t>
            </w:r>
          </w:p>
          <w:p w14:paraId="5FC07B27" w14:textId="77777777" w:rsidR="0006359E" w:rsidRPr="00F171A3" w:rsidRDefault="0006359E" w:rsidP="00F31936">
            <w:pPr>
              <w:rPr>
                <w:sz w:val="20"/>
                <w:szCs w:val="20"/>
              </w:rPr>
            </w:pPr>
            <w:r w:rsidRPr="00F171A3">
              <w:rPr>
                <w:sz w:val="20"/>
                <w:szCs w:val="20"/>
              </w:rPr>
              <w:t>nerezidențiale</w:t>
            </w:r>
          </w:p>
        </w:tc>
        <w:tc>
          <w:tcPr>
            <w:tcW w:w="1610" w:type="dxa"/>
            <w:tcBorders>
              <w:top w:val="none" w:sz="0" w:space="0" w:color="auto"/>
              <w:bottom w:val="none" w:sz="0" w:space="0" w:color="auto"/>
            </w:tcBorders>
            <w:shd w:val="clear" w:color="auto" w:fill="F2F2F2" w:themeFill="background1" w:themeFillShade="F2"/>
          </w:tcPr>
          <w:p w14:paraId="76418139" w14:textId="77777777" w:rsidR="0006359E" w:rsidRPr="00F171A3" w:rsidRDefault="0006359E" w:rsidP="00F31936">
            <w:pPr>
              <w:jc w:val="center"/>
              <w:rPr>
                <w:sz w:val="20"/>
                <w:szCs w:val="20"/>
              </w:rPr>
            </w:pPr>
            <w:r w:rsidRPr="00F171A3">
              <w:rPr>
                <w:sz w:val="20"/>
                <w:szCs w:val="20"/>
              </w:rPr>
              <w:t>Impozitul pe teren și taxa pe teren intravilan (teren construcții)</w:t>
            </w:r>
          </w:p>
        </w:tc>
        <w:tc>
          <w:tcPr>
            <w:tcW w:w="1221" w:type="dxa"/>
            <w:tcBorders>
              <w:top w:val="none" w:sz="0" w:space="0" w:color="auto"/>
              <w:bottom w:val="none" w:sz="0" w:space="0" w:color="auto"/>
            </w:tcBorders>
            <w:shd w:val="clear" w:color="auto" w:fill="F2F2F2" w:themeFill="background1" w:themeFillShade="F2"/>
          </w:tcPr>
          <w:p w14:paraId="4A0763CA" w14:textId="77777777" w:rsidR="0006359E" w:rsidRPr="00F171A3" w:rsidRDefault="0006359E" w:rsidP="00F31936">
            <w:pPr>
              <w:jc w:val="center"/>
              <w:rPr>
                <w:sz w:val="20"/>
                <w:szCs w:val="20"/>
              </w:rPr>
            </w:pPr>
            <w:r w:rsidRPr="00F171A3">
              <w:rPr>
                <w:sz w:val="20"/>
                <w:szCs w:val="20"/>
              </w:rPr>
              <w:t>Impozit auto</w:t>
            </w:r>
            <w:r w:rsidRPr="00F171A3">
              <w:rPr>
                <w:sz w:val="20"/>
                <w:szCs w:val="20"/>
                <w:vertAlign w:val="superscript"/>
              </w:rPr>
              <w:footnoteReference w:id="169"/>
            </w:r>
          </w:p>
        </w:tc>
      </w:tr>
      <w:tr w:rsidR="0006359E" w:rsidRPr="00F171A3" w14:paraId="4BF87B4C" w14:textId="77777777" w:rsidTr="00F555EE">
        <w:trPr>
          <w:trHeight w:val="332"/>
        </w:trPr>
        <w:tc>
          <w:tcPr>
            <w:tcW w:w="696" w:type="dxa"/>
            <w:shd w:val="clear" w:color="auto" w:fill="F2F2F2" w:themeFill="background1" w:themeFillShade="F2"/>
          </w:tcPr>
          <w:p w14:paraId="501267D4" w14:textId="77777777" w:rsidR="0006359E" w:rsidRPr="00F171A3" w:rsidRDefault="0006359E" w:rsidP="00F31936">
            <w:pPr>
              <w:rPr>
                <w:sz w:val="20"/>
                <w:szCs w:val="20"/>
              </w:rPr>
            </w:pPr>
            <w:r w:rsidRPr="00F171A3">
              <w:rPr>
                <w:sz w:val="20"/>
                <w:szCs w:val="20"/>
              </w:rPr>
              <w:t>2022</w:t>
            </w:r>
          </w:p>
        </w:tc>
        <w:tc>
          <w:tcPr>
            <w:tcW w:w="1341" w:type="dxa"/>
            <w:shd w:val="clear" w:color="auto" w:fill="F2F2F2" w:themeFill="background1" w:themeFillShade="F2"/>
          </w:tcPr>
          <w:p w14:paraId="6D260FFF" w14:textId="77777777" w:rsidR="0006359E" w:rsidRPr="00F171A3" w:rsidRDefault="0006359E" w:rsidP="00F31936">
            <w:pPr>
              <w:rPr>
                <w:sz w:val="20"/>
                <w:szCs w:val="20"/>
              </w:rPr>
            </w:pPr>
            <w:r w:rsidRPr="00F171A3">
              <w:rPr>
                <w:sz w:val="20"/>
                <w:szCs w:val="20"/>
              </w:rPr>
              <w:t>0,1%</w:t>
            </w:r>
          </w:p>
        </w:tc>
        <w:tc>
          <w:tcPr>
            <w:tcW w:w="1527" w:type="dxa"/>
            <w:shd w:val="clear" w:color="auto" w:fill="F2F2F2" w:themeFill="background1" w:themeFillShade="F2"/>
          </w:tcPr>
          <w:p w14:paraId="68409DA0" w14:textId="77777777" w:rsidR="0006359E" w:rsidRPr="00F171A3" w:rsidRDefault="0006359E" w:rsidP="00F31936">
            <w:pPr>
              <w:rPr>
                <w:sz w:val="20"/>
                <w:szCs w:val="20"/>
              </w:rPr>
            </w:pPr>
            <w:r w:rsidRPr="00F171A3">
              <w:rPr>
                <w:sz w:val="20"/>
                <w:szCs w:val="20"/>
              </w:rPr>
              <w:t>0,2%</w:t>
            </w:r>
          </w:p>
        </w:tc>
        <w:tc>
          <w:tcPr>
            <w:tcW w:w="1401" w:type="dxa"/>
            <w:shd w:val="clear" w:color="auto" w:fill="F2F2F2" w:themeFill="background1" w:themeFillShade="F2"/>
          </w:tcPr>
          <w:p w14:paraId="11EBE3DC" w14:textId="77777777" w:rsidR="0006359E" w:rsidRPr="00F171A3" w:rsidRDefault="0006359E" w:rsidP="00F31936">
            <w:pPr>
              <w:rPr>
                <w:sz w:val="20"/>
                <w:szCs w:val="20"/>
              </w:rPr>
            </w:pPr>
            <w:r w:rsidRPr="00F171A3">
              <w:rPr>
                <w:sz w:val="20"/>
                <w:szCs w:val="20"/>
              </w:rPr>
              <w:t>0,2%</w:t>
            </w:r>
          </w:p>
        </w:tc>
        <w:tc>
          <w:tcPr>
            <w:tcW w:w="1526" w:type="dxa"/>
            <w:shd w:val="clear" w:color="auto" w:fill="F2F2F2" w:themeFill="background1" w:themeFillShade="F2"/>
          </w:tcPr>
          <w:p w14:paraId="21913582" w14:textId="77777777" w:rsidR="0006359E" w:rsidRPr="00F171A3" w:rsidRDefault="0006359E" w:rsidP="00F31936">
            <w:pPr>
              <w:rPr>
                <w:sz w:val="20"/>
                <w:szCs w:val="20"/>
              </w:rPr>
            </w:pPr>
            <w:r w:rsidRPr="00F171A3">
              <w:rPr>
                <w:sz w:val="20"/>
                <w:szCs w:val="20"/>
              </w:rPr>
              <w:t>1,5%</w:t>
            </w:r>
          </w:p>
        </w:tc>
        <w:tc>
          <w:tcPr>
            <w:tcW w:w="1610" w:type="dxa"/>
            <w:shd w:val="clear" w:color="auto" w:fill="F2F2F2" w:themeFill="background1" w:themeFillShade="F2"/>
          </w:tcPr>
          <w:p w14:paraId="5ABE73BF" w14:textId="77777777" w:rsidR="0006359E" w:rsidRPr="00F171A3" w:rsidRDefault="0006359E" w:rsidP="00F31936">
            <w:pPr>
              <w:rPr>
                <w:sz w:val="20"/>
                <w:szCs w:val="20"/>
              </w:rPr>
            </w:pPr>
            <w:r w:rsidRPr="00F171A3">
              <w:rPr>
                <w:sz w:val="20"/>
                <w:szCs w:val="20"/>
              </w:rPr>
              <w:t>5.018 – 11.683 RON / Ha</w:t>
            </w:r>
          </w:p>
        </w:tc>
        <w:tc>
          <w:tcPr>
            <w:tcW w:w="1221" w:type="dxa"/>
            <w:shd w:val="clear" w:color="auto" w:fill="F2F2F2" w:themeFill="background1" w:themeFillShade="F2"/>
          </w:tcPr>
          <w:p w14:paraId="576B5714" w14:textId="77777777" w:rsidR="0006359E" w:rsidRPr="00F171A3" w:rsidRDefault="0006359E" w:rsidP="00F31936">
            <w:pPr>
              <w:jc w:val="center"/>
              <w:rPr>
                <w:sz w:val="20"/>
                <w:szCs w:val="20"/>
              </w:rPr>
            </w:pPr>
            <w:r w:rsidRPr="00F171A3">
              <w:rPr>
                <w:sz w:val="20"/>
                <w:szCs w:val="20"/>
              </w:rPr>
              <w:t>8 – 328 RON / 200 cm3</w:t>
            </w:r>
          </w:p>
        </w:tc>
      </w:tr>
    </w:tbl>
    <w:p w14:paraId="169EF511" w14:textId="0FAB88EB"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Primăria Municipiului București</w:t>
      </w:r>
    </w:p>
    <w:p w14:paraId="6B2C5A93" w14:textId="352970B3" w:rsidR="0006359E" w:rsidRPr="00F171A3" w:rsidRDefault="0006359E" w:rsidP="0006359E">
      <w:r w:rsidRPr="00F171A3">
        <w:t>Valoarea taxelor și impozitelor este stabilită anual, iar în anul 2022 în cazul mijloacelor de transport hibride, impozitul se reduce cu 95%, iar bonificația pentru plata cu anticipație, până Ia data de 31 martie, a impozitului/taxei pe clădiri, impozitului/taxei pe teren și impozitul pe mijloacele de transport datorate de contribuabili pentru întregul an este de 10%. Începând cu anul 2022, taxa pentru parcările de reședință a fost crescută semnificativ și va reprezenta o contribuție importantă la nivelul Primăriei Sector</w:t>
      </w:r>
      <w:r w:rsidR="00135D70" w:rsidRPr="00F171A3">
        <w:t>ului</w:t>
      </w:r>
      <w:r w:rsidRPr="00F171A3">
        <w:t xml:space="preserve"> 2.  Primăria Sector</w:t>
      </w:r>
      <w:r w:rsidR="00135D70" w:rsidRPr="00F171A3">
        <w:t>ului</w:t>
      </w:r>
      <w:r w:rsidRPr="00F171A3">
        <w:t xml:space="preserve"> 2 gestionează un număr de circa 26.000 locuri de parcare de reședință, iar sumele încasate în anul 2021 au fost de numai 1.7 milioane RON. În 2022, aceasta sumă va crește probabil de 5-7 ori. </w:t>
      </w:r>
    </w:p>
    <w:p w14:paraId="1F9BAB98" w14:textId="02BCAC5D" w:rsidR="0006359E" w:rsidRPr="00F171A3" w:rsidRDefault="0006359E" w:rsidP="0006359E">
      <w:r w:rsidRPr="00F171A3">
        <w:t>Pentru Primăria Sector</w:t>
      </w:r>
      <w:r w:rsidR="00F53B80" w:rsidRPr="00F171A3">
        <w:t>ului</w:t>
      </w:r>
      <w:r w:rsidRPr="00F171A3">
        <w:t xml:space="preserve"> 2, valoarea impozitelor și taxelor pe proprietate a reprezentat peste 18% din totalul veniturilor în anul 2021 -  cu</w:t>
      </w:r>
      <w:r w:rsidR="00F53B80" w:rsidRPr="00F171A3">
        <w:t xml:space="preserve"> o</w:t>
      </w:r>
      <w:r w:rsidRPr="00F171A3">
        <w:t xml:space="preserve"> pondere semnificativă a celor generate de persoanele juridice. Valoarea impozitelor și taxelor este aproape de limita minimă pentru persoane fizice, dar mai ridicată pentru cele juridice.  Tabelul de mai jos indică ponderea acestor două categorii de venituri în bugetul total. </w:t>
      </w:r>
    </w:p>
    <w:p w14:paraId="3212B92A" w14:textId="223FB32F" w:rsidR="0006359E" w:rsidRPr="00F171A3" w:rsidRDefault="00AF2C45" w:rsidP="00AF2C45">
      <w:pPr>
        <w:pStyle w:val="Caption"/>
        <w:rPr>
          <w:b w:val="0"/>
        </w:rPr>
      </w:pPr>
      <w:bookmarkStart w:id="363" w:name="_heading=h.3e8gvnb" w:colFirst="0" w:colLast="0"/>
      <w:bookmarkStart w:id="364" w:name="_Toc126943304"/>
      <w:bookmarkEnd w:id="363"/>
      <w:r w:rsidRPr="00F171A3">
        <w:t xml:space="preserve">Tabel </w:t>
      </w:r>
      <w:r w:rsidRPr="00F171A3">
        <w:fldChar w:fldCharType="begin"/>
      </w:r>
      <w:r w:rsidRPr="00F171A3">
        <w:instrText xml:space="preserve"> SEQ Tabel \* ARABIC </w:instrText>
      </w:r>
      <w:r w:rsidRPr="00F171A3">
        <w:fldChar w:fldCharType="separate"/>
      </w:r>
      <w:r w:rsidR="005A6DD8">
        <w:rPr>
          <w:noProof/>
        </w:rPr>
        <w:t>47</w:t>
      </w:r>
      <w:r w:rsidRPr="00F171A3">
        <w:fldChar w:fldCharType="end"/>
      </w:r>
      <w:r w:rsidRPr="00F171A3">
        <w:t xml:space="preserve"> </w:t>
      </w:r>
      <w:r w:rsidR="0006359E" w:rsidRPr="00F171A3">
        <w:t>Impozite și taxe pe proprietate și mijloace de transport la nivelul Primăriei Sector</w:t>
      </w:r>
      <w:r w:rsidR="00F53B80" w:rsidRPr="00F171A3">
        <w:t>ului</w:t>
      </w:r>
      <w:r w:rsidR="0006359E" w:rsidRPr="00F171A3">
        <w:t xml:space="preserve"> 2</w:t>
      </w:r>
      <w:bookmarkEnd w:id="364"/>
    </w:p>
    <w:tbl>
      <w:tblPr>
        <w:tblStyle w:val="ListTable3-Accent21"/>
        <w:tblW w:w="935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697"/>
        <w:gridCol w:w="2853"/>
        <w:gridCol w:w="2910"/>
        <w:gridCol w:w="1447"/>
        <w:gridCol w:w="1449"/>
      </w:tblGrid>
      <w:tr w:rsidR="0006359E" w:rsidRPr="00F171A3" w14:paraId="5234BB7F" w14:textId="77777777" w:rsidTr="00F555EE">
        <w:trPr>
          <w:cnfStyle w:val="100000000000" w:firstRow="1" w:lastRow="0" w:firstColumn="0" w:lastColumn="0" w:oddVBand="0" w:evenVBand="0" w:oddHBand="0" w:evenHBand="0" w:firstRowFirstColumn="0" w:firstRowLastColumn="0" w:lastRowFirstColumn="0" w:lastRowLastColumn="0"/>
          <w:trHeight w:val="586"/>
        </w:trPr>
        <w:tc>
          <w:tcPr>
            <w:tcW w:w="697" w:type="dxa"/>
            <w:vAlign w:val="center"/>
          </w:tcPr>
          <w:p w14:paraId="13565D06" w14:textId="15A8445E" w:rsidR="0006359E" w:rsidRPr="00F171A3" w:rsidRDefault="00F555EE" w:rsidP="00F555EE">
            <w:pPr>
              <w:jc w:val="center"/>
              <w:rPr>
                <w:sz w:val="20"/>
                <w:szCs w:val="20"/>
              </w:rPr>
            </w:pPr>
            <w:r w:rsidRPr="00F171A3">
              <w:rPr>
                <w:sz w:val="20"/>
                <w:szCs w:val="20"/>
              </w:rPr>
              <w:t>AN</w:t>
            </w:r>
          </w:p>
        </w:tc>
        <w:tc>
          <w:tcPr>
            <w:tcW w:w="2853" w:type="dxa"/>
            <w:vAlign w:val="center"/>
          </w:tcPr>
          <w:p w14:paraId="733B5DB5" w14:textId="65C4EC42" w:rsidR="0006359E" w:rsidRPr="00F171A3" w:rsidRDefault="00F555EE" w:rsidP="00F555EE">
            <w:pPr>
              <w:jc w:val="center"/>
              <w:rPr>
                <w:sz w:val="20"/>
                <w:szCs w:val="20"/>
              </w:rPr>
            </w:pPr>
            <w:r w:rsidRPr="00F171A3">
              <w:rPr>
                <w:sz w:val="20"/>
                <w:szCs w:val="20"/>
              </w:rPr>
              <w:t>IMPOZITE ȘI TAXE PE PROPRIETATE</w:t>
            </w:r>
          </w:p>
        </w:tc>
        <w:tc>
          <w:tcPr>
            <w:tcW w:w="2910" w:type="dxa"/>
            <w:vAlign w:val="center"/>
          </w:tcPr>
          <w:p w14:paraId="4786E13D" w14:textId="3C1F04B5" w:rsidR="0006359E" w:rsidRPr="00F171A3" w:rsidRDefault="00F555EE" w:rsidP="00F555EE">
            <w:pPr>
              <w:jc w:val="center"/>
              <w:rPr>
                <w:sz w:val="20"/>
                <w:szCs w:val="20"/>
              </w:rPr>
            </w:pPr>
            <w:r w:rsidRPr="00F171A3">
              <w:rPr>
                <w:sz w:val="20"/>
                <w:szCs w:val="20"/>
              </w:rPr>
              <w:t>IMPOZIT ȘI TAXE MIJLOACE DE TRANSPORT</w:t>
            </w:r>
          </w:p>
        </w:tc>
        <w:tc>
          <w:tcPr>
            <w:tcW w:w="2896" w:type="dxa"/>
            <w:gridSpan w:val="2"/>
            <w:vAlign w:val="center"/>
          </w:tcPr>
          <w:p w14:paraId="1C7BBE00" w14:textId="5D987074" w:rsidR="0006359E" w:rsidRPr="00F171A3" w:rsidRDefault="00F555EE" w:rsidP="00F555EE">
            <w:pPr>
              <w:jc w:val="center"/>
              <w:rPr>
                <w:sz w:val="20"/>
                <w:szCs w:val="20"/>
              </w:rPr>
            </w:pPr>
            <w:r w:rsidRPr="00F171A3">
              <w:rPr>
                <w:sz w:val="20"/>
                <w:szCs w:val="20"/>
              </w:rPr>
              <w:t>% DIN VENITURI TOTALE</w:t>
            </w:r>
          </w:p>
        </w:tc>
      </w:tr>
      <w:tr w:rsidR="0006359E" w:rsidRPr="00F171A3" w14:paraId="193E8956" w14:textId="77777777" w:rsidTr="00F555EE">
        <w:trPr>
          <w:cnfStyle w:val="000000100000" w:firstRow="0" w:lastRow="0" w:firstColumn="0" w:lastColumn="0" w:oddVBand="0" w:evenVBand="0" w:oddHBand="1" w:evenHBand="0" w:firstRowFirstColumn="0" w:firstRowLastColumn="0" w:lastRowFirstColumn="0" w:lastRowLastColumn="0"/>
          <w:trHeight w:val="568"/>
        </w:trPr>
        <w:tc>
          <w:tcPr>
            <w:tcW w:w="697" w:type="dxa"/>
            <w:tcBorders>
              <w:top w:val="none" w:sz="0" w:space="0" w:color="auto"/>
              <w:bottom w:val="none" w:sz="0" w:space="0" w:color="auto"/>
            </w:tcBorders>
            <w:shd w:val="clear" w:color="auto" w:fill="F2F2F2" w:themeFill="background1" w:themeFillShade="F2"/>
          </w:tcPr>
          <w:p w14:paraId="4C09EB80" w14:textId="77777777" w:rsidR="0006359E" w:rsidRPr="00F171A3" w:rsidRDefault="0006359E" w:rsidP="00F31936">
            <w:pPr>
              <w:rPr>
                <w:sz w:val="20"/>
                <w:szCs w:val="20"/>
              </w:rPr>
            </w:pPr>
            <w:r w:rsidRPr="00F171A3">
              <w:rPr>
                <w:sz w:val="20"/>
                <w:szCs w:val="20"/>
              </w:rPr>
              <w:t>2021</w:t>
            </w:r>
          </w:p>
        </w:tc>
        <w:tc>
          <w:tcPr>
            <w:tcW w:w="2853" w:type="dxa"/>
            <w:tcBorders>
              <w:top w:val="none" w:sz="0" w:space="0" w:color="auto"/>
              <w:bottom w:val="none" w:sz="0" w:space="0" w:color="auto"/>
            </w:tcBorders>
            <w:shd w:val="clear" w:color="auto" w:fill="F2F2F2" w:themeFill="background1" w:themeFillShade="F2"/>
          </w:tcPr>
          <w:p w14:paraId="339C6AB6" w14:textId="77777777" w:rsidR="0006359E" w:rsidRPr="00F171A3" w:rsidRDefault="0006359E" w:rsidP="00F31936">
            <w:pPr>
              <w:rPr>
                <w:sz w:val="20"/>
                <w:szCs w:val="20"/>
              </w:rPr>
            </w:pPr>
            <w:r w:rsidRPr="00F171A3">
              <w:rPr>
                <w:sz w:val="20"/>
                <w:szCs w:val="20"/>
              </w:rPr>
              <w:t>209,053,221 RON</w:t>
            </w:r>
          </w:p>
        </w:tc>
        <w:tc>
          <w:tcPr>
            <w:tcW w:w="2910" w:type="dxa"/>
            <w:tcBorders>
              <w:top w:val="none" w:sz="0" w:space="0" w:color="auto"/>
              <w:bottom w:val="none" w:sz="0" w:space="0" w:color="auto"/>
            </w:tcBorders>
            <w:shd w:val="clear" w:color="auto" w:fill="F2F2F2" w:themeFill="background1" w:themeFillShade="F2"/>
          </w:tcPr>
          <w:p w14:paraId="12B6A076" w14:textId="77777777" w:rsidR="0006359E" w:rsidRPr="00F171A3" w:rsidRDefault="0006359E" w:rsidP="00F31936">
            <w:pPr>
              <w:rPr>
                <w:sz w:val="20"/>
                <w:szCs w:val="20"/>
              </w:rPr>
            </w:pPr>
            <w:r w:rsidRPr="00F171A3">
              <w:rPr>
                <w:sz w:val="20"/>
                <w:szCs w:val="20"/>
              </w:rPr>
              <w:t>52,764, 883 RON</w:t>
            </w:r>
          </w:p>
        </w:tc>
        <w:tc>
          <w:tcPr>
            <w:tcW w:w="1447" w:type="dxa"/>
            <w:tcBorders>
              <w:top w:val="none" w:sz="0" w:space="0" w:color="auto"/>
              <w:bottom w:val="none" w:sz="0" w:space="0" w:color="auto"/>
            </w:tcBorders>
            <w:shd w:val="clear" w:color="auto" w:fill="F2F2F2" w:themeFill="background1" w:themeFillShade="F2"/>
          </w:tcPr>
          <w:p w14:paraId="03368844" w14:textId="77777777" w:rsidR="0006359E" w:rsidRPr="00F171A3" w:rsidRDefault="0006359E" w:rsidP="00F31936">
            <w:pPr>
              <w:rPr>
                <w:sz w:val="20"/>
                <w:szCs w:val="20"/>
              </w:rPr>
            </w:pPr>
            <w:r w:rsidRPr="00F171A3">
              <w:rPr>
                <w:color w:val="000000"/>
                <w:sz w:val="20"/>
                <w:szCs w:val="20"/>
              </w:rPr>
              <w:t>18.04%</w:t>
            </w:r>
          </w:p>
        </w:tc>
        <w:tc>
          <w:tcPr>
            <w:tcW w:w="1448" w:type="dxa"/>
            <w:tcBorders>
              <w:top w:val="none" w:sz="0" w:space="0" w:color="auto"/>
              <w:bottom w:val="none" w:sz="0" w:space="0" w:color="auto"/>
            </w:tcBorders>
            <w:shd w:val="clear" w:color="auto" w:fill="F2F2F2" w:themeFill="background1" w:themeFillShade="F2"/>
          </w:tcPr>
          <w:p w14:paraId="5E16516C" w14:textId="77777777" w:rsidR="0006359E" w:rsidRPr="00F171A3" w:rsidRDefault="0006359E" w:rsidP="00F31936">
            <w:pPr>
              <w:rPr>
                <w:sz w:val="20"/>
                <w:szCs w:val="20"/>
              </w:rPr>
            </w:pPr>
            <w:r w:rsidRPr="00F171A3">
              <w:rPr>
                <w:color w:val="000000"/>
                <w:sz w:val="20"/>
                <w:szCs w:val="20"/>
              </w:rPr>
              <w:t>4.55%</w:t>
            </w:r>
          </w:p>
        </w:tc>
      </w:tr>
      <w:tr w:rsidR="0006359E" w:rsidRPr="00F171A3" w14:paraId="41322413" w14:textId="77777777" w:rsidTr="00F555EE">
        <w:trPr>
          <w:trHeight w:val="344"/>
        </w:trPr>
        <w:tc>
          <w:tcPr>
            <w:tcW w:w="697" w:type="dxa"/>
            <w:shd w:val="clear" w:color="auto" w:fill="F2F2F2" w:themeFill="background1" w:themeFillShade="F2"/>
          </w:tcPr>
          <w:p w14:paraId="0F275E58" w14:textId="77777777" w:rsidR="0006359E" w:rsidRPr="00F171A3" w:rsidRDefault="0006359E" w:rsidP="00F31936">
            <w:pPr>
              <w:rPr>
                <w:sz w:val="20"/>
                <w:szCs w:val="20"/>
              </w:rPr>
            </w:pPr>
            <w:r w:rsidRPr="00F171A3">
              <w:rPr>
                <w:sz w:val="20"/>
                <w:szCs w:val="20"/>
              </w:rPr>
              <w:t>2020</w:t>
            </w:r>
          </w:p>
        </w:tc>
        <w:tc>
          <w:tcPr>
            <w:tcW w:w="2853" w:type="dxa"/>
            <w:shd w:val="clear" w:color="auto" w:fill="F2F2F2" w:themeFill="background1" w:themeFillShade="F2"/>
          </w:tcPr>
          <w:p w14:paraId="745B0EFC" w14:textId="77777777" w:rsidR="0006359E" w:rsidRPr="00F171A3" w:rsidRDefault="0006359E" w:rsidP="00F31936">
            <w:pPr>
              <w:rPr>
                <w:sz w:val="20"/>
                <w:szCs w:val="20"/>
              </w:rPr>
            </w:pPr>
            <w:r w:rsidRPr="00F171A3">
              <w:rPr>
                <w:sz w:val="20"/>
                <w:szCs w:val="20"/>
              </w:rPr>
              <w:t>176,602,220 RON</w:t>
            </w:r>
          </w:p>
        </w:tc>
        <w:tc>
          <w:tcPr>
            <w:tcW w:w="2910" w:type="dxa"/>
            <w:shd w:val="clear" w:color="auto" w:fill="F2F2F2" w:themeFill="background1" w:themeFillShade="F2"/>
          </w:tcPr>
          <w:p w14:paraId="645AE284" w14:textId="77777777" w:rsidR="0006359E" w:rsidRPr="00F171A3" w:rsidRDefault="0006359E" w:rsidP="00F31936">
            <w:pPr>
              <w:rPr>
                <w:sz w:val="20"/>
                <w:szCs w:val="20"/>
              </w:rPr>
            </w:pPr>
            <w:r w:rsidRPr="00F171A3">
              <w:rPr>
                <w:sz w:val="20"/>
                <w:szCs w:val="20"/>
              </w:rPr>
              <w:t>43,433,273 RON</w:t>
            </w:r>
          </w:p>
        </w:tc>
        <w:tc>
          <w:tcPr>
            <w:tcW w:w="1447" w:type="dxa"/>
            <w:shd w:val="clear" w:color="auto" w:fill="F2F2F2" w:themeFill="background1" w:themeFillShade="F2"/>
          </w:tcPr>
          <w:p w14:paraId="0DB0BD4B" w14:textId="77777777" w:rsidR="0006359E" w:rsidRPr="00F171A3" w:rsidRDefault="0006359E" w:rsidP="00F31936">
            <w:pPr>
              <w:rPr>
                <w:sz w:val="20"/>
                <w:szCs w:val="20"/>
              </w:rPr>
            </w:pPr>
            <w:r w:rsidRPr="00F171A3">
              <w:rPr>
                <w:color w:val="000000"/>
                <w:sz w:val="20"/>
                <w:szCs w:val="20"/>
              </w:rPr>
              <w:t>17.17%</w:t>
            </w:r>
          </w:p>
        </w:tc>
        <w:tc>
          <w:tcPr>
            <w:tcW w:w="1448" w:type="dxa"/>
            <w:shd w:val="clear" w:color="auto" w:fill="F2F2F2" w:themeFill="background1" w:themeFillShade="F2"/>
          </w:tcPr>
          <w:p w14:paraId="505AA9D5" w14:textId="77777777" w:rsidR="0006359E" w:rsidRPr="00F171A3" w:rsidRDefault="0006359E" w:rsidP="00F31936">
            <w:pPr>
              <w:rPr>
                <w:sz w:val="20"/>
                <w:szCs w:val="20"/>
              </w:rPr>
            </w:pPr>
            <w:r w:rsidRPr="00F171A3">
              <w:rPr>
                <w:color w:val="000000"/>
                <w:sz w:val="20"/>
                <w:szCs w:val="20"/>
              </w:rPr>
              <w:t>4.22%</w:t>
            </w:r>
          </w:p>
        </w:tc>
      </w:tr>
      <w:tr w:rsidR="0006359E" w:rsidRPr="00F171A3" w14:paraId="6E791B0C" w14:textId="77777777" w:rsidTr="00F555EE">
        <w:trPr>
          <w:cnfStyle w:val="000000100000" w:firstRow="0" w:lastRow="0" w:firstColumn="0" w:lastColumn="0" w:oddVBand="0" w:evenVBand="0" w:oddHBand="1" w:evenHBand="0" w:firstRowFirstColumn="0" w:firstRowLastColumn="0" w:lastRowFirstColumn="0" w:lastRowLastColumn="0"/>
          <w:trHeight w:val="335"/>
        </w:trPr>
        <w:tc>
          <w:tcPr>
            <w:tcW w:w="697" w:type="dxa"/>
            <w:tcBorders>
              <w:top w:val="none" w:sz="0" w:space="0" w:color="auto"/>
              <w:bottom w:val="none" w:sz="0" w:space="0" w:color="auto"/>
            </w:tcBorders>
            <w:shd w:val="clear" w:color="auto" w:fill="F2F2F2" w:themeFill="background1" w:themeFillShade="F2"/>
          </w:tcPr>
          <w:p w14:paraId="3B9EC29F" w14:textId="77777777" w:rsidR="0006359E" w:rsidRPr="00F171A3" w:rsidRDefault="0006359E" w:rsidP="00F31936">
            <w:pPr>
              <w:rPr>
                <w:sz w:val="20"/>
                <w:szCs w:val="20"/>
              </w:rPr>
            </w:pPr>
            <w:r w:rsidRPr="00F171A3">
              <w:rPr>
                <w:sz w:val="20"/>
                <w:szCs w:val="20"/>
              </w:rPr>
              <w:t>2019</w:t>
            </w:r>
          </w:p>
        </w:tc>
        <w:tc>
          <w:tcPr>
            <w:tcW w:w="2853" w:type="dxa"/>
            <w:tcBorders>
              <w:top w:val="none" w:sz="0" w:space="0" w:color="auto"/>
              <w:bottom w:val="none" w:sz="0" w:space="0" w:color="auto"/>
            </w:tcBorders>
            <w:shd w:val="clear" w:color="auto" w:fill="F2F2F2" w:themeFill="background1" w:themeFillShade="F2"/>
          </w:tcPr>
          <w:p w14:paraId="549D1FCF" w14:textId="77777777" w:rsidR="0006359E" w:rsidRPr="00F171A3" w:rsidRDefault="0006359E" w:rsidP="00F31936">
            <w:pPr>
              <w:rPr>
                <w:sz w:val="20"/>
                <w:szCs w:val="20"/>
              </w:rPr>
            </w:pPr>
            <w:r w:rsidRPr="00F171A3">
              <w:rPr>
                <w:sz w:val="20"/>
                <w:szCs w:val="20"/>
              </w:rPr>
              <w:t>200,828,405 RON</w:t>
            </w:r>
          </w:p>
        </w:tc>
        <w:tc>
          <w:tcPr>
            <w:tcW w:w="2910" w:type="dxa"/>
            <w:tcBorders>
              <w:top w:val="none" w:sz="0" w:space="0" w:color="auto"/>
              <w:bottom w:val="none" w:sz="0" w:space="0" w:color="auto"/>
            </w:tcBorders>
            <w:shd w:val="clear" w:color="auto" w:fill="F2F2F2" w:themeFill="background1" w:themeFillShade="F2"/>
          </w:tcPr>
          <w:p w14:paraId="2ADA1E12" w14:textId="77777777" w:rsidR="0006359E" w:rsidRPr="00F171A3" w:rsidRDefault="0006359E" w:rsidP="00F31936">
            <w:pPr>
              <w:rPr>
                <w:sz w:val="20"/>
                <w:szCs w:val="20"/>
              </w:rPr>
            </w:pPr>
            <w:r w:rsidRPr="00F171A3">
              <w:rPr>
                <w:sz w:val="20"/>
                <w:szCs w:val="20"/>
              </w:rPr>
              <w:t>46,619,896 RON</w:t>
            </w:r>
          </w:p>
        </w:tc>
        <w:tc>
          <w:tcPr>
            <w:tcW w:w="1447" w:type="dxa"/>
            <w:tcBorders>
              <w:top w:val="none" w:sz="0" w:space="0" w:color="auto"/>
              <w:bottom w:val="none" w:sz="0" w:space="0" w:color="auto"/>
            </w:tcBorders>
            <w:shd w:val="clear" w:color="auto" w:fill="F2F2F2" w:themeFill="background1" w:themeFillShade="F2"/>
          </w:tcPr>
          <w:p w14:paraId="0CC0522A" w14:textId="77777777" w:rsidR="0006359E" w:rsidRPr="00F171A3" w:rsidRDefault="0006359E" w:rsidP="00F31936">
            <w:pPr>
              <w:rPr>
                <w:sz w:val="20"/>
                <w:szCs w:val="20"/>
              </w:rPr>
            </w:pPr>
            <w:r w:rsidRPr="00F171A3">
              <w:rPr>
                <w:color w:val="000000"/>
                <w:sz w:val="20"/>
                <w:szCs w:val="20"/>
              </w:rPr>
              <w:t>22.56%</w:t>
            </w:r>
          </w:p>
        </w:tc>
        <w:tc>
          <w:tcPr>
            <w:tcW w:w="1448" w:type="dxa"/>
            <w:tcBorders>
              <w:top w:val="none" w:sz="0" w:space="0" w:color="auto"/>
              <w:bottom w:val="none" w:sz="0" w:space="0" w:color="auto"/>
            </w:tcBorders>
            <w:shd w:val="clear" w:color="auto" w:fill="F2F2F2" w:themeFill="background1" w:themeFillShade="F2"/>
          </w:tcPr>
          <w:p w14:paraId="491CBC85" w14:textId="77777777" w:rsidR="0006359E" w:rsidRPr="00F171A3" w:rsidRDefault="0006359E" w:rsidP="00F31936">
            <w:pPr>
              <w:rPr>
                <w:sz w:val="20"/>
                <w:szCs w:val="20"/>
              </w:rPr>
            </w:pPr>
            <w:r w:rsidRPr="00F171A3">
              <w:rPr>
                <w:color w:val="000000"/>
                <w:sz w:val="20"/>
                <w:szCs w:val="20"/>
              </w:rPr>
              <w:t>5.24%</w:t>
            </w:r>
          </w:p>
        </w:tc>
      </w:tr>
    </w:tbl>
    <w:p w14:paraId="3E545B71" w14:textId="77777777" w:rsidR="00F555EE" w:rsidRPr="00F171A3" w:rsidRDefault="00F555EE" w:rsidP="00F555EE">
      <w:bookmarkStart w:id="365" w:name="_heading=h.1tdr5v4" w:colFirst="0" w:colLast="0"/>
      <w:bookmarkStart w:id="366" w:name="_Toc114505911"/>
      <w:bookmarkEnd w:id="365"/>
    </w:p>
    <w:p w14:paraId="370F884E" w14:textId="3C69826D" w:rsidR="0006359E" w:rsidRPr="00F171A3" w:rsidRDefault="001E0A0F" w:rsidP="001E0A0F">
      <w:pPr>
        <w:pStyle w:val="Heading4"/>
      </w:pPr>
      <w:r w:rsidRPr="00F171A3">
        <w:t>ANALIZA CHELTUIELILOR LA NIVELUL PRIMĂRIEI SECTOR</w:t>
      </w:r>
      <w:r w:rsidR="00135D70" w:rsidRPr="00F171A3">
        <w:t>ULUI</w:t>
      </w:r>
      <w:r w:rsidRPr="00F171A3">
        <w:t xml:space="preserve"> 2</w:t>
      </w:r>
      <w:bookmarkEnd w:id="366"/>
      <w:r w:rsidRPr="00F171A3">
        <w:t xml:space="preserve"> </w:t>
      </w:r>
    </w:p>
    <w:p w14:paraId="69ECF65E" w14:textId="070EEB29" w:rsidR="0006359E" w:rsidRPr="00F171A3" w:rsidRDefault="0006359E" w:rsidP="0006359E">
      <w:r w:rsidRPr="00F171A3">
        <w:t>Primăria Sector</w:t>
      </w:r>
      <w:r w:rsidR="00135D70" w:rsidRPr="00F171A3">
        <w:t>ului</w:t>
      </w:r>
      <w:r w:rsidRPr="00F171A3">
        <w:t xml:space="preserve"> 2 a raportat cheltuieli la nivelul anului 2021 de 1,16 miliarde RON, o variație de 8% comparativ cu anul 2020, însă sub creșterea procentuală anuală a veniturilor (13%). Acest lucru a permis un rezultat financiar anual de minus 1,6 milioane RON, o scădere semnificativă a deficitului bugetar anual de la  minus 42 milioane RON în 2020 și minus 198,2 milioane RON în 2019.  </w:t>
      </w:r>
    </w:p>
    <w:p w14:paraId="42B472C7" w14:textId="77777777" w:rsidR="0006359E" w:rsidRPr="00F171A3" w:rsidRDefault="0006359E" w:rsidP="0006359E"/>
    <w:p w14:paraId="1FA41516" w14:textId="77777777" w:rsidR="0006359E" w:rsidRPr="00F171A3" w:rsidRDefault="0006359E" w:rsidP="0006359E"/>
    <w:p w14:paraId="74C9A9D5" w14:textId="7CC913BD" w:rsidR="0006359E" w:rsidRPr="00F171A3" w:rsidRDefault="00AF2C45" w:rsidP="00AF2C45">
      <w:pPr>
        <w:pStyle w:val="Caption"/>
        <w:rPr>
          <w:b w:val="0"/>
        </w:rPr>
      </w:pPr>
      <w:bookmarkStart w:id="367" w:name="_heading=h.4ddeoix" w:colFirst="0" w:colLast="0"/>
      <w:bookmarkStart w:id="368" w:name="_Toc126943305"/>
      <w:bookmarkEnd w:id="367"/>
      <w:r w:rsidRPr="00F171A3">
        <w:t xml:space="preserve">Tabel </w:t>
      </w:r>
      <w:r w:rsidRPr="00F171A3">
        <w:fldChar w:fldCharType="begin"/>
      </w:r>
      <w:r w:rsidRPr="00F171A3">
        <w:instrText xml:space="preserve"> SEQ Tabel \* ARABIC </w:instrText>
      </w:r>
      <w:r w:rsidRPr="00F171A3">
        <w:fldChar w:fldCharType="separate"/>
      </w:r>
      <w:r w:rsidR="005A6DD8">
        <w:rPr>
          <w:noProof/>
        </w:rPr>
        <w:t>48</w:t>
      </w:r>
      <w:r w:rsidRPr="00F171A3">
        <w:fldChar w:fldCharType="end"/>
      </w:r>
      <w:r w:rsidRPr="00F171A3">
        <w:t xml:space="preserve"> </w:t>
      </w:r>
      <w:r w:rsidR="0006359E" w:rsidRPr="00F171A3">
        <w:t>Cheltuieli la nivelul Primăriei Sector</w:t>
      </w:r>
      <w:r w:rsidR="00135D70" w:rsidRPr="00F171A3">
        <w:t>ului</w:t>
      </w:r>
      <w:r w:rsidR="0006359E" w:rsidRPr="00F171A3">
        <w:t xml:space="preserve"> 2 în perioada 2015-2021</w:t>
      </w:r>
      <w:bookmarkEnd w:id="368"/>
    </w:p>
    <w:p w14:paraId="77853D19" w14:textId="77777777" w:rsidR="0006359E" w:rsidRPr="00F171A3" w:rsidRDefault="0006359E" w:rsidP="0006359E">
      <w:pPr>
        <w:jc w:val="left"/>
        <w:rPr>
          <w:i/>
          <w:color w:val="7F7F7F"/>
          <w:sz w:val="18"/>
          <w:szCs w:val="18"/>
          <w:highlight w:val="yellow"/>
        </w:rPr>
      </w:pPr>
      <w:r w:rsidRPr="00F171A3">
        <w:rPr>
          <w:i/>
          <w:color w:val="7F7F7F"/>
          <w:sz w:val="18"/>
          <w:szCs w:val="18"/>
        </w:rPr>
        <w:object w:dxaOrig="9834" w:dyaOrig="4920" w14:anchorId="7C8EFE4F">
          <v:shape id="_x0000_i1026" type="#_x0000_t75" style="width:492.7pt;height:246pt" o:ole="">
            <v:imagedata r:id="rId194" o:title=""/>
          </v:shape>
          <o:OLEObject Type="Embed" ProgID="Excel.Sheet.12" ShapeID="_x0000_i1026" DrawAspect="Content" ObjectID="_1740489887" r:id="rId195"/>
        </w:object>
      </w:r>
    </w:p>
    <w:p w14:paraId="4D85D780" w14:textId="79F2D30B"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Ministerul Dezvoltării, Lucrărilor Publice și Administrației, Direcția pentru Politici Fiscale și Bugetare Locale, respectiv Primăria Sector</w:t>
      </w:r>
      <w:r w:rsidR="00135D70" w:rsidRPr="00F171A3">
        <w:rPr>
          <w:color w:val="BFBFBF" w:themeColor="background1" w:themeShade="BF"/>
        </w:rPr>
        <w:t>ului</w:t>
      </w:r>
      <w:r w:rsidRPr="00F171A3">
        <w:rPr>
          <w:color w:val="BFBFBF" w:themeColor="background1" w:themeShade="BF"/>
        </w:rPr>
        <w:t xml:space="preserve"> 2 </w:t>
      </w:r>
    </w:p>
    <w:p w14:paraId="22A9273D" w14:textId="77777777" w:rsidR="0006359E" w:rsidRPr="00F171A3" w:rsidRDefault="0006359E" w:rsidP="0006359E">
      <w:pPr>
        <w:spacing w:before="240"/>
      </w:pPr>
      <w:r w:rsidRPr="00F171A3">
        <w:t xml:space="preserve">Cheltuielile de funcționare ale Primăriei au reprezentat 848,2 milioane RON în 2021, în scădere față de anul fiscal anterior. Cu toate acestea, cheltuielile de funcționare reprezintă în anul 2021 aproximativ 73% din totalul cheltuielilor și 88% din totalul veniturilor proprii, inclusiv din cotele defalcate IPV (sau 73% din totalul veniturilor). În 2020, cheltuielile de funcționare au fost de 881 milioane RON, iar în 2019 de 789 milioane RON. </w:t>
      </w:r>
    </w:p>
    <w:p w14:paraId="4E530B8D" w14:textId="77777777" w:rsidR="0006359E" w:rsidRPr="00F171A3" w:rsidRDefault="0006359E" w:rsidP="0006359E">
      <w:pPr>
        <w:spacing w:before="240"/>
      </w:pPr>
      <w:r w:rsidRPr="00F171A3">
        <w:t xml:space="preserve">Cheltuielile de dezvoltare ale Primăriei au fost de 312 milioane RON în 2021, o creștere semnificativă comparativ cu anul precedent când acestea se cifrau la 189,3 milioane RON. Secțiunea de dezvoltarea a reprezentat 27% din totalul cheltuielilor în 2021, în creștere de la 17.6% în 2020. Mai mult, cheltuielile cu secțiunea de dezvoltare au fost chiar mai ridicate decât cele planificate în forma inițială a bugetului anual adoptat inițial (105.1%). </w:t>
      </w:r>
    </w:p>
    <w:p w14:paraId="62EF097F" w14:textId="77777777" w:rsidR="0006359E" w:rsidRPr="00F171A3" w:rsidRDefault="0006359E" w:rsidP="0006359E">
      <w:pPr>
        <w:spacing w:before="240"/>
      </w:pPr>
      <w:r w:rsidRPr="00F171A3">
        <w:t>În 2021, cheltuielile de personal au reprezentat 21% din totalul cheltuielilor, bunuri și servicii 27.3%, iar transferurile între unitățile administrației publice locale aproape 20%. Cheltuielile de capital au fost de aproape 17%, iar cheltuielile cu proiecte FEN de numai 0.25%.</w:t>
      </w:r>
    </w:p>
    <w:p w14:paraId="074C2ED9" w14:textId="77777777" w:rsidR="0006359E" w:rsidRPr="00F171A3" w:rsidRDefault="0006359E" w:rsidP="0006359E">
      <w:r w:rsidRPr="00F171A3">
        <w:t xml:space="preserve">Costurile de personal au avut fluctuații minore în perioada 2020-2021, dar sunt mai ridicate comparativ cu anul 2019 (17%) și semnificativ peste creșterea generală a cheltuielilor (6%). Trendul este unul invers în ceea ce ține de costurile privind </w:t>
      </w:r>
      <w:r w:rsidRPr="00F171A3">
        <w:rPr>
          <w:i/>
        </w:rPr>
        <w:t>Bunuri și Servicii</w:t>
      </w:r>
      <w:r w:rsidRPr="00F171A3">
        <w:t xml:space="preserve">, în scădere în 2021 (316.8 milioane RON) comparativ cu 2020 (348.8 milioane RON). Transferurile între unitățile administrației publice locale sunt și ele pe un trend crescător (de la 205 milioane RON în 2020 la 229 milioane RON în 2021). </w:t>
      </w:r>
    </w:p>
    <w:p w14:paraId="10ADE8EB" w14:textId="77777777" w:rsidR="0006359E" w:rsidRPr="00F171A3" w:rsidRDefault="0006359E" w:rsidP="0006359E">
      <w:r w:rsidRPr="00F171A3">
        <w:t>Costurile cu rambursările de credite, inclusiv dobânzile aferente, sunt scăzute, de aprox. 4%, cu dobânzi de numai 6.56 milioane RON în anul 2021. Rata de îndatorare a municipalității este redusă. Municipalitatea are în derulare un credit de investiții contractat în 2005 (cu perioada de rambursare 2010-2032) de 265 milioane RON.</w:t>
      </w:r>
    </w:p>
    <w:p w14:paraId="7ACD27AE" w14:textId="77777777" w:rsidR="0006359E" w:rsidRPr="00F171A3" w:rsidRDefault="0006359E" w:rsidP="0006359E">
      <w:pPr>
        <w:rPr>
          <w:b/>
          <w:i/>
          <w:color w:val="7F7F7F"/>
        </w:rPr>
      </w:pPr>
      <w:bookmarkStart w:id="369" w:name="_heading=h.2sioyqq" w:colFirst="0" w:colLast="0"/>
      <w:bookmarkEnd w:id="369"/>
    </w:p>
    <w:p w14:paraId="2B7833C6" w14:textId="66C6550B" w:rsidR="0006359E" w:rsidRPr="00F171A3" w:rsidRDefault="00AF2C45" w:rsidP="00AF2C45">
      <w:pPr>
        <w:pStyle w:val="Caption"/>
        <w:rPr>
          <w:b w:val="0"/>
        </w:rPr>
      </w:pPr>
      <w:bookmarkStart w:id="370" w:name="_Toc126943306"/>
      <w:r w:rsidRPr="00F171A3">
        <w:t xml:space="preserve">Tabel </w:t>
      </w:r>
      <w:r w:rsidRPr="00F171A3">
        <w:fldChar w:fldCharType="begin"/>
      </w:r>
      <w:r w:rsidRPr="00F171A3">
        <w:instrText xml:space="preserve"> SEQ Tabel \* ARABIC </w:instrText>
      </w:r>
      <w:r w:rsidRPr="00F171A3">
        <w:fldChar w:fldCharType="separate"/>
      </w:r>
      <w:r w:rsidR="005A6DD8">
        <w:rPr>
          <w:noProof/>
        </w:rPr>
        <w:t>49</w:t>
      </w:r>
      <w:r w:rsidRPr="00F171A3">
        <w:fldChar w:fldCharType="end"/>
      </w:r>
      <w:r w:rsidRPr="00F171A3">
        <w:t xml:space="preserve"> </w:t>
      </w:r>
      <w:r w:rsidR="0006359E" w:rsidRPr="00F171A3">
        <w:t>Cheltuieli conform clasificației funcționale în perioada 2015-2021</w:t>
      </w:r>
      <w:bookmarkEnd w:id="370"/>
    </w:p>
    <w:p w14:paraId="3D670C9F" w14:textId="4B4E5955" w:rsidR="0006359E" w:rsidRPr="00F171A3" w:rsidRDefault="0006359E" w:rsidP="00AF2C45">
      <w:pPr>
        <w:jc w:val="right"/>
        <w:rPr>
          <w:color w:val="BFBFBF" w:themeColor="background1" w:themeShade="BF"/>
        </w:rPr>
      </w:pPr>
      <w:r w:rsidRPr="00F171A3">
        <w:rPr>
          <w:color w:val="BFBFBF" w:themeColor="background1" w:themeShade="BF"/>
        </w:rPr>
        <w:t>Surs</w:t>
      </w:r>
      <w:r w:rsidR="00AF2C45" w:rsidRPr="00F171A3">
        <w:rPr>
          <w:color w:val="BFBFBF" w:themeColor="background1" w:themeShade="BF"/>
        </w:rPr>
        <w:t>a</w:t>
      </w:r>
      <w:r w:rsidRPr="00F171A3">
        <w:rPr>
          <w:color w:val="BFBFBF" w:themeColor="background1" w:themeShade="BF"/>
        </w:rPr>
        <w:t>: Prelucrare proprie pe baza datelor publice prezentate de Ministerul Dezvoltării, Lucrărilor Publice și Administrației, Direcția pentru Politici Fiscale și Bugetare Locale, respectiv Primăria Municipiului Sector 2</w:t>
      </w:r>
      <w:r w:rsidR="00000000">
        <w:rPr>
          <w:noProof/>
          <w:color w:val="BFBFBF" w:themeColor="background1" w:themeShade="BF"/>
        </w:rPr>
        <w:object w:dxaOrig="1440" w:dyaOrig="1440" w14:anchorId="1BCC02AA">
          <v:shape id="_x0000_s2059" type="#_x0000_t75" style="position:absolute;left:0;text-align:left;margin-left:0;margin-top:0;width:510.5pt;height:222.1pt;z-index:251660288;mso-position-horizontal:absolute;mso-position-horizontal-relative:text;mso-position-vertical:absolute;mso-position-vertical-relative:text" wrapcoords="-32 0 -32 21454 21600 21454 21600 0 -32 0">
            <v:imagedata r:id="rId196" o:title=""/>
            <w10:wrap type="tight"/>
          </v:shape>
          <o:OLEObject Type="Embed" ProgID="Excel.Sheet.12" ShapeID="_x0000_s2059" DrawAspect="Content" ObjectID="_1740489890" r:id="rId197"/>
        </w:object>
      </w:r>
    </w:p>
    <w:p w14:paraId="239930C5" w14:textId="77777777" w:rsidR="0006359E" w:rsidRPr="00F171A3" w:rsidRDefault="0006359E" w:rsidP="00F555EE">
      <w:pPr>
        <w:pBdr>
          <w:top w:val="nil"/>
          <w:left w:val="nil"/>
          <w:bottom w:val="nil"/>
          <w:right w:val="nil"/>
          <w:between w:val="nil"/>
        </w:pBdr>
        <w:spacing w:before="120" w:after="360"/>
        <w:jc w:val="left"/>
        <w:rPr>
          <w:color w:val="808080"/>
          <w:sz w:val="20"/>
          <w:szCs w:val="20"/>
        </w:rPr>
      </w:pPr>
    </w:p>
    <w:p w14:paraId="46F0C30B" w14:textId="6B9A9B3A" w:rsidR="0006359E" w:rsidRPr="00F171A3" w:rsidRDefault="0006359E" w:rsidP="0006359E">
      <w:pPr>
        <w:pStyle w:val="Heading3"/>
        <w:rPr>
          <w:lang w:val="ro-RO"/>
        </w:rPr>
      </w:pPr>
      <w:bookmarkStart w:id="371" w:name="_heading=h.17nz8yj" w:colFirst="0" w:colLast="0"/>
      <w:bookmarkStart w:id="372" w:name="_heading=h.3rnmrmc" w:colFirst="0" w:colLast="0"/>
      <w:bookmarkStart w:id="373" w:name="_Toc114505912"/>
      <w:bookmarkStart w:id="374" w:name="_Toc127199300"/>
      <w:bookmarkEnd w:id="371"/>
      <w:bookmarkEnd w:id="372"/>
      <w:r w:rsidRPr="00F171A3">
        <w:rPr>
          <w:lang w:val="ro-RO"/>
        </w:rPr>
        <w:t>POLITICA DE INVESTIȚII LA NIVELUL PRIMĂRIEI SECTOR</w:t>
      </w:r>
      <w:r w:rsidR="00135D70" w:rsidRPr="00F171A3">
        <w:rPr>
          <w:lang w:val="ro-RO"/>
        </w:rPr>
        <w:t>ULUI</w:t>
      </w:r>
      <w:r w:rsidRPr="00F171A3">
        <w:rPr>
          <w:lang w:val="ro-RO"/>
        </w:rPr>
        <w:t xml:space="preserve"> 2</w:t>
      </w:r>
      <w:bookmarkEnd w:id="373"/>
      <w:bookmarkEnd w:id="374"/>
      <w:r w:rsidRPr="00F171A3">
        <w:rPr>
          <w:lang w:val="ro-RO"/>
        </w:rPr>
        <w:t xml:space="preserve"> </w:t>
      </w:r>
    </w:p>
    <w:p w14:paraId="1D774FCB" w14:textId="77DAB660" w:rsidR="0006359E" w:rsidRPr="00F171A3" w:rsidRDefault="0006359E" w:rsidP="0006359E">
      <w:r w:rsidRPr="00F171A3">
        <w:t>Primăria Sector</w:t>
      </w:r>
      <w:r w:rsidR="00135D70" w:rsidRPr="00F171A3">
        <w:t>ului</w:t>
      </w:r>
      <w:r w:rsidRPr="00F171A3">
        <w:t xml:space="preserve"> 2, ca orice altă autoritate publică locală, are patru surse principale de finanțare a investițiilor de capital:  </w:t>
      </w:r>
    </w:p>
    <w:p w14:paraId="053CED93"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Utilizarea resurselor financiare proprii;  </w:t>
      </w:r>
    </w:p>
    <w:p w14:paraId="0D72D72E"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Utilizarea fondurilor europene nerambursabile sau alte surse externe de finanțare nerambursabile; </w:t>
      </w:r>
    </w:p>
    <w:p w14:paraId="09B5AAB9"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Utilizarea subvențiilor de la nivel central pentru finanțarea investițiilor de capital (ex: Programul Național de Dezvoltare Locală);</w:t>
      </w:r>
    </w:p>
    <w:p w14:paraId="196338BA"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Contractarea de împrumuturi pentru investiții de la instituțiile de stat, instituții internaționale sau bănci comerciale.</w:t>
      </w:r>
    </w:p>
    <w:p w14:paraId="0E83EFEB" w14:textId="77777777" w:rsidR="0006359E" w:rsidRPr="00F171A3" w:rsidRDefault="0006359E" w:rsidP="0006359E">
      <w:r w:rsidRPr="00F171A3">
        <w:t xml:space="preserve">Politica de investiții este un factor cheie în dezvoltarea sustenabilă a administrației. Autoritatea publică locală are delegate atribuții și responsabilități și poate implementa proiecte de investiții într-un număr ridicat de domenii cu impact direct asupra calității vieții urbane. </w:t>
      </w:r>
    </w:p>
    <w:p w14:paraId="7697D49F" w14:textId="77777777" w:rsidR="0006359E" w:rsidRPr="00F171A3" w:rsidRDefault="0006359E" w:rsidP="0006359E">
      <w:r w:rsidRPr="00F171A3">
        <w:t xml:space="preserve">Planul de investiții al municipalității trebuie să țină cont, în primul rând, de nevoile identificate la nivelul sectorului. Pregătirea planului anual de investiții trebuie să urmeze o procedură transparentă, să se fundamenteze pe formate extinse de dezbatere a acestuia cu cetățenii (și nu doar prin utilizarea limitată a </w:t>
      </w:r>
      <w:r w:rsidRPr="00F171A3">
        <w:rPr>
          <w:i/>
        </w:rPr>
        <w:t>Legii privind transparența decizională</w:t>
      </w:r>
      <w:r w:rsidRPr="00F171A3">
        <w:t xml:space="preserve">), urmărindu-se viziunea de dezvoltare și prioritățile asumate de administrație în documentele strategice. </w:t>
      </w:r>
    </w:p>
    <w:p w14:paraId="39C4D831" w14:textId="77777777" w:rsidR="0006359E" w:rsidRPr="00F171A3" w:rsidRDefault="0006359E" w:rsidP="0006359E">
      <w:r w:rsidRPr="00F171A3">
        <w:t xml:space="preserve">Mai mult, decizia de investiție trebuie să se fundamenteze și pe (i) resursele disponibile (posibilitatea a atrage fonduri externe nerambursabile pentru investiții este o dimensiune cheie), (ii) raportul cost beneficiu și costurile de mentenanță, (iii) impactul investiției în îmbunătățirea dezvoltării urbane și calității vieții și (v) randamentul investiției. </w:t>
      </w:r>
    </w:p>
    <w:p w14:paraId="4FA6902A" w14:textId="77777777" w:rsidR="0006359E" w:rsidRPr="00F171A3" w:rsidRDefault="0006359E" w:rsidP="0006359E">
      <w:r w:rsidRPr="00F171A3">
        <w:t>Paleta de opțiuni pentru finanțarea investițiilor la nivel local este cuprinzătoare. Opțiunile de finanțare nu se exclud, ci ar trebui abordate complementar, pentru identificarea surselor optime pentru investițiile de la nivel local. Programele de investiții ale municipalităților trebuie corelate cu programele de finanțare europene și să le adapteze obiectivelor cheie ale cadrelor financiare multianuale (și, începând cu 2022, și aferente Planului Național de Redresare și Reziliență). Proiectele trebuie pregătite în timp util și o listă de proiecte prioritare trebuie avute în vedere pentru a maximiza impactul acestora și beneficia de resurse financiare încă de la lansarea axelor de finanțare.</w:t>
      </w:r>
    </w:p>
    <w:p w14:paraId="43F57639" w14:textId="77777777" w:rsidR="0006359E" w:rsidRPr="00F171A3" w:rsidRDefault="0006359E" w:rsidP="0006359E">
      <w:r w:rsidRPr="00F171A3">
        <w:t xml:space="preserve">Figura următoare arată comparativ cheltuielile de capital de la nivelul Primăriile de Sector din București în perioada 2007-2020. </w:t>
      </w:r>
    </w:p>
    <w:p w14:paraId="3AC52FD1" w14:textId="099958C3" w:rsidR="0006359E" w:rsidRPr="00F171A3" w:rsidRDefault="002278A7" w:rsidP="002278A7">
      <w:pPr>
        <w:pStyle w:val="Caption"/>
        <w:rPr>
          <w:b w:val="0"/>
        </w:rPr>
      </w:pPr>
      <w:bookmarkStart w:id="375" w:name="_heading=h.26sx1u5" w:colFirst="0" w:colLast="0"/>
      <w:bookmarkStart w:id="376" w:name="_Toc127198116"/>
      <w:bookmarkEnd w:id="375"/>
      <w:r w:rsidRPr="00F171A3">
        <w:t xml:space="preserve">Figura </w:t>
      </w:r>
      <w:r w:rsidRPr="00F171A3">
        <w:fldChar w:fldCharType="begin"/>
      </w:r>
      <w:r w:rsidRPr="00F171A3">
        <w:instrText xml:space="preserve"> SEQ Figura \* ARABIC </w:instrText>
      </w:r>
      <w:r w:rsidRPr="00F171A3">
        <w:fldChar w:fldCharType="separate"/>
      </w:r>
      <w:r w:rsidR="005A6DD8">
        <w:rPr>
          <w:noProof/>
        </w:rPr>
        <w:t>128</w:t>
      </w:r>
      <w:r w:rsidRPr="00F171A3">
        <w:fldChar w:fldCharType="end"/>
      </w:r>
      <w:r w:rsidRPr="00F171A3">
        <w:t xml:space="preserve"> </w:t>
      </w:r>
      <w:r w:rsidR="0006359E" w:rsidRPr="00F171A3">
        <w:t>Cheltuieli de capital la nivelul primăriilor de sector în perioada 2007-2020</w:t>
      </w:r>
      <w:bookmarkEnd w:id="376"/>
    </w:p>
    <w:bookmarkStart w:id="377" w:name="_heading=h.ly7c1y" w:colFirst="0" w:colLast="0"/>
    <w:bookmarkEnd w:id="377"/>
    <w:p w14:paraId="39C826DD" w14:textId="5BD03BA4" w:rsidR="0006359E" w:rsidRPr="00F171A3" w:rsidRDefault="002278A7" w:rsidP="0006359E">
      <w:pPr>
        <w:jc w:val="center"/>
        <w:rPr>
          <w:highlight w:val="yellow"/>
        </w:rPr>
      </w:pPr>
      <w:r w:rsidRPr="00F171A3">
        <w:object w:dxaOrig="9957" w:dyaOrig="4320" w14:anchorId="14BF12A4">
          <v:shape id="_x0000_i1028" type="#_x0000_t75" style="width:462pt;height:197.4pt" o:ole="">
            <v:imagedata r:id="rId198" o:title="" croptop="2400f" cropleft="1300f"/>
          </v:shape>
          <o:OLEObject Type="Embed" ProgID="Excel.Sheet.12" ShapeID="_x0000_i1028" DrawAspect="Content" ObjectID="_1740489888" r:id="rId199"/>
        </w:object>
      </w:r>
    </w:p>
    <w:p w14:paraId="4E87C021" w14:textId="5B1896E0" w:rsidR="0006359E" w:rsidRPr="00F171A3" w:rsidRDefault="0006359E" w:rsidP="002278A7">
      <w:pPr>
        <w:jc w:val="right"/>
        <w:rPr>
          <w:color w:val="BFBFBF" w:themeColor="background1" w:themeShade="BF"/>
        </w:rPr>
      </w:pPr>
      <w:r w:rsidRPr="00F171A3">
        <w:rPr>
          <w:color w:val="BFBFBF" w:themeColor="background1" w:themeShade="BF"/>
        </w:rPr>
        <w:t>Surs</w:t>
      </w:r>
      <w:r w:rsidR="002278A7" w:rsidRPr="00F171A3">
        <w:rPr>
          <w:color w:val="BFBFBF" w:themeColor="background1" w:themeShade="BF"/>
        </w:rPr>
        <w:t>a</w:t>
      </w:r>
      <w:r w:rsidRPr="00F171A3">
        <w:rPr>
          <w:color w:val="BFBFBF" w:themeColor="background1" w:themeShade="BF"/>
        </w:rPr>
        <w:t>: Prelucrare proprie pe baza datelor publice prezentate de Ministerul Dezvoltării, Lucrărilor Publice și Administrației, Direcția pentru Politici Fiscale și Bugetare Locale</w:t>
      </w:r>
    </w:p>
    <w:p w14:paraId="48E295A5" w14:textId="3998938A" w:rsidR="0006359E" w:rsidRPr="00F171A3" w:rsidRDefault="0006359E" w:rsidP="0006359E">
      <w:pPr>
        <w:spacing w:before="60" w:after="60"/>
        <w:rPr>
          <w:color w:val="000000"/>
        </w:rPr>
      </w:pPr>
      <w:r w:rsidRPr="00F171A3">
        <w:rPr>
          <w:color w:val="000000"/>
        </w:rPr>
        <w:t>Primăria Sector</w:t>
      </w:r>
      <w:r w:rsidR="00135D70" w:rsidRPr="00F171A3">
        <w:rPr>
          <w:color w:val="000000"/>
        </w:rPr>
        <w:t>ului</w:t>
      </w:r>
      <w:r w:rsidRPr="00F171A3">
        <w:rPr>
          <w:color w:val="000000"/>
        </w:rPr>
        <w:t xml:space="preserve"> 2 a alocat resurse semnificative investițiilor de capital, având însă o performanță modestă în ceea ce privește absorbția de fonduri europene. În perioada 2007-2020, Primăria a alocat 1,427 miliarde RON pentru investițiile de capital. Figura următoare indică cheltuielile de capital de la nivelul primăriilor de sector.  </w:t>
      </w:r>
    </w:p>
    <w:p w14:paraId="3793A4BF" w14:textId="7ED4060A" w:rsidR="0006359E" w:rsidRPr="00F171A3" w:rsidRDefault="0006359E" w:rsidP="0006359E">
      <w:pPr>
        <w:spacing w:before="60" w:after="60"/>
        <w:rPr>
          <w:color w:val="000000"/>
        </w:rPr>
      </w:pPr>
      <w:r w:rsidRPr="00F171A3">
        <w:rPr>
          <w:color w:val="000000"/>
        </w:rPr>
        <w:t>Ponderea alocărilor financiare pentru cheltuielile cu proiecte co-finanțate prin fonduri europene nerambursabile a fost una redusă. În perioada 2007-2020, Primăria Sector</w:t>
      </w:r>
      <w:r w:rsidR="00135D70" w:rsidRPr="00F171A3">
        <w:rPr>
          <w:color w:val="000000"/>
        </w:rPr>
        <w:t>ului</w:t>
      </w:r>
      <w:r w:rsidRPr="00F171A3">
        <w:rPr>
          <w:color w:val="000000"/>
        </w:rPr>
        <w:t xml:space="preserve"> 2 a raportat cheltuieli cu proiecte FEN de 155,6 milioane RON, cu un maxim de aproape 54 milioane RON în 2015. În perioada aferentă CFM 2014-2020, Primăria a raportat cheltuieli cu proiecte FEN de sub 1 milion RON în 2017 și 2018, respectiv 11 milioane RON în 2019 și 6.9 milioane RON în 2020. </w:t>
      </w:r>
    </w:p>
    <w:p w14:paraId="36240A01" w14:textId="77777777" w:rsidR="0006359E" w:rsidRPr="00F171A3" w:rsidRDefault="0006359E" w:rsidP="0006359E">
      <w:pPr>
        <w:spacing w:before="60" w:after="60"/>
        <w:rPr>
          <w:color w:val="000000"/>
        </w:rPr>
      </w:pPr>
      <w:r w:rsidRPr="00F171A3">
        <w:rPr>
          <w:color w:val="000000"/>
        </w:rPr>
        <w:t>Întârzierea lansării noilor apeluri pentru autoritățile publică locale și finalizarea cadrului financiar precedent în anul 2016 au determinat o scădere a absorbției de fonduri europene în primii ani de după lansarea CFM 2014-2020. Cu toate acestea, ponderea proiectelor FEN este una redusă în totalul cheltuielilor administrației locale, iar gradul de realizare a țintelor propuse în bugetul inițial este foarte scăzut (8.79% în 2021, 22.53% în 2020, 54.8% în 2019 și 22.2% în 2018).</w:t>
      </w:r>
    </w:p>
    <w:p w14:paraId="1FA0A14E" w14:textId="283BF85B" w:rsidR="0006359E" w:rsidRPr="00F171A3" w:rsidRDefault="002278A7" w:rsidP="002278A7">
      <w:pPr>
        <w:pStyle w:val="Caption"/>
        <w:rPr>
          <w:b w:val="0"/>
        </w:rPr>
      </w:pPr>
      <w:bookmarkStart w:id="378" w:name="_heading=h.35xuupr" w:colFirst="0" w:colLast="0"/>
      <w:bookmarkStart w:id="379" w:name="_Toc126943307"/>
      <w:bookmarkEnd w:id="378"/>
      <w:r w:rsidRPr="00F171A3">
        <w:t xml:space="preserve">Tabel </w:t>
      </w:r>
      <w:r w:rsidRPr="00F171A3">
        <w:fldChar w:fldCharType="begin"/>
      </w:r>
      <w:r w:rsidRPr="00F171A3">
        <w:instrText xml:space="preserve"> SEQ Tabel \* ARABIC </w:instrText>
      </w:r>
      <w:r w:rsidRPr="00F171A3">
        <w:fldChar w:fldCharType="separate"/>
      </w:r>
      <w:r w:rsidR="005A6DD8">
        <w:rPr>
          <w:noProof/>
        </w:rPr>
        <w:t>50</w:t>
      </w:r>
      <w:r w:rsidRPr="00F171A3">
        <w:fldChar w:fldCharType="end"/>
      </w:r>
      <w:r w:rsidRPr="00F171A3">
        <w:t xml:space="preserve"> </w:t>
      </w:r>
      <w:r w:rsidR="0006359E" w:rsidRPr="00F171A3">
        <w:t>Cheltuieli proiecte fonduri europene nerambursabile vs. investiții de capital la nivelul primăriei sector</w:t>
      </w:r>
      <w:r w:rsidR="00135D70" w:rsidRPr="00F171A3">
        <w:t>ului</w:t>
      </w:r>
      <w:r w:rsidR="0006359E" w:rsidRPr="00F171A3">
        <w:t xml:space="preserve"> 2</w:t>
      </w:r>
      <w:bookmarkEnd w:id="379"/>
    </w:p>
    <w:tbl>
      <w:tblPr>
        <w:tblStyle w:val="ListTable3-Accent21"/>
        <w:tblW w:w="949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3164"/>
        <w:gridCol w:w="3164"/>
        <w:gridCol w:w="3165"/>
      </w:tblGrid>
      <w:tr w:rsidR="0006359E" w:rsidRPr="00F171A3" w14:paraId="04B46E99" w14:textId="77777777" w:rsidTr="00F555EE">
        <w:trPr>
          <w:cnfStyle w:val="100000000000" w:firstRow="1" w:lastRow="0" w:firstColumn="0" w:lastColumn="0" w:oddVBand="0" w:evenVBand="0" w:oddHBand="0" w:evenHBand="0" w:firstRowFirstColumn="0" w:firstRowLastColumn="0" w:lastRowFirstColumn="0" w:lastRowLastColumn="0"/>
          <w:trHeight w:val="473"/>
        </w:trPr>
        <w:tc>
          <w:tcPr>
            <w:tcW w:w="3164" w:type="dxa"/>
            <w:vAlign w:val="center"/>
          </w:tcPr>
          <w:p w14:paraId="7058F81D" w14:textId="77777777" w:rsidR="0006359E" w:rsidRPr="00F171A3" w:rsidRDefault="0006359E" w:rsidP="00F555EE">
            <w:pPr>
              <w:jc w:val="center"/>
              <w:rPr>
                <w:sz w:val="20"/>
                <w:szCs w:val="20"/>
              </w:rPr>
            </w:pPr>
            <w:r w:rsidRPr="00F171A3">
              <w:rPr>
                <w:sz w:val="20"/>
                <w:szCs w:val="20"/>
              </w:rPr>
              <w:t>AN</w:t>
            </w:r>
          </w:p>
        </w:tc>
        <w:tc>
          <w:tcPr>
            <w:tcW w:w="3164" w:type="dxa"/>
            <w:vAlign w:val="center"/>
          </w:tcPr>
          <w:p w14:paraId="20335504" w14:textId="77777777" w:rsidR="0006359E" w:rsidRPr="00F171A3" w:rsidRDefault="0006359E" w:rsidP="00F555EE">
            <w:pPr>
              <w:jc w:val="center"/>
              <w:rPr>
                <w:sz w:val="20"/>
                <w:szCs w:val="20"/>
              </w:rPr>
            </w:pPr>
            <w:r w:rsidRPr="00F171A3">
              <w:rPr>
                <w:sz w:val="20"/>
                <w:szCs w:val="20"/>
              </w:rPr>
              <w:t>CHELTUIELI CAPITAL</w:t>
            </w:r>
          </w:p>
        </w:tc>
        <w:tc>
          <w:tcPr>
            <w:tcW w:w="3165" w:type="dxa"/>
            <w:vAlign w:val="center"/>
          </w:tcPr>
          <w:p w14:paraId="6C514441" w14:textId="77777777" w:rsidR="0006359E" w:rsidRPr="00F171A3" w:rsidRDefault="0006359E" w:rsidP="00F555EE">
            <w:pPr>
              <w:jc w:val="center"/>
              <w:rPr>
                <w:sz w:val="20"/>
                <w:szCs w:val="20"/>
              </w:rPr>
            </w:pPr>
            <w:r w:rsidRPr="00F171A3">
              <w:rPr>
                <w:sz w:val="20"/>
                <w:szCs w:val="20"/>
              </w:rPr>
              <w:t>CHELTUIELI FEN</w:t>
            </w:r>
          </w:p>
        </w:tc>
      </w:tr>
      <w:tr w:rsidR="0006359E" w:rsidRPr="00F171A3" w14:paraId="2F0C2476" w14:textId="77777777" w:rsidTr="00F555EE">
        <w:trPr>
          <w:cnfStyle w:val="000000100000" w:firstRow="0" w:lastRow="0" w:firstColumn="0" w:lastColumn="0" w:oddVBand="0" w:evenVBand="0" w:oddHBand="1" w:evenHBand="0" w:firstRowFirstColumn="0" w:firstRowLastColumn="0" w:lastRowFirstColumn="0" w:lastRowLastColumn="0"/>
          <w:trHeight w:val="394"/>
        </w:trPr>
        <w:tc>
          <w:tcPr>
            <w:tcW w:w="3164" w:type="dxa"/>
            <w:tcBorders>
              <w:top w:val="none" w:sz="0" w:space="0" w:color="auto"/>
              <w:bottom w:val="none" w:sz="0" w:space="0" w:color="auto"/>
            </w:tcBorders>
            <w:shd w:val="clear" w:color="auto" w:fill="F2F2F2" w:themeFill="background1" w:themeFillShade="F2"/>
          </w:tcPr>
          <w:p w14:paraId="19039629" w14:textId="77777777" w:rsidR="0006359E" w:rsidRPr="00F171A3" w:rsidRDefault="0006359E" w:rsidP="00F31936">
            <w:pPr>
              <w:jc w:val="left"/>
              <w:rPr>
                <w:sz w:val="20"/>
                <w:szCs w:val="20"/>
              </w:rPr>
            </w:pPr>
            <w:r w:rsidRPr="00F171A3">
              <w:rPr>
                <w:color w:val="000000"/>
                <w:sz w:val="20"/>
                <w:szCs w:val="20"/>
              </w:rPr>
              <w:t>2021</w:t>
            </w:r>
          </w:p>
        </w:tc>
        <w:tc>
          <w:tcPr>
            <w:tcW w:w="3164" w:type="dxa"/>
            <w:tcBorders>
              <w:top w:val="none" w:sz="0" w:space="0" w:color="auto"/>
              <w:bottom w:val="none" w:sz="0" w:space="0" w:color="auto"/>
            </w:tcBorders>
            <w:shd w:val="clear" w:color="auto" w:fill="F2F2F2" w:themeFill="background1" w:themeFillShade="F2"/>
          </w:tcPr>
          <w:p w14:paraId="39A46DAC" w14:textId="77777777" w:rsidR="0006359E" w:rsidRPr="00F171A3" w:rsidRDefault="0006359E" w:rsidP="00F31936">
            <w:pPr>
              <w:jc w:val="left"/>
              <w:rPr>
                <w:sz w:val="20"/>
                <w:szCs w:val="20"/>
              </w:rPr>
            </w:pPr>
            <w:r w:rsidRPr="00F171A3">
              <w:rPr>
                <w:color w:val="000000"/>
                <w:sz w:val="20"/>
                <w:szCs w:val="20"/>
              </w:rPr>
              <w:t>195,205,039</w:t>
            </w:r>
          </w:p>
        </w:tc>
        <w:tc>
          <w:tcPr>
            <w:tcW w:w="3165" w:type="dxa"/>
            <w:tcBorders>
              <w:top w:val="none" w:sz="0" w:space="0" w:color="auto"/>
              <w:bottom w:val="none" w:sz="0" w:space="0" w:color="auto"/>
            </w:tcBorders>
            <w:shd w:val="clear" w:color="auto" w:fill="F2F2F2" w:themeFill="background1" w:themeFillShade="F2"/>
          </w:tcPr>
          <w:p w14:paraId="741043F6" w14:textId="77777777" w:rsidR="0006359E" w:rsidRPr="00F171A3" w:rsidRDefault="0006359E" w:rsidP="00F31936">
            <w:pPr>
              <w:jc w:val="left"/>
              <w:rPr>
                <w:sz w:val="20"/>
                <w:szCs w:val="20"/>
              </w:rPr>
            </w:pPr>
            <w:r w:rsidRPr="00F171A3">
              <w:rPr>
                <w:color w:val="000000"/>
                <w:sz w:val="20"/>
                <w:szCs w:val="20"/>
              </w:rPr>
              <w:t>2,974,860</w:t>
            </w:r>
          </w:p>
        </w:tc>
      </w:tr>
      <w:tr w:rsidR="0006359E" w:rsidRPr="00F171A3" w14:paraId="6CA2D74C" w14:textId="77777777" w:rsidTr="00F555EE">
        <w:trPr>
          <w:trHeight w:val="374"/>
        </w:trPr>
        <w:tc>
          <w:tcPr>
            <w:tcW w:w="3164" w:type="dxa"/>
            <w:shd w:val="clear" w:color="auto" w:fill="F2F2F2" w:themeFill="background1" w:themeFillShade="F2"/>
          </w:tcPr>
          <w:p w14:paraId="7FDF9283"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2020</w:t>
            </w:r>
          </w:p>
        </w:tc>
        <w:tc>
          <w:tcPr>
            <w:tcW w:w="3164" w:type="dxa"/>
            <w:shd w:val="clear" w:color="auto" w:fill="F2F2F2" w:themeFill="background1" w:themeFillShade="F2"/>
          </w:tcPr>
          <w:p w14:paraId="3F04AF04"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108,497,039</w:t>
            </w:r>
          </w:p>
        </w:tc>
        <w:tc>
          <w:tcPr>
            <w:tcW w:w="3165" w:type="dxa"/>
            <w:shd w:val="clear" w:color="auto" w:fill="F2F2F2" w:themeFill="background1" w:themeFillShade="F2"/>
          </w:tcPr>
          <w:p w14:paraId="31BAF70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6,898,306</w:t>
            </w:r>
          </w:p>
        </w:tc>
      </w:tr>
      <w:tr w:rsidR="0006359E" w:rsidRPr="00F171A3" w14:paraId="4EE2F56A" w14:textId="77777777" w:rsidTr="00F555EE">
        <w:trPr>
          <w:cnfStyle w:val="000000100000" w:firstRow="0" w:lastRow="0" w:firstColumn="0" w:lastColumn="0" w:oddVBand="0" w:evenVBand="0" w:oddHBand="1" w:evenHBand="0" w:firstRowFirstColumn="0" w:firstRowLastColumn="0" w:lastRowFirstColumn="0" w:lastRowLastColumn="0"/>
          <w:trHeight w:val="374"/>
        </w:trPr>
        <w:tc>
          <w:tcPr>
            <w:tcW w:w="3164" w:type="dxa"/>
            <w:tcBorders>
              <w:top w:val="none" w:sz="0" w:space="0" w:color="auto"/>
              <w:bottom w:val="none" w:sz="0" w:space="0" w:color="auto"/>
            </w:tcBorders>
            <w:shd w:val="clear" w:color="auto" w:fill="F2F2F2" w:themeFill="background1" w:themeFillShade="F2"/>
          </w:tcPr>
          <w:p w14:paraId="3E2A7B11"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2019</w:t>
            </w:r>
          </w:p>
        </w:tc>
        <w:tc>
          <w:tcPr>
            <w:tcW w:w="3164" w:type="dxa"/>
            <w:tcBorders>
              <w:top w:val="none" w:sz="0" w:space="0" w:color="auto"/>
              <w:bottom w:val="none" w:sz="0" w:space="0" w:color="auto"/>
            </w:tcBorders>
            <w:shd w:val="clear" w:color="auto" w:fill="F2F2F2" w:themeFill="background1" w:themeFillShade="F2"/>
          </w:tcPr>
          <w:p w14:paraId="7EC009C6"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208,616,139</w:t>
            </w:r>
          </w:p>
        </w:tc>
        <w:tc>
          <w:tcPr>
            <w:tcW w:w="3165" w:type="dxa"/>
            <w:tcBorders>
              <w:top w:val="none" w:sz="0" w:space="0" w:color="auto"/>
              <w:bottom w:val="none" w:sz="0" w:space="0" w:color="auto"/>
            </w:tcBorders>
            <w:shd w:val="clear" w:color="auto" w:fill="F2F2F2" w:themeFill="background1" w:themeFillShade="F2"/>
          </w:tcPr>
          <w:p w14:paraId="2843DF87"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11,081,549</w:t>
            </w:r>
          </w:p>
        </w:tc>
      </w:tr>
      <w:tr w:rsidR="0006359E" w:rsidRPr="00F171A3" w14:paraId="1A969E57" w14:textId="77777777" w:rsidTr="00F555EE">
        <w:trPr>
          <w:trHeight w:val="374"/>
        </w:trPr>
        <w:tc>
          <w:tcPr>
            <w:tcW w:w="3164" w:type="dxa"/>
            <w:shd w:val="clear" w:color="auto" w:fill="F2F2F2" w:themeFill="background1" w:themeFillShade="F2"/>
          </w:tcPr>
          <w:p w14:paraId="73EDC643"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2018</w:t>
            </w:r>
          </w:p>
        </w:tc>
        <w:tc>
          <w:tcPr>
            <w:tcW w:w="3164" w:type="dxa"/>
            <w:shd w:val="clear" w:color="auto" w:fill="F2F2F2" w:themeFill="background1" w:themeFillShade="F2"/>
          </w:tcPr>
          <w:p w14:paraId="03DBE19E"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89,415,117</w:t>
            </w:r>
          </w:p>
        </w:tc>
        <w:tc>
          <w:tcPr>
            <w:tcW w:w="3165" w:type="dxa"/>
            <w:shd w:val="clear" w:color="auto" w:fill="F2F2F2" w:themeFill="background1" w:themeFillShade="F2"/>
          </w:tcPr>
          <w:p w14:paraId="256B25D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491,251</w:t>
            </w:r>
          </w:p>
        </w:tc>
      </w:tr>
      <w:tr w:rsidR="0006359E" w:rsidRPr="00F171A3" w14:paraId="540ED176" w14:textId="77777777" w:rsidTr="00F555EE">
        <w:trPr>
          <w:cnfStyle w:val="000000100000" w:firstRow="0" w:lastRow="0" w:firstColumn="0" w:lastColumn="0" w:oddVBand="0" w:evenVBand="0" w:oddHBand="1" w:evenHBand="0" w:firstRowFirstColumn="0" w:firstRowLastColumn="0" w:lastRowFirstColumn="0" w:lastRowLastColumn="0"/>
          <w:trHeight w:val="374"/>
        </w:trPr>
        <w:tc>
          <w:tcPr>
            <w:tcW w:w="3164" w:type="dxa"/>
            <w:tcBorders>
              <w:top w:val="none" w:sz="0" w:space="0" w:color="auto"/>
              <w:bottom w:val="none" w:sz="0" w:space="0" w:color="auto"/>
            </w:tcBorders>
            <w:shd w:val="clear" w:color="auto" w:fill="F2F2F2" w:themeFill="background1" w:themeFillShade="F2"/>
          </w:tcPr>
          <w:p w14:paraId="1F453A29"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2017</w:t>
            </w:r>
          </w:p>
        </w:tc>
        <w:tc>
          <w:tcPr>
            <w:tcW w:w="3164" w:type="dxa"/>
            <w:tcBorders>
              <w:top w:val="none" w:sz="0" w:space="0" w:color="auto"/>
              <w:bottom w:val="none" w:sz="0" w:space="0" w:color="auto"/>
            </w:tcBorders>
            <w:shd w:val="clear" w:color="auto" w:fill="F2F2F2" w:themeFill="background1" w:themeFillShade="F2"/>
          </w:tcPr>
          <w:p w14:paraId="3DD50678"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202,834,666</w:t>
            </w:r>
          </w:p>
        </w:tc>
        <w:tc>
          <w:tcPr>
            <w:tcW w:w="3165" w:type="dxa"/>
            <w:tcBorders>
              <w:top w:val="none" w:sz="0" w:space="0" w:color="auto"/>
              <w:bottom w:val="none" w:sz="0" w:space="0" w:color="auto"/>
            </w:tcBorders>
            <w:shd w:val="clear" w:color="auto" w:fill="F2F2F2" w:themeFill="background1" w:themeFillShade="F2"/>
          </w:tcPr>
          <w:p w14:paraId="3065FFB0"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872,148</w:t>
            </w:r>
          </w:p>
        </w:tc>
      </w:tr>
      <w:tr w:rsidR="0006359E" w:rsidRPr="00F171A3" w14:paraId="76CB9571" w14:textId="77777777" w:rsidTr="00F555EE">
        <w:trPr>
          <w:trHeight w:val="374"/>
        </w:trPr>
        <w:tc>
          <w:tcPr>
            <w:tcW w:w="3164" w:type="dxa"/>
            <w:shd w:val="clear" w:color="auto" w:fill="F2F2F2" w:themeFill="background1" w:themeFillShade="F2"/>
          </w:tcPr>
          <w:p w14:paraId="5786837E"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2016</w:t>
            </w:r>
          </w:p>
        </w:tc>
        <w:tc>
          <w:tcPr>
            <w:tcW w:w="3164" w:type="dxa"/>
            <w:shd w:val="clear" w:color="auto" w:fill="F2F2F2" w:themeFill="background1" w:themeFillShade="F2"/>
          </w:tcPr>
          <w:p w14:paraId="5E6F5AA1"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219,038,495</w:t>
            </w:r>
          </w:p>
        </w:tc>
        <w:tc>
          <w:tcPr>
            <w:tcW w:w="3165" w:type="dxa"/>
            <w:shd w:val="clear" w:color="auto" w:fill="F2F2F2" w:themeFill="background1" w:themeFillShade="F2"/>
          </w:tcPr>
          <w:p w14:paraId="70F4B4DE"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15,004,479</w:t>
            </w:r>
          </w:p>
        </w:tc>
      </w:tr>
      <w:tr w:rsidR="0006359E" w:rsidRPr="00F171A3" w14:paraId="3F5843DE" w14:textId="77777777" w:rsidTr="00F555EE">
        <w:trPr>
          <w:cnfStyle w:val="000000100000" w:firstRow="0" w:lastRow="0" w:firstColumn="0" w:lastColumn="0" w:oddVBand="0" w:evenVBand="0" w:oddHBand="1" w:evenHBand="0" w:firstRowFirstColumn="0" w:firstRowLastColumn="0" w:lastRowFirstColumn="0" w:lastRowLastColumn="0"/>
          <w:trHeight w:val="374"/>
        </w:trPr>
        <w:tc>
          <w:tcPr>
            <w:tcW w:w="3164" w:type="dxa"/>
            <w:tcBorders>
              <w:top w:val="none" w:sz="0" w:space="0" w:color="auto"/>
              <w:bottom w:val="none" w:sz="0" w:space="0" w:color="auto"/>
            </w:tcBorders>
            <w:shd w:val="clear" w:color="auto" w:fill="F2F2F2" w:themeFill="background1" w:themeFillShade="F2"/>
          </w:tcPr>
          <w:p w14:paraId="7B31065C"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2015</w:t>
            </w:r>
          </w:p>
        </w:tc>
        <w:tc>
          <w:tcPr>
            <w:tcW w:w="3164" w:type="dxa"/>
            <w:tcBorders>
              <w:top w:val="none" w:sz="0" w:space="0" w:color="auto"/>
              <w:bottom w:val="none" w:sz="0" w:space="0" w:color="auto"/>
            </w:tcBorders>
            <w:shd w:val="clear" w:color="auto" w:fill="F2F2F2" w:themeFill="background1" w:themeFillShade="F2"/>
          </w:tcPr>
          <w:p w14:paraId="22CDF06F"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53,933,800</w:t>
            </w:r>
          </w:p>
        </w:tc>
        <w:tc>
          <w:tcPr>
            <w:tcW w:w="3165" w:type="dxa"/>
            <w:tcBorders>
              <w:top w:val="none" w:sz="0" w:space="0" w:color="auto"/>
              <w:bottom w:val="none" w:sz="0" w:space="0" w:color="auto"/>
            </w:tcBorders>
            <w:shd w:val="clear" w:color="auto" w:fill="F2F2F2" w:themeFill="background1" w:themeFillShade="F2"/>
          </w:tcPr>
          <w:p w14:paraId="518D9349"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55,240,118</w:t>
            </w:r>
          </w:p>
        </w:tc>
      </w:tr>
      <w:tr w:rsidR="0006359E" w:rsidRPr="00F171A3" w14:paraId="31E06AF3" w14:textId="77777777" w:rsidTr="00F555EE">
        <w:trPr>
          <w:trHeight w:val="374"/>
        </w:trPr>
        <w:tc>
          <w:tcPr>
            <w:tcW w:w="3164" w:type="dxa"/>
            <w:shd w:val="clear" w:color="auto" w:fill="F2F2F2" w:themeFill="background1" w:themeFillShade="F2"/>
          </w:tcPr>
          <w:p w14:paraId="38306827"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2014</w:t>
            </w:r>
          </w:p>
        </w:tc>
        <w:tc>
          <w:tcPr>
            <w:tcW w:w="3164" w:type="dxa"/>
            <w:shd w:val="clear" w:color="auto" w:fill="F2F2F2" w:themeFill="background1" w:themeFillShade="F2"/>
          </w:tcPr>
          <w:p w14:paraId="3418651A"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48,303,696</w:t>
            </w:r>
          </w:p>
        </w:tc>
        <w:tc>
          <w:tcPr>
            <w:tcW w:w="3165" w:type="dxa"/>
            <w:shd w:val="clear" w:color="auto" w:fill="F2F2F2" w:themeFill="background1" w:themeFillShade="F2"/>
          </w:tcPr>
          <w:p w14:paraId="26EB747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5,815,831</w:t>
            </w:r>
          </w:p>
        </w:tc>
      </w:tr>
      <w:tr w:rsidR="0006359E" w:rsidRPr="00F171A3" w14:paraId="7CC52758" w14:textId="77777777" w:rsidTr="00F555EE">
        <w:trPr>
          <w:cnfStyle w:val="000000100000" w:firstRow="0" w:lastRow="0" w:firstColumn="0" w:lastColumn="0" w:oddVBand="0" w:evenVBand="0" w:oddHBand="1" w:evenHBand="0" w:firstRowFirstColumn="0" w:firstRowLastColumn="0" w:lastRowFirstColumn="0" w:lastRowLastColumn="0"/>
          <w:trHeight w:val="374"/>
        </w:trPr>
        <w:tc>
          <w:tcPr>
            <w:tcW w:w="3164" w:type="dxa"/>
            <w:tcBorders>
              <w:top w:val="none" w:sz="0" w:space="0" w:color="auto"/>
              <w:bottom w:val="none" w:sz="0" w:space="0" w:color="auto"/>
            </w:tcBorders>
            <w:shd w:val="clear" w:color="auto" w:fill="F2F2F2" w:themeFill="background1" w:themeFillShade="F2"/>
          </w:tcPr>
          <w:p w14:paraId="0973C51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2013</w:t>
            </w:r>
          </w:p>
        </w:tc>
        <w:tc>
          <w:tcPr>
            <w:tcW w:w="3164" w:type="dxa"/>
            <w:tcBorders>
              <w:top w:val="none" w:sz="0" w:space="0" w:color="auto"/>
              <w:bottom w:val="none" w:sz="0" w:space="0" w:color="auto"/>
            </w:tcBorders>
            <w:shd w:val="clear" w:color="auto" w:fill="F2F2F2" w:themeFill="background1" w:themeFillShade="F2"/>
          </w:tcPr>
          <w:p w14:paraId="395C006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77,435,297</w:t>
            </w:r>
          </w:p>
        </w:tc>
        <w:tc>
          <w:tcPr>
            <w:tcW w:w="3165" w:type="dxa"/>
            <w:tcBorders>
              <w:top w:val="none" w:sz="0" w:space="0" w:color="auto"/>
              <w:bottom w:val="none" w:sz="0" w:space="0" w:color="auto"/>
            </w:tcBorders>
            <w:shd w:val="clear" w:color="auto" w:fill="F2F2F2" w:themeFill="background1" w:themeFillShade="F2"/>
          </w:tcPr>
          <w:p w14:paraId="198775F6"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17,312,013</w:t>
            </w:r>
          </w:p>
        </w:tc>
      </w:tr>
      <w:tr w:rsidR="0006359E" w:rsidRPr="00F171A3" w14:paraId="0AFDA4D6" w14:textId="77777777" w:rsidTr="00F555EE">
        <w:trPr>
          <w:trHeight w:val="374"/>
        </w:trPr>
        <w:tc>
          <w:tcPr>
            <w:tcW w:w="3164" w:type="dxa"/>
            <w:shd w:val="clear" w:color="auto" w:fill="F2F2F2" w:themeFill="background1" w:themeFillShade="F2"/>
          </w:tcPr>
          <w:p w14:paraId="32835806"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2012</w:t>
            </w:r>
          </w:p>
        </w:tc>
        <w:tc>
          <w:tcPr>
            <w:tcW w:w="3164" w:type="dxa"/>
            <w:shd w:val="clear" w:color="auto" w:fill="F2F2F2" w:themeFill="background1" w:themeFillShade="F2"/>
          </w:tcPr>
          <w:p w14:paraId="73D4BE29"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74,951,449</w:t>
            </w:r>
          </w:p>
        </w:tc>
        <w:tc>
          <w:tcPr>
            <w:tcW w:w="3165" w:type="dxa"/>
            <w:shd w:val="clear" w:color="auto" w:fill="F2F2F2" w:themeFill="background1" w:themeFillShade="F2"/>
          </w:tcPr>
          <w:p w14:paraId="43901EE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25,312,049</w:t>
            </w:r>
          </w:p>
        </w:tc>
      </w:tr>
      <w:tr w:rsidR="0006359E" w:rsidRPr="00F171A3" w14:paraId="545B9D66" w14:textId="77777777" w:rsidTr="00F555EE">
        <w:trPr>
          <w:cnfStyle w:val="000000100000" w:firstRow="0" w:lastRow="0" w:firstColumn="0" w:lastColumn="0" w:oddVBand="0" w:evenVBand="0" w:oddHBand="1" w:evenHBand="0" w:firstRowFirstColumn="0" w:firstRowLastColumn="0" w:lastRowFirstColumn="0" w:lastRowLastColumn="0"/>
          <w:trHeight w:val="374"/>
        </w:trPr>
        <w:tc>
          <w:tcPr>
            <w:tcW w:w="3164" w:type="dxa"/>
            <w:tcBorders>
              <w:top w:val="none" w:sz="0" w:space="0" w:color="auto"/>
              <w:bottom w:val="none" w:sz="0" w:space="0" w:color="auto"/>
            </w:tcBorders>
            <w:shd w:val="clear" w:color="auto" w:fill="F2F2F2" w:themeFill="background1" w:themeFillShade="F2"/>
          </w:tcPr>
          <w:p w14:paraId="3FA96C53"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2011</w:t>
            </w:r>
          </w:p>
        </w:tc>
        <w:tc>
          <w:tcPr>
            <w:tcW w:w="3164" w:type="dxa"/>
            <w:tcBorders>
              <w:top w:val="none" w:sz="0" w:space="0" w:color="auto"/>
              <w:bottom w:val="none" w:sz="0" w:space="0" w:color="auto"/>
            </w:tcBorders>
            <w:shd w:val="clear" w:color="auto" w:fill="F2F2F2" w:themeFill="background1" w:themeFillShade="F2"/>
          </w:tcPr>
          <w:p w14:paraId="61AD8A09"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18,220,768</w:t>
            </w:r>
          </w:p>
        </w:tc>
        <w:tc>
          <w:tcPr>
            <w:tcW w:w="3165" w:type="dxa"/>
            <w:tcBorders>
              <w:top w:val="none" w:sz="0" w:space="0" w:color="auto"/>
              <w:bottom w:val="none" w:sz="0" w:space="0" w:color="auto"/>
            </w:tcBorders>
            <w:shd w:val="clear" w:color="auto" w:fill="F2F2F2" w:themeFill="background1" w:themeFillShade="F2"/>
          </w:tcPr>
          <w:p w14:paraId="59956BF6"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67,808,487</w:t>
            </w:r>
          </w:p>
        </w:tc>
      </w:tr>
      <w:tr w:rsidR="0006359E" w:rsidRPr="00F171A3" w14:paraId="2DFA0664" w14:textId="77777777" w:rsidTr="00F555EE">
        <w:trPr>
          <w:trHeight w:val="374"/>
        </w:trPr>
        <w:tc>
          <w:tcPr>
            <w:tcW w:w="3164" w:type="dxa"/>
            <w:shd w:val="clear" w:color="auto" w:fill="F2F2F2" w:themeFill="background1" w:themeFillShade="F2"/>
          </w:tcPr>
          <w:p w14:paraId="59B2348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2010</w:t>
            </w:r>
          </w:p>
        </w:tc>
        <w:tc>
          <w:tcPr>
            <w:tcW w:w="3164" w:type="dxa"/>
            <w:shd w:val="clear" w:color="auto" w:fill="F2F2F2" w:themeFill="background1" w:themeFillShade="F2"/>
          </w:tcPr>
          <w:p w14:paraId="249552FE"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26,450,237</w:t>
            </w:r>
          </w:p>
        </w:tc>
        <w:tc>
          <w:tcPr>
            <w:tcW w:w="3165" w:type="dxa"/>
            <w:shd w:val="clear" w:color="auto" w:fill="F2F2F2" w:themeFill="background1" w:themeFillShade="F2"/>
          </w:tcPr>
          <w:p w14:paraId="0F9DA61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728,387</w:t>
            </w:r>
          </w:p>
        </w:tc>
      </w:tr>
      <w:tr w:rsidR="0006359E" w:rsidRPr="00F171A3" w14:paraId="08A70039" w14:textId="77777777" w:rsidTr="00F555EE">
        <w:trPr>
          <w:cnfStyle w:val="000000100000" w:firstRow="0" w:lastRow="0" w:firstColumn="0" w:lastColumn="0" w:oddVBand="0" w:evenVBand="0" w:oddHBand="1" w:evenHBand="0" w:firstRowFirstColumn="0" w:firstRowLastColumn="0" w:lastRowFirstColumn="0" w:lastRowLastColumn="0"/>
          <w:trHeight w:val="374"/>
        </w:trPr>
        <w:tc>
          <w:tcPr>
            <w:tcW w:w="3164" w:type="dxa"/>
            <w:tcBorders>
              <w:top w:val="none" w:sz="0" w:space="0" w:color="auto"/>
              <w:bottom w:val="none" w:sz="0" w:space="0" w:color="auto"/>
            </w:tcBorders>
            <w:shd w:val="clear" w:color="auto" w:fill="F2F2F2" w:themeFill="background1" w:themeFillShade="F2"/>
          </w:tcPr>
          <w:p w14:paraId="6BD40716"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2009</w:t>
            </w:r>
          </w:p>
        </w:tc>
        <w:tc>
          <w:tcPr>
            <w:tcW w:w="3164" w:type="dxa"/>
            <w:tcBorders>
              <w:top w:val="none" w:sz="0" w:space="0" w:color="auto"/>
              <w:bottom w:val="none" w:sz="0" w:space="0" w:color="auto"/>
            </w:tcBorders>
            <w:shd w:val="clear" w:color="auto" w:fill="F2F2F2" w:themeFill="background1" w:themeFillShade="F2"/>
          </w:tcPr>
          <w:p w14:paraId="4020D240"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49,776,200</w:t>
            </w:r>
          </w:p>
        </w:tc>
        <w:tc>
          <w:tcPr>
            <w:tcW w:w="3165" w:type="dxa"/>
            <w:tcBorders>
              <w:top w:val="none" w:sz="0" w:space="0" w:color="auto"/>
              <w:bottom w:val="none" w:sz="0" w:space="0" w:color="auto"/>
            </w:tcBorders>
            <w:shd w:val="clear" w:color="auto" w:fill="F2F2F2" w:themeFill="background1" w:themeFillShade="F2"/>
          </w:tcPr>
          <w:p w14:paraId="462EB37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0</w:t>
            </w:r>
          </w:p>
        </w:tc>
      </w:tr>
      <w:tr w:rsidR="0006359E" w:rsidRPr="00F171A3" w14:paraId="4FE764D7" w14:textId="77777777" w:rsidTr="00F555EE">
        <w:trPr>
          <w:trHeight w:val="567"/>
        </w:trPr>
        <w:tc>
          <w:tcPr>
            <w:tcW w:w="3164" w:type="dxa"/>
            <w:shd w:val="clear" w:color="auto" w:fill="F2F2F2" w:themeFill="background1" w:themeFillShade="F2"/>
          </w:tcPr>
          <w:p w14:paraId="09C03C17"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Total</w:t>
            </w:r>
          </w:p>
        </w:tc>
        <w:tc>
          <w:tcPr>
            <w:tcW w:w="3164" w:type="dxa"/>
            <w:shd w:val="clear" w:color="auto" w:fill="F2F2F2" w:themeFill="background1" w:themeFillShade="F2"/>
          </w:tcPr>
          <w:p w14:paraId="2ECDE65E" w14:textId="77777777" w:rsidR="0006359E" w:rsidRPr="00F171A3" w:rsidRDefault="0006359E" w:rsidP="00F31936">
            <w:pPr>
              <w:spacing w:after="0"/>
              <w:jc w:val="left"/>
              <w:rPr>
                <w:rFonts w:ascii="Calibri" w:eastAsia="Calibri" w:hAnsi="Calibri" w:cs="Calibri"/>
                <w:color w:val="000000"/>
                <w:sz w:val="20"/>
                <w:szCs w:val="20"/>
              </w:rPr>
            </w:pPr>
            <w:r w:rsidRPr="00F171A3">
              <w:rPr>
                <w:color w:val="000000"/>
                <w:sz w:val="20"/>
                <w:szCs w:val="20"/>
              </w:rPr>
              <w:t>1,423,571,979</w:t>
            </w:r>
          </w:p>
        </w:tc>
        <w:tc>
          <w:tcPr>
            <w:tcW w:w="3165" w:type="dxa"/>
            <w:shd w:val="clear" w:color="auto" w:fill="F2F2F2" w:themeFill="background1" w:themeFillShade="F2"/>
          </w:tcPr>
          <w:p w14:paraId="2C0B7DD7" w14:textId="77777777" w:rsidR="0006359E" w:rsidRPr="00F171A3" w:rsidRDefault="0006359E" w:rsidP="00F31936">
            <w:pPr>
              <w:spacing w:after="0"/>
              <w:jc w:val="left"/>
              <w:rPr>
                <w:rFonts w:ascii="Calibri" w:eastAsia="Calibri" w:hAnsi="Calibri" w:cs="Calibri"/>
                <w:color w:val="000000"/>
                <w:sz w:val="20"/>
                <w:szCs w:val="20"/>
              </w:rPr>
            </w:pPr>
            <w:r w:rsidRPr="00F171A3">
              <w:rPr>
                <w:color w:val="000000"/>
                <w:sz w:val="20"/>
                <w:szCs w:val="20"/>
              </w:rPr>
              <w:t>158,645,441</w:t>
            </w:r>
          </w:p>
        </w:tc>
      </w:tr>
    </w:tbl>
    <w:p w14:paraId="59C2B923" w14:textId="6C7AA7F5" w:rsidR="0006359E" w:rsidRPr="00F171A3" w:rsidRDefault="0006359E" w:rsidP="002278A7">
      <w:pPr>
        <w:jc w:val="right"/>
        <w:rPr>
          <w:color w:val="BFBFBF" w:themeColor="background1" w:themeShade="BF"/>
        </w:rPr>
      </w:pPr>
      <w:r w:rsidRPr="00F171A3">
        <w:rPr>
          <w:color w:val="BFBFBF" w:themeColor="background1" w:themeShade="BF"/>
        </w:rPr>
        <w:t>Surs</w:t>
      </w:r>
      <w:r w:rsidR="002278A7" w:rsidRPr="00F171A3">
        <w:rPr>
          <w:color w:val="BFBFBF" w:themeColor="background1" w:themeShade="BF"/>
        </w:rPr>
        <w:t>a</w:t>
      </w:r>
      <w:r w:rsidRPr="00F171A3">
        <w:rPr>
          <w:color w:val="BFBFBF" w:themeColor="background1" w:themeShade="BF"/>
        </w:rPr>
        <w:t>: Prelucrare proprie pe baza datelor publice prezentate de Ministerul Dezvoltării, Lucrărilor Publice și Administrației, Direcția pentru Politici Fiscale și Bugetare Locale</w:t>
      </w:r>
    </w:p>
    <w:p w14:paraId="1E4546AA" w14:textId="77777777" w:rsidR="0006359E" w:rsidRPr="00F171A3" w:rsidRDefault="0006359E" w:rsidP="0006359E">
      <w:pPr>
        <w:rPr>
          <w:color w:val="000000"/>
        </w:rPr>
      </w:pPr>
      <w:r w:rsidRPr="00F171A3">
        <w:rPr>
          <w:color w:val="000000"/>
        </w:rPr>
        <w:t xml:space="preserve">Proiecte co-finanțate din fonduri europene derulează însă și instituțiile aflate în subordinea Consiliului Local Sector 2. Tabelul următor oferă o imagine de ansamblu asupra acestora.  </w:t>
      </w:r>
    </w:p>
    <w:p w14:paraId="62B49E27" w14:textId="5368D66F" w:rsidR="0006359E" w:rsidRPr="00F171A3" w:rsidRDefault="002278A7" w:rsidP="002278A7">
      <w:pPr>
        <w:pStyle w:val="Caption"/>
        <w:rPr>
          <w:b w:val="0"/>
          <w:highlight w:val="yellow"/>
        </w:rPr>
      </w:pPr>
      <w:bookmarkStart w:id="380" w:name="_heading=h.1l354xk" w:colFirst="0" w:colLast="0"/>
      <w:bookmarkStart w:id="381" w:name="_Toc126943308"/>
      <w:bookmarkEnd w:id="380"/>
      <w:r w:rsidRPr="00F171A3">
        <w:t xml:space="preserve">Tabel </w:t>
      </w:r>
      <w:r w:rsidRPr="00F171A3">
        <w:fldChar w:fldCharType="begin"/>
      </w:r>
      <w:r w:rsidRPr="00F171A3">
        <w:instrText xml:space="preserve"> SEQ Tabel \* ARABIC </w:instrText>
      </w:r>
      <w:r w:rsidRPr="00F171A3">
        <w:fldChar w:fldCharType="separate"/>
      </w:r>
      <w:r w:rsidR="005A6DD8">
        <w:rPr>
          <w:noProof/>
        </w:rPr>
        <w:t>51</w:t>
      </w:r>
      <w:r w:rsidRPr="00F171A3">
        <w:fldChar w:fldCharType="end"/>
      </w:r>
      <w:r w:rsidRPr="00F171A3">
        <w:t xml:space="preserve"> </w:t>
      </w:r>
      <w:r w:rsidR="0006359E" w:rsidRPr="00F171A3">
        <w:t>Listă de proiecte cofinanțate din fonduri europene</w:t>
      </w:r>
      <w:bookmarkEnd w:id="381"/>
    </w:p>
    <w:tbl>
      <w:tblPr>
        <w:tblStyle w:val="ListTable3-Accent21"/>
        <w:tblW w:w="932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2942"/>
        <w:gridCol w:w="1985"/>
        <w:gridCol w:w="1369"/>
        <w:gridCol w:w="1613"/>
        <w:gridCol w:w="1414"/>
      </w:tblGrid>
      <w:tr w:rsidR="0006359E" w:rsidRPr="00F171A3" w14:paraId="3232A105" w14:textId="77777777" w:rsidTr="00F555EE">
        <w:trPr>
          <w:cnfStyle w:val="100000000000" w:firstRow="1" w:lastRow="0" w:firstColumn="0" w:lastColumn="0" w:oddVBand="0" w:evenVBand="0" w:oddHBand="0" w:evenHBand="0" w:firstRowFirstColumn="0" w:firstRowLastColumn="0" w:lastRowFirstColumn="0" w:lastRowLastColumn="0"/>
          <w:trHeight w:val="332"/>
        </w:trPr>
        <w:tc>
          <w:tcPr>
            <w:tcW w:w="2942" w:type="dxa"/>
            <w:vAlign w:val="center"/>
          </w:tcPr>
          <w:p w14:paraId="4624396D" w14:textId="60F03284" w:rsidR="0006359E" w:rsidRPr="00F171A3" w:rsidRDefault="00F555EE" w:rsidP="00F555EE">
            <w:pPr>
              <w:jc w:val="center"/>
              <w:rPr>
                <w:sz w:val="20"/>
                <w:szCs w:val="20"/>
              </w:rPr>
            </w:pPr>
            <w:r w:rsidRPr="00F171A3">
              <w:rPr>
                <w:sz w:val="20"/>
                <w:szCs w:val="20"/>
              </w:rPr>
              <w:t>DENUMIRE PROIECT</w:t>
            </w:r>
          </w:p>
        </w:tc>
        <w:tc>
          <w:tcPr>
            <w:tcW w:w="1985" w:type="dxa"/>
            <w:vAlign w:val="center"/>
          </w:tcPr>
          <w:p w14:paraId="76BBDCB7" w14:textId="0F9AA355" w:rsidR="0006359E" w:rsidRPr="00F171A3" w:rsidRDefault="00F555EE" w:rsidP="00F555EE">
            <w:pPr>
              <w:jc w:val="center"/>
              <w:rPr>
                <w:sz w:val="20"/>
                <w:szCs w:val="20"/>
              </w:rPr>
            </w:pPr>
            <w:r w:rsidRPr="00F171A3">
              <w:rPr>
                <w:sz w:val="20"/>
                <w:szCs w:val="20"/>
              </w:rPr>
              <w:t>OBIECTIV SPECIFIC,</w:t>
            </w:r>
            <w:r w:rsidRPr="00F171A3">
              <w:rPr>
                <w:sz w:val="20"/>
                <w:szCs w:val="20"/>
              </w:rPr>
              <w:br/>
              <w:t>SURSA DE FINANȚARE</w:t>
            </w:r>
          </w:p>
        </w:tc>
        <w:tc>
          <w:tcPr>
            <w:tcW w:w="1369" w:type="dxa"/>
            <w:vAlign w:val="center"/>
          </w:tcPr>
          <w:p w14:paraId="200F5BAF" w14:textId="429395E7" w:rsidR="0006359E" w:rsidRPr="00F171A3" w:rsidRDefault="00F555EE" w:rsidP="00F555EE">
            <w:pPr>
              <w:jc w:val="center"/>
              <w:rPr>
                <w:sz w:val="20"/>
                <w:szCs w:val="20"/>
              </w:rPr>
            </w:pPr>
            <w:r w:rsidRPr="00F171A3">
              <w:rPr>
                <w:sz w:val="20"/>
                <w:szCs w:val="20"/>
              </w:rPr>
              <w:t>STADIU</w:t>
            </w:r>
          </w:p>
        </w:tc>
        <w:tc>
          <w:tcPr>
            <w:tcW w:w="1613" w:type="dxa"/>
            <w:vAlign w:val="center"/>
          </w:tcPr>
          <w:p w14:paraId="083CFE27" w14:textId="6A083BBE" w:rsidR="0006359E" w:rsidRPr="00F171A3" w:rsidRDefault="00F555EE" w:rsidP="00F555EE">
            <w:pPr>
              <w:jc w:val="center"/>
              <w:rPr>
                <w:sz w:val="20"/>
                <w:szCs w:val="20"/>
              </w:rPr>
            </w:pPr>
            <w:r w:rsidRPr="00F171A3">
              <w:rPr>
                <w:sz w:val="20"/>
                <w:szCs w:val="20"/>
              </w:rPr>
              <w:t>VALOAREA ESTIMATĂ PENTRU REALIZAREA OBIECTIVULUI</w:t>
            </w:r>
          </w:p>
        </w:tc>
        <w:tc>
          <w:tcPr>
            <w:tcW w:w="1414" w:type="dxa"/>
            <w:vAlign w:val="center"/>
          </w:tcPr>
          <w:p w14:paraId="26EECCC6" w14:textId="732B9536" w:rsidR="0006359E" w:rsidRPr="00F171A3" w:rsidRDefault="00F555EE" w:rsidP="00F555EE">
            <w:pPr>
              <w:jc w:val="center"/>
              <w:rPr>
                <w:sz w:val="20"/>
                <w:szCs w:val="20"/>
              </w:rPr>
            </w:pPr>
            <w:r w:rsidRPr="00F171A3">
              <w:rPr>
                <w:sz w:val="20"/>
                <w:szCs w:val="20"/>
              </w:rPr>
              <w:t>DIRECȚIE</w:t>
            </w:r>
          </w:p>
        </w:tc>
      </w:tr>
      <w:tr w:rsidR="0006359E" w:rsidRPr="00F171A3" w14:paraId="5D3CBF7D"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2942" w:type="dxa"/>
            <w:tcBorders>
              <w:top w:val="none" w:sz="0" w:space="0" w:color="auto"/>
              <w:bottom w:val="none" w:sz="0" w:space="0" w:color="auto"/>
            </w:tcBorders>
            <w:shd w:val="clear" w:color="auto" w:fill="F2F2F2" w:themeFill="background1" w:themeFillShade="F2"/>
          </w:tcPr>
          <w:p w14:paraId="5B581588"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Eficientizarea energetică prin reabilitare/modernizare a Liceului Teoretic "Lucian Blaga":</w:t>
            </w:r>
          </w:p>
          <w:p w14:paraId="5D3EDEA4" w14:textId="77777777" w:rsidR="0006359E" w:rsidRPr="00F171A3" w:rsidRDefault="0006359E" w:rsidP="00F31936">
            <w:pPr>
              <w:jc w:val="left"/>
              <w:rPr>
                <w:rFonts w:ascii="Calibri" w:eastAsia="Calibri" w:hAnsi="Calibri" w:cs="Calibri"/>
                <w:color w:val="000000"/>
                <w:sz w:val="20"/>
                <w:szCs w:val="20"/>
              </w:rPr>
            </w:pPr>
          </w:p>
        </w:tc>
        <w:tc>
          <w:tcPr>
            <w:tcW w:w="1985" w:type="dxa"/>
            <w:tcBorders>
              <w:top w:val="none" w:sz="0" w:space="0" w:color="auto"/>
              <w:bottom w:val="none" w:sz="0" w:space="0" w:color="auto"/>
            </w:tcBorders>
            <w:shd w:val="clear" w:color="auto" w:fill="F2F2F2" w:themeFill="background1" w:themeFillShade="F2"/>
          </w:tcPr>
          <w:p w14:paraId="4FF02A6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3</w:t>
            </w:r>
          </w:p>
          <w:p w14:paraId="4B9839D7" w14:textId="77777777" w:rsidR="0006359E" w:rsidRPr="00F171A3" w:rsidRDefault="0006359E" w:rsidP="00F31936">
            <w:pPr>
              <w:jc w:val="left"/>
              <w:rPr>
                <w:rFonts w:ascii="Calibri" w:eastAsia="Calibri" w:hAnsi="Calibri" w:cs="Calibri"/>
                <w:color w:val="000000"/>
                <w:sz w:val="20"/>
                <w:szCs w:val="20"/>
              </w:rPr>
            </w:pPr>
          </w:p>
        </w:tc>
        <w:tc>
          <w:tcPr>
            <w:tcW w:w="1369" w:type="dxa"/>
            <w:tcBorders>
              <w:top w:val="none" w:sz="0" w:space="0" w:color="auto"/>
              <w:bottom w:val="none" w:sz="0" w:space="0" w:color="auto"/>
            </w:tcBorders>
            <w:shd w:val="clear" w:color="auto" w:fill="F2F2F2" w:themeFill="background1" w:themeFillShade="F2"/>
          </w:tcPr>
          <w:p w14:paraId="29EFC75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Finalizat</w:t>
            </w:r>
          </w:p>
        </w:tc>
        <w:tc>
          <w:tcPr>
            <w:tcW w:w="1613" w:type="dxa"/>
            <w:tcBorders>
              <w:top w:val="none" w:sz="0" w:space="0" w:color="auto"/>
              <w:bottom w:val="none" w:sz="0" w:space="0" w:color="auto"/>
            </w:tcBorders>
            <w:shd w:val="clear" w:color="auto" w:fill="F2F2F2" w:themeFill="background1" w:themeFillShade="F2"/>
          </w:tcPr>
          <w:p w14:paraId="6EBE62F0"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6,77 milioane RON</w:t>
            </w:r>
          </w:p>
        </w:tc>
        <w:tc>
          <w:tcPr>
            <w:tcW w:w="1414" w:type="dxa"/>
            <w:tcBorders>
              <w:top w:val="none" w:sz="0" w:space="0" w:color="auto"/>
              <w:bottom w:val="none" w:sz="0" w:space="0" w:color="auto"/>
            </w:tcBorders>
            <w:shd w:val="clear" w:color="auto" w:fill="F2F2F2" w:themeFill="background1" w:themeFillShade="F2"/>
          </w:tcPr>
          <w:p w14:paraId="18E67C56"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56F8F7BA" w14:textId="77777777" w:rsidTr="00F555EE">
        <w:trPr>
          <w:trHeight w:val="332"/>
        </w:trPr>
        <w:tc>
          <w:tcPr>
            <w:tcW w:w="2942" w:type="dxa"/>
            <w:shd w:val="clear" w:color="auto" w:fill="F2F2F2" w:themeFill="background1" w:themeFillShade="F2"/>
          </w:tcPr>
          <w:p w14:paraId="7E8B0CDA"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Eficientizarea energetică prin reabilitare/modernizare a Liceului Teoretic "Ion I.C. Brătianu":</w:t>
            </w:r>
          </w:p>
        </w:tc>
        <w:tc>
          <w:tcPr>
            <w:tcW w:w="1985" w:type="dxa"/>
            <w:shd w:val="clear" w:color="auto" w:fill="F2F2F2" w:themeFill="background1" w:themeFillShade="F2"/>
          </w:tcPr>
          <w:p w14:paraId="3778FD5C"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3</w:t>
            </w:r>
          </w:p>
        </w:tc>
        <w:tc>
          <w:tcPr>
            <w:tcW w:w="1369" w:type="dxa"/>
            <w:shd w:val="clear" w:color="auto" w:fill="F2F2F2" w:themeFill="background1" w:themeFillShade="F2"/>
          </w:tcPr>
          <w:p w14:paraId="379C7722"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În implementare</w:t>
            </w:r>
          </w:p>
        </w:tc>
        <w:tc>
          <w:tcPr>
            <w:tcW w:w="1613" w:type="dxa"/>
            <w:shd w:val="clear" w:color="auto" w:fill="F2F2F2" w:themeFill="background1" w:themeFillShade="F2"/>
          </w:tcPr>
          <w:p w14:paraId="08931C7C"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6,7 milioane  RON</w:t>
            </w:r>
          </w:p>
        </w:tc>
        <w:tc>
          <w:tcPr>
            <w:tcW w:w="1414" w:type="dxa"/>
            <w:shd w:val="clear" w:color="auto" w:fill="F2F2F2" w:themeFill="background1" w:themeFillShade="F2"/>
          </w:tcPr>
          <w:p w14:paraId="0EB87F51"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6CDE1B10"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2942" w:type="dxa"/>
            <w:tcBorders>
              <w:top w:val="none" w:sz="0" w:space="0" w:color="auto"/>
              <w:bottom w:val="none" w:sz="0" w:space="0" w:color="auto"/>
            </w:tcBorders>
            <w:shd w:val="clear" w:color="auto" w:fill="F2F2F2" w:themeFill="background1" w:themeFillShade="F2"/>
          </w:tcPr>
          <w:p w14:paraId="28448858"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Eficientizarea energetică prin reabilitare/modernizare a Liceului Teoretic "Ferdinand I"</w:t>
            </w:r>
          </w:p>
        </w:tc>
        <w:tc>
          <w:tcPr>
            <w:tcW w:w="1985" w:type="dxa"/>
            <w:tcBorders>
              <w:top w:val="none" w:sz="0" w:space="0" w:color="auto"/>
              <w:bottom w:val="none" w:sz="0" w:space="0" w:color="auto"/>
            </w:tcBorders>
            <w:shd w:val="clear" w:color="auto" w:fill="F2F2F2" w:themeFill="background1" w:themeFillShade="F2"/>
          </w:tcPr>
          <w:p w14:paraId="682F4F6A"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3</w:t>
            </w:r>
          </w:p>
        </w:tc>
        <w:tc>
          <w:tcPr>
            <w:tcW w:w="1369" w:type="dxa"/>
            <w:tcBorders>
              <w:top w:val="none" w:sz="0" w:space="0" w:color="auto"/>
              <w:bottom w:val="none" w:sz="0" w:space="0" w:color="auto"/>
            </w:tcBorders>
            <w:shd w:val="clear" w:color="auto" w:fill="F2F2F2" w:themeFill="background1" w:themeFillShade="F2"/>
          </w:tcPr>
          <w:p w14:paraId="7A067F3A"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În implementare</w:t>
            </w:r>
          </w:p>
        </w:tc>
        <w:tc>
          <w:tcPr>
            <w:tcW w:w="1613" w:type="dxa"/>
            <w:tcBorders>
              <w:top w:val="none" w:sz="0" w:space="0" w:color="auto"/>
              <w:bottom w:val="none" w:sz="0" w:space="0" w:color="auto"/>
            </w:tcBorders>
            <w:shd w:val="clear" w:color="auto" w:fill="F2F2F2" w:themeFill="background1" w:themeFillShade="F2"/>
          </w:tcPr>
          <w:p w14:paraId="664BDF96"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6,6 milioane RON</w:t>
            </w:r>
          </w:p>
        </w:tc>
        <w:tc>
          <w:tcPr>
            <w:tcW w:w="1414" w:type="dxa"/>
            <w:tcBorders>
              <w:top w:val="none" w:sz="0" w:space="0" w:color="auto"/>
              <w:bottom w:val="none" w:sz="0" w:space="0" w:color="auto"/>
            </w:tcBorders>
            <w:shd w:val="clear" w:color="auto" w:fill="F2F2F2" w:themeFill="background1" w:themeFillShade="F2"/>
          </w:tcPr>
          <w:p w14:paraId="07CD5FBA"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00B8114A" w14:textId="77777777" w:rsidTr="00F555EE">
        <w:trPr>
          <w:trHeight w:val="332"/>
        </w:trPr>
        <w:tc>
          <w:tcPr>
            <w:tcW w:w="2942" w:type="dxa"/>
            <w:shd w:val="clear" w:color="auto" w:fill="F2F2F2" w:themeFill="background1" w:themeFillShade="F2"/>
          </w:tcPr>
          <w:p w14:paraId="1FC1335E"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Reabilitarea și modernizarea imobil - Grădinița Steluța</w:t>
            </w:r>
          </w:p>
        </w:tc>
        <w:tc>
          <w:tcPr>
            <w:tcW w:w="1985" w:type="dxa"/>
            <w:shd w:val="clear" w:color="auto" w:fill="F2F2F2" w:themeFill="background1" w:themeFillShade="F2"/>
          </w:tcPr>
          <w:p w14:paraId="51DC6F0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10</w:t>
            </w:r>
          </w:p>
        </w:tc>
        <w:tc>
          <w:tcPr>
            <w:tcW w:w="1369" w:type="dxa"/>
            <w:shd w:val="clear" w:color="auto" w:fill="F2F2F2" w:themeFill="background1" w:themeFillShade="F2"/>
          </w:tcPr>
          <w:p w14:paraId="109CE74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În implementare</w:t>
            </w:r>
          </w:p>
        </w:tc>
        <w:tc>
          <w:tcPr>
            <w:tcW w:w="1613" w:type="dxa"/>
            <w:shd w:val="clear" w:color="auto" w:fill="F2F2F2" w:themeFill="background1" w:themeFillShade="F2"/>
          </w:tcPr>
          <w:p w14:paraId="6E61EA1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8,2 milioane RON</w:t>
            </w:r>
          </w:p>
        </w:tc>
        <w:tc>
          <w:tcPr>
            <w:tcW w:w="1414" w:type="dxa"/>
            <w:shd w:val="clear" w:color="auto" w:fill="F2F2F2" w:themeFill="background1" w:themeFillShade="F2"/>
          </w:tcPr>
          <w:p w14:paraId="3D5F010C"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2B62FC5A"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2942" w:type="dxa"/>
            <w:tcBorders>
              <w:top w:val="none" w:sz="0" w:space="0" w:color="auto"/>
              <w:bottom w:val="none" w:sz="0" w:space="0" w:color="auto"/>
            </w:tcBorders>
            <w:shd w:val="clear" w:color="auto" w:fill="F2F2F2" w:themeFill="background1" w:themeFillShade="F2"/>
          </w:tcPr>
          <w:p w14:paraId="307BF4E3"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Reabilitarea și modernizarea imobil - Grădinița nr. 233</w:t>
            </w:r>
          </w:p>
        </w:tc>
        <w:tc>
          <w:tcPr>
            <w:tcW w:w="1985" w:type="dxa"/>
            <w:tcBorders>
              <w:top w:val="none" w:sz="0" w:space="0" w:color="auto"/>
              <w:bottom w:val="none" w:sz="0" w:space="0" w:color="auto"/>
            </w:tcBorders>
            <w:shd w:val="clear" w:color="auto" w:fill="F2F2F2" w:themeFill="background1" w:themeFillShade="F2"/>
          </w:tcPr>
          <w:p w14:paraId="1E6E7A5D"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10</w:t>
            </w:r>
          </w:p>
        </w:tc>
        <w:tc>
          <w:tcPr>
            <w:tcW w:w="1369" w:type="dxa"/>
            <w:tcBorders>
              <w:top w:val="none" w:sz="0" w:space="0" w:color="auto"/>
              <w:bottom w:val="none" w:sz="0" w:space="0" w:color="auto"/>
            </w:tcBorders>
            <w:shd w:val="clear" w:color="auto" w:fill="F2F2F2" w:themeFill="background1" w:themeFillShade="F2"/>
          </w:tcPr>
          <w:p w14:paraId="0F591539"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În implementare</w:t>
            </w:r>
          </w:p>
        </w:tc>
        <w:tc>
          <w:tcPr>
            <w:tcW w:w="1613" w:type="dxa"/>
            <w:tcBorders>
              <w:top w:val="none" w:sz="0" w:space="0" w:color="auto"/>
              <w:bottom w:val="none" w:sz="0" w:space="0" w:color="auto"/>
            </w:tcBorders>
            <w:shd w:val="clear" w:color="auto" w:fill="F2F2F2" w:themeFill="background1" w:themeFillShade="F2"/>
          </w:tcPr>
          <w:p w14:paraId="678FD5DA"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9,85 milioane RON</w:t>
            </w:r>
          </w:p>
        </w:tc>
        <w:tc>
          <w:tcPr>
            <w:tcW w:w="1414" w:type="dxa"/>
            <w:tcBorders>
              <w:top w:val="none" w:sz="0" w:space="0" w:color="auto"/>
              <w:bottom w:val="none" w:sz="0" w:space="0" w:color="auto"/>
            </w:tcBorders>
            <w:shd w:val="clear" w:color="auto" w:fill="F2F2F2" w:themeFill="background1" w:themeFillShade="F2"/>
          </w:tcPr>
          <w:p w14:paraId="140BFFDA"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2574A714" w14:textId="77777777" w:rsidTr="00F555EE">
        <w:trPr>
          <w:trHeight w:val="332"/>
        </w:trPr>
        <w:tc>
          <w:tcPr>
            <w:tcW w:w="2942" w:type="dxa"/>
            <w:shd w:val="clear" w:color="auto" w:fill="F2F2F2" w:themeFill="background1" w:themeFillShade="F2"/>
          </w:tcPr>
          <w:p w14:paraId="0F77DE57"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Reabilitarea și modernizarea imobil - Grădinița Luminița</w:t>
            </w:r>
          </w:p>
        </w:tc>
        <w:tc>
          <w:tcPr>
            <w:tcW w:w="1985" w:type="dxa"/>
            <w:shd w:val="clear" w:color="auto" w:fill="F2F2F2" w:themeFill="background1" w:themeFillShade="F2"/>
          </w:tcPr>
          <w:p w14:paraId="04997AB0"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10</w:t>
            </w:r>
          </w:p>
        </w:tc>
        <w:tc>
          <w:tcPr>
            <w:tcW w:w="1369" w:type="dxa"/>
            <w:shd w:val="clear" w:color="auto" w:fill="F2F2F2" w:themeFill="background1" w:themeFillShade="F2"/>
          </w:tcPr>
          <w:p w14:paraId="0F046591"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În implementare</w:t>
            </w:r>
          </w:p>
        </w:tc>
        <w:tc>
          <w:tcPr>
            <w:tcW w:w="1613" w:type="dxa"/>
            <w:shd w:val="clear" w:color="auto" w:fill="F2F2F2" w:themeFill="background1" w:themeFillShade="F2"/>
          </w:tcPr>
          <w:p w14:paraId="36B924EC"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11, 2 milioane RON</w:t>
            </w:r>
          </w:p>
        </w:tc>
        <w:tc>
          <w:tcPr>
            <w:tcW w:w="1414" w:type="dxa"/>
            <w:shd w:val="clear" w:color="auto" w:fill="F2F2F2" w:themeFill="background1" w:themeFillShade="F2"/>
          </w:tcPr>
          <w:p w14:paraId="77CA42E1"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7D0CE832"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2942" w:type="dxa"/>
            <w:tcBorders>
              <w:top w:val="none" w:sz="0" w:space="0" w:color="auto"/>
              <w:bottom w:val="none" w:sz="0" w:space="0" w:color="auto"/>
            </w:tcBorders>
            <w:shd w:val="clear" w:color="auto" w:fill="F2F2F2" w:themeFill="background1" w:themeFillShade="F2"/>
          </w:tcPr>
          <w:p w14:paraId="073A6F21"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Reabilitarea și modernizarea imobil - Grădinița nr 189</w:t>
            </w:r>
          </w:p>
        </w:tc>
        <w:tc>
          <w:tcPr>
            <w:tcW w:w="1985" w:type="dxa"/>
            <w:tcBorders>
              <w:top w:val="none" w:sz="0" w:space="0" w:color="auto"/>
              <w:bottom w:val="none" w:sz="0" w:space="0" w:color="auto"/>
            </w:tcBorders>
            <w:shd w:val="clear" w:color="auto" w:fill="F2F2F2" w:themeFill="background1" w:themeFillShade="F2"/>
          </w:tcPr>
          <w:p w14:paraId="67C5F5B1"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10</w:t>
            </w:r>
          </w:p>
        </w:tc>
        <w:tc>
          <w:tcPr>
            <w:tcW w:w="1369" w:type="dxa"/>
            <w:tcBorders>
              <w:top w:val="none" w:sz="0" w:space="0" w:color="auto"/>
              <w:bottom w:val="none" w:sz="0" w:space="0" w:color="auto"/>
            </w:tcBorders>
            <w:shd w:val="clear" w:color="auto" w:fill="F2F2F2" w:themeFill="background1" w:themeFillShade="F2"/>
          </w:tcPr>
          <w:p w14:paraId="306F63B0"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În implementare</w:t>
            </w:r>
          </w:p>
        </w:tc>
        <w:tc>
          <w:tcPr>
            <w:tcW w:w="1613" w:type="dxa"/>
            <w:tcBorders>
              <w:top w:val="none" w:sz="0" w:space="0" w:color="auto"/>
              <w:bottom w:val="none" w:sz="0" w:space="0" w:color="auto"/>
            </w:tcBorders>
            <w:shd w:val="clear" w:color="auto" w:fill="F2F2F2" w:themeFill="background1" w:themeFillShade="F2"/>
          </w:tcPr>
          <w:p w14:paraId="3C502F5A"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8,1  milioane RON</w:t>
            </w:r>
          </w:p>
        </w:tc>
        <w:tc>
          <w:tcPr>
            <w:tcW w:w="1414" w:type="dxa"/>
            <w:tcBorders>
              <w:top w:val="none" w:sz="0" w:space="0" w:color="auto"/>
              <w:bottom w:val="none" w:sz="0" w:space="0" w:color="auto"/>
            </w:tcBorders>
            <w:shd w:val="clear" w:color="auto" w:fill="F2F2F2" w:themeFill="background1" w:themeFillShade="F2"/>
          </w:tcPr>
          <w:p w14:paraId="6B35766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5FA4F8E0" w14:textId="77777777" w:rsidTr="00F555EE">
        <w:trPr>
          <w:trHeight w:val="332"/>
        </w:trPr>
        <w:tc>
          <w:tcPr>
            <w:tcW w:w="2942" w:type="dxa"/>
            <w:shd w:val="clear" w:color="auto" w:fill="F2F2F2" w:themeFill="background1" w:themeFillShade="F2"/>
          </w:tcPr>
          <w:p w14:paraId="7334B3C8"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Reabilitarea și modernizarea imobil - Grădinița nr. 280</w:t>
            </w:r>
          </w:p>
        </w:tc>
        <w:tc>
          <w:tcPr>
            <w:tcW w:w="1985" w:type="dxa"/>
            <w:shd w:val="clear" w:color="auto" w:fill="F2F2F2" w:themeFill="background1" w:themeFillShade="F2"/>
          </w:tcPr>
          <w:p w14:paraId="47E1F5F8"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10</w:t>
            </w:r>
          </w:p>
        </w:tc>
        <w:tc>
          <w:tcPr>
            <w:tcW w:w="1369" w:type="dxa"/>
            <w:shd w:val="clear" w:color="auto" w:fill="F2F2F2" w:themeFill="background1" w:themeFillShade="F2"/>
          </w:tcPr>
          <w:p w14:paraId="42A5FDBD"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În implementare</w:t>
            </w:r>
          </w:p>
        </w:tc>
        <w:tc>
          <w:tcPr>
            <w:tcW w:w="1613" w:type="dxa"/>
            <w:shd w:val="clear" w:color="auto" w:fill="F2F2F2" w:themeFill="background1" w:themeFillShade="F2"/>
          </w:tcPr>
          <w:p w14:paraId="750422E9"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11,1  milioane RON</w:t>
            </w:r>
          </w:p>
        </w:tc>
        <w:tc>
          <w:tcPr>
            <w:tcW w:w="1414" w:type="dxa"/>
            <w:shd w:val="clear" w:color="auto" w:fill="F2F2F2" w:themeFill="background1" w:themeFillShade="F2"/>
          </w:tcPr>
          <w:p w14:paraId="3ABC2A06"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754C97C2"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2942" w:type="dxa"/>
            <w:tcBorders>
              <w:top w:val="none" w:sz="0" w:space="0" w:color="auto"/>
              <w:bottom w:val="none" w:sz="0" w:space="0" w:color="auto"/>
            </w:tcBorders>
            <w:shd w:val="clear" w:color="auto" w:fill="F2F2F2" w:themeFill="background1" w:themeFillShade="F2"/>
          </w:tcPr>
          <w:p w14:paraId="56EC9B44"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Reabilitarea și modernizarea imobil - Grădinița Albinuța</w:t>
            </w:r>
          </w:p>
        </w:tc>
        <w:tc>
          <w:tcPr>
            <w:tcW w:w="1985" w:type="dxa"/>
            <w:tcBorders>
              <w:top w:val="none" w:sz="0" w:space="0" w:color="auto"/>
              <w:bottom w:val="none" w:sz="0" w:space="0" w:color="auto"/>
            </w:tcBorders>
            <w:shd w:val="clear" w:color="auto" w:fill="F2F2F2" w:themeFill="background1" w:themeFillShade="F2"/>
          </w:tcPr>
          <w:p w14:paraId="4E0D5D23"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POR, Axa prioritară 10</w:t>
            </w:r>
          </w:p>
        </w:tc>
        <w:tc>
          <w:tcPr>
            <w:tcW w:w="1369" w:type="dxa"/>
            <w:tcBorders>
              <w:top w:val="none" w:sz="0" w:space="0" w:color="auto"/>
              <w:bottom w:val="none" w:sz="0" w:space="0" w:color="auto"/>
            </w:tcBorders>
            <w:shd w:val="clear" w:color="auto" w:fill="F2F2F2" w:themeFill="background1" w:themeFillShade="F2"/>
          </w:tcPr>
          <w:p w14:paraId="71BAF4F5"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În implementare</w:t>
            </w:r>
          </w:p>
        </w:tc>
        <w:tc>
          <w:tcPr>
            <w:tcW w:w="1613" w:type="dxa"/>
            <w:tcBorders>
              <w:top w:val="none" w:sz="0" w:space="0" w:color="auto"/>
              <w:bottom w:val="none" w:sz="0" w:space="0" w:color="auto"/>
            </w:tcBorders>
            <w:shd w:val="clear" w:color="auto" w:fill="F2F2F2" w:themeFill="background1" w:themeFillShade="F2"/>
          </w:tcPr>
          <w:p w14:paraId="2C5454C4"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8,105 milioane RON</w:t>
            </w:r>
          </w:p>
        </w:tc>
        <w:tc>
          <w:tcPr>
            <w:tcW w:w="1414" w:type="dxa"/>
            <w:tcBorders>
              <w:top w:val="none" w:sz="0" w:space="0" w:color="auto"/>
              <w:bottom w:val="none" w:sz="0" w:space="0" w:color="auto"/>
            </w:tcBorders>
            <w:shd w:val="clear" w:color="auto" w:fill="F2F2F2" w:themeFill="background1" w:themeFillShade="F2"/>
          </w:tcPr>
          <w:p w14:paraId="3A449D20"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DGAPI</w:t>
            </w:r>
          </w:p>
        </w:tc>
      </w:tr>
      <w:tr w:rsidR="0006359E" w:rsidRPr="00F171A3" w14:paraId="3EF5416E" w14:textId="77777777" w:rsidTr="00F555EE">
        <w:trPr>
          <w:trHeight w:val="332"/>
        </w:trPr>
        <w:tc>
          <w:tcPr>
            <w:tcW w:w="2942" w:type="dxa"/>
            <w:shd w:val="clear" w:color="auto" w:fill="F2F2F2" w:themeFill="background1" w:themeFillShade="F2"/>
          </w:tcPr>
          <w:p w14:paraId="1666E417" w14:textId="77777777" w:rsidR="0006359E" w:rsidRPr="00F171A3" w:rsidRDefault="0006359E" w:rsidP="00F31936">
            <w:pPr>
              <w:jc w:val="left"/>
              <w:rPr>
                <w:rFonts w:ascii="Calibri" w:eastAsia="Calibri" w:hAnsi="Calibri" w:cs="Calibri"/>
                <w:color w:val="000000"/>
                <w:sz w:val="20"/>
                <w:szCs w:val="20"/>
              </w:rPr>
            </w:pPr>
            <w:r w:rsidRPr="00F171A3">
              <w:rPr>
                <w:sz w:val="20"/>
                <w:szCs w:val="20"/>
              </w:rPr>
              <w:t>Derulare program de acordare ajutoare alimentare și produse de igienă pentru persoane defavorizate</w:t>
            </w:r>
          </w:p>
        </w:tc>
        <w:tc>
          <w:tcPr>
            <w:tcW w:w="1985" w:type="dxa"/>
            <w:shd w:val="clear" w:color="auto" w:fill="F2F2F2" w:themeFill="background1" w:themeFillShade="F2"/>
          </w:tcPr>
          <w:p w14:paraId="04490E84"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 xml:space="preserve">POAD </w:t>
            </w:r>
          </w:p>
        </w:tc>
        <w:tc>
          <w:tcPr>
            <w:tcW w:w="1369" w:type="dxa"/>
            <w:shd w:val="clear" w:color="auto" w:fill="F2F2F2" w:themeFill="background1" w:themeFillShade="F2"/>
          </w:tcPr>
          <w:p w14:paraId="01BE8E5C" w14:textId="77777777" w:rsidR="0006359E" w:rsidRPr="00F171A3" w:rsidRDefault="0006359E" w:rsidP="00F31936">
            <w:pPr>
              <w:jc w:val="left"/>
              <w:rPr>
                <w:rFonts w:ascii="Calibri" w:eastAsia="Calibri" w:hAnsi="Calibri" w:cs="Calibri"/>
                <w:color w:val="000000"/>
                <w:sz w:val="20"/>
                <w:szCs w:val="20"/>
              </w:rPr>
            </w:pPr>
          </w:p>
        </w:tc>
        <w:tc>
          <w:tcPr>
            <w:tcW w:w="1613" w:type="dxa"/>
            <w:shd w:val="clear" w:color="auto" w:fill="F2F2F2" w:themeFill="background1" w:themeFillShade="F2"/>
          </w:tcPr>
          <w:p w14:paraId="06681FF0" w14:textId="77777777" w:rsidR="0006359E" w:rsidRPr="00F171A3" w:rsidRDefault="0006359E" w:rsidP="00F31936">
            <w:pPr>
              <w:jc w:val="left"/>
              <w:rPr>
                <w:rFonts w:ascii="Calibri" w:eastAsia="Calibri" w:hAnsi="Calibri" w:cs="Calibri"/>
                <w:color w:val="000000"/>
                <w:sz w:val="20"/>
                <w:szCs w:val="20"/>
              </w:rPr>
            </w:pPr>
          </w:p>
        </w:tc>
        <w:tc>
          <w:tcPr>
            <w:tcW w:w="1414" w:type="dxa"/>
            <w:shd w:val="clear" w:color="auto" w:fill="F2F2F2" w:themeFill="background1" w:themeFillShade="F2"/>
          </w:tcPr>
          <w:p w14:paraId="639DFCB9"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DGASPC</w:t>
            </w:r>
          </w:p>
        </w:tc>
      </w:tr>
      <w:tr w:rsidR="0006359E" w:rsidRPr="00F171A3" w14:paraId="0FE46635" w14:textId="77777777" w:rsidTr="00F555EE">
        <w:trPr>
          <w:cnfStyle w:val="000000100000" w:firstRow="0" w:lastRow="0" w:firstColumn="0" w:lastColumn="0" w:oddVBand="0" w:evenVBand="0" w:oddHBand="1" w:evenHBand="0" w:firstRowFirstColumn="0" w:firstRowLastColumn="0" w:lastRowFirstColumn="0" w:lastRowLastColumn="0"/>
          <w:trHeight w:val="332"/>
        </w:trPr>
        <w:tc>
          <w:tcPr>
            <w:tcW w:w="2942" w:type="dxa"/>
            <w:tcBorders>
              <w:top w:val="none" w:sz="0" w:space="0" w:color="auto"/>
              <w:bottom w:val="none" w:sz="0" w:space="0" w:color="auto"/>
            </w:tcBorders>
            <w:shd w:val="clear" w:color="auto" w:fill="F2F2F2" w:themeFill="background1" w:themeFillShade="F2"/>
          </w:tcPr>
          <w:p w14:paraId="61DBE9A8" w14:textId="77777777" w:rsidR="0006359E" w:rsidRPr="00F171A3" w:rsidRDefault="0006359E" w:rsidP="00F31936">
            <w:pPr>
              <w:jc w:val="left"/>
              <w:rPr>
                <w:rFonts w:ascii="Calibri" w:eastAsia="Calibri" w:hAnsi="Calibri" w:cs="Calibri"/>
                <w:color w:val="000000"/>
                <w:sz w:val="20"/>
                <w:szCs w:val="20"/>
              </w:rPr>
            </w:pPr>
            <w:r w:rsidRPr="00F171A3">
              <w:rPr>
                <w:sz w:val="20"/>
                <w:szCs w:val="20"/>
              </w:rPr>
              <w:t xml:space="preserve">Derulare program de acordare tichete sociale pe suport electronic pentru mese calde, pentru persoane defavorizate </w:t>
            </w:r>
          </w:p>
        </w:tc>
        <w:tc>
          <w:tcPr>
            <w:tcW w:w="1985" w:type="dxa"/>
            <w:tcBorders>
              <w:top w:val="none" w:sz="0" w:space="0" w:color="auto"/>
              <w:bottom w:val="none" w:sz="0" w:space="0" w:color="auto"/>
            </w:tcBorders>
            <w:shd w:val="clear" w:color="auto" w:fill="F2F2F2" w:themeFill="background1" w:themeFillShade="F2"/>
          </w:tcPr>
          <w:p w14:paraId="4C9FC3EC"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POAD</w:t>
            </w:r>
          </w:p>
        </w:tc>
        <w:tc>
          <w:tcPr>
            <w:tcW w:w="1369" w:type="dxa"/>
            <w:tcBorders>
              <w:top w:val="none" w:sz="0" w:space="0" w:color="auto"/>
              <w:bottom w:val="none" w:sz="0" w:space="0" w:color="auto"/>
            </w:tcBorders>
            <w:shd w:val="clear" w:color="auto" w:fill="F2F2F2" w:themeFill="background1" w:themeFillShade="F2"/>
          </w:tcPr>
          <w:p w14:paraId="282C122C" w14:textId="77777777" w:rsidR="0006359E" w:rsidRPr="00F171A3" w:rsidRDefault="0006359E" w:rsidP="00F31936">
            <w:pPr>
              <w:jc w:val="left"/>
              <w:rPr>
                <w:rFonts w:ascii="Calibri" w:eastAsia="Calibri" w:hAnsi="Calibri" w:cs="Calibri"/>
                <w:color w:val="000000"/>
                <w:sz w:val="20"/>
                <w:szCs w:val="20"/>
              </w:rPr>
            </w:pPr>
          </w:p>
        </w:tc>
        <w:tc>
          <w:tcPr>
            <w:tcW w:w="1613" w:type="dxa"/>
            <w:tcBorders>
              <w:top w:val="none" w:sz="0" w:space="0" w:color="auto"/>
              <w:bottom w:val="none" w:sz="0" w:space="0" w:color="auto"/>
            </w:tcBorders>
            <w:shd w:val="clear" w:color="auto" w:fill="F2F2F2" w:themeFill="background1" w:themeFillShade="F2"/>
          </w:tcPr>
          <w:p w14:paraId="3DC1E8DE" w14:textId="77777777" w:rsidR="0006359E" w:rsidRPr="00F171A3" w:rsidRDefault="0006359E" w:rsidP="00F31936">
            <w:pPr>
              <w:jc w:val="left"/>
              <w:rPr>
                <w:rFonts w:ascii="Calibri" w:eastAsia="Calibri" w:hAnsi="Calibri" w:cs="Calibri"/>
                <w:color w:val="000000"/>
                <w:sz w:val="20"/>
                <w:szCs w:val="20"/>
              </w:rPr>
            </w:pPr>
          </w:p>
        </w:tc>
        <w:tc>
          <w:tcPr>
            <w:tcW w:w="1414" w:type="dxa"/>
            <w:tcBorders>
              <w:top w:val="none" w:sz="0" w:space="0" w:color="auto"/>
              <w:bottom w:val="none" w:sz="0" w:space="0" w:color="auto"/>
            </w:tcBorders>
            <w:shd w:val="clear" w:color="auto" w:fill="F2F2F2" w:themeFill="background1" w:themeFillShade="F2"/>
          </w:tcPr>
          <w:p w14:paraId="530F600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DGASPC</w:t>
            </w:r>
          </w:p>
        </w:tc>
      </w:tr>
      <w:tr w:rsidR="0006359E" w:rsidRPr="00F171A3" w14:paraId="77101145" w14:textId="77777777" w:rsidTr="00F555EE">
        <w:trPr>
          <w:trHeight w:val="332"/>
        </w:trPr>
        <w:tc>
          <w:tcPr>
            <w:tcW w:w="2942" w:type="dxa"/>
            <w:shd w:val="clear" w:color="auto" w:fill="F2F2F2" w:themeFill="background1" w:themeFillShade="F2"/>
          </w:tcPr>
          <w:p w14:paraId="4831BB6C"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Asigurarea de sprijin pentru cele mai sărace categorii ale populației prin Programul Operațional Ajutorarea Persoanelor Dezavantajate (POAD)</w:t>
            </w:r>
          </w:p>
        </w:tc>
        <w:tc>
          <w:tcPr>
            <w:tcW w:w="1985" w:type="dxa"/>
            <w:shd w:val="clear" w:color="auto" w:fill="F2F2F2" w:themeFill="background1" w:themeFillShade="F2"/>
          </w:tcPr>
          <w:p w14:paraId="36EFF29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POAD</w:t>
            </w:r>
          </w:p>
        </w:tc>
        <w:tc>
          <w:tcPr>
            <w:tcW w:w="1369" w:type="dxa"/>
            <w:shd w:val="clear" w:color="auto" w:fill="F2F2F2" w:themeFill="background1" w:themeFillShade="F2"/>
          </w:tcPr>
          <w:p w14:paraId="2E3AEC04" w14:textId="77777777" w:rsidR="0006359E" w:rsidRPr="00F171A3" w:rsidRDefault="0006359E" w:rsidP="00F31936">
            <w:pPr>
              <w:jc w:val="left"/>
              <w:rPr>
                <w:rFonts w:ascii="Calibri" w:eastAsia="Calibri" w:hAnsi="Calibri" w:cs="Calibri"/>
                <w:color w:val="000000"/>
                <w:sz w:val="20"/>
                <w:szCs w:val="20"/>
              </w:rPr>
            </w:pPr>
          </w:p>
        </w:tc>
        <w:tc>
          <w:tcPr>
            <w:tcW w:w="1613" w:type="dxa"/>
            <w:shd w:val="clear" w:color="auto" w:fill="F2F2F2" w:themeFill="background1" w:themeFillShade="F2"/>
          </w:tcPr>
          <w:p w14:paraId="257D28C6" w14:textId="77777777" w:rsidR="0006359E" w:rsidRPr="00F171A3" w:rsidRDefault="0006359E" w:rsidP="00F31936">
            <w:pPr>
              <w:jc w:val="left"/>
              <w:rPr>
                <w:rFonts w:ascii="Calibri" w:eastAsia="Calibri" w:hAnsi="Calibri" w:cs="Calibri"/>
                <w:color w:val="000000"/>
                <w:sz w:val="20"/>
                <w:szCs w:val="20"/>
              </w:rPr>
            </w:pPr>
          </w:p>
        </w:tc>
        <w:tc>
          <w:tcPr>
            <w:tcW w:w="1414" w:type="dxa"/>
            <w:shd w:val="clear" w:color="auto" w:fill="F2F2F2" w:themeFill="background1" w:themeFillShade="F2"/>
          </w:tcPr>
          <w:p w14:paraId="4D920D2B" w14:textId="77777777" w:rsidR="0006359E" w:rsidRPr="00F171A3" w:rsidRDefault="0006359E" w:rsidP="00F31936">
            <w:pPr>
              <w:jc w:val="left"/>
              <w:rPr>
                <w:rFonts w:ascii="Calibri" w:eastAsia="Calibri" w:hAnsi="Calibri" w:cs="Calibri"/>
                <w:color w:val="000000"/>
                <w:sz w:val="20"/>
                <w:szCs w:val="20"/>
              </w:rPr>
            </w:pPr>
            <w:r w:rsidRPr="00F171A3">
              <w:rPr>
                <w:color w:val="000000"/>
                <w:sz w:val="20"/>
                <w:szCs w:val="20"/>
              </w:rPr>
              <w:t>DGASPC</w:t>
            </w:r>
          </w:p>
        </w:tc>
      </w:tr>
    </w:tbl>
    <w:p w14:paraId="3E737E6D" w14:textId="7C29F6D2" w:rsidR="0006359E" w:rsidRPr="00F171A3" w:rsidRDefault="0006359E" w:rsidP="002278A7">
      <w:pPr>
        <w:jc w:val="right"/>
        <w:rPr>
          <w:color w:val="BFBFBF" w:themeColor="background1" w:themeShade="BF"/>
        </w:rPr>
      </w:pPr>
      <w:r w:rsidRPr="00F171A3">
        <w:rPr>
          <w:color w:val="BFBFBF" w:themeColor="background1" w:themeShade="BF"/>
        </w:rPr>
        <w:t>Sursa: Prelucrare proprie pe baza datelor publice transmise de Primăria Sector</w:t>
      </w:r>
      <w:r w:rsidR="00F53B80" w:rsidRPr="00F171A3">
        <w:rPr>
          <w:color w:val="BFBFBF" w:themeColor="background1" w:themeShade="BF"/>
        </w:rPr>
        <w:t>ului</w:t>
      </w:r>
      <w:r w:rsidRPr="00F171A3">
        <w:rPr>
          <w:color w:val="BFBFBF" w:themeColor="background1" w:themeShade="BF"/>
        </w:rPr>
        <w:t xml:space="preserve"> 2 </w:t>
      </w:r>
    </w:p>
    <w:p w14:paraId="1637F474" w14:textId="01B125F6" w:rsidR="0006359E" w:rsidRPr="00F171A3" w:rsidRDefault="0006359E" w:rsidP="0006359E">
      <w:pPr>
        <w:spacing w:before="240"/>
      </w:pPr>
      <w:r w:rsidRPr="00F171A3">
        <w:t>Primăria Sector</w:t>
      </w:r>
      <w:r w:rsidR="00135D70" w:rsidRPr="00F171A3">
        <w:t>ului 2</w:t>
      </w:r>
      <w:r w:rsidRPr="00F171A3">
        <w:t xml:space="preserve"> a estimat pentru anul 2022 venituri prin intermediul Programului Național de Dezvoltare Locală (PNDL) de 39,4 milioane RON și 20,2 milioane RON ca sume primite de la UE/alți donatori în contul plăților efectuate și pre finanțări aferente cadrului financiar 2014-2020. Prin Programul Național Anghel Saligny, Primăria Sector</w:t>
      </w:r>
      <w:r w:rsidR="00135D70" w:rsidRPr="00F171A3">
        <w:t>ului</w:t>
      </w:r>
      <w:r w:rsidRPr="00F171A3">
        <w:t xml:space="preserve"> 2 obținut finanțare pentru 9 obiective de investiții de reabilitare rutieră în valoare de 25 milioane RON. </w:t>
      </w:r>
    </w:p>
    <w:p w14:paraId="3845BF74" w14:textId="77777777" w:rsidR="0006359E" w:rsidRPr="00F171A3" w:rsidRDefault="0006359E" w:rsidP="0006359E">
      <w:pPr>
        <w:spacing w:before="240"/>
      </w:pPr>
    </w:p>
    <w:p w14:paraId="66CE89B3" w14:textId="77777777" w:rsidR="0006359E" w:rsidRPr="00F171A3" w:rsidRDefault="0006359E" w:rsidP="0006359E">
      <w:pPr>
        <w:pStyle w:val="Heading3"/>
        <w:rPr>
          <w:lang w:val="ro-RO"/>
        </w:rPr>
      </w:pPr>
      <w:bookmarkStart w:id="382" w:name="_heading=h.452snld" w:colFirst="0" w:colLast="0"/>
      <w:bookmarkStart w:id="383" w:name="_heading=h.2k82xt6" w:colFirst="0" w:colLast="0"/>
      <w:bookmarkStart w:id="384" w:name="_Toc114505913"/>
      <w:bookmarkStart w:id="385" w:name="_Toc127199301"/>
      <w:bookmarkEnd w:id="382"/>
      <w:bookmarkEnd w:id="383"/>
      <w:r w:rsidRPr="00F171A3">
        <w:rPr>
          <w:lang w:val="ro-RO"/>
        </w:rPr>
        <w:t>RESURSE MATERIALE</w:t>
      </w:r>
      <w:bookmarkEnd w:id="384"/>
      <w:bookmarkEnd w:id="385"/>
    </w:p>
    <w:p w14:paraId="1C857996" w14:textId="67217217" w:rsidR="0006359E" w:rsidRPr="00F171A3" w:rsidRDefault="0006359E" w:rsidP="0006359E">
      <w:r w:rsidRPr="00F171A3">
        <w:t>Conform datelor furnizate de către Primăria Sector</w:t>
      </w:r>
      <w:r w:rsidR="00135D70" w:rsidRPr="00F171A3">
        <w:t>ului</w:t>
      </w:r>
      <w:r w:rsidRPr="00F171A3">
        <w:t xml:space="preserve"> 2, instituția beneficiază de infrastructură hardware cu o vechime medie, majoritatea unităților de lucru fiind în exploatare de 5 ani. Numărul total de echipamente este de 469 unități tip stații de lucru, 103 sisteme portabile, 308 echipamente de scanare/imprimare/copiere și 24 servere. Mentenanța echipamentelor hardware este asigurată intern, cu excepția echipamentelor de scanare/imprimare/copiere, plottere. </w:t>
      </w:r>
    </w:p>
    <w:p w14:paraId="47963600" w14:textId="5B2D8898" w:rsidR="0006359E" w:rsidRPr="003A6017" w:rsidRDefault="002278A7" w:rsidP="003A6017">
      <w:pPr>
        <w:pStyle w:val="Caption"/>
      </w:pPr>
      <w:bookmarkStart w:id="386" w:name="_heading=h.zdd80z" w:colFirst="0" w:colLast="0"/>
      <w:bookmarkStart w:id="387" w:name="_Toc126943309"/>
      <w:bookmarkEnd w:id="386"/>
      <w:r w:rsidRPr="003A6017">
        <w:t xml:space="preserve">Tabel </w:t>
      </w:r>
      <w:r w:rsidRPr="003A6017">
        <w:fldChar w:fldCharType="begin"/>
      </w:r>
      <w:r w:rsidRPr="003A6017">
        <w:instrText xml:space="preserve"> SEQ Tabel \* ARABIC </w:instrText>
      </w:r>
      <w:r w:rsidRPr="003A6017">
        <w:fldChar w:fldCharType="separate"/>
      </w:r>
      <w:r w:rsidR="005A6DD8">
        <w:rPr>
          <w:noProof/>
        </w:rPr>
        <w:t>52</w:t>
      </w:r>
      <w:r w:rsidRPr="003A6017">
        <w:fldChar w:fldCharType="end"/>
      </w:r>
      <w:r w:rsidRPr="003A6017">
        <w:t xml:space="preserve"> </w:t>
      </w:r>
      <w:r w:rsidR="003A6017" w:rsidRPr="003A6017">
        <w:t>Resurse materiale disponibile la nivelul Primăriei Sectorului 2</w:t>
      </w:r>
      <w:bookmarkEnd w:id="387"/>
    </w:p>
    <w:tbl>
      <w:tblPr>
        <w:tblStyle w:val="ListTable3-Accent21"/>
        <w:tblW w:w="94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2614"/>
        <w:gridCol w:w="2570"/>
        <w:gridCol w:w="4252"/>
      </w:tblGrid>
      <w:tr w:rsidR="0006359E" w:rsidRPr="00F171A3" w14:paraId="288E52E5" w14:textId="77777777" w:rsidTr="00F555EE">
        <w:trPr>
          <w:cnfStyle w:val="100000000000" w:firstRow="1" w:lastRow="0" w:firstColumn="0" w:lastColumn="0" w:oddVBand="0" w:evenVBand="0" w:oddHBand="0" w:evenHBand="0" w:firstRowFirstColumn="0" w:firstRowLastColumn="0" w:lastRowFirstColumn="0" w:lastRowLastColumn="0"/>
          <w:trHeight w:val="668"/>
        </w:trPr>
        <w:tc>
          <w:tcPr>
            <w:tcW w:w="2614" w:type="dxa"/>
            <w:vAlign w:val="center"/>
          </w:tcPr>
          <w:p w14:paraId="68A274EA" w14:textId="755F0193" w:rsidR="0006359E" w:rsidRPr="00F171A3" w:rsidRDefault="00F555EE" w:rsidP="00F555EE">
            <w:pPr>
              <w:jc w:val="center"/>
              <w:rPr>
                <w:sz w:val="20"/>
                <w:szCs w:val="20"/>
              </w:rPr>
            </w:pPr>
            <w:r w:rsidRPr="00F171A3">
              <w:rPr>
                <w:sz w:val="20"/>
                <w:szCs w:val="20"/>
              </w:rPr>
              <w:t>INFRASTRUCTURA HARDWARE</w:t>
            </w:r>
          </w:p>
        </w:tc>
        <w:tc>
          <w:tcPr>
            <w:tcW w:w="2570" w:type="dxa"/>
            <w:vAlign w:val="center"/>
          </w:tcPr>
          <w:p w14:paraId="3B6C29D2" w14:textId="31903ED6" w:rsidR="0006359E" w:rsidRPr="00F171A3" w:rsidRDefault="00F555EE" w:rsidP="00F555EE">
            <w:pPr>
              <w:jc w:val="center"/>
              <w:rPr>
                <w:sz w:val="20"/>
                <w:szCs w:val="20"/>
              </w:rPr>
            </w:pPr>
            <w:r w:rsidRPr="00F171A3">
              <w:rPr>
                <w:sz w:val="20"/>
                <w:szCs w:val="20"/>
              </w:rPr>
              <w:t>NUMĂR TOTAL</w:t>
            </w:r>
          </w:p>
        </w:tc>
        <w:tc>
          <w:tcPr>
            <w:tcW w:w="4252" w:type="dxa"/>
            <w:vAlign w:val="center"/>
          </w:tcPr>
          <w:p w14:paraId="3F8D3DF2" w14:textId="4DD92442" w:rsidR="0006359E" w:rsidRPr="00F171A3" w:rsidRDefault="00F555EE" w:rsidP="00F555EE">
            <w:pPr>
              <w:jc w:val="center"/>
              <w:rPr>
                <w:sz w:val="20"/>
                <w:szCs w:val="20"/>
              </w:rPr>
            </w:pPr>
            <w:r w:rsidRPr="00F171A3">
              <w:rPr>
                <w:sz w:val="20"/>
                <w:szCs w:val="20"/>
              </w:rPr>
              <w:t>VECHIME MEDIE</w:t>
            </w:r>
          </w:p>
        </w:tc>
      </w:tr>
      <w:tr w:rsidR="0006359E" w:rsidRPr="00F171A3" w14:paraId="7D5EE2E9" w14:textId="77777777" w:rsidTr="00DB582B">
        <w:trPr>
          <w:cnfStyle w:val="000000100000" w:firstRow="0" w:lastRow="0" w:firstColumn="0" w:lastColumn="0" w:oddVBand="0" w:evenVBand="0" w:oddHBand="1" w:evenHBand="0" w:firstRowFirstColumn="0" w:firstRowLastColumn="0" w:lastRowFirstColumn="0" w:lastRowLastColumn="0"/>
          <w:trHeight w:val="70"/>
        </w:trPr>
        <w:tc>
          <w:tcPr>
            <w:tcW w:w="2614" w:type="dxa"/>
            <w:tcBorders>
              <w:top w:val="none" w:sz="0" w:space="0" w:color="auto"/>
              <w:bottom w:val="none" w:sz="0" w:space="0" w:color="auto"/>
            </w:tcBorders>
            <w:shd w:val="clear" w:color="auto" w:fill="F2F2F2" w:themeFill="background1" w:themeFillShade="F2"/>
          </w:tcPr>
          <w:p w14:paraId="770ED6D5" w14:textId="77777777" w:rsidR="0006359E" w:rsidRPr="00F171A3" w:rsidRDefault="0006359E" w:rsidP="00F31936">
            <w:pPr>
              <w:jc w:val="center"/>
              <w:rPr>
                <w:rFonts w:ascii="Calibri" w:eastAsia="Calibri" w:hAnsi="Calibri" w:cs="Calibri"/>
                <w:sz w:val="20"/>
                <w:szCs w:val="20"/>
              </w:rPr>
            </w:pPr>
            <w:r w:rsidRPr="00F171A3">
              <w:rPr>
                <w:sz w:val="20"/>
                <w:szCs w:val="20"/>
              </w:rPr>
              <w:t>PC (tip Desktop)</w:t>
            </w:r>
          </w:p>
        </w:tc>
        <w:tc>
          <w:tcPr>
            <w:tcW w:w="2570" w:type="dxa"/>
            <w:tcBorders>
              <w:top w:val="none" w:sz="0" w:space="0" w:color="auto"/>
              <w:bottom w:val="none" w:sz="0" w:space="0" w:color="auto"/>
            </w:tcBorders>
            <w:shd w:val="clear" w:color="auto" w:fill="F2F2F2" w:themeFill="background1" w:themeFillShade="F2"/>
          </w:tcPr>
          <w:p w14:paraId="0F5499B3" w14:textId="77777777" w:rsidR="0006359E" w:rsidRPr="00F171A3" w:rsidRDefault="0006359E" w:rsidP="00F31936">
            <w:pPr>
              <w:jc w:val="center"/>
              <w:rPr>
                <w:rFonts w:ascii="Calibri" w:eastAsia="Calibri" w:hAnsi="Calibri" w:cs="Calibri"/>
                <w:sz w:val="20"/>
                <w:szCs w:val="20"/>
              </w:rPr>
            </w:pPr>
            <w:r w:rsidRPr="00F171A3">
              <w:rPr>
                <w:sz w:val="20"/>
                <w:szCs w:val="20"/>
              </w:rPr>
              <w:t>469</w:t>
            </w:r>
          </w:p>
        </w:tc>
        <w:tc>
          <w:tcPr>
            <w:tcW w:w="4252" w:type="dxa"/>
            <w:vMerge w:val="restart"/>
            <w:tcBorders>
              <w:top w:val="none" w:sz="0" w:space="0" w:color="auto"/>
              <w:bottom w:val="none" w:sz="0" w:space="0" w:color="auto"/>
            </w:tcBorders>
            <w:shd w:val="clear" w:color="auto" w:fill="F2F2F2" w:themeFill="background1" w:themeFillShade="F2"/>
            <w:vAlign w:val="center"/>
          </w:tcPr>
          <w:p w14:paraId="3B99264B" w14:textId="77777777" w:rsidR="0006359E" w:rsidRPr="00F171A3" w:rsidRDefault="0006359E" w:rsidP="00DB582B">
            <w:pPr>
              <w:jc w:val="center"/>
              <w:rPr>
                <w:rFonts w:ascii="Calibri" w:eastAsia="Calibri" w:hAnsi="Calibri" w:cs="Calibri"/>
                <w:sz w:val="20"/>
                <w:szCs w:val="20"/>
              </w:rPr>
            </w:pPr>
            <w:r w:rsidRPr="00F171A3">
              <w:rPr>
                <w:sz w:val="20"/>
                <w:szCs w:val="20"/>
              </w:rPr>
              <w:t>Vechimea medie a echipamentelor este de 5 ani.</w:t>
            </w:r>
          </w:p>
        </w:tc>
      </w:tr>
      <w:tr w:rsidR="0006359E" w:rsidRPr="00F171A3" w14:paraId="14C733DA" w14:textId="77777777" w:rsidTr="00F555EE">
        <w:trPr>
          <w:trHeight w:val="70"/>
        </w:trPr>
        <w:tc>
          <w:tcPr>
            <w:tcW w:w="2614" w:type="dxa"/>
            <w:shd w:val="clear" w:color="auto" w:fill="F2F2F2" w:themeFill="background1" w:themeFillShade="F2"/>
          </w:tcPr>
          <w:p w14:paraId="3C33F26A" w14:textId="77777777" w:rsidR="0006359E" w:rsidRPr="00F171A3" w:rsidRDefault="0006359E" w:rsidP="00F31936">
            <w:pPr>
              <w:jc w:val="center"/>
              <w:rPr>
                <w:rFonts w:ascii="Calibri" w:eastAsia="Calibri" w:hAnsi="Calibri" w:cs="Calibri"/>
                <w:sz w:val="20"/>
                <w:szCs w:val="20"/>
              </w:rPr>
            </w:pPr>
            <w:r w:rsidRPr="00F171A3">
              <w:rPr>
                <w:sz w:val="20"/>
                <w:szCs w:val="20"/>
              </w:rPr>
              <w:t xml:space="preserve">Sisteme portabile </w:t>
            </w:r>
          </w:p>
        </w:tc>
        <w:tc>
          <w:tcPr>
            <w:tcW w:w="2570" w:type="dxa"/>
            <w:shd w:val="clear" w:color="auto" w:fill="F2F2F2" w:themeFill="background1" w:themeFillShade="F2"/>
          </w:tcPr>
          <w:p w14:paraId="2FE7AA65" w14:textId="77777777" w:rsidR="0006359E" w:rsidRPr="00F171A3" w:rsidRDefault="0006359E" w:rsidP="00F31936">
            <w:pPr>
              <w:jc w:val="center"/>
              <w:rPr>
                <w:rFonts w:ascii="Calibri" w:eastAsia="Calibri" w:hAnsi="Calibri" w:cs="Calibri"/>
                <w:sz w:val="20"/>
                <w:szCs w:val="20"/>
              </w:rPr>
            </w:pPr>
            <w:r w:rsidRPr="00F171A3">
              <w:rPr>
                <w:sz w:val="20"/>
                <w:szCs w:val="20"/>
              </w:rPr>
              <w:t>103</w:t>
            </w:r>
          </w:p>
        </w:tc>
        <w:tc>
          <w:tcPr>
            <w:tcW w:w="4252" w:type="dxa"/>
            <w:vMerge/>
            <w:shd w:val="clear" w:color="auto" w:fill="F2F2F2" w:themeFill="background1" w:themeFillShade="F2"/>
          </w:tcPr>
          <w:p w14:paraId="6580AF05" w14:textId="77777777" w:rsidR="0006359E" w:rsidRPr="00F171A3" w:rsidRDefault="0006359E" w:rsidP="00F31936">
            <w:pPr>
              <w:widowControl w:val="0"/>
              <w:pBdr>
                <w:top w:val="nil"/>
                <w:left w:val="nil"/>
                <w:bottom w:val="nil"/>
                <w:right w:val="nil"/>
                <w:between w:val="nil"/>
              </w:pBdr>
              <w:spacing w:after="0" w:line="276" w:lineRule="auto"/>
              <w:jc w:val="left"/>
              <w:rPr>
                <w:rFonts w:ascii="Calibri" w:eastAsia="Calibri" w:hAnsi="Calibri" w:cs="Calibri"/>
                <w:sz w:val="20"/>
                <w:szCs w:val="20"/>
              </w:rPr>
            </w:pPr>
          </w:p>
        </w:tc>
      </w:tr>
      <w:tr w:rsidR="0006359E" w:rsidRPr="00F171A3" w14:paraId="5F381F47" w14:textId="77777777" w:rsidTr="00F555EE">
        <w:trPr>
          <w:cnfStyle w:val="000000100000" w:firstRow="0" w:lastRow="0" w:firstColumn="0" w:lastColumn="0" w:oddVBand="0" w:evenVBand="0" w:oddHBand="1" w:evenHBand="0" w:firstRowFirstColumn="0" w:firstRowLastColumn="0" w:lastRowFirstColumn="0" w:lastRowLastColumn="0"/>
          <w:trHeight w:val="944"/>
        </w:trPr>
        <w:tc>
          <w:tcPr>
            <w:tcW w:w="2614" w:type="dxa"/>
            <w:tcBorders>
              <w:top w:val="none" w:sz="0" w:space="0" w:color="auto"/>
              <w:bottom w:val="none" w:sz="0" w:space="0" w:color="auto"/>
            </w:tcBorders>
            <w:shd w:val="clear" w:color="auto" w:fill="F2F2F2" w:themeFill="background1" w:themeFillShade="F2"/>
          </w:tcPr>
          <w:p w14:paraId="391CEE4A" w14:textId="77777777" w:rsidR="0006359E" w:rsidRPr="00F171A3" w:rsidRDefault="0006359E" w:rsidP="00F31936">
            <w:pPr>
              <w:jc w:val="center"/>
              <w:rPr>
                <w:rFonts w:ascii="Calibri" w:eastAsia="Calibri" w:hAnsi="Calibri" w:cs="Calibri"/>
                <w:sz w:val="20"/>
                <w:szCs w:val="20"/>
              </w:rPr>
            </w:pPr>
            <w:r w:rsidRPr="00F171A3">
              <w:rPr>
                <w:sz w:val="20"/>
                <w:szCs w:val="20"/>
              </w:rPr>
              <w:t>Multifuncționale,  imprimante,</w:t>
            </w:r>
            <w:r w:rsidRPr="00F171A3">
              <w:rPr>
                <w:sz w:val="20"/>
                <w:szCs w:val="20"/>
              </w:rPr>
              <w:br/>
              <w:t>copiatoare, plottere</w:t>
            </w:r>
          </w:p>
        </w:tc>
        <w:tc>
          <w:tcPr>
            <w:tcW w:w="2570" w:type="dxa"/>
            <w:tcBorders>
              <w:top w:val="none" w:sz="0" w:space="0" w:color="auto"/>
              <w:bottom w:val="none" w:sz="0" w:space="0" w:color="auto"/>
            </w:tcBorders>
            <w:shd w:val="clear" w:color="auto" w:fill="F2F2F2" w:themeFill="background1" w:themeFillShade="F2"/>
          </w:tcPr>
          <w:p w14:paraId="25EE5A49" w14:textId="77777777" w:rsidR="0006359E" w:rsidRPr="00F171A3" w:rsidRDefault="0006359E" w:rsidP="00F31936">
            <w:pPr>
              <w:jc w:val="center"/>
              <w:rPr>
                <w:rFonts w:ascii="Calibri" w:eastAsia="Calibri" w:hAnsi="Calibri" w:cs="Calibri"/>
                <w:sz w:val="20"/>
                <w:szCs w:val="20"/>
              </w:rPr>
            </w:pPr>
            <w:r w:rsidRPr="00F171A3">
              <w:rPr>
                <w:sz w:val="20"/>
                <w:szCs w:val="20"/>
              </w:rPr>
              <w:t>308</w:t>
            </w:r>
          </w:p>
        </w:tc>
        <w:tc>
          <w:tcPr>
            <w:tcW w:w="4252" w:type="dxa"/>
            <w:vMerge/>
            <w:tcBorders>
              <w:top w:val="none" w:sz="0" w:space="0" w:color="auto"/>
              <w:bottom w:val="none" w:sz="0" w:space="0" w:color="auto"/>
            </w:tcBorders>
            <w:shd w:val="clear" w:color="auto" w:fill="F2F2F2" w:themeFill="background1" w:themeFillShade="F2"/>
          </w:tcPr>
          <w:p w14:paraId="440A6E59" w14:textId="77777777" w:rsidR="0006359E" w:rsidRPr="00F171A3" w:rsidRDefault="0006359E" w:rsidP="00F31936">
            <w:pPr>
              <w:widowControl w:val="0"/>
              <w:pBdr>
                <w:top w:val="nil"/>
                <w:left w:val="nil"/>
                <w:bottom w:val="nil"/>
                <w:right w:val="nil"/>
                <w:between w:val="nil"/>
              </w:pBdr>
              <w:spacing w:after="0" w:line="276" w:lineRule="auto"/>
              <w:jc w:val="left"/>
              <w:rPr>
                <w:rFonts w:ascii="Calibri" w:eastAsia="Calibri" w:hAnsi="Calibri" w:cs="Calibri"/>
                <w:sz w:val="20"/>
                <w:szCs w:val="20"/>
              </w:rPr>
            </w:pPr>
          </w:p>
        </w:tc>
      </w:tr>
      <w:tr w:rsidR="0006359E" w:rsidRPr="00F171A3" w14:paraId="0E39C6AD" w14:textId="77777777" w:rsidTr="00F555EE">
        <w:trPr>
          <w:trHeight w:val="70"/>
        </w:trPr>
        <w:tc>
          <w:tcPr>
            <w:tcW w:w="2614" w:type="dxa"/>
            <w:shd w:val="clear" w:color="auto" w:fill="F2F2F2" w:themeFill="background1" w:themeFillShade="F2"/>
          </w:tcPr>
          <w:p w14:paraId="0714C38F" w14:textId="77777777" w:rsidR="0006359E" w:rsidRPr="00F171A3" w:rsidRDefault="0006359E" w:rsidP="00F31936">
            <w:pPr>
              <w:jc w:val="center"/>
              <w:rPr>
                <w:rFonts w:ascii="Calibri" w:eastAsia="Calibri" w:hAnsi="Calibri" w:cs="Calibri"/>
                <w:sz w:val="20"/>
                <w:szCs w:val="20"/>
              </w:rPr>
            </w:pPr>
            <w:r w:rsidRPr="00F171A3">
              <w:rPr>
                <w:sz w:val="20"/>
                <w:szCs w:val="20"/>
              </w:rPr>
              <w:t>Echipamente tip Server</w:t>
            </w:r>
          </w:p>
        </w:tc>
        <w:tc>
          <w:tcPr>
            <w:tcW w:w="2570" w:type="dxa"/>
            <w:shd w:val="clear" w:color="auto" w:fill="F2F2F2" w:themeFill="background1" w:themeFillShade="F2"/>
          </w:tcPr>
          <w:p w14:paraId="429EF37B" w14:textId="77777777" w:rsidR="0006359E" w:rsidRPr="00F171A3" w:rsidRDefault="0006359E" w:rsidP="00F31936">
            <w:pPr>
              <w:jc w:val="center"/>
              <w:rPr>
                <w:rFonts w:ascii="Calibri" w:eastAsia="Calibri" w:hAnsi="Calibri" w:cs="Calibri"/>
                <w:sz w:val="20"/>
                <w:szCs w:val="20"/>
              </w:rPr>
            </w:pPr>
            <w:r w:rsidRPr="00F171A3">
              <w:rPr>
                <w:sz w:val="20"/>
                <w:szCs w:val="20"/>
              </w:rPr>
              <w:t>24</w:t>
            </w:r>
          </w:p>
        </w:tc>
        <w:tc>
          <w:tcPr>
            <w:tcW w:w="4252" w:type="dxa"/>
            <w:vMerge/>
            <w:shd w:val="clear" w:color="auto" w:fill="F2F2F2" w:themeFill="background1" w:themeFillShade="F2"/>
          </w:tcPr>
          <w:p w14:paraId="66EF87CE" w14:textId="77777777" w:rsidR="0006359E" w:rsidRPr="00F171A3" w:rsidRDefault="0006359E" w:rsidP="00F31936">
            <w:pPr>
              <w:widowControl w:val="0"/>
              <w:pBdr>
                <w:top w:val="nil"/>
                <w:left w:val="nil"/>
                <w:bottom w:val="nil"/>
                <w:right w:val="nil"/>
                <w:between w:val="nil"/>
              </w:pBdr>
              <w:spacing w:after="0" w:line="276" w:lineRule="auto"/>
              <w:jc w:val="left"/>
              <w:rPr>
                <w:rFonts w:ascii="Calibri" w:eastAsia="Calibri" w:hAnsi="Calibri" w:cs="Calibri"/>
                <w:sz w:val="20"/>
                <w:szCs w:val="20"/>
              </w:rPr>
            </w:pPr>
          </w:p>
        </w:tc>
      </w:tr>
    </w:tbl>
    <w:p w14:paraId="59879058" w14:textId="3D1E43E8" w:rsidR="0006359E" w:rsidRPr="00F171A3" w:rsidRDefault="0006359E" w:rsidP="002278A7">
      <w:pPr>
        <w:jc w:val="right"/>
        <w:rPr>
          <w:color w:val="BFBFBF" w:themeColor="background1" w:themeShade="BF"/>
        </w:rPr>
      </w:pPr>
      <w:r w:rsidRPr="00F171A3">
        <w:rPr>
          <w:color w:val="BFBFBF" w:themeColor="background1" w:themeShade="BF"/>
        </w:rPr>
        <w:t>Surs</w:t>
      </w:r>
      <w:r w:rsidR="002278A7" w:rsidRPr="00F171A3">
        <w:rPr>
          <w:color w:val="BFBFBF" w:themeColor="background1" w:themeShade="BF"/>
        </w:rPr>
        <w:t>a</w:t>
      </w:r>
      <w:r w:rsidRPr="00F171A3">
        <w:rPr>
          <w:color w:val="BFBFBF" w:themeColor="background1" w:themeShade="BF"/>
        </w:rPr>
        <w:t>: Prelucrare proprie pe baza datelor furnizate de Primăria Sector</w:t>
      </w:r>
      <w:r w:rsidR="00135D70" w:rsidRPr="00F171A3">
        <w:rPr>
          <w:color w:val="BFBFBF" w:themeColor="background1" w:themeShade="BF"/>
        </w:rPr>
        <w:t>ului</w:t>
      </w:r>
      <w:r w:rsidRPr="00F171A3">
        <w:rPr>
          <w:color w:val="BFBFBF" w:themeColor="background1" w:themeShade="BF"/>
        </w:rPr>
        <w:t xml:space="preserve"> 2</w:t>
      </w:r>
    </w:p>
    <w:p w14:paraId="40B97455" w14:textId="77777777" w:rsidR="0006359E" w:rsidRPr="00F171A3" w:rsidRDefault="0006359E" w:rsidP="0006359E">
      <w:r w:rsidRPr="00F171A3">
        <w:t xml:space="preserve">În ceea ce privește programele software dedicate activităților din administrația publică, sunt utilizate: </w:t>
      </w:r>
    </w:p>
    <w:p w14:paraId="25B0BE17"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Aplicaţie de Financiar-Contabilitate – Salarizare; </w:t>
      </w:r>
    </w:p>
    <w:p w14:paraId="087950B3"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Aplicaţia ATLAS - Resurse umane;</w:t>
      </w:r>
    </w:p>
    <w:p w14:paraId="31199C6C"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LEX -Legislaţie;</w:t>
      </w:r>
    </w:p>
    <w:p w14:paraId="3E92BA52" w14:textId="479D8827" w:rsidR="0006359E" w:rsidRPr="00F171A3" w:rsidRDefault="0006359E">
      <w:pPr>
        <w:numPr>
          <w:ilvl w:val="0"/>
          <w:numId w:val="85"/>
        </w:numPr>
        <w:pBdr>
          <w:top w:val="nil"/>
          <w:left w:val="nil"/>
          <w:bottom w:val="nil"/>
          <w:right w:val="nil"/>
          <w:between w:val="nil"/>
        </w:pBdr>
        <w:rPr>
          <w:color w:val="134753"/>
        </w:rPr>
      </w:pPr>
      <w:r w:rsidRPr="00F171A3">
        <w:rPr>
          <w:color w:val="134753"/>
        </w:rPr>
        <w:t>Sistem Informatic Juridic -</w:t>
      </w:r>
      <w:r w:rsidR="0077040F">
        <w:rPr>
          <w:color w:val="134753"/>
        </w:rPr>
        <w:t xml:space="preserve"> </w:t>
      </w:r>
      <w:r w:rsidRPr="00F171A3">
        <w:rPr>
          <w:color w:val="134753"/>
        </w:rPr>
        <w:t>ţine evidenţa dosarelor de instanţă pentru care Primăria Sectorului 2 a oferit și oferă reprezentare juridică;</w:t>
      </w:r>
    </w:p>
    <w:p w14:paraId="1E02A286"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Bază de date pentru evidența titlurilor de proprietate, Bază de date AC/A, Urbanism, Cadastru;</w:t>
      </w:r>
    </w:p>
    <w:p w14:paraId="6621B423"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Sistem de înregistrare şi urmărire a lucrărilor în instituție (INFOCET);</w:t>
      </w:r>
    </w:p>
    <w:p w14:paraId="36088B2A"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Sistem Vocal (VIIS) - sistem modern de comunicare cu cetăţenii; </w:t>
      </w:r>
    </w:p>
    <w:p w14:paraId="00CFAC0B"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Aplicaţie Stare Civilă - ţine evidenţa certificatelor de stare civilă (naştere, casătorie, deces), înregistrarea şi imprimarea acestora;</w:t>
      </w:r>
    </w:p>
    <w:p w14:paraId="3A07D70C"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Pachetul Office 365;</w:t>
      </w:r>
    </w:p>
    <w:p w14:paraId="59D1B1EA"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Adobe Acrobat Profesional; </w:t>
      </w:r>
    </w:p>
    <w:p w14:paraId="5CA3390B"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Adobe Photoshop- prelucrare materiale grafice; </w:t>
      </w:r>
    </w:p>
    <w:p w14:paraId="7CD04F6E"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 xml:space="preserve">Corel Draw – realizare materiale grafice; </w:t>
      </w:r>
    </w:p>
    <w:p w14:paraId="5E843980" w14:textId="61A15E79" w:rsidR="0006359E" w:rsidRPr="00F171A3" w:rsidRDefault="0006359E">
      <w:pPr>
        <w:numPr>
          <w:ilvl w:val="0"/>
          <w:numId w:val="85"/>
        </w:numPr>
        <w:pBdr>
          <w:top w:val="nil"/>
          <w:left w:val="nil"/>
          <w:bottom w:val="nil"/>
          <w:right w:val="nil"/>
          <w:between w:val="nil"/>
        </w:pBdr>
        <w:rPr>
          <w:color w:val="134753"/>
        </w:rPr>
      </w:pPr>
      <w:r w:rsidRPr="00F171A3">
        <w:rPr>
          <w:color w:val="134753"/>
        </w:rPr>
        <w:t>Control Acces - sistem de pontaj şi control acces în instituţie, precum şi de generare a rapoartelor de pontaj</w:t>
      </w:r>
      <w:r w:rsidR="00F555EE" w:rsidRPr="00F171A3">
        <w:rPr>
          <w:color w:val="134753"/>
        </w:rPr>
        <w:t>.</w:t>
      </w:r>
    </w:p>
    <w:p w14:paraId="16BD8BA3" w14:textId="4BDF25ED" w:rsidR="0006359E" w:rsidRPr="00F171A3" w:rsidRDefault="0006359E" w:rsidP="00F555EE">
      <w:pPr>
        <w:rPr>
          <w:rFonts w:ascii="Times New Roman" w:eastAsia="Times New Roman" w:hAnsi="Times New Roman" w:cs="Times New Roman"/>
        </w:rPr>
      </w:pPr>
      <w:r w:rsidRPr="00F171A3">
        <w:rPr>
          <w:rFonts w:eastAsia="Times New Roman"/>
          <w:color w:val="000000"/>
        </w:rPr>
        <w:t>Personalul administrativ percepe resursele materiale disponibile ca având o stare relativ satisfăcătoare ceea ce ar necesita noi achiziții de tehnică. Echipamentele considerate ca fiind cele mai vechi sunt calculatoarele de tip desktop, urmate de imprimante. Echipamentele percepute ca cele mai noi din inventarul primăriei sunt sistemele de operare și multifuncționalele de copiere/imprimare. 1 din 2 respondenți nu cunoaște informații în legătură cu serverele sau unitățile de stocare și înregistrare date și în legătură cu calculatoarele portabile, fapt ce denotă o utilizare mai scăzută a echipamentelor de acest tip la nivelul instituției. </w:t>
      </w:r>
    </w:p>
    <w:p w14:paraId="00A29D4C" w14:textId="3403E510" w:rsidR="0006359E" w:rsidRPr="00F171A3" w:rsidRDefault="002278A7" w:rsidP="002278A7">
      <w:pPr>
        <w:pStyle w:val="Caption"/>
      </w:pPr>
      <w:bookmarkStart w:id="388" w:name="_Toc127198117"/>
      <w:r w:rsidRPr="00F171A3">
        <w:t xml:space="preserve">Figura </w:t>
      </w:r>
      <w:r w:rsidRPr="00F171A3">
        <w:fldChar w:fldCharType="begin"/>
      </w:r>
      <w:r w:rsidRPr="00F171A3">
        <w:instrText xml:space="preserve"> SEQ Figura \* ARABIC </w:instrText>
      </w:r>
      <w:r w:rsidRPr="00F171A3">
        <w:fldChar w:fldCharType="separate"/>
      </w:r>
      <w:r w:rsidR="005A6DD8">
        <w:rPr>
          <w:noProof/>
        </w:rPr>
        <w:t>129</w:t>
      </w:r>
      <w:r w:rsidRPr="00F171A3">
        <w:fldChar w:fldCharType="end"/>
      </w:r>
      <w:r w:rsidRPr="00F171A3">
        <w:t xml:space="preserve"> Percepția personalului privind vechimea diferitelor tipuri de echipamente aflate în inventarul Primăriei Sectorului 2</w:t>
      </w:r>
      <w:bookmarkEnd w:id="388"/>
      <w:r w:rsidRPr="00F171A3">
        <w:t xml:space="preserve"> </w:t>
      </w:r>
    </w:p>
    <w:p w14:paraId="79791F1C" w14:textId="40BE654E" w:rsidR="0006359E" w:rsidRPr="00F171A3" w:rsidRDefault="0006359E" w:rsidP="0006359E">
      <w:pPr>
        <w:pStyle w:val="Caption"/>
      </w:pPr>
      <w:r w:rsidRPr="00F171A3">
        <w:rPr>
          <w:noProof/>
          <w:color w:val="000000"/>
          <w:bdr w:val="none" w:sz="0" w:space="0" w:color="auto" w:frame="1"/>
        </w:rPr>
        <w:drawing>
          <wp:inline distT="0" distB="0" distL="0" distR="0" wp14:anchorId="0E60D46B" wp14:editId="2C908EAE">
            <wp:extent cx="5943600" cy="2220685"/>
            <wp:effectExtent l="0" t="0" r="0" b="0"/>
            <wp:docPr id="151" name="Picture 151" descr="https://lh6.googleusercontent.com/wC6TaZzCFcuee_dPYc3H26nQQFgNQCU-HttGFYeOziXzEPvp6cqVAjL3B4A1EtkN6GqEPt73SnB8BdNx9OeLuWd-3UcKeojpZ2pTSHj_JnFDN9yLj5sI0wqmIbbkSUaFdgESPVzskVhqE2VssMfg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6.googleusercontent.com/wC6TaZzCFcuee_dPYc3H26nQQFgNQCU-HttGFYeOziXzEPvp6cqVAjL3B4A1EtkN6GqEPt73SnB8BdNx9OeLuWd-3UcKeojpZ2pTSHj_JnFDN9yLj5sI0wqmIbbkSUaFdgESPVzskVhqE2VssMfgdg"/>
                    <pic:cNvPicPr>
                      <a:picLocks noChangeAspect="1" noChangeArrowheads="1"/>
                    </pic:cNvPicPr>
                  </pic:nvPicPr>
                  <pic:blipFill rotWithShape="1">
                    <a:blip r:embed="rId200">
                      <a:extLst>
                        <a:ext uri="{28A0092B-C50C-407E-A947-70E740481C1C}">
                          <a14:useLocalDpi xmlns:a14="http://schemas.microsoft.com/office/drawing/2010/main" val="0"/>
                        </a:ext>
                      </a:extLst>
                    </a:blip>
                    <a:srcRect b="19048"/>
                    <a:stretch/>
                  </pic:blipFill>
                  <pic:spPr bwMode="auto">
                    <a:xfrm>
                      <a:off x="0" y="0"/>
                      <a:ext cx="5943600" cy="2220685"/>
                    </a:xfrm>
                    <a:prstGeom prst="rect">
                      <a:avLst/>
                    </a:prstGeom>
                    <a:noFill/>
                    <a:ln>
                      <a:noFill/>
                    </a:ln>
                    <a:extLst>
                      <a:ext uri="{53640926-AAD7-44D8-BBD7-CCE9431645EC}">
                        <a14:shadowObscured xmlns:a14="http://schemas.microsoft.com/office/drawing/2010/main"/>
                      </a:ext>
                    </a:extLst>
                  </pic:spPr>
                </pic:pic>
              </a:graphicData>
            </a:graphic>
          </wp:inline>
        </w:drawing>
      </w:r>
    </w:p>
    <w:p w14:paraId="2DF4F03A" w14:textId="77777777" w:rsidR="00F35DEE" w:rsidRPr="00F171A3" w:rsidRDefault="00F35DEE" w:rsidP="0006359E">
      <w:pPr>
        <w:rPr>
          <w:b/>
          <w:bCs/>
          <w:color w:val="134753" w:themeColor="text2"/>
        </w:rPr>
      </w:pPr>
    </w:p>
    <w:p w14:paraId="36AB5F59" w14:textId="42F9A051" w:rsidR="0006359E" w:rsidRPr="00F171A3" w:rsidRDefault="002278A7" w:rsidP="002278A7">
      <w:pPr>
        <w:pStyle w:val="Caption"/>
        <w:rPr>
          <w:b w:val="0"/>
          <w:bCs w:val="0"/>
        </w:rPr>
      </w:pPr>
      <w:bookmarkStart w:id="389" w:name="_Toc127198118"/>
      <w:r w:rsidRPr="00F171A3">
        <w:t xml:space="preserve">Figura </w:t>
      </w:r>
      <w:r w:rsidRPr="00F171A3">
        <w:fldChar w:fldCharType="begin"/>
      </w:r>
      <w:r w:rsidRPr="00F171A3">
        <w:instrText xml:space="preserve"> SEQ Figura \* ARABIC </w:instrText>
      </w:r>
      <w:r w:rsidRPr="00F171A3">
        <w:fldChar w:fldCharType="separate"/>
      </w:r>
      <w:r w:rsidR="005A6DD8">
        <w:rPr>
          <w:noProof/>
        </w:rPr>
        <w:t>130</w:t>
      </w:r>
      <w:r w:rsidRPr="00F171A3">
        <w:fldChar w:fldCharType="end"/>
      </w:r>
      <w:r w:rsidRPr="00F171A3">
        <w:t xml:space="preserve"> Cunoștiințe privind regulile de securitate informatică</w:t>
      </w:r>
      <w:bookmarkEnd w:id="389"/>
    </w:p>
    <w:p w14:paraId="6775A72E" w14:textId="77777777" w:rsidR="0006359E" w:rsidRPr="00F171A3" w:rsidRDefault="0006359E" w:rsidP="0006359E">
      <w:pPr>
        <w:rPr>
          <w:rFonts w:eastAsia="Times New Roman"/>
          <w:color w:val="000000"/>
        </w:rPr>
      </w:pPr>
      <w:r w:rsidRPr="00F171A3">
        <w:rPr>
          <w:rFonts w:eastAsia="Times New Roman"/>
          <w:color w:val="000000"/>
        </w:rPr>
        <w:t>Majoritatea respondenților (60.9%) nu știu dacă Primăria Sectorului 2 dispune de un ghid dedicat personalului privind regulile de securitate informatică în privința utilizării echipamentelor de lucru ceea ce indică un interes limitat pentru reguli de securitate informatică.  3,1% dintre respondenți afirmă că nu există un astfel de ghid, iar 36,0% dintre respondenți afirmă faptul că există un astfel de ghid dedicat personalului privind regulile de securitate informatică în privința utilizării echipamentelor de lucru.</w:t>
      </w:r>
    </w:p>
    <w:p w14:paraId="279B855A" w14:textId="77777777" w:rsidR="0006359E" w:rsidRPr="00F171A3" w:rsidRDefault="0006359E" w:rsidP="0006359E">
      <w:pPr>
        <w:rPr>
          <w:rFonts w:ascii="Times New Roman" w:eastAsia="Times New Roman" w:hAnsi="Times New Roman" w:cs="Times New Roman"/>
          <w:sz w:val="24"/>
          <w:szCs w:val="24"/>
        </w:rPr>
      </w:pPr>
    </w:p>
    <w:p w14:paraId="145787EB" w14:textId="77777777" w:rsidR="0006359E" w:rsidRPr="00F171A3" w:rsidRDefault="0006359E" w:rsidP="0006359E">
      <w:r w:rsidRPr="00F171A3">
        <w:rPr>
          <w:noProof/>
          <w:color w:val="000000"/>
          <w:bdr w:val="none" w:sz="0" w:space="0" w:color="auto" w:frame="1"/>
        </w:rPr>
        <w:drawing>
          <wp:inline distT="0" distB="0" distL="0" distR="0" wp14:anchorId="2E2A6368" wp14:editId="2B3456D0">
            <wp:extent cx="5943600" cy="2484120"/>
            <wp:effectExtent l="0" t="0" r="0" b="0"/>
            <wp:docPr id="152" name="Picture 152" descr="https://lh5.googleusercontent.com/mI_UAaOC4k3nOrpoV6s__c02Xi8KfrSJO9Ty5iEmlsAldR8s4e9ZH5ceKAryyIRDzh0BoEofBczBctw0tzBZLYfRAyG66_qlua__hR-Fqi1Yny4Xg7Alqe7WmJJ6A7dLAO7ktnYAloTB-WxyJBL0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5.googleusercontent.com/mI_UAaOC4k3nOrpoV6s__c02Xi8KfrSJO9Ty5iEmlsAldR8s4e9ZH5ceKAryyIRDzh0BoEofBczBctw0tzBZLYfRAyG66_qlua__hR-Fqi1Yny4Xg7Alqe7WmJJ6A7dLAO7ktnYAloTB-WxyJBL0Xw"/>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84120"/>
                    </a:xfrm>
                    <a:prstGeom prst="rect">
                      <a:avLst/>
                    </a:prstGeom>
                    <a:noFill/>
                    <a:ln>
                      <a:noFill/>
                    </a:ln>
                  </pic:spPr>
                </pic:pic>
              </a:graphicData>
            </a:graphic>
          </wp:inline>
        </w:drawing>
      </w:r>
    </w:p>
    <w:p w14:paraId="7D05FB03" w14:textId="77777777" w:rsidR="0006359E" w:rsidRPr="00F171A3" w:rsidRDefault="0006359E" w:rsidP="0006359E"/>
    <w:p w14:paraId="697BAE94" w14:textId="77777777" w:rsidR="0006359E" w:rsidRPr="00F171A3" w:rsidRDefault="0006359E" w:rsidP="0006359E">
      <w:pPr>
        <w:rPr>
          <w:rFonts w:ascii="Times New Roman" w:eastAsia="Times New Roman" w:hAnsi="Times New Roman" w:cs="Times New Roman"/>
        </w:rPr>
      </w:pPr>
      <w:r w:rsidRPr="00F171A3">
        <w:rPr>
          <w:rFonts w:eastAsia="Times New Roman"/>
          <w:color w:val="000000"/>
        </w:rPr>
        <w:t xml:space="preserve">Autoevaluarea respondenților privind securitatea informatică indică un nivel perceput ca mediu de cunoștințe în utilizarea sigură a echipamentului de lucru, în navigarea online și utilizarea aplicațiilor online, în autentificarea pe e-mail în doi pași, în identificarea amenințărilor cibernetice, inclusiv a mail-urilor de tip spam sau ransomware, precum și a programelor de tip firewall sau a altor instrumente informatice.  Această autoevaluare nu reflectă neapărat cunoștințele acestora, iar nevoia de programe de formare privind utilizarea sigură a echipamentului de lucru, inclusiv programe software trebuie consolidată. </w:t>
      </w:r>
    </w:p>
    <w:p w14:paraId="48E553C8"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Cei mai mulți, 44,6% dintre respondenți evaluează nivelul propriu de cunoștințe privind securitatea informatică ca fiind unul mare;</w:t>
      </w:r>
    </w:p>
    <w:p w14:paraId="20CC0EB4"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20,5% dintre respondenți evaluează nivelul propriu de cunoștințe privind securitatea informatică ca fiind unul mic;</w:t>
      </w:r>
    </w:p>
    <w:p w14:paraId="4F5CCA35"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14,3% dintre respondenți evaluează nivelul propriu de cunoștințe privind securitatea informatică ca fiind unul foarte mare;</w:t>
      </w:r>
    </w:p>
    <w:p w14:paraId="35C643A6"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2,7% evaluează nivelul propriu de cunoștințe privind securitatea informatică ca fiind unul foarte mic; </w:t>
      </w:r>
    </w:p>
    <w:p w14:paraId="121DFC77"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1,3% dintre aceștia consideră că nu au cunoștințe privind securitatea informatică;</w:t>
      </w:r>
    </w:p>
    <w:p w14:paraId="236B2DCF"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16,5% preferă să nu ofere un răspuns.</w:t>
      </w:r>
    </w:p>
    <w:p w14:paraId="7D61015B" w14:textId="77777777" w:rsidR="0006359E" w:rsidRPr="00F171A3" w:rsidRDefault="0006359E" w:rsidP="0006359E"/>
    <w:p w14:paraId="0D7DFF11" w14:textId="77777777" w:rsidR="0006359E" w:rsidRPr="00F171A3" w:rsidRDefault="0006359E" w:rsidP="0006359E">
      <w:pPr>
        <w:pStyle w:val="Heading3"/>
        <w:rPr>
          <w:lang w:val="ro-RO"/>
        </w:rPr>
      </w:pPr>
      <w:bookmarkStart w:id="390" w:name="_heading=h.3jd0qos" w:colFirst="0" w:colLast="0"/>
      <w:bookmarkStart w:id="391" w:name="_Toc114505914"/>
      <w:bookmarkStart w:id="392" w:name="_Toc127199302"/>
      <w:bookmarkEnd w:id="390"/>
      <w:r w:rsidRPr="00F171A3">
        <w:rPr>
          <w:lang w:val="ro-RO"/>
        </w:rPr>
        <w:t>TRANSPARENȚA, CONSULTĂRILE PUBLICE ȘI ACCESUL LA INFORMAȚIILE DE INTERES PUBLIC</w:t>
      </w:r>
      <w:bookmarkEnd w:id="391"/>
      <w:bookmarkEnd w:id="392"/>
      <w:r w:rsidRPr="00F171A3">
        <w:rPr>
          <w:lang w:val="ro-RO"/>
        </w:rPr>
        <w:t xml:space="preserve"> </w:t>
      </w:r>
    </w:p>
    <w:p w14:paraId="35AEDE28" w14:textId="77777777" w:rsidR="0006359E" w:rsidRPr="00F171A3" w:rsidRDefault="0006359E" w:rsidP="0006359E">
      <w:r w:rsidRPr="00F171A3">
        <w:t xml:space="preserve">România are o legislație consolidată în privința transparenței la nivelul autorităților publice, accesului la informații de interes public și organizarea de consultările publice privind principalele hotărâri de la nivel local. Cu toate acestea, utilizarea acestor mecanisme de colaborare între administrația locală, cetățeni, grupuri civice sau societatea civilă este limitată și nu reușește deseori să aducă o contribuție semnificativă în îmbunătățirea proceselor locale de decizie. </w:t>
      </w:r>
    </w:p>
    <w:p w14:paraId="108D7A1A" w14:textId="77777777" w:rsidR="0006359E" w:rsidRPr="00F171A3" w:rsidRDefault="0006359E" w:rsidP="0006359E">
      <w:r w:rsidRPr="00F171A3">
        <w:t>În România, cele mai importante prevederi legale în domeniu includ:</w:t>
      </w:r>
    </w:p>
    <w:p w14:paraId="1E91FB8F"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Legea nr. 52 din 21 ianuarie 2003 privind transparența decizională în administrația publică;</w:t>
      </w:r>
    </w:p>
    <w:p w14:paraId="616C54B2"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Legea nr. 544 din 12 octombrie 2001 privind liberul acces la informațiile de interes public;</w:t>
      </w:r>
    </w:p>
    <w:p w14:paraId="13FA0FE7"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Legea nr. 109 din 25 aprilie 2007 privind reutilizarea informațiilor din instituțiile publice.</w:t>
      </w:r>
    </w:p>
    <w:p w14:paraId="7B40BF38" w14:textId="77777777" w:rsidR="0006359E" w:rsidRPr="00F171A3" w:rsidRDefault="0006359E" w:rsidP="0006359E">
      <w:r w:rsidRPr="00F171A3">
        <w:t xml:space="preserve">De asemenea, pentru facilitarea publicării de date publice deschise, au fost publicate o serie de recomandări pentru autoritățile publice:  </w:t>
      </w:r>
    </w:p>
    <w:p w14:paraId="7DF4D149"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Ghid de publicare a datelor deschise, aprilie 2015, elaborat de Cancelariei Prim-Ministrului în parteneriat cu membri ai Coaliției pentru Date Deschise;</w:t>
      </w:r>
    </w:p>
    <w:p w14:paraId="340DC6CB"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Metodologia pentru publicarea datelor deschise, iulie 2018, document elaborat de Secretariatul General al Guvernului.</w:t>
      </w:r>
    </w:p>
    <w:p w14:paraId="0F903B88" w14:textId="77777777" w:rsidR="0006359E" w:rsidRPr="00F171A3" w:rsidRDefault="0006359E" w:rsidP="0006359E">
      <w:r w:rsidRPr="00F171A3">
        <w:t>Deschiderea administrațiilor publice locale către actorii resursă de la nivel local, fie ei ONG-uri, grupuri civice, mediul de afaceri, mediul profesional, etc., este o dimensiune cheie pentru îndeplinirea bunei guvernări.  De cele mai multe ori, însă, procesul de transparență și consultare publică asumat de autoritatea locală este unul limitat, iar participarea publică este îngrădită de o serie de bariere. Dezbaterile publice privind cele mai importante hotărâri de la nivel local (ex. adoptarea bugetului local) sunt dificil de înțeles pentru publicul larg în lipsa unui limbaj simplificat, a prezentării propunerii de buget local într-o formă ușor accesibilă.  Lipsa unor date publice structurate coerent pe pagina instituției creează opacitate și bariere adiționale între cetățean și administrație.</w:t>
      </w:r>
    </w:p>
    <w:p w14:paraId="2B488575" w14:textId="77777777" w:rsidR="0006359E" w:rsidRPr="00F171A3" w:rsidRDefault="0006359E" w:rsidP="0006359E">
      <w:r w:rsidRPr="00F171A3">
        <w:t>Lipsa unor sisteme simple, ușor de utilizat și, de cele mai multe ori digitale, prin care aceștia să sesizeze nevoile pe care le au (sau nevoi punctuale la nivelul cartierului/comunității unde locuiesc) și să poată urmări rezolvarea acestora duce la o satisfacție în scădere a acestora și, din punct vedere procedural, utilizarea de alte instrumente pe  care le au la îndemână deși nu au fost concepute pentru acest lucru (utilizarea excesivă a Legii 544/2001 pentru a semnala probleme la nivelul Sectorului 2).</w:t>
      </w:r>
    </w:p>
    <w:p w14:paraId="1834A40F" w14:textId="77777777" w:rsidR="0006359E" w:rsidRPr="00F171A3" w:rsidRDefault="0006359E" w:rsidP="0006359E">
      <w:r w:rsidRPr="00F171A3">
        <w:t>Exemple de bună practică ce pot fi adoptate de o administrație publică locală se regăsesc și în documentul Parteneriat pentru Guvernarea Deschisă la nivel local</w:t>
      </w:r>
      <w:r w:rsidRPr="00F171A3">
        <w:rPr>
          <w:vertAlign w:val="superscript"/>
        </w:rPr>
        <w:footnoteReference w:id="170"/>
      </w:r>
      <w:r w:rsidRPr="00F171A3">
        <w:t>, elaborat în anul 2019 de Guvernul României în colaborare cu Centrul pentru Inovare Publică și Smart City Timișoara ce cuprinde o serie de rezoluții și măsuri ce pot fi adoptate voluntar de administrațiile locale pentru creșterea transparenței și eficienței consultărilor cu cetățenii și societatea civilă (publicarea bugetului într-un limbaj simplificat, realizarea unui registru intern cu organizații nonguvernamentale, grupuri informale și cetățeni interesați, pe domenii de interes, care să fie consultați pro-activ pe temele de interes înainte de dezbaterile din Consiliul Local, crearea unui sistem prin care să fie preluate sugestiile/votul cetățenilor legat de teme prioritare pentru oraș/municipiu sau feedback-ul cetățeanului privind calitatea serviciilor oferite de administrație, etc.)</w:t>
      </w:r>
    </w:p>
    <w:p w14:paraId="3686A306" w14:textId="77777777" w:rsidR="0006359E" w:rsidRPr="00F171A3" w:rsidRDefault="0006359E" w:rsidP="0006359E">
      <w:r w:rsidRPr="00F171A3">
        <w:t xml:space="preserve">Publicarea datelor în format deschis este și una dintre caracteristicile unei administrații publice moderne. În România, însă,  datele publice deținute de administrațiile locale sunt comunicate în formate needitabile, de multe ori navigarea prin documente fiind extrem de dificilă și consumând resurse importante. Inventarierea datelor deținute, publicarea inventarului și seturilor de date pe pagina proprie și portalul național de date publice </w:t>
      </w:r>
      <w:hyperlink r:id="rId202">
        <w:r w:rsidRPr="00F171A3">
          <w:t>www.data.gov.ro</w:t>
        </w:r>
      </w:hyperlink>
      <w:r w:rsidRPr="00F171A3">
        <w:t xml:space="preserve">, cel puțin la nivelul celor mai importante seturi (buget anual, execuție bugetară, achiziții publice, etc.) este una dintre recomandările cheie pentru transparentizarea activității unei administrații. </w:t>
      </w:r>
    </w:p>
    <w:p w14:paraId="6628F345" w14:textId="67D39FF8" w:rsidR="0006359E" w:rsidRPr="00F171A3" w:rsidRDefault="0006359E" w:rsidP="0006359E">
      <w:r w:rsidRPr="00F171A3">
        <w:t>Strategia Națională Anticorupție 2016-2020 a impus măsuri adiționale de transparență și a evaluat implementarea lor de către autoritățile publice, iar din 2011 România este parte a Parteneriatului pentru Guvernare Deschisă (</w:t>
      </w:r>
      <w:r w:rsidRPr="00F171A3">
        <w:rPr>
          <w:i/>
        </w:rPr>
        <w:t>Open Government Partnership</w:t>
      </w:r>
      <w:r w:rsidRPr="00F171A3">
        <w:t>),  un acord internațional ce are ca obiectiv promovarea accesului la informații de interes public și a participării cetățenilor la procesul de consultare și de dialog cu autoritățile publice.  Mai mult, Primăria Sector</w:t>
      </w:r>
      <w:r w:rsidR="00135D70" w:rsidRPr="00F171A3">
        <w:t>ului</w:t>
      </w:r>
      <w:r w:rsidRPr="00F171A3">
        <w:t xml:space="preserve"> 2 și-a asumat agenda de integritate organizațională elaborată de în coordonatele Strategiei Naționale Anticorupție 2021-2025.</w:t>
      </w:r>
    </w:p>
    <w:p w14:paraId="4C0992F4" w14:textId="4CE10373" w:rsidR="0006359E" w:rsidRPr="00F171A3" w:rsidRDefault="0006359E" w:rsidP="0006359E">
      <w:r w:rsidRPr="00F171A3">
        <w:t>În ceea ce privește solicitările de informații de interes public în virtutea Legii nr. 544/2001, Primăria Sector</w:t>
      </w:r>
      <w:r w:rsidR="00135D70" w:rsidRPr="00F171A3">
        <w:t>ului</w:t>
      </w:r>
      <w:r w:rsidRPr="00F171A3">
        <w:t xml:space="preserve"> 2 a primit 1,558  de cereri în perioada 2018-2021, fie format electronic sau pe hâr</w:t>
      </w:r>
      <w:r w:rsidR="00C66438">
        <w:t>t</w:t>
      </w:r>
      <w:r w:rsidRPr="00F171A3">
        <w:t xml:space="preserve">ie. Numărul cererilor soluționate favorabil este foarte ridicat, iar termenul mediu de soluționare a acestora este de sub 10 zile pentru aproape toate solicitările formulate de persoane fizice sau juridice. Responsabilul privind Legea nr. 544/2001 și responsabilul privind Legea nr. 52/2003 au participat la cursuri de formare privind cele două reglementări legale aflate în vigoare.  </w:t>
      </w:r>
    </w:p>
    <w:p w14:paraId="26578245" w14:textId="77777777" w:rsidR="0006359E" w:rsidRPr="00F171A3" w:rsidRDefault="0006359E" w:rsidP="0006359E">
      <w:r w:rsidRPr="00F171A3">
        <w:t xml:space="preserve">În perioada analizată au existat puține reclamații administrative sau plângeri în instanță împotriva municipalității pe baza refuzului de a oferi informații de interes public: </w:t>
      </w:r>
    </w:p>
    <w:p w14:paraId="062D4C90" w14:textId="131A898E" w:rsidR="0006359E" w:rsidRPr="00F171A3" w:rsidRDefault="00F35DEE">
      <w:pPr>
        <w:numPr>
          <w:ilvl w:val="0"/>
          <w:numId w:val="85"/>
        </w:numPr>
        <w:pBdr>
          <w:top w:val="nil"/>
          <w:left w:val="nil"/>
          <w:bottom w:val="nil"/>
          <w:right w:val="nil"/>
          <w:between w:val="nil"/>
        </w:pBdr>
        <w:rPr>
          <w:color w:val="134753"/>
        </w:rPr>
      </w:pPr>
      <w:r w:rsidRPr="00F171A3">
        <w:rPr>
          <w:color w:val="134753"/>
        </w:rPr>
        <w:t>Î</w:t>
      </w:r>
      <w:r w:rsidR="0006359E" w:rsidRPr="00F171A3">
        <w:rPr>
          <w:color w:val="134753"/>
        </w:rPr>
        <w:t>n 2021, 8 reclamații administrative – 3 soluționate favorabil, 3 soluționate nefavorabil și 2 respinse și 6 plângeri în instanță – toate 6 în curs de soluționare</w:t>
      </w:r>
      <w:r w:rsidRPr="00F171A3">
        <w:rPr>
          <w:color w:val="134753"/>
        </w:rPr>
        <w:t>;</w:t>
      </w:r>
    </w:p>
    <w:p w14:paraId="12DEEC55" w14:textId="4EE64005" w:rsidR="0006359E" w:rsidRPr="00F171A3" w:rsidRDefault="00F35DEE">
      <w:pPr>
        <w:numPr>
          <w:ilvl w:val="0"/>
          <w:numId w:val="85"/>
        </w:numPr>
        <w:pBdr>
          <w:top w:val="nil"/>
          <w:left w:val="nil"/>
          <w:bottom w:val="nil"/>
          <w:right w:val="nil"/>
          <w:between w:val="nil"/>
        </w:pBdr>
        <w:rPr>
          <w:color w:val="134753"/>
        </w:rPr>
      </w:pPr>
      <w:r w:rsidRPr="00F171A3">
        <w:rPr>
          <w:color w:val="134753"/>
        </w:rPr>
        <w:t>Î</w:t>
      </w:r>
      <w:r w:rsidR="0006359E" w:rsidRPr="00F171A3">
        <w:rPr>
          <w:color w:val="134753"/>
        </w:rPr>
        <w:t>n 2020, 5 reclamații administrative – 5 respinse și 2 plângeri în instanță  în curs de soluționare</w:t>
      </w:r>
      <w:r w:rsidRPr="00F171A3">
        <w:rPr>
          <w:color w:val="134753"/>
        </w:rPr>
        <w:t>;</w:t>
      </w:r>
    </w:p>
    <w:p w14:paraId="0D1D3F51" w14:textId="2447CE88" w:rsidR="0006359E" w:rsidRPr="00F171A3" w:rsidRDefault="00F35DEE">
      <w:pPr>
        <w:numPr>
          <w:ilvl w:val="0"/>
          <w:numId w:val="85"/>
        </w:numPr>
        <w:pBdr>
          <w:top w:val="nil"/>
          <w:left w:val="nil"/>
          <w:bottom w:val="nil"/>
          <w:right w:val="nil"/>
          <w:between w:val="nil"/>
        </w:pBdr>
        <w:rPr>
          <w:color w:val="134753"/>
        </w:rPr>
      </w:pPr>
      <w:r w:rsidRPr="00F171A3">
        <w:rPr>
          <w:color w:val="134753"/>
        </w:rPr>
        <w:t>Î</w:t>
      </w:r>
      <w:r w:rsidR="0006359E" w:rsidRPr="00F171A3">
        <w:rPr>
          <w:color w:val="134753"/>
        </w:rPr>
        <w:t>n 2019, 7 reclamații administrative – 6 respinse și 1 soluționată favorabil, 2 plângeri în instanță  în curs de soluționare</w:t>
      </w:r>
      <w:r w:rsidRPr="00F171A3">
        <w:rPr>
          <w:color w:val="134753"/>
        </w:rPr>
        <w:t>;</w:t>
      </w:r>
    </w:p>
    <w:p w14:paraId="3612B003" w14:textId="14A103BD" w:rsidR="0006359E" w:rsidRPr="00F171A3" w:rsidRDefault="00F35DEE">
      <w:pPr>
        <w:numPr>
          <w:ilvl w:val="0"/>
          <w:numId w:val="85"/>
        </w:numPr>
        <w:pBdr>
          <w:top w:val="nil"/>
          <w:left w:val="nil"/>
          <w:bottom w:val="nil"/>
          <w:right w:val="nil"/>
          <w:between w:val="nil"/>
        </w:pBdr>
        <w:rPr>
          <w:color w:val="134753"/>
        </w:rPr>
      </w:pPr>
      <w:r w:rsidRPr="00F171A3">
        <w:rPr>
          <w:color w:val="134753"/>
        </w:rPr>
        <w:t>Î</w:t>
      </w:r>
      <w:r w:rsidR="0006359E" w:rsidRPr="00F171A3">
        <w:rPr>
          <w:color w:val="134753"/>
        </w:rPr>
        <w:t xml:space="preserve">n 2018, 13 reclamații administrative – 1 respinsă și 12 soluționate favorabil, 0 plângeri în instanță.  </w:t>
      </w:r>
    </w:p>
    <w:p w14:paraId="05F735AA" w14:textId="77777777" w:rsidR="0006359E" w:rsidRPr="00F171A3" w:rsidRDefault="0006359E" w:rsidP="0006359E">
      <w:r w:rsidRPr="00F171A3">
        <w:t xml:space="preserve">La nivelul instituției nu există un registru care cuprinde date privind solicitări primite de instituție sau o bază de date publică care să identifice și să structureze toate aceste informații pentru a facilita accesul cetățenilor la acestea. </w:t>
      </w:r>
    </w:p>
    <w:p w14:paraId="77D274AD" w14:textId="168A1FBD" w:rsidR="0006359E" w:rsidRPr="00F171A3" w:rsidRDefault="002278A7" w:rsidP="002278A7">
      <w:pPr>
        <w:pStyle w:val="Caption"/>
        <w:rPr>
          <w:b w:val="0"/>
        </w:rPr>
      </w:pPr>
      <w:bookmarkStart w:id="393" w:name="_heading=h.1yib0wl" w:colFirst="0" w:colLast="0"/>
      <w:bookmarkStart w:id="394" w:name="_Toc126943310"/>
      <w:bookmarkEnd w:id="393"/>
      <w:r w:rsidRPr="00F171A3">
        <w:t xml:space="preserve">Tabel </w:t>
      </w:r>
      <w:r w:rsidRPr="00F171A3">
        <w:fldChar w:fldCharType="begin"/>
      </w:r>
      <w:r w:rsidRPr="00F171A3">
        <w:instrText xml:space="preserve"> SEQ Tabel \* ARABIC </w:instrText>
      </w:r>
      <w:r w:rsidRPr="00F171A3">
        <w:fldChar w:fldCharType="separate"/>
      </w:r>
      <w:r w:rsidR="005A6DD8">
        <w:rPr>
          <w:noProof/>
        </w:rPr>
        <w:t>53</w:t>
      </w:r>
      <w:r w:rsidRPr="00F171A3">
        <w:fldChar w:fldCharType="end"/>
      </w:r>
      <w:r w:rsidRPr="00F171A3">
        <w:t xml:space="preserve"> </w:t>
      </w:r>
      <w:r w:rsidR="0006359E" w:rsidRPr="00F171A3">
        <w:t xml:space="preserve">Date evaluare implementare Legea </w:t>
      </w:r>
      <w:r w:rsidRPr="00F171A3">
        <w:t xml:space="preserve">nr. </w:t>
      </w:r>
      <w:r w:rsidR="0006359E" w:rsidRPr="00F171A3">
        <w:t>544/2001</w:t>
      </w:r>
      <w:bookmarkEnd w:id="394"/>
    </w:p>
    <w:tbl>
      <w:tblPr>
        <w:tblStyle w:val="ListTable3-Accent21"/>
        <w:tblW w:w="949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663"/>
        <w:gridCol w:w="1942"/>
        <w:gridCol w:w="1260"/>
        <w:gridCol w:w="1710"/>
        <w:gridCol w:w="3918"/>
      </w:tblGrid>
      <w:tr w:rsidR="0006359E" w:rsidRPr="00F171A3" w14:paraId="47151963" w14:textId="77777777" w:rsidTr="00F35DEE">
        <w:trPr>
          <w:cnfStyle w:val="100000000000" w:firstRow="1" w:lastRow="0" w:firstColumn="0" w:lastColumn="0" w:oddVBand="0" w:evenVBand="0" w:oddHBand="0" w:evenHBand="0" w:firstRowFirstColumn="0" w:firstRowLastColumn="0" w:lastRowFirstColumn="0" w:lastRowLastColumn="0"/>
          <w:trHeight w:val="603"/>
        </w:trPr>
        <w:tc>
          <w:tcPr>
            <w:tcW w:w="663" w:type="dxa"/>
            <w:vAlign w:val="center"/>
          </w:tcPr>
          <w:p w14:paraId="5FD2FA58" w14:textId="77777777" w:rsidR="0006359E" w:rsidRPr="00F171A3" w:rsidRDefault="0006359E" w:rsidP="00F35DEE">
            <w:pPr>
              <w:jc w:val="center"/>
              <w:rPr>
                <w:sz w:val="20"/>
                <w:szCs w:val="20"/>
              </w:rPr>
            </w:pPr>
            <w:r w:rsidRPr="00F171A3">
              <w:rPr>
                <w:sz w:val="20"/>
                <w:szCs w:val="20"/>
              </w:rPr>
              <w:t>AN</w:t>
            </w:r>
          </w:p>
        </w:tc>
        <w:tc>
          <w:tcPr>
            <w:tcW w:w="1942" w:type="dxa"/>
            <w:vAlign w:val="center"/>
          </w:tcPr>
          <w:p w14:paraId="3BDAF895" w14:textId="77777777" w:rsidR="0006359E" w:rsidRPr="00F171A3" w:rsidRDefault="0006359E" w:rsidP="00F35DEE">
            <w:pPr>
              <w:jc w:val="center"/>
              <w:rPr>
                <w:sz w:val="20"/>
                <w:szCs w:val="20"/>
              </w:rPr>
            </w:pPr>
            <w:r w:rsidRPr="00F171A3">
              <w:rPr>
                <w:sz w:val="20"/>
                <w:szCs w:val="20"/>
              </w:rPr>
              <w:t>TOTAL CERERI LEGEA NR. 544/2001</w:t>
            </w:r>
          </w:p>
        </w:tc>
        <w:tc>
          <w:tcPr>
            <w:tcW w:w="1260" w:type="dxa"/>
            <w:vAlign w:val="center"/>
          </w:tcPr>
          <w:p w14:paraId="5A7F3435" w14:textId="77777777" w:rsidR="0006359E" w:rsidRPr="00F171A3" w:rsidRDefault="0006359E" w:rsidP="00F35DEE">
            <w:pPr>
              <w:jc w:val="center"/>
              <w:rPr>
                <w:sz w:val="20"/>
                <w:szCs w:val="20"/>
              </w:rPr>
            </w:pPr>
            <w:r w:rsidRPr="00F171A3">
              <w:rPr>
                <w:sz w:val="20"/>
                <w:szCs w:val="20"/>
              </w:rPr>
              <w:t>PERSOANE FIZICE</w:t>
            </w:r>
          </w:p>
        </w:tc>
        <w:tc>
          <w:tcPr>
            <w:tcW w:w="1710" w:type="dxa"/>
            <w:vAlign w:val="center"/>
          </w:tcPr>
          <w:p w14:paraId="5D02CB6A" w14:textId="77777777" w:rsidR="0006359E" w:rsidRPr="00F171A3" w:rsidRDefault="0006359E" w:rsidP="00F35DEE">
            <w:pPr>
              <w:jc w:val="center"/>
              <w:rPr>
                <w:sz w:val="20"/>
                <w:szCs w:val="20"/>
              </w:rPr>
            </w:pPr>
            <w:r w:rsidRPr="00F171A3">
              <w:rPr>
                <w:sz w:val="20"/>
                <w:szCs w:val="20"/>
              </w:rPr>
              <w:t>PERSOANE JURIDICE</w:t>
            </w:r>
          </w:p>
        </w:tc>
        <w:tc>
          <w:tcPr>
            <w:tcW w:w="3918" w:type="dxa"/>
            <w:vAlign w:val="center"/>
          </w:tcPr>
          <w:p w14:paraId="4F428C81" w14:textId="77777777" w:rsidR="0006359E" w:rsidRPr="00F171A3" w:rsidRDefault="0006359E" w:rsidP="00F35DEE">
            <w:pPr>
              <w:jc w:val="center"/>
              <w:rPr>
                <w:sz w:val="20"/>
                <w:szCs w:val="20"/>
              </w:rPr>
            </w:pPr>
            <w:r w:rsidRPr="00F171A3">
              <w:rPr>
                <w:sz w:val="20"/>
                <w:szCs w:val="20"/>
              </w:rPr>
              <w:t>TERMEN MEDIU DE RĂSPUNS</w:t>
            </w:r>
          </w:p>
        </w:tc>
      </w:tr>
      <w:tr w:rsidR="0006359E" w:rsidRPr="00F171A3" w14:paraId="124EA048" w14:textId="77777777" w:rsidTr="00F35DEE">
        <w:trPr>
          <w:cnfStyle w:val="000000100000" w:firstRow="0" w:lastRow="0" w:firstColumn="0" w:lastColumn="0" w:oddVBand="0" w:evenVBand="0" w:oddHBand="1" w:evenHBand="0" w:firstRowFirstColumn="0" w:firstRowLastColumn="0" w:lastRowFirstColumn="0" w:lastRowLastColumn="0"/>
          <w:trHeight w:val="63"/>
        </w:trPr>
        <w:tc>
          <w:tcPr>
            <w:tcW w:w="663" w:type="dxa"/>
            <w:tcBorders>
              <w:top w:val="none" w:sz="0" w:space="0" w:color="auto"/>
              <w:bottom w:val="none" w:sz="0" w:space="0" w:color="auto"/>
            </w:tcBorders>
            <w:shd w:val="clear" w:color="auto" w:fill="F2F2F2" w:themeFill="background1" w:themeFillShade="F2"/>
          </w:tcPr>
          <w:p w14:paraId="0F7BD3B8" w14:textId="77777777" w:rsidR="0006359E" w:rsidRPr="00F171A3" w:rsidRDefault="0006359E" w:rsidP="00F31936">
            <w:pPr>
              <w:jc w:val="center"/>
              <w:rPr>
                <w:sz w:val="20"/>
                <w:szCs w:val="20"/>
              </w:rPr>
            </w:pPr>
            <w:r w:rsidRPr="00F171A3">
              <w:rPr>
                <w:sz w:val="20"/>
                <w:szCs w:val="20"/>
              </w:rPr>
              <w:t>2021</w:t>
            </w:r>
          </w:p>
        </w:tc>
        <w:tc>
          <w:tcPr>
            <w:tcW w:w="1942" w:type="dxa"/>
            <w:tcBorders>
              <w:top w:val="none" w:sz="0" w:space="0" w:color="auto"/>
              <w:bottom w:val="none" w:sz="0" w:space="0" w:color="auto"/>
            </w:tcBorders>
            <w:shd w:val="clear" w:color="auto" w:fill="F2F2F2" w:themeFill="background1" w:themeFillShade="F2"/>
          </w:tcPr>
          <w:p w14:paraId="1C75EAC6" w14:textId="77777777" w:rsidR="0006359E" w:rsidRPr="00F171A3" w:rsidRDefault="0006359E" w:rsidP="00F31936">
            <w:pPr>
              <w:jc w:val="center"/>
              <w:rPr>
                <w:sz w:val="20"/>
                <w:szCs w:val="20"/>
              </w:rPr>
            </w:pPr>
            <w:r w:rsidRPr="00F171A3">
              <w:rPr>
                <w:sz w:val="20"/>
                <w:szCs w:val="20"/>
              </w:rPr>
              <w:t>485</w:t>
            </w:r>
          </w:p>
        </w:tc>
        <w:tc>
          <w:tcPr>
            <w:tcW w:w="1260" w:type="dxa"/>
            <w:tcBorders>
              <w:top w:val="none" w:sz="0" w:space="0" w:color="auto"/>
              <w:bottom w:val="none" w:sz="0" w:space="0" w:color="auto"/>
            </w:tcBorders>
            <w:shd w:val="clear" w:color="auto" w:fill="F2F2F2" w:themeFill="background1" w:themeFillShade="F2"/>
          </w:tcPr>
          <w:p w14:paraId="72BC78DB" w14:textId="77777777" w:rsidR="0006359E" w:rsidRPr="00F171A3" w:rsidRDefault="0006359E" w:rsidP="00F31936">
            <w:pPr>
              <w:jc w:val="center"/>
              <w:rPr>
                <w:sz w:val="20"/>
                <w:szCs w:val="20"/>
              </w:rPr>
            </w:pPr>
            <w:r w:rsidRPr="00F171A3">
              <w:rPr>
                <w:sz w:val="20"/>
                <w:szCs w:val="20"/>
              </w:rPr>
              <w:t>377</w:t>
            </w:r>
          </w:p>
        </w:tc>
        <w:tc>
          <w:tcPr>
            <w:tcW w:w="1710" w:type="dxa"/>
            <w:tcBorders>
              <w:top w:val="none" w:sz="0" w:space="0" w:color="auto"/>
              <w:bottom w:val="none" w:sz="0" w:space="0" w:color="auto"/>
            </w:tcBorders>
            <w:shd w:val="clear" w:color="auto" w:fill="F2F2F2" w:themeFill="background1" w:themeFillShade="F2"/>
          </w:tcPr>
          <w:p w14:paraId="43755BF9" w14:textId="77777777" w:rsidR="0006359E" w:rsidRPr="00F171A3" w:rsidRDefault="0006359E" w:rsidP="00F31936">
            <w:pPr>
              <w:jc w:val="center"/>
              <w:rPr>
                <w:sz w:val="20"/>
                <w:szCs w:val="20"/>
              </w:rPr>
            </w:pPr>
            <w:r w:rsidRPr="00F171A3">
              <w:rPr>
                <w:sz w:val="20"/>
                <w:szCs w:val="20"/>
              </w:rPr>
              <w:t>108</w:t>
            </w:r>
          </w:p>
        </w:tc>
        <w:tc>
          <w:tcPr>
            <w:tcW w:w="3918" w:type="dxa"/>
            <w:tcBorders>
              <w:top w:val="none" w:sz="0" w:space="0" w:color="auto"/>
              <w:bottom w:val="none" w:sz="0" w:space="0" w:color="auto"/>
            </w:tcBorders>
            <w:shd w:val="clear" w:color="auto" w:fill="F2F2F2" w:themeFill="background1" w:themeFillShade="F2"/>
          </w:tcPr>
          <w:p w14:paraId="08564763" w14:textId="77777777" w:rsidR="0006359E" w:rsidRPr="00F171A3" w:rsidRDefault="0006359E" w:rsidP="00F31936">
            <w:pPr>
              <w:tabs>
                <w:tab w:val="left" w:pos="2391"/>
              </w:tabs>
              <w:jc w:val="left"/>
              <w:rPr>
                <w:sz w:val="20"/>
                <w:szCs w:val="20"/>
              </w:rPr>
            </w:pPr>
            <w:r w:rsidRPr="00F171A3">
              <w:rPr>
                <w:sz w:val="20"/>
                <w:szCs w:val="20"/>
              </w:rPr>
              <w:t>219  – soluționate în termen de 10 zile, 42 –soluționate în termen de 30 zile,</w:t>
            </w:r>
            <w:r w:rsidRPr="00F171A3">
              <w:rPr>
                <w:sz w:val="20"/>
                <w:szCs w:val="20"/>
              </w:rPr>
              <w:br/>
              <w:t xml:space="preserve">219 – redirecționate, 1 – termen depășit. </w:t>
            </w:r>
          </w:p>
          <w:p w14:paraId="70FD51F7" w14:textId="77777777" w:rsidR="0006359E" w:rsidRPr="00F171A3" w:rsidRDefault="0006359E" w:rsidP="00F31936">
            <w:pPr>
              <w:tabs>
                <w:tab w:val="left" w:pos="2391"/>
              </w:tabs>
              <w:jc w:val="left"/>
              <w:rPr>
                <w:sz w:val="20"/>
                <w:szCs w:val="20"/>
              </w:rPr>
            </w:pPr>
            <w:r w:rsidRPr="00F171A3">
              <w:rPr>
                <w:sz w:val="20"/>
                <w:szCs w:val="20"/>
              </w:rPr>
              <w:t>Modalitate de adresare:</w:t>
            </w:r>
          </w:p>
          <w:p w14:paraId="413E68FE" w14:textId="77777777" w:rsidR="0006359E" w:rsidRPr="00F171A3" w:rsidRDefault="0006359E" w:rsidP="00F31936">
            <w:pPr>
              <w:tabs>
                <w:tab w:val="left" w:pos="2391"/>
              </w:tabs>
              <w:jc w:val="left"/>
              <w:rPr>
                <w:sz w:val="20"/>
                <w:szCs w:val="20"/>
              </w:rPr>
            </w:pPr>
            <w:r w:rsidRPr="00F171A3">
              <w:rPr>
                <w:sz w:val="20"/>
                <w:szCs w:val="20"/>
              </w:rPr>
              <w:t xml:space="preserve">62 – suport hârtie, 423 – suport electronic, </w:t>
            </w:r>
          </w:p>
        </w:tc>
      </w:tr>
      <w:tr w:rsidR="0006359E" w:rsidRPr="00F171A3" w14:paraId="68EEDFAF" w14:textId="77777777" w:rsidTr="00F35DEE">
        <w:trPr>
          <w:trHeight w:val="1142"/>
        </w:trPr>
        <w:tc>
          <w:tcPr>
            <w:tcW w:w="663" w:type="dxa"/>
            <w:shd w:val="clear" w:color="auto" w:fill="F2F2F2" w:themeFill="background1" w:themeFillShade="F2"/>
          </w:tcPr>
          <w:p w14:paraId="6D67B2FC" w14:textId="77777777" w:rsidR="0006359E" w:rsidRPr="00F171A3" w:rsidRDefault="0006359E" w:rsidP="00F31936">
            <w:pPr>
              <w:jc w:val="center"/>
              <w:rPr>
                <w:sz w:val="20"/>
                <w:szCs w:val="20"/>
              </w:rPr>
            </w:pPr>
            <w:r w:rsidRPr="00F171A3">
              <w:rPr>
                <w:sz w:val="20"/>
                <w:szCs w:val="20"/>
              </w:rPr>
              <w:t>2020</w:t>
            </w:r>
          </w:p>
        </w:tc>
        <w:tc>
          <w:tcPr>
            <w:tcW w:w="1942" w:type="dxa"/>
            <w:shd w:val="clear" w:color="auto" w:fill="F2F2F2" w:themeFill="background1" w:themeFillShade="F2"/>
          </w:tcPr>
          <w:p w14:paraId="3E4A5CAA" w14:textId="77777777" w:rsidR="0006359E" w:rsidRPr="00F171A3" w:rsidRDefault="0006359E" w:rsidP="00F31936">
            <w:pPr>
              <w:jc w:val="center"/>
              <w:rPr>
                <w:sz w:val="20"/>
                <w:szCs w:val="20"/>
              </w:rPr>
            </w:pPr>
            <w:r w:rsidRPr="00F171A3">
              <w:rPr>
                <w:sz w:val="20"/>
                <w:szCs w:val="20"/>
              </w:rPr>
              <w:t>388</w:t>
            </w:r>
          </w:p>
        </w:tc>
        <w:tc>
          <w:tcPr>
            <w:tcW w:w="1260" w:type="dxa"/>
            <w:shd w:val="clear" w:color="auto" w:fill="F2F2F2" w:themeFill="background1" w:themeFillShade="F2"/>
          </w:tcPr>
          <w:p w14:paraId="45D1CDFC" w14:textId="77777777" w:rsidR="0006359E" w:rsidRPr="00F171A3" w:rsidRDefault="0006359E" w:rsidP="00F31936">
            <w:pPr>
              <w:jc w:val="center"/>
              <w:rPr>
                <w:sz w:val="20"/>
                <w:szCs w:val="20"/>
              </w:rPr>
            </w:pPr>
            <w:r w:rsidRPr="00F171A3">
              <w:rPr>
                <w:sz w:val="20"/>
                <w:szCs w:val="20"/>
              </w:rPr>
              <w:t>283</w:t>
            </w:r>
          </w:p>
        </w:tc>
        <w:tc>
          <w:tcPr>
            <w:tcW w:w="1710" w:type="dxa"/>
            <w:shd w:val="clear" w:color="auto" w:fill="F2F2F2" w:themeFill="background1" w:themeFillShade="F2"/>
          </w:tcPr>
          <w:p w14:paraId="1CD8096D" w14:textId="77777777" w:rsidR="0006359E" w:rsidRPr="00F171A3" w:rsidRDefault="0006359E" w:rsidP="00F31936">
            <w:pPr>
              <w:jc w:val="center"/>
              <w:rPr>
                <w:sz w:val="20"/>
                <w:szCs w:val="20"/>
              </w:rPr>
            </w:pPr>
            <w:r w:rsidRPr="00F171A3">
              <w:rPr>
                <w:sz w:val="20"/>
                <w:szCs w:val="20"/>
              </w:rPr>
              <w:t>105</w:t>
            </w:r>
          </w:p>
        </w:tc>
        <w:tc>
          <w:tcPr>
            <w:tcW w:w="3918" w:type="dxa"/>
            <w:shd w:val="clear" w:color="auto" w:fill="F2F2F2" w:themeFill="background1" w:themeFillShade="F2"/>
          </w:tcPr>
          <w:p w14:paraId="26EE5C03" w14:textId="77777777" w:rsidR="0006359E" w:rsidRPr="00F171A3" w:rsidRDefault="0006359E" w:rsidP="00F31936">
            <w:pPr>
              <w:tabs>
                <w:tab w:val="left" w:pos="2391"/>
              </w:tabs>
              <w:jc w:val="left"/>
              <w:rPr>
                <w:sz w:val="20"/>
                <w:szCs w:val="20"/>
              </w:rPr>
            </w:pPr>
            <w:r w:rsidRPr="00F171A3">
              <w:rPr>
                <w:sz w:val="20"/>
                <w:szCs w:val="20"/>
              </w:rPr>
              <w:t>214  – soluționate în termen de 10 zile, 16 – soluționate în termen de 30 zile,</w:t>
            </w:r>
            <w:r w:rsidRPr="00F171A3">
              <w:rPr>
                <w:sz w:val="20"/>
                <w:szCs w:val="20"/>
              </w:rPr>
              <w:br/>
              <w:t xml:space="preserve">156 – redirecționate, 0 – termen depășit. </w:t>
            </w:r>
          </w:p>
          <w:p w14:paraId="214CA886" w14:textId="77777777" w:rsidR="0006359E" w:rsidRPr="00F171A3" w:rsidRDefault="0006359E" w:rsidP="00F31936">
            <w:pPr>
              <w:tabs>
                <w:tab w:val="left" w:pos="2391"/>
              </w:tabs>
              <w:jc w:val="left"/>
              <w:rPr>
                <w:sz w:val="20"/>
                <w:szCs w:val="20"/>
              </w:rPr>
            </w:pPr>
            <w:r w:rsidRPr="00F171A3">
              <w:rPr>
                <w:sz w:val="20"/>
                <w:szCs w:val="20"/>
              </w:rPr>
              <w:t>Modalitate de adresare:</w:t>
            </w:r>
          </w:p>
          <w:p w14:paraId="14E9D075" w14:textId="77777777" w:rsidR="0006359E" w:rsidRPr="00F171A3" w:rsidRDefault="0006359E" w:rsidP="00F31936">
            <w:pPr>
              <w:tabs>
                <w:tab w:val="left" w:pos="2391"/>
              </w:tabs>
              <w:jc w:val="left"/>
              <w:rPr>
                <w:sz w:val="20"/>
                <w:szCs w:val="20"/>
              </w:rPr>
            </w:pPr>
            <w:r w:rsidRPr="00F171A3">
              <w:rPr>
                <w:sz w:val="20"/>
                <w:szCs w:val="20"/>
              </w:rPr>
              <w:t>89 – suport hârtie, 299 – suport electronic</w:t>
            </w:r>
          </w:p>
        </w:tc>
      </w:tr>
      <w:tr w:rsidR="0006359E" w:rsidRPr="00F171A3" w14:paraId="3F07EA1C" w14:textId="77777777" w:rsidTr="00F35DEE">
        <w:trPr>
          <w:cnfStyle w:val="000000100000" w:firstRow="0" w:lastRow="0" w:firstColumn="0" w:lastColumn="0" w:oddVBand="0" w:evenVBand="0" w:oddHBand="1" w:evenHBand="0" w:firstRowFirstColumn="0" w:firstRowLastColumn="0" w:lastRowFirstColumn="0" w:lastRowLastColumn="0"/>
          <w:trHeight w:val="63"/>
        </w:trPr>
        <w:tc>
          <w:tcPr>
            <w:tcW w:w="663" w:type="dxa"/>
            <w:tcBorders>
              <w:top w:val="none" w:sz="0" w:space="0" w:color="auto"/>
              <w:bottom w:val="none" w:sz="0" w:space="0" w:color="auto"/>
            </w:tcBorders>
            <w:shd w:val="clear" w:color="auto" w:fill="F2F2F2" w:themeFill="background1" w:themeFillShade="F2"/>
          </w:tcPr>
          <w:p w14:paraId="2F082BD8" w14:textId="77777777" w:rsidR="0006359E" w:rsidRPr="00F171A3" w:rsidRDefault="0006359E" w:rsidP="00F31936">
            <w:pPr>
              <w:rPr>
                <w:sz w:val="20"/>
                <w:szCs w:val="20"/>
              </w:rPr>
            </w:pPr>
            <w:r w:rsidRPr="00F171A3">
              <w:rPr>
                <w:sz w:val="20"/>
                <w:szCs w:val="20"/>
              </w:rPr>
              <w:t>2019</w:t>
            </w:r>
          </w:p>
        </w:tc>
        <w:tc>
          <w:tcPr>
            <w:tcW w:w="1942" w:type="dxa"/>
            <w:tcBorders>
              <w:top w:val="none" w:sz="0" w:space="0" w:color="auto"/>
              <w:bottom w:val="none" w:sz="0" w:space="0" w:color="auto"/>
            </w:tcBorders>
            <w:shd w:val="clear" w:color="auto" w:fill="F2F2F2" w:themeFill="background1" w:themeFillShade="F2"/>
          </w:tcPr>
          <w:p w14:paraId="6786CD31" w14:textId="77777777" w:rsidR="0006359E" w:rsidRPr="00F171A3" w:rsidRDefault="0006359E" w:rsidP="00F31936">
            <w:pPr>
              <w:jc w:val="center"/>
              <w:rPr>
                <w:sz w:val="20"/>
                <w:szCs w:val="20"/>
              </w:rPr>
            </w:pPr>
            <w:r w:rsidRPr="00F171A3">
              <w:rPr>
                <w:sz w:val="20"/>
                <w:szCs w:val="20"/>
              </w:rPr>
              <w:t>378</w:t>
            </w:r>
          </w:p>
        </w:tc>
        <w:tc>
          <w:tcPr>
            <w:tcW w:w="1260" w:type="dxa"/>
            <w:tcBorders>
              <w:top w:val="none" w:sz="0" w:space="0" w:color="auto"/>
              <w:bottom w:val="none" w:sz="0" w:space="0" w:color="auto"/>
            </w:tcBorders>
            <w:shd w:val="clear" w:color="auto" w:fill="F2F2F2" w:themeFill="background1" w:themeFillShade="F2"/>
          </w:tcPr>
          <w:p w14:paraId="397AB4D5" w14:textId="77777777" w:rsidR="0006359E" w:rsidRPr="00F171A3" w:rsidRDefault="0006359E" w:rsidP="00F31936">
            <w:pPr>
              <w:jc w:val="center"/>
              <w:rPr>
                <w:sz w:val="20"/>
                <w:szCs w:val="20"/>
              </w:rPr>
            </w:pPr>
            <w:r w:rsidRPr="00F171A3">
              <w:rPr>
                <w:sz w:val="20"/>
                <w:szCs w:val="20"/>
              </w:rPr>
              <w:t>259</w:t>
            </w:r>
          </w:p>
        </w:tc>
        <w:tc>
          <w:tcPr>
            <w:tcW w:w="1710" w:type="dxa"/>
            <w:tcBorders>
              <w:top w:val="none" w:sz="0" w:space="0" w:color="auto"/>
              <w:bottom w:val="none" w:sz="0" w:space="0" w:color="auto"/>
            </w:tcBorders>
            <w:shd w:val="clear" w:color="auto" w:fill="F2F2F2" w:themeFill="background1" w:themeFillShade="F2"/>
          </w:tcPr>
          <w:p w14:paraId="337815AA" w14:textId="77777777" w:rsidR="0006359E" w:rsidRPr="00F171A3" w:rsidRDefault="0006359E" w:rsidP="00F31936">
            <w:pPr>
              <w:jc w:val="center"/>
              <w:rPr>
                <w:sz w:val="20"/>
                <w:szCs w:val="20"/>
              </w:rPr>
            </w:pPr>
            <w:r w:rsidRPr="00F171A3">
              <w:rPr>
                <w:sz w:val="20"/>
                <w:szCs w:val="20"/>
              </w:rPr>
              <w:t>119</w:t>
            </w:r>
          </w:p>
        </w:tc>
        <w:tc>
          <w:tcPr>
            <w:tcW w:w="3918" w:type="dxa"/>
            <w:tcBorders>
              <w:top w:val="none" w:sz="0" w:space="0" w:color="auto"/>
              <w:bottom w:val="none" w:sz="0" w:space="0" w:color="auto"/>
            </w:tcBorders>
            <w:shd w:val="clear" w:color="auto" w:fill="F2F2F2" w:themeFill="background1" w:themeFillShade="F2"/>
          </w:tcPr>
          <w:p w14:paraId="20E3DCC6" w14:textId="77777777" w:rsidR="0006359E" w:rsidRPr="00F171A3" w:rsidRDefault="0006359E" w:rsidP="00F31936">
            <w:pPr>
              <w:tabs>
                <w:tab w:val="left" w:pos="2391"/>
              </w:tabs>
              <w:jc w:val="left"/>
              <w:rPr>
                <w:sz w:val="20"/>
                <w:szCs w:val="20"/>
              </w:rPr>
            </w:pPr>
            <w:r w:rsidRPr="00F171A3">
              <w:rPr>
                <w:sz w:val="20"/>
                <w:szCs w:val="20"/>
              </w:rPr>
              <w:t>217  – soluționate în termen de 10 zile, 0 –soluționate în termen de 30 zile,</w:t>
            </w:r>
            <w:r w:rsidRPr="00F171A3">
              <w:rPr>
                <w:sz w:val="20"/>
                <w:szCs w:val="20"/>
              </w:rPr>
              <w:br/>
              <w:t>151 – redirecționate, 6 – termen depășit. (4 solicitări respinse)</w:t>
            </w:r>
          </w:p>
          <w:p w14:paraId="60994C61" w14:textId="77777777" w:rsidR="0006359E" w:rsidRPr="00F171A3" w:rsidRDefault="0006359E" w:rsidP="00F31936">
            <w:pPr>
              <w:tabs>
                <w:tab w:val="left" w:pos="2391"/>
              </w:tabs>
              <w:jc w:val="left"/>
              <w:rPr>
                <w:sz w:val="20"/>
                <w:szCs w:val="20"/>
              </w:rPr>
            </w:pPr>
            <w:r w:rsidRPr="00F171A3">
              <w:rPr>
                <w:sz w:val="20"/>
                <w:szCs w:val="20"/>
              </w:rPr>
              <w:t>Modalitate de adresare:</w:t>
            </w:r>
          </w:p>
          <w:p w14:paraId="741404C5" w14:textId="77777777" w:rsidR="0006359E" w:rsidRPr="00F171A3" w:rsidRDefault="0006359E" w:rsidP="00F31936">
            <w:pPr>
              <w:tabs>
                <w:tab w:val="left" w:pos="2391"/>
              </w:tabs>
              <w:jc w:val="left"/>
              <w:rPr>
                <w:sz w:val="20"/>
                <w:szCs w:val="20"/>
              </w:rPr>
            </w:pPr>
            <w:r w:rsidRPr="00F171A3">
              <w:rPr>
                <w:sz w:val="20"/>
                <w:szCs w:val="20"/>
              </w:rPr>
              <w:t>149 – suport hârtie, 229 – suport electronic</w:t>
            </w:r>
          </w:p>
        </w:tc>
      </w:tr>
      <w:tr w:rsidR="0006359E" w:rsidRPr="00F171A3" w14:paraId="1DD83950" w14:textId="77777777" w:rsidTr="00F35DEE">
        <w:trPr>
          <w:trHeight w:val="118"/>
        </w:trPr>
        <w:tc>
          <w:tcPr>
            <w:tcW w:w="663" w:type="dxa"/>
            <w:shd w:val="clear" w:color="auto" w:fill="F2F2F2" w:themeFill="background1" w:themeFillShade="F2"/>
          </w:tcPr>
          <w:p w14:paraId="2DAD076B" w14:textId="77777777" w:rsidR="0006359E" w:rsidRPr="00F171A3" w:rsidRDefault="0006359E" w:rsidP="00F31936">
            <w:pPr>
              <w:tabs>
                <w:tab w:val="left" w:pos="2391"/>
              </w:tabs>
              <w:jc w:val="center"/>
              <w:rPr>
                <w:sz w:val="20"/>
                <w:szCs w:val="20"/>
              </w:rPr>
            </w:pPr>
            <w:r w:rsidRPr="00F171A3">
              <w:rPr>
                <w:sz w:val="20"/>
                <w:szCs w:val="20"/>
              </w:rPr>
              <w:t>2018</w:t>
            </w:r>
          </w:p>
        </w:tc>
        <w:tc>
          <w:tcPr>
            <w:tcW w:w="1942" w:type="dxa"/>
            <w:shd w:val="clear" w:color="auto" w:fill="F2F2F2" w:themeFill="background1" w:themeFillShade="F2"/>
          </w:tcPr>
          <w:p w14:paraId="62026624" w14:textId="77777777" w:rsidR="0006359E" w:rsidRPr="00F171A3" w:rsidRDefault="0006359E" w:rsidP="00F31936">
            <w:pPr>
              <w:tabs>
                <w:tab w:val="left" w:pos="2391"/>
              </w:tabs>
              <w:jc w:val="center"/>
              <w:rPr>
                <w:sz w:val="20"/>
                <w:szCs w:val="20"/>
              </w:rPr>
            </w:pPr>
            <w:r w:rsidRPr="00F171A3">
              <w:rPr>
                <w:sz w:val="20"/>
                <w:szCs w:val="20"/>
              </w:rPr>
              <w:t>1715</w:t>
            </w:r>
            <w:r w:rsidRPr="00F171A3">
              <w:rPr>
                <w:sz w:val="20"/>
                <w:szCs w:val="20"/>
                <w:vertAlign w:val="superscript"/>
              </w:rPr>
              <w:footnoteReference w:id="171"/>
            </w:r>
            <w:r w:rsidRPr="00F171A3">
              <w:rPr>
                <w:sz w:val="20"/>
                <w:szCs w:val="20"/>
              </w:rPr>
              <w:t>, 308 pe suport hârtie sau electronic</w:t>
            </w:r>
          </w:p>
        </w:tc>
        <w:tc>
          <w:tcPr>
            <w:tcW w:w="1260" w:type="dxa"/>
            <w:shd w:val="clear" w:color="auto" w:fill="F2F2F2" w:themeFill="background1" w:themeFillShade="F2"/>
          </w:tcPr>
          <w:p w14:paraId="11155DDB" w14:textId="77777777" w:rsidR="0006359E" w:rsidRPr="00F171A3" w:rsidRDefault="0006359E" w:rsidP="00F31936">
            <w:pPr>
              <w:tabs>
                <w:tab w:val="left" w:pos="2391"/>
              </w:tabs>
              <w:jc w:val="center"/>
              <w:rPr>
                <w:sz w:val="20"/>
                <w:szCs w:val="20"/>
              </w:rPr>
            </w:pPr>
            <w:r w:rsidRPr="00F171A3">
              <w:rPr>
                <w:sz w:val="20"/>
                <w:szCs w:val="20"/>
              </w:rPr>
              <w:t>210</w:t>
            </w:r>
          </w:p>
        </w:tc>
        <w:tc>
          <w:tcPr>
            <w:tcW w:w="1710" w:type="dxa"/>
            <w:shd w:val="clear" w:color="auto" w:fill="F2F2F2" w:themeFill="background1" w:themeFillShade="F2"/>
          </w:tcPr>
          <w:p w14:paraId="7BBE47D0" w14:textId="77777777" w:rsidR="0006359E" w:rsidRPr="00F171A3" w:rsidRDefault="0006359E" w:rsidP="00F31936">
            <w:pPr>
              <w:tabs>
                <w:tab w:val="left" w:pos="2391"/>
              </w:tabs>
              <w:jc w:val="center"/>
              <w:rPr>
                <w:sz w:val="20"/>
                <w:szCs w:val="20"/>
              </w:rPr>
            </w:pPr>
            <w:r w:rsidRPr="00F171A3">
              <w:rPr>
                <w:sz w:val="20"/>
                <w:szCs w:val="20"/>
              </w:rPr>
              <w:t>108</w:t>
            </w:r>
          </w:p>
        </w:tc>
        <w:tc>
          <w:tcPr>
            <w:tcW w:w="3918" w:type="dxa"/>
            <w:shd w:val="clear" w:color="auto" w:fill="F2F2F2" w:themeFill="background1" w:themeFillShade="F2"/>
          </w:tcPr>
          <w:p w14:paraId="4DD5EBAD" w14:textId="77777777" w:rsidR="0006359E" w:rsidRPr="00F171A3" w:rsidRDefault="0006359E" w:rsidP="00F31936">
            <w:pPr>
              <w:tabs>
                <w:tab w:val="left" w:pos="2391"/>
              </w:tabs>
              <w:jc w:val="left"/>
              <w:rPr>
                <w:sz w:val="20"/>
                <w:szCs w:val="20"/>
              </w:rPr>
            </w:pPr>
            <w:r w:rsidRPr="00F171A3">
              <w:rPr>
                <w:sz w:val="20"/>
                <w:szCs w:val="20"/>
              </w:rPr>
              <w:t>207  – soluționate în termen de 10 zile, 12 –soluționate în termen de 30 zile,</w:t>
            </w:r>
            <w:r w:rsidRPr="00F171A3">
              <w:rPr>
                <w:sz w:val="20"/>
                <w:szCs w:val="20"/>
              </w:rPr>
              <w:br/>
              <w:t>99 – redirecționate, 0 – termen depășit. (solicitările verbale nu sunt incluse)</w:t>
            </w:r>
          </w:p>
          <w:p w14:paraId="22BF2218" w14:textId="77777777" w:rsidR="0006359E" w:rsidRPr="00F171A3" w:rsidRDefault="0006359E" w:rsidP="00F31936">
            <w:pPr>
              <w:tabs>
                <w:tab w:val="left" w:pos="2391"/>
              </w:tabs>
              <w:jc w:val="left"/>
              <w:rPr>
                <w:sz w:val="20"/>
                <w:szCs w:val="20"/>
              </w:rPr>
            </w:pPr>
            <w:r w:rsidRPr="00F171A3">
              <w:rPr>
                <w:sz w:val="20"/>
                <w:szCs w:val="20"/>
              </w:rPr>
              <w:t>Modalitate de adresare:</w:t>
            </w:r>
          </w:p>
          <w:p w14:paraId="198BA8D2" w14:textId="77777777" w:rsidR="0006359E" w:rsidRPr="00F171A3" w:rsidRDefault="0006359E" w:rsidP="00F31936">
            <w:pPr>
              <w:tabs>
                <w:tab w:val="left" w:pos="2391"/>
              </w:tabs>
              <w:jc w:val="left"/>
              <w:rPr>
                <w:sz w:val="20"/>
                <w:szCs w:val="20"/>
              </w:rPr>
            </w:pPr>
            <w:r w:rsidRPr="00F171A3">
              <w:rPr>
                <w:sz w:val="20"/>
                <w:szCs w:val="20"/>
              </w:rPr>
              <w:t>178  – suport hârtie, 140 – suport electronic, 1397 - verbal</w:t>
            </w:r>
          </w:p>
        </w:tc>
      </w:tr>
    </w:tbl>
    <w:p w14:paraId="0B1B6E4F" w14:textId="41253004" w:rsidR="0006359E" w:rsidRPr="00F171A3" w:rsidRDefault="0006359E" w:rsidP="002278A7">
      <w:pPr>
        <w:jc w:val="right"/>
        <w:rPr>
          <w:color w:val="BFBFBF" w:themeColor="background1" w:themeShade="BF"/>
        </w:rPr>
      </w:pPr>
      <w:r w:rsidRPr="00F171A3">
        <w:rPr>
          <w:color w:val="BFBFBF" w:themeColor="background1" w:themeShade="BF"/>
        </w:rPr>
        <w:t>Sursa: Prelucrare proprie pe baza datelor publice prezentate de Primăria Sector</w:t>
      </w:r>
      <w:r w:rsidR="00135D70" w:rsidRPr="00F171A3">
        <w:rPr>
          <w:color w:val="BFBFBF" w:themeColor="background1" w:themeShade="BF"/>
        </w:rPr>
        <w:t>ului</w:t>
      </w:r>
      <w:r w:rsidRPr="00F171A3">
        <w:rPr>
          <w:color w:val="BFBFBF" w:themeColor="background1" w:themeShade="BF"/>
        </w:rPr>
        <w:t xml:space="preserve"> 2</w:t>
      </w:r>
    </w:p>
    <w:p w14:paraId="366381AD" w14:textId="77777777" w:rsidR="0006359E" w:rsidRPr="00F171A3" w:rsidRDefault="0006359E" w:rsidP="0006359E">
      <w:r w:rsidRPr="00F171A3">
        <w:t xml:space="preserve">Rapoartele de evaluare privind implementarea Legii nr. 544/2011 sunt publice pe pagina oficială a instituției (începând cu anul 2004). </w:t>
      </w:r>
    </w:p>
    <w:p w14:paraId="22728D6F" w14:textId="77777777" w:rsidR="0006359E" w:rsidRPr="00F171A3" w:rsidRDefault="0006359E" w:rsidP="0006359E">
      <w:r w:rsidRPr="00F171A3">
        <w:t xml:space="preserve">Printre punctele pe care responsabilul privind implementarea legii le consideră necesare de a fi îmbunătățite se află: </w:t>
      </w:r>
    </w:p>
    <w:p w14:paraId="1FA8AF05" w14:textId="46347CA1" w:rsidR="0006359E" w:rsidRPr="00F171A3" w:rsidRDefault="0006359E">
      <w:pPr>
        <w:numPr>
          <w:ilvl w:val="0"/>
          <w:numId w:val="85"/>
        </w:numPr>
        <w:pBdr>
          <w:top w:val="nil"/>
          <w:left w:val="nil"/>
          <w:bottom w:val="nil"/>
          <w:right w:val="nil"/>
          <w:between w:val="nil"/>
        </w:pBdr>
        <w:rPr>
          <w:color w:val="134753"/>
        </w:rPr>
      </w:pPr>
      <w:r w:rsidRPr="00F171A3">
        <w:rPr>
          <w:color w:val="134753"/>
        </w:rPr>
        <w:t>Publicarea informaţiilor de interes public în format deschis</w:t>
      </w:r>
      <w:r w:rsidR="00F35DEE" w:rsidRPr="00F171A3">
        <w:rPr>
          <w:color w:val="134753"/>
        </w:rPr>
        <w:t>;</w:t>
      </w:r>
    </w:p>
    <w:p w14:paraId="254F2889" w14:textId="59D27A40" w:rsidR="0006359E" w:rsidRPr="00F171A3" w:rsidRDefault="0006359E">
      <w:pPr>
        <w:numPr>
          <w:ilvl w:val="0"/>
          <w:numId w:val="85"/>
        </w:numPr>
        <w:pBdr>
          <w:top w:val="nil"/>
          <w:left w:val="nil"/>
          <w:bottom w:val="nil"/>
          <w:right w:val="nil"/>
          <w:between w:val="nil"/>
        </w:pBdr>
        <w:rPr>
          <w:color w:val="134753"/>
        </w:rPr>
      </w:pPr>
      <w:r w:rsidRPr="00F171A3">
        <w:rPr>
          <w:color w:val="134753"/>
        </w:rPr>
        <w:t>O mai bună comunicare şi colaborare cu structurile de specialitate ale instituţiei</w:t>
      </w:r>
      <w:r w:rsidR="00F35DEE" w:rsidRPr="00F171A3">
        <w:rPr>
          <w:color w:val="134753"/>
        </w:rPr>
        <w:t>;</w:t>
      </w:r>
    </w:p>
    <w:p w14:paraId="68D2E1D0"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Reorganizarea secțiunii dedicate informațiilor de interes public de pe site-ul instituției.</w:t>
      </w:r>
    </w:p>
    <w:p w14:paraId="7D2DE4CA" w14:textId="5C7BB0A3" w:rsidR="0006359E" w:rsidRPr="00F171A3" w:rsidRDefault="0006359E" w:rsidP="0006359E">
      <w:r w:rsidRPr="00F171A3">
        <w:t>Rapoartele de evaluare privind implementarea Legii nr. 544/2011 subliniază că datele publicate de Primăria Sector</w:t>
      </w:r>
      <w:r w:rsidR="00135D70" w:rsidRPr="00F171A3">
        <w:t>ului</w:t>
      </w:r>
      <w:r w:rsidRPr="00F171A3">
        <w:t xml:space="preserve"> 2 sunt în format deschis. O parte din informațiile publice sunt în format editabil.   </w:t>
      </w:r>
    </w:p>
    <w:p w14:paraId="64AF1FBA" w14:textId="17CDD8CB" w:rsidR="0006359E" w:rsidRPr="00F171A3" w:rsidRDefault="0006359E" w:rsidP="0006359E">
      <w:r w:rsidRPr="00F171A3">
        <w:t>Primăria Sector</w:t>
      </w:r>
      <w:r w:rsidR="00135D70" w:rsidRPr="00F171A3">
        <w:t>ului</w:t>
      </w:r>
      <w:r w:rsidRPr="00F171A3">
        <w:t xml:space="preserve"> 2 publică în mod regulat rapoartele anuale de evaluare a implementării Legii nr. 52/2003 pe pagina proprie. Toate proiecte de acte normative sunt anunțate public, însă interacțiunea și consultarea publică cu cetățenii și asociațiile legal constituite sunt foarte limitate. Atât în ceea ce privește numărul de recomandări primite din partea cetățenilor sau asociațiilor legal constituite, cât mai ales numărul de întâlniri organizate la cererea asociațiilor legal constituite, procesul de consultare publică aferent Legii nr. 52/2003 nu funcționează. </w:t>
      </w:r>
    </w:p>
    <w:p w14:paraId="2D6116A3" w14:textId="76AFC89E" w:rsidR="0006359E" w:rsidRPr="00F171A3" w:rsidRDefault="002278A7" w:rsidP="002278A7">
      <w:pPr>
        <w:pStyle w:val="Caption"/>
        <w:rPr>
          <w:b w:val="0"/>
          <w:color w:val="000000"/>
        </w:rPr>
      </w:pPr>
      <w:bookmarkStart w:id="395" w:name="_heading=h.4ihyjke" w:colFirst="0" w:colLast="0"/>
      <w:bookmarkStart w:id="396" w:name="_Toc126943311"/>
      <w:bookmarkEnd w:id="395"/>
      <w:r w:rsidRPr="00F171A3">
        <w:t xml:space="preserve">Tabel </w:t>
      </w:r>
      <w:r w:rsidRPr="00F171A3">
        <w:fldChar w:fldCharType="begin"/>
      </w:r>
      <w:r w:rsidRPr="00F171A3">
        <w:instrText xml:space="preserve"> SEQ Tabel \* ARABIC </w:instrText>
      </w:r>
      <w:r w:rsidRPr="00F171A3">
        <w:fldChar w:fldCharType="separate"/>
      </w:r>
      <w:r w:rsidR="005A6DD8">
        <w:rPr>
          <w:noProof/>
        </w:rPr>
        <w:t>54</w:t>
      </w:r>
      <w:r w:rsidRPr="00F171A3">
        <w:fldChar w:fldCharType="end"/>
      </w:r>
      <w:r w:rsidRPr="00F171A3">
        <w:t xml:space="preserve"> </w:t>
      </w:r>
      <w:r w:rsidR="0006359E" w:rsidRPr="00F171A3">
        <w:t>Date evaluare implementare Legea nr. 52/2003</w:t>
      </w:r>
      <w:bookmarkEnd w:id="396"/>
    </w:p>
    <w:tbl>
      <w:tblPr>
        <w:tblStyle w:val="ListTable3-Accent21"/>
        <w:tblW w:w="94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664"/>
        <w:gridCol w:w="1522"/>
        <w:gridCol w:w="1260"/>
        <w:gridCol w:w="1576"/>
        <w:gridCol w:w="2124"/>
        <w:gridCol w:w="2290"/>
      </w:tblGrid>
      <w:tr w:rsidR="0006359E" w:rsidRPr="00F171A3" w14:paraId="05636A12" w14:textId="77777777" w:rsidTr="00F35DEE">
        <w:trPr>
          <w:cnfStyle w:val="100000000000" w:firstRow="1" w:lastRow="0" w:firstColumn="0" w:lastColumn="0" w:oddVBand="0" w:evenVBand="0" w:oddHBand="0" w:evenHBand="0" w:firstRowFirstColumn="0" w:firstRowLastColumn="0" w:lastRowFirstColumn="0" w:lastRowLastColumn="0"/>
          <w:trHeight w:val="668"/>
        </w:trPr>
        <w:tc>
          <w:tcPr>
            <w:tcW w:w="664" w:type="dxa"/>
            <w:vAlign w:val="center"/>
          </w:tcPr>
          <w:p w14:paraId="00AE2C8E" w14:textId="3BD4A70A" w:rsidR="0006359E" w:rsidRPr="00F171A3" w:rsidRDefault="00F35DEE" w:rsidP="00F35DEE">
            <w:pPr>
              <w:jc w:val="center"/>
              <w:rPr>
                <w:sz w:val="20"/>
                <w:szCs w:val="20"/>
              </w:rPr>
            </w:pPr>
            <w:r w:rsidRPr="00F171A3">
              <w:rPr>
                <w:sz w:val="20"/>
                <w:szCs w:val="20"/>
              </w:rPr>
              <w:t>AN</w:t>
            </w:r>
          </w:p>
        </w:tc>
        <w:tc>
          <w:tcPr>
            <w:tcW w:w="1522" w:type="dxa"/>
            <w:vAlign w:val="center"/>
          </w:tcPr>
          <w:p w14:paraId="34F0060C" w14:textId="21ADF490" w:rsidR="0006359E" w:rsidRPr="00F171A3" w:rsidRDefault="00F35DEE" w:rsidP="00F35DEE">
            <w:pPr>
              <w:jc w:val="center"/>
              <w:rPr>
                <w:sz w:val="20"/>
                <w:szCs w:val="20"/>
              </w:rPr>
            </w:pPr>
            <w:r w:rsidRPr="00F171A3">
              <w:rPr>
                <w:sz w:val="20"/>
                <w:szCs w:val="20"/>
              </w:rPr>
              <w:t>PROIECTE ACTE NORMATIVE ANUNȚATE PUBLIC</w:t>
            </w:r>
          </w:p>
        </w:tc>
        <w:tc>
          <w:tcPr>
            <w:tcW w:w="1260" w:type="dxa"/>
            <w:vAlign w:val="center"/>
          </w:tcPr>
          <w:p w14:paraId="7724D89E" w14:textId="7C1485AF" w:rsidR="0006359E" w:rsidRPr="00F171A3" w:rsidRDefault="00F35DEE" w:rsidP="00F35DEE">
            <w:pPr>
              <w:jc w:val="center"/>
              <w:rPr>
                <w:sz w:val="20"/>
                <w:szCs w:val="20"/>
              </w:rPr>
            </w:pPr>
            <w:r w:rsidRPr="00F171A3">
              <w:rPr>
                <w:sz w:val="20"/>
                <w:szCs w:val="20"/>
              </w:rPr>
              <w:t>PROIECTE ACTE NORMATIVE ANUNȚATE PUBLIC</w:t>
            </w:r>
          </w:p>
        </w:tc>
        <w:tc>
          <w:tcPr>
            <w:tcW w:w="1576" w:type="dxa"/>
            <w:vAlign w:val="center"/>
          </w:tcPr>
          <w:p w14:paraId="5B971E12" w14:textId="1719D275" w:rsidR="0006359E" w:rsidRPr="00F171A3" w:rsidRDefault="00F35DEE" w:rsidP="00F35DEE">
            <w:pPr>
              <w:jc w:val="center"/>
              <w:rPr>
                <w:sz w:val="20"/>
                <w:szCs w:val="20"/>
              </w:rPr>
            </w:pPr>
            <w:r w:rsidRPr="00F171A3">
              <w:rPr>
                <w:sz w:val="20"/>
                <w:szCs w:val="20"/>
              </w:rPr>
              <w:t>NUMĂR TOTAL RECOMANDĂRI PRIMITE</w:t>
            </w:r>
          </w:p>
        </w:tc>
        <w:tc>
          <w:tcPr>
            <w:tcW w:w="2124" w:type="dxa"/>
            <w:vAlign w:val="center"/>
          </w:tcPr>
          <w:p w14:paraId="4F6973BA" w14:textId="5605BFE9" w:rsidR="0006359E" w:rsidRPr="00F171A3" w:rsidRDefault="00F35DEE" w:rsidP="00F35DEE">
            <w:pPr>
              <w:jc w:val="center"/>
              <w:rPr>
                <w:sz w:val="20"/>
                <w:szCs w:val="20"/>
              </w:rPr>
            </w:pPr>
            <w:r w:rsidRPr="00F171A3">
              <w:rPr>
                <w:sz w:val="20"/>
                <w:szCs w:val="20"/>
              </w:rPr>
              <w:t>NUMĂR  RECOMANDĂRI INCLUSE ÎN PROIECTE</w:t>
            </w:r>
          </w:p>
        </w:tc>
        <w:tc>
          <w:tcPr>
            <w:tcW w:w="2290" w:type="dxa"/>
            <w:vAlign w:val="center"/>
          </w:tcPr>
          <w:p w14:paraId="1B898296" w14:textId="5CCFE044" w:rsidR="0006359E" w:rsidRPr="00F171A3" w:rsidRDefault="00F35DEE" w:rsidP="00F35DEE">
            <w:pPr>
              <w:jc w:val="center"/>
              <w:rPr>
                <w:sz w:val="20"/>
                <w:szCs w:val="20"/>
              </w:rPr>
            </w:pPr>
            <w:r w:rsidRPr="00F171A3">
              <w:rPr>
                <w:sz w:val="20"/>
                <w:szCs w:val="20"/>
              </w:rPr>
              <w:t>NUMĂR ÎNTÂLNIRI ORGANIZATE LA CEREREA ASOCIAȚILOR LEGAL CONSTITUITE</w:t>
            </w:r>
          </w:p>
        </w:tc>
      </w:tr>
      <w:tr w:rsidR="0006359E" w:rsidRPr="00F171A3" w14:paraId="61E9E656" w14:textId="77777777" w:rsidTr="00F35DEE">
        <w:trPr>
          <w:cnfStyle w:val="000000100000" w:firstRow="0" w:lastRow="0" w:firstColumn="0" w:lastColumn="0" w:oddVBand="0" w:evenVBand="0" w:oddHBand="1" w:evenHBand="0" w:firstRowFirstColumn="0" w:firstRowLastColumn="0" w:lastRowFirstColumn="0" w:lastRowLastColumn="0"/>
          <w:trHeight w:val="70"/>
        </w:trPr>
        <w:tc>
          <w:tcPr>
            <w:tcW w:w="664" w:type="dxa"/>
            <w:tcBorders>
              <w:top w:val="none" w:sz="0" w:space="0" w:color="auto"/>
              <w:bottom w:val="none" w:sz="0" w:space="0" w:color="auto"/>
            </w:tcBorders>
            <w:shd w:val="clear" w:color="auto" w:fill="F2F2F2" w:themeFill="background1" w:themeFillShade="F2"/>
          </w:tcPr>
          <w:p w14:paraId="51E8E325" w14:textId="77777777" w:rsidR="0006359E" w:rsidRPr="00F171A3" w:rsidRDefault="0006359E" w:rsidP="00F31936">
            <w:pPr>
              <w:tabs>
                <w:tab w:val="left" w:pos="2391"/>
              </w:tabs>
              <w:jc w:val="left"/>
              <w:rPr>
                <w:sz w:val="20"/>
                <w:szCs w:val="20"/>
              </w:rPr>
            </w:pPr>
            <w:r w:rsidRPr="00F171A3">
              <w:rPr>
                <w:sz w:val="20"/>
                <w:szCs w:val="20"/>
              </w:rPr>
              <w:t>2020</w:t>
            </w:r>
          </w:p>
        </w:tc>
        <w:tc>
          <w:tcPr>
            <w:tcW w:w="1522" w:type="dxa"/>
            <w:tcBorders>
              <w:top w:val="none" w:sz="0" w:space="0" w:color="auto"/>
              <w:bottom w:val="none" w:sz="0" w:space="0" w:color="auto"/>
            </w:tcBorders>
            <w:shd w:val="clear" w:color="auto" w:fill="F2F2F2" w:themeFill="background1" w:themeFillShade="F2"/>
          </w:tcPr>
          <w:p w14:paraId="6E5EDB87" w14:textId="77777777" w:rsidR="0006359E" w:rsidRPr="00F171A3" w:rsidRDefault="0006359E" w:rsidP="00F31936">
            <w:pPr>
              <w:tabs>
                <w:tab w:val="left" w:pos="2391"/>
              </w:tabs>
              <w:jc w:val="left"/>
              <w:rPr>
                <w:sz w:val="20"/>
                <w:szCs w:val="20"/>
              </w:rPr>
            </w:pPr>
            <w:r w:rsidRPr="00F171A3">
              <w:rPr>
                <w:sz w:val="20"/>
                <w:szCs w:val="20"/>
              </w:rPr>
              <w:t>293</w:t>
            </w:r>
          </w:p>
        </w:tc>
        <w:tc>
          <w:tcPr>
            <w:tcW w:w="1260" w:type="dxa"/>
            <w:tcBorders>
              <w:top w:val="none" w:sz="0" w:space="0" w:color="auto"/>
              <w:bottom w:val="none" w:sz="0" w:space="0" w:color="auto"/>
            </w:tcBorders>
            <w:shd w:val="clear" w:color="auto" w:fill="F2F2F2" w:themeFill="background1" w:themeFillShade="F2"/>
          </w:tcPr>
          <w:p w14:paraId="4818C91F" w14:textId="77777777" w:rsidR="0006359E" w:rsidRPr="00F171A3" w:rsidRDefault="0006359E" w:rsidP="00F31936">
            <w:pPr>
              <w:tabs>
                <w:tab w:val="left" w:pos="2391"/>
              </w:tabs>
              <w:jc w:val="left"/>
              <w:rPr>
                <w:sz w:val="20"/>
                <w:szCs w:val="20"/>
              </w:rPr>
            </w:pPr>
            <w:r w:rsidRPr="00F171A3">
              <w:rPr>
                <w:sz w:val="20"/>
                <w:szCs w:val="20"/>
              </w:rPr>
              <w:t>3</w:t>
            </w:r>
          </w:p>
        </w:tc>
        <w:tc>
          <w:tcPr>
            <w:tcW w:w="1576" w:type="dxa"/>
            <w:tcBorders>
              <w:top w:val="none" w:sz="0" w:space="0" w:color="auto"/>
              <w:bottom w:val="none" w:sz="0" w:space="0" w:color="auto"/>
            </w:tcBorders>
            <w:shd w:val="clear" w:color="auto" w:fill="F2F2F2" w:themeFill="background1" w:themeFillShade="F2"/>
          </w:tcPr>
          <w:p w14:paraId="79E8867F" w14:textId="77777777" w:rsidR="0006359E" w:rsidRPr="00F171A3" w:rsidRDefault="0006359E" w:rsidP="00F31936">
            <w:pPr>
              <w:tabs>
                <w:tab w:val="left" w:pos="2391"/>
              </w:tabs>
              <w:jc w:val="left"/>
              <w:rPr>
                <w:sz w:val="20"/>
                <w:szCs w:val="20"/>
              </w:rPr>
            </w:pPr>
            <w:r w:rsidRPr="00F171A3">
              <w:rPr>
                <w:sz w:val="20"/>
                <w:szCs w:val="20"/>
              </w:rPr>
              <w:t>126</w:t>
            </w:r>
          </w:p>
        </w:tc>
        <w:tc>
          <w:tcPr>
            <w:tcW w:w="2124" w:type="dxa"/>
            <w:tcBorders>
              <w:top w:val="none" w:sz="0" w:space="0" w:color="auto"/>
              <w:bottom w:val="none" w:sz="0" w:space="0" w:color="auto"/>
            </w:tcBorders>
            <w:shd w:val="clear" w:color="auto" w:fill="F2F2F2" w:themeFill="background1" w:themeFillShade="F2"/>
          </w:tcPr>
          <w:p w14:paraId="687CA6FA" w14:textId="77777777" w:rsidR="0006359E" w:rsidRPr="00F171A3" w:rsidRDefault="0006359E" w:rsidP="00F31936">
            <w:pPr>
              <w:tabs>
                <w:tab w:val="left" w:pos="2391"/>
              </w:tabs>
              <w:jc w:val="left"/>
              <w:rPr>
                <w:sz w:val="20"/>
                <w:szCs w:val="20"/>
              </w:rPr>
            </w:pPr>
            <w:r w:rsidRPr="00F171A3">
              <w:rPr>
                <w:sz w:val="20"/>
                <w:szCs w:val="20"/>
              </w:rPr>
              <w:t>0</w:t>
            </w:r>
          </w:p>
        </w:tc>
        <w:tc>
          <w:tcPr>
            <w:tcW w:w="2290" w:type="dxa"/>
            <w:tcBorders>
              <w:top w:val="none" w:sz="0" w:space="0" w:color="auto"/>
              <w:bottom w:val="none" w:sz="0" w:space="0" w:color="auto"/>
            </w:tcBorders>
            <w:shd w:val="clear" w:color="auto" w:fill="F2F2F2" w:themeFill="background1" w:themeFillShade="F2"/>
          </w:tcPr>
          <w:p w14:paraId="111EB3F1" w14:textId="77777777" w:rsidR="0006359E" w:rsidRPr="00F171A3" w:rsidRDefault="0006359E" w:rsidP="00F31936">
            <w:pPr>
              <w:tabs>
                <w:tab w:val="left" w:pos="2391"/>
              </w:tabs>
              <w:jc w:val="left"/>
              <w:rPr>
                <w:sz w:val="20"/>
                <w:szCs w:val="20"/>
              </w:rPr>
            </w:pPr>
            <w:r w:rsidRPr="00F171A3">
              <w:rPr>
                <w:sz w:val="20"/>
                <w:szCs w:val="20"/>
              </w:rPr>
              <w:t>4</w:t>
            </w:r>
          </w:p>
        </w:tc>
      </w:tr>
      <w:tr w:rsidR="0006359E" w:rsidRPr="00F171A3" w14:paraId="3247637F" w14:textId="77777777" w:rsidTr="00F35DEE">
        <w:trPr>
          <w:trHeight w:val="162"/>
        </w:trPr>
        <w:tc>
          <w:tcPr>
            <w:tcW w:w="664" w:type="dxa"/>
            <w:shd w:val="clear" w:color="auto" w:fill="F2F2F2" w:themeFill="background1" w:themeFillShade="F2"/>
          </w:tcPr>
          <w:p w14:paraId="65365D83" w14:textId="77777777" w:rsidR="0006359E" w:rsidRPr="00F171A3" w:rsidRDefault="0006359E" w:rsidP="00F31936">
            <w:pPr>
              <w:tabs>
                <w:tab w:val="left" w:pos="2391"/>
              </w:tabs>
              <w:jc w:val="left"/>
              <w:rPr>
                <w:sz w:val="20"/>
                <w:szCs w:val="20"/>
              </w:rPr>
            </w:pPr>
            <w:r w:rsidRPr="00F171A3">
              <w:rPr>
                <w:sz w:val="20"/>
                <w:szCs w:val="20"/>
              </w:rPr>
              <w:t>2019</w:t>
            </w:r>
          </w:p>
        </w:tc>
        <w:tc>
          <w:tcPr>
            <w:tcW w:w="1522" w:type="dxa"/>
            <w:shd w:val="clear" w:color="auto" w:fill="F2F2F2" w:themeFill="background1" w:themeFillShade="F2"/>
          </w:tcPr>
          <w:p w14:paraId="71AE567C" w14:textId="01962171" w:rsidR="0006359E" w:rsidRPr="00F171A3" w:rsidRDefault="00967597" w:rsidP="00F31936">
            <w:pPr>
              <w:tabs>
                <w:tab w:val="left" w:pos="2391"/>
              </w:tabs>
              <w:jc w:val="left"/>
              <w:rPr>
                <w:sz w:val="20"/>
                <w:szCs w:val="20"/>
              </w:rPr>
            </w:pPr>
            <w:r w:rsidRPr="00F171A3">
              <w:rPr>
                <w:sz w:val="20"/>
                <w:szCs w:val="20"/>
              </w:rPr>
              <w:t>-</w:t>
            </w:r>
          </w:p>
        </w:tc>
        <w:tc>
          <w:tcPr>
            <w:tcW w:w="1260" w:type="dxa"/>
            <w:shd w:val="clear" w:color="auto" w:fill="F2F2F2" w:themeFill="background1" w:themeFillShade="F2"/>
          </w:tcPr>
          <w:p w14:paraId="4838C277" w14:textId="778DAF09" w:rsidR="0006359E" w:rsidRPr="00F171A3" w:rsidRDefault="00967597" w:rsidP="00F31936">
            <w:pPr>
              <w:tabs>
                <w:tab w:val="left" w:pos="2391"/>
              </w:tabs>
              <w:jc w:val="left"/>
              <w:rPr>
                <w:sz w:val="20"/>
                <w:szCs w:val="20"/>
              </w:rPr>
            </w:pPr>
            <w:r w:rsidRPr="00F171A3">
              <w:rPr>
                <w:sz w:val="20"/>
                <w:szCs w:val="20"/>
              </w:rPr>
              <w:t>-</w:t>
            </w:r>
          </w:p>
        </w:tc>
        <w:tc>
          <w:tcPr>
            <w:tcW w:w="1576" w:type="dxa"/>
            <w:shd w:val="clear" w:color="auto" w:fill="F2F2F2" w:themeFill="background1" w:themeFillShade="F2"/>
          </w:tcPr>
          <w:p w14:paraId="44892CF7" w14:textId="1180D4F3" w:rsidR="0006359E" w:rsidRPr="00F171A3" w:rsidRDefault="00967597" w:rsidP="00F31936">
            <w:pPr>
              <w:tabs>
                <w:tab w:val="left" w:pos="2391"/>
              </w:tabs>
              <w:jc w:val="left"/>
              <w:rPr>
                <w:sz w:val="20"/>
                <w:szCs w:val="20"/>
              </w:rPr>
            </w:pPr>
            <w:r w:rsidRPr="00F171A3">
              <w:rPr>
                <w:sz w:val="20"/>
                <w:szCs w:val="20"/>
              </w:rPr>
              <w:t>-</w:t>
            </w:r>
          </w:p>
        </w:tc>
        <w:tc>
          <w:tcPr>
            <w:tcW w:w="2124" w:type="dxa"/>
            <w:shd w:val="clear" w:color="auto" w:fill="F2F2F2" w:themeFill="background1" w:themeFillShade="F2"/>
          </w:tcPr>
          <w:p w14:paraId="5D8EE27C" w14:textId="167623DB" w:rsidR="0006359E" w:rsidRPr="00F171A3" w:rsidRDefault="00967597" w:rsidP="00F31936">
            <w:pPr>
              <w:tabs>
                <w:tab w:val="left" w:pos="2391"/>
              </w:tabs>
              <w:jc w:val="left"/>
              <w:rPr>
                <w:sz w:val="20"/>
                <w:szCs w:val="20"/>
              </w:rPr>
            </w:pPr>
            <w:r w:rsidRPr="00F171A3">
              <w:rPr>
                <w:sz w:val="20"/>
                <w:szCs w:val="20"/>
              </w:rPr>
              <w:t>-</w:t>
            </w:r>
          </w:p>
        </w:tc>
        <w:tc>
          <w:tcPr>
            <w:tcW w:w="2290" w:type="dxa"/>
            <w:shd w:val="clear" w:color="auto" w:fill="F2F2F2" w:themeFill="background1" w:themeFillShade="F2"/>
          </w:tcPr>
          <w:p w14:paraId="4D939852" w14:textId="4D4A372A" w:rsidR="0006359E" w:rsidRPr="00F171A3" w:rsidRDefault="00967597" w:rsidP="00F31936">
            <w:pPr>
              <w:tabs>
                <w:tab w:val="left" w:pos="2391"/>
              </w:tabs>
              <w:jc w:val="left"/>
              <w:rPr>
                <w:sz w:val="20"/>
                <w:szCs w:val="20"/>
              </w:rPr>
            </w:pPr>
            <w:r w:rsidRPr="00F171A3">
              <w:rPr>
                <w:sz w:val="20"/>
                <w:szCs w:val="20"/>
              </w:rPr>
              <w:t>-</w:t>
            </w:r>
          </w:p>
        </w:tc>
      </w:tr>
      <w:tr w:rsidR="0006359E" w:rsidRPr="00F171A3" w14:paraId="4BD0AFEE" w14:textId="77777777" w:rsidTr="00F35DEE">
        <w:trPr>
          <w:cnfStyle w:val="000000100000" w:firstRow="0" w:lastRow="0" w:firstColumn="0" w:lastColumn="0" w:oddVBand="0" w:evenVBand="0" w:oddHBand="1" w:evenHBand="0" w:firstRowFirstColumn="0" w:firstRowLastColumn="0" w:lastRowFirstColumn="0" w:lastRowLastColumn="0"/>
          <w:trHeight w:val="70"/>
        </w:trPr>
        <w:tc>
          <w:tcPr>
            <w:tcW w:w="664" w:type="dxa"/>
            <w:tcBorders>
              <w:top w:val="none" w:sz="0" w:space="0" w:color="auto"/>
              <w:bottom w:val="none" w:sz="0" w:space="0" w:color="auto"/>
            </w:tcBorders>
            <w:shd w:val="clear" w:color="auto" w:fill="F2F2F2" w:themeFill="background1" w:themeFillShade="F2"/>
          </w:tcPr>
          <w:p w14:paraId="77C0D394" w14:textId="77777777" w:rsidR="0006359E" w:rsidRPr="00F171A3" w:rsidRDefault="0006359E" w:rsidP="00F31936">
            <w:pPr>
              <w:tabs>
                <w:tab w:val="left" w:pos="2391"/>
              </w:tabs>
              <w:jc w:val="left"/>
              <w:rPr>
                <w:sz w:val="20"/>
                <w:szCs w:val="20"/>
              </w:rPr>
            </w:pPr>
            <w:r w:rsidRPr="00F171A3">
              <w:rPr>
                <w:sz w:val="20"/>
                <w:szCs w:val="20"/>
              </w:rPr>
              <w:t>2018</w:t>
            </w:r>
          </w:p>
        </w:tc>
        <w:tc>
          <w:tcPr>
            <w:tcW w:w="1522" w:type="dxa"/>
            <w:tcBorders>
              <w:top w:val="none" w:sz="0" w:space="0" w:color="auto"/>
              <w:bottom w:val="none" w:sz="0" w:space="0" w:color="auto"/>
            </w:tcBorders>
            <w:shd w:val="clear" w:color="auto" w:fill="F2F2F2" w:themeFill="background1" w:themeFillShade="F2"/>
          </w:tcPr>
          <w:p w14:paraId="3B81C9CE" w14:textId="77777777" w:rsidR="0006359E" w:rsidRPr="00F171A3" w:rsidRDefault="0006359E" w:rsidP="00F31936">
            <w:pPr>
              <w:tabs>
                <w:tab w:val="left" w:pos="2391"/>
              </w:tabs>
              <w:jc w:val="left"/>
              <w:rPr>
                <w:sz w:val="20"/>
                <w:szCs w:val="20"/>
              </w:rPr>
            </w:pPr>
            <w:r w:rsidRPr="00F171A3">
              <w:rPr>
                <w:sz w:val="20"/>
                <w:szCs w:val="20"/>
              </w:rPr>
              <w:t>407</w:t>
            </w:r>
          </w:p>
        </w:tc>
        <w:tc>
          <w:tcPr>
            <w:tcW w:w="1260" w:type="dxa"/>
            <w:tcBorders>
              <w:top w:val="none" w:sz="0" w:space="0" w:color="auto"/>
              <w:bottom w:val="none" w:sz="0" w:space="0" w:color="auto"/>
            </w:tcBorders>
            <w:shd w:val="clear" w:color="auto" w:fill="F2F2F2" w:themeFill="background1" w:themeFillShade="F2"/>
          </w:tcPr>
          <w:p w14:paraId="7D27B32E" w14:textId="77777777" w:rsidR="0006359E" w:rsidRPr="00F171A3" w:rsidRDefault="0006359E" w:rsidP="00F31936">
            <w:pPr>
              <w:tabs>
                <w:tab w:val="left" w:pos="2391"/>
              </w:tabs>
              <w:jc w:val="left"/>
              <w:rPr>
                <w:sz w:val="20"/>
                <w:szCs w:val="20"/>
              </w:rPr>
            </w:pPr>
            <w:r w:rsidRPr="00F171A3">
              <w:rPr>
                <w:sz w:val="20"/>
                <w:szCs w:val="20"/>
              </w:rPr>
              <w:t>407</w:t>
            </w:r>
          </w:p>
        </w:tc>
        <w:tc>
          <w:tcPr>
            <w:tcW w:w="1576" w:type="dxa"/>
            <w:tcBorders>
              <w:top w:val="none" w:sz="0" w:space="0" w:color="auto"/>
              <w:bottom w:val="none" w:sz="0" w:space="0" w:color="auto"/>
            </w:tcBorders>
            <w:shd w:val="clear" w:color="auto" w:fill="F2F2F2" w:themeFill="background1" w:themeFillShade="F2"/>
          </w:tcPr>
          <w:p w14:paraId="7711F99F" w14:textId="77777777" w:rsidR="0006359E" w:rsidRPr="00F171A3" w:rsidRDefault="0006359E" w:rsidP="00F31936">
            <w:pPr>
              <w:tabs>
                <w:tab w:val="left" w:pos="2391"/>
              </w:tabs>
              <w:jc w:val="left"/>
              <w:rPr>
                <w:sz w:val="20"/>
                <w:szCs w:val="20"/>
              </w:rPr>
            </w:pPr>
            <w:r w:rsidRPr="00F171A3">
              <w:rPr>
                <w:sz w:val="20"/>
                <w:szCs w:val="20"/>
              </w:rPr>
              <w:t>252</w:t>
            </w:r>
          </w:p>
        </w:tc>
        <w:tc>
          <w:tcPr>
            <w:tcW w:w="2124" w:type="dxa"/>
            <w:tcBorders>
              <w:top w:val="none" w:sz="0" w:space="0" w:color="auto"/>
              <w:bottom w:val="none" w:sz="0" w:space="0" w:color="auto"/>
            </w:tcBorders>
            <w:shd w:val="clear" w:color="auto" w:fill="F2F2F2" w:themeFill="background1" w:themeFillShade="F2"/>
          </w:tcPr>
          <w:p w14:paraId="07A24A2B" w14:textId="77777777" w:rsidR="0006359E" w:rsidRPr="00F171A3" w:rsidRDefault="0006359E" w:rsidP="00F31936">
            <w:pPr>
              <w:tabs>
                <w:tab w:val="left" w:pos="2391"/>
              </w:tabs>
              <w:jc w:val="left"/>
              <w:rPr>
                <w:sz w:val="20"/>
                <w:szCs w:val="20"/>
              </w:rPr>
            </w:pPr>
            <w:r w:rsidRPr="00F171A3">
              <w:rPr>
                <w:sz w:val="20"/>
                <w:szCs w:val="20"/>
              </w:rPr>
              <w:t>0</w:t>
            </w:r>
          </w:p>
        </w:tc>
        <w:tc>
          <w:tcPr>
            <w:tcW w:w="2290" w:type="dxa"/>
            <w:tcBorders>
              <w:top w:val="none" w:sz="0" w:space="0" w:color="auto"/>
              <w:bottom w:val="none" w:sz="0" w:space="0" w:color="auto"/>
            </w:tcBorders>
            <w:shd w:val="clear" w:color="auto" w:fill="F2F2F2" w:themeFill="background1" w:themeFillShade="F2"/>
          </w:tcPr>
          <w:p w14:paraId="7803FB68" w14:textId="77777777" w:rsidR="0006359E" w:rsidRPr="00F171A3" w:rsidRDefault="0006359E" w:rsidP="00F31936">
            <w:pPr>
              <w:tabs>
                <w:tab w:val="left" w:pos="2391"/>
              </w:tabs>
              <w:jc w:val="left"/>
              <w:rPr>
                <w:sz w:val="20"/>
                <w:szCs w:val="20"/>
              </w:rPr>
            </w:pPr>
            <w:r w:rsidRPr="00F171A3">
              <w:rPr>
                <w:sz w:val="20"/>
                <w:szCs w:val="20"/>
              </w:rPr>
              <w:t>2</w:t>
            </w:r>
          </w:p>
        </w:tc>
      </w:tr>
      <w:tr w:rsidR="0006359E" w:rsidRPr="00F171A3" w14:paraId="6ACEE1FF" w14:textId="77777777" w:rsidTr="00F35DEE">
        <w:trPr>
          <w:trHeight w:val="131"/>
        </w:trPr>
        <w:tc>
          <w:tcPr>
            <w:tcW w:w="664" w:type="dxa"/>
            <w:shd w:val="clear" w:color="auto" w:fill="F2F2F2" w:themeFill="background1" w:themeFillShade="F2"/>
          </w:tcPr>
          <w:p w14:paraId="1FFA0DB6" w14:textId="77777777" w:rsidR="0006359E" w:rsidRPr="00F171A3" w:rsidRDefault="0006359E" w:rsidP="00F31936">
            <w:pPr>
              <w:tabs>
                <w:tab w:val="left" w:pos="2391"/>
              </w:tabs>
              <w:jc w:val="left"/>
              <w:rPr>
                <w:sz w:val="20"/>
                <w:szCs w:val="20"/>
              </w:rPr>
            </w:pPr>
            <w:r w:rsidRPr="00F171A3">
              <w:rPr>
                <w:sz w:val="20"/>
                <w:szCs w:val="20"/>
              </w:rPr>
              <w:t>2017</w:t>
            </w:r>
          </w:p>
        </w:tc>
        <w:tc>
          <w:tcPr>
            <w:tcW w:w="1522" w:type="dxa"/>
            <w:shd w:val="clear" w:color="auto" w:fill="F2F2F2" w:themeFill="background1" w:themeFillShade="F2"/>
          </w:tcPr>
          <w:p w14:paraId="56ECC732" w14:textId="77777777" w:rsidR="0006359E" w:rsidRPr="00F171A3" w:rsidRDefault="0006359E" w:rsidP="00F31936">
            <w:pPr>
              <w:tabs>
                <w:tab w:val="left" w:pos="2391"/>
              </w:tabs>
              <w:jc w:val="left"/>
              <w:rPr>
                <w:sz w:val="20"/>
                <w:szCs w:val="20"/>
              </w:rPr>
            </w:pPr>
            <w:r w:rsidRPr="00F171A3">
              <w:rPr>
                <w:sz w:val="20"/>
                <w:szCs w:val="20"/>
              </w:rPr>
              <w:t>259</w:t>
            </w:r>
          </w:p>
        </w:tc>
        <w:tc>
          <w:tcPr>
            <w:tcW w:w="1260" w:type="dxa"/>
            <w:shd w:val="clear" w:color="auto" w:fill="F2F2F2" w:themeFill="background1" w:themeFillShade="F2"/>
          </w:tcPr>
          <w:p w14:paraId="54A2BF53" w14:textId="77777777" w:rsidR="0006359E" w:rsidRPr="00F171A3" w:rsidRDefault="0006359E" w:rsidP="00F31936">
            <w:pPr>
              <w:tabs>
                <w:tab w:val="left" w:pos="2391"/>
              </w:tabs>
              <w:jc w:val="left"/>
              <w:rPr>
                <w:sz w:val="20"/>
                <w:szCs w:val="20"/>
              </w:rPr>
            </w:pPr>
            <w:r w:rsidRPr="00F171A3">
              <w:rPr>
                <w:sz w:val="20"/>
                <w:szCs w:val="20"/>
              </w:rPr>
              <w:t>259</w:t>
            </w:r>
          </w:p>
        </w:tc>
        <w:tc>
          <w:tcPr>
            <w:tcW w:w="1576" w:type="dxa"/>
            <w:shd w:val="clear" w:color="auto" w:fill="F2F2F2" w:themeFill="background1" w:themeFillShade="F2"/>
          </w:tcPr>
          <w:p w14:paraId="0292BE27" w14:textId="77777777" w:rsidR="0006359E" w:rsidRPr="00F171A3" w:rsidRDefault="0006359E" w:rsidP="00F31936">
            <w:pPr>
              <w:tabs>
                <w:tab w:val="left" w:pos="2391"/>
              </w:tabs>
              <w:jc w:val="left"/>
              <w:rPr>
                <w:sz w:val="20"/>
                <w:szCs w:val="20"/>
              </w:rPr>
            </w:pPr>
            <w:r w:rsidRPr="00F171A3">
              <w:rPr>
                <w:sz w:val="20"/>
                <w:szCs w:val="20"/>
              </w:rPr>
              <w:t>5</w:t>
            </w:r>
          </w:p>
        </w:tc>
        <w:tc>
          <w:tcPr>
            <w:tcW w:w="2124" w:type="dxa"/>
            <w:shd w:val="clear" w:color="auto" w:fill="F2F2F2" w:themeFill="background1" w:themeFillShade="F2"/>
          </w:tcPr>
          <w:p w14:paraId="5295A054" w14:textId="77777777" w:rsidR="0006359E" w:rsidRPr="00F171A3" w:rsidRDefault="0006359E" w:rsidP="00F31936">
            <w:pPr>
              <w:tabs>
                <w:tab w:val="left" w:pos="2391"/>
              </w:tabs>
              <w:jc w:val="left"/>
              <w:rPr>
                <w:sz w:val="20"/>
                <w:szCs w:val="20"/>
              </w:rPr>
            </w:pPr>
            <w:r w:rsidRPr="00F171A3">
              <w:rPr>
                <w:sz w:val="20"/>
                <w:szCs w:val="20"/>
              </w:rPr>
              <w:t>0</w:t>
            </w:r>
          </w:p>
        </w:tc>
        <w:tc>
          <w:tcPr>
            <w:tcW w:w="2290" w:type="dxa"/>
            <w:shd w:val="clear" w:color="auto" w:fill="F2F2F2" w:themeFill="background1" w:themeFillShade="F2"/>
          </w:tcPr>
          <w:p w14:paraId="51349F44" w14:textId="77777777" w:rsidR="0006359E" w:rsidRPr="00F171A3" w:rsidRDefault="0006359E" w:rsidP="00F31936">
            <w:pPr>
              <w:tabs>
                <w:tab w:val="left" w:pos="2391"/>
              </w:tabs>
              <w:jc w:val="left"/>
              <w:rPr>
                <w:sz w:val="20"/>
                <w:szCs w:val="20"/>
              </w:rPr>
            </w:pPr>
            <w:r w:rsidRPr="00F171A3">
              <w:rPr>
                <w:sz w:val="20"/>
                <w:szCs w:val="20"/>
              </w:rPr>
              <w:t>2</w:t>
            </w:r>
          </w:p>
        </w:tc>
      </w:tr>
    </w:tbl>
    <w:p w14:paraId="1DC0DBDD" w14:textId="445FBFDC" w:rsidR="0006359E" w:rsidRPr="00F171A3" w:rsidRDefault="0006359E" w:rsidP="002278A7">
      <w:pPr>
        <w:jc w:val="right"/>
        <w:rPr>
          <w:color w:val="BFBFBF" w:themeColor="background1" w:themeShade="BF"/>
        </w:rPr>
      </w:pPr>
      <w:r w:rsidRPr="00F171A3">
        <w:rPr>
          <w:color w:val="BFBFBF" w:themeColor="background1" w:themeShade="BF"/>
        </w:rPr>
        <w:t>Sursa: Prelucrare proprie pe baza datelor publice transmise de Primăria Sector</w:t>
      </w:r>
      <w:r w:rsidR="00135D70" w:rsidRPr="00F171A3">
        <w:rPr>
          <w:color w:val="BFBFBF" w:themeColor="background1" w:themeShade="BF"/>
        </w:rPr>
        <w:t>ului</w:t>
      </w:r>
      <w:r w:rsidRPr="00F171A3">
        <w:rPr>
          <w:color w:val="BFBFBF" w:themeColor="background1" w:themeShade="BF"/>
        </w:rPr>
        <w:t xml:space="preserve"> 2 </w:t>
      </w:r>
    </w:p>
    <w:p w14:paraId="0ABF7A3D" w14:textId="77777777" w:rsidR="0006359E" w:rsidRPr="00F171A3" w:rsidRDefault="0006359E" w:rsidP="0006359E">
      <w:pPr>
        <w:rPr>
          <w:rFonts w:ascii="Times New Roman" w:eastAsia="Times New Roman" w:hAnsi="Times New Roman" w:cs="Times New Roman"/>
        </w:rPr>
      </w:pPr>
      <w:r w:rsidRPr="00F171A3">
        <w:rPr>
          <w:rFonts w:eastAsia="Times New Roman"/>
          <w:color w:val="000000"/>
        </w:rPr>
        <w:t>În ceea ce ține de autoevaluarea cunoștințelor proprii privind reglementările naționale privind datele publice, 50% dintre respondenți consideră că au un nivel mare de cunoștințe. Rezultatele detaliate sunt următoarele:</w:t>
      </w:r>
    </w:p>
    <w:p w14:paraId="6EC13E8A"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50,7% dintre respondenți dețin un nivel mare de cunoștințe privind reglementările raportate la transparența datelor publice și a datelor publice deschise;</w:t>
      </w:r>
    </w:p>
    <w:p w14:paraId="06891FCF"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17,0% dintre respondenți dețin un nivel foarte mare de cunoștințe privind reglementările raportate la transparența datelor publice și a datelor publice deschise;</w:t>
      </w:r>
    </w:p>
    <w:p w14:paraId="5595FC6C"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15,2% dintre respondenți dețin un nivel mic de cunoștințe privind reglementările raportate la transparența datelor publice și a datelor publice deschise;</w:t>
      </w:r>
    </w:p>
    <w:p w14:paraId="7601AC39"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12,1% preferă să nu ofere un răspuns în cadrul prezentei întrebări; </w:t>
      </w:r>
    </w:p>
    <w:p w14:paraId="3939039D"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4,5% dintre respondenți dețin un nivel foarte mic de cunoștințe privind reglementările raportate la transparența datelor publice și a datelor publice deschise;</w:t>
      </w:r>
    </w:p>
    <w:p w14:paraId="5B4C7015" w14:textId="77777777" w:rsidR="0006359E" w:rsidRPr="00F171A3" w:rsidRDefault="0006359E">
      <w:pPr>
        <w:numPr>
          <w:ilvl w:val="0"/>
          <w:numId w:val="85"/>
        </w:numPr>
        <w:pBdr>
          <w:top w:val="nil"/>
          <w:left w:val="nil"/>
          <w:bottom w:val="nil"/>
          <w:right w:val="nil"/>
          <w:between w:val="nil"/>
        </w:pBdr>
        <w:rPr>
          <w:color w:val="134753"/>
        </w:rPr>
      </w:pPr>
      <w:r w:rsidRPr="00F171A3">
        <w:rPr>
          <w:color w:val="134753"/>
        </w:rPr>
        <w:t>0,5% consideră că nu dețin cunoștințe raportate la astfel de reglementări. </w:t>
      </w:r>
    </w:p>
    <w:p w14:paraId="1E74AB80" w14:textId="77777777" w:rsidR="0006359E" w:rsidRPr="00F171A3" w:rsidRDefault="0006359E" w:rsidP="0006359E">
      <w:pPr>
        <w:pStyle w:val="ListParagraph"/>
        <w:spacing w:after="60"/>
        <w:ind w:left="1080"/>
        <w:textAlignment w:val="baseline"/>
        <w:rPr>
          <w:rFonts w:eastAsia="Times New Roman"/>
          <w:color w:val="134753"/>
          <w:sz w:val="24"/>
          <w:szCs w:val="24"/>
        </w:rPr>
      </w:pPr>
    </w:p>
    <w:p w14:paraId="7CE4071E" w14:textId="77777777" w:rsidR="0006359E" w:rsidRPr="00F171A3" w:rsidRDefault="0006359E" w:rsidP="0006359E">
      <w:pPr>
        <w:pStyle w:val="ListParagraph"/>
        <w:spacing w:after="60"/>
        <w:ind w:left="1080"/>
        <w:textAlignment w:val="baseline"/>
        <w:rPr>
          <w:rFonts w:eastAsia="Times New Roman"/>
          <w:color w:val="134753"/>
          <w:sz w:val="24"/>
          <w:szCs w:val="24"/>
        </w:rPr>
      </w:pPr>
    </w:p>
    <w:p w14:paraId="41D5E2DA" w14:textId="6D70EADB" w:rsidR="0006359E" w:rsidRPr="00F171A3" w:rsidRDefault="0006359E" w:rsidP="0006359E">
      <w:pPr>
        <w:spacing w:before="240"/>
      </w:pPr>
      <w:r w:rsidRPr="00F171A3">
        <w:t>La nivelul Primăriei Sector</w:t>
      </w:r>
      <w:r w:rsidR="00135D70" w:rsidRPr="00F171A3">
        <w:t>ului</w:t>
      </w:r>
      <w:r w:rsidRPr="00F171A3">
        <w:t xml:space="preserve"> 2 este nevoie de îmbunătățirea proceselor de consultare cu cetățenii și adoptarea de noi mecanisme care să susțină acest obiectiv cheie al administrației. În perioada analizată, 2017-2021, cetățenii au avut un rol limitat în creionarea proceselor de decizie la nivel local, iar implicarea lor în buna guvernare a comunității a fost limitată. Este nevoie de asumarea unui plan de acțiuni pe termen mediu și lung care să îmbunătățească capacitatea administrației de a implica cetățenii în toate proiectele de decizie la nivel local și a crește transparența. </w:t>
      </w:r>
    </w:p>
    <w:p w14:paraId="456CAD45" w14:textId="77777777" w:rsidR="0006359E" w:rsidRPr="00F171A3" w:rsidRDefault="0006359E" w:rsidP="0006359E">
      <w:pPr>
        <w:spacing w:before="240"/>
      </w:pPr>
      <w:r w:rsidRPr="00F171A3">
        <w:t>Includerea cetățenilor, grupurilor civice, ONG-urilor, etc. în viața comunității nu trebuie să se desfășoare doar în cadrul unor evenimente singulare tip finanțări nerambursabile - Legea nr. 350/2005 privind regimul finanţărilor nerambursabile din fonduri publice alocate pentru activităţi nonprofit de interes general sau Bugetare participativă. Este nevoie de o deschidere a instituției către toți cei interesați să ajute la buna guvernare la nivel local și de regândit mecanismele de consultare publică având în centrul creșterea calității acestora.</w:t>
      </w:r>
    </w:p>
    <w:p w14:paraId="7540155E" w14:textId="77777777" w:rsidR="0006359E" w:rsidRPr="00F171A3" w:rsidRDefault="0006359E" w:rsidP="0006359E">
      <w:pPr>
        <w:spacing w:before="240"/>
      </w:pPr>
      <w:r w:rsidRPr="00F171A3">
        <w:t xml:space="preserve">În ceea ce privește procesul derulat în baza Legii 350/2005, bugetul dedicat acestuia a crescut în anul 2021 la 3,75 milioane RON, iar numărul de proiecte depus a fost de 54. Două axe (Mediu și Social) au fost sub contractate, cu numai 2, respectiv 3 propuneri, iar pentru domeniul Tineret, Educație și Cultură au fost depuse 9, 17, respectiv 23 de aplicații.  </w:t>
      </w:r>
      <w:r w:rsidRPr="00F171A3">
        <w:rPr>
          <w:szCs w:val="20"/>
        </w:rPr>
        <w:t>20 aplicații au fost declarate câștigătoare.</w:t>
      </w:r>
    </w:p>
    <w:tbl>
      <w:tblPr>
        <w:tblStyle w:val="ListTable3-Accent21"/>
        <w:tblW w:w="953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20" w:firstRow="1" w:lastRow="0" w:firstColumn="0" w:lastColumn="0" w:noHBand="0" w:noVBand="1"/>
      </w:tblPr>
      <w:tblGrid>
        <w:gridCol w:w="1620"/>
        <w:gridCol w:w="1260"/>
        <w:gridCol w:w="1260"/>
        <w:gridCol w:w="1260"/>
        <w:gridCol w:w="1440"/>
        <w:gridCol w:w="1350"/>
        <w:gridCol w:w="1340"/>
      </w:tblGrid>
      <w:tr w:rsidR="0006359E" w:rsidRPr="00F171A3" w14:paraId="0099E561" w14:textId="77777777" w:rsidTr="00F35DEE">
        <w:trPr>
          <w:cnfStyle w:val="100000000000" w:firstRow="1" w:lastRow="0" w:firstColumn="0" w:lastColumn="0" w:oddVBand="0" w:evenVBand="0" w:oddHBand="0" w:evenHBand="0" w:firstRowFirstColumn="0" w:firstRowLastColumn="0" w:lastRowFirstColumn="0" w:lastRowLastColumn="0"/>
          <w:trHeight w:val="668"/>
        </w:trPr>
        <w:tc>
          <w:tcPr>
            <w:tcW w:w="9530" w:type="dxa"/>
            <w:gridSpan w:val="7"/>
            <w:vAlign w:val="center"/>
          </w:tcPr>
          <w:p w14:paraId="3680A72B" w14:textId="69B1EA7E" w:rsidR="0006359E" w:rsidRPr="00F171A3" w:rsidRDefault="00F35DEE" w:rsidP="00F35DEE">
            <w:pPr>
              <w:jc w:val="center"/>
              <w:rPr>
                <w:sz w:val="20"/>
                <w:szCs w:val="20"/>
              </w:rPr>
            </w:pPr>
            <w:r w:rsidRPr="00F171A3">
              <w:rPr>
                <w:sz w:val="20"/>
                <w:szCs w:val="20"/>
              </w:rPr>
              <w:t>REGIMUL FINANȚĂRILOR NERAMBURSABILE DIN FONDURILE BUGETULUI LOCAL AL SECTORULUI 2 CONFORM LEGII NR. 350/2005</w:t>
            </w:r>
          </w:p>
        </w:tc>
      </w:tr>
      <w:tr w:rsidR="0006359E" w:rsidRPr="00F171A3" w14:paraId="69BD348D" w14:textId="77777777" w:rsidTr="00F35DEE">
        <w:trPr>
          <w:cnfStyle w:val="000000100000" w:firstRow="0" w:lastRow="0" w:firstColumn="0" w:lastColumn="0" w:oddVBand="0" w:evenVBand="0" w:oddHBand="1" w:evenHBand="0" w:firstRowFirstColumn="0" w:firstRowLastColumn="0" w:lastRowFirstColumn="0" w:lastRowLastColumn="0"/>
          <w:trHeight w:val="668"/>
        </w:trPr>
        <w:tc>
          <w:tcPr>
            <w:tcW w:w="1620" w:type="dxa"/>
            <w:tcBorders>
              <w:top w:val="none" w:sz="0" w:space="0" w:color="auto"/>
              <w:bottom w:val="none" w:sz="0" w:space="0" w:color="auto"/>
            </w:tcBorders>
            <w:shd w:val="clear" w:color="auto" w:fill="F2F2F2" w:themeFill="background1" w:themeFillShade="F2"/>
          </w:tcPr>
          <w:p w14:paraId="2B017C07" w14:textId="77777777" w:rsidR="0006359E" w:rsidRPr="00F171A3" w:rsidRDefault="0006359E" w:rsidP="00F31936">
            <w:pPr>
              <w:jc w:val="center"/>
              <w:rPr>
                <w:sz w:val="20"/>
                <w:szCs w:val="20"/>
              </w:rPr>
            </w:pPr>
          </w:p>
        </w:tc>
        <w:tc>
          <w:tcPr>
            <w:tcW w:w="1260" w:type="dxa"/>
            <w:tcBorders>
              <w:top w:val="none" w:sz="0" w:space="0" w:color="auto"/>
              <w:bottom w:val="none" w:sz="0" w:space="0" w:color="auto"/>
            </w:tcBorders>
            <w:shd w:val="clear" w:color="auto" w:fill="F2F2F2" w:themeFill="background1" w:themeFillShade="F2"/>
          </w:tcPr>
          <w:p w14:paraId="72FFDE73" w14:textId="77777777" w:rsidR="0006359E" w:rsidRPr="00F171A3" w:rsidRDefault="0006359E" w:rsidP="00F31936">
            <w:pPr>
              <w:jc w:val="center"/>
              <w:rPr>
                <w:rFonts w:ascii="Calibri" w:eastAsia="Calibri" w:hAnsi="Calibri" w:cs="Calibri"/>
                <w:color w:val="000000"/>
                <w:sz w:val="20"/>
                <w:szCs w:val="20"/>
              </w:rPr>
            </w:pPr>
            <w:r w:rsidRPr="00F171A3">
              <w:rPr>
                <w:color w:val="000000"/>
                <w:sz w:val="20"/>
                <w:szCs w:val="20"/>
              </w:rPr>
              <w:t>2017</w:t>
            </w:r>
          </w:p>
        </w:tc>
        <w:tc>
          <w:tcPr>
            <w:tcW w:w="1260" w:type="dxa"/>
            <w:tcBorders>
              <w:top w:val="none" w:sz="0" w:space="0" w:color="auto"/>
              <w:bottom w:val="none" w:sz="0" w:space="0" w:color="auto"/>
            </w:tcBorders>
            <w:shd w:val="clear" w:color="auto" w:fill="F2F2F2" w:themeFill="background1" w:themeFillShade="F2"/>
          </w:tcPr>
          <w:p w14:paraId="5D05D92D" w14:textId="77777777" w:rsidR="0006359E" w:rsidRPr="00F171A3" w:rsidRDefault="0006359E" w:rsidP="00F31936">
            <w:pPr>
              <w:jc w:val="center"/>
              <w:rPr>
                <w:sz w:val="20"/>
                <w:szCs w:val="20"/>
              </w:rPr>
            </w:pPr>
            <w:r w:rsidRPr="00F171A3">
              <w:rPr>
                <w:color w:val="000000"/>
                <w:sz w:val="20"/>
                <w:szCs w:val="20"/>
              </w:rPr>
              <w:t>2018</w:t>
            </w:r>
          </w:p>
        </w:tc>
        <w:tc>
          <w:tcPr>
            <w:tcW w:w="1260" w:type="dxa"/>
            <w:tcBorders>
              <w:top w:val="none" w:sz="0" w:space="0" w:color="auto"/>
              <w:bottom w:val="none" w:sz="0" w:space="0" w:color="auto"/>
            </w:tcBorders>
            <w:shd w:val="clear" w:color="auto" w:fill="F2F2F2" w:themeFill="background1" w:themeFillShade="F2"/>
          </w:tcPr>
          <w:p w14:paraId="44696B17" w14:textId="77777777" w:rsidR="0006359E" w:rsidRPr="00F171A3" w:rsidRDefault="0006359E" w:rsidP="00F31936">
            <w:pPr>
              <w:jc w:val="center"/>
              <w:rPr>
                <w:sz w:val="20"/>
                <w:szCs w:val="20"/>
              </w:rPr>
            </w:pPr>
            <w:r w:rsidRPr="00F171A3">
              <w:rPr>
                <w:color w:val="000000"/>
                <w:sz w:val="20"/>
                <w:szCs w:val="20"/>
              </w:rPr>
              <w:t>2019</w:t>
            </w:r>
          </w:p>
        </w:tc>
        <w:tc>
          <w:tcPr>
            <w:tcW w:w="1440" w:type="dxa"/>
            <w:tcBorders>
              <w:top w:val="none" w:sz="0" w:space="0" w:color="auto"/>
              <w:bottom w:val="none" w:sz="0" w:space="0" w:color="auto"/>
            </w:tcBorders>
            <w:shd w:val="clear" w:color="auto" w:fill="F2F2F2" w:themeFill="background1" w:themeFillShade="F2"/>
          </w:tcPr>
          <w:p w14:paraId="1B3E1FBC" w14:textId="77777777" w:rsidR="0006359E" w:rsidRPr="00F171A3" w:rsidRDefault="0006359E" w:rsidP="00F31936">
            <w:pPr>
              <w:jc w:val="center"/>
              <w:rPr>
                <w:sz w:val="20"/>
                <w:szCs w:val="20"/>
              </w:rPr>
            </w:pPr>
            <w:r w:rsidRPr="00F171A3">
              <w:rPr>
                <w:color w:val="000000"/>
                <w:sz w:val="20"/>
                <w:szCs w:val="20"/>
              </w:rPr>
              <w:t>2020*</w:t>
            </w:r>
          </w:p>
        </w:tc>
        <w:tc>
          <w:tcPr>
            <w:tcW w:w="1350" w:type="dxa"/>
            <w:tcBorders>
              <w:top w:val="none" w:sz="0" w:space="0" w:color="auto"/>
              <w:bottom w:val="none" w:sz="0" w:space="0" w:color="auto"/>
            </w:tcBorders>
            <w:shd w:val="clear" w:color="auto" w:fill="F2F2F2" w:themeFill="background1" w:themeFillShade="F2"/>
          </w:tcPr>
          <w:p w14:paraId="395422A0" w14:textId="77777777" w:rsidR="0006359E" w:rsidRPr="00F171A3" w:rsidRDefault="0006359E" w:rsidP="00F31936">
            <w:pPr>
              <w:jc w:val="center"/>
              <w:rPr>
                <w:sz w:val="20"/>
                <w:szCs w:val="20"/>
              </w:rPr>
            </w:pPr>
            <w:r w:rsidRPr="00F171A3">
              <w:rPr>
                <w:color w:val="000000"/>
                <w:sz w:val="20"/>
                <w:szCs w:val="20"/>
              </w:rPr>
              <w:t>2021</w:t>
            </w:r>
          </w:p>
        </w:tc>
        <w:tc>
          <w:tcPr>
            <w:tcW w:w="1340" w:type="dxa"/>
            <w:tcBorders>
              <w:top w:val="none" w:sz="0" w:space="0" w:color="auto"/>
              <w:bottom w:val="none" w:sz="0" w:space="0" w:color="auto"/>
            </w:tcBorders>
            <w:shd w:val="clear" w:color="auto" w:fill="F2F2F2" w:themeFill="background1" w:themeFillShade="F2"/>
          </w:tcPr>
          <w:p w14:paraId="6BC117DC" w14:textId="77777777" w:rsidR="0006359E" w:rsidRPr="00F171A3" w:rsidRDefault="0006359E" w:rsidP="00F31936">
            <w:pPr>
              <w:jc w:val="center"/>
              <w:rPr>
                <w:sz w:val="20"/>
                <w:szCs w:val="20"/>
              </w:rPr>
            </w:pPr>
            <w:r w:rsidRPr="00F171A3">
              <w:rPr>
                <w:color w:val="000000"/>
                <w:sz w:val="20"/>
                <w:szCs w:val="20"/>
              </w:rPr>
              <w:t>2022</w:t>
            </w:r>
          </w:p>
        </w:tc>
      </w:tr>
      <w:tr w:rsidR="0006359E" w:rsidRPr="00F171A3" w14:paraId="69607AF5" w14:textId="77777777" w:rsidTr="00F35DEE">
        <w:trPr>
          <w:trHeight w:val="70"/>
        </w:trPr>
        <w:tc>
          <w:tcPr>
            <w:tcW w:w="1620" w:type="dxa"/>
            <w:shd w:val="clear" w:color="auto" w:fill="F2F2F2" w:themeFill="background1" w:themeFillShade="F2"/>
          </w:tcPr>
          <w:p w14:paraId="1A95F924" w14:textId="77777777" w:rsidR="0006359E" w:rsidRPr="00F171A3" w:rsidRDefault="0006359E" w:rsidP="00F31936">
            <w:pPr>
              <w:tabs>
                <w:tab w:val="left" w:pos="2391"/>
              </w:tabs>
              <w:jc w:val="left"/>
              <w:rPr>
                <w:color w:val="000000"/>
                <w:sz w:val="20"/>
                <w:szCs w:val="20"/>
              </w:rPr>
            </w:pPr>
            <w:r w:rsidRPr="00F171A3">
              <w:rPr>
                <w:color w:val="000000"/>
                <w:sz w:val="20"/>
                <w:szCs w:val="20"/>
              </w:rPr>
              <w:t>Aplicații depuse</w:t>
            </w:r>
          </w:p>
        </w:tc>
        <w:tc>
          <w:tcPr>
            <w:tcW w:w="1260" w:type="dxa"/>
            <w:shd w:val="clear" w:color="auto" w:fill="F2F2F2" w:themeFill="background1" w:themeFillShade="F2"/>
          </w:tcPr>
          <w:p w14:paraId="06838D7C" w14:textId="77777777" w:rsidR="0006359E" w:rsidRPr="00F171A3" w:rsidRDefault="0006359E" w:rsidP="00F31936">
            <w:pPr>
              <w:tabs>
                <w:tab w:val="left" w:pos="2391"/>
              </w:tabs>
              <w:jc w:val="left"/>
              <w:rPr>
                <w:color w:val="000000"/>
                <w:sz w:val="20"/>
                <w:szCs w:val="20"/>
              </w:rPr>
            </w:pPr>
            <w:r w:rsidRPr="00F171A3">
              <w:rPr>
                <w:color w:val="000000"/>
                <w:sz w:val="20"/>
                <w:szCs w:val="20"/>
              </w:rPr>
              <w:t>48</w:t>
            </w:r>
          </w:p>
        </w:tc>
        <w:tc>
          <w:tcPr>
            <w:tcW w:w="1260" w:type="dxa"/>
            <w:shd w:val="clear" w:color="auto" w:fill="F2F2F2" w:themeFill="background1" w:themeFillShade="F2"/>
          </w:tcPr>
          <w:p w14:paraId="7FD77262" w14:textId="77777777" w:rsidR="0006359E" w:rsidRPr="00F171A3" w:rsidRDefault="0006359E" w:rsidP="00F31936">
            <w:pPr>
              <w:tabs>
                <w:tab w:val="left" w:pos="2391"/>
              </w:tabs>
              <w:jc w:val="left"/>
              <w:rPr>
                <w:color w:val="000000"/>
                <w:sz w:val="20"/>
                <w:szCs w:val="20"/>
              </w:rPr>
            </w:pPr>
            <w:r w:rsidRPr="00F171A3">
              <w:rPr>
                <w:color w:val="000000"/>
                <w:sz w:val="20"/>
                <w:szCs w:val="20"/>
              </w:rPr>
              <w:t>20</w:t>
            </w:r>
          </w:p>
        </w:tc>
        <w:tc>
          <w:tcPr>
            <w:tcW w:w="1260" w:type="dxa"/>
            <w:shd w:val="clear" w:color="auto" w:fill="F2F2F2" w:themeFill="background1" w:themeFillShade="F2"/>
          </w:tcPr>
          <w:p w14:paraId="074C1D7B" w14:textId="77777777" w:rsidR="0006359E" w:rsidRPr="00F171A3" w:rsidRDefault="0006359E" w:rsidP="00F31936">
            <w:pPr>
              <w:tabs>
                <w:tab w:val="left" w:pos="2391"/>
              </w:tabs>
              <w:jc w:val="left"/>
              <w:rPr>
                <w:color w:val="000000"/>
                <w:sz w:val="20"/>
                <w:szCs w:val="20"/>
              </w:rPr>
            </w:pPr>
            <w:r w:rsidRPr="00F171A3">
              <w:rPr>
                <w:color w:val="000000"/>
                <w:sz w:val="20"/>
                <w:szCs w:val="20"/>
              </w:rPr>
              <w:t>17</w:t>
            </w:r>
          </w:p>
        </w:tc>
        <w:tc>
          <w:tcPr>
            <w:tcW w:w="1440" w:type="dxa"/>
            <w:shd w:val="clear" w:color="auto" w:fill="F2F2F2" w:themeFill="background1" w:themeFillShade="F2"/>
          </w:tcPr>
          <w:p w14:paraId="0E139F2D" w14:textId="77777777" w:rsidR="0006359E" w:rsidRPr="00F171A3" w:rsidRDefault="0006359E" w:rsidP="00F31936">
            <w:pPr>
              <w:tabs>
                <w:tab w:val="left" w:pos="2391"/>
              </w:tabs>
              <w:jc w:val="left"/>
              <w:rPr>
                <w:color w:val="000000"/>
                <w:sz w:val="20"/>
                <w:szCs w:val="20"/>
              </w:rPr>
            </w:pPr>
            <w:r w:rsidRPr="00F171A3">
              <w:rPr>
                <w:color w:val="000000"/>
                <w:sz w:val="20"/>
                <w:szCs w:val="20"/>
              </w:rPr>
              <w:t>0</w:t>
            </w:r>
          </w:p>
        </w:tc>
        <w:tc>
          <w:tcPr>
            <w:tcW w:w="1350" w:type="dxa"/>
            <w:shd w:val="clear" w:color="auto" w:fill="F2F2F2" w:themeFill="background1" w:themeFillShade="F2"/>
          </w:tcPr>
          <w:p w14:paraId="21CE2A43" w14:textId="77777777" w:rsidR="0006359E" w:rsidRPr="00F171A3" w:rsidRDefault="0006359E" w:rsidP="00F31936">
            <w:pPr>
              <w:tabs>
                <w:tab w:val="left" w:pos="2391"/>
              </w:tabs>
              <w:jc w:val="left"/>
              <w:rPr>
                <w:color w:val="000000"/>
                <w:sz w:val="20"/>
                <w:szCs w:val="20"/>
              </w:rPr>
            </w:pPr>
            <w:r w:rsidRPr="00F171A3">
              <w:rPr>
                <w:color w:val="000000"/>
                <w:sz w:val="20"/>
                <w:szCs w:val="20"/>
              </w:rPr>
              <w:t>59</w:t>
            </w:r>
          </w:p>
        </w:tc>
        <w:tc>
          <w:tcPr>
            <w:tcW w:w="1340" w:type="dxa"/>
            <w:shd w:val="clear" w:color="auto" w:fill="F2F2F2" w:themeFill="background1" w:themeFillShade="F2"/>
          </w:tcPr>
          <w:p w14:paraId="7D38068E" w14:textId="77777777" w:rsidR="0006359E" w:rsidRPr="00F171A3" w:rsidRDefault="0006359E" w:rsidP="00F31936">
            <w:pPr>
              <w:tabs>
                <w:tab w:val="left" w:pos="2391"/>
              </w:tabs>
              <w:jc w:val="left"/>
              <w:rPr>
                <w:color w:val="000000"/>
                <w:sz w:val="20"/>
                <w:szCs w:val="20"/>
              </w:rPr>
            </w:pPr>
            <w:r w:rsidRPr="00F171A3">
              <w:rPr>
                <w:color w:val="000000"/>
                <w:sz w:val="20"/>
                <w:szCs w:val="20"/>
              </w:rPr>
              <w:t>55</w:t>
            </w:r>
          </w:p>
        </w:tc>
      </w:tr>
      <w:tr w:rsidR="0006359E" w:rsidRPr="00F171A3" w14:paraId="115B3884" w14:textId="77777777" w:rsidTr="00F35DEE">
        <w:trPr>
          <w:cnfStyle w:val="000000100000" w:firstRow="0" w:lastRow="0" w:firstColumn="0" w:lastColumn="0" w:oddVBand="0" w:evenVBand="0" w:oddHBand="1" w:evenHBand="0" w:firstRowFirstColumn="0" w:firstRowLastColumn="0" w:lastRowFirstColumn="0" w:lastRowLastColumn="0"/>
          <w:trHeight w:val="70"/>
        </w:trPr>
        <w:tc>
          <w:tcPr>
            <w:tcW w:w="1620" w:type="dxa"/>
            <w:tcBorders>
              <w:top w:val="none" w:sz="0" w:space="0" w:color="auto"/>
              <w:bottom w:val="none" w:sz="0" w:space="0" w:color="auto"/>
            </w:tcBorders>
            <w:shd w:val="clear" w:color="auto" w:fill="F2F2F2" w:themeFill="background1" w:themeFillShade="F2"/>
          </w:tcPr>
          <w:p w14:paraId="3559EF22" w14:textId="77777777" w:rsidR="0006359E" w:rsidRPr="00F171A3" w:rsidRDefault="0006359E" w:rsidP="00F31936">
            <w:pPr>
              <w:tabs>
                <w:tab w:val="left" w:pos="2391"/>
              </w:tabs>
              <w:jc w:val="left"/>
              <w:rPr>
                <w:color w:val="000000"/>
                <w:sz w:val="20"/>
                <w:szCs w:val="20"/>
              </w:rPr>
            </w:pPr>
            <w:r w:rsidRPr="00F171A3">
              <w:rPr>
                <w:color w:val="000000"/>
                <w:sz w:val="20"/>
                <w:szCs w:val="20"/>
              </w:rPr>
              <w:t>Buget alocat</w:t>
            </w:r>
          </w:p>
        </w:tc>
        <w:tc>
          <w:tcPr>
            <w:tcW w:w="1260" w:type="dxa"/>
            <w:tcBorders>
              <w:top w:val="none" w:sz="0" w:space="0" w:color="auto"/>
              <w:bottom w:val="none" w:sz="0" w:space="0" w:color="auto"/>
            </w:tcBorders>
            <w:shd w:val="clear" w:color="auto" w:fill="F2F2F2" w:themeFill="background1" w:themeFillShade="F2"/>
          </w:tcPr>
          <w:p w14:paraId="5637B4EE" w14:textId="77777777" w:rsidR="0006359E" w:rsidRPr="00F171A3" w:rsidRDefault="0006359E" w:rsidP="00F31936">
            <w:pPr>
              <w:tabs>
                <w:tab w:val="left" w:pos="2391"/>
              </w:tabs>
              <w:jc w:val="left"/>
              <w:rPr>
                <w:color w:val="000000"/>
                <w:sz w:val="20"/>
                <w:szCs w:val="20"/>
              </w:rPr>
            </w:pPr>
            <w:r w:rsidRPr="00F171A3">
              <w:rPr>
                <w:color w:val="000000"/>
                <w:sz w:val="20"/>
                <w:szCs w:val="20"/>
              </w:rPr>
              <w:t>1,5 mil. RON</w:t>
            </w:r>
          </w:p>
        </w:tc>
        <w:tc>
          <w:tcPr>
            <w:tcW w:w="1260" w:type="dxa"/>
            <w:tcBorders>
              <w:top w:val="none" w:sz="0" w:space="0" w:color="auto"/>
              <w:bottom w:val="none" w:sz="0" w:space="0" w:color="auto"/>
            </w:tcBorders>
            <w:shd w:val="clear" w:color="auto" w:fill="F2F2F2" w:themeFill="background1" w:themeFillShade="F2"/>
          </w:tcPr>
          <w:p w14:paraId="3224F68A" w14:textId="77777777" w:rsidR="0006359E" w:rsidRPr="00F171A3" w:rsidRDefault="0006359E" w:rsidP="00F31936">
            <w:pPr>
              <w:tabs>
                <w:tab w:val="left" w:pos="2391"/>
              </w:tabs>
              <w:jc w:val="left"/>
              <w:rPr>
                <w:color w:val="000000"/>
                <w:sz w:val="20"/>
                <w:szCs w:val="20"/>
              </w:rPr>
            </w:pPr>
            <w:r w:rsidRPr="00F171A3">
              <w:rPr>
                <w:color w:val="000000"/>
                <w:sz w:val="20"/>
                <w:szCs w:val="20"/>
              </w:rPr>
              <w:t>2 mil. RON</w:t>
            </w:r>
          </w:p>
        </w:tc>
        <w:tc>
          <w:tcPr>
            <w:tcW w:w="1260" w:type="dxa"/>
            <w:tcBorders>
              <w:top w:val="none" w:sz="0" w:space="0" w:color="auto"/>
              <w:bottom w:val="none" w:sz="0" w:space="0" w:color="auto"/>
            </w:tcBorders>
            <w:shd w:val="clear" w:color="auto" w:fill="F2F2F2" w:themeFill="background1" w:themeFillShade="F2"/>
          </w:tcPr>
          <w:p w14:paraId="4F12CB12" w14:textId="77777777" w:rsidR="0006359E" w:rsidRPr="00F171A3" w:rsidRDefault="0006359E" w:rsidP="00F31936">
            <w:pPr>
              <w:tabs>
                <w:tab w:val="left" w:pos="2391"/>
              </w:tabs>
              <w:jc w:val="left"/>
              <w:rPr>
                <w:color w:val="000000"/>
                <w:sz w:val="20"/>
                <w:szCs w:val="20"/>
              </w:rPr>
            </w:pPr>
            <w:r w:rsidRPr="00F171A3">
              <w:rPr>
                <w:color w:val="000000"/>
                <w:sz w:val="20"/>
                <w:szCs w:val="20"/>
              </w:rPr>
              <w:t>2.5 mil RON</w:t>
            </w:r>
          </w:p>
        </w:tc>
        <w:tc>
          <w:tcPr>
            <w:tcW w:w="1440" w:type="dxa"/>
            <w:tcBorders>
              <w:top w:val="none" w:sz="0" w:space="0" w:color="auto"/>
              <w:bottom w:val="none" w:sz="0" w:space="0" w:color="auto"/>
            </w:tcBorders>
            <w:shd w:val="clear" w:color="auto" w:fill="F2F2F2" w:themeFill="background1" w:themeFillShade="F2"/>
          </w:tcPr>
          <w:p w14:paraId="1F05618F" w14:textId="77777777" w:rsidR="0006359E" w:rsidRPr="00F171A3" w:rsidRDefault="0006359E" w:rsidP="00F31936">
            <w:pPr>
              <w:tabs>
                <w:tab w:val="left" w:pos="2391"/>
              </w:tabs>
              <w:jc w:val="left"/>
              <w:rPr>
                <w:color w:val="000000"/>
                <w:sz w:val="20"/>
                <w:szCs w:val="20"/>
              </w:rPr>
            </w:pPr>
            <w:r w:rsidRPr="00F171A3">
              <w:rPr>
                <w:color w:val="000000"/>
                <w:sz w:val="20"/>
                <w:szCs w:val="20"/>
              </w:rPr>
              <w:t>2.5 mil RON</w:t>
            </w:r>
          </w:p>
        </w:tc>
        <w:tc>
          <w:tcPr>
            <w:tcW w:w="1350" w:type="dxa"/>
            <w:tcBorders>
              <w:top w:val="none" w:sz="0" w:space="0" w:color="auto"/>
              <w:bottom w:val="none" w:sz="0" w:space="0" w:color="auto"/>
            </w:tcBorders>
            <w:shd w:val="clear" w:color="auto" w:fill="F2F2F2" w:themeFill="background1" w:themeFillShade="F2"/>
          </w:tcPr>
          <w:p w14:paraId="2C7C73A2" w14:textId="77777777" w:rsidR="0006359E" w:rsidRPr="00F171A3" w:rsidRDefault="0006359E" w:rsidP="00F31936">
            <w:pPr>
              <w:tabs>
                <w:tab w:val="left" w:pos="2391"/>
              </w:tabs>
              <w:jc w:val="left"/>
              <w:rPr>
                <w:color w:val="000000"/>
                <w:sz w:val="20"/>
                <w:szCs w:val="20"/>
              </w:rPr>
            </w:pPr>
            <w:r w:rsidRPr="00F171A3">
              <w:rPr>
                <w:color w:val="000000"/>
                <w:sz w:val="20"/>
                <w:szCs w:val="20"/>
              </w:rPr>
              <w:t>2.5 mil RON</w:t>
            </w:r>
          </w:p>
        </w:tc>
        <w:tc>
          <w:tcPr>
            <w:tcW w:w="1340" w:type="dxa"/>
            <w:tcBorders>
              <w:top w:val="none" w:sz="0" w:space="0" w:color="auto"/>
              <w:bottom w:val="none" w:sz="0" w:space="0" w:color="auto"/>
            </w:tcBorders>
            <w:shd w:val="clear" w:color="auto" w:fill="F2F2F2" w:themeFill="background1" w:themeFillShade="F2"/>
          </w:tcPr>
          <w:p w14:paraId="3D6CC8AC" w14:textId="77777777" w:rsidR="0006359E" w:rsidRPr="00F171A3" w:rsidRDefault="0006359E" w:rsidP="00F31936">
            <w:pPr>
              <w:tabs>
                <w:tab w:val="left" w:pos="2391"/>
              </w:tabs>
              <w:jc w:val="left"/>
              <w:rPr>
                <w:color w:val="000000"/>
                <w:sz w:val="20"/>
                <w:szCs w:val="20"/>
              </w:rPr>
            </w:pPr>
            <w:r w:rsidRPr="00F171A3">
              <w:rPr>
                <w:color w:val="000000"/>
                <w:sz w:val="20"/>
                <w:szCs w:val="20"/>
              </w:rPr>
              <w:t>3.75 mil RON</w:t>
            </w:r>
          </w:p>
        </w:tc>
      </w:tr>
      <w:tr w:rsidR="0006359E" w:rsidRPr="00F171A3" w14:paraId="0B8F6719" w14:textId="77777777" w:rsidTr="00F35DEE">
        <w:trPr>
          <w:trHeight w:val="70"/>
        </w:trPr>
        <w:tc>
          <w:tcPr>
            <w:tcW w:w="1620" w:type="dxa"/>
            <w:shd w:val="clear" w:color="auto" w:fill="F2F2F2" w:themeFill="background1" w:themeFillShade="F2"/>
          </w:tcPr>
          <w:p w14:paraId="7393E51C" w14:textId="77777777" w:rsidR="0006359E" w:rsidRPr="00F171A3" w:rsidRDefault="0006359E" w:rsidP="00F31936">
            <w:pPr>
              <w:tabs>
                <w:tab w:val="left" w:pos="2391"/>
              </w:tabs>
              <w:jc w:val="left"/>
              <w:rPr>
                <w:color w:val="000000"/>
                <w:sz w:val="20"/>
                <w:szCs w:val="20"/>
              </w:rPr>
            </w:pPr>
            <w:r w:rsidRPr="00F171A3">
              <w:rPr>
                <w:color w:val="000000"/>
                <w:sz w:val="20"/>
                <w:szCs w:val="20"/>
              </w:rPr>
              <w:t>Aplicații câștigătoare</w:t>
            </w:r>
          </w:p>
        </w:tc>
        <w:tc>
          <w:tcPr>
            <w:tcW w:w="1260" w:type="dxa"/>
            <w:shd w:val="clear" w:color="auto" w:fill="F2F2F2" w:themeFill="background1" w:themeFillShade="F2"/>
          </w:tcPr>
          <w:p w14:paraId="0BC9561E" w14:textId="77777777" w:rsidR="0006359E" w:rsidRPr="00F171A3" w:rsidRDefault="0006359E" w:rsidP="00F31936">
            <w:pPr>
              <w:tabs>
                <w:tab w:val="left" w:pos="2391"/>
              </w:tabs>
              <w:jc w:val="left"/>
              <w:rPr>
                <w:color w:val="000000"/>
                <w:sz w:val="20"/>
                <w:szCs w:val="20"/>
              </w:rPr>
            </w:pPr>
            <w:r w:rsidRPr="00F171A3">
              <w:rPr>
                <w:color w:val="000000"/>
                <w:sz w:val="20"/>
                <w:szCs w:val="20"/>
              </w:rPr>
              <w:t>0</w:t>
            </w:r>
          </w:p>
        </w:tc>
        <w:tc>
          <w:tcPr>
            <w:tcW w:w="1260" w:type="dxa"/>
            <w:shd w:val="clear" w:color="auto" w:fill="F2F2F2" w:themeFill="background1" w:themeFillShade="F2"/>
          </w:tcPr>
          <w:p w14:paraId="45F96296" w14:textId="77777777" w:rsidR="0006359E" w:rsidRPr="00F171A3" w:rsidRDefault="0006359E" w:rsidP="00F31936">
            <w:pPr>
              <w:tabs>
                <w:tab w:val="left" w:pos="2391"/>
              </w:tabs>
              <w:jc w:val="left"/>
              <w:rPr>
                <w:color w:val="000000"/>
                <w:sz w:val="20"/>
                <w:szCs w:val="20"/>
              </w:rPr>
            </w:pPr>
            <w:r w:rsidRPr="00F171A3">
              <w:rPr>
                <w:color w:val="000000"/>
                <w:sz w:val="20"/>
                <w:szCs w:val="20"/>
              </w:rPr>
              <w:t>7</w:t>
            </w:r>
          </w:p>
        </w:tc>
        <w:tc>
          <w:tcPr>
            <w:tcW w:w="1260" w:type="dxa"/>
            <w:shd w:val="clear" w:color="auto" w:fill="F2F2F2" w:themeFill="background1" w:themeFillShade="F2"/>
          </w:tcPr>
          <w:p w14:paraId="0B47FC59" w14:textId="77777777" w:rsidR="0006359E" w:rsidRPr="00F171A3" w:rsidRDefault="0006359E" w:rsidP="00F31936">
            <w:pPr>
              <w:tabs>
                <w:tab w:val="left" w:pos="2391"/>
              </w:tabs>
              <w:jc w:val="left"/>
              <w:rPr>
                <w:color w:val="000000"/>
                <w:sz w:val="20"/>
                <w:szCs w:val="20"/>
              </w:rPr>
            </w:pPr>
            <w:r w:rsidRPr="00F171A3">
              <w:rPr>
                <w:color w:val="000000"/>
                <w:sz w:val="20"/>
                <w:szCs w:val="20"/>
              </w:rPr>
              <w:t>5</w:t>
            </w:r>
          </w:p>
        </w:tc>
        <w:tc>
          <w:tcPr>
            <w:tcW w:w="1440" w:type="dxa"/>
            <w:shd w:val="clear" w:color="auto" w:fill="F2F2F2" w:themeFill="background1" w:themeFillShade="F2"/>
          </w:tcPr>
          <w:p w14:paraId="63A88C5D" w14:textId="77777777" w:rsidR="0006359E" w:rsidRPr="00F171A3" w:rsidRDefault="0006359E" w:rsidP="00F31936">
            <w:pPr>
              <w:tabs>
                <w:tab w:val="left" w:pos="2391"/>
              </w:tabs>
              <w:jc w:val="left"/>
              <w:rPr>
                <w:color w:val="000000"/>
                <w:sz w:val="20"/>
                <w:szCs w:val="20"/>
              </w:rPr>
            </w:pPr>
            <w:r w:rsidRPr="00F171A3">
              <w:rPr>
                <w:color w:val="000000"/>
                <w:sz w:val="20"/>
                <w:szCs w:val="20"/>
              </w:rPr>
              <w:t>0</w:t>
            </w:r>
          </w:p>
        </w:tc>
        <w:tc>
          <w:tcPr>
            <w:tcW w:w="1350" w:type="dxa"/>
            <w:shd w:val="clear" w:color="auto" w:fill="F2F2F2" w:themeFill="background1" w:themeFillShade="F2"/>
          </w:tcPr>
          <w:p w14:paraId="541DC82A" w14:textId="77777777" w:rsidR="0006359E" w:rsidRPr="00F171A3" w:rsidRDefault="0006359E" w:rsidP="00F31936">
            <w:pPr>
              <w:tabs>
                <w:tab w:val="left" w:pos="2391"/>
              </w:tabs>
              <w:jc w:val="left"/>
              <w:rPr>
                <w:color w:val="000000"/>
                <w:sz w:val="20"/>
                <w:szCs w:val="20"/>
              </w:rPr>
            </w:pPr>
            <w:r w:rsidRPr="00F171A3">
              <w:rPr>
                <w:color w:val="000000"/>
                <w:sz w:val="20"/>
                <w:szCs w:val="20"/>
              </w:rPr>
              <w:t>19</w:t>
            </w:r>
          </w:p>
        </w:tc>
        <w:tc>
          <w:tcPr>
            <w:tcW w:w="1340" w:type="dxa"/>
            <w:shd w:val="clear" w:color="auto" w:fill="F2F2F2" w:themeFill="background1" w:themeFillShade="F2"/>
          </w:tcPr>
          <w:p w14:paraId="1594E12E" w14:textId="77777777" w:rsidR="0006359E" w:rsidRPr="00F171A3" w:rsidRDefault="0006359E" w:rsidP="00F31936">
            <w:pPr>
              <w:tabs>
                <w:tab w:val="left" w:pos="2391"/>
              </w:tabs>
              <w:jc w:val="left"/>
              <w:rPr>
                <w:color w:val="000000"/>
                <w:sz w:val="20"/>
                <w:szCs w:val="20"/>
              </w:rPr>
            </w:pPr>
            <w:r w:rsidRPr="00F171A3">
              <w:rPr>
                <w:color w:val="000000"/>
                <w:sz w:val="20"/>
                <w:szCs w:val="20"/>
              </w:rPr>
              <w:t>20</w:t>
            </w:r>
          </w:p>
        </w:tc>
      </w:tr>
      <w:tr w:rsidR="0006359E" w:rsidRPr="00F171A3" w14:paraId="4F7A784C" w14:textId="77777777" w:rsidTr="00F35DEE">
        <w:trPr>
          <w:cnfStyle w:val="000000100000" w:firstRow="0" w:lastRow="0" w:firstColumn="0" w:lastColumn="0" w:oddVBand="0" w:evenVBand="0" w:oddHBand="1" w:evenHBand="0" w:firstRowFirstColumn="0" w:firstRowLastColumn="0" w:lastRowFirstColumn="0" w:lastRowLastColumn="0"/>
          <w:trHeight w:val="70"/>
        </w:trPr>
        <w:tc>
          <w:tcPr>
            <w:tcW w:w="1620" w:type="dxa"/>
            <w:tcBorders>
              <w:top w:val="none" w:sz="0" w:space="0" w:color="auto"/>
              <w:bottom w:val="none" w:sz="0" w:space="0" w:color="auto"/>
            </w:tcBorders>
            <w:shd w:val="clear" w:color="auto" w:fill="F2F2F2" w:themeFill="background1" w:themeFillShade="F2"/>
          </w:tcPr>
          <w:p w14:paraId="1772E534" w14:textId="77777777" w:rsidR="0006359E" w:rsidRPr="00F171A3" w:rsidRDefault="0006359E" w:rsidP="00F31936">
            <w:pPr>
              <w:tabs>
                <w:tab w:val="left" w:pos="2391"/>
              </w:tabs>
              <w:jc w:val="left"/>
              <w:rPr>
                <w:color w:val="000000"/>
                <w:sz w:val="20"/>
                <w:szCs w:val="20"/>
              </w:rPr>
            </w:pPr>
            <w:r w:rsidRPr="00F171A3">
              <w:rPr>
                <w:color w:val="000000"/>
                <w:sz w:val="20"/>
                <w:szCs w:val="20"/>
              </w:rPr>
              <w:t>Aplicații finalizate cu succes</w:t>
            </w:r>
          </w:p>
        </w:tc>
        <w:tc>
          <w:tcPr>
            <w:tcW w:w="1260" w:type="dxa"/>
            <w:tcBorders>
              <w:top w:val="none" w:sz="0" w:space="0" w:color="auto"/>
              <w:bottom w:val="none" w:sz="0" w:space="0" w:color="auto"/>
            </w:tcBorders>
            <w:shd w:val="clear" w:color="auto" w:fill="F2F2F2" w:themeFill="background1" w:themeFillShade="F2"/>
          </w:tcPr>
          <w:p w14:paraId="2DCFBB6E" w14:textId="77777777" w:rsidR="0006359E" w:rsidRPr="00F171A3" w:rsidRDefault="0006359E" w:rsidP="00F31936">
            <w:pPr>
              <w:tabs>
                <w:tab w:val="left" w:pos="2391"/>
              </w:tabs>
              <w:jc w:val="left"/>
              <w:rPr>
                <w:color w:val="000000"/>
                <w:sz w:val="20"/>
                <w:szCs w:val="20"/>
              </w:rPr>
            </w:pPr>
            <w:r w:rsidRPr="00F171A3">
              <w:rPr>
                <w:color w:val="000000"/>
                <w:sz w:val="20"/>
                <w:szCs w:val="20"/>
              </w:rPr>
              <w:t>0</w:t>
            </w:r>
          </w:p>
        </w:tc>
        <w:tc>
          <w:tcPr>
            <w:tcW w:w="1260" w:type="dxa"/>
            <w:tcBorders>
              <w:top w:val="none" w:sz="0" w:space="0" w:color="auto"/>
              <w:bottom w:val="none" w:sz="0" w:space="0" w:color="auto"/>
            </w:tcBorders>
            <w:shd w:val="clear" w:color="auto" w:fill="F2F2F2" w:themeFill="background1" w:themeFillShade="F2"/>
          </w:tcPr>
          <w:p w14:paraId="15564600" w14:textId="77777777" w:rsidR="0006359E" w:rsidRPr="00F171A3" w:rsidRDefault="0006359E" w:rsidP="00F31936">
            <w:pPr>
              <w:tabs>
                <w:tab w:val="left" w:pos="2391"/>
              </w:tabs>
              <w:jc w:val="left"/>
              <w:rPr>
                <w:color w:val="000000"/>
                <w:sz w:val="20"/>
                <w:szCs w:val="20"/>
              </w:rPr>
            </w:pPr>
            <w:r w:rsidRPr="00F171A3">
              <w:rPr>
                <w:color w:val="000000"/>
                <w:sz w:val="20"/>
                <w:szCs w:val="20"/>
              </w:rPr>
              <w:t>6</w:t>
            </w:r>
          </w:p>
        </w:tc>
        <w:tc>
          <w:tcPr>
            <w:tcW w:w="1260" w:type="dxa"/>
            <w:tcBorders>
              <w:top w:val="none" w:sz="0" w:space="0" w:color="auto"/>
              <w:bottom w:val="none" w:sz="0" w:space="0" w:color="auto"/>
            </w:tcBorders>
            <w:shd w:val="clear" w:color="auto" w:fill="F2F2F2" w:themeFill="background1" w:themeFillShade="F2"/>
          </w:tcPr>
          <w:p w14:paraId="29C83C14" w14:textId="77777777" w:rsidR="0006359E" w:rsidRPr="00F171A3" w:rsidRDefault="0006359E" w:rsidP="00F31936">
            <w:pPr>
              <w:tabs>
                <w:tab w:val="left" w:pos="2391"/>
              </w:tabs>
              <w:jc w:val="left"/>
              <w:rPr>
                <w:color w:val="000000"/>
                <w:sz w:val="20"/>
                <w:szCs w:val="20"/>
              </w:rPr>
            </w:pPr>
            <w:r w:rsidRPr="00F171A3">
              <w:rPr>
                <w:color w:val="000000"/>
                <w:sz w:val="20"/>
                <w:szCs w:val="20"/>
              </w:rPr>
              <w:t>5</w:t>
            </w:r>
          </w:p>
        </w:tc>
        <w:tc>
          <w:tcPr>
            <w:tcW w:w="1440" w:type="dxa"/>
            <w:tcBorders>
              <w:top w:val="none" w:sz="0" w:space="0" w:color="auto"/>
              <w:bottom w:val="none" w:sz="0" w:space="0" w:color="auto"/>
            </w:tcBorders>
            <w:shd w:val="clear" w:color="auto" w:fill="F2F2F2" w:themeFill="background1" w:themeFillShade="F2"/>
          </w:tcPr>
          <w:p w14:paraId="01B58916" w14:textId="77777777" w:rsidR="0006359E" w:rsidRPr="00F171A3" w:rsidRDefault="0006359E" w:rsidP="00F31936">
            <w:pPr>
              <w:tabs>
                <w:tab w:val="left" w:pos="2391"/>
              </w:tabs>
              <w:jc w:val="left"/>
              <w:rPr>
                <w:color w:val="000000"/>
                <w:sz w:val="20"/>
                <w:szCs w:val="20"/>
              </w:rPr>
            </w:pPr>
            <w:r w:rsidRPr="00F171A3">
              <w:rPr>
                <w:color w:val="000000"/>
                <w:sz w:val="20"/>
                <w:szCs w:val="20"/>
              </w:rPr>
              <w:t>0</w:t>
            </w:r>
          </w:p>
        </w:tc>
        <w:tc>
          <w:tcPr>
            <w:tcW w:w="1350" w:type="dxa"/>
            <w:tcBorders>
              <w:top w:val="none" w:sz="0" w:space="0" w:color="auto"/>
              <w:bottom w:val="none" w:sz="0" w:space="0" w:color="auto"/>
            </w:tcBorders>
            <w:shd w:val="clear" w:color="auto" w:fill="F2F2F2" w:themeFill="background1" w:themeFillShade="F2"/>
          </w:tcPr>
          <w:p w14:paraId="2C58BEDA" w14:textId="77777777" w:rsidR="0006359E" w:rsidRPr="00F171A3" w:rsidRDefault="0006359E" w:rsidP="00F31936">
            <w:pPr>
              <w:tabs>
                <w:tab w:val="left" w:pos="2391"/>
              </w:tabs>
              <w:jc w:val="left"/>
              <w:rPr>
                <w:color w:val="000000"/>
                <w:sz w:val="20"/>
                <w:szCs w:val="20"/>
              </w:rPr>
            </w:pPr>
            <w:r w:rsidRPr="00F171A3">
              <w:rPr>
                <w:color w:val="000000"/>
                <w:sz w:val="20"/>
                <w:szCs w:val="20"/>
              </w:rPr>
              <w:t>17</w:t>
            </w:r>
          </w:p>
        </w:tc>
        <w:tc>
          <w:tcPr>
            <w:tcW w:w="1340" w:type="dxa"/>
            <w:tcBorders>
              <w:top w:val="none" w:sz="0" w:space="0" w:color="auto"/>
              <w:bottom w:val="none" w:sz="0" w:space="0" w:color="auto"/>
            </w:tcBorders>
            <w:shd w:val="clear" w:color="auto" w:fill="F2F2F2" w:themeFill="background1" w:themeFillShade="F2"/>
          </w:tcPr>
          <w:p w14:paraId="639E6AF7" w14:textId="77777777" w:rsidR="0006359E" w:rsidRPr="00F171A3" w:rsidRDefault="0006359E" w:rsidP="00F31936">
            <w:pPr>
              <w:tabs>
                <w:tab w:val="left" w:pos="2391"/>
              </w:tabs>
              <w:jc w:val="left"/>
              <w:rPr>
                <w:color w:val="000000"/>
                <w:sz w:val="20"/>
                <w:szCs w:val="20"/>
              </w:rPr>
            </w:pPr>
          </w:p>
        </w:tc>
      </w:tr>
    </w:tbl>
    <w:p w14:paraId="2865CB09" w14:textId="6685C319" w:rsidR="0006359E" w:rsidRPr="00F171A3" w:rsidRDefault="0006359E" w:rsidP="00135D70">
      <w:pPr>
        <w:jc w:val="right"/>
        <w:rPr>
          <w:color w:val="BFBFBF" w:themeColor="background1" w:themeShade="BF"/>
        </w:rPr>
      </w:pPr>
      <w:r w:rsidRPr="00F171A3">
        <w:rPr>
          <w:color w:val="BFBFBF" w:themeColor="background1" w:themeShade="BF"/>
        </w:rPr>
        <w:t>Sursa: Prelucrare proprie pe baza datelor publice prezentate de Primăria Sector</w:t>
      </w:r>
      <w:r w:rsidR="00135D70" w:rsidRPr="00F171A3">
        <w:rPr>
          <w:color w:val="BFBFBF" w:themeColor="background1" w:themeShade="BF"/>
        </w:rPr>
        <w:t>ului</w:t>
      </w:r>
      <w:r w:rsidRPr="00F171A3">
        <w:rPr>
          <w:color w:val="BFBFBF" w:themeColor="background1" w:themeShade="BF"/>
        </w:rPr>
        <w:t xml:space="preserve"> 2 </w:t>
      </w:r>
    </w:p>
    <w:p w14:paraId="5BF08C5D" w14:textId="77777777" w:rsidR="0006359E" w:rsidRPr="00F171A3" w:rsidRDefault="0006359E" w:rsidP="0006359E">
      <w:pPr>
        <w:spacing w:before="240"/>
      </w:pPr>
      <w:r w:rsidRPr="00F171A3">
        <w:t>În anul 2017 procedura a fost anulată, iar în anul 2020, ca urmare a instituirii stării de urgență pentru limitarea infectării cu Covid-19, procedura de atribuire a contractelor de finanțare nerambursabilă nu s-a derulat. În anii 2018 și 2020, un număr de 3 proiecte nu au fost finalizate (1 în 2018 și 2 în 2020) și au fost reziliate ca urmare a neîndeplinirii obligațiilor contractuale (nu au fost demarate activitățile).</w:t>
      </w:r>
    </w:p>
    <w:p w14:paraId="3645B2AA" w14:textId="77777777" w:rsidR="0006359E" w:rsidRPr="00F171A3" w:rsidRDefault="0006359E" w:rsidP="0006359E">
      <w:pPr>
        <w:spacing w:before="240"/>
      </w:pPr>
      <w:r w:rsidRPr="00F171A3">
        <w:t xml:space="preserve">În ceea ce privește procesul de bugetare participativă, deși există o decizie de Consiliu Local încă din 2021 ce impune acest mecanism, iar conform noului Regulament de Funcționare, Direcția de Relații Comunitare trebuie să asigure condițiile pentru desfășurarea acestuia, instrumentul nu este încă folosit. </w:t>
      </w:r>
    </w:p>
    <w:p w14:paraId="2AE3E64C" w14:textId="76615D0D" w:rsidR="0006359E" w:rsidRPr="00F171A3" w:rsidRDefault="0006359E" w:rsidP="0006359E">
      <w:pPr>
        <w:spacing w:before="240"/>
      </w:pPr>
      <w:r w:rsidRPr="00F171A3">
        <w:t>În ceea ce privește transparența și publicarea seturilor de date, Primăria Sector</w:t>
      </w:r>
      <w:r w:rsidR="00135D70" w:rsidRPr="00F171A3">
        <w:t>ului</w:t>
      </w:r>
      <w:r w:rsidRPr="00F171A3">
        <w:t xml:space="preserve"> 2 a inițiat un proces de publicare a datelor în format editabil, structurare a acestora pe pagina web (</w:t>
      </w:r>
      <w:r w:rsidRPr="00F171A3">
        <w:rPr>
          <w:i/>
        </w:rPr>
        <w:t>Buletin Informativ</w:t>
      </w:r>
      <w:r w:rsidRPr="00F171A3">
        <w:t>), însă anumite limitări existe. Preluarea recomandărilor din Parteneriatul pentru o Guvernare Deschisă la nivel local poate ajuta instituția să accelereze acest proces.</w:t>
      </w:r>
    </w:p>
    <w:p w14:paraId="543C0853" w14:textId="64EC124B" w:rsidR="00C81A1A" w:rsidRPr="00F171A3" w:rsidRDefault="00C81A1A" w:rsidP="00BB1A9B">
      <w:pPr>
        <w:spacing w:before="240"/>
        <w:rPr>
          <w:szCs w:val="20"/>
        </w:rPr>
        <w:sectPr w:rsidR="00C81A1A" w:rsidRPr="00F171A3" w:rsidSect="00135952">
          <w:pgSz w:w="11907" w:h="16839" w:code="9"/>
          <w:pgMar w:top="1151" w:right="1440" w:bottom="1440" w:left="1021" w:header="709" w:footer="284" w:gutter="0"/>
          <w:cols w:space="708"/>
          <w:titlePg/>
          <w:docGrid w:linePitch="360"/>
        </w:sectPr>
      </w:pPr>
    </w:p>
    <w:p w14:paraId="5ADDEF42" w14:textId="301E2562" w:rsidR="007F2663" w:rsidRPr="00F171A3" w:rsidRDefault="00423E88" w:rsidP="007F2663">
      <w:pPr>
        <w:pStyle w:val="Heading1"/>
        <w:rPr>
          <w:lang w:val="ro-RO"/>
        </w:rPr>
      </w:pPr>
      <w:bookmarkStart w:id="397" w:name="_Toc127199303"/>
      <w:r w:rsidRPr="00F171A3">
        <w:rPr>
          <w:caps w:val="0"/>
          <w:lang w:val="ro-RO"/>
        </w:rPr>
        <w:t>ANALIZA SWOT</w:t>
      </w:r>
      <w:bookmarkEnd w:id="397"/>
    </w:p>
    <w:tbl>
      <w:tblPr>
        <w:tblStyle w:val="Civittatable5"/>
        <w:tblW w:w="5067" w:type="pct"/>
        <w:tblInd w:w="-5" w:type="dxa"/>
        <w:tblLook w:val="0480" w:firstRow="0" w:lastRow="0" w:firstColumn="1" w:lastColumn="0" w:noHBand="0" w:noVBand="1"/>
      </w:tblPr>
      <w:tblGrid>
        <w:gridCol w:w="4506"/>
        <w:gridCol w:w="4631"/>
      </w:tblGrid>
      <w:tr w:rsidR="00913FD1" w:rsidRPr="00F171A3" w14:paraId="30702384" w14:textId="77777777" w:rsidTr="00EB415B">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774F189C" w14:textId="48E11E06" w:rsidR="00913FD1" w:rsidRPr="00F171A3" w:rsidRDefault="00913FD1" w:rsidP="00520678">
            <w:pPr>
              <w:spacing w:after="0"/>
              <w:jc w:val="center"/>
              <w:rPr>
                <w:b/>
                <w:bCs/>
                <w:color w:val="FFFFFF" w:themeColor="background1"/>
              </w:rPr>
            </w:pPr>
            <w:r w:rsidRPr="00F171A3">
              <w:rPr>
                <w:b/>
                <w:bCs/>
                <w:color w:val="FFFFFF" w:themeColor="background1"/>
              </w:rPr>
              <w:t xml:space="preserve">STRUCTURĂ SOCIO-DEMOGRAFICĂ </w:t>
            </w:r>
          </w:p>
        </w:tc>
      </w:tr>
      <w:tr w:rsidR="00913FD1" w:rsidRPr="00F171A3" w14:paraId="1F079EA9" w14:textId="77777777" w:rsidTr="00EB415B">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590F48C2" w14:textId="77777777" w:rsidR="00913FD1" w:rsidRPr="00F171A3" w:rsidRDefault="00913FD1" w:rsidP="00520678">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3A671118" w14:textId="77777777" w:rsidR="00913FD1" w:rsidRPr="00F171A3" w:rsidRDefault="00913FD1" w:rsidP="00520678">
            <w:pPr>
              <w:spacing w:after="0"/>
              <w:jc w:val="center"/>
              <w:rPr>
                <w:b/>
                <w:bCs/>
                <w:color w:val="FFFFFF" w:themeColor="background1"/>
              </w:rPr>
            </w:pPr>
            <w:r w:rsidRPr="00F171A3">
              <w:rPr>
                <w:b/>
                <w:bCs/>
                <w:color w:val="FFFFFF" w:themeColor="background1"/>
              </w:rPr>
              <w:t>PUNCTE SLABE</w:t>
            </w:r>
          </w:p>
        </w:tc>
      </w:tr>
      <w:tr w:rsidR="00EB415B" w:rsidRPr="00F171A3" w14:paraId="58649477" w14:textId="77777777" w:rsidTr="00EB415B">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5015BFE5" w14:textId="03FF83D0" w:rsidR="00EB415B" w:rsidRPr="00F171A3" w:rsidRDefault="00EB415B">
            <w:pPr>
              <w:numPr>
                <w:ilvl w:val="0"/>
                <w:numId w:val="16"/>
              </w:numPr>
              <w:spacing w:before="0" w:after="0"/>
              <w:rPr>
                <w:color w:val="134753"/>
              </w:rPr>
            </w:pPr>
            <w:r w:rsidRPr="00F171A3">
              <w:rPr>
                <w:color w:val="134753"/>
              </w:rPr>
              <w:t>Bucureștiul atrage anual mii de tineri care vin pentru studii sau un loc de muncă mai bine plătit</w:t>
            </w:r>
          </w:p>
        </w:tc>
        <w:tc>
          <w:tcPr>
            <w:tcW w:w="2534" w:type="pct"/>
          </w:tcPr>
          <w:p w14:paraId="4968E6A1" w14:textId="65B5821C" w:rsidR="00EB415B" w:rsidRPr="00F171A3" w:rsidRDefault="00EB415B">
            <w:pPr>
              <w:numPr>
                <w:ilvl w:val="0"/>
                <w:numId w:val="16"/>
              </w:numPr>
              <w:spacing w:before="0" w:after="0"/>
              <w:rPr>
                <w:color w:val="134753"/>
              </w:rPr>
            </w:pPr>
            <w:r w:rsidRPr="00F171A3">
              <w:rPr>
                <w:color w:val="134753"/>
              </w:rPr>
              <w:t>Rata sporului natural la nivel sectorial și municipal este negativă</w:t>
            </w:r>
          </w:p>
        </w:tc>
      </w:tr>
      <w:tr w:rsidR="00EB415B" w:rsidRPr="00F171A3" w14:paraId="610BAA39" w14:textId="77777777" w:rsidTr="00EB415B">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5B23E705" w14:textId="7C706C4B" w:rsidR="00EB415B" w:rsidRPr="00F171A3" w:rsidRDefault="00EB415B">
            <w:pPr>
              <w:numPr>
                <w:ilvl w:val="0"/>
                <w:numId w:val="16"/>
              </w:numPr>
              <w:spacing w:before="0" w:after="0"/>
              <w:rPr>
                <w:color w:val="134753"/>
              </w:rPr>
            </w:pPr>
            <w:r w:rsidRPr="00F171A3">
              <w:rPr>
                <w:color w:val="134753"/>
              </w:rPr>
              <w:t>Rata mortalității infantile este cu mult sub media națională, datorită serviciilor medicale moderne existente</w:t>
            </w:r>
          </w:p>
        </w:tc>
        <w:tc>
          <w:tcPr>
            <w:tcW w:w="2534" w:type="pct"/>
          </w:tcPr>
          <w:p w14:paraId="0B629C1D" w14:textId="7F4D6B52" w:rsidR="00EB415B" w:rsidRPr="00F171A3" w:rsidRDefault="00EB415B">
            <w:pPr>
              <w:numPr>
                <w:ilvl w:val="0"/>
                <w:numId w:val="16"/>
              </w:numPr>
              <w:spacing w:before="0" w:after="0"/>
              <w:rPr>
                <w:color w:val="134753"/>
              </w:rPr>
            </w:pPr>
            <w:r w:rsidRPr="00F171A3">
              <w:rPr>
                <w:color w:val="134753"/>
              </w:rPr>
              <w:t>Descreșterea continuă a populației față de anul 2015</w:t>
            </w:r>
          </w:p>
        </w:tc>
      </w:tr>
      <w:tr w:rsidR="00EB415B" w:rsidRPr="00F171A3" w14:paraId="1BE16D00" w14:textId="77777777" w:rsidTr="00EB415B">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52C98659" w14:textId="07034161" w:rsidR="00EB415B" w:rsidRPr="00F171A3" w:rsidRDefault="00EB415B">
            <w:pPr>
              <w:numPr>
                <w:ilvl w:val="0"/>
                <w:numId w:val="16"/>
              </w:numPr>
              <w:spacing w:before="0" w:after="0"/>
              <w:rPr>
                <w:color w:val="134753"/>
              </w:rPr>
            </w:pPr>
            <w:r w:rsidRPr="00F171A3">
              <w:rPr>
                <w:color w:val="134753"/>
              </w:rPr>
              <w:t>Populația activă cu vârstă cuprinsă între 30 și 50 de ani constituie o majoritate</w:t>
            </w:r>
          </w:p>
        </w:tc>
        <w:tc>
          <w:tcPr>
            <w:tcW w:w="2534" w:type="pct"/>
          </w:tcPr>
          <w:p w14:paraId="1833F241" w14:textId="581B325B" w:rsidR="00EB415B" w:rsidRPr="00F171A3" w:rsidRDefault="00EB415B">
            <w:pPr>
              <w:numPr>
                <w:ilvl w:val="0"/>
                <w:numId w:val="16"/>
              </w:numPr>
              <w:spacing w:before="0" w:after="0"/>
              <w:rPr>
                <w:color w:val="134753"/>
              </w:rPr>
            </w:pPr>
            <w:r w:rsidRPr="00F171A3">
              <w:rPr>
                <w:color w:val="134753"/>
              </w:rPr>
              <w:t>Rata de nupțialitate din Sectorul 2 este inferioară mediei naționale, în timp ce rata de divorțialitate este superioară</w:t>
            </w:r>
          </w:p>
        </w:tc>
      </w:tr>
      <w:tr w:rsidR="00EB415B" w:rsidRPr="00F171A3" w14:paraId="74BF2441" w14:textId="77777777" w:rsidTr="00F35DEE">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vAlign w:val="center"/>
          </w:tcPr>
          <w:p w14:paraId="061D07FD" w14:textId="64BE5BA4" w:rsidR="00EB415B" w:rsidRPr="00F171A3" w:rsidRDefault="00EB415B" w:rsidP="00F35DEE">
            <w:pPr>
              <w:spacing w:after="0"/>
              <w:jc w:val="center"/>
              <w:rPr>
                <w:b/>
                <w:bCs/>
                <w:color w:val="134753"/>
              </w:rPr>
            </w:pPr>
            <w:r w:rsidRPr="00F171A3">
              <w:rPr>
                <w:b/>
                <w:bCs/>
              </w:rPr>
              <w:t>OPORTUNITĂȚI</w:t>
            </w:r>
          </w:p>
        </w:tc>
        <w:tc>
          <w:tcPr>
            <w:tcW w:w="2534" w:type="pct"/>
            <w:shd w:val="clear" w:color="auto" w:fill="134753" w:themeFill="text2"/>
            <w:vAlign w:val="center"/>
          </w:tcPr>
          <w:p w14:paraId="22C82EFB" w14:textId="75CE9657" w:rsidR="00EB415B" w:rsidRPr="00F171A3" w:rsidRDefault="00EB415B" w:rsidP="00F35DEE">
            <w:pPr>
              <w:spacing w:before="0" w:after="0"/>
              <w:jc w:val="center"/>
              <w:rPr>
                <w:b/>
                <w:bCs/>
                <w:color w:val="134753"/>
              </w:rPr>
            </w:pPr>
            <w:r w:rsidRPr="00F171A3">
              <w:rPr>
                <w:b/>
                <w:bCs/>
              </w:rPr>
              <w:t>AMENINȚĂRI</w:t>
            </w:r>
          </w:p>
        </w:tc>
      </w:tr>
      <w:tr w:rsidR="00EB415B" w:rsidRPr="00F171A3" w14:paraId="7E2C4616" w14:textId="77777777" w:rsidTr="00EB415B">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25A07B3D" w14:textId="6701DEFE" w:rsidR="00EB415B" w:rsidRPr="00F171A3" w:rsidRDefault="00EB415B">
            <w:pPr>
              <w:numPr>
                <w:ilvl w:val="0"/>
                <w:numId w:val="16"/>
              </w:numPr>
              <w:spacing w:before="0" w:after="0"/>
              <w:rPr>
                <w:color w:val="134753"/>
              </w:rPr>
            </w:pPr>
            <w:r w:rsidRPr="00F171A3">
              <w:rPr>
                <w:color w:val="134753"/>
              </w:rPr>
              <w:t xml:space="preserve">Bucureștiul </w:t>
            </w:r>
            <w:r w:rsidR="00A803E3" w:rsidRPr="00F171A3">
              <w:rPr>
                <w:color w:val="134753"/>
              </w:rPr>
              <w:t>reprezintă</w:t>
            </w:r>
            <w:r w:rsidRPr="00F171A3">
              <w:rPr>
                <w:color w:val="134753"/>
              </w:rPr>
              <w:t xml:space="preserve"> un pol de atracție, respectiv în fiecare an vor veni noi tineri</w:t>
            </w:r>
          </w:p>
        </w:tc>
        <w:tc>
          <w:tcPr>
            <w:tcW w:w="2534" w:type="pct"/>
          </w:tcPr>
          <w:p w14:paraId="18A49D1E" w14:textId="223A04BA" w:rsidR="00EB415B" w:rsidRPr="00F171A3" w:rsidRDefault="00EB415B">
            <w:pPr>
              <w:numPr>
                <w:ilvl w:val="0"/>
                <w:numId w:val="16"/>
              </w:numPr>
              <w:spacing w:before="0" w:after="0"/>
              <w:rPr>
                <w:color w:val="134753"/>
              </w:rPr>
            </w:pPr>
            <w:r w:rsidRPr="00F171A3">
              <w:rPr>
                <w:color w:val="134753"/>
              </w:rPr>
              <w:t>În circa 15 ani va fi înregistrat un deficit al forței de muncă, din cauza dezechilibrelor pe piața forței de muncă</w:t>
            </w:r>
          </w:p>
        </w:tc>
      </w:tr>
      <w:tr w:rsidR="00EB415B" w:rsidRPr="00F171A3" w14:paraId="782F6309" w14:textId="77777777" w:rsidTr="00EB415B">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3311158" w14:textId="33B9B402" w:rsidR="00EB415B" w:rsidRPr="00F171A3" w:rsidRDefault="00EB415B">
            <w:pPr>
              <w:numPr>
                <w:ilvl w:val="0"/>
                <w:numId w:val="16"/>
              </w:numPr>
              <w:spacing w:before="0" w:after="0"/>
              <w:rPr>
                <w:color w:val="134753"/>
              </w:rPr>
            </w:pPr>
            <w:r w:rsidRPr="00F171A3">
              <w:rPr>
                <w:color w:val="134753"/>
              </w:rPr>
              <w:t>Finalizarea RGPL 2022 va pune la dispoziție date exacte și actuale cu privire la structura demografică, ceea ce va permite realizarea de politici publice în acest domeniu (de ex. încurajarea natalității)</w:t>
            </w:r>
          </w:p>
        </w:tc>
        <w:tc>
          <w:tcPr>
            <w:tcW w:w="2534" w:type="pct"/>
          </w:tcPr>
          <w:p w14:paraId="54EF3775" w14:textId="64EF31F8" w:rsidR="00EB415B" w:rsidRPr="00F171A3" w:rsidRDefault="00EB415B">
            <w:pPr>
              <w:numPr>
                <w:ilvl w:val="0"/>
                <w:numId w:val="16"/>
              </w:numPr>
              <w:spacing w:before="0" w:after="0"/>
              <w:rPr>
                <w:color w:val="134753"/>
              </w:rPr>
            </w:pPr>
            <w:r w:rsidRPr="00F171A3">
              <w:rPr>
                <w:color w:val="134753"/>
              </w:rPr>
              <w:t>Migrația forței de muncă tinere din domeniile bine plătite (IT&amp;C, High Tech, etc.) în afara țării</w:t>
            </w:r>
          </w:p>
        </w:tc>
      </w:tr>
    </w:tbl>
    <w:p w14:paraId="550C0AD8" w14:textId="4E6AE7A5" w:rsidR="00825416" w:rsidRPr="00F171A3" w:rsidRDefault="00825416" w:rsidP="007F2663">
      <w:pPr>
        <w:pStyle w:val="Normal0"/>
      </w:pPr>
    </w:p>
    <w:tbl>
      <w:tblPr>
        <w:tblStyle w:val="Civittatable5"/>
        <w:tblW w:w="5067" w:type="pct"/>
        <w:tblInd w:w="-5" w:type="dxa"/>
        <w:tblLook w:val="0480" w:firstRow="0" w:lastRow="0" w:firstColumn="1" w:lastColumn="0" w:noHBand="0" w:noVBand="1"/>
      </w:tblPr>
      <w:tblGrid>
        <w:gridCol w:w="4506"/>
        <w:gridCol w:w="4631"/>
      </w:tblGrid>
      <w:tr w:rsidR="006A54E6" w:rsidRPr="00F171A3" w14:paraId="5F3C6E32"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1D624D4E" w14:textId="668802F4" w:rsidR="006A54E6" w:rsidRPr="00F171A3" w:rsidRDefault="00362E70" w:rsidP="00520678">
            <w:pPr>
              <w:spacing w:after="0"/>
              <w:jc w:val="center"/>
              <w:rPr>
                <w:b/>
                <w:bCs/>
                <w:color w:val="FFFFFF" w:themeColor="background1"/>
              </w:rPr>
            </w:pPr>
            <w:r w:rsidRPr="00F171A3">
              <w:rPr>
                <w:b/>
                <w:bCs/>
                <w:color w:val="FFFFFF" w:themeColor="background1"/>
              </w:rPr>
              <w:t>DEZVOLTARE LOCAL</w:t>
            </w:r>
            <w:r w:rsidR="00244CAC" w:rsidRPr="00F171A3">
              <w:rPr>
                <w:b/>
                <w:bCs/>
                <w:color w:val="FFFFFF" w:themeColor="background1"/>
              </w:rPr>
              <w:t>Ă</w:t>
            </w:r>
            <w:r w:rsidRPr="00F171A3">
              <w:rPr>
                <w:b/>
                <w:bCs/>
                <w:color w:val="FFFFFF" w:themeColor="background1"/>
              </w:rPr>
              <w:t xml:space="preserve"> ȘI COMUNITĂȚI DEZAVANTAJATE</w:t>
            </w:r>
          </w:p>
        </w:tc>
      </w:tr>
      <w:tr w:rsidR="006A54E6" w:rsidRPr="00F171A3" w14:paraId="17763AB5"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2C5C4B3B" w14:textId="77777777" w:rsidR="006A54E6" w:rsidRPr="00F171A3" w:rsidRDefault="006A54E6" w:rsidP="00520678">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6BBEF2D1" w14:textId="77777777" w:rsidR="006A54E6" w:rsidRPr="00F171A3" w:rsidRDefault="006A54E6" w:rsidP="00520678">
            <w:pPr>
              <w:spacing w:after="0"/>
              <w:jc w:val="center"/>
              <w:rPr>
                <w:b/>
                <w:bCs/>
                <w:color w:val="FFFFFF" w:themeColor="background1"/>
              </w:rPr>
            </w:pPr>
            <w:r w:rsidRPr="00F171A3">
              <w:rPr>
                <w:b/>
                <w:bCs/>
                <w:color w:val="FFFFFF" w:themeColor="background1"/>
              </w:rPr>
              <w:t>PUNCTE SLABE</w:t>
            </w:r>
          </w:p>
        </w:tc>
      </w:tr>
      <w:tr w:rsidR="00362E70" w:rsidRPr="00F171A3" w14:paraId="08BCB0A2"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5E7343DC" w14:textId="05DD2AAD" w:rsidR="00362E70" w:rsidRPr="00F171A3" w:rsidRDefault="00362E70">
            <w:pPr>
              <w:numPr>
                <w:ilvl w:val="0"/>
                <w:numId w:val="16"/>
              </w:numPr>
              <w:spacing w:before="0" w:after="0"/>
              <w:rPr>
                <w:color w:val="134753"/>
              </w:rPr>
            </w:pPr>
            <w:r w:rsidRPr="00F171A3">
              <w:rPr>
                <w:color w:val="134753"/>
              </w:rPr>
              <w:t>Existența unor studii în domeniu</w:t>
            </w:r>
            <w:r w:rsidR="00A803E3" w:rsidRPr="00F171A3">
              <w:rPr>
                <w:color w:val="134753"/>
              </w:rPr>
              <w:t xml:space="preserve"> prin care sunt identificate problemele ce afectează comunitățile marginalizate </w:t>
            </w:r>
            <w:r w:rsidRPr="00F171A3">
              <w:rPr>
                <w:color w:val="134753"/>
              </w:rPr>
              <w:t>(</w:t>
            </w:r>
            <w:r w:rsidR="00A803E3" w:rsidRPr="00F171A3">
              <w:rPr>
                <w:color w:val="134753"/>
              </w:rPr>
              <w:t>S</w:t>
            </w:r>
            <w:r w:rsidRPr="00F171A3">
              <w:rPr>
                <w:color w:val="134753"/>
              </w:rPr>
              <w:t>trategia DGASPC, Cartografierea serviciilor sociale din Sectorul 2)</w:t>
            </w:r>
          </w:p>
        </w:tc>
        <w:tc>
          <w:tcPr>
            <w:tcW w:w="2534" w:type="pct"/>
          </w:tcPr>
          <w:p w14:paraId="06FF3C65" w14:textId="13267782" w:rsidR="00362E70" w:rsidRPr="00F171A3" w:rsidRDefault="00362E70">
            <w:pPr>
              <w:numPr>
                <w:ilvl w:val="0"/>
                <w:numId w:val="16"/>
              </w:numPr>
              <w:spacing w:before="0" w:after="0"/>
              <w:rPr>
                <w:color w:val="134753"/>
              </w:rPr>
            </w:pPr>
            <w:r w:rsidRPr="00F171A3">
              <w:rPr>
                <w:color w:val="134753"/>
              </w:rPr>
              <w:t xml:space="preserve">Rata abandonului școlar și a șomajului în zonele </w:t>
            </w:r>
            <w:r w:rsidR="00A803E3" w:rsidRPr="00F171A3">
              <w:rPr>
                <w:color w:val="134753"/>
              </w:rPr>
              <w:t>marginalizate</w:t>
            </w:r>
            <w:r w:rsidRPr="00F171A3">
              <w:rPr>
                <w:color w:val="134753"/>
              </w:rPr>
              <w:t xml:space="preserve"> este foarte ridicată</w:t>
            </w:r>
          </w:p>
        </w:tc>
      </w:tr>
      <w:tr w:rsidR="00883EC8" w:rsidRPr="00F171A3" w14:paraId="35750D2C"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09F66002" w14:textId="539A65AF" w:rsidR="00883EC8" w:rsidRPr="00F171A3" w:rsidRDefault="00883EC8">
            <w:pPr>
              <w:numPr>
                <w:ilvl w:val="0"/>
                <w:numId w:val="16"/>
              </w:numPr>
              <w:spacing w:before="0" w:after="0"/>
              <w:rPr>
                <w:color w:val="134753"/>
              </w:rPr>
            </w:pPr>
            <w:r w:rsidRPr="00F171A3">
              <w:rPr>
                <w:color w:val="134753"/>
              </w:rPr>
              <w:t>Existența programelor de finanțare pentru proiecte de reinserție socială și de combat</w:t>
            </w:r>
            <w:r w:rsidR="00EF6538">
              <w:rPr>
                <w:color w:val="134753"/>
              </w:rPr>
              <w:t>e</w:t>
            </w:r>
            <w:r w:rsidRPr="00F171A3">
              <w:rPr>
                <w:color w:val="134753"/>
              </w:rPr>
              <w:t>re a abandonului școlar</w:t>
            </w:r>
          </w:p>
        </w:tc>
        <w:tc>
          <w:tcPr>
            <w:tcW w:w="2534" w:type="pct"/>
          </w:tcPr>
          <w:p w14:paraId="4BCDE91E" w14:textId="12A4ED8A" w:rsidR="00883EC8" w:rsidRPr="00F171A3" w:rsidRDefault="00883EC8">
            <w:pPr>
              <w:pStyle w:val="ListParagraph"/>
              <w:numPr>
                <w:ilvl w:val="0"/>
                <w:numId w:val="16"/>
              </w:numPr>
              <w:spacing w:after="0"/>
              <w:rPr>
                <w:color w:val="134753"/>
              </w:rPr>
            </w:pPr>
            <w:r w:rsidRPr="00F171A3">
              <w:rPr>
                <w:color w:val="134753"/>
              </w:rPr>
              <w:t>Există condiții de trai care pun în pericol viața și sănătatea celor care locuiesc, dar și a celor care trec pe stradă (branșamente improvizate)</w:t>
            </w:r>
          </w:p>
        </w:tc>
      </w:tr>
      <w:tr w:rsidR="00883EC8" w:rsidRPr="00F171A3" w14:paraId="7AC73F84"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6DE1620F" w14:textId="0857A71B" w:rsidR="00883EC8" w:rsidRPr="00F171A3" w:rsidRDefault="00883EC8">
            <w:pPr>
              <w:numPr>
                <w:ilvl w:val="0"/>
                <w:numId w:val="16"/>
              </w:numPr>
              <w:spacing w:before="0" w:after="0"/>
              <w:rPr>
                <w:color w:val="134753"/>
              </w:rPr>
            </w:pPr>
            <w:r w:rsidRPr="00F171A3">
              <w:rPr>
                <w:color w:val="134753"/>
              </w:rPr>
              <w:t>Disponibilitatea cursurilor de calificare pentru a obține o meserie</w:t>
            </w:r>
          </w:p>
        </w:tc>
        <w:tc>
          <w:tcPr>
            <w:tcW w:w="2534" w:type="pct"/>
          </w:tcPr>
          <w:p w14:paraId="7A7BCF29" w14:textId="7AE95A86" w:rsidR="00883EC8" w:rsidRPr="00F171A3" w:rsidRDefault="00883EC8">
            <w:pPr>
              <w:numPr>
                <w:ilvl w:val="0"/>
                <w:numId w:val="16"/>
              </w:numPr>
              <w:spacing w:before="0" w:after="0"/>
              <w:rPr>
                <w:color w:val="134753"/>
              </w:rPr>
            </w:pPr>
            <w:r w:rsidRPr="00F171A3">
              <w:rPr>
                <w:color w:val="134753"/>
              </w:rPr>
              <w:t>Lipsa unor date actuale despre situația din zonele respective (majoritatea datelor analizate sunt din 2017)</w:t>
            </w:r>
          </w:p>
        </w:tc>
      </w:tr>
      <w:tr w:rsidR="00883EC8" w:rsidRPr="00F171A3" w14:paraId="0A877594"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49D0E455" w14:textId="77777777" w:rsidR="00883EC8" w:rsidRPr="00F171A3" w:rsidRDefault="00883EC8" w:rsidP="00883EC8">
            <w:pPr>
              <w:spacing w:after="0"/>
              <w:jc w:val="center"/>
              <w:rPr>
                <w:b/>
                <w:bCs/>
              </w:rPr>
            </w:pPr>
            <w:r w:rsidRPr="00F171A3">
              <w:rPr>
                <w:b/>
                <w:bCs/>
              </w:rPr>
              <w:t>OPORTUNITĂȚI</w:t>
            </w:r>
          </w:p>
        </w:tc>
        <w:tc>
          <w:tcPr>
            <w:tcW w:w="2534" w:type="pct"/>
            <w:shd w:val="clear" w:color="auto" w:fill="134753" w:themeFill="text2"/>
          </w:tcPr>
          <w:p w14:paraId="6DD47488" w14:textId="77777777" w:rsidR="00883EC8" w:rsidRPr="00F171A3" w:rsidRDefault="00883EC8" w:rsidP="00883EC8">
            <w:pPr>
              <w:spacing w:after="0"/>
              <w:jc w:val="center"/>
              <w:rPr>
                <w:b/>
                <w:bCs/>
              </w:rPr>
            </w:pPr>
            <w:r w:rsidRPr="00F171A3">
              <w:rPr>
                <w:b/>
                <w:bCs/>
              </w:rPr>
              <w:t>AMENINȚĂRI</w:t>
            </w:r>
          </w:p>
        </w:tc>
      </w:tr>
      <w:tr w:rsidR="00883EC8" w:rsidRPr="00F171A3" w14:paraId="07441626"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09B65F19" w14:textId="5B2C548D" w:rsidR="00883EC8" w:rsidRPr="00F171A3" w:rsidRDefault="00883EC8">
            <w:pPr>
              <w:numPr>
                <w:ilvl w:val="0"/>
                <w:numId w:val="16"/>
              </w:numPr>
              <w:spacing w:before="0" w:after="0"/>
              <w:rPr>
                <w:color w:val="134753"/>
              </w:rPr>
            </w:pPr>
            <w:r w:rsidRPr="00F171A3">
              <w:rPr>
                <w:color w:val="134753"/>
              </w:rPr>
              <w:t>Construcția de locuințe sociale pentru a oferi condiții mai bune de locuit</w:t>
            </w:r>
          </w:p>
        </w:tc>
        <w:tc>
          <w:tcPr>
            <w:tcW w:w="2534" w:type="pct"/>
          </w:tcPr>
          <w:p w14:paraId="346AFBA1" w14:textId="4EB47DF0" w:rsidR="00883EC8" w:rsidRPr="00F171A3" w:rsidRDefault="00883EC8">
            <w:pPr>
              <w:numPr>
                <w:ilvl w:val="0"/>
                <w:numId w:val="16"/>
              </w:numPr>
              <w:spacing w:before="0" w:after="0"/>
              <w:rPr>
                <w:color w:val="134753"/>
              </w:rPr>
            </w:pPr>
            <w:r w:rsidRPr="00F171A3">
              <w:rPr>
                <w:color w:val="134753"/>
              </w:rPr>
              <w:t>Posibilitatea de a se produce un incendiu major în cadrul branșamentelor improvizate</w:t>
            </w:r>
          </w:p>
        </w:tc>
      </w:tr>
      <w:tr w:rsidR="00883EC8" w:rsidRPr="00F171A3" w14:paraId="05E1BCA3"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7AB0371F" w14:textId="7D503C6C" w:rsidR="00883EC8" w:rsidRPr="00F171A3" w:rsidRDefault="00883EC8">
            <w:pPr>
              <w:numPr>
                <w:ilvl w:val="0"/>
                <w:numId w:val="16"/>
              </w:numPr>
              <w:spacing w:before="0" w:after="0"/>
              <w:rPr>
                <w:color w:val="134753"/>
              </w:rPr>
            </w:pPr>
            <w:r w:rsidRPr="00F171A3">
              <w:rPr>
                <w:color w:val="134753"/>
              </w:rPr>
              <w:t>Implementarea de proiecte sociale împreună cu ONG-uri și fundații din domeniul serviciilor sociale</w:t>
            </w:r>
          </w:p>
        </w:tc>
        <w:tc>
          <w:tcPr>
            <w:tcW w:w="2534" w:type="pct"/>
          </w:tcPr>
          <w:p w14:paraId="553FA675" w14:textId="760D5F56" w:rsidR="00883EC8" w:rsidRPr="00F171A3" w:rsidRDefault="00883EC8">
            <w:pPr>
              <w:numPr>
                <w:ilvl w:val="0"/>
                <w:numId w:val="16"/>
              </w:numPr>
              <w:spacing w:before="0" w:after="0"/>
              <w:rPr>
                <w:color w:val="134753"/>
              </w:rPr>
            </w:pPr>
            <w:r w:rsidRPr="00F171A3">
              <w:rPr>
                <w:color w:val="134753"/>
              </w:rPr>
              <w:t>Probleme grave de sănătate în rândul locuitorilor din zonele respective, din cauza condițiilor sanitare improprii și a ignorării</w:t>
            </w:r>
          </w:p>
        </w:tc>
      </w:tr>
      <w:tr w:rsidR="00883EC8" w:rsidRPr="00F171A3" w14:paraId="221FCA23"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5AC5CE92" w14:textId="77777777" w:rsidR="00883EC8" w:rsidRPr="00F171A3" w:rsidRDefault="00883EC8" w:rsidP="00883EC8">
            <w:pPr>
              <w:spacing w:before="0" w:after="0"/>
              <w:ind w:left="720"/>
              <w:rPr>
                <w:color w:val="134753"/>
              </w:rPr>
            </w:pPr>
          </w:p>
        </w:tc>
        <w:tc>
          <w:tcPr>
            <w:tcW w:w="2534" w:type="pct"/>
          </w:tcPr>
          <w:p w14:paraId="7192A70E" w14:textId="7A0F647E" w:rsidR="00883EC8" w:rsidRPr="00F171A3" w:rsidRDefault="00883EC8">
            <w:pPr>
              <w:numPr>
                <w:ilvl w:val="0"/>
                <w:numId w:val="16"/>
              </w:numPr>
              <w:spacing w:before="0" w:after="0"/>
              <w:rPr>
                <w:color w:val="134753"/>
              </w:rPr>
            </w:pPr>
            <w:r w:rsidRPr="00F171A3">
              <w:rPr>
                <w:color w:val="134753"/>
              </w:rPr>
              <w:t>Presiunea tot mai mare asupra DGASPC, care nu poate face față tuturor zonelor din diverse cauze (lipsă de personal, de ex.)</w:t>
            </w:r>
          </w:p>
        </w:tc>
      </w:tr>
    </w:tbl>
    <w:p w14:paraId="7645818D" w14:textId="5269BEF5" w:rsidR="006A54E6" w:rsidRPr="00F171A3" w:rsidRDefault="006A54E6" w:rsidP="007F2663">
      <w:pPr>
        <w:pStyle w:val="Normal0"/>
      </w:pPr>
    </w:p>
    <w:p w14:paraId="3DCF94E5" w14:textId="5F8FF180" w:rsidR="00F35DEE" w:rsidRPr="00F171A3" w:rsidRDefault="00F35DEE" w:rsidP="007F2663">
      <w:pPr>
        <w:pStyle w:val="Normal0"/>
      </w:pPr>
    </w:p>
    <w:p w14:paraId="3030B350" w14:textId="77777777" w:rsidR="00F35DEE" w:rsidRPr="00F171A3" w:rsidRDefault="00F35DEE" w:rsidP="007F2663">
      <w:pPr>
        <w:pStyle w:val="Normal0"/>
      </w:pPr>
    </w:p>
    <w:tbl>
      <w:tblPr>
        <w:tblStyle w:val="Civittatable5"/>
        <w:tblW w:w="5067" w:type="pct"/>
        <w:tblInd w:w="-5" w:type="dxa"/>
        <w:tblLook w:val="0480" w:firstRow="0" w:lastRow="0" w:firstColumn="1" w:lastColumn="0" w:noHBand="0" w:noVBand="1"/>
      </w:tblPr>
      <w:tblGrid>
        <w:gridCol w:w="4506"/>
        <w:gridCol w:w="4631"/>
      </w:tblGrid>
      <w:tr w:rsidR="00E71332" w:rsidRPr="00F171A3" w14:paraId="3D3878D5"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5B49E73A" w14:textId="77777777" w:rsidR="00E71332" w:rsidRPr="00F171A3" w:rsidRDefault="00E71332" w:rsidP="00C44C7A">
            <w:pPr>
              <w:spacing w:after="0"/>
              <w:jc w:val="center"/>
              <w:rPr>
                <w:b/>
                <w:bCs/>
                <w:color w:val="FFFFFF" w:themeColor="background1"/>
              </w:rPr>
            </w:pPr>
            <w:r w:rsidRPr="00F171A3">
              <w:rPr>
                <w:b/>
                <w:bCs/>
                <w:color w:val="FFFFFF" w:themeColor="background1"/>
              </w:rPr>
              <w:t>SERVICII SOCIALE</w:t>
            </w:r>
          </w:p>
        </w:tc>
      </w:tr>
      <w:tr w:rsidR="00E71332" w:rsidRPr="00F171A3" w14:paraId="4010C90F"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3A805846" w14:textId="77777777" w:rsidR="00E71332" w:rsidRPr="00F171A3" w:rsidRDefault="00E71332" w:rsidP="00C44C7A">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68C7478D" w14:textId="77777777" w:rsidR="00E71332" w:rsidRPr="00F171A3" w:rsidRDefault="00E71332" w:rsidP="00C44C7A">
            <w:pPr>
              <w:spacing w:after="0"/>
              <w:jc w:val="center"/>
              <w:rPr>
                <w:b/>
                <w:bCs/>
                <w:color w:val="FFFFFF" w:themeColor="background1"/>
              </w:rPr>
            </w:pPr>
            <w:r w:rsidRPr="00F171A3">
              <w:rPr>
                <w:b/>
                <w:bCs/>
                <w:color w:val="FFFFFF" w:themeColor="background1"/>
              </w:rPr>
              <w:t>PUNCTE SLABE</w:t>
            </w:r>
          </w:p>
        </w:tc>
      </w:tr>
      <w:tr w:rsidR="00E71332" w:rsidRPr="00F171A3" w14:paraId="345A2206"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5EFE204F" w14:textId="77777777" w:rsidR="00E71332" w:rsidRPr="00F171A3" w:rsidRDefault="00E71332">
            <w:pPr>
              <w:numPr>
                <w:ilvl w:val="0"/>
                <w:numId w:val="16"/>
              </w:numPr>
              <w:spacing w:before="0" w:after="0"/>
              <w:rPr>
                <w:color w:val="134753"/>
              </w:rPr>
            </w:pPr>
            <w:r w:rsidRPr="00F171A3">
              <w:rPr>
                <w:color w:val="134753"/>
              </w:rPr>
              <w:t>Existența unei oferte diversificate de servicii sociale la nivelul Sectorului 2</w:t>
            </w:r>
          </w:p>
        </w:tc>
        <w:tc>
          <w:tcPr>
            <w:tcW w:w="2534" w:type="pct"/>
          </w:tcPr>
          <w:p w14:paraId="562A6B10" w14:textId="77777777" w:rsidR="00E71332" w:rsidRPr="00F171A3" w:rsidRDefault="00E71332">
            <w:pPr>
              <w:numPr>
                <w:ilvl w:val="0"/>
                <w:numId w:val="16"/>
              </w:numPr>
              <w:spacing w:before="0" w:after="0"/>
              <w:rPr>
                <w:color w:val="134753"/>
              </w:rPr>
            </w:pPr>
            <w:r w:rsidRPr="00F171A3">
              <w:rPr>
                <w:color w:val="134753"/>
              </w:rPr>
              <w:t>Slaba digitalizare a serviciilor sociale publice</w:t>
            </w:r>
          </w:p>
        </w:tc>
      </w:tr>
      <w:tr w:rsidR="00E71332" w:rsidRPr="00F171A3" w14:paraId="6FF165FC"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00D81886" w14:textId="77777777" w:rsidR="00E71332" w:rsidRPr="00F171A3" w:rsidRDefault="00E71332">
            <w:pPr>
              <w:numPr>
                <w:ilvl w:val="0"/>
                <w:numId w:val="16"/>
              </w:numPr>
              <w:spacing w:before="0" w:after="0"/>
              <w:rPr>
                <w:color w:val="134753"/>
              </w:rPr>
            </w:pPr>
            <w:r w:rsidRPr="00F171A3">
              <w:rPr>
                <w:color w:val="134753"/>
              </w:rPr>
              <w:t>Existența unor rapoarte și studii în domeniu (Strategie de servicii sociale, Raport de Activitate, etc.)</w:t>
            </w:r>
          </w:p>
        </w:tc>
        <w:tc>
          <w:tcPr>
            <w:tcW w:w="2534" w:type="pct"/>
          </w:tcPr>
          <w:p w14:paraId="7D318612" w14:textId="77777777" w:rsidR="00E71332" w:rsidRPr="00F171A3" w:rsidRDefault="00E71332">
            <w:pPr>
              <w:numPr>
                <w:ilvl w:val="0"/>
                <w:numId w:val="16"/>
              </w:numPr>
              <w:spacing w:before="0" w:after="0"/>
              <w:rPr>
                <w:color w:val="134753"/>
              </w:rPr>
            </w:pPr>
            <w:r w:rsidRPr="00F171A3">
              <w:rPr>
                <w:color w:val="134753"/>
              </w:rPr>
              <w:t>Lipsa unei cantine sociale</w:t>
            </w:r>
          </w:p>
        </w:tc>
      </w:tr>
      <w:tr w:rsidR="00E71332" w:rsidRPr="00F171A3" w14:paraId="69957A6D"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AE26D42" w14:textId="77777777" w:rsidR="00E71332" w:rsidRPr="00F171A3" w:rsidRDefault="00E71332">
            <w:pPr>
              <w:numPr>
                <w:ilvl w:val="0"/>
                <w:numId w:val="16"/>
              </w:numPr>
              <w:spacing w:before="0" w:after="0"/>
              <w:rPr>
                <w:color w:val="134753"/>
              </w:rPr>
            </w:pPr>
            <w:r w:rsidRPr="00F171A3">
              <w:rPr>
                <w:color w:val="134753"/>
              </w:rPr>
              <w:t xml:space="preserve">Existența unor parteneriate și disponibilitatea pentru parteneriat sub forma subvenționării, contractării sau asocierii </w:t>
            </w:r>
          </w:p>
        </w:tc>
        <w:tc>
          <w:tcPr>
            <w:tcW w:w="2534" w:type="pct"/>
          </w:tcPr>
          <w:p w14:paraId="7B86486D" w14:textId="77777777" w:rsidR="00E71332" w:rsidRPr="00F171A3" w:rsidRDefault="00E71332">
            <w:pPr>
              <w:numPr>
                <w:ilvl w:val="0"/>
                <w:numId w:val="16"/>
              </w:numPr>
              <w:spacing w:before="0" w:after="0"/>
              <w:rPr>
                <w:color w:val="134753"/>
              </w:rPr>
            </w:pPr>
            <w:r w:rsidRPr="00F171A3">
              <w:rPr>
                <w:color w:val="134753"/>
              </w:rPr>
              <w:t>Nevoia de formare profesională continua pentru personalul DGASPC</w:t>
            </w:r>
          </w:p>
        </w:tc>
      </w:tr>
      <w:tr w:rsidR="00E71332" w:rsidRPr="00F171A3" w14:paraId="447A9343"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686991E" w14:textId="77777777" w:rsidR="00E71332" w:rsidRPr="00F171A3" w:rsidRDefault="00E71332">
            <w:pPr>
              <w:numPr>
                <w:ilvl w:val="0"/>
                <w:numId w:val="16"/>
              </w:numPr>
              <w:spacing w:before="0" w:after="0"/>
              <w:rPr>
                <w:color w:val="134753"/>
              </w:rPr>
            </w:pPr>
            <w:r w:rsidRPr="00F171A3">
              <w:rPr>
                <w:color w:val="134753"/>
              </w:rPr>
              <w:t>Atragerea fondurilor europene pentru îmbunătățirea calității serviciilor sociale</w:t>
            </w:r>
          </w:p>
        </w:tc>
        <w:tc>
          <w:tcPr>
            <w:tcW w:w="2534" w:type="pct"/>
          </w:tcPr>
          <w:p w14:paraId="14ACCE7F" w14:textId="275FC08F" w:rsidR="00E71332" w:rsidRPr="00F171A3" w:rsidRDefault="00E71332">
            <w:pPr>
              <w:numPr>
                <w:ilvl w:val="0"/>
                <w:numId w:val="16"/>
              </w:numPr>
              <w:spacing w:before="0" w:after="0"/>
              <w:rPr>
                <w:color w:val="134753"/>
              </w:rPr>
            </w:pPr>
            <w:r w:rsidRPr="00F171A3">
              <w:rPr>
                <w:color w:val="134753"/>
              </w:rPr>
              <w:t xml:space="preserve">Insuficiența de personal în rândul asistenților maternali și </w:t>
            </w:r>
            <w:r w:rsidR="00C66438" w:rsidRPr="00F171A3">
              <w:rPr>
                <w:color w:val="134753"/>
              </w:rPr>
              <w:t>îngrijitorilor</w:t>
            </w:r>
            <w:r w:rsidRPr="00F171A3">
              <w:rPr>
                <w:color w:val="134753"/>
              </w:rPr>
              <w:t xml:space="preserve"> la domiciliu</w:t>
            </w:r>
          </w:p>
        </w:tc>
      </w:tr>
      <w:tr w:rsidR="00E71332" w:rsidRPr="00F171A3" w14:paraId="174AA021"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shd w:val="clear" w:color="auto" w:fill="134753" w:themeFill="text2"/>
          </w:tcPr>
          <w:p w14:paraId="2D7042DD" w14:textId="77777777" w:rsidR="00E71332" w:rsidRPr="00F171A3" w:rsidRDefault="00E71332" w:rsidP="00C44C7A">
            <w:pPr>
              <w:spacing w:after="0"/>
              <w:jc w:val="center"/>
              <w:rPr>
                <w:b/>
                <w:bCs/>
              </w:rPr>
            </w:pPr>
            <w:r w:rsidRPr="00F171A3">
              <w:rPr>
                <w:b/>
                <w:bCs/>
              </w:rPr>
              <w:t>OPORTUNITĂȚI</w:t>
            </w:r>
          </w:p>
        </w:tc>
        <w:tc>
          <w:tcPr>
            <w:tcW w:w="2534" w:type="pct"/>
            <w:shd w:val="clear" w:color="auto" w:fill="134753" w:themeFill="text2"/>
          </w:tcPr>
          <w:p w14:paraId="46C1E3BD" w14:textId="77777777" w:rsidR="00E71332" w:rsidRPr="00F171A3" w:rsidRDefault="00E71332" w:rsidP="00C44C7A">
            <w:pPr>
              <w:spacing w:after="0"/>
              <w:jc w:val="center"/>
              <w:rPr>
                <w:b/>
                <w:bCs/>
              </w:rPr>
            </w:pPr>
            <w:r w:rsidRPr="00F171A3">
              <w:rPr>
                <w:b/>
                <w:bCs/>
              </w:rPr>
              <w:t>AMENINȚĂRI</w:t>
            </w:r>
          </w:p>
        </w:tc>
      </w:tr>
      <w:tr w:rsidR="00E71332" w:rsidRPr="00F171A3" w14:paraId="487453FA"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4EDDCFE" w14:textId="77777777" w:rsidR="00E71332" w:rsidRPr="00F171A3" w:rsidRDefault="00E71332">
            <w:pPr>
              <w:numPr>
                <w:ilvl w:val="0"/>
                <w:numId w:val="16"/>
              </w:numPr>
              <w:spacing w:before="0" w:after="0"/>
              <w:rPr>
                <w:color w:val="134753"/>
              </w:rPr>
            </w:pPr>
            <w:r w:rsidRPr="00F171A3">
              <w:rPr>
                <w:color w:val="134753"/>
              </w:rPr>
              <w:t>Realizarea de servicii sociale noi prin PNRR sau fonduri guvernamentale, pentru a acoperi nevoile existente</w:t>
            </w:r>
          </w:p>
        </w:tc>
        <w:tc>
          <w:tcPr>
            <w:tcW w:w="2534" w:type="pct"/>
          </w:tcPr>
          <w:p w14:paraId="5443CF4B" w14:textId="77777777" w:rsidR="00E71332" w:rsidRPr="00F171A3" w:rsidRDefault="00E71332">
            <w:pPr>
              <w:numPr>
                <w:ilvl w:val="0"/>
                <w:numId w:val="16"/>
              </w:numPr>
              <w:spacing w:before="0" w:after="0"/>
              <w:rPr>
                <w:color w:val="134753"/>
              </w:rPr>
            </w:pPr>
            <w:r w:rsidRPr="00F171A3">
              <w:rPr>
                <w:color w:val="134753"/>
              </w:rPr>
              <w:t>Creșterea numărului de solicitări de servicii și prestații sociale în contextul conflictului militar din Ucraina și a crizei economice</w:t>
            </w:r>
          </w:p>
        </w:tc>
      </w:tr>
      <w:tr w:rsidR="00E71332" w:rsidRPr="00F171A3" w14:paraId="65CF38CB"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1C66E98" w14:textId="77777777" w:rsidR="00E71332" w:rsidRPr="00F171A3" w:rsidRDefault="00E71332">
            <w:pPr>
              <w:numPr>
                <w:ilvl w:val="0"/>
                <w:numId w:val="16"/>
              </w:numPr>
              <w:spacing w:before="0" w:after="0"/>
              <w:rPr>
                <w:color w:val="134753"/>
              </w:rPr>
            </w:pPr>
            <w:r w:rsidRPr="00F171A3">
              <w:rPr>
                <w:color w:val="134753"/>
              </w:rPr>
              <w:t>Implementarea de proiecte și servicii sociale în parteneriat cu mediul non-guvernamental</w:t>
            </w:r>
          </w:p>
        </w:tc>
        <w:tc>
          <w:tcPr>
            <w:tcW w:w="2534" w:type="pct"/>
          </w:tcPr>
          <w:p w14:paraId="248D8FB8" w14:textId="77777777" w:rsidR="00E71332" w:rsidRPr="00F171A3" w:rsidRDefault="00E71332">
            <w:pPr>
              <w:numPr>
                <w:ilvl w:val="0"/>
                <w:numId w:val="16"/>
              </w:numPr>
              <w:spacing w:before="0" w:after="0"/>
              <w:rPr>
                <w:color w:val="134753"/>
              </w:rPr>
            </w:pPr>
            <w:r w:rsidRPr="00F171A3">
              <w:rPr>
                <w:color w:val="134753"/>
              </w:rPr>
              <w:t>Presiunea bugetară a cheltuielilor cu asistența socială</w:t>
            </w:r>
          </w:p>
        </w:tc>
      </w:tr>
      <w:tr w:rsidR="00E71332" w:rsidRPr="00F171A3" w14:paraId="378138C8"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59C2B15D" w14:textId="77777777" w:rsidR="00E71332" w:rsidRPr="00F171A3" w:rsidRDefault="00E71332">
            <w:pPr>
              <w:numPr>
                <w:ilvl w:val="0"/>
                <w:numId w:val="16"/>
              </w:numPr>
              <w:spacing w:before="0" w:after="0"/>
              <w:rPr>
                <w:color w:val="134753"/>
              </w:rPr>
            </w:pPr>
            <w:r w:rsidRPr="00F171A3">
              <w:rPr>
                <w:color w:val="134753"/>
              </w:rPr>
              <w:t>Oferirea cursurilor de formare profesională pentru personalul DGASPC în cadrul proiectelor naționale</w:t>
            </w:r>
          </w:p>
        </w:tc>
        <w:tc>
          <w:tcPr>
            <w:tcW w:w="2534" w:type="pct"/>
          </w:tcPr>
          <w:p w14:paraId="1D1B3306" w14:textId="77777777" w:rsidR="00E71332" w:rsidRPr="00F171A3" w:rsidRDefault="00E71332">
            <w:pPr>
              <w:numPr>
                <w:ilvl w:val="0"/>
                <w:numId w:val="16"/>
              </w:numPr>
              <w:spacing w:before="0" w:after="0"/>
              <w:rPr>
                <w:color w:val="134753"/>
              </w:rPr>
            </w:pPr>
            <w:r w:rsidRPr="00F171A3">
              <w:rPr>
                <w:color w:val="134753"/>
              </w:rPr>
              <w:t>Deteriorarea percepţiei publice a instituţiei în urma comunicării deficitare</w:t>
            </w:r>
          </w:p>
        </w:tc>
      </w:tr>
      <w:tr w:rsidR="00E71332" w:rsidRPr="00F171A3" w14:paraId="3DAB003F"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736C350F" w14:textId="77777777" w:rsidR="00E71332" w:rsidRPr="00F171A3" w:rsidRDefault="00E71332">
            <w:pPr>
              <w:numPr>
                <w:ilvl w:val="0"/>
                <w:numId w:val="16"/>
              </w:numPr>
              <w:spacing w:before="0" w:after="0"/>
              <w:rPr>
                <w:color w:val="134753"/>
              </w:rPr>
            </w:pPr>
            <w:r w:rsidRPr="00F171A3">
              <w:rPr>
                <w:color w:val="134753"/>
              </w:rPr>
              <w:t>Modernizarea infrastructurii existente prin accesarea de fonduri nerambursabile</w:t>
            </w:r>
          </w:p>
        </w:tc>
        <w:tc>
          <w:tcPr>
            <w:tcW w:w="2534" w:type="pct"/>
          </w:tcPr>
          <w:p w14:paraId="193C6994" w14:textId="1CDE04AD" w:rsidR="00E71332" w:rsidRPr="00F171A3" w:rsidRDefault="00CF7640">
            <w:pPr>
              <w:pStyle w:val="ListParagraph"/>
              <w:numPr>
                <w:ilvl w:val="0"/>
                <w:numId w:val="16"/>
              </w:numPr>
              <w:spacing w:after="0"/>
              <w:rPr>
                <w:color w:val="134753"/>
              </w:rPr>
            </w:pPr>
            <w:r w:rsidRPr="00F171A3">
              <w:rPr>
                <w:color w:val="134753"/>
              </w:rPr>
              <w:t>Presiunea tot mai mare pe serviciile publice destinate persoanelor vârstnice ca urmare a accentuării fenomenului de îmbătrânire demografică</w:t>
            </w:r>
          </w:p>
        </w:tc>
      </w:tr>
    </w:tbl>
    <w:p w14:paraId="42CE233F" w14:textId="2E46A4D7" w:rsidR="00E71332" w:rsidRPr="00F171A3" w:rsidRDefault="00E71332" w:rsidP="007F2663">
      <w:pPr>
        <w:pStyle w:val="Normal0"/>
      </w:pPr>
    </w:p>
    <w:tbl>
      <w:tblPr>
        <w:tblStyle w:val="Civittatable5"/>
        <w:tblW w:w="5067" w:type="pct"/>
        <w:tblInd w:w="-5" w:type="dxa"/>
        <w:tblLook w:val="0480" w:firstRow="0" w:lastRow="0" w:firstColumn="1" w:lastColumn="0" w:noHBand="0" w:noVBand="1"/>
      </w:tblPr>
      <w:tblGrid>
        <w:gridCol w:w="4506"/>
        <w:gridCol w:w="4631"/>
      </w:tblGrid>
      <w:tr w:rsidR="00E71332" w:rsidRPr="00F171A3" w14:paraId="19026AAF"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0042AD63" w14:textId="77777777" w:rsidR="00E71332" w:rsidRPr="00F171A3" w:rsidRDefault="00E71332" w:rsidP="00C44C7A">
            <w:pPr>
              <w:spacing w:after="0"/>
              <w:jc w:val="center"/>
              <w:rPr>
                <w:b/>
                <w:bCs/>
                <w:color w:val="FFFFFF" w:themeColor="background1"/>
              </w:rPr>
            </w:pPr>
            <w:r w:rsidRPr="00F171A3">
              <w:rPr>
                <w:b/>
                <w:bCs/>
                <w:color w:val="FFFFFF" w:themeColor="background1"/>
              </w:rPr>
              <w:t>SĂNĂTATE</w:t>
            </w:r>
          </w:p>
        </w:tc>
      </w:tr>
      <w:tr w:rsidR="00E71332" w:rsidRPr="00F171A3" w14:paraId="0C361551"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0CC38C80" w14:textId="77777777" w:rsidR="00E71332" w:rsidRPr="00F171A3" w:rsidRDefault="00E71332" w:rsidP="00C44C7A">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44F1D2F0" w14:textId="77777777" w:rsidR="00E71332" w:rsidRPr="00F171A3" w:rsidRDefault="00E71332" w:rsidP="00C44C7A">
            <w:pPr>
              <w:spacing w:after="0"/>
              <w:jc w:val="center"/>
              <w:rPr>
                <w:b/>
                <w:bCs/>
                <w:color w:val="FFFFFF" w:themeColor="background1"/>
              </w:rPr>
            </w:pPr>
            <w:r w:rsidRPr="00F171A3">
              <w:rPr>
                <w:b/>
                <w:bCs/>
                <w:color w:val="FFFFFF" w:themeColor="background1"/>
              </w:rPr>
              <w:t>PUNCTE SLABE</w:t>
            </w:r>
          </w:p>
        </w:tc>
      </w:tr>
      <w:tr w:rsidR="00E71332" w:rsidRPr="00F171A3" w14:paraId="7334F1BF"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1DC7F19" w14:textId="77777777" w:rsidR="00E71332" w:rsidRPr="00F171A3" w:rsidRDefault="00E71332">
            <w:pPr>
              <w:numPr>
                <w:ilvl w:val="0"/>
                <w:numId w:val="16"/>
              </w:numPr>
              <w:spacing w:before="0" w:after="0"/>
              <w:rPr>
                <w:color w:val="134753"/>
              </w:rPr>
            </w:pPr>
            <w:r w:rsidRPr="00F171A3">
              <w:rPr>
                <w:color w:val="134753"/>
              </w:rPr>
              <w:t>Infrastructura diversificată și dotată</w:t>
            </w:r>
          </w:p>
        </w:tc>
        <w:tc>
          <w:tcPr>
            <w:tcW w:w="2534" w:type="pct"/>
          </w:tcPr>
          <w:p w14:paraId="53049E2C" w14:textId="79808278" w:rsidR="00E71332" w:rsidRPr="00F171A3" w:rsidRDefault="00E71332">
            <w:pPr>
              <w:numPr>
                <w:ilvl w:val="0"/>
                <w:numId w:val="16"/>
              </w:numPr>
              <w:spacing w:before="0" w:after="0"/>
              <w:rPr>
                <w:color w:val="134753"/>
              </w:rPr>
            </w:pPr>
            <w:r w:rsidRPr="00F171A3">
              <w:rPr>
                <w:color w:val="134753"/>
              </w:rPr>
              <w:t>Presiunea fizică și psihică pe care a pus-o pandemia de COVID-19 asupra personalului medical și asupra infrastructurii (</w:t>
            </w:r>
            <w:r w:rsidR="00482049" w:rsidRPr="00F171A3">
              <w:rPr>
                <w:color w:val="134753"/>
              </w:rPr>
              <w:t>incendii</w:t>
            </w:r>
            <w:r w:rsidRPr="00F171A3">
              <w:rPr>
                <w:color w:val="134753"/>
              </w:rPr>
              <w:t xml:space="preserve"> înregistrate în cazul unor spitale)</w:t>
            </w:r>
          </w:p>
        </w:tc>
      </w:tr>
      <w:tr w:rsidR="00E71332" w:rsidRPr="00F171A3" w14:paraId="1ADFB0E2"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512B1E94" w14:textId="77777777" w:rsidR="00E71332" w:rsidRPr="00F171A3" w:rsidRDefault="00E71332">
            <w:pPr>
              <w:numPr>
                <w:ilvl w:val="0"/>
                <w:numId w:val="16"/>
              </w:numPr>
              <w:spacing w:before="0" w:after="0"/>
              <w:rPr>
                <w:color w:val="134753"/>
              </w:rPr>
            </w:pPr>
            <w:r w:rsidRPr="00F171A3">
              <w:rPr>
                <w:color w:val="134753"/>
              </w:rPr>
              <w:t>Prezența tuturor tipurilor de specialiști în municipiul București</w:t>
            </w:r>
          </w:p>
        </w:tc>
        <w:tc>
          <w:tcPr>
            <w:tcW w:w="2534" w:type="pct"/>
          </w:tcPr>
          <w:p w14:paraId="7E40E6B5" w14:textId="77777777" w:rsidR="00E71332" w:rsidRPr="00F171A3" w:rsidRDefault="00E71332">
            <w:pPr>
              <w:numPr>
                <w:ilvl w:val="0"/>
                <w:numId w:val="16"/>
              </w:numPr>
              <w:spacing w:before="0" w:after="0"/>
              <w:rPr>
                <w:color w:val="134753"/>
              </w:rPr>
            </w:pPr>
            <w:r w:rsidRPr="00F171A3">
              <w:rPr>
                <w:color w:val="134753"/>
              </w:rPr>
              <w:t>Suprasolicitarea spitalelor publice de excelență și nișă (în special în rândul acelor specialități care sunt disponibile în puține orașe din țară, de ex. transplant)</w:t>
            </w:r>
          </w:p>
        </w:tc>
      </w:tr>
      <w:tr w:rsidR="00E71332" w:rsidRPr="00F171A3" w14:paraId="568F1513"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2917CC9" w14:textId="77777777" w:rsidR="00E71332" w:rsidRPr="00F171A3" w:rsidRDefault="00E71332">
            <w:pPr>
              <w:numPr>
                <w:ilvl w:val="0"/>
                <w:numId w:val="16"/>
              </w:numPr>
              <w:spacing w:before="0" w:after="0"/>
              <w:rPr>
                <w:color w:val="134753"/>
              </w:rPr>
            </w:pPr>
            <w:r w:rsidRPr="00F171A3">
              <w:rPr>
                <w:color w:val="134753"/>
              </w:rPr>
              <w:t>Alocarea de fonduri consistente pentru infrastructura medicală prin PNRR</w:t>
            </w:r>
          </w:p>
        </w:tc>
        <w:tc>
          <w:tcPr>
            <w:tcW w:w="2534" w:type="pct"/>
          </w:tcPr>
          <w:p w14:paraId="726CE4B6" w14:textId="77777777" w:rsidR="00E71332" w:rsidRPr="00F171A3" w:rsidRDefault="00E71332" w:rsidP="00C44C7A">
            <w:pPr>
              <w:spacing w:before="0" w:after="0"/>
              <w:ind w:left="720"/>
              <w:rPr>
                <w:color w:val="134753"/>
              </w:rPr>
            </w:pPr>
          </w:p>
        </w:tc>
      </w:tr>
      <w:tr w:rsidR="00E71332" w:rsidRPr="00F171A3" w14:paraId="64874AE6"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4A285697" w14:textId="77777777" w:rsidR="00E71332" w:rsidRPr="00F171A3" w:rsidRDefault="00E71332" w:rsidP="00C44C7A">
            <w:pPr>
              <w:spacing w:after="0"/>
              <w:jc w:val="center"/>
              <w:rPr>
                <w:b/>
                <w:bCs/>
              </w:rPr>
            </w:pPr>
            <w:r w:rsidRPr="00F171A3">
              <w:rPr>
                <w:b/>
                <w:bCs/>
              </w:rPr>
              <w:t>OPORTUNITĂȚI</w:t>
            </w:r>
          </w:p>
        </w:tc>
        <w:tc>
          <w:tcPr>
            <w:tcW w:w="2534" w:type="pct"/>
            <w:shd w:val="clear" w:color="auto" w:fill="134753" w:themeFill="text2"/>
          </w:tcPr>
          <w:p w14:paraId="088EACC9" w14:textId="77777777" w:rsidR="00E71332" w:rsidRPr="00F171A3" w:rsidRDefault="00E71332" w:rsidP="00C44C7A">
            <w:pPr>
              <w:spacing w:after="0"/>
              <w:jc w:val="center"/>
              <w:rPr>
                <w:b/>
                <w:bCs/>
              </w:rPr>
            </w:pPr>
            <w:r w:rsidRPr="00F171A3">
              <w:rPr>
                <w:b/>
                <w:bCs/>
              </w:rPr>
              <w:t>AMENINȚĂRI</w:t>
            </w:r>
          </w:p>
        </w:tc>
      </w:tr>
      <w:tr w:rsidR="00E71332" w:rsidRPr="00F171A3" w14:paraId="0A82F25A"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5513604" w14:textId="77777777" w:rsidR="00E71332" w:rsidRPr="00F171A3" w:rsidRDefault="00E71332">
            <w:pPr>
              <w:numPr>
                <w:ilvl w:val="0"/>
                <w:numId w:val="16"/>
              </w:numPr>
              <w:spacing w:before="0" w:after="0"/>
              <w:rPr>
                <w:color w:val="134753"/>
              </w:rPr>
            </w:pPr>
            <w:r w:rsidRPr="00F171A3">
              <w:rPr>
                <w:color w:val="134753"/>
              </w:rPr>
              <w:t>Realizarea de proiecte și programe de informare despre igienă și sănătate, precum și despre importanța protejării mediului și a consecințelor poluării</w:t>
            </w:r>
          </w:p>
        </w:tc>
        <w:tc>
          <w:tcPr>
            <w:tcW w:w="2534" w:type="pct"/>
          </w:tcPr>
          <w:p w14:paraId="079216D7" w14:textId="77777777" w:rsidR="00E71332" w:rsidRPr="00F171A3" w:rsidRDefault="00E71332">
            <w:pPr>
              <w:numPr>
                <w:ilvl w:val="0"/>
                <w:numId w:val="16"/>
              </w:numPr>
              <w:spacing w:before="0" w:after="0"/>
              <w:rPr>
                <w:color w:val="134753"/>
              </w:rPr>
            </w:pPr>
            <w:r w:rsidRPr="00F171A3">
              <w:rPr>
                <w:color w:val="134753"/>
              </w:rPr>
              <w:t>Creșterea continuă a gradului de poluare ca urmare a densității mari de oameni și autovehicule înregistrate în Capitală</w:t>
            </w:r>
          </w:p>
        </w:tc>
      </w:tr>
      <w:tr w:rsidR="00E71332" w:rsidRPr="00F171A3" w14:paraId="54E7DB3C"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5C981BAB" w14:textId="77777777" w:rsidR="00E71332" w:rsidRPr="00F171A3" w:rsidRDefault="00E71332">
            <w:pPr>
              <w:numPr>
                <w:ilvl w:val="0"/>
                <w:numId w:val="16"/>
              </w:numPr>
              <w:spacing w:before="0" w:after="0"/>
              <w:rPr>
                <w:color w:val="134753"/>
              </w:rPr>
            </w:pPr>
            <w:r w:rsidRPr="00F171A3">
              <w:rPr>
                <w:color w:val="134753"/>
              </w:rPr>
              <w:t>Realizarea de investiții în modernizarea și dotarea spitalelor</w:t>
            </w:r>
          </w:p>
        </w:tc>
        <w:tc>
          <w:tcPr>
            <w:tcW w:w="2534" w:type="pct"/>
          </w:tcPr>
          <w:p w14:paraId="526A5912" w14:textId="77777777" w:rsidR="00E71332" w:rsidRPr="00F171A3" w:rsidRDefault="00E71332">
            <w:pPr>
              <w:numPr>
                <w:ilvl w:val="0"/>
                <w:numId w:val="16"/>
              </w:numPr>
              <w:spacing w:before="0" w:after="0"/>
              <w:rPr>
                <w:color w:val="134753"/>
              </w:rPr>
            </w:pPr>
            <w:r w:rsidRPr="00F171A3">
              <w:rPr>
                <w:color w:val="134753"/>
              </w:rPr>
              <w:t>Birocrația anevoioasă care duce la întârzieri, în special în cazul proiectelor mari</w:t>
            </w:r>
          </w:p>
        </w:tc>
      </w:tr>
      <w:tr w:rsidR="00E71332" w:rsidRPr="00F171A3" w14:paraId="6749B9DE"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5DD26283" w14:textId="77777777" w:rsidR="00E71332" w:rsidRPr="00F171A3" w:rsidRDefault="00E71332">
            <w:pPr>
              <w:numPr>
                <w:ilvl w:val="0"/>
                <w:numId w:val="16"/>
              </w:numPr>
              <w:spacing w:before="0" w:after="0"/>
              <w:rPr>
                <w:color w:val="134753"/>
              </w:rPr>
            </w:pPr>
            <w:r w:rsidRPr="00F171A3">
              <w:rPr>
                <w:color w:val="134753"/>
              </w:rPr>
              <w:t>Realizarea de parteneriate de cercetare împreună cu univeristățile din țară și străinătate, pentru a obține o performanță sporită</w:t>
            </w:r>
          </w:p>
        </w:tc>
        <w:tc>
          <w:tcPr>
            <w:tcW w:w="2534" w:type="pct"/>
          </w:tcPr>
          <w:p w14:paraId="6B1A33FF" w14:textId="35EB0E21" w:rsidR="00E71332" w:rsidRPr="00F171A3" w:rsidRDefault="00FF0E99">
            <w:pPr>
              <w:pStyle w:val="ListParagraph"/>
              <w:numPr>
                <w:ilvl w:val="0"/>
                <w:numId w:val="16"/>
              </w:numPr>
              <w:spacing w:after="0"/>
              <w:rPr>
                <w:color w:val="134753"/>
              </w:rPr>
            </w:pPr>
            <w:r w:rsidRPr="00F171A3">
              <w:rPr>
                <w:color w:val="134753"/>
              </w:rPr>
              <w:t xml:space="preserve">Procentul mic de locuitori ai sectorului care se declară mulțumiți de sistemul public de sănătate </w:t>
            </w:r>
          </w:p>
        </w:tc>
      </w:tr>
    </w:tbl>
    <w:p w14:paraId="603E90E7" w14:textId="575BC88C" w:rsidR="00E71332" w:rsidRPr="00F171A3" w:rsidRDefault="00E71332" w:rsidP="007F2663">
      <w:pPr>
        <w:pStyle w:val="Normal0"/>
      </w:pPr>
    </w:p>
    <w:p w14:paraId="77297D72" w14:textId="77777777" w:rsidR="00F35DEE" w:rsidRPr="00F171A3" w:rsidRDefault="00F35DEE" w:rsidP="007F2663">
      <w:pPr>
        <w:pStyle w:val="Normal0"/>
      </w:pPr>
    </w:p>
    <w:tbl>
      <w:tblPr>
        <w:tblStyle w:val="Civittatable5"/>
        <w:tblW w:w="5067" w:type="pct"/>
        <w:tblInd w:w="-5" w:type="dxa"/>
        <w:tblLook w:val="0480" w:firstRow="0" w:lastRow="0" w:firstColumn="1" w:lastColumn="0" w:noHBand="0" w:noVBand="1"/>
      </w:tblPr>
      <w:tblGrid>
        <w:gridCol w:w="4568"/>
        <w:gridCol w:w="4569"/>
      </w:tblGrid>
      <w:tr w:rsidR="006A54E6" w:rsidRPr="00F171A3" w14:paraId="0F4379D1"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6EB77654" w14:textId="7535767C" w:rsidR="006A54E6" w:rsidRPr="00F171A3" w:rsidRDefault="009F263A" w:rsidP="00520678">
            <w:pPr>
              <w:spacing w:after="0"/>
              <w:jc w:val="center"/>
              <w:rPr>
                <w:b/>
                <w:bCs/>
                <w:color w:val="FFFFFF" w:themeColor="background1"/>
              </w:rPr>
            </w:pPr>
            <w:r w:rsidRPr="00F171A3">
              <w:rPr>
                <w:b/>
                <w:bCs/>
                <w:color w:val="FFFFFF" w:themeColor="background1"/>
              </w:rPr>
              <w:t>EDUCATIE</w:t>
            </w:r>
          </w:p>
        </w:tc>
      </w:tr>
      <w:tr w:rsidR="006A54E6" w:rsidRPr="00F171A3" w14:paraId="77E1FADF" w14:textId="77777777" w:rsidTr="00963E4C">
        <w:trPr>
          <w:cnfStyle w:val="000000010000" w:firstRow="0" w:lastRow="0" w:firstColumn="0" w:lastColumn="0" w:oddVBand="0" w:evenVBand="0" w:oddHBand="0" w:evenHBand="1" w:firstRowFirstColumn="0" w:firstRowLastColumn="0" w:lastRowFirstColumn="0" w:lastRowLastColumn="0"/>
          <w:trHeight w:val="20"/>
        </w:trPr>
        <w:tc>
          <w:tcPr>
            <w:tcW w:w="2500" w:type="pct"/>
            <w:shd w:val="clear" w:color="auto" w:fill="134753" w:themeFill="text2"/>
          </w:tcPr>
          <w:p w14:paraId="2AA4FFCC" w14:textId="77777777" w:rsidR="006A54E6" w:rsidRPr="00F171A3" w:rsidRDefault="006A54E6" w:rsidP="00520678">
            <w:pPr>
              <w:spacing w:after="0"/>
              <w:jc w:val="center"/>
              <w:rPr>
                <w:b/>
                <w:bCs/>
                <w:color w:val="FFFFFF" w:themeColor="background1"/>
              </w:rPr>
            </w:pPr>
            <w:r w:rsidRPr="00F171A3">
              <w:rPr>
                <w:b/>
                <w:bCs/>
                <w:color w:val="FFFFFF" w:themeColor="background1"/>
              </w:rPr>
              <w:t>PUNCTE TARI</w:t>
            </w:r>
          </w:p>
        </w:tc>
        <w:tc>
          <w:tcPr>
            <w:tcW w:w="2500" w:type="pct"/>
            <w:shd w:val="clear" w:color="auto" w:fill="134753" w:themeFill="text2"/>
          </w:tcPr>
          <w:p w14:paraId="16F609C8" w14:textId="77777777" w:rsidR="006A54E6" w:rsidRPr="00F171A3" w:rsidRDefault="006A54E6" w:rsidP="00520678">
            <w:pPr>
              <w:spacing w:after="0"/>
              <w:jc w:val="center"/>
              <w:rPr>
                <w:b/>
                <w:bCs/>
                <w:color w:val="FFFFFF" w:themeColor="background1"/>
              </w:rPr>
            </w:pPr>
            <w:r w:rsidRPr="00F171A3">
              <w:rPr>
                <w:b/>
                <w:bCs/>
                <w:color w:val="FFFFFF" w:themeColor="background1"/>
              </w:rPr>
              <w:t>PUNCTE SLABE</w:t>
            </w:r>
          </w:p>
        </w:tc>
      </w:tr>
      <w:tr w:rsidR="00FF68F8" w:rsidRPr="00F171A3" w14:paraId="2ABC376D" w14:textId="77777777" w:rsidTr="00963E4C">
        <w:trPr>
          <w:cnfStyle w:val="000000100000" w:firstRow="0" w:lastRow="0" w:firstColumn="0" w:lastColumn="0" w:oddVBand="0" w:evenVBand="0" w:oddHBand="1" w:evenHBand="0" w:firstRowFirstColumn="0" w:firstRowLastColumn="0" w:lastRowFirstColumn="0" w:lastRowLastColumn="0"/>
          <w:trHeight w:val="20"/>
        </w:trPr>
        <w:tc>
          <w:tcPr>
            <w:tcW w:w="2500" w:type="pct"/>
          </w:tcPr>
          <w:p w14:paraId="57A11725" w14:textId="77777777" w:rsidR="00FF68F8" w:rsidRPr="00F171A3" w:rsidRDefault="00FF68F8">
            <w:pPr>
              <w:pStyle w:val="ListParagraph"/>
              <w:numPr>
                <w:ilvl w:val="0"/>
                <w:numId w:val="28"/>
              </w:numPr>
              <w:rPr>
                <w:color w:val="134753" w:themeColor="text2"/>
              </w:rPr>
            </w:pPr>
            <w:r w:rsidRPr="00F171A3">
              <w:rPr>
                <w:color w:val="134753" w:themeColor="text2"/>
              </w:rPr>
              <w:t>Fenomenul de abandon școlar este prezent în mică măsură la nivelul instituțiilor de învățământ din Sectorul 2.</w:t>
            </w:r>
          </w:p>
          <w:p w14:paraId="5A01C1B4" w14:textId="77777777" w:rsidR="00FF68F8" w:rsidRPr="00F171A3" w:rsidRDefault="00FF68F8">
            <w:pPr>
              <w:pStyle w:val="ListParagraph"/>
              <w:numPr>
                <w:ilvl w:val="0"/>
                <w:numId w:val="28"/>
              </w:numPr>
              <w:rPr>
                <w:color w:val="134753" w:themeColor="text2"/>
              </w:rPr>
            </w:pPr>
            <w:r w:rsidRPr="00F171A3">
              <w:rPr>
                <w:color w:val="134753" w:themeColor="text2"/>
              </w:rPr>
              <w:t>Peste 56 de instituții de învățământ din Sectorul 2 au avut parte în perioada 2014-2020 de investiții prin modernizarea fondului construit, eficientizarea energetică și/sau dotarea sălilor.</w:t>
            </w:r>
          </w:p>
          <w:p w14:paraId="1070F960" w14:textId="77777777" w:rsidR="00FF68F8" w:rsidRPr="00F171A3" w:rsidRDefault="00FF68F8">
            <w:pPr>
              <w:pStyle w:val="ListParagraph"/>
              <w:numPr>
                <w:ilvl w:val="0"/>
                <w:numId w:val="28"/>
              </w:numPr>
              <w:rPr>
                <w:color w:val="134753" w:themeColor="text2"/>
              </w:rPr>
            </w:pPr>
            <w:r w:rsidRPr="00F171A3">
              <w:rPr>
                <w:color w:val="134753" w:themeColor="text2"/>
              </w:rPr>
              <w:t>Nivelul de deservire al infrastructurii de învățământ primar și gimnazial este unul foarte bun.</w:t>
            </w:r>
          </w:p>
          <w:p w14:paraId="591B8954" w14:textId="77777777" w:rsidR="00FF68F8" w:rsidRPr="00F171A3" w:rsidRDefault="00FF68F8">
            <w:pPr>
              <w:pStyle w:val="ListParagraph"/>
              <w:numPr>
                <w:ilvl w:val="0"/>
                <w:numId w:val="28"/>
              </w:numPr>
              <w:rPr>
                <w:color w:val="134753" w:themeColor="text2"/>
              </w:rPr>
            </w:pPr>
            <w:r w:rsidRPr="00F171A3">
              <w:rPr>
                <w:color w:val="134753" w:themeColor="text2"/>
              </w:rPr>
              <w:t>8 instituții de învățământ liceal au înregistrat rate de promovare ale examenului de bacalaureat de peste 90%, intrând în top 300 la nivel național.</w:t>
            </w:r>
          </w:p>
          <w:p w14:paraId="107030DD" w14:textId="67E8A41F" w:rsidR="00FF68F8" w:rsidRPr="00F171A3" w:rsidRDefault="00FF68F8">
            <w:pPr>
              <w:pStyle w:val="ListParagraph"/>
              <w:numPr>
                <w:ilvl w:val="0"/>
                <w:numId w:val="28"/>
              </w:numPr>
              <w:rPr>
                <w:color w:val="134753" w:themeColor="text2"/>
              </w:rPr>
            </w:pPr>
            <w:r w:rsidRPr="00F171A3">
              <w:rPr>
                <w:color w:val="134753" w:themeColor="text2"/>
              </w:rPr>
              <w:t xml:space="preserve">Deși Sectorul 2 are un profil preponderent urban, iar activitățile economice sunt axate în domeniile </w:t>
            </w:r>
            <w:r w:rsidR="00C66438" w:rsidRPr="00F171A3">
              <w:rPr>
                <w:color w:val="134753" w:themeColor="text2"/>
              </w:rPr>
              <w:t>comerțului</w:t>
            </w:r>
            <w:r w:rsidRPr="00F171A3">
              <w:rPr>
                <w:color w:val="134753" w:themeColor="text2"/>
              </w:rPr>
              <w:t xml:space="preserve"> și serviciilor, există 3 instituții educaționale cu ofertă de școlarizare pentru învățământ profesional, în special dual (total 164 de locuri).</w:t>
            </w:r>
          </w:p>
          <w:p w14:paraId="3B0F3D7E" w14:textId="77777777" w:rsidR="00FF68F8" w:rsidRPr="00F171A3" w:rsidRDefault="00FF68F8">
            <w:pPr>
              <w:pStyle w:val="ListParagraph"/>
              <w:numPr>
                <w:ilvl w:val="0"/>
                <w:numId w:val="28"/>
              </w:numPr>
              <w:rPr>
                <w:color w:val="134753" w:themeColor="text2"/>
              </w:rPr>
            </w:pPr>
            <w:r w:rsidRPr="00F171A3">
              <w:rPr>
                <w:color w:val="134753" w:themeColor="text2"/>
              </w:rPr>
              <w:t>Ocuparea posturilor didactice din școli în proporţie de peste 98,2% în anul școlar 2020-2021. (conform raportului ISJMB asupra stării învățământului)</w:t>
            </w:r>
          </w:p>
          <w:p w14:paraId="5760C05B" w14:textId="32EA7F36" w:rsidR="00FF68F8" w:rsidRPr="00F171A3" w:rsidRDefault="00FF68F8">
            <w:pPr>
              <w:pStyle w:val="ListParagraph"/>
              <w:numPr>
                <w:ilvl w:val="0"/>
                <w:numId w:val="28"/>
              </w:numPr>
              <w:rPr>
                <w:color w:val="134753" w:themeColor="text2"/>
              </w:rPr>
            </w:pPr>
            <w:r w:rsidRPr="00F171A3">
              <w:rPr>
                <w:color w:val="134753" w:themeColor="text2"/>
              </w:rPr>
              <w:t>La nivelul Sectorului 2 se regăsesc 8 facultăți din cadrul a 4 Universități de importanță națională.</w:t>
            </w:r>
          </w:p>
        </w:tc>
        <w:tc>
          <w:tcPr>
            <w:tcW w:w="2500" w:type="pct"/>
          </w:tcPr>
          <w:p w14:paraId="1E0F9A64" w14:textId="77777777" w:rsidR="00FF68F8" w:rsidRPr="00F171A3" w:rsidRDefault="00FF68F8">
            <w:pPr>
              <w:pStyle w:val="ListParagraph"/>
              <w:numPr>
                <w:ilvl w:val="0"/>
                <w:numId w:val="28"/>
              </w:numPr>
              <w:rPr>
                <w:color w:val="134753" w:themeColor="text2"/>
              </w:rPr>
            </w:pPr>
            <w:r w:rsidRPr="00F171A3">
              <w:rPr>
                <w:color w:val="134753" w:themeColor="text2"/>
              </w:rPr>
              <w:t>Există o cerere mare de noi locuri în creșe, în prezent fiind disponibile doar aproximativ 400 de locuri pentru educația timpurie.</w:t>
            </w:r>
          </w:p>
          <w:p w14:paraId="57A2A087" w14:textId="77777777" w:rsidR="00FF68F8" w:rsidRPr="00F171A3" w:rsidRDefault="00FF68F8">
            <w:pPr>
              <w:pStyle w:val="ListParagraph"/>
              <w:numPr>
                <w:ilvl w:val="0"/>
                <w:numId w:val="28"/>
              </w:numPr>
              <w:rPr>
                <w:color w:val="134753" w:themeColor="text2"/>
              </w:rPr>
            </w:pPr>
            <w:r w:rsidRPr="00F171A3">
              <w:rPr>
                <w:color w:val="134753" w:themeColor="text2"/>
              </w:rPr>
              <w:t>Nivelul de deservire al infrastructurii preșcolare este mediu, existând nevoia dezvoltării de grădinițe în zonele Andronache, Ion Creangă, Colentina, Baicului, Obor și zonele de sud și nord din Pantelimon și Tei.</w:t>
            </w:r>
          </w:p>
          <w:p w14:paraId="14F54FB6" w14:textId="77777777" w:rsidR="00FF68F8" w:rsidRPr="00F171A3" w:rsidRDefault="00FF68F8">
            <w:pPr>
              <w:pStyle w:val="ListParagraph"/>
              <w:numPr>
                <w:ilvl w:val="0"/>
                <w:numId w:val="28"/>
              </w:numPr>
              <w:rPr>
                <w:color w:val="134753" w:themeColor="text2"/>
              </w:rPr>
            </w:pPr>
            <w:r w:rsidRPr="00F171A3">
              <w:rPr>
                <w:color w:val="134753" w:themeColor="text2"/>
              </w:rPr>
              <w:t>Peste 50 de clădiri din cadrul infrastructurii de învățământ necesită investiții de modernizare sau reabilitare (eficientizare energetică, amenajare a spațiilor recreative și sportive, amenajarea locurilor de așteptare pentru părinți, etc.)</w:t>
            </w:r>
          </w:p>
          <w:p w14:paraId="21FFA57A" w14:textId="77777777" w:rsidR="00FF68F8" w:rsidRPr="00F171A3" w:rsidRDefault="00FF68F8">
            <w:pPr>
              <w:pStyle w:val="ListParagraph"/>
              <w:numPr>
                <w:ilvl w:val="0"/>
                <w:numId w:val="28"/>
              </w:numPr>
              <w:rPr>
                <w:color w:val="134753" w:themeColor="text2"/>
              </w:rPr>
            </w:pPr>
            <w:r w:rsidRPr="00F171A3">
              <w:rPr>
                <w:color w:val="134753" w:themeColor="text2"/>
              </w:rPr>
              <w:t>Majoritatea instituțiilor de învățământ primar și secundar funcționează în mai multe schimburi în vederea acoperirii necesarului de școlarizare</w:t>
            </w:r>
          </w:p>
          <w:p w14:paraId="677C012D" w14:textId="77777777" w:rsidR="00FF68F8" w:rsidRPr="00F171A3" w:rsidRDefault="00FF68F8">
            <w:pPr>
              <w:pStyle w:val="ListParagraph"/>
              <w:numPr>
                <w:ilvl w:val="0"/>
                <w:numId w:val="28"/>
              </w:numPr>
              <w:rPr>
                <w:color w:val="134753" w:themeColor="text2"/>
              </w:rPr>
            </w:pPr>
            <w:r w:rsidRPr="00F171A3">
              <w:rPr>
                <w:color w:val="134753" w:themeColor="text2"/>
              </w:rPr>
              <w:t>5 unități de învățământ nu dispun de laboratoare școlare, iar alte 14 instituții educaționale au mai puțin de 3 laboratoare.</w:t>
            </w:r>
          </w:p>
          <w:p w14:paraId="1B45FC9B" w14:textId="77777777" w:rsidR="00FF68F8" w:rsidRPr="00F171A3" w:rsidRDefault="00FF68F8">
            <w:pPr>
              <w:pStyle w:val="ListParagraph"/>
              <w:numPr>
                <w:ilvl w:val="0"/>
                <w:numId w:val="28"/>
              </w:numPr>
              <w:rPr>
                <w:color w:val="134753" w:themeColor="text2"/>
              </w:rPr>
            </w:pPr>
            <w:r w:rsidRPr="00F171A3">
              <w:rPr>
                <w:color w:val="134753" w:themeColor="text2"/>
              </w:rPr>
              <w:t>7 instituții de învățământ liceal au înregistrat rate de promovare ale examenului de bacalaureat de sub 50%.</w:t>
            </w:r>
          </w:p>
          <w:p w14:paraId="35C03BA0" w14:textId="66F8974E" w:rsidR="00FF68F8" w:rsidRPr="00F171A3" w:rsidRDefault="00FF68F8">
            <w:pPr>
              <w:pStyle w:val="ListParagraph"/>
              <w:numPr>
                <w:ilvl w:val="0"/>
                <w:numId w:val="28"/>
              </w:numPr>
              <w:rPr>
                <w:color w:val="134753" w:themeColor="text2"/>
              </w:rPr>
            </w:pPr>
            <w:r w:rsidRPr="00F171A3">
              <w:rPr>
                <w:color w:val="134753" w:themeColor="text2"/>
              </w:rPr>
              <w:t>Oferta de învățământ profesional, inclusiv dual, este redusă la nivelul Sectorului 2</w:t>
            </w:r>
          </w:p>
        </w:tc>
      </w:tr>
      <w:tr w:rsidR="00FF68F8" w:rsidRPr="00F171A3" w14:paraId="09D84334" w14:textId="77777777" w:rsidTr="00963E4C">
        <w:trPr>
          <w:cnfStyle w:val="000000010000" w:firstRow="0" w:lastRow="0" w:firstColumn="0" w:lastColumn="0" w:oddVBand="0" w:evenVBand="0" w:oddHBand="0" w:evenHBand="1" w:firstRowFirstColumn="0" w:firstRowLastColumn="0" w:lastRowFirstColumn="0" w:lastRowLastColumn="0"/>
          <w:trHeight w:val="20"/>
        </w:trPr>
        <w:tc>
          <w:tcPr>
            <w:tcW w:w="2500" w:type="pct"/>
            <w:shd w:val="clear" w:color="auto" w:fill="134753" w:themeFill="text2"/>
          </w:tcPr>
          <w:p w14:paraId="11A72352" w14:textId="77777777" w:rsidR="00FF68F8" w:rsidRPr="00F171A3" w:rsidRDefault="00FF68F8" w:rsidP="00FF68F8">
            <w:pPr>
              <w:spacing w:after="0"/>
              <w:jc w:val="center"/>
              <w:rPr>
                <w:b/>
                <w:bCs/>
              </w:rPr>
            </w:pPr>
            <w:r w:rsidRPr="00F171A3">
              <w:rPr>
                <w:b/>
                <w:bCs/>
              </w:rPr>
              <w:t>OPORTUNITĂȚI</w:t>
            </w:r>
          </w:p>
        </w:tc>
        <w:tc>
          <w:tcPr>
            <w:tcW w:w="2500" w:type="pct"/>
            <w:shd w:val="clear" w:color="auto" w:fill="134753" w:themeFill="text2"/>
          </w:tcPr>
          <w:p w14:paraId="5402C8A5" w14:textId="77777777" w:rsidR="00FF68F8" w:rsidRPr="00F171A3" w:rsidRDefault="00FF68F8" w:rsidP="00FF68F8">
            <w:pPr>
              <w:spacing w:after="0"/>
              <w:jc w:val="center"/>
              <w:rPr>
                <w:b/>
                <w:bCs/>
              </w:rPr>
            </w:pPr>
            <w:r w:rsidRPr="00F171A3">
              <w:rPr>
                <w:b/>
                <w:bCs/>
              </w:rPr>
              <w:t>AMENINȚĂRI</w:t>
            </w:r>
          </w:p>
        </w:tc>
      </w:tr>
      <w:tr w:rsidR="00FF68F8" w:rsidRPr="00F171A3" w14:paraId="6275AA94" w14:textId="77777777" w:rsidTr="00963E4C">
        <w:trPr>
          <w:cnfStyle w:val="000000100000" w:firstRow="0" w:lastRow="0" w:firstColumn="0" w:lastColumn="0" w:oddVBand="0" w:evenVBand="0" w:oddHBand="1" w:evenHBand="0" w:firstRowFirstColumn="0" w:firstRowLastColumn="0" w:lastRowFirstColumn="0" w:lastRowLastColumn="0"/>
          <w:trHeight w:val="20"/>
        </w:trPr>
        <w:tc>
          <w:tcPr>
            <w:tcW w:w="2500" w:type="pct"/>
          </w:tcPr>
          <w:p w14:paraId="53954993" w14:textId="77777777" w:rsidR="00FF68F8" w:rsidRPr="00F171A3" w:rsidRDefault="00FF68F8">
            <w:pPr>
              <w:pStyle w:val="ListParagraph"/>
              <w:numPr>
                <w:ilvl w:val="0"/>
                <w:numId w:val="29"/>
              </w:numPr>
              <w:rPr>
                <w:color w:val="134753" w:themeColor="text2"/>
              </w:rPr>
            </w:pPr>
            <w:r w:rsidRPr="00F171A3">
              <w:rPr>
                <w:color w:val="134753" w:themeColor="text2"/>
              </w:rPr>
              <w:t>Existența multiplelor surse de finanțare pentru modernizarea și extinderea infrastructurii educaționale (POR, PNRR, AFM) oferă posibilitatea intensificării proceselor de investiții ce au ca scop creșterea calității rețelei școlare.</w:t>
            </w:r>
          </w:p>
          <w:p w14:paraId="21347D2C" w14:textId="77777777" w:rsidR="00FF68F8" w:rsidRPr="00F171A3" w:rsidRDefault="00FF68F8">
            <w:pPr>
              <w:pStyle w:val="ListParagraph"/>
              <w:numPr>
                <w:ilvl w:val="0"/>
                <w:numId w:val="29"/>
              </w:numPr>
              <w:rPr>
                <w:color w:val="134753" w:themeColor="text2"/>
              </w:rPr>
            </w:pPr>
            <w:r w:rsidRPr="00F171A3">
              <w:rPr>
                <w:color w:val="134753" w:themeColor="text2"/>
              </w:rPr>
              <w:t>Introducerea cursurilor de alfabetizare digitală în curriculum-ul școlar obligatoriu ca crea premisele pentru îmbunătățirea literației digitale ale noilor generații.</w:t>
            </w:r>
          </w:p>
          <w:p w14:paraId="75B2C29E" w14:textId="77777777" w:rsidR="00FF68F8" w:rsidRPr="00F171A3" w:rsidRDefault="00FF68F8">
            <w:pPr>
              <w:pStyle w:val="ListParagraph"/>
              <w:numPr>
                <w:ilvl w:val="0"/>
                <w:numId w:val="29"/>
              </w:numPr>
              <w:rPr>
                <w:color w:val="134753" w:themeColor="text2"/>
              </w:rPr>
            </w:pPr>
            <w:r w:rsidRPr="00F171A3">
              <w:rPr>
                <w:color w:val="134753" w:themeColor="text2"/>
              </w:rPr>
              <w:t>Opțiunile de finanțare a mobilității personalului didactic și studenților în perioada 2021-2027 (Erasmus+, ESAYEP-SEE, KEY ACTIOIN2,  Inițiativa Europeană de Schimb a Tinerilor Ofițeri etc.) reprezintă o oportunitate mare în vederea dezvoltării profesionale prin aplicarea de metode alternative de învățare, realizarea de schimburi de experiență etc.</w:t>
            </w:r>
          </w:p>
          <w:p w14:paraId="4896CC86" w14:textId="65E12C18" w:rsidR="00FF68F8" w:rsidRPr="00F171A3" w:rsidRDefault="00FF68F8">
            <w:pPr>
              <w:pStyle w:val="ListParagraph"/>
              <w:numPr>
                <w:ilvl w:val="0"/>
                <w:numId w:val="29"/>
              </w:numPr>
              <w:rPr>
                <w:color w:val="134753" w:themeColor="text2"/>
              </w:rPr>
            </w:pPr>
            <w:r w:rsidRPr="00F171A3">
              <w:rPr>
                <w:color w:val="134753" w:themeColor="text2"/>
              </w:rPr>
              <w:t xml:space="preserve">Implementarea și operaționalizarea infrastructurii tehnice necesare utilizării resurselor și serviciilor de tipul OER și WEB 2.0 la nivelul unităților de învățământ locale (prin proiectul Campus Wi-Fi) va spori posibilitățile de adoptare a instrumentelor TIC în procesele de predare-învățare. </w:t>
            </w:r>
          </w:p>
        </w:tc>
        <w:tc>
          <w:tcPr>
            <w:tcW w:w="2500" w:type="pct"/>
          </w:tcPr>
          <w:p w14:paraId="56822444" w14:textId="77777777" w:rsidR="00FF68F8" w:rsidRPr="00F171A3" w:rsidRDefault="00FF68F8">
            <w:pPr>
              <w:pStyle w:val="ListParagraph"/>
              <w:numPr>
                <w:ilvl w:val="0"/>
                <w:numId w:val="29"/>
              </w:numPr>
              <w:rPr>
                <w:color w:val="134753" w:themeColor="text2"/>
              </w:rPr>
            </w:pPr>
            <w:r w:rsidRPr="00F171A3">
              <w:rPr>
                <w:color w:val="134753" w:themeColor="text2"/>
              </w:rPr>
              <w:t>Menținerea unui nivel redus de finanțare a sistemului de învățământ (cost redus de finanțare per elev, stabilit la nivel național) prin fonduri guvernamentale poate conduce la necesitatea creșterii bugetelor necesare alocate din partea primăriilor în vederea susținerii activităților din învățământ.</w:t>
            </w:r>
          </w:p>
          <w:p w14:paraId="59B62908" w14:textId="50CF0AE3" w:rsidR="00FF68F8" w:rsidRPr="00F171A3" w:rsidRDefault="00FF68F8">
            <w:pPr>
              <w:pStyle w:val="ListParagraph"/>
              <w:numPr>
                <w:ilvl w:val="0"/>
                <w:numId w:val="29"/>
              </w:numPr>
              <w:rPr>
                <w:color w:val="134753" w:themeColor="text2"/>
              </w:rPr>
            </w:pPr>
            <w:r w:rsidRPr="00F171A3">
              <w:rPr>
                <w:color w:val="134753" w:themeColor="text2"/>
              </w:rPr>
              <w:t>Creșterile de prețuri, înregistrate ca urmare a pandemiei de Covid-19 și a conflictului armat din Ucraina, îngreunează procesul investițional pe care Primăria Sector</w:t>
            </w:r>
            <w:r w:rsidR="00135D70" w:rsidRPr="00F171A3">
              <w:rPr>
                <w:color w:val="134753" w:themeColor="text2"/>
              </w:rPr>
              <w:t>ului</w:t>
            </w:r>
            <w:r w:rsidRPr="00F171A3">
              <w:rPr>
                <w:color w:val="134753" w:themeColor="text2"/>
              </w:rPr>
              <w:t xml:space="preserve"> 2 îl poate realiza asupra rețelei de învățământ local, fiind necesare bugete mai ample în pentru implementarea proiectelor.</w:t>
            </w:r>
          </w:p>
          <w:p w14:paraId="3C50FA10" w14:textId="77777777" w:rsidR="00FF68F8" w:rsidRPr="00F171A3" w:rsidRDefault="00FF68F8">
            <w:pPr>
              <w:pStyle w:val="ListParagraph"/>
              <w:numPr>
                <w:ilvl w:val="0"/>
                <w:numId w:val="29"/>
              </w:numPr>
              <w:rPr>
                <w:color w:val="134753" w:themeColor="text2"/>
              </w:rPr>
            </w:pPr>
            <w:r w:rsidRPr="00F171A3">
              <w:rPr>
                <w:color w:val="134753" w:themeColor="text2"/>
              </w:rPr>
              <w:t>Creșterea calității vieții în alte centre urbane la nivel național (Cluj-Napoca, Iași, Timișoara) poate conduce în timp la scăderea numărului de studenți ai universităților din București.</w:t>
            </w:r>
          </w:p>
          <w:p w14:paraId="5C311814" w14:textId="2A737889" w:rsidR="00FF68F8" w:rsidRPr="00F171A3" w:rsidRDefault="00FF68F8">
            <w:pPr>
              <w:pStyle w:val="ListParagraph"/>
              <w:numPr>
                <w:ilvl w:val="0"/>
                <w:numId w:val="29"/>
              </w:numPr>
              <w:rPr>
                <w:color w:val="134753" w:themeColor="text2"/>
              </w:rPr>
            </w:pPr>
            <w:r w:rsidRPr="00F171A3">
              <w:rPr>
                <w:color w:val="134753" w:themeColor="text2"/>
              </w:rPr>
              <w:t>Lipsa unor areale de teren libere aflate în proprietatea Primăriei Sector</w:t>
            </w:r>
            <w:r w:rsidR="00135D70" w:rsidRPr="00F171A3">
              <w:rPr>
                <w:color w:val="134753" w:themeColor="text2"/>
              </w:rPr>
              <w:t>ului</w:t>
            </w:r>
            <w:r w:rsidRPr="00F171A3">
              <w:rPr>
                <w:color w:val="134753" w:themeColor="text2"/>
              </w:rPr>
              <w:t xml:space="preserve"> 2 poate conduce la prelungirea timpului necesar pentru realizarea proiectelor de construire de noi unități de învățământ.</w:t>
            </w:r>
          </w:p>
        </w:tc>
      </w:tr>
      <w:tr w:rsidR="006504B4" w:rsidRPr="00F171A3" w14:paraId="6D6571FC" w14:textId="77777777" w:rsidTr="00963E4C">
        <w:trPr>
          <w:cnfStyle w:val="000000010000" w:firstRow="0" w:lastRow="0" w:firstColumn="0" w:lastColumn="0" w:oddVBand="0" w:evenVBand="0" w:oddHBand="0" w:evenHBand="1" w:firstRowFirstColumn="0" w:firstRowLastColumn="0" w:lastRowFirstColumn="0" w:lastRowLastColumn="0"/>
          <w:trHeight w:val="20"/>
        </w:trPr>
        <w:tc>
          <w:tcPr>
            <w:tcW w:w="2500" w:type="pct"/>
          </w:tcPr>
          <w:p w14:paraId="17504C7D" w14:textId="6BCD1D8C" w:rsidR="006504B4" w:rsidRPr="00F171A3" w:rsidRDefault="006504B4">
            <w:pPr>
              <w:pStyle w:val="ListParagraph"/>
              <w:numPr>
                <w:ilvl w:val="0"/>
                <w:numId w:val="29"/>
              </w:numPr>
              <w:rPr>
                <w:color w:val="134753" w:themeColor="text2"/>
              </w:rPr>
            </w:pPr>
            <w:r w:rsidRPr="00F171A3">
              <w:rPr>
                <w:color w:val="134753" w:themeColor="text2"/>
              </w:rPr>
              <w:t>Diversificarea oportunităților extracurriculare pentru elevi, în cadrul unor activități culturale, sportive sau creative</w:t>
            </w:r>
          </w:p>
        </w:tc>
        <w:tc>
          <w:tcPr>
            <w:tcW w:w="2500" w:type="pct"/>
          </w:tcPr>
          <w:p w14:paraId="7E9320FC" w14:textId="36F37DC5" w:rsidR="006504B4" w:rsidRPr="00F171A3" w:rsidRDefault="006504B4">
            <w:pPr>
              <w:pStyle w:val="ListParagraph"/>
              <w:numPr>
                <w:ilvl w:val="0"/>
                <w:numId w:val="29"/>
              </w:numPr>
              <w:rPr>
                <w:color w:val="134753" w:themeColor="text2"/>
              </w:rPr>
            </w:pPr>
            <w:r w:rsidRPr="00F171A3">
              <w:rPr>
                <w:color w:val="134753" w:themeColor="text2"/>
              </w:rPr>
              <w:t>Lipsa de infrastructură pentru activitățile culturale din cadrul unităților de învățământ din Sectorul 2 (săli de festivități foarte puține, infrastructură sportivă deficientă, etc.)</w:t>
            </w:r>
          </w:p>
        </w:tc>
      </w:tr>
    </w:tbl>
    <w:p w14:paraId="416ACD74" w14:textId="7AC02B7E" w:rsidR="005307B0" w:rsidRPr="00F171A3" w:rsidRDefault="005307B0" w:rsidP="007F2663">
      <w:pPr>
        <w:pStyle w:val="Normal0"/>
      </w:pPr>
    </w:p>
    <w:tbl>
      <w:tblPr>
        <w:tblStyle w:val="Civittatable5"/>
        <w:tblW w:w="5067" w:type="pct"/>
        <w:tblInd w:w="-5" w:type="dxa"/>
        <w:tblLook w:val="0480" w:firstRow="0" w:lastRow="0" w:firstColumn="1" w:lastColumn="0" w:noHBand="0" w:noVBand="1"/>
      </w:tblPr>
      <w:tblGrid>
        <w:gridCol w:w="4506"/>
        <w:gridCol w:w="4631"/>
      </w:tblGrid>
      <w:tr w:rsidR="005307B0" w:rsidRPr="00F171A3" w14:paraId="766C6A9F"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059D1648" w14:textId="4C579E34" w:rsidR="005307B0" w:rsidRPr="00F171A3" w:rsidRDefault="005307B0" w:rsidP="00520678">
            <w:pPr>
              <w:spacing w:after="0"/>
              <w:jc w:val="center"/>
              <w:rPr>
                <w:b/>
                <w:bCs/>
                <w:color w:val="FFFFFF" w:themeColor="background1"/>
              </w:rPr>
            </w:pPr>
            <w:r w:rsidRPr="00F171A3">
              <w:rPr>
                <w:b/>
                <w:bCs/>
                <w:color w:val="FFFFFF" w:themeColor="background1"/>
              </w:rPr>
              <w:t>CULTURĂ , TURISM, TIMP LIBER</w:t>
            </w:r>
          </w:p>
        </w:tc>
      </w:tr>
      <w:tr w:rsidR="005307B0" w:rsidRPr="00F171A3" w14:paraId="78BFF79B"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384344E2" w14:textId="77777777" w:rsidR="005307B0" w:rsidRPr="00F171A3" w:rsidRDefault="005307B0" w:rsidP="00520678">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07B653F8" w14:textId="77777777" w:rsidR="005307B0" w:rsidRPr="00F171A3" w:rsidRDefault="005307B0" w:rsidP="00520678">
            <w:pPr>
              <w:spacing w:after="0"/>
              <w:jc w:val="center"/>
              <w:rPr>
                <w:b/>
                <w:bCs/>
                <w:color w:val="FFFFFF" w:themeColor="background1"/>
              </w:rPr>
            </w:pPr>
            <w:r w:rsidRPr="00F171A3">
              <w:rPr>
                <w:b/>
                <w:bCs/>
                <w:color w:val="FFFFFF" w:themeColor="background1"/>
              </w:rPr>
              <w:t>PUNCTE SLABE</w:t>
            </w:r>
          </w:p>
        </w:tc>
      </w:tr>
      <w:tr w:rsidR="0047226F" w:rsidRPr="00F171A3" w14:paraId="17460F52"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27CF0F40" w14:textId="77777777" w:rsidR="0047226F" w:rsidRPr="00F171A3" w:rsidRDefault="0047226F">
            <w:pPr>
              <w:pStyle w:val="ListParagraph"/>
              <w:numPr>
                <w:ilvl w:val="0"/>
                <w:numId w:val="22"/>
              </w:numPr>
              <w:rPr>
                <w:color w:val="134753" w:themeColor="text2"/>
              </w:rPr>
            </w:pPr>
            <w:r w:rsidRPr="00F171A3">
              <w:rPr>
                <w:color w:val="134753" w:themeColor="text2"/>
              </w:rPr>
              <w:t>Diversitatea și multitudinea dotărilor și activităților culturale existente pe teritoriul Sectorului 2.</w:t>
            </w:r>
          </w:p>
          <w:p w14:paraId="4D88C6CB" w14:textId="77777777" w:rsidR="0047226F" w:rsidRPr="00F171A3" w:rsidRDefault="0047226F">
            <w:pPr>
              <w:pStyle w:val="ListParagraph"/>
              <w:numPr>
                <w:ilvl w:val="0"/>
                <w:numId w:val="22"/>
              </w:numPr>
              <w:rPr>
                <w:color w:val="134753" w:themeColor="text2"/>
              </w:rPr>
            </w:pPr>
            <w:r w:rsidRPr="00F171A3">
              <w:rPr>
                <w:color w:val="134753" w:themeColor="text2"/>
              </w:rPr>
              <w:t>Instituțiile culturale de pe teritoriul Sectorului 2 se bucură de o ofertă culturală foarte bogată, ce are capacitatea de a atrage o audiență națională și internațională.</w:t>
            </w:r>
          </w:p>
          <w:p w14:paraId="133F2A99" w14:textId="0395BB22" w:rsidR="0047226F" w:rsidRPr="00F171A3" w:rsidRDefault="0047226F">
            <w:pPr>
              <w:pStyle w:val="ListParagraph"/>
              <w:numPr>
                <w:ilvl w:val="0"/>
                <w:numId w:val="22"/>
              </w:numPr>
              <w:rPr>
                <w:color w:val="134753" w:themeColor="text2"/>
              </w:rPr>
            </w:pPr>
            <w:r w:rsidRPr="00F171A3">
              <w:rPr>
                <w:color w:val="134753" w:themeColor="text2"/>
              </w:rPr>
              <w:t xml:space="preserve">Accesibilitatea locuitorilor din Sectorul 2 la infrastructura culturală a </w:t>
            </w:r>
            <w:r w:rsidR="00050FAA" w:rsidRPr="00F171A3">
              <w:rPr>
                <w:color w:val="134753" w:themeColor="text2"/>
              </w:rPr>
              <w:t>m</w:t>
            </w:r>
            <w:r w:rsidRPr="00F171A3">
              <w:rPr>
                <w:color w:val="134753" w:themeColor="text2"/>
              </w:rPr>
              <w:t>unicipiului București și diversitatea activităților pe care orașul le facilitează pentru aceștia.</w:t>
            </w:r>
          </w:p>
          <w:p w14:paraId="7951E2AE" w14:textId="77777777" w:rsidR="0047226F" w:rsidRPr="00F171A3" w:rsidRDefault="0047226F">
            <w:pPr>
              <w:pStyle w:val="ListParagraph"/>
              <w:numPr>
                <w:ilvl w:val="0"/>
                <w:numId w:val="22"/>
              </w:numPr>
              <w:rPr>
                <w:color w:val="134753" w:themeColor="text2"/>
              </w:rPr>
            </w:pPr>
            <w:r w:rsidRPr="00F171A3">
              <w:rPr>
                <w:color w:val="134753" w:themeColor="text2"/>
              </w:rPr>
              <w:t>Infrastructură verde-albastră cu potențial de valorificare pentru activități de recreere și agrement (salba de lacuri Colentina).</w:t>
            </w:r>
          </w:p>
          <w:p w14:paraId="557228C4" w14:textId="77777777" w:rsidR="0047226F" w:rsidRPr="00F171A3" w:rsidRDefault="0047226F">
            <w:pPr>
              <w:pStyle w:val="ListParagraph"/>
              <w:numPr>
                <w:ilvl w:val="0"/>
                <w:numId w:val="22"/>
              </w:numPr>
              <w:rPr>
                <w:color w:val="134753" w:themeColor="text2"/>
              </w:rPr>
            </w:pPr>
            <w:r w:rsidRPr="00F171A3">
              <w:rPr>
                <w:color w:val="134753" w:themeColor="text2"/>
              </w:rPr>
              <w:t>Ofertă diversă de resurse de agrement și petrecerea timpului liber (spații de promenadă, zone de agrement, parcuri etc.).</w:t>
            </w:r>
          </w:p>
          <w:p w14:paraId="1792D547" w14:textId="77777777" w:rsidR="0047226F" w:rsidRPr="00F171A3" w:rsidRDefault="0047226F">
            <w:pPr>
              <w:pStyle w:val="ListParagraph"/>
              <w:numPr>
                <w:ilvl w:val="0"/>
                <w:numId w:val="22"/>
              </w:numPr>
              <w:rPr>
                <w:color w:val="134753" w:themeColor="text2"/>
              </w:rPr>
            </w:pPr>
            <w:r w:rsidRPr="00F171A3">
              <w:rPr>
                <w:color w:val="134753" w:themeColor="text2"/>
              </w:rPr>
              <w:t xml:space="preserve">Prezența spațiilor verzi amenajate de dimensiuni mari și medii aflate în proximitatea zonelor rezidențiale ale locuitorilor din Sectorul 2. </w:t>
            </w:r>
          </w:p>
          <w:p w14:paraId="770CB1BF" w14:textId="77777777" w:rsidR="0047226F" w:rsidRPr="00F171A3" w:rsidRDefault="0047226F">
            <w:pPr>
              <w:pStyle w:val="ListParagraph"/>
              <w:numPr>
                <w:ilvl w:val="0"/>
                <w:numId w:val="22"/>
              </w:numPr>
              <w:rPr>
                <w:color w:val="134753" w:themeColor="text2"/>
              </w:rPr>
            </w:pPr>
            <w:r w:rsidRPr="00F171A3">
              <w:rPr>
                <w:color w:val="134753" w:themeColor="text2"/>
              </w:rPr>
              <w:t>Existența unor baze sportive de mari dimensiuni pe teritoriul Sectorului 2 -  Arena Națională, Complexul sportiv Dinamo, Complexul sportiv studențesc Tei etc.</w:t>
            </w:r>
          </w:p>
          <w:p w14:paraId="3D0BEBFD" w14:textId="77777777" w:rsidR="0047226F" w:rsidRPr="00F171A3" w:rsidRDefault="0047226F">
            <w:pPr>
              <w:pStyle w:val="ListParagraph"/>
              <w:numPr>
                <w:ilvl w:val="0"/>
                <w:numId w:val="22"/>
              </w:numPr>
              <w:rPr>
                <w:color w:val="134753" w:themeColor="text2"/>
              </w:rPr>
            </w:pPr>
            <w:r w:rsidRPr="00F171A3">
              <w:rPr>
                <w:color w:val="134753" w:themeColor="text2"/>
              </w:rPr>
              <w:t>Accesibilitatea copiilor din Sectorul 2 la infrastructura sportivă disponibilă la nivelul instituțiilor de învățământ înafara programului de studiu.</w:t>
            </w:r>
          </w:p>
          <w:p w14:paraId="0D692FA4" w14:textId="77777777" w:rsidR="0047226F" w:rsidRPr="00F171A3" w:rsidRDefault="0047226F">
            <w:pPr>
              <w:pStyle w:val="ListParagraph"/>
              <w:numPr>
                <w:ilvl w:val="0"/>
                <w:numId w:val="22"/>
              </w:numPr>
              <w:rPr>
                <w:color w:val="134753" w:themeColor="text2"/>
              </w:rPr>
            </w:pPr>
            <w:r w:rsidRPr="00F171A3">
              <w:rPr>
                <w:color w:val="134753" w:themeColor="text2"/>
              </w:rPr>
              <w:t>Investițiile realizate în dezvoltarea sectorului sportiv și de petrecere a timpului liber.</w:t>
            </w:r>
          </w:p>
          <w:p w14:paraId="17555B2E" w14:textId="77777777" w:rsidR="0047226F" w:rsidRPr="00F171A3" w:rsidRDefault="0047226F">
            <w:pPr>
              <w:pStyle w:val="ListParagraph"/>
              <w:numPr>
                <w:ilvl w:val="0"/>
                <w:numId w:val="22"/>
              </w:numPr>
              <w:rPr>
                <w:color w:val="134753" w:themeColor="text2"/>
              </w:rPr>
            </w:pPr>
            <w:r w:rsidRPr="00F171A3">
              <w:rPr>
                <w:color w:val="134753" w:themeColor="text2"/>
              </w:rPr>
              <w:t>Interesul crescut al administrației Sectorului 2 de a realiza concursuri de regenerare urbană și de dezvoltarea unor noi spații publice pentru locuitori.</w:t>
            </w:r>
          </w:p>
          <w:p w14:paraId="4097BAD1" w14:textId="77777777" w:rsidR="0047226F" w:rsidRPr="00F171A3" w:rsidRDefault="0047226F">
            <w:pPr>
              <w:pStyle w:val="ListParagraph"/>
              <w:numPr>
                <w:ilvl w:val="0"/>
                <w:numId w:val="22"/>
              </w:numPr>
              <w:rPr>
                <w:color w:val="134753" w:themeColor="text2"/>
              </w:rPr>
            </w:pPr>
            <w:r w:rsidRPr="00F171A3">
              <w:rPr>
                <w:color w:val="134753" w:themeColor="text2"/>
              </w:rPr>
              <w:t>Interesul crescut al administrației Sectorului 2 de a deschide zone din sector către comunitate (ex. implicare în proiectul Străzi Deschise).</w:t>
            </w:r>
          </w:p>
          <w:p w14:paraId="17E6CC3B" w14:textId="77777777" w:rsidR="0047226F" w:rsidRPr="00F171A3" w:rsidRDefault="0047226F">
            <w:pPr>
              <w:pStyle w:val="ListParagraph"/>
              <w:numPr>
                <w:ilvl w:val="0"/>
                <w:numId w:val="22"/>
              </w:numPr>
              <w:rPr>
                <w:color w:val="134753" w:themeColor="text2"/>
              </w:rPr>
            </w:pPr>
            <w:r w:rsidRPr="00F171A3">
              <w:rPr>
                <w:color w:val="134753" w:themeColor="text2"/>
              </w:rPr>
              <w:t>Sectorul 2 cuprinde o mare parte din structura hidrografică naturală a municipiului București (salba de lacuri).</w:t>
            </w:r>
          </w:p>
          <w:p w14:paraId="778ADD15" w14:textId="0C35A0EB" w:rsidR="0047226F" w:rsidRPr="00F171A3" w:rsidRDefault="0047226F">
            <w:pPr>
              <w:pStyle w:val="ListParagraph"/>
              <w:numPr>
                <w:ilvl w:val="0"/>
                <w:numId w:val="22"/>
              </w:numPr>
              <w:rPr>
                <w:color w:val="134753" w:themeColor="text2"/>
              </w:rPr>
            </w:pPr>
            <w:r w:rsidRPr="00F171A3">
              <w:rPr>
                <w:color w:val="134753" w:themeColor="text2"/>
              </w:rPr>
              <w:t>Existența unor spații și clădiri care ar putea fi revitalizate și refolosite cu scopuri socio-culturale (ex. Cinema Cosmos, zona Piața Obor sau foste spații industriale și terenuri virane din Sectorul 2).</w:t>
            </w:r>
          </w:p>
        </w:tc>
        <w:tc>
          <w:tcPr>
            <w:tcW w:w="2534" w:type="pct"/>
          </w:tcPr>
          <w:p w14:paraId="6A59669E" w14:textId="77777777" w:rsidR="0047226F" w:rsidRPr="00F171A3" w:rsidRDefault="0047226F">
            <w:pPr>
              <w:pStyle w:val="ListParagraph"/>
              <w:numPr>
                <w:ilvl w:val="0"/>
                <w:numId w:val="22"/>
              </w:numPr>
              <w:rPr>
                <w:color w:val="134753" w:themeColor="text2"/>
              </w:rPr>
            </w:pPr>
            <w:r w:rsidRPr="00F171A3">
              <w:rPr>
                <w:color w:val="134753" w:themeColor="text2"/>
              </w:rPr>
              <w:t>Concentrarea activităților și a dotărilor culturale predominant înspre zona centrală a Bucureștiului, zona periferică a Sectorului 2 fiind mai slab deservită de dotări socio-culturale.</w:t>
            </w:r>
          </w:p>
          <w:p w14:paraId="02C2BA1B" w14:textId="77777777" w:rsidR="0047226F" w:rsidRPr="00F171A3" w:rsidRDefault="0047226F">
            <w:pPr>
              <w:pStyle w:val="ListParagraph"/>
              <w:numPr>
                <w:ilvl w:val="0"/>
                <w:numId w:val="22"/>
              </w:numPr>
              <w:rPr>
                <w:color w:val="134753" w:themeColor="text2"/>
              </w:rPr>
            </w:pPr>
            <w:r w:rsidRPr="00F171A3">
              <w:rPr>
                <w:color w:val="134753" w:themeColor="text2"/>
              </w:rPr>
              <w:t>Lipsa unei Agende Culturale care să facă mai vizibilă oferta de evenimente culturale de la nivelul Sectorului 2, dar chiar și al Capitalei.</w:t>
            </w:r>
          </w:p>
          <w:p w14:paraId="036A5735" w14:textId="77777777" w:rsidR="0047226F" w:rsidRPr="00F171A3" w:rsidRDefault="0047226F">
            <w:pPr>
              <w:pStyle w:val="ListParagraph"/>
              <w:numPr>
                <w:ilvl w:val="0"/>
                <w:numId w:val="22"/>
              </w:numPr>
              <w:rPr>
                <w:color w:val="134753" w:themeColor="text2"/>
              </w:rPr>
            </w:pPr>
            <w:r w:rsidRPr="00F171A3">
              <w:rPr>
                <w:color w:val="134753" w:themeColor="text2"/>
              </w:rPr>
              <w:t>Provocările privind regimul juridic al unor spații de interes de pe teritoriul Sectorului 2 – exemplu Parcul Verdi.</w:t>
            </w:r>
          </w:p>
          <w:p w14:paraId="21A044FB" w14:textId="77777777" w:rsidR="0047226F" w:rsidRPr="00F171A3" w:rsidRDefault="0047226F">
            <w:pPr>
              <w:pStyle w:val="ListParagraph"/>
              <w:numPr>
                <w:ilvl w:val="0"/>
                <w:numId w:val="22"/>
              </w:numPr>
              <w:rPr>
                <w:color w:val="134753" w:themeColor="text2"/>
              </w:rPr>
            </w:pPr>
            <w:r w:rsidRPr="00F171A3">
              <w:rPr>
                <w:color w:val="134753" w:themeColor="text2"/>
              </w:rPr>
              <w:t>Insuficienta promovare a zonelor turistice și/sau cu importanță pentru turiști din Sectorul 2.</w:t>
            </w:r>
          </w:p>
          <w:p w14:paraId="1C83088C" w14:textId="77777777" w:rsidR="0047226F" w:rsidRPr="00F171A3" w:rsidRDefault="0047226F">
            <w:pPr>
              <w:pStyle w:val="ListParagraph"/>
              <w:numPr>
                <w:ilvl w:val="0"/>
                <w:numId w:val="22"/>
              </w:numPr>
              <w:rPr>
                <w:color w:val="134753" w:themeColor="text2"/>
              </w:rPr>
            </w:pPr>
            <w:r w:rsidRPr="00F171A3">
              <w:rPr>
                <w:color w:val="134753" w:themeColor="text2"/>
              </w:rPr>
              <w:t>Existența unor zone mari de teren neutilizate (în special în zona salbei de lacuri de la Colentina).</w:t>
            </w:r>
          </w:p>
          <w:p w14:paraId="69EBB65D" w14:textId="77777777" w:rsidR="0047226F" w:rsidRPr="00F171A3" w:rsidRDefault="0047226F">
            <w:pPr>
              <w:pStyle w:val="ListParagraph"/>
              <w:numPr>
                <w:ilvl w:val="0"/>
                <w:numId w:val="22"/>
              </w:numPr>
              <w:rPr>
                <w:color w:val="134753" w:themeColor="text2"/>
              </w:rPr>
            </w:pPr>
            <w:r w:rsidRPr="00F171A3">
              <w:rPr>
                <w:color w:val="134753" w:themeColor="text2"/>
              </w:rPr>
              <w:t>Existența unor zone din Sectorul 2 în care sectorul turistic nu este dezvoltat (Tei, Doamna Ghica, Electronici, Chișinău) sau zone ample de locuire individuală, fără potențial turistic precum cartierele Andronache, Ion Creangă și Pantelimon.</w:t>
            </w:r>
          </w:p>
          <w:p w14:paraId="1C0F8902" w14:textId="77777777" w:rsidR="00735451" w:rsidRPr="00F171A3" w:rsidRDefault="00735451">
            <w:pPr>
              <w:numPr>
                <w:ilvl w:val="0"/>
                <w:numId w:val="22"/>
              </w:numPr>
              <w:pBdr>
                <w:top w:val="nil"/>
                <w:left w:val="nil"/>
                <w:bottom w:val="nil"/>
                <w:right w:val="nil"/>
                <w:between w:val="nil"/>
              </w:pBdr>
              <w:spacing w:before="0"/>
              <w:rPr>
                <w:rFonts w:ascii="Calibri" w:eastAsia="Calibri" w:hAnsi="Calibri" w:cs="Calibri"/>
                <w:b/>
                <w:color w:val="134753"/>
                <w:szCs w:val="20"/>
              </w:rPr>
            </w:pPr>
            <w:r w:rsidRPr="00F171A3">
              <w:rPr>
                <w:rFonts w:ascii="Calibri" w:eastAsia="Calibri" w:hAnsi="Calibri" w:cs="Calibri"/>
                <w:color w:val="134753"/>
                <w:szCs w:val="20"/>
              </w:rPr>
              <w:t xml:space="preserve">Lipsa bugetelor multianuale pentru dezvoltarea evenimentelor cultural-artistice. </w:t>
            </w:r>
          </w:p>
          <w:p w14:paraId="1B07CFFF" w14:textId="77777777" w:rsidR="00735451" w:rsidRPr="00F171A3" w:rsidRDefault="00735451">
            <w:pPr>
              <w:numPr>
                <w:ilvl w:val="0"/>
                <w:numId w:val="22"/>
              </w:numPr>
              <w:pBdr>
                <w:top w:val="nil"/>
                <w:left w:val="nil"/>
                <w:bottom w:val="nil"/>
                <w:right w:val="nil"/>
                <w:between w:val="nil"/>
              </w:pBdr>
              <w:spacing w:before="0"/>
              <w:rPr>
                <w:rFonts w:ascii="Calibri" w:eastAsia="Calibri" w:hAnsi="Calibri" w:cs="Calibri"/>
                <w:b/>
                <w:color w:val="134753"/>
                <w:szCs w:val="20"/>
              </w:rPr>
            </w:pPr>
            <w:r w:rsidRPr="00F171A3">
              <w:rPr>
                <w:rFonts w:ascii="Calibri" w:eastAsia="Calibri" w:hAnsi="Calibri" w:cs="Calibri"/>
                <w:color w:val="134753"/>
                <w:szCs w:val="20"/>
              </w:rPr>
              <w:t xml:space="preserve">Insuficienta promovare a evenimentelor culturale în spații publice (spre exemplu, în mijloacele de transport public în comun). </w:t>
            </w:r>
          </w:p>
          <w:p w14:paraId="15C31AF1" w14:textId="77777777" w:rsidR="00735451" w:rsidRPr="00F171A3" w:rsidRDefault="00735451">
            <w:pPr>
              <w:numPr>
                <w:ilvl w:val="0"/>
                <w:numId w:val="22"/>
              </w:numPr>
              <w:pBdr>
                <w:top w:val="nil"/>
                <w:left w:val="nil"/>
                <w:bottom w:val="nil"/>
                <w:right w:val="nil"/>
                <w:between w:val="nil"/>
              </w:pBdr>
              <w:spacing w:before="0"/>
              <w:rPr>
                <w:rFonts w:ascii="Calibri" w:eastAsia="Calibri" w:hAnsi="Calibri" w:cs="Calibri"/>
                <w:b/>
                <w:color w:val="134753"/>
                <w:szCs w:val="20"/>
              </w:rPr>
            </w:pPr>
            <w:r w:rsidRPr="00F171A3">
              <w:rPr>
                <w:rFonts w:ascii="Calibri" w:eastAsia="Calibri" w:hAnsi="Calibri" w:cs="Calibri"/>
                <w:color w:val="134753"/>
                <w:szCs w:val="20"/>
              </w:rPr>
              <w:t>Lipsa unei cartări a tuturor actorilor locali implicați în desfășurarea activităților culturale, artistice și turistice.</w:t>
            </w:r>
          </w:p>
          <w:p w14:paraId="78ED56F4" w14:textId="77777777" w:rsidR="00735451" w:rsidRPr="00F171A3" w:rsidRDefault="00735451">
            <w:pPr>
              <w:numPr>
                <w:ilvl w:val="0"/>
                <w:numId w:val="22"/>
              </w:numPr>
              <w:pBdr>
                <w:top w:val="nil"/>
                <w:left w:val="nil"/>
                <w:bottom w:val="nil"/>
                <w:right w:val="nil"/>
                <w:between w:val="nil"/>
              </w:pBdr>
              <w:spacing w:before="0"/>
              <w:rPr>
                <w:rFonts w:ascii="Calibri" w:eastAsia="Calibri" w:hAnsi="Calibri" w:cs="Calibri"/>
                <w:b/>
                <w:color w:val="134753"/>
                <w:szCs w:val="20"/>
              </w:rPr>
            </w:pPr>
            <w:r w:rsidRPr="00F171A3">
              <w:rPr>
                <w:rFonts w:ascii="Calibri" w:eastAsia="Calibri" w:hAnsi="Calibri" w:cs="Calibri"/>
                <w:color w:val="134753"/>
                <w:szCs w:val="20"/>
              </w:rPr>
              <w:t xml:space="preserve">Insuficienta coordonare între instituțiile Sectorului 2, PMB sau Primăriile de Sector în organizarea unor evenimente culturale / sportive. </w:t>
            </w:r>
          </w:p>
          <w:p w14:paraId="25505E80" w14:textId="0353FAA6" w:rsidR="0047226F" w:rsidRPr="00F171A3" w:rsidRDefault="0047226F" w:rsidP="00E71332">
            <w:pPr>
              <w:rPr>
                <w:color w:val="134753" w:themeColor="text2"/>
              </w:rPr>
            </w:pPr>
          </w:p>
        </w:tc>
      </w:tr>
      <w:tr w:rsidR="0047226F" w:rsidRPr="00F171A3" w14:paraId="5283B07D"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28C604C0" w14:textId="77777777" w:rsidR="0047226F" w:rsidRPr="00F171A3" w:rsidRDefault="0047226F" w:rsidP="0047226F">
            <w:pPr>
              <w:spacing w:after="0"/>
              <w:jc w:val="center"/>
              <w:rPr>
                <w:b/>
                <w:bCs/>
              </w:rPr>
            </w:pPr>
            <w:r w:rsidRPr="00F171A3">
              <w:rPr>
                <w:b/>
                <w:bCs/>
              </w:rPr>
              <w:t>OPORTUNITĂȚI</w:t>
            </w:r>
          </w:p>
        </w:tc>
        <w:tc>
          <w:tcPr>
            <w:tcW w:w="2534" w:type="pct"/>
            <w:shd w:val="clear" w:color="auto" w:fill="134753" w:themeFill="text2"/>
          </w:tcPr>
          <w:p w14:paraId="4FB0F3BE" w14:textId="77777777" w:rsidR="0047226F" w:rsidRPr="00F171A3" w:rsidRDefault="0047226F" w:rsidP="0047226F">
            <w:pPr>
              <w:spacing w:after="0"/>
              <w:jc w:val="center"/>
              <w:rPr>
                <w:b/>
                <w:bCs/>
              </w:rPr>
            </w:pPr>
            <w:r w:rsidRPr="00F171A3">
              <w:rPr>
                <w:b/>
                <w:bCs/>
              </w:rPr>
              <w:t>AMENINȚĂRI</w:t>
            </w:r>
          </w:p>
        </w:tc>
      </w:tr>
      <w:tr w:rsidR="0047226F" w:rsidRPr="00F171A3" w14:paraId="54218227"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21169DE7" w14:textId="302B259E" w:rsidR="0047226F" w:rsidRPr="00F171A3" w:rsidRDefault="007C293C">
            <w:pPr>
              <w:pStyle w:val="ListParagraph"/>
              <w:numPr>
                <w:ilvl w:val="0"/>
                <w:numId w:val="16"/>
              </w:numPr>
              <w:rPr>
                <w:color w:val="134753" w:themeColor="text2"/>
              </w:rPr>
            </w:pPr>
            <w:r w:rsidRPr="00F171A3">
              <w:rPr>
                <w:color w:val="134753" w:themeColor="text2"/>
              </w:rPr>
              <w:t>Existența finanțărilor externe pentru domeniul cultural, care pot contribui la îmbunătățirea imaginii urbane și diversificarea ofertei culturale.</w:t>
            </w:r>
          </w:p>
        </w:tc>
        <w:tc>
          <w:tcPr>
            <w:tcW w:w="2534" w:type="pct"/>
          </w:tcPr>
          <w:p w14:paraId="15399AEF" w14:textId="77777777" w:rsidR="007C293C" w:rsidRPr="00F171A3" w:rsidRDefault="007C293C">
            <w:pPr>
              <w:pStyle w:val="ListParagraph"/>
              <w:numPr>
                <w:ilvl w:val="0"/>
                <w:numId w:val="16"/>
              </w:numPr>
              <w:rPr>
                <w:color w:val="134753" w:themeColor="text2"/>
              </w:rPr>
            </w:pPr>
            <w:r w:rsidRPr="00F171A3">
              <w:rPr>
                <w:color w:val="134753" w:themeColor="text2"/>
              </w:rPr>
              <w:t>Ratarea unor importante atracții turistice din Sectorul 2 din cauza slabei vizibilități a acestora.</w:t>
            </w:r>
          </w:p>
          <w:p w14:paraId="7BB46F5F" w14:textId="0F42257B" w:rsidR="0047226F" w:rsidRPr="00F171A3" w:rsidRDefault="0047226F" w:rsidP="00E71332">
            <w:pPr>
              <w:rPr>
                <w:color w:val="134753" w:themeColor="text2"/>
              </w:rPr>
            </w:pPr>
          </w:p>
        </w:tc>
      </w:tr>
      <w:tr w:rsidR="0047226F" w:rsidRPr="00F171A3" w14:paraId="42892141"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48AE8B6" w14:textId="7330C208" w:rsidR="0047226F" w:rsidRPr="00F171A3" w:rsidRDefault="007C293C">
            <w:pPr>
              <w:pStyle w:val="ListParagraph"/>
              <w:numPr>
                <w:ilvl w:val="0"/>
                <w:numId w:val="16"/>
              </w:numPr>
              <w:rPr>
                <w:color w:val="134753" w:themeColor="text2"/>
              </w:rPr>
            </w:pPr>
            <w:r w:rsidRPr="00F171A3">
              <w:rPr>
                <w:color w:val="134753" w:themeColor="text2"/>
              </w:rPr>
              <w:t xml:space="preserve">Accesibilitatea locuitorilor din Sectorul 2 la infrastructura culturală a </w:t>
            </w:r>
            <w:r w:rsidR="00050FAA" w:rsidRPr="00F171A3">
              <w:rPr>
                <w:color w:val="134753" w:themeColor="text2"/>
              </w:rPr>
              <w:t>m</w:t>
            </w:r>
            <w:r w:rsidRPr="00F171A3">
              <w:rPr>
                <w:color w:val="134753" w:themeColor="text2"/>
              </w:rPr>
              <w:t>unicipiului București și din proximitate, din județul Ilfov și diversitatea activităților pe care localizarea în capitala României le facilitează pentru aceștia</w:t>
            </w:r>
          </w:p>
        </w:tc>
        <w:tc>
          <w:tcPr>
            <w:tcW w:w="2534" w:type="pct"/>
          </w:tcPr>
          <w:p w14:paraId="000E6018" w14:textId="77A49C99" w:rsidR="0047226F" w:rsidRPr="00F171A3" w:rsidRDefault="0047226F" w:rsidP="00135D70">
            <w:pPr>
              <w:ind w:left="360"/>
              <w:rPr>
                <w:color w:val="134753" w:themeColor="text2"/>
              </w:rPr>
            </w:pPr>
          </w:p>
        </w:tc>
      </w:tr>
    </w:tbl>
    <w:p w14:paraId="5F70A7C2" w14:textId="77777777" w:rsidR="00913047" w:rsidRPr="00F171A3" w:rsidRDefault="00913047" w:rsidP="007F2663">
      <w:pPr>
        <w:pStyle w:val="Normal0"/>
      </w:pPr>
    </w:p>
    <w:tbl>
      <w:tblPr>
        <w:tblStyle w:val="Civittatable5"/>
        <w:tblW w:w="5067" w:type="pct"/>
        <w:tblInd w:w="-5" w:type="dxa"/>
        <w:tblLook w:val="0480" w:firstRow="0" w:lastRow="0" w:firstColumn="1" w:lastColumn="0" w:noHBand="0" w:noVBand="1"/>
      </w:tblPr>
      <w:tblGrid>
        <w:gridCol w:w="4506"/>
        <w:gridCol w:w="4631"/>
      </w:tblGrid>
      <w:tr w:rsidR="00144ABF" w:rsidRPr="00F171A3" w14:paraId="18BCD68B"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4BE12E5F" w14:textId="7C6AC964" w:rsidR="00144ABF" w:rsidRPr="00F171A3" w:rsidRDefault="00144ABF" w:rsidP="00520678">
            <w:pPr>
              <w:spacing w:after="0"/>
              <w:jc w:val="center"/>
              <w:rPr>
                <w:b/>
                <w:bCs/>
                <w:color w:val="FFFFFF" w:themeColor="background1"/>
              </w:rPr>
            </w:pPr>
            <w:r w:rsidRPr="00F171A3">
              <w:rPr>
                <w:b/>
                <w:bCs/>
                <w:color w:val="FFFFFF" w:themeColor="background1"/>
              </w:rPr>
              <w:t>PATRIMONIU CONSTRUIT</w:t>
            </w:r>
          </w:p>
        </w:tc>
      </w:tr>
      <w:tr w:rsidR="00144ABF" w:rsidRPr="00F171A3" w14:paraId="383C24EF"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1F7F58C8" w14:textId="77777777" w:rsidR="00144ABF" w:rsidRPr="00F171A3" w:rsidRDefault="00144ABF" w:rsidP="00520678">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737DB2AA" w14:textId="77777777" w:rsidR="00144ABF" w:rsidRPr="00F171A3" w:rsidRDefault="00144ABF" w:rsidP="00520678">
            <w:pPr>
              <w:spacing w:after="0"/>
              <w:jc w:val="center"/>
              <w:rPr>
                <w:b/>
                <w:bCs/>
                <w:color w:val="FFFFFF" w:themeColor="background1"/>
              </w:rPr>
            </w:pPr>
            <w:r w:rsidRPr="00F171A3">
              <w:rPr>
                <w:b/>
                <w:bCs/>
                <w:color w:val="FFFFFF" w:themeColor="background1"/>
              </w:rPr>
              <w:t>PUNCTE SLABE</w:t>
            </w:r>
          </w:p>
        </w:tc>
      </w:tr>
      <w:tr w:rsidR="00650362" w:rsidRPr="00F171A3" w14:paraId="42143231"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28690B25" w14:textId="77777777" w:rsidR="00650362" w:rsidRPr="00963E4C" w:rsidRDefault="00650362" w:rsidP="00963E4C">
            <w:pPr>
              <w:pStyle w:val="ListParagraph"/>
              <w:numPr>
                <w:ilvl w:val="0"/>
                <w:numId w:val="16"/>
              </w:numPr>
              <w:pBdr>
                <w:top w:val="nil"/>
                <w:left w:val="nil"/>
                <w:bottom w:val="nil"/>
                <w:right w:val="nil"/>
                <w:between w:val="nil"/>
              </w:pBdr>
              <w:rPr>
                <w:color w:val="134753" w:themeColor="text2"/>
              </w:rPr>
            </w:pPr>
            <w:r w:rsidRPr="00963E4C">
              <w:rPr>
                <w:color w:val="134753" w:themeColor="text2"/>
              </w:rPr>
              <w:t>Existența pe teritoriul Sectorului 2 a unui parc istoric – Parcul Ioanid.</w:t>
            </w:r>
          </w:p>
          <w:p w14:paraId="7661C45B" w14:textId="7F680C2B" w:rsidR="00650362" w:rsidRPr="00F171A3" w:rsidRDefault="00650362" w:rsidP="00650362">
            <w:pPr>
              <w:rPr>
                <w:color w:val="134753" w:themeColor="text2"/>
              </w:rPr>
            </w:pPr>
          </w:p>
        </w:tc>
        <w:tc>
          <w:tcPr>
            <w:tcW w:w="2534" w:type="pct"/>
          </w:tcPr>
          <w:p w14:paraId="1FB6C79A" w14:textId="60DD5957" w:rsidR="00650362" w:rsidRPr="00F171A3" w:rsidRDefault="00650362">
            <w:pPr>
              <w:pStyle w:val="ListParagraph"/>
              <w:numPr>
                <w:ilvl w:val="0"/>
                <w:numId w:val="23"/>
              </w:numPr>
              <w:rPr>
                <w:color w:val="134753" w:themeColor="text2"/>
              </w:rPr>
            </w:pPr>
            <w:r w:rsidRPr="00F171A3">
              <w:rPr>
                <w:rFonts w:cstheme="minorHAnsi"/>
                <w:color w:val="134753"/>
              </w:rPr>
              <w:t>56 de monumente istorice localizate pe raza Sectorului 2 (din totalul de 475) se află, în anul 2022, în  stare de degradare, degradare avansată, precolaps, dispariție fizică sau lipsă întreținere curentă.  remarcându-se o concentrare foarte mare a acestor imobile pe strada Lizeanu (15 imobile) dar și pe străzile Mântuleasa, Pache Protopopescu și Alexandru Romano.</w:t>
            </w:r>
          </w:p>
        </w:tc>
      </w:tr>
      <w:tr w:rsidR="00650362" w:rsidRPr="00F171A3" w14:paraId="045ECDB0"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1BD65413" w14:textId="26B942B6" w:rsidR="00650362" w:rsidRPr="00F171A3" w:rsidRDefault="00650362">
            <w:pPr>
              <w:pStyle w:val="ListParagraph"/>
              <w:numPr>
                <w:ilvl w:val="0"/>
                <w:numId w:val="23"/>
              </w:numPr>
              <w:rPr>
                <w:color w:val="134753" w:themeColor="text2"/>
              </w:rPr>
            </w:pPr>
            <w:r w:rsidRPr="00F171A3">
              <w:rPr>
                <w:rFonts w:cstheme="minorHAnsi"/>
                <w:color w:val="134753"/>
              </w:rPr>
              <w:t>Existența pe teritoriul Sectorului 2 a numeroase monumente istorice de importanță națională (Mănăstirea Plumbuita, Moara lui Assan etc).</w:t>
            </w:r>
          </w:p>
        </w:tc>
        <w:tc>
          <w:tcPr>
            <w:tcW w:w="2534" w:type="pct"/>
          </w:tcPr>
          <w:p w14:paraId="08642151" w14:textId="2C410D5F" w:rsidR="00650362" w:rsidRPr="00F171A3" w:rsidRDefault="00650362">
            <w:pPr>
              <w:pStyle w:val="ListParagraph"/>
              <w:numPr>
                <w:ilvl w:val="0"/>
                <w:numId w:val="23"/>
              </w:numPr>
              <w:rPr>
                <w:color w:val="134753" w:themeColor="text2"/>
              </w:rPr>
            </w:pPr>
            <w:r w:rsidRPr="00F171A3">
              <w:rPr>
                <w:rFonts w:cstheme="minorHAnsi"/>
                <w:color w:val="134753"/>
              </w:rPr>
              <w:t>Străzile pe care se regăsesc, în anul 2022, cele mai multe monumente istorice aflate în stare de degradare sau stare avansată de degradare sunt Lizeanu, Mântuleasa, Pache Protopopescu,  Alexandru Romano.</w:t>
            </w:r>
          </w:p>
        </w:tc>
      </w:tr>
      <w:tr w:rsidR="00650362" w:rsidRPr="00F171A3" w14:paraId="6B3AD648"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44058153" w14:textId="56AAB367" w:rsidR="00650362" w:rsidRPr="00F171A3" w:rsidRDefault="00650362">
            <w:pPr>
              <w:pStyle w:val="ListParagraph"/>
              <w:numPr>
                <w:ilvl w:val="0"/>
                <w:numId w:val="23"/>
              </w:numPr>
              <w:rPr>
                <w:color w:val="134753" w:themeColor="text2"/>
              </w:rPr>
            </w:pPr>
            <w:r w:rsidRPr="00F171A3">
              <w:rPr>
                <w:rFonts w:cstheme="minorHAnsi"/>
                <w:color w:val="134753"/>
              </w:rPr>
              <w:t>Existența în zona centrală a unui număr semnificativ de monumente istorice (17,4% din numărul total al monumentelor istorice din București), existența pe teritoriul Sectorului 2 a 4 parcelări istorice și suprapunerea teritoriului sectorului peste 28 zone construite protejate</w:t>
            </w:r>
          </w:p>
        </w:tc>
        <w:tc>
          <w:tcPr>
            <w:tcW w:w="2534" w:type="pct"/>
          </w:tcPr>
          <w:p w14:paraId="4FEE3007" w14:textId="77777777" w:rsidR="001503DF" w:rsidRPr="00F171A3" w:rsidRDefault="001503DF">
            <w:pPr>
              <w:pStyle w:val="ListParagraph"/>
              <w:numPr>
                <w:ilvl w:val="0"/>
                <w:numId w:val="23"/>
              </w:numPr>
              <w:pBdr>
                <w:top w:val="nil"/>
                <w:left w:val="nil"/>
                <w:bottom w:val="nil"/>
                <w:right w:val="nil"/>
                <w:between w:val="nil"/>
              </w:pBdr>
              <w:rPr>
                <w:rFonts w:cstheme="minorHAnsi"/>
                <w:color w:val="134753"/>
              </w:rPr>
            </w:pPr>
            <w:r w:rsidRPr="00F171A3">
              <w:rPr>
                <w:rFonts w:cstheme="minorHAnsi"/>
                <w:color w:val="134753"/>
              </w:rPr>
              <w:t xml:space="preserve">Existența a 12 clădiri monumente istorice încadrate în categoria clădirilor cu risc seismic (dintre care 6 imobile încadrate în clasa I de risc). </w:t>
            </w:r>
          </w:p>
          <w:p w14:paraId="7FB5557B" w14:textId="77777777" w:rsidR="001503DF" w:rsidRPr="00F171A3" w:rsidRDefault="001503DF">
            <w:pPr>
              <w:pStyle w:val="ListParagraph"/>
              <w:numPr>
                <w:ilvl w:val="0"/>
                <w:numId w:val="23"/>
              </w:numPr>
              <w:pBdr>
                <w:top w:val="nil"/>
                <w:left w:val="nil"/>
                <w:bottom w:val="nil"/>
                <w:right w:val="nil"/>
                <w:between w:val="nil"/>
              </w:pBdr>
              <w:rPr>
                <w:rFonts w:cstheme="minorHAnsi"/>
                <w:color w:val="134753"/>
              </w:rPr>
            </w:pPr>
            <w:r w:rsidRPr="00F171A3">
              <w:rPr>
                <w:rFonts w:cstheme="minorHAnsi"/>
                <w:color w:val="134753"/>
              </w:rPr>
              <w:t xml:space="preserve">Existența a 33 clădiri monumente istorice încadrate în categoria clădirilor cu clasă de urgență (dintre care 8 imobile încadrate în clasa de urgență U1). </w:t>
            </w:r>
          </w:p>
          <w:p w14:paraId="223F2352" w14:textId="77777777" w:rsidR="00650362" w:rsidRPr="00F171A3" w:rsidRDefault="00650362" w:rsidP="001503DF">
            <w:pPr>
              <w:ind w:left="360"/>
              <w:rPr>
                <w:color w:val="134753" w:themeColor="text2"/>
              </w:rPr>
            </w:pPr>
          </w:p>
        </w:tc>
      </w:tr>
      <w:tr w:rsidR="00650362" w:rsidRPr="00F171A3" w14:paraId="6C709589"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62F31C86" w14:textId="4A7EBCBA" w:rsidR="00650362" w:rsidRPr="00F171A3" w:rsidRDefault="00650362">
            <w:pPr>
              <w:pStyle w:val="ListParagraph"/>
              <w:numPr>
                <w:ilvl w:val="0"/>
                <w:numId w:val="23"/>
              </w:numPr>
              <w:rPr>
                <w:color w:val="134753" w:themeColor="text2"/>
              </w:rPr>
            </w:pPr>
            <w:r w:rsidRPr="00F171A3">
              <w:rPr>
                <w:rFonts w:cstheme="minorHAnsi"/>
                <w:color w:val="134753"/>
              </w:rPr>
              <w:t>Inițiative ale administrației publice locale de reabilitare a unor clădiri din perimetrul zonelor construite protejate, aflate în administrarea Sectorului 2.</w:t>
            </w:r>
          </w:p>
        </w:tc>
        <w:tc>
          <w:tcPr>
            <w:tcW w:w="2534" w:type="pct"/>
          </w:tcPr>
          <w:p w14:paraId="239A2B01" w14:textId="7B1B0089" w:rsidR="00650362" w:rsidRPr="00F171A3" w:rsidRDefault="00650362">
            <w:pPr>
              <w:pStyle w:val="ListParagraph"/>
              <w:numPr>
                <w:ilvl w:val="0"/>
                <w:numId w:val="23"/>
              </w:numPr>
              <w:rPr>
                <w:color w:val="134753" w:themeColor="text2"/>
              </w:rPr>
            </w:pPr>
            <w:r w:rsidRPr="00F171A3">
              <w:rPr>
                <w:rFonts w:cstheme="minorHAnsi"/>
                <w:color w:val="134753"/>
              </w:rPr>
              <w:t xml:space="preserve">Existența pe teritoriul Sectorului 2 a unor monumente istorice cu valoare națională sau emblematice pentru Sectorul 2 care necesită lucrări urgente de restaurare, precum Moara lui Assan și Halele Centrale Obor. </w:t>
            </w:r>
          </w:p>
        </w:tc>
      </w:tr>
      <w:tr w:rsidR="00650362" w:rsidRPr="00F171A3" w14:paraId="6F2B6D54"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625903F" w14:textId="55F08739" w:rsidR="00650362" w:rsidRPr="00F171A3" w:rsidRDefault="00650362">
            <w:pPr>
              <w:pStyle w:val="ListParagraph"/>
              <w:numPr>
                <w:ilvl w:val="0"/>
                <w:numId w:val="23"/>
              </w:numPr>
              <w:rPr>
                <w:color w:val="134753" w:themeColor="text2"/>
              </w:rPr>
            </w:pPr>
            <w:r w:rsidRPr="00F171A3">
              <w:rPr>
                <w:rFonts w:cstheme="minorHAnsi"/>
                <w:color w:val="134753"/>
              </w:rPr>
              <w:t>Existența unor inițiative ale Primăriei Sectorului 2 de amenajare a unor spații publice reprezentative amplasate în interiorul zonelor construite protejate.</w:t>
            </w:r>
          </w:p>
        </w:tc>
        <w:tc>
          <w:tcPr>
            <w:tcW w:w="2534" w:type="pct"/>
          </w:tcPr>
          <w:p w14:paraId="5A1B94E1" w14:textId="07806E80" w:rsidR="00650362" w:rsidRPr="00F171A3" w:rsidRDefault="00650362">
            <w:pPr>
              <w:pStyle w:val="ListParagraph"/>
              <w:numPr>
                <w:ilvl w:val="0"/>
                <w:numId w:val="23"/>
              </w:numPr>
              <w:rPr>
                <w:color w:val="134753" w:themeColor="text2"/>
              </w:rPr>
            </w:pPr>
            <w:r w:rsidRPr="00F171A3">
              <w:rPr>
                <w:rFonts w:cstheme="minorHAnsi"/>
                <w:color w:val="134753"/>
              </w:rPr>
              <w:t>Existența pe teritoriul Sectorului 2 a unor clădiri cu valoare arhitectural-urbanistică și memorial-simbolică deosebită care necesită lucrări de reabilitare, precum amfiteatrul Mihai Eminescu.</w:t>
            </w:r>
          </w:p>
        </w:tc>
      </w:tr>
      <w:tr w:rsidR="00650362" w:rsidRPr="00F171A3" w14:paraId="6B5FB7B6"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700E1770" w14:textId="651BE157" w:rsidR="00650362" w:rsidRPr="00F171A3" w:rsidRDefault="00650362">
            <w:pPr>
              <w:pStyle w:val="ListParagraph"/>
              <w:numPr>
                <w:ilvl w:val="0"/>
                <w:numId w:val="23"/>
              </w:numPr>
              <w:rPr>
                <w:color w:val="134753" w:themeColor="text2"/>
              </w:rPr>
            </w:pPr>
            <w:r w:rsidRPr="00F171A3">
              <w:rPr>
                <w:rFonts w:cstheme="minorHAnsi"/>
                <w:color w:val="134753"/>
              </w:rPr>
              <w:t>Existența la nivelul Sectorului 2 a 25 de clădiri cu valoare arhitectural-urbanistică deosebită cu potențial de valorificare în scop socio-cultural</w:t>
            </w:r>
          </w:p>
        </w:tc>
        <w:tc>
          <w:tcPr>
            <w:tcW w:w="2534" w:type="pct"/>
          </w:tcPr>
          <w:p w14:paraId="67A6217D" w14:textId="77777777" w:rsidR="00650362" w:rsidRPr="00F171A3" w:rsidRDefault="00650362" w:rsidP="00650362">
            <w:pPr>
              <w:pStyle w:val="ListParagraph"/>
              <w:rPr>
                <w:color w:val="134753" w:themeColor="text2"/>
              </w:rPr>
            </w:pPr>
          </w:p>
        </w:tc>
      </w:tr>
      <w:tr w:rsidR="00144ABF" w:rsidRPr="00F171A3" w14:paraId="688A1CFB"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shd w:val="clear" w:color="auto" w:fill="134753" w:themeFill="text2"/>
          </w:tcPr>
          <w:p w14:paraId="4B3B6BA9" w14:textId="77777777" w:rsidR="00144ABF" w:rsidRPr="00F171A3" w:rsidRDefault="00144ABF" w:rsidP="00144ABF">
            <w:pPr>
              <w:spacing w:after="0"/>
              <w:jc w:val="center"/>
              <w:rPr>
                <w:b/>
                <w:bCs/>
              </w:rPr>
            </w:pPr>
            <w:r w:rsidRPr="00F171A3">
              <w:rPr>
                <w:b/>
                <w:bCs/>
              </w:rPr>
              <w:t>OPORTUNITĂȚI</w:t>
            </w:r>
          </w:p>
        </w:tc>
        <w:tc>
          <w:tcPr>
            <w:tcW w:w="2534" w:type="pct"/>
            <w:shd w:val="clear" w:color="auto" w:fill="134753" w:themeFill="text2"/>
          </w:tcPr>
          <w:p w14:paraId="419E14A0" w14:textId="77777777" w:rsidR="00144ABF" w:rsidRPr="00F171A3" w:rsidRDefault="00144ABF" w:rsidP="00144ABF">
            <w:pPr>
              <w:spacing w:after="0"/>
              <w:jc w:val="center"/>
              <w:rPr>
                <w:b/>
                <w:bCs/>
              </w:rPr>
            </w:pPr>
            <w:r w:rsidRPr="00F171A3">
              <w:rPr>
                <w:b/>
                <w:bCs/>
              </w:rPr>
              <w:t>AMENINȚĂRI</w:t>
            </w:r>
          </w:p>
        </w:tc>
      </w:tr>
      <w:tr w:rsidR="00650362" w:rsidRPr="00F171A3" w14:paraId="7526A902"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1586C7BE" w14:textId="047EC375" w:rsidR="00650362" w:rsidRPr="00963E4C" w:rsidRDefault="00650362" w:rsidP="00963E4C">
            <w:pPr>
              <w:pStyle w:val="ListParagraph"/>
              <w:numPr>
                <w:ilvl w:val="0"/>
                <w:numId w:val="23"/>
              </w:numPr>
              <w:pBdr>
                <w:top w:val="nil"/>
                <w:left w:val="nil"/>
                <w:bottom w:val="nil"/>
                <w:right w:val="nil"/>
                <w:between w:val="nil"/>
              </w:pBdr>
              <w:rPr>
                <w:rFonts w:cstheme="minorHAnsi"/>
                <w:color w:val="134753"/>
              </w:rPr>
            </w:pPr>
            <w:r w:rsidRPr="00F171A3">
              <w:rPr>
                <w:rFonts w:cstheme="minorHAnsi"/>
                <w:color w:val="134753"/>
              </w:rPr>
              <w:t>Existența la nivelul municipiului București a unor inițiative de consolidare a clădirilor cu risc seismic, inclusiv a monumentelor istorice.</w:t>
            </w:r>
          </w:p>
        </w:tc>
        <w:tc>
          <w:tcPr>
            <w:tcW w:w="2534" w:type="pct"/>
          </w:tcPr>
          <w:p w14:paraId="6EA96F7B" w14:textId="38AD6865" w:rsidR="00650362" w:rsidRPr="00963E4C" w:rsidRDefault="00650362" w:rsidP="00963E4C">
            <w:pPr>
              <w:pStyle w:val="ListParagraph"/>
              <w:numPr>
                <w:ilvl w:val="0"/>
                <w:numId w:val="23"/>
              </w:numPr>
              <w:pBdr>
                <w:top w:val="nil"/>
                <w:left w:val="nil"/>
                <w:bottom w:val="nil"/>
                <w:right w:val="nil"/>
                <w:between w:val="nil"/>
              </w:pBdr>
              <w:rPr>
                <w:rFonts w:cstheme="minorHAnsi"/>
                <w:color w:val="134753"/>
              </w:rPr>
            </w:pPr>
            <w:r w:rsidRPr="00F171A3">
              <w:rPr>
                <w:rFonts w:cstheme="minorHAnsi"/>
                <w:color w:val="134753"/>
              </w:rPr>
              <w:t>Insuficiența fondurilor publice pentru a investi în obiectivele de patrimoniu construit poate conduce la înrăutățirea stării clădirilor de patrimoniu aflate in domeniul public.</w:t>
            </w:r>
          </w:p>
        </w:tc>
      </w:tr>
      <w:tr w:rsidR="00650362" w:rsidRPr="00F171A3" w14:paraId="00D2A37B"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672E9E25" w14:textId="79280440" w:rsidR="00650362" w:rsidRPr="00963E4C" w:rsidRDefault="00650362" w:rsidP="00963E4C">
            <w:pPr>
              <w:pStyle w:val="ListParagraph"/>
              <w:numPr>
                <w:ilvl w:val="0"/>
                <w:numId w:val="23"/>
              </w:numPr>
              <w:pBdr>
                <w:top w:val="nil"/>
                <w:left w:val="nil"/>
                <w:bottom w:val="nil"/>
                <w:right w:val="nil"/>
                <w:between w:val="nil"/>
              </w:pBdr>
              <w:rPr>
                <w:rFonts w:cstheme="minorHAnsi"/>
                <w:color w:val="134753"/>
              </w:rPr>
            </w:pPr>
            <w:r w:rsidRPr="00F171A3">
              <w:rPr>
                <w:rFonts w:cstheme="minorHAnsi"/>
                <w:color w:val="134753"/>
              </w:rPr>
              <w:t>Existența la nivelul municipiului București a unor inițiative de protejare și valorificare  a monumentelor istorice (restaurare/ reabilitare/  consolidare).</w:t>
            </w:r>
          </w:p>
        </w:tc>
        <w:tc>
          <w:tcPr>
            <w:tcW w:w="2534" w:type="pct"/>
          </w:tcPr>
          <w:p w14:paraId="0275EB5B" w14:textId="39B0939F" w:rsidR="00650362" w:rsidRPr="00963E4C" w:rsidRDefault="00650362" w:rsidP="00963E4C">
            <w:pPr>
              <w:pStyle w:val="ListParagraph"/>
              <w:numPr>
                <w:ilvl w:val="0"/>
                <w:numId w:val="23"/>
              </w:numPr>
              <w:pBdr>
                <w:top w:val="nil"/>
                <w:left w:val="nil"/>
                <w:bottom w:val="nil"/>
                <w:right w:val="nil"/>
                <w:between w:val="nil"/>
              </w:pBdr>
              <w:rPr>
                <w:rFonts w:cstheme="minorHAnsi"/>
                <w:color w:val="134753"/>
              </w:rPr>
            </w:pPr>
            <w:r w:rsidRPr="00F171A3">
              <w:rPr>
                <w:rFonts w:cstheme="minorHAnsi"/>
                <w:color w:val="134753"/>
              </w:rPr>
              <w:t>Realizarea de intervenții private, neautorizate, în zona istorică conduce la degradarea clădirilor monumente istorice.</w:t>
            </w:r>
          </w:p>
        </w:tc>
      </w:tr>
      <w:tr w:rsidR="00650362" w:rsidRPr="00F171A3" w14:paraId="6CA38D32"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BD6599D" w14:textId="32C960C3" w:rsidR="00650362" w:rsidRPr="00963E4C" w:rsidRDefault="00650362" w:rsidP="00963E4C">
            <w:pPr>
              <w:pStyle w:val="ListParagraph"/>
              <w:numPr>
                <w:ilvl w:val="0"/>
                <w:numId w:val="23"/>
              </w:numPr>
              <w:pBdr>
                <w:top w:val="nil"/>
                <w:left w:val="nil"/>
                <w:bottom w:val="nil"/>
                <w:right w:val="nil"/>
                <w:between w:val="nil"/>
              </w:pBdr>
              <w:rPr>
                <w:rFonts w:cstheme="minorHAnsi"/>
                <w:color w:val="134753"/>
              </w:rPr>
            </w:pPr>
            <w:r w:rsidRPr="00F171A3">
              <w:rPr>
                <w:rFonts w:cstheme="minorHAnsi"/>
                <w:color w:val="134753"/>
              </w:rPr>
              <w:t>Existența unui cadru legislativ care sprijină procesul de reabilitare a monumentelor istorice și a construcțiilor amplasate în zona istorică.</w:t>
            </w:r>
          </w:p>
        </w:tc>
        <w:tc>
          <w:tcPr>
            <w:tcW w:w="2534" w:type="pct"/>
          </w:tcPr>
          <w:p w14:paraId="5938A1C9" w14:textId="61A49378" w:rsidR="00650362" w:rsidRPr="00963E4C" w:rsidRDefault="00963E4C" w:rsidP="00963E4C">
            <w:pPr>
              <w:pStyle w:val="ListParagraph"/>
              <w:numPr>
                <w:ilvl w:val="0"/>
                <w:numId w:val="23"/>
              </w:numPr>
              <w:pBdr>
                <w:top w:val="nil"/>
                <w:left w:val="nil"/>
                <w:bottom w:val="nil"/>
                <w:right w:val="nil"/>
                <w:between w:val="nil"/>
              </w:pBdr>
              <w:rPr>
                <w:rFonts w:cstheme="minorHAnsi"/>
                <w:color w:val="134753"/>
              </w:rPr>
            </w:pPr>
            <w:r w:rsidRPr="00F171A3">
              <w:rPr>
                <w:rFonts w:cstheme="minorHAnsi"/>
                <w:color w:val="134753"/>
              </w:rPr>
              <w:t>Riscul de pierdere / degradare a unor valori locale în lipsa conștientizării, conservării și capitalizării potențialului socio-cultural al acestora.</w:t>
            </w:r>
          </w:p>
        </w:tc>
      </w:tr>
    </w:tbl>
    <w:p w14:paraId="12D9E2DF" w14:textId="1981A292" w:rsidR="00144ABF" w:rsidRPr="00F171A3" w:rsidRDefault="00144ABF" w:rsidP="007F2663">
      <w:pPr>
        <w:pStyle w:val="Normal0"/>
      </w:pPr>
    </w:p>
    <w:tbl>
      <w:tblPr>
        <w:tblStyle w:val="Civittatable5"/>
        <w:tblW w:w="5067" w:type="pct"/>
        <w:tblInd w:w="-5" w:type="dxa"/>
        <w:tblLook w:val="0480" w:firstRow="0" w:lastRow="0" w:firstColumn="1" w:lastColumn="0" w:noHBand="0" w:noVBand="1"/>
      </w:tblPr>
      <w:tblGrid>
        <w:gridCol w:w="4506"/>
        <w:gridCol w:w="4631"/>
      </w:tblGrid>
      <w:tr w:rsidR="009267A9" w:rsidRPr="00F171A3" w14:paraId="18441A20"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1AADCAA7" w14:textId="68BA8317" w:rsidR="009267A9" w:rsidRPr="00F171A3" w:rsidRDefault="009267A9" w:rsidP="00520678">
            <w:pPr>
              <w:spacing w:after="0"/>
              <w:jc w:val="center"/>
              <w:rPr>
                <w:b/>
                <w:bCs/>
                <w:color w:val="FFFFFF" w:themeColor="background1"/>
              </w:rPr>
            </w:pPr>
            <w:r w:rsidRPr="00F171A3">
              <w:rPr>
                <w:b/>
                <w:bCs/>
                <w:color w:val="FFFFFF" w:themeColor="background1"/>
              </w:rPr>
              <w:t>SPA</w:t>
            </w:r>
            <w:r w:rsidR="00E71332" w:rsidRPr="00F171A3">
              <w:rPr>
                <w:b/>
                <w:bCs/>
                <w:color w:val="FFFFFF" w:themeColor="background1"/>
              </w:rPr>
              <w:t>Ț</w:t>
            </w:r>
            <w:r w:rsidRPr="00F171A3">
              <w:rPr>
                <w:b/>
                <w:bCs/>
                <w:color w:val="FFFFFF" w:themeColor="background1"/>
              </w:rPr>
              <w:t>IU PUBLIC</w:t>
            </w:r>
          </w:p>
        </w:tc>
      </w:tr>
      <w:tr w:rsidR="009267A9" w:rsidRPr="00F171A3" w14:paraId="1AF13ADA"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07AAEC9C" w14:textId="77777777" w:rsidR="009267A9" w:rsidRPr="00F171A3" w:rsidRDefault="009267A9" w:rsidP="00520678">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4343CBE0" w14:textId="77777777" w:rsidR="009267A9" w:rsidRPr="00F171A3" w:rsidRDefault="009267A9" w:rsidP="00520678">
            <w:pPr>
              <w:spacing w:after="0"/>
              <w:jc w:val="center"/>
              <w:rPr>
                <w:b/>
                <w:bCs/>
                <w:color w:val="FFFFFF" w:themeColor="background1"/>
              </w:rPr>
            </w:pPr>
            <w:r w:rsidRPr="00F171A3">
              <w:rPr>
                <w:b/>
                <w:bCs/>
                <w:color w:val="FFFFFF" w:themeColor="background1"/>
              </w:rPr>
              <w:t>PUNCTE SLABE</w:t>
            </w:r>
          </w:p>
        </w:tc>
      </w:tr>
      <w:tr w:rsidR="003E3A92" w:rsidRPr="00F171A3" w14:paraId="710EAA84"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C7220C9" w14:textId="322D680B" w:rsidR="003E3A92" w:rsidRPr="00F171A3" w:rsidRDefault="003E3A92">
            <w:pPr>
              <w:pStyle w:val="ListParagraph"/>
              <w:numPr>
                <w:ilvl w:val="0"/>
                <w:numId w:val="24"/>
              </w:numPr>
              <w:rPr>
                <w:color w:val="134753" w:themeColor="text2"/>
              </w:rPr>
            </w:pPr>
            <w:r w:rsidRPr="00F171A3">
              <w:rPr>
                <w:rFonts w:cstheme="minorHAnsi"/>
                <w:color w:val="134753"/>
              </w:rPr>
              <w:t>În ultimii ani au fost amenajate numeroase spații verzi ample în lungul salbei de lacuri și în ansamblurile de locuințe colective (Parcul Sticlăriei, Parcul Sf. Pantelimon, Parcul Motodrom etc).</w:t>
            </w:r>
          </w:p>
        </w:tc>
        <w:tc>
          <w:tcPr>
            <w:tcW w:w="2534" w:type="pct"/>
          </w:tcPr>
          <w:p w14:paraId="016093B1" w14:textId="12FD3E3F" w:rsidR="003E3A92" w:rsidRPr="00F171A3" w:rsidRDefault="003E3A92">
            <w:pPr>
              <w:pStyle w:val="ListParagraph"/>
              <w:numPr>
                <w:ilvl w:val="0"/>
                <w:numId w:val="24"/>
              </w:numPr>
              <w:rPr>
                <w:color w:val="134753" w:themeColor="text2"/>
              </w:rPr>
            </w:pPr>
            <w:r w:rsidRPr="00F171A3">
              <w:rPr>
                <w:rFonts w:cstheme="minorHAnsi"/>
                <w:color w:val="134753"/>
              </w:rPr>
              <w:t>Sectorul 2 nu deține un spațiu verde de mare amploare cum ar fi parcul Tineretului, Herăstrău sau Titan.</w:t>
            </w:r>
          </w:p>
        </w:tc>
      </w:tr>
      <w:tr w:rsidR="003E3A92" w:rsidRPr="00F171A3" w14:paraId="7F923DED"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5AB07327" w14:textId="1849BEF8" w:rsidR="003E3A92" w:rsidRPr="00F171A3" w:rsidRDefault="003E3A92">
            <w:pPr>
              <w:pStyle w:val="ListParagraph"/>
              <w:numPr>
                <w:ilvl w:val="0"/>
                <w:numId w:val="24"/>
              </w:numPr>
              <w:rPr>
                <w:color w:val="134753" w:themeColor="text2"/>
              </w:rPr>
            </w:pPr>
            <w:r w:rsidRPr="00F171A3">
              <w:rPr>
                <w:rFonts w:cstheme="minorHAnsi"/>
                <w:color w:val="134753"/>
              </w:rPr>
              <w:t>Cea mai mare parte a spațiilor verzi se află într-o stare medie sau bună.</w:t>
            </w:r>
          </w:p>
        </w:tc>
        <w:tc>
          <w:tcPr>
            <w:tcW w:w="2534" w:type="pct"/>
          </w:tcPr>
          <w:p w14:paraId="3E3E8572" w14:textId="40132F4D" w:rsidR="003E3A92" w:rsidRPr="00F171A3" w:rsidRDefault="003E3A92">
            <w:pPr>
              <w:pStyle w:val="ListParagraph"/>
              <w:numPr>
                <w:ilvl w:val="0"/>
                <w:numId w:val="24"/>
              </w:numPr>
              <w:rPr>
                <w:color w:val="134753" w:themeColor="text2"/>
              </w:rPr>
            </w:pPr>
            <w:r w:rsidRPr="00F171A3">
              <w:rPr>
                <w:rFonts w:cstheme="minorHAnsi"/>
                <w:color w:val="134753"/>
              </w:rPr>
              <w:t xml:space="preserve">Zona centrală este în continuare lipsită de spații verzi, chiar și de dimensiuni mici sau medii, iar străzile sunt în cea mai mare parte blocate de autovehiculele parcate pe trotuar. Se resimte lipsa unor spații publice care pot </w:t>
            </w:r>
            <w:r w:rsidR="00C66438" w:rsidRPr="00F171A3">
              <w:rPr>
                <w:rFonts w:cstheme="minorHAnsi"/>
                <w:color w:val="134753"/>
              </w:rPr>
              <w:t>găzdui</w:t>
            </w:r>
            <w:r w:rsidRPr="00F171A3">
              <w:rPr>
                <w:rFonts w:cstheme="minorHAnsi"/>
                <w:color w:val="134753"/>
              </w:rPr>
              <w:t xml:space="preserve"> evenimente culturale/ comunitare. </w:t>
            </w:r>
          </w:p>
        </w:tc>
      </w:tr>
      <w:tr w:rsidR="003E3A92" w:rsidRPr="00F171A3" w14:paraId="31936E75"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285EB34C" w14:textId="2C78B8D4" w:rsidR="003E3A92" w:rsidRPr="00F171A3" w:rsidRDefault="003E3A92">
            <w:pPr>
              <w:pStyle w:val="ListParagraph"/>
              <w:numPr>
                <w:ilvl w:val="0"/>
                <w:numId w:val="24"/>
              </w:numPr>
              <w:rPr>
                <w:rFonts w:cstheme="minorHAnsi"/>
                <w:color w:val="134753"/>
              </w:rPr>
            </w:pPr>
            <w:r w:rsidRPr="00F171A3">
              <w:rPr>
                <w:rFonts w:cstheme="minorHAnsi"/>
                <w:color w:val="134753"/>
              </w:rPr>
              <w:t xml:space="preserve"> Inițiativă a administrației locale de elaborare, în parteneriat cu OAR, a unui proiect pilot de tip workshop-uri pentru generarea unor modele de amenajare a spațiilor publice.</w:t>
            </w:r>
          </w:p>
        </w:tc>
        <w:tc>
          <w:tcPr>
            <w:tcW w:w="2534" w:type="pct"/>
          </w:tcPr>
          <w:p w14:paraId="54112A5F" w14:textId="2E575F2E" w:rsidR="003E3A92" w:rsidRPr="00F171A3" w:rsidRDefault="003E3A92">
            <w:pPr>
              <w:pStyle w:val="ListParagraph"/>
              <w:numPr>
                <w:ilvl w:val="0"/>
                <w:numId w:val="24"/>
              </w:numPr>
              <w:rPr>
                <w:color w:val="134753" w:themeColor="text2"/>
              </w:rPr>
            </w:pPr>
            <w:r w:rsidRPr="00F171A3">
              <w:rPr>
                <w:rFonts w:cstheme="minorHAnsi"/>
                <w:color w:val="134753"/>
              </w:rPr>
              <w:t>Compromiterea Pieței Obor ca spațiu public reprezentativ din cauza parcărilor și dezvoltării comerțului de întâmpinare/ volant.</w:t>
            </w:r>
          </w:p>
        </w:tc>
      </w:tr>
      <w:tr w:rsidR="003E3A92" w:rsidRPr="00F171A3" w14:paraId="4232B12D"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00014038" w14:textId="68EB2A18" w:rsidR="003E3A92" w:rsidRPr="00F171A3" w:rsidRDefault="003E3A92">
            <w:pPr>
              <w:pStyle w:val="ListParagraph"/>
              <w:numPr>
                <w:ilvl w:val="0"/>
                <w:numId w:val="24"/>
              </w:numPr>
              <w:rPr>
                <w:color w:val="134753" w:themeColor="text2"/>
              </w:rPr>
            </w:pPr>
            <w:r w:rsidRPr="00F171A3">
              <w:rPr>
                <w:rFonts w:cstheme="minorHAnsi"/>
                <w:color w:val="134753"/>
              </w:rPr>
              <w:t>Arterele majore care irigă Sectorul 2 funcționează ca spații publice de tip linie, oferind în lungul lor o varietate amplă de dotări de interes cotidian.</w:t>
            </w:r>
          </w:p>
        </w:tc>
        <w:tc>
          <w:tcPr>
            <w:tcW w:w="2534" w:type="pct"/>
          </w:tcPr>
          <w:p w14:paraId="4B096348" w14:textId="20BAD860" w:rsidR="003E3A92" w:rsidRPr="00F171A3" w:rsidRDefault="003E3A92">
            <w:pPr>
              <w:pStyle w:val="ListParagraph"/>
              <w:numPr>
                <w:ilvl w:val="0"/>
                <w:numId w:val="24"/>
              </w:numPr>
              <w:rPr>
                <w:color w:val="134753" w:themeColor="text2"/>
              </w:rPr>
            </w:pPr>
            <w:r w:rsidRPr="00F171A3">
              <w:rPr>
                <w:rFonts w:cstheme="minorHAnsi"/>
                <w:color w:val="134753"/>
              </w:rPr>
              <w:t xml:space="preserve">Mare parte din spațiile publice ample  beneficiază doar de facilități de bază (mobilier urban minimal, iluminat public limitat etc.), fiind lipsite de dotări esențiale precum toalete publice și instalații de apă </w:t>
            </w:r>
          </w:p>
        </w:tc>
      </w:tr>
      <w:tr w:rsidR="003E3A92" w:rsidRPr="00F171A3" w14:paraId="5F8DBC5F"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2DC3E1E4" w14:textId="3B0BA5CE" w:rsidR="003E3A92" w:rsidRPr="00F171A3" w:rsidRDefault="003E3A92">
            <w:pPr>
              <w:pStyle w:val="ListParagraph"/>
              <w:numPr>
                <w:ilvl w:val="0"/>
                <w:numId w:val="24"/>
              </w:numPr>
              <w:rPr>
                <w:color w:val="134753" w:themeColor="text2"/>
              </w:rPr>
            </w:pPr>
            <w:r w:rsidRPr="00F171A3">
              <w:rPr>
                <w:rFonts w:cstheme="minorHAnsi"/>
                <w:color w:val="134753"/>
              </w:rPr>
              <w:t>Inițierea unui concurs internațional de soluții în vederea revitalizării salbei de lacuri (Tronson I - Zona Lacul Tei, Tronson II - Zona Lacul Plumbuita, Tronson III - Zona Valea Saulei, Tronson IV - Zona Râul Colentina si Lacul Fundeni, Tronson V - Zona Lacul Dobroești si Pantelimon)</w:t>
            </w:r>
          </w:p>
        </w:tc>
        <w:tc>
          <w:tcPr>
            <w:tcW w:w="2534" w:type="pct"/>
          </w:tcPr>
          <w:p w14:paraId="4EBDB9CD" w14:textId="6864AEAD" w:rsidR="003E3A92" w:rsidRPr="00963E4C" w:rsidRDefault="003E3A92" w:rsidP="00963E4C">
            <w:pPr>
              <w:pStyle w:val="ListParagraph"/>
              <w:numPr>
                <w:ilvl w:val="0"/>
                <w:numId w:val="24"/>
              </w:numPr>
              <w:pBdr>
                <w:top w:val="nil"/>
                <w:left w:val="nil"/>
                <w:bottom w:val="nil"/>
                <w:right w:val="nil"/>
                <w:between w:val="nil"/>
              </w:pBdr>
              <w:rPr>
                <w:rFonts w:cstheme="minorHAnsi"/>
                <w:color w:val="134753"/>
              </w:rPr>
            </w:pPr>
            <w:r w:rsidRPr="00963E4C">
              <w:rPr>
                <w:rFonts w:cstheme="minorHAnsi"/>
                <w:color w:val="134753"/>
              </w:rPr>
              <w:t xml:space="preserve"> </w:t>
            </w:r>
            <w:r w:rsidRPr="00F171A3">
              <w:rPr>
                <w:rFonts w:cstheme="minorHAnsi"/>
                <w:color w:val="134753"/>
              </w:rPr>
              <w:t>Parcuri reprezentative la nivel municipal necesită lucrări urgente de modernizare sau reamenajare: Parcul Ioanid, Parcul Circului, Parcul Verdi.</w:t>
            </w:r>
          </w:p>
        </w:tc>
      </w:tr>
      <w:tr w:rsidR="003E3A92" w:rsidRPr="00F171A3" w14:paraId="1D12E290"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5B806C9D" w14:textId="191962D4" w:rsidR="003E3A92" w:rsidRPr="00F171A3" w:rsidRDefault="003E3A92">
            <w:pPr>
              <w:pStyle w:val="ListParagraph"/>
              <w:numPr>
                <w:ilvl w:val="0"/>
                <w:numId w:val="24"/>
              </w:numPr>
              <w:rPr>
                <w:color w:val="134753" w:themeColor="text2"/>
              </w:rPr>
            </w:pPr>
            <w:r w:rsidRPr="00F171A3">
              <w:rPr>
                <w:rFonts w:cstheme="minorHAnsi"/>
                <w:color w:val="134753"/>
              </w:rPr>
              <w:t>Inițierea unui concurs internațional de soluții în vederea amenajării a 6 spații publice din zona centrală</w:t>
            </w:r>
          </w:p>
        </w:tc>
        <w:tc>
          <w:tcPr>
            <w:tcW w:w="2534" w:type="pct"/>
          </w:tcPr>
          <w:p w14:paraId="7DF10EAB" w14:textId="77777777" w:rsidR="003E3A92" w:rsidRPr="00963E4C" w:rsidRDefault="003E3A92" w:rsidP="00963E4C">
            <w:pPr>
              <w:pStyle w:val="ListParagraph"/>
              <w:numPr>
                <w:ilvl w:val="0"/>
                <w:numId w:val="24"/>
              </w:numPr>
              <w:pBdr>
                <w:top w:val="nil"/>
                <w:left w:val="nil"/>
                <w:bottom w:val="nil"/>
                <w:right w:val="nil"/>
                <w:between w:val="nil"/>
              </w:pBdr>
              <w:rPr>
                <w:rFonts w:cstheme="minorHAnsi"/>
                <w:color w:val="134753"/>
              </w:rPr>
            </w:pPr>
            <w:r w:rsidRPr="00F171A3">
              <w:rPr>
                <w:rFonts w:cstheme="minorHAnsi"/>
                <w:color w:val="134753"/>
              </w:rPr>
              <w:t>Piețele agroalimentare se confruntă cu probleme de funcționare cauzate de gradul redus de ocupare al acestora, cu precădere Piața Colentina.</w:t>
            </w:r>
          </w:p>
          <w:p w14:paraId="23CCA40B" w14:textId="77777777" w:rsidR="003E3A92" w:rsidRPr="00963E4C" w:rsidRDefault="003E3A92" w:rsidP="00963E4C">
            <w:pPr>
              <w:pStyle w:val="ListParagraph"/>
              <w:numPr>
                <w:ilvl w:val="0"/>
                <w:numId w:val="24"/>
              </w:numPr>
              <w:pBdr>
                <w:top w:val="nil"/>
                <w:left w:val="nil"/>
                <w:bottom w:val="nil"/>
                <w:right w:val="nil"/>
                <w:between w:val="nil"/>
              </w:pBdr>
              <w:rPr>
                <w:rFonts w:cstheme="minorHAnsi"/>
                <w:color w:val="134753"/>
              </w:rPr>
            </w:pPr>
            <w:r w:rsidRPr="00F171A3">
              <w:rPr>
                <w:rFonts w:cstheme="minorHAnsi"/>
                <w:color w:val="134753"/>
              </w:rPr>
              <w:t>Zonele rezidențiale au un grad mai redus de acces la piețele agroalimentare decât la supermarketuri/hipermarketuri.</w:t>
            </w:r>
            <w:r w:rsidRPr="00963E4C">
              <w:rPr>
                <w:rFonts w:cstheme="minorHAnsi"/>
                <w:color w:val="134753"/>
              </w:rPr>
              <w:t xml:space="preserve">  </w:t>
            </w:r>
          </w:p>
          <w:p w14:paraId="68D3B6A6" w14:textId="7CBDFF74" w:rsidR="003E3A92" w:rsidRPr="00963E4C" w:rsidRDefault="003E3A92" w:rsidP="00963E4C">
            <w:pPr>
              <w:pStyle w:val="ListParagraph"/>
              <w:pBdr>
                <w:top w:val="nil"/>
                <w:left w:val="nil"/>
                <w:bottom w:val="nil"/>
                <w:right w:val="nil"/>
                <w:between w:val="nil"/>
              </w:pBdr>
              <w:rPr>
                <w:rFonts w:cstheme="minorHAnsi"/>
                <w:color w:val="134753"/>
              </w:rPr>
            </w:pPr>
            <w:r w:rsidRPr="00F171A3">
              <w:rPr>
                <w:rFonts w:cstheme="minorHAnsi"/>
                <w:color w:val="134753"/>
              </w:rPr>
              <w:t>Existența unor piețe agroalimentare care necesită lucrări de modernizare, precum Piața Galați și Piața Delfinului.</w:t>
            </w:r>
          </w:p>
        </w:tc>
      </w:tr>
      <w:tr w:rsidR="003E3A92" w:rsidRPr="00F171A3" w14:paraId="02044F72"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CA9D53D" w14:textId="1FFDED98" w:rsidR="003E3A92" w:rsidRPr="00F171A3" w:rsidRDefault="003E3A92">
            <w:pPr>
              <w:pStyle w:val="ListParagraph"/>
              <w:numPr>
                <w:ilvl w:val="0"/>
                <w:numId w:val="24"/>
              </w:numPr>
              <w:rPr>
                <w:color w:val="134753" w:themeColor="text2"/>
              </w:rPr>
            </w:pPr>
            <w:r w:rsidRPr="00F171A3">
              <w:rPr>
                <w:rFonts w:cstheme="minorHAnsi"/>
                <w:color w:val="134753"/>
              </w:rPr>
              <w:t>Inițiative ale administrației locale de implementare de proiecte de regenerare urbană a unor spații publice din zona centrală de importanță municipală (zona Obor, Moșilor-Mântuleasa) Colentina -Tei), dezvoltate în parteneriat cu Banca Mondială</w:t>
            </w:r>
          </w:p>
        </w:tc>
        <w:tc>
          <w:tcPr>
            <w:tcW w:w="2534" w:type="pct"/>
          </w:tcPr>
          <w:p w14:paraId="6B909BC9" w14:textId="77777777" w:rsidR="003E3A92" w:rsidRPr="00F171A3" w:rsidRDefault="003E3A92" w:rsidP="00963E4C">
            <w:pPr>
              <w:pStyle w:val="ListParagraph"/>
              <w:numPr>
                <w:ilvl w:val="0"/>
                <w:numId w:val="24"/>
              </w:numPr>
              <w:rPr>
                <w:rFonts w:cstheme="minorHAnsi"/>
                <w:color w:val="134753"/>
              </w:rPr>
            </w:pPr>
            <w:r w:rsidRPr="00F171A3">
              <w:rPr>
                <w:rFonts w:cstheme="minorHAnsi"/>
                <w:color w:val="134753"/>
              </w:rPr>
              <w:t>Infrastructura redusă de locuri de joacă pentru copii din cadrul marilor ansambluri de locuințe colective</w:t>
            </w:r>
          </w:p>
          <w:p w14:paraId="3A664F7D" w14:textId="77777777" w:rsidR="003E3A92" w:rsidRPr="00F171A3" w:rsidRDefault="003E3A92" w:rsidP="003E3A92">
            <w:pPr>
              <w:pStyle w:val="ListParagraph"/>
              <w:rPr>
                <w:color w:val="134753" w:themeColor="text2"/>
              </w:rPr>
            </w:pPr>
          </w:p>
        </w:tc>
      </w:tr>
      <w:tr w:rsidR="003E3A92" w:rsidRPr="00F171A3" w14:paraId="6AA5E414"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49005131" w14:textId="25B5575F" w:rsidR="003E3A92" w:rsidRPr="00F171A3" w:rsidRDefault="003E3A92">
            <w:pPr>
              <w:pStyle w:val="ListParagraph"/>
              <w:numPr>
                <w:ilvl w:val="0"/>
                <w:numId w:val="24"/>
              </w:numPr>
              <w:rPr>
                <w:color w:val="134753" w:themeColor="text2"/>
              </w:rPr>
            </w:pPr>
            <w:r w:rsidRPr="00F171A3">
              <w:rPr>
                <w:rFonts w:cstheme="minorHAnsi"/>
                <w:color w:val="134753"/>
              </w:rPr>
              <w:t>Inițiativă a administrației locale de elaborare a unui ghid de regenerare urbană prin tehnici de urbanism participativ și proiect de conștientizare &amp; management al riscului seismic pentru zona Colentina - Tei (Proiectul APEL).</w:t>
            </w:r>
          </w:p>
        </w:tc>
        <w:tc>
          <w:tcPr>
            <w:tcW w:w="2534" w:type="pct"/>
          </w:tcPr>
          <w:p w14:paraId="2C379041" w14:textId="26BDEA64" w:rsidR="003E3A92" w:rsidRPr="00F171A3" w:rsidRDefault="003E3A92">
            <w:pPr>
              <w:pStyle w:val="ListParagraph"/>
              <w:numPr>
                <w:ilvl w:val="0"/>
                <w:numId w:val="24"/>
              </w:numPr>
              <w:rPr>
                <w:rFonts w:cstheme="minorHAnsi"/>
                <w:color w:val="134753"/>
              </w:rPr>
            </w:pPr>
            <w:r w:rsidRPr="00F171A3">
              <w:rPr>
                <w:rFonts w:cstheme="minorHAnsi"/>
                <w:color w:val="134753"/>
              </w:rPr>
              <w:t>Lipsa unor legături favorabile între spațiile verzi existente, motiv pentru care ele nu pot fi considerate ca parte a unui traseu mai amplu</w:t>
            </w:r>
          </w:p>
        </w:tc>
      </w:tr>
      <w:tr w:rsidR="003E3A92" w:rsidRPr="00F171A3" w14:paraId="286F47BE"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792BC4A1" w14:textId="5B50C3B7" w:rsidR="003E3A92" w:rsidRPr="00F171A3" w:rsidRDefault="003E3A92">
            <w:pPr>
              <w:pStyle w:val="ListParagraph"/>
              <w:numPr>
                <w:ilvl w:val="0"/>
                <w:numId w:val="24"/>
              </w:numPr>
              <w:rPr>
                <w:color w:val="134753" w:themeColor="text2"/>
              </w:rPr>
            </w:pPr>
            <w:r w:rsidRPr="00F171A3">
              <w:rPr>
                <w:rFonts w:cstheme="minorHAnsi"/>
                <w:color w:val="134753"/>
              </w:rPr>
              <w:t xml:space="preserve">Inițiative ale administrației publice locale de modernizare a infrastructurii de piețe din Sectorul 2: elaborarea de documentații tehnico-economice pentru modernizarea Pieței Obor – Hală Terminal, inițierea unui proiect pilot de amenajare de piețe volante. </w:t>
            </w:r>
          </w:p>
        </w:tc>
        <w:tc>
          <w:tcPr>
            <w:tcW w:w="2534" w:type="pct"/>
          </w:tcPr>
          <w:p w14:paraId="1F234DE0" w14:textId="3BF2AAE9" w:rsidR="003E3A92" w:rsidRPr="00F171A3" w:rsidRDefault="003E3A92">
            <w:pPr>
              <w:pStyle w:val="ListParagraph"/>
              <w:numPr>
                <w:ilvl w:val="0"/>
                <w:numId w:val="24"/>
              </w:numPr>
              <w:rPr>
                <w:rFonts w:cstheme="minorHAnsi"/>
                <w:color w:val="134753"/>
              </w:rPr>
            </w:pPr>
            <w:r w:rsidRPr="00F171A3">
              <w:rPr>
                <w:rFonts w:cstheme="minorHAnsi"/>
                <w:color w:val="134753"/>
              </w:rPr>
              <w:t>Existența unor segmente din zonele de locuințe individuale cum ar fi Andronache, Plumbuita sau Baicului și din zona de birouri Pipera cu  acces îngreunat la spații verzi amenajate.</w:t>
            </w:r>
          </w:p>
        </w:tc>
      </w:tr>
      <w:tr w:rsidR="003E3A92" w:rsidRPr="00F171A3" w14:paraId="6EB31B9F"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502014CC" w14:textId="45644318" w:rsidR="003E3A92" w:rsidRPr="00F171A3" w:rsidRDefault="003E3A92">
            <w:pPr>
              <w:pStyle w:val="ListParagraph"/>
              <w:numPr>
                <w:ilvl w:val="0"/>
                <w:numId w:val="24"/>
              </w:numPr>
              <w:rPr>
                <w:rFonts w:cstheme="minorHAnsi"/>
                <w:color w:val="134753"/>
              </w:rPr>
            </w:pPr>
            <w:r w:rsidRPr="00F171A3">
              <w:rPr>
                <w:rFonts w:cstheme="minorHAnsi"/>
                <w:color w:val="134753"/>
              </w:rPr>
              <w:t>Inițiativă a administrației locale de elaborare a unui cadru de reglementare a intervențiilor în spațiul public:  regulament pentru ocuparea domeniului public și regulament care să vizeze îmbunătățirea calității aerului în raport cu direcțiile europene privind protejarea spațiilor verzi și reducerea gazelor cu efect de seră.</w:t>
            </w:r>
          </w:p>
        </w:tc>
        <w:tc>
          <w:tcPr>
            <w:tcW w:w="2534" w:type="pct"/>
          </w:tcPr>
          <w:p w14:paraId="79CAA89A" w14:textId="77777777" w:rsidR="003E3A92" w:rsidRPr="00F171A3" w:rsidRDefault="003E3A92" w:rsidP="003E3A92">
            <w:pPr>
              <w:pStyle w:val="ListParagraph"/>
              <w:rPr>
                <w:rFonts w:cstheme="minorHAnsi"/>
                <w:color w:val="134753"/>
              </w:rPr>
            </w:pPr>
          </w:p>
        </w:tc>
      </w:tr>
      <w:tr w:rsidR="009267A9" w:rsidRPr="00F171A3" w14:paraId="4D56E882"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shd w:val="clear" w:color="auto" w:fill="134753" w:themeFill="text2"/>
          </w:tcPr>
          <w:p w14:paraId="788A6322" w14:textId="77777777" w:rsidR="009267A9" w:rsidRPr="00F171A3" w:rsidRDefault="009267A9" w:rsidP="00520678">
            <w:pPr>
              <w:spacing w:after="0"/>
              <w:jc w:val="center"/>
              <w:rPr>
                <w:b/>
                <w:bCs/>
              </w:rPr>
            </w:pPr>
            <w:r w:rsidRPr="00F171A3">
              <w:rPr>
                <w:b/>
                <w:bCs/>
              </w:rPr>
              <w:t>OPORTUNITĂȚI</w:t>
            </w:r>
          </w:p>
        </w:tc>
        <w:tc>
          <w:tcPr>
            <w:tcW w:w="2534" w:type="pct"/>
            <w:shd w:val="clear" w:color="auto" w:fill="134753" w:themeFill="text2"/>
          </w:tcPr>
          <w:p w14:paraId="700A11B9" w14:textId="77777777" w:rsidR="009267A9" w:rsidRPr="00F171A3" w:rsidRDefault="009267A9" w:rsidP="00520678">
            <w:pPr>
              <w:spacing w:after="0"/>
              <w:jc w:val="center"/>
              <w:rPr>
                <w:b/>
                <w:bCs/>
              </w:rPr>
            </w:pPr>
            <w:r w:rsidRPr="00F171A3">
              <w:rPr>
                <w:b/>
                <w:bCs/>
              </w:rPr>
              <w:t>AMENINȚĂRI</w:t>
            </w:r>
          </w:p>
        </w:tc>
      </w:tr>
      <w:tr w:rsidR="003E3A92" w:rsidRPr="00F171A3" w14:paraId="7E3288F5"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79FE573A" w14:textId="77777777" w:rsidR="003E3A92" w:rsidRPr="00F171A3" w:rsidRDefault="003E3A92">
            <w:pPr>
              <w:numPr>
                <w:ilvl w:val="0"/>
                <w:numId w:val="46"/>
              </w:numPr>
              <w:pBdr>
                <w:top w:val="nil"/>
                <w:left w:val="nil"/>
                <w:bottom w:val="nil"/>
                <w:right w:val="nil"/>
                <w:between w:val="nil"/>
              </w:pBdr>
              <w:spacing w:before="0"/>
              <w:rPr>
                <w:rFonts w:eastAsia="Calibri" w:cstheme="minorHAnsi"/>
                <w:b/>
                <w:color w:val="134753"/>
                <w:sz w:val="22"/>
              </w:rPr>
            </w:pPr>
            <w:r w:rsidRPr="00F171A3">
              <w:rPr>
                <w:rFonts w:cstheme="minorHAnsi"/>
                <w:color w:val="134753"/>
              </w:rPr>
              <w:t>Salba de lacuri care traversează Sectorul 2 reprezintă un segment dintr-un culoar mai amplu la nivelul Bucureștiului și comunelor limitrofe cu un mare potențial de a fi transformat într-o zonă de agrement de interes supra-municipal.</w:t>
            </w:r>
          </w:p>
          <w:p w14:paraId="3C386F20" w14:textId="77777777" w:rsidR="003E3A92" w:rsidRPr="00F171A3" w:rsidRDefault="003E3A92" w:rsidP="003E3A92">
            <w:pPr>
              <w:rPr>
                <w:color w:val="134753" w:themeColor="text2"/>
              </w:rPr>
            </w:pPr>
          </w:p>
        </w:tc>
        <w:tc>
          <w:tcPr>
            <w:tcW w:w="2534" w:type="pct"/>
          </w:tcPr>
          <w:p w14:paraId="517E87F4" w14:textId="23FAB648" w:rsidR="003E3A92" w:rsidRPr="00F171A3" w:rsidRDefault="003E3A92">
            <w:pPr>
              <w:pStyle w:val="ListParagraph"/>
              <w:numPr>
                <w:ilvl w:val="0"/>
                <w:numId w:val="25"/>
              </w:numPr>
              <w:rPr>
                <w:color w:val="134753" w:themeColor="text2"/>
              </w:rPr>
            </w:pPr>
            <w:r w:rsidRPr="00F171A3">
              <w:rPr>
                <w:rFonts w:cstheme="minorHAnsi"/>
                <w:color w:val="134753"/>
              </w:rPr>
              <w:t>Tendința de compromitere a spațiilor publice din jurul locuințelor colective pentru a crea mai multe locuri de parcare, corelat cu cererea ridicată a cetățenilor pentru parcări rezidențiale.</w:t>
            </w:r>
          </w:p>
        </w:tc>
      </w:tr>
      <w:tr w:rsidR="003E3A92" w:rsidRPr="00F171A3" w14:paraId="51AE09D9"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977252C" w14:textId="156ED99E" w:rsidR="003E3A92" w:rsidRPr="00F171A3" w:rsidRDefault="003E3A92">
            <w:pPr>
              <w:pStyle w:val="ListParagraph"/>
              <w:numPr>
                <w:ilvl w:val="0"/>
                <w:numId w:val="25"/>
              </w:numPr>
              <w:rPr>
                <w:color w:val="134753" w:themeColor="text2"/>
              </w:rPr>
            </w:pPr>
            <w:r w:rsidRPr="00F171A3">
              <w:rPr>
                <w:rFonts w:cstheme="minorHAnsi"/>
                <w:color w:val="134753"/>
              </w:rPr>
              <w:t>Spații publice de mari dimensiuni din Sectorul 3 care deservesc și locuitorii Sectorului 2 (precum Parcul Titan).</w:t>
            </w:r>
          </w:p>
        </w:tc>
        <w:tc>
          <w:tcPr>
            <w:tcW w:w="2534" w:type="pct"/>
          </w:tcPr>
          <w:p w14:paraId="019524B6" w14:textId="77777777" w:rsidR="003E3A92" w:rsidRPr="00F171A3" w:rsidRDefault="003E3A92" w:rsidP="003E3A92">
            <w:pPr>
              <w:pStyle w:val="ListParagraph"/>
              <w:rPr>
                <w:color w:val="134753" w:themeColor="text2"/>
              </w:rPr>
            </w:pPr>
          </w:p>
        </w:tc>
      </w:tr>
    </w:tbl>
    <w:p w14:paraId="1D466AFF" w14:textId="71EC439B" w:rsidR="009267A9" w:rsidRPr="00F171A3" w:rsidRDefault="009267A9" w:rsidP="007F2663">
      <w:pPr>
        <w:pStyle w:val="Normal0"/>
      </w:pPr>
    </w:p>
    <w:tbl>
      <w:tblPr>
        <w:tblStyle w:val="Civittatable11"/>
        <w:tblW w:w="9067" w:type="dxa"/>
        <w:tblLayout w:type="fixed"/>
        <w:tblLook w:val="04A0" w:firstRow="1" w:lastRow="0" w:firstColumn="1" w:lastColumn="0" w:noHBand="0" w:noVBand="1"/>
      </w:tblPr>
      <w:tblGrid>
        <w:gridCol w:w="4722"/>
        <w:gridCol w:w="4345"/>
      </w:tblGrid>
      <w:tr w:rsidR="000E6EBE" w:rsidRPr="00F171A3" w14:paraId="29EF1CFF" w14:textId="77777777" w:rsidTr="00963E4C">
        <w:trPr>
          <w:cnfStyle w:val="100000000000" w:firstRow="1" w:lastRow="0" w:firstColumn="0" w:lastColumn="0" w:oddVBand="0" w:evenVBand="0" w:oddHBand="0" w:evenHBand="0" w:firstRowFirstColumn="0" w:firstRowLastColumn="0" w:lastRowFirstColumn="0" w:lastRowLastColumn="0"/>
          <w:trHeight w:val="351"/>
          <w:tblHeader w:val="0"/>
        </w:trPr>
        <w:tc>
          <w:tcPr>
            <w:tcW w:w="9067" w:type="dxa"/>
            <w:gridSpan w:val="2"/>
            <w:shd w:val="clear" w:color="auto" w:fill="3CA1BC" w:themeFill="background2"/>
            <w:hideMark/>
          </w:tcPr>
          <w:p w14:paraId="327ABE9B" w14:textId="77777777" w:rsidR="000E6EBE" w:rsidRPr="00F171A3" w:rsidRDefault="000E6EBE" w:rsidP="00C44C7A">
            <w:pPr>
              <w:spacing w:after="0"/>
              <w:jc w:val="center"/>
              <w:rPr>
                <w:rFonts w:cstheme="minorHAnsi"/>
                <w:b/>
                <w:szCs w:val="20"/>
              </w:rPr>
            </w:pPr>
            <w:r w:rsidRPr="00F171A3">
              <w:rPr>
                <w:b/>
                <w:caps w:val="0"/>
              </w:rPr>
              <w:t>ECONOMIE</w:t>
            </w:r>
          </w:p>
        </w:tc>
      </w:tr>
      <w:tr w:rsidR="000E6EBE" w:rsidRPr="00F171A3" w14:paraId="46EC560C" w14:textId="77777777" w:rsidTr="00963E4C">
        <w:trPr>
          <w:cnfStyle w:val="000000100000" w:firstRow="0" w:lastRow="0" w:firstColumn="0" w:lastColumn="0" w:oddVBand="0" w:evenVBand="0" w:oddHBand="1" w:evenHBand="0" w:firstRowFirstColumn="0" w:firstRowLastColumn="0" w:lastRowFirstColumn="0" w:lastRowLastColumn="0"/>
          <w:trHeight w:val="281"/>
        </w:trPr>
        <w:tc>
          <w:tcPr>
            <w:tcW w:w="4722" w:type="dxa"/>
            <w:shd w:val="clear" w:color="auto" w:fill="134753" w:themeFill="text2"/>
            <w:noWrap/>
          </w:tcPr>
          <w:p w14:paraId="55383090" w14:textId="77777777" w:rsidR="000E6EBE" w:rsidRPr="00F171A3" w:rsidRDefault="000E6EBE" w:rsidP="00C44C7A">
            <w:pPr>
              <w:spacing w:after="0"/>
              <w:jc w:val="center"/>
              <w:rPr>
                <w:b/>
                <w:color w:val="FFFFFF" w:themeColor="background1"/>
              </w:rPr>
            </w:pPr>
            <w:r w:rsidRPr="00F171A3">
              <w:rPr>
                <w:b/>
                <w:color w:val="FFFFFF" w:themeColor="background1"/>
              </w:rPr>
              <w:t>PUNCTE TARI</w:t>
            </w:r>
          </w:p>
        </w:tc>
        <w:tc>
          <w:tcPr>
            <w:tcW w:w="4345" w:type="dxa"/>
            <w:shd w:val="clear" w:color="auto" w:fill="134753" w:themeFill="text2"/>
          </w:tcPr>
          <w:p w14:paraId="67ABDA8E" w14:textId="77777777" w:rsidR="000E6EBE" w:rsidRPr="00F171A3" w:rsidRDefault="000E6EBE" w:rsidP="00C44C7A">
            <w:pPr>
              <w:spacing w:after="0"/>
              <w:jc w:val="center"/>
              <w:rPr>
                <w:b/>
                <w:color w:val="FFFFFF" w:themeColor="background1"/>
              </w:rPr>
            </w:pPr>
            <w:r w:rsidRPr="00F171A3">
              <w:rPr>
                <w:b/>
                <w:color w:val="FFFFFF" w:themeColor="background1"/>
              </w:rPr>
              <w:t>PUNCTE SLABE</w:t>
            </w:r>
          </w:p>
        </w:tc>
      </w:tr>
      <w:tr w:rsidR="000E6EBE" w:rsidRPr="00F171A3" w14:paraId="2C3DFBD4" w14:textId="77777777" w:rsidTr="00963E4C">
        <w:trPr>
          <w:cnfStyle w:val="000000010000" w:firstRow="0" w:lastRow="0" w:firstColumn="0" w:lastColumn="0" w:oddVBand="0" w:evenVBand="0" w:oddHBand="0" w:evenHBand="1" w:firstRowFirstColumn="0" w:firstRowLastColumn="0" w:lastRowFirstColumn="0" w:lastRowLastColumn="0"/>
          <w:trHeight w:val="281"/>
        </w:trPr>
        <w:tc>
          <w:tcPr>
            <w:tcW w:w="4722" w:type="dxa"/>
            <w:noWrap/>
          </w:tcPr>
          <w:p w14:paraId="73ADE9BE" w14:textId="77777777" w:rsidR="000E6EBE" w:rsidRPr="00F171A3" w:rsidRDefault="000E6EBE">
            <w:pPr>
              <w:pStyle w:val="ListParagraph"/>
              <w:numPr>
                <w:ilvl w:val="0"/>
                <w:numId w:val="20"/>
              </w:numPr>
              <w:rPr>
                <w:color w:val="134753" w:themeColor="text2"/>
              </w:rPr>
            </w:pPr>
            <w:r w:rsidRPr="00F171A3">
              <w:rPr>
                <w:color w:val="134753" w:themeColor="text2"/>
              </w:rPr>
              <w:t>Poziția favorabilă în cadrul municipiului București – mediu de afaceri bine dezvoltat, comparabil cu motorul economic al Capitalei (Sectorul 1)</w:t>
            </w:r>
          </w:p>
        </w:tc>
        <w:tc>
          <w:tcPr>
            <w:tcW w:w="4345" w:type="dxa"/>
          </w:tcPr>
          <w:p w14:paraId="71ED00A0" w14:textId="77777777" w:rsidR="000E6EBE" w:rsidRPr="00F171A3" w:rsidRDefault="000E6EBE">
            <w:pPr>
              <w:pStyle w:val="ListParagraph"/>
              <w:numPr>
                <w:ilvl w:val="0"/>
                <w:numId w:val="20"/>
              </w:numPr>
              <w:spacing w:after="0"/>
              <w:rPr>
                <w:color w:val="134753" w:themeColor="text2"/>
              </w:rPr>
            </w:pPr>
            <w:r w:rsidRPr="00F171A3">
              <w:rPr>
                <w:color w:val="134753" w:themeColor="text2"/>
              </w:rPr>
              <w:t>Contribuție redusă a IMM-urilor și microîntreprinderilor la efectivul salarial și cifra de afaceri</w:t>
            </w:r>
          </w:p>
        </w:tc>
      </w:tr>
      <w:tr w:rsidR="000E6EBE" w:rsidRPr="00F171A3" w14:paraId="126D6D31" w14:textId="77777777" w:rsidTr="00963E4C">
        <w:trPr>
          <w:cnfStyle w:val="000000100000" w:firstRow="0" w:lastRow="0" w:firstColumn="0" w:lastColumn="0" w:oddVBand="0" w:evenVBand="0" w:oddHBand="1" w:evenHBand="0" w:firstRowFirstColumn="0" w:firstRowLastColumn="0" w:lastRowFirstColumn="0" w:lastRowLastColumn="0"/>
          <w:trHeight w:val="281"/>
        </w:trPr>
        <w:tc>
          <w:tcPr>
            <w:tcW w:w="4722" w:type="dxa"/>
            <w:noWrap/>
          </w:tcPr>
          <w:p w14:paraId="60F2B7AD" w14:textId="77777777" w:rsidR="000E6EBE" w:rsidRPr="00F171A3" w:rsidRDefault="000E6EBE">
            <w:pPr>
              <w:pStyle w:val="ListParagraph"/>
              <w:numPr>
                <w:ilvl w:val="0"/>
                <w:numId w:val="20"/>
              </w:numPr>
              <w:rPr>
                <w:color w:val="134753" w:themeColor="text2"/>
              </w:rPr>
            </w:pPr>
            <w:r w:rsidRPr="00F171A3">
              <w:rPr>
                <w:color w:val="134753" w:themeColor="text2"/>
              </w:rPr>
              <w:t>Profil comercial puternic conturat în jurul principalilor jucători din domeniul retail și a marilor magazine de tip hipermarket care au sediul în Sectorul 2</w:t>
            </w:r>
          </w:p>
        </w:tc>
        <w:tc>
          <w:tcPr>
            <w:tcW w:w="4345" w:type="dxa"/>
          </w:tcPr>
          <w:p w14:paraId="5A7D4282" w14:textId="77777777" w:rsidR="000E6EBE" w:rsidRPr="00F171A3" w:rsidRDefault="000E6EBE">
            <w:pPr>
              <w:pStyle w:val="ListParagraph"/>
              <w:numPr>
                <w:ilvl w:val="0"/>
                <w:numId w:val="20"/>
              </w:numPr>
              <w:spacing w:after="0"/>
              <w:rPr>
                <w:color w:val="134753" w:themeColor="text2"/>
              </w:rPr>
            </w:pPr>
            <w:r w:rsidRPr="00F171A3">
              <w:rPr>
                <w:color w:val="134753" w:themeColor="text2"/>
              </w:rPr>
              <w:t>Număr de firme similar cu Sectorul 2, dar cifra de afaceri la jumătate ca valoare, indicând o productivitate redusă comparativ cu principalul motor economic al Capitalei</w:t>
            </w:r>
          </w:p>
        </w:tc>
      </w:tr>
      <w:tr w:rsidR="000E6EBE" w:rsidRPr="00F171A3" w14:paraId="3CEE0072" w14:textId="77777777" w:rsidTr="00963E4C">
        <w:trPr>
          <w:cnfStyle w:val="000000010000" w:firstRow="0" w:lastRow="0" w:firstColumn="0" w:lastColumn="0" w:oddVBand="0" w:evenVBand="0" w:oddHBand="0" w:evenHBand="1" w:firstRowFirstColumn="0" w:firstRowLastColumn="0" w:lastRowFirstColumn="0" w:lastRowLastColumn="0"/>
          <w:trHeight w:val="281"/>
        </w:trPr>
        <w:tc>
          <w:tcPr>
            <w:tcW w:w="4722" w:type="dxa"/>
            <w:noWrap/>
          </w:tcPr>
          <w:p w14:paraId="0B029CDD" w14:textId="77777777" w:rsidR="000E6EBE" w:rsidRPr="00F171A3" w:rsidRDefault="000E6EBE">
            <w:pPr>
              <w:pStyle w:val="ListParagraph"/>
              <w:numPr>
                <w:ilvl w:val="0"/>
                <w:numId w:val="20"/>
              </w:numPr>
              <w:spacing w:after="0"/>
              <w:rPr>
                <w:color w:val="134753" w:themeColor="text2"/>
              </w:rPr>
            </w:pPr>
            <w:r w:rsidRPr="00F171A3">
              <w:rPr>
                <w:color w:val="134753" w:themeColor="text2"/>
              </w:rPr>
              <w:t>Dinamism economic dat de sectoare cu valoare adăugată mare (sector IT&amp;C în creștere ca număr de salariați, concentrare mare a domeniului).</w:t>
            </w:r>
          </w:p>
        </w:tc>
        <w:tc>
          <w:tcPr>
            <w:tcW w:w="4345" w:type="dxa"/>
          </w:tcPr>
          <w:p w14:paraId="7E487644" w14:textId="77777777" w:rsidR="000E6EBE" w:rsidRPr="00F171A3" w:rsidRDefault="000E6EBE">
            <w:pPr>
              <w:pStyle w:val="ListParagraph"/>
              <w:numPr>
                <w:ilvl w:val="0"/>
                <w:numId w:val="20"/>
              </w:numPr>
              <w:spacing w:after="0"/>
              <w:rPr>
                <w:color w:val="134753" w:themeColor="text2"/>
              </w:rPr>
            </w:pPr>
            <w:r w:rsidRPr="00F171A3">
              <w:rPr>
                <w:color w:val="134753" w:themeColor="text2"/>
              </w:rPr>
              <w:t xml:space="preserve">Polarizarea pieței imobiliare către nord-vestul Sectorului 2 </w:t>
            </w:r>
          </w:p>
        </w:tc>
      </w:tr>
      <w:tr w:rsidR="000E6EBE" w:rsidRPr="00F171A3" w14:paraId="0BB522C8" w14:textId="77777777" w:rsidTr="00963E4C">
        <w:trPr>
          <w:cnfStyle w:val="000000100000" w:firstRow="0" w:lastRow="0" w:firstColumn="0" w:lastColumn="0" w:oddVBand="0" w:evenVBand="0" w:oddHBand="1" w:evenHBand="0" w:firstRowFirstColumn="0" w:firstRowLastColumn="0" w:lastRowFirstColumn="0" w:lastRowLastColumn="0"/>
          <w:trHeight w:val="281"/>
        </w:trPr>
        <w:tc>
          <w:tcPr>
            <w:tcW w:w="4722" w:type="dxa"/>
            <w:noWrap/>
          </w:tcPr>
          <w:p w14:paraId="1193E511" w14:textId="77777777" w:rsidR="000E6EBE" w:rsidRPr="00F171A3" w:rsidRDefault="000E6EBE">
            <w:pPr>
              <w:pStyle w:val="ListParagraph"/>
              <w:numPr>
                <w:ilvl w:val="0"/>
                <w:numId w:val="20"/>
              </w:numPr>
              <w:spacing w:after="0"/>
              <w:rPr>
                <w:color w:val="134753" w:themeColor="text2"/>
              </w:rPr>
            </w:pPr>
            <w:r w:rsidRPr="00F171A3">
              <w:rPr>
                <w:color w:val="134753" w:themeColor="text2"/>
              </w:rPr>
              <w:t xml:space="preserve">Spor natural al întreprinderilor pozitiv și capacitate antreprenorială ridicată. </w:t>
            </w:r>
          </w:p>
        </w:tc>
        <w:tc>
          <w:tcPr>
            <w:tcW w:w="4345" w:type="dxa"/>
          </w:tcPr>
          <w:p w14:paraId="71C773DF" w14:textId="77777777" w:rsidR="000E6EBE" w:rsidRPr="00F171A3" w:rsidRDefault="000E6EBE">
            <w:pPr>
              <w:pStyle w:val="ListParagraph"/>
              <w:numPr>
                <w:ilvl w:val="0"/>
                <w:numId w:val="20"/>
              </w:numPr>
              <w:spacing w:after="0"/>
              <w:rPr>
                <w:color w:val="134753" w:themeColor="text2"/>
              </w:rPr>
            </w:pPr>
            <w:r w:rsidRPr="00F171A3">
              <w:rPr>
                <w:color w:val="134753" w:themeColor="text2"/>
              </w:rPr>
              <w:t>Repartizarea neuniformă a zonelor economice</w:t>
            </w:r>
          </w:p>
        </w:tc>
      </w:tr>
      <w:tr w:rsidR="000E6EBE" w:rsidRPr="00F171A3" w14:paraId="5E250ECB" w14:textId="77777777" w:rsidTr="00963E4C">
        <w:trPr>
          <w:cnfStyle w:val="000000010000" w:firstRow="0" w:lastRow="0" w:firstColumn="0" w:lastColumn="0" w:oddVBand="0" w:evenVBand="0" w:oddHBand="0" w:evenHBand="1" w:firstRowFirstColumn="0" w:firstRowLastColumn="0" w:lastRowFirstColumn="0" w:lastRowLastColumn="0"/>
          <w:trHeight w:val="281"/>
        </w:trPr>
        <w:tc>
          <w:tcPr>
            <w:tcW w:w="4722" w:type="dxa"/>
            <w:noWrap/>
          </w:tcPr>
          <w:p w14:paraId="3F04145E" w14:textId="77777777" w:rsidR="000E6EBE" w:rsidRPr="00F171A3" w:rsidRDefault="000E6EBE">
            <w:pPr>
              <w:pStyle w:val="ListParagraph"/>
              <w:numPr>
                <w:ilvl w:val="0"/>
                <w:numId w:val="20"/>
              </w:numPr>
              <w:spacing w:after="0"/>
              <w:rPr>
                <w:color w:val="134753" w:themeColor="text2"/>
              </w:rPr>
            </w:pPr>
            <w:r w:rsidRPr="00F171A3">
              <w:rPr>
                <w:color w:val="134753" w:themeColor="text2"/>
              </w:rPr>
              <w:t>Disponibilitate ridicată a spațiilor de birouri, comerciale și industriale pentru vânzare și închiriere</w:t>
            </w:r>
          </w:p>
        </w:tc>
        <w:tc>
          <w:tcPr>
            <w:tcW w:w="4345" w:type="dxa"/>
          </w:tcPr>
          <w:p w14:paraId="1A8E3F74" w14:textId="77777777" w:rsidR="000E6EBE" w:rsidRPr="00F171A3" w:rsidRDefault="000E6EBE">
            <w:pPr>
              <w:pStyle w:val="ListParagraph"/>
              <w:numPr>
                <w:ilvl w:val="0"/>
                <w:numId w:val="20"/>
              </w:numPr>
              <w:spacing w:after="0"/>
              <w:rPr>
                <w:color w:val="134753" w:themeColor="text2"/>
              </w:rPr>
            </w:pPr>
            <w:r w:rsidRPr="00F171A3">
              <w:rPr>
                <w:color w:val="134753" w:themeColor="text2"/>
              </w:rPr>
              <w:t>Disponibilitatea redusă a infrastructurii de cercetare-dezvoltare și sprijin a afacerilor specializat pe teritoriul Sectorului 2</w:t>
            </w:r>
          </w:p>
        </w:tc>
      </w:tr>
      <w:tr w:rsidR="000E6EBE" w:rsidRPr="00F171A3" w14:paraId="319842B5" w14:textId="77777777" w:rsidTr="00963E4C">
        <w:trPr>
          <w:cnfStyle w:val="000000100000" w:firstRow="0" w:lastRow="0" w:firstColumn="0" w:lastColumn="0" w:oddVBand="0" w:evenVBand="0" w:oddHBand="1" w:evenHBand="0" w:firstRowFirstColumn="0" w:firstRowLastColumn="0" w:lastRowFirstColumn="0" w:lastRowLastColumn="0"/>
          <w:trHeight w:val="281"/>
        </w:trPr>
        <w:tc>
          <w:tcPr>
            <w:tcW w:w="4722" w:type="dxa"/>
            <w:noWrap/>
          </w:tcPr>
          <w:p w14:paraId="4EB570CA" w14:textId="77777777" w:rsidR="000E6EBE" w:rsidRPr="00F171A3" w:rsidRDefault="000E6EBE">
            <w:pPr>
              <w:pStyle w:val="ListParagraph"/>
              <w:numPr>
                <w:ilvl w:val="0"/>
                <w:numId w:val="20"/>
              </w:numPr>
              <w:spacing w:after="0"/>
              <w:rPr>
                <w:color w:val="134753" w:themeColor="text2"/>
              </w:rPr>
            </w:pPr>
            <w:r w:rsidRPr="00F171A3">
              <w:rPr>
                <w:color w:val="134753" w:themeColor="text2"/>
              </w:rPr>
              <w:t>Numărul de salariați în creștere</w:t>
            </w:r>
          </w:p>
        </w:tc>
        <w:tc>
          <w:tcPr>
            <w:tcW w:w="4345" w:type="dxa"/>
          </w:tcPr>
          <w:p w14:paraId="21B4D691" w14:textId="77777777" w:rsidR="000E6EBE" w:rsidRPr="00F171A3" w:rsidRDefault="000E6EBE">
            <w:pPr>
              <w:pStyle w:val="ListParagraph"/>
              <w:numPr>
                <w:ilvl w:val="0"/>
                <w:numId w:val="20"/>
              </w:numPr>
              <w:spacing w:after="0"/>
              <w:rPr>
                <w:color w:val="134753" w:themeColor="text2"/>
              </w:rPr>
            </w:pPr>
            <w:r w:rsidRPr="00F171A3">
              <w:rPr>
                <w:color w:val="134753" w:themeColor="text2"/>
              </w:rPr>
              <w:t xml:space="preserve">Numărul de salariați care beneficiază de salarii medii nete peste media Capitalei este redus (aprox. 20%). </w:t>
            </w:r>
          </w:p>
        </w:tc>
      </w:tr>
      <w:tr w:rsidR="000E6EBE" w:rsidRPr="00F171A3" w14:paraId="4983DD65" w14:textId="77777777" w:rsidTr="00963E4C">
        <w:trPr>
          <w:cnfStyle w:val="000000010000" w:firstRow="0" w:lastRow="0" w:firstColumn="0" w:lastColumn="0" w:oddVBand="0" w:evenVBand="0" w:oddHBand="0" w:evenHBand="1" w:firstRowFirstColumn="0" w:firstRowLastColumn="0" w:lastRowFirstColumn="0" w:lastRowLastColumn="0"/>
          <w:trHeight w:val="281"/>
        </w:trPr>
        <w:tc>
          <w:tcPr>
            <w:tcW w:w="4722" w:type="dxa"/>
            <w:noWrap/>
          </w:tcPr>
          <w:p w14:paraId="3943DEEA" w14:textId="77777777" w:rsidR="000E6EBE" w:rsidRPr="00F171A3" w:rsidRDefault="000E6EBE">
            <w:pPr>
              <w:pStyle w:val="ListParagraph"/>
              <w:numPr>
                <w:ilvl w:val="0"/>
                <w:numId w:val="20"/>
              </w:numPr>
              <w:spacing w:after="0"/>
              <w:rPr>
                <w:color w:val="134753" w:themeColor="text2"/>
              </w:rPr>
            </w:pPr>
            <w:r w:rsidRPr="00F171A3">
              <w:rPr>
                <w:color w:val="134753" w:themeColor="text2"/>
              </w:rPr>
              <w:t>Număr de șomeri în scădere</w:t>
            </w:r>
          </w:p>
        </w:tc>
        <w:tc>
          <w:tcPr>
            <w:tcW w:w="4345" w:type="dxa"/>
          </w:tcPr>
          <w:p w14:paraId="7BCB8395" w14:textId="77777777" w:rsidR="000E6EBE" w:rsidRPr="00F171A3" w:rsidRDefault="000E6EBE">
            <w:pPr>
              <w:pStyle w:val="ListParagraph"/>
              <w:numPr>
                <w:ilvl w:val="0"/>
                <w:numId w:val="20"/>
              </w:numPr>
              <w:spacing w:after="0"/>
              <w:rPr>
                <w:color w:val="134753" w:themeColor="text2"/>
              </w:rPr>
            </w:pPr>
            <w:r w:rsidRPr="00F171A3">
              <w:rPr>
                <w:color w:val="134753" w:themeColor="text2"/>
              </w:rPr>
              <w:t xml:space="preserve">Tendința de valorificare a terenurilor fostelor fabrici în proiecte imobiliare </w:t>
            </w:r>
          </w:p>
        </w:tc>
      </w:tr>
      <w:tr w:rsidR="000E6EBE" w:rsidRPr="00F171A3" w14:paraId="517E6070" w14:textId="77777777" w:rsidTr="00963E4C">
        <w:trPr>
          <w:cnfStyle w:val="000000100000" w:firstRow="0" w:lastRow="0" w:firstColumn="0" w:lastColumn="0" w:oddVBand="0" w:evenVBand="0" w:oddHBand="1" w:evenHBand="0" w:firstRowFirstColumn="0" w:firstRowLastColumn="0" w:lastRowFirstColumn="0" w:lastRowLastColumn="0"/>
          <w:trHeight w:val="281"/>
        </w:trPr>
        <w:tc>
          <w:tcPr>
            <w:tcW w:w="4722" w:type="dxa"/>
            <w:shd w:val="clear" w:color="auto" w:fill="134753" w:themeFill="text2"/>
            <w:noWrap/>
          </w:tcPr>
          <w:p w14:paraId="62D145AE" w14:textId="77777777" w:rsidR="000E6EBE" w:rsidRPr="00F171A3" w:rsidRDefault="000E6EBE" w:rsidP="00C44C7A">
            <w:pPr>
              <w:spacing w:after="0"/>
              <w:jc w:val="center"/>
              <w:rPr>
                <w:rFonts w:cstheme="minorHAnsi"/>
                <w:b/>
                <w:bCs w:val="0"/>
                <w:szCs w:val="20"/>
              </w:rPr>
            </w:pPr>
            <w:r w:rsidRPr="00F171A3">
              <w:rPr>
                <w:b/>
                <w:bCs w:val="0"/>
              </w:rPr>
              <w:t>OPORTUNITĂȚI</w:t>
            </w:r>
          </w:p>
        </w:tc>
        <w:tc>
          <w:tcPr>
            <w:tcW w:w="4345" w:type="dxa"/>
            <w:shd w:val="clear" w:color="auto" w:fill="134753" w:themeFill="text2"/>
          </w:tcPr>
          <w:p w14:paraId="116B03D3" w14:textId="77777777" w:rsidR="000E6EBE" w:rsidRPr="00F171A3" w:rsidRDefault="000E6EBE" w:rsidP="00C44C7A">
            <w:pPr>
              <w:spacing w:after="0"/>
              <w:jc w:val="center"/>
              <w:rPr>
                <w:rFonts w:cstheme="minorHAnsi"/>
                <w:b/>
                <w:bCs w:val="0"/>
                <w:szCs w:val="20"/>
              </w:rPr>
            </w:pPr>
            <w:r w:rsidRPr="00F171A3">
              <w:rPr>
                <w:b/>
                <w:bCs w:val="0"/>
              </w:rPr>
              <w:t>AMENINȚĂRI</w:t>
            </w:r>
          </w:p>
        </w:tc>
      </w:tr>
      <w:tr w:rsidR="000E6EBE" w:rsidRPr="00F171A3" w14:paraId="6365B9CC" w14:textId="77777777" w:rsidTr="00963E4C">
        <w:trPr>
          <w:cnfStyle w:val="000000010000" w:firstRow="0" w:lastRow="0" w:firstColumn="0" w:lastColumn="0" w:oddVBand="0" w:evenVBand="0" w:oddHBand="0" w:evenHBand="1" w:firstRowFirstColumn="0" w:firstRowLastColumn="0" w:lastRowFirstColumn="0" w:lastRowLastColumn="0"/>
          <w:trHeight w:val="281"/>
        </w:trPr>
        <w:tc>
          <w:tcPr>
            <w:tcW w:w="4722" w:type="dxa"/>
            <w:noWrap/>
          </w:tcPr>
          <w:p w14:paraId="784677A9" w14:textId="77777777" w:rsidR="000E6EBE" w:rsidRPr="00F171A3" w:rsidRDefault="000E6EBE">
            <w:pPr>
              <w:pStyle w:val="ListParagraph"/>
              <w:numPr>
                <w:ilvl w:val="0"/>
                <w:numId w:val="21"/>
              </w:numPr>
              <w:spacing w:after="60"/>
              <w:jc w:val="left"/>
              <w:rPr>
                <w:color w:val="134753" w:themeColor="text2"/>
              </w:rPr>
            </w:pPr>
            <w:r w:rsidRPr="00F171A3">
              <w:rPr>
                <w:color w:val="134753" w:themeColor="text2"/>
              </w:rPr>
              <w:t>Existența finanțărilor dedicate antreprenoriatului, sectorului CDI, creșterii competențelor și digitalizare în cadrul financiar multianual 2021-2027</w:t>
            </w:r>
          </w:p>
        </w:tc>
        <w:tc>
          <w:tcPr>
            <w:tcW w:w="4345" w:type="dxa"/>
          </w:tcPr>
          <w:p w14:paraId="42697978" w14:textId="77777777" w:rsidR="000E6EBE" w:rsidRPr="00F171A3" w:rsidRDefault="000E6EBE">
            <w:pPr>
              <w:pStyle w:val="ListParagraph"/>
              <w:numPr>
                <w:ilvl w:val="0"/>
                <w:numId w:val="21"/>
              </w:numPr>
              <w:spacing w:after="0"/>
              <w:jc w:val="left"/>
              <w:rPr>
                <w:color w:val="134753" w:themeColor="text2"/>
              </w:rPr>
            </w:pPr>
            <w:r w:rsidRPr="00F171A3">
              <w:rPr>
                <w:color w:val="134753" w:themeColor="text2"/>
              </w:rPr>
              <w:t>Criza generată de pandemia de COVID-19 care afectează negativ reziliența companiilor, în special microîntreprinderile și IMM-urile</w:t>
            </w:r>
          </w:p>
        </w:tc>
      </w:tr>
      <w:tr w:rsidR="000E6EBE" w:rsidRPr="00F171A3" w14:paraId="68C67866" w14:textId="77777777" w:rsidTr="00963E4C">
        <w:trPr>
          <w:cnfStyle w:val="000000100000" w:firstRow="0" w:lastRow="0" w:firstColumn="0" w:lastColumn="0" w:oddVBand="0" w:evenVBand="0" w:oddHBand="1" w:evenHBand="0" w:firstRowFirstColumn="0" w:firstRowLastColumn="0" w:lastRowFirstColumn="0" w:lastRowLastColumn="0"/>
          <w:trHeight w:val="281"/>
        </w:trPr>
        <w:tc>
          <w:tcPr>
            <w:tcW w:w="4722" w:type="dxa"/>
            <w:noWrap/>
          </w:tcPr>
          <w:p w14:paraId="5095B2B5" w14:textId="77777777" w:rsidR="000E6EBE" w:rsidRPr="00F171A3" w:rsidRDefault="000E6EBE">
            <w:pPr>
              <w:pStyle w:val="ListParagraph"/>
              <w:numPr>
                <w:ilvl w:val="0"/>
                <w:numId w:val="21"/>
              </w:numPr>
              <w:spacing w:after="0"/>
              <w:jc w:val="left"/>
              <w:rPr>
                <w:color w:val="134753" w:themeColor="text2"/>
              </w:rPr>
            </w:pPr>
            <w:r w:rsidRPr="00F171A3">
              <w:rPr>
                <w:color w:val="134753" w:themeColor="text2"/>
              </w:rPr>
              <w:t>Existența finanțărilor disponibile prin POR 2021-2027 pentru dezvoltarea capacității de inovare a întreprinderilor, dezvoltarea capacității ecosistemului antreprenorial de inovare pentru crearea și maturizarea start-up/spin-off in domenii de specializare inteligenta, Dezvoltarea competențelor IMM-urilor pentru inovare, modernizare tehnologica si economie circulară.</w:t>
            </w:r>
          </w:p>
        </w:tc>
        <w:tc>
          <w:tcPr>
            <w:tcW w:w="4345" w:type="dxa"/>
          </w:tcPr>
          <w:p w14:paraId="7EA05AC0" w14:textId="6FA5975F" w:rsidR="000E6EBE" w:rsidRPr="00963E4C" w:rsidRDefault="000E6EBE" w:rsidP="00963E4C">
            <w:pPr>
              <w:pStyle w:val="ListParagraph"/>
              <w:numPr>
                <w:ilvl w:val="0"/>
                <w:numId w:val="21"/>
              </w:numPr>
              <w:spacing w:after="60"/>
              <w:jc w:val="left"/>
              <w:rPr>
                <w:color w:val="134753" w:themeColor="text2"/>
              </w:rPr>
            </w:pPr>
            <w:r w:rsidRPr="00F171A3">
              <w:rPr>
                <w:color w:val="134753" w:themeColor="text2"/>
              </w:rPr>
              <w:t>Polarizarea la nivelul Capitalei către zonele de Nord și Nord-Vest, respectiv zona centrală a Sectorului 2.</w:t>
            </w:r>
          </w:p>
        </w:tc>
      </w:tr>
      <w:tr w:rsidR="000E6EBE" w:rsidRPr="00F171A3" w14:paraId="3FF07E79" w14:textId="77777777" w:rsidTr="00963E4C">
        <w:trPr>
          <w:cnfStyle w:val="000000010000" w:firstRow="0" w:lastRow="0" w:firstColumn="0" w:lastColumn="0" w:oddVBand="0" w:evenVBand="0" w:oddHBand="0" w:evenHBand="1" w:firstRowFirstColumn="0" w:firstRowLastColumn="0" w:lastRowFirstColumn="0" w:lastRowLastColumn="0"/>
          <w:trHeight w:val="281"/>
        </w:trPr>
        <w:tc>
          <w:tcPr>
            <w:tcW w:w="4722" w:type="dxa"/>
            <w:noWrap/>
          </w:tcPr>
          <w:p w14:paraId="2105DC9D" w14:textId="77777777" w:rsidR="000E6EBE" w:rsidRPr="00F171A3" w:rsidRDefault="000E6EBE">
            <w:pPr>
              <w:pStyle w:val="ListParagraph"/>
              <w:numPr>
                <w:ilvl w:val="0"/>
                <w:numId w:val="21"/>
              </w:numPr>
              <w:spacing w:after="0"/>
              <w:jc w:val="left"/>
              <w:rPr>
                <w:color w:val="134753" w:themeColor="text2"/>
              </w:rPr>
            </w:pPr>
            <w:r w:rsidRPr="00F171A3">
              <w:rPr>
                <w:color w:val="134753" w:themeColor="text2"/>
              </w:rPr>
              <w:t>Existența finanțărilor disponibile prin POR 2021-2027 pentru dezvoltarea infrastructurii educaționale (inclusiv învățământ vocațional, tehnologic, profesional, inclusiv cel dual).</w:t>
            </w:r>
          </w:p>
        </w:tc>
        <w:tc>
          <w:tcPr>
            <w:tcW w:w="4345" w:type="dxa"/>
          </w:tcPr>
          <w:p w14:paraId="78ED3AAA" w14:textId="77777777" w:rsidR="000E6EBE" w:rsidRPr="00F171A3" w:rsidRDefault="000E6EBE">
            <w:pPr>
              <w:pStyle w:val="ListParagraph"/>
              <w:numPr>
                <w:ilvl w:val="0"/>
                <w:numId w:val="21"/>
              </w:numPr>
              <w:spacing w:after="0"/>
              <w:jc w:val="left"/>
              <w:rPr>
                <w:color w:val="134753" w:themeColor="text2"/>
              </w:rPr>
            </w:pPr>
            <w:r w:rsidRPr="00F171A3">
              <w:rPr>
                <w:color w:val="134753" w:themeColor="text2"/>
              </w:rPr>
              <w:t xml:space="preserve">Accentuarea deficitului de forță de muncă calificată în condițiile migrației tinerilor care ar putea susține diversificarea economică și sectoarele high-tech (IT&amp;C). </w:t>
            </w:r>
          </w:p>
        </w:tc>
      </w:tr>
      <w:tr w:rsidR="000E6EBE" w:rsidRPr="00F171A3" w14:paraId="03982CCD" w14:textId="77777777" w:rsidTr="00963E4C">
        <w:trPr>
          <w:cnfStyle w:val="000000100000" w:firstRow="0" w:lastRow="0" w:firstColumn="0" w:lastColumn="0" w:oddVBand="0" w:evenVBand="0" w:oddHBand="1" w:evenHBand="0" w:firstRowFirstColumn="0" w:firstRowLastColumn="0" w:lastRowFirstColumn="0" w:lastRowLastColumn="0"/>
          <w:trHeight w:val="281"/>
        </w:trPr>
        <w:tc>
          <w:tcPr>
            <w:tcW w:w="4722" w:type="dxa"/>
            <w:noWrap/>
          </w:tcPr>
          <w:p w14:paraId="0830C565" w14:textId="77777777" w:rsidR="000E6EBE" w:rsidRPr="00F171A3" w:rsidRDefault="000E6EBE">
            <w:pPr>
              <w:pStyle w:val="ListParagraph"/>
              <w:numPr>
                <w:ilvl w:val="0"/>
                <w:numId w:val="21"/>
              </w:numPr>
              <w:spacing w:after="0"/>
              <w:jc w:val="left"/>
              <w:rPr>
                <w:color w:val="134753" w:themeColor="text2"/>
              </w:rPr>
            </w:pPr>
            <w:r w:rsidRPr="00F171A3">
              <w:rPr>
                <w:color w:val="134753" w:themeColor="text2"/>
              </w:rPr>
              <w:t>Deschiderea administrației publice pentru sprijinirea mediului de afaceri local</w:t>
            </w:r>
          </w:p>
        </w:tc>
        <w:tc>
          <w:tcPr>
            <w:tcW w:w="4345" w:type="dxa"/>
          </w:tcPr>
          <w:p w14:paraId="52117A93" w14:textId="77777777" w:rsidR="000E6EBE" w:rsidRPr="00963E4C" w:rsidRDefault="000E6EBE" w:rsidP="00963E4C">
            <w:pPr>
              <w:spacing w:after="0"/>
              <w:ind w:left="360"/>
              <w:jc w:val="left"/>
              <w:rPr>
                <w:color w:val="134753" w:themeColor="text2"/>
              </w:rPr>
            </w:pPr>
          </w:p>
        </w:tc>
      </w:tr>
      <w:tr w:rsidR="000E6EBE" w:rsidRPr="00F171A3" w14:paraId="58A5BA72" w14:textId="77777777" w:rsidTr="00963E4C">
        <w:trPr>
          <w:cnfStyle w:val="000000010000" w:firstRow="0" w:lastRow="0" w:firstColumn="0" w:lastColumn="0" w:oddVBand="0" w:evenVBand="0" w:oddHBand="0" w:evenHBand="1" w:firstRowFirstColumn="0" w:firstRowLastColumn="0" w:lastRowFirstColumn="0" w:lastRowLastColumn="0"/>
          <w:trHeight w:val="281"/>
        </w:trPr>
        <w:tc>
          <w:tcPr>
            <w:tcW w:w="4722" w:type="dxa"/>
            <w:noWrap/>
          </w:tcPr>
          <w:p w14:paraId="7FFB6E50" w14:textId="77777777" w:rsidR="000E6EBE" w:rsidRPr="00F171A3" w:rsidRDefault="000E6EBE">
            <w:pPr>
              <w:pStyle w:val="ListParagraph"/>
              <w:numPr>
                <w:ilvl w:val="0"/>
                <w:numId w:val="21"/>
              </w:numPr>
              <w:spacing w:after="0"/>
              <w:jc w:val="left"/>
              <w:rPr>
                <w:color w:val="134753" w:themeColor="text2"/>
              </w:rPr>
            </w:pPr>
            <w:r w:rsidRPr="00F171A3">
              <w:rPr>
                <w:color w:val="134753" w:themeColor="text2"/>
              </w:rPr>
              <w:t>Dezvoltarea Capitalei ca centru universitar principal</w:t>
            </w:r>
          </w:p>
        </w:tc>
        <w:tc>
          <w:tcPr>
            <w:tcW w:w="4345" w:type="dxa"/>
          </w:tcPr>
          <w:p w14:paraId="6BC3FBF4" w14:textId="77777777" w:rsidR="000E6EBE" w:rsidRPr="00963E4C" w:rsidRDefault="000E6EBE" w:rsidP="00963E4C">
            <w:pPr>
              <w:spacing w:after="0"/>
              <w:ind w:left="360"/>
              <w:jc w:val="left"/>
              <w:rPr>
                <w:color w:val="134753" w:themeColor="text2"/>
              </w:rPr>
            </w:pPr>
          </w:p>
        </w:tc>
      </w:tr>
    </w:tbl>
    <w:p w14:paraId="74D88BDE" w14:textId="77777777" w:rsidR="000E6EBE" w:rsidRPr="00F171A3" w:rsidRDefault="000E6EBE" w:rsidP="007F2663">
      <w:pPr>
        <w:pStyle w:val="Normal0"/>
      </w:pPr>
    </w:p>
    <w:tbl>
      <w:tblPr>
        <w:tblStyle w:val="Civittatable5"/>
        <w:tblW w:w="5067" w:type="pct"/>
        <w:tblInd w:w="-5" w:type="dxa"/>
        <w:tblLook w:val="0480" w:firstRow="0" w:lastRow="0" w:firstColumn="1" w:lastColumn="0" w:noHBand="0" w:noVBand="1"/>
      </w:tblPr>
      <w:tblGrid>
        <w:gridCol w:w="4506"/>
        <w:gridCol w:w="4631"/>
      </w:tblGrid>
      <w:tr w:rsidR="00FE0AFA" w:rsidRPr="00F171A3" w14:paraId="6A468158"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64DF6C31" w14:textId="4D971DA9" w:rsidR="00FE0AFA" w:rsidRPr="00F171A3" w:rsidRDefault="00FE0AFA" w:rsidP="00520678">
            <w:pPr>
              <w:spacing w:after="0"/>
              <w:jc w:val="center"/>
              <w:rPr>
                <w:b/>
                <w:bCs/>
                <w:color w:val="FFFFFF" w:themeColor="background1"/>
              </w:rPr>
            </w:pPr>
            <w:r w:rsidRPr="00F171A3">
              <w:rPr>
                <w:b/>
                <w:bCs/>
                <w:color w:val="FFFFFF" w:themeColor="background1"/>
              </w:rPr>
              <w:t>PROFIL SPAȚIAL</w:t>
            </w:r>
          </w:p>
        </w:tc>
      </w:tr>
      <w:tr w:rsidR="00FE0AFA" w:rsidRPr="00F171A3" w14:paraId="60C7E521"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2DDCFC3D" w14:textId="77777777" w:rsidR="00FE0AFA" w:rsidRPr="00F171A3" w:rsidRDefault="00FE0AFA" w:rsidP="00520678">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11C57FE3" w14:textId="77777777" w:rsidR="00FE0AFA" w:rsidRPr="00F171A3" w:rsidRDefault="00FE0AFA" w:rsidP="00520678">
            <w:pPr>
              <w:spacing w:after="0"/>
              <w:jc w:val="center"/>
              <w:rPr>
                <w:b/>
                <w:bCs/>
                <w:color w:val="FFFFFF" w:themeColor="background1"/>
              </w:rPr>
            </w:pPr>
            <w:r w:rsidRPr="00F171A3">
              <w:rPr>
                <w:b/>
                <w:bCs/>
                <w:color w:val="FFFFFF" w:themeColor="background1"/>
              </w:rPr>
              <w:t>PUNCTE SLABE</w:t>
            </w:r>
          </w:p>
        </w:tc>
      </w:tr>
      <w:tr w:rsidR="00AC098A" w:rsidRPr="00F171A3" w14:paraId="5E4E65F5"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6FAE0FA2" w14:textId="1DFF242A" w:rsidR="00AC098A" w:rsidRPr="00F171A3" w:rsidRDefault="00AC098A">
            <w:pPr>
              <w:pStyle w:val="ListParagraph"/>
              <w:numPr>
                <w:ilvl w:val="0"/>
                <w:numId w:val="26"/>
              </w:numPr>
              <w:rPr>
                <w:color w:val="134753" w:themeColor="text2"/>
              </w:rPr>
            </w:pPr>
            <w:r w:rsidRPr="00F171A3">
              <w:rPr>
                <w:rFonts w:cstheme="minorHAnsi"/>
                <w:color w:val="134753"/>
              </w:rPr>
              <w:t>Există încă rezerve considerabile de teren care pot fi utilizate pentru noi dotări esențiale pentru calitatea locuirii (ex. spații verzi) sau care pot fi transformate în poli de interes de importanță municipală.</w:t>
            </w:r>
          </w:p>
        </w:tc>
        <w:tc>
          <w:tcPr>
            <w:tcW w:w="2534" w:type="pct"/>
          </w:tcPr>
          <w:p w14:paraId="039AA23B" w14:textId="601B19DA" w:rsidR="00AC098A" w:rsidRPr="00F171A3" w:rsidRDefault="00AC098A">
            <w:pPr>
              <w:pStyle w:val="ListParagraph"/>
              <w:numPr>
                <w:ilvl w:val="0"/>
                <w:numId w:val="26"/>
              </w:numPr>
              <w:rPr>
                <w:color w:val="134753" w:themeColor="text2"/>
              </w:rPr>
            </w:pPr>
            <w:r w:rsidRPr="00F171A3">
              <w:rPr>
                <w:rFonts w:cstheme="minorHAnsi"/>
                <w:color w:val="134753"/>
              </w:rPr>
              <w:t>O pondere scăzută a funcțiunilor de tip birouri, servicii, producție face ca cea mai mare parte a Sectorului 2 să funcționeze ca un cartier dormitor (exceptând zona centrală și zona de birouri din nord)</w:t>
            </w:r>
          </w:p>
        </w:tc>
      </w:tr>
      <w:tr w:rsidR="00AC098A" w:rsidRPr="00F171A3" w14:paraId="32C29EFE"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0ABB9BB0" w14:textId="77777777" w:rsidR="00AC098A" w:rsidRPr="00F171A3" w:rsidRDefault="00AC098A">
            <w:pPr>
              <w:numPr>
                <w:ilvl w:val="0"/>
                <w:numId w:val="47"/>
              </w:numPr>
              <w:pBdr>
                <w:top w:val="nil"/>
                <w:left w:val="nil"/>
                <w:bottom w:val="nil"/>
                <w:right w:val="nil"/>
                <w:between w:val="nil"/>
              </w:pBdr>
              <w:spacing w:before="0"/>
              <w:rPr>
                <w:rFonts w:eastAsia="Calibri" w:cstheme="minorHAnsi"/>
                <w:b/>
                <w:color w:val="134753"/>
                <w:sz w:val="22"/>
              </w:rPr>
            </w:pPr>
            <w:r w:rsidRPr="00F171A3">
              <w:rPr>
                <w:rFonts w:cstheme="minorHAnsi"/>
                <w:color w:val="134753"/>
              </w:rPr>
              <w:t>Inițiative ale Primăriei Sectorului 2 de realizare a unor proiecte unitare de  dezvoltare urbană integrată  a unor rezerve de teren (zona Pantelimon – Dobroești)</w:t>
            </w:r>
          </w:p>
          <w:p w14:paraId="00AA4E83" w14:textId="2A639C36" w:rsidR="00AC098A" w:rsidRPr="00F171A3" w:rsidRDefault="00AC098A" w:rsidP="00AC098A">
            <w:pPr>
              <w:rPr>
                <w:color w:val="134753" w:themeColor="text2"/>
              </w:rPr>
            </w:pPr>
          </w:p>
        </w:tc>
        <w:tc>
          <w:tcPr>
            <w:tcW w:w="2534" w:type="pct"/>
          </w:tcPr>
          <w:p w14:paraId="20929749" w14:textId="5A505A18" w:rsidR="00AC098A" w:rsidRPr="00F171A3" w:rsidRDefault="00AC098A">
            <w:pPr>
              <w:pStyle w:val="ListParagraph"/>
              <w:numPr>
                <w:ilvl w:val="0"/>
                <w:numId w:val="26"/>
              </w:numPr>
              <w:rPr>
                <w:color w:val="134753" w:themeColor="text2"/>
              </w:rPr>
            </w:pPr>
            <w:r w:rsidRPr="00F171A3">
              <w:rPr>
                <w:rFonts w:cstheme="minorHAnsi"/>
                <w:color w:val="134753"/>
              </w:rPr>
              <w:t>Concentrarea foarte mare de locuri de muncă în zona de nord (peste 20.000 / kmp) face ca infrastructura de transport public (metrou) să fie deja la limitele capacității.</w:t>
            </w:r>
          </w:p>
        </w:tc>
      </w:tr>
      <w:tr w:rsidR="00AC098A" w:rsidRPr="00F171A3" w14:paraId="06E0336C"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6F5A4296" w14:textId="4A6C936A" w:rsidR="00AC098A" w:rsidRPr="00F171A3" w:rsidRDefault="00AC098A" w:rsidP="00AC098A">
            <w:pPr>
              <w:pStyle w:val="ListParagraph"/>
              <w:rPr>
                <w:color w:val="134753" w:themeColor="text2"/>
              </w:rPr>
            </w:pPr>
          </w:p>
        </w:tc>
        <w:tc>
          <w:tcPr>
            <w:tcW w:w="2534" w:type="pct"/>
          </w:tcPr>
          <w:p w14:paraId="74B9618C" w14:textId="579D3C89" w:rsidR="00AC098A" w:rsidRPr="00F171A3" w:rsidRDefault="00AC098A">
            <w:pPr>
              <w:pStyle w:val="ListParagraph"/>
              <w:numPr>
                <w:ilvl w:val="0"/>
                <w:numId w:val="26"/>
              </w:numPr>
              <w:rPr>
                <w:rFonts w:cstheme="minorHAnsi"/>
                <w:color w:val="134753"/>
              </w:rPr>
            </w:pPr>
            <w:r w:rsidRPr="00F171A3">
              <w:rPr>
                <w:rFonts w:cstheme="minorHAnsi"/>
                <w:color w:val="134753"/>
              </w:rPr>
              <w:t>Dezvoltarea în ultimii ani a unor ansambluri rezidențiale de mari dimensiuni care pun presiune pe infrastructura de circulații și utilități publice (zona Fabrica de Glucoză)</w:t>
            </w:r>
          </w:p>
        </w:tc>
      </w:tr>
      <w:tr w:rsidR="00AC098A" w:rsidRPr="00F171A3" w14:paraId="19A8CDCE"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0BDA3AB6" w14:textId="77777777" w:rsidR="00AC098A" w:rsidRPr="00F171A3" w:rsidRDefault="00AC098A" w:rsidP="00AC098A">
            <w:pPr>
              <w:pStyle w:val="ListParagraph"/>
              <w:rPr>
                <w:color w:val="134753" w:themeColor="text2"/>
              </w:rPr>
            </w:pPr>
          </w:p>
        </w:tc>
        <w:tc>
          <w:tcPr>
            <w:tcW w:w="2534" w:type="pct"/>
          </w:tcPr>
          <w:p w14:paraId="4E0B1170" w14:textId="46282A3D" w:rsidR="00AC098A" w:rsidRPr="00F171A3" w:rsidRDefault="00AC098A">
            <w:pPr>
              <w:pStyle w:val="ListParagraph"/>
              <w:numPr>
                <w:ilvl w:val="0"/>
                <w:numId w:val="26"/>
              </w:numPr>
              <w:rPr>
                <w:rFonts w:cstheme="minorHAnsi"/>
                <w:color w:val="134753"/>
              </w:rPr>
            </w:pPr>
            <w:r w:rsidRPr="00F171A3">
              <w:rPr>
                <w:rFonts w:cstheme="minorHAnsi"/>
                <w:color w:val="134753"/>
              </w:rPr>
              <w:t>Existența unui substanțial fond construit alcătuit din ansambluri de locuințe colective de mari dimensiuni care necesită intervenții pe multiple paliere în vederea creșterii calității locuirii</w:t>
            </w:r>
          </w:p>
        </w:tc>
      </w:tr>
      <w:tr w:rsidR="00AC098A" w:rsidRPr="00F171A3" w14:paraId="4D048CB9"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7BEC22B0" w14:textId="77777777" w:rsidR="00AC098A" w:rsidRPr="00F171A3" w:rsidRDefault="00AC098A" w:rsidP="00AC098A">
            <w:pPr>
              <w:pStyle w:val="ListParagraph"/>
              <w:rPr>
                <w:color w:val="134753" w:themeColor="text2"/>
              </w:rPr>
            </w:pPr>
          </w:p>
        </w:tc>
        <w:tc>
          <w:tcPr>
            <w:tcW w:w="2534" w:type="pct"/>
          </w:tcPr>
          <w:p w14:paraId="2CFBA563" w14:textId="0DE9312B" w:rsidR="00AC098A" w:rsidRPr="00F171A3" w:rsidRDefault="00AC098A">
            <w:pPr>
              <w:pStyle w:val="ListParagraph"/>
              <w:numPr>
                <w:ilvl w:val="0"/>
                <w:numId w:val="26"/>
              </w:numPr>
              <w:rPr>
                <w:rFonts w:cstheme="minorHAnsi"/>
                <w:color w:val="134753"/>
              </w:rPr>
            </w:pPr>
            <w:r w:rsidRPr="00F171A3">
              <w:rPr>
                <w:rFonts w:cstheme="minorHAnsi"/>
                <w:color w:val="134753"/>
              </w:rPr>
              <w:t>Existența unor zone urbane destructurate (terenuri abandonate, foste platforme industriale abandonate, elemente de infrastructură cu rol de barieră, lipsa spațiilor verzi dedicate comunităților locale) care necesită ample intervenții de regenerare urbană (Zona Gara Obor – Electricienilor).</w:t>
            </w:r>
          </w:p>
        </w:tc>
      </w:tr>
      <w:tr w:rsidR="00AC098A" w:rsidRPr="00F171A3" w14:paraId="32CB5949"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4297732B" w14:textId="77777777" w:rsidR="00AC098A" w:rsidRPr="00F171A3" w:rsidRDefault="00AC098A" w:rsidP="00AC098A">
            <w:pPr>
              <w:pStyle w:val="ListParagraph"/>
              <w:rPr>
                <w:color w:val="134753" w:themeColor="text2"/>
              </w:rPr>
            </w:pPr>
          </w:p>
        </w:tc>
        <w:tc>
          <w:tcPr>
            <w:tcW w:w="2534" w:type="pct"/>
          </w:tcPr>
          <w:p w14:paraId="5FB880D9" w14:textId="77777777" w:rsidR="00AC098A" w:rsidRDefault="00AC098A">
            <w:pPr>
              <w:pStyle w:val="ListParagraph"/>
              <w:numPr>
                <w:ilvl w:val="0"/>
                <w:numId w:val="26"/>
              </w:numPr>
              <w:rPr>
                <w:rFonts w:cstheme="minorHAnsi"/>
                <w:color w:val="134753"/>
              </w:rPr>
            </w:pPr>
            <w:r w:rsidRPr="00F171A3">
              <w:rPr>
                <w:rFonts w:cstheme="minorHAnsi"/>
                <w:color w:val="134753"/>
              </w:rPr>
              <w:t>Existența unui fond construit substanțial aferent activităților industriale, abandonat sau nefuncțional</w:t>
            </w:r>
          </w:p>
          <w:p w14:paraId="472A09EB" w14:textId="7D59239F" w:rsidR="0023113A" w:rsidRPr="00F171A3" w:rsidRDefault="0023113A" w:rsidP="0023113A">
            <w:pPr>
              <w:pStyle w:val="ListParagraph"/>
              <w:rPr>
                <w:rFonts w:cstheme="minorHAnsi"/>
                <w:color w:val="134753"/>
              </w:rPr>
            </w:pPr>
          </w:p>
        </w:tc>
      </w:tr>
      <w:tr w:rsidR="00FE0AFA" w:rsidRPr="00F171A3" w14:paraId="3B55D13B"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shd w:val="clear" w:color="auto" w:fill="134753" w:themeFill="text2"/>
          </w:tcPr>
          <w:p w14:paraId="62215793" w14:textId="77777777" w:rsidR="00FE0AFA" w:rsidRPr="00F171A3" w:rsidRDefault="00FE0AFA" w:rsidP="00520678">
            <w:pPr>
              <w:spacing w:after="0"/>
              <w:jc w:val="center"/>
              <w:rPr>
                <w:b/>
                <w:bCs/>
              </w:rPr>
            </w:pPr>
            <w:r w:rsidRPr="00F171A3">
              <w:rPr>
                <w:b/>
                <w:bCs/>
              </w:rPr>
              <w:t>OPORTUNITĂȚI</w:t>
            </w:r>
          </w:p>
        </w:tc>
        <w:tc>
          <w:tcPr>
            <w:tcW w:w="2534" w:type="pct"/>
            <w:shd w:val="clear" w:color="auto" w:fill="134753" w:themeFill="text2"/>
          </w:tcPr>
          <w:p w14:paraId="34299C16" w14:textId="77777777" w:rsidR="00FE0AFA" w:rsidRPr="00F171A3" w:rsidRDefault="00FE0AFA" w:rsidP="00520678">
            <w:pPr>
              <w:spacing w:after="0"/>
              <w:jc w:val="center"/>
              <w:rPr>
                <w:b/>
                <w:bCs/>
              </w:rPr>
            </w:pPr>
            <w:r w:rsidRPr="00F171A3">
              <w:rPr>
                <w:b/>
                <w:bCs/>
              </w:rPr>
              <w:t>AMENINȚĂRI</w:t>
            </w:r>
          </w:p>
        </w:tc>
      </w:tr>
      <w:tr w:rsidR="00AC098A" w:rsidRPr="00F171A3" w14:paraId="5EF53B23"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6648AB15" w14:textId="2F4DC1CA" w:rsidR="00AC098A" w:rsidRPr="00F171A3" w:rsidRDefault="00AC098A">
            <w:pPr>
              <w:pStyle w:val="ListParagraph"/>
              <w:numPr>
                <w:ilvl w:val="0"/>
                <w:numId w:val="27"/>
              </w:numPr>
              <w:rPr>
                <w:color w:val="134753" w:themeColor="text2"/>
              </w:rPr>
            </w:pPr>
            <w:r w:rsidRPr="00F171A3">
              <w:rPr>
                <w:rFonts w:cstheme="minorHAnsi"/>
                <w:color w:val="134753"/>
              </w:rPr>
              <w:t>Existenta unor zone cu un număr ridicat de locuri de muncă în vecinătatea directă a Sectorului 2 (centrul istoric).</w:t>
            </w:r>
          </w:p>
        </w:tc>
        <w:tc>
          <w:tcPr>
            <w:tcW w:w="2534" w:type="pct"/>
          </w:tcPr>
          <w:p w14:paraId="0CD83EFE" w14:textId="398D1A13" w:rsidR="00AC098A" w:rsidRPr="00F171A3" w:rsidRDefault="001503DF">
            <w:pPr>
              <w:pStyle w:val="ListParagraph"/>
              <w:numPr>
                <w:ilvl w:val="0"/>
                <w:numId w:val="27"/>
              </w:numPr>
              <w:rPr>
                <w:color w:val="134753" w:themeColor="text2"/>
              </w:rPr>
            </w:pPr>
            <w:r w:rsidRPr="00F171A3">
              <w:rPr>
                <w:rFonts w:cstheme="minorHAnsi"/>
                <w:color w:val="134753"/>
              </w:rPr>
              <w:t xml:space="preserve">Întârzierea finalizării Planului Urbanistic General al </w:t>
            </w:r>
            <w:r w:rsidR="00050FAA" w:rsidRPr="00F171A3">
              <w:rPr>
                <w:rFonts w:cstheme="minorHAnsi"/>
                <w:color w:val="134753"/>
              </w:rPr>
              <w:t>m</w:t>
            </w:r>
            <w:r w:rsidRPr="00F171A3">
              <w:rPr>
                <w:rFonts w:cstheme="minorHAnsi"/>
                <w:color w:val="134753"/>
              </w:rPr>
              <w:t>unicipiului București poate genera mari dificultăți pentru dezvoltarea municipiului.</w:t>
            </w:r>
          </w:p>
        </w:tc>
      </w:tr>
      <w:tr w:rsidR="00AC098A" w:rsidRPr="00F171A3" w14:paraId="18B494D1"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00EA95A5" w14:textId="7F4A32EB" w:rsidR="00AC098A" w:rsidRPr="00F171A3" w:rsidRDefault="00AC098A" w:rsidP="00AC098A">
            <w:pPr>
              <w:pStyle w:val="ListParagraph"/>
              <w:rPr>
                <w:color w:val="134753" w:themeColor="text2"/>
              </w:rPr>
            </w:pPr>
          </w:p>
        </w:tc>
        <w:tc>
          <w:tcPr>
            <w:tcW w:w="2534" w:type="pct"/>
          </w:tcPr>
          <w:p w14:paraId="427B8BF2" w14:textId="3F073586" w:rsidR="00AC098A" w:rsidRPr="00F171A3" w:rsidRDefault="00AC098A">
            <w:pPr>
              <w:pStyle w:val="ListParagraph"/>
              <w:numPr>
                <w:ilvl w:val="0"/>
                <w:numId w:val="27"/>
              </w:numPr>
              <w:rPr>
                <w:color w:val="134753" w:themeColor="text2"/>
              </w:rPr>
            </w:pPr>
            <w:r w:rsidRPr="00F171A3">
              <w:rPr>
                <w:rFonts w:cstheme="minorHAnsi"/>
                <w:color w:val="134753"/>
              </w:rPr>
              <w:t>Dezvoltarea necontrolată a așezărilor suburbane lipsite de dotări face ca rezidenții acestora să folosească serviciile și dotările Sectorului 2.</w:t>
            </w:r>
          </w:p>
        </w:tc>
      </w:tr>
    </w:tbl>
    <w:p w14:paraId="1B4755A8" w14:textId="5BC2E857" w:rsidR="009267A9" w:rsidRPr="00F171A3" w:rsidRDefault="009267A9" w:rsidP="007F2663">
      <w:pPr>
        <w:pStyle w:val="Normal0"/>
        <w:rPr>
          <w:color w:val="FFFFFF" w:themeColor="background1"/>
        </w:rPr>
      </w:pPr>
    </w:p>
    <w:tbl>
      <w:tblPr>
        <w:tblStyle w:val="Civittatable"/>
        <w:tblW w:w="5067" w:type="pct"/>
        <w:tblInd w:w="-5" w:type="dxa"/>
        <w:tblLook w:val="0480" w:firstRow="0" w:lastRow="0" w:firstColumn="1" w:lastColumn="0" w:noHBand="0" w:noVBand="1"/>
      </w:tblPr>
      <w:tblGrid>
        <w:gridCol w:w="4506"/>
        <w:gridCol w:w="4631"/>
      </w:tblGrid>
      <w:tr w:rsidR="000E6EBE" w:rsidRPr="00F171A3" w14:paraId="7A6B2BF7" w14:textId="77777777" w:rsidTr="000E6EBE">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accent3"/>
          </w:tcPr>
          <w:p w14:paraId="70D36F8B" w14:textId="3BC703FD" w:rsidR="000E6EBE" w:rsidRPr="00F171A3" w:rsidRDefault="000E6EBE" w:rsidP="00C44C7A">
            <w:pPr>
              <w:spacing w:after="60"/>
              <w:jc w:val="center"/>
              <w:rPr>
                <w:rFonts w:cstheme="minorHAnsi"/>
                <w:b/>
                <w:bCs/>
                <w:color w:val="FFFFFF" w:themeColor="background1"/>
                <w:szCs w:val="20"/>
              </w:rPr>
            </w:pPr>
            <w:r w:rsidRPr="00F171A3">
              <w:rPr>
                <w:rFonts w:cstheme="minorHAnsi"/>
                <w:b/>
                <w:bCs/>
                <w:color w:val="FFFFFF" w:themeColor="background1"/>
                <w:szCs w:val="20"/>
              </w:rPr>
              <w:t>INFRASTRUCTURĂ EDILITARĂ &amp; MEDIU ȘI SCHIMBĂRI CLIMATICE</w:t>
            </w:r>
          </w:p>
        </w:tc>
      </w:tr>
      <w:tr w:rsidR="00E71332" w:rsidRPr="00F171A3" w14:paraId="7E061490"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0824B976" w14:textId="77777777" w:rsidR="00E71332" w:rsidRPr="00F171A3" w:rsidRDefault="00E71332" w:rsidP="00C44C7A">
            <w:pPr>
              <w:spacing w:after="60"/>
              <w:jc w:val="center"/>
              <w:rPr>
                <w:rFonts w:cstheme="minorHAnsi"/>
                <w:b/>
                <w:bCs/>
                <w:szCs w:val="20"/>
              </w:rPr>
            </w:pPr>
            <w:r w:rsidRPr="00F171A3">
              <w:rPr>
                <w:rFonts w:cstheme="minorHAnsi"/>
                <w:b/>
                <w:bCs/>
                <w:szCs w:val="20"/>
              </w:rPr>
              <w:t>PUNCTE TARI</w:t>
            </w:r>
          </w:p>
        </w:tc>
        <w:tc>
          <w:tcPr>
            <w:tcW w:w="2534" w:type="pct"/>
            <w:shd w:val="clear" w:color="auto" w:fill="134753" w:themeFill="text2"/>
          </w:tcPr>
          <w:p w14:paraId="03EB897C" w14:textId="77777777" w:rsidR="00E71332" w:rsidRPr="00F171A3" w:rsidRDefault="00E71332" w:rsidP="00C44C7A">
            <w:pPr>
              <w:spacing w:after="60"/>
              <w:jc w:val="center"/>
              <w:rPr>
                <w:rFonts w:cstheme="minorHAnsi"/>
                <w:b/>
                <w:bCs/>
                <w:szCs w:val="20"/>
              </w:rPr>
            </w:pPr>
            <w:r w:rsidRPr="00F171A3">
              <w:rPr>
                <w:rFonts w:cstheme="minorHAnsi"/>
                <w:b/>
                <w:bCs/>
                <w:szCs w:val="20"/>
              </w:rPr>
              <w:t>PUNCTE SLABE</w:t>
            </w:r>
          </w:p>
        </w:tc>
      </w:tr>
      <w:tr w:rsidR="00E71332" w:rsidRPr="00F171A3" w14:paraId="16247ADA"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4C6DB09D" w14:textId="1F35BF82" w:rsidR="00E71332" w:rsidRPr="00F171A3" w:rsidRDefault="00E71332"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Cea mai mare parte a teritoriului sectorului este deservită de rețele de distribuție a gazelor naturale.</w:t>
            </w:r>
          </w:p>
        </w:tc>
        <w:tc>
          <w:tcPr>
            <w:tcW w:w="2534" w:type="pct"/>
          </w:tcPr>
          <w:p w14:paraId="00E2C176" w14:textId="6F0177AC" w:rsidR="00E71332" w:rsidRPr="00F171A3" w:rsidRDefault="00E71332"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Pe teritoriul Sectorului 2 nu există surse de producere a energiei electrice cu putere electrică de peste 1 MW.</w:t>
            </w:r>
          </w:p>
        </w:tc>
      </w:tr>
      <w:tr w:rsidR="008D441C" w:rsidRPr="00F171A3" w14:paraId="6081986A"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4B37634D" w14:textId="494864C7"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Rețeaua de transport (principală) și de distribuție (secundară) a energiei termice deservește toate cartierele de locuințe colective din sector (Floreasca, Tei, Colentina, Fundeni, Baicului), precum și blocurile de locuințe situate de-a lungul bulevardelor principale (Șos. Ștefan cel Mare, Șos. Mihai Bravu, Calea Moșilor) și unele cartiere de locuințe individuale (Vatra Luminoasă).</w:t>
            </w:r>
          </w:p>
        </w:tc>
        <w:tc>
          <w:tcPr>
            <w:tcW w:w="2534" w:type="pct"/>
          </w:tcPr>
          <w:p w14:paraId="26E9557E" w14:textId="6EE2F93D"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LES 110 kV Funderni – Pipera circuitul 2 (7 km lungime) se află într-o stare avansată de uzură tehnică.</w:t>
            </w:r>
          </w:p>
        </w:tc>
      </w:tr>
      <w:tr w:rsidR="008D441C" w:rsidRPr="00F171A3" w14:paraId="1E7215E4"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CF5767D" w14:textId="3FF448E9"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Toate stațiile de repompare a apei din sector au fost reabilitate după anul 2000.</w:t>
            </w:r>
          </w:p>
        </w:tc>
        <w:tc>
          <w:tcPr>
            <w:tcW w:w="2534" w:type="pct"/>
          </w:tcPr>
          <w:p w14:paraId="0FCF4AB7" w14:textId="10F9B27A" w:rsidR="008D441C" w:rsidRPr="00F171A3" w:rsidRDefault="008D441C"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Toate cele 38 de puncte de alimentare și 90 % din cele 825 de posturi de transformare din sector sunt vechi, având un grad avansat de uzură fizică și morală.</w:t>
            </w:r>
          </w:p>
        </w:tc>
      </w:tr>
      <w:tr w:rsidR="008D441C" w:rsidRPr="00F171A3" w14:paraId="191422F6"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6F187DBA" w14:textId="32A51D75"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Cea mai mare parte a teritoriului sectorului este deservită de rețele de alimentare cu apă. Doar punctual există situații în care rețeaua nu a fost extinsă pe toate străzile.</w:t>
            </w:r>
          </w:p>
        </w:tc>
        <w:tc>
          <w:tcPr>
            <w:tcW w:w="2534" w:type="pct"/>
          </w:tcPr>
          <w:p w14:paraId="199C37C4" w14:textId="66564FCB"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Numărul de întreruperi ale furnizării agentului termic a crescut în ultimii ani, la fel ca și perioadele în care agentul termic nu îndeplinește parametrii normali, pe fondul lipsei investițiilor în reabilitarea sistemului de termoficare.</w:t>
            </w:r>
          </w:p>
        </w:tc>
      </w:tr>
      <w:tr w:rsidR="008D441C" w:rsidRPr="00F171A3" w14:paraId="1AAEA086"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5546996" w14:textId="3B0A7AB5"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Rețeaua de colectoare principale de canalizare deservește circa 80 % din suprafața totală a sectorului, cea mai mare parte a zone</w:t>
            </w:r>
            <w:r w:rsidR="00C66438">
              <w:rPr>
                <w:rFonts w:cstheme="minorHAnsi"/>
                <w:color w:val="134753" w:themeColor="text2"/>
                <w:szCs w:val="20"/>
              </w:rPr>
              <w:t>l</w:t>
            </w:r>
            <w:r w:rsidRPr="00F171A3">
              <w:rPr>
                <w:rFonts w:cstheme="minorHAnsi"/>
                <w:color w:val="134753" w:themeColor="text2"/>
                <w:szCs w:val="20"/>
              </w:rPr>
              <w:t>or locuite fiind acoperite.</w:t>
            </w:r>
          </w:p>
        </w:tc>
        <w:tc>
          <w:tcPr>
            <w:tcW w:w="2534" w:type="pct"/>
          </w:tcPr>
          <w:p w14:paraId="6263688C" w14:textId="4E5667DE"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Pentru 38 din stațiile de hidrofor din sector, rețelele de înaltă presiune nu au regim de rețele publice, neputând fi astfel întreținute de către Apa Nova SA.</w:t>
            </w:r>
          </w:p>
        </w:tc>
      </w:tr>
      <w:tr w:rsidR="008D441C" w:rsidRPr="00F171A3" w14:paraId="6C4EBA61"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1267C119" w14:textId="4D548977"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În zone în care s-au realizat extinderi ale rețelelor de canalizare în ultimii 10-15 ani, aceasta a fost realizată în sistem separativ (Andronache, Tei-Toboc, Fundeni)., din materiale mai noi (PAFSIN, PVC).</w:t>
            </w:r>
          </w:p>
        </w:tc>
        <w:tc>
          <w:tcPr>
            <w:tcW w:w="2534" w:type="pct"/>
          </w:tcPr>
          <w:p w14:paraId="31678B10" w14:textId="60E818A0"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Pierderile de apă pe rețea sunt estimate a fi de peste 20 % din cauza uzurii mari a rețelei, a vechimii acesteia și a materialelor din care este realizată (29 % din rețeaua principală și 71 % din rețeaua secundară alcătuită din fontă).</w:t>
            </w:r>
          </w:p>
        </w:tc>
      </w:tr>
      <w:tr w:rsidR="008D441C" w:rsidRPr="00F171A3" w14:paraId="574E8425"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453712D" w14:textId="1C125483"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Majoritatea străzilor principale din sectorul 2 sunt deservite de rețeaua subterană de telecomunicații (fibră optică), fiind deja realizate acțiunile de dezafectare a cablurilor aeriene și de migrare a acestor în subteran pentru cea mai mare parte a străzilor din sector.</w:t>
            </w:r>
          </w:p>
        </w:tc>
        <w:tc>
          <w:tcPr>
            <w:tcW w:w="2534" w:type="pct"/>
          </w:tcPr>
          <w:p w14:paraId="00299BE6" w14:textId="335169D1"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Majoritatea canalelor de apă uzată sunt construite din beton simplu sau beton armat (localizate preponderent în zona centrală și în marile cartiere de locuit), fiind în general mai vechi de 50 de ani.</w:t>
            </w:r>
          </w:p>
        </w:tc>
      </w:tr>
      <w:tr w:rsidR="008D441C" w:rsidRPr="00F171A3" w14:paraId="733A3DB5"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0E0A104D" w14:textId="7154EACD"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Sectorul 2 este acoperit de servicii de telecomunicații 5G, oferite de către trei operatori.</w:t>
            </w:r>
          </w:p>
        </w:tc>
        <w:tc>
          <w:tcPr>
            <w:tcW w:w="2534" w:type="pct"/>
          </w:tcPr>
          <w:p w14:paraId="3320250D" w14:textId="1916F8C3"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Este necesară reabilitarea canalizării în zona Fundeni, unde curțile din zonă sunt adesea inundate.</w:t>
            </w:r>
          </w:p>
        </w:tc>
      </w:tr>
      <w:tr w:rsidR="008D441C" w:rsidRPr="00F171A3" w14:paraId="48293921"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AB18FD2" w14:textId="79877278"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În mai 2022, 93 % din asociațiile de bloc semnaseră noi contracte de salubritate.</w:t>
            </w:r>
          </w:p>
        </w:tc>
        <w:tc>
          <w:tcPr>
            <w:tcW w:w="2534" w:type="pct"/>
          </w:tcPr>
          <w:p w14:paraId="28E73000" w14:textId="77070184"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Cartierele Baicului, Ion Creangă și Andronache nu sunt deservite de rețeaua de telecomunicații (fibră optică).</w:t>
            </w:r>
          </w:p>
        </w:tc>
      </w:tr>
      <w:tr w:rsidR="008D441C" w:rsidRPr="00F171A3" w14:paraId="1069C0B2"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1166C7BC" w14:textId="16827768"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Există campanii pentru colectarea deșeurilor voluminoase, precum și posibilitatea colectării, contracost, a deșeurilor din construcții.</w:t>
            </w:r>
          </w:p>
        </w:tc>
        <w:tc>
          <w:tcPr>
            <w:tcW w:w="2534" w:type="pct"/>
          </w:tcPr>
          <w:p w14:paraId="2F093CAF" w14:textId="52CCAC45"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Stația de sortare de pe Șos. Gherghiței funcționează mult sub capacitatea proiectată, având în plus o eficiență foarte redusă în anul 2020 (27 %).</w:t>
            </w:r>
          </w:p>
        </w:tc>
      </w:tr>
      <w:tr w:rsidR="008D441C" w:rsidRPr="00F171A3" w14:paraId="3BD4FECC"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233ACFB" w14:textId="61FDBEDA"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Salba de lacuri de pe teritoriul Sectorului 2 prezintă un potențial important pentru activități de loisir, majoritatea spațiilor verzi publice fiind concentrate de-a lungul acesteia.</w:t>
            </w:r>
          </w:p>
        </w:tc>
        <w:tc>
          <w:tcPr>
            <w:tcW w:w="2534" w:type="pct"/>
          </w:tcPr>
          <w:p w14:paraId="637FE083" w14:textId="4EFC8DFB"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Infrastructura de </w:t>
            </w:r>
            <w:r w:rsidR="00482049" w:rsidRPr="00F171A3">
              <w:rPr>
                <w:rFonts w:cstheme="minorHAnsi"/>
                <w:color w:val="134753" w:themeColor="text2"/>
                <w:szCs w:val="20"/>
              </w:rPr>
              <w:t>colectare</w:t>
            </w:r>
            <w:r w:rsidRPr="00F171A3">
              <w:rPr>
                <w:rFonts w:cstheme="minorHAnsi"/>
                <w:color w:val="134753" w:themeColor="text2"/>
                <w:szCs w:val="20"/>
              </w:rPr>
              <w:t xml:space="preserve"> separată a deșeurilor este una slab dezvoltată, fapt ce este ilustrat și de rata foarte scăzută de reciclare a deșeurilor municipale colectate de la populație și agenți economici (1 %).</w:t>
            </w:r>
          </w:p>
        </w:tc>
      </w:tr>
      <w:tr w:rsidR="008D441C" w:rsidRPr="00F171A3" w14:paraId="1025A793"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65215487" w14:textId="13216CE4"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În municipiul București se află cel mai mare zăcământ de apă potabilă din țară – Formațiunea de Frătești.</w:t>
            </w:r>
          </w:p>
        </w:tc>
        <w:tc>
          <w:tcPr>
            <w:tcW w:w="2534" w:type="pct"/>
          </w:tcPr>
          <w:p w14:paraId="4AB4AB8A" w14:textId="3C674FEC"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Doar 63 % dintre gospodării au semnat noi contracte de salubritate (mai 2022). De altfel, este dificilă corelarea între contractele de salubritate și numărul gospodăriilor și al persoanelor, întrucât acestea din urmă sunt adesea declarate necorespunzător.</w:t>
            </w:r>
          </w:p>
        </w:tc>
      </w:tr>
      <w:tr w:rsidR="008D441C" w:rsidRPr="00F171A3" w14:paraId="70467CD9"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76F98815" w14:textId="0527CB81"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Zona salbei de lacuri determină apariția unui microclimat favorabil, lacurile având un rol important în apariția fenomenului de briză urbană caracteristic zonei de nord a </w:t>
            </w:r>
            <w:r w:rsidR="00050FAA" w:rsidRPr="00F171A3">
              <w:rPr>
                <w:rFonts w:cstheme="minorHAnsi"/>
                <w:color w:val="134753" w:themeColor="text2"/>
                <w:szCs w:val="20"/>
              </w:rPr>
              <w:t>m</w:t>
            </w:r>
            <w:r w:rsidRPr="00F171A3">
              <w:rPr>
                <w:rFonts w:cstheme="minorHAnsi"/>
                <w:color w:val="134753" w:themeColor="text2"/>
                <w:szCs w:val="20"/>
              </w:rPr>
              <w:t>unicipiului București.</w:t>
            </w:r>
          </w:p>
        </w:tc>
        <w:tc>
          <w:tcPr>
            <w:tcW w:w="2534" w:type="pct"/>
          </w:tcPr>
          <w:p w14:paraId="5DE689EF" w14:textId="7424633E"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Nu au fost identificate soluții pentru gestiunea deșeurilor în zonele de locuințe colective, în condițiile în care tubulaturile pentru gunoi din blocuri trebuie închise până în 2025, iar unele ghene trebuie desființate întrucât se află pe parcele retrocedate (cartierul Floreasca).</w:t>
            </w:r>
          </w:p>
        </w:tc>
      </w:tr>
      <w:tr w:rsidR="008D441C" w:rsidRPr="00F171A3" w14:paraId="1FB67A80"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32EEF58A" w14:textId="5180BA9A"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Există un potențial ridicat de utilizare a energiei solare pe teritoriul Sectorului 2, valorile anuale ale radiației globale depășind 1.300 kWh/m2.</w:t>
            </w:r>
          </w:p>
        </w:tc>
        <w:tc>
          <w:tcPr>
            <w:tcW w:w="2534" w:type="pct"/>
          </w:tcPr>
          <w:p w14:paraId="144E6CF4" w14:textId="16E23F1C"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Sectorul 2 este considerat a fi deosebit de vulnerabil în cazul unui cutremur major, cea mai mare parte din teritoriul acestuia fiind situat în zona Pantelimon, cu o accelerație a solului de 300 cm/s2 și cu cea mai mare vibrație a terenului de pe teritoriul </w:t>
            </w:r>
            <w:r w:rsidR="00050FAA" w:rsidRPr="00F171A3">
              <w:rPr>
                <w:rFonts w:cstheme="minorHAnsi"/>
                <w:color w:val="134753" w:themeColor="text2"/>
                <w:szCs w:val="20"/>
              </w:rPr>
              <w:t>m</w:t>
            </w:r>
            <w:r w:rsidRPr="00F171A3">
              <w:rPr>
                <w:rFonts w:cstheme="minorHAnsi"/>
                <w:color w:val="134753" w:themeColor="text2"/>
                <w:szCs w:val="20"/>
              </w:rPr>
              <w:t>unicipiului București (1,56 secunde) în cazul unui seism major (7,5 grade pe scara Richter).</w:t>
            </w:r>
          </w:p>
        </w:tc>
      </w:tr>
      <w:tr w:rsidR="008D441C" w:rsidRPr="00F171A3" w14:paraId="2D1FCF19"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79BF1D6F" w14:textId="5607BF88"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A fost finalizată eficientizarea energetică a circa 1.200 de blocuri de locuințe, iar alte 122 de blocuri se află în curs de reabilitare.</w:t>
            </w:r>
          </w:p>
        </w:tc>
        <w:tc>
          <w:tcPr>
            <w:tcW w:w="2534" w:type="pct"/>
          </w:tcPr>
          <w:p w14:paraId="33D929A8" w14:textId="6EE7BB3C"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Din cele 363 de clădiri expertizate și încadrate în clasa de risc seismic I, 100 (27,5 %) se află pe teritoriul administrativ al sectorului 2. Majoritatea clădirilor expertizate și încadrate în clase de risc sau de urgență sunt localizate în zona centrală, în interiorul primului inel.</w:t>
            </w:r>
          </w:p>
        </w:tc>
      </w:tr>
      <w:tr w:rsidR="008D441C" w:rsidRPr="00F171A3" w14:paraId="0A1F35F0"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06290353" w14:textId="5C7FA972"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Pentru 55 de clădiri publice au fost demarate proiecte cu componente de eficientizare energetică în perioada 2015-2021.</w:t>
            </w:r>
          </w:p>
        </w:tc>
        <w:tc>
          <w:tcPr>
            <w:tcW w:w="2534" w:type="pct"/>
          </w:tcPr>
          <w:p w14:paraId="6E7142DE" w14:textId="5C82CC04" w:rsidR="008D441C" w:rsidRPr="00F171A3" w:rsidRDefault="008D441C" w:rsidP="008D441C">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Există trei zone critice cu privire la starea lucrărilor hidrotehnice: valea Saulei, acumularea Fundeni și acumularea </w:t>
            </w:r>
            <w:r w:rsidR="003D3575" w:rsidRPr="00F171A3">
              <w:rPr>
                <w:rFonts w:cstheme="minorHAnsi"/>
                <w:color w:val="134753" w:themeColor="text2"/>
                <w:szCs w:val="20"/>
              </w:rPr>
              <w:t>P</w:t>
            </w:r>
            <w:r w:rsidRPr="00F171A3">
              <w:rPr>
                <w:rFonts w:cstheme="minorHAnsi"/>
                <w:color w:val="134753" w:themeColor="text2"/>
                <w:szCs w:val="20"/>
              </w:rPr>
              <w:t>antelimon.</w:t>
            </w:r>
          </w:p>
        </w:tc>
      </w:tr>
      <w:tr w:rsidR="008D441C" w:rsidRPr="00F171A3" w14:paraId="0D25A697"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2B92A2DA" w14:textId="2E68E793"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Cea mai mare parte a activităților economice pentru care au fost solicitate autorizații de mediu în perioada 2017 – 2021 nu reprezintă surse semnificative de degradare a calității factorilor de mediu, fiind fie activități punctuale, desfășurate pe o arie restrânsă, fie activități de industrie ușoară.</w:t>
            </w:r>
          </w:p>
        </w:tc>
        <w:tc>
          <w:tcPr>
            <w:tcW w:w="2534" w:type="pct"/>
          </w:tcPr>
          <w:p w14:paraId="337E3E38" w14:textId="5DA13790"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Se observă o tendință de ușoară de creștere a temperaturii medii anuale în intervalul de timp analizat, de la sub 11°C în anii 1990 la aproape 12°C în perioada 2016 – 2020. De asemenea, media ultimilor 5 ani a crescut de la sub 50 de zile tropicale în anii 1990 la aproape 65 de zile tropicale (zile cu temperaturi maxime de peste 30 °C) în perioada 2016 – 2020.</w:t>
            </w:r>
          </w:p>
        </w:tc>
      </w:tr>
      <w:tr w:rsidR="008D441C" w:rsidRPr="00F171A3" w14:paraId="331AB041"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692C0893" w14:textId="6B5AEDC9"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Starea calitativă pentru corpul de apă subterană București (Formațiunea de Frătești) a fost bună în perioada 2015 – 2021.</w:t>
            </w:r>
          </w:p>
        </w:tc>
        <w:tc>
          <w:tcPr>
            <w:tcW w:w="2534" w:type="pct"/>
          </w:tcPr>
          <w:p w14:paraId="5951D30E" w14:textId="59FE9A02"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Pentru 39 de blocuri de locuințe din sector (20 %) nu au fost realizate demersuri pentru lucrări de eficientizare energetică.</w:t>
            </w:r>
          </w:p>
        </w:tc>
      </w:tr>
      <w:tr w:rsidR="008D441C" w:rsidRPr="00F171A3" w14:paraId="492C235A"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6F1FC1A7" w14:textId="1A611DA0" w:rsidR="008D441C" w:rsidRPr="00F171A3" w:rsidRDefault="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Nu există, în prezent, situri contaminate înregistrate pe teritoriul Sectorului 2.</w:t>
            </w:r>
          </w:p>
        </w:tc>
        <w:tc>
          <w:tcPr>
            <w:tcW w:w="2534" w:type="pct"/>
          </w:tcPr>
          <w:p w14:paraId="3055084C" w14:textId="0138F046"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Pentru 30 din cele 109 clădiri publice aflate în evidența DGAPI Sector 2 (circa 27 % din total) este necesară în continuare contractarea DALI pentru realizarea proiectelor de reabilitare-modernizare.</w:t>
            </w:r>
          </w:p>
        </w:tc>
      </w:tr>
      <w:tr w:rsidR="008D441C" w:rsidRPr="00F171A3" w14:paraId="42B5CE97"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6BC092C" w14:textId="77777777" w:rsidR="008D441C" w:rsidRPr="00F171A3" w:rsidRDefault="008D441C" w:rsidP="003D3575">
            <w:pPr>
              <w:spacing w:after="60"/>
              <w:ind w:left="360"/>
              <w:rPr>
                <w:rFonts w:cstheme="minorHAnsi"/>
                <w:color w:val="134753" w:themeColor="text2"/>
                <w:szCs w:val="20"/>
              </w:rPr>
            </w:pPr>
          </w:p>
        </w:tc>
        <w:tc>
          <w:tcPr>
            <w:tcW w:w="2534" w:type="pct"/>
          </w:tcPr>
          <w:p w14:paraId="16B89842" w14:textId="21F11933"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Solurile din Sectorul 2 au suferit antropizări puternice ce au dus la destructurarea lor și apariția protosolurilor antropice (soluri de umplutură), cu o calitate scăzută, necesitând costuri suplimentare pentru amenajarea și întreținerea spațiilor verzi.</w:t>
            </w:r>
          </w:p>
        </w:tc>
      </w:tr>
      <w:tr w:rsidR="008D441C" w:rsidRPr="00F171A3" w14:paraId="19EC5A13"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47CBE78" w14:textId="77777777" w:rsidR="008D441C" w:rsidRPr="00F171A3" w:rsidRDefault="008D441C" w:rsidP="003D3575">
            <w:pPr>
              <w:spacing w:after="60"/>
              <w:ind w:left="360"/>
              <w:rPr>
                <w:rFonts w:cstheme="minorHAnsi"/>
                <w:color w:val="134753" w:themeColor="text2"/>
                <w:szCs w:val="20"/>
              </w:rPr>
            </w:pPr>
          </w:p>
        </w:tc>
        <w:tc>
          <w:tcPr>
            <w:tcW w:w="2534" w:type="pct"/>
          </w:tcPr>
          <w:p w14:paraId="30A3E09B" w14:textId="76F3F15D"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Cea mai importantă sursă de degradare a mediului la nivelul </w:t>
            </w:r>
            <w:r w:rsidR="00050FAA" w:rsidRPr="00F171A3">
              <w:rPr>
                <w:rFonts w:cstheme="minorHAnsi"/>
                <w:color w:val="134753" w:themeColor="text2"/>
                <w:szCs w:val="20"/>
              </w:rPr>
              <w:t>m</w:t>
            </w:r>
            <w:r w:rsidRPr="00F171A3">
              <w:rPr>
                <w:rFonts w:cstheme="minorHAnsi"/>
                <w:color w:val="134753" w:themeColor="text2"/>
                <w:szCs w:val="20"/>
              </w:rPr>
              <w:t>unicipiului București este traficul rutier, ce contribuie direct și indirect cu mai mult de 60 % la poluarea aerului din capitală.</w:t>
            </w:r>
          </w:p>
        </w:tc>
      </w:tr>
      <w:tr w:rsidR="008D441C" w:rsidRPr="00F171A3" w14:paraId="5DB49B97"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33C56750" w14:textId="77777777" w:rsidR="008D441C" w:rsidRPr="00F171A3" w:rsidRDefault="008D441C" w:rsidP="003D3575">
            <w:pPr>
              <w:spacing w:after="60"/>
              <w:ind w:left="360"/>
              <w:rPr>
                <w:rFonts w:cstheme="minorHAnsi"/>
                <w:color w:val="134753" w:themeColor="text2"/>
                <w:szCs w:val="20"/>
              </w:rPr>
            </w:pPr>
          </w:p>
        </w:tc>
        <w:tc>
          <w:tcPr>
            <w:tcW w:w="2534" w:type="pct"/>
          </w:tcPr>
          <w:p w14:paraId="37193936" w14:textId="338D4F89" w:rsidR="008D441C"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În ultimii ani s-au înregistrat depășiri ale valorilor limită anuale în ceea ce privește concentrația medie anuală de dioxid de azot, fapt ce indică o poluare semnificativă determinată de traficul rutier. În 2020, au fost înregistrate de asemenea 21 de depășiri ale valorii limită zilnice pentru particule în suspensii PM10.</w:t>
            </w:r>
          </w:p>
        </w:tc>
      </w:tr>
      <w:tr w:rsidR="003D3575" w:rsidRPr="00F171A3" w14:paraId="194FDBA9"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249B6A62" w14:textId="77777777" w:rsidR="003D3575" w:rsidRPr="00F171A3" w:rsidRDefault="003D3575" w:rsidP="003D3575">
            <w:pPr>
              <w:spacing w:after="60"/>
              <w:ind w:left="360"/>
              <w:rPr>
                <w:rFonts w:cstheme="minorHAnsi"/>
                <w:color w:val="134753" w:themeColor="text2"/>
                <w:szCs w:val="20"/>
              </w:rPr>
            </w:pPr>
          </w:p>
        </w:tc>
        <w:tc>
          <w:tcPr>
            <w:tcW w:w="2534" w:type="pct"/>
          </w:tcPr>
          <w:p w14:paraId="794CFB41" w14:textId="7F9820C0"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În ceea ce privește zgomotul, 71 artere rutiere din sectorul 2 înregistrează depășiri ale indicatorului Lzsn (peste 70 dB), în timp ce 90 înregistrează depășiri pentru indicatorul Ln (peste 60 dB în timpul nopții).</w:t>
            </w:r>
          </w:p>
        </w:tc>
      </w:tr>
      <w:tr w:rsidR="003D3575" w:rsidRPr="00F171A3" w14:paraId="4F1983A8"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B4C3908" w14:textId="77777777" w:rsidR="003D3575" w:rsidRPr="00F171A3" w:rsidRDefault="003D3575" w:rsidP="003D3575">
            <w:pPr>
              <w:spacing w:after="60"/>
              <w:ind w:left="360"/>
              <w:rPr>
                <w:rFonts w:cstheme="minorHAnsi"/>
                <w:color w:val="134753" w:themeColor="text2"/>
                <w:szCs w:val="20"/>
              </w:rPr>
            </w:pPr>
          </w:p>
        </w:tc>
        <w:tc>
          <w:tcPr>
            <w:tcW w:w="2534" w:type="pct"/>
          </w:tcPr>
          <w:p w14:paraId="2634B53C" w14:textId="27E6E0BD"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Calitatea corpurilor de apă de suprafață a fost una moderată pentru perioada 2015 – 2021 atât pentru râul Colentina, cât și pentru Valea Saulei. Problemele de calitate se resimt în special în cazul lacurilor Plumbuita, Fundeni și Pantelimon.</w:t>
            </w:r>
          </w:p>
        </w:tc>
      </w:tr>
      <w:tr w:rsidR="003D3575" w:rsidRPr="00F171A3" w14:paraId="5616CA1A"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7CDD603" w14:textId="77777777" w:rsidR="003D3575" w:rsidRPr="00F171A3" w:rsidRDefault="003D3575" w:rsidP="003D3575">
            <w:pPr>
              <w:spacing w:after="60"/>
              <w:ind w:left="360"/>
              <w:rPr>
                <w:rFonts w:cstheme="minorHAnsi"/>
                <w:color w:val="134753" w:themeColor="text2"/>
                <w:szCs w:val="20"/>
              </w:rPr>
            </w:pPr>
          </w:p>
        </w:tc>
        <w:tc>
          <w:tcPr>
            <w:tcW w:w="2534" w:type="pct"/>
          </w:tcPr>
          <w:p w14:paraId="6E97F173" w14:textId="375A0052"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Acviferele de mică și medie adâncime (Mostiștea și Colentina) au fost degradate în zona municipiului București ca urmare a poluării cauzate de industrie și agricultură.</w:t>
            </w:r>
          </w:p>
        </w:tc>
      </w:tr>
      <w:tr w:rsidR="003D3575" w:rsidRPr="00F171A3" w14:paraId="6CE5F3B5"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4A89C753" w14:textId="77777777" w:rsidR="003D3575" w:rsidRPr="00F171A3" w:rsidRDefault="003D3575" w:rsidP="003D3575">
            <w:pPr>
              <w:spacing w:after="60"/>
              <w:ind w:left="360"/>
              <w:rPr>
                <w:rFonts w:cstheme="minorHAnsi"/>
                <w:color w:val="134753" w:themeColor="text2"/>
                <w:szCs w:val="20"/>
              </w:rPr>
            </w:pPr>
          </w:p>
        </w:tc>
        <w:tc>
          <w:tcPr>
            <w:tcW w:w="2534" w:type="pct"/>
          </w:tcPr>
          <w:p w14:paraId="22B09F8F" w14:textId="42664220"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Sectorul 2 prezintă cele mai mici valori dintre sectoarele </w:t>
            </w:r>
            <w:r w:rsidR="00050FAA" w:rsidRPr="00F171A3">
              <w:rPr>
                <w:rFonts w:cstheme="minorHAnsi"/>
                <w:color w:val="134753" w:themeColor="text2"/>
                <w:szCs w:val="20"/>
              </w:rPr>
              <w:t>m</w:t>
            </w:r>
            <w:r w:rsidRPr="00F171A3">
              <w:rPr>
                <w:rFonts w:cstheme="minorHAnsi"/>
                <w:color w:val="134753" w:themeColor="text2"/>
                <w:szCs w:val="20"/>
              </w:rPr>
              <w:t>unicipiului București atât în ceea ce privește suprafața de spațiu verde per cap de locuitor (12,43 mp), cât și în ceea ce privește numărul de arbori per locuitor 0,55.</w:t>
            </w:r>
          </w:p>
        </w:tc>
      </w:tr>
      <w:tr w:rsidR="003D3575" w:rsidRPr="00F171A3" w14:paraId="5F940BC3"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6E336D4C" w14:textId="77777777" w:rsidR="003D3575" w:rsidRPr="00F171A3" w:rsidRDefault="003D3575" w:rsidP="003D3575">
            <w:pPr>
              <w:spacing w:after="60"/>
              <w:ind w:left="360"/>
              <w:rPr>
                <w:rFonts w:cstheme="minorHAnsi"/>
                <w:color w:val="134753" w:themeColor="text2"/>
                <w:szCs w:val="20"/>
              </w:rPr>
            </w:pPr>
          </w:p>
        </w:tc>
        <w:tc>
          <w:tcPr>
            <w:tcW w:w="2534" w:type="pct"/>
          </w:tcPr>
          <w:p w14:paraId="45F4E8CE" w14:textId="4D942B61"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Există o zonă cu deservire necorespunzătoare a rețelei de gaze naturale (Șos. Gherghiței – Șos. Andronache – Șos. Colentina – Șos. Fundeni) și o zonă care funcționează în regim de presiune joasă, în zona centrală.</w:t>
            </w:r>
          </w:p>
        </w:tc>
      </w:tr>
      <w:tr w:rsidR="00E71332" w:rsidRPr="00F171A3" w14:paraId="19BEE84E"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1089AC68" w14:textId="77777777" w:rsidR="00E71332" w:rsidRPr="00F171A3" w:rsidRDefault="00E71332" w:rsidP="00C44C7A">
            <w:pPr>
              <w:spacing w:after="60"/>
              <w:jc w:val="center"/>
              <w:rPr>
                <w:rFonts w:cstheme="minorHAnsi"/>
                <w:b/>
                <w:bCs/>
                <w:szCs w:val="20"/>
              </w:rPr>
            </w:pPr>
            <w:r w:rsidRPr="00F171A3">
              <w:rPr>
                <w:rFonts w:cstheme="minorHAnsi"/>
                <w:b/>
                <w:bCs/>
                <w:szCs w:val="20"/>
              </w:rPr>
              <w:t>OPORTUNITĂȚI</w:t>
            </w:r>
          </w:p>
        </w:tc>
        <w:tc>
          <w:tcPr>
            <w:tcW w:w="2534" w:type="pct"/>
            <w:shd w:val="clear" w:color="auto" w:fill="134753" w:themeFill="text2"/>
          </w:tcPr>
          <w:p w14:paraId="0CA7BB08" w14:textId="77777777" w:rsidR="00E71332" w:rsidRPr="00F171A3" w:rsidRDefault="00E71332" w:rsidP="00C44C7A">
            <w:pPr>
              <w:spacing w:after="60"/>
              <w:jc w:val="center"/>
              <w:rPr>
                <w:rFonts w:cstheme="minorHAnsi"/>
                <w:b/>
                <w:bCs/>
                <w:szCs w:val="20"/>
              </w:rPr>
            </w:pPr>
            <w:r w:rsidRPr="00F171A3">
              <w:rPr>
                <w:rFonts w:cstheme="minorHAnsi"/>
                <w:b/>
                <w:bCs/>
                <w:szCs w:val="20"/>
              </w:rPr>
              <w:t>AMENINȚĂRI</w:t>
            </w:r>
          </w:p>
        </w:tc>
      </w:tr>
      <w:tr w:rsidR="00E71332" w:rsidRPr="00F171A3" w14:paraId="3601D2F0"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39C0D6E" w14:textId="03245836" w:rsidR="00E71332" w:rsidRPr="00F171A3" w:rsidRDefault="00E71332"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Realizarea investițiilor de modernizare a rețelelor de distribuție a energiei electrice, </w:t>
            </w:r>
            <w:r w:rsidR="00C66438" w:rsidRPr="00F171A3">
              <w:rPr>
                <w:rFonts w:cstheme="minorHAnsi"/>
                <w:color w:val="134753" w:themeColor="text2"/>
                <w:szCs w:val="20"/>
              </w:rPr>
              <w:t>planificare</w:t>
            </w:r>
            <w:r w:rsidRPr="00F171A3">
              <w:rPr>
                <w:rFonts w:cstheme="minorHAnsi"/>
                <w:color w:val="134753" w:themeColor="text2"/>
                <w:szCs w:val="20"/>
              </w:rPr>
              <w:t xml:space="preserve"> de către E-Distribuție Muntenia.</w:t>
            </w:r>
          </w:p>
        </w:tc>
        <w:tc>
          <w:tcPr>
            <w:tcW w:w="2534" w:type="pct"/>
          </w:tcPr>
          <w:p w14:paraId="3F3381A8" w14:textId="6DD2CC5B" w:rsidR="00E71332" w:rsidRPr="00F171A3" w:rsidRDefault="00E71332"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Sistemul energetic al </w:t>
            </w:r>
            <w:r w:rsidR="00050FAA" w:rsidRPr="00F171A3">
              <w:rPr>
                <w:rFonts w:cstheme="minorHAnsi"/>
                <w:color w:val="134753" w:themeColor="text2"/>
                <w:szCs w:val="20"/>
              </w:rPr>
              <w:t>m</w:t>
            </w:r>
            <w:r w:rsidRPr="00F171A3">
              <w:rPr>
                <w:rFonts w:cstheme="minorHAnsi"/>
                <w:color w:val="134753" w:themeColor="text2"/>
                <w:szCs w:val="20"/>
              </w:rPr>
              <w:t>unicipiului București depinde de centralele electrice din sectoarele 1, 3, 4 și 6, ce necesită modernizări pentru atingerea standardelor de mediu.</w:t>
            </w:r>
          </w:p>
        </w:tc>
      </w:tr>
      <w:tr w:rsidR="003D3575" w:rsidRPr="00F171A3" w14:paraId="1FB3C001"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D8AF98D" w14:textId="5EF6AA04"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Implementarea proiectelor de creștere a eficienței energetice și de extindere a sistemului de iluminat public de către Compania Municipală Iluminat Public București.</w:t>
            </w:r>
          </w:p>
        </w:tc>
        <w:tc>
          <w:tcPr>
            <w:tcW w:w="2534" w:type="pct"/>
          </w:tcPr>
          <w:p w14:paraId="47944F51" w14:textId="3D060357"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Închiderea CET Titan și CET Pipera determină disfuncții în cadrul sistemului de alimentare centralizată cu energie termică a municipiului.</w:t>
            </w:r>
          </w:p>
        </w:tc>
      </w:tr>
      <w:tr w:rsidR="003D3575" w:rsidRPr="00F171A3" w14:paraId="2242F651"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030A9783" w14:textId="275671FF"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Accesarea de fonduri pentru realizarea unei hărți digitale a tuturor rețelelor tehnico-edilitare din sector (bază de date urbane), ce ar facilita gestionarea rețelelor și prioritizarea </w:t>
            </w:r>
            <w:r w:rsidR="00482049" w:rsidRPr="00F171A3">
              <w:rPr>
                <w:rFonts w:cstheme="minorHAnsi"/>
                <w:color w:val="134753" w:themeColor="text2"/>
                <w:szCs w:val="20"/>
              </w:rPr>
              <w:t>investițiilor</w:t>
            </w:r>
            <w:r w:rsidRPr="00F171A3">
              <w:rPr>
                <w:rFonts w:cstheme="minorHAnsi"/>
                <w:color w:val="134753" w:themeColor="text2"/>
                <w:szCs w:val="20"/>
              </w:rPr>
              <w:t xml:space="preserve"> necesare.</w:t>
            </w:r>
          </w:p>
        </w:tc>
        <w:tc>
          <w:tcPr>
            <w:tcW w:w="2534" w:type="pct"/>
          </w:tcPr>
          <w:p w14:paraId="48633DB4" w14:textId="1313D9AB"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Realizarea de dezvoltări imobiliare necontrolate în zone lipsite de utilități publice.</w:t>
            </w:r>
          </w:p>
        </w:tc>
      </w:tr>
      <w:tr w:rsidR="003D3575" w:rsidRPr="00F171A3" w14:paraId="3B4ED631"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390F7D3E" w14:textId="6B62C2F5"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Încheierea procedurilor de achiziție publică pentru un nou contract de salubritate, care să explice clar toate îndatoririle operatorului, inclusiv în ceea ce privește activitatea de colectare selectivă a deșeurilor.</w:t>
            </w:r>
          </w:p>
        </w:tc>
        <w:tc>
          <w:tcPr>
            <w:tcW w:w="2534" w:type="pct"/>
          </w:tcPr>
          <w:p w14:paraId="22448FD6" w14:textId="04043551"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Aplicarea de penalități în cazul neatingerii țintelor asumate la nivel european cu privire la reciclarea și valorificarea diferitelor categorii de deșeuri.</w:t>
            </w:r>
          </w:p>
        </w:tc>
      </w:tr>
      <w:tr w:rsidR="003D3575" w:rsidRPr="00F171A3" w14:paraId="225E2B6D"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C07E5CE" w14:textId="2F3261F5"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Implementarea prevederilor din Planul de Gestionare al Deșeurilor din Municipiul București ar soluționa o mare parte din provocările identificate cu privire la gestiunea deșeurilor.</w:t>
            </w:r>
          </w:p>
        </w:tc>
        <w:tc>
          <w:tcPr>
            <w:tcW w:w="2534" w:type="pct"/>
          </w:tcPr>
          <w:p w14:paraId="7607C003" w14:textId="243D2101"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Un număr de 126 de străzi din sector sunt incluse în banda de inundabilitate a râului Colentina, trasată conform studiului SC AQUAPROIECT SA (1994) de rupere a barajului acumulării Buftea și propagarea undei de viitură prin salba de lacuri de pe râu, până la Cernica.</w:t>
            </w:r>
          </w:p>
        </w:tc>
      </w:tr>
      <w:tr w:rsidR="003D3575" w:rsidRPr="00F171A3" w14:paraId="1F86C301" w14:textId="77777777" w:rsidTr="00C44C7A">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6727C28E" w14:textId="694B5DD3" w:rsidR="003D3575" w:rsidRPr="00F171A3" w:rsidRDefault="003D3575" w:rsidP="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Finanțarea unor proiecte ce pot contribui la creșterea rezilienței climatice a sectorului 2, în domeniul eficienței energetice și al creșterii suprafețelor de spații verzi.</w:t>
            </w:r>
          </w:p>
        </w:tc>
        <w:tc>
          <w:tcPr>
            <w:tcW w:w="2534" w:type="pct"/>
          </w:tcPr>
          <w:p w14:paraId="7B5FA696" w14:textId="5827F45C" w:rsidR="003D3575" w:rsidRPr="00F171A3" w:rsidRDefault="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Calitatea apelor de suprafață poate fi afectată de surse de poluare din amonte, pe salba de lacuri a Colentinei (zone rezidențiale neconectate la rețeaua de canalizare, depozite necontrolate de deșeuri, activități de combatere a dăunătorilor din parcuri).</w:t>
            </w:r>
          </w:p>
        </w:tc>
      </w:tr>
      <w:tr w:rsidR="003D3575" w:rsidRPr="00F171A3" w14:paraId="2BC77446" w14:textId="77777777" w:rsidTr="00C44C7A">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76EED18E" w14:textId="0B5B440B" w:rsidR="003D3575" w:rsidRPr="00F171A3" w:rsidRDefault="003D3575">
            <w:pPr>
              <w:pStyle w:val="ListParagraph"/>
              <w:numPr>
                <w:ilvl w:val="0"/>
                <w:numId w:val="17"/>
              </w:numPr>
              <w:spacing w:after="60"/>
              <w:rPr>
                <w:rFonts w:cstheme="minorHAnsi"/>
                <w:color w:val="134753" w:themeColor="text2"/>
                <w:szCs w:val="20"/>
              </w:rPr>
            </w:pPr>
            <w:r w:rsidRPr="00F171A3">
              <w:rPr>
                <w:rFonts w:cstheme="minorHAnsi"/>
                <w:color w:val="134753" w:themeColor="text2"/>
                <w:szCs w:val="20"/>
              </w:rPr>
              <w:t xml:space="preserve">Utilizarea concursului internațional de soluții </w:t>
            </w:r>
            <w:r w:rsidRPr="00F171A3">
              <w:rPr>
                <w:rFonts w:cstheme="minorHAnsi"/>
                <w:i/>
                <w:iCs/>
                <w:color w:val="134753" w:themeColor="text2"/>
                <w:szCs w:val="20"/>
              </w:rPr>
              <w:t>Amenajarea, reconfigurarea, sistematizarea zonelor (malurile) aferente salbei de lacuri situată pe raza teritorial administrativă a Sectorului 2 (TRONSON I-Zona Lacului Tei, TRONSON II-Zona Lacului Plumbuita, TRONSON III-Zona Valea Saulei, TRONSON IV-Zona Râul Colentina și Lacul Fundeni, TRONSON V-Zona Lacului Dobroiești și Pantelimon)</w:t>
            </w:r>
            <w:r w:rsidRPr="00F171A3">
              <w:rPr>
                <w:rFonts w:cstheme="minorHAnsi"/>
                <w:color w:val="134753" w:themeColor="text2"/>
                <w:szCs w:val="20"/>
              </w:rPr>
              <w:t xml:space="preserve"> pentru demararea acțiunilor necesare reabilitării zonei salbei de lacuri.</w:t>
            </w:r>
          </w:p>
        </w:tc>
        <w:tc>
          <w:tcPr>
            <w:tcW w:w="2534" w:type="pct"/>
          </w:tcPr>
          <w:p w14:paraId="42EA262D" w14:textId="77777777" w:rsidR="003D3575" w:rsidRPr="00F171A3" w:rsidRDefault="003D3575" w:rsidP="003D3575">
            <w:pPr>
              <w:spacing w:after="60"/>
              <w:ind w:left="360"/>
              <w:rPr>
                <w:rFonts w:cstheme="minorHAnsi"/>
                <w:color w:val="134753" w:themeColor="text2"/>
                <w:szCs w:val="20"/>
              </w:rPr>
            </w:pPr>
          </w:p>
        </w:tc>
      </w:tr>
    </w:tbl>
    <w:p w14:paraId="67DF95A7" w14:textId="77777777" w:rsidR="00E71332" w:rsidRPr="00F171A3" w:rsidRDefault="00E71332" w:rsidP="007F2663">
      <w:pPr>
        <w:pStyle w:val="Normal0"/>
      </w:pPr>
    </w:p>
    <w:tbl>
      <w:tblPr>
        <w:tblStyle w:val="Civittatable5"/>
        <w:tblW w:w="5067" w:type="pct"/>
        <w:tblInd w:w="-5" w:type="dxa"/>
        <w:tblLook w:val="0480" w:firstRow="0" w:lastRow="0" w:firstColumn="1" w:lastColumn="0" w:noHBand="0" w:noVBand="1"/>
      </w:tblPr>
      <w:tblGrid>
        <w:gridCol w:w="4506"/>
        <w:gridCol w:w="4631"/>
      </w:tblGrid>
      <w:tr w:rsidR="00EB6B10" w:rsidRPr="00F171A3" w14:paraId="6A3B0382"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shd w:val="clear" w:color="auto" w:fill="3CA1BC" w:themeFill="background2"/>
          </w:tcPr>
          <w:p w14:paraId="6EB9D55B" w14:textId="2EE3E5C9" w:rsidR="00EB6B10" w:rsidRPr="00F171A3" w:rsidRDefault="00EB6B10" w:rsidP="00520678">
            <w:pPr>
              <w:spacing w:after="0"/>
              <w:jc w:val="center"/>
              <w:rPr>
                <w:b/>
                <w:bCs/>
                <w:color w:val="FFFFFF" w:themeColor="background1"/>
              </w:rPr>
            </w:pPr>
            <w:r w:rsidRPr="00F171A3">
              <w:rPr>
                <w:b/>
                <w:bCs/>
                <w:color w:val="FFFFFF" w:themeColor="background1"/>
              </w:rPr>
              <w:t xml:space="preserve">MOBILITATE </w:t>
            </w:r>
            <w:r w:rsidR="000E6EBE" w:rsidRPr="00F171A3">
              <w:rPr>
                <w:b/>
                <w:bCs/>
                <w:color w:val="FFFFFF" w:themeColor="background1"/>
              </w:rPr>
              <w:t>ȘI CONECTIVITATE</w:t>
            </w:r>
          </w:p>
        </w:tc>
      </w:tr>
      <w:tr w:rsidR="00EB6B10" w:rsidRPr="00F171A3" w14:paraId="792CF0C5"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shd w:val="clear" w:color="auto" w:fill="134753" w:themeFill="text2"/>
          </w:tcPr>
          <w:p w14:paraId="75029161" w14:textId="77777777" w:rsidR="00EB6B10" w:rsidRPr="00F171A3" w:rsidRDefault="00EB6B10" w:rsidP="00520678">
            <w:pPr>
              <w:spacing w:after="0"/>
              <w:jc w:val="center"/>
              <w:rPr>
                <w:b/>
                <w:bCs/>
                <w:color w:val="FFFFFF" w:themeColor="background1"/>
              </w:rPr>
            </w:pPr>
            <w:r w:rsidRPr="00F171A3">
              <w:rPr>
                <w:b/>
                <w:bCs/>
                <w:color w:val="FFFFFF" w:themeColor="background1"/>
              </w:rPr>
              <w:t>PUNCTE TARI</w:t>
            </w:r>
          </w:p>
        </w:tc>
        <w:tc>
          <w:tcPr>
            <w:tcW w:w="2534" w:type="pct"/>
            <w:shd w:val="clear" w:color="auto" w:fill="134753" w:themeFill="text2"/>
          </w:tcPr>
          <w:p w14:paraId="7E901971" w14:textId="77777777" w:rsidR="00EB6B10" w:rsidRPr="00F171A3" w:rsidRDefault="00EB6B10" w:rsidP="00520678">
            <w:pPr>
              <w:spacing w:after="0"/>
              <w:jc w:val="center"/>
              <w:rPr>
                <w:b/>
                <w:bCs/>
                <w:color w:val="FFFFFF" w:themeColor="background1"/>
              </w:rPr>
            </w:pPr>
            <w:r w:rsidRPr="00F171A3">
              <w:rPr>
                <w:b/>
                <w:bCs/>
                <w:color w:val="FFFFFF" w:themeColor="background1"/>
              </w:rPr>
              <w:t>PUNCTE SLABE</w:t>
            </w:r>
          </w:p>
        </w:tc>
      </w:tr>
      <w:tr w:rsidR="00EB6B10" w:rsidRPr="00F171A3" w14:paraId="01BBEDEA"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4C1DA4FC" w14:textId="5A3B1223" w:rsidR="00EB6B10" w:rsidRPr="00F171A3" w:rsidRDefault="00EB6B10">
            <w:pPr>
              <w:numPr>
                <w:ilvl w:val="0"/>
                <w:numId w:val="16"/>
              </w:numPr>
              <w:spacing w:before="0" w:after="0"/>
              <w:rPr>
                <w:color w:val="134753"/>
              </w:rPr>
            </w:pPr>
            <w:r w:rsidRPr="00F171A3">
              <w:rPr>
                <w:color w:val="134753"/>
              </w:rPr>
              <w:t xml:space="preserve">Sectorul 2 are acces direct la autostrada A3 prin intermediul str. Fabrica de Glucoză și str. Petricani. </w:t>
            </w:r>
          </w:p>
        </w:tc>
        <w:tc>
          <w:tcPr>
            <w:tcW w:w="2534" w:type="pct"/>
          </w:tcPr>
          <w:p w14:paraId="284F3549" w14:textId="2733B4B0" w:rsidR="00EB6B10" w:rsidRPr="00F171A3" w:rsidRDefault="00EB6B10">
            <w:pPr>
              <w:numPr>
                <w:ilvl w:val="0"/>
                <w:numId w:val="16"/>
              </w:numPr>
              <w:spacing w:before="0" w:after="0"/>
              <w:rPr>
                <w:color w:val="134753"/>
              </w:rPr>
            </w:pPr>
            <w:r w:rsidRPr="00F171A3">
              <w:rPr>
                <w:color w:val="134753"/>
              </w:rPr>
              <w:t xml:space="preserve">Există străzi secundare și locale care dispun de o calitate precară (ex. str. Lizeanu, str. Maica Domnului, zona Tei-Toboc, zona Andronache, noile dezvoltări rezidențiale etc.). </w:t>
            </w:r>
          </w:p>
        </w:tc>
      </w:tr>
      <w:tr w:rsidR="00EB6B10" w:rsidRPr="00F171A3" w14:paraId="64664BB6"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05A793F7" w14:textId="77777777" w:rsidR="00EB6B10" w:rsidRPr="00F171A3" w:rsidRDefault="00EB6B10">
            <w:pPr>
              <w:numPr>
                <w:ilvl w:val="0"/>
                <w:numId w:val="16"/>
              </w:numPr>
              <w:spacing w:before="0" w:after="0"/>
              <w:rPr>
                <w:color w:val="134753"/>
              </w:rPr>
            </w:pPr>
            <w:r w:rsidRPr="00F171A3">
              <w:rPr>
                <w:color w:val="134753"/>
              </w:rPr>
              <w:t xml:space="preserve">Calitatea străzilor principale din sector este una bună. </w:t>
            </w:r>
          </w:p>
          <w:p w14:paraId="21A2ECEC" w14:textId="08E41DE9" w:rsidR="00EB6B10" w:rsidRPr="00F171A3" w:rsidRDefault="00EB6B10" w:rsidP="00EB6B10">
            <w:pPr>
              <w:spacing w:before="0" w:after="0"/>
              <w:ind w:left="720"/>
              <w:rPr>
                <w:color w:val="134753"/>
              </w:rPr>
            </w:pPr>
            <w:r w:rsidRPr="00F171A3">
              <w:rPr>
                <w:color w:val="134753"/>
              </w:rPr>
              <w:t xml:space="preserve">Se află în implementare Pasajul Doamna Ghica, care va conduce la fluidizarea traficului în una din cele mai aglomerate intersecții și va optimiza legătura Pantelimon – Colentina – A3. </w:t>
            </w:r>
          </w:p>
        </w:tc>
        <w:tc>
          <w:tcPr>
            <w:tcW w:w="2534" w:type="pct"/>
          </w:tcPr>
          <w:p w14:paraId="0267D516" w14:textId="325C2972" w:rsidR="00EB6B10" w:rsidRPr="00F171A3" w:rsidRDefault="00EB6B10">
            <w:pPr>
              <w:numPr>
                <w:ilvl w:val="0"/>
                <w:numId w:val="16"/>
              </w:numPr>
              <w:spacing w:before="0" w:after="0"/>
              <w:rPr>
                <w:color w:val="134753"/>
              </w:rPr>
            </w:pPr>
            <w:r w:rsidRPr="00F171A3">
              <w:rPr>
                <w:color w:val="134753"/>
              </w:rPr>
              <w:t xml:space="preserve">Principalele artere din sector (șos. Colentina, inelul central, șos. Pantelimon, bd. Lacul Tei etc.) sunt foarte congestionate la orele de vârf. </w:t>
            </w:r>
          </w:p>
        </w:tc>
      </w:tr>
      <w:tr w:rsidR="00EB6B10" w:rsidRPr="00F171A3" w14:paraId="5C528E13"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43737117" w14:textId="14AEBDED" w:rsidR="00EB6B10" w:rsidRPr="00F171A3" w:rsidRDefault="00EB6B10">
            <w:pPr>
              <w:numPr>
                <w:ilvl w:val="0"/>
                <w:numId w:val="16"/>
              </w:numPr>
              <w:spacing w:before="0" w:after="0"/>
              <w:rPr>
                <w:color w:val="134753"/>
              </w:rPr>
            </w:pPr>
            <w:r w:rsidRPr="00F171A3">
              <w:rPr>
                <w:color w:val="134753"/>
              </w:rPr>
              <w:t xml:space="preserve">Sectorul 2 dispune de Gara Obor, una din principalele gări de pe teritoriul municipiului București. </w:t>
            </w:r>
          </w:p>
        </w:tc>
        <w:tc>
          <w:tcPr>
            <w:tcW w:w="2534" w:type="pct"/>
          </w:tcPr>
          <w:p w14:paraId="3EC66662" w14:textId="0EB8F9D4" w:rsidR="00EB6B10" w:rsidRPr="00F171A3" w:rsidRDefault="00EB6B10">
            <w:pPr>
              <w:numPr>
                <w:ilvl w:val="0"/>
                <w:numId w:val="16"/>
              </w:numPr>
              <w:spacing w:before="0" w:after="0"/>
              <w:rPr>
                <w:color w:val="134753"/>
              </w:rPr>
            </w:pPr>
            <w:r w:rsidRPr="00F171A3">
              <w:rPr>
                <w:color w:val="134753"/>
              </w:rPr>
              <w:t xml:space="preserve">Linia de cale ferată și salba de lacuri reprezintă bariere majore în teritoriu, în lungul acestora (direcția Nord-est – sud-vest) existând probleme de conectivitate. </w:t>
            </w:r>
          </w:p>
        </w:tc>
      </w:tr>
      <w:tr w:rsidR="00EB6B10" w:rsidRPr="00F171A3" w14:paraId="1FE89857"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5F76A6C3" w14:textId="6954ED7D" w:rsidR="00EB6B10" w:rsidRPr="00F171A3" w:rsidRDefault="00EB6B10">
            <w:pPr>
              <w:numPr>
                <w:ilvl w:val="0"/>
                <w:numId w:val="16"/>
              </w:numPr>
              <w:spacing w:before="0" w:after="0"/>
              <w:rPr>
                <w:color w:val="134753"/>
              </w:rPr>
            </w:pPr>
            <w:r w:rsidRPr="00F171A3">
              <w:rPr>
                <w:color w:val="134753"/>
              </w:rPr>
              <w:t xml:space="preserve">Sectorul 2 se bucură de o bună deservire cu servicii de transport public local de suprafață. </w:t>
            </w:r>
          </w:p>
        </w:tc>
        <w:tc>
          <w:tcPr>
            <w:tcW w:w="2534" w:type="pct"/>
          </w:tcPr>
          <w:p w14:paraId="65E867F2" w14:textId="7A27CC71" w:rsidR="00EB6B10" w:rsidRPr="00F171A3" w:rsidRDefault="00EB6B10">
            <w:pPr>
              <w:numPr>
                <w:ilvl w:val="0"/>
                <w:numId w:val="16"/>
              </w:numPr>
              <w:spacing w:before="0" w:after="0"/>
              <w:rPr>
                <w:color w:val="134753"/>
              </w:rPr>
            </w:pPr>
            <w:r w:rsidRPr="00F171A3">
              <w:rPr>
                <w:color w:val="134753"/>
              </w:rPr>
              <w:t xml:space="preserve">Indicele de motorizare al Sectorului 2 este unul foarte ridicat, de 713,71 autoturisme / 1.000 de locuitori, punând presiune pe infrastructura existentă și accentuând problemele de poluare și congestie. </w:t>
            </w:r>
          </w:p>
        </w:tc>
      </w:tr>
      <w:tr w:rsidR="00EB6B10" w:rsidRPr="00F171A3" w14:paraId="11A2D98C"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39290AE3" w14:textId="63DB0ACD" w:rsidR="00EB6B10" w:rsidRPr="00F171A3" w:rsidRDefault="00EB6B10">
            <w:pPr>
              <w:numPr>
                <w:ilvl w:val="0"/>
                <w:numId w:val="16"/>
              </w:numPr>
              <w:spacing w:before="0" w:after="0"/>
              <w:rPr>
                <w:color w:val="134753"/>
              </w:rPr>
            </w:pPr>
            <w:r w:rsidRPr="00F171A3">
              <w:rPr>
                <w:color w:val="134753"/>
              </w:rPr>
              <w:t xml:space="preserve">Există bilete și abonamente integrate pentru transportul public de suprafață și cel subteran, iar modalitățile de plată sunt diversificate, putând fi inclusiv achitate digital (ex. SMS, aplicații). </w:t>
            </w:r>
          </w:p>
        </w:tc>
        <w:tc>
          <w:tcPr>
            <w:tcW w:w="2534" w:type="pct"/>
          </w:tcPr>
          <w:p w14:paraId="769372AA" w14:textId="653A4F22" w:rsidR="00EB6B10" w:rsidRPr="00F171A3" w:rsidRDefault="00EB6B10">
            <w:pPr>
              <w:numPr>
                <w:ilvl w:val="0"/>
                <w:numId w:val="16"/>
              </w:numPr>
              <w:spacing w:before="0" w:after="0"/>
              <w:rPr>
                <w:color w:val="134753"/>
              </w:rPr>
            </w:pPr>
            <w:r w:rsidRPr="00F171A3">
              <w:rPr>
                <w:color w:val="134753"/>
              </w:rPr>
              <w:t xml:space="preserve">Cererea pentru locurile de parcare de reședință este mult mai ridicată decât oferta, rezultând în multiple parcări neregulamentare. </w:t>
            </w:r>
          </w:p>
        </w:tc>
      </w:tr>
      <w:tr w:rsidR="00EB6B10" w:rsidRPr="00F171A3" w14:paraId="11C65339"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F809804" w14:textId="08FAC470" w:rsidR="00EB6B10" w:rsidRPr="00F171A3" w:rsidRDefault="00EB6B10">
            <w:pPr>
              <w:numPr>
                <w:ilvl w:val="0"/>
                <w:numId w:val="16"/>
              </w:numPr>
              <w:spacing w:before="0" w:after="0"/>
              <w:rPr>
                <w:color w:val="134753"/>
              </w:rPr>
            </w:pPr>
            <w:r w:rsidRPr="00F171A3">
              <w:rPr>
                <w:color w:val="134753"/>
              </w:rPr>
              <w:t xml:space="preserve">Există mai multe aplicații ce permit planificarea rutelor (ex. Google Maps, Moovit, Info Transport București). </w:t>
            </w:r>
          </w:p>
        </w:tc>
        <w:tc>
          <w:tcPr>
            <w:tcW w:w="2534" w:type="pct"/>
          </w:tcPr>
          <w:p w14:paraId="7354A838" w14:textId="174EC48C" w:rsidR="00EB6B10" w:rsidRPr="00F171A3" w:rsidRDefault="00EB6B10">
            <w:pPr>
              <w:numPr>
                <w:ilvl w:val="0"/>
                <w:numId w:val="16"/>
              </w:numPr>
              <w:spacing w:before="0" w:after="0"/>
              <w:rPr>
                <w:color w:val="134753"/>
              </w:rPr>
            </w:pPr>
            <w:r w:rsidRPr="00F171A3">
              <w:rPr>
                <w:color w:val="134753"/>
              </w:rPr>
              <w:t xml:space="preserve">La nivelul Sectorului 2 nu există locuri de parcare amenajate pentru vizitatori, reprezentând o problemă în special în zona locuințelor individuale. </w:t>
            </w:r>
          </w:p>
        </w:tc>
      </w:tr>
      <w:tr w:rsidR="00EB6B10" w:rsidRPr="00F171A3" w14:paraId="4E418FD2"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4EC33FB1" w14:textId="43D6E9C1" w:rsidR="00EB6B10" w:rsidRPr="00F171A3" w:rsidRDefault="00EB6B10">
            <w:pPr>
              <w:numPr>
                <w:ilvl w:val="0"/>
                <w:numId w:val="16"/>
              </w:numPr>
              <w:spacing w:before="0" w:after="0"/>
              <w:rPr>
                <w:color w:val="134753"/>
              </w:rPr>
            </w:pPr>
            <w:r w:rsidRPr="00F171A3">
              <w:rPr>
                <w:color w:val="134753"/>
              </w:rPr>
              <w:t xml:space="preserve">Pe teritoriul Sectorului 2 există 2 noduri intermodale – Gara Obor și stația de metrou Obor, precum și un al treilea nod intermodal în curs de dezvoltare (Cora Pantelimon). </w:t>
            </w:r>
          </w:p>
        </w:tc>
        <w:tc>
          <w:tcPr>
            <w:tcW w:w="2534" w:type="pct"/>
          </w:tcPr>
          <w:p w14:paraId="336F41F1" w14:textId="26D2621D" w:rsidR="00EB6B10" w:rsidRPr="00F171A3" w:rsidRDefault="00EB6B10">
            <w:pPr>
              <w:numPr>
                <w:ilvl w:val="0"/>
                <w:numId w:val="16"/>
              </w:numPr>
              <w:spacing w:before="0" w:after="0"/>
              <w:rPr>
                <w:color w:val="134753"/>
              </w:rPr>
            </w:pPr>
            <w:r w:rsidRPr="00F171A3">
              <w:rPr>
                <w:color w:val="134753"/>
              </w:rPr>
              <w:t xml:space="preserve">Nu există parcări de transfer funcționale pe teritoriul Sectorului 2 (este amenajată cea din zona Cora Pantelimon, dar nu este încă dată în funcțiune). </w:t>
            </w:r>
          </w:p>
        </w:tc>
      </w:tr>
      <w:tr w:rsidR="00EB6B10" w:rsidRPr="00F171A3" w14:paraId="4EA0252F"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443739E4" w14:textId="700AB392" w:rsidR="00EB6B10" w:rsidRPr="00F171A3" w:rsidRDefault="00EB6B10">
            <w:pPr>
              <w:numPr>
                <w:ilvl w:val="0"/>
                <w:numId w:val="16"/>
              </w:numPr>
              <w:spacing w:before="0" w:after="0"/>
              <w:rPr>
                <w:color w:val="134753"/>
              </w:rPr>
            </w:pPr>
            <w:r w:rsidRPr="00F171A3">
              <w:rPr>
                <w:color w:val="134753"/>
              </w:rPr>
              <w:t xml:space="preserve">Sectorul 2 beneficiază de multiple bulevarde și șosele cu trotuare generoase, ce permit deplasarea în siguranță a pietonilor. </w:t>
            </w:r>
          </w:p>
        </w:tc>
        <w:tc>
          <w:tcPr>
            <w:tcW w:w="2534" w:type="pct"/>
          </w:tcPr>
          <w:p w14:paraId="15B4A810" w14:textId="6597DB5A" w:rsidR="00EB6B10" w:rsidRPr="00F171A3" w:rsidRDefault="00EB6B10">
            <w:pPr>
              <w:numPr>
                <w:ilvl w:val="0"/>
                <w:numId w:val="16"/>
              </w:numPr>
              <w:spacing w:before="0" w:after="0"/>
              <w:rPr>
                <w:color w:val="134753"/>
              </w:rPr>
            </w:pPr>
            <w:r w:rsidRPr="00F171A3">
              <w:rPr>
                <w:color w:val="134753"/>
              </w:rPr>
              <w:t xml:space="preserve">La nivelul anului 2018 s-a înregistrat un număr ridicat de accidente rutiere (3.343), dintre care 50% au implicat categorii vulnerabile în trafic (pietoni și bicicliști). </w:t>
            </w:r>
          </w:p>
        </w:tc>
      </w:tr>
      <w:tr w:rsidR="00EB6B10" w:rsidRPr="00F171A3" w14:paraId="0CCDFCAB"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70BF5ED4" w14:textId="0DC6FA85" w:rsidR="00EB6B10" w:rsidRPr="00F171A3" w:rsidRDefault="00EB6B10">
            <w:pPr>
              <w:numPr>
                <w:ilvl w:val="0"/>
                <w:numId w:val="16"/>
              </w:numPr>
              <w:spacing w:before="0" w:after="0"/>
              <w:rPr>
                <w:color w:val="134753"/>
              </w:rPr>
            </w:pPr>
            <w:r w:rsidRPr="00F171A3">
              <w:rPr>
                <w:color w:val="134753"/>
              </w:rPr>
              <w:t>Există mai multe evenimente și inițiative care conduc la pietonalizarea temporară a unor străzi din sector (ex. Street Delivery, Femei pe Mătăsari, Străzi Deschise).</w:t>
            </w:r>
          </w:p>
        </w:tc>
        <w:tc>
          <w:tcPr>
            <w:tcW w:w="2534" w:type="pct"/>
          </w:tcPr>
          <w:p w14:paraId="78A5D449" w14:textId="2585663B" w:rsidR="00EB6B10" w:rsidRPr="00F171A3" w:rsidRDefault="00EB6B10">
            <w:pPr>
              <w:numPr>
                <w:ilvl w:val="0"/>
                <w:numId w:val="16"/>
              </w:numPr>
              <w:spacing w:before="0" w:after="0"/>
              <w:rPr>
                <w:color w:val="134753"/>
              </w:rPr>
            </w:pPr>
            <w:r w:rsidRPr="00F171A3">
              <w:rPr>
                <w:color w:val="134753"/>
              </w:rPr>
              <w:t>Stațiile de transport public local de suprafață nu dispun de informații relevante pentru utilizatori (ex. date actualizate în timp real, hartă, orar etc.).</w:t>
            </w:r>
          </w:p>
        </w:tc>
      </w:tr>
      <w:tr w:rsidR="00EB6B10" w:rsidRPr="00F171A3" w14:paraId="4775EBBA"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29BE2A99" w14:textId="09AFBBD4" w:rsidR="00EB6B10" w:rsidRPr="00F171A3" w:rsidRDefault="00EB6B10">
            <w:pPr>
              <w:numPr>
                <w:ilvl w:val="0"/>
                <w:numId w:val="16"/>
              </w:numPr>
              <w:spacing w:before="0" w:after="0"/>
              <w:rPr>
                <w:color w:val="134753"/>
              </w:rPr>
            </w:pPr>
            <w:r w:rsidRPr="00F171A3">
              <w:rPr>
                <w:color w:val="134753"/>
              </w:rPr>
              <w:t xml:space="preserve">Din cele 8 străzi cu piste de biciclete corespunzător amenajate în municipiul București, una se află pe teritoriul Sectorului 2 – str. Fabrica de Glucoză. </w:t>
            </w:r>
          </w:p>
        </w:tc>
        <w:tc>
          <w:tcPr>
            <w:tcW w:w="2534" w:type="pct"/>
          </w:tcPr>
          <w:p w14:paraId="7F75060C" w14:textId="35C5780D" w:rsidR="00EB6B10" w:rsidRPr="00F171A3" w:rsidRDefault="00EB6B10">
            <w:pPr>
              <w:numPr>
                <w:ilvl w:val="0"/>
                <w:numId w:val="16"/>
              </w:numPr>
              <w:spacing w:before="0" w:after="0"/>
              <w:rPr>
                <w:color w:val="134753"/>
              </w:rPr>
            </w:pPr>
            <w:r w:rsidRPr="00F171A3">
              <w:rPr>
                <w:color w:val="134753"/>
              </w:rPr>
              <w:t xml:space="preserve">Există cartiere din Sectorul 2 ce nu sunt deservite de transportul public subteran (ex. Tei, Doamna Ghica, Floreasca, Pantelimon, Andronache). </w:t>
            </w:r>
          </w:p>
        </w:tc>
      </w:tr>
      <w:tr w:rsidR="00EB6B10" w:rsidRPr="00F171A3" w14:paraId="0D2C0229"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1E111AB" w14:textId="739B61DD" w:rsidR="00EB6B10" w:rsidRPr="00F171A3" w:rsidRDefault="00EB6B10">
            <w:pPr>
              <w:numPr>
                <w:ilvl w:val="0"/>
                <w:numId w:val="16"/>
              </w:numPr>
              <w:spacing w:before="0" w:after="0"/>
              <w:rPr>
                <w:color w:val="134753"/>
              </w:rPr>
            </w:pPr>
            <w:r w:rsidRPr="00F171A3">
              <w:rPr>
                <w:color w:val="134753"/>
              </w:rPr>
              <w:t xml:space="preserve">Sistemul de bike-sharing al capitalei este prezent (parțial) și pe teritoriul Sectorului 2. </w:t>
            </w:r>
          </w:p>
        </w:tc>
        <w:tc>
          <w:tcPr>
            <w:tcW w:w="2534" w:type="pct"/>
          </w:tcPr>
          <w:p w14:paraId="026F9176" w14:textId="2B063EA4" w:rsidR="00EB6B10" w:rsidRPr="00F171A3" w:rsidRDefault="00EB6B10">
            <w:pPr>
              <w:numPr>
                <w:ilvl w:val="0"/>
                <w:numId w:val="16"/>
              </w:numPr>
              <w:spacing w:before="0" w:after="0"/>
              <w:rPr>
                <w:color w:val="134753"/>
              </w:rPr>
            </w:pPr>
            <w:r w:rsidRPr="00F171A3">
              <w:rPr>
                <w:color w:val="134753"/>
              </w:rPr>
              <w:t>Legăturile de transport public local către zonele de interes din sector și municipiu (ex. zona centrală, zone de birouri) nu sunt optimizate.</w:t>
            </w:r>
          </w:p>
        </w:tc>
      </w:tr>
      <w:tr w:rsidR="00EB6B10" w:rsidRPr="00F171A3" w14:paraId="74DB837C"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4F95E2C2" w14:textId="77777777" w:rsidR="00EB6B10" w:rsidRPr="00F171A3" w:rsidRDefault="00EB6B10" w:rsidP="00EB6B10">
            <w:pPr>
              <w:spacing w:before="0" w:after="0"/>
              <w:ind w:left="720"/>
              <w:rPr>
                <w:color w:val="134753"/>
              </w:rPr>
            </w:pPr>
          </w:p>
        </w:tc>
        <w:tc>
          <w:tcPr>
            <w:tcW w:w="2534" w:type="pct"/>
          </w:tcPr>
          <w:p w14:paraId="44290617" w14:textId="6D522EB4" w:rsidR="00EB6B10" w:rsidRPr="00F171A3" w:rsidRDefault="00EB6B10">
            <w:pPr>
              <w:numPr>
                <w:ilvl w:val="0"/>
                <w:numId w:val="16"/>
              </w:numPr>
              <w:spacing w:before="0" w:after="0"/>
              <w:rPr>
                <w:color w:val="134753"/>
              </w:rPr>
            </w:pPr>
            <w:r w:rsidRPr="00F171A3">
              <w:rPr>
                <w:color w:val="134753"/>
              </w:rPr>
              <w:t xml:space="preserve">Zonele industriale și zona liniei de cale ferată prezintă probleme de conectivitate pentru pietoni (distanțe de până la 1.000 de metri fără posibilitate de traversare). </w:t>
            </w:r>
          </w:p>
        </w:tc>
      </w:tr>
      <w:tr w:rsidR="00EB6B10" w:rsidRPr="00F171A3" w14:paraId="63FF339B"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01A1ED82" w14:textId="77777777" w:rsidR="00EB6B10" w:rsidRPr="00F171A3" w:rsidRDefault="00EB6B10" w:rsidP="00EB6B10">
            <w:pPr>
              <w:spacing w:before="0" w:after="0"/>
              <w:ind w:left="720"/>
              <w:rPr>
                <w:color w:val="134753"/>
              </w:rPr>
            </w:pPr>
          </w:p>
        </w:tc>
        <w:tc>
          <w:tcPr>
            <w:tcW w:w="2534" w:type="pct"/>
          </w:tcPr>
          <w:p w14:paraId="3C214920" w14:textId="04D6AF4C" w:rsidR="00EB6B10" w:rsidRPr="00F171A3" w:rsidRDefault="00EB6B10">
            <w:pPr>
              <w:numPr>
                <w:ilvl w:val="0"/>
                <w:numId w:val="16"/>
              </w:numPr>
              <w:spacing w:before="0" w:after="0"/>
              <w:rPr>
                <w:color w:val="134753"/>
              </w:rPr>
            </w:pPr>
            <w:r w:rsidRPr="00F171A3">
              <w:rPr>
                <w:color w:val="134753"/>
              </w:rPr>
              <w:t xml:space="preserve">Există mai multe zone cu trotuare subdimensionate (ex. Tei-Toboc, Baicului, Andronache etc.). </w:t>
            </w:r>
          </w:p>
        </w:tc>
      </w:tr>
      <w:tr w:rsidR="00EB6B10" w:rsidRPr="00F171A3" w14:paraId="5E844337"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31DE89EF" w14:textId="77777777" w:rsidR="00EB6B10" w:rsidRPr="00F171A3" w:rsidRDefault="00EB6B10" w:rsidP="00EB6B10">
            <w:pPr>
              <w:spacing w:before="0" w:after="0"/>
              <w:ind w:left="720"/>
              <w:rPr>
                <w:color w:val="134753"/>
              </w:rPr>
            </w:pPr>
          </w:p>
        </w:tc>
        <w:tc>
          <w:tcPr>
            <w:tcW w:w="2534" w:type="pct"/>
          </w:tcPr>
          <w:p w14:paraId="415E6CE4" w14:textId="3B0FAC7C" w:rsidR="00EB6B10" w:rsidRPr="00F171A3" w:rsidRDefault="00EB6B10">
            <w:pPr>
              <w:numPr>
                <w:ilvl w:val="0"/>
                <w:numId w:val="16"/>
              </w:numPr>
              <w:spacing w:before="0" w:after="0"/>
              <w:rPr>
                <w:color w:val="134753"/>
              </w:rPr>
            </w:pPr>
            <w:r w:rsidRPr="00F171A3">
              <w:rPr>
                <w:color w:val="134753"/>
              </w:rPr>
              <w:t xml:space="preserve">Sectorul 2 nu dispune de o rețea de piste de biciclete care să asigure legăturile între principalele zone de interes. </w:t>
            </w:r>
          </w:p>
        </w:tc>
      </w:tr>
      <w:tr w:rsidR="00EB6B10" w:rsidRPr="00F171A3" w14:paraId="2BFA4F77"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shd w:val="clear" w:color="auto" w:fill="134753" w:themeFill="text2"/>
          </w:tcPr>
          <w:p w14:paraId="66214BE3" w14:textId="77777777" w:rsidR="00EB6B10" w:rsidRPr="00F171A3" w:rsidRDefault="00EB6B10" w:rsidP="00520678">
            <w:pPr>
              <w:spacing w:after="0"/>
              <w:jc w:val="center"/>
              <w:rPr>
                <w:b/>
                <w:bCs/>
              </w:rPr>
            </w:pPr>
            <w:r w:rsidRPr="00F171A3">
              <w:rPr>
                <w:b/>
                <w:bCs/>
              </w:rPr>
              <w:t>OPORTUNITĂȚI</w:t>
            </w:r>
          </w:p>
        </w:tc>
        <w:tc>
          <w:tcPr>
            <w:tcW w:w="2534" w:type="pct"/>
            <w:shd w:val="clear" w:color="auto" w:fill="134753" w:themeFill="text2"/>
          </w:tcPr>
          <w:p w14:paraId="26692D44" w14:textId="77777777" w:rsidR="00EB6B10" w:rsidRPr="00F171A3" w:rsidRDefault="00EB6B10" w:rsidP="00520678">
            <w:pPr>
              <w:spacing w:after="0"/>
              <w:jc w:val="center"/>
              <w:rPr>
                <w:b/>
                <w:bCs/>
              </w:rPr>
            </w:pPr>
            <w:r w:rsidRPr="00F171A3">
              <w:rPr>
                <w:b/>
                <w:bCs/>
              </w:rPr>
              <w:t>AMENINȚĂRI</w:t>
            </w:r>
          </w:p>
        </w:tc>
      </w:tr>
      <w:tr w:rsidR="00733750" w:rsidRPr="00F171A3" w14:paraId="6B82CEF9"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3CC73FD4" w14:textId="24E5E606" w:rsidR="00733750" w:rsidRPr="00F171A3" w:rsidRDefault="00733750">
            <w:pPr>
              <w:numPr>
                <w:ilvl w:val="0"/>
                <w:numId w:val="16"/>
              </w:numPr>
              <w:spacing w:before="0" w:after="0"/>
              <w:rPr>
                <w:color w:val="134753"/>
              </w:rPr>
            </w:pPr>
            <w:r w:rsidRPr="00F171A3">
              <w:rPr>
                <w:color w:val="134753"/>
              </w:rPr>
              <w:t xml:space="preserve">Sectorul 2 este conectat la rețeaua europeană de transport TEN-T prin intermediul coridorului Rin-Dunăre, unul dintre cele două coridoare care deservesc teritoriul național. </w:t>
            </w:r>
          </w:p>
        </w:tc>
        <w:tc>
          <w:tcPr>
            <w:tcW w:w="2534" w:type="pct"/>
          </w:tcPr>
          <w:p w14:paraId="42E87950" w14:textId="22B63B83" w:rsidR="00733750" w:rsidRPr="00F171A3" w:rsidRDefault="00733750">
            <w:pPr>
              <w:numPr>
                <w:ilvl w:val="0"/>
                <w:numId w:val="16"/>
              </w:numPr>
              <w:spacing w:before="0" w:after="0"/>
              <w:rPr>
                <w:color w:val="134753"/>
              </w:rPr>
            </w:pPr>
            <w:r w:rsidRPr="00F171A3">
              <w:rPr>
                <w:color w:val="134753"/>
              </w:rPr>
              <w:t xml:space="preserve">Dezvoltarea accelerată a localităților din zona suburbană a municipiului pun presiune pe infrastructura de transport a acestuia, inclusiv pe cea a Sectorului 2. </w:t>
            </w:r>
          </w:p>
        </w:tc>
      </w:tr>
      <w:tr w:rsidR="00733750" w:rsidRPr="00F171A3" w14:paraId="09A8674D"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144B094A" w14:textId="4415E76F" w:rsidR="00733750" w:rsidRPr="00F171A3" w:rsidRDefault="00733750">
            <w:pPr>
              <w:numPr>
                <w:ilvl w:val="0"/>
                <w:numId w:val="16"/>
              </w:numPr>
              <w:spacing w:before="0" w:after="0"/>
              <w:rPr>
                <w:color w:val="134753"/>
              </w:rPr>
            </w:pPr>
            <w:r w:rsidRPr="00F171A3">
              <w:rPr>
                <w:color w:val="134753"/>
              </w:rPr>
              <w:t xml:space="preserve">Sectorul 2 se află în vecinătatea Aeroportului Internațional Henri Coandă, cel mai mare aeroport la nivel național. </w:t>
            </w:r>
          </w:p>
        </w:tc>
        <w:tc>
          <w:tcPr>
            <w:tcW w:w="2534" w:type="pct"/>
          </w:tcPr>
          <w:p w14:paraId="1DB025D7" w14:textId="175C54CF" w:rsidR="00733750" w:rsidRPr="00F171A3" w:rsidRDefault="00733750">
            <w:pPr>
              <w:numPr>
                <w:ilvl w:val="0"/>
                <w:numId w:val="16"/>
              </w:numPr>
              <w:spacing w:before="0" w:after="0"/>
              <w:rPr>
                <w:color w:val="134753"/>
              </w:rPr>
            </w:pPr>
            <w:r w:rsidRPr="00F171A3">
              <w:rPr>
                <w:color w:val="134753"/>
              </w:rPr>
              <w:t xml:space="preserve">Creșterea accentuată a indicelui de motorizare la nivelul municipiului pune presiune suplimentară pe infrastructura existentă, inclusiv pe cea dedicată parcării. </w:t>
            </w:r>
          </w:p>
        </w:tc>
      </w:tr>
      <w:tr w:rsidR="00733750" w:rsidRPr="00F171A3" w14:paraId="313B3F82" w14:textId="77777777" w:rsidTr="00520678">
        <w:trPr>
          <w:cnfStyle w:val="000000010000" w:firstRow="0" w:lastRow="0" w:firstColumn="0" w:lastColumn="0" w:oddVBand="0" w:evenVBand="0" w:oddHBand="0" w:evenHBand="1" w:firstRowFirstColumn="0" w:firstRowLastColumn="0" w:lastRowFirstColumn="0" w:lastRowLastColumn="0"/>
          <w:trHeight w:val="20"/>
        </w:trPr>
        <w:tc>
          <w:tcPr>
            <w:tcW w:w="2466" w:type="pct"/>
          </w:tcPr>
          <w:p w14:paraId="1C8F9F4F" w14:textId="4C2E479D" w:rsidR="00733750" w:rsidRPr="00F171A3" w:rsidRDefault="00733750">
            <w:pPr>
              <w:numPr>
                <w:ilvl w:val="0"/>
                <w:numId w:val="16"/>
              </w:numPr>
              <w:spacing w:before="0" w:after="0"/>
              <w:rPr>
                <w:color w:val="134753"/>
              </w:rPr>
            </w:pPr>
            <w:r w:rsidRPr="00F171A3">
              <w:rPr>
                <w:color w:val="134753"/>
              </w:rPr>
              <w:t xml:space="preserve">Existența fondurilor europene pentru proiecte de mobilitate și transport (POR, POT, PNRR etc.). </w:t>
            </w:r>
          </w:p>
        </w:tc>
        <w:tc>
          <w:tcPr>
            <w:tcW w:w="2534" w:type="pct"/>
          </w:tcPr>
          <w:p w14:paraId="4CDF653A" w14:textId="267E37A4" w:rsidR="00733750" w:rsidRPr="00F171A3" w:rsidRDefault="00733750">
            <w:pPr>
              <w:numPr>
                <w:ilvl w:val="0"/>
                <w:numId w:val="16"/>
              </w:numPr>
              <w:spacing w:before="0" w:after="0"/>
              <w:rPr>
                <w:color w:val="134753"/>
              </w:rPr>
            </w:pPr>
            <w:r w:rsidRPr="00F171A3">
              <w:rPr>
                <w:color w:val="134753"/>
              </w:rPr>
              <w:t>Dezvoltarea necontrolată a zonelor rezidențiale, în special a celor de blocuri, din ultimii ani, în cadrul cărora nu se asigură întotdeauna infrastructura de transport necesară, rezultând în străzi neasfaltate, lipsa trotuarelor, conectivitate redusă cu transportul public local etc.</w:t>
            </w:r>
          </w:p>
        </w:tc>
      </w:tr>
      <w:tr w:rsidR="00733750" w:rsidRPr="00F171A3" w14:paraId="34718CE0" w14:textId="77777777" w:rsidTr="00520678">
        <w:trPr>
          <w:cnfStyle w:val="000000100000" w:firstRow="0" w:lastRow="0" w:firstColumn="0" w:lastColumn="0" w:oddVBand="0" w:evenVBand="0" w:oddHBand="1" w:evenHBand="0" w:firstRowFirstColumn="0" w:firstRowLastColumn="0" w:lastRowFirstColumn="0" w:lastRowLastColumn="0"/>
          <w:trHeight w:val="20"/>
        </w:trPr>
        <w:tc>
          <w:tcPr>
            <w:tcW w:w="2466" w:type="pct"/>
          </w:tcPr>
          <w:p w14:paraId="53B0B533" w14:textId="53294DBE" w:rsidR="00733750" w:rsidRPr="00F171A3" w:rsidRDefault="00733750">
            <w:pPr>
              <w:numPr>
                <w:ilvl w:val="0"/>
                <w:numId w:val="16"/>
              </w:numPr>
              <w:spacing w:before="0" w:after="0"/>
              <w:rPr>
                <w:color w:val="134753"/>
              </w:rPr>
            </w:pPr>
            <w:r w:rsidRPr="00F171A3">
              <w:rPr>
                <w:color w:val="134753"/>
              </w:rPr>
              <w:t xml:space="preserve">Existența anumitor studii și proiecte planificate pentru dezvoltarea infrastructurii la nivelul municipiului București (ex. tren metropolitan, centura București etc.). </w:t>
            </w:r>
          </w:p>
        </w:tc>
        <w:tc>
          <w:tcPr>
            <w:tcW w:w="2534" w:type="pct"/>
          </w:tcPr>
          <w:p w14:paraId="3D244B82" w14:textId="77777777" w:rsidR="00733750" w:rsidRPr="00F171A3" w:rsidRDefault="00733750" w:rsidP="00733750">
            <w:pPr>
              <w:spacing w:before="0" w:after="0"/>
              <w:ind w:left="720"/>
              <w:rPr>
                <w:color w:val="134753"/>
              </w:rPr>
            </w:pPr>
          </w:p>
        </w:tc>
      </w:tr>
    </w:tbl>
    <w:p w14:paraId="31CBB3B4" w14:textId="77777777" w:rsidR="00EB6B10" w:rsidRPr="00F171A3" w:rsidRDefault="00EB6B10" w:rsidP="007F2663">
      <w:pPr>
        <w:pStyle w:val="Normal0"/>
      </w:pPr>
    </w:p>
    <w:tbl>
      <w:tblPr>
        <w:tblW w:w="9562"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4716"/>
        <w:gridCol w:w="4846"/>
      </w:tblGrid>
      <w:tr w:rsidR="00FD2556" w:rsidRPr="00F171A3" w14:paraId="66F4F256" w14:textId="77777777" w:rsidTr="00244806">
        <w:trPr>
          <w:trHeight w:val="20"/>
        </w:trPr>
        <w:tc>
          <w:tcPr>
            <w:tcW w:w="9562" w:type="dxa"/>
            <w:gridSpan w:val="2"/>
            <w:shd w:val="clear" w:color="auto" w:fill="3CA1BC"/>
          </w:tcPr>
          <w:p w14:paraId="3954029C" w14:textId="77777777" w:rsidR="00FD2556" w:rsidRPr="00F171A3" w:rsidRDefault="00FD2556" w:rsidP="00244806">
            <w:pPr>
              <w:spacing w:after="0"/>
              <w:jc w:val="center"/>
              <w:rPr>
                <w:b/>
                <w:bCs/>
                <w:color w:val="FFFFFF"/>
                <w:sz w:val="20"/>
                <w:szCs w:val="20"/>
              </w:rPr>
            </w:pPr>
            <w:r w:rsidRPr="00F171A3">
              <w:rPr>
                <w:b/>
                <w:bCs/>
                <w:color w:val="FFFFFF"/>
                <w:sz w:val="20"/>
                <w:szCs w:val="20"/>
              </w:rPr>
              <w:t>CAPACITATE ADMINISTRATIVĂ</w:t>
            </w:r>
          </w:p>
        </w:tc>
      </w:tr>
      <w:tr w:rsidR="00FD2556" w:rsidRPr="00F171A3" w14:paraId="04504448" w14:textId="77777777" w:rsidTr="00244806">
        <w:trPr>
          <w:trHeight w:val="20"/>
        </w:trPr>
        <w:tc>
          <w:tcPr>
            <w:tcW w:w="4716" w:type="dxa"/>
            <w:shd w:val="clear" w:color="auto" w:fill="134753"/>
          </w:tcPr>
          <w:p w14:paraId="5E01BB03" w14:textId="77777777" w:rsidR="00FD2556" w:rsidRPr="00F171A3" w:rsidRDefault="00FD2556" w:rsidP="00244806">
            <w:pPr>
              <w:spacing w:after="0"/>
              <w:jc w:val="center"/>
              <w:rPr>
                <w:b/>
                <w:bCs/>
                <w:color w:val="FFFFFF"/>
                <w:sz w:val="20"/>
                <w:szCs w:val="20"/>
              </w:rPr>
            </w:pPr>
            <w:r w:rsidRPr="00F171A3">
              <w:rPr>
                <w:b/>
                <w:bCs/>
                <w:color w:val="FFFFFF"/>
                <w:sz w:val="20"/>
                <w:szCs w:val="20"/>
              </w:rPr>
              <w:t>PUNCTE TARI</w:t>
            </w:r>
          </w:p>
        </w:tc>
        <w:tc>
          <w:tcPr>
            <w:tcW w:w="4846" w:type="dxa"/>
            <w:shd w:val="clear" w:color="auto" w:fill="134753"/>
          </w:tcPr>
          <w:p w14:paraId="03703FE7" w14:textId="77777777" w:rsidR="00FD2556" w:rsidRPr="00F171A3" w:rsidRDefault="00FD2556" w:rsidP="00244806">
            <w:pPr>
              <w:spacing w:after="0"/>
              <w:jc w:val="center"/>
              <w:rPr>
                <w:b/>
                <w:bCs/>
                <w:color w:val="FFFFFF"/>
                <w:sz w:val="20"/>
                <w:szCs w:val="20"/>
              </w:rPr>
            </w:pPr>
            <w:r w:rsidRPr="00F171A3">
              <w:rPr>
                <w:b/>
                <w:bCs/>
                <w:color w:val="FFFFFF"/>
                <w:sz w:val="20"/>
                <w:szCs w:val="20"/>
              </w:rPr>
              <w:t>PUNCTE SLABE</w:t>
            </w:r>
          </w:p>
        </w:tc>
      </w:tr>
      <w:tr w:rsidR="00FD2556" w:rsidRPr="00F171A3" w14:paraId="21195D31" w14:textId="77777777" w:rsidTr="00FD2556">
        <w:trPr>
          <w:trHeight w:val="20"/>
        </w:trPr>
        <w:tc>
          <w:tcPr>
            <w:tcW w:w="4716" w:type="dxa"/>
            <w:shd w:val="clear" w:color="auto" w:fill="F2F2F2" w:themeFill="background1" w:themeFillShade="F2"/>
          </w:tcPr>
          <w:p w14:paraId="3B1E948F" w14:textId="77777777" w:rsidR="00FD2556" w:rsidRPr="00F171A3" w:rsidRDefault="00FD2556">
            <w:pPr>
              <w:numPr>
                <w:ilvl w:val="0"/>
                <w:numId w:val="16"/>
              </w:numPr>
              <w:spacing w:after="0"/>
              <w:rPr>
                <w:color w:val="134753"/>
                <w:sz w:val="20"/>
                <w:szCs w:val="20"/>
              </w:rPr>
            </w:pPr>
            <w:r w:rsidRPr="00F171A3">
              <w:rPr>
                <w:color w:val="134753"/>
                <w:sz w:val="20"/>
                <w:szCs w:val="20"/>
              </w:rPr>
              <w:t xml:space="preserve">Procesul de reorganizare administrativă, ce presupune o nouă organigramă și un nou regulament de organizare și funcționare răspunde unei nevoi la nivel intern: îmbunătățirea capacității de coordonare a activităților și proiectelor, evitarea suprapunerii de responsabilități și eficientizarea proceselor interne de lucru. </w:t>
            </w:r>
          </w:p>
          <w:p w14:paraId="1F361262" w14:textId="77777777" w:rsidR="00FD2556" w:rsidRPr="00F171A3" w:rsidRDefault="00FD2556" w:rsidP="00244806">
            <w:pPr>
              <w:spacing w:after="0"/>
              <w:ind w:left="720"/>
              <w:rPr>
                <w:color w:val="134753"/>
                <w:sz w:val="20"/>
                <w:szCs w:val="20"/>
              </w:rPr>
            </w:pPr>
            <w:r w:rsidRPr="00F171A3">
              <w:rPr>
                <w:color w:val="134753"/>
                <w:sz w:val="20"/>
                <w:szCs w:val="20"/>
              </w:rPr>
              <w:t xml:space="preserve">Mai mult, reorganizarea prevede noi direcții ce răspund transformărilor în desfășurare și cu impact asupra activității instituției (ex. Direcția Digitalizare) sau nevoii unui proces optim de coordonare pe programele de dezvoltare, inclusiv fonduri europene (prin crearea Direcției Generale de Programe de Dezvoltare Urbană și Fonduri Europene). </w:t>
            </w:r>
            <w:r w:rsidRPr="00F171A3">
              <w:rPr>
                <w:color w:val="134753"/>
                <w:sz w:val="20"/>
                <w:szCs w:val="20"/>
              </w:rPr>
              <w:br/>
            </w:r>
          </w:p>
          <w:p w14:paraId="786C0AAC" w14:textId="77777777" w:rsidR="00FD2556" w:rsidRPr="00F171A3" w:rsidRDefault="00FD2556" w:rsidP="00244806">
            <w:pPr>
              <w:spacing w:after="0"/>
              <w:ind w:left="720"/>
              <w:rPr>
                <w:color w:val="134753"/>
                <w:sz w:val="20"/>
                <w:szCs w:val="20"/>
              </w:rPr>
            </w:pPr>
            <w:r w:rsidRPr="00F171A3">
              <w:rPr>
                <w:color w:val="134753"/>
                <w:sz w:val="20"/>
                <w:szCs w:val="20"/>
              </w:rPr>
              <w:t>Procesul de reorganizare s-a desfășurat în urma concluziilor unui audit, a presupus un mod de lucru colaborativ cu personalul instituției, inclusiv sindicatul, și s-a stabilit un mecanism de feedback asupra propunerilor de modificare.</w:t>
            </w:r>
          </w:p>
          <w:p w14:paraId="63E256DA" w14:textId="77777777" w:rsidR="00FD2556" w:rsidRPr="00F171A3" w:rsidRDefault="00FD2556" w:rsidP="00244806">
            <w:pPr>
              <w:spacing w:after="0"/>
              <w:ind w:left="720"/>
              <w:rPr>
                <w:color w:val="134753"/>
                <w:sz w:val="20"/>
                <w:szCs w:val="20"/>
              </w:rPr>
            </w:pPr>
          </w:p>
          <w:p w14:paraId="7D2AD876" w14:textId="0F33DCCC" w:rsidR="00FD2556" w:rsidRPr="00F171A3" w:rsidRDefault="00FD2556" w:rsidP="00244806">
            <w:pPr>
              <w:spacing w:after="0"/>
              <w:ind w:left="720"/>
              <w:rPr>
                <w:color w:val="134753"/>
                <w:sz w:val="20"/>
                <w:szCs w:val="20"/>
              </w:rPr>
            </w:pPr>
            <w:r w:rsidRPr="00F171A3">
              <w:rPr>
                <w:color w:val="134753"/>
                <w:sz w:val="20"/>
                <w:szCs w:val="20"/>
              </w:rPr>
              <w:t>Primăria Sector</w:t>
            </w:r>
            <w:r w:rsidR="00135D70" w:rsidRPr="00F171A3">
              <w:rPr>
                <w:color w:val="134753"/>
                <w:sz w:val="20"/>
                <w:szCs w:val="20"/>
              </w:rPr>
              <w:t>ului</w:t>
            </w:r>
            <w:r w:rsidRPr="00F171A3">
              <w:rPr>
                <w:color w:val="134753"/>
                <w:sz w:val="20"/>
                <w:szCs w:val="20"/>
              </w:rPr>
              <w:t xml:space="preserve"> 2 beneficiază de un personal cu un grad ridicat de competență și o balanță între personalul aflat la început de carieră administrativă și cel cu gradația maximă, lucru posibil și datorită strategiei de atragere personal (inclusiv programe formare și programe de internship). </w:t>
            </w:r>
          </w:p>
          <w:p w14:paraId="6FBF1CF4" w14:textId="77777777" w:rsidR="00FD2556" w:rsidRPr="00F171A3" w:rsidRDefault="00FD2556" w:rsidP="00244806">
            <w:pPr>
              <w:spacing w:after="0"/>
              <w:ind w:left="720"/>
              <w:rPr>
                <w:color w:val="134753"/>
                <w:sz w:val="20"/>
                <w:szCs w:val="20"/>
              </w:rPr>
            </w:pPr>
          </w:p>
          <w:p w14:paraId="11C6A0AC" w14:textId="77777777" w:rsidR="00FD2556" w:rsidRPr="00F171A3" w:rsidRDefault="00FD2556" w:rsidP="00244806">
            <w:pPr>
              <w:spacing w:after="0"/>
              <w:ind w:left="720"/>
              <w:rPr>
                <w:color w:val="134753"/>
                <w:sz w:val="20"/>
                <w:szCs w:val="20"/>
              </w:rPr>
            </w:pPr>
            <w:r w:rsidRPr="00F171A3">
              <w:rPr>
                <w:color w:val="134753"/>
                <w:sz w:val="20"/>
                <w:szCs w:val="20"/>
              </w:rPr>
              <w:t xml:space="preserve">Personalul instituției a beneficiat de cursuri de formare, iar planul anual de formare a fost întocmit și fundamentat pe nevoile relevate în rapoartele de evaluare. </w:t>
            </w:r>
          </w:p>
        </w:tc>
        <w:tc>
          <w:tcPr>
            <w:tcW w:w="4846" w:type="dxa"/>
            <w:shd w:val="clear" w:color="auto" w:fill="F2F2F2" w:themeFill="background1" w:themeFillShade="F2"/>
          </w:tcPr>
          <w:p w14:paraId="0C0EACD8" w14:textId="77777777" w:rsidR="00FD2556" w:rsidRPr="00F171A3" w:rsidRDefault="00FD2556">
            <w:pPr>
              <w:numPr>
                <w:ilvl w:val="0"/>
                <w:numId w:val="103"/>
              </w:numPr>
              <w:spacing w:after="0"/>
              <w:rPr>
                <w:color w:val="134753"/>
                <w:sz w:val="20"/>
                <w:szCs w:val="20"/>
              </w:rPr>
            </w:pPr>
            <w:r w:rsidRPr="00F171A3">
              <w:rPr>
                <w:color w:val="134753"/>
                <w:sz w:val="20"/>
                <w:szCs w:val="20"/>
              </w:rPr>
              <w:t>La nivelul instituției nu se observă o mobilitate semnificativă a personalului în ultimii ani (în special din perspectiva numărului de plecări din instituție, o provocare semnalată de strategia anterioară de dezvoltare locală), însă rămân în continuare un număr ridicat de posturi vacante. Această provocare trebuie adresată prin procesul de reorganizare în desfășurare.</w:t>
            </w:r>
          </w:p>
          <w:p w14:paraId="2A09A373" w14:textId="77777777" w:rsidR="00FD2556" w:rsidRPr="00F171A3" w:rsidRDefault="00FD2556" w:rsidP="00244806">
            <w:pPr>
              <w:spacing w:after="0"/>
              <w:ind w:left="360"/>
              <w:rPr>
                <w:color w:val="134753"/>
                <w:sz w:val="20"/>
                <w:szCs w:val="20"/>
              </w:rPr>
            </w:pPr>
          </w:p>
          <w:p w14:paraId="4ED04978" w14:textId="77777777" w:rsidR="00FD2556" w:rsidRPr="00F171A3" w:rsidRDefault="00FD2556" w:rsidP="00244806">
            <w:pPr>
              <w:spacing w:after="0"/>
              <w:ind w:left="720"/>
              <w:rPr>
                <w:color w:val="134753"/>
                <w:sz w:val="20"/>
                <w:szCs w:val="20"/>
              </w:rPr>
            </w:pPr>
            <w:r w:rsidRPr="00F171A3">
              <w:rPr>
                <w:color w:val="134753"/>
                <w:sz w:val="20"/>
                <w:szCs w:val="20"/>
              </w:rPr>
              <w:t xml:space="preserve">Politica de formare nu reușește să țină cont de provocările generate de transformările în desfășurare, mai ales din perspectiva nevoii de extindere a competențelor digitale, inclusiv privind securitatea cibernetică, utilizarea de noi sisteme informatice și de date, etc. Aceste domenii nu au fost adresate, nu s-au desfășurat cursuri de formare sau nu au fost nici măcar indicate ca nevoi la nivelul personalului. </w:t>
            </w:r>
            <w:r w:rsidRPr="00F171A3">
              <w:rPr>
                <w:color w:val="134753"/>
                <w:sz w:val="20"/>
                <w:szCs w:val="20"/>
              </w:rPr>
              <w:br/>
            </w:r>
          </w:p>
          <w:p w14:paraId="279F6081" w14:textId="77777777" w:rsidR="00FD2556" w:rsidRPr="00F171A3" w:rsidRDefault="00FD2556" w:rsidP="00244806">
            <w:pPr>
              <w:spacing w:after="0"/>
              <w:ind w:left="720"/>
              <w:rPr>
                <w:color w:val="134753"/>
                <w:sz w:val="20"/>
                <w:szCs w:val="20"/>
              </w:rPr>
            </w:pPr>
            <w:r w:rsidRPr="00F171A3">
              <w:rPr>
                <w:color w:val="134753"/>
                <w:sz w:val="20"/>
                <w:szCs w:val="20"/>
              </w:rPr>
              <w:t xml:space="preserve">Singurele cursuri de formare absolvite de majoritatea personalului sunt cele tip ECDL, respectiv au existat prezentări punctuale pe unele soluții software, dar este nevoie de o abordare mult mai cuprinzătoare în această privință. Tematica privind Arhitectură și Urbanism necesită de asemenea o analiză privind lipsa identificării (și propunerii) de cursuri de formare.  </w:t>
            </w:r>
          </w:p>
          <w:p w14:paraId="2845FB86" w14:textId="77777777" w:rsidR="00FD2556" w:rsidRPr="00F171A3" w:rsidRDefault="00FD2556" w:rsidP="00244806">
            <w:pPr>
              <w:spacing w:after="0"/>
              <w:ind w:left="720"/>
              <w:rPr>
                <w:color w:val="134753"/>
                <w:sz w:val="20"/>
                <w:szCs w:val="20"/>
              </w:rPr>
            </w:pPr>
          </w:p>
          <w:p w14:paraId="1D13F136" w14:textId="7217B041" w:rsidR="00FD2556" w:rsidRPr="00F171A3" w:rsidRDefault="00FD2556" w:rsidP="003D3575">
            <w:pPr>
              <w:spacing w:after="0"/>
              <w:ind w:left="720"/>
              <w:rPr>
                <w:color w:val="134753"/>
                <w:sz w:val="20"/>
                <w:szCs w:val="20"/>
              </w:rPr>
            </w:pPr>
            <w:r w:rsidRPr="00F171A3">
              <w:rPr>
                <w:color w:val="134753"/>
                <w:sz w:val="20"/>
                <w:szCs w:val="20"/>
              </w:rPr>
              <w:t xml:space="preserve">Este nevoie de o mai bună ajustare a politicii de formare și corelarea sa atât cu nevoile raportate de personalul instituției, dar și evaluarea politicilor de formare pentru îndeplinirea viziunii și obiectivelor instituției. </w:t>
            </w:r>
          </w:p>
        </w:tc>
      </w:tr>
      <w:tr w:rsidR="00FD2556" w:rsidRPr="00F171A3" w14:paraId="648C01DB" w14:textId="77777777" w:rsidTr="00FD2556">
        <w:trPr>
          <w:trHeight w:val="20"/>
        </w:trPr>
        <w:tc>
          <w:tcPr>
            <w:tcW w:w="4716" w:type="dxa"/>
            <w:shd w:val="clear" w:color="auto" w:fill="F2F2F2" w:themeFill="background1" w:themeFillShade="F2"/>
          </w:tcPr>
          <w:p w14:paraId="6518D998" w14:textId="3E28FA34" w:rsidR="00FD2556" w:rsidRPr="00F171A3" w:rsidRDefault="00FD2556">
            <w:pPr>
              <w:numPr>
                <w:ilvl w:val="0"/>
                <w:numId w:val="104"/>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Primăria Sector</w:t>
            </w:r>
            <w:r w:rsidR="00135D70" w:rsidRPr="00F171A3">
              <w:rPr>
                <w:rFonts w:cstheme="minorHAnsi"/>
                <w:color w:val="134753"/>
                <w:sz w:val="20"/>
                <w:szCs w:val="20"/>
              </w:rPr>
              <w:t>ului</w:t>
            </w:r>
            <w:r w:rsidRPr="00F171A3">
              <w:rPr>
                <w:rFonts w:cstheme="minorHAnsi"/>
                <w:color w:val="134753"/>
                <w:sz w:val="20"/>
                <w:szCs w:val="20"/>
              </w:rPr>
              <w:t xml:space="preserve"> 2 dispune de o strategie de atragere a personalului la început de carieră, oferă stagii de practică pentru studenți, dar dispune și de un program de internship plătit inițiat în 2021. Buna desfășurare a programului de internship este gestionată de Serviciul Organizare, Perfecționare și Gestiunea Carierei conform noului ROF. </w:t>
            </w:r>
          </w:p>
        </w:tc>
        <w:tc>
          <w:tcPr>
            <w:tcW w:w="4846" w:type="dxa"/>
            <w:shd w:val="clear" w:color="auto" w:fill="F2F2F2" w:themeFill="background1" w:themeFillShade="F2"/>
          </w:tcPr>
          <w:p w14:paraId="05609049" w14:textId="77777777" w:rsidR="00FD2556" w:rsidRPr="00F171A3" w:rsidRDefault="00FD2556">
            <w:pPr>
              <w:numPr>
                <w:ilvl w:val="0"/>
                <w:numId w:val="104"/>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Insuficiența personalului, potențiala încărcare a fișelor de post și noile responsabilități (în special acolo unde personalul necesită noi calificări și cursuri de formare), numărul ridicat de posturi vacante trebuie adresate de noua strategie de resurse umane și de politica de formare. Această provocare poate deveni un risc pe termen mediu și lung odată cu accentuarea crizei forței de muncă, în special în domeniile înalt calificate.</w:t>
            </w:r>
          </w:p>
        </w:tc>
      </w:tr>
      <w:tr w:rsidR="00FD2556" w:rsidRPr="00F171A3" w14:paraId="225475C6" w14:textId="77777777" w:rsidTr="00FD2556">
        <w:trPr>
          <w:trHeight w:val="20"/>
        </w:trPr>
        <w:tc>
          <w:tcPr>
            <w:tcW w:w="4716" w:type="dxa"/>
            <w:shd w:val="clear" w:color="auto" w:fill="F2F2F2" w:themeFill="background1" w:themeFillShade="F2"/>
          </w:tcPr>
          <w:p w14:paraId="6A301762" w14:textId="77777777" w:rsidR="00FD2556" w:rsidRPr="00F171A3" w:rsidRDefault="00FD2556">
            <w:pPr>
              <w:numPr>
                <w:ilvl w:val="0"/>
                <w:numId w:val="104"/>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Proceduri de lucru și de sistem bine reglementate la nivelul instituției ce operaționalizează majoritatea proceselor de rutină din interiorul administrației. </w:t>
            </w:r>
          </w:p>
        </w:tc>
        <w:tc>
          <w:tcPr>
            <w:tcW w:w="4846" w:type="dxa"/>
            <w:shd w:val="clear" w:color="auto" w:fill="F2F2F2" w:themeFill="background1" w:themeFillShade="F2"/>
          </w:tcPr>
          <w:p w14:paraId="51FDE8DC" w14:textId="10627640" w:rsidR="00FD2556" w:rsidRPr="00F171A3" w:rsidRDefault="00FD2556">
            <w:pPr>
              <w:numPr>
                <w:ilvl w:val="0"/>
                <w:numId w:val="104"/>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Una din provocările semnalate de strategie precedentă a fost informatizarea redusă a proceselor interne, birocratizarea excesivă și lipsa unor soluții digitale. </w:t>
            </w:r>
            <w:r w:rsidRPr="00F171A3">
              <w:rPr>
                <w:rFonts w:eastAsia="Calibri" w:cstheme="minorHAnsi"/>
                <w:color w:val="134753"/>
                <w:sz w:val="20"/>
                <w:szCs w:val="20"/>
              </w:rPr>
              <w:t>Această insuficiență</w:t>
            </w:r>
            <w:r w:rsidRPr="00F171A3">
              <w:rPr>
                <w:rFonts w:cstheme="minorHAnsi"/>
                <w:color w:val="134753"/>
                <w:sz w:val="20"/>
                <w:szCs w:val="20"/>
              </w:rPr>
              <w:t xml:space="preserve"> </w:t>
            </w:r>
            <w:r w:rsidRPr="00F171A3">
              <w:rPr>
                <w:rFonts w:eastAsia="Calibri" w:cstheme="minorHAnsi"/>
                <w:color w:val="134753"/>
                <w:sz w:val="20"/>
                <w:szCs w:val="20"/>
              </w:rPr>
              <w:t xml:space="preserve">este în continuare prezentă </w:t>
            </w:r>
            <w:r w:rsidRPr="00F171A3">
              <w:rPr>
                <w:rFonts w:cstheme="minorHAnsi"/>
                <w:color w:val="134753"/>
                <w:sz w:val="20"/>
                <w:szCs w:val="20"/>
              </w:rPr>
              <w:t>și este o provocare importantă la nivelul Primăriei Sector</w:t>
            </w:r>
            <w:r w:rsidR="00135D70" w:rsidRPr="00F171A3">
              <w:rPr>
                <w:rFonts w:cstheme="minorHAnsi"/>
                <w:color w:val="134753"/>
                <w:sz w:val="20"/>
                <w:szCs w:val="20"/>
              </w:rPr>
              <w:t>ului</w:t>
            </w:r>
            <w:r w:rsidRPr="00F171A3">
              <w:rPr>
                <w:rFonts w:cstheme="minorHAnsi"/>
                <w:color w:val="134753"/>
                <w:sz w:val="20"/>
                <w:szCs w:val="20"/>
              </w:rPr>
              <w:t xml:space="preserve"> 2. </w:t>
            </w:r>
          </w:p>
          <w:p w14:paraId="375DBE25" w14:textId="77777777" w:rsidR="00FD2556" w:rsidRPr="00F171A3" w:rsidRDefault="00FD2556">
            <w:pPr>
              <w:numPr>
                <w:ilvl w:val="0"/>
                <w:numId w:val="104"/>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Digitalizarea limitată a proceselor interne și utilizarea deseori a adreselor oficiale și documentelor în format imprimat (pe hârtie) inclusiv în comunicarea între departamente.  Instituția nu dispune  de o arhivă electronică. </w:t>
            </w:r>
          </w:p>
        </w:tc>
      </w:tr>
      <w:tr w:rsidR="00FD2556" w:rsidRPr="00F171A3" w14:paraId="0FB77066" w14:textId="77777777" w:rsidTr="00FD2556">
        <w:trPr>
          <w:trHeight w:val="20"/>
        </w:trPr>
        <w:tc>
          <w:tcPr>
            <w:tcW w:w="4716" w:type="dxa"/>
            <w:shd w:val="clear" w:color="auto" w:fill="F2F2F2" w:themeFill="background1" w:themeFillShade="F2"/>
          </w:tcPr>
          <w:p w14:paraId="1D36E8BA" w14:textId="77777777" w:rsidR="00FD2556" w:rsidRPr="00F171A3" w:rsidRDefault="00FD2556">
            <w:pPr>
              <w:numPr>
                <w:ilvl w:val="0"/>
                <w:numId w:val="105"/>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Proces de transparentizare a datelor  publice deținute de instituție, publicarea unor seturi de date inclusiv în format editabil pe site-ul propriu, inițierea unui sistem de structurare a acestora în cadrul Buletinului informativ.  </w:t>
            </w:r>
          </w:p>
        </w:tc>
        <w:tc>
          <w:tcPr>
            <w:tcW w:w="4846" w:type="dxa"/>
            <w:shd w:val="clear" w:color="auto" w:fill="F2F2F2" w:themeFill="background1" w:themeFillShade="F2"/>
          </w:tcPr>
          <w:p w14:paraId="5E8AD919" w14:textId="77777777" w:rsidR="00FD2556" w:rsidRPr="00F171A3" w:rsidRDefault="00FD2556">
            <w:pPr>
              <w:numPr>
                <w:ilvl w:val="0"/>
                <w:numId w:val="105"/>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Lipsa publicării din oficiu a tuturor datelor publice deținute de instituție, publicarea de date preponderent în format non-editabil. Lipsa utilizării portalului de date publice deschise data.gov.ro. </w:t>
            </w:r>
          </w:p>
        </w:tc>
      </w:tr>
      <w:tr w:rsidR="00FD2556" w:rsidRPr="00F171A3" w14:paraId="08FD17E8" w14:textId="77777777" w:rsidTr="00FD2556">
        <w:trPr>
          <w:trHeight w:val="20"/>
        </w:trPr>
        <w:tc>
          <w:tcPr>
            <w:tcW w:w="4716" w:type="dxa"/>
            <w:shd w:val="clear" w:color="auto" w:fill="F2F2F2" w:themeFill="background1" w:themeFillShade="F2"/>
          </w:tcPr>
          <w:p w14:paraId="0B5FA424" w14:textId="77777777" w:rsidR="00FD2556" w:rsidRPr="00F171A3" w:rsidRDefault="00FD2556">
            <w:pPr>
              <w:numPr>
                <w:ilvl w:val="0"/>
                <w:numId w:val="105"/>
              </w:numPr>
              <w:spacing w:after="0"/>
              <w:rPr>
                <w:rFonts w:cstheme="minorHAnsi"/>
                <w:color w:val="134753"/>
                <w:sz w:val="20"/>
                <w:szCs w:val="20"/>
              </w:rPr>
            </w:pPr>
            <w:r w:rsidRPr="00F171A3">
              <w:rPr>
                <w:rFonts w:cstheme="minorHAnsi"/>
                <w:color w:val="134753"/>
                <w:sz w:val="20"/>
                <w:szCs w:val="20"/>
              </w:rPr>
              <w:t xml:space="preserve">Proces de promovare a serviciilor electronice și de extindere a serviciilor oferite, respectiv numărul de utilizatori. </w:t>
            </w:r>
          </w:p>
        </w:tc>
        <w:tc>
          <w:tcPr>
            <w:tcW w:w="4846" w:type="dxa"/>
            <w:shd w:val="clear" w:color="auto" w:fill="F2F2F2" w:themeFill="background1" w:themeFillShade="F2"/>
          </w:tcPr>
          <w:p w14:paraId="6F28BD8F" w14:textId="77777777" w:rsidR="00FD2556" w:rsidRPr="00F171A3" w:rsidRDefault="00FD2556">
            <w:pPr>
              <w:numPr>
                <w:ilvl w:val="0"/>
                <w:numId w:val="105"/>
              </w:numPr>
              <w:spacing w:after="0"/>
              <w:rPr>
                <w:rFonts w:cstheme="minorHAnsi"/>
                <w:color w:val="134753"/>
                <w:sz w:val="20"/>
                <w:szCs w:val="20"/>
              </w:rPr>
            </w:pPr>
            <w:r w:rsidRPr="00F171A3">
              <w:rPr>
                <w:rFonts w:cstheme="minorHAnsi"/>
                <w:color w:val="134753"/>
                <w:sz w:val="20"/>
                <w:szCs w:val="20"/>
              </w:rPr>
              <w:t xml:space="preserve">Număr redus de servicii electronice disponibile și lipsa unei evaluări privind gradul de accesibilitate, utilizare și acoperire a serviciului la nivelul întregului sector. </w:t>
            </w:r>
          </w:p>
        </w:tc>
      </w:tr>
      <w:tr w:rsidR="00FD2556" w:rsidRPr="00F171A3" w14:paraId="24FEE2DB" w14:textId="77777777" w:rsidTr="00FD2556">
        <w:trPr>
          <w:trHeight w:val="20"/>
        </w:trPr>
        <w:tc>
          <w:tcPr>
            <w:tcW w:w="4716" w:type="dxa"/>
            <w:shd w:val="clear" w:color="auto" w:fill="F2F2F2" w:themeFill="background1" w:themeFillShade="F2"/>
          </w:tcPr>
          <w:p w14:paraId="708AC39E" w14:textId="77777777" w:rsidR="00FD2556" w:rsidRPr="00F171A3" w:rsidRDefault="00FD2556">
            <w:pPr>
              <w:numPr>
                <w:ilvl w:val="0"/>
                <w:numId w:val="106"/>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Deschiderea instituției (atât managementul de top, cât și personalul instituției) de a susține o mai bună interacțiune între personalul primăriei și cetățeni, societate civilă și mediul de afaceri.  </w:t>
            </w:r>
          </w:p>
          <w:p w14:paraId="167F8846" w14:textId="77777777" w:rsidR="00FD2556" w:rsidRPr="00F171A3" w:rsidRDefault="00FD2556" w:rsidP="00244806">
            <w:pPr>
              <w:spacing w:after="0"/>
              <w:ind w:left="720"/>
              <w:rPr>
                <w:rFonts w:cstheme="minorHAnsi"/>
                <w:color w:val="134753"/>
                <w:sz w:val="20"/>
                <w:szCs w:val="20"/>
              </w:rPr>
            </w:pPr>
          </w:p>
          <w:p w14:paraId="359BB348" w14:textId="77777777" w:rsidR="00FD2556" w:rsidRPr="00F171A3" w:rsidRDefault="00FD2556" w:rsidP="00244806">
            <w:pPr>
              <w:spacing w:after="0"/>
              <w:ind w:left="720"/>
              <w:rPr>
                <w:rFonts w:cstheme="minorHAnsi"/>
                <w:color w:val="134753"/>
                <w:sz w:val="20"/>
                <w:szCs w:val="20"/>
              </w:rPr>
            </w:pPr>
          </w:p>
          <w:p w14:paraId="3139A06E" w14:textId="77777777" w:rsidR="00FD2556" w:rsidRPr="00F171A3" w:rsidRDefault="00FD2556" w:rsidP="00244806">
            <w:pPr>
              <w:spacing w:after="0"/>
              <w:ind w:left="720"/>
              <w:rPr>
                <w:rFonts w:cstheme="minorHAnsi"/>
                <w:color w:val="134753"/>
                <w:sz w:val="20"/>
                <w:szCs w:val="20"/>
              </w:rPr>
            </w:pPr>
          </w:p>
        </w:tc>
        <w:tc>
          <w:tcPr>
            <w:tcW w:w="4846" w:type="dxa"/>
            <w:shd w:val="clear" w:color="auto" w:fill="F2F2F2" w:themeFill="background1" w:themeFillShade="F2"/>
          </w:tcPr>
          <w:p w14:paraId="4A7B141E" w14:textId="77777777" w:rsidR="003D3575" w:rsidRPr="00F171A3" w:rsidRDefault="00FD2556">
            <w:pPr>
              <w:numPr>
                <w:ilvl w:val="0"/>
                <w:numId w:val="106"/>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Număr limitat de inițiative de a implica cetățenii în procesele de decizie de la nivel local. Implicare redusă a cetățenilor în politicile publice locale și un număr redus de consultări publice și evenimente publice în perioada analizată. </w:t>
            </w:r>
          </w:p>
          <w:p w14:paraId="7A98DA81" w14:textId="2458BDB3" w:rsidR="003D3575" w:rsidRPr="00F171A3" w:rsidRDefault="00FD2556" w:rsidP="003D3575">
            <w:pPr>
              <w:pBdr>
                <w:top w:val="nil"/>
                <w:left w:val="nil"/>
                <w:bottom w:val="nil"/>
                <w:right w:val="nil"/>
                <w:between w:val="nil"/>
              </w:pBdr>
              <w:spacing w:after="0"/>
              <w:ind w:left="720"/>
              <w:rPr>
                <w:rFonts w:eastAsia="Calibri" w:cstheme="minorHAnsi"/>
                <w:b/>
                <w:color w:val="134753"/>
                <w:sz w:val="20"/>
                <w:szCs w:val="20"/>
              </w:rPr>
            </w:pPr>
            <w:r w:rsidRPr="00F171A3">
              <w:rPr>
                <w:rFonts w:cstheme="minorHAnsi"/>
                <w:color w:val="134753"/>
                <w:sz w:val="20"/>
                <w:szCs w:val="20"/>
              </w:rPr>
              <w:t xml:space="preserve">Rapoartele aferente legilor 544/2001 și, în special, 52/2003 de pe pagina oficială indică o interacțiune limitată între cetățeni și instituție pe marile dezbateri de la nivel local, inclusiv procesul de adoptare al bugetului local și planului anual de investiții.  </w:t>
            </w:r>
          </w:p>
          <w:p w14:paraId="00FA449A" w14:textId="77777777" w:rsidR="003D3575" w:rsidRPr="00F171A3" w:rsidRDefault="003D3575" w:rsidP="003D3575">
            <w:pPr>
              <w:pBdr>
                <w:top w:val="nil"/>
                <w:left w:val="nil"/>
                <w:bottom w:val="nil"/>
                <w:right w:val="nil"/>
                <w:between w:val="nil"/>
              </w:pBdr>
              <w:spacing w:after="0"/>
              <w:ind w:left="720"/>
              <w:rPr>
                <w:rFonts w:eastAsia="Calibri" w:cstheme="minorHAnsi"/>
                <w:b/>
                <w:color w:val="134753"/>
                <w:sz w:val="20"/>
                <w:szCs w:val="20"/>
              </w:rPr>
            </w:pPr>
          </w:p>
          <w:p w14:paraId="6D099DFD" w14:textId="55037708" w:rsidR="00FD2556" w:rsidRPr="00F171A3" w:rsidRDefault="00FD2556" w:rsidP="003D3575">
            <w:pPr>
              <w:pBdr>
                <w:top w:val="nil"/>
                <w:left w:val="nil"/>
                <w:bottom w:val="nil"/>
                <w:right w:val="nil"/>
                <w:between w:val="nil"/>
              </w:pBdr>
              <w:spacing w:after="0"/>
              <w:ind w:left="720"/>
              <w:rPr>
                <w:rFonts w:eastAsia="Calibri" w:cstheme="minorHAnsi"/>
                <w:b/>
                <w:color w:val="134753"/>
                <w:sz w:val="20"/>
                <w:szCs w:val="20"/>
              </w:rPr>
            </w:pPr>
            <w:r w:rsidRPr="00F171A3">
              <w:rPr>
                <w:rFonts w:cstheme="minorHAnsi"/>
                <w:color w:val="134753"/>
                <w:sz w:val="20"/>
                <w:szCs w:val="20"/>
              </w:rPr>
              <w:t xml:space="preserve">Lipsa publicării tuturor rapoartelor anuale prevăzute de legislație pe pagina proprie. (ex. rapoarte de activitate ale consilierilor locali lipsesc sau sunt completate parțial). </w:t>
            </w:r>
          </w:p>
        </w:tc>
      </w:tr>
      <w:tr w:rsidR="00FD2556" w:rsidRPr="00F171A3" w14:paraId="21354AE5" w14:textId="77777777" w:rsidTr="00FD2556">
        <w:trPr>
          <w:trHeight w:val="20"/>
        </w:trPr>
        <w:tc>
          <w:tcPr>
            <w:tcW w:w="4716" w:type="dxa"/>
            <w:shd w:val="clear" w:color="auto" w:fill="F2F2F2" w:themeFill="background1" w:themeFillShade="F2"/>
          </w:tcPr>
          <w:p w14:paraId="6151AD6B" w14:textId="77777777" w:rsidR="00FD2556" w:rsidRPr="00F171A3" w:rsidRDefault="00FD2556">
            <w:pPr>
              <w:numPr>
                <w:ilvl w:val="0"/>
                <w:numId w:val="107"/>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Adoptarea unei hotărâri de promovare a unui program de bugetare participativă începând cu anul 2021.</w:t>
            </w:r>
          </w:p>
          <w:p w14:paraId="1576D51D" w14:textId="10614847" w:rsidR="00FD2556" w:rsidRPr="00F171A3" w:rsidRDefault="00FD2556" w:rsidP="00244806">
            <w:pPr>
              <w:spacing w:after="0"/>
              <w:ind w:left="720"/>
              <w:rPr>
                <w:rFonts w:cstheme="minorHAnsi"/>
                <w:color w:val="134753"/>
                <w:sz w:val="20"/>
                <w:szCs w:val="20"/>
              </w:rPr>
            </w:pPr>
            <w:r w:rsidRPr="00F171A3">
              <w:rPr>
                <w:rFonts w:cstheme="minorHAnsi"/>
                <w:color w:val="134753"/>
                <w:sz w:val="20"/>
                <w:szCs w:val="20"/>
              </w:rPr>
              <w:t>Deschiderea instituției către proiecte din societatea civilă, mediul ONG, grupuri civice, culte, etc, prin îmbunătățirea comunicării publice, tematicilor și bugetelor pe programele de finanțări nerambursabile (inclusiv Legea 350/2005)</w:t>
            </w:r>
            <w:r w:rsidR="003D3575" w:rsidRPr="00F171A3">
              <w:rPr>
                <w:rFonts w:cstheme="minorHAnsi"/>
                <w:color w:val="134753"/>
                <w:sz w:val="20"/>
                <w:szCs w:val="20"/>
              </w:rPr>
              <w:t>.</w:t>
            </w:r>
          </w:p>
        </w:tc>
        <w:tc>
          <w:tcPr>
            <w:tcW w:w="4846" w:type="dxa"/>
            <w:shd w:val="clear" w:color="auto" w:fill="F2F2F2" w:themeFill="background1" w:themeFillShade="F2"/>
          </w:tcPr>
          <w:p w14:paraId="0ADA7AF3" w14:textId="77777777" w:rsidR="00FD2556" w:rsidRPr="00F171A3" w:rsidRDefault="00FD2556">
            <w:pPr>
              <w:numPr>
                <w:ilvl w:val="0"/>
                <w:numId w:val="108"/>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Nelansarea programului de bugetare participativă.</w:t>
            </w:r>
            <w:r w:rsidRPr="00F171A3">
              <w:rPr>
                <w:rFonts w:cstheme="minorHAnsi"/>
                <w:color w:val="134753"/>
                <w:sz w:val="20"/>
                <w:szCs w:val="20"/>
              </w:rPr>
              <w:br/>
              <w:t xml:space="preserve">Regulamentul și birocratizarea excesivă a programului de finanțări nerambursabile în virtutea Legii 350/2005. Numărul relativ redus de aplicații pe tematicile lansate. </w:t>
            </w:r>
          </w:p>
          <w:p w14:paraId="7AAB85B4" w14:textId="77777777" w:rsidR="00FD2556" w:rsidRPr="00F171A3" w:rsidRDefault="00FD2556" w:rsidP="00244806">
            <w:pPr>
              <w:spacing w:after="0"/>
              <w:ind w:left="720"/>
              <w:rPr>
                <w:rFonts w:cstheme="minorHAnsi"/>
                <w:color w:val="134753"/>
                <w:sz w:val="20"/>
                <w:szCs w:val="20"/>
              </w:rPr>
            </w:pPr>
            <w:r w:rsidRPr="00F171A3">
              <w:rPr>
                <w:rFonts w:cstheme="minorHAnsi"/>
                <w:color w:val="134753"/>
                <w:sz w:val="20"/>
                <w:szCs w:val="20"/>
              </w:rPr>
              <w:t xml:space="preserve"> </w:t>
            </w:r>
          </w:p>
        </w:tc>
      </w:tr>
      <w:tr w:rsidR="00FD2556" w:rsidRPr="00F171A3" w14:paraId="353E1B46" w14:textId="77777777" w:rsidTr="00FD2556">
        <w:trPr>
          <w:trHeight w:val="20"/>
        </w:trPr>
        <w:tc>
          <w:tcPr>
            <w:tcW w:w="4716" w:type="dxa"/>
            <w:shd w:val="clear" w:color="auto" w:fill="F2F2F2" w:themeFill="background1" w:themeFillShade="F2"/>
          </w:tcPr>
          <w:p w14:paraId="1486FA74" w14:textId="77777777" w:rsidR="00FD2556" w:rsidRPr="00F171A3" w:rsidRDefault="00FD2556">
            <w:pPr>
              <w:numPr>
                <w:ilvl w:val="0"/>
                <w:numId w:val="109"/>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Planificare optimă a bugetelor anuale atât în privință veniturilor, dar și a cheltuielilor în perioada analizată. Variații limitate în raportul dintre bugetele adoptate inițial și execuția bugetară.</w:t>
            </w:r>
          </w:p>
        </w:tc>
        <w:tc>
          <w:tcPr>
            <w:tcW w:w="4846" w:type="dxa"/>
            <w:shd w:val="clear" w:color="auto" w:fill="F2F2F2" w:themeFill="background1" w:themeFillShade="F2"/>
          </w:tcPr>
          <w:p w14:paraId="1942DDA7" w14:textId="77777777" w:rsidR="00FD2556" w:rsidRPr="00F171A3" w:rsidRDefault="00FD2556">
            <w:pPr>
              <w:numPr>
                <w:ilvl w:val="0"/>
                <w:numId w:val="109"/>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Planificare modestă a unor categorii de cheltuieli și venituri în interiorul bugetului, inclusiv cele privind fondurile europene nerambursabile. Planificări cu un grad mai ridicat de variație în secțiunea de dezvoltare a instituției. </w:t>
            </w:r>
          </w:p>
        </w:tc>
      </w:tr>
      <w:tr w:rsidR="00FD2556" w:rsidRPr="00F171A3" w14:paraId="44365BAE" w14:textId="77777777" w:rsidTr="00FD2556">
        <w:trPr>
          <w:trHeight w:val="20"/>
        </w:trPr>
        <w:tc>
          <w:tcPr>
            <w:tcW w:w="4716" w:type="dxa"/>
            <w:shd w:val="clear" w:color="auto" w:fill="F2F2F2" w:themeFill="background1" w:themeFillShade="F2"/>
          </w:tcPr>
          <w:p w14:paraId="2AA90A79" w14:textId="686E85FC" w:rsidR="00FD2556" w:rsidRPr="00F171A3" w:rsidRDefault="00FD2556">
            <w:pPr>
              <w:numPr>
                <w:ilvl w:val="0"/>
                <w:numId w:val="110"/>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Venituri în creștere în perioada 2018-2021, cu un maxim de 1.159 miliarde RON în 2021. Sector</w:t>
            </w:r>
            <w:r w:rsidR="003D3575" w:rsidRPr="00F171A3">
              <w:rPr>
                <w:rFonts w:cstheme="minorHAnsi"/>
                <w:color w:val="134753"/>
                <w:sz w:val="20"/>
                <w:szCs w:val="20"/>
              </w:rPr>
              <w:t>ul</w:t>
            </w:r>
            <w:r w:rsidRPr="00F171A3">
              <w:rPr>
                <w:rFonts w:cstheme="minorHAnsi"/>
                <w:color w:val="134753"/>
                <w:sz w:val="20"/>
                <w:szCs w:val="20"/>
              </w:rPr>
              <w:t xml:space="preserve"> 2 este una dintre administrațiile foarte performante în privința veniturilor totale per locuitor în atât la nivelul sectoarelor din București, dar și la nivelul unor municipalități de dimensiuni similare din România.   </w:t>
            </w:r>
          </w:p>
          <w:p w14:paraId="320386B8" w14:textId="77777777" w:rsidR="00FD2556" w:rsidRPr="00F171A3" w:rsidRDefault="00FD2556" w:rsidP="00244806">
            <w:pPr>
              <w:spacing w:after="0"/>
              <w:ind w:left="720"/>
              <w:rPr>
                <w:rFonts w:cstheme="minorHAnsi"/>
                <w:color w:val="134753"/>
                <w:sz w:val="20"/>
                <w:szCs w:val="20"/>
              </w:rPr>
            </w:pPr>
            <w:r w:rsidRPr="00F171A3">
              <w:rPr>
                <w:rFonts w:cstheme="minorHAnsi"/>
                <w:color w:val="134753"/>
                <w:sz w:val="20"/>
                <w:szCs w:val="20"/>
              </w:rPr>
              <w:t xml:space="preserve"> </w:t>
            </w:r>
          </w:p>
        </w:tc>
        <w:tc>
          <w:tcPr>
            <w:tcW w:w="4846" w:type="dxa"/>
            <w:shd w:val="clear" w:color="auto" w:fill="F2F2F2" w:themeFill="background1" w:themeFillShade="F2"/>
          </w:tcPr>
          <w:p w14:paraId="2DA46FB5" w14:textId="77777777" w:rsidR="003D3575" w:rsidRPr="00F171A3" w:rsidRDefault="00FD2556">
            <w:pPr>
              <w:numPr>
                <w:ilvl w:val="0"/>
                <w:numId w:val="111"/>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Se remarcă uneori o supraestimare a veniturilor de la nivel central și veniturilor pentru susținerea investițiilor de capital și proiectelor finanțate cu ajutorul fondurilor europene nerambursabile. </w:t>
            </w:r>
          </w:p>
          <w:p w14:paraId="50A7A7B9" w14:textId="0D8B2202" w:rsidR="00FD2556" w:rsidRPr="00F171A3" w:rsidRDefault="00FD2556" w:rsidP="003D3575">
            <w:pPr>
              <w:pBdr>
                <w:top w:val="nil"/>
                <w:left w:val="nil"/>
                <w:bottom w:val="nil"/>
                <w:right w:val="nil"/>
                <w:between w:val="nil"/>
              </w:pBdr>
              <w:spacing w:after="0"/>
              <w:ind w:left="720"/>
              <w:rPr>
                <w:rFonts w:eastAsia="Calibri" w:cstheme="minorHAnsi"/>
                <w:b/>
                <w:color w:val="134753"/>
                <w:sz w:val="20"/>
                <w:szCs w:val="20"/>
              </w:rPr>
            </w:pPr>
            <w:r w:rsidRPr="00F171A3">
              <w:rPr>
                <w:rFonts w:cstheme="minorHAnsi"/>
                <w:color w:val="134753"/>
                <w:sz w:val="20"/>
                <w:szCs w:val="20"/>
              </w:rPr>
              <w:t xml:space="preserve">Sume primite de la UE în contul plăților efectuate </w:t>
            </w:r>
            <w:r w:rsidRPr="00F171A3">
              <w:rPr>
                <w:rFonts w:eastAsia="Calibri" w:cstheme="minorHAnsi"/>
                <w:color w:val="134753"/>
                <w:sz w:val="20"/>
                <w:szCs w:val="20"/>
              </w:rPr>
              <w:t>rămân</w:t>
            </w:r>
            <w:r w:rsidRPr="00F171A3">
              <w:rPr>
                <w:rFonts w:cstheme="minorHAnsi"/>
                <w:color w:val="134753"/>
                <w:sz w:val="20"/>
                <w:szCs w:val="20"/>
              </w:rPr>
              <w:t xml:space="preserve"> totuși limitate, inclusiv la nivelul instituțiilor subordonate. </w:t>
            </w:r>
          </w:p>
          <w:p w14:paraId="4ADA3222" w14:textId="77777777" w:rsidR="00FD2556" w:rsidRPr="00F171A3" w:rsidRDefault="00FD2556" w:rsidP="00244806">
            <w:pPr>
              <w:pBdr>
                <w:top w:val="nil"/>
                <w:left w:val="nil"/>
                <w:bottom w:val="nil"/>
                <w:right w:val="nil"/>
                <w:between w:val="nil"/>
              </w:pBdr>
              <w:spacing w:after="0"/>
              <w:ind w:left="720"/>
              <w:rPr>
                <w:rFonts w:eastAsia="Calibri" w:cstheme="minorHAnsi"/>
                <w:b/>
                <w:color w:val="134753"/>
                <w:sz w:val="20"/>
                <w:szCs w:val="20"/>
              </w:rPr>
            </w:pPr>
            <w:r w:rsidRPr="00F171A3">
              <w:rPr>
                <w:rFonts w:cstheme="minorHAnsi"/>
                <w:color w:val="134753"/>
                <w:sz w:val="20"/>
                <w:szCs w:val="20"/>
              </w:rPr>
              <w:t xml:space="preserve">Se remarcă un rezultat anual financiar negativ în ultimii trei ani, chiar dacă pe un trend descendent în privința rezultatului negativ anual. </w:t>
            </w:r>
          </w:p>
          <w:p w14:paraId="2FC21898" w14:textId="77777777" w:rsidR="00FD2556" w:rsidRPr="00F171A3" w:rsidRDefault="00FD2556" w:rsidP="00244806">
            <w:pPr>
              <w:spacing w:after="0"/>
              <w:ind w:left="720"/>
              <w:rPr>
                <w:rFonts w:cstheme="minorHAnsi"/>
                <w:color w:val="134753"/>
                <w:sz w:val="20"/>
                <w:szCs w:val="20"/>
              </w:rPr>
            </w:pPr>
            <w:r w:rsidRPr="00F171A3">
              <w:rPr>
                <w:rFonts w:cstheme="minorHAnsi"/>
                <w:color w:val="134753"/>
                <w:sz w:val="20"/>
                <w:szCs w:val="20"/>
              </w:rPr>
              <w:t xml:space="preserve"> </w:t>
            </w:r>
          </w:p>
        </w:tc>
      </w:tr>
      <w:tr w:rsidR="00FD2556" w:rsidRPr="00F171A3" w14:paraId="27E57EDC" w14:textId="77777777" w:rsidTr="00FD2556">
        <w:trPr>
          <w:trHeight w:val="20"/>
        </w:trPr>
        <w:tc>
          <w:tcPr>
            <w:tcW w:w="4716" w:type="dxa"/>
            <w:shd w:val="clear" w:color="auto" w:fill="F2F2F2" w:themeFill="background1" w:themeFillShade="F2"/>
          </w:tcPr>
          <w:p w14:paraId="74680197" w14:textId="77777777" w:rsidR="00FD2556" w:rsidRPr="00F171A3" w:rsidRDefault="00FD2556">
            <w:pPr>
              <w:numPr>
                <w:ilvl w:val="0"/>
                <w:numId w:val="112"/>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Creșterea semnificativă în 2021 a cheltuielilor dedicate secțiunii de dezvoltare a instituției. </w:t>
            </w:r>
          </w:p>
          <w:p w14:paraId="551206D3" w14:textId="77777777" w:rsidR="00FD2556" w:rsidRPr="00F171A3" w:rsidRDefault="00FD2556" w:rsidP="00244806">
            <w:pPr>
              <w:spacing w:after="0"/>
              <w:ind w:left="720"/>
              <w:rPr>
                <w:rFonts w:cstheme="minorHAnsi"/>
                <w:color w:val="134753"/>
                <w:sz w:val="20"/>
                <w:szCs w:val="20"/>
              </w:rPr>
            </w:pPr>
          </w:p>
        </w:tc>
        <w:tc>
          <w:tcPr>
            <w:tcW w:w="4846" w:type="dxa"/>
            <w:shd w:val="clear" w:color="auto" w:fill="F2F2F2" w:themeFill="background1" w:themeFillShade="F2"/>
          </w:tcPr>
          <w:p w14:paraId="2F9CA7FE" w14:textId="77777777" w:rsidR="00FD2556" w:rsidRPr="00F171A3" w:rsidRDefault="00FD2556">
            <w:pPr>
              <w:numPr>
                <w:ilvl w:val="0"/>
                <w:numId w:val="112"/>
              </w:numPr>
              <w:spacing w:after="0"/>
              <w:rPr>
                <w:rFonts w:cstheme="minorHAnsi"/>
                <w:color w:val="134753"/>
                <w:sz w:val="20"/>
                <w:szCs w:val="20"/>
              </w:rPr>
            </w:pPr>
            <w:r w:rsidRPr="00F171A3">
              <w:rPr>
                <w:rFonts w:cstheme="minorHAnsi"/>
                <w:color w:val="134753"/>
                <w:sz w:val="20"/>
                <w:szCs w:val="20"/>
              </w:rPr>
              <w:t xml:space="preserve">Se mențin costuri ridicate cu secțiunea de funcționare a instituției, chiar dacă în scădere în 2021 față de 2020. Nevoia de optimizare a proceselor și costurilor interne.  </w:t>
            </w:r>
          </w:p>
        </w:tc>
      </w:tr>
      <w:tr w:rsidR="00FD2556" w:rsidRPr="00F171A3" w14:paraId="6985C0F1" w14:textId="77777777" w:rsidTr="00FD2556">
        <w:trPr>
          <w:trHeight w:val="20"/>
        </w:trPr>
        <w:tc>
          <w:tcPr>
            <w:tcW w:w="4716" w:type="dxa"/>
            <w:shd w:val="clear" w:color="auto" w:fill="F2F2F2" w:themeFill="background1" w:themeFillShade="F2"/>
          </w:tcPr>
          <w:p w14:paraId="2A40919E" w14:textId="77777777" w:rsidR="00FD2556" w:rsidRPr="00F171A3" w:rsidRDefault="00FD2556">
            <w:pPr>
              <w:numPr>
                <w:ilvl w:val="0"/>
                <w:numId w:val="113"/>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Nivel scăzut de îndatorare al municipalității, costuri reduse cu împrumuturile raportat la venituri. Creditele atrase de municipalitate sunt în principal pentru susținerea programului de investiții.</w:t>
            </w:r>
          </w:p>
        </w:tc>
        <w:tc>
          <w:tcPr>
            <w:tcW w:w="4846" w:type="dxa"/>
            <w:shd w:val="clear" w:color="auto" w:fill="F2F2F2" w:themeFill="background1" w:themeFillShade="F2"/>
          </w:tcPr>
          <w:p w14:paraId="0A1F301F" w14:textId="77777777" w:rsidR="00FD2556" w:rsidRPr="00F171A3" w:rsidRDefault="00FD2556">
            <w:pPr>
              <w:numPr>
                <w:ilvl w:val="0"/>
                <w:numId w:val="113"/>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O planificare mai puțin exactă a costurilor cu cheltuielile decât în cazul veniturilor și utilizarea a numeroase rectificări bugetare. </w:t>
            </w:r>
          </w:p>
        </w:tc>
      </w:tr>
      <w:tr w:rsidR="00FD2556" w:rsidRPr="00F171A3" w14:paraId="63643A34" w14:textId="77777777" w:rsidTr="00FD2556">
        <w:trPr>
          <w:trHeight w:val="20"/>
        </w:trPr>
        <w:tc>
          <w:tcPr>
            <w:tcW w:w="4716" w:type="dxa"/>
            <w:shd w:val="clear" w:color="auto" w:fill="F2F2F2" w:themeFill="background1" w:themeFillShade="F2"/>
          </w:tcPr>
          <w:p w14:paraId="4B47D9C8" w14:textId="2424A370" w:rsidR="00FD2556" w:rsidRPr="00F171A3" w:rsidRDefault="00FD2556">
            <w:pPr>
              <w:numPr>
                <w:ilvl w:val="0"/>
                <w:numId w:val="114"/>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Primăria Sector</w:t>
            </w:r>
            <w:r w:rsidR="00135D70" w:rsidRPr="00F171A3">
              <w:rPr>
                <w:rFonts w:cstheme="minorHAnsi"/>
                <w:color w:val="134753"/>
                <w:sz w:val="20"/>
                <w:szCs w:val="20"/>
              </w:rPr>
              <w:t>ului</w:t>
            </w:r>
            <w:r w:rsidRPr="00F171A3">
              <w:rPr>
                <w:rFonts w:cstheme="minorHAnsi"/>
                <w:color w:val="134753"/>
                <w:sz w:val="20"/>
                <w:szCs w:val="20"/>
              </w:rPr>
              <w:t xml:space="preserve"> 2 dispune de o strategie de atragere a personalului la început de carieră, oferă stagii de practică pentru studenți, dar dispune și de un program de internship plătit inițiat în 2021. Buna desfășurare a programului de internship este gestionată de Serviciul Organizare, Perfecționare și Gestiunea Carierei conform noului ROF. </w:t>
            </w:r>
          </w:p>
        </w:tc>
        <w:tc>
          <w:tcPr>
            <w:tcW w:w="4846" w:type="dxa"/>
            <w:shd w:val="clear" w:color="auto" w:fill="F2F2F2" w:themeFill="background1" w:themeFillShade="F2"/>
          </w:tcPr>
          <w:p w14:paraId="1E7AADA4" w14:textId="77777777" w:rsidR="00FD2556" w:rsidRPr="00F171A3" w:rsidRDefault="00FD2556">
            <w:pPr>
              <w:numPr>
                <w:ilvl w:val="0"/>
                <w:numId w:val="114"/>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Insuficiența personalului, potențiala încărcare a fișelor de post și noile responsabilități (în special acolo unde personalul necesită noi calificări și cursuri de formare), numărul ridicat de posturi vacante trebuie adresate de noua strategie de resurse umane și de politica de formare. Această provocare poate deveni un risc pe termen mediu și lung odată cu accentuarea crizei forței de muncă, în special în domeniile înalt calificate.</w:t>
            </w:r>
          </w:p>
        </w:tc>
      </w:tr>
      <w:tr w:rsidR="00FD2556" w:rsidRPr="00F171A3" w14:paraId="6FFDB7E8" w14:textId="77777777" w:rsidTr="00FD2556">
        <w:trPr>
          <w:trHeight w:val="20"/>
        </w:trPr>
        <w:tc>
          <w:tcPr>
            <w:tcW w:w="4716" w:type="dxa"/>
            <w:shd w:val="clear" w:color="auto" w:fill="F2F2F2" w:themeFill="background1" w:themeFillShade="F2"/>
          </w:tcPr>
          <w:p w14:paraId="1719BDA0" w14:textId="77777777" w:rsidR="00FD2556" w:rsidRPr="00F171A3" w:rsidRDefault="00FD2556">
            <w:pPr>
              <w:numPr>
                <w:ilvl w:val="0"/>
                <w:numId w:val="115"/>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 xml:space="preserve">Proceduri de lucru și de sistem bine reglementate la nivelul instituției ce operaționalizează majoritatea proceselor de rutină din interiorul administrației. </w:t>
            </w:r>
          </w:p>
        </w:tc>
        <w:tc>
          <w:tcPr>
            <w:tcW w:w="4846" w:type="dxa"/>
            <w:shd w:val="clear" w:color="auto" w:fill="F2F2F2" w:themeFill="background1" w:themeFillShade="F2"/>
          </w:tcPr>
          <w:p w14:paraId="518C69B5" w14:textId="6DA92BE6" w:rsidR="00FD2556" w:rsidRPr="00F171A3" w:rsidRDefault="00FD2556">
            <w:pPr>
              <w:numPr>
                <w:ilvl w:val="0"/>
                <w:numId w:val="116"/>
              </w:numPr>
              <w:pBdr>
                <w:top w:val="nil"/>
                <w:left w:val="nil"/>
                <w:bottom w:val="nil"/>
                <w:right w:val="nil"/>
                <w:between w:val="nil"/>
              </w:pBdr>
              <w:spacing w:after="0"/>
              <w:rPr>
                <w:rFonts w:eastAsia="Calibri" w:cstheme="minorHAnsi"/>
                <w:b/>
                <w:color w:val="134753"/>
                <w:sz w:val="20"/>
                <w:szCs w:val="20"/>
              </w:rPr>
            </w:pPr>
            <w:r w:rsidRPr="00F171A3">
              <w:rPr>
                <w:rFonts w:cstheme="minorHAnsi"/>
                <w:color w:val="134753"/>
                <w:sz w:val="20"/>
                <w:szCs w:val="20"/>
              </w:rPr>
              <w:t>Una din provocările semnalate de strategie precedentă a fost informatizarea redusă a proceselor interne, birocratizarea excesivă și lipsa unor soluții digitale. Acest lucru se păstrează în continuare și este o provocare importantă la nivelul Primăriei Sector</w:t>
            </w:r>
            <w:r w:rsidR="00135D70" w:rsidRPr="00F171A3">
              <w:rPr>
                <w:rFonts w:cstheme="minorHAnsi"/>
                <w:color w:val="134753"/>
                <w:sz w:val="20"/>
                <w:szCs w:val="20"/>
              </w:rPr>
              <w:t>ului</w:t>
            </w:r>
            <w:r w:rsidRPr="00F171A3">
              <w:rPr>
                <w:rFonts w:cstheme="minorHAnsi"/>
                <w:color w:val="134753"/>
                <w:sz w:val="20"/>
                <w:szCs w:val="20"/>
              </w:rPr>
              <w:t xml:space="preserve"> 2. </w:t>
            </w:r>
          </w:p>
          <w:p w14:paraId="12C022A4" w14:textId="77777777" w:rsidR="00FD2556" w:rsidRPr="00F171A3" w:rsidRDefault="00FD2556" w:rsidP="00244806">
            <w:pPr>
              <w:spacing w:after="0"/>
              <w:ind w:left="720"/>
              <w:rPr>
                <w:rFonts w:cstheme="minorHAnsi"/>
                <w:color w:val="134753"/>
                <w:sz w:val="20"/>
                <w:szCs w:val="20"/>
              </w:rPr>
            </w:pPr>
            <w:r w:rsidRPr="00F171A3">
              <w:rPr>
                <w:rFonts w:cstheme="minorHAnsi"/>
                <w:color w:val="134753"/>
                <w:sz w:val="20"/>
                <w:szCs w:val="20"/>
              </w:rPr>
              <w:t xml:space="preserve">Digitalizarea limitată a proceselor interne și utilizarea deseori a adreselor oficiale și documentelor în format imprimat (pe hârtie) inclusiv în comunicarea între departamente.  Instituția nu dispune nu de o arhivă electronică. </w:t>
            </w:r>
          </w:p>
        </w:tc>
      </w:tr>
      <w:tr w:rsidR="00FD2556" w:rsidRPr="00F171A3" w14:paraId="065CC787" w14:textId="77777777" w:rsidTr="00244806">
        <w:trPr>
          <w:trHeight w:val="20"/>
        </w:trPr>
        <w:tc>
          <w:tcPr>
            <w:tcW w:w="4716" w:type="dxa"/>
            <w:shd w:val="clear" w:color="auto" w:fill="134753"/>
          </w:tcPr>
          <w:p w14:paraId="006CBEAB" w14:textId="77777777" w:rsidR="00FD2556" w:rsidRPr="00F171A3" w:rsidRDefault="00FD2556" w:rsidP="00244806">
            <w:pPr>
              <w:spacing w:after="0"/>
              <w:jc w:val="center"/>
              <w:rPr>
                <w:b/>
                <w:bCs/>
                <w:sz w:val="20"/>
                <w:szCs w:val="20"/>
              </w:rPr>
            </w:pPr>
            <w:r w:rsidRPr="00F171A3">
              <w:rPr>
                <w:b/>
                <w:bCs/>
                <w:sz w:val="20"/>
                <w:szCs w:val="20"/>
              </w:rPr>
              <w:t>OPORTUNITĂȚI</w:t>
            </w:r>
          </w:p>
        </w:tc>
        <w:tc>
          <w:tcPr>
            <w:tcW w:w="4846" w:type="dxa"/>
            <w:shd w:val="clear" w:color="auto" w:fill="134753"/>
          </w:tcPr>
          <w:p w14:paraId="66DB4E6E" w14:textId="77777777" w:rsidR="00FD2556" w:rsidRPr="00F171A3" w:rsidRDefault="00FD2556" w:rsidP="00244806">
            <w:pPr>
              <w:spacing w:after="0"/>
              <w:jc w:val="center"/>
              <w:rPr>
                <w:b/>
                <w:bCs/>
                <w:sz w:val="20"/>
                <w:szCs w:val="20"/>
              </w:rPr>
            </w:pPr>
            <w:r w:rsidRPr="00F171A3">
              <w:rPr>
                <w:b/>
                <w:bCs/>
                <w:sz w:val="20"/>
                <w:szCs w:val="20"/>
              </w:rPr>
              <w:t>AMENINȚĂRI</w:t>
            </w:r>
          </w:p>
        </w:tc>
      </w:tr>
      <w:tr w:rsidR="00FD2556" w:rsidRPr="00F171A3" w14:paraId="36F6BF81" w14:textId="77777777" w:rsidTr="00FD2556">
        <w:trPr>
          <w:trHeight w:val="20"/>
        </w:trPr>
        <w:tc>
          <w:tcPr>
            <w:tcW w:w="4716" w:type="dxa"/>
            <w:shd w:val="clear" w:color="auto" w:fill="F2F2F2" w:themeFill="background1" w:themeFillShade="F2"/>
          </w:tcPr>
          <w:p w14:paraId="51DDA197" w14:textId="47289FD5" w:rsidR="00FD2556" w:rsidRPr="00F171A3" w:rsidRDefault="00FD2556">
            <w:pPr>
              <w:numPr>
                <w:ilvl w:val="0"/>
                <w:numId w:val="117"/>
              </w:numPr>
              <w:spacing w:after="0"/>
              <w:rPr>
                <w:b/>
                <w:color w:val="134753"/>
                <w:sz w:val="20"/>
                <w:szCs w:val="20"/>
              </w:rPr>
            </w:pPr>
            <w:r w:rsidRPr="00F171A3">
              <w:rPr>
                <w:color w:val="134753"/>
                <w:sz w:val="20"/>
                <w:szCs w:val="20"/>
              </w:rPr>
              <w:t>Creșterea veniturilor Primăriei Sector</w:t>
            </w:r>
            <w:r w:rsidR="00135D70" w:rsidRPr="00F171A3">
              <w:rPr>
                <w:color w:val="134753"/>
                <w:sz w:val="20"/>
                <w:szCs w:val="20"/>
              </w:rPr>
              <w:t>ului</w:t>
            </w:r>
            <w:r w:rsidRPr="00F171A3">
              <w:rPr>
                <w:color w:val="134753"/>
                <w:sz w:val="20"/>
                <w:szCs w:val="20"/>
              </w:rPr>
              <w:t xml:space="preserve"> 2 ca urmare a:</w:t>
            </w:r>
          </w:p>
          <w:p w14:paraId="3E8CF2E6" w14:textId="77777777" w:rsidR="00FD2556" w:rsidRPr="00F171A3" w:rsidRDefault="00FD2556" w:rsidP="00244806">
            <w:pPr>
              <w:spacing w:after="0"/>
              <w:ind w:left="720"/>
              <w:rPr>
                <w:color w:val="134753"/>
                <w:sz w:val="20"/>
                <w:szCs w:val="20"/>
              </w:rPr>
            </w:pPr>
            <w:r w:rsidRPr="00F171A3">
              <w:rPr>
                <w:color w:val="134753"/>
                <w:sz w:val="20"/>
                <w:szCs w:val="20"/>
              </w:rPr>
              <w:t xml:space="preserve">i. alocărilor crescute aferente proiectelor europene nerambursabile din perioada 2021-2027, respectiv Planului Național de Redresare și Reziliență cu proiecte eligibile până în anul 2026. </w:t>
            </w:r>
          </w:p>
          <w:p w14:paraId="404F419D" w14:textId="77777777" w:rsidR="00FD2556" w:rsidRPr="00F171A3" w:rsidRDefault="00FD2556" w:rsidP="00244806">
            <w:pPr>
              <w:spacing w:after="0"/>
              <w:ind w:left="720"/>
              <w:rPr>
                <w:color w:val="134753"/>
                <w:sz w:val="20"/>
                <w:szCs w:val="20"/>
              </w:rPr>
            </w:pPr>
            <w:r w:rsidRPr="00F171A3">
              <w:rPr>
                <w:color w:val="134753"/>
                <w:sz w:val="20"/>
                <w:szCs w:val="20"/>
              </w:rPr>
              <w:t xml:space="preserve">ii. derulării unor programe naționale de investiții în perioada 2021-2025 (Programul Național Anghel Saligny) sau creșterii subvențiilor de capital de la nivel central.  </w:t>
            </w:r>
          </w:p>
          <w:p w14:paraId="3B94F8A1" w14:textId="77777777" w:rsidR="00FD2556" w:rsidRPr="00F171A3" w:rsidRDefault="00FD2556" w:rsidP="00244806">
            <w:pPr>
              <w:spacing w:after="0"/>
              <w:ind w:left="720"/>
              <w:rPr>
                <w:color w:val="134753"/>
                <w:sz w:val="20"/>
                <w:szCs w:val="20"/>
              </w:rPr>
            </w:pPr>
            <w:r w:rsidRPr="00F171A3">
              <w:rPr>
                <w:color w:val="134753"/>
                <w:sz w:val="20"/>
                <w:szCs w:val="20"/>
              </w:rPr>
              <w:t>iii. decizii potențiale ale Guvernului de a aloca resurse adiționale la nivel local pentru combaterea efectelor pandemiei de COVID-19 (alocări în creștere din cotele defalcate de impozit pe venit sau taxa pe valoare adăugată, subvenții, preluarea unor costuri de la nivel local).</w:t>
            </w:r>
          </w:p>
          <w:p w14:paraId="5D131519" w14:textId="77777777" w:rsidR="00FD2556" w:rsidRPr="00F171A3" w:rsidRDefault="00FD2556" w:rsidP="00244806">
            <w:pPr>
              <w:spacing w:after="0"/>
              <w:ind w:left="720"/>
              <w:rPr>
                <w:color w:val="134753"/>
                <w:sz w:val="20"/>
                <w:szCs w:val="20"/>
              </w:rPr>
            </w:pPr>
            <w:r w:rsidRPr="00F171A3">
              <w:rPr>
                <w:color w:val="134753"/>
                <w:sz w:val="20"/>
                <w:szCs w:val="20"/>
              </w:rPr>
              <w:br/>
            </w:r>
          </w:p>
        </w:tc>
        <w:tc>
          <w:tcPr>
            <w:tcW w:w="4846" w:type="dxa"/>
            <w:shd w:val="clear" w:color="auto" w:fill="F2F2F2" w:themeFill="background1" w:themeFillShade="F2"/>
          </w:tcPr>
          <w:p w14:paraId="3DDF34BB" w14:textId="3648F1C7" w:rsidR="00FD2556" w:rsidRPr="00F171A3" w:rsidRDefault="00FD2556">
            <w:pPr>
              <w:numPr>
                <w:ilvl w:val="0"/>
                <w:numId w:val="118"/>
              </w:numPr>
              <w:pBdr>
                <w:top w:val="nil"/>
                <w:left w:val="nil"/>
                <w:bottom w:val="nil"/>
                <w:right w:val="nil"/>
                <w:between w:val="nil"/>
              </w:pBdr>
              <w:spacing w:after="0"/>
              <w:rPr>
                <w:rFonts w:eastAsia="Calibri" w:cs="Calibri"/>
                <w:b/>
                <w:color w:val="134753"/>
                <w:sz w:val="20"/>
                <w:szCs w:val="20"/>
              </w:rPr>
            </w:pPr>
            <w:r w:rsidRPr="00F171A3">
              <w:rPr>
                <w:rFonts w:eastAsia="Calibri" w:cs="Calibri"/>
                <w:color w:val="134753"/>
                <w:sz w:val="20"/>
                <w:szCs w:val="20"/>
              </w:rPr>
              <w:t xml:space="preserve">Efectele invaziei Ucrainei de către Rusia generează noi presiuni economice și o nevoie accentuată de resurse financiare adiționale la nivel central pentru acoperirea cheltuielilor în creștere. Acest lucru poate determina scăderea alocărilor de resurse financiare de la nivel central, în special în privința sumelor pentru echilibrarea bugetelor locale și cotelor defalcate din impozitul pe venit.  </w:t>
            </w:r>
          </w:p>
        </w:tc>
      </w:tr>
      <w:tr w:rsidR="00E54CB6" w:rsidRPr="00F171A3" w14:paraId="6498F6FC" w14:textId="77777777" w:rsidTr="00FD2556">
        <w:trPr>
          <w:trHeight w:val="20"/>
        </w:trPr>
        <w:tc>
          <w:tcPr>
            <w:tcW w:w="4716" w:type="dxa"/>
            <w:shd w:val="clear" w:color="auto" w:fill="F2F2F2" w:themeFill="background1" w:themeFillShade="F2"/>
          </w:tcPr>
          <w:p w14:paraId="1B29429E" w14:textId="0B682595" w:rsidR="00E54CB6" w:rsidRPr="00F171A3" w:rsidRDefault="00E54CB6">
            <w:pPr>
              <w:pStyle w:val="ListParagraph"/>
              <w:numPr>
                <w:ilvl w:val="0"/>
                <w:numId w:val="117"/>
              </w:numPr>
              <w:rPr>
                <w:color w:val="134753"/>
                <w:sz w:val="20"/>
                <w:szCs w:val="20"/>
              </w:rPr>
            </w:pPr>
            <w:r w:rsidRPr="00F171A3">
              <w:rPr>
                <w:color w:val="134753"/>
                <w:sz w:val="20"/>
                <w:szCs w:val="20"/>
              </w:rPr>
              <w:t xml:space="preserve">Noile priorități ale CFM 2021-2027 și PNRR oferă un cadru favorabil de a gestiona și implementa proiecte care pot rezolva probleme specifice la nivelul sectorului și instituției: eficiență energetică, spațiu verde limitat, digitalizare. </w:t>
            </w:r>
          </w:p>
        </w:tc>
        <w:tc>
          <w:tcPr>
            <w:tcW w:w="4846" w:type="dxa"/>
            <w:shd w:val="clear" w:color="auto" w:fill="F2F2F2" w:themeFill="background1" w:themeFillShade="F2"/>
          </w:tcPr>
          <w:p w14:paraId="18ED59C1" w14:textId="0712485B" w:rsidR="00E54CB6" w:rsidRPr="00F171A3" w:rsidRDefault="00E54CB6">
            <w:pPr>
              <w:pStyle w:val="ListParagraph"/>
              <w:numPr>
                <w:ilvl w:val="0"/>
                <w:numId w:val="118"/>
              </w:numPr>
              <w:spacing w:before="60" w:after="0"/>
              <w:rPr>
                <w:b/>
                <w:color w:val="134753"/>
                <w:sz w:val="20"/>
                <w:szCs w:val="20"/>
              </w:rPr>
            </w:pPr>
            <w:r w:rsidRPr="00F171A3">
              <w:rPr>
                <w:color w:val="134753"/>
                <w:sz w:val="20"/>
                <w:szCs w:val="20"/>
              </w:rPr>
              <w:t>Invazia Ucrainei de către Rusia afectează liniile logistice de la nivel global și liniile de aprovizionare, în special privind bunurile energetice. Creșterea costurilor privind energia electrică și combustibilul se va resimți pentru o perioadă îndelungată. Acestea influențează semnificativ bugetele locale prin creșterea costurilor directe, achizițiile publice, dar și potențialul de creștere a veniturilor locale printr-o mai mare prudență a investitorilor de a promovare noi proiecte în perioade de incertitudine.</w:t>
            </w:r>
          </w:p>
        </w:tc>
      </w:tr>
      <w:tr w:rsidR="00E54CB6" w:rsidRPr="00F171A3" w14:paraId="74FFA5CD" w14:textId="77777777" w:rsidTr="00FD2556">
        <w:trPr>
          <w:trHeight w:val="20"/>
        </w:trPr>
        <w:tc>
          <w:tcPr>
            <w:tcW w:w="4716" w:type="dxa"/>
            <w:shd w:val="clear" w:color="auto" w:fill="F2F2F2" w:themeFill="background1" w:themeFillShade="F2"/>
          </w:tcPr>
          <w:p w14:paraId="4E656C83" w14:textId="77777777" w:rsidR="00E54CB6" w:rsidRPr="00F171A3" w:rsidRDefault="00E54CB6">
            <w:pPr>
              <w:numPr>
                <w:ilvl w:val="0"/>
                <w:numId w:val="117"/>
              </w:numPr>
              <w:pBdr>
                <w:top w:val="nil"/>
                <w:left w:val="nil"/>
                <w:bottom w:val="nil"/>
                <w:right w:val="nil"/>
                <w:between w:val="nil"/>
              </w:pBdr>
              <w:spacing w:after="0"/>
              <w:rPr>
                <w:rFonts w:eastAsia="Calibri" w:cs="Calibri"/>
                <w:b/>
                <w:color w:val="134753"/>
                <w:sz w:val="20"/>
                <w:szCs w:val="20"/>
              </w:rPr>
            </w:pPr>
            <w:r w:rsidRPr="00F171A3">
              <w:rPr>
                <w:color w:val="134753"/>
                <w:sz w:val="20"/>
                <w:szCs w:val="20"/>
              </w:rPr>
              <w:t xml:space="preserve">Creșterea  veniturilor municipalității ca urmare a eliminării restricțiilor pe termen mediu și lung. Situație mai favorabilă de sănătate publică și reluarea completă a activității sectorului Horeca, Turism, evenimente publice, etc. </w:t>
            </w:r>
          </w:p>
          <w:p w14:paraId="2400B58F" w14:textId="77777777" w:rsidR="00E54CB6" w:rsidRPr="00F171A3" w:rsidRDefault="00E54CB6" w:rsidP="00E54CB6">
            <w:pPr>
              <w:pBdr>
                <w:top w:val="nil"/>
                <w:left w:val="nil"/>
                <w:bottom w:val="nil"/>
                <w:right w:val="nil"/>
                <w:between w:val="nil"/>
              </w:pBdr>
              <w:spacing w:after="0"/>
              <w:ind w:left="720"/>
              <w:rPr>
                <w:rFonts w:eastAsia="Calibri" w:cs="Calibri"/>
                <w:b/>
                <w:color w:val="134753"/>
                <w:sz w:val="20"/>
                <w:szCs w:val="20"/>
              </w:rPr>
            </w:pPr>
          </w:p>
          <w:p w14:paraId="623F0109" w14:textId="4A41EBDE" w:rsidR="00E54CB6" w:rsidRPr="00F171A3" w:rsidRDefault="00E54CB6" w:rsidP="00E54CB6">
            <w:pPr>
              <w:spacing w:after="0"/>
              <w:ind w:left="720"/>
              <w:rPr>
                <w:color w:val="134753"/>
                <w:sz w:val="20"/>
                <w:szCs w:val="20"/>
              </w:rPr>
            </w:pPr>
            <w:r w:rsidRPr="00F171A3">
              <w:rPr>
                <w:color w:val="134753"/>
                <w:sz w:val="20"/>
                <w:szCs w:val="20"/>
              </w:rPr>
              <w:t>Creșterea încrederii agenților economici în perspectivele de creștere economică ce s-ar traduce prin derularea de noi investiții la nivel local.</w:t>
            </w:r>
          </w:p>
        </w:tc>
        <w:tc>
          <w:tcPr>
            <w:tcW w:w="4846" w:type="dxa"/>
            <w:shd w:val="clear" w:color="auto" w:fill="F2F2F2" w:themeFill="background1" w:themeFillShade="F2"/>
          </w:tcPr>
          <w:p w14:paraId="2617AAC9" w14:textId="4D85D5CC" w:rsidR="00E54CB6" w:rsidRPr="00F171A3" w:rsidRDefault="00E54CB6">
            <w:pPr>
              <w:pStyle w:val="ListParagraph"/>
              <w:numPr>
                <w:ilvl w:val="0"/>
                <w:numId w:val="118"/>
              </w:numPr>
              <w:spacing w:before="60" w:after="60"/>
              <w:rPr>
                <w:color w:val="134753"/>
                <w:sz w:val="20"/>
                <w:szCs w:val="20"/>
              </w:rPr>
            </w:pPr>
            <w:r w:rsidRPr="00F171A3">
              <w:rPr>
                <w:color w:val="134753"/>
                <w:sz w:val="20"/>
                <w:szCs w:val="20"/>
              </w:rPr>
              <w:t>Ultimele prognoze ale Comisiei Europene (Iulie 2022) indică o inflație de 11% în 2022, și 7.2% în 2023. Cursul de schimb LEI-EUR este estimat să depășească o paritate de 5 la 1 la sfârșitul anului 2022. Impact potențial semnificativ asupra (1) scăderii puterii de cumpărare cu efect direct asupra veniturilor la nivel local, (2) creșterea costurilor de împrumut ale municipalității și (3) creșterea costurilor proiectelor de investiții.</w:t>
            </w:r>
          </w:p>
        </w:tc>
      </w:tr>
      <w:tr w:rsidR="00FD2556" w:rsidRPr="00F171A3" w14:paraId="651AD607" w14:textId="77777777" w:rsidTr="00FD2556">
        <w:trPr>
          <w:trHeight w:val="20"/>
        </w:trPr>
        <w:tc>
          <w:tcPr>
            <w:tcW w:w="4716" w:type="dxa"/>
            <w:shd w:val="clear" w:color="auto" w:fill="F2F2F2" w:themeFill="background1" w:themeFillShade="F2"/>
          </w:tcPr>
          <w:p w14:paraId="0D29DD92" w14:textId="60B6F1D0" w:rsidR="00FD2556" w:rsidRPr="00F171A3" w:rsidRDefault="00E54CB6">
            <w:pPr>
              <w:pStyle w:val="ListParagraph"/>
              <w:numPr>
                <w:ilvl w:val="0"/>
                <w:numId w:val="118"/>
              </w:numPr>
              <w:pBdr>
                <w:top w:val="nil"/>
                <w:left w:val="nil"/>
                <w:bottom w:val="nil"/>
                <w:right w:val="nil"/>
                <w:between w:val="nil"/>
              </w:pBdr>
              <w:spacing w:after="0"/>
              <w:rPr>
                <w:color w:val="134753"/>
                <w:sz w:val="20"/>
                <w:szCs w:val="20"/>
              </w:rPr>
            </w:pPr>
            <w:r w:rsidRPr="00F171A3">
              <w:rPr>
                <w:color w:val="134753"/>
                <w:sz w:val="20"/>
                <w:szCs w:val="20"/>
              </w:rPr>
              <w:t>Noile priorități ale CFM 2021-2027 și PNRR oferă un cadru favorabil de a gestiona și implementa proiecte care pot rezolva probleme specifice la nivelul sectorului și instituției: eficiență energetică, spațiu verde limitat, digitalizare.</w:t>
            </w:r>
          </w:p>
        </w:tc>
        <w:tc>
          <w:tcPr>
            <w:tcW w:w="4846" w:type="dxa"/>
            <w:shd w:val="clear" w:color="auto" w:fill="F2F2F2" w:themeFill="background1" w:themeFillShade="F2"/>
          </w:tcPr>
          <w:p w14:paraId="1A25E2EA" w14:textId="77777777" w:rsidR="00FD2556" w:rsidRPr="00F171A3" w:rsidRDefault="00FD2556">
            <w:pPr>
              <w:pStyle w:val="ListParagraph"/>
              <w:numPr>
                <w:ilvl w:val="0"/>
                <w:numId w:val="118"/>
              </w:numPr>
              <w:pBdr>
                <w:top w:val="nil"/>
                <w:left w:val="nil"/>
                <w:bottom w:val="nil"/>
                <w:right w:val="nil"/>
                <w:between w:val="nil"/>
              </w:pBdr>
              <w:spacing w:after="0"/>
              <w:rPr>
                <w:color w:val="134753"/>
                <w:sz w:val="20"/>
                <w:szCs w:val="20"/>
              </w:rPr>
            </w:pPr>
            <w:r w:rsidRPr="00F171A3">
              <w:rPr>
                <w:color w:val="134753"/>
                <w:sz w:val="20"/>
                <w:szCs w:val="20"/>
              </w:rPr>
              <w:t>Modificările de priorități de finanțare de la nivelul UE, atât parte a Cadrului Financiar Multianual 2021-2027, cât și Planului Național de Redresare și Reziliență, ce necesită o abordare diferită față de perioadele anterioare și poate influența capacitatea de absorbție a fondurilor de către municipalitate.</w:t>
            </w:r>
          </w:p>
          <w:p w14:paraId="3A7ED950" w14:textId="77777777" w:rsidR="00FD2556" w:rsidRPr="00F171A3" w:rsidRDefault="00FD2556" w:rsidP="00244806">
            <w:pPr>
              <w:pBdr>
                <w:top w:val="nil"/>
                <w:left w:val="nil"/>
                <w:bottom w:val="nil"/>
                <w:right w:val="nil"/>
                <w:between w:val="nil"/>
              </w:pBdr>
              <w:spacing w:after="0"/>
              <w:ind w:left="720"/>
              <w:rPr>
                <w:rFonts w:eastAsia="Calibri" w:cs="Calibri"/>
                <w:b/>
                <w:color w:val="134753"/>
                <w:sz w:val="20"/>
                <w:szCs w:val="20"/>
              </w:rPr>
            </w:pPr>
          </w:p>
          <w:p w14:paraId="1F3C3DC8" w14:textId="21243D81" w:rsidR="00FD2556" w:rsidRPr="00F171A3" w:rsidRDefault="00FD2556" w:rsidP="00E54CB6">
            <w:pPr>
              <w:spacing w:after="0"/>
              <w:ind w:left="720"/>
              <w:rPr>
                <w:rFonts w:eastAsia="Calibri" w:cs="Calibri"/>
                <w:color w:val="134753"/>
                <w:sz w:val="20"/>
                <w:szCs w:val="20"/>
              </w:rPr>
            </w:pPr>
            <w:r w:rsidRPr="00F171A3">
              <w:rPr>
                <w:color w:val="134753"/>
                <w:sz w:val="20"/>
                <w:szCs w:val="20"/>
              </w:rPr>
              <w:t>Lansarea întârziată a axelor CFM 2021-2027 pentru administrațiile locale ce poate genera întârzieri semnificative în contractarea, implementarea și rambursarea fondurilor destinate proiectelor FEN.</w:t>
            </w:r>
          </w:p>
        </w:tc>
      </w:tr>
      <w:tr w:rsidR="00FD2556" w:rsidRPr="00F171A3" w14:paraId="74A54245" w14:textId="77777777" w:rsidTr="00F35DEE">
        <w:trPr>
          <w:trHeight w:val="3383"/>
        </w:trPr>
        <w:tc>
          <w:tcPr>
            <w:tcW w:w="4716" w:type="dxa"/>
            <w:shd w:val="clear" w:color="auto" w:fill="F2F2F2" w:themeFill="background1" w:themeFillShade="F2"/>
          </w:tcPr>
          <w:p w14:paraId="30CFB7B3" w14:textId="117B5B44" w:rsidR="00FD2556" w:rsidRPr="00F171A3" w:rsidRDefault="00E54CB6">
            <w:pPr>
              <w:pStyle w:val="ListParagraph"/>
              <w:numPr>
                <w:ilvl w:val="0"/>
                <w:numId w:val="118"/>
              </w:numPr>
              <w:spacing w:after="0"/>
              <w:rPr>
                <w:color w:val="134753"/>
                <w:sz w:val="20"/>
                <w:szCs w:val="20"/>
              </w:rPr>
            </w:pPr>
            <w:r w:rsidRPr="00F171A3">
              <w:rPr>
                <w:color w:val="134753"/>
                <w:sz w:val="20"/>
                <w:szCs w:val="20"/>
              </w:rPr>
              <w:t>O mai bună cooperare cu Primăriile de Sector, Primăria Generală și Primăriile din Ilfov pentru a promova soluții comune la unele dintre problemele urgente de la nivelul Sectorului 2 și Bucureștiului.</w:t>
            </w:r>
          </w:p>
        </w:tc>
        <w:tc>
          <w:tcPr>
            <w:tcW w:w="4846" w:type="dxa"/>
            <w:shd w:val="clear" w:color="auto" w:fill="F2F2F2" w:themeFill="background1" w:themeFillShade="F2"/>
          </w:tcPr>
          <w:p w14:paraId="2BC715E3" w14:textId="2993847F" w:rsidR="00FD2556" w:rsidRPr="00F171A3" w:rsidRDefault="00FD2556">
            <w:pPr>
              <w:pStyle w:val="ListParagraph"/>
              <w:numPr>
                <w:ilvl w:val="0"/>
                <w:numId w:val="118"/>
              </w:numPr>
              <w:pBdr>
                <w:top w:val="nil"/>
                <w:left w:val="nil"/>
                <w:bottom w:val="nil"/>
                <w:right w:val="nil"/>
                <w:between w:val="nil"/>
              </w:pBdr>
              <w:spacing w:after="0"/>
              <w:rPr>
                <w:color w:val="134753"/>
                <w:sz w:val="20"/>
                <w:szCs w:val="20"/>
              </w:rPr>
            </w:pPr>
            <w:r w:rsidRPr="00F171A3">
              <w:rPr>
                <w:color w:val="134753"/>
                <w:sz w:val="20"/>
                <w:szCs w:val="20"/>
              </w:rPr>
              <w:t>Rata modestă de vaccinare la nivel național poate reprezenta o barieră semnificativă în revenirea economică în condițiile potențiale ale unor no</w:t>
            </w:r>
            <w:r w:rsidR="00C66438">
              <w:rPr>
                <w:color w:val="134753"/>
                <w:sz w:val="20"/>
                <w:szCs w:val="20"/>
              </w:rPr>
              <w:t>i</w:t>
            </w:r>
            <w:r w:rsidRPr="00F171A3">
              <w:rPr>
                <w:color w:val="134753"/>
                <w:sz w:val="20"/>
                <w:szCs w:val="20"/>
              </w:rPr>
              <w:t xml:space="preserve"> restricții cauzate de pandemia COVID-19, inclusiv costuri ridicate cu susținerea sectoarelor cele mai afectate (turism, Horeca, evenimente), potențiale reduceri de taxe locale și oferirea de facilit</w:t>
            </w:r>
            <w:r w:rsidR="00C66438">
              <w:rPr>
                <w:color w:val="134753"/>
                <w:sz w:val="20"/>
                <w:szCs w:val="20"/>
              </w:rPr>
              <w:t>ăți</w:t>
            </w:r>
            <w:r w:rsidRPr="00F171A3">
              <w:rPr>
                <w:color w:val="134753"/>
                <w:sz w:val="20"/>
                <w:szCs w:val="20"/>
              </w:rPr>
              <w:t xml:space="preserve">. Nevoia de investiții suplimentare în sectorul de sănătate. </w:t>
            </w:r>
          </w:p>
          <w:p w14:paraId="0F9F605D" w14:textId="77777777" w:rsidR="00FD2556" w:rsidRPr="00F171A3" w:rsidRDefault="00FD2556" w:rsidP="00E54CB6">
            <w:pPr>
              <w:pBdr>
                <w:top w:val="nil"/>
                <w:left w:val="nil"/>
                <w:bottom w:val="nil"/>
                <w:right w:val="nil"/>
                <w:between w:val="nil"/>
              </w:pBdr>
              <w:spacing w:after="0"/>
              <w:ind w:left="360"/>
              <w:rPr>
                <w:rFonts w:eastAsia="Calibri" w:cs="Calibri"/>
                <w:b/>
                <w:color w:val="134753"/>
                <w:sz w:val="20"/>
                <w:szCs w:val="20"/>
              </w:rPr>
            </w:pPr>
          </w:p>
          <w:p w14:paraId="70407A6B" w14:textId="77777777" w:rsidR="00FD2556" w:rsidRPr="00F171A3" w:rsidRDefault="00FD2556" w:rsidP="00244806">
            <w:pPr>
              <w:spacing w:after="0"/>
              <w:ind w:left="720"/>
              <w:rPr>
                <w:color w:val="134753"/>
                <w:sz w:val="20"/>
                <w:szCs w:val="20"/>
              </w:rPr>
            </w:pPr>
            <w:r w:rsidRPr="00F171A3">
              <w:rPr>
                <w:color w:val="134753"/>
                <w:sz w:val="20"/>
                <w:szCs w:val="20"/>
              </w:rPr>
              <w:t>Scăderea veniturilor din sectorul HoReCa sau de Turism ca efect al pandemiei COVID-19 aduce numeroase provocări pe orizontală (impact negativ substanțial asupra sectoarelor economice, venituri limitate dinspre agenții economici, nevoia de programe de suport la nivel local prin scăderea sau anularea unor taxe și servicii locale, oferirea de facilități fiscale, etc.).</w:t>
            </w:r>
          </w:p>
        </w:tc>
      </w:tr>
      <w:tr w:rsidR="00FD2556" w:rsidRPr="00F171A3" w14:paraId="732857F6" w14:textId="77777777" w:rsidTr="00FD2556">
        <w:trPr>
          <w:trHeight w:val="20"/>
        </w:trPr>
        <w:tc>
          <w:tcPr>
            <w:tcW w:w="4716" w:type="dxa"/>
            <w:shd w:val="clear" w:color="auto" w:fill="F2F2F2" w:themeFill="background1" w:themeFillShade="F2"/>
          </w:tcPr>
          <w:p w14:paraId="38476737" w14:textId="77777777" w:rsidR="00E54CB6" w:rsidRPr="00F171A3" w:rsidRDefault="00E54CB6">
            <w:pPr>
              <w:pStyle w:val="ListParagraph"/>
              <w:numPr>
                <w:ilvl w:val="0"/>
                <w:numId w:val="118"/>
              </w:numPr>
              <w:pBdr>
                <w:top w:val="nil"/>
                <w:left w:val="nil"/>
                <w:bottom w:val="nil"/>
                <w:right w:val="nil"/>
                <w:between w:val="nil"/>
              </w:pBdr>
              <w:spacing w:after="0"/>
              <w:rPr>
                <w:color w:val="134753"/>
                <w:sz w:val="20"/>
                <w:szCs w:val="20"/>
              </w:rPr>
            </w:pPr>
            <w:r w:rsidRPr="00F171A3">
              <w:rPr>
                <w:color w:val="134753"/>
                <w:sz w:val="20"/>
                <w:szCs w:val="20"/>
              </w:rPr>
              <w:t xml:space="preserve">Posibilitatea de a beneficia de soluții inovative pentru îmbunătățirea transparenței autorității publice locale și publicarea de date deschise. </w:t>
            </w:r>
          </w:p>
          <w:p w14:paraId="264F85AB" w14:textId="77777777" w:rsidR="00E54CB6" w:rsidRPr="00F171A3" w:rsidRDefault="00E54CB6" w:rsidP="00E54CB6">
            <w:pPr>
              <w:pBdr>
                <w:top w:val="nil"/>
                <w:left w:val="nil"/>
                <w:bottom w:val="nil"/>
                <w:right w:val="nil"/>
                <w:between w:val="nil"/>
              </w:pBdr>
              <w:spacing w:after="0"/>
              <w:rPr>
                <w:rFonts w:eastAsia="Calibri" w:cs="Calibri"/>
                <w:b/>
                <w:color w:val="134753"/>
                <w:sz w:val="20"/>
                <w:szCs w:val="20"/>
              </w:rPr>
            </w:pPr>
          </w:p>
          <w:p w14:paraId="53C7BF0C" w14:textId="77777777" w:rsidR="00E54CB6" w:rsidRPr="00F171A3" w:rsidRDefault="00E54CB6" w:rsidP="00E54CB6">
            <w:pPr>
              <w:spacing w:after="0"/>
              <w:ind w:left="720"/>
              <w:rPr>
                <w:rFonts w:cstheme="minorHAnsi"/>
                <w:color w:val="134753"/>
                <w:sz w:val="20"/>
                <w:szCs w:val="20"/>
              </w:rPr>
            </w:pPr>
            <w:r w:rsidRPr="00F171A3">
              <w:rPr>
                <w:rFonts w:cstheme="minorHAnsi"/>
                <w:color w:val="134753"/>
                <w:sz w:val="20"/>
                <w:szCs w:val="20"/>
              </w:rPr>
              <w:t xml:space="preserve">Potențiale parteneriate cu parteneri externi, fie prin extinderea cooperării și preluarea de bune practici parte a angajamentelor asumate de România prin participarea la Parteneriatul pentru Guvernare Deschisă. </w:t>
            </w:r>
          </w:p>
          <w:p w14:paraId="30F9059A" w14:textId="77777777" w:rsidR="00E54CB6" w:rsidRPr="00F171A3" w:rsidRDefault="00E54CB6" w:rsidP="00E54CB6">
            <w:pPr>
              <w:spacing w:after="0"/>
              <w:ind w:left="720"/>
              <w:rPr>
                <w:rFonts w:cstheme="minorHAnsi"/>
                <w:color w:val="134753"/>
                <w:sz w:val="20"/>
                <w:szCs w:val="20"/>
              </w:rPr>
            </w:pPr>
            <w:r w:rsidRPr="00F171A3">
              <w:rPr>
                <w:rFonts w:cstheme="minorHAnsi"/>
                <w:color w:val="134753"/>
                <w:sz w:val="20"/>
                <w:szCs w:val="20"/>
              </w:rPr>
              <w:t xml:space="preserve">Adoptarea recomandărilor Parteneriatului pentru Guvernarea Deschisă la nivel local. </w:t>
            </w:r>
          </w:p>
          <w:p w14:paraId="5C58C168" w14:textId="77777777" w:rsidR="00E54CB6" w:rsidRPr="00F171A3" w:rsidRDefault="00E54CB6" w:rsidP="00E54CB6">
            <w:pPr>
              <w:spacing w:after="0"/>
              <w:ind w:left="720"/>
              <w:rPr>
                <w:rFonts w:cstheme="minorHAnsi"/>
                <w:color w:val="134753"/>
                <w:sz w:val="20"/>
                <w:szCs w:val="20"/>
              </w:rPr>
            </w:pPr>
            <w:r w:rsidRPr="00F171A3">
              <w:rPr>
                <w:rFonts w:cstheme="minorHAnsi"/>
                <w:color w:val="134753"/>
                <w:sz w:val="20"/>
                <w:szCs w:val="20"/>
              </w:rPr>
              <w:t xml:space="preserve">Creșterea gradului de digitalizare a administrației publice locale prin adaptarea de soluții generate de inițiativele naționale, europene sau internaționale. </w:t>
            </w:r>
          </w:p>
          <w:p w14:paraId="02EC4463" w14:textId="5400922A" w:rsidR="00FD2556" w:rsidRPr="00F171A3" w:rsidRDefault="00E54CB6" w:rsidP="00E54CB6">
            <w:pPr>
              <w:pBdr>
                <w:top w:val="nil"/>
                <w:left w:val="nil"/>
                <w:bottom w:val="nil"/>
                <w:right w:val="nil"/>
                <w:between w:val="nil"/>
              </w:pBdr>
              <w:spacing w:after="0"/>
              <w:ind w:left="720"/>
              <w:rPr>
                <w:rFonts w:eastAsia="Calibri" w:cs="Calibri"/>
                <w:b/>
                <w:color w:val="134753"/>
                <w:sz w:val="20"/>
                <w:szCs w:val="20"/>
              </w:rPr>
            </w:pPr>
            <w:r w:rsidRPr="00F171A3">
              <w:rPr>
                <w:rFonts w:cstheme="minorHAnsi"/>
                <w:color w:val="134753"/>
                <w:sz w:val="20"/>
                <w:szCs w:val="20"/>
              </w:rPr>
              <w:t>Accesarea programelor de digitalizare ce vor fi disponibile ca parte a Planului Național de Redresare și Reziliență.</w:t>
            </w:r>
          </w:p>
        </w:tc>
        <w:tc>
          <w:tcPr>
            <w:tcW w:w="4846" w:type="dxa"/>
            <w:shd w:val="clear" w:color="auto" w:fill="F2F2F2" w:themeFill="background1" w:themeFillShade="F2"/>
          </w:tcPr>
          <w:p w14:paraId="3D082C0F" w14:textId="77777777" w:rsidR="00FD2556" w:rsidRPr="00F171A3" w:rsidRDefault="00FD2556">
            <w:pPr>
              <w:pStyle w:val="ListParagraph"/>
              <w:numPr>
                <w:ilvl w:val="0"/>
                <w:numId w:val="118"/>
              </w:numPr>
              <w:pBdr>
                <w:top w:val="nil"/>
                <w:left w:val="nil"/>
                <w:bottom w:val="nil"/>
                <w:right w:val="nil"/>
                <w:between w:val="nil"/>
              </w:pBdr>
              <w:spacing w:after="0"/>
              <w:rPr>
                <w:color w:val="134753"/>
                <w:sz w:val="20"/>
                <w:szCs w:val="20"/>
              </w:rPr>
            </w:pPr>
            <w:r w:rsidRPr="00F171A3">
              <w:rPr>
                <w:color w:val="134753"/>
                <w:sz w:val="20"/>
                <w:szCs w:val="20"/>
              </w:rPr>
              <w:t xml:space="preserve">Lipsa unor formate clare și transparente (inclusiv grupuri de lucru) de a gestiona în comun probleme cu impact la nivelul orașului, inclusiv mobilitate, termoficare, spațiu verde. </w:t>
            </w:r>
          </w:p>
          <w:p w14:paraId="226556AA" w14:textId="77777777" w:rsidR="00E54CB6" w:rsidRPr="00F171A3" w:rsidRDefault="00E54CB6" w:rsidP="00E54CB6">
            <w:pPr>
              <w:pStyle w:val="ListParagraph"/>
              <w:spacing w:after="0"/>
              <w:rPr>
                <w:color w:val="134753"/>
                <w:sz w:val="20"/>
                <w:szCs w:val="20"/>
              </w:rPr>
            </w:pPr>
          </w:p>
          <w:p w14:paraId="7D8F07BA" w14:textId="65A5BD8A" w:rsidR="00FD2556" w:rsidRPr="00F171A3" w:rsidRDefault="00FD2556" w:rsidP="00E54CB6">
            <w:pPr>
              <w:pStyle w:val="ListParagraph"/>
              <w:spacing w:after="0"/>
              <w:rPr>
                <w:rFonts w:cstheme="minorHAnsi"/>
                <w:color w:val="134753"/>
                <w:sz w:val="20"/>
                <w:szCs w:val="20"/>
              </w:rPr>
            </w:pPr>
            <w:r w:rsidRPr="00F171A3">
              <w:rPr>
                <w:color w:val="134753"/>
                <w:sz w:val="20"/>
                <w:szCs w:val="20"/>
              </w:rPr>
              <w:t>Suportul (inclusiv financiar) oferit Primăriei Municipiului București poate reprezenta doar un instrument pe termen scurt pentru a gestiona situații punctuale.</w:t>
            </w:r>
            <w:r w:rsidRPr="00F171A3">
              <w:rPr>
                <w:rFonts w:cstheme="minorHAnsi"/>
                <w:color w:val="134753"/>
                <w:sz w:val="20"/>
                <w:szCs w:val="20"/>
              </w:rPr>
              <w:t xml:space="preserve"> </w:t>
            </w:r>
          </w:p>
        </w:tc>
      </w:tr>
      <w:tr w:rsidR="00FD2556" w:rsidRPr="00F171A3" w14:paraId="59CAEA31" w14:textId="77777777" w:rsidTr="00FD2556">
        <w:trPr>
          <w:trHeight w:val="20"/>
        </w:trPr>
        <w:tc>
          <w:tcPr>
            <w:tcW w:w="4716" w:type="dxa"/>
            <w:shd w:val="clear" w:color="auto" w:fill="F2F2F2" w:themeFill="background1" w:themeFillShade="F2"/>
          </w:tcPr>
          <w:p w14:paraId="61043ED8" w14:textId="162178F0" w:rsidR="00FD2556" w:rsidRPr="00F171A3" w:rsidRDefault="00E54CB6">
            <w:pPr>
              <w:pStyle w:val="ListParagraph"/>
              <w:numPr>
                <w:ilvl w:val="0"/>
                <w:numId w:val="118"/>
              </w:numPr>
              <w:spacing w:after="0"/>
              <w:rPr>
                <w:color w:val="134753"/>
                <w:sz w:val="20"/>
                <w:szCs w:val="20"/>
              </w:rPr>
            </w:pPr>
            <w:r w:rsidRPr="00F171A3">
              <w:rPr>
                <w:color w:val="134753"/>
                <w:sz w:val="20"/>
                <w:szCs w:val="20"/>
              </w:rPr>
              <w:t>Accesul la programe externe de formare, cursuri profesionale și pregătire continuă pentru angajații Primăriei Sector</w:t>
            </w:r>
            <w:r w:rsidR="00135D70" w:rsidRPr="00F171A3">
              <w:rPr>
                <w:color w:val="134753"/>
                <w:sz w:val="20"/>
                <w:szCs w:val="20"/>
              </w:rPr>
              <w:t>ului</w:t>
            </w:r>
            <w:r w:rsidRPr="00F171A3">
              <w:rPr>
                <w:color w:val="134753"/>
                <w:sz w:val="20"/>
                <w:szCs w:val="20"/>
              </w:rPr>
              <w:t xml:space="preserve"> 2, desfășurate de autoritățile publice centrale, instituții europene sau cursuri de formare ale operatorilor acreditați.   </w:t>
            </w:r>
          </w:p>
        </w:tc>
        <w:tc>
          <w:tcPr>
            <w:tcW w:w="4846" w:type="dxa"/>
            <w:shd w:val="clear" w:color="auto" w:fill="F2F2F2" w:themeFill="background1" w:themeFillShade="F2"/>
          </w:tcPr>
          <w:p w14:paraId="460F7366" w14:textId="66424E69" w:rsidR="00FD2556" w:rsidRPr="00F171A3" w:rsidRDefault="00FD2556">
            <w:pPr>
              <w:pStyle w:val="ListParagraph"/>
              <w:numPr>
                <w:ilvl w:val="0"/>
                <w:numId w:val="118"/>
              </w:numPr>
              <w:pBdr>
                <w:top w:val="nil"/>
                <w:left w:val="nil"/>
                <w:bottom w:val="nil"/>
                <w:right w:val="nil"/>
                <w:between w:val="nil"/>
              </w:pBdr>
              <w:spacing w:after="0"/>
              <w:rPr>
                <w:color w:val="134753"/>
                <w:sz w:val="20"/>
                <w:szCs w:val="20"/>
              </w:rPr>
            </w:pPr>
            <w:r w:rsidRPr="00F171A3">
              <w:rPr>
                <w:color w:val="134753"/>
                <w:sz w:val="20"/>
                <w:szCs w:val="20"/>
              </w:rPr>
              <w:t>Competiția ridicată de la nivelul Bucureștiului și zonei metropolitane în ceea ce privește capacitatea administrativă, potențialul de investiții la nivel local, etc.</w:t>
            </w:r>
          </w:p>
        </w:tc>
      </w:tr>
      <w:tr w:rsidR="00FD2556" w:rsidRPr="00F171A3" w14:paraId="54BBC321" w14:textId="77777777" w:rsidTr="00FD2556">
        <w:trPr>
          <w:trHeight w:val="20"/>
        </w:trPr>
        <w:tc>
          <w:tcPr>
            <w:tcW w:w="4716" w:type="dxa"/>
            <w:shd w:val="clear" w:color="auto" w:fill="F2F2F2" w:themeFill="background1" w:themeFillShade="F2"/>
          </w:tcPr>
          <w:p w14:paraId="58874758" w14:textId="75028AAA" w:rsidR="00FD2556" w:rsidRPr="00F171A3" w:rsidRDefault="00FD2556" w:rsidP="00E54CB6">
            <w:pPr>
              <w:pBdr>
                <w:top w:val="nil"/>
                <w:left w:val="nil"/>
                <w:bottom w:val="nil"/>
                <w:right w:val="nil"/>
                <w:between w:val="nil"/>
              </w:pBdr>
              <w:spacing w:after="0"/>
              <w:ind w:left="360"/>
              <w:rPr>
                <w:rFonts w:eastAsia="Calibri" w:cs="Calibri"/>
                <w:b/>
                <w:color w:val="134753"/>
                <w:sz w:val="20"/>
                <w:szCs w:val="20"/>
              </w:rPr>
            </w:pPr>
          </w:p>
        </w:tc>
        <w:tc>
          <w:tcPr>
            <w:tcW w:w="4846" w:type="dxa"/>
            <w:shd w:val="clear" w:color="auto" w:fill="F2F2F2" w:themeFill="background1" w:themeFillShade="F2"/>
          </w:tcPr>
          <w:p w14:paraId="2ECEF5E3" w14:textId="384FBFD3" w:rsidR="00FD2556" w:rsidRPr="00F171A3" w:rsidRDefault="00FD2556">
            <w:pPr>
              <w:pStyle w:val="ListParagraph"/>
              <w:numPr>
                <w:ilvl w:val="0"/>
                <w:numId w:val="118"/>
              </w:numPr>
              <w:pBdr>
                <w:top w:val="nil"/>
                <w:left w:val="nil"/>
                <w:bottom w:val="nil"/>
                <w:right w:val="nil"/>
                <w:between w:val="nil"/>
              </w:pBdr>
              <w:spacing w:after="0"/>
              <w:rPr>
                <w:color w:val="134753"/>
                <w:sz w:val="20"/>
                <w:szCs w:val="20"/>
              </w:rPr>
            </w:pPr>
            <w:r w:rsidRPr="00F171A3">
              <w:rPr>
                <w:color w:val="134753"/>
                <w:sz w:val="20"/>
                <w:szCs w:val="20"/>
              </w:rPr>
              <w:t xml:space="preserve">Concurență foarte ridicată din partea altor municipii și zone metropolitane din regiune pentru investiții la nivel regional. </w:t>
            </w:r>
          </w:p>
        </w:tc>
      </w:tr>
    </w:tbl>
    <w:p w14:paraId="1E0F2282" w14:textId="11A9C7BC" w:rsidR="006A54E6" w:rsidRPr="00F171A3" w:rsidRDefault="006A54E6" w:rsidP="007F2663">
      <w:pPr>
        <w:pStyle w:val="Normal0"/>
      </w:pPr>
    </w:p>
    <w:p w14:paraId="727E7586" w14:textId="77777777" w:rsidR="008A6FAE" w:rsidRPr="00F171A3" w:rsidRDefault="008A6FAE" w:rsidP="007F2663">
      <w:pPr>
        <w:pStyle w:val="Normal0"/>
        <w:sectPr w:rsidR="008A6FAE" w:rsidRPr="00F171A3" w:rsidSect="008A6FAE">
          <w:headerReference w:type="even" r:id="rId203"/>
          <w:headerReference w:type="default" r:id="rId204"/>
          <w:footerReference w:type="even" r:id="rId205"/>
          <w:footerReference w:type="default" r:id="rId206"/>
          <w:headerReference w:type="first" r:id="rId207"/>
          <w:footerReference w:type="first" r:id="rId208"/>
          <w:pgSz w:w="11906" w:h="16838" w:code="9"/>
          <w:pgMar w:top="1440" w:right="1440" w:bottom="1440" w:left="1440" w:header="720" w:footer="720" w:gutter="0"/>
          <w:cols w:space="720"/>
          <w:docGrid w:linePitch="360"/>
        </w:sectPr>
      </w:pPr>
    </w:p>
    <w:p w14:paraId="5A033112" w14:textId="295F708D" w:rsidR="00B541F6" w:rsidRPr="00F171A3" w:rsidRDefault="00423E88" w:rsidP="00B541F6">
      <w:pPr>
        <w:pStyle w:val="Heading1"/>
        <w:rPr>
          <w:lang w:val="ro-RO"/>
        </w:rPr>
      </w:pPr>
      <w:bookmarkStart w:id="398" w:name="_Toc127199304"/>
      <w:r w:rsidRPr="00F171A3">
        <w:rPr>
          <w:caps w:val="0"/>
          <w:lang w:val="ro-RO"/>
        </w:rPr>
        <w:t>DIAGNOSTIC</w:t>
      </w:r>
      <w:bookmarkEnd w:id="398"/>
    </w:p>
    <w:p w14:paraId="78A43CD8" w14:textId="77777777" w:rsidR="00765DF6" w:rsidRPr="00F171A3" w:rsidRDefault="00B541F6" w:rsidP="006E5A74">
      <w:r w:rsidRPr="00F171A3">
        <w:rPr>
          <w:rStyle w:val="FocusChar"/>
          <w:lang w:val="ro-RO"/>
        </w:rPr>
        <w:t>Demografie</w:t>
      </w:r>
      <w:r w:rsidR="000549B0" w:rsidRPr="00F171A3">
        <w:rPr>
          <w:rStyle w:val="FocusChar"/>
          <w:lang w:val="ro-RO"/>
        </w:rPr>
        <w:t xml:space="preserve"> și dezvoltare locală</w:t>
      </w:r>
    </w:p>
    <w:p w14:paraId="449EBD80" w14:textId="3571A32C" w:rsidR="000549B0" w:rsidRPr="00F171A3" w:rsidRDefault="00B541F6" w:rsidP="006E5A74">
      <w:r w:rsidRPr="00F171A3">
        <w:t xml:space="preserve">La nivel național sunt înregistrate mai multe probleme de ordin demografic, inclusiv lipsa unor date actuale și detaliate cu privire la structura demografică a populației. La </w:t>
      </w:r>
      <w:r w:rsidR="00C66438" w:rsidRPr="00F171A3">
        <w:t>nivelul</w:t>
      </w:r>
      <w:r w:rsidRPr="00F171A3">
        <w:t xml:space="preserve"> Sectorului 2, ca și la nivelul municipiului București, este prognozată o descreștere a resursei de muncă, prin prisma îmbătrânirii generațiilor mai numeroase cu vârsta între 45-55 de ani, și înlocuirea acestora cu generații mai puțin numeroase – tinerii născuți după anul 2000. De asemenea, altă problemă reprezintă rata sporului natural negativ și rata de divorțialitate superioară Capitalei și întregii țări.</w:t>
      </w:r>
      <w:r w:rsidR="000549B0" w:rsidRPr="00F171A3">
        <w:t xml:space="preserve"> </w:t>
      </w:r>
    </w:p>
    <w:p w14:paraId="7C23C411" w14:textId="638DA4ED" w:rsidR="00E86BA6" w:rsidRPr="00F171A3" w:rsidRDefault="006E5A74" w:rsidP="00B541F6">
      <w:r w:rsidRPr="00F171A3">
        <w:t>La nivelul Sectorului 2 există mai multe zone urbane marginalizate care necesită o atenție sporită din parte autorităților, prin prisma DGASPC. Printre principalele probleme care pot fi rezolvate sunt îmbunătățirea calității locuirii (condiții improprii și locuire supraaglomerată) prin alocarea de locuințe sociale sau prin proiecte de modernizare a infrastructurii în zonele respective. De asemenea, este nevoie de programe și proiecte prin care să fie minimalizat riscul abandonului școlar la care sunt expuși copii din zonele urbane marginalizate, iar în rândul adulților să fie realizate programe de reinserție socială și de instruire profesională.</w:t>
      </w:r>
    </w:p>
    <w:p w14:paraId="61315E77" w14:textId="77777777" w:rsidR="00F35DEE" w:rsidRPr="00F171A3" w:rsidRDefault="00F35DEE" w:rsidP="00B541F6"/>
    <w:p w14:paraId="3B954AE6" w14:textId="77777777" w:rsidR="00765DF6" w:rsidRPr="00F171A3" w:rsidRDefault="00E86BA6" w:rsidP="00E86BA6">
      <w:r w:rsidRPr="00F171A3">
        <w:rPr>
          <w:rStyle w:val="FocusChar"/>
          <w:lang w:val="ro-RO"/>
        </w:rPr>
        <w:t>Sănătate</w:t>
      </w:r>
      <w:r w:rsidR="000549B0" w:rsidRPr="00F171A3">
        <w:rPr>
          <w:rStyle w:val="FocusChar"/>
          <w:lang w:val="ro-RO"/>
        </w:rPr>
        <w:t xml:space="preserve"> și servicii sociale</w:t>
      </w:r>
    </w:p>
    <w:p w14:paraId="758DD200" w14:textId="43D15F3A" w:rsidR="00E86BA6" w:rsidRPr="00F171A3" w:rsidRDefault="00E86BA6" w:rsidP="00E86BA6">
      <w:r w:rsidRPr="00F171A3">
        <w:t xml:space="preserve">Municipiul București este principalul furnizor de servicii medicale din țară. Totuși, în urma pandemiei, infrastructura și personalul medical a resimțit o presiune imensă, ceea ce a dus la uzarea fizică și morală a amândurora. Cu ajutorul fondurilor nerambursabile, în perioada de programare 2021-2027 vor fi disponibile finanțări consistente pentru infrastructura de sănătate. Poluarea este unul dintre factorii care influențează negativ sănătatea bucureștenilor într-o măsură tot mai mare, ceea ce impune </w:t>
      </w:r>
      <w:r w:rsidR="00C66438" w:rsidRPr="00F171A3">
        <w:t>necesitatea</w:t>
      </w:r>
      <w:r w:rsidRPr="00F171A3">
        <w:t xml:space="preserve"> de a implementa proiecte și programe eco-friendly.</w:t>
      </w:r>
    </w:p>
    <w:p w14:paraId="158A8B1A" w14:textId="591C48C5" w:rsidR="00A46230" w:rsidRPr="00F171A3" w:rsidRDefault="00A46230" w:rsidP="00A46230">
      <w:pPr>
        <w:rPr>
          <w:bCs/>
        </w:rPr>
      </w:pPr>
      <w:r w:rsidRPr="00F171A3">
        <w:t xml:space="preserve">Servicii sociale. </w:t>
      </w:r>
      <w:r w:rsidRPr="00F171A3">
        <w:rPr>
          <w:bCs/>
        </w:rPr>
        <w:t xml:space="preserve">Diagnostic: Față de anul 2015, situația serviciilor sociale din Sectorul 2 s-a îmbunătățit pe anumite segmente, precum: apariția unor studii și rapoarte cu privire la situația serviciilor sociale, realizarea de parteneriate și asocieri precum și o mai bună comunicare atât a instituției cu beneficiarii, cât și la nivel inter-instituțional. Pe de altă parte, încă persistă problema posturilor de muncă vacante și a insuficienței de personal, precum și necesitatea de înființare a unor servicii publice noi, care să corespundă cererii. Problema digitalizării serviciilor sociale publice a înregistrat progrese, însă nu a ajuns la </w:t>
      </w:r>
      <w:r w:rsidR="00C66438" w:rsidRPr="00F171A3">
        <w:rPr>
          <w:bCs/>
        </w:rPr>
        <w:t>standardele</w:t>
      </w:r>
      <w:r w:rsidRPr="00F171A3">
        <w:rPr>
          <w:bCs/>
        </w:rPr>
        <w:t xml:space="preserve"> actuale.</w:t>
      </w:r>
    </w:p>
    <w:p w14:paraId="6ACA5D81" w14:textId="77777777" w:rsidR="00F35DEE" w:rsidRPr="00F171A3" w:rsidRDefault="00F35DEE" w:rsidP="00A46230">
      <w:pPr>
        <w:rPr>
          <w:bCs/>
        </w:rPr>
      </w:pPr>
    </w:p>
    <w:p w14:paraId="093E5B70" w14:textId="77777777" w:rsidR="000E6EBE" w:rsidRPr="00F171A3" w:rsidRDefault="000E6EBE" w:rsidP="000E6EBE">
      <w:pPr>
        <w:pStyle w:val="BoldCIVITTALightBlue"/>
        <w:rPr>
          <w:rStyle w:val="FocusChar"/>
          <w:b/>
          <w:lang w:val="ro-RO"/>
        </w:rPr>
      </w:pPr>
      <w:r w:rsidRPr="00F171A3">
        <w:rPr>
          <w:rStyle w:val="FocusChar"/>
          <w:b/>
          <w:lang w:val="ro-RO"/>
        </w:rPr>
        <w:t>EDUCAȚIE</w:t>
      </w:r>
    </w:p>
    <w:p w14:paraId="3B9C4D30" w14:textId="13634DFD" w:rsidR="00FF68F8" w:rsidRPr="00F171A3" w:rsidRDefault="00FF68F8" w:rsidP="00FF68F8">
      <w:r w:rsidRPr="00F171A3">
        <w:t xml:space="preserve">Infrastructura de învăţământ preuniversitar se remarcă printr-un nivel de deservire bun în cazul ciclurilor primar și secundar, însă pentru educația timpurie și învățământul preșcolar există încă un necesar de extindere și construcție a spațiilor didactice, în special în zone precum Pipera, Andronache sau Baicului. Deși vedem că în ultimii ani au fost realizate numeroase proiecte de modernizare a rețelei școlare, la nivelul Sectorului 2 încă se regăsesc peste 50 de clădiri ce necesită intervenții de eficientizare energetică, modernizarea spațiilor didactice sau dotarea sălilor de clasă. În plus, încă există un necesar de extindere a laboratoarelor didactice și a facilităților sportive pentru a asigura tuturor elevilor accesul la o infrastructură de învățământ completă din perspectiva dotărilor. </w:t>
      </w:r>
      <w:r w:rsidRPr="00F171A3">
        <w:rPr>
          <w:shd w:val="clear" w:color="auto" w:fill="FFFFFF"/>
        </w:rPr>
        <w:t xml:space="preserve">Totodată, sunt necesare măsuri pentru asigurarea accesului la </w:t>
      </w:r>
      <w:r w:rsidR="00482049" w:rsidRPr="00F171A3">
        <w:rPr>
          <w:shd w:val="clear" w:color="auto" w:fill="FFFFFF"/>
        </w:rPr>
        <w:t>educație</w:t>
      </w:r>
      <w:r w:rsidRPr="00F171A3">
        <w:rPr>
          <w:shd w:val="clear" w:color="auto" w:fill="FFFFFF"/>
        </w:rPr>
        <w:t xml:space="preserve"> a tuturor persoanelor, în special a celor dezavantajate, în sprijinul formării de capital uman proactiv.</w:t>
      </w:r>
    </w:p>
    <w:p w14:paraId="7649FCB5" w14:textId="77777777" w:rsidR="00FF68F8" w:rsidRPr="00F171A3" w:rsidRDefault="00FF68F8" w:rsidP="00FF68F8">
      <w:r w:rsidRPr="00F171A3">
        <w:t>Deși Sectorul 2 se distinge printr-un număr însemnat de licee cu performanțe bune în ce privește rata de promovare la examenul de bacalaureat, este de menţionat problema învăţământului tehnic, unde majoritatea liceelor nu reușesc să obţină rate de promovare mai mari de 50%. Problema este agravată de faptul că nivelul scăzut al rezultatelor școlare din aceste licee se perpetuează ca efect al unor carențe școlare din cadrul ciclului gimnazial. Acest fapt este în antiteză cu rezultatele celor mai mari licee și colegii teoretice, prin intermediul cărora acestea își cresc și mai mult atractivitatea pentru noii absolvenți de gimnaziu. Diferențele între volumele de cereri pentru școlarizarea în cadrul liceelor teoretice versus în cadrul celor tehnice este un exemplu în acest sens, în fiecare an în prima sesiune de admitere liceele tehnologice fiind cele care rămân cu locuri libere, spre deosebire de liceele teoretice de top.</w:t>
      </w:r>
    </w:p>
    <w:p w14:paraId="0C3C881C" w14:textId="514C75A1" w:rsidR="000E6EBE" w:rsidRPr="00F171A3" w:rsidRDefault="00FF68F8" w:rsidP="00A46230">
      <w:r w:rsidRPr="00F171A3">
        <w:t xml:space="preserve">Astfel, pe lângă nevoile structurale ale rețelei de învățământ local, sunt necesare măsuri integrate de reconfigurare a </w:t>
      </w:r>
      <w:r w:rsidR="006D51A8" w:rsidRPr="00F171A3">
        <w:t>învățământului</w:t>
      </w:r>
      <w:r w:rsidRPr="00F171A3">
        <w:t xml:space="preserve"> tehnic şi profesional la nivel de sector prin creşterea calităţii actului educaţional, adaptarea curriculum-ului, adaptarea specializărilor conform cerinţelor pieţei muncii, încurajarea performanţei, transferul elevilor şi absolvenţilor pe piaţa muncii prin parteneriate puternice cu mediul de afaceri precum şi materiale şi campanii de promovare.</w:t>
      </w:r>
    </w:p>
    <w:p w14:paraId="6506A333" w14:textId="77777777" w:rsidR="00F35DEE" w:rsidRPr="00F171A3" w:rsidRDefault="00F35DEE" w:rsidP="00A46230"/>
    <w:p w14:paraId="7DFF5949" w14:textId="41794D9C" w:rsidR="007C293C" w:rsidRPr="00F171A3" w:rsidRDefault="007C293C" w:rsidP="00A46230">
      <w:pPr>
        <w:rPr>
          <w:rStyle w:val="FocusChar"/>
          <w:bCs w:val="0"/>
          <w:lang w:val="ro-RO"/>
        </w:rPr>
      </w:pPr>
      <w:r w:rsidRPr="00F171A3">
        <w:rPr>
          <w:rStyle w:val="FocusChar"/>
          <w:bCs w:val="0"/>
          <w:lang w:val="ro-RO"/>
        </w:rPr>
        <w:t>CULTURĂ, TURISM TIMP LIBER</w:t>
      </w:r>
    </w:p>
    <w:p w14:paraId="7775CA22" w14:textId="54E82394" w:rsidR="007C293C" w:rsidRPr="00F171A3" w:rsidRDefault="007C293C" w:rsidP="007C293C">
      <w:r w:rsidRPr="00F171A3">
        <w:t xml:space="preserve">Oferta culturală și de petrecere a timpului liber a Sectorului 2 este relativ bine dezvoltată, având în vedere faptul că aceasta este complementară infrastructurii și activităților de la nivelul </w:t>
      </w:r>
      <w:r w:rsidR="00050FAA" w:rsidRPr="00F171A3">
        <w:t>m</w:t>
      </w:r>
      <w:r w:rsidRPr="00F171A3">
        <w:t xml:space="preserve">unicipiului București, însă este în continuare necesară o diversificare și o promovare sporită a facilităților oferite. </w:t>
      </w:r>
    </w:p>
    <w:p w14:paraId="7CD87575" w14:textId="77777777" w:rsidR="007C293C" w:rsidRPr="00F171A3" w:rsidRDefault="007C293C" w:rsidP="007C293C">
      <w:r w:rsidRPr="00F171A3">
        <w:t xml:space="preserve">În ceea ce privește infrastructura culturală și de interacțiune socială sau recreere, pe teritoriul Sectorului 2 sunt localizate o serie de instituții culturale relevante, atât la nivel de Sector, cât și la nivel de Capitală, însă acestea sunt localizate preponderent în zona centrală, lucru ce poate duce la un dezechilibru teritorial și la limitarea accesului publicului în anumite zone și cartiere din Sectorul 2. </w:t>
      </w:r>
    </w:p>
    <w:p w14:paraId="171F0284" w14:textId="77777777" w:rsidR="007C293C" w:rsidRPr="00F171A3" w:rsidRDefault="007C293C" w:rsidP="007C293C">
      <w:r w:rsidRPr="00F171A3">
        <w:t>În același timp, oferta evenimentelor culturale de la nivelul Sectorului 2 este diversificată, punând la dispoziția locuitorilor o gamă variată de activități  pe tot parcursul anului. Cu toate acestea, majoritatea acestor evenimente au loc cu precădere tot în zona centrală a Capitalei, evidențiind încă o dată necesitatea suplimentării activităților artistice și de petrecere a timpului liber și in zonele rezidențiale din afara perimetrului central. De asemenea, în ceea ce privește planificarea evenimentelor la nivel local, Sectorul 2 nu are stabilită încă o agendă culturală care să reunească toate activitățile culturale ce au loc pe perioada unui an, un calendar vizibil al activităților putând conduce la o mai bună comunicare între actorii locali relevanți, și inclusiv la diversificarea ofertei culturale, dar și la creșterea consumului cultural din partea comunității locale.</w:t>
      </w:r>
    </w:p>
    <w:p w14:paraId="1BB042EB" w14:textId="77777777" w:rsidR="007C293C" w:rsidRPr="00F171A3" w:rsidRDefault="007C293C" w:rsidP="007C293C">
      <w:r w:rsidRPr="00F171A3">
        <w:t>pe teritoriul Sectorului 2 există și numeroase spații de loisir și de petrecere a timpului liber, concentrate în zonele de locuințe colective sau în imediata apropiere a perimetrului central, dar care nu sunt integrate la nivelul întregului oraș prin intermediul unei rețele de spații verzi-albastre și care nu reușesc să satisfacă în totalitate nevoia locuitorilor și a utilizatorilor Sectorului 2. În acest context, spre exemplu, salba de lacuri a râului Colentina, deși prezintă un potențial crescut în realizarea unor zone speciale de agrement  pentru care s-au depus eforturi considerabile de amenajare de-a lungul anilor, este în acest moment prea puțin valorificată și integrată la nivelul zonelor verzi de pe teritoriul Bucureștiului.</w:t>
      </w:r>
    </w:p>
    <w:p w14:paraId="5403F75A" w14:textId="77777777" w:rsidR="007C293C" w:rsidRPr="00F171A3" w:rsidRDefault="007C293C" w:rsidP="007C293C">
      <w:r w:rsidRPr="00F171A3">
        <w:t>Nu în ultimul rând, Sectorul 2 nu dispune încă de zone pietonale generoase care să poată găzdui diverse evenimente culturale în aer liber, fiind nevoie de o dezvoltare a acestei oferte și o mai bună relaționare și conectare cu parcurile Sectorului 2 și ale Capitalei. Alături de acestea, complexele sportive de dimensiuni mai reduse și terenurile neamenajate pentru practicarea sporturilor necesită o atenție mai mare din partea administrației Sectorului 2 pentru a le putea aduce la standardele actuale de performanță și pentru a putea susține viitoare evenimente sportive care să atragă publicul. Pe de altă parte, se constată nevoia de dezvoltare inclusiv a unor noi dotări sportive care să susțină comunitatea și posibile evenimente care vor putea avea loc pe raza Sectorului 2.</w:t>
      </w:r>
    </w:p>
    <w:p w14:paraId="37352A90" w14:textId="4AAFC6C0" w:rsidR="007C293C" w:rsidRPr="00F171A3" w:rsidRDefault="007C293C" w:rsidP="007C293C">
      <w:r w:rsidRPr="00F171A3">
        <w:t xml:space="preserve">În final, se remarcă ca fiind oportun o exploatare mai mare în beneficiul comunității a resurselor de cadru natural de care dispune sectorul, precum salba de lacuri, zonele virane sau amenajarea spațiilor publice, dar și de o dezvoltare a infrastructurii culturale în special în zonele și cartierele din extremitatea sectorului precum Tei, Andronache, Ion Creangă, care în acest moment nu beneficiază de astfel de dotări sau numărul lor este foarte scăzut. Infrastructura sportivă și de agrement reprezintă de asemenea resurse către care administrația Sectorului 2 ar trebui să își îndrepte o mai mare atenție, pe teritoriul Sectorului 2 existând una dintre cele mai importante resurse de cadru natural care poate oferi spațiu pentru dezvoltarea unor activități de loisir și sportiv, pentru a putea susține comunitatea locală a Sectorului 2 și nu numai. </w:t>
      </w:r>
    </w:p>
    <w:p w14:paraId="54688AD1" w14:textId="77777777" w:rsidR="00F35DEE" w:rsidRPr="00F171A3" w:rsidRDefault="00F35DEE" w:rsidP="007C293C"/>
    <w:p w14:paraId="7DB9B4B2" w14:textId="77777777" w:rsidR="003147AD" w:rsidRPr="00F171A3" w:rsidRDefault="003147AD" w:rsidP="003147AD">
      <w:pPr>
        <w:pStyle w:val="Focus"/>
      </w:pPr>
      <w:r w:rsidRPr="00F171A3">
        <w:t>Patrimoniu construit</w:t>
      </w:r>
    </w:p>
    <w:p w14:paraId="3E58B076" w14:textId="77777777" w:rsidR="006B3928" w:rsidRPr="00F171A3" w:rsidRDefault="006B3928" w:rsidP="006B3928">
      <w:pPr>
        <w:rPr>
          <w:rFonts w:cstheme="minorHAnsi"/>
        </w:rPr>
      </w:pPr>
      <w:r w:rsidRPr="00F171A3">
        <w:rPr>
          <w:rFonts w:cstheme="minorHAnsi"/>
        </w:rPr>
        <w:t xml:space="preserve">Sectorul 2 dispune de un substanțial patrimoniu cultural valoros din punct de vedere urbanistic, arhitectural, istoric și cultural, compus din monumente și ansambluri de arhitectură, situri arheologice, parcelări istorice și clădiri identificate ca având valoare arhitectural-urbanistică deosebită. Administrația publică are în derulare o serie de proiecte care vizează reabilitarea unor imobile amplasate în zonele construite protejate și aflate în administrarea sa, sau proiecte de regenerare urbană a spațiilor publice din zona istorică, inițiative de reabilitare a clădirilor din zonele construite protejate precum și proiecte de amenajare a unor spații verzi sau scuaruri din zona centrală. </w:t>
      </w:r>
    </w:p>
    <w:p w14:paraId="6B767B8D" w14:textId="49A25050" w:rsidR="006B3928" w:rsidRPr="00F171A3" w:rsidRDefault="006B3928" w:rsidP="006B3928">
      <w:pPr>
        <w:rPr>
          <w:rFonts w:cstheme="minorHAnsi"/>
        </w:rPr>
      </w:pPr>
      <w:r w:rsidRPr="00F171A3">
        <w:rPr>
          <w:rFonts w:cstheme="minorHAnsi"/>
        </w:rPr>
        <w:t>Cu toate acestea, în zona centrală, istorică, se regăsesc monumente istorice aflate în stare de degradare sau stare avansată de degradare (56 imobile în anul 2022) și există cazuri în care intervențiile  asupra fondului construit cu valoare culturală</w:t>
      </w:r>
      <w:r w:rsidRPr="00F171A3" w:rsidDel="0096652B">
        <w:rPr>
          <w:rFonts w:cstheme="minorHAnsi"/>
        </w:rPr>
        <w:t xml:space="preserve"> </w:t>
      </w:r>
      <w:r w:rsidRPr="00F171A3">
        <w:rPr>
          <w:rFonts w:cstheme="minorHAnsi"/>
        </w:rPr>
        <w:t xml:space="preserve">nu se încadrează în specificul urbanistic și arhitectural al zonei fapt ce alterează imaginea urbană a centrului istoric. , Astfel, numeroase intervenții arhitecturale derulate în ultimii ani au condus la diminuarea sau dispariția valorii culturale a clădirilor și la apariția unor inserții în zonele construite protejate care au condus la alterarea imaginii urbane, cele mai des întâlnite cazuri reprezentând inserții  în zone protejate care generează disfuncții de înălțime în raport cu clădirile învecinate. </w:t>
      </w:r>
    </w:p>
    <w:p w14:paraId="72EFE57A" w14:textId="77777777" w:rsidR="00F35DEE" w:rsidRPr="00F171A3" w:rsidRDefault="00F35DEE" w:rsidP="006B3928">
      <w:pPr>
        <w:rPr>
          <w:rFonts w:cstheme="minorHAnsi"/>
        </w:rPr>
      </w:pPr>
    </w:p>
    <w:p w14:paraId="3B6EC483" w14:textId="77777777" w:rsidR="006B3928" w:rsidRPr="00F171A3" w:rsidRDefault="006B3928" w:rsidP="006B3928">
      <w:pPr>
        <w:rPr>
          <w:rStyle w:val="FocusChar"/>
          <w:bCs w:val="0"/>
          <w:lang w:val="ro-RO"/>
        </w:rPr>
      </w:pPr>
      <w:r w:rsidRPr="00F171A3">
        <w:rPr>
          <w:rStyle w:val="FocusChar"/>
          <w:bCs w:val="0"/>
          <w:lang w:val="ro-RO"/>
        </w:rPr>
        <w:t>Spațiu public</w:t>
      </w:r>
    </w:p>
    <w:p w14:paraId="2375ABD6" w14:textId="77777777" w:rsidR="006B3928" w:rsidRPr="00F171A3" w:rsidRDefault="006B3928" w:rsidP="006B3928">
      <w:pPr>
        <w:rPr>
          <w:rFonts w:cstheme="minorHAnsi"/>
        </w:rPr>
      </w:pPr>
      <w:r w:rsidRPr="00F171A3">
        <w:rPr>
          <w:rFonts w:cstheme="minorHAnsi"/>
        </w:rPr>
        <w:t xml:space="preserve">Deși Sectorul 2 nu dispune de parcuri de mare amploare, acesta beneficiază de 7 parcuri cu dimensiuni de peste 5ha. De asemenea, în ultimii 15 ani, Primăria Sectorului 2 a depus eforturi considerabile pentru a amenaja treptat segmente din malul salbei de lacuri, în prezent fiind inițiat un amplu proiect de amenajare integrală a malurilor lacului, prin intermediul unui concurs de soluții. Categoriile de spații verzi publice variază în funcție de caracteristicile morfologice ale zonelor care compun Sectorul 2. Astfel, parcurile se concentrează în zonele de locuințe colective cu o densitate ridicată a populației (peste 100 loc./ha.) din exteriorul inelului central. Pe de altă parte, zona centrală este alimentată preponderent de piațete, scuaruri (18) sau grădini (2). În prezent, aceste spații publice nu reușesc să satisfacă nevoia locuitorilor și a utilizatorilor Sectorului 2. </w:t>
      </w:r>
    </w:p>
    <w:p w14:paraId="744DE6D6" w14:textId="77777777" w:rsidR="006B3928" w:rsidRPr="00F171A3" w:rsidRDefault="006B3928" w:rsidP="006B3928">
      <w:pPr>
        <w:rPr>
          <w:rFonts w:cstheme="minorHAnsi"/>
        </w:rPr>
      </w:pPr>
      <w:r w:rsidRPr="00F171A3">
        <w:rPr>
          <w:rFonts w:cstheme="minorHAnsi"/>
        </w:rPr>
        <w:t xml:space="preserve">Există însă în continuare spații publice de mici dimensiuni abandonate care odată revitalizate pot deservi mai bine zona centrală. În cazul cartierelor de locuințe colective principala resursă pentru o mai bună deservire cu spații publice sunt acele terenuri dintre blocuri care în ultimii ani au fost treptat acaparate de parcări la sol, compromițând fostele spații comunitare. </w:t>
      </w:r>
    </w:p>
    <w:p w14:paraId="6B9DA57D" w14:textId="77777777" w:rsidR="006B3928" w:rsidRPr="00F171A3" w:rsidRDefault="006B3928" w:rsidP="006B3928">
      <w:pPr>
        <w:rPr>
          <w:rFonts w:cstheme="minorHAnsi"/>
        </w:rPr>
      </w:pPr>
      <w:r w:rsidRPr="00F171A3">
        <w:rPr>
          <w:rFonts w:cstheme="minorHAnsi"/>
        </w:rPr>
        <w:t>Mai mult, deși Sectorul 2 dispune de parcuri, grădini scuaruri și piațete, acestea nu sunt relaționate prin intermediul unor axe verzi, motiv pentru care nu putem discuta de o rețea de spații publice. Aceste aspect are o importantă mai mare în cazul salbei de lacuri unde se resimte nevoia de a conecta spațiile verzi amenajate recent sub forma unui traseu de agrement. De asemenea, Sectorul 2 nu dispune încă de zone pietonale generoase care să poată găzdui diverse evenimente culturale în aer liber, deși există evenimente anuale menite să promoveze exact dezvoltarea de zone pietonale (Street Delivery, Femei pe Mătăsari, Block Party).</w:t>
      </w:r>
    </w:p>
    <w:p w14:paraId="19E28F18" w14:textId="77777777" w:rsidR="006B3928" w:rsidRPr="00F171A3" w:rsidRDefault="006B3928" w:rsidP="006B3928">
      <w:pPr>
        <w:pBdr>
          <w:top w:val="nil"/>
          <w:left w:val="nil"/>
          <w:bottom w:val="nil"/>
          <w:right w:val="nil"/>
          <w:between w:val="nil"/>
        </w:pBdr>
        <w:rPr>
          <w:rFonts w:cstheme="minorHAnsi"/>
          <w:color w:val="000000"/>
        </w:rPr>
      </w:pPr>
      <w:r w:rsidRPr="00F171A3">
        <w:rPr>
          <w:rFonts w:cstheme="minorHAnsi"/>
          <w:color w:val="000000"/>
        </w:rPr>
        <w:t xml:space="preserve">Deficiențele majore cu care se confruntă administrația publică locală, în ceea ce privește infrastructura de piețe agroalimentare, sunt reprezentate de gradul mic de ocupare al piețelor agroalimentare (cu precădere Piața Colentina), în paralel cu existența unui număr foarte mare de vânzători ambulanți sau chioșcuri private amplasate pe domeniul public în zonele cu trafic pietonal intens (de exemplu zona Obor) sau în cadrul ansamblurilor de locuințe colective dar și suprapunerea zonelor de deservire ale piețelor cu zonele de deservire ale unor hipermarketuri de mari dimensiuni. Se adaugă deficiențele de funcționare ale piețelor precum  necesitatea modernizării piețelor Galați, Delfinului, Hala Terminal Obor. </w:t>
      </w:r>
    </w:p>
    <w:p w14:paraId="01CC7C06" w14:textId="7C861175" w:rsidR="003147AD" w:rsidRPr="00F171A3" w:rsidRDefault="003147AD" w:rsidP="003147AD">
      <w:pPr>
        <w:pStyle w:val="Normal0"/>
      </w:pPr>
    </w:p>
    <w:p w14:paraId="482799E0" w14:textId="77777777" w:rsidR="000E6EBE" w:rsidRPr="00F171A3" w:rsidRDefault="000E6EBE" w:rsidP="000E6EBE">
      <w:pPr>
        <w:rPr>
          <w:rStyle w:val="FocusChar"/>
          <w:lang w:val="ro-RO"/>
        </w:rPr>
      </w:pPr>
      <w:r w:rsidRPr="00F171A3">
        <w:rPr>
          <w:rStyle w:val="FocusChar"/>
          <w:lang w:val="ro-RO"/>
        </w:rPr>
        <w:t>ECONOMIE</w:t>
      </w:r>
    </w:p>
    <w:p w14:paraId="2363D679" w14:textId="7843600B" w:rsidR="000E6EBE" w:rsidRPr="00F171A3" w:rsidRDefault="000E6EBE" w:rsidP="000E6EBE">
      <w:r w:rsidRPr="00F171A3">
        <w:t>Sectorul 2 se bucură de o poziție favorabilă, fiind poziționat în cea mai competitivă regiune și cel mai competitiv oraș din punct de vedere economic. Acest fapt relevă setul de oportunități și avantaje economice de care beneficiază Sectorul 2 în vederea creșterii economice cantitative și calitative, ceea ce în final duce la creșterea calității vieții. Principalii indicatori privind mediul de afaceri local este caracterizat de creștere și dinamism, sugerând, printre altele, o creștere a productivității în ultimii ani. Deși numărul de întreprinderi active este similar cu Sectoarele 1 și 3, densitatea acestora este mai redusă. Soldul întreprinderilor nou înființate este pozitiv, iar numărul întreprinderilor nou create se menține la un nivel ridicat în perioada 2014-2019. Astfel, o provocare și o prioritate la nivelul Sectorului 2 o reprezintă stimularea antreprenoriatului dincolo de rata naturală de dezvoltare economică, prin măsuri țintite ce urmăresc să valorifice efectele de aglomerare și cooperare la nivelul sectoarelor economice. Aceste măsuri, împreună cu cele de stimulare a micilor întreprinzători în primii ani de la înființarea companiilor sunt esențiale pentru asigurarea unui spor natural al întreprinderilor pozitiv, care să contribuie permanent la creșterea numărului de firme. Acest fapt determină și creșterea numărului de locuri de muncă disponibile în domenii diverse, de la cele cu valoare adăugată redusă, la cele din domenii high-tech. Aceste nevoi sunt cu atât mai importante cu cât se remarcă o contribuție redusă a microîntreprinderilor la formarea cifrei de afaceri și a numărului de salariați, comparativ cu firmele mari. Scăderea șomajului, deși cu efecte sociale pozitive, în plan economic indică un potențial deficit de forță de muncă, în special în domeniile unde salariile sunt mai degrabă necompetitive (comerț, construcții), prezente la nivelul Sectorului 2. Acest fapt indică nevoia de întărire a relațiilor de colaborare cu sistemul de educație și instituțiile responsabile pentru formarea angajaților, dar și nevoia de atragere și retenție a tinerilor care urmează cursurile universitare în Capitală. Deși se bucură de un nivel salarial ridicat, prin statutul de Capitală, în Sectorul 2 puțin peste 20% din salariați câștigă lunar peste media Capitalei. Susținerea sectorului IT&amp;C ca sector emergent poate sprijini atât dezvoltarea forței de muncă înalt calificate, dar și alte domenii, precum industriile manufacturiere care pot beneficia de soluții digitale, IMM-urile care au nevoie să-și crească productivitatea, etc. Nu în ultimul rând, Sectorul 2 dispune de numeroase spații de birouri și comerciale disponibile pentru vânzare și activități industriale, fiind atractive prin prețul mai redus, în medie, față de alte zone din Capitală. În același timp, concentrarea mai ridicată a ansamblurilor de locuințe noi în zona de nord-vest a teritoriului accentuează polarizarea deja existentă.</w:t>
      </w:r>
    </w:p>
    <w:p w14:paraId="4BC88766" w14:textId="77777777" w:rsidR="00F35DEE" w:rsidRPr="00F171A3" w:rsidRDefault="00F35DEE" w:rsidP="000E6EBE"/>
    <w:p w14:paraId="5B025764" w14:textId="77777777" w:rsidR="003147AD" w:rsidRPr="00F171A3" w:rsidRDefault="003147AD" w:rsidP="003147AD">
      <w:pPr>
        <w:pStyle w:val="Focus"/>
      </w:pPr>
      <w:r w:rsidRPr="00F171A3">
        <w:t>Profil spațial</w:t>
      </w:r>
    </w:p>
    <w:p w14:paraId="03DF803B" w14:textId="77777777" w:rsidR="003147AD" w:rsidRPr="00F171A3" w:rsidRDefault="003147AD" w:rsidP="003147AD">
      <w:r w:rsidRPr="00F171A3">
        <w:t xml:space="preserve">Nevoia de noi spații locative care să susțină cererea de locuințe ale bucureștenilor a fost satisfăcută în ultimii ani preponderent de către așezările periurbane din cauza rezervelor de teren precare sau greu accesibile de care dispune Capitala, inclusiv Sectorul 2. Acest proces de suburbanizare pune presiune pe dotările din Sectorului 2 și pe infrastructura de transport. </w:t>
      </w:r>
    </w:p>
    <w:p w14:paraId="3047164D" w14:textId="77777777" w:rsidR="003147AD" w:rsidRPr="00F171A3" w:rsidRDefault="003147AD" w:rsidP="003147AD">
      <w:r w:rsidRPr="00F171A3">
        <w:t xml:space="preserve">Din punct de vedere morfologic Sectorul 2 este compus din trei zone majore: 1. centrul istoric cu o tramă organică și fond construit valoros, 2. cartierele de locuințe colective amplasate între inelul central și cel median și 3. zonele periferice dezvoltate recent și ocupate preponderent de locuințe individuale (Andronache, ion Creangă) sau de mari ansambluri de locuințe colective (Fabrica de Glucoză). </w:t>
      </w:r>
    </w:p>
    <w:p w14:paraId="322F4AA9" w14:textId="66FF2234" w:rsidR="003147AD" w:rsidRPr="00F171A3" w:rsidRDefault="003147AD" w:rsidP="003147AD">
      <w:r w:rsidRPr="00F171A3">
        <w:t>Sectorul 2 deține în continuare ample suprafețe de terenuri de tip „brownfield” sau „greenfield” ce pot fi valorificate pentru noi dezvoltări care să includă și dotări necesare pentru zonele învecinate. Procesul de conversie funcțională a unor terenuri de tip „brownfield” a început în fosta platformă industrială Pipera care găzduiește în prezent cea mai mare aglomerație de birouri din tara (împreună cu extensia spre Voluntari). O parte din rezervele de teren dețin deja documentații de urbanism care să susțină valorificarea lor sau există documentații de urbanism în curs de elaborare (zona Pantelimon Dobrești), pe când altele se află în declin fără a exista încă intenții de valorificare (ex. zona industrială din jurul Gării Obor, Moara lui Assan). Toate aceste rezerve de teren reprezintă un instrument esențial în reechilibrarea Sectorului din punct de vedere funcțional și o mai bună deservire cu dotări de interes cotidian. Mizând pe aceste rezerve de teren Sectorul 2 își poate inclusiv schimba imaginea de „cartier” dormitor.</w:t>
      </w:r>
    </w:p>
    <w:p w14:paraId="64D01009" w14:textId="77777777" w:rsidR="00F35DEE" w:rsidRPr="00F171A3" w:rsidRDefault="00F35DEE" w:rsidP="003147AD"/>
    <w:p w14:paraId="71EE2632" w14:textId="3C330953" w:rsidR="000549B0" w:rsidRPr="00F171A3" w:rsidRDefault="000E6EBE" w:rsidP="000E6EBE">
      <w:pPr>
        <w:pStyle w:val="Focus"/>
      </w:pPr>
      <w:r w:rsidRPr="00F171A3">
        <w:t>INFRASTRUCTURA EDILITARĂ &amp; MEDIU ȘI SCHIMBĂRI CLIMATICE</w:t>
      </w:r>
    </w:p>
    <w:p w14:paraId="4F22961C" w14:textId="77777777" w:rsidR="000E6EBE" w:rsidRPr="00F171A3" w:rsidRDefault="000E6EBE" w:rsidP="000E6EBE">
      <w:pPr>
        <w:pStyle w:val="Normal0"/>
      </w:pPr>
      <w:r w:rsidRPr="00F171A3">
        <w:t>Deși acoperirea cu infrastructură tehnico-ediltiară la nivelul sectorului este una bună, sunt necesare investiții semnificative în reabilitarea infrastructurii. Astfel, cea mai mare parte a teritoriului sectorului 2 este deservit de rețelele tehnico-edilitare (distribuție energie electrică, distribuție gaze naturale, alimentare cu apă, canalizare, telecomunicații); excepție fac zonele aflate la nord de salba de lacuri (cartierele Andronache, Fundeni, Ion Creangă), în care sunt necesare lucrări de extindere pentru infrastructura de distribuție a gazelor naturale și pentru rețeaua de telecomunicații (fibră optică). Se remarcă însă uzura tehnică ridicată a rețelelor, în special în zonele centrale (rețeaua de apă și canalizare) și în unele cartiere de locuit (Tei, Floreasca, în cazul rețelei de apă). O problemă presantă, vizibilă la nivelul întregului municipiu, este situația sistemului de alimentare centralizată cu energie termică, ce suferă avarii repetate din cauza gradului avansat de uzură al rețelelor primare și secundare. Slaba dezvoltare a infrastructurii de colectare separată a deșeurilor din sector determină o rată foarte scăzută de reciclare a deșeurilor (1 %) și funcționarea mult sub capacitatea proiectată a stației de sortare existente. Problemele sunt mai mari în zonele de locuințe colective, unde nu există o monitorizare a modului în care populația gestionează deșeurile.</w:t>
      </w:r>
    </w:p>
    <w:p w14:paraId="7CE593AC" w14:textId="1D041FBC" w:rsidR="000E6EBE" w:rsidRPr="00F171A3" w:rsidRDefault="000E6EBE" w:rsidP="000E6EBE">
      <w:pPr>
        <w:pStyle w:val="Normal0"/>
      </w:pPr>
      <w:r w:rsidRPr="00F171A3">
        <w:t>Prezența pe teritoriul sectorului 2 a salbei de lacuri de pe valea Colentinei reprezintă o competență distinctivă, lacurile având un rol important în reducerea riscului la inundații, crearea unui microclimat favorabil și oferirea de oportunități de loisir pentru locuitori. Cu toate acestea, lacurile prezintă probleme de calitate a apei, în special din cauza activităților desfășurate în zona malurilor. O problemă semnificativă de mediu este reprezentată de traficul rutier, ce determină depășiri ale valorilor limită anuale ale concentrației de dioxid de azot în toți anii analizați. Poluarea aerului și impactul insulei de căldură urbană sunt agravate de lipsa spațiilor verzi, Sectorul 2 fiind sectorul cu cea mai scăzută suprafață de spațiu verde pe cap de locuitor.</w:t>
      </w:r>
    </w:p>
    <w:p w14:paraId="42422971" w14:textId="77777777" w:rsidR="00F35DEE" w:rsidRPr="00F171A3" w:rsidRDefault="00F35DEE" w:rsidP="000E6EBE">
      <w:pPr>
        <w:pStyle w:val="Normal0"/>
      </w:pPr>
    </w:p>
    <w:p w14:paraId="4F43F15D" w14:textId="39ACC9DA" w:rsidR="00765DF6" w:rsidRPr="00F171A3" w:rsidRDefault="00572B4D" w:rsidP="00572B4D">
      <w:r w:rsidRPr="00F171A3">
        <w:rPr>
          <w:rStyle w:val="FocusChar"/>
          <w:lang w:val="ro-RO"/>
        </w:rPr>
        <w:t>Mobilitate</w:t>
      </w:r>
      <w:r w:rsidR="00F35DEE" w:rsidRPr="00F171A3">
        <w:rPr>
          <w:rStyle w:val="FocusChar"/>
          <w:lang w:val="ro-RO"/>
        </w:rPr>
        <w:t xml:space="preserve"> ȘI CONECTIVITATE</w:t>
      </w:r>
    </w:p>
    <w:p w14:paraId="23777826" w14:textId="4FBAF17F" w:rsidR="00572B4D" w:rsidRPr="00F171A3" w:rsidRDefault="00572B4D" w:rsidP="00572B4D">
      <w:r w:rsidRPr="00F171A3">
        <w:t xml:space="preserve">Sectorul 2 este bine conectat în teritoriu, fiind deservit de o amplă rețea de infrastructură majoră ce permite deplasarea facilă între teritoriul sectorului și localitățile învecinate, precum și către restul municipiului București. În ceea ce privește mobilitatea urbană însă, Sectorul 2 se confruntă cu o serie de provocări ce îngreunează dezvoltarea teritoriului administrativ al acestuia. Astfel, Sectorul 2 are dificultăți majore în gestionarea fluxurilor de transport rutier din lungul arterelor principale de circulație, în special a celor care vine din zona periurbană a municipiului (fluxuri de navetiști din Voluntari, Dobroești și Pantelimon). În lipsa unor măsuri coerente de realizare a transferului către transportul public local, navetiștii utilizează predominant autovehiculul personal, contribuind la congestionarea arterelor principale la orele de vârf. Probleme de congestie se regăsesc și la nivelul străzilor secundare (ex. Lizeanu, Maica Domnului, Barbu Văcărescu, Andronache etc.), ce asigură legăturile către arterele principale. </w:t>
      </w:r>
    </w:p>
    <w:p w14:paraId="39491D20" w14:textId="77777777" w:rsidR="00572B4D" w:rsidRPr="00F171A3" w:rsidRDefault="00572B4D" w:rsidP="00572B4D">
      <w:r w:rsidRPr="00F171A3">
        <w:t xml:space="preserve">Sectorul 2 dispune și de un indice ridicat de motorizare (713 autoturisme / 1.000 de locuitori), aspect ce pune presiune suplimentară pe infrastructura rutieră existentă. Acest aspect contribuie, de asemenea, la congestia locală, precum și la poluare fonică și cu noxe. Există și probleme de conectivitate, în special pe direcția nord-est – sud-vest, unde șos. Colentina este singura care preia fluxurile de trafic din zonă, precum și singura legătură periferie-centru pe această direcție. Nu există legături alternative majore către zona centrală, presiunea fiind pusă în mare parte pe șos. Colentina și, în continuare, pe Calea Moșilor. Probleme de conectivitate sunt evidențiate și în cartierul Tei, zona Lizeanu, zona șos. Vergului sau zona bd. Chișinău – șos. Morarilor, unde legăturile sunt precare. La nivelul Sectorului 2 au existat și există mai multe demersuri menite să îmbunătățească conectivitatea și, implicit, să fluidizeze traficul, cele mai importante fiind finalizarea autostrăzii A3 și conectarea acesteia prin intermediul șos. Fabrica de Glucoză și str. Petricani, precum și construirea Pasajului Doamna Ghica, aflat în curs de implementare. </w:t>
      </w:r>
    </w:p>
    <w:p w14:paraId="44EF2DDD" w14:textId="77777777" w:rsidR="00572B4D" w:rsidRPr="00F171A3" w:rsidRDefault="00572B4D" w:rsidP="00572B4D">
      <w:r w:rsidRPr="00F171A3">
        <w:t xml:space="preserve">O altă problemă acută din punct de vedere al sistemului de transport rutier local este cea a parcărilor, în mod special a unei oferte insuficiente de locuri de parcare de reședință. Acest lucru vine ca urmare a țesutului existent, unde zonele de locuințe colective au fost proiectate pentru un indice de motorizare mult mai scăzut, rezultând într-un deficit de locuri de parcare în prezent. Astfel, locuitorii parchează acolo unde găsesc liber, acest lucru fiind de cele mai multe ori pe prima bandă a carosabilului sau pe trotuar, aspect ce conduce la obturarea deplasării pentru alți participanți la trafic, în special pentru categoriile vulnerabile (ex. pietoni, bicicliști, persoane cu mobilitate redusă). </w:t>
      </w:r>
    </w:p>
    <w:p w14:paraId="26BF5DF0" w14:textId="77777777" w:rsidR="00572B4D" w:rsidRPr="00F171A3" w:rsidRDefault="00572B4D" w:rsidP="00572B4D">
      <w:r w:rsidRPr="00F171A3">
        <w:t xml:space="preserve">În ceea ce privește transportul public local, situația transportului public de suprafață este în general una bună, evidențiindu-se o bună deservire în general a teritoriului administrativ al Sectorului 2, o îmbunătățire a accesului la informații pentru utilizatori, precum și o mai bună integrare cu serviciile de transport public subterane. Probleme apar însă în unele zone din sector unde deservirea este mai slabă (ex. Gheorghe Țițeica, Tei-Toboc, Andronache), precum și în cazul stațiilor de transport public de suprafață care, deși modernizate recent, nu dispun încă de suficiente informații pentru utilizatori (ex. hartă, orar, date actualizate în timp real etc.). În cazul transportului public subteran, situația este una mai nefavorabilă, existând un număr redus de stații de metrou în Sectorul 2 (numai 5), acestea deservind extremitățile sudică și vestică ale sectorului. Astfel, cartiere cu o densitate ridicată a populației (ex. Tei, Pantelimon, Floreasca, Andronache etc.) nu au acces facil la serviciile de transport public subteran. </w:t>
      </w:r>
    </w:p>
    <w:p w14:paraId="1683942F" w14:textId="77777777" w:rsidR="00572B4D" w:rsidRPr="00F171A3" w:rsidRDefault="00572B4D" w:rsidP="00572B4D">
      <w:r w:rsidRPr="00F171A3">
        <w:t xml:space="preserve">De asemenea, există și deficiențe în optimizarea legăturilor de transport public local între sector și principalele zone de interes, precum zona de birouri din nordul capitalei (Aurel Vlaicu – Pipera) sau zona centrală. În prezent, legătura către aceste zone este de multe ori indirectă, fiind necesare mai multe schimburi între mijloacele de transport public și, în mare parte din cazuri, nu există benzi dedicate pentru transportul public (numai pe inelul central și șos. Colentina), conducând astfel la timpi ridicați de deplasare. Totodată, există și segmente cu probleme majore la căile de rulare (ex. zona Lizeanu – Maica Domnului), conducând, de asemenea, la timpi ridicați de deplasare. </w:t>
      </w:r>
    </w:p>
    <w:p w14:paraId="50D89A4D" w14:textId="34C871D5" w:rsidR="00572B4D" w:rsidRPr="00F171A3" w:rsidRDefault="00572B4D" w:rsidP="00572B4D">
      <w:r w:rsidRPr="00F171A3">
        <w:t xml:space="preserve">Nu în ultimul rând, Sectorul 2 nu deține încă o rețea de infrastructură nemotorizată bine conturată, în special din punct de vedere al pistelor de biciclete. Există astfel probleme de conectivitate în ceea ce privește deplasarea pietonală, conturate în zona căii ferate din sector, dar și a zonelor industriale rămase pe teritoriul acestuia, precum și probleme de calitate a infrastructurii pietonale, dată de subdimensionarea trotuarelor în zone precum Baicului, șos. Vergului, Tei-Toboc etc. Totodată, pistele de biciclete din sector sunt foarte reduse, singura pistă amenajate în conformitate cu standardele în vigoare fiind cea de pe str. Fabrica de Glucoză. În acest context, se evidențiază faptul că sectorul nu dispune de legături velo facile către obiectivele de interes din sector (ex. zone comerciale, zone de birou, principalele zone de locuințe colective etc.), scăzând astfel atractivitatea acestui mijloc de transport. </w:t>
      </w:r>
    </w:p>
    <w:p w14:paraId="08C3D6B8" w14:textId="77777777" w:rsidR="00F35DEE" w:rsidRPr="00F171A3" w:rsidRDefault="00F35DEE" w:rsidP="00572B4D"/>
    <w:p w14:paraId="46683426" w14:textId="32C1B533" w:rsidR="00765DF6" w:rsidRPr="00F171A3" w:rsidRDefault="00765DF6" w:rsidP="00765DF6">
      <w:r w:rsidRPr="00F171A3">
        <w:rPr>
          <w:rStyle w:val="FocusChar"/>
          <w:lang w:val="ro-RO"/>
        </w:rPr>
        <w:t>Capacitate administrativă</w:t>
      </w:r>
    </w:p>
    <w:p w14:paraId="098A0F19" w14:textId="459F7476" w:rsidR="003D1919" w:rsidRPr="00F171A3" w:rsidRDefault="003D1919" w:rsidP="003D1919">
      <w:r w:rsidRPr="00F171A3">
        <w:t>Primăria Sector</w:t>
      </w:r>
      <w:r w:rsidR="00135D70" w:rsidRPr="00F171A3">
        <w:t>ului</w:t>
      </w:r>
      <w:r w:rsidRPr="00F171A3">
        <w:t xml:space="preserve"> 2 este o administrație publică locală performantă, cu o capacitate administrativă ridicată, transparentă și deschisă către cetățeni, și cu servicii publice aflate într-un proces continuu de îmbunătățire. Procesul de revizuire a Strategiei de Dezvoltare Locală 2016-2025 a Sectorului 2 este o etapă importantă pentru a evalua evoluția obiectivelor, măsurilor și proiectelor asumate de instituție, dar și de a identifica și propune intervenții pentru acele domenii unde nevoile administrative sunt ridicate sau unde alocarea de resurse financiare, umane sau materiale nu este optimă pentru livrarea unor servicii publice eficiente, competitive și de calitate.</w:t>
      </w:r>
    </w:p>
    <w:p w14:paraId="1071E244" w14:textId="158C3F0C" w:rsidR="003D1919" w:rsidRPr="00F171A3" w:rsidRDefault="003D1919" w:rsidP="003D1919">
      <w:r w:rsidRPr="00F171A3">
        <w:t>Primăria Sector</w:t>
      </w:r>
      <w:r w:rsidR="00135D70" w:rsidRPr="00F171A3">
        <w:t>ului</w:t>
      </w:r>
      <w:r w:rsidRPr="00F171A3">
        <w:t xml:space="preserve"> 2 dispune de un corp profesional cu o competență ridicată, cu o politică de formare ce răspunde în mare măsură nevoilor de formare și cu procese interne de lucru bine structurate. Cu toate acestea, se păstrează o serie de provocări subliniate și în varianta inițială a strategiei, în principal privind birocrația accentuată a proceselor interne, procesul limitat de digitalizare a activității interne, dar și a serviciilor oferite, interacțiuni insuficiente între structuri ale primăriei cu obiective comune, dar și lipsa unor mecanisme de coordonare. Se remarcă și nevoia de îmbunătăți capacitatea instituției de a identifica nevoi concrete la nivelul personalului sau care să răspundă obiectivelor instituției (ex. noi competențe digitale, urbanism și amenajarea teritoriului, etc.). Noua organigramă și regulamentul de organizare și funcționare, adoptate în martie 2022, răspund la o parte dintre aceste provocări.</w:t>
      </w:r>
    </w:p>
    <w:p w14:paraId="7C01F64F" w14:textId="77777777" w:rsidR="003D1919" w:rsidRPr="00F171A3" w:rsidRDefault="003D1919" w:rsidP="003D1919">
      <w:r w:rsidRPr="00F171A3">
        <w:t>Sustenabilitatea financiară a instituției este una ridicată, fără riscuri fiscale pe termen scurt și mediu și cu o rata de îndatorare redusă. Sector 2 trebuie însă să-și prioritizeze utilizarea de resurse financiare din fonduri europene nerambursabile pentru investițiile de capital, să-și diversifice sursele de finanțare generate la nivel local și să-și îmbunătățească marja operațională în special prin optimizarea cheltuielilor (ridicate) de funcționare.  Prioritizarea acelor proiecte care îmbunătățesc guvernanța urbană și calitatea vieții trebuie cuplată și cu o strategie de maximizare a veniturilor locale și a proiectelor care pot genera venituri adiționale la nivel local.</w:t>
      </w:r>
    </w:p>
    <w:p w14:paraId="30DCD384" w14:textId="4D62F6F1" w:rsidR="00765DF6" w:rsidRPr="00F171A3" w:rsidRDefault="003D1919" w:rsidP="003D1919">
      <w:r w:rsidRPr="00F171A3">
        <w:t>Buna guvernare nu este însă posibilă fără includerea cetățenilor în centrul proceselor de decizie de la nivel local.  Primăria Sector</w:t>
      </w:r>
      <w:r w:rsidR="00135D70" w:rsidRPr="00F171A3">
        <w:t>ului</w:t>
      </w:r>
      <w:r w:rsidRPr="00F171A3">
        <w:t xml:space="preserve"> 2 trebuie să continue eforturile de a-și îmbunătăți transparența și deschiderea către cetățeni, promova și extinde formatele prin care cetățenii se pot implica în viața comunității (bugetare participativă, suport și finanțări nerambursabile, organizarea de concursuri publice sau hackathons pentru a adresa unele dintre provocările de la nivel local), dar și promovarea de noi mecanisme ce nu presupun evenimente singulare ci un contact permanent cu comunitate (hub-uri civice, noi parteneriate cu ONG-uri și societatea civilă, etc.). Adoptarea unora dintre recomandările </w:t>
      </w:r>
      <w:r w:rsidRPr="00F171A3">
        <w:rPr>
          <w:i/>
        </w:rPr>
        <w:t>Parteneriatului pentru o guvernare deschisă la nivel local</w:t>
      </w:r>
      <w:r w:rsidRPr="00F171A3">
        <w:t xml:space="preserve"> reprezintă un prim pas în această direcție.</w:t>
      </w:r>
    </w:p>
    <w:p w14:paraId="57557D62" w14:textId="786F87F1" w:rsidR="00E86BA6" w:rsidRPr="00F171A3" w:rsidRDefault="00E86BA6" w:rsidP="00B541F6"/>
    <w:p w14:paraId="5EE90E2F" w14:textId="77777777" w:rsidR="008A6FAE" w:rsidRPr="00F171A3" w:rsidRDefault="008A6FAE" w:rsidP="00B541F6">
      <w:pPr>
        <w:sectPr w:rsidR="008A6FAE" w:rsidRPr="00F171A3" w:rsidSect="008A6FAE">
          <w:pgSz w:w="11906" w:h="16838" w:code="9"/>
          <w:pgMar w:top="1440" w:right="1440" w:bottom="1440" w:left="1440" w:header="720" w:footer="720" w:gutter="0"/>
          <w:cols w:space="720"/>
          <w:docGrid w:linePitch="360"/>
        </w:sectPr>
      </w:pPr>
    </w:p>
    <w:p w14:paraId="41237AFA" w14:textId="51B518FB" w:rsidR="007F2663" w:rsidRPr="00F171A3" w:rsidRDefault="00423E88" w:rsidP="007F2663">
      <w:pPr>
        <w:pStyle w:val="Heading1"/>
        <w:rPr>
          <w:lang w:val="ro-RO"/>
        </w:rPr>
      </w:pPr>
      <w:bookmarkStart w:id="399" w:name="_Toc127199305"/>
      <w:r w:rsidRPr="00F171A3">
        <w:rPr>
          <w:caps w:val="0"/>
          <w:lang w:val="ro-RO"/>
        </w:rPr>
        <w:t>CONCLUZII, PROVOCĂRI ȘI POSIBILE PROPUNERI/INTERVENȚII</w:t>
      </w:r>
      <w:bookmarkEnd w:id="399"/>
    </w:p>
    <w:tbl>
      <w:tblPr>
        <w:tblStyle w:val="Civittatable"/>
        <w:tblW w:w="0" w:type="auto"/>
        <w:tblLook w:val="04A0" w:firstRow="1" w:lastRow="0" w:firstColumn="1" w:lastColumn="0" w:noHBand="0" w:noVBand="1"/>
      </w:tblPr>
      <w:tblGrid>
        <w:gridCol w:w="4508"/>
        <w:gridCol w:w="4508"/>
      </w:tblGrid>
      <w:tr w:rsidR="00191AD6" w:rsidRPr="00F171A3" w14:paraId="4766AAED" w14:textId="77777777" w:rsidTr="00FC4119">
        <w:trPr>
          <w:cnfStyle w:val="100000000000" w:firstRow="1" w:lastRow="0" w:firstColumn="0" w:lastColumn="0" w:oddVBand="0" w:evenVBand="0" w:oddHBand="0" w:evenHBand="0" w:firstRowFirstColumn="0" w:firstRowLastColumn="0" w:lastRowFirstColumn="0" w:lastRowLastColumn="0"/>
        </w:trPr>
        <w:tc>
          <w:tcPr>
            <w:tcW w:w="9016" w:type="dxa"/>
            <w:gridSpan w:val="2"/>
            <w:shd w:val="clear" w:color="auto" w:fill="3CA1BC" w:themeFill="background2"/>
          </w:tcPr>
          <w:p w14:paraId="1E449075" w14:textId="575AD501" w:rsidR="00191AD6" w:rsidRPr="00F171A3" w:rsidRDefault="00191AD6" w:rsidP="00191AD6">
            <w:pPr>
              <w:spacing w:after="0"/>
              <w:jc w:val="center"/>
              <w:rPr>
                <w:b/>
                <w:bCs/>
                <w:szCs w:val="20"/>
              </w:rPr>
            </w:pPr>
            <w:r w:rsidRPr="00F171A3">
              <w:rPr>
                <w:b/>
                <w:bCs/>
                <w:caps w:val="0"/>
              </w:rPr>
              <w:t xml:space="preserve">STRUCTURĂ SOCIO-DEMOGRAFICĂ </w:t>
            </w:r>
          </w:p>
        </w:tc>
      </w:tr>
      <w:tr w:rsidR="00191AD6" w:rsidRPr="00F171A3" w14:paraId="491F504B" w14:textId="77777777" w:rsidTr="00FC4119">
        <w:trPr>
          <w:cnfStyle w:val="000000100000" w:firstRow="0" w:lastRow="0" w:firstColumn="0" w:lastColumn="0" w:oddVBand="0" w:evenVBand="0" w:oddHBand="1" w:evenHBand="0" w:firstRowFirstColumn="0" w:firstRowLastColumn="0" w:lastRowFirstColumn="0" w:lastRowLastColumn="0"/>
        </w:trPr>
        <w:tc>
          <w:tcPr>
            <w:tcW w:w="4508" w:type="dxa"/>
            <w:shd w:val="clear" w:color="auto" w:fill="134753" w:themeFill="text2"/>
          </w:tcPr>
          <w:p w14:paraId="4522533E" w14:textId="77777777" w:rsidR="00191AD6" w:rsidRPr="00F171A3" w:rsidRDefault="00191AD6" w:rsidP="00F35DEE">
            <w:pPr>
              <w:jc w:val="center"/>
              <w:rPr>
                <w:b/>
                <w:caps/>
                <w:color w:val="FFFFFF" w:themeColor="background1"/>
                <w:szCs w:val="20"/>
              </w:rPr>
            </w:pPr>
            <w:r w:rsidRPr="00F171A3">
              <w:rPr>
                <w:b/>
                <w:caps/>
                <w:color w:val="FFFFFF" w:themeColor="background1"/>
                <w:szCs w:val="20"/>
              </w:rPr>
              <w:t>CONCLUZII, PROVOCĂRI, ELEMENTE DE POTENȚIAL</w:t>
            </w:r>
          </w:p>
        </w:tc>
        <w:tc>
          <w:tcPr>
            <w:tcW w:w="4508" w:type="dxa"/>
            <w:shd w:val="clear" w:color="auto" w:fill="134753" w:themeFill="text2"/>
          </w:tcPr>
          <w:p w14:paraId="50E054BA" w14:textId="77777777" w:rsidR="00191AD6" w:rsidRPr="00F171A3" w:rsidRDefault="00191AD6" w:rsidP="00F35DEE">
            <w:pPr>
              <w:jc w:val="center"/>
              <w:rPr>
                <w:b/>
                <w:caps/>
                <w:color w:val="FFFFFF" w:themeColor="background1"/>
                <w:szCs w:val="20"/>
              </w:rPr>
            </w:pPr>
            <w:r w:rsidRPr="00F171A3">
              <w:rPr>
                <w:b/>
                <w:caps/>
                <w:color w:val="FFFFFF" w:themeColor="background1"/>
                <w:szCs w:val="20"/>
              </w:rPr>
              <w:t>Posibile intervenții</w:t>
            </w:r>
          </w:p>
        </w:tc>
      </w:tr>
      <w:tr w:rsidR="00191AD6" w:rsidRPr="00F171A3" w14:paraId="746D69BF" w14:textId="77777777" w:rsidTr="00FC4119">
        <w:trPr>
          <w:cnfStyle w:val="000000010000" w:firstRow="0" w:lastRow="0" w:firstColumn="0" w:lastColumn="0" w:oddVBand="0" w:evenVBand="0" w:oddHBand="0" w:evenHBand="1" w:firstRowFirstColumn="0" w:firstRowLastColumn="0" w:lastRowFirstColumn="0" w:lastRowLastColumn="0"/>
        </w:trPr>
        <w:tc>
          <w:tcPr>
            <w:tcW w:w="4508" w:type="dxa"/>
          </w:tcPr>
          <w:p w14:paraId="3D22A925" w14:textId="77777777" w:rsidR="00191AD6" w:rsidRPr="00F171A3" w:rsidRDefault="00191AD6" w:rsidP="00520678">
            <w:r w:rsidRPr="00F171A3">
              <w:t>Lipsa unor date actuale, exacte și detaliate cu privire la demografia municipiului București denaturează concluziile aferente</w:t>
            </w:r>
            <w:r w:rsidR="00FC4119" w:rsidRPr="00F171A3">
              <w:t>.</w:t>
            </w:r>
          </w:p>
          <w:p w14:paraId="5158163A" w14:textId="57A39624" w:rsidR="00FC4119" w:rsidRPr="00F171A3" w:rsidRDefault="00FC4119" w:rsidP="00520678">
            <w:r w:rsidRPr="00F171A3">
              <w:t>Deficitul forței de muncă care urmează în aproximativ 15 ani, ca urmare a numărului mare de oameni ce urmează să se pensioneze, și a numărului mic de tineri care urmează să se angajeze.</w:t>
            </w:r>
          </w:p>
        </w:tc>
        <w:tc>
          <w:tcPr>
            <w:tcW w:w="4508" w:type="dxa"/>
          </w:tcPr>
          <w:p w14:paraId="3B5985C3" w14:textId="39C3C41C" w:rsidR="00191AD6" w:rsidRPr="00F171A3" w:rsidRDefault="00967597" w:rsidP="00520678">
            <w:r w:rsidRPr="00F171A3">
              <w:t>Atragerea forței de muncă tinere din alte regiuni ale țării sau din afara țării, prin prima creșterii calității vieții, a polului universitar și economic al capitalei</w:t>
            </w:r>
            <w:r w:rsidR="00FC4119" w:rsidRPr="00F171A3">
              <w:t>.</w:t>
            </w:r>
          </w:p>
        </w:tc>
      </w:tr>
    </w:tbl>
    <w:p w14:paraId="5A93CE96" w14:textId="6EBB80C3" w:rsidR="007F2663" w:rsidRPr="00F171A3" w:rsidRDefault="007F2663" w:rsidP="007F2663">
      <w:pPr>
        <w:pStyle w:val="Normal0"/>
      </w:pPr>
    </w:p>
    <w:tbl>
      <w:tblPr>
        <w:tblStyle w:val="Civittatable"/>
        <w:tblW w:w="0" w:type="auto"/>
        <w:tblLook w:val="04A0" w:firstRow="1" w:lastRow="0" w:firstColumn="1" w:lastColumn="0" w:noHBand="0" w:noVBand="1"/>
      </w:tblPr>
      <w:tblGrid>
        <w:gridCol w:w="4504"/>
        <w:gridCol w:w="4512"/>
      </w:tblGrid>
      <w:tr w:rsidR="006E5A74" w:rsidRPr="00F171A3" w14:paraId="1580A946" w14:textId="77777777" w:rsidTr="00520678">
        <w:trPr>
          <w:cnfStyle w:val="100000000000" w:firstRow="1" w:lastRow="0" w:firstColumn="0" w:lastColumn="0" w:oddVBand="0" w:evenVBand="0" w:oddHBand="0" w:evenHBand="0" w:firstRowFirstColumn="0" w:firstRowLastColumn="0" w:lastRowFirstColumn="0" w:lastRowLastColumn="0"/>
        </w:trPr>
        <w:tc>
          <w:tcPr>
            <w:tcW w:w="9436" w:type="dxa"/>
            <w:gridSpan w:val="2"/>
            <w:shd w:val="clear" w:color="auto" w:fill="3CA1BC" w:themeFill="background2"/>
          </w:tcPr>
          <w:p w14:paraId="17A7A564" w14:textId="67738FA7" w:rsidR="006E5A74" w:rsidRPr="00F171A3" w:rsidRDefault="006E5A74" w:rsidP="006E5A74">
            <w:pPr>
              <w:spacing w:after="0"/>
              <w:jc w:val="center"/>
              <w:rPr>
                <w:b/>
                <w:bCs/>
                <w:szCs w:val="20"/>
              </w:rPr>
            </w:pPr>
            <w:r w:rsidRPr="00F171A3">
              <w:rPr>
                <w:b/>
                <w:bCs/>
              </w:rPr>
              <w:t>DEZVOLTARE LOCALA ȘI COMUNITĂȚI DEZAVANTAJATE</w:t>
            </w:r>
          </w:p>
        </w:tc>
      </w:tr>
      <w:tr w:rsidR="006E5A74" w:rsidRPr="00F171A3" w14:paraId="65CAB689" w14:textId="77777777" w:rsidTr="006E5A74">
        <w:trPr>
          <w:cnfStyle w:val="000000100000" w:firstRow="0" w:lastRow="0" w:firstColumn="0" w:lastColumn="0" w:oddVBand="0" w:evenVBand="0" w:oddHBand="1" w:evenHBand="0" w:firstRowFirstColumn="0" w:firstRowLastColumn="0" w:lastRowFirstColumn="0" w:lastRowLastColumn="0"/>
        </w:trPr>
        <w:tc>
          <w:tcPr>
            <w:tcW w:w="4718" w:type="dxa"/>
            <w:shd w:val="clear" w:color="auto" w:fill="134753" w:themeFill="text2"/>
          </w:tcPr>
          <w:p w14:paraId="03EAA1E6" w14:textId="77777777" w:rsidR="006E5A74" w:rsidRPr="00F171A3" w:rsidRDefault="006E5A74" w:rsidP="00F35DEE">
            <w:pPr>
              <w:jc w:val="center"/>
              <w:rPr>
                <w:b/>
                <w:caps/>
                <w:color w:val="FFFFFF" w:themeColor="background1"/>
                <w:szCs w:val="20"/>
              </w:rPr>
            </w:pPr>
            <w:r w:rsidRPr="00F171A3">
              <w:rPr>
                <w:b/>
                <w:caps/>
                <w:color w:val="FFFFFF" w:themeColor="background1"/>
                <w:szCs w:val="20"/>
              </w:rPr>
              <w:t>CONCLUZII, PROVOCĂRI, ELEMENTE DE POTENȚIAL</w:t>
            </w:r>
          </w:p>
        </w:tc>
        <w:tc>
          <w:tcPr>
            <w:tcW w:w="4718" w:type="dxa"/>
            <w:shd w:val="clear" w:color="auto" w:fill="134753" w:themeFill="text2"/>
          </w:tcPr>
          <w:p w14:paraId="5B51A242" w14:textId="77777777" w:rsidR="006E5A74" w:rsidRPr="00F171A3" w:rsidRDefault="006E5A74" w:rsidP="00F35DEE">
            <w:pPr>
              <w:jc w:val="center"/>
              <w:rPr>
                <w:b/>
                <w:caps/>
                <w:color w:val="FFFFFF" w:themeColor="background1"/>
                <w:szCs w:val="20"/>
              </w:rPr>
            </w:pPr>
            <w:r w:rsidRPr="00F171A3">
              <w:rPr>
                <w:b/>
                <w:caps/>
                <w:color w:val="FFFFFF" w:themeColor="background1"/>
                <w:szCs w:val="20"/>
              </w:rPr>
              <w:t>Posibile intervenții</w:t>
            </w:r>
          </w:p>
        </w:tc>
      </w:tr>
      <w:tr w:rsidR="006E5A74" w:rsidRPr="00F171A3" w14:paraId="4F38EDD1"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2CC98993" w14:textId="208742B3" w:rsidR="006E5A74" w:rsidRPr="00F171A3" w:rsidRDefault="006E5A74" w:rsidP="006E5A74">
            <w:r w:rsidRPr="00F171A3">
              <w:t>Zonele marginalizate din Sectorul 2 au trăsături comune cu alte zone marginalizate din țară și din oraș. Cele mai grave probleme vizează expunerea la neșcolarizare, șomaj și infracțiuni, precum și la probleme de sănătate majore.</w:t>
            </w:r>
          </w:p>
        </w:tc>
        <w:tc>
          <w:tcPr>
            <w:tcW w:w="4718" w:type="dxa"/>
          </w:tcPr>
          <w:p w14:paraId="4AAFA425" w14:textId="001686CD" w:rsidR="006E5A74" w:rsidRPr="00F171A3" w:rsidRDefault="006E5A74" w:rsidP="006E5A74">
            <w:r w:rsidRPr="00F171A3">
              <w:t>Construirea de locuințe sociale și implementarea de programe și proiecte de reinserție socială și de instruire profesională pentru a putea ocupă un loc de muncă.</w:t>
            </w:r>
          </w:p>
        </w:tc>
      </w:tr>
      <w:tr w:rsidR="006E5A74" w:rsidRPr="00F171A3" w14:paraId="42C66AFC"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5608449D" w14:textId="18B86DFB" w:rsidR="006E5A74" w:rsidRPr="00F171A3" w:rsidRDefault="006E5A74" w:rsidP="006E5A74">
            <w:r w:rsidRPr="00F171A3">
              <w:t>Pericolul pentru viață și sănătate pe care îl prezintă unele locuințe, din cauza improvizărilor și a condițiilor improprii de trai.</w:t>
            </w:r>
          </w:p>
        </w:tc>
        <w:tc>
          <w:tcPr>
            <w:tcW w:w="4718" w:type="dxa"/>
          </w:tcPr>
          <w:p w14:paraId="163D2523" w14:textId="57DBD258" w:rsidR="006E5A74" w:rsidRPr="00F171A3" w:rsidRDefault="006E5A74" w:rsidP="006E5A74">
            <w:r w:rsidRPr="00F171A3">
              <w:t>Evacuarea locuitorilor din acele locuințe în blocuri ANL sau alte tipuri de locuințe sociale.</w:t>
            </w:r>
          </w:p>
        </w:tc>
      </w:tr>
    </w:tbl>
    <w:p w14:paraId="2A47983A" w14:textId="6465193B" w:rsidR="006E5A74" w:rsidRPr="00F171A3" w:rsidRDefault="006E5A74" w:rsidP="007F2663">
      <w:pPr>
        <w:pStyle w:val="Normal0"/>
      </w:pPr>
    </w:p>
    <w:tbl>
      <w:tblPr>
        <w:tblStyle w:val="Civittatable"/>
        <w:tblW w:w="0" w:type="auto"/>
        <w:tblLook w:val="04A0" w:firstRow="1" w:lastRow="0" w:firstColumn="1" w:lastColumn="0" w:noHBand="0" w:noVBand="1"/>
      </w:tblPr>
      <w:tblGrid>
        <w:gridCol w:w="4517"/>
        <w:gridCol w:w="4499"/>
      </w:tblGrid>
      <w:tr w:rsidR="000E6EBE" w:rsidRPr="00F171A3" w14:paraId="7F2548E0" w14:textId="77777777" w:rsidTr="00C44C7A">
        <w:trPr>
          <w:cnfStyle w:val="100000000000" w:firstRow="1" w:lastRow="0" w:firstColumn="0" w:lastColumn="0" w:oddVBand="0" w:evenVBand="0" w:oddHBand="0" w:evenHBand="0" w:firstRowFirstColumn="0" w:firstRowLastColumn="0" w:lastRowFirstColumn="0" w:lastRowLastColumn="0"/>
        </w:trPr>
        <w:tc>
          <w:tcPr>
            <w:tcW w:w="9436" w:type="dxa"/>
            <w:gridSpan w:val="2"/>
            <w:shd w:val="clear" w:color="auto" w:fill="3CA1BC" w:themeFill="background2"/>
          </w:tcPr>
          <w:p w14:paraId="32298D7A" w14:textId="77777777" w:rsidR="000E6EBE" w:rsidRPr="00F171A3" w:rsidRDefault="000E6EBE" w:rsidP="00C44C7A">
            <w:pPr>
              <w:spacing w:after="0"/>
              <w:jc w:val="center"/>
              <w:rPr>
                <w:b/>
                <w:bCs/>
                <w:szCs w:val="20"/>
              </w:rPr>
            </w:pPr>
            <w:r w:rsidRPr="00F171A3">
              <w:rPr>
                <w:b/>
                <w:bCs/>
              </w:rPr>
              <w:t>SERVICII SOCIALE</w:t>
            </w:r>
          </w:p>
        </w:tc>
      </w:tr>
      <w:tr w:rsidR="000E6EBE" w:rsidRPr="00F171A3" w14:paraId="6B3459AA" w14:textId="77777777" w:rsidTr="00F35DEE">
        <w:trPr>
          <w:cnfStyle w:val="000000100000" w:firstRow="0" w:lastRow="0" w:firstColumn="0" w:lastColumn="0" w:oddVBand="0" w:evenVBand="0" w:oddHBand="1" w:evenHBand="0" w:firstRowFirstColumn="0" w:firstRowLastColumn="0" w:lastRowFirstColumn="0" w:lastRowLastColumn="0"/>
        </w:trPr>
        <w:tc>
          <w:tcPr>
            <w:tcW w:w="4718" w:type="dxa"/>
            <w:shd w:val="clear" w:color="auto" w:fill="134753" w:themeFill="text2"/>
            <w:vAlign w:val="center"/>
          </w:tcPr>
          <w:p w14:paraId="5469A51F" w14:textId="77777777" w:rsidR="000E6EBE" w:rsidRPr="00F171A3" w:rsidRDefault="000E6EBE" w:rsidP="00F35DEE">
            <w:pPr>
              <w:jc w:val="center"/>
              <w:rPr>
                <w:b/>
                <w:caps/>
                <w:color w:val="FFFFFF" w:themeColor="background1"/>
                <w:szCs w:val="20"/>
              </w:rPr>
            </w:pPr>
            <w:r w:rsidRPr="00F171A3">
              <w:rPr>
                <w:b/>
                <w:caps/>
                <w:color w:val="FFFFFF" w:themeColor="background1"/>
                <w:szCs w:val="20"/>
              </w:rPr>
              <w:t>CONCLUZII, PROVOCĂRI, ELEMENTE DE POTENȚIAL</w:t>
            </w:r>
          </w:p>
        </w:tc>
        <w:tc>
          <w:tcPr>
            <w:tcW w:w="4718" w:type="dxa"/>
            <w:shd w:val="clear" w:color="auto" w:fill="134753" w:themeFill="text2"/>
            <w:vAlign w:val="center"/>
          </w:tcPr>
          <w:p w14:paraId="73F077E4" w14:textId="77777777" w:rsidR="000E6EBE" w:rsidRPr="00F171A3" w:rsidRDefault="000E6EBE" w:rsidP="00F35DEE">
            <w:pPr>
              <w:jc w:val="center"/>
              <w:rPr>
                <w:b/>
                <w:caps/>
                <w:color w:val="FFFFFF" w:themeColor="background1"/>
                <w:szCs w:val="20"/>
              </w:rPr>
            </w:pPr>
            <w:r w:rsidRPr="00F171A3">
              <w:rPr>
                <w:b/>
                <w:caps/>
                <w:color w:val="FFFFFF" w:themeColor="background1"/>
                <w:szCs w:val="20"/>
              </w:rPr>
              <w:t>Posibile intervenții</w:t>
            </w:r>
          </w:p>
        </w:tc>
      </w:tr>
      <w:tr w:rsidR="000E6EBE" w:rsidRPr="00F171A3" w14:paraId="12E17BF4" w14:textId="77777777" w:rsidTr="00C44C7A">
        <w:trPr>
          <w:cnfStyle w:val="000000010000" w:firstRow="0" w:lastRow="0" w:firstColumn="0" w:lastColumn="0" w:oddVBand="0" w:evenVBand="0" w:oddHBand="0" w:evenHBand="1" w:firstRowFirstColumn="0" w:firstRowLastColumn="0" w:lastRowFirstColumn="0" w:lastRowLastColumn="0"/>
        </w:trPr>
        <w:tc>
          <w:tcPr>
            <w:tcW w:w="4718" w:type="dxa"/>
          </w:tcPr>
          <w:p w14:paraId="5260C811" w14:textId="7C4C7DBF" w:rsidR="000E6EBE" w:rsidRPr="00F171A3" w:rsidRDefault="000E6EBE" w:rsidP="00C44C7A">
            <w:r w:rsidRPr="00F171A3">
              <w:rPr>
                <w:bCs/>
              </w:rPr>
              <w:t xml:space="preserve">Nevoia de a dezvolta noi servicii publice pentru a acoperi toată gama de necesități care există, și de a </w:t>
            </w:r>
            <w:r w:rsidR="00482049" w:rsidRPr="00F171A3">
              <w:rPr>
                <w:bCs/>
              </w:rPr>
              <w:t>digitaliza</w:t>
            </w:r>
            <w:r w:rsidRPr="00F171A3">
              <w:rPr>
                <w:bCs/>
              </w:rPr>
              <w:t xml:space="preserve"> serviciile publice existente pentru o mai bună calitate a acestora</w:t>
            </w:r>
          </w:p>
        </w:tc>
        <w:tc>
          <w:tcPr>
            <w:tcW w:w="4718" w:type="dxa"/>
          </w:tcPr>
          <w:p w14:paraId="65E81103" w14:textId="7F803108" w:rsidR="000E6EBE" w:rsidRPr="00F171A3" w:rsidRDefault="002E2E8D" w:rsidP="00C44C7A">
            <w:r w:rsidRPr="00F171A3">
              <w:rPr>
                <w:bCs/>
              </w:rPr>
              <w:t>Crearea de noi servicii sociale (cantină socială, centru de zi pentru persoane dependente, etc.) sau subcontractarea unor ONG-uri care să presteze astfel de servicii, precum și realizarea de investiții pentru digitalizarea serviciilor sociale</w:t>
            </w:r>
          </w:p>
        </w:tc>
      </w:tr>
      <w:tr w:rsidR="000E6EBE" w:rsidRPr="00F171A3" w14:paraId="5C0D02B9" w14:textId="77777777" w:rsidTr="00C44C7A">
        <w:trPr>
          <w:cnfStyle w:val="000000100000" w:firstRow="0" w:lastRow="0" w:firstColumn="0" w:lastColumn="0" w:oddVBand="0" w:evenVBand="0" w:oddHBand="1" w:evenHBand="0" w:firstRowFirstColumn="0" w:firstRowLastColumn="0" w:lastRowFirstColumn="0" w:lastRowLastColumn="0"/>
        </w:trPr>
        <w:tc>
          <w:tcPr>
            <w:tcW w:w="4718" w:type="dxa"/>
          </w:tcPr>
          <w:p w14:paraId="4234523F" w14:textId="77777777" w:rsidR="000E6EBE" w:rsidRDefault="000E6EBE" w:rsidP="00C44C7A">
            <w:pPr>
              <w:rPr>
                <w:bCs/>
              </w:rPr>
            </w:pPr>
            <w:r w:rsidRPr="00F171A3">
              <w:rPr>
                <w:bCs/>
              </w:rPr>
              <w:t>Problematica resurselor umane din cadrul DGASPC, în special a asistenților maternali acreditați și a personalului pentru îngrijire la domiciliu</w:t>
            </w:r>
          </w:p>
          <w:p w14:paraId="6F5D0DA3" w14:textId="091B896C" w:rsidR="0009387D" w:rsidRPr="0009387D" w:rsidRDefault="0009387D" w:rsidP="00C44C7A">
            <w:pPr>
              <w:rPr>
                <w:bCs/>
              </w:rPr>
            </w:pPr>
            <w:r w:rsidRPr="0009387D">
              <w:rPr>
                <w:bCs/>
              </w:rPr>
              <w:t xml:space="preserve">Nevoia de a asigura standarde înalte și o evaluare temeinică a calității serviciilor sociale oferite </w:t>
            </w:r>
          </w:p>
        </w:tc>
        <w:tc>
          <w:tcPr>
            <w:tcW w:w="4718" w:type="dxa"/>
          </w:tcPr>
          <w:p w14:paraId="5FE129CA" w14:textId="77777777" w:rsidR="000E6EBE" w:rsidRPr="00F171A3" w:rsidRDefault="000E6EBE" w:rsidP="00C44C7A">
            <w:r w:rsidRPr="00F171A3">
              <w:rPr>
                <w:bCs/>
              </w:rPr>
              <w:t>Realizarea de cursuri de perfecționare pentru personalul existent, participarea la târguri de cariere, promovarea job-urilor și crearea de condiții favorabile de muncă</w:t>
            </w:r>
          </w:p>
        </w:tc>
      </w:tr>
      <w:tr w:rsidR="000E6EBE" w:rsidRPr="00F171A3" w14:paraId="32BF94BC" w14:textId="77777777" w:rsidTr="00C44C7A">
        <w:trPr>
          <w:cnfStyle w:val="000000010000" w:firstRow="0" w:lastRow="0" w:firstColumn="0" w:lastColumn="0" w:oddVBand="0" w:evenVBand="0" w:oddHBand="0" w:evenHBand="1" w:firstRowFirstColumn="0" w:firstRowLastColumn="0" w:lastRowFirstColumn="0" w:lastRowLastColumn="0"/>
        </w:trPr>
        <w:tc>
          <w:tcPr>
            <w:tcW w:w="4718" w:type="dxa"/>
          </w:tcPr>
          <w:p w14:paraId="7A2E52F6" w14:textId="465981A0" w:rsidR="000E6EBE" w:rsidRPr="009E7FB9" w:rsidRDefault="000E6EBE" w:rsidP="00C44C7A">
            <w:pPr>
              <w:rPr>
                <w:bCs/>
              </w:rPr>
            </w:pPr>
            <w:r w:rsidRPr="00F171A3">
              <w:rPr>
                <w:bCs/>
              </w:rPr>
              <w:t>Parteneriatele cu sectorul non-guvernamental reprezintă un atu al domeniului respective, deoarece numărul de ONG-uri din sfera serviciil</w:t>
            </w:r>
            <w:r w:rsidR="00C66438">
              <w:rPr>
                <w:bCs/>
              </w:rPr>
              <w:t>or</w:t>
            </w:r>
            <w:r w:rsidRPr="00F171A3">
              <w:rPr>
                <w:bCs/>
              </w:rPr>
              <w:t xml:space="preserve"> sociale este foarte mare</w:t>
            </w:r>
            <w:r w:rsidR="009E7FB9">
              <w:rPr>
                <w:bCs/>
              </w:rPr>
              <w:t xml:space="preserve">. </w:t>
            </w:r>
            <w:r w:rsidR="009E7FB9" w:rsidRPr="009E7FB9">
              <w:rPr>
                <w:bCs/>
              </w:rPr>
              <w:t>Încheierea de parteneriate cu organizații/instituții care asigură servicii complementare pentru beneficiarii asistați</w:t>
            </w:r>
          </w:p>
        </w:tc>
        <w:tc>
          <w:tcPr>
            <w:tcW w:w="4718" w:type="dxa"/>
          </w:tcPr>
          <w:p w14:paraId="5E31ACD0" w14:textId="77777777" w:rsidR="000E6EBE" w:rsidRPr="00F171A3" w:rsidRDefault="000E6EBE" w:rsidP="00C44C7A">
            <w:r w:rsidRPr="00F171A3">
              <w:rPr>
                <w:bCs/>
              </w:rPr>
              <w:t>Continuarea parteneriatelor existente și crearea unor parteneriate noi, inclusiv pentru a crea servicii sociale noi</w:t>
            </w:r>
          </w:p>
        </w:tc>
      </w:tr>
      <w:tr w:rsidR="0009387D" w:rsidRPr="00F171A3" w14:paraId="49044628" w14:textId="77777777" w:rsidTr="00C44C7A">
        <w:trPr>
          <w:cnfStyle w:val="000000100000" w:firstRow="0" w:lastRow="0" w:firstColumn="0" w:lastColumn="0" w:oddVBand="0" w:evenVBand="0" w:oddHBand="1" w:evenHBand="0" w:firstRowFirstColumn="0" w:firstRowLastColumn="0" w:lastRowFirstColumn="0" w:lastRowLastColumn="0"/>
        </w:trPr>
        <w:tc>
          <w:tcPr>
            <w:tcW w:w="4718" w:type="dxa"/>
          </w:tcPr>
          <w:p w14:paraId="73E80F15" w14:textId="77777777" w:rsidR="0009387D" w:rsidRPr="0009387D" w:rsidRDefault="0009387D" w:rsidP="0009387D">
            <w:pPr>
              <w:rPr>
                <w:bCs/>
              </w:rPr>
            </w:pPr>
            <w:r w:rsidRPr="0009387D">
              <w:rPr>
                <w:bCs/>
              </w:rPr>
              <w:t>Dezvoltarea de pârghii de coordonare sub forma de servicii sociale integrate între serviciile sociale, de ocupare și economia socială - pentru inserția socio-profesională a persoanelor aparținând grupurilor vulnerabile</w:t>
            </w:r>
          </w:p>
          <w:p w14:paraId="221E6B11" w14:textId="77777777" w:rsidR="0009387D" w:rsidRPr="00F171A3" w:rsidRDefault="0009387D" w:rsidP="0009387D">
            <w:pPr>
              <w:rPr>
                <w:bCs/>
              </w:rPr>
            </w:pPr>
          </w:p>
        </w:tc>
        <w:tc>
          <w:tcPr>
            <w:tcW w:w="4718" w:type="dxa"/>
          </w:tcPr>
          <w:p w14:paraId="03FE2CAB" w14:textId="1A5B932D" w:rsidR="0009387D" w:rsidRPr="00F171A3" w:rsidRDefault="0009387D" w:rsidP="00C44C7A">
            <w:pPr>
              <w:rPr>
                <w:bCs/>
              </w:rPr>
            </w:pPr>
            <w:r>
              <w:rPr>
                <w:bCs/>
              </w:rPr>
              <w:t xml:space="preserve">Sprijinirea dezvoltării întreprinderilor sociale și a inserției </w:t>
            </w:r>
            <w:r w:rsidRPr="0009387D">
              <w:rPr>
                <w:bCs/>
              </w:rPr>
              <w:t>socio-profesională a persoanelor aparținând grupurilor vulnerabile</w:t>
            </w:r>
          </w:p>
        </w:tc>
      </w:tr>
      <w:tr w:rsidR="00414DE2" w:rsidRPr="00F171A3" w14:paraId="217301F1" w14:textId="77777777" w:rsidTr="00C44C7A">
        <w:trPr>
          <w:cnfStyle w:val="000000010000" w:firstRow="0" w:lastRow="0" w:firstColumn="0" w:lastColumn="0" w:oddVBand="0" w:evenVBand="0" w:oddHBand="0" w:evenHBand="1" w:firstRowFirstColumn="0" w:firstRowLastColumn="0" w:lastRowFirstColumn="0" w:lastRowLastColumn="0"/>
        </w:trPr>
        <w:tc>
          <w:tcPr>
            <w:tcW w:w="4718" w:type="dxa"/>
          </w:tcPr>
          <w:p w14:paraId="78D3556E" w14:textId="541E3C56" w:rsidR="00414DE2" w:rsidRPr="0009387D" w:rsidRDefault="00414DE2" w:rsidP="0009387D">
            <w:pPr>
              <w:rPr>
                <w:bCs/>
              </w:rPr>
            </w:pPr>
            <w:r>
              <w:t>Nevoia de p</w:t>
            </w:r>
            <w:r w:rsidRPr="00414DE2">
              <w:t>romovare</w:t>
            </w:r>
            <w:r>
              <w:t xml:space="preserve"> </w:t>
            </w:r>
            <w:r w:rsidRPr="00414DE2">
              <w:t>a achizițiilor sociale la toate instituțiile publice din sector – clauze sociale, contracte rezervate care pot duce la integrarea în muncă și socială a grupurilor defavorizate din sector</w:t>
            </w:r>
          </w:p>
        </w:tc>
        <w:tc>
          <w:tcPr>
            <w:tcW w:w="4718" w:type="dxa"/>
          </w:tcPr>
          <w:p w14:paraId="5E814CFA" w14:textId="579BE212" w:rsidR="00414DE2" w:rsidRDefault="00414DE2" w:rsidP="00C44C7A">
            <w:pPr>
              <w:rPr>
                <w:bCs/>
              </w:rPr>
            </w:pPr>
            <w:r>
              <w:rPr>
                <w:bCs/>
              </w:rPr>
              <w:t>Armonizarea regulamentelor interne și a procedurilor de achiziții ale instituții lor publice din Sectorul 2 cu nevoia de promovare a achizițiilor sociale.</w:t>
            </w:r>
          </w:p>
        </w:tc>
      </w:tr>
    </w:tbl>
    <w:p w14:paraId="1585DEDA" w14:textId="29F5293D" w:rsidR="000E6EBE" w:rsidRPr="00F171A3" w:rsidRDefault="000E6EBE" w:rsidP="007F2663">
      <w:pPr>
        <w:pStyle w:val="Normal0"/>
      </w:pPr>
    </w:p>
    <w:p w14:paraId="3D3BC687" w14:textId="77777777" w:rsidR="00F35DEE" w:rsidRPr="00F171A3" w:rsidRDefault="00F35DEE" w:rsidP="007F2663">
      <w:pPr>
        <w:pStyle w:val="Normal0"/>
      </w:pPr>
    </w:p>
    <w:tbl>
      <w:tblPr>
        <w:tblStyle w:val="Civittatable"/>
        <w:tblW w:w="0" w:type="auto"/>
        <w:tblLook w:val="04A0" w:firstRow="1" w:lastRow="0" w:firstColumn="1" w:lastColumn="0" w:noHBand="0" w:noVBand="1"/>
      </w:tblPr>
      <w:tblGrid>
        <w:gridCol w:w="4505"/>
        <w:gridCol w:w="4511"/>
      </w:tblGrid>
      <w:tr w:rsidR="000E6EBE" w:rsidRPr="00F171A3" w14:paraId="59A73877" w14:textId="77777777" w:rsidTr="00C44C7A">
        <w:trPr>
          <w:cnfStyle w:val="100000000000" w:firstRow="1" w:lastRow="0" w:firstColumn="0" w:lastColumn="0" w:oddVBand="0" w:evenVBand="0" w:oddHBand="0" w:evenHBand="0" w:firstRowFirstColumn="0" w:firstRowLastColumn="0" w:lastRowFirstColumn="0" w:lastRowLastColumn="0"/>
        </w:trPr>
        <w:tc>
          <w:tcPr>
            <w:tcW w:w="9436" w:type="dxa"/>
            <w:gridSpan w:val="2"/>
            <w:shd w:val="clear" w:color="auto" w:fill="3CA1BC" w:themeFill="background2"/>
          </w:tcPr>
          <w:p w14:paraId="2C79D9DA" w14:textId="77777777" w:rsidR="000E6EBE" w:rsidRPr="00F171A3" w:rsidRDefault="000E6EBE" w:rsidP="00C44C7A">
            <w:pPr>
              <w:spacing w:after="0"/>
              <w:jc w:val="center"/>
              <w:rPr>
                <w:b/>
                <w:szCs w:val="20"/>
              </w:rPr>
            </w:pPr>
            <w:r w:rsidRPr="00F171A3">
              <w:rPr>
                <w:b/>
                <w:szCs w:val="20"/>
              </w:rPr>
              <w:t>SĂNĂTATE</w:t>
            </w:r>
          </w:p>
        </w:tc>
      </w:tr>
      <w:tr w:rsidR="000E6EBE" w:rsidRPr="00F171A3" w14:paraId="30A7AB03" w14:textId="77777777" w:rsidTr="00F35DEE">
        <w:trPr>
          <w:cnfStyle w:val="000000100000" w:firstRow="0" w:lastRow="0" w:firstColumn="0" w:lastColumn="0" w:oddVBand="0" w:evenVBand="0" w:oddHBand="1" w:evenHBand="0" w:firstRowFirstColumn="0" w:firstRowLastColumn="0" w:lastRowFirstColumn="0" w:lastRowLastColumn="0"/>
        </w:trPr>
        <w:tc>
          <w:tcPr>
            <w:tcW w:w="4718" w:type="dxa"/>
            <w:shd w:val="clear" w:color="auto" w:fill="134753" w:themeFill="text2"/>
            <w:vAlign w:val="center"/>
          </w:tcPr>
          <w:p w14:paraId="7F2E16E0" w14:textId="77777777" w:rsidR="000E6EBE" w:rsidRPr="00F171A3" w:rsidRDefault="000E6EBE" w:rsidP="00F35DEE">
            <w:pPr>
              <w:jc w:val="center"/>
              <w:rPr>
                <w:b/>
                <w:caps/>
                <w:color w:val="FFFFFF" w:themeColor="background1"/>
                <w:szCs w:val="20"/>
              </w:rPr>
            </w:pPr>
            <w:r w:rsidRPr="00F171A3">
              <w:rPr>
                <w:b/>
                <w:caps/>
                <w:color w:val="FFFFFF" w:themeColor="background1"/>
                <w:szCs w:val="20"/>
              </w:rPr>
              <w:t>CONCLUZII, PROVOCĂRI, ELEMENTE DE POTENȚIAL</w:t>
            </w:r>
          </w:p>
        </w:tc>
        <w:tc>
          <w:tcPr>
            <w:tcW w:w="4718" w:type="dxa"/>
            <w:shd w:val="clear" w:color="auto" w:fill="134753" w:themeFill="text2"/>
            <w:vAlign w:val="center"/>
          </w:tcPr>
          <w:p w14:paraId="263093ED" w14:textId="77777777" w:rsidR="000E6EBE" w:rsidRPr="00F171A3" w:rsidRDefault="000E6EBE" w:rsidP="00F35DEE">
            <w:pPr>
              <w:jc w:val="center"/>
              <w:rPr>
                <w:b/>
                <w:caps/>
                <w:color w:val="FFFFFF" w:themeColor="background1"/>
                <w:szCs w:val="20"/>
              </w:rPr>
            </w:pPr>
            <w:r w:rsidRPr="00F171A3">
              <w:rPr>
                <w:b/>
                <w:caps/>
                <w:color w:val="FFFFFF" w:themeColor="background1"/>
                <w:szCs w:val="20"/>
              </w:rPr>
              <w:t>Posibile intervenții</w:t>
            </w:r>
          </w:p>
        </w:tc>
      </w:tr>
      <w:tr w:rsidR="000E6EBE" w:rsidRPr="00F171A3" w14:paraId="77FB2E21" w14:textId="77777777" w:rsidTr="00C44C7A">
        <w:trPr>
          <w:cnfStyle w:val="000000010000" w:firstRow="0" w:lastRow="0" w:firstColumn="0" w:lastColumn="0" w:oddVBand="0" w:evenVBand="0" w:oddHBand="0" w:evenHBand="1" w:firstRowFirstColumn="0" w:firstRowLastColumn="0" w:lastRowFirstColumn="0" w:lastRowLastColumn="0"/>
        </w:trPr>
        <w:tc>
          <w:tcPr>
            <w:tcW w:w="4718" w:type="dxa"/>
          </w:tcPr>
          <w:p w14:paraId="2B58699C" w14:textId="2696FAF4" w:rsidR="000E6EBE" w:rsidRPr="00F171A3" w:rsidRDefault="000E6EBE" w:rsidP="00C44C7A">
            <w:r w:rsidRPr="00F171A3">
              <w:t xml:space="preserve">Infrastructura de sănătate din Sectorul 2 </w:t>
            </w:r>
            <w:r w:rsidR="00D35FEE">
              <w:t>este administrată</w:t>
            </w:r>
            <w:r w:rsidR="00D35FEE" w:rsidRPr="00F171A3">
              <w:t xml:space="preserve"> </w:t>
            </w:r>
            <w:r w:rsidRPr="00F171A3">
              <w:t>de municipalitate sau de Ministerul Sănătății.</w:t>
            </w:r>
          </w:p>
        </w:tc>
        <w:tc>
          <w:tcPr>
            <w:tcW w:w="4718" w:type="dxa"/>
          </w:tcPr>
          <w:p w14:paraId="79D83F24" w14:textId="6E1F09B5" w:rsidR="000E6EBE" w:rsidRPr="00F171A3" w:rsidRDefault="002E2E8D" w:rsidP="00C44C7A">
            <w:r w:rsidRPr="00F171A3">
              <w:t xml:space="preserve">Realizarea de proiecte în parteneriat pentru dezvoltarea infrastructurii de sănătate din Sectorul 2, București </w:t>
            </w:r>
          </w:p>
        </w:tc>
      </w:tr>
      <w:tr w:rsidR="000E6EBE" w:rsidRPr="00F171A3" w14:paraId="4F6C41F8" w14:textId="77777777" w:rsidTr="00C44C7A">
        <w:trPr>
          <w:cnfStyle w:val="000000100000" w:firstRow="0" w:lastRow="0" w:firstColumn="0" w:lastColumn="0" w:oddVBand="0" w:evenVBand="0" w:oddHBand="1" w:evenHBand="0" w:firstRowFirstColumn="0" w:firstRowLastColumn="0" w:lastRowFirstColumn="0" w:lastRowLastColumn="0"/>
        </w:trPr>
        <w:tc>
          <w:tcPr>
            <w:tcW w:w="4718" w:type="dxa"/>
          </w:tcPr>
          <w:p w14:paraId="7A25911C" w14:textId="44D7BE0F" w:rsidR="000E6EBE" w:rsidRPr="00F171A3" w:rsidRDefault="000E6EBE" w:rsidP="00C44C7A">
            <w:r w:rsidRPr="00F171A3">
              <w:t xml:space="preserve">La nivelul municipiului București este </w:t>
            </w:r>
            <w:r w:rsidR="00C66438" w:rsidRPr="00F171A3">
              <w:t>înregistrată</w:t>
            </w:r>
            <w:r w:rsidRPr="00F171A3">
              <w:t xml:space="preserve"> cea mai diversificată și bine dotată infrastructură medicală. Pandemia a scos la iveală un șir de probleme din domeniul medical, precum nevoile de investiții in modernizarea și dotarea spitalelor.</w:t>
            </w:r>
          </w:p>
        </w:tc>
        <w:tc>
          <w:tcPr>
            <w:tcW w:w="4718" w:type="dxa"/>
          </w:tcPr>
          <w:p w14:paraId="0E3CD962" w14:textId="77777777" w:rsidR="000E6EBE" w:rsidRPr="00F171A3" w:rsidRDefault="000E6EBE" w:rsidP="00C44C7A">
            <w:r w:rsidRPr="00F171A3">
              <w:t>Realizarea de lucrări de dotare și modernizare a spitalelor prin PNRR</w:t>
            </w:r>
          </w:p>
        </w:tc>
      </w:tr>
      <w:tr w:rsidR="000E6EBE" w:rsidRPr="00F171A3" w14:paraId="4AEF4EC1" w14:textId="77777777" w:rsidTr="00C44C7A">
        <w:trPr>
          <w:cnfStyle w:val="000000010000" w:firstRow="0" w:lastRow="0" w:firstColumn="0" w:lastColumn="0" w:oddVBand="0" w:evenVBand="0" w:oddHBand="0" w:evenHBand="1" w:firstRowFirstColumn="0" w:firstRowLastColumn="0" w:lastRowFirstColumn="0" w:lastRowLastColumn="0"/>
        </w:trPr>
        <w:tc>
          <w:tcPr>
            <w:tcW w:w="4718" w:type="dxa"/>
          </w:tcPr>
          <w:p w14:paraId="072B97DF" w14:textId="77777777" w:rsidR="000E6EBE" w:rsidRPr="00F171A3" w:rsidRDefault="000E6EBE" w:rsidP="00C44C7A">
            <w:r w:rsidRPr="00F171A3">
              <w:t>Populația orașului are de suferit zilnic din cauza poluării excesive a orașului.</w:t>
            </w:r>
          </w:p>
        </w:tc>
        <w:tc>
          <w:tcPr>
            <w:tcW w:w="4718" w:type="dxa"/>
          </w:tcPr>
          <w:p w14:paraId="2E6DF225" w14:textId="77777777" w:rsidR="000E6EBE" w:rsidRPr="00F171A3" w:rsidRDefault="000E6EBE" w:rsidP="00C44C7A">
            <w:r w:rsidRPr="00F171A3">
              <w:t>Implementarea de politici publice eco-friendly (transport urban gratuit o zi, plantare de pomi, investiții în transportul public, proiecte de sensibilizare a cetățenilor, etc.)</w:t>
            </w:r>
          </w:p>
        </w:tc>
      </w:tr>
      <w:tr w:rsidR="00796813" w:rsidRPr="00F171A3" w14:paraId="0B3D6A02" w14:textId="77777777" w:rsidTr="00C44C7A">
        <w:trPr>
          <w:cnfStyle w:val="000000100000" w:firstRow="0" w:lastRow="0" w:firstColumn="0" w:lastColumn="0" w:oddVBand="0" w:evenVBand="0" w:oddHBand="1" w:evenHBand="0" w:firstRowFirstColumn="0" w:firstRowLastColumn="0" w:lastRowFirstColumn="0" w:lastRowLastColumn="0"/>
        </w:trPr>
        <w:tc>
          <w:tcPr>
            <w:tcW w:w="4718" w:type="dxa"/>
          </w:tcPr>
          <w:p w14:paraId="5F358DA5" w14:textId="2220E9AE" w:rsidR="00796813" w:rsidRPr="00F171A3" w:rsidRDefault="00796813" w:rsidP="00796813">
            <w:r w:rsidRPr="00F171A3">
              <w:t>Presiunea pe sistemul de sănătate va crește în următorii ani, în contextul îmbătrânirii demografice din Sectorul 2</w:t>
            </w:r>
          </w:p>
        </w:tc>
        <w:tc>
          <w:tcPr>
            <w:tcW w:w="4718" w:type="dxa"/>
          </w:tcPr>
          <w:p w14:paraId="2487DD31" w14:textId="63B17FD7" w:rsidR="00796813" w:rsidRPr="00F171A3" w:rsidRDefault="00796813" w:rsidP="00796813">
            <w:r w:rsidRPr="00F171A3">
              <w:t>Realizarea de campanii de informare și screening, care să permită identificare bolilor în faze incipiente</w:t>
            </w:r>
          </w:p>
        </w:tc>
      </w:tr>
    </w:tbl>
    <w:p w14:paraId="6D06743A" w14:textId="77777777" w:rsidR="000E6EBE" w:rsidRPr="00F171A3" w:rsidRDefault="000E6EBE" w:rsidP="007F2663">
      <w:pPr>
        <w:pStyle w:val="Normal0"/>
      </w:pPr>
    </w:p>
    <w:tbl>
      <w:tblPr>
        <w:tblStyle w:val="Civittatable"/>
        <w:tblW w:w="0" w:type="auto"/>
        <w:tblLook w:val="04A0" w:firstRow="1" w:lastRow="0" w:firstColumn="1" w:lastColumn="0" w:noHBand="0" w:noVBand="1"/>
      </w:tblPr>
      <w:tblGrid>
        <w:gridCol w:w="4503"/>
        <w:gridCol w:w="4513"/>
      </w:tblGrid>
      <w:tr w:rsidR="009F263A" w:rsidRPr="00F171A3" w14:paraId="6136DA69" w14:textId="77777777" w:rsidTr="00F35DEE">
        <w:trPr>
          <w:cnfStyle w:val="100000000000" w:firstRow="1" w:lastRow="0" w:firstColumn="0" w:lastColumn="0" w:oddVBand="0" w:evenVBand="0" w:oddHBand="0" w:evenHBand="0" w:firstRowFirstColumn="0" w:firstRowLastColumn="0" w:lastRowFirstColumn="0" w:lastRowLastColumn="0"/>
          <w:tblHeader w:val="0"/>
        </w:trPr>
        <w:tc>
          <w:tcPr>
            <w:tcW w:w="9436" w:type="dxa"/>
            <w:gridSpan w:val="2"/>
            <w:shd w:val="clear" w:color="auto" w:fill="3CA1BC" w:themeFill="background2"/>
          </w:tcPr>
          <w:p w14:paraId="365475C5" w14:textId="72B8C819" w:rsidR="009F263A" w:rsidRPr="00F171A3" w:rsidRDefault="009F263A" w:rsidP="00520678">
            <w:pPr>
              <w:spacing w:after="0"/>
              <w:jc w:val="center"/>
              <w:rPr>
                <w:b/>
                <w:bCs/>
                <w:szCs w:val="20"/>
              </w:rPr>
            </w:pPr>
            <w:r w:rsidRPr="00F171A3">
              <w:rPr>
                <w:b/>
                <w:bCs/>
              </w:rPr>
              <w:t>EDUCAȚIE</w:t>
            </w:r>
          </w:p>
        </w:tc>
      </w:tr>
      <w:tr w:rsidR="009F263A" w:rsidRPr="00F171A3" w14:paraId="696FCD68" w14:textId="77777777" w:rsidTr="00F35DEE">
        <w:trPr>
          <w:cnfStyle w:val="000000100000" w:firstRow="0" w:lastRow="0" w:firstColumn="0" w:lastColumn="0" w:oddVBand="0" w:evenVBand="0" w:oddHBand="1" w:evenHBand="0" w:firstRowFirstColumn="0" w:firstRowLastColumn="0" w:lastRowFirstColumn="0" w:lastRowLastColumn="0"/>
        </w:trPr>
        <w:tc>
          <w:tcPr>
            <w:tcW w:w="4718" w:type="dxa"/>
            <w:shd w:val="clear" w:color="auto" w:fill="134753" w:themeFill="text2"/>
            <w:vAlign w:val="center"/>
          </w:tcPr>
          <w:p w14:paraId="1065D1CD" w14:textId="77777777" w:rsidR="009F263A" w:rsidRPr="00F171A3" w:rsidRDefault="009F263A" w:rsidP="00F35DEE">
            <w:pPr>
              <w:jc w:val="center"/>
              <w:rPr>
                <w:b/>
                <w:caps/>
                <w:color w:val="FFFFFF" w:themeColor="background1"/>
                <w:szCs w:val="20"/>
              </w:rPr>
            </w:pPr>
            <w:r w:rsidRPr="00F171A3">
              <w:rPr>
                <w:b/>
                <w:caps/>
                <w:color w:val="FFFFFF" w:themeColor="background1"/>
                <w:szCs w:val="20"/>
              </w:rPr>
              <w:t>CONCLUZII, PROVOCĂRI, ELEMENTE DE POTENȚIAL</w:t>
            </w:r>
          </w:p>
        </w:tc>
        <w:tc>
          <w:tcPr>
            <w:tcW w:w="4718" w:type="dxa"/>
            <w:shd w:val="clear" w:color="auto" w:fill="134753" w:themeFill="text2"/>
            <w:vAlign w:val="center"/>
          </w:tcPr>
          <w:p w14:paraId="2D2E6F47" w14:textId="77777777" w:rsidR="009F263A" w:rsidRPr="00F171A3" w:rsidRDefault="009F263A" w:rsidP="00F35DEE">
            <w:pPr>
              <w:jc w:val="center"/>
              <w:rPr>
                <w:b/>
                <w:caps/>
                <w:color w:val="FFFFFF" w:themeColor="background1"/>
                <w:szCs w:val="20"/>
              </w:rPr>
            </w:pPr>
            <w:r w:rsidRPr="00F171A3">
              <w:rPr>
                <w:b/>
                <w:caps/>
                <w:color w:val="FFFFFF" w:themeColor="background1"/>
                <w:szCs w:val="20"/>
              </w:rPr>
              <w:t>Posibile intervenții</w:t>
            </w:r>
          </w:p>
        </w:tc>
      </w:tr>
      <w:tr w:rsidR="0068736A" w:rsidRPr="00F171A3" w14:paraId="400F660C"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5679CD38" w14:textId="77777777" w:rsidR="0068736A" w:rsidRPr="00F171A3" w:rsidRDefault="0068736A" w:rsidP="0068736A">
            <w:r w:rsidRPr="00F171A3">
              <w:t xml:space="preserve">La nivelul Sectorului 2 se observă o aglomerare a instituțiilor de învățământ în zona de sud-vest (zona centrală a municipiului București), fapt ce susține nevoia de mobilitate către zona centrală a capitalei dinspre cea periferică. </w:t>
            </w:r>
          </w:p>
          <w:p w14:paraId="19C2CCEA" w14:textId="77777777" w:rsidR="0068736A" w:rsidRPr="00F171A3" w:rsidRDefault="0068736A" w:rsidP="0068736A">
            <w:r w:rsidRPr="00F171A3">
              <w:t>În plus, în Sectorul 2 există o cerere mare de noi locuri în creșe, în prezent fiind disponibile doar aproximativ 400 de locuri pentru educația timpurie.</w:t>
            </w:r>
          </w:p>
          <w:p w14:paraId="01280E17" w14:textId="613BF23D" w:rsidR="0068736A" w:rsidRPr="00F171A3" w:rsidRDefault="0068736A" w:rsidP="0068736A">
            <w:r w:rsidRPr="00F171A3">
              <w:t>Mai mult, nivelul de deservire al infrastructurii preșcolare este doar unul mediu, zonele Andronache, Ion Creangă, Colentina, Baicului, Obor și zonele de sud și nord din Pantelimon și Tei fiind deficitare în acest sens.</w:t>
            </w:r>
          </w:p>
        </w:tc>
        <w:tc>
          <w:tcPr>
            <w:tcW w:w="4718" w:type="dxa"/>
          </w:tcPr>
          <w:p w14:paraId="53C90811" w14:textId="77777777" w:rsidR="0068736A" w:rsidRPr="00F171A3" w:rsidRDefault="0068736A" w:rsidP="0068736A">
            <w:r w:rsidRPr="00F171A3">
              <w:t>Realizarea unor proiecte de construcție de noi unități de învățământ pentru educație timpurie și nivelul preșcolar în zonele slab deservite.</w:t>
            </w:r>
          </w:p>
          <w:p w14:paraId="62476252" w14:textId="77777777" w:rsidR="0068736A" w:rsidRPr="00F171A3" w:rsidRDefault="0068736A" w:rsidP="0068736A">
            <w:r w:rsidRPr="00F171A3">
              <w:t>Crearea unor grupe de creșă în cadrul instituțiilor de învățământ preșcolar prin extinderea spațiilor disponibile (unde este cazul), dotarea și angajarea de personal calificat pentru acest tip de învățământ.</w:t>
            </w:r>
          </w:p>
          <w:p w14:paraId="78B12CC4" w14:textId="2810CC6F" w:rsidR="0068736A" w:rsidRPr="00F171A3" w:rsidRDefault="0068736A" w:rsidP="0068736A"/>
        </w:tc>
      </w:tr>
      <w:tr w:rsidR="0068736A" w:rsidRPr="00F171A3" w14:paraId="6591DE7A"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25317B38" w14:textId="77777777" w:rsidR="0068736A" w:rsidRPr="00F171A3" w:rsidRDefault="0068736A" w:rsidP="0068736A">
            <w:r w:rsidRPr="00F171A3">
              <w:t>Peste 50 de clădiri din cadrul infrastructurii de învățământ necesită investiții de modernizare sau reabilitare (eficientizare energetică, amenajare a spațiilor recreative și sportive, amenajarea locurilor de așteptare pentru părinți, etc.)</w:t>
            </w:r>
          </w:p>
          <w:p w14:paraId="7650E05E" w14:textId="77777777" w:rsidR="0068736A" w:rsidRPr="00F171A3" w:rsidRDefault="0068736A" w:rsidP="0068736A">
            <w:r w:rsidRPr="00F171A3">
              <w:t>În plus, 5 unități de învățământ nu dispun de laboratoare școlare, iar alte 14 instituții educaționale au mai puțin de 3 laboratoare.</w:t>
            </w:r>
          </w:p>
          <w:p w14:paraId="29CAAFB4" w14:textId="17BC6BDD" w:rsidR="0068736A" w:rsidRPr="00F171A3" w:rsidRDefault="0068736A" w:rsidP="0068736A">
            <w:r w:rsidRPr="00F171A3">
              <w:t>La nivel municipal, și implicit în Sectorul 2, majoritatea instituțiilor de învățământ primar și secundar funcționează în mai multe schimburi în vederea acoperirii necesarului de școlarizare.</w:t>
            </w:r>
          </w:p>
        </w:tc>
        <w:tc>
          <w:tcPr>
            <w:tcW w:w="4718" w:type="dxa"/>
          </w:tcPr>
          <w:p w14:paraId="69FEA36D" w14:textId="77777777" w:rsidR="0068736A" w:rsidRDefault="0068736A" w:rsidP="0068736A">
            <w:r w:rsidRPr="00F171A3">
              <w:t>Realizarea de proiecte de modernizare a infrastructuri educaționale existente prin intervenții asupra fondului de clădiri existente, dotarea laboratoarelor didactice și extinderea spațiilor didactice și a facilităților sportive.</w:t>
            </w:r>
          </w:p>
          <w:p w14:paraId="5FC361F5" w14:textId="1B7F8C5E" w:rsidR="00145FC8" w:rsidRPr="00F171A3" w:rsidRDefault="00145FC8" w:rsidP="0068736A">
            <w:r>
              <w:t>Dotarea unităților de învățământ se poate realiza și prin parteneriate cu ONG-uri care derulează programe de recondiționare a echipamentelor IT.</w:t>
            </w:r>
          </w:p>
        </w:tc>
      </w:tr>
      <w:tr w:rsidR="0068736A" w:rsidRPr="00F171A3" w14:paraId="4B32E451"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28978690" w14:textId="77777777" w:rsidR="0068736A" w:rsidRPr="00F171A3" w:rsidRDefault="0068736A" w:rsidP="0068736A">
            <w:r w:rsidRPr="00F171A3">
              <w:t>8 instituții de învățământ liceal au înregistrat rate de promovare ale examenului de bacalaureat de peste 90%, intrând în top 300 la nivel național.</w:t>
            </w:r>
          </w:p>
          <w:p w14:paraId="2065ACB8" w14:textId="58120FDD" w:rsidR="0068736A" w:rsidRPr="00F171A3" w:rsidRDefault="0068736A" w:rsidP="0068736A">
            <w:r w:rsidRPr="00F171A3">
              <w:t>La nivelul Sectorului 2 nu se regăsește un Centru de Excelență în cadrul căruia să se realizeze cursuri facultative pentru elevii cu performanțe școlare bune.</w:t>
            </w:r>
          </w:p>
        </w:tc>
        <w:tc>
          <w:tcPr>
            <w:tcW w:w="4718" w:type="dxa"/>
          </w:tcPr>
          <w:p w14:paraId="779FDECA" w14:textId="47F76B0D" w:rsidR="0068736A" w:rsidRPr="00F171A3" w:rsidRDefault="0068736A" w:rsidP="0068736A">
            <w:r w:rsidRPr="00F171A3">
              <w:t>Organizarea la nivelul Sectorului 2 a unui Centru de Excelență pentru elevii cu rezultate bune în cadrul activității școlare.</w:t>
            </w:r>
          </w:p>
        </w:tc>
      </w:tr>
      <w:tr w:rsidR="0068736A" w:rsidRPr="00F171A3" w14:paraId="576F5EB9"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51C70306" w14:textId="5FB465CD" w:rsidR="0068736A" w:rsidRPr="00F171A3" w:rsidRDefault="0068736A" w:rsidP="0068736A">
            <w:r w:rsidRPr="00F171A3">
              <w:t>7 instituții de învățământ liceal au înregistrat rate de promovare ale examenului de bacalaureat de sub 50%.</w:t>
            </w:r>
          </w:p>
        </w:tc>
        <w:tc>
          <w:tcPr>
            <w:tcW w:w="4718" w:type="dxa"/>
          </w:tcPr>
          <w:p w14:paraId="5ACBCC74" w14:textId="26B24B8E" w:rsidR="0068736A" w:rsidRPr="00F171A3" w:rsidRDefault="0068736A" w:rsidP="0068736A">
            <w:r w:rsidRPr="00F171A3">
              <w:t>Realizarea unor programe de ore remediale în vederea acoperirii carențelor școlare ale elevilor.</w:t>
            </w:r>
          </w:p>
        </w:tc>
      </w:tr>
      <w:tr w:rsidR="0068736A" w:rsidRPr="00F171A3" w14:paraId="0F9A506B"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78CB3DC0" w14:textId="21095783" w:rsidR="0068736A" w:rsidRPr="00F171A3" w:rsidRDefault="0068736A" w:rsidP="0068736A">
            <w:r w:rsidRPr="00F171A3">
              <w:t>Oferta de învățământ profesional, inclusiv dual, este redusă la nivelul Sectorului 2 prin comparație cu alte sectoare și centre urbane din țară (doar 164 de locuri disponibile pentru clasa a IX-a în 2021).</w:t>
            </w:r>
          </w:p>
        </w:tc>
        <w:tc>
          <w:tcPr>
            <w:tcW w:w="4718" w:type="dxa"/>
          </w:tcPr>
          <w:p w14:paraId="280CD6D4" w14:textId="7E6EF6A8" w:rsidR="0068736A" w:rsidRPr="00F171A3" w:rsidRDefault="0068736A" w:rsidP="0068736A">
            <w:r w:rsidRPr="00F171A3">
              <w:t>Realizarea unor proiecte de extindere a infrastructurii de învățământ profesional și creșterea numărului de parteneriate cu operatori economici în vederea îmbunătățirii ofertei de studii profesionale.</w:t>
            </w:r>
          </w:p>
        </w:tc>
      </w:tr>
      <w:tr w:rsidR="0068736A" w:rsidRPr="00F171A3" w14:paraId="70FF5D47"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65C12237" w14:textId="01F98279" w:rsidR="0068736A" w:rsidRPr="00F171A3" w:rsidRDefault="0068736A" w:rsidP="0068736A">
            <w:r w:rsidRPr="00F171A3">
              <w:t>Municipiului București reprezintă centrul urban cu cea mai mare atractivitate pentru tinerii care doresc să urmeze studii universitare, iar la nivelul Sectorului 2 se regăsesc 8 facultăți ale unor universități mari, de prestigiu.</w:t>
            </w:r>
          </w:p>
        </w:tc>
        <w:tc>
          <w:tcPr>
            <w:tcW w:w="4718" w:type="dxa"/>
          </w:tcPr>
          <w:p w14:paraId="5C0EFDC0" w14:textId="77777777" w:rsidR="0068736A" w:rsidRPr="00F171A3" w:rsidRDefault="0068736A" w:rsidP="0068736A">
            <w:r w:rsidRPr="00F171A3">
              <w:t>Realizarea unor investiții de modernizarea și dotare a clădirilor instituțiilor de învățământ universitar din sectorul 2.</w:t>
            </w:r>
          </w:p>
          <w:p w14:paraId="3D4A933D" w14:textId="46298585" w:rsidR="0068736A" w:rsidRPr="00F171A3" w:rsidRDefault="0068736A" w:rsidP="0068736A">
            <w:r w:rsidRPr="00F171A3">
              <w:t>Extinderea facilităților de cazare pentru studenți la nivelul sectorului 2 (complex studențesc din zona Tei)</w:t>
            </w:r>
          </w:p>
        </w:tc>
      </w:tr>
    </w:tbl>
    <w:p w14:paraId="4126C8A1" w14:textId="77777777" w:rsidR="009D2FF5" w:rsidRPr="00F171A3" w:rsidRDefault="009D2FF5" w:rsidP="007F2663">
      <w:pPr>
        <w:pStyle w:val="Normal0"/>
      </w:pPr>
    </w:p>
    <w:tbl>
      <w:tblPr>
        <w:tblStyle w:val="Civittatable"/>
        <w:tblW w:w="5000" w:type="pct"/>
        <w:tblLook w:val="04A0" w:firstRow="1" w:lastRow="0" w:firstColumn="1" w:lastColumn="0" w:noHBand="0" w:noVBand="1"/>
      </w:tblPr>
      <w:tblGrid>
        <w:gridCol w:w="4506"/>
        <w:gridCol w:w="4510"/>
      </w:tblGrid>
      <w:tr w:rsidR="004552C9" w:rsidRPr="00F171A3" w14:paraId="73A1816C" w14:textId="77777777" w:rsidTr="00285C50">
        <w:trPr>
          <w:cnfStyle w:val="100000000000" w:firstRow="1" w:lastRow="0" w:firstColumn="0" w:lastColumn="0" w:oddVBand="0" w:evenVBand="0" w:oddHBand="0" w:evenHBand="0" w:firstRowFirstColumn="0" w:firstRowLastColumn="0" w:lastRowFirstColumn="0" w:lastRowLastColumn="0"/>
          <w:trHeight w:val="279"/>
        </w:trPr>
        <w:tc>
          <w:tcPr>
            <w:tcW w:w="5000" w:type="pct"/>
            <w:gridSpan w:val="2"/>
            <w:shd w:val="clear" w:color="auto" w:fill="3CA1BC" w:themeFill="background2"/>
          </w:tcPr>
          <w:p w14:paraId="68ADEE72" w14:textId="69454204" w:rsidR="004552C9" w:rsidRPr="00F171A3" w:rsidRDefault="00285C50" w:rsidP="00520678">
            <w:pPr>
              <w:jc w:val="center"/>
              <w:rPr>
                <w:rFonts w:cstheme="minorHAnsi"/>
                <w:b/>
                <w:bCs/>
                <w:szCs w:val="20"/>
              </w:rPr>
            </w:pPr>
            <w:r w:rsidRPr="00F171A3">
              <w:rPr>
                <w:rFonts w:cstheme="minorHAnsi"/>
                <w:b/>
                <w:bCs/>
                <w:szCs w:val="20"/>
              </w:rPr>
              <w:t>ECONOMIE</w:t>
            </w:r>
          </w:p>
        </w:tc>
      </w:tr>
      <w:tr w:rsidR="004552C9" w:rsidRPr="00F171A3" w14:paraId="23955787" w14:textId="77777777" w:rsidTr="00FF68F8">
        <w:trPr>
          <w:cnfStyle w:val="000000100000" w:firstRow="0" w:lastRow="0" w:firstColumn="0" w:lastColumn="0" w:oddVBand="0" w:evenVBand="0" w:oddHBand="1" w:evenHBand="0" w:firstRowFirstColumn="0" w:firstRowLastColumn="0" w:lastRowFirstColumn="0" w:lastRowLastColumn="0"/>
          <w:trHeight w:val="432"/>
        </w:trPr>
        <w:tc>
          <w:tcPr>
            <w:tcW w:w="2499" w:type="pct"/>
            <w:shd w:val="clear" w:color="auto" w:fill="134753" w:themeFill="text2"/>
          </w:tcPr>
          <w:p w14:paraId="3703E432" w14:textId="77777777" w:rsidR="004552C9" w:rsidRPr="00F171A3" w:rsidRDefault="004552C9" w:rsidP="00F35DEE">
            <w:pPr>
              <w:jc w:val="center"/>
              <w:rPr>
                <w:rFonts w:cstheme="minorHAnsi"/>
                <w:b/>
                <w:bCs/>
                <w:szCs w:val="20"/>
              </w:rPr>
            </w:pPr>
            <w:r w:rsidRPr="00F171A3">
              <w:rPr>
                <w:rFonts w:cstheme="minorHAnsi"/>
                <w:b/>
                <w:bCs/>
                <w:szCs w:val="20"/>
              </w:rPr>
              <w:t>CONCLUZII, PROVOCĂRI, ELEMENTE DE POTENȚIAL</w:t>
            </w:r>
          </w:p>
        </w:tc>
        <w:tc>
          <w:tcPr>
            <w:tcW w:w="2501" w:type="pct"/>
            <w:shd w:val="clear" w:color="auto" w:fill="134753" w:themeFill="text2"/>
          </w:tcPr>
          <w:p w14:paraId="2B5629FB" w14:textId="6A50D8E1" w:rsidR="004552C9" w:rsidRPr="00F171A3" w:rsidRDefault="00FF68F8" w:rsidP="00F35DEE">
            <w:pPr>
              <w:jc w:val="center"/>
              <w:rPr>
                <w:rFonts w:cstheme="minorHAnsi"/>
                <w:b/>
                <w:bCs/>
                <w:szCs w:val="20"/>
              </w:rPr>
            </w:pPr>
            <w:r w:rsidRPr="00F171A3">
              <w:rPr>
                <w:rFonts w:cstheme="minorHAnsi"/>
                <w:b/>
                <w:bCs/>
                <w:szCs w:val="20"/>
              </w:rPr>
              <w:t>POSIBILE INTERVENȚII</w:t>
            </w:r>
          </w:p>
        </w:tc>
      </w:tr>
      <w:tr w:rsidR="00673B42" w:rsidRPr="00F171A3" w14:paraId="3663DBC0" w14:textId="77777777" w:rsidTr="00673B42">
        <w:trPr>
          <w:cnfStyle w:val="000000010000" w:firstRow="0" w:lastRow="0" w:firstColumn="0" w:lastColumn="0" w:oddVBand="0" w:evenVBand="0" w:oddHBand="0" w:evenHBand="1" w:firstRowFirstColumn="0" w:firstRowLastColumn="0" w:lastRowFirstColumn="0" w:lastRowLastColumn="0"/>
          <w:trHeight w:val="432"/>
        </w:trPr>
        <w:tc>
          <w:tcPr>
            <w:tcW w:w="2499" w:type="pct"/>
          </w:tcPr>
          <w:p w14:paraId="76A80544" w14:textId="77777777" w:rsidR="00673B42" w:rsidRPr="00F171A3" w:rsidRDefault="00673B42" w:rsidP="00673B42">
            <w:pPr>
              <w:rPr>
                <w:rFonts w:cstheme="minorHAnsi"/>
                <w:szCs w:val="20"/>
              </w:rPr>
            </w:pPr>
            <w:r w:rsidRPr="00F171A3">
              <w:rPr>
                <w:rFonts w:cstheme="minorHAnsi"/>
                <w:szCs w:val="20"/>
              </w:rPr>
              <w:t>Productivitatea redusă a IMM-urilor și microîntreprinderilor și contribuția redusă a acestora la rezultatele mediului de afaceri local</w:t>
            </w:r>
          </w:p>
          <w:p w14:paraId="655CA2F6" w14:textId="26DEFF0F" w:rsidR="00673B42" w:rsidRPr="00673B42" w:rsidRDefault="00673B42" w:rsidP="00673B42">
            <w:pPr>
              <w:rPr>
                <w:rFonts w:cstheme="minorHAnsi"/>
                <w:szCs w:val="20"/>
              </w:rPr>
            </w:pPr>
            <w:r w:rsidRPr="00F171A3">
              <w:rPr>
                <w:rFonts w:cstheme="minorHAnsi"/>
                <w:szCs w:val="20"/>
              </w:rPr>
              <w:t xml:space="preserve">Accesul redus al microîntreprinderilor la structuri specializate de sprijin pentru afaceri </w:t>
            </w:r>
          </w:p>
        </w:tc>
        <w:tc>
          <w:tcPr>
            <w:tcW w:w="2501" w:type="pct"/>
          </w:tcPr>
          <w:p w14:paraId="53EBB7F1" w14:textId="77777777" w:rsidR="00673B42" w:rsidRPr="00F171A3" w:rsidRDefault="00673B42" w:rsidP="00673B42">
            <w:pPr>
              <w:rPr>
                <w:szCs w:val="20"/>
              </w:rPr>
            </w:pPr>
            <w:r w:rsidRPr="00F171A3">
              <w:rPr>
                <w:szCs w:val="20"/>
              </w:rPr>
              <w:t>Înființarea unor birouri de consultanță cu privire la accesarea fondurilor europene pentru afaceri (informare cu privire la sursele de finanțare disponibile, asistență pe parcursul implementării proiectelor etc.)</w:t>
            </w:r>
          </w:p>
          <w:p w14:paraId="2DE49CE5" w14:textId="14FC7C0F" w:rsidR="00673B42" w:rsidRPr="00F171A3" w:rsidRDefault="00673B42" w:rsidP="00673B42">
            <w:pPr>
              <w:rPr>
                <w:rFonts w:cstheme="minorHAnsi"/>
                <w:b/>
                <w:bCs/>
                <w:szCs w:val="20"/>
              </w:rPr>
            </w:pPr>
            <w:r w:rsidRPr="00F171A3">
              <w:rPr>
                <w:szCs w:val="20"/>
              </w:rPr>
              <w:t xml:space="preserve">Înființarea unui birou dedicat sprijinirii internaționalizării IMM-urilor cu potențial de dezvoltare (include educare cu privire la activitatea de internaționalizare, facilitează match-making cu actori din piețe globale, vizite de lucru, schimburi de experiență, etc) – în parteneriat cu Camera de Comerț și Industrie și cu diferitele entități de sprijin a afacerilor din Capitală.  </w:t>
            </w:r>
          </w:p>
        </w:tc>
      </w:tr>
      <w:tr w:rsidR="00673B42" w:rsidRPr="00F171A3" w14:paraId="78C6DEED" w14:textId="77777777" w:rsidTr="00520678">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3E6EDB91" w14:textId="77777777" w:rsidR="00673B42" w:rsidRPr="00F171A3" w:rsidRDefault="00673B42" w:rsidP="00673B42">
            <w:pPr>
              <w:rPr>
                <w:rFonts w:cstheme="minorHAnsi"/>
                <w:szCs w:val="20"/>
              </w:rPr>
            </w:pPr>
            <w:r w:rsidRPr="00F171A3">
              <w:rPr>
                <w:rFonts w:cstheme="minorHAnsi"/>
                <w:szCs w:val="20"/>
              </w:rPr>
              <w:t xml:space="preserve">Disponibilitatea resurselor de teren pentru investiții la nivelul cartierelor periferice din Sectorul 2 </w:t>
            </w:r>
          </w:p>
        </w:tc>
        <w:tc>
          <w:tcPr>
            <w:tcW w:w="2501" w:type="pct"/>
          </w:tcPr>
          <w:p w14:paraId="3DEA0C83" w14:textId="77777777" w:rsidR="00673B42" w:rsidRPr="00F171A3" w:rsidRDefault="00673B42" w:rsidP="00673B42">
            <w:pPr>
              <w:rPr>
                <w:szCs w:val="20"/>
              </w:rPr>
            </w:pPr>
            <w:r w:rsidRPr="00F171A3">
              <w:rPr>
                <w:szCs w:val="20"/>
              </w:rPr>
              <w:t>Maparea și inventarierea terenurilor disponibile pentru investiții la nivelul municipiului</w:t>
            </w:r>
          </w:p>
          <w:p w14:paraId="56EED854" w14:textId="77777777" w:rsidR="00673B42" w:rsidRPr="00F171A3" w:rsidRDefault="00673B42" w:rsidP="00673B42">
            <w:pPr>
              <w:rPr>
                <w:szCs w:val="20"/>
              </w:rPr>
            </w:pPr>
            <w:r w:rsidRPr="00F171A3">
              <w:rPr>
                <w:szCs w:val="20"/>
              </w:rPr>
              <w:t>Dezvoltarea unei platforme de promovare a Sectorului 2 ca destinație de investiții, cuprinzând elemente privind disponibilitatea parcelelor de teren în manieră interactivă, dotări, facilități, accesibilitate, oportunități de colaborare cu alți actori locali. Aceasta ar servi și drept element de branding și promovare locală.</w:t>
            </w:r>
          </w:p>
          <w:p w14:paraId="23EDE715" w14:textId="77777777" w:rsidR="00673B42" w:rsidRPr="00F171A3" w:rsidRDefault="00673B42" w:rsidP="00673B42">
            <w:pPr>
              <w:rPr>
                <w:rFonts w:cstheme="minorHAnsi"/>
                <w:szCs w:val="20"/>
              </w:rPr>
            </w:pPr>
            <w:r w:rsidRPr="00F171A3">
              <w:rPr>
                <w:rFonts w:cstheme="minorHAnsi"/>
                <w:szCs w:val="20"/>
              </w:rPr>
              <w:t>Dezvoltarea de studii de oportunitate pentru valorificarea terenurilor fostelor fabrici altfel decât în sectorul imobiliar.</w:t>
            </w:r>
          </w:p>
        </w:tc>
      </w:tr>
      <w:tr w:rsidR="00673B42" w:rsidRPr="00F171A3" w14:paraId="7E3D50B7" w14:textId="77777777" w:rsidTr="00520678">
        <w:trPr>
          <w:cnfStyle w:val="000000010000" w:firstRow="0" w:lastRow="0" w:firstColumn="0" w:lastColumn="0" w:oddVBand="0" w:evenVBand="0" w:oddHBand="0" w:evenHBand="1" w:firstRowFirstColumn="0" w:firstRowLastColumn="0" w:lastRowFirstColumn="0" w:lastRowLastColumn="0"/>
          <w:trHeight w:val="383"/>
        </w:trPr>
        <w:tc>
          <w:tcPr>
            <w:tcW w:w="2499" w:type="pct"/>
          </w:tcPr>
          <w:p w14:paraId="00632330" w14:textId="77777777" w:rsidR="00673B42" w:rsidRPr="00F171A3" w:rsidRDefault="00673B42" w:rsidP="00673B42">
            <w:pPr>
              <w:rPr>
                <w:rFonts w:cstheme="minorHAnsi"/>
                <w:szCs w:val="20"/>
              </w:rPr>
            </w:pPr>
            <w:r w:rsidRPr="00F171A3">
              <w:rPr>
                <w:rFonts w:cstheme="minorHAnsi"/>
                <w:szCs w:val="20"/>
              </w:rPr>
              <w:t>Dezvoltarea inegală a teritoriului (nord-nord-vest și centru față de cartierele periferice – Andronache, Pantelimon etc)</w:t>
            </w:r>
          </w:p>
        </w:tc>
        <w:tc>
          <w:tcPr>
            <w:tcW w:w="2501" w:type="pct"/>
          </w:tcPr>
          <w:p w14:paraId="764989ED" w14:textId="77777777" w:rsidR="00673B42" w:rsidRPr="00F171A3" w:rsidRDefault="00673B42" w:rsidP="00673B42">
            <w:pPr>
              <w:rPr>
                <w:rFonts w:cstheme="minorHAnsi"/>
                <w:bCs/>
                <w:szCs w:val="20"/>
              </w:rPr>
            </w:pPr>
            <w:r w:rsidRPr="00F171A3">
              <w:rPr>
                <w:szCs w:val="20"/>
              </w:rPr>
              <w:t xml:space="preserve">Consolidarea parteneriatelor între actorii interesați la nivel local, în special pentru creșterea nivelului de calificare al forței de muncă, cu ANOFM, licee tehnologice și vocaționale din cartiere. </w:t>
            </w:r>
          </w:p>
        </w:tc>
      </w:tr>
      <w:tr w:rsidR="00673B42" w:rsidRPr="00F171A3" w14:paraId="3070210F" w14:textId="77777777" w:rsidTr="00520678">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114E823B" w14:textId="77777777" w:rsidR="00673B42" w:rsidRPr="00F171A3" w:rsidRDefault="00673B42" w:rsidP="00673B42">
            <w:pPr>
              <w:rPr>
                <w:rFonts w:cstheme="minorHAnsi"/>
                <w:szCs w:val="20"/>
              </w:rPr>
            </w:pPr>
            <w:r w:rsidRPr="00F171A3">
              <w:rPr>
                <w:rFonts w:cstheme="minorHAnsi"/>
                <w:szCs w:val="20"/>
              </w:rPr>
              <w:t>Dezvoltarea sectorului IT&amp;C și a serviciilor în ultimii ani</w:t>
            </w:r>
          </w:p>
        </w:tc>
        <w:tc>
          <w:tcPr>
            <w:tcW w:w="2501" w:type="pct"/>
          </w:tcPr>
          <w:p w14:paraId="0BE6CDC1" w14:textId="77777777" w:rsidR="00673B42" w:rsidRPr="00F171A3" w:rsidRDefault="00673B42" w:rsidP="00673B42">
            <w:pPr>
              <w:rPr>
                <w:rFonts w:cstheme="minorHAnsi"/>
                <w:szCs w:val="20"/>
              </w:rPr>
            </w:pPr>
            <w:r w:rsidRPr="00F171A3">
              <w:rPr>
                <w:szCs w:val="20"/>
              </w:rPr>
              <w:t xml:space="preserve">Sprijinirea transferului tehnologic / intensificarea cooperării dintre universități și companiile private mari. Sprijinirea antreprenoriatului în domeniile principale în licee.  </w:t>
            </w:r>
          </w:p>
        </w:tc>
      </w:tr>
    </w:tbl>
    <w:p w14:paraId="0654101B" w14:textId="61FA98E0" w:rsidR="004552C9" w:rsidRPr="00F171A3" w:rsidRDefault="004552C9" w:rsidP="007F2663">
      <w:pPr>
        <w:pStyle w:val="Normal0"/>
      </w:pPr>
    </w:p>
    <w:tbl>
      <w:tblPr>
        <w:tblStyle w:val="Civittatable"/>
        <w:tblW w:w="5000" w:type="pct"/>
        <w:tblLook w:val="04A0" w:firstRow="1" w:lastRow="0" w:firstColumn="1" w:lastColumn="0" w:noHBand="0" w:noVBand="1"/>
      </w:tblPr>
      <w:tblGrid>
        <w:gridCol w:w="4506"/>
        <w:gridCol w:w="4510"/>
      </w:tblGrid>
      <w:tr w:rsidR="0078067E" w:rsidRPr="00F171A3" w14:paraId="14E7F54C" w14:textId="77777777" w:rsidTr="00395D0B">
        <w:trPr>
          <w:cnfStyle w:val="100000000000" w:firstRow="1" w:lastRow="0" w:firstColumn="0" w:lastColumn="0" w:oddVBand="0" w:evenVBand="0" w:oddHBand="0" w:evenHBand="0" w:firstRowFirstColumn="0" w:firstRowLastColumn="0" w:lastRowFirstColumn="0" w:lastRowLastColumn="0"/>
          <w:trHeight w:val="375"/>
        </w:trPr>
        <w:tc>
          <w:tcPr>
            <w:tcW w:w="5000" w:type="pct"/>
            <w:gridSpan w:val="2"/>
            <w:shd w:val="clear" w:color="auto" w:fill="3CA1BC" w:themeFill="background2"/>
          </w:tcPr>
          <w:p w14:paraId="2D8CFD8E" w14:textId="5329B900" w:rsidR="0078067E" w:rsidRPr="00F171A3" w:rsidRDefault="0078067E" w:rsidP="00520678">
            <w:pPr>
              <w:jc w:val="center"/>
              <w:rPr>
                <w:b/>
                <w:bCs/>
                <w:szCs w:val="20"/>
              </w:rPr>
            </w:pPr>
            <w:r w:rsidRPr="00F171A3">
              <w:rPr>
                <w:b/>
                <w:bCs/>
                <w:szCs w:val="20"/>
              </w:rPr>
              <w:t>CULTURĂ, TURISM, TIMP LIBER</w:t>
            </w:r>
          </w:p>
        </w:tc>
      </w:tr>
      <w:tr w:rsidR="0078067E" w:rsidRPr="00F171A3" w14:paraId="166B3EBA" w14:textId="77777777" w:rsidTr="00FF68F8">
        <w:trPr>
          <w:cnfStyle w:val="000000100000" w:firstRow="0" w:lastRow="0" w:firstColumn="0" w:lastColumn="0" w:oddVBand="0" w:evenVBand="0" w:oddHBand="1" w:evenHBand="0" w:firstRowFirstColumn="0" w:firstRowLastColumn="0" w:lastRowFirstColumn="0" w:lastRowLastColumn="0"/>
          <w:trHeight w:val="477"/>
        </w:trPr>
        <w:tc>
          <w:tcPr>
            <w:tcW w:w="2499" w:type="pct"/>
            <w:shd w:val="clear" w:color="auto" w:fill="134753" w:themeFill="text2"/>
          </w:tcPr>
          <w:p w14:paraId="1D533EC9" w14:textId="0B4EF88E" w:rsidR="0078067E" w:rsidRPr="00F171A3" w:rsidRDefault="00F35DEE" w:rsidP="00F35DEE">
            <w:pPr>
              <w:jc w:val="center"/>
              <w:rPr>
                <w:b/>
                <w:bCs/>
                <w:szCs w:val="20"/>
              </w:rPr>
            </w:pPr>
            <w:r w:rsidRPr="00F171A3">
              <w:rPr>
                <w:b/>
                <w:bCs/>
                <w:szCs w:val="20"/>
              </w:rPr>
              <w:t>CONCLUZII, PROVOCĂRI, ELEMENTE DE POTENȚIAL</w:t>
            </w:r>
          </w:p>
        </w:tc>
        <w:tc>
          <w:tcPr>
            <w:tcW w:w="2501" w:type="pct"/>
            <w:shd w:val="clear" w:color="auto" w:fill="134753" w:themeFill="text2"/>
          </w:tcPr>
          <w:p w14:paraId="1D9C7618" w14:textId="39576C40" w:rsidR="0078067E" w:rsidRPr="00F171A3" w:rsidRDefault="00F35DEE" w:rsidP="00F35DEE">
            <w:pPr>
              <w:jc w:val="center"/>
              <w:rPr>
                <w:b/>
                <w:bCs/>
                <w:szCs w:val="20"/>
              </w:rPr>
            </w:pPr>
            <w:r w:rsidRPr="00F171A3">
              <w:rPr>
                <w:b/>
                <w:bCs/>
                <w:szCs w:val="20"/>
              </w:rPr>
              <w:t>POSIBILE INTERVENȚII</w:t>
            </w:r>
          </w:p>
        </w:tc>
      </w:tr>
      <w:tr w:rsidR="0078067E" w:rsidRPr="00F171A3" w14:paraId="34872670" w14:textId="77777777" w:rsidTr="00520678">
        <w:trPr>
          <w:cnfStyle w:val="000000010000" w:firstRow="0" w:lastRow="0" w:firstColumn="0" w:lastColumn="0" w:oddVBand="0" w:evenVBand="0" w:oddHBand="0" w:evenHBand="1" w:firstRowFirstColumn="0" w:firstRowLastColumn="0" w:lastRowFirstColumn="0" w:lastRowLastColumn="0"/>
          <w:trHeight w:val="205"/>
        </w:trPr>
        <w:tc>
          <w:tcPr>
            <w:tcW w:w="2499" w:type="pct"/>
          </w:tcPr>
          <w:p w14:paraId="2B522E67" w14:textId="77777777" w:rsidR="0078067E" w:rsidRPr="00F171A3" w:rsidRDefault="0078067E" w:rsidP="00520678">
            <w:pPr>
              <w:rPr>
                <w:szCs w:val="20"/>
              </w:rPr>
            </w:pPr>
            <w:r w:rsidRPr="00F171A3">
              <w:rPr>
                <w:szCs w:val="20"/>
              </w:rPr>
              <w:t>Provocări majore în ceea ce privește gradul de dotare a echipamentelor culturale și concentrarea acestora în special în zona centrală a Sectorului.</w:t>
            </w:r>
          </w:p>
        </w:tc>
        <w:tc>
          <w:tcPr>
            <w:tcW w:w="2501" w:type="pct"/>
          </w:tcPr>
          <w:p w14:paraId="0ACAEE2D" w14:textId="77777777" w:rsidR="0078067E" w:rsidRPr="00F171A3" w:rsidRDefault="0078067E" w:rsidP="00520678">
            <w:pPr>
              <w:rPr>
                <w:szCs w:val="20"/>
              </w:rPr>
            </w:pPr>
            <w:r w:rsidRPr="00F171A3">
              <w:rPr>
                <w:szCs w:val="20"/>
              </w:rPr>
              <w:t>Implementarea unui program de modernizare a instituțiilor publice de cultură astfel încât să permită accesul persoanelor cu dificultăți de deplasare în incinta acestora.</w:t>
            </w:r>
          </w:p>
          <w:p w14:paraId="261FF623" w14:textId="77777777" w:rsidR="0078067E" w:rsidRPr="00F171A3" w:rsidRDefault="0078067E" w:rsidP="00520678">
            <w:pPr>
              <w:rPr>
                <w:szCs w:val="20"/>
              </w:rPr>
            </w:pPr>
            <w:r w:rsidRPr="00F171A3">
              <w:rPr>
                <w:szCs w:val="20"/>
              </w:rPr>
              <w:t>Implementarea unui program de modernizare a instituțiilor publice de cultură astfel încât să ofere servicii necesare și de calitate (spre exemplu, spații de parcare, spații de socializare etc.).</w:t>
            </w:r>
          </w:p>
          <w:p w14:paraId="333262A0" w14:textId="77777777" w:rsidR="0078067E" w:rsidRPr="00F171A3" w:rsidRDefault="0078067E" w:rsidP="00520678">
            <w:pPr>
              <w:rPr>
                <w:szCs w:val="20"/>
              </w:rPr>
            </w:pPr>
            <w:r w:rsidRPr="00F171A3">
              <w:rPr>
                <w:szCs w:val="20"/>
              </w:rPr>
              <w:t>Suplimentarea infrastructurii culturale a Sectorului prin sprijinirea realizării de noi dotări precum spații multifuncționale pentru evenimente, spații gazdă sau galerii de artă.</w:t>
            </w:r>
          </w:p>
          <w:p w14:paraId="2EFE59A9" w14:textId="77777777" w:rsidR="0078067E" w:rsidRPr="00F171A3" w:rsidRDefault="0078067E" w:rsidP="00520678">
            <w:pPr>
              <w:rPr>
                <w:szCs w:val="20"/>
              </w:rPr>
            </w:pPr>
            <w:r w:rsidRPr="00F171A3">
              <w:rPr>
                <w:szCs w:val="20"/>
              </w:rPr>
              <w:t>Descentralizarea infrastructurii culturale spre zone și cartiere care nu beneficiază în acest moment de dotări culturale (cartiere precum Andronache, Tei, Ion Creangă etc.)</w:t>
            </w:r>
          </w:p>
          <w:p w14:paraId="6EC27172" w14:textId="77777777" w:rsidR="0078067E" w:rsidRPr="00F171A3" w:rsidRDefault="0078067E" w:rsidP="00520678">
            <w:pPr>
              <w:rPr>
                <w:szCs w:val="20"/>
              </w:rPr>
            </w:pPr>
            <w:r w:rsidRPr="00F171A3">
              <w:rPr>
                <w:szCs w:val="20"/>
              </w:rPr>
              <w:t>Diversificarea ofertei culturale și sporirea accesului comunității la aceasta (ex. reutilizarea unor zone industriale ca Fabrica de trăsuri sau Moara lui Asan în spații socio-culturale).</w:t>
            </w:r>
          </w:p>
        </w:tc>
      </w:tr>
      <w:tr w:rsidR="0078067E" w:rsidRPr="00F171A3" w14:paraId="64D726CE" w14:textId="77777777" w:rsidTr="00520678">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3FDA72A0" w14:textId="77777777" w:rsidR="0078067E" w:rsidRPr="00F171A3" w:rsidRDefault="0078067E" w:rsidP="00520678">
            <w:pPr>
              <w:rPr>
                <w:szCs w:val="20"/>
              </w:rPr>
            </w:pPr>
            <w:r w:rsidRPr="00F171A3">
              <w:rPr>
                <w:szCs w:val="20"/>
              </w:rPr>
              <w:t>Insuficienta promovare a activităților culturale disponibile la nivelul Sectorului 2.</w:t>
            </w:r>
          </w:p>
        </w:tc>
        <w:tc>
          <w:tcPr>
            <w:tcW w:w="2501" w:type="pct"/>
          </w:tcPr>
          <w:p w14:paraId="7899D4D2" w14:textId="56A56814" w:rsidR="0078067E" w:rsidRPr="00F171A3" w:rsidRDefault="0078067E" w:rsidP="00520678">
            <w:pPr>
              <w:rPr>
                <w:szCs w:val="20"/>
              </w:rPr>
            </w:pPr>
            <w:r w:rsidRPr="00F171A3">
              <w:rPr>
                <w:szCs w:val="20"/>
              </w:rPr>
              <w:t xml:space="preserve">Dezvoltarea unei platforme online care să reunească și să promoveze toate activitățile din agenda culturală a Sectorului 2 pe parcursul unui an – posibilitatea creării unei Agende Culturale la nivelul </w:t>
            </w:r>
            <w:r w:rsidR="00050FAA" w:rsidRPr="00F171A3">
              <w:rPr>
                <w:szCs w:val="20"/>
              </w:rPr>
              <w:t>m</w:t>
            </w:r>
            <w:r w:rsidRPr="00F171A3">
              <w:rPr>
                <w:szCs w:val="20"/>
              </w:rPr>
              <w:t>unicipiului București care să reunească toate evenimentele culturale de la nivelul întregului oraș.</w:t>
            </w:r>
          </w:p>
          <w:p w14:paraId="40867766" w14:textId="77777777" w:rsidR="00753096" w:rsidRPr="00F171A3" w:rsidRDefault="00753096" w:rsidP="00753096">
            <w:pPr>
              <w:rPr>
                <w:rFonts w:cstheme="minorHAnsi"/>
              </w:rPr>
            </w:pPr>
            <w:r w:rsidRPr="00F171A3">
              <w:rPr>
                <w:rFonts w:cstheme="minorHAnsi"/>
              </w:rPr>
              <w:t xml:space="preserve">Realizarea unor întâlniri lunare între actorii locali implicați în activități socio-culturale pentru a colabora între ei. </w:t>
            </w:r>
          </w:p>
          <w:p w14:paraId="3A6C3918" w14:textId="019F4852" w:rsidR="00753096" w:rsidRPr="00F171A3" w:rsidRDefault="00753096" w:rsidP="00753096">
            <w:pPr>
              <w:rPr>
                <w:szCs w:val="20"/>
              </w:rPr>
            </w:pPr>
            <w:r w:rsidRPr="00F171A3">
              <w:rPr>
                <w:rFonts w:cstheme="minorHAnsi"/>
              </w:rPr>
              <w:t>Promovarea evenimentelor culturale în transportul public sau pe biletele de la Metrorex.</w:t>
            </w:r>
          </w:p>
        </w:tc>
      </w:tr>
      <w:tr w:rsidR="0078067E" w:rsidRPr="00F171A3" w14:paraId="077593AB" w14:textId="77777777" w:rsidTr="00520678">
        <w:trPr>
          <w:cnfStyle w:val="000000010000" w:firstRow="0" w:lastRow="0" w:firstColumn="0" w:lastColumn="0" w:oddVBand="0" w:evenVBand="0" w:oddHBand="0" w:evenHBand="1" w:firstRowFirstColumn="0" w:firstRowLastColumn="0" w:lastRowFirstColumn="0" w:lastRowLastColumn="0"/>
          <w:trHeight w:val="383"/>
        </w:trPr>
        <w:tc>
          <w:tcPr>
            <w:tcW w:w="2499" w:type="pct"/>
          </w:tcPr>
          <w:p w14:paraId="2CF8ABEA" w14:textId="77777777" w:rsidR="0078067E" w:rsidRPr="00F171A3" w:rsidRDefault="0078067E" w:rsidP="00520678">
            <w:pPr>
              <w:rPr>
                <w:szCs w:val="20"/>
              </w:rPr>
            </w:pPr>
            <w:r w:rsidRPr="00F171A3">
              <w:rPr>
                <w:szCs w:val="20"/>
              </w:rPr>
              <w:t xml:space="preserve">Insuficienta dezvoltare și promovare a ofertei de agrement și de timp liber de la nivelul Sectorului 2. </w:t>
            </w:r>
          </w:p>
        </w:tc>
        <w:tc>
          <w:tcPr>
            <w:tcW w:w="2501" w:type="pct"/>
          </w:tcPr>
          <w:p w14:paraId="5AE80C3E" w14:textId="77777777" w:rsidR="0078067E" w:rsidRPr="00F171A3" w:rsidRDefault="0078067E" w:rsidP="00520678">
            <w:pPr>
              <w:rPr>
                <w:szCs w:val="20"/>
              </w:rPr>
            </w:pPr>
            <w:r w:rsidRPr="00F171A3">
              <w:rPr>
                <w:szCs w:val="20"/>
              </w:rPr>
              <w:t>Amenajarea unor trasee ciclabile sau de promenadă care să conecteze zonele de agrement – în special pe salba de lacuri a Colentinei.</w:t>
            </w:r>
          </w:p>
          <w:p w14:paraId="132A975E" w14:textId="77777777" w:rsidR="0078067E" w:rsidRPr="00F171A3" w:rsidRDefault="0078067E" w:rsidP="00520678">
            <w:pPr>
              <w:rPr>
                <w:szCs w:val="20"/>
              </w:rPr>
            </w:pPr>
            <w:r w:rsidRPr="00F171A3">
              <w:rPr>
                <w:szCs w:val="20"/>
              </w:rPr>
              <w:t>Utilizarea noilor tehnologii în echipamentele de petrecere a timpului liber (de joacă sau de fitness) prin introducerea de structuri interactive, generatoare de energie, dotate cu Wi-Fi sau mijloace de încărcare telefon / tabletă / laptop etc.</w:t>
            </w:r>
          </w:p>
          <w:p w14:paraId="63FDB9C1" w14:textId="77777777" w:rsidR="0078067E" w:rsidRPr="00F171A3" w:rsidRDefault="0078067E" w:rsidP="00520678">
            <w:pPr>
              <w:rPr>
                <w:szCs w:val="20"/>
              </w:rPr>
            </w:pPr>
            <w:r w:rsidRPr="00F171A3">
              <w:rPr>
                <w:szCs w:val="20"/>
              </w:rPr>
              <w:t>Valorificarea spațiilor abandonate sau a spațiilor în stare avansată de degradare din Sectorul 2 pentru transformarea lor în echipamente comunitare care să servească drept centre de cartier în zonele rezidențiale.</w:t>
            </w:r>
          </w:p>
          <w:p w14:paraId="17CBFB54" w14:textId="77777777" w:rsidR="0078067E" w:rsidRPr="00F171A3" w:rsidRDefault="0078067E" w:rsidP="00520678">
            <w:pPr>
              <w:rPr>
                <w:szCs w:val="20"/>
              </w:rPr>
            </w:pPr>
            <w:r w:rsidRPr="00F171A3">
              <w:rPr>
                <w:szCs w:val="20"/>
              </w:rPr>
              <w:t xml:space="preserve">Extinderea inițiativei din cadrul proiectului Străzi Deschise și cuprinderea mai multor zone din Sectorul 2. </w:t>
            </w:r>
          </w:p>
        </w:tc>
      </w:tr>
      <w:tr w:rsidR="0078067E" w:rsidRPr="00F171A3" w14:paraId="2FCD4DC7" w14:textId="77777777" w:rsidTr="00520678">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44AECBE8" w14:textId="77777777" w:rsidR="0078067E" w:rsidRPr="00F171A3" w:rsidRDefault="0078067E" w:rsidP="00520678">
            <w:pPr>
              <w:rPr>
                <w:szCs w:val="20"/>
              </w:rPr>
            </w:pPr>
            <w:r w:rsidRPr="00F171A3">
              <w:rPr>
                <w:szCs w:val="20"/>
              </w:rPr>
              <w:t>Necesitatea dezvoltării infrastructurii și serviciilor sportive din Sectorul 2 și promovarea ofertei de activități sportive, în vederea asigurării cadrului necesar pentru practicarea sportului de masă sau de performanță.</w:t>
            </w:r>
          </w:p>
        </w:tc>
        <w:tc>
          <w:tcPr>
            <w:tcW w:w="2501" w:type="pct"/>
          </w:tcPr>
          <w:p w14:paraId="00D15362" w14:textId="08BD8E54" w:rsidR="0078067E" w:rsidRPr="00F171A3" w:rsidRDefault="0078067E" w:rsidP="00520678">
            <w:pPr>
              <w:rPr>
                <w:szCs w:val="20"/>
              </w:rPr>
            </w:pPr>
            <w:r w:rsidRPr="00F171A3">
              <w:rPr>
                <w:szCs w:val="20"/>
              </w:rPr>
              <w:t xml:space="preserve">Realizarea și actualizarea permanentă a unei evidențe a infrastructurii sportive din Sectorul 2 (atât în funcțiune, cât și în stare avansată de degradare) care să cuprindă informații despre tipologia echipamentelor, starea, capacitatea și gradul de dotare a acestora – se poate dezvolta la nivelul </w:t>
            </w:r>
            <w:r w:rsidR="00050FAA" w:rsidRPr="00F171A3">
              <w:rPr>
                <w:szCs w:val="20"/>
              </w:rPr>
              <w:t>m</w:t>
            </w:r>
            <w:r w:rsidRPr="00F171A3">
              <w:rPr>
                <w:szCs w:val="20"/>
              </w:rPr>
              <w:t xml:space="preserve">unicipiului București. </w:t>
            </w:r>
          </w:p>
          <w:p w14:paraId="1D35ACD1" w14:textId="77777777" w:rsidR="00753096" w:rsidRPr="00F171A3" w:rsidRDefault="0078067E" w:rsidP="00753096">
            <w:pPr>
              <w:rPr>
                <w:rFonts w:cstheme="minorHAnsi"/>
              </w:rPr>
            </w:pPr>
            <w:r w:rsidRPr="00F171A3">
              <w:rPr>
                <w:szCs w:val="20"/>
              </w:rPr>
              <w:t xml:space="preserve">Implementarea unui program de modernizare continuă a infrastructurii sportive care necesită lucrări de reabilitare / extindere / </w:t>
            </w:r>
            <w:r w:rsidR="00753096" w:rsidRPr="00F171A3">
              <w:rPr>
                <w:rFonts w:cstheme="minorHAnsi"/>
              </w:rPr>
              <w:t xml:space="preserve">dotare – velodrom, centre și baze sportive noi, bazine de înot noi etc. </w:t>
            </w:r>
          </w:p>
          <w:p w14:paraId="2155C76E" w14:textId="2F3387FF" w:rsidR="0078067E" w:rsidRPr="00F171A3" w:rsidRDefault="0078067E" w:rsidP="00520678">
            <w:pPr>
              <w:rPr>
                <w:szCs w:val="20"/>
              </w:rPr>
            </w:pPr>
            <w:r w:rsidRPr="00F171A3">
              <w:rPr>
                <w:szCs w:val="20"/>
              </w:rPr>
              <w:t>Deschiderea sălilor și terenurilor de sport din cadrul unităților de învățământ pentru a fi închiriate în afara orelor de curs.</w:t>
            </w:r>
          </w:p>
          <w:p w14:paraId="72D09675" w14:textId="77777777" w:rsidR="0078067E" w:rsidRPr="00F171A3" w:rsidRDefault="0078067E" w:rsidP="00520678">
            <w:pPr>
              <w:rPr>
                <w:szCs w:val="20"/>
              </w:rPr>
            </w:pPr>
            <w:r w:rsidRPr="00F171A3">
              <w:rPr>
                <w:szCs w:val="20"/>
              </w:rPr>
              <w:t>Dezvoltarea unui program de programare și abonare online la dotările sportive din Sectorul 2.</w:t>
            </w:r>
          </w:p>
          <w:p w14:paraId="4728FBFE" w14:textId="77777777" w:rsidR="0078067E" w:rsidRPr="00F171A3" w:rsidRDefault="0078067E" w:rsidP="00520678">
            <w:pPr>
              <w:rPr>
                <w:szCs w:val="20"/>
              </w:rPr>
            </w:pPr>
            <w:r w:rsidRPr="00F171A3">
              <w:rPr>
                <w:szCs w:val="20"/>
              </w:rPr>
              <w:t>Organizarea de activități sportive și recreative în aer liber – spre exemplu, prin blocarea accesului auto pe anumite străzi din cartierele de locuit săptămânal / lunar.</w:t>
            </w:r>
          </w:p>
          <w:p w14:paraId="0A5811EC" w14:textId="7441EC2F" w:rsidR="0078067E" w:rsidRPr="00F171A3" w:rsidRDefault="0078067E" w:rsidP="00520678">
            <w:pPr>
              <w:rPr>
                <w:szCs w:val="20"/>
              </w:rPr>
            </w:pPr>
            <w:r w:rsidRPr="00F171A3">
              <w:rPr>
                <w:szCs w:val="20"/>
              </w:rPr>
              <w:t xml:space="preserve">Dezvoltarea unei platforme online care să reunească și să promoveze toate activitățile din agenda sportivă a Sectorului 2 pe parcursul unui an – posibilitatea creării unei Agende Sportive la nivelul </w:t>
            </w:r>
            <w:r w:rsidR="00050FAA" w:rsidRPr="00F171A3">
              <w:rPr>
                <w:szCs w:val="20"/>
              </w:rPr>
              <w:t>m</w:t>
            </w:r>
            <w:r w:rsidRPr="00F171A3">
              <w:rPr>
                <w:szCs w:val="20"/>
              </w:rPr>
              <w:t>unicipiului București care să reunească toate evenimentele de la nivelul întregului oraș.</w:t>
            </w:r>
          </w:p>
          <w:p w14:paraId="6FB44B9F" w14:textId="77777777" w:rsidR="0078067E" w:rsidRPr="00F171A3" w:rsidRDefault="0078067E" w:rsidP="00520678">
            <w:pPr>
              <w:rPr>
                <w:szCs w:val="20"/>
              </w:rPr>
            </w:pPr>
            <w:r w:rsidRPr="00F171A3">
              <w:rPr>
                <w:szCs w:val="20"/>
              </w:rPr>
              <w:t xml:space="preserve">Promovarea educației în domeniul sportului în rândul tinerilor și copiilor în parcuri prin cursuri gratuite. </w:t>
            </w:r>
          </w:p>
          <w:p w14:paraId="72C5F823" w14:textId="77777777" w:rsidR="0078067E" w:rsidRPr="00F171A3" w:rsidRDefault="0078067E" w:rsidP="00520678">
            <w:pPr>
              <w:rPr>
                <w:szCs w:val="20"/>
              </w:rPr>
            </w:pPr>
            <w:r w:rsidRPr="00F171A3">
              <w:rPr>
                <w:szCs w:val="20"/>
              </w:rPr>
              <w:t>Promovarea sportului către comunitate prin campanii de activare, precum simulatoare sportive sau evenimente în centrele comerciale sau în spațiul public.</w:t>
            </w:r>
          </w:p>
        </w:tc>
      </w:tr>
    </w:tbl>
    <w:p w14:paraId="2EC4E96C" w14:textId="6F2E94EF" w:rsidR="00873E24" w:rsidRPr="00F171A3" w:rsidRDefault="00873E24" w:rsidP="007F2663">
      <w:pPr>
        <w:pStyle w:val="Normal0"/>
      </w:pPr>
    </w:p>
    <w:tbl>
      <w:tblPr>
        <w:tblStyle w:val="Civittatable"/>
        <w:tblW w:w="0" w:type="auto"/>
        <w:tblLook w:val="04A0" w:firstRow="1" w:lastRow="0" w:firstColumn="1" w:lastColumn="0" w:noHBand="0" w:noVBand="1"/>
      </w:tblPr>
      <w:tblGrid>
        <w:gridCol w:w="4474"/>
        <w:gridCol w:w="4542"/>
      </w:tblGrid>
      <w:tr w:rsidR="0069254D" w:rsidRPr="00F171A3" w14:paraId="20516A28" w14:textId="77777777" w:rsidTr="00520678">
        <w:trPr>
          <w:cnfStyle w:val="100000000000" w:firstRow="1" w:lastRow="0" w:firstColumn="0" w:lastColumn="0" w:oddVBand="0" w:evenVBand="0" w:oddHBand="0" w:evenHBand="0" w:firstRowFirstColumn="0" w:firstRowLastColumn="0" w:lastRowFirstColumn="0" w:lastRowLastColumn="0"/>
        </w:trPr>
        <w:tc>
          <w:tcPr>
            <w:tcW w:w="9436" w:type="dxa"/>
            <w:gridSpan w:val="2"/>
            <w:shd w:val="clear" w:color="auto" w:fill="3CA1BC" w:themeFill="background2"/>
          </w:tcPr>
          <w:p w14:paraId="0DFC3A33" w14:textId="435599B8" w:rsidR="0069254D" w:rsidRPr="00F171A3" w:rsidRDefault="0069254D" w:rsidP="00520678">
            <w:pPr>
              <w:spacing w:after="0"/>
              <w:jc w:val="center"/>
              <w:rPr>
                <w:b/>
                <w:bCs/>
                <w:szCs w:val="20"/>
              </w:rPr>
            </w:pPr>
            <w:r w:rsidRPr="00F171A3">
              <w:rPr>
                <w:b/>
                <w:bCs/>
              </w:rPr>
              <w:t>PATRIMONIU CONSTRUIT</w:t>
            </w:r>
          </w:p>
        </w:tc>
      </w:tr>
      <w:tr w:rsidR="0069254D" w:rsidRPr="00F171A3" w14:paraId="0400B61B"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shd w:val="clear" w:color="auto" w:fill="134753" w:themeFill="text2"/>
          </w:tcPr>
          <w:p w14:paraId="6E6239C6" w14:textId="77777777" w:rsidR="0069254D" w:rsidRPr="00F171A3" w:rsidRDefault="0069254D" w:rsidP="00395D0B">
            <w:pPr>
              <w:jc w:val="center"/>
              <w:rPr>
                <w:b/>
                <w:caps/>
                <w:color w:val="FFFFFF" w:themeColor="background1"/>
                <w:szCs w:val="20"/>
              </w:rPr>
            </w:pPr>
            <w:r w:rsidRPr="00F171A3">
              <w:rPr>
                <w:b/>
                <w:caps/>
                <w:color w:val="FFFFFF" w:themeColor="background1"/>
                <w:szCs w:val="20"/>
              </w:rPr>
              <w:t>CONCLUZII, PROVOCĂRI, ELEMENTE DE POTENȚIAL</w:t>
            </w:r>
          </w:p>
        </w:tc>
        <w:tc>
          <w:tcPr>
            <w:tcW w:w="4718" w:type="dxa"/>
            <w:shd w:val="clear" w:color="auto" w:fill="134753" w:themeFill="text2"/>
          </w:tcPr>
          <w:p w14:paraId="494F5871" w14:textId="77777777" w:rsidR="0069254D" w:rsidRPr="00F171A3" w:rsidRDefault="0069254D" w:rsidP="00395D0B">
            <w:pPr>
              <w:jc w:val="center"/>
              <w:rPr>
                <w:b/>
                <w:caps/>
                <w:color w:val="FFFFFF" w:themeColor="background1"/>
                <w:szCs w:val="20"/>
              </w:rPr>
            </w:pPr>
            <w:r w:rsidRPr="00F171A3">
              <w:rPr>
                <w:b/>
                <w:caps/>
                <w:color w:val="FFFFFF" w:themeColor="background1"/>
                <w:szCs w:val="20"/>
              </w:rPr>
              <w:t>Posibile intervenții</w:t>
            </w:r>
          </w:p>
        </w:tc>
      </w:tr>
      <w:tr w:rsidR="006B3928" w:rsidRPr="00F171A3" w14:paraId="51E202DB"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5FB9EEF5" w14:textId="77777777" w:rsidR="006B3928" w:rsidRPr="00F171A3" w:rsidRDefault="006B3928" w:rsidP="006B3928">
            <w:pPr>
              <w:rPr>
                <w:rFonts w:cstheme="minorHAnsi"/>
                <w:sz w:val="22"/>
              </w:rPr>
            </w:pPr>
            <w:r w:rsidRPr="00F171A3">
              <w:rPr>
                <w:rFonts w:cstheme="minorHAnsi"/>
              </w:rPr>
              <w:t>Sectorul 2 dispune de un vast patrimoniu construit valoros, recunoscut la nivel local și național, care necesită în mod constant operațiuni de protejare, valorificare în vederea creșterii atractivității culturale a sectorului și satisfacerea nevoilor socio-culturale ale comunităților locale</w:t>
            </w:r>
          </w:p>
          <w:p w14:paraId="2A56CF20" w14:textId="372E5174" w:rsidR="006B3928" w:rsidRPr="00F171A3" w:rsidRDefault="006B3928" w:rsidP="006B3928"/>
        </w:tc>
        <w:tc>
          <w:tcPr>
            <w:tcW w:w="4718" w:type="dxa"/>
          </w:tcPr>
          <w:p w14:paraId="5B50EF53" w14:textId="77777777" w:rsidR="006B3928" w:rsidRPr="00F171A3" w:rsidRDefault="006B3928" w:rsidP="006B3928">
            <w:pPr>
              <w:rPr>
                <w:rFonts w:cstheme="minorHAnsi"/>
                <w:sz w:val="22"/>
              </w:rPr>
            </w:pPr>
            <w:r w:rsidRPr="00F171A3">
              <w:rPr>
                <w:rFonts w:cstheme="minorHAnsi"/>
              </w:rPr>
              <w:t>Aplicarea de sancțiuni financiare pentru proprietarii clădirilor monumente istorice aflate în stare de degradare.</w:t>
            </w:r>
          </w:p>
          <w:p w14:paraId="4AFA20E3" w14:textId="77777777" w:rsidR="006B3928" w:rsidRPr="00F171A3" w:rsidRDefault="006B3928" w:rsidP="006B3928">
            <w:pPr>
              <w:rPr>
                <w:rFonts w:cstheme="minorHAnsi"/>
                <w:sz w:val="22"/>
              </w:rPr>
            </w:pPr>
            <w:r w:rsidRPr="00F171A3">
              <w:rPr>
                <w:rFonts w:cstheme="minorHAnsi"/>
              </w:rPr>
              <w:t>Implementarea unor proiecte de regenerare urbană a zonelor istorice din Sectorul 2 (Proiecte pilot: Calea Moșilor - Str. Mântuleasa, Zona Armenească).</w:t>
            </w:r>
          </w:p>
          <w:p w14:paraId="78CC8738" w14:textId="77777777" w:rsidR="006B3928" w:rsidRPr="00F171A3" w:rsidRDefault="006B3928" w:rsidP="006B3928">
            <w:pPr>
              <w:rPr>
                <w:rFonts w:cstheme="minorHAnsi"/>
                <w:sz w:val="22"/>
              </w:rPr>
            </w:pPr>
            <w:r w:rsidRPr="00F171A3">
              <w:rPr>
                <w:rFonts w:cstheme="minorHAnsi"/>
              </w:rPr>
              <w:t>Realizarea de parteneriate public-privat sau cu instituții publice  în vederea valorificării socio-culturale a clădirilor cu valoare arhitectural-urbanistică deosebită. Proiect pilot: reabilitarea/modernizarea amfiteatrului Mihai Eminescu.</w:t>
            </w:r>
          </w:p>
          <w:p w14:paraId="596C589E" w14:textId="77777777" w:rsidR="006B3928" w:rsidRPr="00F171A3" w:rsidRDefault="006B3928" w:rsidP="006B3928">
            <w:pPr>
              <w:rPr>
                <w:rFonts w:cstheme="minorHAnsi"/>
                <w:szCs w:val="20"/>
              </w:rPr>
            </w:pPr>
            <w:r w:rsidRPr="00F171A3">
              <w:rPr>
                <w:rFonts w:cstheme="minorHAnsi"/>
              </w:rPr>
              <w:t>Utilizarea ca spatii publice a clădirilor cu valoare istorică din administrare privată în urma încheierii unui parteneriat public-privat cu proprietarii.</w:t>
            </w:r>
          </w:p>
          <w:p w14:paraId="2C90872E" w14:textId="77777777" w:rsidR="006B3928" w:rsidRPr="00F171A3" w:rsidRDefault="006B3928" w:rsidP="006B3928">
            <w:pPr>
              <w:rPr>
                <w:rFonts w:cstheme="minorHAnsi"/>
                <w:szCs w:val="20"/>
              </w:rPr>
            </w:pPr>
            <w:r w:rsidRPr="00F171A3">
              <w:rPr>
                <w:rFonts w:cstheme="minorHAnsi"/>
              </w:rPr>
              <w:t>Realizarea unui program de reabilitare a clădirilor din centrul istoric sau din zonele construite protejate (acordarea de granturi proprietarilor persoane fizice/juridice). Străzi pilot: Lizeanu, Pache Protopopescu, Mântuleasa.</w:t>
            </w:r>
          </w:p>
          <w:p w14:paraId="3F9ECB20" w14:textId="77777777" w:rsidR="006B3928" w:rsidRPr="00F171A3" w:rsidRDefault="006B3928" w:rsidP="006B3928">
            <w:pPr>
              <w:rPr>
                <w:rFonts w:cstheme="minorHAnsi"/>
              </w:rPr>
            </w:pPr>
            <w:r w:rsidRPr="00F171A3">
              <w:rPr>
                <w:rFonts w:cstheme="minorHAnsi"/>
              </w:rPr>
              <w:t xml:space="preserve">Montarea de indicatoare către monumentele istorice, cu precădere obiectivele culturale sau turistice, însoțite de texte explicative cu privire la istoria clădirilor sau zonelor urbane. </w:t>
            </w:r>
          </w:p>
          <w:p w14:paraId="49E3552E" w14:textId="77777777" w:rsidR="006B3928" w:rsidRPr="00F171A3" w:rsidRDefault="006B3928" w:rsidP="006B3928">
            <w:pPr>
              <w:rPr>
                <w:rFonts w:cstheme="minorHAnsi"/>
              </w:rPr>
            </w:pPr>
            <w:r w:rsidRPr="00F171A3">
              <w:rPr>
                <w:rFonts w:cstheme="minorHAnsi"/>
              </w:rPr>
              <w:t>Dezvoltarea unei aplicații web de prezentare a clădirilor monumente istorice din Sectorul 2, cu accent pe obiectivele culturale sau turistice.</w:t>
            </w:r>
          </w:p>
          <w:p w14:paraId="5F54C3A2" w14:textId="31479549" w:rsidR="006B3928" w:rsidRPr="00F171A3" w:rsidRDefault="006B3928" w:rsidP="006B3928">
            <w:pPr>
              <w:rPr>
                <w:sz w:val="22"/>
              </w:rPr>
            </w:pPr>
            <w:r w:rsidRPr="00F171A3">
              <w:rPr>
                <w:rFonts w:cstheme="minorHAnsi"/>
                <w:sz w:val="22"/>
              </w:rPr>
              <w:t>Modernizarea și amenajarea zonelor de acces aferente monumentelor istorice, obiectivelor culturale și turistice: amenajare căi de acces pietonale și carosabile, amplasare de panouri informative, amplasare de mobilier urban etc (exemplu: zona Muzeului Aviației)</w:t>
            </w:r>
          </w:p>
        </w:tc>
      </w:tr>
      <w:tr w:rsidR="006B3928" w:rsidRPr="00F171A3" w14:paraId="57670845"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66945FB3" w14:textId="2F604090" w:rsidR="006B3928" w:rsidRPr="00F171A3" w:rsidRDefault="006B3928" w:rsidP="006B3928">
            <w:r w:rsidRPr="00F171A3">
              <w:rPr>
                <w:rFonts w:cstheme="minorHAnsi"/>
              </w:rPr>
              <w:t>Lipsa unei baze de date privind regimul juridic și starea de conservare a monumentelor istorice</w:t>
            </w:r>
          </w:p>
        </w:tc>
        <w:tc>
          <w:tcPr>
            <w:tcW w:w="4718" w:type="dxa"/>
          </w:tcPr>
          <w:p w14:paraId="6528558E" w14:textId="110C0A43" w:rsidR="006B3928" w:rsidRPr="00F171A3" w:rsidRDefault="006B3928" w:rsidP="006B3928">
            <w:r w:rsidRPr="00F171A3">
              <w:rPr>
                <w:rFonts w:cstheme="minorHAnsi"/>
              </w:rPr>
              <w:t>Elaborarea unei baze de date urbane (în sistem GIS) cuprinzând informații tehnice și juridice despre toate monumentele istorice și zonele lor de protecție și transmiterea zonelor la OCPI în vederea înscrierii în cartea funciară a servituților patrimoniale, inclusiv dreptul de preemțiune.</w:t>
            </w:r>
          </w:p>
        </w:tc>
      </w:tr>
    </w:tbl>
    <w:p w14:paraId="72464CC6" w14:textId="06A2CC9A" w:rsidR="0069254D" w:rsidRPr="00F171A3" w:rsidRDefault="0069254D" w:rsidP="007F2663">
      <w:pPr>
        <w:pStyle w:val="Normal0"/>
      </w:pPr>
    </w:p>
    <w:tbl>
      <w:tblPr>
        <w:tblW w:w="90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4718"/>
        <w:gridCol w:w="4349"/>
      </w:tblGrid>
      <w:tr w:rsidR="006B3928" w:rsidRPr="00F171A3" w14:paraId="21BF9600" w14:textId="77777777" w:rsidTr="00395D0B">
        <w:trPr>
          <w:tblHeader/>
        </w:trPr>
        <w:tc>
          <w:tcPr>
            <w:tcW w:w="9067" w:type="dxa"/>
            <w:gridSpan w:val="2"/>
            <w:shd w:val="clear" w:color="auto" w:fill="3CA1BC"/>
          </w:tcPr>
          <w:p w14:paraId="6D2E3BF8" w14:textId="77777777" w:rsidR="006B3928" w:rsidRPr="00F171A3" w:rsidRDefault="006B3928" w:rsidP="004E5BD4">
            <w:pPr>
              <w:spacing w:before="60" w:after="0"/>
              <w:jc w:val="center"/>
              <w:rPr>
                <w:rFonts w:cstheme="minorHAnsi"/>
                <w:color w:val="FFFFFF" w:themeColor="background1"/>
                <w:sz w:val="20"/>
                <w:szCs w:val="20"/>
              </w:rPr>
            </w:pPr>
            <w:r w:rsidRPr="00F171A3">
              <w:rPr>
                <w:b/>
                <w:bCs/>
                <w:color w:val="FFFFFF" w:themeColor="background1"/>
                <w:sz w:val="20"/>
                <w:szCs w:val="20"/>
              </w:rPr>
              <w:t>SPAȚIU PUBLIC</w:t>
            </w:r>
          </w:p>
        </w:tc>
      </w:tr>
      <w:tr w:rsidR="006B3928" w:rsidRPr="00F171A3" w14:paraId="757B3B0D" w14:textId="77777777" w:rsidTr="00395D0B">
        <w:tc>
          <w:tcPr>
            <w:tcW w:w="4718" w:type="dxa"/>
            <w:shd w:val="clear" w:color="auto" w:fill="134753"/>
          </w:tcPr>
          <w:p w14:paraId="4DEA500C" w14:textId="77777777" w:rsidR="006B3928" w:rsidRPr="00F171A3" w:rsidRDefault="006B3928" w:rsidP="00395D0B">
            <w:pPr>
              <w:jc w:val="center"/>
              <w:rPr>
                <w:rFonts w:cstheme="minorHAnsi"/>
                <w:b/>
                <w:bCs/>
                <w:smallCaps/>
                <w:color w:val="FFFFFF" w:themeColor="background1"/>
                <w:sz w:val="20"/>
                <w:szCs w:val="20"/>
              </w:rPr>
            </w:pPr>
            <w:r w:rsidRPr="00F171A3">
              <w:rPr>
                <w:rFonts w:cstheme="minorHAnsi"/>
                <w:b/>
                <w:bCs/>
                <w:smallCaps/>
                <w:color w:val="FFFFFF" w:themeColor="background1"/>
                <w:sz w:val="20"/>
                <w:szCs w:val="20"/>
              </w:rPr>
              <w:t>CONCLUZII, PROVOCĂRI, ELEMENTE DE POTENȚIAL</w:t>
            </w:r>
          </w:p>
        </w:tc>
        <w:tc>
          <w:tcPr>
            <w:tcW w:w="4349" w:type="dxa"/>
            <w:shd w:val="clear" w:color="auto" w:fill="134753"/>
          </w:tcPr>
          <w:p w14:paraId="310DB23A" w14:textId="77777777" w:rsidR="006B3928" w:rsidRPr="00F171A3" w:rsidRDefault="006B3928" w:rsidP="00395D0B">
            <w:pPr>
              <w:jc w:val="center"/>
              <w:rPr>
                <w:rFonts w:cstheme="minorHAnsi"/>
                <w:b/>
                <w:bCs/>
                <w:smallCaps/>
                <w:color w:val="FFFFFF"/>
                <w:sz w:val="20"/>
                <w:szCs w:val="20"/>
              </w:rPr>
            </w:pPr>
            <w:r w:rsidRPr="00F171A3">
              <w:rPr>
                <w:rFonts w:cstheme="minorHAnsi"/>
                <w:b/>
                <w:bCs/>
                <w:smallCaps/>
                <w:color w:val="FFFFFF"/>
                <w:sz w:val="20"/>
                <w:szCs w:val="20"/>
              </w:rPr>
              <w:t>POSIBILE INTERVENȚII</w:t>
            </w:r>
          </w:p>
        </w:tc>
      </w:tr>
      <w:tr w:rsidR="006B3928" w:rsidRPr="00F171A3" w14:paraId="323A8E96" w14:textId="77777777" w:rsidTr="00395D0B">
        <w:tc>
          <w:tcPr>
            <w:tcW w:w="4718" w:type="dxa"/>
            <w:shd w:val="clear" w:color="auto" w:fill="F2F2F2" w:themeFill="background1" w:themeFillShade="F2"/>
          </w:tcPr>
          <w:p w14:paraId="139555B7" w14:textId="77777777" w:rsidR="006B3928" w:rsidRPr="00F171A3" w:rsidRDefault="006B3928" w:rsidP="00244806">
            <w:pPr>
              <w:rPr>
                <w:rFonts w:cstheme="minorHAnsi"/>
                <w:color w:val="0E353E"/>
                <w:sz w:val="20"/>
                <w:szCs w:val="20"/>
              </w:rPr>
            </w:pPr>
            <w:r w:rsidRPr="00F171A3">
              <w:rPr>
                <w:rFonts w:cstheme="minorHAnsi"/>
                <w:sz w:val="20"/>
                <w:szCs w:val="20"/>
              </w:rPr>
              <w:t>Necesitatea creșterii calității spațiilor verzi și spațiilor publice din Sectorul 2 prin implementarea de proiecte în care sunt implicați atât specialiști în domeniu (peisagiști, horticultori, arhitecți, urbaniști etc) dar și prin implicarea activă a comunității locale.</w:t>
            </w:r>
          </w:p>
        </w:tc>
        <w:tc>
          <w:tcPr>
            <w:tcW w:w="4349" w:type="dxa"/>
            <w:shd w:val="clear" w:color="auto" w:fill="F2F2F2" w:themeFill="background1" w:themeFillShade="F2"/>
          </w:tcPr>
          <w:p w14:paraId="630607D9" w14:textId="77777777" w:rsidR="006B3928" w:rsidRPr="00F171A3" w:rsidRDefault="006B3928" w:rsidP="00244806">
            <w:pPr>
              <w:rPr>
                <w:rFonts w:cstheme="minorHAnsi"/>
                <w:sz w:val="20"/>
                <w:szCs w:val="20"/>
              </w:rPr>
            </w:pPr>
            <w:r w:rsidRPr="00F171A3">
              <w:rPr>
                <w:rFonts w:cstheme="minorHAnsi"/>
                <w:sz w:val="20"/>
                <w:szCs w:val="20"/>
              </w:rPr>
              <w:t>Organizarea de concursuri internaționale de soluții în vederea amenajării de spații verzi de interes comunitar sau municipal, amenajării de piețe urbane și zone pietonale în zona centrală.</w:t>
            </w:r>
          </w:p>
          <w:p w14:paraId="7967FCC6" w14:textId="77777777" w:rsidR="006B3928" w:rsidRPr="00F171A3" w:rsidRDefault="006B3928" w:rsidP="00244806">
            <w:pPr>
              <w:rPr>
                <w:rFonts w:cstheme="minorHAnsi"/>
                <w:sz w:val="20"/>
                <w:szCs w:val="20"/>
              </w:rPr>
            </w:pPr>
            <w:r w:rsidRPr="00F171A3">
              <w:rPr>
                <w:rFonts w:cstheme="minorHAnsi"/>
                <w:sz w:val="20"/>
                <w:szCs w:val="20"/>
              </w:rPr>
              <w:t>Dezvoltarea unor mecanisme de implicare a comunităților locale în procesul de amenajare a spațiilor verzi.</w:t>
            </w:r>
          </w:p>
          <w:p w14:paraId="25593C2E" w14:textId="77777777" w:rsidR="006B3928" w:rsidRPr="00F171A3" w:rsidRDefault="006B3928" w:rsidP="00244806">
            <w:pPr>
              <w:rPr>
                <w:rFonts w:cstheme="minorHAnsi"/>
                <w:sz w:val="20"/>
                <w:szCs w:val="20"/>
              </w:rPr>
            </w:pPr>
            <w:r w:rsidRPr="00F171A3">
              <w:rPr>
                <w:rFonts w:cstheme="minorHAnsi"/>
                <w:sz w:val="20"/>
                <w:szCs w:val="20"/>
              </w:rPr>
              <w:t xml:space="preserve">Dezvoltarea unui program de educare a populației cu privire la amenajarea și mentenanța spațiilor verzi adiacente locuințelor colective. Se propune asigurarea, prin intermediul ADP, a accesului locuitorilor la specialiști (peisagiști/ horticultori) pentru a se asigura amenajarea durabilă a spațiilor verzi. </w:t>
            </w:r>
          </w:p>
          <w:p w14:paraId="6B667B1D" w14:textId="77777777" w:rsidR="006B3928" w:rsidRPr="00F171A3" w:rsidRDefault="006B3928" w:rsidP="00244806">
            <w:pPr>
              <w:rPr>
                <w:rFonts w:cstheme="minorHAnsi"/>
                <w:sz w:val="20"/>
                <w:szCs w:val="20"/>
              </w:rPr>
            </w:pPr>
            <w:r w:rsidRPr="00F171A3">
              <w:rPr>
                <w:rFonts w:cstheme="minorHAnsi"/>
                <w:sz w:val="20"/>
                <w:szCs w:val="20"/>
              </w:rPr>
              <w:t xml:space="preserve">Cooptarea unor facilitatori comunitari pentru a facilita comunicarea dintre administrația publică locală și comunitățile locale/asociațiile de proprietari. </w:t>
            </w:r>
          </w:p>
          <w:p w14:paraId="558DEF89" w14:textId="77777777" w:rsidR="006B3928" w:rsidRPr="00F171A3" w:rsidRDefault="006B3928" w:rsidP="00244806">
            <w:pPr>
              <w:rPr>
                <w:rFonts w:cstheme="minorHAnsi"/>
                <w:sz w:val="20"/>
                <w:szCs w:val="20"/>
              </w:rPr>
            </w:pPr>
            <w:r w:rsidRPr="00F171A3">
              <w:rPr>
                <w:rFonts w:cstheme="minorHAnsi"/>
                <w:sz w:val="20"/>
                <w:szCs w:val="20"/>
              </w:rPr>
              <w:t>Elaborarea unui protocol de asociere/colaborare între ADP și asociațiile de proprietari pentru realizarea proiectelor de investiții în spații verzi adiacente blocurilor.</w:t>
            </w:r>
          </w:p>
          <w:p w14:paraId="412B391B" w14:textId="77777777" w:rsidR="006B3928" w:rsidRPr="00F171A3" w:rsidRDefault="006B3928" w:rsidP="00244806">
            <w:pPr>
              <w:rPr>
                <w:rFonts w:cstheme="minorHAnsi"/>
                <w:sz w:val="20"/>
                <w:szCs w:val="20"/>
              </w:rPr>
            </w:pPr>
            <w:r w:rsidRPr="00F171A3">
              <w:rPr>
                <w:rFonts w:cstheme="minorHAnsi"/>
                <w:sz w:val="20"/>
                <w:szCs w:val="20"/>
              </w:rPr>
              <w:t>Elaborarea unor planuri de gestiune (mentenanță) pentru spațiile verzi</w:t>
            </w:r>
          </w:p>
        </w:tc>
      </w:tr>
      <w:tr w:rsidR="006B3928" w:rsidRPr="00F171A3" w14:paraId="690142D6" w14:textId="77777777" w:rsidTr="00395D0B">
        <w:tc>
          <w:tcPr>
            <w:tcW w:w="4718" w:type="dxa"/>
            <w:shd w:val="clear" w:color="auto" w:fill="F2F2F2" w:themeFill="background1" w:themeFillShade="F2"/>
          </w:tcPr>
          <w:p w14:paraId="0B7CD8CD" w14:textId="77777777" w:rsidR="006B3928" w:rsidRPr="00F171A3" w:rsidRDefault="006B3928" w:rsidP="00244806">
            <w:pPr>
              <w:rPr>
                <w:rFonts w:cstheme="minorHAnsi"/>
                <w:sz w:val="20"/>
                <w:szCs w:val="20"/>
              </w:rPr>
            </w:pPr>
            <w:r w:rsidRPr="00F171A3">
              <w:rPr>
                <w:rFonts w:cstheme="minorHAnsi"/>
                <w:sz w:val="20"/>
                <w:szCs w:val="20"/>
              </w:rPr>
              <w:t>Dezvoltarea neunitară a spațiilor publice din zona centrală și cadrul marilor ansambluri de locuințe colective</w:t>
            </w:r>
          </w:p>
          <w:p w14:paraId="4F95EED0" w14:textId="77777777" w:rsidR="006B3928" w:rsidRPr="00F171A3" w:rsidRDefault="006B3928" w:rsidP="00244806">
            <w:pPr>
              <w:rPr>
                <w:rFonts w:cstheme="minorHAnsi"/>
                <w:sz w:val="20"/>
                <w:szCs w:val="20"/>
              </w:rPr>
            </w:pPr>
            <w:r w:rsidRPr="00F171A3">
              <w:rPr>
                <w:rFonts w:cstheme="minorHAnsi"/>
                <w:sz w:val="20"/>
                <w:szCs w:val="20"/>
              </w:rPr>
              <w:t>Infrastructura redusă de locuri de joacă pentru copii din cadrul marilor ansambluri de locuințe colective</w:t>
            </w:r>
          </w:p>
          <w:p w14:paraId="45F78032" w14:textId="77777777" w:rsidR="006B3928" w:rsidRPr="00F171A3" w:rsidRDefault="006B3928" w:rsidP="00244806">
            <w:pPr>
              <w:rPr>
                <w:rFonts w:cstheme="minorHAnsi"/>
                <w:sz w:val="20"/>
                <w:szCs w:val="20"/>
              </w:rPr>
            </w:pPr>
          </w:p>
        </w:tc>
        <w:tc>
          <w:tcPr>
            <w:tcW w:w="4349" w:type="dxa"/>
            <w:shd w:val="clear" w:color="auto" w:fill="F2F2F2" w:themeFill="background1" w:themeFillShade="F2"/>
          </w:tcPr>
          <w:p w14:paraId="42FDE7D0" w14:textId="77777777" w:rsidR="006B3928" w:rsidRPr="00F171A3" w:rsidRDefault="006B3928" w:rsidP="00244806">
            <w:pPr>
              <w:rPr>
                <w:rFonts w:cstheme="minorHAnsi"/>
                <w:sz w:val="20"/>
                <w:szCs w:val="20"/>
              </w:rPr>
            </w:pPr>
            <w:r w:rsidRPr="00F171A3">
              <w:rPr>
                <w:rFonts w:cstheme="minorHAnsi"/>
                <w:sz w:val="20"/>
                <w:szCs w:val="20"/>
              </w:rPr>
              <w:t>Elaborarea unui Regulament pentru ocuparea domeniului public</w:t>
            </w:r>
            <w:r w:rsidRPr="00F171A3" w:rsidDel="009E6E8E">
              <w:rPr>
                <w:rFonts w:cstheme="minorHAnsi"/>
                <w:sz w:val="20"/>
                <w:szCs w:val="20"/>
              </w:rPr>
              <w:t xml:space="preserve"> </w:t>
            </w:r>
            <w:r w:rsidRPr="00F171A3">
              <w:rPr>
                <w:rFonts w:cstheme="minorHAnsi"/>
                <w:sz w:val="20"/>
                <w:szCs w:val="20"/>
              </w:rPr>
              <w:t>care să includă  inventarierea construcțiilor amplasate pe domeniul public, coroborarea și actualizarea regulamentelor existente,  reglementarea unor aspecte precum mobilier urban, construcții provizorii, organizarea comerțului de întâmpinare sau infrastructură ”smart”.</w:t>
            </w:r>
          </w:p>
          <w:p w14:paraId="21B2F4C0" w14:textId="77777777" w:rsidR="006B3928" w:rsidRPr="00F171A3" w:rsidRDefault="006B3928" w:rsidP="00244806">
            <w:pPr>
              <w:spacing w:after="0"/>
              <w:rPr>
                <w:rFonts w:cstheme="minorHAnsi"/>
                <w:sz w:val="20"/>
                <w:szCs w:val="20"/>
              </w:rPr>
            </w:pPr>
            <w:r w:rsidRPr="00F171A3">
              <w:rPr>
                <w:rFonts w:cstheme="minorHAnsi"/>
                <w:sz w:val="20"/>
                <w:szCs w:val="20"/>
              </w:rPr>
              <w:t>Realizarea de proiecte complexe de regenerare urbană, având la bază proiectul pilot derulat de PS2 în parteneriat cu OAR:</w:t>
            </w:r>
          </w:p>
          <w:p w14:paraId="69642996" w14:textId="77777777" w:rsidR="006B3928" w:rsidRPr="00F171A3" w:rsidRDefault="006B3928">
            <w:pPr>
              <w:numPr>
                <w:ilvl w:val="0"/>
                <w:numId w:val="120"/>
              </w:numPr>
              <w:pBdr>
                <w:top w:val="nil"/>
                <w:left w:val="nil"/>
                <w:bottom w:val="nil"/>
                <w:right w:val="nil"/>
                <w:between w:val="nil"/>
              </w:pBdr>
              <w:spacing w:after="60"/>
              <w:rPr>
                <w:rFonts w:cstheme="minorHAnsi"/>
                <w:sz w:val="20"/>
                <w:szCs w:val="20"/>
              </w:rPr>
            </w:pPr>
            <w:r w:rsidRPr="00F171A3">
              <w:rPr>
                <w:rFonts w:cstheme="minorHAnsi"/>
                <w:sz w:val="20"/>
                <w:szCs w:val="20"/>
              </w:rPr>
              <w:t>Intervenții integrate de regenerare urbană a spațiilor publice aferente ansamblurilor de locuințe colective:  (a) amenajare spații verzi, (b) spații de recreere și zone de socializare pentru toate categoriile de utilizatori, (c) locuri de joacă, (d) circulații și spații de parcare, (e) spații de tip shared space;</w:t>
            </w:r>
          </w:p>
          <w:p w14:paraId="429C5667" w14:textId="77777777" w:rsidR="006B3928" w:rsidRPr="00F171A3" w:rsidRDefault="006B3928" w:rsidP="00244806">
            <w:pPr>
              <w:rPr>
                <w:rFonts w:cstheme="minorHAnsi"/>
                <w:sz w:val="20"/>
                <w:szCs w:val="20"/>
              </w:rPr>
            </w:pPr>
            <w:r w:rsidRPr="00F171A3">
              <w:rPr>
                <w:rFonts w:cstheme="minorHAnsi"/>
                <w:sz w:val="20"/>
                <w:szCs w:val="20"/>
              </w:rPr>
              <w:t xml:space="preserve">Dotarea cu mobilier urban inteligent, versatil care poate căpăta funcționalități multiple, personalizat pentru tipul de spațiu urban în care este amplasat. În acord cu principiile economiei circulare se va avea în vedere, pe cât posibil, utilizarea mobilierului urban realizat din materiale reciclate, reciclabile de proveniență locală. </w:t>
            </w:r>
          </w:p>
          <w:p w14:paraId="02AB9160" w14:textId="77777777" w:rsidR="006B3928" w:rsidRPr="00F171A3" w:rsidRDefault="006B3928" w:rsidP="00244806">
            <w:pPr>
              <w:rPr>
                <w:rFonts w:cstheme="minorHAnsi"/>
                <w:sz w:val="20"/>
                <w:szCs w:val="20"/>
              </w:rPr>
            </w:pPr>
            <w:r w:rsidRPr="00F171A3">
              <w:rPr>
                <w:rFonts w:cstheme="minorHAnsi"/>
                <w:sz w:val="20"/>
                <w:szCs w:val="20"/>
              </w:rPr>
              <w:t>Se recomandă elaborarea proiectelor de către echipe multidisciplinare (arhitecți, peisagiști, horticultori, urbaniști, sociologi etc) și prin implicarea activă a comunității locale/asociațiilor de proprietari, printr-o abordare de tip bottom up.</w:t>
            </w:r>
          </w:p>
          <w:p w14:paraId="0AF4CF31" w14:textId="77777777" w:rsidR="006B3928" w:rsidRPr="00F171A3" w:rsidRDefault="006B3928" w:rsidP="00244806">
            <w:pPr>
              <w:rPr>
                <w:rFonts w:cstheme="minorHAnsi"/>
                <w:sz w:val="20"/>
                <w:szCs w:val="20"/>
              </w:rPr>
            </w:pPr>
            <w:r w:rsidRPr="00F171A3">
              <w:rPr>
                <w:rFonts w:cstheme="minorHAnsi"/>
                <w:sz w:val="20"/>
                <w:szCs w:val="20"/>
              </w:rPr>
              <w:t>Zone prioritare: zona Colentina – Mașina de Pâine, Zona Obor (Aleea Avrig – Strada Chiristigiilor), Zona Delfinului (str. Renului).</w:t>
            </w:r>
          </w:p>
          <w:p w14:paraId="6CBD50EF" w14:textId="77777777" w:rsidR="006B3928" w:rsidRPr="00F171A3" w:rsidRDefault="006B3928" w:rsidP="00244806">
            <w:pPr>
              <w:rPr>
                <w:rFonts w:cstheme="minorHAnsi"/>
                <w:sz w:val="20"/>
                <w:szCs w:val="20"/>
              </w:rPr>
            </w:pPr>
          </w:p>
          <w:p w14:paraId="35D6D242" w14:textId="77777777" w:rsidR="006B3928" w:rsidRPr="00F171A3" w:rsidRDefault="006B3928" w:rsidP="00244806">
            <w:pPr>
              <w:rPr>
                <w:rFonts w:cstheme="minorHAnsi"/>
                <w:sz w:val="20"/>
                <w:szCs w:val="20"/>
              </w:rPr>
            </w:pPr>
            <w:r w:rsidRPr="00F171A3">
              <w:rPr>
                <w:rFonts w:cstheme="minorHAnsi"/>
                <w:sz w:val="20"/>
                <w:szCs w:val="20"/>
              </w:rPr>
              <w:t>Implementarea unui proiect de regenerare urbană pentru zona Colentina – Tei având la bază ghidul de regenerare urbană dezvoltat în colaborare cu Banca Mondială: Activare și Planificare pentru Eficiență Locală (APEL) Colentina - Tei. Ghid de regenerare urbană prin tehnici de urbanism participativ și proiect de conștientizare &amp; management al riscului seismic pentru zona Colentina - Tei din București.</w:t>
            </w:r>
          </w:p>
          <w:p w14:paraId="0D4CF8D5" w14:textId="77777777" w:rsidR="006B3928" w:rsidRPr="00F171A3" w:rsidRDefault="006B3928" w:rsidP="00244806">
            <w:pPr>
              <w:rPr>
                <w:rFonts w:cstheme="minorHAnsi"/>
                <w:sz w:val="20"/>
                <w:szCs w:val="20"/>
              </w:rPr>
            </w:pPr>
            <w:r w:rsidRPr="00F171A3">
              <w:rPr>
                <w:rFonts w:cstheme="minorHAnsi"/>
                <w:sz w:val="20"/>
                <w:szCs w:val="20"/>
              </w:rPr>
              <w:t>Amenajarea de noi locuri de  joacă pentru copii în cadrul marilor ansambluri de locuințe colective (prioritare sunt pe Str. Delfinului, Aleea Socului, Str. Cernăuți, Aleea Codlea, Șos. Pantelimon, Bd. Basarabia, Bd. Mihai Bravu, Bd. Ștefan cel Mare, Calea Moșilor, Str. Petre Antonescu, Str. Visarion, Șos. Iancului, Str. Căminului, Str. Fabrica de Gheață, Str. Popa Nicolae, Str. Abanosului, Aleea Sinaia, Str. Avrig).</w:t>
            </w:r>
          </w:p>
          <w:p w14:paraId="5CF2C876" w14:textId="77777777" w:rsidR="006B3928" w:rsidRPr="00F171A3" w:rsidRDefault="006B3928" w:rsidP="00244806">
            <w:pPr>
              <w:rPr>
                <w:rFonts w:cstheme="minorHAnsi"/>
                <w:sz w:val="20"/>
                <w:szCs w:val="20"/>
              </w:rPr>
            </w:pPr>
            <w:r w:rsidRPr="00F171A3">
              <w:rPr>
                <w:rFonts w:cstheme="minorHAnsi"/>
                <w:sz w:val="20"/>
                <w:szCs w:val="20"/>
              </w:rPr>
              <w:t xml:space="preserve">Cartarea și clarificarea statutului juridic al terenurilor publice din cadrul ansamblurilor de locuințe colective.  </w:t>
            </w:r>
          </w:p>
        </w:tc>
      </w:tr>
      <w:tr w:rsidR="006B3928" w:rsidRPr="00F171A3" w14:paraId="02145CA4" w14:textId="77777777" w:rsidTr="00395D0B">
        <w:tc>
          <w:tcPr>
            <w:tcW w:w="4718" w:type="dxa"/>
            <w:shd w:val="clear" w:color="auto" w:fill="F2F2F2" w:themeFill="background1" w:themeFillShade="F2"/>
          </w:tcPr>
          <w:p w14:paraId="706E0220" w14:textId="77777777" w:rsidR="006B3928" w:rsidRPr="00F171A3" w:rsidRDefault="006B3928" w:rsidP="00244806">
            <w:pPr>
              <w:rPr>
                <w:rFonts w:cstheme="minorHAnsi"/>
                <w:sz w:val="20"/>
                <w:szCs w:val="20"/>
              </w:rPr>
            </w:pPr>
            <w:r w:rsidRPr="00F171A3">
              <w:rPr>
                <w:rFonts w:cstheme="minorHAnsi"/>
                <w:sz w:val="20"/>
                <w:szCs w:val="20"/>
              </w:rPr>
              <w:t>Lipsa unor legături favorabile între spațiile verzi existente, motiv pentru care ele nu pot fi considerate ca parte a unui traseu mai amplu</w:t>
            </w:r>
          </w:p>
        </w:tc>
        <w:tc>
          <w:tcPr>
            <w:tcW w:w="4349" w:type="dxa"/>
            <w:shd w:val="clear" w:color="auto" w:fill="F2F2F2" w:themeFill="background1" w:themeFillShade="F2"/>
          </w:tcPr>
          <w:p w14:paraId="47548587" w14:textId="77777777" w:rsidR="006B3928" w:rsidRPr="00F171A3" w:rsidRDefault="006B3928" w:rsidP="00244806">
            <w:pPr>
              <w:rPr>
                <w:rFonts w:cstheme="minorHAnsi"/>
                <w:sz w:val="20"/>
                <w:szCs w:val="20"/>
              </w:rPr>
            </w:pPr>
            <w:r w:rsidRPr="00F171A3">
              <w:rPr>
                <w:rFonts w:cstheme="minorHAnsi"/>
                <w:sz w:val="20"/>
                <w:szCs w:val="20"/>
              </w:rPr>
              <w:t>Completarea rețelei de spații verzi, cu elemente de legătură (străzi cu vegetație de aliniament) dar și cu spații de tip scuar / grădină, mai ales în zona centrală și în marile cartiere rezidențiale.</w:t>
            </w:r>
          </w:p>
          <w:p w14:paraId="10936848" w14:textId="77777777" w:rsidR="006B3928" w:rsidRPr="00F171A3" w:rsidRDefault="006B3928" w:rsidP="00244806">
            <w:pPr>
              <w:rPr>
                <w:rFonts w:cstheme="minorHAnsi"/>
                <w:sz w:val="20"/>
                <w:szCs w:val="20"/>
              </w:rPr>
            </w:pPr>
            <w:r w:rsidRPr="00F171A3">
              <w:rPr>
                <w:rFonts w:cstheme="minorHAnsi"/>
                <w:sz w:val="20"/>
                <w:szCs w:val="20"/>
              </w:rPr>
              <w:t>Realizarea unor axe verzi care să conecteze principalele parcuri din Sectorul 2.</w:t>
            </w:r>
          </w:p>
        </w:tc>
      </w:tr>
      <w:tr w:rsidR="006B3928" w:rsidRPr="00F171A3" w14:paraId="27ED3911" w14:textId="77777777" w:rsidTr="00395D0B">
        <w:tc>
          <w:tcPr>
            <w:tcW w:w="4718" w:type="dxa"/>
            <w:shd w:val="clear" w:color="auto" w:fill="F2F2F2" w:themeFill="background1" w:themeFillShade="F2"/>
          </w:tcPr>
          <w:p w14:paraId="6232A1D2" w14:textId="77777777" w:rsidR="006B3928" w:rsidRPr="00F171A3" w:rsidRDefault="006B3928" w:rsidP="00244806">
            <w:pPr>
              <w:rPr>
                <w:rFonts w:cstheme="minorHAnsi"/>
                <w:sz w:val="20"/>
                <w:szCs w:val="20"/>
              </w:rPr>
            </w:pPr>
            <w:r w:rsidRPr="00F171A3">
              <w:rPr>
                <w:rFonts w:cstheme="minorHAnsi"/>
                <w:sz w:val="20"/>
                <w:szCs w:val="20"/>
              </w:rPr>
              <w:t>Existența unor segmente reduse din cartierul Andronache, zona centrală și din zona de birouri Pipera cu  acces îngreunat la spații verzi amenajate.</w:t>
            </w:r>
          </w:p>
          <w:p w14:paraId="4B76CF81" w14:textId="77777777" w:rsidR="006B3928" w:rsidRPr="00F171A3" w:rsidRDefault="006B3928" w:rsidP="00244806">
            <w:pPr>
              <w:rPr>
                <w:rFonts w:cstheme="minorHAnsi"/>
                <w:sz w:val="20"/>
                <w:szCs w:val="20"/>
              </w:rPr>
            </w:pPr>
            <w:r w:rsidRPr="00F171A3">
              <w:rPr>
                <w:rFonts w:cstheme="minorHAnsi"/>
                <w:sz w:val="20"/>
                <w:szCs w:val="20"/>
              </w:rPr>
              <w:t>În zonele de locuințe individuale cum ar fi Andronache, Plumbuita sau Baicului se resimte nevoia de spații publice de mici dimensiuni.</w:t>
            </w:r>
          </w:p>
          <w:p w14:paraId="28036D05" w14:textId="77777777" w:rsidR="006B3928" w:rsidRPr="00F171A3" w:rsidRDefault="006B3928" w:rsidP="00244806">
            <w:pPr>
              <w:rPr>
                <w:rFonts w:cstheme="minorHAnsi"/>
                <w:sz w:val="20"/>
                <w:szCs w:val="20"/>
              </w:rPr>
            </w:pPr>
            <w:r w:rsidRPr="00F171A3">
              <w:rPr>
                <w:rFonts w:cstheme="minorHAnsi"/>
                <w:sz w:val="20"/>
                <w:szCs w:val="20"/>
              </w:rPr>
              <w:t>Rețeaua de spații publice nu cuprinde piețe urbane sau zone pietonale ample care să susțină evenimente de interes pentru comunitate sau vizitatori</w:t>
            </w:r>
          </w:p>
        </w:tc>
        <w:tc>
          <w:tcPr>
            <w:tcW w:w="4349" w:type="dxa"/>
            <w:shd w:val="clear" w:color="auto" w:fill="F2F2F2" w:themeFill="background1" w:themeFillShade="F2"/>
          </w:tcPr>
          <w:p w14:paraId="267A1489" w14:textId="77777777" w:rsidR="006B3928" w:rsidRPr="00F171A3" w:rsidRDefault="006B3928" w:rsidP="00244806">
            <w:pPr>
              <w:rPr>
                <w:rFonts w:cstheme="minorHAnsi"/>
                <w:sz w:val="20"/>
                <w:szCs w:val="20"/>
              </w:rPr>
            </w:pPr>
            <w:r w:rsidRPr="00F171A3">
              <w:rPr>
                <w:rFonts w:cstheme="minorHAnsi"/>
                <w:sz w:val="20"/>
                <w:szCs w:val="20"/>
              </w:rPr>
              <w:t>Reconversia funcțională a unor situri industriale abandonate și transformarea în spații verzi de dimensiuni mici sau medii.</w:t>
            </w:r>
          </w:p>
          <w:p w14:paraId="34729CB1" w14:textId="77777777" w:rsidR="006B3928" w:rsidRPr="00F171A3" w:rsidRDefault="006B3928" w:rsidP="00244806">
            <w:pPr>
              <w:rPr>
                <w:rFonts w:cstheme="minorHAnsi"/>
                <w:sz w:val="20"/>
                <w:szCs w:val="20"/>
              </w:rPr>
            </w:pPr>
            <w:r w:rsidRPr="00F171A3">
              <w:rPr>
                <w:rFonts w:cstheme="minorHAnsi"/>
                <w:sz w:val="20"/>
                <w:szCs w:val="20"/>
              </w:rPr>
              <w:t>Amenajarea unor spații abandonate sau a unor piațete urbane din zona centrală ca spații verzi de  tip scuaruri sau fâșii plantate</w:t>
            </w:r>
          </w:p>
          <w:p w14:paraId="2BF212BC" w14:textId="77777777" w:rsidR="006B3928" w:rsidRPr="00F171A3" w:rsidRDefault="006B3928" w:rsidP="00244806">
            <w:pPr>
              <w:rPr>
                <w:rFonts w:cstheme="minorHAnsi"/>
                <w:sz w:val="20"/>
                <w:szCs w:val="20"/>
              </w:rPr>
            </w:pPr>
            <w:r w:rsidRPr="00F171A3">
              <w:rPr>
                <w:rFonts w:cstheme="minorHAnsi"/>
                <w:sz w:val="20"/>
                <w:szCs w:val="20"/>
              </w:rPr>
              <w:t xml:space="preserve">Modernizarea/ reamenajarea (reamenajare peisagistică, amenajarea de spații de recreere, zone de socializare, locuri de joacă)/ dotarea cu mobilier urban și echipamente inteligente a spațiilor verzi și spațiilor minerale din zona centrală </w:t>
            </w:r>
          </w:p>
          <w:p w14:paraId="00C58760" w14:textId="77777777" w:rsidR="006B3928" w:rsidRPr="00F171A3" w:rsidRDefault="006B3928" w:rsidP="00244806">
            <w:pPr>
              <w:rPr>
                <w:rFonts w:cstheme="minorHAnsi"/>
                <w:sz w:val="20"/>
                <w:szCs w:val="20"/>
              </w:rPr>
            </w:pPr>
            <w:r w:rsidRPr="00F171A3">
              <w:rPr>
                <w:rFonts w:cstheme="minorHAnsi"/>
                <w:sz w:val="20"/>
                <w:szCs w:val="20"/>
              </w:rPr>
              <w:t>Identificarea unor terenuri libere care să fie achiziționate de către primărie și transformate în mici spații verzi de tip scuar</w:t>
            </w:r>
          </w:p>
          <w:p w14:paraId="34E70F85" w14:textId="77777777" w:rsidR="006B3928" w:rsidRPr="00F171A3" w:rsidRDefault="006B3928" w:rsidP="00244806">
            <w:pPr>
              <w:rPr>
                <w:rFonts w:cstheme="minorHAnsi"/>
                <w:sz w:val="20"/>
                <w:szCs w:val="20"/>
              </w:rPr>
            </w:pPr>
            <w:r w:rsidRPr="00F171A3">
              <w:rPr>
                <w:rFonts w:cstheme="minorHAnsi"/>
                <w:sz w:val="20"/>
                <w:szCs w:val="20"/>
              </w:rPr>
              <w:t>Amenajarea unor puncte de interes secundare în zonele centrală și de locuințe colective în care se pot amenaja activități recreative, culturale, periodice sau permanente</w:t>
            </w:r>
          </w:p>
          <w:p w14:paraId="1F4B2A26" w14:textId="77777777" w:rsidR="006B3928" w:rsidRPr="00F171A3" w:rsidRDefault="006B3928" w:rsidP="00244806">
            <w:pPr>
              <w:rPr>
                <w:rFonts w:cstheme="minorHAnsi"/>
                <w:sz w:val="20"/>
                <w:szCs w:val="20"/>
              </w:rPr>
            </w:pPr>
            <w:r w:rsidRPr="00F171A3">
              <w:rPr>
                <w:rFonts w:cstheme="minorHAnsi"/>
                <w:sz w:val="20"/>
                <w:szCs w:val="20"/>
              </w:rPr>
              <w:t>Implementarea de variante alternative de valorificare și activare a unor spații cu potențial de utilizare pe parcursul întregii zile prin utilizarea curților școlilor pentru diverse activități sportive și de recreere în afara programului școlar.</w:t>
            </w:r>
          </w:p>
          <w:p w14:paraId="219CC810" w14:textId="77777777" w:rsidR="006B3928" w:rsidRPr="00F171A3" w:rsidRDefault="006B3928" w:rsidP="00244806">
            <w:pPr>
              <w:rPr>
                <w:rFonts w:cstheme="minorHAnsi"/>
                <w:sz w:val="20"/>
                <w:szCs w:val="20"/>
              </w:rPr>
            </w:pPr>
            <w:r w:rsidRPr="00F171A3">
              <w:rPr>
                <w:rFonts w:cstheme="minorHAnsi"/>
                <w:sz w:val="20"/>
                <w:szCs w:val="20"/>
              </w:rPr>
              <w:t xml:space="preserve">Derularea unui concurs internațional de soluții cu tema „Reamenajare, modernizare spații publice, respectiv: 1) Piața Spaniei - Str. Dumbrava Roșie - Piața Cantacuzino - Str. Jean Louis Calderon și Arthur Verona, 2)  Str. Logofăt Luca Stroici aferentă Bisericii Popa Chițu, Str. Maria Rosetti și intersecțiile aferente între Str. Vasile Lascăr și Str. Toamnei, 3) Intersecție Str. Salcâmilor cu Str. Toamnei, 4) Foișorul de Foc, 5) Str. Sfântu Ștefan, respectiv Popa Soare (Piața G-ral N. Dabija) și Piața Sf. Ștefan, 6) Piața Italiană (Piața M. R. Stefanik) și racord cu străzile adiacente”. </w:t>
            </w:r>
          </w:p>
          <w:p w14:paraId="16B3DE40" w14:textId="77777777" w:rsidR="006B3928" w:rsidRPr="00F171A3" w:rsidRDefault="006B3928" w:rsidP="00244806">
            <w:pPr>
              <w:rPr>
                <w:rFonts w:cstheme="minorHAnsi"/>
                <w:sz w:val="20"/>
                <w:szCs w:val="20"/>
              </w:rPr>
            </w:pPr>
            <w:r w:rsidRPr="00F171A3">
              <w:rPr>
                <w:rFonts w:cstheme="minorHAnsi"/>
                <w:sz w:val="20"/>
                <w:szCs w:val="20"/>
              </w:rPr>
              <w:t xml:space="preserve">Implementarea proiectului de regenerare urbană a spațiilor publice și verzi din zona istorică a sectorului 2, Calea Moșilor – Mântuleasa, elaborat în colaborare cu Banca Mondială. </w:t>
            </w:r>
          </w:p>
          <w:p w14:paraId="0D620393" w14:textId="77777777" w:rsidR="006B3928" w:rsidRPr="00F171A3" w:rsidRDefault="006B3928" w:rsidP="00244806">
            <w:pPr>
              <w:rPr>
                <w:rFonts w:cstheme="minorHAnsi"/>
                <w:sz w:val="20"/>
                <w:szCs w:val="20"/>
              </w:rPr>
            </w:pPr>
            <w:r w:rsidRPr="00F171A3">
              <w:rPr>
                <w:rFonts w:cstheme="minorHAnsi"/>
                <w:sz w:val="20"/>
                <w:szCs w:val="20"/>
              </w:rPr>
              <w:t xml:space="preserve">Implementarea de proiecte de regenerare urbană a unor spații publice din zonele predominant rezidențiale din zona centrală, având la bază proiectul pilot derulat de PS2 în </w:t>
            </w:r>
            <w:r w:rsidRPr="00F171A3">
              <w:rPr>
                <w:rFonts w:cstheme="minorHAnsi"/>
                <w:color w:val="000000"/>
                <w:sz w:val="20"/>
                <w:szCs w:val="20"/>
              </w:rPr>
              <w:t xml:space="preserve">parteneriat cu OAR. Zonă </w:t>
            </w:r>
            <w:r w:rsidRPr="00F171A3">
              <w:rPr>
                <w:rFonts w:cstheme="minorHAnsi"/>
                <w:sz w:val="20"/>
                <w:szCs w:val="20"/>
              </w:rPr>
              <w:t>prioritară: zona Grădina Ioanid (intrarea Ion Voicu).</w:t>
            </w:r>
          </w:p>
          <w:p w14:paraId="042FD0B8" w14:textId="77777777" w:rsidR="006B3928" w:rsidRPr="00F171A3" w:rsidRDefault="006B3928" w:rsidP="00244806">
            <w:pPr>
              <w:rPr>
                <w:rFonts w:cstheme="minorHAnsi"/>
                <w:sz w:val="20"/>
                <w:szCs w:val="20"/>
              </w:rPr>
            </w:pPr>
            <w:r w:rsidRPr="00F171A3">
              <w:rPr>
                <w:sz w:val="20"/>
                <w:szCs w:val="20"/>
              </w:rPr>
              <w:t>Realizarea de proiecte de incluziune socială în zonele defavorizate pentru amenajarea spațiilor publice și însușirea acestora de către comunitățile locale.</w:t>
            </w:r>
          </w:p>
          <w:p w14:paraId="3966E86A" w14:textId="77777777" w:rsidR="006B3928" w:rsidRPr="00F171A3" w:rsidRDefault="006B3928" w:rsidP="00244806">
            <w:pPr>
              <w:rPr>
                <w:rFonts w:cstheme="minorHAnsi"/>
                <w:sz w:val="20"/>
                <w:szCs w:val="20"/>
              </w:rPr>
            </w:pPr>
            <w:r w:rsidRPr="00F171A3">
              <w:rPr>
                <w:rFonts w:cstheme="minorHAnsi"/>
                <w:sz w:val="20"/>
                <w:szCs w:val="20"/>
              </w:rPr>
              <w:t xml:space="preserve">Intervenții punctuale: </w:t>
            </w:r>
          </w:p>
          <w:p w14:paraId="3BEF0A3B" w14:textId="77777777" w:rsidR="006B3928" w:rsidRPr="00F171A3" w:rsidRDefault="006B3928">
            <w:pPr>
              <w:numPr>
                <w:ilvl w:val="0"/>
                <w:numId w:val="121"/>
              </w:numPr>
              <w:spacing w:after="60"/>
              <w:rPr>
                <w:rFonts w:cstheme="minorHAnsi"/>
                <w:color w:val="134753"/>
                <w:sz w:val="20"/>
                <w:szCs w:val="20"/>
              </w:rPr>
            </w:pPr>
            <w:r w:rsidRPr="00F171A3">
              <w:rPr>
                <w:rFonts w:cstheme="minorHAnsi"/>
                <w:color w:val="134753"/>
                <w:sz w:val="20"/>
                <w:szCs w:val="20"/>
              </w:rPr>
              <w:t>Amenajarea ca spațiu verde a terenului din zona Țițeica – Barbu Văcărescu și amenajarea unei infrastructuri destinată evenimentelor culturale.</w:t>
            </w:r>
          </w:p>
          <w:p w14:paraId="5C6841D0" w14:textId="77777777" w:rsidR="006B3928" w:rsidRPr="00F171A3" w:rsidRDefault="006B3928">
            <w:pPr>
              <w:numPr>
                <w:ilvl w:val="0"/>
                <w:numId w:val="121"/>
              </w:numPr>
              <w:spacing w:after="60"/>
              <w:rPr>
                <w:rFonts w:cstheme="minorHAnsi"/>
                <w:color w:val="134753"/>
                <w:sz w:val="20"/>
                <w:szCs w:val="20"/>
              </w:rPr>
            </w:pPr>
            <w:r w:rsidRPr="00F171A3">
              <w:rPr>
                <w:rFonts w:cstheme="minorHAnsi"/>
                <w:color w:val="134753"/>
                <w:sz w:val="20"/>
                <w:szCs w:val="20"/>
              </w:rPr>
              <w:t>Realizarea unui parc nou în cartierul Ion Creangă aferent străzii Moroeni.</w:t>
            </w:r>
          </w:p>
          <w:p w14:paraId="26B1B43C" w14:textId="77777777" w:rsidR="006B3928" w:rsidRPr="00F171A3" w:rsidRDefault="006B3928">
            <w:pPr>
              <w:numPr>
                <w:ilvl w:val="0"/>
                <w:numId w:val="121"/>
              </w:numPr>
              <w:spacing w:after="60"/>
              <w:rPr>
                <w:rFonts w:cstheme="minorHAnsi"/>
                <w:color w:val="134753"/>
                <w:sz w:val="20"/>
                <w:szCs w:val="20"/>
              </w:rPr>
            </w:pPr>
            <w:r w:rsidRPr="00F171A3">
              <w:rPr>
                <w:rFonts w:cstheme="minorHAnsi"/>
                <w:color w:val="134753"/>
                <w:sz w:val="20"/>
                <w:szCs w:val="20"/>
              </w:rPr>
              <w:t>Amenajarea spațiului public de pe Str. Gheorghe Lazăr</w:t>
            </w:r>
          </w:p>
          <w:p w14:paraId="0A5C3C50" w14:textId="77777777" w:rsidR="006B3928" w:rsidRPr="00F171A3" w:rsidRDefault="006B3928">
            <w:pPr>
              <w:numPr>
                <w:ilvl w:val="0"/>
                <w:numId w:val="121"/>
              </w:numPr>
              <w:spacing w:after="60"/>
              <w:rPr>
                <w:rFonts w:cstheme="minorHAnsi"/>
                <w:color w:val="134753"/>
                <w:sz w:val="20"/>
                <w:szCs w:val="20"/>
              </w:rPr>
            </w:pPr>
            <w:r w:rsidRPr="00F171A3">
              <w:rPr>
                <w:rFonts w:cstheme="minorHAnsi"/>
                <w:color w:val="134753"/>
                <w:sz w:val="20"/>
                <w:szCs w:val="20"/>
              </w:rPr>
              <w:t>Amenajarea peisagistică și arhitecturală a scuarului de pe str. Ricinului (suprafață de 3.511mp).</w:t>
            </w:r>
          </w:p>
          <w:p w14:paraId="0F828CBA" w14:textId="77777777" w:rsidR="006B3928" w:rsidRPr="00F171A3" w:rsidRDefault="006B3928">
            <w:pPr>
              <w:numPr>
                <w:ilvl w:val="0"/>
                <w:numId w:val="121"/>
              </w:numPr>
              <w:spacing w:after="60"/>
              <w:rPr>
                <w:rFonts w:cstheme="minorHAnsi"/>
                <w:color w:val="0E353E"/>
                <w:sz w:val="20"/>
                <w:szCs w:val="20"/>
              </w:rPr>
            </w:pPr>
            <w:r w:rsidRPr="00F171A3">
              <w:rPr>
                <w:rFonts w:cstheme="minorHAnsi"/>
                <w:color w:val="134753"/>
                <w:sz w:val="20"/>
                <w:szCs w:val="20"/>
              </w:rPr>
              <w:t>Amenajarea unui parc în zona Pieței Delfinului</w:t>
            </w:r>
          </w:p>
          <w:p w14:paraId="1E5D6FDF" w14:textId="77777777" w:rsidR="006B3928" w:rsidRPr="00F171A3" w:rsidRDefault="006B3928">
            <w:pPr>
              <w:numPr>
                <w:ilvl w:val="0"/>
                <w:numId w:val="121"/>
              </w:numPr>
              <w:spacing w:after="60"/>
              <w:rPr>
                <w:rFonts w:cstheme="minorHAnsi"/>
                <w:color w:val="0E353E"/>
                <w:sz w:val="20"/>
                <w:szCs w:val="20"/>
              </w:rPr>
            </w:pPr>
            <w:r w:rsidRPr="00F171A3">
              <w:rPr>
                <w:rFonts w:cstheme="minorHAnsi"/>
                <w:color w:val="134753"/>
                <w:sz w:val="20"/>
                <w:szCs w:val="20"/>
              </w:rPr>
              <w:t>Amenajarea unui loc de joacă în vecinătatea miniparcului Țepeș Vodă</w:t>
            </w:r>
          </w:p>
          <w:p w14:paraId="01998F9D" w14:textId="77777777" w:rsidR="006B3928" w:rsidRPr="00F171A3" w:rsidRDefault="006B3928">
            <w:pPr>
              <w:numPr>
                <w:ilvl w:val="0"/>
                <w:numId w:val="121"/>
              </w:numPr>
              <w:spacing w:after="60"/>
              <w:rPr>
                <w:rFonts w:cstheme="minorHAnsi"/>
                <w:sz w:val="20"/>
                <w:szCs w:val="20"/>
              </w:rPr>
            </w:pPr>
            <w:r w:rsidRPr="00F171A3">
              <w:rPr>
                <w:rFonts w:cstheme="minorHAnsi"/>
                <w:color w:val="134753"/>
                <w:sz w:val="20"/>
                <w:szCs w:val="20"/>
              </w:rPr>
              <w:t>Amenajarea peisagistică a spațiului verde de pe Aleea Vergului nr. 7.</w:t>
            </w:r>
          </w:p>
          <w:p w14:paraId="7B272617" w14:textId="77777777" w:rsidR="006B3928" w:rsidRPr="00F171A3" w:rsidRDefault="006B3928" w:rsidP="00244806">
            <w:pPr>
              <w:rPr>
                <w:rFonts w:cstheme="minorHAnsi"/>
                <w:sz w:val="20"/>
                <w:szCs w:val="20"/>
              </w:rPr>
            </w:pPr>
          </w:p>
        </w:tc>
      </w:tr>
      <w:tr w:rsidR="006B3928" w:rsidRPr="00F171A3" w14:paraId="5CEEFF2B" w14:textId="77777777" w:rsidTr="00395D0B">
        <w:tc>
          <w:tcPr>
            <w:tcW w:w="4718" w:type="dxa"/>
            <w:shd w:val="clear" w:color="auto" w:fill="F2F2F2" w:themeFill="background1" w:themeFillShade="F2"/>
          </w:tcPr>
          <w:p w14:paraId="52B3182B" w14:textId="77777777" w:rsidR="006B3928" w:rsidRPr="00F171A3" w:rsidRDefault="006B3928" w:rsidP="00244806">
            <w:pPr>
              <w:rPr>
                <w:rFonts w:cstheme="minorHAnsi"/>
                <w:sz w:val="20"/>
                <w:szCs w:val="20"/>
              </w:rPr>
            </w:pPr>
            <w:r w:rsidRPr="00F171A3">
              <w:rPr>
                <w:rFonts w:cstheme="minorHAnsi"/>
                <w:sz w:val="20"/>
                <w:szCs w:val="20"/>
              </w:rPr>
              <w:t>Lipsa spațiilor publice amenajate de mare amploare cum sunt cele amplasate în celelalte sectoare (Herăstrău, Tineretului, Titan etc.)</w:t>
            </w:r>
          </w:p>
        </w:tc>
        <w:tc>
          <w:tcPr>
            <w:tcW w:w="4349" w:type="dxa"/>
            <w:shd w:val="clear" w:color="auto" w:fill="F2F2F2" w:themeFill="background1" w:themeFillShade="F2"/>
          </w:tcPr>
          <w:p w14:paraId="3BB2FF0A" w14:textId="77777777" w:rsidR="006B3928" w:rsidRPr="00F171A3" w:rsidRDefault="006B3928" w:rsidP="00244806">
            <w:pPr>
              <w:rPr>
                <w:rFonts w:cstheme="minorHAnsi"/>
                <w:sz w:val="20"/>
                <w:szCs w:val="20"/>
              </w:rPr>
            </w:pPr>
            <w:r w:rsidRPr="00F171A3">
              <w:rPr>
                <w:rFonts w:cstheme="minorHAnsi"/>
                <w:sz w:val="20"/>
                <w:szCs w:val="20"/>
              </w:rPr>
              <w:t>Identificarea și amenajarea unor parcuri de mari dimensiuni (Amenajarea unui parc între Șoseaua Petricani, A3 și strada Gherghiței - Parcul Valea Saulei</w:t>
            </w:r>
            <w:r w:rsidRPr="00F171A3">
              <w:rPr>
                <w:rFonts w:cstheme="minorHAnsi"/>
                <w:color w:val="134753"/>
                <w:sz w:val="20"/>
                <w:szCs w:val="20"/>
              </w:rPr>
              <w:t>)</w:t>
            </w:r>
          </w:p>
        </w:tc>
      </w:tr>
      <w:tr w:rsidR="006B3928" w:rsidRPr="00F171A3" w14:paraId="0C452B44" w14:textId="77777777" w:rsidTr="00395D0B">
        <w:tc>
          <w:tcPr>
            <w:tcW w:w="4718" w:type="dxa"/>
            <w:shd w:val="clear" w:color="auto" w:fill="F2F2F2" w:themeFill="background1" w:themeFillShade="F2"/>
          </w:tcPr>
          <w:p w14:paraId="57BFFAF9" w14:textId="77777777" w:rsidR="006B3928" w:rsidRPr="00F171A3" w:rsidRDefault="006B3928" w:rsidP="00244806">
            <w:pPr>
              <w:rPr>
                <w:rFonts w:cstheme="minorHAnsi"/>
                <w:sz w:val="20"/>
                <w:szCs w:val="20"/>
              </w:rPr>
            </w:pPr>
            <w:r w:rsidRPr="00F171A3">
              <w:rPr>
                <w:rFonts w:cstheme="minorHAnsi"/>
                <w:sz w:val="20"/>
                <w:szCs w:val="20"/>
              </w:rPr>
              <w:t>O mare parte din spațiile verzi de dimensiuni medii și mari necesită lucrări de reamenajare peisagistică, modernizare a infrastructurii (alei pietonale, mobilier urban)</w:t>
            </w:r>
          </w:p>
          <w:p w14:paraId="7B0C00F0" w14:textId="77777777" w:rsidR="006B3928" w:rsidRPr="00F171A3" w:rsidRDefault="006B3928" w:rsidP="00244806">
            <w:pPr>
              <w:rPr>
                <w:rFonts w:cstheme="minorHAnsi"/>
                <w:sz w:val="20"/>
                <w:szCs w:val="20"/>
              </w:rPr>
            </w:pPr>
            <w:r w:rsidRPr="00F171A3">
              <w:rPr>
                <w:rFonts w:cstheme="minorHAnsi"/>
                <w:sz w:val="20"/>
                <w:szCs w:val="20"/>
              </w:rPr>
              <w:t xml:space="preserve"> O mare parte din spațiile verzi de dimensiuni medii și mari beneficiază doar de facilități de bază (mobilier urban minimal, iluminat public limitat etc.), multe dintre acestea fiind lipsite de dotări </w:t>
            </w:r>
            <w:r w:rsidRPr="00F171A3">
              <w:rPr>
                <w:rFonts w:cstheme="minorHAnsi"/>
                <w:color w:val="000000"/>
                <w:sz w:val="20"/>
                <w:szCs w:val="20"/>
              </w:rPr>
              <w:t>esențiale (toalete publice, fântâni).</w:t>
            </w:r>
          </w:p>
        </w:tc>
        <w:tc>
          <w:tcPr>
            <w:tcW w:w="4349" w:type="dxa"/>
            <w:shd w:val="clear" w:color="auto" w:fill="F2F2F2" w:themeFill="background1" w:themeFillShade="F2"/>
          </w:tcPr>
          <w:p w14:paraId="168CF944" w14:textId="4638D16E" w:rsidR="006B3928" w:rsidRPr="00F171A3" w:rsidRDefault="006B3928" w:rsidP="00244806">
            <w:pPr>
              <w:rPr>
                <w:rFonts w:cstheme="minorHAnsi"/>
                <w:sz w:val="20"/>
                <w:szCs w:val="20"/>
              </w:rPr>
            </w:pPr>
            <w:r w:rsidRPr="00F171A3">
              <w:rPr>
                <w:rFonts w:cstheme="minorHAnsi"/>
                <w:sz w:val="20"/>
                <w:szCs w:val="20"/>
              </w:rPr>
              <w:t xml:space="preserve">Reamenajarea peisagistică și modernizarea infrastructurii de dotări din parcurile i publice (locuri de joacă pentru copii, </w:t>
            </w:r>
            <w:r w:rsidR="00C66438" w:rsidRPr="00F171A3">
              <w:rPr>
                <w:rFonts w:cstheme="minorHAnsi"/>
                <w:sz w:val="20"/>
                <w:szCs w:val="20"/>
              </w:rPr>
              <w:t>mobilier</w:t>
            </w:r>
            <w:r w:rsidRPr="00F171A3">
              <w:rPr>
                <w:rFonts w:cstheme="minorHAnsi"/>
                <w:sz w:val="20"/>
                <w:szCs w:val="20"/>
              </w:rPr>
              <w:t xml:space="preserve"> urban, iluminat public, locuiri de joacă pentru animale, refacerea aleilor, echipamente pentru gimnastică): </w:t>
            </w:r>
          </w:p>
          <w:p w14:paraId="394365C4" w14:textId="77777777" w:rsidR="006B3928" w:rsidRPr="00F171A3" w:rsidRDefault="006B3928">
            <w:pPr>
              <w:numPr>
                <w:ilvl w:val="0"/>
                <w:numId w:val="122"/>
              </w:numPr>
              <w:spacing w:before="60" w:after="60"/>
              <w:rPr>
                <w:rFonts w:cstheme="minorHAnsi"/>
                <w:color w:val="134753"/>
                <w:sz w:val="20"/>
                <w:szCs w:val="20"/>
              </w:rPr>
            </w:pPr>
            <w:r w:rsidRPr="00F171A3">
              <w:rPr>
                <w:rFonts w:cstheme="minorHAnsi"/>
                <w:color w:val="134753"/>
                <w:sz w:val="20"/>
                <w:szCs w:val="20"/>
              </w:rPr>
              <w:t>Parcul Verdi, Parcul Circului ulterior trecerii acestora în administrarea Sectorului 2</w:t>
            </w:r>
          </w:p>
          <w:p w14:paraId="69A3F5A7" w14:textId="77777777" w:rsidR="006B3928" w:rsidRPr="00F171A3" w:rsidRDefault="006B3928">
            <w:pPr>
              <w:numPr>
                <w:ilvl w:val="0"/>
                <w:numId w:val="122"/>
              </w:numPr>
              <w:spacing w:before="60" w:after="60"/>
              <w:rPr>
                <w:rFonts w:cstheme="minorHAnsi"/>
                <w:color w:val="134753"/>
                <w:sz w:val="20"/>
                <w:szCs w:val="20"/>
              </w:rPr>
            </w:pPr>
            <w:r w:rsidRPr="00F171A3">
              <w:rPr>
                <w:rFonts w:cstheme="minorHAnsi"/>
                <w:color w:val="134753"/>
                <w:sz w:val="20"/>
                <w:szCs w:val="20"/>
              </w:rPr>
              <w:t>Parcurile Ioanid, Plumbuita (inclusiv înlocuirea aparatelor de gimnastică, reamenajarea oglinzii de apă și  râului artificial, amenajare insulă), Plumbuita II, Tei, Rodica, Lunca Florilor, Național.</w:t>
            </w:r>
          </w:p>
          <w:p w14:paraId="5214059F" w14:textId="77777777" w:rsidR="006B3928" w:rsidRPr="00F171A3" w:rsidRDefault="006B3928">
            <w:pPr>
              <w:numPr>
                <w:ilvl w:val="0"/>
                <w:numId w:val="122"/>
              </w:numPr>
              <w:spacing w:before="60" w:after="60"/>
              <w:rPr>
                <w:rFonts w:cstheme="minorHAnsi"/>
                <w:color w:val="134753"/>
                <w:sz w:val="20"/>
                <w:szCs w:val="20"/>
              </w:rPr>
            </w:pPr>
            <w:r w:rsidRPr="00F171A3">
              <w:rPr>
                <w:rFonts w:cstheme="minorHAnsi"/>
                <w:color w:val="134753"/>
                <w:sz w:val="20"/>
                <w:szCs w:val="20"/>
              </w:rPr>
              <w:t>Reîntregirea parcului Floreasca (suprafață 2,6ha) prin adăugarea unui teren de 6.500mp din baza STB Floreasca și inventarierea spațiilor verzi dintre blocuri.</w:t>
            </w:r>
          </w:p>
          <w:p w14:paraId="65288B90" w14:textId="77777777" w:rsidR="006B3928" w:rsidRPr="00F171A3" w:rsidRDefault="006B3928" w:rsidP="00244806">
            <w:pPr>
              <w:ind w:left="34"/>
              <w:rPr>
                <w:rFonts w:cstheme="minorHAnsi"/>
                <w:sz w:val="20"/>
                <w:szCs w:val="20"/>
              </w:rPr>
            </w:pPr>
            <w:r w:rsidRPr="00F171A3">
              <w:rPr>
                <w:rFonts w:cstheme="minorHAnsi"/>
                <w:sz w:val="20"/>
                <w:szCs w:val="20"/>
              </w:rPr>
              <w:t>Intervenții punctuale de creștere a calității în anumite parcuri ale Sectorului 2: Parcurile Motodrom (modernizarea sistemului de irigații), Păsărari (sistematizarea accesului și modernizarea locului de joacă pentru animale), Morarilor (suplimentarea echipamentelor din locurile de joacă, amenajarea unei tiroliene).</w:t>
            </w:r>
          </w:p>
          <w:p w14:paraId="5F7EF53E" w14:textId="77777777" w:rsidR="006B3928" w:rsidRPr="00F171A3" w:rsidRDefault="006B3928" w:rsidP="004E5BD4">
            <w:pPr>
              <w:ind w:left="34"/>
              <w:rPr>
                <w:rFonts w:cstheme="minorHAnsi"/>
                <w:sz w:val="20"/>
                <w:szCs w:val="20"/>
              </w:rPr>
            </w:pPr>
            <w:r w:rsidRPr="00F171A3">
              <w:rPr>
                <w:rFonts w:cstheme="minorHAnsi"/>
                <w:sz w:val="20"/>
                <w:szCs w:val="20"/>
              </w:rPr>
              <w:t>Necesitatea implementării unor sisteme de supraveghere video a parcurilor.</w:t>
            </w:r>
          </w:p>
          <w:p w14:paraId="249334E0" w14:textId="77777777" w:rsidR="006B3928" w:rsidRPr="00F171A3" w:rsidRDefault="006B3928" w:rsidP="004E5BD4">
            <w:pPr>
              <w:ind w:left="34"/>
              <w:rPr>
                <w:rFonts w:cstheme="minorHAnsi"/>
                <w:sz w:val="20"/>
                <w:szCs w:val="20"/>
              </w:rPr>
            </w:pPr>
            <w:r w:rsidRPr="00F171A3">
              <w:rPr>
                <w:rFonts w:cstheme="minorHAnsi"/>
                <w:sz w:val="20"/>
                <w:szCs w:val="20"/>
              </w:rPr>
              <w:t>realizarea de platforme/foișoare pentru trupe/piese de teatru în parcuri.</w:t>
            </w:r>
          </w:p>
          <w:p w14:paraId="3E6037B0" w14:textId="77777777" w:rsidR="006B3928" w:rsidRPr="00F171A3" w:rsidRDefault="006B3928" w:rsidP="004E5BD4">
            <w:pPr>
              <w:ind w:left="34"/>
              <w:rPr>
                <w:rFonts w:cstheme="minorHAnsi"/>
                <w:sz w:val="20"/>
                <w:szCs w:val="20"/>
              </w:rPr>
            </w:pPr>
            <w:r w:rsidRPr="00F171A3">
              <w:rPr>
                <w:rFonts w:cstheme="minorHAnsi"/>
                <w:sz w:val="20"/>
                <w:szCs w:val="20"/>
              </w:rPr>
              <w:t>Echiparea parcurilor cu dotări esențiale precum toalete publice (inclusiv toalete pentru copii) și instalații de apă (fântâni, cișmele și țâșnitori).</w:t>
            </w:r>
          </w:p>
        </w:tc>
      </w:tr>
      <w:tr w:rsidR="006B3928" w:rsidRPr="00F171A3" w14:paraId="57A59E4D" w14:textId="77777777" w:rsidTr="00395D0B">
        <w:tc>
          <w:tcPr>
            <w:tcW w:w="4718" w:type="dxa"/>
            <w:shd w:val="clear" w:color="auto" w:fill="F2F2F2" w:themeFill="background1" w:themeFillShade="F2"/>
          </w:tcPr>
          <w:p w14:paraId="54997863" w14:textId="77777777" w:rsidR="006B3928" w:rsidRPr="00F171A3" w:rsidRDefault="006B3928" w:rsidP="00244806">
            <w:pPr>
              <w:rPr>
                <w:rFonts w:cstheme="minorHAnsi"/>
                <w:sz w:val="20"/>
                <w:szCs w:val="20"/>
              </w:rPr>
            </w:pPr>
            <w:r w:rsidRPr="00F171A3">
              <w:rPr>
                <w:rFonts w:cstheme="minorHAnsi"/>
                <w:sz w:val="20"/>
                <w:szCs w:val="20"/>
              </w:rPr>
              <w:t>Parcurile de dimensiuni mari și medii dispun de un potențial educațional și ecologic foarte mare</w:t>
            </w:r>
          </w:p>
        </w:tc>
        <w:tc>
          <w:tcPr>
            <w:tcW w:w="4349" w:type="dxa"/>
            <w:shd w:val="clear" w:color="auto" w:fill="F2F2F2" w:themeFill="background1" w:themeFillShade="F2"/>
          </w:tcPr>
          <w:p w14:paraId="1EAC6002" w14:textId="77777777" w:rsidR="006B3928" w:rsidRPr="00F171A3" w:rsidRDefault="006B3928" w:rsidP="00244806">
            <w:pPr>
              <w:rPr>
                <w:rFonts w:cstheme="minorHAnsi"/>
                <w:sz w:val="20"/>
                <w:szCs w:val="20"/>
              </w:rPr>
            </w:pPr>
            <w:r w:rsidRPr="00F171A3">
              <w:rPr>
                <w:rFonts w:cstheme="minorHAnsi"/>
                <w:sz w:val="20"/>
                <w:szCs w:val="20"/>
              </w:rPr>
              <w:t>Amenajarea de parcuri ecologice (similar Parcului Sticlăriei) prin amenajarea de zone dedicate diferitelor habitate.</w:t>
            </w:r>
          </w:p>
          <w:p w14:paraId="55EBF1BC" w14:textId="77777777" w:rsidR="006B3928" w:rsidRPr="00F171A3" w:rsidRDefault="006B3928" w:rsidP="00244806">
            <w:pPr>
              <w:rPr>
                <w:rFonts w:cstheme="minorHAnsi"/>
                <w:sz w:val="20"/>
                <w:szCs w:val="20"/>
              </w:rPr>
            </w:pPr>
            <w:r w:rsidRPr="00F171A3">
              <w:rPr>
                <w:rFonts w:cstheme="minorHAnsi"/>
                <w:sz w:val="20"/>
                <w:szCs w:val="20"/>
              </w:rPr>
              <w:t xml:space="preserve">Dezvoltarea de proiecte educaționale în domeniul ecologiei și biodiversității, destinate tinerilor. </w:t>
            </w:r>
          </w:p>
        </w:tc>
      </w:tr>
      <w:tr w:rsidR="006B3928" w:rsidRPr="00F171A3" w14:paraId="3ACDADAE" w14:textId="77777777" w:rsidTr="00395D0B">
        <w:tc>
          <w:tcPr>
            <w:tcW w:w="4718" w:type="dxa"/>
            <w:shd w:val="clear" w:color="auto" w:fill="F2F2F2" w:themeFill="background1" w:themeFillShade="F2"/>
          </w:tcPr>
          <w:p w14:paraId="07B6C41F" w14:textId="77777777" w:rsidR="006B3928" w:rsidRPr="00F171A3" w:rsidRDefault="006B3928" w:rsidP="00244806">
            <w:pPr>
              <w:rPr>
                <w:rFonts w:cstheme="minorHAnsi"/>
                <w:sz w:val="20"/>
                <w:szCs w:val="20"/>
              </w:rPr>
            </w:pPr>
            <w:r w:rsidRPr="00F171A3">
              <w:rPr>
                <w:rFonts w:cstheme="minorHAnsi"/>
                <w:sz w:val="20"/>
                <w:szCs w:val="20"/>
              </w:rPr>
              <w:t>Lipsa unor spații publice de tip liniar în zona centrală</w:t>
            </w:r>
          </w:p>
        </w:tc>
        <w:tc>
          <w:tcPr>
            <w:tcW w:w="4349" w:type="dxa"/>
            <w:shd w:val="clear" w:color="auto" w:fill="F2F2F2" w:themeFill="background1" w:themeFillShade="F2"/>
          </w:tcPr>
          <w:p w14:paraId="098E8C11" w14:textId="77777777" w:rsidR="006B3928" w:rsidRPr="00F171A3" w:rsidRDefault="006B3928" w:rsidP="00244806">
            <w:pPr>
              <w:rPr>
                <w:rFonts w:cstheme="minorHAnsi"/>
                <w:sz w:val="20"/>
                <w:szCs w:val="20"/>
              </w:rPr>
            </w:pPr>
            <w:r w:rsidRPr="00F171A3">
              <w:rPr>
                <w:rFonts w:cstheme="minorHAnsi"/>
                <w:sz w:val="20"/>
                <w:szCs w:val="20"/>
              </w:rPr>
              <w:t>Transformarea unor străzi din zona centrală în străzi ocazional carosabile</w:t>
            </w:r>
          </w:p>
          <w:p w14:paraId="3CA0217F" w14:textId="77777777" w:rsidR="006B3928" w:rsidRPr="00F171A3" w:rsidRDefault="006B3928" w:rsidP="00244806">
            <w:pPr>
              <w:rPr>
                <w:rFonts w:cstheme="minorHAnsi"/>
                <w:sz w:val="20"/>
                <w:szCs w:val="20"/>
              </w:rPr>
            </w:pPr>
            <w:r w:rsidRPr="00F171A3">
              <w:rPr>
                <w:rFonts w:cstheme="minorHAnsi"/>
                <w:sz w:val="20"/>
                <w:szCs w:val="20"/>
              </w:rPr>
              <w:t>Susținerea parteneriatelor cu societatea civila / ONG-uri și realizarea de parteneriate noi în vederea organizării de evenimente periodice care au ca scop pietonalizarea temporară unor străzi din zona centrală</w:t>
            </w:r>
          </w:p>
          <w:p w14:paraId="6631DD40" w14:textId="77777777" w:rsidR="006B3928" w:rsidRPr="00F171A3" w:rsidRDefault="006B3928" w:rsidP="00244806">
            <w:pPr>
              <w:rPr>
                <w:rFonts w:cstheme="minorHAnsi"/>
                <w:sz w:val="20"/>
                <w:szCs w:val="20"/>
              </w:rPr>
            </w:pPr>
            <w:r w:rsidRPr="00F171A3">
              <w:rPr>
                <w:rFonts w:cstheme="minorHAnsi"/>
                <w:sz w:val="20"/>
                <w:szCs w:val="20"/>
              </w:rPr>
              <w:t>Amenajarea de perdele de vegetație în lungul străzilor inclusiv studierea posibilității realizării unui parteneriat public-privat în acest sens.</w:t>
            </w:r>
          </w:p>
          <w:p w14:paraId="2201D178" w14:textId="77777777" w:rsidR="006B3928" w:rsidRPr="00F171A3" w:rsidRDefault="006B3928" w:rsidP="00244806">
            <w:pPr>
              <w:rPr>
                <w:rFonts w:cstheme="minorHAnsi"/>
                <w:sz w:val="20"/>
                <w:szCs w:val="20"/>
              </w:rPr>
            </w:pPr>
            <w:r w:rsidRPr="00F171A3">
              <w:rPr>
                <w:rFonts w:cstheme="minorHAnsi"/>
                <w:sz w:val="20"/>
                <w:szCs w:val="20"/>
              </w:rPr>
              <w:t>Creșterea numărului de dotări de bază aferente spațiilor publice pietonale: amplasarea de toalete publice în zonele intens tranzitate  (prioritar: zona intersecției Șos. Colentina și Șos. Fundeni); creșterea numărului de bănci și coșuri de gunoi.</w:t>
            </w:r>
          </w:p>
        </w:tc>
      </w:tr>
      <w:tr w:rsidR="006B3928" w:rsidRPr="00F171A3" w14:paraId="686E14AE" w14:textId="77777777" w:rsidTr="00395D0B">
        <w:tc>
          <w:tcPr>
            <w:tcW w:w="4718" w:type="dxa"/>
            <w:shd w:val="clear" w:color="auto" w:fill="F2F2F2" w:themeFill="background1" w:themeFillShade="F2"/>
          </w:tcPr>
          <w:p w14:paraId="7F8CB1D1" w14:textId="77777777" w:rsidR="006B3928" w:rsidRPr="00F171A3" w:rsidRDefault="006B3928" w:rsidP="00244806">
            <w:pPr>
              <w:rPr>
                <w:rFonts w:cstheme="minorHAnsi"/>
                <w:sz w:val="20"/>
                <w:szCs w:val="20"/>
              </w:rPr>
            </w:pPr>
            <w:r w:rsidRPr="00F171A3">
              <w:rPr>
                <w:rFonts w:cstheme="minorHAnsi"/>
                <w:sz w:val="20"/>
                <w:szCs w:val="20"/>
              </w:rPr>
              <w:t>Numeroase spații de mici dimensiuni beneficiază doar de mobilier urban minimal și de iluminat public limitat, ele nefiind atractive pentru locuitorii din zonă.</w:t>
            </w:r>
          </w:p>
        </w:tc>
        <w:tc>
          <w:tcPr>
            <w:tcW w:w="4349" w:type="dxa"/>
            <w:shd w:val="clear" w:color="auto" w:fill="F2F2F2" w:themeFill="background1" w:themeFillShade="F2"/>
          </w:tcPr>
          <w:p w14:paraId="538E9550" w14:textId="77777777" w:rsidR="006B3928" w:rsidRPr="00F171A3" w:rsidRDefault="006B3928" w:rsidP="00244806">
            <w:pPr>
              <w:rPr>
                <w:rFonts w:cstheme="minorHAnsi"/>
                <w:sz w:val="20"/>
                <w:szCs w:val="20"/>
              </w:rPr>
            </w:pPr>
            <w:r w:rsidRPr="00F171A3">
              <w:rPr>
                <w:rFonts w:cstheme="minorHAnsi"/>
                <w:sz w:val="20"/>
                <w:szCs w:val="20"/>
              </w:rPr>
              <w:t>Organizarea de concursuri de soluții în vederea amenajării spațiilor de mici dimensiuni</w:t>
            </w:r>
          </w:p>
          <w:p w14:paraId="2002F79B" w14:textId="77777777" w:rsidR="006B3928" w:rsidRPr="00F171A3" w:rsidRDefault="006B3928" w:rsidP="00244806">
            <w:pPr>
              <w:rPr>
                <w:rFonts w:cstheme="minorHAnsi"/>
                <w:sz w:val="20"/>
                <w:szCs w:val="20"/>
              </w:rPr>
            </w:pPr>
            <w:r w:rsidRPr="00F171A3">
              <w:rPr>
                <w:rFonts w:cstheme="minorHAnsi"/>
                <w:sz w:val="20"/>
                <w:szCs w:val="20"/>
              </w:rPr>
              <w:t>Realizarea de parteneriate public-privat cu grupurile de acțiune civică și  implicarea activă a comunităților locale în amenajarea spațiilor publice cu precădere a celor de proximitate (spațiile verzi adiacente locuințelor colective) sau piațetelor/scuarurilor urbane de importanță locală</w:t>
            </w:r>
          </w:p>
          <w:p w14:paraId="2CE1AB1C" w14:textId="77777777" w:rsidR="006B3928" w:rsidRPr="00F171A3" w:rsidRDefault="006B3928" w:rsidP="00244806">
            <w:pPr>
              <w:rPr>
                <w:rFonts w:cstheme="minorHAnsi"/>
                <w:sz w:val="20"/>
                <w:szCs w:val="20"/>
              </w:rPr>
            </w:pPr>
            <w:r w:rsidRPr="00F171A3">
              <w:rPr>
                <w:rFonts w:cstheme="minorHAnsi"/>
                <w:sz w:val="20"/>
                <w:szCs w:val="20"/>
              </w:rPr>
              <w:t>Realizarea unui set de reguli/măsuri care să vizeze îmbunătățirea calității aerului în raport cu direcțiile europene privind protejarea spațiilor verzi și reducerea gazelor cu efect de seră prin amenajarea/ reamenajarea de spații verzi, spații publice, parcări etc.</w:t>
            </w:r>
          </w:p>
        </w:tc>
      </w:tr>
      <w:tr w:rsidR="006B3928" w:rsidRPr="00F171A3" w14:paraId="2838ED57" w14:textId="77777777" w:rsidTr="00395D0B">
        <w:tc>
          <w:tcPr>
            <w:tcW w:w="4718" w:type="dxa"/>
            <w:shd w:val="clear" w:color="auto" w:fill="F2F2F2" w:themeFill="background1" w:themeFillShade="F2"/>
          </w:tcPr>
          <w:p w14:paraId="621C4A4D" w14:textId="77777777" w:rsidR="006B3928" w:rsidRPr="00F171A3" w:rsidRDefault="006B3928" w:rsidP="00244806">
            <w:pPr>
              <w:rPr>
                <w:rFonts w:cstheme="minorHAnsi"/>
                <w:sz w:val="20"/>
                <w:szCs w:val="20"/>
              </w:rPr>
            </w:pPr>
            <w:r w:rsidRPr="00F171A3">
              <w:rPr>
                <w:rFonts w:cstheme="minorHAnsi"/>
                <w:sz w:val="20"/>
                <w:szCs w:val="20"/>
              </w:rPr>
              <w:t>Specifice pentru rețeaua de spații publice a Sectorului 2 sunt parcurile amenajate în lungul salbei de lacuri ale Colentinei. Însă, cea mai mare parte a malurilor de apă nu sunt amenajate și de multe ori nu sunt accesibile publicului iar dezvoltările din ultimele două decenii de locuințe individuale în lungul apei au compromis de asemenea accesul la părți considerabile din malul de lac</w:t>
            </w:r>
          </w:p>
        </w:tc>
        <w:tc>
          <w:tcPr>
            <w:tcW w:w="4349" w:type="dxa"/>
            <w:shd w:val="clear" w:color="auto" w:fill="F2F2F2" w:themeFill="background1" w:themeFillShade="F2"/>
          </w:tcPr>
          <w:p w14:paraId="725B45CF" w14:textId="77777777" w:rsidR="006B3928" w:rsidRPr="00F171A3" w:rsidRDefault="006B3928" w:rsidP="00244806">
            <w:pPr>
              <w:rPr>
                <w:rFonts w:cstheme="minorHAnsi"/>
                <w:sz w:val="20"/>
                <w:szCs w:val="20"/>
              </w:rPr>
            </w:pPr>
            <w:r w:rsidRPr="00F171A3">
              <w:rPr>
                <w:rFonts w:cstheme="minorHAnsi"/>
                <w:sz w:val="20"/>
                <w:szCs w:val="20"/>
              </w:rPr>
              <w:t>Realizarea unui parteneriat pe orizontală cu Sectorul 1, orașul Pantelimon și comuna Dobroești</w:t>
            </w:r>
          </w:p>
          <w:p w14:paraId="32920E3C" w14:textId="77777777" w:rsidR="006B3928" w:rsidRPr="00F171A3" w:rsidRDefault="006B3928" w:rsidP="00244806">
            <w:pPr>
              <w:rPr>
                <w:rFonts w:cstheme="minorHAnsi"/>
                <w:sz w:val="20"/>
                <w:szCs w:val="20"/>
              </w:rPr>
            </w:pPr>
            <w:r w:rsidRPr="00F171A3">
              <w:rPr>
                <w:rFonts w:cstheme="minorHAnsi"/>
                <w:sz w:val="20"/>
                <w:szCs w:val="20"/>
              </w:rPr>
              <w:t>Realizarea unui concurs internațional de soluții pentru amenajarea, reconfigurarea, sistematizarea zonelor (malurile) aferente salbei de lacuri situată pe raza teritorial administrativă a Sectorului 2 (Tronson I - Zona Lacul Tei, Tronson II - Zona Lacul Plumbuita, Tronson III - Zona Valea Saulei, Tronson IV - Zona Râul Colentina si Lacul Fundeni, Tronson V - Zona Lacul Dobroești si Pantelimon)</w:t>
            </w:r>
          </w:p>
        </w:tc>
      </w:tr>
      <w:tr w:rsidR="006B3928" w:rsidRPr="00F171A3" w14:paraId="0D18F6FA" w14:textId="77777777" w:rsidTr="00395D0B">
        <w:tc>
          <w:tcPr>
            <w:tcW w:w="4718" w:type="dxa"/>
            <w:shd w:val="clear" w:color="auto" w:fill="F2F2F2" w:themeFill="background1" w:themeFillShade="F2"/>
          </w:tcPr>
          <w:p w14:paraId="2AF5D868" w14:textId="77777777" w:rsidR="006B3928" w:rsidRPr="00F171A3" w:rsidRDefault="006B3928" w:rsidP="00244806">
            <w:pPr>
              <w:rPr>
                <w:rFonts w:cstheme="minorHAnsi"/>
                <w:sz w:val="20"/>
                <w:szCs w:val="20"/>
              </w:rPr>
            </w:pPr>
            <w:r w:rsidRPr="00F171A3">
              <w:rPr>
                <w:rFonts w:cstheme="minorHAnsi"/>
                <w:sz w:val="20"/>
                <w:szCs w:val="20"/>
              </w:rPr>
              <w:t>Sunt necesare lucrări de modernizare pentru construcțiile aflate în administrarea ADP S2 care constituie infrastructura suport necesară administrării spațiilor verzi din Sectorul 2</w:t>
            </w:r>
          </w:p>
        </w:tc>
        <w:tc>
          <w:tcPr>
            <w:tcW w:w="4349" w:type="dxa"/>
            <w:shd w:val="clear" w:color="auto" w:fill="F2F2F2" w:themeFill="background1" w:themeFillShade="F2"/>
          </w:tcPr>
          <w:p w14:paraId="347BD14B" w14:textId="77777777" w:rsidR="006B3928" w:rsidRPr="00F171A3" w:rsidRDefault="006B3928" w:rsidP="00244806">
            <w:pPr>
              <w:rPr>
                <w:rFonts w:cstheme="minorHAnsi"/>
                <w:sz w:val="20"/>
                <w:szCs w:val="20"/>
              </w:rPr>
            </w:pPr>
            <w:r w:rsidRPr="00F171A3">
              <w:rPr>
                <w:rFonts w:cstheme="minorHAnsi"/>
                <w:sz w:val="20"/>
                <w:szCs w:val="20"/>
              </w:rPr>
              <w:t>Modernizarea infrastructurii suport necesară administrării spațiilor verzi din Sectorul 2: sediul ADP S2, Șos. Electronicii nr. 44, clădirile administrative din Parcurile Tolbuhin, Național și Morarilor, punctul de lucru Str. Andronache nr. 16B, serele și clădirile aferente Pantelimon și Voluntari.</w:t>
            </w:r>
          </w:p>
        </w:tc>
      </w:tr>
      <w:tr w:rsidR="006B3928" w:rsidRPr="00F171A3" w14:paraId="668BF789" w14:textId="77777777" w:rsidTr="00395D0B">
        <w:tc>
          <w:tcPr>
            <w:tcW w:w="4718" w:type="dxa"/>
            <w:shd w:val="clear" w:color="auto" w:fill="F2F2F2" w:themeFill="background1" w:themeFillShade="F2"/>
          </w:tcPr>
          <w:p w14:paraId="11C7884D" w14:textId="77777777" w:rsidR="006B3928" w:rsidRPr="00F171A3" w:rsidRDefault="006B3928" w:rsidP="00244806">
            <w:pPr>
              <w:rPr>
                <w:rFonts w:cstheme="minorHAnsi"/>
                <w:sz w:val="20"/>
                <w:szCs w:val="20"/>
              </w:rPr>
            </w:pPr>
            <w:r w:rsidRPr="00F171A3">
              <w:rPr>
                <w:rFonts w:cstheme="minorHAnsi"/>
                <w:sz w:val="20"/>
                <w:szCs w:val="20"/>
              </w:rPr>
              <w:t>Administrația publică locală se confruntă cu o subutilizare a piețelor agroalimentare (grad mic de ocupare) în principal din cauza amplasării în vecinătatea acestora a unor supermarketuri</w:t>
            </w:r>
          </w:p>
          <w:p w14:paraId="2EC49D48" w14:textId="77777777" w:rsidR="006B3928" w:rsidRPr="00F171A3" w:rsidRDefault="006B3928" w:rsidP="00244806">
            <w:pPr>
              <w:rPr>
                <w:rFonts w:cstheme="minorHAnsi"/>
                <w:sz w:val="20"/>
                <w:szCs w:val="20"/>
              </w:rPr>
            </w:pPr>
            <w:r w:rsidRPr="00F171A3">
              <w:rPr>
                <w:rFonts w:cstheme="minorHAnsi"/>
                <w:sz w:val="20"/>
                <w:szCs w:val="20"/>
              </w:rPr>
              <w:t>Existența unor piețe care necesită operațiuni de modernizare pentru a corespunde normelor de igienă și necesităților comunităților locale</w:t>
            </w:r>
          </w:p>
        </w:tc>
        <w:tc>
          <w:tcPr>
            <w:tcW w:w="4349" w:type="dxa"/>
            <w:shd w:val="clear" w:color="auto" w:fill="F2F2F2" w:themeFill="background1" w:themeFillShade="F2"/>
          </w:tcPr>
          <w:p w14:paraId="47D2AC8C" w14:textId="77777777" w:rsidR="006B3928" w:rsidRPr="00F171A3" w:rsidRDefault="006B3928" w:rsidP="00244806">
            <w:pPr>
              <w:rPr>
                <w:rFonts w:cstheme="minorHAnsi"/>
                <w:sz w:val="20"/>
                <w:szCs w:val="20"/>
              </w:rPr>
            </w:pPr>
            <w:r w:rsidRPr="00F171A3">
              <w:rPr>
                <w:rFonts w:cstheme="minorHAnsi"/>
                <w:sz w:val="20"/>
                <w:szCs w:val="20"/>
              </w:rPr>
              <w:t>Derularea unui proiect pilot de amenajare de spații publice în care pot fi organizate piețe volante, sezoniere sau temporare</w:t>
            </w:r>
          </w:p>
          <w:p w14:paraId="78324515" w14:textId="77777777" w:rsidR="006B3928" w:rsidRPr="00F171A3" w:rsidRDefault="006B3928" w:rsidP="00244806">
            <w:pPr>
              <w:rPr>
                <w:rFonts w:cstheme="minorHAnsi"/>
                <w:sz w:val="20"/>
                <w:szCs w:val="20"/>
              </w:rPr>
            </w:pPr>
            <w:r w:rsidRPr="00F171A3">
              <w:rPr>
                <w:rFonts w:cstheme="minorHAnsi"/>
                <w:sz w:val="20"/>
                <w:szCs w:val="20"/>
              </w:rPr>
              <w:t>Reconversia funcțională a unor spații aferente piețelor agroalimentare – posibilitatea amenajării unei piețe de gros sau integrarea în piețe a unor spații de tip food court.</w:t>
            </w:r>
          </w:p>
          <w:p w14:paraId="3B9128BF" w14:textId="77777777" w:rsidR="006B3928" w:rsidRPr="00F171A3" w:rsidRDefault="006B3928" w:rsidP="00244806">
            <w:pPr>
              <w:rPr>
                <w:rFonts w:cstheme="minorHAnsi"/>
                <w:sz w:val="20"/>
                <w:szCs w:val="20"/>
              </w:rPr>
            </w:pPr>
            <w:r w:rsidRPr="00F171A3">
              <w:rPr>
                <w:rFonts w:cstheme="minorHAnsi"/>
                <w:sz w:val="20"/>
                <w:szCs w:val="20"/>
              </w:rPr>
              <w:t>Dezvoltarea unei platforme de comerț online dedicată comercianților din cadrul piețelor agroalimentare</w:t>
            </w:r>
          </w:p>
          <w:p w14:paraId="4AD4F370" w14:textId="77777777" w:rsidR="006B3928" w:rsidRPr="00F171A3" w:rsidRDefault="006B3928" w:rsidP="00244806">
            <w:pPr>
              <w:rPr>
                <w:rFonts w:cstheme="minorHAnsi"/>
                <w:sz w:val="20"/>
                <w:szCs w:val="20"/>
              </w:rPr>
            </w:pPr>
            <w:r w:rsidRPr="00F171A3">
              <w:rPr>
                <w:rFonts w:cstheme="minorHAnsi"/>
                <w:sz w:val="20"/>
                <w:szCs w:val="20"/>
              </w:rPr>
              <w:t xml:space="preserve">Modernizarea unor piețe agroalimentare de importanță zonală sau sectorială: Piața Galați, Piața Delfinului sau Piața Obor – Hala Terminal. </w:t>
            </w:r>
          </w:p>
        </w:tc>
      </w:tr>
    </w:tbl>
    <w:p w14:paraId="7C088048" w14:textId="77777777" w:rsidR="006B3928" w:rsidRPr="00F171A3" w:rsidRDefault="006B3928" w:rsidP="007F2663">
      <w:pPr>
        <w:pStyle w:val="Normal0"/>
      </w:pPr>
    </w:p>
    <w:tbl>
      <w:tblPr>
        <w:tblStyle w:val="Civittatable"/>
        <w:tblW w:w="9067" w:type="dxa"/>
        <w:tblLook w:val="04A0" w:firstRow="1" w:lastRow="0" w:firstColumn="1" w:lastColumn="0" w:noHBand="0" w:noVBand="1"/>
      </w:tblPr>
      <w:tblGrid>
        <w:gridCol w:w="4493"/>
        <w:gridCol w:w="4574"/>
      </w:tblGrid>
      <w:tr w:rsidR="005E5DA3" w:rsidRPr="00F171A3" w14:paraId="00146F50" w14:textId="77777777" w:rsidTr="00395D0B">
        <w:trPr>
          <w:cnfStyle w:val="100000000000" w:firstRow="1" w:lastRow="0" w:firstColumn="0" w:lastColumn="0" w:oddVBand="0" w:evenVBand="0" w:oddHBand="0" w:evenHBand="0" w:firstRowFirstColumn="0" w:firstRowLastColumn="0" w:lastRowFirstColumn="0" w:lastRowLastColumn="0"/>
        </w:trPr>
        <w:tc>
          <w:tcPr>
            <w:tcW w:w="9067" w:type="dxa"/>
            <w:gridSpan w:val="2"/>
            <w:shd w:val="clear" w:color="auto" w:fill="3CA1BC" w:themeFill="background2"/>
          </w:tcPr>
          <w:p w14:paraId="547AA4E3" w14:textId="77777777" w:rsidR="005E5DA3" w:rsidRPr="00F171A3" w:rsidRDefault="005E5DA3" w:rsidP="00520678">
            <w:pPr>
              <w:spacing w:after="0"/>
              <w:jc w:val="center"/>
              <w:rPr>
                <w:b/>
                <w:bCs/>
                <w:szCs w:val="20"/>
              </w:rPr>
            </w:pPr>
            <w:r w:rsidRPr="00F171A3">
              <w:rPr>
                <w:b/>
                <w:bCs/>
              </w:rPr>
              <w:t>PROFIL SPAȚIAL</w:t>
            </w:r>
          </w:p>
        </w:tc>
      </w:tr>
      <w:tr w:rsidR="005E5DA3" w:rsidRPr="00F171A3" w14:paraId="2A3DECA7" w14:textId="77777777" w:rsidTr="00395D0B">
        <w:trPr>
          <w:cnfStyle w:val="000000100000" w:firstRow="0" w:lastRow="0" w:firstColumn="0" w:lastColumn="0" w:oddVBand="0" w:evenVBand="0" w:oddHBand="1" w:evenHBand="0" w:firstRowFirstColumn="0" w:firstRowLastColumn="0" w:lastRowFirstColumn="0" w:lastRowLastColumn="0"/>
        </w:trPr>
        <w:tc>
          <w:tcPr>
            <w:tcW w:w="4493" w:type="dxa"/>
            <w:shd w:val="clear" w:color="auto" w:fill="134753" w:themeFill="text2"/>
          </w:tcPr>
          <w:p w14:paraId="2AFEF12F" w14:textId="77777777" w:rsidR="005E5DA3" w:rsidRPr="00F171A3" w:rsidRDefault="005E5DA3" w:rsidP="00395D0B">
            <w:pPr>
              <w:jc w:val="center"/>
              <w:rPr>
                <w:b/>
                <w:caps/>
                <w:color w:val="FFFFFF" w:themeColor="background1"/>
                <w:szCs w:val="20"/>
              </w:rPr>
            </w:pPr>
            <w:r w:rsidRPr="00F171A3">
              <w:rPr>
                <w:b/>
                <w:caps/>
                <w:color w:val="FFFFFF" w:themeColor="background1"/>
                <w:szCs w:val="20"/>
              </w:rPr>
              <w:t>CONCLUZII, PROVOCĂRI, ELEMENTE DE POTENȚIAL</w:t>
            </w:r>
          </w:p>
        </w:tc>
        <w:tc>
          <w:tcPr>
            <w:tcW w:w="4574" w:type="dxa"/>
            <w:shd w:val="clear" w:color="auto" w:fill="134753" w:themeFill="text2"/>
          </w:tcPr>
          <w:p w14:paraId="1177567E" w14:textId="77777777" w:rsidR="005E5DA3" w:rsidRPr="00F171A3" w:rsidRDefault="005E5DA3" w:rsidP="00395D0B">
            <w:pPr>
              <w:jc w:val="center"/>
              <w:rPr>
                <w:b/>
                <w:caps/>
                <w:color w:val="FFFFFF" w:themeColor="background1"/>
                <w:szCs w:val="20"/>
              </w:rPr>
            </w:pPr>
            <w:r w:rsidRPr="00F171A3">
              <w:rPr>
                <w:b/>
                <w:caps/>
                <w:color w:val="FFFFFF" w:themeColor="background1"/>
                <w:szCs w:val="20"/>
              </w:rPr>
              <w:t>Posibile intervenții</w:t>
            </w:r>
          </w:p>
        </w:tc>
      </w:tr>
      <w:tr w:rsidR="0023783F" w:rsidRPr="00F171A3" w14:paraId="723A9096" w14:textId="77777777" w:rsidTr="00395D0B">
        <w:trPr>
          <w:cnfStyle w:val="000000010000" w:firstRow="0" w:lastRow="0" w:firstColumn="0" w:lastColumn="0" w:oddVBand="0" w:evenVBand="0" w:oddHBand="0" w:evenHBand="1" w:firstRowFirstColumn="0" w:firstRowLastColumn="0" w:lastRowFirstColumn="0" w:lastRowLastColumn="0"/>
        </w:trPr>
        <w:tc>
          <w:tcPr>
            <w:tcW w:w="4493" w:type="dxa"/>
          </w:tcPr>
          <w:p w14:paraId="24AC8415" w14:textId="570310D3" w:rsidR="0023783F" w:rsidRPr="00F171A3" w:rsidRDefault="0023783F" w:rsidP="0023783F">
            <w:pPr>
              <w:rPr>
                <w:szCs w:val="20"/>
              </w:rPr>
            </w:pPr>
            <w:r w:rsidRPr="00F171A3">
              <w:rPr>
                <w:rFonts w:cstheme="minorHAnsi"/>
              </w:rPr>
              <w:t>Există încă rezerve considerabile de teren care pot fi utilizate pentru noi dotări esențiale pentru calitatea locuirii sau care pot fi transformate în poli de interes de importanță municipală</w:t>
            </w:r>
          </w:p>
        </w:tc>
        <w:tc>
          <w:tcPr>
            <w:tcW w:w="4574" w:type="dxa"/>
          </w:tcPr>
          <w:p w14:paraId="1B6557E2" w14:textId="77777777" w:rsidR="0023783F" w:rsidRPr="00F171A3" w:rsidRDefault="0023783F" w:rsidP="0023783F">
            <w:pPr>
              <w:rPr>
                <w:rFonts w:cstheme="minorHAnsi"/>
              </w:rPr>
            </w:pPr>
            <w:r w:rsidRPr="00F171A3">
              <w:rPr>
                <w:rFonts w:cstheme="minorHAnsi"/>
              </w:rPr>
              <w:t>Realizarea unor proiecte unitare de dezvoltare urbană integrată a unor rezerve de teren și transformarea acestora în poli urbani tematici (educaționali, de agrement, culturali).</w:t>
            </w:r>
          </w:p>
          <w:p w14:paraId="19E93DBD" w14:textId="77777777" w:rsidR="0023783F" w:rsidRPr="00F171A3" w:rsidRDefault="0023783F" w:rsidP="0023783F">
            <w:pPr>
              <w:rPr>
                <w:rFonts w:cstheme="minorHAnsi"/>
              </w:rPr>
            </w:pPr>
            <w:r w:rsidRPr="00F171A3">
              <w:rPr>
                <w:rFonts w:cstheme="minorHAnsi"/>
              </w:rPr>
              <w:t>Atragerea de investitori privați pentru dezvoltarea unor dotări socio-culturale de importanță municipală (ex: Moara lui Assan).</w:t>
            </w:r>
          </w:p>
          <w:p w14:paraId="23F23DD3" w14:textId="77777777" w:rsidR="0023783F" w:rsidRPr="00F171A3" w:rsidRDefault="0023783F" w:rsidP="0023783F">
            <w:pPr>
              <w:rPr>
                <w:rFonts w:cstheme="minorHAnsi"/>
              </w:rPr>
            </w:pPr>
            <w:r w:rsidRPr="00F171A3">
              <w:rPr>
                <w:rFonts w:cstheme="minorHAnsi"/>
              </w:rPr>
              <w:t xml:space="preserve">Implementarea proiectului de regenerare urbană și reconversie a Zonei Gara Obor - Piața Obor, elaborat în colaborare cu Banca Mondială. </w:t>
            </w:r>
          </w:p>
          <w:p w14:paraId="0953E310" w14:textId="1F3A8A0B" w:rsidR="0023783F" w:rsidRPr="00F171A3" w:rsidRDefault="0023783F" w:rsidP="0023783F">
            <w:pPr>
              <w:rPr>
                <w:szCs w:val="20"/>
              </w:rPr>
            </w:pPr>
            <w:r w:rsidRPr="00F171A3">
              <w:rPr>
                <w:rFonts w:cstheme="minorHAnsi"/>
              </w:rPr>
              <w:t>Implementarea unui proiect de dezvoltare a unui pol educațional și de agrement în Zona Pantelimon – Dobroești.</w:t>
            </w:r>
          </w:p>
        </w:tc>
      </w:tr>
      <w:tr w:rsidR="0023783F" w:rsidRPr="00F171A3" w14:paraId="4440DD99" w14:textId="77777777" w:rsidTr="00395D0B">
        <w:trPr>
          <w:cnfStyle w:val="000000100000" w:firstRow="0" w:lastRow="0" w:firstColumn="0" w:lastColumn="0" w:oddVBand="0" w:evenVBand="0" w:oddHBand="1" w:evenHBand="0" w:firstRowFirstColumn="0" w:firstRowLastColumn="0" w:lastRowFirstColumn="0" w:lastRowLastColumn="0"/>
        </w:trPr>
        <w:tc>
          <w:tcPr>
            <w:tcW w:w="4493" w:type="dxa"/>
          </w:tcPr>
          <w:p w14:paraId="4BC9B809" w14:textId="4301E707" w:rsidR="0023783F" w:rsidRPr="00F171A3" w:rsidRDefault="0023783F" w:rsidP="0023783F">
            <w:pPr>
              <w:rPr>
                <w:szCs w:val="20"/>
              </w:rPr>
            </w:pPr>
            <w:r w:rsidRPr="00F171A3">
              <w:rPr>
                <w:rFonts w:cstheme="minorHAnsi"/>
              </w:rPr>
              <w:t>Existența unor dezvoltări imobiliare (ansambluri rezidențiale de mari dimensiuni, zone de birouri) care pun presiune pe infrastructura de circulații și utilități publice</w:t>
            </w:r>
          </w:p>
        </w:tc>
        <w:tc>
          <w:tcPr>
            <w:tcW w:w="4574" w:type="dxa"/>
          </w:tcPr>
          <w:p w14:paraId="14A620B1" w14:textId="5A448611" w:rsidR="0023783F" w:rsidRPr="00F171A3" w:rsidRDefault="0023783F" w:rsidP="0023783F">
            <w:pPr>
              <w:rPr>
                <w:szCs w:val="20"/>
              </w:rPr>
            </w:pPr>
            <w:r w:rsidRPr="00F171A3">
              <w:rPr>
                <w:rFonts w:cstheme="minorHAnsi"/>
              </w:rPr>
              <w:t xml:space="preserve">Realizarea unor parteneriate public-privat în vederea sistematizării infrastructurii de circulații, infrastructurii tehnico-edilitare și realizării de dotări socio-culturale de proximitate/cartier (spații verzi, unități de învățământ, dotări sportive etc) (zonele Fabrica de Glucoză, Pipera – Dimitrie Pompeiu). </w:t>
            </w:r>
          </w:p>
        </w:tc>
      </w:tr>
      <w:tr w:rsidR="0023783F" w:rsidRPr="00F171A3" w14:paraId="0A91F217" w14:textId="77777777" w:rsidTr="00395D0B">
        <w:trPr>
          <w:cnfStyle w:val="000000010000" w:firstRow="0" w:lastRow="0" w:firstColumn="0" w:lastColumn="0" w:oddVBand="0" w:evenVBand="0" w:oddHBand="0" w:evenHBand="1" w:firstRowFirstColumn="0" w:firstRowLastColumn="0" w:lastRowFirstColumn="0" w:lastRowLastColumn="0"/>
        </w:trPr>
        <w:tc>
          <w:tcPr>
            <w:tcW w:w="4493" w:type="dxa"/>
          </w:tcPr>
          <w:p w14:paraId="17324E34" w14:textId="2DDA3D35" w:rsidR="0023783F" w:rsidRPr="00F171A3" w:rsidRDefault="0023783F" w:rsidP="0023783F">
            <w:pPr>
              <w:rPr>
                <w:szCs w:val="20"/>
              </w:rPr>
            </w:pPr>
            <w:r w:rsidRPr="00F171A3">
              <w:rPr>
                <w:rFonts w:cstheme="minorHAnsi"/>
              </w:rPr>
              <w:t>Existența unui fond construit substanțial aferent activităților industriale, abandonat sau nefuncțional</w:t>
            </w:r>
          </w:p>
        </w:tc>
        <w:tc>
          <w:tcPr>
            <w:tcW w:w="4574" w:type="dxa"/>
          </w:tcPr>
          <w:p w14:paraId="7FEEE346" w14:textId="2765ADF3" w:rsidR="0023783F" w:rsidRPr="00F171A3" w:rsidRDefault="0023783F" w:rsidP="0023783F">
            <w:pPr>
              <w:rPr>
                <w:szCs w:val="20"/>
              </w:rPr>
            </w:pPr>
            <w:r w:rsidRPr="00F171A3">
              <w:rPr>
                <w:rFonts w:cstheme="minorHAnsi"/>
              </w:rPr>
              <w:t>Reconversia funcțională a siturilor industriale nefuncționale și utilizarea resurselor de teren în vederea realizării de obiective de utilitate publică;</w:t>
            </w:r>
          </w:p>
        </w:tc>
      </w:tr>
      <w:tr w:rsidR="0023783F" w:rsidRPr="00F171A3" w14:paraId="367F2189" w14:textId="77777777" w:rsidTr="00395D0B">
        <w:trPr>
          <w:cnfStyle w:val="000000100000" w:firstRow="0" w:lastRow="0" w:firstColumn="0" w:lastColumn="0" w:oddVBand="0" w:evenVBand="0" w:oddHBand="1" w:evenHBand="0" w:firstRowFirstColumn="0" w:firstRowLastColumn="0" w:lastRowFirstColumn="0" w:lastRowLastColumn="0"/>
        </w:trPr>
        <w:tc>
          <w:tcPr>
            <w:tcW w:w="4493" w:type="dxa"/>
          </w:tcPr>
          <w:p w14:paraId="50484786" w14:textId="5A024E98" w:rsidR="0023783F" w:rsidRPr="00F171A3" w:rsidRDefault="0023783F" w:rsidP="0023783F">
            <w:pPr>
              <w:rPr>
                <w:rFonts w:cstheme="minorHAnsi"/>
                <w:szCs w:val="20"/>
                <w:lang w:eastAsia="ja-JP"/>
              </w:rPr>
            </w:pPr>
            <w:r w:rsidRPr="00F171A3">
              <w:rPr>
                <w:rFonts w:cstheme="minorHAnsi"/>
              </w:rPr>
              <w:t>Necesitatea întăririi statutului centralităților secundare și a centrelor de cartier prin intermediul dotărilor comunitare</w:t>
            </w:r>
          </w:p>
        </w:tc>
        <w:tc>
          <w:tcPr>
            <w:tcW w:w="4574" w:type="dxa"/>
          </w:tcPr>
          <w:p w14:paraId="5279E10E" w14:textId="77777777" w:rsidR="0023783F" w:rsidRPr="00F171A3" w:rsidRDefault="0023783F" w:rsidP="0023783F">
            <w:pPr>
              <w:rPr>
                <w:rFonts w:cstheme="minorHAnsi"/>
              </w:rPr>
            </w:pPr>
            <w:r w:rsidRPr="00F171A3">
              <w:rPr>
                <w:rFonts w:cstheme="minorHAnsi"/>
              </w:rPr>
              <w:t>Dezvoltarea dotărilor comunitare (centre comunitare/de cartier) în corelare cu rețeaua a de spații publice și cu principalele parcuri existente în Sectorul 2</w:t>
            </w:r>
          </w:p>
          <w:p w14:paraId="28BBB133" w14:textId="77777777" w:rsidR="0023783F" w:rsidRPr="00F171A3" w:rsidRDefault="0023783F" w:rsidP="0023783F">
            <w:pPr>
              <w:rPr>
                <w:rFonts w:cstheme="minorHAnsi"/>
              </w:rPr>
            </w:pPr>
            <w:r w:rsidRPr="00F171A3">
              <w:rPr>
                <w:rFonts w:cstheme="minorHAnsi"/>
              </w:rPr>
              <w:t>Integrarea în principalii poli de dezvoltare urbană a unor dotări comunitare / de cartier sau a unor dotări de interes general (culturale, comerciale, sportive, de agrement etc) de importanță municipală</w:t>
            </w:r>
          </w:p>
          <w:p w14:paraId="7FECB23F" w14:textId="4389C692" w:rsidR="0023783F" w:rsidRPr="00F171A3" w:rsidRDefault="0023783F" w:rsidP="0023783F">
            <w:pPr>
              <w:rPr>
                <w:rFonts w:cstheme="minorHAnsi"/>
                <w:szCs w:val="20"/>
                <w:lang w:eastAsia="ja-JP"/>
              </w:rPr>
            </w:pPr>
            <w:r w:rsidRPr="00F171A3">
              <w:rPr>
                <w:rFonts w:cstheme="minorHAnsi"/>
              </w:rPr>
              <w:t>Organizarea de concursuri internaționale de soluții în vederea realizării de dotări comunitare (centre comunitare, biblioteci etc).</w:t>
            </w:r>
          </w:p>
        </w:tc>
      </w:tr>
      <w:tr w:rsidR="0023783F" w:rsidRPr="00F171A3" w14:paraId="15C22C58" w14:textId="77777777" w:rsidTr="00395D0B">
        <w:trPr>
          <w:cnfStyle w:val="000000010000" w:firstRow="0" w:lastRow="0" w:firstColumn="0" w:lastColumn="0" w:oddVBand="0" w:evenVBand="0" w:oddHBand="0" w:evenHBand="1" w:firstRowFirstColumn="0" w:firstRowLastColumn="0" w:lastRowFirstColumn="0" w:lastRowLastColumn="0"/>
        </w:trPr>
        <w:tc>
          <w:tcPr>
            <w:tcW w:w="4493" w:type="dxa"/>
          </w:tcPr>
          <w:p w14:paraId="4AF56E1C" w14:textId="6BAC0D62" w:rsidR="0023783F" w:rsidRPr="00F171A3" w:rsidRDefault="0023783F" w:rsidP="0023783F">
            <w:pPr>
              <w:rPr>
                <w:rFonts w:cstheme="minorHAnsi"/>
              </w:rPr>
            </w:pPr>
            <w:r w:rsidRPr="00F171A3">
              <w:rPr>
                <w:rFonts w:cstheme="minorHAnsi"/>
              </w:rPr>
              <w:t>Necesitatea dezvoltării bazei de date GIS a Primăriei Sectorului 2 ca suport pentru operațiunile de dezvoltare urbană</w:t>
            </w:r>
          </w:p>
        </w:tc>
        <w:tc>
          <w:tcPr>
            <w:tcW w:w="4574" w:type="dxa"/>
          </w:tcPr>
          <w:p w14:paraId="448DFA25" w14:textId="428A619C" w:rsidR="0023783F" w:rsidRPr="00F171A3" w:rsidRDefault="0023783F" w:rsidP="0023783F">
            <w:pPr>
              <w:rPr>
                <w:rFonts w:cstheme="minorHAnsi"/>
              </w:rPr>
            </w:pPr>
            <w:r w:rsidRPr="00F171A3">
              <w:rPr>
                <w:rFonts w:cstheme="minorHAnsi"/>
              </w:rPr>
              <w:t>Extinderea bazei de date GIS cu reglementările urbanistice aferente documentațiilor de urbanism aprobate pe teritoriul Sectorului 2 (măsură inclusă în planul de acțiune al PS2 aferent anului 2022)</w:t>
            </w:r>
          </w:p>
        </w:tc>
      </w:tr>
      <w:tr w:rsidR="0023783F" w:rsidRPr="00F171A3" w14:paraId="335FDA52" w14:textId="77777777" w:rsidTr="00395D0B">
        <w:trPr>
          <w:cnfStyle w:val="000000100000" w:firstRow="0" w:lastRow="0" w:firstColumn="0" w:lastColumn="0" w:oddVBand="0" w:evenVBand="0" w:oddHBand="1" w:evenHBand="0" w:firstRowFirstColumn="0" w:firstRowLastColumn="0" w:lastRowFirstColumn="0" w:lastRowLastColumn="0"/>
        </w:trPr>
        <w:tc>
          <w:tcPr>
            <w:tcW w:w="4493" w:type="dxa"/>
          </w:tcPr>
          <w:p w14:paraId="0CFAD268" w14:textId="51CF84FF" w:rsidR="0023783F" w:rsidRPr="00F171A3" w:rsidRDefault="0023783F" w:rsidP="0023783F">
            <w:pPr>
              <w:rPr>
                <w:rFonts w:cstheme="minorHAnsi"/>
              </w:rPr>
            </w:pPr>
            <w:r w:rsidRPr="00F171A3">
              <w:rPr>
                <w:rFonts w:cstheme="minorHAnsi"/>
              </w:rPr>
              <w:t>Existența unui substanțial fond construit alcătuit din ansambluri de locuințe colective de mari dimensiuni care necesită intervenții pe multiple paliere în vederea creșterii calității locuirii</w:t>
            </w:r>
          </w:p>
        </w:tc>
        <w:tc>
          <w:tcPr>
            <w:tcW w:w="4574" w:type="dxa"/>
          </w:tcPr>
          <w:p w14:paraId="212E16FC" w14:textId="77777777" w:rsidR="0023783F" w:rsidRPr="00F171A3" w:rsidRDefault="0023783F" w:rsidP="0023783F">
            <w:pPr>
              <w:rPr>
                <w:rFonts w:cstheme="minorHAnsi"/>
              </w:rPr>
            </w:pPr>
            <w:r w:rsidRPr="00F171A3">
              <w:rPr>
                <w:rFonts w:cstheme="minorHAnsi"/>
              </w:rPr>
              <w:t>Continuarea operațiunilor de eficientizare energetică a locuințelor colective.</w:t>
            </w:r>
          </w:p>
          <w:p w14:paraId="00348E0E" w14:textId="77777777" w:rsidR="0023783F" w:rsidRPr="00F171A3" w:rsidRDefault="0023783F" w:rsidP="0023783F">
            <w:pPr>
              <w:rPr>
                <w:rFonts w:cstheme="minorHAnsi"/>
              </w:rPr>
            </w:pPr>
            <w:r w:rsidRPr="00F171A3">
              <w:rPr>
                <w:rFonts w:cstheme="minorHAnsi"/>
                <w:color w:val="000000"/>
              </w:rPr>
              <w:t>Program de acordare de sprijin tehnic asociațiilor de proprietari în vederea realizării de cărți tehnice pentru imobilele de locuințe colective</w:t>
            </w:r>
            <w:r w:rsidRPr="00F171A3">
              <w:rPr>
                <w:rFonts w:cstheme="minorHAnsi"/>
              </w:rPr>
              <w:t>.</w:t>
            </w:r>
          </w:p>
          <w:p w14:paraId="7B3A4DA7" w14:textId="77777777" w:rsidR="0023783F" w:rsidRPr="00F171A3" w:rsidRDefault="0023783F" w:rsidP="0023783F">
            <w:pPr>
              <w:rPr>
                <w:rFonts w:cstheme="minorHAnsi"/>
              </w:rPr>
            </w:pPr>
            <w:r w:rsidRPr="00F171A3">
              <w:rPr>
                <w:rFonts w:cstheme="minorHAnsi"/>
              </w:rPr>
              <w:t xml:space="preserve">Elaborarea, în parteneriat cu OAR, a unui kit/proiect tip de amenajare a intrărilor în blocuri și a casei scări. </w:t>
            </w:r>
          </w:p>
          <w:p w14:paraId="06C20412" w14:textId="77777777" w:rsidR="0023783F" w:rsidRPr="00F171A3" w:rsidRDefault="0023783F" w:rsidP="0023783F">
            <w:pPr>
              <w:rPr>
                <w:rFonts w:cstheme="minorHAnsi"/>
              </w:rPr>
            </w:pPr>
            <w:r w:rsidRPr="00F171A3">
              <w:t>Realizarea unui ghid de intervenții pe fațade pentru lucrările de eficientizare energetică, realizat în parteneriat cu PMB, OAR, celelalte primării de Sector;</w:t>
            </w:r>
          </w:p>
          <w:p w14:paraId="5C22E6E7" w14:textId="77777777" w:rsidR="0023783F" w:rsidRPr="00F171A3" w:rsidRDefault="0023783F" w:rsidP="0023783F">
            <w:pPr>
              <w:rPr>
                <w:rFonts w:cstheme="minorHAnsi"/>
              </w:rPr>
            </w:pPr>
            <w:r w:rsidRPr="00F171A3">
              <w:rPr>
                <w:rFonts w:cstheme="minorHAnsi"/>
              </w:rPr>
              <w:t xml:space="preserve">Implementarea unor proiecte de modernizare a zonelor de acces în blocurile din cadrul marilor ansambluri de locuințe colective, dezvoltate în parteneriat cu comunitatea locală: echiparea blocurilor cu rampe  de acces, reamenajarea zonei casei scării și a zonei de acces. </w:t>
            </w:r>
          </w:p>
          <w:p w14:paraId="420106E2" w14:textId="77777777" w:rsidR="0023783F" w:rsidRPr="00F171A3" w:rsidRDefault="0023783F" w:rsidP="0023783F">
            <w:pPr>
              <w:rPr>
                <w:rFonts w:cstheme="minorHAnsi"/>
                <w:color w:val="000000"/>
              </w:rPr>
            </w:pPr>
            <w:r w:rsidRPr="00F171A3">
              <w:rPr>
                <w:rFonts w:cstheme="minorHAnsi"/>
                <w:color w:val="000000"/>
              </w:rPr>
              <w:t>Program de desființare a ghenelor de gunoi din blocuri, în acord cu decizia Primăriei Municipiului București și de refuncționalizare a acestor spații (se va studia posibilitatea transformării în spații de colectare a deșeurilor reciclabile din hârtie/sticlă).</w:t>
            </w:r>
          </w:p>
          <w:p w14:paraId="3C71D336" w14:textId="77777777" w:rsidR="0023783F" w:rsidRPr="00F171A3" w:rsidRDefault="0023783F" w:rsidP="0023783F">
            <w:pPr>
              <w:rPr>
                <w:rFonts w:cstheme="minorHAnsi"/>
                <w:color w:val="000000"/>
              </w:rPr>
            </w:pPr>
            <w:r w:rsidRPr="00F171A3">
              <w:rPr>
                <w:rFonts w:cstheme="minorHAnsi"/>
                <w:color w:val="000000"/>
              </w:rPr>
              <w:t>Amenajarea de terase verzi pe terasele clădirilor de locuințe colective.</w:t>
            </w:r>
          </w:p>
          <w:p w14:paraId="75C0808D" w14:textId="77777777" w:rsidR="0023783F" w:rsidRPr="00F171A3" w:rsidRDefault="0023783F" w:rsidP="0023783F">
            <w:pPr>
              <w:rPr>
                <w:rFonts w:cstheme="minorHAnsi"/>
              </w:rPr>
            </w:pPr>
            <w:r w:rsidRPr="00F171A3">
              <w:rPr>
                <w:rFonts w:cstheme="minorHAnsi"/>
                <w:color w:val="000000"/>
              </w:rPr>
              <w:t>Amplasarea pe terasele clădirilor de locuințe colective a unor sisteme de producere a energiei electrice din resurse regenerabile: panouri solare sau panouri fotovoltaice</w:t>
            </w:r>
          </w:p>
          <w:p w14:paraId="0D66949C" w14:textId="77777777" w:rsidR="0023783F" w:rsidRPr="00F171A3" w:rsidRDefault="0023783F" w:rsidP="0023783F">
            <w:pPr>
              <w:rPr>
                <w:rFonts w:cstheme="minorHAnsi"/>
              </w:rPr>
            </w:pPr>
          </w:p>
        </w:tc>
      </w:tr>
    </w:tbl>
    <w:p w14:paraId="386652E6" w14:textId="338B7CE8" w:rsidR="0069254D" w:rsidRDefault="0069254D" w:rsidP="007F2663">
      <w:pPr>
        <w:pStyle w:val="Normal0"/>
      </w:pPr>
    </w:p>
    <w:p w14:paraId="09439718" w14:textId="77777777" w:rsidR="000E2E26" w:rsidRPr="00F171A3" w:rsidRDefault="000E2E26" w:rsidP="007F2663">
      <w:pPr>
        <w:pStyle w:val="Normal0"/>
      </w:pPr>
    </w:p>
    <w:tbl>
      <w:tblPr>
        <w:tblStyle w:val="Civittatable"/>
        <w:tblW w:w="5000" w:type="pct"/>
        <w:tblLook w:val="04A0" w:firstRow="1" w:lastRow="0" w:firstColumn="1" w:lastColumn="0" w:noHBand="0" w:noVBand="1"/>
      </w:tblPr>
      <w:tblGrid>
        <w:gridCol w:w="4506"/>
        <w:gridCol w:w="4510"/>
      </w:tblGrid>
      <w:tr w:rsidR="00FF68F8" w:rsidRPr="00F171A3" w14:paraId="09F61300" w14:textId="77777777" w:rsidTr="00395D0B">
        <w:trPr>
          <w:cnfStyle w:val="100000000000" w:firstRow="1" w:lastRow="0" w:firstColumn="0" w:lastColumn="0" w:oddVBand="0" w:evenVBand="0" w:oddHBand="0" w:evenHBand="0" w:firstRowFirstColumn="0" w:firstRowLastColumn="0" w:lastRowFirstColumn="0" w:lastRowLastColumn="0"/>
          <w:trHeight w:val="432"/>
        </w:trPr>
        <w:tc>
          <w:tcPr>
            <w:tcW w:w="5000" w:type="pct"/>
            <w:gridSpan w:val="2"/>
            <w:shd w:val="clear" w:color="auto" w:fill="3CA1BC" w:themeFill="accent3"/>
          </w:tcPr>
          <w:p w14:paraId="41F5B38D" w14:textId="141CD75C" w:rsidR="00FF68F8" w:rsidRPr="00F171A3" w:rsidRDefault="00FF68F8" w:rsidP="00C44C7A">
            <w:pPr>
              <w:jc w:val="center"/>
              <w:rPr>
                <w:b/>
                <w:bCs/>
              </w:rPr>
            </w:pPr>
            <w:r w:rsidRPr="00F171A3">
              <w:rPr>
                <w:b/>
                <w:bCs/>
              </w:rPr>
              <w:t>INFRASTRUCTURA EDILITARĂ &amp; MEDIU ȘI SCHIMBĂRI CLIMATICE</w:t>
            </w:r>
          </w:p>
        </w:tc>
      </w:tr>
      <w:tr w:rsidR="00FF68F8" w:rsidRPr="00F171A3" w14:paraId="69390C7F" w14:textId="77777777" w:rsidTr="00395D0B">
        <w:trPr>
          <w:cnfStyle w:val="000000100000" w:firstRow="0" w:lastRow="0" w:firstColumn="0" w:lastColumn="0" w:oddVBand="0" w:evenVBand="0" w:oddHBand="1" w:evenHBand="0" w:firstRowFirstColumn="0" w:firstRowLastColumn="0" w:lastRowFirstColumn="0" w:lastRowLastColumn="0"/>
          <w:trHeight w:val="451"/>
        </w:trPr>
        <w:tc>
          <w:tcPr>
            <w:tcW w:w="2499" w:type="pct"/>
            <w:shd w:val="clear" w:color="auto" w:fill="134753" w:themeFill="text2"/>
          </w:tcPr>
          <w:p w14:paraId="7DAF7518" w14:textId="0CF10E4F" w:rsidR="00FF68F8" w:rsidRPr="00F171A3" w:rsidRDefault="00395D0B" w:rsidP="00C44C7A">
            <w:pPr>
              <w:jc w:val="center"/>
              <w:rPr>
                <w:b/>
                <w:bCs/>
                <w:color w:val="FFFFFF" w:themeColor="background1"/>
                <w:szCs w:val="20"/>
              </w:rPr>
            </w:pPr>
            <w:r w:rsidRPr="00F171A3">
              <w:rPr>
                <w:b/>
                <w:bCs/>
                <w:color w:val="FFFFFF" w:themeColor="background1"/>
                <w:szCs w:val="20"/>
              </w:rPr>
              <w:t>CONCLUZII, PROVOCĂRI, ELEMENTE DE POTENȚIAL</w:t>
            </w:r>
          </w:p>
        </w:tc>
        <w:tc>
          <w:tcPr>
            <w:tcW w:w="2501" w:type="pct"/>
            <w:shd w:val="clear" w:color="auto" w:fill="134753" w:themeFill="text2"/>
          </w:tcPr>
          <w:p w14:paraId="4F2C1546" w14:textId="6B560E2C" w:rsidR="00FF68F8" w:rsidRPr="00F171A3" w:rsidRDefault="00395D0B" w:rsidP="00C44C7A">
            <w:pPr>
              <w:jc w:val="center"/>
              <w:rPr>
                <w:b/>
                <w:bCs/>
                <w:color w:val="FFFFFF" w:themeColor="background1"/>
                <w:szCs w:val="20"/>
              </w:rPr>
            </w:pPr>
            <w:r w:rsidRPr="00F171A3">
              <w:rPr>
                <w:b/>
                <w:bCs/>
                <w:color w:val="FFFFFF" w:themeColor="background1"/>
                <w:szCs w:val="20"/>
              </w:rPr>
              <w:t>POSIBILE INTERVENȚII</w:t>
            </w:r>
          </w:p>
        </w:tc>
      </w:tr>
      <w:tr w:rsidR="00FF68F8" w:rsidRPr="00F171A3" w14:paraId="3D9B93B2" w14:textId="77777777" w:rsidTr="00395D0B">
        <w:trPr>
          <w:cnfStyle w:val="000000010000" w:firstRow="0" w:lastRow="0" w:firstColumn="0" w:lastColumn="0" w:oddVBand="0" w:evenVBand="0" w:oddHBand="0" w:evenHBand="1" w:firstRowFirstColumn="0" w:firstRowLastColumn="0" w:lastRowFirstColumn="0" w:lastRowLastColumn="0"/>
          <w:trHeight w:val="205"/>
        </w:trPr>
        <w:tc>
          <w:tcPr>
            <w:tcW w:w="2499" w:type="pct"/>
          </w:tcPr>
          <w:p w14:paraId="4CA15DD2" w14:textId="77777777" w:rsidR="00FF68F8" w:rsidRPr="00F171A3" w:rsidRDefault="00FF68F8" w:rsidP="00C44C7A">
            <w:pPr>
              <w:rPr>
                <w:szCs w:val="20"/>
              </w:rPr>
            </w:pPr>
            <w:r w:rsidRPr="00F171A3">
              <w:rPr>
                <w:szCs w:val="20"/>
              </w:rPr>
              <w:t>O parte din componentele infrastructurii de transport și distribuție a energiei electrice sunt într-o stare avansată de uzură tehnică: LES 110 kV Fundeni – Pipera, punctele de alimentare și 90 % din posturile de transformare din sector.</w:t>
            </w:r>
          </w:p>
        </w:tc>
        <w:tc>
          <w:tcPr>
            <w:tcW w:w="2501" w:type="pct"/>
          </w:tcPr>
          <w:p w14:paraId="65991A87" w14:textId="77777777" w:rsidR="00FF68F8" w:rsidRPr="00F171A3" w:rsidRDefault="00FF68F8" w:rsidP="00C44C7A">
            <w:pPr>
              <w:rPr>
                <w:szCs w:val="20"/>
              </w:rPr>
            </w:pPr>
            <w:r w:rsidRPr="00F171A3">
              <w:rPr>
                <w:szCs w:val="20"/>
              </w:rPr>
              <w:t>Modernizarea rețelelor de transport și distribuție a energiei electrice din sector.</w:t>
            </w:r>
          </w:p>
        </w:tc>
      </w:tr>
      <w:tr w:rsidR="00FF68F8" w:rsidRPr="00F171A3" w14:paraId="03D700B1" w14:textId="77777777" w:rsidTr="00395D0B">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147DE7A9" w14:textId="77777777" w:rsidR="00FF68F8" w:rsidRPr="00F171A3" w:rsidRDefault="00FF68F8" w:rsidP="00C44C7A">
            <w:pPr>
              <w:rPr>
                <w:szCs w:val="20"/>
              </w:rPr>
            </w:pPr>
            <w:r w:rsidRPr="00F171A3">
              <w:rPr>
                <w:szCs w:val="20"/>
              </w:rPr>
              <w:t>Numărul mare de întreruperi ale furnizării agentului termic, din cauza gradului avansat de uzură al instalației și a lipsei investițiilor în sistemul de alimentare centralizată cu energie termică.</w:t>
            </w:r>
          </w:p>
        </w:tc>
        <w:tc>
          <w:tcPr>
            <w:tcW w:w="2501" w:type="pct"/>
          </w:tcPr>
          <w:p w14:paraId="3D2D099F" w14:textId="77777777" w:rsidR="00FF68F8" w:rsidRPr="00F171A3" w:rsidRDefault="00FF68F8" w:rsidP="00C44C7A">
            <w:pPr>
              <w:rPr>
                <w:szCs w:val="20"/>
              </w:rPr>
            </w:pPr>
            <w:r w:rsidRPr="00F171A3">
              <w:rPr>
                <w:szCs w:val="20"/>
              </w:rPr>
              <w:t>Reabilitarea rețelelor principale și secundare de termoficare de pe teritoriul sectorului 2.</w:t>
            </w:r>
          </w:p>
        </w:tc>
      </w:tr>
      <w:tr w:rsidR="00FF68F8" w:rsidRPr="00F171A3" w14:paraId="6FE12EBA" w14:textId="77777777" w:rsidTr="00395D0B">
        <w:trPr>
          <w:cnfStyle w:val="000000010000" w:firstRow="0" w:lastRow="0" w:firstColumn="0" w:lastColumn="0" w:oddVBand="0" w:evenVBand="0" w:oddHBand="0" w:evenHBand="1" w:firstRowFirstColumn="0" w:firstRowLastColumn="0" w:lastRowFirstColumn="0" w:lastRowLastColumn="0"/>
          <w:trHeight w:val="383"/>
        </w:trPr>
        <w:tc>
          <w:tcPr>
            <w:tcW w:w="2499" w:type="pct"/>
          </w:tcPr>
          <w:p w14:paraId="6A42374D" w14:textId="77777777" w:rsidR="00FF68F8" w:rsidRPr="00F171A3" w:rsidRDefault="00FF68F8" w:rsidP="00C44C7A">
            <w:pPr>
              <w:rPr>
                <w:szCs w:val="20"/>
              </w:rPr>
            </w:pPr>
            <w:r w:rsidRPr="00F171A3">
              <w:rPr>
                <w:szCs w:val="20"/>
              </w:rPr>
              <w:t>Deși deservește cea mai mare parte a sectorului, rețeaua de alimentare cu apă prezintă pierderi de peste 20 % din cauza uzurii mari a rețelei, a vechimii acesteia și a materialelor folosite.</w:t>
            </w:r>
          </w:p>
        </w:tc>
        <w:tc>
          <w:tcPr>
            <w:tcW w:w="2501" w:type="pct"/>
          </w:tcPr>
          <w:p w14:paraId="09507D3C" w14:textId="77777777" w:rsidR="00FF68F8" w:rsidRPr="00F171A3" w:rsidRDefault="00FF68F8" w:rsidP="00C44C7A">
            <w:pPr>
              <w:rPr>
                <w:szCs w:val="20"/>
              </w:rPr>
            </w:pPr>
            <w:r w:rsidRPr="00F171A3">
              <w:rPr>
                <w:szCs w:val="20"/>
              </w:rPr>
              <w:t>Înlocuirea rețelelor principale și secundare de apă, în special cele din fontă și fontă ductilă (din zona centrală și din cartierele Tei și Floreasca).</w:t>
            </w:r>
          </w:p>
        </w:tc>
      </w:tr>
      <w:tr w:rsidR="00FF68F8" w:rsidRPr="00F171A3" w14:paraId="562FD631" w14:textId="77777777" w:rsidTr="00395D0B">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2CCA7DCC" w14:textId="5503F101" w:rsidR="00FF68F8" w:rsidRPr="00F171A3" w:rsidRDefault="00FF68F8" w:rsidP="00C44C7A">
            <w:pPr>
              <w:rPr>
                <w:szCs w:val="20"/>
              </w:rPr>
            </w:pPr>
            <w:r w:rsidRPr="00F171A3">
              <w:rPr>
                <w:szCs w:val="20"/>
              </w:rPr>
              <w:t xml:space="preserve">Majoritatea rețelelor de </w:t>
            </w:r>
            <w:r w:rsidR="00C66438" w:rsidRPr="00F171A3">
              <w:rPr>
                <w:szCs w:val="20"/>
              </w:rPr>
              <w:t>canalizare</w:t>
            </w:r>
            <w:r w:rsidRPr="00F171A3">
              <w:rPr>
                <w:szCs w:val="20"/>
              </w:rPr>
              <w:t xml:space="preserve"> sunt construite din beton simplu sau beton armat (localizate preponderent în zona centrală și în marile cartiere de locuit), fiind în general mai vechi de 50 de ani.</w:t>
            </w:r>
          </w:p>
        </w:tc>
        <w:tc>
          <w:tcPr>
            <w:tcW w:w="2501" w:type="pct"/>
          </w:tcPr>
          <w:p w14:paraId="6F48C80F" w14:textId="77777777" w:rsidR="00FF68F8" w:rsidRPr="00F171A3" w:rsidRDefault="00FF68F8" w:rsidP="00C44C7A">
            <w:pPr>
              <w:rPr>
                <w:szCs w:val="20"/>
              </w:rPr>
            </w:pPr>
            <w:r w:rsidRPr="00F171A3">
              <w:rPr>
                <w:szCs w:val="20"/>
              </w:rPr>
              <w:t>Reabilitarea / înlocuirea rețelei de canalizare cu vechime de peste 50 de ani.</w:t>
            </w:r>
          </w:p>
        </w:tc>
      </w:tr>
      <w:tr w:rsidR="00FF68F8" w:rsidRPr="00F171A3" w14:paraId="10D40E67" w14:textId="77777777" w:rsidTr="00395D0B">
        <w:trPr>
          <w:cnfStyle w:val="000000010000" w:firstRow="0" w:lastRow="0" w:firstColumn="0" w:lastColumn="0" w:oddVBand="0" w:evenVBand="0" w:oddHBand="0" w:evenHBand="1" w:firstRowFirstColumn="0" w:firstRowLastColumn="0" w:lastRowFirstColumn="0" w:lastRowLastColumn="0"/>
          <w:trHeight w:val="383"/>
        </w:trPr>
        <w:tc>
          <w:tcPr>
            <w:tcW w:w="2499" w:type="pct"/>
          </w:tcPr>
          <w:p w14:paraId="043901A0" w14:textId="77777777" w:rsidR="00FF68F8" w:rsidRPr="00F171A3" w:rsidRDefault="00FF68F8" w:rsidP="00C44C7A">
            <w:pPr>
              <w:rPr>
                <w:szCs w:val="20"/>
              </w:rPr>
            </w:pPr>
            <w:r w:rsidRPr="00F171A3">
              <w:rPr>
                <w:szCs w:val="20"/>
              </w:rPr>
              <w:t>În cartierele Baicului, Ion Creangă și Andronache nu există o deservire suficientă cu rețele de telecomunicații (fibră optică) și rețele de distribuție a gazelor naturale (Andronache și Ion Creangă).</w:t>
            </w:r>
          </w:p>
        </w:tc>
        <w:tc>
          <w:tcPr>
            <w:tcW w:w="2501" w:type="pct"/>
          </w:tcPr>
          <w:p w14:paraId="1A001937" w14:textId="77777777" w:rsidR="00FF68F8" w:rsidRPr="00F171A3" w:rsidRDefault="00FF68F8" w:rsidP="00C44C7A">
            <w:pPr>
              <w:rPr>
                <w:szCs w:val="20"/>
              </w:rPr>
            </w:pPr>
            <w:r w:rsidRPr="00F171A3">
              <w:rPr>
                <w:szCs w:val="20"/>
              </w:rPr>
              <w:t>Extinderea rețelelor de telecomunicații și de distribuție a gazelor naturale.</w:t>
            </w:r>
          </w:p>
        </w:tc>
      </w:tr>
      <w:tr w:rsidR="00FF68F8" w:rsidRPr="00F171A3" w14:paraId="7B64F960" w14:textId="77777777" w:rsidTr="00395D0B">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32393A78" w14:textId="77777777" w:rsidR="00FF68F8" w:rsidRPr="00F171A3" w:rsidRDefault="00FF68F8" w:rsidP="00C44C7A">
            <w:pPr>
              <w:rPr>
                <w:szCs w:val="20"/>
              </w:rPr>
            </w:pPr>
            <w:r w:rsidRPr="00F171A3">
              <w:rPr>
                <w:szCs w:val="20"/>
              </w:rPr>
              <w:t>Infrastructura slabă de colectare separată a deșeurilor determină o rată scăzută de reciclare a deșeurilor municipale colectate de la populație și agenți economici.</w:t>
            </w:r>
          </w:p>
        </w:tc>
        <w:tc>
          <w:tcPr>
            <w:tcW w:w="2501" w:type="pct"/>
          </w:tcPr>
          <w:p w14:paraId="5884D825" w14:textId="77777777" w:rsidR="00FF68F8" w:rsidRPr="00F171A3" w:rsidRDefault="00FF68F8" w:rsidP="00C44C7A">
            <w:pPr>
              <w:rPr>
                <w:szCs w:val="20"/>
              </w:rPr>
            </w:pPr>
            <w:r w:rsidRPr="00F171A3">
              <w:rPr>
                <w:szCs w:val="20"/>
              </w:rPr>
              <w:t>Dezvoltarea sistemului de colectare selectivă a deșeurilor, pe 3 fracții reciclabile, în special în zonele de locuințe colective unde în prezent nu există un sistem de monitorizare a modului în care populația realizează colectarea separată.</w:t>
            </w:r>
          </w:p>
        </w:tc>
      </w:tr>
      <w:tr w:rsidR="00FF68F8" w:rsidRPr="00F171A3" w14:paraId="232A29FE" w14:textId="77777777" w:rsidTr="00395D0B">
        <w:trPr>
          <w:cnfStyle w:val="000000010000" w:firstRow="0" w:lastRow="0" w:firstColumn="0" w:lastColumn="0" w:oddVBand="0" w:evenVBand="0" w:oddHBand="0" w:evenHBand="1" w:firstRowFirstColumn="0" w:firstRowLastColumn="0" w:lastRowFirstColumn="0" w:lastRowLastColumn="0"/>
          <w:trHeight w:val="383"/>
        </w:trPr>
        <w:tc>
          <w:tcPr>
            <w:tcW w:w="2499" w:type="pct"/>
          </w:tcPr>
          <w:p w14:paraId="6BBFD454" w14:textId="77777777" w:rsidR="00FF68F8" w:rsidRPr="00F171A3" w:rsidRDefault="00FF68F8" w:rsidP="00C44C7A">
            <w:pPr>
              <w:rPr>
                <w:szCs w:val="20"/>
              </w:rPr>
            </w:pPr>
            <w:r w:rsidRPr="00F171A3">
              <w:rPr>
                <w:szCs w:val="20"/>
              </w:rPr>
              <w:t>Sectorul 2 este deosebit de vulnerabil în cazul unui seism major, având 100 de clădiri expertizate și încadrate în clasa de risc seismic I.</w:t>
            </w:r>
          </w:p>
        </w:tc>
        <w:tc>
          <w:tcPr>
            <w:tcW w:w="2501" w:type="pct"/>
          </w:tcPr>
          <w:p w14:paraId="39418F7B" w14:textId="77777777" w:rsidR="00FF68F8" w:rsidRPr="00F171A3" w:rsidRDefault="00FF68F8" w:rsidP="00C44C7A">
            <w:pPr>
              <w:rPr>
                <w:szCs w:val="20"/>
              </w:rPr>
            </w:pPr>
            <w:r w:rsidRPr="00F171A3">
              <w:rPr>
                <w:szCs w:val="20"/>
              </w:rPr>
              <w:t>Consolidarea clădirilor cu risc seismic, cu prioritizarea clădirilor publice și a celor de locuințe colective.</w:t>
            </w:r>
          </w:p>
        </w:tc>
      </w:tr>
      <w:tr w:rsidR="00FF68F8" w:rsidRPr="00F171A3" w14:paraId="5831C5C5" w14:textId="77777777" w:rsidTr="00395D0B">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2399B39E" w14:textId="77777777" w:rsidR="00FF68F8" w:rsidRPr="00F171A3" w:rsidRDefault="00FF68F8" w:rsidP="00C44C7A">
            <w:pPr>
              <w:rPr>
                <w:szCs w:val="20"/>
              </w:rPr>
            </w:pPr>
            <w:r w:rsidRPr="00F171A3">
              <w:rPr>
                <w:szCs w:val="20"/>
              </w:rPr>
              <w:t>Există o tendință de creștere a temperaturii medii anuale și a numărului de zile tropicale, fapt ce indică și o posibilă creștere a riscului valurilor de căldură. De altfel, temperaturile sunt mai ridicate în zona centrală decât la periferie, ca urmare a efectului de insulă de căldură urbană.</w:t>
            </w:r>
          </w:p>
        </w:tc>
        <w:tc>
          <w:tcPr>
            <w:tcW w:w="2501" w:type="pct"/>
          </w:tcPr>
          <w:p w14:paraId="5A8C6CAB" w14:textId="77777777" w:rsidR="00FF68F8" w:rsidRPr="00F171A3" w:rsidRDefault="00FF68F8" w:rsidP="00C44C7A">
            <w:pPr>
              <w:rPr>
                <w:szCs w:val="20"/>
              </w:rPr>
            </w:pPr>
            <w:r w:rsidRPr="00F171A3">
              <w:rPr>
                <w:szCs w:val="20"/>
              </w:rPr>
              <w:t>Atenuarea efectelor insulei de căldură urbană prin extinderea spațiilor verzi și reducerea impermeabilizării solurilor.</w:t>
            </w:r>
          </w:p>
        </w:tc>
      </w:tr>
      <w:tr w:rsidR="00FF68F8" w:rsidRPr="00F171A3" w14:paraId="1EF61431" w14:textId="77777777" w:rsidTr="00395D0B">
        <w:trPr>
          <w:cnfStyle w:val="000000010000" w:firstRow="0" w:lastRow="0" w:firstColumn="0" w:lastColumn="0" w:oddVBand="0" w:evenVBand="0" w:oddHBand="0" w:evenHBand="1" w:firstRowFirstColumn="0" w:firstRowLastColumn="0" w:lastRowFirstColumn="0" w:lastRowLastColumn="0"/>
          <w:trHeight w:val="383"/>
        </w:trPr>
        <w:tc>
          <w:tcPr>
            <w:tcW w:w="2499" w:type="pct"/>
          </w:tcPr>
          <w:p w14:paraId="087CF4C1" w14:textId="77777777" w:rsidR="00FF68F8" w:rsidRPr="00F171A3" w:rsidRDefault="00FF68F8" w:rsidP="00C44C7A">
            <w:pPr>
              <w:rPr>
                <w:szCs w:val="20"/>
              </w:rPr>
            </w:pPr>
            <w:r w:rsidRPr="00F171A3">
              <w:rPr>
                <w:szCs w:val="20"/>
              </w:rPr>
              <w:t>Pentru circa 20 % din blocurile de locuințe din sector și circa 27 % din clădirile publice nu au fost realizate demersuri pentru eficientizarea energetică.</w:t>
            </w:r>
          </w:p>
        </w:tc>
        <w:tc>
          <w:tcPr>
            <w:tcW w:w="2501" w:type="pct"/>
          </w:tcPr>
          <w:p w14:paraId="3CC64FF4" w14:textId="77777777" w:rsidR="00FF68F8" w:rsidRPr="00F171A3" w:rsidRDefault="00FF68F8" w:rsidP="00C44C7A">
            <w:pPr>
              <w:rPr>
                <w:szCs w:val="20"/>
              </w:rPr>
            </w:pPr>
            <w:r w:rsidRPr="00F171A3">
              <w:rPr>
                <w:szCs w:val="20"/>
              </w:rPr>
              <w:t>Eficientizarea energetică a fondului construit din sector: blocuri de locuințe și clădiri publice.</w:t>
            </w:r>
          </w:p>
        </w:tc>
      </w:tr>
      <w:tr w:rsidR="00FF68F8" w:rsidRPr="00F171A3" w14:paraId="2F6E0DDC" w14:textId="77777777" w:rsidTr="00395D0B">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61715964" w14:textId="77777777" w:rsidR="00FF68F8" w:rsidRPr="00F171A3" w:rsidRDefault="00FF68F8" w:rsidP="00C44C7A">
            <w:pPr>
              <w:rPr>
                <w:szCs w:val="20"/>
              </w:rPr>
            </w:pPr>
            <w:r w:rsidRPr="00F171A3">
              <w:rPr>
                <w:szCs w:val="20"/>
              </w:rPr>
              <w:t>Traficul rutier reprezintă cea mai importantă sursă de degradare a calității aerului, contribuind direct sau indirect cu mai mult de 60 % la poluarea aerului din capitală. La stația B-3 Mihai Bravu s-au înregistrat depășiri ale valorilor limită anuale la concentrația medie de dioxid de azot în ultimii 5 ani, principala sursă fiind traficul rutier.</w:t>
            </w:r>
          </w:p>
        </w:tc>
        <w:tc>
          <w:tcPr>
            <w:tcW w:w="2501" w:type="pct"/>
          </w:tcPr>
          <w:p w14:paraId="547F3701" w14:textId="77777777" w:rsidR="00FF68F8" w:rsidRPr="00F171A3" w:rsidRDefault="00FF68F8" w:rsidP="00C44C7A">
            <w:pPr>
              <w:rPr>
                <w:szCs w:val="20"/>
              </w:rPr>
            </w:pPr>
            <w:r w:rsidRPr="00F171A3">
              <w:rPr>
                <w:szCs w:val="20"/>
              </w:rPr>
              <w:t>Adoptarea unor soluții de descurajare a traficului rutier, în special în zona centrală, și prioritizarea investițiilor în serviciile de transport public și în infrastructura pentru deplasări blânde (pietoni, biciclete).</w:t>
            </w:r>
          </w:p>
        </w:tc>
      </w:tr>
      <w:tr w:rsidR="00FF68F8" w:rsidRPr="00F171A3" w14:paraId="60A9C61A" w14:textId="77777777" w:rsidTr="00395D0B">
        <w:trPr>
          <w:cnfStyle w:val="000000010000" w:firstRow="0" w:lastRow="0" w:firstColumn="0" w:lastColumn="0" w:oddVBand="0" w:evenVBand="0" w:oddHBand="0" w:evenHBand="1" w:firstRowFirstColumn="0" w:firstRowLastColumn="0" w:lastRowFirstColumn="0" w:lastRowLastColumn="0"/>
          <w:trHeight w:val="383"/>
        </w:trPr>
        <w:tc>
          <w:tcPr>
            <w:tcW w:w="2499" w:type="pct"/>
          </w:tcPr>
          <w:p w14:paraId="2C168B5D" w14:textId="77777777" w:rsidR="00FF68F8" w:rsidRPr="00F171A3" w:rsidRDefault="00FF68F8" w:rsidP="00C44C7A">
            <w:pPr>
              <w:rPr>
                <w:szCs w:val="20"/>
              </w:rPr>
            </w:pPr>
            <w:r w:rsidRPr="00F171A3">
              <w:rPr>
                <w:szCs w:val="20"/>
              </w:rPr>
              <w:t>Calitatea corpurilor de apă de suprafață a fost una moderată pentru perioada 2015 – 2021 atât pentru râul Colentina, cât și pentru Valea Saulei.</w:t>
            </w:r>
          </w:p>
        </w:tc>
        <w:tc>
          <w:tcPr>
            <w:tcW w:w="2501" w:type="pct"/>
          </w:tcPr>
          <w:p w14:paraId="77ED2B79" w14:textId="77777777" w:rsidR="00FF68F8" w:rsidRPr="00F171A3" w:rsidRDefault="00FF68F8" w:rsidP="00C44C7A">
            <w:pPr>
              <w:rPr>
                <w:szCs w:val="20"/>
              </w:rPr>
            </w:pPr>
            <w:r w:rsidRPr="00F171A3">
              <w:rPr>
                <w:szCs w:val="20"/>
              </w:rPr>
              <w:t>Curățarea sedimentelor din cuvetele lacurilor și intervenții pentru diminuarea surselor de degradare a factorilor de mediu din zona malurilor de lac.</w:t>
            </w:r>
          </w:p>
        </w:tc>
      </w:tr>
      <w:tr w:rsidR="00FF68F8" w:rsidRPr="00F171A3" w14:paraId="412420AD" w14:textId="77777777" w:rsidTr="00395D0B">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6C21CB1A" w14:textId="77777777" w:rsidR="00FF68F8" w:rsidRPr="00F171A3" w:rsidRDefault="00FF68F8" w:rsidP="00C44C7A">
            <w:pPr>
              <w:rPr>
                <w:szCs w:val="20"/>
              </w:rPr>
            </w:pPr>
            <w:r w:rsidRPr="00F171A3">
              <w:rPr>
                <w:szCs w:val="20"/>
              </w:rPr>
              <w:t>Zona salbei de lacuri reprezintă o competență distinctivă a Sectorului 2, insuficient valorificată în prezent.</w:t>
            </w:r>
          </w:p>
        </w:tc>
        <w:tc>
          <w:tcPr>
            <w:tcW w:w="2501" w:type="pct"/>
          </w:tcPr>
          <w:p w14:paraId="6779A7B8" w14:textId="77777777" w:rsidR="00FF68F8" w:rsidRPr="00F171A3" w:rsidRDefault="00FF68F8" w:rsidP="00C44C7A">
            <w:pPr>
              <w:rPr>
                <w:szCs w:val="20"/>
              </w:rPr>
            </w:pPr>
            <w:r w:rsidRPr="00F171A3">
              <w:rPr>
                <w:szCs w:val="20"/>
              </w:rPr>
              <w:t>Crearea infrastructurii verde-albastre de-a lungul salbei de lacuri, inclusiv Valea Saulei.</w:t>
            </w:r>
          </w:p>
        </w:tc>
      </w:tr>
      <w:tr w:rsidR="00FF68F8" w:rsidRPr="00F171A3" w14:paraId="1365025A" w14:textId="77777777" w:rsidTr="00395D0B">
        <w:trPr>
          <w:cnfStyle w:val="000000010000" w:firstRow="0" w:lastRow="0" w:firstColumn="0" w:lastColumn="0" w:oddVBand="0" w:evenVBand="0" w:oddHBand="0" w:evenHBand="1" w:firstRowFirstColumn="0" w:firstRowLastColumn="0" w:lastRowFirstColumn="0" w:lastRowLastColumn="0"/>
          <w:trHeight w:val="383"/>
        </w:trPr>
        <w:tc>
          <w:tcPr>
            <w:tcW w:w="2499" w:type="pct"/>
          </w:tcPr>
          <w:p w14:paraId="220656BB" w14:textId="720B4005" w:rsidR="00FF68F8" w:rsidRPr="00F171A3" w:rsidRDefault="00FF68F8" w:rsidP="00C44C7A">
            <w:pPr>
              <w:rPr>
                <w:szCs w:val="20"/>
              </w:rPr>
            </w:pPr>
            <w:r w:rsidRPr="00F171A3">
              <w:rPr>
                <w:szCs w:val="20"/>
              </w:rPr>
              <w:t xml:space="preserve">Sectorul 2 prezintă cele mai mici valori dintre sectoarele </w:t>
            </w:r>
            <w:r w:rsidR="00050FAA" w:rsidRPr="00F171A3">
              <w:rPr>
                <w:szCs w:val="20"/>
              </w:rPr>
              <w:t>m</w:t>
            </w:r>
            <w:r w:rsidRPr="00F171A3">
              <w:rPr>
                <w:szCs w:val="20"/>
              </w:rPr>
              <w:t>unicipiului București atât în ceea ce privește suprafața de spațiu verde per cap de locuitor (12,43 mp), cât și în ceea ce privește numărul de arbori per locuitor 0,55.</w:t>
            </w:r>
          </w:p>
        </w:tc>
        <w:tc>
          <w:tcPr>
            <w:tcW w:w="2501" w:type="pct"/>
          </w:tcPr>
          <w:p w14:paraId="6839FB27" w14:textId="77777777" w:rsidR="00FF68F8" w:rsidRPr="00F171A3" w:rsidRDefault="00FF68F8" w:rsidP="00C44C7A">
            <w:pPr>
              <w:rPr>
                <w:szCs w:val="20"/>
              </w:rPr>
            </w:pPr>
            <w:r w:rsidRPr="00F171A3">
              <w:rPr>
                <w:szCs w:val="20"/>
              </w:rPr>
              <w:t>Extinderea suprafețelor se spații verzi și amenajarea și întreținerea corespunzătoare a spațiilor verzi existente (cu plantarea de noi arbori în zonele ce permit acest lucru).</w:t>
            </w:r>
          </w:p>
        </w:tc>
      </w:tr>
      <w:tr w:rsidR="00662018" w:rsidRPr="00F171A3" w14:paraId="0ABA2E2A" w14:textId="77777777" w:rsidTr="00395D0B">
        <w:trPr>
          <w:cnfStyle w:val="000000100000" w:firstRow="0" w:lastRow="0" w:firstColumn="0" w:lastColumn="0" w:oddVBand="0" w:evenVBand="0" w:oddHBand="1" w:evenHBand="0" w:firstRowFirstColumn="0" w:firstRowLastColumn="0" w:lastRowFirstColumn="0" w:lastRowLastColumn="0"/>
          <w:trHeight w:val="383"/>
        </w:trPr>
        <w:tc>
          <w:tcPr>
            <w:tcW w:w="2499" w:type="pct"/>
          </w:tcPr>
          <w:p w14:paraId="45A1050C" w14:textId="77777777" w:rsidR="00662018" w:rsidRDefault="00662018" w:rsidP="00C44C7A">
            <w:pPr>
              <w:rPr>
                <w:szCs w:val="20"/>
              </w:rPr>
            </w:pPr>
            <w:r>
              <w:rPr>
                <w:szCs w:val="20"/>
              </w:rPr>
              <w:t>Nevoia</w:t>
            </w:r>
            <w:r w:rsidRPr="00662018">
              <w:rPr>
                <w:szCs w:val="20"/>
              </w:rPr>
              <w:t xml:space="preserve"> tranziției către economia circulară trebuie să fie însoțită de acțiuni concrete care să permită recondiționarea deșeurilor și educarea populației privind producția și consumul responsabile</w:t>
            </w:r>
            <w:r>
              <w:rPr>
                <w:szCs w:val="20"/>
              </w:rPr>
              <w:t>.</w:t>
            </w:r>
          </w:p>
          <w:p w14:paraId="42CBE76A" w14:textId="1FA670C6" w:rsidR="00662018" w:rsidRPr="00F171A3" w:rsidRDefault="00662018" w:rsidP="00C44C7A">
            <w:pPr>
              <w:rPr>
                <w:szCs w:val="20"/>
              </w:rPr>
            </w:pPr>
          </w:p>
        </w:tc>
        <w:tc>
          <w:tcPr>
            <w:tcW w:w="2501" w:type="pct"/>
          </w:tcPr>
          <w:p w14:paraId="2379979D" w14:textId="582EE95E" w:rsidR="00662018" w:rsidRPr="00F171A3" w:rsidRDefault="00662018" w:rsidP="00C44C7A">
            <w:pPr>
              <w:rPr>
                <w:szCs w:val="20"/>
              </w:rPr>
            </w:pPr>
            <w:r>
              <w:rPr>
                <w:szCs w:val="20"/>
              </w:rPr>
              <w:t xml:space="preserve">Campanii pentru populație în scopul promovării consumului responsabil. </w:t>
            </w:r>
            <w:r w:rsidRPr="00662018">
              <w:rPr>
                <w:szCs w:val="20"/>
              </w:rPr>
              <w:t>Dezvoltarea de centre de colectare și recondiționare deșeuri</w:t>
            </w:r>
            <w:r>
              <w:rPr>
                <w:szCs w:val="20"/>
              </w:rPr>
              <w:t>. Parteneriate cu ONG-uri care recondiționează deșeuri.</w:t>
            </w:r>
          </w:p>
        </w:tc>
      </w:tr>
    </w:tbl>
    <w:p w14:paraId="0C4730EE" w14:textId="77777777" w:rsidR="0069254D" w:rsidRPr="00F171A3" w:rsidRDefault="0069254D" w:rsidP="007F2663">
      <w:pPr>
        <w:pStyle w:val="Normal0"/>
      </w:pPr>
    </w:p>
    <w:tbl>
      <w:tblPr>
        <w:tblStyle w:val="Civittatable"/>
        <w:tblW w:w="0" w:type="auto"/>
        <w:tblLook w:val="04A0" w:firstRow="1" w:lastRow="0" w:firstColumn="1" w:lastColumn="0" w:noHBand="0" w:noVBand="1"/>
      </w:tblPr>
      <w:tblGrid>
        <w:gridCol w:w="4508"/>
        <w:gridCol w:w="4508"/>
      </w:tblGrid>
      <w:tr w:rsidR="00816D08" w:rsidRPr="00F171A3" w14:paraId="2657372A" w14:textId="77777777" w:rsidTr="00520678">
        <w:trPr>
          <w:cnfStyle w:val="100000000000" w:firstRow="1" w:lastRow="0" w:firstColumn="0" w:lastColumn="0" w:oddVBand="0" w:evenVBand="0" w:oddHBand="0" w:evenHBand="0" w:firstRowFirstColumn="0" w:firstRowLastColumn="0" w:lastRowFirstColumn="0" w:lastRowLastColumn="0"/>
        </w:trPr>
        <w:tc>
          <w:tcPr>
            <w:tcW w:w="9436" w:type="dxa"/>
            <w:gridSpan w:val="2"/>
            <w:shd w:val="clear" w:color="auto" w:fill="3CA1BC" w:themeFill="background2"/>
          </w:tcPr>
          <w:p w14:paraId="5AFC9118" w14:textId="570B8AA6" w:rsidR="00816D08" w:rsidRPr="00F171A3" w:rsidRDefault="00816D08" w:rsidP="00520678">
            <w:pPr>
              <w:spacing w:after="0"/>
              <w:jc w:val="center"/>
              <w:rPr>
                <w:b/>
                <w:szCs w:val="20"/>
              </w:rPr>
            </w:pPr>
            <w:r w:rsidRPr="00F171A3">
              <w:rPr>
                <w:b/>
                <w:szCs w:val="20"/>
              </w:rPr>
              <w:t>MOBILITATE</w:t>
            </w:r>
            <w:r w:rsidR="00395D0B" w:rsidRPr="00F171A3">
              <w:rPr>
                <w:b/>
                <w:szCs w:val="20"/>
              </w:rPr>
              <w:t xml:space="preserve"> ȘI CONECTIVITATE</w:t>
            </w:r>
          </w:p>
        </w:tc>
      </w:tr>
      <w:tr w:rsidR="00816D08" w:rsidRPr="00F171A3" w14:paraId="2ABD3DC6"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shd w:val="clear" w:color="auto" w:fill="134753" w:themeFill="text2"/>
          </w:tcPr>
          <w:p w14:paraId="7AEC10E2" w14:textId="77777777" w:rsidR="00816D08" w:rsidRPr="00F171A3" w:rsidRDefault="00816D08" w:rsidP="00395D0B">
            <w:pPr>
              <w:jc w:val="center"/>
              <w:rPr>
                <w:b/>
                <w:caps/>
                <w:color w:val="FFFFFF" w:themeColor="background1"/>
                <w:szCs w:val="20"/>
              </w:rPr>
            </w:pPr>
            <w:r w:rsidRPr="00F171A3">
              <w:rPr>
                <w:b/>
                <w:caps/>
                <w:color w:val="FFFFFF" w:themeColor="background1"/>
                <w:szCs w:val="20"/>
              </w:rPr>
              <w:t>CONCLUZII, PROVOCĂRI, ELEMENTE DE POTENȚIAL</w:t>
            </w:r>
          </w:p>
        </w:tc>
        <w:tc>
          <w:tcPr>
            <w:tcW w:w="4718" w:type="dxa"/>
            <w:shd w:val="clear" w:color="auto" w:fill="134753" w:themeFill="text2"/>
          </w:tcPr>
          <w:p w14:paraId="4D50AB02" w14:textId="77777777" w:rsidR="00816D08" w:rsidRPr="00F171A3" w:rsidRDefault="00816D08" w:rsidP="00395D0B">
            <w:pPr>
              <w:jc w:val="center"/>
              <w:rPr>
                <w:b/>
                <w:caps/>
                <w:color w:val="FFFFFF" w:themeColor="background1"/>
                <w:szCs w:val="20"/>
              </w:rPr>
            </w:pPr>
            <w:r w:rsidRPr="00F171A3">
              <w:rPr>
                <w:b/>
                <w:caps/>
                <w:color w:val="FFFFFF" w:themeColor="background1"/>
                <w:szCs w:val="20"/>
              </w:rPr>
              <w:t>Posibile intervenții</w:t>
            </w:r>
          </w:p>
        </w:tc>
      </w:tr>
      <w:tr w:rsidR="00816D08" w:rsidRPr="00F171A3" w14:paraId="55BB4A58"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38F7AACC" w14:textId="7C9D3071" w:rsidR="00816D08" w:rsidRPr="00F171A3" w:rsidRDefault="00816D08" w:rsidP="00816D08">
            <w:r w:rsidRPr="00F171A3">
              <w:t xml:space="preserve">Calitatea redusă a anumitor străzi secundare și locale din Sectorul 2. </w:t>
            </w:r>
          </w:p>
        </w:tc>
        <w:tc>
          <w:tcPr>
            <w:tcW w:w="4718" w:type="dxa"/>
          </w:tcPr>
          <w:p w14:paraId="35586BC4" w14:textId="77777777" w:rsidR="00816D08" w:rsidRPr="00F171A3" w:rsidRDefault="00816D08" w:rsidP="00816D08">
            <w:r w:rsidRPr="00F171A3">
              <w:t xml:space="preserve">Modernizarea tuturor străzilor din Sectorul 2 aflate în administrarea acestuia. </w:t>
            </w:r>
          </w:p>
          <w:p w14:paraId="10603419" w14:textId="1C2B1CD7" w:rsidR="00816D08" w:rsidRPr="00F171A3" w:rsidRDefault="00816D08" w:rsidP="00816D08">
            <w:r w:rsidRPr="00F171A3">
              <w:t xml:space="preserve">Asigurarea amenajării infrastructurii rutiere corespunzătoare în zona noilor dezvoltări rezidențiale. </w:t>
            </w:r>
          </w:p>
        </w:tc>
      </w:tr>
      <w:tr w:rsidR="00816D08" w:rsidRPr="00F171A3" w14:paraId="50BB9357"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0D1FF2B4" w14:textId="3CFE2764" w:rsidR="00816D08" w:rsidRPr="00F171A3" w:rsidRDefault="00816D08" w:rsidP="00816D08">
            <w:r w:rsidRPr="00F171A3">
              <w:t xml:space="preserve">Probleme de conectivitate cauzate de legăturile reduse pe direcția nord-est – sud-vest, rezultând în congestie majoră pe șos. Colentina și arterele adiacente.  </w:t>
            </w:r>
          </w:p>
        </w:tc>
        <w:tc>
          <w:tcPr>
            <w:tcW w:w="4718" w:type="dxa"/>
          </w:tcPr>
          <w:p w14:paraId="7D3A0582" w14:textId="77777777" w:rsidR="00816D08" w:rsidRPr="00F171A3" w:rsidRDefault="00816D08" w:rsidP="00816D08">
            <w:r w:rsidRPr="00F171A3">
              <w:t xml:space="preserve">Crearea unor noi legături pe direcția nord-est – sud-vest. </w:t>
            </w:r>
          </w:p>
          <w:p w14:paraId="35F258CB" w14:textId="77777777" w:rsidR="00816D08" w:rsidRPr="00F171A3" w:rsidRDefault="00816D08" w:rsidP="00816D08">
            <w:r w:rsidRPr="00F171A3">
              <w:t xml:space="preserve">Fluidizarea traficului prin implementarea proiectelor de poduri și pasaje, care să reducă presiunea pe arterele principale. </w:t>
            </w:r>
          </w:p>
          <w:p w14:paraId="1DAEA9FA" w14:textId="2D45344C" w:rsidR="00816D08" w:rsidRPr="00F171A3" w:rsidRDefault="00816D08" w:rsidP="00816D08">
            <w:r w:rsidRPr="00F171A3">
              <w:t xml:space="preserve">Conturarea unor trasee alternative pentru optimizarea traficului în sector. </w:t>
            </w:r>
          </w:p>
        </w:tc>
      </w:tr>
      <w:tr w:rsidR="00816D08" w:rsidRPr="00F171A3" w14:paraId="4F875309"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4710614C" w14:textId="52F40533" w:rsidR="00816D08" w:rsidRPr="00F171A3" w:rsidRDefault="00816D08" w:rsidP="00816D08">
            <w:r w:rsidRPr="00F171A3">
              <w:t xml:space="preserve">Indice de motorizare ridicat, aflat în continuă creștere, în conformitate cu tendințele de la nivelul capitalei, dar și de la nivel național.  </w:t>
            </w:r>
          </w:p>
        </w:tc>
        <w:tc>
          <w:tcPr>
            <w:tcW w:w="4718" w:type="dxa"/>
          </w:tcPr>
          <w:p w14:paraId="5A7181A4" w14:textId="76785B34" w:rsidR="00816D08" w:rsidRPr="00F171A3" w:rsidRDefault="00816D08" w:rsidP="00816D08">
            <w:r w:rsidRPr="00F171A3">
              <w:t xml:space="preserve">Descurajarea utilizării autovehiculelor personale pentru deplasările pe distanțe scurte și medii – ex. tarifare, interzicere acces în zona centrală, îmbunătățire transport public local, îmbunătățire infrastructură nemotorizată etc. </w:t>
            </w:r>
          </w:p>
        </w:tc>
      </w:tr>
      <w:tr w:rsidR="00816D08" w:rsidRPr="00F171A3" w14:paraId="6AA00002"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2B942049" w14:textId="024FC664" w:rsidR="00816D08" w:rsidRPr="00F171A3" w:rsidRDefault="00816D08" w:rsidP="00816D08">
            <w:r w:rsidRPr="00F171A3">
              <w:t xml:space="preserve">Multiple parcări neregulamentare pe trotuar și pe prima bandă a carosabilului ca urmare a cererii ridicate de locuri de parcare. </w:t>
            </w:r>
          </w:p>
        </w:tc>
        <w:tc>
          <w:tcPr>
            <w:tcW w:w="4718" w:type="dxa"/>
          </w:tcPr>
          <w:p w14:paraId="497A9E67" w14:textId="77777777" w:rsidR="00816D08" w:rsidRPr="00F171A3" w:rsidRDefault="00816D08" w:rsidP="00816D08">
            <w:r w:rsidRPr="00F171A3">
              <w:t>Amenajarea parcărilor de reședință multietajate (supraterane / subterane).</w:t>
            </w:r>
          </w:p>
          <w:p w14:paraId="001BB87B" w14:textId="77777777" w:rsidR="00816D08" w:rsidRPr="00F171A3" w:rsidRDefault="00816D08" w:rsidP="00816D08">
            <w:r w:rsidRPr="00F171A3">
              <w:t xml:space="preserve">Creșterea tarifelor amenzilor pentru parcări neregulamentare și sporirea controalelor. </w:t>
            </w:r>
          </w:p>
          <w:p w14:paraId="6CA75620" w14:textId="4280EFBF" w:rsidR="00816D08" w:rsidRPr="00F171A3" w:rsidRDefault="00816D08" w:rsidP="00816D08">
            <w:r w:rsidRPr="00F171A3">
              <w:t xml:space="preserve">Amenajarea unor locuri de parcare dedicate pentru vizitatori. </w:t>
            </w:r>
          </w:p>
        </w:tc>
      </w:tr>
      <w:tr w:rsidR="00816D08" w:rsidRPr="00F171A3" w14:paraId="4CAA022E"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172D4CA2" w14:textId="677A3A8B" w:rsidR="00816D08" w:rsidRPr="00F171A3" w:rsidRDefault="00816D08" w:rsidP="00816D08">
            <w:r w:rsidRPr="00F171A3">
              <w:t xml:space="preserve">Parcări de transfer (park&amp;ride) inexistente pe teritoriul Sectorului 2.  </w:t>
            </w:r>
          </w:p>
        </w:tc>
        <w:tc>
          <w:tcPr>
            <w:tcW w:w="4718" w:type="dxa"/>
          </w:tcPr>
          <w:p w14:paraId="5724CBA6" w14:textId="77777777" w:rsidR="00816D08" w:rsidRPr="00F171A3" w:rsidRDefault="00816D08" w:rsidP="00816D08">
            <w:r w:rsidRPr="00F171A3">
              <w:t xml:space="preserve">Punerea în funcțiune a parcării de transfer din zona Cora Pantelimon. </w:t>
            </w:r>
          </w:p>
          <w:p w14:paraId="3FE198A7" w14:textId="39A58163" w:rsidR="00816D08" w:rsidRPr="00F171A3" w:rsidRDefault="00816D08" w:rsidP="00816D08">
            <w:r w:rsidRPr="00F171A3">
              <w:t xml:space="preserve">Amenajarea de noi parcări de tip park&amp;ride la intrările în Sectorul 2, corelate cu infrastructura de transport public local. </w:t>
            </w:r>
          </w:p>
        </w:tc>
      </w:tr>
      <w:tr w:rsidR="00816D08" w:rsidRPr="00F171A3" w14:paraId="2CF5E9B7"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31226B70" w14:textId="1D6183E4" w:rsidR="00816D08" w:rsidRPr="00F171A3" w:rsidRDefault="00816D08" w:rsidP="00816D08">
            <w:r w:rsidRPr="00F171A3">
              <w:t xml:space="preserve">Siguranță scăzută în trafic, rezultând într-un număr ridicat de accidente rutiere.  </w:t>
            </w:r>
          </w:p>
        </w:tc>
        <w:tc>
          <w:tcPr>
            <w:tcW w:w="4718" w:type="dxa"/>
          </w:tcPr>
          <w:p w14:paraId="410D7BE6" w14:textId="77777777" w:rsidR="00816D08" w:rsidRPr="00F171A3" w:rsidRDefault="00816D08" w:rsidP="00816D08">
            <w:r w:rsidRPr="00F171A3">
              <w:t xml:space="preserve">Semnalizarea și marcarea corespunzătoare a tuturor intersecțiilor și străzilor din Sectorul 2. </w:t>
            </w:r>
          </w:p>
          <w:p w14:paraId="3D56F7A1" w14:textId="77777777" w:rsidR="00816D08" w:rsidRPr="00F171A3" w:rsidRDefault="00816D08" w:rsidP="00816D08">
            <w:r w:rsidRPr="00F171A3">
              <w:t xml:space="preserve">Optimizarea semaforizării în intersecțiile periculoase. </w:t>
            </w:r>
          </w:p>
          <w:p w14:paraId="10808188" w14:textId="4C66A37E" w:rsidR="00816D08" w:rsidRPr="00F171A3" w:rsidRDefault="00816D08" w:rsidP="00816D08">
            <w:r w:rsidRPr="00F171A3">
              <w:t xml:space="preserve">Dezvoltarea infrastructurii nemotorizate specifice pentru creștere siguranței în trafic a persoanelor vulnerabile. </w:t>
            </w:r>
          </w:p>
        </w:tc>
      </w:tr>
      <w:tr w:rsidR="00816D08" w:rsidRPr="00F171A3" w14:paraId="10C05E6F"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69BB5EE9" w14:textId="189B07F8" w:rsidR="00816D08" w:rsidRPr="00F171A3" w:rsidRDefault="00816D08" w:rsidP="00816D08">
            <w:r w:rsidRPr="00F171A3">
              <w:t xml:space="preserve">Stațiile de transport public local de suprafață nu sunt suficient de bine dotate pentru facilitarea utilizării de către populație. </w:t>
            </w:r>
          </w:p>
        </w:tc>
        <w:tc>
          <w:tcPr>
            <w:tcW w:w="4718" w:type="dxa"/>
          </w:tcPr>
          <w:p w14:paraId="0E8D7DDA" w14:textId="77777777" w:rsidR="00816D08" w:rsidRPr="00F171A3" w:rsidRDefault="00816D08" w:rsidP="00816D08">
            <w:r w:rsidRPr="00F171A3">
              <w:t xml:space="preserve">Afișarea hărții și orarului STB în stațiile de transport public local. </w:t>
            </w:r>
          </w:p>
          <w:p w14:paraId="6521D5FB" w14:textId="77777777" w:rsidR="00816D08" w:rsidRPr="00F171A3" w:rsidRDefault="00816D08" w:rsidP="00816D08">
            <w:r w:rsidRPr="00F171A3">
              <w:t xml:space="preserve">Achiziția și amplasarea panourilor digitale pentru stațiile de transport public local. </w:t>
            </w:r>
          </w:p>
          <w:p w14:paraId="543502FC" w14:textId="5E1AEA74" w:rsidR="00816D08" w:rsidRPr="00F171A3" w:rsidRDefault="00816D08" w:rsidP="00816D08">
            <w:r w:rsidRPr="00F171A3">
              <w:t xml:space="preserve">Amenajarea stațiilor de transport public local aflate în stare precară. </w:t>
            </w:r>
          </w:p>
        </w:tc>
      </w:tr>
      <w:tr w:rsidR="00816D08" w:rsidRPr="00F171A3" w14:paraId="4ED2BB98"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3EF3767B" w14:textId="49A15009" w:rsidR="00816D08" w:rsidRPr="00F171A3" w:rsidRDefault="00816D08" w:rsidP="00816D08">
            <w:r w:rsidRPr="00F171A3">
              <w:t xml:space="preserve">Transportul public subteran nu deservește întreg teritoriul Sectorului 2.  </w:t>
            </w:r>
          </w:p>
        </w:tc>
        <w:tc>
          <w:tcPr>
            <w:tcW w:w="4718" w:type="dxa"/>
          </w:tcPr>
          <w:p w14:paraId="1D152254" w14:textId="4C8858B0" w:rsidR="00816D08" w:rsidRPr="00F171A3" w:rsidRDefault="00816D08" w:rsidP="00816D08">
            <w:r w:rsidRPr="00F171A3">
              <w:t xml:space="preserve">Implementarea proiectelor de extindere a metroului pe teritoriul municipiului București – magistrala 7 Voluntari – Bragadiru, magistrala 5 (continuare) Eroilor – Pantelimon și magistrala 2 (extensie) Pipera – Petricani.  </w:t>
            </w:r>
          </w:p>
        </w:tc>
      </w:tr>
      <w:tr w:rsidR="00816D08" w:rsidRPr="00F171A3" w14:paraId="11A98F70"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05739036" w14:textId="25BF359A" w:rsidR="00816D08" w:rsidRPr="00F171A3" w:rsidRDefault="00816D08" w:rsidP="00816D08">
            <w:r w:rsidRPr="00F171A3">
              <w:t>Legăturile de transport public local către obiectivele de interes nu sunt optimizate.</w:t>
            </w:r>
          </w:p>
        </w:tc>
        <w:tc>
          <w:tcPr>
            <w:tcW w:w="4718" w:type="dxa"/>
          </w:tcPr>
          <w:p w14:paraId="33780A5F" w14:textId="77777777" w:rsidR="00816D08" w:rsidRPr="00F171A3" w:rsidRDefault="00816D08" w:rsidP="00816D08">
            <w:r w:rsidRPr="00F171A3">
              <w:t xml:space="preserve">Reabilitarea liniilor de tramvai degradate de pe teritoriul Sectorului 2. </w:t>
            </w:r>
          </w:p>
          <w:p w14:paraId="1F32A58C" w14:textId="77777777" w:rsidR="00816D08" w:rsidRPr="00F171A3" w:rsidRDefault="00816D08" w:rsidP="00816D08">
            <w:r w:rsidRPr="00F171A3">
              <w:t xml:space="preserve">Creșterea frecvenței transportului public local către zonele de interes (ex. zonele de birouri). </w:t>
            </w:r>
          </w:p>
          <w:p w14:paraId="3D7020DD" w14:textId="7505A6D3" w:rsidR="00816D08" w:rsidRPr="00F171A3" w:rsidRDefault="00816D08" w:rsidP="00816D08">
            <w:r w:rsidRPr="00F171A3">
              <w:t xml:space="preserve">Optimizarea legăturilor către zona centrală (inclusiv trasee noi, modificare trasee existente etc.). </w:t>
            </w:r>
          </w:p>
        </w:tc>
      </w:tr>
      <w:tr w:rsidR="00816D08" w:rsidRPr="00F171A3" w14:paraId="7A7EF97B"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1121DCB5" w14:textId="74DDEAFB" w:rsidR="00816D08" w:rsidRPr="00F171A3" w:rsidRDefault="00816D08" w:rsidP="00816D08">
            <w:r w:rsidRPr="00F171A3">
              <w:t xml:space="preserve">Există zone cu probleme de conectivitate pentru pietoni, acestea fiind conturate în zonele industriale rămase în teritoriu, precum și în zona căii ferate (zona Gara Obor). </w:t>
            </w:r>
          </w:p>
        </w:tc>
        <w:tc>
          <w:tcPr>
            <w:tcW w:w="4718" w:type="dxa"/>
          </w:tcPr>
          <w:p w14:paraId="008C829E" w14:textId="77777777" w:rsidR="00816D08" w:rsidRPr="00F171A3" w:rsidRDefault="00816D08" w:rsidP="00816D08">
            <w:r w:rsidRPr="00F171A3">
              <w:t xml:space="preserve">Conversia funcțională a zonelor industriale și reconfigurarea tramei stradale locale în cadrul acestora, cu prioritizarea intervențiilor pentru infrastructură pietonală. </w:t>
            </w:r>
          </w:p>
          <w:p w14:paraId="297B9C60" w14:textId="77777777" w:rsidR="00816D08" w:rsidRPr="00F171A3" w:rsidRDefault="00816D08" w:rsidP="00816D08">
            <w:r w:rsidRPr="00F171A3">
              <w:t xml:space="preserve">Modernizarea pasarelei pietonale peste linia de cale ferată din zona Gării Obor. </w:t>
            </w:r>
          </w:p>
          <w:p w14:paraId="5B1CCA05" w14:textId="062AD277" w:rsidR="00816D08" w:rsidRPr="00F171A3" w:rsidRDefault="00816D08" w:rsidP="00816D08">
            <w:r w:rsidRPr="00F171A3">
              <w:t xml:space="preserve">Amenajarea de noi pasarele / pasaje pietonale peste / pe sub liniile de cale ferată aferente Gării Obor. </w:t>
            </w:r>
          </w:p>
        </w:tc>
      </w:tr>
      <w:tr w:rsidR="00816D08" w:rsidRPr="00F171A3" w14:paraId="342B4E5A" w14:textId="77777777" w:rsidTr="00520678">
        <w:trPr>
          <w:cnfStyle w:val="000000010000" w:firstRow="0" w:lastRow="0" w:firstColumn="0" w:lastColumn="0" w:oddVBand="0" w:evenVBand="0" w:oddHBand="0" w:evenHBand="1" w:firstRowFirstColumn="0" w:firstRowLastColumn="0" w:lastRowFirstColumn="0" w:lastRowLastColumn="0"/>
        </w:trPr>
        <w:tc>
          <w:tcPr>
            <w:tcW w:w="4718" w:type="dxa"/>
          </w:tcPr>
          <w:p w14:paraId="2957312C" w14:textId="384EB461" w:rsidR="00816D08" w:rsidRPr="00F171A3" w:rsidRDefault="00816D08" w:rsidP="00816D08">
            <w:r w:rsidRPr="00F171A3">
              <w:t xml:space="preserve">Calitate redusă a infrastructurii pietonale în anumite zone din sector.  </w:t>
            </w:r>
          </w:p>
        </w:tc>
        <w:tc>
          <w:tcPr>
            <w:tcW w:w="4718" w:type="dxa"/>
          </w:tcPr>
          <w:p w14:paraId="3E6AC56E" w14:textId="565806F1" w:rsidR="00816D08" w:rsidRPr="00F171A3" w:rsidRDefault="00816D08" w:rsidP="00816D08">
            <w:r w:rsidRPr="00F171A3">
              <w:t xml:space="preserve">Modernizarea trotuarelor aferente străzilor din Sectorul 2 aflate în administrarea acestuia. </w:t>
            </w:r>
          </w:p>
          <w:p w14:paraId="2124DEC9" w14:textId="77777777" w:rsidR="00816D08" w:rsidRPr="00F171A3" w:rsidRDefault="00816D08" w:rsidP="00816D08">
            <w:r w:rsidRPr="00F171A3">
              <w:t xml:space="preserve">Reconfigurarea profilului stradal în zonele cu trotuare subdimensionate (ex. amenajare sensuri unice, amenajare străzi rezidențiale / ocazional carosabile etc.). </w:t>
            </w:r>
          </w:p>
          <w:p w14:paraId="110627A3" w14:textId="1E8385FC" w:rsidR="00816D08" w:rsidRPr="00F171A3" w:rsidRDefault="00816D08" w:rsidP="00816D08">
            <w:r w:rsidRPr="00F171A3">
              <w:t xml:space="preserve">Dezvoltarea infrastructurii pietonale în sector (pietonalizare străzi). </w:t>
            </w:r>
          </w:p>
        </w:tc>
      </w:tr>
      <w:tr w:rsidR="00816D08" w:rsidRPr="00F171A3" w14:paraId="07EFC9C2" w14:textId="77777777" w:rsidTr="00520678">
        <w:trPr>
          <w:cnfStyle w:val="000000100000" w:firstRow="0" w:lastRow="0" w:firstColumn="0" w:lastColumn="0" w:oddVBand="0" w:evenVBand="0" w:oddHBand="1" w:evenHBand="0" w:firstRowFirstColumn="0" w:firstRowLastColumn="0" w:lastRowFirstColumn="0" w:lastRowLastColumn="0"/>
        </w:trPr>
        <w:tc>
          <w:tcPr>
            <w:tcW w:w="4718" w:type="dxa"/>
          </w:tcPr>
          <w:p w14:paraId="12201D5F" w14:textId="36B7DA88" w:rsidR="00816D08" w:rsidRPr="00F171A3" w:rsidRDefault="00816D08" w:rsidP="00816D08">
            <w:r w:rsidRPr="00F171A3">
              <w:t xml:space="preserve">Nu există o rețea coerentă de piste de biciclete în Sectorul 2.  </w:t>
            </w:r>
          </w:p>
        </w:tc>
        <w:tc>
          <w:tcPr>
            <w:tcW w:w="4718" w:type="dxa"/>
          </w:tcPr>
          <w:p w14:paraId="46475FE8" w14:textId="77777777" w:rsidR="00816D08" w:rsidRPr="00F171A3" w:rsidRDefault="00816D08" w:rsidP="00816D08">
            <w:r w:rsidRPr="00F171A3">
              <w:t xml:space="preserve">Amenajare piste de biciclete în Sectorul 2 pentru a asigura legătura către principalele zone de interes. </w:t>
            </w:r>
          </w:p>
          <w:p w14:paraId="3B373294" w14:textId="77777777" w:rsidR="00816D08" w:rsidRPr="00F171A3" w:rsidRDefault="00816D08" w:rsidP="00816D08">
            <w:r w:rsidRPr="00F171A3">
              <w:t xml:space="preserve">Extinderea sistemului de bike-sharing către mai multe zone din Sectorul 2. </w:t>
            </w:r>
          </w:p>
          <w:p w14:paraId="4F9C35CD" w14:textId="77777777" w:rsidR="00816D08" w:rsidRPr="00F171A3" w:rsidRDefault="00816D08" w:rsidP="00816D08">
            <w:r w:rsidRPr="00F171A3">
              <w:t xml:space="preserve">Amenajarea dotărilor conexe necesare (ex. puncte de reparații, parcări de biciclete, centre de închiriere etc.) în zonele cheie din Sectorul 2 (ex. zona centrală, zona de birouri din nord, zona Obor etc.). </w:t>
            </w:r>
          </w:p>
          <w:p w14:paraId="75137EAE" w14:textId="36C8D1BD" w:rsidR="00816D08" w:rsidRPr="00F171A3" w:rsidRDefault="00816D08" w:rsidP="00816D08">
            <w:r w:rsidRPr="00F171A3">
              <w:t xml:space="preserve">Amenajarea parcărilor de biciclete securizate în cartierele de locuințe colective. </w:t>
            </w:r>
          </w:p>
        </w:tc>
      </w:tr>
    </w:tbl>
    <w:p w14:paraId="035C8ABE" w14:textId="77777777" w:rsidR="00816D08" w:rsidRPr="00F171A3" w:rsidRDefault="00816D08" w:rsidP="007F2663">
      <w:pPr>
        <w:pStyle w:val="Normal0"/>
      </w:pPr>
    </w:p>
    <w:tbl>
      <w:tblPr>
        <w:tblStyle w:val="Civittatable"/>
        <w:tblW w:w="0" w:type="auto"/>
        <w:tblLook w:val="04A0" w:firstRow="1" w:lastRow="0" w:firstColumn="1" w:lastColumn="0" w:noHBand="0" w:noVBand="1"/>
      </w:tblPr>
      <w:tblGrid>
        <w:gridCol w:w="4494"/>
        <w:gridCol w:w="4522"/>
      </w:tblGrid>
      <w:tr w:rsidR="00873E24" w:rsidRPr="00F171A3" w14:paraId="6557598A" w14:textId="77777777" w:rsidTr="00414DE2">
        <w:trPr>
          <w:cnfStyle w:val="100000000000" w:firstRow="1" w:lastRow="0" w:firstColumn="0" w:lastColumn="0" w:oddVBand="0" w:evenVBand="0" w:oddHBand="0" w:evenHBand="0" w:firstRowFirstColumn="0" w:firstRowLastColumn="0" w:lastRowFirstColumn="0" w:lastRowLastColumn="0"/>
        </w:trPr>
        <w:tc>
          <w:tcPr>
            <w:tcW w:w="9016" w:type="dxa"/>
            <w:gridSpan w:val="2"/>
            <w:shd w:val="clear" w:color="auto" w:fill="3CA1BC" w:themeFill="background2"/>
          </w:tcPr>
          <w:p w14:paraId="4C0E8D81" w14:textId="644640A9" w:rsidR="00873E24" w:rsidRPr="00F171A3" w:rsidRDefault="006B37D7" w:rsidP="00520678">
            <w:pPr>
              <w:spacing w:after="0"/>
              <w:jc w:val="center"/>
              <w:rPr>
                <w:b/>
                <w:bCs/>
                <w:szCs w:val="20"/>
              </w:rPr>
            </w:pPr>
            <w:r w:rsidRPr="00F171A3">
              <w:rPr>
                <w:b/>
                <w:bCs/>
              </w:rPr>
              <w:t>capacitate administrativă</w:t>
            </w:r>
          </w:p>
        </w:tc>
      </w:tr>
      <w:tr w:rsidR="00873E24" w:rsidRPr="00F171A3" w14:paraId="13EBABCC" w14:textId="77777777" w:rsidTr="00414DE2">
        <w:trPr>
          <w:cnfStyle w:val="000000100000" w:firstRow="0" w:lastRow="0" w:firstColumn="0" w:lastColumn="0" w:oddVBand="0" w:evenVBand="0" w:oddHBand="1" w:evenHBand="0" w:firstRowFirstColumn="0" w:firstRowLastColumn="0" w:lastRowFirstColumn="0" w:lastRowLastColumn="0"/>
        </w:trPr>
        <w:tc>
          <w:tcPr>
            <w:tcW w:w="4494" w:type="dxa"/>
            <w:shd w:val="clear" w:color="auto" w:fill="134753" w:themeFill="text2"/>
          </w:tcPr>
          <w:p w14:paraId="6312EE81" w14:textId="77777777" w:rsidR="00873E24" w:rsidRPr="00F171A3" w:rsidRDefault="00873E24" w:rsidP="00395D0B">
            <w:pPr>
              <w:jc w:val="center"/>
              <w:rPr>
                <w:b/>
                <w:caps/>
                <w:color w:val="FFFFFF" w:themeColor="background1"/>
                <w:szCs w:val="20"/>
              </w:rPr>
            </w:pPr>
            <w:r w:rsidRPr="00F171A3">
              <w:rPr>
                <w:b/>
                <w:caps/>
                <w:color w:val="FFFFFF" w:themeColor="background1"/>
                <w:szCs w:val="20"/>
              </w:rPr>
              <w:t>CONCLUZII, PROVOCĂRI, ELEMENTE DE POTENȚIAL</w:t>
            </w:r>
          </w:p>
        </w:tc>
        <w:tc>
          <w:tcPr>
            <w:tcW w:w="4522" w:type="dxa"/>
            <w:shd w:val="clear" w:color="auto" w:fill="134753" w:themeFill="text2"/>
          </w:tcPr>
          <w:p w14:paraId="6854AFDD" w14:textId="77777777" w:rsidR="00873E24" w:rsidRPr="00F171A3" w:rsidRDefault="00873E24" w:rsidP="00395D0B">
            <w:pPr>
              <w:jc w:val="center"/>
              <w:rPr>
                <w:b/>
                <w:caps/>
                <w:color w:val="FFFFFF" w:themeColor="background1"/>
                <w:szCs w:val="20"/>
              </w:rPr>
            </w:pPr>
            <w:r w:rsidRPr="00F171A3">
              <w:rPr>
                <w:b/>
                <w:caps/>
                <w:color w:val="FFFFFF" w:themeColor="background1"/>
                <w:szCs w:val="20"/>
              </w:rPr>
              <w:t>Posibile intervenții</w:t>
            </w:r>
          </w:p>
        </w:tc>
      </w:tr>
      <w:tr w:rsidR="003D1919" w:rsidRPr="00F171A3" w14:paraId="07D08BA3" w14:textId="77777777" w:rsidTr="00414DE2">
        <w:trPr>
          <w:cnfStyle w:val="000000010000" w:firstRow="0" w:lastRow="0" w:firstColumn="0" w:lastColumn="0" w:oddVBand="0" w:evenVBand="0" w:oddHBand="0" w:evenHBand="1" w:firstRowFirstColumn="0" w:firstRowLastColumn="0" w:lastRowFirstColumn="0" w:lastRowLastColumn="0"/>
        </w:trPr>
        <w:tc>
          <w:tcPr>
            <w:tcW w:w="4494" w:type="dxa"/>
          </w:tcPr>
          <w:p w14:paraId="532A63E9" w14:textId="3ACB4F85" w:rsidR="003D1919" w:rsidRPr="00F171A3" w:rsidRDefault="003D1919" w:rsidP="003D1919">
            <w:pPr>
              <w:rPr>
                <w:szCs w:val="20"/>
              </w:rPr>
            </w:pPr>
            <w:r w:rsidRPr="00F171A3">
              <w:t xml:space="preserve">Planificare financiară optimă, structură echilibrată de venituri și cheltuieli, cu o variație semnificativă doar în anul 2019, cu  supra estimări limitate ale veniturilor și cheltuielilor (de obicei în privința fluxurilor de capital de la nivel central sau sumelor acordate de UE ca urmare a implementării proiectelor FEN). Număr mediu de rectificări bugetare anuale. </w:t>
            </w:r>
          </w:p>
        </w:tc>
        <w:tc>
          <w:tcPr>
            <w:tcW w:w="4522" w:type="dxa"/>
          </w:tcPr>
          <w:p w14:paraId="1C47C155" w14:textId="24B66D98" w:rsidR="003D1919" w:rsidRPr="00F171A3" w:rsidRDefault="003D1919" w:rsidP="003D1919">
            <w:pPr>
              <w:rPr>
                <w:szCs w:val="20"/>
              </w:rPr>
            </w:pPr>
            <w:r w:rsidRPr="00F171A3">
              <w:t xml:space="preserve">Nevoie de consolidare continuă a proceselor de planificare bugetară la nivelul administrației locale. Modelarea de scenarii financiare alternative pentru a putea elabora și lucra cu mai multe variabile ce pot influența bugetul local în timpul anului fiscal. </w:t>
            </w:r>
          </w:p>
        </w:tc>
      </w:tr>
      <w:tr w:rsidR="003D1919" w:rsidRPr="00F171A3" w14:paraId="65D4E1B6" w14:textId="77777777" w:rsidTr="00414DE2">
        <w:trPr>
          <w:cnfStyle w:val="000000100000" w:firstRow="0" w:lastRow="0" w:firstColumn="0" w:lastColumn="0" w:oddVBand="0" w:evenVBand="0" w:oddHBand="1" w:evenHBand="0" w:firstRowFirstColumn="0" w:firstRowLastColumn="0" w:lastRowFirstColumn="0" w:lastRowLastColumn="0"/>
        </w:trPr>
        <w:tc>
          <w:tcPr>
            <w:tcW w:w="4494" w:type="dxa"/>
          </w:tcPr>
          <w:p w14:paraId="0597369D" w14:textId="6B13DE09" w:rsidR="003D1919" w:rsidRPr="00F171A3" w:rsidRDefault="003D1919" w:rsidP="003D1919">
            <w:r w:rsidRPr="00F171A3">
              <w:t>Performanța financiară a Primăriei Sector</w:t>
            </w:r>
            <w:r w:rsidR="00135D70" w:rsidRPr="00F171A3">
              <w:t>ului</w:t>
            </w:r>
            <w:r w:rsidRPr="00F171A3">
              <w:t xml:space="preserve"> 2 este una ridicată. </w:t>
            </w:r>
          </w:p>
          <w:p w14:paraId="1516E913" w14:textId="77777777" w:rsidR="003D1919" w:rsidRPr="00F171A3" w:rsidRDefault="003D1919" w:rsidP="003D1919">
            <w:r w:rsidRPr="00F171A3">
              <w:t xml:space="preserve">Primăria are venituri totale per locuitor substanțial peste municipii de dimensiuni similare și mai ridicate decât o parte dintre sectoare. Veniturile Primăriei au crescut în ultimii ani, o creștere a tuturor fluxurilor importante de venituri, dar în mod special a cotelor alocate din IPV. </w:t>
            </w:r>
          </w:p>
          <w:p w14:paraId="668990B4" w14:textId="2AF82EAF" w:rsidR="003D1919" w:rsidRPr="00F171A3" w:rsidRDefault="003D1919" w:rsidP="003D1919">
            <w:pPr>
              <w:rPr>
                <w:szCs w:val="20"/>
              </w:rPr>
            </w:pPr>
            <w:r w:rsidRPr="00F171A3">
              <w:t>Veniturile proprii per locuitor, generate la nivel local, au crescut în ultimul an și au o pondere semnificativă în structura bugetului local. În 2021, structura bugetului a fost reprezentată în special de cotele IPV (53%), venituri locale (30%) și cote defalcate din TVA (16%)</w:t>
            </w:r>
          </w:p>
        </w:tc>
        <w:tc>
          <w:tcPr>
            <w:tcW w:w="4522" w:type="dxa"/>
          </w:tcPr>
          <w:p w14:paraId="0E23AC92" w14:textId="77777777" w:rsidR="003D1919" w:rsidRPr="00F171A3" w:rsidRDefault="003D1919" w:rsidP="003D1919">
            <w:r w:rsidRPr="00F171A3">
              <w:t>Prioritizarea unei strategii pe termen mediu și lung pentru creșterea veniturilor proprii, generate la nivel local (în special prin creșterea bazei de taxare și creșterea veniturilor din capital), acolo unde administrația locală are o flexibilitate sporită de atragere a acestor resurse.</w:t>
            </w:r>
          </w:p>
          <w:p w14:paraId="09A00AF9" w14:textId="77777777" w:rsidR="003D1919" w:rsidRPr="00F171A3" w:rsidRDefault="003D1919" w:rsidP="003D1919">
            <w:r w:rsidRPr="00F171A3">
              <w:t xml:space="preserve">Transferurile de la nivel central sunt volatile și pot fi afectate de contextul economic actual (inflație ridicată și creșterea costurilor de împrumut) și de nevoile financiare în creștere de la nivel central.  </w:t>
            </w:r>
          </w:p>
          <w:p w14:paraId="468134D6" w14:textId="77777777" w:rsidR="003D1919" w:rsidRPr="00F171A3" w:rsidRDefault="003D1919" w:rsidP="003D1919">
            <w:pPr>
              <w:rPr>
                <w:szCs w:val="20"/>
              </w:rPr>
            </w:pPr>
          </w:p>
        </w:tc>
      </w:tr>
      <w:tr w:rsidR="003D1919" w:rsidRPr="00F171A3" w14:paraId="1A826160" w14:textId="77777777" w:rsidTr="00414DE2">
        <w:trPr>
          <w:cnfStyle w:val="000000010000" w:firstRow="0" w:lastRow="0" w:firstColumn="0" w:lastColumn="0" w:oddVBand="0" w:evenVBand="0" w:oddHBand="0" w:evenHBand="1" w:firstRowFirstColumn="0" w:firstRowLastColumn="0" w:lastRowFirstColumn="0" w:lastRowLastColumn="0"/>
        </w:trPr>
        <w:tc>
          <w:tcPr>
            <w:tcW w:w="4494" w:type="dxa"/>
          </w:tcPr>
          <w:p w14:paraId="7D0206A1" w14:textId="5BD1B332" w:rsidR="003D1919" w:rsidRPr="00F171A3" w:rsidRDefault="003D1919" w:rsidP="003D1919">
            <w:pPr>
              <w:rPr>
                <w:szCs w:val="20"/>
              </w:rPr>
            </w:pPr>
            <w:r w:rsidRPr="00F171A3">
              <w:t xml:space="preserve">Costurile secțiunii de funcționare sunt în continuare ridicate (73% în 2021, 82% în 2020, 72% în 2019). </w:t>
            </w:r>
          </w:p>
        </w:tc>
        <w:tc>
          <w:tcPr>
            <w:tcW w:w="4522" w:type="dxa"/>
          </w:tcPr>
          <w:p w14:paraId="51C55608" w14:textId="16D45C9C" w:rsidR="003D1919" w:rsidRPr="00F171A3" w:rsidRDefault="003D1919" w:rsidP="003D1919">
            <w:pPr>
              <w:rPr>
                <w:szCs w:val="20"/>
              </w:rPr>
            </w:pPr>
            <w:r w:rsidRPr="00F171A3">
              <w:t>Ajustarea cheltuielilor operaționale ale municipalității și eficientizarea unor servicii publice pentru a beneficia de resurse adiționale pentru a îmbunătăți marja de operare a municipalității.</w:t>
            </w:r>
          </w:p>
        </w:tc>
      </w:tr>
      <w:tr w:rsidR="003D1919" w:rsidRPr="00F171A3" w14:paraId="4C5A1951" w14:textId="77777777" w:rsidTr="00414DE2">
        <w:trPr>
          <w:cnfStyle w:val="000000100000" w:firstRow="0" w:lastRow="0" w:firstColumn="0" w:lastColumn="0" w:oddVBand="0" w:evenVBand="0" w:oddHBand="1" w:evenHBand="0" w:firstRowFirstColumn="0" w:firstRowLastColumn="0" w:lastRowFirstColumn="0" w:lastRowLastColumn="0"/>
        </w:trPr>
        <w:tc>
          <w:tcPr>
            <w:tcW w:w="4494" w:type="dxa"/>
          </w:tcPr>
          <w:p w14:paraId="18918692" w14:textId="6BF17F2C" w:rsidR="003D1919" w:rsidRPr="00F171A3" w:rsidRDefault="003D1919" w:rsidP="003D1919">
            <w:pPr>
              <w:rPr>
                <w:szCs w:val="20"/>
              </w:rPr>
            </w:pPr>
            <w:r w:rsidRPr="00F171A3">
              <w:t>Inițiativele de simplificare administrativă (atât în ceea ce ține de procesele de lucru, dar și relația cu cetățenii) sunt în continuare limitate și necesită eforturi considerabile pentru a fi implementate. Această provocare persistă și a fost subliniată inclusiv de strategia anterioară.</w:t>
            </w:r>
          </w:p>
        </w:tc>
        <w:tc>
          <w:tcPr>
            <w:tcW w:w="4522" w:type="dxa"/>
          </w:tcPr>
          <w:p w14:paraId="2AA8A529" w14:textId="77777777" w:rsidR="003D1919" w:rsidRPr="00F171A3" w:rsidRDefault="003D1919" w:rsidP="003D1919">
            <w:r w:rsidRPr="00F171A3">
              <w:t xml:space="preserve">Procesele de simplificare administrativă trebuie prioritizate de către administrația Sector 2 și monitorizate, respectiv evaluate, pentru a analiza impactul pe termen mediu și lung. </w:t>
            </w:r>
          </w:p>
          <w:p w14:paraId="21E43F38" w14:textId="22D4D835" w:rsidR="003D1919" w:rsidRPr="00F171A3" w:rsidRDefault="003D1919" w:rsidP="003D1919">
            <w:pPr>
              <w:rPr>
                <w:szCs w:val="20"/>
              </w:rPr>
            </w:pPr>
            <w:r w:rsidRPr="00F171A3">
              <w:t xml:space="preserve">Crearea de parteneriate cu organizații non guvernamentale, alte administrații locale sau alți actori relevanți (academia) poate ajuta la prioritizarea și o mai bună implementare a proceselor. </w:t>
            </w:r>
          </w:p>
        </w:tc>
      </w:tr>
      <w:tr w:rsidR="003D1919" w:rsidRPr="00F171A3" w14:paraId="714CB43A" w14:textId="77777777" w:rsidTr="00414DE2">
        <w:trPr>
          <w:cnfStyle w:val="000000010000" w:firstRow="0" w:lastRow="0" w:firstColumn="0" w:lastColumn="0" w:oddVBand="0" w:evenVBand="0" w:oddHBand="0" w:evenHBand="1" w:firstRowFirstColumn="0" w:firstRowLastColumn="0" w:lastRowFirstColumn="0" w:lastRowLastColumn="0"/>
        </w:trPr>
        <w:tc>
          <w:tcPr>
            <w:tcW w:w="4494" w:type="dxa"/>
          </w:tcPr>
          <w:p w14:paraId="5A773993" w14:textId="35CFF5AD" w:rsidR="003D1919" w:rsidRPr="00F171A3" w:rsidRDefault="003D1919" w:rsidP="003D1919">
            <w:r w:rsidRPr="00F171A3">
              <w:t>Primăria Sector</w:t>
            </w:r>
            <w:r w:rsidR="00135D70" w:rsidRPr="00F171A3">
              <w:t>ului</w:t>
            </w:r>
            <w:r w:rsidRPr="00F171A3">
              <w:t xml:space="preserve"> 2 și-a fundamentat efortul de dezvoltare pe utilizarea resurselor proprii și  contractarea de împrumuturi pentru investiții. Absorbția de fonduri europene a fost una limitată în cadrul CFM 2014-2020, iar pentru perioada 2022-2023nu sunt numeroase proiecte în implementare sau contractare. </w:t>
            </w:r>
          </w:p>
          <w:p w14:paraId="378A0753" w14:textId="77777777" w:rsidR="003D1919" w:rsidRPr="00F171A3" w:rsidRDefault="003D1919" w:rsidP="003D1919">
            <w:pPr>
              <w:rPr>
                <w:szCs w:val="20"/>
              </w:rPr>
            </w:pPr>
          </w:p>
        </w:tc>
        <w:tc>
          <w:tcPr>
            <w:tcW w:w="4522" w:type="dxa"/>
          </w:tcPr>
          <w:p w14:paraId="2AE8B1D1" w14:textId="77777777" w:rsidR="003D1919" w:rsidRPr="00F171A3" w:rsidRDefault="003D1919" w:rsidP="003D1919">
            <w:r w:rsidRPr="00F171A3">
              <w:t xml:space="preserve">Îmbunătățirea capacității administrației de a beneficia de fonduri europene nerambursabile aferente CFM 2021-2027 și PNRR.  Elaborarea unei strategii la nivelul instituției pentru pregătirea din timp de proiecte mature ce pot fi implementate odată cu deschiderea apelurilor de proiecte aferente  CFM 2021-2027 și PNRR. </w:t>
            </w:r>
          </w:p>
          <w:p w14:paraId="3BFA6A9B" w14:textId="77777777" w:rsidR="003D1919" w:rsidRPr="00F171A3" w:rsidRDefault="003D1919" w:rsidP="003D1919">
            <w:r w:rsidRPr="00F171A3">
              <w:t>Prioritizarea investițiilor de capital din fonduri europene nerambursabile și a acelor proiecte de investiții ce îmbunătățesc calitatea vieții urbane și buna guvernanță la nivel local, dar pot genera și venituri adiționale la nivel local pentru a crește sustenabilitatea financiară a municipalității.</w:t>
            </w:r>
          </w:p>
          <w:p w14:paraId="4547DF42" w14:textId="10D88152" w:rsidR="003D1919" w:rsidRPr="00F171A3" w:rsidRDefault="003D1919" w:rsidP="003D1919">
            <w:pPr>
              <w:rPr>
                <w:szCs w:val="20"/>
              </w:rPr>
            </w:pPr>
            <w:r w:rsidRPr="00F171A3">
              <w:t xml:space="preserve">Susținerea proiectelor de investiție în linie cu prioritățile noilor cadre financiare: investiții în tranziția energetică, mobilitate urbană durabilă, combaterea schimbărilor climatice, îmbunătățirea calității locuirii, digitalizare. </w:t>
            </w:r>
          </w:p>
        </w:tc>
      </w:tr>
      <w:tr w:rsidR="003D1919" w:rsidRPr="00F171A3" w14:paraId="418EAA9E" w14:textId="77777777" w:rsidTr="00414DE2">
        <w:trPr>
          <w:cnfStyle w:val="000000100000" w:firstRow="0" w:lastRow="0" w:firstColumn="0" w:lastColumn="0" w:oddVBand="0" w:evenVBand="0" w:oddHBand="1" w:evenHBand="0" w:firstRowFirstColumn="0" w:firstRowLastColumn="0" w:lastRowFirstColumn="0" w:lastRowLastColumn="0"/>
        </w:trPr>
        <w:tc>
          <w:tcPr>
            <w:tcW w:w="4494" w:type="dxa"/>
          </w:tcPr>
          <w:p w14:paraId="5CE5E56D" w14:textId="77777777" w:rsidR="003D1919" w:rsidRPr="00F171A3" w:rsidRDefault="003D1919" w:rsidP="003D1919">
            <w:r w:rsidRPr="00F171A3">
              <w:t xml:space="preserve">Procesul de reorganizare administrativă, ce presupune o nouă organigramă și un nou regulament de organizare și funcționare răspunde unei nevoi la nivel intern: îmbunătățirea capacității de coordonare a activităților și proiectelor, evitarea suprapunerii de responsabilități și eficientizarea proceselor interne de lucru. </w:t>
            </w:r>
          </w:p>
          <w:p w14:paraId="7A9F811A" w14:textId="77777777" w:rsidR="003D1919" w:rsidRPr="00F171A3" w:rsidRDefault="003D1919" w:rsidP="003D1919">
            <w:r w:rsidRPr="00F171A3">
              <w:t xml:space="preserve">Procesul trebuie corelat cu nevoile de formare ale personalului, inclusiv cele generate de noile responsabilități, dar și cele ca urmare a transformărilor (ex. digitale) în desfășurare și cu impact asupra activității instituției. </w:t>
            </w:r>
          </w:p>
          <w:p w14:paraId="1184655D" w14:textId="77777777" w:rsidR="003D1919" w:rsidRPr="00F171A3" w:rsidRDefault="003D1919" w:rsidP="003D1919">
            <w:pPr>
              <w:rPr>
                <w:szCs w:val="20"/>
              </w:rPr>
            </w:pPr>
          </w:p>
        </w:tc>
        <w:tc>
          <w:tcPr>
            <w:tcW w:w="4522" w:type="dxa"/>
          </w:tcPr>
          <w:p w14:paraId="5428C1F9" w14:textId="77777777" w:rsidR="003D1919" w:rsidRPr="00F171A3" w:rsidRDefault="003D1919" w:rsidP="003D1919">
            <w:r w:rsidRPr="00F171A3">
              <w:t>Ajustarea politicii de formare și corelarea sa cu nevoile raportate de personalul instituției și viziunea de dezvoltare a municipalității.</w:t>
            </w:r>
          </w:p>
          <w:p w14:paraId="3AA64D4A" w14:textId="77777777" w:rsidR="003D1919" w:rsidRPr="00F171A3" w:rsidRDefault="003D1919" w:rsidP="003D1919">
            <w:r w:rsidRPr="00F171A3">
              <w:t xml:space="preserve">Prioritizarea unei analize extinse a nevoilor de la nivelul administrației locale, inclusiv din perspectiva transformărilor în desfășurare (precum cerere extinsă de servicii publice digitale) chiar și acolo unde procesul de identificare a nevoilor de formare eșuează. </w:t>
            </w:r>
          </w:p>
          <w:p w14:paraId="1F314E1E" w14:textId="18EFF5F0" w:rsidR="003D1919" w:rsidRPr="00F171A3" w:rsidRDefault="003D1919" w:rsidP="003D1919">
            <w:pPr>
              <w:rPr>
                <w:szCs w:val="20"/>
              </w:rPr>
            </w:pPr>
            <w:r w:rsidRPr="00F171A3">
              <w:t>Evaluare anuală din perspectiva cost-beneficiu a programelor de formare și a eficienței acestora în îmbunătățirea capacității administrative la nivel municipal.</w:t>
            </w:r>
          </w:p>
        </w:tc>
      </w:tr>
      <w:tr w:rsidR="003D1919" w:rsidRPr="00F171A3" w14:paraId="42DC1224" w14:textId="77777777" w:rsidTr="00414DE2">
        <w:trPr>
          <w:cnfStyle w:val="000000010000" w:firstRow="0" w:lastRow="0" w:firstColumn="0" w:lastColumn="0" w:oddVBand="0" w:evenVBand="0" w:oddHBand="0" w:evenHBand="1" w:firstRowFirstColumn="0" w:firstRowLastColumn="0" w:lastRowFirstColumn="0" w:lastRowLastColumn="0"/>
        </w:trPr>
        <w:tc>
          <w:tcPr>
            <w:tcW w:w="4494" w:type="dxa"/>
          </w:tcPr>
          <w:p w14:paraId="48BABACC" w14:textId="5E1959E8" w:rsidR="003D1919" w:rsidRPr="00F171A3" w:rsidRDefault="003D1919" w:rsidP="003D1919">
            <w:r w:rsidRPr="00F171A3">
              <w:t>Primăria Sector</w:t>
            </w:r>
            <w:r w:rsidR="00135D70" w:rsidRPr="00F171A3">
              <w:t>ului</w:t>
            </w:r>
            <w:r w:rsidRPr="00F171A3">
              <w:t xml:space="preserve"> 2 dispune de un personal cu un grad ridicat de competență, format din funcționari publici și contractual atât cu o experiență îndelungată în administrația publică, cât și profesioniști la început de carieră. Deși numărul de plecări din instituție a fost redus în ultimii ani (o provocare subliniată de strategia anterioară), numărul de posturi vacante este mediu spre ridicat. </w:t>
            </w:r>
          </w:p>
          <w:p w14:paraId="19344173" w14:textId="3E9D104E" w:rsidR="003D1919" w:rsidRPr="00F171A3" w:rsidRDefault="003D1919" w:rsidP="003D1919">
            <w:pPr>
              <w:rPr>
                <w:szCs w:val="20"/>
              </w:rPr>
            </w:pPr>
            <w:r w:rsidRPr="00F171A3">
              <w:t xml:space="preserve">Primăria derulează programe de practică și de internship pentru studenți. </w:t>
            </w:r>
          </w:p>
        </w:tc>
        <w:tc>
          <w:tcPr>
            <w:tcW w:w="4522" w:type="dxa"/>
          </w:tcPr>
          <w:p w14:paraId="04BF8849" w14:textId="2A876544" w:rsidR="003D1919" w:rsidRPr="00F171A3" w:rsidRDefault="003D1919" w:rsidP="003D1919">
            <w:pPr>
              <w:rPr>
                <w:szCs w:val="20"/>
              </w:rPr>
            </w:pPr>
            <w:r w:rsidRPr="00F171A3">
              <w:t>Prioritizarea unei strategii de atragere a personalului aflat la început de carieră / personal care își dorește o carieră în administrația publică locală, în special în domeniile înalt calificate în care criza forței de muncă se va resimți la nivelul administrației publice și unde reorganizarea administrativă a creat noi posturi sau este nevoie de ocuparea pozițiilor (domeniul IT&amp;C, urbanism, fonduri europene, dezvoltare regională, finanțe publice).</w:t>
            </w:r>
          </w:p>
        </w:tc>
      </w:tr>
      <w:tr w:rsidR="003D1919" w:rsidRPr="00F171A3" w14:paraId="72F5C27B" w14:textId="77777777" w:rsidTr="00414DE2">
        <w:trPr>
          <w:cnfStyle w:val="000000100000" w:firstRow="0" w:lastRow="0" w:firstColumn="0" w:lastColumn="0" w:oddVBand="0" w:evenVBand="0" w:oddHBand="1" w:evenHBand="0" w:firstRowFirstColumn="0" w:firstRowLastColumn="0" w:lastRowFirstColumn="0" w:lastRowLastColumn="0"/>
        </w:trPr>
        <w:tc>
          <w:tcPr>
            <w:tcW w:w="4494" w:type="dxa"/>
          </w:tcPr>
          <w:p w14:paraId="2744AEE2" w14:textId="77777777" w:rsidR="003D1919" w:rsidRPr="00F171A3" w:rsidRDefault="003D1919" w:rsidP="003D1919">
            <w:r w:rsidRPr="00F171A3">
              <w:t xml:space="preserve">Procesul de transparentizare este în continuă îmbunătățire, însă numeroase limitări persistă. Primăria publică inclusiv seturi de date în format editabil și promovează o structurare a datelor publice deținute (Buletin informativ). </w:t>
            </w:r>
          </w:p>
          <w:p w14:paraId="10F5CB07" w14:textId="77777777" w:rsidR="003D1919" w:rsidRPr="00F171A3" w:rsidRDefault="003D1919" w:rsidP="003D1919">
            <w:r w:rsidRPr="00F171A3">
              <w:br/>
              <w:t xml:space="preserve">Publicarea majorității seturilor de date deținute de instituție este în continuare în format non- deschis și fără a fi amplasate intuitiv pe pagina web și nu asigură o transparență adecvată. Lipsesc date publice obligatorii pe pagina instituției. </w:t>
            </w:r>
          </w:p>
          <w:p w14:paraId="73776034" w14:textId="407A847D" w:rsidR="003D1919" w:rsidRPr="00F171A3" w:rsidRDefault="003D1919" w:rsidP="003D1919">
            <w:pPr>
              <w:rPr>
                <w:szCs w:val="20"/>
              </w:rPr>
            </w:pPr>
            <w:r w:rsidRPr="00F171A3">
              <w:t xml:space="preserve">Se remarcă însă un răspuns rapid, în termenul legal, în privința răspunsurilor la solicitările de informații.  </w:t>
            </w:r>
          </w:p>
        </w:tc>
        <w:tc>
          <w:tcPr>
            <w:tcW w:w="4522" w:type="dxa"/>
          </w:tcPr>
          <w:p w14:paraId="37398B0C" w14:textId="77777777" w:rsidR="003D1919" w:rsidRPr="00F171A3" w:rsidRDefault="003D1919" w:rsidP="003D1919">
            <w:pPr>
              <w:spacing w:after="0"/>
            </w:pPr>
            <w:r w:rsidRPr="00F171A3">
              <w:t xml:space="preserve">Elaborarea unei strategii de transparentizare a instituției pe termen mediu și lung. Potențiala adoptare a </w:t>
            </w:r>
            <w:r w:rsidRPr="00F171A3">
              <w:rPr>
                <w:i/>
              </w:rPr>
              <w:t>Parteneriatului pentru Guvernare Deschisă la nivel local</w:t>
            </w:r>
            <w:r w:rsidRPr="00F171A3">
              <w:t xml:space="preserve"> sau a unor recomandări cheie promovate la nivel european în privința transparenței extinse.</w:t>
            </w:r>
          </w:p>
          <w:p w14:paraId="35982AD2" w14:textId="77777777" w:rsidR="003D1919" w:rsidRPr="00F171A3" w:rsidRDefault="003D1919" w:rsidP="003D1919">
            <w:pPr>
              <w:spacing w:after="0"/>
            </w:pPr>
            <w:r w:rsidRPr="00F171A3">
              <w:t>Promovarea unor formate interactive pentru principalele procese de la nivel local (inclusiv publicarea bugetului local și a rectificărilor, dezbaterea sa într-un eveniment public cu cetățenii, grupurile civice, mediul de afaceri, etc.)</w:t>
            </w:r>
          </w:p>
          <w:p w14:paraId="29AF7D80" w14:textId="77777777" w:rsidR="003D1919" w:rsidRPr="00F171A3" w:rsidRDefault="003D1919" w:rsidP="003D1919">
            <w:pPr>
              <w:spacing w:after="0"/>
            </w:pPr>
            <w:r w:rsidRPr="00F171A3">
              <w:t xml:space="preserve">Parteneriate cu ONG-uri pentru adoptarea de soluții inovative pentru transparentizarea datelor publice. </w:t>
            </w:r>
          </w:p>
          <w:p w14:paraId="45B2AF24" w14:textId="77777777" w:rsidR="003D1919" w:rsidRPr="00F171A3" w:rsidRDefault="003D1919" w:rsidP="003D1919">
            <w:pPr>
              <w:rPr>
                <w:szCs w:val="20"/>
              </w:rPr>
            </w:pPr>
          </w:p>
        </w:tc>
      </w:tr>
      <w:tr w:rsidR="003D1919" w:rsidRPr="00F171A3" w14:paraId="0242636D" w14:textId="77777777" w:rsidTr="00414DE2">
        <w:trPr>
          <w:cnfStyle w:val="000000010000" w:firstRow="0" w:lastRow="0" w:firstColumn="0" w:lastColumn="0" w:oddVBand="0" w:evenVBand="0" w:oddHBand="0" w:evenHBand="1" w:firstRowFirstColumn="0" w:firstRowLastColumn="0" w:lastRowFirstColumn="0" w:lastRowLastColumn="0"/>
        </w:trPr>
        <w:tc>
          <w:tcPr>
            <w:tcW w:w="4494" w:type="dxa"/>
          </w:tcPr>
          <w:p w14:paraId="5932D0AF" w14:textId="2AA67CFF" w:rsidR="003D1919" w:rsidRPr="00F171A3" w:rsidRDefault="003D1919" w:rsidP="003D1919">
            <w:pPr>
              <w:rPr>
                <w:szCs w:val="20"/>
              </w:rPr>
            </w:pPr>
            <w:r w:rsidRPr="00F171A3">
              <w:t>Primăria Sector</w:t>
            </w:r>
            <w:r w:rsidR="00135D70" w:rsidRPr="00F171A3">
              <w:t>ului</w:t>
            </w:r>
            <w:r w:rsidRPr="00F171A3">
              <w:t xml:space="preserve"> 2 promovează formate prin care cetățenii se pot implica în comunitate prin formate tip Legea 350/2005 sau bugetarea participativă. În ceea ce ține primul program, acesta are cel mai ridicat buget anual în 2022.  </w:t>
            </w:r>
          </w:p>
        </w:tc>
        <w:tc>
          <w:tcPr>
            <w:tcW w:w="4522" w:type="dxa"/>
          </w:tcPr>
          <w:p w14:paraId="0D7CA7EA" w14:textId="439A4CCE" w:rsidR="003D1919" w:rsidRPr="00F171A3" w:rsidRDefault="003D1919" w:rsidP="003D1919">
            <w:pPr>
              <w:spacing w:after="0"/>
              <w:rPr>
                <w:rFonts w:cstheme="minorHAnsi"/>
                <w:szCs w:val="20"/>
              </w:rPr>
            </w:pPr>
            <w:r w:rsidRPr="00F171A3">
              <w:t xml:space="preserve">Adoptarea de soluții digitale pentru programele de implicare a cetățenilor (platforme online de depunere și urmărire proiect), și simplificare administrativă (regulamente simplificate și mai puțin birocratice) pentru a crește numărul de aplicații din comunitate. </w:t>
            </w:r>
          </w:p>
        </w:tc>
      </w:tr>
      <w:tr w:rsidR="003D1919" w:rsidRPr="00F171A3" w14:paraId="68C7EF61" w14:textId="77777777" w:rsidTr="00414DE2">
        <w:trPr>
          <w:cnfStyle w:val="000000100000" w:firstRow="0" w:lastRow="0" w:firstColumn="0" w:lastColumn="0" w:oddVBand="0" w:evenVBand="0" w:oddHBand="1" w:evenHBand="0" w:firstRowFirstColumn="0" w:firstRowLastColumn="0" w:lastRowFirstColumn="0" w:lastRowLastColumn="0"/>
        </w:trPr>
        <w:tc>
          <w:tcPr>
            <w:tcW w:w="4494" w:type="dxa"/>
          </w:tcPr>
          <w:p w14:paraId="11814B03" w14:textId="77777777" w:rsidR="003D1919" w:rsidRPr="00F171A3" w:rsidRDefault="003D1919" w:rsidP="003D1919">
            <w:r w:rsidRPr="00F171A3">
              <w:t xml:space="preserve">Gradul de implicare al cetățenilor în procesul de decizie la nivel local este scăzut. </w:t>
            </w:r>
          </w:p>
          <w:p w14:paraId="47ECEE8A" w14:textId="28277334" w:rsidR="003D1919" w:rsidRPr="00F171A3" w:rsidRDefault="003D1919" w:rsidP="003D1919">
            <w:pPr>
              <w:rPr>
                <w:szCs w:val="20"/>
              </w:rPr>
            </w:pPr>
            <w:r w:rsidRPr="00F171A3">
              <w:t>Dezbaterile publice organizate de municipalitate sunt reduse atât ca număr, cât și ca participare a cetățenilor.  Numărul de recomandări primite de la persoanele fizice sau juridice este foarte limitat.</w:t>
            </w:r>
          </w:p>
        </w:tc>
        <w:tc>
          <w:tcPr>
            <w:tcW w:w="4522" w:type="dxa"/>
          </w:tcPr>
          <w:p w14:paraId="0C7B65D0" w14:textId="77777777" w:rsidR="003D1919" w:rsidRPr="00F171A3" w:rsidRDefault="003D1919" w:rsidP="003D1919">
            <w:pPr>
              <w:spacing w:after="0"/>
            </w:pPr>
            <w:r w:rsidRPr="00F171A3">
              <w:t>Îmbunătățirea mecanismelor de consultare a cetățenilor și promovarea de noi mecanisme de consultare a cetățenilor (hub-uri civice, parteneriate cu ONG-uri și societatea civilă, extinderea formatelor de bugetare participativă, organizarea de hackatoane).</w:t>
            </w:r>
          </w:p>
          <w:p w14:paraId="74FDA0D2" w14:textId="77777777" w:rsidR="003D1919" w:rsidRPr="00F171A3" w:rsidRDefault="003D1919" w:rsidP="003D1919">
            <w:pPr>
              <w:spacing w:after="0"/>
            </w:pPr>
          </w:p>
          <w:p w14:paraId="678808D6" w14:textId="410F8456" w:rsidR="003D1919" w:rsidRPr="00F171A3" w:rsidRDefault="003D1919" w:rsidP="003D1919">
            <w:pPr>
              <w:rPr>
                <w:szCs w:val="20"/>
              </w:rPr>
            </w:pPr>
            <w:r w:rsidRPr="00F171A3">
              <w:t xml:space="preserve">Parteneriate cu ONG-urile locale și naționale sau alți actori relevanți pentru organizarea de concursuri publice sau hackhatons pentru a beneficia de noi soluții de bună guvernare la nivel local. </w:t>
            </w:r>
          </w:p>
        </w:tc>
      </w:tr>
      <w:tr w:rsidR="003D1919" w:rsidRPr="00F171A3" w14:paraId="672F50B7" w14:textId="77777777" w:rsidTr="00414DE2">
        <w:trPr>
          <w:cnfStyle w:val="000000010000" w:firstRow="0" w:lastRow="0" w:firstColumn="0" w:lastColumn="0" w:oddVBand="0" w:evenVBand="0" w:oddHBand="0" w:evenHBand="1" w:firstRowFirstColumn="0" w:firstRowLastColumn="0" w:lastRowFirstColumn="0" w:lastRowLastColumn="0"/>
        </w:trPr>
        <w:tc>
          <w:tcPr>
            <w:tcW w:w="4494" w:type="dxa"/>
          </w:tcPr>
          <w:p w14:paraId="393FEFB7" w14:textId="0B54AE63" w:rsidR="003D1919" w:rsidRPr="00F171A3" w:rsidRDefault="003D1919" w:rsidP="003D1919">
            <w:pPr>
              <w:rPr>
                <w:rFonts w:cstheme="minorHAnsi"/>
                <w:b/>
                <w:szCs w:val="20"/>
              </w:rPr>
            </w:pPr>
            <w:r w:rsidRPr="00F171A3">
              <w:t xml:space="preserve">Numărul de servicii electronice este unul limitat. </w:t>
            </w:r>
          </w:p>
        </w:tc>
        <w:tc>
          <w:tcPr>
            <w:tcW w:w="4522" w:type="dxa"/>
          </w:tcPr>
          <w:p w14:paraId="64DC016B" w14:textId="5FA0332E" w:rsidR="003D1919" w:rsidRPr="00F171A3" w:rsidRDefault="003D1919" w:rsidP="003D1919">
            <w:pPr>
              <w:spacing w:after="0"/>
              <w:rPr>
                <w:rFonts w:cstheme="minorHAnsi"/>
                <w:b/>
                <w:bCs/>
                <w:szCs w:val="20"/>
              </w:rPr>
            </w:pPr>
            <w:r w:rsidRPr="00F171A3">
              <w:t>Prioritizarea unei strategii de extindere a serviciilor electronice prin (1) acoperirea online a tuturor serviciilor oferite de Primăria Sector</w:t>
            </w:r>
            <w:r w:rsidR="00135D70" w:rsidRPr="00F171A3">
              <w:t>ului</w:t>
            </w:r>
            <w:r w:rsidRPr="00F171A3">
              <w:t xml:space="preserve"> 2, inclusiv instituții subordonate (2) facilitarea accesului la sistem pentru toți locuitorii (formate interactive de prezentare, extinderea suportului pentru înregistrare și utilizare) și o evaluare bianuală a numărului de cetățeni care utilizează serviciile electronice vs. cele clasice. Impunerea unor indicatori de performanță (număr utilizatori, număr operațiuni efectuate, procent din total utilizatori/operațiuni, etc) pe termen mediu și lung privind utilizarea platformei online. </w:t>
            </w:r>
          </w:p>
        </w:tc>
      </w:tr>
      <w:bookmarkEnd w:id="1"/>
      <w:bookmarkEnd w:id="0"/>
    </w:tbl>
    <w:p w14:paraId="68096903" w14:textId="2DD20016" w:rsidR="00873E24" w:rsidRPr="00F171A3" w:rsidRDefault="00873E24" w:rsidP="007F2663">
      <w:pPr>
        <w:pStyle w:val="Normal0"/>
      </w:pPr>
    </w:p>
    <w:p w14:paraId="105619F1" w14:textId="77777777" w:rsidR="008A6FAE" w:rsidRPr="00F171A3" w:rsidRDefault="008A6FAE" w:rsidP="007F2663">
      <w:pPr>
        <w:pStyle w:val="Normal0"/>
        <w:sectPr w:rsidR="008A6FAE" w:rsidRPr="00F171A3" w:rsidSect="008A6FAE">
          <w:pgSz w:w="11906" w:h="16838" w:code="9"/>
          <w:pgMar w:top="1440" w:right="1440" w:bottom="1440" w:left="1440" w:header="720" w:footer="720" w:gutter="0"/>
          <w:cols w:space="720"/>
          <w:docGrid w:linePitch="360"/>
        </w:sectPr>
      </w:pPr>
    </w:p>
    <w:p w14:paraId="0C6DB9B5" w14:textId="77777777" w:rsidR="008B4153" w:rsidRPr="00F171A3" w:rsidRDefault="008B4153" w:rsidP="008B4153">
      <w:pPr>
        <w:pStyle w:val="Heading1"/>
        <w:rPr>
          <w:sz w:val="36"/>
          <w:szCs w:val="36"/>
          <w:lang w:val="ro-RO"/>
        </w:rPr>
      </w:pPr>
      <w:bookmarkStart w:id="400" w:name="_Toc105618760"/>
      <w:bookmarkStart w:id="401" w:name="_Toc114067502"/>
      <w:bookmarkStart w:id="402" w:name="_Toc127199306"/>
      <w:r w:rsidRPr="00F171A3">
        <w:rPr>
          <w:sz w:val="36"/>
          <w:szCs w:val="36"/>
          <w:lang w:val="ro-RO"/>
        </w:rPr>
        <w:t>PLANIFICARE STRATEGICĂ</w:t>
      </w:r>
      <w:bookmarkEnd w:id="400"/>
      <w:bookmarkEnd w:id="401"/>
      <w:bookmarkEnd w:id="402"/>
    </w:p>
    <w:p w14:paraId="1AEB11AD" w14:textId="6B3EF3B3" w:rsidR="008B4153" w:rsidRPr="00F171A3" w:rsidRDefault="00E747A2" w:rsidP="008B4153">
      <w:pPr>
        <w:pStyle w:val="Heading2"/>
        <w:rPr>
          <w:lang w:val="ro-RO"/>
        </w:rPr>
      </w:pPr>
      <w:bookmarkStart w:id="403" w:name="_Toc127199307"/>
      <w:r w:rsidRPr="00F171A3">
        <w:rPr>
          <w:lang w:val="ro-RO"/>
        </w:rPr>
        <w:t xml:space="preserve">CONCEPTUL DE DEZVOLTARE PENTRU PERIOADA 2021 </w:t>
      </w:r>
      <w:r w:rsidR="00E5011C" w:rsidRPr="00F171A3">
        <w:rPr>
          <w:lang w:val="ro-RO"/>
        </w:rPr>
        <w:t>–</w:t>
      </w:r>
      <w:r w:rsidRPr="00F171A3">
        <w:rPr>
          <w:lang w:val="ro-RO"/>
        </w:rPr>
        <w:t xml:space="preserve"> 2027</w:t>
      </w:r>
      <w:r w:rsidR="00E5011C" w:rsidRPr="00F171A3">
        <w:rPr>
          <w:lang w:val="ro-RO"/>
        </w:rPr>
        <w:t xml:space="preserve"> și post 2027</w:t>
      </w:r>
      <w:bookmarkEnd w:id="403"/>
    </w:p>
    <w:p w14:paraId="3D19BD3D" w14:textId="480A772A" w:rsidR="008B4153" w:rsidRPr="00F171A3" w:rsidRDefault="001E0A0F" w:rsidP="008B4153">
      <w:pPr>
        <w:pStyle w:val="Heading3"/>
        <w:rPr>
          <w:lang w:val="ro-RO"/>
        </w:rPr>
      </w:pPr>
      <w:bookmarkStart w:id="404" w:name="_Toc127199308"/>
      <w:r w:rsidRPr="00F171A3">
        <w:rPr>
          <w:caps w:val="0"/>
          <w:lang w:val="ro-RO"/>
        </w:rPr>
        <w:t>VIZIUNEA DE DEZVOLTARE A SECTORULUI 2 AL MUNICIPIULUI BUCUREȘTI</w:t>
      </w:r>
      <w:bookmarkEnd w:id="404"/>
      <w:r w:rsidRPr="00F171A3">
        <w:rPr>
          <w:caps w:val="0"/>
          <w:lang w:val="ro-RO"/>
        </w:rPr>
        <w:t xml:space="preserve"> </w:t>
      </w:r>
    </w:p>
    <w:p w14:paraId="4711DACF" w14:textId="3637C4AE" w:rsidR="008B4153" w:rsidRPr="00F171A3" w:rsidRDefault="008B4153" w:rsidP="008B4153">
      <w:pPr>
        <w:spacing w:before="240" w:after="240"/>
        <w:rPr>
          <w:color w:val="000000"/>
        </w:rPr>
      </w:pPr>
      <w:r w:rsidRPr="00F171A3">
        <w:rPr>
          <w:color w:val="000000"/>
        </w:rPr>
        <w:t>În anul 2030 Sectorul 2 își consolidează poziția de sector al Bucureștiului atractiv pentru cetățeni, cu o calitate ridicată a locuirii și servicii publice performante și accesibile. Pe plan economic, Sectorul 2 oferă oportunități diverse pentru dezvoltarea afacerilor și crearea de locuri de muncă, fiind racordat la polul de dezvoltare economică din nordul capitalei. De asemenea, sectorul își păstrează poziția de sector de agrement, orientat către rețeaua verde-albastră definită de salba de lacuri, conectat la centrul istoric, prin axe verzi și trasee culturale.</w:t>
      </w:r>
    </w:p>
    <w:p w14:paraId="1304238C" w14:textId="77777777" w:rsidR="008B4153" w:rsidRPr="00F171A3" w:rsidRDefault="008B4153" w:rsidP="008B4153">
      <w:pPr>
        <w:spacing w:before="240" w:after="240"/>
        <w:rPr>
          <w:color w:val="000000"/>
        </w:rPr>
      </w:pPr>
      <w:r w:rsidRPr="00F171A3">
        <w:rPr>
          <w:color w:val="000000"/>
        </w:rPr>
        <w:t>Din perspectiva serviciilor publice, toți cetățenii din zonele rezidențiale ale sectorului beneficiază de acces facil și egal la servicii de calitate, adaptate nevoilor lor. Cartierele de locuințe colective beneficiază de un fond locativ de bună calitate și sunt caracterizate prin spații comunitare atractive pentru toate categoriile de vârstă care asigură suportul pentru o viață urbană activă. Imaginea reprezentativă a centrului istoric este susținută de clădiri de patrimoniu valorificate în scop socio-cultural și de spații publice emblematice amenajate în acord cu specificul zonei. Sectorul 2 beneficiază de o structură policentrică dezvoltată în jurul centrelor de cartier și zonelor de servicii de interes municipal caracterizate printr-o diversitate a activităților socio-economice ce asigură deservirea echilibrată a teritoriului. Rețeaua școlară este deservită de o infrastructură modernă, cu dotări performante și cu o acoperire teritorială adaptată nevoilor, ce permite o calitate ridicată a actului educațional. Mediul economic din Sectorul 2 se află într-un dialog permanent cu administrația publică pentru a asigura o bună guvernanță, în timp ce principalii catalizatori ai creșterii economice sustenabile sunt forța de muncă calificată, infrastructura de afaceri modernă, transferul tehnologic și specializarea inteligentă, parteneriate stabile și eficiente,  precum și stimularea domeniului Cercetării-Dezvoltării-Inovării. În 2030 Sectorul 2 se îndreaptă spre neutralitate climatică mizând pe energie verde,  infrastructura albastră-verde, gestiunea deșeurilor sau mobilitatea urbană durabilă. Pentru a facilita tranziția către o mobilitate urbană sustenabilă, incluzivă și inteligentă Primăria Sectorului 2 s-a concentrat pe reconfigurarea străzilor secundare, pe dezvoltarea parcărilor rezidențiale multietajate și a creat condiții sigure pentru deplasările nemotorizate (pietonal/velo). Oportunitățile de petrecere a timpului liber pentru cetățeni includ numeroase facilități pentru activități educative, culturale, artistice și sportive precum și spații publice de cartier, amenajate special pentru a încuraja incluziunea socială și participarea comunității locale în dezvoltarea sectorului. Toți cetățenii sectorului beneficiază de servicii medicale performante oferite în cadrul unui sistem medical deservit de o infrastructură de calitate și resurse umane pregătite pentru a face față provocărilor curente. Sistemul de servicii sociale are o abordare orientată către prevenție și asigurarea sustenabilității beneficiilor generate la nivelul populației. În orizontul 2030, Sectorul 2 are o administrație publică performantă și care promovează o guvernare deschisă unde membrii comunității, mediul de afaceri, nonguvernamental sau academic sunt parte integrantă a deciziilor de la nivel local.</w:t>
      </w:r>
    </w:p>
    <w:p w14:paraId="20D47E5D" w14:textId="77777777" w:rsidR="008B4153" w:rsidRPr="00F171A3" w:rsidRDefault="008B4153" w:rsidP="008B4153">
      <w:pPr>
        <w:spacing w:before="240" w:after="240"/>
        <w:rPr>
          <w:color w:val="000000"/>
        </w:rPr>
      </w:pPr>
      <w:r w:rsidRPr="00F171A3">
        <w:rPr>
          <w:rStyle w:val="CaptionChar1"/>
          <w:rFonts w:cstheme="minorHAnsi"/>
          <w:bCs w:val="0"/>
        </w:rPr>
        <w:t>Dezvoltare urbană</w:t>
      </w:r>
      <w:r w:rsidRPr="00F171A3">
        <w:rPr>
          <w:b/>
          <w:smallCaps/>
          <w:color w:val="134753"/>
          <w:sz w:val="20"/>
          <w:szCs w:val="20"/>
        </w:rPr>
        <w:t xml:space="preserve"> |</w:t>
      </w:r>
      <w:r w:rsidRPr="00F171A3">
        <w:rPr>
          <w:b/>
          <w:smallCaps/>
          <w:color w:val="134753"/>
        </w:rPr>
        <w:t xml:space="preserve"> </w:t>
      </w:r>
      <w:r w:rsidRPr="00F171A3">
        <w:rPr>
          <w:color w:val="000000"/>
        </w:rPr>
        <w:t xml:space="preserve">În anul 2030 Sectorul 2 beneficiază de un cadru urban atractiv, definit printr-o varietate largă de activități de interes public și de dotări socio-culturale dezvoltate în conexiune cu rețeaua de spațiile publice și verzi. Sectorul 2, atât în zona centrală cât și în cartierele de locuințe, beneficiază de o imagine urbană unitară, coerentă, în care silueta urbană, clădirile și spațiile reprezentative sunt valorificate în folosul comunităților locale. Structura policentrică bazată pe o serie de centralității secundare, locale distribuite echilibrat în teritoriu asigură o bună distribuție a locurilor de muncă și un mix funcțional favorabil ce permite locuitorilor un acces facil către activitățile socio-culturale și economice de interes cotidian și care contribuie la coeziunea comunităților locale: centrul istoric (caracterizat de birouri (mai ales industrii creative) şi servicii specifice sectorului turistic), zona Pipera - Dimitrie Pompeiu, zona </w:t>
      </w:r>
      <w:r w:rsidRPr="00C66438">
        <w:rPr>
          <w:rFonts w:cstheme="minorHAnsi"/>
        </w:rPr>
        <w:t>Gara Obor - Piața Obor</w:t>
      </w:r>
      <w:r w:rsidRPr="00C66438" w:rsidDel="00B86EAE">
        <w:t xml:space="preserve"> </w:t>
      </w:r>
      <w:r w:rsidRPr="00F171A3">
        <w:rPr>
          <w:color w:val="000000"/>
        </w:rPr>
        <w:t>(importantă zonă rezidențială, de recreere, comercială și de birouri dublată de nodul intermodal), zona UTCB, zona Șoseaua Petricani – Fabrica de Glucoză (zonă mixtă rezidențială, de servicii, birouri și de agrement) și zona Barbu Văcărescu - Țițeica (zonă mixtă de birouri, servicii și dotări comunitare de petrecere a timpului liber), zona Pantelimon  - Dobroești (pol educațional și sportiv). Spațiul public din zona istorică beneficiază de o imagine urbană unitară, incluzând numeroase puncte de interes local amenajate ca spații verzi sau scuaruri urbane, străzi temporar pietonale și conectate prin axe verzi, în timp ce patrimoniul cultural este reabilitat iar clădirile cu valoare arhitecturală deosebită sunt valorificate din punct de vedere socio-cultural. Zona centrală reprezintă un exemplu de bune practici în ceea ce privește calitatea spațiilor publice cu rol de reprezentare și deservire a comunităților locale; dintre acestea se remarcă spații precum Piața Spaniei sau Piața Cantacuzino. Cartierele de locuințe regenerate oferă un standard ridicat de calitate a vieții, cu un fond locativ modernizat în conformitate cu cerințele actuale de eficiență energetică și cu tendințele moderne de estetică arhitecturală; cartierele beneficiază de spații publice și spații verzi coerent ierarhizate și amenajate care găzduiesc activități dedicate comunităților locale și care asigură suportul pentru o viață urbană activă.</w:t>
      </w:r>
    </w:p>
    <w:p w14:paraId="13007AB9" w14:textId="77777777" w:rsidR="008B4153" w:rsidRPr="00F171A3" w:rsidRDefault="008B4153" w:rsidP="008B4153">
      <w:pPr>
        <w:spacing w:before="240" w:after="240"/>
        <w:rPr>
          <w:sz w:val="24"/>
          <w:szCs w:val="24"/>
        </w:rPr>
      </w:pPr>
      <w:r w:rsidRPr="00F171A3">
        <w:rPr>
          <w:rStyle w:val="CaptionChar1"/>
          <w:rFonts w:cstheme="minorHAnsi"/>
          <w:bCs w:val="0"/>
        </w:rPr>
        <w:t>Educație |</w:t>
      </w:r>
      <w:r w:rsidRPr="00F171A3">
        <w:rPr>
          <w:b/>
          <w:smallCaps/>
          <w:color w:val="134753"/>
          <w:sz w:val="20"/>
          <w:szCs w:val="20"/>
        </w:rPr>
        <w:t xml:space="preserve"> </w:t>
      </w:r>
      <w:r w:rsidRPr="00F171A3">
        <w:rPr>
          <w:color w:val="000000"/>
        </w:rPr>
        <w:t>Rețeaua școlară din Sectorul 2 cuprinde unități de învățământ moderne și performante, cu o infrastructură bine dezvoltată și tehnologizată, care crește considerabil nivelul actului educațional. În Sectorul 2 își desfășoară activitatea gimnazii, licee și facultăți de top, care atrag anual elevi și studenți din afara Capitalei. Învățământul dual furnizează forță de muncă adaptată cerințelor pieței, prin intermediul unor parteneriate cu operatori economici care asigura pregătirea elevilor, în calitate de parteneri de practică și potențiali angajatori. Dispersia unităților de învățământ este una echitabilă, fiind acoperită toată cererea înregistrată în Sectorul 2, în domeniul educației. Există unități școlare performante în fiecare cartier, pe toate nivelurile de școlarizare. La nivel interinstituțional și non-guvernamental sunt realizate proiecte și programe pentru remunerarea excelenței școlare. În orizontul de timp 2030, pe lângă proiectele de modernizare și reabilitare a infrastructurii educaționale, autoritățile locale iau în considerare crearea de noi grădinițe și creșe prin construcția de noi unități sau prin reorganizarea unor instituții preșcolare, astfel încât să conțină și grupe de creșe, pentru a dezvolta învățământul public preșcolar, ceea ce vine în ajutorul tinerilor familii. Noua abordare vizează întărirea relațiilor comunitare și cu societatea civilă, și presupune o implicare activă în proiectele soft din domeniul educației.</w:t>
      </w:r>
    </w:p>
    <w:p w14:paraId="1470C2E2" w14:textId="77777777" w:rsidR="008B4153" w:rsidRPr="00F171A3" w:rsidRDefault="008B4153" w:rsidP="008B4153">
      <w:pPr>
        <w:spacing w:before="240" w:after="240"/>
        <w:rPr>
          <w:b/>
          <w:smallCaps/>
          <w:color w:val="134753"/>
          <w:sz w:val="20"/>
          <w:szCs w:val="20"/>
        </w:rPr>
      </w:pPr>
      <w:r w:rsidRPr="00F171A3">
        <w:rPr>
          <w:rStyle w:val="CaptionChar1"/>
        </w:rPr>
        <w:t xml:space="preserve">Profil economic | </w:t>
      </w:r>
      <w:r w:rsidRPr="00F171A3">
        <w:rPr>
          <w:color w:val="000000"/>
        </w:rPr>
        <w:t>La nivelul anului 2030, Sectorul 2 are o economie complexă, diversificată, circulară, modernă, eco-friendly și inovativă, consolidându-și poziția între sectoarele Capitalei. Economia locală este dinamică și atractivă, fiind susținută armonios de către antreprenorii locali și investițiile străine directe atrase în principalele zone de business dezvoltate în ultimii ani - zona Pipera, sau tradiționale - zona Gării Obor, în domenii inovative, cu  valoare adăugată mare și nivel de salarizare ridicat. Zonele în declin - zona periferică, spre comuna Voluntari (Dragonul Roșu) este revitalizată, păstrând specificul economic al zonei (comerț), însă facilitând racordarea la piețe comerciale prin intermediul căilor de transport prin care este conectată. Principalii catalizatori ai creșterii economice sustenabile sunt forța de muncă calificată, infrastructura de afaceri modernă, transferul tehnologic și specializarea inteligentă, parteneriate stabile și eficiente, stimularea domeniului Cercetării-Dezvoltării-Inovării. Economia Sectorului 2 este dinamică, verde, circulară, complexă și diversificată. Accentul este pus pe stimularea domeniului de Cercetare-Dezvoltare-Inovare.</w:t>
      </w:r>
    </w:p>
    <w:p w14:paraId="44F10A01" w14:textId="21ACFBC6" w:rsidR="008B4153" w:rsidRPr="00F171A3" w:rsidRDefault="008B4153" w:rsidP="008B4153">
      <w:pPr>
        <w:spacing w:before="240" w:after="240"/>
        <w:rPr>
          <w:color w:val="000000"/>
        </w:rPr>
      </w:pPr>
      <w:r w:rsidRPr="00F171A3">
        <w:rPr>
          <w:rStyle w:val="CaptionChar1"/>
        </w:rPr>
        <w:t>Mobilitate</w:t>
      </w:r>
      <w:r w:rsidR="00395D0B" w:rsidRPr="00F171A3">
        <w:rPr>
          <w:rStyle w:val="CaptionChar1"/>
        </w:rPr>
        <w:t xml:space="preserve"> ȘI CONECTIVITATE</w:t>
      </w:r>
      <w:r w:rsidRPr="00F171A3">
        <w:rPr>
          <w:rStyle w:val="CaptionChar1"/>
        </w:rPr>
        <w:t xml:space="preserve"> |</w:t>
      </w:r>
      <w:r w:rsidRPr="00F171A3">
        <w:rPr>
          <w:b/>
          <w:smallCaps/>
          <w:color w:val="134753"/>
          <w:sz w:val="20"/>
          <w:szCs w:val="20"/>
        </w:rPr>
        <w:t xml:space="preserve"> </w:t>
      </w:r>
      <w:r w:rsidRPr="00F171A3">
        <w:rPr>
          <w:color w:val="000000"/>
        </w:rPr>
        <w:t>Sectorul 2 beneficiază de un sistem de transport performant, echilibrat și echitabil pentru toți participanții la trafic astfel încât peste 75% din deplasări sunt realizate cu mijloace de transport nemotorizate sau cu transportul public. Principalele artere de transport care leagă zonele</w:t>
      </w:r>
      <w:r w:rsidRPr="00F171A3">
        <w:rPr>
          <w:color w:val="38761D"/>
        </w:rPr>
        <w:t xml:space="preserve"> </w:t>
      </w:r>
      <w:r w:rsidRPr="00F171A3">
        <w:rPr>
          <w:color w:val="000000"/>
        </w:rPr>
        <w:t xml:space="preserve">periurbane de centru și sectoarele Capitalei între ele sunt echipate cu transport public de mare capacitate care permite conexiuni mai facile cu zonele de interes decât parcursul cu autoturismul personal. Rețeaua de transport public local este racordată la cea metropolitană pe baza unei rețele de parcări de transfer la marginea sectorului (Pantelimon, Colentina, Pipera) și a rețelei gări metropolitane / regionale (Obor, Pipera sau Fundeni). Sectorul 2 dispune de cea mai amplă rețea de piste de bicicletă în scop de agrement, în lungul salbei de lacuri extinzându-se și spre principalele parcuri din sector. Aceasta este completată de o rețea velo utilitară și dotările complementare (parcări sigure, sistem de bike-sharing) care asigură conexiunea între principalele zone de interes. De asemenea, sectorul dispune de o infrastructură complexă de stații de încărcare dedicate automobilelor electrice, ce contribuie la adoptarea acestui mod de transport sustenabil și prietenos cu mediul înconjurător. O serie de zone pietonale întăresc identitatea cartierelor și susțin coeziunea socială iar sistemul de străzi locale este configurat preponderent sub forma de zone rezidențiale unde accentul </w:t>
      </w:r>
      <w:r w:rsidR="00482049" w:rsidRPr="00F171A3">
        <w:rPr>
          <w:color w:val="000000"/>
        </w:rPr>
        <w:t>este</w:t>
      </w:r>
      <w:r w:rsidRPr="00F171A3">
        <w:rPr>
          <w:color w:val="000000"/>
        </w:rPr>
        <w:t xml:space="preserve"> plasat pe siguranță participanților la trafic și calitatea spațiului public. Cetățenii capitalei au acces facil la abonamente integrate de servicii de transport și sisteme de bonificație pentru deplasările fără emisii GES astfel încât proprietatea unui autoturism personal a devenit redundantă.</w:t>
      </w:r>
    </w:p>
    <w:p w14:paraId="6E19A127" w14:textId="77777777" w:rsidR="008B4153" w:rsidRPr="00F171A3" w:rsidRDefault="008B4153" w:rsidP="008B4153">
      <w:pPr>
        <w:spacing w:before="240" w:after="240"/>
        <w:rPr>
          <w:sz w:val="24"/>
          <w:szCs w:val="24"/>
        </w:rPr>
      </w:pPr>
      <w:r w:rsidRPr="00F171A3">
        <w:rPr>
          <w:rStyle w:val="CaptionChar1"/>
        </w:rPr>
        <w:t>Cultură, sport, timp liber |</w:t>
      </w:r>
      <w:r w:rsidRPr="00F171A3">
        <w:rPr>
          <w:b/>
          <w:smallCaps/>
          <w:color w:val="134753"/>
          <w:sz w:val="20"/>
          <w:szCs w:val="20"/>
        </w:rPr>
        <w:t xml:space="preserve"> </w:t>
      </w:r>
      <w:r w:rsidRPr="00F171A3">
        <w:rPr>
          <w:color w:val="000000"/>
        </w:rPr>
        <w:t>În anul 2030, Sectorul 2 este recunoscut ca fiind un sector vibrant și efervescent al Bucureștiului, orientat către comunitate și bunăstarea acesteia. Totodată, Sectorul 2 este cunoscut și drept un important pol de petrecere a timpului liber, cu o rețea verde-albastră majoră reprezentată de salba de lacuri a râului Colentina, conectată cu dotările de loisir din zona centrală (în special zona Piața Romană - Grădina Icoanei, care este în prezent o alternativă la zona de agrement Centrul Vechi) și de la nivelul orașului prin coridoare verzi, trasee culturale și o rețea de spații publice atractive pentru comunitate. Alături de o ofertă cultural-artistică și sportivă de înaltă calitate, Sectorul 2 implică în mod activ comunitatea și tinerii în viața urbană a orașului și le oferă acestora o gamă variată și descentralizată de spații atractive, cu centre multifuncționale (în zone precum Obor, Andronache, Tei sau Pantelimon), baze sportive de interes municipal și național (cum este cazul Arenei Naționale sau al bazei sportive din cartierul Pantelimon), spații gazdă de expunere ce încurajează expresia artistică a tinerilor creatori români (în zonele regenerate precum zona Electronicii) sau spații publice mici / de cartier, amenajate special pentru a încuraja incluziunea socială și participarea comunității locale în dezvoltarea Sectorului. În același timp, administrația Sectorului 2 se afirmă la nivelul Bucureștiului prin susținerea și consolidarea identitatea comunității printr-o Agendă Culturală și Sportivă bogată, populată cu activități educative, culturale, artistice și sportive, care vine în completarea ofertei culturale de la nivelul Capitalei, oferind astfel o mai mare diversificare și o descentralizare a ofertei de activități existente la nivelul zonei centrale. Pornind de la viziunea pentru anul 2025 prin care se urmărea ca Sectorul 2 să fie principalul pol de agrement al Bucureștiului, viziunea pentru anul 2030 continuă acest deziderat însă aduce și o nouă abordare în ceea ce privește prioritățile viitoare de dezvoltare. Astfel, accentul este pus de acum și pe calitatea spațiului public care contribuie la o imagine de ansamblu atractivă pentru locuitori, transformându-se de multe ori dintr-un simplu loc de tranzit într-un loc de interacțiune socială.</w:t>
      </w:r>
    </w:p>
    <w:p w14:paraId="6848385F" w14:textId="112342D7" w:rsidR="008B4153" w:rsidRPr="00F171A3" w:rsidRDefault="008B4153" w:rsidP="008B4153">
      <w:pPr>
        <w:spacing w:before="240" w:after="240"/>
        <w:rPr>
          <w:sz w:val="24"/>
          <w:szCs w:val="24"/>
        </w:rPr>
      </w:pPr>
      <w:r w:rsidRPr="00F171A3">
        <w:rPr>
          <w:rStyle w:val="CaptionChar1"/>
        </w:rPr>
        <w:t xml:space="preserve">Mediu și rețele edilitare | </w:t>
      </w:r>
      <w:r w:rsidRPr="00F171A3">
        <w:rPr>
          <w:color w:val="000000"/>
        </w:rPr>
        <w:t xml:space="preserve">În 2030 Sectorul 2 se îndreaptă spre neutralitate climatică mizând pe energie verde,  infrastructura albastră-verde, gestiunea deșeurilor sau mobilitatea urbană durabilă. Peste 90 % din locuințele colective sunt reabilitate termic iar o parte considerabilă includ și facilități avansate precum: terase sau fațade verzi, panouri solare, spații de captare a apei sau pompe de căldură, menite să reducă consumul de energie și chiar să contribuie la producția de energie. Salba de lacuri, principalul element al rețelei verzi-albastre a sectorului, este cea mai importantă destinație de agrement a </w:t>
      </w:r>
      <w:r w:rsidR="00050FAA" w:rsidRPr="00F171A3">
        <w:rPr>
          <w:color w:val="000000"/>
        </w:rPr>
        <w:t>m</w:t>
      </w:r>
      <w:r w:rsidRPr="00F171A3">
        <w:rPr>
          <w:color w:val="000000"/>
        </w:rPr>
        <w:t>unicipiului București și contribuie, alături de axele verzi secundare (Parcul Verdi – Parcul Circului, Parcul Morarilor - Parcul Sticlăriei – Parcul Național), la reducerea insulei de căldură urbană și la creșterea gradului de absorbție al apei pe teritoriul sectorului. Administrația publică și-a asumat un rol activ în combaterea schimbărilor climatice prin măsuri de eficientizare energetică și promovarea folosirii energiei regenerabile. De asemenea, Sectorul 2 este un model privind dezvoltarea economiei circulare, beneficiind de un sistem eficient și inteligent de gestionare a deșeurilor ce permite atingerea țintelor asumate privind gradul de reciclare și valorificare a diferitelor categorii de deșeuri. Primăria Sectorului 2 a menținut ritmul constant al investițiilor în reabilitarea termică a locuințelor din ultimii ani. Astfel, fondul construit este eficient din punct de vedere energetic, având, în plus, o vulnerabilitate scăzută la riscuri naturale și beneficiind de o infrastructură energetică modernă, ce asigură un confort ridicat locuitorilor și utilizatorilor.</w:t>
      </w:r>
      <w:r w:rsidRPr="00F171A3">
        <w:rPr>
          <w:color w:val="38761D"/>
        </w:rPr>
        <w:t> </w:t>
      </w:r>
    </w:p>
    <w:p w14:paraId="35A7813C" w14:textId="77777777" w:rsidR="008B4153" w:rsidRPr="00F171A3" w:rsidRDefault="008B4153" w:rsidP="008B4153">
      <w:pPr>
        <w:spacing w:before="240" w:after="240"/>
        <w:rPr>
          <w:b/>
          <w:color w:val="000000"/>
        </w:rPr>
      </w:pPr>
      <w:r w:rsidRPr="00F171A3">
        <w:rPr>
          <w:rStyle w:val="CaptionChar1"/>
        </w:rPr>
        <w:t>Sănătate |</w:t>
      </w:r>
      <w:r w:rsidRPr="00F171A3">
        <w:rPr>
          <w:b/>
          <w:smallCaps/>
          <w:color w:val="134753"/>
          <w:sz w:val="20"/>
          <w:szCs w:val="20"/>
        </w:rPr>
        <w:t xml:space="preserve"> </w:t>
      </w:r>
      <w:r w:rsidRPr="00F171A3">
        <w:rPr>
          <w:color w:val="000000"/>
        </w:rPr>
        <w:t>În anul 2030, populația Sectorului 2 este bine informată în domeniul sănătății și are acces la servicii medico-sanitare moderne și performante în proximitate, fiind înregistrată o speranță de viață mai ridicată și un nivel mai redus al morbidității. La nivelul Sectorului 2, populația generală deține o cunoaștere mai bună a beneficiilor unui stil de viață sănătos și a factorilor principali care afectează negativ sănătatea, fiind puse bazele unor generații sănătoase pe bază de informare și prevenție. Serviciile de sănătate sunt digitalizate și adresate tuturor locuitorilor, cu un timp de așteptare minim. Toți cetățenii sectorului au acces facil la infrastructură sportivă decentă și spații verzi, ceea ce permite consolidarea unui mod sănătos de viață pentru locuitori. În noua viziune, domeniul sănătății reprezintă un domeniu tratat distinct, abordat prin prisma educației și a serviciilor, nu doar a dotărilor. Autoritățile sunt mai implicate pe partea de comunicare cu cetățenii, în special pe baza lecțiilor învățate în gestionarea cu succes a pandemiei de Covid-19, care a întărit importanța acordată noțiunii de sănătate urbană. Infrastructura sportivă și proiectele de informare și comunicare cu cetățenii sunt principalele direcții de activitate ale autorităților locale</w:t>
      </w:r>
      <w:r w:rsidRPr="00F171A3">
        <w:rPr>
          <w:b/>
          <w:color w:val="000000"/>
        </w:rPr>
        <w:t>.</w:t>
      </w:r>
    </w:p>
    <w:p w14:paraId="7615A3C6" w14:textId="77777777" w:rsidR="008B4153" w:rsidRPr="00F171A3" w:rsidRDefault="008B4153" w:rsidP="008B4153">
      <w:pPr>
        <w:spacing w:before="240" w:after="240"/>
        <w:rPr>
          <w:sz w:val="24"/>
          <w:szCs w:val="24"/>
        </w:rPr>
      </w:pPr>
      <w:r w:rsidRPr="00F171A3">
        <w:rPr>
          <w:rStyle w:val="CaptionChar1"/>
        </w:rPr>
        <w:t>Servicii sociale |</w:t>
      </w:r>
      <w:r w:rsidRPr="00F171A3">
        <w:rPr>
          <w:color w:val="000000"/>
        </w:rPr>
        <w:t xml:space="preserve"> Sectorul 2 al Capitalei dispune de o rețea complexă și diversă de servicii publice care se află într-o continuă adaptare la nevoile cetățenilor. Serviciile sociale sunt prestate în cadrul unui parteneriat solid între furnizorii publici și privați de asistență socială, prin intermediul unei infrastructuri moderne și bine dotate. Sectorul 2 este un district incluziv care pune accent pe nevoile cetățeanului și oferă servicii sociale integrate pentru a dezvolta capitalul uman și calitatea vieții, oferind șanse și oportunități egale, ceea ce îi consolidează competitivitatea față de celelalte sectoare ale capitalei. În orizontul de timp 2030, sistemul de servicii sociale din Sectorul 2 are o abordare bazată pe prevenție, ceea ce pe termen lung duce la reducerea numărului de beneficiari de servicii și indemnizații sociale</w:t>
      </w:r>
      <w:r w:rsidRPr="00F171A3">
        <w:rPr>
          <w:b/>
          <w:color w:val="000000"/>
        </w:rPr>
        <w:t>. </w:t>
      </w:r>
    </w:p>
    <w:p w14:paraId="3738DFFC" w14:textId="20801A32" w:rsidR="008B4153" w:rsidRPr="00F171A3" w:rsidRDefault="008B4153" w:rsidP="008B4153">
      <w:pPr>
        <w:spacing w:before="240" w:after="240"/>
        <w:rPr>
          <w:color w:val="000000"/>
        </w:rPr>
      </w:pPr>
      <w:r w:rsidRPr="00F171A3">
        <w:rPr>
          <w:rStyle w:val="CaptionChar1"/>
        </w:rPr>
        <w:t>Capacitate administrativă |</w:t>
      </w:r>
      <w:r w:rsidRPr="00F171A3">
        <w:rPr>
          <w:b/>
          <w:smallCaps/>
          <w:color w:val="134753"/>
          <w:sz w:val="20"/>
          <w:szCs w:val="20"/>
        </w:rPr>
        <w:t xml:space="preserve"> </w:t>
      </w:r>
      <w:r w:rsidRPr="00F171A3">
        <w:rPr>
          <w:color w:val="000000"/>
        </w:rPr>
        <w:t>Sectorul 2 are o administrație publică performantă și care promovează o guvernare deschisă unde membrii comunității, mediul de afaceri, nonguvernamental sau academic sunt parte integrantă a deciziilor de la nivel local. Creșterea calității vieții urbane se fundamentează pe abordarea participativă și incluzivă promovată de administrație și pe îmbunătățirea continuă a serviciilor publice oferite. Adoptarea soluțiilor digitale, reducerea birocrației, creșterea transparenței și eficienței administrației locale, atât în procesele interne, dar și în relația cu cetățeanul, sunt principii cheie la nivelul deciziilor asumate de administrația locală. Participarea extinsă a tuturor cetățenilor în procesul de guvernare locală a oferit noi perspective și soluții pentru o dezvoltare durabilă și promovarea priorităților strategice asumate de Primăria Sector</w:t>
      </w:r>
      <w:r w:rsidR="00135D70" w:rsidRPr="00F171A3">
        <w:rPr>
          <w:color w:val="000000"/>
        </w:rPr>
        <w:t>ului</w:t>
      </w:r>
      <w:r w:rsidRPr="00F171A3">
        <w:rPr>
          <w:color w:val="000000"/>
        </w:rPr>
        <w:t xml:space="preserve"> 2 în domeniile social, cultural, de mediu sau economic. </w:t>
      </w:r>
    </w:p>
    <w:p w14:paraId="64E19094" w14:textId="77777777" w:rsidR="00395D0B" w:rsidRPr="00F171A3" w:rsidRDefault="00395D0B" w:rsidP="008B4153">
      <w:pPr>
        <w:spacing w:before="240" w:after="240"/>
        <w:rPr>
          <w:sz w:val="24"/>
          <w:szCs w:val="24"/>
        </w:rPr>
      </w:pPr>
    </w:p>
    <w:p w14:paraId="1BF5A688" w14:textId="665D7D1A" w:rsidR="008B4153" w:rsidRPr="00F171A3" w:rsidRDefault="001E0A0F" w:rsidP="00647EDE">
      <w:pPr>
        <w:pStyle w:val="Heading3"/>
        <w:rPr>
          <w:lang w:val="ro-RO"/>
        </w:rPr>
      </w:pPr>
      <w:bookmarkStart w:id="405" w:name="_heading=h.30j0zll" w:colFirst="0" w:colLast="0"/>
      <w:bookmarkStart w:id="406" w:name="_Toc127199309"/>
      <w:bookmarkEnd w:id="405"/>
      <w:r w:rsidRPr="00F171A3">
        <w:rPr>
          <w:caps w:val="0"/>
          <w:lang w:val="ro-RO"/>
        </w:rPr>
        <w:t>MISIUNE</w:t>
      </w:r>
      <w:bookmarkEnd w:id="406"/>
    </w:p>
    <w:p w14:paraId="3A027D08" w14:textId="77777777" w:rsidR="008B4153" w:rsidRPr="00F171A3" w:rsidRDefault="008B4153" w:rsidP="008B4153">
      <w:pPr>
        <w:spacing w:before="240" w:after="240"/>
        <w:rPr>
          <w:color w:val="000000"/>
        </w:rPr>
      </w:pPr>
      <w:r w:rsidRPr="00F171A3">
        <w:rPr>
          <w:rStyle w:val="CaptionChar1"/>
        </w:rPr>
        <w:t>Dezvoltare urbană |</w:t>
      </w:r>
      <w:r w:rsidRPr="00F171A3">
        <w:rPr>
          <w:b/>
          <w:smallCaps/>
          <w:color w:val="134753"/>
          <w:sz w:val="20"/>
          <w:szCs w:val="20"/>
        </w:rPr>
        <w:t xml:space="preserve"> </w:t>
      </w:r>
      <w:r w:rsidRPr="00F171A3">
        <w:rPr>
          <w:color w:val="000000"/>
        </w:rPr>
        <w:t>În vederea dezvoltării unei infrastructuri de centralității secundare și în vederea asigurării unei distribuții echilibrate în teritoriu a locurilor de muncă și dotărilor socio-culturale, economice și de petrecere a timpului liber de interes cotidian, Primăria Sectorului 2 dezvoltă o serie de parteneriate publice - private menite să asigure o calitate ridicată a spațiului urban și asigură realizarea unui cadru operațional de bună calitate. Demersurile Primăriei Sectorului 2 de dezvoltare urbană echilibrată și coerentă a teritoriului și de asigurare a unei imagini urbane reprezentative, fie ca este vorba de proiecte de regenerare urbană a cartierelor de locuințe, de amenajare de spații publice în zona centrală sau de dezvoltare de poli economici, sunt sprijinite de o comunitate locală activă și implicată dar și de comunitatea academică și asociațiile de profesioniști în domeniu. Deciziile Primăriei Sectorului 2 în ceea ce privește dezvoltarea urbană sunt fundamentate de un cadrul strategic și operațional coerent, administrația locală beneficiind de o bază de date urbane care cumulează informații din toate domeniile.</w:t>
      </w:r>
    </w:p>
    <w:p w14:paraId="0C837CA4" w14:textId="77777777" w:rsidR="008B4153" w:rsidRPr="00F171A3" w:rsidRDefault="008B4153" w:rsidP="008B4153">
      <w:pPr>
        <w:spacing w:before="240" w:after="240"/>
        <w:rPr>
          <w:sz w:val="24"/>
          <w:szCs w:val="24"/>
        </w:rPr>
      </w:pPr>
      <w:r w:rsidRPr="00F171A3">
        <w:rPr>
          <w:rStyle w:val="CaptionChar1"/>
        </w:rPr>
        <w:t>Educație |</w:t>
      </w:r>
      <w:r w:rsidRPr="00F171A3">
        <w:rPr>
          <w:b/>
          <w:smallCaps/>
          <w:color w:val="134753"/>
          <w:sz w:val="20"/>
          <w:szCs w:val="20"/>
        </w:rPr>
        <w:t xml:space="preserve"> </w:t>
      </w:r>
      <w:r w:rsidRPr="00F171A3">
        <w:rPr>
          <w:color w:val="000000"/>
        </w:rPr>
        <w:t>Pentru a creștere calitatea actului educațional și a facilita accesul la servicii educaționale, Primăria Sectorului 2 realizează investiții în dezvoltarea și extinderea rețelei de învățământ preșcolar și școlar în tot sectorul, precum și pentru încheierea de parteneriate cu operatorii economic, în vederea dezvoltării învățământului dual . Prin intermediul direcțiilor subordonate și a atribuțiilor acestora, Primăria Sectorului 2 implementează proiecte de dotare, modernizare și reabilitare a infrastructurii educaționale, dar și proiecte prin care susține în calitate de partener remunerarea excelenței școlare.</w:t>
      </w:r>
    </w:p>
    <w:p w14:paraId="2B51662A" w14:textId="77777777" w:rsidR="008B4153" w:rsidRPr="00F171A3" w:rsidRDefault="008B4153" w:rsidP="008B4153">
      <w:pPr>
        <w:spacing w:before="240" w:after="240"/>
        <w:rPr>
          <w:sz w:val="24"/>
          <w:szCs w:val="24"/>
        </w:rPr>
      </w:pPr>
      <w:r w:rsidRPr="00F171A3">
        <w:rPr>
          <w:rStyle w:val="CaptionChar1"/>
        </w:rPr>
        <w:t>Profil economic |</w:t>
      </w:r>
      <w:r w:rsidRPr="00F171A3">
        <w:rPr>
          <w:b/>
          <w:smallCaps/>
          <w:color w:val="134753"/>
          <w:sz w:val="20"/>
          <w:szCs w:val="20"/>
        </w:rPr>
        <w:t xml:space="preserve"> </w:t>
      </w:r>
      <w:r w:rsidRPr="00F171A3">
        <w:rPr>
          <w:color w:val="000000"/>
        </w:rPr>
        <w:t>Pentru îndeplinirea viziunii de dezvoltare, Primăria Sectorului 2 își consolidează rolul de partener de încredere al mediului de afaceri local, susținând, prin activități suport sau prin implicarea ca partener în proiecte majore, cu impact pe plan economic. Deși atribuțiile directe ale Primăriei Sectorului 2 sunt limitate în acest sens, autoritățile reprezintă un partener de încredere pentru mediul de afaceri, susținând dezvoltarea economică pe toate palierele posibile. De asemenea, Primăria Sectorului 2 sprijină demersurile de dezvoltare alte actorilor economici locali prin asigurarea unui proces coerent de planificare a dezvoltării prin documentații de urbanism în zonele de expansiune a activităților economice (ex. Revitalizarea zonei Dragonul Roșu, Gara Obor, asigurarea unei dezvoltări coerente în domeniul CDI în zona de nord de business), asigurarea infrastructurii necesare și a serviciilor de utilități, activități de lobby și promovare.</w:t>
      </w:r>
    </w:p>
    <w:p w14:paraId="6CC910C7" w14:textId="619F97DD" w:rsidR="008B4153" w:rsidRPr="00F171A3" w:rsidRDefault="008B4153" w:rsidP="008B4153">
      <w:pPr>
        <w:spacing w:before="240" w:after="240"/>
        <w:rPr>
          <w:sz w:val="24"/>
          <w:szCs w:val="24"/>
        </w:rPr>
      </w:pPr>
      <w:r w:rsidRPr="00F171A3">
        <w:rPr>
          <w:rStyle w:val="CaptionChar1"/>
        </w:rPr>
        <w:t>Mobilitate</w:t>
      </w:r>
      <w:r w:rsidR="00395D0B" w:rsidRPr="00F171A3">
        <w:rPr>
          <w:rStyle w:val="CaptionChar1"/>
        </w:rPr>
        <w:t xml:space="preserve"> ȘI CONECTIVITATE</w:t>
      </w:r>
      <w:r w:rsidRPr="00F171A3">
        <w:rPr>
          <w:rStyle w:val="CaptionChar1"/>
        </w:rPr>
        <w:t xml:space="preserve"> |</w:t>
      </w:r>
      <w:r w:rsidRPr="00F171A3">
        <w:rPr>
          <w:b/>
          <w:smallCaps/>
          <w:color w:val="134753"/>
          <w:sz w:val="20"/>
          <w:szCs w:val="20"/>
        </w:rPr>
        <w:t xml:space="preserve"> </w:t>
      </w:r>
      <w:r w:rsidRPr="00F171A3">
        <w:rPr>
          <w:color w:val="000000"/>
        </w:rPr>
        <w:t>Pentru a facilita tranziția către o mobilitate urbană sustenabilă, incluzivă și inteligentă Primăria Sectorului 2 se concentrează pe reconfigurarea străzilor secundare și pe dezvoltarea parcărilor rezidențiale multietajate ca parte a proceselor de regenerare urbană. Reconfigurarea străzilor secundare va viza în primul rând crearea unor condiții sigure pentru deplasările nemotorizate (pietonal/velo) dar și integrarea vegetației de aliniament, în prim plan fiind noțiunea de stradă ca spațiu public și nu ca arteră de circulație. Acest proces poate fi lansat prin proiecte pilot în cartiere precum Tei sau Andronache. Sub forma unor parteneriate Primăria Sectorului 2 contribuie și la partea de revitalizare și dezvoltare a principalelor noduri intermodale (Gara Obor, Colentina, Fundeni sau Pipera). După caz, Primăria Sectorului 2 poate contribui și la administrarea și reconfigurarea unor proiecte majore de reconfigurare a arterelor principale, așa cum este deja cazul pasajului de la Doamna Ghica.</w:t>
      </w:r>
    </w:p>
    <w:p w14:paraId="789592FB" w14:textId="1AC93B6F" w:rsidR="008B4153" w:rsidRPr="00F171A3" w:rsidRDefault="008B4153" w:rsidP="008B4153">
      <w:pPr>
        <w:spacing w:before="240" w:after="240"/>
        <w:rPr>
          <w:sz w:val="24"/>
          <w:szCs w:val="24"/>
        </w:rPr>
      </w:pPr>
      <w:r w:rsidRPr="00F171A3">
        <w:rPr>
          <w:rStyle w:val="CaptionChar1"/>
        </w:rPr>
        <w:t>Cultură, sport și tineret |</w:t>
      </w:r>
      <w:r w:rsidRPr="00F171A3">
        <w:rPr>
          <w:b/>
          <w:smallCaps/>
          <w:color w:val="134753"/>
          <w:sz w:val="20"/>
          <w:szCs w:val="20"/>
        </w:rPr>
        <w:t xml:space="preserve"> </w:t>
      </w:r>
      <w:r w:rsidRPr="00F171A3">
        <w:rPr>
          <w:color w:val="000000"/>
        </w:rPr>
        <w:t>Pentru a valorifica pe deplin resursele teritoriului, Primăria Sectorului 2 alături de direcțiile și instituțiile subordonate trebuie continuă investițiile importante realizate până în prezent pentru întreținerea și regenerarea spațiului public, pentru achiziția de terenuri și clarificarea litigiilor, precum și pentru activarea comunității locale prin diversele evenimente și activități cultural-artistice și recreative. În același timp, Sectorul 2 susține în mod activ demersurile realizate la nivelul Capitalei privind evenimentele culturale ample de la nivelul Bucureștiul (ex. acțiunea Străzi Deschise) sau de dezvoltare a unor zone complexe precum fostele zone industriale (spre exemplu, Fosta fabrică de trăsuri, Moara lui Assan etc.), infrastructuri tehnice majore sau dezvoltarea infrastructurii cultural-sportive de la nivelul zonei centrale, unde Primăria Sectorului 2 poate contribui prin acțiuni de planificare a dezvoltării unor areale, concursuri de soluții, întreținerea, dar și intervenții de amenajare, reabilitar</w:t>
      </w:r>
      <w:r w:rsidR="00C66438">
        <w:rPr>
          <w:color w:val="000000"/>
        </w:rPr>
        <w:t>e</w:t>
      </w:r>
      <w:r w:rsidRPr="00F171A3">
        <w:rPr>
          <w:color w:val="000000"/>
        </w:rPr>
        <w:t xml:space="preserve"> și dotare a spațiilor publice, inclusiv prin dezvoltarea de mecanisme de design participativ etc. </w:t>
      </w:r>
    </w:p>
    <w:p w14:paraId="1D34AE95" w14:textId="77777777" w:rsidR="008B4153" w:rsidRPr="00F171A3" w:rsidRDefault="008B4153" w:rsidP="008B4153">
      <w:pPr>
        <w:spacing w:before="240" w:after="240"/>
        <w:rPr>
          <w:sz w:val="24"/>
          <w:szCs w:val="24"/>
        </w:rPr>
      </w:pPr>
      <w:r w:rsidRPr="00F171A3">
        <w:rPr>
          <w:rStyle w:val="CaptionChar1"/>
        </w:rPr>
        <w:t>Mediu și rețele edilitare |</w:t>
      </w:r>
      <w:r w:rsidRPr="00F171A3">
        <w:rPr>
          <w:b/>
          <w:smallCaps/>
          <w:color w:val="134753"/>
          <w:sz w:val="20"/>
          <w:szCs w:val="20"/>
        </w:rPr>
        <w:t xml:space="preserve"> </w:t>
      </w:r>
      <w:r w:rsidRPr="00F171A3">
        <w:rPr>
          <w:color w:val="000000"/>
        </w:rPr>
        <w:t>Pentru atingerea neutralității din punct de vedere al impactului asupra climei, Primăria Sectorului 2 continuă investițiile importante realizate până în prezent în reabilitarea termică a locuințelor colective și a clădirilor publice aflate în administrarea acesteia mizând însă pe soluții tehnice care urmează conceptul clădirilor pasive. În paralel, PS2 sprijină demersurile PMB privind consolidarea și eficientizarea energetică a clădirilor proprii aflate pe teritoriul sectorului. În colaborare cu Apele Române și Primăria Sectorului 1, Primăria Sectorului 2 contribuie la identificarea și înlăturarea surselor de degradare a calității apelor din apropierea salbei de lacuri. În urma concursului de soluții organizat pentru această zonă, pot fi realizate studiile și documentațiile de urbanism necesare reglementării și amenajării celei mai importante axe verzi-albastre de pe teritoriul sectorului. Pentru constituirea axelor secundare, sunt reconfigurate profilele stradale pentru introducerea plantațiilor de aliniament (în parteneriat cu PMB, acolo unde este cazul) și sunt reabilitate spațiile verzi majore (completare plantații, introducere sisteme de irigații, permeabilizare suprafețe). Pentru asigurarea unor infrastructuri tehnico-edilitare moderne, Primăria Sectorului 2 sprijină demersurile furnizorilor de utilități (E-Distribuție Muntenia, Apa Nova, Termoenergetica) privind reabilitarea și modernizarea rețelelor. În plus, Primăria Sectorului 2 implementează un sistem de colectare selectivă pe trei fracții reciclabile, sprijinit de sisteme inteligente de monitorizare și completat de centre de aport voluntar, ce vor oferi populației cadrul și opțiunile necesare unei gestionări eficiente a deșeurilor. </w:t>
      </w:r>
    </w:p>
    <w:p w14:paraId="091A464D" w14:textId="77777777" w:rsidR="008B4153" w:rsidRPr="00F171A3" w:rsidRDefault="008B4153" w:rsidP="008B4153">
      <w:pPr>
        <w:spacing w:before="240" w:after="240"/>
        <w:rPr>
          <w:color w:val="000000"/>
          <w:sz w:val="24"/>
          <w:szCs w:val="24"/>
        </w:rPr>
      </w:pPr>
      <w:r w:rsidRPr="00F171A3">
        <w:rPr>
          <w:rStyle w:val="CaptionChar1"/>
        </w:rPr>
        <w:t>Sănătate |</w:t>
      </w:r>
      <w:r w:rsidRPr="00F171A3">
        <w:rPr>
          <w:b/>
          <w:smallCaps/>
          <w:color w:val="134753"/>
          <w:sz w:val="20"/>
          <w:szCs w:val="20"/>
        </w:rPr>
        <w:t xml:space="preserve"> </w:t>
      </w:r>
      <w:r w:rsidRPr="00F171A3">
        <w:rPr>
          <w:color w:val="000000"/>
        </w:rPr>
        <w:t>Primăria Sectorului 2 este activ implicată în proiectele și programele de informare a cetățenilor cu privire la necesitatea consolidării a unui mod sănătos de viață. De asemenea, autoritățile locale sunt parteneri activi și susțin prin intermediul activităților de servicii suport și conexe diferite proiecte de extindere, dotare și modernizare a infrastructurii medicale din sector. Primăria Sectorului 2 desfășoară proiecte de amenajare a spațiilor sportive în cartiere, pentru a promova modul sănătos de viață.</w:t>
      </w:r>
    </w:p>
    <w:p w14:paraId="5007A5FA" w14:textId="77777777" w:rsidR="008B4153" w:rsidRPr="00F171A3" w:rsidRDefault="008B4153" w:rsidP="008B4153">
      <w:pPr>
        <w:spacing w:before="240" w:after="240"/>
        <w:rPr>
          <w:sz w:val="24"/>
          <w:szCs w:val="24"/>
        </w:rPr>
      </w:pPr>
      <w:r w:rsidRPr="00F171A3">
        <w:rPr>
          <w:rStyle w:val="CaptionChar1"/>
        </w:rPr>
        <w:t>Servicii sociale |</w:t>
      </w:r>
      <w:r w:rsidRPr="00F171A3">
        <w:rPr>
          <w:b/>
          <w:smallCaps/>
          <w:color w:val="134753"/>
          <w:sz w:val="20"/>
          <w:szCs w:val="20"/>
        </w:rPr>
        <w:t xml:space="preserve"> </w:t>
      </w:r>
      <w:r w:rsidRPr="00F171A3">
        <w:rPr>
          <w:color w:val="000000"/>
        </w:rPr>
        <w:t>Primăria Sectorului 2, prin direcțiile și instituțiile subordonate, în parteneriat cu alți furnizori publici sau privați, prestează servicii sociale diversificate și moderne, în corelare cu necesitățile cetățenilor din Sectorul 2. În special, Primăria Sectorului 2 realizează proiecte de investiții pentru dotarea și modernizarea infrastructurii existente, precum și crearea de noi servicii publice</w:t>
      </w:r>
      <w:r w:rsidRPr="00F171A3">
        <w:rPr>
          <w:b/>
          <w:color w:val="000000"/>
        </w:rPr>
        <w:t>. </w:t>
      </w:r>
    </w:p>
    <w:p w14:paraId="507755E4" w14:textId="77777777" w:rsidR="008B4153" w:rsidRPr="00F171A3" w:rsidRDefault="008B4153" w:rsidP="008B4153">
      <w:pPr>
        <w:spacing w:before="240" w:after="240"/>
        <w:rPr>
          <w:sz w:val="24"/>
          <w:szCs w:val="24"/>
        </w:rPr>
      </w:pPr>
      <w:r w:rsidRPr="00F171A3">
        <w:rPr>
          <w:rStyle w:val="CaptionChar1"/>
        </w:rPr>
        <w:t>Capacitate administrativă |</w:t>
      </w:r>
      <w:r w:rsidRPr="00F171A3">
        <w:rPr>
          <w:b/>
          <w:smallCaps/>
          <w:color w:val="134753"/>
          <w:sz w:val="20"/>
          <w:szCs w:val="20"/>
        </w:rPr>
        <w:t xml:space="preserve"> </w:t>
      </w:r>
      <w:r w:rsidRPr="00F171A3">
        <w:rPr>
          <w:color w:val="000000"/>
        </w:rPr>
        <w:t>Misiunea Primăriei Sectorului 2 este de a fi permanent în slujba cetățenilor și a nevoilor comunității locale prin furnizarea de servicii publice adaptate nevoilor locuitorilor sectorului. Dezvoltare capacității administrative are ca fundament nevoia de eficientizare a proceselor de lucru pentru ca serviciile oferite și soluțiile implementate de administrația publică să genereze un impact social pozitiv, sustenabil, în beneficiul cetățenilor</w:t>
      </w:r>
    </w:p>
    <w:p w14:paraId="0D26DF27" w14:textId="77777777" w:rsidR="008B4153" w:rsidRPr="00F171A3" w:rsidRDefault="008B4153" w:rsidP="008B4153">
      <w:pPr>
        <w:spacing w:after="0"/>
        <w:rPr>
          <w:sz w:val="24"/>
          <w:szCs w:val="24"/>
        </w:rPr>
      </w:pPr>
    </w:p>
    <w:p w14:paraId="274B8E0C" w14:textId="27B030D2" w:rsidR="008B4153" w:rsidRPr="00F171A3" w:rsidRDefault="001E0A0F" w:rsidP="00E747A2">
      <w:pPr>
        <w:pStyle w:val="Heading3"/>
        <w:rPr>
          <w:caps w:val="0"/>
          <w:lang w:val="ro-RO"/>
        </w:rPr>
      </w:pPr>
      <w:bookmarkStart w:id="407" w:name="_heading=h.1fob9te" w:colFirst="0" w:colLast="0"/>
      <w:bookmarkStart w:id="408" w:name="_Toc127199310"/>
      <w:bookmarkEnd w:id="407"/>
      <w:r w:rsidRPr="00F171A3">
        <w:rPr>
          <w:caps w:val="0"/>
          <w:lang w:val="ro-RO"/>
        </w:rPr>
        <w:t>OBIECTIVE ȘI DIRECȚII DE ACȚIUNE</w:t>
      </w:r>
      <w:bookmarkEnd w:id="408"/>
    </w:p>
    <w:p w14:paraId="189522A7" w14:textId="77777777" w:rsidR="008B4153" w:rsidRPr="00F171A3" w:rsidRDefault="008B4153" w:rsidP="00E747A2">
      <w:pPr>
        <w:pStyle w:val="Heading4"/>
      </w:pPr>
      <w:bookmarkStart w:id="409" w:name="_heading=h.3znysh7" w:colFirst="0" w:colLast="0"/>
      <w:bookmarkEnd w:id="409"/>
      <w:r w:rsidRPr="00F171A3">
        <w:t>OBIECTIV STRATEGIC O1 – SECTOR PENTRU CETĂȚENI, CU UN CADRU URBAN ATRACTIV ȘI SERVICII PUBLICE MODERNE ȘI PERFORMANTE, CE SUSȚIN DEZVOLTAREA COMUNITĂȚII LOCALE ȘI ASIGURĂ O CALITATE RIDICATĂ A LOCUIRII</w:t>
      </w:r>
    </w:p>
    <w:p w14:paraId="2C5F0E4D" w14:textId="77777777" w:rsidR="008B4153" w:rsidRPr="00F171A3" w:rsidRDefault="008B4153" w:rsidP="008B4153">
      <w:pPr>
        <w:spacing w:before="240" w:after="240"/>
        <w:rPr>
          <w:sz w:val="24"/>
          <w:szCs w:val="24"/>
        </w:rPr>
      </w:pPr>
      <w:r w:rsidRPr="00F171A3">
        <w:rPr>
          <w:b/>
          <w:color w:val="000000"/>
        </w:rPr>
        <w:t xml:space="preserve">Descriere obiectiv strategic: </w:t>
      </w:r>
      <w:r w:rsidRPr="00F171A3">
        <w:rPr>
          <w:color w:val="000000"/>
        </w:rPr>
        <w:t xml:space="preserve">Obiectivul urmărește creșterea atractivității Sectorului 2 prin modernizarea și îmbunătățirea calității serviciilor publice dedicate locuitorilor sectorului, precum și prin creșterea calității locuirii. De asemenea, obiectivul vizează asigurarea accesului echitabil pentru toți locuitorii la </w:t>
      </w:r>
      <w:r w:rsidRPr="00F171A3">
        <w:t xml:space="preserve">dotările publice și la </w:t>
      </w:r>
      <w:r w:rsidRPr="00F171A3">
        <w:rPr>
          <w:color w:val="000000"/>
        </w:rPr>
        <w:t xml:space="preserve">oportunități </w:t>
      </w:r>
      <w:r w:rsidRPr="00F171A3">
        <w:t xml:space="preserve">și condiții optime de dezvoltare pentru un trai decent. </w:t>
      </w:r>
      <w:r w:rsidRPr="00F171A3">
        <w:rPr>
          <w:color w:val="000000"/>
        </w:rPr>
        <w:t>Acest obiectiv poate fi atins prin realizarea de investiții în modernizarea și extinderea infrastructurii aferentă serviciilor și dotărilor publice, precum și în formarea sau atragerea personalului calificat în domeniile relevante, pentru a crește calitatea ofertei. Se urmărește, de asemenea, îmbunătățirea calității spațiului public și a mediului construit ca suport al vieții urbane, ce pot susține o ofertă diversă de activități comunitare, contribuind la consolidarea spiritului identitar al locuitorilor Sectorului 2.</w:t>
      </w:r>
    </w:p>
    <w:p w14:paraId="55B46B33" w14:textId="77777777" w:rsidR="008B4153" w:rsidRPr="00F171A3" w:rsidRDefault="008B4153" w:rsidP="008B4153">
      <w:pPr>
        <w:spacing w:before="240" w:after="240"/>
        <w:rPr>
          <w:sz w:val="24"/>
          <w:szCs w:val="24"/>
        </w:rPr>
      </w:pPr>
      <w:r w:rsidRPr="00F171A3">
        <w:rPr>
          <w:b/>
          <w:color w:val="000000"/>
        </w:rPr>
        <w:t>Ținte</w:t>
      </w:r>
      <w:r w:rsidRPr="00F171A3">
        <w:rPr>
          <w:color w:val="000000"/>
        </w:rPr>
        <w:t>: </w:t>
      </w:r>
    </w:p>
    <w:p w14:paraId="05816B75" w14:textId="77777777" w:rsidR="008B4153" w:rsidRPr="00F171A3" w:rsidRDefault="008B4153" w:rsidP="008B4153">
      <w:pPr>
        <w:spacing w:before="240" w:after="240"/>
        <w:rPr>
          <w:sz w:val="24"/>
          <w:szCs w:val="24"/>
        </w:rPr>
      </w:pPr>
      <w:r w:rsidRPr="00F171A3">
        <w:rPr>
          <w:color w:val="000000"/>
        </w:rPr>
        <w:t>90% din populația Sectorului 2 are acces la servicii publice de calitate – orizont 2030</w:t>
      </w:r>
    </w:p>
    <w:p w14:paraId="51041882" w14:textId="77777777" w:rsidR="008B4153" w:rsidRPr="00F171A3" w:rsidRDefault="008B4153" w:rsidP="008B4153">
      <w:pPr>
        <w:spacing w:before="240" w:after="240"/>
        <w:rPr>
          <w:color w:val="000000"/>
        </w:rPr>
      </w:pPr>
      <w:r w:rsidRPr="00F171A3">
        <w:rPr>
          <w:color w:val="000000"/>
        </w:rPr>
        <w:t>26  Mp spațiu verde / locuitor la nivelul Sectorului 2</w:t>
      </w:r>
    </w:p>
    <w:p w14:paraId="252D0520" w14:textId="0DA1FBA0" w:rsidR="008B4153" w:rsidRPr="00F171A3" w:rsidRDefault="008B4153" w:rsidP="00E747A2">
      <w:pPr>
        <w:pStyle w:val="Heading5"/>
        <w:rPr>
          <w:lang w:val="ro-RO"/>
        </w:rPr>
      </w:pPr>
      <w:bookmarkStart w:id="410" w:name="_heading=h.2et92p0" w:colFirst="0" w:colLast="0"/>
      <w:bookmarkEnd w:id="410"/>
      <w:r w:rsidRPr="00F171A3">
        <w:rPr>
          <w:lang w:val="ro-RO"/>
        </w:rPr>
        <w:t xml:space="preserve">OBIECTIV SPECIFIC O1.1 - </w:t>
      </w:r>
      <w:r w:rsidR="001E0A0F" w:rsidRPr="00F171A3">
        <w:rPr>
          <w:lang w:val="ro-RO"/>
        </w:rPr>
        <w:t>CADRU URBAN REVITALIZAT ȘI CU O IMAGINE URBANĂ REPREZENTATIVĂ</w:t>
      </w:r>
    </w:p>
    <w:p w14:paraId="4B2A648E" w14:textId="77777777" w:rsidR="008B4153" w:rsidRPr="00F171A3" w:rsidRDefault="008B4153" w:rsidP="008B4153">
      <w:pPr>
        <w:spacing w:before="240" w:after="240"/>
        <w:rPr>
          <w:color w:val="000000"/>
        </w:rPr>
      </w:pPr>
      <w:r w:rsidRPr="00F171A3">
        <w:rPr>
          <w:b/>
          <w:color w:val="000000"/>
        </w:rPr>
        <w:t>Descrierea obiectivului</w:t>
      </w:r>
      <w:r w:rsidRPr="00F171A3">
        <w:rPr>
          <w:b/>
          <w:i/>
          <w:color w:val="000000"/>
        </w:rPr>
        <w:t xml:space="preserve">: </w:t>
      </w:r>
      <w:r w:rsidRPr="00F171A3">
        <w:rPr>
          <w:color w:val="000000"/>
        </w:rPr>
        <w:t>În cadrul acestui obiectiv se are în vedere creșterea calității fondului construit aferent instituțiilor publice și dezvoltarea dotărilor comunitare din zona centrală, istorică, din marile ansambluri de locuințe colective și în zonele rezidențiale periferice. În același timp, acest obiectiv contribuie la dezvoltarea unui sistem de centralității locale care să deservească în mod echilibrat teritoriul Sectorului 2. Obiectivul contribuie la consolidarea unui cadru operațional care să asigure dezvoltarea durabilă a teritoriului și coerența imaginii urbane a Sectorului 2. </w:t>
      </w:r>
    </w:p>
    <w:p w14:paraId="346083D0" w14:textId="77777777" w:rsidR="008B4153" w:rsidRPr="00F171A3" w:rsidRDefault="008B4153" w:rsidP="008B4153">
      <w:pPr>
        <w:spacing w:before="240" w:after="240"/>
        <w:rPr>
          <w:b/>
          <w:color w:val="000000"/>
        </w:rPr>
      </w:pPr>
      <w:r w:rsidRPr="00F171A3">
        <w:rPr>
          <w:b/>
          <w:color w:val="000000"/>
        </w:rPr>
        <w:t>Direcții de acțiune:</w:t>
      </w:r>
    </w:p>
    <w:p w14:paraId="75AD8F70" w14:textId="77777777" w:rsidR="008B4153" w:rsidRPr="00F171A3" w:rsidRDefault="008B4153" w:rsidP="008B4153">
      <w:pPr>
        <w:spacing w:before="240" w:after="100"/>
        <w:jc w:val="left"/>
        <w:rPr>
          <w:color w:val="000000"/>
        </w:rPr>
      </w:pPr>
      <w:r w:rsidRPr="00F171A3">
        <w:rPr>
          <w:b/>
          <w:color w:val="000000"/>
        </w:rPr>
        <w:t>D1.1.1.</w:t>
      </w:r>
      <w:r w:rsidRPr="00F171A3">
        <w:rPr>
          <w:rFonts w:ascii="Arial" w:eastAsia="Arial" w:hAnsi="Arial" w:cs="Arial"/>
          <w:color w:val="FF00FF"/>
        </w:rPr>
        <w:t xml:space="preserve"> </w:t>
      </w:r>
      <w:r w:rsidRPr="00F171A3">
        <w:rPr>
          <w:color w:val="000000"/>
        </w:rPr>
        <w:t>Creșterea calității fondului construit aparținând administrației publice locale</w:t>
      </w:r>
    </w:p>
    <w:p w14:paraId="1E64A377" w14:textId="77777777" w:rsidR="008B4153" w:rsidRPr="00F171A3" w:rsidRDefault="008B4153" w:rsidP="008B4153">
      <w:pPr>
        <w:spacing w:before="240" w:after="0"/>
        <w:jc w:val="left"/>
        <w:rPr>
          <w:rFonts w:ascii="Times New Roman" w:eastAsia="Times New Roman" w:hAnsi="Times New Roman" w:cs="Times New Roman"/>
          <w:sz w:val="24"/>
          <w:szCs w:val="24"/>
        </w:rPr>
      </w:pPr>
      <w:r w:rsidRPr="00F171A3">
        <w:rPr>
          <w:b/>
          <w:color w:val="000000"/>
        </w:rPr>
        <w:t>D1.1.2</w:t>
      </w:r>
      <w:r w:rsidRPr="00F171A3">
        <w:rPr>
          <w:rFonts w:ascii="Arial" w:eastAsia="Arial" w:hAnsi="Arial" w:cs="Arial"/>
          <w:color w:val="FF00FF"/>
        </w:rPr>
        <w:t xml:space="preserve">. </w:t>
      </w:r>
      <w:r w:rsidRPr="00F171A3">
        <w:rPr>
          <w:color w:val="000000"/>
        </w:rPr>
        <w:t>Dezvoltarea cadrului operațional pentru asigurarea unei imagini și dezvoltări urbane unitare, coerente</w:t>
      </w:r>
    </w:p>
    <w:p w14:paraId="15DFD5BD" w14:textId="6E07E874" w:rsidR="008B4153" w:rsidRPr="00F171A3" w:rsidRDefault="008B4153" w:rsidP="008B4153">
      <w:pPr>
        <w:spacing w:before="240" w:after="0"/>
        <w:jc w:val="left"/>
        <w:rPr>
          <w:color w:val="000000"/>
        </w:rPr>
      </w:pPr>
      <w:r w:rsidRPr="00F171A3">
        <w:rPr>
          <w:b/>
          <w:color w:val="000000"/>
        </w:rPr>
        <w:t>D1.1.3.</w:t>
      </w:r>
      <w:r w:rsidRPr="00F171A3">
        <w:rPr>
          <w:rFonts w:ascii="Arial" w:eastAsia="Arial" w:hAnsi="Arial" w:cs="Arial"/>
          <w:color w:val="FF00FF"/>
        </w:rPr>
        <w:t xml:space="preserve"> </w:t>
      </w:r>
      <w:r w:rsidRPr="00F171A3">
        <w:rPr>
          <w:color w:val="000000"/>
        </w:rPr>
        <w:t>Modernizarea și completarea sistemului de dotări comunitare</w:t>
      </w:r>
    </w:p>
    <w:p w14:paraId="406D89F9" w14:textId="4291EE19" w:rsidR="001D5AD5" w:rsidRPr="00F171A3" w:rsidRDefault="001D5AD5" w:rsidP="008B4153">
      <w:pPr>
        <w:spacing w:before="240" w:after="0"/>
        <w:jc w:val="left"/>
        <w:rPr>
          <w:color w:val="000000"/>
        </w:rPr>
      </w:pPr>
      <w:r w:rsidRPr="00F171A3">
        <w:rPr>
          <w:b/>
          <w:color w:val="000000"/>
        </w:rPr>
        <w:t>D1.1.4.</w:t>
      </w:r>
      <w:r w:rsidRPr="00F171A3">
        <w:rPr>
          <w:color w:val="000000"/>
        </w:rPr>
        <w:t xml:space="preserve"> Dezvoltarea serviciilor de gestionare a animalelor fără stăpân</w:t>
      </w:r>
    </w:p>
    <w:p w14:paraId="736815BD" w14:textId="77777777" w:rsidR="00395D0B" w:rsidRPr="00F171A3" w:rsidRDefault="00395D0B" w:rsidP="008B4153">
      <w:pPr>
        <w:spacing w:before="240" w:after="0"/>
        <w:jc w:val="left"/>
        <w:rPr>
          <w:color w:val="000000"/>
        </w:rPr>
      </w:pPr>
    </w:p>
    <w:p w14:paraId="47176E67" w14:textId="34ABD878" w:rsidR="008B4153" w:rsidRPr="00F171A3" w:rsidRDefault="008B4153" w:rsidP="00E747A2">
      <w:pPr>
        <w:pStyle w:val="Heading5"/>
        <w:rPr>
          <w:lang w:val="ro-RO"/>
        </w:rPr>
      </w:pPr>
      <w:bookmarkStart w:id="411" w:name="_heading=h.tyjcwt" w:colFirst="0" w:colLast="0"/>
      <w:bookmarkEnd w:id="411"/>
      <w:r w:rsidRPr="00F171A3">
        <w:rPr>
          <w:lang w:val="ro-RO"/>
        </w:rPr>
        <w:t xml:space="preserve">OBIECTIV SPECIFIC O1.2. - </w:t>
      </w:r>
      <w:r w:rsidR="001E0A0F" w:rsidRPr="00F171A3">
        <w:rPr>
          <w:lang w:val="ro-RO"/>
        </w:rPr>
        <w:t>CARTIERE DE LOCUINȚE COLECTIVE REGENERATE, CU O CALITATE RIDICATĂ A SPAȚIULUI PUBLIC ȘI A FONDULUI LOCATIV, ADAPTATE CERINȚELOR ȘI NEVOILOR LOCUITORILOR </w:t>
      </w:r>
    </w:p>
    <w:p w14:paraId="68F34ED7" w14:textId="77777777" w:rsidR="008B4153" w:rsidRPr="00F171A3" w:rsidRDefault="008B4153" w:rsidP="008B4153">
      <w:pPr>
        <w:spacing w:before="240" w:after="240"/>
        <w:rPr>
          <w:rFonts w:cstheme="minorHAnsi"/>
        </w:rPr>
      </w:pPr>
      <w:r w:rsidRPr="00F171A3">
        <w:rPr>
          <w:b/>
          <w:color w:val="000000"/>
        </w:rPr>
        <w:t>Descrierea obiectivului</w:t>
      </w:r>
      <w:r w:rsidRPr="00F171A3">
        <w:rPr>
          <w:b/>
          <w:i/>
          <w:color w:val="000000"/>
        </w:rPr>
        <w:t xml:space="preserve">: </w:t>
      </w:r>
      <w:r w:rsidRPr="00F171A3">
        <w:rPr>
          <w:color w:val="000000"/>
        </w:rPr>
        <w:t xml:space="preserve">Obiectivul propune intervenții integrate de regenerare urbană a spațiilor publice aferente ansamblurilor de locuințe colective, </w:t>
      </w:r>
      <w:r w:rsidRPr="00F171A3">
        <w:rPr>
          <w:rFonts w:cstheme="minorHAnsi"/>
        </w:rPr>
        <w:t xml:space="preserve">având la bază proiectul pilot </w:t>
      </w:r>
      <w:r w:rsidRPr="00F171A3">
        <w:rPr>
          <w:rFonts w:cstheme="minorHAnsi"/>
          <w:color w:val="000000"/>
        </w:rPr>
        <w:t xml:space="preserve">de tip workshop-uri (ateliere de lucru interdisciplinare) pentru generarea unor modele de amenajare a spațiilor publice, </w:t>
      </w:r>
      <w:r w:rsidRPr="00F171A3">
        <w:rPr>
          <w:rFonts w:cstheme="minorHAnsi"/>
        </w:rPr>
        <w:t xml:space="preserve">derulat de PS2 în </w:t>
      </w:r>
      <w:r w:rsidRPr="00F171A3">
        <w:rPr>
          <w:rFonts w:cstheme="minorHAnsi"/>
          <w:color w:val="000000"/>
        </w:rPr>
        <w:t xml:space="preserve">parteneriat cu OAR. Intervențiile de </w:t>
      </w:r>
      <w:r w:rsidRPr="00F171A3">
        <w:rPr>
          <w:color w:val="000000"/>
        </w:rPr>
        <w:t xml:space="preserve">regenerare urbană a spațiilor publice vor avea în vedere amenajarea spațiilor verzi și implementarea de </w:t>
      </w:r>
      <w:r w:rsidRPr="00F171A3">
        <w:rPr>
          <w:rFonts w:cstheme="minorHAnsi"/>
          <w:color w:val="000000"/>
        </w:rPr>
        <w:t>sisteme de drenaj ale apelor pluviale</w:t>
      </w:r>
      <w:r w:rsidRPr="00F171A3">
        <w:rPr>
          <w:color w:val="000000"/>
        </w:rPr>
        <w:t>, a spațiilor de recreere și socializare destinate tuturor categoriilor de utilizatori, a locurilor de joacă, modernizarea mobilierului urban (</w:t>
      </w:r>
      <w:r w:rsidRPr="00F171A3">
        <w:rPr>
          <w:rFonts w:cstheme="minorHAnsi"/>
          <w:color w:val="000000"/>
        </w:rPr>
        <w:t>iluminat artificial, signaletică, publicitate urbană etc)</w:t>
      </w:r>
      <w:r w:rsidRPr="00F171A3">
        <w:rPr>
          <w:color w:val="000000"/>
        </w:rPr>
        <w:t xml:space="preserve">, asigurarea </w:t>
      </w:r>
      <w:r w:rsidRPr="00F171A3">
        <w:rPr>
          <w:rFonts w:cstheme="minorHAnsi"/>
          <w:color w:val="000000"/>
        </w:rPr>
        <w:t xml:space="preserve">accesibilității (spațiu public incluziv), </w:t>
      </w:r>
      <w:r w:rsidRPr="00F171A3">
        <w:rPr>
          <w:color w:val="000000"/>
        </w:rPr>
        <w:t xml:space="preserve">configurarea circulațiilor și spațiilor de parcare, identificarea și amenajarea spații în care se pot desfășura micro-evenimente. Proiectele de regenerare urbană a spațiilor publice aferente ansamblurilor de locuințe colective vor avea ca referință recomandările și propunerile incluse în </w:t>
      </w:r>
      <w:r w:rsidRPr="00F171A3">
        <w:t xml:space="preserve">ghidul </w:t>
      </w:r>
      <w:r w:rsidRPr="00F171A3">
        <w:rPr>
          <w:rFonts w:cstheme="minorHAnsi"/>
        </w:rPr>
        <w:t xml:space="preserve">de regenerare urbană prin tehnici de urbanism participativ și proiect de conștientizare &amp; management al riscului seismic pentru zona Colentina – Tei (Proiectul Activare și Planificare pentru Eficiență Locală (APEL) Colentina – Tei) elaborat de către Primăria Sectorului 2 în parteneriat cu Banca Mondială. </w:t>
      </w:r>
    </w:p>
    <w:p w14:paraId="59247DBF" w14:textId="77777777" w:rsidR="008B4153" w:rsidRPr="00F171A3" w:rsidRDefault="008B4153" w:rsidP="008B4153">
      <w:pPr>
        <w:spacing w:before="240" w:after="240"/>
        <w:rPr>
          <w:color w:val="000000"/>
        </w:rPr>
      </w:pPr>
      <w:r w:rsidRPr="00F171A3">
        <w:rPr>
          <w:color w:val="000000"/>
        </w:rPr>
        <w:t>Aceste intervenții trebuie să se realizeze având la bază un masterplan de regenerare urbană a ansamblurilor de locuințe colective, prin care să se stabilească o ierarhie a spațiilor publice, să se identifice zonele cu potențial de transformare în centre de cartier și care să se coordoneze cu proiecte de dezvoltarea unei mobilități urbane durabile (amenajarea de piste de biciclete, trasee de transport public de persoane). Proiectele de intervenții în cadrul ansamblurilor de locuințe colective trebuie să fie coroborate cu proiectele de dezvoltarea dotărilor comunitare din aceste areale (centre comunitare, piețe, creșe ș.a.). </w:t>
      </w:r>
    </w:p>
    <w:p w14:paraId="67F8FAF3" w14:textId="77777777" w:rsidR="008B4153" w:rsidRPr="00F171A3" w:rsidRDefault="008B4153" w:rsidP="008B4153">
      <w:pPr>
        <w:spacing w:before="240" w:after="240"/>
        <w:rPr>
          <w:color w:val="000000"/>
        </w:rPr>
      </w:pPr>
      <w:r w:rsidRPr="00F171A3">
        <w:rPr>
          <w:color w:val="000000"/>
        </w:rPr>
        <w:t xml:space="preserve">În același timp, obiectivul are în vedere revitalizarea fondului locativ din cadrul ansamblurilor de locuințe colective prin intervenții pe multiple paliere în scopul creșterii locuirii: modernizarea zonelor de acces în blocuri, crearea unui ghid de reabilitare a fațadelor, sprijin acordat asociațiilor de proprietari pentru elaborarea cărților tehnice ale imobilelor. </w:t>
      </w:r>
    </w:p>
    <w:p w14:paraId="55C03210" w14:textId="77777777" w:rsidR="008B4153" w:rsidRPr="00F171A3" w:rsidRDefault="008B4153" w:rsidP="008B4153">
      <w:pPr>
        <w:spacing w:before="240" w:after="240"/>
        <w:rPr>
          <w:color w:val="000000"/>
        </w:rPr>
      </w:pPr>
      <w:r w:rsidRPr="00F171A3">
        <w:rPr>
          <w:color w:val="000000"/>
        </w:rPr>
        <w:t xml:space="preserve">În vederea implementării acestui obiectiv un rol important îl are comunitatea locală, fiind necesară implicarea acesteia în procesul de planificare și implementare, și sprijinul acordat de specialiști în domeniu (arhitecți, urbaniști, peisagiști, horticultori etc), fiind utilă cooptarea unor facilitatori comunitari. </w:t>
      </w:r>
    </w:p>
    <w:p w14:paraId="494D7E55" w14:textId="77777777" w:rsidR="008B4153" w:rsidRPr="00F171A3" w:rsidRDefault="008B4153" w:rsidP="008B4153">
      <w:pPr>
        <w:spacing w:before="240" w:after="240"/>
        <w:rPr>
          <w:b/>
          <w:color w:val="000000"/>
        </w:rPr>
      </w:pPr>
      <w:r w:rsidRPr="00F171A3">
        <w:rPr>
          <w:b/>
          <w:color w:val="000000"/>
        </w:rPr>
        <w:t>Direcții de acțiune:</w:t>
      </w:r>
    </w:p>
    <w:p w14:paraId="3CF459A5" w14:textId="77777777" w:rsidR="008B4153" w:rsidRPr="00F171A3" w:rsidRDefault="008B4153" w:rsidP="008B4153">
      <w:pPr>
        <w:spacing w:before="240" w:after="240"/>
        <w:rPr>
          <w:color w:val="000000"/>
        </w:rPr>
      </w:pPr>
      <w:r w:rsidRPr="00F171A3">
        <w:rPr>
          <w:b/>
          <w:color w:val="000000"/>
        </w:rPr>
        <w:t>D1.2.1.</w:t>
      </w:r>
      <w:r w:rsidRPr="00F171A3">
        <w:rPr>
          <w:rFonts w:ascii="Arial" w:eastAsia="Arial" w:hAnsi="Arial" w:cs="Arial"/>
          <w:color w:val="FF00FF"/>
        </w:rPr>
        <w:t xml:space="preserve"> </w:t>
      </w:r>
      <w:r w:rsidRPr="00F171A3">
        <w:rPr>
          <w:color w:val="000000"/>
        </w:rPr>
        <w:t>Regenerarea urbană a spațiilor publice din cadrul ansamblurilor de locuințe colective și parcelări</w:t>
      </w:r>
    </w:p>
    <w:p w14:paraId="051FF5D2" w14:textId="77777777" w:rsidR="008B4153" w:rsidRPr="00F171A3" w:rsidRDefault="008B4153" w:rsidP="008B4153">
      <w:pPr>
        <w:spacing w:before="240" w:after="240"/>
        <w:rPr>
          <w:color w:val="000000"/>
        </w:rPr>
      </w:pPr>
      <w:r w:rsidRPr="00F171A3">
        <w:rPr>
          <w:b/>
          <w:bCs/>
          <w:color w:val="000000"/>
        </w:rPr>
        <w:t>D1.2.2.</w:t>
      </w:r>
      <w:r w:rsidRPr="00F171A3">
        <w:rPr>
          <w:color w:val="000000"/>
        </w:rPr>
        <w:t xml:space="preserve"> Revitalizarea fondului locativ din cadrul ansamblurilor de locuințe colective</w:t>
      </w:r>
    </w:p>
    <w:p w14:paraId="36263BD4" w14:textId="77777777" w:rsidR="008B4153" w:rsidRPr="00F171A3" w:rsidRDefault="008B4153" w:rsidP="008B4153">
      <w:pPr>
        <w:spacing w:before="240" w:after="240"/>
        <w:rPr>
          <w:rFonts w:ascii="Times New Roman" w:eastAsia="Times New Roman" w:hAnsi="Times New Roman" w:cs="Times New Roman"/>
          <w:sz w:val="24"/>
          <w:szCs w:val="24"/>
        </w:rPr>
      </w:pPr>
    </w:p>
    <w:p w14:paraId="73D1F2E1" w14:textId="6B23AB3E" w:rsidR="008B4153" w:rsidRPr="00F171A3" w:rsidRDefault="001E0A0F" w:rsidP="00E747A2">
      <w:pPr>
        <w:pStyle w:val="Heading5"/>
        <w:rPr>
          <w:lang w:val="ro-RO"/>
        </w:rPr>
      </w:pPr>
      <w:bookmarkStart w:id="412" w:name="_heading=h.3dy6vkm" w:colFirst="0" w:colLast="0"/>
      <w:bookmarkEnd w:id="412"/>
      <w:r w:rsidRPr="00F171A3">
        <w:rPr>
          <w:lang w:val="ro-RO"/>
        </w:rPr>
        <w:t>OBIECTIV SPECIFIC O1.3. - EDUCAREA NOILOR GENERAȚII ARE LOC ÎN CONDIȚII DE PRACTICI ȘI INFRASTRUCTURĂ MODERNĂ A MEDIULUI EDUCAȚIONAL, FAVORABILE DEZVOLTĂRII ECHILIBRATE A TINERILOR</w:t>
      </w:r>
    </w:p>
    <w:p w14:paraId="585F8AC9" w14:textId="77777777" w:rsidR="008B4153" w:rsidRPr="00F171A3" w:rsidRDefault="008B4153" w:rsidP="008B4153">
      <w:pPr>
        <w:spacing w:before="240" w:after="240"/>
        <w:rPr>
          <w:sz w:val="24"/>
          <w:szCs w:val="24"/>
        </w:rPr>
      </w:pPr>
      <w:r w:rsidRPr="00F171A3">
        <w:rPr>
          <w:b/>
          <w:color w:val="000000"/>
        </w:rPr>
        <w:t>Descrierea obiectivului:</w:t>
      </w:r>
      <w:r w:rsidRPr="00F171A3">
        <w:rPr>
          <w:color w:val="000000"/>
        </w:rPr>
        <w:t xml:space="preserve"> Atingerea obiectivului conduce la existența unui mediu preșcolar, școlar și universitar bine dotat și modern, atât din punct de vedere al infrastructurii, al bazei materiale necesare, cât și al personalului didactic din unitățile de învățământ. Pe lângă aceasta, tranziția către unele practici digitale de predare și existența unei oferte de învățământ alternativ facilitează dezvoltarea competențelor necesare pentru încadrarea în câmpul muncii în domeniile ocupaționale ale viitorului.</w:t>
      </w:r>
    </w:p>
    <w:p w14:paraId="645C3455" w14:textId="77777777" w:rsidR="008B4153" w:rsidRPr="00F171A3" w:rsidRDefault="008B4153" w:rsidP="008B4153">
      <w:pPr>
        <w:spacing w:before="240" w:after="240"/>
        <w:rPr>
          <w:b/>
          <w:color w:val="000000"/>
        </w:rPr>
      </w:pPr>
      <w:r w:rsidRPr="00F171A3">
        <w:rPr>
          <w:b/>
          <w:color w:val="000000"/>
        </w:rPr>
        <w:t>Direcții de acțiune:</w:t>
      </w:r>
    </w:p>
    <w:p w14:paraId="40508FA0" w14:textId="77777777" w:rsidR="008B4153" w:rsidRPr="00F171A3" w:rsidRDefault="008B4153" w:rsidP="008B4153">
      <w:pPr>
        <w:spacing w:before="240" w:after="240"/>
        <w:rPr>
          <w:sz w:val="24"/>
          <w:szCs w:val="24"/>
        </w:rPr>
      </w:pPr>
      <w:r w:rsidRPr="00F171A3">
        <w:rPr>
          <w:b/>
          <w:color w:val="000000"/>
        </w:rPr>
        <w:t>D1.3.1.</w:t>
      </w:r>
      <w:r w:rsidRPr="00F171A3">
        <w:rPr>
          <w:color w:val="000000"/>
        </w:rPr>
        <w:t xml:space="preserve"> Extinderea, modernizarea, digitalizarea și dotarea infrastructurii educaționale existente în Sectorul 2</w:t>
      </w:r>
    </w:p>
    <w:p w14:paraId="6DA2B26E" w14:textId="77777777" w:rsidR="008B4153" w:rsidRPr="00F171A3" w:rsidRDefault="008B4153" w:rsidP="008B4153">
      <w:pPr>
        <w:spacing w:before="240" w:after="240"/>
        <w:rPr>
          <w:sz w:val="24"/>
          <w:szCs w:val="24"/>
        </w:rPr>
      </w:pPr>
      <w:r w:rsidRPr="00F171A3">
        <w:rPr>
          <w:b/>
          <w:color w:val="000000"/>
        </w:rPr>
        <w:t>D1.3.2.</w:t>
      </w:r>
      <w:r w:rsidRPr="00F171A3">
        <w:rPr>
          <w:color w:val="000000"/>
        </w:rPr>
        <w:t xml:space="preserve"> Extinderea rețelei grădinițe și creșe astfel încât să acopere cererea existentă</w:t>
      </w:r>
    </w:p>
    <w:p w14:paraId="15A426D7" w14:textId="1301E557" w:rsidR="008B4153" w:rsidRPr="00F171A3" w:rsidRDefault="008B4153" w:rsidP="008B4153">
      <w:pPr>
        <w:spacing w:before="240" w:after="240"/>
        <w:rPr>
          <w:color w:val="000000"/>
        </w:rPr>
      </w:pPr>
      <w:r w:rsidRPr="00F171A3">
        <w:rPr>
          <w:b/>
          <w:color w:val="000000"/>
        </w:rPr>
        <w:t>D1.3.3.</w:t>
      </w:r>
      <w:r w:rsidRPr="00F171A3">
        <w:rPr>
          <w:color w:val="000000"/>
        </w:rPr>
        <w:t xml:space="preserve"> Realizarea în parteneriat a proiectelor și programelor cu privire la reducerea fenomenului de absenteism și abandon școlar, dezvoltarea învățământului dual, precum și promovarea excelenței elevilor și a cadrelor didactice</w:t>
      </w:r>
    </w:p>
    <w:p w14:paraId="4AC7E5FD" w14:textId="77777777" w:rsidR="00395D0B" w:rsidRPr="00F171A3" w:rsidRDefault="00395D0B" w:rsidP="008B4153">
      <w:pPr>
        <w:spacing w:before="240" w:after="240"/>
        <w:rPr>
          <w:sz w:val="24"/>
          <w:szCs w:val="24"/>
        </w:rPr>
      </w:pPr>
    </w:p>
    <w:p w14:paraId="5572C9C4" w14:textId="6A922DCE" w:rsidR="008B4153" w:rsidRPr="00F171A3" w:rsidRDefault="001E0A0F" w:rsidP="00E747A2">
      <w:pPr>
        <w:pStyle w:val="Heading5"/>
        <w:rPr>
          <w:lang w:val="ro-RO"/>
        </w:rPr>
      </w:pPr>
      <w:bookmarkStart w:id="413" w:name="_heading=h.1t3h5sf" w:colFirst="0" w:colLast="0"/>
      <w:bookmarkEnd w:id="413"/>
      <w:r w:rsidRPr="00F171A3">
        <w:rPr>
          <w:lang w:val="ro-RO"/>
        </w:rPr>
        <w:t>OBIECTIV SPECIFIC O1.4. - INFRASTRUCTURĂ SPORTIVĂ ȘI DE PETRECERE A TIMPULUI LIBER DEZVOLTATĂ, CE CONCENTREAZĂ O OFERTĂ ATRACTIVĂ DE ACTIVITĂȚI PENTRU COMUNITATEA LOCALĂ</w:t>
      </w:r>
    </w:p>
    <w:p w14:paraId="2FB33EDE" w14:textId="77777777" w:rsidR="008B4153" w:rsidRPr="00F171A3" w:rsidRDefault="008B4153" w:rsidP="008B4153">
      <w:pPr>
        <w:spacing w:before="240" w:after="240"/>
        <w:rPr>
          <w:rFonts w:cstheme="minorHAnsi"/>
          <w:color w:val="134753"/>
        </w:rPr>
      </w:pPr>
      <w:r w:rsidRPr="00F171A3">
        <w:rPr>
          <w:b/>
          <w:color w:val="000000"/>
        </w:rPr>
        <w:t>Descrierea obiectivului</w:t>
      </w:r>
      <w:r w:rsidRPr="00F171A3">
        <w:rPr>
          <w:b/>
          <w:i/>
          <w:color w:val="000000"/>
        </w:rPr>
        <w:t xml:space="preserve">: </w:t>
      </w:r>
      <w:r w:rsidRPr="00F171A3">
        <w:rPr>
          <w:color w:val="000000"/>
        </w:rPr>
        <w:t>Obiectivul are în vedere valorificarea spațiilor de petrecere a timpului liber din cartierele de locuit, urmând ca acestea să intre într-un amplu proces de reabilitare și amenajare sau chiar dezvoltare, în vederea satisfacerii nevoilor comunității locale. Zone precum Pantelimon, Obor, Colentina-Tei, Floreasca sau Iancului vor reprezenta areale importante de petrecere a timpului liber pentru comunitatea locală și, în același timp, zone de legătură între spațiile verzi de dimensiuni mai mari de la nivelul Sectorului 2 și chiar de la nivelul întregului București, la acestea adăugându-se și o rețea în dezvoltare de spații pietonale generoase. Acest obiectiv urmărește creșterea calității spațiilor publice și spațiilor verzi din zona centrală (Moșilor Vechi, Mântuleasa, Ioanid, Cantacuzino-Spaniei etc) și din zonele rezidențiale prin propuneri de reorganizare sau reamenajare a unor spații existente pentru a corespunde cerințelor actuale de utilizare a spațiilor publice.</w:t>
      </w:r>
      <w:r w:rsidRPr="00F171A3">
        <w:rPr>
          <w:rFonts w:ascii="Arial" w:eastAsia="Arial" w:hAnsi="Arial" w:cs="Arial"/>
          <w:color w:val="FF00FF"/>
        </w:rPr>
        <w:t xml:space="preserve"> </w:t>
      </w:r>
      <w:r w:rsidRPr="00F171A3">
        <w:rPr>
          <w:color w:val="000000"/>
        </w:rPr>
        <w:t xml:space="preserve">Proiectele de regenerare urbană a spațiilor </w:t>
      </w:r>
      <w:r w:rsidRPr="00F171A3">
        <w:t xml:space="preserve">publice din zona centrală vor include și extinde propunerile proiectului de regenerare urbană a zonei istorice a Sectorului 2 (Calea Moșilor - Str. Mântuleasa), </w:t>
      </w:r>
      <w:r w:rsidRPr="00F171A3">
        <w:rPr>
          <w:rFonts w:cstheme="minorHAnsi"/>
        </w:rPr>
        <w:t xml:space="preserve">elaborat de către Primăria Sectorului 2 în parteneriat cu Banca Mondială. </w:t>
      </w:r>
    </w:p>
    <w:p w14:paraId="0A7F9C40" w14:textId="77777777" w:rsidR="008B4153" w:rsidRPr="00F171A3" w:rsidRDefault="008B4153" w:rsidP="008B4153">
      <w:pPr>
        <w:spacing w:before="240" w:after="240"/>
        <w:rPr>
          <w:sz w:val="24"/>
          <w:szCs w:val="24"/>
        </w:rPr>
      </w:pPr>
      <w:r w:rsidRPr="00F171A3">
        <w:rPr>
          <w:color w:val="000000"/>
        </w:rPr>
        <w:t>În același timp, este vizată și realizarea de noi dotări sportive în zonele rezidențiale ale Sectorului 2 în care acestea lipsesc, alături de proiecte de stimulare și încurajare a sportului de masă și a unui stil de viață activ, precum programe de educare în domeniul sportului în rândul copiilor, concursuri / competiții în comunitate sau cursuri gratuite de sport în parc pentru tineri și seniori.</w:t>
      </w:r>
    </w:p>
    <w:p w14:paraId="5C99EF4E" w14:textId="77777777" w:rsidR="008B4153" w:rsidRPr="00F171A3" w:rsidRDefault="008B4153" w:rsidP="008B4153">
      <w:pPr>
        <w:spacing w:before="240" w:after="240"/>
        <w:rPr>
          <w:sz w:val="24"/>
          <w:szCs w:val="24"/>
        </w:rPr>
      </w:pPr>
      <w:r w:rsidRPr="00F171A3">
        <w:rPr>
          <w:b/>
          <w:color w:val="000000"/>
        </w:rPr>
        <w:t>Direcții de acțiune:</w:t>
      </w:r>
    </w:p>
    <w:p w14:paraId="187E7C0C" w14:textId="77777777" w:rsidR="008B4153" w:rsidRPr="00F171A3" w:rsidRDefault="008B4153" w:rsidP="008B4153">
      <w:pPr>
        <w:spacing w:before="240" w:after="240"/>
        <w:rPr>
          <w:sz w:val="24"/>
          <w:szCs w:val="24"/>
        </w:rPr>
      </w:pPr>
      <w:r w:rsidRPr="00F171A3">
        <w:rPr>
          <w:b/>
          <w:color w:val="000000"/>
        </w:rPr>
        <w:t>D1.4.1.</w:t>
      </w:r>
      <w:r w:rsidRPr="00F171A3">
        <w:rPr>
          <w:color w:val="000000"/>
        </w:rPr>
        <w:t xml:space="preserve"> Diversificarea infrastructurii de sport și de petrecerea timpului liber din Sector 2, prin construcția și amenajarea de noi facilități sau reabilitarea, modernizarea și dotarea infrastructurii existente</w:t>
      </w:r>
    </w:p>
    <w:p w14:paraId="4769A3BD" w14:textId="77777777" w:rsidR="008B4153" w:rsidRPr="00F171A3" w:rsidRDefault="008B4153" w:rsidP="008B4153">
      <w:pPr>
        <w:spacing w:before="240" w:after="240"/>
        <w:rPr>
          <w:sz w:val="24"/>
          <w:szCs w:val="24"/>
        </w:rPr>
      </w:pPr>
      <w:r w:rsidRPr="00F171A3">
        <w:rPr>
          <w:b/>
          <w:color w:val="000000"/>
        </w:rPr>
        <w:t>D1.4.2</w:t>
      </w:r>
      <w:r w:rsidRPr="00F171A3">
        <w:rPr>
          <w:color w:val="000000"/>
        </w:rPr>
        <w:t>. Sprijinirea și promovarea ofertei de activități de sport și de petrecerea timpului liber în Sectorul 2</w:t>
      </w:r>
    </w:p>
    <w:p w14:paraId="3ABB5929" w14:textId="0913FB41" w:rsidR="008B4153" w:rsidRPr="00F171A3" w:rsidRDefault="008B4153" w:rsidP="008B4153">
      <w:pPr>
        <w:spacing w:before="240" w:after="240"/>
        <w:rPr>
          <w:color w:val="000000"/>
        </w:rPr>
      </w:pPr>
      <w:r w:rsidRPr="00F171A3">
        <w:rPr>
          <w:b/>
          <w:color w:val="000000"/>
        </w:rPr>
        <w:t>D1.4.3.</w:t>
      </w:r>
      <w:r w:rsidRPr="00F171A3">
        <w:rPr>
          <w:color w:val="000000"/>
        </w:rPr>
        <w:t xml:space="preserve"> </w:t>
      </w:r>
      <w:r w:rsidR="002423E0" w:rsidRPr="00F171A3">
        <w:rPr>
          <w:color w:val="000000"/>
        </w:rPr>
        <w:t>Consolidarea rețelei de spații publice identitare din Sectorul 2 și constituirea de axe verzi între acestea prin operațiuni de reabilitare, modernizare sau amenajare</w:t>
      </w:r>
    </w:p>
    <w:p w14:paraId="2C8A502C" w14:textId="77777777" w:rsidR="00395D0B" w:rsidRPr="00F171A3" w:rsidRDefault="00395D0B" w:rsidP="008B4153">
      <w:pPr>
        <w:spacing w:before="240" w:after="240"/>
        <w:rPr>
          <w:color w:val="000000"/>
        </w:rPr>
      </w:pPr>
    </w:p>
    <w:p w14:paraId="40584905" w14:textId="77A081F4" w:rsidR="008B4153" w:rsidRPr="00F171A3" w:rsidRDefault="001E0A0F" w:rsidP="00E747A2">
      <w:pPr>
        <w:pStyle w:val="Heading5"/>
        <w:rPr>
          <w:lang w:val="ro-RO"/>
        </w:rPr>
      </w:pPr>
      <w:bookmarkStart w:id="414" w:name="_heading=h.4d34og8" w:colFirst="0" w:colLast="0"/>
      <w:bookmarkEnd w:id="414"/>
      <w:r w:rsidRPr="00F171A3">
        <w:rPr>
          <w:lang w:val="ro-RO"/>
        </w:rPr>
        <w:t>OBIECTIV SPECIFIC O1.5. - INFRASTRUCTURĂ CULTURALĂ MODERNĂ ȘI DIVERSIFICATĂ, CE SUSȚINE ȘI PROMOVEAZĂ IDENTITATEA COMUNITARĂ ȘI FOLOSEȘTE CULTURA CA SPRIJIN DE DEZVOLTARE SOCIALĂ ȘI URBANĂ</w:t>
      </w:r>
    </w:p>
    <w:p w14:paraId="15F61777" w14:textId="77777777" w:rsidR="008B4153" w:rsidRPr="00F171A3" w:rsidRDefault="008B4153" w:rsidP="008B4153">
      <w:pPr>
        <w:spacing w:before="240" w:after="240"/>
        <w:rPr>
          <w:sz w:val="24"/>
          <w:szCs w:val="24"/>
        </w:rPr>
      </w:pPr>
      <w:r w:rsidRPr="00F171A3">
        <w:rPr>
          <w:b/>
          <w:color w:val="000000"/>
        </w:rPr>
        <w:t>Descrierea obiectivului:</w:t>
      </w:r>
      <w:r w:rsidRPr="00F171A3">
        <w:rPr>
          <w:b/>
          <w:i/>
          <w:color w:val="000000"/>
        </w:rPr>
        <w:t xml:space="preserve"> </w:t>
      </w:r>
      <w:r w:rsidRPr="00F171A3">
        <w:rPr>
          <w:color w:val="000000"/>
        </w:rPr>
        <w:t>Obiectivul propune modernizarea, diversificarea și extinderea infrastructurii culturale inclusiv dincolo de nivelul zonei centrale a Sectorului 2, astfel încât aceasta să răspundă nevoilor actuale ale comunității locale. Alături de infrastructură, prezentul obiectiv are rolul de a promova utilizarea spațiului public ca „scenă-deschisă” privind crearea și consumarea actului cultural. În acest sens se are în vedere dezvoltarea infrastructurii și realizarea unor dotări culturale care să asigure spațiile necesare organizării de evenimente și acțiuni locale (centre multifuncționale pentru comunitatea locală în Zona Pantelimon, Andronache, Obor, Tei etc.), inclusiv prin activarea unor atracții inedite din Sectorul 2 (ex. Fabrica de trăsuri sau Moara lui Assan care ar putea deveni spații socio-culturale).  Nu în ultimul rând, prezentul obiectiv are ca scop susținerea actorilor locali din sectoarele cultural-artistice, pentru  implicarea și integrarea comunității în viața urbană și în procesul cultural prin dezvoltarea unor servicii integrate (educaționale, sociale, culturale, artistice etc.).</w:t>
      </w:r>
    </w:p>
    <w:p w14:paraId="1CEEF11F" w14:textId="77777777" w:rsidR="008B4153" w:rsidRPr="00F171A3" w:rsidRDefault="008B4153" w:rsidP="008B4153">
      <w:pPr>
        <w:spacing w:before="240" w:after="240"/>
        <w:rPr>
          <w:sz w:val="24"/>
          <w:szCs w:val="24"/>
        </w:rPr>
      </w:pPr>
      <w:r w:rsidRPr="00F171A3">
        <w:rPr>
          <w:b/>
          <w:color w:val="000000"/>
        </w:rPr>
        <w:t>Direcții de acțiune:</w:t>
      </w:r>
    </w:p>
    <w:p w14:paraId="15A4F148" w14:textId="77777777" w:rsidR="008B4153" w:rsidRPr="00F171A3" w:rsidRDefault="008B4153" w:rsidP="008B4153">
      <w:pPr>
        <w:spacing w:before="240" w:after="240"/>
        <w:ind w:left="360" w:hanging="360"/>
        <w:rPr>
          <w:sz w:val="24"/>
          <w:szCs w:val="24"/>
        </w:rPr>
      </w:pPr>
      <w:r w:rsidRPr="00F171A3">
        <w:rPr>
          <w:b/>
          <w:color w:val="000000"/>
        </w:rPr>
        <w:t>D1.5.1.</w:t>
      </w:r>
      <w:r w:rsidRPr="00F171A3">
        <w:rPr>
          <w:color w:val="000000"/>
        </w:rPr>
        <w:t xml:space="preserve"> Reabilitarea, modernizarea și dotarea infrastructurii și patrimoniului cultural</w:t>
      </w:r>
    </w:p>
    <w:p w14:paraId="73C9016A" w14:textId="77777777" w:rsidR="008B4153" w:rsidRPr="00F171A3" w:rsidRDefault="008B4153" w:rsidP="008B4153">
      <w:pPr>
        <w:spacing w:before="240" w:after="240"/>
        <w:ind w:left="360" w:hanging="360"/>
        <w:rPr>
          <w:sz w:val="24"/>
          <w:szCs w:val="24"/>
        </w:rPr>
      </w:pPr>
      <w:r w:rsidRPr="00F171A3">
        <w:rPr>
          <w:b/>
          <w:color w:val="000000"/>
        </w:rPr>
        <w:t>D1.5.2.</w:t>
      </w:r>
      <w:r w:rsidRPr="00F171A3">
        <w:rPr>
          <w:color w:val="000000"/>
        </w:rPr>
        <w:t xml:space="preserve"> Descentralizarea ofertei culturale și încurajarea sporirii consumului cultural</w:t>
      </w:r>
    </w:p>
    <w:p w14:paraId="01482A6F" w14:textId="77777777" w:rsidR="008B4153" w:rsidRPr="00F171A3" w:rsidRDefault="008B4153" w:rsidP="008B4153">
      <w:pPr>
        <w:spacing w:before="240" w:after="240"/>
        <w:ind w:left="360" w:hanging="360"/>
        <w:rPr>
          <w:sz w:val="24"/>
          <w:szCs w:val="24"/>
        </w:rPr>
      </w:pPr>
      <w:r w:rsidRPr="00F171A3">
        <w:rPr>
          <w:b/>
          <w:color w:val="000000"/>
        </w:rPr>
        <w:t>D1.5.3.</w:t>
      </w:r>
      <w:r w:rsidRPr="00F171A3">
        <w:rPr>
          <w:color w:val="000000"/>
        </w:rPr>
        <w:t xml:space="preserve"> Sprijinirea actorilor din domeniile cultural-artistice din Sectorul 2</w:t>
      </w:r>
    </w:p>
    <w:p w14:paraId="48909F98" w14:textId="150EDF2A" w:rsidR="008B4153" w:rsidRPr="00F171A3" w:rsidRDefault="001E0A0F" w:rsidP="00E747A2">
      <w:pPr>
        <w:pStyle w:val="Heading5"/>
        <w:rPr>
          <w:lang w:val="ro-RO"/>
        </w:rPr>
      </w:pPr>
      <w:bookmarkStart w:id="415" w:name="_heading=h.2s8eyo1" w:colFirst="0" w:colLast="0"/>
      <w:bookmarkEnd w:id="415"/>
      <w:r w:rsidRPr="00F171A3">
        <w:rPr>
          <w:lang w:val="ro-RO"/>
        </w:rPr>
        <w:t>OBIECTIV SPECIFIC O1.6. - INFRASTRUCTURĂ MEDICALĂ ȘI SERVICII MODERNE, OPORTUNITĂȚI ȘI PROGRAME DE CONSOLIDARE A UNUI MOD DE VIAȚĂ SĂNĂTOS, BAZAT PE INFORMARE ȘI CUNOAȘTERE, ACTIVITATE ȘI SPORT</w:t>
      </w:r>
    </w:p>
    <w:p w14:paraId="6F4757B1" w14:textId="77777777" w:rsidR="008B4153" w:rsidRPr="00F171A3" w:rsidRDefault="008B4153" w:rsidP="008B4153">
      <w:pPr>
        <w:spacing w:before="240" w:after="240"/>
        <w:rPr>
          <w:sz w:val="24"/>
          <w:szCs w:val="24"/>
        </w:rPr>
      </w:pPr>
      <w:r w:rsidRPr="00F171A3">
        <w:rPr>
          <w:b/>
          <w:color w:val="000000"/>
        </w:rPr>
        <w:t>Descrierea obiectivului:</w:t>
      </w:r>
      <w:r w:rsidRPr="00F171A3">
        <w:rPr>
          <w:color w:val="000000"/>
        </w:rPr>
        <w:t xml:space="preserve"> Obiectivul vizează creșterea calității serviciilor medico-sanitare din Sectorul 2 și asigurarea unui acces egal și echitabil pentru toți locuitorii sectorului la serviciile medicale. Acest obiectiv poate fi atins prin extinderea și îmbunătățirea infrastructurii, implementarea de campanii de comunicare și informare pentru promovarea unui stil de viață sănătos precum și prin îmbunătățirea oportunităților pentru adoptarea unui stil de viață bazat pe alimentație sănătoasă și sport.</w:t>
      </w:r>
    </w:p>
    <w:p w14:paraId="1EFC25ED" w14:textId="77777777" w:rsidR="008B4153" w:rsidRPr="00F171A3" w:rsidRDefault="008B4153" w:rsidP="008B4153">
      <w:pPr>
        <w:spacing w:before="240" w:after="240"/>
        <w:rPr>
          <w:b/>
          <w:color w:val="000000"/>
        </w:rPr>
      </w:pPr>
      <w:r w:rsidRPr="00F171A3">
        <w:rPr>
          <w:b/>
          <w:color w:val="000000"/>
        </w:rPr>
        <w:t>Direcții de acțiune:</w:t>
      </w:r>
    </w:p>
    <w:p w14:paraId="4A47BC0E" w14:textId="77777777" w:rsidR="008B4153" w:rsidRPr="00F171A3" w:rsidRDefault="008B4153" w:rsidP="008B4153">
      <w:pPr>
        <w:spacing w:before="240" w:after="240"/>
        <w:rPr>
          <w:sz w:val="24"/>
          <w:szCs w:val="24"/>
        </w:rPr>
      </w:pPr>
      <w:r w:rsidRPr="00F171A3">
        <w:rPr>
          <w:b/>
          <w:color w:val="000000"/>
        </w:rPr>
        <w:t>D 1.6.1.</w:t>
      </w:r>
      <w:r w:rsidRPr="00F171A3">
        <w:rPr>
          <w:color w:val="000000"/>
        </w:rPr>
        <w:t xml:space="preserve"> Creșterea gradului de informare a populației cu privire la beneficiile adoptării unui stil de viață sănătos bazat pe alimentație și sport</w:t>
      </w:r>
    </w:p>
    <w:p w14:paraId="3D063F73" w14:textId="51327430" w:rsidR="008B4153" w:rsidRPr="00F171A3" w:rsidRDefault="008B4153" w:rsidP="008B4153">
      <w:pPr>
        <w:spacing w:before="240" w:after="240"/>
        <w:rPr>
          <w:color w:val="000000"/>
        </w:rPr>
      </w:pPr>
      <w:r w:rsidRPr="00F171A3">
        <w:rPr>
          <w:b/>
          <w:color w:val="000000"/>
        </w:rPr>
        <w:t>D 1.6.2.</w:t>
      </w:r>
      <w:r w:rsidRPr="00F171A3">
        <w:rPr>
          <w:color w:val="000000"/>
        </w:rPr>
        <w:t xml:space="preserve"> Extinderea, modernizarea și dotarea infrastructurii medico-sanitare din sector precum și a infrastructurii pentru practicarea sportului și activităților în aer liber</w:t>
      </w:r>
    </w:p>
    <w:p w14:paraId="17A024DD" w14:textId="77777777" w:rsidR="00395D0B" w:rsidRPr="00F171A3" w:rsidRDefault="00395D0B" w:rsidP="008B4153">
      <w:pPr>
        <w:spacing w:before="240" w:after="240"/>
        <w:rPr>
          <w:sz w:val="24"/>
          <w:szCs w:val="24"/>
        </w:rPr>
      </w:pPr>
    </w:p>
    <w:p w14:paraId="33BCFADE" w14:textId="0980CDC6" w:rsidR="008B4153" w:rsidRPr="00F171A3" w:rsidRDefault="001E0A0F" w:rsidP="00E747A2">
      <w:pPr>
        <w:pStyle w:val="Heading5"/>
        <w:rPr>
          <w:lang w:val="ro-RO"/>
        </w:rPr>
      </w:pPr>
      <w:bookmarkStart w:id="416" w:name="_heading=h.17dp8vu" w:colFirst="0" w:colLast="0"/>
      <w:bookmarkEnd w:id="416"/>
      <w:r w:rsidRPr="00F171A3">
        <w:rPr>
          <w:lang w:val="ro-RO"/>
        </w:rPr>
        <w:t>OBIECTIV SPECIFIC O1.7. - DIVERSIFICAREA SERVICIILOR SOCIALE ȘI ÎMBUNĂTĂȚIREA CALITĂȚII ACESTORA ÎN VEDEREA CREȘTERII ACCESULUI POPULAȚIEI, ÎN SPECIAL AL PERSOANELOR VULNERABILE, LA MĂSURI ȘI SOLUȚII PENTRU ÎMBUNĂTĂȚIREA CONDIȚIILOR DE TRAI ȘI OPORTUNITĂȚI PENTRU O VIAȚĂ DECENTĂ</w:t>
      </w:r>
    </w:p>
    <w:p w14:paraId="73F0D330" w14:textId="77777777" w:rsidR="008B4153" w:rsidRPr="00F171A3" w:rsidRDefault="008B4153" w:rsidP="008B4153">
      <w:pPr>
        <w:spacing w:before="240" w:after="240"/>
        <w:rPr>
          <w:sz w:val="24"/>
          <w:szCs w:val="24"/>
        </w:rPr>
      </w:pPr>
      <w:r w:rsidRPr="00F171A3">
        <w:rPr>
          <w:b/>
          <w:color w:val="000000"/>
        </w:rPr>
        <w:t xml:space="preserve">Descrierea obiectivului: </w:t>
      </w:r>
      <w:r w:rsidRPr="00F171A3">
        <w:rPr>
          <w:color w:val="000000"/>
        </w:rPr>
        <w:t>Obiectivul urmărește creșterea calității serviciilor sociale existente și dezvoltarea unei rețele de servicii sociale care să răspundă nevoilor tuturor cetățenilor și să facă față provocărilor existente și viitoare. Prin urmare, acest obiectiv presupune înființarea de noi servicii sociale, precum și creșterea calității serviciilor sociale existente prin realizarea unor investiții de modernizare și digitalizare a acestora, și prin formarea profesională continuă a resurselor umane din domeniu.</w:t>
      </w:r>
    </w:p>
    <w:p w14:paraId="78E2CFA5" w14:textId="77777777" w:rsidR="008B4153" w:rsidRPr="00F171A3" w:rsidRDefault="008B4153" w:rsidP="008B4153">
      <w:pPr>
        <w:spacing w:before="240" w:after="240"/>
        <w:rPr>
          <w:sz w:val="24"/>
          <w:szCs w:val="24"/>
        </w:rPr>
      </w:pPr>
      <w:r w:rsidRPr="00F171A3">
        <w:rPr>
          <w:b/>
          <w:color w:val="000000"/>
        </w:rPr>
        <w:t>Direcții de acțiune:</w:t>
      </w:r>
    </w:p>
    <w:p w14:paraId="3044ECD8" w14:textId="77777777" w:rsidR="008B4153" w:rsidRPr="00F171A3" w:rsidRDefault="008B4153" w:rsidP="008B4153">
      <w:pPr>
        <w:spacing w:before="240" w:after="240"/>
        <w:rPr>
          <w:sz w:val="24"/>
          <w:szCs w:val="24"/>
        </w:rPr>
      </w:pPr>
      <w:r w:rsidRPr="00F171A3">
        <w:rPr>
          <w:b/>
          <w:color w:val="000000"/>
        </w:rPr>
        <w:t>D1.7.1.</w:t>
      </w:r>
      <w:r w:rsidRPr="00F171A3">
        <w:rPr>
          <w:color w:val="000000"/>
        </w:rPr>
        <w:t xml:space="preserve"> Îmbunătățirea serviciilor sociale prin modernizarea și dotarea infrastructurii, creșterea acoperirii teritoriale, îmbunătățirea competențelor personalului</w:t>
      </w:r>
    </w:p>
    <w:p w14:paraId="5F3EF6B4" w14:textId="77777777" w:rsidR="008B4153" w:rsidRPr="00F171A3" w:rsidRDefault="008B4153" w:rsidP="008B4153">
      <w:pPr>
        <w:spacing w:before="240" w:after="240"/>
        <w:rPr>
          <w:sz w:val="24"/>
          <w:szCs w:val="24"/>
        </w:rPr>
      </w:pPr>
      <w:r w:rsidRPr="00F171A3">
        <w:rPr>
          <w:b/>
          <w:color w:val="000000"/>
        </w:rPr>
        <w:t>D1.7.2.</w:t>
      </w:r>
      <w:r w:rsidRPr="00F171A3">
        <w:rPr>
          <w:color w:val="000000"/>
        </w:rPr>
        <w:t xml:space="preserve"> Asigurarea de servicii sociale destinate copilului și/sau familiei</w:t>
      </w:r>
    </w:p>
    <w:p w14:paraId="0D8B483C" w14:textId="77777777" w:rsidR="008B4153" w:rsidRPr="00F171A3" w:rsidRDefault="008B4153" w:rsidP="008B4153">
      <w:pPr>
        <w:spacing w:before="240" w:after="240"/>
        <w:rPr>
          <w:color w:val="000000"/>
        </w:rPr>
      </w:pPr>
      <w:r w:rsidRPr="00F171A3">
        <w:rPr>
          <w:b/>
          <w:color w:val="000000"/>
        </w:rPr>
        <w:t>D1.7.3.</w:t>
      </w:r>
      <w:r w:rsidRPr="00F171A3">
        <w:rPr>
          <w:color w:val="000000"/>
        </w:rPr>
        <w:t xml:space="preserve"> Asigurarea de servicii sociale destinate persoanelor vârstnice şi cu dizabilităţi</w:t>
      </w:r>
    </w:p>
    <w:p w14:paraId="335EEE67" w14:textId="77777777" w:rsidR="008B4153" w:rsidRPr="00F171A3" w:rsidRDefault="008B4153" w:rsidP="008B4153">
      <w:pPr>
        <w:spacing w:before="240" w:after="240"/>
        <w:rPr>
          <w:sz w:val="24"/>
          <w:szCs w:val="24"/>
        </w:rPr>
      </w:pPr>
      <w:r w:rsidRPr="00F171A3">
        <w:rPr>
          <w:b/>
          <w:color w:val="000000"/>
        </w:rPr>
        <w:t xml:space="preserve">D1.7.4. </w:t>
      </w:r>
      <w:r w:rsidRPr="00F171A3">
        <w:rPr>
          <w:color w:val="000000"/>
        </w:rPr>
        <w:t>Asigurarea de servicii sociale destinate persoanelor din comunitățile marginalizate</w:t>
      </w:r>
    </w:p>
    <w:p w14:paraId="5BECBFA1" w14:textId="75B2FA70" w:rsidR="008B4153" w:rsidRPr="00F171A3" w:rsidRDefault="008B4153" w:rsidP="008B4153">
      <w:pPr>
        <w:spacing w:before="240" w:after="240"/>
        <w:rPr>
          <w:color w:val="000000"/>
        </w:rPr>
      </w:pPr>
      <w:r w:rsidRPr="00F171A3">
        <w:rPr>
          <w:b/>
          <w:color w:val="000000"/>
        </w:rPr>
        <w:t>D1.7.5</w:t>
      </w:r>
      <w:r w:rsidRPr="00F171A3">
        <w:rPr>
          <w:color w:val="000000"/>
        </w:rPr>
        <w:t>. Asigurarea de servicii sociale pentru alte categorii vulnerabile</w:t>
      </w:r>
    </w:p>
    <w:p w14:paraId="6E3E97D1" w14:textId="77777777" w:rsidR="00395D0B" w:rsidRPr="00F171A3" w:rsidRDefault="00395D0B" w:rsidP="008B4153">
      <w:pPr>
        <w:spacing w:before="240" w:after="240"/>
        <w:rPr>
          <w:sz w:val="24"/>
          <w:szCs w:val="24"/>
        </w:rPr>
      </w:pPr>
    </w:p>
    <w:p w14:paraId="24807801" w14:textId="77777777" w:rsidR="008B4153" w:rsidRPr="00F171A3" w:rsidRDefault="008B4153" w:rsidP="00E747A2">
      <w:pPr>
        <w:pStyle w:val="Heading4"/>
      </w:pPr>
      <w:bookmarkStart w:id="417" w:name="_heading=h.3rdcrjn" w:colFirst="0" w:colLast="0"/>
      <w:bookmarkEnd w:id="417"/>
      <w:r w:rsidRPr="00F171A3">
        <w:t>OBIECTIV STRATEGIC O2 – SECTOR COMPETITIV ȘI INOVATOR, ATRACTIV PENTRU FORȚA DE MUNCĂ, ANTREPRENORIAT ȘI INVESTIȚII ÎN DOMENII CU VALOARE ADĂUGATĂ MARE</w:t>
      </w:r>
    </w:p>
    <w:p w14:paraId="6F888325" w14:textId="77777777" w:rsidR="008B4153" w:rsidRPr="00F171A3" w:rsidRDefault="008B4153" w:rsidP="008B4153">
      <w:pPr>
        <w:spacing w:before="240" w:after="240"/>
        <w:rPr>
          <w:sz w:val="24"/>
          <w:szCs w:val="24"/>
        </w:rPr>
      </w:pPr>
      <w:r w:rsidRPr="00F171A3">
        <w:rPr>
          <w:b/>
          <w:color w:val="000000"/>
        </w:rPr>
        <w:t>Descriere obiectiv strategic:</w:t>
      </w:r>
      <w:r w:rsidRPr="00F171A3">
        <w:rPr>
          <w:color w:val="000000"/>
        </w:rPr>
        <w:t xml:space="preserve"> Creșterea și dezvoltarea economică stau la bazele creșterii prosperității și a calității vieții. Prin atingerea acestui obiectiv, în anul 2027, Sectorul 2 are o economie eco-friendly, inovativă, circulară, diversificată și complexă, care are la bază o resursă umană bine dezvoltată. La nivelul sectorului sunt atrase anual investiții străine directe în domenii moderne din sfera serviciilor, și este pe larg promovat antreprenoriatul local. Creșterea economică are la bază transferul tehnologic, cercetarea, inovarea și sprijinul IMM-urilor prin diverse oportunități și linii de finanțare. Gândirea antreprenorială este promovată în cadrul programelor de informare, iar autoritățile publice au un loc important în viața economică a Sectorului 2 prin participarea în Parteneriate Public-Privat.</w:t>
      </w:r>
    </w:p>
    <w:p w14:paraId="631C18E7" w14:textId="77777777" w:rsidR="008B4153" w:rsidRPr="00F171A3" w:rsidRDefault="008B4153" w:rsidP="008B4153">
      <w:pPr>
        <w:spacing w:before="240" w:after="240"/>
        <w:rPr>
          <w:sz w:val="24"/>
          <w:szCs w:val="24"/>
        </w:rPr>
      </w:pPr>
      <w:r w:rsidRPr="00F171A3">
        <w:rPr>
          <w:b/>
          <w:color w:val="000000"/>
        </w:rPr>
        <w:t>Țintă</w:t>
      </w:r>
      <w:r w:rsidRPr="00F171A3">
        <w:rPr>
          <w:color w:val="000000"/>
        </w:rPr>
        <w:t>: 20% creştere procentuală a numărului de salariaţi în Sectorul 2 – orizont 2030</w:t>
      </w:r>
    </w:p>
    <w:p w14:paraId="47F43680" w14:textId="65F16343" w:rsidR="008B4153" w:rsidRPr="00F171A3" w:rsidRDefault="001E0A0F" w:rsidP="00E747A2">
      <w:pPr>
        <w:pStyle w:val="Heading5"/>
        <w:rPr>
          <w:lang w:val="ro-RO"/>
        </w:rPr>
      </w:pPr>
      <w:bookmarkStart w:id="418" w:name="_heading=h.26in1rg" w:colFirst="0" w:colLast="0"/>
      <w:bookmarkEnd w:id="418"/>
      <w:r w:rsidRPr="00F171A3">
        <w:rPr>
          <w:lang w:val="ro-RO"/>
        </w:rPr>
        <w:t>OBIECTIV SPECIFIC O2.1. - INFRASTRUCTURĂ DE AFACERI ATRACTIVĂ PENTRU INVESTITORI</w:t>
      </w:r>
    </w:p>
    <w:p w14:paraId="7EDBAB81" w14:textId="77777777" w:rsidR="008B4153" w:rsidRPr="00F171A3" w:rsidRDefault="008B4153" w:rsidP="008B4153">
      <w:pPr>
        <w:spacing w:before="240" w:after="240"/>
        <w:rPr>
          <w:sz w:val="24"/>
          <w:szCs w:val="24"/>
        </w:rPr>
      </w:pPr>
      <w:r w:rsidRPr="00F171A3">
        <w:rPr>
          <w:b/>
          <w:color w:val="000000"/>
        </w:rPr>
        <w:t>Descrierea obiectivului</w:t>
      </w:r>
      <w:r w:rsidRPr="00F171A3">
        <w:rPr>
          <w:b/>
          <w:i/>
          <w:color w:val="000000"/>
        </w:rPr>
        <w:t xml:space="preserve">: </w:t>
      </w:r>
      <w:r w:rsidRPr="00F171A3">
        <w:rPr>
          <w:color w:val="000000"/>
        </w:rPr>
        <w:t>Acest obiectiv specific contribuie la dezvoltarea și extinderea infrastructurii de afaceri din Sectorul 2, implicând o amplasare echilibrată în plan teritorial a infrastructurii la nivel de sector. Prin atingerea acestui obiectiv, vizibilitatea Sectorului 2 pentru mediul de afaceri și pentru investitori va crește, ceea ce va duce în timp la creșterea numărului de afaceri și respectiv a locurilor de muncă din sector.</w:t>
      </w:r>
    </w:p>
    <w:p w14:paraId="4C4F805A" w14:textId="77777777" w:rsidR="008B4153" w:rsidRPr="00F171A3" w:rsidRDefault="008B4153" w:rsidP="008B4153">
      <w:pPr>
        <w:spacing w:before="240" w:after="240"/>
        <w:rPr>
          <w:b/>
          <w:sz w:val="24"/>
          <w:szCs w:val="24"/>
        </w:rPr>
      </w:pPr>
      <w:r w:rsidRPr="00F171A3">
        <w:rPr>
          <w:b/>
          <w:color w:val="000000"/>
        </w:rPr>
        <w:t>Direcții de acțiune:</w:t>
      </w:r>
    </w:p>
    <w:p w14:paraId="20FBECB7" w14:textId="77777777" w:rsidR="008B4153" w:rsidRPr="00F171A3" w:rsidRDefault="008B4153" w:rsidP="008B4153">
      <w:pPr>
        <w:spacing w:before="240" w:after="240"/>
        <w:rPr>
          <w:sz w:val="24"/>
          <w:szCs w:val="24"/>
        </w:rPr>
      </w:pPr>
      <w:r w:rsidRPr="00F171A3">
        <w:rPr>
          <w:b/>
          <w:color w:val="000000"/>
        </w:rPr>
        <w:t>D2.1.1.</w:t>
      </w:r>
      <w:r w:rsidRPr="00F171A3">
        <w:rPr>
          <w:color w:val="000000"/>
        </w:rPr>
        <w:t xml:space="preserve"> Dezvoltarea, prin intermediul Parteneriatului Public-Privat, a infrastructurii de afaceri moderne din Sectorul 2 (parcuri industriale, clădiri de birouri, etc.)</w:t>
      </w:r>
    </w:p>
    <w:p w14:paraId="7BB4F128" w14:textId="77777777" w:rsidR="008B4153" w:rsidRPr="00F171A3" w:rsidRDefault="008B4153" w:rsidP="008B4153">
      <w:pPr>
        <w:spacing w:before="240" w:after="240"/>
        <w:rPr>
          <w:sz w:val="24"/>
          <w:szCs w:val="24"/>
        </w:rPr>
      </w:pPr>
      <w:r w:rsidRPr="00F171A3">
        <w:rPr>
          <w:b/>
          <w:color w:val="000000"/>
        </w:rPr>
        <w:t>D2.1.2.</w:t>
      </w:r>
      <w:r w:rsidRPr="00F171A3">
        <w:rPr>
          <w:color w:val="000000"/>
        </w:rPr>
        <w:t xml:space="preserve"> Creșterea capacității administrative prin simplificarea procedurilor privind oferirea serviciilor publice pentru mediul de afaceri</w:t>
      </w:r>
    </w:p>
    <w:p w14:paraId="67949313" w14:textId="3372D93D" w:rsidR="008B4153" w:rsidRPr="00F171A3" w:rsidRDefault="008B4153" w:rsidP="008B4153">
      <w:pPr>
        <w:spacing w:before="240" w:after="240"/>
        <w:rPr>
          <w:color w:val="000000"/>
        </w:rPr>
      </w:pPr>
      <w:r w:rsidRPr="00F171A3">
        <w:rPr>
          <w:b/>
          <w:color w:val="000000"/>
        </w:rPr>
        <w:t>D2.1.3.</w:t>
      </w:r>
      <w:r w:rsidRPr="00F171A3">
        <w:rPr>
          <w:color w:val="000000"/>
        </w:rPr>
        <w:t xml:space="preserve"> Valorificarea rezervelor de teren și promovarea coerentă ca destinație atractivă pentru investiții </w:t>
      </w:r>
    </w:p>
    <w:p w14:paraId="5804BB53" w14:textId="77777777" w:rsidR="000D02D4" w:rsidRPr="00F171A3" w:rsidRDefault="000D02D4" w:rsidP="008B4153">
      <w:pPr>
        <w:spacing w:before="240" w:after="240"/>
        <w:rPr>
          <w:sz w:val="24"/>
          <w:szCs w:val="24"/>
        </w:rPr>
      </w:pPr>
    </w:p>
    <w:p w14:paraId="49DB305F" w14:textId="129614B2" w:rsidR="008B4153" w:rsidRPr="00F171A3" w:rsidRDefault="001E0A0F" w:rsidP="00E747A2">
      <w:pPr>
        <w:pStyle w:val="Heading5"/>
        <w:rPr>
          <w:lang w:val="ro-RO"/>
        </w:rPr>
      </w:pPr>
      <w:bookmarkStart w:id="419" w:name="_heading=h.lnxbz9" w:colFirst="0" w:colLast="0"/>
      <w:bookmarkEnd w:id="419"/>
      <w:r w:rsidRPr="00F171A3">
        <w:rPr>
          <w:lang w:val="ro-RO"/>
        </w:rPr>
        <w:t>OBIECTIV SPECIFIC O2.2. - SECTORUL 2 IMPLICAT ÎN DEZVOLTAREA ȘI VALORIFICAREA RESURSEI UMANE</w:t>
      </w:r>
    </w:p>
    <w:p w14:paraId="78DB78A3" w14:textId="77777777" w:rsidR="008B4153" w:rsidRPr="00F171A3" w:rsidRDefault="008B4153" w:rsidP="008B4153">
      <w:pPr>
        <w:spacing w:before="240" w:after="240"/>
        <w:rPr>
          <w:sz w:val="24"/>
          <w:szCs w:val="24"/>
        </w:rPr>
      </w:pPr>
      <w:r w:rsidRPr="00F171A3">
        <w:rPr>
          <w:b/>
          <w:color w:val="000000"/>
        </w:rPr>
        <w:t>Descrierea obiectivului</w:t>
      </w:r>
      <w:r w:rsidRPr="00F171A3">
        <w:rPr>
          <w:color w:val="000000"/>
        </w:rPr>
        <w:t>: Resursa umană calitativă reprezintă o componentă cheie a dezvoltării economice. La nivelul Sectorului 2, autoritățile sunt implicate în crearea de cursuri de formare și orientare profesională, astfel fiind diminuat fenomenul șomajului. Prin atingerea acestui obiectiv, angajații din diferite domenii frecventează des cursuri de perfecționare, iar persoanele cu o formare profesională modestă beneficiază de cursuri de inițiere sau formare în diverse domenii, existând ulterior evenimente de corelare între cererea și oferta forței de muncă (de ex. Târguri de Cariere)</w:t>
      </w:r>
    </w:p>
    <w:p w14:paraId="16AFF409" w14:textId="77777777" w:rsidR="008B4153" w:rsidRPr="00F171A3" w:rsidRDefault="008B4153" w:rsidP="008B4153">
      <w:pPr>
        <w:spacing w:before="240" w:after="240"/>
        <w:rPr>
          <w:b/>
          <w:sz w:val="24"/>
          <w:szCs w:val="24"/>
        </w:rPr>
      </w:pPr>
      <w:r w:rsidRPr="00F171A3">
        <w:rPr>
          <w:b/>
          <w:color w:val="000000"/>
        </w:rPr>
        <w:t>Direcții de acțiune:</w:t>
      </w:r>
    </w:p>
    <w:p w14:paraId="7731C99E" w14:textId="77777777" w:rsidR="008B4153" w:rsidRPr="00F171A3" w:rsidRDefault="008B4153" w:rsidP="008B4153">
      <w:pPr>
        <w:spacing w:before="240" w:after="240"/>
        <w:rPr>
          <w:sz w:val="24"/>
          <w:szCs w:val="24"/>
        </w:rPr>
      </w:pPr>
      <w:r w:rsidRPr="00F171A3">
        <w:rPr>
          <w:b/>
          <w:color w:val="000000"/>
        </w:rPr>
        <w:t>D.2.2.1.</w:t>
      </w:r>
      <w:r w:rsidRPr="00F171A3">
        <w:rPr>
          <w:color w:val="000000"/>
        </w:rPr>
        <w:t xml:space="preserve"> Calificarea, recalificarea și formarea continuă a forței de muncă din Sectorul 2, pentru o mai bună corelare a pieței forței de muncă, respectiv, pentru diminuarea fenomenului de șomaj</w:t>
      </w:r>
    </w:p>
    <w:p w14:paraId="4C10B61F" w14:textId="4893388B" w:rsidR="008B4153" w:rsidRPr="00F171A3" w:rsidRDefault="008B4153" w:rsidP="008B4153">
      <w:pPr>
        <w:spacing w:before="240" w:after="240"/>
        <w:rPr>
          <w:color w:val="000000"/>
        </w:rPr>
      </w:pPr>
      <w:r w:rsidRPr="00F171A3">
        <w:rPr>
          <w:b/>
          <w:color w:val="000000"/>
        </w:rPr>
        <w:t>D2.2.2.</w:t>
      </w:r>
      <w:r w:rsidRPr="00F171A3">
        <w:rPr>
          <w:color w:val="000000"/>
        </w:rPr>
        <w:t xml:space="preserve"> Facilitarea atragerii, retenției și integrării forței de muncă din afara Sectorului 2 / din afara Capitalei</w:t>
      </w:r>
    </w:p>
    <w:p w14:paraId="52ECFAB8" w14:textId="77777777" w:rsidR="000D02D4" w:rsidRPr="00F171A3" w:rsidRDefault="000D02D4" w:rsidP="008B4153">
      <w:pPr>
        <w:spacing w:before="240" w:after="240"/>
        <w:rPr>
          <w:sz w:val="24"/>
          <w:szCs w:val="24"/>
        </w:rPr>
      </w:pPr>
    </w:p>
    <w:p w14:paraId="3827A9B1" w14:textId="0BB01BDB" w:rsidR="008B4153" w:rsidRPr="00F171A3" w:rsidRDefault="001E0A0F" w:rsidP="00E747A2">
      <w:pPr>
        <w:pStyle w:val="Heading5"/>
        <w:rPr>
          <w:lang w:val="ro-RO"/>
        </w:rPr>
      </w:pPr>
      <w:bookmarkStart w:id="420" w:name="_heading=h.35nkun2" w:colFirst="0" w:colLast="0"/>
      <w:bookmarkEnd w:id="420"/>
      <w:r w:rsidRPr="00F171A3">
        <w:rPr>
          <w:lang w:val="ro-RO"/>
        </w:rPr>
        <w:t>OBIECTIV SPECIFIC O2.3. - SECTORUL 2 – IMPLICAT ÎN DEZVOLTAREA ȘI CREȘTEREA ECONOMICĂ BAZATĂ PE CERCETARE, INOVARE ȘI PARTENERIATE</w:t>
      </w:r>
    </w:p>
    <w:p w14:paraId="64A5AA63" w14:textId="77777777" w:rsidR="008B4153" w:rsidRPr="00F171A3" w:rsidRDefault="008B4153" w:rsidP="008B4153">
      <w:pPr>
        <w:spacing w:before="240" w:after="240"/>
        <w:rPr>
          <w:sz w:val="24"/>
          <w:szCs w:val="24"/>
        </w:rPr>
      </w:pPr>
      <w:r w:rsidRPr="00F171A3">
        <w:rPr>
          <w:b/>
          <w:color w:val="000000"/>
        </w:rPr>
        <w:t xml:space="preserve">Descrierea obiectivului: </w:t>
      </w:r>
      <w:r w:rsidRPr="00F171A3">
        <w:rPr>
          <w:color w:val="000000"/>
        </w:rPr>
        <w:t xml:space="preserve"> Susținerea sectoarelor moderne, cu potențial major de atragere de investiții și cu valoare adăugată ridicată generează locuri de muncă cu remunerare salarială ridicată (IT, logistică și e-commerce, economie circulară). La nivelul sectorului este promovat transferul tehnologic și își desfășoară cu succes activitatea incubatoare de afaceri, clustere și unități de cercetare-dezvoltare. Autoritățile publice joacă un rol activ în structurile respective în calitate de partener sau organizator.</w:t>
      </w:r>
    </w:p>
    <w:p w14:paraId="428695EB" w14:textId="77777777" w:rsidR="008B4153" w:rsidRPr="00F171A3" w:rsidRDefault="008B4153" w:rsidP="008B4153">
      <w:pPr>
        <w:spacing w:before="240" w:after="240"/>
        <w:rPr>
          <w:b/>
          <w:sz w:val="24"/>
          <w:szCs w:val="24"/>
        </w:rPr>
      </w:pPr>
      <w:r w:rsidRPr="00F171A3">
        <w:rPr>
          <w:b/>
          <w:color w:val="000000"/>
        </w:rPr>
        <w:t>Direcții de acțiune:</w:t>
      </w:r>
    </w:p>
    <w:p w14:paraId="40323F2C" w14:textId="685B56F5" w:rsidR="008B4153" w:rsidRPr="00F171A3" w:rsidRDefault="008B4153" w:rsidP="008B4153">
      <w:pPr>
        <w:spacing w:before="240" w:after="240"/>
        <w:rPr>
          <w:color w:val="000000"/>
        </w:rPr>
      </w:pPr>
      <w:r w:rsidRPr="00F171A3">
        <w:rPr>
          <w:b/>
          <w:color w:val="000000"/>
        </w:rPr>
        <w:t>D2.3.1.</w:t>
      </w:r>
      <w:r w:rsidRPr="00F171A3">
        <w:rPr>
          <w:color w:val="000000"/>
        </w:rPr>
        <w:t xml:space="preserve"> Creșterea potențialului de Cercetare-Dezvoltare-Inovare și transfer tehnologic, prin dezvoltarea serviciilor și a infrastructurii favorabile aferente, respectiv prin promovarea colaborării cu universitățile din sector și Capitală</w:t>
      </w:r>
    </w:p>
    <w:p w14:paraId="1323E759" w14:textId="77777777" w:rsidR="000D02D4" w:rsidRPr="00F171A3" w:rsidRDefault="000D02D4" w:rsidP="008B4153">
      <w:pPr>
        <w:spacing w:before="240" w:after="240"/>
        <w:rPr>
          <w:sz w:val="24"/>
          <w:szCs w:val="24"/>
        </w:rPr>
      </w:pPr>
    </w:p>
    <w:p w14:paraId="62AE5CEA" w14:textId="77777777" w:rsidR="008B4153" w:rsidRPr="00F171A3" w:rsidRDefault="008B4153" w:rsidP="00E747A2">
      <w:pPr>
        <w:pStyle w:val="Heading4"/>
      </w:pPr>
      <w:bookmarkStart w:id="421" w:name="_heading=h.1ksv4uv" w:colFirst="0" w:colLast="0"/>
      <w:bookmarkEnd w:id="421"/>
      <w:r w:rsidRPr="00F171A3">
        <w:t>OBIECTIV STRATEGIC O3 -  SECTOR NEUTRU DIN PUNCT DE VEDERE CLIMATIC, CU O INFRASTRUCTURĂ EFICIENTĂ ȘI MODERNĂ</w:t>
      </w:r>
    </w:p>
    <w:p w14:paraId="562F665B" w14:textId="77777777" w:rsidR="008B4153" w:rsidRPr="00F171A3" w:rsidRDefault="008B4153" w:rsidP="008B4153">
      <w:pPr>
        <w:spacing w:before="240" w:after="240"/>
        <w:rPr>
          <w:sz w:val="24"/>
          <w:szCs w:val="24"/>
        </w:rPr>
      </w:pPr>
      <w:r w:rsidRPr="00F171A3">
        <w:rPr>
          <w:b/>
          <w:color w:val="000000"/>
        </w:rPr>
        <w:t>Descriere obiectiv strategic:</w:t>
      </w:r>
      <w:r w:rsidRPr="00F171A3">
        <w:rPr>
          <w:color w:val="000000"/>
        </w:rPr>
        <w:t xml:space="preserve"> Având în vedere că Primăria Sectorului 2 din București a fost selectată în Misiunea ”100 de orașe inteligente și neutre climatic până în 2030”, prezentul obiectiv strategic integrează obiectivele din strategia actuală de dezvoltare locală cu privire la dezvoltarea sistemului albastru-verde și la infrastructura urbană, reorientându-le către o abordare centrată pe oferirea unor răspunsuri la provocarea schimbărilor climatice și dezvoltarea durabilă. Prin urmare, obiectivul are în vedere posibilitățile de dezvoltare ale Sectorului 2 în domeniile:</w:t>
      </w:r>
    </w:p>
    <w:p w14:paraId="737699BB" w14:textId="4FDE3EA5" w:rsidR="008B4153" w:rsidRPr="00F171A3" w:rsidRDefault="000D02D4">
      <w:pPr>
        <w:numPr>
          <w:ilvl w:val="0"/>
          <w:numId w:val="85"/>
        </w:numPr>
        <w:pBdr>
          <w:top w:val="nil"/>
          <w:left w:val="nil"/>
          <w:bottom w:val="nil"/>
          <w:right w:val="nil"/>
          <w:between w:val="nil"/>
        </w:pBdr>
        <w:rPr>
          <w:color w:val="134753"/>
        </w:rPr>
      </w:pPr>
      <w:r w:rsidRPr="00F171A3">
        <w:rPr>
          <w:color w:val="134753"/>
        </w:rPr>
        <w:t>E</w:t>
      </w:r>
      <w:r w:rsidR="008B4153" w:rsidRPr="00F171A3">
        <w:rPr>
          <w:color w:val="134753"/>
        </w:rPr>
        <w:t>nergiei (tranziția către un sistem energetic cu emisii scăzute de gaze cu efect de seră)</w:t>
      </w:r>
      <w:r w:rsidRPr="00F171A3">
        <w:rPr>
          <w:color w:val="134753"/>
        </w:rPr>
        <w:t>;</w:t>
      </w:r>
    </w:p>
    <w:p w14:paraId="27F4919F" w14:textId="30F04459" w:rsidR="008B4153" w:rsidRPr="00F171A3" w:rsidRDefault="000D02D4">
      <w:pPr>
        <w:numPr>
          <w:ilvl w:val="0"/>
          <w:numId w:val="85"/>
        </w:numPr>
        <w:pBdr>
          <w:top w:val="nil"/>
          <w:left w:val="nil"/>
          <w:bottom w:val="nil"/>
          <w:right w:val="nil"/>
          <w:between w:val="nil"/>
        </w:pBdr>
        <w:rPr>
          <w:color w:val="134753"/>
        </w:rPr>
      </w:pPr>
      <w:r w:rsidRPr="00F171A3">
        <w:rPr>
          <w:color w:val="134753"/>
        </w:rPr>
        <w:t>I</w:t>
      </w:r>
      <w:r w:rsidR="008B4153" w:rsidRPr="00F171A3">
        <w:rPr>
          <w:color w:val="134753"/>
        </w:rPr>
        <w:t>nfrastructurii verzi-albastre (extinderea suprafețelor de spații verzi și creșterea calității spațiilor verzi existente)</w:t>
      </w:r>
      <w:r w:rsidRPr="00F171A3">
        <w:rPr>
          <w:color w:val="134753"/>
        </w:rPr>
        <w:t>;</w:t>
      </w:r>
    </w:p>
    <w:p w14:paraId="6C834FCF" w14:textId="0C7AC8AD" w:rsidR="008B4153" w:rsidRPr="00F171A3" w:rsidRDefault="000D02D4">
      <w:pPr>
        <w:numPr>
          <w:ilvl w:val="0"/>
          <w:numId w:val="85"/>
        </w:numPr>
        <w:pBdr>
          <w:top w:val="nil"/>
          <w:left w:val="nil"/>
          <w:bottom w:val="nil"/>
          <w:right w:val="nil"/>
          <w:between w:val="nil"/>
        </w:pBdr>
        <w:rPr>
          <w:color w:val="134753"/>
        </w:rPr>
      </w:pPr>
      <w:r w:rsidRPr="00F171A3">
        <w:rPr>
          <w:color w:val="134753"/>
        </w:rPr>
        <w:t>I</w:t>
      </w:r>
      <w:r w:rsidR="008B4153" w:rsidRPr="00F171A3">
        <w:rPr>
          <w:color w:val="134753"/>
        </w:rPr>
        <w:t>nfrastructurii de mediu (modernizare rețele de alimentare cu apă și canalizare, dezvoltarea economiei circulare printr-un sistem eficient de gestionare a deșeurilor)</w:t>
      </w:r>
      <w:r w:rsidRPr="00F171A3">
        <w:rPr>
          <w:color w:val="134753"/>
        </w:rPr>
        <w:t>;</w:t>
      </w:r>
    </w:p>
    <w:p w14:paraId="0499AA3E" w14:textId="5D714D1E" w:rsidR="008B4153" w:rsidRPr="00F171A3" w:rsidRDefault="000D02D4">
      <w:pPr>
        <w:numPr>
          <w:ilvl w:val="0"/>
          <w:numId w:val="85"/>
        </w:numPr>
        <w:pBdr>
          <w:top w:val="nil"/>
          <w:left w:val="nil"/>
          <w:bottom w:val="nil"/>
          <w:right w:val="nil"/>
          <w:between w:val="nil"/>
        </w:pBdr>
        <w:rPr>
          <w:color w:val="134753"/>
        </w:rPr>
      </w:pPr>
      <w:r w:rsidRPr="00F171A3">
        <w:rPr>
          <w:color w:val="134753"/>
        </w:rPr>
        <w:t>S</w:t>
      </w:r>
      <w:r w:rsidR="008B4153" w:rsidRPr="00F171A3">
        <w:rPr>
          <w:color w:val="134753"/>
        </w:rPr>
        <w:t>istemului de transport sub forma tranziției către mijloace de transport nepoluante sau cu emisii reduse</w:t>
      </w:r>
      <w:r w:rsidRPr="00F171A3">
        <w:rPr>
          <w:color w:val="134753"/>
        </w:rPr>
        <w:t>.</w:t>
      </w:r>
    </w:p>
    <w:p w14:paraId="1624D1AF" w14:textId="77777777" w:rsidR="008B4153" w:rsidRPr="00F171A3" w:rsidRDefault="008B4153" w:rsidP="008B4153">
      <w:pPr>
        <w:spacing w:before="240" w:after="240"/>
        <w:rPr>
          <w:sz w:val="24"/>
          <w:szCs w:val="24"/>
        </w:rPr>
      </w:pPr>
      <w:r w:rsidRPr="00F171A3">
        <w:rPr>
          <w:b/>
          <w:color w:val="000000"/>
        </w:rPr>
        <w:t>Țintă</w:t>
      </w:r>
      <w:r w:rsidRPr="00F171A3">
        <w:rPr>
          <w:color w:val="000000"/>
        </w:rPr>
        <w:t>: 75% din deplasări se realizează cu transportul public, cu bicicleta sau pe jos.</w:t>
      </w:r>
    </w:p>
    <w:p w14:paraId="1D8CF327" w14:textId="68ADF10F" w:rsidR="008B4153" w:rsidRPr="00F171A3" w:rsidRDefault="001E0A0F" w:rsidP="00E747A2">
      <w:pPr>
        <w:pStyle w:val="Heading5"/>
        <w:rPr>
          <w:lang w:val="ro-RO"/>
        </w:rPr>
      </w:pPr>
      <w:bookmarkStart w:id="422" w:name="_heading=h.44sinio" w:colFirst="0" w:colLast="0"/>
      <w:bookmarkEnd w:id="422"/>
      <w:r w:rsidRPr="00F171A3">
        <w:rPr>
          <w:lang w:val="ro-RO"/>
        </w:rPr>
        <w:t>OBIECTIV SPECIFIC O3.1. - SECTOR SIGUR, CU EMISII SCĂZUTE DE GAZE CU EFECT DE SERĂ DATORITĂ SISTEMULUI ENERGETIC PERFORMANT</w:t>
      </w:r>
    </w:p>
    <w:p w14:paraId="4358EB12" w14:textId="77777777" w:rsidR="008B4153" w:rsidRPr="00F171A3" w:rsidRDefault="008B4153" w:rsidP="008B4153">
      <w:pPr>
        <w:spacing w:before="240" w:after="240"/>
        <w:rPr>
          <w:sz w:val="24"/>
          <w:szCs w:val="24"/>
        </w:rPr>
      </w:pPr>
      <w:r w:rsidRPr="00F171A3">
        <w:rPr>
          <w:b/>
          <w:color w:val="000000"/>
        </w:rPr>
        <w:t xml:space="preserve">Descrierea obiectivului: </w:t>
      </w:r>
      <w:r w:rsidRPr="00F171A3">
        <w:rPr>
          <w:color w:val="000000"/>
        </w:rPr>
        <w:t xml:space="preserve"> Obiectivul specific răspunde atât provocării legate de vulnerabilitatea teritoriului la riscul seismic, cât și necesității de a asigura tranziția către un sistem energetic cu emisii scăzute de gaze cu efect de seră. Sunt vizate atât măsuri care sunt în responsabilitatea directă a Primăriei Sectorului 2 (eficientizarea energetică a clădirilor publice aflate în administrarea acesteia, precum și a blocurilor de locuințe de pe teritoriul sectorului, utilizarea energiei regenerabile în clădirile publice), cât și măsuri ce pot fi influențate de către administrația publică locală prin politici adecvate (promovarea utilizării energiei regenerabile în cazul locuințelor colective). În alte cazuri (consolidarea clădirilor, modernizarea infrastructurii energetice – distribuție energie electrică, iluminat public, rețele principale și secundare de termoficare), Primăria Sectorului 2 poate sprijini actorii urbani direct responsabili (Primăria Municipiului București, furnizorii de utilități publice, proprietarii privați) prin facilitarea unor discuții, oferirea datelor necesare sau avizarea cu celeritate a proiectelor de investiții.</w:t>
      </w:r>
    </w:p>
    <w:p w14:paraId="453EEB74" w14:textId="77777777" w:rsidR="008B4153" w:rsidRPr="00F171A3" w:rsidRDefault="008B4153" w:rsidP="008B4153">
      <w:pPr>
        <w:spacing w:before="240" w:after="240"/>
        <w:rPr>
          <w:b/>
          <w:sz w:val="24"/>
          <w:szCs w:val="24"/>
        </w:rPr>
      </w:pPr>
      <w:r w:rsidRPr="00F171A3">
        <w:rPr>
          <w:b/>
          <w:color w:val="000000"/>
        </w:rPr>
        <w:t>Direcții de acțiune:</w:t>
      </w:r>
    </w:p>
    <w:p w14:paraId="19DB99C9" w14:textId="77777777" w:rsidR="008B4153" w:rsidRPr="00F171A3" w:rsidRDefault="008B4153" w:rsidP="008B4153">
      <w:pPr>
        <w:spacing w:before="240" w:after="240"/>
        <w:rPr>
          <w:sz w:val="24"/>
          <w:szCs w:val="24"/>
        </w:rPr>
      </w:pPr>
      <w:r w:rsidRPr="00F171A3">
        <w:rPr>
          <w:b/>
          <w:color w:val="000000"/>
        </w:rPr>
        <w:t>D3.1.1.</w:t>
      </w:r>
      <w:r w:rsidRPr="00F171A3">
        <w:rPr>
          <w:color w:val="000000"/>
        </w:rPr>
        <w:tab/>
        <w:t xml:space="preserve"> Consolidarea și eficientizarea energetică a fondului construit</w:t>
      </w:r>
    </w:p>
    <w:p w14:paraId="18A762ED" w14:textId="77777777" w:rsidR="008B4153" w:rsidRPr="00F171A3" w:rsidRDefault="008B4153" w:rsidP="008B4153">
      <w:pPr>
        <w:spacing w:before="240" w:after="240"/>
        <w:rPr>
          <w:sz w:val="24"/>
          <w:szCs w:val="24"/>
        </w:rPr>
      </w:pPr>
      <w:r w:rsidRPr="00F171A3">
        <w:rPr>
          <w:b/>
          <w:color w:val="000000"/>
        </w:rPr>
        <w:t>D3.1.2.</w:t>
      </w:r>
      <w:r w:rsidRPr="00F171A3">
        <w:rPr>
          <w:color w:val="000000"/>
        </w:rPr>
        <w:tab/>
        <w:t xml:space="preserve"> Modernizarea infrastructurii energetice</w:t>
      </w:r>
    </w:p>
    <w:p w14:paraId="688AECB2" w14:textId="77777777" w:rsidR="008B4153" w:rsidRPr="00F171A3" w:rsidRDefault="008B4153" w:rsidP="008B4153">
      <w:pPr>
        <w:spacing w:before="240" w:after="240"/>
        <w:rPr>
          <w:sz w:val="24"/>
          <w:szCs w:val="24"/>
        </w:rPr>
      </w:pPr>
      <w:r w:rsidRPr="00F171A3">
        <w:rPr>
          <w:b/>
          <w:color w:val="000000"/>
        </w:rPr>
        <w:t>D3.1.3.</w:t>
      </w:r>
      <w:r w:rsidRPr="00F171A3">
        <w:rPr>
          <w:b/>
          <w:color w:val="000000"/>
        </w:rPr>
        <w:tab/>
      </w:r>
      <w:r w:rsidRPr="00F171A3">
        <w:rPr>
          <w:color w:val="000000"/>
        </w:rPr>
        <w:t xml:space="preserve"> Promovarea utilizării energiei regenerabile</w:t>
      </w:r>
    </w:p>
    <w:p w14:paraId="34A75742" w14:textId="77777777" w:rsidR="008B4153" w:rsidRPr="00F171A3" w:rsidRDefault="008B4153" w:rsidP="008B4153">
      <w:pPr>
        <w:spacing w:after="0"/>
        <w:rPr>
          <w:sz w:val="24"/>
          <w:szCs w:val="24"/>
        </w:rPr>
      </w:pPr>
    </w:p>
    <w:p w14:paraId="12CB5CB7" w14:textId="74C6797D" w:rsidR="008B4153" w:rsidRPr="00F171A3" w:rsidRDefault="001E0A0F" w:rsidP="00E747A2">
      <w:pPr>
        <w:pStyle w:val="Heading5"/>
        <w:rPr>
          <w:lang w:val="ro-RO"/>
        </w:rPr>
      </w:pPr>
      <w:bookmarkStart w:id="423" w:name="_heading=h.2jxsxqh" w:colFirst="0" w:colLast="0"/>
      <w:bookmarkEnd w:id="423"/>
      <w:r w:rsidRPr="00F171A3">
        <w:rPr>
          <w:lang w:val="ro-RO"/>
        </w:rPr>
        <w:t>OBIECTIV SPECIFIC O3.2. - REȚEA ALBASTRĂ-VERDE CONSOLIDATĂ, EXTINSĂ ȘI VALORIFICATĂ</w:t>
      </w:r>
    </w:p>
    <w:p w14:paraId="1EB094E0" w14:textId="77777777" w:rsidR="008B4153" w:rsidRPr="00F171A3" w:rsidRDefault="008B4153" w:rsidP="008B4153">
      <w:pPr>
        <w:spacing w:before="240" w:after="240"/>
        <w:rPr>
          <w:sz w:val="24"/>
          <w:szCs w:val="24"/>
        </w:rPr>
      </w:pPr>
      <w:r w:rsidRPr="00F171A3">
        <w:rPr>
          <w:b/>
          <w:color w:val="000000"/>
        </w:rPr>
        <w:t>Descrierea obiectivului:</w:t>
      </w:r>
      <w:r w:rsidRPr="00F171A3">
        <w:rPr>
          <w:color w:val="000000"/>
        </w:rPr>
        <w:t xml:space="preserve"> Obiectivul specific are în vedere valorificarea competenței distinctive reprezentate de salba de lacuri și spațiile verzi adiacente acesteia (inclusiv Valea Saulei) și crearea unor axe verzi secundare care să lege principalele spații verzi publice din sector (Parcul Verdi – Parcul Circului, Parcul Sticlăriei – Parcul Național). Una din prioritățile Primăriei Sectorului 2 este reprezentată de derularea, cu sprijinul OAR, a unui concurs internațional de soluții în vederea amenajării, reconfigurării și sistematizării malurilor salbei de lacuri. Acțiunile din zona salbei de lacuri vor fi realizate în colaborare cu Apele Române și Primăria Sectorului 1, fiind necesară continuarea operațiunilor de identificare și înlăturare a surselor de degradare a calității mediului, precum și curățarea sedimentelor din cuvetele lacurilor. Totodată, Primăria Sectorului 2 va fi responsabilă de reglementarea și amenajarea spațiilor verzi din zona lacurilor, de reabilitarea spațiilor verzi majore aflate în administrarea ADP Sector 2, precum și de realizarea de noi spații verzi. În unele cazuri (Parcul Circului, Parcul Verdi, intervenții pe arterele principale de circulații), va fi necesară realizarea de parteneriate cu PMB sau luarea în administrare a spațiilor respective.</w:t>
      </w:r>
    </w:p>
    <w:p w14:paraId="774C1848" w14:textId="77777777" w:rsidR="008B4153" w:rsidRPr="00F171A3" w:rsidRDefault="008B4153" w:rsidP="008B4153">
      <w:pPr>
        <w:spacing w:before="240" w:after="240"/>
        <w:rPr>
          <w:b/>
          <w:sz w:val="24"/>
          <w:szCs w:val="24"/>
        </w:rPr>
      </w:pPr>
      <w:r w:rsidRPr="00F171A3">
        <w:rPr>
          <w:b/>
          <w:color w:val="000000"/>
        </w:rPr>
        <w:t>Direcții de acțiune:</w:t>
      </w:r>
    </w:p>
    <w:p w14:paraId="3D4C8A3A" w14:textId="77777777" w:rsidR="008B4153" w:rsidRPr="00F171A3" w:rsidRDefault="008B4153" w:rsidP="008B4153">
      <w:pPr>
        <w:spacing w:before="240" w:after="240"/>
        <w:rPr>
          <w:sz w:val="24"/>
          <w:szCs w:val="24"/>
        </w:rPr>
      </w:pPr>
      <w:r w:rsidRPr="00F171A3">
        <w:rPr>
          <w:b/>
          <w:color w:val="000000"/>
        </w:rPr>
        <w:t>D3.2.1.</w:t>
      </w:r>
      <w:r w:rsidRPr="00F171A3">
        <w:rPr>
          <w:color w:val="000000"/>
        </w:rPr>
        <w:t xml:space="preserve"> Ameliorarea calității apei și a peisajului în zona salbei de lacuri</w:t>
      </w:r>
    </w:p>
    <w:p w14:paraId="3C5FA784" w14:textId="77777777" w:rsidR="008B4153" w:rsidRPr="00F171A3" w:rsidRDefault="008B4153" w:rsidP="008B4153">
      <w:pPr>
        <w:spacing w:before="240" w:after="240"/>
        <w:rPr>
          <w:sz w:val="24"/>
          <w:szCs w:val="24"/>
        </w:rPr>
      </w:pPr>
      <w:r w:rsidRPr="00F171A3">
        <w:rPr>
          <w:b/>
          <w:color w:val="000000"/>
        </w:rPr>
        <w:t>D3.1.2.</w:t>
      </w:r>
      <w:r w:rsidRPr="00F171A3">
        <w:rPr>
          <w:b/>
          <w:color w:val="000000"/>
        </w:rPr>
        <w:tab/>
        <w:t xml:space="preserve"> </w:t>
      </w:r>
      <w:r w:rsidRPr="00F171A3">
        <w:rPr>
          <w:color w:val="000000"/>
        </w:rPr>
        <w:t>Reabilitarea spațiilor verzi majore din sector și constituirea de axe verzi secundare între acestea</w:t>
      </w:r>
    </w:p>
    <w:p w14:paraId="7B472932" w14:textId="77777777" w:rsidR="000D02D4" w:rsidRPr="00F171A3" w:rsidRDefault="000D02D4" w:rsidP="000D02D4">
      <w:bookmarkStart w:id="424" w:name="_heading=h.z337ya" w:colFirst="0" w:colLast="0"/>
      <w:bookmarkEnd w:id="424"/>
    </w:p>
    <w:p w14:paraId="3CAA41A1" w14:textId="159B20D4" w:rsidR="008B4153" w:rsidRPr="00F171A3" w:rsidRDefault="001E0A0F" w:rsidP="00E747A2">
      <w:pPr>
        <w:pStyle w:val="Heading5"/>
        <w:rPr>
          <w:lang w:val="ro-RO"/>
        </w:rPr>
      </w:pPr>
      <w:r w:rsidRPr="00F171A3">
        <w:rPr>
          <w:lang w:val="ro-RO"/>
        </w:rPr>
        <w:t>OBIECTIV SPECIFIC O3.3. - INFRASTRUCTURĂ DE MEDIU MODERNĂ</w:t>
      </w:r>
    </w:p>
    <w:p w14:paraId="6AA48CAF" w14:textId="77777777" w:rsidR="008B4153" w:rsidRPr="00F171A3" w:rsidRDefault="008B4153" w:rsidP="008B4153">
      <w:pPr>
        <w:spacing w:before="240" w:after="240"/>
        <w:rPr>
          <w:sz w:val="24"/>
          <w:szCs w:val="24"/>
        </w:rPr>
      </w:pPr>
      <w:r w:rsidRPr="00F171A3">
        <w:rPr>
          <w:b/>
          <w:color w:val="000000"/>
        </w:rPr>
        <w:t>Descrierea obiectivului:</w:t>
      </w:r>
      <w:r w:rsidRPr="00F171A3">
        <w:rPr>
          <w:color w:val="000000"/>
        </w:rPr>
        <w:t xml:space="preserve"> Prezentul obiectiv specific poate fi atins prin intermediul a două direcții de acțiune. În cazul primei direcții, modernizarea infrastructurii de alimentare cu apă și canalizare este responsabilitatea concesionarului serviciului de alimentare cu apă și canalizare la nivelul municipiului București, respectiv Apa Nova SA. Sunt vizate aici în special înlocuirea rețelelor de apă din fontă și fontă ductilă, localizate preponderent în zona centrală și în cartierele Tei și Floreasca, dar și înlocuirea rețelelor de canalizare cu vechime de peste 50 de ani. A doua direcție de acțiune, în responsabilitatea directă a Primăriei Sectorului 2, este realizarea unui sistem eficient și inteligent de gestiune a deșeurilor care să permită atingerea țintelor cu privire la reciclarea și valorificarea diferitelor categorii de deșeuri.</w:t>
      </w:r>
    </w:p>
    <w:p w14:paraId="45B6158D" w14:textId="77777777" w:rsidR="008B4153" w:rsidRPr="00F171A3" w:rsidRDefault="008B4153" w:rsidP="008B4153">
      <w:pPr>
        <w:spacing w:before="240" w:after="240"/>
        <w:rPr>
          <w:b/>
          <w:sz w:val="24"/>
          <w:szCs w:val="24"/>
        </w:rPr>
      </w:pPr>
      <w:r w:rsidRPr="00F171A3">
        <w:rPr>
          <w:b/>
          <w:color w:val="000000"/>
        </w:rPr>
        <w:t>Direcții de acțiune:</w:t>
      </w:r>
    </w:p>
    <w:p w14:paraId="7565A55A" w14:textId="77777777" w:rsidR="008B4153" w:rsidRPr="00F171A3" w:rsidRDefault="008B4153" w:rsidP="008B4153">
      <w:pPr>
        <w:spacing w:before="240" w:after="240"/>
        <w:rPr>
          <w:sz w:val="24"/>
          <w:szCs w:val="24"/>
        </w:rPr>
      </w:pPr>
      <w:r w:rsidRPr="00F171A3">
        <w:rPr>
          <w:b/>
          <w:color w:val="000000"/>
        </w:rPr>
        <w:t>D3.3.1.</w:t>
      </w:r>
      <w:r w:rsidRPr="00F171A3">
        <w:rPr>
          <w:color w:val="000000"/>
        </w:rPr>
        <w:t xml:space="preserve"> Modernizarea infrastructurii de alimentare cu apă și canalizare</w:t>
      </w:r>
    </w:p>
    <w:p w14:paraId="57855372" w14:textId="77777777" w:rsidR="008B4153" w:rsidRPr="00F171A3" w:rsidRDefault="008B4153" w:rsidP="008B4153">
      <w:pPr>
        <w:spacing w:before="240" w:after="240"/>
        <w:rPr>
          <w:sz w:val="24"/>
          <w:szCs w:val="24"/>
        </w:rPr>
      </w:pPr>
      <w:r w:rsidRPr="00F171A3">
        <w:rPr>
          <w:b/>
          <w:color w:val="000000"/>
        </w:rPr>
        <w:t>D3.3.2.</w:t>
      </w:r>
      <w:r w:rsidRPr="00F171A3">
        <w:rPr>
          <w:color w:val="000000"/>
        </w:rPr>
        <w:t xml:space="preserve"> Dezvoltarea economiei circulare printr-un sistem eficient și inteligent de gestiune a deșeurilor menajere la nivelul Sectorului.</w:t>
      </w:r>
    </w:p>
    <w:p w14:paraId="30DF3008" w14:textId="452D4828" w:rsidR="008B4153" w:rsidRPr="00F171A3" w:rsidRDefault="001E0A0F" w:rsidP="00E747A2">
      <w:pPr>
        <w:pStyle w:val="Heading5"/>
        <w:rPr>
          <w:lang w:val="ro-RO"/>
        </w:rPr>
      </w:pPr>
      <w:bookmarkStart w:id="425" w:name="_heading=h.3j2qqm3" w:colFirst="0" w:colLast="0"/>
      <w:bookmarkEnd w:id="425"/>
      <w:r w:rsidRPr="00F171A3">
        <w:rPr>
          <w:lang w:val="ro-RO"/>
        </w:rPr>
        <w:t>OBIECTIV SPECIFIC O3.4 - SISTEM DE TRANSPORT ORIENTAT ÎN JURUL DEPLASĂRILOR NEMOTORIZATE ȘI A TRANSPORTULUI PUBLIC</w:t>
      </w:r>
    </w:p>
    <w:p w14:paraId="7D4260CB" w14:textId="77777777" w:rsidR="008B4153" w:rsidRPr="00F171A3" w:rsidRDefault="008B4153" w:rsidP="008B4153">
      <w:pPr>
        <w:spacing w:before="240" w:after="240"/>
        <w:rPr>
          <w:sz w:val="24"/>
          <w:szCs w:val="24"/>
        </w:rPr>
      </w:pPr>
      <w:r w:rsidRPr="00F171A3">
        <w:rPr>
          <w:b/>
          <w:color w:val="000000"/>
        </w:rPr>
        <w:t>Descrierea obiectivului:</w:t>
      </w:r>
      <w:r w:rsidRPr="00F171A3">
        <w:rPr>
          <w:color w:val="000000"/>
        </w:rPr>
        <w:t xml:space="preserve"> Obiectivul are în vedere reconfigurarea și optimizarea actualului sistem de transport vizând în primul rând echitatea în ceea ce privește modul de distribuire a spațiului urban între diferiții participanți la trafic. Astfel, sunt vizate proiecte de reconfigurarea a principalelor artere de transport pentru a integra benzi dedicate pentru transportul public, piste pentru biciclete, trotuare sigure și generoase și vegetație de aliniament. Dezideratul este de a face transportul public, mersul cu bicicleta sau pe jos, modalități de deplasare cât mai atractive. Obiectivul vizează și componenta parcării mizând pe o gestiune mult mai eficientă a stocului existent de parcări și reducerea amprentei la sol a parcărilor pentru a putea elibera importante rezerve de teren destinat comunității.</w:t>
      </w:r>
    </w:p>
    <w:p w14:paraId="76884D4B" w14:textId="77777777" w:rsidR="008B4153" w:rsidRPr="00F171A3" w:rsidRDefault="008B4153" w:rsidP="008B4153">
      <w:pPr>
        <w:spacing w:before="240" w:after="240"/>
        <w:rPr>
          <w:sz w:val="24"/>
          <w:szCs w:val="24"/>
        </w:rPr>
      </w:pPr>
      <w:r w:rsidRPr="00F171A3">
        <w:rPr>
          <w:b/>
          <w:color w:val="000000"/>
        </w:rPr>
        <w:t>D3.4.1</w:t>
      </w:r>
      <w:r w:rsidRPr="00F171A3">
        <w:rPr>
          <w:color w:val="000000"/>
        </w:rPr>
        <w:t xml:space="preserve"> Dezvoltarea infrastructurii și serviciilor pentru mersul cu bicicleta</w:t>
      </w:r>
    </w:p>
    <w:p w14:paraId="660A38B2" w14:textId="77777777" w:rsidR="008B4153" w:rsidRPr="00F171A3" w:rsidRDefault="008B4153" w:rsidP="008B4153">
      <w:pPr>
        <w:spacing w:before="240" w:after="240"/>
        <w:rPr>
          <w:sz w:val="24"/>
          <w:szCs w:val="24"/>
        </w:rPr>
      </w:pPr>
      <w:r w:rsidRPr="00F171A3">
        <w:rPr>
          <w:b/>
          <w:color w:val="000000"/>
        </w:rPr>
        <w:t>D3.4.2</w:t>
      </w:r>
      <w:r w:rsidRPr="00F171A3">
        <w:rPr>
          <w:color w:val="000000"/>
        </w:rPr>
        <w:t xml:space="preserve"> Extinderea și revitalizarea zonelor și circulațiilor pietonale</w:t>
      </w:r>
    </w:p>
    <w:p w14:paraId="312DE7A5" w14:textId="77777777" w:rsidR="008B4153" w:rsidRPr="00F171A3" w:rsidRDefault="008B4153" w:rsidP="008B4153">
      <w:pPr>
        <w:spacing w:before="240" w:after="240"/>
        <w:rPr>
          <w:sz w:val="24"/>
          <w:szCs w:val="24"/>
        </w:rPr>
      </w:pPr>
      <w:r w:rsidRPr="00F171A3">
        <w:rPr>
          <w:b/>
          <w:color w:val="000000"/>
        </w:rPr>
        <w:t>D3.4.3</w:t>
      </w:r>
      <w:r w:rsidRPr="00F171A3">
        <w:rPr>
          <w:color w:val="000000"/>
        </w:rPr>
        <w:t xml:space="preserve"> Optimizarea modului de gestiune a parcării </w:t>
      </w:r>
    </w:p>
    <w:p w14:paraId="491C7CC2" w14:textId="77777777" w:rsidR="008B4153" w:rsidRPr="00F171A3" w:rsidRDefault="008B4153" w:rsidP="008B4153">
      <w:pPr>
        <w:spacing w:before="240" w:after="240"/>
        <w:rPr>
          <w:sz w:val="24"/>
          <w:szCs w:val="24"/>
        </w:rPr>
      </w:pPr>
      <w:r w:rsidRPr="00F171A3">
        <w:rPr>
          <w:b/>
          <w:color w:val="000000"/>
        </w:rPr>
        <w:t>D3.4.4</w:t>
      </w:r>
      <w:r w:rsidRPr="00F171A3">
        <w:rPr>
          <w:color w:val="000000"/>
        </w:rPr>
        <w:t xml:space="preserve"> Creșterea conectivității în zonele de dezvoltare și restructurare urbană</w:t>
      </w:r>
    </w:p>
    <w:p w14:paraId="64EAF3D1" w14:textId="11E03368" w:rsidR="008B4153" w:rsidRPr="00F171A3" w:rsidRDefault="008B4153" w:rsidP="008B4153">
      <w:pPr>
        <w:spacing w:before="240" w:after="240"/>
        <w:rPr>
          <w:sz w:val="24"/>
          <w:szCs w:val="24"/>
        </w:rPr>
      </w:pPr>
      <w:r w:rsidRPr="00F171A3">
        <w:rPr>
          <w:b/>
          <w:color w:val="000000"/>
        </w:rPr>
        <w:t>D3.4.5</w:t>
      </w:r>
      <w:r w:rsidRPr="00F171A3">
        <w:rPr>
          <w:color w:val="000000"/>
        </w:rPr>
        <w:t xml:space="preserve"> </w:t>
      </w:r>
      <w:r w:rsidR="00AB18B3" w:rsidRPr="00F171A3">
        <w:rPr>
          <w:color w:val="000000"/>
        </w:rPr>
        <w:t>Dezvoltarea facilităților pentru autovehicule nepoluante</w:t>
      </w:r>
    </w:p>
    <w:p w14:paraId="249894DC" w14:textId="77777777" w:rsidR="008B4153" w:rsidRPr="00F171A3" w:rsidRDefault="008B4153" w:rsidP="008B4153">
      <w:pPr>
        <w:spacing w:before="240" w:after="240"/>
        <w:rPr>
          <w:sz w:val="24"/>
          <w:szCs w:val="24"/>
        </w:rPr>
      </w:pPr>
      <w:r w:rsidRPr="00F171A3">
        <w:rPr>
          <w:b/>
          <w:color w:val="000000"/>
        </w:rPr>
        <w:t>D3.4.6</w:t>
      </w:r>
      <w:r w:rsidRPr="00F171A3">
        <w:rPr>
          <w:color w:val="000000"/>
        </w:rPr>
        <w:t xml:space="preserve"> Creșterea atractivității și performanței sistemului de transport public (PMB)</w:t>
      </w:r>
    </w:p>
    <w:p w14:paraId="0C938009" w14:textId="4C1EC75B" w:rsidR="008B4153" w:rsidRPr="00F171A3" w:rsidRDefault="008B4153" w:rsidP="008B4153">
      <w:pPr>
        <w:spacing w:before="240" w:after="240"/>
        <w:rPr>
          <w:color w:val="000000"/>
        </w:rPr>
      </w:pPr>
      <w:r w:rsidRPr="00F171A3">
        <w:rPr>
          <w:b/>
          <w:color w:val="000000"/>
        </w:rPr>
        <w:t>D34.7</w:t>
      </w:r>
      <w:r w:rsidRPr="00F171A3">
        <w:rPr>
          <w:color w:val="000000"/>
        </w:rPr>
        <w:t xml:space="preserve"> Dezvoltarea </w:t>
      </w:r>
      <w:r w:rsidR="00482049" w:rsidRPr="00F171A3">
        <w:rPr>
          <w:color w:val="000000"/>
        </w:rPr>
        <w:t>transportului</w:t>
      </w:r>
      <w:r w:rsidRPr="00F171A3">
        <w:rPr>
          <w:color w:val="000000"/>
        </w:rPr>
        <w:t xml:space="preserve"> inter și multimodal (PMB)</w:t>
      </w:r>
    </w:p>
    <w:p w14:paraId="11A39105" w14:textId="58657310" w:rsidR="008B4153" w:rsidRPr="00F171A3" w:rsidRDefault="008B4153" w:rsidP="008B4153">
      <w:pPr>
        <w:spacing w:before="240" w:after="240"/>
        <w:rPr>
          <w:rFonts w:ascii="Calibri" w:hAnsi="Calibri" w:cs="Calibri"/>
          <w:color w:val="000000"/>
        </w:rPr>
      </w:pPr>
      <w:r w:rsidRPr="00F171A3">
        <w:rPr>
          <w:rFonts w:ascii="Calibri" w:hAnsi="Calibri" w:cs="Calibri"/>
          <w:b/>
          <w:color w:val="000000"/>
        </w:rPr>
        <w:t>D3.4.8</w:t>
      </w:r>
      <w:r w:rsidRPr="00F171A3">
        <w:rPr>
          <w:rFonts w:ascii="Calibri" w:hAnsi="Calibri" w:cs="Calibri"/>
          <w:color w:val="000000"/>
        </w:rPr>
        <w:t xml:space="preserve"> Promovarea </w:t>
      </w:r>
      <w:r w:rsidR="00482049" w:rsidRPr="00F171A3">
        <w:rPr>
          <w:rFonts w:ascii="Calibri" w:hAnsi="Calibri" w:cs="Calibri"/>
          <w:color w:val="000000"/>
        </w:rPr>
        <w:t>mobilității</w:t>
      </w:r>
      <w:r w:rsidRPr="00F171A3">
        <w:rPr>
          <w:rFonts w:ascii="Calibri" w:hAnsi="Calibri" w:cs="Calibri"/>
          <w:color w:val="000000"/>
        </w:rPr>
        <w:t xml:space="preserve"> urbane durabile și a măsurilor de siguranță în trafic</w:t>
      </w:r>
    </w:p>
    <w:p w14:paraId="69140B7F" w14:textId="77777777" w:rsidR="000D02D4" w:rsidRPr="00F171A3" w:rsidRDefault="000D02D4" w:rsidP="008B4153">
      <w:pPr>
        <w:spacing w:before="240" w:after="240"/>
        <w:rPr>
          <w:color w:val="000000"/>
        </w:rPr>
      </w:pPr>
    </w:p>
    <w:p w14:paraId="4AFF25B0" w14:textId="77777777" w:rsidR="008B4153" w:rsidRPr="00F171A3" w:rsidRDefault="008B4153" w:rsidP="00E747A2">
      <w:pPr>
        <w:pStyle w:val="Heading4"/>
      </w:pPr>
      <w:bookmarkStart w:id="426" w:name="_heading=h.1y810tw" w:colFirst="0" w:colLast="0"/>
      <w:bookmarkEnd w:id="426"/>
      <w:r w:rsidRPr="00F171A3">
        <w:t>OBIECTIV STRATEGIC O4 -  ADMINISTRAȚIE PUBLICĂ LOCALĂ PERFORMANTĂ CE SPRIJINĂ DEZVOLTAREA DURABILĂ PRIN DESCHIDERE ȘI TRANSPARENȚĂ, ÎNCURAJAREA PARTICIPĂRII TUTUROR CETĂȚENILOR ÎN PROCESELE DE DECIZIE ȘI FOLOSIREA NOILOR TEHNOLOGII</w:t>
      </w:r>
    </w:p>
    <w:p w14:paraId="3955A59B" w14:textId="570A28BF" w:rsidR="008B4153" w:rsidRPr="00F171A3" w:rsidRDefault="008B4153" w:rsidP="008B4153">
      <w:pPr>
        <w:spacing w:before="240" w:after="240"/>
        <w:rPr>
          <w:sz w:val="24"/>
          <w:szCs w:val="24"/>
        </w:rPr>
      </w:pPr>
      <w:r w:rsidRPr="00F171A3">
        <w:rPr>
          <w:b/>
          <w:color w:val="000000"/>
        </w:rPr>
        <w:t xml:space="preserve">Descriere obiectiv strategic: </w:t>
      </w:r>
      <w:r w:rsidRPr="00F171A3">
        <w:rPr>
          <w:color w:val="000000"/>
        </w:rPr>
        <w:t>Susținerea unei administrații locale performante depinde de modul în care aceasta poate răspunde nevoilor comunității într-o manieră eficientă și transparentă, adoptă principiile guvernării deschise și susține o abordare participativă și inclusivă în procesele locale de decizie. Pentru a îmbunătăți calitatea serviciilor publice oferite și relația cu cetățeanul, Primăria Sector</w:t>
      </w:r>
      <w:r w:rsidR="00F53B80" w:rsidRPr="00F171A3">
        <w:rPr>
          <w:color w:val="000000"/>
        </w:rPr>
        <w:t xml:space="preserve">ului </w:t>
      </w:r>
      <w:r w:rsidRPr="00F171A3">
        <w:rPr>
          <w:color w:val="000000"/>
        </w:rPr>
        <w:t>2 trebuie să aibă ca obiectiv strategic transversal o capacitate administrativă crescută care să poată susține totalitatea priorităților și obiectivelor strategice asumate. Acest lucru este posibil prin dezvoltarea de procese eficiente de lucru, bazate pe soluții digitale și care reduc semnificativ birocrația, o resursă umană bine formată, cu un înalt grad de profesionalism, integritate și etică, o strategie de consolidare a resurselor financiare și de diversificare a surselor de venit, respectiv o prioritizare a politicii de investiții în funcție de nevoile și obiectivele cele mai importante de la nivelul comunității. </w:t>
      </w:r>
    </w:p>
    <w:p w14:paraId="25BF0EE4" w14:textId="77777777" w:rsidR="008B4153" w:rsidRPr="00F171A3" w:rsidRDefault="008B4153" w:rsidP="008B4153">
      <w:pPr>
        <w:spacing w:before="240" w:after="240"/>
        <w:rPr>
          <w:b/>
          <w:sz w:val="24"/>
          <w:szCs w:val="24"/>
        </w:rPr>
      </w:pPr>
      <w:r w:rsidRPr="00F171A3">
        <w:rPr>
          <w:b/>
          <w:color w:val="000000"/>
        </w:rPr>
        <w:t>Țintă: </w:t>
      </w:r>
    </w:p>
    <w:p w14:paraId="2DAB03AA" w14:textId="77777777" w:rsidR="008B4153" w:rsidRPr="00F171A3" w:rsidRDefault="008B4153" w:rsidP="008B4153">
      <w:pPr>
        <w:spacing w:before="240" w:after="240"/>
        <w:rPr>
          <w:sz w:val="24"/>
          <w:szCs w:val="24"/>
        </w:rPr>
      </w:pPr>
      <w:r w:rsidRPr="00F171A3">
        <w:rPr>
          <w:color w:val="000000"/>
        </w:rPr>
        <w:t>-10% sesizările anuale ale cetăţenilor - orizont 2025</w:t>
      </w:r>
    </w:p>
    <w:p w14:paraId="14B86B80" w14:textId="77777777" w:rsidR="008B4153" w:rsidRPr="00F171A3" w:rsidRDefault="008B4153" w:rsidP="008B4153">
      <w:pPr>
        <w:spacing w:before="240" w:after="240"/>
        <w:rPr>
          <w:sz w:val="24"/>
          <w:szCs w:val="24"/>
        </w:rPr>
      </w:pPr>
      <w:r w:rsidRPr="00F171A3">
        <w:rPr>
          <w:color w:val="000000"/>
        </w:rPr>
        <w:t>+20% gradul de satisfacţie al cetăţenilor faţă de administraţia locală - orizont 2025</w:t>
      </w:r>
    </w:p>
    <w:p w14:paraId="0200BFB5" w14:textId="51FBBFAB" w:rsidR="008B4153" w:rsidRPr="00F171A3" w:rsidRDefault="00F22459" w:rsidP="00E747A2">
      <w:pPr>
        <w:pStyle w:val="Heading5"/>
        <w:rPr>
          <w:lang w:val="ro-RO"/>
        </w:rPr>
      </w:pPr>
      <w:bookmarkStart w:id="427" w:name="_heading=h.4i7ojhp" w:colFirst="0" w:colLast="0"/>
      <w:bookmarkEnd w:id="427"/>
      <w:r w:rsidRPr="00F171A3">
        <w:rPr>
          <w:lang w:val="ro-RO"/>
        </w:rPr>
        <w:t>OBIECTIV SPECIFIC O4.1. - CREȘTEREA CAPACITĂȚII ADMINISTRATIVE PENTRU A ÎMBUNĂTĂȚI ȘI EFICIENTIZA MEDIUL INTERN DE LUCRU ȘI A SUSȚINE POTENȚIALUL DE DEZVOLTARE AL SECTOR 2</w:t>
      </w:r>
    </w:p>
    <w:p w14:paraId="71C72AB0" w14:textId="77777777" w:rsidR="008B4153" w:rsidRPr="00F171A3" w:rsidRDefault="008B4153" w:rsidP="008B4153">
      <w:pPr>
        <w:spacing w:before="240" w:after="240"/>
        <w:rPr>
          <w:sz w:val="24"/>
          <w:szCs w:val="24"/>
        </w:rPr>
      </w:pPr>
      <w:r w:rsidRPr="00F171A3">
        <w:rPr>
          <w:b/>
          <w:color w:val="000000"/>
        </w:rPr>
        <w:t>Descrierea obiectivului:</w:t>
      </w:r>
      <w:r w:rsidRPr="00F171A3">
        <w:rPr>
          <w:color w:val="000000"/>
        </w:rPr>
        <w:t xml:space="preserve"> Buna guvernare depinde de capacitatea administrației publice locale de a performa într-un mediu competitiv și a dezvolta acele instrumente și mecanisme interne care pot genera elemente de diferențiere în raport cu alte administrații locale pentru creșterea calității vieții urbane. O capacitate administrativă performantă influențează semnificativ dezvoltarea economică, socială sau culturală de la nivelul comunității, poate atrage noi investiții sau îndeplini într-o manieră eficientă nevoile cetățenilor, mediului de afaceri, non guvernamental sau academic. Toate aceste elemente depind însă de ecosistemul de lucru intern de la nivelul administrației și capacitatea acestuia de a genera o performanță ridicată în relația cu cetățenii și actorii externi.  </w:t>
      </w:r>
    </w:p>
    <w:p w14:paraId="00BD9B07" w14:textId="77777777" w:rsidR="008B4153" w:rsidRPr="00F171A3" w:rsidRDefault="008B4153" w:rsidP="008B4153">
      <w:pPr>
        <w:spacing w:before="240" w:after="240"/>
        <w:rPr>
          <w:b/>
          <w:sz w:val="24"/>
          <w:szCs w:val="24"/>
        </w:rPr>
      </w:pPr>
      <w:r w:rsidRPr="00F171A3">
        <w:rPr>
          <w:b/>
          <w:color w:val="000000"/>
        </w:rPr>
        <w:t>Direcții de acțiune:</w:t>
      </w:r>
    </w:p>
    <w:p w14:paraId="04F1141E" w14:textId="6B18C256" w:rsidR="008B4153" w:rsidRPr="00F171A3" w:rsidRDefault="008B4153" w:rsidP="008B4153">
      <w:pPr>
        <w:spacing w:before="240" w:after="240"/>
        <w:rPr>
          <w:sz w:val="24"/>
          <w:szCs w:val="24"/>
        </w:rPr>
      </w:pPr>
      <w:r w:rsidRPr="00F171A3">
        <w:rPr>
          <w:b/>
          <w:color w:val="000000"/>
        </w:rPr>
        <w:t>D4.1.1.</w:t>
      </w:r>
      <w:r w:rsidRPr="00F171A3">
        <w:rPr>
          <w:color w:val="000000"/>
        </w:rPr>
        <w:t xml:space="preserve"> Managementul eficient al resursei umane, dezvoltarea competențelor și politicii de formare.  Corelarea cu nevoile raportate de personalul instituției și prioritățile strategice, dar și de modificările survenite ca urmare a reorganizării administrative și nevoilor de dezvoltare ale Primăriei Sector</w:t>
      </w:r>
      <w:r w:rsidR="00135D70" w:rsidRPr="00F171A3">
        <w:rPr>
          <w:color w:val="000000"/>
        </w:rPr>
        <w:t>ului</w:t>
      </w:r>
      <w:r w:rsidRPr="00F171A3">
        <w:rPr>
          <w:color w:val="000000"/>
        </w:rPr>
        <w:t xml:space="preserve"> 2 </w:t>
      </w:r>
    </w:p>
    <w:p w14:paraId="2F9D7BB2" w14:textId="77777777" w:rsidR="008B4153" w:rsidRPr="00F171A3" w:rsidRDefault="008B4153" w:rsidP="008B4153">
      <w:pPr>
        <w:spacing w:before="240" w:after="240"/>
        <w:rPr>
          <w:sz w:val="24"/>
          <w:szCs w:val="24"/>
        </w:rPr>
      </w:pPr>
      <w:r w:rsidRPr="00F171A3">
        <w:rPr>
          <w:b/>
          <w:color w:val="000000"/>
        </w:rPr>
        <w:t>D4.1.2.</w:t>
      </w:r>
      <w:r w:rsidRPr="00F171A3">
        <w:rPr>
          <w:color w:val="000000"/>
        </w:rPr>
        <w:t>  Asigurarea coerenței procesului decizional intern, extinderea proceselor de debirocratizare și îmbunătățirea proceselor de lucru</w:t>
      </w:r>
    </w:p>
    <w:p w14:paraId="479F34DD" w14:textId="77777777" w:rsidR="008B4153" w:rsidRPr="00F171A3" w:rsidRDefault="008B4153" w:rsidP="008B4153">
      <w:pPr>
        <w:spacing w:before="240" w:after="240"/>
        <w:rPr>
          <w:sz w:val="24"/>
          <w:szCs w:val="24"/>
        </w:rPr>
      </w:pPr>
      <w:r w:rsidRPr="00F171A3">
        <w:rPr>
          <w:b/>
          <w:color w:val="000000"/>
        </w:rPr>
        <w:t>D4.1.3.</w:t>
      </w:r>
      <w:r w:rsidRPr="00F171A3">
        <w:rPr>
          <w:color w:val="000000"/>
        </w:rPr>
        <w:t xml:space="preserve"> Îmbunătățirea managementului financiar, a predictibilității și capacității de planificare strategică și de programare a resurselor financiare </w:t>
      </w:r>
    </w:p>
    <w:p w14:paraId="41BBCAA1" w14:textId="4109E339" w:rsidR="008B4153" w:rsidRPr="00F171A3" w:rsidRDefault="008B4153" w:rsidP="008B4153">
      <w:pPr>
        <w:spacing w:before="240" w:after="240"/>
        <w:rPr>
          <w:color w:val="000000"/>
        </w:rPr>
      </w:pPr>
      <w:r w:rsidRPr="00F171A3">
        <w:rPr>
          <w:b/>
          <w:color w:val="000000"/>
        </w:rPr>
        <w:t>D4.1.4.</w:t>
      </w:r>
      <w:r w:rsidRPr="00F171A3">
        <w:rPr>
          <w:color w:val="000000"/>
        </w:rPr>
        <w:t xml:space="preserve"> Capacitate crescută pentru implementarea unei politici de investiții fundamentată pe absorbția de fonduri externe nerambursabile în perioada 2021-2027, urmărindu-se oportunitățile și prioritățile aferente noilor exerciții financiare</w:t>
      </w:r>
    </w:p>
    <w:p w14:paraId="335EE49D" w14:textId="77777777" w:rsidR="000D02D4" w:rsidRPr="00F171A3" w:rsidRDefault="000D02D4" w:rsidP="008B4153">
      <w:pPr>
        <w:spacing w:before="240" w:after="240"/>
        <w:rPr>
          <w:sz w:val="24"/>
          <w:szCs w:val="24"/>
        </w:rPr>
      </w:pPr>
    </w:p>
    <w:p w14:paraId="5C595775" w14:textId="7A2BF186" w:rsidR="008B4153" w:rsidRPr="00F171A3" w:rsidRDefault="00F22459" w:rsidP="00E747A2">
      <w:pPr>
        <w:pStyle w:val="Heading5"/>
        <w:rPr>
          <w:lang w:val="ro-RO"/>
        </w:rPr>
      </w:pPr>
      <w:bookmarkStart w:id="428" w:name="_heading=h.2xcytpi" w:colFirst="0" w:colLast="0"/>
      <w:bookmarkEnd w:id="428"/>
      <w:r w:rsidRPr="00F171A3">
        <w:rPr>
          <w:lang w:val="ro-RO"/>
        </w:rPr>
        <w:t>OBIECTIV SPECIFIC O4.2. -  ORIENTAREA ADMINISTRAȚIEI CĂTRE CETĂȚEAN ȘI COMUNITATE PRIN ASUMAREA UNEI GUVERNĂRI DESCHISE, TRANSPARENTE, INCLUSIVE ȘI RESPONSABILE</w:t>
      </w:r>
    </w:p>
    <w:p w14:paraId="6A7CFC97" w14:textId="245006D5" w:rsidR="008B4153" w:rsidRPr="00F171A3" w:rsidRDefault="008B4153" w:rsidP="008B4153">
      <w:pPr>
        <w:spacing w:before="240" w:after="240"/>
        <w:rPr>
          <w:sz w:val="24"/>
          <w:szCs w:val="24"/>
        </w:rPr>
      </w:pPr>
      <w:r w:rsidRPr="00F171A3">
        <w:rPr>
          <w:b/>
          <w:color w:val="000000"/>
        </w:rPr>
        <w:t>Descrierea obiectivului:</w:t>
      </w:r>
      <w:r w:rsidRPr="00F171A3">
        <w:rPr>
          <w:color w:val="000000"/>
        </w:rPr>
        <w:t xml:space="preserve"> Creșterea gradului de deschidere al Primăriei Sector</w:t>
      </w:r>
      <w:r w:rsidR="00135D70" w:rsidRPr="00F171A3">
        <w:rPr>
          <w:color w:val="000000"/>
        </w:rPr>
        <w:t>ului</w:t>
      </w:r>
      <w:r w:rsidRPr="00F171A3">
        <w:rPr>
          <w:color w:val="000000"/>
        </w:rPr>
        <w:t xml:space="preserve"> 2 prin adoptarea unei set de măsuri care pun cetățeanul în centrul procesului local de decizie, îmbunătățesc dialogul și transparența și îi oferă acestuia instrumentele necesare de a-l influența. Transformarea orașelor include noi roluri și responsabilități pentru cetățeni, mediul de afaceri, non guvernamental sau academic, iar principiile guvernării deschise oferă acestora un acces facil la informații și îmbunătățesc participare la luarea deciziilor. Administrația publică locală trebuie să creeze ecosistemul necesar prin noi instrumente și mecanisme de informare, participare și consultare pentru a integra cetățenii în acest proces. </w:t>
      </w:r>
    </w:p>
    <w:p w14:paraId="57F32BEF" w14:textId="77777777" w:rsidR="008B4153" w:rsidRPr="00F171A3" w:rsidRDefault="008B4153" w:rsidP="008B4153">
      <w:pPr>
        <w:spacing w:before="240" w:after="240"/>
        <w:rPr>
          <w:b/>
          <w:sz w:val="24"/>
          <w:szCs w:val="24"/>
        </w:rPr>
      </w:pPr>
      <w:r w:rsidRPr="00F171A3">
        <w:rPr>
          <w:b/>
          <w:color w:val="000000"/>
        </w:rPr>
        <w:t>Direcții de acțiune:</w:t>
      </w:r>
    </w:p>
    <w:p w14:paraId="26E94C10" w14:textId="77777777" w:rsidR="008B4153" w:rsidRPr="00F171A3" w:rsidRDefault="008B4153" w:rsidP="008B4153">
      <w:pPr>
        <w:spacing w:before="240" w:after="240"/>
        <w:rPr>
          <w:sz w:val="24"/>
          <w:szCs w:val="24"/>
        </w:rPr>
      </w:pPr>
      <w:r w:rsidRPr="00F171A3">
        <w:rPr>
          <w:b/>
          <w:color w:val="000000"/>
        </w:rPr>
        <w:t>D4.2.1.</w:t>
      </w:r>
      <w:r w:rsidRPr="00F171A3">
        <w:rPr>
          <w:color w:val="000000"/>
        </w:rPr>
        <w:t xml:space="preserve"> Participare extinsă a cetățenilor, mediului de afaceri, non-guvernamental și academic în procesele de consultare și de decizie de la nivel local prin noi instrumente, mecanisme și formate asumate și promovate de administrația locală  </w:t>
      </w:r>
    </w:p>
    <w:p w14:paraId="5F17CC4A" w14:textId="77777777" w:rsidR="008B4153" w:rsidRPr="00F171A3" w:rsidRDefault="008B4153" w:rsidP="008B4153">
      <w:pPr>
        <w:spacing w:before="240" w:after="240"/>
        <w:rPr>
          <w:sz w:val="24"/>
          <w:szCs w:val="24"/>
        </w:rPr>
      </w:pPr>
      <w:r w:rsidRPr="00F171A3">
        <w:rPr>
          <w:b/>
          <w:color w:val="000000"/>
        </w:rPr>
        <w:t>D4.2.2.</w:t>
      </w:r>
      <w:r w:rsidRPr="00F171A3">
        <w:rPr>
          <w:color w:val="000000"/>
        </w:rPr>
        <w:t xml:space="preserve"> Creșterea transparenței administrației locale prin îmbunătățirea calității datelor publice și îmbunătățirea gradului de conformare față de standardele privind afișarea din oficiu a informațiilor de interes </w:t>
      </w:r>
    </w:p>
    <w:p w14:paraId="2F0521DA" w14:textId="5A752BE2" w:rsidR="008B4153" w:rsidRPr="00F171A3" w:rsidRDefault="008B4153" w:rsidP="008B4153">
      <w:pPr>
        <w:spacing w:before="240" w:after="240"/>
        <w:rPr>
          <w:color w:val="000000"/>
        </w:rPr>
      </w:pPr>
      <w:r w:rsidRPr="00F171A3">
        <w:rPr>
          <w:b/>
          <w:color w:val="000000"/>
        </w:rPr>
        <w:t>D4.2.3.</w:t>
      </w:r>
      <w:r w:rsidRPr="00F171A3">
        <w:rPr>
          <w:color w:val="000000"/>
        </w:rPr>
        <w:t xml:space="preserve"> Adoptarea de noi instrumente și formate incluzive care să </w:t>
      </w:r>
      <w:r w:rsidRPr="00F171A3">
        <w:t>permită</w:t>
      </w:r>
      <w:r w:rsidRPr="00F171A3">
        <w:rPr>
          <w:color w:val="000000"/>
        </w:rPr>
        <w:t xml:space="preserve"> informarea, participarea și consultarea și grupurilor de cetățeni vulnerabili sau slab reprezentați  </w:t>
      </w:r>
    </w:p>
    <w:p w14:paraId="5C215691" w14:textId="77777777" w:rsidR="000D02D4" w:rsidRPr="00F171A3" w:rsidRDefault="000D02D4" w:rsidP="008B4153">
      <w:pPr>
        <w:spacing w:before="240" w:after="240"/>
        <w:rPr>
          <w:sz w:val="24"/>
          <w:szCs w:val="24"/>
        </w:rPr>
      </w:pPr>
    </w:p>
    <w:p w14:paraId="72F08268" w14:textId="5FB30B0D" w:rsidR="008B4153" w:rsidRPr="00F171A3" w:rsidRDefault="00F22459" w:rsidP="00E747A2">
      <w:pPr>
        <w:pStyle w:val="Heading5"/>
        <w:rPr>
          <w:lang w:val="ro-RO"/>
        </w:rPr>
      </w:pPr>
      <w:bookmarkStart w:id="429" w:name="_heading=h.1ci93xb" w:colFirst="0" w:colLast="0"/>
      <w:bookmarkEnd w:id="429"/>
      <w:r w:rsidRPr="00F171A3">
        <w:rPr>
          <w:lang w:val="ro-RO"/>
        </w:rPr>
        <w:t>OBIECTIV SPECIFIC O4.3. - GUVERNARE LOCALĂ INTELIGENTĂ ȘI ÎMBUNĂTĂȚIREA CAPACITĂȚII ADMINISTRAȚIEI PUBLICE DE A RĂSPUNDE ȘI A SE ADAPTA TRANSFORMĂRILOR DIGITALE ÎN DESFĂȘURARE</w:t>
      </w:r>
    </w:p>
    <w:p w14:paraId="0FC7C44C" w14:textId="77777777" w:rsidR="008B4153" w:rsidRPr="00F171A3" w:rsidRDefault="008B4153" w:rsidP="008B4153">
      <w:pPr>
        <w:spacing w:before="240" w:after="240"/>
        <w:rPr>
          <w:sz w:val="24"/>
          <w:szCs w:val="24"/>
        </w:rPr>
      </w:pPr>
      <w:r w:rsidRPr="00F171A3">
        <w:rPr>
          <w:b/>
          <w:color w:val="000000"/>
        </w:rPr>
        <w:t>Descrierea obiectivului:</w:t>
      </w:r>
      <w:r w:rsidRPr="00F171A3">
        <w:rPr>
          <w:color w:val="000000"/>
        </w:rPr>
        <w:t xml:space="preserve"> Digitalizarea serviciilor publice, interoperabilitatea bazelor de date și implementarea conceptului de guvernare inteligentă vor îmbunătăți calitatea guvernării locale, serviciile oferite și gradul de satisfacție al cetățenilor. Creșterea interacțiunilor digitale cu cetățeanul și extinderea serviciilor electronice necesită informatizarea și integrarea sistemelor și a bazelor de date și adaptarea la reglementările în vigoare privind datele publice și securitatea acestora. Toate aceste transformări au un impact sporit asupra nevoilor de competențe digitale la nivelul personalului și influențează semnificativ relația dintre administrația locală și cetățean  </w:t>
      </w:r>
    </w:p>
    <w:p w14:paraId="7DC25C77" w14:textId="77777777" w:rsidR="008B4153" w:rsidRPr="00F171A3" w:rsidRDefault="008B4153" w:rsidP="008B4153">
      <w:pPr>
        <w:spacing w:before="240" w:after="240"/>
        <w:rPr>
          <w:b/>
          <w:sz w:val="24"/>
          <w:szCs w:val="24"/>
        </w:rPr>
      </w:pPr>
      <w:r w:rsidRPr="00F171A3">
        <w:rPr>
          <w:b/>
          <w:color w:val="000000"/>
        </w:rPr>
        <w:t>Direcții de acțiune:</w:t>
      </w:r>
    </w:p>
    <w:p w14:paraId="24623EAA" w14:textId="77777777" w:rsidR="008B4153" w:rsidRPr="00F171A3" w:rsidRDefault="008B4153" w:rsidP="008B4153">
      <w:pPr>
        <w:spacing w:before="240" w:after="240"/>
        <w:rPr>
          <w:sz w:val="24"/>
          <w:szCs w:val="24"/>
        </w:rPr>
      </w:pPr>
      <w:r w:rsidRPr="00F171A3">
        <w:rPr>
          <w:b/>
          <w:color w:val="000000"/>
        </w:rPr>
        <w:t>D4.3.1.</w:t>
      </w:r>
      <w:r w:rsidRPr="00F171A3">
        <w:rPr>
          <w:color w:val="000000"/>
        </w:rPr>
        <w:t xml:space="preserve"> Digitalizarea serviciilor publice, asigurarea accesului tuturor cetățenilor la acestea și evaluare continuă </w:t>
      </w:r>
    </w:p>
    <w:p w14:paraId="680AB5EE" w14:textId="09944BCF" w:rsidR="008B4153" w:rsidRPr="00F171A3" w:rsidRDefault="008B4153" w:rsidP="008B4153">
      <w:pPr>
        <w:spacing w:before="240" w:after="240"/>
        <w:rPr>
          <w:sz w:val="24"/>
          <w:szCs w:val="24"/>
        </w:rPr>
      </w:pPr>
      <w:r w:rsidRPr="00F171A3">
        <w:rPr>
          <w:b/>
          <w:color w:val="000000"/>
        </w:rPr>
        <w:t>D4.3.2.</w:t>
      </w:r>
      <w:r w:rsidRPr="00F171A3">
        <w:rPr>
          <w:color w:val="000000"/>
        </w:rPr>
        <w:t xml:space="preserve"> Creșterea competențelor digitale și dezvoltare de noi programe de formare la nivelul personalului Primăriei Sector</w:t>
      </w:r>
      <w:r w:rsidR="00135D70" w:rsidRPr="00F171A3">
        <w:rPr>
          <w:color w:val="000000"/>
        </w:rPr>
        <w:t>ului</w:t>
      </w:r>
      <w:r w:rsidRPr="00F171A3">
        <w:rPr>
          <w:color w:val="000000"/>
        </w:rPr>
        <w:t xml:space="preserve"> 2 </w:t>
      </w:r>
    </w:p>
    <w:p w14:paraId="7DF251CF" w14:textId="0602CDE0" w:rsidR="008B4153" w:rsidRPr="00F171A3" w:rsidRDefault="008B4153" w:rsidP="008B4153">
      <w:pPr>
        <w:spacing w:before="240" w:after="240"/>
        <w:rPr>
          <w:color w:val="000000"/>
        </w:rPr>
      </w:pPr>
      <w:r w:rsidRPr="00F171A3">
        <w:rPr>
          <w:b/>
          <w:color w:val="000000"/>
        </w:rPr>
        <w:t>D4.3.3.</w:t>
      </w:r>
      <w:r w:rsidRPr="00F171A3">
        <w:rPr>
          <w:color w:val="000000"/>
        </w:rPr>
        <w:t xml:space="preserve"> Îmbunătățirea standardelor de securitate privind protecția datelor și sistemelor operate de instituție</w:t>
      </w:r>
    </w:p>
    <w:p w14:paraId="34A0ABA5" w14:textId="77777777" w:rsidR="000D02D4" w:rsidRPr="00F171A3" w:rsidRDefault="000D02D4" w:rsidP="008B4153">
      <w:pPr>
        <w:spacing w:before="240" w:after="240"/>
        <w:rPr>
          <w:sz w:val="24"/>
          <w:szCs w:val="24"/>
        </w:rPr>
      </w:pPr>
    </w:p>
    <w:p w14:paraId="3F24FC9D" w14:textId="0DBCF63C" w:rsidR="00E747A2" w:rsidRPr="00F171A3" w:rsidRDefault="00E747A2" w:rsidP="00E747A2">
      <w:pPr>
        <w:pStyle w:val="Heading2"/>
        <w:rPr>
          <w:lang w:val="ro-RO"/>
        </w:rPr>
      </w:pPr>
      <w:bookmarkStart w:id="430" w:name="_Toc69897886"/>
      <w:bookmarkStart w:id="431" w:name="_Toc84428762"/>
      <w:bookmarkStart w:id="432" w:name="_Toc116643865"/>
      <w:bookmarkStart w:id="433" w:name="_Toc127199311"/>
      <w:r w:rsidRPr="00F171A3">
        <w:rPr>
          <w:lang w:val="ro-RO"/>
        </w:rPr>
        <w:t>PLANUL DE ACȚIUN</w:t>
      </w:r>
      <w:bookmarkEnd w:id="430"/>
      <w:bookmarkEnd w:id="431"/>
      <w:r w:rsidRPr="00F171A3">
        <w:rPr>
          <w:lang w:val="ro-RO"/>
        </w:rPr>
        <w:t>E</w:t>
      </w:r>
      <w:bookmarkEnd w:id="432"/>
      <w:bookmarkEnd w:id="433"/>
    </w:p>
    <w:p w14:paraId="08FBD760" w14:textId="77777777" w:rsidR="00E747A2" w:rsidRPr="00F171A3" w:rsidRDefault="00E747A2" w:rsidP="00E747A2">
      <w:r w:rsidRPr="00F171A3">
        <w:t xml:space="preserve">Planul de acțiune pentru implementarea </w:t>
      </w:r>
      <w:r w:rsidRPr="00F171A3">
        <w:rPr>
          <w:i/>
        </w:rPr>
        <w:t>Strategiei de dezvoltare locală integrată şi durabilă a Sectorului 2 pentru perioada 2021-2027</w:t>
      </w:r>
      <w:r w:rsidRPr="00F171A3">
        <w:t xml:space="preserve"> include activități grupate în cadrul a patru etape principale, după cum urmează:</w:t>
      </w:r>
    </w:p>
    <w:p w14:paraId="4082242A" w14:textId="342CB25E" w:rsidR="00E747A2" w:rsidRPr="00F171A3" w:rsidRDefault="00E747A2" w:rsidP="00E747A2">
      <w:r w:rsidRPr="00F171A3">
        <w:rPr>
          <w:b/>
          <w:color w:val="1E505E" w:themeColor="background2" w:themeShade="80"/>
        </w:rPr>
        <w:t>Etapa 1 Finalizarea și aprobarea Strategiei – 2022, semestrul 2 –</w:t>
      </w:r>
      <w:r w:rsidR="00FC4119" w:rsidRPr="00F171A3">
        <w:rPr>
          <w:b/>
          <w:color w:val="1E505E" w:themeColor="background2" w:themeShade="80"/>
        </w:rPr>
        <w:t xml:space="preserve"> ianuarie 2023 -</w:t>
      </w:r>
      <w:r w:rsidRPr="00F171A3">
        <w:rPr>
          <w:b/>
          <w:color w:val="1E505E" w:themeColor="background2" w:themeShade="80"/>
        </w:rPr>
        <w:t xml:space="preserve"> include activitățile referitoare la finalizarea Strategiei pe baza observațiilor primite în etapa de Consultare publică, realizarea procedurii de evaluare strategică de mediu și aprobarea în Consiliul Local. În paralel se are în vedere și corelarea cu Strategia Integrată de Dezvoltare Urbană a Municipiului București 2021 – 2030.</w:t>
      </w:r>
      <w:r w:rsidRPr="00F171A3">
        <w:rPr>
          <w:color w:val="1E505E" w:themeColor="background2" w:themeShade="80"/>
        </w:rPr>
        <w:t xml:space="preserve"> </w:t>
      </w:r>
      <w:r w:rsidRPr="00F171A3">
        <w:t>Activitățile aferente acestei etape includ:</w:t>
      </w:r>
    </w:p>
    <w:p w14:paraId="5BB23221" w14:textId="129F8751" w:rsidR="00E747A2" w:rsidRPr="00EF6538" w:rsidRDefault="00E747A2" w:rsidP="00E747A2">
      <w:pPr>
        <w:ind w:left="360"/>
      </w:pPr>
      <w:r w:rsidRPr="00EF6538">
        <w:t>E1.1 Finalizarea draftului Strategiei</w:t>
      </w:r>
    </w:p>
    <w:p w14:paraId="5E39F1C8" w14:textId="0D16F6CF" w:rsidR="00E747A2" w:rsidRPr="00EF6538" w:rsidRDefault="00E747A2" w:rsidP="00E747A2">
      <w:pPr>
        <w:ind w:left="360"/>
      </w:pPr>
      <w:r w:rsidRPr="00EF6538">
        <w:t>E1.2 Parcurgerea etapei de consultare publică (online) și colectarea observațiilor publicului</w:t>
      </w:r>
    </w:p>
    <w:p w14:paraId="6FFD5EAB" w14:textId="45072882" w:rsidR="00E747A2" w:rsidRPr="00EF6538" w:rsidRDefault="00E747A2" w:rsidP="00E747A2">
      <w:pPr>
        <w:ind w:left="360"/>
      </w:pPr>
      <w:r w:rsidRPr="00EF6538">
        <w:t>E1.3 Realizarea procedurii de evaluare strategică de mediu</w:t>
      </w:r>
    </w:p>
    <w:p w14:paraId="6625BE3B" w14:textId="3F867837" w:rsidR="00E747A2" w:rsidRPr="00EF6538" w:rsidRDefault="00E747A2" w:rsidP="00E747A2">
      <w:pPr>
        <w:ind w:left="360"/>
      </w:pPr>
      <w:r w:rsidRPr="00EF6538">
        <w:t xml:space="preserve">E1.4 Aprobarea versiunii finale a Strategiei în </w:t>
      </w:r>
      <w:r w:rsidRPr="00EF6538">
        <w:rPr>
          <w:rFonts w:cs="Open Sans"/>
          <w:shd w:val="clear" w:color="auto" w:fill="FFFFFF"/>
        </w:rPr>
        <w:t xml:space="preserve">Consiliul Local al Sectorului 2 al </w:t>
      </w:r>
      <w:r w:rsidR="00050FAA" w:rsidRPr="00EF6538">
        <w:rPr>
          <w:rFonts w:cs="Open Sans"/>
          <w:shd w:val="clear" w:color="auto" w:fill="FFFFFF"/>
        </w:rPr>
        <w:t>m</w:t>
      </w:r>
      <w:r w:rsidRPr="00EF6538">
        <w:rPr>
          <w:rFonts w:cs="Open Sans"/>
          <w:shd w:val="clear" w:color="auto" w:fill="FFFFFF"/>
        </w:rPr>
        <w:t xml:space="preserve">unicipiului </w:t>
      </w:r>
      <w:r w:rsidR="00EF6538" w:rsidRPr="00EF6538">
        <w:rPr>
          <w:rFonts w:cs="Open Sans"/>
          <w:shd w:val="clear" w:color="auto" w:fill="FFFFFF"/>
        </w:rPr>
        <w:t>București</w:t>
      </w:r>
    </w:p>
    <w:p w14:paraId="50FFBDDE" w14:textId="64916240" w:rsidR="00E747A2" w:rsidRPr="00F171A3" w:rsidRDefault="00E747A2" w:rsidP="00E747A2">
      <w:r w:rsidRPr="00F171A3">
        <w:rPr>
          <w:b/>
          <w:color w:val="1E505E" w:themeColor="background2" w:themeShade="80"/>
        </w:rPr>
        <w:t>Etapa 2: Formularea și depunerea cererilor de finanțare – 202</w:t>
      </w:r>
      <w:r w:rsidR="00FC4119" w:rsidRPr="00F171A3">
        <w:rPr>
          <w:b/>
          <w:color w:val="1E505E" w:themeColor="background2" w:themeShade="80"/>
        </w:rPr>
        <w:t>3</w:t>
      </w:r>
      <w:r w:rsidRPr="00F171A3">
        <w:rPr>
          <w:b/>
          <w:color w:val="1E505E" w:themeColor="background2" w:themeShade="80"/>
        </w:rPr>
        <w:t xml:space="preserve"> (semestrul </w:t>
      </w:r>
      <w:r w:rsidR="00FC4119" w:rsidRPr="00F171A3">
        <w:rPr>
          <w:b/>
          <w:color w:val="1E505E" w:themeColor="background2" w:themeShade="80"/>
        </w:rPr>
        <w:t>1</w:t>
      </w:r>
      <w:r w:rsidRPr="00F171A3">
        <w:rPr>
          <w:b/>
          <w:color w:val="1E505E" w:themeColor="background2" w:themeShade="80"/>
        </w:rPr>
        <w:t>)</w:t>
      </w:r>
      <w:r w:rsidR="00FC4119" w:rsidRPr="00F171A3">
        <w:rPr>
          <w:b/>
          <w:color w:val="1E505E" w:themeColor="background2" w:themeShade="80"/>
        </w:rPr>
        <w:t xml:space="preserve"> </w:t>
      </w:r>
      <w:r w:rsidRPr="00F171A3">
        <w:rPr>
          <w:b/>
          <w:color w:val="1E505E" w:themeColor="background2" w:themeShade="80"/>
        </w:rPr>
        <w:t>(calendar orientativ)</w:t>
      </w:r>
      <w:r w:rsidRPr="00F171A3">
        <w:rPr>
          <w:rStyle w:val="FootnoteReference"/>
          <w:b/>
          <w:color w:val="1E505E" w:themeColor="background2" w:themeShade="80"/>
        </w:rPr>
        <w:footnoteReference w:id="172"/>
      </w:r>
      <w:r w:rsidRPr="00F171A3">
        <w:rPr>
          <w:b/>
          <w:color w:val="1E505E" w:themeColor="background2" w:themeShade="80"/>
        </w:rPr>
        <w:t>– include activitățile necesare pregătirii și realizării cererilor de finanțare, conform instrucțiunilor privind conținutul și procedura de depunere și verificare cuprinse în Ghidurile specifice.</w:t>
      </w:r>
      <w:r w:rsidRPr="00F171A3">
        <w:rPr>
          <w:color w:val="1E505E" w:themeColor="background2" w:themeShade="80"/>
        </w:rPr>
        <w:t xml:space="preserve"> </w:t>
      </w:r>
      <w:r w:rsidRPr="00F171A3">
        <w:t>Activitățile aferente acestei etape includ:</w:t>
      </w:r>
    </w:p>
    <w:p w14:paraId="7E23BEB8" w14:textId="7EDC5A31" w:rsidR="00E747A2" w:rsidRPr="00EF6538" w:rsidRDefault="00E747A2" w:rsidP="00E747A2">
      <w:pPr>
        <w:ind w:left="360"/>
      </w:pPr>
      <w:r w:rsidRPr="00EF6538">
        <w:t>E2.1 Selecția proiectelor prioritare spre a fi depuse pentru finanțare, pe baza cerințelor programelor de finanțare și ale ghidurilor specifice</w:t>
      </w:r>
    </w:p>
    <w:p w14:paraId="3C588737" w14:textId="662C37BA" w:rsidR="00E747A2" w:rsidRPr="00EF6538" w:rsidRDefault="00E747A2" w:rsidP="00E747A2">
      <w:pPr>
        <w:ind w:left="360"/>
      </w:pPr>
      <w:r w:rsidRPr="00EF6538">
        <w:t>E2.2 Stabilirea planului de lucru, monitorizare și evaluare a proiectelor (tipul activității, responsabilități, sarcini, termen, conformitate, etc) de la faza de demarare a procesului de achiziții publice până la aprobarea documentațiilor tehnice</w:t>
      </w:r>
    </w:p>
    <w:p w14:paraId="2B4811E3" w14:textId="77777777" w:rsidR="00E747A2" w:rsidRPr="00EF6538" w:rsidRDefault="00E747A2" w:rsidP="00E747A2">
      <w:pPr>
        <w:ind w:left="360"/>
      </w:pPr>
      <w:r w:rsidRPr="00EF6538">
        <w:t>E2.3 Elaborarea cererilor de finanțare</w:t>
      </w:r>
    </w:p>
    <w:p w14:paraId="06E30131" w14:textId="4962C053" w:rsidR="00E747A2" w:rsidRPr="00EF6538" w:rsidRDefault="00E747A2" w:rsidP="00E747A2">
      <w:pPr>
        <w:ind w:left="360"/>
      </w:pPr>
      <w:r w:rsidRPr="00EF6538">
        <w:t>E2.4 Urmărirea stadiului procesului de evaluare a proiectelor aflate în procedura de evaluare pentru pregătirea de activități necesare îndeplinirii condițiilor de admisibilitate</w:t>
      </w:r>
    </w:p>
    <w:p w14:paraId="4DB17277" w14:textId="78987CED" w:rsidR="00E747A2" w:rsidRPr="00EF6538" w:rsidRDefault="00E747A2" w:rsidP="00E747A2">
      <w:pPr>
        <w:ind w:left="360"/>
      </w:pPr>
      <w:r w:rsidRPr="00EF6538">
        <w:t>E2.5 Stabilirea căilor de comunicare/raportare cu Autoritatea de Management, între beneficiarii finali locali ai proiectelor depuse spre finanțare și a formatului de raportare  semestrială/ anuală</w:t>
      </w:r>
    </w:p>
    <w:p w14:paraId="2B812BE1" w14:textId="77777777" w:rsidR="00E747A2" w:rsidRPr="00F171A3" w:rsidRDefault="00E747A2" w:rsidP="00E747A2">
      <w:r w:rsidRPr="00F171A3">
        <w:rPr>
          <w:b/>
          <w:color w:val="1E505E" w:themeColor="background2" w:themeShade="80"/>
        </w:rPr>
        <w:t>Etapa 3 – Semnarea contractelor de finanțare cu autoritățile de management ale fiecărui PO și derularea procesului de achiziții publice pentru realizarea de lucrări și servicii – 2023 – 2024 (calendar orientativ). Procedura de contractare se va realiza în conformitate cu condițiile menționate de autoritățile de management ale fiecărui program operațional.</w:t>
      </w:r>
      <w:r w:rsidRPr="00F171A3">
        <w:rPr>
          <w:color w:val="1E505E" w:themeColor="background2" w:themeShade="80"/>
        </w:rPr>
        <w:t xml:space="preserve"> </w:t>
      </w:r>
      <w:r w:rsidRPr="00F171A3">
        <w:t>Activitățile aferente acestei etape includ:</w:t>
      </w:r>
    </w:p>
    <w:p w14:paraId="157D18C1" w14:textId="71342D4C" w:rsidR="00E747A2" w:rsidRPr="00EF6538" w:rsidRDefault="00E747A2" w:rsidP="00E747A2">
      <w:pPr>
        <w:ind w:left="360"/>
      </w:pPr>
      <w:r w:rsidRPr="00EF6538">
        <w:t>E3.1 Semnarea contractelor de finanțare și monitorizarea procesului de semnare a contractelor de finanțare pentru fiecare beneficiar și program operațional</w:t>
      </w:r>
    </w:p>
    <w:p w14:paraId="7B2B588F" w14:textId="79BABC36" w:rsidR="00E747A2" w:rsidRPr="00EF6538" w:rsidRDefault="00E747A2" w:rsidP="00E747A2">
      <w:pPr>
        <w:ind w:left="360"/>
      </w:pPr>
      <w:r w:rsidRPr="00EF6538">
        <w:t>E3.2 Demararea achizițiilor publice pentru realizarea de lucrări și servicii</w:t>
      </w:r>
    </w:p>
    <w:p w14:paraId="48F16BD9" w14:textId="0BD34A59" w:rsidR="00E747A2" w:rsidRPr="00EF6538" w:rsidRDefault="00E747A2" w:rsidP="00E747A2">
      <w:pPr>
        <w:ind w:left="360"/>
      </w:pPr>
      <w:r w:rsidRPr="00EF6538">
        <w:t>E3.3 Raportare periodică, în funcție de proiect</w:t>
      </w:r>
    </w:p>
    <w:p w14:paraId="70C32E15" w14:textId="48C994AB" w:rsidR="00E747A2" w:rsidRPr="00F171A3" w:rsidRDefault="00E747A2" w:rsidP="00E747A2">
      <w:r w:rsidRPr="00F171A3">
        <w:rPr>
          <w:b/>
          <w:color w:val="1E505E" w:themeColor="background2" w:themeShade="80"/>
        </w:rPr>
        <w:t>Etapa 4 – Realizarea și finalizarea lucrărilor și serviciilor contractate – 2023 - 2027 – include monitorizarea stadiului de realizare și condițiilor de finalizare a proiectelor în coordonare cu atingerea obiectivelor Strategiei și a indicatorilor specifici conținuți în documentațiile tehnice aprobate în contractul de finanțare.</w:t>
      </w:r>
      <w:r w:rsidR="00FC4119" w:rsidRPr="00F171A3">
        <w:rPr>
          <w:b/>
          <w:color w:val="1E505E" w:themeColor="background2" w:themeShade="80"/>
        </w:rPr>
        <w:t xml:space="preserve"> Perioada de realizare se poate prelungi și după anul 2027, în funcție de data semnării contractelor de finanțare și perioada de implementare.</w:t>
      </w:r>
      <w:r w:rsidRPr="00F171A3">
        <w:rPr>
          <w:color w:val="1E505E" w:themeColor="background2" w:themeShade="80"/>
        </w:rPr>
        <w:t xml:space="preserve"> </w:t>
      </w:r>
      <w:r w:rsidRPr="00F171A3">
        <w:t>Activitățile aferente acestei etape includ:</w:t>
      </w:r>
    </w:p>
    <w:p w14:paraId="0ACBDC0F" w14:textId="33571B9E" w:rsidR="00E747A2" w:rsidRPr="00EF6538" w:rsidRDefault="00E747A2" w:rsidP="00E747A2">
      <w:pPr>
        <w:ind w:left="360"/>
      </w:pPr>
      <w:r w:rsidRPr="00EF6538">
        <w:t>E4.1 Monitorizarea procesului de achiziții publice pentru realizarea de lucrări și servicii prevăzute în contractul de finanțare</w:t>
      </w:r>
    </w:p>
    <w:p w14:paraId="49C5EBD0" w14:textId="2FCB50FE" w:rsidR="00E747A2" w:rsidRPr="00EF6538" w:rsidRDefault="00E747A2" w:rsidP="00E747A2">
      <w:pPr>
        <w:ind w:left="360"/>
      </w:pPr>
      <w:r w:rsidRPr="00EF6538">
        <w:t>E4.2 Urmărirea implementării lucrărilor și a serviciilor contractate conform graficului din planul de lucru</w:t>
      </w:r>
    </w:p>
    <w:p w14:paraId="48F46586" w14:textId="77777777" w:rsidR="00E747A2" w:rsidRPr="00EF6538" w:rsidRDefault="00E747A2" w:rsidP="00E747A2">
      <w:pPr>
        <w:ind w:left="360"/>
      </w:pPr>
      <w:r w:rsidRPr="00EF6538">
        <w:t>E4.3 Raportare periodică, în funcție de proiect</w:t>
      </w:r>
    </w:p>
    <w:p w14:paraId="6DD0A11A" w14:textId="101BC47A" w:rsidR="00E747A2" w:rsidRDefault="00E747A2" w:rsidP="000D02D4">
      <w:bookmarkStart w:id="434" w:name="_Hlk69658638"/>
      <w:r w:rsidRPr="00F171A3">
        <w:t xml:space="preserve">În cadrul acestor etape sunt identificate 4 momente – cheie pentru evaluare, descrise în secțiunea următoare. </w:t>
      </w:r>
      <w:bookmarkEnd w:id="434"/>
    </w:p>
    <w:p w14:paraId="144D424E" w14:textId="72F576D6" w:rsidR="00963E4C" w:rsidRDefault="00963E4C" w:rsidP="000D02D4"/>
    <w:p w14:paraId="4DDCDB0A" w14:textId="77777777" w:rsidR="00963E4C" w:rsidRPr="00F171A3" w:rsidRDefault="00963E4C" w:rsidP="000D02D4"/>
    <w:p w14:paraId="77C15CA6" w14:textId="37DF6F40" w:rsidR="00E747A2" w:rsidRPr="00F171A3" w:rsidRDefault="009D2E2C" w:rsidP="009D2E2C">
      <w:pPr>
        <w:pStyle w:val="Caption"/>
      </w:pPr>
      <w:bookmarkStart w:id="435" w:name="_Toc126943312"/>
      <w:r w:rsidRPr="00F171A3">
        <w:t xml:space="preserve">Tabel </w:t>
      </w:r>
      <w:r w:rsidRPr="00F171A3">
        <w:fldChar w:fldCharType="begin"/>
      </w:r>
      <w:r w:rsidRPr="00F171A3">
        <w:instrText xml:space="preserve"> SEQ Tabel \* ARABIC </w:instrText>
      </w:r>
      <w:r w:rsidRPr="00F171A3">
        <w:fldChar w:fldCharType="separate"/>
      </w:r>
      <w:r w:rsidR="005A6DD8">
        <w:rPr>
          <w:noProof/>
        </w:rPr>
        <w:t>55</w:t>
      </w:r>
      <w:r w:rsidRPr="00F171A3">
        <w:fldChar w:fldCharType="end"/>
      </w:r>
      <w:r w:rsidR="00E747A2" w:rsidRPr="00F171A3">
        <w:t xml:space="preserve"> Calendarul și activitățile principale pentru implementarea Strategiei</w:t>
      </w:r>
      <w:bookmarkEnd w:id="435"/>
    </w:p>
    <w:tbl>
      <w:tblPr>
        <w:tblStyle w:val="TableGrid"/>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118"/>
        <w:gridCol w:w="672"/>
        <w:gridCol w:w="678"/>
        <w:gridCol w:w="581"/>
        <w:gridCol w:w="678"/>
        <w:gridCol w:w="581"/>
        <w:gridCol w:w="678"/>
        <w:gridCol w:w="581"/>
        <w:gridCol w:w="678"/>
        <w:gridCol w:w="581"/>
        <w:gridCol w:w="658"/>
        <w:gridCol w:w="532"/>
      </w:tblGrid>
      <w:tr w:rsidR="00E747A2" w:rsidRPr="00F171A3" w14:paraId="78B87C12" w14:textId="77777777" w:rsidTr="000D02D4">
        <w:trPr>
          <w:trHeight w:val="389"/>
          <w:jc w:val="center"/>
        </w:trPr>
        <w:tc>
          <w:tcPr>
            <w:tcW w:w="1175" w:type="pct"/>
            <w:vMerge w:val="restart"/>
            <w:shd w:val="clear" w:color="auto" w:fill="134753" w:themeFill="text2"/>
            <w:vAlign w:val="center"/>
            <w:hideMark/>
          </w:tcPr>
          <w:p w14:paraId="500C5666" w14:textId="01F22F0A"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ACTIVITĂȚI</w:t>
            </w:r>
          </w:p>
        </w:tc>
        <w:tc>
          <w:tcPr>
            <w:tcW w:w="373" w:type="pct"/>
            <w:shd w:val="clear" w:color="auto" w:fill="134753" w:themeFill="text2"/>
            <w:vAlign w:val="center"/>
            <w:hideMark/>
          </w:tcPr>
          <w:p w14:paraId="045B57E8" w14:textId="278A8789"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2022</w:t>
            </w:r>
          </w:p>
        </w:tc>
        <w:tc>
          <w:tcPr>
            <w:tcW w:w="698" w:type="pct"/>
            <w:gridSpan w:val="2"/>
            <w:shd w:val="clear" w:color="auto" w:fill="134753" w:themeFill="text2"/>
            <w:vAlign w:val="center"/>
            <w:hideMark/>
          </w:tcPr>
          <w:p w14:paraId="3F481262" w14:textId="36D80DFC"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2023</w:t>
            </w:r>
          </w:p>
        </w:tc>
        <w:tc>
          <w:tcPr>
            <w:tcW w:w="698" w:type="pct"/>
            <w:gridSpan w:val="2"/>
            <w:shd w:val="clear" w:color="auto" w:fill="134753" w:themeFill="text2"/>
            <w:vAlign w:val="center"/>
            <w:hideMark/>
          </w:tcPr>
          <w:p w14:paraId="4AF60ECB" w14:textId="5AD78858"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2024</w:t>
            </w:r>
          </w:p>
        </w:tc>
        <w:tc>
          <w:tcPr>
            <w:tcW w:w="698" w:type="pct"/>
            <w:gridSpan w:val="2"/>
            <w:shd w:val="clear" w:color="auto" w:fill="134753" w:themeFill="text2"/>
            <w:vAlign w:val="center"/>
            <w:hideMark/>
          </w:tcPr>
          <w:p w14:paraId="5CA26FBD" w14:textId="19F5EFE9"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2025</w:t>
            </w:r>
          </w:p>
        </w:tc>
        <w:tc>
          <w:tcPr>
            <w:tcW w:w="698" w:type="pct"/>
            <w:gridSpan w:val="2"/>
            <w:shd w:val="clear" w:color="auto" w:fill="134753" w:themeFill="text2"/>
            <w:vAlign w:val="center"/>
            <w:hideMark/>
          </w:tcPr>
          <w:p w14:paraId="5EA59860" w14:textId="49B79015"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2026</w:t>
            </w:r>
          </w:p>
        </w:tc>
        <w:tc>
          <w:tcPr>
            <w:tcW w:w="660" w:type="pct"/>
            <w:gridSpan w:val="2"/>
            <w:shd w:val="clear" w:color="auto" w:fill="134753" w:themeFill="text2"/>
            <w:vAlign w:val="center"/>
            <w:hideMark/>
          </w:tcPr>
          <w:p w14:paraId="11D3783D" w14:textId="07B5A06A"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2027</w:t>
            </w:r>
          </w:p>
        </w:tc>
      </w:tr>
      <w:tr w:rsidR="000D02D4" w:rsidRPr="00F171A3" w14:paraId="63201F09" w14:textId="77777777" w:rsidTr="000D02D4">
        <w:trPr>
          <w:trHeight w:val="389"/>
          <w:jc w:val="center"/>
        </w:trPr>
        <w:tc>
          <w:tcPr>
            <w:tcW w:w="1175" w:type="pct"/>
            <w:vMerge/>
            <w:shd w:val="clear" w:color="auto" w:fill="134753" w:themeFill="text2"/>
            <w:vAlign w:val="center"/>
            <w:hideMark/>
          </w:tcPr>
          <w:p w14:paraId="587CBC6B" w14:textId="77777777" w:rsidR="00E747A2" w:rsidRPr="00F171A3" w:rsidRDefault="00E747A2" w:rsidP="000D02D4">
            <w:pPr>
              <w:spacing w:after="0"/>
              <w:jc w:val="center"/>
              <w:rPr>
                <w:rFonts w:asciiTheme="minorHAnsi" w:hAnsiTheme="minorHAnsi" w:cstheme="minorHAnsi"/>
                <w:b/>
                <w:bCs/>
                <w:color w:val="FFFFFF" w:themeColor="background1"/>
                <w:lang w:eastAsia="ja-JP"/>
              </w:rPr>
            </w:pPr>
          </w:p>
        </w:tc>
        <w:tc>
          <w:tcPr>
            <w:tcW w:w="373" w:type="pct"/>
            <w:shd w:val="clear" w:color="auto" w:fill="134753" w:themeFill="text2"/>
            <w:vAlign w:val="center"/>
            <w:hideMark/>
          </w:tcPr>
          <w:p w14:paraId="445534B4" w14:textId="35EF076C"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S2</w:t>
            </w:r>
          </w:p>
        </w:tc>
        <w:tc>
          <w:tcPr>
            <w:tcW w:w="376" w:type="pct"/>
            <w:shd w:val="clear" w:color="auto" w:fill="134753" w:themeFill="text2"/>
            <w:vAlign w:val="center"/>
            <w:hideMark/>
          </w:tcPr>
          <w:p w14:paraId="13D3C372" w14:textId="499EFE8E"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S1</w:t>
            </w:r>
          </w:p>
        </w:tc>
        <w:tc>
          <w:tcPr>
            <w:tcW w:w="322" w:type="pct"/>
            <w:shd w:val="clear" w:color="auto" w:fill="134753" w:themeFill="text2"/>
            <w:vAlign w:val="center"/>
            <w:hideMark/>
          </w:tcPr>
          <w:p w14:paraId="3DFDAF07" w14:textId="37DBBCBF"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S2</w:t>
            </w:r>
          </w:p>
        </w:tc>
        <w:tc>
          <w:tcPr>
            <w:tcW w:w="376" w:type="pct"/>
            <w:shd w:val="clear" w:color="auto" w:fill="134753" w:themeFill="text2"/>
            <w:vAlign w:val="center"/>
            <w:hideMark/>
          </w:tcPr>
          <w:p w14:paraId="48306560" w14:textId="78A8E82C"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S1</w:t>
            </w:r>
          </w:p>
        </w:tc>
        <w:tc>
          <w:tcPr>
            <w:tcW w:w="322" w:type="pct"/>
            <w:shd w:val="clear" w:color="auto" w:fill="134753" w:themeFill="text2"/>
            <w:vAlign w:val="center"/>
            <w:hideMark/>
          </w:tcPr>
          <w:p w14:paraId="03ADF8CF" w14:textId="616EE5C5"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S2</w:t>
            </w:r>
          </w:p>
        </w:tc>
        <w:tc>
          <w:tcPr>
            <w:tcW w:w="376" w:type="pct"/>
            <w:shd w:val="clear" w:color="auto" w:fill="134753" w:themeFill="text2"/>
            <w:vAlign w:val="center"/>
            <w:hideMark/>
          </w:tcPr>
          <w:p w14:paraId="442EC403" w14:textId="7F92595F"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S1</w:t>
            </w:r>
          </w:p>
        </w:tc>
        <w:tc>
          <w:tcPr>
            <w:tcW w:w="322" w:type="pct"/>
            <w:shd w:val="clear" w:color="auto" w:fill="134753" w:themeFill="text2"/>
            <w:vAlign w:val="center"/>
            <w:hideMark/>
          </w:tcPr>
          <w:p w14:paraId="51228460" w14:textId="1CF65B31"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S2</w:t>
            </w:r>
          </w:p>
        </w:tc>
        <w:tc>
          <w:tcPr>
            <w:tcW w:w="376" w:type="pct"/>
            <w:shd w:val="clear" w:color="auto" w:fill="134753" w:themeFill="text2"/>
            <w:vAlign w:val="center"/>
            <w:hideMark/>
          </w:tcPr>
          <w:p w14:paraId="343D362F" w14:textId="73804F35"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S1</w:t>
            </w:r>
          </w:p>
        </w:tc>
        <w:tc>
          <w:tcPr>
            <w:tcW w:w="322" w:type="pct"/>
            <w:shd w:val="clear" w:color="auto" w:fill="134753" w:themeFill="text2"/>
            <w:vAlign w:val="center"/>
            <w:hideMark/>
          </w:tcPr>
          <w:p w14:paraId="2B5484B7" w14:textId="644F7F30"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S2</w:t>
            </w:r>
          </w:p>
        </w:tc>
        <w:tc>
          <w:tcPr>
            <w:tcW w:w="365" w:type="pct"/>
            <w:shd w:val="clear" w:color="auto" w:fill="134753" w:themeFill="text2"/>
            <w:vAlign w:val="center"/>
            <w:hideMark/>
          </w:tcPr>
          <w:p w14:paraId="64741993" w14:textId="23371D0A"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S1</w:t>
            </w:r>
          </w:p>
        </w:tc>
        <w:tc>
          <w:tcPr>
            <w:tcW w:w="295" w:type="pct"/>
            <w:shd w:val="clear" w:color="auto" w:fill="134753" w:themeFill="text2"/>
            <w:vAlign w:val="center"/>
            <w:hideMark/>
          </w:tcPr>
          <w:p w14:paraId="550605FA" w14:textId="06EA13C9" w:rsidR="00E747A2" w:rsidRPr="00F171A3" w:rsidRDefault="000D02D4" w:rsidP="000D02D4">
            <w:pPr>
              <w:jc w:val="center"/>
              <w:rPr>
                <w:rFonts w:asciiTheme="minorHAnsi" w:hAnsiTheme="minorHAnsi" w:cstheme="minorHAnsi"/>
                <w:b/>
                <w:color w:val="FFFFFF" w:themeColor="background1"/>
              </w:rPr>
            </w:pPr>
            <w:r w:rsidRPr="00F171A3">
              <w:rPr>
                <w:rFonts w:asciiTheme="minorHAnsi" w:hAnsiTheme="minorHAnsi" w:cstheme="minorHAnsi"/>
                <w:b/>
                <w:color w:val="FFFFFF" w:themeColor="background1"/>
              </w:rPr>
              <w:t>S2</w:t>
            </w:r>
          </w:p>
        </w:tc>
      </w:tr>
      <w:tr w:rsidR="000D02D4" w:rsidRPr="00F171A3" w14:paraId="5A0BA041" w14:textId="77777777" w:rsidTr="000D02D4">
        <w:trPr>
          <w:trHeight w:val="389"/>
          <w:jc w:val="center"/>
        </w:trPr>
        <w:tc>
          <w:tcPr>
            <w:tcW w:w="1175" w:type="pct"/>
            <w:shd w:val="clear" w:color="auto" w:fill="BFBFBF" w:themeFill="background1" w:themeFillShade="BF"/>
            <w:hideMark/>
          </w:tcPr>
          <w:p w14:paraId="62538697"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E1.1</w:t>
            </w:r>
          </w:p>
        </w:tc>
        <w:tc>
          <w:tcPr>
            <w:tcW w:w="373" w:type="pct"/>
            <w:shd w:val="clear" w:color="auto" w:fill="134753" w:themeFill="text2"/>
          </w:tcPr>
          <w:p w14:paraId="395F4565"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16F5F4CF"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74BD56C1"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1EB614BD"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4A465C6B"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085452D6"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25FA86AE"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170D77C3"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7AB8304E"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07221095"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40E2DB80" w14:textId="77777777" w:rsidR="00E747A2" w:rsidRPr="00F171A3" w:rsidRDefault="00E747A2" w:rsidP="00F576F5">
            <w:pPr>
              <w:rPr>
                <w:rFonts w:asciiTheme="minorHAnsi" w:hAnsiTheme="minorHAnsi" w:cstheme="minorHAnsi"/>
              </w:rPr>
            </w:pPr>
          </w:p>
        </w:tc>
      </w:tr>
      <w:tr w:rsidR="000D02D4" w:rsidRPr="00F171A3" w14:paraId="64D9D431" w14:textId="77777777" w:rsidTr="000D02D4">
        <w:trPr>
          <w:trHeight w:val="389"/>
          <w:jc w:val="center"/>
        </w:trPr>
        <w:tc>
          <w:tcPr>
            <w:tcW w:w="1175" w:type="pct"/>
            <w:shd w:val="clear" w:color="auto" w:fill="BFBFBF" w:themeFill="background1" w:themeFillShade="BF"/>
            <w:hideMark/>
          </w:tcPr>
          <w:p w14:paraId="0B0FC6E4"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E1.2</w:t>
            </w:r>
          </w:p>
        </w:tc>
        <w:tc>
          <w:tcPr>
            <w:tcW w:w="373" w:type="pct"/>
            <w:shd w:val="clear" w:color="auto" w:fill="134753" w:themeFill="text2"/>
          </w:tcPr>
          <w:p w14:paraId="774DD42B"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7FD1706D"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20D2FAB6"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58E8EE5C"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7B0D1BE1"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40F38C7C"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5A6153BA"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62D5E8E0"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4353BF34"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7EDB01F5"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32E70C91" w14:textId="77777777" w:rsidR="00E747A2" w:rsidRPr="00F171A3" w:rsidRDefault="00E747A2" w:rsidP="00F576F5">
            <w:pPr>
              <w:rPr>
                <w:rFonts w:asciiTheme="minorHAnsi" w:hAnsiTheme="minorHAnsi" w:cstheme="minorHAnsi"/>
              </w:rPr>
            </w:pPr>
          </w:p>
        </w:tc>
      </w:tr>
      <w:tr w:rsidR="000D02D4" w:rsidRPr="00F171A3" w14:paraId="039FB63D" w14:textId="77777777" w:rsidTr="000D02D4">
        <w:trPr>
          <w:trHeight w:val="389"/>
          <w:jc w:val="center"/>
        </w:trPr>
        <w:tc>
          <w:tcPr>
            <w:tcW w:w="1175" w:type="pct"/>
            <w:shd w:val="clear" w:color="auto" w:fill="BFBFBF" w:themeFill="background1" w:themeFillShade="BF"/>
            <w:hideMark/>
          </w:tcPr>
          <w:p w14:paraId="13AE3A83"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E1.3</w:t>
            </w:r>
          </w:p>
        </w:tc>
        <w:tc>
          <w:tcPr>
            <w:tcW w:w="373" w:type="pct"/>
            <w:shd w:val="clear" w:color="auto" w:fill="134753" w:themeFill="text2"/>
          </w:tcPr>
          <w:p w14:paraId="1E077DD9"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073A189"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0F08C4FD"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5E79C492"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00770AC1"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71E44F4C"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5EC317DC"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7D774509"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63A05C9C"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1A0DADB5"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19CDB4D9" w14:textId="77777777" w:rsidR="00E747A2" w:rsidRPr="00F171A3" w:rsidRDefault="00E747A2" w:rsidP="00F576F5">
            <w:pPr>
              <w:rPr>
                <w:rFonts w:asciiTheme="minorHAnsi" w:hAnsiTheme="minorHAnsi" w:cstheme="minorHAnsi"/>
              </w:rPr>
            </w:pPr>
          </w:p>
        </w:tc>
      </w:tr>
      <w:tr w:rsidR="000D02D4" w:rsidRPr="00F171A3" w14:paraId="213918DD" w14:textId="77777777" w:rsidTr="00FC4119">
        <w:trPr>
          <w:trHeight w:val="389"/>
          <w:jc w:val="center"/>
        </w:trPr>
        <w:tc>
          <w:tcPr>
            <w:tcW w:w="1175" w:type="pct"/>
            <w:shd w:val="clear" w:color="auto" w:fill="BFBFBF" w:themeFill="background1" w:themeFillShade="BF"/>
            <w:hideMark/>
          </w:tcPr>
          <w:p w14:paraId="211EE7A0"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E1.4</w:t>
            </w:r>
          </w:p>
        </w:tc>
        <w:tc>
          <w:tcPr>
            <w:tcW w:w="373" w:type="pct"/>
            <w:shd w:val="clear" w:color="auto" w:fill="F2F2F2" w:themeFill="background1" w:themeFillShade="F2"/>
          </w:tcPr>
          <w:p w14:paraId="39A8B812" w14:textId="77777777" w:rsidR="00E747A2" w:rsidRPr="00F171A3" w:rsidRDefault="00E747A2" w:rsidP="00F576F5">
            <w:pPr>
              <w:rPr>
                <w:rFonts w:asciiTheme="minorHAnsi" w:hAnsiTheme="minorHAnsi" w:cstheme="minorHAnsi"/>
              </w:rPr>
            </w:pPr>
          </w:p>
        </w:tc>
        <w:tc>
          <w:tcPr>
            <w:tcW w:w="376" w:type="pct"/>
            <w:shd w:val="clear" w:color="auto" w:fill="134753" w:themeFill="text2"/>
          </w:tcPr>
          <w:p w14:paraId="18AA674E"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5C49C9DD"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15D21BC6"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38803167"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8F41848"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37545028"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3893EBBE"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1DC7B05E"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10C5BF8C"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0D521695" w14:textId="77777777" w:rsidR="00E747A2" w:rsidRPr="00F171A3" w:rsidRDefault="00E747A2" w:rsidP="00F576F5">
            <w:pPr>
              <w:rPr>
                <w:rFonts w:asciiTheme="minorHAnsi" w:hAnsiTheme="minorHAnsi" w:cstheme="minorHAnsi"/>
              </w:rPr>
            </w:pPr>
          </w:p>
        </w:tc>
      </w:tr>
      <w:tr w:rsidR="000D02D4" w:rsidRPr="00F171A3" w14:paraId="2DA3B687" w14:textId="77777777" w:rsidTr="00FC4119">
        <w:trPr>
          <w:trHeight w:val="389"/>
          <w:jc w:val="center"/>
        </w:trPr>
        <w:tc>
          <w:tcPr>
            <w:tcW w:w="1175" w:type="pct"/>
            <w:shd w:val="clear" w:color="auto" w:fill="BFBFBF" w:themeFill="background1" w:themeFillShade="BF"/>
            <w:hideMark/>
          </w:tcPr>
          <w:p w14:paraId="267B9BBF"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E2.1</w:t>
            </w:r>
          </w:p>
        </w:tc>
        <w:tc>
          <w:tcPr>
            <w:tcW w:w="373" w:type="pct"/>
            <w:shd w:val="clear" w:color="auto" w:fill="F2F2F2" w:themeFill="background1" w:themeFillShade="F2"/>
          </w:tcPr>
          <w:p w14:paraId="6F12B079" w14:textId="77777777" w:rsidR="00E747A2" w:rsidRPr="00F171A3" w:rsidRDefault="00E747A2" w:rsidP="00F576F5">
            <w:pPr>
              <w:rPr>
                <w:rFonts w:asciiTheme="minorHAnsi" w:hAnsiTheme="minorHAnsi" w:cstheme="minorHAnsi"/>
              </w:rPr>
            </w:pPr>
          </w:p>
        </w:tc>
        <w:tc>
          <w:tcPr>
            <w:tcW w:w="376" w:type="pct"/>
            <w:shd w:val="clear" w:color="auto" w:fill="C2E8F1" w:themeFill="accent4"/>
          </w:tcPr>
          <w:p w14:paraId="3B08F3BD"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617B7525"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584A0453"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2A94D5F8"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AE16190"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23689C51"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7F41A271"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1401D326"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250E034A"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25A10759" w14:textId="77777777" w:rsidR="00E747A2" w:rsidRPr="00F171A3" w:rsidRDefault="00E747A2" w:rsidP="00F576F5">
            <w:pPr>
              <w:rPr>
                <w:rFonts w:asciiTheme="minorHAnsi" w:hAnsiTheme="minorHAnsi" w:cstheme="minorHAnsi"/>
              </w:rPr>
            </w:pPr>
          </w:p>
        </w:tc>
      </w:tr>
      <w:tr w:rsidR="000D02D4" w:rsidRPr="00F171A3" w14:paraId="543EE6AF" w14:textId="77777777" w:rsidTr="00FC4119">
        <w:trPr>
          <w:trHeight w:val="389"/>
          <w:jc w:val="center"/>
        </w:trPr>
        <w:tc>
          <w:tcPr>
            <w:tcW w:w="1175" w:type="pct"/>
            <w:shd w:val="clear" w:color="auto" w:fill="BFBFBF" w:themeFill="background1" w:themeFillShade="BF"/>
            <w:hideMark/>
          </w:tcPr>
          <w:p w14:paraId="7C9E20AC"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E2.2</w:t>
            </w:r>
          </w:p>
        </w:tc>
        <w:tc>
          <w:tcPr>
            <w:tcW w:w="373" w:type="pct"/>
            <w:shd w:val="clear" w:color="auto" w:fill="F2F2F2" w:themeFill="background1" w:themeFillShade="F2"/>
          </w:tcPr>
          <w:p w14:paraId="59585933" w14:textId="77777777" w:rsidR="00E747A2" w:rsidRPr="00F171A3" w:rsidRDefault="00E747A2" w:rsidP="00F576F5">
            <w:pPr>
              <w:rPr>
                <w:rFonts w:asciiTheme="minorHAnsi" w:hAnsiTheme="minorHAnsi" w:cstheme="minorHAnsi"/>
              </w:rPr>
            </w:pPr>
          </w:p>
        </w:tc>
        <w:tc>
          <w:tcPr>
            <w:tcW w:w="376" w:type="pct"/>
            <w:shd w:val="clear" w:color="auto" w:fill="C2E8F1" w:themeFill="accent4"/>
          </w:tcPr>
          <w:p w14:paraId="2D62D6F7"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43DD889D"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4CEC26F"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2B05D62C"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19F61228"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1023368A"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31F013D7"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6235F26D"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4AA218D6"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479FB065" w14:textId="77777777" w:rsidR="00E747A2" w:rsidRPr="00F171A3" w:rsidRDefault="00E747A2" w:rsidP="00F576F5">
            <w:pPr>
              <w:rPr>
                <w:rFonts w:asciiTheme="minorHAnsi" w:hAnsiTheme="minorHAnsi" w:cstheme="minorHAnsi"/>
              </w:rPr>
            </w:pPr>
          </w:p>
        </w:tc>
      </w:tr>
      <w:tr w:rsidR="000D02D4" w:rsidRPr="00F171A3" w14:paraId="22235A5C" w14:textId="77777777" w:rsidTr="00FC4119">
        <w:trPr>
          <w:trHeight w:val="389"/>
          <w:jc w:val="center"/>
        </w:trPr>
        <w:tc>
          <w:tcPr>
            <w:tcW w:w="1175" w:type="pct"/>
            <w:shd w:val="clear" w:color="auto" w:fill="BFBFBF" w:themeFill="background1" w:themeFillShade="BF"/>
            <w:hideMark/>
          </w:tcPr>
          <w:p w14:paraId="0C24B92B"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E2.3</w:t>
            </w:r>
          </w:p>
        </w:tc>
        <w:tc>
          <w:tcPr>
            <w:tcW w:w="373" w:type="pct"/>
            <w:shd w:val="clear" w:color="auto" w:fill="F2F2F2" w:themeFill="background1" w:themeFillShade="F2"/>
          </w:tcPr>
          <w:p w14:paraId="77E0682E" w14:textId="77777777" w:rsidR="00E747A2" w:rsidRPr="00F171A3" w:rsidRDefault="00E747A2" w:rsidP="00F576F5">
            <w:pPr>
              <w:rPr>
                <w:rFonts w:asciiTheme="minorHAnsi" w:hAnsiTheme="minorHAnsi" w:cstheme="minorHAnsi"/>
              </w:rPr>
            </w:pPr>
          </w:p>
        </w:tc>
        <w:tc>
          <w:tcPr>
            <w:tcW w:w="376" w:type="pct"/>
            <w:shd w:val="clear" w:color="auto" w:fill="C2E8F1" w:themeFill="accent4"/>
          </w:tcPr>
          <w:p w14:paraId="7709AA70" w14:textId="77777777" w:rsidR="00E747A2" w:rsidRPr="00F171A3" w:rsidRDefault="00E747A2" w:rsidP="00F576F5">
            <w:pPr>
              <w:rPr>
                <w:rFonts w:asciiTheme="minorHAnsi" w:hAnsiTheme="minorHAnsi" w:cstheme="minorHAnsi"/>
              </w:rPr>
            </w:pPr>
          </w:p>
        </w:tc>
        <w:tc>
          <w:tcPr>
            <w:tcW w:w="322" w:type="pct"/>
            <w:shd w:val="clear" w:color="auto" w:fill="C2E8F1" w:themeFill="accent4"/>
          </w:tcPr>
          <w:p w14:paraId="48DC8319"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4E9E2C06"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250BC922"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502FE6DB"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58B840AA"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F95A32F"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1AA20B5B"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559A6E42"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2084CFC4" w14:textId="77777777" w:rsidR="00E747A2" w:rsidRPr="00F171A3" w:rsidRDefault="00E747A2" w:rsidP="00F576F5">
            <w:pPr>
              <w:rPr>
                <w:rFonts w:asciiTheme="minorHAnsi" w:hAnsiTheme="minorHAnsi" w:cstheme="minorHAnsi"/>
              </w:rPr>
            </w:pPr>
          </w:p>
        </w:tc>
      </w:tr>
      <w:tr w:rsidR="000D02D4" w:rsidRPr="00F171A3" w14:paraId="280400F9" w14:textId="77777777" w:rsidTr="000D02D4">
        <w:trPr>
          <w:trHeight w:val="389"/>
          <w:jc w:val="center"/>
        </w:trPr>
        <w:tc>
          <w:tcPr>
            <w:tcW w:w="1175" w:type="pct"/>
            <w:shd w:val="clear" w:color="auto" w:fill="BFBFBF" w:themeFill="background1" w:themeFillShade="BF"/>
            <w:hideMark/>
          </w:tcPr>
          <w:p w14:paraId="414E5230"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E2.4</w:t>
            </w:r>
          </w:p>
        </w:tc>
        <w:tc>
          <w:tcPr>
            <w:tcW w:w="373" w:type="pct"/>
            <w:shd w:val="clear" w:color="auto" w:fill="F2F2F2" w:themeFill="background1" w:themeFillShade="F2"/>
          </w:tcPr>
          <w:p w14:paraId="74B3E250" w14:textId="77777777" w:rsidR="00E747A2" w:rsidRPr="00F171A3" w:rsidRDefault="00E747A2" w:rsidP="00F576F5">
            <w:pPr>
              <w:rPr>
                <w:rFonts w:asciiTheme="minorHAnsi" w:hAnsiTheme="minorHAnsi" w:cstheme="minorHAnsi"/>
              </w:rPr>
            </w:pPr>
          </w:p>
        </w:tc>
        <w:tc>
          <w:tcPr>
            <w:tcW w:w="376" w:type="pct"/>
            <w:shd w:val="clear" w:color="auto" w:fill="C2E8F1" w:themeFill="accent4"/>
          </w:tcPr>
          <w:p w14:paraId="33FDFFF7" w14:textId="77777777" w:rsidR="00E747A2" w:rsidRPr="00F171A3" w:rsidRDefault="00E747A2" w:rsidP="00F576F5">
            <w:pPr>
              <w:rPr>
                <w:rFonts w:asciiTheme="minorHAnsi" w:hAnsiTheme="minorHAnsi" w:cstheme="minorHAnsi"/>
              </w:rPr>
            </w:pPr>
          </w:p>
        </w:tc>
        <w:tc>
          <w:tcPr>
            <w:tcW w:w="322" w:type="pct"/>
            <w:shd w:val="clear" w:color="auto" w:fill="C2E8F1" w:themeFill="accent4"/>
          </w:tcPr>
          <w:p w14:paraId="32516599"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77B36144"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37A760DE"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B3C0588"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38AD06ED"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60EF87BD"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60374F1A"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44E2726F"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3E4CEBEF" w14:textId="77777777" w:rsidR="00E747A2" w:rsidRPr="00F171A3" w:rsidRDefault="00E747A2" w:rsidP="00F576F5">
            <w:pPr>
              <w:rPr>
                <w:rFonts w:asciiTheme="minorHAnsi" w:hAnsiTheme="minorHAnsi" w:cstheme="minorHAnsi"/>
              </w:rPr>
            </w:pPr>
          </w:p>
        </w:tc>
      </w:tr>
      <w:tr w:rsidR="000D02D4" w:rsidRPr="00F171A3" w14:paraId="11E6B653" w14:textId="77777777" w:rsidTr="000D02D4">
        <w:trPr>
          <w:trHeight w:val="389"/>
          <w:jc w:val="center"/>
        </w:trPr>
        <w:tc>
          <w:tcPr>
            <w:tcW w:w="1175" w:type="pct"/>
            <w:shd w:val="clear" w:color="auto" w:fill="BFBFBF" w:themeFill="background1" w:themeFillShade="BF"/>
            <w:hideMark/>
          </w:tcPr>
          <w:p w14:paraId="3CA61F6F"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E2.5</w:t>
            </w:r>
          </w:p>
        </w:tc>
        <w:tc>
          <w:tcPr>
            <w:tcW w:w="373" w:type="pct"/>
            <w:shd w:val="clear" w:color="auto" w:fill="F2F2F2" w:themeFill="background1" w:themeFillShade="F2"/>
          </w:tcPr>
          <w:p w14:paraId="4C10AA08" w14:textId="77777777" w:rsidR="00E747A2" w:rsidRPr="00F171A3" w:rsidRDefault="00E747A2" w:rsidP="00F576F5">
            <w:pPr>
              <w:rPr>
                <w:rFonts w:asciiTheme="minorHAnsi" w:hAnsiTheme="minorHAnsi" w:cstheme="minorHAnsi"/>
              </w:rPr>
            </w:pPr>
          </w:p>
        </w:tc>
        <w:tc>
          <w:tcPr>
            <w:tcW w:w="376" w:type="pct"/>
            <w:shd w:val="clear" w:color="auto" w:fill="C2E8F1" w:themeFill="accent4"/>
          </w:tcPr>
          <w:p w14:paraId="3657E467" w14:textId="77777777" w:rsidR="00E747A2" w:rsidRPr="00F171A3" w:rsidRDefault="00E747A2" w:rsidP="00F576F5">
            <w:pPr>
              <w:rPr>
                <w:rFonts w:asciiTheme="minorHAnsi" w:hAnsiTheme="minorHAnsi" w:cstheme="minorHAnsi"/>
              </w:rPr>
            </w:pPr>
          </w:p>
        </w:tc>
        <w:tc>
          <w:tcPr>
            <w:tcW w:w="322" w:type="pct"/>
            <w:shd w:val="clear" w:color="auto" w:fill="C2E8F1" w:themeFill="accent4"/>
          </w:tcPr>
          <w:p w14:paraId="64E201AE"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4D676E3D"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13FD07EF"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6D261345"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68BE27CA"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6209559C"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1B262AB9"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2241C803"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50A2D589" w14:textId="77777777" w:rsidR="00E747A2" w:rsidRPr="00F171A3" w:rsidRDefault="00E747A2" w:rsidP="00F576F5">
            <w:pPr>
              <w:rPr>
                <w:rFonts w:asciiTheme="minorHAnsi" w:hAnsiTheme="minorHAnsi" w:cstheme="minorHAnsi"/>
              </w:rPr>
            </w:pPr>
          </w:p>
        </w:tc>
      </w:tr>
      <w:tr w:rsidR="000D02D4" w:rsidRPr="00F171A3" w14:paraId="1E9EF605" w14:textId="77777777" w:rsidTr="000D02D4">
        <w:trPr>
          <w:trHeight w:val="389"/>
          <w:jc w:val="center"/>
        </w:trPr>
        <w:tc>
          <w:tcPr>
            <w:tcW w:w="1175" w:type="pct"/>
            <w:shd w:val="clear" w:color="auto" w:fill="BFBFBF" w:themeFill="background1" w:themeFillShade="BF"/>
            <w:hideMark/>
          </w:tcPr>
          <w:p w14:paraId="5AED418D"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E3.1</w:t>
            </w:r>
          </w:p>
        </w:tc>
        <w:tc>
          <w:tcPr>
            <w:tcW w:w="373" w:type="pct"/>
            <w:shd w:val="clear" w:color="auto" w:fill="F2F2F2" w:themeFill="background1" w:themeFillShade="F2"/>
          </w:tcPr>
          <w:p w14:paraId="5AF8AF4A" w14:textId="77777777" w:rsidR="00E747A2" w:rsidRPr="00F171A3" w:rsidRDefault="00E747A2" w:rsidP="00F576F5">
            <w:pPr>
              <w:rPr>
                <w:rFonts w:asciiTheme="minorHAnsi" w:hAnsiTheme="minorHAnsi" w:cstheme="minorHAnsi"/>
              </w:rPr>
            </w:pPr>
          </w:p>
        </w:tc>
        <w:tc>
          <w:tcPr>
            <w:tcW w:w="376" w:type="pct"/>
            <w:shd w:val="clear" w:color="auto" w:fill="ABCD3A" w:themeFill="accent5"/>
          </w:tcPr>
          <w:p w14:paraId="11698766" w14:textId="77777777" w:rsidR="00E747A2" w:rsidRPr="00F171A3" w:rsidRDefault="00E747A2" w:rsidP="00F576F5">
            <w:pPr>
              <w:rPr>
                <w:rFonts w:asciiTheme="minorHAnsi" w:hAnsiTheme="minorHAnsi" w:cstheme="minorHAnsi"/>
              </w:rPr>
            </w:pPr>
          </w:p>
        </w:tc>
        <w:tc>
          <w:tcPr>
            <w:tcW w:w="322" w:type="pct"/>
            <w:shd w:val="clear" w:color="auto" w:fill="ABCD3A" w:themeFill="accent5"/>
          </w:tcPr>
          <w:p w14:paraId="187BFB8B" w14:textId="77777777" w:rsidR="00E747A2" w:rsidRPr="00F171A3" w:rsidRDefault="00E747A2" w:rsidP="00F576F5">
            <w:pPr>
              <w:rPr>
                <w:rFonts w:asciiTheme="minorHAnsi" w:hAnsiTheme="minorHAnsi" w:cstheme="minorHAnsi"/>
              </w:rPr>
            </w:pPr>
          </w:p>
        </w:tc>
        <w:tc>
          <w:tcPr>
            <w:tcW w:w="376" w:type="pct"/>
            <w:shd w:val="clear" w:color="auto" w:fill="ABCD3A" w:themeFill="accent5"/>
          </w:tcPr>
          <w:p w14:paraId="676DD2C5"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7B3BB025"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3BE180D0"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551791B0"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043CFCE2"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32BE2BD1"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44A3AFDE"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569EA14D" w14:textId="77777777" w:rsidR="00E747A2" w:rsidRPr="00F171A3" w:rsidRDefault="00E747A2" w:rsidP="00F576F5">
            <w:pPr>
              <w:rPr>
                <w:rFonts w:asciiTheme="minorHAnsi" w:hAnsiTheme="minorHAnsi" w:cstheme="minorHAnsi"/>
              </w:rPr>
            </w:pPr>
          </w:p>
        </w:tc>
      </w:tr>
      <w:tr w:rsidR="000D02D4" w:rsidRPr="00F171A3" w14:paraId="6C2FD46E" w14:textId="77777777" w:rsidTr="000D02D4">
        <w:trPr>
          <w:trHeight w:val="389"/>
          <w:jc w:val="center"/>
        </w:trPr>
        <w:tc>
          <w:tcPr>
            <w:tcW w:w="1175" w:type="pct"/>
            <w:shd w:val="clear" w:color="auto" w:fill="BFBFBF" w:themeFill="background1" w:themeFillShade="BF"/>
            <w:hideMark/>
          </w:tcPr>
          <w:p w14:paraId="5350D8A2"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E3.2</w:t>
            </w:r>
          </w:p>
        </w:tc>
        <w:tc>
          <w:tcPr>
            <w:tcW w:w="373" w:type="pct"/>
            <w:shd w:val="clear" w:color="auto" w:fill="F2F2F2" w:themeFill="background1" w:themeFillShade="F2"/>
          </w:tcPr>
          <w:p w14:paraId="5F93AF3E"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3FB6C90C" w14:textId="77777777" w:rsidR="00E747A2" w:rsidRPr="00F171A3" w:rsidRDefault="00E747A2" w:rsidP="00F576F5">
            <w:pPr>
              <w:rPr>
                <w:rFonts w:asciiTheme="minorHAnsi" w:hAnsiTheme="minorHAnsi" w:cstheme="minorHAnsi"/>
              </w:rPr>
            </w:pPr>
          </w:p>
        </w:tc>
        <w:tc>
          <w:tcPr>
            <w:tcW w:w="322" w:type="pct"/>
            <w:shd w:val="clear" w:color="auto" w:fill="ABCD3A" w:themeFill="accent5"/>
          </w:tcPr>
          <w:p w14:paraId="624B9DEF" w14:textId="77777777" w:rsidR="00E747A2" w:rsidRPr="00F171A3" w:rsidRDefault="00E747A2" w:rsidP="00F576F5">
            <w:pPr>
              <w:rPr>
                <w:rFonts w:asciiTheme="minorHAnsi" w:hAnsiTheme="minorHAnsi" w:cstheme="minorHAnsi"/>
              </w:rPr>
            </w:pPr>
          </w:p>
        </w:tc>
        <w:tc>
          <w:tcPr>
            <w:tcW w:w="376" w:type="pct"/>
            <w:shd w:val="clear" w:color="auto" w:fill="ABCD3A" w:themeFill="accent5"/>
          </w:tcPr>
          <w:p w14:paraId="09F6CC18" w14:textId="77777777" w:rsidR="00E747A2" w:rsidRPr="00F171A3" w:rsidRDefault="00E747A2" w:rsidP="00F576F5">
            <w:pPr>
              <w:rPr>
                <w:rFonts w:asciiTheme="minorHAnsi" w:hAnsiTheme="minorHAnsi" w:cstheme="minorHAnsi"/>
              </w:rPr>
            </w:pPr>
          </w:p>
        </w:tc>
        <w:tc>
          <w:tcPr>
            <w:tcW w:w="322" w:type="pct"/>
            <w:shd w:val="clear" w:color="auto" w:fill="ABCD3A" w:themeFill="accent5"/>
          </w:tcPr>
          <w:p w14:paraId="5C006845"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16ACF7B6"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04A7B007"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3018A4C8"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3C7654E3"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22A36634"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71949548" w14:textId="77777777" w:rsidR="00E747A2" w:rsidRPr="00F171A3" w:rsidRDefault="00E747A2" w:rsidP="00F576F5">
            <w:pPr>
              <w:rPr>
                <w:rFonts w:asciiTheme="minorHAnsi" w:hAnsiTheme="minorHAnsi" w:cstheme="minorHAnsi"/>
              </w:rPr>
            </w:pPr>
          </w:p>
        </w:tc>
      </w:tr>
      <w:tr w:rsidR="000D02D4" w:rsidRPr="00F171A3" w14:paraId="44A6404C" w14:textId="77777777" w:rsidTr="000D02D4">
        <w:trPr>
          <w:trHeight w:val="389"/>
          <w:jc w:val="center"/>
        </w:trPr>
        <w:tc>
          <w:tcPr>
            <w:tcW w:w="1175" w:type="pct"/>
            <w:shd w:val="clear" w:color="auto" w:fill="BFBFBF" w:themeFill="background1" w:themeFillShade="BF"/>
            <w:hideMark/>
          </w:tcPr>
          <w:p w14:paraId="01F561BF"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E3.3</w:t>
            </w:r>
          </w:p>
        </w:tc>
        <w:tc>
          <w:tcPr>
            <w:tcW w:w="373" w:type="pct"/>
            <w:shd w:val="clear" w:color="auto" w:fill="F2F2F2" w:themeFill="background1" w:themeFillShade="F2"/>
          </w:tcPr>
          <w:p w14:paraId="3DB39183"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CE2201E" w14:textId="77777777" w:rsidR="00E747A2" w:rsidRPr="00F171A3" w:rsidRDefault="00E747A2" w:rsidP="00F576F5">
            <w:pPr>
              <w:rPr>
                <w:rFonts w:asciiTheme="minorHAnsi" w:hAnsiTheme="minorHAnsi" w:cstheme="minorHAnsi"/>
              </w:rPr>
            </w:pPr>
          </w:p>
        </w:tc>
        <w:tc>
          <w:tcPr>
            <w:tcW w:w="322" w:type="pct"/>
            <w:shd w:val="clear" w:color="auto" w:fill="ABCD3A" w:themeFill="accent5"/>
          </w:tcPr>
          <w:p w14:paraId="79F6DAFD" w14:textId="77777777" w:rsidR="00E747A2" w:rsidRPr="00F171A3" w:rsidRDefault="00E747A2" w:rsidP="00F576F5">
            <w:pPr>
              <w:rPr>
                <w:rFonts w:asciiTheme="minorHAnsi" w:hAnsiTheme="minorHAnsi" w:cstheme="minorHAnsi"/>
              </w:rPr>
            </w:pPr>
          </w:p>
        </w:tc>
        <w:tc>
          <w:tcPr>
            <w:tcW w:w="376" w:type="pct"/>
            <w:shd w:val="clear" w:color="auto" w:fill="ABCD3A" w:themeFill="accent5"/>
          </w:tcPr>
          <w:p w14:paraId="0E3C0FAE" w14:textId="77777777" w:rsidR="00E747A2" w:rsidRPr="00F171A3" w:rsidRDefault="00E747A2" w:rsidP="00F576F5">
            <w:pPr>
              <w:rPr>
                <w:rFonts w:asciiTheme="minorHAnsi" w:hAnsiTheme="minorHAnsi" w:cstheme="minorHAnsi"/>
              </w:rPr>
            </w:pPr>
          </w:p>
        </w:tc>
        <w:tc>
          <w:tcPr>
            <w:tcW w:w="322" w:type="pct"/>
            <w:shd w:val="clear" w:color="auto" w:fill="ABCD3A" w:themeFill="accent5"/>
          </w:tcPr>
          <w:p w14:paraId="31322BC0"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6CC53EA9"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6601D865"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6FD79665"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3CB19CA0" w14:textId="77777777" w:rsidR="00E747A2" w:rsidRPr="00F171A3" w:rsidRDefault="00E747A2" w:rsidP="00F576F5">
            <w:pPr>
              <w:rPr>
                <w:rFonts w:asciiTheme="minorHAnsi" w:hAnsiTheme="minorHAnsi" w:cstheme="minorHAnsi"/>
              </w:rPr>
            </w:pPr>
          </w:p>
        </w:tc>
        <w:tc>
          <w:tcPr>
            <w:tcW w:w="365" w:type="pct"/>
            <w:shd w:val="clear" w:color="auto" w:fill="F2F2F2" w:themeFill="background1" w:themeFillShade="F2"/>
          </w:tcPr>
          <w:p w14:paraId="04D26A63"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17481DA7" w14:textId="77777777" w:rsidR="00E747A2" w:rsidRPr="00F171A3" w:rsidRDefault="00E747A2" w:rsidP="00F576F5">
            <w:pPr>
              <w:rPr>
                <w:rFonts w:asciiTheme="minorHAnsi" w:hAnsiTheme="minorHAnsi" w:cstheme="minorHAnsi"/>
              </w:rPr>
            </w:pPr>
          </w:p>
        </w:tc>
      </w:tr>
      <w:tr w:rsidR="000D02D4" w:rsidRPr="00F171A3" w14:paraId="45A8B6E3" w14:textId="77777777" w:rsidTr="000D02D4">
        <w:trPr>
          <w:trHeight w:val="389"/>
          <w:jc w:val="center"/>
        </w:trPr>
        <w:tc>
          <w:tcPr>
            <w:tcW w:w="1175" w:type="pct"/>
            <w:shd w:val="clear" w:color="auto" w:fill="BFBFBF" w:themeFill="background1" w:themeFillShade="BF"/>
            <w:hideMark/>
          </w:tcPr>
          <w:p w14:paraId="38FD7907"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E4.1</w:t>
            </w:r>
          </w:p>
        </w:tc>
        <w:tc>
          <w:tcPr>
            <w:tcW w:w="373" w:type="pct"/>
            <w:shd w:val="clear" w:color="auto" w:fill="F2F2F2" w:themeFill="background1" w:themeFillShade="F2"/>
          </w:tcPr>
          <w:p w14:paraId="6F18DE14"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80C8B9F"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04550B09"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4D951B8E"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6C4EF4C5"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2C110FC5"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2596C91E"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24AE417E"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4C133E16" w14:textId="77777777" w:rsidR="00E747A2" w:rsidRPr="00F171A3" w:rsidRDefault="00E747A2" w:rsidP="00F576F5">
            <w:pPr>
              <w:rPr>
                <w:rFonts w:asciiTheme="minorHAnsi" w:hAnsiTheme="minorHAnsi" w:cstheme="minorHAnsi"/>
              </w:rPr>
            </w:pPr>
          </w:p>
        </w:tc>
        <w:tc>
          <w:tcPr>
            <w:tcW w:w="365" w:type="pct"/>
            <w:shd w:val="clear" w:color="auto" w:fill="3CA1BC" w:themeFill="background2"/>
          </w:tcPr>
          <w:p w14:paraId="1941BE7E" w14:textId="77777777" w:rsidR="00E747A2" w:rsidRPr="00F171A3" w:rsidRDefault="00E747A2" w:rsidP="00F576F5">
            <w:pPr>
              <w:rPr>
                <w:rFonts w:asciiTheme="minorHAnsi" w:hAnsiTheme="minorHAnsi" w:cstheme="minorHAnsi"/>
              </w:rPr>
            </w:pPr>
          </w:p>
        </w:tc>
        <w:tc>
          <w:tcPr>
            <w:tcW w:w="295" w:type="pct"/>
            <w:shd w:val="clear" w:color="auto" w:fill="F2F2F2" w:themeFill="background1" w:themeFillShade="F2"/>
          </w:tcPr>
          <w:p w14:paraId="0A359BDA" w14:textId="77777777" w:rsidR="00E747A2" w:rsidRPr="00F171A3" w:rsidRDefault="00E747A2" w:rsidP="00F576F5">
            <w:pPr>
              <w:rPr>
                <w:rFonts w:asciiTheme="minorHAnsi" w:hAnsiTheme="minorHAnsi" w:cstheme="minorHAnsi"/>
              </w:rPr>
            </w:pPr>
          </w:p>
        </w:tc>
      </w:tr>
      <w:tr w:rsidR="000D02D4" w:rsidRPr="00F171A3" w14:paraId="13CBC6D0" w14:textId="77777777" w:rsidTr="000D02D4">
        <w:trPr>
          <w:trHeight w:val="389"/>
          <w:jc w:val="center"/>
        </w:trPr>
        <w:tc>
          <w:tcPr>
            <w:tcW w:w="1175" w:type="pct"/>
            <w:shd w:val="clear" w:color="auto" w:fill="BFBFBF" w:themeFill="background1" w:themeFillShade="BF"/>
            <w:hideMark/>
          </w:tcPr>
          <w:p w14:paraId="747D013F"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E4.2</w:t>
            </w:r>
          </w:p>
        </w:tc>
        <w:tc>
          <w:tcPr>
            <w:tcW w:w="373" w:type="pct"/>
            <w:shd w:val="clear" w:color="auto" w:fill="F2F2F2" w:themeFill="background1" w:themeFillShade="F2"/>
          </w:tcPr>
          <w:p w14:paraId="7AA5C578"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449588E6"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37B1C695"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3A1C129A"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62027AEE"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1432E643"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7FB85E18"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5EFEC30A"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6E8D4E71" w14:textId="77777777" w:rsidR="00E747A2" w:rsidRPr="00F171A3" w:rsidRDefault="00E747A2" w:rsidP="00F576F5">
            <w:pPr>
              <w:rPr>
                <w:rFonts w:asciiTheme="minorHAnsi" w:hAnsiTheme="minorHAnsi" w:cstheme="minorHAnsi"/>
              </w:rPr>
            </w:pPr>
          </w:p>
        </w:tc>
        <w:tc>
          <w:tcPr>
            <w:tcW w:w="365" w:type="pct"/>
            <w:shd w:val="clear" w:color="auto" w:fill="3CA1BC" w:themeFill="background2"/>
          </w:tcPr>
          <w:p w14:paraId="3E072FE6" w14:textId="77777777" w:rsidR="00E747A2" w:rsidRPr="00F171A3" w:rsidRDefault="00E747A2" w:rsidP="00F576F5">
            <w:pPr>
              <w:rPr>
                <w:rFonts w:asciiTheme="minorHAnsi" w:hAnsiTheme="minorHAnsi" w:cstheme="minorHAnsi"/>
              </w:rPr>
            </w:pPr>
          </w:p>
        </w:tc>
        <w:tc>
          <w:tcPr>
            <w:tcW w:w="295" w:type="pct"/>
            <w:shd w:val="clear" w:color="auto" w:fill="3CA1BC" w:themeFill="background2"/>
          </w:tcPr>
          <w:p w14:paraId="34C5654B" w14:textId="77777777" w:rsidR="00E747A2" w:rsidRPr="00F171A3" w:rsidRDefault="00E747A2" w:rsidP="00F576F5">
            <w:pPr>
              <w:rPr>
                <w:rFonts w:asciiTheme="minorHAnsi" w:hAnsiTheme="minorHAnsi" w:cstheme="minorHAnsi"/>
              </w:rPr>
            </w:pPr>
          </w:p>
        </w:tc>
      </w:tr>
      <w:tr w:rsidR="000D02D4" w:rsidRPr="00F171A3" w14:paraId="62899E20" w14:textId="77777777" w:rsidTr="000D02D4">
        <w:trPr>
          <w:trHeight w:val="389"/>
          <w:jc w:val="center"/>
        </w:trPr>
        <w:tc>
          <w:tcPr>
            <w:tcW w:w="1175" w:type="pct"/>
            <w:shd w:val="clear" w:color="auto" w:fill="BFBFBF" w:themeFill="background1" w:themeFillShade="BF"/>
            <w:hideMark/>
          </w:tcPr>
          <w:p w14:paraId="0B96E7DE" w14:textId="77777777" w:rsidR="00E747A2" w:rsidRPr="00F171A3" w:rsidRDefault="00E747A2" w:rsidP="00F576F5">
            <w:pPr>
              <w:rPr>
                <w:rFonts w:asciiTheme="minorHAnsi" w:hAnsiTheme="minorHAnsi" w:cstheme="minorHAnsi"/>
              </w:rPr>
            </w:pPr>
            <w:r w:rsidRPr="00F171A3">
              <w:rPr>
                <w:rFonts w:asciiTheme="minorHAnsi" w:hAnsiTheme="minorHAnsi" w:cstheme="minorHAnsi"/>
              </w:rPr>
              <w:t>E4.3</w:t>
            </w:r>
          </w:p>
        </w:tc>
        <w:tc>
          <w:tcPr>
            <w:tcW w:w="373" w:type="pct"/>
            <w:shd w:val="clear" w:color="auto" w:fill="F2F2F2" w:themeFill="background1" w:themeFillShade="F2"/>
          </w:tcPr>
          <w:p w14:paraId="3749DC02" w14:textId="77777777" w:rsidR="00E747A2" w:rsidRPr="00F171A3" w:rsidRDefault="00E747A2" w:rsidP="00F576F5">
            <w:pPr>
              <w:rPr>
                <w:rFonts w:asciiTheme="minorHAnsi" w:hAnsiTheme="minorHAnsi" w:cstheme="minorHAnsi"/>
              </w:rPr>
            </w:pPr>
          </w:p>
        </w:tc>
        <w:tc>
          <w:tcPr>
            <w:tcW w:w="376" w:type="pct"/>
            <w:shd w:val="clear" w:color="auto" w:fill="F2F2F2" w:themeFill="background1" w:themeFillShade="F2"/>
          </w:tcPr>
          <w:p w14:paraId="278A0096" w14:textId="77777777" w:rsidR="00E747A2" w:rsidRPr="00F171A3" w:rsidRDefault="00E747A2" w:rsidP="00F576F5">
            <w:pPr>
              <w:rPr>
                <w:rFonts w:asciiTheme="minorHAnsi" w:hAnsiTheme="minorHAnsi" w:cstheme="minorHAnsi"/>
              </w:rPr>
            </w:pPr>
          </w:p>
        </w:tc>
        <w:tc>
          <w:tcPr>
            <w:tcW w:w="322" w:type="pct"/>
            <w:shd w:val="clear" w:color="auto" w:fill="F2F2F2" w:themeFill="background1" w:themeFillShade="F2"/>
          </w:tcPr>
          <w:p w14:paraId="74453562"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1E1DE7F7"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7C58AFD7"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715EC563"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5BC75196" w14:textId="77777777" w:rsidR="00E747A2" w:rsidRPr="00F171A3" w:rsidRDefault="00E747A2" w:rsidP="00F576F5">
            <w:pPr>
              <w:rPr>
                <w:rFonts w:asciiTheme="minorHAnsi" w:hAnsiTheme="minorHAnsi" w:cstheme="minorHAnsi"/>
              </w:rPr>
            </w:pPr>
          </w:p>
        </w:tc>
        <w:tc>
          <w:tcPr>
            <w:tcW w:w="376" w:type="pct"/>
            <w:shd w:val="clear" w:color="auto" w:fill="3CA1BC" w:themeFill="background2"/>
          </w:tcPr>
          <w:p w14:paraId="0891D39E" w14:textId="77777777" w:rsidR="00E747A2" w:rsidRPr="00F171A3" w:rsidRDefault="00E747A2" w:rsidP="00F576F5">
            <w:pPr>
              <w:rPr>
                <w:rFonts w:asciiTheme="minorHAnsi" w:hAnsiTheme="minorHAnsi" w:cstheme="minorHAnsi"/>
              </w:rPr>
            </w:pPr>
          </w:p>
        </w:tc>
        <w:tc>
          <w:tcPr>
            <w:tcW w:w="322" w:type="pct"/>
            <w:shd w:val="clear" w:color="auto" w:fill="3CA1BC" w:themeFill="background2"/>
          </w:tcPr>
          <w:p w14:paraId="5D700BFE" w14:textId="77777777" w:rsidR="00E747A2" w:rsidRPr="00F171A3" w:rsidRDefault="00E747A2" w:rsidP="00F576F5">
            <w:pPr>
              <w:rPr>
                <w:rFonts w:asciiTheme="minorHAnsi" w:hAnsiTheme="minorHAnsi" w:cstheme="minorHAnsi"/>
              </w:rPr>
            </w:pPr>
          </w:p>
        </w:tc>
        <w:tc>
          <w:tcPr>
            <w:tcW w:w="365" w:type="pct"/>
            <w:shd w:val="clear" w:color="auto" w:fill="3CA1BC" w:themeFill="background2"/>
          </w:tcPr>
          <w:p w14:paraId="2E8906EF" w14:textId="77777777" w:rsidR="00E747A2" w:rsidRPr="00F171A3" w:rsidRDefault="00E747A2" w:rsidP="00F576F5">
            <w:pPr>
              <w:rPr>
                <w:rFonts w:asciiTheme="minorHAnsi" w:hAnsiTheme="minorHAnsi" w:cstheme="minorHAnsi"/>
              </w:rPr>
            </w:pPr>
          </w:p>
        </w:tc>
        <w:tc>
          <w:tcPr>
            <w:tcW w:w="295" w:type="pct"/>
            <w:shd w:val="clear" w:color="auto" w:fill="3CA1BC" w:themeFill="background2"/>
          </w:tcPr>
          <w:p w14:paraId="59DBDBBC" w14:textId="77777777" w:rsidR="00E747A2" w:rsidRPr="00F171A3" w:rsidRDefault="00E747A2" w:rsidP="00F576F5">
            <w:pPr>
              <w:rPr>
                <w:rFonts w:asciiTheme="minorHAnsi" w:hAnsiTheme="minorHAnsi" w:cstheme="minorHAnsi"/>
              </w:rPr>
            </w:pPr>
          </w:p>
        </w:tc>
      </w:tr>
    </w:tbl>
    <w:p w14:paraId="548421DE" w14:textId="220272D2" w:rsidR="00E747A2" w:rsidRPr="00F171A3" w:rsidRDefault="00E747A2" w:rsidP="002278A7">
      <w:pPr>
        <w:jc w:val="right"/>
        <w:rPr>
          <w:color w:val="BFBFBF" w:themeColor="background1" w:themeShade="BF"/>
        </w:rPr>
      </w:pPr>
      <w:r w:rsidRPr="00F171A3">
        <w:rPr>
          <w:color w:val="BFBFBF" w:themeColor="background1" w:themeShade="BF"/>
        </w:rPr>
        <w:t xml:space="preserve">Sursa: </w:t>
      </w:r>
      <w:r w:rsidR="002278A7" w:rsidRPr="00F171A3">
        <w:rPr>
          <w:color w:val="BFBFBF" w:themeColor="background1" w:themeShade="BF"/>
        </w:rPr>
        <w:t>P</w:t>
      </w:r>
      <w:r w:rsidRPr="00F171A3">
        <w:rPr>
          <w:color w:val="BFBFBF" w:themeColor="background1" w:themeShade="BF"/>
        </w:rPr>
        <w:t>relucrare proprie</w:t>
      </w:r>
    </w:p>
    <w:p w14:paraId="6C141F3B" w14:textId="77777777" w:rsidR="00E747A2" w:rsidRPr="00F171A3" w:rsidRDefault="00E747A2" w:rsidP="00E747A2"/>
    <w:p w14:paraId="5AFF159D" w14:textId="59DF5FC0" w:rsidR="00E747A2" w:rsidRPr="00F171A3" w:rsidRDefault="00F22459" w:rsidP="00AA00C6">
      <w:pPr>
        <w:pStyle w:val="Heading3"/>
        <w:rPr>
          <w:caps w:val="0"/>
          <w:lang w:val="ro-RO"/>
        </w:rPr>
      </w:pPr>
      <w:bookmarkStart w:id="436" w:name="_Toc79920585"/>
      <w:bookmarkStart w:id="437" w:name="_Toc116643866"/>
      <w:bookmarkStart w:id="438" w:name="_Toc127199312"/>
      <w:r w:rsidRPr="00F171A3">
        <w:rPr>
          <w:caps w:val="0"/>
          <w:lang w:val="ro-RO"/>
        </w:rPr>
        <w:t>PRIORITIZAREA PROIECTELOR</w:t>
      </w:r>
      <w:bookmarkEnd w:id="436"/>
      <w:bookmarkEnd w:id="437"/>
      <w:bookmarkEnd w:id="438"/>
      <w:r w:rsidRPr="00F171A3">
        <w:rPr>
          <w:caps w:val="0"/>
          <w:lang w:val="ro-RO"/>
        </w:rPr>
        <w:t xml:space="preserve"> </w:t>
      </w:r>
    </w:p>
    <w:p w14:paraId="50FA172E" w14:textId="64BC455F" w:rsidR="00E747A2" w:rsidRPr="00F171A3" w:rsidRDefault="00E747A2" w:rsidP="000D02D4">
      <w:r w:rsidRPr="00F171A3">
        <w:t>Procesul de prioritizare are ca scop obținerea unei liste de proiecte prioritare, implementabile pe termen scurt și mediu și sustenabile din punct de vedere financiar. Aceasta înseamnă o listă de proiecte prioritare, a căror valoare estimată și planificare anuală ar trebui să se încadreze în bugetul de investiții al Primăriei Sector</w:t>
      </w:r>
      <w:r w:rsidR="00135D70" w:rsidRPr="00F171A3">
        <w:t>ului</w:t>
      </w:r>
      <w:r w:rsidRPr="00F171A3">
        <w:t xml:space="preserve"> 2. Având în vedere numărul important de proiecte aflate în diferite stadii de implementare, lista de proiecte a fost ordonată în funcție de prioritatea proiectelor, coordonat cu necesarul de fonduri sau cofinanțare (în cazul proiectelor cofinanțate din fonduri europene) din bugetul local. Prioritizarea la nivelul întregului portofoliu de proiecte oferă o vedere de ansamblu asupra priorităților pentru următoarea perioadă de programare, dar este important ca în fiecare an, planificarea investițiilor să se facă pe baza actualizării prioritizării proiectelor, conform metodologiei de prioritizare. Pentru prioritizarea investițiilor la nivelul Primăriei Sectorului 2 se propune o matrice de notare, ce permite evaluarea multi-criterială bazată pe criterii obiective de evaluare. Criteriile propuse sunt ponderate în funcție de importanța lor, pe baza consultării personalului de specialitate din cadrul Primăriei Sectorului 2. Astfel, pentru evaluarea multi-criterială a proiectelor au fost stabilite 8 criterii de evaluare, care reflectă elemente de bază pentru îndeplinirea viziunii și obiectivelor instituționale și, nu în ultimul rând, vizează fezabilitatea investițiilor. Pentru fiecare criteriu, proiectele vor fi notate de la 1 la 10, conform modului de notare descris în tabelul următor. Punctajul total va fi calculat în funcție de ponderea fiecărui criteriu, în cadrul matricei de prioritizare. </w:t>
      </w:r>
    </w:p>
    <w:p w14:paraId="25581B33" w14:textId="74AFFE63" w:rsidR="00E747A2" w:rsidRPr="00F171A3" w:rsidRDefault="009D2E2C" w:rsidP="009D2E2C">
      <w:pPr>
        <w:pStyle w:val="Caption"/>
      </w:pPr>
      <w:bookmarkStart w:id="439" w:name="_Toc126943313"/>
      <w:r w:rsidRPr="00F171A3">
        <w:t xml:space="preserve">Tabel </w:t>
      </w:r>
      <w:r w:rsidRPr="00F171A3">
        <w:fldChar w:fldCharType="begin"/>
      </w:r>
      <w:r w:rsidRPr="00F171A3">
        <w:instrText xml:space="preserve"> SEQ Tabel \* ARABIC </w:instrText>
      </w:r>
      <w:r w:rsidRPr="00F171A3">
        <w:fldChar w:fldCharType="separate"/>
      </w:r>
      <w:r w:rsidR="005A6DD8">
        <w:rPr>
          <w:noProof/>
        </w:rPr>
        <w:t>56</w:t>
      </w:r>
      <w:r w:rsidRPr="00F171A3">
        <w:fldChar w:fldCharType="end"/>
      </w:r>
      <w:r w:rsidR="00E747A2" w:rsidRPr="00F171A3">
        <w:t xml:space="preserve"> Sistemul de prioritizare a proiectelor</w:t>
      </w:r>
      <w:bookmarkEnd w:id="439"/>
    </w:p>
    <w:tbl>
      <w:tblPr>
        <w:tblStyle w:val="Civittatable"/>
        <w:tblW w:w="0" w:type="auto"/>
        <w:tblLook w:val="04A0" w:firstRow="1" w:lastRow="0" w:firstColumn="1" w:lastColumn="0" w:noHBand="0" w:noVBand="1"/>
      </w:tblPr>
      <w:tblGrid>
        <w:gridCol w:w="4029"/>
        <w:gridCol w:w="3963"/>
        <w:gridCol w:w="1024"/>
      </w:tblGrid>
      <w:tr w:rsidR="00FC4119" w:rsidRPr="00F171A3" w14:paraId="5FA61D19" w14:textId="77777777" w:rsidTr="005F06F6">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7334FA3" w14:textId="77777777" w:rsidR="00FC4119" w:rsidRPr="00F171A3" w:rsidRDefault="00FC4119" w:rsidP="005F06F6">
            <w:pPr>
              <w:spacing w:before="0" w:after="0"/>
              <w:jc w:val="center"/>
              <w:rPr>
                <w:b/>
                <w:bCs/>
                <w:szCs w:val="20"/>
              </w:rPr>
            </w:pPr>
            <w:r w:rsidRPr="00F171A3">
              <w:rPr>
                <w:b/>
                <w:bCs/>
                <w:szCs w:val="20"/>
              </w:rPr>
              <w:t>Criteriu</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682FA94" w14:textId="77777777" w:rsidR="00FC4119" w:rsidRPr="00F171A3" w:rsidRDefault="00FC4119" w:rsidP="005F06F6">
            <w:pPr>
              <w:spacing w:after="0"/>
              <w:jc w:val="center"/>
              <w:rPr>
                <w:b/>
                <w:bCs/>
                <w:szCs w:val="20"/>
              </w:rPr>
            </w:pPr>
            <w:r w:rsidRPr="00F171A3">
              <w:rPr>
                <w:b/>
                <w:bCs/>
                <w:szCs w:val="20"/>
              </w:rPr>
              <w:t>Mod de notare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9D3DBDA" w14:textId="77777777" w:rsidR="00FC4119" w:rsidRPr="00F171A3" w:rsidRDefault="00FC4119" w:rsidP="005F06F6">
            <w:pPr>
              <w:spacing w:after="0"/>
              <w:jc w:val="center"/>
              <w:rPr>
                <w:b/>
                <w:bCs/>
                <w:szCs w:val="20"/>
              </w:rPr>
            </w:pPr>
            <w:r w:rsidRPr="00F171A3">
              <w:rPr>
                <w:b/>
                <w:bCs/>
                <w:szCs w:val="20"/>
              </w:rPr>
              <w:t>Pondere</w:t>
            </w:r>
          </w:p>
        </w:tc>
      </w:tr>
      <w:tr w:rsidR="00FC4119" w:rsidRPr="00F171A3" w14:paraId="7341FC1D" w14:textId="77777777" w:rsidTr="005F06F6">
        <w:trPr>
          <w:cnfStyle w:val="000000100000" w:firstRow="0" w:lastRow="0" w:firstColumn="0" w:lastColumn="0" w:oddVBand="0" w:evenVBand="0" w:oddHBand="1"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B73F4C" w14:textId="77777777" w:rsidR="00FC4119" w:rsidRPr="00F171A3" w:rsidRDefault="00FC4119" w:rsidP="005F06F6">
            <w:pPr>
              <w:spacing w:after="0"/>
              <w:jc w:val="left"/>
              <w:rPr>
                <w:b/>
                <w:bCs/>
                <w:szCs w:val="20"/>
              </w:rPr>
            </w:pPr>
            <w:r w:rsidRPr="00F171A3">
              <w:rPr>
                <w:b/>
                <w:bCs/>
                <w:szCs w:val="20"/>
              </w:rPr>
              <w:t>Impactul asupra dezvoltării durabile, eficiența utilizării resurselor și protecției mediului</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B03F9B6" w14:textId="77777777" w:rsidR="00FC4119" w:rsidRPr="00F171A3" w:rsidRDefault="00FC4119" w:rsidP="005F06F6">
            <w:pPr>
              <w:spacing w:after="0"/>
              <w:rPr>
                <w:szCs w:val="20"/>
              </w:rPr>
            </w:pPr>
            <w:r w:rsidRPr="00F171A3">
              <w:rPr>
                <w:szCs w:val="20"/>
              </w:rPr>
              <w:t>- vizează explicit acest impact (8-10 puncte)</w:t>
            </w:r>
          </w:p>
          <w:p w14:paraId="728F904F" w14:textId="77777777" w:rsidR="00FC4119" w:rsidRPr="00F171A3" w:rsidRDefault="00FC4119" w:rsidP="005F06F6">
            <w:pPr>
              <w:spacing w:after="0"/>
              <w:rPr>
                <w:szCs w:val="20"/>
              </w:rPr>
            </w:pPr>
            <w:r w:rsidRPr="00F171A3">
              <w:rPr>
                <w:szCs w:val="20"/>
              </w:rPr>
              <w:t>- atinge problematica (4-7 puncte)</w:t>
            </w:r>
          </w:p>
          <w:p w14:paraId="08A02BB3" w14:textId="77777777" w:rsidR="00FC4119" w:rsidRPr="00F171A3" w:rsidRDefault="00FC4119" w:rsidP="005F06F6">
            <w:pPr>
              <w:spacing w:after="0"/>
              <w:rPr>
                <w:szCs w:val="20"/>
              </w:rPr>
            </w:pPr>
            <w:r w:rsidRPr="00F171A3">
              <w:rPr>
                <w:szCs w:val="20"/>
              </w:rPr>
              <w:t>- nu contribuie deloc (1-3 puncte)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B93564" w14:textId="77777777" w:rsidR="00FC4119" w:rsidRPr="00F171A3" w:rsidRDefault="00FC4119" w:rsidP="005F06F6">
            <w:pPr>
              <w:spacing w:after="0"/>
              <w:rPr>
                <w:szCs w:val="20"/>
              </w:rPr>
            </w:pPr>
            <w:r w:rsidRPr="00F171A3">
              <w:rPr>
                <w:szCs w:val="20"/>
              </w:rPr>
              <w:t>18,5%</w:t>
            </w:r>
          </w:p>
        </w:tc>
      </w:tr>
      <w:tr w:rsidR="00FC4119" w:rsidRPr="00F171A3" w14:paraId="63CF1B0E" w14:textId="77777777" w:rsidTr="005F06F6">
        <w:trPr>
          <w:cnfStyle w:val="000000010000" w:firstRow="0" w:lastRow="0" w:firstColumn="0" w:lastColumn="0" w:oddVBand="0" w:evenVBand="0" w:oddHBand="0" w:evenHBand="1"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571ECFB" w14:textId="77777777" w:rsidR="00FC4119" w:rsidRPr="00F171A3" w:rsidRDefault="00FC4119" w:rsidP="005F06F6">
            <w:pPr>
              <w:spacing w:after="0"/>
              <w:jc w:val="left"/>
              <w:rPr>
                <w:b/>
                <w:bCs/>
                <w:szCs w:val="20"/>
              </w:rPr>
            </w:pPr>
            <w:r w:rsidRPr="00F171A3">
              <w:rPr>
                <w:b/>
                <w:bCs/>
                <w:szCs w:val="20"/>
              </w:rPr>
              <w:t>Complementaritatea cu alte proiecte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9D2A2E" w14:textId="77777777" w:rsidR="00FC4119" w:rsidRPr="00F171A3" w:rsidRDefault="00FC4119" w:rsidP="005F06F6">
            <w:pPr>
              <w:spacing w:after="0"/>
              <w:rPr>
                <w:szCs w:val="20"/>
              </w:rPr>
            </w:pPr>
            <w:r w:rsidRPr="00F171A3">
              <w:rPr>
                <w:szCs w:val="20"/>
              </w:rPr>
              <w:t>- condiționează alte proiecte (8-10 puncte)</w:t>
            </w:r>
          </w:p>
          <w:p w14:paraId="2E680E1D" w14:textId="77777777" w:rsidR="00FC4119" w:rsidRPr="00F171A3" w:rsidRDefault="00FC4119" w:rsidP="005F06F6">
            <w:pPr>
              <w:spacing w:after="0"/>
              <w:rPr>
                <w:szCs w:val="20"/>
              </w:rPr>
            </w:pPr>
            <w:r w:rsidRPr="00F171A3">
              <w:rPr>
                <w:szCs w:val="20"/>
              </w:rPr>
              <w:t>- completează acțiuni deja implementate (3-7 puncte)</w:t>
            </w:r>
          </w:p>
          <w:p w14:paraId="68F23B7C" w14:textId="77777777" w:rsidR="00FC4119" w:rsidRPr="00F171A3" w:rsidRDefault="00FC4119" w:rsidP="005F06F6">
            <w:pPr>
              <w:spacing w:after="0"/>
              <w:rPr>
                <w:szCs w:val="20"/>
              </w:rPr>
            </w:pPr>
            <w:r w:rsidRPr="00F171A3">
              <w:rPr>
                <w:szCs w:val="20"/>
              </w:rPr>
              <w:t>- nu se corelează cu alte proiecte de investiții (1-2 puncte)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FE0F2CB" w14:textId="77777777" w:rsidR="00FC4119" w:rsidRPr="00F171A3" w:rsidRDefault="00FC4119" w:rsidP="005F06F6">
            <w:pPr>
              <w:spacing w:after="0"/>
              <w:rPr>
                <w:szCs w:val="20"/>
              </w:rPr>
            </w:pPr>
            <w:r w:rsidRPr="00F171A3">
              <w:rPr>
                <w:szCs w:val="20"/>
              </w:rPr>
              <w:t>18.5%</w:t>
            </w:r>
          </w:p>
        </w:tc>
      </w:tr>
      <w:tr w:rsidR="00FC4119" w:rsidRPr="00F171A3" w14:paraId="4670E393" w14:textId="77777777" w:rsidTr="005F06F6">
        <w:trPr>
          <w:cnfStyle w:val="000000100000" w:firstRow="0" w:lastRow="0" w:firstColumn="0" w:lastColumn="0" w:oddVBand="0" w:evenVBand="0" w:oddHBand="1"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B4DC29A" w14:textId="77777777" w:rsidR="00FC4119" w:rsidRPr="00F171A3" w:rsidRDefault="00FC4119" w:rsidP="005F06F6">
            <w:pPr>
              <w:spacing w:after="0"/>
              <w:jc w:val="left"/>
              <w:rPr>
                <w:b/>
                <w:bCs/>
                <w:szCs w:val="20"/>
              </w:rPr>
            </w:pPr>
            <w:r w:rsidRPr="00F171A3">
              <w:rPr>
                <w:b/>
                <w:bCs/>
                <w:szCs w:val="20"/>
              </w:rPr>
              <w:t>Disponibilitatea resurselor financiare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2F519C" w14:textId="77777777" w:rsidR="00FC4119" w:rsidRPr="00F171A3" w:rsidRDefault="00FC4119" w:rsidP="005F06F6">
            <w:pPr>
              <w:spacing w:after="0"/>
              <w:rPr>
                <w:szCs w:val="20"/>
              </w:rPr>
            </w:pPr>
            <w:r w:rsidRPr="00F171A3">
              <w:rPr>
                <w:szCs w:val="20"/>
              </w:rPr>
              <w:t>- din surse nerambursabile (10 puncte)</w:t>
            </w:r>
          </w:p>
          <w:p w14:paraId="5F5A81F8" w14:textId="77777777" w:rsidR="00FC4119" w:rsidRPr="00F171A3" w:rsidRDefault="00FC4119" w:rsidP="005F06F6">
            <w:pPr>
              <w:spacing w:after="0"/>
              <w:rPr>
                <w:szCs w:val="20"/>
              </w:rPr>
            </w:pPr>
            <w:r w:rsidRPr="00F171A3">
              <w:rPr>
                <w:szCs w:val="20"/>
              </w:rPr>
              <w:t>- din bugetul propriu (6 puncte)</w:t>
            </w:r>
          </w:p>
          <w:p w14:paraId="2E38FF0E" w14:textId="77777777" w:rsidR="00FC4119" w:rsidRPr="00F171A3" w:rsidRDefault="00FC4119" w:rsidP="005F06F6">
            <w:pPr>
              <w:spacing w:after="0"/>
              <w:rPr>
                <w:szCs w:val="20"/>
              </w:rPr>
            </w:pPr>
            <w:r w:rsidRPr="00F171A3">
              <w:rPr>
                <w:szCs w:val="20"/>
              </w:rPr>
              <w:t>- din împrumuturi contractate (3 puncte)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9D8E81" w14:textId="77777777" w:rsidR="00FC4119" w:rsidRPr="00F171A3" w:rsidRDefault="00FC4119" w:rsidP="005F06F6">
            <w:pPr>
              <w:spacing w:after="0"/>
              <w:rPr>
                <w:szCs w:val="20"/>
              </w:rPr>
            </w:pPr>
            <w:r w:rsidRPr="00F171A3">
              <w:rPr>
                <w:szCs w:val="20"/>
              </w:rPr>
              <w:t>18%</w:t>
            </w:r>
          </w:p>
        </w:tc>
      </w:tr>
      <w:tr w:rsidR="00FC4119" w:rsidRPr="00F171A3" w14:paraId="66DE0DBC" w14:textId="77777777" w:rsidTr="005F06F6">
        <w:trPr>
          <w:cnfStyle w:val="000000010000" w:firstRow="0" w:lastRow="0" w:firstColumn="0" w:lastColumn="0" w:oddVBand="0" w:evenVBand="0" w:oddHBand="0" w:evenHBand="1"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D749C7" w14:textId="77777777" w:rsidR="00FC4119" w:rsidRPr="00F171A3" w:rsidRDefault="00FC4119" w:rsidP="005F06F6">
            <w:pPr>
              <w:spacing w:after="0"/>
              <w:jc w:val="left"/>
              <w:rPr>
                <w:b/>
                <w:bCs/>
                <w:szCs w:val="20"/>
              </w:rPr>
            </w:pPr>
            <w:r w:rsidRPr="00F171A3">
              <w:rPr>
                <w:b/>
                <w:bCs/>
                <w:szCs w:val="20"/>
              </w:rPr>
              <w:t>Maturitatea proiectului</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364D28" w14:textId="77777777" w:rsidR="00FC4119" w:rsidRPr="00F171A3" w:rsidRDefault="00FC4119" w:rsidP="005F06F6">
            <w:pPr>
              <w:spacing w:after="0"/>
              <w:rPr>
                <w:szCs w:val="20"/>
              </w:rPr>
            </w:pPr>
            <w:r w:rsidRPr="00F171A3">
              <w:rPr>
                <w:szCs w:val="20"/>
              </w:rPr>
              <w:t>- proiectul este matur (gata de implementare, documentațiile tehnice sunt pregătite etc.) (8-10 puncte)</w:t>
            </w:r>
          </w:p>
          <w:p w14:paraId="2F3AC6BB" w14:textId="77777777" w:rsidR="00FC4119" w:rsidRPr="00F171A3" w:rsidRDefault="00FC4119" w:rsidP="005F06F6">
            <w:pPr>
              <w:spacing w:after="0"/>
              <w:rPr>
                <w:szCs w:val="20"/>
              </w:rPr>
            </w:pPr>
            <w:r w:rsidRPr="00F171A3">
              <w:rPr>
                <w:szCs w:val="20"/>
              </w:rPr>
              <w:t>- este în curs de pregătire (4-7 puncte)</w:t>
            </w:r>
          </w:p>
          <w:p w14:paraId="7CE6CD8B" w14:textId="77777777" w:rsidR="00FC4119" w:rsidRPr="00F171A3" w:rsidRDefault="00FC4119" w:rsidP="005F06F6">
            <w:pPr>
              <w:spacing w:after="0"/>
              <w:rPr>
                <w:szCs w:val="20"/>
              </w:rPr>
            </w:pPr>
            <w:r w:rsidRPr="00F171A3">
              <w:rPr>
                <w:szCs w:val="20"/>
              </w:rPr>
              <w:t>- este la nivel de idee/schiță (1-3 puncte)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D6856FD" w14:textId="77777777" w:rsidR="00FC4119" w:rsidRPr="00F171A3" w:rsidRDefault="00FC4119" w:rsidP="005F06F6">
            <w:pPr>
              <w:spacing w:after="0"/>
              <w:rPr>
                <w:szCs w:val="20"/>
              </w:rPr>
            </w:pPr>
            <w:r w:rsidRPr="00F171A3">
              <w:rPr>
                <w:szCs w:val="20"/>
              </w:rPr>
              <w:t>17%</w:t>
            </w:r>
          </w:p>
        </w:tc>
      </w:tr>
      <w:tr w:rsidR="00FC4119" w:rsidRPr="00F171A3" w14:paraId="40DFAE8C" w14:textId="77777777" w:rsidTr="005F06F6">
        <w:trPr>
          <w:cnfStyle w:val="000000100000" w:firstRow="0" w:lastRow="0" w:firstColumn="0" w:lastColumn="0" w:oddVBand="0" w:evenVBand="0" w:oddHBand="1"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FC1DFBA" w14:textId="77777777" w:rsidR="00FC4119" w:rsidRPr="00F171A3" w:rsidRDefault="00FC4119" w:rsidP="005F06F6">
            <w:pPr>
              <w:spacing w:after="0"/>
              <w:jc w:val="left"/>
              <w:rPr>
                <w:b/>
                <w:bCs/>
                <w:szCs w:val="20"/>
              </w:rPr>
            </w:pPr>
            <w:r w:rsidRPr="00F171A3">
              <w:rPr>
                <w:b/>
                <w:bCs/>
                <w:szCs w:val="20"/>
              </w:rPr>
              <w:t>Dimensiunea grupului țintă</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BB0DB20" w14:textId="77777777" w:rsidR="00FC4119" w:rsidRPr="00F171A3" w:rsidRDefault="00FC4119" w:rsidP="005F06F6">
            <w:pPr>
              <w:spacing w:after="0"/>
              <w:rPr>
                <w:szCs w:val="20"/>
              </w:rPr>
            </w:pPr>
            <w:r w:rsidRPr="00F171A3">
              <w:rPr>
                <w:szCs w:val="20"/>
              </w:rPr>
              <w:t>- proiectul vizează întregul Sector 2/ un grup țintă extins (5-10 puncte, în funcție de dimensiunea grupului țintă)</w:t>
            </w:r>
          </w:p>
          <w:p w14:paraId="4AD364DE" w14:textId="77777777" w:rsidR="00FC4119" w:rsidRPr="00F171A3" w:rsidRDefault="00FC4119" w:rsidP="005F06F6">
            <w:pPr>
              <w:spacing w:after="0"/>
              <w:rPr>
                <w:szCs w:val="20"/>
              </w:rPr>
            </w:pPr>
            <w:r w:rsidRPr="00F171A3">
              <w:rPr>
                <w:szCs w:val="20"/>
              </w:rPr>
              <w:t>- proiect cu impact la nivelul unei zone restrânse /grup țintă specific, restrâns (1-5 puncte, în funcție de dimensiunea grupului țintă)</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D1776F" w14:textId="77777777" w:rsidR="00FC4119" w:rsidRPr="00F171A3" w:rsidRDefault="00FC4119" w:rsidP="005F06F6">
            <w:pPr>
              <w:spacing w:after="0"/>
              <w:rPr>
                <w:szCs w:val="20"/>
              </w:rPr>
            </w:pPr>
            <w:r w:rsidRPr="00F171A3">
              <w:rPr>
                <w:szCs w:val="20"/>
              </w:rPr>
              <w:t>10%</w:t>
            </w:r>
          </w:p>
        </w:tc>
      </w:tr>
      <w:tr w:rsidR="00FC4119" w:rsidRPr="00F171A3" w14:paraId="1CFDB996" w14:textId="77777777" w:rsidTr="005F06F6">
        <w:trPr>
          <w:cnfStyle w:val="000000010000" w:firstRow="0" w:lastRow="0" w:firstColumn="0" w:lastColumn="0" w:oddVBand="0" w:evenVBand="0" w:oddHBand="0" w:evenHBand="1"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3806CD" w14:textId="77777777" w:rsidR="00FC4119" w:rsidRPr="00F171A3" w:rsidRDefault="00FC4119" w:rsidP="005F06F6">
            <w:pPr>
              <w:spacing w:after="0"/>
              <w:rPr>
                <w:b/>
                <w:bCs/>
                <w:szCs w:val="20"/>
              </w:rPr>
            </w:pPr>
            <w:r w:rsidRPr="00F171A3">
              <w:rPr>
                <w:b/>
                <w:bCs/>
                <w:szCs w:val="20"/>
              </w:rPr>
              <w:t>Impactul social (afectează grupuri vulnerabile din Sectorul 2) - se completează cu criteriul 1</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69CD6C" w14:textId="77777777" w:rsidR="00FC4119" w:rsidRPr="00F171A3" w:rsidRDefault="00FC4119" w:rsidP="005F06F6">
            <w:pPr>
              <w:spacing w:after="0"/>
              <w:rPr>
                <w:szCs w:val="20"/>
              </w:rPr>
            </w:pPr>
            <w:r w:rsidRPr="00F171A3">
              <w:rPr>
                <w:szCs w:val="20"/>
              </w:rPr>
              <w:t>- vizează grupurile vulnerabile (8-10 puncte)</w:t>
            </w:r>
          </w:p>
          <w:p w14:paraId="55FA981A" w14:textId="77777777" w:rsidR="00FC4119" w:rsidRPr="00F171A3" w:rsidRDefault="00FC4119" w:rsidP="005F06F6">
            <w:pPr>
              <w:spacing w:after="0"/>
              <w:rPr>
                <w:szCs w:val="20"/>
              </w:rPr>
            </w:pPr>
            <w:r w:rsidRPr="00F171A3">
              <w:rPr>
                <w:szCs w:val="20"/>
              </w:rPr>
              <w:t>- atinge problematica grupurilor vulnerabile (4-7 puncte)</w:t>
            </w:r>
          </w:p>
          <w:p w14:paraId="09A9FE8E" w14:textId="77777777" w:rsidR="00FC4119" w:rsidRPr="00F171A3" w:rsidRDefault="00FC4119" w:rsidP="005F06F6">
            <w:pPr>
              <w:spacing w:after="0"/>
              <w:rPr>
                <w:szCs w:val="20"/>
              </w:rPr>
            </w:pPr>
            <w:r w:rsidRPr="00F171A3">
              <w:rPr>
                <w:szCs w:val="20"/>
              </w:rPr>
              <w:t>- nu vizează grupuri vulnerabile (1-3 puncte)</w:t>
            </w:r>
            <w:r w:rsidRPr="00F171A3">
              <w:rPr>
                <w:szCs w:val="20"/>
              </w:rPr>
              <w:tab/>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9750A5" w14:textId="77777777" w:rsidR="00FC4119" w:rsidRPr="00F171A3" w:rsidRDefault="00FC4119" w:rsidP="005F06F6">
            <w:pPr>
              <w:spacing w:after="0"/>
              <w:rPr>
                <w:szCs w:val="20"/>
              </w:rPr>
            </w:pPr>
            <w:r w:rsidRPr="00F171A3">
              <w:rPr>
                <w:szCs w:val="20"/>
              </w:rPr>
              <w:t>8%</w:t>
            </w:r>
          </w:p>
        </w:tc>
      </w:tr>
      <w:tr w:rsidR="00FC4119" w:rsidRPr="00F171A3" w14:paraId="7528F3CC" w14:textId="77777777" w:rsidTr="005F06F6">
        <w:trPr>
          <w:cnfStyle w:val="000000100000" w:firstRow="0" w:lastRow="0" w:firstColumn="0" w:lastColumn="0" w:oddVBand="0" w:evenVBand="0" w:oddHBand="1"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CC57BB2" w14:textId="77777777" w:rsidR="00FC4119" w:rsidRPr="00F171A3" w:rsidRDefault="00FC4119" w:rsidP="005F06F6">
            <w:pPr>
              <w:spacing w:after="0"/>
              <w:rPr>
                <w:b/>
                <w:bCs/>
                <w:szCs w:val="20"/>
              </w:rPr>
            </w:pPr>
            <w:r w:rsidRPr="00F171A3">
              <w:rPr>
                <w:b/>
                <w:bCs/>
                <w:szCs w:val="20"/>
              </w:rPr>
              <w:t>Poziția în agenda publică/urgența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F272B16" w14:textId="77777777" w:rsidR="00FC4119" w:rsidRPr="00F171A3" w:rsidRDefault="00FC4119" w:rsidP="005F06F6">
            <w:pPr>
              <w:spacing w:after="0"/>
              <w:rPr>
                <w:szCs w:val="20"/>
              </w:rPr>
            </w:pPr>
            <w:r w:rsidRPr="00F171A3">
              <w:rPr>
                <w:szCs w:val="20"/>
              </w:rPr>
              <w:t>- este pe agenda publică, necesită acțiune imediată (8-10 puncte)</w:t>
            </w:r>
          </w:p>
          <w:p w14:paraId="2CACD983" w14:textId="77777777" w:rsidR="00FC4119" w:rsidRPr="00F171A3" w:rsidRDefault="00FC4119" w:rsidP="005F06F6">
            <w:pPr>
              <w:spacing w:after="0"/>
              <w:rPr>
                <w:szCs w:val="20"/>
              </w:rPr>
            </w:pPr>
            <w:r w:rsidRPr="00F171A3">
              <w:rPr>
                <w:szCs w:val="20"/>
              </w:rPr>
              <w:t>- nu este pe agenda publică, dar poate deveni o problemă urgentă/ oportunitate importantă (4-7 puncte)</w:t>
            </w:r>
          </w:p>
          <w:p w14:paraId="7E214D5A" w14:textId="77777777" w:rsidR="00FC4119" w:rsidRPr="00F171A3" w:rsidRDefault="00FC4119" w:rsidP="005F06F6">
            <w:pPr>
              <w:spacing w:after="0"/>
              <w:rPr>
                <w:szCs w:val="20"/>
              </w:rPr>
            </w:pPr>
            <w:r w:rsidRPr="00F171A3">
              <w:rPr>
                <w:szCs w:val="20"/>
              </w:rPr>
              <w:t>- este pe agenda publică, dar nu necesită acțiune imediată (1-3 puncte)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EA182EF" w14:textId="77777777" w:rsidR="00FC4119" w:rsidRPr="00F171A3" w:rsidRDefault="00FC4119" w:rsidP="005F06F6">
            <w:pPr>
              <w:spacing w:after="0"/>
              <w:rPr>
                <w:szCs w:val="20"/>
              </w:rPr>
            </w:pPr>
            <w:r w:rsidRPr="00F171A3">
              <w:rPr>
                <w:szCs w:val="20"/>
              </w:rPr>
              <w:t>5%</w:t>
            </w:r>
          </w:p>
        </w:tc>
      </w:tr>
      <w:tr w:rsidR="00FC4119" w:rsidRPr="00F171A3" w14:paraId="15D9EFD5" w14:textId="77777777" w:rsidTr="005F06F6">
        <w:trPr>
          <w:cnfStyle w:val="000000010000" w:firstRow="0" w:lastRow="0" w:firstColumn="0" w:lastColumn="0" w:oddVBand="0" w:evenVBand="0" w:oddHBand="0" w:evenHBand="1"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F1DC54E" w14:textId="77777777" w:rsidR="00FC4119" w:rsidRPr="00F171A3" w:rsidRDefault="00FC4119" w:rsidP="005F06F6">
            <w:pPr>
              <w:spacing w:after="0"/>
              <w:rPr>
                <w:b/>
                <w:bCs/>
                <w:szCs w:val="20"/>
              </w:rPr>
            </w:pPr>
            <w:r w:rsidRPr="00F171A3">
              <w:rPr>
                <w:b/>
                <w:bCs/>
                <w:szCs w:val="20"/>
              </w:rPr>
              <w:t xml:space="preserve">Transferabilitate/ potențial de a testa o soluție/ abordare care să servească ca exemplu pentru intervenții ulterioare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4272643" w14:textId="77777777" w:rsidR="00FC4119" w:rsidRPr="00F171A3" w:rsidRDefault="00FC4119" w:rsidP="005F06F6">
            <w:pPr>
              <w:spacing w:after="0"/>
              <w:rPr>
                <w:szCs w:val="20"/>
              </w:rPr>
            </w:pPr>
            <w:r w:rsidRPr="00F171A3">
              <w:rPr>
                <w:szCs w:val="20"/>
              </w:rPr>
              <w:t>- în mare măsură (8-10 puncte)</w:t>
            </w:r>
          </w:p>
          <w:p w14:paraId="1CF3CBE2" w14:textId="77777777" w:rsidR="00FC4119" w:rsidRPr="00F171A3" w:rsidRDefault="00FC4119" w:rsidP="005F06F6">
            <w:pPr>
              <w:spacing w:after="0"/>
              <w:rPr>
                <w:szCs w:val="20"/>
              </w:rPr>
            </w:pPr>
            <w:r w:rsidRPr="00F171A3">
              <w:rPr>
                <w:szCs w:val="20"/>
              </w:rPr>
              <w:t>- în mică măsură (4-7 puncte)</w:t>
            </w:r>
          </w:p>
          <w:p w14:paraId="4FE1542C" w14:textId="77777777" w:rsidR="00FC4119" w:rsidRPr="00F171A3" w:rsidRDefault="00FC4119" w:rsidP="005F06F6">
            <w:pPr>
              <w:spacing w:after="0"/>
              <w:rPr>
                <w:szCs w:val="20"/>
              </w:rPr>
            </w:pPr>
            <w:r w:rsidRPr="00F171A3">
              <w:rPr>
                <w:szCs w:val="20"/>
              </w:rPr>
              <w:t>- nu este transferabil (1-3 puncte)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267093C" w14:textId="77777777" w:rsidR="00FC4119" w:rsidRPr="00F171A3" w:rsidRDefault="00FC4119" w:rsidP="005F06F6">
            <w:pPr>
              <w:spacing w:after="0"/>
              <w:rPr>
                <w:szCs w:val="20"/>
              </w:rPr>
            </w:pPr>
            <w:r w:rsidRPr="00F171A3">
              <w:rPr>
                <w:szCs w:val="20"/>
              </w:rPr>
              <w:t>5%</w:t>
            </w:r>
          </w:p>
        </w:tc>
      </w:tr>
    </w:tbl>
    <w:p w14:paraId="73F8280E" w14:textId="09FA5B8F" w:rsidR="00E747A2" w:rsidRPr="00F171A3" w:rsidRDefault="00E747A2" w:rsidP="002278A7">
      <w:pPr>
        <w:jc w:val="right"/>
        <w:rPr>
          <w:color w:val="BFBFBF" w:themeColor="background1" w:themeShade="BF"/>
        </w:rPr>
      </w:pPr>
      <w:r w:rsidRPr="00F171A3">
        <w:rPr>
          <w:color w:val="BFBFBF" w:themeColor="background1" w:themeShade="BF"/>
        </w:rPr>
        <w:t xml:space="preserve">Sursa: </w:t>
      </w:r>
      <w:r w:rsidR="002278A7" w:rsidRPr="00F171A3">
        <w:rPr>
          <w:color w:val="BFBFBF" w:themeColor="background1" w:themeShade="BF"/>
        </w:rPr>
        <w:t>P</w:t>
      </w:r>
      <w:r w:rsidRPr="00F171A3">
        <w:rPr>
          <w:color w:val="BFBFBF" w:themeColor="background1" w:themeShade="BF"/>
        </w:rPr>
        <w:t>relucrare proprie</w:t>
      </w:r>
    </w:p>
    <w:p w14:paraId="12258A83" w14:textId="5F9D8172" w:rsidR="00E747A2" w:rsidRPr="00F171A3" w:rsidRDefault="009D2E2C" w:rsidP="009D2E2C">
      <w:pPr>
        <w:pStyle w:val="Caption"/>
      </w:pPr>
      <w:bookmarkStart w:id="440" w:name="_Toc126943314"/>
      <w:r w:rsidRPr="00F171A3">
        <w:t xml:space="preserve">Tabel </w:t>
      </w:r>
      <w:r w:rsidRPr="00F171A3">
        <w:fldChar w:fldCharType="begin"/>
      </w:r>
      <w:r w:rsidRPr="00F171A3">
        <w:instrText xml:space="preserve"> SEQ Tabel \* ARABIC </w:instrText>
      </w:r>
      <w:r w:rsidRPr="00F171A3">
        <w:fldChar w:fldCharType="separate"/>
      </w:r>
      <w:r w:rsidR="005A6DD8">
        <w:rPr>
          <w:noProof/>
        </w:rPr>
        <w:t>57</w:t>
      </w:r>
      <w:r w:rsidRPr="00F171A3">
        <w:fldChar w:fldCharType="end"/>
      </w:r>
      <w:r w:rsidR="00E747A2" w:rsidRPr="00F171A3">
        <w:t xml:space="preserve"> Matricea de prioritizare</w:t>
      </w:r>
      <w:bookmarkEnd w:id="440"/>
    </w:p>
    <w:tbl>
      <w:tblPr>
        <w:tblStyle w:val="Civittatable"/>
        <w:tblW w:w="0" w:type="auto"/>
        <w:tblLook w:val="04A0" w:firstRow="1" w:lastRow="0" w:firstColumn="1" w:lastColumn="0" w:noHBand="0" w:noVBand="1"/>
      </w:tblPr>
      <w:tblGrid>
        <w:gridCol w:w="891"/>
        <w:gridCol w:w="877"/>
        <w:gridCol w:w="1084"/>
        <w:gridCol w:w="1582"/>
        <w:gridCol w:w="469"/>
        <w:gridCol w:w="570"/>
        <w:gridCol w:w="877"/>
        <w:gridCol w:w="1084"/>
        <w:gridCol w:w="1582"/>
      </w:tblGrid>
      <w:tr w:rsidR="00E747A2" w:rsidRPr="00F171A3" w14:paraId="67C0136D" w14:textId="77777777" w:rsidTr="00F576F5">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53F8CF2" w14:textId="77777777" w:rsidR="00E747A2" w:rsidRPr="00F171A3" w:rsidRDefault="00E747A2" w:rsidP="00F576F5">
            <w:pPr>
              <w:rPr>
                <w:szCs w:val="20"/>
              </w:rPr>
            </w:pPr>
          </w:p>
        </w:tc>
        <w:tc>
          <w:tcPr>
            <w:tcW w:w="0" w:type="auto"/>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20EF316" w14:textId="77777777" w:rsidR="00E747A2" w:rsidRPr="00F171A3" w:rsidRDefault="00E747A2" w:rsidP="000D02D4">
            <w:pPr>
              <w:jc w:val="center"/>
              <w:rPr>
                <w:b/>
                <w:bCs/>
                <w:szCs w:val="20"/>
              </w:rPr>
            </w:pPr>
            <w:r w:rsidRPr="00F171A3">
              <w:rPr>
                <w:b/>
                <w:bCs/>
                <w:szCs w:val="20"/>
              </w:rPr>
              <w:t>CRITERIu 1</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905E4D" w14:textId="77777777" w:rsidR="00E747A2" w:rsidRPr="00F171A3" w:rsidRDefault="00E747A2" w:rsidP="000D02D4">
            <w:pPr>
              <w:jc w:val="center"/>
              <w:rPr>
                <w:b/>
                <w:bCs/>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7E5223" w14:textId="77777777" w:rsidR="00E747A2" w:rsidRPr="00F171A3" w:rsidRDefault="00E747A2" w:rsidP="000D02D4">
            <w:pPr>
              <w:jc w:val="center"/>
              <w:rPr>
                <w:b/>
                <w:bCs/>
                <w:szCs w:val="20"/>
              </w:rPr>
            </w:pPr>
          </w:p>
        </w:tc>
        <w:tc>
          <w:tcPr>
            <w:tcW w:w="0" w:type="auto"/>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4220253" w14:textId="77777777" w:rsidR="00E747A2" w:rsidRPr="00F171A3" w:rsidRDefault="00E747A2" w:rsidP="000D02D4">
            <w:pPr>
              <w:jc w:val="center"/>
              <w:rPr>
                <w:b/>
                <w:bCs/>
                <w:szCs w:val="20"/>
              </w:rPr>
            </w:pPr>
            <w:r w:rsidRPr="00F171A3">
              <w:rPr>
                <w:b/>
                <w:bCs/>
                <w:szCs w:val="20"/>
              </w:rPr>
              <w:t>CRITERIU 8</w:t>
            </w:r>
          </w:p>
        </w:tc>
      </w:tr>
      <w:tr w:rsidR="00E747A2" w:rsidRPr="00F171A3" w14:paraId="2A50A748" w14:textId="77777777" w:rsidTr="00F576F5">
        <w:trPr>
          <w:cnfStyle w:val="000000100000" w:firstRow="0" w:lastRow="0" w:firstColumn="0" w:lastColumn="0" w:oddVBand="0" w:evenVBand="0" w:oddHBand="1"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EB61E4E"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BB56AC8" w14:textId="77777777" w:rsidR="00E747A2" w:rsidRPr="00F171A3" w:rsidRDefault="00E747A2" w:rsidP="00F576F5">
            <w:pPr>
              <w:rPr>
                <w:szCs w:val="20"/>
              </w:rPr>
            </w:pPr>
            <w:r w:rsidRPr="00F171A3">
              <w:rPr>
                <w:szCs w:val="20"/>
              </w:rPr>
              <w:t>Scor (1-10)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9CE4955" w14:textId="77777777" w:rsidR="00E747A2" w:rsidRPr="00F171A3" w:rsidRDefault="00E747A2" w:rsidP="00F576F5">
            <w:pPr>
              <w:rPr>
                <w:szCs w:val="20"/>
              </w:rPr>
            </w:pPr>
            <w:r w:rsidRPr="00F171A3">
              <w:rPr>
                <w:szCs w:val="20"/>
              </w:rPr>
              <w:t>Pondere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9E01114" w14:textId="77777777" w:rsidR="00E747A2" w:rsidRPr="00F171A3" w:rsidRDefault="00E747A2" w:rsidP="00F576F5">
            <w:pPr>
              <w:rPr>
                <w:szCs w:val="20"/>
              </w:rPr>
            </w:pPr>
            <w:r w:rsidRPr="00F171A3">
              <w:rPr>
                <w:szCs w:val="20"/>
              </w:rPr>
              <w:t>Total (Scor X Pondere)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3FC05E1" w14:textId="77777777" w:rsidR="00E747A2" w:rsidRPr="00F171A3" w:rsidRDefault="00E747A2" w:rsidP="00F576F5">
            <w:pPr>
              <w:rPr>
                <w:szCs w:val="20"/>
              </w:rPr>
            </w:pPr>
            <w:r w:rsidRPr="00F171A3">
              <w:rPr>
                <w:szCs w:val="20"/>
              </w:rPr>
              <w:t>.....</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67A6BDE" w14:textId="77777777" w:rsidR="00E747A2" w:rsidRPr="00F171A3" w:rsidRDefault="00E747A2" w:rsidP="00F576F5">
            <w:pPr>
              <w:rPr>
                <w:szCs w:val="20"/>
              </w:rPr>
            </w:pPr>
            <w:r w:rsidRPr="00F171A3">
              <w:rPr>
                <w:szCs w:val="20"/>
              </w:rPr>
              <w:t>.......</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1890967" w14:textId="77777777" w:rsidR="00E747A2" w:rsidRPr="00F171A3" w:rsidRDefault="00E747A2" w:rsidP="00F576F5">
            <w:pPr>
              <w:rPr>
                <w:szCs w:val="20"/>
              </w:rPr>
            </w:pPr>
            <w:r w:rsidRPr="00F171A3">
              <w:rPr>
                <w:szCs w:val="20"/>
              </w:rPr>
              <w:t>Scor (1-10)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13A8184" w14:textId="77777777" w:rsidR="00E747A2" w:rsidRPr="00F171A3" w:rsidRDefault="00E747A2" w:rsidP="00F576F5">
            <w:pPr>
              <w:rPr>
                <w:szCs w:val="20"/>
              </w:rPr>
            </w:pPr>
            <w:r w:rsidRPr="00F171A3">
              <w:rPr>
                <w:szCs w:val="20"/>
              </w:rPr>
              <w:t>Pondere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C87A1A2" w14:textId="77777777" w:rsidR="00E747A2" w:rsidRPr="00F171A3" w:rsidRDefault="00E747A2" w:rsidP="00F576F5">
            <w:pPr>
              <w:rPr>
                <w:szCs w:val="20"/>
              </w:rPr>
            </w:pPr>
            <w:r w:rsidRPr="00F171A3">
              <w:rPr>
                <w:szCs w:val="20"/>
              </w:rPr>
              <w:t>Total (Scor X Pondere)</w:t>
            </w:r>
          </w:p>
        </w:tc>
      </w:tr>
      <w:tr w:rsidR="00E747A2" w:rsidRPr="00F171A3" w14:paraId="5087C8C2" w14:textId="77777777" w:rsidTr="00F576F5">
        <w:trPr>
          <w:cnfStyle w:val="000000010000" w:firstRow="0" w:lastRow="0" w:firstColumn="0" w:lastColumn="0" w:oddVBand="0" w:evenVBand="0" w:oddHBand="0" w:evenHBand="1"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32E507E" w14:textId="77777777" w:rsidR="00E747A2" w:rsidRPr="00F171A3" w:rsidRDefault="00E747A2" w:rsidP="00F576F5">
            <w:pPr>
              <w:rPr>
                <w:szCs w:val="20"/>
              </w:rPr>
            </w:pPr>
            <w:r w:rsidRPr="00F171A3">
              <w:rPr>
                <w:szCs w:val="20"/>
              </w:rPr>
              <w:t>Proiect 1</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D2DBB9"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441C0C"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F50261"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690D31"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2BF55B"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7074E8"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41C1BE"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FB29195" w14:textId="77777777" w:rsidR="00E747A2" w:rsidRPr="00F171A3" w:rsidRDefault="00E747A2" w:rsidP="00F576F5">
            <w:pPr>
              <w:rPr>
                <w:szCs w:val="20"/>
              </w:rPr>
            </w:pPr>
          </w:p>
        </w:tc>
      </w:tr>
      <w:tr w:rsidR="00E747A2" w:rsidRPr="00F171A3" w14:paraId="5CFE6FF4" w14:textId="77777777" w:rsidTr="00F576F5">
        <w:trPr>
          <w:cnfStyle w:val="000000100000" w:firstRow="0" w:lastRow="0" w:firstColumn="0" w:lastColumn="0" w:oddVBand="0" w:evenVBand="0" w:oddHBand="1"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42DAD32" w14:textId="77777777" w:rsidR="00E747A2" w:rsidRPr="00F171A3" w:rsidRDefault="00E747A2" w:rsidP="00F576F5">
            <w:pPr>
              <w:rPr>
                <w:szCs w:val="20"/>
              </w:rPr>
            </w:pPr>
            <w:r w:rsidRPr="00F171A3">
              <w:rPr>
                <w:szCs w:val="20"/>
              </w:rPr>
              <w:t>Proiect 2</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75A0E29"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DE212D"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8AB6C80"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6E4A55"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2684EE"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5C6876F"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469999"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B7F481D" w14:textId="77777777" w:rsidR="00E747A2" w:rsidRPr="00F171A3" w:rsidRDefault="00E747A2" w:rsidP="00F576F5">
            <w:pPr>
              <w:rPr>
                <w:szCs w:val="20"/>
              </w:rPr>
            </w:pPr>
          </w:p>
        </w:tc>
      </w:tr>
      <w:tr w:rsidR="00E747A2" w:rsidRPr="00F171A3" w14:paraId="3ADA6D84" w14:textId="77777777" w:rsidTr="00F576F5">
        <w:trPr>
          <w:cnfStyle w:val="000000010000" w:firstRow="0" w:lastRow="0" w:firstColumn="0" w:lastColumn="0" w:oddVBand="0" w:evenVBand="0" w:oddHBand="0" w:evenHBand="1"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819C161" w14:textId="77777777" w:rsidR="00E747A2" w:rsidRPr="00F171A3" w:rsidRDefault="00E747A2" w:rsidP="00F576F5">
            <w:pPr>
              <w:rPr>
                <w:szCs w:val="20"/>
              </w:rPr>
            </w:pPr>
            <w:r w:rsidRPr="00F171A3">
              <w:rPr>
                <w:szCs w:val="20"/>
              </w:rPr>
              <w:t>............</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1C62A1"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00A3C2"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97519F"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6231C41"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FF94C7"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FB3B61"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F21F511"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4C37E8A" w14:textId="77777777" w:rsidR="00E747A2" w:rsidRPr="00F171A3" w:rsidRDefault="00E747A2" w:rsidP="00F576F5">
            <w:pPr>
              <w:rPr>
                <w:szCs w:val="20"/>
              </w:rPr>
            </w:pPr>
          </w:p>
        </w:tc>
      </w:tr>
      <w:tr w:rsidR="00E747A2" w:rsidRPr="00F171A3" w14:paraId="04672820" w14:textId="77777777" w:rsidTr="00F576F5">
        <w:trPr>
          <w:cnfStyle w:val="000000100000" w:firstRow="0" w:lastRow="0" w:firstColumn="0" w:lastColumn="0" w:oddVBand="0" w:evenVBand="0" w:oddHBand="1"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8A844AE" w14:textId="77777777" w:rsidR="00E747A2" w:rsidRPr="00F171A3" w:rsidRDefault="00E747A2" w:rsidP="00F576F5">
            <w:pPr>
              <w:rPr>
                <w:szCs w:val="20"/>
              </w:rPr>
            </w:pPr>
            <w:r w:rsidRPr="00F171A3">
              <w:rPr>
                <w:szCs w:val="20"/>
              </w:rPr>
              <w:t>Proiect n</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5FBE59"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162ED3"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C0F5454"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230822"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FBF6AA"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32AA67"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4C018AB" w14:textId="77777777" w:rsidR="00E747A2" w:rsidRPr="00F171A3" w:rsidRDefault="00E747A2" w:rsidP="00F576F5">
            <w:pPr>
              <w:rPr>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87F3D80" w14:textId="77777777" w:rsidR="00E747A2" w:rsidRPr="00F171A3" w:rsidRDefault="00E747A2" w:rsidP="00F576F5">
            <w:pPr>
              <w:rPr>
                <w:szCs w:val="20"/>
              </w:rPr>
            </w:pPr>
          </w:p>
        </w:tc>
      </w:tr>
    </w:tbl>
    <w:p w14:paraId="047B1830" w14:textId="3C5D3546" w:rsidR="00E747A2" w:rsidRPr="00F171A3" w:rsidRDefault="00E747A2" w:rsidP="002278A7">
      <w:pPr>
        <w:jc w:val="right"/>
        <w:rPr>
          <w:color w:val="BFBFBF" w:themeColor="background1" w:themeShade="BF"/>
        </w:rPr>
      </w:pPr>
      <w:r w:rsidRPr="00F171A3">
        <w:rPr>
          <w:color w:val="BFBFBF" w:themeColor="background1" w:themeShade="BF"/>
        </w:rPr>
        <w:t xml:space="preserve">Sursa: </w:t>
      </w:r>
      <w:r w:rsidR="002278A7" w:rsidRPr="00F171A3">
        <w:rPr>
          <w:color w:val="BFBFBF" w:themeColor="background1" w:themeShade="BF"/>
        </w:rPr>
        <w:t>P</w:t>
      </w:r>
      <w:r w:rsidRPr="00F171A3">
        <w:rPr>
          <w:color w:val="BFBFBF" w:themeColor="background1" w:themeShade="BF"/>
        </w:rPr>
        <w:t>relucrare proprie</w:t>
      </w:r>
    </w:p>
    <w:p w14:paraId="4622CAE0" w14:textId="77777777" w:rsidR="0025074A" w:rsidRDefault="00E747A2" w:rsidP="00E747A2">
      <w:r w:rsidRPr="00F171A3">
        <w:t xml:space="preserve">Prioritizarea va fi realizată anual de către Primar, personalul de conducere din cadrul Primăriei Sectorului 2, </w:t>
      </w:r>
      <w:r w:rsidR="00FC4119" w:rsidRPr="00F171A3">
        <w:t>Direcția Generală Programe de Dezvoltare Urbană și Fonduri Europene</w:t>
      </w:r>
      <w:r w:rsidRPr="00F171A3">
        <w:t xml:space="preserve"> și comisiile de specialitate ale Consiliului Local. Prioritizarea va sta la baza Planului anual de acțiune (PAA) centralizat, realizat la nivelul  Primăriei Sectorului 2.</w:t>
      </w:r>
      <w:r w:rsidR="0025074A">
        <w:t xml:space="preserve"> </w:t>
      </w:r>
    </w:p>
    <w:p w14:paraId="33C7A15C" w14:textId="1F145BF0" w:rsidR="00E747A2" w:rsidRPr="00F171A3" w:rsidRDefault="0025074A" w:rsidP="0025074A">
      <w:pPr>
        <w:pStyle w:val="Heading4"/>
      </w:pPr>
      <w:r>
        <w:t>Localizarea proiectelor din portofoliul strategiei</w:t>
      </w:r>
    </w:p>
    <w:p w14:paraId="0C861D58" w14:textId="77777777" w:rsidR="00E747A2" w:rsidRPr="00F171A3" w:rsidRDefault="00E747A2" w:rsidP="00E747A2"/>
    <w:p w14:paraId="5C00CFA1" w14:textId="4DB7A4EB" w:rsidR="0025074A" w:rsidRDefault="0025074A" w:rsidP="0025074A">
      <w:bookmarkStart w:id="441" w:name="_Toc94037233"/>
      <w:r>
        <w:t xml:space="preserve">Pornind de la analiza implementării Strategiei  de Dezvoltare  Locală Integrată și  Durabilă  a Sectorului 2, în perioada 2014 – 2020, au fost generate hărți actualizate cu localizarea proiectelor din portofoliul prezentei strategii, conform propunerilor de proiecte </w:t>
      </w:r>
      <w:r w:rsidR="00961864">
        <w:t>pentru perioada 2021 –</w:t>
      </w:r>
      <w:r>
        <w:t xml:space="preserve"> 2027</w:t>
      </w:r>
      <w:r w:rsidR="00961864">
        <w:t>, cu orizont de timp</w:t>
      </w:r>
      <w:r>
        <w:t xml:space="preserve">  2030.</w:t>
      </w:r>
      <w:r w:rsidR="00961864">
        <w:t xml:space="preserve"> Acestea ilustrează propunerile de dezvoltare ale sectorului, pe domenii de activitate, în conformitate cu viziunea de </w:t>
      </w:r>
      <w:r w:rsidR="00482049">
        <w:t>dezvoltare</w:t>
      </w:r>
      <w:r w:rsidR="00961864">
        <w:t xml:space="preserve"> propusă.</w:t>
      </w:r>
    </w:p>
    <w:p w14:paraId="7036A2ED" w14:textId="39DE8353" w:rsidR="0063047F" w:rsidRPr="0098109E" w:rsidRDefault="0063334A" w:rsidP="0098109E">
      <w:pPr>
        <w:pStyle w:val="Caption"/>
      </w:pPr>
      <w:bookmarkStart w:id="442" w:name="_Toc127198119"/>
      <w:r w:rsidRPr="0098109E">
        <w:t xml:space="preserve">Figura </w:t>
      </w:r>
      <w:r w:rsidRPr="0098109E">
        <w:fldChar w:fldCharType="begin"/>
      </w:r>
      <w:r w:rsidRPr="0098109E">
        <w:instrText xml:space="preserve"> SEQ Figura \* ARABIC </w:instrText>
      </w:r>
      <w:r w:rsidRPr="0098109E">
        <w:fldChar w:fldCharType="separate"/>
      </w:r>
      <w:r w:rsidR="005A6DD8">
        <w:rPr>
          <w:noProof/>
        </w:rPr>
        <w:t>131</w:t>
      </w:r>
      <w:r w:rsidRPr="0098109E">
        <w:fldChar w:fldCharType="end"/>
      </w:r>
      <w:r w:rsidRPr="0098109E">
        <w:t xml:space="preserve"> </w:t>
      </w:r>
      <w:r w:rsidR="0098109E" w:rsidRPr="0098109E">
        <w:t>Localizarea proiectelor din portofoliul strategiei: Regenerare urbană</w:t>
      </w:r>
      <w:bookmarkEnd w:id="442"/>
    </w:p>
    <w:p w14:paraId="2504F1F4" w14:textId="0337878B" w:rsidR="00DE681C" w:rsidRDefault="00E77FEC" w:rsidP="0025074A">
      <w:r>
        <w:rPr>
          <w:noProof/>
        </w:rPr>
        <w:drawing>
          <wp:inline distT="0" distB="0" distL="0" distR="0" wp14:anchorId="4268D3ED" wp14:editId="67820CF2">
            <wp:extent cx="5730240" cy="8100060"/>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30240" cy="8100060"/>
                    </a:xfrm>
                    <a:prstGeom prst="rect">
                      <a:avLst/>
                    </a:prstGeom>
                    <a:noFill/>
                    <a:ln>
                      <a:noFill/>
                    </a:ln>
                  </pic:spPr>
                </pic:pic>
              </a:graphicData>
            </a:graphic>
          </wp:inline>
        </w:drawing>
      </w:r>
    </w:p>
    <w:p w14:paraId="642A85BA" w14:textId="46789A5F" w:rsidR="0063334A" w:rsidRPr="00F171A3" w:rsidRDefault="0063334A" w:rsidP="0063334A">
      <w:pPr>
        <w:jc w:val="right"/>
        <w:rPr>
          <w:color w:val="BFBFBF" w:themeColor="background1" w:themeShade="BF"/>
        </w:rPr>
      </w:pPr>
      <w:r w:rsidRPr="00F171A3">
        <w:rPr>
          <w:color w:val="BFBFBF" w:themeColor="background1" w:themeShade="BF"/>
        </w:rPr>
        <w:t>Sursa: Prelucrare proprie</w:t>
      </w:r>
    </w:p>
    <w:p w14:paraId="56104D34" w14:textId="77777777" w:rsidR="00DE681C" w:rsidRDefault="00DE681C" w:rsidP="0025074A"/>
    <w:p w14:paraId="2E2F3A05" w14:textId="6767052B" w:rsidR="0063334A" w:rsidRPr="0036722C" w:rsidRDefault="0063334A" w:rsidP="0036722C">
      <w:pPr>
        <w:pStyle w:val="Caption"/>
      </w:pPr>
      <w:bookmarkStart w:id="443" w:name="_Toc127198120"/>
      <w:r w:rsidRPr="0036722C">
        <w:t xml:space="preserve">Figura </w:t>
      </w:r>
      <w:r w:rsidRPr="0036722C">
        <w:fldChar w:fldCharType="begin"/>
      </w:r>
      <w:r w:rsidRPr="0036722C">
        <w:instrText xml:space="preserve"> SEQ Figura \* ARABIC </w:instrText>
      </w:r>
      <w:r w:rsidRPr="0036722C">
        <w:fldChar w:fldCharType="separate"/>
      </w:r>
      <w:r w:rsidR="005A6DD8">
        <w:rPr>
          <w:noProof/>
        </w:rPr>
        <w:t>132</w:t>
      </w:r>
      <w:r w:rsidRPr="0036722C">
        <w:fldChar w:fldCharType="end"/>
      </w:r>
      <w:r w:rsidRPr="0036722C">
        <w:t xml:space="preserve"> </w:t>
      </w:r>
      <w:r w:rsidR="0098109E" w:rsidRPr="0036722C">
        <w:t xml:space="preserve">Localizarea proiectelor din portofoliul strategiei: </w:t>
      </w:r>
      <w:r w:rsidR="00E97937">
        <w:t>Servicii publice</w:t>
      </w:r>
      <w:bookmarkEnd w:id="443"/>
    </w:p>
    <w:p w14:paraId="29966261" w14:textId="4B3F5232" w:rsidR="00A71C5F" w:rsidRPr="00F171A3" w:rsidRDefault="0063334A" w:rsidP="00A71C5F">
      <w:pPr>
        <w:jc w:val="right"/>
        <w:rPr>
          <w:color w:val="BFBFBF" w:themeColor="background1" w:themeShade="BF"/>
        </w:rPr>
      </w:pPr>
      <w:r>
        <w:rPr>
          <w:noProof/>
        </w:rPr>
        <w:drawing>
          <wp:inline distT="0" distB="0" distL="0" distR="0" wp14:anchorId="6E294B8B" wp14:editId="416554A3">
            <wp:extent cx="5669044" cy="8013555"/>
            <wp:effectExtent l="0" t="0" r="825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70727" cy="8015934"/>
                    </a:xfrm>
                    <a:prstGeom prst="rect">
                      <a:avLst/>
                    </a:prstGeom>
                    <a:noFill/>
                    <a:ln>
                      <a:noFill/>
                    </a:ln>
                  </pic:spPr>
                </pic:pic>
              </a:graphicData>
            </a:graphic>
          </wp:inline>
        </w:drawing>
      </w:r>
      <w:r w:rsidR="00A71C5F" w:rsidRPr="00A71C5F">
        <w:rPr>
          <w:color w:val="BFBFBF" w:themeColor="background1" w:themeShade="BF"/>
        </w:rPr>
        <w:t xml:space="preserve"> </w:t>
      </w:r>
      <w:r w:rsidR="00A71C5F" w:rsidRPr="00F171A3">
        <w:rPr>
          <w:color w:val="BFBFBF" w:themeColor="background1" w:themeShade="BF"/>
        </w:rPr>
        <w:t>Sursa: Prelucrare proprie</w:t>
      </w:r>
    </w:p>
    <w:p w14:paraId="69F19402" w14:textId="77777777" w:rsidR="00A71C5F" w:rsidRDefault="00A71C5F" w:rsidP="0025074A"/>
    <w:p w14:paraId="5BBA3D97" w14:textId="7D3676B2" w:rsidR="00A71C5F" w:rsidRPr="00662302" w:rsidRDefault="00A71C5F" w:rsidP="00662302">
      <w:pPr>
        <w:pStyle w:val="Caption"/>
      </w:pPr>
      <w:bookmarkStart w:id="444" w:name="_Toc127198121"/>
      <w:r w:rsidRPr="00662302">
        <w:t xml:space="preserve">Figura </w:t>
      </w:r>
      <w:r w:rsidRPr="00662302">
        <w:fldChar w:fldCharType="begin"/>
      </w:r>
      <w:r w:rsidRPr="00662302">
        <w:instrText xml:space="preserve"> SEQ Figura \* ARABIC </w:instrText>
      </w:r>
      <w:r w:rsidRPr="00662302">
        <w:fldChar w:fldCharType="separate"/>
      </w:r>
      <w:r w:rsidR="005A6DD8">
        <w:rPr>
          <w:noProof/>
        </w:rPr>
        <w:t>133</w:t>
      </w:r>
      <w:r w:rsidRPr="00662302">
        <w:fldChar w:fldCharType="end"/>
      </w:r>
      <w:r w:rsidRPr="00662302">
        <w:t xml:space="preserve"> </w:t>
      </w:r>
      <w:r w:rsidR="00662302" w:rsidRPr="00662302">
        <w:t>Localizarea proiectelor din portofoliul strategiei: Cultură</w:t>
      </w:r>
      <w:bookmarkEnd w:id="444"/>
    </w:p>
    <w:p w14:paraId="13EE037C" w14:textId="755D2E33" w:rsidR="00A71C5F" w:rsidRPr="00A71C5F" w:rsidRDefault="00A71C5F" w:rsidP="00A71C5F">
      <w:r>
        <w:rPr>
          <w:noProof/>
        </w:rPr>
        <w:drawing>
          <wp:inline distT="0" distB="0" distL="0" distR="0" wp14:anchorId="4B0BC063" wp14:editId="2B15EF5F">
            <wp:extent cx="5643990" cy="79781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44794" cy="7979277"/>
                    </a:xfrm>
                    <a:prstGeom prst="rect">
                      <a:avLst/>
                    </a:prstGeom>
                    <a:noFill/>
                    <a:ln>
                      <a:noFill/>
                    </a:ln>
                  </pic:spPr>
                </pic:pic>
              </a:graphicData>
            </a:graphic>
          </wp:inline>
        </w:drawing>
      </w:r>
    </w:p>
    <w:p w14:paraId="4B072B3C" w14:textId="77777777" w:rsidR="00A71C5F" w:rsidRDefault="00A71C5F" w:rsidP="00A71C5F">
      <w:pPr>
        <w:jc w:val="right"/>
        <w:rPr>
          <w:color w:val="BFBFBF" w:themeColor="background1" w:themeShade="BF"/>
        </w:rPr>
      </w:pPr>
      <w:r w:rsidRPr="00F171A3">
        <w:rPr>
          <w:color w:val="BFBFBF" w:themeColor="background1" w:themeShade="BF"/>
        </w:rPr>
        <w:t>Sursa: Prelucrare proprie</w:t>
      </w:r>
    </w:p>
    <w:p w14:paraId="7AA2C2C2" w14:textId="77777777" w:rsidR="00A71C5F" w:rsidRDefault="00A71C5F" w:rsidP="00A71C5F">
      <w:pPr>
        <w:jc w:val="left"/>
        <w:rPr>
          <w:color w:val="BFBFBF" w:themeColor="background1" w:themeShade="BF"/>
        </w:rPr>
      </w:pPr>
    </w:p>
    <w:p w14:paraId="42EF8F2E" w14:textId="69C9420E" w:rsidR="00A71C5F" w:rsidRPr="000C3B25" w:rsidRDefault="00A71C5F" w:rsidP="000C3B25">
      <w:pPr>
        <w:pStyle w:val="Caption"/>
      </w:pPr>
      <w:bookmarkStart w:id="445" w:name="_Toc127198122"/>
      <w:r w:rsidRPr="000C3B25">
        <w:t xml:space="preserve">Figura </w:t>
      </w:r>
      <w:r w:rsidRPr="000C3B25">
        <w:fldChar w:fldCharType="begin"/>
      </w:r>
      <w:r w:rsidRPr="000C3B25">
        <w:instrText xml:space="preserve"> SEQ Figura \* ARABIC </w:instrText>
      </w:r>
      <w:r w:rsidRPr="000C3B25">
        <w:fldChar w:fldCharType="separate"/>
      </w:r>
      <w:r w:rsidR="005A6DD8">
        <w:rPr>
          <w:noProof/>
        </w:rPr>
        <w:t>134</w:t>
      </w:r>
      <w:r w:rsidRPr="000C3B25">
        <w:fldChar w:fldCharType="end"/>
      </w:r>
      <w:r w:rsidRPr="000C3B25">
        <w:t xml:space="preserve"> </w:t>
      </w:r>
      <w:r w:rsidR="000C3B25" w:rsidRPr="000C3B25">
        <w:t>Localizarea proiectelor din portofoliul strategiei: Dotări de agrement</w:t>
      </w:r>
      <w:bookmarkEnd w:id="445"/>
    </w:p>
    <w:p w14:paraId="295CE95A" w14:textId="2C355018" w:rsidR="00A71C5F" w:rsidRPr="00A71C5F" w:rsidRDefault="00A71C5F" w:rsidP="00A71C5F">
      <w:r>
        <w:rPr>
          <w:noProof/>
        </w:rPr>
        <w:drawing>
          <wp:inline distT="0" distB="0" distL="0" distR="0" wp14:anchorId="4E526C5A" wp14:editId="1B00CE92">
            <wp:extent cx="5660162" cy="8001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61966" cy="8003550"/>
                    </a:xfrm>
                    <a:prstGeom prst="rect">
                      <a:avLst/>
                    </a:prstGeom>
                    <a:noFill/>
                    <a:ln>
                      <a:noFill/>
                    </a:ln>
                  </pic:spPr>
                </pic:pic>
              </a:graphicData>
            </a:graphic>
          </wp:inline>
        </w:drawing>
      </w:r>
    </w:p>
    <w:p w14:paraId="22697FD5" w14:textId="77777777" w:rsidR="00A71C5F" w:rsidRDefault="00A71C5F" w:rsidP="00A71C5F">
      <w:pPr>
        <w:jc w:val="right"/>
        <w:rPr>
          <w:color w:val="BFBFBF" w:themeColor="background1" w:themeShade="BF"/>
        </w:rPr>
      </w:pPr>
      <w:r w:rsidRPr="00F171A3">
        <w:rPr>
          <w:color w:val="BFBFBF" w:themeColor="background1" w:themeShade="BF"/>
        </w:rPr>
        <w:t>Sursa: Prelucrare proprie</w:t>
      </w:r>
    </w:p>
    <w:p w14:paraId="5A99ABC7" w14:textId="1CD1AD9D" w:rsidR="00A71C5F" w:rsidRPr="001B039D" w:rsidRDefault="00A71C5F" w:rsidP="001B039D">
      <w:pPr>
        <w:pStyle w:val="Caption"/>
      </w:pPr>
      <w:bookmarkStart w:id="446" w:name="_Toc127198123"/>
      <w:r w:rsidRPr="001B039D">
        <w:t xml:space="preserve">Figura </w:t>
      </w:r>
      <w:r w:rsidRPr="001B039D">
        <w:fldChar w:fldCharType="begin"/>
      </w:r>
      <w:r w:rsidRPr="001B039D">
        <w:instrText xml:space="preserve"> SEQ Figura \* ARABIC </w:instrText>
      </w:r>
      <w:r w:rsidRPr="001B039D">
        <w:fldChar w:fldCharType="separate"/>
      </w:r>
      <w:r w:rsidR="005A6DD8">
        <w:rPr>
          <w:noProof/>
        </w:rPr>
        <w:t>135</w:t>
      </w:r>
      <w:r w:rsidRPr="001B039D">
        <w:fldChar w:fldCharType="end"/>
      </w:r>
      <w:r w:rsidRPr="001B039D">
        <w:t xml:space="preserve"> </w:t>
      </w:r>
      <w:r w:rsidR="001B039D" w:rsidRPr="001B039D">
        <w:t>Localizarea proiectelor din portofoliul strategiei: Spații verzi</w:t>
      </w:r>
      <w:bookmarkEnd w:id="446"/>
    </w:p>
    <w:p w14:paraId="5CC7759E" w14:textId="05E27A41" w:rsidR="00A71C5F" w:rsidRPr="00A71C5F" w:rsidRDefault="00A71C5F" w:rsidP="00A71C5F">
      <w:r>
        <w:rPr>
          <w:noProof/>
        </w:rPr>
        <w:drawing>
          <wp:inline distT="0" distB="0" distL="0" distR="0" wp14:anchorId="01F2E702" wp14:editId="717100CE">
            <wp:extent cx="5692506" cy="804672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95645" cy="8051157"/>
                    </a:xfrm>
                    <a:prstGeom prst="rect">
                      <a:avLst/>
                    </a:prstGeom>
                    <a:noFill/>
                    <a:ln>
                      <a:noFill/>
                    </a:ln>
                  </pic:spPr>
                </pic:pic>
              </a:graphicData>
            </a:graphic>
          </wp:inline>
        </w:drawing>
      </w:r>
    </w:p>
    <w:p w14:paraId="19CCD42F" w14:textId="77777777" w:rsidR="00A71C5F" w:rsidRDefault="00A71C5F" w:rsidP="00A71C5F">
      <w:pPr>
        <w:jc w:val="left"/>
      </w:pPr>
    </w:p>
    <w:p w14:paraId="71C872D6" w14:textId="77777777" w:rsidR="00A71C5F" w:rsidRDefault="00A71C5F" w:rsidP="00A71C5F">
      <w:pPr>
        <w:jc w:val="right"/>
        <w:rPr>
          <w:color w:val="BFBFBF" w:themeColor="background1" w:themeShade="BF"/>
        </w:rPr>
      </w:pPr>
      <w:r w:rsidRPr="00F171A3">
        <w:rPr>
          <w:color w:val="BFBFBF" w:themeColor="background1" w:themeShade="BF"/>
        </w:rPr>
        <w:t>Sursa: Prelucrare proprie</w:t>
      </w:r>
    </w:p>
    <w:p w14:paraId="77ACA42C" w14:textId="77777777" w:rsidR="00A71C5F" w:rsidRDefault="00A71C5F" w:rsidP="00A71C5F">
      <w:pPr>
        <w:jc w:val="left"/>
      </w:pPr>
    </w:p>
    <w:p w14:paraId="3F417DA6" w14:textId="5E37E915" w:rsidR="00A71C5F" w:rsidRPr="00FA36E1" w:rsidRDefault="00A71C5F" w:rsidP="00FA36E1">
      <w:pPr>
        <w:pStyle w:val="Caption"/>
      </w:pPr>
      <w:bookmarkStart w:id="447" w:name="_Toc127198124"/>
      <w:r w:rsidRPr="00FA36E1">
        <w:t xml:space="preserve">Figura </w:t>
      </w:r>
      <w:r w:rsidRPr="00FA36E1">
        <w:fldChar w:fldCharType="begin"/>
      </w:r>
      <w:r w:rsidRPr="00FA36E1">
        <w:instrText xml:space="preserve"> SEQ Figura \* ARABIC </w:instrText>
      </w:r>
      <w:r w:rsidRPr="00FA36E1">
        <w:fldChar w:fldCharType="separate"/>
      </w:r>
      <w:r w:rsidR="005A6DD8">
        <w:rPr>
          <w:noProof/>
        </w:rPr>
        <w:t>136</w:t>
      </w:r>
      <w:r w:rsidRPr="00FA36E1">
        <w:fldChar w:fldCharType="end"/>
      </w:r>
      <w:r w:rsidRPr="00FA36E1">
        <w:t xml:space="preserve"> </w:t>
      </w:r>
      <w:r w:rsidR="00FA36E1" w:rsidRPr="00FA36E1">
        <w:t>Localizarea proiectelor din portofoliul strategiei: Mobilitate</w:t>
      </w:r>
      <w:bookmarkEnd w:id="447"/>
    </w:p>
    <w:p w14:paraId="262C4F7A" w14:textId="5AE08E7E" w:rsidR="00A71C5F" w:rsidRPr="00A71C5F" w:rsidRDefault="00E97937" w:rsidP="00A71C5F">
      <w:r>
        <w:rPr>
          <w:noProof/>
          <w:highlight w:val="yellow"/>
        </w:rPr>
        <w:drawing>
          <wp:inline distT="0" distB="0" distL="0" distR="0" wp14:anchorId="32D307DD" wp14:editId="31104056">
            <wp:extent cx="5448300" cy="77015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827" cy="7702265"/>
                    </a:xfrm>
                    <a:prstGeom prst="rect">
                      <a:avLst/>
                    </a:prstGeom>
                    <a:noFill/>
                    <a:ln>
                      <a:noFill/>
                    </a:ln>
                  </pic:spPr>
                </pic:pic>
              </a:graphicData>
            </a:graphic>
          </wp:inline>
        </w:drawing>
      </w:r>
    </w:p>
    <w:p w14:paraId="10206C8F" w14:textId="5780DF42" w:rsidR="00A71C5F" w:rsidRPr="0025074A" w:rsidRDefault="00E97937" w:rsidP="00E97937">
      <w:pPr>
        <w:jc w:val="right"/>
        <w:sectPr w:rsidR="00A71C5F" w:rsidRPr="0025074A" w:rsidSect="008A6FAE">
          <w:pgSz w:w="11906" w:h="16838" w:code="9"/>
          <w:pgMar w:top="1440" w:right="1440" w:bottom="1440" w:left="1440" w:header="720" w:footer="720" w:gutter="0"/>
          <w:cols w:space="720"/>
          <w:docGrid w:linePitch="360"/>
        </w:sectPr>
      </w:pPr>
      <w:r w:rsidRPr="00F171A3">
        <w:rPr>
          <w:color w:val="BFBFBF" w:themeColor="background1" w:themeShade="BF"/>
        </w:rPr>
        <w:t>Sursa: Prelucrare proprie</w:t>
      </w:r>
    </w:p>
    <w:p w14:paraId="46F172E4" w14:textId="18BC2019" w:rsidR="00E747A2" w:rsidRPr="00F171A3" w:rsidRDefault="00F22459" w:rsidP="00AA00C6">
      <w:pPr>
        <w:pStyle w:val="Heading3"/>
        <w:rPr>
          <w:caps w:val="0"/>
          <w:lang w:val="ro-RO"/>
        </w:rPr>
      </w:pPr>
      <w:bookmarkStart w:id="448" w:name="_Toc116643867"/>
      <w:bookmarkStart w:id="449" w:name="_Toc127199313"/>
      <w:r w:rsidRPr="00F171A3">
        <w:rPr>
          <w:caps w:val="0"/>
          <w:lang w:val="ro-RO"/>
        </w:rPr>
        <w:t>FINANȚAREA IMPLEMENTĂRII STRATEGIEI - CARTA INTEGRATĂ A SURSELOR DE FINANȚARE</w:t>
      </w:r>
      <w:bookmarkEnd w:id="441"/>
      <w:bookmarkEnd w:id="448"/>
      <w:bookmarkEnd w:id="449"/>
    </w:p>
    <w:p w14:paraId="7A70E22A" w14:textId="41BA91D1" w:rsidR="00E747A2" w:rsidRPr="00F171A3" w:rsidRDefault="00E747A2" w:rsidP="00E747A2">
      <w:pPr>
        <w:rPr>
          <w:rFonts w:ascii="Calibri" w:eastAsia="Times New Roman" w:hAnsi="Calibri" w:cs="Times New Roman"/>
          <w:bCs/>
        </w:rPr>
      </w:pPr>
      <w:r w:rsidRPr="00F171A3">
        <w:rPr>
          <w:rFonts w:ascii="Calibri" w:eastAsia="Times New Roman" w:hAnsi="Calibri" w:cs="Times New Roman"/>
          <w:bCs/>
        </w:rPr>
        <w:t xml:space="preserve">Sectorul 2 al </w:t>
      </w:r>
      <w:r w:rsidR="00050FAA" w:rsidRPr="00F171A3">
        <w:rPr>
          <w:rFonts w:ascii="Calibri" w:eastAsia="Times New Roman" w:hAnsi="Calibri" w:cs="Times New Roman"/>
          <w:bCs/>
        </w:rPr>
        <w:t>m</w:t>
      </w:r>
      <w:r w:rsidRPr="00F171A3">
        <w:rPr>
          <w:rFonts w:ascii="Calibri" w:eastAsia="Times New Roman" w:hAnsi="Calibri" w:cs="Times New Roman"/>
          <w:bCs/>
        </w:rPr>
        <w:t>unicipiului București și alți actori locali relevanți pentru implementarea SDLID vor beneficia în perioada de programare 2021-2027 de o diversitate de surse de finanțare europene și naționale, ce vor sprijini atât dezvoltarea integrată a teritoriului, cât și domenii sectoriale (ex. inovare, mediu etc.). Deși unele dintre programele europene și naționale pentru următoarea perioadă de programare sunt încă în proces de aprobare, au fost identificate principalele surse de finanțare potențiale aferente obiectivelor strategice, având în vedere informațiile disponibile la momentul elaborării strategiei și portofoliul de proiecte propuse.</w:t>
      </w:r>
    </w:p>
    <w:p w14:paraId="57A168C1" w14:textId="66D07D64" w:rsidR="00E747A2" w:rsidRPr="00F171A3" w:rsidRDefault="009D2E2C" w:rsidP="009D2E2C">
      <w:pPr>
        <w:pStyle w:val="Caption"/>
      </w:pPr>
      <w:bookmarkStart w:id="450" w:name="_Toc126943315"/>
      <w:r w:rsidRPr="00F171A3">
        <w:t xml:space="preserve">Tabel </w:t>
      </w:r>
      <w:r w:rsidRPr="00F171A3">
        <w:fldChar w:fldCharType="begin"/>
      </w:r>
      <w:r w:rsidRPr="00F171A3">
        <w:instrText xml:space="preserve"> SEQ Tabel \* ARABIC </w:instrText>
      </w:r>
      <w:r w:rsidRPr="00F171A3">
        <w:fldChar w:fldCharType="separate"/>
      </w:r>
      <w:r w:rsidR="005A6DD8">
        <w:rPr>
          <w:noProof/>
        </w:rPr>
        <w:t>58</w:t>
      </w:r>
      <w:r w:rsidRPr="00F171A3">
        <w:fldChar w:fldCharType="end"/>
      </w:r>
      <w:r w:rsidR="00E747A2" w:rsidRPr="00F171A3">
        <w:t xml:space="preserve"> </w:t>
      </w:r>
      <w:r w:rsidRPr="00F171A3">
        <w:t>C</w:t>
      </w:r>
      <w:r w:rsidR="00E747A2" w:rsidRPr="00F171A3">
        <w:t>arta integrată a surselor de finanțare</w:t>
      </w:r>
      <w:bookmarkEnd w:id="450"/>
    </w:p>
    <w:tbl>
      <w:tblPr>
        <w:tblStyle w:val="Civittatable7"/>
        <w:tblW w:w="141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296"/>
        <w:gridCol w:w="3094"/>
        <w:gridCol w:w="3409"/>
        <w:gridCol w:w="3103"/>
        <w:gridCol w:w="236"/>
      </w:tblGrid>
      <w:tr w:rsidR="00E747A2" w:rsidRPr="00F171A3" w14:paraId="0B4B1A7A" w14:textId="77777777" w:rsidTr="00963E4C">
        <w:trPr>
          <w:cnfStyle w:val="100000000000" w:firstRow="1" w:lastRow="0" w:firstColumn="0" w:lastColumn="0" w:oddVBand="0" w:evenVBand="0" w:oddHBand="0" w:evenHBand="0" w:firstRowFirstColumn="0" w:firstRowLastColumn="0" w:lastRowFirstColumn="0" w:lastRowLastColumn="0"/>
        </w:trPr>
        <w:tc>
          <w:tcPr>
            <w:tcW w:w="4296" w:type="dxa"/>
            <w:shd w:val="clear" w:color="auto" w:fill="FFFFFF" w:themeFill="background1"/>
          </w:tcPr>
          <w:p w14:paraId="663CABEC" w14:textId="77777777" w:rsidR="00E747A2" w:rsidRPr="00F171A3" w:rsidRDefault="00E747A2" w:rsidP="00F576F5">
            <w:pPr>
              <w:rPr>
                <w:bCs/>
                <w:lang w:eastAsia="ja-JP"/>
              </w:rPr>
            </w:pPr>
          </w:p>
        </w:tc>
        <w:tc>
          <w:tcPr>
            <w:tcW w:w="3094" w:type="dxa"/>
            <w:shd w:val="clear" w:color="auto" w:fill="F2F2F2" w:themeFill="background1" w:themeFillShade="F2"/>
          </w:tcPr>
          <w:p w14:paraId="409C6795" w14:textId="77777777" w:rsidR="00E747A2" w:rsidRPr="00F171A3" w:rsidRDefault="00E747A2" w:rsidP="00F576F5">
            <w:pPr>
              <w:jc w:val="center"/>
              <w:rPr>
                <w:b/>
                <w:bCs/>
                <w:color w:val="134753"/>
                <w:lang w:eastAsia="ja-JP"/>
              </w:rPr>
            </w:pPr>
            <w:r w:rsidRPr="00F171A3">
              <w:rPr>
                <w:b/>
                <w:bCs/>
                <w:color w:val="134753"/>
                <w:lang w:eastAsia="ja-JP"/>
              </w:rPr>
              <w:t>PROGRAME OPERAȚIONALE NAȚIONALE</w:t>
            </w:r>
          </w:p>
        </w:tc>
        <w:tc>
          <w:tcPr>
            <w:tcW w:w="3409" w:type="dxa"/>
            <w:shd w:val="clear" w:color="auto" w:fill="F2F2F2" w:themeFill="background1" w:themeFillShade="F2"/>
          </w:tcPr>
          <w:p w14:paraId="4B3E99B8" w14:textId="77777777" w:rsidR="00E747A2" w:rsidRPr="00F171A3" w:rsidRDefault="00E747A2" w:rsidP="00F576F5">
            <w:pPr>
              <w:jc w:val="center"/>
              <w:rPr>
                <w:b/>
                <w:bCs/>
                <w:color w:val="134753"/>
                <w:lang w:eastAsia="ja-JP"/>
              </w:rPr>
            </w:pPr>
            <w:r w:rsidRPr="00F171A3">
              <w:rPr>
                <w:b/>
                <w:bCs/>
                <w:color w:val="134753"/>
                <w:lang w:eastAsia="ja-JP"/>
              </w:rPr>
              <w:t>FONDURI SUB MAnaGEMENT EUROPEAN DIRECT</w:t>
            </w:r>
          </w:p>
        </w:tc>
        <w:tc>
          <w:tcPr>
            <w:tcW w:w="3103" w:type="dxa"/>
            <w:shd w:val="clear" w:color="auto" w:fill="F2F2F2" w:themeFill="background1" w:themeFillShade="F2"/>
          </w:tcPr>
          <w:p w14:paraId="3B9BF279" w14:textId="77777777" w:rsidR="00E747A2" w:rsidRPr="00F171A3" w:rsidRDefault="00E747A2" w:rsidP="00F576F5">
            <w:pPr>
              <w:jc w:val="center"/>
              <w:rPr>
                <w:b/>
                <w:bCs/>
                <w:color w:val="134753"/>
                <w:lang w:eastAsia="ja-JP"/>
              </w:rPr>
            </w:pPr>
            <w:r w:rsidRPr="00F171A3">
              <w:rPr>
                <w:b/>
                <w:bCs/>
                <w:color w:val="134753"/>
                <w:lang w:eastAsia="ja-JP"/>
              </w:rPr>
              <w:t>Alte surse</w:t>
            </w:r>
          </w:p>
        </w:tc>
        <w:tc>
          <w:tcPr>
            <w:tcW w:w="236" w:type="dxa"/>
            <w:shd w:val="clear" w:color="auto" w:fill="FFFFFF"/>
          </w:tcPr>
          <w:p w14:paraId="68B1E27F" w14:textId="77777777" w:rsidR="00E747A2" w:rsidRPr="00F171A3" w:rsidRDefault="00E747A2" w:rsidP="00F576F5">
            <w:pPr>
              <w:rPr>
                <w:b/>
                <w:bCs/>
                <w:color w:val="134753"/>
                <w:lang w:eastAsia="ja-JP"/>
              </w:rPr>
            </w:pPr>
          </w:p>
        </w:tc>
      </w:tr>
      <w:tr w:rsidR="00E747A2" w:rsidRPr="00F171A3" w14:paraId="2849C4EA" w14:textId="77777777" w:rsidTr="00963E4C">
        <w:trPr>
          <w:gridAfter w:val="1"/>
          <w:cnfStyle w:val="000000100000" w:firstRow="0" w:lastRow="0" w:firstColumn="0" w:lastColumn="0" w:oddVBand="0" w:evenVBand="0" w:oddHBand="1" w:evenHBand="0" w:firstRowFirstColumn="0" w:firstRowLastColumn="0" w:lastRowFirstColumn="0" w:lastRowLastColumn="0"/>
          <w:wAfter w:w="236" w:type="dxa"/>
        </w:trPr>
        <w:tc>
          <w:tcPr>
            <w:tcW w:w="4296" w:type="dxa"/>
            <w:shd w:val="clear" w:color="auto" w:fill="FFFFFF"/>
            <w:vAlign w:val="center"/>
          </w:tcPr>
          <w:p w14:paraId="5B4362DB" w14:textId="67B9AFCE" w:rsidR="00E747A2" w:rsidRPr="00F171A3" w:rsidRDefault="00875D18" w:rsidP="00875D18">
            <w:pPr>
              <w:pStyle w:val="Normal0"/>
              <w:rPr>
                <w:bCs/>
              </w:rPr>
            </w:pPr>
            <w:r w:rsidRPr="00F171A3">
              <w:t>OBIECTIV STRATEGIC O1 – SECTOR PENTRU CETĂȚENI, CU UN CADRU URBAN ATRACTIV ȘI SERVICII PUBLICE MODERNE ȘI PERFORMANTE, CE SUSȚIN DEZVOLTAREA COMUNITĂȚII LOCALE ȘI ASIGURĂ O CALITATE RIDICATĂ A LOCUIRII</w:t>
            </w:r>
          </w:p>
        </w:tc>
        <w:tc>
          <w:tcPr>
            <w:tcW w:w="3094" w:type="dxa"/>
            <w:shd w:val="clear" w:color="auto" w:fill="134753"/>
            <w:vAlign w:val="center"/>
          </w:tcPr>
          <w:p w14:paraId="43344FAA" w14:textId="77777777" w:rsidR="00E747A2" w:rsidRPr="00F171A3" w:rsidRDefault="00E747A2" w:rsidP="00F576F5">
            <w:pPr>
              <w:jc w:val="left"/>
              <w:rPr>
                <w:bCs/>
                <w:lang w:eastAsia="ja-JP"/>
              </w:rPr>
            </w:pPr>
            <w:r w:rsidRPr="00F171A3">
              <w:rPr>
                <w:b/>
                <w:bCs/>
                <w:lang w:eastAsia="ja-JP"/>
              </w:rPr>
              <w:t>Educație</w:t>
            </w:r>
            <w:r w:rsidRPr="00F171A3">
              <w:rPr>
                <w:bCs/>
                <w:lang w:eastAsia="ja-JP"/>
              </w:rPr>
              <w:t>: POR BI (P1, P6), PNRR (C15), POEO (P1,P3,P4, P5, P7, P8)</w:t>
            </w:r>
          </w:p>
          <w:p w14:paraId="48E0FA02" w14:textId="77777777" w:rsidR="00E747A2" w:rsidRPr="00F171A3" w:rsidRDefault="00E747A2" w:rsidP="00F576F5">
            <w:pPr>
              <w:jc w:val="left"/>
              <w:rPr>
                <w:bCs/>
                <w:lang w:eastAsia="ja-JP"/>
              </w:rPr>
            </w:pPr>
            <w:r w:rsidRPr="00F171A3">
              <w:rPr>
                <w:b/>
                <w:bCs/>
                <w:lang w:eastAsia="ja-JP"/>
              </w:rPr>
              <w:t>Sănătate</w:t>
            </w:r>
            <w:r w:rsidRPr="00F171A3">
              <w:rPr>
                <w:bCs/>
                <w:lang w:eastAsia="ja-JP"/>
              </w:rPr>
              <w:t xml:space="preserve">: PNRR (C5, C12), POR BI 2021-2027 (P3,) POIDS (P5, P6), POS </w:t>
            </w:r>
          </w:p>
          <w:p w14:paraId="79E402FA" w14:textId="77777777" w:rsidR="00E747A2" w:rsidRPr="00F171A3" w:rsidRDefault="00E747A2" w:rsidP="00F576F5">
            <w:pPr>
              <w:jc w:val="left"/>
              <w:rPr>
                <w:bCs/>
                <w:lang w:eastAsia="ja-JP"/>
              </w:rPr>
            </w:pPr>
            <w:r w:rsidRPr="00F171A3">
              <w:rPr>
                <w:b/>
                <w:bCs/>
                <w:lang w:eastAsia="ja-JP"/>
              </w:rPr>
              <w:t>Social</w:t>
            </w:r>
            <w:r w:rsidRPr="00F171A3">
              <w:rPr>
                <w:bCs/>
                <w:lang w:eastAsia="ja-JP"/>
              </w:rPr>
              <w:t>: POR BI (P1, P6, P7), PNRR (C10, C13, C15), POIDS (P1, P3, P5,P6, P7, P8), POS (P2), POEO (P1, P3)</w:t>
            </w:r>
          </w:p>
          <w:p w14:paraId="3B53325F" w14:textId="77777777" w:rsidR="00E747A2" w:rsidRPr="00F171A3" w:rsidRDefault="00E747A2" w:rsidP="00F576F5">
            <w:pPr>
              <w:jc w:val="left"/>
              <w:rPr>
                <w:bCs/>
                <w:lang w:eastAsia="ja-JP"/>
              </w:rPr>
            </w:pPr>
            <w:r w:rsidRPr="00F171A3">
              <w:rPr>
                <w:b/>
                <w:lang w:eastAsia="ja-JP"/>
              </w:rPr>
              <w:t>Cultură, sport și timp liber</w:t>
            </w:r>
            <w:r w:rsidRPr="00F171A3">
              <w:rPr>
                <w:bCs/>
                <w:lang w:eastAsia="ja-JP"/>
              </w:rPr>
              <w:t>: CNI, TMI, POR BI (P3, P7), AFCN, CultIn</w:t>
            </w:r>
          </w:p>
          <w:p w14:paraId="01C0429A" w14:textId="77777777" w:rsidR="00E747A2" w:rsidRPr="00F171A3" w:rsidRDefault="00E747A2" w:rsidP="00F576F5">
            <w:pPr>
              <w:jc w:val="left"/>
              <w:rPr>
                <w:bCs/>
                <w:lang w:eastAsia="ja-JP"/>
              </w:rPr>
            </w:pPr>
            <w:r w:rsidRPr="00F171A3">
              <w:rPr>
                <w:b/>
                <w:bCs/>
                <w:lang w:eastAsia="ja-JP"/>
              </w:rPr>
              <w:t xml:space="preserve">Spații publice: </w:t>
            </w:r>
            <w:r w:rsidRPr="00F171A3">
              <w:rPr>
                <w:bCs/>
                <w:lang w:eastAsia="ja-JP"/>
              </w:rPr>
              <w:t xml:space="preserve">POR BI 2021-2027 (P3, P6, P7), PNRR (C5, C10, C15), CNI </w:t>
            </w:r>
          </w:p>
          <w:p w14:paraId="47C7CA7D" w14:textId="77777777" w:rsidR="00E747A2" w:rsidRPr="00F171A3" w:rsidRDefault="00E747A2" w:rsidP="00F576F5">
            <w:pPr>
              <w:jc w:val="left"/>
              <w:rPr>
                <w:bCs/>
                <w:lang w:eastAsia="ja-JP"/>
              </w:rPr>
            </w:pPr>
          </w:p>
        </w:tc>
        <w:tc>
          <w:tcPr>
            <w:tcW w:w="3409" w:type="dxa"/>
            <w:shd w:val="clear" w:color="auto" w:fill="134753"/>
            <w:vAlign w:val="center"/>
          </w:tcPr>
          <w:p w14:paraId="56AFEE42" w14:textId="77777777" w:rsidR="00E747A2" w:rsidRPr="00F171A3" w:rsidRDefault="00E747A2" w:rsidP="00F576F5">
            <w:pPr>
              <w:jc w:val="left"/>
              <w:rPr>
                <w:bCs/>
                <w:lang w:eastAsia="ja-JP"/>
              </w:rPr>
            </w:pPr>
            <w:r w:rsidRPr="00F171A3">
              <w:rPr>
                <w:b/>
                <w:bCs/>
                <w:lang w:eastAsia="ja-JP"/>
              </w:rPr>
              <w:t>Educație</w:t>
            </w:r>
            <w:r w:rsidRPr="00F171A3">
              <w:rPr>
                <w:bCs/>
                <w:lang w:eastAsia="ja-JP"/>
              </w:rPr>
              <w:t>: Erasmus+, Corpul European de Solidaritate, BEI</w:t>
            </w:r>
          </w:p>
          <w:p w14:paraId="36544A72" w14:textId="77777777" w:rsidR="00E747A2" w:rsidRPr="00F171A3" w:rsidRDefault="00E747A2" w:rsidP="00F576F5">
            <w:pPr>
              <w:jc w:val="left"/>
              <w:rPr>
                <w:bCs/>
                <w:lang w:eastAsia="ja-JP"/>
              </w:rPr>
            </w:pPr>
            <w:r w:rsidRPr="00F171A3">
              <w:rPr>
                <w:b/>
                <w:bCs/>
                <w:lang w:eastAsia="ja-JP"/>
              </w:rPr>
              <w:t>Sănătate</w:t>
            </w:r>
            <w:r w:rsidRPr="00F171A3">
              <w:rPr>
                <w:bCs/>
                <w:lang w:eastAsia="ja-JP"/>
              </w:rPr>
              <w:t>: IPA, Interreg, BEI, EU4Health, Orizont Europe, InvestEU</w:t>
            </w:r>
          </w:p>
          <w:p w14:paraId="5AB8C38A" w14:textId="77777777" w:rsidR="00E747A2" w:rsidRPr="00F171A3" w:rsidRDefault="00E747A2" w:rsidP="00F576F5">
            <w:pPr>
              <w:jc w:val="left"/>
              <w:rPr>
                <w:bCs/>
                <w:lang w:eastAsia="ja-JP"/>
              </w:rPr>
            </w:pPr>
            <w:r w:rsidRPr="00F171A3">
              <w:rPr>
                <w:b/>
                <w:bCs/>
                <w:lang w:eastAsia="ja-JP"/>
              </w:rPr>
              <w:t>Social</w:t>
            </w:r>
            <w:r w:rsidRPr="00F171A3">
              <w:rPr>
                <w:bCs/>
                <w:lang w:eastAsia="ja-JP"/>
              </w:rPr>
              <w:t>: InvestEU, Urbact, CERV, BEI, Corpul European de Solidaritate</w:t>
            </w:r>
          </w:p>
          <w:p w14:paraId="7D3273F3" w14:textId="77777777" w:rsidR="00E747A2" w:rsidRPr="00F171A3" w:rsidRDefault="00E747A2" w:rsidP="00F576F5">
            <w:pPr>
              <w:jc w:val="left"/>
              <w:rPr>
                <w:bCs/>
                <w:lang w:eastAsia="ja-JP"/>
              </w:rPr>
            </w:pPr>
            <w:r w:rsidRPr="00F171A3">
              <w:rPr>
                <w:b/>
                <w:lang w:eastAsia="ja-JP"/>
              </w:rPr>
              <w:t>Cultură, sport și timp liber</w:t>
            </w:r>
            <w:r w:rsidRPr="00F171A3">
              <w:rPr>
                <w:bCs/>
                <w:lang w:eastAsia="ja-JP"/>
              </w:rPr>
              <w:t xml:space="preserve"> IPA, Europa Digitală, Europa Creativă, Orizont Europa, Erasmus+, BEI, CERV, InvestEU, UIA</w:t>
            </w:r>
          </w:p>
        </w:tc>
        <w:tc>
          <w:tcPr>
            <w:tcW w:w="3103" w:type="dxa"/>
            <w:shd w:val="clear" w:color="auto" w:fill="134753"/>
            <w:vAlign w:val="center"/>
          </w:tcPr>
          <w:p w14:paraId="139723EC" w14:textId="77777777" w:rsidR="00E747A2" w:rsidRPr="00F171A3" w:rsidRDefault="00E747A2" w:rsidP="00F576F5">
            <w:pPr>
              <w:jc w:val="left"/>
              <w:rPr>
                <w:bCs/>
                <w:highlight w:val="yellow"/>
                <w:lang w:eastAsia="ja-JP"/>
              </w:rPr>
            </w:pPr>
            <w:r w:rsidRPr="00F171A3">
              <w:rPr>
                <w:bCs/>
                <w:lang w:eastAsia="ja-JP"/>
              </w:rPr>
              <w:t xml:space="preserve">Fonduri naționale, Buget local, Granturi SEE și Norvegiene, fonduri private </w:t>
            </w:r>
          </w:p>
        </w:tc>
      </w:tr>
      <w:tr w:rsidR="00E747A2" w:rsidRPr="00F171A3" w14:paraId="31D2771D" w14:textId="77777777" w:rsidTr="00963E4C">
        <w:trPr>
          <w:gridAfter w:val="1"/>
          <w:cnfStyle w:val="000000010000" w:firstRow="0" w:lastRow="0" w:firstColumn="0" w:lastColumn="0" w:oddVBand="0" w:evenVBand="0" w:oddHBand="0" w:evenHBand="1" w:firstRowFirstColumn="0" w:firstRowLastColumn="0" w:lastRowFirstColumn="0" w:lastRowLastColumn="0"/>
          <w:wAfter w:w="236" w:type="dxa"/>
        </w:trPr>
        <w:tc>
          <w:tcPr>
            <w:tcW w:w="4296" w:type="dxa"/>
            <w:shd w:val="clear" w:color="auto" w:fill="FFFFFF"/>
          </w:tcPr>
          <w:p w14:paraId="36FCC9A9" w14:textId="77777777" w:rsidR="00875D18" w:rsidRPr="00F171A3" w:rsidRDefault="00875D18" w:rsidP="00875D18">
            <w:pPr>
              <w:pStyle w:val="Normal0"/>
            </w:pPr>
            <w:r w:rsidRPr="00F171A3">
              <w:t>OBIECTIV STRATEGIC O2 – SECTOR COMPETITIV ȘI INOVATOR, ATRACTIV PENTRU FORȚA DE MUNCĂ, ANTREPRENORIAT ȘI INVESTIȚII ÎN DOMENII CU VALOARE ADĂUGATĂ MARE</w:t>
            </w:r>
          </w:p>
          <w:p w14:paraId="311416FB" w14:textId="5F535B1A" w:rsidR="00E747A2" w:rsidRPr="00F171A3" w:rsidRDefault="00E747A2" w:rsidP="00F576F5">
            <w:pPr>
              <w:rPr>
                <w:bCs/>
                <w:lang w:eastAsia="ja-JP"/>
              </w:rPr>
            </w:pPr>
          </w:p>
        </w:tc>
        <w:tc>
          <w:tcPr>
            <w:tcW w:w="3094" w:type="dxa"/>
            <w:shd w:val="clear" w:color="auto" w:fill="134753"/>
            <w:vAlign w:val="center"/>
          </w:tcPr>
          <w:p w14:paraId="6AC26A15" w14:textId="77777777" w:rsidR="00E747A2" w:rsidRPr="00F171A3" w:rsidRDefault="00E747A2" w:rsidP="00F576F5">
            <w:pPr>
              <w:jc w:val="left"/>
              <w:rPr>
                <w:bCs/>
                <w:lang w:eastAsia="ja-JP"/>
              </w:rPr>
            </w:pPr>
            <w:r w:rsidRPr="00F171A3">
              <w:rPr>
                <w:b/>
                <w:lang w:eastAsia="ja-JP"/>
              </w:rPr>
              <w:t>Economie</w:t>
            </w:r>
            <w:r w:rsidRPr="00F171A3">
              <w:rPr>
                <w:bCs/>
                <w:lang w:eastAsia="ja-JP"/>
              </w:rPr>
              <w:t>: POR BI (P1, P2, P7), PNRR (C9,C10), POEO (P2, P3, P4) POCIDIF (P1)</w:t>
            </w:r>
          </w:p>
        </w:tc>
        <w:tc>
          <w:tcPr>
            <w:tcW w:w="3409" w:type="dxa"/>
            <w:shd w:val="clear" w:color="auto" w:fill="134753"/>
            <w:vAlign w:val="center"/>
          </w:tcPr>
          <w:p w14:paraId="3F6C8BBC" w14:textId="77777777" w:rsidR="00E747A2" w:rsidRPr="00F171A3" w:rsidRDefault="00E747A2" w:rsidP="00F576F5">
            <w:pPr>
              <w:jc w:val="left"/>
              <w:rPr>
                <w:bCs/>
                <w:highlight w:val="yellow"/>
                <w:lang w:eastAsia="ja-JP"/>
              </w:rPr>
            </w:pPr>
            <w:r w:rsidRPr="00F171A3">
              <w:rPr>
                <w:bCs/>
                <w:lang w:eastAsia="ja-JP"/>
              </w:rPr>
              <w:t>Orizont Europa, InvestEU, LIFE, Europa Digitală, BEI, Europa Creativă, Fondul pentru Inovare</w:t>
            </w:r>
          </w:p>
        </w:tc>
        <w:tc>
          <w:tcPr>
            <w:tcW w:w="3103" w:type="dxa"/>
            <w:shd w:val="clear" w:color="auto" w:fill="134753"/>
            <w:vAlign w:val="center"/>
          </w:tcPr>
          <w:p w14:paraId="4239788C" w14:textId="77777777" w:rsidR="00E747A2" w:rsidRPr="00F171A3" w:rsidRDefault="00E747A2" w:rsidP="00F576F5">
            <w:pPr>
              <w:jc w:val="left"/>
              <w:rPr>
                <w:bCs/>
                <w:highlight w:val="yellow"/>
                <w:lang w:eastAsia="ja-JP"/>
              </w:rPr>
            </w:pPr>
            <w:r w:rsidRPr="00F171A3">
              <w:rPr>
                <w:bCs/>
                <w:lang w:eastAsia="ja-JP"/>
              </w:rPr>
              <w:t>Fonduri naționale, Buget local, Granturi SEE și Norvegiene, fonduri private</w:t>
            </w:r>
          </w:p>
        </w:tc>
      </w:tr>
      <w:tr w:rsidR="00E747A2" w:rsidRPr="00F171A3" w14:paraId="024E0D30" w14:textId="77777777" w:rsidTr="00963E4C">
        <w:trPr>
          <w:gridAfter w:val="1"/>
          <w:cnfStyle w:val="000000100000" w:firstRow="0" w:lastRow="0" w:firstColumn="0" w:lastColumn="0" w:oddVBand="0" w:evenVBand="0" w:oddHBand="1" w:evenHBand="0" w:firstRowFirstColumn="0" w:firstRowLastColumn="0" w:lastRowFirstColumn="0" w:lastRowLastColumn="0"/>
          <w:wAfter w:w="236" w:type="dxa"/>
        </w:trPr>
        <w:tc>
          <w:tcPr>
            <w:tcW w:w="4296" w:type="dxa"/>
            <w:shd w:val="clear" w:color="auto" w:fill="FFFFFF"/>
            <w:vAlign w:val="center"/>
          </w:tcPr>
          <w:p w14:paraId="73D380E1" w14:textId="77777777" w:rsidR="00875D18" w:rsidRPr="00F171A3" w:rsidRDefault="00875D18" w:rsidP="00875D18">
            <w:pPr>
              <w:pStyle w:val="Normal0"/>
            </w:pPr>
            <w:r w:rsidRPr="00F171A3">
              <w:t>OBIECTIV STRATEGIC O3 -  SECTOR NEUTRU DIN PUNCT DE VEDERE CLIMATIC, CU O INFRASTRUCTURĂ EFICIENTĂ ȘI MODERNĂ</w:t>
            </w:r>
          </w:p>
          <w:p w14:paraId="72306EB8" w14:textId="1BDAF03B" w:rsidR="00E747A2" w:rsidRPr="00F171A3" w:rsidRDefault="00E747A2" w:rsidP="00F576F5">
            <w:pPr>
              <w:jc w:val="left"/>
              <w:rPr>
                <w:bCs/>
                <w:lang w:eastAsia="ja-JP"/>
              </w:rPr>
            </w:pPr>
          </w:p>
        </w:tc>
        <w:tc>
          <w:tcPr>
            <w:tcW w:w="3094" w:type="dxa"/>
            <w:shd w:val="clear" w:color="auto" w:fill="134753"/>
            <w:vAlign w:val="center"/>
          </w:tcPr>
          <w:p w14:paraId="47148B38" w14:textId="77777777" w:rsidR="00E747A2" w:rsidRPr="00F171A3" w:rsidRDefault="00E747A2" w:rsidP="00F576F5">
            <w:pPr>
              <w:jc w:val="left"/>
              <w:rPr>
                <w:bCs/>
                <w:lang w:eastAsia="ja-JP"/>
              </w:rPr>
            </w:pPr>
            <w:r w:rsidRPr="00F171A3">
              <w:rPr>
                <w:b/>
                <w:lang w:eastAsia="ja-JP"/>
              </w:rPr>
              <w:t>Mediu</w:t>
            </w:r>
            <w:r w:rsidRPr="00F171A3">
              <w:rPr>
                <w:bCs/>
                <w:lang w:eastAsia="ja-JP"/>
              </w:rPr>
              <w:t>: POR BI (P3, P4, P5, P7), PODD (P2, P4), PNRR (C4, C10), AFM, PNI Anghel Saligny, POIM.</w:t>
            </w:r>
          </w:p>
          <w:p w14:paraId="7A2DBF47" w14:textId="77777777" w:rsidR="00E747A2" w:rsidRPr="00F171A3" w:rsidRDefault="00E747A2" w:rsidP="00F576F5">
            <w:pPr>
              <w:jc w:val="left"/>
              <w:rPr>
                <w:bCs/>
                <w:lang w:eastAsia="ja-JP"/>
              </w:rPr>
            </w:pPr>
            <w:r w:rsidRPr="00F171A3">
              <w:rPr>
                <w:b/>
                <w:lang w:eastAsia="ja-JP"/>
              </w:rPr>
              <w:t>Mobilitate</w:t>
            </w:r>
            <w:r w:rsidRPr="00F171A3">
              <w:rPr>
                <w:bCs/>
                <w:lang w:eastAsia="ja-JP"/>
              </w:rPr>
              <w:t>: PNRR (C4, C10), POR BI (P4, P5), AFM, PNI Anghel Saligny,</w:t>
            </w:r>
          </w:p>
        </w:tc>
        <w:tc>
          <w:tcPr>
            <w:tcW w:w="3409" w:type="dxa"/>
            <w:shd w:val="clear" w:color="auto" w:fill="134753"/>
            <w:vAlign w:val="center"/>
          </w:tcPr>
          <w:p w14:paraId="48100220" w14:textId="77777777" w:rsidR="00E747A2" w:rsidRPr="00F171A3" w:rsidRDefault="00E747A2" w:rsidP="00F576F5">
            <w:pPr>
              <w:jc w:val="left"/>
              <w:rPr>
                <w:bCs/>
                <w:lang w:eastAsia="ja-JP"/>
              </w:rPr>
            </w:pPr>
            <w:r w:rsidRPr="00F171A3">
              <w:rPr>
                <w:b/>
                <w:lang w:eastAsia="ja-JP"/>
              </w:rPr>
              <w:t>Mediu</w:t>
            </w:r>
            <w:r w:rsidRPr="00F171A3">
              <w:rPr>
                <w:bCs/>
                <w:lang w:eastAsia="ja-JP"/>
              </w:rPr>
              <w:t>: Interreg, IPA, InvestEU, LIFE, BEI, LIFE (Clean Energy Transition), CEF, Fondul pentru Inovare, Orizont Europa, EEEF</w:t>
            </w:r>
          </w:p>
          <w:p w14:paraId="292E5EDE" w14:textId="77777777" w:rsidR="00E747A2" w:rsidRPr="00F171A3" w:rsidRDefault="00E747A2" w:rsidP="00F576F5">
            <w:pPr>
              <w:jc w:val="left"/>
              <w:rPr>
                <w:bCs/>
                <w:lang w:eastAsia="ja-JP"/>
              </w:rPr>
            </w:pPr>
            <w:r w:rsidRPr="00F171A3">
              <w:rPr>
                <w:b/>
                <w:lang w:eastAsia="ja-JP"/>
              </w:rPr>
              <w:t>Mobilitate</w:t>
            </w:r>
            <w:r w:rsidRPr="00F171A3">
              <w:rPr>
                <w:bCs/>
                <w:lang w:eastAsia="ja-JP"/>
              </w:rPr>
              <w:t>: Interreg, IPA III, InvestEU, CEF, BEI</w:t>
            </w:r>
          </w:p>
        </w:tc>
        <w:tc>
          <w:tcPr>
            <w:tcW w:w="3103" w:type="dxa"/>
            <w:shd w:val="clear" w:color="auto" w:fill="134753"/>
            <w:vAlign w:val="center"/>
          </w:tcPr>
          <w:p w14:paraId="72FA2AEF" w14:textId="77777777" w:rsidR="00E747A2" w:rsidRPr="00F171A3" w:rsidRDefault="00E747A2" w:rsidP="00F576F5">
            <w:pPr>
              <w:jc w:val="left"/>
              <w:rPr>
                <w:bCs/>
                <w:highlight w:val="yellow"/>
                <w:lang w:eastAsia="ja-JP"/>
              </w:rPr>
            </w:pPr>
            <w:r w:rsidRPr="00F171A3">
              <w:rPr>
                <w:bCs/>
                <w:lang w:eastAsia="ja-JP"/>
              </w:rPr>
              <w:t>Fonduri naționale, Buget local, Granturi SEE și Norvegiene, Administrația Fondului pentru mediu, fonduri private</w:t>
            </w:r>
          </w:p>
        </w:tc>
      </w:tr>
      <w:tr w:rsidR="00E747A2" w:rsidRPr="00F171A3" w14:paraId="337F5A5C" w14:textId="77777777" w:rsidTr="00963E4C">
        <w:trPr>
          <w:gridAfter w:val="1"/>
          <w:cnfStyle w:val="000000010000" w:firstRow="0" w:lastRow="0" w:firstColumn="0" w:lastColumn="0" w:oddVBand="0" w:evenVBand="0" w:oddHBand="0" w:evenHBand="1" w:firstRowFirstColumn="0" w:firstRowLastColumn="0" w:lastRowFirstColumn="0" w:lastRowLastColumn="0"/>
          <w:wAfter w:w="236" w:type="dxa"/>
        </w:trPr>
        <w:tc>
          <w:tcPr>
            <w:tcW w:w="4296" w:type="dxa"/>
            <w:shd w:val="clear" w:color="auto" w:fill="FFFFFF"/>
          </w:tcPr>
          <w:p w14:paraId="465F60AA" w14:textId="77777777" w:rsidR="00875D18" w:rsidRPr="00F171A3" w:rsidRDefault="00875D18" w:rsidP="00875D18">
            <w:pPr>
              <w:pStyle w:val="Normal0"/>
            </w:pPr>
            <w:r w:rsidRPr="00F171A3">
              <w:t>OBIECTIV STRATEGIC O4 -  ADMINISTRAȚIE PUBLICĂ LOCALĂ PERFORMANTĂ CE SPRIJINĂ DEZVOLTAREA DURABILĂ PRIN DESCHIDERE ȘI TRANSPARENȚĂ, ÎNCURAJAREA PARTICIPĂRII TUTUROR CETĂȚENILOR ÎN PROCESELE DE DECIZIE ȘI FOLOSIREA NOILOR TEHNOLOGII</w:t>
            </w:r>
          </w:p>
          <w:p w14:paraId="075C8F62" w14:textId="393EBD9C" w:rsidR="00E747A2" w:rsidRPr="00F171A3" w:rsidRDefault="00E747A2" w:rsidP="00F576F5">
            <w:pPr>
              <w:rPr>
                <w:bCs/>
                <w:lang w:eastAsia="ja-JP"/>
              </w:rPr>
            </w:pPr>
          </w:p>
        </w:tc>
        <w:tc>
          <w:tcPr>
            <w:tcW w:w="3094" w:type="dxa"/>
            <w:shd w:val="clear" w:color="auto" w:fill="134753"/>
            <w:vAlign w:val="center"/>
          </w:tcPr>
          <w:p w14:paraId="04F544C6" w14:textId="77777777" w:rsidR="00E747A2" w:rsidRPr="00F171A3" w:rsidRDefault="00E747A2" w:rsidP="00F576F5">
            <w:pPr>
              <w:jc w:val="left"/>
              <w:rPr>
                <w:bCs/>
                <w:lang w:eastAsia="ja-JP"/>
              </w:rPr>
            </w:pPr>
            <w:r w:rsidRPr="00F171A3">
              <w:rPr>
                <w:b/>
                <w:lang w:eastAsia="ja-JP"/>
              </w:rPr>
              <w:t>Capacitate administrativă</w:t>
            </w:r>
            <w:r w:rsidRPr="00F171A3">
              <w:rPr>
                <w:bCs/>
                <w:lang w:eastAsia="ja-JP"/>
              </w:rPr>
              <w:t>: CFM, POCIDIF, PNRR (C7), POR BI</w:t>
            </w:r>
          </w:p>
        </w:tc>
        <w:tc>
          <w:tcPr>
            <w:tcW w:w="3409" w:type="dxa"/>
            <w:shd w:val="clear" w:color="auto" w:fill="134753"/>
            <w:vAlign w:val="center"/>
          </w:tcPr>
          <w:p w14:paraId="505C23CE" w14:textId="77777777" w:rsidR="00E747A2" w:rsidRPr="00F171A3" w:rsidRDefault="00E747A2" w:rsidP="00F576F5">
            <w:pPr>
              <w:jc w:val="left"/>
              <w:rPr>
                <w:bCs/>
                <w:highlight w:val="yellow"/>
                <w:lang w:eastAsia="ja-JP"/>
              </w:rPr>
            </w:pPr>
            <w:r w:rsidRPr="00F171A3">
              <w:rPr>
                <w:bCs/>
                <w:lang w:eastAsia="ja-JP"/>
              </w:rPr>
              <w:t>Interreg, CERV, LIFE, Erasmus+, Europa Creativă, Corpul European de Solidaritate, Europa Digitală, CFM</w:t>
            </w:r>
          </w:p>
        </w:tc>
        <w:tc>
          <w:tcPr>
            <w:tcW w:w="3103" w:type="dxa"/>
            <w:shd w:val="clear" w:color="auto" w:fill="134753"/>
            <w:vAlign w:val="center"/>
          </w:tcPr>
          <w:p w14:paraId="79D67625" w14:textId="77777777" w:rsidR="00E747A2" w:rsidRPr="00F171A3" w:rsidRDefault="00E747A2" w:rsidP="00F576F5">
            <w:pPr>
              <w:jc w:val="left"/>
              <w:rPr>
                <w:bCs/>
                <w:highlight w:val="yellow"/>
                <w:lang w:eastAsia="ja-JP"/>
              </w:rPr>
            </w:pPr>
            <w:r w:rsidRPr="00F171A3">
              <w:rPr>
                <w:bCs/>
                <w:lang w:eastAsia="ja-JP"/>
              </w:rPr>
              <w:t>Fonduri naționale, Buget local, fonduri private</w:t>
            </w:r>
          </w:p>
        </w:tc>
      </w:tr>
    </w:tbl>
    <w:p w14:paraId="37BA4B12" w14:textId="26C09FE1" w:rsidR="00E747A2" w:rsidRPr="00F171A3" w:rsidRDefault="00E747A2" w:rsidP="002278A7">
      <w:pPr>
        <w:jc w:val="right"/>
        <w:rPr>
          <w:color w:val="BFBFBF" w:themeColor="background1" w:themeShade="BF"/>
        </w:rPr>
      </w:pPr>
      <w:r w:rsidRPr="00F171A3">
        <w:rPr>
          <w:color w:val="BFBFBF" w:themeColor="background1" w:themeShade="BF"/>
        </w:rPr>
        <w:t xml:space="preserve">Sursa: </w:t>
      </w:r>
      <w:r w:rsidR="002278A7" w:rsidRPr="00F171A3">
        <w:rPr>
          <w:color w:val="BFBFBF" w:themeColor="background1" w:themeShade="BF"/>
        </w:rPr>
        <w:t>P</w:t>
      </w:r>
      <w:r w:rsidRPr="00F171A3">
        <w:rPr>
          <w:color w:val="BFBFBF" w:themeColor="background1" w:themeShade="BF"/>
        </w:rPr>
        <w:t>relucrare proprie</w:t>
      </w:r>
    </w:p>
    <w:p w14:paraId="00DECE9B" w14:textId="77777777" w:rsidR="00E747A2" w:rsidRPr="00F171A3" w:rsidRDefault="00E747A2" w:rsidP="00E747A2"/>
    <w:p w14:paraId="7EA8B458" w14:textId="77777777" w:rsidR="00E747A2" w:rsidRPr="00F171A3" w:rsidRDefault="00E747A2" w:rsidP="00E747A2"/>
    <w:p w14:paraId="291BA256" w14:textId="77777777" w:rsidR="00E747A2" w:rsidRPr="00F171A3" w:rsidRDefault="00E747A2" w:rsidP="00E747A2"/>
    <w:p w14:paraId="242F80C1" w14:textId="77777777" w:rsidR="00E747A2" w:rsidRPr="00F171A3" w:rsidRDefault="00E747A2" w:rsidP="00E747A2"/>
    <w:p w14:paraId="4D6B38D7" w14:textId="77777777" w:rsidR="00E747A2" w:rsidRPr="00F171A3" w:rsidRDefault="00E747A2" w:rsidP="00E747A2"/>
    <w:p w14:paraId="257069F2" w14:textId="77777777" w:rsidR="00E747A2" w:rsidRPr="00F171A3" w:rsidRDefault="00E747A2" w:rsidP="00E747A2"/>
    <w:p w14:paraId="649D3A96" w14:textId="77777777" w:rsidR="00E747A2" w:rsidRPr="00F171A3" w:rsidRDefault="00E747A2" w:rsidP="00E747A2">
      <w:pPr>
        <w:tabs>
          <w:tab w:val="left" w:pos="1560"/>
        </w:tabs>
      </w:pPr>
      <w:r w:rsidRPr="00F171A3">
        <w:tab/>
      </w:r>
    </w:p>
    <w:p w14:paraId="4E922C4C" w14:textId="77777777" w:rsidR="00C65BFA" w:rsidRPr="00F171A3" w:rsidRDefault="00C65BFA" w:rsidP="00C65BFA">
      <w:pPr>
        <w:pStyle w:val="Heading2"/>
        <w:numPr>
          <w:ilvl w:val="0"/>
          <w:numId w:val="0"/>
        </w:numPr>
        <w:rPr>
          <w:lang w:val="ro-RO"/>
        </w:rPr>
        <w:sectPr w:rsidR="00C65BFA" w:rsidRPr="00F171A3" w:rsidSect="00C65BFA">
          <w:pgSz w:w="16839" w:h="11907" w:orient="landscape" w:code="9"/>
          <w:pgMar w:top="1022" w:right="1152" w:bottom="1440" w:left="1440" w:header="706" w:footer="288" w:gutter="0"/>
          <w:cols w:space="708"/>
          <w:titlePg/>
          <w:docGrid w:linePitch="360"/>
        </w:sectPr>
      </w:pPr>
      <w:bookmarkStart w:id="451" w:name="_Toc116643868"/>
    </w:p>
    <w:p w14:paraId="2585A1F3" w14:textId="77777777" w:rsidR="00C65BFA" w:rsidRPr="00F171A3" w:rsidRDefault="00C65BFA" w:rsidP="00F22459"/>
    <w:p w14:paraId="0E9A5D54" w14:textId="6BD31392" w:rsidR="00E747A2" w:rsidRPr="00F171A3" w:rsidRDefault="00E747A2" w:rsidP="00E747A2">
      <w:pPr>
        <w:pStyle w:val="Heading2"/>
        <w:rPr>
          <w:caps w:val="0"/>
          <w:lang w:val="ro-RO"/>
        </w:rPr>
      </w:pPr>
      <w:bookmarkStart w:id="452" w:name="_Toc127199314"/>
      <w:r w:rsidRPr="00F171A3">
        <w:rPr>
          <w:caps w:val="0"/>
          <w:lang w:val="ro-RO"/>
        </w:rPr>
        <w:t>PORTOFOLIUL DE PROIECTE</w:t>
      </w:r>
      <w:bookmarkEnd w:id="451"/>
      <w:bookmarkEnd w:id="452"/>
    </w:p>
    <w:p w14:paraId="1BA2B763" w14:textId="61CDA7C8" w:rsidR="00693955" w:rsidRDefault="00693955" w:rsidP="00693955">
      <w:pPr>
        <w:pStyle w:val="Heading3"/>
        <w:rPr>
          <w:rStyle w:val="Heading3Char"/>
          <w:caps/>
          <w:lang w:val="ro-RO"/>
        </w:rPr>
      </w:pPr>
      <w:bookmarkStart w:id="453" w:name="_Toc127199315"/>
      <w:r w:rsidRPr="00F171A3">
        <w:rPr>
          <w:rStyle w:val="Heading3Char"/>
          <w:caps/>
          <w:lang w:val="ro-RO"/>
        </w:rPr>
        <w:t>OBIECTIV STRATEGIC O1 – SECTOR PENTRU CETĂȚENI, CU UN CADRU URBAN ATRACTIV ȘI SERVICII PUBLICE MODERNE ȘI PERFORMANTE, CE SUSȚIN DEZVOLTAREA COMUNITĂȚII LOCALE ȘI ASIGURĂ O CALITATE RIDICATĂ A LOCUIRII</w:t>
      </w:r>
      <w:bookmarkEnd w:id="453"/>
      <w:r w:rsidRPr="00F171A3">
        <w:rPr>
          <w:rStyle w:val="Heading3Char"/>
          <w:caps/>
          <w:lang w:val="ro-RO"/>
        </w:rPr>
        <w:t xml:space="preserve"> </w:t>
      </w:r>
    </w:p>
    <w:p w14:paraId="29AA8F68" w14:textId="19A44F6F" w:rsidR="00F45A10" w:rsidRDefault="00F45A10" w:rsidP="00F45A10"/>
    <w:tbl>
      <w:tblPr>
        <w:tblStyle w:val="TableGrid3"/>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F2F2"/>
        <w:tblLayout w:type="fixed"/>
        <w:tblLook w:val="04A0" w:firstRow="1" w:lastRow="0" w:firstColumn="1" w:lastColumn="0" w:noHBand="0" w:noVBand="1"/>
      </w:tblPr>
      <w:tblGrid>
        <w:gridCol w:w="585"/>
        <w:gridCol w:w="219"/>
        <w:gridCol w:w="2679"/>
        <w:gridCol w:w="1822"/>
        <w:gridCol w:w="1444"/>
        <w:gridCol w:w="1347"/>
        <w:gridCol w:w="1170"/>
        <w:gridCol w:w="988"/>
        <w:gridCol w:w="68"/>
        <w:gridCol w:w="1310"/>
        <w:gridCol w:w="1233"/>
        <w:gridCol w:w="1372"/>
      </w:tblGrid>
      <w:tr w:rsidR="00943643" w:rsidRPr="00912996" w14:paraId="293A2D2C" w14:textId="77777777" w:rsidTr="00E16711">
        <w:trPr>
          <w:trHeight w:val="1185"/>
        </w:trPr>
        <w:tc>
          <w:tcPr>
            <w:tcW w:w="282" w:type="pct"/>
            <w:gridSpan w:val="2"/>
            <w:shd w:val="clear" w:color="auto" w:fill="134753"/>
            <w:vAlign w:val="center"/>
            <w:hideMark/>
          </w:tcPr>
          <w:p w14:paraId="0F73578D" w14:textId="70223DF7" w:rsidR="00943643" w:rsidRPr="00912996" w:rsidRDefault="00943643" w:rsidP="00292396">
            <w:pPr>
              <w:jc w:val="center"/>
              <w:rPr>
                <w:rFonts w:ascii="Calibri" w:hAnsi="Calibri"/>
                <w:b/>
                <w:bCs/>
                <w:lang w:eastAsia="ja-JP"/>
              </w:rPr>
            </w:pPr>
            <w:r w:rsidRPr="00F171A3">
              <w:rPr>
                <w:rFonts w:ascii="Calibri" w:hAnsi="Calibri"/>
                <w:b/>
                <w:bCs/>
                <w:lang w:eastAsia="ja-JP"/>
              </w:rPr>
              <w:t>NR. CRT.</w:t>
            </w:r>
          </w:p>
        </w:tc>
        <w:tc>
          <w:tcPr>
            <w:tcW w:w="941" w:type="pct"/>
            <w:shd w:val="clear" w:color="auto" w:fill="134753"/>
            <w:vAlign w:val="center"/>
            <w:hideMark/>
          </w:tcPr>
          <w:p w14:paraId="56F26415" w14:textId="3DAD1F17" w:rsidR="00943643" w:rsidRPr="00912996" w:rsidRDefault="00943643" w:rsidP="00943643">
            <w:pPr>
              <w:jc w:val="center"/>
              <w:rPr>
                <w:rFonts w:ascii="Calibri" w:hAnsi="Calibri"/>
                <w:b/>
                <w:bCs/>
                <w:lang w:eastAsia="ja-JP"/>
              </w:rPr>
            </w:pPr>
            <w:r w:rsidRPr="00F171A3">
              <w:rPr>
                <w:rFonts w:ascii="Calibri" w:hAnsi="Calibri"/>
                <w:b/>
                <w:bCs/>
                <w:lang w:eastAsia="ja-JP"/>
              </w:rPr>
              <w:t>TITLU PROGRAM/PROIECT</w:t>
            </w:r>
          </w:p>
        </w:tc>
        <w:tc>
          <w:tcPr>
            <w:tcW w:w="640" w:type="pct"/>
            <w:shd w:val="clear" w:color="auto" w:fill="134753"/>
            <w:vAlign w:val="center"/>
            <w:hideMark/>
          </w:tcPr>
          <w:p w14:paraId="2BF66BBF" w14:textId="36CDDD38" w:rsidR="00943643" w:rsidRPr="00912996" w:rsidRDefault="00943643" w:rsidP="00943643">
            <w:pPr>
              <w:jc w:val="center"/>
              <w:rPr>
                <w:rFonts w:ascii="Calibri" w:hAnsi="Calibri"/>
                <w:b/>
                <w:bCs/>
                <w:lang w:eastAsia="ja-JP"/>
              </w:rPr>
            </w:pPr>
            <w:r w:rsidRPr="00F171A3">
              <w:rPr>
                <w:rFonts w:ascii="Calibri" w:hAnsi="Calibri"/>
                <w:b/>
                <w:bCs/>
                <w:lang w:eastAsia="ja-JP"/>
              </w:rPr>
              <w:t>RESPONSABILI ȘI POSIBILI PARTENERI</w:t>
            </w:r>
          </w:p>
        </w:tc>
        <w:tc>
          <w:tcPr>
            <w:tcW w:w="507" w:type="pct"/>
            <w:shd w:val="clear" w:color="auto" w:fill="134753"/>
            <w:vAlign w:val="center"/>
            <w:hideMark/>
          </w:tcPr>
          <w:p w14:paraId="27904A5E" w14:textId="7F3B2E35" w:rsidR="00943643" w:rsidRPr="00912996" w:rsidRDefault="00943643" w:rsidP="00943643">
            <w:pPr>
              <w:jc w:val="center"/>
              <w:rPr>
                <w:rFonts w:ascii="Calibri" w:hAnsi="Calibri"/>
                <w:b/>
                <w:bCs/>
                <w:lang w:eastAsia="ja-JP"/>
              </w:rPr>
            </w:pPr>
            <w:r w:rsidRPr="00F171A3">
              <w:rPr>
                <w:rFonts w:ascii="Calibri" w:hAnsi="Calibri"/>
                <w:b/>
                <w:bCs/>
                <w:lang w:eastAsia="ja-JP"/>
              </w:rPr>
              <w:t xml:space="preserve">GRAD DE MATURITATE </w:t>
            </w:r>
            <w:r w:rsidRPr="00F171A3">
              <w:rPr>
                <w:rStyle w:val="FootnoteReference"/>
                <w:rFonts w:ascii="Calibri" w:hAnsi="Calibri"/>
                <w:b/>
                <w:bCs/>
                <w:lang w:eastAsia="ja-JP"/>
              </w:rPr>
              <w:footnoteReference w:id="173"/>
            </w:r>
          </w:p>
        </w:tc>
        <w:tc>
          <w:tcPr>
            <w:tcW w:w="473" w:type="pct"/>
            <w:shd w:val="clear" w:color="auto" w:fill="134753"/>
            <w:vAlign w:val="center"/>
            <w:hideMark/>
          </w:tcPr>
          <w:p w14:paraId="6581B2AA" w14:textId="638B647D" w:rsidR="00943643" w:rsidRPr="00912996" w:rsidRDefault="00943643" w:rsidP="00943643">
            <w:pPr>
              <w:jc w:val="center"/>
              <w:rPr>
                <w:rFonts w:ascii="Calibri" w:hAnsi="Calibri"/>
                <w:b/>
                <w:bCs/>
                <w:lang w:eastAsia="ja-JP"/>
              </w:rPr>
            </w:pPr>
            <w:r w:rsidRPr="00F171A3">
              <w:rPr>
                <w:rFonts w:ascii="Calibri" w:hAnsi="Calibri"/>
                <w:b/>
                <w:bCs/>
                <w:lang w:eastAsia="ja-JP"/>
              </w:rPr>
              <w:t>VALOARE ESTIMATĂ (RON)</w:t>
            </w:r>
          </w:p>
        </w:tc>
        <w:tc>
          <w:tcPr>
            <w:tcW w:w="411" w:type="pct"/>
            <w:shd w:val="clear" w:color="auto" w:fill="134753"/>
            <w:vAlign w:val="center"/>
            <w:hideMark/>
          </w:tcPr>
          <w:p w14:paraId="3BB01EA4" w14:textId="5531F40E" w:rsidR="00943643" w:rsidRPr="00912996" w:rsidRDefault="00943643" w:rsidP="00943643">
            <w:pPr>
              <w:jc w:val="center"/>
              <w:rPr>
                <w:rFonts w:ascii="Calibri" w:hAnsi="Calibri"/>
                <w:b/>
                <w:bCs/>
                <w:lang w:eastAsia="ja-JP"/>
              </w:rPr>
            </w:pPr>
            <w:r w:rsidRPr="00F171A3">
              <w:rPr>
                <w:rFonts w:ascii="Calibri" w:hAnsi="Calibri"/>
                <w:b/>
                <w:bCs/>
                <w:lang w:eastAsia="ja-JP"/>
              </w:rPr>
              <w:t xml:space="preserve">VALOARE ESTIMATĂ (EUR) </w:t>
            </w:r>
            <w:r w:rsidRPr="00F171A3">
              <w:rPr>
                <w:rFonts w:ascii="Calibri" w:hAnsi="Calibri"/>
                <w:b/>
                <w:bCs/>
                <w:lang w:eastAsia="ja-JP"/>
              </w:rPr>
              <w:br/>
            </w:r>
            <w:r w:rsidRPr="00F171A3">
              <w:rPr>
                <w:rFonts w:ascii="Calibri" w:hAnsi="Calibri"/>
                <w:b/>
                <w:bCs/>
                <w:lang w:eastAsia="ja-JP"/>
              </w:rPr>
              <w:br/>
            </w:r>
            <w:r w:rsidRPr="00F171A3">
              <w:rPr>
                <w:rFonts w:ascii="Calibri" w:hAnsi="Calibri"/>
                <w:b/>
                <w:bCs/>
                <w:i/>
                <w:iCs/>
                <w:lang w:eastAsia="ja-JP"/>
              </w:rPr>
              <w:t>* 1 EUR = 4.9 LEI</w:t>
            </w:r>
          </w:p>
        </w:tc>
        <w:tc>
          <w:tcPr>
            <w:tcW w:w="371" w:type="pct"/>
            <w:gridSpan w:val="2"/>
            <w:shd w:val="clear" w:color="auto" w:fill="134753"/>
            <w:vAlign w:val="center"/>
            <w:hideMark/>
          </w:tcPr>
          <w:p w14:paraId="6E944F38" w14:textId="7BD23224" w:rsidR="00943643" w:rsidRPr="00912996" w:rsidRDefault="00943643" w:rsidP="00943643">
            <w:pPr>
              <w:jc w:val="center"/>
              <w:rPr>
                <w:rFonts w:ascii="Calibri" w:hAnsi="Calibri"/>
                <w:b/>
                <w:bCs/>
                <w:lang w:eastAsia="ja-JP"/>
              </w:rPr>
            </w:pPr>
            <w:r w:rsidRPr="00F171A3">
              <w:rPr>
                <w:rFonts w:ascii="Calibri" w:hAnsi="Calibri"/>
                <w:b/>
                <w:bCs/>
                <w:lang w:eastAsia="ja-JP"/>
              </w:rPr>
              <w:t>ORIZONT DE TIMP</w:t>
            </w:r>
          </w:p>
        </w:tc>
        <w:tc>
          <w:tcPr>
            <w:tcW w:w="460" w:type="pct"/>
            <w:shd w:val="clear" w:color="auto" w:fill="134753"/>
            <w:vAlign w:val="center"/>
            <w:hideMark/>
          </w:tcPr>
          <w:p w14:paraId="4AB008C9" w14:textId="61138AC3" w:rsidR="00943643" w:rsidRPr="00912996" w:rsidRDefault="00943643" w:rsidP="00943643">
            <w:pPr>
              <w:jc w:val="center"/>
              <w:rPr>
                <w:rFonts w:ascii="Calibri" w:hAnsi="Calibri"/>
                <w:b/>
                <w:bCs/>
                <w:lang w:eastAsia="ja-JP"/>
              </w:rPr>
            </w:pPr>
            <w:r w:rsidRPr="00F171A3">
              <w:rPr>
                <w:rFonts w:ascii="Calibri" w:hAnsi="Calibri"/>
                <w:b/>
                <w:bCs/>
                <w:lang w:eastAsia="ja-JP"/>
              </w:rPr>
              <w:t>SURSE DE FINANȚARE POTENȚIALE</w:t>
            </w:r>
          </w:p>
        </w:tc>
        <w:tc>
          <w:tcPr>
            <w:tcW w:w="433" w:type="pct"/>
            <w:shd w:val="clear" w:color="auto" w:fill="134753"/>
            <w:vAlign w:val="center"/>
            <w:hideMark/>
          </w:tcPr>
          <w:p w14:paraId="5E4DE128" w14:textId="578AB862" w:rsidR="00943643" w:rsidRPr="00912996" w:rsidRDefault="00943643" w:rsidP="00943643">
            <w:pPr>
              <w:jc w:val="center"/>
              <w:rPr>
                <w:rFonts w:ascii="Calibri" w:hAnsi="Calibri"/>
                <w:b/>
                <w:bCs/>
                <w:lang w:eastAsia="ja-JP"/>
              </w:rPr>
            </w:pPr>
            <w:r w:rsidRPr="00F171A3">
              <w:rPr>
                <w:rFonts w:ascii="Calibri" w:hAnsi="Calibri"/>
                <w:b/>
                <w:bCs/>
                <w:lang w:eastAsia="ja-JP"/>
              </w:rPr>
              <w:t xml:space="preserve">NIVEL DE PRIORITATE </w:t>
            </w:r>
            <w:r w:rsidRPr="00F171A3">
              <w:rPr>
                <w:rStyle w:val="FootnoteReference"/>
                <w:rFonts w:ascii="Calibri" w:hAnsi="Calibri"/>
                <w:b/>
                <w:bCs/>
                <w:lang w:eastAsia="ja-JP"/>
              </w:rPr>
              <w:footnoteReference w:id="174"/>
            </w:r>
          </w:p>
        </w:tc>
        <w:tc>
          <w:tcPr>
            <w:tcW w:w="482" w:type="pct"/>
            <w:shd w:val="clear" w:color="auto" w:fill="134753"/>
            <w:vAlign w:val="center"/>
            <w:hideMark/>
          </w:tcPr>
          <w:p w14:paraId="6CC3A913" w14:textId="71FBCE33" w:rsidR="00943643" w:rsidRPr="00912996" w:rsidRDefault="00943643" w:rsidP="00943643">
            <w:pPr>
              <w:jc w:val="center"/>
              <w:rPr>
                <w:rFonts w:ascii="Calibri" w:hAnsi="Calibri"/>
                <w:b/>
                <w:bCs/>
                <w:lang w:eastAsia="ja-JP"/>
              </w:rPr>
            </w:pPr>
            <w:r w:rsidRPr="00F171A3">
              <w:rPr>
                <w:rFonts w:ascii="Calibri" w:hAnsi="Calibri"/>
                <w:b/>
                <w:bCs/>
                <w:lang w:eastAsia="ja-JP"/>
              </w:rPr>
              <w:t xml:space="preserve">SURSA PROIECTULUI </w:t>
            </w:r>
            <w:r w:rsidRPr="00F171A3">
              <w:rPr>
                <w:rStyle w:val="FootnoteReference"/>
                <w:rFonts w:ascii="Calibri" w:hAnsi="Calibri"/>
                <w:b/>
                <w:bCs/>
                <w:lang w:eastAsia="ja-JP"/>
              </w:rPr>
              <w:footnoteReference w:id="175"/>
            </w:r>
          </w:p>
        </w:tc>
      </w:tr>
      <w:tr w:rsidR="00395D01" w:rsidRPr="00912996" w14:paraId="3767A3A8" w14:textId="77777777" w:rsidTr="00395D01">
        <w:trPr>
          <w:trHeight w:val="444"/>
        </w:trPr>
        <w:tc>
          <w:tcPr>
            <w:tcW w:w="5000" w:type="pct"/>
            <w:gridSpan w:val="12"/>
            <w:shd w:val="clear" w:color="auto" w:fill="ABCD3A"/>
            <w:noWrap/>
            <w:vAlign w:val="center"/>
            <w:hideMark/>
          </w:tcPr>
          <w:p w14:paraId="37E3C0C9" w14:textId="77777777" w:rsidR="00395D01" w:rsidRPr="00912996" w:rsidRDefault="00395D01" w:rsidP="008506DF">
            <w:pPr>
              <w:jc w:val="center"/>
              <w:rPr>
                <w:rFonts w:ascii="Calibri" w:hAnsi="Calibri"/>
                <w:b/>
                <w:bCs/>
                <w:color w:val="FFFFFF"/>
                <w:lang w:eastAsia="ja-JP"/>
              </w:rPr>
            </w:pPr>
            <w:r w:rsidRPr="00912996">
              <w:rPr>
                <w:rFonts w:ascii="Calibri" w:hAnsi="Calibri"/>
                <w:b/>
                <w:bCs/>
                <w:color w:val="FFFFFF"/>
                <w:lang w:eastAsia="ja-JP"/>
              </w:rPr>
              <w:t>OBIECTIV STRATEGIC O1 – SECTOR PENTRU CETĂȚENI, CU UN CADRU URBAN ATRACTIV ȘI SERVICII PUBLICE MODERNE ȘI PERFORMANTE, CE SUSȚIN DEZVOLTAREA COMUNITĂȚII LOCALE ȘI ASIGURĂ O CALITATE RIDICATĂ A LOCUIRII</w:t>
            </w:r>
          </w:p>
        </w:tc>
      </w:tr>
      <w:tr w:rsidR="00395D01" w:rsidRPr="00912996" w14:paraId="3A0C0E8D" w14:textId="77777777" w:rsidTr="00395D01">
        <w:trPr>
          <w:trHeight w:val="264"/>
        </w:trPr>
        <w:tc>
          <w:tcPr>
            <w:tcW w:w="5000" w:type="pct"/>
            <w:gridSpan w:val="12"/>
            <w:shd w:val="clear" w:color="auto" w:fill="CCE188"/>
            <w:noWrap/>
            <w:vAlign w:val="center"/>
            <w:hideMark/>
          </w:tcPr>
          <w:p w14:paraId="1DFE2632" w14:textId="77777777" w:rsidR="00395D01" w:rsidRPr="00912996" w:rsidRDefault="00395D01" w:rsidP="008506DF">
            <w:pPr>
              <w:ind w:left="-108"/>
              <w:jc w:val="center"/>
              <w:rPr>
                <w:rFonts w:ascii="Calibri" w:hAnsi="Calibri"/>
                <w:b/>
                <w:bCs/>
                <w:color w:val="FFFFFF"/>
                <w:lang w:eastAsia="ja-JP"/>
              </w:rPr>
            </w:pPr>
            <w:r w:rsidRPr="00912996">
              <w:rPr>
                <w:rFonts w:ascii="Calibri" w:hAnsi="Calibri"/>
                <w:b/>
                <w:bCs/>
                <w:color w:val="FFFFFF"/>
                <w:lang w:eastAsia="ja-JP"/>
              </w:rPr>
              <w:t>OBIECTIV SPECIFIC O1.1 - Cadru urban revitalizat, cu o imagine urbană reprezentativă</w:t>
            </w:r>
          </w:p>
        </w:tc>
      </w:tr>
      <w:tr w:rsidR="00395D01" w:rsidRPr="00912996" w14:paraId="6D14A8E1" w14:textId="77777777" w:rsidTr="00395D01">
        <w:trPr>
          <w:trHeight w:val="264"/>
        </w:trPr>
        <w:tc>
          <w:tcPr>
            <w:tcW w:w="5000" w:type="pct"/>
            <w:gridSpan w:val="12"/>
            <w:shd w:val="clear" w:color="auto" w:fill="BBD9A0"/>
            <w:noWrap/>
            <w:vAlign w:val="center"/>
            <w:hideMark/>
          </w:tcPr>
          <w:p w14:paraId="7B970E83" w14:textId="77777777" w:rsidR="00395D01" w:rsidRPr="00912996" w:rsidRDefault="00395D01" w:rsidP="008506DF">
            <w:pPr>
              <w:jc w:val="center"/>
              <w:rPr>
                <w:rFonts w:ascii="Calibri" w:hAnsi="Calibri"/>
                <w:b/>
                <w:bCs/>
                <w:color w:val="FFFFFF"/>
                <w:lang w:eastAsia="ja-JP"/>
              </w:rPr>
            </w:pPr>
            <w:r w:rsidRPr="00912996">
              <w:rPr>
                <w:rFonts w:ascii="Calibri" w:hAnsi="Calibri"/>
                <w:b/>
                <w:bCs/>
                <w:color w:val="FFFFFF"/>
                <w:lang w:eastAsia="ja-JP"/>
              </w:rPr>
              <w:t>D1.1.1. Creșterea calității fondului construit aparținând administrației publice locale</w:t>
            </w:r>
          </w:p>
        </w:tc>
      </w:tr>
      <w:tr w:rsidR="00E16711" w:rsidRPr="00912996" w14:paraId="22669B08" w14:textId="77777777" w:rsidTr="00E16711">
        <w:trPr>
          <w:trHeight w:val="792"/>
        </w:trPr>
        <w:tc>
          <w:tcPr>
            <w:tcW w:w="205" w:type="pct"/>
            <w:shd w:val="clear" w:color="auto" w:fill="F2F2F2"/>
            <w:noWrap/>
            <w:hideMark/>
          </w:tcPr>
          <w:p w14:paraId="4C9FB227"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25826A18" w14:textId="77777777" w:rsidR="00395D01" w:rsidRPr="00912996" w:rsidRDefault="00395D01" w:rsidP="00292396">
            <w:pPr>
              <w:rPr>
                <w:rFonts w:ascii="Calibri" w:hAnsi="Calibri"/>
                <w:bCs/>
                <w:lang w:eastAsia="ja-JP"/>
              </w:rPr>
            </w:pPr>
            <w:r w:rsidRPr="00912996">
              <w:rPr>
                <w:rFonts w:ascii="Calibri" w:hAnsi="Calibri"/>
                <w:bCs/>
                <w:lang w:eastAsia="ja-JP"/>
              </w:rPr>
              <w:t xml:space="preserve">Reabilitare adăposturi de Protecție Civilă în Sectorul 2 București - </w:t>
            </w:r>
            <w:r>
              <w:rPr>
                <w:rFonts w:ascii="Calibri" w:hAnsi="Calibri"/>
                <w:bCs/>
                <w:lang w:eastAsia="ja-JP"/>
              </w:rPr>
              <w:t>8</w:t>
            </w:r>
            <w:r w:rsidRPr="00912996">
              <w:rPr>
                <w:rFonts w:ascii="Calibri" w:hAnsi="Calibri"/>
                <w:bCs/>
                <w:lang w:eastAsia="ja-JP"/>
              </w:rPr>
              <w:t xml:space="preserve"> adăposturi publice aflate în administrarea UAT S2</w:t>
            </w:r>
          </w:p>
        </w:tc>
        <w:tc>
          <w:tcPr>
            <w:tcW w:w="640" w:type="pct"/>
            <w:shd w:val="clear" w:color="auto" w:fill="F2F2F2"/>
            <w:hideMark/>
          </w:tcPr>
          <w:p w14:paraId="172CF217" w14:textId="77777777" w:rsidR="00395D01" w:rsidRPr="00912996" w:rsidRDefault="00395D01" w:rsidP="00292396">
            <w:pPr>
              <w:rPr>
                <w:rFonts w:ascii="Calibri" w:hAnsi="Calibri"/>
                <w:bCs/>
                <w:lang w:eastAsia="ja-JP"/>
              </w:rPr>
            </w:pPr>
            <w:r w:rsidRPr="00912996">
              <w:rPr>
                <w:rFonts w:ascii="Calibri" w:hAnsi="Calibri"/>
                <w:bCs/>
                <w:lang w:eastAsia="ja-JP"/>
              </w:rPr>
              <w:t>PS2, Serviciul Management Situații de Urgență</w:t>
            </w:r>
          </w:p>
        </w:tc>
        <w:tc>
          <w:tcPr>
            <w:tcW w:w="507" w:type="pct"/>
            <w:shd w:val="clear" w:color="auto" w:fill="F2F2F2"/>
            <w:hideMark/>
          </w:tcPr>
          <w:p w14:paraId="325007E4" w14:textId="77777777" w:rsidR="00395D01" w:rsidRPr="00912996" w:rsidRDefault="00395D01" w:rsidP="00292396">
            <w:pPr>
              <w:rPr>
                <w:rFonts w:ascii="Calibri" w:hAnsi="Calibri"/>
                <w:bCs/>
                <w:lang w:eastAsia="ja-JP"/>
              </w:rPr>
            </w:pPr>
            <w:r w:rsidRPr="00A379C9">
              <w:rPr>
                <w:rFonts w:ascii="Calibri" w:hAnsi="Calibri"/>
                <w:bCs/>
                <w:lang w:eastAsia="ja-JP"/>
              </w:rPr>
              <w:t>Idee</w:t>
            </w:r>
          </w:p>
        </w:tc>
        <w:tc>
          <w:tcPr>
            <w:tcW w:w="473" w:type="pct"/>
            <w:shd w:val="clear" w:color="auto" w:fill="F2F2F2"/>
            <w:hideMark/>
          </w:tcPr>
          <w:p w14:paraId="434B7DC2"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422463B4"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0911BD45"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hideMark/>
          </w:tcPr>
          <w:p w14:paraId="0896C17C" w14:textId="77777777" w:rsidR="00395D01" w:rsidRPr="00912996" w:rsidRDefault="00395D01" w:rsidP="00292396">
            <w:pPr>
              <w:rPr>
                <w:rFonts w:ascii="Calibri" w:hAnsi="Calibri"/>
                <w:bCs/>
                <w:lang w:eastAsia="ja-JP"/>
              </w:rPr>
            </w:pPr>
            <w:r>
              <w:rPr>
                <w:rFonts w:ascii="Calibri" w:hAnsi="Calibri"/>
                <w:bCs/>
                <w:lang w:eastAsia="ja-JP"/>
              </w:rPr>
              <w:t>N/A</w:t>
            </w:r>
          </w:p>
        </w:tc>
        <w:tc>
          <w:tcPr>
            <w:tcW w:w="433" w:type="pct"/>
            <w:shd w:val="clear" w:color="auto" w:fill="F2F2F2"/>
            <w:hideMark/>
          </w:tcPr>
          <w:p w14:paraId="1A89551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219313A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PS2, SIDU MB</w:t>
            </w:r>
          </w:p>
        </w:tc>
      </w:tr>
      <w:tr w:rsidR="00E16711" w:rsidRPr="00912996" w14:paraId="40A3D4D6" w14:textId="77777777" w:rsidTr="00E16711">
        <w:trPr>
          <w:trHeight w:val="1056"/>
        </w:trPr>
        <w:tc>
          <w:tcPr>
            <w:tcW w:w="205" w:type="pct"/>
            <w:shd w:val="clear" w:color="auto" w:fill="F2F2F2"/>
            <w:noWrap/>
            <w:hideMark/>
          </w:tcPr>
          <w:p w14:paraId="55564ACF"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6A80DD49" w14:textId="77777777" w:rsidR="00395D01" w:rsidRPr="00912996" w:rsidRDefault="00395D01" w:rsidP="00292396">
            <w:pPr>
              <w:rPr>
                <w:rFonts w:ascii="Calibri" w:hAnsi="Calibri"/>
                <w:bCs/>
                <w:lang w:eastAsia="ja-JP"/>
              </w:rPr>
            </w:pPr>
            <w:r w:rsidRPr="00912996">
              <w:rPr>
                <w:rFonts w:ascii="Calibri" w:hAnsi="Calibri"/>
                <w:bCs/>
                <w:lang w:eastAsia="ja-JP"/>
              </w:rPr>
              <w:t>Reabilitarea termică a sediului Direcției Publice de Evidentă Persoane și Stare Civilă Sector 2 București din strada Olari nr. 19</w:t>
            </w:r>
          </w:p>
        </w:tc>
        <w:tc>
          <w:tcPr>
            <w:tcW w:w="640" w:type="pct"/>
            <w:shd w:val="clear" w:color="auto" w:fill="F2F2F2"/>
            <w:hideMark/>
          </w:tcPr>
          <w:p w14:paraId="6CB61D8C" w14:textId="77777777" w:rsidR="00395D01" w:rsidRPr="00912996" w:rsidRDefault="00395D01" w:rsidP="00292396">
            <w:pPr>
              <w:rPr>
                <w:rFonts w:ascii="Calibri" w:hAnsi="Calibri"/>
                <w:bCs/>
                <w:lang w:eastAsia="ja-JP"/>
              </w:rPr>
            </w:pPr>
            <w:r w:rsidRPr="00912996">
              <w:rPr>
                <w:rFonts w:ascii="Calibri" w:hAnsi="Calibri"/>
                <w:bCs/>
                <w:lang w:eastAsia="ja-JP"/>
              </w:rPr>
              <w:t>PS2, DPEPSC S2</w:t>
            </w:r>
          </w:p>
        </w:tc>
        <w:tc>
          <w:tcPr>
            <w:tcW w:w="507" w:type="pct"/>
            <w:shd w:val="clear" w:color="auto" w:fill="F2F2F2"/>
            <w:hideMark/>
          </w:tcPr>
          <w:p w14:paraId="21987082"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7020ED63" w14:textId="77777777" w:rsidR="00395D01" w:rsidRPr="00912996" w:rsidRDefault="00395D01" w:rsidP="00292396">
            <w:pPr>
              <w:rPr>
                <w:rFonts w:ascii="Calibri" w:hAnsi="Calibri"/>
                <w:bCs/>
                <w:lang w:eastAsia="ja-JP"/>
              </w:rPr>
            </w:pPr>
            <w:r w:rsidRPr="00A379C9">
              <w:rPr>
                <w:rFonts w:ascii="Calibri" w:hAnsi="Calibri"/>
                <w:bCs/>
                <w:lang w:eastAsia="ja-JP"/>
              </w:rPr>
              <w:t>3,424,194</w:t>
            </w:r>
          </w:p>
        </w:tc>
        <w:tc>
          <w:tcPr>
            <w:tcW w:w="411" w:type="pct"/>
            <w:shd w:val="clear" w:color="auto" w:fill="F2F2F2"/>
            <w:hideMark/>
          </w:tcPr>
          <w:p w14:paraId="3A3FD7B7" w14:textId="77777777" w:rsidR="00395D01" w:rsidRPr="00912996" w:rsidRDefault="00395D01" w:rsidP="00292396">
            <w:pPr>
              <w:rPr>
                <w:rFonts w:ascii="Calibri" w:hAnsi="Calibri"/>
                <w:bCs/>
                <w:lang w:eastAsia="ja-JP"/>
              </w:rPr>
            </w:pPr>
            <w:r w:rsidRPr="00A379C9">
              <w:rPr>
                <w:rFonts w:ascii="Calibri" w:hAnsi="Calibri"/>
                <w:bCs/>
                <w:lang w:eastAsia="ja-JP"/>
              </w:rPr>
              <w:t>698,815</w:t>
            </w:r>
          </w:p>
        </w:tc>
        <w:tc>
          <w:tcPr>
            <w:tcW w:w="347" w:type="pct"/>
            <w:shd w:val="clear" w:color="auto" w:fill="F2F2F2"/>
            <w:hideMark/>
          </w:tcPr>
          <w:p w14:paraId="3E435EEC" w14:textId="77777777" w:rsidR="00395D01" w:rsidRPr="00912996" w:rsidRDefault="00395D01" w:rsidP="00292396">
            <w:pPr>
              <w:rPr>
                <w:rFonts w:ascii="Calibri" w:hAnsi="Calibri"/>
                <w:bCs/>
                <w:lang w:eastAsia="ja-JP"/>
              </w:rPr>
            </w:pPr>
            <w:r w:rsidRPr="00912996">
              <w:rPr>
                <w:rFonts w:ascii="Calibri" w:hAnsi="Calibri"/>
                <w:bCs/>
                <w:lang w:eastAsia="ja-JP"/>
              </w:rPr>
              <w:t>2019</w:t>
            </w:r>
            <w:r>
              <w:rPr>
                <w:rFonts w:ascii="Calibri" w:hAnsi="Calibri"/>
                <w:bCs/>
                <w:lang w:eastAsia="ja-JP"/>
              </w:rPr>
              <w:t xml:space="preserve"> </w:t>
            </w:r>
            <w:r w:rsidRPr="00912996">
              <w:rPr>
                <w:rFonts w:ascii="Calibri" w:hAnsi="Calibri"/>
                <w:bCs/>
                <w:lang w:eastAsia="ja-JP"/>
              </w:rPr>
              <w:t>-202</w:t>
            </w:r>
            <w:r>
              <w:rPr>
                <w:rFonts w:ascii="Calibri" w:hAnsi="Calibri"/>
                <w:bCs/>
                <w:lang w:eastAsia="ja-JP"/>
              </w:rPr>
              <w:t>3</w:t>
            </w:r>
          </w:p>
        </w:tc>
        <w:tc>
          <w:tcPr>
            <w:tcW w:w="484" w:type="pct"/>
            <w:gridSpan w:val="2"/>
            <w:shd w:val="clear" w:color="auto" w:fill="F2F2F2"/>
            <w:hideMark/>
          </w:tcPr>
          <w:p w14:paraId="399D5C9A" w14:textId="77777777" w:rsidR="00395D01" w:rsidRPr="00912996" w:rsidRDefault="00395D01" w:rsidP="00292396">
            <w:pPr>
              <w:rPr>
                <w:rFonts w:ascii="Calibri" w:hAnsi="Calibri"/>
                <w:bCs/>
                <w:lang w:eastAsia="ja-JP"/>
              </w:rPr>
            </w:pPr>
            <w:r w:rsidRPr="00A379C9">
              <w:rPr>
                <w:rFonts w:ascii="Calibri" w:hAnsi="Calibri"/>
                <w:bCs/>
                <w:lang w:eastAsia="ja-JP"/>
              </w:rPr>
              <w:t>Program de finanțare Operațional Regional 2014-2020 , Axa prioritara 3 -“Sprijinirea tranziției către o economie cu emisii scăzute de carbon”, Cod apel POR/2017/3/3.1/B/2/BI</w:t>
            </w:r>
          </w:p>
        </w:tc>
        <w:tc>
          <w:tcPr>
            <w:tcW w:w="433" w:type="pct"/>
            <w:shd w:val="clear" w:color="auto" w:fill="F2F2F2"/>
            <w:hideMark/>
          </w:tcPr>
          <w:p w14:paraId="64F643C1"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6922BB6"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PS2, SIDU MB</w:t>
            </w:r>
          </w:p>
        </w:tc>
      </w:tr>
      <w:tr w:rsidR="00E16711" w:rsidRPr="00912996" w14:paraId="13760C68" w14:textId="77777777" w:rsidTr="00E16711">
        <w:trPr>
          <w:trHeight w:val="528"/>
        </w:trPr>
        <w:tc>
          <w:tcPr>
            <w:tcW w:w="205" w:type="pct"/>
            <w:shd w:val="clear" w:color="auto" w:fill="F2F2F2"/>
            <w:noWrap/>
            <w:hideMark/>
          </w:tcPr>
          <w:p w14:paraId="6828E8E9"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047C2451" w14:textId="77777777" w:rsidR="00395D01" w:rsidRPr="00912996" w:rsidRDefault="00395D01" w:rsidP="00292396">
            <w:pPr>
              <w:rPr>
                <w:rFonts w:ascii="Calibri" w:hAnsi="Calibri"/>
                <w:bCs/>
                <w:lang w:eastAsia="ja-JP"/>
              </w:rPr>
            </w:pPr>
            <w:r w:rsidRPr="00912996">
              <w:rPr>
                <w:rFonts w:ascii="Calibri" w:hAnsi="Calibri"/>
                <w:bCs/>
                <w:lang w:eastAsia="ja-JP"/>
              </w:rPr>
              <w:t>Consolidare sediu administrativ Strada Olari nr. 15</w:t>
            </w:r>
          </w:p>
        </w:tc>
        <w:tc>
          <w:tcPr>
            <w:tcW w:w="640" w:type="pct"/>
            <w:shd w:val="clear" w:color="auto" w:fill="F2F2F2"/>
            <w:hideMark/>
          </w:tcPr>
          <w:p w14:paraId="2989D998"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286D6F77"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0959FA81"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5BEBEB45"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04ADB00E"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hideMark/>
          </w:tcPr>
          <w:p w14:paraId="1647B17A" w14:textId="77777777" w:rsidR="00395D01" w:rsidRPr="00912996" w:rsidRDefault="00395D01" w:rsidP="00292396">
            <w:pPr>
              <w:rPr>
                <w:rFonts w:ascii="Calibri" w:hAnsi="Calibri"/>
                <w:bCs/>
                <w:lang w:eastAsia="ja-JP"/>
              </w:rPr>
            </w:pPr>
            <w:r>
              <w:rPr>
                <w:rFonts w:ascii="Calibri" w:hAnsi="Calibri"/>
                <w:bCs/>
                <w:lang w:eastAsia="ja-JP"/>
              </w:rPr>
              <w:t>N/A</w:t>
            </w:r>
          </w:p>
        </w:tc>
        <w:tc>
          <w:tcPr>
            <w:tcW w:w="433" w:type="pct"/>
            <w:shd w:val="clear" w:color="auto" w:fill="F2F2F2"/>
            <w:hideMark/>
          </w:tcPr>
          <w:p w14:paraId="57704520"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918B21F"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7112A607" w14:textId="77777777" w:rsidTr="00E16711">
        <w:trPr>
          <w:trHeight w:val="1056"/>
        </w:trPr>
        <w:tc>
          <w:tcPr>
            <w:tcW w:w="205" w:type="pct"/>
            <w:shd w:val="clear" w:color="auto" w:fill="F2F2F2"/>
            <w:noWrap/>
            <w:hideMark/>
          </w:tcPr>
          <w:p w14:paraId="32C6ADA6"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0B00982B" w14:textId="77777777" w:rsidR="00395D01" w:rsidRPr="00912996" w:rsidRDefault="00395D01" w:rsidP="00292396">
            <w:pPr>
              <w:rPr>
                <w:rFonts w:ascii="Calibri" w:hAnsi="Calibri"/>
                <w:bCs/>
                <w:lang w:eastAsia="ja-JP"/>
              </w:rPr>
            </w:pPr>
            <w:r w:rsidRPr="00912996">
              <w:rPr>
                <w:rFonts w:ascii="Calibri" w:hAnsi="Calibri"/>
                <w:bCs/>
                <w:lang w:eastAsia="ja-JP"/>
              </w:rPr>
              <w:t>Reabilitare, consolidare, modernizare și extindere sediu administrativ DGASPC Sector 2</w:t>
            </w:r>
          </w:p>
        </w:tc>
        <w:tc>
          <w:tcPr>
            <w:tcW w:w="640" w:type="pct"/>
            <w:shd w:val="clear" w:color="auto" w:fill="F2F2F2"/>
            <w:hideMark/>
          </w:tcPr>
          <w:p w14:paraId="30DA5B73" w14:textId="77777777" w:rsidR="00395D01" w:rsidRPr="00912996" w:rsidRDefault="00395D01" w:rsidP="00292396">
            <w:pPr>
              <w:rPr>
                <w:rFonts w:ascii="Calibri" w:hAnsi="Calibri"/>
                <w:bCs/>
                <w:lang w:eastAsia="ja-JP"/>
              </w:rPr>
            </w:pPr>
            <w:r w:rsidRPr="00912996">
              <w:rPr>
                <w:rFonts w:ascii="Calibri" w:hAnsi="Calibri"/>
                <w:bCs/>
                <w:lang w:eastAsia="ja-JP"/>
              </w:rPr>
              <w:t>PS2, DGASPC PS2</w:t>
            </w:r>
          </w:p>
        </w:tc>
        <w:tc>
          <w:tcPr>
            <w:tcW w:w="507" w:type="pct"/>
            <w:shd w:val="clear" w:color="auto" w:fill="F2F2F2"/>
            <w:hideMark/>
          </w:tcPr>
          <w:p w14:paraId="43F31C99" w14:textId="77777777" w:rsidR="00395D01" w:rsidRPr="00912996" w:rsidRDefault="00395D01" w:rsidP="00292396">
            <w:pPr>
              <w:rPr>
                <w:rFonts w:ascii="Calibri" w:hAnsi="Calibri"/>
                <w:bCs/>
                <w:lang w:eastAsia="ja-JP"/>
              </w:rPr>
            </w:pPr>
            <w:r w:rsidRPr="00912996">
              <w:rPr>
                <w:rFonts w:ascii="Calibri" w:hAnsi="Calibri"/>
                <w:bCs/>
                <w:lang w:eastAsia="ja-JP"/>
              </w:rPr>
              <w:t>În implementare - DALI, Expertiză tehnică, studiu geotehnic</w:t>
            </w:r>
          </w:p>
        </w:tc>
        <w:tc>
          <w:tcPr>
            <w:tcW w:w="473" w:type="pct"/>
            <w:shd w:val="clear" w:color="auto" w:fill="F2F2F2"/>
            <w:hideMark/>
          </w:tcPr>
          <w:p w14:paraId="609D00E8"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0238B0A2"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53DCDCFD"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5B16C135" w14:textId="77777777" w:rsidR="00395D01" w:rsidRPr="00912996" w:rsidRDefault="00395D01" w:rsidP="00292396">
            <w:pPr>
              <w:rPr>
                <w:rFonts w:ascii="Calibri" w:hAnsi="Calibri"/>
                <w:bCs/>
                <w:lang w:eastAsia="ja-JP"/>
              </w:rPr>
            </w:pPr>
            <w:r w:rsidRPr="00912996">
              <w:rPr>
                <w:rFonts w:ascii="Calibri" w:hAnsi="Calibri"/>
                <w:bCs/>
                <w:lang w:eastAsia="ja-JP"/>
              </w:rPr>
              <w:t>POR BI 2021-2027, Bugetul local, Alte surse de finanțare</w:t>
            </w:r>
          </w:p>
        </w:tc>
        <w:tc>
          <w:tcPr>
            <w:tcW w:w="433" w:type="pct"/>
            <w:shd w:val="clear" w:color="auto" w:fill="F2F2F2"/>
            <w:hideMark/>
          </w:tcPr>
          <w:p w14:paraId="12FF034C"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C2E237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PS2</w:t>
            </w:r>
          </w:p>
        </w:tc>
      </w:tr>
      <w:tr w:rsidR="00E16711" w:rsidRPr="00912996" w14:paraId="33F47BF0" w14:textId="77777777" w:rsidTr="00E16711">
        <w:trPr>
          <w:trHeight w:val="1320"/>
        </w:trPr>
        <w:tc>
          <w:tcPr>
            <w:tcW w:w="205" w:type="pct"/>
            <w:shd w:val="clear" w:color="auto" w:fill="F2F2F2"/>
            <w:noWrap/>
            <w:hideMark/>
          </w:tcPr>
          <w:p w14:paraId="73783DAC"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66E2D54F" w14:textId="389CD489" w:rsidR="00395D01" w:rsidRPr="00912996" w:rsidRDefault="00395D01" w:rsidP="00292396">
            <w:pPr>
              <w:rPr>
                <w:rFonts w:ascii="Calibri" w:hAnsi="Calibri"/>
                <w:bCs/>
                <w:lang w:eastAsia="ja-JP"/>
              </w:rPr>
            </w:pPr>
            <w:r w:rsidRPr="00912996">
              <w:rPr>
                <w:rFonts w:ascii="Calibri" w:hAnsi="Calibri"/>
                <w:bCs/>
                <w:lang w:eastAsia="ja-JP"/>
              </w:rPr>
              <w:t>Reabilitare</w:t>
            </w:r>
            <w:r w:rsidR="000B2FE5">
              <w:rPr>
                <w:rFonts w:ascii="Calibri" w:hAnsi="Calibri"/>
                <w:bCs/>
                <w:lang w:eastAsia="ja-JP"/>
              </w:rPr>
              <w:t xml:space="preserve"> </w:t>
            </w:r>
            <w:r w:rsidRPr="00912996">
              <w:rPr>
                <w:rFonts w:ascii="Calibri" w:hAnsi="Calibri"/>
                <w:bCs/>
                <w:lang w:eastAsia="ja-JP"/>
              </w:rPr>
              <w:t>/</w:t>
            </w:r>
            <w:r w:rsidR="000B2FE5">
              <w:rPr>
                <w:rFonts w:ascii="Calibri" w:hAnsi="Calibri"/>
                <w:bCs/>
                <w:lang w:eastAsia="ja-JP"/>
              </w:rPr>
              <w:t xml:space="preserve"> </w:t>
            </w:r>
            <w:r w:rsidRPr="00912996">
              <w:rPr>
                <w:rFonts w:ascii="Calibri" w:hAnsi="Calibri"/>
                <w:bCs/>
                <w:lang w:eastAsia="ja-JP"/>
              </w:rPr>
              <w:t>modernizare a clădirii Inspectoratului Școlar al Sectorului 2</w:t>
            </w:r>
          </w:p>
        </w:tc>
        <w:tc>
          <w:tcPr>
            <w:tcW w:w="640" w:type="pct"/>
            <w:shd w:val="clear" w:color="auto" w:fill="F2F2F2"/>
            <w:hideMark/>
          </w:tcPr>
          <w:p w14:paraId="271E3235" w14:textId="77777777" w:rsidR="00395D01" w:rsidRPr="00912996" w:rsidRDefault="00395D01" w:rsidP="00292396">
            <w:pPr>
              <w:rPr>
                <w:rFonts w:ascii="Calibri" w:hAnsi="Calibri"/>
                <w:bCs/>
                <w:lang w:eastAsia="ja-JP"/>
              </w:rPr>
            </w:pPr>
            <w:r w:rsidRPr="00912996">
              <w:rPr>
                <w:rFonts w:ascii="Calibri" w:hAnsi="Calibri"/>
                <w:bCs/>
                <w:lang w:eastAsia="ja-JP"/>
              </w:rPr>
              <w:t>PS2, IȘS2</w:t>
            </w:r>
          </w:p>
        </w:tc>
        <w:tc>
          <w:tcPr>
            <w:tcW w:w="507" w:type="pct"/>
            <w:shd w:val="clear" w:color="auto" w:fill="F2F2F2"/>
            <w:hideMark/>
          </w:tcPr>
          <w:p w14:paraId="4C78F46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7458C8E"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222DFBB4"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591DF33E"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6D097CF8" w14:textId="77777777" w:rsidR="00395D01" w:rsidRPr="00912996" w:rsidRDefault="00395D01" w:rsidP="00292396">
            <w:pPr>
              <w:rPr>
                <w:rFonts w:ascii="Calibri" w:hAnsi="Calibri"/>
                <w:bCs/>
                <w:lang w:eastAsia="ja-JP"/>
              </w:rPr>
            </w:pPr>
            <w:r w:rsidRPr="00912996">
              <w:rPr>
                <w:rFonts w:ascii="Calibri" w:hAnsi="Calibri"/>
                <w:bCs/>
                <w:lang w:eastAsia="ja-JP"/>
              </w:rPr>
              <w:t>POR BI 2021-2027 P6, PNRR Componenta C5, Bugetul local, Alte surse de finanțare</w:t>
            </w:r>
          </w:p>
        </w:tc>
        <w:tc>
          <w:tcPr>
            <w:tcW w:w="433" w:type="pct"/>
            <w:shd w:val="clear" w:color="auto" w:fill="F2F2F2"/>
            <w:hideMark/>
          </w:tcPr>
          <w:p w14:paraId="200C221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C83B64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8975D77" w14:textId="77777777" w:rsidTr="00E16711">
        <w:trPr>
          <w:trHeight w:val="1056"/>
        </w:trPr>
        <w:tc>
          <w:tcPr>
            <w:tcW w:w="205" w:type="pct"/>
            <w:shd w:val="clear" w:color="auto" w:fill="F2F2F2"/>
            <w:noWrap/>
            <w:hideMark/>
          </w:tcPr>
          <w:p w14:paraId="45437E3A"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494E6152" w14:textId="77777777" w:rsidR="00395D01" w:rsidRPr="00912996" w:rsidRDefault="00395D01" w:rsidP="00292396">
            <w:pPr>
              <w:rPr>
                <w:rFonts w:ascii="Calibri" w:hAnsi="Calibri"/>
                <w:bCs/>
                <w:lang w:eastAsia="ja-JP"/>
              </w:rPr>
            </w:pPr>
            <w:r w:rsidRPr="00912996">
              <w:rPr>
                <w:rFonts w:ascii="Calibri" w:hAnsi="Calibri"/>
                <w:bCs/>
                <w:lang w:eastAsia="ja-JP"/>
              </w:rPr>
              <w:t>Amenajare sediu administrativ Direcția Venituri Bugetul local Sector 2 – Șoseaua Morarilor</w:t>
            </w:r>
          </w:p>
        </w:tc>
        <w:tc>
          <w:tcPr>
            <w:tcW w:w="640" w:type="pct"/>
            <w:shd w:val="clear" w:color="auto" w:fill="F2F2F2"/>
            <w:hideMark/>
          </w:tcPr>
          <w:p w14:paraId="5EF84FFE" w14:textId="77777777" w:rsidR="00395D01" w:rsidRPr="00912996" w:rsidRDefault="00395D01" w:rsidP="00292396">
            <w:pPr>
              <w:rPr>
                <w:rFonts w:ascii="Calibri" w:hAnsi="Calibri"/>
                <w:bCs/>
                <w:lang w:eastAsia="ja-JP"/>
              </w:rPr>
            </w:pPr>
            <w:r w:rsidRPr="00912996">
              <w:rPr>
                <w:rFonts w:ascii="Calibri" w:hAnsi="Calibri"/>
                <w:bCs/>
                <w:lang w:eastAsia="ja-JP"/>
              </w:rPr>
              <w:t>PS2, DGVBL S2</w:t>
            </w:r>
          </w:p>
        </w:tc>
        <w:tc>
          <w:tcPr>
            <w:tcW w:w="507" w:type="pct"/>
            <w:shd w:val="clear" w:color="auto" w:fill="F2F2F2"/>
            <w:hideMark/>
          </w:tcPr>
          <w:p w14:paraId="7721AEDE" w14:textId="77777777" w:rsidR="00395D01" w:rsidRPr="00912996" w:rsidRDefault="00395D01" w:rsidP="00292396">
            <w:pPr>
              <w:rPr>
                <w:rFonts w:ascii="Calibri" w:hAnsi="Calibri"/>
                <w:bCs/>
                <w:lang w:eastAsia="ja-JP"/>
              </w:rPr>
            </w:pPr>
            <w:r w:rsidRPr="00912996">
              <w:rPr>
                <w:rFonts w:ascii="Calibri" w:hAnsi="Calibri"/>
                <w:bCs/>
                <w:lang w:eastAsia="ja-JP"/>
              </w:rPr>
              <w:t>În curs de finalizare</w:t>
            </w:r>
          </w:p>
        </w:tc>
        <w:tc>
          <w:tcPr>
            <w:tcW w:w="473" w:type="pct"/>
            <w:shd w:val="clear" w:color="auto" w:fill="F2F2F2"/>
            <w:hideMark/>
          </w:tcPr>
          <w:p w14:paraId="623E748E" w14:textId="77777777" w:rsidR="00395D01" w:rsidRPr="00912996" w:rsidRDefault="00395D01" w:rsidP="00292396">
            <w:pPr>
              <w:rPr>
                <w:rFonts w:ascii="Calibri" w:hAnsi="Calibri"/>
                <w:bCs/>
                <w:lang w:eastAsia="ja-JP"/>
              </w:rPr>
            </w:pPr>
            <w:r w:rsidRPr="00912996">
              <w:rPr>
                <w:rFonts w:ascii="Calibri" w:hAnsi="Calibri"/>
                <w:bCs/>
                <w:lang w:eastAsia="ja-JP"/>
              </w:rPr>
              <w:t>5,228,320</w:t>
            </w:r>
          </w:p>
        </w:tc>
        <w:tc>
          <w:tcPr>
            <w:tcW w:w="411" w:type="pct"/>
            <w:shd w:val="clear" w:color="auto" w:fill="F2F2F2"/>
            <w:hideMark/>
          </w:tcPr>
          <w:p w14:paraId="110A59CF" w14:textId="77777777" w:rsidR="00395D01" w:rsidRPr="00912996" w:rsidRDefault="00395D01" w:rsidP="00292396">
            <w:pPr>
              <w:rPr>
                <w:rFonts w:ascii="Calibri" w:hAnsi="Calibri"/>
                <w:bCs/>
                <w:lang w:eastAsia="ja-JP"/>
              </w:rPr>
            </w:pPr>
            <w:r w:rsidRPr="00912996">
              <w:rPr>
                <w:rFonts w:ascii="Calibri" w:hAnsi="Calibri"/>
                <w:bCs/>
                <w:lang w:eastAsia="ja-JP"/>
              </w:rPr>
              <w:t>1,067,004</w:t>
            </w:r>
          </w:p>
        </w:tc>
        <w:tc>
          <w:tcPr>
            <w:tcW w:w="347" w:type="pct"/>
            <w:shd w:val="clear" w:color="auto" w:fill="F2F2F2"/>
            <w:hideMark/>
          </w:tcPr>
          <w:p w14:paraId="55241518"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644A0AB7" w14:textId="77777777" w:rsidR="00395D01" w:rsidRPr="00912996" w:rsidRDefault="00395D01" w:rsidP="00292396">
            <w:pPr>
              <w:rPr>
                <w:rFonts w:ascii="Calibri" w:hAnsi="Calibri"/>
                <w:bCs/>
                <w:lang w:eastAsia="ja-JP"/>
              </w:rPr>
            </w:pPr>
            <w:r w:rsidRPr="00912996">
              <w:rPr>
                <w:rFonts w:ascii="Calibri" w:hAnsi="Calibri"/>
                <w:bCs/>
                <w:lang w:eastAsia="ja-JP"/>
              </w:rPr>
              <w:t>POR BI 2021-2027 P6, PNRR C15, Bugetul local, alte surse de finanțare</w:t>
            </w:r>
          </w:p>
        </w:tc>
        <w:tc>
          <w:tcPr>
            <w:tcW w:w="433" w:type="pct"/>
            <w:shd w:val="clear" w:color="auto" w:fill="F2F2F2"/>
            <w:hideMark/>
          </w:tcPr>
          <w:p w14:paraId="0789F5E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2AAAC0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812121D" w14:textId="77777777" w:rsidTr="00E16711">
        <w:trPr>
          <w:trHeight w:val="1584"/>
        </w:trPr>
        <w:tc>
          <w:tcPr>
            <w:tcW w:w="205" w:type="pct"/>
            <w:shd w:val="clear" w:color="auto" w:fill="F2F2F2"/>
            <w:noWrap/>
            <w:hideMark/>
          </w:tcPr>
          <w:p w14:paraId="61E989E7" w14:textId="77777777" w:rsidR="00395D01" w:rsidRPr="00912996" w:rsidRDefault="00395D01" w:rsidP="00292396">
            <w:pPr>
              <w:rPr>
                <w:rFonts w:ascii="Calibri" w:hAnsi="Calibri"/>
                <w:bCs/>
                <w:lang w:eastAsia="ja-JP"/>
              </w:rPr>
            </w:pPr>
            <w:r>
              <w:rPr>
                <w:rFonts w:ascii="Calibri" w:hAnsi="Calibri"/>
                <w:bCs/>
                <w:lang w:eastAsia="ja-JP"/>
              </w:rPr>
              <w:t>7</w:t>
            </w:r>
          </w:p>
        </w:tc>
        <w:tc>
          <w:tcPr>
            <w:tcW w:w="1018" w:type="pct"/>
            <w:gridSpan w:val="2"/>
            <w:shd w:val="clear" w:color="auto" w:fill="F2F2F2"/>
            <w:hideMark/>
          </w:tcPr>
          <w:p w14:paraId="575C3D81" w14:textId="77777777" w:rsidR="00395D01" w:rsidRPr="00912996" w:rsidRDefault="00395D01" w:rsidP="00292396">
            <w:pPr>
              <w:rPr>
                <w:rFonts w:ascii="Calibri" w:hAnsi="Calibri"/>
                <w:bCs/>
                <w:lang w:eastAsia="ja-JP"/>
              </w:rPr>
            </w:pPr>
            <w:r w:rsidRPr="00912996">
              <w:rPr>
                <w:rFonts w:ascii="Calibri" w:hAnsi="Calibri"/>
                <w:bCs/>
                <w:lang w:eastAsia="ja-JP"/>
              </w:rPr>
              <w:t>Proiectare și execuție lucrări pentru obiectivul ”Demolare construcții existente, relocare utilități și extindere clădire principală în vederea construirii noului centru de monitorizare pentru Poliția Locală Sector 2”</w:t>
            </w:r>
          </w:p>
        </w:tc>
        <w:tc>
          <w:tcPr>
            <w:tcW w:w="640" w:type="pct"/>
            <w:shd w:val="clear" w:color="auto" w:fill="F2F2F2"/>
            <w:hideMark/>
          </w:tcPr>
          <w:p w14:paraId="08B06EDC"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3999E19" w14:textId="77777777" w:rsidR="00395D01" w:rsidRPr="00912996" w:rsidRDefault="00395D01" w:rsidP="00292396">
            <w:pPr>
              <w:rPr>
                <w:rFonts w:ascii="Calibri" w:hAnsi="Calibri"/>
                <w:bCs/>
                <w:lang w:eastAsia="ja-JP"/>
              </w:rPr>
            </w:pPr>
            <w:r>
              <w:rPr>
                <w:rFonts w:ascii="Calibri" w:hAnsi="Calibri"/>
                <w:bCs/>
                <w:lang w:eastAsia="ja-JP"/>
              </w:rPr>
              <w:t>Obținere PUD</w:t>
            </w:r>
          </w:p>
        </w:tc>
        <w:tc>
          <w:tcPr>
            <w:tcW w:w="473" w:type="pct"/>
            <w:shd w:val="clear" w:color="auto" w:fill="F2F2F2"/>
            <w:hideMark/>
          </w:tcPr>
          <w:p w14:paraId="67531D6A" w14:textId="77777777" w:rsidR="00395D01" w:rsidRPr="00912996" w:rsidRDefault="00395D01" w:rsidP="00292396">
            <w:pPr>
              <w:rPr>
                <w:rFonts w:ascii="Calibri" w:hAnsi="Calibri"/>
                <w:bCs/>
                <w:lang w:eastAsia="ja-JP"/>
              </w:rPr>
            </w:pPr>
            <w:r w:rsidRPr="00912996">
              <w:rPr>
                <w:rFonts w:ascii="Calibri" w:hAnsi="Calibri"/>
                <w:bCs/>
                <w:lang w:eastAsia="ja-JP"/>
              </w:rPr>
              <w:t>22,748,567</w:t>
            </w:r>
          </w:p>
        </w:tc>
        <w:tc>
          <w:tcPr>
            <w:tcW w:w="411" w:type="pct"/>
            <w:shd w:val="clear" w:color="auto" w:fill="F2F2F2"/>
            <w:hideMark/>
          </w:tcPr>
          <w:p w14:paraId="7A9C60EB" w14:textId="77777777" w:rsidR="00395D01" w:rsidRPr="00912996" w:rsidRDefault="00395D01" w:rsidP="00292396">
            <w:pPr>
              <w:rPr>
                <w:rFonts w:ascii="Calibri" w:hAnsi="Calibri"/>
                <w:bCs/>
                <w:lang w:eastAsia="ja-JP"/>
              </w:rPr>
            </w:pPr>
            <w:r w:rsidRPr="00912996">
              <w:rPr>
                <w:rFonts w:ascii="Calibri" w:hAnsi="Calibri"/>
                <w:bCs/>
                <w:lang w:eastAsia="ja-JP"/>
              </w:rPr>
              <w:t>4,642,565</w:t>
            </w:r>
          </w:p>
        </w:tc>
        <w:tc>
          <w:tcPr>
            <w:tcW w:w="347" w:type="pct"/>
            <w:shd w:val="clear" w:color="auto" w:fill="F2F2F2"/>
            <w:noWrap/>
            <w:hideMark/>
          </w:tcPr>
          <w:p w14:paraId="5C3F0969"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hideMark/>
          </w:tcPr>
          <w:p w14:paraId="7958ECAA" w14:textId="77777777" w:rsidR="00395D01" w:rsidRPr="00912996" w:rsidRDefault="00395D01" w:rsidP="00292396">
            <w:pPr>
              <w:rPr>
                <w:rFonts w:ascii="Calibri" w:hAnsi="Calibri"/>
                <w:bCs/>
                <w:lang w:eastAsia="ja-JP"/>
              </w:rPr>
            </w:pPr>
            <w:r w:rsidRPr="00912996">
              <w:rPr>
                <w:rFonts w:ascii="Calibri" w:hAnsi="Calibri"/>
                <w:bCs/>
                <w:lang w:eastAsia="ja-JP"/>
              </w:rPr>
              <w:t>PNRR C5, C10, Bugetul local, Alte surse de finanțare</w:t>
            </w:r>
          </w:p>
        </w:tc>
        <w:tc>
          <w:tcPr>
            <w:tcW w:w="433" w:type="pct"/>
            <w:shd w:val="clear" w:color="auto" w:fill="F2F2F2"/>
            <w:hideMark/>
          </w:tcPr>
          <w:p w14:paraId="637C28B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D32271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69CAF0F" w14:textId="77777777" w:rsidTr="00E16711">
        <w:trPr>
          <w:trHeight w:val="1320"/>
        </w:trPr>
        <w:tc>
          <w:tcPr>
            <w:tcW w:w="205" w:type="pct"/>
            <w:shd w:val="clear" w:color="auto" w:fill="F2F2F2"/>
            <w:noWrap/>
            <w:hideMark/>
          </w:tcPr>
          <w:p w14:paraId="684DD94B" w14:textId="77777777" w:rsidR="00395D01" w:rsidRPr="00912996" w:rsidRDefault="00395D01" w:rsidP="00292396">
            <w:pPr>
              <w:rPr>
                <w:rFonts w:ascii="Calibri" w:hAnsi="Calibri"/>
                <w:bCs/>
                <w:lang w:eastAsia="ja-JP"/>
              </w:rPr>
            </w:pPr>
            <w:r>
              <w:rPr>
                <w:rFonts w:ascii="Calibri" w:hAnsi="Calibri"/>
                <w:bCs/>
                <w:lang w:eastAsia="ja-JP"/>
              </w:rPr>
              <w:t>8</w:t>
            </w:r>
          </w:p>
        </w:tc>
        <w:tc>
          <w:tcPr>
            <w:tcW w:w="1018" w:type="pct"/>
            <w:gridSpan w:val="2"/>
            <w:shd w:val="clear" w:color="auto" w:fill="F2F2F2"/>
            <w:hideMark/>
          </w:tcPr>
          <w:p w14:paraId="0D960EB5" w14:textId="77777777" w:rsidR="00395D01" w:rsidRPr="00912996" w:rsidRDefault="00395D01" w:rsidP="00292396">
            <w:pPr>
              <w:rPr>
                <w:rFonts w:ascii="Calibri" w:hAnsi="Calibri"/>
                <w:bCs/>
                <w:lang w:eastAsia="ja-JP"/>
              </w:rPr>
            </w:pPr>
            <w:r w:rsidRPr="00912996">
              <w:rPr>
                <w:rFonts w:ascii="Calibri" w:hAnsi="Calibri"/>
                <w:bCs/>
                <w:lang w:eastAsia="ja-JP"/>
              </w:rPr>
              <w:t>Modernizarea sediului ADSPS2, Șoseaua Electronicii, nr. 44</w:t>
            </w:r>
          </w:p>
        </w:tc>
        <w:tc>
          <w:tcPr>
            <w:tcW w:w="640" w:type="pct"/>
            <w:shd w:val="clear" w:color="auto" w:fill="F2F2F2"/>
            <w:hideMark/>
          </w:tcPr>
          <w:p w14:paraId="50BEDDEA"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455441A2" w14:textId="77777777" w:rsidR="00395D01" w:rsidRPr="00912996" w:rsidRDefault="00395D01" w:rsidP="00292396">
            <w:pPr>
              <w:rPr>
                <w:rFonts w:ascii="Calibri" w:hAnsi="Calibri"/>
                <w:bCs/>
                <w:lang w:eastAsia="ja-JP"/>
              </w:rPr>
            </w:pPr>
            <w:r w:rsidRPr="00A379C9">
              <w:rPr>
                <w:rFonts w:ascii="Calibri" w:hAnsi="Calibri"/>
                <w:bCs/>
                <w:lang w:eastAsia="ja-JP"/>
              </w:rPr>
              <w:t>În elaborare documentație tehnico-economică</w:t>
            </w:r>
          </w:p>
        </w:tc>
        <w:tc>
          <w:tcPr>
            <w:tcW w:w="473" w:type="pct"/>
            <w:shd w:val="clear" w:color="auto" w:fill="F2F2F2"/>
            <w:hideMark/>
          </w:tcPr>
          <w:p w14:paraId="4C66C5B5"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1DBB9323" w14:textId="77777777" w:rsidR="00395D01" w:rsidRPr="00912996" w:rsidRDefault="00395D01" w:rsidP="00292396">
            <w:pPr>
              <w:rPr>
                <w:rFonts w:ascii="Calibri" w:hAnsi="Calibri"/>
                <w:bCs/>
                <w:lang w:eastAsia="ja-JP"/>
              </w:rPr>
            </w:pPr>
            <w:r w:rsidRPr="00912996">
              <w:rPr>
                <w:rFonts w:ascii="Calibri" w:hAnsi="Calibri"/>
                <w:bCs/>
                <w:lang w:eastAsia="ja-JP"/>
              </w:rPr>
              <w:t>408,163</w:t>
            </w:r>
          </w:p>
        </w:tc>
        <w:tc>
          <w:tcPr>
            <w:tcW w:w="347" w:type="pct"/>
            <w:shd w:val="clear" w:color="auto" w:fill="F2F2F2"/>
            <w:hideMark/>
          </w:tcPr>
          <w:p w14:paraId="40086C26" w14:textId="77777777" w:rsidR="00395D01" w:rsidRPr="00912996" w:rsidRDefault="00395D01" w:rsidP="0029239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1E29BDC1"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C5, C10, Bugetul local, alte surse de finanțare</w:t>
            </w:r>
          </w:p>
        </w:tc>
        <w:tc>
          <w:tcPr>
            <w:tcW w:w="433" w:type="pct"/>
            <w:shd w:val="clear" w:color="auto" w:fill="F2F2F2"/>
            <w:hideMark/>
          </w:tcPr>
          <w:p w14:paraId="426167A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DD384DC"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410D6124" w14:textId="77777777" w:rsidTr="00E16711">
        <w:trPr>
          <w:trHeight w:val="1320"/>
        </w:trPr>
        <w:tc>
          <w:tcPr>
            <w:tcW w:w="205" w:type="pct"/>
            <w:shd w:val="clear" w:color="auto" w:fill="F2F2F2"/>
            <w:noWrap/>
            <w:hideMark/>
          </w:tcPr>
          <w:p w14:paraId="63F4A2B2" w14:textId="77777777" w:rsidR="00395D01" w:rsidRPr="00912996" w:rsidRDefault="00395D01" w:rsidP="00292396">
            <w:pPr>
              <w:rPr>
                <w:rFonts w:ascii="Calibri" w:hAnsi="Calibri"/>
                <w:bCs/>
                <w:lang w:eastAsia="ja-JP"/>
              </w:rPr>
            </w:pPr>
            <w:r>
              <w:rPr>
                <w:rFonts w:ascii="Calibri" w:hAnsi="Calibri"/>
                <w:bCs/>
                <w:lang w:eastAsia="ja-JP"/>
              </w:rPr>
              <w:t>9</w:t>
            </w:r>
          </w:p>
        </w:tc>
        <w:tc>
          <w:tcPr>
            <w:tcW w:w="1018" w:type="pct"/>
            <w:gridSpan w:val="2"/>
            <w:shd w:val="clear" w:color="auto" w:fill="F2F2F2"/>
            <w:hideMark/>
          </w:tcPr>
          <w:p w14:paraId="3B12751C" w14:textId="77777777" w:rsidR="00395D01" w:rsidRPr="00912996" w:rsidRDefault="00395D01" w:rsidP="00292396">
            <w:pPr>
              <w:rPr>
                <w:rFonts w:ascii="Calibri" w:hAnsi="Calibri"/>
                <w:bCs/>
                <w:lang w:eastAsia="ja-JP"/>
              </w:rPr>
            </w:pPr>
            <w:r w:rsidRPr="00912996">
              <w:rPr>
                <w:rFonts w:ascii="Calibri" w:hAnsi="Calibri"/>
                <w:bCs/>
                <w:lang w:eastAsia="ja-JP"/>
              </w:rPr>
              <w:t>Modernizarea sediului ADSPS2, punctul de lucru Str. Andronache nr. 16B</w:t>
            </w:r>
          </w:p>
        </w:tc>
        <w:tc>
          <w:tcPr>
            <w:tcW w:w="640" w:type="pct"/>
            <w:shd w:val="clear" w:color="auto" w:fill="F2F2F2"/>
            <w:hideMark/>
          </w:tcPr>
          <w:p w14:paraId="4E2382F8"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43644F1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A3B0DE1"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411" w:type="pct"/>
            <w:shd w:val="clear" w:color="auto" w:fill="F2F2F2"/>
            <w:hideMark/>
          </w:tcPr>
          <w:p w14:paraId="4690597D" w14:textId="77777777" w:rsidR="00395D01" w:rsidRPr="00912996" w:rsidRDefault="00395D01" w:rsidP="00292396">
            <w:pPr>
              <w:rPr>
                <w:rFonts w:ascii="Calibri" w:hAnsi="Calibri"/>
                <w:bCs/>
                <w:lang w:eastAsia="ja-JP"/>
              </w:rPr>
            </w:pPr>
            <w:r w:rsidRPr="00912996">
              <w:rPr>
                <w:rFonts w:ascii="Calibri" w:hAnsi="Calibri"/>
                <w:bCs/>
                <w:lang w:eastAsia="ja-JP"/>
              </w:rPr>
              <w:t>306,122</w:t>
            </w:r>
          </w:p>
        </w:tc>
        <w:tc>
          <w:tcPr>
            <w:tcW w:w="347" w:type="pct"/>
            <w:shd w:val="clear" w:color="auto" w:fill="F2F2F2"/>
            <w:hideMark/>
          </w:tcPr>
          <w:p w14:paraId="2AC5E7DA" w14:textId="77777777" w:rsidR="00395D01" w:rsidRPr="00912996" w:rsidRDefault="00395D01" w:rsidP="00292396">
            <w:pPr>
              <w:rPr>
                <w:rFonts w:ascii="Calibri" w:hAnsi="Calibri"/>
                <w:bCs/>
                <w:lang w:eastAsia="ja-JP"/>
              </w:rPr>
            </w:pPr>
            <w:r w:rsidRPr="00912996">
              <w:rPr>
                <w:rFonts w:ascii="Calibri" w:hAnsi="Calibri"/>
                <w:bCs/>
                <w:lang w:eastAsia="ja-JP"/>
              </w:rPr>
              <w:t>2025</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55C6F10"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C5, C10, Bugetul local, alte surse de finanțare</w:t>
            </w:r>
          </w:p>
        </w:tc>
        <w:tc>
          <w:tcPr>
            <w:tcW w:w="433" w:type="pct"/>
            <w:shd w:val="clear" w:color="auto" w:fill="F2F2F2"/>
            <w:hideMark/>
          </w:tcPr>
          <w:p w14:paraId="461D7C9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442C85C"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7A79A3C0" w14:textId="77777777" w:rsidTr="00E16711">
        <w:trPr>
          <w:trHeight w:val="1320"/>
        </w:trPr>
        <w:tc>
          <w:tcPr>
            <w:tcW w:w="205" w:type="pct"/>
            <w:shd w:val="clear" w:color="auto" w:fill="F2F2F2"/>
            <w:noWrap/>
            <w:hideMark/>
          </w:tcPr>
          <w:p w14:paraId="39547553"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0</w:t>
            </w:r>
          </w:p>
        </w:tc>
        <w:tc>
          <w:tcPr>
            <w:tcW w:w="1018" w:type="pct"/>
            <w:gridSpan w:val="2"/>
            <w:shd w:val="clear" w:color="auto" w:fill="F2F2F2"/>
            <w:hideMark/>
          </w:tcPr>
          <w:p w14:paraId="7825C36C" w14:textId="77777777" w:rsidR="00395D01" w:rsidRPr="00912996" w:rsidRDefault="00395D01" w:rsidP="00292396">
            <w:pPr>
              <w:rPr>
                <w:rFonts w:ascii="Calibri" w:hAnsi="Calibri"/>
                <w:bCs/>
                <w:lang w:eastAsia="ja-JP"/>
              </w:rPr>
            </w:pPr>
            <w:r w:rsidRPr="00912996">
              <w:rPr>
                <w:rFonts w:ascii="Calibri" w:hAnsi="Calibri"/>
                <w:bCs/>
                <w:lang w:eastAsia="ja-JP"/>
              </w:rPr>
              <w:t>Program consolidare clădiri publice încadrate în clasa I și II de risc seismic (</w:t>
            </w:r>
            <w:r w:rsidRPr="00912996">
              <w:rPr>
                <w:rFonts w:ascii="Calibri" w:hAnsi="Calibri"/>
                <w:bCs/>
                <w:i/>
                <w:iCs/>
                <w:lang w:eastAsia="ja-JP"/>
              </w:rPr>
              <w:t>Propunere SDLID actualizată: operațiuni integrate de consolidare structurală și eficientizare energetică a clădirilor publice)</w:t>
            </w:r>
          </w:p>
        </w:tc>
        <w:tc>
          <w:tcPr>
            <w:tcW w:w="640" w:type="pct"/>
            <w:shd w:val="clear" w:color="auto" w:fill="F2F2F2"/>
            <w:hideMark/>
          </w:tcPr>
          <w:p w14:paraId="5BC6F101" w14:textId="77777777" w:rsidR="00395D01" w:rsidRPr="00912996" w:rsidRDefault="00395D01" w:rsidP="00292396">
            <w:pPr>
              <w:rPr>
                <w:rFonts w:ascii="Calibri" w:hAnsi="Calibri"/>
                <w:bCs/>
                <w:lang w:eastAsia="ja-JP"/>
              </w:rPr>
            </w:pPr>
            <w:r w:rsidRPr="00912996">
              <w:rPr>
                <w:rFonts w:ascii="Calibri" w:hAnsi="Calibri"/>
                <w:bCs/>
                <w:lang w:eastAsia="ja-JP"/>
              </w:rPr>
              <w:t>PMB, PS2</w:t>
            </w:r>
          </w:p>
        </w:tc>
        <w:tc>
          <w:tcPr>
            <w:tcW w:w="507" w:type="pct"/>
            <w:shd w:val="clear" w:color="auto" w:fill="F2F2F2"/>
            <w:noWrap/>
            <w:hideMark/>
          </w:tcPr>
          <w:p w14:paraId="7A18AD6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noWrap/>
            <w:hideMark/>
          </w:tcPr>
          <w:p w14:paraId="1FC1DDF4" w14:textId="77777777" w:rsidR="00395D01" w:rsidRPr="00912996" w:rsidRDefault="00395D01" w:rsidP="00292396">
            <w:pPr>
              <w:rPr>
                <w:rFonts w:ascii="Calibri" w:hAnsi="Calibri"/>
                <w:bCs/>
                <w:lang w:eastAsia="ja-JP"/>
              </w:rPr>
            </w:pPr>
            <w:r w:rsidRPr="00912996">
              <w:rPr>
                <w:rFonts w:ascii="Calibri" w:hAnsi="Calibri"/>
                <w:bCs/>
                <w:lang w:eastAsia="ja-JP"/>
              </w:rPr>
              <w:t>Conform SF</w:t>
            </w:r>
          </w:p>
        </w:tc>
        <w:tc>
          <w:tcPr>
            <w:tcW w:w="411" w:type="pct"/>
            <w:shd w:val="clear" w:color="auto" w:fill="F2F2F2"/>
            <w:noWrap/>
            <w:hideMark/>
          </w:tcPr>
          <w:p w14:paraId="6B6CABAF" w14:textId="77777777" w:rsidR="00395D01" w:rsidRPr="00912996" w:rsidRDefault="00395D01" w:rsidP="00292396">
            <w:pPr>
              <w:rPr>
                <w:rFonts w:ascii="Calibri" w:hAnsi="Calibri"/>
                <w:bCs/>
                <w:lang w:eastAsia="ja-JP"/>
              </w:rPr>
            </w:pPr>
            <w:r w:rsidRPr="00912996">
              <w:rPr>
                <w:rFonts w:ascii="Calibri" w:hAnsi="Calibri"/>
                <w:bCs/>
                <w:lang w:eastAsia="ja-JP"/>
              </w:rPr>
              <w:t>Conform SF</w:t>
            </w:r>
          </w:p>
        </w:tc>
        <w:tc>
          <w:tcPr>
            <w:tcW w:w="347" w:type="pct"/>
            <w:shd w:val="clear" w:color="auto" w:fill="F2F2F2"/>
            <w:noWrap/>
            <w:hideMark/>
          </w:tcPr>
          <w:p w14:paraId="430354CE" w14:textId="77777777" w:rsidR="00395D01" w:rsidRPr="00912996" w:rsidRDefault="00395D01" w:rsidP="00292396">
            <w:pPr>
              <w:rPr>
                <w:rFonts w:ascii="Calibri" w:hAnsi="Calibri"/>
                <w:bCs/>
                <w:lang w:eastAsia="ja-JP"/>
              </w:rPr>
            </w:pPr>
            <w:r w:rsidRPr="00912996">
              <w:rPr>
                <w:rFonts w:ascii="Calibri" w:hAnsi="Calibri"/>
                <w:bCs/>
                <w:lang w:eastAsia="ja-JP"/>
              </w:rPr>
              <w:t>2022 - 2030</w:t>
            </w:r>
          </w:p>
        </w:tc>
        <w:tc>
          <w:tcPr>
            <w:tcW w:w="484" w:type="pct"/>
            <w:gridSpan w:val="2"/>
            <w:shd w:val="clear" w:color="auto" w:fill="F2F2F2"/>
            <w:hideMark/>
          </w:tcPr>
          <w:p w14:paraId="71D942F7" w14:textId="77777777" w:rsidR="00395D01" w:rsidRPr="00912996" w:rsidRDefault="00395D01" w:rsidP="00292396">
            <w:pPr>
              <w:rPr>
                <w:rFonts w:ascii="Calibri" w:hAnsi="Calibri"/>
                <w:bCs/>
                <w:lang w:eastAsia="ja-JP"/>
              </w:rPr>
            </w:pPr>
            <w:r w:rsidRPr="00912996">
              <w:rPr>
                <w:rFonts w:ascii="Calibri" w:hAnsi="Calibri"/>
                <w:bCs/>
                <w:lang w:eastAsia="ja-JP"/>
              </w:rPr>
              <w:t>POR București-Ilfov 2021 - 2027 Axa 3 OP 2 - OS (iv), bugetul local</w:t>
            </w:r>
          </w:p>
        </w:tc>
        <w:tc>
          <w:tcPr>
            <w:tcW w:w="433" w:type="pct"/>
            <w:shd w:val="clear" w:color="auto" w:fill="F2F2F2"/>
            <w:hideMark/>
          </w:tcPr>
          <w:p w14:paraId="36EAFFA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05EA8AB" w14:textId="77777777" w:rsidR="00395D01" w:rsidRPr="00912996" w:rsidRDefault="00395D01" w:rsidP="00292396">
            <w:pPr>
              <w:rPr>
                <w:rFonts w:ascii="Calibri" w:hAnsi="Calibri"/>
                <w:bCs/>
                <w:lang w:eastAsia="ja-JP"/>
              </w:rPr>
            </w:pPr>
            <w:r w:rsidRPr="00912996">
              <w:rPr>
                <w:rFonts w:ascii="Calibri" w:hAnsi="Calibri"/>
                <w:bCs/>
                <w:lang w:eastAsia="ja-JP"/>
              </w:rPr>
              <w:t>SDL 2016-2025, SIDU MB, Propunere consultant</w:t>
            </w:r>
          </w:p>
        </w:tc>
      </w:tr>
      <w:tr w:rsidR="00E16711" w:rsidRPr="00912996" w14:paraId="50B1018B" w14:textId="77777777" w:rsidTr="00E16711">
        <w:trPr>
          <w:trHeight w:val="1320"/>
        </w:trPr>
        <w:tc>
          <w:tcPr>
            <w:tcW w:w="205" w:type="pct"/>
            <w:shd w:val="clear" w:color="auto" w:fill="F2F2F2"/>
            <w:noWrap/>
          </w:tcPr>
          <w:p w14:paraId="278BF1DD" w14:textId="77777777" w:rsidR="00395D01" w:rsidRPr="00912996" w:rsidRDefault="00395D01" w:rsidP="00292396">
            <w:pPr>
              <w:rPr>
                <w:rFonts w:ascii="Calibri" w:hAnsi="Calibri"/>
                <w:bCs/>
                <w:lang w:eastAsia="ja-JP"/>
              </w:rPr>
            </w:pPr>
            <w:r>
              <w:rPr>
                <w:rFonts w:ascii="Calibri" w:hAnsi="Calibri"/>
                <w:bCs/>
                <w:lang w:eastAsia="ja-JP"/>
              </w:rPr>
              <w:t>11</w:t>
            </w:r>
          </w:p>
        </w:tc>
        <w:tc>
          <w:tcPr>
            <w:tcW w:w="1018" w:type="pct"/>
            <w:gridSpan w:val="2"/>
            <w:shd w:val="clear" w:color="auto" w:fill="F2F2F2"/>
          </w:tcPr>
          <w:p w14:paraId="3ECA8187" w14:textId="77777777" w:rsidR="00395D01" w:rsidRPr="00912996" w:rsidRDefault="00395D01" w:rsidP="00292396">
            <w:pPr>
              <w:rPr>
                <w:rFonts w:ascii="Calibri" w:hAnsi="Calibri"/>
                <w:bCs/>
                <w:lang w:eastAsia="ja-JP"/>
              </w:rPr>
            </w:pPr>
            <w:r w:rsidRPr="009007FB">
              <w:rPr>
                <w:rFonts w:ascii="Calibri" w:hAnsi="Calibri"/>
                <w:bCs/>
                <w:lang w:eastAsia="ja-JP"/>
              </w:rPr>
              <w:t>Creșterea eficienței energetice și modernizarea sediului administrativ al Primăriei Sectorului 2</w:t>
            </w:r>
          </w:p>
        </w:tc>
        <w:tc>
          <w:tcPr>
            <w:tcW w:w="640" w:type="pct"/>
            <w:shd w:val="clear" w:color="auto" w:fill="F2F2F2"/>
          </w:tcPr>
          <w:p w14:paraId="79D7F480" w14:textId="77777777" w:rsidR="00395D01" w:rsidRPr="00912996" w:rsidRDefault="00395D01" w:rsidP="00292396">
            <w:pPr>
              <w:rPr>
                <w:rFonts w:ascii="Calibri" w:hAnsi="Calibri"/>
                <w:bCs/>
                <w:lang w:eastAsia="ja-JP"/>
              </w:rPr>
            </w:pPr>
            <w:r w:rsidRPr="009007FB">
              <w:rPr>
                <w:rFonts w:ascii="Calibri" w:hAnsi="Calibri"/>
                <w:bCs/>
                <w:lang w:eastAsia="ja-JP"/>
              </w:rPr>
              <w:t>PS2</w:t>
            </w:r>
          </w:p>
        </w:tc>
        <w:tc>
          <w:tcPr>
            <w:tcW w:w="507" w:type="pct"/>
            <w:shd w:val="clear" w:color="auto" w:fill="F2F2F2"/>
            <w:noWrap/>
          </w:tcPr>
          <w:p w14:paraId="6CCBD83F" w14:textId="77777777" w:rsidR="00395D01" w:rsidRPr="00912996" w:rsidRDefault="00395D01" w:rsidP="00292396">
            <w:pPr>
              <w:rPr>
                <w:rFonts w:ascii="Calibri" w:hAnsi="Calibri"/>
                <w:bCs/>
                <w:lang w:eastAsia="ja-JP"/>
              </w:rPr>
            </w:pPr>
            <w:r w:rsidRPr="009007FB">
              <w:rPr>
                <w:rFonts w:ascii="Calibri" w:hAnsi="Calibri"/>
                <w:bCs/>
                <w:lang w:eastAsia="ja-JP"/>
              </w:rPr>
              <w:t>Idee</w:t>
            </w:r>
          </w:p>
        </w:tc>
        <w:tc>
          <w:tcPr>
            <w:tcW w:w="473" w:type="pct"/>
            <w:shd w:val="clear" w:color="auto" w:fill="F2F2F2"/>
            <w:noWrap/>
          </w:tcPr>
          <w:p w14:paraId="6333CB91"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411" w:type="pct"/>
            <w:shd w:val="clear" w:color="auto" w:fill="F2F2F2"/>
            <w:noWrap/>
          </w:tcPr>
          <w:p w14:paraId="55155C0E"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347" w:type="pct"/>
            <w:shd w:val="clear" w:color="auto" w:fill="F2F2F2"/>
            <w:noWrap/>
          </w:tcPr>
          <w:p w14:paraId="2F7971E2"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484" w:type="pct"/>
            <w:gridSpan w:val="2"/>
            <w:shd w:val="clear" w:color="auto" w:fill="F2F2F2"/>
          </w:tcPr>
          <w:p w14:paraId="6112BB0C" w14:textId="77777777" w:rsidR="00395D01" w:rsidRPr="00912996" w:rsidRDefault="00395D01" w:rsidP="00292396">
            <w:pPr>
              <w:rPr>
                <w:rFonts w:ascii="Calibri" w:hAnsi="Calibri"/>
                <w:bCs/>
                <w:lang w:eastAsia="ja-JP"/>
              </w:rPr>
            </w:pPr>
            <w:r w:rsidRPr="009007FB">
              <w:rPr>
                <w:rFonts w:ascii="Calibri" w:hAnsi="Calibri"/>
                <w:bCs/>
                <w:lang w:eastAsia="ja-JP"/>
              </w:rPr>
              <w:t>POR BI 2021-2027, AFM, Bugetul local, Alte surse de finanțare</w:t>
            </w:r>
          </w:p>
        </w:tc>
        <w:tc>
          <w:tcPr>
            <w:tcW w:w="433" w:type="pct"/>
            <w:shd w:val="clear" w:color="auto" w:fill="F2F2F2"/>
          </w:tcPr>
          <w:p w14:paraId="269EB44C" w14:textId="77777777" w:rsidR="00395D01" w:rsidRPr="00912996" w:rsidRDefault="00395D01" w:rsidP="00292396">
            <w:pPr>
              <w:rPr>
                <w:rFonts w:ascii="Calibri" w:hAnsi="Calibri"/>
                <w:bCs/>
                <w:lang w:eastAsia="ja-JP"/>
              </w:rPr>
            </w:pPr>
            <w:r w:rsidRPr="009007FB">
              <w:rPr>
                <w:rFonts w:ascii="Calibri" w:hAnsi="Calibri"/>
                <w:bCs/>
                <w:lang w:eastAsia="ja-JP"/>
              </w:rPr>
              <w:t>Lista lungă de proiecte</w:t>
            </w:r>
          </w:p>
        </w:tc>
        <w:tc>
          <w:tcPr>
            <w:tcW w:w="482" w:type="pct"/>
            <w:shd w:val="clear" w:color="auto" w:fill="F2F2F2"/>
          </w:tcPr>
          <w:p w14:paraId="31778188" w14:textId="77777777" w:rsidR="00395D01" w:rsidRPr="00912996" w:rsidRDefault="00395D01" w:rsidP="00292396">
            <w:pPr>
              <w:rPr>
                <w:rFonts w:ascii="Calibri" w:hAnsi="Calibri"/>
                <w:bCs/>
                <w:lang w:eastAsia="ja-JP"/>
              </w:rPr>
            </w:pPr>
            <w:r w:rsidRPr="009007FB">
              <w:rPr>
                <w:rFonts w:ascii="Calibri" w:hAnsi="Calibri"/>
                <w:bCs/>
                <w:lang w:eastAsia="ja-JP"/>
              </w:rPr>
              <w:t>PS2 - DAISE</w:t>
            </w:r>
          </w:p>
        </w:tc>
      </w:tr>
      <w:tr w:rsidR="00E16711" w:rsidRPr="00912996" w14:paraId="7E97BF1E" w14:textId="77777777" w:rsidTr="00E16711">
        <w:trPr>
          <w:trHeight w:val="1320"/>
        </w:trPr>
        <w:tc>
          <w:tcPr>
            <w:tcW w:w="205" w:type="pct"/>
            <w:shd w:val="clear" w:color="auto" w:fill="F2F2F2"/>
            <w:noWrap/>
          </w:tcPr>
          <w:p w14:paraId="319501BF" w14:textId="77777777" w:rsidR="00395D01" w:rsidRDefault="00395D01" w:rsidP="00292396">
            <w:pPr>
              <w:rPr>
                <w:rFonts w:ascii="Calibri" w:hAnsi="Calibri"/>
                <w:bCs/>
                <w:lang w:eastAsia="ja-JP"/>
              </w:rPr>
            </w:pPr>
            <w:r>
              <w:rPr>
                <w:rFonts w:ascii="Calibri" w:hAnsi="Calibri"/>
                <w:bCs/>
                <w:lang w:eastAsia="ja-JP"/>
              </w:rPr>
              <w:t>12</w:t>
            </w:r>
          </w:p>
        </w:tc>
        <w:tc>
          <w:tcPr>
            <w:tcW w:w="1018" w:type="pct"/>
            <w:gridSpan w:val="2"/>
            <w:shd w:val="clear" w:color="auto" w:fill="F2F2F2"/>
          </w:tcPr>
          <w:p w14:paraId="3C70C478" w14:textId="77777777" w:rsidR="00395D01" w:rsidRPr="009007FB" w:rsidRDefault="00395D01" w:rsidP="00292396">
            <w:pPr>
              <w:rPr>
                <w:rFonts w:ascii="Calibri" w:hAnsi="Calibri"/>
                <w:bCs/>
                <w:lang w:eastAsia="ja-JP"/>
              </w:rPr>
            </w:pPr>
            <w:r w:rsidRPr="009007FB">
              <w:rPr>
                <w:rFonts w:ascii="Calibri" w:hAnsi="Calibri"/>
                <w:bCs/>
                <w:lang w:eastAsia="ja-JP"/>
              </w:rPr>
              <w:t>Reabilitare si eficientizare energetica, consolidare si modernizare a sediului din strada Thomas Masaryk nr.</w:t>
            </w:r>
            <w:r>
              <w:rPr>
                <w:rFonts w:ascii="Calibri" w:hAnsi="Calibri"/>
                <w:bCs/>
                <w:lang w:eastAsia="ja-JP"/>
              </w:rPr>
              <w:t xml:space="preserve"> </w:t>
            </w:r>
            <w:r w:rsidRPr="009007FB">
              <w:rPr>
                <w:rFonts w:ascii="Calibri" w:hAnsi="Calibri"/>
                <w:bCs/>
                <w:lang w:eastAsia="ja-JP"/>
              </w:rPr>
              <w:t>22</w:t>
            </w:r>
          </w:p>
        </w:tc>
        <w:tc>
          <w:tcPr>
            <w:tcW w:w="640" w:type="pct"/>
            <w:shd w:val="clear" w:color="auto" w:fill="F2F2F2"/>
          </w:tcPr>
          <w:p w14:paraId="4D2DFF64" w14:textId="77777777" w:rsidR="00395D01" w:rsidRPr="009007FB" w:rsidRDefault="00395D01" w:rsidP="00292396">
            <w:pPr>
              <w:rPr>
                <w:rFonts w:ascii="Calibri" w:hAnsi="Calibri"/>
                <w:bCs/>
                <w:lang w:eastAsia="ja-JP"/>
              </w:rPr>
            </w:pPr>
            <w:r w:rsidRPr="009007FB">
              <w:rPr>
                <w:rFonts w:ascii="Calibri" w:hAnsi="Calibri"/>
                <w:bCs/>
                <w:lang w:eastAsia="ja-JP"/>
              </w:rPr>
              <w:t>PS2</w:t>
            </w:r>
          </w:p>
        </w:tc>
        <w:tc>
          <w:tcPr>
            <w:tcW w:w="507" w:type="pct"/>
            <w:shd w:val="clear" w:color="auto" w:fill="F2F2F2"/>
            <w:noWrap/>
          </w:tcPr>
          <w:p w14:paraId="78AB8A53" w14:textId="77777777" w:rsidR="00395D01" w:rsidRPr="009007FB" w:rsidRDefault="00395D01" w:rsidP="00292396">
            <w:pPr>
              <w:rPr>
                <w:rFonts w:ascii="Calibri" w:hAnsi="Calibri"/>
                <w:bCs/>
                <w:lang w:eastAsia="ja-JP"/>
              </w:rPr>
            </w:pPr>
            <w:r w:rsidRPr="009007FB">
              <w:rPr>
                <w:rFonts w:ascii="Calibri" w:hAnsi="Calibri"/>
                <w:bCs/>
                <w:lang w:eastAsia="ja-JP"/>
              </w:rPr>
              <w:t>Idee</w:t>
            </w:r>
          </w:p>
        </w:tc>
        <w:tc>
          <w:tcPr>
            <w:tcW w:w="473" w:type="pct"/>
            <w:shd w:val="clear" w:color="auto" w:fill="F2F2F2"/>
            <w:noWrap/>
          </w:tcPr>
          <w:p w14:paraId="67E67AAD" w14:textId="77777777" w:rsidR="00395D01" w:rsidRPr="009007FB" w:rsidRDefault="00395D01" w:rsidP="00292396">
            <w:pPr>
              <w:rPr>
                <w:rFonts w:ascii="Calibri" w:hAnsi="Calibri"/>
                <w:bCs/>
                <w:lang w:eastAsia="ja-JP"/>
              </w:rPr>
            </w:pPr>
            <w:r w:rsidRPr="009007FB">
              <w:rPr>
                <w:rFonts w:ascii="Calibri" w:hAnsi="Calibri"/>
                <w:bCs/>
                <w:lang w:eastAsia="ja-JP"/>
              </w:rPr>
              <w:t>N/A</w:t>
            </w:r>
          </w:p>
        </w:tc>
        <w:tc>
          <w:tcPr>
            <w:tcW w:w="411" w:type="pct"/>
            <w:shd w:val="clear" w:color="auto" w:fill="F2F2F2"/>
            <w:noWrap/>
          </w:tcPr>
          <w:p w14:paraId="0FFD27AD" w14:textId="77777777" w:rsidR="00395D01" w:rsidRPr="009007FB" w:rsidRDefault="00395D01" w:rsidP="00292396">
            <w:pPr>
              <w:rPr>
                <w:rFonts w:ascii="Calibri" w:hAnsi="Calibri"/>
                <w:bCs/>
                <w:lang w:eastAsia="ja-JP"/>
              </w:rPr>
            </w:pPr>
            <w:r w:rsidRPr="009007FB">
              <w:rPr>
                <w:rFonts w:ascii="Calibri" w:hAnsi="Calibri"/>
                <w:bCs/>
                <w:lang w:eastAsia="ja-JP"/>
              </w:rPr>
              <w:t>N/A</w:t>
            </w:r>
          </w:p>
        </w:tc>
        <w:tc>
          <w:tcPr>
            <w:tcW w:w="347" w:type="pct"/>
            <w:shd w:val="clear" w:color="auto" w:fill="F2F2F2"/>
            <w:noWrap/>
          </w:tcPr>
          <w:p w14:paraId="7DE7CFBE" w14:textId="77777777" w:rsidR="00395D01" w:rsidRPr="009007FB" w:rsidRDefault="00395D01" w:rsidP="00292396">
            <w:pPr>
              <w:rPr>
                <w:rFonts w:ascii="Calibri" w:hAnsi="Calibri"/>
                <w:bCs/>
                <w:lang w:eastAsia="ja-JP"/>
              </w:rPr>
            </w:pPr>
            <w:r w:rsidRPr="009007FB">
              <w:rPr>
                <w:rFonts w:ascii="Calibri" w:hAnsi="Calibri"/>
                <w:bCs/>
                <w:lang w:eastAsia="ja-JP"/>
              </w:rPr>
              <w:t>N/A</w:t>
            </w:r>
          </w:p>
        </w:tc>
        <w:tc>
          <w:tcPr>
            <w:tcW w:w="484" w:type="pct"/>
            <w:gridSpan w:val="2"/>
            <w:shd w:val="clear" w:color="auto" w:fill="F2F2F2"/>
          </w:tcPr>
          <w:p w14:paraId="41199932" w14:textId="77777777" w:rsidR="00395D01" w:rsidRPr="009007FB" w:rsidRDefault="00395D01" w:rsidP="00292396">
            <w:pPr>
              <w:rPr>
                <w:rFonts w:ascii="Calibri" w:hAnsi="Calibri"/>
                <w:bCs/>
                <w:lang w:eastAsia="ja-JP"/>
              </w:rPr>
            </w:pPr>
            <w:r w:rsidRPr="009007FB">
              <w:rPr>
                <w:rFonts w:ascii="Calibri" w:hAnsi="Calibri"/>
                <w:bCs/>
                <w:lang w:eastAsia="ja-JP"/>
              </w:rPr>
              <w:t>PNRR, POR BI 2021-2027, AFM, Bugetul local, Alte surse de finanțare</w:t>
            </w:r>
          </w:p>
        </w:tc>
        <w:tc>
          <w:tcPr>
            <w:tcW w:w="433" w:type="pct"/>
            <w:shd w:val="clear" w:color="auto" w:fill="F2F2F2"/>
          </w:tcPr>
          <w:p w14:paraId="0E16DFAB" w14:textId="77777777" w:rsidR="00395D01" w:rsidRPr="009007FB" w:rsidRDefault="00395D01" w:rsidP="00292396">
            <w:pPr>
              <w:rPr>
                <w:rFonts w:ascii="Calibri" w:hAnsi="Calibri"/>
                <w:bCs/>
                <w:lang w:eastAsia="ja-JP"/>
              </w:rPr>
            </w:pPr>
            <w:r w:rsidRPr="009007FB">
              <w:rPr>
                <w:rFonts w:ascii="Calibri" w:hAnsi="Calibri"/>
                <w:bCs/>
                <w:lang w:eastAsia="ja-JP"/>
              </w:rPr>
              <w:t>Lista lungă de proiecte</w:t>
            </w:r>
          </w:p>
        </w:tc>
        <w:tc>
          <w:tcPr>
            <w:tcW w:w="482" w:type="pct"/>
            <w:shd w:val="clear" w:color="auto" w:fill="F2F2F2"/>
          </w:tcPr>
          <w:p w14:paraId="1E8F680F" w14:textId="77777777" w:rsidR="00395D01" w:rsidRPr="009007FB" w:rsidRDefault="00395D01" w:rsidP="00292396">
            <w:pPr>
              <w:rPr>
                <w:rFonts w:ascii="Calibri" w:hAnsi="Calibri"/>
                <w:bCs/>
                <w:lang w:eastAsia="ja-JP"/>
              </w:rPr>
            </w:pPr>
            <w:r w:rsidRPr="009007FB">
              <w:rPr>
                <w:rFonts w:ascii="Calibri" w:hAnsi="Calibri"/>
                <w:bCs/>
                <w:lang w:eastAsia="ja-JP"/>
              </w:rPr>
              <w:t>PS2 - DAISE</w:t>
            </w:r>
          </w:p>
        </w:tc>
      </w:tr>
      <w:tr w:rsidR="00E16711" w:rsidRPr="00912996" w14:paraId="15F8C510" w14:textId="77777777" w:rsidTr="00E16711">
        <w:trPr>
          <w:trHeight w:val="1320"/>
        </w:trPr>
        <w:tc>
          <w:tcPr>
            <w:tcW w:w="205" w:type="pct"/>
            <w:shd w:val="clear" w:color="auto" w:fill="F2F2F2"/>
            <w:noWrap/>
          </w:tcPr>
          <w:p w14:paraId="1E8BE088" w14:textId="77777777" w:rsidR="00395D01" w:rsidRDefault="00395D01" w:rsidP="00292396">
            <w:pPr>
              <w:rPr>
                <w:rFonts w:ascii="Calibri" w:hAnsi="Calibri"/>
                <w:bCs/>
                <w:lang w:eastAsia="ja-JP"/>
              </w:rPr>
            </w:pPr>
            <w:r>
              <w:rPr>
                <w:rFonts w:ascii="Calibri" w:hAnsi="Calibri"/>
                <w:bCs/>
                <w:lang w:eastAsia="ja-JP"/>
              </w:rPr>
              <w:t>13</w:t>
            </w:r>
          </w:p>
        </w:tc>
        <w:tc>
          <w:tcPr>
            <w:tcW w:w="1018" w:type="pct"/>
            <w:gridSpan w:val="2"/>
            <w:shd w:val="clear" w:color="auto" w:fill="F2F2F2"/>
          </w:tcPr>
          <w:p w14:paraId="773173FB" w14:textId="77777777" w:rsidR="00395D01" w:rsidRPr="009007FB" w:rsidRDefault="00395D01" w:rsidP="00292396">
            <w:pPr>
              <w:rPr>
                <w:rFonts w:ascii="Calibri" w:hAnsi="Calibri"/>
                <w:bCs/>
                <w:lang w:eastAsia="ja-JP"/>
              </w:rPr>
            </w:pPr>
            <w:r w:rsidRPr="009007FB">
              <w:rPr>
                <w:rFonts w:ascii="Calibri" w:hAnsi="Calibri"/>
                <w:bCs/>
                <w:lang w:eastAsia="ja-JP"/>
              </w:rPr>
              <w:t>Consolidarea, supraetajarea, creșterea eficienței energetice și modernizarea clădirii situată  pe strada Grigore Moisil nr.</w:t>
            </w:r>
            <w:r>
              <w:rPr>
                <w:rFonts w:ascii="Calibri" w:hAnsi="Calibri"/>
                <w:bCs/>
                <w:lang w:eastAsia="ja-JP"/>
              </w:rPr>
              <w:t xml:space="preserve"> </w:t>
            </w:r>
            <w:r w:rsidRPr="009007FB">
              <w:rPr>
                <w:rFonts w:ascii="Calibri" w:hAnsi="Calibri"/>
                <w:bCs/>
                <w:lang w:eastAsia="ja-JP"/>
              </w:rPr>
              <w:t>12</w:t>
            </w:r>
          </w:p>
        </w:tc>
        <w:tc>
          <w:tcPr>
            <w:tcW w:w="640" w:type="pct"/>
            <w:shd w:val="clear" w:color="auto" w:fill="F2F2F2"/>
          </w:tcPr>
          <w:p w14:paraId="3F3B5553" w14:textId="77777777" w:rsidR="00395D01" w:rsidRPr="009007FB" w:rsidRDefault="00395D01" w:rsidP="00292396">
            <w:pPr>
              <w:rPr>
                <w:rFonts w:ascii="Calibri" w:hAnsi="Calibri"/>
                <w:bCs/>
                <w:lang w:eastAsia="ja-JP"/>
              </w:rPr>
            </w:pPr>
            <w:r w:rsidRPr="009007FB">
              <w:rPr>
                <w:rFonts w:ascii="Calibri" w:hAnsi="Calibri"/>
                <w:bCs/>
                <w:lang w:eastAsia="ja-JP"/>
              </w:rPr>
              <w:t>PS2</w:t>
            </w:r>
          </w:p>
        </w:tc>
        <w:tc>
          <w:tcPr>
            <w:tcW w:w="507" w:type="pct"/>
            <w:shd w:val="clear" w:color="auto" w:fill="F2F2F2"/>
            <w:noWrap/>
          </w:tcPr>
          <w:p w14:paraId="624535C7" w14:textId="77777777" w:rsidR="00395D01" w:rsidRPr="009007FB" w:rsidRDefault="00395D01" w:rsidP="00292396">
            <w:pPr>
              <w:rPr>
                <w:rFonts w:ascii="Calibri" w:hAnsi="Calibri"/>
                <w:bCs/>
                <w:lang w:eastAsia="ja-JP"/>
              </w:rPr>
            </w:pPr>
            <w:r w:rsidRPr="009007FB">
              <w:rPr>
                <w:rFonts w:ascii="Calibri" w:hAnsi="Calibri"/>
                <w:bCs/>
                <w:lang w:eastAsia="ja-JP"/>
              </w:rPr>
              <w:t>DALI</w:t>
            </w:r>
          </w:p>
        </w:tc>
        <w:tc>
          <w:tcPr>
            <w:tcW w:w="473" w:type="pct"/>
            <w:shd w:val="clear" w:color="auto" w:fill="F2F2F2"/>
            <w:noWrap/>
          </w:tcPr>
          <w:p w14:paraId="142D1153" w14:textId="77777777" w:rsidR="00395D01" w:rsidRPr="009007FB" w:rsidRDefault="00395D01" w:rsidP="00292396">
            <w:pPr>
              <w:rPr>
                <w:rFonts w:ascii="Calibri" w:hAnsi="Calibri"/>
                <w:bCs/>
                <w:lang w:eastAsia="ja-JP"/>
              </w:rPr>
            </w:pPr>
            <w:r w:rsidRPr="009007FB">
              <w:rPr>
                <w:rFonts w:ascii="Calibri" w:hAnsi="Calibri"/>
                <w:bCs/>
                <w:lang w:eastAsia="ja-JP"/>
              </w:rPr>
              <w:t>N/A</w:t>
            </w:r>
          </w:p>
        </w:tc>
        <w:tc>
          <w:tcPr>
            <w:tcW w:w="411" w:type="pct"/>
            <w:shd w:val="clear" w:color="auto" w:fill="F2F2F2"/>
            <w:noWrap/>
          </w:tcPr>
          <w:p w14:paraId="1FFE6490" w14:textId="77777777" w:rsidR="00395D01" w:rsidRPr="009007FB" w:rsidRDefault="00395D01" w:rsidP="00292396">
            <w:pPr>
              <w:rPr>
                <w:rFonts w:ascii="Calibri" w:hAnsi="Calibri"/>
                <w:bCs/>
                <w:lang w:eastAsia="ja-JP"/>
              </w:rPr>
            </w:pPr>
            <w:r w:rsidRPr="009007FB">
              <w:rPr>
                <w:rFonts w:ascii="Calibri" w:hAnsi="Calibri"/>
                <w:bCs/>
                <w:lang w:eastAsia="ja-JP"/>
              </w:rPr>
              <w:t>N/A</w:t>
            </w:r>
          </w:p>
        </w:tc>
        <w:tc>
          <w:tcPr>
            <w:tcW w:w="347" w:type="pct"/>
            <w:shd w:val="clear" w:color="auto" w:fill="F2F2F2"/>
            <w:noWrap/>
          </w:tcPr>
          <w:p w14:paraId="7D649FC2" w14:textId="77777777" w:rsidR="00395D01" w:rsidRPr="009007FB" w:rsidRDefault="00395D01" w:rsidP="00292396">
            <w:pPr>
              <w:rPr>
                <w:rFonts w:ascii="Calibri" w:hAnsi="Calibri"/>
                <w:bCs/>
                <w:lang w:eastAsia="ja-JP"/>
              </w:rPr>
            </w:pPr>
            <w:r w:rsidRPr="009007FB">
              <w:rPr>
                <w:rFonts w:ascii="Calibri" w:hAnsi="Calibri"/>
                <w:bCs/>
                <w:lang w:eastAsia="ja-JP"/>
              </w:rPr>
              <w:t>N/A</w:t>
            </w:r>
          </w:p>
        </w:tc>
        <w:tc>
          <w:tcPr>
            <w:tcW w:w="484" w:type="pct"/>
            <w:gridSpan w:val="2"/>
            <w:shd w:val="clear" w:color="auto" w:fill="F2F2F2"/>
          </w:tcPr>
          <w:p w14:paraId="1851BF34" w14:textId="77777777" w:rsidR="00395D01" w:rsidRPr="009007FB" w:rsidRDefault="00395D01" w:rsidP="00292396">
            <w:pPr>
              <w:rPr>
                <w:rFonts w:ascii="Calibri" w:hAnsi="Calibri"/>
                <w:bCs/>
                <w:lang w:eastAsia="ja-JP"/>
              </w:rPr>
            </w:pPr>
            <w:r w:rsidRPr="009007FB">
              <w:rPr>
                <w:rFonts w:ascii="Calibri" w:hAnsi="Calibri"/>
                <w:bCs/>
                <w:lang w:eastAsia="ja-JP"/>
              </w:rPr>
              <w:t>PNRR, POR BI 2021-2027, AFM, Bugetul local, Alte surse de finanțare</w:t>
            </w:r>
          </w:p>
        </w:tc>
        <w:tc>
          <w:tcPr>
            <w:tcW w:w="433" w:type="pct"/>
            <w:shd w:val="clear" w:color="auto" w:fill="F2F2F2"/>
          </w:tcPr>
          <w:p w14:paraId="1320ECC2" w14:textId="77777777" w:rsidR="00395D01" w:rsidRPr="009007FB" w:rsidRDefault="00395D01" w:rsidP="00292396">
            <w:pPr>
              <w:rPr>
                <w:rFonts w:ascii="Calibri" w:hAnsi="Calibri"/>
                <w:bCs/>
                <w:lang w:eastAsia="ja-JP"/>
              </w:rPr>
            </w:pPr>
            <w:r w:rsidRPr="009007FB">
              <w:rPr>
                <w:rFonts w:ascii="Calibri" w:hAnsi="Calibri"/>
                <w:bCs/>
                <w:lang w:eastAsia="ja-JP"/>
              </w:rPr>
              <w:t>Lista lungă de proiecte</w:t>
            </w:r>
          </w:p>
        </w:tc>
        <w:tc>
          <w:tcPr>
            <w:tcW w:w="482" w:type="pct"/>
            <w:shd w:val="clear" w:color="auto" w:fill="F2F2F2"/>
          </w:tcPr>
          <w:p w14:paraId="71279129" w14:textId="77777777" w:rsidR="00395D01" w:rsidRPr="009007FB" w:rsidRDefault="00395D01" w:rsidP="00292396">
            <w:pPr>
              <w:rPr>
                <w:rFonts w:ascii="Calibri" w:hAnsi="Calibri"/>
                <w:bCs/>
                <w:lang w:eastAsia="ja-JP"/>
              </w:rPr>
            </w:pPr>
            <w:r w:rsidRPr="009007FB">
              <w:rPr>
                <w:rFonts w:ascii="Calibri" w:hAnsi="Calibri"/>
                <w:bCs/>
                <w:lang w:eastAsia="ja-JP"/>
              </w:rPr>
              <w:t>PS2 - DAISE</w:t>
            </w:r>
          </w:p>
        </w:tc>
      </w:tr>
      <w:tr w:rsidR="00E16711" w:rsidRPr="00912996" w14:paraId="0773C36C" w14:textId="77777777" w:rsidTr="00E16711">
        <w:trPr>
          <w:trHeight w:val="1320"/>
        </w:trPr>
        <w:tc>
          <w:tcPr>
            <w:tcW w:w="205" w:type="pct"/>
            <w:shd w:val="clear" w:color="auto" w:fill="F2F2F2"/>
            <w:noWrap/>
          </w:tcPr>
          <w:p w14:paraId="03ACB156" w14:textId="77777777" w:rsidR="00395D01" w:rsidRDefault="00395D01" w:rsidP="00292396">
            <w:pPr>
              <w:rPr>
                <w:rFonts w:ascii="Calibri" w:hAnsi="Calibri"/>
                <w:bCs/>
                <w:lang w:eastAsia="ja-JP"/>
              </w:rPr>
            </w:pPr>
            <w:r>
              <w:rPr>
                <w:rFonts w:ascii="Calibri" w:hAnsi="Calibri"/>
                <w:bCs/>
                <w:lang w:eastAsia="ja-JP"/>
              </w:rPr>
              <w:t>14</w:t>
            </w:r>
          </w:p>
        </w:tc>
        <w:tc>
          <w:tcPr>
            <w:tcW w:w="1018" w:type="pct"/>
            <w:gridSpan w:val="2"/>
            <w:shd w:val="clear" w:color="auto" w:fill="F2F2F2"/>
          </w:tcPr>
          <w:p w14:paraId="131BDE67" w14:textId="77777777" w:rsidR="00395D01" w:rsidRPr="009007FB" w:rsidRDefault="00395D01" w:rsidP="00292396">
            <w:pPr>
              <w:rPr>
                <w:rFonts w:ascii="Calibri" w:hAnsi="Calibri"/>
                <w:bCs/>
                <w:lang w:eastAsia="ja-JP"/>
              </w:rPr>
            </w:pPr>
            <w:r w:rsidRPr="009007FB">
              <w:rPr>
                <w:rFonts w:ascii="Calibri" w:hAnsi="Calibri"/>
                <w:bCs/>
                <w:lang w:eastAsia="ja-JP"/>
              </w:rPr>
              <w:t>Dotarea cu materiale de protecție civilă a Primăriei Sectorului 2</w:t>
            </w:r>
          </w:p>
        </w:tc>
        <w:tc>
          <w:tcPr>
            <w:tcW w:w="640" w:type="pct"/>
            <w:shd w:val="clear" w:color="auto" w:fill="F2F2F2"/>
          </w:tcPr>
          <w:p w14:paraId="2F2FC4B3" w14:textId="77777777" w:rsidR="00395D01" w:rsidRPr="009007FB" w:rsidRDefault="00395D01" w:rsidP="00292396">
            <w:pPr>
              <w:rPr>
                <w:rFonts w:ascii="Calibri" w:hAnsi="Calibri"/>
                <w:bCs/>
                <w:lang w:eastAsia="ja-JP"/>
              </w:rPr>
            </w:pPr>
            <w:r w:rsidRPr="009007FB">
              <w:rPr>
                <w:rFonts w:ascii="Calibri" w:hAnsi="Calibri"/>
                <w:bCs/>
                <w:lang w:eastAsia="ja-JP"/>
              </w:rPr>
              <w:t>PS2/SMSU</w:t>
            </w:r>
          </w:p>
        </w:tc>
        <w:tc>
          <w:tcPr>
            <w:tcW w:w="507" w:type="pct"/>
            <w:shd w:val="clear" w:color="auto" w:fill="F2F2F2"/>
            <w:noWrap/>
          </w:tcPr>
          <w:p w14:paraId="5699D21B" w14:textId="77777777" w:rsidR="00395D01" w:rsidRPr="009007FB" w:rsidRDefault="00395D01" w:rsidP="00292396">
            <w:pPr>
              <w:rPr>
                <w:rFonts w:ascii="Calibri" w:hAnsi="Calibri"/>
                <w:bCs/>
                <w:lang w:eastAsia="ja-JP"/>
              </w:rPr>
            </w:pPr>
            <w:r w:rsidRPr="009007FB">
              <w:rPr>
                <w:rFonts w:ascii="Calibri" w:hAnsi="Calibri"/>
                <w:bCs/>
                <w:lang w:eastAsia="ja-JP"/>
              </w:rPr>
              <w:t xml:space="preserve">Idee </w:t>
            </w:r>
          </w:p>
        </w:tc>
        <w:tc>
          <w:tcPr>
            <w:tcW w:w="473" w:type="pct"/>
            <w:shd w:val="clear" w:color="auto" w:fill="F2F2F2"/>
            <w:noWrap/>
          </w:tcPr>
          <w:p w14:paraId="661E2FCC" w14:textId="77777777" w:rsidR="00395D01" w:rsidRPr="009007FB" w:rsidRDefault="00395D01" w:rsidP="00292396">
            <w:pPr>
              <w:rPr>
                <w:rFonts w:ascii="Calibri" w:hAnsi="Calibri"/>
                <w:bCs/>
                <w:lang w:eastAsia="ja-JP"/>
              </w:rPr>
            </w:pPr>
            <w:r w:rsidRPr="009007FB">
              <w:rPr>
                <w:rFonts w:ascii="Calibri" w:hAnsi="Calibri"/>
                <w:bCs/>
                <w:lang w:eastAsia="ja-JP"/>
              </w:rPr>
              <w:t>400</w:t>
            </w:r>
            <w:r>
              <w:rPr>
                <w:rFonts w:ascii="Calibri" w:hAnsi="Calibri"/>
                <w:bCs/>
                <w:lang w:eastAsia="ja-JP"/>
              </w:rPr>
              <w:t>,</w:t>
            </w:r>
            <w:r w:rsidRPr="009007FB">
              <w:rPr>
                <w:rFonts w:ascii="Calibri" w:hAnsi="Calibri"/>
                <w:bCs/>
                <w:lang w:eastAsia="ja-JP"/>
              </w:rPr>
              <w:t>000</w:t>
            </w:r>
          </w:p>
        </w:tc>
        <w:tc>
          <w:tcPr>
            <w:tcW w:w="411" w:type="pct"/>
            <w:shd w:val="clear" w:color="auto" w:fill="F2F2F2"/>
            <w:noWrap/>
          </w:tcPr>
          <w:p w14:paraId="2F1C84B8" w14:textId="77777777" w:rsidR="00395D01" w:rsidRPr="009007FB" w:rsidRDefault="00395D01" w:rsidP="00292396">
            <w:pPr>
              <w:rPr>
                <w:rFonts w:ascii="Calibri" w:hAnsi="Calibri"/>
                <w:bCs/>
                <w:lang w:eastAsia="ja-JP"/>
              </w:rPr>
            </w:pPr>
            <w:r w:rsidRPr="009007FB">
              <w:rPr>
                <w:rFonts w:ascii="Calibri" w:hAnsi="Calibri"/>
                <w:bCs/>
                <w:lang w:eastAsia="ja-JP"/>
              </w:rPr>
              <w:t>80</w:t>
            </w:r>
            <w:r>
              <w:rPr>
                <w:rFonts w:ascii="Calibri" w:hAnsi="Calibri"/>
                <w:bCs/>
                <w:lang w:eastAsia="ja-JP"/>
              </w:rPr>
              <w:t>,</w:t>
            </w:r>
            <w:r w:rsidRPr="009007FB">
              <w:rPr>
                <w:rFonts w:ascii="Calibri" w:hAnsi="Calibri"/>
                <w:bCs/>
                <w:lang w:eastAsia="ja-JP"/>
              </w:rPr>
              <w:t>000</w:t>
            </w:r>
          </w:p>
        </w:tc>
        <w:tc>
          <w:tcPr>
            <w:tcW w:w="347" w:type="pct"/>
            <w:shd w:val="clear" w:color="auto" w:fill="F2F2F2"/>
            <w:noWrap/>
          </w:tcPr>
          <w:p w14:paraId="741C57FD" w14:textId="77777777" w:rsidR="00395D01" w:rsidRPr="009007FB" w:rsidRDefault="00395D01" w:rsidP="00292396">
            <w:pPr>
              <w:rPr>
                <w:rFonts w:ascii="Calibri" w:hAnsi="Calibri"/>
                <w:bCs/>
                <w:lang w:eastAsia="ja-JP"/>
              </w:rPr>
            </w:pPr>
            <w:r w:rsidRPr="009007FB">
              <w:rPr>
                <w:rFonts w:ascii="Calibri" w:hAnsi="Calibri"/>
                <w:bCs/>
                <w:lang w:eastAsia="ja-JP"/>
              </w:rPr>
              <w:t>2023</w:t>
            </w:r>
            <w:r>
              <w:rPr>
                <w:rFonts w:ascii="Calibri" w:hAnsi="Calibri"/>
                <w:bCs/>
                <w:lang w:eastAsia="ja-JP"/>
              </w:rPr>
              <w:t xml:space="preserve"> </w:t>
            </w:r>
            <w:r w:rsidRPr="009007FB">
              <w:rPr>
                <w:rFonts w:ascii="Calibri" w:hAnsi="Calibri"/>
                <w:bCs/>
                <w:lang w:eastAsia="ja-JP"/>
              </w:rPr>
              <w:t>-2024</w:t>
            </w:r>
          </w:p>
        </w:tc>
        <w:tc>
          <w:tcPr>
            <w:tcW w:w="484" w:type="pct"/>
            <w:gridSpan w:val="2"/>
            <w:shd w:val="clear" w:color="auto" w:fill="F2F2F2"/>
          </w:tcPr>
          <w:p w14:paraId="7E687A3F" w14:textId="77777777" w:rsidR="00395D01" w:rsidRPr="009007FB" w:rsidRDefault="00395D01" w:rsidP="00292396">
            <w:pPr>
              <w:rPr>
                <w:rFonts w:ascii="Calibri" w:hAnsi="Calibri"/>
                <w:bCs/>
                <w:lang w:eastAsia="ja-JP"/>
              </w:rPr>
            </w:pPr>
            <w:r w:rsidRPr="009007FB">
              <w:rPr>
                <w:rFonts w:ascii="Calibri" w:hAnsi="Calibri"/>
                <w:bCs/>
                <w:lang w:eastAsia="ja-JP"/>
              </w:rPr>
              <w:t>Bugetul local,  Alte surse de finanțare</w:t>
            </w:r>
          </w:p>
        </w:tc>
        <w:tc>
          <w:tcPr>
            <w:tcW w:w="433" w:type="pct"/>
            <w:shd w:val="clear" w:color="auto" w:fill="F2F2F2"/>
          </w:tcPr>
          <w:p w14:paraId="0926AE1D" w14:textId="77777777" w:rsidR="00395D01" w:rsidRPr="009007FB" w:rsidRDefault="00395D01" w:rsidP="00292396">
            <w:pPr>
              <w:rPr>
                <w:rFonts w:ascii="Calibri" w:hAnsi="Calibri"/>
                <w:bCs/>
                <w:lang w:eastAsia="ja-JP"/>
              </w:rPr>
            </w:pPr>
            <w:r w:rsidRPr="009007FB">
              <w:rPr>
                <w:rFonts w:ascii="Calibri" w:hAnsi="Calibri"/>
                <w:bCs/>
                <w:lang w:eastAsia="ja-JP"/>
              </w:rPr>
              <w:t>Lista lung</w:t>
            </w:r>
            <w:r>
              <w:rPr>
                <w:rFonts w:ascii="Calibri" w:hAnsi="Calibri"/>
                <w:bCs/>
                <w:lang w:eastAsia="ja-JP"/>
              </w:rPr>
              <w:t>ă</w:t>
            </w:r>
          </w:p>
        </w:tc>
        <w:tc>
          <w:tcPr>
            <w:tcW w:w="482" w:type="pct"/>
            <w:shd w:val="clear" w:color="auto" w:fill="F2F2F2"/>
          </w:tcPr>
          <w:p w14:paraId="2BF23F51" w14:textId="77777777" w:rsidR="00395D01" w:rsidRPr="009007FB" w:rsidRDefault="00395D01" w:rsidP="00292396">
            <w:pPr>
              <w:rPr>
                <w:rFonts w:ascii="Calibri" w:hAnsi="Calibri"/>
                <w:bCs/>
                <w:lang w:eastAsia="ja-JP"/>
              </w:rPr>
            </w:pPr>
            <w:r w:rsidRPr="009007FB">
              <w:rPr>
                <w:rFonts w:ascii="Calibri" w:hAnsi="Calibri"/>
                <w:bCs/>
                <w:lang w:eastAsia="ja-JP"/>
              </w:rPr>
              <w:t>PS2/SMSU</w:t>
            </w:r>
          </w:p>
        </w:tc>
      </w:tr>
      <w:tr w:rsidR="00395D01" w:rsidRPr="00912996" w14:paraId="0B38965D" w14:textId="77777777" w:rsidTr="00292396">
        <w:trPr>
          <w:trHeight w:val="264"/>
        </w:trPr>
        <w:tc>
          <w:tcPr>
            <w:tcW w:w="5000" w:type="pct"/>
            <w:gridSpan w:val="12"/>
            <w:shd w:val="clear" w:color="auto" w:fill="BBD9A0"/>
            <w:noWrap/>
            <w:hideMark/>
          </w:tcPr>
          <w:p w14:paraId="7F1CB429" w14:textId="77777777" w:rsidR="00395D01" w:rsidRPr="00912996" w:rsidRDefault="00395D01" w:rsidP="008539DB">
            <w:pPr>
              <w:jc w:val="center"/>
              <w:rPr>
                <w:rFonts w:ascii="Calibri" w:hAnsi="Calibri"/>
                <w:b/>
                <w:bCs/>
                <w:lang w:eastAsia="ja-JP"/>
              </w:rPr>
            </w:pPr>
            <w:r w:rsidRPr="00912996">
              <w:rPr>
                <w:rFonts w:ascii="Calibri" w:hAnsi="Calibri"/>
                <w:b/>
                <w:bCs/>
                <w:color w:val="FFFFFF"/>
                <w:lang w:eastAsia="ja-JP"/>
              </w:rPr>
              <w:t>D1.1.2. Dezvoltarea cadrului operațional pentru asigurarea unei imagini și dezvoltări urbane unitare, coerente</w:t>
            </w:r>
          </w:p>
        </w:tc>
      </w:tr>
      <w:tr w:rsidR="00E16711" w:rsidRPr="00912996" w14:paraId="4A21B853" w14:textId="77777777" w:rsidTr="00E16711">
        <w:trPr>
          <w:trHeight w:val="1848"/>
        </w:trPr>
        <w:tc>
          <w:tcPr>
            <w:tcW w:w="205" w:type="pct"/>
            <w:shd w:val="clear" w:color="auto" w:fill="F2F2F2"/>
            <w:noWrap/>
            <w:hideMark/>
          </w:tcPr>
          <w:p w14:paraId="14ED1EDE"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67C5DD26" w14:textId="77777777" w:rsidR="00395D01" w:rsidRPr="00912996" w:rsidRDefault="00395D01" w:rsidP="00292396">
            <w:pPr>
              <w:rPr>
                <w:rFonts w:ascii="Calibri" w:hAnsi="Calibri"/>
                <w:bCs/>
                <w:lang w:eastAsia="ja-JP"/>
              </w:rPr>
            </w:pPr>
            <w:r w:rsidRPr="00912996">
              <w:rPr>
                <w:rFonts w:ascii="Calibri" w:hAnsi="Calibri"/>
                <w:bCs/>
                <w:lang w:eastAsia="ja-JP"/>
              </w:rPr>
              <w:t>PUZ regenerare urbană  pol urban principal Barbu Văcărescu – Gheorghe Țițeica cu scopul reglementării urbanistice a investițiilor private, reglementarea obiectivelor de utilitate publică și amenajarea spațiilor publice, elaborat în format GIS</w:t>
            </w:r>
          </w:p>
        </w:tc>
        <w:tc>
          <w:tcPr>
            <w:tcW w:w="640" w:type="pct"/>
            <w:shd w:val="clear" w:color="auto" w:fill="F2F2F2"/>
            <w:hideMark/>
          </w:tcPr>
          <w:p w14:paraId="2CC1E4FB" w14:textId="77777777" w:rsidR="00395D01" w:rsidRPr="00912996" w:rsidRDefault="00395D01" w:rsidP="00292396">
            <w:pPr>
              <w:rPr>
                <w:rFonts w:ascii="Calibri" w:hAnsi="Calibri"/>
                <w:bCs/>
                <w:lang w:eastAsia="ja-JP"/>
              </w:rPr>
            </w:pPr>
            <w:r w:rsidRPr="00912996">
              <w:rPr>
                <w:rFonts w:ascii="Calibri" w:hAnsi="Calibri"/>
                <w:bCs/>
                <w:lang w:eastAsia="ja-JP"/>
              </w:rPr>
              <w:t>PS2, Direcția de Urbanism</w:t>
            </w:r>
          </w:p>
        </w:tc>
        <w:tc>
          <w:tcPr>
            <w:tcW w:w="507" w:type="pct"/>
            <w:shd w:val="clear" w:color="auto" w:fill="F2F2F2"/>
            <w:hideMark/>
          </w:tcPr>
          <w:p w14:paraId="257A336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C137F96" w14:textId="77777777" w:rsidR="00395D01" w:rsidRPr="00912996" w:rsidRDefault="00395D01" w:rsidP="00292396">
            <w:pPr>
              <w:rPr>
                <w:rFonts w:ascii="Calibri" w:hAnsi="Calibri"/>
                <w:bCs/>
                <w:lang w:eastAsia="ja-JP"/>
              </w:rPr>
            </w:pPr>
            <w:r w:rsidRPr="00912996">
              <w:rPr>
                <w:rFonts w:ascii="Calibri" w:hAnsi="Calibri"/>
                <w:bCs/>
                <w:lang w:eastAsia="ja-JP"/>
              </w:rPr>
              <w:t>600,000</w:t>
            </w:r>
          </w:p>
        </w:tc>
        <w:tc>
          <w:tcPr>
            <w:tcW w:w="411" w:type="pct"/>
            <w:shd w:val="clear" w:color="auto" w:fill="F2F2F2"/>
            <w:hideMark/>
          </w:tcPr>
          <w:p w14:paraId="73129706" w14:textId="77777777" w:rsidR="00395D01" w:rsidRPr="00912996" w:rsidRDefault="00395D01" w:rsidP="00292396">
            <w:pPr>
              <w:rPr>
                <w:rFonts w:ascii="Calibri" w:hAnsi="Calibri"/>
                <w:bCs/>
                <w:lang w:eastAsia="ja-JP"/>
              </w:rPr>
            </w:pPr>
            <w:r w:rsidRPr="00912996">
              <w:rPr>
                <w:rFonts w:ascii="Calibri" w:hAnsi="Calibri"/>
                <w:bCs/>
                <w:lang w:eastAsia="ja-JP"/>
              </w:rPr>
              <w:t>122,449</w:t>
            </w:r>
          </w:p>
        </w:tc>
        <w:tc>
          <w:tcPr>
            <w:tcW w:w="347" w:type="pct"/>
            <w:shd w:val="clear" w:color="auto" w:fill="F2F2F2"/>
            <w:hideMark/>
          </w:tcPr>
          <w:p w14:paraId="2B38B2D9"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3931F770" w14:textId="77777777" w:rsidR="00395D01" w:rsidRPr="00912996" w:rsidRDefault="00395D01" w:rsidP="00292396">
            <w:pPr>
              <w:rPr>
                <w:rFonts w:ascii="Calibri" w:hAnsi="Calibri"/>
                <w:bCs/>
                <w:lang w:eastAsia="ja-JP"/>
              </w:rPr>
            </w:pPr>
            <w:r w:rsidRPr="00912996">
              <w:rPr>
                <w:rFonts w:ascii="Calibri" w:hAnsi="Calibri"/>
                <w:bCs/>
                <w:lang w:eastAsia="ja-JP"/>
              </w:rPr>
              <w:t>PNRR C10, bugetul local, alte surse de finanțare</w:t>
            </w:r>
          </w:p>
        </w:tc>
        <w:tc>
          <w:tcPr>
            <w:tcW w:w="433" w:type="pct"/>
            <w:shd w:val="clear" w:color="auto" w:fill="F2F2F2"/>
            <w:hideMark/>
          </w:tcPr>
          <w:p w14:paraId="4CEE5DE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F953511"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consultant/SIDU MB</w:t>
            </w:r>
          </w:p>
        </w:tc>
      </w:tr>
      <w:tr w:rsidR="00E16711" w:rsidRPr="00912996" w14:paraId="36D01823" w14:textId="77777777" w:rsidTr="00E16711">
        <w:trPr>
          <w:trHeight w:val="1584"/>
        </w:trPr>
        <w:tc>
          <w:tcPr>
            <w:tcW w:w="205" w:type="pct"/>
            <w:shd w:val="clear" w:color="auto" w:fill="F2F2F2"/>
            <w:noWrap/>
            <w:hideMark/>
          </w:tcPr>
          <w:p w14:paraId="0AA91867"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1419EF81" w14:textId="77777777" w:rsidR="00395D01" w:rsidRPr="00912996" w:rsidRDefault="00395D01" w:rsidP="00292396">
            <w:pPr>
              <w:rPr>
                <w:rFonts w:ascii="Calibri" w:hAnsi="Calibri"/>
                <w:bCs/>
                <w:lang w:eastAsia="ja-JP"/>
              </w:rPr>
            </w:pPr>
            <w:r w:rsidRPr="00912996">
              <w:rPr>
                <w:rFonts w:ascii="Calibri" w:hAnsi="Calibri"/>
                <w:bCs/>
                <w:lang w:eastAsia="ja-JP"/>
              </w:rPr>
              <w:t>PUZ regenerare urbană  pol urban principal Petricani cu scopul reglementării urbanistice a investițiilor private, reglementarea obiectivelor de utilitate publică și amenajarea spațiilor publice, elaborat în format GIS</w:t>
            </w:r>
          </w:p>
        </w:tc>
        <w:tc>
          <w:tcPr>
            <w:tcW w:w="640" w:type="pct"/>
            <w:shd w:val="clear" w:color="auto" w:fill="F2F2F2"/>
            <w:hideMark/>
          </w:tcPr>
          <w:p w14:paraId="4205D14D" w14:textId="77777777" w:rsidR="00395D01" w:rsidRPr="00912996" w:rsidRDefault="00395D01" w:rsidP="00292396">
            <w:pPr>
              <w:rPr>
                <w:rFonts w:ascii="Calibri" w:hAnsi="Calibri"/>
                <w:bCs/>
                <w:lang w:eastAsia="ja-JP"/>
              </w:rPr>
            </w:pPr>
            <w:r w:rsidRPr="00912996">
              <w:rPr>
                <w:rFonts w:ascii="Calibri" w:hAnsi="Calibri"/>
                <w:bCs/>
                <w:lang w:eastAsia="ja-JP"/>
              </w:rPr>
              <w:t>PS2, Direcția de Urbanism</w:t>
            </w:r>
          </w:p>
        </w:tc>
        <w:tc>
          <w:tcPr>
            <w:tcW w:w="507" w:type="pct"/>
            <w:shd w:val="clear" w:color="auto" w:fill="F2F2F2"/>
            <w:hideMark/>
          </w:tcPr>
          <w:p w14:paraId="743B3B9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F6A91D6"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411" w:type="pct"/>
            <w:shd w:val="clear" w:color="auto" w:fill="F2F2F2"/>
            <w:hideMark/>
          </w:tcPr>
          <w:p w14:paraId="56698134" w14:textId="77777777" w:rsidR="00395D01" w:rsidRPr="00912996" w:rsidRDefault="00395D01" w:rsidP="00292396">
            <w:pPr>
              <w:rPr>
                <w:rFonts w:ascii="Calibri" w:hAnsi="Calibri"/>
                <w:bCs/>
                <w:lang w:eastAsia="ja-JP"/>
              </w:rPr>
            </w:pPr>
            <w:r w:rsidRPr="00912996">
              <w:rPr>
                <w:rFonts w:ascii="Calibri" w:hAnsi="Calibri"/>
                <w:bCs/>
                <w:lang w:eastAsia="ja-JP"/>
              </w:rPr>
              <w:t>102,041</w:t>
            </w:r>
          </w:p>
        </w:tc>
        <w:tc>
          <w:tcPr>
            <w:tcW w:w="347" w:type="pct"/>
            <w:shd w:val="clear" w:color="auto" w:fill="F2F2F2"/>
            <w:hideMark/>
          </w:tcPr>
          <w:p w14:paraId="288E8627"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7EBD4CF9" w14:textId="77777777" w:rsidR="00395D01" w:rsidRPr="00912996" w:rsidRDefault="00395D01" w:rsidP="00292396">
            <w:pPr>
              <w:rPr>
                <w:rFonts w:ascii="Calibri" w:hAnsi="Calibri"/>
                <w:bCs/>
                <w:lang w:eastAsia="ja-JP"/>
              </w:rPr>
            </w:pPr>
            <w:r w:rsidRPr="00912996">
              <w:rPr>
                <w:rFonts w:ascii="Calibri" w:hAnsi="Calibri"/>
                <w:bCs/>
                <w:lang w:eastAsia="ja-JP"/>
              </w:rPr>
              <w:t>PNRR C10, bugetul local, alte surse de finanțare</w:t>
            </w:r>
          </w:p>
        </w:tc>
        <w:tc>
          <w:tcPr>
            <w:tcW w:w="433" w:type="pct"/>
            <w:shd w:val="clear" w:color="auto" w:fill="F2F2F2"/>
            <w:hideMark/>
          </w:tcPr>
          <w:p w14:paraId="3F3EDF3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A075837"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consultant/SIDU MB</w:t>
            </w:r>
          </w:p>
        </w:tc>
      </w:tr>
      <w:tr w:rsidR="00E16711" w:rsidRPr="00912996" w14:paraId="6B0F62F1" w14:textId="77777777" w:rsidTr="00E16711">
        <w:trPr>
          <w:trHeight w:val="1584"/>
        </w:trPr>
        <w:tc>
          <w:tcPr>
            <w:tcW w:w="205" w:type="pct"/>
            <w:shd w:val="clear" w:color="auto" w:fill="F2F2F2"/>
            <w:noWrap/>
            <w:hideMark/>
          </w:tcPr>
          <w:p w14:paraId="683ACE9B"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3314EC9F" w14:textId="77777777" w:rsidR="00395D01" w:rsidRPr="00912996" w:rsidRDefault="00395D01" w:rsidP="00292396">
            <w:pPr>
              <w:rPr>
                <w:rFonts w:ascii="Calibri" w:hAnsi="Calibri"/>
                <w:bCs/>
                <w:lang w:eastAsia="ja-JP"/>
              </w:rPr>
            </w:pPr>
            <w:r w:rsidRPr="00912996">
              <w:rPr>
                <w:rFonts w:ascii="Calibri" w:hAnsi="Calibri"/>
                <w:bCs/>
                <w:lang w:eastAsia="ja-JP"/>
              </w:rPr>
              <w:t>PUZ regenerare urbană  pol urban principal Pipera - Dimitrie Pompeiu cu scopul reglementării urbanistice a investițiilor private, reglementarea obiectivelor de utilitate publică și amenajarea spațiilor publice, elaborat în format GIS</w:t>
            </w:r>
          </w:p>
        </w:tc>
        <w:tc>
          <w:tcPr>
            <w:tcW w:w="640" w:type="pct"/>
            <w:shd w:val="clear" w:color="auto" w:fill="F2F2F2"/>
            <w:hideMark/>
          </w:tcPr>
          <w:p w14:paraId="44C66135" w14:textId="77777777" w:rsidR="00395D01" w:rsidRPr="00912996" w:rsidRDefault="00395D01" w:rsidP="00292396">
            <w:pPr>
              <w:rPr>
                <w:rFonts w:ascii="Calibri" w:hAnsi="Calibri"/>
                <w:bCs/>
                <w:lang w:eastAsia="ja-JP"/>
              </w:rPr>
            </w:pPr>
            <w:r w:rsidRPr="00912996">
              <w:rPr>
                <w:rFonts w:ascii="Calibri" w:hAnsi="Calibri"/>
                <w:bCs/>
                <w:lang w:eastAsia="ja-JP"/>
              </w:rPr>
              <w:t>PS2, Direcția de Urbanism</w:t>
            </w:r>
          </w:p>
        </w:tc>
        <w:tc>
          <w:tcPr>
            <w:tcW w:w="507" w:type="pct"/>
            <w:shd w:val="clear" w:color="auto" w:fill="F2F2F2"/>
            <w:hideMark/>
          </w:tcPr>
          <w:p w14:paraId="098C191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EABD508" w14:textId="77777777" w:rsidR="00395D01" w:rsidRPr="00912996" w:rsidRDefault="00395D01" w:rsidP="00292396">
            <w:pPr>
              <w:rPr>
                <w:rFonts w:ascii="Calibri" w:hAnsi="Calibri"/>
                <w:bCs/>
                <w:lang w:eastAsia="ja-JP"/>
              </w:rPr>
            </w:pPr>
            <w:r w:rsidRPr="00912996">
              <w:rPr>
                <w:rFonts w:ascii="Calibri" w:hAnsi="Calibri"/>
                <w:bCs/>
                <w:lang w:eastAsia="ja-JP"/>
              </w:rPr>
              <w:t>700,000</w:t>
            </w:r>
          </w:p>
        </w:tc>
        <w:tc>
          <w:tcPr>
            <w:tcW w:w="411" w:type="pct"/>
            <w:shd w:val="clear" w:color="auto" w:fill="F2F2F2"/>
            <w:hideMark/>
          </w:tcPr>
          <w:p w14:paraId="011884E7" w14:textId="77777777" w:rsidR="00395D01" w:rsidRPr="00912996" w:rsidRDefault="00395D01" w:rsidP="00292396">
            <w:pPr>
              <w:rPr>
                <w:rFonts w:ascii="Calibri" w:hAnsi="Calibri"/>
                <w:bCs/>
                <w:lang w:eastAsia="ja-JP"/>
              </w:rPr>
            </w:pPr>
            <w:r w:rsidRPr="00912996">
              <w:rPr>
                <w:rFonts w:ascii="Calibri" w:hAnsi="Calibri"/>
                <w:bCs/>
                <w:lang w:eastAsia="ja-JP"/>
              </w:rPr>
              <w:t>142,857</w:t>
            </w:r>
          </w:p>
        </w:tc>
        <w:tc>
          <w:tcPr>
            <w:tcW w:w="347" w:type="pct"/>
            <w:shd w:val="clear" w:color="auto" w:fill="F2F2F2"/>
            <w:hideMark/>
          </w:tcPr>
          <w:p w14:paraId="24AF4219"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72878B0D" w14:textId="77777777" w:rsidR="00395D01" w:rsidRPr="00912996" w:rsidRDefault="00395D01" w:rsidP="00292396">
            <w:pPr>
              <w:rPr>
                <w:rFonts w:ascii="Calibri" w:hAnsi="Calibri"/>
                <w:bCs/>
                <w:lang w:eastAsia="ja-JP"/>
              </w:rPr>
            </w:pPr>
            <w:r w:rsidRPr="00912996">
              <w:rPr>
                <w:rFonts w:ascii="Calibri" w:hAnsi="Calibri"/>
                <w:bCs/>
                <w:lang w:eastAsia="ja-JP"/>
              </w:rPr>
              <w:t>PNRR C10, bugetul local, alte surse de finanțare</w:t>
            </w:r>
          </w:p>
        </w:tc>
        <w:tc>
          <w:tcPr>
            <w:tcW w:w="433" w:type="pct"/>
            <w:shd w:val="clear" w:color="auto" w:fill="F2F2F2"/>
            <w:hideMark/>
          </w:tcPr>
          <w:p w14:paraId="54EE727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AAAF1E9"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consultant/SIDU MB</w:t>
            </w:r>
          </w:p>
        </w:tc>
      </w:tr>
      <w:tr w:rsidR="00E16711" w:rsidRPr="00912996" w14:paraId="58FF0CB2" w14:textId="77777777" w:rsidTr="00E16711">
        <w:trPr>
          <w:trHeight w:val="1848"/>
        </w:trPr>
        <w:tc>
          <w:tcPr>
            <w:tcW w:w="205" w:type="pct"/>
            <w:shd w:val="clear" w:color="auto" w:fill="F2F2F2"/>
            <w:noWrap/>
            <w:hideMark/>
          </w:tcPr>
          <w:p w14:paraId="48539596"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499E73D5" w14:textId="77777777" w:rsidR="00395D01" w:rsidRPr="00912996" w:rsidRDefault="00395D01" w:rsidP="00292396">
            <w:pPr>
              <w:rPr>
                <w:rFonts w:ascii="Calibri" w:hAnsi="Calibri"/>
                <w:bCs/>
                <w:lang w:eastAsia="ja-JP"/>
              </w:rPr>
            </w:pPr>
            <w:r w:rsidRPr="00912996">
              <w:rPr>
                <w:rFonts w:ascii="Calibri" w:hAnsi="Calibri"/>
                <w:bCs/>
                <w:lang w:eastAsia="ja-JP"/>
              </w:rPr>
              <w:t>PUZ regenerare urbană zona Institutului URBAN INCERC - Filatura Română cu scopul reglementării urbanistice a investițiilor private, reglementarea obiectivelor de utilitate publică și amenajarea spațiilor publice, elaborat în format GIS</w:t>
            </w:r>
          </w:p>
        </w:tc>
        <w:tc>
          <w:tcPr>
            <w:tcW w:w="640" w:type="pct"/>
            <w:shd w:val="clear" w:color="auto" w:fill="F2F2F2"/>
            <w:hideMark/>
          </w:tcPr>
          <w:p w14:paraId="5ECE9223" w14:textId="77777777" w:rsidR="00395D01" w:rsidRPr="00912996" w:rsidRDefault="00395D01" w:rsidP="00292396">
            <w:pPr>
              <w:rPr>
                <w:rFonts w:ascii="Calibri" w:hAnsi="Calibri"/>
                <w:bCs/>
                <w:lang w:eastAsia="ja-JP"/>
              </w:rPr>
            </w:pPr>
            <w:r w:rsidRPr="00912996">
              <w:rPr>
                <w:rFonts w:ascii="Calibri" w:hAnsi="Calibri"/>
                <w:bCs/>
                <w:lang w:eastAsia="ja-JP"/>
              </w:rPr>
              <w:t>PS2, Direcția de Urbanism</w:t>
            </w:r>
          </w:p>
        </w:tc>
        <w:tc>
          <w:tcPr>
            <w:tcW w:w="507" w:type="pct"/>
            <w:shd w:val="clear" w:color="auto" w:fill="F2F2F2"/>
            <w:hideMark/>
          </w:tcPr>
          <w:p w14:paraId="35C927C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108AA36" w14:textId="77777777" w:rsidR="00395D01" w:rsidRPr="00912996" w:rsidRDefault="00395D01" w:rsidP="00292396">
            <w:pPr>
              <w:rPr>
                <w:rFonts w:ascii="Calibri" w:hAnsi="Calibri"/>
                <w:bCs/>
                <w:lang w:eastAsia="ja-JP"/>
              </w:rPr>
            </w:pPr>
            <w:r w:rsidRPr="00912996">
              <w:rPr>
                <w:rFonts w:ascii="Calibri" w:hAnsi="Calibri"/>
                <w:bCs/>
                <w:lang w:eastAsia="ja-JP"/>
              </w:rPr>
              <w:t>600,000</w:t>
            </w:r>
          </w:p>
        </w:tc>
        <w:tc>
          <w:tcPr>
            <w:tcW w:w="411" w:type="pct"/>
            <w:shd w:val="clear" w:color="auto" w:fill="F2F2F2"/>
            <w:hideMark/>
          </w:tcPr>
          <w:p w14:paraId="447678B6" w14:textId="77777777" w:rsidR="00395D01" w:rsidRPr="00912996" w:rsidRDefault="00395D01" w:rsidP="00292396">
            <w:pPr>
              <w:rPr>
                <w:rFonts w:ascii="Calibri" w:hAnsi="Calibri"/>
                <w:bCs/>
                <w:lang w:eastAsia="ja-JP"/>
              </w:rPr>
            </w:pPr>
            <w:r w:rsidRPr="00912996">
              <w:rPr>
                <w:rFonts w:ascii="Calibri" w:hAnsi="Calibri"/>
                <w:bCs/>
                <w:lang w:eastAsia="ja-JP"/>
              </w:rPr>
              <w:t>122,449</w:t>
            </w:r>
          </w:p>
        </w:tc>
        <w:tc>
          <w:tcPr>
            <w:tcW w:w="347" w:type="pct"/>
            <w:shd w:val="clear" w:color="auto" w:fill="F2F2F2"/>
            <w:hideMark/>
          </w:tcPr>
          <w:p w14:paraId="1001C692" w14:textId="77777777" w:rsidR="00395D01" w:rsidRPr="00912996" w:rsidRDefault="00395D01" w:rsidP="00292396">
            <w:pPr>
              <w:rPr>
                <w:rFonts w:ascii="Calibri" w:hAnsi="Calibri"/>
                <w:bCs/>
                <w:lang w:eastAsia="ja-JP"/>
              </w:rPr>
            </w:pPr>
            <w:r w:rsidRPr="00912996">
              <w:rPr>
                <w:rFonts w:ascii="Calibri" w:hAnsi="Calibri"/>
                <w:bCs/>
                <w:lang w:eastAsia="ja-JP"/>
              </w:rPr>
              <w:t>2025</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F2B95EC" w14:textId="77777777" w:rsidR="00395D01" w:rsidRPr="00912996" w:rsidRDefault="00395D01" w:rsidP="00292396">
            <w:pPr>
              <w:rPr>
                <w:rFonts w:ascii="Calibri" w:hAnsi="Calibri"/>
                <w:bCs/>
                <w:lang w:eastAsia="ja-JP"/>
              </w:rPr>
            </w:pPr>
            <w:r w:rsidRPr="00912996">
              <w:rPr>
                <w:rFonts w:ascii="Calibri" w:hAnsi="Calibri"/>
                <w:bCs/>
                <w:lang w:eastAsia="ja-JP"/>
              </w:rPr>
              <w:t>PNRR C10, bugetul local, alte surse de finanțare</w:t>
            </w:r>
          </w:p>
        </w:tc>
        <w:tc>
          <w:tcPr>
            <w:tcW w:w="433" w:type="pct"/>
            <w:shd w:val="clear" w:color="auto" w:fill="F2F2F2"/>
            <w:hideMark/>
          </w:tcPr>
          <w:p w14:paraId="3623522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4129C33"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consultant/SIDU MB</w:t>
            </w:r>
          </w:p>
        </w:tc>
      </w:tr>
      <w:tr w:rsidR="00E16711" w:rsidRPr="00912996" w14:paraId="2D46C91D" w14:textId="77777777" w:rsidTr="00E16711">
        <w:trPr>
          <w:trHeight w:val="1848"/>
        </w:trPr>
        <w:tc>
          <w:tcPr>
            <w:tcW w:w="205" w:type="pct"/>
            <w:shd w:val="clear" w:color="auto" w:fill="F2F2F2"/>
            <w:noWrap/>
            <w:hideMark/>
          </w:tcPr>
          <w:p w14:paraId="4B96DD08"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75AA69F9" w14:textId="77777777" w:rsidR="00395D01" w:rsidRPr="00912996" w:rsidRDefault="00395D01" w:rsidP="00292396">
            <w:pPr>
              <w:rPr>
                <w:rFonts w:ascii="Calibri" w:hAnsi="Calibri"/>
                <w:bCs/>
                <w:lang w:eastAsia="ja-JP"/>
              </w:rPr>
            </w:pPr>
            <w:r w:rsidRPr="00912996">
              <w:rPr>
                <w:rFonts w:ascii="Calibri" w:hAnsi="Calibri"/>
                <w:bCs/>
                <w:lang w:eastAsia="ja-JP"/>
              </w:rPr>
              <w:t>PUZ regenerare urbană zona lacului Fundeni, între Șos. Colentina, linia de cale ferată și insula lacului Fundeni, cu scopul reglementării urbanistice a investițiilor private, reglementarea obiectivelor de utilitate publică și amenajarea spațiilor publice, elaborat în format GIS</w:t>
            </w:r>
          </w:p>
        </w:tc>
        <w:tc>
          <w:tcPr>
            <w:tcW w:w="640" w:type="pct"/>
            <w:shd w:val="clear" w:color="auto" w:fill="F2F2F2"/>
            <w:hideMark/>
          </w:tcPr>
          <w:p w14:paraId="25B06F24" w14:textId="77777777" w:rsidR="00395D01" w:rsidRPr="00912996" w:rsidRDefault="00395D01" w:rsidP="00292396">
            <w:pPr>
              <w:rPr>
                <w:rFonts w:ascii="Calibri" w:hAnsi="Calibri"/>
                <w:bCs/>
                <w:lang w:eastAsia="ja-JP"/>
              </w:rPr>
            </w:pPr>
            <w:r w:rsidRPr="00912996">
              <w:rPr>
                <w:rFonts w:ascii="Calibri" w:hAnsi="Calibri"/>
                <w:bCs/>
                <w:lang w:eastAsia="ja-JP"/>
              </w:rPr>
              <w:t>PS2, Direcția de Urbanism</w:t>
            </w:r>
          </w:p>
        </w:tc>
        <w:tc>
          <w:tcPr>
            <w:tcW w:w="507" w:type="pct"/>
            <w:shd w:val="clear" w:color="auto" w:fill="F2F2F2"/>
            <w:hideMark/>
          </w:tcPr>
          <w:p w14:paraId="7CA4915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067B714"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411" w:type="pct"/>
            <w:shd w:val="clear" w:color="auto" w:fill="F2F2F2"/>
            <w:hideMark/>
          </w:tcPr>
          <w:p w14:paraId="35E74E69" w14:textId="77777777" w:rsidR="00395D01" w:rsidRPr="00912996" w:rsidRDefault="00395D01" w:rsidP="00292396">
            <w:pPr>
              <w:rPr>
                <w:rFonts w:ascii="Calibri" w:hAnsi="Calibri"/>
                <w:bCs/>
                <w:lang w:eastAsia="ja-JP"/>
              </w:rPr>
            </w:pPr>
            <w:r w:rsidRPr="00912996">
              <w:rPr>
                <w:rFonts w:ascii="Calibri" w:hAnsi="Calibri"/>
                <w:bCs/>
                <w:lang w:eastAsia="ja-JP"/>
              </w:rPr>
              <w:t>102,041</w:t>
            </w:r>
          </w:p>
        </w:tc>
        <w:tc>
          <w:tcPr>
            <w:tcW w:w="347" w:type="pct"/>
            <w:shd w:val="clear" w:color="auto" w:fill="F2F2F2"/>
            <w:hideMark/>
          </w:tcPr>
          <w:p w14:paraId="05B7EB50" w14:textId="77777777" w:rsidR="00395D01" w:rsidRPr="00912996" w:rsidRDefault="00395D01" w:rsidP="00292396">
            <w:pPr>
              <w:rPr>
                <w:rFonts w:ascii="Calibri" w:hAnsi="Calibri"/>
                <w:bCs/>
                <w:lang w:eastAsia="ja-JP"/>
              </w:rPr>
            </w:pPr>
            <w:r w:rsidRPr="00912996">
              <w:rPr>
                <w:rFonts w:ascii="Calibri" w:hAnsi="Calibri"/>
                <w:bCs/>
                <w:lang w:eastAsia="ja-JP"/>
              </w:rPr>
              <w:t>2025</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BCB1561" w14:textId="77777777" w:rsidR="00395D01" w:rsidRPr="00912996" w:rsidRDefault="00395D01" w:rsidP="00292396">
            <w:pPr>
              <w:rPr>
                <w:rFonts w:ascii="Calibri" w:hAnsi="Calibri"/>
                <w:bCs/>
                <w:lang w:eastAsia="ja-JP"/>
              </w:rPr>
            </w:pPr>
            <w:r w:rsidRPr="00912996">
              <w:rPr>
                <w:rFonts w:ascii="Calibri" w:hAnsi="Calibri"/>
                <w:bCs/>
                <w:lang w:eastAsia="ja-JP"/>
              </w:rPr>
              <w:t>PNRR C10, bugetul local, alte surse de finanțare</w:t>
            </w:r>
          </w:p>
        </w:tc>
        <w:tc>
          <w:tcPr>
            <w:tcW w:w="433" w:type="pct"/>
            <w:shd w:val="clear" w:color="auto" w:fill="F2F2F2"/>
            <w:hideMark/>
          </w:tcPr>
          <w:p w14:paraId="390028B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626E5B2"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consultant/SIDU MB</w:t>
            </w:r>
          </w:p>
        </w:tc>
      </w:tr>
      <w:tr w:rsidR="00E16711" w:rsidRPr="00912996" w14:paraId="1BF0418E" w14:textId="77777777" w:rsidTr="00E16711">
        <w:trPr>
          <w:trHeight w:val="792"/>
        </w:trPr>
        <w:tc>
          <w:tcPr>
            <w:tcW w:w="205" w:type="pct"/>
            <w:shd w:val="clear" w:color="auto" w:fill="F2F2F2"/>
            <w:noWrap/>
            <w:hideMark/>
          </w:tcPr>
          <w:p w14:paraId="0F9E2326"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40B71277" w14:textId="77777777" w:rsidR="00395D01" w:rsidRPr="00912996" w:rsidRDefault="00395D01" w:rsidP="00292396">
            <w:pPr>
              <w:rPr>
                <w:rFonts w:ascii="Calibri" w:hAnsi="Calibri"/>
                <w:bCs/>
                <w:lang w:eastAsia="ja-JP"/>
              </w:rPr>
            </w:pPr>
            <w:r w:rsidRPr="00912996">
              <w:rPr>
                <w:rFonts w:ascii="Calibri" w:hAnsi="Calibri"/>
                <w:bCs/>
                <w:lang w:eastAsia="ja-JP"/>
              </w:rPr>
              <w:t>Aplicarea de sancțiuni financiare pentru proprietarii clădirilor monumente istorice aflate în stare de degradare</w:t>
            </w:r>
          </w:p>
        </w:tc>
        <w:tc>
          <w:tcPr>
            <w:tcW w:w="640" w:type="pct"/>
            <w:shd w:val="clear" w:color="auto" w:fill="F2F2F2"/>
            <w:hideMark/>
          </w:tcPr>
          <w:p w14:paraId="4A4C38C5"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92AB9B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723FE72"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411" w:type="pct"/>
            <w:shd w:val="clear" w:color="auto" w:fill="F2F2F2"/>
            <w:hideMark/>
          </w:tcPr>
          <w:p w14:paraId="2AE52824"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347" w:type="pct"/>
            <w:shd w:val="clear" w:color="auto" w:fill="F2F2F2"/>
            <w:hideMark/>
          </w:tcPr>
          <w:p w14:paraId="3441C6EB" w14:textId="3990A62F" w:rsidR="00395D01" w:rsidRPr="00912996" w:rsidRDefault="00395D01" w:rsidP="00292396">
            <w:pPr>
              <w:rPr>
                <w:rFonts w:ascii="Calibri" w:hAnsi="Calibri"/>
                <w:bCs/>
                <w:lang w:eastAsia="ja-JP"/>
              </w:rPr>
            </w:pPr>
            <w:r w:rsidRPr="00912996">
              <w:rPr>
                <w:rFonts w:ascii="Calibri" w:hAnsi="Calibri"/>
                <w:bCs/>
                <w:lang w:eastAsia="ja-JP"/>
              </w:rPr>
              <w:t>2022</w:t>
            </w:r>
            <w:r w:rsidR="00A75400">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A78F70B"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433" w:type="pct"/>
            <w:shd w:val="clear" w:color="auto" w:fill="F2F2F2"/>
            <w:hideMark/>
          </w:tcPr>
          <w:p w14:paraId="6DAA3A62"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68EB631"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77D37034" w14:textId="77777777" w:rsidTr="00E16711">
        <w:trPr>
          <w:trHeight w:val="1584"/>
        </w:trPr>
        <w:tc>
          <w:tcPr>
            <w:tcW w:w="205" w:type="pct"/>
            <w:shd w:val="clear" w:color="auto" w:fill="F2F2F2"/>
            <w:noWrap/>
            <w:hideMark/>
          </w:tcPr>
          <w:p w14:paraId="6B0FB090"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53F56532" w14:textId="77777777" w:rsidR="00395D01" w:rsidRPr="00912996" w:rsidRDefault="00395D01" w:rsidP="00292396">
            <w:pPr>
              <w:rPr>
                <w:rFonts w:ascii="Calibri" w:hAnsi="Calibri"/>
                <w:bCs/>
                <w:lang w:eastAsia="ja-JP"/>
              </w:rPr>
            </w:pPr>
            <w:r w:rsidRPr="00912996">
              <w:rPr>
                <w:rFonts w:ascii="Calibri" w:hAnsi="Calibri"/>
                <w:bCs/>
                <w:lang w:eastAsia="ja-JP"/>
              </w:rPr>
              <w:t>Program de reabilitare a clădirilor din centrul istoric sau din zonele construite protejate (acordarea de granturi proprietarilor persoane fizice/juridice). Străzi pilot: Lizeanu, Pache Protopopescu, Mântuleasa</w:t>
            </w:r>
          </w:p>
        </w:tc>
        <w:tc>
          <w:tcPr>
            <w:tcW w:w="640" w:type="pct"/>
            <w:shd w:val="clear" w:color="auto" w:fill="F2F2F2"/>
            <w:hideMark/>
          </w:tcPr>
          <w:p w14:paraId="083803C3" w14:textId="77777777" w:rsidR="00395D01" w:rsidRPr="00912996" w:rsidRDefault="00395D01" w:rsidP="00292396">
            <w:pPr>
              <w:rPr>
                <w:rFonts w:ascii="Calibri" w:hAnsi="Calibri"/>
                <w:bCs/>
                <w:lang w:eastAsia="ja-JP"/>
              </w:rPr>
            </w:pPr>
            <w:r w:rsidRPr="00912996">
              <w:rPr>
                <w:rFonts w:ascii="Calibri" w:hAnsi="Calibri"/>
                <w:bCs/>
                <w:lang w:eastAsia="ja-JP"/>
              </w:rPr>
              <w:t>PS2, PMB</w:t>
            </w:r>
          </w:p>
        </w:tc>
        <w:tc>
          <w:tcPr>
            <w:tcW w:w="507" w:type="pct"/>
            <w:shd w:val="clear" w:color="auto" w:fill="F2F2F2"/>
            <w:hideMark/>
          </w:tcPr>
          <w:p w14:paraId="67F5061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DF76750" w14:textId="77777777" w:rsidR="00395D01" w:rsidRPr="00912996" w:rsidRDefault="00395D01" w:rsidP="00292396">
            <w:pPr>
              <w:rPr>
                <w:rFonts w:ascii="Calibri" w:hAnsi="Calibri"/>
                <w:bCs/>
                <w:lang w:eastAsia="ja-JP"/>
              </w:rPr>
            </w:pPr>
            <w:r w:rsidRPr="00912996">
              <w:rPr>
                <w:rFonts w:ascii="Calibri" w:hAnsi="Calibri"/>
                <w:bCs/>
                <w:lang w:eastAsia="ja-JP"/>
              </w:rPr>
              <w:t>15,000,000</w:t>
            </w:r>
          </w:p>
        </w:tc>
        <w:tc>
          <w:tcPr>
            <w:tcW w:w="411" w:type="pct"/>
            <w:shd w:val="clear" w:color="auto" w:fill="F2F2F2"/>
            <w:hideMark/>
          </w:tcPr>
          <w:p w14:paraId="5743426D" w14:textId="77777777" w:rsidR="00395D01" w:rsidRPr="00912996" w:rsidRDefault="00395D01" w:rsidP="00292396">
            <w:pPr>
              <w:rPr>
                <w:rFonts w:ascii="Calibri" w:hAnsi="Calibri"/>
                <w:bCs/>
                <w:lang w:eastAsia="ja-JP"/>
              </w:rPr>
            </w:pPr>
            <w:r w:rsidRPr="00912996">
              <w:rPr>
                <w:rFonts w:ascii="Calibri" w:hAnsi="Calibri"/>
                <w:bCs/>
                <w:lang w:eastAsia="ja-JP"/>
              </w:rPr>
              <w:t>3,061,224</w:t>
            </w:r>
          </w:p>
        </w:tc>
        <w:tc>
          <w:tcPr>
            <w:tcW w:w="347" w:type="pct"/>
            <w:shd w:val="clear" w:color="auto" w:fill="F2F2F2"/>
            <w:hideMark/>
          </w:tcPr>
          <w:p w14:paraId="4A582BAF" w14:textId="298A4BF4" w:rsidR="00395D01" w:rsidRPr="00912996" w:rsidRDefault="00395D01" w:rsidP="00292396">
            <w:pPr>
              <w:rPr>
                <w:rFonts w:ascii="Calibri" w:hAnsi="Calibri"/>
                <w:bCs/>
                <w:lang w:eastAsia="ja-JP"/>
              </w:rPr>
            </w:pPr>
            <w:r w:rsidRPr="00912996">
              <w:rPr>
                <w:rFonts w:ascii="Calibri" w:hAnsi="Calibri"/>
                <w:bCs/>
                <w:lang w:eastAsia="ja-JP"/>
              </w:rPr>
              <w:t>2022</w:t>
            </w:r>
            <w:r w:rsidR="00A75400">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390BB7B" w14:textId="77777777" w:rsidR="00395D01" w:rsidRPr="00912996" w:rsidRDefault="00395D01" w:rsidP="00292396">
            <w:pPr>
              <w:rPr>
                <w:rFonts w:ascii="Calibri" w:hAnsi="Calibri"/>
                <w:bCs/>
                <w:lang w:eastAsia="ja-JP"/>
              </w:rPr>
            </w:pPr>
            <w:r w:rsidRPr="00912996">
              <w:rPr>
                <w:rFonts w:ascii="Calibri" w:hAnsi="Calibri"/>
                <w:bCs/>
                <w:lang w:eastAsia="ja-JP"/>
              </w:rPr>
              <w:t>PNRR C10, bugetul local, alte surse de finanțare</w:t>
            </w:r>
          </w:p>
        </w:tc>
        <w:tc>
          <w:tcPr>
            <w:tcW w:w="433" w:type="pct"/>
            <w:shd w:val="clear" w:color="auto" w:fill="F2F2F2"/>
            <w:hideMark/>
          </w:tcPr>
          <w:p w14:paraId="52752E8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486F0DE"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346338AC" w14:textId="77777777" w:rsidTr="00E16711">
        <w:trPr>
          <w:trHeight w:val="1320"/>
        </w:trPr>
        <w:tc>
          <w:tcPr>
            <w:tcW w:w="205" w:type="pct"/>
            <w:shd w:val="clear" w:color="auto" w:fill="F2F2F2"/>
            <w:noWrap/>
            <w:hideMark/>
          </w:tcPr>
          <w:p w14:paraId="058468F7"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43BB78C3" w14:textId="77777777" w:rsidR="00395D01" w:rsidRPr="00912996" w:rsidRDefault="00395D01" w:rsidP="00292396">
            <w:pPr>
              <w:rPr>
                <w:rFonts w:ascii="Calibri" w:hAnsi="Calibri"/>
                <w:bCs/>
                <w:lang w:eastAsia="ja-JP"/>
              </w:rPr>
            </w:pPr>
            <w:r w:rsidRPr="00912996">
              <w:rPr>
                <w:rFonts w:ascii="Calibri" w:hAnsi="Calibri"/>
                <w:bCs/>
                <w:lang w:eastAsia="ja-JP"/>
              </w:rPr>
              <w:t>Montarea de indicatoare către monumentele istorice, cu precădere obiectivele culturale sau turistice, însoțite de texte explicative cu privire la istoria clădirilor sau zonelor urbane</w:t>
            </w:r>
          </w:p>
        </w:tc>
        <w:tc>
          <w:tcPr>
            <w:tcW w:w="640" w:type="pct"/>
            <w:shd w:val="clear" w:color="auto" w:fill="F2F2F2"/>
            <w:hideMark/>
          </w:tcPr>
          <w:p w14:paraId="0A14B10D" w14:textId="77777777" w:rsidR="00395D01" w:rsidRPr="00912996" w:rsidRDefault="00395D01" w:rsidP="00292396">
            <w:pPr>
              <w:rPr>
                <w:rFonts w:ascii="Calibri" w:hAnsi="Calibri"/>
                <w:bCs/>
                <w:lang w:eastAsia="ja-JP"/>
              </w:rPr>
            </w:pPr>
            <w:r w:rsidRPr="00912996">
              <w:rPr>
                <w:rFonts w:ascii="Calibri" w:hAnsi="Calibri"/>
                <w:bCs/>
                <w:lang w:eastAsia="ja-JP"/>
              </w:rPr>
              <w:t>PS2, PMB, DCMB</w:t>
            </w:r>
          </w:p>
        </w:tc>
        <w:tc>
          <w:tcPr>
            <w:tcW w:w="507" w:type="pct"/>
            <w:shd w:val="clear" w:color="auto" w:fill="F2F2F2"/>
            <w:hideMark/>
          </w:tcPr>
          <w:p w14:paraId="56D8FBE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D442E32"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411" w:type="pct"/>
            <w:shd w:val="clear" w:color="auto" w:fill="F2F2F2"/>
            <w:hideMark/>
          </w:tcPr>
          <w:p w14:paraId="1BAD223C" w14:textId="77777777" w:rsidR="00395D01" w:rsidRPr="00912996" w:rsidRDefault="00395D01" w:rsidP="00292396">
            <w:pPr>
              <w:rPr>
                <w:rFonts w:ascii="Calibri" w:hAnsi="Calibri"/>
                <w:bCs/>
                <w:lang w:eastAsia="ja-JP"/>
              </w:rPr>
            </w:pPr>
            <w:r w:rsidRPr="00912996">
              <w:rPr>
                <w:rFonts w:ascii="Calibri" w:hAnsi="Calibri"/>
                <w:bCs/>
                <w:lang w:eastAsia="ja-JP"/>
              </w:rPr>
              <w:t>102,041</w:t>
            </w:r>
          </w:p>
        </w:tc>
        <w:tc>
          <w:tcPr>
            <w:tcW w:w="347" w:type="pct"/>
            <w:shd w:val="clear" w:color="auto" w:fill="F2F2F2"/>
            <w:hideMark/>
          </w:tcPr>
          <w:p w14:paraId="5C072B1E" w14:textId="49B46B6F" w:rsidR="00395D01" w:rsidRPr="00912996" w:rsidRDefault="00395D01" w:rsidP="00292396">
            <w:pPr>
              <w:rPr>
                <w:rFonts w:ascii="Calibri" w:hAnsi="Calibri"/>
                <w:bCs/>
                <w:lang w:eastAsia="ja-JP"/>
              </w:rPr>
            </w:pPr>
            <w:r w:rsidRPr="00912996">
              <w:rPr>
                <w:rFonts w:ascii="Calibri" w:hAnsi="Calibri"/>
                <w:bCs/>
                <w:lang w:eastAsia="ja-JP"/>
              </w:rPr>
              <w:t>2023</w:t>
            </w:r>
            <w:r w:rsidR="00A75400">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1A0DF724"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Bugetul local, Alte surse de finanțare</w:t>
            </w:r>
          </w:p>
        </w:tc>
        <w:tc>
          <w:tcPr>
            <w:tcW w:w="433" w:type="pct"/>
            <w:shd w:val="clear" w:color="auto" w:fill="F2F2F2"/>
            <w:hideMark/>
          </w:tcPr>
          <w:p w14:paraId="24CEE05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F824A25"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3EF4480A" w14:textId="77777777" w:rsidTr="00E16711">
        <w:trPr>
          <w:trHeight w:val="620"/>
        </w:trPr>
        <w:tc>
          <w:tcPr>
            <w:tcW w:w="205" w:type="pct"/>
            <w:shd w:val="clear" w:color="auto" w:fill="F2F2F2"/>
            <w:noWrap/>
            <w:hideMark/>
          </w:tcPr>
          <w:p w14:paraId="5D81E00C"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5A7D03B9" w14:textId="77777777" w:rsidR="00395D01" w:rsidRPr="00912996" w:rsidRDefault="00395D01" w:rsidP="00292396">
            <w:pPr>
              <w:rPr>
                <w:rFonts w:ascii="Calibri" w:hAnsi="Calibri"/>
                <w:bCs/>
                <w:lang w:eastAsia="ja-JP"/>
              </w:rPr>
            </w:pPr>
            <w:r w:rsidRPr="00912996">
              <w:rPr>
                <w:rFonts w:ascii="Calibri" w:hAnsi="Calibri"/>
                <w:bCs/>
                <w:lang w:eastAsia="ja-JP"/>
              </w:rPr>
              <w:t>Elaborarea unei baze de date urbane (în sistem GIS) cuprinzând informații tehnice și juridice despre toate monumentele istorice și zonele lor de protecție și transmiterea zonelor la OCPI în vederea înscrierii în cartea funciară a servituților patrimoniale, inclusiv dreptul de preemțiune</w:t>
            </w:r>
          </w:p>
        </w:tc>
        <w:tc>
          <w:tcPr>
            <w:tcW w:w="640" w:type="pct"/>
            <w:shd w:val="clear" w:color="auto" w:fill="F2F2F2"/>
            <w:hideMark/>
          </w:tcPr>
          <w:p w14:paraId="0904C878" w14:textId="77777777" w:rsidR="00395D01" w:rsidRPr="00912996" w:rsidRDefault="00395D01" w:rsidP="00292396">
            <w:pPr>
              <w:rPr>
                <w:rFonts w:ascii="Calibri" w:hAnsi="Calibri"/>
                <w:bCs/>
                <w:lang w:eastAsia="ja-JP"/>
              </w:rPr>
            </w:pPr>
            <w:r w:rsidRPr="00912996">
              <w:rPr>
                <w:rFonts w:ascii="Calibri" w:hAnsi="Calibri"/>
                <w:bCs/>
                <w:lang w:eastAsia="ja-JP"/>
              </w:rPr>
              <w:t>PS2, PMB, DCMB, OCPI</w:t>
            </w:r>
          </w:p>
        </w:tc>
        <w:tc>
          <w:tcPr>
            <w:tcW w:w="507" w:type="pct"/>
            <w:shd w:val="clear" w:color="auto" w:fill="F2F2F2"/>
            <w:hideMark/>
          </w:tcPr>
          <w:p w14:paraId="178B6B8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AA8DBE7"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1B092029"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4823864F" w14:textId="244016B9" w:rsidR="00395D01" w:rsidRPr="00912996" w:rsidRDefault="00395D01" w:rsidP="00292396">
            <w:pPr>
              <w:rPr>
                <w:rFonts w:ascii="Calibri" w:hAnsi="Calibri"/>
                <w:bCs/>
                <w:lang w:eastAsia="ja-JP"/>
              </w:rPr>
            </w:pPr>
            <w:r w:rsidRPr="00912996">
              <w:rPr>
                <w:rFonts w:ascii="Calibri" w:hAnsi="Calibri"/>
                <w:bCs/>
                <w:lang w:eastAsia="ja-JP"/>
              </w:rPr>
              <w:t>2022</w:t>
            </w:r>
            <w:r w:rsidR="00A75400">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15E44E22" w14:textId="77777777" w:rsidR="00395D01" w:rsidRPr="00912996" w:rsidRDefault="00395D01" w:rsidP="00292396">
            <w:pPr>
              <w:rPr>
                <w:rFonts w:ascii="Calibri" w:hAnsi="Calibri"/>
                <w:bCs/>
                <w:lang w:eastAsia="ja-JP"/>
              </w:rPr>
            </w:pPr>
            <w:r w:rsidRPr="00912996">
              <w:rPr>
                <w:rFonts w:ascii="Calibri" w:hAnsi="Calibri"/>
                <w:bCs/>
                <w:lang w:eastAsia="ja-JP"/>
              </w:rPr>
              <w:t>PNRR C10, bugetul local, alte surse de finanțare</w:t>
            </w:r>
          </w:p>
        </w:tc>
        <w:tc>
          <w:tcPr>
            <w:tcW w:w="433" w:type="pct"/>
            <w:shd w:val="clear" w:color="auto" w:fill="F2F2F2"/>
            <w:hideMark/>
          </w:tcPr>
          <w:p w14:paraId="72962220"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4A8132D"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76F365AB" w14:textId="77777777" w:rsidTr="00E16711">
        <w:trPr>
          <w:trHeight w:val="1056"/>
        </w:trPr>
        <w:tc>
          <w:tcPr>
            <w:tcW w:w="205" w:type="pct"/>
            <w:shd w:val="clear" w:color="auto" w:fill="F2F2F2"/>
            <w:noWrap/>
            <w:hideMark/>
          </w:tcPr>
          <w:p w14:paraId="3C7C854B"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10126A09" w14:textId="77777777" w:rsidR="00395D01" w:rsidRPr="00912996" w:rsidRDefault="00395D01" w:rsidP="00292396">
            <w:pPr>
              <w:rPr>
                <w:rFonts w:ascii="Calibri" w:hAnsi="Calibri"/>
                <w:bCs/>
                <w:lang w:eastAsia="ja-JP"/>
              </w:rPr>
            </w:pPr>
            <w:r w:rsidRPr="00912996">
              <w:rPr>
                <w:rFonts w:ascii="Calibri" w:hAnsi="Calibri"/>
                <w:bCs/>
                <w:lang w:eastAsia="ja-JP"/>
              </w:rPr>
              <w:t>Elaborarea unor planuri de gestiune (mentenanță) pentru spațiile verzi din Sectorul 2</w:t>
            </w:r>
          </w:p>
        </w:tc>
        <w:tc>
          <w:tcPr>
            <w:tcW w:w="640" w:type="pct"/>
            <w:shd w:val="clear" w:color="auto" w:fill="F2F2F2"/>
            <w:hideMark/>
          </w:tcPr>
          <w:p w14:paraId="2D7AA24E" w14:textId="77777777" w:rsidR="00395D01" w:rsidRPr="00912996" w:rsidRDefault="00395D01" w:rsidP="00292396">
            <w:pPr>
              <w:rPr>
                <w:rFonts w:ascii="Calibri" w:hAnsi="Calibri"/>
                <w:bCs/>
                <w:lang w:eastAsia="ja-JP"/>
              </w:rPr>
            </w:pPr>
            <w:r w:rsidRPr="00912996">
              <w:rPr>
                <w:rFonts w:ascii="Calibri" w:hAnsi="Calibri"/>
                <w:bCs/>
                <w:lang w:eastAsia="ja-JP"/>
              </w:rPr>
              <w:t>PS2, ADPS2, mediul academic, ONG-uri, specialiști în domeniu</w:t>
            </w:r>
          </w:p>
        </w:tc>
        <w:tc>
          <w:tcPr>
            <w:tcW w:w="507" w:type="pct"/>
            <w:shd w:val="clear" w:color="auto" w:fill="F2F2F2"/>
            <w:hideMark/>
          </w:tcPr>
          <w:p w14:paraId="54B1454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FBC994E"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71520240"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722D44F0" w14:textId="56D77F6B" w:rsidR="00395D01" w:rsidRPr="00912996" w:rsidRDefault="00395D01" w:rsidP="00292396">
            <w:pPr>
              <w:rPr>
                <w:rFonts w:ascii="Calibri" w:hAnsi="Calibri"/>
                <w:bCs/>
                <w:lang w:eastAsia="ja-JP"/>
              </w:rPr>
            </w:pPr>
            <w:r w:rsidRPr="00912996">
              <w:rPr>
                <w:rFonts w:ascii="Calibri" w:hAnsi="Calibri"/>
                <w:bCs/>
                <w:lang w:eastAsia="ja-JP"/>
              </w:rPr>
              <w:t>2022</w:t>
            </w:r>
            <w:r w:rsidR="00A75400">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DBA9669"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Alte surse de finanțare</w:t>
            </w:r>
          </w:p>
        </w:tc>
        <w:tc>
          <w:tcPr>
            <w:tcW w:w="433" w:type="pct"/>
            <w:shd w:val="clear" w:color="auto" w:fill="F2F2F2"/>
            <w:hideMark/>
          </w:tcPr>
          <w:p w14:paraId="0A29114A"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48900DF"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grupuri de lucru tematice</w:t>
            </w:r>
          </w:p>
        </w:tc>
      </w:tr>
      <w:tr w:rsidR="00E16711" w:rsidRPr="00912996" w14:paraId="7826886A" w14:textId="77777777" w:rsidTr="00E16711">
        <w:trPr>
          <w:trHeight w:val="2112"/>
        </w:trPr>
        <w:tc>
          <w:tcPr>
            <w:tcW w:w="205" w:type="pct"/>
            <w:shd w:val="clear" w:color="auto" w:fill="F2F2F2"/>
            <w:noWrap/>
            <w:hideMark/>
          </w:tcPr>
          <w:p w14:paraId="72903838"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21C9BA27" w14:textId="77777777" w:rsidR="00395D01" w:rsidRPr="00912996" w:rsidRDefault="00395D01" w:rsidP="00292396">
            <w:pPr>
              <w:rPr>
                <w:rFonts w:ascii="Calibri" w:hAnsi="Calibri"/>
                <w:bCs/>
                <w:lang w:eastAsia="ja-JP"/>
              </w:rPr>
            </w:pPr>
            <w:r w:rsidRPr="00912996">
              <w:rPr>
                <w:rFonts w:ascii="Calibri" w:hAnsi="Calibri"/>
                <w:bCs/>
                <w:lang w:eastAsia="ja-JP"/>
              </w:rPr>
              <w:t>Regulament pentru ocuparea domeniului public care să includă  inventarierea construcțiilor amplasate pe domeniul public, coroborarea și actualizarea regulamentelor existente,  reglementarea unor aspecte precum mobilier urban, construcții provizorii, organizarea comerțului de întâmpinare sau infrastructură ”smart”</w:t>
            </w:r>
          </w:p>
        </w:tc>
        <w:tc>
          <w:tcPr>
            <w:tcW w:w="640" w:type="pct"/>
            <w:shd w:val="clear" w:color="auto" w:fill="F2F2F2"/>
            <w:hideMark/>
          </w:tcPr>
          <w:p w14:paraId="52F71CB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D16962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68BADBD" w14:textId="77777777" w:rsidR="00395D01" w:rsidRPr="00912996" w:rsidRDefault="00395D01" w:rsidP="00292396">
            <w:pPr>
              <w:rPr>
                <w:rFonts w:ascii="Calibri" w:hAnsi="Calibri"/>
                <w:bCs/>
                <w:lang w:eastAsia="ja-JP"/>
              </w:rPr>
            </w:pPr>
            <w:r w:rsidRPr="00912996">
              <w:rPr>
                <w:rFonts w:ascii="Calibri" w:hAnsi="Calibri"/>
                <w:bCs/>
                <w:lang w:eastAsia="ja-JP"/>
              </w:rPr>
              <w:t>400,000</w:t>
            </w:r>
          </w:p>
        </w:tc>
        <w:tc>
          <w:tcPr>
            <w:tcW w:w="411" w:type="pct"/>
            <w:shd w:val="clear" w:color="auto" w:fill="F2F2F2"/>
            <w:hideMark/>
          </w:tcPr>
          <w:p w14:paraId="0794F578" w14:textId="77777777" w:rsidR="00395D01" w:rsidRPr="00912996" w:rsidRDefault="00395D01" w:rsidP="00292396">
            <w:pPr>
              <w:rPr>
                <w:rFonts w:ascii="Calibri" w:hAnsi="Calibri"/>
                <w:bCs/>
                <w:lang w:eastAsia="ja-JP"/>
              </w:rPr>
            </w:pPr>
            <w:r w:rsidRPr="00912996">
              <w:rPr>
                <w:rFonts w:ascii="Calibri" w:hAnsi="Calibri"/>
                <w:bCs/>
                <w:lang w:eastAsia="ja-JP"/>
              </w:rPr>
              <w:t>81,633</w:t>
            </w:r>
          </w:p>
        </w:tc>
        <w:tc>
          <w:tcPr>
            <w:tcW w:w="347" w:type="pct"/>
            <w:shd w:val="clear" w:color="auto" w:fill="F2F2F2"/>
            <w:hideMark/>
          </w:tcPr>
          <w:p w14:paraId="7899ACD8" w14:textId="60F17CB3" w:rsidR="00395D01" w:rsidRPr="00912996" w:rsidRDefault="00395D01" w:rsidP="00292396">
            <w:pPr>
              <w:rPr>
                <w:rFonts w:ascii="Calibri" w:hAnsi="Calibri"/>
                <w:bCs/>
                <w:lang w:eastAsia="ja-JP"/>
              </w:rPr>
            </w:pPr>
            <w:r w:rsidRPr="00912996">
              <w:rPr>
                <w:rFonts w:ascii="Calibri" w:hAnsi="Calibri"/>
                <w:bCs/>
                <w:lang w:eastAsia="ja-JP"/>
              </w:rPr>
              <w:t>2022</w:t>
            </w:r>
            <w:r w:rsidR="007D2562">
              <w:rPr>
                <w:rFonts w:ascii="Calibri" w:hAnsi="Calibri"/>
                <w:bCs/>
                <w:lang w:eastAsia="ja-JP"/>
              </w:rPr>
              <w:t xml:space="preserve"> </w:t>
            </w:r>
            <w:r w:rsidRPr="00912996">
              <w:rPr>
                <w:rFonts w:ascii="Calibri" w:hAnsi="Calibri"/>
                <w:bCs/>
                <w:lang w:eastAsia="ja-JP"/>
              </w:rPr>
              <w:t>-2023</w:t>
            </w:r>
          </w:p>
        </w:tc>
        <w:tc>
          <w:tcPr>
            <w:tcW w:w="484" w:type="pct"/>
            <w:gridSpan w:val="2"/>
            <w:shd w:val="clear" w:color="auto" w:fill="F2F2F2"/>
            <w:hideMark/>
          </w:tcPr>
          <w:p w14:paraId="3A88D9C6"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F174BC9"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2BC3231B"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520EB867" w14:textId="77777777" w:rsidTr="00E16711">
        <w:trPr>
          <w:trHeight w:val="1584"/>
        </w:trPr>
        <w:tc>
          <w:tcPr>
            <w:tcW w:w="205" w:type="pct"/>
            <w:shd w:val="clear" w:color="auto" w:fill="F2F2F2"/>
            <w:noWrap/>
            <w:hideMark/>
          </w:tcPr>
          <w:p w14:paraId="794C40E4"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7D626ABA" w14:textId="77777777" w:rsidR="00395D01" w:rsidRPr="00912996" w:rsidRDefault="00395D01" w:rsidP="00292396">
            <w:pPr>
              <w:rPr>
                <w:rFonts w:ascii="Calibri" w:hAnsi="Calibri"/>
                <w:bCs/>
                <w:lang w:eastAsia="ja-JP"/>
              </w:rPr>
            </w:pPr>
            <w:r w:rsidRPr="00912996">
              <w:rPr>
                <w:rFonts w:ascii="Calibri" w:hAnsi="Calibri"/>
                <w:bCs/>
                <w:lang w:eastAsia="ja-JP"/>
              </w:rPr>
              <w:t>Set de reguli/măsuri care să vizeze îmbunătățirea calității aerului în raport cu direcțiile europene privind protejarea spațiilor verzi și reducerea gazelor cu efect de seră prin amenajarea/ reamenajarea de spații verzi, spații publice, parcări etc</w:t>
            </w:r>
            <w:r>
              <w:rPr>
                <w:rFonts w:ascii="Calibri" w:hAnsi="Calibri"/>
                <w:bCs/>
                <w:lang w:eastAsia="ja-JP"/>
              </w:rPr>
              <w:t>.</w:t>
            </w:r>
          </w:p>
        </w:tc>
        <w:tc>
          <w:tcPr>
            <w:tcW w:w="640" w:type="pct"/>
            <w:shd w:val="clear" w:color="auto" w:fill="F2F2F2"/>
            <w:hideMark/>
          </w:tcPr>
          <w:p w14:paraId="43A5642C"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3B00B68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5679BB5" w14:textId="77777777" w:rsidR="00395D01" w:rsidRPr="00912996" w:rsidRDefault="00395D01" w:rsidP="00292396">
            <w:pPr>
              <w:rPr>
                <w:rFonts w:ascii="Calibri" w:hAnsi="Calibri"/>
                <w:bCs/>
                <w:lang w:eastAsia="ja-JP"/>
              </w:rPr>
            </w:pPr>
            <w:r w:rsidRPr="00912996">
              <w:rPr>
                <w:rFonts w:ascii="Calibri" w:hAnsi="Calibri"/>
                <w:bCs/>
                <w:lang w:eastAsia="ja-JP"/>
              </w:rPr>
              <w:t>300,000</w:t>
            </w:r>
          </w:p>
        </w:tc>
        <w:tc>
          <w:tcPr>
            <w:tcW w:w="411" w:type="pct"/>
            <w:shd w:val="clear" w:color="auto" w:fill="F2F2F2"/>
            <w:hideMark/>
          </w:tcPr>
          <w:p w14:paraId="12CD44D9" w14:textId="77777777" w:rsidR="00395D01" w:rsidRPr="00912996" w:rsidRDefault="00395D01" w:rsidP="00292396">
            <w:pPr>
              <w:rPr>
                <w:rFonts w:ascii="Calibri" w:hAnsi="Calibri"/>
                <w:bCs/>
                <w:lang w:eastAsia="ja-JP"/>
              </w:rPr>
            </w:pPr>
            <w:r w:rsidRPr="00912996">
              <w:rPr>
                <w:rFonts w:ascii="Calibri" w:hAnsi="Calibri"/>
                <w:bCs/>
                <w:lang w:eastAsia="ja-JP"/>
              </w:rPr>
              <w:t>61,224</w:t>
            </w:r>
          </w:p>
        </w:tc>
        <w:tc>
          <w:tcPr>
            <w:tcW w:w="347" w:type="pct"/>
            <w:shd w:val="clear" w:color="auto" w:fill="F2F2F2"/>
            <w:hideMark/>
          </w:tcPr>
          <w:p w14:paraId="67D7075B" w14:textId="4B800228" w:rsidR="00395D01" w:rsidRPr="00912996" w:rsidRDefault="00395D01" w:rsidP="00292396">
            <w:pPr>
              <w:rPr>
                <w:rFonts w:ascii="Calibri" w:hAnsi="Calibri"/>
                <w:bCs/>
                <w:lang w:eastAsia="ja-JP"/>
              </w:rPr>
            </w:pPr>
            <w:r w:rsidRPr="00912996">
              <w:rPr>
                <w:rFonts w:ascii="Calibri" w:hAnsi="Calibri"/>
                <w:bCs/>
                <w:lang w:eastAsia="ja-JP"/>
              </w:rPr>
              <w:t>2022</w:t>
            </w:r>
            <w:r w:rsidR="007D2562">
              <w:rPr>
                <w:rFonts w:ascii="Calibri" w:hAnsi="Calibri"/>
                <w:bCs/>
                <w:lang w:eastAsia="ja-JP"/>
              </w:rPr>
              <w:t xml:space="preserve"> </w:t>
            </w:r>
            <w:r w:rsidRPr="00912996">
              <w:rPr>
                <w:rFonts w:ascii="Calibri" w:hAnsi="Calibri"/>
                <w:bCs/>
                <w:lang w:eastAsia="ja-JP"/>
              </w:rPr>
              <w:t>-2023</w:t>
            </w:r>
          </w:p>
        </w:tc>
        <w:tc>
          <w:tcPr>
            <w:tcW w:w="484" w:type="pct"/>
            <w:gridSpan w:val="2"/>
            <w:shd w:val="clear" w:color="auto" w:fill="F2F2F2"/>
            <w:hideMark/>
          </w:tcPr>
          <w:p w14:paraId="3F4215AF"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6546BC6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5B7AA57"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43C5B03F" w14:textId="77777777" w:rsidTr="00E16711">
        <w:trPr>
          <w:trHeight w:val="530"/>
        </w:trPr>
        <w:tc>
          <w:tcPr>
            <w:tcW w:w="205" w:type="pct"/>
            <w:shd w:val="clear" w:color="auto" w:fill="F2F2F2"/>
            <w:noWrap/>
            <w:hideMark/>
          </w:tcPr>
          <w:p w14:paraId="19C5175E"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391E43B8" w14:textId="77777777" w:rsidR="00395D01" w:rsidRPr="00912996" w:rsidRDefault="00395D01" w:rsidP="00292396">
            <w:pPr>
              <w:rPr>
                <w:rFonts w:ascii="Calibri" w:hAnsi="Calibri"/>
                <w:bCs/>
                <w:lang w:eastAsia="ja-JP"/>
              </w:rPr>
            </w:pPr>
            <w:r w:rsidRPr="00912996">
              <w:rPr>
                <w:rFonts w:ascii="Calibri" w:hAnsi="Calibri"/>
                <w:bCs/>
                <w:lang w:eastAsia="ja-JP"/>
              </w:rPr>
              <w:t>Realizarea unor parteneriate public-privat în vederea sistematizării infrastructurii de circulații, infrastructurii tehnico-edilitare și realizării de dotări socio-culturale de proximitate/cartier (spații verzi, unități de învățământ, dotări sportive etc) (Proiect pilot: zonele Fabrica de Glucoză, Pipera – Dimitrie Pompeiu)</w:t>
            </w:r>
          </w:p>
        </w:tc>
        <w:tc>
          <w:tcPr>
            <w:tcW w:w="640" w:type="pct"/>
            <w:shd w:val="clear" w:color="auto" w:fill="F2F2F2"/>
            <w:hideMark/>
          </w:tcPr>
          <w:p w14:paraId="5918CA20"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270F172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8F6F6E0"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411" w:type="pct"/>
            <w:shd w:val="clear" w:color="auto" w:fill="F2F2F2"/>
            <w:hideMark/>
          </w:tcPr>
          <w:p w14:paraId="0569B776"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347" w:type="pct"/>
            <w:shd w:val="clear" w:color="auto" w:fill="F2F2F2"/>
            <w:hideMark/>
          </w:tcPr>
          <w:p w14:paraId="43AFD34D" w14:textId="08DF9539" w:rsidR="00395D01" w:rsidRPr="00912996" w:rsidRDefault="00395D01" w:rsidP="00292396">
            <w:pPr>
              <w:rPr>
                <w:rFonts w:ascii="Calibri" w:hAnsi="Calibri"/>
                <w:bCs/>
                <w:lang w:eastAsia="ja-JP"/>
              </w:rPr>
            </w:pPr>
            <w:r w:rsidRPr="00912996">
              <w:rPr>
                <w:rFonts w:ascii="Calibri" w:hAnsi="Calibri"/>
                <w:bCs/>
                <w:lang w:eastAsia="ja-JP"/>
              </w:rPr>
              <w:t>2022</w:t>
            </w:r>
            <w:r w:rsidR="007D2562">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B4A1BF8"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51FE19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31F5325"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752D6A0B" w14:textId="77777777" w:rsidTr="00E16711">
        <w:trPr>
          <w:trHeight w:val="1320"/>
        </w:trPr>
        <w:tc>
          <w:tcPr>
            <w:tcW w:w="205" w:type="pct"/>
            <w:shd w:val="clear" w:color="auto" w:fill="F2F2F2"/>
            <w:noWrap/>
            <w:hideMark/>
          </w:tcPr>
          <w:p w14:paraId="120739C1"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3A3F64ED" w14:textId="77777777" w:rsidR="00395D01" w:rsidRPr="00912996" w:rsidRDefault="00395D01" w:rsidP="00292396">
            <w:pPr>
              <w:rPr>
                <w:rFonts w:ascii="Calibri" w:hAnsi="Calibri"/>
                <w:bCs/>
                <w:lang w:eastAsia="ja-JP"/>
              </w:rPr>
            </w:pPr>
            <w:r w:rsidRPr="00912996">
              <w:rPr>
                <w:rFonts w:ascii="Calibri" w:hAnsi="Calibri"/>
                <w:bCs/>
                <w:lang w:eastAsia="ja-JP"/>
              </w:rPr>
              <w:t>Realizarea unui ghid de intervenții pe fațade pentru lucrările de eficientizare energetică, realizat în parteneriat cu PMB, OAR, celelalte primării de Sector</w:t>
            </w:r>
          </w:p>
        </w:tc>
        <w:tc>
          <w:tcPr>
            <w:tcW w:w="640" w:type="pct"/>
            <w:shd w:val="clear" w:color="auto" w:fill="F2F2F2"/>
            <w:hideMark/>
          </w:tcPr>
          <w:p w14:paraId="2D0F9A56" w14:textId="77777777" w:rsidR="00395D01" w:rsidRPr="00912996" w:rsidRDefault="00395D01" w:rsidP="00292396">
            <w:pPr>
              <w:rPr>
                <w:rFonts w:ascii="Calibri" w:hAnsi="Calibri"/>
                <w:bCs/>
                <w:lang w:eastAsia="ja-JP"/>
              </w:rPr>
            </w:pPr>
            <w:r w:rsidRPr="00912996">
              <w:rPr>
                <w:rFonts w:ascii="Calibri" w:hAnsi="Calibri"/>
                <w:bCs/>
                <w:lang w:eastAsia="ja-JP"/>
              </w:rPr>
              <w:t>PS2, asociațiile de proprietari, OAR, PMB, PS1, S3, PS4, PS5, PS6</w:t>
            </w:r>
          </w:p>
        </w:tc>
        <w:tc>
          <w:tcPr>
            <w:tcW w:w="507" w:type="pct"/>
            <w:shd w:val="clear" w:color="auto" w:fill="F2F2F2"/>
            <w:hideMark/>
          </w:tcPr>
          <w:p w14:paraId="4AA09E9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EF126C1"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5468856A"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48D32267" w14:textId="28DB1C98" w:rsidR="00395D01" w:rsidRPr="00912996" w:rsidRDefault="00395D01" w:rsidP="00292396">
            <w:pPr>
              <w:rPr>
                <w:rFonts w:ascii="Calibri" w:hAnsi="Calibri"/>
                <w:bCs/>
                <w:lang w:eastAsia="ja-JP"/>
              </w:rPr>
            </w:pPr>
            <w:r w:rsidRPr="00912996">
              <w:rPr>
                <w:rFonts w:ascii="Calibri" w:hAnsi="Calibri"/>
                <w:bCs/>
                <w:lang w:eastAsia="ja-JP"/>
              </w:rPr>
              <w:t>2023</w:t>
            </w:r>
            <w:r w:rsidR="00071820">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66DB9CA9"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bugetul de stat, alte surse de finanțare</w:t>
            </w:r>
          </w:p>
        </w:tc>
        <w:tc>
          <w:tcPr>
            <w:tcW w:w="433" w:type="pct"/>
            <w:shd w:val="clear" w:color="auto" w:fill="F2F2F2"/>
            <w:hideMark/>
          </w:tcPr>
          <w:p w14:paraId="1215F808"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FD90F50"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grup de lucru tematic</w:t>
            </w:r>
          </w:p>
        </w:tc>
      </w:tr>
      <w:tr w:rsidR="00E16711" w:rsidRPr="00912996" w14:paraId="14F0F237" w14:textId="77777777" w:rsidTr="00E16711">
        <w:trPr>
          <w:trHeight w:val="1656"/>
        </w:trPr>
        <w:tc>
          <w:tcPr>
            <w:tcW w:w="205" w:type="pct"/>
            <w:shd w:val="clear" w:color="auto" w:fill="F2F2F2"/>
            <w:noWrap/>
            <w:hideMark/>
          </w:tcPr>
          <w:p w14:paraId="6A4A1D1B"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384B916A" w14:textId="77777777" w:rsidR="00395D01" w:rsidRPr="00912996" w:rsidRDefault="00395D01" w:rsidP="00292396">
            <w:pPr>
              <w:rPr>
                <w:rFonts w:ascii="Calibri" w:hAnsi="Calibri"/>
                <w:bCs/>
                <w:lang w:eastAsia="ja-JP"/>
              </w:rPr>
            </w:pPr>
            <w:r w:rsidRPr="00912996">
              <w:rPr>
                <w:rFonts w:ascii="Calibri" w:hAnsi="Calibri"/>
                <w:bCs/>
                <w:lang w:eastAsia="ja-JP"/>
              </w:rPr>
              <w:t>Proiect integrat de regenerare urbana Zona Obor prin crearea unui complex muzeal feroviar, a unui sistem de spații verzi și amenajarea peisagistică a Pieței Gării</w:t>
            </w:r>
            <w:r>
              <w:rPr>
                <w:rFonts w:ascii="Calibri" w:hAnsi="Calibri"/>
                <w:bCs/>
                <w:lang w:eastAsia="ja-JP"/>
              </w:rPr>
              <w:t xml:space="preserve"> </w:t>
            </w:r>
            <w:r w:rsidRPr="00912996">
              <w:rPr>
                <w:rFonts w:ascii="Calibri" w:hAnsi="Calibri"/>
                <w:bCs/>
                <w:lang w:eastAsia="ja-JP"/>
              </w:rPr>
              <w:t>Obor/ Proiect de regenerare urbană și reconversie a Zonei Gara Obor - Piața Obor</w:t>
            </w:r>
          </w:p>
        </w:tc>
        <w:tc>
          <w:tcPr>
            <w:tcW w:w="640" w:type="pct"/>
            <w:shd w:val="clear" w:color="auto" w:fill="F2F2F2"/>
            <w:hideMark/>
          </w:tcPr>
          <w:p w14:paraId="46166BF8" w14:textId="77777777" w:rsidR="00395D01" w:rsidRPr="00912996" w:rsidRDefault="00395D01" w:rsidP="00292396">
            <w:pPr>
              <w:rPr>
                <w:rFonts w:ascii="Calibri" w:hAnsi="Calibri"/>
                <w:bCs/>
                <w:lang w:eastAsia="ja-JP"/>
              </w:rPr>
            </w:pPr>
            <w:r w:rsidRPr="00912996">
              <w:rPr>
                <w:rFonts w:ascii="Calibri" w:hAnsi="Calibri"/>
                <w:bCs/>
                <w:lang w:eastAsia="ja-JP"/>
              </w:rPr>
              <w:t>PMB, PS2, ADPS2, CFR</w:t>
            </w:r>
          </w:p>
        </w:tc>
        <w:tc>
          <w:tcPr>
            <w:tcW w:w="507" w:type="pct"/>
            <w:shd w:val="clear" w:color="auto" w:fill="F2F2F2"/>
            <w:hideMark/>
          </w:tcPr>
          <w:p w14:paraId="6538E87A" w14:textId="77777777" w:rsidR="00395D01" w:rsidRPr="00912996" w:rsidRDefault="00395D01" w:rsidP="00292396">
            <w:pPr>
              <w:rPr>
                <w:rFonts w:ascii="Calibri" w:hAnsi="Calibri"/>
                <w:bCs/>
                <w:lang w:eastAsia="ja-JP"/>
              </w:rPr>
            </w:pPr>
            <w:r w:rsidRPr="00912996">
              <w:rPr>
                <w:rFonts w:ascii="Calibri" w:hAnsi="Calibri"/>
                <w:bCs/>
                <w:lang w:eastAsia="ja-JP"/>
              </w:rPr>
              <w:t>În implementare - proiect în curs de elaborare</w:t>
            </w:r>
          </w:p>
        </w:tc>
        <w:tc>
          <w:tcPr>
            <w:tcW w:w="473" w:type="pct"/>
            <w:shd w:val="clear" w:color="auto" w:fill="F2F2F2"/>
            <w:hideMark/>
          </w:tcPr>
          <w:p w14:paraId="533B72ED" w14:textId="77777777" w:rsidR="00395D01" w:rsidRPr="00912996" w:rsidRDefault="00395D01" w:rsidP="00292396">
            <w:pPr>
              <w:rPr>
                <w:rFonts w:ascii="Calibri" w:hAnsi="Calibri"/>
                <w:bCs/>
                <w:lang w:eastAsia="ja-JP"/>
              </w:rPr>
            </w:pPr>
            <w:r w:rsidRPr="00912996">
              <w:rPr>
                <w:rFonts w:ascii="Calibri" w:hAnsi="Calibri"/>
                <w:bCs/>
                <w:lang w:eastAsia="ja-JP"/>
              </w:rPr>
              <w:t>171,500,000</w:t>
            </w:r>
          </w:p>
        </w:tc>
        <w:tc>
          <w:tcPr>
            <w:tcW w:w="411" w:type="pct"/>
            <w:shd w:val="clear" w:color="auto" w:fill="F2F2F2"/>
            <w:hideMark/>
          </w:tcPr>
          <w:p w14:paraId="2AB4C970" w14:textId="77777777" w:rsidR="00395D01" w:rsidRPr="00912996" w:rsidRDefault="00395D01" w:rsidP="00292396">
            <w:pPr>
              <w:rPr>
                <w:rFonts w:ascii="Calibri" w:hAnsi="Calibri"/>
                <w:bCs/>
                <w:lang w:eastAsia="ja-JP"/>
              </w:rPr>
            </w:pPr>
            <w:r w:rsidRPr="00912996">
              <w:rPr>
                <w:rFonts w:ascii="Calibri" w:hAnsi="Calibri"/>
                <w:bCs/>
                <w:lang w:eastAsia="ja-JP"/>
              </w:rPr>
              <w:t>35,000,000</w:t>
            </w:r>
          </w:p>
        </w:tc>
        <w:tc>
          <w:tcPr>
            <w:tcW w:w="347" w:type="pct"/>
            <w:shd w:val="clear" w:color="auto" w:fill="F2F2F2"/>
            <w:hideMark/>
          </w:tcPr>
          <w:p w14:paraId="74A09145" w14:textId="78E4C4AA" w:rsidR="00395D01" w:rsidRPr="00912996" w:rsidRDefault="00395D01" w:rsidP="00292396">
            <w:pPr>
              <w:rPr>
                <w:rFonts w:ascii="Calibri" w:hAnsi="Calibri"/>
                <w:bCs/>
                <w:lang w:eastAsia="ja-JP"/>
              </w:rPr>
            </w:pPr>
            <w:r w:rsidRPr="00912996">
              <w:rPr>
                <w:rFonts w:ascii="Calibri" w:hAnsi="Calibri"/>
                <w:bCs/>
                <w:lang w:eastAsia="ja-JP"/>
              </w:rPr>
              <w:t>2022</w:t>
            </w:r>
            <w:r w:rsidR="00071820">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EF1FE20"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bugetul de stat, PNRR C10, CNI, alte surse de finanțare</w:t>
            </w:r>
          </w:p>
        </w:tc>
        <w:tc>
          <w:tcPr>
            <w:tcW w:w="433" w:type="pct"/>
            <w:shd w:val="clear" w:color="auto" w:fill="F2F2F2"/>
            <w:hideMark/>
          </w:tcPr>
          <w:p w14:paraId="34AEE76B"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4F0CCE3" w14:textId="77777777" w:rsidR="00395D01" w:rsidRPr="00912996" w:rsidRDefault="00395D01" w:rsidP="00292396">
            <w:pPr>
              <w:rPr>
                <w:rFonts w:ascii="Calibri" w:hAnsi="Calibri"/>
                <w:bCs/>
                <w:lang w:eastAsia="ja-JP"/>
              </w:rPr>
            </w:pPr>
            <w:r w:rsidRPr="00912996">
              <w:rPr>
                <w:rFonts w:ascii="Calibri" w:hAnsi="Calibri"/>
                <w:bCs/>
                <w:lang w:eastAsia="ja-JP"/>
              </w:rPr>
              <w:t>SIDU MB, PS2</w:t>
            </w:r>
          </w:p>
        </w:tc>
      </w:tr>
      <w:tr w:rsidR="00E16711" w:rsidRPr="00912996" w14:paraId="1BB678EB" w14:textId="77777777" w:rsidTr="00E16711">
        <w:trPr>
          <w:trHeight w:val="1457"/>
        </w:trPr>
        <w:tc>
          <w:tcPr>
            <w:tcW w:w="205" w:type="pct"/>
            <w:shd w:val="clear" w:color="auto" w:fill="F2F2F2"/>
            <w:noWrap/>
          </w:tcPr>
          <w:p w14:paraId="7A88E1F9" w14:textId="77777777" w:rsidR="00395D01" w:rsidRPr="00577C35" w:rsidRDefault="00395D01" w:rsidP="00292396">
            <w:pPr>
              <w:rPr>
                <w:rFonts w:ascii="Calibri" w:hAnsi="Calibri"/>
                <w:bCs/>
                <w:lang w:eastAsia="ja-JP"/>
              </w:rPr>
            </w:pPr>
            <w:r w:rsidRPr="00577C35">
              <w:rPr>
                <w:rFonts w:ascii="Calibri" w:hAnsi="Calibri"/>
                <w:bCs/>
                <w:lang w:eastAsia="ja-JP"/>
              </w:rPr>
              <w:t>16</w:t>
            </w:r>
          </w:p>
        </w:tc>
        <w:tc>
          <w:tcPr>
            <w:tcW w:w="1018" w:type="pct"/>
            <w:gridSpan w:val="2"/>
            <w:shd w:val="clear" w:color="auto" w:fill="F2F2F2"/>
          </w:tcPr>
          <w:p w14:paraId="7051FDEC" w14:textId="77777777" w:rsidR="00395D01" w:rsidRPr="00577C35" w:rsidRDefault="00395D01" w:rsidP="00292396">
            <w:pPr>
              <w:rPr>
                <w:rFonts w:ascii="Calibri" w:hAnsi="Calibri"/>
                <w:bCs/>
                <w:lang w:eastAsia="ja-JP"/>
              </w:rPr>
            </w:pPr>
            <w:r w:rsidRPr="001331E3">
              <w:rPr>
                <w:rFonts w:ascii="Calibri" w:hAnsi="Calibri"/>
                <w:bCs/>
                <w:lang w:eastAsia="ja-JP"/>
              </w:rPr>
              <w:t>"WEGENERATE" (Co-crearea unor cartiere durabile centrate pe oameni prin regenerare urbană) finanțat prin programul  Orizont Europe</w:t>
            </w:r>
          </w:p>
        </w:tc>
        <w:tc>
          <w:tcPr>
            <w:tcW w:w="640" w:type="pct"/>
            <w:shd w:val="clear" w:color="auto" w:fill="F2F2F2"/>
          </w:tcPr>
          <w:p w14:paraId="1487394D" w14:textId="77777777" w:rsidR="00395D01" w:rsidRPr="00912996" w:rsidRDefault="00395D01" w:rsidP="00292396">
            <w:pPr>
              <w:rPr>
                <w:rFonts w:ascii="Calibri" w:hAnsi="Calibri"/>
                <w:bCs/>
                <w:lang w:eastAsia="ja-JP"/>
              </w:rPr>
            </w:pPr>
            <w:r w:rsidRPr="001331E3">
              <w:rPr>
                <w:rFonts w:ascii="Calibri" w:hAnsi="Calibri"/>
                <w:bCs/>
                <w:lang w:eastAsia="ja-JP"/>
              </w:rPr>
              <w:t>PS2</w:t>
            </w:r>
          </w:p>
        </w:tc>
        <w:tc>
          <w:tcPr>
            <w:tcW w:w="507" w:type="pct"/>
            <w:shd w:val="clear" w:color="auto" w:fill="F2F2F2"/>
          </w:tcPr>
          <w:p w14:paraId="22AE0E79" w14:textId="77777777" w:rsidR="00395D01" w:rsidRPr="00912996" w:rsidRDefault="00395D01" w:rsidP="00292396">
            <w:pPr>
              <w:rPr>
                <w:rFonts w:ascii="Calibri" w:hAnsi="Calibri"/>
                <w:bCs/>
                <w:lang w:eastAsia="ja-JP"/>
              </w:rPr>
            </w:pPr>
            <w:r w:rsidRPr="001331E3">
              <w:rPr>
                <w:rFonts w:ascii="Calibri" w:hAnsi="Calibri"/>
                <w:bCs/>
                <w:lang w:eastAsia="ja-JP"/>
              </w:rPr>
              <w:t>Idee</w:t>
            </w:r>
          </w:p>
        </w:tc>
        <w:tc>
          <w:tcPr>
            <w:tcW w:w="473" w:type="pct"/>
            <w:shd w:val="clear" w:color="auto" w:fill="F2F2F2"/>
          </w:tcPr>
          <w:p w14:paraId="0A6E0716" w14:textId="77777777" w:rsidR="00395D01" w:rsidRPr="00912996" w:rsidRDefault="00395D01" w:rsidP="00292396">
            <w:pPr>
              <w:rPr>
                <w:rFonts w:ascii="Calibri" w:hAnsi="Calibri"/>
                <w:bCs/>
                <w:lang w:eastAsia="ja-JP"/>
              </w:rPr>
            </w:pPr>
            <w:r w:rsidRPr="001331E3">
              <w:rPr>
                <w:rFonts w:ascii="Calibri" w:hAnsi="Calibri"/>
                <w:bCs/>
                <w:lang w:eastAsia="ja-JP"/>
              </w:rPr>
              <w:t>1</w:t>
            </w:r>
            <w:r>
              <w:rPr>
                <w:rFonts w:ascii="Calibri" w:hAnsi="Calibri"/>
                <w:bCs/>
                <w:lang w:eastAsia="ja-JP"/>
              </w:rPr>
              <w:t>,</w:t>
            </w:r>
            <w:r w:rsidRPr="001331E3">
              <w:rPr>
                <w:rFonts w:ascii="Calibri" w:hAnsi="Calibri"/>
                <w:bCs/>
                <w:lang w:eastAsia="ja-JP"/>
              </w:rPr>
              <w:t>960</w:t>
            </w:r>
            <w:r>
              <w:rPr>
                <w:rFonts w:ascii="Calibri" w:hAnsi="Calibri"/>
                <w:bCs/>
                <w:lang w:eastAsia="ja-JP"/>
              </w:rPr>
              <w:t>,</w:t>
            </w:r>
            <w:r w:rsidRPr="001331E3">
              <w:rPr>
                <w:rFonts w:ascii="Calibri" w:hAnsi="Calibri"/>
                <w:bCs/>
                <w:lang w:eastAsia="ja-JP"/>
              </w:rPr>
              <w:t>000</w:t>
            </w:r>
          </w:p>
        </w:tc>
        <w:tc>
          <w:tcPr>
            <w:tcW w:w="411" w:type="pct"/>
            <w:shd w:val="clear" w:color="auto" w:fill="F2F2F2"/>
          </w:tcPr>
          <w:p w14:paraId="3A128347" w14:textId="77777777" w:rsidR="00395D01" w:rsidRPr="00912996" w:rsidRDefault="00395D01" w:rsidP="00292396">
            <w:pPr>
              <w:rPr>
                <w:rFonts w:ascii="Calibri" w:hAnsi="Calibri"/>
                <w:bCs/>
                <w:lang w:eastAsia="ja-JP"/>
              </w:rPr>
            </w:pPr>
            <w:r w:rsidRPr="001331E3">
              <w:rPr>
                <w:rFonts w:ascii="Calibri" w:hAnsi="Calibri"/>
                <w:bCs/>
                <w:lang w:eastAsia="ja-JP"/>
              </w:rPr>
              <w:t>400</w:t>
            </w:r>
            <w:r>
              <w:rPr>
                <w:rFonts w:ascii="Calibri" w:hAnsi="Calibri"/>
                <w:bCs/>
                <w:lang w:eastAsia="ja-JP"/>
              </w:rPr>
              <w:t>,</w:t>
            </w:r>
            <w:r w:rsidRPr="001331E3">
              <w:rPr>
                <w:rFonts w:ascii="Calibri" w:hAnsi="Calibri"/>
                <w:bCs/>
                <w:lang w:eastAsia="ja-JP"/>
              </w:rPr>
              <w:t>000</w:t>
            </w:r>
          </w:p>
        </w:tc>
        <w:tc>
          <w:tcPr>
            <w:tcW w:w="347" w:type="pct"/>
            <w:shd w:val="clear" w:color="auto" w:fill="F2F2F2"/>
          </w:tcPr>
          <w:p w14:paraId="7342FBAE" w14:textId="115E790A" w:rsidR="00395D01" w:rsidRPr="00912996" w:rsidRDefault="00395D01" w:rsidP="00292396">
            <w:pPr>
              <w:rPr>
                <w:rFonts w:ascii="Calibri" w:hAnsi="Calibri"/>
                <w:bCs/>
                <w:lang w:eastAsia="ja-JP"/>
              </w:rPr>
            </w:pPr>
            <w:r w:rsidRPr="001331E3">
              <w:rPr>
                <w:rFonts w:ascii="Calibri" w:hAnsi="Calibri"/>
                <w:bCs/>
                <w:lang w:eastAsia="ja-JP"/>
              </w:rPr>
              <w:t>2023</w:t>
            </w:r>
            <w:r w:rsidR="0078089D">
              <w:rPr>
                <w:rFonts w:ascii="Calibri" w:hAnsi="Calibri"/>
                <w:bCs/>
                <w:lang w:eastAsia="ja-JP"/>
              </w:rPr>
              <w:t xml:space="preserve"> </w:t>
            </w:r>
            <w:r w:rsidRPr="001331E3">
              <w:rPr>
                <w:rFonts w:ascii="Calibri" w:hAnsi="Calibri"/>
                <w:bCs/>
                <w:lang w:eastAsia="ja-JP"/>
              </w:rPr>
              <w:t>-2026</w:t>
            </w:r>
          </w:p>
        </w:tc>
        <w:tc>
          <w:tcPr>
            <w:tcW w:w="484" w:type="pct"/>
            <w:gridSpan w:val="2"/>
            <w:shd w:val="clear" w:color="auto" w:fill="F2F2F2"/>
          </w:tcPr>
          <w:p w14:paraId="6BBE2796" w14:textId="77777777" w:rsidR="00395D01" w:rsidRPr="00912996" w:rsidRDefault="00395D01" w:rsidP="00292396">
            <w:pPr>
              <w:rPr>
                <w:rFonts w:ascii="Calibri" w:hAnsi="Calibri"/>
                <w:bCs/>
                <w:lang w:eastAsia="ja-JP"/>
              </w:rPr>
            </w:pPr>
            <w:r w:rsidRPr="001331E3">
              <w:rPr>
                <w:rFonts w:ascii="Calibri" w:hAnsi="Calibri"/>
                <w:bCs/>
                <w:lang w:eastAsia="ja-JP"/>
              </w:rPr>
              <w:t>Orizont Europe</w:t>
            </w:r>
          </w:p>
        </w:tc>
        <w:tc>
          <w:tcPr>
            <w:tcW w:w="433" w:type="pct"/>
            <w:shd w:val="clear" w:color="auto" w:fill="F2F2F2"/>
          </w:tcPr>
          <w:p w14:paraId="79019C8D" w14:textId="77777777" w:rsidR="00395D01" w:rsidRPr="00912996" w:rsidRDefault="00395D01" w:rsidP="00292396">
            <w:pPr>
              <w:rPr>
                <w:rFonts w:ascii="Calibri" w:hAnsi="Calibri"/>
                <w:bCs/>
                <w:lang w:eastAsia="ja-JP"/>
              </w:rPr>
            </w:pPr>
            <w:r w:rsidRPr="001331E3">
              <w:rPr>
                <w:rFonts w:ascii="Calibri" w:hAnsi="Calibri"/>
                <w:bCs/>
                <w:lang w:eastAsia="ja-JP"/>
              </w:rPr>
              <w:t>Lista lungă de proiecte</w:t>
            </w:r>
          </w:p>
        </w:tc>
        <w:tc>
          <w:tcPr>
            <w:tcW w:w="482" w:type="pct"/>
            <w:shd w:val="clear" w:color="auto" w:fill="F2F2F2"/>
          </w:tcPr>
          <w:p w14:paraId="4DDFBF30" w14:textId="77777777" w:rsidR="00395D01" w:rsidRPr="00912996" w:rsidRDefault="00395D01" w:rsidP="00292396">
            <w:pPr>
              <w:rPr>
                <w:rFonts w:ascii="Calibri" w:hAnsi="Calibri"/>
                <w:bCs/>
                <w:lang w:eastAsia="ja-JP"/>
              </w:rPr>
            </w:pPr>
            <w:r w:rsidRPr="001331E3">
              <w:rPr>
                <w:rFonts w:ascii="Calibri" w:hAnsi="Calibri"/>
                <w:bCs/>
                <w:lang w:eastAsia="ja-JP"/>
              </w:rPr>
              <w:t>PS2- DGPDUFE</w:t>
            </w:r>
          </w:p>
        </w:tc>
      </w:tr>
      <w:tr w:rsidR="00395D01" w:rsidRPr="00912996" w14:paraId="1C834A19" w14:textId="77777777" w:rsidTr="00292396">
        <w:trPr>
          <w:trHeight w:val="264"/>
        </w:trPr>
        <w:tc>
          <w:tcPr>
            <w:tcW w:w="5000" w:type="pct"/>
            <w:gridSpan w:val="12"/>
            <w:shd w:val="clear" w:color="auto" w:fill="BBD9A0"/>
            <w:noWrap/>
            <w:hideMark/>
          </w:tcPr>
          <w:p w14:paraId="4249991A" w14:textId="77777777" w:rsidR="00395D01" w:rsidRPr="00912996" w:rsidRDefault="00395D01" w:rsidP="0078089D">
            <w:pPr>
              <w:jc w:val="center"/>
              <w:rPr>
                <w:rFonts w:ascii="Calibri" w:hAnsi="Calibri"/>
                <w:b/>
                <w:bCs/>
                <w:lang w:eastAsia="ja-JP"/>
              </w:rPr>
            </w:pPr>
            <w:r w:rsidRPr="00912996">
              <w:rPr>
                <w:rFonts w:ascii="Calibri" w:hAnsi="Calibri"/>
                <w:b/>
                <w:bCs/>
                <w:color w:val="FFFFFF"/>
                <w:lang w:eastAsia="ja-JP"/>
              </w:rPr>
              <w:t>D1.1.3. Modernizarea și completarea sistemului de dotări comunitare</w:t>
            </w:r>
          </w:p>
        </w:tc>
      </w:tr>
      <w:tr w:rsidR="00E16711" w:rsidRPr="00912996" w14:paraId="291E3E4A" w14:textId="77777777" w:rsidTr="00E16711">
        <w:trPr>
          <w:trHeight w:val="2640"/>
        </w:trPr>
        <w:tc>
          <w:tcPr>
            <w:tcW w:w="205" w:type="pct"/>
            <w:shd w:val="clear" w:color="auto" w:fill="F2F2F2"/>
            <w:noWrap/>
            <w:hideMark/>
          </w:tcPr>
          <w:p w14:paraId="73BE57C7"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683A5E0F" w14:textId="77777777" w:rsidR="00395D01" w:rsidRPr="00912996" w:rsidRDefault="00395D01" w:rsidP="00292396">
            <w:pPr>
              <w:rPr>
                <w:rFonts w:ascii="Calibri" w:hAnsi="Calibri"/>
                <w:bCs/>
                <w:lang w:eastAsia="ja-JP"/>
              </w:rPr>
            </w:pPr>
            <w:r w:rsidRPr="00912996">
              <w:rPr>
                <w:rFonts w:ascii="Calibri" w:hAnsi="Calibri"/>
                <w:bCs/>
                <w:lang w:eastAsia="ja-JP"/>
              </w:rPr>
              <w:t>Înființare piețe volante / sezoniere/ temporare în 5 locații: Str. Cernăuți, nr. 29A, intersecția Bd. Carol cu Str. Paleologu, B-dul Basarabiei (alee de acces în Parcul Național), B-dul Basarabiei (în zona de intrare a stadionului), B-dul Chișinău (în fața Pieței Rotonde, pe trotuar). Lucrări incluse: chioșcuri comerciale din lemn, dotarea spațiilor cu utilități</w:t>
            </w:r>
          </w:p>
        </w:tc>
        <w:tc>
          <w:tcPr>
            <w:tcW w:w="640" w:type="pct"/>
            <w:shd w:val="clear" w:color="auto" w:fill="F2F2F2"/>
            <w:hideMark/>
          </w:tcPr>
          <w:p w14:paraId="22374D87"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w:t>
            </w:r>
          </w:p>
        </w:tc>
        <w:tc>
          <w:tcPr>
            <w:tcW w:w="507" w:type="pct"/>
            <w:shd w:val="clear" w:color="auto" w:fill="F2F2F2"/>
            <w:hideMark/>
          </w:tcPr>
          <w:p w14:paraId="3EA5F2FC"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7F677733"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3F54CE92"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3385985F" w14:textId="70562FAC"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27334C7B"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7609C799"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03B2C45" w14:textId="77777777" w:rsidR="00395D01" w:rsidRPr="00912996" w:rsidRDefault="00395D01" w:rsidP="00292396">
            <w:pPr>
              <w:rPr>
                <w:rFonts w:ascii="Calibri" w:hAnsi="Calibri"/>
                <w:bCs/>
                <w:lang w:eastAsia="ja-JP"/>
              </w:rPr>
            </w:pPr>
            <w:r w:rsidRPr="00912996">
              <w:rPr>
                <w:rFonts w:ascii="Calibri" w:hAnsi="Calibri"/>
                <w:bCs/>
                <w:lang w:eastAsia="ja-JP"/>
              </w:rPr>
              <w:t>Administrația Piețelor</w:t>
            </w:r>
          </w:p>
        </w:tc>
      </w:tr>
      <w:tr w:rsidR="00E16711" w:rsidRPr="00912996" w14:paraId="44AD137F" w14:textId="77777777" w:rsidTr="00E16711">
        <w:trPr>
          <w:trHeight w:val="1056"/>
        </w:trPr>
        <w:tc>
          <w:tcPr>
            <w:tcW w:w="205" w:type="pct"/>
            <w:shd w:val="clear" w:color="auto" w:fill="F2F2F2"/>
            <w:noWrap/>
            <w:hideMark/>
          </w:tcPr>
          <w:p w14:paraId="08487407"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5E97ED88" w14:textId="77777777" w:rsidR="00395D01" w:rsidRPr="00912996" w:rsidRDefault="00395D01" w:rsidP="00292396">
            <w:pPr>
              <w:rPr>
                <w:rFonts w:ascii="Calibri" w:hAnsi="Calibri"/>
                <w:bCs/>
                <w:lang w:eastAsia="ja-JP"/>
              </w:rPr>
            </w:pPr>
            <w:r w:rsidRPr="00912996">
              <w:rPr>
                <w:rFonts w:ascii="Calibri" w:hAnsi="Calibri"/>
                <w:bCs/>
                <w:lang w:eastAsia="ja-JP"/>
              </w:rPr>
              <w:t>Un sector mai competitiv prin crearea infrastructurii publice de susținere a mediului de afaceri prin modernizarea construcțiilor - Hala Terminal - Piața Obor</w:t>
            </w:r>
          </w:p>
        </w:tc>
        <w:tc>
          <w:tcPr>
            <w:tcW w:w="640" w:type="pct"/>
            <w:shd w:val="clear" w:color="auto" w:fill="F2F2F2"/>
            <w:hideMark/>
          </w:tcPr>
          <w:p w14:paraId="05807511"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w:t>
            </w:r>
          </w:p>
        </w:tc>
        <w:tc>
          <w:tcPr>
            <w:tcW w:w="507" w:type="pct"/>
            <w:shd w:val="clear" w:color="auto" w:fill="F2F2F2"/>
            <w:hideMark/>
          </w:tcPr>
          <w:p w14:paraId="2C17CDEA"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28436173"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3BFE51A5"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268EEAC1"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3D0B059"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080A360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AC863E6" w14:textId="77777777" w:rsidR="00395D01" w:rsidRPr="00912996" w:rsidRDefault="00395D01" w:rsidP="00292396">
            <w:pPr>
              <w:rPr>
                <w:rFonts w:ascii="Calibri" w:hAnsi="Calibri"/>
                <w:bCs/>
                <w:lang w:eastAsia="ja-JP"/>
              </w:rPr>
            </w:pPr>
            <w:r w:rsidRPr="00912996">
              <w:rPr>
                <w:rFonts w:ascii="Calibri" w:hAnsi="Calibri"/>
                <w:bCs/>
                <w:lang w:eastAsia="ja-JP"/>
              </w:rPr>
              <w:t>Administrația Piețelor</w:t>
            </w:r>
          </w:p>
        </w:tc>
      </w:tr>
      <w:tr w:rsidR="00E16711" w:rsidRPr="00912996" w14:paraId="6D8EB6F4" w14:textId="77777777" w:rsidTr="00E16711">
        <w:trPr>
          <w:trHeight w:val="1056"/>
        </w:trPr>
        <w:tc>
          <w:tcPr>
            <w:tcW w:w="205" w:type="pct"/>
            <w:shd w:val="clear" w:color="auto" w:fill="F2F2F2"/>
            <w:noWrap/>
            <w:hideMark/>
          </w:tcPr>
          <w:p w14:paraId="3ED1B7AB"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0E7FEE5F" w14:textId="77777777" w:rsidR="00395D01" w:rsidRPr="00912996" w:rsidRDefault="00395D01" w:rsidP="00292396">
            <w:pPr>
              <w:rPr>
                <w:rFonts w:ascii="Calibri" w:hAnsi="Calibri"/>
                <w:bCs/>
                <w:lang w:eastAsia="ja-JP"/>
              </w:rPr>
            </w:pPr>
            <w:r w:rsidRPr="00912996">
              <w:rPr>
                <w:rFonts w:ascii="Calibri" w:hAnsi="Calibri"/>
                <w:bCs/>
                <w:lang w:eastAsia="ja-JP"/>
              </w:rPr>
              <w:t>Dotarea piețelor cu sisteme de ventilație si climatizare</w:t>
            </w:r>
          </w:p>
        </w:tc>
        <w:tc>
          <w:tcPr>
            <w:tcW w:w="640" w:type="pct"/>
            <w:shd w:val="clear" w:color="auto" w:fill="F2F2F2"/>
            <w:hideMark/>
          </w:tcPr>
          <w:p w14:paraId="5CE85E6B"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w:t>
            </w:r>
          </w:p>
        </w:tc>
        <w:tc>
          <w:tcPr>
            <w:tcW w:w="507" w:type="pct"/>
            <w:shd w:val="clear" w:color="auto" w:fill="F2F2F2"/>
            <w:hideMark/>
          </w:tcPr>
          <w:p w14:paraId="597B19A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293A28F"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54D03D10"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53C364FB" w14:textId="68DC1943" w:rsidR="00395D01" w:rsidRPr="00912996" w:rsidRDefault="00395D01" w:rsidP="00292396">
            <w:pPr>
              <w:rPr>
                <w:rFonts w:ascii="Calibri" w:hAnsi="Calibri"/>
                <w:bCs/>
                <w:lang w:eastAsia="ja-JP"/>
              </w:rPr>
            </w:pPr>
            <w:r w:rsidRPr="00912996">
              <w:rPr>
                <w:rFonts w:ascii="Calibri" w:hAnsi="Calibri"/>
                <w:bCs/>
                <w:lang w:eastAsia="ja-JP"/>
              </w:rPr>
              <w:t>2023</w:t>
            </w:r>
            <w:r w:rsidR="005E742E">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A05C6AE"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1AA3BE5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6CA64E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25B52D7" w14:textId="77777777" w:rsidTr="00E16711">
        <w:trPr>
          <w:trHeight w:val="1056"/>
        </w:trPr>
        <w:tc>
          <w:tcPr>
            <w:tcW w:w="205" w:type="pct"/>
            <w:shd w:val="clear" w:color="auto" w:fill="F2F2F2"/>
            <w:noWrap/>
            <w:hideMark/>
          </w:tcPr>
          <w:p w14:paraId="170DAD33"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02BA2911" w14:textId="77777777" w:rsidR="00395D01" w:rsidRPr="00912996" w:rsidRDefault="00395D01" w:rsidP="00292396">
            <w:pPr>
              <w:rPr>
                <w:rFonts w:ascii="Calibri" w:hAnsi="Calibri"/>
                <w:bCs/>
                <w:lang w:eastAsia="ja-JP"/>
              </w:rPr>
            </w:pPr>
            <w:r w:rsidRPr="00912996">
              <w:rPr>
                <w:rFonts w:ascii="Calibri" w:hAnsi="Calibri"/>
                <w:bCs/>
                <w:lang w:eastAsia="ja-JP"/>
              </w:rPr>
              <w:t>Modernizarea pieței Galați</w:t>
            </w:r>
          </w:p>
        </w:tc>
        <w:tc>
          <w:tcPr>
            <w:tcW w:w="640" w:type="pct"/>
            <w:shd w:val="clear" w:color="auto" w:fill="F2F2F2"/>
            <w:hideMark/>
          </w:tcPr>
          <w:p w14:paraId="3AC612BF"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w:t>
            </w:r>
          </w:p>
        </w:tc>
        <w:tc>
          <w:tcPr>
            <w:tcW w:w="507" w:type="pct"/>
            <w:shd w:val="clear" w:color="auto" w:fill="F2F2F2"/>
            <w:hideMark/>
          </w:tcPr>
          <w:p w14:paraId="5BC9EB4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C52DA21"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411" w:type="pct"/>
            <w:shd w:val="clear" w:color="auto" w:fill="F2F2F2"/>
            <w:hideMark/>
          </w:tcPr>
          <w:p w14:paraId="418702B3" w14:textId="77777777" w:rsidR="00395D01" w:rsidRPr="00912996" w:rsidRDefault="00395D01" w:rsidP="00292396">
            <w:pPr>
              <w:rPr>
                <w:rFonts w:ascii="Calibri" w:hAnsi="Calibri"/>
                <w:bCs/>
                <w:lang w:eastAsia="ja-JP"/>
              </w:rPr>
            </w:pPr>
            <w:r w:rsidRPr="00912996">
              <w:rPr>
                <w:rFonts w:ascii="Calibri" w:hAnsi="Calibri"/>
                <w:bCs/>
                <w:lang w:eastAsia="ja-JP"/>
              </w:rPr>
              <w:t>306,122</w:t>
            </w:r>
          </w:p>
        </w:tc>
        <w:tc>
          <w:tcPr>
            <w:tcW w:w="347" w:type="pct"/>
            <w:shd w:val="clear" w:color="auto" w:fill="F2F2F2"/>
            <w:hideMark/>
          </w:tcPr>
          <w:p w14:paraId="737F5747" w14:textId="55E54453" w:rsidR="00395D01" w:rsidRPr="00912996" w:rsidRDefault="00395D01" w:rsidP="00292396">
            <w:pPr>
              <w:rPr>
                <w:rFonts w:ascii="Calibri" w:hAnsi="Calibri"/>
                <w:bCs/>
                <w:lang w:eastAsia="ja-JP"/>
              </w:rPr>
            </w:pPr>
            <w:r w:rsidRPr="00912996">
              <w:rPr>
                <w:rFonts w:ascii="Calibri" w:hAnsi="Calibri"/>
                <w:bCs/>
                <w:lang w:eastAsia="ja-JP"/>
              </w:rPr>
              <w:t>2023</w:t>
            </w:r>
            <w:r w:rsidR="005E742E">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7443F38"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103A2E1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3064394"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E16711" w:rsidRPr="00912996" w14:paraId="3EB211D0" w14:textId="77777777" w:rsidTr="00E16711">
        <w:trPr>
          <w:trHeight w:val="1056"/>
        </w:trPr>
        <w:tc>
          <w:tcPr>
            <w:tcW w:w="205" w:type="pct"/>
            <w:shd w:val="clear" w:color="auto" w:fill="F2F2F2"/>
            <w:noWrap/>
            <w:hideMark/>
          </w:tcPr>
          <w:p w14:paraId="4485E649"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5FE052BD" w14:textId="77777777" w:rsidR="00395D01" w:rsidRPr="00912996" w:rsidRDefault="00395D01" w:rsidP="00292396">
            <w:pPr>
              <w:rPr>
                <w:rFonts w:ascii="Calibri" w:hAnsi="Calibri"/>
                <w:bCs/>
                <w:lang w:eastAsia="ja-JP"/>
              </w:rPr>
            </w:pPr>
            <w:r w:rsidRPr="00912996">
              <w:rPr>
                <w:rFonts w:ascii="Calibri" w:hAnsi="Calibri"/>
                <w:bCs/>
                <w:lang w:eastAsia="ja-JP"/>
              </w:rPr>
              <w:t>Amenajarea unei piețe volante în zona Colentina</w:t>
            </w:r>
          </w:p>
        </w:tc>
        <w:tc>
          <w:tcPr>
            <w:tcW w:w="640" w:type="pct"/>
            <w:shd w:val="clear" w:color="auto" w:fill="F2F2F2"/>
            <w:hideMark/>
          </w:tcPr>
          <w:p w14:paraId="3BD2FCCB"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w:t>
            </w:r>
          </w:p>
        </w:tc>
        <w:tc>
          <w:tcPr>
            <w:tcW w:w="507" w:type="pct"/>
            <w:shd w:val="clear" w:color="auto" w:fill="F2F2F2"/>
            <w:hideMark/>
          </w:tcPr>
          <w:p w14:paraId="2838D34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70F5631"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411" w:type="pct"/>
            <w:shd w:val="clear" w:color="auto" w:fill="F2F2F2"/>
            <w:hideMark/>
          </w:tcPr>
          <w:p w14:paraId="126A5D23" w14:textId="77777777" w:rsidR="00395D01" w:rsidRPr="00912996" w:rsidRDefault="00395D01" w:rsidP="00292396">
            <w:pPr>
              <w:rPr>
                <w:rFonts w:ascii="Calibri" w:hAnsi="Calibri"/>
                <w:bCs/>
                <w:lang w:eastAsia="ja-JP"/>
              </w:rPr>
            </w:pPr>
            <w:r w:rsidRPr="00912996">
              <w:rPr>
                <w:rFonts w:ascii="Calibri" w:hAnsi="Calibri"/>
                <w:bCs/>
                <w:lang w:eastAsia="ja-JP"/>
              </w:rPr>
              <w:t>102,041</w:t>
            </w:r>
          </w:p>
        </w:tc>
        <w:tc>
          <w:tcPr>
            <w:tcW w:w="347" w:type="pct"/>
            <w:shd w:val="clear" w:color="auto" w:fill="F2F2F2"/>
            <w:hideMark/>
          </w:tcPr>
          <w:p w14:paraId="1583B832" w14:textId="577B12F8" w:rsidR="00395D01" w:rsidRPr="00912996" w:rsidRDefault="00395D01" w:rsidP="00292396">
            <w:pPr>
              <w:rPr>
                <w:rFonts w:ascii="Calibri" w:hAnsi="Calibri"/>
                <w:bCs/>
                <w:lang w:eastAsia="ja-JP"/>
              </w:rPr>
            </w:pPr>
            <w:r w:rsidRPr="00912996">
              <w:rPr>
                <w:rFonts w:ascii="Calibri" w:hAnsi="Calibri"/>
                <w:bCs/>
                <w:lang w:eastAsia="ja-JP"/>
              </w:rPr>
              <w:t>2023</w:t>
            </w:r>
            <w:r w:rsidR="005E742E">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793E1DA4"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5F0427B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D74A386"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E16711" w:rsidRPr="00912996" w14:paraId="136D2A4E" w14:textId="77777777" w:rsidTr="00E16711">
        <w:trPr>
          <w:trHeight w:val="1056"/>
        </w:trPr>
        <w:tc>
          <w:tcPr>
            <w:tcW w:w="205" w:type="pct"/>
            <w:shd w:val="clear" w:color="auto" w:fill="F2F2F2"/>
            <w:noWrap/>
            <w:hideMark/>
          </w:tcPr>
          <w:p w14:paraId="50623300"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624B6A0E" w14:textId="77777777" w:rsidR="00395D01" w:rsidRPr="00912996" w:rsidRDefault="00395D01" w:rsidP="00292396">
            <w:pPr>
              <w:rPr>
                <w:rFonts w:ascii="Calibri" w:hAnsi="Calibri"/>
                <w:bCs/>
                <w:lang w:eastAsia="ja-JP"/>
              </w:rPr>
            </w:pPr>
            <w:r w:rsidRPr="00912996">
              <w:rPr>
                <w:rFonts w:ascii="Calibri" w:hAnsi="Calibri"/>
                <w:bCs/>
                <w:lang w:eastAsia="ja-JP"/>
              </w:rPr>
              <w:t>Înființare piață de gros (studierea posibilității transformării Pieței Cremenița în piață de gros)</w:t>
            </w:r>
          </w:p>
        </w:tc>
        <w:tc>
          <w:tcPr>
            <w:tcW w:w="640" w:type="pct"/>
            <w:shd w:val="clear" w:color="auto" w:fill="F2F2F2"/>
            <w:hideMark/>
          </w:tcPr>
          <w:p w14:paraId="023079E0"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 investitori privați</w:t>
            </w:r>
          </w:p>
        </w:tc>
        <w:tc>
          <w:tcPr>
            <w:tcW w:w="507" w:type="pct"/>
            <w:shd w:val="clear" w:color="auto" w:fill="F2F2F2"/>
            <w:hideMark/>
          </w:tcPr>
          <w:p w14:paraId="18C0313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02DA0BF"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117C709E"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6DF91DD6" w14:textId="2793A6BC" w:rsidR="00395D01" w:rsidRPr="00912996" w:rsidRDefault="00395D01" w:rsidP="00292396">
            <w:pPr>
              <w:rPr>
                <w:rFonts w:ascii="Calibri" w:hAnsi="Calibri"/>
                <w:bCs/>
                <w:lang w:eastAsia="ja-JP"/>
              </w:rPr>
            </w:pPr>
            <w:r w:rsidRPr="00912996">
              <w:rPr>
                <w:rFonts w:ascii="Calibri" w:hAnsi="Calibri"/>
                <w:bCs/>
                <w:lang w:eastAsia="ja-JP"/>
              </w:rPr>
              <w:t>2025</w:t>
            </w:r>
            <w:r w:rsidR="005E742E">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8FA7CAD"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0C8DBBE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46EA2ED"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E16711" w:rsidRPr="00912996" w14:paraId="1546694C" w14:textId="77777777" w:rsidTr="00E16711">
        <w:trPr>
          <w:trHeight w:val="1056"/>
        </w:trPr>
        <w:tc>
          <w:tcPr>
            <w:tcW w:w="205" w:type="pct"/>
            <w:shd w:val="clear" w:color="auto" w:fill="F2F2F2"/>
            <w:noWrap/>
            <w:hideMark/>
          </w:tcPr>
          <w:p w14:paraId="5DFC9B65"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3EE26036" w14:textId="77777777" w:rsidR="00395D01" w:rsidRPr="00912996" w:rsidRDefault="00395D01" w:rsidP="00292396">
            <w:pPr>
              <w:rPr>
                <w:rFonts w:ascii="Calibri" w:hAnsi="Calibri"/>
                <w:bCs/>
                <w:lang w:eastAsia="ja-JP"/>
              </w:rPr>
            </w:pPr>
            <w:r w:rsidRPr="00912996">
              <w:rPr>
                <w:rFonts w:ascii="Calibri" w:hAnsi="Calibri"/>
                <w:bCs/>
                <w:lang w:eastAsia="ja-JP"/>
              </w:rPr>
              <w:t>Modernizarea pieței Delfinului</w:t>
            </w:r>
          </w:p>
        </w:tc>
        <w:tc>
          <w:tcPr>
            <w:tcW w:w="640" w:type="pct"/>
            <w:shd w:val="clear" w:color="auto" w:fill="F2F2F2"/>
            <w:hideMark/>
          </w:tcPr>
          <w:p w14:paraId="0D91CE63"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w:t>
            </w:r>
          </w:p>
        </w:tc>
        <w:tc>
          <w:tcPr>
            <w:tcW w:w="507" w:type="pct"/>
            <w:shd w:val="clear" w:color="auto" w:fill="F2F2F2"/>
            <w:hideMark/>
          </w:tcPr>
          <w:p w14:paraId="2DA76C7B" w14:textId="77777777" w:rsidR="00395D01" w:rsidRPr="00912996" w:rsidRDefault="00395D01" w:rsidP="00292396">
            <w:pPr>
              <w:rPr>
                <w:rFonts w:ascii="Calibri" w:hAnsi="Calibri"/>
                <w:bCs/>
                <w:lang w:eastAsia="ja-JP"/>
              </w:rPr>
            </w:pPr>
            <w:r w:rsidRPr="00912996">
              <w:rPr>
                <w:rFonts w:ascii="Calibri" w:hAnsi="Calibri"/>
                <w:bCs/>
                <w:lang w:eastAsia="ja-JP"/>
              </w:rPr>
              <w:t>Ide</w:t>
            </w:r>
            <w:r>
              <w:rPr>
                <w:rFonts w:ascii="Calibri" w:hAnsi="Calibri"/>
                <w:bCs/>
                <w:lang w:eastAsia="ja-JP"/>
              </w:rPr>
              <w:t>e</w:t>
            </w:r>
          </w:p>
        </w:tc>
        <w:tc>
          <w:tcPr>
            <w:tcW w:w="473" w:type="pct"/>
            <w:shd w:val="clear" w:color="auto" w:fill="F2F2F2"/>
            <w:hideMark/>
          </w:tcPr>
          <w:p w14:paraId="0AF96D39"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411" w:type="pct"/>
            <w:shd w:val="clear" w:color="auto" w:fill="F2F2F2"/>
            <w:hideMark/>
          </w:tcPr>
          <w:p w14:paraId="1DDFE293" w14:textId="77777777" w:rsidR="00395D01" w:rsidRPr="00912996" w:rsidRDefault="00395D01" w:rsidP="00292396">
            <w:pPr>
              <w:rPr>
                <w:rFonts w:ascii="Calibri" w:hAnsi="Calibri"/>
                <w:bCs/>
                <w:lang w:eastAsia="ja-JP"/>
              </w:rPr>
            </w:pPr>
            <w:r w:rsidRPr="00912996">
              <w:rPr>
                <w:rFonts w:ascii="Calibri" w:hAnsi="Calibri"/>
                <w:bCs/>
                <w:lang w:eastAsia="ja-JP"/>
              </w:rPr>
              <w:t>612,245</w:t>
            </w:r>
          </w:p>
        </w:tc>
        <w:tc>
          <w:tcPr>
            <w:tcW w:w="347" w:type="pct"/>
            <w:shd w:val="clear" w:color="auto" w:fill="F2F2F2"/>
            <w:hideMark/>
          </w:tcPr>
          <w:p w14:paraId="3103E417" w14:textId="667050B0" w:rsidR="00395D01" w:rsidRPr="00912996" w:rsidRDefault="00395D01" w:rsidP="00292396">
            <w:pPr>
              <w:rPr>
                <w:rFonts w:ascii="Calibri" w:hAnsi="Calibri"/>
                <w:bCs/>
                <w:lang w:eastAsia="ja-JP"/>
              </w:rPr>
            </w:pPr>
            <w:r w:rsidRPr="00912996">
              <w:rPr>
                <w:rFonts w:ascii="Calibri" w:hAnsi="Calibri"/>
                <w:bCs/>
                <w:lang w:eastAsia="ja-JP"/>
              </w:rPr>
              <w:t>2023</w:t>
            </w:r>
            <w:r w:rsidR="005E742E">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D521327"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50B5C65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886C527"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E16711" w:rsidRPr="00912996" w14:paraId="18A75403" w14:textId="77777777" w:rsidTr="00E16711">
        <w:trPr>
          <w:trHeight w:val="1056"/>
        </w:trPr>
        <w:tc>
          <w:tcPr>
            <w:tcW w:w="205" w:type="pct"/>
            <w:shd w:val="clear" w:color="auto" w:fill="F2F2F2"/>
            <w:noWrap/>
            <w:hideMark/>
          </w:tcPr>
          <w:p w14:paraId="49425350"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10830194" w14:textId="77777777" w:rsidR="00395D01" w:rsidRPr="00912996" w:rsidRDefault="00395D01" w:rsidP="00292396">
            <w:pPr>
              <w:rPr>
                <w:rFonts w:ascii="Calibri" w:hAnsi="Calibri"/>
                <w:bCs/>
                <w:lang w:eastAsia="ja-JP"/>
              </w:rPr>
            </w:pPr>
            <w:r w:rsidRPr="00912996">
              <w:rPr>
                <w:rFonts w:ascii="Calibri" w:hAnsi="Calibri"/>
                <w:bCs/>
                <w:lang w:eastAsia="ja-JP"/>
              </w:rPr>
              <w:t>Studierea posibilității amenajării în piețele agroalimentare a unor spații de tip food court (Proiect pilot:  Hala Terminal - Piața Obor)</w:t>
            </w:r>
          </w:p>
        </w:tc>
        <w:tc>
          <w:tcPr>
            <w:tcW w:w="640" w:type="pct"/>
            <w:shd w:val="clear" w:color="auto" w:fill="F2F2F2"/>
            <w:hideMark/>
          </w:tcPr>
          <w:p w14:paraId="0CE03242"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w:t>
            </w:r>
          </w:p>
        </w:tc>
        <w:tc>
          <w:tcPr>
            <w:tcW w:w="507" w:type="pct"/>
            <w:shd w:val="clear" w:color="auto" w:fill="F2F2F2"/>
            <w:hideMark/>
          </w:tcPr>
          <w:p w14:paraId="0FF4B6E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A19030C"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411" w:type="pct"/>
            <w:shd w:val="clear" w:color="auto" w:fill="F2F2F2"/>
            <w:hideMark/>
          </w:tcPr>
          <w:p w14:paraId="6C96C25E" w14:textId="77777777" w:rsidR="00395D01" w:rsidRPr="00912996" w:rsidRDefault="00395D01" w:rsidP="00292396">
            <w:pPr>
              <w:rPr>
                <w:rFonts w:ascii="Calibri" w:hAnsi="Calibri"/>
                <w:bCs/>
                <w:lang w:eastAsia="ja-JP"/>
              </w:rPr>
            </w:pPr>
            <w:r w:rsidRPr="00912996">
              <w:rPr>
                <w:rFonts w:ascii="Calibri" w:hAnsi="Calibri"/>
                <w:bCs/>
                <w:lang w:eastAsia="ja-JP"/>
              </w:rPr>
              <w:t>102,041</w:t>
            </w:r>
          </w:p>
        </w:tc>
        <w:tc>
          <w:tcPr>
            <w:tcW w:w="347" w:type="pct"/>
            <w:shd w:val="clear" w:color="auto" w:fill="F2F2F2"/>
            <w:hideMark/>
          </w:tcPr>
          <w:p w14:paraId="6EAB7646" w14:textId="7DD45A55" w:rsidR="00395D01" w:rsidRPr="00912996" w:rsidRDefault="00395D01" w:rsidP="00292396">
            <w:pPr>
              <w:rPr>
                <w:rFonts w:ascii="Calibri" w:hAnsi="Calibri"/>
                <w:bCs/>
                <w:lang w:eastAsia="ja-JP"/>
              </w:rPr>
            </w:pPr>
            <w:r w:rsidRPr="00912996">
              <w:rPr>
                <w:rFonts w:ascii="Calibri" w:hAnsi="Calibri"/>
                <w:bCs/>
                <w:lang w:eastAsia="ja-JP"/>
              </w:rPr>
              <w:t>2023</w:t>
            </w:r>
            <w:r w:rsidR="005E742E">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42E54B73"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718C438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D07A08F"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67DA55C9" w14:textId="77777777" w:rsidTr="00E16711">
        <w:trPr>
          <w:trHeight w:val="1320"/>
        </w:trPr>
        <w:tc>
          <w:tcPr>
            <w:tcW w:w="205" w:type="pct"/>
            <w:shd w:val="clear" w:color="auto" w:fill="F2F2F2"/>
            <w:noWrap/>
            <w:hideMark/>
          </w:tcPr>
          <w:p w14:paraId="664EA432"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71FDF956" w14:textId="77777777" w:rsidR="00395D01" w:rsidRPr="00912996" w:rsidRDefault="00395D01" w:rsidP="00292396">
            <w:pPr>
              <w:rPr>
                <w:rFonts w:ascii="Calibri" w:hAnsi="Calibri"/>
                <w:bCs/>
                <w:lang w:eastAsia="ja-JP"/>
              </w:rPr>
            </w:pPr>
            <w:r w:rsidRPr="00912996">
              <w:rPr>
                <w:rFonts w:ascii="Calibri" w:hAnsi="Calibri"/>
                <w:bCs/>
                <w:lang w:eastAsia="ja-JP"/>
              </w:rPr>
              <w:t>Dezvoltarea unei platforme de comerț online dedicată comercianților din cadrul piețelor agroalimentare</w:t>
            </w:r>
          </w:p>
        </w:tc>
        <w:tc>
          <w:tcPr>
            <w:tcW w:w="640" w:type="pct"/>
            <w:shd w:val="clear" w:color="auto" w:fill="F2F2F2"/>
            <w:hideMark/>
          </w:tcPr>
          <w:p w14:paraId="37535D04" w14:textId="77777777" w:rsidR="00395D01" w:rsidRPr="00912996" w:rsidRDefault="00395D01" w:rsidP="00292396">
            <w:pPr>
              <w:rPr>
                <w:rFonts w:ascii="Calibri" w:hAnsi="Calibri"/>
                <w:bCs/>
                <w:lang w:eastAsia="ja-JP"/>
              </w:rPr>
            </w:pPr>
            <w:r w:rsidRPr="00912996">
              <w:rPr>
                <w:rFonts w:ascii="Calibri" w:hAnsi="Calibri"/>
                <w:bCs/>
                <w:lang w:eastAsia="ja-JP"/>
              </w:rPr>
              <w:t>PS2, Administrația Piețelor</w:t>
            </w:r>
          </w:p>
        </w:tc>
        <w:tc>
          <w:tcPr>
            <w:tcW w:w="507" w:type="pct"/>
            <w:shd w:val="clear" w:color="auto" w:fill="F2F2F2"/>
            <w:hideMark/>
          </w:tcPr>
          <w:p w14:paraId="1424373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C6663B6"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0F0C2233"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5F88B346"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1A527FD7" w14:textId="77777777" w:rsidR="00395D01" w:rsidRPr="00912996" w:rsidRDefault="00395D01" w:rsidP="00292396">
            <w:pPr>
              <w:rPr>
                <w:rFonts w:ascii="Calibri" w:hAnsi="Calibri"/>
                <w:bCs/>
                <w:lang w:eastAsia="ja-JP"/>
              </w:rPr>
            </w:pPr>
            <w:r w:rsidRPr="00912996">
              <w:rPr>
                <w:rFonts w:ascii="Calibri" w:hAnsi="Calibri"/>
                <w:bCs/>
                <w:lang w:eastAsia="ja-JP"/>
              </w:rPr>
              <w:t>POR BI 2021-2027 P2, Bugetul local, și alte surse de finanțare</w:t>
            </w:r>
          </w:p>
        </w:tc>
        <w:tc>
          <w:tcPr>
            <w:tcW w:w="433" w:type="pct"/>
            <w:shd w:val="clear" w:color="auto" w:fill="F2F2F2"/>
            <w:hideMark/>
          </w:tcPr>
          <w:p w14:paraId="69FF14CC"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9CDD110"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395D01" w:rsidRPr="00912996" w14:paraId="03B2FCF9" w14:textId="77777777" w:rsidTr="00292396">
        <w:trPr>
          <w:trHeight w:val="264"/>
        </w:trPr>
        <w:tc>
          <w:tcPr>
            <w:tcW w:w="5000" w:type="pct"/>
            <w:gridSpan w:val="12"/>
            <w:shd w:val="clear" w:color="auto" w:fill="BBD9A0"/>
            <w:hideMark/>
          </w:tcPr>
          <w:p w14:paraId="3E19ED57" w14:textId="77777777" w:rsidR="00395D01" w:rsidRPr="00912996" w:rsidRDefault="00395D01" w:rsidP="00292396">
            <w:pPr>
              <w:rPr>
                <w:rFonts w:ascii="Calibri" w:hAnsi="Calibri"/>
                <w:b/>
                <w:bCs/>
                <w:color w:val="FFFFFF"/>
                <w:lang w:eastAsia="ja-JP"/>
              </w:rPr>
            </w:pPr>
            <w:r w:rsidRPr="00912996">
              <w:rPr>
                <w:rFonts w:ascii="Calibri" w:hAnsi="Calibri"/>
                <w:b/>
                <w:bCs/>
                <w:color w:val="FFFFFF"/>
                <w:lang w:eastAsia="ja-JP"/>
              </w:rPr>
              <w:t>D1.1.4. Dezvoltarea serviciilor de gestionare a animalelor fără stăpân</w:t>
            </w:r>
          </w:p>
        </w:tc>
      </w:tr>
      <w:tr w:rsidR="00E16711" w:rsidRPr="00912996" w14:paraId="57F7B5DC" w14:textId="77777777" w:rsidTr="00E16711">
        <w:trPr>
          <w:trHeight w:val="1056"/>
        </w:trPr>
        <w:tc>
          <w:tcPr>
            <w:tcW w:w="205" w:type="pct"/>
            <w:shd w:val="clear" w:color="auto" w:fill="F2F2F2"/>
            <w:noWrap/>
            <w:hideMark/>
          </w:tcPr>
          <w:p w14:paraId="049F922F"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78B7D19D" w14:textId="77777777" w:rsidR="00395D01" w:rsidRPr="00912996" w:rsidRDefault="00395D01" w:rsidP="00292396">
            <w:pPr>
              <w:rPr>
                <w:rFonts w:ascii="Calibri" w:hAnsi="Calibri"/>
                <w:bCs/>
                <w:lang w:eastAsia="ja-JP"/>
              </w:rPr>
            </w:pPr>
            <w:r w:rsidRPr="00912996">
              <w:rPr>
                <w:rFonts w:ascii="Calibri" w:hAnsi="Calibri"/>
                <w:bCs/>
                <w:lang w:eastAsia="ja-JP"/>
              </w:rPr>
              <w:t>Înființarea de adăposturi-cămin pentru animalele de companie</w:t>
            </w:r>
          </w:p>
        </w:tc>
        <w:tc>
          <w:tcPr>
            <w:tcW w:w="640" w:type="pct"/>
            <w:shd w:val="clear" w:color="auto" w:fill="F2F2F2"/>
            <w:hideMark/>
          </w:tcPr>
          <w:p w14:paraId="3EF16B3F"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4EAC296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DBE16C3" w14:textId="77777777" w:rsidR="00395D01" w:rsidRPr="00912996" w:rsidRDefault="00395D01" w:rsidP="00292396">
            <w:pPr>
              <w:rPr>
                <w:rFonts w:ascii="Calibri" w:hAnsi="Calibri"/>
                <w:bCs/>
                <w:lang w:eastAsia="ja-JP"/>
              </w:rPr>
            </w:pPr>
            <w:r w:rsidRPr="00912996">
              <w:rPr>
                <w:rFonts w:ascii="Calibri" w:hAnsi="Calibri"/>
                <w:bCs/>
                <w:lang w:eastAsia="ja-JP"/>
              </w:rPr>
              <w:t>3,920,000</w:t>
            </w:r>
          </w:p>
        </w:tc>
        <w:tc>
          <w:tcPr>
            <w:tcW w:w="411" w:type="pct"/>
            <w:shd w:val="clear" w:color="auto" w:fill="F2F2F2"/>
            <w:hideMark/>
          </w:tcPr>
          <w:p w14:paraId="407BFA5A" w14:textId="77777777" w:rsidR="00395D01" w:rsidRPr="00912996" w:rsidRDefault="00395D01" w:rsidP="00292396">
            <w:pPr>
              <w:rPr>
                <w:rFonts w:ascii="Calibri" w:hAnsi="Calibri"/>
                <w:bCs/>
                <w:lang w:eastAsia="ja-JP"/>
              </w:rPr>
            </w:pPr>
            <w:r w:rsidRPr="00912996">
              <w:rPr>
                <w:rFonts w:ascii="Calibri" w:hAnsi="Calibri"/>
                <w:bCs/>
                <w:lang w:eastAsia="ja-JP"/>
              </w:rPr>
              <w:t>800,000</w:t>
            </w:r>
          </w:p>
        </w:tc>
        <w:tc>
          <w:tcPr>
            <w:tcW w:w="347" w:type="pct"/>
            <w:shd w:val="clear" w:color="auto" w:fill="F2F2F2"/>
            <w:hideMark/>
          </w:tcPr>
          <w:p w14:paraId="6F401B6B"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968D814"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163622A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5DC1AAA"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395D01" w:rsidRPr="00912996" w14:paraId="48A4C9F7" w14:textId="77777777" w:rsidTr="00292396">
        <w:trPr>
          <w:trHeight w:val="276"/>
        </w:trPr>
        <w:tc>
          <w:tcPr>
            <w:tcW w:w="5000" w:type="pct"/>
            <w:gridSpan w:val="12"/>
            <w:shd w:val="clear" w:color="auto" w:fill="CCE188"/>
            <w:hideMark/>
          </w:tcPr>
          <w:p w14:paraId="5508AB69" w14:textId="77777777" w:rsidR="00395D01" w:rsidRPr="00912996" w:rsidRDefault="00395D01" w:rsidP="005E742E">
            <w:pPr>
              <w:jc w:val="center"/>
              <w:rPr>
                <w:rFonts w:ascii="Calibri" w:hAnsi="Calibri"/>
                <w:b/>
                <w:bCs/>
                <w:color w:val="FFFFFF"/>
                <w:lang w:eastAsia="ja-JP"/>
              </w:rPr>
            </w:pPr>
            <w:r w:rsidRPr="00912996">
              <w:rPr>
                <w:rFonts w:ascii="Calibri" w:hAnsi="Calibri"/>
                <w:b/>
                <w:bCs/>
                <w:color w:val="FFFFFF"/>
                <w:lang w:eastAsia="ja-JP"/>
              </w:rPr>
              <w:t xml:space="preserve">OBIECTIV SPECIFIC O1.2. - </w:t>
            </w:r>
            <w:r>
              <w:rPr>
                <w:rFonts w:ascii="Calibri" w:hAnsi="Calibri"/>
                <w:b/>
                <w:bCs/>
                <w:color w:val="FFFFFF"/>
                <w:lang w:eastAsia="ja-JP"/>
              </w:rPr>
              <w:t>C</w:t>
            </w:r>
            <w:r w:rsidRPr="00912996">
              <w:rPr>
                <w:rFonts w:ascii="Calibri" w:hAnsi="Calibri"/>
                <w:b/>
                <w:bCs/>
                <w:color w:val="FFFFFF"/>
                <w:lang w:eastAsia="ja-JP"/>
              </w:rPr>
              <w:t>artiere de locuințe colective regenerate, cu o calitate ridicată a spațiului public și a fondului locativ, adaptate cerințelor și nevoilor locuitorilor</w:t>
            </w:r>
          </w:p>
        </w:tc>
      </w:tr>
      <w:tr w:rsidR="00395D01" w:rsidRPr="00912996" w14:paraId="09CC841F" w14:textId="77777777" w:rsidTr="00292396">
        <w:trPr>
          <w:trHeight w:val="276"/>
        </w:trPr>
        <w:tc>
          <w:tcPr>
            <w:tcW w:w="5000" w:type="pct"/>
            <w:gridSpan w:val="12"/>
            <w:shd w:val="clear" w:color="auto" w:fill="BBD9A0"/>
            <w:hideMark/>
          </w:tcPr>
          <w:p w14:paraId="74E4D501" w14:textId="77777777" w:rsidR="00395D01" w:rsidRPr="00912996" w:rsidRDefault="00395D01" w:rsidP="005E742E">
            <w:pPr>
              <w:jc w:val="center"/>
              <w:rPr>
                <w:rFonts w:ascii="Calibri" w:hAnsi="Calibri"/>
                <w:b/>
                <w:bCs/>
                <w:color w:val="FFFFFF"/>
                <w:lang w:eastAsia="ja-JP"/>
              </w:rPr>
            </w:pPr>
            <w:r w:rsidRPr="00912996">
              <w:rPr>
                <w:rFonts w:ascii="Calibri" w:hAnsi="Calibri"/>
                <w:b/>
                <w:bCs/>
                <w:color w:val="FFFFFF"/>
                <w:lang w:eastAsia="ja-JP"/>
              </w:rPr>
              <w:t>D1.2.1. Regenerarea urbană a spațiilor publice din cadrul ansamblurilor de locuințe colective și parcelări</w:t>
            </w:r>
          </w:p>
        </w:tc>
      </w:tr>
      <w:tr w:rsidR="00E16711" w:rsidRPr="00912996" w14:paraId="5322AAEC" w14:textId="77777777" w:rsidTr="00E16711">
        <w:trPr>
          <w:trHeight w:val="528"/>
        </w:trPr>
        <w:tc>
          <w:tcPr>
            <w:tcW w:w="205" w:type="pct"/>
            <w:shd w:val="clear" w:color="auto" w:fill="F2F2F2"/>
            <w:hideMark/>
          </w:tcPr>
          <w:p w14:paraId="05F55D60"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310BE39F" w14:textId="77777777" w:rsidR="00395D01" w:rsidRPr="00912996" w:rsidRDefault="00395D01" w:rsidP="00292396">
            <w:pPr>
              <w:rPr>
                <w:rFonts w:ascii="Calibri" w:hAnsi="Calibri"/>
                <w:bCs/>
                <w:lang w:eastAsia="ja-JP"/>
              </w:rPr>
            </w:pPr>
            <w:r w:rsidRPr="00912996">
              <w:rPr>
                <w:rFonts w:ascii="Calibri" w:hAnsi="Calibri"/>
                <w:bCs/>
                <w:lang w:eastAsia="ja-JP"/>
              </w:rPr>
              <w:t>Reamenajare scuar ca loc de odihnă Pantelimon nr. 255</w:t>
            </w:r>
          </w:p>
        </w:tc>
        <w:tc>
          <w:tcPr>
            <w:tcW w:w="640" w:type="pct"/>
            <w:shd w:val="clear" w:color="auto" w:fill="F2F2F2"/>
            <w:hideMark/>
          </w:tcPr>
          <w:p w14:paraId="302829FF"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0FDFF04F"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1D12C3EB"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73F2D134"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4550B8FE"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44D5C0EA"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5756A646"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235C065"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6C0153F3" w14:textId="77777777" w:rsidTr="00E16711">
        <w:trPr>
          <w:trHeight w:val="264"/>
        </w:trPr>
        <w:tc>
          <w:tcPr>
            <w:tcW w:w="205" w:type="pct"/>
            <w:shd w:val="clear" w:color="auto" w:fill="F2F2F2"/>
            <w:hideMark/>
          </w:tcPr>
          <w:p w14:paraId="7403FD78"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581FC759" w14:textId="77777777" w:rsidR="00395D01" w:rsidRPr="00912996" w:rsidRDefault="00395D01" w:rsidP="00292396">
            <w:pPr>
              <w:rPr>
                <w:rFonts w:ascii="Calibri" w:hAnsi="Calibri"/>
                <w:bCs/>
                <w:lang w:eastAsia="ja-JP"/>
              </w:rPr>
            </w:pPr>
            <w:r w:rsidRPr="00912996">
              <w:rPr>
                <w:rFonts w:ascii="Calibri" w:hAnsi="Calibri"/>
                <w:bCs/>
                <w:lang w:eastAsia="ja-JP"/>
              </w:rPr>
              <w:t>Reamenajare scuar Pantelimon nr. 235</w:t>
            </w:r>
          </w:p>
        </w:tc>
        <w:tc>
          <w:tcPr>
            <w:tcW w:w="640" w:type="pct"/>
            <w:shd w:val="clear" w:color="auto" w:fill="F2F2F2"/>
            <w:hideMark/>
          </w:tcPr>
          <w:p w14:paraId="562F8AC1"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78EAFDC1"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6A15C7AD"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609A2DB5"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15D86E3F"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2B0A132C"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3C8E3FDF"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8353364"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28F43570" w14:textId="77777777" w:rsidTr="00E16711">
        <w:trPr>
          <w:trHeight w:val="264"/>
        </w:trPr>
        <w:tc>
          <w:tcPr>
            <w:tcW w:w="205" w:type="pct"/>
            <w:shd w:val="clear" w:color="auto" w:fill="F2F2F2"/>
            <w:hideMark/>
          </w:tcPr>
          <w:p w14:paraId="09FE7C34"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02EF922A" w14:textId="77777777" w:rsidR="00395D01" w:rsidRPr="00912996" w:rsidRDefault="00395D01" w:rsidP="00292396">
            <w:pPr>
              <w:rPr>
                <w:rFonts w:ascii="Calibri" w:hAnsi="Calibri"/>
                <w:bCs/>
                <w:lang w:eastAsia="ja-JP"/>
              </w:rPr>
            </w:pPr>
            <w:r w:rsidRPr="00912996">
              <w:rPr>
                <w:rFonts w:ascii="Calibri" w:hAnsi="Calibri"/>
                <w:bCs/>
                <w:lang w:eastAsia="ja-JP"/>
              </w:rPr>
              <w:t>Reamenajare loc de joacă Basarabia 198</w:t>
            </w:r>
          </w:p>
        </w:tc>
        <w:tc>
          <w:tcPr>
            <w:tcW w:w="640" w:type="pct"/>
            <w:shd w:val="clear" w:color="auto" w:fill="F2F2F2"/>
            <w:hideMark/>
          </w:tcPr>
          <w:p w14:paraId="3BC6FC5F"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5BCC9B4F"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536F0B87"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661A0E1C"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109C40BC"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56C29BD"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318A0F67"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187DB0CC"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1A90D1CE" w14:textId="77777777" w:rsidTr="00E16711">
        <w:trPr>
          <w:trHeight w:val="528"/>
        </w:trPr>
        <w:tc>
          <w:tcPr>
            <w:tcW w:w="205" w:type="pct"/>
            <w:shd w:val="clear" w:color="auto" w:fill="F2F2F2"/>
            <w:hideMark/>
          </w:tcPr>
          <w:p w14:paraId="3BB2CD6C"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557F89DD" w14:textId="77777777" w:rsidR="00395D01" w:rsidRPr="00912996" w:rsidRDefault="00395D01" w:rsidP="00292396">
            <w:pPr>
              <w:rPr>
                <w:rFonts w:ascii="Calibri" w:hAnsi="Calibri"/>
                <w:bCs/>
                <w:lang w:eastAsia="ja-JP"/>
              </w:rPr>
            </w:pPr>
            <w:r w:rsidRPr="00912996">
              <w:rPr>
                <w:rFonts w:ascii="Calibri" w:hAnsi="Calibri"/>
                <w:bCs/>
                <w:lang w:eastAsia="ja-JP"/>
              </w:rPr>
              <w:t>Amenajare spațiu verde și loc de joacă Calea Moșilor nr. 296</w:t>
            </w:r>
          </w:p>
        </w:tc>
        <w:tc>
          <w:tcPr>
            <w:tcW w:w="640" w:type="pct"/>
            <w:shd w:val="clear" w:color="auto" w:fill="F2F2F2"/>
            <w:hideMark/>
          </w:tcPr>
          <w:p w14:paraId="18D8D721"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51C1B96C"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0FF33310"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7FFAA395"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4D6282DD"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7433C50"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496DB5B5"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10E0C922"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6B83DF1D" w14:textId="77777777" w:rsidTr="00E16711">
        <w:trPr>
          <w:trHeight w:val="528"/>
        </w:trPr>
        <w:tc>
          <w:tcPr>
            <w:tcW w:w="205" w:type="pct"/>
            <w:shd w:val="clear" w:color="auto" w:fill="F2F2F2"/>
            <w:hideMark/>
          </w:tcPr>
          <w:p w14:paraId="40CD8502"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277467E8" w14:textId="77777777" w:rsidR="00395D01" w:rsidRPr="00912996" w:rsidRDefault="00395D01" w:rsidP="00292396">
            <w:pPr>
              <w:rPr>
                <w:rFonts w:ascii="Calibri" w:hAnsi="Calibri"/>
                <w:bCs/>
                <w:lang w:eastAsia="ja-JP"/>
              </w:rPr>
            </w:pPr>
            <w:r w:rsidRPr="00912996">
              <w:rPr>
                <w:rFonts w:ascii="Calibri" w:hAnsi="Calibri"/>
                <w:bCs/>
                <w:lang w:eastAsia="ja-JP"/>
              </w:rPr>
              <w:t>Reamenajare scuar spațiu verde Pescărușului nr. 3</w:t>
            </w:r>
          </w:p>
        </w:tc>
        <w:tc>
          <w:tcPr>
            <w:tcW w:w="640" w:type="pct"/>
            <w:shd w:val="clear" w:color="auto" w:fill="F2F2F2"/>
            <w:hideMark/>
          </w:tcPr>
          <w:p w14:paraId="37C30261"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4F3F0793"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40125F0E"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1BD56EF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660E82CB"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5BCA520"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41178E5F"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FBDB2DF"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572BB23B" w14:textId="77777777" w:rsidTr="00E16711">
        <w:trPr>
          <w:trHeight w:val="528"/>
        </w:trPr>
        <w:tc>
          <w:tcPr>
            <w:tcW w:w="205" w:type="pct"/>
            <w:shd w:val="clear" w:color="auto" w:fill="F2F2F2"/>
            <w:hideMark/>
          </w:tcPr>
          <w:p w14:paraId="3D134E07"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28A52B00" w14:textId="77777777" w:rsidR="00395D01" w:rsidRPr="00912996" w:rsidRDefault="00395D01" w:rsidP="00292396">
            <w:pPr>
              <w:rPr>
                <w:rFonts w:ascii="Calibri" w:hAnsi="Calibri"/>
                <w:bCs/>
                <w:lang w:eastAsia="ja-JP"/>
              </w:rPr>
            </w:pPr>
            <w:r w:rsidRPr="00912996">
              <w:rPr>
                <w:rFonts w:ascii="Calibri" w:hAnsi="Calibri"/>
                <w:bCs/>
                <w:lang w:eastAsia="ja-JP"/>
              </w:rPr>
              <w:t>Amenajare spațiu verde Dimitrie Marinescu nr. 1A - scuar</w:t>
            </w:r>
          </w:p>
        </w:tc>
        <w:tc>
          <w:tcPr>
            <w:tcW w:w="640" w:type="pct"/>
            <w:shd w:val="clear" w:color="auto" w:fill="F2F2F2"/>
            <w:hideMark/>
          </w:tcPr>
          <w:p w14:paraId="636F6B46"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4473592F"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18314A7A"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3602DB19"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269C3170"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12169FB"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09EBA94A"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0CA2CF6"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10613E2C" w14:textId="77777777" w:rsidTr="00E16711">
        <w:trPr>
          <w:trHeight w:val="792"/>
        </w:trPr>
        <w:tc>
          <w:tcPr>
            <w:tcW w:w="205" w:type="pct"/>
            <w:shd w:val="clear" w:color="auto" w:fill="F2F2F2"/>
            <w:hideMark/>
          </w:tcPr>
          <w:p w14:paraId="42616B9B"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2E6A01E9" w14:textId="77777777" w:rsidR="00395D01" w:rsidRPr="00912996" w:rsidRDefault="00395D01" w:rsidP="00292396">
            <w:pPr>
              <w:rPr>
                <w:rFonts w:ascii="Calibri" w:hAnsi="Calibri"/>
                <w:bCs/>
                <w:lang w:eastAsia="ja-JP"/>
              </w:rPr>
            </w:pPr>
            <w:r w:rsidRPr="00912996">
              <w:rPr>
                <w:rFonts w:ascii="Calibri" w:hAnsi="Calibri"/>
                <w:bCs/>
                <w:lang w:eastAsia="ja-JP"/>
              </w:rPr>
              <w:t>Reamenajare zone verzi Cvartal Chișinău - Savu Marin - Dimitrie Hârlescu - Mozaicului - Cernăuți - Carei</w:t>
            </w:r>
          </w:p>
        </w:tc>
        <w:tc>
          <w:tcPr>
            <w:tcW w:w="640" w:type="pct"/>
            <w:shd w:val="clear" w:color="auto" w:fill="F2F2F2"/>
            <w:hideMark/>
          </w:tcPr>
          <w:p w14:paraId="33D81100"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0311002D"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3E40634A"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472DD66A"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44878AC2"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1EE2FDAF"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052AE7D0"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A0BC3BE"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37CA0F7D" w14:textId="77777777" w:rsidTr="00E16711">
        <w:trPr>
          <w:trHeight w:val="528"/>
        </w:trPr>
        <w:tc>
          <w:tcPr>
            <w:tcW w:w="205" w:type="pct"/>
            <w:shd w:val="clear" w:color="auto" w:fill="F2F2F2"/>
            <w:hideMark/>
          </w:tcPr>
          <w:p w14:paraId="7D9AD1E8"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3773ACC4" w14:textId="77777777" w:rsidR="00395D01" w:rsidRPr="00912996" w:rsidRDefault="00395D01" w:rsidP="00292396">
            <w:pPr>
              <w:rPr>
                <w:rFonts w:ascii="Calibri" w:hAnsi="Calibri"/>
                <w:bCs/>
                <w:lang w:eastAsia="ja-JP"/>
              </w:rPr>
            </w:pPr>
            <w:r w:rsidRPr="00912996">
              <w:rPr>
                <w:rFonts w:ascii="Calibri" w:hAnsi="Calibri"/>
                <w:bCs/>
                <w:lang w:eastAsia="ja-JP"/>
              </w:rPr>
              <w:t>Reamenajare spațiu verde cvartal Colentina blocuri între Olimp și Teiul Doamnei</w:t>
            </w:r>
          </w:p>
        </w:tc>
        <w:tc>
          <w:tcPr>
            <w:tcW w:w="640" w:type="pct"/>
            <w:shd w:val="clear" w:color="auto" w:fill="F2F2F2"/>
            <w:hideMark/>
          </w:tcPr>
          <w:p w14:paraId="6BB79BDD"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7DE3641E"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1784D666"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5E21D880"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537B9159"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4683DDEC"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4BE5715D"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C3AD354"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4FD17AB3" w14:textId="77777777" w:rsidTr="00E16711">
        <w:trPr>
          <w:trHeight w:val="528"/>
        </w:trPr>
        <w:tc>
          <w:tcPr>
            <w:tcW w:w="205" w:type="pct"/>
            <w:shd w:val="clear" w:color="auto" w:fill="F2F2F2"/>
            <w:hideMark/>
          </w:tcPr>
          <w:p w14:paraId="5DC0FD4F"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4FC2A3CE" w14:textId="77777777" w:rsidR="00395D01" w:rsidRPr="00912996" w:rsidRDefault="00395D01" w:rsidP="00292396">
            <w:pPr>
              <w:rPr>
                <w:rFonts w:ascii="Calibri" w:hAnsi="Calibri"/>
                <w:bCs/>
                <w:lang w:eastAsia="ja-JP"/>
              </w:rPr>
            </w:pPr>
            <w:r w:rsidRPr="00912996">
              <w:rPr>
                <w:rFonts w:ascii="Calibri" w:hAnsi="Calibri"/>
                <w:bCs/>
                <w:lang w:eastAsia="ja-JP"/>
              </w:rPr>
              <w:t>Reamenajare spații verzi Ștefan cel Mare - spații verzi blocuri</w:t>
            </w:r>
          </w:p>
        </w:tc>
        <w:tc>
          <w:tcPr>
            <w:tcW w:w="640" w:type="pct"/>
            <w:shd w:val="clear" w:color="auto" w:fill="F2F2F2"/>
            <w:hideMark/>
          </w:tcPr>
          <w:p w14:paraId="7912E315"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649EA73F"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3582F73A"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7C532FA7"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1E5813BB"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33F99C5D"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09F074C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8BDAE38"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0F178DC0" w14:textId="77777777" w:rsidTr="00E16711">
        <w:trPr>
          <w:trHeight w:val="528"/>
        </w:trPr>
        <w:tc>
          <w:tcPr>
            <w:tcW w:w="205" w:type="pct"/>
            <w:shd w:val="clear" w:color="auto" w:fill="F2F2F2"/>
            <w:hideMark/>
          </w:tcPr>
          <w:p w14:paraId="325D157F"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380E7544" w14:textId="77777777" w:rsidR="00395D01" w:rsidRPr="00912996" w:rsidRDefault="00395D01" w:rsidP="00292396">
            <w:pPr>
              <w:rPr>
                <w:rFonts w:ascii="Calibri" w:hAnsi="Calibri"/>
                <w:bCs/>
                <w:lang w:eastAsia="ja-JP"/>
              </w:rPr>
            </w:pPr>
            <w:r w:rsidRPr="00912996">
              <w:rPr>
                <w:rFonts w:ascii="Calibri" w:hAnsi="Calibri"/>
                <w:bCs/>
                <w:lang w:eastAsia="ja-JP"/>
              </w:rPr>
              <w:t>Reamenajare spațiu verde cvartal str. Inginerilor Tei</w:t>
            </w:r>
          </w:p>
        </w:tc>
        <w:tc>
          <w:tcPr>
            <w:tcW w:w="640" w:type="pct"/>
            <w:shd w:val="clear" w:color="auto" w:fill="F2F2F2"/>
            <w:hideMark/>
          </w:tcPr>
          <w:p w14:paraId="1DB57A29"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561C432C"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1549C561"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4A25DE4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29CCFA93"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37B59665"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4C5774FC"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22FCEA6"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573BC4EA" w14:textId="77777777" w:rsidTr="00E16711">
        <w:trPr>
          <w:trHeight w:val="792"/>
        </w:trPr>
        <w:tc>
          <w:tcPr>
            <w:tcW w:w="205" w:type="pct"/>
            <w:shd w:val="clear" w:color="auto" w:fill="F2F2F2"/>
            <w:hideMark/>
          </w:tcPr>
          <w:p w14:paraId="15A5B141"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108DCE6D" w14:textId="77777777" w:rsidR="00395D01" w:rsidRPr="00912996" w:rsidRDefault="00395D01" w:rsidP="00292396">
            <w:pPr>
              <w:rPr>
                <w:rFonts w:ascii="Calibri" w:hAnsi="Calibri"/>
                <w:bCs/>
                <w:lang w:eastAsia="ja-JP"/>
              </w:rPr>
            </w:pPr>
            <w:r w:rsidRPr="00912996">
              <w:rPr>
                <w:rFonts w:ascii="Calibri" w:hAnsi="Calibri"/>
                <w:bCs/>
                <w:lang w:eastAsia="ja-JP"/>
              </w:rPr>
              <w:t>Amenajare spațiu verde Șos. Colentina, între Str. Aleea Câmpul Moșilor - Ziduri Moși - Calimachi - Str. Silvia</w:t>
            </w:r>
          </w:p>
        </w:tc>
        <w:tc>
          <w:tcPr>
            <w:tcW w:w="640" w:type="pct"/>
            <w:shd w:val="clear" w:color="auto" w:fill="F2F2F2"/>
            <w:hideMark/>
          </w:tcPr>
          <w:p w14:paraId="2B34EDD6"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2894F419"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75653640"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46DF26EB"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79E4CDF9"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9BECA08"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0759896C"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10F9B906"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6DC3BE1E" w14:textId="77777777" w:rsidTr="00E16711">
        <w:trPr>
          <w:trHeight w:val="528"/>
        </w:trPr>
        <w:tc>
          <w:tcPr>
            <w:tcW w:w="205" w:type="pct"/>
            <w:shd w:val="clear" w:color="auto" w:fill="F2F2F2"/>
            <w:hideMark/>
          </w:tcPr>
          <w:p w14:paraId="2AFE2584"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72F210FE" w14:textId="77777777" w:rsidR="00395D01" w:rsidRPr="00912996" w:rsidRDefault="00395D01" w:rsidP="00292396">
            <w:pPr>
              <w:rPr>
                <w:rFonts w:ascii="Calibri" w:hAnsi="Calibri"/>
                <w:bCs/>
                <w:lang w:eastAsia="ja-JP"/>
              </w:rPr>
            </w:pPr>
            <w:r w:rsidRPr="00912996">
              <w:rPr>
                <w:rFonts w:ascii="Calibri" w:hAnsi="Calibri"/>
                <w:bCs/>
                <w:lang w:eastAsia="ja-JP"/>
              </w:rPr>
              <w:t>Amenajare spațiu verde cvartal Costache Conachi</w:t>
            </w:r>
          </w:p>
        </w:tc>
        <w:tc>
          <w:tcPr>
            <w:tcW w:w="640" w:type="pct"/>
            <w:shd w:val="clear" w:color="auto" w:fill="F2F2F2"/>
            <w:hideMark/>
          </w:tcPr>
          <w:p w14:paraId="4B82CA85"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73A04008"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65C56C70"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61DDF680"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1B468955"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7C0F4CE1"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72054D1F"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06C81FE"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0F0D4C15" w14:textId="77777777" w:rsidTr="00E16711">
        <w:trPr>
          <w:trHeight w:val="528"/>
        </w:trPr>
        <w:tc>
          <w:tcPr>
            <w:tcW w:w="205" w:type="pct"/>
            <w:shd w:val="clear" w:color="auto" w:fill="F2F2F2"/>
            <w:hideMark/>
          </w:tcPr>
          <w:p w14:paraId="096184BB"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7D2DA8E9" w14:textId="77777777" w:rsidR="00395D01" w:rsidRPr="00912996" w:rsidRDefault="00395D01" w:rsidP="00292396">
            <w:pPr>
              <w:rPr>
                <w:rFonts w:ascii="Calibri" w:hAnsi="Calibri"/>
                <w:bCs/>
                <w:lang w:eastAsia="ja-JP"/>
              </w:rPr>
            </w:pPr>
            <w:r w:rsidRPr="00912996">
              <w:rPr>
                <w:rFonts w:ascii="Calibri" w:hAnsi="Calibri"/>
                <w:bCs/>
                <w:lang w:eastAsia="ja-JP"/>
              </w:rPr>
              <w:t>Amenajare zone verzi Șos. Colentina între Str. D-na Ghica și Str. Cremenița</w:t>
            </w:r>
          </w:p>
        </w:tc>
        <w:tc>
          <w:tcPr>
            <w:tcW w:w="640" w:type="pct"/>
            <w:shd w:val="clear" w:color="auto" w:fill="F2F2F2"/>
            <w:hideMark/>
          </w:tcPr>
          <w:p w14:paraId="5BB5EE93"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6D8E6806"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0B399A3B"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3BDE7A3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61034CF8"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6ACC0C0"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3C6B6CDA"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03BBEA4"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38B5221F" w14:textId="77777777" w:rsidTr="00E16711">
        <w:trPr>
          <w:trHeight w:val="264"/>
        </w:trPr>
        <w:tc>
          <w:tcPr>
            <w:tcW w:w="205" w:type="pct"/>
            <w:shd w:val="clear" w:color="auto" w:fill="F2F2F2"/>
            <w:hideMark/>
          </w:tcPr>
          <w:p w14:paraId="0C2C8572"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230810A8" w14:textId="77777777" w:rsidR="00395D01" w:rsidRPr="00912996" w:rsidRDefault="00395D01" w:rsidP="00292396">
            <w:pPr>
              <w:rPr>
                <w:rFonts w:ascii="Calibri" w:hAnsi="Calibri"/>
                <w:bCs/>
                <w:lang w:eastAsia="ja-JP"/>
              </w:rPr>
            </w:pPr>
            <w:r w:rsidRPr="00912996">
              <w:rPr>
                <w:rFonts w:ascii="Calibri" w:hAnsi="Calibri"/>
                <w:bCs/>
                <w:lang w:eastAsia="ja-JP"/>
              </w:rPr>
              <w:t>Amenajare zonă verde Strada Sinaia</w:t>
            </w:r>
          </w:p>
        </w:tc>
        <w:tc>
          <w:tcPr>
            <w:tcW w:w="640" w:type="pct"/>
            <w:shd w:val="clear" w:color="auto" w:fill="F2F2F2"/>
            <w:hideMark/>
          </w:tcPr>
          <w:p w14:paraId="0773C971"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0003B9E3"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29FEF808"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357E181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416EC8BD"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217DA6B"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782319F4"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5A792BC"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32182690" w14:textId="77777777" w:rsidTr="00E16711">
        <w:trPr>
          <w:trHeight w:val="264"/>
        </w:trPr>
        <w:tc>
          <w:tcPr>
            <w:tcW w:w="205" w:type="pct"/>
            <w:shd w:val="clear" w:color="auto" w:fill="F2F2F2"/>
            <w:hideMark/>
          </w:tcPr>
          <w:p w14:paraId="17EAC16D"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240B34FC" w14:textId="77777777" w:rsidR="00395D01" w:rsidRPr="00912996" w:rsidRDefault="00395D01" w:rsidP="00292396">
            <w:pPr>
              <w:rPr>
                <w:rFonts w:ascii="Calibri" w:hAnsi="Calibri"/>
                <w:bCs/>
                <w:lang w:eastAsia="ja-JP"/>
              </w:rPr>
            </w:pPr>
            <w:r w:rsidRPr="00912996">
              <w:rPr>
                <w:rFonts w:ascii="Calibri" w:hAnsi="Calibri"/>
                <w:bCs/>
                <w:lang w:eastAsia="ja-JP"/>
              </w:rPr>
              <w:t>Amenajare zonă verde Aleea Sinaia</w:t>
            </w:r>
          </w:p>
        </w:tc>
        <w:tc>
          <w:tcPr>
            <w:tcW w:w="640" w:type="pct"/>
            <w:shd w:val="clear" w:color="auto" w:fill="F2F2F2"/>
            <w:hideMark/>
          </w:tcPr>
          <w:p w14:paraId="5CFC7ED6"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5D9AC908"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161F2A53"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44A773A4"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670C2AF9"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58D98ED6"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2D4995AA"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AFF6023"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42B979EF" w14:textId="77777777" w:rsidTr="00E16711">
        <w:trPr>
          <w:trHeight w:val="264"/>
        </w:trPr>
        <w:tc>
          <w:tcPr>
            <w:tcW w:w="205" w:type="pct"/>
            <w:shd w:val="clear" w:color="auto" w:fill="F2F2F2"/>
            <w:hideMark/>
          </w:tcPr>
          <w:p w14:paraId="638C21ED" w14:textId="77777777" w:rsidR="00395D01" w:rsidRPr="00912996" w:rsidRDefault="00395D01" w:rsidP="00292396">
            <w:pPr>
              <w:rPr>
                <w:rFonts w:ascii="Calibri" w:hAnsi="Calibri"/>
                <w:bCs/>
                <w:lang w:eastAsia="ja-JP"/>
              </w:rPr>
            </w:pPr>
            <w:r w:rsidRPr="00912996">
              <w:rPr>
                <w:rFonts w:ascii="Calibri" w:hAnsi="Calibri"/>
                <w:bCs/>
                <w:lang w:eastAsia="ja-JP"/>
              </w:rPr>
              <w:t>16</w:t>
            </w:r>
          </w:p>
        </w:tc>
        <w:tc>
          <w:tcPr>
            <w:tcW w:w="1018" w:type="pct"/>
            <w:gridSpan w:val="2"/>
            <w:shd w:val="clear" w:color="auto" w:fill="F2F2F2"/>
            <w:hideMark/>
          </w:tcPr>
          <w:p w14:paraId="11FE631B" w14:textId="77777777" w:rsidR="00395D01" w:rsidRPr="00912996" w:rsidRDefault="00395D01" w:rsidP="00292396">
            <w:pPr>
              <w:rPr>
                <w:rFonts w:ascii="Calibri" w:hAnsi="Calibri"/>
                <w:bCs/>
                <w:lang w:eastAsia="ja-JP"/>
              </w:rPr>
            </w:pPr>
            <w:r w:rsidRPr="00912996">
              <w:rPr>
                <w:rFonts w:ascii="Calibri" w:hAnsi="Calibri"/>
                <w:bCs/>
                <w:lang w:eastAsia="ja-JP"/>
              </w:rPr>
              <w:t>Amenajare zonă verde Strada Cremenița</w:t>
            </w:r>
          </w:p>
        </w:tc>
        <w:tc>
          <w:tcPr>
            <w:tcW w:w="640" w:type="pct"/>
            <w:shd w:val="clear" w:color="auto" w:fill="F2F2F2"/>
            <w:hideMark/>
          </w:tcPr>
          <w:p w14:paraId="672CCCC3"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3CB83965"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027EA865"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500ECFDB"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6348E1FF"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7E12D185"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32FCCC02"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272B49C3" w14:textId="77777777" w:rsidR="00395D01" w:rsidRPr="00912996" w:rsidRDefault="00395D01" w:rsidP="00292396">
            <w:pPr>
              <w:rPr>
                <w:rFonts w:ascii="Calibri" w:hAnsi="Calibri"/>
                <w:bCs/>
                <w:lang w:eastAsia="ja-JP"/>
              </w:rPr>
            </w:pPr>
            <w:r w:rsidRPr="00912996">
              <w:rPr>
                <w:rFonts w:ascii="Calibri" w:hAnsi="Calibri"/>
                <w:bCs/>
                <w:lang w:eastAsia="ja-JP"/>
              </w:rPr>
              <w:t>ADP2</w:t>
            </w:r>
          </w:p>
        </w:tc>
      </w:tr>
      <w:tr w:rsidR="00E16711" w:rsidRPr="00912996" w14:paraId="1876858D" w14:textId="77777777" w:rsidTr="00E16711">
        <w:trPr>
          <w:trHeight w:val="1584"/>
        </w:trPr>
        <w:tc>
          <w:tcPr>
            <w:tcW w:w="205" w:type="pct"/>
            <w:shd w:val="clear" w:color="auto" w:fill="F2F2F2"/>
            <w:hideMark/>
          </w:tcPr>
          <w:p w14:paraId="60879339" w14:textId="77777777" w:rsidR="00395D01" w:rsidRPr="00912996" w:rsidRDefault="00395D01" w:rsidP="00292396">
            <w:pPr>
              <w:rPr>
                <w:rFonts w:ascii="Calibri" w:hAnsi="Calibri"/>
                <w:bCs/>
                <w:lang w:eastAsia="ja-JP"/>
              </w:rPr>
            </w:pPr>
            <w:r w:rsidRPr="00912996">
              <w:rPr>
                <w:rFonts w:ascii="Calibri" w:hAnsi="Calibri"/>
                <w:bCs/>
                <w:lang w:eastAsia="ja-JP"/>
              </w:rPr>
              <w:t>17</w:t>
            </w:r>
          </w:p>
        </w:tc>
        <w:tc>
          <w:tcPr>
            <w:tcW w:w="1018" w:type="pct"/>
            <w:gridSpan w:val="2"/>
            <w:shd w:val="clear" w:color="auto" w:fill="F2F2F2"/>
            <w:hideMark/>
          </w:tcPr>
          <w:p w14:paraId="4C27E3E6" w14:textId="77777777" w:rsidR="00395D01" w:rsidRPr="00912996" w:rsidRDefault="00395D01" w:rsidP="00292396">
            <w:pPr>
              <w:rPr>
                <w:rFonts w:ascii="Calibri" w:hAnsi="Calibri"/>
                <w:bCs/>
                <w:lang w:eastAsia="ja-JP"/>
              </w:rPr>
            </w:pPr>
            <w:r w:rsidRPr="00912996">
              <w:rPr>
                <w:rFonts w:ascii="Calibri" w:hAnsi="Calibri"/>
                <w:bCs/>
                <w:lang w:eastAsia="ja-JP"/>
              </w:rPr>
              <w:t>Realizare parteneriate cu asociațiile de proprietari în vederea amenajării spațiilor verzi aferente locuințelor colective.- Etapa II (Prin actualizarea SDLIDS2 se propune  realizarea unui protocol cadru între PS2/ADPS2 și asociațiile de proprietari)</w:t>
            </w:r>
          </w:p>
        </w:tc>
        <w:tc>
          <w:tcPr>
            <w:tcW w:w="640" w:type="pct"/>
            <w:shd w:val="clear" w:color="auto" w:fill="F2F2F2"/>
            <w:hideMark/>
          </w:tcPr>
          <w:p w14:paraId="315EC180" w14:textId="77777777" w:rsidR="00395D01" w:rsidRPr="00912996" w:rsidRDefault="00395D01" w:rsidP="00292396">
            <w:pPr>
              <w:rPr>
                <w:rFonts w:ascii="Calibri" w:hAnsi="Calibri"/>
                <w:bCs/>
                <w:lang w:eastAsia="ja-JP"/>
              </w:rPr>
            </w:pPr>
            <w:r w:rsidRPr="00912996">
              <w:rPr>
                <w:rFonts w:ascii="Calibri" w:hAnsi="Calibri"/>
                <w:bCs/>
                <w:lang w:eastAsia="ja-JP"/>
              </w:rPr>
              <w:t>PS2, ADP2, Asociații de  proprietari</w:t>
            </w:r>
          </w:p>
        </w:tc>
        <w:tc>
          <w:tcPr>
            <w:tcW w:w="507" w:type="pct"/>
            <w:shd w:val="clear" w:color="auto" w:fill="F2F2F2"/>
            <w:hideMark/>
          </w:tcPr>
          <w:p w14:paraId="1B322844"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6E3F673B"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411" w:type="pct"/>
            <w:shd w:val="clear" w:color="auto" w:fill="F2F2F2"/>
            <w:hideMark/>
          </w:tcPr>
          <w:p w14:paraId="11683AEC" w14:textId="77777777" w:rsidR="00395D01" w:rsidRPr="00912996" w:rsidRDefault="00395D01" w:rsidP="00292396">
            <w:pPr>
              <w:rPr>
                <w:rFonts w:ascii="Calibri" w:hAnsi="Calibri"/>
                <w:bCs/>
                <w:lang w:eastAsia="ja-JP"/>
              </w:rPr>
            </w:pPr>
            <w:r w:rsidRPr="009007FB">
              <w:rPr>
                <w:rFonts w:ascii="Calibri" w:hAnsi="Calibri"/>
                <w:bCs/>
                <w:lang w:eastAsia="ja-JP"/>
              </w:rPr>
              <w:t>N/A</w:t>
            </w:r>
          </w:p>
        </w:tc>
        <w:tc>
          <w:tcPr>
            <w:tcW w:w="347" w:type="pct"/>
            <w:shd w:val="clear" w:color="auto" w:fill="F2F2F2"/>
            <w:hideMark/>
          </w:tcPr>
          <w:p w14:paraId="66A92635"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22B9B1F"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Alte surse de finanțare</w:t>
            </w:r>
          </w:p>
        </w:tc>
        <w:tc>
          <w:tcPr>
            <w:tcW w:w="433" w:type="pct"/>
            <w:shd w:val="clear" w:color="auto" w:fill="F2F2F2"/>
            <w:hideMark/>
          </w:tcPr>
          <w:p w14:paraId="5DEA9BE6"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C6BA3C5"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Propunere consultant</w:t>
            </w:r>
          </w:p>
        </w:tc>
      </w:tr>
      <w:tr w:rsidR="00E16711" w:rsidRPr="00912996" w14:paraId="1D04BCEC" w14:textId="77777777" w:rsidTr="00E16711">
        <w:trPr>
          <w:trHeight w:val="1056"/>
        </w:trPr>
        <w:tc>
          <w:tcPr>
            <w:tcW w:w="205" w:type="pct"/>
            <w:shd w:val="clear" w:color="auto" w:fill="F2F2F2"/>
            <w:hideMark/>
          </w:tcPr>
          <w:p w14:paraId="15EE228E" w14:textId="77777777" w:rsidR="00395D01" w:rsidRPr="00912996" w:rsidRDefault="00395D01" w:rsidP="00292396">
            <w:pPr>
              <w:rPr>
                <w:rFonts w:ascii="Calibri" w:hAnsi="Calibri"/>
                <w:bCs/>
                <w:lang w:eastAsia="ja-JP"/>
              </w:rPr>
            </w:pPr>
            <w:r w:rsidRPr="00912996">
              <w:rPr>
                <w:rFonts w:ascii="Calibri" w:hAnsi="Calibri"/>
                <w:bCs/>
                <w:lang w:eastAsia="ja-JP"/>
              </w:rPr>
              <w:t>18</w:t>
            </w:r>
          </w:p>
        </w:tc>
        <w:tc>
          <w:tcPr>
            <w:tcW w:w="1018" w:type="pct"/>
            <w:gridSpan w:val="2"/>
            <w:shd w:val="clear" w:color="auto" w:fill="F2F2F2"/>
            <w:hideMark/>
          </w:tcPr>
          <w:p w14:paraId="6BB05B21" w14:textId="77777777" w:rsidR="00395D01" w:rsidRPr="00912996" w:rsidRDefault="00395D01" w:rsidP="00292396">
            <w:pPr>
              <w:rPr>
                <w:rFonts w:ascii="Calibri" w:hAnsi="Calibri"/>
                <w:bCs/>
                <w:lang w:eastAsia="ja-JP"/>
              </w:rPr>
            </w:pPr>
            <w:r w:rsidRPr="00912996">
              <w:rPr>
                <w:rFonts w:ascii="Calibri" w:hAnsi="Calibri"/>
                <w:bCs/>
                <w:lang w:eastAsia="ja-JP"/>
              </w:rPr>
              <w:t>Studiu pentru stabilizarea solului și amenajarea peisageră a spațiilor verzi aferente a 1000 de locuințe colective din Sectorul 2</w:t>
            </w:r>
          </w:p>
        </w:tc>
        <w:tc>
          <w:tcPr>
            <w:tcW w:w="640" w:type="pct"/>
            <w:shd w:val="clear" w:color="auto" w:fill="F2F2F2"/>
            <w:hideMark/>
          </w:tcPr>
          <w:p w14:paraId="67A4EE02"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D4BA7A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A6BA536" w14:textId="77777777" w:rsidR="00395D01" w:rsidRPr="00912996" w:rsidRDefault="00395D01" w:rsidP="00292396">
            <w:pPr>
              <w:rPr>
                <w:rFonts w:ascii="Calibri" w:hAnsi="Calibri"/>
                <w:bCs/>
                <w:lang w:eastAsia="ja-JP"/>
              </w:rPr>
            </w:pPr>
            <w:r w:rsidRPr="00912996">
              <w:rPr>
                <w:rFonts w:ascii="Calibri" w:hAnsi="Calibri"/>
                <w:bCs/>
                <w:lang w:eastAsia="ja-JP"/>
              </w:rPr>
              <w:t>700,000</w:t>
            </w:r>
          </w:p>
        </w:tc>
        <w:tc>
          <w:tcPr>
            <w:tcW w:w="411" w:type="pct"/>
            <w:shd w:val="clear" w:color="auto" w:fill="F2F2F2"/>
            <w:hideMark/>
          </w:tcPr>
          <w:p w14:paraId="2EADBF8A" w14:textId="77777777" w:rsidR="00395D01" w:rsidRPr="00912996" w:rsidRDefault="00395D01" w:rsidP="00292396">
            <w:pPr>
              <w:rPr>
                <w:rFonts w:ascii="Calibri" w:hAnsi="Calibri"/>
                <w:bCs/>
                <w:lang w:eastAsia="ja-JP"/>
              </w:rPr>
            </w:pPr>
            <w:r w:rsidRPr="00912996">
              <w:rPr>
                <w:rFonts w:ascii="Calibri" w:hAnsi="Calibri"/>
                <w:bCs/>
                <w:lang w:eastAsia="ja-JP"/>
              </w:rPr>
              <w:t>142,857</w:t>
            </w:r>
          </w:p>
        </w:tc>
        <w:tc>
          <w:tcPr>
            <w:tcW w:w="347" w:type="pct"/>
            <w:shd w:val="clear" w:color="auto" w:fill="F2F2F2"/>
            <w:hideMark/>
          </w:tcPr>
          <w:p w14:paraId="5A99F071"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5EA9FAB0"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3A03116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2BF394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DC44557" w14:textId="77777777" w:rsidTr="00E16711">
        <w:trPr>
          <w:trHeight w:val="792"/>
        </w:trPr>
        <w:tc>
          <w:tcPr>
            <w:tcW w:w="205" w:type="pct"/>
            <w:shd w:val="clear" w:color="auto" w:fill="F2F2F2"/>
            <w:hideMark/>
          </w:tcPr>
          <w:p w14:paraId="59D06DB1" w14:textId="77777777" w:rsidR="00395D01" w:rsidRPr="00912996" w:rsidRDefault="00395D01" w:rsidP="00292396">
            <w:pPr>
              <w:rPr>
                <w:rFonts w:ascii="Calibri" w:hAnsi="Calibri"/>
                <w:bCs/>
                <w:lang w:eastAsia="ja-JP"/>
              </w:rPr>
            </w:pPr>
            <w:r w:rsidRPr="00912996">
              <w:rPr>
                <w:rFonts w:ascii="Calibri" w:hAnsi="Calibri"/>
                <w:bCs/>
                <w:lang w:eastAsia="ja-JP"/>
              </w:rPr>
              <w:t>19</w:t>
            </w:r>
          </w:p>
        </w:tc>
        <w:tc>
          <w:tcPr>
            <w:tcW w:w="1018" w:type="pct"/>
            <w:gridSpan w:val="2"/>
            <w:shd w:val="clear" w:color="auto" w:fill="F2F2F2"/>
            <w:hideMark/>
          </w:tcPr>
          <w:p w14:paraId="2C0D15D7" w14:textId="77777777" w:rsidR="00395D01" w:rsidRPr="00912996" w:rsidRDefault="00395D01" w:rsidP="00292396">
            <w:pPr>
              <w:rPr>
                <w:rFonts w:ascii="Calibri" w:hAnsi="Calibri"/>
                <w:bCs/>
                <w:lang w:eastAsia="ja-JP"/>
              </w:rPr>
            </w:pPr>
            <w:r w:rsidRPr="00912996">
              <w:rPr>
                <w:rFonts w:ascii="Calibri" w:hAnsi="Calibri"/>
                <w:bCs/>
                <w:lang w:eastAsia="ja-JP"/>
              </w:rPr>
              <w:t>Studiu pentru realizarea unor terase verzi deasupra noilor parcări supraetajate din Sector</w:t>
            </w:r>
          </w:p>
        </w:tc>
        <w:tc>
          <w:tcPr>
            <w:tcW w:w="640" w:type="pct"/>
            <w:shd w:val="clear" w:color="auto" w:fill="F2F2F2"/>
            <w:hideMark/>
          </w:tcPr>
          <w:p w14:paraId="0D0B9A39"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1282A4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CEA36F6" w14:textId="77777777" w:rsidR="00395D01" w:rsidRPr="00912996" w:rsidRDefault="00395D01" w:rsidP="00292396">
            <w:pPr>
              <w:rPr>
                <w:rFonts w:ascii="Calibri" w:hAnsi="Calibri"/>
                <w:bCs/>
                <w:lang w:eastAsia="ja-JP"/>
              </w:rPr>
            </w:pPr>
            <w:r w:rsidRPr="00912996">
              <w:rPr>
                <w:rFonts w:ascii="Calibri" w:hAnsi="Calibri"/>
                <w:bCs/>
                <w:lang w:eastAsia="ja-JP"/>
              </w:rPr>
              <w:t>350,000</w:t>
            </w:r>
          </w:p>
        </w:tc>
        <w:tc>
          <w:tcPr>
            <w:tcW w:w="411" w:type="pct"/>
            <w:shd w:val="clear" w:color="auto" w:fill="F2F2F2"/>
            <w:hideMark/>
          </w:tcPr>
          <w:p w14:paraId="504B676A" w14:textId="77777777" w:rsidR="00395D01" w:rsidRPr="00912996" w:rsidRDefault="00395D01" w:rsidP="00292396">
            <w:pPr>
              <w:rPr>
                <w:rFonts w:ascii="Calibri" w:hAnsi="Calibri"/>
                <w:bCs/>
                <w:lang w:eastAsia="ja-JP"/>
              </w:rPr>
            </w:pPr>
            <w:r w:rsidRPr="00912996">
              <w:rPr>
                <w:rFonts w:ascii="Calibri" w:hAnsi="Calibri"/>
                <w:bCs/>
                <w:lang w:eastAsia="ja-JP"/>
              </w:rPr>
              <w:t>71,429</w:t>
            </w:r>
          </w:p>
        </w:tc>
        <w:tc>
          <w:tcPr>
            <w:tcW w:w="347" w:type="pct"/>
            <w:shd w:val="clear" w:color="auto" w:fill="F2F2F2"/>
            <w:hideMark/>
          </w:tcPr>
          <w:p w14:paraId="77CB247F"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474417EB"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A566EE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0E9A0A3"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28998AB" w14:textId="77777777" w:rsidTr="00E16711">
        <w:trPr>
          <w:trHeight w:val="1056"/>
        </w:trPr>
        <w:tc>
          <w:tcPr>
            <w:tcW w:w="205" w:type="pct"/>
            <w:shd w:val="clear" w:color="auto" w:fill="F2F2F2"/>
            <w:hideMark/>
          </w:tcPr>
          <w:p w14:paraId="0DA4CFF6" w14:textId="77777777" w:rsidR="00395D01" w:rsidRPr="00912996" w:rsidRDefault="00395D01" w:rsidP="00292396">
            <w:pPr>
              <w:rPr>
                <w:rFonts w:ascii="Calibri" w:hAnsi="Calibri"/>
                <w:bCs/>
                <w:lang w:eastAsia="ja-JP"/>
              </w:rPr>
            </w:pPr>
            <w:r w:rsidRPr="00912996">
              <w:rPr>
                <w:rFonts w:ascii="Calibri" w:hAnsi="Calibri"/>
                <w:bCs/>
                <w:lang w:eastAsia="ja-JP"/>
              </w:rPr>
              <w:t>20</w:t>
            </w:r>
          </w:p>
        </w:tc>
        <w:tc>
          <w:tcPr>
            <w:tcW w:w="1018" w:type="pct"/>
            <w:gridSpan w:val="2"/>
            <w:shd w:val="clear" w:color="auto" w:fill="F2F2F2"/>
            <w:hideMark/>
          </w:tcPr>
          <w:p w14:paraId="06CAB593" w14:textId="77777777" w:rsidR="00395D01" w:rsidRPr="00912996" w:rsidRDefault="00395D01" w:rsidP="00292396">
            <w:pPr>
              <w:rPr>
                <w:rFonts w:ascii="Calibri" w:hAnsi="Calibri"/>
                <w:bCs/>
                <w:lang w:eastAsia="ja-JP"/>
              </w:rPr>
            </w:pPr>
            <w:r w:rsidRPr="00912996">
              <w:rPr>
                <w:rFonts w:ascii="Calibri" w:hAnsi="Calibri"/>
                <w:bCs/>
                <w:lang w:eastAsia="ja-JP"/>
              </w:rPr>
              <w:t>Amenajare terase verzi pe acoperișul clădirilor de locuințe colective. Proiect pilot: cartier Colentina, cartier Floreasca</w:t>
            </w:r>
          </w:p>
        </w:tc>
        <w:tc>
          <w:tcPr>
            <w:tcW w:w="640" w:type="pct"/>
            <w:shd w:val="clear" w:color="auto" w:fill="F2F2F2"/>
            <w:hideMark/>
          </w:tcPr>
          <w:p w14:paraId="29A46FC7" w14:textId="77777777" w:rsidR="00395D01" w:rsidRPr="00912996" w:rsidRDefault="00395D01" w:rsidP="00292396">
            <w:pPr>
              <w:rPr>
                <w:rFonts w:ascii="Calibri" w:hAnsi="Calibri"/>
                <w:bCs/>
                <w:lang w:eastAsia="ja-JP"/>
              </w:rPr>
            </w:pPr>
            <w:r w:rsidRPr="00912996">
              <w:rPr>
                <w:rFonts w:ascii="Calibri" w:hAnsi="Calibri"/>
                <w:bCs/>
                <w:lang w:eastAsia="ja-JP"/>
              </w:rPr>
              <w:t>PS2, ADP2, Asociații de  proprietari</w:t>
            </w:r>
          </w:p>
        </w:tc>
        <w:tc>
          <w:tcPr>
            <w:tcW w:w="507" w:type="pct"/>
            <w:shd w:val="clear" w:color="auto" w:fill="F2F2F2"/>
            <w:hideMark/>
          </w:tcPr>
          <w:p w14:paraId="2460FD4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7E22031"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78F9D63F" w14:textId="77777777" w:rsidR="00395D01" w:rsidRPr="00912996" w:rsidRDefault="00395D01" w:rsidP="00292396">
            <w:pPr>
              <w:rPr>
                <w:rFonts w:ascii="Calibri" w:hAnsi="Calibri"/>
                <w:bCs/>
                <w:lang w:eastAsia="ja-JP"/>
              </w:rPr>
            </w:pPr>
            <w:r w:rsidRPr="00912996">
              <w:rPr>
                <w:rFonts w:ascii="Calibri" w:hAnsi="Calibri"/>
                <w:bCs/>
                <w:lang w:eastAsia="ja-JP"/>
              </w:rPr>
              <w:t>408,163</w:t>
            </w:r>
          </w:p>
        </w:tc>
        <w:tc>
          <w:tcPr>
            <w:tcW w:w="347" w:type="pct"/>
            <w:shd w:val="clear" w:color="auto" w:fill="F2F2F2"/>
            <w:hideMark/>
          </w:tcPr>
          <w:p w14:paraId="239D1A56" w14:textId="77777777" w:rsidR="00395D01" w:rsidRPr="00912996" w:rsidRDefault="00395D01" w:rsidP="0029239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5D081B00"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Alte surse de finanțare</w:t>
            </w:r>
          </w:p>
        </w:tc>
        <w:tc>
          <w:tcPr>
            <w:tcW w:w="433" w:type="pct"/>
            <w:shd w:val="clear" w:color="auto" w:fill="F2F2F2"/>
            <w:hideMark/>
          </w:tcPr>
          <w:p w14:paraId="1B00ACF6"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3F82AAB"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3748D3C0" w14:textId="77777777" w:rsidTr="00E16711">
        <w:trPr>
          <w:trHeight w:val="1320"/>
        </w:trPr>
        <w:tc>
          <w:tcPr>
            <w:tcW w:w="205" w:type="pct"/>
            <w:shd w:val="clear" w:color="auto" w:fill="F2F2F2"/>
            <w:hideMark/>
          </w:tcPr>
          <w:p w14:paraId="53B2BAF3" w14:textId="77777777" w:rsidR="00395D01" w:rsidRPr="00912996" w:rsidRDefault="00395D01" w:rsidP="00292396">
            <w:pPr>
              <w:rPr>
                <w:rFonts w:ascii="Calibri" w:hAnsi="Calibri"/>
                <w:bCs/>
                <w:lang w:eastAsia="ja-JP"/>
              </w:rPr>
            </w:pPr>
            <w:r w:rsidRPr="00912996">
              <w:rPr>
                <w:rFonts w:ascii="Calibri" w:hAnsi="Calibri"/>
                <w:bCs/>
                <w:lang w:eastAsia="ja-JP"/>
              </w:rPr>
              <w:t>21</w:t>
            </w:r>
          </w:p>
        </w:tc>
        <w:tc>
          <w:tcPr>
            <w:tcW w:w="1018" w:type="pct"/>
            <w:gridSpan w:val="2"/>
            <w:shd w:val="clear" w:color="auto" w:fill="F2F2F2"/>
            <w:hideMark/>
          </w:tcPr>
          <w:p w14:paraId="0ABAEC86" w14:textId="77777777" w:rsidR="00395D01" w:rsidRPr="00912996" w:rsidRDefault="00395D01" w:rsidP="00292396">
            <w:pPr>
              <w:rPr>
                <w:rFonts w:ascii="Calibri" w:hAnsi="Calibri"/>
                <w:bCs/>
                <w:lang w:eastAsia="ja-JP"/>
              </w:rPr>
            </w:pPr>
            <w:r w:rsidRPr="00912996">
              <w:rPr>
                <w:rFonts w:ascii="Calibri" w:hAnsi="Calibri"/>
                <w:bCs/>
                <w:lang w:eastAsia="ja-JP"/>
              </w:rPr>
              <w:t>Studiu și lucrări pentru transformarea teraselor a 100 de locuințe colective din cadrul Sectorului 2 în terase verzi (cartier Floreasca, cartier Colentina, cartier Obor, zona Iancului)</w:t>
            </w:r>
          </w:p>
        </w:tc>
        <w:tc>
          <w:tcPr>
            <w:tcW w:w="640" w:type="pct"/>
            <w:shd w:val="clear" w:color="auto" w:fill="F2F2F2"/>
            <w:hideMark/>
          </w:tcPr>
          <w:p w14:paraId="401087E7"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53A7DB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FF686D0" w14:textId="77777777" w:rsidR="00395D01" w:rsidRPr="00912996" w:rsidRDefault="00395D01" w:rsidP="00292396">
            <w:pPr>
              <w:rPr>
                <w:rFonts w:ascii="Calibri" w:hAnsi="Calibri"/>
                <w:bCs/>
                <w:lang w:eastAsia="ja-JP"/>
              </w:rPr>
            </w:pPr>
            <w:r w:rsidRPr="00912996">
              <w:rPr>
                <w:rFonts w:ascii="Calibri" w:hAnsi="Calibri"/>
                <w:bCs/>
                <w:lang w:eastAsia="ja-JP"/>
              </w:rPr>
              <w:t>350,000</w:t>
            </w:r>
          </w:p>
        </w:tc>
        <w:tc>
          <w:tcPr>
            <w:tcW w:w="411" w:type="pct"/>
            <w:shd w:val="clear" w:color="auto" w:fill="F2F2F2"/>
            <w:hideMark/>
          </w:tcPr>
          <w:p w14:paraId="6F9EBA84" w14:textId="77777777" w:rsidR="00395D01" w:rsidRPr="00912996" w:rsidRDefault="00395D01" w:rsidP="00292396">
            <w:pPr>
              <w:rPr>
                <w:rFonts w:ascii="Calibri" w:hAnsi="Calibri"/>
                <w:bCs/>
                <w:lang w:eastAsia="ja-JP"/>
              </w:rPr>
            </w:pPr>
            <w:r w:rsidRPr="00912996">
              <w:rPr>
                <w:rFonts w:ascii="Calibri" w:hAnsi="Calibri"/>
                <w:bCs/>
                <w:lang w:eastAsia="ja-JP"/>
              </w:rPr>
              <w:t>71,429</w:t>
            </w:r>
          </w:p>
        </w:tc>
        <w:tc>
          <w:tcPr>
            <w:tcW w:w="347" w:type="pct"/>
            <w:shd w:val="clear" w:color="auto" w:fill="F2F2F2"/>
            <w:hideMark/>
          </w:tcPr>
          <w:p w14:paraId="37665BCE"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6CDCBF6E"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6BA8D7B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7698CB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SIDU MB, Propunere consultant</w:t>
            </w:r>
          </w:p>
        </w:tc>
      </w:tr>
      <w:tr w:rsidR="00E16711" w:rsidRPr="00912996" w14:paraId="782FD44A" w14:textId="77777777" w:rsidTr="00E16711">
        <w:trPr>
          <w:trHeight w:val="1056"/>
        </w:trPr>
        <w:tc>
          <w:tcPr>
            <w:tcW w:w="205" w:type="pct"/>
            <w:shd w:val="clear" w:color="auto" w:fill="F2F2F2"/>
            <w:hideMark/>
          </w:tcPr>
          <w:p w14:paraId="7FF04337" w14:textId="77777777" w:rsidR="00395D01" w:rsidRPr="00912996" w:rsidRDefault="00395D01" w:rsidP="00292396">
            <w:pPr>
              <w:rPr>
                <w:rFonts w:ascii="Calibri" w:hAnsi="Calibri"/>
                <w:bCs/>
                <w:lang w:eastAsia="ja-JP"/>
              </w:rPr>
            </w:pPr>
            <w:r w:rsidRPr="00912996">
              <w:rPr>
                <w:rFonts w:ascii="Calibri" w:hAnsi="Calibri"/>
                <w:bCs/>
                <w:lang w:eastAsia="ja-JP"/>
              </w:rPr>
              <w:t>22</w:t>
            </w:r>
          </w:p>
        </w:tc>
        <w:tc>
          <w:tcPr>
            <w:tcW w:w="1018" w:type="pct"/>
            <w:gridSpan w:val="2"/>
            <w:shd w:val="clear" w:color="auto" w:fill="F2F2F2"/>
            <w:hideMark/>
          </w:tcPr>
          <w:p w14:paraId="3F4F8659" w14:textId="77777777" w:rsidR="00395D01" w:rsidRPr="00912996" w:rsidRDefault="00395D01" w:rsidP="00292396">
            <w:pPr>
              <w:rPr>
                <w:rFonts w:ascii="Calibri" w:hAnsi="Calibri"/>
                <w:bCs/>
                <w:lang w:eastAsia="ja-JP"/>
              </w:rPr>
            </w:pPr>
            <w:r w:rsidRPr="00912996">
              <w:rPr>
                <w:rFonts w:ascii="Calibri" w:hAnsi="Calibri"/>
                <w:bCs/>
                <w:lang w:eastAsia="ja-JP"/>
              </w:rPr>
              <w:t>Completare vegetație de aliniament în lungul marilor artere - alveole aflate în administrarea PS2/ADPS2 (Străzi prioritare: str. Ziduri Moși)</w:t>
            </w:r>
          </w:p>
        </w:tc>
        <w:tc>
          <w:tcPr>
            <w:tcW w:w="640" w:type="pct"/>
            <w:shd w:val="clear" w:color="auto" w:fill="F2F2F2"/>
            <w:hideMark/>
          </w:tcPr>
          <w:p w14:paraId="68E1D76D"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3B125B4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A453F43"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5D98C036" w14:textId="77777777" w:rsidR="00395D01" w:rsidRPr="00912996" w:rsidRDefault="00395D01" w:rsidP="00292396">
            <w:pPr>
              <w:rPr>
                <w:rFonts w:ascii="Calibri" w:hAnsi="Calibri"/>
                <w:bCs/>
                <w:lang w:eastAsia="ja-JP"/>
              </w:rPr>
            </w:pPr>
            <w:r w:rsidRPr="00912996">
              <w:rPr>
                <w:rFonts w:ascii="Calibri" w:hAnsi="Calibri"/>
                <w:bCs/>
                <w:lang w:eastAsia="ja-JP"/>
              </w:rPr>
              <w:t>408,163</w:t>
            </w:r>
          </w:p>
        </w:tc>
        <w:tc>
          <w:tcPr>
            <w:tcW w:w="347" w:type="pct"/>
            <w:shd w:val="clear" w:color="auto" w:fill="F2F2F2"/>
            <w:hideMark/>
          </w:tcPr>
          <w:p w14:paraId="4812AD69"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F936E2A"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Alte surse de finanțare</w:t>
            </w:r>
          </w:p>
        </w:tc>
        <w:tc>
          <w:tcPr>
            <w:tcW w:w="433" w:type="pct"/>
            <w:shd w:val="clear" w:color="auto" w:fill="F2F2F2"/>
            <w:hideMark/>
          </w:tcPr>
          <w:p w14:paraId="25F5ECA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6842FE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2016-2025/Propunere consultant</w:t>
            </w:r>
          </w:p>
        </w:tc>
      </w:tr>
      <w:tr w:rsidR="00E16711" w:rsidRPr="00912996" w14:paraId="172FA8BD" w14:textId="77777777" w:rsidTr="00E16711">
        <w:trPr>
          <w:trHeight w:val="1056"/>
        </w:trPr>
        <w:tc>
          <w:tcPr>
            <w:tcW w:w="205" w:type="pct"/>
            <w:shd w:val="clear" w:color="auto" w:fill="F2F2F2"/>
            <w:hideMark/>
          </w:tcPr>
          <w:p w14:paraId="5DF00D5F" w14:textId="77777777" w:rsidR="00395D01" w:rsidRPr="00912996" w:rsidRDefault="00395D01" w:rsidP="00292396">
            <w:pPr>
              <w:rPr>
                <w:rFonts w:ascii="Calibri" w:hAnsi="Calibri"/>
                <w:bCs/>
                <w:lang w:eastAsia="ja-JP"/>
              </w:rPr>
            </w:pPr>
            <w:r w:rsidRPr="00912996">
              <w:rPr>
                <w:rFonts w:ascii="Calibri" w:hAnsi="Calibri"/>
                <w:bCs/>
                <w:lang w:eastAsia="ja-JP"/>
              </w:rPr>
              <w:t>23</w:t>
            </w:r>
          </w:p>
        </w:tc>
        <w:tc>
          <w:tcPr>
            <w:tcW w:w="1018" w:type="pct"/>
            <w:gridSpan w:val="2"/>
            <w:shd w:val="clear" w:color="auto" w:fill="F2F2F2"/>
            <w:hideMark/>
          </w:tcPr>
          <w:p w14:paraId="5D3DE454" w14:textId="77777777" w:rsidR="00395D01" w:rsidRPr="00912996" w:rsidRDefault="00395D01" w:rsidP="00292396">
            <w:pPr>
              <w:rPr>
                <w:rFonts w:ascii="Calibri" w:hAnsi="Calibri"/>
                <w:bCs/>
                <w:lang w:eastAsia="ja-JP"/>
              </w:rPr>
            </w:pPr>
            <w:r w:rsidRPr="00912996">
              <w:rPr>
                <w:rFonts w:ascii="Calibri" w:hAnsi="Calibri"/>
                <w:bCs/>
                <w:lang w:eastAsia="ja-JP"/>
              </w:rPr>
              <w:t>Înființarea de noi spații verzi, amenajarea și reamenajarea peisagistică a spațiilor verzi existente în zonele cu densitate mare a locuințelor colective</w:t>
            </w:r>
          </w:p>
        </w:tc>
        <w:tc>
          <w:tcPr>
            <w:tcW w:w="640" w:type="pct"/>
            <w:shd w:val="clear" w:color="auto" w:fill="F2F2F2"/>
            <w:hideMark/>
          </w:tcPr>
          <w:p w14:paraId="2A6D5D28"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409B9DE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D065122" w14:textId="77777777" w:rsidR="00395D01" w:rsidRPr="00912996" w:rsidRDefault="00395D01" w:rsidP="00292396">
            <w:pPr>
              <w:rPr>
                <w:rFonts w:ascii="Calibri" w:hAnsi="Calibri"/>
                <w:bCs/>
                <w:lang w:eastAsia="ja-JP"/>
              </w:rPr>
            </w:pPr>
            <w:r w:rsidRPr="00912996">
              <w:rPr>
                <w:rFonts w:ascii="Calibri" w:hAnsi="Calibri"/>
                <w:bCs/>
                <w:lang w:eastAsia="ja-JP"/>
              </w:rPr>
              <w:t>49,000,000</w:t>
            </w:r>
          </w:p>
        </w:tc>
        <w:tc>
          <w:tcPr>
            <w:tcW w:w="411" w:type="pct"/>
            <w:shd w:val="clear" w:color="auto" w:fill="F2F2F2"/>
            <w:hideMark/>
          </w:tcPr>
          <w:p w14:paraId="66635C7E" w14:textId="77777777" w:rsidR="00395D01" w:rsidRPr="00912996" w:rsidRDefault="00395D01" w:rsidP="00292396">
            <w:pPr>
              <w:rPr>
                <w:rFonts w:ascii="Calibri" w:hAnsi="Calibri"/>
                <w:bCs/>
                <w:lang w:eastAsia="ja-JP"/>
              </w:rPr>
            </w:pPr>
            <w:r w:rsidRPr="00912996">
              <w:rPr>
                <w:rFonts w:ascii="Calibri" w:hAnsi="Calibri"/>
                <w:bCs/>
                <w:lang w:eastAsia="ja-JP"/>
              </w:rPr>
              <w:t>10,000,000</w:t>
            </w:r>
          </w:p>
        </w:tc>
        <w:tc>
          <w:tcPr>
            <w:tcW w:w="347" w:type="pct"/>
            <w:shd w:val="clear" w:color="auto" w:fill="F2F2F2"/>
            <w:hideMark/>
          </w:tcPr>
          <w:p w14:paraId="0CE03122"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FC99349"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Alte surse de finanțare</w:t>
            </w:r>
          </w:p>
        </w:tc>
        <w:tc>
          <w:tcPr>
            <w:tcW w:w="433" w:type="pct"/>
            <w:shd w:val="clear" w:color="auto" w:fill="F2F2F2"/>
            <w:hideMark/>
          </w:tcPr>
          <w:p w14:paraId="4324184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AC3736B"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5A71B88" w14:textId="77777777" w:rsidTr="00E16711">
        <w:trPr>
          <w:trHeight w:val="2376"/>
        </w:trPr>
        <w:tc>
          <w:tcPr>
            <w:tcW w:w="205" w:type="pct"/>
            <w:shd w:val="clear" w:color="auto" w:fill="F2F2F2"/>
            <w:hideMark/>
          </w:tcPr>
          <w:p w14:paraId="1A691E79" w14:textId="77777777" w:rsidR="00395D01" w:rsidRPr="00912996" w:rsidRDefault="00395D01" w:rsidP="00292396">
            <w:pPr>
              <w:rPr>
                <w:rFonts w:ascii="Calibri" w:hAnsi="Calibri"/>
                <w:bCs/>
                <w:lang w:eastAsia="ja-JP"/>
              </w:rPr>
            </w:pPr>
            <w:r w:rsidRPr="00912996">
              <w:rPr>
                <w:rFonts w:ascii="Calibri" w:hAnsi="Calibri"/>
                <w:bCs/>
                <w:lang w:eastAsia="ja-JP"/>
              </w:rPr>
              <w:t>24</w:t>
            </w:r>
          </w:p>
        </w:tc>
        <w:tc>
          <w:tcPr>
            <w:tcW w:w="1018" w:type="pct"/>
            <w:gridSpan w:val="2"/>
            <w:shd w:val="clear" w:color="auto" w:fill="F2F2F2"/>
            <w:hideMark/>
          </w:tcPr>
          <w:p w14:paraId="4DC2CA31" w14:textId="77777777" w:rsidR="00395D01" w:rsidRPr="00912996" w:rsidRDefault="00395D01" w:rsidP="00292396">
            <w:pPr>
              <w:rPr>
                <w:rFonts w:ascii="Calibri" w:hAnsi="Calibri"/>
                <w:bCs/>
                <w:lang w:eastAsia="ja-JP"/>
              </w:rPr>
            </w:pPr>
            <w:r w:rsidRPr="00912996">
              <w:rPr>
                <w:rFonts w:ascii="Calibri" w:hAnsi="Calibri"/>
                <w:bCs/>
                <w:lang w:eastAsia="ja-JP"/>
              </w:rPr>
              <w:t>Intervenții integrate de regenerare urbană a spațiilor publice aferente ansamblurilor de locuințe colective: amenajare spații verzi, spații de recreere și zone de socializare pentru toate categoriile de utilizatori, locuri de joacă, circulații și spații de parcare, spații de tip shared space: zona delimitată de străzile Șerbănică Vasile, Basarabiei, Chișinău, Pantelimon</w:t>
            </w:r>
          </w:p>
        </w:tc>
        <w:tc>
          <w:tcPr>
            <w:tcW w:w="640" w:type="pct"/>
            <w:shd w:val="clear" w:color="auto" w:fill="F2F2F2"/>
            <w:hideMark/>
          </w:tcPr>
          <w:p w14:paraId="44D3A985"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071B267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7A054B7"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411" w:type="pct"/>
            <w:shd w:val="clear" w:color="auto" w:fill="F2F2F2"/>
            <w:hideMark/>
          </w:tcPr>
          <w:p w14:paraId="1CDEB903" w14:textId="77777777" w:rsidR="00395D01" w:rsidRPr="00912996" w:rsidRDefault="00395D01" w:rsidP="00292396">
            <w:pPr>
              <w:rPr>
                <w:rFonts w:ascii="Calibri" w:hAnsi="Calibri"/>
                <w:bCs/>
                <w:lang w:eastAsia="ja-JP"/>
              </w:rPr>
            </w:pPr>
            <w:r w:rsidRPr="00912996">
              <w:rPr>
                <w:rFonts w:ascii="Calibri" w:hAnsi="Calibri"/>
                <w:bCs/>
                <w:lang w:eastAsia="ja-JP"/>
              </w:rPr>
              <w:t>612,245</w:t>
            </w:r>
          </w:p>
        </w:tc>
        <w:tc>
          <w:tcPr>
            <w:tcW w:w="347" w:type="pct"/>
            <w:shd w:val="clear" w:color="auto" w:fill="F2F2F2"/>
            <w:hideMark/>
          </w:tcPr>
          <w:p w14:paraId="276C7B56"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07C46484"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1450E05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DBC2367"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61C09B61" w14:textId="77777777" w:rsidTr="00E16711">
        <w:trPr>
          <w:trHeight w:val="2112"/>
        </w:trPr>
        <w:tc>
          <w:tcPr>
            <w:tcW w:w="205" w:type="pct"/>
            <w:shd w:val="clear" w:color="auto" w:fill="F2F2F2"/>
            <w:hideMark/>
          </w:tcPr>
          <w:p w14:paraId="66D806A6" w14:textId="77777777" w:rsidR="00395D01" w:rsidRPr="00912996" w:rsidRDefault="00395D01" w:rsidP="00292396">
            <w:pPr>
              <w:rPr>
                <w:rFonts w:ascii="Calibri" w:hAnsi="Calibri"/>
                <w:bCs/>
                <w:lang w:eastAsia="ja-JP"/>
              </w:rPr>
            </w:pPr>
            <w:r w:rsidRPr="00912996">
              <w:rPr>
                <w:rFonts w:ascii="Calibri" w:hAnsi="Calibri"/>
                <w:bCs/>
                <w:lang w:eastAsia="ja-JP"/>
              </w:rPr>
              <w:t>25</w:t>
            </w:r>
          </w:p>
        </w:tc>
        <w:tc>
          <w:tcPr>
            <w:tcW w:w="1018" w:type="pct"/>
            <w:gridSpan w:val="2"/>
            <w:shd w:val="clear" w:color="auto" w:fill="F2F2F2"/>
            <w:hideMark/>
          </w:tcPr>
          <w:p w14:paraId="0883EAC5" w14:textId="77777777" w:rsidR="00395D01" w:rsidRPr="00912996" w:rsidRDefault="00395D01" w:rsidP="00292396">
            <w:pPr>
              <w:rPr>
                <w:rFonts w:ascii="Calibri" w:hAnsi="Calibri"/>
                <w:bCs/>
                <w:lang w:eastAsia="ja-JP"/>
              </w:rPr>
            </w:pPr>
            <w:r w:rsidRPr="00912996">
              <w:rPr>
                <w:rFonts w:ascii="Calibri" w:hAnsi="Calibri"/>
                <w:bCs/>
                <w:lang w:eastAsia="ja-JP"/>
              </w:rPr>
              <w:t>Intervenții integrate de regenerare urbană a spațiilor publice aferente ansamblurilor de locuințe colective: amenajare spații verzi, spații de recreere și zone de socializare pentru toate categoriile de utilizatori, locuri de joacă, circulații și spații de parcare, spații de tip shared space: zona Floreasca - continuare intervenții</w:t>
            </w:r>
          </w:p>
        </w:tc>
        <w:tc>
          <w:tcPr>
            <w:tcW w:w="640" w:type="pct"/>
            <w:shd w:val="clear" w:color="auto" w:fill="F2F2F2"/>
            <w:hideMark/>
          </w:tcPr>
          <w:p w14:paraId="47D24096"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68049D1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40BA36C"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1D8929D2"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321630FC" w14:textId="7B90BD00" w:rsidR="00395D01" w:rsidRPr="00912996" w:rsidRDefault="00395D01" w:rsidP="00292396">
            <w:pPr>
              <w:rPr>
                <w:rFonts w:ascii="Calibri" w:hAnsi="Calibri"/>
                <w:bCs/>
                <w:lang w:eastAsia="ja-JP"/>
              </w:rPr>
            </w:pPr>
            <w:r w:rsidRPr="00912996">
              <w:rPr>
                <w:rFonts w:ascii="Calibri" w:hAnsi="Calibri"/>
                <w:bCs/>
                <w:lang w:eastAsia="ja-JP"/>
              </w:rPr>
              <w:t>2023</w:t>
            </w:r>
            <w:r w:rsidR="00FC152A">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18620945"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040A47C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96F669F"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SDLIDS2</w:t>
            </w:r>
          </w:p>
        </w:tc>
      </w:tr>
      <w:tr w:rsidR="00E16711" w:rsidRPr="00912996" w14:paraId="3372A82F" w14:textId="77777777" w:rsidTr="00E16711">
        <w:trPr>
          <w:trHeight w:val="2112"/>
        </w:trPr>
        <w:tc>
          <w:tcPr>
            <w:tcW w:w="205" w:type="pct"/>
            <w:shd w:val="clear" w:color="auto" w:fill="F2F2F2"/>
            <w:hideMark/>
          </w:tcPr>
          <w:p w14:paraId="3515CC3A" w14:textId="77777777" w:rsidR="00395D01" w:rsidRPr="00912996" w:rsidRDefault="00395D01" w:rsidP="00292396">
            <w:pPr>
              <w:rPr>
                <w:rFonts w:ascii="Calibri" w:hAnsi="Calibri"/>
                <w:bCs/>
                <w:lang w:eastAsia="ja-JP"/>
              </w:rPr>
            </w:pPr>
            <w:r w:rsidRPr="00912996">
              <w:rPr>
                <w:rFonts w:ascii="Calibri" w:hAnsi="Calibri"/>
                <w:bCs/>
                <w:lang w:eastAsia="ja-JP"/>
              </w:rPr>
              <w:t>26</w:t>
            </w:r>
          </w:p>
        </w:tc>
        <w:tc>
          <w:tcPr>
            <w:tcW w:w="1018" w:type="pct"/>
            <w:gridSpan w:val="2"/>
            <w:shd w:val="clear" w:color="auto" w:fill="F2F2F2"/>
            <w:hideMark/>
          </w:tcPr>
          <w:p w14:paraId="2048ADCE" w14:textId="77777777" w:rsidR="00395D01" w:rsidRPr="00912996" w:rsidRDefault="00395D01" w:rsidP="00292396">
            <w:pPr>
              <w:rPr>
                <w:rFonts w:ascii="Calibri" w:hAnsi="Calibri"/>
                <w:bCs/>
                <w:lang w:eastAsia="ja-JP"/>
              </w:rPr>
            </w:pPr>
            <w:r w:rsidRPr="00912996">
              <w:rPr>
                <w:rFonts w:ascii="Calibri" w:hAnsi="Calibri"/>
                <w:bCs/>
                <w:lang w:eastAsia="ja-JP"/>
              </w:rPr>
              <w:t>Intervenții integrate de regenerare urbană a spațiilor publice aferente ansamblurilor de locuințe colective: amenajare spații verzi, spații de recreere și zone de socializare pentru toate categoriile de utilizatori, locuri de joacă, circulații și spații de parcare, spații de tip shared space: zona Iancului - continuare intervenții</w:t>
            </w:r>
          </w:p>
        </w:tc>
        <w:tc>
          <w:tcPr>
            <w:tcW w:w="640" w:type="pct"/>
            <w:shd w:val="clear" w:color="auto" w:fill="F2F2F2"/>
            <w:hideMark/>
          </w:tcPr>
          <w:p w14:paraId="1F407E6C"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083EACC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77658CE"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411" w:type="pct"/>
            <w:shd w:val="clear" w:color="auto" w:fill="F2F2F2"/>
            <w:hideMark/>
          </w:tcPr>
          <w:p w14:paraId="4239B7DE" w14:textId="77777777" w:rsidR="00395D01" w:rsidRPr="00912996" w:rsidRDefault="00395D01" w:rsidP="00292396">
            <w:pPr>
              <w:rPr>
                <w:rFonts w:ascii="Calibri" w:hAnsi="Calibri"/>
                <w:bCs/>
                <w:lang w:eastAsia="ja-JP"/>
              </w:rPr>
            </w:pPr>
            <w:r w:rsidRPr="00912996">
              <w:rPr>
                <w:rFonts w:ascii="Calibri" w:hAnsi="Calibri"/>
                <w:bCs/>
                <w:lang w:eastAsia="ja-JP"/>
              </w:rPr>
              <w:t>306,122</w:t>
            </w:r>
          </w:p>
        </w:tc>
        <w:tc>
          <w:tcPr>
            <w:tcW w:w="347" w:type="pct"/>
            <w:shd w:val="clear" w:color="auto" w:fill="F2F2F2"/>
            <w:hideMark/>
          </w:tcPr>
          <w:p w14:paraId="3B4FA21B" w14:textId="7AAFAD18" w:rsidR="00395D01" w:rsidRPr="00912996" w:rsidRDefault="00395D01" w:rsidP="00292396">
            <w:pPr>
              <w:rPr>
                <w:rFonts w:ascii="Calibri" w:hAnsi="Calibri"/>
                <w:bCs/>
                <w:lang w:eastAsia="ja-JP"/>
              </w:rPr>
            </w:pPr>
            <w:r w:rsidRPr="00912996">
              <w:rPr>
                <w:rFonts w:ascii="Calibri" w:hAnsi="Calibri"/>
                <w:bCs/>
                <w:lang w:eastAsia="ja-JP"/>
              </w:rPr>
              <w:t>2023</w:t>
            </w:r>
            <w:r w:rsidR="00FC152A">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90AB335"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2A89EA7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7F3EA5D"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SDLIDS2</w:t>
            </w:r>
          </w:p>
        </w:tc>
      </w:tr>
      <w:tr w:rsidR="00E16711" w:rsidRPr="00912996" w14:paraId="0753A269" w14:textId="77777777" w:rsidTr="00E16711">
        <w:trPr>
          <w:trHeight w:val="800"/>
        </w:trPr>
        <w:tc>
          <w:tcPr>
            <w:tcW w:w="205" w:type="pct"/>
            <w:shd w:val="clear" w:color="auto" w:fill="F2F2F2"/>
            <w:hideMark/>
          </w:tcPr>
          <w:p w14:paraId="50AAE7F8" w14:textId="77777777" w:rsidR="00395D01" w:rsidRPr="00912996" w:rsidRDefault="00395D01" w:rsidP="00292396">
            <w:pPr>
              <w:rPr>
                <w:rFonts w:ascii="Calibri" w:hAnsi="Calibri"/>
                <w:bCs/>
                <w:lang w:eastAsia="ja-JP"/>
              </w:rPr>
            </w:pPr>
            <w:r w:rsidRPr="00912996">
              <w:rPr>
                <w:rFonts w:ascii="Calibri" w:hAnsi="Calibri"/>
                <w:bCs/>
                <w:lang w:eastAsia="ja-JP"/>
              </w:rPr>
              <w:t>27</w:t>
            </w:r>
          </w:p>
        </w:tc>
        <w:tc>
          <w:tcPr>
            <w:tcW w:w="1018" w:type="pct"/>
            <w:gridSpan w:val="2"/>
            <w:shd w:val="clear" w:color="auto" w:fill="F2F2F2"/>
            <w:hideMark/>
          </w:tcPr>
          <w:p w14:paraId="4791E737" w14:textId="77777777" w:rsidR="00395D01" w:rsidRPr="00912996" w:rsidRDefault="00395D01" w:rsidP="00292396">
            <w:pPr>
              <w:rPr>
                <w:rFonts w:ascii="Calibri" w:hAnsi="Calibri"/>
                <w:bCs/>
                <w:lang w:eastAsia="ja-JP"/>
              </w:rPr>
            </w:pPr>
            <w:r w:rsidRPr="00912996">
              <w:rPr>
                <w:rFonts w:ascii="Calibri" w:hAnsi="Calibri"/>
                <w:bCs/>
                <w:lang w:eastAsia="ja-JP"/>
              </w:rPr>
              <w:t>Intervenții integrate de regenerare urbană a spațiilor publice aferente ansamblurilor de locuințe colective: amenajare spații verzi, spații de recreere și zone de socializare pentru toate categoriile de utilizatori, locuri de joacă, circulații și spații de parcare, spații de tip shared space: zona B-dul Ferdinand - Str. Căminului - continuare intervenții</w:t>
            </w:r>
          </w:p>
        </w:tc>
        <w:tc>
          <w:tcPr>
            <w:tcW w:w="640" w:type="pct"/>
            <w:shd w:val="clear" w:color="auto" w:fill="F2F2F2"/>
            <w:hideMark/>
          </w:tcPr>
          <w:p w14:paraId="436005D1"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55CBFEC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DFA5963"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5843E1D0"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3F3AC0E7" w14:textId="40907AEA" w:rsidR="00395D01" w:rsidRPr="00912996" w:rsidRDefault="00395D01" w:rsidP="00292396">
            <w:pPr>
              <w:rPr>
                <w:rFonts w:ascii="Calibri" w:hAnsi="Calibri"/>
                <w:bCs/>
                <w:lang w:eastAsia="ja-JP"/>
              </w:rPr>
            </w:pPr>
            <w:r w:rsidRPr="00912996">
              <w:rPr>
                <w:rFonts w:ascii="Calibri" w:hAnsi="Calibri"/>
                <w:bCs/>
                <w:lang w:eastAsia="ja-JP"/>
              </w:rPr>
              <w:t>2024</w:t>
            </w:r>
            <w:r w:rsidR="00FC152A">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C073DA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4CD5F4E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7223B8E"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SDLIDS2</w:t>
            </w:r>
          </w:p>
        </w:tc>
      </w:tr>
      <w:tr w:rsidR="00E16711" w:rsidRPr="00912996" w14:paraId="004675D8" w14:textId="77777777" w:rsidTr="00E16711">
        <w:trPr>
          <w:trHeight w:val="2904"/>
        </w:trPr>
        <w:tc>
          <w:tcPr>
            <w:tcW w:w="205" w:type="pct"/>
            <w:shd w:val="clear" w:color="auto" w:fill="F2F2F2"/>
            <w:hideMark/>
          </w:tcPr>
          <w:p w14:paraId="2E8A583C" w14:textId="77777777" w:rsidR="00395D01" w:rsidRPr="00912996" w:rsidRDefault="00395D01" w:rsidP="00292396">
            <w:pPr>
              <w:rPr>
                <w:rFonts w:ascii="Calibri" w:hAnsi="Calibri"/>
                <w:bCs/>
                <w:lang w:eastAsia="ja-JP"/>
              </w:rPr>
            </w:pPr>
            <w:r w:rsidRPr="00912996">
              <w:rPr>
                <w:rFonts w:ascii="Calibri" w:hAnsi="Calibri"/>
                <w:bCs/>
                <w:lang w:eastAsia="ja-JP"/>
              </w:rPr>
              <w:t>28</w:t>
            </w:r>
          </w:p>
        </w:tc>
        <w:tc>
          <w:tcPr>
            <w:tcW w:w="1018" w:type="pct"/>
            <w:gridSpan w:val="2"/>
            <w:shd w:val="clear" w:color="auto" w:fill="F2F2F2"/>
            <w:hideMark/>
          </w:tcPr>
          <w:p w14:paraId="0C67B138" w14:textId="77777777" w:rsidR="00395D01" w:rsidRPr="00912996" w:rsidRDefault="00395D01" w:rsidP="00292396">
            <w:pPr>
              <w:rPr>
                <w:rFonts w:ascii="Calibri" w:hAnsi="Calibri"/>
                <w:bCs/>
                <w:lang w:eastAsia="ja-JP"/>
              </w:rPr>
            </w:pPr>
            <w:r w:rsidRPr="00912996">
              <w:rPr>
                <w:rFonts w:ascii="Calibri" w:hAnsi="Calibri"/>
                <w:bCs/>
                <w:lang w:eastAsia="ja-JP"/>
              </w:rPr>
              <w:t>Intervenții integrate de regenerare urbană a spațiilor publice aferente ansamblurilor de locuințe colective: amenajare spații verzi și spații pietonale, sisteme de drenaj a apelor pluviale, mobilier urban, iluminat artificial, signaletică, publicitate urbană, spații de recreere și zone de socializare pentru toate categoriile de utilizatori, locuri de joacă, circulații auto și spații de parcare: zona Colentina - Mașina de Pâine, în acord cu studiul OAR</w:t>
            </w:r>
          </w:p>
        </w:tc>
        <w:tc>
          <w:tcPr>
            <w:tcW w:w="640" w:type="pct"/>
            <w:shd w:val="clear" w:color="auto" w:fill="F2F2F2"/>
            <w:hideMark/>
          </w:tcPr>
          <w:p w14:paraId="01066666"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6D92FB3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ABD6F76"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1069E381" w14:textId="77777777" w:rsidR="00395D01" w:rsidRPr="00912996" w:rsidRDefault="00395D01" w:rsidP="00292396">
            <w:pPr>
              <w:rPr>
                <w:rFonts w:ascii="Calibri" w:hAnsi="Calibri"/>
                <w:bCs/>
                <w:lang w:eastAsia="ja-JP"/>
              </w:rPr>
            </w:pPr>
            <w:r w:rsidRPr="00912996">
              <w:rPr>
                <w:rFonts w:ascii="Calibri" w:hAnsi="Calibri"/>
                <w:bCs/>
                <w:lang w:eastAsia="ja-JP"/>
              </w:rPr>
              <w:t>408,163</w:t>
            </w:r>
          </w:p>
        </w:tc>
        <w:tc>
          <w:tcPr>
            <w:tcW w:w="347" w:type="pct"/>
            <w:shd w:val="clear" w:color="auto" w:fill="F2F2F2"/>
            <w:hideMark/>
          </w:tcPr>
          <w:p w14:paraId="494972FA" w14:textId="01C82CF7" w:rsidR="00395D01" w:rsidRPr="00912996" w:rsidRDefault="00395D01" w:rsidP="00292396">
            <w:pPr>
              <w:rPr>
                <w:rFonts w:ascii="Calibri" w:hAnsi="Calibri"/>
                <w:bCs/>
                <w:lang w:eastAsia="ja-JP"/>
              </w:rPr>
            </w:pPr>
            <w:r w:rsidRPr="00912996">
              <w:rPr>
                <w:rFonts w:ascii="Calibri" w:hAnsi="Calibri"/>
                <w:bCs/>
                <w:lang w:eastAsia="ja-JP"/>
              </w:rPr>
              <w:t>2023</w:t>
            </w:r>
            <w:r w:rsidR="00FC152A">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21CCB39E"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45138339"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189DFED8"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consultant/Ghid OAR, consultare locuitori</w:t>
            </w:r>
          </w:p>
        </w:tc>
      </w:tr>
      <w:tr w:rsidR="00E16711" w:rsidRPr="00912996" w14:paraId="71F33619" w14:textId="77777777" w:rsidTr="00E16711">
        <w:trPr>
          <w:trHeight w:val="620"/>
        </w:trPr>
        <w:tc>
          <w:tcPr>
            <w:tcW w:w="205" w:type="pct"/>
            <w:shd w:val="clear" w:color="auto" w:fill="F2F2F2"/>
            <w:hideMark/>
          </w:tcPr>
          <w:p w14:paraId="2A239CFD" w14:textId="77777777" w:rsidR="00395D01" w:rsidRPr="00912996" w:rsidRDefault="00395D01" w:rsidP="00292396">
            <w:pPr>
              <w:rPr>
                <w:rFonts w:ascii="Calibri" w:hAnsi="Calibri"/>
                <w:bCs/>
                <w:lang w:eastAsia="ja-JP"/>
              </w:rPr>
            </w:pPr>
            <w:r w:rsidRPr="00912996">
              <w:rPr>
                <w:rFonts w:ascii="Calibri" w:hAnsi="Calibri"/>
                <w:bCs/>
                <w:lang w:eastAsia="ja-JP"/>
              </w:rPr>
              <w:t>29</w:t>
            </w:r>
          </w:p>
        </w:tc>
        <w:tc>
          <w:tcPr>
            <w:tcW w:w="1018" w:type="pct"/>
            <w:gridSpan w:val="2"/>
            <w:shd w:val="clear" w:color="auto" w:fill="F2F2F2"/>
            <w:hideMark/>
          </w:tcPr>
          <w:p w14:paraId="334A4E42" w14:textId="77777777" w:rsidR="00395D01" w:rsidRPr="00912996" w:rsidRDefault="00395D01" w:rsidP="00292396">
            <w:pPr>
              <w:rPr>
                <w:rFonts w:ascii="Calibri" w:hAnsi="Calibri"/>
                <w:bCs/>
                <w:lang w:eastAsia="ja-JP"/>
              </w:rPr>
            </w:pPr>
            <w:r w:rsidRPr="00912996">
              <w:rPr>
                <w:rFonts w:ascii="Calibri" w:hAnsi="Calibri"/>
                <w:bCs/>
                <w:lang w:eastAsia="ja-JP"/>
              </w:rPr>
              <w:t>Intervenții integrate de regenerare urbană a spațiilor publice aferente ansamblurilor de locuințe colective și individuale: amenajare spații verzi și spații pietonale, sisteme de drenaj a apelor pluviale, mobilier urban, iluminat artificial, signaletică, publicitate urbană, spații de recreere și zone de socializare pentru toate categoriile de utilizatori, locuri de joacă, circulații auto și spații de parcare: zona Obor (Aleea Avrig -  Strada Chiristigiilor</w:t>
            </w:r>
            <w:r>
              <w:rPr>
                <w:rFonts w:ascii="Calibri" w:hAnsi="Calibri"/>
                <w:bCs/>
                <w:lang w:eastAsia="ja-JP"/>
              </w:rPr>
              <w:t xml:space="preserve"> si zona aferenta magazinului Obor</w:t>
            </w:r>
            <w:r w:rsidRPr="00912996">
              <w:rPr>
                <w:rFonts w:ascii="Calibri" w:hAnsi="Calibri"/>
                <w:bCs/>
                <w:lang w:eastAsia="ja-JP"/>
              </w:rPr>
              <w:t>), în acord cu studiul OAR</w:t>
            </w:r>
          </w:p>
        </w:tc>
        <w:tc>
          <w:tcPr>
            <w:tcW w:w="640" w:type="pct"/>
            <w:shd w:val="clear" w:color="auto" w:fill="F2F2F2"/>
            <w:hideMark/>
          </w:tcPr>
          <w:p w14:paraId="44A9129E"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253C0CA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BBECAB9"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411" w:type="pct"/>
            <w:shd w:val="clear" w:color="auto" w:fill="F2F2F2"/>
            <w:hideMark/>
          </w:tcPr>
          <w:p w14:paraId="3173E370" w14:textId="77777777" w:rsidR="00395D01" w:rsidRPr="00912996" w:rsidRDefault="00395D01" w:rsidP="00292396">
            <w:pPr>
              <w:rPr>
                <w:rFonts w:ascii="Calibri" w:hAnsi="Calibri"/>
                <w:bCs/>
                <w:lang w:eastAsia="ja-JP"/>
              </w:rPr>
            </w:pPr>
            <w:r w:rsidRPr="00912996">
              <w:rPr>
                <w:rFonts w:ascii="Calibri" w:hAnsi="Calibri"/>
                <w:bCs/>
                <w:lang w:eastAsia="ja-JP"/>
              </w:rPr>
              <w:t>306,122</w:t>
            </w:r>
          </w:p>
        </w:tc>
        <w:tc>
          <w:tcPr>
            <w:tcW w:w="347" w:type="pct"/>
            <w:shd w:val="clear" w:color="auto" w:fill="F2F2F2"/>
            <w:hideMark/>
          </w:tcPr>
          <w:p w14:paraId="45E91D6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1B1A9AFE"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66B8C52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9717DC8"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consultant/Ghid OAR</w:t>
            </w:r>
          </w:p>
        </w:tc>
      </w:tr>
      <w:tr w:rsidR="00E16711" w:rsidRPr="00912996" w14:paraId="79A803F5" w14:textId="77777777" w:rsidTr="00E16711">
        <w:trPr>
          <w:trHeight w:val="2904"/>
        </w:trPr>
        <w:tc>
          <w:tcPr>
            <w:tcW w:w="205" w:type="pct"/>
            <w:shd w:val="clear" w:color="auto" w:fill="F2F2F2"/>
            <w:hideMark/>
          </w:tcPr>
          <w:p w14:paraId="1A6F521F" w14:textId="77777777" w:rsidR="00395D01" w:rsidRPr="00912996" w:rsidRDefault="00395D01" w:rsidP="00292396">
            <w:pPr>
              <w:rPr>
                <w:rFonts w:ascii="Calibri" w:hAnsi="Calibri"/>
                <w:bCs/>
                <w:lang w:eastAsia="ja-JP"/>
              </w:rPr>
            </w:pPr>
            <w:r w:rsidRPr="00912996">
              <w:rPr>
                <w:rFonts w:ascii="Calibri" w:hAnsi="Calibri"/>
                <w:bCs/>
                <w:lang w:eastAsia="ja-JP"/>
              </w:rPr>
              <w:t>30</w:t>
            </w:r>
          </w:p>
        </w:tc>
        <w:tc>
          <w:tcPr>
            <w:tcW w:w="1018" w:type="pct"/>
            <w:gridSpan w:val="2"/>
            <w:shd w:val="clear" w:color="auto" w:fill="F2F2F2"/>
            <w:hideMark/>
          </w:tcPr>
          <w:p w14:paraId="3BAE3E9D" w14:textId="77777777" w:rsidR="00395D01" w:rsidRPr="00912996" w:rsidRDefault="00395D01" w:rsidP="00292396">
            <w:pPr>
              <w:rPr>
                <w:rFonts w:ascii="Calibri" w:hAnsi="Calibri"/>
                <w:bCs/>
                <w:lang w:eastAsia="ja-JP"/>
              </w:rPr>
            </w:pPr>
            <w:r w:rsidRPr="00912996">
              <w:rPr>
                <w:rFonts w:ascii="Calibri" w:hAnsi="Calibri"/>
                <w:bCs/>
                <w:lang w:eastAsia="ja-JP"/>
              </w:rPr>
              <w:t>Intervenții integrate de regenerare urbană a spațiilor publice aferente ansamblurilor de locuințe colective: amenajare spații verzi și spații pietonale, sisteme de drenaj a apelor pluviale, mobilier urban, iluminat artificial, signaletică, publicitate urbană, spații de recreere și zone de socializare pentru toate categoriile de utilizatori, locuri de joacă, circulații auto și spații de parcare: zona Delfinului (Strada Renului), în acord cu studiul OAR</w:t>
            </w:r>
          </w:p>
        </w:tc>
        <w:tc>
          <w:tcPr>
            <w:tcW w:w="640" w:type="pct"/>
            <w:shd w:val="clear" w:color="auto" w:fill="F2F2F2"/>
            <w:hideMark/>
          </w:tcPr>
          <w:p w14:paraId="26A4CE3A"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1B883B9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4631CB8"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7951AB43"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4D24232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7E66364F"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323E610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E1DD603"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consultant/Ghid OAR</w:t>
            </w:r>
          </w:p>
        </w:tc>
      </w:tr>
      <w:tr w:rsidR="00E16711" w:rsidRPr="00912996" w14:paraId="6A18827B" w14:textId="77777777" w:rsidTr="00E16711">
        <w:trPr>
          <w:trHeight w:val="2376"/>
        </w:trPr>
        <w:tc>
          <w:tcPr>
            <w:tcW w:w="205" w:type="pct"/>
            <w:shd w:val="clear" w:color="auto" w:fill="F2F2F2"/>
            <w:hideMark/>
          </w:tcPr>
          <w:p w14:paraId="3DACCA29" w14:textId="77777777" w:rsidR="00395D01" w:rsidRPr="00912996" w:rsidRDefault="00395D01" w:rsidP="00292396">
            <w:pPr>
              <w:rPr>
                <w:rFonts w:ascii="Calibri" w:hAnsi="Calibri"/>
                <w:bCs/>
                <w:lang w:eastAsia="ja-JP"/>
              </w:rPr>
            </w:pPr>
            <w:r w:rsidRPr="00912996">
              <w:rPr>
                <w:rFonts w:ascii="Calibri" w:hAnsi="Calibri"/>
                <w:bCs/>
                <w:lang w:eastAsia="ja-JP"/>
              </w:rPr>
              <w:t>31</w:t>
            </w:r>
          </w:p>
        </w:tc>
        <w:tc>
          <w:tcPr>
            <w:tcW w:w="1018" w:type="pct"/>
            <w:gridSpan w:val="2"/>
            <w:shd w:val="clear" w:color="auto" w:fill="F2F2F2"/>
            <w:hideMark/>
          </w:tcPr>
          <w:p w14:paraId="28D45FFC" w14:textId="77777777" w:rsidR="00395D01" w:rsidRPr="00912996" w:rsidRDefault="00395D01" w:rsidP="00292396">
            <w:pPr>
              <w:rPr>
                <w:rFonts w:ascii="Calibri" w:hAnsi="Calibri"/>
                <w:bCs/>
                <w:lang w:eastAsia="ja-JP"/>
              </w:rPr>
            </w:pPr>
            <w:r w:rsidRPr="00912996">
              <w:rPr>
                <w:rFonts w:ascii="Calibri" w:hAnsi="Calibri"/>
                <w:bCs/>
                <w:lang w:eastAsia="ja-JP"/>
              </w:rPr>
              <w:t>Intervenții integrate de regenerare urbană a spațiilor publice aferente ansamblurilor de locuințe: amenajare spații verzi și spații pietonale, sisteme de drenaj a apelor pluviale, mobilier urban, iluminat artificial, signaletică, publicitate urbană, circulații auto și spații de parcare: zona Grădina Ioanid (intrarea Ion Voicu), în acord cu studiul OAR</w:t>
            </w:r>
          </w:p>
        </w:tc>
        <w:tc>
          <w:tcPr>
            <w:tcW w:w="640" w:type="pct"/>
            <w:shd w:val="clear" w:color="auto" w:fill="F2F2F2"/>
            <w:hideMark/>
          </w:tcPr>
          <w:p w14:paraId="76731F42"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3983299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7DEDD51" w14:textId="77777777" w:rsidR="00395D01" w:rsidRPr="00912996" w:rsidRDefault="00395D01" w:rsidP="00292396">
            <w:pPr>
              <w:rPr>
                <w:rFonts w:ascii="Calibri" w:hAnsi="Calibri"/>
                <w:bCs/>
                <w:lang w:eastAsia="ja-JP"/>
              </w:rPr>
            </w:pPr>
            <w:r w:rsidRPr="00912996">
              <w:rPr>
                <w:rFonts w:ascii="Calibri" w:hAnsi="Calibri"/>
                <w:bCs/>
                <w:lang w:eastAsia="ja-JP"/>
              </w:rPr>
              <w:t>700,000</w:t>
            </w:r>
          </w:p>
        </w:tc>
        <w:tc>
          <w:tcPr>
            <w:tcW w:w="411" w:type="pct"/>
            <w:shd w:val="clear" w:color="auto" w:fill="F2F2F2"/>
            <w:hideMark/>
          </w:tcPr>
          <w:p w14:paraId="3BDD625D" w14:textId="77777777" w:rsidR="00395D01" w:rsidRPr="00912996" w:rsidRDefault="00395D01" w:rsidP="00292396">
            <w:pPr>
              <w:rPr>
                <w:rFonts w:ascii="Calibri" w:hAnsi="Calibri"/>
                <w:bCs/>
                <w:lang w:eastAsia="ja-JP"/>
              </w:rPr>
            </w:pPr>
            <w:r w:rsidRPr="00912996">
              <w:rPr>
                <w:rFonts w:ascii="Calibri" w:hAnsi="Calibri"/>
                <w:bCs/>
                <w:lang w:eastAsia="ja-JP"/>
              </w:rPr>
              <w:t>142,857</w:t>
            </w:r>
          </w:p>
        </w:tc>
        <w:tc>
          <w:tcPr>
            <w:tcW w:w="347" w:type="pct"/>
            <w:shd w:val="clear" w:color="auto" w:fill="F2F2F2"/>
            <w:hideMark/>
          </w:tcPr>
          <w:p w14:paraId="37136007" w14:textId="7771BDEB" w:rsidR="00395D01" w:rsidRPr="00912996" w:rsidRDefault="00395D01" w:rsidP="00292396">
            <w:pPr>
              <w:rPr>
                <w:rFonts w:ascii="Calibri" w:hAnsi="Calibri"/>
                <w:bCs/>
                <w:lang w:eastAsia="ja-JP"/>
              </w:rPr>
            </w:pPr>
            <w:r w:rsidRPr="00912996">
              <w:rPr>
                <w:rFonts w:ascii="Calibri" w:hAnsi="Calibri"/>
                <w:bCs/>
                <w:lang w:eastAsia="ja-JP"/>
              </w:rPr>
              <w:t>2023</w:t>
            </w:r>
            <w:r w:rsidR="00FC152A">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7D57C900"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2BC70AC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DF42412"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consultant/Ghid OAR</w:t>
            </w:r>
          </w:p>
        </w:tc>
      </w:tr>
      <w:tr w:rsidR="00E16711" w:rsidRPr="00912996" w14:paraId="5CBB0AF1" w14:textId="77777777" w:rsidTr="00E16711">
        <w:trPr>
          <w:trHeight w:val="2376"/>
        </w:trPr>
        <w:tc>
          <w:tcPr>
            <w:tcW w:w="205" w:type="pct"/>
            <w:shd w:val="clear" w:color="auto" w:fill="F2F2F2"/>
          </w:tcPr>
          <w:p w14:paraId="49528E83" w14:textId="77777777" w:rsidR="00395D01" w:rsidRPr="00912996" w:rsidRDefault="00395D01" w:rsidP="00292396">
            <w:pPr>
              <w:rPr>
                <w:rFonts w:ascii="Calibri" w:hAnsi="Calibri"/>
                <w:bCs/>
                <w:lang w:eastAsia="ja-JP"/>
              </w:rPr>
            </w:pPr>
            <w:r w:rsidRPr="00912996">
              <w:rPr>
                <w:rFonts w:ascii="Calibri" w:hAnsi="Calibri"/>
                <w:bCs/>
                <w:lang w:eastAsia="ja-JP"/>
              </w:rPr>
              <w:t>32</w:t>
            </w:r>
          </w:p>
        </w:tc>
        <w:tc>
          <w:tcPr>
            <w:tcW w:w="1018" w:type="pct"/>
            <w:gridSpan w:val="2"/>
            <w:shd w:val="clear" w:color="auto" w:fill="F2F2F2"/>
          </w:tcPr>
          <w:p w14:paraId="7F320BA8" w14:textId="77777777" w:rsidR="00395D01" w:rsidRPr="00912996" w:rsidRDefault="00395D01" w:rsidP="00292396">
            <w:pPr>
              <w:rPr>
                <w:rFonts w:ascii="Calibri" w:hAnsi="Calibri"/>
                <w:bCs/>
                <w:lang w:eastAsia="ja-JP"/>
              </w:rPr>
            </w:pPr>
            <w:r w:rsidRPr="00912996">
              <w:rPr>
                <w:rFonts w:ascii="Calibri" w:hAnsi="Calibri"/>
                <w:bCs/>
                <w:lang w:eastAsia="ja-JP"/>
              </w:rPr>
              <w:t>Proiect de regenerare urbană Zona Colentina - Tei conform proiect Activare și Planificare pentru Eficiență Locală (APEL) Colentina - Tei. Ghid de regenerare urbană prin tehnici de urbanism participativ și proiect de conștientizare &amp; management al riscului seismic pentru zona Colentina - Tei din București (zona Șoseaua Colentina, Str. Doamna Ghica, Bulevardul Lacul Tei, Str. Maica Domnului și Str. Reînvierii): revitalizarea și sistematizarea spațiilor verzi aferente ansamblurilor de locuințe colective, amenajarea de parcuri de proximitate, o grădină comunitară pe str. Oteșani, eficientizarea infrastructurii pietonale, amenajarea de piste de biciclete, modernizarea mobilierului urban, amenajarea locurilor de parcare, reconfigurări punctuale de străzi, reconfigurarea  intersecției dintre bulevardul Teiul Doamnei și str. Mașina de Pâine</w:t>
            </w:r>
          </w:p>
        </w:tc>
        <w:tc>
          <w:tcPr>
            <w:tcW w:w="640" w:type="pct"/>
            <w:shd w:val="clear" w:color="auto" w:fill="F2F2F2"/>
          </w:tcPr>
          <w:p w14:paraId="3DF62497" w14:textId="77777777" w:rsidR="00395D01" w:rsidRPr="00912996" w:rsidRDefault="00395D01" w:rsidP="00292396">
            <w:pPr>
              <w:rPr>
                <w:rFonts w:ascii="Calibri" w:hAnsi="Calibri"/>
                <w:bCs/>
                <w:lang w:eastAsia="ja-JP"/>
              </w:rPr>
            </w:pPr>
            <w:r w:rsidRPr="00912996">
              <w:rPr>
                <w:rFonts w:ascii="Calibri" w:hAnsi="Calibri"/>
                <w:bCs/>
                <w:lang w:eastAsia="ja-JP"/>
              </w:rPr>
              <w:t>PS2, ADPS2, Banca Mondială</w:t>
            </w:r>
          </w:p>
        </w:tc>
        <w:tc>
          <w:tcPr>
            <w:tcW w:w="507" w:type="pct"/>
            <w:shd w:val="clear" w:color="auto" w:fill="F2F2F2"/>
          </w:tcPr>
          <w:p w14:paraId="26E698BD" w14:textId="77777777" w:rsidR="00395D01" w:rsidRPr="00912996" w:rsidRDefault="00395D01" w:rsidP="00292396">
            <w:pPr>
              <w:rPr>
                <w:rFonts w:ascii="Calibri" w:hAnsi="Calibri"/>
                <w:bCs/>
                <w:lang w:eastAsia="ja-JP"/>
              </w:rPr>
            </w:pPr>
            <w:r w:rsidRPr="00912996">
              <w:rPr>
                <w:rFonts w:ascii="Calibri" w:hAnsi="Calibri"/>
                <w:bCs/>
                <w:lang w:eastAsia="ja-JP"/>
              </w:rPr>
              <w:t>ghid elaborat</w:t>
            </w:r>
          </w:p>
        </w:tc>
        <w:tc>
          <w:tcPr>
            <w:tcW w:w="473" w:type="pct"/>
            <w:shd w:val="clear" w:color="auto" w:fill="F2F2F2"/>
          </w:tcPr>
          <w:p w14:paraId="777E4301"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41DD6DFB"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66D11052" w14:textId="618FD76F" w:rsidR="00395D01" w:rsidRPr="00912996" w:rsidRDefault="00395D01" w:rsidP="00292396">
            <w:pPr>
              <w:rPr>
                <w:rFonts w:ascii="Calibri" w:hAnsi="Calibri"/>
                <w:bCs/>
                <w:lang w:eastAsia="ja-JP"/>
              </w:rPr>
            </w:pPr>
            <w:r w:rsidRPr="00912996">
              <w:rPr>
                <w:rFonts w:ascii="Calibri" w:hAnsi="Calibri"/>
                <w:bCs/>
                <w:lang w:eastAsia="ja-JP"/>
              </w:rPr>
              <w:t>2022</w:t>
            </w:r>
            <w:r w:rsidR="00FC152A">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tcPr>
          <w:p w14:paraId="7D6C0755"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tcPr>
          <w:p w14:paraId="34623726"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tcPr>
          <w:p w14:paraId="36EA7C9B"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35C988F7" w14:textId="77777777" w:rsidTr="00E16711">
        <w:trPr>
          <w:trHeight w:val="2376"/>
        </w:trPr>
        <w:tc>
          <w:tcPr>
            <w:tcW w:w="205" w:type="pct"/>
            <w:shd w:val="clear" w:color="auto" w:fill="F2F2F2"/>
          </w:tcPr>
          <w:p w14:paraId="0E9FA814" w14:textId="77777777" w:rsidR="00395D01" w:rsidRPr="00912996" w:rsidRDefault="00395D01" w:rsidP="00292396">
            <w:pPr>
              <w:rPr>
                <w:rFonts w:ascii="Calibri" w:hAnsi="Calibri"/>
                <w:bCs/>
                <w:lang w:eastAsia="ja-JP"/>
              </w:rPr>
            </w:pPr>
            <w:r w:rsidRPr="00912996">
              <w:rPr>
                <w:rFonts w:ascii="Calibri" w:hAnsi="Calibri"/>
                <w:bCs/>
                <w:lang w:eastAsia="ja-JP"/>
              </w:rPr>
              <w:t>33</w:t>
            </w:r>
          </w:p>
        </w:tc>
        <w:tc>
          <w:tcPr>
            <w:tcW w:w="1018" w:type="pct"/>
            <w:gridSpan w:val="2"/>
            <w:shd w:val="clear" w:color="auto" w:fill="F2F2F2"/>
          </w:tcPr>
          <w:p w14:paraId="1DFFC9A8" w14:textId="77777777" w:rsidR="00395D01" w:rsidRPr="00912996" w:rsidRDefault="00395D01" w:rsidP="00292396">
            <w:pPr>
              <w:rPr>
                <w:rFonts w:ascii="Calibri" w:hAnsi="Calibri"/>
                <w:bCs/>
                <w:lang w:eastAsia="ja-JP"/>
              </w:rPr>
            </w:pPr>
            <w:r w:rsidRPr="00912996">
              <w:rPr>
                <w:rFonts w:ascii="Calibri" w:hAnsi="Calibri"/>
                <w:bCs/>
                <w:lang w:eastAsia="ja-JP"/>
              </w:rPr>
              <w:t>Proiect de regenerare urbană a zonei istorice a Sectorului 2, Calea Moșilor - Str. Mântuleasa (zona cuprinsă între bulevardul Carol, str. Hristo Botev, Calea Călărașilor și str. Sfântul Ștefan): creșterea suprafeței de spații verzi (suprafață totală propusă: 11313 mp), creșterea numărului de arbori din spațiul public (în total 1228 arbori), amenajarea de locuri de joacă (suprafață de 944 mp), extinderea suprafețelor pietonale (suprafață totală de 62918 mp), amenajarea de piste de biciclete (1935 m) și reconfigurări de străzi</w:t>
            </w:r>
          </w:p>
        </w:tc>
        <w:tc>
          <w:tcPr>
            <w:tcW w:w="640" w:type="pct"/>
            <w:shd w:val="clear" w:color="auto" w:fill="F2F2F2"/>
          </w:tcPr>
          <w:p w14:paraId="78E7E2F5" w14:textId="77777777" w:rsidR="00395D01" w:rsidRPr="00912996" w:rsidRDefault="00395D01" w:rsidP="00292396">
            <w:pPr>
              <w:rPr>
                <w:rFonts w:ascii="Calibri" w:hAnsi="Calibri"/>
                <w:bCs/>
                <w:lang w:eastAsia="ja-JP"/>
              </w:rPr>
            </w:pPr>
            <w:r w:rsidRPr="00912996">
              <w:rPr>
                <w:rFonts w:ascii="Calibri" w:hAnsi="Calibri"/>
                <w:bCs/>
                <w:lang w:eastAsia="ja-JP"/>
              </w:rPr>
              <w:t>PS2, ADPS2, Banca Mondială</w:t>
            </w:r>
          </w:p>
        </w:tc>
        <w:tc>
          <w:tcPr>
            <w:tcW w:w="507" w:type="pct"/>
            <w:shd w:val="clear" w:color="auto" w:fill="F2F2F2"/>
          </w:tcPr>
          <w:p w14:paraId="72FAC24B" w14:textId="77777777" w:rsidR="00395D01" w:rsidRPr="00912996" w:rsidRDefault="00395D01" w:rsidP="00292396">
            <w:pPr>
              <w:rPr>
                <w:rFonts w:ascii="Calibri" w:hAnsi="Calibri"/>
                <w:bCs/>
                <w:lang w:eastAsia="ja-JP"/>
              </w:rPr>
            </w:pPr>
            <w:r w:rsidRPr="00912996">
              <w:rPr>
                <w:rFonts w:ascii="Calibri" w:hAnsi="Calibri"/>
                <w:bCs/>
                <w:lang w:eastAsia="ja-JP"/>
              </w:rPr>
              <w:t>proiect în curs de elaborare</w:t>
            </w:r>
          </w:p>
        </w:tc>
        <w:tc>
          <w:tcPr>
            <w:tcW w:w="473" w:type="pct"/>
            <w:shd w:val="clear" w:color="auto" w:fill="F2F2F2"/>
          </w:tcPr>
          <w:p w14:paraId="18FCA9AA" w14:textId="77777777" w:rsidR="00395D01"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3005A052" w14:textId="77777777" w:rsidR="00395D01"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62E44127" w14:textId="66489FDA" w:rsidR="00395D01" w:rsidRPr="00912996" w:rsidRDefault="00395D01" w:rsidP="00292396">
            <w:pPr>
              <w:rPr>
                <w:rFonts w:ascii="Calibri" w:hAnsi="Calibri"/>
                <w:bCs/>
                <w:lang w:eastAsia="ja-JP"/>
              </w:rPr>
            </w:pPr>
            <w:r w:rsidRPr="00912996">
              <w:rPr>
                <w:rFonts w:ascii="Calibri" w:hAnsi="Calibri"/>
                <w:bCs/>
                <w:lang w:eastAsia="ja-JP"/>
              </w:rPr>
              <w:t>2022</w:t>
            </w:r>
            <w:r w:rsidR="00FC152A">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tcPr>
          <w:p w14:paraId="69A46D6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tcPr>
          <w:p w14:paraId="6406DCE4"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tcPr>
          <w:p w14:paraId="7654FF0D"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5BD4C3BA" w14:textId="77777777" w:rsidTr="00E16711">
        <w:trPr>
          <w:trHeight w:val="3432"/>
        </w:trPr>
        <w:tc>
          <w:tcPr>
            <w:tcW w:w="205" w:type="pct"/>
            <w:shd w:val="clear" w:color="auto" w:fill="F2F2F2"/>
          </w:tcPr>
          <w:p w14:paraId="0F982D4C" w14:textId="77777777" w:rsidR="00395D01" w:rsidRPr="00912996" w:rsidRDefault="00395D01" w:rsidP="00292396">
            <w:pPr>
              <w:rPr>
                <w:rFonts w:ascii="Calibri" w:hAnsi="Calibri"/>
                <w:bCs/>
                <w:lang w:eastAsia="ja-JP"/>
              </w:rPr>
            </w:pPr>
            <w:r w:rsidRPr="00912996">
              <w:rPr>
                <w:rFonts w:ascii="Calibri" w:hAnsi="Calibri"/>
                <w:bCs/>
                <w:lang w:eastAsia="ja-JP"/>
              </w:rPr>
              <w:t>34</w:t>
            </w:r>
          </w:p>
        </w:tc>
        <w:tc>
          <w:tcPr>
            <w:tcW w:w="1018" w:type="pct"/>
            <w:gridSpan w:val="2"/>
            <w:shd w:val="clear" w:color="auto" w:fill="F2F2F2"/>
          </w:tcPr>
          <w:p w14:paraId="5C0E6D9C" w14:textId="77777777" w:rsidR="00395D01" w:rsidRPr="00912996" w:rsidRDefault="00395D01" w:rsidP="00292396">
            <w:pPr>
              <w:rPr>
                <w:rFonts w:ascii="Calibri" w:hAnsi="Calibri"/>
                <w:bCs/>
                <w:lang w:eastAsia="ja-JP"/>
              </w:rPr>
            </w:pPr>
            <w:r w:rsidRPr="00912996">
              <w:rPr>
                <w:rFonts w:ascii="Calibri" w:hAnsi="Calibri"/>
                <w:bCs/>
                <w:lang w:eastAsia="ja-JP"/>
              </w:rPr>
              <w:t>Reamenajarea/reabilitarea locurilor de joacă aferente ansamblurilor de locuințe – 25 locații amplasate pe Str. Delfinului, Aleea Socului, Str. Cernăuți, Aleea Codlea, Șos. Pantelimon, Bd. Basarabia, Bd. Mihai Bravu, Bd. Ștefan cel Mare, Calea Moșilor, Str. Petre Antonescu, Str. Visarion, Șos. Iancului, Str. Căminului, Str. Fabrica de Gheață, Str. Popa Nicolae, Str. Abanosului, Aleea Sinaia, Str. Avrig</w:t>
            </w:r>
          </w:p>
        </w:tc>
        <w:tc>
          <w:tcPr>
            <w:tcW w:w="640" w:type="pct"/>
            <w:shd w:val="clear" w:color="auto" w:fill="F2F2F2"/>
          </w:tcPr>
          <w:p w14:paraId="308FF1EF"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tcPr>
          <w:p w14:paraId="1D4125C2" w14:textId="77777777" w:rsidR="00395D01" w:rsidRPr="00912996" w:rsidRDefault="00395D01" w:rsidP="00292396">
            <w:pPr>
              <w:rPr>
                <w:rFonts w:ascii="Calibri" w:hAnsi="Calibri"/>
                <w:bCs/>
                <w:lang w:eastAsia="ja-JP"/>
              </w:rPr>
            </w:pPr>
            <w:r w:rsidRPr="00E23CCD">
              <w:rPr>
                <w:rFonts w:ascii="Calibri" w:hAnsi="Calibri"/>
                <w:bCs/>
                <w:lang w:eastAsia="ja-JP"/>
              </w:rPr>
              <w:t>Finalizate 2020-2022</w:t>
            </w:r>
          </w:p>
        </w:tc>
        <w:tc>
          <w:tcPr>
            <w:tcW w:w="473" w:type="pct"/>
            <w:shd w:val="clear" w:color="auto" w:fill="F2F2F2"/>
          </w:tcPr>
          <w:p w14:paraId="67524556" w14:textId="77777777" w:rsidR="00395D01" w:rsidRPr="00912996" w:rsidRDefault="00395D01" w:rsidP="00292396">
            <w:pPr>
              <w:rPr>
                <w:rFonts w:ascii="Calibri" w:hAnsi="Calibri"/>
                <w:bCs/>
                <w:lang w:eastAsia="ja-JP"/>
              </w:rPr>
            </w:pPr>
            <w:r w:rsidRPr="00912996">
              <w:rPr>
                <w:rFonts w:ascii="Calibri" w:hAnsi="Calibri"/>
                <w:bCs/>
                <w:lang w:eastAsia="ja-JP"/>
              </w:rPr>
              <w:t>15,000,000</w:t>
            </w:r>
          </w:p>
        </w:tc>
        <w:tc>
          <w:tcPr>
            <w:tcW w:w="411" w:type="pct"/>
            <w:shd w:val="clear" w:color="auto" w:fill="F2F2F2"/>
          </w:tcPr>
          <w:p w14:paraId="5A3AE77B" w14:textId="77777777" w:rsidR="00395D01" w:rsidRPr="00912996" w:rsidRDefault="00395D01" w:rsidP="00292396">
            <w:pPr>
              <w:rPr>
                <w:rFonts w:ascii="Calibri" w:hAnsi="Calibri"/>
                <w:bCs/>
                <w:lang w:eastAsia="ja-JP"/>
              </w:rPr>
            </w:pPr>
            <w:r w:rsidRPr="00912996">
              <w:rPr>
                <w:rFonts w:ascii="Calibri" w:hAnsi="Calibri"/>
                <w:bCs/>
                <w:lang w:eastAsia="ja-JP"/>
              </w:rPr>
              <w:t>3,061,224</w:t>
            </w:r>
          </w:p>
        </w:tc>
        <w:tc>
          <w:tcPr>
            <w:tcW w:w="347" w:type="pct"/>
            <w:shd w:val="clear" w:color="auto" w:fill="F2F2F2"/>
          </w:tcPr>
          <w:p w14:paraId="20CF4176" w14:textId="0B2968EE" w:rsidR="00395D01" w:rsidRPr="00912996" w:rsidRDefault="00395D01" w:rsidP="00292396">
            <w:pPr>
              <w:rPr>
                <w:rFonts w:ascii="Calibri" w:hAnsi="Calibri"/>
                <w:bCs/>
                <w:lang w:eastAsia="ja-JP"/>
              </w:rPr>
            </w:pPr>
            <w:r w:rsidRPr="00912996">
              <w:rPr>
                <w:rFonts w:ascii="Calibri" w:hAnsi="Calibri"/>
                <w:bCs/>
                <w:lang w:eastAsia="ja-JP"/>
              </w:rPr>
              <w:t>2023</w:t>
            </w:r>
            <w:r w:rsidR="00FC152A">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tcPr>
          <w:p w14:paraId="4A0F154C"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Bugetul local, Alte surse de finanțare</w:t>
            </w:r>
          </w:p>
        </w:tc>
        <w:tc>
          <w:tcPr>
            <w:tcW w:w="433" w:type="pct"/>
            <w:shd w:val="clear" w:color="auto" w:fill="F2F2F2"/>
          </w:tcPr>
          <w:p w14:paraId="3FB0DEC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tcPr>
          <w:p w14:paraId="7F5E32EE" w14:textId="77777777" w:rsidR="00395D01" w:rsidRPr="00912996" w:rsidRDefault="00395D01" w:rsidP="00292396">
            <w:pPr>
              <w:rPr>
                <w:rFonts w:ascii="Calibri" w:hAnsi="Calibri"/>
                <w:bCs/>
                <w:lang w:eastAsia="ja-JP"/>
              </w:rPr>
            </w:pPr>
            <w:r w:rsidRPr="00912996">
              <w:rPr>
                <w:rFonts w:ascii="Calibri" w:hAnsi="Calibri"/>
                <w:bCs/>
                <w:lang w:eastAsia="ja-JP"/>
              </w:rPr>
              <w:t>PUZ S2</w:t>
            </w:r>
          </w:p>
        </w:tc>
      </w:tr>
      <w:tr w:rsidR="00E16711" w:rsidRPr="00912996" w14:paraId="09889D3A" w14:textId="77777777" w:rsidTr="00E16711">
        <w:trPr>
          <w:trHeight w:val="1056"/>
        </w:trPr>
        <w:tc>
          <w:tcPr>
            <w:tcW w:w="205" w:type="pct"/>
            <w:shd w:val="clear" w:color="auto" w:fill="F2F2F2"/>
            <w:hideMark/>
          </w:tcPr>
          <w:p w14:paraId="0C65ACBC" w14:textId="77777777" w:rsidR="00395D01" w:rsidRPr="00912996" w:rsidRDefault="00395D01" w:rsidP="00292396">
            <w:pPr>
              <w:rPr>
                <w:rFonts w:ascii="Calibri" w:hAnsi="Calibri"/>
                <w:bCs/>
                <w:lang w:eastAsia="ja-JP"/>
              </w:rPr>
            </w:pPr>
            <w:r w:rsidRPr="00912996">
              <w:rPr>
                <w:rFonts w:ascii="Calibri" w:hAnsi="Calibri"/>
                <w:bCs/>
                <w:lang w:eastAsia="ja-JP"/>
              </w:rPr>
              <w:t>35</w:t>
            </w:r>
          </w:p>
        </w:tc>
        <w:tc>
          <w:tcPr>
            <w:tcW w:w="1018" w:type="pct"/>
            <w:gridSpan w:val="2"/>
            <w:shd w:val="clear" w:color="auto" w:fill="F2F2F2"/>
            <w:hideMark/>
          </w:tcPr>
          <w:p w14:paraId="33A06CEF" w14:textId="77777777" w:rsidR="00395D01" w:rsidRPr="00912996" w:rsidRDefault="00395D01" w:rsidP="00292396">
            <w:pPr>
              <w:rPr>
                <w:rFonts w:ascii="Calibri" w:hAnsi="Calibri"/>
                <w:bCs/>
                <w:lang w:eastAsia="ja-JP"/>
              </w:rPr>
            </w:pPr>
            <w:r w:rsidRPr="00912996">
              <w:rPr>
                <w:rFonts w:ascii="Calibri" w:hAnsi="Calibri"/>
                <w:bCs/>
                <w:lang w:eastAsia="ja-JP"/>
              </w:rPr>
              <w:t>Proiect integrat de regenerare urbana, cartier integrat Centru Vechi- Zona Armeneasca</w:t>
            </w:r>
          </w:p>
        </w:tc>
        <w:tc>
          <w:tcPr>
            <w:tcW w:w="640" w:type="pct"/>
            <w:shd w:val="clear" w:color="auto" w:fill="F2F2F2"/>
            <w:hideMark/>
          </w:tcPr>
          <w:p w14:paraId="2C7FCEFD" w14:textId="77777777" w:rsidR="00395D01" w:rsidRPr="00912996" w:rsidRDefault="00395D01" w:rsidP="00292396">
            <w:pPr>
              <w:rPr>
                <w:rFonts w:ascii="Calibri" w:hAnsi="Calibri"/>
                <w:bCs/>
                <w:lang w:eastAsia="ja-JP"/>
              </w:rPr>
            </w:pPr>
            <w:r w:rsidRPr="00912996">
              <w:rPr>
                <w:rFonts w:ascii="Calibri" w:hAnsi="Calibri"/>
                <w:bCs/>
                <w:lang w:eastAsia="ja-JP"/>
              </w:rPr>
              <w:t>PMB, PS2, ADPS2</w:t>
            </w:r>
          </w:p>
        </w:tc>
        <w:tc>
          <w:tcPr>
            <w:tcW w:w="507" w:type="pct"/>
            <w:shd w:val="clear" w:color="auto" w:fill="F2F2F2"/>
            <w:hideMark/>
          </w:tcPr>
          <w:p w14:paraId="3E34824C" w14:textId="77777777" w:rsidR="00395D01" w:rsidRPr="00912996" w:rsidRDefault="00395D01" w:rsidP="00292396">
            <w:pPr>
              <w:rPr>
                <w:rFonts w:ascii="Calibri" w:hAnsi="Calibri"/>
                <w:bCs/>
                <w:lang w:eastAsia="ja-JP"/>
              </w:rPr>
            </w:pPr>
            <w:r w:rsidRPr="00912996">
              <w:rPr>
                <w:rFonts w:ascii="Calibri" w:hAnsi="Calibri"/>
                <w:bCs/>
                <w:lang w:eastAsia="ja-JP"/>
              </w:rPr>
              <w:t>În implementare - proiect în curs de elaborare</w:t>
            </w:r>
          </w:p>
        </w:tc>
        <w:tc>
          <w:tcPr>
            <w:tcW w:w="473" w:type="pct"/>
            <w:shd w:val="clear" w:color="auto" w:fill="F2F2F2"/>
            <w:hideMark/>
          </w:tcPr>
          <w:p w14:paraId="7F7774E6" w14:textId="77777777" w:rsidR="00395D01" w:rsidRPr="00912996" w:rsidRDefault="00395D01" w:rsidP="00292396">
            <w:pPr>
              <w:rPr>
                <w:rFonts w:ascii="Calibri" w:hAnsi="Calibri"/>
                <w:bCs/>
                <w:lang w:eastAsia="ja-JP"/>
              </w:rPr>
            </w:pPr>
            <w:r w:rsidRPr="00912996">
              <w:rPr>
                <w:rFonts w:ascii="Calibri" w:hAnsi="Calibri"/>
                <w:bCs/>
                <w:lang w:eastAsia="ja-JP"/>
              </w:rPr>
              <w:t>245,000,000</w:t>
            </w:r>
          </w:p>
        </w:tc>
        <w:tc>
          <w:tcPr>
            <w:tcW w:w="411" w:type="pct"/>
            <w:shd w:val="clear" w:color="auto" w:fill="F2F2F2"/>
            <w:hideMark/>
          </w:tcPr>
          <w:p w14:paraId="24CC8CD9" w14:textId="77777777" w:rsidR="00395D01" w:rsidRPr="00912996" w:rsidRDefault="00395D01" w:rsidP="00292396">
            <w:pPr>
              <w:rPr>
                <w:rFonts w:ascii="Calibri" w:hAnsi="Calibri"/>
                <w:bCs/>
                <w:lang w:eastAsia="ja-JP"/>
              </w:rPr>
            </w:pPr>
            <w:r w:rsidRPr="00912996">
              <w:rPr>
                <w:rFonts w:ascii="Calibri" w:hAnsi="Calibri"/>
                <w:bCs/>
                <w:lang w:eastAsia="ja-JP"/>
              </w:rPr>
              <w:t>50,000,000</w:t>
            </w:r>
          </w:p>
        </w:tc>
        <w:tc>
          <w:tcPr>
            <w:tcW w:w="347" w:type="pct"/>
            <w:shd w:val="clear" w:color="auto" w:fill="F2F2F2"/>
            <w:hideMark/>
          </w:tcPr>
          <w:p w14:paraId="56442CE2" w14:textId="4EAB3A2B" w:rsidR="00395D01" w:rsidRPr="00912996" w:rsidRDefault="00395D01" w:rsidP="00292396">
            <w:pPr>
              <w:rPr>
                <w:rFonts w:ascii="Calibri" w:hAnsi="Calibri"/>
                <w:bCs/>
                <w:lang w:eastAsia="ja-JP"/>
              </w:rPr>
            </w:pPr>
            <w:r w:rsidRPr="00912996">
              <w:rPr>
                <w:rFonts w:ascii="Calibri" w:hAnsi="Calibri"/>
                <w:bCs/>
                <w:lang w:eastAsia="ja-JP"/>
              </w:rPr>
              <w:t>2022</w:t>
            </w:r>
            <w:r w:rsidR="00FC152A">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07AC1F5"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Alte surse de finanțare</w:t>
            </w:r>
          </w:p>
        </w:tc>
        <w:tc>
          <w:tcPr>
            <w:tcW w:w="433" w:type="pct"/>
            <w:shd w:val="clear" w:color="auto" w:fill="F2F2F2"/>
            <w:hideMark/>
          </w:tcPr>
          <w:p w14:paraId="506F7E0A"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0431BA6"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C4CBB9D" w14:textId="77777777" w:rsidTr="00E16711">
        <w:trPr>
          <w:trHeight w:val="620"/>
        </w:trPr>
        <w:tc>
          <w:tcPr>
            <w:tcW w:w="205" w:type="pct"/>
            <w:shd w:val="clear" w:color="auto" w:fill="F2F2F2"/>
            <w:hideMark/>
          </w:tcPr>
          <w:p w14:paraId="59047F74" w14:textId="77777777" w:rsidR="00395D01" w:rsidRPr="00912996" w:rsidRDefault="00395D01" w:rsidP="00292396">
            <w:pPr>
              <w:rPr>
                <w:rFonts w:ascii="Calibri" w:hAnsi="Calibri"/>
                <w:bCs/>
                <w:lang w:eastAsia="ja-JP"/>
              </w:rPr>
            </w:pPr>
            <w:r w:rsidRPr="00912996">
              <w:rPr>
                <w:rFonts w:ascii="Calibri" w:hAnsi="Calibri"/>
                <w:bCs/>
                <w:lang w:eastAsia="ja-JP"/>
              </w:rPr>
              <w:t>36</w:t>
            </w:r>
          </w:p>
        </w:tc>
        <w:tc>
          <w:tcPr>
            <w:tcW w:w="1018" w:type="pct"/>
            <w:gridSpan w:val="2"/>
            <w:shd w:val="clear" w:color="auto" w:fill="F2F2F2"/>
            <w:hideMark/>
          </w:tcPr>
          <w:p w14:paraId="1C9A66A0" w14:textId="77777777" w:rsidR="00395D01" w:rsidRPr="00912996" w:rsidRDefault="00395D01" w:rsidP="00292396">
            <w:pPr>
              <w:rPr>
                <w:rFonts w:ascii="Calibri" w:hAnsi="Calibri"/>
                <w:bCs/>
                <w:lang w:eastAsia="ja-JP"/>
              </w:rPr>
            </w:pPr>
            <w:r w:rsidRPr="00912996">
              <w:rPr>
                <w:rFonts w:ascii="Calibri" w:hAnsi="Calibri"/>
                <w:bCs/>
                <w:lang w:eastAsia="ja-JP"/>
              </w:rPr>
              <w:t>Reamenajarea de zone verzi: zonele Lacul Tei, Șos. Iancului, Str. Maior Băcilă, Bd. Mihai Bravu, Șos. Colentina, Șos. Vergului, Șos. Petricani, Bd. Pierre de Coubertin, Șos. Ștefan Cel Mare, Dna. Ghica (scuaruri, platbande și extensii), zona Obor, Rond Obor, Șos. Ștefan cel Mare nr. 230 (Poșta), Șos. Stefan cel Mare nr. 226, Bd. Mihai Bravu (în spatele cofetăriei Alice, Metafora Vieții și fântâna electroaparataj), intersecția Bd. Matei Voievod cu str. Teleajen, intersecția str. Popa Nan cu str. Țepeș Vodă, Bd. Basarabia, str. Stănescu Gheorghe nr. 4 (loc de joacă în spatele școlii nr.46), Bd. Chișinău</w:t>
            </w:r>
          </w:p>
        </w:tc>
        <w:tc>
          <w:tcPr>
            <w:tcW w:w="640" w:type="pct"/>
            <w:shd w:val="clear" w:color="auto" w:fill="F2F2F2"/>
            <w:hideMark/>
          </w:tcPr>
          <w:p w14:paraId="6A5FC7A9" w14:textId="77777777" w:rsidR="00395D01" w:rsidRPr="00912996" w:rsidRDefault="00395D01" w:rsidP="00292396">
            <w:pPr>
              <w:rPr>
                <w:rFonts w:ascii="Calibri" w:hAnsi="Calibri"/>
                <w:bCs/>
                <w:lang w:eastAsia="ja-JP"/>
              </w:rPr>
            </w:pPr>
            <w:r w:rsidRPr="00912996">
              <w:rPr>
                <w:rFonts w:ascii="Calibri" w:hAnsi="Calibri"/>
                <w:bCs/>
                <w:lang w:eastAsia="ja-JP"/>
              </w:rPr>
              <w:t>PMB, PS2, ADPS2</w:t>
            </w:r>
          </w:p>
        </w:tc>
        <w:tc>
          <w:tcPr>
            <w:tcW w:w="507" w:type="pct"/>
            <w:shd w:val="clear" w:color="auto" w:fill="F2F2F2"/>
            <w:hideMark/>
          </w:tcPr>
          <w:p w14:paraId="777B9FCB" w14:textId="77777777" w:rsidR="00395D01" w:rsidRPr="00912996" w:rsidRDefault="00395D01" w:rsidP="00292396">
            <w:pPr>
              <w:rPr>
                <w:rFonts w:ascii="Calibri" w:hAnsi="Calibri"/>
                <w:bCs/>
                <w:lang w:eastAsia="ja-JP"/>
              </w:rPr>
            </w:pPr>
            <w:r w:rsidRPr="00E23CCD">
              <w:rPr>
                <w:rFonts w:ascii="Calibri" w:hAnsi="Calibri"/>
                <w:bCs/>
                <w:lang w:eastAsia="ja-JP"/>
              </w:rPr>
              <w:t>Finalizate 2020-2022</w:t>
            </w:r>
          </w:p>
        </w:tc>
        <w:tc>
          <w:tcPr>
            <w:tcW w:w="473" w:type="pct"/>
            <w:shd w:val="clear" w:color="auto" w:fill="F2F2F2"/>
            <w:hideMark/>
          </w:tcPr>
          <w:p w14:paraId="5CAE232F" w14:textId="77777777" w:rsidR="00395D01" w:rsidRPr="00912996" w:rsidRDefault="00395D01" w:rsidP="00292396">
            <w:pPr>
              <w:rPr>
                <w:rFonts w:ascii="Calibri" w:hAnsi="Calibri"/>
                <w:bCs/>
                <w:lang w:eastAsia="ja-JP"/>
              </w:rPr>
            </w:pPr>
            <w:r w:rsidRPr="00912996">
              <w:rPr>
                <w:rFonts w:ascii="Calibri" w:hAnsi="Calibri"/>
                <w:bCs/>
                <w:lang w:eastAsia="ja-JP"/>
              </w:rPr>
              <w:t>15,000,000</w:t>
            </w:r>
          </w:p>
        </w:tc>
        <w:tc>
          <w:tcPr>
            <w:tcW w:w="411" w:type="pct"/>
            <w:shd w:val="clear" w:color="auto" w:fill="F2F2F2"/>
            <w:hideMark/>
          </w:tcPr>
          <w:p w14:paraId="1F88A668" w14:textId="77777777" w:rsidR="00395D01" w:rsidRPr="00912996" w:rsidRDefault="00395D01" w:rsidP="00292396">
            <w:pPr>
              <w:rPr>
                <w:rFonts w:ascii="Calibri" w:hAnsi="Calibri"/>
                <w:bCs/>
                <w:lang w:eastAsia="ja-JP"/>
              </w:rPr>
            </w:pPr>
            <w:r w:rsidRPr="00912996">
              <w:rPr>
                <w:rFonts w:ascii="Calibri" w:hAnsi="Calibri"/>
                <w:bCs/>
                <w:lang w:eastAsia="ja-JP"/>
              </w:rPr>
              <w:t>3,061,224</w:t>
            </w:r>
          </w:p>
        </w:tc>
        <w:tc>
          <w:tcPr>
            <w:tcW w:w="347" w:type="pct"/>
            <w:shd w:val="clear" w:color="auto" w:fill="F2F2F2"/>
            <w:hideMark/>
          </w:tcPr>
          <w:p w14:paraId="58649F93" w14:textId="19E356F2" w:rsidR="00395D01" w:rsidRPr="00912996" w:rsidRDefault="00395D01" w:rsidP="00292396">
            <w:pPr>
              <w:rPr>
                <w:rFonts w:ascii="Calibri" w:hAnsi="Calibri"/>
                <w:bCs/>
                <w:lang w:eastAsia="ja-JP"/>
              </w:rPr>
            </w:pPr>
            <w:r w:rsidRPr="00912996">
              <w:rPr>
                <w:rFonts w:ascii="Calibri" w:hAnsi="Calibri"/>
                <w:bCs/>
                <w:lang w:eastAsia="ja-JP"/>
              </w:rPr>
              <w:t>2023</w:t>
            </w:r>
            <w:r w:rsidR="00FC152A">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74AA24C"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bugetul de stat, PNRR, CNI, alte surse de finanțare</w:t>
            </w:r>
          </w:p>
        </w:tc>
        <w:tc>
          <w:tcPr>
            <w:tcW w:w="433" w:type="pct"/>
            <w:shd w:val="clear" w:color="auto" w:fill="F2F2F2"/>
            <w:hideMark/>
          </w:tcPr>
          <w:p w14:paraId="7540F38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7CC8665" w14:textId="77777777" w:rsidR="00395D01" w:rsidRPr="00912996" w:rsidRDefault="00395D01" w:rsidP="00292396">
            <w:pPr>
              <w:rPr>
                <w:rFonts w:ascii="Calibri" w:hAnsi="Calibri"/>
                <w:bCs/>
                <w:lang w:eastAsia="ja-JP"/>
              </w:rPr>
            </w:pPr>
            <w:r w:rsidRPr="00912996">
              <w:rPr>
                <w:rFonts w:ascii="Calibri" w:hAnsi="Calibri"/>
                <w:bCs/>
                <w:lang w:eastAsia="ja-JP"/>
              </w:rPr>
              <w:t>PUZ S2</w:t>
            </w:r>
          </w:p>
        </w:tc>
      </w:tr>
      <w:tr w:rsidR="00E16711" w:rsidRPr="00912996" w14:paraId="4E56ECC3" w14:textId="77777777" w:rsidTr="00E16711">
        <w:trPr>
          <w:trHeight w:val="620"/>
        </w:trPr>
        <w:tc>
          <w:tcPr>
            <w:tcW w:w="205" w:type="pct"/>
            <w:shd w:val="clear" w:color="auto" w:fill="F2F2F2"/>
            <w:hideMark/>
          </w:tcPr>
          <w:p w14:paraId="06C65798" w14:textId="77777777" w:rsidR="00395D01" w:rsidRPr="00912996" w:rsidRDefault="00395D01" w:rsidP="00292396">
            <w:pPr>
              <w:rPr>
                <w:rFonts w:ascii="Calibri" w:hAnsi="Calibri"/>
                <w:bCs/>
                <w:lang w:eastAsia="ja-JP"/>
              </w:rPr>
            </w:pPr>
            <w:r w:rsidRPr="00912996">
              <w:rPr>
                <w:rFonts w:ascii="Calibri" w:hAnsi="Calibri"/>
                <w:bCs/>
                <w:lang w:eastAsia="ja-JP"/>
              </w:rPr>
              <w:t>37</w:t>
            </w:r>
          </w:p>
        </w:tc>
        <w:tc>
          <w:tcPr>
            <w:tcW w:w="1018" w:type="pct"/>
            <w:gridSpan w:val="2"/>
            <w:shd w:val="clear" w:color="auto" w:fill="F2F2F2"/>
            <w:hideMark/>
          </w:tcPr>
          <w:p w14:paraId="021B28BB" w14:textId="77777777" w:rsidR="00395D01" w:rsidRPr="00912996" w:rsidRDefault="00395D01" w:rsidP="00292396">
            <w:pPr>
              <w:rPr>
                <w:rFonts w:ascii="Calibri" w:hAnsi="Calibri"/>
                <w:bCs/>
                <w:lang w:eastAsia="ja-JP"/>
              </w:rPr>
            </w:pPr>
            <w:r w:rsidRPr="00912996">
              <w:rPr>
                <w:rFonts w:ascii="Calibri" w:hAnsi="Calibri"/>
                <w:bCs/>
                <w:lang w:eastAsia="ja-JP"/>
              </w:rPr>
              <w:t>Program de educare a populației cu privire la amenajarea și mentenanța spațiilor verzi adiacente locuințelor colective. Asigurarea, prin intermediul ADPS2, a accesului locuitorilor la specialiști (peisagiști/ horticultori) pentru a se asigura amenajarea durabilă a spațiilor verzi</w:t>
            </w:r>
          </w:p>
        </w:tc>
        <w:tc>
          <w:tcPr>
            <w:tcW w:w="640" w:type="pct"/>
            <w:shd w:val="clear" w:color="auto" w:fill="F2F2F2"/>
            <w:hideMark/>
          </w:tcPr>
          <w:p w14:paraId="66F63E7C" w14:textId="77777777" w:rsidR="00395D01" w:rsidRPr="00912996" w:rsidRDefault="00395D01" w:rsidP="00292396">
            <w:pPr>
              <w:rPr>
                <w:rFonts w:ascii="Calibri" w:hAnsi="Calibri"/>
                <w:bCs/>
                <w:lang w:eastAsia="ja-JP"/>
              </w:rPr>
            </w:pPr>
            <w:r w:rsidRPr="00912996">
              <w:rPr>
                <w:rFonts w:ascii="Calibri" w:hAnsi="Calibri"/>
                <w:bCs/>
                <w:lang w:eastAsia="ja-JP"/>
              </w:rPr>
              <w:t>PS2, ADPS2, ONG-uri, PMB, mediul academic</w:t>
            </w:r>
          </w:p>
        </w:tc>
        <w:tc>
          <w:tcPr>
            <w:tcW w:w="507" w:type="pct"/>
            <w:shd w:val="clear" w:color="auto" w:fill="F2F2F2"/>
            <w:hideMark/>
          </w:tcPr>
          <w:p w14:paraId="0FC80FD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9156296" w14:textId="77777777" w:rsidR="00395D01" w:rsidRPr="00912996" w:rsidRDefault="00395D01" w:rsidP="00292396">
            <w:pPr>
              <w:rPr>
                <w:rFonts w:ascii="Calibri" w:hAnsi="Calibri"/>
                <w:bCs/>
                <w:lang w:eastAsia="ja-JP"/>
              </w:rPr>
            </w:pPr>
            <w:r w:rsidRPr="00912996">
              <w:rPr>
                <w:rFonts w:ascii="Calibri" w:hAnsi="Calibri"/>
                <w:bCs/>
                <w:lang w:eastAsia="ja-JP"/>
              </w:rPr>
              <w:t>15,000,000</w:t>
            </w:r>
          </w:p>
        </w:tc>
        <w:tc>
          <w:tcPr>
            <w:tcW w:w="411" w:type="pct"/>
            <w:shd w:val="clear" w:color="auto" w:fill="F2F2F2"/>
            <w:hideMark/>
          </w:tcPr>
          <w:p w14:paraId="1473CB0B" w14:textId="77777777" w:rsidR="00395D01" w:rsidRPr="00912996" w:rsidRDefault="00395D01" w:rsidP="00292396">
            <w:pPr>
              <w:rPr>
                <w:rFonts w:ascii="Calibri" w:hAnsi="Calibri"/>
                <w:bCs/>
                <w:lang w:eastAsia="ja-JP"/>
              </w:rPr>
            </w:pPr>
            <w:r w:rsidRPr="00912996">
              <w:rPr>
                <w:rFonts w:ascii="Calibri" w:hAnsi="Calibri"/>
                <w:bCs/>
                <w:lang w:eastAsia="ja-JP"/>
              </w:rPr>
              <w:t>3,061,224</w:t>
            </w:r>
          </w:p>
        </w:tc>
        <w:tc>
          <w:tcPr>
            <w:tcW w:w="347" w:type="pct"/>
            <w:shd w:val="clear" w:color="auto" w:fill="F2F2F2"/>
            <w:hideMark/>
          </w:tcPr>
          <w:p w14:paraId="39412177" w14:textId="61A5EF0F" w:rsidR="00395D01" w:rsidRPr="00912996" w:rsidRDefault="00395D01" w:rsidP="00292396">
            <w:pPr>
              <w:rPr>
                <w:rFonts w:ascii="Calibri" w:hAnsi="Calibri"/>
                <w:bCs/>
                <w:lang w:eastAsia="ja-JP"/>
              </w:rPr>
            </w:pPr>
            <w:r w:rsidRPr="00912996">
              <w:rPr>
                <w:rFonts w:ascii="Calibri" w:hAnsi="Calibri"/>
                <w:bCs/>
                <w:lang w:eastAsia="ja-JP"/>
              </w:rPr>
              <w:t>2023</w:t>
            </w:r>
            <w:r w:rsidR="00DB7637">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2AD9C1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bugetul de stat, PNRR C10, CNI, alte surse de finanțare</w:t>
            </w:r>
          </w:p>
        </w:tc>
        <w:tc>
          <w:tcPr>
            <w:tcW w:w="433" w:type="pct"/>
            <w:shd w:val="clear" w:color="auto" w:fill="F2F2F2"/>
            <w:hideMark/>
          </w:tcPr>
          <w:p w14:paraId="294ABBC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311D64C"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consultarea locuitorilor, grup de lucru tematic</w:t>
            </w:r>
          </w:p>
        </w:tc>
      </w:tr>
      <w:tr w:rsidR="00E16711" w:rsidRPr="00912996" w14:paraId="0C39D7A6" w14:textId="77777777" w:rsidTr="00E16711">
        <w:trPr>
          <w:trHeight w:val="1584"/>
        </w:trPr>
        <w:tc>
          <w:tcPr>
            <w:tcW w:w="205" w:type="pct"/>
            <w:shd w:val="clear" w:color="auto" w:fill="F2F2F2"/>
            <w:hideMark/>
          </w:tcPr>
          <w:p w14:paraId="77C5D5CB" w14:textId="77777777" w:rsidR="00395D01" w:rsidRPr="00912996" w:rsidRDefault="00395D01" w:rsidP="00292396">
            <w:pPr>
              <w:rPr>
                <w:rFonts w:ascii="Calibri" w:hAnsi="Calibri"/>
                <w:bCs/>
                <w:lang w:eastAsia="ja-JP"/>
              </w:rPr>
            </w:pPr>
            <w:r w:rsidRPr="00912996">
              <w:rPr>
                <w:rFonts w:ascii="Calibri" w:hAnsi="Calibri"/>
                <w:bCs/>
                <w:lang w:eastAsia="ja-JP"/>
              </w:rPr>
              <w:t>38</w:t>
            </w:r>
          </w:p>
        </w:tc>
        <w:tc>
          <w:tcPr>
            <w:tcW w:w="1018" w:type="pct"/>
            <w:gridSpan w:val="2"/>
            <w:shd w:val="clear" w:color="auto" w:fill="F2F2F2"/>
            <w:hideMark/>
          </w:tcPr>
          <w:p w14:paraId="7BA7CE98" w14:textId="77777777" w:rsidR="00395D01" w:rsidRPr="00912996" w:rsidRDefault="00395D01" w:rsidP="00292396">
            <w:pPr>
              <w:rPr>
                <w:rFonts w:ascii="Calibri" w:hAnsi="Calibri"/>
                <w:bCs/>
                <w:lang w:eastAsia="ja-JP"/>
              </w:rPr>
            </w:pPr>
            <w:r w:rsidRPr="00912996">
              <w:rPr>
                <w:rFonts w:ascii="Calibri" w:hAnsi="Calibri"/>
                <w:bCs/>
                <w:lang w:eastAsia="ja-JP"/>
              </w:rPr>
              <w:t>Sisteme de supraveghere video a spațiilor publice din cadrul ansamblurilor de locuințe colective</w:t>
            </w:r>
          </w:p>
        </w:tc>
        <w:tc>
          <w:tcPr>
            <w:tcW w:w="640" w:type="pct"/>
            <w:shd w:val="clear" w:color="auto" w:fill="F2F2F2"/>
            <w:hideMark/>
          </w:tcPr>
          <w:p w14:paraId="6FAD952D"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140D83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FB342A4" w14:textId="77777777" w:rsidR="00395D01" w:rsidRPr="00912996" w:rsidRDefault="00395D01" w:rsidP="00292396">
            <w:pPr>
              <w:rPr>
                <w:rFonts w:ascii="Calibri" w:hAnsi="Calibri"/>
                <w:bCs/>
                <w:lang w:eastAsia="ja-JP"/>
              </w:rPr>
            </w:pPr>
            <w:r w:rsidRPr="00912996">
              <w:rPr>
                <w:rFonts w:ascii="Calibri" w:hAnsi="Calibri"/>
                <w:bCs/>
                <w:lang w:eastAsia="ja-JP"/>
              </w:rPr>
              <w:t>6,000,000</w:t>
            </w:r>
          </w:p>
        </w:tc>
        <w:tc>
          <w:tcPr>
            <w:tcW w:w="411" w:type="pct"/>
            <w:shd w:val="clear" w:color="auto" w:fill="F2F2F2"/>
            <w:hideMark/>
          </w:tcPr>
          <w:p w14:paraId="7B10823D" w14:textId="77777777" w:rsidR="00395D01" w:rsidRPr="00912996" w:rsidRDefault="00395D01" w:rsidP="00292396">
            <w:pPr>
              <w:rPr>
                <w:rFonts w:ascii="Calibri" w:hAnsi="Calibri"/>
                <w:bCs/>
                <w:lang w:eastAsia="ja-JP"/>
              </w:rPr>
            </w:pPr>
            <w:r w:rsidRPr="00912996">
              <w:rPr>
                <w:rFonts w:ascii="Calibri" w:hAnsi="Calibri"/>
                <w:bCs/>
                <w:lang w:eastAsia="ja-JP"/>
              </w:rPr>
              <w:t>1,224,490</w:t>
            </w:r>
          </w:p>
        </w:tc>
        <w:tc>
          <w:tcPr>
            <w:tcW w:w="347" w:type="pct"/>
            <w:shd w:val="clear" w:color="auto" w:fill="F2F2F2"/>
            <w:hideMark/>
          </w:tcPr>
          <w:p w14:paraId="4361573F"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85CD3BF"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bugetul local, bugetul de stat, PNRR C10, CNI, alte surse de finanțare</w:t>
            </w:r>
          </w:p>
        </w:tc>
        <w:tc>
          <w:tcPr>
            <w:tcW w:w="433" w:type="pct"/>
            <w:shd w:val="clear" w:color="auto" w:fill="F2F2F2"/>
            <w:hideMark/>
          </w:tcPr>
          <w:p w14:paraId="6C34014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221F828"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E16711" w:rsidRPr="00912996" w14:paraId="381C5B62" w14:textId="77777777" w:rsidTr="00E16711">
        <w:trPr>
          <w:trHeight w:val="1320"/>
        </w:trPr>
        <w:tc>
          <w:tcPr>
            <w:tcW w:w="205" w:type="pct"/>
            <w:shd w:val="clear" w:color="auto" w:fill="F2F2F2"/>
            <w:hideMark/>
          </w:tcPr>
          <w:p w14:paraId="2212A8DD" w14:textId="77777777" w:rsidR="00395D01" w:rsidRPr="00912996" w:rsidRDefault="00395D01" w:rsidP="00292396">
            <w:pPr>
              <w:rPr>
                <w:rFonts w:ascii="Calibri" w:hAnsi="Calibri"/>
                <w:bCs/>
                <w:lang w:eastAsia="ja-JP"/>
              </w:rPr>
            </w:pPr>
            <w:r w:rsidRPr="00912996">
              <w:rPr>
                <w:rFonts w:ascii="Calibri" w:hAnsi="Calibri"/>
                <w:bCs/>
                <w:lang w:eastAsia="ja-JP"/>
              </w:rPr>
              <w:t>39</w:t>
            </w:r>
          </w:p>
        </w:tc>
        <w:tc>
          <w:tcPr>
            <w:tcW w:w="1018" w:type="pct"/>
            <w:gridSpan w:val="2"/>
            <w:shd w:val="clear" w:color="auto" w:fill="F2F2F2"/>
            <w:hideMark/>
          </w:tcPr>
          <w:p w14:paraId="40E4EA8C" w14:textId="77777777" w:rsidR="00395D01" w:rsidRPr="00912996" w:rsidRDefault="00395D01" w:rsidP="00292396">
            <w:pPr>
              <w:rPr>
                <w:rFonts w:ascii="Calibri" w:hAnsi="Calibri"/>
                <w:bCs/>
                <w:lang w:eastAsia="ja-JP"/>
              </w:rPr>
            </w:pPr>
            <w:r w:rsidRPr="00912996">
              <w:rPr>
                <w:rFonts w:ascii="Calibri" w:hAnsi="Calibri"/>
                <w:bCs/>
                <w:lang w:eastAsia="ja-JP"/>
              </w:rPr>
              <w:t>Crearea de parteneriate cu facilitatori comunitari pentru a  facilita comunicarea dintre administrația publică locală și comunitățile locale/asociațiile de proprietari</w:t>
            </w:r>
          </w:p>
        </w:tc>
        <w:tc>
          <w:tcPr>
            <w:tcW w:w="640" w:type="pct"/>
            <w:shd w:val="clear" w:color="auto" w:fill="F2F2F2"/>
            <w:hideMark/>
          </w:tcPr>
          <w:p w14:paraId="2906C28B" w14:textId="77777777" w:rsidR="00395D01" w:rsidRPr="00912996" w:rsidRDefault="00395D01" w:rsidP="00292396">
            <w:pPr>
              <w:rPr>
                <w:rFonts w:ascii="Calibri" w:hAnsi="Calibri"/>
                <w:bCs/>
                <w:lang w:eastAsia="ja-JP"/>
              </w:rPr>
            </w:pPr>
            <w:r w:rsidRPr="00912996">
              <w:rPr>
                <w:rFonts w:ascii="Calibri" w:hAnsi="Calibri"/>
                <w:bCs/>
                <w:lang w:eastAsia="ja-JP"/>
              </w:rPr>
              <w:t>PS2, ONG-uri de profil, ADPS2, mediul academic, asociații de proprietari</w:t>
            </w:r>
          </w:p>
        </w:tc>
        <w:tc>
          <w:tcPr>
            <w:tcW w:w="507" w:type="pct"/>
            <w:shd w:val="clear" w:color="auto" w:fill="F2F2F2"/>
            <w:hideMark/>
          </w:tcPr>
          <w:p w14:paraId="0362257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74501D4"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411" w:type="pct"/>
            <w:shd w:val="clear" w:color="auto" w:fill="F2F2F2"/>
            <w:hideMark/>
          </w:tcPr>
          <w:p w14:paraId="5D63FE8D" w14:textId="77777777" w:rsidR="00395D01" w:rsidRPr="00912996" w:rsidRDefault="00395D01" w:rsidP="00292396">
            <w:pPr>
              <w:rPr>
                <w:rFonts w:ascii="Calibri" w:hAnsi="Calibri"/>
                <w:bCs/>
                <w:lang w:eastAsia="ja-JP"/>
              </w:rPr>
            </w:pPr>
            <w:r w:rsidRPr="00912996">
              <w:rPr>
                <w:rFonts w:ascii="Calibri" w:hAnsi="Calibri"/>
                <w:bCs/>
                <w:lang w:eastAsia="ja-JP"/>
              </w:rPr>
              <w:t>102,041</w:t>
            </w:r>
          </w:p>
        </w:tc>
        <w:tc>
          <w:tcPr>
            <w:tcW w:w="347" w:type="pct"/>
            <w:shd w:val="clear" w:color="auto" w:fill="F2F2F2"/>
            <w:hideMark/>
          </w:tcPr>
          <w:p w14:paraId="60294D93"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B91DEE3"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bugetul local, bugetul de stat, alte surse de finanțare</w:t>
            </w:r>
          </w:p>
        </w:tc>
        <w:tc>
          <w:tcPr>
            <w:tcW w:w="433" w:type="pct"/>
            <w:shd w:val="clear" w:color="auto" w:fill="F2F2F2"/>
            <w:hideMark/>
          </w:tcPr>
          <w:p w14:paraId="1620862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8C852C6"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consultarea locuitorilor, grup de lucru tematic</w:t>
            </w:r>
          </w:p>
        </w:tc>
      </w:tr>
      <w:tr w:rsidR="00E16711" w:rsidRPr="00912996" w14:paraId="391904F0" w14:textId="77777777" w:rsidTr="00E16711">
        <w:trPr>
          <w:trHeight w:val="1320"/>
        </w:trPr>
        <w:tc>
          <w:tcPr>
            <w:tcW w:w="205" w:type="pct"/>
            <w:shd w:val="clear" w:color="auto" w:fill="F2F2F2"/>
            <w:hideMark/>
          </w:tcPr>
          <w:p w14:paraId="32EA9658" w14:textId="77777777" w:rsidR="00395D01" w:rsidRPr="00912996" w:rsidRDefault="00395D01" w:rsidP="00292396">
            <w:pPr>
              <w:rPr>
                <w:rFonts w:ascii="Calibri" w:hAnsi="Calibri"/>
                <w:bCs/>
                <w:lang w:eastAsia="ja-JP"/>
              </w:rPr>
            </w:pPr>
            <w:r w:rsidRPr="00912996">
              <w:rPr>
                <w:rFonts w:ascii="Calibri" w:hAnsi="Calibri"/>
                <w:bCs/>
                <w:lang w:eastAsia="ja-JP"/>
              </w:rPr>
              <w:t>40</w:t>
            </w:r>
          </w:p>
        </w:tc>
        <w:tc>
          <w:tcPr>
            <w:tcW w:w="1018" w:type="pct"/>
            <w:gridSpan w:val="2"/>
            <w:shd w:val="clear" w:color="auto" w:fill="F2F2F2"/>
            <w:hideMark/>
          </w:tcPr>
          <w:p w14:paraId="6C967C57" w14:textId="77777777" w:rsidR="00395D01" w:rsidRPr="00912996" w:rsidRDefault="00395D01" w:rsidP="00292396">
            <w:pPr>
              <w:rPr>
                <w:rFonts w:ascii="Calibri" w:hAnsi="Calibri"/>
                <w:bCs/>
                <w:lang w:eastAsia="ja-JP"/>
              </w:rPr>
            </w:pPr>
            <w:r w:rsidRPr="00912996">
              <w:rPr>
                <w:rFonts w:ascii="Calibri" w:hAnsi="Calibri"/>
                <w:bCs/>
                <w:lang w:eastAsia="ja-JP"/>
              </w:rPr>
              <w:t>Cartarea și clarificarea statutului juridic al terenurilor publice din cadrul ansamblurilor de locuințe colective. Crearea unei baze de date GIS</w:t>
            </w:r>
          </w:p>
        </w:tc>
        <w:tc>
          <w:tcPr>
            <w:tcW w:w="640" w:type="pct"/>
            <w:shd w:val="clear" w:color="auto" w:fill="F2F2F2"/>
            <w:hideMark/>
          </w:tcPr>
          <w:p w14:paraId="642D15A8" w14:textId="77777777" w:rsidR="00395D01" w:rsidRPr="00912996" w:rsidRDefault="00395D01" w:rsidP="00292396">
            <w:pPr>
              <w:rPr>
                <w:rFonts w:ascii="Calibri" w:hAnsi="Calibri"/>
                <w:bCs/>
                <w:lang w:eastAsia="ja-JP"/>
              </w:rPr>
            </w:pPr>
            <w:r w:rsidRPr="00912996">
              <w:rPr>
                <w:rFonts w:ascii="Calibri" w:hAnsi="Calibri"/>
                <w:bCs/>
                <w:lang w:eastAsia="ja-JP"/>
              </w:rPr>
              <w:t>PS2, ADPS2, asociații de proprietari</w:t>
            </w:r>
          </w:p>
        </w:tc>
        <w:tc>
          <w:tcPr>
            <w:tcW w:w="507" w:type="pct"/>
            <w:shd w:val="clear" w:color="auto" w:fill="F2F2F2"/>
            <w:hideMark/>
          </w:tcPr>
          <w:p w14:paraId="30A4B83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A3B8B7E"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19632A22" w14:textId="77777777" w:rsidR="00395D01" w:rsidRPr="00912996" w:rsidRDefault="00395D01" w:rsidP="00292396">
            <w:pPr>
              <w:rPr>
                <w:rFonts w:ascii="Calibri" w:hAnsi="Calibri"/>
                <w:bCs/>
                <w:lang w:eastAsia="ja-JP"/>
              </w:rPr>
            </w:pPr>
            <w:r w:rsidRPr="00912996">
              <w:rPr>
                <w:rFonts w:ascii="Calibri" w:hAnsi="Calibri"/>
                <w:bCs/>
                <w:lang w:eastAsia="ja-JP"/>
              </w:rPr>
              <w:t>408,163</w:t>
            </w:r>
          </w:p>
        </w:tc>
        <w:tc>
          <w:tcPr>
            <w:tcW w:w="347" w:type="pct"/>
            <w:shd w:val="clear" w:color="auto" w:fill="F2F2F2"/>
            <w:hideMark/>
          </w:tcPr>
          <w:p w14:paraId="0C54072A"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EA37B33" w14:textId="77777777" w:rsidR="00395D01" w:rsidRPr="00912996" w:rsidRDefault="00395D01" w:rsidP="00292396">
            <w:pPr>
              <w:rPr>
                <w:rFonts w:ascii="Calibri" w:hAnsi="Calibri"/>
                <w:bCs/>
                <w:lang w:eastAsia="ja-JP"/>
              </w:rPr>
            </w:pPr>
            <w:r w:rsidRPr="00912996">
              <w:rPr>
                <w:rFonts w:ascii="Calibri" w:hAnsi="Calibri"/>
                <w:bCs/>
                <w:lang w:eastAsia="ja-JP"/>
              </w:rPr>
              <w:t>POR BI 2021-2027 P2, bugetul local, bugetul de stat, alte surse de finanțare</w:t>
            </w:r>
          </w:p>
        </w:tc>
        <w:tc>
          <w:tcPr>
            <w:tcW w:w="433" w:type="pct"/>
            <w:shd w:val="clear" w:color="auto" w:fill="F2F2F2"/>
            <w:hideMark/>
          </w:tcPr>
          <w:p w14:paraId="30BA1C0F"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ED33EB1"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grup de lucru tematic</w:t>
            </w:r>
          </w:p>
        </w:tc>
      </w:tr>
      <w:tr w:rsidR="00E16711" w:rsidRPr="00912996" w14:paraId="1D7D9F9F" w14:textId="77777777" w:rsidTr="00E16711">
        <w:trPr>
          <w:trHeight w:val="1320"/>
        </w:trPr>
        <w:tc>
          <w:tcPr>
            <w:tcW w:w="205" w:type="pct"/>
            <w:shd w:val="clear" w:color="auto" w:fill="F2F2F2"/>
            <w:hideMark/>
          </w:tcPr>
          <w:p w14:paraId="0FDF2FC0" w14:textId="77777777" w:rsidR="00395D01" w:rsidRPr="00912996" w:rsidRDefault="00395D01" w:rsidP="00292396">
            <w:pPr>
              <w:rPr>
                <w:rFonts w:ascii="Calibri" w:hAnsi="Calibri"/>
                <w:bCs/>
                <w:lang w:eastAsia="ja-JP"/>
              </w:rPr>
            </w:pPr>
            <w:r w:rsidRPr="00912996">
              <w:rPr>
                <w:rFonts w:ascii="Calibri" w:hAnsi="Calibri"/>
                <w:bCs/>
                <w:lang w:eastAsia="ja-JP"/>
              </w:rPr>
              <w:t>41</w:t>
            </w:r>
          </w:p>
        </w:tc>
        <w:tc>
          <w:tcPr>
            <w:tcW w:w="1018" w:type="pct"/>
            <w:gridSpan w:val="2"/>
            <w:shd w:val="clear" w:color="auto" w:fill="F2F2F2"/>
            <w:hideMark/>
          </w:tcPr>
          <w:p w14:paraId="003793F3" w14:textId="77777777" w:rsidR="00395D01" w:rsidRPr="00912996" w:rsidRDefault="00395D01" w:rsidP="00292396">
            <w:pPr>
              <w:rPr>
                <w:rFonts w:ascii="Calibri" w:hAnsi="Calibri"/>
                <w:bCs/>
                <w:lang w:eastAsia="ja-JP"/>
              </w:rPr>
            </w:pPr>
            <w:r w:rsidRPr="00912996">
              <w:rPr>
                <w:rFonts w:ascii="Calibri" w:hAnsi="Calibri"/>
                <w:bCs/>
                <w:lang w:eastAsia="ja-JP"/>
              </w:rPr>
              <w:t>proiecte de incluziune socială în zonele defavorizate pentru amenajarea spațiilor publice/spațiilor verzi  în parteneriat cu comunitățile defavorizate. Proiect pilor: 3 spații</w:t>
            </w:r>
          </w:p>
        </w:tc>
        <w:tc>
          <w:tcPr>
            <w:tcW w:w="640" w:type="pct"/>
            <w:shd w:val="clear" w:color="auto" w:fill="F2F2F2"/>
            <w:hideMark/>
          </w:tcPr>
          <w:p w14:paraId="6F33716B" w14:textId="77777777" w:rsidR="00395D01" w:rsidRPr="00912996" w:rsidRDefault="00395D01" w:rsidP="00292396">
            <w:pPr>
              <w:rPr>
                <w:rFonts w:ascii="Calibri" w:hAnsi="Calibri"/>
                <w:bCs/>
                <w:lang w:eastAsia="ja-JP"/>
              </w:rPr>
            </w:pPr>
            <w:r w:rsidRPr="00912996">
              <w:rPr>
                <w:rFonts w:ascii="Calibri" w:hAnsi="Calibri"/>
                <w:bCs/>
                <w:lang w:eastAsia="ja-JP"/>
              </w:rPr>
              <w:t>PS2, ADPS2, ONG-uri</w:t>
            </w:r>
          </w:p>
        </w:tc>
        <w:tc>
          <w:tcPr>
            <w:tcW w:w="507" w:type="pct"/>
            <w:shd w:val="clear" w:color="auto" w:fill="F2F2F2"/>
            <w:hideMark/>
          </w:tcPr>
          <w:p w14:paraId="2393132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C529C01"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411" w:type="pct"/>
            <w:shd w:val="clear" w:color="auto" w:fill="F2F2F2"/>
            <w:hideMark/>
          </w:tcPr>
          <w:p w14:paraId="6837AE39" w14:textId="77777777" w:rsidR="00395D01" w:rsidRPr="00912996" w:rsidRDefault="00395D01" w:rsidP="00292396">
            <w:pPr>
              <w:rPr>
                <w:rFonts w:ascii="Calibri" w:hAnsi="Calibri"/>
                <w:bCs/>
                <w:lang w:eastAsia="ja-JP"/>
              </w:rPr>
            </w:pPr>
            <w:r w:rsidRPr="00912996">
              <w:rPr>
                <w:rFonts w:ascii="Calibri" w:hAnsi="Calibri"/>
                <w:bCs/>
                <w:lang w:eastAsia="ja-JP"/>
              </w:rPr>
              <w:t>306,122</w:t>
            </w:r>
          </w:p>
        </w:tc>
        <w:tc>
          <w:tcPr>
            <w:tcW w:w="347" w:type="pct"/>
            <w:shd w:val="clear" w:color="auto" w:fill="F2F2F2"/>
            <w:hideMark/>
          </w:tcPr>
          <w:p w14:paraId="3B23B512"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3E650BF"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bugetul de stat, alte surse de finanțare</w:t>
            </w:r>
          </w:p>
        </w:tc>
        <w:tc>
          <w:tcPr>
            <w:tcW w:w="433" w:type="pct"/>
            <w:shd w:val="clear" w:color="auto" w:fill="F2F2F2"/>
            <w:hideMark/>
          </w:tcPr>
          <w:p w14:paraId="15B4AE18"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4F87881D"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grup de lucru tematic</w:t>
            </w:r>
          </w:p>
        </w:tc>
      </w:tr>
      <w:tr w:rsidR="00E16711" w:rsidRPr="00912996" w14:paraId="20D469AD" w14:textId="77777777" w:rsidTr="00E16711">
        <w:trPr>
          <w:trHeight w:val="530"/>
        </w:trPr>
        <w:tc>
          <w:tcPr>
            <w:tcW w:w="205" w:type="pct"/>
            <w:shd w:val="clear" w:color="auto" w:fill="F2F2F2"/>
            <w:hideMark/>
          </w:tcPr>
          <w:p w14:paraId="77615D7E" w14:textId="77777777" w:rsidR="00395D01" w:rsidRPr="00912996" w:rsidRDefault="00395D01" w:rsidP="00292396">
            <w:pPr>
              <w:rPr>
                <w:rFonts w:ascii="Calibri" w:hAnsi="Calibri"/>
                <w:bCs/>
                <w:lang w:eastAsia="ja-JP"/>
              </w:rPr>
            </w:pPr>
            <w:r w:rsidRPr="00912996">
              <w:rPr>
                <w:rFonts w:ascii="Calibri" w:hAnsi="Calibri"/>
                <w:bCs/>
                <w:lang w:eastAsia="ja-JP"/>
              </w:rPr>
              <w:t>42</w:t>
            </w:r>
          </w:p>
        </w:tc>
        <w:tc>
          <w:tcPr>
            <w:tcW w:w="1018" w:type="pct"/>
            <w:gridSpan w:val="2"/>
            <w:shd w:val="clear" w:color="auto" w:fill="F2F2F2"/>
            <w:hideMark/>
          </w:tcPr>
          <w:p w14:paraId="6D4C9698" w14:textId="77777777" w:rsidR="00395D01" w:rsidRPr="00912996" w:rsidRDefault="00395D01" w:rsidP="00292396">
            <w:pPr>
              <w:rPr>
                <w:rFonts w:ascii="Calibri" w:hAnsi="Calibri"/>
                <w:bCs/>
                <w:lang w:eastAsia="ja-JP"/>
              </w:rPr>
            </w:pPr>
            <w:r w:rsidRPr="00912996">
              <w:rPr>
                <w:rFonts w:ascii="Calibri" w:hAnsi="Calibri"/>
                <w:bCs/>
                <w:lang w:eastAsia="ja-JP"/>
              </w:rPr>
              <w:t>Program de revitalizare a spațiilor publice abandonate de mici dimensiuni (în parteneriat cu asociații profesionale / ONG-uri active în domeniu)</w:t>
            </w:r>
          </w:p>
        </w:tc>
        <w:tc>
          <w:tcPr>
            <w:tcW w:w="640" w:type="pct"/>
            <w:shd w:val="clear" w:color="auto" w:fill="F2F2F2"/>
            <w:hideMark/>
          </w:tcPr>
          <w:p w14:paraId="2E3A2DBF"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ADP2, ONG-uri</w:t>
            </w:r>
          </w:p>
        </w:tc>
        <w:tc>
          <w:tcPr>
            <w:tcW w:w="507" w:type="pct"/>
            <w:shd w:val="clear" w:color="auto" w:fill="F2F2F2"/>
            <w:hideMark/>
          </w:tcPr>
          <w:p w14:paraId="08F9BAD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F81F517" w14:textId="77777777" w:rsidR="00395D01" w:rsidRPr="00912996" w:rsidRDefault="00395D01" w:rsidP="00292396">
            <w:pPr>
              <w:rPr>
                <w:rFonts w:ascii="Calibri" w:hAnsi="Calibri"/>
                <w:bCs/>
                <w:lang w:eastAsia="ja-JP"/>
              </w:rPr>
            </w:pPr>
            <w:r w:rsidRPr="00912996">
              <w:rPr>
                <w:rFonts w:ascii="Calibri" w:hAnsi="Calibri"/>
                <w:bCs/>
                <w:lang w:eastAsia="ja-JP"/>
              </w:rPr>
              <w:t>2,500,000</w:t>
            </w:r>
          </w:p>
        </w:tc>
        <w:tc>
          <w:tcPr>
            <w:tcW w:w="411" w:type="pct"/>
            <w:shd w:val="clear" w:color="auto" w:fill="F2F2F2"/>
            <w:hideMark/>
          </w:tcPr>
          <w:p w14:paraId="67A46086" w14:textId="77777777" w:rsidR="00395D01" w:rsidRPr="00912996" w:rsidRDefault="00395D01" w:rsidP="00292396">
            <w:pPr>
              <w:rPr>
                <w:rFonts w:ascii="Calibri" w:hAnsi="Calibri"/>
                <w:bCs/>
                <w:lang w:eastAsia="ja-JP"/>
              </w:rPr>
            </w:pPr>
            <w:r w:rsidRPr="00912996">
              <w:rPr>
                <w:rFonts w:ascii="Calibri" w:hAnsi="Calibri"/>
                <w:bCs/>
                <w:lang w:eastAsia="ja-JP"/>
              </w:rPr>
              <w:t>510,204</w:t>
            </w:r>
          </w:p>
        </w:tc>
        <w:tc>
          <w:tcPr>
            <w:tcW w:w="347" w:type="pct"/>
            <w:shd w:val="clear" w:color="auto" w:fill="F2F2F2"/>
            <w:hideMark/>
          </w:tcPr>
          <w:p w14:paraId="2817E78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81AAACB"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P7, bugetul local, granturi pentru ONG-uri</w:t>
            </w:r>
          </w:p>
        </w:tc>
        <w:tc>
          <w:tcPr>
            <w:tcW w:w="433" w:type="pct"/>
            <w:shd w:val="clear" w:color="auto" w:fill="F2F2F2"/>
            <w:hideMark/>
          </w:tcPr>
          <w:p w14:paraId="72170BC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92BCFE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SIDU MB</w:t>
            </w:r>
          </w:p>
        </w:tc>
      </w:tr>
      <w:tr w:rsidR="00E16711" w:rsidRPr="00912996" w14:paraId="0373601D" w14:textId="77777777" w:rsidTr="00E16711">
        <w:trPr>
          <w:trHeight w:val="1584"/>
        </w:trPr>
        <w:tc>
          <w:tcPr>
            <w:tcW w:w="205" w:type="pct"/>
            <w:shd w:val="clear" w:color="auto" w:fill="F2F2F2"/>
            <w:hideMark/>
          </w:tcPr>
          <w:p w14:paraId="0FE6DCB4" w14:textId="77777777" w:rsidR="00395D01" w:rsidRPr="00912996" w:rsidRDefault="00395D01" w:rsidP="00292396">
            <w:pPr>
              <w:rPr>
                <w:rFonts w:ascii="Calibri" w:hAnsi="Calibri"/>
                <w:bCs/>
                <w:lang w:eastAsia="ja-JP"/>
              </w:rPr>
            </w:pPr>
            <w:r w:rsidRPr="00912996">
              <w:rPr>
                <w:rFonts w:ascii="Calibri" w:hAnsi="Calibri"/>
                <w:bCs/>
                <w:lang w:eastAsia="ja-JP"/>
              </w:rPr>
              <w:t>43</w:t>
            </w:r>
          </w:p>
        </w:tc>
        <w:tc>
          <w:tcPr>
            <w:tcW w:w="1018" w:type="pct"/>
            <w:gridSpan w:val="2"/>
            <w:shd w:val="clear" w:color="auto" w:fill="F2F2F2"/>
            <w:hideMark/>
          </w:tcPr>
          <w:p w14:paraId="26ADAA7A" w14:textId="77777777" w:rsidR="00395D01" w:rsidRPr="00912996" w:rsidRDefault="00395D01" w:rsidP="00292396">
            <w:pPr>
              <w:rPr>
                <w:rFonts w:ascii="Calibri" w:hAnsi="Calibri"/>
                <w:bCs/>
                <w:lang w:eastAsia="ja-JP"/>
              </w:rPr>
            </w:pPr>
            <w:r w:rsidRPr="00912996">
              <w:rPr>
                <w:rFonts w:ascii="Calibri" w:hAnsi="Calibri"/>
                <w:bCs/>
                <w:lang w:eastAsia="ja-JP"/>
              </w:rPr>
              <w:t>Identificare oportunități de parteneriat cu proprietarii unor terenuri abandonate din zona centrală, în vederea amenajării unor spații verzi publice. Intervenții prioritare: terenul fostei Fabrici de Oțet (Str. Vaselor - Str. Titu Maiorescu)</w:t>
            </w:r>
          </w:p>
        </w:tc>
        <w:tc>
          <w:tcPr>
            <w:tcW w:w="640" w:type="pct"/>
            <w:shd w:val="clear" w:color="auto" w:fill="F2F2F2"/>
            <w:hideMark/>
          </w:tcPr>
          <w:p w14:paraId="6F71CFED" w14:textId="77777777" w:rsidR="00395D01" w:rsidRPr="00912996" w:rsidRDefault="00395D01" w:rsidP="00292396">
            <w:pPr>
              <w:rPr>
                <w:rFonts w:ascii="Calibri" w:hAnsi="Calibri"/>
                <w:bCs/>
                <w:lang w:eastAsia="ja-JP"/>
              </w:rPr>
            </w:pPr>
            <w:r w:rsidRPr="00912996">
              <w:rPr>
                <w:rFonts w:ascii="Calibri" w:hAnsi="Calibri"/>
                <w:bCs/>
                <w:lang w:eastAsia="ja-JP"/>
              </w:rPr>
              <w:t>PS2, proprietari terenuri</w:t>
            </w:r>
          </w:p>
        </w:tc>
        <w:tc>
          <w:tcPr>
            <w:tcW w:w="507" w:type="pct"/>
            <w:shd w:val="clear" w:color="auto" w:fill="F2F2F2"/>
            <w:hideMark/>
          </w:tcPr>
          <w:p w14:paraId="7C42AD7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5064797"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7CF521BA"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631BCD69"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CA42444"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w:t>
            </w:r>
          </w:p>
        </w:tc>
        <w:tc>
          <w:tcPr>
            <w:tcW w:w="433" w:type="pct"/>
            <w:shd w:val="clear" w:color="auto" w:fill="F2F2F2"/>
            <w:hideMark/>
          </w:tcPr>
          <w:p w14:paraId="0010067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1D5D5B0"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PS2</w:t>
            </w:r>
          </w:p>
        </w:tc>
      </w:tr>
      <w:tr w:rsidR="00E16711" w:rsidRPr="00912996" w14:paraId="1D504380" w14:textId="77777777" w:rsidTr="00E16711">
        <w:trPr>
          <w:trHeight w:val="1320"/>
        </w:trPr>
        <w:tc>
          <w:tcPr>
            <w:tcW w:w="205" w:type="pct"/>
            <w:shd w:val="clear" w:color="auto" w:fill="F2F2F2"/>
            <w:hideMark/>
          </w:tcPr>
          <w:p w14:paraId="7C3AE8E1" w14:textId="77777777" w:rsidR="00395D01" w:rsidRPr="00912996" w:rsidRDefault="00395D01" w:rsidP="00292396">
            <w:pPr>
              <w:rPr>
                <w:rFonts w:ascii="Calibri" w:hAnsi="Calibri"/>
                <w:bCs/>
                <w:lang w:eastAsia="ja-JP"/>
              </w:rPr>
            </w:pPr>
            <w:r w:rsidRPr="00912996">
              <w:rPr>
                <w:rFonts w:ascii="Calibri" w:hAnsi="Calibri"/>
                <w:bCs/>
                <w:lang w:eastAsia="ja-JP"/>
              </w:rPr>
              <w:t>44</w:t>
            </w:r>
          </w:p>
        </w:tc>
        <w:tc>
          <w:tcPr>
            <w:tcW w:w="1018" w:type="pct"/>
            <w:gridSpan w:val="2"/>
            <w:shd w:val="clear" w:color="auto" w:fill="F2F2F2"/>
            <w:hideMark/>
          </w:tcPr>
          <w:p w14:paraId="7B04FE28" w14:textId="77777777" w:rsidR="00395D01" w:rsidRPr="00912996" w:rsidRDefault="00395D01" w:rsidP="00292396">
            <w:pPr>
              <w:rPr>
                <w:rFonts w:ascii="Calibri" w:hAnsi="Calibri"/>
                <w:bCs/>
                <w:lang w:eastAsia="ja-JP"/>
              </w:rPr>
            </w:pPr>
            <w:r w:rsidRPr="00912996">
              <w:rPr>
                <w:rFonts w:ascii="Calibri" w:hAnsi="Calibri"/>
                <w:bCs/>
                <w:lang w:eastAsia="ja-JP"/>
              </w:rPr>
              <w:t>Amenajarea peisagistică și arhitecturală a scuarului de pe str. Ricinului (suprafață de 3.511mp)</w:t>
            </w:r>
          </w:p>
        </w:tc>
        <w:tc>
          <w:tcPr>
            <w:tcW w:w="640" w:type="pct"/>
            <w:shd w:val="clear" w:color="auto" w:fill="F2F2F2"/>
            <w:hideMark/>
          </w:tcPr>
          <w:p w14:paraId="09974D6E"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0C82230C" w14:textId="77777777" w:rsidR="00395D01" w:rsidRPr="00912996" w:rsidRDefault="00395D01" w:rsidP="00292396">
            <w:pPr>
              <w:rPr>
                <w:rFonts w:ascii="Calibri" w:hAnsi="Calibri"/>
                <w:bCs/>
                <w:lang w:eastAsia="ja-JP"/>
              </w:rPr>
            </w:pPr>
            <w:r w:rsidRPr="00E23CCD">
              <w:rPr>
                <w:rFonts w:ascii="Calibri" w:hAnsi="Calibri"/>
                <w:bCs/>
                <w:lang w:eastAsia="ja-JP"/>
              </w:rPr>
              <w:t>Finalizat 2022</w:t>
            </w:r>
          </w:p>
        </w:tc>
        <w:tc>
          <w:tcPr>
            <w:tcW w:w="473" w:type="pct"/>
            <w:shd w:val="clear" w:color="auto" w:fill="F2F2F2"/>
            <w:hideMark/>
          </w:tcPr>
          <w:p w14:paraId="77872BAB"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17A334B0"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6B28F743" w14:textId="77777777" w:rsidR="00395D01" w:rsidRPr="00912996" w:rsidRDefault="00395D01" w:rsidP="0029239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1DA2AF71"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C10, C11, AFM, bugetul local,  alte surse de finanțare</w:t>
            </w:r>
          </w:p>
        </w:tc>
        <w:tc>
          <w:tcPr>
            <w:tcW w:w="433" w:type="pct"/>
            <w:shd w:val="clear" w:color="auto" w:fill="F2F2F2"/>
            <w:hideMark/>
          </w:tcPr>
          <w:p w14:paraId="05313D5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D0A4044" w14:textId="77777777" w:rsidR="00395D01" w:rsidRPr="00912996" w:rsidRDefault="00395D01" w:rsidP="00292396">
            <w:pPr>
              <w:rPr>
                <w:rFonts w:ascii="Calibri" w:hAnsi="Calibri"/>
                <w:bCs/>
                <w:lang w:eastAsia="ja-JP"/>
              </w:rPr>
            </w:pPr>
            <w:r w:rsidRPr="00912996">
              <w:rPr>
                <w:rFonts w:ascii="Calibri" w:hAnsi="Calibri"/>
                <w:bCs/>
                <w:lang w:eastAsia="ja-JP"/>
              </w:rPr>
              <w:t>PUZ S2</w:t>
            </w:r>
          </w:p>
        </w:tc>
      </w:tr>
      <w:tr w:rsidR="00E16711" w:rsidRPr="00912996" w14:paraId="6064F834" w14:textId="77777777" w:rsidTr="00DE2EE6">
        <w:trPr>
          <w:trHeight w:val="624"/>
        </w:trPr>
        <w:tc>
          <w:tcPr>
            <w:tcW w:w="205" w:type="pct"/>
            <w:shd w:val="clear" w:color="auto" w:fill="F2F2F2"/>
            <w:hideMark/>
          </w:tcPr>
          <w:p w14:paraId="2B3A5453" w14:textId="77777777" w:rsidR="00395D01" w:rsidRPr="00912996" w:rsidRDefault="00395D01" w:rsidP="00292396">
            <w:pPr>
              <w:rPr>
                <w:rFonts w:ascii="Calibri" w:hAnsi="Calibri"/>
                <w:bCs/>
                <w:lang w:eastAsia="ja-JP"/>
              </w:rPr>
            </w:pPr>
            <w:r w:rsidRPr="00912996">
              <w:rPr>
                <w:rFonts w:ascii="Calibri" w:hAnsi="Calibri"/>
                <w:bCs/>
                <w:lang w:eastAsia="ja-JP"/>
              </w:rPr>
              <w:t>45</w:t>
            </w:r>
          </w:p>
        </w:tc>
        <w:tc>
          <w:tcPr>
            <w:tcW w:w="1018" w:type="pct"/>
            <w:gridSpan w:val="2"/>
            <w:shd w:val="clear" w:color="auto" w:fill="F2F2F2"/>
            <w:hideMark/>
          </w:tcPr>
          <w:p w14:paraId="77C1D149" w14:textId="77777777" w:rsidR="00395D01" w:rsidRPr="00912996" w:rsidRDefault="00395D01" w:rsidP="00292396">
            <w:pPr>
              <w:rPr>
                <w:rFonts w:ascii="Calibri" w:hAnsi="Calibri"/>
                <w:bCs/>
                <w:lang w:eastAsia="ja-JP"/>
              </w:rPr>
            </w:pPr>
            <w:r w:rsidRPr="00912996">
              <w:rPr>
                <w:rFonts w:ascii="Calibri" w:hAnsi="Calibri"/>
                <w:bCs/>
                <w:lang w:eastAsia="ja-JP"/>
              </w:rPr>
              <w:t>Amenajarea de noi parcuri/locuri de joacă pentru animalele de companie în cadrul ansamblurilor de locuințe colective</w:t>
            </w:r>
          </w:p>
        </w:tc>
        <w:tc>
          <w:tcPr>
            <w:tcW w:w="640" w:type="pct"/>
            <w:shd w:val="clear" w:color="auto" w:fill="F2F2F2"/>
            <w:hideMark/>
          </w:tcPr>
          <w:p w14:paraId="6186D541"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CB002A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7623A39"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6E608514" w14:textId="77777777" w:rsidR="00395D01" w:rsidRPr="00912996" w:rsidRDefault="00395D01" w:rsidP="00292396">
            <w:pPr>
              <w:rPr>
                <w:rFonts w:ascii="Calibri" w:hAnsi="Calibri"/>
                <w:bCs/>
                <w:lang w:eastAsia="ja-JP"/>
              </w:rPr>
            </w:pPr>
            <w:r w:rsidRPr="00912996">
              <w:rPr>
                <w:rFonts w:ascii="Calibri" w:hAnsi="Calibri"/>
                <w:bCs/>
                <w:lang w:eastAsia="ja-JP"/>
              </w:rPr>
              <w:t>408,163</w:t>
            </w:r>
          </w:p>
        </w:tc>
        <w:tc>
          <w:tcPr>
            <w:tcW w:w="347" w:type="pct"/>
            <w:shd w:val="clear" w:color="auto" w:fill="F2F2F2"/>
            <w:hideMark/>
          </w:tcPr>
          <w:p w14:paraId="07DE5172"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6E73B95"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bugetul local, bugetul de stat, PNRR C10, CNI, alte surse de finanțare</w:t>
            </w:r>
          </w:p>
        </w:tc>
        <w:tc>
          <w:tcPr>
            <w:tcW w:w="433" w:type="pct"/>
            <w:shd w:val="clear" w:color="auto" w:fill="F2F2F2"/>
            <w:hideMark/>
          </w:tcPr>
          <w:p w14:paraId="1FE5B3A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A2AA0BB"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395D01" w:rsidRPr="00912996" w14:paraId="46E8C661" w14:textId="77777777" w:rsidTr="00292396">
        <w:trPr>
          <w:trHeight w:val="264"/>
        </w:trPr>
        <w:tc>
          <w:tcPr>
            <w:tcW w:w="5000" w:type="pct"/>
            <w:gridSpan w:val="12"/>
            <w:shd w:val="clear" w:color="auto" w:fill="BBD9A0"/>
            <w:hideMark/>
          </w:tcPr>
          <w:p w14:paraId="1C92CDAA" w14:textId="77777777" w:rsidR="00395D01" w:rsidRPr="00912996" w:rsidRDefault="00395D01" w:rsidP="00DE2EE6">
            <w:pPr>
              <w:jc w:val="center"/>
              <w:rPr>
                <w:rFonts w:ascii="Calibri" w:hAnsi="Calibri"/>
                <w:b/>
                <w:bCs/>
                <w:lang w:eastAsia="ja-JP"/>
              </w:rPr>
            </w:pPr>
            <w:r w:rsidRPr="00912996">
              <w:rPr>
                <w:rFonts w:ascii="Calibri" w:hAnsi="Calibri"/>
                <w:b/>
                <w:bCs/>
                <w:color w:val="FFFFFF"/>
                <w:lang w:eastAsia="ja-JP"/>
              </w:rPr>
              <w:t>D1.2.2. Revitalizarea fondului locativ din cadrul ansamblurilor de locuințe colective</w:t>
            </w:r>
          </w:p>
        </w:tc>
      </w:tr>
      <w:tr w:rsidR="00E16711" w:rsidRPr="00912996" w14:paraId="46CBDEBA" w14:textId="77777777" w:rsidTr="00E16711">
        <w:trPr>
          <w:trHeight w:val="2376"/>
        </w:trPr>
        <w:tc>
          <w:tcPr>
            <w:tcW w:w="205" w:type="pct"/>
            <w:shd w:val="clear" w:color="auto" w:fill="F2F2F2"/>
            <w:noWrap/>
            <w:hideMark/>
          </w:tcPr>
          <w:p w14:paraId="6B0F45FC"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43FCD114" w14:textId="77777777" w:rsidR="00395D01" w:rsidRPr="00912996" w:rsidRDefault="00395D01" w:rsidP="00292396">
            <w:pPr>
              <w:rPr>
                <w:rFonts w:ascii="Calibri" w:hAnsi="Calibri"/>
                <w:bCs/>
                <w:lang w:eastAsia="ja-JP"/>
              </w:rPr>
            </w:pPr>
            <w:r w:rsidRPr="00912996">
              <w:rPr>
                <w:rFonts w:ascii="Calibri" w:hAnsi="Calibri"/>
                <w:bCs/>
                <w:lang w:eastAsia="ja-JP"/>
              </w:rPr>
              <w:t>Program de modernizarea a zonelor de acces în clădirile de locuințe colective (cu rampe de acces, casa scării) prin realizarea unor proiecte-tip (kit-uri)  de modernizare și reamenajare a spațiilor de acces în blocuri, casei scării, în acord cu normativele actuale (proiecte tip dezvoltate în parteneriat cu comunitatea locală și cu sprijinul OAR)</w:t>
            </w:r>
          </w:p>
        </w:tc>
        <w:tc>
          <w:tcPr>
            <w:tcW w:w="640" w:type="pct"/>
            <w:shd w:val="clear" w:color="auto" w:fill="F2F2F2"/>
            <w:hideMark/>
          </w:tcPr>
          <w:p w14:paraId="54EDC1E8" w14:textId="77777777" w:rsidR="00395D01" w:rsidRPr="00912996" w:rsidRDefault="00395D01" w:rsidP="00292396">
            <w:pPr>
              <w:rPr>
                <w:rFonts w:ascii="Calibri" w:hAnsi="Calibri"/>
                <w:bCs/>
                <w:lang w:eastAsia="ja-JP"/>
              </w:rPr>
            </w:pPr>
            <w:r w:rsidRPr="00912996">
              <w:rPr>
                <w:rFonts w:ascii="Calibri" w:hAnsi="Calibri"/>
                <w:bCs/>
                <w:lang w:eastAsia="ja-JP"/>
              </w:rPr>
              <w:t>PS2, asociațiile de proprietari, OAR</w:t>
            </w:r>
          </w:p>
        </w:tc>
        <w:tc>
          <w:tcPr>
            <w:tcW w:w="507" w:type="pct"/>
            <w:shd w:val="clear" w:color="auto" w:fill="F2F2F2"/>
            <w:hideMark/>
          </w:tcPr>
          <w:p w14:paraId="4034D2B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584DD32" w14:textId="77777777" w:rsidR="00395D01" w:rsidRPr="00912996" w:rsidRDefault="00395D01" w:rsidP="00292396">
            <w:pPr>
              <w:rPr>
                <w:rFonts w:ascii="Calibri" w:hAnsi="Calibri"/>
                <w:bCs/>
                <w:lang w:eastAsia="ja-JP"/>
              </w:rPr>
            </w:pPr>
            <w:r w:rsidRPr="00912996">
              <w:rPr>
                <w:rFonts w:ascii="Calibri" w:hAnsi="Calibri"/>
                <w:bCs/>
                <w:lang w:eastAsia="ja-JP"/>
              </w:rPr>
              <w:t>10,000,000</w:t>
            </w:r>
          </w:p>
        </w:tc>
        <w:tc>
          <w:tcPr>
            <w:tcW w:w="411" w:type="pct"/>
            <w:shd w:val="clear" w:color="auto" w:fill="F2F2F2"/>
            <w:hideMark/>
          </w:tcPr>
          <w:p w14:paraId="1526A6C7" w14:textId="77777777" w:rsidR="00395D01" w:rsidRPr="00912996" w:rsidRDefault="00395D01" w:rsidP="00292396">
            <w:pPr>
              <w:rPr>
                <w:rFonts w:ascii="Calibri" w:hAnsi="Calibri"/>
                <w:bCs/>
                <w:lang w:eastAsia="ja-JP"/>
              </w:rPr>
            </w:pPr>
            <w:r w:rsidRPr="00912996">
              <w:rPr>
                <w:rFonts w:ascii="Calibri" w:hAnsi="Calibri"/>
                <w:bCs/>
                <w:lang w:eastAsia="ja-JP"/>
              </w:rPr>
              <w:t>2,040,816</w:t>
            </w:r>
          </w:p>
        </w:tc>
        <w:tc>
          <w:tcPr>
            <w:tcW w:w="347" w:type="pct"/>
            <w:shd w:val="clear" w:color="auto" w:fill="F2F2F2"/>
            <w:hideMark/>
          </w:tcPr>
          <w:p w14:paraId="06D8CB15"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5F38D3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bugetul local, bugetul de stat, alte surse de finanțare</w:t>
            </w:r>
          </w:p>
        </w:tc>
        <w:tc>
          <w:tcPr>
            <w:tcW w:w="433" w:type="pct"/>
            <w:shd w:val="clear" w:color="auto" w:fill="F2F2F2"/>
            <w:hideMark/>
          </w:tcPr>
          <w:p w14:paraId="2B7E483C"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26A5EEEE"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consultarea locuitorilor,, grup de lucru tematic</w:t>
            </w:r>
          </w:p>
        </w:tc>
      </w:tr>
      <w:tr w:rsidR="00E16711" w:rsidRPr="00912996" w14:paraId="57EE02CC" w14:textId="77777777" w:rsidTr="00E16711">
        <w:trPr>
          <w:trHeight w:val="1584"/>
        </w:trPr>
        <w:tc>
          <w:tcPr>
            <w:tcW w:w="205" w:type="pct"/>
            <w:shd w:val="clear" w:color="auto" w:fill="F2F2F2"/>
            <w:noWrap/>
            <w:hideMark/>
          </w:tcPr>
          <w:p w14:paraId="162C5D3D"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3F01B491" w14:textId="77777777" w:rsidR="00395D01" w:rsidRPr="00912996" w:rsidRDefault="00395D01" w:rsidP="00292396">
            <w:pPr>
              <w:rPr>
                <w:rFonts w:ascii="Calibri" w:hAnsi="Calibri"/>
                <w:bCs/>
                <w:lang w:eastAsia="ja-JP"/>
              </w:rPr>
            </w:pPr>
            <w:r w:rsidRPr="00912996">
              <w:rPr>
                <w:rFonts w:ascii="Calibri" w:hAnsi="Calibri"/>
                <w:bCs/>
                <w:lang w:eastAsia="ja-JP"/>
              </w:rPr>
              <w:t>Program de desființare a ghenelor de gunoi din blocuri și de refuncționalizare a acestor spații (se va studia posibilitatea transformării în spații de colectare a deșeurilor reciclabile din hârtie/sticlă) - proiect pilot: 100 blocuri</w:t>
            </w:r>
          </w:p>
        </w:tc>
        <w:tc>
          <w:tcPr>
            <w:tcW w:w="640" w:type="pct"/>
            <w:shd w:val="clear" w:color="auto" w:fill="F2F2F2"/>
            <w:hideMark/>
          </w:tcPr>
          <w:p w14:paraId="3F78FC7D" w14:textId="77777777" w:rsidR="00395D01" w:rsidRPr="00912996" w:rsidRDefault="00395D01" w:rsidP="00292396">
            <w:pPr>
              <w:rPr>
                <w:rFonts w:ascii="Calibri" w:hAnsi="Calibri"/>
                <w:bCs/>
                <w:lang w:eastAsia="ja-JP"/>
              </w:rPr>
            </w:pPr>
            <w:r w:rsidRPr="00912996">
              <w:rPr>
                <w:rFonts w:ascii="Calibri" w:hAnsi="Calibri"/>
                <w:bCs/>
                <w:lang w:eastAsia="ja-JP"/>
              </w:rPr>
              <w:t>PS2, asociațiile de proprietari</w:t>
            </w:r>
          </w:p>
        </w:tc>
        <w:tc>
          <w:tcPr>
            <w:tcW w:w="507" w:type="pct"/>
            <w:shd w:val="clear" w:color="auto" w:fill="F2F2F2"/>
            <w:hideMark/>
          </w:tcPr>
          <w:p w14:paraId="1F7B0AC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E590CB8" w14:textId="77777777" w:rsidR="00395D01" w:rsidRPr="00912996" w:rsidRDefault="00395D01" w:rsidP="00292396">
            <w:pPr>
              <w:rPr>
                <w:rFonts w:ascii="Calibri" w:hAnsi="Calibri"/>
                <w:bCs/>
                <w:lang w:eastAsia="ja-JP"/>
              </w:rPr>
            </w:pPr>
            <w:r w:rsidRPr="00912996">
              <w:rPr>
                <w:rFonts w:ascii="Calibri" w:hAnsi="Calibri"/>
                <w:bCs/>
                <w:lang w:eastAsia="ja-JP"/>
              </w:rPr>
              <w:t>70,000,000</w:t>
            </w:r>
          </w:p>
        </w:tc>
        <w:tc>
          <w:tcPr>
            <w:tcW w:w="411" w:type="pct"/>
            <w:shd w:val="clear" w:color="auto" w:fill="F2F2F2"/>
            <w:hideMark/>
          </w:tcPr>
          <w:p w14:paraId="4949D0ED" w14:textId="77777777" w:rsidR="00395D01" w:rsidRPr="00912996" w:rsidRDefault="00395D01" w:rsidP="00292396">
            <w:pPr>
              <w:rPr>
                <w:rFonts w:ascii="Calibri" w:hAnsi="Calibri"/>
                <w:bCs/>
                <w:lang w:eastAsia="ja-JP"/>
              </w:rPr>
            </w:pPr>
            <w:r w:rsidRPr="00912996">
              <w:rPr>
                <w:rFonts w:ascii="Calibri" w:hAnsi="Calibri"/>
                <w:bCs/>
                <w:lang w:eastAsia="ja-JP"/>
              </w:rPr>
              <w:t>14,285,714</w:t>
            </w:r>
          </w:p>
        </w:tc>
        <w:tc>
          <w:tcPr>
            <w:tcW w:w="347" w:type="pct"/>
            <w:shd w:val="clear" w:color="auto" w:fill="F2F2F2"/>
            <w:hideMark/>
          </w:tcPr>
          <w:p w14:paraId="2FE0E506"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61BED13F"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bugetul de stat, alte surse de finanțare</w:t>
            </w:r>
          </w:p>
        </w:tc>
        <w:tc>
          <w:tcPr>
            <w:tcW w:w="433" w:type="pct"/>
            <w:shd w:val="clear" w:color="auto" w:fill="F2F2F2"/>
            <w:hideMark/>
          </w:tcPr>
          <w:p w14:paraId="706E5552"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3CC1928"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consultarea locuitorilor, grup de lucru tematic</w:t>
            </w:r>
          </w:p>
        </w:tc>
      </w:tr>
      <w:tr w:rsidR="00E16711" w:rsidRPr="00912996" w14:paraId="243C97D2" w14:textId="77777777" w:rsidTr="00E16711">
        <w:trPr>
          <w:trHeight w:val="1320"/>
        </w:trPr>
        <w:tc>
          <w:tcPr>
            <w:tcW w:w="205" w:type="pct"/>
            <w:shd w:val="clear" w:color="auto" w:fill="F2F2F2"/>
            <w:noWrap/>
            <w:hideMark/>
          </w:tcPr>
          <w:p w14:paraId="60EE4232"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2F6E5C32" w14:textId="77777777" w:rsidR="00395D01" w:rsidRPr="00912996" w:rsidRDefault="00395D01" w:rsidP="00292396">
            <w:pPr>
              <w:rPr>
                <w:rFonts w:ascii="Calibri" w:hAnsi="Calibri"/>
                <w:bCs/>
                <w:lang w:eastAsia="ja-JP"/>
              </w:rPr>
            </w:pPr>
            <w:r w:rsidRPr="00912996">
              <w:rPr>
                <w:rFonts w:ascii="Calibri" w:hAnsi="Calibri"/>
                <w:bCs/>
                <w:lang w:eastAsia="ja-JP"/>
              </w:rPr>
              <w:t>Program de acordare de sprijin tehnic asociațiilor de proprietari în vederea realizării de cărților tehnice pentru imobilele de locuințe colective</w:t>
            </w:r>
          </w:p>
        </w:tc>
        <w:tc>
          <w:tcPr>
            <w:tcW w:w="640" w:type="pct"/>
            <w:shd w:val="clear" w:color="auto" w:fill="F2F2F2"/>
            <w:hideMark/>
          </w:tcPr>
          <w:p w14:paraId="37D3B073" w14:textId="77777777" w:rsidR="00395D01" w:rsidRPr="00912996" w:rsidRDefault="00395D01" w:rsidP="00292396">
            <w:pPr>
              <w:rPr>
                <w:rFonts w:ascii="Calibri" w:hAnsi="Calibri"/>
                <w:bCs/>
                <w:lang w:eastAsia="ja-JP"/>
              </w:rPr>
            </w:pPr>
            <w:r w:rsidRPr="00912996">
              <w:rPr>
                <w:rFonts w:ascii="Calibri" w:hAnsi="Calibri"/>
                <w:bCs/>
                <w:lang w:eastAsia="ja-JP"/>
              </w:rPr>
              <w:t>PS2, asociațiile de proprietari</w:t>
            </w:r>
          </w:p>
        </w:tc>
        <w:tc>
          <w:tcPr>
            <w:tcW w:w="507" w:type="pct"/>
            <w:shd w:val="clear" w:color="auto" w:fill="F2F2F2"/>
            <w:hideMark/>
          </w:tcPr>
          <w:p w14:paraId="4F24EDC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6C33932"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411" w:type="pct"/>
            <w:shd w:val="clear" w:color="auto" w:fill="F2F2F2"/>
            <w:hideMark/>
          </w:tcPr>
          <w:p w14:paraId="1A7612B3" w14:textId="77777777" w:rsidR="00395D01" w:rsidRPr="00912996" w:rsidRDefault="00395D01" w:rsidP="00292396">
            <w:pPr>
              <w:rPr>
                <w:rFonts w:ascii="Calibri" w:hAnsi="Calibri"/>
                <w:bCs/>
                <w:lang w:eastAsia="ja-JP"/>
              </w:rPr>
            </w:pPr>
            <w:r w:rsidRPr="00912996">
              <w:rPr>
                <w:rFonts w:ascii="Calibri" w:hAnsi="Calibri"/>
                <w:bCs/>
                <w:lang w:eastAsia="ja-JP"/>
              </w:rPr>
              <w:t>1,020,408</w:t>
            </w:r>
          </w:p>
        </w:tc>
        <w:tc>
          <w:tcPr>
            <w:tcW w:w="347" w:type="pct"/>
            <w:shd w:val="clear" w:color="auto" w:fill="F2F2F2"/>
            <w:hideMark/>
          </w:tcPr>
          <w:p w14:paraId="3EB82735"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9C4EF5A" w14:textId="77777777" w:rsidR="00395D01" w:rsidRPr="00912996" w:rsidRDefault="00395D01" w:rsidP="00292396">
            <w:pPr>
              <w:rPr>
                <w:rFonts w:ascii="Calibri" w:hAnsi="Calibri"/>
                <w:bCs/>
                <w:lang w:eastAsia="ja-JP"/>
              </w:rPr>
            </w:pPr>
            <w:r w:rsidRPr="00912996">
              <w:rPr>
                <w:rFonts w:ascii="Calibri" w:hAnsi="Calibri"/>
                <w:bCs/>
                <w:lang w:eastAsia="ja-JP"/>
              </w:rPr>
              <w:t>POR BI 2021-2027 P3, bugetul local, bugetul de stat, alte surse de finanțare</w:t>
            </w:r>
          </w:p>
        </w:tc>
        <w:tc>
          <w:tcPr>
            <w:tcW w:w="433" w:type="pct"/>
            <w:shd w:val="clear" w:color="auto" w:fill="F2F2F2"/>
            <w:hideMark/>
          </w:tcPr>
          <w:p w14:paraId="531F1407"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A50438E"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consultarea locuitorilor</w:t>
            </w:r>
          </w:p>
        </w:tc>
      </w:tr>
      <w:tr w:rsidR="00E16711" w:rsidRPr="00912996" w14:paraId="1D82D257" w14:textId="77777777" w:rsidTr="00DE2EE6">
        <w:trPr>
          <w:trHeight w:val="624"/>
        </w:trPr>
        <w:tc>
          <w:tcPr>
            <w:tcW w:w="205" w:type="pct"/>
            <w:shd w:val="clear" w:color="auto" w:fill="F2F2F2"/>
            <w:noWrap/>
            <w:hideMark/>
          </w:tcPr>
          <w:p w14:paraId="43992915"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65C9E3A4" w14:textId="77777777" w:rsidR="00395D01" w:rsidRPr="00912996" w:rsidRDefault="00395D01" w:rsidP="00292396">
            <w:pPr>
              <w:rPr>
                <w:rFonts w:ascii="Calibri" w:hAnsi="Calibri"/>
                <w:bCs/>
                <w:lang w:eastAsia="ja-JP"/>
              </w:rPr>
            </w:pPr>
            <w:r w:rsidRPr="00912996">
              <w:rPr>
                <w:rFonts w:ascii="Calibri" w:hAnsi="Calibri"/>
                <w:bCs/>
                <w:lang w:eastAsia="ja-JP"/>
              </w:rPr>
              <w:t>Concurs de soluții pentru refațadizarea clădirilor din cadrul unui ansamblu de locuințe colective (Zona Obor)</w:t>
            </w:r>
          </w:p>
        </w:tc>
        <w:tc>
          <w:tcPr>
            <w:tcW w:w="640" w:type="pct"/>
            <w:shd w:val="clear" w:color="auto" w:fill="F2F2F2"/>
            <w:hideMark/>
          </w:tcPr>
          <w:p w14:paraId="0D2F02B1" w14:textId="77777777" w:rsidR="00395D01" w:rsidRPr="00912996" w:rsidRDefault="00395D01" w:rsidP="00292396">
            <w:pPr>
              <w:rPr>
                <w:rFonts w:ascii="Calibri" w:hAnsi="Calibri"/>
                <w:bCs/>
                <w:lang w:eastAsia="ja-JP"/>
              </w:rPr>
            </w:pPr>
            <w:r w:rsidRPr="00912996">
              <w:rPr>
                <w:rFonts w:ascii="Calibri" w:hAnsi="Calibri"/>
                <w:bCs/>
                <w:lang w:eastAsia="ja-JP"/>
              </w:rPr>
              <w:t>PS2, OAR, asociații de proprietari</w:t>
            </w:r>
          </w:p>
        </w:tc>
        <w:tc>
          <w:tcPr>
            <w:tcW w:w="507" w:type="pct"/>
            <w:shd w:val="clear" w:color="auto" w:fill="F2F2F2"/>
            <w:hideMark/>
          </w:tcPr>
          <w:p w14:paraId="5F86FA4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83CFFB6"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411" w:type="pct"/>
            <w:shd w:val="clear" w:color="auto" w:fill="F2F2F2"/>
            <w:hideMark/>
          </w:tcPr>
          <w:p w14:paraId="372ADB9C" w14:textId="77777777" w:rsidR="00395D01" w:rsidRPr="00912996" w:rsidRDefault="00395D01" w:rsidP="00292396">
            <w:pPr>
              <w:rPr>
                <w:rFonts w:ascii="Calibri" w:hAnsi="Calibri"/>
                <w:bCs/>
                <w:lang w:eastAsia="ja-JP"/>
              </w:rPr>
            </w:pPr>
            <w:r w:rsidRPr="00912996">
              <w:rPr>
                <w:rFonts w:ascii="Calibri" w:hAnsi="Calibri"/>
                <w:bCs/>
                <w:lang w:eastAsia="ja-JP"/>
              </w:rPr>
              <w:t>612,245</w:t>
            </w:r>
          </w:p>
        </w:tc>
        <w:tc>
          <w:tcPr>
            <w:tcW w:w="347" w:type="pct"/>
            <w:shd w:val="clear" w:color="auto" w:fill="F2F2F2"/>
            <w:hideMark/>
          </w:tcPr>
          <w:p w14:paraId="0237B822" w14:textId="77777777" w:rsidR="00395D01" w:rsidRPr="00912996" w:rsidRDefault="00395D01" w:rsidP="0029239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2E9F9644"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C10, bugetul local, bugetul de stat, alte surse de finanțare</w:t>
            </w:r>
          </w:p>
        </w:tc>
        <w:tc>
          <w:tcPr>
            <w:tcW w:w="433" w:type="pct"/>
            <w:shd w:val="clear" w:color="auto" w:fill="F2F2F2"/>
            <w:hideMark/>
          </w:tcPr>
          <w:p w14:paraId="3B54851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482EB1F"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grup de lucru tematic</w:t>
            </w:r>
          </w:p>
        </w:tc>
      </w:tr>
      <w:tr w:rsidR="00395D01" w:rsidRPr="00912996" w14:paraId="35C53074" w14:textId="77777777" w:rsidTr="00292396">
        <w:trPr>
          <w:trHeight w:val="264"/>
        </w:trPr>
        <w:tc>
          <w:tcPr>
            <w:tcW w:w="5000" w:type="pct"/>
            <w:gridSpan w:val="12"/>
            <w:shd w:val="clear" w:color="auto" w:fill="CCE188"/>
            <w:noWrap/>
            <w:hideMark/>
          </w:tcPr>
          <w:p w14:paraId="3ECC116C" w14:textId="77777777" w:rsidR="00395D01" w:rsidRPr="00912996" w:rsidRDefault="00395D01" w:rsidP="00DE2EE6">
            <w:pPr>
              <w:jc w:val="center"/>
              <w:rPr>
                <w:rFonts w:ascii="Calibri" w:hAnsi="Calibri"/>
                <w:b/>
                <w:bCs/>
                <w:color w:val="FFFFFF"/>
                <w:lang w:eastAsia="ja-JP"/>
              </w:rPr>
            </w:pPr>
            <w:r w:rsidRPr="00912996">
              <w:rPr>
                <w:rFonts w:ascii="Calibri" w:hAnsi="Calibri"/>
                <w:b/>
                <w:bCs/>
                <w:color w:val="FFFFFF"/>
                <w:lang w:eastAsia="ja-JP"/>
              </w:rPr>
              <w:t>OBIECTIV SPECIFIC O1.3. - Educarea noilor generații are loc în condiții de practici și infrastructură modernă a mediului educațional, favorabile dezvoltării echilibrate a tinerilor</w:t>
            </w:r>
          </w:p>
        </w:tc>
      </w:tr>
      <w:tr w:rsidR="00395D01" w:rsidRPr="00912996" w14:paraId="0F2402FF" w14:textId="77777777" w:rsidTr="00292396">
        <w:trPr>
          <w:trHeight w:val="264"/>
        </w:trPr>
        <w:tc>
          <w:tcPr>
            <w:tcW w:w="5000" w:type="pct"/>
            <w:gridSpan w:val="12"/>
            <w:shd w:val="clear" w:color="auto" w:fill="BBD9A0"/>
            <w:noWrap/>
            <w:hideMark/>
          </w:tcPr>
          <w:p w14:paraId="68E0B245" w14:textId="77777777" w:rsidR="00395D01" w:rsidRPr="00912996" w:rsidRDefault="00395D01" w:rsidP="00DE2EE6">
            <w:pPr>
              <w:jc w:val="center"/>
              <w:rPr>
                <w:rFonts w:ascii="Calibri" w:hAnsi="Calibri"/>
                <w:b/>
                <w:bCs/>
                <w:color w:val="FFFFFF"/>
                <w:lang w:eastAsia="ja-JP"/>
              </w:rPr>
            </w:pPr>
            <w:r w:rsidRPr="00912996">
              <w:rPr>
                <w:rFonts w:ascii="Calibri" w:hAnsi="Calibri"/>
                <w:b/>
                <w:bCs/>
                <w:color w:val="FFFFFF"/>
                <w:lang w:eastAsia="ja-JP"/>
              </w:rPr>
              <w:t>D1.3.1. Extinderea, modernizarea, digitalizarea și dotarea infrastructurii educaționale existente în Sectorul 2</w:t>
            </w:r>
          </w:p>
        </w:tc>
      </w:tr>
      <w:tr w:rsidR="00E16711" w:rsidRPr="00912996" w14:paraId="6D774F1C" w14:textId="77777777" w:rsidTr="00E16711">
        <w:trPr>
          <w:trHeight w:val="1056"/>
        </w:trPr>
        <w:tc>
          <w:tcPr>
            <w:tcW w:w="205" w:type="pct"/>
            <w:shd w:val="clear" w:color="auto" w:fill="F2F2F2"/>
            <w:noWrap/>
            <w:hideMark/>
          </w:tcPr>
          <w:p w14:paraId="7393A2C3"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01D8008A" w14:textId="77777777" w:rsidR="00395D01" w:rsidRPr="00912996" w:rsidRDefault="00395D01" w:rsidP="00292396">
            <w:pPr>
              <w:rPr>
                <w:rFonts w:ascii="Calibri" w:hAnsi="Calibri"/>
                <w:bCs/>
                <w:lang w:eastAsia="ja-JP"/>
              </w:rPr>
            </w:pPr>
            <w:r w:rsidRPr="00E23CCD">
              <w:rPr>
                <w:rFonts w:ascii="Calibri" w:hAnsi="Calibri"/>
                <w:bCs/>
                <w:lang w:eastAsia="ja-JP"/>
              </w:rPr>
              <w:t>Eficientizare energetică, prin reabilitare/modernizare a Liceului Tehnologic Ion I.C. Brătianu şi a căminului aferent</w:t>
            </w:r>
          </w:p>
        </w:tc>
        <w:tc>
          <w:tcPr>
            <w:tcW w:w="640" w:type="pct"/>
            <w:shd w:val="clear" w:color="auto" w:fill="F2F2F2"/>
            <w:hideMark/>
          </w:tcPr>
          <w:p w14:paraId="56995E9C" w14:textId="77777777" w:rsidR="00395D01" w:rsidRPr="00912996" w:rsidRDefault="00395D01" w:rsidP="00292396">
            <w:pPr>
              <w:rPr>
                <w:rFonts w:ascii="Calibri" w:hAnsi="Calibri"/>
                <w:bCs/>
                <w:lang w:eastAsia="ja-JP"/>
              </w:rPr>
            </w:pPr>
            <w:r w:rsidRPr="00912996">
              <w:rPr>
                <w:rFonts w:ascii="Calibri" w:hAnsi="Calibri"/>
                <w:bCs/>
                <w:lang w:eastAsia="ja-JP"/>
              </w:rPr>
              <w:t>DGAPI, PS2</w:t>
            </w:r>
          </w:p>
        </w:tc>
        <w:tc>
          <w:tcPr>
            <w:tcW w:w="507" w:type="pct"/>
            <w:shd w:val="clear" w:color="auto" w:fill="F2F2F2"/>
            <w:hideMark/>
          </w:tcPr>
          <w:p w14:paraId="54CF7485"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35B5E7BC" w14:textId="77777777" w:rsidR="00395D01" w:rsidRPr="00912996" w:rsidRDefault="00395D01" w:rsidP="00292396">
            <w:pPr>
              <w:rPr>
                <w:rFonts w:ascii="Calibri" w:hAnsi="Calibri"/>
                <w:bCs/>
                <w:lang w:eastAsia="ja-JP"/>
              </w:rPr>
            </w:pPr>
            <w:r w:rsidRPr="0065198D">
              <w:rPr>
                <w:rFonts w:ascii="Calibri" w:hAnsi="Calibri"/>
                <w:bCs/>
                <w:lang w:eastAsia="ja-JP"/>
              </w:rPr>
              <w:t>8</w:t>
            </w:r>
            <w:r>
              <w:rPr>
                <w:rFonts w:ascii="Calibri" w:hAnsi="Calibri"/>
                <w:bCs/>
                <w:lang w:eastAsia="ja-JP"/>
              </w:rPr>
              <w:t>,</w:t>
            </w:r>
            <w:r w:rsidRPr="0065198D">
              <w:rPr>
                <w:rFonts w:ascii="Calibri" w:hAnsi="Calibri"/>
                <w:bCs/>
                <w:lang w:eastAsia="ja-JP"/>
              </w:rPr>
              <w:t>179</w:t>
            </w:r>
            <w:r>
              <w:rPr>
                <w:rFonts w:ascii="Calibri" w:hAnsi="Calibri"/>
                <w:bCs/>
                <w:lang w:eastAsia="ja-JP"/>
              </w:rPr>
              <w:t>,</w:t>
            </w:r>
            <w:r w:rsidRPr="0065198D">
              <w:rPr>
                <w:rFonts w:ascii="Calibri" w:hAnsi="Calibri"/>
                <w:bCs/>
                <w:lang w:eastAsia="ja-JP"/>
              </w:rPr>
              <w:t>945</w:t>
            </w:r>
          </w:p>
        </w:tc>
        <w:tc>
          <w:tcPr>
            <w:tcW w:w="411" w:type="pct"/>
            <w:shd w:val="clear" w:color="auto" w:fill="F2F2F2"/>
            <w:hideMark/>
          </w:tcPr>
          <w:p w14:paraId="1E87F3D6"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w:t>
            </w:r>
            <w:r w:rsidRPr="00912996">
              <w:rPr>
                <w:rFonts w:ascii="Calibri" w:hAnsi="Calibri"/>
                <w:bCs/>
                <w:lang w:eastAsia="ja-JP"/>
              </w:rPr>
              <w:t>669</w:t>
            </w:r>
            <w:r>
              <w:rPr>
                <w:rFonts w:ascii="Calibri" w:hAnsi="Calibri"/>
                <w:bCs/>
                <w:lang w:eastAsia="ja-JP"/>
              </w:rPr>
              <w:t>,</w:t>
            </w:r>
            <w:r w:rsidRPr="00912996">
              <w:rPr>
                <w:rFonts w:ascii="Calibri" w:hAnsi="Calibri"/>
                <w:bCs/>
                <w:lang w:eastAsia="ja-JP"/>
              </w:rPr>
              <w:t>376</w:t>
            </w:r>
          </w:p>
        </w:tc>
        <w:tc>
          <w:tcPr>
            <w:tcW w:w="347" w:type="pct"/>
            <w:shd w:val="clear" w:color="auto" w:fill="F2F2F2"/>
            <w:hideMark/>
          </w:tcPr>
          <w:p w14:paraId="60A218BB" w14:textId="77777777" w:rsidR="00395D01" w:rsidRPr="00912996" w:rsidRDefault="00395D01" w:rsidP="00292396">
            <w:pPr>
              <w:rPr>
                <w:rFonts w:ascii="Calibri" w:hAnsi="Calibri"/>
                <w:bCs/>
                <w:lang w:eastAsia="ja-JP"/>
              </w:rPr>
            </w:pPr>
            <w:r w:rsidRPr="00E23CCD">
              <w:rPr>
                <w:rFonts w:ascii="Calibri" w:hAnsi="Calibri"/>
                <w:bCs/>
                <w:lang w:eastAsia="ja-JP"/>
              </w:rPr>
              <w:t>19.12.2019 – 12.2023</w:t>
            </w:r>
          </w:p>
        </w:tc>
        <w:tc>
          <w:tcPr>
            <w:tcW w:w="484" w:type="pct"/>
            <w:gridSpan w:val="2"/>
            <w:shd w:val="clear" w:color="auto" w:fill="F2F2F2"/>
            <w:hideMark/>
          </w:tcPr>
          <w:p w14:paraId="459B9C6B" w14:textId="7A087466" w:rsidR="00395D01" w:rsidRPr="00912996" w:rsidRDefault="00395D01" w:rsidP="00292396">
            <w:pPr>
              <w:rPr>
                <w:rFonts w:ascii="Calibri" w:hAnsi="Calibri"/>
                <w:bCs/>
                <w:lang w:eastAsia="ja-JP"/>
              </w:rPr>
            </w:pPr>
            <w:r w:rsidRPr="0065198D">
              <w:rPr>
                <w:rFonts w:ascii="Calibri" w:hAnsi="Calibri"/>
                <w:bCs/>
                <w:lang w:eastAsia="ja-JP"/>
              </w:rPr>
              <w:t xml:space="preserve">Programul Operațional Regional, Prioritatea de </w:t>
            </w:r>
            <w:r w:rsidR="00DE2EE6" w:rsidRPr="0065198D">
              <w:rPr>
                <w:rFonts w:ascii="Calibri" w:hAnsi="Calibri"/>
                <w:bCs/>
                <w:lang w:eastAsia="ja-JP"/>
              </w:rPr>
              <w:t>Investiții</w:t>
            </w:r>
            <w:r w:rsidRPr="0065198D">
              <w:rPr>
                <w:rFonts w:ascii="Calibri" w:hAnsi="Calibri"/>
                <w:bCs/>
                <w:lang w:eastAsia="ja-JP"/>
              </w:rPr>
              <w:t xml:space="preserve"> 10.1., Bugetul local, </w:t>
            </w:r>
            <w:r w:rsidRPr="00912996">
              <w:rPr>
                <w:rFonts w:ascii="Calibri" w:hAnsi="Calibri"/>
                <w:bCs/>
                <w:lang w:eastAsia="ja-JP"/>
              </w:rPr>
              <w:t xml:space="preserve"> Alte surse de finanțare</w:t>
            </w:r>
          </w:p>
        </w:tc>
        <w:tc>
          <w:tcPr>
            <w:tcW w:w="433" w:type="pct"/>
            <w:shd w:val="clear" w:color="auto" w:fill="F2F2F2"/>
            <w:hideMark/>
          </w:tcPr>
          <w:p w14:paraId="7DCC909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BD38A8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2C830C5" w14:textId="77777777" w:rsidTr="00E16711">
        <w:trPr>
          <w:trHeight w:val="1056"/>
        </w:trPr>
        <w:tc>
          <w:tcPr>
            <w:tcW w:w="205" w:type="pct"/>
            <w:shd w:val="clear" w:color="auto" w:fill="F2F2F2"/>
            <w:noWrap/>
            <w:hideMark/>
          </w:tcPr>
          <w:p w14:paraId="1522EA19"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777B7D8C" w14:textId="77777777" w:rsidR="00395D01" w:rsidRPr="00912996" w:rsidRDefault="00395D01" w:rsidP="00292396">
            <w:pPr>
              <w:rPr>
                <w:rFonts w:ascii="Calibri" w:hAnsi="Calibri"/>
                <w:bCs/>
                <w:lang w:eastAsia="ja-JP"/>
              </w:rPr>
            </w:pPr>
            <w:r w:rsidRPr="00912996">
              <w:rPr>
                <w:rFonts w:ascii="Calibri" w:hAnsi="Calibri"/>
                <w:bCs/>
                <w:lang w:eastAsia="ja-JP"/>
              </w:rPr>
              <w:t>Eficientizare energetică prin reabilitare/modernizare a Școlii nr. 64 „Ferdinand I”</w:t>
            </w:r>
          </w:p>
        </w:tc>
        <w:tc>
          <w:tcPr>
            <w:tcW w:w="640" w:type="pct"/>
            <w:shd w:val="clear" w:color="auto" w:fill="F2F2F2"/>
            <w:hideMark/>
          </w:tcPr>
          <w:p w14:paraId="578C541A" w14:textId="77777777" w:rsidR="00395D01" w:rsidRPr="00912996" w:rsidRDefault="00395D01" w:rsidP="00292396">
            <w:pPr>
              <w:rPr>
                <w:rFonts w:ascii="Calibri" w:hAnsi="Calibri"/>
                <w:bCs/>
                <w:lang w:eastAsia="ja-JP"/>
              </w:rPr>
            </w:pPr>
            <w:r w:rsidRPr="00912996">
              <w:rPr>
                <w:rFonts w:ascii="Calibri" w:hAnsi="Calibri"/>
                <w:bCs/>
                <w:lang w:eastAsia="ja-JP"/>
              </w:rPr>
              <w:t>DGAPI, PS2</w:t>
            </w:r>
          </w:p>
        </w:tc>
        <w:tc>
          <w:tcPr>
            <w:tcW w:w="507" w:type="pct"/>
            <w:shd w:val="clear" w:color="auto" w:fill="F2F2F2"/>
            <w:hideMark/>
          </w:tcPr>
          <w:p w14:paraId="3D83472E"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704E9277" w14:textId="77777777" w:rsidR="00395D01" w:rsidRPr="00912996" w:rsidRDefault="00395D01" w:rsidP="00292396">
            <w:pPr>
              <w:rPr>
                <w:rFonts w:ascii="Calibri" w:hAnsi="Calibri"/>
                <w:bCs/>
                <w:lang w:eastAsia="ja-JP"/>
              </w:rPr>
            </w:pPr>
            <w:r w:rsidRPr="00912996">
              <w:rPr>
                <w:rFonts w:ascii="Calibri" w:hAnsi="Calibri"/>
                <w:bCs/>
                <w:lang w:eastAsia="ja-JP"/>
              </w:rPr>
              <w:t>8,282,475</w:t>
            </w:r>
          </w:p>
        </w:tc>
        <w:tc>
          <w:tcPr>
            <w:tcW w:w="411" w:type="pct"/>
            <w:shd w:val="clear" w:color="auto" w:fill="F2F2F2"/>
            <w:hideMark/>
          </w:tcPr>
          <w:p w14:paraId="1155C882" w14:textId="77777777" w:rsidR="00395D01" w:rsidRPr="00912996" w:rsidRDefault="00395D01" w:rsidP="00292396">
            <w:pPr>
              <w:rPr>
                <w:rFonts w:ascii="Calibri" w:hAnsi="Calibri"/>
                <w:bCs/>
                <w:lang w:eastAsia="ja-JP"/>
              </w:rPr>
            </w:pPr>
            <w:r w:rsidRPr="00912996">
              <w:rPr>
                <w:rFonts w:ascii="Calibri" w:hAnsi="Calibri"/>
                <w:bCs/>
                <w:lang w:eastAsia="ja-JP"/>
              </w:rPr>
              <w:t>1,690,301</w:t>
            </w:r>
          </w:p>
        </w:tc>
        <w:tc>
          <w:tcPr>
            <w:tcW w:w="347" w:type="pct"/>
            <w:shd w:val="clear" w:color="auto" w:fill="F2F2F2"/>
            <w:hideMark/>
          </w:tcPr>
          <w:p w14:paraId="22F9DEA6" w14:textId="77777777" w:rsidR="00395D01" w:rsidRPr="00912996" w:rsidRDefault="00395D01" w:rsidP="00292396">
            <w:pPr>
              <w:rPr>
                <w:rFonts w:ascii="Calibri" w:hAnsi="Calibri"/>
                <w:bCs/>
                <w:lang w:eastAsia="ja-JP"/>
              </w:rPr>
            </w:pPr>
            <w:r w:rsidRPr="0065198D">
              <w:rPr>
                <w:rFonts w:ascii="Calibri" w:hAnsi="Calibri"/>
                <w:bCs/>
                <w:lang w:eastAsia="ja-JP"/>
              </w:rPr>
              <w:t>03.2019 – 12.2023</w:t>
            </w:r>
          </w:p>
        </w:tc>
        <w:tc>
          <w:tcPr>
            <w:tcW w:w="484" w:type="pct"/>
            <w:gridSpan w:val="2"/>
            <w:shd w:val="clear" w:color="auto" w:fill="F2F2F2"/>
            <w:hideMark/>
          </w:tcPr>
          <w:p w14:paraId="66DF3B5A" w14:textId="77777777" w:rsidR="00395D01" w:rsidRPr="00912996" w:rsidRDefault="00395D01" w:rsidP="00292396">
            <w:pPr>
              <w:rPr>
                <w:rFonts w:ascii="Calibri" w:hAnsi="Calibri"/>
                <w:bCs/>
                <w:lang w:eastAsia="ja-JP"/>
              </w:rPr>
            </w:pPr>
            <w:r w:rsidRPr="0065198D">
              <w:rPr>
                <w:rFonts w:ascii="Calibri" w:hAnsi="Calibri"/>
                <w:bCs/>
                <w:lang w:eastAsia="ja-JP"/>
              </w:rPr>
              <w:t>Program Operațional Regional 2014-2020</w:t>
            </w:r>
          </w:p>
        </w:tc>
        <w:tc>
          <w:tcPr>
            <w:tcW w:w="433" w:type="pct"/>
            <w:shd w:val="clear" w:color="auto" w:fill="F2F2F2"/>
            <w:hideMark/>
          </w:tcPr>
          <w:p w14:paraId="1CF4DC9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8C0429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5610AD8" w14:textId="77777777" w:rsidTr="00E16711">
        <w:trPr>
          <w:trHeight w:val="1056"/>
        </w:trPr>
        <w:tc>
          <w:tcPr>
            <w:tcW w:w="205" w:type="pct"/>
            <w:shd w:val="clear" w:color="auto" w:fill="F2F2F2"/>
            <w:noWrap/>
            <w:hideMark/>
          </w:tcPr>
          <w:p w14:paraId="55039DCD"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06C9B013" w14:textId="77777777" w:rsidR="00395D01" w:rsidRPr="00912996" w:rsidRDefault="00395D01" w:rsidP="00292396">
            <w:pPr>
              <w:rPr>
                <w:rFonts w:ascii="Calibri" w:hAnsi="Calibri"/>
                <w:bCs/>
                <w:lang w:eastAsia="ja-JP"/>
              </w:rPr>
            </w:pPr>
            <w:r w:rsidRPr="00912996">
              <w:rPr>
                <w:rFonts w:ascii="Calibri" w:hAnsi="Calibri"/>
                <w:bCs/>
                <w:lang w:eastAsia="ja-JP"/>
              </w:rPr>
              <w:t>Creșterea capacitații unităților de învățământ de stat din Sectorul 2 al municipiului București pentru gestionarea riscului de infecție cu virusul SARS-Cov-2</w:t>
            </w:r>
          </w:p>
        </w:tc>
        <w:tc>
          <w:tcPr>
            <w:tcW w:w="640" w:type="pct"/>
            <w:shd w:val="clear" w:color="auto" w:fill="F2F2F2"/>
            <w:hideMark/>
          </w:tcPr>
          <w:p w14:paraId="027470EB"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81C9AB2"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0C6788C5" w14:textId="77777777" w:rsidR="00395D01" w:rsidRPr="00912996" w:rsidRDefault="00395D01" w:rsidP="00292396">
            <w:pPr>
              <w:rPr>
                <w:rFonts w:ascii="Calibri" w:hAnsi="Calibri"/>
                <w:bCs/>
                <w:lang w:eastAsia="ja-JP"/>
              </w:rPr>
            </w:pPr>
            <w:r w:rsidRPr="00912996">
              <w:rPr>
                <w:rFonts w:ascii="Calibri" w:hAnsi="Calibri"/>
                <w:bCs/>
                <w:lang w:eastAsia="ja-JP"/>
              </w:rPr>
              <w:t>12,328,430</w:t>
            </w:r>
          </w:p>
        </w:tc>
        <w:tc>
          <w:tcPr>
            <w:tcW w:w="411" w:type="pct"/>
            <w:shd w:val="clear" w:color="auto" w:fill="F2F2F2"/>
            <w:hideMark/>
          </w:tcPr>
          <w:p w14:paraId="7AF69979" w14:textId="77777777" w:rsidR="00395D01" w:rsidRPr="00912996" w:rsidRDefault="00395D01" w:rsidP="00292396">
            <w:pPr>
              <w:rPr>
                <w:rFonts w:ascii="Calibri" w:hAnsi="Calibri"/>
                <w:bCs/>
                <w:lang w:eastAsia="ja-JP"/>
              </w:rPr>
            </w:pPr>
            <w:r w:rsidRPr="00912996">
              <w:rPr>
                <w:rFonts w:ascii="Calibri" w:hAnsi="Calibri"/>
                <w:bCs/>
                <w:lang w:eastAsia="ja-JP"/>
              </w:rPr>
              <w:t>2,516,006</w:t>
            </w:r>
          </w:p>
        </w:tc>
        <w:tc>
          <w:tcPr>
            <w:tcW w:w="347" w:type="pct"/>
            <w:shd w:val="clear" w:color="auto" w:fill="F2F2F2"/>
            <w:hideMark/>
          </w:tcPr>
          <w:p w14:paraId="616AA1BA" w14:textId="77777777" w:rsidR="00395D01" w:rsidRPr="00912996" w:rsidRDefault="00395D01" w:rsidP="00292396">
            <w:pPr>
              <w:rPr>
                <w:rFonts w:ascii="Calibri" w:hAnsi="Calibri"/>
                <w:bCs/>
                <w:lang w:eastAsia="ja-JP"/>
              </w:rPr>
            </w:pPr>
            <w:r w:rsidRPr="00912996">
              <w:rPr>
                <w:rFonts w:ascii="Calibri" w:hAnsi="Calibri"/>
                <w:bCs/>
                <w:lang w:eastAsia="ja-JP"/>
              </w:rPr>
              <w:t>04.2022 – 03.2023</w:t>
            </w:r>
          </w:p>
        </w:tc>
        <w:tc>
          <w:tcPr>
            <w:tcW w:w="484" w:type="pct"/>
            <w:gridSpan w:val="2"/>
            <w:shd w:val="clear" w:color="auto" w:fill="F2F2F2"/>
            <w:hideMark/>
          </w:tcPr>
          <w:p w14:paraId="52CB56A1" w14:textId="77777777" w:rsidR="00395D01" w:rsidRPr="00912996" w:rsidRDefault="00395D01" w:rsidP="00292396">
            <w:pPr>
              <w:rPr>
                <w:rFonts w:ascii="Calibri" w:hAnsi="Calibri"/>
                <w:bCs/>
                <w:lang w:eastAsia="ja-JP"/>
              </w:rPr>
            </w:pPr>
            <w:r w:rsidRPr="00912996">
              <w:rPr>
                <w:rFonts w:ascii="Calibri" w:hAnsi="Calibri"/>
                <w:bCs/>
                <w:lang w:eastAsia="ja-JP"/>
              </w:rPr>
              <w:t>POIM 2021-2027</w:t>
            </w:r>
          </w:p>
        </w:tc>
        <w:tc>
          <w:tcPr>
            <w:tcW w:w="433" w:type="pct"/>
            <w:shd w:val="clear" w:color="auto" w:fill="F2F2F2"/>
            <w:hideMark/>
          </w:tcPr>
          <w:p w14:paraId="5DC7343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E2AA74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E626CAE" w14:textId="77777777" w:rsidTr="00E16711">
        <w:trPr>
          <w:trHeight w:val="1584"/>
        </w:trPr>
        <w:tc>
          <w:tcPr>
            <w:tcW w:w="205" w:type="pct"/>
            <w:shd w:val="clear" w:color="auto" w:fill="F2F2F2"/>
            <w:noWrap/>
            <w:hideMark/>
          </w:tcPr>
          <w:p w14:paraId="76E9BA16"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7F94D1FA" w14:textId="77777777" w:rsidR="00395D01" w:rsidRPr="00912996" w:rsidRDefault="00395D01" w:rsidP="00292396">
            <w:pPr>
              <w:rPr>
                <w:rFonts w:ascii="Calibri" w:hAnsi="Calibri"/>
                <w:bCs/>
                <w:lang w:eastAsia="ja-JP"/>
              </w:rPr>
            </w:pPr>
            <w:r w:rsidRPr="00912996">
              <w:rPr>
                <w:rFonts w:ascii="Calibri" w:hAnsi="Calibri"/>
                <w:bCs/>
                <w:lang w:eastAsia="ja-JP"/>
              </w:rPr>
              <w:t>DTAC, proiectare și execuția de lucrări de consolidare, reabilitare și modernizare corp școala C4 – Colegiul Tehnic Dimitrie Leonida</w:t>
            </w:r>
          </w:p>
        </w:tc>
        <w:tc>
          <w:tcPr>
            <w:tcW w:w="640" w:type="pct"/>
            <w:shd w:val="clear" w:color="auto" w:fill="F2F2F2"/>
            <w:hideMark/>
          </w:tcPr>
          <w:p w14:paraId="0B486AEB"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43A8007"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034E7167" w14:textId="77777777" w:rsidR="00395D01" w:rsidRPr="00912996" w:rsidRDefault="00395D01" w:rsidP="00292396">
            <w:pPr>
              <w:rPr>
                <w:rFonts w:ascii="Calibri" w:hAnsi="Calibri"/>
                <w:bCs/>
                <w:lang w:eastAsia="ja-JP"/>
              </w:rPr>
            </w:pPr>
            <w:r w:rsidRPr="00912996">
              <w:rPr>
                <w:rFonts w:ascii="Calibri" w:hAnsi="Calibri"/>
                <w:bCs/>
                <w:lang w:eastAsia="ja-JP"/>
              </w:rPr>
              <w:t>14,257,000</w:t>
            </w:r>
          </w:p>
        </w:tc>
        <w:tc>
          <w:tcPr>
            <w:tcW w:w="411" w:type="pct"/>
            <w:shd w:val="clear" w:color="auto" w:fill="F2F2F2"/>
            <w:hideMark/>
          </w:tcPr>
          <w:p w14:paraId="73611C69" w14:textId="77777777" w:rsidR="00395D01" w:rsidRPr="00912996" w:rsidRDefault="00395D01" w:rsidP="00292396">
            <w:pPr>
              <w:rPr>
                <w:rFonts w:ascii="Calibri" w:hAnsi="Calibri"/>
                <w:bCs/>
                <w:lang w:eastAsia="ja-JP"/>
              </w:rPr>
            </w:pPr>
            <w:r w:rsidRPr="00912996">
              <w:rPr>
                <w:rFonts w:ascii="Calibri" w:hAnsi="Calibri"/>
                <w:bCs/>
                <w:lang w:eastAsia="ja-JP"/>
              </w:rPr>
              <w:t>2,909,592</w:t>
            </w:r>
          </w:p>
        </w:tc>
        <w:tc>
          <w:tcPr>
            <w:tcW w:w="347" w:type="pct"/>
            <w:shd w:val="clear" w:color="auto" w:fill="F2F2F2"/>
            <w:hideMark/>
          </w:tcPr>
          <w:p w14:paraId="6F8BD77D"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62D6C42E" w14:textId="77777777" w:rsidR="00395D01" w:rsidRPr="00912996" w:rsidRDefault="00395D01" w:rsidP="00292396">
            <w:pPr>
              <w:rPr>
                <w:rFonts w:ascii="Calibri" w:hAnsi="Calibri"/>
                <w:bCs/>
                <w:lang w:eastAsia="ja-JP"/>
              </w:rPr>
            </w:pPr>
            <w:r>
              <w:rPr>
                <w:rFonts w:ascii="Calibri" w:hAnsi="Calibri"/>
                <w:bCs/>
                <w:lang w:eastAsia="ja-JP"/>
              </w:rPr>
              <w:t>PNRR, Bugetul local</w:t>
            </w:r>
          </w:p>
        </w:tc>
        <w:tc>
          <w:tcPr>
            <w:tcW w:w="433" w:type="pct"/>
            <w:shd w:val="clear" w:color="auto" w:fill="F2F2F2"/>
            <w:hideMark/>
          </w:tcPr>
          <w:p w14:paraId="6430F69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57115E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14747F6" w14:textId="77777777" w:rsidTr="00E16711">
        <w:trPr>
          <w:trHeight w:val="1584"/>
        </w:trPr>
        <w:tc>
          <w:tcPr>
            <w:tcW w:w="205" w:type="pct"/>
            <w:shd w:val="clear" w:color="auto" w:fill="F2F2F2"/>
            <w:noWrap/>
            <w:hideMark/>
          </w:tcPr>
          <w:p w14:paraId="40F00B4E"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53EE7CBC" w14:textId="77777777" w:rsidR="00395D01" w:rsidRPr="00912996" w:rsidRDefault="00395D01" w:rsidP="00292396">
            <w:pPr>
              <w:rPr>
                <w:rFonts w:ascii="Calibri" w:hAnsi="Calibri"/>
                <w:bCs/>
                <w:lang w:eastAsia="ja-JP"/>
              </w:rPr>
            </w:pPr>
            <w:r w:rsidRPr="00912996">
              <w:rPr>
                <w:rFonts w:ascii="Calibri" w:hAnsi="Calibri"/>
                <w:bCs/>
                <w:lang w:eastAsia="ja-JP"/>
              </w:rPr>
              <w:t>Reabilitarea, modernizarea, dezvoltarea și echiparea infrastructurii educaționale preuniversitare a Colegiului Economic A. D. Xenopol</w:t>
            </w:r>
          </w:p>
        </w:tc>
        <w:tc>
          <w:tcPr>
            <w:tcW w:w="640" w:type="pct"/>
            <w:shd w:val="clear" w:color="auto" w:fill="F2F2F2"/>
            <w:hideMark/>
          </w:tcPr>
          <w:p w14:paraId="7F342A7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F4ED05C" w14:textId="77777777" w:rsidR="00395D01" w:rsidRPr="00912996" w:rsidRDefault="00395D01" w:rsidP="00292396">
            <w:pPr>
              <w:rPr>
                <w:rFonts w:ascii="Calibri" w:hAnsi="Calibri"/>
                <w:bCs/>
                <w:lang w:eastAsia="ja-JP"/>
              </w:rPr>
            </w:pPr>
            <w:r w:rsidRPr="00912996">
              <w:rPr>
                <w:rFonts w:ascii="Calibri" w:hAnsi="Calibri"/>
                <w:bCs/>
                <w:lang w:eastAsia="ja-JP"/>
              </w:rPr>
              <w:t>Actualizare documentație economică</w:t>
            </w:r>
          </w:p>
        </w:tc>
        <w:tc>
          <w:tcPr>
            <w:tcW w:w="473" w:type="pct"/>
            <w:shd w:val="clear" w:color="auto" w:fill="F2F2F2"/>
            <w:hideMark/>
          </w:tcPr>
          <w:p w14:paraId="5D9C0FE5" w14:textId="77777777" w:rsidR="00395D01" w:rsidRPr="00912996" w:rsidRDefault="00395D01" w:rsidP="00292396">
            <w:pPr>
              <w:rPr>
                <w:rFonts w:ascii="Calibri" w:hAnsi="Calibri"/>
                <w:bCs/>
                <w:lang w:eastAsia="ja-JP"/>
              </w:rPr>
            </w:pPr>
            <w:r w:rsidRPr="00912996">
              <w:rPr>
                <w:rFonts w:ascii="Calibri" w:hAnsi="Calibri"/>
                <w:bCs/>
                <w:lang w:eastAsia="ja-JP"/>
              </w:rPr>
              <w:t>28,795,000</w:t>
            </w:r>
          </w:p>
        </w:tc>
        <w:tc>
          <w:tcPr>
            <w:tcW w:w="411" w:type="pct"/>
            <w:shd w:val="clear" w:color="auto" w:fill="F2F2F2"/>
            <w:hideMark/>
          </w:tcPr>
          <w:p w14:paraId="471AA00E" w14:textId="77777777" w:rsidR="00395D01" w:rsidRPr="00912996" w:rsidRDefault="00395D01" w:rsidP="00292396">
            <w:pPr>
              <w:rPr>
                <w:rFonts w:ascii="Calibri" w:hAnsi="Calibri"/>
                <w:bCs/>
                <w:lang w:eastAsia="ja-JP"/>
              </w:rPr>
            </w:pPr>
            <w:r w:rsidRPr="00912996">
              <w:rPr>
                <w:rFonts w:ascii="Calibri" w:hAnsi="Calibri"/>
                <w:bCs/>
                <w:lang w:eastAsia="ja-JP"/>
              </w:rPr>
              <w:t>5,876,531</w:t>
            </w:r>
          </w:p>
        </w:tc>
        <w:tc>
          <w:tcPr>
            <w:tcW w:w="347" w:type="pct"/>
            <w:shd w:val="clear" w:color="auto" w:fill="F2F2F2"/>
            <w:hideMark/>
          </w:tcPr>
          <w:p w14:paraId="637B0716"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01CBB435"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ECD073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A9B423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3779FFB" w14:textId="77777777" w:rsidTr="00E16711">
        <w:trPr>
          <w:trHeight w:val="1320"/>
        </w:trPr>
        <w:tc>
          <w:tcPr>
            <w:tcW w:w="205" w:type="pct"/>
            <w:shd w:val="clear" w:color="auto" w:fill="F2F2F2"/>
            <w:noWrap/>
            <w:hideMark/>
          </w:tcPr>
          <w:p w14:paraId="36A0935E"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49423F4F" w14:textId="77777777" w:rsidR="00395D01" w:rsidRPr="00912996" w:rsidRDefault="00395D01" w:rsidP="00292396">
            <w:pPr>
              <w:rPr>
                <w:rFonts w:ascii="Calibri" w:hAnsi="Calibri"/>
                <w:bCs/>
                <w:lang w:eastAsia="ja-JP"/>
              </w:rPr>
            </w:pPr>
            <w:r w:rsidRPr="00912996">
              <w:rPr>
                <w:rFonts w:ascii="Calibri" w:hAnsi="Calibri"/>
                <w:bCs/>
                <w:lang w:eastAsia="ja-JP"/>
              </w:rPr>
              <w:t xml:space="preserve">Consolidare și reabilitare imobil din str. Dragoș Vodă </w:t>
            </w:r>
            <w:r w:rsidRPr="00912996">
              <w:rPr>
                <w:rFonts w:ascii="Calibri" w:hAnsi="Calibri"/>
                <w:bCs/>
                <w:lang w:eastAsia="ja-JP"/>
              </w:rPr>
              <w:br/>
              <w:t>nr. 25 - Grădinița nr. 133 (fosta Grădiniță nr.  258)</w:t>
            </w:r>
          </w:p>
        </w:tc>
        <w:tc>
          <w:tcPr>
            <w:tcW w:w="640" w:type="pct"/>
            <w:shd w:val="clear" w:color="auto" w:fill="F2F2F2"/>
            <w:hideMark/>
          </w:tcPr>
          <w:p w14:paraId="0D83A274"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DFBED12"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14C29678" w14:textId="77777777" w:rsidR="00395D01" w:rsidRPr="00912996" w:rsidRDefault="00395D01" w:rsidP="00292396">
            <w:pPr>
              <w:rPr>
                <w:rFonts w:ascii="Calibri" w:hAnsi="Calibri"/>
                <w:bCs/>
                <w:lang w:eastAsia="ja-JP"/>
              </w:rPr>
            </w:pPr>
            <w:r>
              <w:rPr>
                <w:rFonts w:ascii="Calibri" w:hAnsi="Calibri"/>
                <w:bCs/>
                <w:lang w:eastAsia="ja-JP"/>
              </w:rPr>
              <w:t>6</w:t>
            </w:r>
            <w:r w:rsidRPr="00912996">
              <w:rPr>
                <w:rFonts w:ascii="Calibri" w:hAnsi="Calibri"/>
                <w:bCs/>
                <w:lang w:eastAsia="ja-JP"/>
              </w:rPr>
              <w:t>,</w:t>
            </w:r>
            <w:r>
              <w:rPr>
                <w:rFonts w:ascii="Calibri" w:hAnsi="Calibri"/>
                <w:bCs/>
                <w:lang w:eastAsia="ja-JP"/>
              </w:rPr>
              <w:t>019</w:t>
            </w:r>
            <w:r w:rsidRPr="00912996">
              <w:rPr>
                <w:rFonts w:ascii="Calibri" w:hAnsi="Calibri"/>
                <w:bCs/>
                <w:lang w:eastAsia="ja-JP"/>
              </w:rPr>
              <w:t>,</w:t>
            </w:r>
            <w:r>
              <w:rPr>
                <w:rFonts w:ascii="Calibri" w:hAnsi="Calibri"/>
                <w:bCs/>
                <w:lang w:eastAsia="ja-JP"/>
              </w:rPr>
              <w:t>711</w:t>
            </w:r>
          </w:p>
        </w:tc>
        <w:tc>
          <w:tcPr>
            <w:tcW w:w="411" w:type="pct"/>
            <w:shd w:val="clear" w:color="auto" w:fill="F2F2F2"/>
            <w:hideMark/>
          </w:tcPr>
          <w:p w14:paraId="081345A6"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228</w:t>
            </w:r>
            <w:r w:rsidRPr="00912996">
              <w:rPr>
                <w:rFonts w:ascii="Calibri" w:hAnsi="Calibri"/>
                <w:bCs/>
                <w:lang w:eastAsia="ja-JP"/>
              </w:rPr>
              <w:t>,</w:t>
            </w:r>
            <w:r>
              <w:rPr>
                <w:rFonts w:ascii="Calibri" w:hAnsi="Calibri"/>
                <w:bCs/>
                <w:lang w:eastAsia="ja-JP"/>
              </w:rPr>
              <w:t>513</w:t>
            </w:r>
          </w:p>
        </w:tc>
        <w:tc>
          <w:tcPr>
            <w:tcW w:w="347" w:type="pct"/>
            <w:shd w:val="clear" w:color="auto" w:fill="F2F2F2"/>
            <w:hideMark/>
          </w:tcPr>
          <w:p w14:paraId="6663B2CA"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19CEE626"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315FEF7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872496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47D3FEC" w14:textId="77777777" w:rsidTr="00E16711">
        <w:trPr>
          <w:trHeight w:val="1056"/>
        </w:trPr>
        <w:tc>
          <w:tcPr>
            <w:tcW w:w="205" w:type="pct"/>
            <w:shd w:val="clear" w:color="auto" w:fill="F2F2F2"/>
            <w:noWrap/>
            <w:hideMark/>
          </w:tcPr>
          <w:p w14:paraId="7F4141A9"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0580FCAA" w14:textId="77777777" w:rsidR="00395D01" w:rsidRPr="00912996" w:rsidRDefault="00395D01" w:rsidP="00292396">
            <w:pPr>
              <w:rPr>
                <w:rFonts w:ascii="Calibri" w:hAnsi="Calibri"/>
                <w:bCs/>
                <w:lang w:eastAsia="ja-JP"/>
              </w:rPr>
            </w:pPr>
            <w:r w:rsidRPr="00912996">
              <w:rPr>
                <w:rFonts w:ascii="Calibri" w:hAnsi="Calibri"/>
                <w:bCs/>
                <w:lang w:eastAsia="ja-JP"/>
              </w:rPr>
              <w:t>Consolidare și reabilitare imobil din str. Armenească nr. 27 - Grădinița „Alice” (fosta Grădiniță nr. 59)</w:t>
            </w:r>
          </w:p>
        </w:tc>
        <w:tc>
          <w:tcPr>
            <w:tcW w:w="640" w:type="pct"/>
            <w:shd w:val="clear" w:color="auto" w:fill="F2F2F2"/>
            <w:hideMark/>
          </w:tcPr>
          <w:p w14:paraId="4069BA6F"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3220267"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3AC2E73C" w14:textId="77777777" w:rsidR="00395D01" w:rsidRPr="00912996" w:rsidRDefault="00395D01" w:rsidP="00292396">
            <w:pPr>
              <w:rPr>
                <w:rFonts w:ascii="Calibri" w:hAnsi="Calibri"/>
                <w:bCs/>
                <w:lang w:eastAsia="ja-JP"/>
              </w:rPr>
            </w:pPr>
            <w:r>
              <w:rPr>
                <w:rFonts w:ascii="Calibri" w:hAnsi="Calibri"/>
                <w:bCs/>
                <w:lang w:eastAsia="ja-JP"/>
              </w:rPr>
              <w:t>3</w:t>
            </w:r>
            <w:r w:rsidRPr="00912996">
              <w:rPr>
                <w:rFonts w:ascii="Calibri" w:hAnsi="Calibri"/>
                <w:bCs/>
                <w:lang w:eastAsia="ja-JP"/>
              </w:rPr>
              <w:t>,</w:t>
            </w:r>
            <w:r>
              <w:rPr>
                <w:rFonts w:ascii="Calibri" w:hAnsi="Calibri"/>
                <w:bCs/>
                <w:lang w:eastAsia="ja-JP"/>
              </w:rPr>
              <w:t>698</w:t>
            </w:r>
            <w:r w:rsidRPr="00912996">
              <w:rPr>
                <w:rFonts w:ascii="Calibri" w:hAnsi="Calibri"/>
                <w:bCs/>
                <w:lang w:eastAsia="ja-JP"/>
              </w:rPr>
              <w:t>,</w:t>
            </w:r>
            <w:r>
              <w:rPr>
                <w:rFonts w:ascii="Calibri" w:hAnsi="Calibri"/>
                <w:bCs/>
                <w:lang w:eastAsia="ja-JP"/>
              </w:rPr>
              <w:t>244</w:t>
            </w:r>
          </w:p>
        </w:tc>
        <w:tc>
          <w:tcPr>
            <w:tcW w:w="411" w:type="pct"/>
            <w:shd w:val="clear" w:color="auto" w:fill="F2F2F2"/>
            <w:hideMark/>
          </w:tcPr>
          <w:p w14:paraId="622DBD04" w14:textId="77777777" w:rsidR="00395D01" w:rsidRPr="00912996" w:rsidRDefault="00395D01" w:rsidP="00292396">
            <w:pPr>
              <w:rPr>
                <w:rFonts w:ascii="Calibri" w:hAnsi="Calibri"/>
                <w:bCs/>
                <w:lang w:eastAsia="ja-JP"/>
              </w:rPr>
            </w:pPr>
            <w:r>
              <w:rPr>
                <w:rFonts w:ascii="Calibri" w:hAnsi="Calibri"/>
                <w:bCs/>
                <w:lang w:eastAsia="ja-JP"/>
              </w:rPr>
              <w:t>754</w:t>
            </w:r>
            <w:r w:rsidRPr="00912996">
              <w:rPr>
                <w:rFonts w:ascii="Calibri" w:hAnsi="Calibri"/>
                <w:bCs/>
                <w:lang w:eastAsia="ja-JP"/>
              </w:rPr>
              <w:t>,</w:t>
            </w:r>
            <w:r>
              <w:rPr>
                <w:rFonts w:ascii="Calibri" w:hAnsi="Calibri"/>
                <w:bCs/>
                <w:lang w:eastAsia="ja-JP"/>
              </w:rPr>
              <w:t>743</w:t>
            </w:r>
          </w:p>
        </w:tc>
        <w:tc>
          <w:tcPr>
            <w:tcW w:w="347" w:type="pct"/>
            <w:shd w:val="clear" w:color="auto" w:fill="F2F2F2"/>
            <w:hideMark/>
          </w:tcPr>
          <w:p w14:paraId="0FB92297"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4C70B00E"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1A1EE19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DC0B21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9EA7E79" w14:textId="77777777" w:rsidTr="00E16711">
        <w:trPr>
          <w:trHeight w:val="1056"/>
        </w:trPr>
        <w:tc>
          <w:tcPr>
            <w:tcW w:w="205" w:type="pct"/>
            <w:shd w:val="clear" w:color="auto" w:fill="F2F2F2"/>
            <w:noWrap/>
            <w:hideMark/>
          </w:tcPr>
          <w:p w14:paraId="640A2E94"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75A9C88B" w14:textId="77777777" w:rsidR="00395D01" w:rsidRPr="00912996" w:rsidRDefault="00395D01" w:rsidP="00292396">
            <w:pPr>
              <w:rPr>
                <w:rFonts w:ascii="Calibri" w:hAnsi="Calibri"/>
                <w:bCs/>
                <w:lang w:eastAsia="ja-JP"/>
              </w:rPr>
            </w:pPr>
            <w:r w:rsidRPr="00912996">
              <w:rPr>
                <w:rFonts w:ascii="Calibri" w:hAnsi="Calibri"/>
                <w:bCs/>
                <w:lang w:eastAsia="ja-JP"/>
              </w:rPr>
              <w:t>Consolidare și reabilitare imobil din str. Alexandru Donici nr. 23 - Grădinița „Alice” (fosta Grădiniță nr. 257)</w:t>
            </w:r>
          </w:p>
        </w:tc>
        <w:tc>
          <w:tcPr>
            <w:tcW w:w="640" w:type="pct"/>
            <w:shd w:val="clear" w:color="auto" w:fill="F2F2F2"/>
            <w:hideMark/>
          </w:tcPr>
          <w:p w14:paraId="0D7F621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AE33E9C"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2AE5C53C"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487</w:t>
            </w:r>
            <w:r w:rsidRPr="00912996">
              <w:rPr>
                <w:rFonts w:ascii="Calibri" w:hAnsi="Calibri"/>
                <w:bCs/>
                <w:lang w:eastAsia="ja-JP"/>
              </w:rPr>
              <w:t>,</w:t>
            </w:r>
            <w:r>
              <w:rPr>
                <w:rFonts w:ascii="Calibri" w:hAnsi="Calibri"/>
                <w:bCs/>
                <w:lang w:eastAsia="ja-JP"/>
              </w:rPr>
              <w:t>108</w:t>
            </w:r>
          </w:p>
        </w:tc>
        <w:tc>
          <w:tcPr>
            <w:tcW w:w="411" w:type="pct"/>
            <w:shd w:val="clear" w:color="auto" w:fill="F2F2F2"/>
            <w:hideMark/>
          </w:tcPr>
          <w:p w14:paraId="4BCC4B43" w14:textId="77777777" w:rsidR="00395D01" w:rsidRPr="00912996" w:rsidRDefault="00395D01" w:rsidP="00292396">
            <w:pPr>
              <w:rPr>
                <w:rFonts w:ascii="Calibri" w:hAnsi="Calibri"/>
                <w:bCs/>
                <w:lang w:eastAsia="ja-JP"/>
              </w:rPr>
            </w:pPr>
            <w:r>
              <w:rPr>
                <w:rFonts w:ascii="Calibri" w:hAnsi="Calibri"/>
                <w:bCs/>
                <w:lang w:eastAsia="ja-JP"/>
              </w:rPr>
              <w:t>507</w:t>
            </w:r>
            <w:r w:rsidRPr="00912996">
              <w:rPr>
                <w:rFonts w:ascii="Calibri" w:hAnsi="Calibri"/>
                <w:bCs/>
                <w:lang w:eastAsia="ja-JP"/>
              </w:rPr>
              <w:t>,</w:t>
            </w:r>
            <w:r>
              <w:rPr>
                <w:rFonts w:ascii="Calibri" w:hAnsi="Calibri"/>
                <w:bCs/>
                <w:lang w:eastAsia="ja-JP"/>
              </w:rPr>
              <w:t>573</w:t>
            </w:r>
          </w:p>
        </w:tc>
        <w:tc>
          <w:tcPr>
            <w:tcW w:w="347" w:type="pct"/>
            <w:shd w:val="clear" w:color="auto" w:fill="F2F2F2"/>
            <w:hideMark/>
          </w:tcPr>
          <w:p w14:paraId="77703994"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275DE6B7"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5868CF6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7E867F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1364E70" w14:textId="77777777" w:rsidTr="00E16711">
        <w:trPr>
          <w:trHeight w:val="710"/>
        </w:trPr>
        <w:tc>
          <w:tcPr>
            <w:tcW w:w="205" w:type="pct"/>
            <w:shd w:val="clear" w:color="auto" w:fill="F2F2F2"/>
            <w:noWrap/>
            <w:hideMark/>
          </w:tcPr>
          <w:p w14:paraId="7402C3D1"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291F1D4B" w14:textId="77777777" w:rsidR="00395D01" w:rsidRPr="00912996" w:rsidRDefault="00395D01" w:rsidP="00292396">
            <w:pPr>
              <w:rPr>
                <w:rFonts w:ascii="Calibri" w:hAnsi="Calibri"/>
                <w:bCs/>
                <w:lang w:eastAsia="ja-JP"/>
              </w:rPr>
            </w:pPr>
            <w:r w:rsidRPr="00912996">
              <w:rPr>
                <w:rFonts w:ascii="Calibri" w:hAnsi="Calibri"/>
                <w:bCs/>
                <w:lang w:eastAsia="ja-JP"/>
              </w:rPr>
              <w:t>Consolidare și reabilitare imobil din str. Pierre de Coubertin nr. 1 -Grădinița „Castel” (fosta Grădinița nr.188)</w:t>
            </w:r>
            <w:r>
              <w:rPr>
                <w:rFonts w:ascii="Calibri" w:hAnsi="Calibri"/>
                <w:bCs/>
                <w:lang w:eastAsia="ja-JP"/>
              </w:rPr>
              <w:t xml:space="preserve"> Corp C1</w:t>
            </w:r>
          </w:p>
        </w:tc>
        <w:tc>
          <w:tcPr>
            <w:tcW w:w="640" w:type="pct"/>
            <w:shd w:val="clear" w:color="auto" w:fill="F2F2F2"/>
            <w:hideMark/>
          </w:tcPr>
          <w:p w14:paraId="29B37D2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5D5B9EE"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534ABB19"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888</w:t>
            </w:r>
            <w:r w:rsidRPr="00912996">
              <w:rPr>
                <w:rFonts w:ascii="Calibri" w:hAnsi="Calibri"/>
                <w:bCs/>
                <w:lang w:eastAsia="ja-JP"/>
              </w:rPr>
              <w:t>,</w:t>
            </w:r>
            <w:r>
              <w:rPr>
                <w:rFonts w:ascii="Calibri" w:hAnsi="Calibri"/>
                <w:bCs/>
                <w:lang w:eastAsia="ja-JP"/>
              </w:rPr>
              <w:t>186</w:t>
            </w:r>
          </w:p>
        </w:tc>
        <w:tc>
          <w:tcPr>
            <w:tcW w:w="411" w:type="pct"/>
            <w:shd w:val="clear" w:color="auto" w:fill="F2F2F2"/>
            <w:hideMark/>
          </w:tcPr>
          <w:p w14:paraId="74F88D8A" w14:textId="77777777" w:rsidR="00395D01" w:rsidRPr="00912996" w:rsidRDefault="00395D01" w:rsidP="00292396">
            <w:pPr>
              <w:rPr>
                <w:rFonts w:ascii="Calibri" w:hAnsi="Calibri"/>
                <w:bCs/>
                <w:lang w:eastAsia="ja-JP"/>
              </w:rPr>
            </w:pPr>
            <w:r w:rsidRPr="00912996">
              <w:rPr>
                <w:rFonts w:ascii="Calibri" w:hAnsi="Calibri"/>
                <w:bCs/>
                <w:lang w:eastAsia="ja-JP"/>
              </w:rPr>
              <w:t>7</w:t>
            </w:r>
            <w:r>
              <w:rPr>
                <w:rFonts w:ascii="Calibri" w:hAnsi="Calibri"/>
                <w:bCs/>
                <w:lang w:eastAsia="ja-JP"/>
              </w:rPr>
              <w:t>93</w:t>
            </w:r>
            <w:r w:rsidRPr="00912996">
              <w:rPr>
                <w:rFonts w:ascii="Calibri" w:hAnsi="Calibri"/>
                <w:bCs/>
                <w:lang w:eastAsia="ja-JP"/>
              </w:rPr>
              <w:t>,</w:t>
            </w:r>
            <w:r>
              <w:rPr>
                <w:rFonts w:ascii="Calibri" w:hAnsi="Calibri"/>
                <w:bCs/>
                <w:lang w:eastAsia="ja-JP"/>
              </w:rPr>
              <w:t>50</w:t>
            </w:r>
            <w:r w:rsidRPr="00912996">
              <w:rPr>
                <w:rFonts w:ascii="Calibri" w:hAnsi="Calibri"/>
                <w:bCs/>
                <w:lang w:eastAsia="ja-JP"/>
              </w:rPr>
              <w:t>7</w:t>
            </w:r>
          </w:p>
        </w:tc>
        <w:tc>
          <w:tcPr>
            <w:tcW w:w="347" w:type="pct"/>
            <w:shd w:val="clear" w:color="auto" w:fill="F2F2F2"/>
            <w:hideMark/>
          </w:tcPr>
          <w:p w14:paraId="7E5AD0B4"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7D05870B"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581AA25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0D39CE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B335C60" w14:textId="77777777" w:rsidTr="00E16711">
        <w:trPr>
          <w:trHeight w:val="1056"/>
        </w:trPr>
        <w:tc>
          <w:tcPr>
            <w:tcW w:w="205" w:type="pct"/>
            <w:shd w:val="clear" w:color="auto" w:fill="F2F2F2"/>
            <w:noWrap/>
            <w:hideMark/>
          </w:tcPr>
          <w:p w14:paraId="3B6BEB57"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36303B7A" w14:textId="77777777" w:rsidR="00395D01" w:rsidRPr="00912996" w:rsidRDefault="00395D01" w:rsidP="00292396">
            <w:pPr>
              <w:rPr>
                <w:rFonts w:ascii="Calibri" w:hAnsi="Calibri"/>
                <w:bCs/>
                <w:lang w:eastAsia="ja-JP"/>
              </w:rPr>
            </w:pPr>
            <w:r w:rsidRPr="00912996">
              <w:rPr>
                <w:rFonts w:ascii="Calibri" w:hAnsi="Calibri"/>
                <w:bCs/>
                <w:lang w:eastAsia="ja-JP"/>
              </w:rPr>
              <w:t xml:space="preserve">Consolidare și reabilitare </w:t>
            </w:r>
            <w:r>
              <w:rPr>
                <w:rFonts w:ascii="Calibri" w:hAnsi="Calibri"/>
                <w:bCs/>
                <w:lang w:eastAsia="ja-JP"/>
              </w:rPr>
              <w:t xml:space="preserve">imobil din str. Săgeții nr. 11 </w:t>
            </w:r>
            <w:r w:rsidRPr="00912996">
              <w:rPr>
                <w:rFonts w:ascii="Calibri" w:hAnsi="Calibri"/>
                <w:bCs/>
                <w:lang w:eastAsia="ja-JP"/>
              </w:rPr>
              <w:t xml:space="preserve">Grădinița </w:t>
            </w:r>
            <w:r>
              <w:rPr>
                <w:rFonts w:ascii="Calibri" w:hAnsi="Calibri"/>
                <w:bCs/>
                <w:lang w:eastAsia="ja-JP"/>
              </w:rPr>
              <w:t>,,</w:t>
            </w:r>
            <w:r w:rsidRPr="00912996">
              <w:rPr>
                <w:rFonts w:ascii="Calibri" w:hAnsi="Calibri"/>
                <w:bCs/>
                <w:lang w:eastAsia="ja-JP"/>
              </w:rPr>
              <w:t>Licurici</w:t>
            </w:r>
            <w:r>
              <w:rPr>
                <w:rFonts w:ascii="Calibri" w:hAnsi="Calibri"/>
                <w:bCs/>
                <w:lang w:eastAsia="ja-JP"/>
              </w:rPr>
              <w:t>” (fosta Grădiniță nr. 51)</w:t>
            </w:r>
          </w:p>
        </w:tc>
        <w:tc>
          <w:tcPr>
            <w:tcW w:w="640" w:type="pct"/>
            <w:shd w:val="clear" w:color="auto" w:fill="F2F2F2"/>
            <w:hideMark/>
          </w:tcPr>
          <w:p w14:paraId="73668D1C" w14:textId="77777777" w:rsidR="00395D01" w:rsidRPr="00912996" w:rsidRDefault="00395D01" w:rsidP="00292396">
            <w:pPr>
              <w:rPr>
                <w:rFonts w:ascii="Calibri" w:hAnsi="Calibri"/>
                <w:bCs/>
                <w:lang w:eastAsia="ja-JP"/>
              </w:rPr>
            </w:pPr>
            <w:r w:rsidRPr="00733DF4">
              <w:rPr>
                <w:rFonts w:ascii="Calibri" w:hAnsi="Calibri"/>
                <w:bCs/>
                <w:lang w:eastAsia="ja-JP"/>
              </w:rPr>
              <w:t>PS2, DGAPI</w:t>
            </w:r>
          </w:p>
        </w:tc>
        <w:tc>
          <w:tcPr>
            <w:tcW w:w="507" w:type="pct"/>
            <w:shd w:val="clear" w:color="auto" w:fill="F2F2F2"/>
            <w:hideMark/>
          </w:tcPr>
          <w:p w14:paraId="40406A8D"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024474F9" w14:textId="77777777" w:rsidR="00395D01" w:rsidRPr="00912996" w:rsidRDefault="00395D01" w:rsidP="00292396">
            <w:pPr>
              <w:rPr>
                <w:rFonts w:ascii="Calibri" w:hAnsi="Calibri"/>
                <w:bCs/>
                <w:lang w:eastAsia="ja-JP"/>
              </w:rPr>
            </w:pPr>
            <w:r>
              <w:rPr>
                <w:rFonts w:ascii="Calibri" w:hAnsi="Calibri"/>
                <w:bCs/>
                <w:lang w:eastAsia="ja-JP"/>
              </w:rPr>
              <w:t>5,1</w:t>
            </w:r>
            <w:r w:rsidRPr="00912996">
              <w:rPr>
                <w:rFonts w:ascii="Calibri" w:hAnsi="Calibri"/>
                <w:bCs/>
                <w:lang w:eastAsia="ja-JP"/>
              </w:rPr>
              <w:t>4</w:t>
            </w:r>
            <w:r>
              <w:rPr>
                <w:rFonts w:ascii="Calibri" w:hAnsi="Calibri"/>
                <w:bCs/>
                <w:lang w:eastAsia="ja-JP"/>
              </w:rPr>
              <w:t>3,</w:t>
            </w:r>
            <w:r w:rsidRPr="00912996">
              <w:rPr>
                <w:rFonts w:ascii="Calibri" w:hAnsi="Calibri"/>
                <w:bCs/>
                <w:lang w:eastAsia="ja-JP"/>
              </w:rPr>
              <w:t>9</w:t>
            </w:r>
            <w:r>
              <w:rPr>
                <w:rFonts w:ascii="Calibri" w:hAnsi="Calibri"/>
                <w:bCs/>
                <w:lang w:eastAsia="ja-JP"/>
              </w:rPr>
              <w:t>73</w:t>
            </w:r>
          </w:p>
        </w:tc>
        <w:tc>
          <w:tcPr>
            <w:tcW w:w="411" w:type="pct"/>
            <w:shd w:val="clear" w:color="auto" w:fill="F2F2F2"/>
            <w:hideMark/>
          </w:tcPr>
          <w:p w14:paraId="17482E74" w14:textId="77777777" w:rsidR="00395D01" w:rsidRPr="00912996" w:rsidRDefault="00395D01" w:rsidP="00292396">
            <w:pPr>
              <w:rPr>
                <w:rFonts w:ascii="Calibri" w:hAnsi="Calibri"/>
                <w:bCs/>
                <w:lang w:eastAsia="ja-JP"/>
              </w:rPr>
            </w:pPr>
            <w:r>
              <w:rPr>
                <w:rFonts w:ascii="Calibri" w:hAnsi="Calibri"/>
                <w:bCs/>
                <w:lang w:eastAsia="ja-JP"/>
              </w:rPr>
              <w:t>1,0</w:t>
            </w:r>
            <w:r w:rsidRPr="00912996">
              <w:rPr>
                <w:rFonts w:ascii="Calibri" w:hAnsi="Calibri"/>
                <w:bCs/>
                <w:lang w:eastAsia="ja-JP"/>
              </w:rPr>
              <w:t>49,</w:t>
            </w:r>
            <w:r>
              <w:rPr>
                <w:rFonts w:ascii="Calibri" w:hAnsi="Calibri"/>
                <w:bCs/>
                <w:lang w:eastAsia="ja-JP"/>
              </w:rPr>
              <w:t>7</w:t>
            </w:r>
            <w:r w:rsidRPr="00912996">
              <w:rPr>
                <w:rFonts w:ascii="Calibri" w:hAnsi="Calibri"/>
                <w:bCs/>
                <w:lang w:eastAsia="ja-JP"/>
              </w:rPr>
              <w:t>9</w:t>
            </w:r>
            <w:r>
              <w:rPr>
                <w:rFonts w:ascii="Calibri" w:hAnsi="Calibri"/>
                <w:bCs/>
                <w:lang w:eastAsia="ja-JP"/>
              </w:rPr>
              <w:t>1</w:t>
            </w:r>
          </w:p>
        </w:tc>
        <w:tc>
          <w:tcPr>
            <w:tcW w:w="347" w:type="pct"/>
            <w:shd w:val="clear" w:color="auto" w:fill="F2F2F2"/>
            <w:hideMark/>
          </w:tcPr>
          <w:p w14:paraId="472AE23F"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53366E04"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6A27753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6C83F5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C4CCDF6" w14:textId="77777777" w:rsidTr="00E16711">
        <w:trPr>
          <w:trHeight w:val="1056"/>
        </w:trPr>
        <w:tc>
          <w:tcPr>
            <w:tcW w:w="205" w:type="pct"/>
            <w:shd w:val="clear" w:color="auto" w:fill="F2F2F2"/>
            <w:noWrap/>
            <w:hideMark/>
          </w:tcPr>
          <w:p w14:paraId="0C6BB24F"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1AA4359A" w14:textId="77777777" w:rsidR="00395D01" w:rsidRPr="00912996" w:rsidRDefault="00395D01" w:rsidP="00292396">
            <w:pPr>
              <w:rPr>
                <w:rFonts w:ascii="Calibri" w:hAnsi="Calibri"/>
                <w:bCs/>
                <w:lang w:eastAsia="ja-JP"/>
              </w:rPr>
            </w:pPr>
            <w:r w:rsidRPr="00912996">
              <w:rPr>
                <w:rFonts w:ascii="Calibri" w:hAnsi="Calibri"/>
                <w:bCs/>
                <w:lang w:eastAsia="ja-JP"/>
              </w:rPr>
              <w:t>Consolidare și reabilitare imobil din str. Aurel Vlaicu nr. 30-32 - Grădinița nr. 133</w:t>
            </w:r>
          </w:p>
        </w:tc>
        <w:tc>
          <w:tcPr>
            <w:tcW w:w="640" w:type="pct"/>
            <w:shd w:val="clear" w:color="auto" w:fill="F2F2F2"/>
            <w:hideMark/>
          </w:tcPr>
          <w:p w14:paraId="28A91190"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9139920"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7FE65C54" w14:textId="77777777" w:rsidR="00395D01" w:rsidRPr="00912996" w:rsidRDefault="00395D01" w:rsidP="00292396">
            <w:pPr>
              <w:rPr>
                <w:rFonts w:ascii="Calibri" w:hAnsi="Calibri"/>
                <w:bCs/>
                <w:lang w:eastAsia="ja-JP"/>
              </w:rPr>
            </w:pPr>
            <w:r>
              <w:rPr>
                <w:rFonts w:ascii="Calibri" w:hAnsi="Calibri"/>
                <w:bCs/>
                <w:lang w:eastAsia="ja-JP"/>
              </w:rPr>
              <w:t>7</w:t>
            </w:r>
            <w:r w:rsidRPr="00912996">
              <w:rPr>
                <w:rFonts w:ascii="Calibri" w:hAnsi="Calibri"/>
                <w:bCs/>
                <w:lang w:eastAsia="ja-JP"/>
              </w:rPr>
              <w:t>,</w:t>
            </w:r>
            <w:r>
              <w:rPr>
                <w:rFonts w:ascii="Calibri" w:hAnsi="Calibri"/>
                <w:bCs/>
                <w:lang w:eastAsia="ja-JP"/>
              </w:rPr>
              <w:t>205</w:t>
            </w:r>
            <w:r w:rsidRPr="00912996">
              <w:rPr>
                <w:rFonts w:ascii="Calibri" w:hAnsi="Calibri"/>
                <w:bCs/>
                <w:lang w:eastAsia="ja-JP"/>
              </w:rPr>
              <w:t>,35</w:t>
            </w:r>
            <w:r>
              <w:rPr>
                <w:rFonts w:ascii="Calibri" w:hAnsi="Calibri"/>
                <w:bCs/>
                <w:lang w:eastAsia="ja-JP"/>
              </w:rPr>
              <w:t>7</w:t>
            </w:r>
          </w:p>
        </w:tc>
        <w:tc>
          <w:tcPr>
            <w:tcW w:w="411" w:type="pct"/>
            <w:shd w:val="clear" w:color="auto" w:fill="F2F2F2"/>
            <w:hideMark/>
          </w:tcPr>
          <w:p w14:paraId="4370FE86" w14:textId="77777777" w:rsidR="00395D01" w:rsidRPr="00912996" w:rsidRDefault="00395D01" w:rsidP="00292396">
            <w:pPr>
              <w:rPr>
                <w:rFonts w:ascii="Calibri" w:hAnsi="Calibri"/>
                <w:bCs/>
                <w:lang w:eastAsia="ja-JP"/>
              </w:rPr>
            </w:pPr>
            <w:r w:rsidRPr="00912996">
              <w:rPr>
                <w:rFonts w:ascii="Calibri" w:hAnsi="Calibri"/>
                <w:bCs/>
                <w:lang w:eastAsia="ja-JP"/>
              </w:rPr>
              <w:t>1,4</w:t>
            </w:r>
            <w:r>
              <w:rPr>
                <w:rFonts w:ascii="Calibri" w:hAnsi="Calibri"/>
                <w:bCs/>
                <w:lang w:eastAsia="ja-JP"/>
              </w:rPr>
              <w:t>70</w:t>
            </w:r>
            <w:r w:rsidRPr="00912996">
              <w:rPr>
                <w:rFonts w:ascii="Calibri" w:hAnsi="Calibri"/>
                <w:bCs/>
                <w:lang w:eastAsia="ja-JP"/>
              </w:rPr>
              <w:t>,</w:t>
            </w:r>
            <w:r>
              <w:rPr>
                <w:rFonts w:ascii="Calibri" w:hAnsi="Calibri"/>
                <w:bCs/>
                <w:lang w:eastAsia="ja-JP"/>
              </w:rPr>
              <w:t>481</w:t>
            </w:r>
          </w:p>
        </w:tc>
        <w:tc>
          <w:tcPr>
            <w:tcW w:w="347" w:type="pct"/>
            <w:shd w:val="clear" w:color="auto" w:fill="F2F2F2"/>
            <w:hideMark/>
          </w:tcPr>
          <w:p w14:paraId="60E125D5"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38753D56"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04BEE7B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ACCC275"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1CD4BB0" w14:textId="77777777" w:rsidTr="00E16711">
        <w:trPr>
          <w:trHeight w:val="530"/>
        </w:trPr>
        <w:tc>
          <w:tcPr>
            <w:tcW w:w="205" w:type="pct"/>
            <w:shd w:val="clear" w:color="auto" w:fill="F2F2F2"/>
            <w:noWrap/>
            <w:hideMark/>
          </w:tcPr>
          <w:p w14:paraId="79860678"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25B31AF6" w14:textId="77777777" w:rsidR="00395D01" w:rsidRPr="00912996" w:rsidRDefault="00395D01" w:rsidP="00292396">
            <w:pPr>
              <w:rPr>
                <w:rFonts w:ascii="Calibri" w:hAnsi="Calibri"/>
                <w:bCs/>
                <w:lang w:eastAsia="ja-JP"/>
              </w:rPr>
            </w:pPr>
            <w:r w:rsidRPr="00912996">
              <w:rPr>
                <w:rFonts w:ascii="Calibri" w:hAnsi="Calibri"/>
                <w:bCs/>
                <w:lang w:eastAsia="ja-JP"/>
              </w:rPr>
              <w:t>Consolidare și reabilitare imobil din str. Plumbuita nr. 5 - Grădinița nr. 137</w:t>
            </w:r>
            <w:r>
              <w:rPr>
                <w:rFonts w:ascii="Calibri" w:hAnsi="Calibri"/>
                <w:bCs/>
                <w:lang w:eastAsia="ja-JP"/>
              </w:rPr>
              <w:t xml:space="preserve"> Corp C1 și Corp C2</w:t>
            </w:r>
          </w:p>
        </w:tc>
        <w:tc>
          <w:tcPr>
            <w:tcW w:w="640" w:type="pct"/>
            <w:shd w:val="clear" w:color="auto" w:fill="F2F2F2"/>
            <w:hideMark/>
          </w:tcPr>
          <w:p w14:paraId="631E2276"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61CF391"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6FB8CE53" w14:textId="77777777" w:rsidR="00395D01" w:rsidRPr="00912996" w:rsidRDefault="00395D01" w:rsidP="00292396">
            <w:pPr>
              <w:rPr>
                <w:rFonts w:ascii="Calibri" w:hAnsi="Calibri"/>
                <w:bCs/>
                <w:lang w:eastAsia="ja-JP"/>
              </w:rPr>
            </w:pPr>
            <w:r>
              <w:rPr>
                <w:rFonts w:ascii="Calibri" w:hAnsi="Calibri"/>
                <w:bCs/>
                <w:lang w:eastAsia="ja-JP"/>
              </w:rPr>
              <w:t>5</w:t>
            </w:r>
            <w:r w:rsidRPr="00912996">
              <w:rPr>
                <w:rFonts w:ascii="Calibri" w:hAnsi="Calibri"/>
                <w:bCs/>
                <w:lang w:eastAsia="ja-JP"/>
              </w:rPr>
              <w:t>,</w:t>
            </w:r>
            <w:r>
              <w:rPr>
                <w:rFonts w:ascii="Calibri" w:hAnsi="Calibri"/>
                <w:bCs/>
                <w:lang w:eastAsia="ja-JP"/>
              </w:rPr>
              <w:t>692</w:t>
            </w:r>
            <w:r w:rsidRPr="00912996">
              <w:rPr>
                <w:rFonts w:ascii="Calibri" w:hAnsi="Calibri"/>
                <w:bCs/>
                <w:lang w:eastAsia="ja-JP"/>
              </w:rPr>
              <w:t>,</w:t>
            </w:r>
            <w:r>
              <w:rPr>
                <w:rFonts w:ascii="Calibri" w:hAnsi="Calibri"/>
                <w:bCs/>
                <w:lang w:eastAsia="ja-JP"/>
              </w:rPr>
              <w:t>157</w:t>
            </w:r>
          </w:p>
        </w:tc>
        <w:tc>
          <w:tcPr>
            <w:tcW w:w="411" w:type="pct"/>
            <w:shd w:val="clear" w:color="auto" w:fill="F2F2F2"/>
            <w:hideMark/>
          </w:tcPr>
          <w:p w14:paraId="1FD03F63" w14:textId="77777777" w:rsidR="00395D01" w:rsidRPr="00912996" w:rsidRDefault="00395D01" w:rsidP="00292396">
            <w:pPr>
              <w:rPr>
                <w:rFonts w:ascii="Calibri" w:hAnsi="Calibri"/>
                <w:bCs/>
                <w:lang w:eastAsia="ja-JP"/>
              </w:rPr>
            </w:pPr>
            <w:r>
              <w:rPr>
                <w:rFonts w:ascii="Calibri" w:hAnsi="Calibri"/>
                <w:bCs/>
                <w:lang w:eastAsia="ja-JP"/>
              </w:rPr>
              <w:t>1,161</w:t>
            </w:r>
            <w:r w:rsidRPr="00912996">
              <w:rPr>
                <w:rFonts w:ascii="Calibri" w:hAnsi="Calibri"/>
                <w:bCs/>
                <w:lang w:eastAsia="ja-JP"/>
              </w:rPr>
              <w:t>,6</w:t>
            </w:r>
            <w:r>
              <w:rPr>
                <w:rFonts w:ascii="Calibri" w:hAnsi="Calibri"/>
                <w:bCs/>
                <w:lang w:eastAsia="ja-JP"/>
              </w:rPr>
              <w:t>64</w:t>
            </w:r>
          </w:p>
        </w:tc>
        <w:tc>
          <w:tcPr>
            <w:tcW w:w="347" w:type="pct"/>
            <w:shd w:val="clear" w:color="auto" w:fill="F2F2F2"/>
            <w:hideMark/>
          </w:tcPr>
          <w:p w14:paraId="131C8EE9"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49A3413C"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170A644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4B6BF15"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9C07F6C" w14:textId="77777777" w:rsidTr="00E16711">
        <w:trPr>
          <w:trHeight w:val="1056"/>
        </w:trPr>
        <w:tc>
          <w:tcPr>
            <w:tcW w:w="205" w:type="pct"/>
            <w:shd w:val="clear" w:color="auto" w:fill="F2F2F2"/>
            <w:noWrap/>
            <w:hideMark/>
          </w:tcPr>
          <w:p w14:paraId="6BDD8E94"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2DB3B67B" w14:textId="77777777" w:rsidR="00395D01" w:rsidRPr="00912996" w:rsidRDefault="00395D01" w:rsidP="00292396">
            <w:pPr>
              <w:rPr>
                <w:rFonts w:ascii="Calibri" w:hAnsi="Calibri"/>
                <w:bCs/>
                <w:lang w:eastAsia="ja-JP"/>
              </w:rPr>
            </w:pPr>
            <w:r w:rsidRPr="00912996">
              <w:rPr>
                <w:rFonts w:ascii="Calibri" w:hAnsi="Calibri"/>
                <w:bCs/>
                <w:lang w:eastAsia="ja-JP"/>
              </w:rPr>
              <w:t>Consolidare și reabilitare imobil din str. Popa Nan nr. 47 – Liceul Teoretic „Waldorf” – Grădinița nr.113</w:t>
            </w:r>
            <w:r>
              <w:rPr>
                <w:rFonts w:ascii="Calibri" w:hAnsi="Calibri"/>
                <w:bCs/>
                <w:lang w:eastAsia="ja-JP"/>
              </w:rPr>
              <w:t xml:space="preserve"> Corp C1</w:t>
            </w:r>
          </w:p>
        </w:tc>
        <w:tc>
          <w:tcPr>
            <w:tcW w:w="640" w:type="pct"/>
            <w:shd w:val="clear" w:color="auto" w:fill="F2F2F2"/>
            <w:hideMark/>
          </w:tcPr>
          <w:p w14:paraId="626C6A1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42FEE24"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6DCFD4D6" w14:textId="77777777" w:rsidR="00395D01" w:rsidRPr="00912996" w:rsidRDefault="00395D01" w:rsidP="00292396">
            <w:pPr>
              <w:rPr>
                <w:rFonts w:ascii="Calibri" w:hAnsi="Calibri"/>
                <w:bCs/>
                <w:lang w:eastAsia="ja-JP"/>
              </w:rPr>
            </w:pPr>
            <w:r>
              <w:rPr>
                <w:rFonts w:ascii="Calibri" w:hAnsi="Calibri"/>
                <w:bCs/>
                <w:lang w:eastAsia="ja-JP"/>
              </w:rPr>
              <w:t>3,776</w:t>
            </w:r>
            <w:r w:rsidRPr="00912996">
              <w:rPr>
                <w:rFonts w:ascii="Calibri" w:hAnsi="Calibri"/>
                <w:bCs/>
                <w:lang w:eastAsia="ja-JP"/>
              </w:rPr>
              <w:t>,</w:t>
            </w:r>
            <w:r>
              <w:rPr>
                <w:rFonts w:ascii="Calibri" w:hAnsi="Calibri"/>
                <w:bCs/>
                <w:lang w:eastAsia="ja-JP"/>
              </w:rPr>
              <w:t>992</w:t>
            </w:r>
          </w:p>
        </w:tc>
        <w:tc>
          <w:tcPr>
            <w:tcW w:w="411" w:type="pct"/>
            <w:shd w:val="clear" w:color="auto" w:fill="F2F2F2"/>
            <w:hideMark/>
          </w:tcPr>
          <w:p w14:paraId="5924F606" w14:textId="77777777" w:rsidR="00395D01" w:rsidRPr="00912996" w:rsidRDefault="00395D01" w:rsidP="00292396">
            <w:pPr>
              <w:rPr>
                <w:rFonts w:ascii="Calibri" w:hAnsi="Calibri"/>
                <w:bCs/>
                <w:lang w:eastAsia="ja-JP"/>
              </w:rPr>
            </w:pPr>
            <w:r>
              <w:rPr>
                <w:rFonts w:ascii="Calibri" w:hAnsi="Calibri"/>
                <w:bCs/>
                <w:lang w:eastAsia="ja-JP"/>
              </w:rPr>
              <w:t>770</w:t>
            </w:r>
            <w:r w:rsidRPr="00912996">
              <w:rPr>
                <w:rFonts w:ascii="Calibri" w:hAnsi="Calibri"/>
                <w:bCs/>
                <w:lang w:eastAsia="ja-JP"/>
              </w:rPr>
              <w:t>,</w:t>
            </w:r>
            <w:r>
              <w:rPr>
                <w:rFonts w:ascii="Calibri" w:hAnsi="Calibri"/>
                <w:bCs/>
                <w:lang w:eastAsia="ja-JP"/>
              </w:rPr>
              <w:t>814</w:t>
            </w:r>
          </w:p>
        </w:tc>
        <w:tc>
          <w:tcPr>
            <w:tcW w:w="347" w:type="pct"/>
            <w:shd w:val="clear" w:color="auto" w:fill="F2F2F2"/>
            <w:hideMark/>
          </w:tcPr>
          <w:p w14:paraId="79FF2DC0"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4D8B1C54"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6CCAACD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655844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AFF9B34" w14:textId="77777777" w:rsidTr="00E16711">
        <w:trPr>
          <w:trHeight w:val="1056"/>
        </w:trPr>
        <w:tc>
          <w:tcPr>
            <w:tcW w:w="205" w:type="pct"/>
            <w:shd w:val="clear" w:color="auto" w:fill="F2F2F2"/>
            <w:noWrap/>
            <w:hideMark/>
          </w:tcPr>
          <w:p w14:paraId="38E50DBA"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464C7AF3" w14:textId="77777777" w:rsidR="00395D01" w:rsidRPr="00912996" w:rsidRDefault="00395D01" w:rsidP="00292396">
            <w:pPr>
              <w:rPr>
                <w:rFonts w:ascii="Calibri" w:hAnsi="Calibri"/>
                <w:bCs/>
                <w:lang w:eastAsia="ja-JP"/>
              </w:rPr>
            </w:pPr>
            <w:r w:rsidRPr="00912996">
              <w:rPr>
                <w:rFonts w:ascii="Calibri" w:hAnsi="Calibri"/>
                <w:bCs/>
                <w:lang w:eastAsia="ja-JP"/>
              </w:rPr>
              <w:t xml:space="preserve">Consolidare și reabilitare imobil din </w:t>
            </w:r>
            <w:r>
              <w:rPr>
                <w:rFonts w:ascii="Calibri" w:hAnsi="Calibri"/>
                <w:bCs/>
                <w:lang w:eastAsia="ja-JP"/>
              </w:rPr>
              <w:t>B-</w:t>
            </w:r>
            <w:r w:rsidRPr="00912996">
              <w:rPr>
                <w:rFonts w:ascii="Calibri" w:hAnsi="Calibri"/>
                <w:bCs/>
                <w:lang w:eastAsia="ja-JP"/>
              </w:rPr>
              <w:t>dul. Ferdinand I nr. 23 Școala Gimnazială Iancului</w:t>
            </w:r>
            <w:r>
              <w:rPr>
                <w:rFonts w:ascii="Calibri" w:hAnsi="Calibri"/>
                <w:bCs/>
                <w:lang w:eastAsia="ja-JP"/>
              </w:rPr>
              <w:t xml:space="preserve"> C1 + C2 (fosta Grădiniță nr 15)</w:t>
            </w:r>
          </w:p>
        </w:tc>
        <w:tc>
          <w:tcPr>
            <w:tcW w:w="640" w:type="pct"/>
            <w:shd w:val="clear" w:color="auto" w:fill="F2F2F2"/>
            <w:hideMark/>
          </w:tcPr>
          <w:p w14:paraId="7F15A912"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D040DD9"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1F9436D8"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776</w:t>
            </w:r>
            <w:r w:rsidRPr="00912996">
              <w:rPr>
                <w:rFonts w:ascii="Calibri" w:hAnsi="Calibri"/>
                <w:bCs/>
                <w:lang w:eastAsia="ja-JP"/>
              </w:rPr>
              <w:t>,</w:t>
            </w:r>
            <w:r>
              <w:rPr>
                <w:rFonts w:ascii="Calibri" w:hAnsi="Calibri"/>
                <w:bCs/>
                <w:lang w:eastAsia="ja-JP"/>
              </w:rPr>
              <w:t>992</w:t>
            </w:r>
          </w:p>
        </w:tc>
        <w:tc>
          <w:tcPr>
            <w:tcW w:w="411" w:type="pct"/>
            <w:shd w:val="clear" w:color="auto" w:fill="F2F2F2"/>
            <w:hideMark/>
          </w:tcPr>
          <w:p w14:paraId="1408BD6F" w14:textId="77777777" w:rsidR="00395D01" w:rsidRPr="00912996" w:rsidRDefault="00395D01" w:rsidP="00292396">
            <w:pPr>
              <w:rPr>
                <w:rFonts w:ascii="Calibri" w:hAnsi="Calibri"/>
                <w:bCs/>
                <w:lang w:eastAsia="ja-JP"/>
              </w:rPr>
            </w:pPr>
            <w:r>
              <w:rPr>
                <w:rFonts w:ascii="Calibri" w:hAnsi="Calibri"/>
                <w:bCs/>
                <w:lang w:eastAsia="ja-JP"/>
              </w:rPr>
              <w:t>770</w:t>
            </w:r>
            <w:r w:rsidRPr="00912996">
              <w:rPr>
                <w:rFonts w:ascii="Calibri" w:hAnsi="Calibri"/>
                <w:bCs/>
                <w:lang w:eastAsia="ja-JP"/>
              </w:rPr>
              <w:t>,</w:t>
            </w:r>
            <w:r>
              <w:rPr>
                <w:rFonts w:ascii="Calibri" w:hAnsi="Calibri"/>
                <w:bCs/>
                <w:lang w:eastAsia="ja-JP"/>
              </w:rPr>
              <w:t>814</w:t>
            </w:r>
          </w:p>
        </w:tc>
        <w:tc>
          <w:tcPr>
            <w:tcW w:w="347" w:type="pct"/>
            <w:shd w:val="clear" w:color="auto" w:fill="F2F2F2"/>
            <w:hideMark/>
          </w:tcPr>
          <w:p w14:paraId="2E58114F"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039CD034"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Alte surse de finanțare</w:t>
            </w:r>
          </w:p>
        </w:tc>
        <w:tc>
          <w:tcPr>
            <w:tcW w:w="433" w:type="pct"/>
            <w:shd w:val="clear" w:color="auto" w:fill="F2F2F2"/>
            <w:hideMark/>
          </w:tcPr>
          <w:p w14:paraId="31EC1FD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A8DBFB0"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99D65E9" w14:textId="77777777" w:rsidTr="00E16711">
        <w:trPr>
          <w:trHeight w:val="792"/>
        </w:trPr>
        <w:tc>
          <w:tcPr>
            <w:tcW w:w="205" w:type="pct"/>
            <w:shd w:val="clear" w:color="auto" w:fill="F2F2F2"/>
            <w:noWrap/>
            <w:hideMark/>
          </w:tcPr>
          <w:p w14:paraId="7AF1F2AD"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2EF7E06B" w14:textId="77777777" w:rsidR="00395D01" w:rsidRPr="00912996" w:rsidRDefault="00395D01" w:rsidP="00292396">
            <w:pPr>
              <w:rPr>
                <w:rFonts w:ascii="Calibri" w:hAnsi="Calibri"/>
                <w:bCs/>
                <w:lang w:eastAsia="ja-JP"/>
              </w:rPr>
            </w:pPr>
            <w:r>
              <w:rPr>
                <w:rFonts w:ascii="Calibri" w:hAnsi="Calibri"/>
                <w:bCs/>
                <w:lang w:eastAsia="ja-JP"/>
              </w:rPr>
              <w:t>Construire corp nou Școala Maria Rosetti</w:t>
            </w:r>
          </w:p>
        </w:tc>
        <w:tc>
          <w:tcPr>
            <w:tcW w:w="640" w:type="pct"/>
            <w:shd w:val="clear" w:color="auto" w:fill="F2F2F2"/>
            <w:hideMark/>
          </w:tcPr>
          <w:p w14:paraId="76692F3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C45B36A" w14:textId="77777777" w:rsidR="00395D01" w:rsidRPr="00912996" w:rsidRDefault="00395D01" w:rsidP="00292396">
            <w:pPr>
              <w:rPr>
                <w:rFonts w:ascii="Calibri" w:hAnsi="Calibri"/>
                <w:bCs/>
                <w:lang w:eastAsia="ja-JP"/>
              </w:rPr>
            </w:pPr>
            <w:r w:rsidRPr="00912996">
              <w:rPr>
                <w:rFonts w:ascii="Calibri" w:hAnsi="Calibri"/>
                <w:bCs/>
                <w:lang w:eastAsia="ja-JP"/>
              </w:rPr>
              <w:t>DALI 2011</w:t>
            </w:r>
          </w:p>
        </w:tc>
        <w:tc>
          <w:tcPr>
            <w:tcW w:w="473" w:type="pct"/>
            <w:shd w:val="clear" w:color="auto" w:fill="F2F2F2"/>
            <w:hideMark/>
          </w:tcPr>
          <w:p w14:paraId="5900C059" w14:textId="77777777" w:rsidR="00395D01" w:rsidRPr="00912996" w:rsidRDefault="00395D01" w:rsidP="00292396">
            <w:pPr>
              <w:rPr>
                <w:rFonts w:ascii="Calibri" w:hAnsi="Calibri"/>
                <w:bCs/>
                <w:lang w:eastAsia="ja-JP"/>
              </w:rPr>
            </w:pPr>
            <w:r w:rsidRPr="00912996">
              <w:rPr>
                <w:rFonts w:ascii="Calibri" w:hAnsi="Calibri"/>
                <w:bCs/>
                <w:lang w:eastAsia="ja-JP"/>
              </w:rPr>
              <w:t>6,667,000</w:t>
            </w:r>
          </w:p>
        </w:tc>
        <w:tc>
          <w:tcPr>
            <w:tcW w:w="411" w:type="pct"/>
            <w:shd w:val="clear" w:color="auto" w:fill="F2F2F2"/>
            <w:hideMark/>
          </w:tcPr>
          <w:p w14:paraId="0CE0042E" w14:textId="77777777" w:rsidR="00395D01" w:rsidRPr="00912996" w:rsidRDefault="00395D01" w:rsidP="00292396">
            <w:pPr>
              <w:rPr>
                <w:rFonts w:ascii="Calibri" w:hAnsi="Calibri"/>
                <w:bCs/>
                <w:lang w:eastAsia="ja-JP"/>
              </w:rPr>
            </w:pPr>
            <w:r w:rsidRPr="00912996">
              <w:rPr>
                <w:rFonts w:ascii="Calibri" w:hAnsi="Calibri"/>
                <w:bCs/>
                <w:lang w:eastAsia="ja-JP"/>
              </w:rPr>
              <w:t>1,360,612</w:t>
            </w:r>
          </w:p>
        </w:tc>
        <w:tc>
          <w:tcPr>
            <w:tcW w:w="347" w:type="pct"/>
            <w:shd w:val="clear" w:color="auto" w:fill="F2F2F2"/>
            <w:hideMark/>
          </w:tcPr>
          <w:p w14:paraId="090D1721" w14:textId="77777777" w:rsidR="00395D01" w:rsidRPr="00912996" w:rsidRDefault="00395D01" w:rsidP="00292396">
            <w:pPr>
              <w:rPr>
                <w:rFonts w:ascii="Calibri" w:hAnsi="Calibri"/>
                <w:bCs/>
                <w:lang w:eastAsia="ja-JP"/>
              </w:rPr>
            </w:pPr>
            <w:r w:rsidRPr="00912996">
              <w:rPr>
                <w:rFonts w:ascii="Calibri" w:hAnsi="Calibri"/>
                <w:bCs/>
                <w:lang w:eastAsia="ja-JP"/>
              </w:rPr>
              <w:t>20</w:t>
            </w:r>
            <w:r>
              <w:rPr>
                <w:rFonts w:ascii="Calibri" w:hAnsi="Calibri"/>
                <w:bCs/>
                <w:lang w:eastAsia="ja-JP"/>
              </w:rPr>
              <w:t>23</w:t>
            </w:r>
            <w:r w:rsidRPr="00912996">
              <w:rPr>
                <w:rFonts w:ascii="Calibri" w:hAnsi="Calibri"/>
                <w:bCs/>
                <w:lang w:eastAsia="ja-JP"/>
              </w:rPr>
              <w:t xml:space="preserve"> - 202</w:t>
            </w:r>
            <w:r>
              <w:rPr>
                <w:rFonts w:ascii="Calibri" w:hAnsi="Calibri"/>
                <w:bCs/>
                <w:lang w:eastAsia="ja-JP"/>
              </w:rPr>
              <w:t>5</w:t>
            </w:r>
          </w:p>
        </w:tc>
        <w:tc>
          <w:tcPr>
            <w:tcW w:w="484" w:type="pct"/>
            <w:gridSpan w:val="2"/>
            <w:shd w:val="clear" w:color="auto" w:fill="F2F2F2"/>
            <w:hideMark/>
          </w:tcPr>
          <w:p w14:paraId="563D0C3A" w14:textId="77777777" w:rsidR="00395D01" w:rsidRPr="00912996" w:rsidRDefault="00395D01" w:rsidP="00292396">
            <w:pPr>
              <w:rPr>
                <w:rFonts w:ascii="Calibri" w:hAnsi="Calibri"/>
                <w:bCs/>
                <w:lang w:eastAsia="ja-JP"/>
              </w:rPr>
            </w:pPr>
            <w:r w:rsidRPr="00912996">
              <w:rPr>
                <w:rFonts w:ascii="Calibri" w:hAnsi="Calibri"/>
                <w:bCs/>
                <w:lang w:eastAsia="ja-JP"/>
              </w:rPr>
              <w:t>Bugetul local, Buget Municipal,  Alte surse de finanțare</w:t>
            </w:r>
          </w:p>
        </w:tc>
        <w:tc>
          <w:tcPr>
            <w:tcW w:w="433" w:type="pct"/>
            <w:shd w:val="clear" w:color="auto" w:fill="F2F2F2"/>
            <w:hideMark/>
          </w:tcPr>
          <w:p w14:paraId="7F0AF29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209B62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0922064" w14:textId="77777777" w:rsidTr="00E16711">
        <w:trPr>
          <w:trHeight w:val="1056"/>
        </w:trPr>
        <w:tc>
          <w:tcPr>
            <w:tcW w:w="205" w:type="pct"/>
            <w:shd w:val="clear" w:color="auto" w:fill="F2F2F2"/>
            <w:noWrap/>
            <w:hideMark/>
          </w:tcPr>
          <w:p w14:paraId="165B6587"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6</w:t>
            </w:r>
          </w:p>
        </w:tc>
        <w:tc>
          <w:tcPr>
            <w:tcW w:w="1018" w:type="pct"/>
            <w:gridSpan w:val="2"/>
            <w:shd w:val="clear" w:color="auto" w:fill="F2F2F2"/>
            <w:hideMark/>
          </w:tcPr>
          <w:p w14:paraId="4B52A344"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și modernizare imobil școala din cadrul Colegiului Național Emil Racoviță</w:t>
            </w:r>
          </w:p>
        </w:tc>
        <w:tc>
          <w:tcPr>
            <w:tcW w:w="640" w:type="pct"/>
            <w:shd w:val="clear" w:color="auto" w:fill="F2F2F2"/>
            <w:hideMark/>
          </w:tcPr>
          <w:p w14:paraId="3C4E3C86"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2074ABD6" w14:textId="77777777" w:rsidR="00395D01" w:rsidRPr="00912996" w:rsidRDefault="00395D01" w:rsidP="00292396">
            <w:pPr>
              <w:rPr>
                <w:rFonts w:ascii="Calibri" w:hAnsi="Calibri"/>
                <w:bCs/>
                <w:lang w:eastAsia="ja-JP"/>
              </w:rPr>
            </w:pPr>
            <w:r>
              <w:rPr>
                <w:rFonts w:ascii="Calibri" w:hAnsi="Calibri"/>
                <w:bCs/>
                <w:lang w:eastAsia="ja-JP"/>
              </w:rPr>
              <w:t>Finalizat</w:t>
            </w:r>
          </w:p>
        </w:tc>
        <w:tc>
          <w:tcPr>
            <w:tcW w:w="473" w:type="pct"/>
            <w:shd w:val="clear" w:color="auto" w:fill="F2F2F2"/>
            <w:hideMark/>
          </w:tcPr>
          <w:p w14:paraId="36F0EB56" w14:textId="77777777" w:rsidR="00395D01" w:rsidRPr="00912996" w:rsidRDefault="00395D01" w:rsidP="00292396">
            <w:pPr>
              <w:rPr>
                <w:rFonts w:ascii="Calibri" w:hAnsi="Calibri"/>
                <w:bCs/>
                <w:lang w:eastAsia="ja-JP"/>
              </w:rPr>
            </w:pPr>
            <w:r>
              <w:rPr>
                <w:rFonts w:ascii="Calibri" w:hAnsi="Calibri"/>
                <w:bCs/>
                <w:lang w:eastAsia="ja-JP"/>
              </w:rPr>
              <w:t>18,768,405</w:t>
            </w:r>
          </w:p>
        </w:tc>
        <w:tc>
          <w:tcPr>
            <w:tcW w:w="411" w:type="pct"/>
            <w:shd w:val="clear" w:color="auto" w:fill="F2F2F2"/>
            <w:hideMark/>
          </w:tcPr>
          <w:p w14:paraId="53811DBB" w14:textId="77777777" w:rsidR="00395D01" w:rsidRPr="00912996" w:rsidRDefault="00395D01" w:rsidP="00292396">
            <w:pPr>
              <w:rPr>
                <w:rFonts w:ascii="Calibri" w:hAnsi="Calibri"/>
                <w:bCs/>
                <w:lang w:eastAsia="ja-JP"/>
              </w:rPr>
            </w:pPr>
            <w:r>
              <w:rPr>
                <w:rFonts w:ascii="Calibri" w:hAnsi="Calibri"/>
                <w:bCs/>
                <w:lang w:eastAsia="ja-JP"/>
              </w:rPr>
              <w:t>3,830,286</w:t>
            </w:r>
          </w:p>
        </w:tc>
        <w:tc>
          <w:tcPr>
            <w:tcW w:w="347" w:type="pct"/>
            <w:shd w:val="clear" w:color="auto" w:fill="F2F2F2"/>
            <w:hideMark/>
          </w:tcPr>
          <w:p w14:paraId="1B5E6075"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0EA733F6"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3F81147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5FB30F6"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C73C558" w14:textId="77777777" w:rsidTr="00E16711">
        <w:trPr>
          <w:trHeight w:val="1056"/>
        </w:trPr>
        <w:tc>
          <w:tcPr>
            <w:tcW w:w="205" w:type="pct"/>
            <w:shd w:val="clear" w:color="auto" w:fill="F2F2F2"/>
            <w:noWrap/>
            <w:hideMark/>
          </w:tcPr>
          <w:p w14:paraId="20F159B2"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7</w:t>
            </w:r>
          </w:p>
        </w:tc>
        <w:tc>
          <w:tcPr>
            <w:tcW w:w="1018" w:type="pct"/>
            <w:gridSpan w:val="2"/>
            <w:shd w:val="clear" w:color="auto" w:fill="F2F2F2"/>
            <w:hideMark/>
          </w:tcPr>
          <w:p w14:paraId="660AD26F" w14:textId="77777777" w:rsidR="00395D01" w:rsidRPr="00912996" w:rsidRDefault="00395D01" w:rsidP="00292396">
            <w:pPr>
              <w:rPr>
                <w:rFonts w:ascii="Calibri" w:hAnsi="Calibri"/>
                <w:bCs/>
                <w:lang w:eastAsia="ja-JP"/>
              </w:rPr>
            </w:pPr>
            <w:r w:rsidRPr="00912996">
              <w:rPr>
                <w:rFonts w:ascii="Calibri" w:hAnsi="Calibri"/>
                <w:bCs/>
                <w:lang w:eastAsia="ja-JP"/>
              </w:rPr>
              <w:t>Construire sală sport Școala Centrală</w:t>
            </w:r>
          </w:p>
        </w:tc>
        <w:tc>
          <w:tcPr>
            <w:tcW w:w="640" w:type="pct"/>
            <w:shd w:val="clear" w:color="auto" w:fill="F2F2F2"/>
            <w:hideMark/>
          </w:tcPr>
          <w:p w14:paraId="4837E52F"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2360156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8216496" w14:textId="77777777" w:rsidR="00395D01" w:rsidRPr="00912996" w:rsidRDefault="00395D01" w:rsidP="00292396">
            <w:pPr>
              <w:rPr>
                <w:rFonts w:ascii="Calibri" w:hAnsi="Calibri"/>
                <w:bCs/>
                <w:lang w:eastAsia="ja-JP"/>
              </w:rPr>
            </w:pPr>
            <w:r w:rsidRPr="00912996">
              <w:rPr>
                <w:rFonts w:ascii="Calibri" w:hAnsi="Calibri"/>
                <w:bCs/>
                <w:lang w:eastAsia="ja-JP"/>
              </w:rPr>
              <w:t>2,236,000</w:t>
            </w:r>
          </w:p>
        </w:tc>
        <w:tc>
          <w:tcPr>
            <w:tcW w:w="411" w:type="pct"/>
            <w:shd w:val="clear" w:color="auto" w:fill="F2F2F2"/>
            <w:hideMark/>
          </w:tcPr>
          <w:p w14:paraId="741C9E5D" w14:textId="77777777" w:rsidR="00395D01" w:rsidRPr="00912996" w:rsidRDefault="00395D01" w:rsidP="00292396">
            <w:pPr>
              <w:rPr>
                <w:rFonts w:ascii="Calibri" w:hAnsi="Calibri"/>
                <w:bCs/>
                <w:lang w:eastAsia="ja-JP"/>
              </w:rPr>
            </w:pPr>
            <w:r w:rsidRPr="00912996">
              <w:rPr>
                <w:rFonts w:ascii="Calibri" w:hAnsi="Calibri"/>
                <w:bCs/>
                <w:lang w:eastAsia="ja-JP"/>
              </w:rPr>
              <w:t>456,327</w:t>
            </w:r>
          </w:p>
        </w:tc>
        <w:tc>
          <w:tcPr>
            <w:tcW w:w="347" w:type="pct"/>
            <w:shd w:val="clear" w:color="auto" w:fill="F2F2F2"/>
            <w:hideMark/>
          </w:tcPr>
          <w:p w14:paraId="08F447C1" w14:textId="77777777" w:rsidR="00395D01" w:rsidRPr="00912996" w:rsidRDefault="00395D01" w:rsidP="00292396">
            <w:pPr>
              <w:rPr>
                <w:rFonts w:ascii="Calibri" w:hAnsi="Calibri"/>
                <w:bCs/>
                <w:lang w:eastAsia="ja-JP"/>
              </w:rPr>
            </w:pPr>
            <w:r w:rsidRPr="00912996">
              <w:rPr>
                <w:rFonts w:ascii="Calibri" w:hAnsi="Calibri"/>
                <w:bCs/>
                <w:lang w:eastAsia="ja-JP"/>
              </w:rPr>
              <w:t>20</w:t>
            </w:r>
            <w:r>
              <w:rPr>
                <w:rFonts w:ascii="Calibri" w:hAnsi="Calibri"/>
                <w:bCs/>
                <w:lang w:eastAsia="ja-JP"/>
              </w:rPr>
              <w:t>23</w:t>
            </w:r>
            <w:r w:rsidRPr="00912996">
              <w:rPr>
                <w:rFonts w:ascii="Calibri" w:hAnsi="Calibri"/>
                <w:bCs/>
                <w:lang w:eastAsia="ja-JP"/>
              </w:rPr>
              <w:t xml:space="preserve"> - 202</w:t>
            </w:r>
            <w:r>
              <w:rPr>
                <w:rFonts w:ascii="Calibri" w:hAnsi="Calibri"/>
                <w:bCs/>
                <w:lang w:eastAsia="ja-JP"/>
              </w:rPr>
              <w:t>5</w:t>
            </w:r>
          </w:p>
        </w:tc>
        <w:tc>
          <w:tcPr>
            <w:tcW w:w="484" w:type="pct"/>
            <w:gridSpan w:val="2"/>
            <w:shd w:val="clear" w:color="auto" w:fill="F2F2F2"/>
            <w:hideMark/>
          </w:tcPr>
          <w:p w14:paraId="1E71753B" w14:textId="77777777" w:rsidR="00395D01" w:rsidRPr="00912996" w:rsidRDefault="00395D01" w:rsidP="00292396">
            <w:pPr>
              <w:rPr>
                <w:rFonts w:ascii="Calibri" w:hAnsi="Calibri"/>
                <w:bCs/>
                <w:lang w:eastAsia="ja-JP"/>
              </w:rPr>
            </w:pPr>
            <w:r w:rsidRPr="00912996">
              <w:rPr>
                <w:rFonts w:ascii="Calibri" w:hAnsi="Calibri"/>
                <w:bCs/>
                <w:lang w:eastAsia="ja-JP"/>
              </w:rPr>
              <w:t>POR BI P6, Bugetul local, Buget Municipal,  Alte surse de finanțare</w:t>
            </w:r>
          </w:p>
        </w:tc>
        <w:tc>
          <w:tcPr>
            <w:tcW w:w="433" w:type="pct"/>
            <w:shd w:val="clear" w:color="auto" w:fill="F2F2F2"/>
            <w:hideMark/>
          </w:tcPr>
          <w:p w14:paraId="01AB222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D4A74E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6D5645C" w14:textId="77777777" w:rsidTr="00E16711">
        <w:trPr>
          <w:trHeight w:val="1320"/>
        </w:trPr>
        <w:tc>
          <w:tcPr>
            <w:tcW w:w="205" w:type="pct"/>
            <w:shd w:val="clear" w:color="auto" w:fill="F2F2F2"/>
            <w:noWrap/>
            <w:hideMark/>
          </w:tcPr>
          <w:p w14:paraId="1066A261"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8</w:t>
            </w:r>
          </w:p>
        </w:tc>
        <w:tc>
          <w:tcPr>
            <w:tcW w:w="1018" w:type="pct"/>
            <w:gridSpan w:val="2"/>
            <w:shd w:val="clear" w:color="auto" w:fill="F2F2F2"/>
            <w:hideMark/>
          </w:tcPr>
          <w:p w14:paraId="4C701BCF" w14:textId="77777777" w:rsidR="00395D01" w:rsidRPr="00912996" w:rsidRDefault="00395D01" w:rsidP="00292396">
            <w:pPr>
              <w:rPr>
                <w:rFonts w:ascii="Calibri" w:hAnsi="Calibri"/>
                <w:bCs/>
                <w:lang w:eastAsia="ja-JP"/>
              </w:rPr>
            </w:pPr>
            <w:r w:rsidRPr="00912996">
              <w:rPr>
                <w:rFonts w:ascii="Calibri" w:hAnsi="Calibri"/>
                <w:bCs/>
                <w:lang w:eastAsia="ja-JP"/>
              </w:rPr>
              <w:t>Construire sală de sport la Școala Gimnazială Iancului și la Colegiul Mihai Viteazul</w:t>
            </w:r>
          </w:p>
        </w:tc>
        <w:tc>
          <w:tcPr>
            <w:tcW w:w="640" w:type="pct"/>
            <w:shd w:val="clear" w:color="auto" w:fill="F2F2F2"/>
            <w:hideMark/>
          </w:tcPr>
          <w:p w14:paraId="03E7B35D"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6AD89E1F" w14:textId="77777777" w:rsidR="00395D01" w:rsidRPr="00912996" w:rsidRDefault="00395D01" w:rsidP="00292396">
            <w:pPr>
              <w:rPr>
                <w:rFonts w:ascii="Calibri" w:hAnsi="Calibri"/>
                <w:bCs/>
                <w:lang w:eastAsia="ja-JP"/>
              </w:rPr>
            </w:pPr>
            <w:r w:rsidRPr="00912996">
              <w:rPr>
                <w:rFonts w:ascii="Calibri" w:hAnsi="Calibri"/>
                <w:bCs/>
                <w:lang w:eastAsia="ja-JP"/>
              </w:rPr>
              <w:t>DTAC, PT</w:t>
            </w:r>
          </w:p>
        </w:tc>
        <w:tc>
          <w:tcPr>
            <w:tcW w:w="473" w:type="pct"/>
            <w:shd w:val="clear" w:color="auto" w:fill="F2F2F2"/>
            <w:hideMark/>
          </w:tcPr>
          <w:p w14:paraId="1336F2F7" w14:textId="77777777" w:rsidR="00395D01" w:rsidRPr="00912996" w:rsidRDefault="00395D01" w:rsidP="00292396">
            <w:pPr>
              <w:rPr>
                <w:rFonts w:ascii="Calibri" w:hAnsi="Calibri"/>
                <w:bCs/>
                <w:lang w:eastAsia="ja-JP"/>
              </w:rPr>
            </w:pPr>
            <w:r w:rsidRPr="00912996">
              <w:rPr>
                <w:rFonts w:ascii="Calibri" w:hAnsi="Calibri"/>
                <w:bCs/>
                <w:lang w:eastAsia="ja-JP"/>
              </w:rPr>
              <w:t>5,220,000</w:t>
            </w:r>
          </w:p>
        </w:tc>
        <w:tc>
          <w:tcPr>
            <w:tcW w:w="411" w:type="pct"/>
            <w:shd w:val="clear" w:color="auto" w:fill="F2F2F2"/>
            <w:hideMark/>
          </w:tcPr>
          <w:p w14:paraId="3E13B031" w14:textId="77777777" w:rsidR="00395D01" w:rsidRPr="00912996" w:rsidRDefault="00395D01" w:rsidP="00292396">
            <w:pPr>
              <w:rPr>
                <w:rFonts w:ascii="Calibri" w:hAnsi="Calibri"/>
                <w:bCs/>
                <w:lang w:eastAsia="ja-JP"/>
              </w:rPr>
            </w:pPr>
            <w:r w:rsidRPr="00912996">
              <w:rPr>
                <w:rFonts w:ascii="Calibri" w:hAnsi="Calibri"/>
                <w:bCs/>
                <w:lang w:eastAsia="ja-JP"/>
              </w:rPr>
              <w:t>1,178,330</w:t>
            </w:r>
          </w:p>
        </w:tc>
        <w:tc>
          <w:tcPr>
            <w:tcW w:w="347" w:type="pct"/>
            <w:shd w:val="clear" w:color="auto" w:fill="F2F2F2"/>
            <w:hideMark/>
          </w:tcPr>
          <w:p w14:paraId="145B2610"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07CFFAA0" w14:textId="77777777" w:rsidR="00395D01" w:rsidRPr="00912996" w:rsidRDefault="00395D01" w:rsidP="00292396">
            <w:pPr>
              <w:rPr>
                <w:rFonts w:ascii="Calibri" w:hAnsi="Calibri"/>
                <w:bCs/>
                <w:lang w:eastAsia="ja-JP"/>
              </w:rPr>
            </w:pPr>
            <w:r w:rsidRPr="00912996">
              <w:rPr>
                <w:rFonts w:ascii="Calibri" w:hAnsi="Calibri"/>
                <w:bCs/>
                <w:lang w:eastAsia="ja-JP"/>
              </w:rPr>
              <w:t>Compania Națională de Investiții., Bugetul local,  Alte surse de finanțare</w:t>
            </w:r>
          </w:p>
        </w:tc>
        <w:tc>
          <w:tcPr>
            <w:tcW w:w="433" w:type="pct"/>
            <w:shd w:val="clear" w:color="auto" w:fill="F2F2F2"/>
            <w:hideMark/>
          </w:tcPr>
          <w:p w14:paraId="50CE723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AFF7FC5"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56F541A" w14:textId="77777777" w:rsidTr="00E16711">
        <w:trPr>
          <w:trHeight w:val="1056"/>
        </w:trPr>
        <w:tc>
          <w:tcPr>
            <w:tcW w:w="205" w:type="pct"/>
            <w:shd w:val="clear" w:color="auto" w:fill="F2F2F2"/>
            <w:noWrap/>
            <w:hideMark/>
          </w:tcPr>
          <w:p w14:paraId="5377F550" w14:textId="77777777" w:rsidR="00395D01" w:rsidRPr="00912996" w:rsidRDefault="00395D01" w:rsidP="00292396">
            <w:pPr>
              <w:rPr>
                <w:rFonts w:ascii="Calibri" w:hAnsi="Calibri"/>
                <w:bCs/>
                <w:lang w:eastAsia="ja-JP"/>
              </w:rPr>
            </w:pPr>
            <w:r>
              <w:rPr>
                <w:rFonts w:ascii="Calibri" w:hAnsi="Calibri"/>
                <w:bCs/>
                <w:lang w:eastAsia="ja-JP"/>
              </w:rPr>
              <w:t>19</w:t>
            </w:r>
          </w:p>
        </w:tc>
        <w:tc>
          <w:tcPr>
            <w:tcW w:w="1018" w:type="pct"/>
            <w:gridSpan w:val="2"/>
            <w:shd w:val="clear" w:color="auto" w:fill="F2F2F2"/>
            <w:hideMark/>
          </w:tcPr>
          <w:p w14:paraId="3C0ADA60" w14:textId="77777777" w:rsidR="00395D01" w:rsidRPr="00912996" w:rsidRDefault="00395D01" w:rsidP="00292396">
            <w:pPr>
              <w:rPr>
                <w:rFonts w:ascii="Calibri" w:hAnsi="Calibri"/>
                <w:bCs/>
                <w:lang w:eastAsia="ja-JP"/>
              </w:rPr>
            </w:pPr>
            <w:r w:rsidRPr="00912996">
              <w:rPr>
                <w:rFonts w:ascii="Calibri" w:hAnsi="Calibri"/>
                <w:bCs/>
                <w:lang w:eastAsia="ja-JP"/>
              </w:rPr>
              <w:t>Construire sală sport și extindere corp școală cu o construcție P+1E - Beneficiar: Colegiul Emil Racoviță</w:t>
            </w:r>
          </w:p>
        </w:tc>
        <w:tc>
          <w:tcPr>
            <w:tcW w:w="640" w:type="pct"/>
            <w:shd w:val="clear" w:color="auto" w:fill="F2F2F2"/>
            <w:hideMark/>
          </w:tcPr>
          <w:p w14:paraId="07686653"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4B2A42A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F4B41CE" w14:textId="77777777" w:rsidR="00395D01" w:rsidRPr="00912996" w:rsidRDefault="00395D01" w:rsidP="00292396">
            <w:pPr>
              <w:rPr>
                <w:rFonts w:ascii="Calibri" w:hAnsi="Calibri"/>
                <w:bCs/>
                <w:lang w:eastAsia="ja-JP"/>
              </w:rPr>
            </w:pPr>
            <w:r w:rsidRPr="00912996">
              <w:rPr>
                <w:rFonts w:ascii="Calibri" w:hAnsi="Calibri"/>
                <w:bCs/>
                <w:lang w:eastAsia="ja-JP"/>
              </w:rPr>
              <w:t>6,138,998</w:t>
            </w:r>
          </w:p>
        </w:tc>
        <w:tc>
          <w:tcPr>
            <w:tcW w:w="411" w:type="pct"/>
            <w:shd w:val="clear" w:color="auto" w:fill="F2F2F2"/>
            <w:hideMark/>
          </w:tcPr>
          <w:p w14:paraId="75284676" w14:textId="77777777" w:rsidR="00395D01" w:rsidRPr="00912996" w:rsidRDefault="00395D01" w:rsidP="00292396">
            <w:pPr>
              <w:rPr>
                <w:rFonts w:ascii="Calibri" w:hAnsi="Calibri"/>
                <w:bCs/>
                <w:lang w:eastAsia="ja-JP"/>
              </w:rPr>
            </w:pPr>
            <w:r w:rsidRPr="00912996">
              <w:rPr>
                <w:rFonts w:ascii="Calibri" w:hAnsi="Calibri"/>
                <w:bCs/>
                <w:lang w:eastAsia="ja-JP"/>
              </w:rPr>
              <w:t>1,252,857</w:t>
            </w:r>
          </w:p>
        </w:tc>
        <w:tc>
          <w:tcPr>
            <w:tcW w:w="347" w:type="pct"/>
            <w:shd w:val="clear" w:color="auto" w:fill="F2F2F2"/>
            <w:hideMark/>
          </w:tcPr>
          <w:p w14:paraId="252419C6"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4FD92F9" w14:textId="77777777" w:rsidR="00395D01" w:rsidRPr="00912996" w:rsidRDefault="00395D01" w:rsidP="00292396">
            <w:pPr>
              <w:rPr>
                <w:rFonts w:ascii="Calibri" w:hAnsi="Calibri"/>
                <w:bCs/>
                <w:lang w:eastAsia="ja-JP"/>
              </w:rPr>
            </w:pPr>
            <w:r w:rsidRPr="00912996">
              <w:rPr>
                <w:rFonts w:ascii="Calibri" w:hAnsi="Calibri"/>
                <w:bCs/>
                <w:lang w:eastAsia="ja-JP"/>
              </w:rPr>
              <w:t>Compania Națională de Investiții., Bugetul local,  Alte surse de finanțare</w:t>
            </w:r>
          </w:p>
        </w:tc>
        <w:tc>
          <w:tcPr>
            <w:tcW w:w="433" w:type="pct"/>
            <w:shd w:val="clear" w:color="auto" w:fill="F2F2F2"/>
            <w:hideMark/>
          </w:tcPr>
          <w:p w14:paraId="3EFC56B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1967E11"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1A499EAF" w14:textId="77777777" w:rsidTr="00E16711">
        <w:trPr>
          <w:trHeight w:val="1056"/>
        </w:trPr>
        <w:tc>
          <w:tcPr>
            <w:tcW w:w="205" w:type="pct"/>
            <w:shd w:val="clear" w:color="auto" w:fill="F2F2F2"/>
            <w:noWrap/>
            <w:hideMark/>
          </w:tcPr>
          <w:p w14:paraId="0AFA4217"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0</w:t>
            </w:r>
          </w:p>
        </w:tc>
        <w:tc>
          <w:tcPr>
            <w:tcW w:w="1018" w:type="pct"/>
            <w:gridSpan w:val="2"/>
            <w:shd w:val="clear" w:color="auto" w:fill="F2F2F2"/>
            <w:hideMark/>
          </w:tcPr>
          <w:p w14:paraId="3DC61B43" w14:textId="77777777" w:rsidR="00395D01" w:rsidRPr="00912996" w:rsidRDefault="00395D01" w:rsidP="00292396">
            <w:pPr>
              <w:rPr>
                <w:rFonts w:ascii="Calibri" w:hAnsi="Calibri"/>
                <w:bCs/>
                <w:lang w:eastAsia="ja-JP"/>
              </w:rPr>
            </w:pPr>
            <w:r w:rsidRPr="00912996">
              <w:rPr>
                <w:rFonts w:ascii="Calibri" w:hAnsi="Calibri"/>
                <w:bCs/>
                <w:lang w:eastAsia="ja-JP"/>
              </w:rPr>
              <w:t>Construire sală de sport la Școala Gimnazială nr. 4</w:t>
            </w:r>
          </w:p>
        </w:tc>
        <w:tc>
          <w:tcPr>
            <w:tcW w:w="640" w:type="pct"/>
            <w:shd w:val="clear" w:color="auto" w:fill="F2F2F2"/>
            <w:hideMark/>
          </w:tcPr>
          <w:p w14:paraId="7410A7F0"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E0790C8" w14:textId="77777777" w:rsidR="00395D01" w:rsidRPr="00912996" w:rsidRDefault="00395D01" w:rsidP="00292396">
            <w:pPr>
              <w:rPr>
                <w:rFonts w:ascii="Calibri" w:hAnsi="Calibri"/>
                <w:bCs/>
                <w:lang w:eastAsia="ja-JP"/>
              </w:rPr>
            </w:pPr>
            <w:r>
              <w:rPr>
                <w:rFonts w:ascii="Calibri" w:hAnsi="Calibri"/>
                <w:bCs/>
                <w:lang w:eastAsia="ja-JP"/>
              </w:rPr>
              <w:t>SF</w:t>
            </w:r>
          </w:p>
        </w:tc>
        <w:tc>
          <w:tcPr>
            <w:tcW w:w="473" w:type="pct"/>
            <w:shd w:val="clear" w:color="auto" w:fill="F2F2F2"/>
            <w:hideMark/>
          </w:tcPr>
          <w:p w14:paraId="434A2664" w14:textId="77777777" w:rsidR="00395D01" w:rsidRPr="00912996" w:rsidRDefault="00395D01" w:rsidP="00292396">
            <w:pPr>
              <w:rPr>
                <w:rFonts w:ascii="Calibri" w:hAnsi="Calibri"/>
                <w:bCs/>
                <w:lang w:eastAsia="ja-JP"/>
              </w:rPr>
            </w:pPr>
            <w:r w:rsidRPr="00912996">
              <w:rPr>
                <w:rFonts w:ascii="Calibri" w:hAnsi="Calibri"/>
                <w:bCs/>
                <w:lang w:eastAsia="ja-JP"/>
              </w:rPr>
              <w:t>1,653,000</w:t>
            </w:r>
          </w:p>
        </w:tc>
        <w:tc>
          <w:tcPr>
            <w:tcW w:w="411" w:type="pct"/>
            <w:shd w:val="clear" w:color="auto" w:fill="F2F2F2"/>
            <w:hideMark/>
          </w:tcPr>
          <w:p w14:paraId="0EAFAD16" w14:textId="77777777" w:rsidR="00395D01" w:rsidRPr="00912996" w:rsidRDefault="00395D01" w:rsidP="00292396">
            <w:pPr>
              <w:rPr>
                <w:rFonts w:ascii="Calibri" w:hAnsi="Calibri"/>
                <w:bCs/>
                <w:lang w:eastAsia="ja-JP"/>
              </w:rPr>
            </w:pPr>
            <w:r w:rsidRPr="00912996">
              <w:rPr>
                <w:rFonts w:ascii="Calibri" w:hAnsi="Calibri"/>
                <w:bCs/>
                <w:lang w:eastAsia="ja-JP"/>
              </w:rPr>
              <w:t>337,347</w:t>
            </w:r>
          </w:p>
        </w:tc>
        <w:tc>
          <w:tcPr>
            <w:tcW w:w="347" w:type="pct"/>
            <w:shd w:val="clear" w:color="auto" w:fill="F2F2F2"/>
            <w:hideMark/>
          </w:tcPr>
          <w:p w14:paraId="048FE7E8"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1FC06AA0" w14:textId="77777777" w:rsidR="00395D01" w:rsidRPr="00912996" w:rsidRDefault="00395D01" w:rsidP="00292396">
            <w:pPr>
              <w:rPr>
                <w:rFonts w:ascii="Calibri" w:hAnsi="Calibri"/>
                <w:bCs/>
                <w:lang w:eastAsia="ja-JP"/>
              </w:rPr>
            </w:pPr>
            <w:r w:rsidRPr="00912996">
              <w:rPr>
                <w:rFonts w:ascii="Calibri" w:hAnsi="Calibri"/>
                <w:bCs/>
                <w:lang w:eastAsia="ja-JP"/>
              </w:rPr>
              <w:t>Compania Națională de Investiții</w:t>
            </w:r>
          </w:p>
        </w:tc>
        <w:tc>
          <w:tcPr>
            <w:tcW w:w="433" w:type="pct"/>
            <w:shd w:val="clear" w:color="auto" w:fill="F2F2F2"/>
            <w:hideMark/>
          </w:tcPr>
          <w:p w14:paraId="33C7509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06ABFB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2B39602" w14:textId="77777777" w:rsidTr="00E16711">
        <w:trPr>
          <w:trHeight w:val="1056"/>
        </w:trPr>
        <w:tc>
          <w:tcPr>
            <w:tcW w:w="205" w:type="pct"/>
            <w:shd w:val="clear" w:color="auto" w:fill="F2F2F2"/>
            <w:noWrap/>
            <w:hideMark/>
          </w:tcPr>
          <w:p w14:paraId="155952D4"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1</w:t>
            </w:r>
          </w:p>
        </w:tc>
        <w:tc>
          <w:tcPr>
            <w:tcW w:w="1018" w:type="pct"/>
            <w:gridSpan w:val="2"/>
            <w:shd w:val="clear" w:color="auto" w:fill="F2F2F2"/>
            <w:hideMark/>
          </w:tcPr>
          <w:p w14:paraId="1ECB5749" w14:textId="77777777" w:rsidR="00395D01" w:rsidRPr="00912996" w:rsidRDefault="00395D01" w:rsidP="00292396">
            <w:pPr>
              <w:rPr>
                <w:rFonts w:ascii="Calibri" w:hAnsi="Calibri"/>
                <w:bCs/>
                <w:lang w:eastAsia="ja-JP"/>
              </w:rPr>
            </w:pPr>
            <w:r w:rsidRPr="00912996">
              <w:rPr>
                <w:rFonts w:ascii="Calibri" w:hAnsi="Calibri"/>
                <w:bCs/>
                <w:lang w:eastAsia="ja-JP"/>
              </w:rPr>
              <w:t>Construire sală de sport la Școala Gimnazială nr. 51</w:t>
            </w:r>
          </w:p>
        </w:tc>
        <w:tc>
          <w:tcPr>
            <w:tcW w:w="640" w:type="pct"/>
            <w:shd w:val="clear" w:color="auto" w:fill="F2F2F2"/>
            <w:hideMark/>
          </w:tcPr>
          <w:p w14:paraId="79E0598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ED8907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52AE871" w14:textId="77777777" w:rsidR="00395D01" w:rsidRPr="00912996" w:rsidRDefault="00395D01" w:rsidP="00292396">
            <w:pPr>
              <w:rPr>
                <w:rFonts w:ascii="Calibri" w:hAnsi="Calibri"/>
                <w:bCs/>
                <w:lang w:eastAsia="ja-JP"/>
              </w:rPr>
            </w:pPr>
            <w:r w:rsidRPr="00912996">
              <w:rPr>
                <w:rFonts w:ascii="Calibri" w:hAnsi="Calibri"/>
                <w:bCs/>
                <w:lang w:eastAsia="ja-JP"/>
              </w:rPr>
              <w:t>34,285,000</w:t>
            </w:r>
          </w:p>
        </w:tc>
        <w:tc>
          <w:tcPr>
            <w:tcW w:w="411" w:type="pct"/>
            <w:shd w:val="clear" w:color="auto" w:fill="F2F2F2"/>
            <w:hideMark/>
          </w:tcPr>
          <w:p w14:paraId="1A240E45" w14:textId="77777777" w:rsidR="00395D01" w:rsidRPr="00912996" w:rsidRDefault="00395D01" w:rsidP="00292396">
            <w:pPr>
              <w:rPr>
                <w:rFonts w:ascii="Calibri" w:hAnsi="Calibri"/>
                <w:bCs/>
                <w:lang w:eastAsia="ja-JP"/>
              </w:rPr>
            </w:pPr>
            <w:r w:rsidRPr="00912996">
              <w:rPr>
                <w:rFonts w:ascii="Calibri" w:hAnsi="Calibri"/>
                <w:bCs/>
                <w:lang w:eastAsia="ja-JP"/>
              </w:rPr>
              <w:t>6,996,939</w:t>
            </w:r>
          </w:p>
        </w:tc>
        <w:tc>
          <w:tcPr>
            <w:tcW w:w="347" w:type="pct"/>
            <w:shd w:val="clear" w:color="auto" w:fill="F2F2F2"/>
            <w:hideMark/>
          </w:tcPr>
          <w:p w14:paraId="74443106"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7719A9B7" w14:textId="77777777" w:rsidR="00395D01" w:rsidRPr="00912996" w:rsidRDefault="00395D01" w:rsidP="00292396">
            <w:pPr>
              <w:rPr>
                <w:rFonts w:ascii="Calibri" w:hAnsi="Calibri"/>
                <w:bCs/>
                <w:lang w:eastAsia="ja-JP"/>
              </w:rPr>
            </w:pPr>
            <w:r w:rsidRPr="00912996">
              <w:rPr>
                <w:rFonts w:ascii="Calibri" w:hAnsi="Calibri"/>
                <w:bCs/>
                <w:lang w:eastAsia="ja-JP"/>
              </w:rPr>
              <w:t>Compania Națională de Investiții</w:t>
            </w:r>
          </w:p>
        </w:tc>
        <w:tc>
          <w:tcPr>
            <w:tcW w:w="433" w:type="pct"/>
            <w:shd w:val="clear" w:color="auto" w:fill="F2F2F2"/>
            <w:hideMark/>
          </w:tcPr>
          <w:p w14:paraId="2E90B91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11A22B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A6B5ABC" w14:textId="77777777" w:rsidTr="00E16711">
        <w:trPr>
          <w:trHeight w:val="1056"/>
        </w:trPr>
        <w:tc>
          <w:tcPr>
            <w:tcW w:w="205" w:type="pct"/>
            <w:shd w:val="clear" w:color="auto" w:fill="F2F2F2"/>
            <w:noWrap/>
            <w:hideMark/>
          </w:tcPr>
          <w:p w14:paraId="1E8EB368"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2</w:t>
            </w:r>
          </w:p>
        </w:tc>
        <w:tc>
          <w:tcPr>
            <w:tcW w:w="1018" w:type="pct"/>
            <w:gridSpan w:val="2"/>
            <w:shd w:val="clear" w:color="auto" w:fill="F2F2F2"/>
            <w:hideMark/>
          </w:tcPr>
          <w:p w14:paraId="63855234" w14:textId="77777777" w:rsidR="00395D01" w:rsidRPr="00912996" w:rsidRDefault="00395D01" w:rsidP="00292396">
            <w:pPr>
              <w:rPr>
                <w:rFonts w:ascii="Calibri" w:hAnsi="Calibri"/>
                <w:bCs/>
                <w:lang w:eastAsia="ja-JP"/>
              </w:rPr>
            </w:pPr>
            <w:r w:rsidRPr="00912996">
              <w:rPr>
                <w:rFonts w:ascii="Calibri" w:hAnsi="Calibri"/>
                <w:bCs/>
                <w:lang w:eastAsia="ja-JP"/>
              </w:rPr>
              <w:t>Construire sală de sport la Școala Gimnazială nr. 28</w:t>
            </w:r>
          </w:p>
        </w:tc>
        <w:tc>
          <w:tcPr>
            <w:tcW w:w="640" w:type="pct"/>
            <w:shd w:val="clear" w:color="auto" w:fill="F2F2F2"/>
            <w:hideMark/>
          </w:tcPr>
          <w:p w14:paraId="0CAF824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4260BDA"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02A1822A" w14:textId="77777777" w:rsidR="00395D01" w:rsidRPr="00912996" w:rsidRDefault="00395D01" w:rsidP="00292396">
            <w:pPr>
              <w:rPr>
                <w:rFonts w:ascii="Calibri" w:hAnsi="Calibri"/>
                <w:bCs/>
                <w:lang w:eastAsia="ja-JP"/>
              </w:rPr>
            </w:pPr>
            <w:r>
              <w:rPr>
                <w:rFonts w:ascii="Calibri" w:hAnsi="Calibri"/>
                <w:bCs/>
                <w:lang w:eastAsia="ja-JP"/>
              </w:rPr>
              <w:t>2,244,685</w:t>
            </w:r>
          </w:p>
        </w:tc>
        <w:tc>
          <w:tcPr>
            <w:tcW w:w="411" w:type="pct"/>
            <w:shd w:val="clear" w:color="auto" w:fill="F2F2F2"/>
            <w:hideMark/>
          </w:tcPr>
          <w:p w14:paraId="090B422E" w14:textId="77777777" w:rsidR="00395D01" w:rsidRPr="00912996" w:rsidRDefault="00395D01" w:rsidP="00292396">
            <w:pPr>
              <w:rPr>
                <w:rFonts w:ascii="Calibri" w:hAnsi="Calibri"/>
                <w:bCs/>
                <w:lang w:eastAsia="ja-JP"/>
              </w:rPr>
            </w:pPr>
            <w:r>
              <w:rPr>
                <w:rFonts w:ascii="Calibri" w:hAnsi="Calibri"/>
                <w:bCs/>
                <w:lang w:eastAsia="ja-JP"/>
              </w:rPr>
              <w:t>458,099</w:t>
            </w:r>
          </w:p>
        </w:tc>
        <w:tc>
          <w:tcPr>
            <w:tcW w:w="347" w:type="pct"/>
            <w:shd w:val="clear" w:color="auto" w:fill="F2F2F2"/>
            <w:hideMark/>
          </w:tcPr>
          <w:p w14:paraId="0FF685AE" w14:textId="77777777" w:rsidR="00395D01" w:rsidRPr="00912996" w:rsidRDefault="00395D01" w:rsidP="00292396">
            <w:pPr>
              <w:rPr>
                <w:rFonts w:ascii="Calibri" w:hAnsi="Calibri"/>
                <w:bCs/>
                <w:lang w:eastAsia="ja-JP"/>
              </w:rPr>
            </w:pPr>
            <w:r w:rsidRPr="00912996">
              <w:rPr>
                <w:rFonts w:ascii="Calibri" w:hAnsi="Calibri"/>
                <w:bCs/>
                <w:lang w:eastAsia="ja-JP"/>
              </w:rPr>
              <w:t>2017 - 202</w:t>
            </w:r>
            <w:r>
              <w:rPr>
                <w:rFonts w:ascii="Calibri" w:hAnsi="Calibri"/>
                <w:bCs/>
                <w:lang w:eastAsia="ja-JP"/>
              </w:rPr>
              <w:t>2</w:t>
            </w:r>
          </w:p>
        </w:tc>
        <w:tc>
          <w:tcPr>
            <w:tcW w:w="484" w:type="pct"/>
            <w:gridSpan w:val="2"/>
            <w:shd w:val="clear" w:color="auto" w:fill="F2F2F2"/>
            <w:hideMark/>
          </w:tcPr>
          <w:p w14:paraId="7F7319B2" w14:textId="77777777" w:rsidR="00395D01" w:rsidRPr="00912996" w:rsidRDefault="00395D01" w:rsidP="00292396">
            <w:pPr>
              <w:rPr>
                <w:rFonts w:ascii="Calibri" w:hAnsi="Calibri"/>
                <w:bCs/>
                <w:lang w:eastAsia="ja-JP"/>
              </w:rPr>
            </w:pPr>
            <w:r w:rsidRPr="00912996">
              <w:rPr>
                <w:rFonts w:ascii="Calibri" w:hAnsi="Calibri"/>
                <w:bCs/>
                <w:lang w:eastAsia="ja-JP"/>
              </w:rPr>
              <w:t>Compania Națională de Investiții</w:t>
            </w:r>
          </w:p>
        </w:tc>
        <w:tc>
          <w:tcPr>
            <w:tcW w:w="433" w:type="pct"/>
            <w:shd w:val="clear" w:color="auto" w:fill="F2F2F2"/>
            <w:hideMark/>
          </w:tcPr>
          <w:p w14:paraId="7DADCD2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FA3CFE6"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E94888D" w14:textId="77777777" w:rsidTr="005E0B03">
        <w:trPr>
          <w:trHeight w:val="723"/>
        </w:trPr>
        <w:tc>
          <w:tcPr>
            <w:tcW w:w="205" w:type="pct"/>
            <w:shd w:val="clear" w:color="auto" w:fill="F2F2F2"/>
            <w:noWrap/>
            <w:hideMark/>
          </w:tcPr>
          <w:p w14:paraId="2384B045"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3</w:t>
            </w:r>
          </w:p>
        </w:tc>
        <w:tc>
          <w:tcPr>
            <w:tcW w:w="1018" w:type="pct"/>
            <w:gridSpan w:val="2"/>
            <w:shd w:val="clear" w:color="auto" w:fill="F2F2F2"/>
            <w:hideMark/>
          </w:tcPr>
          <w:p w14:paraId="346B15F8" w14:textId="77777777" w:rsidR="00395D01" w:rsidRPr="00912996" w:rsidRDefault="00395D01" w:rsidP="00292396">
            <w:pPr>
              <w:rPr>
                <w:rFonts w:ascii="Calibri" w:hAnsi="Calibri"/>
                <w:bCs/>
                <w:lang w:eastAsia="ja-JP"/>
              </w:rPr>
            </w:pPr>
            <w:r w:rsidRPr="00912996">
              <w:rPr>
                <w:rFonts w:ascii="Calibri" w:hAnsi="Calibri"/>
                <w:bCs/>
                <w:lang w:eastAsia="ja-JP"/>
              </w:rPr>
              <w:t>Modernizare imobil școală din cadrul Școlii Gimnaziale nr. 66</w:t>
            </w:r>
          </w:p>
        </w:tc>
        <w:tc>
          <w:tcPr>
            <w:tcW w:w="640" w:type="pct"/>
            <w:shd w:val="clear" w:color="auto" w:fill="F2F2F2"/>
            <w:hideMark/>
          </w:tcPr>
          <w:p w14:paraId="0B3688D7"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62C46FE"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2BAC6287" w14:textId="77777777" w:rsidR="00395D01" w:rsidRPr="00912996" w:rsidRDefault="00395D01" w:rsidP="00292396">
            <w:pPr>
              <w:rPr>
                <w:rFonts w:ascii="Calibri" w:hAnsi="Calibri"/>
                <w:bCs/>
                <w:lang w:eastAsia="ja-JP"/>
              </w:rPr>
            </w:pPr>
            <w:r>
              <w:rPr>
                <w:rFonts w:ascii="Calibri" w:hAnsi="Calibri"/>
                <w:bCs/>
                <w:lang w:eastAsia="ja-JP"/>
              </w:rPr>
              <w:t>8,907,180</w:t>
            </w:r>
          </w:p>
        </w:tc>
        <w:tc>
          <w:tcPr>
            <w:tcW w:w="411" w:type="pct"/>
            <w:shd w:val="clear" w:color="auto" w:fill="F2F2F2"/>
            <w:hideMark/>
          </w:tcPr>
          <w:p w14:paraId="0F4CB03C" w14:textId="77777777" w:rsidR="00395D01" w:rsidRPr="00912996" w:rsidRDefault="00395D01" w:rsidP="00292396">
            <w:pPr>
              <w:rPr>
                <w:rFonts w:ascii="Calibri" w:hAnsi="Calibri"/>
                <w:bCs/>
                <w:lang w:eastAsia="ja-JP"/>
              </w:rPr>
            </w:pPr>
            <w:r>
              <w:rPr>
                <w:rFonts w:ascii="Calibri" w:hAnsi="Calibri"/>
                <w:bCs/>
                <w:lang w:eastAsia="ja-JP"/>
              </w:rPr>
              <w:t>1,817,792</w:t>
            </w:r>
          </w:p>
        </w:tc>
        <w:tc>
          <w:tcPr>
            <w:tcW w:w="347" w:type="pct"/>
            <w:shd w:val="clear" w:color="auto" w:fill="F2F2F2"/>
            <w:hideMark/>
          </w:tcPr>
          <w:p w14:paraId="0C11A373"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1BB8285B" w14:textId="77777777" w:rsidR="00395D01" w:rsidRPr="00912996" w:rsidRDefault="00395D01" w:rsidP="00292396">
            <w:pPr>
              <w:rPr>
                <w:rFonts w:ascii="Calibri" w:hAnsi="Calibri"/>
                <w:bCs/>
                <w:lang w:eastAsia="ja-JP"/>
              </w:rPr>
            </w:pPr>
            <w:r>
              <w:rPr>
                <w:rFonts w:ascii="Calibri" w:hAnsi="Calibri"/>
                <w:bCs/>
                <w:lang w:eastAsia="ja-JP"/>
              </w:rPr>
              <w:t xml:space="preserve">PNRR, </w:t>
            </w:r>
            <w:r w:rsidRPr="00912996">
              <w:rPr>
                <w:rFonts w:ascii="Calibri" w:hAnsi="Calibri"/>
                <w:bCs/>
                <w:lang w:eastAsia="ja-JP"/>
              </w:rPr>
              <w:t>Bugetul local</w:t>
            </w:r>
          </w:p>
        </w:tc>
        <w:tc>
          <w:tcPr>
            <w:tcW w:w="433" w:type="pct"/>
            <w:shd w:val="clear" w:color="auto" w:fill="F2F2F2"/>
            <w:hideMark/>
          </w:tcPr>
          <w:p w14:paraId="02F0D9A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CDB27D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2F34F57" w14:textId="77777777" w:rsidTr="00E16711">
        <w:trPr>
          <w:trHeight w:val="1056"/>
        </w:trPr>
        <w:tc>
          <w:tcPr>
            <w:tcW w:w="205" w:type="pct"/>
            <w:shd w:val="clear" w:color="auto" w:fill="F2F2F2"/>
            <w:noWrap/>
            <w:hideMark/>
          </w:tcPr>
          <w:p w14:paraId="1347562D"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4</w:t>
            </w:r>
          </w:p>
        </w:tc>
        <w:tc>
          <w:tcPr>
            <w:tcW w:w="1018" w:type="pct"/>
            <w:gridSpan w:val="2"/>
            <w:shd w:val="clear" w:color="auto" w:fill="F2F2F2"/>
            <w:hideMark/>
          </w:tcPr>
          <w:p w14:paraId="32C1C4BB" w14:textId="77777777" w:rsidR="00395D01" w:rsidRPr="00912996" w:rsidRDefault="00395D01" w:rsidP="00292396">
            <w:pPr>
              <w:rPr>
                <w:rFonts w:ascii="Calibri" w:hAnsi="Calibri"/>
                <w:bCs/>
                <w:lang w:eastAsia="ja-JP"/>
              </w:rPr>
            </w:pPr>
            <w:r w:rsidRPr="00912996">
              <w:rPr>
                <w:rFonts w:ascii="Calibri" w:hAnsi="Calibri"/>
                <w:bCs/>
                <w:lang w:eastAsia="ja-JP"/>
              </w:rPr>
              <w:t>Construire sală de sport la Școala Gimnazială nr. 46</w:t>
            </w:r>
          </w:p>
        </w:tc>
        <w:tc>
          <w:tcPr>
            <w:tcW w:w="640" w:type="pct"/>
            <w:shd w:val="clear" w:color="auto" w:fill="F2F2F2"/>
            <w:hideMark/>
          </w:tcPr>
          <w:p w14:paraId="4EA4FF3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AE0C80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C66EB4C" w14:textId="77777777" w:rsidR="00395D01" w:rsidRPr="00912996" w:rsidRDefault="00395D01" w:rsidP="00292396">
            <w:pPr>
              <w:rPr>
                <w:rFonts w:ascii="Calibri" w:hAnsi="Calibri"/>
                <w:bCs/>
                <w:lang w:eastAsia="ja-JP"/>
              </w:rPr>
            </w:pPr>
            <w:r w:rsidRPr="00912996">
              <w:rPr>
                <w:rFonts w:ascii="Calibri" w:hAnsi="Calibri"/>
                <w:bCs/>
                <w:lang w:eastAsia="ja-JP"/>
              </w:rPr>
              <w:t>1,800,000</w:t>
            </w:r>
          </w:p>
        </w:tc>
        <w:tc>
          <w:tcPr>
            <w:tcW w:w="411" w:type="pct"/>
            <w:shd w:val="clear" w:color="auto" w:fill="F2F2F2"/>
            <w:hideMark/>
          </w:tcPr>
          <w:p w14:paraId="635D76E8" w14:textId="77777777" w:rsidR="00395D01" w:rsidRPr="00912996" w:rsidRDefault="00395D01" w:rsidP="00292396">
            <w:pPr>
              <w:rPr>
                <w:rFonts w:ascii="Calibri" w:hAnsi="Calibri"/>
                <w:bCs/>
                <w:lang w:eastAsia="ja-JP"/>
              </w:rPr>
            </w:pPr>
            <w:r w:rsidRPr="00912996">
              <w:rPr>
                <w:rFonts w:ascii="Calibri" w:hAnsi="Calibri"/>
                <w:bCs/>
                <w:lang w:eastAsia="ja-JP"/>
              </w:rPr>
              <w:t>406,321</w:t>
            </w:r>
          </w:p>
        </w:tc>
        <w:tc>
          <w:tcPr>
            <w:tcW w:w="347" w:type="pct"/>
            <w:shd w:val="clear" w:color="auto" w:fill="F2F2F2"/>
            <w:hideMark/>
          </w:tcPr>
          <w:p w14:paraId="13A79A3F"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1FD50EF2" w14:textId="77777777" w:rsidR="00395D01" w:rsidRPr="00912996" w:rsidRDefault="00395D01" w:rsidP="00292396">
            <w:pPr>
              <w:rPr>
                <w:rFonts w:ascii="Calibri" w:hAnsi="Calibri"/>
                <w:bCs/>
                <w:lang w:eastAsia="ja-JP"/>
              </w:rPr>
            </w:pPr>
            <w:r w:rsidRPr="00912996">
              <w:rPr>
                <w:rFonts w:ascii="Calibri" w:hAnsi="Calibri"/>
                <w:bCs/>
                <w:lang w:eastAsia="ja-JP"/>
              </w:rPr>
              <w:t>Compania Națională de Investiții., Bugetul local, Alte surse</w:t>
            </w:r>
          </w:p>
        </w:tc>
        <w:tc>
          <w:tcPr>
            <w:tcW w:w="433" w:type="pct"/>
            <w:shd w:val="clear" w:color="auto" w:fill="F2F2F2"/>
            <w:hideMark/>
          </w:tcPr>
          <w:p w14:paraId="4BAB2C4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0CDD1B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78767E0" w14:textId="77777777" w:rsidTr="00E16711">
        <w:trPr>
          <w:trHeight w:val="1056"/>
        </w:trPr>
        <w:tc>
          <w:tcPr>
            <w:tcW w:w="205" w:type="pct"/>
            <w:shd w:val="clear" w:color="auto" w:fill="F2F2F2"/>
            <w:noWrap/>
            <w:hideMark/>
          </w:tcPr>
          <w:p w14:paraId="7B37B217"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5</w:t>
            </w:r>
          </w:p>
        </w:tc>
        <w:tc>
          <w:tcPr>
            <w:tcW w:w="1018" w:type="pct"/>
            <w:gridSpan w:val="2"/>
            <w:shd w:val="clear" w:color="auto" w:fill="F2F2F2"/>
            <w:hideMark/>
          </w:tcPr>
          <w:p w14:paraId="22B820E8" w14:textId="77777777" w:rsidR="00395D01" w:rsidRPr="00912996" w:rsidRDefault="00395D01" w:rsidP="00292396">
            <w:pPr>
              <w:rPr>
                <w:rFonts w:ascii="Calibri" w:hAnsi="Calibri"/>
                <w:bCs/>
                <w:lang w:eastAsia="ja-JP"/>
              </w:rPr>
            </w:pPr>
            <w:r>
              <w:rPr>
                <w:rFonts w:ascii="Calibri" w:hAnsi="Calibri"/>
                <w:bCs/>
                <w:lang w:eastAsia="ja-JP"/>
              </w:rPr>
              <w:t>Reabilitare și modernizare imobil Corp B din cadrul Școlii Gimnaziale nr. 27</w:t>
            </w:r>
          </w:p>
        </w:tc>
        <w:tc>
          <w:tcPr>
            <w:tcW w:w="640" w:type="pct"/>
            <w:shd w:val="clear" w:color="auto" w:fill="F2F2F2"/>
            <w:hideMark/>
          </w:tcPr>
          <w:p w14:paraId="0CD32433"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B2069AF" w14:textId="77777777" w:rsidR="00395D01" w:rsidRPr="00912996" w:rsidRDefault="00395D01" w:rsidP="00292396">
            <w:pPr>
              <w:rPr>
                <w:rFonts w:ascii="Calibri" w:hAnsi="Calibri"/>
                <w:bCs/>
                <w:lang w:eastAsia="ja-JP"/>
              </w:rPr>
            </w:pPr>
            <w:r>
              <w:rPr>
                <w:rFonts w:ascii="Calibri" w:hAnsi="Calibri"/>
                <w:bCs/>
                <w:lang w:eastAsia="ja-JP"/>
              </w:rPr>
              <w:t>Finalizat</w:t>
            </w:r>
          </w:p>
        </w:tc>
        <w:tc>
          <w:tcPr>
            <w:tcW w:w="473" w:type="pct"/>
            <w:shd w:val="clear" w:color="auto" w:fill="F2F2F2"/>
            <w:hideMark/>
          </w:tcPr>
          <w:p w14:paraId="4583180B" w14:textId="77777777" w:rsidR="00395D01" w:rsidRPr="00912996" w:rsidRDefault="00395D01" w:rsidP="00292396">
            <w:pPr>
              <w:rPr>
                <w:rFonts w:ascii="Calibri" w:hAnsi="Calibri"/>
                <w:bCs/>
                <w:lang w:eastAsia="ja-JP"/>
              </w:rPr>
            </w:pPr>
            <w:r>
              <w:rPr>
                <w:rFonts w:ascii="Calibri" w:hAnsi="Calibri"/>
                <w:bCs/>
                <w:lang w:eastAsia="ja-JP"/>
              </w:rPr>
              <w:t>3,228,323</w:t>
            </w:r>
          </w:p>
        </w:tc>
        <w:tc>
          <w:tcPr>
            <w:tcW w:w="411" w:type="pct"/>
            <w:shd w:val="clear" w:color="auto" w:fill="F2F2F2"/>
            <w:hideMark/>
          </w:tcPr>
          <w:p w14:paraId="513E440C" w14:textId="77777777" w:rsidR="00395D01" w:rsidRPr="00912996" w:rsidRDefault="00395D01" w:rsidP="00292396">
            <w:pPr>
              <w:rPr>
                <w:rFonts w:ascii="Calibri" w:hAnsi="Calibri"/>
                <w:bCs/>
                <w:lang w:eastAsia="ja-JP"/>
              </w:rPr>
            </w:pPr>
            <w:r>
              <w:rPr>
                <w:rFonts w:ascii="Calibri" w:hAnsi="Calibri"/>
                <w:bCs/>
                <w:lang w:eastAsia="ja-JP"/>
              </w:rPr>
              <w:t>658,842</w:t>
            </w:r>
          </w:p>
        </w:tc>
        <w:tc>
          <w:tcPr>
            <w:tcW w:w="347" w:type="pct"/>
            <w:shd w:val="clear" w:color="auto" w:fill="F2F2F2"/>
            <w:hideMark/>
          </w:tcPr>
          <w:p w14:paraId="5CC56955" w14:textId="77777777" w:rsidR="00395D01" w:rsidRPr="00912996" w:rsidRDefault="00395D01" w:rsidP="00292396">
            <w:pPr>
              <w:rPr>
                <w:rFonts w:ascii="Calibri" w:hAnsi="Calibri"/>
                <w:bCs/>
                <w:lang w:eastAsia="ja-JP"/>
              </w:rPr>
            </w:pPr>
            <w:r w:rsidRPr="00912996">
              <w:rPr>
                <w:rFonts w:ascii="Calibri" w:hAnsi="Calibri"/>
                <w:bCs/>
                <w:lang w:eastAsia="ja-JP"/>
              </w:rPr>
              <w:t>2017 - 202</w:t>
            </w:r>
            <w:r>
              <w:rPr>
                <w:rFonts w:ascii="Calibri" w:hAnsi="Calibri"/>
                <w:bCs/>
                <w:lang w:eastAsia="ja-JP"/>
              </w:rPr>
              <w:t>2</w:t>
            </w:r>
          </w:p>
        </w:tc>
        <w:tc>
          <w:tcPr>
            <w:tcW w:w="484" w:type="pct"/>
            <w:gridSpan w:val="2"/>
            <w:shd w:val="clear" w:color="auto" w:fill="F2F2F2"/>
            <w:hideMark/>
          </w:tcPr>
          <w:p w14:paraId="1C66CE14"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2EFC93D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AC01F8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DD3BAB3" w14:textId="77777777" w:rsidTr="00E16711">
        <w:trPr>
          <w:trHeight w:val="1056"/>
        </w:trPr>
        <w:tc>
          <w:tcPr>
            <w:tcW w:w="205" w:type="pct"/>
            <w:shd w:val="clear" w:color="auto" w:fill="F2F2F2"/>
            <w:noWrap/>
            <w:hideMark/>
          </w:tcPr>
          <w:p w14:paraId="10A8B553"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6</w:t>
            </w:r>
          </w:p>
        </w:tc>
        <w:tc>
          <w:tcPr>
            <w:tcW w:w="1018" w:type="pct"/>
            <w:gridSpan w:val="2"/>
            <w:shd w:val="clear" w:color="auto" w:fill="F2F2F2"/>
            <w:hideMark/>
          </w:tcPr>
          <w:p w14:paraId="3340E66D" w14:textId="77777777" w:rsidR="00395D01" w:rsidRPr="00912996" w:rsidRDefault="00395D01" w:rsidP="00292396">
            <w:pPr>
              <w:rPr>
                <w:rFonts w:ascii="Calibri" w:hAnsi="Calibri"/>
                <w:bCs/>
                <w:lang w:eastAsia="ja-JP"/>
              </w:rPr>
            </w:pPr>
            <w:r w:rsidRPr="00912996">
              <w:rPr>
                <w:rFonts w:ascii="Calibri" w:hAnsi="Calibri"/>
                <w:bCs/>
                <w:lang w:eastAsia="ja-JP"/>
              </w:rPr>
              <w:t>Reabilitare-Modernizare Corp liceu, atelier si sala de sport – Liceul Tehnologic Sfântul Pantelimon</w:t>
            </w:r>
          </w:p>
        </w:tc>
        <w:tc>
          <w:tcPr>
            <w:tcW w:w="640" w:type="pct"/>
            <w:shd w:val="clear" w:color="auto" w:fill="F2F2F2"/>
            <w:hideMark/>
          </w:tcPr>
          <w:p w14:paraId="5BD4C30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C4BD9AA"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54E9FF9C" w14:textId="77777777" w:rsidR="00395D01" w:rsidRPr="00912996" w:rsidRDefault="00395D01" w:rsidP="00292396">
            <w:pPr>
              <w:rPr>
                <w:rFonts w:ascii="Calibri" w:hAnsi="Calibri"/>
                <w:bCs/>
                <w:lang w:eastAsia="ja-JP"/>
              </w:rPr>
            </w:pPr>
            <w:r w:rsidRPr="00912996">
              <w:rPr>
                <w:rFonts w:ascii="Calibri" w:hAnsi="Calibri"/>
                <w:bCs/>
                <w:lang w:eastAsia="ja-JP"/>
              </w:rPr>
              <w:t>29,547,27</w:t>
            </w:r>
            <w:r>
              <w:rPr>
                <w:rFonts w:ascii="Calibri" w:hAnsi="Calibri"/>
                <w:bCs/>
                <w:lang w:eastAsia="ja-JP"/>
              </w:rPr>
              <w:t>8</w:t>
            </w:r>
          </w:p>
        </w:tc>
        <w:tc>
          <w:tcPr>
            <w:tcW w:w="411" w:type="pct"/>
            <w:shd w:val="clear" w:color="auto" w:fill="F2F2F2"/>
            <w:hideMark/>
          </w:tcPr>
          <w:p w14:paraId="2FFFEDFF" w14:textId="77777777" w:rsidR="00395D01" w:rsidRPr="00912996" w:rsidRDefault="00395D01" w:rsidP="00292396">
            <w:pPr>
              <w:rPr>
                <w:rFonts w:ascii="Calibri" w:hAnsi="Calibri"/>
                <w:bCs/>
                <w:lang w:eastAsia="ja-JP"/>
              </w:rPr>
            </w:pPr>
            <w:r w:rsidRPr="00912996">
              <w:rPr>
                <w:rFonts w:ascii="Calibri" w:hAnsi="Calibri"/>
                <w:bCs/>
                <w:lang w:eastAsia="ja-JP"/>
              </w:rPr>
              <w:t>6,030,057</w:t>
            </w:r>
          </w:p>
        </w:tc>
        <w:tc>
          <w:tcPr>
            <w:tcW w:w="347" w:type="pct"/>
            <w:shd w:val="clear" w:color="auto" w:fill="F2F2F2"/>
            <w:hideMark/>
          </w:tcPr>
          <w:p w14:paraId="085A1FD0"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04832FAE"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w:t>
            </w:r>
          </w:p>
        </w:tc>
        <w:tc>
          <w:tcPr>
            <w:tcW w:w="433" w:type="pct"/>
            <w:shd w:val="clear" w:color="auto" w:fill="F2F2F2"/>
            <w:hideMark/>
          </w:tcPr>
          <w:p w14:paraId="37C8D3C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E70F0D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54EAE79" w14:textId="77777777" w:rsidTr="00E16711">
        <w:trPr>
          <w:trHeight w:val="530"/>
        </w:trPr>
        <w:tc>
          <w:tcPr>
            <w:tcW w:w="205" w:type="pct"/>
            <w:shd w:val="clear" w:color="auto" w:fill="F2F2F2"/>
            <w:noWrap/>
            <w:hideMark/>
          </w:tcPr>
          <w:p w14:paraId="7EAE3C04"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7</w:t>
            </w:r>
          </w:p>
        </w:tc>
        <w:tc>
          <w:tcPr>
            <w:tcW w:w="1018" w:type="pct"/>
            <w:gridSpan w:val="2"/>
            <w:shd w:val="clear" w:color="auto" w:fill="F2F2F2"/>
            <w:hideMark/>
          </w:tcPr>
          <w:p w14:paraId="7D41613B" w14:textId="77777777" w:rsidR="00395D01" w:rsidRPr="00912996" w:rsidRDefault="00395D01" w:rsidP="00292396">
            <w:pPr>
              <w:rPr>
                <w:rFonts w:ascii="Calibri" w:hAnsi="Calibri"/>
                <w:bCs/>
                <w:lang w:eastAsia="ja-JP"/>
              </w:rPr>
            </w:pPr>
            <w:r w:rsidRPr="00912996">
              <w:rPr>
                <w:rFonts w:ascii="Calibri" w:hAnsi="Calibri"/>
                <w:bCs/>
                <w:lang w:eastAsia="ja-JP"/>
              </w:rPr>
              <w:t>Reabilitare, modernizare - inclusiv acoperire și dotare bazin de înot aferent Liceului Teoretic C.A. Rosetti</w:t>
            </w:r>
          </w:p>
        </w:tc>
        <w:tc>
          <w:tcPr>
            <w:tcW w:w="640" w:type="pct"/>
            <w:shd w:val="clear" w:color="auto" w:fill="F2F2F2"/>
            <w:hideMark/>
          </w:tcPr>
          <w:p w14:paraId="503C1755"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C57FE4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6C3DBCA"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62D3ABF9"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6D795642"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62EF03E8" w14:textId="77777777" w:rsidR="00395D01" w:rsidRPr="00912996" w:rsidRDefault="00395D01" w:rsidP="00292396">
            <w:pPr>
              <w:rPr>
                <w:rFonts w:ascii="Calibri" w:hAnsi="Calibri"/>
                <w:bCs/>
                <w:lang w:eastAsia="ja-JP"/>
              </w:rPr>
            </w:pPr>
            <w:r w:rsidRPr="00912996">
              <w:rPr>
                <w:rFonts w:ascii="Calibri" w:hAnsi="Calibri"/>
                <w:bCs/>
                <w:lang w:eastAsia="ja-JP"/>
              </w:rPr>
              <w:t>POR BI P6, CNI, Bugetul local, Buget Municipal,  Alte surse de finanțare</w:t>
            </w:r>
          </w:p>
        </w:tc>
        <w:tc>
          <w:tcPr>
            <w:tcW w:w="433" w:type="pct"/>
            <w:shd w:val="clear" w:color="auto" w:fill="F2F2F2"/>
            <w:hideMark/>
          </w:tcPr>
          <w:p w14:paraId="0675C4B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F081D0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53660A9" w14:textId="77777777" w:rsidTr="00E16711">
        <w:trPr>
          <w:trHeight w:val="1056"/>
        </w:trPr>
        <w:tc>
          <w:tcPr>
            <w:tcW w:w="205" w:type="pct"/>
            <w:shd w:val="clear" w:color="auto" w:fill="F2F2F2"/>
            <w:noWrap/>
            <w:hideMark/>
          </w:tcPr>
          <w:p w14:paraId="56882774" w14:textId="77777777" w:rsidR="00395D01" w:rsidRPr="00912996" w:rsidRDefault="00395D01" w:rsidP="00292396">
            <w:pPr>
              <w:rPr>
                <w:rFonts w:ascii="Calibri" w:hAnsi="Calibri"/>
                <w:bCs/>
                <w:lang w:eastAsia="ja-JP"/>
              </w:rPr>
            </w:pPr>
            <w:r w:rsidRPr="00912996">
              <w:rPr>
                <w:rFonts w:ascii="Calibri" w:hAnsi="Calibri"/>
                <w:bCs/>
                <w:lang w:eastAsia="ja-JP"/>
              </w:rPr>
              <w:t>2</w:t>
            </w:r>
            <w:r>
              <w:rPr>
                <w:rFonts w:ascii="Calibri" w:hAnsi="Calibri"/>
                <w:bCs/>
                <w:lang w:eastAsia="ja-JP"/>
              </w:rPr>
              <w:t>8</w:t>
            </w:r>
          </w:p>
        </w:tc>
        <w:tc>
          <w:tcPr>
            <w:tcW w:w="1018" w:type="pct"/>
            <w:gridSpan w:val="2"/>
            <w:shd w:val="clear" w:color="auto" w:fill="F2F2F2"/>
            <w:hideMark/>
          </w:tcPr>
          <w:p w14:paraId="405E82A1" w14:textId="77777777" w:rsidR="00395D01" w:rsidRPr="00912996" w:rsidRDefault="00395D01" w:rsidP="00292396">
            <w:pPr>
              <w:rPr>
                <w:rFonts w:ascii="Calibri" w:hAnsi="Calibri"/>
                <w:bCs/>
                <w:lang w:eastAsia="ja-JP"/>
              </w:rPr>
            </w:pPr>
            <w:r w:rsidRPr="00912996">
              <w:rPr>
                <w:rFonts w:ascii="Calibri" w:hAnsi="Calibri"/>
                <w:bCs/>
                <w:lang w:eastAsia="ja-JP"/>
              </w:rPr>
              <w:t>Reabilitarea, modernizarea, dezvoltarea și echiparea infrastructurii educaționale preuniversitare a Liceului Teoretic Waldorf</w:t>
            </w:r>
          </w:p>
        </w:tc>
        <w:tc>
          <w:tcPr>
            <w:tcW w:w="640" w:type="pct"/>
            <w:shd w:val="clear" w:color="auto" w:fill="F2F2F2"/>
            <w:hideMark/>
          </w:tcPr>
          <w:p w14:paraId="04C62D23" w14:textId="77777777" w:rsidR="00395D01" w:rsidRPr="00912996" w:rsidRDefault="00395D01" w:rsidP="00292396">
            <w:pPr>
              <w:rPr>
                <w:rFonts w:ascii="Calibri" w:hAnsi="Calibri"/>
                <w:bCs/>
                <w:lang w:eastAsia="ja-JP"/>
              </w:rPr>
            </w:pPr>
            <w:r w:rsidRPr="00912996">
              <w:rPr>
                <w:rFonts w:ascii="Calibri" w:hAnsi="Calibri"/>
                <w:bCs/>
                <w:lang w:eastAsia="ja-JP"/>
              </w:rPr>
              <w:t>Liceul Teoretic Waldorf</w:t>
            </w:r>
          </w:p>
        </w:tc>
        <w:tc>
          <w:tcPr>
            <w:tcW w:w="507" w:type="pct"/>
            <w:shd w:val="clear" w:color="auto" w:fill="F2F2F2"/>
            <w:hideMark/>
          </w:tcPr>
          <w:p w14:paraId="41BE589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E59F153" w14:textId="77777777" w:rsidR="00395D01" w:rsidRPr="00912996" w:rsidRDefault="00395D01" w:rsidP="00292396">
            <w:pPr>
              <w:rPr>
                <w:rFonts w:ascii="Calibri" w:hAnsi="Calibri"/>
                <w:bCs/>
                <w:lang w:eastAsia="ja-JP"/>
              </w:rPr>
            </w:pPr>
            <w:r w:rsidRPr="00912996">
              <w:rPr>
                <w:rFonts w:ascii="Calibri" w:hAnsi="Calibri"/>
                <w:bCs/>
                <w:lang w:eastAsia="ja-JP"/>
              </w:rPr>
              <w:t>443</w:t>
            </w:r>
            <w:r>
              <w:rPr>
                <w:rFonts w:ascii="Calibri" w:hAnsi="Calibri"/>
                <w:bCs/>
                <w:lang w:eastAsia="ja-JP"/>
              </w:rPr>
              <w:t>,</w:t>
            </w:r>
            <w:r w:rsidRPr="00912996">
              <w:rPr>
                <w:rFonts w:ascii="Calibri" w:hAnsi="Calibri"/>
                <w:bCs/>
                <w:lang w:eastAsia="ja-JP"/>
              </w:rPr>
              <w:t>000,00</w:t>
            </w:r>
          </w:p>
        </w:tc>
        <w:tc>
          <w:tcPr>
            <w:tcW w:w="411" w:type="pct"/>
            <w:shd w:val="clear" w:color="auto" w:fill="F2F2F2"/>
            <w:hideMark/>
          </w:tcPr>
          <w:p w14:paraId="1B8BCDC7" w14:textId="77777777" w:rsidR="00395D01" w:rsidRPr="00912996" w:rsidRDefault="00395D01" w:rsidP="00292396">
            <w:pPr>
              <w:rPr>
                <w:rFonts w:ascii="Calibri" w:hAnsi="Calibri"/>
                <w:bCs/>
                <w:lang w:eastAsia="ja-JP"/>
              </w:rPr>
            </w:pPr>
            <w:r w:rsidRPr="00912996">
              <w:rPr>
                <w:rFonts w:ascii="Calibri" w:hAnsi="Calibri"/>
                <w:bCs/>
                <w:lang w:eastAsia="ja-JP"/>
              </w:rPr>
              <w:t>100</w:t>
            </w:r>
            <w:r>
              <w:rPr>
                <w:rFonts w:ascii="Calibri" w:hAnsi="Calibri"/>
                <w:bCs/>
                <w:lang w:eastAsia="ja-JP"/>
              </w:rPr>
              <w:t>,</w:t>
            </w:r>
            <w:r w:rsidRPr="00912996">
              <w:rPr>
                <w:rFonts w:ascii="Calibri" w:hAnsi="Calibri"/>
                <w:bCs/>
                <w:lang w:eastAsia="ja-JP"/>
              </w:rPr>
              <w:t>000,00</w:t>
            </w:r>
          </w:p>
        </w:tc>
        <w:tc>
          <w:tcPr>
            <w:tcW w:w="347" w:type="pct"/>
            <w:shd w:val="clear" w:color="auto" w:fill="F2F2F2"/>
            <w:hideMark/>
          </w:tcPr>
          <w:p w14:paraId="5D620FD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606FFC1" w14:textId="77777777" w:rsidR="00395D01" w:rsidRPr="00912996" w:rsidRDefault="00395D01" w:rsidP="00292396">
            <w:pPr>
              <w:rPr>
                <w:rFonts w:ascii="Calibri" w:hAnsi="Calibri"/>
                <w:bCs/>
                <w:lang w:eastAsia="ja-JP"/>
              </w:rPr>
            </w:pPr>
            <w:r w:rsidRPr="00912996">
              <w:rPr>
                <w:rFonts w:ascii="Calibri" w:hAnsi="Calibri"/>
                <w:bCs/>
                <w:lang w:eastAsia="ja-JP"/>
              </w:rPr>
              <w:t>POR BI P6, CNI, Bugetul local, Buget Municipal,  Alte surse de finanțare</w:t>
            </w:r>
          </w:p>
        </w:tc>
        <w:tc>
          <w:tcPr>
            <w:tcW w:w="433" w:type="pct"/>
            <w:shd w:val="clear" w:color="auto" w:fill="F2F2F2"/>
            <w:hideMark/>
          </w:tcPr>
          <w:p w14:paraId="258E559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0778BA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FDB78B5" w14:textId="77777777" w:rsidTr="00E16711">
        <w:trPr>
          <w:trHeight w:val="530"/>
        </w:trPr>
        <w:tc>
          <w:tcPr>
            <w:tcW w:w="205" w:type="pct"/>
            <w:shd w:val="clear" w:color="auto" w:fill="F2F2F2"/>
            <w:noWrap/>
            <w:hideMark/>
          </w:tcPr>
          <w:p w14:paraId="7227140D" w14:textId="77777777" w:rsidR="00395D01" w:rsidRPr="00912996" w:rsidRDefault="00395D01" w:rsidP="00292396">
            <w:pPr>
              <w:rPr>
                <w:rFonts w:ascii="Calibri" w:hAnsi="Calibri"/>
                <w:bCs/>
                <w:lang w:eastAsia="ja-JP"/>
              </w:rPr>
            </w:pPr>
            <w:r>
              <w:rPr>
                <w:rFonts w:ascii="Calibri" w:hAnsi="Calibri"/>
                <w:bCs/>
                <w:lang w:eastAsia="ja-JP"/>
              </w:rPr>
              <w:t>29</w:t>
            </w:r>
          </w:p>
        </w:tc>
        <w:tc>
          <w:tcPr>
            <w:tcW w:w="1018" w:type="pct"/>
            <w:gridSpan w:val="2"/>
            <w:shd w:val="clear" w:color="auto" w:fill="F2F2F2"/>
            <w:hideMark/>
          </w:tcPr>
          <w:p w14:paraId="60391CB3" w14:textId="77777777" w:rsidR="00395D01" w:rsidRPr="00912996" w:rsidRDefault="00395D01" w:rsidP="00292396">
            <w:pPr>
              <w:rPr>
                <w:rFonts w:ascii="Calibri" w:hAnsi="Calibri"/>
                <w:bCs/>
                <w:lang w:eastAsia="ja-JP"/>
              </w:rPr>
            </w:pPr>
            <w:r w:rsidRPr="00912996">
              <w:rPr>
                <w:rFonts w:ascii="Calibri" w:hAnsi="Calibri"/>
                <w:bCs/>
                <w:lang w:eastAsia="ja-JP"/>
              </w:rPr>
              <w:t>Extinderea și modernizarea bazei sportive a Școlii 25</w:t>
            </w:r>
          </w:p>
        </w:tc>
        <w:tc>
          <w:tcPr>
            <w:tcW w:w="640" w:type="pct"/>
            <w:shd w:val="clear" w:color="auto" w:fill="F2F2F2"/>
            <w:hideMark/>
          </w:tcPr>
          <w:p w14:paraId="0A0EE11D"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7DEC01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77C3927"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33A95E51"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0394186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378EC20" w14:textId="77777777" w:rsidR="00395D01" w:rsidRPr="00912996" w:rsidRDefault="00395D01" w:rsidP="00292396">
            <w:pPr>
              <w:rPr>
                <w:rFonts w:ascii="Calibri" w:hAnsi="Calibri"/>
                <w:bCs/>
                <w:lang w:eastAsia="ja-JP"/>
              </w:rPr>
            </w:pPr>
            <w:r w:rsidRPr="00912996">
              <w:rPr>
                <w:rFonts w:ascii="Calibri" w:hAnsi="Calibri"/>
                <w:bCs/>
                <w:lang w:eastAsia="ja-JP"/>
              </w:rPr>
              <w:t>POR BI P6, CNI, Bugetul local, Buget Municipal,  Alte surse de finanțare</w:t>
            </w:r>
          </w:p>
        </w:tc>
        <w:tc>
          <w:tcPr>
            <w:tcW w:w="433" w:type="pct"/>
            <w:shd w:val="clear" w:color="auto" w:fill="F2F2F2"/>
            <w:hideMark/>
          </w:tcPr>
          <w:p w14:paraId="3107771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6719E8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4AEC5D1" w14:textId="77777777" w:rsidTr="00E16711">
        <w:trPr>
          <w:trHeight w:val="1056"/>
        </w:trPr>
        <w:tc>
          <w:tcPr>
            <w:tcW w:w="205" w:type="pct"/>
            <w:shd w:val="clear" w:color="auto" w:fill="F2F2F2"/>
            <w:noWrap/>
            <w:hideMark/>
          </w:tcPr>
          <w:p w14:paraId="31B2A586"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0</w:t>
            </w:r>
          </w:p>
        </w:tc>
        <w:tc>
          <w:tcPr>
            <w:tcW w:w="1018" w:type="pct"/>
            <w:gridSpan w:val="2"/>
            <w:shd w:val="clear" w:color="auto" w:fill="F2F2F2"/>
            <w:hideMark/>
          </w:tcPr>
          <w:p w14:paraId="2D84E37E" w14:textId="77777777" w:rsidR="00395D01" w:rsidRPr="00912996" w:rsidRDefault="00395D01" w:rsidP="00292396">
            <w:pPr>
              <w:rPr>
                <w:rFonts w:ascii="Calibri" w:hAnsi="Calibri"/>
                <w:bCs/>
                <w:lang w:eastAsia="ja-JP"/>
              </w:rPr>
            </w:pPr>
            <w:r w:rsidRPr="00912996">
              <w:rPr>
                <w:rFonts w:ascii="Calibri" w:hAnsi="Calibri"/>
                <w:bCs/>
                <w:lang w:eastAsia="ja-JP"/>
              </w:rPr>
              <w:t xml:space="preserve">Construire sală de sport la Școala Gimnazială nr. 66 </w:t>
            </w:r>
            <w:r w:rsidRPr="00912996">
              <w:rPr>
                <w:rFonts w:ascii="Calibri" w:hAnsi="Calibri"/>
                <w:bCs/>
                <w:lang w:eastAsia="ja-JP"/>
              </w:rPr>
              <w:br/>
            </w:r>
            <w:r w:rsidRPr="00912996">
              <w:rPr>
                <w:rFonts w:ascii="Calibri" w:hAnsi="Calibri"/>
                <w:bCs/>
                <w:i/>
                <w:iCs/>
                <w:lang w:eastAsia="ja-JP"/>
              </w:rPr>
              <w:t>(corespondent cu Modernizare imobil școală din cadrul Școlii Gimnaziale nr. 66)</w:t>
            </w:r>
          </w:p>
        </w:tc>
        <w:tc>
          <w:tcPr>
            <w:tcW w:w="640" w:type="pct"/>
            <w:shd w:val="clear" w:color="auto" w:fill="F2F2F2"/>
            <w:hideMark/>
          </w:tcPr>
          <w:p w14:paraId="5E181C22"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DFC298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DD11BF2" w14:textId="77777777" w:rsidR="00395D01" w:rsidRPr="00912996" w:rsidRDefault="00395D01" w:rsidP="00292396">
            <w:pPr>
              <w:rPr>
                <w:rFonts w:ascii="Calibri" w:hAnsi="Calibri"/>
                <w:bCs/>
                <w:lang w:eastAsia="ja-JP"/>
              </w:rPr>
            </w:pPr>
            <w:r w:rsidRPr="00912996">
              <w:rPr>
                <w:rFonts w:ascii="Calibri" w:hAnsi="Calibri"/>
                <w:bCs/>
                <w:lang w:eastAsia="ja-JP"/>
              </w:rPr>
              <w:t>2,150,000</w:t>
            </w:r>
          </w:p>
        </w:tc>
        <w:tc>
          <w:tcPr>
            <w:tcW w:w="411" w:type="pct"/>
            <w:shd w:val="clear" w:color="auto" w:fill="F2F2F2"/>
            <w:hideMark/>
          </w:tcPr>
          <w:p w14:paraId="4A29E3D6" w14:textId="77777777" w:rsidR="00395D01" w:rsidRPr="00912996" w:rsidRDefault="00395D01" w:rsidP="00292396">
            <w:pPr>
              <w:rPr>
                <w:rFonts w:ascii="Calibri" w:hAnsi="Calibri"/>
                <w:bCs/>
                <w:lang w:eastAsia="ja-JP"/>
              </w:rPr>
            </w:pPr>
            <w:r w:rsidRPr="00912996">
              <w:rPr>
                <w:rFonts w:ascii="Calibri" w:hAnsi="Calibri"/>
                <w:bCs/>
                <w:lang w:eastAsia="ja-JP"/>
              </w:rPr>
              <w:t>438,776</w:t>
            </w:r>
          </w:p>
        </w:tc>
        <w:tc>
          <w:tcPr>
            <w:tcW w:w="347" w:type="pct"/>
            <w:shd w:val="clear" w:color="auto" w:fill="F2F2F2"/>
            <w:hideMark/>
          </w:tcPr>
          <w:p w14:paraId="4416692D"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2ACDB46C" w14:textId="77777777" w:rsidR="00395D01" w:rsidRPr="00912996" w:rsidRDefault="00395D01" w:rsidP="00292396">
            <w:pPr>
              <w:rPr>
                <w:rFonts w:ascii="Calibri" w:hAnsi="Calibri"/>
                <w:bCs/>
                <w:lang w:eastAsia="ja-JP"/>
              </w:rPr>
            </w:pPr>
            <w:r w:rsidRPr="00912996">
              <w:rPr>
                <w:rFonts w:ascii="Calibri" w:hAnsi="Calibri"/>
                <w:bCs/>
                <w:lang w:eastAsia="ja-JP"/>
              </w:rPr>
              <w:t>POR BI P6, CNI, Bugetul local, Buget Municipal,  Alte surse de finanțare</w:t>
            </w:r>
          </w:p>
        </w:tc>
        <w:tc>
          <w:tcPr>
            <w:tcW w:w="433" w:type="pct"/>
            <w:shd w:val="clear" w:color="auto" w:fill="F2F2F2"/>
            <w:hideMark/>
          </w:tcPr>
          <w:p w14:paraId="308F5B3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6AC225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2219225" w14:textId="77777777" w:rsidTr="00E16711">
        <w:trPr>
          <w:trHeight w:val="1320"/>
        </w:trPr>
        <w:tc>
          <w:tcPr>
            <w:tcW w:w="205" w:type="pct"/>
            <w:shd w:val="clear" w:color="auto" w:fill="F2F2F2"/>
            <w:noWrap/>
            <w:hideMark/>
          </w:tcPr>
          <w:p w14:paraId="0FE7A4B7"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1</w:t>
            </w:r>
          </w:p>
        </w:tc>
        <w:tc>
          <w:tcPr>
            <w:tcW w:w="1018" w:type="pct"/>
            <w:gridSpan w:val="2"/>
            <w:shd w:val="clear" w:color="auto" w:fill="F2F2F2"/>
            <w:hideMark/>
          </w:tcPr>
          <w:p w14:paraId="44A6C663" w14:textId="77777777" w:rsidR="00395D01" w:rsidRPr="00912996" w:rsidRDefault="00395D01" w:rsidP="00292396">
            <w:pPr>
              <w:rPr>
                <w:rFonts w:ascii="Calibri" w:hAnsi="Calibri"/>
                <w:bCs/>
                <w:lang w:eastAsia="ja-JP"/>
              </w:rPr>
            </w:pPr>
            <w:r w:rsidRPr="00912996">
              <w:rPr>
                <w:rFonts w:ascii="Calibri" w:hAnsi="Calibri"/>
                <w:bCs/>
                <w:lang w:eastAsia="ja-JP"/>
              </w:rPr>
              <w:t xml:space="preserve">Construire sală de sport la Școala Gimnazială nr. 27 </w:t>
            </w:r>
            <w:r w:rsidRPr="00912996">
              <w:rPr>
                <w:rFonts w:ascii="Calibri" w:hAnsi="Calibri"/>
                <w:bCs/>
                <w:lang w:eastAsia="ja-JP"/>
              </w:rPr>
              <w:br/>
            </w:r>
            <w:r w:rsidRPr="00912996">
              <w:rPr>
                <w:rFonts w:ascii="Calibri" w:hAnsi="Calibri"/>
                <w:bCs/>
                <w:i/>
                <w:iCs/>
                <w:lang w:eastAsia="ja-JP"/>
              </w:rPr>
              <w:t>(corespondent cu Consolidare, reabilitare și modernizare imobil Corp B din cadrul Școlii Gimnaziale nr. 27)</w:t>
            </w:r>
          </w:p>
        </w:tc>
        <w:tc>
          <w:tcPr>
            <w:tcW w:w="640" w:type="pct"/>
            <w:shd w:val="clear" w:color="auto" w:fill="F2F2F2"/>
            <w:hideMark/>
          </w:tcPr>
          <w:p w14:paraId="4D15AFD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4087A57" w14:textId="77777777" w:rsidR="00395D01" w:rsidRPr="00912996" w:rsidRDefault="00395D01" w:rsidP="00292396">
            <w:pPr>
              <w:rPr>
                <w:rFonts w:ascii="Calibri" w:hAnsi="Calibri"/>
                <w:bCs/>
                <w:lang w:eastAsia="ja-JP"/>
              </w:rPr>
            </w:pPr>
            <w:r>
              <w:rPr>
                <w:rFonts w:ascii="Calibri" w:hAnsi="Calibri"/>
                <w:bCs/>
                <w:lang w:eastAsia="ja-JP"/>
              </w:rPr>
              <w:t>SF</w:t>
            </w:r>
          </w:p>
        </w:tc>
        <w:tc>
          <w:tcPr>
            <w:tcW w:w="473" w:type="pct"/>
            <w:shd w:val="clear" w:color="auto" w:fill="F2F2F2"/>
            <w:hideMark/>
          </w:tcPr>
          <w:p w14:paraId="644A3944" w14:textId="77777777" w:rsidR="00395D01" w:rsidRPr="00912996" w:rsidRDefault="00395D01" w:rsidP="00292396">
            <w:pPr>
              <w:rPr>
                <w:rFonts w:ascii="Calibri" w:hAnsi="Calibri"/>
                <w:bCs/>
                <w:lang w:eastAsia="ja-JP"/>
              </w:rPr>
            </w:pPr>
            <w:r>
              <w:rPr>
                <w:rFonts w:ascii="Calibri" w:hAnsi="Calibri"/>
                <w:bCs/>
                <w:lang w:eastAsia="ja-JP"/>
              </w:rPr>
              <w:t>3,218,000</w:t>
            </w:r>
          </w:p>
        </w:tc>
        <w:tc>
          <w:tcPr>
            <w:tcW w:w="411" w:type="pct"/>
            <w:shd w:val="clear" w:color="auto" w:fill="F2F2F2"/>
            <w:hideMark/>
          </w:tcPr>
          <w:p w14:paraId="0E83C17E" w14:textId="77777777" w:rsidR="00395D01" w:rsidRPr="00912996" w:rsidRDefault="00395D01" w:rsidP="00292396">
            <w:pPr>
              <w:rPr>
                <w:rFonts w:ascii="Calibri" w:hAnsi="Calibri"/>
                <w:bCs/>
                <w:lang w:eastAsia="ja-JP"/>
              </w:rPr>
            </w:pPr>
            <w:r>
              <w:rPr>
                <w:rFonts w:ascii="Calibri" w:hAnsi="Calibri"/>
                <w:bCs/>
                <w:lang w:eastAsia="ja-JP"/>
              </w:rPr>
              <w:t>656,735</w:t>
            </w:r>
          </w:p>
        </w:tc>
        <w:tc>
          <w:tcPr>
            <w:tcW w:w="347" w:type="pct"/>
            <w:shd w:val="clear" w:color="auto" w:fill="F2F2F2"/>
            <w:hideMark/>
          </w:tcPr>
          <w:p w14:paraId="6FA2C5CE" w14:textId="77777777" w:rsidR="00395D01" w:rsidRPr="00912996" w:rsidRDefault="00395D01" w:rsidP="00292396">
            <w:pPr>
              <w:rPr>
                <w:rFonts w:ascii="Calibri" w:hAnsi="Calibri"/>
                <w:bCs/>
                <w:lang w:eastAsia="ja-JP"/>
              </w:rPr>
            </w:pPr>
            <w:r w:rsidRPr="00912996">
              <w:rPr>
                <w:rFonts w:ascii="Calibri" w:hAnsi="Calibri"/>
                <w:bCs/>
                <w:lang w:eastAsia="ja-JP"/>
              </w:rPr>
              <w:t>20</w:t>
            </w:r>
            <w:r>
              <w:rPr>
                <w:rFonts w:ascii="Calibri" w:hAnsi="Calibri"/>
                <w:bCs/>
                <w:lang w:eastAsia="ja-JP"/>
              </w:rPr>
              <w:t xml:space="preserve">17 </w:t>
            </w:r>
            <w:r w:rsidRPr="00912996">
              <w:rPr>
                <w:rFonts w:ascii="Calibri" w:hAnsi="Calibri"/>
                <w:bCs/>
                <w:lang w:eastAsia="ja-JP"/>
              </w:rPr>
              <w:t>-2025</w:t>
            </w:r>
          </w:p>
        </w:tc>
        <w:tc>
          <w:tcPr>
            <w:tcW w:w="484" w:type="pct"/>
            <w:gridSpan w:val="2"/>
            <w:shd w:val="clear" w:color="auto" w:fill="F2F2F2"/>
            <w:hideMark/>
          </w:tcPr>
          <w:p w14:paraId="528B512B"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45B5B6A9"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72D5BA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AEED686" w14:textId="77777777" w:rsidTr="00E16711">
        <w:trPr>
          <w:trHeight w:val="1056"/>
        </w:trPr>
        <w:tc>
          <w:tcPr>
            <w:tcW w:w="205" w:type="pct"/>
            <w:shd w:val="clear" w:color="auto" w:fill="F2F2F2"/>
            <w:noWrap/>
            <w:hideMark/>
          </w:tcPr>
          <w:p w14:paraId="6CF08109"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2</w:t>
            </w:r>
          </w:p>
        </w:tc>
        <w:tc>
          <w:tcPr>
            <w:tcW w:w="1018" w:type="pct"/>
            <w:gridSpan w:val="2"/>
            <w:shd w:val="clear" w:color="auto" w:fill="F2F2F2"/>
            <w:hideMark/>
          </w:tcPr>
          <w:p w14:paraId="6193302D" w14:textId="77777777" w:rsidR="00395D01" w:rsidRPr="00912996" w:rsidRDefault="00395D01" w:rsidP="00292396">
            <w:pPr>
              <w:rPr>
                <w:rFonts w:ascii="Calibri" w:hAnsi="Calibri"/>
                <w:bCs/>
                <w:lang w:eastAsia="ja-JP"/>
              </w:rPr>
            </w:pPr>
            <w:r w:rsidRPr="00912996">
              <w:rPr>
                <w:rFonts w:ascii="Calibri" w:hAnsi="Calibri"/>
                <w:bCs/>
                <w:lang w:eastAsia="ja-JP"/>
              </w:rPr>
              <w:t>Amenajare bazin de înot cu scop didactic și de agrement</w:t>
            </w:r>
          </w:p>
        </w:tc>
        <w:tc>
          <w:tcPr>
            <w:tcW w:w="640" w:type="pct"/>
            <w:shd w:val="clear" w:color="auto" w:fill="F2F2F2"/>
            <w:hideMark/>
          </w:tcPr>
          <w:p w14:paraId="66AC1C9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3D0C7E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B92ECD3" w14:textId="77777777" w:rsidR="00395D01" w:rsidRPr="00912996" w:rsidRDefault="00395D01" w:rsidP="00292396">
            <w:pPr>
              <w:rPr>
                <w:rFonts w:ascii="Calibri" w:hAnsi="Calibri"/>
                <w:bCs/>
                <w:lang w:eastAsia="ja-JP"/>
              </w:rPr>
            </w:pPr>
            <w:r w:rsidRPr="00912996">
              <w:rPr>
                <w:rFonts w:ascii="Calibri" w:hAnsi="Calibri"/>
                <w:bCs/>
                <w:lang w:eastAsia="ja-JP"/>
              </w:rPr>
              <w:t>12,250,000</w:t>
            </w:r>
          </w:p>
        </w:tc>
        <w:tc>
          <w:tcPr>
            <w:tcW w:w="411" w:type="pct"/>
            <w:shd w:val="clear" w:color="auto" w:fill="F2F2F2"/>
            <w:hideMark/>
          </w:tcPr>
          <w:p w14:paraId="3E941BC4" w14:textId="77777777" w:rsidR="00395D01" w:rsidRPr="00912996" w:rsidRDefault="00395D01" w:rsidP="00292396">
            <w:pPr>
              <w:rPr>
                <w:rFonts w:ascii="Calibri" w:hAnsi="Calibri"/>
                <w:bCs/>
                <w:lang w:eastAsia="ja-JP"/>
              </w:rPr>
            </w:pPr>
            <w:r w:rsidRPr="00912996">
              <w:rPr>
                <w:rFonts w:ascii="Calibri" w:hAnsi="Calibri"/>
                <w:bCs/>
                <w:lang w:eastAsia="ja-JP"/>
              </w:rPr>
              <w:t>2,500,000</w:t>
            </w:r>
          </w:p>
        </w:tc>
        <w:tc>
          <w:tcPr>
            <w:tcW w:w="347" w:type="pct"/>
            <w:shd w:val="clear" w:color="auto" w:fill="F2F2F2"/>
            <w:hideMark/>
          </w:tcPr>
          <w:p w14:paraId="52FA021F"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C3049E2" w14:textId="77777777" w:rsidR="00395D01" w:rsidRPr="00912996" w:rsidRDefault="00395D01" w:rsidP="00292396">
            <w:pPr>
              <w:rPr>
                <w:rFonts w:ascii="Calibri" w:hAnsi="Calibri"/>
                <w:bCs/>
                <w:lang w:eastAsia="ja-JP"/>
              </w:rPr>
            </w:pPr>
            <w:r w:rsidRPr="00912996">
              <w:rPr>
                <w:rFonts w:ascii="Calibri" w:hAnsi="Calibri"/>
                <w:bCs/>
                <w:lang w:eastAsia="ja-JP"/>
              </w:rPr>
              <w:t>POR BI P6, CNI, Bugetul local, Buget Municipal, Alte surse de finanțare</w:t>
            </w:r>
          </w:p>
        </w:tc>
        <w:tc>
          <w:tcPr>
            <w:tcW w:w="433" w:type="pct"/>
            <w:shd w:val="clear" w:color="auto" w:fill="F2F2F2"/>
            <w:hideMark/>
          </w:tcPr>
          <w:p w14:paraId="438F4F2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BDC3BCB"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3F4342A" w14:textId="77777777" w:rsidTr="00E16711">
        <w:trPr>
          <w:trHeight w:val="1056"/>
        </w:trPr>
        <w:tc>
          <w:tcPr>
            <w:tcW w:w="205" w:type="pct"/>
            <w:shd w:val="clear" w:color="auto" w:fill="F2F2F2"/>
            <w:noWrap/>
            <w:hideMark/>
          </w:tcPr>
          <w:p w14:paraId="37A8D595"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3</w:t>
            </w:r>
          </w:p>
        </w:tc>
        <w:tc>
          <w:tcPr>
            <w:tcW w:w="1018" w:type="pct"/>
            <w:gridSpan w:val="2"/>
            <w:shd w:val="clear" w:color="auto" w:fill="F2F2F2"/>
            <w:hideMark/>
          </w:tcPr>
          <w:p w14:paraId="63167531" w14:textId="77777777" w:rsidR="00395D01" w:rsidRPr="00912996" w:rsidRDefault="00395D01" w:rsidP="00292396">
            <w:pPr>
              <w:rPr>
                <w:rFonts w:ascii="Calibri" w:hAnsi="Calibri"/>
                <w:bCs/>
                <w:lang w:eastAsia="ja-JP"/>
              </w:rPr>
            </w:pPr>
            <w:r w:rsidRPr="00912996">
              <w:rPr>
                <w:rFonts w:ascii="Calibri" w:hAnsi="Calibri"/>
                <w:bCs/>
                <w:lang w:eastAsia="ja-JP"/>
              </w:rPr>
              <w:t>Consolidare si modernizare Grădinița - Școala Gimnazială nr. 28</w:t>
            </w:r>
          </w:p>
        </w:tc>
        <w:tc>
          <w:tcPr>
            <w:tcW w:w="640" w:type="pct"/>
            <w:shd w:val="clear" w:color="auto" w:fill="F2F2F2"/>
            <w:hideMark/>
          </w:tcPr>
          <w:p w14:paraId="6F9ABE40"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E819B3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D2C00C4" w14:textId="77777777" w:rsidR="00395D01" w:rsidRPr="00912996" w:rsidRDefault="00395D01" w:rsidP="00292396">
            <w:pPr>
              <w:rPr>
                <w:rFonts w:ascii="Calibri" w:hAnsi="Calibri"/>
                <w:bCs/>
                <w:lang w:eastAsia="ja-JP"/>
              </w:rPr>
            </w:pPr>
            <w:r w:rsidRPr="00912996">
              <w:rPr>
                <w:rFonts w:ascii="Calibri" w:hAnsi="Calibri"/>
                <w:bCs/>
                <w:lang w:eastAsia="ja-JP"/>
              </w:rPr>
              <w:t>637,000</w:t>
            </w:r>
          </w:p>
        </w:tc>
        <w:tc>
          <w:tcPr>
            <w:tcW w:w="411" w:type="pct"/>
            <w:shd w:val="clear" w:color="auto" w:fill="F2F2F2"/>
            <w:hideMark/>
          </w:tcPr>
          <w:p w14:paraId="4C26481A" w14:textId="77777777" w:rsidR="00395D01" w:rsidRPr="00912996" w:rsidRDefault="00395D01" w:rsidP="00292396">
            <w:pPr>
              <w:rPr>
                <w:rFonts w:ascii="Calibri" w:hAnsi="Calibri"/>
                <w:bCs/>
                <w:lang w:eastAsia="ja-JP"/>
              </w:rPr>
            </w:pPr>
            <w:r w:rsidRPr="00912996">
              <w:rPr>
                <w:rFonts w:ascii="Calibri" w:hAnsi="Calibri"/>
                <w:bCs/>
                <w:lang w:eastAsia="ja-JP"/>
              </w:rPr>
              <w:t>130,000</w:t>
            </w:r>
          </w:p>
        </w:tc>
        <w:tc>
          <w:tcPr>
            <w:tcW w:w="347" w:type="pct"/>
            <w:shd w:val="clear" w:color="auto" w:fill="F2F2F2"/>
            <w:hideMark/>
          </w:tcPr>
          <w:p w14:paraId="73A8F2A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3729989" w14:textId="77777777" w:rsidR="00395D01" w:rsidRPr="00912996" w:rsidRDefault="00395D01" w:rsidP="00292396">
            <w:pPr>
              <w:rPr>
                <w:rFonts w:ascii="Calibri" w:hAnsi="Calibri"/>
                <w:bCs/>
                <w:lang w:eastAsia="ja-JP"/>
              </w:rPr>
            </w:pPr>
            <w:r w:rsidRPr="00912996">
              <w:rPr>
                <w:rFonts w:ascii="Calibri" w:hAnsi="Calibri"/>
                <w:bCs/>
                <w:lang w:eastAsia="ja-JP"/>
              </w:rPr>
              <w:t>POR BI P6, CNI, Bugetul local, Buget Municipal, Alte surse de finanțare</w:t>
            </w:r>
          </w:p>
        </w:tc>
        <w:tc>
          <w:tcPr>
            <w:tcW w:w="433" w:type="pct"/>
            <w:shd w:val="clear" w:color="auto" w:fill="F2F2F2"/>
            <w:hideMark/>
          </w:tcPr>
          <w:p w14:paraId="4E78E9B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FAB269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8E655F4" w14:textId="77777777" w:rsidTr="00E16711">
        <w:trPr>
          <w:trHeight w:val="792"/>
        </w:trPr>
        <w:tc>
          <w:tcPr>
            <w:tcW w:w="205" w:type="pct"/>
            <w:shd w:val="clear" w:color="auto" w:fill="F2F2F2"/>
            <w:noWrap/>
            <w:hideMark/>
          </w:tcPr>
          <w:p w14:paraId="3A8209C6"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4</w:t>
            </w:r>
          </w:p>
        </w:tc>
        <w:tc>
          <w:tcPr>
            <w:tcW w:w="1018" w:type="pct"/>
            <w:gridSpan w:val="2"/>
            <w:shd w:val="clear" w:color="auto" w:fill="F2F2F2"/>
            <w:hideMark/>
          </w:tcPr>
          <w:p w14:paraId="29BDB497" w14:textId="14B83EA4" w:rsidR="00395D01" w:rsidRPr="00912996" w:rsidRDefault="00395D01" w:rsidP="00292396">
            <w:pPr>
              <w:rPr>
                <w:rFonts w:ascii="Calibri" w:hAnsi="Calibri"/>
                <w:bCs/>
                <w:lang w:eastAsia="ja-JP"/>
              </w:rPr>
            </w:pPr>
            <w:r>
              <w:rPr>
                <w:rFonts w:ascii="Calibri" w:hAnsi="Calibri"/>
                <w:bCs/>
                <w:lang w:eastAsia="ja-JP"/>
              </w:rPr>
              <w:t xml:space="preserve">Consolidare și reabilitare imobil din str. Calimachi nr. 8 – Școala </w:t>
            </w:r>
            <w:r w:rsidR="009C419B">
              <w:rPr>
                <w:rFonts w:ascii="Calibri" w:hAnsi="Calibri"/>
                <w:bCs/>
                <w:lang w:eastAsia="ja-JP"/>
              </w:rPr>
              <w:t>G</w:t>
            </w:r>
            <w:r>
              <w:rPr>
                <w:rFonts w:ascii="Calibri" w:hAnsi="Calibri"/>
                <w:bCs/>
                <w:lang w:eastAsia="ja-JP"/>
              </w:rPr>
              <w:t>imnazială nr. 25 (fosta Grădiniță nr. 134)</w:t>
            </w:r>
          </w:p>
        </w:tc>
        <w:tc>
          <w:tcPr>
            <w:tcW w:w="640" w:type="pct"/>
            <w:shd w:val="clear" w:color="auto" w:fill="F2F2F2"/>
            <w:hideMark/>
          </w:tcPr>
          <w:p w14:paraId="6DC5DF84"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B1CC2E9" w14:textId="77777777" w:rsidR="00395D01" w:rsidRPr="00912996" w:rsidRDefault="00395D01" w:rsidP="00292396">
            <w:pPr>
              <w:rPr>
                <w:rFonts w:ascii="Calibri" w:hAnsi="Calibri"/>
                <w:bCs/>
                <w:lang w:eastAsia="ja-JP"/>
              </w:rPr>
            </w:pPr>
            <w:r>
              <w:rPr>
                <w:rFonts w:ascii="Calibri" w:hAnsi="Calibri"/>
                <w:bCs/>
                <w:lang w:eastAsia="ja-JP"/>
              </w:rPr>
              <w:t>Finalizat</w:t>
            </w:r>
          </w:p>
        </w:tc>
        <w:tc>
          <w:tcPr>
            <w:tcW w:w="473" w:type="pct"/>
            <w:shd w:val="clear" w:color="auto" w:fill="F2F2F2"/>
            <w:hideMark/>
          </w:tcPr>
          <w:p w14:paraId="796E5D80" w14:textId="77777777" w:rsidR="00395D01" w:rsidRPr="00912996" w:rsidRDefault="00395D01" w:rsidP="00292396">
            <w:pPr>
              <w:rPr>
                <w:rFonts w:ascii="Calibri" w:hAnsi="Calibri"/>
                <w:bCs/>
                <w:lang w:eastAsia="ja-JP"/>
              </w:rPr>
            </w:pPr>
            <w:r>
              <w:rPr>
                <w:rFonts w:ascii="Calibri" w:hAnsi="Calibri"/>
                <w:bCs/>
                <w:lang w:eastAsia="ja-JP"/>
              </w:rPr>
              <w:t>2,498,943</w:t>
            </w:r>
          </w:p>
        </w:tc>
        <w:tc>
          <w:tcPr>
            <w:tcW w:w="411" w:type="pct"/>
            <w:shd w:val="clear" w:color="auto" w:fill="F2F2F2"/>
            <w:hideMark/>
          </w:tcPr>
          <w:p w14:paraId="1A05F72E" w14:textId="77777777" w:rsidR="00395D01" w:rsidRPr="00912996" w:rsidRDefault="00395D01" w:rsidP="00292396">
            <w:pPr>
              <w:rPr>
                <w:rFonts w:ascii="Calibri" w:hAnsi="Calibri"/>
                <w:bCs/>
                <w:lang w:eastAsia="ja-JP"/>
              </w:rPr>
            </w:pPr>
            <w:r>
              <w:rPr>
                <w:rFonts w:ascii="Calibri" w:hAnsi="Calibri"/>
                <w:bCs/>
                <w:lang w:eastAsia="ja-JP"/>
              </w:rPr>
              <w:t>509,995</w:t>
            </w:r>
          </w:p>
        </w:tc>
        <w:tc>
          <w:tcPr>
            <w:tcW w:w="347" w:type="pct"/>
            <w:shd w:val="clear" w:color="auto" w:fill="F2F2F2"/>
            <w:hideMark/>
          </w:tcPr>
          <w:p w14:paraId="71E866F7" w14:textId="77777777" w:rsidR="00395D01" w:rsidRPr="00912996" w:rsidRDefault="00395D01" w:rsidP="00292396">
            <w:pPr>
              <w:rPr>
                <w:rFonts w:ascii="Calibri" w:hAnsi="Calibri"/>
                <w:bCs/>
                <w:lang w:eastAsia="ja-JP"/>
              </w:rPr>
            </w:pPr>
            <w:r w:rsidRPr="00912996">
              <w:rPr>
                <w:rFonts w:ascii="Calibri" w:hAnsi="Calibri"/>
                <w:bCs/>
                <w:lang w:eastAsia="ja-JP"/>
              </w:rPr>
              <w:t>20</w:t>
            </w:r>
            <w:r>
              <w:rPr>
                <w:rFonts w:ascii="Calibri" w:hAnsi="Calibri"/>
                <w:bCs/>
                <w:lang w:eastAsia="ja-JP"/>
              </w:rPr>
              <w:t xml:space="preserve">17 </w:t>
            </w:r>
            <w:r w:rsidRPr="00912996">
              <w:rPr>
                <w:rFonts w:ascii="Calibri" w:hAnsi="Calibri"/>
                <w:bCs/>
                <w:lang w:eastAsia="ja-JP"/>
              </w:rPr>
              <w:t>-202</w:t>
            </w:r>
            <w:r>
              <w:rPr>
                <w:rFonts w:ascii="Calibri" w:hAnsi="Calibri"/>
                <w:bCs/>
                <w:lang w:eastAsia="ja-JP"/>
              </w:rPr>
              <w:t>3</w:t>
            </w:r>
          </w:p>
        </w:tc>
        <w:tc>
          <w:tcPr>
            <w:tcW w:w="484" w:type="pct"/>
            <w:gridSpan w:val="2"/>
            <w:shd w:val="clear" w:color="auto" w:fill="F2F2F2"/>
            <w:hideMark/>
          </w:tcPr>
          <w:p w14:paraId="7BC307F7" w14:textId="77777777" w:rsidR="00395D01" w:rsidRPr="00912996" w:rsidRDefault="00395D01" w:rsidP="00292396">
            <w:pPr>
              <w:rPr>
                <w:rFonts w:ascii="Calibri" w:hAnsi="Calibri"/>
                <w:bCs/>
                <w:lang w:eastAsia="ja-JP"/>
              </w:rPr>
            </w:pPr>
            <w:r>
              <w:rPr>
                <w:rFonts w:ascii="Calibri" w:hAnsi="Calibri"/>
                <w:bCs/>
                <w:lang w:eastAsia="ja-JP"/>
              </w:rPr>
              <w:t>Programul Național de Dezvoltare Locală</w:t>
            </w:r>
            <w:r w:rsidRPr="00912996">
              <w:rPr>
                <w:rFonts w:ascii="Calibri" w:hAnsi="Calibri"/>
                <w:bCs/>
                <w:lang w:eastAsia="ja-JP"/>
              </w:rPr>
              <w:t>, Bugetul local, Alte surse de finanțare</w:t>
            </w:r>
          </w:p>
        </w:tc>
        <w:tc>
          <w:tcPr>
            <w:tcW w:w="433" w:type="pct"/>
            <w:shd w:val="clear" w:color="auto" w:fill="F2F2F2"/>
            <w:hideMark/>
          </w:tcPr>
          <w:p w14:paraId="041580D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7FCD0E2"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D063284" w14:textId="77777777" w:rsidTr="00090933">
        <w:trPr>
          <w:trHeight w:val="714"/>
        </w:trPr>
        <w:tc>
          <w:tcPr>
            <w:tcW w:w="205" w:type="pct"/>
            <w:shd w:val="clear" w:color="auto" w:fill="F2F2F2"/>
            <w:noWrap/>
            <w:hideMark/>
          </w:tcPr>
          <w:p w14:paraId="477C420A"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5</w:t>
            </w:r>
          </w:p>
        </w:tc>
        <w:tc>
          <w:tcPr>
            <w:tcW w:w="1018" w:type="pct"/>
            <w:gridSpan w:val="2"/>
            <w:shd w:val="clear" w:color="auto" w:fill="F2F2F2"/>
            <w:hideMark/>
          </w:tcPr>
          <w:p w14:paraId="04FE4FA8" w14:textId="77777777" w:rsidR="00395D01" w:rsidRPr="00912996" w:rsidRDefault="00395D01" w:rsidP="00292396">
            <w:pPr>
              <w:rPr>
                <w:rFonts w:ascii="Calibri" w:hAnsi="Calibri"/>
                <w:bCs/>
                <w:lang w:eastAsia="ja-JP"/>
              </w:rPr>
            </w:pPr>
            <w:r>
              <w:rPr>
                <w:rFonts w:ascii="Calibri" w:hAnsi="Calibri"/>
                <w:bCs/>
                <w:lang w:eastAsia="ja-JP"/>
              </w:rPr>
              <w:t>R</w:t>
            </w:r>
            <w:r w:rsidRPr="00912996">
              <w:rPr>
                <w:rFonts w:ascii="Calibri" w:hAnsi="Calibri"/>
                <w:bCs/>
                <w:lang w:eastAsia="ja-JP"/>
              </w:rPr>
              <w:t>eabilitarea și modernizarea Grădiniț</w:t>
            </w:r>
            <w:r>
              <w:rPr>
                <w:rFonts w:ascii="Calibri" w:hAnsi="Calibri"/>
                <w:bCs/>
                <w:lang w:eastAsia="ja-JP"/>
              </w:rPr>
              <w:t>a</w:t>
            </w:r>
            <w:r w:rsidRPr="00912996">
              <w:rPr>
                <w:rFonts w:ascii="Calibri" w:hAnsi="Calibri"/>
                <w:bCs/>
                <w:lang w:eastAsia="ja-JP"/>
              </w:rPr>
              <w:t xml:space="preserve"> nr. 23</w:t>
            </w:r>
          </w:p>
        </w:tc>
        <w:tc>
          <w:tcPr>
            <w:tcW w:w="640" w:type="pct"/>
            <w:shd w:val="clear" w:color="auto" w:fill="F2F2F2"/>
            <w:hideMark/>
          </w:tcPr>
          <w:p w14:paraId="2B42813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1645375"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70E26A9F" w14:textId="77777777" w:rsidR="00395D01" w:rsidRPr="00912996" w:rsidRDefault="00395D01" w:rsidP="00292396">
            <w:pPr>
              <w:rPr>
                <w:rFonts w:ascii="Calibri" w:hAnsi="Calibri"/>
                <w:bCs/>
                <w:lang w:eastAsia="ja-JP"/>
              </w:rPr>
            </w:pPr>
            <w:r>
              <w:rPr>
                <w:rFonts w:ascii="Calibri" w:hAnsi="Calibri"/>
                <w:bCs/>
                <w:lang w:eastAsia="ja-JP"/>
              </w:rPr>
              <w:t>9,449,633</w:t>
            </w:r>
          </w:p>
        </w:tc>
        <w:tc>
          <w:tcPr>
            <w:tcW w:w="411" w:type="pct"/>
            <w:shd w:val="clear" w:color="auto" w:fill="F2F2F2"/>
            <w:hideMark/>
          </w:tcPr>
          <w:p w14:paraId="39213BAA" w14:textId="77777777" w:rsidR="00395D01" w:rsidRPr="00912996" w:rsidRDefault="00395D01" w:rsidP="00292396">
            <w:pPr>
              <w:rPr>
                <w:rFonts w:ascii="Calibri" w:hAnsi="Calibri"/>
                <w:bCs/>
                <w:lang w:eastAsia="ja-JP"/>
              </w:rPr>
            </w:pPr>
            <w:r w:rsidRPr="00912996">
              <w:rPr>
                <w:rFonts w:ascii="Calibri" w:hAnsi="Calibri"/>
                <w:bCs/>
                <w:lang w:eastAsia="ja-JP"/>
              </w:rPr>
              <w:t>1,130,879</w:t>
            </w:r>
          </w:p>
        </w:tc>
        <w:tc>
          <w:tcPr>
            <w:tcW w:w="347" w:type="pct"/>
            <w:shd w:val="clear" w:color="auto" w:fill="F2F2F2"/>
            <w:hideMark/>
          </w:tcPr>
          <w:p w14:paraId="4AFAC3C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1363730"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67EFEA4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9FA93D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DCA9406" w14:textId="77777777" w:rsidTr="00090933">
        <w:trPr>
          <w:trHeight w:val="894"/>
        </w:trPr>
        <w:tc>
          <w:tcPr>
            <w:tcW w:w="205" w:type="pct"/>
            <w:shd w:val="clear" w:color="auto" w:fill="F2F2F2"/>
            <w:noWrap/>
            <w:hideMark/>
          </w:tcPr>
          <w:p w14:paraId="11CCA73B"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6</w:t>
            </w:r>
          </w:p>
        </w:tc>
        <w:tc>
          <w:tcPr>
            <w:tcW w:w="1018" w:type="pct"/>
            <w:gridSpan w:val="2"/>
            <w:shd w:val="clear" w:color="auto" w:fill="F2F2F2"/>
            <w:hideMark/>
          </w:tcPr>
          <w:p w14:paraId="73383B87" w14:textId="77777777" w:rsidR="00395D01" w:rsidRPr="00912996" w:rsidRDefault="00395D01" w:rsidP="00292396">
            <w:pPr>
              <w:rPr>
                <w:rFonts w:ascii="Calibri" w:hAnsi="Calibri"/>
                <w:bCs/>
                <w:lang w:eastAsia="ja-JP"/>
              </w:rPr>
            </w:pPr>
            <w:r>
              <w:rPr>
                <w:rFonts w:ascii="Calibri" w:hAnsi="Calibri"/>
                <w:bCs/>
                <w:lang w:eastAsia="ja-JP"/>
              </w:rPr>
              <w:t>R</w:t>
            </w:r>
            <w:r w:rsidRPr="00912996">
              <w:rPr>
                <w:rFonts w:ascii="Calibri" w:hAnsi="Calibri"/>
                <w:bCs/>
                <w:lang w:eastAsia="ja-JP"/>
              </w:rPr>
              <w:t>eabilitarea și modernizarea imobilului Grădinița Albinuța - str. Dinu Lipatti</w:t>
            </w:r>
          </w:p>
        </w:tc>
        <w:tc>
          <w:tcPr>
            <w:tcW w:w="640" w:type="pct"/>
            <w:shd w:val="clear" w:color="auto" w:fill="F2F2F2"/>
            <w:hideMark/>
          </w:tcPr>
          <w:p w14:paraId="4F50939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13BEBB0"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52CDB03A" w14:textId="77777777" w:rsidR="00395D01" w:rsidRPr="00912996" w:rsidRDefault="00395D01" w:rsidP="00292396">
            <w:pPr>
              <w:rPr>
                <w:rFonts w:ascii="Calibri" w:hAnsi="Calibri"/>
                <w:bCs/>
                <w:lang w:eastAsia="ja-JP"/>
              </w:rPr>
            </w:pPr>
            <w:r>
              <w:rPr>
                <w:rFonts w:ascii="Calibri" w:hAnsi="Calibri"/>
                <w:bCs/>
                <w:lang w:eastAsia="ja-JP"/>
              </w:rPr>
              <w:t>10,827,108</w:t>
            </w:r>
          </w:p>
        </w:tc>
        <w:tc>
          <w:tcPr>
            <w:tcW w:w="411" w:type="pct"/>
            <w:shd w:val="clear" w:color="auto" w:fill="F2F2F2"/>
            <w:hideMark/>
          </w:tcPr>
          <w:p w14:paraId="37EE937D" w14:textId="77777777" w:rsidR="00395D01" w:rsidRPr="00912996" w:rsidRDefault="00395D01" w:rsidP="00292396">
            <w:pPr>
              <w:rPr>
                <w:rFonts w:ascii="Calibri" w:hAnsi="Calibri"/>
                <w:bCs/>
                <w:lang w:eastAsia="ja-JP"/>
              </w:rPr>
            </w:pPr>
            <w:r>
              <w:rPr>
                <w:rFonts w:ascii="Calibri" w:hAnsi="Calibri"/>
                <w:bCs/>
                <w:lang w:eastAsia="ja-JP"/>
              </w:rPr>
              <w:t>2,209,613</w:t>
            </w:r>
          </w:p>
        </w:tc>
        <w:tc>
          <w:tcPr>
            <w:tcW w:w="347" w:type="pct"/>
            <w:shd w:val="clear" w:color="auto" w:fill="F2F2F2"/>
            <w:hideMark/>
          </w:tcPr>
          <w:p w14:paraId="569CE3E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BDFBEF4" w14:textId="77777777" w:rsidR="00395D01" w:rsidRPr="00912996" w:rsidRDefault="00395D01" w:rsidP="00292396">
            <w:pPr>
              <w:rPr>
                <w:rFonts w:ascii="Calibri" w:hAnsi="Calibri"/>
                <w:bCs/>
                <w:lang w:eastAsia="ja-JP"/>
              </w:rPr>
            </w:pPr>
            <w:r w:rsidRPr="00912996">
              <w:rPr>
                <w:rFonts w:ascii="Calibri" w:hAnsi="Calibri"/>
                <w:bCs/>
                <w:lang w:eastAsia="ja-JP"/>
              </w:rPr>
              <w:t xml:space="preserve">POR, Bugetul local, </w:t>
            </w:r>
          </w:p>
        </w:tc>
        <w:tc>
          <w:tcPr>
            <w:tcW w:w="433" w:type="pct"/>
            <w:shd w:val="clear" w:color="auto" w:fill="F2F2F2"/>
            <w:hideMark/>
          </w:tcPr>
          <w:p w14:paraId="31AD6CA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52E56F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062C254" w14:textId="77777777" w:rsidTr="00E16711">
        <w:trPr>
          <w:trHeight w:val="1320"/>
        </w:trPr>
        <w:tc>
          <w:tcPr>
            <w:tcW w:w="205" w:type="pct"/>
            <w:shd w:val="clear" w:color="auto" w:fill="F2F2F2"/>
            <w:noWrap/>
            <w:hideMark/>
          </w:tcPr>
          <w:p w14:paraId="1F9D8BAA" w14:textId="77777777" w:rsidR="00395D01" w:rsidRPr="00912996" w:rsidRDefault="00395D01" w:rsidP="00292396">
            <w:pPr>
              <w:rPr>
                <w:rFonts w:ascii="Calibri" w:hAnsi="Calibri"/>
                <w:bCs/>
                <w:lang w:eastAsia="ja-JP"/>
              </w:rPr>
            </w:pPr>
            <w:r w:rsidRPr="00912996">
              <w:rPr>
                <w:rFonts w:ascii="Calibri" w:hAnsi="Calibri"/>
                <w:bCs/>
                <w:lang w:eastAsia="ja-JP"/>
              </w:rPr>
              <w:t>3</w:t>
            </w:r>
            <w:r>
              <w:rPr>
                <w:rFonts w:ascii="Calibri" w:hAnsi="Calibri"/>
                <w:bCs/>
                <w:lang w:eastAsia="ja-JP"/>
              </w:rPr>
              <w:t>7</w:t>
            </w:r>
          </w:p>
        </w:tc>
        <w:tc>
          <w:tcPr>
            <w:tcW w:w="1018" w:type="pct"/>
            <w:gridSpan w:val="2"/>
            <w:shd w:val="clear" w:color="auto" w:fill="F2F2F2"/>
            <w:hideMark/>
          </w:tcPr>
          <w:p w14:paraId="7A03B84B" w14:textId="77777777" w:rsidR="00395D01" w:rsidRPr="00912996" w:rsidRDefault="00395D01" w:rsidP="00292396">
            <w:pPr>
              <w:rPr>
                <w:rFonts w:ascii="Calibri" w:hAnsi="Calibri"/>
                <w:bCs/>
                <w:lang w:eastAsia="ja-JP"/>
              </w:rPr>
            </w:pPr>
            <w:r w:rsidRPr="00912996">
              <w:rPr>
                <w:rFonts w:ascii="Calibri" w:hAnsi="Calibri"/>
                <w:bCs/>
                <w:lang w:eastAsia="ja-JP"/>
              </w:rPr>
              <w:t>Consolidare</w:t>
            </w:r>
            <w:r>
              <w:rPr>
                <w:rFonts w:ascii="Calibri" w:hAnsi="Calibri"/>
                <w:bCs/>
                <w:lang w:eastAsia="ja-JP"/>
              </w:rPr>
              <w:t xml:space="preserve"> și </w:t>
            </w:r>
            <w:r w:rsidRPr="00912996">
              <w:rPr>
                <w:rFonts w:ascii="Calibri" w:hAnsi="Calibri"/>
                <w:bCs/>
                <w:lang w:eastAsia="ja-JP"/>
              </w:rPr>
              <w:t xml:space="preserve">reabilitare </w:t>
            </w:r>
            <w:r>
              <w:rPr>
                <w:rFonts w:ascii="Calibri" w:hAnsi="Calibri"/>
                <w:bCs/>
                <w:lang w:eastAsia="ja-JP"/>
              </w:rPr>
              <w:t>imobil din str. Rahmaniov nr. 25 – Grădinița ,,Albinuța” (fosta grădiniță nr. 253)</w:t>
            </w:r>
          </w:p>
        </w:tc>
        <w:tc>
          <w:tcPr>
            <w:tcW w:w="640" w:type="pct"/>
            <w:shd w:val="clear" w:color="auto" w:fill="F2F2F2"/>
            <w:hideMark/>
          </w:tcPr>
          <w:p w14:paraId="7BC216A5"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FEBAC74" w14:textId="77777777" w:rsidR="00395D01" w:rsidRPr="00912996" w:rsidRDefault="00395D01" w:rsidP="00292396">
            <w:pPr>
              <w:rPr>
                <w:rFonts w:ascii="Calibri" w:hAnsi="Calibri"/>
                <w:bCs/>
                <w:lang w:eastAsia="ja-JP"/>
              </w:rPr>
            </w:pPr>
            <w:r>
              <w:rPr>
                <w:rFonts w:ascii="Calibri" w:hAnsi="Calibri"/>
                <w:bCs/>
                <w:lang w:eastAsia="ja-JP"/>
              </w:rPr>
              <w:t>Finalizat</w:t>
            </w:r>
          </w:p>
        </w:tc>
        <w:tc>
          <w:tcPr>
            <w:tcW w:w="473" w:type="pct"/>
            <w:shd w:val="clear" w:color="auto" w:fill="F2F2F2"/>
            <w:hideMark/>
          </w:tcPr>
          <w:p w14:paraId="6F43C95C" w14:textId="77777777" w:rsidR="00395D01" w:rsidRPr="00912996" w:rsidRDefault="00395D01" w:rsidP="00292396">
            <w:pPr>
              <w:rPr>
                <w:rFonts w:ascii="Calibri" w:hAnsi="Calibri"/>
                <w:bCs/>
                <w:lang w:eastAsia="ja-JP"/>
              </w:rPr>
            </w:pPr>
            <w:r>
              <w:rPr>
                <w:rFonts w:ascii="Calibri" w:hAnsi="Calibri"/>
                <w:bCs/>
                <w:lang w:eastAsia="ja-JP"/>
              </w:rPr>
              <w:t>4,508,167</w:t>
            </w:r>
          </w:p>
        </w:tc>
        <w:tc>
          <w:tcPr>
            <w:tcW w:w="411" w:type="pct"/>
            <w:shd w:val="clear" w:color="auto" w:fill="F2F2F2"/>
            <w:hideMark/>
          </w:tcPr>
          <w:p w14:paraId="1690CBDB" w14:textId="77777777" w:rsidR="00395D01" w:rsidRPr="00912996" w:rsidRDefault="00395D01" w:rsidP="00292396">
            <w:pPr>
              <w:rPr>
                <w:rFonts w:ascii="Calibri" w:hAnsi="Calibri"/>
                <w:bCs/>
                <w:lang w:eastAsia="ja-JP"/>
              </w:rPr>
            </w:pPr>
            <w:r>
              <w:rPr>
                <w:rFonts w:ascii="Calibri" w:hAnsi="Calibri"/>
                <w:bCs/>
                <w:lang w:eastAsia="ja-JP"/>
              </w:rPr>
              <w:t>920,034</w:t>
            </w:r>
          </w:p>
        </w:tc>
        <w:tc>
          <w:tcPr>
            <w:tcW w:w="347" w:type="pct"/>
            <w:shd w:val="clear" w:color="auto" w:fill="F2F2F2"/>
            <w:hideMark/>
          </w:tcPr>
          <w:p w14:paraId="4BE946B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F4B5A49"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18D3810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508DF1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963AF1C" w14:textId="77777777" w:rsidTr="00E16711">
        <w:trPr>
          <w:trHeight w:val="1320"/>
        </w:trPr>
        <w:tc>
          <w:tcPr>
            <w:tcW w:w="205" w:type="pct"/>
            <w:shd w:val="clear" w:color="auto" w:fill="F2F2F2"/>
            <w:noWrap/>
            <w:hideMark/>
          </w:tcPr>
          <w:p w14:paraId="27C5F5F8" w14:textId="77777777" w:rsidR="00395D01" w:rsidRPr="00912996" w:rsidRDefault="00395D01" w:rsidP="00292396">
            <w:pPr>
              <w:rPr>
                <w:rFonts w:ascii="Calibri" w:hAnsi="Calibri"/>
                <w:bCs/>
                <w:lang w:eastAsia="ja-JP"/>
              </w:rPr>
            </w:pPr>
            <w:r>
              <w:rPr>
                <w:rFonts w:ascii="Calibri" w:hAnsi="Calibri"/>
                <w:bCs/>
                <w:lang w:eastAsia="ja-JP"/>
              </w:rPr>
              <w:t>38</w:t>
            </w:r>
          </w:p>
        </w:tc>
        <w:tc>
          <w:tcPr>
            <w:tcW w:w="1018" w:type="pct"/>
            <w:gridSpan w:val="2"/>
            <w:shd w:val="clear" w:color="auto" w:fill="F2F2F2"/>
            <w:hideMark/>
          </w:tcPr>
          <w:p w14:paraId="707A02AF" w14:textId="77777777" w:rsidR="00395D01" w:rsidRPr="00912996" w:rsidRDefault="00395D01" w:rsidP="00292396">
            <w:pPr>
              <w:rPr>
                <w:rFonts w:ascii="Calibri" w:hAnsi="Calibri"/>
                <w:bCs/>
                <w:lang w:eastAsia="ja-JP"/>
              </w:rPr>
            </w:pPr>
            <w:r>
              <w:rPr>
                <w:rFonts w:ascii="Calibri" w:hAnsi="Calibri"/>
                <w:bCs/>
                <w:lang w:eastAsia="ja-JP"/>
              </w:rPr>
              <w:t>R</w:t>
            </w:r>
            <w:r w:rsidRPr="00912996">
              <w:rPr>
                <w:rFonts w:ascii="Calibri" w:hAnsi="Calibri"/>
                <w:bCs/>
                <w:lang w:eastAsia="ja-JP"/>
              </w:rPr>
              <w:t>eabilitarea și modernizarea imobilului Grădinița Luminița</w:t>
            </w:r>
          </w:p>
        </w:tc>
        <w:tc>
          <w:tcPr>
            <w:tcW w:w="640" w:type="pct"/>
            <w:shd w:val="clear" w:color="auto" w:fill="F2F2F2"/>
            <w:hideMark/>
          </w:tcPr>
          <w:p w14:paraId="13C5DA6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85776CF"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3E75A62F" w14:textId="77777777" w:rsidR="00395D01" w:rsidRPr="00912996" w:rsidRDefault="00395D01" w:rsidP="00292396">
            <w:pPr>
              <w:rPr>
                <w:rFonts w:ascii="Calibri" w:hAnsi="Calibri"/>
                <w:bCs/>
                <w:lang w:eastAsia="ja-JP"/>
              </w:rPr>
            </w:pPr>
            <w:r>
              <w:rPr>
                <w:rFonts w:ascii="Calibri" w:hAnsi="Calibri"/>
                <w:bCs/>
                <w:lang w:eastAsia="ja-JP"/>
              </w:rPr>
              <w:t>11,220,529</w:t>
            </w:r>
          </w:p>
        </w:tc>
        <w:tc>
          <w:tcPr>
            <w:tcW w:w="411" w:type="pct"/>
            <w:shd w:val="clear" w:color="auto" w:fill="F2F2F2"/>
            <w:hideMark/>
          </w:tcPr>
          <w:p w14:paraId="427541C0" w14:textId="77777777" w:rsidR="00395D01" w:rsidRPr="00912996" w:rsidRDefault="00395D01" w:rsidP="00292396">
            <w:pPr>
              <w:rPr>
                <w:rFonts w:ascii="Calibri" w:hAnsi="Calibri"/>
                <w:bCs/>
                <w:lang w:eastAsia="ja-JP"/>
              </w:rPr>
            </w:pPr>
            <w:r>
              <w:rPr>
                <w:rFonts w:ascii="Calibri" w:hAnsi="Calibri"/>
                <w:bCs/>
                <w:lang w:eastAsia="ja-JP"/>
              </w:rPr>
              <w:t>2,289,904</w:t>
            </w:r>
          </w:p>
        </w:tc>
        <w:tc>
          <w:tcPr>
            <w:tcW w:w="347" w:type="pct"/>
            <w:shd w:val="clear" w:color="auto" w:fill="F2F2F2"/>
            <w:hideMark/>
          </w:tcPr>
          <w:p w14:paraId="27683313"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37C2EF3" w14:textId="77777777" w:rsidR="00395D01" w:rsidRPr="00912996" w:rsidRDefault="00395D01" w:rsidP="00292396">
            <w:pPr>
              <w:rPr>
                <w:rFonts w:ascii="Calibri" w:hAnsi="Calibri"/>
                <w:bCs/>
                <w:lang w:eastAsia="ja-JP"/>
              </w:rPr>
            </w:pPr>
            <w:r w:rsidRPr="00912996">
              <w:rPr>
                <w:rFonts w:ascii="Calibri" w:hAnsi="Calibri"/>
                <w:bCs/>
                <w:lang w:eastAsia="ja-JP"/>
              </w:rPr>
              <w:t>POR, Bugetul local</w:t>
            </w:r>
          </w:p>
        </w:tc>
        <w:tc>
          <w:tcPr>
            <w:tcW w:w="433" w:type="pct"/>
            <w:shd w:val="clear" w:color="auto" w:fill="F2F2F2"/>
            <w:hideMark/>
          </w:tcPr>
          <w:p w14:paraId="2E22125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C2598C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E6B309B" w14:textId="77777777" w:rsidTr="00E16711">
        <w:trPr>
          <w:trHeight w:val="1320"/>
        </w:trPr>
        <w:tc>
          <w:tcPr>
            <w:tcW w:w="205" w:type="pct"/>
            <w:shd w:val="clear" w:color="auto" w:fill="F2F2F2"/>
            <w:noWrap/>
            <w:hideMark/>
          </w:tcPr>
          <w:p w14:paraId="0041BFAF" w14:textId="77777777" w:rsidR="00395D01" w:rsidRPr="00912996" w:rsidRDefault="00395D01" w:rsidP="00292396">
            <w:pPr>
              <w:rPr>
                <w:rFonts w:ascii="Calibri" w:hAnsi="Calibri"/>
                <w:bCs/>
                <w:lang w:eastAsia="ja-JP"/>
              </w:rPr>
            </w:pPr>
            <w:r>
              <w:rPr>
                <w:rFonts w:ascii="Calibri" w:hAnsi="Calibri"/>
                <w:bCs/>
                <w:lang w:eastAsia="ja-JP"/>
              </w:rPr>
              <w:t>39</w:t>
            </w:r>
          </w:p>
        </w:tc>
        <w:tc>
          <w:tcPr>
            <w:tcW w:w="1018" w:type="pct"/>
            <w:gridSpan w:val="2"/>
            <w:shd w:val="clear" w:color="auto" w:fill="F2F2F2"/>
            <w:hideMark/>
          </w:tcPr>
          <w:p w14:paraId="75634F73" w14:textId="77777777" w:rsidR="00395D01" w:rsidRPr="00912996" w:rsidRDefault="00395D01" w:rsidP="00292396">
            <w:pPr>
              <w:rPr>
                <w:rFonts w:ascii="Calibri" w:hAnsi="Calibri"/>
                <w:bCs/>
                <w:lang w:eastAsia="ja-JP"/>
              </w:rPr>
            </w:pPr>
            <w:r w:rsidRPr="00912996">
              <w:rPr>
                <w:rFonts w:ascii="Calibri" w:hAnsi="Calibri"/>
                <w:bCs/>
                <w:lang w:eastAsia="ja-JP"/>
              </w:rPr>
              <w:t>Consolidare</w:t>
            </w:r>
            <w:r>
              <w:rPr>
                <w:rFonts w:ascii="Calibri" w:hAnsi="Calibri"/>
                <w:bCs/>
                <w:lang w:eastAsia="ja-JP"/>
              </w:rPr>
              <w:t xml:space="preserve"> și </w:t>
            </w:r>
            <w:r w:rsidRPr="00912996">
              <w:rPr>
                <w:rFonts w:ascii="Calibri" w:hAnsi="Calibri"/>
                <w:bCs/>
                <w:lang w:eastAsia="ja-JP"/>
              </w:rPr>
              <w:t>reabilitare imobil</w:t>
            </w:r>
            <w:r>
              <w:rPr>
                <w:rFonts w:ascii="Calibri" w:hAnsi="Calibri"/>
                <w:bCs/>
                <w:lang w:eastAsia="ja-JP"/>
              </w:rPr>
              <w:t xml:space="preserve"> din str. Tunari nr. 52-54-</w:t>
            </w:r>
            <w:r w:rsidRPr="00912996">
              <w:rPr>
                <w:rFonts w:ascii="Calibri" w:hAnsi="Calibri"/>
                <w:bCs/>
                <w:lang w:eastAsia="ja-JP"/>
              </w:rPr>
              <w:t xml:space="preserve"> Grădinița nr. 138</w:t>
            </w:r>
          </w:p>
        </w:tc>
        <w:tc>
          <w:tcPr>
            <w:tcW w:w="640" w:type="pct"/>
            <w:shd w:val="clear" w:color="auto" w:fill="F2F2F2"/>
            <w:hideMark/>
          </w:tcPr>
          <w:p w14:paraId="7DEBD56D"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B67BF57" w14:textId="77777777" w:rsidR="00395D01" w:rsidRPr="00912996" w:rsidRDefault="00395D01" w:rsidP="00292396">
            <w:pPr>
              <w:rPr>
                <w:rFonts w:ascii="Calibri" w:hAnsi="Calibri"/>
                <w:bCs/>
                <w:lang w:eastAsia="ja-JP"/>
              </w:rPr>
            </w:pPr>
            <w:r>
              <w:rPr>
                <w:rFonts w:ascii="Calibri" w:hAnsi="Calibri"/>
                <w:bCs/>
                <w:lang w:eastAsia="ja-JP"/>
              </w:rPr>
              <w:t>Finalizat</w:t>
            </w:r>
          </w:p>
        </w:tc>
        <w:tc>
          <w:tcPr>
            <w:tcW w:w="473" w:type="pct"/>
            <w:shd w:val="clear" w:color="auto" w:fill="F2F2F2"/>
            <w:hideMark/>
          </w:tcPr>
          <w:p w14:paraId="3624597A" w14:textId="77777777" w:rsidR="00395D01" w:rsidRPr="00912996" w:rsidRDefault="00395D01" w:rsidP="00292396">
            <w:pPr>
              <w:rPr>
                <w:rFonts w:ascii="Calibri" w:hAnsi="Calibri"/>
                <w:bCs/>
                <w:lang w:eastAsia="ja-JP"/>
              </w:rPr>
            </w:pPr>
            <w:r>
              <w:rPr>
                <w:rFonts w:ascii="Calibri" w:hAnsi="Calibri"/>
                <w:bCs/>
                <w:lang w:eastAsia="ja-JP"/>
              </w:rPr>
              <w:t>6,478,188</w:t>
            </w:r>
          </w:p>
        </w:tc>
        <w:tc>
          <w:tcPr>
            <w:tcW w:w="411" w:type="pct"/>
            <w:shd w:val="clear" w:color="auto" w:fill="F2F2F2"/>
            <w:hideMark/>
          </w:tcPr>
          <w:p w14:paraId="2B89743D" w14:textId="77777777" w:rsidR="00395D01" w:rsidRPr="00912996" w:rsidRDefault="00395D01" w:rsidP="00292396">
            <w:pPr>
              <w:rPr>
                <w:rFonts w:ascii="Calibri" w:hAnsi="Calibri"/>
                <w:bCs/>
                <w:lang w:eastAsia="ja-JP"/>
              </w:rPr>
            </w:pPr>
            <w:r>
              <w:rPr>
                <w:rFonts w:ascii="Calibri" w:hAnsi="Calibri"/>
                <w:bCs/>
                <w:lang w:eastAsia="ja-JP"/>
              </w:rPr>
              <w:t>1,322,080</w:t>
            </w:r>
          </w:p>
        </w:tc>
        <w:tc>
          <w:tcPr>
            <w:tcW w:w="347" w:type="pct"/>
            <w:shd w:val="clear" w:color="auto" w:fill="F2F2F2"/>
            <w:hideMark/>
          </w:tcPr>
          <w:p w14:paraId="533D169C" w14:textId="77777777" w:rsidR="00395D01" w:rsidRPr="00912996" w:rsidRDefault="00395D01" w:rsidP="00292396">
            <w:pPr>
              <w:rPr>
                <w:rFonts w:ascii="Calibri" w:hAnsi="Calibri"/>
                <w:bCs/>
                <w:lang w:eastAsia="ja-JP"/>
              </w:rPr>
            </w:pPr>
            <w:r w:rsidRPr="00912996">
              <w:rPr>
                <w:rFonts w:ascii="Calibri" w:hAnsi="Calibri"/>
                <w:bCs/>
                <w:lang w:eastAsia="ja-JP"/>
              </w:rPr>
              <w:t>20</w:t>
            </w:r>
            <w:r>
              <w:rPr>
                <w:rFonts w:ascii="Calibri" w:hAnsi="Calibri"/>
                <w:bCs/>
                <w:lang w:eastAsia="ja-JP"/>
              </w:rPr>
              <w:t xml:space="preserve">17 </w:t>
            </w:r>
            <w:r w:rsidRPr="00912996">
              <w:rPr>
                <w:rFonts w:ascii="Calibri" w:hAnsi="Calibri"/>
                <w:bCs/>
                <w:lang w:eastAsia="ja-JP"/>
              </w:rPr>
              <w:t>-202</w:t>
            </w:r>
            <w:r>
              <w:rPr>
                <w:rFonts w:ascii="Calibri" w:hAnsi="Calibri"/>
                <w:bCs/>
                <w:lang w:eastAsia="ja-JP"/>
              </w:rPr>
              <w:t>3</w:t>
            </w:r>
          </w:p>
        </w:tc>
        <w:tc>
          <w:tcPr>
            <w:tcW w:w="484" w:type="pct"/>
            <w:gridSpan w:val="2"/>
            <w:shd w:val="clear" w:color="auto" w:fill="F2F2F2"/>
            <w:hideMark/>
          </w:tcPr>
          <w:p w14:paraId="69993F54" w14:textId="77777777" w:rsidR="00395D01" w:rsidRPr="00912996" w:rsidRDefault="00395D01" w:rsidP="00292396">
            <w:pPr>
              <w:rPr>
                <w:rFonts w:ascii="Calibri" w:hAnsi="Calibri"/>
                <w:bCs/>
                <w:lang w:eastAsia="ja-JP"/>
              </w:rPr>
            </w:pPr>
            <w:r>
              <w:rPr>
                <w:rFonts w:ascii="Calibri" w:hAnsi="Calibri"/>
                <w:bCs/>
                <w:lang w:eastAsia="ja-JP"/>
              </w:rPr>
              <w:t>Programul Național de Dezvoltare Locală</w:t>
            </w:r>
            <w:r w:rsidRPr="00912996">
              <w:rPr>
                <w:rFonts w:ascii="Calibri" w:hAnsi="Calibri"/>
                <w:bCs/>
                <w:lang w:eastAsia="ja-JP"/>
              </w:rPr>
              <w:t>, Bugetul local,  Alte surse de finanțare</w:t>
            </w:r>
          </w:p>
        </w:tc>
        <w:tc>
          <w:tcPr>
            <w:tcW w:w="433" w:type="pct"/>
            <w:shd w:val="clear" w:color="auto" w:fill="F2F2F2"/>
            <w:hideMark/>
          </w:tcPr>
          <w:p w14:paraId="371F5F7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99F46C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63D4703" w14:textId="77777777" w:rsidTr="00090933">
        <w:trPr>
          <w:trHeight w:val="741"/>
        </w:trPr>
        <w:tc>
          <w:tcPr>
            <w:tcW w:w="205" w:type="pct"/>
            <w:shd w:val="clear" w:color="auto" w:fill="F2F2F2"/>
            <w:noWrap/>
            <w:hideMark/>
          </w:tcPr>
          <w:p w14:paraId="7134B539" w14:textId="77777777" w:rsidR="00395D01" w:rsidRPr="00912996" w:rsidRDefault="00395D01" w:rsidP="00292396">
            <w:pPr>
              <w:rPr>
                <w:rFonts w:ascii="Calibri" w:hAnsi="Calibri"/>
                <w:bCs/>
                <w:lang w:eastAsia="ja-JP"/>
              </w:rPr>
            </w:pPr>
            <w:r w:rsidRPr="00912996">
              <w:rPr>
                <w:rFonts w:ascii="Calibri" w:hAnsi="Calibri"/>
                <w:bCs/>
                <w:lang w:eastAsia="ja-JP"/>
              </w:rPr>
              <w:t>4</w:t>
            </w:r>
            <w:r>
              <w:rPr>
                <w:rFonts w:ascii="Calibri" w:hAnsi="Calibri"/>
                <w:bCs/>
                <w:lang w:eastAsia="ja-JP"/>
              </w:rPr>
              <w:t>0</w:t>
            </w:r>
          </w:p>
        </w:tc>
        <w:tc>
          <w:tcPr>
            <w:tcW w:w="1018" w:type="pct"/>
            <w:gridSpan w:val="2"/>
            <w:shd w:val="clear" w:color="auto" w:fill="F2F2F2"/>
            <w:hideMark/>
          </w:tcPr>
          <w:p w14:paraId="0E1942EC" w14:textId="77777777" w:rsidR="00395D01" w:rsidRPr="00912996" w:rsidRDefault="00395D01" w:rsidP="00292396">
            <w:pPr>
              <w:rPr>
                <w:rFonts w:ascii="Calibri" w:hAnsi="Calibri"/>
                <w:bCs/>
                <w:lang w:eastAsia="ja-JP"/>
              </w:rPr>
            </w:pPr>
            <w:r>
              <w:rPr>
                <w:rFonts w:ascii="Calibri" w:hAnsi="Calibri"/>
                <w:bCs/>
                <w:lang w:eastAsia="ja-JP"/>
              </w:rPr>
              <w:t>R</w:t>
            </w:r>
            <w:r w:rsidRPr="00912996">
              <w:rPr>
                <w:rFonts w:ascii="Calibri" w:hAnsi="Calibri"/>
                <w:bCs/>
                <w:lang w:eastAsia="ja-JP"/>
              </w:rPr>
              <w:t>eabilitarea și modernizarea imobilului Grădinița nr. 189</w:t>
            </w:r>
          </w:p>
        </w:tc>
        <w:tc>
          <w:tcPr>
            <w:tcW w:w="640" w:type="pct"/>
            <w:shd w:val="clear" w:color="auto" w:fill="F2F2F2"/>
            <w:hideMark/>
          </w:tcPr>
          <w:p w14:paraId="7A290AE8"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39468CF"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3F8590DC" w14:textId="77777777" w:rsidR="00395D01" w:rsidRPr="00912996" w:rsidRDefault="00395D01" w:rsidP="00292396">
            <w:pPr>
              <w:rPr>
                <w:rFonts w:ascii="Calibri" w:hAnsi="Calibri"/>
                <w:bCs/>
                <w:lang w:eastAsia="ja-JP"/>
              </w:rPr>
            </w:pPr>
            <w:r>
              <w:rPr>
                <w:rFonts w:ascii="Calibri" w:hAnsi="Calibri"/>
                <w:bCs/>
                <w:lang w:eastAsia="ja-JP"/>
              </w:rPr>
              <w:t>10,063,656</w:t>
            </w:r>
          </w:p>
        </w:tc>
        <w:tc>
          <w:tcPr>
            <w:tcW w:w="411" w:type="pct"/>
            <w:shd w:val="clear" w:color="auto" w:fill="F2F2F2"/>
            <w:hideMark/>
          </w:tcPr>
          <w:p w14:paraId="02132297" w14:textId="77777777" w:rsidR="00395D01" w:rsidRPr="00912996" w:rsidRDefault="00395D01" w:rsidP="00292396">
            <w:pPr>
              <w:rPr>
                <w:rFonts w:ascii="Calibri" w:hAnsi="Calibri"/>
                <w:bCs/>
                <w:lang w:eastAsia="ja-JP"/>
              </w:rPr>
            </w:pPr>
            <w:r>
              <w:rPr>
                <w:rFonts w:ascii="Calibri" w:hAnsi="Calibri"/>
                <w:bCs/>
                <w:lang w:eastAsia="ja-JP"/>
              </w:rPr>
              <w:t>2,053,808</w:t>
            </w:r>
          </w:p>
        </w:tc>
        <w:tc>
          <w:tcPr>
            <w:tcW w:w="347" w:type="pct"/>
            <w:shd w:val="clear" w:color="auto" w:fill="F2F2F2"/>
            <w:hideMark/>
          </w:tcPr>
          <w:p w14:paraId="3322A617" w14:textId="77777777" w:rsidR="00395D01" w:rsidRPr="00912996" w:rsidRDefault="00395D01" w:rsidP="00292396">
            <w:pPr>
              <w:rPr>
                <w:rFonts w:ascii="Calibri" w:hAnsi="Calibri"/>
                <w:bCs/>
                <w:lang w:eastAsia="ja-JP"/>
              </w:rPr>
            </w:pPr>
            <w:r w:rsidRPr="00912996">
              <w:rPr>
                <w:rFonts w:ascii="Calibri" w:hAnsi="Calibri"/>
                <w:bCs/>
                <w:lang w:eastAsia="ja-JP"/>
              </w:rPr>
              <w:t>2021-2027</w:t>
            </w:r>
          </w:p>
        </w:tc>
        <w:tc>
          <w:tcPr>
            <w:tcW w:w="484" w:type="pct"/>
            <w:gridSpan w:val="2"/>
            <w:shd w:val="clear" w:color="auto" w:fill="F2F2F2"/>
            <w:hideMark/>
          </w:tcPr>
          <w:p w14:paraId="534A92C7" w14:textId="77777777" w:rsidR="00395D01" w:rsidRPr="00912996" w:rsidRDefault="00395D01" w:rsidP="00292396">
            <w:pPr>
              <w:rPr>
                <w:rFonts w:ascii="Calibri" w:hAnsi="Calibri"/>
                <w:bCs/>
                <w:lang w:eastAsia="ja-JP"/>
              </w:rPr>
            </w:pPr>
            <w:r w:rsidRPr="00912996">
              <w:rPr>
                <w:rFonts w:ascii="Calibri" w:hAnsi="Calibri"/>
                <w:bCs/>
                <w:lang w:eastAsia="ja-JP"/>
              </w:rPr>
              <w:t>POR, Bugetul local</w:t>
            </w:r>
          </w:p>
        </w:tc>
        <w:tc>
          <w:tcPr>
            <w:tcW w:w="433" w:type="pct"/>
            <w:shd w:val="clear" w:color="auto" w:fill="F2F2F2"/>
            <w:hideMark/>
          </w:tcPr>
          <w:p w14:paraId="6EEDC5A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2C40D41"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1E34A24" w14:textId="77777777" w:rsidTr="00E16711">
        <w:trPr>
          <w:trHeight w:val="1320"/>
        </w:trPr>
        <w:tc>
          <w:tcPr>
            <w:tcW w:w="205" w:type="pct"/>
            <w:shd w:val="clear" w:color="auto" w:fill="F2F2F2"/>
            <w:noWrap/>
            <w:hideMark/>
          </w:tcPr>
          <w:p w14:paraId="17DA141C" w14:textId="77777777" w:rsidR="00395D01" w:rsidRPr="00912996" w:rsidRDefault="00395D01" w:rsidP="00292396">
            <w:pPr>
              <w:rPr>
                <w:rFonts w:ascii="Calibri" w:hAnsi="Calibri"/>
                <w:bCs/>
                <w:lang w:eastAsia="ja-JP"/>
              </w:rPr>
            </w:pPr>
            <w:r w:rsidRPr="00912996">
              <w:rPr>
                <w:rFonts w:ascii="Calibri" w:hAnsi="Calibri"/>
                <w:bCs/>
                <w:lang w:eastAsia="ja-JP"/>
              </w:rPr>
              <w:t>4</w:t>
            </w:r>
            <w:r>
              <w:rPr>
                <w:rFonts w:ascii="Calibri" w:hAnsi="Calibri"/>
                <w:bCs/>
                <w:lang w:eastAsia="ja-JP"/>
              </w:rPr>
              <w:t>1</w:t>
            </w:r>
          </w:p>
        </w:tc>
        <w:tc>
          <w:tcPr>
            <w:tcW w:w="1018" w:type="pct"/>
            <w:gridSpan w:val="2"/>
            <w:shd w:val="clear" w:color="auto" w:fill="F2F2F2"/>
            <w:hideMark/>
          </w:tcPr>
          <w:p w14:paraId="24423DBB" w14:textId="77777777" w:rsidR="00395D01" w:rsidRPr="00912996" w:rsidRDefault="00395D01" w:rsidP="00292396">
            <w:pPr>
              <w:rPr>
                <w:rFonts w:ascii="Calibri" w:hAnsi="Calibri"/>
                <w:bCs/>
                <w:lang w:eastAsia="ja-JP"/>
              </w:rPr>
            </w:pPr>
            <w:r w:rsidRPr="00912996">
              <w:rPr>
                <w:rFonts w:ascii="Calibri" w:hAnsi="Calibri"/>
                <w:bCs/>
                <w:lang w:eastAsia="ja-JP"/>
              </w:rPr>
              <w:t>Consolidarea, reabilitarea și modernizarea imobilului Grădinița nr. 233</w:t>
            </w:r>
          </w:p>
        </w:tc>
        <w:tc>
          <w:tcPr>
            <w:tcW w:w="640" w:type="pct"/>
            <w:shd w:val="clear" w:color="auto" w:fill="F2F2F2"/>
            <w:hideMark/>
          </w:tcPr>
          <w:p w14:paraId="1C46F452"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917A8E8"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4BB7B22F" w14:textId="77777777" w:rsidR="00395D01" w:rsidRPr="00912996" w:rsidRDefault="00395D01" w:rsidP="00292396">
            <w:pPr>
              <w:rPr>
                <w:rFonts w:ascii="Calibri" w:hAnsi="Calibri"/>
                <w:bCs/>
                <w:lang w:eastAsia="ja-JP"/>
              </w:rPr>
            </w:pPr>
            <w:r w:rsidRPr="000706AF">
              <w:rPr>
                <w:rFonts w:ascii="Calibri" w:hAnsi="Calibri"/>
                <w:bCs/>
                <w:lang w:eastAsia="ja-JP"/>
              </w:rPr>
              <w:t>13,137,707</w:t>
            </w:r>
          </w:p>
        </w:tc>
        <w:tc>
          <w:tcPr>
            <w:tcW w:w="411" w:type="pct"/>
            <w:shd w:val="clear" w:color="auto" w:fill="F2F2F2"/>
            <w:hideMark/>
          </w:tcPr>
          <w:p w14:paraId="613B901C" w14:textId="4672E44E" w:rsidR="00395D01" w:rsidRPr="00912996" w:rsidRDefault="00395D01" w:rsidP="00292396">
            <w:pPr>
              <w:rPr>
                <w:rFonts w:ascii="Calibri" w:hAnsi="Calibri"/>
                <w:bCs/>
                <w:lang w:eastAsia="ja-JP"/>
              </w:rPr>
            </w:pPr>
            <w:r w:rsidRPr="000706AF">
              <w:rPr>
                <w:rFonts w:ascii="Calibri" w:hAnsi="Calibri"/>
                <w:bCs/>
                <w:lang w:eastAsia="ja-JP"/>
              </w:rPr>
              <w:t>2,681,164</w:t>
            </w:r>
          </w:p>
        </w:tc>
        <w:tc>
          <w:tcPr>
            <w:tcW w:w="347" w:type="pct"/>
            <w:shd w:val="clear" w:color="auto" w:fill="F2F2F2"/>
            <w:hideMark/>
          </w:tcPr>
          <w:p w14:paraId="4514769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D1722DA" w14:textId="77777777" w:rsidR="00395D01" w:rsidRPr="00912996" w:rsidRDefault="00395D01" w:rsidP="00292396">
            <w:pPr>
              <w:rPr>
                <w:rFonts w:ascii="Calibri" w:hAnsi="Calibri"/>
                <w:bCs/>
                <w:lang w:eastAsia="ja-JP"/>
              </w:rPr>
            </w:pPr>
            <w:r w:rsidRPr="00912996">
              <w:rPr>
                <w:rFonts w:ascii="Calibri" w:hAnsi="Calibri"/>
                <w:bCs/>
                <w:lang w:eastAsia="ja-JP"/>
              </w:rPr>
              <w:t>P</w:t>
            </w:r>
            <w:r w:rsidRPr="000706AF">
              <w:rPr>
                <w:rFonts w:ascii="Calibri" w:hAnsi="Calibri"/>
                <w:bCs/>
                <w:lang w:eastAsia="ja-JP"/>
              </w:rPr>
              <w:t>POR,  Bugetul local</w:t>
            </w:r>
          </w:p>
        </w:tc>
        <w:tc>
          <w:tcPr>
            <w:tcW w:w="433" w:type="pct"/>
            <w:shd w:val="clear" w:color="auto" w:fill="F2F2F2"/>
            <w:hideMark/>
          </w:tcPr>
          <w:p w14:paraId="3BA0D96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4C197A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37B9A1D" w14:textId="77777777" w:rsidTr="0075720E">
        <w:trPr>
          <w:trHeight w:val="984"/>
        </w:trPr>
        <w:tc>
          <w:tcPr>
            <w:tcW w:w="205" w:type="pct"/>
            <w:shd w:val="clear" w:color="auto" w:fill="F2F2F2"/>
            <w:noWrap/>
            <w:hideMark/>
          </w:tcPr>
          <w:p w14:paraId="77A01F91" w14:textId="77777777" w:rsidR="00395D01" w:rsidRPr="00912996" w:rsidRDefault="00395D01" w:rsidP="00292396">
            <w:pPr>
              <w:rPr>
                <w:rFonts w:ascii="Calibri" w:hAnsi="Calibri"/>
                <w:bCs/>
                <w:lang w:eastAsia="ja-JP"/>
              </w:rPr>
            </w:pPr>
            <w:r w:rsidRPr="00912996">
              <w:rPr>
                <w:rFonts w:ascii="Calibri" w:hAnsi="Calibri"/>
                <w:bCs/>
                <w:lang w:eastAsia="ja-JP"/>
              </w:rPr>
              <w:t>4</w:t>
            </w:r>
            <w:r>
              <w:rPr>
                <w:rFonts w:ascii="Calibri" w:hAnsi="Calibri"/>
                <w:bCs/>
                <w:lang w:eastAsia="ja-JP"/>
              </w:rPr>
              <w:t>2</w:t>
            </w:r>
          </w:p>
        </w:tc>
        <w:tc>
          <w:tcPr>
            <w:tcW w:w="1018" w:type="pct"/>
            <w:gridSpan w:val="2"/>
            <w:shd w:val="clear" w:color="auto" w:fill="F2F2F2"/>
            <w:hideMark/>
          </w:tcPr>
          <w:p w14:paraId="54E7EB5F" w14:textId="77777777" w:rsidR="00395D01" w:rsidRPr="00912996" w:rsidRDefault="00395D01" w:rsidP="00292396">
            <w:pPr>
              <w:rPr>
                <w:rFonts w:ascii="Calibri" w:hAnsi="Calibri"/>
                <w:bCs/>
                <w:lang w:eastAsia="ja-JP"/>
              </w:rPr>
            </w:pPr>
            <w:r w:rsidRPr="00912996">
              <w:rPr>
                <w:rFonts w:ascii="Calibri" w:hAnsi="Calibri"/>
                <w:bCs/>
                <w:lang w:eastAsia="ja-JP"/>
              </w:rPr>
              <w:t>Consolidarea, reabilitarea și modernizarea imobilului Grădinița nr. 234</w:t>
            </w:r>
          </w:p>
        </w:tc>
        <w:tc>
          <w:tcPr>
            <w:tcW w:w="640" w:type="pct"/>
            <w:shd w:val="clear" w:color="auto" w:fill="F2F2F2"/>
            <w:hideMark/>
          </w:tcPr>
          <w:p w14:paraId="603D725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058D48B"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5ADE96E9" w14:textId="77777777" w:rsidR="00395D01" w:rsidRPr="00912996" w:rsidRDefault="00395D01" w:rsidP="00292396">
            <w:pPr>
              <w:rPr>
                <w:rFonts w:ascii="Calibri" w:hAnsi="Calibri"/>
                <w:bCs/>
                <w:lang w:eastAsia="ja-JP"/>
              </w:rPr>
            </w:pPr>
            <w:r w:rsidRPr="000706AF">
              <w:rPr>
                <w:rFonts w:ascii="Calibri" w:hAnsi="Calibri"/>
                <w:bCs/>
                <w:lang w:eastAsia="ja-JP"/>
              </w:rPr>
              <w:t>4,063,817</w:t>
            </w:r>
          </w:p>
        </w:tc>
        <w:tc>
          <w:tcPr>
            <w:tcW w:w="411" w:type="pct"/>
            <w:shd w:val="clear" w:color="auto" w:fill="F2F2F2"/>
            <w:hideMark/>
          </w:tcPr>
          <w:p w14:paraId="28504E40" w14:textId="77777777" w:rsidR="00395D01" w:rsidRPr="00912996" w:rsidRDefault="00395D01" w:rsidP="00292396">
            <w:pPr>
              <w:rPr>
                <w:rFonts w:ascii="Calibri" w:hAnsi="Calibri"/>
                <w:bCs/>
                <w:lang w:eastAsia="ja-JP"/>
              </w:rPr>
            </w:pPr>
            <w:r w:rsidRPr="000706AF">
              <w:rPr>
                <w:rFonts w:ascii="Calibri" w:hAnsi="Calibri"/>
                <w:bCs/>
                <w:lang w:eastAsia="ja-JP"/>
              </w:rPr>
              <w:t>829,350</w:t>
            </w:r>
          </w:p>
        </w:tc>
        <w:tc>
          <w:tcPr>
            <w:tcW w:w="347" w:type="pct"/>
            <w:shd w:val="clear" w:color="auto" w:fill="F2F2F2"/>
            <w:hideMark/>
          </w:tcPr>
          <w:p w14:paraId="2BD6AC6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5A13D11" w14:textId="77777777" w:rsidR="00395D01" w:rsidRPr="00912996" w:rsidRDefault="00395D01" w:rsidP="00292396">
            <w:pPr>
              <w:rPr>
                <w:rFonts w:ascii="Calibri" w:hAnsi="Calibri"/>
                <w:bCs/>
                <w:lang w:eastAsia="ja-JP"/>
              </w:rPr>
            </w:pPr>
            <w:r w:rsidRPr="000706AF">
              <w:rPr>
                <w:rFonts w:ascii="Calibri" w:hAnsi="Calibri"/>
                <w:bCs/>
                <w:lang w:eastAsia="ja-JP"/>
              </w:rPr>
              <w:t>Bugetul local</w:t>
            </w:r>
          </w:p>
        </w:tc>
        <w:tc>
          <w:tcPr>
            <w:tcW w:w="433" w:type="pct"/>
            <w:shd w:val="clear" w:color="auto" w:fill="F2F2F2"/>
            <w:hideMark/>
          </w:tcPr>
          <w:p w14:paraId="75B097D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2BE8ED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FBB90BC" w14:textId="77777777" w:rsidTr="0075720E">
        <w:trPr>
          <w:trHeight w:val="894"/>
        </w:trPr>
        <w:tc>
          <w:tcPr>
            <w:tcW w:w="205" w:type="pct"/>
            <w:shd w:val="clear" w:color="auto" w:fill="F2F2F2"/>
            <w:noWrap/>
            <w:hideMark/>
          </w:tcPr>
          <w:p w14:paraId="27D41E9B" w14:textId="77777777" w:rsidR="00395D01" w:rsidRPr="00912996" w:rsidRDefault="00395D01" w:rsidP="00292396">
            <w:pPr>
              <w:rPr>
                <w:rFonts w:ascii="Calibri" w:hAnsi="Calibri"/>
                <w:bCs/>
                <w:lang w:eastAsia="ja-JP"/>
              </w:rPr>
            </w:pPr>
            <w:r w:rsidRPr="00912996">
              <w:rPr>
                <w:rFonts w:ascii="Calibri" w:hAnsi="Calibri"/>
                <w:bCs/>
                <w:lang w:eastAsia="ja-JP"/>
              </w:rPr>
              <w:t>4</w:t>
            </w:r>
            <w:r>
              <w:rPr>
                <w:rFonts w:ascii="Calibri" w:hAnsi="Calibri"/>
                <w:bCs/>
                <w:lang w:eastAsia="ja-JP"/>
              </w:rPr>
              <w:t>3</w:t>
            </w:r>
          </w:p>
        </w:tc>
        <w:tc>
          <w:tcPr>
            <w:tcW w:w="1018" w:type="pct"/>
            <w:gridSpan w:val="2"/>
            <w:shd w:val="clear" w:color="auto" w:fill="F2F2F2"/>
            <w:hideMark/>
          </w:tcPr>
          <w:p w14:paraId="0FA6F282" w14:textId="77777777" w:rsidR="00395D01" w:rsidRPr="00912996" w:rsidRDefault="00395D01" w:rsidP="00292396">
            <w:pPr>
              <w:rPr>
                <w:rFonts w:ascii="Calibri" w:hAnsi="Calibri"/>
                <w:bCs/>
                <w:lang w:eastAsia="ja-JP"/>
              </w:rPr>
            </w:pPr>
            <w:r w:rsidRPr="00912996">
              <w:rPr>
                <w:rFonts w:ascii="Calibri" w:hAnsi="Calibri"/>
                <w:bCs/>
                <w:lang w:eastAsia="ja-JP"/>
              </w:rPr>
              <w:t>Consolidarea, reabilitarea și modernizarea imobilului Grădinița nr. 236</w:t>
            </w:r>
          </w:p>
        </w:tc>
        <w:tc>
          <w:tcPr>
            <w:tcW w:w="640" w:type="pct"/>
            <w:shd w:val="clear" w:color="auto" w:fill="F2F2F2"/>
            <w:hideMark/>
          </w:tcPr>
          <w:p w14:paraId="12B222A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6E8D1DC"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3CC7D9A9" w14:textId="77777777" w:rsidR="00395D01" w:rsidRPr="00912996" w:rsidRDefault="00395D01" w:rsidP="00292396">
            <w:pPr>
              <w:rPr>
                <w:rFonts w:ascii="Calibri" w:hAnsi="Calibri"/>
                <w:bCs/>
                <w:lang w:eastAsia="ja-JP"/>
              </w:rPr>
            </w:pPr>
            <w:r w:rsidRPr="000706AF">
              <w:rPr>
                <w:rFonts w:ascii="Calibri" w:hAnsi="Calibri"/>
                <w:bCs/>
                <w:lang w:eastAsia="ja-JP"/>
              </w:rPr>
              <w:t>7,249,359</w:t>
            </w:r>
          </w:p>
        </w:tc>
        <w:tc>
          <w:tcPr>
            <w:tcW w:w="411" w:type="pct"/>
            <w:shd w:val="clear" w:color="auto" w:fill="F2F2F2"/>
            <w:hideMark/>
          </w:tcPr>
          <w:p w14:paraId="59F60215" w14:textId="77777777" w:rsidR="00395D01" w:rsidRPr="00912996" w:rsidRDefault="00395D01" w:rsidP="00292396">
            <w:pPr>
              <w:rPr>
                <w:rFonts w:ascii="Calibri" w:hAnsi="Calibri"/>
                <w:bCs/>
                <w:lang w:eastAsia="ja-JP"/>
              </w:rPr>
            </w:pPr>
            <w:r w:rsidRPr="000706AF">
              <w:rPr>
                <w:rFonts w:ascii="Calibri" w:hAnsi="Calibri"/>
                <w:bCs/>
                <w:lang w:eastAsia="ja-JP"/>
              </w:rPr>
              <w:t>1,479,461</w:t>
            </w:r>
          </w:p>
        </w:tc>
        <w:tc>
          <w:tcPr>
            <w:tcW w:w="347" w:type="pct"/>
            <w:shd w:val="clear" w:color="auto" w:fill="F2F2F2"/>
            <w:hideMark/>
          </w:tcPr>
          <w:p w14:paraId="4DBAC9B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1D9C634"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6A95865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55096F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EBA0E25" w14:textId="77777777" w:rsidTr="00E16711">
        <w:trPr>
          <w:trHeight w:val="1320"/>
        </w:trPr>
        <w:tc>
          <w:tcPr>
            <w:tcW w:w="205" w:type="pct"/>
            <w:shd w:val="clear" w:color="auto" w:fill="F2F2F2"/>
            <w:noWrap/>
            <w:hideMark/>
          </w:tcPr>
          <w:p w14:paraId="59AC7FCB" w14:textId="77777777" w:rsidR="00395D01" w:rsidRPr="00912996" w:rsidRDefault="00395D01" w:rsidP="00292396">
            <w:pPr>
              <w:rPr>
                <w:rFonts w:ascii="Calibri" w:hAnsi="Calibri"/>
                <w:bCs/>
                <w:lang w:eastAsia="ja-JP"/>
              </w:rPr>
            </w:pPr>
            <w:r w:rsidRPr="00912996">
              <w:rPr>
                <w:rFonts w:ascii="Calibri" w:hAnsi="Calibri"/>
                <w:bCs/>
                <w:lang w:eastAsia="ja-JP"/>
              </w:rPr>
              <w:t>4</w:t>
            </w:r>
            <w:r>
              <w:rPr>
                <w:rFonts w:ascii="Calibri" w:hAnsi="Calibri"/>
                <w:bCs/>
                <w:lang w:eastAsia="ja-JP"/>
              </w:rPr>
              <w:t>4</w:t>
            </w:r>
          </w:p>
        </w:tc>
        <w:tc>
          <w:tcPr>
            <w:tcW w:w="1018" w:type="pct"/>
            <w:gridSpan w:val="2"/>
            <w:shd w:val="clear" w:color="auto" w:fill="F2F2F2"/>
            <w:hideMark/>
          </w:tcPr>
          <w:p w14:paraId="49AF868E" w14:textId="77777777" w:rsidR="00395D01" w:rsidRPr="00912996" w:rsidRDefault="00395D01" w:rsidP="00292396">
            <w:pPr>
              <w:rPr>
                <w:rFonts w:ascii="Calibri" w:hAnsi="Calibri"/>
                <w:bCs/>
                <w:lang w:eastAsia="ja-JP"/>
              </w:rPr>
            </w:pPr>
            <w:r w:rsidRPr="000706AF">
              <w:rPr>
                <w:rFonts w:ascii="Calibri" w:hAnsi="Calibri"/>
                <w:bCs/>
                <w:lang w:eastAsia="ja-JP"/>
              </w:rPr>
              <w:t>Consolidare și reabilitare imobil din str. Atanasie Ionescu nr. 25 - Grădinița nr. 256</w:t>
            </w:r>
          </w:p>
        </w:tc>
        <w:tc>
          <w:tcPr>
            <w:tcW w:w="640" w:type="pct"/>
            <w:shd w:val="clear" w:color="auto" w:fill="F2F2F2"/>
            <w:hideMark/>
          </w:tcPr>
          <w:p w14:paraId="6DC9E06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4B3DCE9"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332EC7B6" w14:textId="77777777" w:rsidR="00395D01" w:rsidRPr="00912996" w:rsidRDefault="00395D01" w:rsidP="00292396">
            <w:pPr>
              <w:rPr>
                <w:rFonts w:ascii="Calibri" w:hAnsi="Calibri"/>
                <w:bCs/>
                <w:lang w:eastAsia="ja-JP"/>
              </w:rPr>
            </w:pPr>
            <w:r w:rsidRPr="000706AF">
              <w:rPr>
                <w:rFonts w:ascii="Calibri" w:hAnsi="Calibri"/>
                <w:bCs/>
                <w:lang w:eastAsia="ja-JP"/>
              </w:rPr>
              <w:t>5,148,709</w:t>
            </w:r>
          </w:p>
        </w:tc>
        <w:tc>
          <w:tcPr>
            <w:tcW w:w="411" w:type="pct"/>
            <w:shd w:val="clear" w:color="auto" w:fill="F2F2F2"/>
            <w:hideMark/>
          </w:tcPr>
          <w:p w14:paraId="24B06EB4" w14:textId="77777777" w:rsidR="00395D01" w:rsidRPr="00912996" w:rsidRDefault="00395D01" w:rsidP="00292396">
            <w:pPr>
              <w:rPr>
                <w:rFonts w:ascii="Calibri" w:hAnsi="Calibri"/>
                <w:bCs/>
                <w:lang w:eastAsia="ja-JP"/>
              </w:rPr>
            </w:pPr>
            <w:r w:rsidRPr="000706AF">
              <w:rPr>
                <w:rFonts w:ascii="Calibri" w:hAnsi="Calibri"/>
                <w:bCs/>
                <w:lang w:eastAsia="ja-JP"/>
              </w:rPr>
              <w:t>1,050,757</w:t>
            </w:r>
          </w:p>
        </w:tc>
        <w:tc>
          <w:tcPr>
            <w:tcW w:w="347" w:type="pct"/>
            <w:shd w:val="clear" w:color="auto" w:fill="F2F2F2"/>
            <w:hideMark/>
          </w:tcPr>
          <w:p w14:paraId="1F93C436" w14:textId="77777777" w:rsidR="00395D01" w:rsidRPr="00912996" w:rsidRDefault="00395D01" w:rsidP="00292396">
            <w:pPr>
              <w:rPr>
                <w:rFonts w:ascii="Calibri" w:hAnsi="Calibri"/>
                <w:bCs/>
                <w:lang w:eastAsia="ja-JP"/>
              </w:rPr>
            </w:pPr>
            <w:r w:rsidRPr="00912996">
              <w:rPr>
                <w:rFonts w:ascii="Calibri" w:hAnsi="Calibri"/>
                <w:bCs/>
                <w:lang w:eastAsia="ja-JP"/>
              </w:rPr>
              <w:t>20</w:t>
            </w:r>
            <w:r>
              <w:rPr>
                <w:rFonts w:ascii="Calibri" w:hAnsi="Calibri"/>
                <w:bCs/>
                <w:lang w:eastAsia="ja-JP"/>
              </w:rPr>
              <w:t xml:space="preserve">17 </w:t>
            </w:r>
            <w:r w:rsidRPr="00912996">
              <w:rPr>
                <w:rFonts w:ascii="Calibri" w:hAnsi="Calibri"/>
                <w:bCs/>
                <w:lang w:eastAsia="ja-JP"/>
              </w:rPr>
              <w:t>-202</w:t>
            </w:r>
            <w:r>
              <w:rPr>
                <w:rFonts w:ascii="Calibri" w:hAnsi="Calibri"/>
                <w:bCs/>
                <w:lang w:eastAsia="ja-JP"/>
              </w:rPr>
              <w:t>1</w:t>
            </w:r>
          </w:p>
        </w:tc>
        <w:tc>
          <w:tcPr>
            <w:tcW w:w="484" w:type="pct"/>
            <w:gridSpan w:val="2"/>
            <w:shd w:val="clear" w:color="auto" w:fill="F2F2F2"/>
            <w:hideMark/>
          </w:tcPr>
          <w:p w14:paraId="02DB16C6" w14:textId="77777777" w:rsidR="00395D01" w:rsidRPr="00912996" w:rsidRDefault="00395D01" w:rsidP="00292396">
            <w:pPr>
              <w:rPr>
                <w:rFonts w:ascii="Calibri" w:hAnsi="Calibri"/>
                <w:bCs/>
                <w:lang w:eastAsia="ja-JP"/>
              </w:rPr>
            </w:pPr>
            <w:r w:rsidRPr="000706AF">
              <w:rPr>
                <w:rFonts w:ascii="Calibri" w:hAnsi="Calibri"/>
                <w:bCs/>
                <w:lang w:eastAsia="ja-JP"/>
              </w:rPr>
              <w:t>Programul Naţional</w:t>
            </w:r>
            <w:r>
              <w:rPr>
                <w:rFonts w:ascii="Calibri" w:hAnsi="Calibri"/>
                <w:bCs/>
                <w:lang w:eastAsia="ja-JP"/>
              </w:rPr>
              <w:t xml:space="preserve"> </w:t>
            </w:r>
            <w:r w:rsidRPr="000706AF">
              <w:rPr>
                <w:rFonts w:ascii="Calibri" w:hAnsi="Calibri"/>
                <w:bCs/>
                <w:lang w:eastAsia="ja-JP"/>
              </w:rPr>
              <w:t>de Dezvoltare Locală, Bugetul local, Alte surse</w:t>
            </w:r>
          </w:p>
        </w:tc>
        <w:tc>
          <w:tcPr>
            <w:tcW w:w="433" w:type="pct"/>
            <w:shd w:val="clear" w:color="auto" w:fill="F2F2F2"/>
            <w:hideMark/>
          </w:tcPr>
          <w:p w14:paraId="2A05648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BEE442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C11D1EF" w14:textId="77777777" w:rsidTr="0075720E">
        <w:trPr>
          <w:trHeight w:val="741"/>
        </w:trPr>
        <w:tc>
          <w:tcPr>
            <w:tcW w:w="205" w:type="pct"/>
            <w:shd w:val="clear" w:color="auto" w:fill="F2F2F2"/>
            <w:noWrap/>
            <w:hideMark/>
          </w:tcPr>
          <w:p w14:paraId="72BD8A30" w14:textId="77777777" w:rsidR="00395D01" w:rsidRPr="00912996" w:rsidRDefault="00395D01" w:rsidP="00292396">
            <w:pPr>
              <w:rPr>
                <w:rFonts w:ascii="Calibri" w:hAnsi="Calibri"/>
                <w:bCs/>
                <w:lang w:eastAsia="ja-JP"/>
              </w:rPr>
            </w:pPr>
            <w:r w:rsidRPr="00912996">
              <w:rPr>
                <w:rFonts w:ascii="Calibri" w:hAnsi="Calibri"/>
                <w:bCs/>
                <w:lang w:eastAsia="ja-JP"/>
              </w:rPr>
              <w:t>4</w:t>
            </w:r>
            <w:r>
              <w:rPr>
                <w:rFonts w:ascii="Calibri" w:hAnsi="Calibri"/>
                <w:bCs/>
                <w:lang w:eastAsia="ja-JP"/>
              </w:rPr>
              <w:t>5</w:t>
            </w:r>
          </w:p>
        </w:tc>
        <w:tc>
          <w:tcPr>
            <w:tcW w:w="1018" w:type="pct"/>
            <w:gridSpan w:val="2"/>
            <w:shd w:val="clear" w:color="auto" w:fill="F2F2F2"/>
            <w:hideMark/>
          </w:tcPr>
          <w:p w14:paraId="6C6B513D" w14:textId="77777777" w:rsidR="00395D01" w:rsidRPr="00912996" w:rsidRDefault="00395D01" w:rsidP="00292396">
            <w:pPr>
              <w:rPr>
                <w:rFonts w:ascii="Calibri" w:hAnsi="Calibri"/>
                <w:bCs/>
                <w:lang w:eastAsia="ja-JP"/>
              </w:rPr>
            </w:pPr>
            <w:r w:rsidRPr="000706AF">
              <w:rPr>
                <w:rFonts w:ascii="Calibri" w:hAnsi="Calibri"/>
                <w:bCs/>
                <w:lang w:eastAsia="ja-JP"/>
              </w:rPr>
              <w:t>Reabilitarea și modernizarea imobilului Grădinița nr. 280</w:t>
            </w:r>
          </w:p>
        </w:tc>
        <w:tc>
          <w:tcPr>
            <w:tcW w:w="640" w:type="pct"/>
            <w:shd w:val="clear" w:color="auto" w:fill="F2F2F2"/>
            <w:hideMark/>
          </w:tcPr>
          <w:p w14:paraId="6C189076"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56AF016"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72894126" w14:textId="77777777" w:rsidR="00395D01" w:rsidRPr="00912996" w:rsidRDefault="00395D01" w:rsidP="00292396">
            <w:pPr>
              <w:rPr>
                <w:rFonts w:ascii="Calibri" w:hAnsi="Calibri"/>
                <w:bCs/>
                <w:lang w:eastAsia="ja-JP"/>
              </w:rPr>
            </w:pPr>
            <w:r w:rsidRPr="000706AF">
              <w:rPr>
                <w:rFonts w:ascii="Calibri" w:hAnsi="Calibri"/>
                <w:bCs/>
                <w:lang w:eastAsia="ja-JP"/>
              </w:rPr>
              <w:t>11,131,130</w:t>
            </w:r>
          </w:p>
        </w:tc>
        <w:tc>
          <w:tcPr>
            <w:tcW w:w="411" w:type="pct"/>
            <w:shd w:val="clear" w:color="auto" w:fill="F2F2F2"/>
            <w:hideMark/>
          </w:tcPr>
          <w:p w14:paraId="169541BF" w14:textId="77777777" w:rsidR="00395D01" w:rsidRPr="00912996" w:rsidRDefault="00395D01" w:rsidP="00292396">
            <w:pPr>
              <w:rPr>
                <w:rFonts w:ascii="Calibri" w:hAnsi="Calibri"/>
                <w:bCs/>
                <w:lang w:eastAsia="ja-JP"/>
              </w:rPr>
            </w:pPr>
            <w:r w:rsidRPr="000706AF">
              <w:rPr>
                <w:rFonts w:ascii="Calibri" w:hAnsi="Calibri"/>
                <w:bCs/>
                <w:lang w:eastAsia="ja-JP"/>
              </w:rPr>
              <w:t>2,271,659</w:t>
            </w:r>
          </w:p>
        </w:tc>
        <w:tc>
          <w:tcPr>
            <w:tcW w:w="347" w:type="pct"/>
            <w:shd w:val="clear" w:color="auto" w:fill="F2F2F2"/>
            <w:hideMark/>
          </w:tcPr>
          <w:p w14:paraId="7708087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A38988B" w14:textId="77777777" w:rsidR="00395D01" w:rsidRPr="00912996" w:rsidRDefault="00395D01" w:rsidP="00292396">
            <w:pPr>
              <w:rPr>
                <w:rFonts w:ascii="Calibri" w:hAnsi="Calibri"/>
                <w:bCs/>
                <w:lang w:eastAsia="ja-JP"/>
              </w:rPr>
            </w:pPr>
            <w:r w:rsidRPr="000706AF">
              <w:rPr>
                <w:rFonts w:ascii="Calibri" w:hAnsi="Calibri"/>
                <w:bCs/>
                <w:lang w:eastAsia="ja-JP"/>
              </w:rPr>
              <w:t>POR , Bugetul local</w:t>
            </w:r>
          </w:p>
        </w:tc>
        <w:tc>
          <w:tcPr>
            <w:tcW w:w="433" w:type="pct"/>
            <w:shd w:val="clear" w:color="auto" w:fill="F2F2F2"/>
            <w:hideMark/>
          </w:tcPr>
          <w:p w14:paraId="3840B6A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5AD152B"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E214776" w14:textId="77777777" w:rsidTr="0075720E">
        <w:trPr>
          <w:trHeight w:val="786"/>
        </w:trPr>
        <w:tc>
          <w:tcPr>
            <w:tcW w:w="205" w:type="pct"/>
            <w:shd w:val="clear" w:color="auto" w:fill="F2F2F2"/>
            <w:noWrap/>
            <w:hideMark/>
          </w:tcPr>
          <w:p w14:paraId="52AFAA52" w14:textId="77777777" w:rsidR="00395D01" w:rsidRPr="00912996" w:rsidRDefault="00395D01" w:rsidP="00292396">
            <w:pPr>
              <w:rPr>
                <w:rFonts w:ascii="Calibri" w:hAnsi="Calibri"/>
                <w:bCs/>
                <w:lang w:eastAsia="ja-JP"/>
              </w:rPr>
            </w:pPr>
            <w:r w:rsidRPr="00912996">
              <w:rPr>
                <w:rFonts w:ascii="Calibri" w:hAnsi="Calibri"/>
                <w:bCs/>
                <w:lang w:eastAsia="ja-JP"/>
              </w:rPr>
              <w:t>4</w:t>
            </w:r>
            <w:r>
              <w:rPr>
                <w:rFonts w:ascii="Calibri" w:hAnsi="Calibri"/>
                <w:bCs/>
                <w:lang w:eastAsia="ja-JP"/>
              </w:rPr>
              <w:t>6</w:t>
            </w:r>
          </w:p>
        </w:tc>
        <w:tc>
          <w:tcPr>
            <w:tcW w:w="1018" w:type="pct"/>
            <w:gridSpan w:val="2"/>
            <w:shd w:val="clear" w:color="auto" w:fill="F2F2F2"/>
            <w:hideMark/>
          </w:tcPr>
          <w:p w14:paraId="3825E63A" w14:textId="77777777" w:rsidR="00395D01" w:rsidRPr="00912996" w:rsidRDefault="00395D01" w:rsidP="00292396">
            <w:pPr>
              <w:rPr>
                <w:rFonts w:ascii="Calibri" w:hAnsi="Calibri"/>
                <w:bCs/>
                <w:lang w:eastAsia="ja-JP"/>
              </w:rPr>
            </w:pPr>
            <w:r w:rsidRPr="000706AF">
              <w:rPr>
                <w:rFonts w:ascii="Calibri" w:hAnsi="Calibri"/>
                <w:bCs/>
                <w:lang w:eastAsia="ja-JP"/>
              </w:rPr>
              <w:t>Reabilitarea și modernizarea imobilului Grădinița nr. 7</w:t>
            </w:r>
          </w:p>
        </w:tc>
        <w:tc>
          <w:tcPr>
            <w:tcW w:w="640" w:type="pct"/>
            <w:shd w:val="clear" w:color="auto" w:fill="F2F2F2"/>
            <w:hideMark/>
          </w:tcPr>
          <w:p w14:paraId="20FE222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0700469" w14:textId="77777777" w:rsidR="00395D01" w:rsidRPr="00912996" w:rsidRDefault="00395D01" w:rsidP="00292396">
            <w:pPr>
              <w:rPr>
                <w:rFonts w:ascii="Calibri" w:hAnsi="Calibri"/>
                <w:bCs/>
                <w:lang w:eastAsia="ja-JP"/>
              </w:rPr>
            </w:pPr>
            <w:r w:rsidRPr="000706AF">
              <w:rPr>
                <w:rFonts w:ascii="Calibri" w:hAnsi="Calibri"/>
                <w:bCs/>
                <w:lang w:eastAsia="ja-JP"/>
              </w:rPr>
              <w:t>În implementare</w:t>
            </w:r>
          </w:p>
        </w:tc>
        <w:tc>
          <w:tcPr>
            <w:tcW w:w="473" w:type="pct"/>
            <w:shd w:val="clear" w:color="auto" w:fill="F2F2F2"/>
            <w:hideMark/>
          </w:tcPr>
          <w:p w14:paraId="7466015D" w14:textId="77777777" w:rsidR="00395D01" w:rsidRPr="00912996" w:rsidRDefault="00395D01" w:rsidP="00292396">
            <w:pPr>
              <w:rPr>
                <w:rFonts w:ascii="Calibri" w:hAnsi="Calibri"/>
                <w:bCs/>
                <w:lang w:eastAsia="ja-JP"/>
              </w:rPr>
            </w:pPr>
            <w:r w:rsidRPr="000706AF">
              <w:rPr>
                <w:rFonts w:ascii="Calibri" w:hAnsi="Calibri"/>
                <w:bCs/>
                <w:lang w:eastAsia="ja-JP"/>
              </w:rPr>
              <w:t>9,441,303</w:t>
            </w:r>
          </w:p>
        </w:tc>
        <w:tc>
          <w:tcPr>
            <w:tcW w:w="411" w:type="pct"/>
            <w:shd w:val="clear" w:color="auto" w:fill="F2F2F2"/>
            <w:hideMark/>
          </w:tcPr>
          <w:p w14:paraId="084F4918" w14:textId="77777777" w:rsidR="00395D01" w:rsidRPr="00912996" w:rsidRDefault="00395D01" w:rsidP="00292396">
            <w:pPr>
              <w:rPr>
                <w:rFonts w:ascii="Calibri" w:hAnsi="Calibri"/>
                <w:bCs/>
                <w:lang w:eastAsia="ja-JP"/>
              </w:rPr>
            </w:pPr>
            <w:r w:rsidRPr="000706AF">
              <w:rPr>
                <w:rFonts w:ascii="Calibri" w:hAnsi="Calibri"/>
                <w:bCs/>
                <w:lang w:eastAsia="ja-JP"/>
              </w:rPr>
              <w:t>1,926,797</w:t>
            </w:r>
          </w:p>
        </w:tc>
        <w:tc>
          <w:tcPr>
            <w:tcW w:w="347" w:type="pct"/>
            <w:shd w:val="clear" w:color="auto" w:fill="F2F2F2"/>
            <w:hideMark/>
          </w:tcPr>
          <w:p w14:paraId="64B3DE6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3672613" w14:textId="77777777" w:rsidR="00395D01" w:rsidRPr="00912996" w:rsidRDefault="00395D01" w:rsidP="00292396">
            <w:pPr>
              <w:rPr>
                <w:rFonts w:ascii="Calibri" w:hAnsi="Calibri"/>
                <w:bCs/>
                <w:lang w:eastAsia="ja-JP"/>
              </w:rPr>
            </w:pPr>
            <w:r w:rsidRPr="000706AF">
              <w:rPr>
                <w:rFonts w:ascii="Calibri" w:hAnsi="Calibri"/>
                <w:bCs/>
                <w:lang w:eastAsia="ja-JP"/>
              </w:rPr>
              <w:t>NRR, Bugetul local</w:t>
            </w:r>
          </w:p>
        </w:tc>
        <w:tc>
          <w:tcPr>
            <w:tcW w:w="433" w:type="pct"/>
            <w:shd w:val="clear" w:color="auto" w:fill="F2F2F2"/>
            <w:hideMark/>
          </w:tcPr>
          <w:p w14:paraId="072C83E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1CC854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F118E6A" w14:textId="77777777" w:rsidTr="0075720E">
        <w:trPr>
          <w:trHeight w:val="624"/>
        </w:trPr>
        <w:tc>
          <w:tcPr>
            <w:tcW w:w="205" w:type="pct"/>
            <w:shd w:val="clear" w:color="auto" w:fill="F2F2F2"/>
            <w:noWrap/>
            <w:hideMark/>
          </w:tcPr>
          <w:p w14:paraId="4DBF57D4" w14:textId="77777777" w:rsidR="00395D01" w:rsidRPr="00912996" w:rsidRDefault="00395D01" w:rsidP="00292396">
            <w:pPr>
              <w:rPr>
                <w:rFonts w:ascii="Calibri" w:hAnsi="Calibri"/>
                <w:bCs/>
                <w:lang w:eastAsia="ja-JP"/>
              </w:rPr>
            </w:pPr>
            <w:r w:rsidRPr="00912996">
              <w:rPr>
                <w:rFonts w:ascii="Calibri" w:hAnsi="Calibri"/>
                <w:bCs/>
                <w:lang w:eastAsia="ja-JP"/>
              </w:rPr>
              <w:t>4</w:t>
            </w:r>
            <w:r>
              <w:rPr>
                <w:rFonts w:ascii="Calibri" w:hAnsi="Calibri"/>
                <w:bCs/>
                <w:lang w:eastAsia="ja-JP"/>
              </w:rPr>
              <w:t>7</w:t>
            </w:r>
          </w:p>
        </w:tc>
        <w:tc>
          <w:tcPr>
            <w:tcW w:w="1018" w:type="pct"/>
            <w:gridSpan w:val="2"/>
            <w:shd w:val="clear" w:color="auto" w:fill="F2F2F2"/>
            <w:hideMark/>
          </w:tcPr>
          <w:p w14:paraId="40993150" w14:textId="77777777" w:rsidR="00395D01" w:rsidRPr="00912996" w:rsidRDefault="00395D01" w:rsidP="00292396">
            <w:pPr>
              <w:rPr>
                <w:rFonts w:ascii="Calibri" w:hAnsi="Calibri"/>
                <w:bCs/>
                <w:lang w:eastAsia="ja-JP"/>
              </w:rPr>
            </w:pPr>
            <w:r w:rsidRPr="00C464F5">
              <w:rPr>
                <w:rFonts w:ascii="Calibri" w:hAnsi="Calibri"/>
                <w:bCs/>
                <w:lang w:eastAsia="ja-JP"/>
              </w:rPr>
              <w:t>Reabilitare</w:t>
            </w:r>
            <w:r>
              <w:rPr>
                <w:rFonts w:ascii="Calibri" w:hAnsi="Calibri"/>
                <w:bCs/>
                <w:lang w:eastAsia="ja-JP"/>
              </w:rPr>
              <w:t>a</w:t>
            </w:r>
            <w:r w:rsidRPr="00C464F5">
              <w:rPr>
                <w:rFonts w:ascii="Calibri" w:hAnsi="Calibri"/>
                <w:bCs/>
                <w:lang w:eastAsia="ja-JP"/>
              </w:rPr>
              <w:t xml:space="preserve"> și modernizare</w:t>
            </w:r>
            <w:r>
              <w:rPr>
                <w:rFonts w:ascii="Calibri" w:hAnsi="Calibri"/>
                <w:bCs/>
                <w:lang w:eastAsia="ja-JP"/>
              </w:rPr>
              <w:t>a</w:t>
            </w:r>
            <w:r w:rsidRPr="00C464F5">
              <w:rPr>
                <w:rFonts w:ascii="Calibri" w:hAnsi="Calibri"/>
                <w:bCs/>
                <w:lang w:eastAsia="ja-JP"/>
              </w:rPr>
              <w:t xml:space="preserve"> imobilului Grădinița Steluţa</w:t>
            </w:r>
          </w:p>
        </w:tc>
        <w:tc>
          <w:tcPr>
            <w:tcW w:w="640" w:type="pct"/>
            <w:shd w:val="clear" w:color="auto" w:fill="F2F2F2"/>
            <w:hideMark/>
          </w:tcPr>
          <w:p w14:paraId="5005A6F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3E3814B" w14:textId="77777777" w:rsidR="00395D01" w:rsidRPr="00912996" w:rsidRDefault="00395D01" w:rsidP="00292396">
            <w:pPr>
              <w:rPr>
                <w:rFonts w:ascii="Calibri" w:hAnsi="Calibri"/>
                <w:bCs/>
                <w:lang w:eastAsia="ja-JP"/>
              </w:rPr>
            </w:pPr>
            <w:r w:rsidRPr="00C464F5">
              <w:rPr>
                <w:rFonts w:ascii="Calibri" w:hAnsi="Calibri"/>
                <w:bCs/>
                <w:lang w:eastAsia="ja-JP"/>
              </w:rPr>
              <w:t>În implementare</w:t>
            </w:r>
          </w:p>
        </w:tc>
        <w:tc>
          <w:tcPr>
            <w:tcW w:w="473" w:type="pct"/>
            <w:shd w:val="clear" w:color="auto" w:fill="F2F2F2"/>
            <w:hideMark/>
          </w:tcPr>
          <w:p w14:paraId="49E3BDC3" w14:textId="77777777" w:rsidR="00395D01" w:rsidRPr="00912996" w:rsidRDefault="00395D01" w:rsidP="00292396">
            <w:pPr>
              <w:rPr>
                <w:rFonts w:ascii="Calibri" w:hAnsi="Calibri"/>
                <w:bCs/>
                <w:lang w:eastAsia="ja-JP"/>
              </w:rPr>
            </w:pPr>
            <w:r w:rsidRPr="00C464F5">
              <w:rPr>
                <w:rFonts w:ascii="Calibri" w:hAnsi="Calibri"/>
                <w:bCs/>
                <w:lang w:eastAsia="ja-JP"/>
              </w:rPr>
              <w:t>8,213,495</w:t>
            </w:r>
          </w:p>
        </w:tc>
        <w:tc>
          <w:tcPr>
            <w:tcW w:w="411" w:type="pct"/>
            <w:shd w:val="clear" w:color="auto" w:fill="F2F2F2"/>
            <w:hideMark/>
          </w:tcPr>
          <w:p w14:paraId="40F3BF6D" w14:textId="77777777" w:rsidR="00395D01" w:rsidRPr="00912996" w:rsidRDefault="00395D01" w:rsidP="00292396">
            <w:pPr>
              <w:rPr>
                <w:rFonts w:ascii="Calibri" w:hAnsi="Calibri"/>
                <w:bCs/>
                <w:lang w:eastAsia="ja-JP"/>
              </w:rPr>
            </w:pPr>
            <w:r w:rsidRPr="00C464F5">
              <w:rPr>
                <w:rFonts w:ascii="Calibri" w:hAnsi="Calibri"/>
                <w:bCs/>
                <w:lang w:eastAsia="ja-JP"/>
              </w:rPr>
              <w:t>1,676,224</w:t>
            </w:r>
          </w:p>
        </w:tc>
        <w:tc>
          <w:tcPr>
            <w:tcW w:w="347" w:type="pct"/>
            <w:shd w:val="clear" w:color="auto" w:fill="F2F2F2"/>
            <w:hideMark/>
          </w:tcPr>
          <w:p w14:paraId="62038D6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D550D06" w14:textId="77777777" w:rsidR="00395D01" w:rsidRPr="00912996" w:rsidRDefault="00395D01" w:rsidP="00292396">
            <w:pPr>
              <w:rPr>
                <w:rFonts w:ascii="Calibri" w:hAnsi="Calibri"/>
                <w:bCs/>
                <w:lang w:eastAsia="ja-JP"/>
              </w:rPr>
            </w:pPr>
            <w:r w:rsidRPr="00C464F5">
              <w:rPr>
                <w:rFonts w:ascii="Calibri" w:hAnsi="Calibri"/>
                <w:bCs/>
                <w:lang w:eastAsia="ja-JP"/>
              </w:rPr>
              <w:t>POR , Bugetul local</w:t>
            </w:r>
          </w:p>
        </w:tc>
        <w:tc>
          <w:tcPr>
            <w:tcW w:w="433" w:type="pct"/>
            <w:shd w:val="clear" w:color="auto" w:fill="F2F2F2"/>
            <w:hideMark/>
          </w:tcPr>
          <w:p w14:paraId="02E1802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FFD9A3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E97F1EF" w14:textId="77777777" w:rsidTr="00E16711">
        <w:trPr>
          <w:trHeight w:val="1320"/>
        </w:trPr>
        <w:tc>
          <w:tcPr>
            <w:tcW w:w="205" w:type="pct"/>
            <w:shd w:val="clear" w:color="auto" w:fill="F2F2F2"/>
            <w:noWrap/>
            <w:hideMark/>
          </w:tcPr>
          <w:p w14:paraId="3F915AF7" w14:textId="77777777" w:rsidR="00395D01" w:rsidRPr="00912996" w:rsidRDefault="00395D01" w:rsidP="00292396">
            <w:pPr>
              <w:rPr>
                <w:rFonts w:ascii="Calibri" w:hAnsi="Calibri"/>
                <w:bCs/>
                <w:lang w:eastAsia="ja-JP"/>
              </w:rPr>
            </w:pPr>
            <w:r>
              <w:rPr>
                <w:rFonts w:ascii="Calibri" w:hAnsi="Calibri"/>
                <w:bCs/>
                <w:lang w:eastAsia="ja-JP"/>
              </w:rPr>
              <w:t>48</w:t>
            </w:r>
          </w:p>
        </w:tc>
        <w:tc>
          <w:tcPr>
            <w:tcW w:w="1018" w:type="pct"/>
            <w:gridSpan w:val="2"/>
            <w:shd w:val="clear" w:color="auto" w:fill="F2F2F2"/>
            <w:hideMark/>
          </w:tcPr>
          <w:p w14:paraId="465B8322" w14:textId="77777777" w:rsidR="00395D01" w:rsidRPr="00912996" w:rsidRDefault="00395D01" w:rsidP="00292396">
            <w:pPr>
              <w:rPr>
                <w:rFonts w:ascii="Calibri" w:hAnsi="Calibri"/>
                <w:bCs/>
                <w:lang w:eastAsia="ja-JP"/>
              </w:rPr>
            </w:pPr>
            <w:r w:rsidRPr="00912996">
              <w:rPr>
                <w:rFonts w:ascii="Calibri" w:hAnsi="Calibri"/>
                <w:bCs/>
                <w:lang w:eastAsia="ja-JP"/>
              </w:rPr>
              <w:t>Amenajare teren sintetic cu porți fotbal - Liceul Tehnologic ”Sf. Pantelimon”</w:t>
            </w:r>
          </w:p>
        </w:tc>
        <w:tc>
          <w:tcPr>
            <w:tcW w:w="640" w:type="pct"/>
            <w:shd w:val="clear" w:color="auto" w:fill="F2F2F2"/>
            <w:hideMark/>
          </w:tcPr>
          <w:p w14:paraId="3FC27B2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2FC66A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7FB17CB" w14:textId="77777777" w:rsidR="00395D01" w:rsidRPr="00912996" w:rsidRDefault="00395D01" w:rsidP="00292396">
            <w:pPr>
              <w:rPr>
                <w:rFonts w:ascii="Calibri" w:hAnsi="Calibri"/>
                <w:bCs/>
                <w:lang w:eastAsia="ja-JP"/>
              </w:rPr>
            </w:pPr>
            <w:r w:rsidRPr="00912996">
              <w:rPr>
                <w:rFonts w:ascii="Calibri" w:hAnsi="Calibri"/>
                <w:bCs/>
                <w:lang w:eastAsia="ja-JP"/>
              </w:rPr>
              <w:t>186,200</w:t>
            </w:r>
          </w:p>
        </w:tc>
        <w:tc>
          <w:tcPr>
            <w:tcW w:w="411" w:type="pct"/>
            <w:shd w:val="clear" w:color="auto" w:fill="F2F2F2"/>
            <w:hideMark/>
          </w:tcPr>
          <w:p w14:paraId="06CC9BA5" w14:textId="77777777" w:rsidR="00395D01" w:rsidRPr="00912996" w:rsidRDefault="00395D01" w:rsidP="00292396">
            <w:pPr>
              <w:rPr>
                <w:rFonts w:ascii="Calibri" w:hAnsi="Calibri"/>
                <w:bCs/>
                <w:lang w:eastAsia="ja-JP"/>
              </w:rPr>
            </w:pPr>
            <w:r w:rsidRPr="00912996">
              <w:rPr>
                <w:rFonts w:ascii="Calibri" w:hAnsi="Calibri"/>
                <w:bCs/>
                <w:lang w:eastAsia="ja-JP"/>
              </w:rPr>
              <w:t>38,000</w:t>
            </w:r>
          </w:p>
        </w:tc>
        <w:tc>
          <w:tcPr>
            <w:tcW w:w="347" w:type="pct"/>
            <w:shd w:val="clear" w:color="auto" w:fill="F2F2F2"/>
            <w:hideMark/>
          </w:tcPr>
          <w:p w14:paraId="727BB4B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ED013DE"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5F96E13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A4B1CA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79FA9C4" w14:textId="77777777" w:rsidTr="00E16711">
        <w:trPr>
          <w:trHeight w:val="792"/>
        </w:trPr>
        <w:tc>
          <w:tcPr>
            <w:tcW w:w="205" w:type="pct"/>
            <w:shd w:val="clear" w:color="auto" w:fill="F2F2F2"/>
            <w:noWrap/>
            <w:hideMark/>
          </w:tcPr>
          <w:p w14:paraId="56295CE7" w14:textId="77777777" w:rsidR="00395D01" w:rsidRPr="00912996" w:rsidRDefault="00395D01" w:rsidP="00292396">
            <w:pPr>
              <w:rPr>
                <w:rFonts w:ascii="Calibri" w:hAnsi="Calibri"/>
                <w:bCs/>
                <w:lang w:eastAsia="ja-JP"/>
              </w:rPr>
            </w:pPr>
            <w:r>
              <w:rPr>
                <w:rFonts w:ascii="Calibri" w:hAnsi="Calibri"/>
                <w:bCs/>
                <w:lang w:eastAsia="ja-JP"/>
              </w:rPr>
              <w:t>49</w:t>
            </w:r>
          </w:p>
        </w:tc>
        <w:tc>
          <w:tcPr>
            <w:tcW w:w="1018" w:type="pct"/>
            <w:gridSpan w:val="2"/>
            <w:shd w:val="clear" w:color="auto" w:fill="F2F2F2"/>
            <w:hideMark/>
          </w:tcPr>
          <w:p w14:paraId="0BDDE629"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modernizare - corpuri clădiri Colegiul Național ”Școala Centrală”</w:t>
            </w:r>
          </w:p>
        </w:tc>
        <w:tc>
          <w:tcPr>
            <w:tcW w:w="640" w:type="pct"/>
            <w:shd w:val="clear" w:color="auto" w:fill="F2F2F2"/>
            <w:hideMark/>
          </w:tcPr>
          <w:p w14:paraId="5AD35702"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8BDD6B1"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25E244E1" w14:textId="77777777" w:rsidR="00395D01" w:rsidRPr="00912996" w:rsidRDefault="00395D01" w:rsidP="00292396">
            <w:pPr>
              <w:rPr>
                <w:rFonts w:ascii="Calibri" w:hAnsi="Calibri"/>
                <w:bCs/>
                <w:lang w:eastAsia="ja-JP"/>
              </w:rPr>
            </w:pPr>
            <w:r w:rsidRPr="00912996">
              <w:rPr>
                <w:rFonts w:ascii="Calibri" w:hAnsi="Calibri"/>
                <w:bCs/>
                <w:lang w:eastAsia="ja-JP"/>
              </w:rPr>
              <w:t>58,800,000</w:t>
            </w:r>
          </w:p>
        </w:tc>
        <w:tc>
          <w:tcPr>
            <w:tcW w:w="411" w:type="pct"/>
            <w:shd w:val="clear" w:color="auto" w:fill="F2F2F2"/>
            <w:hideMark/>
          </w:tcPr>
          <w:p w14:paraId="747939E3" w14:textId="77777777" w:rsidR="00395D01" w:rsidRPr="00912996" w:rsidRDefault="00395D01" w:rsidP="00292396">
            <w:pPr>
              <w:rPr>
                <w:rFonts w:ascii="Calibri" w:hAnsi="Calibri"/>
                <w:bCs/>
                <w:lang w:eastAsia="ja-JP"/>
              </w:rPr>
            </w:pPr>
            <w:r w:rsidRPr="00912996">
              <w:rPr>
                <w:rFonts w:ascii="Calibri" w:hAnsi="Calibri"/>
                <w:bCs/>
                <w:lang w:eastAsia="ja-JP"/>
              </w:rPr>
              <w:t>12,000,000</w:t>
            </w:r>
          </w:p>
        </w:tc>
        <w:tc>
          <w:tcPr>
            <w:tcW w:w="347" w:type="pct"/>
            <w:shd w:val="clear" w:color="auto" w:fill="F2F2F2"/>
            <w:hideMark/>
          </w:tcPr>
          <w:p w14:paraId="69AEA49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BEDEB48"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2168179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15E3EE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8A4B4A3" w14:textId="77777777" w:rsidTr="00E16711">
        <w:trPr>
          <w:trHeight w:val="792"/>
        </w:trPr>
        <w:tc>
          <w:tcPr>
            <w:tcW w:w="205" w:type="pct"/>
            <w:shd w:val="clear" w:color="auto" w:fill="F2F2F2"/>
            <w:noWrap/>
            <w:hideMark/>
          </w:tcPr>
          <w:p w14:paraId="13407E20" w14:textId="77777777" w:rsidR="00395D01" w:rsidRPr="00912996" w:rsidRDefault="00395D01" w:rsidP="00292396">
            <w:pPr>
              <w:rPr>
                <w:rFonts w:ascii="Calibri" w:hAnsi="Calibri"/>
                <w:bCs/>
                <w:lang w:eastAsia="ja-JP"/>
              </w:rPr>
            </w:pPr>
            <w:r w:rsidRPr="00912996">
              <w:rPr>
                <w:rFonts w:ascii="Calibri" w:hAnsi="Calibri"/>
                <w:bCs/>
                <w:lang w:eastAsia="ja-JP"/>
              </w:rPr>
              <w:t>5</w:t>
            </w:r>
            <w:r>
              <w:rPr>
                <w:rFonts w:ascii="Calibri" w:hAnsi="Calibri"/>
                <w:bCs/>
                <w:lang w:eastAsia="ja-JP"/>
              </w:rPr>
              <w:t>0</w:t>
            </w:r>
          </w:p>
        </w:tc>
        <w:tc>
          <w:tcPr>
            <w:tcW w:w="1018" w:type="pct"/>
            <w:gridSpan w:val="2"/>
            <w:shd w:val="clear" w:color="auto" w:fill="F2F2F2"/>
            <w:hideMark/>
          </w:tcPr>
          <w:p w14:paraId="2C3354C3"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modernizare - sală sport  - Școala Gimnazială nr.49</w:t>
            </w:r>
          </w:p>
        </w:tc>
        <w:tc>
          <w:tcPr>
            <w:tcW w:w="640" w:type="pct"/>
            <w:shd w:val="clear" w:color="auto" w:fill="F2F2F2"/>
            <w:hideMark/>
          </w:tcPr>
          <w:p w14:paraId="48478D16"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BFC736F"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1EE55F7D" w14:textId="77777777" w:rsidR="00395D01" w:rsidRPr="00912996" w:rsidRDefault="00395D01" w:rsidP="00292396">
            <w:pPr>
              <w:rPr>
                <w:rFonts w:ascii="Calibri" w:hAnsi="Calibri"/>
                <w:bCs/>
                <w:lang w:eastAsia="ja-JP"/>
              </w:rPr>
            </w:pPr>
            <w:r w:rsidRPr="00912996">
              <w:rPr>
                <w:rFonts w:ascii="Calibri" w:hAnsi="Calibri"/>
                <w:bCs/>
                <w:lang w:eastAsia="ja-JP"/>
              </w:rPr>
              <w:t>2,793,000</w:t>
            </w:r>
          </w:p>
        </w:tc>
        <w:tc>
          <w:tcPr>
            <w:tcW w:w="411" w:type="pct"/>
            <w:shd w:val="clear" w:color="auto" w:fill="F2F2F2"/>
            <w:hideMark/>
          </w:tcPr>
          <w:p w14:paraId="608D031E" w14:textId="77777777" w:rsidR="00395D01" w:rsidRPr="00912996" w:rsidRDefault="00395D01" w:rsidP="00292396">
            <w:pPr>
              <w:rPr>
                <w:rFonts w:ascii="Calibri" w:hAnsi="Calibri"/>
                <w:bCs/>
                <w:lang w:eastAsia="ja-JP"/>
              </w:rPr>
            </w:pPr>
            <w:r w:rsidRPr="00912996">
              <w:rPr>
                <w:rFonts w:ascii="Calibri" w:hAnsi="Calibri"/>
                <w:bCs/>
                <w:lang w:eastAsia="ja-JP"/>
              </w:rPr>
              <w:t>570,000</w:t>
            </w:r>
          </w:p>
        </w:tc>
        <w:tc>
          <w:tcPr>
            <w:tcW w:w="347" w:type="pct"/>
            <w:shd w:val="clear" w:color="auto" w:fill="F2F2F2"/>
            <w:hideMark/>
          </w:tcPr>
          <w:p w14:paraId="1CBD856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DB331F5"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4E905BA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3199CE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9C03EE8" w14:textId="77777777" w:rsidTr="0075720E">
        <w:trPr>
          <w:trHeight w:val="984"/>
        </w:trPr>
        <w:tc>
          <w:tcPr>
            <w:tcW w:w="205" w:type="pct"/>
            <w:shd w:val="clear" w:color="auto" w:fill="F2F2F2"/>
            <w:noWrap/>
            <w:hideMark/>
          </w:tcPr>
          <w:p w14:paraId="41B2BAF0" w14:textId="77777777" w:rsidR="00395D01" w:rsidRPr="00912996" w:rsidRDefault="00395D01" w:rsidP="00292396">
            <w:pPr>
              <w:rPr>
                <w:rFonts w:ascii="Calibri" w:hAnsi="Calibri"/>
                <w:bCs/>
                <w:lang w:eastAsia="ja-JP"/>
              </w:rPr>
            </w:pPr>
            <w:r w:rsidRPr="00912996">
              <w:rPr>
                <w:rFonts w:ascii="Calibri" w:hAnsi="Calibri"/>
                <w:bCs/>
                <w:lang w:eastAsia="ja-JP"/>
              </w:rPr>
              <w:t>5</w:t>
            </w:r>
            <w:r>
              <w:rPr>
                <w:rFonts w:ascii="Calibri" w:hAnsi="Calibri"/>
                <w:bCs/>
                <w:lang w:eastAsia="ja-JP"/>
              </w:rPr>
              <w:t>1</w:t>
            </w:r>
          </w:p>
        </w:tc>
        <w:tc>
          <w:tcPr>
            <w:tcW w:w="1018" w:type="pct"/>
            <w:gridSpan w:val="2"/>
            <w:shd w:val="clear" w:color="auto" w:fill="F2F2F2"/>
            <w:hideMark/>
          </w:tcPr>
          <w:p w14:paraId="00BA6E58" w14:textId="77777777" w:rsidR="00395D01" w:rsidRPr="00912996" w:rsidRDefault="00395D01" w:rsidP="00292396">
            <w:pPr>
              <w:rPr>
                <w:rFonts w:ascii="Calibri" w:hAnsi="Calibri"/>
                <w:bCs/>
                <w:lang w:eastAsia="ja-JP"/>
              </w:rPr>
            </w:pPr>
            <w:r w:rsidRPr="004742F3">
              <w:rPr>
                <w:rFonts w:ascii="Calibri" w:hAnsi="Calibri"/>
                <w:bCs/>
                <w:lang w:eastAsia="ja-JP"/>
              </w:rPr>
              <w:t>Consolidare, reabilitare si modernizare  Școala Gimnazială nr. 71</w:t>
            </w:r>
          </w:p>
        </w:tc>
        <w:tc>
          <w:tcPr>
            <w:tcW w:w="640" w:type="pct"/>
            <w:shd w:val="clear" w:color="auto" w:fill="F2F2F2"/>
            <w:hideMark/>
          </w:tcPr>
          <w:p w14:paraId="0B27E1B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409EDDD" w14:textId="77777777" w:rsidR="00395D01" w:rsidRPr="00912996" w:rsidRDefault="00395D01" w:rsidP="00292396">
            <w:pPr>
              <w:rPr>
                <w:rFonts w:ascii="Calibri" w:hAnsi="Calibri"/>
                <w:bCs/>
                <w:lang w:eastAsia="ja-JP"/>
              </w:rPr>
            </w:pPr>
            <w:r w:rsidRPr="004742F3">
              <w:rPr>
                <w:rFonts w:ascii="Calibri" w:hAnsi="Calibri"/>
                <w:bCs/>
                <w:lang w:eastAsia="ja-JP"/>
              </w:rPr>
              <w:t>În implementare</w:t>
            </w:r>
          </w:p>
        </w:tc>
        <w:tc>
          <w:tcPr>
            <w:tcW w:w="473" w:type="pct"/>
            <w:shd w:val="clear" w:color="auto" w:fill="F2F2F2"/>
            <w:hideMark/>
          </w:tcPr>
          <w:p w14:paraId="5BF6FCDB" w14:textId="77777777" w:rsidR="00395D01" w:rsidRPr="00912996" w:rsidRDefault="00395D01" w:rsidP="00292396">
            <w:pPr>
              <w:rPr>
                <w:rFonts w:ascii="Calibri" w:hAnsi="Calibri"/>
                <w:bCs/>
                <w:lang w:eastAsia="ja-JP"/>
              </w:rPr>
            </w:pPr>
            <w:r w:rsidRPr="004742F3">
              <w:rPr>
                <w:rFonts w:ascii="Calibri" w:hAnsi="Calibri"/>
                <w:bCs/>
                <w:lang w:eastAsia="ja-JP"/>
              </w:rPr>
              <w:t>11,952,422</w:t>
            </w:r>
          </w:p>
        </w:tc>
        <w:tc>
          <w:tcPr>
            <w:tcW w:w="411" w:type="pct"/>
            <w:shd w:val="clear" w:color="auto" w:fill="F2F2F2"/>
            <w:hideMark/>
          </w:tcPr>
          <w:p w14:paraId="2D4F3D48" w14:textId="77777777" w:rsidR="00395D01" w:rsidRPr="00912996" w:rsidRDefault="00395D01" w:rsidP="00292396">
            <w:pPr>
              <w:rPr>
                <w:rFonts w:ascii="Calibri" w:hAnsi="Calibri"/>
                <w:bCs/>
                <w:lang w:eastAsia="ja-JP"/>
              </w:rPr>
            </w:pPr>
            <w:r w:rsidRPr="004742F3">
              <w:rPr>
                <w:rFonts w:ascii="Calibri" w:hAnsi="Calibri"/>
                <w:bCs/>
                <w:lang w:eastAsia="ja-JP"/>
              </w:rPr>
              <w:t>2,439,270</w:t>
            </w:r>
          </w:p>
        </w:tc>
        <w:tc>
          <w:tcPr>
            <w:tcW w:w="347" w:type="pct"/>
            <w:shd w:val="clear" w:color="auto" w:fill="F2F2F2"/>
            <w:hideMark/>
          </w:tcPr>
          <w:p w14:paraId="53EEBB89"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89D6272" w14:textId="77777777" w:rsidR="00395D01" w:rsidRPr="00912996" w:rsidRDefault="00395D01" w:rsidP="00292396">
            <w:pPr>
              <w:rPr>
                <w:rFonts w:ascii="Calibri" w:hAnsi="Calibri"/>
                <w:bCs/>
                <w:lang w:eastAsia="ja-JP"/>
              </w:rPr>
            </w:pPr>
            <w:r w:rsidRPr="004742F3">
              <w:rPr>
                <w:rFonts w:ascii="Calibri" w:hAnsi="Calibri"/>
                <w:bCs/>
                <w:lang w:eastAsia="ja-JP"/>
              </w:rPr>
              <w:t>Bugetul local</w:t>
            </w:r>
          </w:p>
        </w:tc>
        <w:tc>
          <w:tcPr>
            <w:tcW w:w="433" w:type="pct"/>
            <w:shd w:val="clear" w:color="auto" w:fill="F2F2F2"/>
            <w:hideMark/>
          </w:tcPr>
          <w:p w14:paraId="18D6639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3B6755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F3BC819" w14:textId="77777777" w:rsidTr="0075720E">
        <w:trPr>
          <w:trHeight w:val="624"/>
        </w:trPr>
        <w:tc>
          <w:tcPr>
            <w:tcW w:w="205" w:type="pct"/>
            <w:shd w:val="clear" w:color="auto" w:fill="F2F2F2"/>
            <w:noWrap/>
            <w:hideMark/>
          </w:tcPr>
          <w:p w14:paraId="1F3A1C08" w14:textId="77777777" w:rsidR="00395D01" w:rsidRPr="00912996" w:rsidRDefault="00395D01" w:rsidP="00292396">
            <w:pPr>
              <w:rPr>
                <w:rFonts w:ascii="Calibri" w:hAnsi="Calibri"/>
                <w:bCs/>
                <w:lang w:eastAsia="ja-JP"/>
              </w:rPr>
            </w:pPr>
            <w:r w:rsidRPr="00912996">
              <w:rPr>
                <w:rFonts w:ascii="Calibri" w:hAnsi="Calibri"/>
                <w:bCs/>
                <w:lang w:eastAsia="ja-JP"/>
              </w:rPr>
              <w:t>5</w:t>
            </w:r>
            <w:r>
              <w:rPr>
                <w:rFonts w:ascii="Calibri" w:hAnsi="Calibri"/>
                <w:bCs/>
                <w:lang w:eastAsia="ja-JP"/>
              </w:rPr>
              <w:t>2</w:t>
            </w:r>
          </w:p>
        </w:tc>
        <w:tc>
          <w:tcPr>
            <w:tcW w:w="1018" w:type="pct"/>
            <w:gridSpan w:val="2"/>
            <w:shd w:val="clear" w:color="auto" w:fill="F2F2F2"/>
            <w:hideMark/>
          </w:tcPr>
          <w:p w14:paraId="135218E7" w14:textId="77777777" w:rsidR="00395D01" w:rsidRPr="00912996" w:rsidRDefault="00395D01" w:rsidP="00292396">
            <w:pPr>
              <w:rPr>
                <w:rFonts w:ascii="Calibri" w:hAnsi="Calibri"/>
                <w:bCs/>
                <w:lang w:eastAsia="ja-JP"/>
              </w:rPr>
            </w:pPr>
            <w:r w:rsidRPr="004742F3">
              <w:rPr>
                <w:rFonts w:ascii="Calibri" w:hAnsi="Calibri"/>
                <w:bCs/>
                <w:lang w:eastAsia="ja-JP"/>
              </w:rPr>
              <w:t>Reabilitare si modernizare corp B Școala Gimnazială nr. 39</w:t>
            </w:r>
          </w:p>
        </w:tc>
        <w:tc>
          <w:tcPr>
            <w:tcW w:w="640" w:type="pct"/>
            <w:shd w:val="clear" w:color="auto" w:fill="F2F2F2"/>
            <w:hideMark/>
          </w:tcPr>
          <w:p w14:paraId="4F922005"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3E3524F" w14:textId="77777777" w:rsidR="00395D01" w:rsidRPr="00912996" w:rsidRDefault="00395D01" w:rsidP="00292396">
            <w:pPr>
              <w:rPr>
                <w:rFonts w:ascii="Calibri" w:hAnsi="Calibri"/>
                <w:bCs/>
                <w:lang w:eastAsia="ja-JP"/>
              </w:rPr>
            </w:pPr>
            <w:r w:rsidRPr="004742F3">
              <w:rPr>
                <w:rFonts w:ascii="Calibri" w:hAnsi="Calibri"/>
                <w:bCs/>
                <w:lang w:eastAsia="ja-JP"/>
              </w:rPr>
              <w:t>Finalizat</w:t>
            </w:r>
          </w:p>
        </w:tc>
        <w:tc>
          <w:tcPr>
            <w:tcW w:w="473" w:type="pct"/>
            <w:shd w:val="clear" w:color="auto" w:fill="F2F2F2"/>
            <w:hideMark/>
          </w:tcPr>
          <w:p w14:paraId="32D96928" w14:textId="77777777" w:rsidR="00395D01" w:rsidRPr="00912996" w:rsidRDefault="00395D01" w:rsidP="00292396">
            <w:pPr>
              <w:rPr>
                <w:rFonts w:ascii="Calibri" w:hAnsi="Calibri"/>
                <w:bCs/>
                <w:lang w:eastAsia="ja-JP"/>
              </w:rPr>
            </w:pPr>
            <w:r w:rsidRPr="004742F3">
              <w:rPr>
                <w:rFonts w:ascii="Calibri" w:hAnsi="Calibri"/>
                <w:bCs/>
                <w:lang w:eastAsia="ja-JP"/>
              </w:rPr>
              <w:t>3,798,827</w:t>
            </w:r>
          </w:p>
        </w:tc>
        <w:tc>
          <w:tcPr>
            <w:tcW w:w="411" w:type="pct"/>
            <w:shd w:val="clear" w:color="auto" w:fill="F2F2F2"/>
            <w:hideMark/>
          </w:tcPr>
          <w:p w14:paraId="59A3EFCF" w14:textId="77777777" w:rsidR="00395D01" w:rsidRPr="00912996" w:rsidRDefault="00395D01" w:rsidP="00292396">
            <w:pPr>
              <w:rPr>
                <w:rFonts w:ascii="Calibri" w:hAnsi="Calibri"/>
                <w:bCs/>
                <w:lang w:eastAsia="ja-JP"/>
              </w:rPr>
            </w:pPr>
            <w:r w:rsidRPr="004742F3">
              <w:rPr>
                <w:rFonts w:ascii="Calibri" w:hAnsi="Calibri"/>
                <w:bCs/>
                <w:lang w:eastAsia="ja-JP"/>
              </w:rPr>
              <w:t>775,271</w:t>
            </w:r>
          </w:p>
        </w:tc>
        <w:tc>
          <w:tcPr>
            <w:tcW w:w="347" w:type="pct"/>
            <w:shd w:val="clear" w:color="auto" w:fill="F2F2F2"/>
            <w:hideMark/>
          </w:tcPr>
          <w:p w14:paraId="0133AE9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6BDC141" w14:textId="77777777" w:rsidR="00395D01" w:rsidRPr="00912996" w:rsidRDefault="00395D01" w:rsidP="00292396">
            <w:pPr>
              <w:rPr>
                <w:rFonts w:ascii="Calibri" w:hAnsi="Calibri"/>
                <w:bCs/>
                <w:lang w:eastAsia="ja-JP"/>
              </w:rPr>
            </w:pPr>
            <w:r w:rsidRPr="004742F3">
              <w:rPr>
                <w:rFonts w:ascii="Calibri" w:hAnsi="Calibri"/>
                <w:bCs/>
                <w:lang w:eastAsia="ja-JP"/>
              </w:rPr>
              <w:t>Bugetul local</w:t>
            </w:r>
          </w:p>
        </w:tc>
        <w:tc>
          <w:tcPr>
            <w:tcW w:w="433" w:type="pct"/>
            <w:shd w:val="clear" w:color="auto" w:fill="F2F2F2"/>
            <w:hideMark/>
          </w:tcPr>
          <w:p w14:paraId="28ABB1C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DCF27E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66046DE" w14:textId="77777777" w:rsidTr="00E16711">
        <w:trPr>
          <w:trHeight w:val="710"/>
        </w:trPr>
        <w:tc>
          <w:tcPr>
            <w:tcW w:w="205" w:type="pct"/>
            <w:shd w:val="clear" w:color="auto" w:fill="F2F2F2"/>
            <w:noWrap/>
            <w:hideMark/>
          </w:tcPr>
          <w:p w14:paraId="637863D6" w14:textId="77777777" w:rsidR="00395D01" w:rsidRPr="00912996" w:rsidRDefault="00395D01" w:rsidP="00292396">
            <w:pPr>
              <w:rPr>
                <w:rFonts w:ascii="Calibri" w:hAnsi="Calibri"/>
                <w:bCs/>
                <w:lang w:eastAsia="ja-JP"/>
              </w:rPr>
            </w:pPr>
            <w:r w:rsidRPr="00912996">
              <w:rPr>
                <w:rFonts w:ascii="Calibri" w:hAnsi="Calibri"/>
                <w:bCs/>
                <w:lang w:eastAsia="ja-JP"/>
              </w:rPr>
              <w:t>5</w:t>
            </w:r>
            <w:r>
              <w:rPr>
                <w:rFonts w:ascii="Calibri" w:hAnsi="Calibri"/>
                <w:bCs/>
                <w:lang w:eastAsia="ja-JP"/>
              </w:rPr>
              <w:t>3</w:t>
            </w:r>
          </w:p>
        </w:tc>
        <w:tc>
          <w:tcPr>
            <w:tcW w:w="1018" w:type="pct"/>
            <w:gridSpan w:val="2"/>
            <w:shd w:val="clear" w:color="auto" w:fill="F2F2F2"/>
            <w:hideMark/>
          </w:tcPr>
          <w:p w14:paraId="1C9AF338"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modernizare imobil - grădiniță  - Școala Gimnazială nr. 71, consolidare, reabilitare  modernizare imobil Șc</w:t>
            </w:r>
            <w:r>
              <w:rPr>
                <w:rFonts w:ascii="Calibri" w:hAnsi="Calibri"/>
                <w:bCs/>
                <w:lang w:eastAsia="ja-JP"/>
              </w:rPr>
              <w:t>oala</w:t>
            </w:r>
            <w:r w:rsidRPr="00912996">
              <w:rPr>
                <w:rFonts w:ascii="Calibri" w:hAnsi="Calibri"/>
                <w:bCs/>
                <w:lang w:eastAsia="ja-JP"/>
              </w:rPr>
              <w:t xml:space="preserve"> Gimnazială de Arte nr. 2</w:t>
            </w:r>
          </w:p>
        </w:tc>
        <w:tc>
          <w:tcPr>
            <w:tcW w:w="640" w:type="pct"/>
            <w:shd w:val="clear" w:color="auto" w:fill="F2F2F2"/>
            <w:hideMark/>
          </w:tcPr>
          <w:p w14:paraId="7F716316"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BF34897"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7F349D99" w14:textId="77777777" w:rsidR="00395D01" w:rsidRPr="00912996" w:rsidRDefault="00395D01" w:rsidP="00292396">
            <w:pPr>
              <w:rPr>
                <w:rFonts w:ascii="Calibri" w:hAnsi="Calibri"/>
                <w:bCs/>
                <w:lang w:eastAsia="ja-JP"/>
              </w:rPr>
            </w:pPr>
            <w:r w:rsidRPr="00912996">
              <w:rPr>
                <w:rFonts w:ascii="Calibri" w:hAnsi="Calibri"/>
                <w:bCs/>
                <w:lang w:eastAsia="ja-JP"/>
              </w:rPr>
              <w:t>29,498,000</w:t>
            </w:r>
          </w:p>
        </w:tc>
        <w:tc>
          <w:tcPr>
            <w:tcW w:w="411" w:type="pct"/>
            <w:shd w:val="clear" w:color="auto" w:fill="F2F2F2"/>
            <w:hideMark/>
          </w:tcPr>
          <w:p w14:paraId="208EE122" w14:textId="77777777" w:rsidR="00395D01" w:rsidRPr="00912996" w:rsidRDefault="00395D01" w:rsidP="00292396">
            <w:pPr>
              <w:rPr>
                <w:rFonts w:ascii="Calibri" w:hAnsi="Calibri"/>
                <w:bCs/>
                <w:lang w:eastAsia="ja-JP"/>
              </w:rPr>
            </w:pPr>
            <w:r w:rsidRPr="00912996">
              <w:rPr>
                <w:rFonts w:ascii="Calibri" w:hAnsi="Calibri"/>
                <w:bCs/>
                <w:lang w:eastAsia="ja-JP"/>
              </w:rPr>
              <w:t>6,020,000</w:t>
            </w:r>
          </w:p>
        </w:tc>
        <w:tc>
          <w:tcPr>
            <w:tcW w:w="347" w:type="pct"/>
            <w:shd w:val="clear" w:color="auto" w:fill="F2F2F2"/>
            <w:hideMark/>
          </w:tcPr>
          <w:p w14:paraId="245F943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1C5EB09"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20D65EB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AFC269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8FD063B" w14:textId="77777777" w:rsidTr="00E16711">
        <w:trPr>
          <w:trHeight w:val="792"/>
        </w:trPr>
        <w:tc>
          <w:tcPr>
            <w:tcW w:w="205" w:type="pct"/>
            <w:shd w:val="clear" w:color="auto" w:fill="F2F2F2"/>
            <w:noWrap/>
            <w:hideMark/>
          </w:tcPr>
          <w:p w14:paraId="068B835A" w14:textId="77777777" w:rsidR="00395D01" w:rsidRPr="00912996" w:rsidRDefault="00395D01" w:rsidP="00292396">
            <w:pPr>
              <w:rPr>
                <w:rFonts w:ascii="Calibri" w:hAnsi="Calibri"/>
                <w:bCs/>
                <w:lang w:eastAsia="ja-JP"/>
              </w:rPr>
            </w:pPr>
            <w:r w:rsidRPr="00912996">
              <w:rPr>
                <w:rFonts w:ascii="Calibri" w:hAnsi="Calibri"/>
                <w:bCs/>
                <w:lang w:eastAsia="ja-JP"/>
              </w:rPr>
              <w:t>5</w:t>
            </w:r>
            <w:r>
              <w:rPr>
                <w:rFonts w:ascii="Calibri" w:hAnsi="Calibri"/>
                <w:bCs/>
                <w:lang w:eastAsia="ja-JP"/>
              </w:rPr>
              <w:t>4</w:t>
            </w:r>
          </w:p>
        </w:tc>
        <w:tc>
          <w:tcPr>
            <w:tcW w:w="1018" w:type="pct"/>
            <w:gridSpan w:val="2"/>
            <w:shd w:val="clear" w:color="auto" w:fill="F2F2F2"/>
            <w:hideMark/>
          </w:tcPr>
          <w:p w14:paraId="313AB8DC"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modernizare imobil Colegiul Tehnic ''Edmond  Nicolau'''</w:t>
            </w:r>
          </w:p>
        </w:tc>
        <w:tc>
          <w:tcPr>
            <w:tcW w:w="640" w:type="pct"/>
            <w:shd w:val="clear" w:color="auto" w:fill="F2F2F2"/>
            <w:hideMark/>
          </w:tcPr>
          <w:p w14:paraId="34D2AD5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151694F"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7B41A8BA" w14:textId="77777777" w:rsidR="00395D01" w:rsidRPr="00912996" w:rsidRDefault="00395D01" w:rsidP="00292396">
            <w:pPr>
              <w:rPr>
                <w:rFonts w:ascii="Calibri" w:hAnsi="Calibri"/>
                <w:bCs/>
                <w:lang w:eastAsia="ja-JP"/>
              </w:rPr>
            </w:pPr>
            <w:r w:rsidRPr="00912996">
              <w:rPr>
                <w:rFonts w:ascii="Calibri" w:hAnsi="Calibri"/>
                <w:bCs/>
                <w:lang w:eastAsia="ja-JP"/>
              </w:rPr>
              <w:t>41,650,000</w:t>
            </w:r>
          </w:p>
        </w:tc>
        <w:tc>
          <w:tcPr>
            <w:tcW w:w="411" w:type="pct"/>
            <w:shd w:val="clear" w:color="auto" w:fill="F2F2F2"/>
            <w:hideMark/>
          </w:tcPr>
          <w:p w14:paraId="20F2EE25" w14:textId="77777777" w:rsidR="00395D01" w:rsidRPr="00912996" w:rsidRDefault="00395D01" w:rsidP="00292396">
            <w:pPr>
              <w:rPr>
                <w:rFonts w:ascii="Calibri" w:hAnsi="Calibri"/>
                <w:bCs/>
                <w:lang w:eastAsia="ja-JP"/>
              </w:rPr>
            </w:pPr>
            <w:r w:rsidRPr="00912996">
              <w:rPr>
                <w:rFonts w:ascii="Calibri" w:hAnsi="Calibri"/>
                <w:bCs/>
                <w:lang w:eastAsia="ja-JP"/>
              </w:rPr>
              <w:t>8,500,000</w:t>
            </w:r>
          </w:p>
        </w:tc>
        <w:tc>
          <w:tcPr>
            <w:tcW w:w="347" w:type="pct"/>
            <w:shd w:val="clear" w:color="auto" w:fill="F2F2F2"/>
            <w:hideMark/>
          </w:tcPr>
          <w:p w14:paraId="22A6BD9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1C4DE0A"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288713B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10BB3C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794A21D" w14:textId="77777777" w:rsidTr="00E16711">
        <w:trPr>
          <w:trHeight w:val="792"/>
        </w:trPr>
        <w:tc>
          <w:tcPr>
            <w:tcW w:w="205" w:type="pct"/>
            <w:shd w:val="clear" w:color="auto" w:fill="F2F2F2"/>
            <w:noWrap/>
            <w:hideMark/>
          </w:tcPr>
          <w:p w14:paraId="3DE4C19A" w14:textId="77777777" w:rsidR="00395D01" w:rsidRPr="00912996" w:rsidRDefault="00395D01" w:rsidP="00292396">
            <w:pPr>
              <w:rPr>
                <w:rFonts w:ascii="Calibri" w:hAnsi="Calibri"/>
                <w:bCs/>
                <w:lang w:eastAsia="ja-JP"/>
              </w:rPr>
            </w:pPr>
            <w:r w:rsidRPr="00912996">
              <w:rPr>
                <w:rFonts w:ascii="Calibri" w:hAnsi="Calibri"/>
                <w:bCs/>
                <w:lang w:eastAsia="ja-JP"/>
              </w:rPr>
              <w:t>5</w:t>
            </w:r>
            <w:r>
              <w:rPr>
                <w:rFonts w:ascii="Calibri" w:hAnsi="Calibri"/>
                <w:bCs/>
                <w:lang w:eastAsia="ja-JP"/>
              </w:rPr>
              <w:t>5</w:t>
            </w:r>
          </w:p>
        </w:tc>
        <w:tc>
          <w:tcPr>
            <w:tcW w:w="1018" w:type="pct"/>
            <w:gridSpan w:val="2"/>
            <w:shd w:val="clear" w:color="auto" w:fill="F2F2F2"/>
            <w:hideMark/>
          </w:tcPr>
          <w:p w14:paraId="0BE40551"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modernizare imobil Liceul Teoretic Bilingv  „Ita Wegman”</w:t>
            </w:r>
          </w:p>
        </w:tc>
        <w:tc>
          <w:tcPr>
            <w:tcW w:w="640" w:type="pct"/>
            <w:shd w:val="clear" w:color="auto" w:fill="F2F2F2"/>
            <w:hideMark/>
          </w:tcPr>
          <w:p w14:paraId="45ACBC22"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EBA37AD"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18F69ABA" w14:textId="77777777" w:rsidR="00395D01" w:rsidRPr="00912996" w:rsidRDefault="00395D01" w:rsidP="00292396">
            <w:pPr>
              <w:rPr>
                <w:rFonts w:ascii="Calibri" w:hAnsi="Calibri"/>
                <w:bCs/>
                <w:lang w:eastAsia="ja-JP"/>
              </w:rPr>
            </w:pPr>
            <w:r w:rsidRPr="00912996">
              <w:rPr>
                <w:rFonts w:ascii="Calibri" w:hAnsi="Calibri"/>
                <w:bCs/>
                <w:lang w:eastAsia="ja-JP"/>
              </w:rPr>
              <w:t>8,820,000</w:t>
            </w:r>
          </w:p>
        </w:tc>
        <w:tc>
          <w:tcPr>
            <w:tcW w:w="411" w:type="pct"/>
            <w:shd w:val="clear" w:color="auto" w:fill="F2F2F2"/>
            <w:hideMark/>
          </w:tcPr>
          <w:p w14:paraId="479A91DC" w14:textId="77777777" w:rsidR="00395D01" w:rsidRPr="00912996" w:rsidRDefault="00395D01" w:rsidP="00292396">
            <w:pPr>
              <w:rPr>
                <w:rFonts w:ascii="Calibri" w:hAnsi="Calibri"/>
                <w:bCs/>
                <w:lang w:eastAsia="ja-JP"/>
              </w:rPr>
            </w:pPr>
            <w:r w:rsidRPr="00912996">
              <w:rPr>
                <w:rFonts w:ascii="Calibri" w:hAnsi="Calibri"/>
                <w:bCs/>
                <w:lang w:eastAsia="ja-JP"/>
              </w:rPr>
              <w:t>1,800,000</w:t>
            </w:r>
          </w:p>
        </w:tc>
        <w:tc>
          <w:tcPr>
            <w:tcW w:w="347" w:type="pct"/>
            <w:shd w:val="clear" w:color="auto" w:fill="F2F2F2"/>
            <w:hideMark/>
          </w:tcPr>
          <w:p w14:paraId="0FDA78E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B5D9A99"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6100C78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5F29D9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681142F" w14:textId="77777777" w:rsidTr="00E16711">
        <w:trPr>
          <w:trHeight w:val="792"/>
        </w:trPr>
        <w:tc>
          <w:tcPr>
            <w:tcW w:w="205" w:type="pct"/>
            <w:shd w:val="clear" w:color="auto" w:fill="F2F2F2"/>
            <w:noWrap/>
            <w:hideMark/>
          </w:tcPr>
          <w:p w14:paraId="1C1C20E8" w14:textId="77777777" w:rsidR="00395D01" w:rsidRPr="00912996" w:rsidRDefault="00395D01" w:rsidP="00292396">
            <w:pPr>
              <w:rPr>
                <w:rFonts w:ascii="Calibri" w:hAnsi="Calibri"/>
                <w:bCs/>
                <w:lang w:eastAsia="ja-JP"/>
              </w:rPr>
            </w:pPr>
            <w:r w:rsidRPr="00912996">
              <w:rPr>
                <w:rFonts w:ascii="Calibri" w:hAnsi="Calibri"/>
                <w:bCs/>
                <w:lang w:eastAsia="ja-JP"/>
              </w:rPr>
              <w:t>5</w:t>
            </w:r>
            <w:r>
              <w:rPr>
                <w:rFonts w:ascii="Calibri" w:hAnsi="Calibri"/>
                <w:bCs/>
                <w:lang w:eastAsia="ja-JP"/>
              </w:rPr>
              <w:t>6</w:t>
            </w:r>
          </w:p>
        </w:tc>
        <w:tc>
          <w:tcPr>
            <w:tcW w:w="1018" w:type="pct"/>
            <w:gridSpan w:val="2"/>
            <w:shd w:val="clear" w:color="auto" w:fill="F2F2F2"/>
            <w:hideMark/>
          </w:tcPr>
          <w:p w14:paraId="7E272D2F"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modernizare imobil Liceul Teoretic ''Mihail Sadoveanu''</w:t>
            </w:r>
          </w:p>
        </w:tc>
        <w:tc>
          <w:tcPr>
            <w:tcW w:w="640" w:type="pct"/>
            <w:shd w:val="clear" w:color="auto" w:fill="F2F2F2"/>
            <w:hideMark/>
          </w:tcPr>
          <w:p w14:paraId="3FFD5A2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578BAEC"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33A7DC62" w14:textId="77777777" w:rsidR="00395D01" w:rsidRPr="00912996" w:rsidRDefault="00395D01" w:rsidP="00292396">
            <w:pPr>
              <w:rPr>
                <w:rFonts w:ascii="Calibri" w:hAnsi="Calibri"/>
                <w:bCs/>
                <w:lang w:eastAsia="ja-JP"/>
              </w:rPr>
            </w:pPr>
            <w:r w:rsidRPr="00912996">
              <w:rPr>
                <w:rFonts w:ascii="Calibri" w:hAnsi="Calibri"/>
                <w:bCs/>
                <w:lang w:eastAsia="ja-JP"/>
              </w:rPr>
              <w:t>14,632,717</w:t>
            </w:r>
          </w:p>
        </w:tc>
        <w:tc>
          <w:tcPr>
            <w:tcW w:w="411" w:type="pct"/>
            <w:shd w:val="clear" w:color="auto" w:fill="F2F2F2"/>
            <w:hideMark/>
          </w:tcPr>
          <w:p w14:paraId="49BE5DC3" w14:textId="77777777" w:rsidR="00395D01" w:rsidRPr="00912996" w:rsidRDefault="00395D01" w:rsidP="00292396">
            <w:pPr>
              <w:rPr>
                <w:rFonts w:ascii="Calibri" w:hAnsi="Calibri"/>
                <w:bCs/>
                <w:lang w:eastAsia="ja-JP"/>
              </w:rPr>
            </w:pPr>
            <w:r w:rsidRPr="00912996">
              <w:rPr>
                <w:rFonts w:ascii="Calibri" w:hAnsi="Calibri"/>
                <w:bCs/>
                <w:lang w:eastAsia="ja-JP"/>
              </w:rPr>
              <w:t>2,986,269</w:t>
            </w:r>
          </w:p>
        </w:tc>
        <w:tc>
          <w:tcPr>
            <w:tcW w:w="347" w:type="pct"/>
            <w:shd w:val="clear" w:color="auto" w:fill="F2F2F2"/>
            <w:hideMark/>
          </w:tcPr>
          <w:p w14:paraId="271FEA9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E777A26"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1895CEB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628CE5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51A328D" w14:textId="77777777" w:rsidTr="00E16711">
        <w:trPr>
          <w:trHeight w:val="792"/>
        </w:trPr>
        <w:tc>
          <w:tcPr>
            <w:tcW w:w="205" w:type="pct"/>
            <w:shd w:val="clear" w:color="auto" w:fill="F2F2F2"/>
            <w:noWrap/>
            <w:hideMark/>
          </w:tcPr>
          <w:p w14:paraId="40F01F79" w14:textId="77777777" w:rsidR="00395D01" w:rsidRPr="00912996" w:rsidRDefault="00395D01" w:rsidP="00292396">
            <w:pPr>
              <w:rPr>
                <w:rFonts w:ascii="Calibri" w:hAnsi="Calibri"/>
                <w:bCs/>
                <w:lang w:eastAsia="ja-JP"/>
              </w:rPr>
            </w:pPr>
            <w:r w:rsidRPr="00912996">
              <w:rPr>
                <w:rFonts w:ascii="Calibri" w:hAnsi="Calibri"/>
                <w:bCs/>
                <w:lang w:eastAsia="ja-JP"/>
              </w:rPr>
              <w:t>5</w:t>
            </w:r>
            <w:r>
              <w:rPr>
                <w:rFonts w:ascii="Calibri" w:hAnsi="Calibri"/>
                <w:bCs/>
                <w:lang w:eastAsia="ja-JP"/>
              </w:rPr>
              <w:t>7</w:t>
            </w:r>
          </w:p>
        </w:tc>
        <w:tc>
          <w:tcPr>
            <w:tcW w:w="1018" w:type="pct"/>
            <w:gridSpan w:val="2"/>
            <w:shd w:val="clear" w:color="auto" w:fill="F2F2F2"/>
            <w:hideMark/>
          </w:tcPr>
          <w:p w14:paraId="56F43AF9"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modernizare imobil Șc</w:t>
            </w:r>
            <w:r>
              <w:rPr>
                <w:rFonts w:ascii="Calibri" w:hAnsi="Calibri"/>
                <w:bCs/>
                <w:lang w:eastAsia="ja-JP"/>
              </w:rPr>
              <w:t>oala</w:t>
            </w:r>
            <w:r w:rsidRPr="00912996">
              <w:rPr>
                <w:rFonts w:ascii="Calibri" w:hAnsi="Calibri"/>
                <w:bCs/>
                <w:lang w:eastAsia="ja-JP"/>
              </w:rPr>
              <w:t xml:space="preserve"> Gimnazială de Arte nr. 4</w:t>
            </w:r>
          </w:p>
        </w:tc>
        <w:tc>
          <w:tcPr>
            <w:tcW w:w="640" w:type="pct"/>
            <w:shd w:val="clear" w:color="auto" w:fill="F2F2F2"/>
            <w:hideMark/>
          </w:tcPr>
          <w:p w14:paraId="72875060"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C235E9F"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03F1DB66" w14:textId="77777777" w:rsidR="00395D01" w:rsidRPr="00912996" w:rsidRDefault="00395D01" w:rsidP="00292396">
            <w:pPr>
              <w:rPr>
                <w:rFonts w:ascii="Calibri" w:hAnsi="Calibri"/>
                <w:bCs/>
                <w:lang w:eastAsia="ja-JP"/>
              </w:rPr>
            </w:pPr>
            <w:r w:rsidRPr="00912996">
              <w:rPr>
                <w:rFonts w:ascii="Calibri" w:hAnsi="Calibri"/>
                <w:bCs/>
                <w:lang w:eastAsia="ja-JP"/>
              </w:rPr>
              <w:t>3,573,974</w:t>
            </w:r>
          </w:p>
        </w:tc>
        <w:tc>
          <w:tcPr>
            <w:tcW w:w="411" w:type="pct"/>
            <w:shd w:val="clear" w:color="auto" w:fill="F2F2F2"/>
            <w:hideMark/>
          </w:tcPr>
          <w:p w14:paraId="707A7F2A" w14:textId="77777777" w:rsidR="00395D01" w:rsidRPr="00912996" w:rsidRDefault="00395D01" w:rsidP="00292396">
            <w:pPr>
              <w:rPr>
                <w:rFonts w:ascii="Calibri" w:hAnsi="Calibri"/>
                <w:bCs/>
                <w:lang w:eastAsia="ja-JP"/>
              </w:rPr>
            </w:pPr>
            <w:r w:rsidRPr="00912996">
              <w:rPr>
                <w:rFonts w:ascii="Calibri" w:hAnsi="Calibri"/>
                <w:bCs/>
                <w:lang w:eastAsia="ja-JP"/>
              </w:rPr>
              <w:t>729,383</w:t>
            </w:r>
          </w:p>
        </w:tc>
        <w:tc>
          <w:tcPr>
            <w:tcW w:w="347" w:type="pct"/>
            <w:shd w:val="clear" w:color="auto" w:fill="F2F2F2"/>
            <w:hideMark/>
          </w:tcPr>
          <w:p w14:paraId="266D676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E2542C5"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067F63A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01F8AB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9C5336B" w14:textId="77777777" w:rsidTr="00E16711">
        <w:trPr>
          <w:trHeight w:val="792"/>
        </w:trPr>
        <w:tc>
          <w:tcPr>
            <w:tcW w:w="205" w:type="pct"/>
            <w:shd w:val="clear" w:color="auto" w:fill="F2F2F2"/>
            <w:noWrap/>
            <w:hideMark/>
          </w:tcPr>
          <w:p w14:paraId="49122669" w14:textId="77777777" w:rsidR="00395D01" w:rsidRPr="00912996" w:rsidRDefault="00395D01" w:rsidP="00292396">
            <w:pPr>
              <w:rPr>
                <w:rFonts w:ascii="Calibri" w:hAnsi="Calibri"/>
                <w:bCs/>
                <w:lang w:eastAsia="ja-JP"/>
              </w:rPr>
            </w:pPr>
            <w:r>
              <w:rPr>
                <w:rFonts w:ascii="Calibri" w:hAnsi="Calibri"/>
                <w:bCs/>
                <w:lang w:eastAsia="ja-JP"/>
              </w:rPr>
              <w:t>58</w:t>
            </w:r>
          </w:p>
        </w:tc>
        <w:tc>
          <w:tcPr>
            <w:tcW w:w="1018" w:type="pct"/>
            <w:gridSpan w:val="2"/>
            <w:shd w:val="clear" w:color="auto" w:fill="F2F2F2"/>
            <w:hideMark/>
          </w:tcPr>
          <w:p w14:paraId="58586628"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modernizare - sala festivități și anexe</w:t>
            </w:r>
          </w:p>
        </w:tc>
        <w:tc>
          <w:tcPr>
            <w:tcW w:w="640" w:type="pct"/>
            <w:shd w:val="clear" w:color="auto" w:fill="F2F2F2"/>
            <w:hideMark/>
          </w:tcPr>
          <w:p w14:paraId="5253E878"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80A188F"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365D2567" w14:textId="77777777" w:rsidR="00395D01" w:rsidRPr="00912996" w:rsidRDefault="00395D01" w:rsidP="00292396">
            <w:pPr>
              <w:rPr>
                <w:rFonts w:ascii="Calibri" w:hAnsi="Calibri"/>
                <w:bCs/>
                <w:lang w:eastAsia="ja-JP"/>
              </w:rPr>
            </w:pPr>
            <w:r w:rsidRPr="00912996">
              <w:rPr>
                <w:rFonts w:ascii="Calibri" w:hAnsi="Calibri"/>
                <w:bCs/>
                <w:lang w:eastAsia="ja-JP"/>
              </w:rPr>
              <w:t>4,165,000</w:t>
            </w:r>
          </w:p>
        </w:tc>
        <w:tc>
          <w:tcPr>
            <w:tcW w:w="411" w:type="pct"/>
            <w:shd w:val="clear" w:color="auto" w:fill="F2F2F2"/>
            <w:hideMark/>
          </w:tcPr>
          <w:p w14:paraId="2E70B936" w14:textId="77777777" w:rsidR="00395D01" w:rsidRPr="00912996" w:rsidRDefault="00395D01" w:rsidP="00292396">
            <w:pPr>
              <w:rPr>
                <w:rFonts w:ascii="Calibri" w:hAnsi="Calibri"/>
                <w:bCs/>
                <w:lang w:eastAsia="ja-JP"/>
              </w:rPr>
            </w:pPr>
            <w:r w:rsidRPr="00912996">
              <w:rPr>
                <w:rFonts w:ascii="Calibri" w:hAnsi="Calibri"/>
                <w:bCs/>
                <w:lang w:eastAsia="ja-JP"/>
              </w:rPr>
              <w:t>850,000</w:t>
            </w:r>
          </w:p>
        </w:tc>
        <w:tc>
          <w:tcPr>
            <w:tcW w:w="347" w:type="pct"/>
            <w:shd w:val="clear" w:color="auto" w:fill="F2F2F2"/>
            <w:hideMark/>
          </w:tcPr>
          <w:p w14:paraId="357E097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F3DBA3A"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3E1E0C0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1C1256B"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9393282" w14:textId="77777777" w:rsidTr="0075720E">
        <w:trPr>
          <w:trHeight w:val="903"/>
        </w:trPr>
        <w:tc>
          <w:tcPr>
            <w:tcW w:w="205" w:type="pct"/>
            <w:shd w:val="clear" w:color="auto" w:fill="F2F2F2"/>
            <w:noWrap/>
            <w:hideMark/>
          </w:tcPr>
          <w:p w14:paraId="6D525687" w14:textId="77777777" w:rsidR="00395D01" w:rsidRPr="00912996" w:rsidRDefault="00395D01" w:rsidP="00292396">
            <w:pPr>
              <w:rPr>
                <w:rFonts w:ascii="Calibri" w:hAnsi="Calibri"/>
                <w:bCs/>
                <w:lang w:eastAsia="ja-JP"/>
              </w:rPr>
            </w:pPr>
            <w:r>
              <w:rPr>
                <w:rFonts w:ascii="Calibri" w:hAnsi="Calibri"/>
                <w:bCs/>
                <w:lang w:eastAsia="ja-JP"/>
              </w:rPr>
              <w:t>59</w:t>
            </w:r>
          </w:p>
        </w:tc>
        <w:tc>
          <w:tcPr>
            <w:tcW w:w="1018" w:type="pct"/>
            <w:gridSpan w:val="2"/>
            <w:shd w:val="clear" w:color="auto" w:fill="F2F2F2"/>
            <w:hideMark/>
          </w:tcPr>
          <w:p w14:paraId="0ACE5DE6"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și modernizare  Școala nr. 25 corp școala + sala sport</w:t>
            </w:r>
          </w:p>
        </w:tc>
        <w:tc>
          <w:tcPr>
            <w:tcW w:w="640" w:type="pct"/>
            <w:shd w:val="clear" w:color="auto" w:fill="F2F2F2"/>
            <w:hideMark/>
          </w:tcPr>
          <w:p w14:paraId="29F506E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81707FD" w14:textId="77777777" w:rsidR="00395D01" w:rsidRPr="00912996" w:rsidRDefault="00395D01" w:rsidP="00292396">
            <w:pPr>
              <w:rPr>
                <w:rFonts w:ascii="Calibri" w:hAnsi="Calibri"/>
                <w:bCs/>
                <w:lang w:eastAsia="ja-JP"/>
              </w:rPr>
            </w:pPr>
            <w:r w:rsidRPr="004742F3">
              <w:rPr>
                <w:rFonts w:ascii="Calibri" w:hAnsi="Calibri"/>
                <w:bCs/>
                <w:lang w:eastAsia="ja-JP"/>
              </w:rPr>
              <w:t>În implementare</w:t>
            </w:r>
          </w:p>
        </w:tc>
        <w:tc>
          <w:tcPr>
            <w:tcW w:w="473" w:type="pct"/>
            <w:shd w:val="clear" w:color="auto" w:fill="F2F2F2"/>
            <w:hideMark/>
          </w:tcPr>
          <w:p w14:paraId="669A4B9A" w14:textId="77777777" w:rsidR="00395D01" w:rsidRPr="00912996" w:rsidRDefault="00395D01" w:rsidP="00292396">
            <w:pPr>
              <w:rPr>
                <w:rFonts w:ascii="Calibri" w:hAnsi="Calibri"/>
                <w:bCs/>
                <w:lang w:eastAsia="ja-JP"/>
              </w:rPr>
            </w:pPr>
            <w:r w:rsidRPr="004742F3">
              <w:rPr>
                <w:rFonts w:ascii="Calibri" w:hAnsi="Calibri"/>
                <w:bCs/>
                <w:lang w:eastAsia="ja-JP"/>
              </w:rPr>
              <w:t>16,414,511</w:t>
            </w:r>
          </w:p>
        </w:tc>
        <w:tc>
          <w:tcPr>
            <w:tcW w:w="411" w:type="pct"/>
            <w:shd w:val="clear" w:color="auto" w:fill="F2F2F2"/>
            <w:hideMark/>
          </w:tcPr>
          <w:p w14:paraId="485332DA" w14:textId="77777777" w:rsidR="00395D01" w:rsidRPr="00912996" w:rsidRDefault="00395D01" w:rsidP="00292396">
            <w:pPr>
              <w:rPr>
                <w:rFonts w:ascii="Calibri" w:hAnsi="Calibri"/>
                <w:bCs/>
                <w:lang w:eastAsia="ja-JP"/>
              </w:rPr>
            </w:pPr>
            <w:r w:rsidRPr="004742F3">
              <w:rPr>
                <w:rFonts w:ascii="Calibri" w:hAnsi="Calibri"/>
                <w:bCs/>
                <w:lang w:eastAsia="ja-JP"/>
              </w:rPr>
              <w:t>3,349,900</w:t>
            </w:r>
          </w:p>
        </w:tc>
        <w:tc>
          <w:tcPr>
            <w:tcW w:w="347" w:type="pct"/>
            <w:shd w:val="clear" w:color="auto" w:fill="F2F2F2"/>
            <w:hideMark/>
          </w:tcPr>
          <w:p w14:paraId="3AD2C23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2719CD6" w14:textId="77777777" w:rsidR="00395D01" w:rsidRPr="00912996" w:rsidRDefault="00395D01" w:rsidP="00292396">
            <w:pPr>
              <w:rPr>
                <w:rFonts w:ascii="Calibri" w:hAnsi="Calibri"/>
                <w:bCs/>
                <w:lang w:eastAsia="ja-JP"/>
              </w:rPr>
            </w:pPr>
            <w:r w:rsidRPr="004742F3">
              <w:rPr>
                <w:rFonts w:ascii="Calibri" w:hAnsi="Calibri"/>
                <w:bCs/>
                <w:lang w:eastAsia="ja-JP"/>
              </w:rPr>
              <w:t>Bugetul local</w:t>
            </w:r>
          </w:p>
        </w:tc>
        <w:tc>
          <w:tcPr>
            <w:tcW w:w="433" w:type="pct"/>
            <w:shd w:val="clear" w:color="auto" w:fill="F2F2F2"/>
            <w:hideMark/>
          </w:tcPr>
          <w:p w14:paraId="1B9A83F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1C4E2B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BA1C10F" w14:textId="77777777" w:rsidTr="0075720E">
        <w:trPr>
          <w:trHeight w:val="885"/>
        </w:trPr>
        <w:tc>
          <w:tcPr>
            <w:tcW w:w="205" w:type="pct"/>
            <w:shd w:val="clear" w:color="auto" w:fill="F2F2F2"/>
            <w:noWrap/>
            <w:hideMark/>
          </w:tcPr>
          <w:p w14:paraId="32538463" w14:textId="77777777" w:rsidR="00395D01" w:rsidRPr="00912996" w:rsidRDefault="00395D01" w:rsidP="00292396">
            <w:pPr>
              <w:rPr>
                <w:rFonts w:ascii="Calibri" w:hAnsi="Calibri"/>
                <w:bCs/>
                <w:lang w:eastAsia="ja-JP"/>
              </w:rPr>
            </w:pPr>
            <w:r w:rsidRPr="00912996">
              <w:rPr>
                <w:rFonts w:ascii="Calibri" w:hAnsi="Calibri"/>
                <w:bCs/>
                <w:lang w:eastAsia="ja-JP"/>
              </w:rPr>
              <w:t>6</w:t>
            </w:r>
            <w:r>
              <w:rPr>
                <w:rFonts w:ascii="Calibri" w:hAnsi="Calibri"/>
                <w:bCs/>
                <w:lang w:eastAsia="ja-JP"/>
              </w:rPr>
              <w:t>0</w:t>
            </w:r>
          </w:p>
        </w:tc>
        <w:tc>
          <w:tcPr>
            <w:tcW w:w="1018" w:type="pct"/>
            <w:gridSpan w:val="2"/>
            <w:shd w:val="clear" w:color="auto" w:fill="F2F2F2"/>
            <w:hideMark/>
          </w:tcPr>
          <w:p w14:paraId="490A97AA"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și modernizare Colegiul George Coșbuc - corp școală + sala sport</w:t>
            </w:r>
          </w:p>
        </w:tc>
        <w:tc>
          <w:tcPr>
            <w:tcW w:w="640" w:type="pct"/>
            <w:shd w:val="clear" w:color="auto" w:fill="F2F2F2"/>
            <w:hideMark/>
          </w:tcPr>
          <w:p w14:paraId="36693C76"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E413D53" w14:textId="77777777" w:rsidR="00395D01" w:rsidRPr="00912996" w:rsidRDefault="00395D01" w:rsidP="00292396">
            <w:pPr>
              <w:rPr>
                <w:rFonts w:ascii="Calibri" w:hAnsi="Calibri"/>
                <w:bCs/>
                <w:lang w:eastAsia="ja-JP"/>
              </w:rPr>
            </w:pPr>
            <w:r w:rsidRPr="004742F3">
              <w:rPr>
                <w:rFonts w:ascii="Calibri" w:hAnsi="Calibri"/>
                <w:bCs/>
                <w:lang w:eastAsia="ja-JP"/>
              </w:rPr>
              <w:t>Finalizat</w:t>
            </w:r>
          </w:p>
        </w:tc>
        <w:tc>
          <w:tcPr>
            <w:tcW w:w="473" w:type="pct"/>
            <w:shd w:val="clear" w:color="auto" w:fill="F2F2F2"/>
            <w:hideMark/>
          </w:tcPr>
          <w:p w14:paraId="27DA9DC7" w14:textId="77777777" w:rsidR="00395D01" w:rsidRPr="00912996" w:rsidRDefault="00395D01" w:rsidP="00292396">
            <w:pPr>
              <w:rPr>
                <w:rFonts w:ascii="Calibri" w:hAnsi="Calibri"/>
                <w:bCs/>
                <w:lang w:eastAsia="ja-JP"/>
              </w:rPr>
            </w:pPr>
            <w:r w:rsidRPr="004742F3">
              <w:rPr>
                <w:rFonts w:ascii="Calibri" w:hAnsi="Calibri"/>
                <w:bCs/>
                <w:lang w:eastAsia="ja-JP"/>
              </w:rPr>
              <w:t>14,811,316</w:t>
            </w:r>
          </w:p>
        </w:tc>
        <w:tc>
          <w:tcPr>
            <w:tcW w:w="411" w:type="pct"/>
            <w:shd w:val="clear" w:color="auto" w:fill="F2F2F2"/>
            <w:hideMark/>
          </w:tcPr>
          <w:p w14:paraId="08E3A241" w14:textId="77777777" w:rsidR="00395D01" w:rsidRPr="00912996" w:rsidRDefault="00395D01" w:rsidP="00292396">
            <w:pPr>
              <w:rPr>
                <w:rFonts w:ascii="Calibri" w:hAnsi="Calibri"/>
                <w:bCs/>
                <w:lang w:eastAsia="ja-JP"/>
              </w:rPr>
            </w:pPr>
            <w:r w:rsidRPr="004742F3">
              <w:rPr>
                <w:rFonts w:ascii="Calibri" w:hAnsi="Calibri"/>
                <w:bCs/>
                <w:lang w:eastAsia="ja-JP"/>
              </w:rPr>
              <w:t>3,022,718</w:t>
            </w:r>
          </w:p>
        </w:tc>
        <w:tc>
          <w:tcPr>
            <w:tcW w:w="347" w:type="pct"/>
            <w:shd w:val="clear" w:color="auto" w:fill="F2F2F2"/>
            <w:hideMark/>
          </w:tcPr>
          <w:p w14:paraId="1FD44B9E" w14:textId="77777777" w:rsidR="00395D01" w:rsidRPr="00912996" w:rsidRDefault="00395D01" w:rsidP="00292396">
            <w:pPr>
              <w:rPr>
                <w:rFonts w:ascii="Calibri" w:hAnsi="Calibri"/>
                <w:bCs/>
                <w:lang w:eastAsia="ja-JP"/>
              </w:rPr>
            </w:pPr>
            <w:r w:rsidRPr="004742F3">
              <w:rPr>
                <w:rFonts w:ascii="Calibri" w:hAnsi="Calibri"/>
                <w:bCs/>
                <w:lang w:eastAsia="ja-JP"/>
              </w:rPr>
              <w:t>2017</w:t>
            </w:r>
            <w:r>
              <w:rPr>
                <w:rFonts w:ascii="Calibri" w:hAnsi="Calibri"/>
                <w:bCs/>
                <w:lang w:eastAsia="ja-JP"/>
              </w:rPr>
              <w:t xml:space="preserve"> </w:t>
            </w:r>
            <w:r w:rsidRPr="004742F3">
              <w:rPr>
                <w:rFonts w:ascii="Calibri" w:hAnsi="Calibri"/>
                <w:bCs/>
                <w:lang w:eastAsia="ja-JP"/>
              </w:rPr>
              <w:t>-2021</w:t>
            </w:r>
          </w:p>
        </w:tc>
        <w:tc>
          <w:tcPr>
            <w:tcW w:w="484" w:type="pct"/>
            <w:gridSpan w:val="2"/>
            <w:shd w:val="clear" w:color="auto" w:fill="F2F2F2"/>
            <w:hideMark/>
          </w:tcPr>
          <w:p w14:paraId="2E65A220" w14:textId="77777777" w:rsidR="00395D01" w:rsidRPr="00912996" w:rsidRDefault="00395D01" w:rsidP="00292396">
            <w:pPr>
              <w:rPr>
                <w:rFonts w:ascii="Calibri" w:hAnsi="Calibri"/>
                <w:bCs/>
                <w:lang w:eastAsia="ja-JP"/>
              </w:rPr>
            </w:pPr>
            <w:r w:rsidRPr="004742F3">
              <w:rPr>
                <w:rFonts w:ascii="Calibri" w:hAnsi="Calibri"/>
                <w:bCs/>
                <w:lang w:eastAsia="ja-JP"/>
              </w:rPr>
              <w:t>Bugetul local</w:t>
            </w:r>
          </w:p>
        </w:tc>
        <w:tc>
          <w:tcPr>
            <w:tcW w:w="433" w:type="pct"/>
            <w:shd w:val="clear" w:color="auto" w:fill="F2F2F2"/>
            <w:hideMark/>
          </w:tcPr>
          <w:p w14:paraId="0C09622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F07DC7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709EBBC" w14:textId="77777777" w:rsidTr="0075720E">
        <w:trPr>
          <w:trHeight w:val="894"/>
        </w:trPr>
        <w:tc>
          <w:tcPr>
            <w:tcW w:w="205" w:type="pct"/>
            <w:shd w:val="clear" w:color="auto" w:fill="F2F2F2"/>
            <w:noWrap/>
            <w:hideMark/>
          </w:tcPr>
          <w:p w14:paraId="177831A5" w14:textId="77777777" w:rsidR="00395D01" w:rsidRPr="00912996" w:rsidRDefault="00395D01" w:rsidP="00292396">
            <w:pPr>
              <w:rPr>
                <w:rFonts w:ascii="Calibri" w:hAnsi="Calibri"/>
                <w:bCs/>
                <w:lang w:eastAsia="ja-JP"/>
              </w:rPr>
            </w:pPr>
            <w:r w:rsidRPr="00912996">
              <w:rPr>
                <w:rFonts w:ascii="Calibri" w:hAnsi="Calibri"/>
                <w:bCs/>
                <w:lang w:eastAsia="ja-JP"/>
              </w:rPr>
              <w:t>6</w:t>
            </w:r>
            <w:r>
              <w:rPr>
                <w:rFonts w:ascii="Calibri" w:hAnsi="Calibri"/>
                <w:bCs/>
                <w:lang w:eastAsia="ja-JP"/>
              </w:rPr>
              <w:t>1</w:t>
            </w:r>
          </w:p>
        </w:tc>
        <w:tc>
          <w:tcPr>
            <w:tcW w:w="1018" w:type="pct"/>
            <w:gridSpan w:val="2"/>
            <w:shd w:val="clear" w:color="auto" w:fill="F2F2F2"/>
            <w:hideMark/>
          </w:tcPr>
          <w:p w14:paraId="79154E92"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și modernizare corp atelier- Școala Gimnazială nr.</w:t>
            </w:r>
            <w:r>
              <w:rPr>
                <w:rFonts w:ascii="Calibri" w:hAnsi="Calibri"/>
                <w:bCs/>
                <w:lang w:eastAsia="ja-JP"/>
              </w:rPr>
              <w:t xml:space="preserve"> </w:t>
            </w:r>
            <w:r w:rsidRPr="00912996">
              <w:rPr>
                <w:rFonts w:ascii="Calibri" w:hAnsi="Calibri"/>
                <w:bCs/>
                <w:lang w:eastAsia="ja-JP"/>
              </w:rPr>
              <w:t>25</w:t>
            </w:r>
          </w:p>
        </w:tc>
        <w:tc>
          <w:tcPr>
            <w:tcW w:w="640" w:type="pct"/>
            <w:shd w:val="clear" w:color="auto" w:fill="F2F2F2"/>
            <w:hideMark/>
          </w:tcPr>
          <w:p w14:paraId="417429C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072AE8D" w14:textId="77777777" w:rsidR="00395D01" w:rsidRPr="00912996" w:rsidRDefault="00395D01" w:rsidP="00292396">
            <w:pPr>
              <w:rPr>
                <w:rFonts w:ascii="Calibri" w:hAnsi="Calibri"/>
                <w:bCs/>
                <w:lang w:eastAsia="ja-JP"/>
              </w:rPr>
            </w:pPr>
            <w:r w:rsidRPr="004742F3">
              <w:rPr>
                <w:rFonts w:ascii="Calibri" w:hAnsi="Calibri"/>
                <w:bCs/>
                <w:lang w:eastAsia="ja-JP"/>
              </w:rPr>
              <w:t>În implementare</w:t>
            </w:r>
          </w:p>
        </w:tc>
        <w:tc>
          <w:tcPr>
            <w:tcW w:w="473" w:type="pct"/>
            <w:shd w:val="clear" w:color="auto" w:fill="F2F2F2"/>
            <w:hideMark/>
          </w:tcPr>
          <w:p w14:paraId="6A9F1E1A" w14:textId="77777777" w:rsidR="00395D01" w:rsidRPr="00912996" w:rsidRDefault="00395D01" w:rsidP="00292396">
            <w:pPr>
              <w:rPr>
                <w:rFonts w:ascii="Calibri" w:hAnsi="Calibri"/>
                <w:bCs/>
                <w:lang w:eastAsia="ja-JP"/>
              </w:rPr>
            </w:pPr>
            <w:r w:rsidRPr="004742F3">
              <w:rPr>
                <w:rFonts w:ascii="Calibri" w:hAnsi="Calibri"/>
                <w:bCs/>
                <w:lang w:eastAsia="ja-JP"/>
              </w:rPr>
              <w:t>1,764,199</w:t>
            </w:r>
          </w:p>
        </w:tc>
        <w:tc>
          <w:tcPr>
            <w:tcW w:w="411" w:type="pct"/>
            <w:shd w:val="clear" w:color="auto" w:fill="F2F2F2"/>
            <w:hideMark/>
          </w:tcPr>
          <w:p w14:paraId="7552C533" w14:textId="77777777" w:rsidR="00395D01" w:rsidRPr="00912996" w:rsidRDefault="00395D01" w:rsidP="00292396">
            <w:pPr>
              <w:rPr>
                <w:rFonts w:ascii="Calibri" w:hAnsi="Calibri"/>
                <w:bCs/>
                <w:lang w:eastAsia="ja-JP"/>
              </w:rPr>
            </w:pPr>
            <w:r w:rsidRPr="004742F3">
              <w:rPr>
                <w:rFonts w:ascii="Calibri" w:hAnsi="Calibri"/>
                <w:bCs/>
                <w:lang w:eastAsia="ja-JP"/>
              </w:rPr>
              <w:t>360,040</w:t>
            </w:r>
          </w:p>
        </w:tc>
        <w:tc>
          <w:tcPr>
            <w:tcW w:w="347" w:type="pct"/>
            <w:shd w:val="clear" w:color="auto" w:fill="F2F2F2"/>
            <w:hideMark/>
          </w:tcPr>
          <w:p w14:paraId="03643C1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7626D9D" w14:textId="77777777" w:rsidR="00395D01" w:rsidRPr="00912996" w:rsidRDefault="00395D01" w:rsidP="00292396">
            <w:pPr>
              <w:rPr>
                <w:rFonts w:ascii="Calibri" w:hAnsi="Calibri"/>
                <w:bCs/>
                <w:lang w:eastAsia="ja-JP"/>
              </w:rPr>
            </w:pPr>
            <w:r w:rsidRPr="004742F3">
              <w:rPr>
                <w:rFonts w:ascii="Calibri" w:hAnsi="Calibri"/>
                <w:bCs/>
                <w:lang w:eastAsia="ja-JP"/>
              </w:rPr>
              <w:t>Bugetul local</w:t>
            </w:r>
          </w:p>
        </w:tc>
        <w:tc>
          <w:tcPr>
            <w:tcW w:w="433" w:type="pct"/>
            <w:shd w:val="clear" w:color="auto" w:fill="F2F2F2"/>
            <w:hideMark/>
          </w:tcPr>
          <w:p w14:paraId="5613F46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694017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388F2AF" w14:textId="77777777" w:rsidTr="0075720E">
        <w:trPr>
          <w:trHeight w:val="705"/>
        </w:trPr>
        <w:tc>
          <w:tcPr>
            <w:tcW w:w="205" w:type="pct"/>
            <w:shd w:val="clear" w:color="auto" w:fill="F2F2F2"/>
            <w:noWrap/>
            <w:hideMark/>
          </w:tcPr>
          <w:p w14:paraId="22A53E2D" w14:textId="77777777" w:rsidR="00395D01" w:rsidRPr="00912996" w:rsidRDefault="00395D01" w:rsidP="00292396">
            <w:pPr>
              <w:rPr>
                <w:rFonts w:ascii="Calibri" w:hAnsi="Calibri"/>
                <w:bCs/>
                <w:lang w:eastAsia="ja-JP"/>
              </w:rPr>
            </w:pPr>
            <w:r w:rsidRPr="00912996">
              <w:rPr>
                <w:rFonts w:ascii="Calibri" w:hAnsi="Calibri"/>
                <w:bCs/>
                <w:lang w:eastAsia="ja-JP"/>
              </w:rPr>
              <w:t>6</w:t>
            </w:r>
            <w:r>
              <w:rPr>
                <w:rFonts w:ascii="Calibri" w:hAnsi="Calibri"/>
                <w:bCs/>
                <w:lang w:eastAsia="ja-JP"/>
              </w:rPr>
              <w:t>2</w:t>
            </w:r>
          </w:p>
        </w:tc>
        <w:tc>
          <w:tcPr>
            <w:tcW w:w="1018" w:type="pct"/>
            <w:gridSpan w:val="2"/>
            <w:shd w:val="clear" w:color="auto" w:fill="F2F2F2"/>
            <w:hideMark/>
          </w:tcPr>
          <w:p w14:paraId="384F04A3" w14:textId="77777777" w:rsidR="00395D01" w:rsidRPr="00912996" w:rsidRDefault="00395D01" w:rsidP="00292396">
            <w:pPr>
              <w:rPr>
                <w:rFonts w:ascii="Calibri" w:hAnsi="Calibri"/>
                <w:bCs/>
                <w:lang w:eastAsia="ja-JP"/>
              </w:rPr>
            </w:pPr>
            <w:r w:rsidRPr="004742F3">
              <w:rPr>
                <w:rFonts w:ascii="Calibri" w:hAnsi="Calibri"/>
                <w:bCs/>
                <w:lang w:eastAsia="ja-JP"/>
              </w:rPr>
              <w:t>Reabilitare și modernizare Școala Maria Rosetti</w:t>
            </w:r>
          </w:p>
        </w:tc>
        <w:tc>
          <w:tcPr>
            <w:tcW w:w="640" w:type="pct"/>
            <w:shd w:val="clear" w:color="auto" w:fill="F2F2F2"/>
            <w:hideMark/>
          </w:tcPr>
          <w:p w14:paraId="4A71B536"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741A3D9" w14:textId="77777777" w:rsidR="00395D01" w:rsidRPr="00912996" w:rsidRDefault="00395D01" w:rsidP="00292396">
            <w:pPr>
              <w:rPr>
                <w:rFonts w:ascii="Calibri" w:hAnsi="Calibri"/>
                <w:bCs/>
                <w:lang w:eastAsia="ja-JP"/>
              </w:rPr>
            </w:pPr>
            <w:r w:rsidRPr="004742F3">
              <w:rPr>
                <w:rFonts w:ascii="Calibri" w:hAnsi="Calibri"/>
                <w:bCs/>
                <w:lang w:eastAsia="ja-JP"/>
              </w:rPr>
              <w:t>Finalizat</w:t>
            </w:r>
          </w:p>
        </w:tc>
        <w:tc>
          <w:tcPr>
            <w:tcW w:w="473" w:type="pct"/>
            <w:shd w:val="clear" w:color="auto" w:fill="F2F2F2"/>
            <w:hideMark/>
          </w:tcPr>
          <w:p w14:paraId="7C377D64" w14:textId="77777777" w:rsidR="00395D01" w:rsidRPr="00912996" w:rsidRDefault="00395D01" w:rsidP="00292396">
            <w:pPr>
              <w:rPr>
                <w:rFonts w:ascii="Calibri" w:hAnsi="Calibri"/>
                <w:bCs/>
                <w:lang w:eastAsia="ja-JP"/>
              </w:rPr>
            </w:pPr>
            <w:r w:rsidRPr="004742F3">
              <w:rPr>
                <w:rFonts w:ascii="Calibri" w:hAnsi="Calibri"/>
                <w:bCs/>
                <w:lang w:eastAsia="ja-JP"/>
              </w:rPr>
              <w:t>10,479,882</w:t>
            </w:r>
          </w:p>
        </w:tc>
        <w:tc>
          <w:tcPr>
            <w:tcW w:w="411" w:type="pct"/>
            <w:shd w:val="clear" w:color="auto" w:fill="F2F2F2"/>
            <w:hideMark/>
          </w:tcPr>
          <w:p w14:paraId="77D2630E" w14:textId="77777777" w:rsidR="00395D01" w:rsidRPr="00912996" w:rsidRDefault="00395D01" w:rsidP="00292396">
            <w:pPr>
              <w:rPr>
                <w:rFonts w:ascii="Calibri" w:hAnsi="Calibri"/>
                <w:bCs/>
                <w:lang w:eastAsia="ja-JP"/>
              </w:rPr>
            </w:pPr>
            <w:r w:rsidRPr="004742F3">
              <w:rPr>
                <w:rFonts w:ascii="Calibri" w:hAnsi="Calibri"/>
                <w:bCs/>
                <w:lang w:eastAsia="ja-JP"/>
              </w:rPr>
              <w:t>2,138,752</w:t>
            </w:r>
          </w:p>
        </w:tc>
        <w:tc>
          <w:tcPr>
            <w:tcW w:w="347" w:type="pct"/>
            <w:shd w:val="clear" w:color="auto" w:fill="F2F2F2"/>
            <w:hideMark/>
          </w:tcPr>
          <w:p w14:paraId="5D2F087F" w14:textId="77777777" w:rsidR="00395D01" w:rsidRPr="00912996" w:rsidRDefault="00395D01" w:rsidP="00292396">
            <w:pPr>
              <w:rPr>
                <w:rFonts w:ascii="Calibri" w:hAnsi="Calibri"/>
                <w:bCs/>
                <w:lang w:eastAsia="ja-JP"/>
              </w:rPr>
            </w:pPr>
            <w:r w:rsidRPr="006976B2">
              <w:rPr>
                <w:rFonts w:ascii="Calibri" w:hAnsi="Calibri"/>
                <w:bCs/>
                <w:lang w:eastAsia="ja-JP"/>
              </w:rPr>
              <w:t>2017</w:t>
            </w:r>
            <w:r>
              <w:rPr>
                <w:rFonts w:ascii="Calibri" w:hAnsi="Calibri"/>
                <w:bCs/>
                <w:lang w:eastAsia="ja-JP"/>
              </w:rPr>
              <w:t xml:space="preserve"> </w:t>
            </w:r>
            <w:r w:rsidRPr="006976B2">
              <w:rPr>
                <w:rFonts w:ascii="Calibri" w:hAnsi="Calibri"/>
                <w:bCs/>
                <w:lang w:eastAsia="ja-JP"/>
              </w:rPr>
              <w:t>-2021</w:t>
            </w:r>
          </w:p>
        </w:tc>
        <w:tc>
          <w:tcPr>
            <w:tcW w:w="484" w:type="pct"/>
            <w:gridSpan w:val="2"/>
            <w:shd w:val="clear" w:color="auto" w:fill="F2F2F2"/>
            <w:hideMark/>
          </w:tcPr>
          <w:p w14:paraId="7065C614" w14:textId="77777777" w:rsidR="00395D01" w:rsidRPr="00912996" w:rsidRDefault="00395D01" w:rsidP="00292396">
            <w:pPr>
              <w:rPr>
                <w:rFonts w:ascii="Calibri" w:hAnsi="Calibri"/>
                <w:bCs/>
                <w:lang w:eastAsia="ja-JP"/>
              </w:rPr>
            </w:pPr>
            <w:r w:rsidRPr="006976B2">
              <w:rPr>
                <w:rFonts w:ascii="Calibri" w:hAnsi="Calibri"/>
                <w:bCs/>
                <w:lang w:eastAsia="ja-JP"/>
              </w:rPr>
              <w:t>Bugetul local</w:t>
            </w:r>
          </w:p>
        </w:tc>
        <w:tc>
          <w:tcPr>
            <w:tcW w:w="433" w:type="pct"/>
            <w:shd w:val="clear" w:color="auto" w:fill="F2F2F2"/>
            <w:hideMark/>
          </w:tcPr>
          <w:p w14:paraId="0B6CD43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91631FF"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36980EA" w14:textId="77777777" w:rsidTr="0075720E">
        <w:trPr>
          <w:trHeight w:val="885"/>
        </w:trPr>
        <w:tc>
          <w:tcPr>
            <w:tcW w:w="205" w:type="pct"/>
            <w:shd w:val="clear" w:color="auto" w:fill="F2F2F2"/>
            <w:noWrap/>
            <w:hideMark/>
          </w:tcPr>
          <w:p w14:paraId="07D2DE66" w14:textId="77777777" w:rsidR="00395D01" w:rsidRPr="00912996" w:rsidRDefault="00395D01" w:rsidP="00292396">
            <w:pPr>
              <w:rPr>
                <w:rFonts w:ascii="Calibri" w:hAnsi="Calibri"/>
                <w:bCs/>
                <w:lang w:eastAsia="ja-JP"/>
              </w:rPr>
            </w:pPr>
            <w:r w:rsidRPr="00912996">
              <w:rPr>
                <w:rFonts w:ascii="Calibri" w:hAnsi="Calibri"/>
                <w:bCs/>
                <w:lang w:eastAsia="ja-JP"/>
              </w:rPr>
              <w:t>6</w:t>
            </w:r>
            <w:r>
              <w:rPr>
                <w:rFonts w:ascii="Calibri" w:hAnsi="Calibri"/>
                <w:bCs/>
                <w:lang w:eastAsia="ja-JP"/>
              </w:rPr>
              <w:t>3</w:t>
            </w:r>
          </w:p>
        </w:tc>
        <w:tc>
          <w:tcPr>
            <w:tcW w:w="1018" w:type="pct"/>
            <w:gridSpan w:val="2"/>
            <w:shd w:val="clear" w:color="auto" w:fill="F2F2F2"/>
            <w:hideMark/>
          </w:tcPr>
          <w:p w14:paraId="3FAA92B9" w14:textId="77777777" w:rsidR="00395D01" w:rsidRPr="00912996" w:rsidRDefault="00395D01" w:rsidP="00292396">
            <w:pPr>
              <w:rPr>
                <w:rFonts w:ascii="Calibri" w:hAnsi="Calibri"/>
                <w:bCs/>
                <w:lang w:eastAsia="ja-JP"/>
              </w:rPr>
            </w:pPr>
            <w:r w:rsidRPr="006976B2">
              <w:rPr>
                <w:rFonts w:ascii="Calibri" w:hAnsi="Calibri"/>
                <w:bCs/>
                <w:lang w:eastAsia="ja-JP"/>
              </w:rPr>
              <w:t>Reabilitare și modernizare imobil Corp A din cadrul Școlii Gimnaziale nr. 27</w:t>
            </w:r>
          </w:p>
        </w:tc>
        <w:tc>
          <w:tcPr>
            <w:tcW w:w="640" w:type="pct"/>
            <w:shd w:val="clear" w:color="auto" w:fill="F2F2F2"/>
            <w:hideMark/>
          </w:tcPr>
          <w:p w14:paraId="0DCB885F"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43B4AB9" w14:textId="77777777" w:rsidR="00395D01" w:rsidRPr="00912996" w:rsidRDefault="00395D01" w:rsidP="00292396">
            <w:pPr>
              <w:rPr>
                <w:rFonts w:ascii="Calibri" w:hAnsi="Calibri"/>
                <w:bCs/>
                <w:lang w:eastAsia="ja-JP"/>
              </w:rPr>
            </w:pPr>
            <w:r w:rsidRPr="006976B2">
              <w:rPr>
                <w:rFonts w:ascii="Calibri" w:hAnsi="Calibri"/>
                <w:bCs/>
                <w:lang w:eastAsia="ja-JP"/>
              </w:rPr>
              <w:t>Finalizat</w:t>
            </w:r>
          </w:p>
        </w:tc>
        <w:tc>
          <w:tcPr>
            <w:tcW w:w="473" w:type="pct"/>
            <w:shd w:val="clear" w:color="auto" w:fill="F2F2F2"/>
            <w:hideMark/>
          </w:tcPr>
          <w:p w14:paraId="01AE8D7A" w14:textId="77777777" w:rsidR="00395D01" w:rsidRPr="00912996" w:rsidRDefault="00395D01" w:rsidP="00292396">
            <w:pPr>
              <w:rPr>
                <w:rFonts w:ascii="Calibri" w:hAnsi="Calibri"/>
                <w:bCs/>
                <w:lang w:eastAsia="ja-JP"/>
              </w:rPr>
            </w:pPr>
            <w:r w:rsidRPr="006976B2">
              <w:rPr>
                <w:rFonts w:ascii="Calibri" w:hAnsi="Calibri"/>
                <w:bCs/>
                <w:lang w:eastAsia="ja-JP"/>
              </w:rPr>
              <w:t>8,297,474</w:t>
            </w:r>
          </w:p>
        </w:tc>
        <w:tc>
          <w:tcPr>
            <w:tcW w:w="411" w:type="pct"/>
            <w:shd w:val="clear" w:color="auto" w:fill="F2F2F2"/>
            <w:hideMark/>
          </w:tcPr>
          <w:p w14:paraId="207634E0" w14:textId="77777777" w:rsidR="00395D01" w:rsidRPr="00912996" w:rsidRDefault="00395D01" w:rsidP="00292396">
            <w:pPr>
              <w:rPr>
                <w:rFonts w:ascii="Calibri" w:hAnsi="Calibri"/>
                <w:bCs/>
                <w:lang w:eastAsia="ja-JP"/>
              </w:rPr>
            </w:pPr>
            <w:r w:rsidRPr="006976B2">
              <w:rPr>
                <w:rFonts w:ascii="Calibri" w:hAnsi="Calibri"/>
                <w:bCs/>
                <w:lang w:eastAsia="ja-JP"/>
              </w:rPr>
              <w:t>1,693,362</w:t>
            </w:r>
          </w:p>
        </w:tc>
        <w:tc>
          <w:tcPr>
            <w:tcW w:w="347" w:type="pct"/>
            <w:shd w:val="clear" w:color="auto" w:fill="F2F2F2"/>
            <w:hideMark/>
          </w:tcPr>
          <w:p w14:paraId="71D727A7" w14:textId="77777777" w:rsidR="00395D01" w:rsidRPr="00912996" w:rsidRDefault="00395D01" w:rsidP="00292396">
            <w:pPr>
              <w:rPr>
                <w:rFonts w:ascii="Calibri" w:hAnsi="Calibri"/>
                <w:bCs/>
                <w:lang w:eastAsia="ja-JP"/>
              </w:rPr>
            </w:pPr>
            <w:r w:rsidRPr="006976B2">
              <w:rPr>
                <w:rFonts w:ascii="Calibri" w:hAnsi="Calibri"/>
                <w:bCs/>
                <w:lang w:eastAsia="ja-JP"/>
              </w:rPr>
              <w:t>2017</w:t>
            </w:r>
            <w:r>
              <w:rPr>
                <w:rFonts w:ascii="Calibri" w:hAnsi="Calibri"/>
                <w:bCs/>
                <w:lang w:eastAsia="ja-JP"/>
              </w:rPr>
              <w:t xml:space="preserve"> </w:t>
            </w:r>
            <w:r w:rsidRPr="006976B2">
              <w:rPr>
                <w:rFonts w:ascii="Calibri" w:hAnsi="Calibri"/>
                <w:bCs/>
                <w:lang w:eastAsia="ja-JP"/>
              </w:rPr>
              <w:t>-2021</w:t>
            </w:r>
          </w:p>
        </w:tc>
        <w:tc>
          <w:tcPr>
            <w:tcW w:w="484" w:type="pct"/>
            <w:gridSpan w:val="2"/>
            <w:shd w:val="clear" w:color="auto" w:fill="F2F2F2"/>
            <w:hideMark/>
          </w:tcPr>
          <w:p w14:paraId="66191DF0" w14:textId="77777777" w:rsidR="00395D01" w:rsidRPr="00912996" w:rsidRDefault="00395D01" w:rsidP="00292396">
            <w:pPr>
              <w:rPr>
                <w:rFonts w:ascii="Calibri" w:hAnsi="Calibri"/>
                <w:bCs/>
                <w:lang w:eastAsia="ja-JP"/>
              </w:rPr>
            </w:pPr>
            <w:r w:rsidRPr="006976B2">
              <w:rPr>
                <w:rFonts w:ascii="Calibri" w:hAnsi="Calibri"/>
                <w:bCs/>
                <w:lang w:eastAsia="ja-JP"/>
              </w:rPr>
              <w:t>Bugetul local</w:t>
            </w:r>
          </w:p>
        </w:tc>
        <w:tc>
          <w:tcPr>
            <w:tcW w:w="433" w:type="pct"/>
            <w:shd w:val="clear" w:color="auto" w:fill="F2F2F2"/>
            <w:hideMark/>
          </w:tcPr>
          <w:p w14:paraId="6C9E6C2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4A830E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253DCE2" w14:textId="77777777" w:rsidTr="0075720E">
        <w:trPr>
          <w:trHeight w:val="633"/>
        </w:trPr>
        <w:tc>
          <w:tcPr>
            <w:tcW w:w="205" w:type="pct"/>
            <w:shd w:val="clear" w:color="auto" w:fill="F2F2F2"/>
            <w:noWrap/>
            <w:hideMark/>
          </w:tcPr>
          <w:p w14:paraId="518346CE" w14:textId="77777777" w:rsidR="00395D01" w:rsidRPr="00912996" w:rsidRDefault="00395D01" w:rsidP="00292396">
            <w:pPr>
              <w:rPr>
                <w:rFonts w:ascii="Calibri" w:hAnsi="Calibri"/>
                <w:bCs/>
                <w:lang w:eastAsia="ja-JP"/>
              </w:rPr>
            </w:pPr>
            <w:r w:rsidRPr="00912996">
              <w:rPr>
                <w:rFonts w:ascii="Calibri" w:hAnsi="Calibri"/>
                <w:bCs/>
                <w:lang w:eastAsia="ja-JP"/>
              </w:rPr>
              <w:t>6</w:t>
            </w:r>
            <w:r>
              <w:rPr>
                <w:rFonts w:ascii="Calibri" w:hAnsi="Calibri"/>
                <w:bCs/>
                <w:lang w:eastAsia="ja-JP"/>
              </w:rPr>
              <w:t>4</w:t>
            </w:r>
          </w:p>
        </w:tc>
        <w:tc>
          <w:tcPr>
            <w:tcW w:w="1018" w:type="pct"/>
            <w:gridSpan w:val="2"/>
            <w:shd w:val="clear" w:color="auto" w:fill="F2F2F2"/>
            <w:hideMark/>
          </w:tcPr>
          <w:p w14:paraId="344036B6" w14:textId="77777777" w:rsidR="00395D01" w:rsidRPr="00912996" w:rsidRDefault="00395D01" w:rsidP="00292396">
            <w:pPr>
              <w:rPr>
                <w:rFonts w:ascii="Calibri" w:hAnsi="Calibri"/>
                <w:bCs/>
                <w:lang w:eastAsia="ja-JP"/>
              </w:rPr>
            </w:pPr>
            <w:r w:rsidRPr="006976B2">
              <w:rPr>
                <w:rFonts w:ascii="Calibri" w:hAnsi="Calibri"/>
                <w:bCs/>
                <w:lang w:eastAsia="ja-JP"/>
              </w:rPr>
              <w:t>Reabilitare și modernizare Școala nr. 28</w:t>
            </w:r>
          </w:p>
        </w:tc>
        <w:tc>
          <w:tcPr>
            <w:tcW w:w="640" w:type="pct"/>
            <w:shd w:val="clear" w:color="auto" w:fill="F2F2F2"/>
            <w:hideMark/>
          </w:tcPr>
          <w:p w14:paraId="1E7FB0D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3B0284F" w14:textId="77777777" w:rsidR="00395D01" w:rsidRPr="00912996" w:rsidRDefault="00395D01" w:rsidP="00292396">
            <w:pPr>
              <w:rPr>
                <w:rFonts w:ascii="Calibri" w:hAnsi="Calibri"/>
                <w:bCs/>
                <w:lang w:eastAsia="ja-JP"/>
              </w:rPr>
            </w:pPr>
            <w:r w:rsidRPr="006976B2">
              <w:rPr>
                <w:rFonts w:ascii="Calibri" w:hAnsi="Calibri"/>
                <w:bCs/>
                <w:lang w:eastAsia="ja-JP"/>
              </w:rPr>
              <w:t>În implementare</w:t>
            </w:r>
          </w:p>
        </w:tc>
        <w:tc>
          <w:tcPr>
            <w:tcW w:w="473" w:type="pct"/>
            <w:shd w:val="clear" w:color="auto" w:fill="F2F2F2"/>
            <w:hideMark/>
          </w:tcPr>
          <w:p w14:paraId="3807305F" w14:textId="77777777" w:rsidR="00395D01" w:rsidRPr="00912996" w:rsidRDefault="00395D01" w:rsidP="00292396">
            <w:pPr>
              <w:rPr>
                <w:rFonts w:ascii="Calibri" w:hAnsi="Calibri"/>
                <w:bCs/>
                <w:lang w:eastAsia="ja-JP"/>
              </w:rPr>
            </w:pPr>
            <w:r w:rsidRPr="006976B2">
              <w:rPr>
                <w:rFonts w:ascii="Calibri" w:hAnsi="Calibri"/>
                <w:bCs/>
                <w:lang w:eastAsia="ja-JP"/>
              </w:rPr>
              <w:t>14,982,669</w:t>
            </w:r>
          </w:p>
        </w:tc>
        <w:tc>
          <w:tcPr>
            <w:tcW w:w="411" w:type="pct"/>
            <w:shd w:val="clear" w:color="auto" w:fill="F2F2F2"/>
            <w:hideMark/>
          </w:tcPr>
          <w:p w14:paraId="06D785E8" w14:textId="77777777" w:rsidR="00395D01" w:rsidRPr="00912996" w:rsidRDefault="00395D01" w:rsidP="00292396">
            <w:pPr>
              <w:rPr>
                <w:rFonts w:ascii="Calibri" w:hAnsi="Calibri"/>
                <w:bCs/>
                <w:lang w:eastAsia="ja-JP"/>
              </w:rPr>
            </w:pPr>
            <w:r w:rsidRPr="006976B2">
              <w:rPr>
                <w:rFonts w:ascii="Calibri" w:hAnsi="Calibri"/>
                <w:bCs/>
                <w:lang w:eastAsia="ja-JP"/>
              </w:rPr>
              <w:t>3,057,688</w:t>
            </w:r>
          </w:p>
        </w:tc>
        <w:tc>
          <w:tcPr>
            <w:tcW w:w="347" w:type="pct"/>
            <w:shd w:val="clear" w:color="auto" w:fill="F2F2F2"/>
            <w:hideMark/>
          </w:tcPr>
          <w:p w14:paraId="1538BD2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CBD0032" w14:textId="77777777" w:rsidR="00395D01" w:rsidRPr="00912996" w:rsidRDefault="00395D01" w:rsidP="00292396">
            <w:pPr>
              <w:rPr>
                <w:rFonts w:ascii="Calibri" w:hAnsi="Calibri"/>
                <w:bCs/>
                <w:lang w:eastAsia="ja-JP"/>
              </w:rPr>
            </w:pPr>
            <w:r w:rsidRPr="006976B2">
              <w:rPr>
                <w:rFonts w:ascii="Calibri" w:hAnsi="Calibri"/>
                <w:bCs/>
                <w:lang w:eastAsia="ja-JP"/>
              </w:rPr>
              <w:t>PNRR, Bugetul local</w:t>
            </w:r>
          </w:p>
        </w:tc>
        <w:tc>
          <w:tcPr>
            <w:tcW w:w="433" w:type="pct"/>
            <w:shd w:val="clear" w:color="auto" w:fill="F2F2F2"/>
            <w:hideMark/>
          </w:tcPr>
          <w:p w14:paraId="39BD4A2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DD227F6"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1247A54" w14:textId="77777777" w:rsidTr="0075720E">
        <w:trPr>
          <w:trHeight w:val="804"/>
        </w:trPr>
        <w:tc>
          <w:tcPr>
            <w:tcW w:w="205" w:type="pct"/>
            <w:shd w:val="clear" w:color="auto" w:fill="F2F2F2"/>
            <w:noWrap/>
            <w:hideMark/>
          </w:tcPr>
          <w:p w14:paraId="164DC61C" w14:textId="77777777" w:rsidR="00395D01" w:rsidRPr="00912996" w:rsidRDefault="00395D01" w:rsidP="00292396">
            <w:pPr>
              <w:rPr>
                <w:rFonts w:ascii="Calibri" w:hAnsi="Calibri"/>
                <w:bCs/>
                <w:lang w:eastAsia="ja-JP"/>
              </w:rPr>
            </w:pPr>
            <w:r w:rsidRPr="00912996">
              <w:rPr>
                <w:rFonts w:ascii="Calibri" w:hAnsi="Calibri"/>
                <w:bCs/>
                <w:lang w:eastAsia="ja-JP"/>
              </w:rPr>
              <w:t>6</w:t>
            </w:r>
            <w:r>
              <w:rPr>
                <w:rFonts w:ascii="Calibri" w:hAnsi="Calibri"/>
                <w:bCs/>
                <w:lang w:eastAsia="ja-JP"/>
              </w:rPr>
              <w:t>5</w:t>
            </w:r>
          </w:p>
        </w:tc>
        <w:tc>
          <w:tcPr>
            <w:tcW w:w="1018" w:type="pct"/>
            <w:gridSpan w:val="2"/>
            <w:shd w:val="clear" w:color="auto" w:fill="F2F2F2"/>
            <w:hideMark/>
          </w:tcPr>
          <w:p w14:paraId="40B5EB53" w14:textId="77777777" w:rsidR="00395D01" w:rsidRPr="00912996" w:rsidRDefault="00395D01" w:rsidP="00292396">
            <w:pPr>
              <w:rPr>
                <w:rFonts w:ascii="Calibri" w:hAnsi="Calibri"/>
                <w:bCs/>
                <w:lang w:eastAsia="ja-JP"/>
              </w:rPr>
            </w:pPr>
            <w:r w:rsidRPr="006976B2">
              <w:rPr>
                <w:rFonts w:ascii="Calibri" w:hAnsi="Calibri"/>
                <w:bCs/>
                <w:lang w:eastAsia="ja-JP"/>
              </w:rPr>
              <w:t>Reabilitare și modernizare Şcoala nr. 307</w:t>
            </w:r>
          </w:p>
        </w:tc>
        <w:tc>
          <w:tcPr>
            <w:tcW w:w="640" w:type="pct"/>
            <w:shd w:val="clear" w:color="auto" w:fill="F2F2F2"/>
            <w:hideMark/>
          </w:tcPr>
          <w:p w14:paraId="1E11B01D"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79DFDA9" w14:textId="77777777" w:rsidR="00395D01" w:rsidRPr="00912996" w:rsidRDefault="00395D01" w:rsidP="00292396">
            <w:pPr>
              <w:rPr>
                <w:rFonts w:ascii="Calibri" w:hAnsi="Calibri"/>
                <w:bCs/>
                <w:lang w:eastAsia="ja-JP"/>
              </w:rPr>
            </w:pPr>
            <w:r w:rsidRPr="006976B2">
              <w:rPr>
                <w:rFonts w:ascii="Calibri" w:hAnsi="Calibri"/>
                <w:bCs/>
                <w:lang w:eastAsia="ja-JP"/>
              </w:rPr>
              <w:t>Finalizat</w:t>
            </w:r>
          </w:p>
        </w:tc>
        <w:tc>
          <w:tcPr>
            <w:tcW w:w="473" w:type="pct"/>
            <w:shd w:val="clear" w:color="auto" w:fill="F2F2F2"/>
            <w:hideMark/>
          </w:tcPr>
          <w:p w14:paraId="73190DEA" w14:textId="77777777" w:rsidR="00395D01" w:rsidRPr="00912996" w:rsidRDefault="00395D01" w:rsidP="00292396">
            <w:pPr>
              <w:rPr>
                <w:rFonts w:ascii="Calibri" w:hAnsi="Calibri"/>
                <w:bCs/>
                <w:lang w:eastAsia="ja-JP"/>
              </w:rPr>
            </w:pPr>
            <w:r w:rsidRPr="006976B2">
              <w:rPr>
                <w:rFonts w:ascii="Calibri" w:hAnsi="Calibri"/>
                <w:bCs/>
                <w:lang w:eastAsia="ja-JP"/>
              </w:rPr>
              <w:t>9,253,547</w:t>
            </w:r>
          </w:p>
        </w:tc>
        <w:tc>
          <w:tcPr>
            <w:tcW w:w="411" w:type="pct"/>
            <w:shd w:val="clear" w:color="auto" w:fill="F2F2F2"/>
            <w:hideMark/>
          </w:tcPr>
          <w:p w14:paraId="2337BBD3" w14:textId="77777777" w:rsidR="00395D01" w:rsidRPr="00912996" w:rsidRDefault="00395D01" w:rsidP="00292396">
            <w:pPr>
              <w:rPr>
                <w:rFonts w:ascii="Calibri" w:hAnsi="Calibri"/>
                <w:bCs/>
                <w:lang w:eastAsia="ja-JP"/>
              </w:rPr>
            </w:pPr>
            <w:r w:rsidRPr="006976B2">
              <w:rPr>
                <w:rFonts w:ascii="Calibri" w:hAnsi="Calibri"/>
                <w:bCs/>
                <w:lang w:eastAsia="ja-JP"/>
              </w:rPr>
              <w:t>1,276,234</w:t>
            </w:r>
          </w:p>
        </w:tc>
        <w:tc>
          <w:tcPr>
            <w:tcW w:w="347" w:type="pct"/>
            <w:shd w:val="clear" w:color="auto" w:fill="F2F2F2"/>
            <w:hideMark/>
          </w:tcPr>
          <w:p w14:paraId="2C2D6432" w14:textId="77777777" w:rsidR="00395D01" w:rsidRPr="00912996" w:rsidRDefault="00395D01" w:rsidP="00292396">
            <w:pPr>
              <w:rPr>
                <w:rFonts w:ascii="Calibri" w:hAnsi="Calibri"/>
                <w:bCs/>
                <w:lang w:eastAsia="ja-JP"/>
              </w:rPr>
            </w:pPr>
            <w:r w:rsidRPr="006976B2">
              <w:rPr>
                <w:rFonts w:ascii="Calibri" w:hAnsi="Calibri"/>
                <w:bCs/>
                <w:lang w:eastAsia="ja-JP"/>
              </w:rPr>
              <w:t>2017</w:t>
            </w:r>
            <w:r>
              <w:rPr>
                <w:rFonts w:ascii="Calibri" w:hAnsi="Calibri"/>
                <w:bCs/>
                <w:lang w:eastAsia="ja-JP"/>
              </w:rPr>
              <w:t xml:space="preserve"> </w:t>
            </w:r>
            <w:r w:rsidRPr="006976B2">
              <w:rPr>
                <w:rFonts w:ascii="Calibri" w:hAnsi="Calibri"/>
                <w:bCs/>
                <w:lang w:eastAsia="ja-JP"/>
              </w:rPr>
              <w:t>-2021</w:t>
            </w:r>
          </w:p>
        </w:tc>
        <w:tc>
          <w:tcPr>
            <w:tcW w:w="484" w:type="pct"/>
            <w:gridSpan w:val="2"/>
            <w:shd w:val="clear" w:color="auto" w:fill="F2F2F2"/>
            <w:hideMark/>
          </w:tcPr>
          <w:p w14:paraId="6469A422" w14:textId="77777777" w:rsidR="00395D01" w:rsidRPr="00912996" w:rsidRDefault="00395D01" w:rsidP="00292396">
            <w:pPr>
              <w:rPr>
                <w:rFonts w:ascii="Calibri" w:hAnsi="Calibri"/>
                <w:bCs/>
                <w:lang w:eastAsia="ja-JP"/>
              </w:rPr>
            </w:pPr>
            <w:r w:rsidRPr="006976B2">
              <w:rPr>
                <w:rFonts w:ascii="Calibri" w:hAnsi="Calibri"/>
                <w:bCs/>
                <w:lang w:eastAsia="ja-JP"/>
              </w:rPr>
              <w:t>Bugetul local</w:t>
            </w:r>
          </w:p>
        </w:tc>
        <w:tc>
          <w:tcPr>
            <w:tcW w:w="433" w:type="pct"/>
            <w:shd w:val="clear" w:color="auto" w:fill="F2F2F2"/>
            <w:hideMark/>
          </w:tcPr>
          <w:p w14:paraId="43CAA19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FA6E82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3A6F76D" w14:textId="77777777" w:rsidTr="00E16711">
        <w:trPr>
          <w:trHeight w:val="800"/>
        </w:trPr>
        <w:tc>
          <w:tcPr>
            <w:tcW w:w="205" w:type="pct"/>
            <w:shd w:val="clear" w:color="auto" w:fill="F2F2F2"/>
            <w:noWrap/>
            <w:hideMark/>
          </w:tcPr>
          <w:p w14:paraId="7F75CCC4" w14:textId="77777777" w:rsidR="00395D01" w:rsidRPr="00912996" w:rsidRDefault="00395D01" w:rsidP="00292396">
            <w:pPr>
              <w:rPr>
                <w:rFonts w:ascii="Calibri" w:hAnsi="Calibri"/>
                <w:bCs/>
                <w:lang w:eastAsia="ja-JP"/>
              </w:rPr>
            </w:pPr>
            <w:r w:rsidRPr="00912996">
              <w:rPr>
                <w:rFonts w:ascii="Calibri" w:hAnsi="Calibri"/>
                <w:bCs/>
                <w:lang w:eastAsia="ja-JP"/>
              </w:rPr>
              <w:t>6</w:t>
            </w:r>
            <w:r>
              <w:rPr>
                <w:rFonts w:ascii="Calibri" w:hAnsi="Calibri"/>
                <w:bCs/>
                <w:lang w:eastAsia="ja-JP"/>
              </w:rPr>
              <w:t>6</w:t>
            </w:r>
          </w:p>
        </w:tc>
        <w:tc>
          <w:tcPr>
            <w:tcW w:w="1018" w:type="pct"/>
            <w:gridSpan w:val="2"/>
            <w:shd w:val="clear" w:color="auto" w:fill="F2F2F2"/>
            <w:hideMark/>
          </w:tcPr>
          <w:p w14:paraId="653D7CC1" w14:textId="77777777" w:rsidR="00395D01" w:rsidRPr="006976B2" w:rsidRDefault="00395D01" w:rsidP="00292396">
            <w:pPr>
              <w:rPr>
                <w:rFonts w:ascii="Calibri" w:hAnsi="Calibri"/>
                <w:bCs/>
                <w:lang w:eastAsia="ja-JP"/>
              </w:rPr>
            </w:pPr>
            <w:r w:rsidRPr="006976B2">
              <w:rPr>
                <w:rFonts w:ascii="Calibri" w:hAnsi="Calibri"/>
                <w:bCs/>
                <w:lang w:eastAsia="ja-JP"/>
              </w:rPr>
              <w:t>Reabilitare şi modernizare Şcoala nr. 32 corp școală</w:t>
            </w:r>
          </w:p>
          <w:p w14:paraId="02E7D434" w14:textId="77777777" w:rsidR="00395D01" w:rsidRPr="006976B2" w:rsidRDefault="00395D01" w:rsidP="00292396">
            <w:pPr>
              <w:rPr>
                <w:rFonts w:ascii="Calibri" w:hAnsi="Calibri"/>
                <w:bCs/>
                <w:lang w:eastAsia="ja-JP"/>
              </w:rPr>
            </w:pPr>
          </w:p>
          <w:p w14:paraId="12C48B70" w14:textId="77777777" w:rsidR="00395D01" w:rsidRPr="00912996" w:rsidRDefault="00395D01" w:rsidP="00292396">
            <w:pPr>
              <w:rPr>
                <w:rFonts w:ascii="Calibri" w:hAnsi="Calibri"/>
                <w:bCs/>
                <w:lang w:eastAsia="ja-JP"/>
              </w:rPr>
            </w:pPr>
            <w:r w:rsidRPr="006976B2">
              <w:rPr>
                <w:rFonts w:ascii="Calibri" w:hAnsi="Calibri"/>
                <w:bCs/>
                <w:lang w:eastAsia="ja-JP"/>
              </w:rPr>
              <w:t>Reabilitare şi modernizare Şcoala nr. 32 -</w:t>
            </w:r>
            <w:r>
              <w:rPr>
                <w:rFonts w:ascii="Calibri" w:hAnsi="Calibri"/>
                <w:bCs/>
                <w:lang w:eastAsia="ja-JP"/>
              </w:rPr>
              <w:t xml:space="preserve"> </w:t>
            </w:r>
            <w:r w:rsidRPr="006976B2">
              <w:rPr>
                <w:rFonts w:ascii="Calibri" w:hAnsi="Calibri"/>
                <w:bCs/>
                <w:lang w:eastAsia="ja-JP"/>
              </w:rPr>
              <w:t>sala sport</w:t>
            </w:r>
          </w:p>
        </w:tc>
        <w:tc>
          <w:tcPr>
            <w:tcW w:w="640" w:type="pct"/>
            <w:shd w:val="clear" w:color="auto" w:fill="F2F2F2"/>
            <w:hideMark/>
          </w:tcPr>
          <w:p w14:paraId="1925F22D"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FC87273" w14:textId="77777777" w:rsidR="00395D01" w:rsidRPr="006976B2" w:rsidRDefault="00395D01" w:rsidP="00292396">
            <w:pPr>
              <w:rPr>
                <w:rFonts w:ascii="Calibri" w:hAnsi="Calibri"/>
                <w:bCs/>
                <w:lang w:eastAsia="ja-JP"/>
              </w:rPr>
            </w:pPr>
            <w:r w:rsidRPr="006976B2">
              <w:rPr>
                <w:rFonts w:ascii="Calibri" w:hAnsi="Calibri"/>
                <w:bCs/>
                <w:lang w:eastAsia="ja-JP"/>
              </w:rPr>
              <w:t>Finalizat</w:t>
            </w:r>
            <w:r>
              <w:rPr>
                <w:rFonts w:ascii="Calibri" w:hAnsi="Calibri"/>
                <w:bCs/>
                <w:lang w:eastAsia="ja-JP"/>
              </w:rPr>
              <w:t xml:space="preserve"> </w:t>
            </w:r>
            <w:r w:rsidRPr="006976B2">
              <w:rPr>
                <w:rFonts w:ascii="Calibri" w:hAnsi="Calibri"/>
                <w:bCs/>
                <w:lang w:eastAsia="ja-JP"/>
              </w:rPr>
              <w:t>corp școală</w:t>
            </w:r>
          </w:p>
          <w:p w14:paraId="27DB9845" w14:textId="77777777" w:rsidR="00395D01" w:rsidRPr="006976B2" w:rsidRDefault="00395D01" w:rsidP="00292396">
            <w:pPr>
              <w:rPr>
                <w:rFonts w:ascii="Calibri" w:hAnsi="Calibri"/>
                <w:bCs/>
                <w:lang w:eastAsia="ja-JP"/>
              </w:rPr>
            </w:pPr>
          </w:p>
          <w:p w14:paraId="2E6D5786" w14:textId="77777777" w:rsidR="00395D01" w:rsidRPr="00912996" w:rsidRDefault="00395D01" w:rsidP="00292396">
            <w:pPr>
              <w:rPr>
                <w:rFonts w:ascii="Calibri" w:hAnsi="Calibri"/>
                <w:bCs/>
                <w:lang w:eastAsia="ja-JP"/>
              </w:rPr>
            </w:pPr>
            <w:r w:rsidRPr="006976B2">
              <w:rPr>
                <w:rFonts w:ascii="Calibri" w:hAnsi="Calibri"/>
                <w:bCs/>
                <w:lang w:eastAsia="ja-JP"/>
              </w:rPr>
              <w:t>Sal</w:t>
            </w:r>
            <w:r>
              <w:rPr>
                <w:rFonts w:ascii="Calibri" w:hAnsi="Calibri"/>
                <w:bCs/>
                <w:lang w:eastAsia="ja-JP"/>
              </w:rPr>
              <w:t>ă</w:t>
            </w:r>
            <w:r w:rsidRPr="006976B2">
              <w:rPr>
                <w:rFonts w:ascii="Calibri" w:hAnsi="Calibri"/>
                <w:bCs/>
                <w:lang w:eastAsia="ja-JP"/>
              </w:rPr>
              <w:t xml:space="preserve"> sport idee</w:t>
            </w:r>
          </w:p>
        </w:tc>
        <w:tc>
          <w:tcPr>
            <w:tcW w:w="473" w:type="pct"/>
            <w:shd w:val="clear" w:color="auto" w:fill="F2F2F2"/>
            <w:hideMark/>
          </w:tcPr>
          <w:p w14:paraId="33C37BF5" w14:textId="77777777" w:rsidR="00395D01" w:rsidRPr="006976B2" w:rsidRDefault="00395D01" w:rsidP="00292396">
            <w:pPr>
              <w:rPr>
                <w:rFonts w:ascii="Calibri" w:hAnsi="Calibri"/>
                <w:bCs/>
                <w:lang w:eastAsia="ja-JP"/>
              </w:rPr>
            </w:pPr>
            <w:r w:rsidRPr="006976B2">
              <w:rPr>
                <w:rFonts w:ascii="Calibri" w:hAnsi="Calibri"/>
                <w:bCs/>
                <w:lang w:eastAsia="ja-JP"/>
              </w:rPr>
              <w:t>12,871,200</w:t>
            </w:r>
          </w:p>
          <w:p w14:paraId="6D773C65" w14:textId="77777777" w:rsidR="00395D01" w:rsidRPr="006976B2" w:rsidRDefault="00395D01" w:rsidP="00292396">
            <w:pPr>
              <w:rPr>
                <w:rFonts w:ascii="Calibri" w:hAnsi="Calibri"/>
                <w:bCs/>
                <w:lang w:eastAsia="ja-JP"/>
              </w:rPr>
            </w:pPr>
          </w:p>
          <w:p w14:paraId="1254D918" w14:textId="77777777" w:rsidR="00395D01" w:rsidRPr="00912996" w:rsidRDefault="00395D01" w:rsidP="00292396">
            <w:pPr>
              <w:rPr>
                <w:rFonts w:ascii="Calibri" w:hAnsi="Calibri"/>
                <w:bCs/>
                <w:lang w:eastAsia="ja-JP"/>
              </w:rPr>
            </w:pPr>
            <w:r w:rsidRPr="006976B2">
              <w:rPr>
                <w:rFonts w:ascii="Calibri" w:hAnsi="Calibri"/>
                <w:bCs/>
                <w:lang w:eastAsia="ja-JP"/>
              </w:rPr>
              <w:t>1,447,061</w:t>
            </w:r>
          </w:p>
        </w:tc>
        <w:tc>
          <w:tcPr>
            <w:tcW w:w="411" w:type="pct"/>
            <w:shd w:val="clear" w:color="auto" w:fill="F2F2F2"/>
            <w:hideMark/>
          </w:tcPr>
          <w:p w14:paraId="5C191E7F" w14:textId="77777777" w:rsidR="00395D01" w:rsidRPr="006976B2" w:rsidRDefault="00395D01" w:rsidP="00292396">
            <w:pPr>
              <w:rPr>
                <w:rFonts w:ascii="Calibri" w:hAnsi="Calibri"/>
                <w:bCs/>
                <w:lang w:eastAsia="ja-JP"/>
              </w:rPr>
            </w:pPr>
            <w:r w:rsidRPr="006976B2">
              <w:rPr>
                <w:rFonts w:ascii="Calibri" w:hAnsi="Calibri"/>
                <w:bCs/>
                <w:lang w:eastAsia="ja-JP"/>
              </w:rPr>
              <w:t>2,626,776</w:t>
            </w:r>
          </w:p>
          <w:p w14:paraId="4AB3D17E" w14:textId="77777777" w:rsidR="00395D01" w:rsidRPr="006976B2" w:rsidRDefault="00395D01" w:rsidP="00292396">
            <w:pPr>
              <w:rPr>
                <w:rFonts w:ascii="Calibri" w:hAnsi="Calibri"/>
                <w:bCs/>
                <w:lang w:eastAsia="ja-JP"/>
              </w:rPr>
            </w:pPr>
          </w:p>
          <w:p w14:paraId="6F78A311" w14:textId="77777777" w:rsidR="00395D01" w:rsidRPr="00912996" w:rsidRDefault="00395D01" w:rsidP="00292396">
            <w:pPr>
              <w:rPr>
                <w:rFonts w:ascii="Calibri" w:hAnsi="Calibri"/>
                <w:bCs/>
                <w:lang w:eastAsia="ja-JP"/>
              </w:rPr>
            </w:pPr>
            <w:r w:rsidRPr="006976B2">
              <w:rPr>
                <w:rFonts w:ascii="Calibri" w:hAnsi="Calibri"/>
                <w:bCs/>
                <w:lang w:eastAsia="ja-JP"/>
              </w:rPr>
              <w:t>295,319</w:t>
            </w:r>
          </w:p>
        </w:tc>
        <w:tc>
          <w:tcPr>
            <w:tcW w:w="347" w:type="pct"/>
            <w:shd w:val="clear" w:color="auto" w:fill="F2F2F2"/>
            <w:hideMark/>
          </w:tcPr>
          <w:p w14:paraId="0214AA48" w14:textId="77777777" w:rsidR="00395D01" w:rsidRPr="006976B2" w:rsidRDefault="00395D01" w:rsidP="00292396">
            <w:pPr>
              <w:rPr>
                <w:rFonts w:ascii="Calibri" w:hAnsi="Calibri"/>
                <w:bCs/>
                <w:lang w:eastAsia="ja-JP"/>
              </w:rPr>
            </w:pPr>
            <w:r w:rsidRPr="006976B2">
              <w:rPr>
                <w:rFonts w:ascii="Calibri" w:hAnsi="Calibri"/>
                <w:bCs/>
                <w:lang w:eastAsia="ja-JP"/>
              </w:rPr>
              <w:t>2017</w:t>
            </w:r>
            <w:r>
              <w:rPr>
                <w:rFonts w:ascii="Calibri" w:hAnsi="Calibri"/>
                <w:bCs/>
                <w:lang w:eastAsia="ja-JP"/>
              </w:rPr>
              <w:t xml:space="preserve"> </w:t>
            </w:r>
            <w:r w:rsidRPr="006976B2">
              <w:rPr>
                <w:rFonts w:ascii="Calibri" w:hAnsi="Calibri"/>
                <w:bCs/>
                <w:lang w:eastAsia="ja-JP"/>
              </w:rPr>
              <w:t>-2021</w:t>
            </w:r>
          </w:p>
          <w:p w14:paraId="6DD53D3B" w14:textId="77777777" w:rsidR="00395D01" w:rsidRPr="006976B2" w:rsidRDefault="00395D01" w:rsidP="00292396">
            <w:pPr>
              <w:rPr>
                <w:rFonts w:ascii="Calibri" w:hAnsi="Calibri"/>
                <w:bCs/>
                <w:lang w:eastAsia="ja-JP"/>
              </w:rPr>
            </w:pPr>
          </w:p>
          <w:p w14:paraId="289AFFAA" w14:textId="77777777" w:rsidR="00395D01" w:rsidRPr="00912996" w:rsidRDefault="00395D01" w:rsidP="00292396">
            <w:pPr>
              <w:rPr>
                <w:rFonts w:ascii="Calibri" w:hAnsi="Calibri"/>
                <w:bCs/>
                <w:lang w:eastAsia="ja-JP"/>
              </w:rPr>
            </w:pPr>
            <w:r w:rsidRPr="006976B2">
              <w:rPr>
                <w:rFonts w:ascii="Calibri" w:hAnsi="Calibri"/>
                <w:bCs/>
                <w:lang w:eastAsia="ja-JP"/>
              </w:rPr>
              <w:t>2021</w:t>
            </w:r>
            <w:r>
              <w:rPr>
                <w:rFonts w:ascii="Calibri" w:hAnsi="Calibri"/>
                <w:bCs/>
                <w:lang w:eastAsia="ja-JP"/>
              </w:rPr>
              <w:t xml:space="preserve"> </w:t>
            </w:r>
            <w:r w:rsidRPr="006976B2">
              <w:rPr>
                <w:rFonts w:ascii="Calibri" w:hAnsi="Calibri"/>
                <w:bCs/>
                <w:lang w:eastAsia="ja-JP"/>
              </w:rPr>
              <w:t>-2027</w:t>
            </w:r>
          </w:p>
        </w:tc>
        <w:tc>
          <w:tcPr>
            <w:tcW w:w="484" w:type="pct"/>
            <w:gridSpan w:val="2"/>
            <w:shd w:val="clear" w:color="auto" w:fill="F2F2F2"/>
            <w:hideMark/>
          </w:tcPr>
          <w:p w14:paraId="5D4EF7A5" w14:textId="77777777" w:rsidR="00395D01" w:rsidRPr="00912996" w:rsidRDefault="00395D01" w:rsidP="00292396">
            <w:pPr>
              <w:rPr>
                <w:rFonts w:ascii="Calibri" w:hAnsi="Calibri"/>
                <w:bCs/>
                <w:lang w:eastAsia="ja-JP"/>
              </w:rPr>
            </w:pPr>
            <w:r w:rsidRPr="006976B2">
              <w:rPr>
                <w:rFonts w:ascii="Calibri" w:hAnsi="Calibri"/>
                <w:bCs/>
                <w:lang w:eastAsia="ja-JP"/>
              </w:rPr>
              <w:t>Bugetul local</w:t>
            </w:r>
          </w:p>
        </w:tc>
        <w:tc>
          <w:tcPr>
            <w:tcW w:w="433" w:type="pct"/>
            <w:shd w:val="clear" w:color="auto" w:fill="F2F2F2"/>
            <w:hideMark/>
          </w:tcPr>
          <w:p w14:paraId="397F5B7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5E3EA7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9B97258" w14:textId="77777777" w:rsidTr="0075720E">
        <w:trPr>
          <w:trHeight w:val="804"/>
        </w:trPr>
        <w:tc>
          <w:tcPr>
            <w:tcW w:w="205" w:type="pct"/>
            <w:shd w:val="clear" w:color="auto" w:fill="F2F2F2"/>
            <w:noWrap/>
            <w:hideMark/>
          </w:tcPr>
          <w:p w14:paraId="676EF7C6" w14:textId="77777777" w:rsidR="00395D01" w:rsidRPr="00912996" w:rsidRDefault="00395D01" w:rsidP="00292396">
            <w:pPr>
              <w:rPr>
                <w:rFonts w:ascii="Calibri" w:hAnsi="Calibri"/>
                <w:bCs/>
                <w:lang w:eastAsia="ja-JP"/>
              </w:rPr>
            </w:pPr>
            <w:r w:rsidRPr="00912996">
              <w:rPr>
                <w:rFonts w:ascii="Calibri" w:hAnsi="Calibri"/>
                <w:bCs/>
                <w:lang w:eastAsia="ja-JP"/>
              </w:rPr>
              <w:t>6</w:t>
            </w:r>
            <w:r>
              <w:rPr>
                <w:rFonts w:ascii="Calibri" w:hAnsi="Calibri"/>
                <w:bCs/>
                <w:lang w:eastAsia="ja-JP"/>
              </w:rPr>
              <w:t>7</w:t>
            </w:r>
          </w:p>
        </w:tc>
        <w:tc>
          <w:tcPr>
            <w:tcW w:w="1018" w:type="pct"/>
            <w:gridSpan w:val="2"/>
            <w:shd w:val="clear" w:color="auto" w:fill="F2F2F2"/>
            <w:hideMark/>
          </w:tcPr>
          <w:p w14:paraId="2724456B" w14:textId="77777777" w:rsidR="00395D01" w:rsidRPr="00912996" w:rsidRDefault="00395D01" w:rsidP="00292396">
            <w:pPr>
              <w:rPr>
                <w:rFonts w:ascii="Calibri" w:hAnsi="Calibri"/>
                <w:bCs/>
                <w:lang w:eastAsia="ja-JP"/>
              </w:rPr>
            </w:pPr>
            <w:r w:rsidRPr="006976B2">
              <w:rPr>
                <w:rFonts w:ascii="Calibri" w:hAnsi="Calibri"/>
                <w:bCs/>
                <w:lang w:eastAsia="ja-JP"/>
              </w:rPr>
              <w:t>Reabilitare şi modernizare Şcoala nr. 4</w:t>
            </w:r>
          </w:p>
        </w:tc>
        <w:tc>
          <w:tcPr>
            <w:tcW w:w="640" w:type="pct"/>
            <w:shd w:val="clear" w:color="auto" w:fill="F2F2F2"/>
            <w:hideMark/>
          </w:tcPr>
          <w:p w14:paraId="3587CF3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6257DC6" w14:textId="77777777" w:rsidR="00395D01" w:rsidRPr="00912996" w:rsidRDefault="00395D01" w:rsidP="00292396">
            <w:pPr>
              <w:rPr>
                <w:rFonts w:ascii="Calibri" w:hAnsi="Calibri"/>
                <w:bCs/>
                <w:lang w:eastAsia="ja-JP"/>
              </w:rPr>
            </w:pPr>
            <w:r w:rsidRPr="006976B2">
              <w:rPr>
                <w:rFonts w:ascii="Calibri" w:hAnsi="Calibri"/>
                <w:bCs/>
                <w:lang w:eastAsia="ja-JP"/>
              </w:rPr>
              <w:t>Finalizat</w:t>
            </w:r>
          </w:p>
        </w:tc>
        <w:tc>
          <w:tcPr>
            <w:tcW w:w="473" w:type="pct"/>
            <w:shd w:val="clear" w:color="auto" w:fill="F2F2F2"/>
            <w:hideMark/>
          </w:tcPr>
          <w:p w14:paraId="5756D405" w14:textId="77777777" w:rsidR="00395D01" w:rsidRPr="00912996" w:rsidRDefault="00395D01" w:rsidP="00292396">
            <w:pPr>
              <w:rPr>
                <w:rFonts w:ascii="Calibri" w:hAnsi="Calibri"/>
                <w:bCs/>
                <w:lang w:eastAsia="ja-JP"/>
              </w:rPr>
            </w:pPr>
            <w:r w:rsidRPr="006976B2">
              <w:rPr>
                <w:rFonts w:ascii="Calibri" w:hAnsi="Calibri"/>
                <w:bCs/>
                <w:lang w:eastAsia="ja-JP"/>
              </w:rPr>
              <w:t>9,098,029</w:t>
            </w:r>
          </w:p>
        </w:tc>
        <w:tc>
          <w:tcPr>
            <w:tcW w:w="411" w:type="pct"/>
            <w:shd w:val="clear" w:color="auto" w:fill="F2F2F2"/>
            <w:hideMark/>
          </w:tcPr>
          <w:p w14:paraId="39109B69" w14:textId="77777777" w:rsidR="00395D01" w:rsidRPr="00912996" w:rsidRDefault="00395D01" w:rsidP="00292396">
            <w:pPr>
              <w:rPr>
                <w:rFonts w:ascii="Calibri" w:hAnsi="Calibri"/>
                <w:bCs/>
                <w:lang w:eastAsia="ja-JP"/>
              </w:rPr>
            </w:pPr>
            <w:r w:rsidRPr="006976B2">
              <w:rPr>
                <w:rFonts w:ascii="Calibri" w:hAnsi="Calibri"/>
                <w:bCs/>
                <w:lang w:eastAsia="ja-JP"/>
              </w:rPr>
              <w:t>1,856,741</w:t>
            </w:r>
          </w:p>
        </w:tc>
        <w:tc>
          <w:tcPr>
            <w:tcW w:w="347" w:type="pct"/>
            <w:shd w:val="clear" w:color="auto" w:fill="F2F2F2"/>
            <w:hideMark/>
          </w:tcPr>
          <w:p w14:paraId="4D26CB95" w14:textId="77777777" w:rsidR="00395D01" w:rsidRPr="00912996" w:rsidRDefault="00395D01" w:rsidP="00292396">
            <w:pPr>
              <w:rPr>
                <w:rFonts w:ascii="Calibri" w:hAnsi="Calibri"/>
                <w:bCs/>
                <w:lang w:eastAsia="ja-JP"/>
              </w:rPr>
            </w:pPr>
            <w:r w:rsidRPr="006976B2">
              <w:rPr>
                <w:rFonts w:ascii="Calibri" w:hAnsi="Calibri"/>
                <w:bCs/>
                <w:lang w:eastAsia="ja-JP"/>
              </w:rPr>
              <w:t>2017</w:t>
            </w:r>
            <w:r>
              <w:rPr>
                <w:rFonts w:ascii="Calibri" w:hAnsi="Calibri"/>
                <w:bCs/>
                <w:lang w:eastAsia="ja-JP"/>
              </w:rPr>
              <w:t xml:space="preserve"> </w:t>
            </w:r>
            <w:r w:rsidRPr="006976B2">
              <w:rPr>
                <w:rFonts w:ascii="Calibri" w:hAnsi="Calibri"/>
                <w:bCs/>
                <w:lang w:eastAsia="ja-JP"/>
              </w:rPr>
              <w:t>-2021</w:t>
            </w:r>
          </w:p>
        </w:tc>
        <w:tc>
          <w:tcPr>
            <w:tcW w:w="484" w:type="pct"/>
            <w:gridSpan w:val="2"/>
            <w:shd w:val="clear" w:color="auto" w:fill="F2F2F2"/>
            <w:hideMark/>
          </w:tcPr>
          <w:p w14:paraId="645CF50F" w14:textId="77777777" w:rsidR="00395D01" w:rsidRPr="00912996" w:rsidRDefault="00395D01" w:rsidP="00292396">
            <w:pPr>
              <w:rPr>
                <w:rFonts w:ascii="Calibri" w:hAnsi="Calibri"/>
                <w:bCs/>
                <w:lang w:eastAsia="ja-JP"/>
              </w:rPr>
            </w:pPr>
            <w:r w:rsidRPr="006976B2">
              <w:rPr>
                <w:rFonts w:ascii="Calibri" w:hAnsi="Calibri"/>
                <w:bCs/>
                <w:lang w:eastAsia="ja-JP"/>
              </w:rPr>
              <w:t>Bugetul local</w:t>
            </w:r>
          </w:p>
        </w:tc>
        <w:tc>
          <w:tcPr>
            <w:tcW w:w="433" w:type="pct"/>
            <w:shd w:val="clear" w:color="auto" w:fill="F2F2F2"/>
            <w:hideMark/>
          </w:tcPr>
          <w:p w14:paraId="5D3229C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87A5FC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8CA36DB" w14:textId="77777777" w:rsidTr="00E16711">
        <w:trPr>
          <w:trHeight w:val="1320"/>
        </w:trPr>
        <w:tc>
          <w:tcPr>
            <w:tcW w:w="205" w:type="pct"/>
            <w:shd w:val="clear" w:color="auto" w:fill="F2F2F2"/>
            <w:noWrap/>
            <w:hideMark/>
          </w:tcPr>
          <w:p w14:paraId="1A646905" w14:textId="77777777" w:rsidR="00395D01" w:rsidRPr="00912996" w:rsidRDefault="00395D01" w:rsidP="00292396">
            <w:pPr>
              <w:rPr>
                <w:rFonts w:ascii="Calibri" w:hAnsi="Calibri"/>
                <w:bCs/>
                <w:lang w:eastAsia="ja-JP"/>
              </w:rPr>
            </w:pPr>
            <w:r>
              <w:rPr>
                <w:rFonts w:ascii="Calibri" w:hAnsi="Calibri"/>
                <w:bCs/>
                <w:lang w:eastAsia="ja-JP"/>
              </w:rPr>
              <w:t>68</w:t>
            </w:r>
          </w:p>
        </w:tc>
        <w:tc>
          <w:tcPr>
            <w:tcW w:w="1018" w:type="pct"/>
            <w:gridSpan w:val="2"/>
            <w:shd w:val="clear" w:color="auto" w:fill="F2F2F2"/>
            <w:hideMark/>
          </w:tcPr>
          <w:p w14:paraId="191DB07F" w14:textId="77777777" w:rsidR="00395D01" w:rsidRPr="00912996" w:rsidRDefault="00395D01" w:rsidP="00292396">
            <w:pPr>
              <w:rPr>
                <w:rFonts w:ascii="Calibri" w:hAnsi="Calibri"/>
                <w:bCs/>
                <w:lang w:eastAsia="ja-JP"/>
              </w:rPr>
            </w:pPr>
            <w:r w:rsidRPr="00912996">
              <w:rPr>
                <w:rFonts w:ascii="Calibri" w:hAnsi="Calibri"/>
                <w:bCs/>
                <w:lang w:eastAsia="ja-JP"/>
              </w:rPr>
              <w:t>Construire sală sport - Beneficiar: Școala nr. 4</w:t>
            </w:r>
          </w:p>
        </w:tc>
        <w:tc>
          <w:tcPr>
            <w:tcW w:w="640" w:type="pct"/>
            <w:shd w:val="clear" w:color="auto" w:fill="F2F2F2"/>
            <w:hideMark/>
          </w:tcPr>
          <w:p w14:paraId="2308BD26"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214D197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5D5FE8F"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1D938D1E" w14:textId="77777777" w:rsidR="00395D01" w:rsidRPr="00912996" w:rsidRDefault="00395D01" w:rsidP="00292396">
            <w:pPr>
              <w:rPr>
                <w:rFonts w:ascii="Calibri" w:hAnsi="Calibri"/>
                <w:bCs/>
                <w:lang w:eastAsia="ja-JP"/>
              </w:rPr>
            </w:pPr>
            <w:r w:rsidRPr="00912996">
              <w:rPr>
                <w:rFonts w:ascii="Calibri" w:hAnsi="Calibri"/>
                <w:bCs/>
                <w:lang w:eastAsia="ja-JP"/>
              </w:rPr>
              <w:t>347</w:t>
            </w:r>
            <w:r>
              <w:rPr>
                <w:rFonts w:ascii="Calibri" w:hAnsi="Calibri"/>
                <w:bCs/>
                <w:lang w:eastAsia="ja-JP"/>
              </w:rPr>
              <w:t>,</w:t>
            </w:r>
            <w:r w:rsidRPr="00912996">
              <w:rPr>
                <w:rFonts w:ascii="Calibri" w:hAnsi="Calibri"/>
                <w:bCs/>
                <w:lang w:eastAsia="ja-JP"/>
              </w:rPr>
              <w:t>933</w:t>
            </w:r>
          </w:p>
        </w:tc>
        <w:tc>
          <w:tcPr>
            <w:tcW w:w="347" w:type="pct"/>
            <w:shd w:val="clear" w:color="auto" w:fill="F2F2F2"/>
            <w:hideMark/>
          </w:tcPr>
          <w:p w14:paraId="40997138"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9994975"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68A3FEB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66FC44A"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0D78B1CD" w14:textId="77777777" w:rsidTr="00E16711">
        <w:trPr>
          <w:trHeight w:val="1320"/>
        </w:trPr>
        <w:tc>
          <w:tcPr>
            <w:tcW w:w="205" w:type="pct"/>
            <w:shd w:val="clear" w:color="auto" w:fill="F2F2F2"/>
            <w:noWrap/>
            <w:hideMark/>
          </w:tcPr>
          <w:p w14:paraId="40A73FA8" w14:textId="77777777" w:rsidR="00395D01" w:rsidRPr="00912996" w:rsidRDefault="00395D01" w:rsidP="00292396">
            <w:pPr>
              <w:rPr>
                <w:rFonts w:ascii="Calibri" w:hAnsi="Calibri"/>
                <w:bCs/>
                <w:lang w:eastAsia="ja-JP"/>
              </w:rPr>
            </w:pPr>
            <w:r>
              <w:rPr>
                <w:rFonts w:ascii="Calibri" w:hAnsi="Calibri"/>
                <w:bCs/>
                <w:lang w:eastAsia="ja-JP"/>
              </w:rPr>
              <w:t>69</w:t>
            </w:r>
          </w:p>
        </w:tc>
        <w:tc>
          <w:tcPr>
            <w:tcW w:w="1018" w:type="pct"/>
            <w:gridSpan w:val="2"/>
            <w:shd w:val="clear" w:color="auto" w:fill="F2F2F2"/>
            <w:hideMark/>
          </w:tcPr>
          <w:p w14:paraId="6B41F089"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și modernizare Școala nr. 46</w:t>
            </w:r>
          </w:p>
        </w:tc>
        <w:tc>
          <w:tcPr>
            <w:tcW w:w="640" w:type="pct"/>
            <w:shd w:val="clear" w:color="auto" w:fill="F2F2F2"/>
            <w:hideMark/>
          </w:tcPr>
          <w:p w14:paraId="5BB5B62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51AA04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984C6DF" w14:textId="77777777" w:rsidR="00395D01" w:rsidRPr="00912996" w:rsidRDefault="00395D01" w:rsidP="00292396">
            <w:pPr>
              <w:rPr>
                <w:rFonts w:ascii="Calibri" w:hAnsi="Calibri"/>
                <w:bCs/>
                <w:lang w:eastAsia="ja-JP"/>
              </w:rPr>
            </w:pPr>
            <w:r w:rsidRPr="00912996">
              <w:rPr>
                <w:rFonts w:ascii="Calibri" w:hAnsi="Calibri"/>
                <w:bCs/>
                <w:lang w:eastAsia="ja-JP"/>
              </w:rPr>
              <w:t>13,596,154</w:t>
            </w:r>
          </w:p>
        </w:tc>
        <w:tc>
          <w:tcPr>
            <w:tcW w:w="411" w:type="pct"/>
            <w:shd w:val="clear" w:color="auto" w:fill="F2F2F2"/>
            <w:hideMark/>
          </w:tcPr>
          <w:p w14:paraId="05CE407E" w14:textId="77777777" w:rsidR="00395D01" w:rsidRPr="00912996" w:rsidRDefault="00395D01" w:rsidP="00292396">
            <w:pPr>
              <w:rPr>
                <w:rFonts w:ascii="Calibri" w:hAnsi="Calibri"/>
                <w:bCs/>
                <w:lang w:eastAsia="ja-JP"/>
              </w:rPr>
            </w:pPr>
            <w:r w:rsidRPr="00912996">
              <w:rPr>
                <w:rFonts w:ascii="Calibri" w:hAnsi="Calibri"/>
                <w:bCs/>
                <w:lang w:eastAsia="ja-JP"/>
              </w:rPr>
              <w:t>2,774,725</w:t>
            </w:r>
          </w:p>
        </w:tc>
        <w:tc>
          <w:tcPr>
            <w:tcW w:w="347" w:type="pct"/>
            <w:shd w:val="clear" w:color="auto" w:fill="F2F2F2"/>
            <w:hideMark/>
          </w:tcPr>
          <w:p w14:paraId="548CCF54"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8FAB424"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04DD8EC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2BAA5D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9820DD1" w14:textId="77777777" w:rsidTr="0075720E">
        <w:trPr>
          <w:trHeight w:val="732"/>
        </w:trPr>
        <w:tc>
          <w:tcPr>
            <w:tcW w:w="205" w:type="pct"/>
            <w:shd w:val="clear" w:color="auto" w:fill="F2F2F2"/>
            <w:noWrap/>
            <w:hideMark/>
          </w:tcPr>
          <w:p w14:paraId="6A49BBA5" w14:textId="77777777" w:rsidR="00395D01" w:rsidRPr="00912996" w:rsidRDefault="00395D01" w:rsidP="00292396">
            <w:pPr>
              <w:rPr>
                <w:rFonts w:ascii="Calibri" w:hAnsi="Calibri"/>
                <w:bCs/>
                <w:lang w:eastAsia="ja-JP"/>
              </w:rPr>
            </w:pPr>
            <w:r>
              <w:rPr>
                <w:rFonts w:ascii="Calibri" w:hAnsi="Calibri"/>
                <w:bCs/>
                <w:lang w:eastAsia="ja-JP"/>
              </w:rPr>
              <w:t>70</w:t>
            </w:r>
          </w:p>
        </w:tc>
        <w:tc>
          <w:tcPr>
            <w:tcW w:w="1018" w:type="pct"/>
            <w:gridSpan w:val="2"/>
            <w:shd w:val="clear" w:color="auto" w:fill="F2F2F2"/>
            <w:hideMark/>
          </w:tcPr>
          <w:p w14:paraId="29B08F4C" w14:textId="77777777" w:rsidR="00395D01" w:rsidRPr="00912996" w:rsidRDefault="00395D01" w:rsidP="00292396">
            <w:pPr>
              <w:rPr>
                <w:rFonts w:ascii="Calibri" w:hAnsi="Calibri"/>
                <w:bCs/>
                <w:lang w:eastAsia="ja-JP"/>
              </w:rPr>
            </w:pPr>
            <w:r w:rsidRPr="006976B2">
              <w:rPr>
                <w:rFonts w:ascii="Calibri" w:hAnsi="Calibri"/>
                <w:bCs/>
                <w:lang w:eastAsia="ja-JP"/>
              </w:rPr>
              <w:t xml:space="preserve">Reabilitare </w:t>
            </w:r>
            <w:r>
              <w:rPr>
                <w:rFonts w:ascii="Calibri" w:hAnsi="Calibri"/>
                <w:bCs/>
                <w:lang w:eastAsia="ja-JP"/>
              </w:rPr>
              <w:t>ș</w:t>
            </w:r>
            <w:r w:rsidRPr="006976B2">
              <w:rPr>
                <w:rFonts w:ascii="Calibri" w:hAnsi="Calibri"/>
                <w:bCs/>
                <w:lang w:eastAsia="ja-JP"/>
              </w:rPr>
              <w:t xml:space="preserve">i modernizare </w:t>
            </w:r>
            <w:r>
              <w:rPr>
                <w:rFonts w:ascii="Calibri" w:hAnsi="Calibri"/>
                <w:bCs/>
                <w:lang w:eastAsia="ja-JP"/>
              </w:rPr>
              <w:t>Ș</w:t>
            </w:r>
            <w:r w:rsidRPr="006976B2">
              <w:rPr>
                <w:rFonts w:ascii="Calibri" w:hAnsi="Calibri"/>
                <w:bCs/>
                <w:lang w:eastAsia="ja-JP"/>
              </w:rPr>
              <w:t>coala nr. 51</w:t>
            </w:r>
          </w:p>
        </w:tc>
        <w:tc>
          <w:tcPr>
            <w:tcW w:w="640" w:type="pct"/>
            <w:shd w:val="clear" w:color="auto" w:fill="F2F2F2"/>
            <w:hideMark/>
          </w:tcPr>
          <w:p w14:paraId="75760EB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D1FF7A5" w14:textId="77777777" w:rsidR="00395D01" w:rsidRPr="00912996" w:rsidRDefault="00395D01" w:rsidP="00292396">
            <w:pPr>
              <w:rPr>
                <w:rFonts w:ascii="Calibri" w:hAnsi="Calibri"/>
                <w:bCs/>
                <w:lang w:eastAsia="ja-JP"/>
              </w:rPr>
            </w:pPr>
            <w:r w:rsidRPr="006976B2">
              <w:rPr>
                <w:rFonts w:ascii="Calibri" w:hAnsi="Calibri"/>
                <w:bCs/>
                <w:lang w:eastAsia="ja-JP"/>
              </w:rPr>
              <w:t>Finalizat</w:t>
            </w:r>
          </w:p>
        </w:tc>
        <w:tc>
          <w:tcPr>
            <w:tcW w:w="473" w:type="pct"/>
            <w:shd w:val="clear" w:color="auto" w:fill="F2F2F2"/>
            <w:hideMark/>
          </w:tcPr>
          <w:p w14:paraId="5E6C5B5E" w14:textId="77777777" w:rsidR="00395D01" w:rsidRPr="00912996" w:rsidRDefault="00395D01" w:rsidP="00292396">
            <w:pPr>
              <w:rPr>
                <w:rFonts w:ascii="Calibri" w:hAnsi="Calibri"/>
                <w:bCs/>
                <w:lang w:eastAsia="ja-JP"/>
              </w:rPr>
            </w:pPr>
            <w:r w:rsidRPr="006976B2">
              <w:rPr>
                <w:rFonts w:ascii="Calibri" w:hAnsi="Calibri"/>
                <w:bCs/>
                <w:lang w:eastAsia="ja-JP"/>
              </w:rPr>
              <w:t>12,185,652</w:t>
            </w:r>
          </w:p>
        </w:tc>
        <w:tc>
          <w:tcPr>
            <w:tcW w:w="411" w:type="pct"/>
            <w:shd w:val="clear" w:color="auto" w:fill="F2F2F2"/>
            <w:hideMark/>
          </w:tcPr>
          <w:p w14:paraId="7DFA0A99" w14:textId="77777777" w:rsidR="00395D01" w:rsidRPr="00912996" w:rsidRDefault="00395D01" w:rsidP="00292396">
            <w:pPr>
              <w:rPr>
                <w:rFonts w:ascii="Calibri" w:hAnsi="Calibri"/>
                <w:bCs/>
                <w:lang w:eastAsia="ja-JP"/>
              </w:rPr>
            </w:pPr>
            <w:r w:rsidRPr="006976B2">
              <w:rPr>
                <w:rFonts w:ascii="Calibri" w:hAnsi="Calibri"/>
                <w:bCs/>
                <w:lang w:eastAsia="ja-JP"/>
              </w:rPr>
              <w:t>2,486,868</w:t>
            </w:r>
          </w:p>
        </w:tc>
        <w:tc>
          <w:tcPr>
            <w:tcW w:w="347" w:type="pct"/>
            <w:shd w:val="clear" w:color="auto" w:fill="F2F2F2"/>
            <w:hideMark/>
          </w:tcPr>
          <w:p w14:paraId="7C758D88" w14:textId="77777777" w:rsidR="00395D01" w:rsidRPr="00912996" w:rsidRDefault="00395D01" w:rsidP="00292396">
            <w:pPr>
              <w:rPr>
                <w:rFonts w:ascii="Calibri" w:hAnsi="Calibri"/>
                <w:bCs/>
                <w:lang w:eastAsia="ja-JP"/>
              </w:rPr>
            </w:pPr>
            <w:r w:rsidRPr="006976B2">
              <w:rPr>
                <w:rFonts w:ascii="Calibri" w:hAnsi="Calibri"/>
                <w:bCs/>
                <w:lang w:eastAsia="ja-JP"/>
              </w:rPr>
              <w:t>2017</w:t>
            </w:r>
            <w:r>
              <w:rPr>
                <w:rFonts w:ascii="Calibri" w:hAnsi="Calibri"/>
                <w:bCs/>
                <w:lang w:eastAsia="ja-JP"/>
              </w:rPr>
              <w:t xml:space="preserve"> </w:t>
            </w:r>
            <w:r w:rsidRPr="006976B2">
              <w:rPr>
                <w:rFonts w:ascii="Calibri" w:hAnsi="Calibri"/>
                <w:bCs/>
                <w:lang w:eastAsia="ja-JP"/>
              </w:rPr>
              <w:t>-2021</w:t>
            </w:r>
          </w:p>
        </w:tc>
        <w:tc>
          <w:tcPr>
            <w:tcW w:w="484" w:type="pct"/>
            <w:gridSpan w:val="2"/>
            <w:shd w:val="clear" w:color="auto" w:fill="F2F2F2"/>
            <w:hideMark/>
          </w:tcPr>
          <w:p w14:paraId="44C3A7A5" w14:textId="77777777" w:rsidR="00395D01" w:rsidRPr="00912996" w:rsidRDefault="00395D01" w:rsidP="00292396">
            <w:pPr>
              <w:rPr>
                <w:rFonts w:ascii="Calibri" w:hAnsi="Calibri"/>
                <w:bCs/>
                <w:lang w:eastAsia="ja-JP"/>
              </w:rPr>
            </w:pPr>
            <w:r w:rsidRPr="006976B2">
              <w:rPr>
                <w:rFonts w:ascii="Calibri" w:hAnsi="Calibri"/>
                <w:bCs/>
                <w:lang w:eastAsia="ja-JP"/>
              </w:rPr>
              <w:t>Bugetul local</w:t>
            </w:r>
          </w:p>
        </w:tc>
        <w:tc>
          <w:tcPr>
            <w:tcW w:w="433" w:type="pct"/>
            <w:shd w:val="clear" w:color="auto" w:fill="F2F2F2"/>
            <w:hideMark/>
          </w:tcPr>
          <w:p w14:paraId="21034DE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6D0F63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D6B6C68" w14:textId="77777777" w:rsidTr="0075720E">
        <w:trPr>
          <w:trHeight w:val="624"/>
        </w:trPr>
        <w:tc>
          <w:tcPr>
            <w:tcW w:w="205" w:type="pct"/>
            <w:shd w:val="clear" w:color="auto" w:fill="F2F2F2"/>
            <w:noWrap/>
            <w:hideMark/>
          </w:tcPr>
          <w:p w14:paraId="3D58FE77" w14:textId="77777777" w:rsidR="00395D01" w:rsidRPr="00912996" w:rsidRDefault="00395D01" w:rsidP="00292396">
            <w:pPr>
              <w:rPr>
                <w:rFonts w:ascii="Calibri" w:hAnsi="Calibri"/>
                <w:bCs/>
                <w:lang w:eastAsia="ja-JP"/>
              </w:rPr>
            </w:pPr>
            <w:r w:rsidRPr="00912996">
              <w:rPr>
                <w:rFonts w:ascii="Calibri" w:hAnsi="Calibri"/>
                <w:bCs/>
                <w:lang w:eastAsia="ja-JP"/>
              </w:rPr>
              <w:t>7</w:t>
            </w:r>
            <w:r>
              <w:rPr>
                <w:rFonts w:ascii="Calibri" w:hAnsi="Calibri"/>
                <w:bCs/>
                <w:lang w:eastAsia="ja-JP"/>
              </w:rPr>
              <w:t>1</w:t>
            </w:r>
          </w:p>
        </w:tc>
        <w:tc>
          <w:tcPr>
            <w:tcW w:w="1018" w:type="pct"/>
            <w:gridSpan w:val="2"/>
            <w:shd w:val="clear" w:color="auto" w:fill="F2F2F2"/>
            <w:hideMark/>
          </w:tcPr>
          <w:p w14:paraId="1A26F885" w14:textId="77777777" w:rsidR="00395D01" w:rsidRPr="00912996" w:rsidRDefault="00395D01" w:rsidP="00292396">
            <w:pPr>
              <w:rPr>
                <w:rFonts w:ascii="Calibri" w:hAnsi="Calibri"/>
                <w:bCs/>
                <w:lang w:eastAsia="ja-JP"/>
              </w:rPr>
            </w:pPr>
            <w:r w:rsidRPr="000E2BA8">
              <w:rPr>
                <w:rFonts w:ascii="Calibri" w:hAnsi="Calibri"/>
                <w:bCs/>
                <w:lang w:eastAsia="ja-JP"/>
              </w:rPr>
              <w:t>Reabilitare şi modernizare Şcoala nr. 56</w:t>
            </w:r>
          </w:p>
        </w:tc>
        <w:tc>
          <w:tcPr>
            <w:tcW w:w="640" w:type="pct"/>
            <w:shd w:val="clear" w:color="auto" w:fill="F2F2F2"/>
            <w:hideMark/>
          </w:tcPr>
          <w:p w14:paraId="6418BF43"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46E48FB" w14:textId="77777777" w:rsidR="00395D01" w:rsidRPr="00912996" w:rsidRDefault="00395D01" w:rsidP="00292396">
            <w:pPr>
              <w:rPr>
                <w:rFonts w:ascii="Calibri" w:hAnsi="Calibri"/>
                <w:bCs/>
                <w:lang w:eastAsia="ja-JP"/>
              </w:rPr>
            </w:pPr>
            <w:r w:rsidRPr="000E2BA8">
              <w:rPr>
                <w:rFonts w:ascii="Calibri" w:hAnsi="Calibri"/>
                <w:bCs/>
                <w:lang w:eastAsia="ja-JP"/>
              </w:rPr>
              <w:t>Finalizat</w:t>
            </w:r>
          </w:p>
        </w:tc>
        <w:tc>
          <w:tcPr>
            <w:tcW w:w="473" w:type="pct"/>
            <w:shd w:val="clear" w:color="auto" w:fill="F2F2F2"/>
            <w:hideMark/>
          </w:tcPr>
          <w:p w14:paraId="35F27E48" w14:textId="77777777" w:rsidR="00395D01" w:rsidRPr="00912996" w:rsidRDefault="00395D01" w:rsidP="00292396">
            <w:pPr>
              <w:rPr>
                <w:rFonts w:ascii="Calibri" w:hAnsi="Calibri"/>
                <w:bCs/>
                <w:lang w:eastAsia="ja-JP"/>
              </w:rPr>
            </w:pPr>
            <w:r w:rsidRPr="000E2BA8">
              <w:rPr>
                <w:rFonts w:ascii="Calibri" w:hAnsi="Calibri"/>
                <w:bCs/>
                <w:lang w:eastAsia="ja-JP"/>
              </w:rPr>
              <w:t>14,519,402</w:t>
            </w:r>
          </w:p>
        </w:tc>
        <w:tc>
          <w:tcPr>
            <w:tcW w:w="411" w:type="pct"/>
            <w:shd w:val="clear" w:color="auto" w:fill="F2F2F2"/>
            <w:hideMark/>
          </w:tcPr>
          <w:p w14:paraId="32E3535E" w14:textId="77777777" w:rsidR="00395D01" w:rsidRPr="00912996" w:rsidRDefault="00395D01" w:rsidP="00292396">
            <w:pPr>
              <w:rPr>
                <w:rFonts w:ascii="Calibri" w:hAnsi="Calibri"/>
                <w:bCs/>
                <w:lang w:eastAsia="ja-JP"/>
              </w:rPr>
            </w:pPr>
            <w:r w:rsidRPr="000E2BA8">
              <w:rPr>
                <w:rFonts w:ascii="Calibri" w:hAnsi="Calibri"/>
                <w:bCs/>
                <w:lang w:eastAsia="ja-JP"/>
              </w:rPr>
              <w:t>2,963,143</w:t>
            </w:r>
          </w:p>
        </w:tc>
        <w:tc>
          <w:tcPr>
            <w:tcW w:w="347" w:type="pct"/>
            <w:shd w:val="clear" w:color="auto" w:fill="F2F2F2"/>
            <w:hideMark/>
          </w:tcPr>
          <w:p w14:paraId="5602145D" w14:textId="77777777" w:rsidR="00395D01" w:rsidRPr="00912996" w:rsidRDefault="00395D01" w:rsidP="00292396">
            <w:pPr>
              <w:rPr>
                <w:rFonts w:ascii="Calibri" w:hAnsi="Calibri"/>
                <w:bCs/>
                <w:lang w:eastAsia="ja-JP"/>
              </w:rPr>
            </w:pPr>
            <w:r w:rsidRPr="000E2BA8">
              <w:rPr>
                <w:rFonts w:ascii="Calibri" w:hAnsi="Calibri"/>
                <w:bCs/>
                <w:lang w:eastAsia="ja-JP"/>
              </w:rPr>
              <w:t>2017</w:t>
            </w:r>
            <w:r>
              <w:rPr>
                <w:rFonts w:ascii="Calibri" w:hAnsi="Calibri"/>
                <w:bCs/>
                <w:lang w:eastAsia="ja-JP"/>
              </w:rPr>
              <w:t xml:space="preserve"> </w:t>
            </w:r>
            <w:r w:rsidRPr="000E2BA8">
              <w:rPr>
                <w:rFonts w:ascii="Calibri" w:hAnsi="Calibri"/>
                <w:bCs/>
                <w:lang w:eastAsia="ja-JP"/>
              </w:rPr>
              <w:t>-2021</w:t>
            </w:r>
          </w:p>
        </w:tc>
        <w:tc>
          <w:tcPr>
            <w:tcW w:w="484" w:type="pct"/>
            <w:gridSpan w:val="2"/>
            <w:shd w:val="clear" w:color="auto" w:fill="F2F2F2"/>
            <w:hideMark/>
          </w:tcPr>
          <w:p w14:paraId="28D41E1C" w14:textId="77777777" w:rsidR="00395D01" w:rsidRPr="00912996" w:rsidRDefault="00395D01" w:rsidP="00292396">
            <w:pPr>
              <w:rPr>
                <w:rFonts w:ascii="Calibri" w:hAnsi="Calibri"/>
                <w:bCs/>
                <w:lang w:eastAsia="ja-JP"/>
              </w:rPr>
            </w:pPr>
            <w:r w:rsidRPr="000E2BA8">
              <w:rPr>
                <w:rFonts w:ascii="Calibri" w:hAnsi="Calibri"/>
                <w:bCs/>
                <w:lang w:eastAsia="ja-JP"/>
              </w:rPr>
              <w:t>Bugetul local</w:t>
            </w:r>
          </w:p>
        </w:tc>
        <w:tc>
          <w:tcPr>
            <w:tcW w:w="433" w:type="pct"/>
            <w:shd w:val="clear" w:color="auto" w:fill="F2F2F2"/>
            <w:hideMark/>
          </w:tcPr>
          <w:p w14:paraId="6C93E85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1455F7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775B4AA" w14:textId="77777777" w:rsidTr="0075720E">
        <w:trPr>
          <w:trHeight w:val="885"/>
        </w:trPr>
        <w:tc>
          <w:tcPr>
            <w:tcW w:w="205" w:type="pct"/>
            <w:shd w:val="clear" w:color="auto" w:fill="F2F2F2"/>
            <w:noWrap/>
            <w:hideMark/>
          </w:tcPr>
          <w:p w14:paraId="7D2AC35F" w14:textId="77777777" w:rsidR="00395D01" w:rsidRPr="00912996" w:rsidRDefault="00395D01" w:rsidP="00292396">
            <w:pPr>
              <w:rPr>
                <w:rFonts w:ascii="Calibri" w:hAnsi="Calibri"/>
                <w:bCs/>
                <w:lang w:eastAsia="ja-JP"/>
              </w:rPr>
            </w:pPr>
            <w:r w:rsidRPr="00912996">
              <w:rPr>
                <w:rFonts w:ascii="Calibri" w:hAnsi="Calibri"/>
                <w:bCs/>
                <w:lang w:eastAsia="ja-JP"/>
              </w:rPr>
              <w:t>7</w:t>
            </w:r>
            <w:r>
              <w:rPr>
                <w:rFonts w:ascii="Calibri" w:hAnsi="Calibri"/>
                <w:bCs/>
                <w:lang w:eastAsia="ja-JP"/>
              </w:rPr>
              <w:t>2</w:t>
            </w:r>
          </w:p>
        </w:tc>
        <w:tc>
          <w:tcPr>
            <w:tcW w:w="1018" w:type="pct"/>
            <w:gridSpan w:val="2"/>
            <w:shd w:val="clear" w:color="auto" w:fill="F2F2F2"/>
            <w:hideMark/>
          </w:tcPr>
          <w:p w14:paraId="6C9606E6" w14:textId="77777777" w:rsidR="00395D01" w:rsidRPr="00912996" w:rsidRDefault="00395D01" w:rsidP="00292396">
            <w:pPr>
              <w:rPr>
                <w:rFonts w:ascii="Calibri" w:hAnsi="Calibri"/>
                <w:bCs/>
                <w:lang w:eastAsia="ja-JP"/>
              </w:rPr>
            </w:pPr>
            <w:r w:rsidRPr="000E2BA8">
              <w:rPr>
                <w:rFonts w:ascii="Calibri" w:hAnsi="Calibri"/>
                <w:bCs/>
                <w:lang w:eastAsia="ja-JP"/>
              </w:rPr>
              <w:t>Consolidare, reabilitare şi modernizare Şcoala nr. 85 -corp str. Popa Nan NR.47B</w:t>
            </w:r>
          </w:p>
        </w:tc>
        <w:tc>
          <w:tcPr>
            <w:tcW w:w="640" w:type="pct"/>
            <w:shd w:val="clear" w:color="auto" w:fill="F2F2F2"/>
            <w:hideMark/>
          </w:tcPr>
          <w:p w14:paraId="52939B44"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3B86755" w14:textId="77777777" w:rsidR="00395D01" w:rsidRPr="00912996" w:rsidRDefault="00395D01" w:rsidP="00292396">
            <w:pPr>
              <w:rPr>
                <w:rFonts w:ascii="Calibri" w:hAnsi="Calibri"/>
                <w:bCs/>
                <w:lang w:eastAsia="ja-JP"/>
              </w:rPr>
            </w:pPr>
            <w:r w:rsidRPr="000E2BA8">
              <w:rPr>
                <w:rFonts w:ascii="Calibri" w:hAnsi="Calibri"/>
                <w:bCs/>
                <w:lang w:eastAsia="ja-JP"/>
              </w:rPr>
              <w:t>În implementare</w:t>
            </w:r>
          </w:p>
        </w:tc>
        <w:tc>
          <w:tcPr>
            <w:tcW w:w="473" w:type="pct"/>
            <w:shd w:val="clear" w:color="auto" w:fill="F2F2F2"/>
            <w:hideMark/>
          </w:tcPr>
          <w:p w14:paraId="5460E35F" w14:textId="77777777" w:rsidR="00395D01" w:rsidRPr="00912996" w:rsidRDefault="00395D01" w:rsidP="00292396">
            <w:pPr>
              <w:rPr>
                <w:rFonts w:ascii="Calibri" w:hAnsi="Calibri"/>
                <w:bCs/>
                <w:lang w:eastAsia="ja-JP"/>
              </w:rPr>
            </w:pPr>
            <w:r w:rsidRPr="000E2BA8">
              <w:rPr>
                <w:rFonts w:ascii="Calibri" w:hAnsi="Calibri"/>
                <w:bCs/>
                <w:lang w:eastAsia="ja-JP"/>
              </w:rPr>
              <w:t>3,182,594</w:t>
            </w:r>
          </w:p>
        </w:tc>
        <w:tc>
          <w:tcPr>
            <w:tcW w:w="411" w:type="pct"/>
            <w:shd w:val="clear" w:color="auto" w:fill="F2F2F2"/>
            <w:hideMark/>
          </w:tcPr>
          <w:p w14:paraId="23FF95E5" w14:textId="77777777" w:rsidR="00395D01" w:rsidRPr="00912996" w:rsidRDefault="00395D01" w:rsidP="00292396">
            <w:pPr>
              <w:rPr>
                <w:rFonts w:ascii="Calibri" w:hAnsi="Calibri"/>
                <w:bCs/>
                <w:lang w:eastAsia="ja-JP"/>
              </w:rPr>
            </w:pPr>
            <w:r w:rsidRPr="000E2BA8">
              <w:rPr>
                <w:rFonts w:ascii="Calibri" w:hAnsi="Calibri"/>
                <w:bCs/>
                <w:lang w:eastAsia="ja-JP"/>
              </w:rPr>
              <w:t>649,509</w:t>
            </w:r>
          </w:p>
        </w:tc>
        <w:tc>
          <w:tcPr>
            <w:tcW w:w="347" w:type="pct"/>
            <w:shd w:val="clear" w:color="auto" w:fill="F2F2F2"/>
            <w:hideMark/>
          </w:tcPr>
          <w:p w14:paraId="1F2638A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8572214" w14:textId="77777777" w:rsidR="00395D01" w:rsidRPr="00912996" w:rsidRDefault="00395D01" w:rsidP="00292396">
            <w:pPr>
              <w:rPr>
                <w:rFonts w:ascii="Calibri" w:hAnsi="Calibri"/>
                <w:bCs/>
                <w:lang w:eastAsia="ja-JP"/>
              </w:rPr>
            </w:pPr>
            <w:r w:rsidRPr="000E2BA8">
              <w:rPr>
                <w:rFonts w:ascii="Calibri" w:hAnsi="Calibri"/>
                <w:bCs/>
                <w:lang w:eastAsia="ja-JP"/>
              </w:rPr>
              <w:t>Bugetul local</w:t>
            </w:r>
          </w:p>
        </w:tc>
        <w:tc>
          <w:tcPr>
            <w:tcW w:w="433" w:type="pct"/>
            <w:shd w:val="clear" w:color="auto" w:fill="F2F2F2"/>
            <w:hideMark/>
          </w:tcPr>
          <w:p w14:paraId="61C3057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1B5D33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C8FFE67" w14:textId="77777777" w:rsidTr="0075720E">
        <w:trPr>
          <w:trHeight w:val="804"/>
        </w:trPr>
        <w:tc>
          <w:tcPr>
            <w:tcW w:w="205" w:type="pct"/>
            <w:shd w:val="clear" w:color="auto" w:fill="F2F2F2"/>
            <w:noWrap/>
            <w:hideMark/>
          </w:tcPr>
          <w:p w14:paraId="49A087A4" w14:textId="77777777" w:rsidR="00395D01" w:rsidRPr="00912996" w:rsidRDefault="00395D01" w:rsidP="00292396">
            <w:pPr>
              <w:rPr>
                <w:rFonts w:ascii="Calibri" w:hAnsi="Calibri"/>
                <w:bCs/>
                <w:lang w:eastAsia="ja-JP"/>
              </w:rPr>
            </w:pPr>
            <w:r w:rsidRPr="00912996">
              <w:rPr>
                <w:rFonts w:ascii="Calibri" w:hAnsi="Calibri"/>
                <w:bCs/>
                <w:lang w:eastAsia="ja-JP"/>
              </w:rPr>
              <w:t>7</w:t>
            </w:r>
            <w:r>
              <w:rPr>
                <w:rFonts w:ascii="Calibri" w:hAnsi="Calibri"/>
                <w:bCs/>
                <w:lang w:eastAsia="ja-JP"/>
              </w:rPr>
              <w:t>3</w:t>
            </w:r>
          </w:p>
        </w:tc>
        <w:tc>
          <w:tcPr>
            <w:tcW w:w="1018" w:type="pct"/>
            <w:gridSpan w:val="2"/>
            <w:shd w:val="clear" w:color="auto" w:fill="F2F2F2"/>
            <w:hideMark/>
          </w:tcPr>
          <w:p w14:paraId="2E808D06"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și modernizare Școala nr. 85-corp str. Medic Zlătescu</w:t>
            </w:r>
          </w:p>
        </w:tc>
        <w:tc>
          <w:tcPr>
            <w:tcW w:w="640" w:type="pct"/>
            <w:shd w:val="clear" w:color="auto" w:fill="F2F2F2"/>
            <w:hideMark/>
          </w:tcPr>
          <w:p w14:paraId="14AEEEFB"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612D7D2" w14:textId="77777777" w:rsidR="00395D01" w:rsidRPr="00912996" w:rsidRDefault="00395D01" w:rsidP="00292396">
            <w:pPr>
              <w:rPr>
                <w:rFonts w:ascii="Calibri" w:hAnsi="Calibri"/>
                <w:bCs/>
                <w:lang w:eastAsia="ja-JP"/>
              </w:rPr>
            </w:pPr>
            <w:r w:rsidRPr="000E2BA8">
              <w:rPr>
                <w:rFonts w:ascii="Calibri" w:hAnsi="Calibri"/>
                <w:bCs/>
                <w:lang w:eastAsia="ja-JP"/>
              </w:rPr>
              <w:t>În implementare</w:t>
            </w:r>
          </w:p>
        </w:tc>
        <w:tc>
          <w:tcPr>
            <w:tcW w:w="473" w:type="pct"/>
            <w:shd w:val="clear" w:color="auto" w:fill="F2F2F2"/>
            <w:hideMark/>
          </w:tcPr>
          <w:p w14:paraId="6BEE5573" w14:textId="77777777" w:rsidR="00395D01" w:rsidRPr="00912996" w:rsidRDefault="00395D01" w:rsidP="00292396">
            <w:pPr>
              <w:rPr>
                <w:rFonts w:ascii="Calibri" w:hAnsi="Calibri"/>
                <w:bCs/>
                <w:lang w:eastAsia="ja-JP"/>
              </w:rPr>
            </w:pPr>
            <w:r w:rsidRPr="000E2BA8">
              <w:rPr>
                <w:rFonts w:ascii="Calibri" w:hAnsi="Calibri"/>
                <w:bCs/>
                <w:lang w:eastAsia="ja-JP"/>
              </w:rPr>
              <w:t>14,301,581</w:t>
            </w:r>
          </w:p>
        </w:tc>
        <w:tc>
          <w:tcPr>
            <w:tcW w:w="411" w:type="pct"/>
            <w:shd w:val="clear" w:color="auto" w:fill="F2F2F2"/>
            <w:hideMark/>
          </w:tcPr>
          <w:p w14:paraId="31510587" w14:textId="77777777" w:rsidR="00395D01" w:rsidRPr="00912996" w:rsidRDefault="00395D01" w:rsidP="00292396">
            <w:pPr>
              <w:rPr>
                <w:rFonts w:ascii="Calibri" w:hAnsi="Calibri"/>
                <w:bCs/>
                <w:lang w:eastAsia="ja-JP"/>
              </w:rPr>
            </w:pPr>
            <w:r w:rsidRPr="000E2BA8">
              <w:rPr>
                <w:rFonts w:ascii="Calibri" w:hAnsi="Calibri"/>
                <w:bCs/>
                <w:lang w:eastAsia="ja-JP"/>
              </w:rPr>
              <w:t>2,918,690</w:t>
            </w:r>
          </w:p>
        </w:tc>
        <w:tc>
          <w:tcPr>
            <w:tcW w:w="347" w:type="pct"/>
            <w:shd w:val="clear" w:color="auto" w:fill="F2F2F2"/>
            <w:hideMark/>
          </w:tcPr>
          <w:p w14:paraId="0C4DE37D"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31CE4EA" w14:textId="77777777" w:rsidR="00395D01" w:rsidRPr="00912996" w:rsidRDefault="00395D01" w:rsidP="00292396">
            <w:pPr>
              <w:rPr>
                <w:rFonts w:ascii="Calibri" w:hAnsi="Calibri"/>
                <w:bCs/>
                <w:lang w:eastAsia="ja-JP"/>
              </w:rPr>
            </w:pPr>
            <w:r w:rsidRPr="000E2BA8">
              <w:rPr>
                <w:rFonts w:ascii="Calibri" w:hAnsi="Calibri"/>
                <w:bCs/>
                <w:lang w:eastAsia="ja-JP"/>
              </w:rPr>
              <w:t>Bugetul local</w:t>
            </w:r>
          </w:p>
        </w:tc>
        <w:tc>
          <w:tcPr>
            <w:tcW w:w="433" w:type="pct"/>
            <w:shd w:val="clear" w:color="auto" w:fill="F2F2F2"/>
            <w:hideMark/>
          </w:tcPr>
          <w:p w14:paraId="2686A8D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707428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57E07FB" w14:textId="77777777" w:rsidTr="0075720E">
        <w:trPr>
          <w:trHeight w:val="894"/>
        </w:trPr>
        <w:tc>
          <w:tcPr>
            <w:tcW w:w="205" w:type="pct"/>
            <w:shd w:val="clear" w:color="auto" w:fill="F2F2F2"/>
            <w:noWrap/>
            <w:hideMark/>
          </w:tcPr>
          <w:p w14:paraId="0B1F623B" w14:textId="77777777" w:rsidR="00395D01" w:rsidRPr="00912996" w:rsidRDefault="00395D01" w:rsidP="00292396">
            <w:pPr>
              <w:rPr>
                <w:rFonts w:ascii="Calibri" w:hAnsi="Calibri"/>
                <w:bCs/>
                <w:lang w:eastAsia="ja-JP"/>
              </w:rPr>
            </w:pPr>
            <w:r w:rsidRPr="00912996">
              <w:rPr>
                <w:rFonts w:ascii="Calibri" w:hAnsi="Calibri"/>
                <w:bCs/>
                <w:lang w:eastAsia="ja-JP"/>
              </w:rPr>
              <w:t>7</w:t>
            </w:r>
            <w:r>
              <w:rPr>
                <w:rFonts w:ascii="Calibri" w:hAnsi="Calibri"/>
                <w:bCs/>
                <w:lang w:eastAsia="ja-JP"/>
              </w:rPr>
              <w:t>4</w:t>
            </w:r>
          </w:p>
        </w:tc>
        <w:tc>
          <w:tcPr>
            <w:tcW w:w="1018" w:type="pct"/>
            <w:gridSpan w:val="2"/>
            <w:shd w:val="clear" w:color="auto" w:fill="F2F2F2"/>
            <w:hideMark/>
          </w:tcPr>
          <w:p w14:paraId="4E08165F" w14:textId="77777777" w:rsidR="00395D01" w:rsidRPr="00912996" w:rsidRDefault="00395D01" w:rsidP="00292396">
            <w:pPr>
              <w:rPr>
                <w:rFonts w:ascii="Calibri" w:hAnsi="Calibri"/>
                <w:bCs/>
                <w:lang w:eastAsia="ja-JP"/>
              </w:rPr>
            </w:pPr>
            <w:r w:rsidRPr="00912996">
              <w:rPr>
                <w:rFonts w:ascii="Calibri" w:hAnsi="Calibri"/>
                <w:bCs/>
                <w:lang w:eastAsia="ja-JP"/>
              </w:rPr>
              <w:t>Consolidare, reabilitare și modernizare Școala nr. 85-corp str. Traian</w:t>
            </w:r>
          </w:p>
        </w:tc>
        <w:tc>
          <w:tcPr>
            <w:tcW w:w="640" w:type="pct"/>
            <w:shd w:val="clear" w:color="auto" w:fill="F2F2F2"/>
            <w:hideMark/>
          </w:tcPr>
          <w:p w14:paraId="274F2968"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2F44E07" w14:textId="77777777" w:rsidR="00395D01" w:rsidRPr="00912996" w:rsidRDefault="00395D01" w:rsidP="00292396">
            <w:pPr>
              <w:rPr>
                <w:rFonts w:ascii="Calibri" w:hAnsi="Calibri"/>
                <w:bCs/>
                <w:lang w:eastAsia="ja-JP"/>
              </w:rPr>
            </w:pPr>
            <w:r w:rsidRPr="000E2BA8">
              <w:rPr>
                <w:rFonts w:ascii="Calibri" w:hAnsi="Calibri"/>
                <w:bCs/>
                <w:lang w:eastAsia="ja-JP"/>
              </w:rPr>
              <w:t>În implementare</w:t>
            </w:r>
          </w:p>
        </w:tc>
        <w:tc>
          <w:tcPr>
            <w:tcW w:w="473" w:type="pct"/>
            <w:shd w:val="clear" w:color="auto" w:fill="F2F2F2"/>
            <w:hideMark/>
          </w:tcPr>
          <w:p w14:paraId="116234D1" w14:textId="77777777" w:rsidR="00395D01" w:rsidRPr="00912996" w:rsidRDefault="00395D01" w:rsidP="00292396">
            <w:pPr>
              <w:rPr>
                <w:rFonts w:ascii="Calibri" w:hAnsi="Calibri"/>
                <w:bCs/>
                <w:lang w:eastAsia="ja-JP"/>
              </w:rPr>
            </w:pPr>
            <w:r w:rsidRPr="000E2BA8">
              <w:rPr>
                <w:rFonts w:ascii="Calibri" w:hAnsi="Calibri"/>
                <w:bCs/>
                <w:lang w:eastAsia="ja-JP"/>
              </w:rPr>
              <w:t>4,835,958</w:t>
            </w:r>
          </w:p>
        </w:tc>
        <w:tc>
          <w:tcPr>
            <w:tcW w:w="411" w:type="pct"/>
            <w:shd w:val="clear" w:color="auto" w:fill="F2F2F2"/>
            <w:hideMark/>
          </w:tcPr>
          <w:p w14:paraId="7F90FA55" w14:textId="77777777" w:rsidR="00395D01" w:rsidRPr="00912996" w:rsidRDefault="00395D01" w:rsidP="00292396">
            <w:pPr>
              <w:rPr>
                <w:rFonts w:ascii="Calibri" w:hAnsi="Calibri"/>
                <w:bCs/>
                <w:lang w:eastAsia="ja-JP"/>
              </w:rPr>
            </w:pPr>
            <w:r w:rsidRPr="000E2BA8">
              <w:rPr>
                <w:rFonts w:ascii="Calibri" w:hAnsi="Calibri"/>
                <w:bCs/>
                <w:lang w:eastAsia="ja-JP"/>
              </w:rPr>
              <w:t>986,930</w:t>
            </w:r>
          </w:p>
        </w:tc>
        <w:tc>
          <w:tcPr>
            <w:tcW w:w="347" w:type="pct"/>
            <w:shd w:val="clear" w:color="auto" w:fill="F2F2F2"/>
            <w:hideMark/>
          </w:tcPr>
          <w:p w14:paraId="77E088D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BEF5508" w14:textId="77777777" w:rsidR="00395D01" w:rsidRPr="00912996" w:rsidRDefault="00395D01" w:rsidP="00292396">
            <w:pPr>
              <w:rPr>
                <w:rFonts w:ascii="Calibri" w:hAnsi="Calibri"/>
                <w:bCs/>
                <w:lang w:eastAsia="ja-JP"/>
              </w:rPr>
            </w:pPr>
            <w:r w:rsidRPr="000E2BA8">
              <w:rPr>
                <w:rFonts w:ascii="Calibri" w:hAnsi="Calibri"/>
                <w:bCs/>
                <w:lang w:eastAsia="ja-JP"/>
              </w:rPr>
              <w:t>Bugetul local</w:t>
            </w:r>
          </w:p>
        </w:tc>
        <w:tc>
          <w:tcPr>
            <w:tcW w:w="433" w:type="pct"/>
            <w:shd w:val="clear" w:color="auto" w:fill="F2F2F2"/>
            <w:hideMark/>
          </w:tcPr>
          <w:p w14:paraId="279E108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5EC4E2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BD2797B" w14:textId="77777777" w:rsidTr="00E16711">
        <w:trPr>
          <w:trHeight w:val="1320"/>
        </w:trPr>
        <w:tc>
          <w:tcPr>
            <w:tcW w:w="205" w:type="pct"/>
            <w:shd w:val="clear" w:color="auto" w:fill="F2F2F2"/>
            <w:noWrap/>
            <w:hideMark/>
          </w:tcPr>
          <w:p w14:paraId="4F04E074" w14:textId="77777777" w:rsidR="00395D01" w:rsidRPr="00912996" w:rsidRDefault="00395D01" w:rsidP="00292396">
            <w:pPr>
              <w:rPr>
                <w:rFonts w:ascii="Calibri" w:hAnsi="Calibri"/>
                <w:bCs/>
                <w:lang w:eastAsia="ja-JP"/>
              </w:rPr>
            </w:pPr>
            <w:r w:rsidRPr="00912996">
              <w:rPr>
                <w:rFonts w:ascii="Calibri" w:hAnsi="Calibri"/>
                <w:bCs/>
                <w:lang w:eastAsia="ja-JP"/>
              </w:rPr>
              <w:t>7</w:t>
            </w:r>
            <w:r>
              <w:rPr>
                <w:rFonts w:ascii="Calibri" w:hAnsi="Calibri"/>
                <w:bCs/>
                <w:lang w:eastAsia="ja-JP"/>
              </w:rPr>
              <w:t>5</w:t>
            </w:r>
          </w:p>
        </w:tc>
        <w:tc>
          <w:tcPr>
            <w:tcW w:w="1018" w:type="pct"/>
            <w:gridSpan w:val="2"/>
            <w:shd w:val="clear" w:color="auto" w:fill="F2F2F2"/>
            <w:hideMark/>
          </w:tcPr>
          <w:p w14:paraId="0923ABCB" w14:textId="77777777" w:rsidR="00395D01" w:rsidRPr="000E2BA8" w:rsidRDefault="00395D01" w:rsidP="00292396">
            <w:pPr>
              <w:rPr>
                <w:rFonts w:ascii="Calibri" w:hAnsi="Calibri"/>
                <w:bCs/>
                <w:lang w:eastAsia="ja-JP"/>
              </w:rPr>
            </w:pPr>
            <w:r w:rsidRPr="000E2BA8">
              <w:rPr>
                <w:rFonts w:ascii="Calibri" w:hAnsi="Calibri"/>
                <w:bCs/>
                <w:lang w:eastAsia="ja-JP"/>
              </w:rPr>
              <w:t xml:space="preserve">Consolidare și reabilitare imobil din </w:t>
            </w:r>
            <w:r>
              <w:rPr>
                <w:rFonts w:ascii="Calibri" w:hAnsi="Calibri"/>
                <w:bCs/>
                <w:lang w:eastAsia="ja-JP"/>
              </w:rPr>
              <w:t>B-</w:t>
            </w:r>
            <w:r w:rsidRPr="000E2BA8">
              <w:rPr>
                <w:rFonts w:ascii="Calibri" w:hAnsi="Calibri"/>
                <w:bCs/>
                <w:lang w:eastAsia="ja-JP"/>
              </w:rPr>
              <w:t>dul. Basarabia nr. 160 – Școala Gimnazială „Petre Ghelmez” (fosta Grădiniță nr.147)</w:t>
            </w:r>
          </w:p>
          <w:p w14:paraId="38824292" w14:textId="77777777" w:rsidR="00395D01" w:rsidRPr="000E2BA8" w:rsidRDefault="00395D01" w:rsidP="00292396">
            <w:pPr>
              <w:rPr>
                <w:rFonts w:ascii="Calibri" w:hAnsi="Calibri"/>
                <w:bCs/>
                <w:lang w:eastAsia="ja-JP"/>
              </w:rPr>
            </w:pPr>
          </w:p>
          <w:p w14:paraId="78409AE0" w14:textId="77777777" w:rsidR="00395D01" w:rsidRPr="000E2BA8" w:rsidRDefault="00395D01" w:rsidP="00292396">
            <w:pPr>
              <w:rPr>
                <w:rFonts w:ascii="Calibri" w:hAnsi="Calibri"/>
                <w:bCs/>
                <w:lang w:eastAsia="ja-JP"/>
              </w:rPr>
            </w:pPr>
            <w:r w:rsidRPr="000E2BA8">
              <w:rPr>
                <w:rFonts w:ascii="Calibri" w:hAnsi="Calibri"/>
                <w:bCs/>
                <w:lang w:eastAsia="ja-JP"/>
              </w:rPr>
              <w:t>Reabilitare sală sport Școala Gimnazială „Petre Ghelmez” Str. Pescărușului nr. 124</w:t>
            </w:r>
          </w:p>
          <w:p w14:paraId="61827A49" w14:textId="77777777" w:rsidR="00395D01" w:rsidRPr="000E2BA8" w:rsidRDefault="00395D01" w:rsidP="00292396">
            <w:pPr>
              <w:rPr>
                <w:rFonts w:ascii="Calibri" w:hAnsi="Calibri"/>
                <w:bCs/>
                <w:lang w:eastAsia="ja-JP"/>
              </w:rPr>
            </w:pPr>
          </w:p>
          <w:p w14:paraId="659A268C" w14:textId="77777777" w:rsidR="00395D01" w:rsidRPr="00912996" w:rsidRDefault="00395D01" w:rsidP="00292396">
            <w:pPr>
              <w:rPr>
                <w:rFonts w:ascii="Calibri" w:hAnsi="Calibri"/>
                <w:bCs/>
                <w:lang w:eastAsia="ja-JP"/>
              </w:rPr>
            </w:pPr>
            <w:r w:rsidRPr="000E2BA8">
              <w:rPr>
                <w:rFonts w:ascii="Calibri" w:hAnsi="Calibri"/>
                <w:bCs/>
                <w:lang w:eastAsia="ja-JP"/>
              </w:rPr>
              <w:t>Reabilitare si modernizare Școala Gimnazială „Petre Ghelmez” Str. Pescărușului nr. 124</w:t>
            </w:r>
          </w:p>
        </w:tc>
        <w:tc>
          <w:tcPr>
            <w:tcW w:w="640" w:type="pct"/>
            <w:shd w:val="clear" w:color="auto" w:fill="F2F2F2"/>
            <w:hideMark/>
          </w:tcPr>
          <w:p w14:paraId="65C5B58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CD0FE3C" w14:textId="77777777" w:rsidR="00395D01" w:rsidRPr="000E2BA8" w:rsidRDefault="00395D01" w:rsidP="00292396">
            <w:pPr>
              <w:rPr>
                <w:rFonts w:ascii="Calibri" w:hAnsi="Calibri"/>
                <w:bCs/>
                <w:lang w:eastAsia="ja-JP"/>
              </w:rPr>
            </w:pPr>
            <w:r w:rsidRPr="000E2BA8">
              <w:rPr>
                <w:rFonts w:ascii="Calibri" w:hAnsi="Calibri"/>
                <w:bCs/>
                <w:lang w:eastAsia="ja-JP"/>
              </w:rPr>
              <w:t>În implementare</w:t>
            </w:r>
          </w:p>
          <w:p w14:paraId="28B644FA" w14:textId="77777777" w:rsidR="00395D01" w:rsidRPr="000E2BA8" w:rsidRDefault="00395D01" w:rsidP="00292396">
            <w:pPr>
              <w:rPr>
                <w:rFonts w:ascii="Calibri" w:hAnsi="Calibri"/>
                <w:bCs/>
                <w:lang w:eastAsia="ja-JP"/>
              </w:rPr>
            </w:pPr>
          </w:p>
          <w:p w14:paraId="7380E3FD" w14:textId="77777777" w:rsidR="00395D01" w:rsidRPr="000E2BA8" w:rsidRDefault="00395D01" w:rsidP="00292396">
            <w:pPr>
              <w:rPr>
                <w:rFonts w:ascii="Calibri" w:hAnsi="Calibri"/>
                <w:bCs/>
                <w:lang w:eastAsia="ja-JP"/>
              </w:rPr>
            </w:pPr>
          </w:p>
          <w:p w14:paraId="32B75174" w14:textId="77777777" w:rsidR="00395D01" w:rsidRPr="000E2BA8" w:rsidRDefault="00395D01" w:rsidP="00292396">
            <w:pPr>
              <w:rPr>
                <w:rFonts w:ascii="Calibri" w:hAnsi="Calibri"/>
                <w:bCs/>
                <w:lang w:eastAsia="ja-JP"/>
              </w:rPr>
            </w:pPr>
          </w:p>
          <w:p w14:paraId="3DBCA263" w14:textId="77777777" w:rsidR="00395D01" w:rsidRPr="000E2BA8" w:rsidRDefault="00395D01" w:rsidP="00292396">
            <w:pPr>
              <w:rPr>
                <w:rFonts w:ascii="Calibri" w:hAnsi="Calibri"/>
                <w:bCs/>
                <w:lang w:eastAsia="ja-JP"/>
              </w:rPr>
            </w:pPr>
            <w:r w:rsidRPr="000E2BA8">
              <w:rPr>
                <w:rFonts w:ascii="Calibri" w:hAnsi="Calibri"/>
                <w:bCs/>
                <w:lang w:eastAsia="ja-JP"/>
              </w:rPr>
              <w:t>Finalizat</w:t>
            </w:r>
          </w:p>
          <w:p w14:paraId="08AE823D" w14:textId="77777777" w:rsidR="00395D01" w:rsidRPr="000E2BA8" w:rsidRDefault="00395D01" w:rsidP="00292396">
            <w:pPr>
              <w:rPr>
                <w:rFonts w:ascii="Calibri" w:hAnsi="Calibri"/>
                <w:bCs/>
                <w:lang w:eastAsia="ja-JP"/>
              </w:rPr>
            </w:pPr>
          </w:p>
          <w:p w14:paraId="29C72292" w14:textId="77777777" w:rsidR="00395D01" w:rsidRPr="000E2BA8" w:rsidRDefault="00395D01" w:rsidP="00292396">
            <w:pPr>
              <w:rPr>
                <w:rFonts w:ascii="Calibri" w:hAnsi="Calibri"/>
                <w:bCs/>
                <w:lang w:eastAsia="ja-JP"/>
              </w:rPr>
            </w:pPr>
          </w:p>
          <w:p w14:paraId="57860EA8" w14:textId="77777777" w:rsidR="00395D01" w:rsidRPr="000E2BA8" w:rsidRDefault="00395D01" w:rsidP="00292396">
            <w:pPr>
              <w:rPr>
                <w:rFonts w:ascii="Calibri" w:hAnsi="Calibri"/>
                <w:bCs/>
                <w:lang w:eastAsia="ja-JP"/>
              </w:rPr>
            </w:pPr>
          </w:p>
          <w:p w14:paraId="4CED3825" w14:textId="77777777" w:rsidR="00395D01" w:rsidRPr="00912996" w:rsidRDefault="00395D01" w:rsidP="00292396">
            <w:pPr>
              <w:rPr>
                <w:rFonts w:ascii="Calibri" w:hAnsi="Calibri"/>
                <w:bCs/>
                <w:lang w:eastAsia="ja-JP"/>
              </w:rPr>
            </w:pPr>
            <w:r w:rsidRPr="000E2BA8">
              <w:rPr>
                <w:rFonts w:ascii="Calibri" w:hAnsi="Calibri"/>
                <w:bCs/>
                <w:lang w:eastAsia="ja-JP"/>
              </w:rPr>
              <w:t>Finalizat</w:t>
            </w:r>
          </w:p>
        </w:tc>
        <w:tc>
          <w:tcPr>
            <w:tcW w:w="473" w:type="pct"/>
            <w:shd w:val="clear" w:color="auto" w:fill="F2F2F2"/>
            <w:hideMark/>
          </w:tcPr>
          <w:p w14:paraId="438FB99C" w14:textId="77777777" w:rsidR="00395D01" w:rsidRPr="000E2BA8" w:rsidRDefault="00395D01" w:rsidP="00292396">
            <w:pPr>
              <w:rPr>
                <w:rFonts w:ascii="Calibri" w:hAnsi="Calibri"/>
                <w:bCs/>
                <w:lang w:eastAsia="ja-JP"/>
              </w:rPr>
            </w:pPr>
            <w:r w:rsidRPr="000E2BA8">
              <w:rPr>
                <w:rFonts w:ascii="Calibri" w:hAnsi="Calibri"/>
                <w:bCs/>
                <w:lang w:eastAsia="ja-JP"/>
              </w:rPr>
              <w:t>4,252,474</w:t>
            </w:r>
          </w:p>
          <w:p w14:paraId="7BD06B29" w14:textId="77777777" w:rsidR="00395D01" w:rsidRPr="000E2BA8" w:rsidRDefault="00395D01" w:rsidP="00292396">
            <w:pPr>
              <w:rPr>
                <w:rFonts w:ascii="Calibri" w:hAnsi="Calibri"/>
                <w:bCs/>
                <w:lang w:eastAsia="ja-JP"/>
              </w:rPr>
            </w:pPr>
          </w:p>
          <w:p w14:paraId="05AC0DC4" w14:textId="77777777" w:rsidR="00395D01" w:rsidRPr="000E2BA8" w:rsidRDefault="00395D01" w:rsidP="00292396">
            <w:pPr>
              <w:rPr>
                <w:rFonts w:ascii="Calibri" w:hAnsi="Calibri"/>
                <w:bCs/>
                <w:lang w:eastAsia="ja-JP"/>
              </w:rPr>
            </w:pPr>
          </w:p>
          <w:p w14:paraId="3498D412" w14:textId="77777777" w:rsidR="00395D01" w:rsidRPr="000E2BA8" w:rsidRDefault="00395D01" w:rsidP="00292396">
            <w:pPr>
              <w:rPr>
                <w:rFonts w:ascii="Calibri" w:hAnsi="Calibri"/>
                <w:bCs/>
                <w:lang w:eastAsia="ja-JP"/>
              </w:rPr>
            </w:pPr>
          </w:p>
          <w:p w14:paraId="660C9565" w14:textId="77777777" w:rsidR="00395D01" w:rsidRPr="000E2BA8" w:rsidRDefault="00395D01" w:rsidP="00292396">
            <w:pPr>
              <w:rPr>
                <w:rFonts w:ascii="Calibri" w:hAnsi="Calibri"/>
                <w:bCs/>
                <w:lang w:eastAsia="ja-JP"/>
              </w:rPr>
            </w:pPr>
            <w:r w:rsidRPr="000E2BA8">
              <w:rPr>
                <w:rFonts w:ascii="Calibri" w:hAnsi="Calibri"/>
                <w:bCs/>
                <w:lang w:eastAsia="ja-JP"/>
              </w:rPr>
              <w:t>12,221,528</w:t>
            </w:r>
          </w:p>
          <w:p w14:paraId="0BCC4240" w14:textId="77777777" w:rsidR="00395D01" w:rsidRPr="000E2BA8" w:rsidRDefault="00395D01" w:rsidP="00292396">
            <w:pPr>
              <w:rPr>
                <w:rFonts w:ascii="Calibri" w:hAnsi="Calibri"/>
                <w:bCs/>
                <w:lang w:eastAsia="ja-JP"/>
              </w:rPr>
            </w:pPr>
          </w:p>
          <w:p w14:paraId="36163CB6" w14:textId="77777777" w:rsidR="00395D01" w:rsidRPr="000E2BA8" w:rsidRDefault="00395D01" w:rsidP="00292396">
            <w:pPr>
              <w:rPr>
                <w:rFonts w:ascii="Calibri" w:hAnsi="Calibri"/>
                <w:bCs/>
                <w:lang w:eastAsia="ja-JP"/>
              </w:rPr>
            </w:pPr>
          </w:p>
          <w:p w14:paraId="0E23D315" w14:textId="77777777" w:rsidR="00395D01" w:rsidRPr="000E2BA8" w:rsidRDefault="00395D01" w:rsidP="00292396">
            <w:pPr>
              <w:rPr>
                <w:rFonts w:ascii="Calibri" w:hAnsi="Calibri"/>
                <w:bCs/>
                <w:lang w:eastAsia="ja-JP"/>
              </w:rPr>
            </w:pPr>
          </w:p>
          <w:p w14:paraId="0F65929D" w14:textId="77777777" w:rsidR="00395D01" w:rsidRPr="00912996" w:rsidRDefault="00395D01" w:rsidP="00292396">
            <w:pPr>
              <w:rPr>
                <w:rFonts w:ascii="Calibri" w:hAnsi="Calibri"/>
                <w:bCs/>
                <w:lang w:eastAsia="ja-JP"/>
              </w:rPr>
            </w:pPr>
            <w:r w:rsidRPr="000E2BA8">
              <w:rPr>
                <w:rFonts w:ascii="Calibri" w:hAnsi="Calibri"/>
                <w:bCs/>
                <w:lang w:eastAsia="ja-JP"/>
              </w:rPr>
              <w:t>1,238,228</w:t>
            </w:r>
          </w:p>
        </w:tc>
        <w:tc>
          <w:tcPr>
            <w:tcW w:w="411" w:type="pct"/>
            <w:shd w:val="clear" w:color="auto" w:fill="F2F2F2"/>
            <w:hideMark/>
          </w:tcPr>
          <w:p w14:paraId="46B65D89" w14:textId="77777777" w:rsidR="00395D01" w:rsidRPr="000E2BA8" w:rsidRDefault="00395D01" w:rsidP="00292396">
            <w:pPr>
              <w:rPr>
                <w:rFonts w:ascii="Calibri" w:hAnsi="Calibri"/>
                <w:bCs/>
                <w:lang w:eastAsia="ja-JP"/>
              </w:rPr>
            </w:pPr>
            <w:r w:rsidRPr="000E2BA8">
              <w:rPr>
                <w:rFonts w:ascii="Calibri" w:hAnsi="Calibri"/>
                <w:bCs/>
                <w:lang w:eastAsia="ja-JP"/>
              </w:rPr>
              <w:t>867,851</w:t>
            </w:r>
          </w:p>
          <w:p w14:paraId="5D2F3C11" w14:textId="77777777" w:rsidR="00395D01" w:rsidRPr="000E2BA8" w:rsidRDefault="00395D01" w:rsidP="00292396">
            <w:pPr>
              <w:rPr>
                <w:rFonts w:ascii="Calibri" w:hAnsi="Calibri"/>
                <w:bCs/>
                <w:lang w:eastAsia="ja-JP"/>
              </w:rPr>
            </w:pPr>
          </w:p>
          <w:p w14:paraId="78203635" w14:textId="77777777" w:rsidR="00395D01" w:rsidRPr="000E2BA8" w:rsidRDefault="00395D01" w:rsidP="00292396">
            <w:pPr>
              <w:rPr>
                <w:rFonts w:ascii="Calibri" w:hAnsi="Calibri"/>
                <w:bCs/>
                <w:lang w:eastAsia="ja-JP"/>
              </w:rPr>
            </w:pPr>
          </w:p>
          <w:p w14:paraId="06CC8DE3" w14:textId="77777777" w:rsidR="00395D01" w:rsidRPr="000E2BA8" w:rsidRDefault="00395D01" w:rsidP="00292396">
            <w:pPr>
              <w:rPr>
                <w:rFonts w:ascii="Calibri" w:hAnsi="Calibri"/>
                <w:bCs/>
                <w:lang w:eastAsia="ja-JP"/>
              </w:rPr>
            </w:pPr>
          </w:p>
          <w:p w14:paraId="706BF00A" w14:textId="77777777" w:rsidR="00395D01" w:rsidRPr="000E2BA8" w:rsidRDefault="00395D01" w:rsidP="00292396">
            <w:pPr>
              <w:rPr>
                <w:rFonts w:ascii="Calibri" w:hAnsi="Calibri"/>
                <w:bCs/>
                <w:lang w:eastAsia="ja-JP"/>
              </w:rPr>
            </w:pPr>
            <w:r w:rsidRPr="000E2BA8">
              <w:rPr>
                <w:rFonts w:ascii="Calibri" w:hAnsi="Calibri"/>
                <w:bCs/>
                <w:lang w:eastAsia="ja-JP"/>
              </w:rPr>
              <w:t>2,494,189</w:t>
            </w:r>
          </w:p>
          <w:p w14:paraId="77E4A0C5" w14:textId="77777777" w:rsidR="00395D01" w:rsidRPr="000E2BA8" w:rsidRDefault="00395D01" w:rsidP="00292396">
            <w:pPr>
              <w:rPr>
                <w:rFonts w:ascii="Calibri" w:hAnsi="Calibri"/>
                <w:bCs/>
                <w:lang w:eastAsia="ja-JP"/>
              </w:rPr>
            </w:pPr>
          </w:p>
          <w:p w14:paraId="18F8B090" w14:textId="77777777" w:rsidR="00395D01" w:rsidRPr="000E2BA8" w:rsidRDefault="00395D01" w:rsidP="00292396">
            <w:pPr>
              <w:rPr>
                <w:rFonts w:ascii="Calibri" w:hAnsi="Calibri"/>
                <w:bCs/>
                <w:lang w:eastAsia="ja-JP"/>
              </w:rPr>
            </w:pPr>
          </w:p>
          <w:p w14:paraId="179A35B1" w14:textId="77777777" w:rsidR="00395D01" w:rsidRPr="000E2BA8" w:rsidRDefault="00395D01" w:rsidP="00292396">
            <w:pPr>
              <w:rPr>
                <w:rFonts w:ascii="Calibri" w:hAnsi="Calibri"/>
                <w:bCs/>
                <w:lang w:eastAsia="ja-JP"/>
              </w:rPr>
            </w:pPr>
          </w:p>
          <w:p w14:paraId="120A95AE" w14:textId="77777777" w:rsidR="00395D01" w:rsidRPr="00912996" w:rsidRDefault="00395D01" w:rsidP="00292396">
            <w:pPr>
              <w:rPr>
                <w:rFonts w:ascii="Calibri" w:hAnsi="Calibri"/>
                <w:bCs/>
                <w:lang w:eastAsia="ja-JP"/>
              </w:rPr>
            </w:pPr>
            <w:r w:rsidRPr="000E2BA8">
              <w:rPr>
                <w:rFonts w:ascii="Calibri" w:hAnsi="Calibri"/>
                <w:bCs/>
                <w:lang w:eastAsia="ja-JP"/>
              </w:rPr>
              <w:t>252,699</w:t>
            </w:r>
          </w:p>
        </w:tc>
        <w:tc>
          <w:tcPr>
            <w:tcW w:w="347" w:type="pct"/>
            <w:shd w:val="clear" w:color="auto" w:fill="F2F2F2"/>
            <w:hideMark/>
          </w:tcPr>
          <w:p w14:paraId="3B1CE78A" w14:textId="77777777" w:rsidR="00395D01" w:rsidRPr="000E2BA8" w:rsidRDefault="00395D01" w:rsidP="00292396">
            <w:pPr>
              <w:rPr>
                <w:rFonts w:ascii="Calibri" w:hAnsi="Calibri"/>
                <w:bCs/>
                <w:lang w:eastAsia="ja-JP"/>
              </w:rPr>
            </w:pPr>
            <w:r w:rsidRPr="000E2BA8">
              <w:rPr>
                <w:rFonts w:ascii="Calibri" w:hAnsi="Calibri"/>
                <w:bCs/>
                <w:lang w:eastAsia="ja-JP"/>
              </w:rPr>
              <w:t>2017 - 2023</w:t>
            </w:r>
          </w:p>
          <w:p w14:paraId="5EEB5CDE" w14:textId="77777777" w:rsidR="00395D01" w:rsidRPr="000E2BA8" w:rsidRDefault="00395D01" w:rsidP="00292396">
            <w:pPr>
              <w:rPr>
                <w:rFonts w:ascii="Calibri" w:hAnsi="Calibri"/>
                <w:bCs/>
                <w:lang w:eastAsia="ja-JP"/>
              </w:rPr>
            </w:pPr>
          </w:p>
          <w:p w14:paraId="06569249" w14:textId="77777777" w:rsidR="00395D01" w:rsidRPr="000E2BA8" w:rsidRDefault="00395D01" w:rsidP="00292396">
            <w:pPr>
              <w:rPr>
                <w:rFonts w:ascii="Calibri" w:hAnsi="Calibri"/>
                <w:bCs/>
                <w:lang w:eastAsia="ja-JP"/>
              </w:rPr>
            </w:pPr>
          </w:p>
          <w:p w14:paraId="4236A1A2" w14:textId="77777777" w:rsidR="00395D01" w:rsidRPr="000E2BA8" w:rsidRDefault="00395D01" w:rsidP="00292396">
            <w:pPr>
              <w:rPr>
                <w:rFonts w:ascii="Calibri" w:hAnsi="Calibri"/>
                <w:bCs/>
                <w:lang w:eastAsia="ja-JP"/>
              </w:rPr>
            </w:pPr>
          </w:p>
          <w:p w14:paraId="44E396A6" w14:textId="77777777" w:rsidR="00395D01" w:rsidRPr="000E2BA8" w:rsidRDefault="00395D01" w:rsidP="00292396">
            <w:pPr>
              <w:rPr>
                <w:rFonts w:ascii="Calibri" w:hAnsi="Calibri"/>
                <w:bCs/>
                <w:lang w:eastAsia="ja-JP"/>
              </w:rPr>
            </w:pPr>
            <w:r w:rsidRPr="000E2BA8">
              <w:rPr>
                <w:rFonts w:ascii="Calibri" w:hAnsi="Calibri"/>
                <w:bCs/>
                <w:lang w:eastAsia="ja-JP"/>
              </w:rPr>
              <w:t>2017 - 2023</w:t>
            </w:r>
          </w:p>
          <w:p w14:paraId="6A172D21" w14:textId="77777777" w:rsidR="00395D01" w:rsidRPr="000E2BA8" w:rsidRDefault="00395D01" w:rsidP="00292396">
            <w:pPr>
              <w:rPr>
                <w:rFonts w:ascii="Calibri" w:hAnsi="Calibri"/>
                <w:bCs/>
                <w:lang w:eastAsia="ja-JP"/>
              </w:rPr>
            </w:pPr>
          </w:p>
          <w:p w14:paraId="162B2821" w14:textId="77777777" w:rsidR="00395D01" w:rsidRPr="000E2BA8" w:rsidRDefault="00395D01" w:rsidP="00292396">
            <w:pPr>
              <w:rPr>
                <w:rFonts w:ascii="Calibri" w:hAnsi="Calibri"/>
                <w:bCs/>
                <w:lang w:eastAsia="ja-JP"/>
              </w:rPr>
            </w:pPr>
          </w:p>
          <w:p w14:paraId="10AF2500" w14:textId="77777777" w:rsidR="00395D01" w:rsidRPr="000E2BA8" w:rsidRDefault="00395D01" w:rsidP="00292396">
            <w:pPr>
              <w:rPr>
                <w:rFonts w:ascii="Calibri" w:hAnsi="Calibri"/>
                <w:bCs/>
                <w:lang w:eastAsia="ja-JP"/>
              </w:rPr>
            </w:pPr>
          </w:p>
          <w:p w14:paraId="2A2B2E85" w14:textId="77777777" w:rsidR="00395D01" w:rsidRPr="00912996" w:rsidRDefault="00395D01" w:rsidP="00292396">
            <w:pPr>
              <w:rPr>
                <w:rFonts w:ascii="Calibri" w:hAnsi="Calibri"/>
                <w:bCs/>
                <w:lang w:eastAsia="ja-JP"/>
              </w:rPr>
            </w:pPr>
            <w:r w:rsidRPr="000E2BA8">
              <w:rPr>
                <w:rFonts w:ascii="Calibri" w:hAnsi="Calibri"/>
                <w:bCs/>
                <w:lang w:eastAsia="ja-JP"/>
              </w:rPr>
              <w:t>2017 - 2023</w:t>
            </w:r>
          </w:p>
        </w:tc>
        <w:tc>
          <w:tcPr>
            <w:tcW w:w="484" w:type="pct"/>
            <w:gridSpan w:val="2"/>
            <w:shd w:val="clear" w:color="auto" w:fill="F2F2F2"/>
            <w:hideMark/>
          </w:tcPr>
          <w:p w14:paraId="55A45CA9" w14:textId="77777777" w:rsidR="00395D01" w:rsidRPr="000E2BA8" w:rsidRDefault="00395D01" w:rsidP="00292396">
            <w:pPr>
              <w:rPr>
                <w:rFonts w:ascii="Calibri" w:hAnsi="Calibri"/>
                <w:bCs/>
                <w:lang w:eastAsia="ja-JP"/>
              </w:rPr>
            </w:pPr>
            <w:r w:rsidRPr="000E2BA8">
              <w:rPr>
                <w:rFonts w:ascii="Calibri" w:hAnsi="Calibri"/>
                <w:bCs/>
                <w:lang w:eastAsia="ja-JP"/>
              </w:rPr>
              <w:t xml:space="preserve">Programul Naţional de Dezvoltare Locală, Bugetul local, </w:t>
            </w:r>
            <w:r w:rsidRPr="00912996">
              <w:rPr>
                <w:rFonts w:ascii="Calibri" w:hAnsi="Calibri"/>
                <w:bCs/>
                <w:lang w:eastAsia="ja-JP"/>
              </w:rPr>
              <w:t xml:space="preserve"> Alte surse de finanțare</w:t>
            </w:r>
          </w:p>
          <w:p w14:paraId="1D83B004" w14:textId="77777777" w:rsidR="00395D01" w:rsidRPr="000E2BA8" w:rsidRDefault="00395D01" w:rsidP="00292396">
            <w:pPr>
              <w:rPr>
                <w:rFonts w:ascii="Calibri" w:hAnsi="Calibri"/>
                <w:bCs/>
                <w:lang w:eastAsia="ja-JP"/>
              </w:rPr>
            </w:pPr>
          </w:p>
          <w:p w14:paraId="60043D27" w14:textId="77777777" w:rsidR="00395D01" w:rsidRPr="000E2BA8" w:rsidRDefault="00395D01" w:rsidP="00292396">
            <w:pPr>
              <w:rPr>
                <w:rFonts w:ascii="Calibri" w:hAnsi="Calibri"/>
                <w:bCs/>
                <w:lang w:eastAsia="ja-JP"/>
              </w:rPr>
            </w:pPr>
          </w:p>
          <w:p w14:paraId="1DAAE7BF" w14:textId="77777777" w:rsidR="00395D01" w:rsidRPr="000E2BA8" w:rsidRDefault="00395D01" w:rsidP="00292396">
            <w:pPr>
              <w:rPr>
                <w:rFonts w:ascii="Calibri" w:hAnsi="Calibri"/>
                <w:bCs/>
                <w:lang w:eastAsia="ja-JP"/>
              </w:rPr>
            </w:pPr>
            <w:r w:rsidRPr="000E2BA8">
              <w:rPr>
                <w:rFonts w:ascii="Calibri" w:hAnsi="Calibri"/>
                <w:bCs/>
                <w:lang w:eastAsia="ja-JP"/>
              </w:rPr>
              <w:t>Bugetul local</w:t>
            </w:r>
          </w:p>
          <w:p w14:paraId="4089576A" w14:textId="77777777" w:rsidR="00395D01" w:rsidRPr="000E2BA8" w:rsidRDefault="00395D01" w:rsidP="00292396">
            <w:pPr>
              <w:rPr>
                <w:rFonts w:ascii="Calibri" w:hAnsi="Calibri"/>
                <w:bCs/>
                <w:lang w:eastAsia="ja-JP"/>
              </w:rPr>
            </w:pPr>
          </w:p>
          <w:p w14:paraId="6FEB4CDB" w14:textId="77777777" w:rsidR="00395D01" w:rsidRPr="000E2BA8" w:rsidRDefault="00395D01" w:rsidP="00292396">
            <w:pPr>
              <w:rPr>
                <w:rFonts w:ascii="Calibri" w:hAnsi="Calibri"/>
                <w:bCs/>
                <w:lang w:eastAsia="ja-JP"/>
              </w:rPr>
            </w:pPr>
          </w:p>
          <w:p w14:paraId="30F0551C" w14:textId="77777777" w:rsidR="00395D01" w:rsidRPr="00912996" w:rsidRDefault="00395D01" w:rsidP="00292396">
            <w:pPr>
              <w:rPr>
                <w:rFonts w:ascii="Calibri" w:hAnsi="Calibri"/>
                <w:bCs/>
                <w:lang w:eastAsia="ja-JP"/>
              </w:rPr>
            </w:pPr>
            <w:r w:rsidRPr="000E2BA8">
              <w:rPr>
                <w:rFonts w:ascii="Calibri" w:hAnsi="Calibri"/>
                <w:bCs/>
                <w:lang w:eastAsia="ja-JP"/>
              </w:rPr>
              <w:t>Bugetul local</w:t>
            </w:r>
          </w:p>
        </w:tc>
        <w:tc>
          <w:tcPr>
            <w:tcW w:w="433" w:type="pct"/>
            <w:shd w:val="clear" w:color="auto" w:fill="F2F2F2"/>
            <w:hideMark/>
          </w:tcPr>
          <w:p w14:paraId="0EFDEE3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EA85BB1"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AAAA569" w14:textId="77777777" w:rsidTr="0075720E">
        <w:trPr>
          <w:trHeight w:val="651"/>
        </w:trPr>
        <w:tc>
          <w:tcPr>
            <w:tcW w:w="205" w:type="pct"/>
            <w:shd w:val="clear" w:color="auto" w:fill="F2F2F2"/>
            <w:noWrap/>
            <w:hideMark/>
          </w:tcPr>
          <w:p w14:paraId="348B37E7" w14:textId="77777777" w:rsidR="00395D01" w:rsidRPr="00912996" w:rsidRDefault="00395D01" w:rsidP="00292396">
            <w:pPr>
              <w:rPr>
                <w:rFonts w:ascii="Calibri" w:hAnsi="Calibri"/>
                <w:bCs/>
                <w:lang w:eastAsia="ja-JP"/>
              </w:rPr>
            </w:pPr>
            <w:r w:rsidRPr="00912996">
              <w:rPr>
                <w:rFonts w:ascii="Calibri" w:hAnsi="Calibri"/>
                <w:bCs/>
                <w:lang w:eastAsia="ja-JP"/>
              </w:rPr>
              <w:t>7</w:t>
            </w:r>
            <w:r>
              <w:rPr>
                <w:rFonts w:ascii="Calibri" w:hAnsi="Calibri"/>
                <w:bCs/>
                <w:lang w:eastAsia="ja-JP"/>
              </w:rPr>
              <w:t>6</w:t>
            </w:r>
          </w:p>
        </w:tc>
        <w:tc>
          <w:tcPr>
            <w:tcW w:w="1018" w:type="pct"/>
            <w:gridSpan w:val="2"/>
            <w:shd w:val="clear" w:color="auto" w:fill="F2F2F2"/>
            <w:hideMark/>
          </w:tcPr>
          <w:p w14:paraId="5BEC790D" w14:textId="77777777" w:rsidR="00395D01" w:rsidRPr="00912996" w:rsidRDefault="00395D01" w:rsidP="00292396">
            <w:pPr>
              <w:rPr>
                <w:rFonts w:ascii="Calibri" w:hAnsi="Calibri"/>
                <w:bCs/>
                <w:lang w:eastAsia="ja-JP"/>
              </w:rPr>
            </w:pPr>
            <w:r w:rsidRPr="000E2BA8">
              <w:rPr>
                <w:rFonts w:ascii="Calibri" w:hAnsi="Calibri"/>
                <w:bCs/>
                <w:lang w:eastAsia="ja-JP"/>
              </w:rPr>
              <w:t>Reabilitare şi modernizare imobil Școala Tudor Arghezi</w:t>
            </w:r>
          </w:p>
        </w:tc>
        <w:tc>
          <w:tcPr>
            <w:tcW w:w="640" w:type="pct"/>
            <w:shd w:val="clear" w:color="auto" w:fill="F2F2F2"/>
            <w:hideMark/>
          </w:tcPr>
          <w:p w14:paraId="19ECC34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B0CA003" w14:textId="77777777" w:rsidR="00395D01" w:rsidRPr="00912996" w:rsidRDefault="00395D01" w:rsidP="00292396">
            <w:pPr>
              <w:rPr>
                <w:rFonts w:ascii="Calibri" w:hAnsi="Calibri"/>
                <w:bCs/>
                <w:lang w:eastAsia="ja-JP"/>
              </w:rPr>
            </w:pPr>
            <w:r w:rsidRPr="000E2BA8">
              <w:rPr>
                <w:rFonts w:ascii="Calibri" w:hAnsi="Calibri"/>
                <w:bCs/>
                <w:lang w:eastAsia="ja-JP"/>
              </w:rPr>
              <w:t>Finalizat</w:t>
            </w:r>
          </w:p>
        </w:tc>
        <w:tc>
          <w:tcPr>
            <w:tcW w:w="473" w:type="pct"/>
            <w:shd w:val="clear" w:color="auto" w:fill="F2F2F2"/>
            <w:hideMark/>
          </w:tcPr>
          <w:p w14:paraId="1E635A6D" w14:textId="77777777" w:rsidR="00395D01" w:rsidRPr="00912996" w:rsidRDefault="00395D01" w:rsidP="00292396">
            <w:pPr>
              <w:rPr>
                <w:rFonts w:ascii="Calibri" w:hAnsi="Calibri"/>
                <w:bCs/>
                <w:lang w:eastAsia="ja-JP"/>
              </w:rPr>
            </w:pPr>
            <w:r w:rsidRPr="000E2BA8">
              <w:rPr>
                <w:rFonts w:ascii="Calibri" w:hAnsi="Calibri"/>
                <w:bCs/>
                <w:lang w:eastAsia="ja-JP"/>
              </w:rPr>
              <w:t>14,725,453</w:t>
            </w:r>
          </w:p>
        </w:tc>
        <w:tc>
          <w:tcPr>
            <w:tcW w:w="411" w:type="pct"/>
            <w:shd w:val="clear" w:color="auto" w:fill="F2F2F2"/>
            <w:hideMark/>
          </w:tcPr>
          <w:p w14:paraId="6490B813" w14:textId="77777777" w:rsidR="00395D01" w:rsidRPr="00912996" w:rsidRDefault="00395D01" w:rsidP="00292396">
            <w:pPr>
              <w:rPr>
                <w:rFonts w:ascii="Calibri" w:hAnsi="Calibri"/>
                <w:bCs/>
                <w:lang w:eastAsia="ja-JP"/>
              </w:rPr>
            </w:pPr>
            <w:r w:rsidRPr="000E2BA8">
              <w:rPr>
                <w:rFonts w:ascii="Calibri" w:hAnsi="Calibri"/>
                <w:bCs/>
                <w:lang w:eastAsia="ja-JP"/>
              </w:rPr>
              <w:t>3,005,194</w:t>
            </w:r>
          </w:p>
        </w:tc>
        <w:tc>
          <w:tcPr>
            <w:tcW w:w="347" w:type="pct"/>
            <w:shd w:val="clear" w:color="auto" w:fill="F2F2F2"/>
            <w:hideMark/>
          </w:tcPr>
          <w:p w14:paraId="1EF29EC0" w14:textId="77777777" w:rsidR="00395D01" w:rsidRPr="00912996" w:rsidRDefault="00395D01" w:rsidP="00292396">
            <w:pPr>
              <w:rPr>
                <w:rFonts w:ascii="Calibri" w:hAnsi="Calibri"/>
                <w:bCs/>
                <w:lang w:eastAsia="ja-JP"/>
              </w:rPr>
            </w:pPr>
            <w:r w:rsidRPr="000E2BA8">
              <w:rPr>
                <w:rFonts w:ascii="Calibri" w:hAnsi="Calibri"/>
                <w:bCs/>
                <w:lang w:eastAsia="ja-JP"/>
              </w:rPr>
              <w:t>2017-2021</w:t>
            </w:r>
          </w:p>
        </w:tc>
        <w:tc>
          <w:tcPr>
            <w:tcW w:w="484" w:type="pct"/>
            <w:gridSpan w:val="2"/>
            <w:shd w:val="clear" w:color="auto" w:fill="F2F2F2"/>
            <w:hideMark/>
          </w:tcPr>
          <w:p w14:paraId="5CC0EA2A" w14:textId="77777777" w:rsidR="00395D01" w:rsidRPr="00912996" w:rsidRDefault="00395D01" w:rsidP="00292396">
            <w:pPr>
              <w:rPr>
                <w:rFonts w:ascii="Calibri" w:hAnsi="Calibri"/>
                <w:bCs/>
                <w:lang w:eastAsia="ja-JP"/>
              </w:rPr>
            </w:pPr>
            <w:r w:rsidRPr="000E2BA8">
              <w:rPr>
                <w:rFonts w:ascii="Calibri" w:hAnsi="Calibri"/>
                <w:bCs/>
                <w:lang w:eastAsia="ja-JP"/>
              </w:rPr>
              <w:t>Bugetul local</w:t>
            </w:r>
          </w:p>
        </w:tc>
        <w:tc>
          <w:tcPr>
            <w:tcW w:w="433" w:type="pct"/>
            <w:shd w:val="clear" w:color="auto" w:fill="F2F2F2"/>
            <w:hideMark/>
          </w:tcPr>
          <w:p w14:paraId="6FE432D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080077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5B56522" w14:textId="77777777" w:rsidTr="00E16711">
        <w:trPr>
          <w:trHeight w:val="1320"/>
        </w:trPr>
        <w:tc>
          <w:tcPr>
            <w:tcW w:w="205" w:type="pct"/>
            <w:shd w:val="clear" w:color="auto" w:fill="F2F2F2"/>
            <w:noWrap/>
            <w:hideMark/>
          </w:tcPr>
          <w:p w14:paraId="2F9896CB" w14:textId="77777777" w:rsidR="00395D01" w:rsidRPr="00912996" w:rsidRDefault="00395D01" w:rsidP="00292396">
            <w:pPr>
              <w:rPr>
                <w:rFonts w:ascii="Calibri" w:hAnsi="Calibri"/>
                <w:bCs/>
                <w:lang w:eastAsia="ja-JP"/>
              </w:rPr>
            </w:pPr>
            <w:r w:rsidRPr="00912996">
              <w:rPr>
                <w:rFonts w:ascii="Calibri" w:hAnsi="Calibri"/>
                <w:bCs/>
                <w:lang w:eastAsia="ja-JP"/>
              </w:rPr>
              <w:t>7</w:t>
            </w:r>
            <w:r>
              <w:rPr>
                <w:rFonts w:ascii="Calibri" w:hAnsi="Calibri"/>
                <w:bCs/>
                <w:lang w:eastAsia="ja-JP"/>
              </w:rPr>
              <w:t>7</w:t>
            </w:r>
          </w:p>
        </w:tc>
        <w:tc>
          <w:tcPr>
            <w:tcW w:w="1018" w:type="pct"/>
            <w:gridSpan w:val="2"/>
            <w:shd w:val="clear" w:color="auto" w:fill="F2F2F2"/>
            <w:hideMark/>
          </w:tcPr>
          <w:p w14:paraId="0BDDC7EF" w14:textId="77777777" w:rsidR="00395D01" w:rsidRPr="009D67EF" w:rsidRDefault="00395D01" w:rsidP="00292396">
            <w:pPr>
              <w:rPr>
                <w:rFonts w:ascii="Calibri" w:hAnsi="Calibri"/>
                <w:bCs/>
                <w:lang w:eastAsia="ja-JP"/>
              </w:rPr>
            </w:pPr>
            <w:r w:rsidRPr="009D67EF">
              <w:rPr>
                <w:rFonts w:ascii="Calibri" w:hAnsi="Calibri"/>
                <w:bCs/>
                <w:lang w:eastAsia="ja-JP"/>
              </w:rPr>
              <w:t xml:space="preserve">Reabilitarea şi modernizarea Colegiului Victor Babeș - corp liceu </w:t>
            </w:r>
          </w:p>
          <w:p w14:paraId="564BDBA9" w14:textId="77777777" w:rsidR="00395D01" w:rsidRPr="009D67EF" w:rsidRDefault="00395D01" w:rsidP="00292396">
            <w:pPr>
              <w:rPr>
                <w:rFonts w:ascii="Calibri" w:hAnsi="Calibri"/>
                <w:bCs/>
                <w:lang w:eastAsia="ja-JP"/>
              </w:rPr>
            </w:pPr>
          </w:p>
          <w:p w14:paraId="3736D94E" w14:textId="77777777" w:rsidR="00395D01" w:rsidRPr="00912996" w:rsidRDefault="00395D01" w:rsidP="00292396">
            <w:pPr>
              <w:rPr>
                <w:rFonts w:ascii="Calibri" w:hAnsi="Calibri"/>
                <w:bCs/>
                <w:lang w:eastAsia="ja-JP"/>
              </w:rPr>
            </w:pPr>
            <w:r w:rsidRPr="009D67EF">
              <w:rPr>
                <w:rFonts w:ascii="Calibri" w:hAnsi="Calibri"/>
                <w:bCs/>
                <w:lang w:eastAsia="ja-JP"/>
              </w:rPr>
              <w:t>Construire sală de sport Colegiu Victor Babeș - corp liceu</w:t>
            </w:r>
          </w:p>
        </w:tc>
        <w:tc>
          <w:tcPr>
            <w:tcW w:w="640" w:type="pct"/>
            <w:shd w:val="clear" w:color="auto" w:fill="F2F2F2"/>
            <w:hideMark/>
          </w:tcPr>
          <w:p w14:paraId="4E3B694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843218F" w14:textId="77777777" w:rsidR="00395D01" w:rsidRPr="009D67EF" w:rsidRDefault="00395D01" w:rsidP="00292396">
            <w:pPr>
              <w:rPr>
                <w:rFonts w:ascii="Calibri" w:hAnsi="Calibri"/>
                <w:bCs/>
                <w:lang w:eastAsia="ja-JP"/>
              </w:rPr>
            </w:pPr>
            <w:r w:rsidRPr="009D67EF">
              <w:rPr>
                <w:rFonts w:ascii="Calibri" w:hAnsi="Calibri"/>
                <w:bCs/>
                <w:lang w:eastAsia="ja-JP"/>
              </w:rPr>
              <w:t>Finalizat</w:t>
            </w:r>
          </w:p>
          <w:p w14:paraId="226B5773" w14:textId="77777777" w:rsidR="00395D01" w:rsidRPr="009D67EF" w:rsidRDefault="00395D01" w:rsidP="00292396">
            <w:pPr>
              <w:rPr>
                <w:rFonts w:ascii="Calibri" w:hAnsi="Calibri"/>
                <w:bCs/>
                <w:lang w:eastAsia="ja-JP"/>
              </w:rPr>
            </w:pPr>
          </w:p>
          <w:p w14:paraId="0B068ADB" w14:textId="77777777" w:rsidR="00395D01" w:rsidRPr="009D67EF" w:rsidRDefault="00395D01" w:rsidP="00292396">
            <w:pPr>
              <w:rPr>
                <w:rFonts w:ascii="Calibri" w:hAnsi="Calibri"/>
                <w:bCs/>
                <w:lang w:eastAsia="ja-JP"/>
              </w:rPr>
            </w:pPr>
          </w:p>
          <w:p w14:paraId="1509B041" w14:textId="77777777" w:rsidR="00395D01" w:rsidRPr="00912996" w:rsidRDefault="00395D01" w:rsidP="00292396">
            <w:pPr>
              <w:rPr>
                <w:rFonts w:ascii="Calibri" w:hAnsi="Calibri"/>
                <w:bCs/>
                <w:lang w:eastAsia="ja-JP"/>
              </w:rPr>
            </w:pPr>
            <w:r w:rsidRPr="009D67EF">
              <w:rPr>
                <w:rFonts w:ascii="Calibri" w:hAnsi="Calibri"/>
                <w:bCs/>
                <w:lang w:eastAsia="ja-JP"/>
              </w:rPr>
              <w:t>Finalizat</w:t>
            </w:r>
          </w:p>
        </w:tc>
        <w:tc>
          <w:tcPr>
            <w:tcW w:w="473" w:type="pct"/>
            <w:shd w:val="clear" w:color="auto" w:fill="F2F2F2"/>
            <w:hideMark/>
          </w:tcPr>
          <w:p w14:paraId="2FBB6609" w14:textId="77777777" w:rsidR="00395D01" w:rsidRPr="00912996" w:rsidRDefault="00395D01" w:rsidP="00292396">
            <w:pPr>
              <w:rPr>
                <w:rFonts w:ascii="Calibri" w:hAnsi="Calibri"/>
                <w:bCs/>
                <w:lang w:eastAsia="ja-JP"/>
              </w:rPr>
            </w:pPr>
            <w:r w:rsidRPr="009D67EF">
              <w:rPr>
                <w:rFonts w:ascii="Calibri" w:hAnsi="Calibri"/>
                <w:bCs/>
                <w:lang w:eastAsia="ja-JP"/>
              </w:rPr>
              <w:t>11,085,263</w:t>
            </w:r>
          </w:p>
        </w:tc>
        <w:tc>
          <w:tcPr>
            <w:tcW w:w="411" w:type="pct"/>
            <w:shd w:val="clear" w:color="auto" w:fill="F2F2F2"/>
            <w:hideMark/>
          </w:tcPr>
          <w:p w14:paraId="4346387E" w14:textId="77777777" w:rsidR="00395D01" w:rsidRPr="00912996" w:rsidRDefault="00395D01" w:rsidP="00292396">
            <w:pPr>
              <w:rPr>
                <w:rFonts w:ascii="Calibri" w:hAnsi="Calibri"/>
                <w:bCs/>
                <w:lang w:eastAsia="ja-JP"/>
              </w:rPr>
            </w:pPr>
            <w:r w:rsidRPr="009D67EF">
              <w:rPr>
                <w:rFonts w:ascii="Calibri" w:hAnsi="Calibri"/>
                <w:bCs/>
                <w:lang w:eastAsia="ja-JP"/>
              </w:rPr>
              <w:t>2,262,299</w:t>
            </w:r>
          </w:p>
        </w:tc>
        <w:tc>
          <w:tcPr>
            <w:tcW w:w="347" w:type="pct"/>
            <w:shd w:val="clear" w:color="auto" w:fill="F2F2F2"/>
            <w:hideMark/>
          </w:tcPr>
          <w:p w14:paraId="77F20FB7" w14:textId="77777777" w:rsidR="00395D01" w:rsidRPr="009D67EF" w:rsidRDefault="00395D01" w:rsidP="00292396">
            <w:pPr>
              <w:rPr>
                <w:rFonts w:ascii="Calibri" w:hAnsi="Calibri"/>
                <w:bCs/>
                <w:lang w:eastAsia="ja-JP"/>
              </w:rPr>
            </w:pPr>
            <w:r w:rsidRPr="009D67EF">
              <w:rPr>
                <w:rFonts w:ascii="Calibri" w:hAnsi="Calibri"/>
                <w:bCs/>
                <w:lang w:eastAsia="ja-JP"/>
              </w:rPr>
              <w:t>2017 - 2023</w:t>
            </w:r>
          </w:p>
          <w:p w14:paraId="1C51C66F" w14:textId="77777777" w:rsidR="00395D01" w:rsidRPr="009D67EF" w:rsidRDefault="00395D01" w:rsidP="00292396">
            <w:pPr>
              <w:rPr>
                <w:rFonts w:ascii="Calibri" w:hAnsi="Calibri"/>
                <w:bCs/>
                <w:lang w:eastAsia="ja-JP"/>
              </w:rPr>
            </w:pPr>
          </w:p>
          <w:p w14:paraId="083659FC" w14:textId="77777777" w:rsidR="00395D01" w:rsidRPr="00912996" w:rsidRDefault="00395D01" w:rsidP="00292396">
            <w:pPr>
              <w:rPr>
                <w:rFonts w:ascii="Calibri" w:hAnsi="Calibri"/>
                <w:bCs/>
                <w:lang w:eastAsia="ja-JP"/>
              </w:rPr>
            </w:pPr>
            <w:r w:rsidRPr="009D67EF">
              <w:rPr>
                <w:rFonts w:ascii="Calibri" w:hAnsi="Calibri"/>
                <w:bCs/>
                <w:lang w:eastAsia="ja-JP"/>
              </w:rPr>
              <w:t>2014</w:t>
            </w:r>
          </w:p>
        </w:tc>
        <w:tc>
          <w:tcPr>
            <w:tcW w:w="484" w:type="pct"/>
            <w:gridSpan w:val="2"/>
            <w:shd w:val="clear" w:color="auto" w:fill="F2F2F2"/>
            <w:hideMark/>
          </w:tcPr>
          <w:p w14:paraId="2826BADE" w14:textId="77777777" w:rsidR="00395D01" w:rsidRPr="009D67EF" w:rsidRDefault="00395D01" w:rsidP="00292396">
            <w:pPr>
              <w:rPr>
                <w:rFonts w:ascii="Calibri" w:hAnsi="Calibri"/>
                <w:bCs/>
                <w:lang w:eastAsia="ja-JP"/>
              </w:rPr>
            </w:pPr>
            <w:r w:rsidRPr="009D67EF">
              <w:rPr>
                <w:rFonts w:ascii="Calibri" w:hAnsi="Calibri"/>
                <w:bCs/>
                <w:lang w:eastAsia="ja-JP"/>
              </w:rPr>
              <w:t>Buget local</w:t>
            </w:r>
          </w:p>
          <w:p w14:paraId="70DB9177" w14:textId="77777777" w:rsidR="00395D01" w:rsidRPr="009D67EF" w:rsidRDefault="00395D01" w:rsidP="00292396">
            <w:pPr>
              <w:rPr>
                <w:rFonts w:ascii="Calibri" w:hAnsi="Calibri"/>
                <w:bCs/>
                <w:lang w:eastAsia="ja-JP"/>
              </w:rPr>
            </w:pPr>
          </w:p>
          <w:p w14:paraId="326872A0" w14:textId="77777777" w:rsidR="00395D01" w:rsidRPr="00912996" w:rsidRDefault="00395D01" w:rsidP="00292396">
            <w:pPr>
              <w:rPr>
                <w:rFonts w:ascii="Calibri" w:hAnsi="Calibri"/>
                <w:bCs/>
                <w:lang w:eastAsia="ja-JP"/>
              </w:rPr>
            </w:pPr>
            <w:r w:rsidRPr="009D67EF">
              <w:rPr>
                <w:rFonts w:ascii="Calibri" w:hAnsi="Calibri"/>
                <w:bCs/>
                <w:lang w:eastAsia="ja-JP"/>
              </w:rPr>
              <w:t>CNI</w:t>
            </w:r>
          </w:p>
        </w:tc>
        <w:tc>
          <w:tcPr>
            <w:tcW w:w="433" w:type="pct"/>
            <w:shd w:val="clear" w:color="auto" w:fill="F2F2F2"/>
            <w:hideMark/>
          </w:tcPr>
          <w:p w14:paraId="6C02294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9F6A21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234FA71" w14:textId="77777777" w:rsidTr="00E16711">
        <w:trPr>
          <w:trHeight w:val="1320"/>
        </w:trPr>
        <w:tc>
          <w:tcPr>
            <w:tcW w:w="205" w:type="pct"/>
            <w:shd w:val="clear" w:color="auto" w:fill="F2F2F2"/>
            <w:noWrap/>
            <w:hideMark/>
          </w:tcPr>
          <w:p w14:paraId="4AF5B134" w14:textId="77777777" w:rsidR="00395D01" w:rsidRPr="00912996" w:rsidRDefault="00395D01" w:rsidP="00292396">
            <w:pPr>
              <w:rPr>
                <w:rFonts w:ascii="Calibri" w:hAnsi="Calibri"/>
                <w:bCs/>
                <w:lang w:eastAsia="ja-JP"/>
              </w:rPr>
            </w:pPr>
            <w:r>
              <w:rPr>
                <w:rFonts w:ascii="Calibri" w:hAnsi="Calibri"/>
                <w:bCs/>
                <w:lang w:eastAsia="ja-JP"/>
              </w:rPr>
              <w:t>78</w:t>
            </w:r>
          </w:p>
        </w:tc>
        <w:tc>
          <w:tcPr>
            <w:tcW w:w="1018" w:type="pct"/>
            <w:gridSpan w:val="2"/>
            <w:shd w:val="clear" w:color="auto" w:fill="F2F2F2"/>
            <w:hideMark/>
          </w:tcPr>
          <w:p w14:paraId="4E9BE870" w14:textId="77777777" w:rsidR="00395D01" w:rsidRPr="00912996" w:rsidRDefault="00395D01" w:rsidP="00292396">
            <w:pPr>
              <w:rPr>
                <w:rFonts w:ascii="Calibri" w:hAnsi="Calibri"/>
                <w:bCs/>
                <w:lang w:eastAsia="ja-JP"/>
              </w:rPr>
            </w:pPr>
            <w:r w:rsidRPr="009D67EF">
              <w:rPr>
                <w:rFonts w:ascii="Calibri" w:hAnsi="Calibri"/>
                <w:bCs/>
                <w:lang w:eastAsia="ja-JP"/>
              </w:rPr>
              <w:t>Reabilitarea şi modernizarea Liceului Constantin Brâncuşi - corp liceu + atelier + cămin</w:t>
            </w:r>
          </w:p>
        </w:tc>
        <w:tc>
          <w:tcPr>
            <w:tcW w:w="640" w:type="pct"/>
            <w:shd w:val="clear" w:color="auto" w:fill="F2F2F2"/>
            <w:hideMark/>
          </w:tcPr>
          <w:p w14:paraId="4E30F4A4"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7261D41" w14:textId="77777777" w:rsidR="00395D01" w:rsidRPr="00912996" w:rsidRDefault="00395D01" w:rsidP="00292396">
            <w:pPr>
              <w:rPr>
                <w:rFonts w:ascii="Calibri" w:hAnsi="Calibri"/>
                <w:bCs/>
                <w:lang w:eastAsia="ja-JP"/>
              </w:rPr>
            </w:pPr>
            <w:r w:rsidRPr="009D67EF">
              <w:rPr>
                <w:rFonts w:ascii="Calibri" w:hAnsi="Calibri"/>
                <w:bCs/>
                <w:lang w:eastAsia="ja-JP"/>
              </w:rPr>
              <w:t>În implementare</w:t>
            </w:r>
          </w:p>
        </w:tc>
        <w:tc>
          <w:tcPr>
            <w:tcW w:w="473" w:type="pct"/>
            <w:shd w:val="clear" w:color="auto" w:fill="F2F2F2"/>
            <w:hideMark/>
          </w:tcPr>
          <w:p w14:paraId="1C3D331D" w14:textId="77777777" w:rsidR="00395D01" w:rsidRPr="00912996" w:rsidRDefault="00395D01" w:rsidP="00292396">
            <w:pPr>
              <w:rPr>
                <w:rFonts w:ascii="Calibri" w:hAnsi="Calibri"/>
                <w:bCs/>
                <w:lang w:eastAsia="ja-JP"/>
              </w:rPr>
            </w:pPr>
            <w:r w:rsidRPr="009D67EF">
              <w:rPr>
                <w:rFonts w:ascii="Calibri" w:hAnsi="Calibri"/>
                <w:bCs/>
                <w:lang w:eastAsia="ja-JP"/>
              </w:rPr>
              <w:t>28,943,700</w:t>
            </w:r>
          </w:p>
        </w:tc>
        <w:tc>
          <w:tcPr>
            <w:tcW w:w="411" w:type="pct"/>
            <w:shd w:val="clear" w:color="auto" w:fill="F2F2F2"/>
            <w:hideMark/>
          </w:tcPr>
          <w:p w14:paraId="72DE939C" w14:textId="77777777" w:rsidR="00395D01" w:rsidRPr="00912996" w:rsidRDefault="00395D01" w:rsidP="00292396">
            <w:pPr>
              <w:rPr>
                <w:rFonts w:ascii="Calibri" w:hAnsi="Calibri"/>
                <w:bCs/>
                <w:lang w:eastAsia="ja-JP"/>
              </w:rPr>
            </w:pPr>
            <w:r w:rsidRPr="009D67EF">
              <w:rPr>
                <w:rFonts w:ascii="Calibri" w:hAnsi="Calibri"/>
                <w:bCs/>
                <w:lang w:eastAsia="ja-JP"/>
              </w:rPr>
              <w:t>5,906,878</w:t>
            </w:r>
          </w:p>
        </w:tc>
        <w:tc>
          <w:tcPr>
            <w:tcW w:w="347" w:type="pct"/>
            <w:shd w:val="clear" w:color="auto" w:fill="F2F2F2"/>
            <w:hideMark/>
          </w:tcPr>
          <w:p w14:paraId="5FD1AAB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98F8082" w14:textId="77777777" w:rsidR="00395D01" w:rsidRPr="00912996" w:rsidRDefault="00395D01" w:rsidP="00292396">
            <w:pPr>
              <w:rPr>
                <w:rFonts w:ascii="Calibri" w:hAnsi="Calibri"/>
                <w:bCs/>
                <w:lang w:eastAsia="ja-JP"/>
              </w:rPr>
            </w:pPr>
            <w:r w:rsidRPr="009D67EF">
              <w:rPr>
                <w:rFonts w:ascii="Calibri" w:hAnsi="Calibri"/>
                <w:bCs/>
                <w:lang w:eastAsia="ja-JP"/>
              </w:rPr>
              <w:t>Bugetul local</w:t>
            </w:r>
          </w:p>
        </w:tc>
        <w:tc>
          <w:tcPr>
            <w:tcW w:w="433" w:type="pct"/>
            <w:shd w:val="clear" w:color="auto" w:fill="F2F2F2"/>
            <w:hideMark/>
          </w:tcPr>
          <w:p w14:paraId="6141B40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0A417E2"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2ECC470" w14:textId="77777777" w:rsidTr="00E16711">
        <w:trPr>
          <w:trHeight w:val="1320"/>
        </w:trPr>
        <w:tc>
          <w:tcPr>
            <w:tcW w:w="205" w:type="pct"/>
            <w:shd w:val="clear" w:color="auto" w:fill="F2F2F2"/>
            <w:noWrap/>
            <w:hideMark/>
          </w:tcPr>
          <w:p w14:paraId="65788383" w14:textId="77777777" w:rsidR="00395D01" w:rsidRPr="00912996" w:rsidRDefault="00395D01" w:rsidP="00292396">
            <w:pPr>
              <w:rPr>
                <w:rFonts w:ascii="Calibri" w:hAnsi="Calibri"/>
                <w:bCs/>
                <w:lang w:eastAsia="ja-JP"/>
              </w:rPr>
            </w:pPr>
            <w:r>
              <w:rPr>
                <w:rFonts w:ascii="Calibri" w:hAnsi="Calibri"/>
                <w:bCs/>
                <w:lang w:eastAsia="ja-JP"/>
              </w:rPr>
              <w:t>79</w:t>
            </w:r>
          </w:p>
        </w:tc>
        <w:tc>
          <w:tcPr>
            <w:tcW w:w="1018" w:type="pct"/>
            <w:gridSpan w:val="2"/>
            <w:shd w:val="clear" w:color="auto" w:fill="F2F2F2"/>
            <w:hideMark/>
          </w:tcPr>
          <w:p w14:paraId="5B5A16D9" w14:textId="77777777" w:rsidR="00395D01" w:rsidRPr="00912996" w:rsidRDefault="00395D01" w:rsidP="00292396">
            <w:pPr>
              <w:rPr>
                <w:rFonts w:ascii="Calibri" w:hAnsi="Calibri"/>
                <w:bCs/>
                <w:lang w:eastAsia="ja-JP"/>
              </w:rPr>
            </w:pPr>
            <w:r w:rsidRPr="00912996">
              <w:rPr>
                <w:rFonts w:ascii="Calibri" w:hAnsi="Calibri"/>
                <w:bCs/>
                <w:lang w:eastAsia="ja-JP"/>
              </w:rPr>
              <w:t>Consolidarea, reabilitarea și modernizarea Liceului I.C.Brătianu -</w:t>
            </w:r>
            <w:r>
              <w:rPr>
                <w:rFonts w:ascii="Calibri" w:hAnsi="Calibri"/>
                <w:bCs/>
                <w:lang w:eastAsia="ja-JP"/>
              </w:rPr>
              <w:t xml:space="preserve"> </w:t>
            </w:r>
            <w:r w:rsidRPr="00912996">
              <w:rPr>
                <w:rFonts w:ascii="Calibri" w:hAnsi="Calibri"/>
                <w:bCs/>
                <w:lang w:eastAsia="ja-JP"/>
              </w:rPr>
              <w:t>corpuri de ateliere</w:t>
            </w:r>
          </w:p>
        </w:tc>
        <w:tc>
          <w:tcPr>
            <w:tcW w:w="640" w:type="pct"/>
            <w:shd w:val="clear" w:color="auto" w:fill="F2F2F2"/>
            <w:hideMark/>
          </w:tcPr>
          <w:p w14:paraId="2A2B700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F74A2C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89603B7" w14:textId="77777777" w:rsidR="00395D01" w:rsidRPr="00912996" w:rsidRDefault="00395D01" w:rsidP="00292396">
            <w:pPr>
              <w:rPr>
                <w:rFonts w:ascii="Calibri" w:hAnsi="Calibri"/>
                <w:bCs/>
                <w:lang w:eastAsia="ja-JP"/>
              </w:rPr>
            </w:pPr>
            <w:r w:rsidRPr="00912996">
              <w:rPr>
                <w:rFonts w:ascii="Calibri" w:hAnsi="Calibri"/>
                <w:bCs/>
                <w:lang w:eastAsia="ja-JP"/>
              </w:rPr>
              <w:t>6,173,587</w:t>
            </w:r>
          </w:p>
        </w:tc>
        <w:tc>
          <w:tcPr>
            <w:tcW w:w="411" w:type="pct"/>
            <w:shd w:val="clear" w:color="auto" w:fill="F2F2F2"/>
            <w:hideMark/>
          </w:tcPr>
          <w:p w14:paraId="4E193F46" w14:textId="77777777" w:rsidR="00395D01" w:rsidRPr="00912996" w:rsidRDefault="00395D01" w:rsidP="00292396">
            <w:pPr>
              <w:rPr>
                <w:rFonts w:ascii="Calibri" w:hAnsi="Calibri"/>
                <w:bCs/>
                <w:lang w:eastAsia="ja-JP"/>
              </w:rPr>
            </w:pPr>
            <w:r w:rsidRPr="00912996">
              <w:rPr>
                <w:rFonts w:ascii="Calibri" w:hAnsi="Calibri"/>
                <w:bCs/>
                <w:lang w:eastAsia="ja-JP"/>
              </w:rPr>
              <w:t>1,259,916</w:t>
            </w:r>
          </w:p>
        </w:tc>
        <w:tc>
          <w:tcPr>
            <w:tcW w:w="347" w:type="pct"/>
            <w:shd w:val="clear" w:color="auto" w:fill="F2F2F2"/>
            <w:hideMark/>
          </w:tcPr>
          <w:p w14:paraId="399D385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F867E19"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45A07CE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8E421A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A6339F1" w14:textId="77777777" w:rsidTr="00E16711">
        <w:trPr>
          <w:trHeight w:val="1320"/>
        </w:trPr>
        <w:tc>
          <w:tcPr>
            <w:tcW w:w="205" w:type="pct"/>
            <w:shd w:val="clear" w:color="auto" w:fill="F2F2F2"/>
            <w:noWrap/>
            <w:hideMark/>
          </w:tcPr>
          <w:p w14:paraId="7038C750" w14:textId="77777777" w:rsidR="00395D01" w:rsidRPr="00912996" w:rsidRDefault="00395D01" w:rsidP="00292396">
            <w:pPr>
              <w:rPr>
                <w:rFonts w:ascii="Calibri" w:hAnsi="Calibri"/>
                <w:bCs/>
                <w:lang w:eastAsia="ja-JP"/>
              </w:rPr>
            </w:pPr>
            <w:r w:rsidRPr="00912996">
              <w:rPr>
                <w:rFonts w:ascii="Calibri" w:hAnsi="Calibri"/>
                <w:bCs/>
                <w:lang w:eastAsia="ja-JP"/>
              </w:rPr>
              <w:t>8</w:t>
            </w:r>
            <w:r>
              <w:rPr>
                <w:rFonts w:ascii="Calibri" w:hAnsi="Calibri"/>
                <w:bCs/>
                <w:lang w:eastAsia="ja-JP"/>
              </w:rPr>
              <w:t>0</w:t>
            </w:r>
          </w:p>
        </w:tc>
        <w:tc>
          <w:tcPr>
            <w:tcW w:w="1018" w:type="pct"/>
            <w:gridSpan w:val="2"/>
            <w:shd w:val="clear" w:color="auto" w:fill="F2F2F2"/>
            <w:hideMark/>
          </w:tcPr>
          <w:p w14:paraId="4D4344F8" w14:textId="77777777" w:rsidR="00395D01" w:rsidRPr="009D67EF" w:rsidRDefault="00395D01" w:rsidP="00292396">
            <w:pPr>
              <w:rPr>
                <w:rFonts w:ascii="Calibri" w:hAnsi="Calibri"/>
                <w:bCs/>
                <w:lang w:eastAsia="ja-JP"/>
              </w:rPr>
            </w:pPr>
            <w:r w:rsidRPr="009D67EF">
              <w:rPr>
                <w:rFonts w:ascii="Calibri" w:hAnsi="Calibri"/>
                <w:bCs/>
                <w:lang w:eastAsia="ja-JP"/>
              </w:rPr>
              <w:t>Reabilitarea şi modernizarea corp liceu Liceul Nikola Tesla</w:t>
            </w:r>
          </w:p>
          <w:p w14:paraId="28B9B024" w14:textId="77777777" w:rsidR="00395D01" w:rsidRPr="009D67EF" w:rsidRDefault="00395D01" w:rsidP="00292396">
            <w:pPr>
              <w:rPr>
                <w:rFonts w:ascii="Calibri" w:hAnsi="Calibri"/>
                <w:bCs/>
                <w:lang w:eastAsia="ja-JP"/>
              </w:rPr>
            </w:pPr>
          </w:p>
          <w:p w14:paraId="76A72AF1" w14:textId="77777777" w:rsidR="00395D01" w:rsidRPr="00912996" w:rsidRDefault="00395D01" w:rsidP="00292396">
            <w:pPr>
              <w:rPr>
                <w:rFonts w:ascii="Calibri" w:hAnsi="Calibri"/>
                <w:bCs/>
                <w:lang w:eastAsia="ja-JP"/>
              </w:rPr>
            </w:pPr>
            <w:r w:rsidRPr="009D67EF">
              <w:rPr>
                <w:rFonts w:ascii="Calibri" w:hAnsi="Calibri"/>
                <w:bCs/>
                <w:lang w:eastAsia="ja-JP"/>
              </w:rPr>
              <w:t>Reabilitarea şi modernizarea corp atelier Liceul Nikola Tesla</w:t>
            </w:r>
          </w:p>
        </w:tc>
        <w:tc>
          <w:tcPr>
            <w:tcW w:w="640" w:type="pct"/>
            <w:shd w:val="clear" w:color="auto" w:fill="F2F2F2"/>
            <w:hideMark/>
          </w:tcPr>
          <w:p w14:paraId="062765E7"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07CF642" w14:textId="77777777" w:rsidR="00395D01" w:rsidRPr="009D67EF" w:rsidRDefault="00395D01" w:rsidP="00292396">
            <w:pPr>
              <w:rPr>
                <w:rFonts w:ascii="Calibri" w:hAnsi="Calibri"/>
                <w:bCs/>
                <w:lang w:eastAsia="ja-JP"/>
              </w:rPr>
            </w:pPr>
            <w:r w:rsidRPr="009D67EF">
              <w:rPr>
                <w:rFonts w:ascii="Calibri" w:hAnsi="Calibri"/>
                <w:bCs/>
                <w:lang w:eastAsia="ja-JP"/>
              </w:rPr>
              <w:t>În implementare</w:t>
            </w:r>
          </w:p>
          <w:p w14:paraId="45000350" w14:textId="77777777" w:rsidR="00395D01" w:rsidRPr="009D67EF" w:rsidRDefault="00395D01" w:rsidP="00292396">
            <w:pPr>
              <w:rPr>
                <w:rFonts w:ascii="Calibri" w:hAnsi="Calibri"/>
                <w:bCs/>
                <w:lang w:eastAsia="ja-JP"/>
              </w:rPr>
            </w:pPr>
          </w:p>
          <w:p w14:paraId="2C8BFCE4" w14:textId="77777777" w:rsidR="00395D01" w:rsidRPr="00912996" w:rsidRDefault="00395D01" w:rsidP="00292396">
            <w:pPr>
              <w:rPr>
                <w:rFonts w:ascii="Calibri" w:hAnsi="Calibri"/>
                <w:bCs/>
                <w:lang w:eastAsia="ja-JP"/>
              </w:rPr>
            </w:pPr>
            <w:r w:rsidRPr="009D67EF">
              <w:rPr>
                <w:rFonts w:ascii="Calibri" w:hAnsi="Calibri"/>
                <w:bCs/>
                <w:lang w:eastAsia="ja-JP"/>
              </w:rPr>
              <w:t>În implementare</w:t>
            </w:r>
          </w:p>
        </w:tc>
        <w:tc>
          <w:tcPr>
            <w:tcW w:w="473" w:type="pct"/>
            <w:shd w:val="clear" w:color="auto" w:fill="F2F2F2"/>
            <w:hideMark/>
          </w:tcPr>
          <w:p w14:paraId="11716EBA" w14:textId="77777777" w:rsidR="00395D01" w:rsidRPr="009D67EF" w:rsidRDefault="00395D01" w:rsidP="00292396">
            <w:pPr>
              <w:rPr>
                <w:rFonts w:ascii="Calibri" w:hAnsi="Calibri"/>
                <w:bCs/>
                <w:lang w:eastAsia="ja-JP"/>
              </w:rPr>
            </w:pPr>
            <w:r w:rsidRPr="009D67EF">
              <w:rPr>
                <w:rFonts w:ascii="Calibri" w:hAnsi="Calibri"/>
                <w:bCs/>
                <w:lang w:eastAsia="ja-JP"/>
              </w:rPr>
              <w:t>13,673,330</w:t>
            </w:r>
          </w:p>
          <w:p w14:paraId="47B19C61" w14:textId="77777777" w:rsidR="00395D01" w:rsidRPr="009D67EF" w:rsidRDefault="00395D01" w:rsidP="00292396">
            <w:pPr>
              <w:rPr>
                <w:rFonts w:ascii="Calibri" w:hAnsi="Calibri"/>
                <w:bCs/>
                <w:lang w:eastAsia="ja-JP"/>
              </w:rPr>
            </w:pPr>
          </w:p>
          <w:p w14:paraId="03C901AB" w14:textId="77777777" w:rsidR="00395D01" w:rsidRPr="00912996" w:rsidRDefault="00395D01" w:rsidP="00292396">
            <w:pPr>
              <w:rPr>
                <w:rFonts w:ascii="Calibri" w:hAnsi="Calibri"/>
                <w:bCs/>
                <w:lang w:eastAsia="ja-JP"/>
              </w:rPr>
            </w:pPr>
            <w:r w:rsidRPr="009D67EF">
              <w:rPr>
                <w:rFonts w:ascii="Calibri" w:hAnsi="Calibri"/>
                <w:bCs/>
                <w:lang w:eastAsia="ja-JP"/>
              </w:rPr>
              <w:t>1,580,000</w:t>
            </w:r>
          </w:p>
        </w:tc>
        <w:tc>
          <w:tcPr>
            <w:tcW w:w="411" w:type="pct"/>
            <w:shd w:val="clear" w:color="auto" w:fill="F2F2F2"/>
            <w:hideMark/>
          </w:tcPr>
          <w:p w14:paraId="5151BB16" w14:textId="77777777" w:rsidR="00395D01" w:rsidRPr="009D67EF" w:rsidRDefault="00395D01" w:rsidP="00292396">
            <w:pPr>
              <w:rPr>
                <w:rFonts w:ascii="Calibri" w:hAnsi="Calibri"/>
                <w:bCs/>
                <w:lang w:eastAsia="ja-JP"/>
              </w:rPr>
            </w:pPr>
            <w:r w:rsidRPr="009D67EF">
              <w:rPr>
                <w:rFonts w:ascii="Calibri" w:hAnsi="Calibri"/>
                <w:bCs/>
                <w:lang w:eastAsia="ja-JP"/>
              </w:rPr>
              <w:t>2,790,476</w:t>
            </w:r>
          </w:p>
          <w:p w14:paraId="47831D26" w14:textId="77777777" w:rsidR="00395D01" w:rsidRPr="009D67EF" w:rsidRDefault="00395D01" w:rsidP="00292396">
            <w:pPr>
              <w:rPr>
                <w:rFonts w:ascii="Calibri" w:hAnsi="Calibri"/>
                <w:bCs/>
                <w:lang w:eastAsia="ja-JP"/>
              </w:rPr>
            </w:pPr>
          </w:p>
          <w:p w14:paraId="0C0212B3" w14:textId="77777777" w:rsidR="00395D01" w:rsidRPr="00912996" w:rsidRDefault="00395D01" w:rsidP="00292396">
            <w:pPr>
              <w:rPr>
                <w:rFonts w:ascii="Calibri" w:hAnsi="Calibri"/>
                <w:bCs/>
                <w:lang w:eastAsia="ja-JP"/>
              </w:rPr>
            </w:pPr>
            <w:r w:rsidRPr="009D67EF">
              <w:rPr>
                <w:rFonts w:ascii="Calibri" w:hAnsi="Calibri"/>
                <w:bCs/>
                <w:lang w:eastAsia="ja-JP"/>
              </w:rPr>
              <w:t>322,449</w:t>
            </w:r>
          </w:p>
        </w:tc>
        <w:tc>
          <w:tcPr>
            <w:tcW w:w="347" w:type="pct"/>
            <w:shd w:val="clear" w:color="auto" w:fill="F2F2F2"/>
            <w:hideMark/>
          </w:tcPr>
          <w:p w14:paraId="469412F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9A8D245" w14:textId="77777777" w:rsidR="00395D01" w:rsidRPr="009D67EF" w:rsidRDefault="00395D01" w:rsidP="00292396">
            <w:pPr>
              <w:rPr>
                <w:rFonts w:ascii="Calibri" w:hAnsi="Calibri"/>
                <w:bCs/>
                <w:lang w:eastAsia="ja-JP"/>
              </w:rPr>
            </w:pPr>
            <w:r w:rsidRPr="009D67EF">
              <w:rPr>
                <w:rFonts w:ascii="Calibri" w:hAnsi="Calibri"/>
                <w:bCs/>
                <w:lang w:eastAsia="ja-JP"/>
              </w:rPr>
              <w:t>PNRR, Bugetul local</w:t>
            </w:r>
          </w:p>
          <w:p w14:paraId="1C97658E" w14:textId="77777777" w:rsidR="00395D01" w:rsidRPr="009D67EF" w:rsidRDefault="00395D01" w:rsidP="00292396">
            <w:pPr>
              <w:rPr>
                <w:rFonts w:ascii="Calibri" w:hAnsi="Calibri"/>
                <w:bCs/>
                <w:lang w:eastAsia="ja-JP"/>
              </w:rPr>
            </w:pPr>
          </w:p>
          <w:p w14:paraId="771FACCF" w14:textId="77777777" w:rsidR="00395D01" w:rsidRPr="00912996" w:rsidRDefault="00395D01" w:rsidP="00292396">
            <w:pPr>
              <w:rPr>
                <w:rFonts w:ascii="Calibri" w:hAnsi="Calibri"/>
                <w:bCs/>
                <w:lang w:eastAsia="ja-JP"/>
              </w:rPr>
            </w:pPr>
            <w:r w:rsidRPr="009D67EF">
              <w:rPr>
                <w:rFonts w:ascii="Calibri" w:hAnsi="Calibri"/>
                <w:bCs/>
                <w:lang w:eastAsia="ja-JP"/>
              </w:rPr>
              <w:t xml:space="preserve"> Bugetul local</w:t>
            </w:r>
          </w:p>
        </w:tc>
        <w:tc>
          <w:tcPr>
            <w:tcW w:w="433" w:type="pct"/>
            <w:shd w:val="clear" w:color="auto" w:fill="F2F2F2"/>
            <w:hideMark/>
          </w:tcPr>
          <w:p w14:paraId="1535723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E6A985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D35EC2B" w14:textId="77777777" w:rsidTr="00E16711">
        <w:trPr>
          <w:trHeight w:val="620"/>
        </w:trPr>
        <w:tc>
          <w:tcPr>
            <w:tcW w:w="205" w:type="pct"/>
            <w:shd w:val="clear" w:color="auto" w:fill="F2F2F2"/>
            <w:noWrap/>
            <w:hideMark/>
          </w:tcPr>
          <w:p w14:paraId="6BB2A173" w14:textId="77777777" w:rsidR="00395D01" w:rsidRPr="00912996" w:rsidRDefault="00395D01" w:rsidP="00292396">
            <w:pPr>
              <w:rPr>
                <w:rFonts w:ascii="Calibri" w:hAnsi="Calibri"/>
                <w:bCs/>
                <w:lang w:eastAsia="ja-JP"/>
              </w:rPr>
            </w:pPr>
            <w:r w:rsidRPr="00912996">
              <w:rPr>
                <w:rFonts w:ascii="Calibri" w:hAnsi="Calibri"/>
                <w:bCs/>
                <w:lang w:eastAsia="ja-JP"/>
              </w:rPr>
              <w:t>8</w:t>
            </w:r>
            <w:r>
              <w:rPr>
                <w:rFonts w:ascii="Calibri" w:hAnsi="Calibri"/>
                <w:bCs/>
                <w:lang w:eastAsia="ja-JP"/>
              </w:rPr>
              <w:t>1</w:t>
            </w:r>
          </w:p>
        </w:tc>
        <w:tc>
          <w:tcPr>
            <w:tcW w:w="1018" w:type="pct"/>
            <w:gridSpan w:val="2"/>
            <w:shd w:val="clear" w:color="auto" w:fill="F2F2F2"/>
            <w:hideMark/>
          </w:tcPr>
          <w:p w14:paraId="3EE89CE2" w14:textId="77777777" w:rsidR="00395D01" w:rsidRPr="00912996" w:rsidRDefault="00395D01" w:rsidP="00292396">
            <w:pPr>
              <w:rPr>
                <w:rFonts w:ascii="Calibri" w:hAnsi="Calibri"/>
                <w:bCs/>
                <w:lang w:eastAsia="ja-JP"/>
              </w:rPr>
            </w:pPr>
            <w:r w:rsidRPr="00912996">
              <w:rPr>
                <w:rFonts w:ascii="Calibri" w:hAnsi="Calibri"/>
                <w:bCs/>
                <w:lang w:eastAsia="ja-JP"/>
              </w:rPr>
              <w:t>Consolidarea, reabilitarea și modernizarea Liceului Waldorf</w:t>
            </w:r>
          </w:p>
        </w:tc>
        <w:tc>
          <w:tcPr>
            <w:tcW w:w="640" w:type="pct"/>
            <w:shd w:val="clear" w:color="auto" w:fill="F2F2F2"/>
            <w:hideMark/>
          </w:tcPr>
          <w:p w14:paraId="7CD7575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C3EFBF2" w14:textId="77777777" w:rsidR="00395D01" w:rsidRPr="00912996" w:rsidRDefault="00395D01" w:rsidP="00292396">
            <w:pPr>
              <w:rPr>
                <w:rFonts w:ascii="Calibri" w:hAnsi="Calibri"/>
                <w:bCs/>
                <w:lang w:eastAsia="ja-JP"/>
              </w:rPr>
            </w:pPr>
            <w:r w:rsidRPr="009D67EF">
              <w:rPr>
                <w:rFonts w:ascii="Calibri" w:hAnsi="Calibri"/>
                <w:bCs/>
                <w:lang w:eastAsia="ja-JP"/>
              </w:rPr>
              <w:t>DALI</w:t>
            </w:r>
          </w:p>
        </w:tc>
        <w:tc>
          <w:tcPr>
            <w:tcW w:w="473" w:type="pct"/>
            <w:shd w:val="clear" w:color="auto" w:fill="F2F2F2"/>
            <w:hideMark/>
          </w:tcPr>
          <w:p w14:paraId="4754749D" w14:textId="77777777" w:rsidR="00395D01" w:rsidRPr="00912996" w:rsidRDefault="00395D01" w:rsidP="00292396">
            <w:pPr>
              <w:rPr>
                <w:rFonts w:ascii="Calibri" w:hAnsi="Calibri"/>
                <w:bCs/>
                <w:lang w:eastAsia="ja-JP"/>
              </w:rPr>
            </w:pPr>
            <w:r w:rsidRPr="009D67EF">
              <w:rPr>
                <w:rFonts w:ascii="Calibri" w:hAnsi="Calibri"/>
                <w:bCs/>
                <w:lang w:eastAsia="ja-JP"/>
              </w:rPr>
              <w:t>5,321,000</w:t>
            </w:r>
          </w:p>
        </w:tc>
        <w:tc>
          <w:tcPr>
            <w:tcW w:w="411" w:type="pct"/>
            <w:shd w:val="clear" w:color="auto" w:fill="F2F2F2"/>
            <w:hideMark/>
          </w:tcPr>
          <w:p w14:paraId="0E0A9510" w14:textId="77777777" w:rsidR="00395D01" w:rsidRPr="00912996" w:rsidRDefault="00395D01" w:rsidP="00292396">
            <w:pPr>
              <w:rPr>
                <w:rFonts w:ascii="Calibri" w:hAnsi="Calibri"/>
                <w:bCs/>
                <w:lang w:eastAsia="ja-JP"/>
              </w:rPr>
            </w:pPr>
            <w:r w:rsidRPr="009D67EF">
              <w:rPr>
                <w:rFonts w:ascii="Calibri" w:hAnsi="Calibri"/>
                <w:bCs/>
                <w:lang w:eastAsia="ja-JP"/>
              </w:rPr>
              <w:t>1,085,918</w:t>
            </w:r>
          </w:p>
        </w:tc>
        <w:tc>
          <w:tcPr>
            <w:tcW w:w="347" w:type="pct"/>
            <w:shd w:val="clear" w:color="auto" w:fill="F2F2F2"/>
            <w:hideMark/>
          </w:tcPr>
          <w:p w14:paraId="47053B1D"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EB99922"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21347FC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616A146"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6F1E223" w14:textId="77777777" w:rsidTr="00E16711">
        <w:trPr>
          <w:trHeight w:val="1320"/>
        </w:trPr>
        <w:tc>
          <w:tcPr>
            <w:tcW w:w="205" w:type="pct"/>
            <w:shd w:val="clear" w:color="auto" w:fill="F2F2F2"/>
            <w:noWrap/>
            <w:hideMark/>
          </w:tcPr>
          <w:p w14:paraId="78B223A1" w14:textId="77777777" w:rsidR="00395D01" w:rsidRPr="00912996" w:rsidRDefault="00395D01" w:rsidP="00292396">
            <w:pPr>
              <w:rPr>
                <w:rFonts w:ascii="Calibri" w:hAnsi="Calibri"/>
                <w:bCs/>
                <w:lang w:eastAsia="ja-JP"/>
              </w:rPr>
            </w:pPr>
            <w:r w:rsidRPr="00912996">
              <w:rPr>
                <w:rFonts w:ascii="Calibri" w:hAnsi="Calibri"/>
                <w:bCs/>
                <w:lang w:eastAsia="ja-JP"/>
              </w:rPr>
              <w:t>8</w:t>
            </w:r>
            <w:r>
              <w:rPr>
                <w:rFonts w:ascii="Calibri" w:hAnsi="Calibri"/>
                <w:bCs/>
                <w:lang w:eastAsia="ja-JP"/>
              </w:rPr>
              <w:t>2</w:t>
            </w:r>
          </w:p>
        </w:tc>
        <w:tc>
          <w:tcPr>
            <w:tcW w:w="1018" w:type="pct"/>
            <w:gridSpan w:val="2"/>
            <w:shd w:val="clear" w:color="auto" w:fill="F2F2F2"/>
            <w:hideMark/>
          </w:tcPr>
          <w:p w14:paraId="650DDAE9" w14:textId="77777777" w:rsidR="00395D01" w:rsidRPr="00912996" w:rsidRDefault="00395D01" w:rsidP="00292396">
            <w:pPr>
              <w:rPr>
                <w:rFonts w:ascii="Calibri" w:hAnsi="Calibri"/>
                <w:bCs/>
                <w:lang w:eastAsia="ja-JP"/>
              </w:rPr>
            </w:pPr>
            <w:r w:rsidRPr="00912996">
              <w:rPr>
                <w:rFonts w:ascii="Calibri" w:hAnsi="Calibri"/>
                <w:bCs/>
                <w:lang w:eastAsia="ja-JP"/>
              </w:rPr>
              <w:t>Construire centrul Educațional - Colegiul Tehnologic ”Dimitrie Leonida”</w:t>
            </w:r>
          </w:p>
        </w:tc>
        <w:tc>
          <w:tcPr>
            <w:tcW w:w="640" w:type="pct"/>
            <w:shd w:val="clear" w:color="auto" w:fill="F2F2F2"/>
            <w:hideMark/>
          </w:tcPr>
          <w:p w14:paraId="5F940D8F"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DD91CE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D36068F" w14:textId="77777777" w:rsidR="00395D01" w:rsidRPr="00912996" w:rsidRDefault="00395D01" w:rsidP="00292396">
            <w:pPr>
              <w:rPr>
                <w:rFonts w:ascii="Calibri" w:hAnsi="Calibri"/>
                <w:bCs/>
                <w:lang w:eastAsia="ja-JP"/>
              </w:rPr>
            </w:pPr>
            <w:r w:rsidRPr="009D67EF">
              <w:rPr>
                <w:rFonts w:ascii="Calibri" w:hAnsi="Calibri"/>
                <w:bCs/>
                <w:lang w:eastAsia="ja-JP"/>
              </w:rPr>
              <w:t>11,878,000</w:t>
            </w:r>
          </w:p>
        </w:tc>
        <w:tc>
          <w:tcPr>
            <w:tcW w:w="411" w:type="pct"/>
            <w:shd w:val="clear" w:color="auto" w:fill="F2F2F2"/>
            <w:hideMark/>
          </w:tcPr>
          <w:p w14:paraId="3CA66A79" w14:textId="77777777" w:rsidR="00395D01" w:rsidRPr="00912996" w:rsidRDefault="00395D01" w:rsidP="00292396">
            <w:pPr>
              <w:rPr>
                <w:rFonts w:ascii="Calibri" w:hAnsi="Calibri"/>
                <w:bCs/>
                <w:lang w:eastAsia="ja-JP"/>
              </w:rPr>
            </w:pPr>
            <w:r w:rsidRPr="009D67EF">
              <w:rPr>
                <w:rFonts w:ascii="Calibri" w:hAnsi="Calibri"/>
                <w:bCs/>
                <w:lang w:eastAsia="ja-JP"/>
              </w:rPr>
              <w:t>2,424,082</w:t>
            </w:r>
          </w:p>
        </w:tc>
        <w:tc>
          <w:tcPr>
            <w:tcW w:w="347" w:type="pct"/>
            <w:shd w:val="clear" w:color="auto" w:fill="F2F2F2"/>
            <w:hideMark/>
          </w:tcPr>
          <w:p w14:paraId="574F8B9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1AAB4FD"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2CEE09E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2FFB5E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827F226" w14:textId="77777777" w:rsidTr="00E16711">
        <w:trPr>
          <w:trHeight w:val="1320"/>
        </w:trPr>
        <w:tc>
          <w:tcPr>
            <w:tcW w:w="205" w:type="pct"/>
            <w:shd w:val="clear" w:color="auto" w:fill="F2F2F2"/>
            <w:noWrap/>
            <w:hideMark/>
          </w:tcPr>
          <w:p w14:paraId="687D51A6" w14:textId="77777777" w:rsidR="00395D01" w:rsidRPr="00912996" w:rsidRDefault="00395D01" w:rsidP="00292396">
            <w:pPr>
              <w:rPr>
                <w:rFonts w:ascii="Calibri" w:hAnsi="Calibri"/>
                <w:bCs/>
                <w:lang w:eastAsia="ja-JP"/>
              </w:rPr>
            </w:pPr>
            <w:r w:rsidRPr="00912996">
              <w:rPr>
                <w:rFonts w:ascii="Calibri" w:hAnsi="Calibri"/>
                <w:bCs/>
                <w:lang w:eastAsia="ja-JP"/>
              </w:rPr>
              <w:t>8</w:t>
            </w:r>
            <w:r>
              <w:rPr>
                <w:rFonts w:ascii="Calibri" w:hAnsi="Calibri"/>
                <w:bCs/>
                <w:lang w:eastAsia="ja-JP"/>
              </w:rPr>
              <w:t>3</w:t>
            </w:r>
          </w:p>
        </w:tc>
        <w:tc>
          <w:tcPr>
            <w:tcW w:w="1018" w:type="pct"/>
            <w:gridSpan w:val="2"/>
            <w:shd w:val="clear" w:color="auto" w:fill="F2F2F2"/>
            <w:hideMark/>
          </w:tcPr>
          <w:p w14:paraId="2AB22D97" w14:textId="77777777" w:rsidR="00395D01" w:rsidRPr="00912996" w:rsidRDefault="00395D01" w:rsidP="00292396">
            <w:pPr>
              <w:rPr>
                <w:rFonts w:ascii="Calibri" w:hAnsi="Calibri"/>
                <w:bCs/>
                <w:lang w:eastAsia="ja-JP"/>
              </w:rPr>
            </w:pPr>
            <w:r w:rsidRPr="00912996">
              <w:rPr>
                <w:rFonts w:ascii="Calibri" w:hAnsi="Calibri"/>
                <w:bCs/>
                <w:lang w:eastAsia="ja-JP"/>
              </w:rPr>
              <w:t>Construire Complex Sportiv Școlar - Colegiul Școala Gimnazială nr. 51</w:t>
            </w:r>
          </w:p>
        </w:tc>
        <w:tc>
          <w:tcPr>
            <w:tcW w:w="640" w:type="pct"/>
            <w:shd w:val="clear" w:color="auto" w:fill="F2F2F2"/>
            <w:hideMark/>
          </w:tcPr>
          <w:p w14:paraId="108BBCFF"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BDE2C8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55ED8C2" w14:textId="77777777" w:rsidR="00395D01" w:rsidRPr="00912996" w:rsidRDefault="00395D01" w:rsidP="00292396">
            <w:pPr>
              <w:rPr>
                <w:rFonts w:ascii="Calibri" w:hAnsi="Calibri"/>
                <w:bCs/>
                <w:lang w:eastAsia="ja-JP"/>
              </w:rPr>
            </w:pPr>
            <w:r w:rsidRPr="009D67EF">
              <w:rPr>
                <w:rFonts w:ascii="Calibri" w:hAnsi="Calibri"/>
                <w:bCs/>
                <w:lang w:eastAsia="ja-JP"/>
              </w:rPr>
              <w:t>34,285,000</w:t>
            </w:r>
          </w:p>
        </w:tc>
        <w:tc>
          <w:tcPr>
            <w:tcW w:w="411" w:type="pct"/>
            <w:shd w:val="clear" w:color="auto" w:fill="F2F2F2"/>
            <w:hideMark/>
          </w:tcPr>
          <w:p w14:paraId="52AE80A3" w14:textId="77777777" w:rsidR="00395D01" w:rsidRPr="00912996" w:rsidRDefault="00395D01" w:rsidP="00292396">
            <w:pPr>
              <w:rPr>
                <w:rFonts w:ascii="Calibri" w:hAnsi="Calibri"/>
                <w:bCs/>
                <w:lang w:eastAsia="ja-JP"/>
              </w:rPr>
            </w:pPr>
            <w:r w:rsidRPr="009D67EF">
              <w:rPr>
                <w:rFonts w:ascii="Calibri" w:hAnsi="Calibri"/>
                <w:bCs/>
                <w:lang w:eastAsia="ja-JP"/>
              </w:rPr>
              <w:t>6,996,939</w:t>
            </w:r>
          </w:p>
        </w:tc>
        <w:tc>
          <w:tcPr>
            <w:tcW w:w="347" w:type="pct"/>
            <w:shd w:val="clear" w:color="auto" w:fill="F2F2F2"/>
            <w:hideMark/>
          </w:tcPr>
          <w:p w14:paraId="0B89D84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23B5803"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79AC4FB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27B1D82"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A9E3FD6" w14:textId="77777777" w:rsidTr="00E16711">
        <w:trPr>
          <w:trHeight w:val="620"/>
        </w:trPr>
        <w:tc>
          <w:tcPr>
            <w:tcW w:w="205" w:type="pct"/>
            <w:shd w:val="clear" w:color="auto" w:fill="F2F2F2"/>
            <w:noWrap/>
            <w:hideMark/>
          </w:tcPr>
          <w:p w14:paraId="1F816131" w14:textId="77777777" w:rsidR="00395D01" w:rsidRPr="00912996" w:rsidRDefault="00395D01" w:rsidP="00292396">
            <w:pPr>
              <w:rPr>
                <w:rFonts w:ascii="Calibri" w:hAnsi="Calibri"/>
                <w:bCs/>
                <w:lang w:eastAsia="ja-JP"/>
              </w:rPr>
            </w:pPr>
            <w:r w:rsidRPr="00912996">
              <w:rPr>
                <w:rFonts w:ascii="Calibri" w:hAnsi="Calibri"/>
                <w:bCs/>
                <w:lang w:eastAsia="ja-JP"/>
              </w:rPr>
              <w:t>8</w:t>
            </w:r>
            <w:r>
              <w:rPr>
                <w:rFonts w:ascii="Calibri" w:hAnsi="Calibri"/>
                <w:bCs/>
                <w:lang w:eastAsia="ja-JP"/>
              </w:rPr>
              <w:t>4</w:t>
            </w:r>
          </w:p>
        </w:tc>
        <w:tc>
          <w:tcPr>
            <w:tcW w:w="1018" w:type="pct"/>
            <w:gridSpan w:val="2"/>
            <w:shd w:val="clear" w:color="auto" w:fill="F2F2F2"/>
            <w:hideMark/>
          </w:tcPr>
          <w:p w14:paraId="417A4FEB" w14:textId="77777777" w:rsidR="00395D01" w:rsidRPr="00912996" w:rsidRDefault="00395D01" w:rsidP="00292396">
            <w:pPr>
              <w:rPr>
                <w:rFonts w:ascii="Calibri" w:hAnsi="Calibri"/>
                <w:bCs/>
                <w:lang w:eastAsia="ja-JP"/>
              </w:rPr>
            </w:pPr>
            <w:r w:rsidRPr="00912996">
              <w:rPr>
                <w:rFonts w:ascii="Calibri" w:hAnsi="Calibri"/>
                <w:bCs/>
                <w:lang w:eastAsia="ja-JP"/>
              </w:rPr>
              <w:t>Construire Complex Sportiv Școlar - Colegiul Tehnologic ”Dimitrie Leonida”</w:t>
            </w:r>
          </w:p>
        </w:tc>
        <w:tc>
          <w:tcPr>
            <w:tcW w:w="640" w:type="pct"/>
            <w:shd w:val="clear" w:color="auto" w:fill="F2F2F2"/>
            <w:hideMark/>
          </w:tcPr>
          <w:p w14:paraId="0C58D047"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63AE87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CF511AB" w14:textId="77777777" w:rsidR="00395D01" w:rsidRPr="00912996" w:rsidRDefault="00395D01" w:rsidP="00292396">
            <w:pPr>
              <w:rPr>
                <w:rFonts w:ascii="Calibri" w:hAnsi="Calibri"/>
                <w:bCs/>
                <w:lang w:eastAsia="ja-JP"/>
              </w:rPr>
            </w:pPr>
            <w:r w:rsidRPr="009D67EF">
              <w:rPr>
                <w:rFonts w:ascii="Calibri" w:hAnsi="Calibri"/>
                <w:bCs/>
                <w:lang w:eastAsia="ja-JP"/>
              </w:rPr>
              <w:t>24,285,000</w:t>
            </w:r>
          </w:p>
        </w:tc>
        <w:tc>
          <w:tcPr>
            <w:tcW w:w="411" w:type="pct"/>
            <w:shd w:val="clear" w:color="auto" w:fill="F2F2F2"/>
            <w:hideMark/>
          </w:tcPr>
          <w:p w14:paraId="40B3B14D" w14:textId="77777777" w:rsidR="00395D01" w:rsidRPr="00912996" w:rsidRDefault="00395D01" w:rsidP="00292396">
            <w:pPr>
              <w:rPr>
                <w:rFonts w:ascii="Calibri" w:hAnsi="Calibri"/>
                <w:bCs/>
                <w:lang w:eastAsia="ja-JP"/>
              </w:rPr>
            </w:pPr>
            <w:r w:rsidRPr="009D67EF">
              <w:rPr>
                <w:rFonts w:ascii="Calibri" w:hAnsi="Calibri"/>
                <w:bCs/>
                <w:lang w:eastAsia="ja-JP"/>
              </w:rPr>
              <w:t>4,956,122</w:t>
            </w:r>
          </w:p>
        </w:tc>
        <w:tc>
          <w:tcPr>
            <w:tcW w:w="347" w:type="pct"/>
            <w:shd w:val="clear" w:color="auto" w:fill="F2F2F2"/>
            <w:hideMark/>
          </w:tcPr>
          <w:p w14:paraId="48A5AB3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6A556F0"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6004EA6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7A0B07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5CC39A2" w14:textId="77777777" w:rsidTr="00E16711">
        <w:trPr>
          <w:trHeight w:val="1320"/>
        </w:trPr>
        <w:tc>
          <w:tcPr>
            <w:tcW w:w="205" w:type="pct"/>
            <w:shd w:val="clear" w:color="auto" w:fill="F2F2F2"/>
            <w:noWrap/>
            <w:hideMark/>
          </w:tcPr>
          <w:p w14:paraId="1403CB96" w14:textId="77777777" w:rsidR="00395D01" w:rsidRPr="00912996" w:rsidRDefault="00395D01" w:rsidP="00292396">
            <w:pPr>
              <w:rPr>
                <w:rFonts w:ascii="Calibri" w:hAnsi="Calibri"/>
                <w:bCs/>
                <w:lang w:eastAsia="ja-JP"/>
              </w:rPr>
            </w:pPr>
            <w:r w:rsidRPr="00912996">
              <w:rPr>
                <w:rFonts w:ascii="Calibri" w:hAnsi="Calibri"/>
                <w:bCs/>
                <w:lang w:eastAsia="ja-JP"/>
              </w:rPr>
              <w:t>8</w:t>
            </w:r>
            <w:r>
              <w:rPr>
                <w:rFonts w:ascii="Calibri" w:hAnsi="Calibri"/>
                <w:bCs/>
                <w:lang w:eastAsia="ja-JP"/>
              </w:rPr>
              <w:t>5</w:t>
            </w:r>
          </w:p>
        </w:tc>
        <w:tc>
          <w:tcPr>
            <w:tcW w:w="1018" w:type="pct"/>
            <w:gridSpan w:val="2"/>
            <w:shd w:val="clear" w:color="auto" w:fill="F2F2F2"/>
            <w:hideMark/>
          </w:tcPr>
          <w:p w14:paraId="70A600F9" w14:textId="77777777" w:rsidR="00395D01" w:rsidRPr="00912996" w:rsidRDefault="00395D01" w:rsidP="00292396">
            <w:pPr>
              <w:rPr>
                <w:rFonts w:ascii="Calibri" w:hAnsi="Calibri"/>
                <w:bCs/>
                <w:lang w:eastAsia="ja-JP"/>
              </w:rPr>
            </w:pPr>
            <w:r w:rsidRPr="00912996">
              <w:rPr>
                <w:rFonts w:ascii="Calibri" w:hAnsi="Calibri"/>
                <w:bCs/>
                <w:lang w:eastAsia="ja-JP"/>
              </w:rPr>
              <w:t>Construire sală sport - Beneficiar: Liceul Nikola Tesla</w:t>
            </w:r>
          </w:p>
        </w:tc>
        <w:tc>
          <w:tcPr>
            <w:tcW w:w="640" w:type="pct"/>
            <w:shd w:val="clear" w:color="auto" w:fill="F2F2F2"/>
            <w:hideMark/>
          </w:tcPr>
          <w:p w14:paraId="2B80353D"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087247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B8F2275" w14:textId="77777777" w:rsidR="00395D01" w:rsidRPr="00912996" w:rsidRDefault="00395D01" w:rsidP="00292396">
            <w:pPr>
              <w:rPr>
                <w:rFonts w:ascii="Calibri" w:hAnsi="Calibri"/>
                <w:bCs/>
                <w:lang w:eastAsia="ja-JP"/>
              </w:rPr>
            </w:pPr>
            <w:r w:rsidRPr="009D67EF">
              <w:rPr>
                <w:rFonts w:ascii="Calibri" w:hAnsi="Calibri"/>
                <w:bCs/>
                <w:lang w:eastAsia="ja-JP"/>
              </w:rPr>
              <w:t>1,639,000</w:t>
            </w:r>
          </w:p>
        </w:tc>
        <w:tc>
          <w:tcPr>
            <w:tcW w:w="411" w:type="pct"/>
            <w:shd w:val="clear" w:color="auto" w:fill="F2F2F2"/>
            <w:hideMark/>
          </w:tcPr>
          <w:p w14:paraId="0D299695" w14:textId="77777777" w:rsidR="00395D01" w:rsidRPr="00912996" w:rsidRDefault="00395D01" w:rsidP="00292396">
            <w:pPr>
              <w:rPr>
                <w:rFonts w:ascii="Calibri" w:hAnsi="Calibri"/>
                <w:bCs/>
                <w:lang w:eastAsia="ja-JP"/>
              </w:rPr>
            </w:pPr>
            <w:r w:rsidRPr="009D67EF">
              <w:rPr>
                <w:rFonts w:ascii="Calibri" w:hAnsi="Calibri"/>
                <w:bCs/>
                <w:lang w:eastAsia="ja-JP"/>
              </w:rPr>
              <w:t>334,490</w:t>
            </w:r>
          </w:p>
        </w:tc>
        <w:tc>
          <w:tcPr>
            <w:tcW w:w="347" w:type="pct"/>
            <w:shd w:val="clear" w:color="auto" w:fill="F2F2F2"/>
            <w:hideMark/>
          </w:tcPr>
          <w:p w14:paraId="0F828ED3"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EADED13"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116CC32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4867892"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1C404E6" w14:textId="77777777" w:rsidTr="00E16711">
        <w:trPr>
          <w:trHeight w:val="620"/>
        </w:trPr>
        <w:tc>
          <w:tcPr>
            <w:tcW w:w="205" w:type="pct"/>
            <w:shd w:val="clear" w:color="auto" w:fill="F2F2F2"/>
            <w:noWrap/>
            <w:hideMark/>
          </w:tcPr>
          <w:p w14:paraId="06CB9EFF" w14:textId="77777777" w:rsidR="00395D01" w:rsidRPr="00912996" w:rsidRDefault="00395D01" w:rsidP="00292396">
            <w:pPr>
              <w:rPr>
                <w:rFonts w:ascii="Calibri" w:hAnsi="Calibri"/>
                <w:bCs/>
                <w:lang w:eastAsia="ja-JP"/>
              </w:rPr>
            </w:pPr>
            <w:r w:rsidRPr="00912996">
              <w:rPr>
                <w:rFonts w:ascii="Calibri" w:hAnsi="Calibri"/>
                <w:bCs/>
                <w:lang w:eastAsia="ja-JP"/>
              </w:rPr>
              <w:t>8</w:t>
            </w:r>
            <w:r>
              <w:rPr>
                <w:rFonts w:ascii="Calibri" w:hAnsi="Calibri"/>
                <w:bCs/>
                <w:lang w:eastAsia="ja-JP"/>
              </w:rPr>
              <w:t>6</w:t>
            </w:r>
          </w:p>
        </w:tc>
        <w:tc>
          <w:tcPr>
            <w:tcW w:w="1018" w:type="pct"/>
            <w:gridSpan w:val="2"/>
            <w:shd w:val="clear" w:color="auto" w:fill="F2F2F2"/>
            <w:hideMark/>
          </w:tcPr>
          <w:p w14:paraId="4C9F5761" w14:textId="77777777" w:rsidR="00395D01" w:rsidRPr="00912996" w:rsidRDefault="00395D01" w:rsidP="00292396">
            <w:pPr>
              <w:rPr>
                <w:rFonts w:ascii="Calibri" w:hAnsi="Calibri"/>
                <w:bCs/>
                <w:lang w:eastAsia="ja-JP"/>
              </w:rPr>
            </w:pPr>
            <w:r w:rsidRPr="00912996">
              <w:rPr>
                <w:rFonts w:ascii="Calibri" w:hAnsi="Calibri"/>
                <w:bCs/>
                <w:lang w:eastAsia="ja-JP"/>
              </w:rPr>
              <w:t>Construire sală sport - Beneficiar: Școala nr. 145</w:t>
            </w:r>
          </w:p>
        </w:tc>
        <w:tc>
          <w:tcPr>
            <w:tcW w:w="640" w:type="pct"/>
            <w:shd w:val="clear" w:color="auto" w:fill="F2F2F2"/>
            <w:hideMark/>
          </w:tcPr>
          <w:p w14:paraId="17E80DA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C60FC0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FB1D7D5" w14:textId="77777777" w:rsidR="00395D01" w:rsidRPr="00912996" w:rsidRDefault="00395D01" w:rsidP="00292396">
            <w:pPr>
              <w:rPr>
                <w:rFonts w:ascii="Calibri" w:hAnsi="Calibri"/>
                <w:bCs/>
                <w:lang w:eastAsia="ja-JP"/>
              </w:rPr>
            </w:pPr>
            <w:r w:rsidRPr="009D67EF">
              <w:rPr>
                <w:rFonts w:ascii="Calibri" w:hAnsi="Calibri"/>
                <w:bCs/>
                <w:lang w:eastAsia="ja-JP"/>
              </w:rPr>
              <w:t>1,653,000</w:t>
            </w:r>
          </w:p>
        </w:tc>
        <w:tc>
          <w:tcPr>
            <w:tcW w:w="411" w:type="pct"/>
            <w:shd w:val="clear" w:color="auto" w:fill="F2F2F2"/>
            <w:hideMark/>
          </w:tcPr>
          <w:p w14:paraId="14B1FC2B" w14:textId="77777777" w:rsidR="00395D01" w:rsidRPr="00912996" w:rsidRDefault="00395D01" w:rsidP="00292396">
            <w:pPr>
              <w:rPr>
                <w:rFonts w:ascii="Calibri" w:hAnsi="Calibri"/>
                <w:bCs/>
                <w:lang w:eastAsia="ja-JP"/>
              </w:rPr>
            </w:pPr>
            <w:r w:rsidRPr="009D67EF">
              <w:rPr>
                <w:rFonts w:ascii="Calibri" w:hAnsi="Calibri"/>
                <w:bCs/>
                <w:lang w:eastAsia="ja-JP"/>
              </w:rPr>
              <w:t>337,347</w:t>
            </w:r>
          </w:p>
        </w:tc>
        <w:tc>
          <w:tcPr>
            <w:tcW w:w="347" w:type="pct"/>
            <w:shd w:val="clear" w:color="auto" w:fill="F2F2F2"/>
            <w:hideMark/>
          </w:tcPr>
          <w:p w14:paraId="0B23C5C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6673A0F"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712B385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21CB121"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A4BE79A" w14:textId="77777777" w:rsidTr="00E16711">
        <w:trPr>
          <w:trHeight w:val="1320"/>
        </w:trPr>
        <w:tc>
          <w:tcPr>
            <w:tcW w:w="205" w:type="pct"/>
            <w:shd w:val="clear" w:color="auto" w:fill="F2F2F2"/>
            <w:noWrap/>
            <w:hideMark/>
          </w:tcPr>
          <w:p w14:paraId="17FCB117" w14:textId="77777777" w:rsidR="00395D01" w:rsidRPr="00912996" w:rsidRDefault="00395D01" w:rsidP="00292396">
            <w:pPr>
              <w:rPr>
                <w:rFonts w:ascii="Calibri" w:hAnsi="Calibri"/>
                <w:bCs/>
                <w:lang w:eastAsia="ja-JP"/>
              </w:rPr>
            </w:pPr>
            <w:r>
              <w:rPr>
                <w:rFonts w:ascii="Calibri" w:hAnsi="Calibri"/>
                <w:bCs/>
                <w:lang w:eastAsia="ja-JP"/>
              </w:rPr>
              <w:t>87</w:t>
            </w:r>
          </w:p>
        </w:tc>
        <w:tc>
          <w:tcPr>
            <w:tcW w:w="1018" w:type="pct"/>
            <w:gridSpan w:val="2"/>
            <w:shd w:val="clear" w:color="auto" w:fill="F2F2F2"/>
            <w:hideMark/>
          </w:tcPr>
          <w:p w14:paraId="54228869" w14:textId="77777777" w:rsidR="00395D01" w:rsidRPr="00912996" w:rsidRDefault="00395D01" w:rsidP="00292396">
            <w:pPr>
              <w:rPr>
                <w:rFonts w:ascii="Calibri" w:hAnsi="Calibri"/>
                <w:bCs/>
                <w:lang w:eastAsia="ja-JP"/>
              </w:rPr>
            </w:pPr>
            <w:r w:rsidRPr="00912996">
              <w:rPr>
                <w:rFonts w:ascii="Calibri" w:hAnsi="Calibri"/>
                <w:bCs/>
                <w:lang w:eastAsia="ja-JP"/>
              </w:rPr>
              <w:t>Construire sală sport - Beneficiar: Școala nr. 39</w:t>
            </w:r>
          </w:p>
        </w:tc>
        <w:tc>
          <w:tcPr>
            <w:tcW w:w="640" w:type="pct"/>
            <w:shd w:val="clear" w:color="auto" w:fill="F2F2F2"/>
            <w:hideMark/>
          </w:tcPr>
          <w:p w14:paraId="4BD801C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8CA17A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BF91C28" w14:textId="77777777" w:rsidR="00395D01" w:rsidRPr="00912996" w:rsidRDefault="00395D01" w:rsidP="00292396">
            <w:pPr>
              <w:rPr>
                <w:rFonts w:ascii="Calibri" w:hAnsi="Calibri"/>
                <w:bCs/>
                <w:lang w:eastAsia="ja-JP"/>
              </w:rPr>
            </w:pPr>
            <w:r w:rsidRPr="009D67EF">
              <w:rPr>
                <w:rFonts w:ascii="Calibri" w:hAnsi="Calibri"/>
                <w:bCs/>
                <w:lang w:eastAsia="ja-JP"/>
              </w:rPr>
              <w:t>2,404,000</w:t>
            </w:r>
          </w:p>
        </w:tc>
        <w:tc>
          <w:tcPr>
            <w:tcW w:w="411" w:type="pct"/>
            <w:shd w:val="clear" w:color="auto" w:fill="F2F2F2"/>
            <w:hideMark/>
          </w:tcPr>
          <w:p w14:paraId="5EBA0BDD" w14:textId="77777777" w:rsidR="00395D01" w:rsidRPr="00912996" w:rsidRDefault="00395D01" w:rsidP="00292396">
            <w:pPr>
              <w:rPr>
                <w:rFonts w:ascii="Calibri" w:hAnsi="Calibri"/>
                <w:bCs/>
                <w:lang w:eastAsia="ja-JP"/>
              </w:rPr>
            </w:pPr>
            <w:r w:rsidRPr="009D67EF">
              <w:rPr>
                <w:rFonts w:ascii="Calibri" w:hAnsi="Calibri"/>
                <w:bCs/>
                <w:lang w:eastAsia="ja-JP"/>
              </w:rPr>
              <w:t>490,612</w:t>
            </w:r>
          </w:p>
        </w:tc>
        <w:tc>
          <w:tcPr>
            <w:tcW w:w="347" w:type="pct"/>
            <w:shd w:val="clear" w:color="auto" w:fill="F2F2F2"/>
            <w:hideMark/>
          </w:tcPr>
          <w:p w14:paraId="2265F54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C7E7B88"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5B55DDB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8283A2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D4C55AD" w14:textId="77777777" w:rsidTr="00E16711">
        <w:trPr>
          <w:trHeight w:val="1320"/>
        </w:trPr>
        <w:tc>
          <w:tcPr>
            <w:tcW w:w="205" w:type="pct"/>
            <w:shd w:val="clear" w:color="auto" w:fill="F2F2F2"/>
            <w:noWrap/>
            <w:hideMark/>
          </w:tcPr>
          <w:p w14:paraId="1D00B4F9" w14:textId="77777777" w:rsidR="00395D01" w:rsidRPr="00912996" w:rsidRDefault="00395D01" w:rsidP="00292396">
            <w:pPr>
              <w:rPr>
                <w:rFonts w:ascii="Calibri" w:hAnsi="Calibri"/>
                <w:bCs/>
                <w:lang w:eastAsia="ja-JP"/>
              </w:rPr>
            </w:pPr>
            <w:r>
              <w:rPr>
                <w:rFonts w:ascii="Calibri" w:hAnsi="Calibri"/>
                <w:bCs/>
                <w:lang w:eastAsia="ja-JP"/>
              </w:rPr>
              <w:t>88</w:t>
            </w:r>
          </w:p>
        </w:tc>
        <w:tc>
          <w:tcPr>
            <w:tcW w:w="1018" w:type="pct"/>
            <w:gridSpan w:val="2"/>
            <w:shd w:val="clear" w:color="auto" w:fill="F2F2F2"/>
            <w:hideMark/>
          </w:tcPr>
          <w:p w14:paraId="3F2B6682" w14:textId="77777777" w:rsidR="00395D01" w:rsidRPr="00912996" w:rsidRDefault="00395D01" w:rsidP="00292396">
            <w:pPr>
              <w:rPr>
                <w:rFonts w:ascii="Calibri" w:hAnsi="Calibri"/>
                <w:bCs/>
                <w:lang w:eastAsia="ja-JP"/>
              </w:rPr>
            </w:pPr>
            <w:r w:rsidRPr="00912996">
              <w:rPr>
                <w:rFonts w:ascii="Calibri" w:hAnsi="Calibri"/>
                <w:bCs/>
                <w:lang w:eastAsia="ja-JP"/>
              </w:rPr>
              <w:t>Construire sală sport - Beneficiar: Școala nr. 85</w:t>
            </w:r>
          </w:p>
        </w:tc>
        <w:tc>
          <w:tcPr>
            <w:tcW w:w="640" w:type="pct"/>
            <w:shd w:val="clear" w:color="auto" w:fill="F2F2F2"/>
            <w:hideMark/>
          </w:tcPr>
          <w:p w14:paraId="7F086FF3"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1BBBE9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A8C0791" w14:textId="77777777" w:rsidR="00395D01" w:rsidRPr="00912996" w:rsidRDefault="00395D01" w:rsidP="00292396">
            <w:pPr>
              <w:rPr>
                <w:rFonts w:ascii="Calibri" w:hAnsi="Calibri"/>
                <w:bCs/>
                <w:lang w:eastAsia="ja-JP"/>
              </w:rPr>
            </w:pPr>
            <w:r w:rsidRPr="00912996">
              <w:rPr>
                <w:rFonts w:ascii="Calibri" w:hAnsi="Calibri"/>
                <w:bCs/>
                <w:lang w:eastAsia="ja-JP"/>
              </w:rPr>
              <w:t>1,690,363</w:t>
            </w:r>
          </w:p>
        </w:tc>
        <w:tc>
          <w:tcPr>
            <w:tcW w:w="411" w:type="pct"/>
            <w:shd w:val="clear" w:color="auto" w:fill="F2F2F2"/>
            <w:hideMark/>
          </w:tcPr>
          <w:p w14:paraId="090B158E" w14:textId="77777777" w:rsidR="00395D01" w:rsidRPr="00912996" w:rsidRDefault="00395D01" w:rsidP="00292396">
            <w:pPr>
              <w:rPr>
                <w:rFonts w:ascii="Calibri" w:hAnsi="Calibri"/>
                <w:bCs/>
                <w:lang w:eastAsia="ja-JP"/>
              </w:rPr>
            </w:pPr>
            <w:r w:rsidRPr="00912996">
              <w:rPr>
                <w:rFonts w:ascii="Calibri" w:hAnsi="Calibri"/>
                <w:bCs/>
                <w:lang w:eastAsia="ja-JP"/>
              </w:rPr>
              <w:t>344,972</w:t>
            </w:r>
          </w:p>
        </w:tc>
        <w:tc>
          <w:tcPr>
            <w:tcW w:w="347" w:type="pct"/>
            <w:shd w:val="clear" w:color="auto" w:fill="F2F2F2"/>
            <w:hideMark/>
          </w:tcPr>
          <w:p w14:paraId="0946A4D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62E345A"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659B4AA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18B6FCA"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CBEBAB5" w14:textId="77777777" w:rsidTr="00E16711">
        <w:trPr>
          <w:trHeight w:val="792"/>
        </w:trPr>
        <w:tc>
          <w:tcPr>
            <w:tcW w:w="205" w:type="pct"/>
            <w:shd w:val="clear" w:color="auto" w:fill="F2F2F2"/>
            <w:noWrap/>
            <w:hideMark/>
          </w:tcPr>
          <w:p w14:paraId="647F97A6" w14:textId="77777777" w:rsidR="00395D01" w:rsidRPr="00912996" w:rsidRDefault="00395D01" w:rsidP="00292396">
            <w:pPr>
              <w:rPr>
                <w:rFonts w:ascii="Calibri" w:hAnsi="Calibri"/>
                <w:bCs/>
                <w:lang w:eastAsia="ja-JP"/>
              </w:rPr>
            </w:pPr>
            <w:r>
              <w:rPr>
                <w:rFonts w:ascii="Calibri" w:hAnsi="Calibri"/>
                <w:bCs/>
                <w:lang w:eastAsia="ja-JP"/>
              </w:rPr>
              <w:t>89</w:t>
            </w:r>
          </w:p>
        </w:tc>
        <w:tc>
          <w:tcPr>
            <w:tcW w:w="1018" w:type="pct"/>
            <w:gridSpan w:val="2"/>
            <w:shd w:val="clear" w:color="auto" w:fill="F2F2F2"/>
            <w:hideMark/>
          </w:tcPr>
          <w:p w14:paraId="0DE9B84A" w14:textId="77777777" w:rsidR="00395D01" w:rsidRPr="00912996" w:rsidRDefault="00395D01" w:rsidP="00292396">
            <w:pPr>
              <w:rPr>
                <w:rFonts w:ascii="Calibri" w:hAnsi="Calibri"/>
                <w:bCs/>
                <w:lang w:eastAsia="ja-JP"/>
              </w:rPr>
            </w:pPr>
            <w:r w:rsidRPr="00912996">
              <w:rPr>
                <w:rFonts w:ascii="Calibri" w:hAnsi="Calibri"/>
                <w:bCs/>
                <w:lang w:eastAsia="ja-JP"/>
              </w:rPr>
              <w:t>Finalizare lucrări și modernizare structură nouă nefuncțională - Liceul Teoretic Ady Endre</w:t>
            </w:r>
          </w:p>
        </w:tc>
        <w:tc>
          <w:tcPr>
            <w:tcW w:w="640" w:type="pct"/>
            <w:shd w:val="clear" w:color="auto" w:fill="F2F2F2"/>
            <w:hideMark/>
          </w:tcPr>
          <w:p w14:paraId="5A4FA175"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BF1F6A5"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4C8FFC6B" w14:textId="77777777" w:rsidR="00395D01" w:rsidRPr="00912996" w:rsidRDefault="00395D01" w:rsidP="00292396">
            <w:pPr>
              <w:rPr>
                <w:rFonts w:ascii="Calibri" w:hAnsi="Calibri"/>
                <w:bCs/>
                <w:lang w:eastAsia="ja-JP"/>
              </w:rPr>
            </w:pPr>
            <w:r w:rsidRPr="0040539D">
              <w:rPr>
                <w:rFonts w:ascii="Calibri" w:hAnsi="Calibri"/>
                <w:bCs/>
                <w:lang w:eastAsia="ja-JP"/>
              </w:rPr>
              <w:t>8,735,094</w:t>
            </w:r>
          </w:p>
        </w:tc>
        <w:tc>
          <w:tcPr>
            <w:tcW w:w="411" w:type="pct"/>
            <w:shd w:val="clear" w:color="auto" w:fill="F2F2F2"/>
            <w:hideMark/>
          </w:tcPr>
          <w:p w14:paraId="4AD384F7" w14:textId="77777777" w:rsidR="00395D01" w:rsidRPr="00912996" w:rsidRDefault="00395D01" w:rsidP="00292396">
            <w:pPr>
              <w:rPr>
                <w:rFonts w:ascii="Calibri" w:hAnsi="Calibri"/>
                <w:bCs/>
                <w:lang w:eastAsia="ja-JP"/>
              </w:rPr>
            </w:pPr>
            <w:r w:rsidRPr="0040539D">
              <w:rPr>
                <w:rFonts w:ascii="Calibri" w:hAnsi="Calibri"/>
                <w:bCs/>
                <w:lang w:eastAsia="ja-JP"/>
              </w:rPr>
              <w:t>1,782,672</w:t>
            </w:r>
          </w:p>
        </w:tc>
        <w:tc>
          <w:tcPr>
            <w:tcW w:w="347" w:type="pct"/>
            <w:shd w:val="clear" w:color="auto" w:fill="F2F2F2"/>
            <w:hideMark/>
          </w:tcPr>
          <w:p w14:paraId="2FA0C76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60DB14D" w14:textId="77777777" w:rsidR="00395D01" w:rsidRPr="00912996" w:rsidRDefault="00395D01" w:rsidP="00292396">
            <w:pPr>
              <w:rPr>
                <w:rFonts w:ascii="Calibri" w:hAnsi="Calibri"/>
                <w:bCs/>
                <w:lang w:eastAsia="ja-JP"/>
              </w:rPr>
            </w:pPr>
            <w:r w:rsidRPr="0040539D">
              <w:rPr>
                <w:rFonts w:ascii="Calibri" w:hAnsi="Calibri"/>
                <w:bCs/>
                <w:lang w:eastAsia="ja-JP"/>
              </w:rPr>
              <w:t>CNI</w:t>
            </w:r>
          </w:p>
        </w:tc>
        <w:tc>
          <w:tcPr>
            <w:tcW w:w="433" w:type="pct"/>
            <w:shd w:val="clear" w:color="auto" w:fill="F2F2F2"/>
            <w:hideMark/>
          </w:tcPr>
          <w:p w14:paraId="1657A16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AD6C7E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359DD57" w14:textId="77777777" w:rsidTr="00E16711">
        <w:trPr>
          <w:trHeight w:val="792"/>
        </w:trPr>
        <w:tc>
          <w:tcPr>
            <w:tcW w:w="205" w:type="pct"/>
            <w:shd w:val="clear" w:color="auto" w:fill="F2F2F2"/>
            <w:noWrap/>
            <w:hideMark/>
          </w:tcPr>
          <w:p w14:paraId="1C0DA5E5" w14:textId="77777777" w:rsidR="00395D01" w:rsidRPr="00912996" w:rsidRDefault="00395D01" w:rsidP="00292396">
            <w:pPr>
              <w:rPr>
                <w:rFonts w:ascii="Calibri" w:hAnsi="Calibri"/>
                <w:bCs/>
                <w:lang w:eastAsia="ja-JP"/>
              </w:rPr>
            </w:pPr>
            <w:r w:rsidRPr="00912996">
              <w:rPr>
                <w:rFonts w:ascii="Calibri" w:hAnsi="Calibri"/>
                <w:bCs/>
                <w:lang w:eastAsia="ja-JP"/>
              </w:rPr>
              <w:t>9</w:t>
            </w:r>
            <w:r>
              <w:rPr>
                <w:rFonts w:ascii="Calibri" w:hAnsi="Calibri"/>
                <w:bCs/>
                <w:lang w:eastAsia="ja-JP"/>
              </w:rPr>
              <w:t>0</w:t>
            </w:r>
          </w:p>
        </w:tc>
        <w:tc>
          <w:tcPr>
            <w:tcW w:w="1018" w:type="pct"/>
            <w:gridSpan w:val="2"/>
            <w:shd w:val="clear" w:color="auto" w:fill="F2F2F2"/>
            <w:hideMark/>
          </w:tcPr>
          <w:p w14:paraId="52A20A7F" w14:textId="77777777" w:rsidR="00395D01" w:rsidRPr="00912996" w:rsidRDefault="00395D01" w:rsidP="00292396">
            <w:pPr>
              <w:rPr>
                <w:rFonts w:ascii="Calibri" w:hAnsi="Calibri"/>
                <w:bCs/>
                <w:lang w:eastAsia="ja-JP"/>
              </w:rPr>
            </w:pPr>
            <w:r w:rsidRPr="00912996">
              <w:rPr>
                <w:rFonts w:ascii="Calibri" w:hAnsi="Calibri"/>
                <w:bCs/>
                <w:lang w:eastAsia="ja-JP"/>
              </w:rPr>
              <w:t>Modernizare  Grădinița nr. 276 -corp grădiniță și magazie</w:t>
            </w:r>
          </w:p>
        </w:tc>
        <w:tc>
          <w:tcPr>
            <w:tcW w:w="640" w:type="pct"/>
            <w:shd w:val="clear" w:color="auto" w:fill="F2F2F2"/>
            <w:hideMark/>
          </w:tcPr>
          <w:p w14:paraId="2D798ED8"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B69ACBE"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1014B850" w14:textId="77777777" w:rsidR="00395D01" w:rsidRPr="00912996" w:rsidRDefault="00395D01" w:rsidP="00292396">
            <w:pPr>
              <w:rPr>
                <w:rFonts w:ascii="Calibri" w:hAnsi="Calibri"/>
                <w:bCs/>
                <w:lang w:eastAsia="ja-JP"/>
              </w:rPr>
            </w:pPr>
            <w:r w:rsidRPr="00912996">
              <w:rPr>
                <w:rFonts w:ascii="Calibri" w:hAnsi="Calibri"/>
                <w:bCs/>
                <w:lang w:eastAsia="ja-JP"/>
              </w:rPr>
              <w:t>6,616,458</w:t>
            </w:r>
          </w:p>
        </w:tc>
        <w:tc>
          <w:tcPr>
            <w:tcW w:w="411" w:type="pct"/>
            <w:shd w:val="clear" w:color="auto" w:fill="F2F2F2"/>
            <w:hideMark/>
          </w:tcPr>
          <w:p w14:paraId="05EF8CE3" w14:textId="77777777" w:rsidR="00395D01" w:rsidRPr="00912996" w:rsidRDefault="00395D01" w:rsidP="00292396">
            <w:pPr>
              <w:rPr>
                <w:rFonts w:ascii="Calibri" w:hAnsi="Calibri"/>
                <w:bCs/>
                <w:lang w:eastAsia="ja-JP"/>
              </w:rPr>
            </w:pPr>
            <w:r w:rsidRPr="00912996">
              <w:rPr>
                <w:rFonts w:ascii="Calibri" w:hAnsi="Calibri"/>
                <w:bCs/>
                <w:lang w:eastAsia="ja-JP"/>
              </w:rPr>
              <w:t>1,350,297</w:t>
            </w:r>
          </w:p>
        </w:tc>
        <w:tc>
          <w:tcPr>
            <w:tcW w:w="347" w:type="pct"/>
            <w:shd w:val="clear" w:color="auto" w:fill="F2F2F2"/>
            <w:hideMark/>
          </w:tcPr>
          <w:p w14:paraId="51FCA04E"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39EA0E2"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578EE20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F8318C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5B9C37A" w14:textId="77777777" w:rsidTr="00E16711">
        <w:trPr>
          <w:trHeight w:val="792"/>
        </w:trPr>
        <w:tc>
          <w:tcPr>
            <w:tcW w:w="205" w:type="pct"/>
            <w:shd w:val="clear" w:color="auto" w:fill="F2F2F2"/>
            <w:noWrap/>
            <w:hideMark/>
          </w:tcPr>
          <w:p w14:paraId="298D06AF" w14:textId="77777777" w:rsidR="00395D01" w:rsidRPr="00912996" w:rsidRDefault="00395D01" w:rsidP="00292396">
            <w:pPr>
              <w:rPr>
                <w:rFonts w:ascii="Calibri" w:hAnsi="Calibri"/>
                <w:bCs/>
                <w:lang w:eastAsia="ja-JP"/>
              </w:rPr>
            </w:pPr>
            <w:r w:rsidRPr="00912996">
              <w:rPr>
                <w:rFonts w:ascii="Calibri" w:hAnsi="Calibri"/>
                <w:bCs/>
                <w:lang w:eastAsia="ja-JP"/>
              </w:rPr>
              <w:t>9</w:t>
            </w:r>
            <w:r>
              <w:rPr>
                <w:rFonts w:ascii="Calibri" w:hAnsi="Calibri"/>
                <w:bCs/>
                <w:lang w:eastAsia="ja-JP"/>
              </w:rPr>
              <w:t>1</w:t>
            </w:r>
          </w:p>
        </w:tc>
        <w:tc>
          <w:tcPr>
            <w:tcW w:w="1018" w:type="pct"/>
            <w:gridSpan w:val="2"/>
            <w:shd w:val="clear" w:color="auto" w:fill="F2F2F2"/>
            <w:hideMark/>
          </w:tcPr>
          <w:p w14:paraId="22462445" w14:textId="77777777" w:rsidR="00395D01" w:rsidRPr="00912996" w:rsidRDefault="00395D01" w:rsidP="00292396">
            <w:pPr>
              <w:rPr>
                <w:rFonts w:ascii="Calibri" w:hAnsi="Calibri"/>
                <w:bCs/>
                <w:lang w:eastAsia="ja-JP"/>
              </w:rPr>
            </w:pPr>
            <w:r w:rsidRPr="00912996">
              <w:rPr>
                <w:rFonts w:ascii="Calibri" w:hAnsi="Calibri"/>
                <w:bCs/>
                <w:lang w:eastAsia="ja-JP"/>
              </w:rPr>
              <w:t>Modernizare  Școala Gimnaziala "Sf. Silvestru” -</w:t>
            </w:r>
            <w:r>
              <w:rPr>
                <w:rFonts w:ascii="Calibri" w:hAnsi="Calibri"/>
                <w:bCs/>
                <w:lang w:eastAsia="ja-JP"/>
              </w:rPr>
              <w:t xml:space="preserve"> </w:t>
            </w:r>
            <w:r w:rsidRPr="00912996">
              <w:rPr>
                <w:rFonts w:ascii="Calibri" w:hAnsi="Calibri"/>
                <w:bCs/>
                <w:lang w:eastAsia="ja-JP"/>
              </w:rPr>
              <w:t>imobil școală și grădiniță</w:t>
            </w:r>
          </w:p>
        </w:tc>
        <w:tc>
          <w:tcPr>
            <w:tcW w:w="640" w:type="pct"/>
            <w:shd w:val="clear" w:color="auto" w:fill="F2F2F2"/>
            <w:hideMark/>
          </w:tcPr>
          <w:p w14:paraId="77EA237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C6043A1"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440F73CB" w14:textId="77777777" w:rsidR="00395D01" w:rsidRPr="00912996" w:rsidRDefault="00395D01" w:rsidP="00292396">
            <w:pPr>
              <w:rPr>
                <w:rFonts w:ascii="Calibri" w:hAnsi="Calibri"/>
                <w:bCs/>
                <w:lang w:eastAsia="ja-JP"/>
              </w:rPr>
            </w:pPr>
            <w:r w:rsidRPr="00912996">
              <w:rPr>
                <w:rFonts w:ascii="Calibri" w:hAnsi="Calibri"/>
                <w:bCs/>
                <w:lang w:eastAsia="ja-JP"/>
              </w:rPr>
              <w:t>11,844,969</w:t>
            </w:r>
          </w:p>
        </w:tc>
        <w:tc>
          <w:tcPr>
            <w:tcW w:w="411" w:type="pct"/>
            <w:shd w:val="clear" w:color="auto" w:fill="F2F2F2"/>
            <w:hideMark/>
          </w:tcPr>
          <w:p w14:paraId="1FDA19C6" w14:textId="77777777" w:rsidR="00395D01" w:rsidRPr="00912996" w:rsidRDefault="00395D01" w:rsidP="00292396">
            <w:pPr>
              <w:rPr>
                <w:rFonts w:ascii="Calibri" w:hAnsi="Calibri"/>
                <w:bCs/>
                <w:lang w:eastAsia="ja-JP"/>
              </w:rPr>
            </w:pPr>
            <w:r w:rsidRPr="00912996">
              <w:rPr>
                <w:rFonts w:ascii="Calibri" w:hAnsi="Calibri"/>
                <w:bCs/>
                <w:lang w:eastAsia="ja-JP"/>
              </w:rPr>
              <w:t>2,417,341</w:t>
            </w:r>
          </w:p>
        </w:tc>
        <w:tc>
          <w:tcPr>
            <w:tcW w:w="347" w:type="pct"/>
            <w:shd w:val="clear" w:color="auto" w:fill="F2F2F2"/>
            <w:hideMark/>
          </w:tcPr>
          <w:p w14:paraId="0D1B916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5A5F967"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7B5DCE3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8BD001A"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7CB1DBE" w14:textId="77777777" w:rsidTr="00E16711">
        <w:trPr>
          <w:trHeight w:val="792"/>
        </w:trPr>
        <w:tc>
          <w:tcPr>
            <w:tcW w:w="205" w:type="pct"/>
            <w:shd w:val="clear" w:color="auto" w:fill="F2F2F2"/>
            <w:noWrap/>
            <w:hideMark/>
          </w:tcPr>
          <w:p w14:paraId="228D1DF4" w14:textId="77777777" w:rsidR="00395D01" w:rsidRPr="00912996" w:rsidRDefault="00395D01" w:rsidP="00292396">
            <w:pPr>
              <w:rPr>
                <w:rFonts w:ascii="Calibri" w:hAnsi="Calibri"/>
                <w:bCs/>
                <w:lang w:eastAsia="ja-JP"/>
              </w:rPr>
            </w:pPr>
            <w:r w:rsidRPr="00912996">
              <w:rPr>
                <w:rFonts w:ascii="Calibri" w:hAnsi="Calibri"/>
                <w:bCs/>
                <w:lang w:eastAsia="ja-JP"/>
              </w:rPr>
              <w:t>9</w:t>
            </w:r>
            <w:r>
              <w:rPr>
                <w:rFonts w:ascii="Calibri" w:hAnsi="Calibri"/>
                <w:bCs/>
                <w:lang w:eastAsia="ja-JP"/>
              </w:rPr>
              <w:t>2</w:t>
            </w:r>
          </w:p>
        </w:tc>
        <w:tc>
          <w:tcPr>
            <w:tcW w:w="1018" w:type="pct"/>
            <w:gridSpan w:val="2"/>
            <w:shd w:val="clear" w:color="auto" w:fill="F2F2F2"/>
            <w:hideMark/>
          </w:tcPr>
          <w:p w14:paraId="1AC2CC12" w14:textId="77777777" w:rsidR="00395D01" w:rsidRPr="00912996" w:rsidRDefault="00395D01" w:rsidP="00292396">
            <w:pPr>
              <w:rPr>
                <w:rFonts w:ascii="Calibri" w:hAnsi="Calibri"/>
                <w:bCs/>
                <w:lang w:eastAsia="ja-JP"/>
              </w:rPr>
            </w:pPr>
            <w:r w:rsidRPr="00912996">
              <w:rPr>
                <w:rFonts w:ascii="Calibri" w:hAnsi="Calibri"/>
                <w:bCs/>
                <w:lang w:eastAsia="ja-JP"/>
              </w:rPr>
              <w:t>Modernizare - Școala Gimnazială Grigore Ghica Voievod - C1</w:t>
            </w:r>
          </w:p>
        </w:tc>
        <w:tc>
          <w:tcPr>
            <w:tcW w:w="640" w:type="pct"/>
            <w:shd w:val="clear" w:color="auto" w:fill="F2F2F2"/>
            <w:hideMark/>
          </w:tcPr>
          <w:p w14:paraId="3E1B8B62"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1BEF4F6" w14:textId="77777777" w:rsidR="00395D01" w:rsidRPr="00912996" w:rsidRDefault="00395D01" w:rsidP="00292396">
            <w:pPr>
              <w:rPr>
                <w:rFonts w:ascii="Calibri" w:hAnsi="Calibri"/>
                <w:bCs/>
                <w:lang w:eastAsia="ja-JP"/>
              </w:rPr>
            </w:pPr>
            <w:r w:rsidRPr="0040539D">
              <w:rPr>
                <w:rFonts w:ascii="Calibri" w:hAnsi="Calibri"/>
                <w:bCs/>
                <w:lang w:eastAsia="ja-JP"/>
              </w:rPr>
              <w:t>În implementare</w:t>
            </w:r>
          </w:p>
        </w:tc>
        <w:tc>
          <w:tcPr>
            <w:tcW w:w="473" w:type="pct"/>
            <w:shd w:val="clear" w:color="auto" w:fill="F2F2F2"/>
            <w:hideMark/>
          </w:tcPr>
          <w:p w14:paraId="55C84A59" w14:textId="77777777" w:rsidR="00395D01" w:rsidRPr="00912996" w:rsidRDefault="00395D01" w:rsidP="00292396">
            <w:pPr>
              <w:rPr>
                <w:rFonts w:ascii="Calibri" w:hAnsi="Calibri"/>
                <w:bCs/>
                <w:lang w:eastAsia="ja-JP"/>
              </w:rPr>
            </w:pPr>
            <w:r w:rsidRPr="0040539D">
              <w:rPr>
                <w:rFonts w:ascii="Calibri" w:hAnsi="Calibri"/>
                <w:bCs/>
                <w:lang w:eastAsia="ja-JP"/>
              </w:rPr>
              <w:t>11,309,479</w:t>
            </w:r>
          </w:p>
        </w:tc>
        <w:tc>
          <w:tcPr>
            <w:tcW w:w="411" w:type="pct"/>
            <w:shd w:val="clear" w:color="auto" w:fill="F2F2F2"/>
            <w:hideMark/>
          </w:tcPr>
          <w:p w14:paraId="7FD90F05" w14:textId="77777777" w:rsidR="00395D01" w:rsidRPr="00912996" w:rsidRDefault="00395D01" w:rsidP="00292396">
            <w:pPr>
              <w:rPr>
                <w:rFonts w:ascii="Calibri" w:hAnsi="Calibri"/>
                <w:bCs/>
                <w:lang w:eastAsia="ja-JP"/>
              </w:rPr>
            </w:pPr>
            <w:r w:rsidRPr="0040539D">
              <w:rPr>
                <w:rFonts w:ascii="Calibri" w:hAnsi="Calibri"/>
                <w:bCs/>
                <w:lang w:eastAsia="ja-JP"/>
              </w:rPr>
              <w:t>2,308,057</w:t>
            </w:r>
          </w:p>
        </w:tc>
        <w:tc>
          <w:tcPr>
            <w:tcW w:w="347" w:type="pct"/>
            <w:shd w:val="clear" w:color="auto" w:fill="F2F2F2"/>
            <w:hideMark/>
          </w:tcPr>
          <w:p w14:paraId="4522391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CF4EE03"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6B5BCDF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BF8831F"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56620C9" w14:textId="77777777" w:rsidTr="00E16711">
        <w:trPr>
          <w:trHeight w:val="792"/>
        </w:trPr>
        <w:tc>
          <w:tcPr>
            <w:tcW w:w="205" w:type="pct"/>
            <w:shd w:val="clear" w:color="auto" w:fill="F2F2F2"/>
            <w:noWrap/>
            <w:hideMark/>
          </w:tcPr>
          <w:p w14:paraId="5640E7ED" w14:textId="77777777" w:rsidR="00395D01" w:rsidRPr="00912996" w:rsidRDefault="00395D01" w:rsidP="00292396">
            <w:pPr>
              <w:rPr>
                <w:rFonts w:ascii="Calibri" w:hAnsi="Calibri"/>
                <w:bCs/>
                <w:lang w:eastAsia="ja-JP"/>
              </w:rPr>
            </w:pPr>
            <w:r w:rsidRPr="00912996">
              <w:rPr>
                <w:rFonts w:ascii="Calibri" w:hAnsi="Calibri"/>
                <w:bCs/>
                <w:lang w:eastAsia="ja-JP"/>
              </w:rPr>
              <w:t>9</w:t>
            </w:r>
            <w:r>
              <w:rPr>
                <w:rFonts w:ascii="Calibri" w:hAnsi="Calibri"/>
                <w:bCs/>
                <w:lang w:eastAsia="ja-JP"/>
              </w:rPr>
              <w:t>3</w:t>
            </w:r>
          </w:p>
        </w:tc>
        <w:tc>
          <w:tcPr>
            <w:tcW w:w="1018" w:type="pct"/>
            <w:gridSpan w:val="2"/>
            <w:shd w:val="clear" w:color="auto" w:fill="F2F2F2"/>
            <w:hideMark/>
          </w:tcPr>
          <w:p w14:paraId="130E4A23" w14:textId="77777777" w:rsidR="00395D01" w:rsidRPr="00912996" w:rsidRDefault="00395D01" w:rsidP="00292396">
            <w:pPr>
              <w:rPr>
                <w:rFonts w:ascii="Calibri" w:hAnsi="Calibri"/>
                <w:bCs/>
                <w:lang w:eastAsia="ja-JP"/>
              </w:rPr>
            </w:pPr>
            <w:r w:rsidRPr="00912996">
              <w:rPr>
                <w:rFonts w:ascii="Calibri" w:hAnsi="Calibri"/>
                <w:bCs/>
                <w:lang w:eastAsia="ja-JP"/>
              </w:rPr>
              <w:t>Modernizare - Școala Gimnazială Grigore Ghica Voievod - C2</w:t>
            </w:r>
          </w:p>
        </w:tc>
        <w:tc>
          <w:tcPr>
            <w:tcW w:w="640" w:type="pct"/>
            <w:shd w:val="clear" w:color="auto" w:fill="F2F2F2"/>
            <w:hideMark/>
          </w:tcPr>
          <w:p w14:paraId="263EEECB"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75B9F90" w14:textId="77777777" w:rsidR="00395D01" w:rsidRPr="00912996" w:rsidRDefault="00395D01" w:rsidP="00292396">
            <w:pPr>
              <w:rPr>
                <w:rFonts w:ascii="Calibri" w:hAnsi="Calibri"/>
                <w:bCs/>
                <w:lang w:eastAsia="ja-JP"/>
              </w:rPr>
            </w:pPr>
            <w:r w:rsidRPr="0040539D">
              <w:rPr>
                <w:rFonts w:ascii="Calibri" w:hAnsi="Calibri"/>
                <w:bCs/>
                <w:lang w:eastAsia="ja-JP"/>
              </w:rPr>
              <w:t>În implementare</w:t>
            </w:r>
          </w:p>
        </w:tc>
        <w:tc>
          <w:tcPr>
            <w:tcW w:w="473" w:type="pct"/>
            <w:shd w:val="clear" w:color="auto" w:fill="F2F2F2"/>
            <w:hideMark/>
          </w:tcPr>
          <w:p w14:paraId="71052B87" w14:textId="77777777" w:rsidR="00395D01" w:rsidRPr="00912996" w:rsidRDefault="00395D01" w:rsidP="00292396">
            <w:pPr>
              <w:rPr>
                <w:rFonts w:ascii="Calibri" w:hAnsi="Calibri"/>
                <w:bCs/>
                <w:lang w:eastAsia="ja-JP"/>
              </w:rPr>
            </w:pPr>
            <w:r w:rsidRPr="006F0D08">
              <w:rPr>
                <w:rFonts w:ascii="Calibri" w:hAnsi="Calibri"/>
                <w:bCs/>
                <w:lang w:eastAsia="ja-JP"/>
              </w:rPr>
              <w:t>13,662,030</w:t>
            </w:r>
          </w:p>
        </w:tc>
        <w:tc>
          <w:tcPr>
            <w:tcW w:w="411" w:type="pct"/>
            <w:shd w:val="clear" w:color="auto" w:fill="F2F2F2"/>
            <w:hideMark/>
          </w:tcPr>
          <w:p w14:paraId="6E63E089" w14:textId="77777777" w:rsidR="00395D01" w:rsidRPr="00912996" w:rsidRDefault="00395D01" w:rsidP="00292396">
            <w:pPr>
              <w:rPr>
                <w:rFonts w:ascii="Calibri" w:hAnsi="Calibri"/>
                <w:bCs/>
                <w:lang w:eastAsia="ja-JP"/>
              </w:rPr>
            </w:pPr>
            <w:r w:rsidRPr="006F0D08">
              <w:rPr>
                <w:rFonts w:ascii="Calibri" w:hAnsi="Calibri"/>
                <w:bCs/>
                <w:lang w:eastAsia="ja-JP"/>
              </w:rPr>
              <w:t>2,788,169</w:t>
            </w:r>
          </w:p>
        </w:tc>
        <w:tc>
          <w:tcPr>
            <w:tcW w:w="347" w:type="pct"/>
            <w:shd w:val="clear" w:color="auto" w:fill="F2F2F2"/>
            <w:hideMark/>
          </w:tcPr>
          <w:p w14:paraId="08A9E9C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97A0A19" w14:textId="77777777" w:rsidR="00395D01" w:rsidRPr="00912996" w:rsidRDefault="00395D01" w:rsidP="00292396">
            <w:pPr>
              <w:rPr>
                <w:rFonts w:ascii="Calibri" w:hAnsi="Calibri"/>
                <w:bCs/>
                <w:lang w:eastAsia="ja-JP"/>
              </w:rPr>
            </w:pPr>
            <w:r w:rsidRPr="006F0D08">
              <w:rPr>
                <w:rFonts w:ascii="Calibri" w:hAnsi="Calibri"/>
                <w:bCs/>
                <w:lang w:eastAsia="ja-JP"/>
              </w:rPr>
              <w:t>Bugetul local</w:t>
            </w:r>
          </w:p>
        </w:tc>
        <w:tc>
          <w:tcPr>
            <w:tcW w:w="433" w:type="pct"/>
            <w:shd w:val="clear" w:color="auto" w:fill="F2F2F2"/>
            <w:hideMark/>
          </w:tcPr>
          <w:p w14:paraId="59E251A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A623A5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70AE1A0" w14:textId="77777777" w:rsidTr="00E16711">
        <w:trPr>
          <w:trHeight w:val="792"/>
        </w:trPr>
        <w:tc>
          <w:tcPr>
            <w:tcW w:w="205" w:type="pct"/>
            <w:shd w:val="clear" w:color="auto" w:fill="F2F2F2"/>
            <w:noWrap/>
            <w:hideMark/>
          </w:tcPr>
          <w:p w14:paraId="3A04836E" w14:textId="77777777" w:rsidR="00395D01" w:rsidRPr="00912996" w:rsidRDefault="00395D01" w:rsidP="00292396">
            <w:pPr>
              <w:rPr>
                <w:rFonts w:ascii="Calibri" w:hAnsi="Calibri"/>
                <w:bCs/>
                <w:lang w:eastAsia="ja-JP"/>
              </w:rPr>
            </w:pPr>
            <w:r w:rsidRPr="00912996">
              <w:rPr>
                <w:rFonts w:ascii="Calibri" w:hAnsi="Calibri"/>
                <w:bCs/>
                <w:lang w:eastAsia="ja-JP"/>
              </w:rPr>
              <w:t>9</w:t>
            </w:r>
            <w:r>
              <w:rPr>
                <w:rFonts w:ascii="Calibri" w:hAnsi="Calibri"/>
                <w:bCs/>
                <w:lang w:eastAsia="ja-JP"/>
              </w:rPr>
              <w:t>4</w:t>
            </w:r>
          </w:p>
        </w:tc>
        <w:tc>
          <w:tcPr>
            <w:tcW w:w="1018" w:type="pct"/>
            <w:gridSpan w:val="2"/>
            <w:shd w:val="clear" w:color="auto" w:fill="F2F2F2"/>
            <w:hideMark/>
          </w:tcPr>
          <w:p w14:paraId="5A32E694" w14:textId="77777777" w:rsidR="00395D01" w:rsidRPr="00912996" w:rsidRDefault="00395D01" w:rsidP="00292396">
            <w:pPr>
              <w:rPr>
                <w:rFonts w:ascii="Calibri" w:hAnsi="Calibri"/>
                <w:bCs/>
                <w:lang w:eastAsia="ja-JP"/>
              </w:rPr>
            </w:pPr>
            <w:r w:rsidRPr="00912996">
              <w:rPr>
                <w:rFonts w:ascii="Calibri" w:hAnsi="Calibri"/>
                <w:bCs/>
                <w:lang w:eastAsia="ja-JP"/>
              </w:rPr>
              <w:t>Modernizare - Școala Gimnazială nr.40 - sala sport</w:t>
            </w:r>
          </w:p>
        </w:tc>
        <w:tc>
          <w:tcPr>
            <w:tcW w:w="640" w:type="pct"/>
            <w:shd w:val="clear" w:color="auto" w:fill="F2F2F2"/>
            <w:hideMark/>
          </w:tcPr>
          <w:p w14:paraId="6DC4B0E0"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DC27DE8"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196502ED" w14:textId="77777777" w:rsidR="00395D01" w:rsidRPr="00912996" w:rsidRDefault="00395D01" w:rsidP="00292396">
            <w:pPr>
              <w:rPr>
                <w:rFonts w:ascii="Calibri" w:hAnsi="Calibri"/>
                <w:bCs/>
                <w:lang w:eastAsia="ja-JP"/>
              </w:rPr>
            </w:pPr>
            <w:r w:rsidRPr="00912996">
              <w:rPr>
                <w:rFonts w:ascii="Calibri" w:hAnsi="Calibri"/>
                <w:bCs/>
                <w:lang w:eastAsia="ja-JP"/>
              </w:rPr>
              <w:t>3,920,000</w:t>
            </w:r>
          </w:p>
        </w:tc>
        <w:tc>
          <w:tcPr>
            <w:tcW w:w="411" w:type="pct"/>
            <w:shd w:val="clear" w:color="auto" w:fill="F2F2F2"/>
            <w:hideMark/>
          </w:tcPr>
          <w:p w14:paraId="532E092D" w14:textId="77777777" w:rsidR="00395D01" w:rsidRPr="00912996" w:rsidRDefault="00395D01" w:rsidP="00292396">
            <w:pPr>
              <w:rPr>
                <w:rFonts w:ascii="Calibri" w:hAnsi="Calibri"/>
                <w:bCs/>
                <w:lang w:eastAsia="ja-JP"/>
              </w:rPr>
            </w:pPr>
            <w:r w:rsidRPr="00912996">
              <w:rPr>
                <w:rFonts w:ascii="Calibri" w:hAnsi="Calibri"/>
                <w:bCs/>
                <w:lang w:eastAsia="ja-JP"/>
              </w:rPr>
              <w:t>800,000</w:t>
            </w:r>
          </w:p>
        </w:tc>
        <w:tc>
          <w:tcPr>
            <w:tcW w:w="347" w:type="pct"/>
            <w:shd w:val="clear" w:color="auto" w:fill="F2F2F2"/>
            <w:hideMark/>
          </w:tcPr>
          <w:p w14:paraId="2822DD5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C920BD9"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69DD7B5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0D1ADF1"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0EC6C80" w14:textId="77777777" w:rsidTr="00E16711">
        <w:trPr>
          <w:trHeight w:val="792"/>
        </w:trPr>
        <w:tc>
          <w:tcPr>
            <w:tcW w:w="205" w:type="pct"/>
            <w:shd w:val="clear" w:color="auto" w:fill="F2F2F2"/>
            <w:noWrap/>
            <w:hideMark/>
          </w:tcPr>
          <w:p w14:paraId="377E8055" w14:textId="77777777" w:rsidR="00395D01" w:rsidRPr="00912996" w:rsidRDefault="00395D01" w:rsidP="00292396">
            <w:pPr>
              <w:rPr>
                <w:rFonts w:ascii="Calibri" w:hAnsi="Calibri"/>
                <w:bCs/>
                <w:lang w:eastAsia="ja-JP"/>
              </w:rPr>
            </w:pPr>
            <w:r w:rsidRPr="00912996">
              <w:rPr>
                <w:rFonts w:ascii="Calibri" w:hAnsi="Calibri"/>
                <w:bCs/>
                <w:lang w:eastAsia="ja-JP"/>
              </w:rPr>
              <w:t>9</w:t>
            </w:r>
            <w:r>
              <w:rPr>
                <w:rFonts w:ascii="Calibri" w:hAnsi="Calibri"/>
                <w:bCs/>
                <w:lang w:eastAsia="ja-JP"/>
              </w:rPr>
              <w:t>5</w:t>
            </w:r>
          </w:p>
        </w:tc>
        <w:tc>
          <w:tcPr>
            <w:tcW w:w="1018" w:type="pct"/>
            <w:gridSpan w:val="2"/>
            <w:shd w:val="clear" w:color="auto" w:fill="F2F2F2"/>
            <w:hideMark/>
          </w:tcPr>
          <w:p w14:paraId="0B0E021E" w14:textId="77777777" w:rsidR="00395D01" w:rsidRPr="00912996" w:rsidRDefault="00395D01" w:rsidP="00292396">
            <w:pPr>
              <w:rPr>
                <w:rFonts w:ascii="Calibri" w:hAnsi="Calibri"/>
                <w:bCs/>
                <w:lang w:eastAsia="ja-JP"/>
              </w:rPr>
            </w:pPr>
            <w:r w:rsidRPr="006F0D08">
              <w:rPr>
                <w:rFonts w:ascii="Calibri" w:hAnsi="Calibri"/>
                <w:bCs/>
                <w:lang w:eastAsia="ja-JP"/>
              </w:rPr>
              <w:t>Consolidare, reabilitare și modernizare - Școala Gimnazială nr. 40 corp C1</w:t>
            </w:r>
          </w:p>
        </w:tc>
        <w:tc>
          <w:tcPr>
            <w:tcW w:w="640" w:type="pct"/>
            <w:shd w:val="clear" w:color="auto" w:fill="F2F2F2"/>
            <w:hideMark/>
          </w:tcPr>
          <w:p w14:paraId="3373E615"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04E7B6A" w14:textId="77777777" w:rsidR="00395D01" w:rsidRPr="00912996" w:rsidRDefault="00395D01" w:rsidP="00292396">
            <w:pPr>
              <w:rPr>
                <w:rFonts w:ascii="Calibri" w:hAnsi="Calibri"/>
                <w:bCs/>
                <w:lang w:eastAsia="ja-JP"/>
              </w:rPr>
            </w:pPr>
            <w:r w:rsidRPr="006F0D08">
              <w:rPr>
                <w:rFonts w:ascii="Calibri" w:hAnsi="Calibri"/>
                <w:bCs/>
                <w:lang w:eastAsia="ja-JP"/>
              </w:rPr>
              <w:t>În implementare</w:t>
            </w:r>
          </w:p>
        </w:tc>
        <w:tc>
          <w:tcPr>
            <w:tcW w:w="473" w:type="pct"/>
            <w:shd w:val="clear" w:color="auto" w:fill="F2F2F2"/>
            <w:hideMark/>
          </w:tcPr>
          <w:p w14:paraId="5DE1456E" w14:textId="77777777" w:rsidR="00395D01" w:rsidRPr="00912996" w:rsidRDefault="00395D01" w:rsidP="00292396">
            <w:pPr>
              <w:rPr>
                <w:rFonts w:ascii="Calibri" w:hAnsi="Calibri"/>
                <w:bCs/>
                <w:lang w:eastAsia="ja-JP"/>
              </w:rPr>
            </w:pPr>
            <w:r w:rsidRPr="006F0D08">
              <w:rPr>
                <w:rFonts w:ascii="Calibri" w:hAnsi="Calibri"/>
                <w:bCs/>
                <w:lang w:eastAsia="ja-JP"/>
              </w:rPr>
              <w:t>4,231,484</w:t>
            </w:r>
          </w:p>
        </w:tc>
        <w:tc>
          <w:tcPr>
            <w:tcW w:w="411" w:type="pct"/>
            <w:shd w:val="clear" w:color="auto" w:fill="F2F2F2"/>
            <w:hideMark/>
          </w:tcPr>
          <w:p w14:paraId="26318872" w14:textId="77777777" w:rsidR="00395D01" w:rsidRPr="00912996" w:rsidRDefault="00395D01" w:rsidP="00292396">
            <w:pPr>
              <w:rPr>
                <w:rFonts w:ascii="Calibri" w:hAnsi="Calibri"/>
                <w:bCs/>
                <w:lang w:eastAsia="ja-JP"/>
              </w:rPr>
            </w:pPr>
            <w:r w:rsidRPr="006F0D08">
              <w:rPr>
                <w:rFonts w:ascii="Calibri" w:hAnsi="Calibri"/>
                <w:bCs/>
                <w:lang w:eastAsia="ja-JP"/>
              </w:rPr>
              <w:t>863,568</w:t>
            </w:r>
          </w:p>
        </w:tc>
        <w:tc>
          <w:tcPr>
            <w:tcW w:w="347" w:type="pct"/>
            <w:shd w:val="clear" w:color="auto" w:fill="F2F2F2"/>
            <w:hideMark/>
          </w:tcPr>
          <w:p w14:paraId="554C4C7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B1E3CE8" w14:textId="77777777" w:rsidR="00395D01" w:rsidRPr="00912996" w:rsidRDefault="00395D01" w:rsidP="00292396">
            <w:pPr>
              <w:rPr>
                <w:rFonts w:ascii="Calibri" w:hAnsi="Calibri"/>
                <w:bCs/>
                <w:lang w:eastAsia="ja-JP"/>
              </w:rPr>
            </w:pPr>
            <w:r w:rsidRPr="006F0D08">
              <w:rPr>
                <w:rFonts w:ascii="Calibri" w:hAnsi="Calibri"/>
                <w:bCs/>
                <w:lang w:eastAsia="ja-JP"/>
              </w:rPr>
              <w:t>Bugetul local</w:t>
            </w:r>
          </w:p>
        </w:tc>
        <w:tc>
          <w:tcPr>
            <w:tcW w:w="433" w:type="pct"/>
            <w:shd w:val="clear" w:color="auto" w:fill="F2F2F2"/>
            <w:hideMark/>
          </w:tcPr>
          <w:p w14:paraId="02137BA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07B9ABF"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99B2452" w14:textId="77777777" w:rsidTr="00E16711">
        <w:trPr>
          <w:trHeight w:val="792"/>
        </w:trPr>
        <w:tc>
          <w:tcPr>
            <w:tcW w:w="205" w:type="pct"/>
            <w:shd w:val="clear" w:color="auto" w:fill="F2F2F2"/>
            <w:noWrap/>
            <w:hideMark/>
          </w:tcPr>
          <w:p w14:paraId="690B568B" w14:textId="77777777" w:rsidR="00395D01" w:rsidRPr="00912996" w:rsidRDefault="00395D01" w:rsidP="00292396">
            <w:pPr>
              <w:rPr>
                <w:rFonts w:ascii="Calibri" w:hAnsi="Calibri"/>
                <w:bCs/>
                <w:lang w:eastAsia="ja-JP"/>
              </w:rPr>
            </w:pPr>
            <w:r w:rsidRPr="00912996">
              <w:rPr>
                <w:rFonts w:ascii="Calibri" w:hAnsi="Calibri"/>
                <w:bCs/>
                <w:lang w:eastAsia="ja-JP"/>
              </w:rPr>
              <w:t>9</w:t>
            </w:r>
            <w:r>
              <w:rPr>
                <w:rFonts w:ascii="Calibri" w:hAnsi="Calibri"/>
                <w:bCs/>
                <w:lang w:eastAsia="ja-JP"/>
              </w:rPr>
              <w:t>6</w:t>
            </w:r>
          </w:p>
        </w:tc>
        <w:tc>
          <w:tcPr>
            <w:tcW w:w="1018" w:type="pct"/>
            <w:gridSpan w:val="2"/>
            <w:shd w:val="clear" w:color="auto" w:fill="F2F2F2"/>
            <w:hideMark/>
          </w:tcPr>
          <w:p w14:paraId="73040FD9" w14:textId="77777777" w:rsidR="00395D01" w:rsidRPr="00912996" w:rsidRDefault="00395D01" w:rsidP="00292396">
            <w:pPr>
              <w:rPr>
                <w:rFonts w:ascii="Calibri" w:hAnsi="Calibri"/>
                <w:bCs/>
                <w:lang w:eastAsia="ja-JP"/>
              </w:rPr>
            </w:pPr>
            <w:r w:rsidRPr="00912996">
              <w:rPr>
                <w:rFonts w:ascii="Calibri" w:hAnsi="Calibri"/>
                <w:bCs/>
                <w:lang w:eastAsia="ja-JP"/>
              </w:rPr>
              <w:t>Modernizare - Școala Gimnazială nr.</w:t>
            </w:r>
            <w:r>
              <w:rPr>
                <w:rFonts w:ascii="Calibri" w:hAnsi="Calibri"/>
                <w:bCs/>
                <w:lang w:eastAsia="ja-JP"/>
              </w:rPr>
              <w:t xml:space="preserve"> </w:t>
            </w:r>
            <w:r w:rsidRPr="00912996">
              <w:rPr>
                <w:rFonts w:ascii="Calibri" w:hAnsi="Calibri"/>
                <w:bCs/>
                <w:lang w:eastAsia="ja-JP"/>
              </w:rPr>
              <w:t>49</w:t>
            </w:r>
          </w:p>
        </w:tc>
        <w:tc>
          <w:tcPr>
            <w:tcW w:w="640" w:type="pct"/>
            <w:shd w:val="clear" w:color="auto" w:fill="F2F2F2"/>
            <w:hideMark/>
          </w:tcPr>
          <w:p w14:paraId="7DE0F39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9EEAA93" w14:textId="77777777" w:rsidR="00395D01" w:rsidRPr="00912996" w:rsidRDefault="00395D01" w:rsidP="00292396">
            <w:pPr>
              <w:rPr>
                <w:rFonts w:ascii="Calibri" w:hAnsi="Calibri"/>
                <w:bCs/>
                <w:lang w:eastAsia="ja-JP"/>
              </w:rPr>
            </w:pPr>
            <w:r w:rsidRPr="00595411">
              <w:rPr>
                <w:rFonts w:ascii="Calibri" w:hAnsi="Calibri"/>
                <w:bCs/>
                <w:lang w:eastAsia="ja-JP"/>
              </w:rPr>
              <w:t>În implementare</w:t>
            </w:r>
          </w:p>
        </w:tc>
        <w:tc>
          <w:tcPr>
            <w:tcW w:w="473" w:type="pct"/>
            <w:shd w:val="clear" w:color="auto" w:fill="F2F2F2"/>
            <w:hideMark/>
          </w:tcPr>
          <w:p w14:paraId="14128978" w14:textId="77777777" w:rsidR="00395D01" w:rsidRPr="00912996" w:rsidRDefault="00395D01" w:rsidP="00292396">
            <w:pPr>
              <w:rPr>
                <w:rFonts w:ascii="Calibri" w:hAnsi="Calibri"/>
                <w:bCs/>
                <w:lang w:eastAsia="ja-JP"/>
              </w:rPr>
            </w:pPr>
            <w:r w:rsidRPr="00595411">
              <w:rPr>
                <w:rFonts w:ascii="Calibri" w:hAnsi="Calibri"/>
                <w:bCs/>
                <w:lang w:eastAsia="ja-JP"/>
              </w:rPr>
              <w:t>7,209,110</w:t>
            </w:r>
          </w:p>
        </w:tc>
        <w:tc>
          <w:tcPr>
            <w:tcW w:w="411" w:type="pct"/>
            <w:shd w:val="clear" w:color="auto" w:fill="F2F2F2"/>
            <w:hideMark/>
          </w:tcPr>
          <w:p w14:paraId="26307FAF" w14:textId="77777777" w:rsidR="00395D01" w:rsidRPr="00912996" w:rsidRDefault="00395D01" w:rsidP="00292396">
            <w:pPr>
              <w:rPr>
                <w:rFonts w:ascii="Calibri" w:hAnsi="Calibri"/>
                <w:bCs/>
                <w:lang w:eastAsia="ja-JP"/>
              </w:rPr>
            </w:pPr>
            <w:r w:rsidRPr="00595411">
              <w:rPr>
                <w:rFonts w:ascii="Calibri" w:hAnsi="Calibri"/>
                <w:bCs/>
                <w:lang w:eastAsia="ja-JP"/>
              </w:rPr>
              <w:t>1,471,247</w:t>
            </w:r>
          </w:p>
        </w:tc>
        <w:tc>
          <w:tcPr>
            <w:tcW w:w="347" w:type="pct"/>
            <w:shd w:val="clear" w:color="auto" w:fill="F2F2F2"/>
            <w:hideMark/>
          </w:tcPr>
          <w:p w14:paraId="2D9F342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FA1160F" w14:textId="77777777" w:rsidR="00395D01" w:rsidRPr="00912996" w:rsidRDefault="00395D01" w:rsidP="00292396">
            <w:pPr>
              <w:rPr>
                <w:rFonts w:ascii="Calibri" w:hAnsi="Calibri"/>
                <w:bCs/>
                <w:lang w:eastAsia="ja-JP"/>
              </w:rPr>
            </w:pPr>
            <w:r w:rsidRPr="00595411">
              <w:rPr>
                <w:rFonts w:ascii="Calibri" w:hAnsi="Calibri"/>
                <w:bCs/>
                <w:lang w:eastAsia="ja-JP"/>
              </w:rPr>
              <w:t>Bugetul local</w:t>
            </w:r>
          </w:p>
        </w:tc>
        <w:tc>
          <w:tcPr>
            <w:tcW w:w="433" w:type="pct"/>
            <w:shd w:val="clear" w:color="auto" w:fill="F2F2F2"/>
            <w:hideMark/>
          </w:tcPr>
          <w:p w14:paraId="71D81F6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B38B59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CB554E3" w14:textId="77777777" w:rsidTr="00E16711">
        <w:trPr>
          <w:trHeight w:val="792"/>
        </w:trPr>
        <w:tc>
          <w:tcPr>
            <w:tcW w:w="205" w:type="pct"/>
            <w:shd w:val="clear" w:color="auto" w:fill="F2F2F2"/>
            <w:noWrap/>
            <w:hideMark/>
          </w:tcPr>
          <w:p w14:paraId="6FCD15AF" w14:textId="77777777" w:rsidR="00395D01" w:rsidRPr="00912996" w:rsidRDefault="00395D01" w:rsidP="00292396">
            <w:pPr>
              <w:rPr>
                <w:rFonts w:ascii="Calibri" w:hAnsi="Calibri"/>
                <w:bCs/>
                <w:lang w:eastAsia="ja-JP"/>
              </w:rPr>
            </w:pPr>
            <w:r>
              <w:rPr>
                <w:rFonts w:ascii="Calibri" w:hAnsi="Calibri"/>
                <w:bCs/>
                <w:lang w:eastAsia="ja-JP"/>
              </w:rPr>
              <w:t>97</w:t>
            </w:r>
          </w:p>
        </w:tc>
        <w:tc>
          <w:tcPr>
            <w:tcW w:w="1018" w:type="pct"/>
            <w:gridSpan w:val="2"/>
            <w:shd w:val="clear" w:color="auto" w:fill="F2F2F2"/>
            <w:hideMark/>
          </w:tcPr>
          <w:p w14:paraId="29C5C7BF" w14:textId="77777777" w:rsidR="00395D01" w:rsidRPr="00912996" w:rsidRDefault="00395D01" w:rsidP="00292396">
            <w:pPr>
              <w:rPr>
                <w:rFonts w:ascii="Calibri" w:hAnsi="Calibri"/>
                <w:bCs/>
                <w:lang w:eastAsia="ja-JP"/>
              </w:rPr>
            </w:pPr>
            <w:r w:rsidRPr="00912996">
              <w:rPr>
                <w:rFonts w:ascii="Calibri" w:hAnsi="Calibri"/>
                <w:bCs/>
                <w:lang w:eastAsia="ja-JP"/>
              </w:rPr>
              <w:t>Modernizare corp C3 (POD) la Colegiul Național "Spiru Haret"</w:t>
            </w:r>
          </w:p>
        </w:tc>
        <w:tc>
          <w:tcPr>
            <w:tcW w:w="640" w:type="pct"/>
            <w:shd w:val="clear" w:color="auto" w:fill="F2F2F2"/>
            <w:hideMark/>
          </w:tcPr>
          <w:p w14:paraId="238CB6E4"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8510DC3" w14:textId="77777777" w:rsidR="00395D01" w:rsidRPr="00912996" w:rsidRDefault="00395D01" w:rsidP="00292396">
            <w:pPr>
              <w:rPr>
                <w:rFonts w:ascii="Calibri" w:hAnsi="Calibri"/>
                <w:bCs/>
                <w:lang w:eastAsia="ja-JP"/>
              </w:rPr>
            </w:pPr>
            <w:r w:rsidRPr="00595411">
              <w:rPr>
                <w:rFonts w:ascii="Calibri" w:hAnsi="Calibri"/>
                <w:bCs/>
                <w:lang w:eastAsia="ja-JP"/>
              </w:rPr>
              <w:t>În implementare</w:t>
            </w:r>
          </w:p>
        </w:tc>
        <w:tc>
          <w:tcPr>
            <w:tcW w:w="473" w:type="pct"/>
            <w:shd w:val="clear" w:color="auto" w:fill="F2F2F2"/>
            <w:hideMark/>
          </w:tcPr>
          <w:p w14:paraId="0889CFE1" w14:textId="77777777" w:rsidR="00395D01" w:rsidRPr="00912996" w:rsidRDefault="00395D01" w:rsidP="00292396">
            <w:pPr>
              <w:rPr>
                <w:rFonts w:ascii="Calibri" w:hAnsi="Calibri"/>
                <w:bCs/>
                <w:lang w:eastAsia="ja-JP"/>
              </w:rPr>
            </w:pPr>
            <w:r w:rsidRPr="00595411">
              <w:rPr>
                <w:rFonts w:ascii="Calibri" w:hAnsi="Calibri"/>
                <w:bCs/>
                <w:lang w:eastAsia="ja-JP"/>
              </w:rPr>
              <w:t>2,575,798</w:t>
            </w:r>
          </w:p>
        </w:tc>
        <w:tc>
          <w:tcPr>
            <w:tcW w:w="411" w:type="pct"/>
            <w:shd w:val="clear" w:color="auto" w:fill="F2F2F2"/>
            <w:hideMark/>
          </w:tcPr>
          <w:p w14:paraId="29F89CA4" w14:textId="77777777" w:rsidR="00395D01" w:rsidRPr="00912996" w:rsidRDefault="00395D01" w:rsidP="00292396">
            <w:pPr>
              <w:rPr>
                <w:rFonts w:ascii="Calibri" w:hAnsi="Calibri"/>
                <w:bCs/>
                <w:lang w:eastAsia="ja-JP"/>
              </w:rPr>
            </w:pPr>
            <w:r w:rsidRPr="00595411">
              <w:rPr>
                <w:rFonts w:ascii="Calibri" w:hAnsi="Calibri"/>
                <w:bCs/>
                <w:lang w:eastAsia="ja-JP"/>
              </w:rPr>
              <w:t>525,673</w:t>
            </w:r>
          </w:p>
        </w:tc>
        <w:tc>
          <w:tcPr>
            <w:tcW w:w="347" w:type="pct"/>
            <w:shd w:val="clear" w:color="auto" w:fill="F2F2F2"/>
            <w:hideMark/>
          </w:tcPr>
          <w:p w14:paraId="419E185E"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919B15A" w14:textId="77777777" w:rsidR="00395D01" w:rsidRPr="00912996" w:rsidRDefault="00395D01" w:rsidP="00292396">
            <w:pPr>
              <w:rPr>
                <w:rFonts w:ascii="Calibri" w:hAnsi="Calibri"/>
                <w:bCs/>
                <w:lang w:eastAsia="ja-JP"/>
              </w:rPr>
            </w:pPr>
            <w:r w:rsidRPr="00595411">
              <w:rPr>
                <w:rFonts w:ascii="Calibri" w:hAnsi="Calibri"/>
                <w:bCs/>
                <w:lang w:eastAsia="ja-JP"/>
              </w:rPr>
              <w:t>Bugetul local</w:t>
            </w:r>
          </w:p>
        </w:tc>
        <w:tc>
          <w:tcPr>
            <w:tcW w:w="433" w:type="pct"/>
            <w:shd w:val="clear" w:color="auto" w:fill="F2F2F2"/>
            <w:hideMark/>
          </w:tcPr>
          <w:p w14:paraId="19B5B66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B23EFD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CD42955" w14:textId="77777777" w:rsidTr="00E16711">
        <w:trPr>
          <w:trHeight w:val="792"/>
        </w:trPr>
        <w:tc>
          <w:tcPr>
            <w:tcW w:w="205" w:type="pct"/>
            <w:shd w:val="clear" w:color="auto" w:fill="F2F2F2"/>
            <w:noWrap/>
            <w:hideMark/>
          </w:tcPr>
          <w:p w14:paraId="33866873" w14:textId="77777777" w:rsidR="00395D01" w:rsidRPr="00912996" w:rsidRDefault="00395D01" w:rsidP="00292396">
            <w:pPr>
              <w:rPr>
                <w:rFonts w:ascii="Calibri" w:hAnsi="Calibri"/>
                <w:bCs/>
                <w:lang w:eastAsia="ja-JP"/>
              </w:rPr>
            </w:pPr>
            <w:r>
              <w:rPr>
                <w:rFonts w:ascii="Calibri" w:hAnsi="Calibri"/>
                <w:bCs/>
                <w:lang w:eastAsia="ja-JP"/>
              </w:rPr>
              <w:t>98</w:t>
            </w:r>
          </w:p>
        </w:tc>
        <w:tc>
          <w:tcPr>
            <w:tcW w:w="1018" w:type="pct"/>
            <w:gridSpan w:val="2"/>
            <w:shd w:val="clear" w:color="auto" w:fill="F2F2F2"/>
            <w:hideMark/>
          </w:tcPr>
          <w:p w14:paraId="4661D167" w14:textId="77777777" w:rsidR="00395D01" w:rsidRPr="00912996" w:rsidRDefault="00395D01" w:rsidP="00292396">
            <w:pPr>
              <w:rPr>
                <w:rFonts w:ascii="Calibri" w:hAnsi="Calibri"/>
                <w:bCs/>
                <w:lang w:eastAsia="ja-JP"/>
              </w:rPr>
            </w:pPr>
            <w:r w:rsidRPr="00912996">
              <w:rPr>
                <w:rFonts w:ascii="Calibri" w:hAnsi="Calibri"/>
                <w:bCs/>
                <w:lang w:eastAsia="ja-JP"/>
              </w:rPr>
              <w:t>Modernizare corp școală C2 - Colegiul Național "Spiru Haret"</w:t>
            </w:r>
          </w:p>
        </w:tc>
        <w:tc>
          <w:tcPr>
            <w:tcW w:w="640" w:type="pct"/>
            <w:shd w:val="clear" w:color="auto" w:fill="F2F2F2"/>
            <w:hideMark/>
          </w:tcPr>
          <w:p w14:paraId="31AB3D27"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155C7C1" w14:textId="77777777" w:rsidR="00395D01" w:rsidRPr="00912996" w:rsidRDefault="00395D01" w:rsidP="00292396">
            <w:pPr>
              <w:rPr>
                <w:rFonts w:ascii="Calibri" w:hAnsi="Calibri"/>
                <w:bCs/>
                <w:lang w:eastAsia="ja-JP"/>
              </w:rPr>
            </w:pPr>
            <w:r w:rsidRPr="00595411">
              <w:rPr>
                <w:rFonts w:ascii="Calibri" w:hAnsi="Calibri"/>
                <w:bCs/>
                <w:lang w:eastAsia="ja-JP"/>
              </w:rPr>
              <w:t>În implementare</w:t>
            </w:r>
          </w:p>
        </w:tc>
        <w:tc>
          <w:tcPr>
            <w:tcW w:w="473" w:type="pct"/>
            <w:shd w:val="clear" w:color="auto" w:fill="F2F2F2"/>
            <w:hideMark/>
          </w:tcPr>
          <w:p w14:paraId="22DCEEA3" w14:textId="77777777" w:rsidR="00395D01" w:rsidRPr="00912996" w:rsidRDefault="00395D01" w:rsidP="00292396">
            <w:pPr>
              <w:rPr>
                <w:rFonts w:ascii="Calibri" w:hAnsi="Calibri"/>
                <w:bCs/>
                <w:lang w:eastAsia="ja-JP"/>
              </w:rPr>
            </w:pPr>
            <w:r w:rsidRPr="00595411">
              <w:rPr>
                <w:rFonts w:ascii="Calibri" w:hAnsi="Calibri"/>
                <w:bCs/>
                <w:lang w:eastAsia="ja-JP"/>
              </w:rPr>
              <w:t>14,187,641</w:t>
            </w:r>
          </w:p>
        </w:tc>
        <w:tc>
          <w:tcPr>
            <w:tcW w:w="411" w:type="pct"/>
            <w:shd w:val="clear" w:color="auto" w:fill="F2F2F2"/>
            <w:hideMark/>
          </w:tcPr>
          <w:p w14:paraId="10BBAD8C" w14:textId="77777777" w:rsidR="00395D01" w:rsidRPr="00912996" w:rsidRDefault="00395D01" w:rsidP="00292396">
            <w:pPr>
              <w:rPr>
                <w:rFonts w:ascii="Calibri" w:hAnsi="Calibri"/>
                <w:bCs/>
                <w:lang w:eastAsia="ja-JP"/>
              </w:rPr>
            </w:pPr>
            <w:r w:rsidRPr="00595411">
              <w:rPr>
                <w:rFonts w:ascii="Calibri" w:hAnsi="Calibri"/>
                <w:bCs/>
                <w:lang w:eastAsia="ja-JP"/>
              </w:rPr>
              <w:t>2,895,437</w:t>
            </w:r>
          </w:p>
        </w:tc>
        <w:tc>
          <w:tcPr>
            <w:tcW w:w="347" w:type="pct"/>
            <w:shd w:val="clear" w:color="auto" w:fill="F2F2F2"/>
            <w:hideMark/>
          </w:tcPr>
          <w:p w14:paraId="0AFD8E8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C51B380" w14:textId="77777777" w:rsidR="00395D01" w:rsidRPr="00912996" w:rsidRDefault="00395D01" w:rsidP="00292396">
            <w:pPr>
              <w:rPr>
                <w:rFonts w:ascii="Calibri" w:hAnsi="Calibri"/>
                <w:bCs/>
                <w:lang w:eastAsia="ja-JP"/>
              </w:rPr>
            </w:pPr>
            <w:r w:rsidRPr="00595411">
              <w:rPr>
                <w:rFonts w:ascii="Calibri" w:hAnsi="Calibri"/>
                <w:bCs/>
                <w:lang w:eastAsia="ja-JP"/>
              </w:rPr>
              <w:t>Bugetul local</w:t>
            </w:r>
          </w:p>
        </w:tc>
        <w:tc>
          <w:tcPr>
            <w:tcW w:w="433" w:type="pct"/>
            <w:shd w:val="clear" w:color="auto" w:fill="F2F2F2"/>
            <w:hideMark/>
          </w:tcPr>
          <w:p w14:paraId="256002E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F5C23B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53FD5D5" w14:textId="77777777" w:rsidTr="00E16711">
        <w:trPr>
          <w:trHeight w:val="792"/>
        </w:trPr>
        <w:tc>
          <w:tcPr>
            <w:tcW w:w="205" w:type="pct"/>
            <w:shd w:val="clear" w:color="auto" w:fill="F2F2F2"/>
            <w:noWrap/>
            <w:hideMark/>
          </w:tcPr>
          <w:p w14:paraId="32427EB7" w14:textId="77777777" w:rsidR="00395D01" w:rsidRPr="00912996" w:rsidRDefault="00395D01" w:rsidP="00292396">
            <w:pPr>
              <w:rPr>
                <w:rFonts w:ascii="Calibri" w:hAnsi="Calibri"/>
                <w:bCs/>
                <w:lang w:eastAsia="ja-JP"/>
              </w:rPr>
            </w:pPr>
            <w:r>
              <w:rPr>
                <w:rFonts w:ascii="Calibri" w:hAnsi="Calibri"/>
                <w:bCs/>
                <w:lang w:eastAsia="ja-JP"/>
              </w:rPr>
              <w:t>99</w:t>
            </w:r>
          </w:p>
        </w:tc>
        <w:tc>
          <w:tcPr>
            <w:tcW w:w="1018" w:type="pct"/>
            <w:gridSpan w:val="2"/>
            <w:shd w:val="clear" w:color="auto" w:fill="F2F2F2"/>
            <w:hideMark/>
          </w:tcPr>
          <w:p w14:paraId="3C040E58" w14:textId="77777777" w:rsidR="00395D01" w:rsidRPr="00912996" w:rsidRDefault="00395D01" w:rsidP="00292396">
            <w:pPr>
              <w:rPr>
                <w:rFonts w:ascii="Calibri" w:hAnsi="Calibri"/>
                <w:bCs/>
                <w:lang w:eastAsia="ja-JP"/>
              </w:rPr>
            </w:pPr>
            <w:r w:rsidRPr="00912996">
              <w:rPr>
                <w:rFonts w:ascii="Calibri" w:hAnsi="Calibri"/>
                <w:bCs/>
                <w:lang w:eastAsia="ja-JP"/>
              </w:rPr>
              <w:t>Modernizare imobil - Școala Gimnaziala nr. 41</w:t>
            </w:r>
          </w:p>
        </w:tc>
        <w:tc>
          <w:tcPr>
            <w:tcW w:w="640" w:type="pct"/>
            <w:shd w:val="clear" w:color="auto" w:fill="F2F2F2"/>
            <w:hideMark/>
          </w:tcPr>
          <w:p w14:paraId="02A713F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EB5EE4E" w14:textId="77777777" w:rsidR="00395D01" w:rsidRPr="00912996" w:rsidRDefault="00395D01" w:rsidP="00292396">
            <w:pPr>
              <w:rPr>
                <w:rFonts w:ascii="Calibri" w:hAnsi="Calibri"/>
                <w:bCs/>
                <w:lang w:eastAsia="ja-JP"/>
              </w:rPr>
            </w:pPr>
            <w:r w:rsidRPr="00595411">
              <w:rPr>
                <w:rFonts w:ascii="Calibri" w:hAnsi="Calibri"/>
                <w:bCs/>
                <w:lang w:eastAsia="ja-JP"/>
              </w:rPr>
              <w:t>În implementare</w:t>
            </w:r>
          </w:p>
        </w:tc>
        <w:tc>
          <w:tcPr>
            <w:tcW w:w="473" w:type="pct"/>
            <w:shd w:val="clear" w:color="auto" w:fill="F2F2F2"/>
            <w:hideMark/>
          </w:tcPr>
          <w:p w14:paraId="0483FEAF" w14:textId="77777777" w:rsidR="00395D01" w:rsidRPr="00912996" w:rsidRDefault="00395D01" w:rsidP="00292396">
            <w:pPr>
              <w:rPr>
                <w:rFonts w:ascii="Calibri" w:hAnsi="Calibri"/>
                <w:bCs/>
                <w:lang w:eastAsia="ja-JP"/>
              </w:rPr>
            </w:pPr>
            <w:r w:rsidRPr="00595411">
              <w:rPr>
                <w:rFonts w:ascii="Calibri" w:hAnsi="Calibri"/>
                <w:bCs/>
                <w:lang w:eastAsia="ja-JP"/>
              </w:rPr>
              <w:t>22,389,758</w:t>
            </w:r>
          </w:p>
        </w:tc>
        <w:tc>
          <w:tcPr>
            <w:tcW w:w="411" w:type="pct"/>
            <w:shd w:val="clear" w:color="auto" w:fill="F2F2F2"/>
            <w:hideMark/>
          </w:tcPr>
          <w:p w14:paraId="56CE299C" w14:textId="77777777" w:rsidR="00395D01" w:rsidRPr="00912996" w:rsidRDefault="00395D01" w:rsidP="00292396">
            <w:pPr>
              <w:rPr>
                <w:rFonts w:ascii="Calibri" w:hAnsi="Calibri"/>
                <w:bCs/>
                <w:lang w:eastAsia="ja-JP"/>
              </w:rPr>
            </w:pPr>
            <w:r w:rsidRPr="00595411">
              <w:rPr>
                <w:rFonts w:ascii="Calibri" w:hAnsi="Calibri"/>
                <w:bCs/>
                <w:lang w:eastAsia="ja-JP"/>
              </w:rPr>
              <w:t>4,569,339</w:t>
            </w:r>
          </w:p>
        </w:tc>
        <w:tc>
          <w:tcPr>
            <w:tcW w:w="347" w:type="pct"/>
            <w:shd w:val="clear" w:color="auto" w:fill="F2F2F2"/>
            <w:hideMark/>
          </w:tcPr>
          <w:p w14:paraId="3E1F1BB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A761CDB" w14:textId="77777777" w:rsidR="00395D01" w:rsidRPr="00912996" w:rsidRDefault="00395D01" w:rsidP="00292396">
            <w:pPr>
              <w:rPr>
                <w:rFonts w:ascii="Calibri" w:hAnsi="Calibri"/>
                <w:bCs/>
                <w:lang w:eastAsia="ja-JP"/>
              </w:rPr>
            </w:pPr>
            <w:r w:rsidRPr="00595411">
              <w:rPr>
                <w:rFonts w:ascii="Calibri" w:hAnsi="Calibri"/>
                <w:bCs/>
                <w:lang w:eastAsia="ja-JP"/>
              </w:rPr>
              <w:t>PNRR,  Bugetul local</w:t>
            </w:r>
          </w:p>
        </w:tc>
        <w:tc>
          <w:tcPr>
            <w:tcW w:w="433" w:type="pct"/>
            <w:shd w:val="clear" w:color="auto" w:fill="F2F2F2"/>
            <w:hideMark/>
          </w:tcPr>
          <w:p w14:paraId="303DE94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22C36D1"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CFD3272" w14:textId="77777777" w:rsidTr="00E16711">
        <w:trPr>
          <w:trHeight w:val="792"/>
        </w:trPr>
        <w:tc>
          <w:tcPr>
            <w:tcW w:w="205" w:type="pct"/>
            <w:shd w:val="clear" w:color="auto" w:fill="F2F2F2"/>
            <w:noWrap/>
            <w:hideMark/>
          </w:tcPr>
          <w:p w14:paraId="7CFB010D" w14:textId="77777777" w:rsidR="00395D01" w:rsidRPr="00912996" w:rsidRDefault="00395D01" w:rsidP="00292396">
            <w:pPr>
              <w:rPr>
                <w:rFonts w:ascii="Calibri" w:hAnsi="Calibri"/>
                <w:bCs/>
                <w:lang w:eastAsia="ja-JP"/>
              </w:rPr>
            </w:pPr>
            <w:r w:rsidRPr="00912996">
              <w:rPr>
                <w:rFonts w:ascii="Calibri" w:hAnsi="Calibri"/>
                <w:bCs/>
                <w:lang w:eastAsia="ja-JP"/>
              </w:rPr>
              <w:t>10</w:t>
            </w:r>
            <w:r>
              <w:rPr>
                <w:rFonts w:ascii="Calibri" w:hAnsi="Calibri"/>
                <w:bCs/>
                <w:lang w:eastAsia="ja-JP"/>
              </w:rPr>
              <w:t>0</w:t>
            </w:r>
          </w:p>
        </w:tc>
        <w:tc>
          <w:tcPr>
            <w:tcW w:w="1018" w:type="pct"/>
            <w:gridSpan w:val="2"/>
            <w:shd w:val="clear" w:color="auto" w:fill="F2F2F2"/>
            <w:hideMark/>
          </w:tcPr>
          <w:p w14:paraId="44644429" w14:textId="77777777" w:rsidR="00395D01" w:rsidRPr="00912996" w:rsidRDefault="00395D01" w:rsidP="00292396">
            <w:pPr>
              <w:rPr>
                <w:rFonts w:ascii="Calibri" w:hAnsi="Calibri"/>
                <w:bCs/>
                <w:lang w:eastAsia="ja-JP"/>
              </w:rPr>
            </w:pPr>
            <w:r w:rsidRPr="00912996">
              <w:rPr>
                <w:rFonts w:ascii="Calibri" w:hAnsi="Calibri"/>
                <w:bCs/>
                <w:lang w:eastAsia="ja-JP"/>
              </w:rPr>
              <w:t>Modernizare imobil liceu, cămin - Liceul Tehnologic Ion I</w:t>
            </w:r>
            <w:r>
              <w:rPr>
                <w:rFonts w:ascii="Calibri" w:hAnsi="Calibri"/>
                <w:bCs/>
                <w:lang w:eastAsia="ja-JP"/>
              </w:rPr>
              <w:t>.</w:t>
            </w:r>
            <w:r w:rsidRPr="00912996">
              <w:rPr>
                <w:rFonts w:ascii="Calibri" w:hAnsi="Calibri"/>
                <w:bCs/>
                <w:lang w:eastAsia="ja-JP"/>
              </w:rPr>
              <w:t>C</w:t>
            </w:r>
            <w:r>
              <w:rPr>
                <w:rFonts w:ascii="Calibri" w:hAnsi="Calibri"/>
                <w:bCs/>
                <w:lang w:eastAsia="ja-JP"/>
              </w:rPr>
              <w:t>.</w:t>
            </w:r>
            <w:r w:rsidRPr="00912996">
              <w:rPr>
                <w:rFonts w:ascii="Calibri" w:hAnsi="Calibri"/>
                <w:bCs/>
                <w:lang w:eastAsia="ja-JP"/>
              </w:rPr>
              <w:t xml:space="preserve"> Brătianu</w:t>
            </w:r>
          </w:p>
        </w:tc>
        <w:tc>
          <w:tcPr>
            <w:tcW w:w="640" w:type="pct"/>
            <w:shd w:val="clear" w:color="auto" w:fill="F2F2F2"/>
            <w:hideMark/>
          </w:tcPr>
          <w:p w14:paraId="5597BD3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94315DD"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5DAA972D"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747675A8"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7F8CA5D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1C31407"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43E4322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465B5D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C0140BD" w14:textId="77777777" w:rsidTr="00E16711">
        <w:trPr>
          <w:trHeight w:val="792"/>
        </w:trPr>
        <w:tc>
          <w:tcPr>
            <w:tcW w:w="205" w:type="pct"/>
            <w:shd w:val="clear" w:color="auto" w:fill="F2F2F2"/>
            <w:noWrap/>
            <w:hideMark/>
          </w:tcPr>
          <w:p w14:paraId="4885349A" w14:textId="77777777" w:rsidR="00395D01" w:rsidRPr="00912996" w:rsidRDefault="00395D01" w:rsidP="00292396">
            <w:pPr>
              <w:rPr>
                <w:rFonts w:ascii="Calibri" w:hAnsi="Calibri"/>
                <w:bCs/>
                <w:lang w:eastAsia="ja-JP"/>
              </w:rPr>
            </w:pPr>
            <w:r w:rsidRPr="00912996">
              <w:rPr>
                <w:rFonts w:ascii="Calibri" w:hAnsi="Calibri"/>
                <w:bCs/>
                <w:lang w:eastAsia="ja-JP"/>
              </w:rPr>
              <w:t>10</w:t>
            </w:r>
            <w:r>
              <w:rPr>
                <w:rFonts w:ascii="Calibri" w:hAnsi="Calibri"/>
                <w:bCs/>
                <w:lang w:eastAsia="ja-JP"/>
              </w:rPr>
              <w:t>1</w:t>
            </w:r>
          </w:p>
        </w:tc>
        <w:tc>
          <w:tcPr>
            <w:tcW w:w="1018" w:type="pct"/>
            <w:gridSpan w:val="2"/>
            <w:shd w:val="clear" w:color="auto" w:fill="F2F2F2"/>
            <w:hideMark/>
          </w:tcPr>
          <w:p w14:paraId="393FD515" w14:textId="77777777" w:rsidR="00395D01" w:rsidRPr="00912996" w:rsidRDefault="00395D01" w:rsidP="00292396">
            <w:pPr>
              <w:rPr>
                <w:rFonts w:ascii="Calibri" w:hAnsi="Calibri"/>
                <w:bCs/>
                <w:lang w:eastAsia="ja-JP"/>
              </w:rPr>
            </w:pPr>
            <w:r w:rsidRPr="00595411">
              <w:rPr>
                <w:rFonts w:ascii="Calibri" w:hAnsi="Calibri"/>
                <w:bCs/>
                <w:lang w:eastAsia="ja-JP"/>
              </w:rPr>
              <w:t>Consolidare, reabilitare și modernizare - Colegiul Economic „Hermes”</w:t>
            </w:r>
          </w:p>
        </w:tc>
        <w:tc>
          <w:tcPr>
            <w:tcW w:w="640" w:type="pct"/>
            <w:shd w:val="clear" w:color="auto" w:fill="F2F2F2"/>
            <w:hideMark/>
          </w:tcPr>
          <w:p w14:paraId="60DE5800"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CE2DBE1" w14:textId="77777777" w:rsidR="00395D01" w:rsidRPr="00912996" w:rsidRDefault="00395D01" w:rsidP="00292396">
            <w:pPr>
              <w:rPr>
                <w:rFonts w:ascii="Calibri" w:hAnsi="Calibri"/>
                <w:bCs/>
                <w:lang w:eastAsia="ja-JP"/>
              </w:rPr>
            </w:pPr>
            <w:r w:rsidRPr="007A1590">
              <w:rPr>
                <w:rFonts w:ascii="Calibri" w:hAnsi="Calibri"/>
                <w:bCs/>
                <w:lang w:eastAsia="ja-JP"/>
              </w:rPr>
              <w:t>În implementare</w:t>
            </w:r>
          </w:p>
        </w:tc>
        <w:tc>
          <w:tcPr>
            <w:tcW w:w="473" w:type="pct"/>
            <w:shd w:val="clear" w:color="auto" w:fill="F2F2F2"/>
            <w:hideMark/>
          </w:tcPr>
          <w:p w14:paraId="361A2573" w14:textId="77777777" w:rsidR="00395D01" w:rsidRPr="00912996" w:rsidRDefault="00395D01" w:rsidP="00292396">
            <w:pPr>
              <w:rPr>
                <w:rFonts w:ascii="Calibri" w:hAnsi="Calibri"/>
                <w:bCs/>
                <w:lang w:eastAsia="ja-JP"/>
              </w:rPr>
            </w:pPr>
            <w:r w:rsidRPr="007A1590">
              <w:rPr>
                <w:rFonts w:ascii="Calibri" w:hAnsi="Calibri"/>
                <w:bCs/>
                <w:lang w:eastAsia="ja-JP"/>
              </w:rPr>
              <w:t>10,697,874</w:t>
            </w:r>
          </w:p>
        </w:tc>
        <w:tc>
          <w:tcPr>
            <w:tcW w:w="411" w:type="pct"/>
            <w:shd w:val="clear" w:color="auto" w:fill="F2F2F2"/>
            <w:hideMark/>
          </w:tcPr>
          <w:p w14:paraId="241B7709" w14:textId="77777777" w:rsidR="00395D01" w:rsidRPr="00912996" w:rsidRDefault="00395D01" w:rsidP="00292396">
            <w:pPr>
              <w:rPr>
                <w:rFonts w:ascii="Calibri" w:hAnsi="Calibri"/>
                <w:bCs/>
                <w:lang w:eastAsia="ja-JP"/>
              </w:rPr>
            </w:pPr>
            <w:r w:rsidRPr="007A1590">
              <w:rPr>
                <w:rFonts w:ascii="Calibri" w:hAnsi="Calibri"/>
                <w:bCs/>
                <w:lang w:eastAsia="ja-JP"/>
              </w:rPr>
              <w:t>2,183,240</w:t>
            </w:r>
          </w:p>
        </w:tc>
        <w:tc>
          <w:tcPr>
            <w:tcW w:w="347" w:type="pct"/>
            <w:shd w:val="clear" w:color="auto" w:fill="F2F2F2"/>
            <w:hideMark/>
          </w:tcPr>
          <w:p w14:paraId="4CB247F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E7FDBAB" w14:textId="77777777" w:rsidR="00395D01" w:rsidRPr="00912996" w:rsidRDefault="00395D01" w:rsidP="00292396">
            <w:pPr>
              <w:rPr>
                <w:rFonts w:ascii="Calibri" w:hAnsi="Calibri"/>
                <w:bCs/>
                <w:lang w:eastAsia="ja-JP"/>
              </w:rPr>
            </w:pPr>
            <w:r w:rsidRPr="007A1590">
              <w:rPr>
                <w:rFonts w:ascii="Calibri" w:hAnsi="Calibri"/>
                <w:bCs/>
                <w:lang w:eastAsia="ja-JP"/>
              </w:rPr>
              <w:t>Bugetul local</w:t>
            </w:r>
          </w:p>
        </w:tc>
        <w:tc>
          <w:tcPr>
            <w:tcW w:w="433" w:type="pct"/>
            <w:shd w:val="clear" w:color="auto" w:fill="F2F2F2"/>
            <w:hideMark/>
          </w:tcPr>
          <w:p w14:paraId="3A1B228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E07CAF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E48C420" w14:textId="77777777" w:rsidTr="00E16711">
        <w:trPr>
          <w:trHeight w:val="792"/>
        </w:trPr>
        <w:tc>
          <w:tcPr>
            <w:tcW w:w="205" w:type="pct"/>
            <w:shd w:val="clear" w:color="auto" w:fill="F2F2F2"/>
            <w:noWrap/>
            <w:hideMark/>
          </w:tcPr>
          <w:p w14:paraId="671D6D8C" w14:textId="77777777" w:rsidR="00395D01" w:rsidRPr="00912996" w:rsidRDefault="00395D01" w:rsidP="00292396">
            <w:pPr>
              <w:rPr>
                <w:rFonts w:ascii="Calibri" w:hAnsi="Calibri"/>
                <w:bCs/>
                <w:lang w:eastAsia="ja-JP"/>
              </w:rPr>
            </w:pPr>
            <w:r w:rsidRPr="00912996">
              <w:rPr>
                <w:rFonts w:ascii="Calibri" w:hAnsi="Calibri"/>
                <w:bCs/>
                <w:lang w:eastAsia="ja-JP"/>
              </w:rPr>
              <w:t>10</w:t>
            </w:r>
            <w:r>
              <w:rPr>
                <w:rFonts w:ascii="Calibri" w:hAnsi="Calibri"/>
                <w:bCs/>
                <w:lang w:eastAsia="ja-JP"/>
              </w:rPr>
              <w:t>2</w:t>
            </w:r>
          </w:p>
        </w:tc>
        <w:tc>
          <w:tcPr>
            <w:tcW w:w="1018" w:type="pct"/>
            <w:gridSpan w:val="2"/>
            <w:shd w:val="clear" w:color="auto" w:fill="F2F2F2"/>
            <w:hideMark/>
          </w:tcPr>
          <w:p w14:paraId="6F007A5C" w14:textId="77777777" w:rsidR="00395D01" w:rsidRPr="00912996" w:rsidRDefault="00395D01" w:rsidP="00292396">
            <w:pPr>
              <w:rPr>
                <w:rFonts w:ascii="Calibri" w:hAnsi="Calibri"/>
                <w:bCs/>
                <w:lang w:eastAsia="ja-JP"/>
              </w:rPr>
            </w:pPr>
            <w:r w:rsidRPr="007A1590">
              <w:rPr>
                <w:rFonts w:ascii="Calibri" w:hAnsi="Calibri"/>
                <w:bCs/>
                <w:lang w:eastAsia="ja-JP"/>
              </w:rPr>
              <w:t>Modernizare imobil școala - Școala Gimnazială nr.</w:t>
            </w:r>
            <w:r>
              <w:rPr>
                <w:rFonts w:ascii="Calibri" w:hAnsi="Calibri"/>
                <w:bCs/>
                <w:lang w:eastAsia="ja-JP"/>
              </w:rPr>
              <w:t xml:space="preserve"> </w:t>
            </w:r>
            <w:r w:rsidRPr="007A1590">
              <w:rPr>
                <w:rFonts w:ascii="Calibri" w:hAnsi="Calibri"/>
                <w:bCs/>
                <w:lang w:eastAsia="ja-JP"/>
              </w:rPr>
              <w:t>145 (C1 și C2)</w:t>
            </w:r>
          </w:p>
        </w:tc>
        <w:tc>
          <w:tcPr>
            <w:tcW w:w="640" w:type="pct"/>
            <w:shd w:val="clear" w:color="auto" w:fill="F2F2F2"/>
            <w:hideMark/>
          </w:tcPr>
          <w:p w14:paraId="006307D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230BD03" w14:textId="77777777" w:rsidR="00395D01" w:rsidRPr="00912996" w:rsidRDefault="00395D01" w:rsidP="00292396">
            <w:pPr>
              <w:rPr>
                <w:rFonts w:ascii="Calibri" w:hAnsi="Calibri"/>
                <w:bCs/>
                <w:lang w:eastAsia="ja-JP"/>
              </w:rPr>
            </w:pPr>
            <w:r w:rsidRPr="007A1590">
              <w:rPr>
                <w:rFonts w:ascii="Calibri" w:hAnsi="Calibri"/>
                <w:bCs/>
                <w:lang w:eastAsia="ja-JP"/>
              </w:rPr>
              <w:t>În implementare</w:t>
            </w:r>
          </w:p>
        </w:tc>
        <w:tc>
          <w:tcPr>
            <w:tcW w:w="473" w:type="pct"/>
            <w:shd w:val="clear" w:color="auto" w:fill="F2F2F2"/>
            <w:hideMark/>
          </w:tcPr>
          <w:p w14:paraId="52D00A3C" w14:textId="77777777" w:rsidR="00395D01" w:rsidRPr="00912996" w:rsidRDefault="00395D01" w:rsidP="00292396">
            <w:pPr>
              <w:rPr>
                <w:rFonts w:ascii="Calibri" w:hAnsi="Calibri"/>
                <w:bCs/>
                <w:lang w:eastAsia="ja-JP"/>
              </w:rPr>
            </w:pPr>
            <w:r w:rsidRPr="007A1590">
              <w:rPr>
                <w:rFonts w:ascii="Calibri" w:hAnsi="Calibri"/>
                <w:bCs/>
                <w:lang w:eastAsia="ja-JP"/>
              </w:rPr>
              <w:t>11,497,179 (C1)</w:t>
            </w:r>
          </w:p>
        </w:tc>
        <w:tc>
          <w:tcPr>
            <w:tcW w:w="411" w:type="pct"/>
            <w:shd w:val="clear" w:color="auto" w:fill="F2F2F2"/>
            <w:hideMark/>
          </w:tcPr>
          <w:p w14:paraId="1225887A" w14:textId="77777777" w:rsidR="00395D01" w:rsidRPr="00912996" w:rsidRDefault="00395D01" w:rsidP="00292396">
            <w:pPr>
              <w:rPr>
                <w:rFonts w:ascii="Calibri" w:hAnsi="Calibri"/>
                <w:bCs/>
                <w:lang w:eastAsia="ja-JP"/>
              </w:rPr>
            </w:pPr>
            <w:r w:rsidRPr="007A1590">
              <w:rPr>
                <w:rFonts w:ascii="Calibri" w:hAnsi="Calibri"/>
                <w:bCs/>
                <w:lang w:eastAsia="ja-JP"/>
              </w:rPr>
              <w:t>2,346,363</w:t>
            </w:r>
          </w:p>
        </w:tc>
        <w:tc>
          <w:tcPr>
            <w:tcW w:w="347" w:type="pct"/>
            <w:shd w:val="clear" w:color="auto" w:fill="F2F2F2"/>
            <w:hideMark/>
          </w:tcPr>
          <w:p w14:paraId="44F15A4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A214B34" w14:textId="77777777" w:rsidR="00395D01" w:rsidRPr="00912996" w:rsidRDefault="00395D01" w:rsidP="00292396">
            <w:pPr>
              <w:rPr>
                <w:rFonts w:ascii="Calibri" w:hAnsi="Calibri"/>
                <w:bCs/>
                <w:lang w:eastAsia="ja-JP"/>
              </w:rPr>
            </w:pPr>
            <w:r w:rsidRPr="007A1590">
              <w:rPr>
                <w:rFonts w:ascii="Calibri" w:hAnsi="Calibri"/>
                <w:bCs/>
                <w:lang w:eastAsia="ja-JP"/>
              </w:rPr>
              <w:t>PNRR,  Bugetul local</w:t>
            </w:r>
          </w:p>
        </w:tc>
        <w:tc>
          <w:tcPr>
            <w:tcW w:w="433" w:type="pct"/>
            <w:shd w:val="clear" w:color="auto" w:fill="F2F2F2"/>
            <w:hideMark/>
          </w:tcPr>
          <w:p w14:paraId="6A4EFBE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323C4FB"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9C22742" w14:textId="77777777" w:rsidTr="00E16711">
        <w:trPr>
          <w:trHeight w:val="792"/>
        </w:trPr>
        <w:tc>
          <w:tcPr>
            <w:tcW w:w="205" w:type="pct"/>
            <w:shd w:val="clear" w:color="auto" w:fill="F2F2F2"/>
            <w:noWrap/>
            <w:hideMark/>
          </w:tcPr>
          <w:p w14:paraId="0898CBAE" w14:textId="77777777" w:rsidR="00395D01" w:rsidRPr="00912996" w:rsidRDefault="00395D01" w:rsidP="00292396">
            <w:pPr>
              <w:rPr>
                <w:rFonts w:ascii="Calibri" w:hAnsi="Calibri"/>
                <w:bCs/>
                <w:lang w:eastAsia="ja-JP"/>
              </w:rPr>
            </w:pPr>
            <w:r w:rsidRPr="00912996">
              <w:rPr>
                <w:rFonts w:ascii="Calibri" w:hAnsi="Calibri"/>
                <w:bCs/>
                <w:lang w:eastAsia="ja-JP"/>
              </w:rPr>
              <w:t>10</w:t>
            </w:r>
            <w:r>
              <w:rPr>
                <w:rFonts w:ascii="Calibri" w:hAnsi="Calibri"/>
                <w:bCs/>
                <w:lang w:eastAsia="ja-JP"/>
              </w:rPr>
              <w:t>3</w:t>
            </w:r>
          </w:p>
        </w:tc>
        <w:tc>
          <w:tcPr>
            <w:tcW w:w="1018" w:type="pct"/>
            <w:gridSpan w:val="2"/>
            <w:shd w:val="clear" w:color="auto" w:fill="F2F2F2"/>
            <w:hideMark/>
          </w:tcPr>
          <w:p w14:paraId="68CA93B2" w14:textId="77777777" w:rsidR="00395D01" w:rsidRPr="00912996" w:rsidRDefault="00395D01" w:rsidP="00292396">
            <w:pPr>
              <w:rPr>
                <w:rFonts w:ascii="Calibri" w:hAnsi="Calibri"/>
                <w:bCs/>
                <w:lang w:eastAsia="ja-JP"/>
              </w:rPr>
            </w:pPr>
            <w:r w:rsidRPr="00912996">
              <w:rPr>
                <w:rFonts w:ascii="Calibri" w:hAnsi="Calibri"/>
                <w:bCs/>
                <w:lang w:eastAsia="ja-JP"/>
              </w:rPr>
              <w:t>Modernizare imobil școală - Școala Gimnazială „Maica Domnului”</w:t>
            </w:r>
          </w:p>
        </w:tc>
        <w:tc>
          <w:tcPr>
            <w:tcW w:w="640" w:type="pct"/>
            <w:shd w:val="clear" w:color="auto" w:fill="F2F2F2"/>
            <w:hideMark/>
          </w:tcPr>
          <w:p w14:paraId="3E910A6D"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D49CD9D" w14:textId="77777777" w:rsidR="00395D01" w:rsidRPr="00912996" w:rsidRDefault="00395D01" w:rsidP="00292396">
            <w:pPr>
              <w:rPr>
                <w:rFonts w:ascii="Calibri" w:hAnsi="Calibri"/>
                <w:bCs/>
                <w:lang w:eastAsia="ja-JP"/>
              </w:rPr>
            </w:pPr>
            <w:r w:rsidRPr="007A1590">
              <w:rPr>
                <w:rFonts w:ascii="Calibri" w:hAnsi="Calibri"/>
                <w:bCs/>
                <w:lang w:eastAsia="ja-JP"/>
              </w:rPr>
              <w:t>În implementare</w:t>
            </w:r>
          </w:p>
        </w:tc>
        <w:tc>
          <w:tcPr>
            <w:tcW w:w="473" w:type="pct"/>
            <w:shd w:val="clear" w:color="auto" w:fill="F2F2F2"/>
            <w:hideMark/>
          </w:tcPr>
          <w:p w14:paraId="7361EDF4" w14:textId="77777777" w:rsidR="00395D01" w:rsidRPr="00912996" w:rsidRDefault="00395D01" w:rsidP="00292396">
            <w:pPr>
              <w:rPr>
                <w:rFonts w:ascii="Calibri" w:hAnsi="Calibri"/>
                <w:bCs/>
                <w:lang w:eastAsia="ja-JP"/>
              </w:rPr>
            </w:pPr>
            <w:r w:rsidRPr="007A1590">
              <w:rPr>
                <w:rFonts w:ascii="Calibri" w:hAnsi="Calibri"/>
                <w:bCs/>
                <w:lang w:eastAsia="ja-JP"/>
              </w:rPr>
              <w:t>8,591,117</w:t>
            </w:r>
          </w:p>
        </w:tc>
        <w:tc>
          <w:tcPr>
            <w:tcW w:w="411" w:type="pct"/>
            <w:shd w:val="clear" w:color="auto" w:fill="F2F2F2"/>
            <w:hideMark/>
          </w:tcPr>
          <w:p w14:paraId="0EF29564" w14:textId="77777777" w:rsidR="00395D01" w:rsidRPr="00912996" w:rsidRDefault="00395D01" w:rsidP="00292396">
            <w:pPr>
              <w:rPr>
                <w:rFonts w:ascii="Calibri" w:hAnsi="Calibri"/>
                <w:bCs/>
                <w:lang w:eastAsia="ja-JP"/>
              </w:rPr>
            </w:pPr>
            <w:r w:rsidRPr="007A1590">
              <w:rPr>
                <w:rFonts w:ascii="Calibri" w:hAnsi="Calibri"/>
                <w:bCs/>
                <w:lang w:eastAsia="ja-JP"/>
              </w:rPr>
              <w:t>1,753,290</w:t>
            </w:r>
          </w:p>
        </w:tc>
        <w:tc>
          <w:tcPr>
            <w:tcW w:w="347" w:type="pct"/>
            <w:shd w:val="clear" w:color="auto" w:fill="F2F2F2"/>
            <w:hideMark/>
          </w:tcPr>
          <w:p w14:paraId="0B59D89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0D73310" w14:textId="77777777" w:rsidR="00395D01" w:rsidRPr="00912996" w:rsidRDefault="00395D01" w:rsidP="00292396">
            <w:pPr>
              <w:rPr>
                <w:rFonts w:ascii="Calibri" w:hAnsi="Calibri"/>
                <w:bCs/>
                <w:lang w:eastAsia="ja-JP"/>
              </w:rPr>
            </w:pPr>
            <w:r w:rsidRPr="007A1590">
              <w:rPr>
                <w:rFonts w:ascii="Calibri" w:hAnsi="Calibri"/>
                <w:bCs/>
                <w:lang w:eastAsia="ja-JP"/>
              </w:rPr>
              <w:t>Bugetul local</w:t>
            </w:r>
          </w:p>
        </w:tc>
        <w:tc>
          <w:tcPr>
            <w:tcW w:w="433" w:type="pct"/>
            <w:shd w:val="clear" w:color="auto" w:fill="F2F2F2"/>
            <w:hideMark/>
          </w:tcPr>
          <w:p w14:paraId="2ACE993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2D9D4B6"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C4FDA76" w14:textId="77777777" w:rsidTr="00E16711">
        <w:trPr>
          <w:trHeight w:val="792"/>
        </w:trPr>
        <w:tc>
          <w:tcPr>
            <w:tcW w:w="205" w:type="pct"/>
            <w:shd w:val="clear" w:color="auto" w:fill="F2F2F2"/>
            <w:noWrap/>
            <w:hideMark/>
          </w:tcPr>
          <w:p w14:paraId="7868B9FB" w14:textId="77777777" w:rsidR="00395D01" w:rsidRPr="00912996" w:rsidRDefault="00395D01" w:rsidP="00292396">
            <w:pPr>
              <w:rPr>
                <w:rFonts w:ascii="Calibri" w:hAnsi="Calibri"/>
                <w:bCs/>
                <w:lang w:eastAsia="ja-JP"/>
              </w:rPr>
            </w:pPr>
            <w:r w:rsidRPr="00912996">
              <w:rPr>
                <w:rFonts w:ascii="Calibri" w:hAnsi="Calibri"/>
                <w:bCs/>
                <w:lang w:eastAsia="ja-JP"/>
              </w:rPr>
              <w:t>10</w:t>
            </w:r>
            <w:r>
              <w:rPr>
                <w:rFonts w:ascii="Calibri" w:hAnsi="Calibri"/>
                <w:bCs/>
                <w:lang w:eastAsia="ja-JP"/>
              </w:rPr>
              <w:t>4</w:t>
            </w:r>
          </w:p>
        </w:tc>
        <w:tc>
          <w:tcPr>
            <w:tcW w:w="1018" w:type="pct"/>
            <w:gridSpan w:val="2"/>
            <w:shd w:val="clear" w:color="auto" w:fill="F2F2F2"/>
            <w:hideMark/>
          </w:tcPr>
          <w:p w14:paraId="64B3DC6D" w14:textId="77777777" w:rsidR="00395D01" w:rsidRPr="00912996" w:rsidRDefault="00395D01" w:rsidP="00292396">
            <w:pPr>
              <w:rPr>
                <w:rFonts w:ascii="Calibri" w:hAnsi="Calibri"/>
                <w:bCs/>
                <w:lang w:eastAsia="ja-JP"/>
              </w:rPr>
            </w:pPr>
            <w:r w:rsidRPr="007A1590">
              <w:rPr>
                <w:rFonts w:ascii="Calibri" w:hAnsi="Calibri"/>
                <w:bCs/>
                <w:lang w:eastAsia="ja-JP"/>
              </w:rPr>
              <w:t>Modernizare corp C1 (sală sport) la Colegiul Naţional "Spiru Haret"</w:t>
            </w:r>
          </w:p>
        </w:tc>
        <w:tc>
          <w:tcPr>
            <w:tcW w:w="640" w:type="pct"/>
            <w:shd w:val="clear" w:color="auto" w:fill="F2F2F2"/>
            <w:hideMark/>
          </w:tcPr>
          <w:p w14:paraId="631C206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91320D3" w14:textId="77777777" w:rsidR="00395D01" w:rsidRPr="00912996" w:rsidRDefault="00395D01" w:rsidP="00292396">
            <w:pPr>
              <w:rPr>
                <w:rFonts w:ascii="Calibri" w:hAnsi="Calibri"/>
                <w:bCs/>
                <w:lang w:eastAsia="ja-JP"/>
              </w:rPr>
            </w:pPr>
            <w:r w:rsidRPr="007A1590">
              <w:rPr>
                <w:rFonts w:ascii="Calibri" w:hAnsi="Calibri"/>
                <w:bCs/>
                <w:lang w:eastAsia="ja-JP"/>
              </w:rPr>
              <w:t>În implementare</w:t>
            </w:r>
          </w:p>
        </w:tc>
        <w:tc>
          <w:tcPr>
            <w:tcW w:w="473" w:type="pct"/>
            <w:shd w:val="clear" w:color="auto" w:fill="F2F2F2"/>
            <w:hideMark/>
          </w:tcPr>
          <w:p w14:paraId="7DDF1497" w14:textId="77777777" w:rsidR="00395D01" w:rsidRPr="00912996" w:rsidRDefault="00395D01" w:rsidP="00292396">
            <w:pPr>
              <w:rPr>
                <w:rFonts w:ascii="Calibri" w:hAnsi="Calibri"/>
                <w:bCs/>
                <w:lang w:eastAsia="ja-JP"/>
              </w:rPr>
            </w:pPr>
            <w:r w:rsidRPr="007A1590">
              <w:rPr>
                <w:rFonts w:ascii="Calibri" w:hAnsi="Calibri"/>
                <w:bCs/>
                <w:lang w:eastAsia="ja-JP"/>
              </w:rPr>
              <w:t>4,630,377</w:t>
            </w:r>
          </w:p>
        </w:tc>
        <w:tc>
          <w:tcPr>
            <w:tcW w:w="411" w:type="pct"/>
            <w:shd w:val="clear" w:color="auto" w:fill="F2F2F2"/>
            <w:hideMark/>
          </w:tcPr>
          <w:p w14:paraId="7225F22B" w14:textId="77777777" w:rsidR="00395D01" w:rsidRPr="00912996" w:rsidRDefault="00395D01" w:rsidP="00292396">
            <w:pPr>
              <w:rPr>
                <w:rFonts w:ascii="Calibri" w:hAnsi="Calibri"/>
                <w:bCs/>
                <w:lang w:eastAsia="ja-JP"/>
              </w:rPr>
            </w:pPr>
            <w:r w:rsidRPr="007A1590">
              <w:rPr>
                <w:rFonts w:ascii="Calibri" w:hAnsi="Calibri"/>
                <w:bCs/>
                <w:lang w:eastAsia="ja-JP"/>
              </w:rPr>
              <w:t>944,975</w:t>
            </w:r>
          </w:p>
        </w:tc>
        <w:tc>
          <w:tcPr>
            <w:tcW w:w="347" w:type="pct"/>
            <w:shd w:val="clear" w:color="auto" w:fill="F2F2F2"/>
            <w:hideMark/>
          </w:tcPr>
          <w:p w14:paraId="34C84BA4"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30A9B56" w14:textId="77777777" w:rsidR="00395D01" w:rsidRPr="00912996" w:rsidRDefault="00395D01" w:rsidP="00292396">
            <w:pPr>
              <w:rPr>
                <w:rFonts w:ascii="Calibri" w:hAnsi="Calibri"/>
                <w:bCs/>
                <w:lang w:eastAsia="ja-JP"/>
              </w:rPr>
            </w:pPr>
            <w:r w:rsidRPr="007A1590">
              <w:rPr>
                <w:rFonts w:ascii="Calibri" w:hAnsi="Calibri"/>
                <w:bCs/>
                <w:lang w:eastAsia="ja-JP"/>
              </w:rPr>
              <w:t>Bugetul local</w:t>
            </w:r>
          </w:p>
        </w:tc>
        <w:tc>
          <w:tcPr>
            <w:tcW w:w="433" w:type="pct"/>
            <w:shd w:val="clear" w:color="auto" w:fill="F2F2F2"/>
            <w:hideMark/>
          </w:tcPr>
          <w:p w14:paraId="48F5F40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E9F9CD2"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BB4570E" w14:textId="77777777" w:rsidTr="00E16711">
        <w:trPr>
          <w:trHeight w:val="792"/>
        </w:trPr>
        <w:tc>
          <w:tcPr>
            <w:tcW w:w="205" w:type="pct"/>
            <w:shd w:val="clear" w:color="auto" w:fill="F2F2F2"/>
            <w:noWrap/>
            <w:hideMark/>
          </w:tcPr>
          <w:p w14:paraId="4E7CC738" w14:textId="77777777" w:rsidR="00395D01" w:rsidRPr="00912996" w:rsidRDefault="00395D01" w:rsidP="00292396">
            <w:pPr>
              <w:rPr>
                <w:rFonts w:ascii="Calibri" w:hAnsi="Calibri"/>
                <w:bCs/>
                <w:lang w:eastAsia="ja-JP"/>
              </w:rPr>
            </w:pPr>
            <w:r w:rsidRPr="00912996">
              <w:rPr>
                <w:rFonts w:ascii="Calibri" w:hAnsi="Calibri"/>
                <w:bCs/>
                <w:lang w:eastAsia="ja-JP"/>
              </w:rPr>
              <w:t>10</w:t>
            </w:r>
            <w:r>
              <w:rPr>
                <w:rFonts w:ascii="Calibri" w:hAnsi="Calibri"/>
                <w:bCs/>
                <w:lang w:eastAsia="ja-JP"/>
              </w:rPr>
              <w:t>5</w:t>
            </w:r>
          </w:p>
        </w:tc>
        <w:tc>
          <w:tcPr>
            <w:tcW w:w="1018" w:type="pct"/>
            <w:gridSpan w:val="2"/>
            <w:shd w:val="clear" w:color="auto" w:fill="F2F2F2"/>
            <w:hideMark/>
          </w:tcPr>
          <w:p w14:paraId="23F38DFB" w14:textId="77777777" w:rsidR="00395D01" w:rsidRPr="00912996" w:rsidRDefault="00395D01" w:rsidP="00292396">
            <w:pPr>
              <w:rPr>
                <w:rFonts w:ascii="Calibri" w:hAnsi="Calibri"/>
                <w:bCs/>
                <w:lang w:eastAsia="ja-JP"/>
              </w:rPr>
            </w:pPr>
            <w:r w:rsidRPr="00912996">
              <w:rPr>
                <w:rFonts w:ascii="Calibri" w:hAnsi="Calibri"/>
                <w:bCs/>
                <w:lang w:eastAsia="ja-JP"/>
              </w:rPr>
              <w:t>Modernizare, Colegiul Național ''Mihai  Viteazul''  - liceu</w:t>
            </w:r>
          </w:p>
        </w:tc>
        <w:tc>
          <w:tcPr>
            <w:tcW w:w="640" w:type="pct"/>
            <w:shd w:val="clear" w:color="auto" w:fill="F2F2F2"/>
            <w:hideMark/>
          </w:tcPr>
          <w:p w14:paraId="519A9978"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2FE6EC8"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DALI</w:t>
            </w:r>
          </w:p>
        </w:tc>
        <w:tc>
          <w:tcPr>
            <w:tcW w:w="473" w:type="pct"/>
            <w:shd w:val="clear" w:color="auto" w:fill="F2F2F2"/>
            <w:hideMark/>
          </w:tcPr>
          <w:p w14:paraId="65ECAE7E" w14:textId="77777777" w:rsidR="00395D01" w:rsidRPr="00912996" w:rsidRDefault="00395D01" w:rsidP="00292396">
            <w:pPr>
              <w:rPr>
                <w:rFonts w:ascii="Calibri" w:hAnsi="Calibri"/>
                <w:bCs/>
                <w:lang w:eastAsia="ja-JP"/>
              </w:rPr>
            </w:pPr>
            <w:r w:rsidRPr="00912996">
              <w:rPr>
                <w:rFonts w:ascii="Calibri" w:hAnsi="Calibri"/>
                <w:bCs/>
                <w:lang w:eastAsia="ja-JP"/>
              </w:rPr>
              <w:t>36,750,000</w:t>
            </w:r>
          </w:p>
        </w:tc>
        <w:tc>
          <w:tcPr>
            <w:tcW w:w="411" w:type="pct"/>
            <w:shd w:val="clear" w:color="auto" w:fill="F2F2F2"/>
            <w:hideMark/>
          </w:tcPr>
          <w:p w14:paraId="43EF0EAF" w14:textId="77777777" w:rsidR="00395D01" w:rsidRPr="00912996" w:rsidRDefault="00395D01" w:rsidP="00292396">
            <w:pPr>
              <w:rPr>
                <w:rFonts w:ascii="Calibri" w:hAnsi="Calibri"/>
                <w:bCs/>
                <w:lang w:eastAsia="ja-JP"/>
              </w:rPr>
            </w:pPr>
            <w:r w:rsidRPr="00912996">
              <w:rPr>
                <w:rFonts w:ascii="Calibri" w:hAnsi="Calibri"/>
                <w:bCs/>
                <w:lang w:eastAsia="ja-JP"/>
              </w:rPr>
              <w:t>7,500,000</w:t>
            </w:r>
          </w:p>
        </w:tc>
        <w:tc>
          <w:tcPr>
            <w:tcW w:w="347" w:type="pct"/>
            <w:shd w:val="clear" w:color="auto" w:fill="F2F2F2"/>
            <w:hideMark/>
          </w:tcPr>
          <w:p w14:paraId="4513338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CACA7B9"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56AB2A5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F84260A"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0676986" w14:textId="77777777" w:rsidTr="00E16711">
        <w:trPr>
          <w:trHeight w:val="792"/>
        </w:trPr>
        <w:tc>
          <w:tcPr>
            <w:tcW w:w="205" w:type="pct"/>
            <w:shd w:val="clear" w:color="auto" w:fill="F2F2F2"/>
            <w:noWrap/>
            <w:hideMark/>
          </w:tcPr>
          <w:p w14:paraId="207C6CA9" w14:textId="77777777" w:rsidR="00395D01" w:rsidRPr="00912996" w:rsidRDefault="00395D01" w:rsidP="00292396">
            <w:pPr>
              <w:rPr>
                <w:rFonts w:ascii="Calibri" w:hAnsi="Calibri"/>
                <w:bCs/>
                <w:lang w:eastAsia="ja-JP"/>
              </w:rPr>
            </w:pPr>
            <w:r w:rsidRPr="00912996">
              <w:rPr>
                <w:rFonts w:ascii="Calibri" w:hAnsi="Calibri"/>
                <w:bCs/>
                <w:lang w:eastAsia="ja-JP"/>
              </w:rPr>
              <w:t>10</w:t>
            </w:r>
            <w:r>
              <w:rPr>
                <w:rFonts w:ascii="Calibri" w:hAnsi="Calibri"/>
                <w:bCs/>
                <w:lang w:eastAsia="ja-JP"/>
              </w:rPr>
              <w:t>6</w:t>
            </w:r>
          </w:p>
        </w:tc>
        <w:tc>
          <w:tcPr>
            <w:tcW w:w="1018" w:type="pct"/>
            <w:gridSpan w:val="2"/>
            <w:shd w:val="clear" w:color="auto" w:fill="F2F2F2"/>
            <w:hideMark/>
          </w:tcPr>
          <w:p w14:paraId="60614830" w14:textId="77777777" w:rsidR="00395D01" w:rsidRPr="00912996" w:rsidRDefault="00395D01" w:rsidP="00292396">
            <w:pPr>
              <w:rPr>
                <w:rFonts w:ascii="Calibri" w:hAnsi="Calibri"/>
                <w:bCs/>
                <w:lang w:eastAsia="ja-JP"/>
              </w:rPr>
            </w:pPr>
            <w:r w:rsidRPr="00912996">
              <w:rPr>
                <w:rFonts w:ascii="Calibri" w:hAnsi="Calibri"/>
                <w:bCs/>
                <w:lang w:eastAsia="ja-JP"/>
              </w:rPr>
              <w:t>Modernizare, Liceul Tehnologic Special ''Regina Elisabeta''  - corpuri școală, corpuri internat</w:t>
            </w:r>
          </w:p>
        </w:tc>
        <w:tc>
          <w:tcPr>
            <w:tcW w:w="640" w:type="pct"/>
            <w:shd w:val="clear" w:color="auto" w:fill="F2F2F2"/>
            <w:hideMark/>
          </w:tcPr>
          <w:p w14:paraId="0F1B4D8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25790F34"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3049005A" w14:textId="77777777" w:rsidR="00395D01" w:rsidRPr="00912996" w:rsidRDefault="00395D01" w:rsidP="00292396">
            <w:pPr>
              <w:rPr>
                <w:rFonts w:ascii="Calibri" w:hAnsi="Calibri"/>
                <w:bCs/>
                <w:lang w:eastAsia="ja-JP"/>
              </w:rPr>
            </w:pPr>
            <w:r w:rsidRPr="00912996">
              <w:rPr>
                <w:rFonts w:ascii="Calibri" w:hAnsi="Calibri"/>
                <w:bCs/>
                <w:lang w:eastAsia="ja-JP"/>
              </w:rPr>
              <w:t>44,100,000</w:t>
            </w:r>
          </w:p>
        </w:tc>
        <w:tc>
          <w:tcPr>
            <w:tcW w:w="411" w:type="pct"/>
            <w:shd w:val="clear" w:color="auto" w:fill="F2F2F2"/>
            <w:hideMark/>
          </w:tcPr>
          <w:p w14:paraId="7B9F5AF4" w14:textId="77777777" w:rsidR="00395D01" w:rsidRPr="00912996" w:rsidRDefault="00395D01" w:rsidP="00292396">
            <w:pPr>
              <w:rPr>
                <w:rFonts w:ascii="Calibri" w:hAnsi="Calibri"/>
                <w:bCs/>
                <w:lang w:eastAsia="ja-JP"/>
              </w:rPr>
            </w:pPr>
            <w:r w:rsidRPr="00912996">
              <w:rPr>
                <w:rFonts w:ascii="Calibri" w:hAnsi="Calibri"/>
                <w:bCs/>
                <w:lang w:eastAsia="ja-JP"/>
              </w:rPr>
              <w:t>9,000,000</w:t>
            </w:r>
          </w:p>
        </w:tc>
        <w:tc>
          <w:tcPr>
            <w:tcW w:w="347" w:type="pct"/>
            <w:shd w:val="clear" w:color="auto" w:fill="F2F2F2"/>
            <w:hideMark/>
          </w:tcPr>
          <w:p w14:paraId="2B712FD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0440B11"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3D69501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C332036"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8415715" w14:textId="77777777" w:rsidTr="00E16711">
        <w:trPr>
          <w:trHeight w:val="792"/>
        </w:trPr>
        <w:tc>
          <w:tcPr>
            <w:tcW w:w="205" w:type="pct"/>
            <w:shd w:val="clear" w:color="auto" w:fill="F2F2F2"/>
            <w:noWrap/>
            <w:hideMark/>
          </w:tcPr>
          <w:p w14:paraId="3A47EC1B"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07</w:t>
            </w:r>
          </w:p>
        </w:tc>
        <w:tc>
          <w:tcPr>
            <w:tcW w:w="1018" w:type="pct"/>
            <w:gridSpan w:val="2"/>
            <w:shd w:val="clear" w:color="auto" w:fill="F2F2F2"/>
            <w:hideMark/>
          </w:tcPr>
          <w:p w14:paraId="7439AB03" w14:textId="77777777" w:rsidR="00395D01" w:rsidRPr="00912996" w:rsidRDefault="00395D01" w:rsidP="00292396">
            <w:pPr>
              <w:rPr>
                <w:rFonts w:ascii="Calibri" w:hAnsi="Calibri"/>
                <w:bCs/>
                <w:lang w:eastAsia="ja-JP"/>
              </w:rPr>
            </w:pPr>
            <w:r w:rsidRPr="00912996">
              <w:rPr>
                <w:rFonts w:ascii="Calibri" w:hAnsi="Calibri"/>
                <w:bCs/>
                <w:lang w:eastAsia="ja-JP"/>
              </w:rPr>
              <w:t>Modernizare, Liceul Teoretic  ''Traian''   - clădire liceu corpuri C1+C3+C4</w:t>
            </w:r>
          </w:p>
        </w:tc>
        <w:tc>
          <w:tcPr>
            <w:tcW w:w="640" w:type="pct"/>
            <w:shd w:val="clear" w:color="auto" w:fill="F2F2F2"/>
            <w:hideMark/>
          </w:tcPr>
          <w:p w14:paraId="63627ECF"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4A7BA9E"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41AF1D0F" w14:textId="77777777" w:rsidR="00395D01" w:rsidRPr="00912996" w:rsidRDefault="00395D01" w:rsidP="00292396">
            <w:pPr>
              <w:rPr>
                <w:rFonts w:ascii="Calibri" w:hAnsi="Calibri"/>
                <w:bCs/>
                <w:lang w:eastAsia="ja-JP"/>
              </w:rPr>
            </w:pPr>
            <w:r w:rsidRPr="007A1590">
              <w:rPr>
                <w:rFonts w:ascii="Calibri" w:hAnsi="Calibri"/>
                <w:bCs/>
                <w:lang w:eastAsia="ja-JP"/>
              </w:rPr>
              <w:t>26,120,863</w:t>
            </w:r>
          </w:p>
        </w:tc>
        <w:tc>
          <w:tcPr>
            <w:tcW w:w="411" w:type="pct"/>
            <w:shd w:val="clear" w:color="auto" w:fill="F2F2F2"/>
            <w:hideMark/>
          </w:tcPr>
          <w:p w14:paraId="75FAA43C" w14:textId="77777777" w:rsidR="00395D01" w:rsidRPr="00912996" w:rsidRDefault="00395D01" w:rsidP="00292396">
            <w:pPr>
              <w:rPr>
                <w:rFonts w:ascii="Calibri" w:hAnsi="Calibri"/>
                <w:bCs/>
                <w:lang w:eastAsia="ja-JP"/>
              </w:rPr>
            </w:pPr>
            <w:r w:rsidRPr="007A1590">
              <w:rPr>
                <w:rFonts w:ascii="Calibri" w:hAnsi="Calibri"/>
                <w:bCs/>
                <w:lang w:eastAsia="ja-JP"/>
              </w:rPr>
              <w:t>5,330,788</w:t>
            </w:r>
          </w:p>
        </w:tc>
        <w:tc>
          <w:tcPr>
            <w:tcW w:w="347" w:type="pct"/>
            <w:shd w:val="clear" w:color="auto" w:fill="F2F2F2"/>
            <w:hideMark/>
          </w:tcPr>
          <w:p w14:paraId="2B7B7F3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BCB5C22"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039A5C5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3D472B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663A16A" w14:textId="77777777" w:rsidTr="00E16711">
        <w:trPr>
          <w:trHeight w:val="792"/>
        </w:trPr>
        <w:tc>
          <w:tcPr>
            <w:tcW w:w="205" w:type="pct"/>
            <w:shd w:val="clear" w:color="auto" w:fill="F2F2F2"/>
            <w:noWrap/>
            <w:hideMark/>
          </w:tcPr>
          <w:p w14:paraId="1DB6857E"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08</w:t>
            </w:r>
          </w:p>
        </w:tc>
        <w:tc>
          <w:tcPr>
            <w:tcW w:w="1018" w:type="pct"/>
            <w:gridSpan w:val="2"/>
            <w:shd w:val="clear" w:color="auto" w:fill="F2F2F2"/>
            <w:hideMark/>
          </w:tcPr>
          <w:p w14:paraId="7E2BE379" w14:textId="77777777" w:rsidR="00395D01" w:rsidRPr="00912996" w:rsidRDefault="00395D01" w:rsidP="00292396">
            <w:pPr>
              <w:rPr>
                <w:rFonts w:ascii="Calibri" w:hAnsi="Calibri"/>
                <w:bCs/>
                <w:lang w:eastAsia="ja-JP"/>
              </w:rPr>
            </w:pPr>
            <w:r w:rsidRPr="00912996">
              <w:rPr>
                <w:rFonts w:ascii="Calibri" w:hAnsi="Calibri"/>
                <w:bCs/>
                <w:lang w:eastAsia="ja-JP"/>
              </w:rPr>
              <w:t>Modernizare, Sc. Gimnazială Spec. nr. 1  - imobil școală</w:t>
            </w:r>
          </w:p>
        </w:tc>
        <w:tc>
          <w:tcPr>
            <w:tcW w:w="640" w:type="pct"/>
            <w:shd w:val="clear" w:color="auto" w:fill="F2F2F2"/>
            <w:hideMark/>
          </w:tcPr>
          <w:p w14:paraId="74C29BB4"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8DC473E"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65A6034B" w14:textId="77777777" w:rsidR="00395D01" w:rsidRPr="00912996" w:rsidRDefault="00395D01" w:rsidP="00292396">
            <w:pPr>
              <w:rPr>
                <w:rFonts w:ascii="Calibri" w:hAnsi="Calibri"/>
                <w:bCs/>
                <w:lang w:eastAsia="ja-JP"/>
              </w:rPr>
            </w:pPr>
            <w:r w:rsidRPr="00912996">
              <w:rPr>
                <w:rFonts w:ascii="Calibri" w:hAnsi="Calibri"/>
                <w:bCs/>
                <w:lang w:eastAsia="ja-JP"/>
              </w:rPr>
              <w:t>22,050,000</w:t>
            </w:r>
          </w:p>
        </w:tc>
        <w:tc>
          <w:tcPr>
            <w:tcW w:w="411" w:type="pct"/>
            <w:shd w:val="clear" w:color="auto" w:fill="F2F2F2"/>
            <w:hideMark/>
          </w:tcPr>
          <w:p w14:paraId="2CD9320F" w14:textId="77777777" w:rsidR="00395D01" w:rsidRPr="00912996" w:rsidRDefault="00395D01" w:rsidP="00292396">
            <w:pPr>
              <w:rPr>
                <w:rFonts w:ascii="Calibri" w:hAnsi="Calibri"/>
                <w:bCs/>
                <w:lang w:eastAsia="ja-JP"/>
              </w:rPr>
            </w:pPr>
            <w:r w:rsidRPr="00912996">
              <w:rPr>
                <w:rFonts w:ascii="Calibri" w:hAnsi="Calibri"/>
                <w:bCs/>
                <w:lang w:eastAsia="ja-JP"/>
              </w:rPr>
              <w:t>4,500,000</w:t>
            </w:r>
          </w:p>
        </w:tc>
        <w:tc>
          <w:tcPr>
            <w:tcW w:w="347" w:type="pct"/>
            <w:shd w:val="clear" w:color="auto" w:fill="F2F2F2"/>
            <w:hideMark/>
          </w:tcPr>
          <w:p w14:paraId="23622CD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85DE65B"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155AECC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C3A5F3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D3B836C" w14:textId="77777777" w:rsidTr="00E16711">
        <w:trPr>
          <w:trHeight w:val="792"/>
        </w:trPr>
        <w:tc>
          <w:tcPr>
            <w:tcW w:w="205" w:type="pct"/>
            <w:shd w:val="clear" w:color="auto" w:fill="F2F2F2"/>
            <w:noWrap/>
            <w:hideMark/>
          </w:tcPr>
          <w:p w14:paraId="77343094"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09</w:t>
            </w:r>
          </w:p>
        </w:tc>
        <w:tc>
          <w:tcPr>
            <w:tcW w:w="1018" w:type="pct"/>
            <w:gridSpan w:val="2"/>
            <w:shd w:val="clear" w:color="auto" w:fill="F2F2F2"/>
            <w:hideMark/>
          </w:tcPr>
          <w:p w14:paraId="28388C23" w14:textId="77777777" w:rsidR="00395D01" w:rsidRPr="00912996" w:rsidRDefault="00395D01" w:rsidP="00292396">
            <w:pPr>
              <w:rPr>
                <w:rFonts w:ascii="Calibri" w:hAnsi="Calibri"/>
                <w:bCs/>
                <w:lang w:eastAsia="ja-JP"/>
              </w:rPr>
            </w:pPr>
            <w:r w:rsidRPr="00912996">
              <w:rPr>
                <w:rFonts w:ascii="Calibri" w:hAnsi="Calibri"/>
                <w:bCs/>
                <w:lang w:eastAsia="ja-JP"/>
              </w:rPr>
              <w:t>Modernizare, Sc. Gimnazială Spec. nr. 2  - imobil școală</w:t>
            </w:r>
          </w:p>
        </w:tc>
        <w:tc>
          <w:tcPr>
            <w:tcW w:w="640" w:type="pct"/>
            <w:shd w:val="clear" w:color="auto" w:fill="F2F2F2"/>
            <w:hideMark/>
          </w:tcPr>
          <w:p w14:paraId="1C64E39F"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57D1A7C"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0B6DEB14" w14:textId="77777777" w:rsidR="00395D01" w:rsidRPr="00912996" w:rsidRDefault="00395D01" w:rsidP="00292396">
            <w:pPr>
              <w:rPr>
                <w:rFonts w:ascii="Calibri" w:hAnsi="Calibri"/>
                <w:bCs/>
                <w:lang w:eastAsia="ja-JP"/>
              </w:rPr>
            </w:pPr>
            <w:r w:rsidRPr="00912996">
              <w:rPr>
                <w:rFonts w:ascii="Calibri" w:hAnsi="Calibri"/>
                <w:bCs/>
                <w:lang w:eastAsia="ja-JP"/>
              </w:rPr>
              <w:t>13,720,000</w:t>
            </w:r>
          </w:p>
        </w:tc>
        <w:tc>
          <w:tcPr>
            <w:tcW w:w="411" w:type="pct"/>
            <w:shd w:val="clear" w:color="auto" w:fill="F2F2F2"/>
            <w:hideMark/>
          </w:tcPr>
          <w:p w14:paraId="12E0248D" w14:textId="77777777" w:rsidR="00395D01" w:rsidRPr="00912996" w:rsidRDefault="00395D01" w:rsidP="00292396">
            <w:pPr>
              <w:rPr>
                <w:rFonts w:ascii="Calibri" w:hAnsi="Calibri"/>
                <w:bCs/>
                <w:lang w:eastAsia="ja-JP"/>
              </w:rPr>
            </w:pPr>
            <w:r w:rsidRPr="00912996">
              <w:rPr>
                <w:rFonts w:ascii="Calibri" w:hAnsi="Calibri"/>
                <w:bCs/>
                <w:lang w:eastAsia="ja-JP"/>
              </w:rPr>
              <w:t>2,800,000</w:t>
            </w:r>
          </w:p>
        </w:tc>
        <w:tc>
          <w:tcPr>
            <w:tcW w:w="347" w:type="pct"/>
            <w:shd w:val="clear" w:color="auto" w:fill="F2F2F2"/>
            <w:hideMark/>
          </w:tcPr>
          <w:p w14:paraId="3BE6F73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6A7939D"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05D6A73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6D9667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C9D8FC6" w14:textId="77777777" w:rsidTr="00E16711">
        <w:trPr>
          <w:trHeight w:val="792"/>
        </w:trPr>
        <w:tc>
          <w:tcPr>
            <w:tcW w:w="205" w:type="pct"/>
            <w:shd w:val="clear" w:color="auto" w:fill="F2F2F2"/>
            <w:noWrap/>
            <w:hideMark/>
          </w:tcPr>
          <w:p w14:paraId="5F2D8A91" w14:textId="77777777" w:rsidR="00395D01" w:rsidRPr="00912996" w:rsidRDefault="00395D01" w:rsidP="00292396">
            <w:pPr>
              <w:rPr>
                <w:rFonts w:ascii="Calibri" w:hAnsi="Calibri"/>
                <w:bCs/>
                <w:lang w:eastAsia="ja-JP"/>
              </w:rPr>
            </w:pPr>
            <w:r w:rsidRPr="00912996">
              <w:rPr>
                <w:rFonts w:ascii="Calibri" w:hAnsi="Calibri"/>
                <w:bCs/>
                <w:lang w:eastAsia="ja-JP"/>
              </w:rPr>
              <w:t>11</w:t>
            </w:r>
            <w:r>
              <w:rPr>
                <w:rFonts w:ascii="Calibri" w:hAnsi="Calibri"/>
                <w:bCs/>
                <w:lang w:eastAsia="ja-JP"/>
              </w:rPr>
              <w:t>0</w:t>
            </w:r>
          </w:p>
        </w:tc>
        <w:tc>
          <w:tcPr>
            <w:tcW w:w="1018" w:type="pct"/>
            <w:gridSpan w:val="2"/>
            <w:shd w:val="clear" w:color="auto" w:fill="F2F2F2"/>
            <w:hideMark/>
          </w:tcPr>
          <w:p w14:paraId="7129CFB0" w14:textId="77777777" w:rsidR="00395D01" w:rsidRPr="00912996" w:rsidRDefault="00395D01" w:rsidP="00292396">
            <w:pPr>
              <w:rPr>
                <w:rFonts w:ascii="Calibri" w:hAnsi="Calibri"/>
                <w:bCs/>
                <w:lang w:eastAsia="ja-JP"/>
              </w:rPr>
            </w:pPr>
            <w:r w:rsidRPr="00912996">
              <w:rPr>
                <w:rFonts w:ascii="Calibri" w:hAnsi="Calibri"/>
                <w:bCs/>
                <w:lang w:eastAsia="ja-JP"/>
              </w:rPr>
              <w:t>Modernizare, Școala Gimnazial</w:t>
            </w:r>
            <w:r>
              <w:rPr>
                <w:rFonts w:ascii="Calibri" w:hAnsi="Calibri"/>
                <w:bCs/>
                <w:lang w:eastAsia="ja-JP"/>
              </w:rPr>
              <w:t>ă</w:t>
            </w:r>
            <w:r w:rsidRPr="00912996">
              <w:rPr>
                <w:rFonts w:ascii="Calibri" w:hAnsi="Calibri"/>
                <w:bCs/>
                <w:lang w:eastAsia="ja-JP"/>
              </w:rPr>
              <w:t xml:space="preserve"> ''Maica Domnului'' - grad., semiinternat și sală sport</w:t>
            </w:r>
          </w:p>
        </w:tc>
        <w:tc>
          <w:tcPr>
            <w:tcW w:w="640" w:type="pct"/>
            <w:shd w:val="clear" w:color="auto" w:fill="F2F2F2"/>
            <w:hideMark/>
          </w:tcPr>
          <w:p w14:paraId="6C118C2B"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783B49ED"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158FF021" w14:textId="77777777" w:rsidR="00395D01" w:rsidRPr="00912996" w:rsidRDefault="00395D01" w:rsidP="00292396">
            <w:pPr>
              <w:rPr>
                <w:rFonts w:ascii="Calibri" w:hAnsi="Calibri"/>
                <w:bCs/>
                <w:lang w:eastAsia="ja-JP"/>
              </w:rPr>
            </w:pPr>
            <w:r w:rsidRPr="00912996">
              <w:rPr>
                <w:rFonts w:ascii="Calibri" w:hAnsi="Calibri"/>
                <w:bCs/>
                <w:lang w:eastAsia="ja-JP"/>
              </w:rPr>
              <w:t>31,850,000</w:t>
            </w:r>
          </w:p>
        </w:tc>
        <w:tc>
          <w:tcPr>
            <w:tcW w:w="411" w:type="pct"/>
            <w:shd w:val="clear" w:color="auto" w:fill="F2F2F2"/>
            <w:hideMark/>
          </w:tcPr>
          <w:p w14:paraId="4DFBCC2C" w14:textId="77777777" w:rsidR="00395D01" w:rsidRPr="00912996" w:rsidRDefault="00395D01" w:rsidP="00292396">
            <w:pPr>
              <w:rPr>
                <w:rFonts w:ascii="Calibri" w:hAnsi="Calibri"/>
                <w:bCs/>
                <w:lang w:eastAsia="ja-JP"/>
              </w:rPr>
            </w:pPr>
            <w:r w:rsidRPr="00912996">
              <w:rPr>
                <w:rFonts w:ascii="Calibri" w:hAnsi="Calibri"/>
                <w:bCs/>
                <w:lang w:eastAsia="ja-JP"/>
              </w:rPr>
              <w:t>6,500,000</w:t>
            </w:r>
          </w:p>
        </w:tc>
        <w:tc>
          <w:tcPr>
            <w:tcW w:w="347" w:type="pct"/>
            <w:shd w:val="clear" w:color="auto" w:fill="F2F2F2"/>
            <w:hideMark/>
          </w:tcPr>
          <w:p w14:paraId="4FD497F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9D5B7DE"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06FB85C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A48241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11C770F" w14:textId="77777777" w:rsidTr="00E16711">
        <w:trPr>
          <w:trHeight w:val="792"/>
        </w:trPr>
        <w:tc>
          <w:tcPr>
            <w:tcW w:w="205" w:type="pct"/>
            <w:shd w:val="clear" w:color="auto" w:fill="F2F2F2"/>
            <w:noWrap/>
            <w:hideMark/>
          </w:tcPr>
          <w:p w14:paraId="03A17DDE" w14:textId="77777777" w:rsidR="00395D01" w:rsidRPr="00912996" w:rsidRDefault="00395D01" w:rsidP="00292396">
            <w:pPr>
              <w:rPr>
                <w:rFonts w:ascii="Calibri" w:hAnsi="Calibri"/>
                <w:bCs/>
                <w:lang w:eastAsia="ja-JP"/>
              </w:rPr>
            </w:pPr>
            <w:r w:rsidRPr="00912996">
              <w:rPr>
                <w:rFonts w:ascii="Calibri" w:hAnsi="Calibri"/>
                <w:bCs/>
                <w:lang w:eastAsia="ja-JP"/>
              </w:rPr>
              <w:t>11</w:t>
            </w:r>
            <w:r>
              <w:rPr>
                <w:rFonts w:ascii="Calibri" w:hAnsi="Calibri"/>
                <w:bCs/>
                <w:lang w:eastAsia="ja-JP"/>
              </w:rPr>
              <w:t>1</w:t>
            </w:r>
          </w:p>
        </w:tc>
        <w:tc>
          <w:tcPr>
            <w:tcW w:w="1018" w:type="pct"/>
            <w:gridSpan w:val="2"/>
            <w:shd w:val="clear" w:color="auto" w:fill="F2F2F2"/>
            <w:hideMark/>
          </w:tcPr>
          <w:p w14:paraId="65666671" w14:textId="77777777" w:rsidR="00395D01" w:rsidRPr="00912996" w:rsidRDefault="00395D01" w:rsidP="00292396">
            <w:pPr>
              <w:rPr>
                <w:rFonts w:ascii="Calibri" w:hAnsi="Calibri"/>
                <w:bCs/>
                <w:lang w:eastAsia="ja-JP"/>
              </w:rPr>
            </w:pPr>
            <w:r w:rsidRPr="00912996">
              <w:rPr>
                <w:rFonts w:ascii="Calibri" w:hAnsi="Calibri"/>
                <w:bCs/>
                <w:lang w:eastAsia="ja-JP"/>
              </w:rPr>
              <w:t>Modernizare, Școala Gimnazială nr. 31 -</w:t>
            </w:r>
            <w:r>
              <w:rPr>
                <w:rFonts w:ascii="Calibri" w:hAnsi="Calibri"/>
                <w:bCs/>
                <w:lang w:eastAsia="ja-JP"/>
              </w:rPr>
              <w:t xml:space="preserve"> </w:t>
            </w:r>
            <w:r w:rsidRPr="00912996">
              <w:rPr>
                <w:rFonts w:ascii="Calibri" w:hAnsi="Calibri"/>
                <w:bCs/>
                <w:lang w:eastAsia="ja-JP"/>
              </w:rPr>
              <w:t>școala corp A și școala corp B</w:t>
            </w:r>
          </w:p>
        </w:tc>
        <w:tc>
          <w:tcPr>
            <w:tcW w:w="640" w:type="pct"/>
            <w:shd w:val="clear" w:color="auto" w:fill="F2F2F2"/>
            <w:hideMark/>
          </w:tcPr>
          <w:p w14:paraId="2474F11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3552CD3D"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44985F9F" w14:textId="77777777" w:rsidR="00395D01" w:rsidRPr="00912996" w:rsidRDefault="00395D01" w:rsidP="00292396">
            <w:pPr>
              <w:rPr>
                <w:rFonts w:ascii="Calibri" w:hAnsi="Calibri"/>
                <w:bCs/>
                <w:lang w:eastAsia="ja-JP"/>
              </w:rPr>
            </w:pPr>
            <w:r w:rsidRPr="00912996">
              <w:rPr>
                <w:rFonts w:ascii="Calibri" w:hAnsi="Calibri"/>
                <w:bCs/>
                <w:lang w:eastAsia="ja-JP"/>
              </w:rPr>
              <w:t>19,005,239</w:t>
            </w:r>
          </w:p>
        </w:tc>
        <w:tc>
          <w:tcPr>
            <w:tcW w:w="411" w:type="pct"/>
            <w:shd w:val="clear" w:color="auto" w:fill="F2F2F2"/>
            <w:hideMark/>
          </w:tcPr>
          <w:p w14:paraId="24993506" w14:textId="77777777" w:rsidR="00395D01" w:rsidRPr="00912996" w:rsidRDefault="00395D01" w:rsidP="00292396">
            <w:pPr>
              <w:rPr>
                <w:rFonts w:ascii="Calibri" w:hAnsi="Calibri"/>
                <w:bCs/>
                <w:lang w:eastAsia="ja-JP"/>
              </w:rPr>
            </w:pPr>
            <w:r w:rsidRPr="00912996">
              <w:rPr>
                <w:rFonts w:ascii="Calibri" w:hAnsi="Calibri"/>
                <w:bCs/>
                <w:lang w:eastAsia="ja-JP"/>
              </w:rPr>
              <w:t>3,878,620</w:t>
            </w:r>
          </w:p>
        </w:tc>
        <w:tc>
          <w:tcPr>
            <w:tcW w:w="347" w:type="pct"/>
            <w:shd w:val="clear" w:color="auto" w:fill="F2F2F2"/>
            <w:hideMark/>
          </w:tcPr>
          <w:p w14:paraId="2493EDFD"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A1DCF56"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44A7FA9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B449531"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2B43A75" w14:textId="77777777" w:rsidTr="00E16711">
        <w:trPr>
          <w:trHeight w:val="792"/>
        </w:trPr>
        <w:tc>
          <w:tcPr>
            <w:tcW w:w="205" w:type="pct"/>
            <w:shd w:val="clear" w:color="auto" w:fill="F2F2F2"/>
            <w:noWrap/>
            <w:hideMark/>
          </w:tcPr>
          <w:p w14:paraId="0C10307A" w14:textId="77777777" w:rsidR="00395D01" w:rsidRPr="00912996" w:rsidRDefault="00395D01" w:rsidP="00292396">
            <w:pPr>
              <w:rPr>
                <w:rFonts w:ascii="Calibri" w:hAnsi="Calibri"/>
                <w:bCs/>
                <w:lang w:eastAsia="ja-JP"/>
              </w:rPr>
            </w:pPr>
            <w:r w:rsidRPr="00912996">
              <w:rPr>
                <w:rFonts w:ascii="Calibri" w:hAnsi="Calibri"/>
                <w:bCs/>
                <w:lang w:eastAsia="ja-JP"/>
              </w:rPr>
              <w:t>11</w:t>
            </w:r>
            <w:r>
              <w:rPr>
                <w:rFonts w:ascii="Calibri" w:hAnsi="Calibri"/>
                <w:bCs/>
                <w:lang w:eastAsia="ja-JP"/>
              </w:rPr>
              <w:t>2</w:t>
            </w:r>
          </w:p>
        </w:tc>
        <w:tc>
          <w:tcPr>
            <w:tcW w:w="1018" w:type="pct"/>
            <w:gridSpan w:val="2"/>
            <w:shd w:val="clear" w:color="auto" w:fill="F2F2F2"/>
            <w:hideMark/>
          </w:tcPr>
          <w:p w14:paraId="64206A5F" w14:textId="77777777" w:rsidR="00395D01" w:rsidRPr="00912996" w:rsidRDefault="00395D01" w:rsidP="00292396">
            <w:pPr>
              <w:rPr>
                <w:rFonts w:ascii="Calibri" w:hAnsi="Calibri"/>
                <w:bCs/>
                <w:lang w:eastAsia="ja-JP"/>
              </w:rPr>
            </w:pPr>
            <w:r w:rsidRPr="00912996">
              <w:rPr>
                <w:rFonts w:ascii="Calibri" w:hAnsi="Calibri"/>
                <w:bCs/>
                <w:lang w:eastAsia="ja-JP"/>
              </w:rPr>
              <w:t>Modernizare, Școala Gimnazială nr. 62 -</w:t>
            </w:r>
            <w:r>
              <w:rPr>
                <w:rFonts w:ascii="Calibri" w:hAnsi="Calibri"/>
                <w:bCs/>
                <w:lang w:eastAsia="ja-JP"/>
              </w:rPr>
              <w:t xml:space="preserve"> </w:t>
            </w:r>
            <w:r w:rsidRPr="00912996">
              <w:rPr>
                <w:rFonts w:ascii="Calibri" w:hAnsi="Calibri"/>
                <w:bCs/>
                <w:lang w:eastAsia="ja-JP"/>
              </w:rPr>
              <w:t>sala sport</w:t>
            </w:r>
          </w:p>
        </w:tc>
        <w:tc>
          <w:tcPr>
            <w:tcW w:w="640" w:type="pct"/>
            <w:shd w:val="clear" w:color="auto" w:fill="F2F2F2"/>
            <w:hideMark/>
          </w:tcPr>
          <w:p w14:paraId="4A9DA53D"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CD8F020"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4980C2BB" w14:textId="77777777" w:rsidR="00395D01" w:rsidRPr="00912996" w:rsidRDefault="00395D01" w:rsidP="00292396">
            <w:pPr>
              <w:rPr>
                <w:rFonts w:ascii="Calibri" w:hAnsi="Calibri"/>
                <w:bCs/>
                <w:lang w:eastAsia="ja-JP"/>
              </w:rPr>
            </w:pPr>
            <w:r w:rsidRPr="00912996">
              <w:rPr>
                <w:rFonts w:ascii="Calibri" w:hAnsi="Calibri"/>
                <w:bCs/>
                <w:lang w:eastAsia="ja-JP"/>
              </w:rPr>
              <w:t>973,823</w:t>
            </w:r>
          </w:p>
        </w:tc>
        <w:tc>
          <w:tcPr>
            <w:tcW w:w="411" w:type="pct"/>
            <w:shd w:val="clear" w:color="auto" w:fill="F2F2F2"/>
            <w:hideMark/>
          </w:tcPr>
          <w:p w14:paraId="6BBB683B" w14:textId="77777777" w:rsidR="00395D01" w:rsidRPr="00912996" w:rsidRDefault="00395D01" w:rsidP="00292396">
            <w:pPr>
              <w:rPr>
                <w:rFonts w:ascii="Calibri" w:hAnsi="Calibri"/>
                <w:bCs/>
                <w:lang w:eastAsia="ja-JP"/>
              </w:rPr>
            </w:pPr>
            <w:r w:rsidRPr="00912996">
              <w:rPr>
                <w:rFonts w:ascii="Calibri" w:hAnsi="Calibri"/>
                <w:bCs/>
                <w:lang w:eastAsia="ja-JP"/>
              </w:rPr>
              <w:t>198,739</w:t>
            </w:r>
          </w:p>
        </w:tc>
        <w:tc>
          <w:tcPr>
            <w:tcW w:w="347" w:type="pct"/>
            <w:shd w:val="clear" w:color="auto" w:fill="F2F2F2"/>
            <w:hideMark/>
          </w:tcPr>
          <w:p w14:paraId="0F9A99A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9050C4F"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11B6037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EB00B7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5BEFE55" w14:textId="77777777" w:rsidTr="00E16711">
        <w:trPr>
          <w:trHeight w:val="620"/>
        </w:trPr>
        <w:tc>
          <w:tcPr>
            <w:tcW w:w="205" w:type="pct"/>
            <w:shd w:val="clear" w:color="auto" w:fill="F2F2F2"/>
            <w:noWrap/>
            <w:hideMark/>
          </w:tcPr>
          <w:p w14:paraId="273361C3" w14:textId="77777777" w:rsidR="00395D01" w:rsidRPr="00912996" w:rsidRDefault="00395D01" w:rsidP="00292396">
            <w:pPr>
              <w:rPr>
                <w:rFonts w:ascii="Calibri" w:hAnsi="Calibri"/>
                <w:bCs/>
                <w:lang w:eastAsia="ja-JP"/>
              </w:rPr>
            </w:pPr>
            <w:r w:rsidRPr="00912996">
              <w:rPr>
                <w:rFonts w:ascii="Calibri" w:hAnsi="Calibri"/>
                <w:bCs/>
                <w:lang w:eastAsia="ja-JP"/>
              </w:rPr>
              <w:t>11</w:t>
            </w:r>
            <w:r>
              <w:rPr>
                <w:rFonts w:ascii="Calibri" w:hAnsi="Calibri"/>
                <w:bCs/>
                <w:lang w:eastAsia="ja-JP"/>
              </w:rPr>
              <w:t>3</w:t>
            </w:r>
          </w:p>
        </w:tc>
        <w:tc>
          <w:tcPr>
            <w:tcW w:w="1018" w:type="pct"/>
            <w:gridSpan w:val="2"/>
            <w:shd w:val="clear" w:color="auto" w:fill="F2F2F2"/>
            <w:hideMark/>
          </w:tcPr>
          <w:p w14:paraId="793A45B6" w14:textId="77777777" w:rsidR="00395D01" w:rsidRPr="00912996" w:rsidRDefault="00395D01" w:rsidP="00292396">
            <w:pPr>
              <w:rPr>
                <w:rFonts w:ascii="Calibri" w:hAnsi="Calibri"/>
                <w:bCs/>
                <w:lang w:eastAsia="ja-JP"/>
              </w:rPr>
            </w:pPr>
            <w:r w:rsidRPr="00912996">
              <w:rPr>
                <w:rFonts w:ascii="Calibri" w:hAnsi="Calibri"/>
                <w:bCs/>
                <w:lang w:eastAsia="ja-JP"/>
              </w:rPr>
              <w:t>Modernizare, Școala Gimnazială speciala pt. Deficienți de Vedere  - imobil școală</w:t>
            </w:r>
          </w:p>
        </w:tc>
        <w:tc>
          <w:tcPr>
            <w:tcW w:w="640" w:type="pct"/>
            <w:shd w:val="clear" w:color="auto" w:fill="F2F2F2"/>
            <w:hideMark/>
          </w:tcPr>
          <w:p w14:paraId="4B914915"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FAD8F1C"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6057EEE6" w14:textId="77777777" w:rsidR="00395D01" w:rsidRPr="00912996" w:rsidRDefault="00395D01" w:rsidP="00292396">
            <w:pPr>
              <w:rPr>
                <w:rFonts w:ascii="Calibri" w:hAnsi="Calibri"/>
                <w:bCs/>
                <w:lang w:eastAsia="ja-JP"/>
              </w:rPr>
            </w:pPr>
            <w:r w:rsidRPr="00912996">
              <w:rPr>
                <w:rFonts w:ascii="Calibri" w:hAnsi="Calibri"/>
                <w:bCs/>
                <w:lang w:eastAsia="ja-JP"/>
              </w:rPr>
              <w:t>36,750,000</w:t>
            </w:r>
          </w:p>
        </w:tc>
        <w:tc>
          <w:tcPr>
            <w:tcW w:w="411" w:type="pct"/>
            <w:shd w:val="clear" w:color="auto" w:fill="F2F2F2"/>
            <w:hideMark/>
          </w:tcPr>
          <w:p w14:paraId="2874E392" w14:textId="77777777" w:rsidR="00395D01" w:rsidRPr="00912996" w:rsidRDefault="00395D01" w:rsidP="00292396">
            <w:pPr>
              <w:rPr>
                <w:rFonts w:ascii="Calibri" w:hAnsi="Calibri"/>
                <w:bCs/>
                <w:lang w:eastAsia="ja-JP"/>
              </w:rPr>
            </w:pPr>
            <w:r w:rsidRPr="00912996">
              <w:rPr>
                <w:rFonts w:ascii="Calibri" w:hAnsi="Calibri"/>
                <w:bCs/>
                <w:lang w:eastAsia="ja-JP"/>
              </w:rPr>
              <w:t>7,500,000</w:t>
            </w:r>
          </w:p>
        </w:tc>
        <w:tc>
          <w:tcPr>
            <w:tcW w:w="347" w:type="pct"/>
            <w:shd w:val="clear" w:color="auto" w:fill="F2F2F2"/>
            <w:hideMark/>
          </w:tcPr>
          <w:p w14:paraId="274B0EBD" w14:textId="77777777" w:rsidR="00395D01" w:rsidRPr="00912996" w:rsidRDefault="00395D01" w:rsidP="00292396">
            <w:pPr>
              <w:rPr>
                <w:rFonts w:ascii="Calibri" w:hAnsi="Calibri"/>
                <w:bCs/>
                <w:lang w:eastAsia="ja-JP"/>
              </w:rPr>
            </w:pPr>
            <w:r w:rsidRPr="00912996">
              <w:rPr>
                <w:rFonts w:ascii="Calibri" w:hAnsi="Calibri"/>
                <w:bCs/>
                <w:lang w:eastAsia="ja-JP"/>
              </w:rPr>
              <w:t>2021-2027</w:t>
            </w:r>
          </w:p>
        </w:tc>
        <w:tc>
          <w:tcPr>
            <w:tcW w:w="484" w:type="pct"/>
            <w:gridSpan w:val="2"/>
            <w:shd w:val="clear" w:color="auto" w:fill="F2F2F2"/>
            <w:hideMark/>
          </w:tcPr>
          <w:p w14:paraId="05813311"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4890D4D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7410DE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07ED0E1" w14:textId="77777777" w:rsidTr="00E16711">
        <w:trPr>
          <w:trHeight w:val="792"/>
        </w:trPr>
        <w:tc>
          <w:tcPr>
            <w:tcW w:w="205" w:type="pct"/>
            <w:shd w:val="clear" w:color="auto" w:fill="F2F2F2"/>
            <w:noWrap/>
            <w:hideMark/>
          </w:tcPr>
          <w:p w14:paraId="5B2FCB55" w14:textId="77777777" w:rsidR="00395D01" w:rsidRPr="00912996" w:rsidRDefault="00395D01" w:rsidP="00292396">
            <w:pPr>
              <w:rPr>
                <w:rFonts w:ascii="Calibri" w:hAnsi="Calibri"/>
                <w:bCs/>
                <w:lang w:eastAsia="ja-JP"/>
              </w:rPr>
            </w:pPr>
            <w:r w:rsidRPr="00912996">
              <w:rPr>
                <w:rFonts w:ascii="Calibri" w:hAnsi="Calibri"/>
                <w:bCs/>
                <w:lang w:eastAsia="ja-JP"/>
              </w:rPr>
              <w:t>11</w:t>
            </w:r>
            <w:r>
              <w:rPr>
                <w:rFonts w:ascii="Calibri" w:hAnsi="Calibri"/>
                <w:bCs/>
                <w:lang w:eastAsia="ja-JP"/>
              </w:rPr>
              <w:t>4</w:t>
            </w:r>
          </w:p>
        </w:tc>
        <w:tc>
          <w:tcPr>
            <w:tcW w:w="1018" w:type="pct"/>
            <w:gridSpan w:val="2"/>
            <w:shd w:val="clear" w:color="auto" w:fill="F2F2F2"/>
            <w:hideMark/>
          </w:tcPr>
          <w:p w14:paraId="53986E85" w14:textId="77777777" w:rsidR="00395D01" w:rsidRPr="00912996" w:rsidRDefault="00395D01" w:rsidP="00292396">
            <w:pPr>
              <w:rPr>
                <w:rFonts w:ascii="Calibri" w:hAnsi="Calibri"/>
                <w:bCs/>
                <w:lang w:eastAsia="ja-JP"/>
              </w:rPr>
            </w:pPr>
            <w:r w:rsidRPr="00912996">
              <w:rPr>
                <w:rFonts w:ascii="Calibri" w:hAnsi="Calibri"/>
                <w:bCs/>
                <w:lang w:eastAsia="ja-JP"/>
              </w:rPr>
              <w:t>Modernizare, Școala Profesional</w:t>
            </w:r>
            <w:r>
              <w:rPr>
                <w:rFonts w:ascii="Calibri" w:hAnsi="Calibri"/>
                <w:bCs/>
                <w:lang w:eastAsia="ja-JP"/>
              </w:rPr>
              <w:t>ă</w:t>
            </w:r>
            <w:r w:rsidRPr="00912996">
              <w:rPr>
                <w:rFonts w:ascii="Calibri" w:hAnsi="Calibri"/>
                <w:bCs/>
                <w:lang w:eastAsia="ja-JP"/>
              </w:rPr>
              <w:t xml:space="preserve">  Special</w:t>
            </w:r>
            <w:r>
              <w:rPr>
                <w:rFonts w:ascii="Calibri" w:hAnsi="Calibri"/>
                <w:bCs/>
                <w:lang w:eastAsia="ja-JP"/>
              </w:rPr>
              <w:t>ă</w:t>
            </w:r>
            <w:r w:rsidRPr="00912996">
              <w:rPr>
                <w:rFonts w:ascii="Calibri" w:hAnsi="Calibri"/>
                <w:bCs/>
                <w:lang w:eastAsia="ja-JP"/>
              </w:rPr>
              <w:t xml:space="preserve"> nr. 2  - corpuri școală și sală sport</w:t>
            </w:r>
          </w:p>
        </w:tc>
        <w:tc>
          <w:tcPr>
            <w:tcW w:w="640" w:type="pct"/>
            <w:shd w:val="clear" w:color="auto" w:fill="F2F2F2"/>
            <w:hideMark/>
          </w:tcPr>
          <w:p w14:paraId="19D4BAB6"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110B9C28"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05725B50" w14:textId="77777777" w:rsidR="00395D01" w:rsidRPr="00912996" w:rsidRDefault="00395D01" w:rsidP="00292396">
            <w:pPr>
              <w:rPr>
                <w:rFonts w:ascii="Calibri" w:hAnsi="Calibri"/>
                <w:bCs/>
                <w:lang w:eastAsia="ja-JP"/>
              </w:rPr>
            </w:pPr>
            <w:r w:rsidRPr="00912996">
              <w:rPr>
                <w:rFonts w:ascii="Calibri" w:hAnsi="Calibri"/>
                <w:bCs/>
                <w:lang w:eastAsia="ja-JP"/>
              </w:rPr>
              <w:t>22,050,000</w:t>
            </w:r>
          </w:p>
        </w:tc>
        <w:tc>
          <w:tcPr>
            <w:tcW w:w="411" w:type="pct"/>
            <w:shd w:val="clear" w:color="auto" w:fill="F2F2F2"/>
            <w:hideMark/>
          </w:tcPr>
          <w:p w14:paraId="0F25C90F" w14:textId="77777777" w:rsidR="00395D01" w:rsidRPr="00912996" w:rsidRDefault="00395D01" w:rsidP="00292396">
            <w:pPr>
              <w:rPr>
                <w:rFonts w:ascii="Calibri" w:hAnsi="Calibri"/>
                <w:bCs/>
                <w:lang w:eastAsia="ja-JP"/>
              </w:rPr>
            </w:pPr>
            <w:r w:rsidRPr="00912996">
              <w:rPr>
                <w:rFonts w:ascii="Calibri" w:hAnsi="Calibri"/>
                <w:bCs/>
                <w:lang w:eastAsia="ja-JP"/>
              </w:rPr>
              <w:t>4,500,000</w:t>
            </w:r>
          </w:p>
        </w:tc>
        <w:tc>
          <w:tcPr>
            <w:tcW w:w="347" w:type="pct"/>
            <w:shd w:val="clear" w:color="auto" w:fill="F2F2F2"/>
            <w:hideMark/>
          </w:tcPr>
          <w:p w14:paraId="379EF26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7C55A56"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1927930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E410C3A"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C140AC1" w14:textId="77777777" w:rsidTr="00E16711">
        <w:trPr>
          <w:trHeight w:val="792"/>
        </w:trPr>
        <w:tc>
          <w:tcPr>
            <w:tcW w:w="205" w:type="pct"/>
            <w:shd w:val="clear" w:color="auto" w:fill="F2F2F2"/>
            <w:noWrap/>
            <w:hideMark/>
          </w:tcPr>
          <w:p w14:paraId="5C203056" w14:textId="77777777" w:rsidR="00395D01" w:rsidRPr="00912996" w:rsidRDefault="00395D01" w:rsidP="00292396">
            <w:pPr>
              <w:rPr>
                <w:rFonts w:ascii="Calibri" w:hAnsi="Calibri"/>
                <w:bCs/>
                <w:lang w:eastAsia="ja-JP"/>
              </w:rPr>
            </w:pPr>
            <w:r w:rsidRPr="00912996">
              <w:rPr>
                <w:rFonts w:ascii="Calibri" w:hAnsi="Calibri"/>
                <w:bCs/>
                <w:lang w:eastAsia="ja-JP"/>
              </w:rPr>
              <w:t>11</w:t>
            </w:r>
            <w:r>
              <w:rPr>
                <w:rFonts w:ascii="Calibri" w:hAnsi="Calibri"/>
                <w:bCs/>
                <w:lang w:eastAsia="ja-JP"/>
              </w:rPr>
              <w:t>5</w:t>
            </w:r>
          </w:p>
        </w:tc>
        <w:tc>
          <w:tcPr>
            <w:tcW w:w="1018" w:type="pct"/>
            <w:gridSpan w:val="2"/>
            <w:shd w:val="clear" w:color="auto" w:fill="F2F2F2"/>
            <w:hideMark/>
          </w:tcPr>
          <w:p w14:paraId="59EB42F6" w14:textId="77777777" w:rsidR="00395D01" w:rsidRPr="00912996" w:rsidRDefault="00395D01" w:rsidP="00292396">
            <w:pPr>
              <w:rPr>
                <w:rFonts w:ascii="Calibri" w:hAnsi="Calibri"/>
                <w:bCs/>
                <w:lang w:eastAsia="ja-JP"/>
              </w:rPr>
            </w:pPr>
            <w:r>
              <w:rPr>
                <w:rFonts w:ascii="Calibri" w:hAnsi="Calibri"/>
                <w:bCs/>
                <w:lang w:eastAsia="ja-JP"/>
              </w:rPr>
              <w:t>M</w:t>
            </w:r>
            <w:r w:rsidRPr="00912996">
              <w:rPr>
                <w:rFonts w:ascii="Calibri" w:hAnsi="Calibri"/>
                <w:bCs/>
                <w:lang w:eastAsia="ja-JP"/>
              </w:rPr>
              <w:t>odernizare, Școala Profesional</w:t>
            </w:r>
            <w:r>
              <w:rPr>
                <w:rFonts w:ascii="Calibri" w:hAnsi="Calibri"/>
                <w:bCs/>
                <w:lang w:eastAsia="ja-JP"/>
              </w:rPr>
              <w:t>ă</w:t>
            </w:r>
            <w:r w:rsidRPr="00912996">
              <w:rPr>
                <w:rFonts w:ascii="Calibri" w:hAnsi="Calibri"/>
                <w:bCs/>
                <w:lang w:eastAsia="ja-JP"/>
              </w:rPr>
              <w:t xml:space="preserve">  Special</w:t>
            </w:r>
            <w:r>
              <w:rPr>
                <w:rFonts w:ascii="Calibri" w:hAnsi="Calibri"/>
                <w:bCs/>
                <w:lang w:eastAsia="ja-JP"/>
              </w:rPr>
              <w:t>ă</w:t>
            </w:r>
            <w:r w:rsidRPr="00912996">
              <w:rPr>
                <w:rFonts w:ascii="Calibri" w:hAnsi="Calibri"/>
                <w:bCs/>
                <w:lang w:eastAsia="ja-JP"/>
              </w:rPr>
              <w:t xml:space="preserve"> nr. 3  - corpuri școală</w:t>
            </w:r>
          </w:p>
        </w:tc>
        <w:tc>
          <w:tcPr>
            <w:tcW w:w="640" w:type="pct"/>
            <w:shd w:val="clear" w:color="auto" w:fill="F2F2F2"/>
            <w:hideMark/>
          </w:tcPr>
          <w:p w14:paraId="3174AA8A"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3BF3B6F"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3A580038" w14:textId="77777777" w:rsidR="00395D01" w:rsidRPr="00912996" w:rsidRDefault="00395D01" w:rsidP="00292396">
            <w:pPr>
              <w:rPr>
                <w:rFonts w:ascii="Calibri" w:hAnsi="Calibri"/>
                <w:bCs/>
                <w:lang w:eastAsia="ja-JP"/>
              </w:rPr>
            </w:pPr>
            <w:r w:rsidRPr="00912996">
              <w:rPr>
                <w:rFonts w:ascii="Calibri" w:hAnsi="Calibri"/>
                <w:bCs/>
                <w:lang w:eastAsia="ja-JP"/>
              </w:rPr>
              <w:t>17,150,000</w:t>
            </w:r>
          </w:p>
        </w:tc>
        <w:tc>
          <w:tcPr>
            <w:tcW w:w="411" w:type="pct"/>
            <w:shd w:val="clear" w:color="auto" w:fill="F2F2F2"/>
            <w:hideMark/>
          </w:tcPr>
          <w:p w14:paraId="5D0D3796" w14:textId="77777777" w:rsidR="00395D01" w:rsidRPr="00912996" w:rsidRDefault="00395D01" w:rsidP="00292396">
            <w:pPr>
              <w:rPr>
                <w:rFonts w:ascii="Calibri" w:hAnsi="Calibri"/>
                <w:bCs/>
                <w:lang w:eastAsia="ja-JP"/>
              </w:rPr>
            </w:pPr>
            <w:r w:rsidRPr="00912996">
              <w:rPr>
                <w:rFonts w:ascii="Calibri" w:hAnsi="Calibri"/>
                <w:bCs/>
                <w:lang w:eastAsia="ja-JP"/>
              </w:rPr>
              <w:t>3,500,000</w:t>
            </w:r>
          </w:p>
        </w:tc>
        <w:tc>
          <w:tcPr>
            <w:tcW w:w="347" w:type="pct"/>
            <w:shd w:val="clear" w:color="auto" w:fill="F2F2F2"/>
            <w:hideMark/>
          </w:tcPr>
          <w:p w14:paraId="5F1A6E2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3FFAC67"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528598A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A3EF39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BA19F53" w14:textId="77777777" w:rsidTr="00E16711">
        <w:trPr>
          <w:trHeight w:val="792"/>
        </w:trPr>
        <w:tc>
          <w:tcPr>
            <w:tcW w:w="205" w:type="pct"/>
            <w:shd w:val="clear" w:color="auto" w:fill="F2F2F2"/>
            <w:noWrap/>
            <w:hideMark/>
          </w:tcPr>
          <w:p w14:paraId="77ED3D3D"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16</w:t>
            </w:r>
          </w:p>
        </w:tc>
        <w:tc>
          <w:tcPr>
            <w:tcW w:w="1018" w:type="pct"/>
            <w:gridSpan w:val="2"/>
            <w:shd w:val="clear" w:color="auto" w:fill="F2F2F2"/>
            <w:hideMark/>
          </w:tcPr>
          <w:p w14:paraId="63535707" w14:textId="77777777" w:rsidR="00395D01" w:rsidRPr="00912996" w:rsidRDefault="00395D01" w:rsidP="00292396">
            <w:pPr>
              <w:rPr>
                <w:rFonts w:ascii="Calibri" w:hAnsi="Calibri"/>
                <w:bCs/>
                <w:lang w:eastAsia="ja-JP"/>
              </w:rPr>
            </w:pPr>
            <w:r w:rsidRPr="007A1590">
              <w:rPr>
                <w:rFonts w:ascii="Calibri" w:hAnsi="Calibri"/>
                <w:bCs/>
                <w:lang w:eastAsia="ja-JP"/>
              </w:rPr>
              <w:t>Reabilitare, modernizare - Școala Gimnazială nr.</w:t>
            </w:r>
            <w:r>
              <w:rPr>
                <w:rFonts w:ascii="Calibri" w:hAnsi="Calibri"/>
                <w:bCs/>
                <w:lang w:eastAsia="ja-JP"/>
              </w:rPr>
              <w:t xml:space="preserve"> </w:t>
            </w:r>
            <w:r w:rsidRPr="007A1590">
              <w:rPr>
                <w:rFonts w:ascii="Calibri" w:hAnsi="Calibri"/>
                <w:bCs/>
                <w:lang w:eastAsia="ja-JP"/>
              </w:rPr>
              <w:t>62 - C1</w:t>
            </w:r>
          </w:p>
        </w:tc>
        <w:tc>
          <w:tcPr>
            <w:tcW w:w="640" w:type="pct"/>
            <w:shd w:val="clear" w:color="auto" w:fill="F2F2F2"/>
            <w:hideMark/>
          </w:tcPr>
          <w:p w14:paraId="0F3E89C7"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D384FC9" w14:textId="77777777" w:rsidR="00395D01" w:rsidRPr="00912996" w:rsidRDefault="00395D01" w:rsidP="00292396">
            <w:pPr>
              <w:rPr>
                <w:rFonts w:ascii="Calibri" w:hAnsi="Calibri"/>
                <w:bCs/>
                <w:lang w:eastAsia="ja-JP"/>
              </w:rPr>
            </w:pPr>
            <w:r w:rsidRPr="007A1590">
              <w:rPr>
                <w:rFonts w:ascii="Calibri" w:hAnsi="Calibri"/>
                <w:bCs/>
                <w:lang w:eastAsia="ja-JP"/>
              </w:rPr>
              <w:t>În implementare</w:t>
            </w:r>
          </w:p>
        </w:tc>
        <w:tc>
          <w:tcPr>
            <w:tcW w:w="473" w:type="pct"/>
            <w:shd w:val="clear" w:color="auto" w:fill="F2F2F2"/>
            <w:hideMark/>
          </w:tcPr>
          <w:p w14:paraId="2459D093" w14:textId="77777777" w:rsidR="00395D01" w:rsidRPr="00912996" w:rsidRDefault="00395D01" w:rsidP="00292396">
            <w:pPr>
              <w:rPr>
                <w:rFonts w:ascii="Calibri" w:hAnsi="Calibri"/>
                <w:bCs/>
                <w:lang w:eastAsia="ja-JP"/>
              </w:rPr>
            </w:pPr>
            <w:r w:rsidRPr="007A1590">
              <w:rPr>
                <w:rFonts w:ascii="Calibri" w:hAnsi="Calibri"/>
                <w:bCs/>
                <w:lang w:eastAsia="ja-JP"/>
              </w:rPr>
              <w:t>9,270,939</w:t>
            </w:r>
          </w:p>
        </w:tc>
        <w:tc>
          <w:tcPr>
            <w:tcW w:w="411" w:type="pct"/>
            <w:shd w:val="clear" w:color="auto" w:fill="F2F2F2"/>
            <w:hideMark/>
          </w:tcPr>
          <w:p w14:paraId="24A3694D" w14:textId="77777777" w:rsidR="00395D01" w:rsidRPr="00912996" w:rsidRDefault="00395D01" w:rsidP="00292396">
            <w:pPr>
              <w:rPr>
                <w:rFonts w:ascii="Calibri" w:hAnsi="Calibri"/>
                <w:bCs/>
                <w:lang w:eastAsia="ja-JP"/>
              </w:rPr>
            </w:pPr>
            <w:r w:rsidRPr="007A1590">
              <w:rPr>
                <w:rFonts w:ascii="Calibri" w:hAnsi="Calibri"/>
                <w:bCs/>
                <w:lang w:eastAsia="ja-JP"/>
              </w:rPr>
              <w:t>1,892,028</w:t>
            </w:r>
          </w:p>
        </w:tc>
        <w:tc>
          <w:tcPr>
            <w:tcW w:w="347" w:type="pct"/>
            <w:shd w:val="clear" w:color="auto" w:fill="F2F2F2"/>
            <w:hideMark/>
          </w:tcPr>
          <w:p w14:paraId="2C0B76E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EDD6425" w14:textId="77777777" w:rsidR="00395D01" w:rsidRPr="00912996" w:rsidRDefault="00395D01" w:rsidP="00292396">
            <w:pPr>
              <w:rPr>
                <w:rFonts w:ascii="Calibri" w:hAnsi="Calibri"/>
                <w:bCs/>
                <w:lang w:eastAsia="ja-JP"/>
              </w:rPr>
            </w:pPr>
            <w:r w:rsidRPr="007A1590">
              <w:rPr>
                <w:rFonts w:ascii="Calibri" w:hAnsi="Calibri"/>
                <w:bCs/>
                <w:lang w:eastAsia="ja-JP"/>
              </w:rPr>
              <w:t>PNRR, Bugetul local</w:t>
            </w:r>
          </w:p>
        </w:tc>
        <w:tc>
          <w:tcPr>
            <w:tcW w:w="433" w:type="pct"/>
            <w:shd w:val="clear" w:color="auto" w:fill="F2F2F2"/>
            <w:hideMark/>
          </w:tcPr>
          <w:p w14:paraId="1E57AC5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47A873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36319E5" w14:textId="77777777" w:rsidTr="00E16711">
        <w:trPr>
          <w:trHeight w:val="1320"/>
        </w:trPr>
        <w:tc>
          <w:tcPr>
            <w:tcW w:w="205" w:type="pct"/>
            <w:shd w:val="clear" w:color="auto" w:fill="F2F2F2"/>
            <w:noWrap/>
            <w:hideMark/>
          </w:tcPr>
          <w:p w14:paraId="5269E6ED"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17</w:t>
            </w:r>
          </w:p>
        </w:tc>
        <w:tc>
          <w:tcPr>
            <w:tcW w:w="1018" w:type="pct"/>
            <w:gridSpan w:val="2"/>
            <w:shd w:val="clear" w:color="auto" w:fill="F2F2F2"/>
            <w:hideMark/>
          </w:tcPr>
          <w:p w14:paraId="43CCFFA5" w14:textId="77777777" w:rsidR="00395D01" w:rsidRPr="00912996" w:rsidRDefault="00395D01" w:rsidP="00292396">
            <w:pPr>
              <w:rPr>
                <w:rFonts w:ascii="Calibri" w:hAnsi="Calibri"/>
                <w:bCs/>
                <w:lang w:eastAsia="ja-JP"/>
              </w:rPr>
            </w:pPr>
            <w:r w:rsidRPr="00912996">
              <w:rPr>
                <w:rFonts w:ascii="Calibri" w:hAnsi="Calibri"/>
                <w:bCs/>
                <w:lang w:eastAsia="ja-JP"/>
              </w:rPr>
              <w:t>Pregătirea școlilor pentru limitarea propagării infecțiilor si gestionarea administrativa a acestora in cazul unor alerte sanitare</w:t>
            </w:r>
          </w:p>
        </w:tc>
        <w:tc>
          <w:tcPr>
            <w:tcW w:w="640" w:type="pct"/>
            <w:shd w:val="clear" w:color="auto" w:fill="F2F2F2"/>
            <w:hideMark/>
          </w:tcPr>
          <w:p w14:paraId="2A7825D9"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5E50C58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BB7BC9D" w14:textId="77777777" w:rsidR="00395D01" w:rsidRPr="00912996" w:rsidRDefault="00395D01" w:rsidP="00292396">
            <w:pPr>
              <w:rPr>
                <w:rFonts w:ascii="Calibri" w:hAnsi="Calibri"/>
                <w:bCs/>
                <w:lang w:eastAsia="ja-JP"/>
              </w:rPr>
            </w:pPr>
            <w:r w:rsidRPr="00912996">
              <w:rPr>
                <w:rFonts w:ascii="Calibri" w:hAnsi="Calibri"/>
                <w:bCs/>
                <w:lang w:eastAsia="ja-JP"/>
              </w:rPr>
              <w:t>98,000</w:t>
            </w:r>
          </w:p>
        </w:tc>
        <w:tc>
          <w:tcPr>
            <w:tcW w:w="411" w:type="pct"/>
            <w:shd w:val="clear" w:color="auto" w:fill="F2F2F2"/>
            <w:hideMark/>
          </w:tcPr>
          <w:p w14:paraId="32CBBFAF" w14:textId="77777777" w:rsidR="00395D01" w:rsidRPr="00912996" w:rsidRDefault="00395D01" w:rsidP="00292396">
            <w:pPr>
              <w:rPr>
                <w:rFonts w:ascii="Calibri" w:hAnsi="Calibri"/>
                <w:bCs/>
                <w:lang w:eastAsia="ja-JP"/>
              </w:rPr>
            </w:pPr>
            <w:r w:rsidRPr="00912996">
              <w:rPr>
                <w:rFonts w:ascii="Calibri" w:hAnsi="Calibri"/>
                <w:bCs/>
                <w:lang w:eastAsia="ja-JP"/>
              </w:rPr>
              <w:t>20,000</w:t>
            </w:r>
          </w:p>
        </w:tc>
        <w:tc>
          <w:tcPr>
            <w:tcW w:w="347" w:type="pct"/>
            <w:shd w:val="clear" w:color="auto" w:fill="F2F2F2"/>
            <w:hideMark/>
          </w:tcPr>
          <w:p w14:paraId="4D855E9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08A7B4F"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2BA93ED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6DDBB32"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899CA65" w14:textId="77777777" w:rsidTr="00E16711">
        <w:trPr>
          <w:trHeight w:val="792"/>
        </w:trPr>
        <w:tc>
          <w:tcPr>
            <w:tcW w:w="205" w:type="pct"/>
            <w:shd w:val="clear" w:color="auto" w:fill="F2F2F2"/>
            <w:noWrap/>
            <w:hideMark/>
          </w:tcPr>
          <w:p w14:paraId="1BE550E4"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18</w:t>
            </w:r>
          </w:p>
        </w:tc>
        <w:tc>
          <w:tcPr>
            <w:tcW w:w="1018" w:type="pct"/>
            <w:gridSpan w:val="2"/>
            <w:shd w:val="clear" w:color="auto" w:fill="F2F2F2"/>
            <w:hideMark/>
          </w:tcPr>
          <w:p w14:paraId="475D077B" w14:textId="77777777" w:rsidR="00395D01" w:rsidRPr="00912996" w:rsidRDefault="00395D01" w:rsidP="00292396">
            <w:pPr>
              <w:rPr>
                <w:rFonts w:ascii="Calibri" w:hAnsi="Calibri"/>
                <w:bCs/>
                <w:lang w:eastAsia="ja-JP"/>
              </w:rPr>
            </w:pPr>
            <w:r w:rsidRPr="00912996">
              <w:rPr>
                <w:rFonts w:ascii="Calibri" w:hAnsi="Calibri"/>
                <w:bCs/>
                <w:lang w:eastAsia="ja-JP"/>
              </w:rPr>
              <w:t>Reabilitare, consolidare modernizare imobil școala - Colegiul Economic Administrativ A.</w:t>
            </w:r>
            <w:r>
              <w:rPr>
                <w:rFonts w:ascii="Calibri" w:hAnsi="Calibri"/>
                <w:bCs/>
                <w:lang w:eastAsia="ja-JP"/>
              </w:rPr>
              <w:t xml:space="preserve"> </w:t>
            </w:r>
            <w:r w:rsidRPr="00912996">
              <w:rPr>
                <w:rFonts w:ascii="Calibri" w:hAnsi="Calibri"/>
                <w:bCs/>
                <w:lang w:eastAsia="ja-JP"/>
              </w:rPr>
              <w:t>D.</w:t>
            </w:r>
            <w:r>
              <w:rPr>
                <w:rFonts w:ascii="Calibri" w:hAnsi="Calibri"/>
                <w:bCs/>
                <w:lang w:eastAsia="ja-JP"/>
              </w:rPr>
              <w:t xml:space="preserve"> </w:t>
            </w:r>
            <w:r w:rsidRPr="00912996">
              <w:rPr>
                <w:rFonts w:ascii="Calibri" w:hAnsi="Calibri"/>
                <w:bCs/>
                <w:lang w:eastAsia="ja-JP"/>
              </w:rPr>
              <w:t>Xenopol - C2</w:t>
            </w:r>
          </w:p>
        </w:tc>
        <w:tc>
          <w:tcPr>
            <w:tcW w:w="640" w:type="pct"/>
            <w:shd w:val="clear" w:color="auto" w:fill="F2F2F2"/>
            <w:hideMark/>
          </w:tcPr>
          <w:p w14:paraId="56F4CC8E"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8583962"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p>
        </w:tc>
        <w:tc>
          <w:tcPr>
            <w:tcW w:w="473" w:type="pct"/>
            <w:shd w:val="clear" w:color="auto" w:fill="F2F2F2"/>
            <w:hideMark/>
          </w:tcPr>
          <w:p w14:paraId="3B9E1741" w14:textId="77777777" w:rsidR="00395D01" w:rsidRPr="00912996" w:rsidRDefault="00395D01" w:rsidP="00292396">
            <w:pPr>
              <w:rPr>
                <w:rFonts w:ascii="Calibri" w:hAnsi="Calibri"/>
                <w:bCs/>
                <w:lang w:eastAsia="ja-JP"/>
              </w:rPr>
            </w:pPr>
            <w:r w:rsidRPr="00912996">
              <w:rPr>
                <w:rFonts w:ascii="Calibri" w:hAnsi="Calibri"/>
                <w:bCs/>
                <w:lang w:eastAsia="ja-JP"/>
              </w:rPr>
              <w:t>10,144,960</w:t>
            </w:r>
          </w:p>
        </w:tc>
        <w:tc>
          <w:tcPr>
            <w:tcW w:w="411" w:type="pct"/>
            <w:shd w:val="clear" w:color="auto" w:fill="F2F2F2"/>
            <w:hideMark/>
          </w:tcPr>
          <w:p w14:paraId="3AEEEA5C" w14:textId="77777777" w:rsidR="00395D01" w:rsidRPr="00912996" w:rsidRDefault="00395D01" w:rsidP="00292396">
            <w:pPr>
              <w:rPr>
                <w:rFonts w:ascii="Calibri" w:hAnsi="Calibri"/>
                <w:bCs/>
                <w:lang w:eastAsia="ja-JP"/>
              </w:rPr>
            </w:pPr>
            <w:r w:rsidRPr="00912996">
              <w:rPr>
                <w:rFonts w:ascii="Calibri" w:hAnsi="Calibri"/>
                <w:bCs/>
                <w:lang w:eastAsia="ja-JP"/>
              </w:rPr>
              <w:t>2,070,400</w:t>
            </w:r>
          </w:p>
        </w:tc>
        <w:tc>
          <w:tcPr>
            <w:tcW w:w="347" w:type="pct"/>
            <w:shd w:val="clear" w:color="auto" w:fill="F2F2F2"/>
            <w:hideMark/>
          </w:tcPr>
          <w:p w14:paraId="7AA1ABC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747E1C3"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0BACC20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D9CEF6B"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1F76B7B" w14:textId="77777777" w:rsidTr="00E16711">
        <w:trPr>
          <w:trHeight w:val="792"/>
        </w:trPr>
        <w:tc>
          <w:tcPr>
            <w:tcW w:w="205" w:type="pct"/>
            <w:shd w:val="clear" w:color="auto" w:fill="F2F2F2"/>
            <w:noWrap/>
            <w:hideMark/>
          </w:tcPr>
          <w:p w14:paraId="0EF6352C"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19</w:t>
            </w:r>
          </w:p>
        </w:tc>
        <w:tc>
          <w:tcPr>
            <w:tcW w:w="1018" w:type="pct"/>
            <w:gridSpan w:val="2"/>
            <w:shd w:val="clear" w:color="auto" w:fill="F2F2F2"/>
            <w:hideMark/>
          </w:tcPr>
          <w:p w14:paraId="1662A078" w14:textId="77777777" w:rsidR="00395D01" w:rsidRPr="00912996" w:rsidRDefault="00395D01" w:rsidP="00292396">
            <w:pPr>
              <w:rPr>
                <w:rFonts w:ascii="Calibri" w:hAnsi="Calibri"/>
                <w:bCs/>
                <w:lang w:eastAsia="ja-JP"/>
              </w:rPr>
            </w:pPr>
            <w:r w:rsidRPr="00912996">
              <w:rPr>
                <w:rFonts w:ascii="Calibri" w:hAnsi="Calibri"/>
                <w:bCs/>
                <w:lang w:eastAsia="ja-JP"/>
              </w:rPr>
              <w:t>Reabilitare corp C2 si Construire corp nou - Cantemir</w:t>
            </w:r>
          </w:p>
        </w:tc>
        <w:tc>
          <w:tcPr>
            <w:tcW w:w="640" w:type="pct"/>
            <w:shd w:val="clear" w:color="auto" w:fill="F2F2F2"/>
            <w:hideMark/>
          </w:tcPr>
          <w:p w14:paraId="60B2DA02"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48626454"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Documentație </w:t>
            </w:r>
            <w:r>
              <w:rPr>
                <w:rFonts w:ascii="Calibri" w:hAnsi="Calibri"/>
                <w:bCs/>
                <w:lang w:eastAsia="ja-JP"/>
              </w:rPr>
              <w:t xml:space="preserve"> DALI</w:t>
            </w:r>
            <w:r w:rsidRPr="00912996">
              <w:rPr>
                <w:rFonts w:ascii="Calibri" w:hAnsi="Calibri"/>
                <w:bCs/>
                <w:lang w:eastAsia="ja-JP"/>
              </w:rPr>
              <w:t xml:space="preserve"> .</w:t>
            </w:r>
            <w:r>
              <w:rPr>
                <w:rFonts w:ascii="Calibri" w:hAnsi="Calibri"/>
                <w:bCs/>
                <w:lang w:eastAsia="ja-JP"/>
              </w:rPr>
              <w:t xml:space="preserve"> </w:t>
            </w:r>
            <w:r w:rsidRPr="00912996">
              <w:rPr>
                <w:rFonts w:ascii="Calibri" w:hAnsi="Calibri"/>
                <w:bCs/>
                <w:lang w:eastAsia="ja-JP"/>
              </w:rPr>
              <w:t>+</w:t>
            </w:r>
            <w:r>
              <w:rPr>
                <w:rFonts w:ascii="Calibri" w:hAnsi="Calibri"/>
                <w:bCs/>
                <w:lang w:eastAsia="ja-JP"/>
              </w:rPr>
              <w:t xml:space="preserve"> </w:t>
            </w:r>
            <w:r w:rsidRPr="00912996">
              <w:rPr>
                <w:rFonts w:ascii="Calibri" w:hAnsi="Calibri"/>
                <w:bCs/>
                <w:lang w:eastAsia="ja-JP"/>
              </w:rPr>
              <w:t>S.F.</w:t>
            </w:r>
          </w:p>
        </w:tc>
        <w:tc>
          <w:tcPr>
            <w:tcW w:w="473" w:type="pct"/>
            <w:shd w:val="clear" w:color="auto" w:fill="F2F2F2"/>
            <w:hideMark/>
          </w:tcPr>
          <w:p w14:paraId="01AFD00C" w14:textId="77777777" w:rsidR="00395D01" w:rsidRPr="00912996" w:rsidRDefault="00395D01" w:rsidP="00292396">
            <w:pPr>
              <w:rPr>
                <w:rFonts w:ascii="Calibri" w:hAnsi="Calibri"/>
                <w:bCs/>
                <w:lang w:eastAsia="ja-JP"/>
              </w:rPr>
            </w:pPr>
            <w:r w:rsidRPr="007A1590">
              <w:rPr>
                <w:rFonts w:ascii="Calibri" w:hAnsi="Calibri"/>
                <w:bCs/>
                <w:lang w:eastAsia="ja-JP"/>
              </w:rPr>
              <w:t>5,008,000</w:t>
            </w:r>
          </w:p>
        </w:tc>
        <w:tc>
          <w:tcPr>
            <w:tcW w:w="411" w:type="pct"/>
            <w:shd w:val="clear" w:color="auto" w:fill="F2F2F2"/>
            <w:hideMark/>
          </w:tcPr>
          <w:p w14:paraId="50CD148E" w14:textId="77777777" w:rsidR="00395D01" w:rsidRPr="00912996" w:rsidRDefault="00395D01" w:rsidP="00292396">
            <w:pPr>
              <w:rPr>
                <w:rFonts w:ascii="Calibri" w:hAnsi="Calibri"/>
                <w:bCs/>
                <w:lang w:eastAsia="ja-JP"/>
              </w:rPr>
            </w:pPr>
            <w:r w:rsidRPr="007A1590">
              <w:rPr>
                <w:rFonts w:ascii="Calibri" w:hAnsi="Calibri"/>
                <w:bCs/>
                <w:lang w:eastAsia="ja-JP"/>
              </w:rPr>
              <w:t>1,022,041</w:t>
            </w:r>
          </w:p>
        </w:tc>
        <w:tc>
          <w:tcPr>
            <w:tcW w:w="347" w:type="pct"/>
            <w:shd w:val="clear" w:color="auto" w:fill="F2F2F2"/>
            <w:hideMark/>
          </w:tcPr>
          <w:p w14:paraId="669A6E44"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D852003"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0729EFD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EE35316"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E9CDACE" w14:textId="77777777" w:rsidTr="00E16711">
        <w:trPr>
          <w:trHeight w:val="792"/>
        </w:trPr>
        <w:tc>
          <w:tcPr>
            <w:tcW w:w="205" w:type="pct"/>
            <w:shd w:val="clear" w:color="auto" w:fill="F2F2F2"/>
            <w:noWrap/>
            <w:hideMark/>
          </w:tcPr>
          <w:p w14:paraId="2BE30428" w14:textId="77777777" w:rsidR="00395D01" w:rsidRPr="00912996" w:rsidRDefault="00395D01" w:rsidP="00292396">
            <w:pPr>
              <w:rPr>
                <w:rFonts w:ascii="Calibri" w:hAnsi="Calibri"/>
                <w:bCs/>
                <w:lang w:eastAsia="ja-JP"/>
              </w:rPr>
            </w:pPr>
            <w:r w:rsidRPr="00912996">
              <w:rPr>
                <w:rFonts w:ascii="Calibri" w:hAnsi="Calibri"/>
                <w:bCs/>
                <w:lang w:eastAsia="ja-JP"/>
              </w:rPr>
              <w:t>12</w:t>
            </w:r>
            <w:r>
              <w:rPr>
                <w:rFonts w:ascii="Calibri" w:hAnsi="Calibri"/>
                <w:bCs/>
                <w:lang w:eastAsia="ja-JP"/>
              </w:rPr>
              <w:t>0</w:t>
            </w:r>
          </w:p>
        </w:tc>
        <w:tc>
          <w:tcPr>
            <w:tcW w:w="1018" w:type="pct"/>
            <w:gridSpan w:val="2"/>
            <w:shd w:val="clear" w:color="auto" w:fill="F2F2F2"/>
            <w:hideMark/>
          </w:tcPr>
          <w:p w14:paraId="3F234E65" w14:textId="77777777" w:rsidR="00395D01" w:rsidRPr="00912996" w:rsidRDefault="00395D01" w:rsidP="00292396">
            <w:pPr>
              <w:rPr>
                <w:rFonts w:ascii="Calibri" w:hAnsi="Calibri"/>
                <w:bCs/>
                <w:lang w:eastAsia="ja-JP"/>
              </w:rPr>
            </w:pPr>
            <w:r w:rsidRPr="00912996">
              <w:rPr>
                <w:rFonts w:ascii="Calibri" w:hAnsi="Calibri"/>
                <w:bCs/>
                <w:lang w:eastAsia="ja-JP"/>
              </w:rPr>
              <w:t>Reabilitare modernizare imobil liceu, scoală, magazie - Liceul Teoretic ”Lucian Blaga”</w:t>
            </w:r>
          </w:p>
        </w:tc>
        <w:tc>
          <w:tcPr>
            <w:tcW w:w="640" w:type="pct"/>
            <w:shd w:val="clear" w:color="auto" w:fill="F2F2F2"/>
            <w:hideMark/>
          </w:tcPr>
          <w:p w14:paraId="488346B1"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6F3BD182" w14:textId="77777777" w:rsidR="00395D01" w:rsidRPr="00912996" w:rsidRDefault="00395D01" w:rsidP="00292396">
            <w:pPr>
              <w:rPr>
                <w:rFonts w:ascii="Calibri" w:hAnsi="Calibri"/>
                <w:bCs/>
                <w:lang w:eastAsia="ja-JP"/>
              </w:rPr>
            </w:pPr>
            <w:r w:rsidRPr="008B7BD5">
              <w:rPr>
                <w:rFonts w:ascii="Calibri" w:hAnsi="Calibri"/>
                <w:bCs/>
                <w:lang w:eastAsia="ja-JP"/>
              </w:rPr>
              <w:t>În implementare</w:t>
            </w:r>
          </w:p>
        </w:tc>
        <w:tc>
          <w:tcPr>
            <w:tcW w:w="473" w:type="pct"/>
            <w:shd w:val="clear" w:color="auto" w:fill="F2F2F2"/>
            <w:hideMark/>
          </w:tcPr>
          <w:p w14:paraId="64E166EE" w14:textId="77777777" w:rsidR="00395D01" w:rsidRPr="00912996" w:rsidRDefault="00395D01" w:rsidP="00292396">
            <w:pPr>
              <w:rPr>
                <w:rFonts w:ascii="Calibri" w:hAnsi="Calibri"/>
                <w:bCs/>
                <w:lang w:eastAsia="ja-JP"/>
              </w:rPr>
            </w:pPr>
            <w:r w:rsidRPr="008B7BD5">
              <w:rPr>
                <w:rFonts w:ascii="Calibri" w:hAnsi="Calibri"/>
                <w:bCs/>
                <w:lang w:eastAsia="ja-JP"/>
              </w:rPr>
              <w:t>13,863,989</w:t>
            </w:r>
          </w:p>
        </w:tc>
        <w:tc>
          <w:tcPr>
            <w:tcW w:w="411" w:type="pct"/>
            <w:shd w:val="clear" w:color="auto" w:fill="F2F2F2"/>
            <w:hideMark/>
          </w:tcPr>
          <w:p w14:paraId="3636984C" w14:textId="77777777" w:rsidR="00395D01" w:rsidRPr="00912996" w:rsidRDefault="00395D01" w:rsidP="00292396">
            <w:pPr>
              <w:rPr>
                <w:rFonts w:ascii="Calibri" w:hAnsi="Calibri"/>
                <w:bCs/>
                <w:lang w:eastAsia="ja-JP"/>
              </w:rPr>
            </w:pPr>
            <w:r w:rsidRPr="008B7BD5">
              <w:rPr>
                <w:rFonts w:ascii="Calibri" w:hAnsi="Calibri"/>
                <w:bCs/>
                <w:lang w:eastAsia="ja-JP"/>
              </w:rPr>
              <w:t>2,829,386</w:t>
            </w:r>
          </w:p>
        </w:tc>
        <w:tc>
          <w:tcPr>
            <w:tcW w:w="347" w:type="pct"/>
            <w:shd w:val="clear" w:color="auto" w:fill="F2F2F2"/>
            <w:hideMark/>
          </w:tcPr>
          <w:p w14:paraId="677D5B4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F245B95" w14:textId="77777777" w:rsidR="00395D01" w:rsidRPr="00912996" w:rsidRDefault="00395D01" w:rsidP="00292396">
            <w:pPr>
              <w:rPr>
                <w:rFonts w:ascii="Calibri" w:hAnsi="Calibri"/>
                <w:bCs/>
                <w:lang w:eastAsia="ja-JP"/>
              </w:rPr>
            </w:pPr>
            <w:r w:rsidRPr="008B7BD5">
              <w:rPr>
                <w:rFonts w:ascii="Calibri" w:hAnsi="Calibri"/>
                <w:bCs/>
                <w:lang w:eastAsia="ja-JP"/>
              </w:rPr>
              <w:t>Bugetul local</w:t>
            </w:r>
          </w:p>
        </w:tc>
        <w:tc>
          <w:tcPr>
            <w:tcW w:w="433" w:type="pct"/>
            <w:shd w:val="clear" w:color="auto" w:fill="F2F2F2"/>
            <w:hideMark/>
          </w:tcPr>
          <w:p w14:paraId="40DA4F5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222081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609C114" w14:textId="77777777" w:rsidTr="00E16711">
        <w:trPr>
          <w:trHeight w:val="1584"/>
        </w:trPr>
        <w:tc>
          <w:tcPr>
            <w:tcW w:w="205" w:type="pct"/>
            <w:shd w:val="clear" w:color="auto" w:fill="F2F2F2"/>
            <w:noWrap/>
            <w:hideMark/>
          </w:tcPr>
          <w:p w14:paraId="2282EE20" w14:textId="77777777" w:rsidR="00395D01" w:rsidRPr="00912996" w:rsidRDefault="00395D01" w:rsidP="00292396">
            <w:pPr>
              <w:rPr>
                <w:rFonts w:ascii="Calibri" w:hAnsi="Calibri"/>
                <w:bCs/>
                <w:lang w:eastAsia="ja-JP"/>
              </w:rPr>
            </w:pPr>
            <w:r w:rsidRPr="00912996">
              <w:rPr>
                <w:rFonts w:ascii="Calibri" w:hAnsi="Calibri"/>
                <w:bCs/>
                <w:lang w:eastAsia="ja-JP"/>
              </w:rPr>
              <w:t>12</w:t>
            </w:r>
            <w:r>
              <w:rPr>
                <w:rFonts w:ascii="Calibri" w:hAnsi="Calibri"/>
                <w:bCs/>
                <w:lang w:eastAsia="ja-JP"/>
              </w:rPr>
              <w:t>1</w:t>
            </w:r>
          </w:p>
        </w:tc>
        <w:tc>
          <w:tcPr>
            <w:tcW w:w="1018" w:type="pct"/>
            <w:gridSpan w:val="2"/>
            <w:shd w:val="clear" w:color="auto" w:fill="F2F2F2"/>
            <w:hideMark/>
          </w:tcPr>
          <w:p w14:paraId="13F5FA93" w14:textId="77777777" w:rsidR="00395D01" w:rsidRPr="00912996" w:rsidRDefault="00395D01" w:rsidP="00292396">
            <w:pPr>
              <w:rPr>
                <w:rFonts w:ascii="Calibri" w:hAnsi="Calibri"/>
                <w:bCs/>
                <w:lang w:eastAsia="ja-JP"/>
              </w:rPr>
            </w:pPr>
            <w:r w:rsidRPr="00912996">
              <w:rPr>
                <w:rFonts w:ascii="Calibri" w:hAnsi="Calibri"/>
                <w:bCs/>
                <w:lang w:eastAsia="ja-JP"/>
              </w:rPr>
              <w:t>Realizare parteneriate cu școlile generale, liceele și bazele sportive private în vederea reglementării accesului publicului la infrastructura sportivă (terenuri, săli de sport școli etc.)</w:t>
            </w:r>
          </w:p>
        </w:tc>
        <w:tc>
          <w:tcPr>
            <w:tcW w:w="640" w:type="pct"/>
            <w:shd w:val="clear" w:color="auto" w:fill="F2F2F2"/>
            <w:hideMark/>
          </w:tcPr>
          <w:p w14:paraId="5E9A8EAD" w14:textId="77777777" w:rsidR="00395D01" w:rsidRPr="00912996" w:rsidRDefault="00395D01" w:rsidP="00292396">
            <w:pPr>
              <w:rPr>
                <w:rFonts w:ascii="Calibri" w:hAnsi="Calibri"/>
                <w:bCs/>
                <w:lang w:eastAsia="ja-JP"/>
              </w:rPr>
            </w:pPr>
            <w:r w:rsidRPr="00EF7958">
              <w:rPr>
                <w:rFonts w:ascii="Calibri" w:hAnsi="Calibri"/>
                <w:bCs/>
                <w:lang w:eastAsia="ja-JP"/>
              </w:rPr>
              <w:t>PS2</w:t>
            </w:r>
            <w:r>
              <w:rPr>
                <w:rFonts w:ascii="Calibri" w:hAnsi="Calibri"/>
                <w:bCs/>
                <w:lang w:eastAsia="ja-JP"/>
              </w:rPr>
              <w:t xml:space="preserve"> </w:t>
            </w:r>
            <w:r w:rsidRPr="00912996">
              <w:rPr>
                <w:rFonts w:ascii="Calibri" w:hAnsi="Calibri"/>
                <w:bCs/>
                <w:lang w:eastAsia="ja-JP"/>
              </w:rPr>
              <w:t>în parteneriat cu Inspectoratul Școlar, administratorii / proprietarii privați</w:t>
            </w:r>
          </w:p>
        </w:tc>
        <w:tc>
          <w:tcPr>
            <w:tcW w:w="507" w:type="pct"/>
            <w:shd w:val="clear" w:color="auto" w:fill="F2F2F2"/>
            <w:hideMark/>
          </w:tcPr>
          <w:p w14:paraId="6A60624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EA833EA"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65DC48DC"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4EE40A3F"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D69E310" w14:textId="77777777" w:rsidR="00395D01" w:rsidRPr="00912996" w:rsidRDefault="00395D01" w:rsidP="00292396">
            <w:pPr>
              <w:rPr>
                <w:rFonts w:ascii="Calibri" w:hAnsi="Calibri"/>
                <w:bCs/>
                <w:lang w:eastAsia="ja-JP"/>
              </w:rPr>
            </w:pPr>
            <w:r w:rsidRPr="00912996">
              <w:rPr>
                <w:rFonts w:ascii="Calibri" w:hAnsi="Calibri"/>
                <w:bCs/>
                <w:lang w:eastAsia="ja-JP"/>
              </w:rPr>
              <w:t>POR BI P6, CNI, PNRR C15, Bugetul local, Buget Municipal, Alte surse de finanțare</w:t>
            </w:r>
          </w:p>
        </w:tc>
        <w:tc>
          <w:tcPr>
            <w:tcW w:w="433" w:type="pct"/>
            <w:shd w:val="clear" w:color="auto" w:fill="F2F2F2"/>
            <w:hideMark/>
          </w:tcPr>
          <w:p w14:paraId="02389DE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10F610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68DF304" w14:textId="77777777" w:rsidTr="00E16711">
        <w:trPr>
          <w:trHeight w:val="1320"/>
        </w:trPr>
        <w:tc>
          <w:tcPr>
            <w:tcW w:w="205" w:type="pct"/>
            <w:shd w:val="clear" w:color="auto" w:fill="F2F2F2"/>
            <w:noWrap/>
            <w:hideMark/>
          </w:tcPr>
          <w:p w14:paraId="4F40F8F4" w14:textId="77777777" w:rsidR="00395D01" w:rsidRPr="00912996" w:rsidRDefault="00395D01" w:rsidP="00292396">
            <w:pPr>
              <w:rPr>
                <w:rFonts w:ascii="Calibri" w:hAnsi="Calibri"/>
                <w:bCs/>
                <w:lang w:eastAsia="ja-JP"/>
              </w:rPr>
            </w:pPr>
            <w:r w:rsidRPr="00912996">
              <w:rPr>
                <w:rFonts w:ascii="Calibri" w:hAnsi="Calibri"/>
                <w:bCs/>
                <w:lang w:eastAsia="ja-JP"/>
              </w:rPr>
              <w:t>12</w:t>
            </w:r>
            <w:r>
              <w:rPr>
                <w:rFonts w:ascii="Calibri" w:hAnsi="Calibri"/>
                <w:bCs/>
                <w:lang w:eastAsia="ja-JP"/>
              </w:rPr>
              <w:t>2</w:t>
            </w:r>
          </w:p>
        </w:tc>
        <w:tc>
          <w:tcPr>
            <w:tcW w:w="1018" w:type="pct"/>
            <w:gridSpan w:val="2"/>
            <w:shd w:val="clear" w:color="auto" w:fill="F2F2F2"/>
            <w:hideMark/>
          </w:tcPr>
          <w:p w14:paraId="0A9B7692" w14:textId="77777777" w:rsidR="00395D01" w:rsidRPr="00912996" w:rsidRDefault="00395D01" w:rsidP="00292396">
            <w:pPr>
              <w:rPr>
                <w:rFonts w:ascii="Calibri" w:hAnsi="Calibri"/>
                <w:bCs/>
                <w:lang w:eastAsia="ja-JP"/>
              </w:rPr>
            </w:pPr>
            <w:r w:rsidRPr="00912996">
              <w:rPr>
                <w:rFonts w:ascii="Calibri" w:hAnsi="Calibri"/>
                <w:bCs/>
                <w:lang w:eastAsia="ja-JP"/>
              </w:rPr>
              <w:t>Intervenția de urgență asupra școlilor din sector care funcționează în spații neconforme din punct de vedere sanitar și al siguranței la incendiu și cutremur</w:t>
            </w:r>
          </w:p>
        </w:tc>
        <w:tc>
          <w:tcPr>
            <w:tcW w:w="640" w:type="pct"/>
            <w:shd w:val="clear" w:color="auto" w:fill="F2F2F2"/>
            <w:hideMark/>
          </w:tcPr>
          <w:p w14:paraId="09206EEC"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C4C09D5"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hideMark/>
          </w:tcPr>
          <w:p w14:paraId="4C220FC3" w14:textId="77777777" w:rsidR="00395D01" w:rsidRPr="00912996" w:rsidRDefault="00395D01" w:rsidP="00292396">
            <w:pPr>
              <w:rPr>
                <w:rFonts w:ascii="Calibri" w:hAnsi="Calibri"/>
                <w:bCs/>
                <w:lang w:eastAsia="ja-JP"/>
              </w:rPr>
            </w:pPr>
            <w:r w:rsidRPr="00912996">
              <w:rPr>
                <w:rFonts w:ascii="Calibri" w:hAnsi="Calibri"/>
                <w:bCs/>
                <w:lang w:eastAsia="ja-JP"/>
              </w:rPr>
              <w:t>14,700,000</w:t>
            </w:r>
          </w:p>
        </w:tc>
        <w:tc>
          <w:tcPr>
            <w:tcW w:w="411" w:type="pct"/>
            <w:shd w:val="clear" w:color="auto" w:fill="F2F2F2"/>
            <w:hideMark/>
          </w:tcPr>
          <w:p w14:paraId="51C38E72"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347" w:type="pct"/>
            <w:shd w:val="clear" w:color="auto" w:fill="F2F2F2"/>
            <w:noWrap/>
            <w:hideMark/>
          </w:tcPr>
          <w:p w14:paraId="563C86C0"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hideMark/>
          </w:tcPr>
          <w:p w14:paraId="6B0A5DB2" w14:textId="77777777" w:rsidR="00395D01" w:rsidRPr="00912996" w:rsidRDefault="00395D01" w:rsidP="00292396">
            <w:pPr>
              <w:rPr>
                <w:rFonts w:ascii="Calibri" w:hAnsi="Calibri"/>
                <w:bCs/>
                <w:lang w:eastAsia="ja-JP"/>
              </w:rPr>
            </w:pPr>
            <w:r w:rsidRPr="00912996">
              <w:rPr>
                <w:rFonts w:ascii="Calibri" w:hAnsi="Calibri"/>
                <w:bCs/>
                <w:lang w:eastAsia="ja-JP"/>
              </w:rPr>
              <w:t>POR BI 2021-2027 P6, PNRR C5, C15, Bugetul local, Alte surse de finanțare</w:t>
            </w:r>
          </w:p>
        </w:tc>
        <w:tc>
          <w:tcPr>
            <w:tcW w:w="433" w:type="pct"/>
            <w:shd w:val="clear" w:color="auto" w:fill="F2F2F2"/>
            <w:hideMark/>
          </w:tcPr>
          <w:p w14:paraId="07B96FB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FFFE1FF"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EE304DB" w14:textId="77777777" w:rsidTr="00622F43">
        <w:trPr>
          <w:trHeight w:val="741"/>
        </w:trPr>
        <w:tc>
          <w:tcPr>
            <w:tcW w:w="205" w:type="pct"/>
            <w:shd w:val="clear" w:color="auto" w:fill="F2F2F2"/>
            <w:noWrap/>
          </w:tcPr>
          <w:p w14:paraId="4EB0B233" w14:textId="77777777" w:rsidR="00395D01" w:rsidRPr="00912996" w:rsidRDefault="00395D01" w:rsidP="00292396">
            <w:pPr>
              <w:rPr>
                <w:rFonts w:ascii="Calibri" w:hAnsi="Calibri"/>
                <w:bCs/>
                <w:lang w:eastAsia="ja-JP"/>
              </w:rPr>
            </w:pPr>
            <w:r>
              <w:rPr>
                <w:rFonts w:ascii="Calibri" w:hAnsi="Calibri"/>
                <w:bCs/>
                <w:lang w:eastAsia="ja-JP"/>
              </w:rPr>
              <w:t>123</w:t>
            </w:r>
          </w:p>
        </w:tc>
        <w:tc>
          <w:tcPr>
            <w:tcW w:w="1018" w:type="pct"/>
            <w:gridSpan w:val="2"/>
            <w:shd w:val="clear" w:color="auto" w:fill="F2F2F2"/>
          </w:tcPr>
          <w:p w14:paraId="6BB12EE2" w14:textId="7D1D18D7" w:rsidR="00395D01" w:rsidRPr="00912996" w:rsidRDefault="00395D01" w:rsidP="00292396">
            <w:pPr>
              <w:rPr>
                <w:rFonts w:ascii="Calibri" w:hAnsi="Calibri"/>
                <w:bCs/>
                <w:lang w:eastAsia="ja-JP"/>
              </w:rPr>
            </w:pPr>
            <w:r w:rsidRPr="003C15E8">
              <w:rPr>
                <w:rFonts w:ascii="Calibri" w:hAnsi="Calibri"/>
                <w:bCs/>
                <w:lang w:eastAsia="ja-JP"/>
              </w:rPr>
              <w:t>Consolidare Reabilitare -</w:t>
            </w:r>
            <w:r w:rsidR="00622F43">
              <w:rPr>
                <w:rFonts w:ascii="Calibri" w:hAnsi="Calibri"/>
                <w:bCs/>
                <w:lang w:eastAsia="ja-JP"/>
              </w:rPr>
              <w:t xml:space="preserve"> </w:t>
            </w:r>
            <w:r w:rsidRPr="003C15E8">
              <w:rPr>
                <w:rFonts w:ascii="Calibri" w:hAnsi="Calibri"/>
                <w:bCs/>
                <w:lang w:eastAsia="ja-JP"/>
              </w:rPr>
              <w:t>Liceul Teoretic Ady Endre</w:t>
            </w:r>
          </w:p>
        </w:tc>
        <w:tc>
          <w:tcPr>
            <w:tcW w:w="640" w:type="pct"/>
            <w:shd w:val="clear" w:color="auto" w:fill="F2F2F2"/>
          </w:tcPr>
          <w:p w14:paraId="07608493" w14:textId="77777777" w:rsidR="00395D01" w:rsidRPr="00912996" w:rsidRDefault="00395D01" w:rsidP="00292396">
            <w:pPr>
              <w:rPr>
                <w:rFonts w:ascii="Calibri" w:hAnsi="Calibri"/>
                <w:bCs/>
                <w:lang w:eastAsia="ja-JP"/>
              </w:rPr>
            </w:pPr>
            <w:r w:rsidRPr="003C15E8">
              <w:rPr>
                <w:rFonts w:ascii="Calibri" w:hAnsi="Calibri"/>
                <w:bCs/>
                <w:lang w:eastAsia="ja-JP"/>
              </w:rPr>
              <w:t>PS2, DGAPI</w:t>
            </w:r>
          </w:p>
        </w:tc>
        <w:tc>
          <w:tcPr>
            <w:tcW w:w="507" w:type="pct"/>
            <w:shd w:val="clear" w:color="auto" w:fill="F2F2F2"/>
          </w:tcPr>
          <w:p w14:paraId="1CCAA13E" w14:textId="77777777" w:rsidR="00395D01" w:rsidRPr="00912996" w:rsidRDefault="00395D01" w:rsidP="00292396">
            <w:pPr>
              <w:rPr>
                <w:rFonts w:ascii="Calibri" w:hAnsi="Calibri"/>
                <w:bCs/>
                <w:lang w:eastAsia="ja-JP"/>
              </w:rPr>
            </w:pPr>
            <w:r w:rsidRPr="003C15E8">
              <w:rPr>
                <w:rFonts w:ascii="Calibri" w:hAnsi="Calibri"/>
                <w:bCs/>
                <w:lang w:eastAsia="ja-JP"/>
              </w:rPr>
              <w:t>În implementare</w:t>
            </w:r>
          </w:p>
        </w:tc>
        <w:tc>
          <w:tcPr>
            <w:tcW w:w="473" w:type="pct"/>
            <w:shd w:val="clear" w:color="auto" w:fill="F2F2F2"/>
          </w:tcPr>
          <w:p w14:paraId="249896F3" w14:textId="77777777" w:rsidR="00395D01" w:rsidRPr="00912996" w:rsidRDefault="00395D01" w:rsidP="00292396">
            <w:pPr>
              <w:rPr>
                <w:rFonts w:ascii="Calibri" w:hAnsi="Calibri"/>
                <w:bCs/>
                <w:lang w:eastAsia="ja-JP"/>
              </w:rPr>
            </w:pPr>
            <w:r w:rsidRPr="003C15E8">
              <w:rPr>
                <w:rFonts w:ascii="Calibri" w:hAnsi="Calibri"/>
                <w:bCs/>
                <w:lang w:eastAsia="ja-JP"/>
              </w:rPr>
              <w:t>13</w:t>
            </w:r>
            <w:r>
              <w:rPr>
                <w:rFonts w:ascii="Calibri" w:hAnsi="Calibri"/>
                <w:bCs/>
                <w:lang w:eastAsia="ja-JP"/>
              </w:rPr>
              <w:t>,</w:t>
            </w:r>
            <w:r w:rsidRPr="003C15E8">
              <w:rPr>
                <w:rFonts w:ascii="Calibri" w:hAnsi="Calibri"/>
                <w:bCs/>
                <w:lang w:eastAsia="ja-JP"/>
              </w:rPr>
              <w:t>312</w:t>
            </w:r>
            <w:r>
              <w:rPr>
                <w:rFonts w:ascii="Calibri" w:hAnsi="Calibri"/>
                <w:bCs/>
                <w:lang w:eastAsia="ja-JP"/>
              </w:rPr>
              <w:t>,</w:t>
            </w:r>
            <w:r w:rsidRPr="003C15E8">
              <w:rPr>
                <w:rFonts w:ascii="Calibri" w:hAnsi="Calibri"/>
                <w:bCs/>
                <w:lang w:eastAsia="ja-JP"/>
              </w:rPr>
              <w:t>190</w:t>
            </w:r>
          </w:p>
        </w:tc>
        <w:tc>
          <w:tcPr>
            <w:tcW w:w="411" w:type="pct"/>
            <w:shd w:val="clear" w:color="auto" w:fill="F2F2F2"/>
          </w:tcPr>
          <w:p w14:paraId="0CE3B070" w14:textId="77777777" w:rsidR="00395D01" w:rsidRPr="00912996" w:rsidRDefault="00395D01" w:rsidP="00292396">
            <w:pPr>
              <w:rPr>
                <w:rFonts w:ascii="Calibri" w:hAnsi="Calibri"/>
                <w:bCs/>
                <w:lang w:eastAsia="ja-JP"/>
              </w:rPr>
            </w:pPr>
            <w:r>
              <w:rPr>
                <w:rFonts w:ascii="Calibri" w:hAnsi="Calibri"/>
                <w:bCs/>
                <w:lang w:eastAsia="ja-JP"/>
              </w:rPr>
              <w:t>2,716,773</w:t>
            </w:r>
          </w:p>
        </w:tc>
        <w:tc>
          <w:tcPr>
            <w:tcW w:w="347" w:type="pct"/>
            <w:shd w:val="clear" w:color="auto" w:fill="F2F2F2"/>
            <w:noWrap/>
          </w:tcPr>
          <w:p w14:paraId="15F46918" w14:textId="77777777" w:rsidR="00395D01" w:rsidRPr="00912996" w:rsidRDefault="00395D01" w:rsidP="00292396">
            <w:pPr>
              <w:rPr>
                <w:rFonts w:ascii="Calibri" w:hAnsi="Calibri"/>
                <w:bCs/>
                <w:lang w:eastAsia="ja-JP"/>
              </w:rPr>
            </w:pPr>
            <w:r w:rsidRPr="00431061">
              <w:rPr>
                <w:rFonts w:ascii="Calibri" w:hAnsi="Calibri"/>
                <w:bCs/>
                <w:lang w:eastAsia="ja-JP"/>
              </w:rPr>
              <w:t>2021</w:t>
            </w:r>
            <w:r>
              <w:rPr>
                <w:rFonts w:ascii="Calibri" w:hAnsi="Calibri"/>
                <w:bCs/>
                <w:lang w:eastAsia="ja-JP"/>
              </w:rPr>
              <w:t xml:space="preserve"> </w:t>
            </w:r>
            <w:r w:rsidRPr="00431061">
              <w:rPr>
                <w:rFonts w:ascii="Calibri" w:hAnsi="Calibri"/>
                <w:bCs/>
                <w:lang w:eastAsia="ja-JP"/>
              </w:rPr>
              <w:t>-2027</w:t>
            </w:r>
          </w:p>
        </w:tc>
        <w:tc>
          <w:tcPr>
            <w:tcW w:w="484" w:type="pct"/>
            <w:gridSpan w:val="2"/>
            <w:shd w:val="clear" w:color="auto" w:fill="F2F2F2"/>
          </w:tcPr>
          <w:p w14:paraId="5C707E3B" w14:textId="77777777" w:rsidR="00395D01" w:rsidRPr="00912996" w:rsidRDefault="00395D01" w:rsidP="00292396">
            <w:pPr>
              <w:rPr>
                <w:rFonts w:ascii="Calibri" w:hAnsi="Calibri"/>
                <w:bCs/>
                <w:lang w:eastAsia="ja-JP"/>
              </w:rPr>
            </w:pPr>
            <w:r w:rsidRPr="00431061">
              <w:rPr>
                <w:rFonts w:ascii="Calibri" w:hAnsi="Calibri"/>
                <w:bCs/>
                <w:lang w:eastAsia="ja-JP"/>
              </w:rPr>
              <w:t>PNDL , Bugetul local</w:t>
            </w:r>
          </w:p>
        </w:tc>
        <w:tc>
          <w:tcPr>
            <w:tcW w:w="433" w:type="pct"/>
            <w:shd w:val="clear" w:color="auto" w:fill="F2F2F2"/>
          </w:tcPr>
          <w:p w14:paraId="62A78655" w14:textId="77777777" w:rsidR="00395D01" w:rsidRPr="00912996" w:rsidRDefault="00395D01" w:rsidP="00292396">
            <w:pPr>
              <w:rPr>
                <w:rFonts w:ascii="Calibri" w:hAnsi="Calibri"/>
                <w:bCs/>
                <w:lang w:eastAsia="ja-JP"/>
              </w:rPr>
            </w:pPr>
            <w:r>
              <w:rPr>
                <w:rFonts w:ascii="Calibri" w:hAnsi="Calibri"/>
                <w:bCs/>
                <w:lang w:eastAsia="ja-JP"/>
              </w:rPr>
              <w:t>Proiect prioritar</w:t>
            </w:r>
          </w:p>
        </w:tc>
        <w:tc>
          <w:tcPr>
            <w:tcW w:w="482" w:type="pct"/>
            <w:shd w:val="clear" w:color="auto" w:fill="F2F2F2"/>
          </w:tcPr>
          <w:p w14:paraId="4FD9501B" w14:textId="77777777" w:rsidR="00395D01" w:rsidRPr="00912996" w:rsidRDefault="00395D01" w:rsidP="00292396">
            <w:pPr>
              <w:rPr>
                <w:rFonts w:ascii="Calibri" w:hAnsi="Calibri"/>
                <w:bCs/>
                <w:lang w:eastAsia="ja-JP"/>
              </w:rPr>
            </w:pPr>
            <w:r>
              <w:rPr>
                <w:rFonts w:ascii="Calibri" w:hAnsi="Calibri"/>
                <w:bCs/>
                <w:lang w:eastAsia="ja-JP"/>
              </w:rPr>
              <w:t>PS2</w:t>
            </w:r>
          </w:p>
        </w:tc>
      </w:tr>
      <w:tr w:rsidR="00E16711" w:rsidRPr="00912996" w14:paraId="744A61B1" w14:textId="77777777" w:rsidTr="00622F43">
        <w:trPr>
          <w:trHeight w:val="705"/>
        </w:trPr>
        <w:tc>
          <w:tcPr>
            <w:tcW w:w="205" w:type="pct"/>
            <w:shd w:val="clear" w:color="auto" w:fill="F2F2F2"/>
            <w:noWrap/>
          </w:tcPr>
          <w:p w14:paraId="463E38B9" w14:textId="77777777" w:rsidR="00395D01" w:rsidRPr="00912996" w:rsidRDefault="00395D01" w:rsidP="00292396">
            <w:pPr>
              <w:rPr>
                <w:rFonts w:ascii="Calibri" w:hAnsi="Calibri"/>
                <w:bCs/>
                <w:lang w:eastAsia="ja-JP"/>
              </w:rPr>
            </w:pPr>
            <w:r>
              <w:rPr>
                <w:rFonts w:ascii="Calibri" w:hAnsi="Calibri"/>
                <w:bCs/>
                <w:lang w:eastAsia="ja-JP"/>
              </w:rPr>
              <w:t>124</w:t>
            </w:r>
          </w:p>
        </w:tc>
        <w:tc>
          <w:tcPr>
            <w:tcW w:w="1018" w:type="pct"/>
            <w:gridSpan w:val="2"/>
            <w:shd w:val="clear" w:color="auto" w:fill="F2F2F2"/>
          </w:tcPr>
          <w:p w14:paraId="5C12F203" w14:textId="77777777" w:rsidR="00395D01" w:rsidRPr="00912996" w:rsidRDefault="00395D01" w:rsidP="00292396">
            <w:pPr>
              <w:rPr>
                <w:rFonts w:ascii="Calibri" w:hAnsi="Calibri"/>
                <w:bCs/>
                <w:lang w:eastAsia="ja-JP"/>
              </w:rPr>
            </w:pPr>
            <w:r w:rsidRPr="003C15E8">
              <w:rPr>
                <w:rFonts w:ascii="Calibri" w:hAnsi="Calibri"/>
                <w:bCs/>
                <w:lang w:eastAsia="ja-JP"/>
              </w:rPr>
              <w:t>Modernizare - Școala Gimnazială nr.</w:t>
            </w:r>
            <w:r>
              <w:rPr>
                <w:rFonts w:ascii="Calibri" w:hAnsi="Calibri"/>
                <w:bCs/>
                <w:lang w:eastAsia="ja-JP"/>
              </w:rPr>
              <w:t xml:space="preserve"> </w:t>
            </w:r>
            <w:r w:rsidRPr="003C15E8">
              <w:rPr>
                <w:rFonts w:ascii="Calibri" w:hAnsi="Calibri"/>
                <w:bCs/>
                <w:lang w:eastAsia="ja-JP"/>
              </w:rPr>
              <w:t>62 - C2</w:t>
            </w:r>
          </w:p>
        </w:tc>
        <w:tc>
          <w:tcPr>
            <w:tcW w:w="640" w:type="pct"/>
            <w:shd w:val="clear" w:color="auto" w:fill="F2F2F2"/>
          </w:tcPr>
          <w:p w14:paraId="5DDB5101" w14:textId="77777777" w:rsidR="00395D01" w:rsidRPr="00912996" w:rsidRDefault="00395D01" w:rsidP="00292396">
            <w:pPr>
              <w:rPr>
                <w:rFonts w:ascii="Calibri" w:hAnsi="Calibri"/>
                <w:bCs/>
                <w:lang w:eastAsia="ja-JP"/>
              </w:rPr>
            </w:pPr>
            <w:r w:rsidRPr="003C15E8">
              <w:rPr>
                <w:rFonts w:ascii="Calibri" w:hAnsi="Calibri"/>
                <w:bCs/>
                <w:lang w:eastAsia="ja-JP"/>
              </w:rPr>
              <w:t>PS2, DGAPI</w:t>
            </w:r>
          </w:p>
        </w:tc>
        <w:tc>
          <w:tcPr>
            <w:tcW w:w="507" w:type="pct"/>
            <w:shd w:val="clear" w:color="auto" w:fill="F2F2F2"/>
          </w:tcPr>
          <w:p w14:paraId="41BF6D21" w14:textId="77777777" w:rsidR="00395D01" w:rsidRPr="00912996" w:rsidRDefault="00395D01" w:rsidP="00292396">
            <w:pPr>
              <w:rPr>
                <w:rFonts w:ascii="Calibri" w:hAnsi="Calibri"/>
                <w:bCs/>
                <w:lang w:eastAsia="ja-JP"/>
              </w:rPr>
            </w:pPr>
            <w:r w:rsidRPr="003C15E8">
              <w:rPr>
                <w:rFonts w:ascii="Calibri" w:hAnsi="Calibri"/>
                <w:bCs/>
                <w:lang w:eastAsia="ja-JP"/>
              </w:rPr>
              <w:t>În implementare</w:t>
            </w:r>
          </w:p>
        </w:tc>
        <w:tc>
          <w:tcPr>
            <w:tcW w:w="473" w:type="pct"/>
            <w:shd w:val="clear" w:color="auto" w:fill="F2F2F2"/>
          </w:tcPr>
          <w:p w14:paraId="67CA55B1" w14:textId="77777777" w:rsidR="00395D01" w:rsidRPr="00912996" w:rsidRDefault="00395D01" w:rsidP="00292396">
            <w:pPr>
              <w:rPr>
                <w:rFonts w:ascii="Calibri" w:hAnsi="Calibri"/>
                <w:bCs/>
                <w:lang w:eastAsia="ja-JP"/>
              </w:rPr>
            </w:pPr>
            <w:r w:rsidRPr="003C15E8">
              <w:rPr>
                <w:rFonts w:ascii="Calibri" w:hAnsi="Calibri"/>
                <w:bCs/>
                <w:lang w:eastAsia="ja-JP"/>
              </w:rPr>
              <w:t>10</w:t>
            </w:r>
            <w:r>
              <w:rPr>
                <w:rFonts w:ascii="Calibri" w:hAnsi="Calibri"/>
                <w:bCs/>
                <w:lang w:eastAsia="ja-JP"/>
              </w:rPr>
              <w:t>,</w:t>
            </w:r>
            <w:r w:rsidRPr="003C15E8">
              <w:rPr>
                <w:rFonts w:ascii="Calibri" w:hAnsi="Calibri"/>
                <w:bCs/>
                <w:lang w:eastAsia="ja-JP"/>
              </w:rPr>
              <w:t>977</w:t>
            </w:r>
            <w:r>
              <w:rPr>
                <w:rFonts w:ascii="Calibri" w:hAnsi="Calibri"/>
                <w:bCs/>
                <w:lang w:eastAsia="ja-JP"/>
              </w:rPr>
              <w:t>,</w:t>
            </w:r>
            <w:r w:rsidRPr="003C15E8">
              <w:rPr>
                <w:rFonts w:ascii="Calibri" w:hAnsi="Calibri"/>
                <w:bCs/>
                <w:lang w:eastAsia="ja-JP"/>
              </w:rPr>
              <w:t>311</w:t>
            </w:r>
          </w:p>
        </w:tc>
        <w:tc>
          <w:tcPr>
            <w:tcW w:w="411" w:type="pct"/>
            <w:shd w:val="clear" w:color="auto" w:fill="F2F2F2"/>
          </w:tcPr>
          <w:p w14:paraId="584644CF" w14:textId="77777777" w:rsidR="00395D01" w:rsidRPr="00912996" w:rsidRDefault="00395D01" w:rsidP="00292396">
            <w:pPr>
              <w:rPr>
                <w:rFonts w:ascii="Calibri" w:hAnsi="Calibri"/>
                <w:bCs/>
                <w:lang w:eastAsia="ja-JP"/>
              </w:rPr>
            </w:pPr>
            <w:r>
              <w:rPr>
                <w:rFonts w:ascii="Calibri" w:hAnsi="Calibri"/>
                <w:bCs/>
                <w:lang w:eastAsia="ja-JP"/>
              </w:rPr>
              <w:t>2,240,268</w:t>
            </w:r>
          </w:p>
        </w:tc>
        <w:tc>
          <w:tcPr>
            <w:tcW w:w="347" w:type="pct"/>
            <w:shd w:val="clear" w:color="auto" w:fill="F2F2F2"/>
            <w:noWrap/>
          </w:tcPr>
          <w:p w14:paraId="1ACAAD6A" w14:textId="77777777" w:rsidR="00395D01" w:rsidRPr="00912996" w:rsidRDefault="00395D01" w:rsidP="00292396">
            <w:pPr>
              <w:rPr>
                <w:rFonts w:ascii="Calibri" w:hAnsi="Calibri"/>
                <w:bCs/>
                <w:lang w:eastAsia="ja-JP"/>
              </w:rPr>
            </w:pPr>
            <w:r w:rsidRPr="00431061">
              <w:rPr>
                <w:rFonts w:ascii="Calibri" w:hAnsi="Calibri"/>
                <w:bCs/>
                <w:lang w:eastAsia="ja-JP"/>
              </w:rPr>
              <w:t>2021</w:t>
            </w:r>
            <w:r>
              <w:rPr>
                <w:rFonts w:ascii="Calibri" w:hAnsi="Calibri"/>
                <w:bCs/>
                <w:lang w:eastAsia="ja-JP"/>
              </w:rPr>
              <w:t xml:space="preserve"> </w:t>
            </w:r>
            <w:r w:rsidRPr="00431061">
              <w:rPr>
                <w:rFonts w:ascii="Calibri" w:hAnsi="Calibri"/>
                <w:bCs/>
                <w:lang w:eastAsia="ja-JP"/>
              </w:rPr>
              <w:t>-2027</w:t>
            </w:r>
          </w:p>
        </w:tc>
        <w:tc>
          <w:tcPr>
            <w:tcW w:w="484" w:type="pct"/>
            <w:gridSpan w:val="2"/>
            <w:shd w:val="clear" w:color="auto" w:fill="F2F2F2"/>
          </w:tcPr>
          <w:p w14:paraId="6C6B8AC8" w14:textId="77777777" w:rsidR="00395D01" w:rsidRPr="00912996" w:rsidRDefault="00395D01" w:rsidP="00292396">
            <w:pPr>
              <w:rPr>
                <w:rFonts w:ascii="Calibri" w:hAnsi="Calibri"/>
                <w:bCs/>
                <w:lang w:eastAsia="ja-JP"/>
              </w:rPr>
            </w:pPr>
            <w:r w:rsidRPr="00431061">
              <w:rPr>
                <w:rFonts w:ascii="Calibri" w:hAnsi="Calibri"/>
                <w:bCs/>
                <w:lang w:eastAsia="ja-JP"/>
              </w:rPr>
              <w:t>Bugetul local</w:t>
            </w:r>
          </w:p>
        </w:tc>
        <w:tc>
          <w:tcPr>
            <w:tcW w:w="433" w:type="pct"/>
            <w:shd w:val="clear" w:color="auto" w:fill="F2F2F2"/>
          </w:tcPr>
          <w:p w14:paraId="74B7FB3C" w14:textId="77777777" w:rsidR="00395D01" w:rsidRPr="00912996" w:rsidRDefault="00395D01" w:rsidP="00292396">
            <w:pPr>
              <w:rPr>
                <w:rFonts w:ascii="Calibri" w:hAnsi="Calibri"/>
                <w:bCs/>
                <w:lang w:eastAsia="ja-JP"/>
              </w:rPr>
            </w:pPr>
            <w:r>
              <w:rPr>
                <w:rFonts w:ascii="Calibri" w:hAnsi="Calibri"/>
                <w:bCs/>
                <w:lang w:eastAsia="ja-JP"/>
              </w:rPr>
              <w:t>Proiect prioritar</w:t>
            </w:r>
          </w:p>
        </w:tc>
        <w:tc>
          <w:tcPr>
            <w:tcW w:w="482" w:type="pct"/>
            <w:shd w:val="clear" w:color="auto" w:fill="F2F2F2"/>
          </w:tcPr>
          <w:p w14:paraId="512E323E" w14:textId="77777777" w:rsidR="00395D01" w:rsidRPr="00912996" w:rsidRDefault="00395D01" w:rsidP="00292396">
            <w:pPr>
              <w:rPr>
                <w:rFonts w:ascii="Calibri" w:hAnsi="Calibri"/>
                <w:bCs/>
                <w:lang w:eastAsia="ja-JP"/>
              </w:rPr>
            </w:pPr>
            <w:r>
              <w:rPr>
                <w:rFonts w:ascii="Calibri" w:hAnsi="Calibri"/>
                <w:bCs/>
                <w:lang w:eastAsia="ja-JP"/>
              </w:rPr>
              <w:t>PS2</w:t>
            </w:r>
          </w:p>
        </w:tc>
      </w:tr>
      <w:tr w:rsidR="00E16711" w:rsidRPr="00912996" w14:paraId="6FB7618E" w14:textId="77777777" w:rsidTr="00622F43">
        <w:trPr>
          <w:trHeight w:val="894"/>
        </w:trPr>
        <w:tc>
          <w:tcPr>
            <w:tcW w:w="205" w:type="pct"/>
            <w:shd w:val="clear" w:color="auto" w:fill="F2F2F2"/>
            <w:noWrap/>
          </w:tcPr>
          <w:p w14:paraId="6492B617" w14:textId="77777777" w:rsidR="00395D01" w:rsidRPr="00912996" w:rsidRDefault="00395D01" w:rsidP="00292396">
            <w:pPr>
              <w:rPr>
                <w:rFonts w:ascii="Calibri" w:hAnsi="Calibri"/>
                <w:bCs/>
                <w:lang w:eastAsia="ja-JP"/>
              </w:rPr>
            </w:pPr>
            <w:r>
              <w:rPr>
                <w:rFonts w:ascii="Calibri" w:hAnsi="Calibri"/>
                <w:bCs/>
                <w:lang w:eastAsia="ja-JP"/>
              </w:rPr>
              <w:t>125</w:t>
            </w:r>
          </w:p>
        </w:tc>
        <w:tc>
          <w:tcPr>
            <w:tcW w:w="1018" w:type="pct"/>
            <w:gridSpan w:val="2"/>
            <w:shd w:val="clear" w:color="auto" w:fill="F2F2F2"/>
          </w:tcPr>
          <w:p w14:paraId="6B6074AF" w14:textId="77777777" w:rsidR="00395D01" w:rsidRPr="00912996" w:rsidRDefault="00395D01" w:rsidP="00292396">
            <w:pPr>
              <w:rPr>
                <w:rFonts w:ascii="Calibri" w:hAnsi="Calibri"/>
                <w:bCs/>
                <w:lang w:eastAsia="ja-JP"/>
              </w:rPr>
            </w:pPr>
            <w:r w:rsidRPr="003C15E8">
              <w:rPr>
                <w:rFonts w:ascii="Calibri" w:hAnsi="Calibri"/>
                <w:bCs/>
                <w:lang w:eastAsia="ja-JP"/>
              </w:rPr>
              <w:t>Modernizare imobil școală, internat și sală de sport - Școala Gimnazială nr. 24</w:t>
            </w:r>
          </w:p>
        </w:tc>
        <w:tc>
          <w:tcPr>
            <w:tcW w:w="640" w:type="pct"/>
            <w:shd w:val="clear" w:color="auto" w:fill="F2F2F2"/>
          </w:tcPr>
          <w:p w14:paraId="6E693FBA" w14:textId="77777777" w:rsidR="00395D01" w:rsidRPr="00912996" w:rsidRDefault="00395D01" w:rsidP="00292396">
            <w:pPr>
              <w:rPr>
                <w:rFonts w:ascii="Calibri" w:hAnsi="Calibri"/>
                <w:bCs/>
                <w:lang w:eastAsia="ja-JP"/>
              </w:rPr>
            </w:pPr>
            <w:r w:rsidRPr="003C15E8">
              <w:rPr>
                <w:rFonts w:ascii="Calibri" w:hAnsi="Calibri"/>
                <w:bCs/>
                <w:lang w:eastAsia="ja-JP"/>
              </w:rPr>
              <w:t>PS2, DGAPI</w:t>
            </w:r>
          </w:p>
        </w:tc>
        <w:tc>
          <w:tcPr>
            <w:tcW w:w="507" w:type="pct"/>
            <w:shd w:val="clear" w:color="auto" w:fill="F2F2F2"/>
          </w:tcPr>
          <w:p w14:paraId="56BEC0F9" w14:textId="77777777" w:rsidR="00395D01" w:rsidRPr="00912996" w:rsidRDefault="00395D01" w:rsidP="00292396">
            <w:pPr>
              <w:rPr>
                <w:rFonts w:ascii="Calibri" w:hAnsi="Calibri"/>
                <w:bCs/>
                <w:lang w:eastAsia="ja-JP"/>
              </w:rPr>
            </w:pPr>
            <w:r w:rsidRPr="003C15E8">
              <w:rPr>
                <w:rFonts w:ascii="Calibri" w:hAnsi="Calibri"/>
                <w:bCs/>
                <w:lang w:eastAsia="ja-JP"/>
              </w:rPr>
              <w:t>În implementare</w:t>
            </w:r>
          </w:p>
        </w:tc>
        <w:tc>
          <w:tcPr>
            <w:tcW w:w="473" w:type="pct"/>
            <w:shd w:val="clear" w:color="auto" w:fill="F2F2F2"/>
          </w:tcPr>
          <w:p w14:paraId="6EFDFAC7" w14:textId="77777777" w:rsidR="00395D01" w:rsidRPr="00912996" w:rsidRDefault="00395D01" w:rsidP="00292396">
            <w:pPr>
              <w:rPr>
                <w:rFonts w:ascii="Calibri" w:hAnsi="Calibri"/>
                <w:bCs/>
                <w:lang w:eastAsia="ja-JP"/>
              </w:rPr>
            </w:pPr>
            <w:r w:rsidRPr="003C15E8">
              <w:rPr>
                <w:rFonts w:ascii="Calibri" w:hAnsi="Calibri"/>
                <w:bCs/>
                <w:lang w:eastAsia="ja-JP"/>
              </w:rPr>
              <w:t>11</w:t>
            </w:r>
            <w:r>
              <w:rPr>
                <w:rFonts w:ascii="Calibri" w:hAnsi="Calibri"/>
                <w:bCs/>
                <w:lang w:eastAsia="ja-JP"/>
              </w:rPr>
              <w:t>,</w:t>
            </w:r>
            <w:r w:rsidRPr="003C15E8">
              <w:rPr>
                <w:rFonts w:ascii="Calibri" w:hAnsi="Calibri"/>
                <w:bCs/>
                <w:lang w:eastAsia="ja-JP"/>
              </w:rPr>
              <w:t>191</w:t>
            </w:r>
            <w:r>
              <w:rPr>
                <w:rFonts w:ascii="Calibri" w:hAnsi="Calibri"/>
                <w:bCs/>
                <w:lang w:eastAsia="ja-JP"/>
              </w:rPr>
              <w:t>,</w:t>
            </w:r>
            <w:r w:rsidRPr="003C15E8">
              <w:rPr>
                <w:rFonts w:ascii="Calibri" w:hAnsi="Calibri"/>
                <w:bCs/>
                <w:lang w:eastAsia="ja-JP"/>
              </w:rPr>
              <w:t>619</w:t>
            </w:r>
          </w:p>
        </w:tc>
        <w:tc>
          <w:tcPr>
            <w:tcW w:w="411" w:type="pct"/>
            <w:shd w:val="clear" w:color="auto" w:fill="F2F2F2"/>
          </w:tcPr>
          <w:p w14:paraId="208A9AD5" w14:textId="77777777" w:rsidR="00395D01" w:rsidRPr="00912996" w:rsidRDefault="00395D01" w:rsidP="00292396">
            <w:pPr>
              <w:rPr>
                <w:rFonts w:ascii="Calibri" w:hAnsi="Calibri"/>
                <w:bCs/>
                <w:lang w:eastAsia="ja-JP"/>
              </w:rPr>
            </w:pPr>
            <w:r>
              <w:rPr>
                <w:rFonts w:ascii="Calibri" w:hAnsi="Calibri"/>
                <w:bCs/>
                <w:lang w:eastAsia="ja-JP"/>
              </w:rPr>
              <w:t>2,284,004</w:t>
            </w:r>
          </w:p>
        </w:tc>
        <w:tc>
          <w:tcPr>
            <w:tcW w:w="347" w:type="pct"/>
            <w:shd w:val="clear" w:color="auto" w:fill="F2F2F2"/>
            <w:noWrap/>
          </w:tcPr>
          <w:p w14:paraId="00629EA5" w14:textId="77777777" w:rsidR="00395D01" w:rsidRPr="00912996" w:rsidRDefault="00395D01" w:rsidP="00292396">
            <w:pPr>
              <w:rPr>
                <w:rFonts w:ascii="Calibri" w:hAnsi="Calibri"/>
                <w:bCs/>
                <w:lang w:eastAsia="ja-JP"/>
              </w:rPr>
            </w:pPr>
            <w:r w:rsidRPr="00431061">
              <w:rPr>
                <w:rFonts w:ascii="Calibri" w:hAnsi="Calibri"/>
                <w:bCs/>
                <w:lang w:eastAsia="ja-JP"/>
              </w:rPr>
              <w:t>2021</w:t>
            </w:r>
            <w:r>
              <w:rPr>
                <w:rFonts w:ascii="Calibri" w:hAnsi="Calibri"/>
                <w:bCs/>
                <w:lang w:eastAsia="ja-JP"/>
              </w:rPr>
              <w:t xml:space="preserve"> </w:t>
            </w:r>
            <w:r w:rsidRPr="00431061">
              <w:rPr>
                <w:rFonts w:ascii="Calibri" w:hAnsi="Calibri"/>
                <w:bCs/>
                <w:lang w:eastAsia="ja-JP"/>
              </w:rPr>
              <w:t>-2027</w:t>
            </w:r>
          </w:p>
        </w:tc>
        <w:tc>
          <w:tcPr>
            <w:tcW w:w="484" w:type="pct"/>
            <w:gridSpan w:val="2"/>
            <w:shd w:val="clear" w:color="auto" w:fill="F2F2F2"/>
          </w:tcPr>
          <w:p w14:paraId="626CDB6F" w14:textId="77777777" w:rsidR="00395D01" w:rsidRPr="00912996" w:rsidRDefault="00395D01" w:rsidP="00292396">
            <w:pPr>
              <w:rPr>
                <w:rFonts w:ascii="Calibri" w:hAnsi="Calibri"/>
                <w:bCs/>
                <w:lang w:eastAsia="ja-JP"/>
              </w:rPr>
            </w:pPr>
            <w:r w:rsidRPr="00431061">
              <w:rPr>
                <w:rFonts w:ascii="Calibri" w:hAnsi="Calibri"/>
                <w:bCs/>
                <w:lang w:eastAsia="ja-JP"/>
              </w:rPr>
              <w:t>Bugetul local</w:t>
            </w:r>
          </w:p>
        </w:tc>
        <w:tc>
          <w:tcPr>
            <w:tcW w:w="433" w:type="pct"/>
            <w:shd w:val="clear" w:color="auto" w:fill="F2F2F2"/>
          </w:tcPr>
          <w:p w14:paraId="052B13B6" w14:textId="77777777" w:rsidR="00395D01" w:rsidRPr="00912996" w:rsidRDefault="00395D01" w:rsidP="00292396">
            <w:pPr>
              <w:rPr>
                <w:rFonts w:ascii="Calibri" w:hAnsi="Calibri"/>
                <w:bCs/>
                <w:lang w:eastAsia="ja-JP"/>
              </w:rPr>
            </w:pPr>
            <w:r>
              <w:rPr>
                <w:rFonts w:ascii="Calibri" w:hAnsi="Calibri"/>
                <w:bCs/>
                <w:lang w:eastAsia="ja-JP"/>
              </w:rPr>
              <w:t>Proiect prioritar</w:t>
            </w:r>
          </w:p>
        </w:tc>
        <w:tc>
          <w:tcPr>
            <w:tcW w:w="482" w:type="pct"/>
            <w:shd w:val="clear" w:color="auto" w:fill="F2F2F2"/>
          </w:tcPr>
          <w:p w14:paraId="609FDB92" w14:textId="77777777" w:rsidR="00395D01" w:rsidRPr="00912996" w:rsidRDefault="00395D01" w:rsidP="00292396">
            <w:pPr>
              <w:rPr>
                <w:rFonts w:ascii="Calibri" w:hAnsi="Calibri"/>
                <w:bCs/>
                <w:lang w:eastAsia="ja-JP"/>
              </w:rPr>
            </w:pPr>
            <w:r>
              <w:rPr>
                <w:rFonts w:ascii="Calibri" w:hAnsi="Calibri"/>
                <w:bCs/>
                <w:lang w:eastAsia="ja-JP"/>
              </w:rPr>
              <w:t>PS2</w:t>
            </w:r>
          </w:p>
        </w:tc>
      </w:tr>
      <w:tr w:rsidR="00E16711" w:rsidRPr="00912996" w14:paraId="47E5F4B6" w14:textId="77777777" w:rsidTr="00622F43">
        <w:trPr>
          <w:trHeight w:val="984"/>
        </w:trPr>
        <w:tc>
          <w:tcPr>
            <w:tcW w:w="205" w:type="pct"/>
            <w:shd w:val="clear" w:color="auto" w:fill="F2F2F2"/>
            <w:noWrap/>
          </w:tcPr>
          <w:p w14:paraId="6926658A" w14:textId="77777777" w:rsidR="00395D01" w:rsidRPr="00912996" w:rsidRDefault="00395D01" w:rsidP="00292396">
            <w:pPr>
              <w:rPr>
                <w:rFonts w:ascii="Calibri" w:hAnsi="Calibri"/>
                <w:bCs/>
                <w:lang w:eastAsia="ja-JP"/>
              </w:rPr>
            </w:pPr>
            <w:r>
              <w:rPr>
                <w:rFonts w:ascii="Calibri" w:hAnsi="Calibri"/>
                <w:bCs/>
                <w:lang w:eastAsia="ja-JP"/>
              </w:rPr>
              <w:t>126</w:t>
            </w:r>
          </w:p>
        </w:tc>
        <w:tc>
          <w:tcPr>
            <w:tcW w:w="1018" w:type="pct"/>
            <w:gridSpan w:val="2"/>
            <w:shd w:val="clear" w:color="auto" w:fill="F2F2F2"/>
          </w:tcPr>
          <w:p w14:paraId="01126123" w14:textId="77777777" w:rsidR="00395D01" w:rsidRPr="00912996" w:rsidRDefault="00395D01" w:rsidP="00292396">
            <w:pPr>
              <w:rPr>
                <w:rFonts w:ascii="Calibri" w:hAnsi="Calibri"/>
                <w:bCs/>
                <w:lang w:eastAsia="ja-JP"/>
              </w:rPr>
            </w:pPr>
            <w:r w:rsidRPr="003C15E8">
              <w:rPr>
                <w:rFonts w:ascii="Calibri" w:hAnsi="Calibri"/>
                <w:bCs/>
                <w:lang w:eastAsia="ja-JP"/>
              </w:rPr>
              <w:t>Reabilitare, modernizare - Școala Gimnazială Iancului - Grădiniță Scolii Iancului, Str. Popa Nan nr. 47 B</w:t>
            </w:r>
          </w:p>
        </w:tc>
        <w:tc>
          <w:tcPr>
            <w:tcW w:w="640" w:type="pct"/>
            <w:shd w:val="clear" w:color="auto" w:fill="F2F2F2"/>
          </w:tcPr>
          <w:p w14:paraId="392534D0" w14:textId="77777777" w:rsidR="00395D01" w:rsidRPr="00912996" w:rsidRDefault="00395D01" w:rsidP="00292396">
            <w:pPr>
              <w:rPr>
                <w:rFonts w:ascii="Calibri" w:hAnsi="Calibri"/>
                <w:bCs/>
                <w:lang w:eastAsia="ja-JP"/>
              </w:rPr>
            </w:pPr>
            <w:r w:rsidRPr="003C15E8">
              <w:rPr>
                <w:rFonts w:ascii="Calibri" w:hAnsi="Calibri"/>
                <w:bCs/>
                <w:lang w:eastAsia="ja-JP"/>
              </w:rPr>
              <w:t>PS2, DGAPI</w:t>
            </w:r>
          </w:p>
        </w:tc>
        <w:tc>
          <w:tcPr>
            <w:tcW w:w="507" w:type="pct"/>
            <w:shd w:val="clear" w:color="auto" w:fill="F2F2F2"/>
          </w:tcPr>
          <w:p w14:paraId="6367D2C6" w14:textId="77777777" w:rsidR="00395D01" w:rsidRPr="00912996" w:rsidRDefault="00395D01" w:rsidP="00292396">
            <w:pPr>
              <w:rPr>
                <w:rFonts w:ascii="Calibri" w:hAnsi="Calibri"/>
                <w:bCs/>
                <w:lang w:eastAsia="ja-JP"/>
              </w:rPr>
            </w:pPr>
            <w:r w:rsidRPr="003C15E8">
              <w:rPr>
                <w:rFonts w:ascii="Calibri" w:hAnsi="Calibri"/>
                <w:bCs/>
                <w:lang w:eastAsia="ja-JP"/>
              </w:rPr>
              <w:t>În implementare</w:t>
            </w:r>
          </w:p>
        </w:tc>
        <w:tc>
          <w:tcPr>
            <w:tcW w:w="473" w:type="pct"/>
            <w:shd w:val="clear" w:color="auto" w:fill="F2F2F2"/>
          </w:tcPr>
          <w:p w14:paraId="210DD89D" w14:textId="77777777" w:rsidR="00395D01" w:rsidRPr="00912996" w:rsidRDefault="00395D01" w:rsidP="00292396">
            <w:pPr>
              <w:rPr>
                <w:rFonts w:ascii="Calibri" w:hAnsi="Calibri"/>
                <w:bCs/>
                <w:lang w:eastAsia="ja-JP"/>
              </w:rPr>
            </w:pPr>
            <w:r w:rsidRPr="003C15E8">
              <w:rPr>
                <w:rFonts w:ascii="Calibri" w:hAnsi="Calibri"/>
                <w:bCs/>
                <w:lang w:eastAsia="ja-JP"/>
              </w:rPr>
              <w:t>3</w:t>
            </w:r>
            <w:r>
              <w:rPr>
                <w:rFonts w:ascii="Calibri" w:hAnsi="Calibri"/>
                <w:bCs/>
                <w:lang w:eastAsia="ja-JP"/>
              </w:rPr>
              <w:t>,</w:t>
            </w:r>
            <w:r w:rsidRPr="003C15E8">
              <w:rPr>
                <w:rFonts w:ascii="Calibri" w:hAnsi="Calibri"/>
                <w:bCs/>
                <w:lang w:eastAsia="ja-JP"/>
              </w:rPr>
              <w:t>182</w:t>
            </w:r>
            <w:r>
              <w:rPr>
                <w:rFonts w:ascii="Calibri" w:hAnsi="Calibri"/>
                <w:bCs/>
                <w:lang w:eastAsia="ja-JP"/>
              </w:rPr>
              <w:t>,</w:t>
            </w:r>
            <w:r w:rsidRPr="003C15E8">
              <w:rPr>
                <w:rFonts w:ascii="Calibri" w:hAnsi="Calibri"/>
                <w:bCs/>
                <w:lang w:eastAsia="ja-JP"/>
              </w:rPr>
              <w:t>594</w:t>
            </w:r>
          </w:p>
        </w:tc>
        <w:tc>
          <w:tcPr>
            <w:tcW w:w="411" w:type="pct"/>
            <w:shd w:val="clear" w:color="auto" w:fill="F2F2F2"/>
          </w:tcPr>
          <w:p w14:paraId="2B3BBAFB" w14:textId="77777777" w:rsidR="00395D01" w:rsidRPr="00912996" w:rsidRDefault="00395D01" w:rsidP="00292396">
            <w:pPr>
              <w:rPr>
                <w:rFonts w:ascii="Calibri" w:hAnsi="Calibri"/>
                <w:bCs/>
                <w:lang w:eastAsia="ja-JP"/>
              </w:rPr>
            </w:pPr>
            <w:r>
              <w:rPr>
                <w:rFonts w:ascii="Calibri" w:hAnsi="Calibri"/>
                <w:bCs/>
                <w:lang w:eastAsia="ja-JP"/>
              </w:rPr>
              <w:t>649,509</w:t>
            </w:r>
          </w:p>
        </w:tc>
        <w:tc>
          <w:tcPr>
            <w:tcW w:w="347" w:type="pct"/>
            <w:shd w:val="clear" w:color="auto" w:fill="F2F2F2"/>
            <w:noWrap/>
          </w:tcPr>
          <w:p w14:paraId="2D80EEA6" w14:textId="77777777" w:rsidR="00395D01" w:rsidRPr="00912996" w:rsidRDefault="00395D01" w:rsidP="00292396">
            <w:pPr>
              <w:rPr>
                <w:rFonts w:ascii="Calibri" w:hAnsi="Calibri"/>
                <w:bCs/>
                <w:lang w:eastAsia="ja-JP"/>
              </w:rPr>
            </w:pPr>
            <w:r w:rsidRPr="00431061">
              <w:rPr>
                <w:rFonts w:ascii="Calibri" w:hAnsi="Calibri"/>
                <w:bCs/>
                <w:lang w:eastAsia="ja-JP"/>
              </w:rPr>
              <w:t>2021</w:t>
            </w:r>
            <w:r>
              <w:rPr>
                <w:rFonts w:ascii="Calibri" w:hAnsi="Calibri"/>
                <w:bCs/>
                <w:lang w:eastAsia="ja-JP"/>
              </w:rPr>
              <w:t xml:space="preserve"> </w:t>
            </w:r>
            <w:r w:rsidRPr="00431061">
              <w:rPr>
                <w:rFonts w:ascii="Calibri" w:hAnsi="Calibri"/>
                <w:bCs/>
                <w:lang w:eastAsia="ja-JP"/>
              </w:rPr>
              <w:t>-2027</w:t>
            </w:r>
          </w:p>
        </w:tc>
        <w:tc>
          <w:tcPr>
            <w:tcW w:w="484" w:type="pct"/>
            <w:gridSpan w:val="2"/>
            <w:shd w:val="clear" w:color="auto" w:fill="F2F2F2"/>
          </w:tcPr>
          <w:p w14:paraId="46502A60" w14:textId="77777777" w:rsidR="00395D01" w:rsidRPr="00912996" w:rsidRDefault="00395D01" w:rsidP="00292396">
            <w:pPr>
              <w:rPr>
                <w:rFonts w:ascii="Calibri" w:hAnsi="Calibri"/>
                <w:bCs/>
                <w:lang w:eastAsia="ja-JP"/>
              </w:rPr>
            </w:pPr>
            <w:r w:rsidRPr="00431061">
              <w:rPr>
                <w:rFonts w:ascii="Calibri" w:hAnsi="Calibri"/>
                <w:bCs/>
                <w:lang w:eastAsia="ja-JP"/>
              </w:rPr>
              <w:t>Bugetul local</w:t>
            </w:r>
          </w:p>
        </w:tc>
        <w:tc>
          <w:tcPr>
            <w:tcW w:w="433" w:type="pct"/>
            <w:shd w:val="clear" w:color="auto" w:fill="F2F2F2"/>
          </w:tcPr>
          <w:p w14:paraId="0C767713" w14:textId="77777777" w:rsidR="00395D01" w:rsidRPr="00912996" w:rsidRDefault="00395D01" w:rsidP="00292396">
            <w:pPr>
              <w:rPr>
                <w:rFonts w:ascii="Calibri" w:hAnsi="Calibri"/>
                <w:bCs/>
                <w:lang w:eastAsia="ja-JP"/>
              </w:rPr>
            </w:pPr>
            <w:r>
              <w:rPr>
                <w:rFonts w:ascii="Calibri" w:hAnsi="Calibri"/>
                <w:bCs/>
                <w:lang w:eastAsia="ja-JP"/>
              </w:rPr>
              <w:t>Proiect prioritar</w:t>
            </w:r>
          </w:p>
        </w:tc>
        <w:tc>
          <w:tcPr>
            <w:tcW w:w="482" w:type="pct"/>
            <w:shd w:val="clear" w:color="auto" w:fill="F2F2F2"/>
          </w:tcPr>
          <w:p w14:paraId="37C2D158" w14:textId="77777777" w:rsidR="00395D01" w:rsidRPr="00912996" w:rsidRDefault="00395D01" w:rsidP="00292396">
            <w:pPr>
              <w:rPr>
                <w:rFonts w:ascii="Calibri" w:hAnsi="Calibri"/>
                <w:bCs/>
                <w:lang w:eastAsia="ja-JP"/>
              </w:rPr>
            </w:pPr>
            <w:r>
              <w:rPr>
                <w:rFonts w:ascii="Calibri" w:hAnsi="Calibri"/>
                <w:bCs/>
                <w:lang w:eastAsia="ja-JP"/>
              </w:rPr>
              <w:t>PS2</w:t>
            </w:r>
          </w:p>
        </w:tc>
      </w:tr>
      <w:tr w:rsidR="00E16711" w:rsidRPr="00912996" w14:paraId="034E0764" w14:textId="77777777" w:rsidTr="00E16711">
        <w:trPr>
          <w:trHeight w:val="1320"/>
        </w:trPr>
        <w:tc>
          <w:tcPr>
            <w:tcW w:w="205" w:type="pct"/>
            <w:shd w:val="clear" w:color="auto" w:fill="F2F2F2"/>
            <w:noWrap/>
          </w:tcPr>
          <w:p w14:paraId="5BE9B87E" w14:textId="77777777" w:rsidR="00395D01" w:rsidRPr="00912996" w:rsidRDefault="00395D01" w:rsidP="00292396">
            <w:pPr>
              <w:rPr>
                <w:rFonts w:ascii="Calibri" w:hAnsi="Calibri"/>
                <w:bCs/>
                <w:lang w:eastAsia="ja-JP"/>
              </w:rPr>
            </w:pPr>
            <w:r>
              <w:rPr>
                <w:rFonts w:ascii="Calibri" w:hAnsi="Calibri"/>
                <w:bCs/>
                <w:lang w:eastAsia="ja-JP"/>
              </w:rPr>
              <w:t>127</w:t>
            </w:r>
          </w:p>
        </w:tc>
        <w:tc>
          <w:tcPr>
            <w:tcW w:w="1018" w:type="pct"/>
            <w:gridSpan w:val="2"/>
            <w:shd w:val="clear" w:color="auto" w:fill="F2F2F2"/>
          </w:tcPr>
          <w:p w14:paraId="30579377" w14:textId="77777777" w:rsidR="00395D01" w:rsidRPr="00912996" w:rsidRDefault="00395D01" w:rsidP="00292396">
            <w:pPr>
              <w:rPr>
                <w:rFonts w:ascii="Calibri" w:hAnsi="Calibri"/>
                <w:bCs/>
                <w:lang w:eastAsia="ja-JP"/>
              </w:rPr>
            </w:pPr>
            <w:r w:rsidRPr="003C15E8">
              <w:rPr>
                <w:rFonts w:ascii="Calibri" w:hAnsi="Calibri"/>
                <w:bCs/>
                <w:lang w:eastAsia="ja-JP"/>
              </w:rPr>
              <w:t>Reabilitare, modernizare - Școala Gimnazială Iancului, B</w:t>
            </w:r>
            <w:r>
              <w:rPr>
                <w:rFonts w:ascii="Calibri" w:hAnsi="Calibri"/>
                <w:bCs/>
                <w:lang w:eastAsia="ja-JP"/>
              </w:rPr>
              <w:t>-</w:t>
            </w:r>
            <w:r w:rsidRPr="003C15E8">
              <w:rPr>
                <w:rFonts w:ascii="Calibri" w:hAnsi="Calibri"/>
                <w:bCs/>
                <w:lang w:eastAsia="ja-JP"/>
              </w:rPr>
              <w:t>dul Pache Protopopescu nr. 50</w:t>
            </w:r>
          </w:p>
        </w:tc>
        <w:tc>
          <w:tcPr>
            <w:tcW w:w="640" w:type="pct"/>
            <w:shd w:val="clear" w:color="auto" w:fill="F2F2F2"/>
          </w:tcPr>
          <w:p w14:paraId="2AC0FFF8" w14:textId="77777777" w:rsidR="00395D01" w:rsidRPr="00912996" w:rsidRDefault="00395D01" w:rsidP="00292396">
            <w:pPr>
              <w:rPr>
                <w:rFonts w:ascii="Calibri" w:hAnsi="Calibri"/>
                <w:bCs/>
                <w:lang w:eastAsia="ja-JP"/>
              </w:rPr>
            </w:pPr>
            <w:r w:rsidRPr="003C15E8">
              <w:rPr>
                <w:rFonts w:ascii="Calibri" w:hAnsi="Calibri"/>
                <w:bCs/>
                <w:lang w:eastAsia="ja-JP"/>
              </w:rPr>
              <w:t>PS2, DGAPI</w:t>
            </w:r>
          </w:p>
        </w:tc>
        <w:tc>
          <w:tcPr>
            <w:tcW w:w="507" w:type="pct"/>
            <w:shd w:val="clear" w:color="auto" w:fill="F2F2F2"/>
          </w:tcPr>
          <w:p w14:paraId="4928885D" w14:textId="77777777" w:rsidR="00395D01" w:rsidRPr="00912996" w:rsidRDefault="00395D01" w:rsidP="00292396">
            <w:pPr>
              <w:rPr>
                <w:rFonts w:ascii="Calibri" w:hAnsi="Calibri"/>
                <w:bCs/>
                <w:lang w:eastAsia="ja-JP"/>
              </w:rPr>
            </w:pPr>
            <w:r w:rsidRPr="003C15E8">
              <w:rPr>
                <w:rFonts w:ascii="Calibri" w:hAnsi="Calibri"/>
                <w:bCs/>
                <w:lang w:eastAsia="ja-JP"/>
              </w:rPr>
              <w:t>Finalizat</w:t>
            </w:r>
          </w:p>
        </w:tc>
        <w:tc>
          <w:tcPr>
            <w:tcW w:w="473" w:type="pct"/>
            <w:shd w:val="clear" w:color="auto" w:fill="F2F2F2"/>
          </w:tcPr>
          <w:p w14:paraId="33042543" w14:textId="77777777" w:rsidR="00395D01" w:rsidRPr="00912996" w:rsidRDefault="00395D01" w:rsidP="00292396">
            <w:pPr>
              <w:rPr>
                <w:rFonts w:ascii="Calibri" w:hAnsi="Calibri"/>
                <w:bCs/>
                <w:lang w:eastAsia="ja-JP"/>
              </w:rPr>
            </w:pPr>
            <w:r w:rsidRPr="003C15E8">
              <w:rPr>
                <w:rFonts w:ascii="Calibri" w:hAnsi="Calibri"/>
                <w:bCs/>
                <w:lang w:eastAsia="ja-JP"/>
              </w:rPr>
              <w:t>6</w:t>
            </w:r>
            <w:r>
              <w:rPr>
                <w:rFonts w:ascii="Calibri" w:hAnsi="Calibri"/>
                <w:bCs/>
                <w:lang w:eastAsia="ja-JP"/>
              </w:rPr>
              <w:t>,</w:t>
            </w:r>
            <w:r w:rsidRPr="003C15E8">
              <w:rPr>
                <w:rFonts w:ascii="Calibri" w:hAnsi="Calibri"/>
                <w:bCs/>
                <w:lang w:eastAsia="ja-JP"/>
              </w:rPr>
              <w:t>847</w:t>
            </w:r>
            <w:r>
              <w:rPr>
                <w:rFonts w:ascii="Calibri" w:hAnsi="Calibri"/>
                <w:bCs/>
                <w:lang w:eastAsia="ja-JP"/>
              </w:rPr>
              <w:t>,</w:t>
            </w:r>
            <w:r w:rsidRPr="003C15E8">
              <w:rPr>
                <w:rFonts w:ascii="Calibri" w:hAnsi="Calibri"/>
                <w:bCs/>
                <w:lang w:eastAsia="ja-JP"/>
              </w:rPr>
              <w:t>496</w:t>
            </w:r>
          </w:p>
        </w:tc>
        <w:tc>
          <w:tcPr>
            <w:tcW w:w="411" w:type="pct"/>
            <w:shd w:val="clear" w:color="auto" w:fill="F2F2F2"/>
          </w:tcPr>
          <w:p w14:paraId="41164E23" w14:textId="77777777" w:rsidR="00395D01" w:rsidRPr="00912996" w:rsidRDefault="00395D01" w:rsidP="00292396">
            <w:pPr>
              <w:rPr>
                <w:rFonts w:ascii="Calibri" w:hAnsi="Calibri"/>
                <w:bCs/>
                <w:lang w:eastAsia="ja-JP"/>
              </w:rPr>
            </w:pPr>
            <w:r>
              <w:rPr>
                <w:rFonts w:ascii="Calibri" w:hAnsi="Calibri"/>
                <w:bCs/>
                <w:lang w:eastAsia="ja-JP"/>
              </w:rPr>
              <w:t>1,397,448</w:t>
            </w:r>
          </w:p>
        </w:tc>
        <w:tc>
          <w:tcPr>
            <w:tcW w:w="347" w:type="pct"/>
            <w:shd w:val="clear" w:color="auto" w:fill="F2F2F2"/>
            <w:noWrap/>
          </w:tcPr>
          <w:p w14:paraId="0FC0638B" w14:textId="77777777" w:rsidR="00395D01" w:rsidRPr="00912996" w:rsidRDefault="00395D01" w:rsidP="00292396">
            <w:pPr>
              <w:rPr>
                <w:rFonts w:ascii="Calibri" w:hAnsi="Calibri"/>
                <w:bCs/>
                <w:lang w:eastAsia="ja-JP"/>
              </w:rPr>
            </w:pPr>
            <w:r w:rsidRPr="00431061">
              <w:rPr>
                <w:rFonts w:ascii="Calibri" w:hAnsi="Calibri"/>
                <w:bCs/>
                <w:lang w:eastAsia="ja-JP"/>
              </w:rPr>
              <w:t>2019</w:t>
            </w:r>
            <w:r>
              <w:rPr>
                <w:rFonts w:ascii="Calibri" w:hAnsi="Calibri"/>
                <w:bCs/>
                <w:lang w:eastAsia="ja-JP"/>
              </w:rPr>
              <w:t xml:space="preserve"> </w:t>
            </w:r>
            <w:r w:rsidRPr="00431061">
              <w:rPr>
                <w:rFonts w:ascii="Calibri" w:hAnsi="Calibri"/>
                <w:bCs/>
                <w:lang w:eastAsia="ja-JP"/>
              </w:rPr>
              <w:t>-2021</w:t>
            </w:r>
          </w:p>
        </w:tc>
        <w:tc>
          <w:tcPr>
            <w:tcW w:w="484" w:type="pct"/>
            <w:gridSpan w:val="2"/>
            <w:shd w:val="clear" w:color="auto" w:fill="F2F2F2"/>
          </w:tcPr>
          <w:p w14:paraId="62B78244" w14:textId="77777777" w:rsidR="00395D01" w:rsidRPr="00912996" w:rsidRDefault="00395D01" w:rsidP="00292396">
            <w:pPr>
              <w:rPr>
                <w:rFonts w:ascii="Calibri" w:hAnsi="Calibri"/>
                <w:bCs/>
                <w:lang w:eastAsia="ja-JP"/>
              </w:rPr>
            </w:pPr>
            <w:r w:rsidRPr="00431061">
              <w:rPr>
                <w:rFonts w:ascii="Calibri" w:hAnsi="Calibri"/>
                <w:bCs/>
                <w:lang w:eastAsia="ja-JP"/>
              </w:rPr>
              <w:t>Bugetul local</w:t>
            </w:r>
          </w:p>
        </w:tc>
        <w:tc>
          <w:tcPr>
            <w:tcW w:w="433" w:type="pct"/>
            <w:shd w:val="clear" w:color="auto" w:fill="F2F2F2"/>
          </w:tcPr>
          <w:p w14:paraId="350D6271" w14:textId="77777777" w:rsidR="00395D01" w:rsidRPr="00912996" w:rsidRDefault="00395D01" w:rsidP="00292396">
            <w:pPr>
              <w:rPr>
                <w:rFonts w:ascii="Calibri" w:hAnsi="Calibri"/>
                <w:bCs/>
                <w:lang w:eastAsia="ja-JP"/>
              </w:rPr>
            </w:pPr>
            <w:r>
              <w:rPr>
                <w:rFonts w:ascii="Calibri" w:hAnsi="Calibri"/>
                <w:bCs/>
                <w:lang w:eastAsia="ja-JP"/>
              </w:rPr>
              <w:t>Proiect prioritar</w:t>
            </w:r>
          </w:p>
        </w:tc>
        <w:tc>
          <w:tcPr>
            <w:tcW w:w="482" w:type="pct"/>
            <w:shd w:val="clear" w:color="auto" w:fill="F2F2F2"/>
          </w:tcPr>
          <w:p w14:paraId="5D864691" w14:textId="77777777" w:rsidR="00395D01" w:rsidRPr="00912996" w:rsidRDefault="00395D01" w:rsidP="00292396">
            <w:pPr>
              <w:rPr>
                <w:rFonts w:ascii="Calibri" w:hAnsi="Calibri"/>
                <w:bCs/>
                <w:lang w:eastAsia="ja-JP"/>
              </w:rPr>
            </w:pPr>
            <w:r>
              <w:rPr>
                <w:rFonts w:ascii="Calibri" w:hAnsi="Calibri"/>
                <w:bCs/>
                <w:lang w:eastAsia="ja-JP"/>
              </w:rPr>
              <w:t>PS2</w:t>
            </w:r>
          </w:p>
        </w:tc>
      </w:tr>
      <w:tr w:rsidR="00E16711" w:rsidRPr="00912996" w14:paraId="024EF625" w14:textId="77777777" w:rsidTr="00622F43">
        <w:trPr>
          <w:trHeight w:val="1164"/>
        </w:trPr>
        <w:tc>
          <w:tcPr>
            <w:tcW w:w="205" w:type="pct"/>
            <w:shd w:val="clear" w:color="auto" w:fill="F2F2F2"/>
            <w:noWrap/>
          </w:tcPr>
          <w:p w14:paraId="637E2B38" w14:textId="77777777" w:rsidR="00395D01" w:rsidRPr="00912996" w:rsidRDefault="00395D01" w:rsidP="00292396">
            <w:pPr>
              <w:rPr>
                <w:rFonts w:ascii="Calibri" w:hAnsi="Calibri"/>
                <w:bCs/>
                <w:lang w:eastAsia="ja-JP"/>
              </w:rPr>
            </w:pPr>
            <w:r>
              <w:rPr>
                <w:rFonts w:ascii="Calibri" w:hAnsi="Calibri"/>
                <w:bCs/>
                <w:lang w:eastAsia="ja-JP"/>
              </w:rPr>
              <w:t>128</w:t>
            </w:r>
          </w:p>
        </w:tc>
        <w:tc>
          <w:tcPr>
            <w:tcW w:w="1018" w:type="pct"/>
            <w:gridSpan w:val="2"/>
            <w:shd w:val="clear" w:color="auto" w:fill="F2F2F2"/>
          </w:tcPr>
          <w:p w14:paraId="7A4CDD68" w14:textId="77777777" w:rsidR="00395D01" w:rsidRPr="00912996" w:rsidRDefault="00395D01" w:rsidP="00292396">
            <w:pPr>
              <w:rPr>
                <w:rFonts w:ascii="Calibri" w:hAnsi="Calibri"/>
                <w:bCs/>
                <w:lang w:eastAsia="ja-JP"/>
              </w:rPr>
            </w:pPr>
            <w:r w:rsidRPr="003C15E8">
              <w:rPr>
                <w:rFonts w:ascii="Calibri" w:hAnsi="Calibri"/>
                <w:bCs/>
                <w:lang w:eastAsia="ja-JP"/>
              </w:rPr>
              <w:t>Consolidare, reabilitare și modernizare corp C1 și izolare subsol - Școala Gimnazială Ferdinand I</w:t>
            </w:r>
          </w:p>
        </w:tc>
        <w:tc>
          <w:tcPr>
            <w:tcW w:w="640" w:type="pct"/>
            <w:shd w:val="clear" w:color="auto" w:fill="F2F2F2"/>
          </w:tcPr>
          <w:p w14:paraId="71D6DC5C" w14:textId="77777777" w:rsidR="00395D01" w:rsidRPr="00912996" w:rsidRDefault="00395D01" w:rsidP="00292396">
            <w:pPr>
              <w:rPr>
                <w:rFonts w:ascii="Calibri" w:hAnsi="Calibri"/>
                <w:bCs/>
                <w:lang w:eastAsia="ja-JP"/>
              </w:rPr>
            </w:pPr>
            <w:r w:rsidRPr="003C15E8">
              <w:rPr>
                <w:rFonts w:ascii="Calibri" w:hAnsi="Calibri"/>
                <w:bCs/>
                <w:lang w:eastAsia="ja-JP"/>
              </w:rPr>
              <w:t>PS2, DGAPI</w:t>
            </w:r>
          </w:p>
        </w:tc>
        <w:tc>
          <w:tcPr>
            <w:tcW w:w="507" w:type="pct"/>
            <w:shd w:val="clear" w:color="auto" w:fill="F2F2F2"/>
          </w:tcPr>
          <w:p w14:paraId="5AD09FBE" w14:textId="77777777" w:rsidR="00395D01" w:rsidRPr="00912996" w:rsidRDefault="00395D01" w:rsidP="00292396">
            <w:pPr>
              <w:rPr>
                <w:rFonts w:ascii="Calibri" w:hAnsi="Calibri"/>
                <w:bCs/>
                <w:lang w:eastAsia="ja-JP"/>
              </w:rPr>
            </w:pPr>
            <w:r w:rsidRPr="003C15E8">
              <w:rPr>
                <w:rFonts w:ascii="Calibri" w:hAnsi="Calibri"/>
                <w:bCs/>
                <w:lang w:eastAsia="ja-JP"/>
              </w:rPr>
              <w:t>În implementare</w:t>
            </w:r>
          </w:p>
        </w:tc>
        <w:tc>
          <w:tcPr>
            <w:tcW w:w="473" w:type="pct"/>
            <w:shd w:val="clear" w:color="auto" w:fill="F2F2F2"/>
          </w:tcPr>
          <w:p w14:paraId="108D32A3" w14:textId="77777777" w:rsidR="00395D01" w:rsidRPr="00912996" w:rsidRDefault="00395D01" w:rsidP="00292396">
            <w:pPr>
              <w:rPr>
                <w:rFonts w:ascii="Calibri" w:hAnsi="Calibri"/>
                <w:bCs/>
                <w:lang w:eastAsia="ja-JP"/>
              </w:rPr>
            </w:pPr>
            <w:r w:rsidRPr="003C15E8">
              <w:rPr>
                <w:rFonts w:ascii="Calibri" w:hAnsi="Calibri"/>
                <w:bCs/>
                <w:lang w:eastAsia="ja-JP"/>
              </w:rPr>
              <w:t>20</w:t>
            </w:r>
            <w:r>
              <w:rPr>
                <w:rFonts w:ascii="Calibri" w:hAnsi="Calibri"/>
                <w:bCs/>
                <w:lang w:eastAsia="ja-JP"/>
              </w:rPr>
              <w:t>,</w:t>
            </w:r>
            <w:r w:rsidRPr="003C15E8">
              <w:rPr>
                <w:rFonts w:ascii="Calibri" w:hAnsi="Calibri"/>
                <w:bCs/>
                <w:lang w:eastAsia="ja-JP"/>
              </w:rPr>
              <w:t>253</w:t>
            </w:r>
            <w:r>
              <w:rPr>
                <w:rFonts w:ascii="Calibri" w:hAnsi="Calibri"/>
                <w:bCs/>
                <w:lang w:eastAsia="ja-JP"/>
              </w:rPr>
              <w:t>,</w:t>
            </w:r>
            <w:r w:rsidRPr="003C15E8">
              <w:rPr>
                <w:rFonts w:ascii="Calibri" w:hAnsi="Calibri"/>
                <w:bCs/>
                <w:lang w:eastAsia="ja-JP"/>
              </w:rPr>
              <w:t>703</w:t>
            </w:r>
          </w:p>
        </w:tc>
        <w:tc>
          <w:tcPr>
            <w:tcW w:w="411" w:type="pct"/>
            <w:shd w:val="clear" w:color="auto" w:fill="F2F2F2"/>
          </w:tcPr>
          <w:p w14:paraId="13DC5F4D" w14:textId="77777777" w:rsidR="00395D01" w:rsidRPr="00912996" w:rsidRDefault="00395D01" w:rsidP="00292396">
            <w:pPr>
              <w:rPr>
                <w:rFonts w:ascii="Calibri" w:hAnsi="Calibri"/>
                <w:bCs/>
                <w:lang w:eastAsia="ja-JP"/>
              </w:rPr>
            </w:pPr>
            <w:r>
              <w:rPr>
                <w:rFonts w:ascii="Calibri" w:hAnsi="Calibri"/>
                <w:bCs/>
                <w:lang w:eastAsia="ja-JP"/>
              </w:rPr>
              <w:t>4,133,409</w:t>
            </w:r>
          </w:p>
        </w:tc>
        <w:tc>
          <w:tcPr>
            <w:tcW w:w="347" w:type="pct"/>
            <w:shd w:val="clear" w:color="auto" w:fill="F2F2F2"/>
            <w:noWrap/>
          </w:tcPr>
          <w:p w14:paraId="0840B669" w14:textId="77777777" w:rsidR="00395D01" w:rsidRPr="00912996" w:rsidRDefault="00395D01" w:rsidP="00292396">
            <w:pPr>
              <w:rPr>
                <w:rFonts w:ascii="Calibri" w:hAnsi="Calibri"/>
                <w:bCs/>
                <w:lang w:eastAsia="ja-JP"/>
              </w:rPr>
            </w:pPr>
            <w:r w:rsidRPr="00431061">
              <w:rPr>
                <w:rFonts w:ascii="Calibri" w:hAnsi="Calibri"/>
                <w:bCs/>
                <w:lang w:eastAsia="ja-JP"/>
              </w:rPr>
              <w:t>2021</w:t>
            </w:r>
            <w:r>
              <w:rPr>
                <w:rFonts w:ascii="Calibri" w:hAnsi="Calibri"/>
                <w:bCs/>
                <w:lang w:eastAsia="ja-JP"/>
              </w:rPr>
              <w:t xml:space="preserve"> </w:t>
            </w:r>
            <w:r w:rsidRPr="00431061">
              <w:rPr>
                <w:rFonts w:ascii="Calibri" w:hAnsi="Calibri"/>
                <w:bCs/>
                <w:lang w:eastAsia="ja-JP"/>
              </w:rPr>
              <w:t>-2027</w:t>
            </w:r>
          </w:p>
        </w:tc>
        <w:tc>
          <w:tcPr>
            <w:tcW w:w="484" w:type="pct"/>
            <w:gridSpan w:val="2"/>
            <w:shd w:val="clear" w:color="auto" w:fill="F2F2F2"/>
          </w:tcPr>
          <w:p w14:paraId="35A29EC8" w14:textId="77777777" w:rsidR="00395D01" w:rsidRPr="00912996" w:rsidRDefault="00395D01" w:rsidP="00292396">
            <w:pPr>
              <w:rPr>
                <w:rFonts w:ascii="Calibri" w:hAnsi="Calibri"/>
                <w:bCs/>
                <w:lang w:eastAsia="ja-JP"/>
              </w:rPr>
            </w:pPr>
            <w:r w:rsidRPr="00431061">
              <w:rPr>
                <w:rFonts w:ascii="Calibri" w:hAnsi="Calibri"/>
                <w:bCs/>
                <w:lang w:eastAsia="ja-JP"/>
              </w:rPr>
              <w:t>Bugetul local</w:t>
            </w:r>
          </w:p>
        </w:tc>
        <w:tc>
          <w:tcPr>
            <w:tcW w:w="433" w:type="pct"/>
            <w:shd w:val="clear" w:color="auto" w:fill="F2F2F2"/>
          </w:tcPr>
          <w:p w14:paraId="3AB220D2" w14:textId="77777777" w:rsidR="00395D01" w:rsidRPr="00912996" w:rsidRDefault="00395D01" w:rsidP="00292396">
            <w:pPr>
              <w:rPr>
                <w:rFonts w:ascii="Calibri" w:hAnsi="Calibri"/>
                <w:bCs/>
                <w:lang w:eastAsia="ja-JP"/>
              </w:rPr>
            </w:pPr>
            <w:r>
              <w:rPr>
                <w:rFonts w:ascii="Calibri" w:hAnsi="Calibri"/>
                <w:bCs/>
                <w:lang w:eastAsia="ja-JP"/>
              </w:rPr>
              <w:t>Proiect prioritar</w:t>
            </w:r>
          </w:p>
        </w:tc>
        <w:tc>
          <w:tcPr>
            <w:tcW w:w="482" w:type="pct"/>
            <w:shd w:val="clear" w:color="auto" w:fill="F2F2F2"/>
          </w:tcPr>
          <w:p w14:paraId="5EA1DAAD" w14:textId="77777777" w:rsidR="00395D01" w:rsidRPr="00912996" w:rsidRDefault="00395D01" w:rsidP="00292396">
            <w:pPr>
              <w:rPr>
                <w:rFonts w:ascii="Calibri" w:hAnsi="Calibri"/>
                <w:bCs/>
                <w:lang w:eastAsia="ja-JP"/>
              </w:rPr>
            </w:pPr>
            <w:r>
              <w:rPr>
                <w:rFonts w:ascii="Calibri" w:hAnsi="Calibri"/>
                <w:bCs/>
                <w:lang w:eastAsia="ja-JP"/>
              </w:rPr>
              <w:t>PS2</w:t>
            </w:r>
          </w:p>
        </w:tc>
      </w:tr>
      <w:tr w:rsidR="00E16711" w:rsidRPr="00912996" w14:paraId="7A2741DE" w14:textId="77777777" w:rsidTr="00E16711">
        <w:trPr>
          <w:trHeight w:val="890"/>
        </w:trPr>
        <w:tc>
          <w:tcPr>
            <w:tcW w:w="205" w:type="pct"/>
            <w:shd w:val="clear" w:color="auto" w:fill="F2F2F2"/>
            <w:noWrap/>
          </w:tcPr>
          <w:p w14:paraId="2A458E02" w14:textId="77777777" w:rsidR="00395D01" w:rsidRDefault="00395D01" w:rsidP="00292396">
            <w:pPr>
              <w:rPr>
                <w:rFonts w:ascii="Calibri" w:hAnsi="Calibri"/>
                <w:bCs/>
                <w:lang w:eastAsia="ja-JP"/>
              </w:rPr>
            </w:pPr>
            <w:r>
              <w:rPr>
                <w:rFonts w:ascii="Calibri" w:hAnsi="Calibri"/>
                <w:bCs/>
                <w:lang w:eastAsia="ja-JP"/>
              </w:rPr>
              <w:t>129</w:t>
            </w:r>
          </w:p>
        </w:tc>
        <w:tc>
          <w:tcPr>
            <w:tcW w:w="1018" w:type="pct"/>
            <w:gridSpan w:val="2"/>
            <w:shd w:val="clear" w:color="auto" w:fill="F2F2F2"/>
          </w:tcPr>
          <w:p w14:paraId="4965AEC8" w14:textId="77777777" w:rsidR="00395D01" w:rsidRPr="00426747" w:rsidRDefault="00395D01" w:rsidP="00292396">
            <w:pPr>
              <w:rPr>
                <w:rFonts w:ascii="Calibri" w:hAnsi="Calibri"/>
                <w:bCs/>
                <w:lang w:eastAsia="ja-JP"/>
              </w:rPr>
            </w:pPr>
            <w:r w:rsidRPr="00426747">
              <w:rPr>
                <w:rFonts w:ascii="Calibri" w:hAnsi="Calibri"/>
                <w:bCs/>
                <w:lang w:eastAsia="ja-JP"/>
              </w:rPr>
              <w:t>Îmbunătățirea si dezvoltarea infrastructurii TIC sistemice în procesul educațional al unităților de învățământ de stat preuniversitar din Sectorul 2 al Municipiului București</w:t>
            </w:r>
          </w:p>
          <w:p w14:paraId="5CEF0725" w14:textId="77777777" w:rsidR="00395D01" w:rsidRPr="003C15E8" w:rsidRDefault="00395D01" w:rsidP="00292396">
            <w:pPr>
              <w:rPr>
                <w:rFonts w:ascii="Calibri" w:hAnsi="Calibri"/>
                <w:bCs/>
                <w:lang w:eastAsia="ja-JP"/>
              </w:rPr>
            </w:pPr>
            <w:r w:rsidRPr="00426747">
              <w:rPr>
                <w:rFonts w:ascii="Calibri" w:hAnsi="Calibri"/>
                <w:bCs/>
                <w:lang w:eastAsia="ja-JP"/>
              </w:rPr>
              <w:t xml:space="preserve">Cod SMIS 149189        </w:t>
            </w:r>
          </w:p>
        </w:tc>
        <w:tc>
          <w:tcPr>
            <w:tcW w:w="640" w:type="pct"/>
            <w:shd w:val="clear" w:color="auto" w:fill="F2F2F2"/>
          </w:tcPr>
          <w:p w14:paraId="58F20423" w14:textId="77777777" w:rsidR="00395D01" w:rsidRPr="003C15E8" w:rsidRDefault="00395D01" w:rsidP="00292396">
            <w:pPr>
              <w:rPr>
                <w:rFonts w:ascii="Calibri" w:hAnsi="Calibri"/>
                <w:bCs/>
                <w:lang w:eastAsia="ja-JP"/>
              </w:rPr>
            </w:pPr>
            <w:r w:rsidRPr="00426747">
              <w:rPr>
                <w:rFonts w:ascii="Calibri" w:hAnsi="Calibri"/>
                <w:bCs/>
                <w:lang w:eastAsia="ja-JP"/>
              </w:rPr>
              <w:t>PS2</w:t>
            </w:r>
          </w:p>
        </w:tc>
        <w:tc>
          <w:tcPr>
            <w:tcW w:w="507" w:type="pct"/>
            <w:shd w:val="clear" w:color="auto" w:fill="F2F2F2"/>
          </w:tcPr>
          <w:p w14:paraId="5795898E" w14:textId="77777777" w:rsidR="00395D01" w:rsidRPr="003C15E8" w:rsidRDefault="00395D01" w:rsidP="00292396">
            <w:pPr>
              <w:rPr>
                <w:rFonts w:ascii="Calibri" w:hAnsi="Calibri"/>
                <w:bCs/>
                <w:lang w:eastAsia="ja-JP"/>
              </w:rPr>
            </w:pPr>
            <w:r>
              <w:rPr>
                <w:rFonts w:ascii="Calibri" w:hAnsi="Calibri"/>
                <w:bCs/>
                <w:lang w:eastAsia="ja-JP"/>
              </w:rPr>
              <w:t>În</w:t>
            </w:r>
            <w:r w:rsidRPr="00426747">
              <w:rPr>
                <w:rFonts w:ascii="Calibri" w:hAnsi="Calibri"/>
                <w:bCs/>
                <w:lang w:eastAsia="ja-JP"/>
              </w:rPr>
              <w:t xml:space="preserve"> evaluare</w:t>
            </w:r>
          </w:p>
        </w:tc>
        <w:tc>
          <w:tcPr>
            <w:tcW w:w="473" w:type="pct"/>
            <w:shd w:val="clear" w:color="auto" w:fill="F2F2F2"/>
          </w:tcPr>
          <w:p w14:paraId="1ECAFA6F" w14:textId="02653329" w:rsidR="00395D01" w:rsidRPr="003C15E8" w:rsidRDefault="00395D01" w:rsidP="00292396">
            <w:pPr>
              <w:rPr>
                <w:rFonts w:ascii="Calibri" w:hAnsi="Calibri"/>
                <w:bCs/>
                <w:lang w:eastAsia="ja-JP"/>
              </w:rPr>
            </w:pPr>
            <w:r w:rsidRPr="00426747">
              <w:rPr>
                <w:rFonts w:ascii="Calibri" w:hAnsi="Calibri"/>
                <w:bCs/>
                <w:lang w:eastAsia="ja-JP"/>
              </w:rPr>
              <w:t>26</w:t>
            </w:r>
            <w:r>
              <w:rPr>
                <w:rFonts w:ascii="Calibri" w:hAnsi="Calibri"/>
                <w:bCs/>
                <w:lang w:eastAsia="ja-JP"/>
              </w:rPr>
              <w:t>,</w:t>
            </w:r>
            <w:r w:rsidRPr="00426747">
              <w:rPr>
                <w:rFonts w:ascii="Calibri" w:hAnsi="Calibri"/>
                <w:bCs/>
                <w:lang w:eastAsia="ja-JP"/>
              </w:rPr>
              <w:t>936</w:t>
            </w:r>
          </w:p>
        </w:tc>
        <w:tc>
          <w:tcPr>
            <w:tcW w:w="411" w:type="pct"/>
            <w:shd w:val="clear" w:color="auto" w:fill="F2F2F2"/>
          </w:tcPr>
          <w:p w14:paraId="6BF632BD" w14:textId="7F685015" w:rsidR="00395D01" w:rsidRDefault="00395D01" w:rsidP="00292396">
            <w:pPr>
              <w:rPr>
                <w:rFonts w:ascii="Calibri" w:hAnsi="Calibri"/>
                <w:bCs/>
                <w:lang w:eastAsia="ja-JP"/>
              </w:rPr>
            </w:pPr>
            <w:r w:rsidRPr="00426747">
              <w:rPr>
                <w:rFonts w:ascii="Calibri" w:hAnsi="Calibri"/>
                <w:bCs/>
                <w:lang w:eastAsia="ja-JP"/>
              </w:rPr>
              <w:t>5</w:t>
            </w:r>
            <w:r>
              <w:rPr>
                <w:rFonts w:ascii="Calibri" w:hAnsi="Calibri"/>
                <w:bCs/>
                <w:lang w:eastAsia="ja-JP"/>
              </w:rPr>
              <w:t>,</w:t>
            </w:r>
            <w:r w:rsidRPr="00426747">
              <w:rPr>
                <w:rFonts w:ascii="Calibri" w:hAnsi="Calibri"/>
                <w:bCs/>
                <w:lang w:eastAsia="ja-JP"/>
              </w:rPr>
              <w:t>497</w:t>
            </w:r>
          </w:p>
        </w:tc>
        <w:tc>
          <w:tcPr>
            <w:tcW w:w="347" w:type="pct"/>
            <w:shd w:val="clear" w:color="auto" w:fill="F2F2F2"/>
            <w:noWrap/>
          </w:tcPr>
          <w:p w14:paraId="5F056243" w14:textId="77777777" w:rsidR="00395D01" w:rsidRPr="00431061" w:rsidRDefault="00395D01" w:rsidP="00292396">
            <w:pPr>
              <w:rPr>
                <w:rFonts w:ascii="Calibri" w:hAnsi="Calibri"/>
                <w:bCs/>
                <w:lang w:eastAsia="ja-JP"/>
              </w:rPr>
            </w:pPr>
            <w:r w:rsidRPr="00426747">
              <w:rPr>
                <w:rFonts w:ascii="Calibri" w:hAnsi="Calibri"/>
                <w:bCs/>
                <w:lang w:eastAsia="ja-JP"/>
              </w:rPr>
              <w:t>N/A</w:t>
            </w:r>
          </w:p>
        </w:tc>
        <w:tc>
          <w:tcPr>
            <w:tcW w:w="484" w:type="pct"/>
            <w:gridSpan w:val="2"/>
            <w:shd w:val="clear" w:color="auto" w:fill="F2F2F2"/>
          </w:tcPr>
          <w:p w14:paraId="6C9789DE" w14:textId="4B399006" w:rsidR="00395D01" w:rsidRPr="00431061" w:rsidRDefault="00395D01" w:rsidP="00292396">
            <w:pPr>
              <w:rPr>
                <w:rFonts w:ascii="Calibri" w:hAnsi="Calibri"/>
                <w:bCs/>
                <w:lang w:eastAsia="ja-JP"/>
              </w:rPr>
            </w:pPr>
            <w:r w:rsidRPr="00426747">
              <w:rPr>
                <w:rFonts w:ascii="Calibri" w:hAnsi="Calibri"/>
                <w:bCs/>
                <w:lang w:eastAsia="ja-JP"/>
              </w:rPr>
              <w:t>POC 2014</w:t>
            </w:r>
            <w:r w:rsidR="002C45E3">
              <w:rPr>
                <w:rFonts w:ascii="Calibri" w:hAnsi="Calibri"/>
                <w:bCs/>
                <w:lang w:eastAsia="ja-JP"/>
              </w:rPr>
              <w:t xml:space="preserve"> </w:t>
            </w:r>
            <w:r w:rsidRPr="00426747">
              <w:rPr>
                <w:rFonts w:ascii="Calibri" w:hAnsi="Calibri"/>
                <w:bCs/>
                <w:lang w:eastAsia="ja-JP"/>
              </w:rPr>
              <w:t>-2020</w:t>
            </w:r>
          </w:p>
        </w:tc>
        <w:tc>
          <w:tcPr>
            <w:tcW w:w="433" w:type="pct"/>
            <w:shd w:val="clear" w:color="auto" w:fill="F2F2F2"/>
          </w:tcPr>
          <w:p w14:paraId="0C90E836" w14:textId="77777777" w:rsidR="00395D01" w:rsidRDefault="00395D01" w:rsidP="00292396">
            <w:pPr>
              <w:rPr>
                <w:rFonts w:ascii="Calibri" w:hAnsi="Calibri"/>
                <w:bCs/>
                <w:lang w:eastAsia="ja-JP"/>
              </w:rPr>
            </w:pPr>
            <w:r>
              <w:rPr>
                <w:rFonts w:ascii="Calibri" w:hAnsi="Calibri"/>
                <w:bCs/>
                <w:lang w:eastAsia="ja-JP"/>
              </w:rPr>
              <w:t>N/A</w:t>
            </w:r>
          </w:p>
        </w:tc>
        <w:tc>
          <w:tcPr>
            <w:tcW w:w="482" w:type="pct"/>
            <w:shd w:val="clear" w:color="auto" w:fill="F2F2F2"/>
          </w:tcPr>
          <w:p w14:paraId="2E291C16" w14:textId="77777777" w:rsidR="00395D01" w:rsidRDefault="00395D01" w:rsidP="00292396">
            <w:pPr>
              <w:rPr>
                <w:rFonts w:ascii="Calibri" w:hAnsi="Calibri"/>
                <w:bCs/>
                <w:lang w:eastAsia="ja-JP"/>
              </w:rPr>
            </w:pPr>
            <w:r w:rsidRPr="00426747">
              <w:rPr>
                <w:rFonts w:ascii="Calibri" w:hAnsi="Calibri"/>
                <w:bCs/>
                <w:lang w:eastAsia="ja-JP"/>
              </w:rPr>
              <w:t>PS2</w:t>
            </w:r>
          </w:p>
        </w:tc>
      </w:tr>
      <w:tr w:rsidR="00395D01" w:rsidRPr="00912996" w14:paraId="3C72F37A" w14:textId="77777777" w:rsidTr="00292396">
        <w:trPr>
          <w:trHeight w:val="264"/>
        </w:trPr>
        <w:tc>
          <w:tcPr>
            <w:tcW w:w="5000" w:type="pct"/>
            <w:gridSpan w:val="12"/>
            <w:shd w:val="clear" w:color="auto" w:fill="BBD9A0"/>
            <w:noWrap/>
            <w:hideMark/>
          </w:tcPr>
          <w:p w14:paraId="4F16E599" w14:textId="77777777" w:rsidR="00395D01" w:rsidRPr="00912996" w:rsidRDefault="00395D01" w:rsidP="00481271">
            <w:pPr>
              <w:jc w:val="center"/>
              <w:rPr>
                <w:rFonts w:ascii="Calibri" w:hAnsi="Calibri"/>
                <w:b/>
                <w:bCs/>
                <w:color w:val="FFFFFF"/>
                <w:lang w:eastAsia="ja-JP"/>
              </w:rPr>
            </w:pPr>
            <w:r w:rsidRPr="00912996">
              <w:rPr>
                <w:rFonts w:ascii="Calibri" w:hAnsi="Calibri"/>
                <w:b/>
                <w:bCs/>
                <w:color w:val="FFFFFF"/>
                <w:lang w:eastAsia="ja-JP"/>
              </w:rPr>
              <w:t>D1.3.2. Extinderea rețelei grădinițe și creșe astfel încât să acopere cererea existentă</w:t>
            </w:r>
          </w:p>
        </w:tc>
      </w:tr>
      <w:tr w:rsidR="00E16711" w:rsidRPr="00912996" w14:paraId="5540F1E9" w14:textId="77777777" w:rsidTr="00E16711">
        <w:trPr>
          <w:trHeight w:val="1584"/>
        </w:trPr>
        <w:tc>
          <w:tcPr>
            <w:tcW w:w="205" w:type="pct"/>
            <w:shd w:val="clear" w:color="auto" w:fill="F2F2F2"/>
            <w:noWrap/>
            <w:hideMark/>
          </w:tcPr>
          <w:p w14:paraId="20F36172"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33EE08E3" w14:textId="77777777" w:rsidR="00395D01" w:rsidRPr="00912996" w:rsidRDefault="00395D01" w:rsidP="00292396">
            <w:pPr>
              <w:rPr>
                <w:rFonts w:ascii="Calibri" w:hAnsi="Calibri"/>
                <w:bCs/>
                <w:lang w:eastAsia="ja-JP"/>
              </w:rPr>
            </w:pPr>
            <w:r w:rsidRPr="00912996">
              <w:rPr>
                <w:rFonts w:ascii="Calibri" w:hAnsi="Calibri"/>
                <w:bCs/>
                <w:lang w:eastAsia="ja-JP"/>
              </w:rPr>
              <w:t>Construire școală cu grădiniță în cartierul Pipera</w:t>
            </w:r>
          </w:p>
        </w:tc>
        <w:tc>
          <w:tcPr>
            <w:tcW w:w="640" w:type="pct"/>
            <w:shd w:val="clear" w:color="auto" w:fill="F2F2F2"/>
            <w:hideMark/>
          </w:tcPr>
          <w:p w14:paraId="4DD7C854"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6A2D0C8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D46012A" w14:textId="77777777" w:rsidR="00395D01" w:rsidRPr="00912996" w:rsidRDefault="00395D01" w:rsidP="00292396">
            <w:pPr>
              <w:rPr>
                <w:rFonts w:ascii="Calibri" w:hAnsi="Calibri"/>
                <w:bCs/>
                <w:lang w:eastAsia="ja-JP"/>
              </w:rPr>
            </w:pPr>
            <w:r w:rsidRPr="00912996">
              <w:rPr>
                <w:rFonts w:ascii="Calibri" w:hAnsi="Calibri"/>
                <w:bCs/>
                <w:lang w:eastAsia="ja-JP"/>
              </w:rPr>
              <w:t>886,000</w:t>
            </w:r>
          </w:p>
        </w:tc>
        <w:tc>
          <w:tcPr>
            <w:tcW w:w="411" w:type="pct"/>
            <w:shd w:val="clear" w:color="auto" w:fill="F2F2F2"/>
            <w:hideMark/>
          </w:tcPr>
          <w:p w14:paraId="61A78099" w14:textId="77777777" w:rsidR="00395D01" w:rsidRPr="00912996" w:rsidRDefault="00395D01" w:rsidP="00292396">
            <w:pPr>
              <w:rPr>
                <w:rFonts w:ascii="Calibri" w:hAnsi="Calibri"/>
                <w:bCs/>
                <w:lang w:eastAsia="ja-JP"/>
              </w:rPr>
            </w:pPr>
            <w:r w:rsidRPr="00912996">
              <w:rPr>
                <w:rFonts w:ascii="Calibri" w:hAnsi="Calibri"/>
                <w:bCs/>
                <w:lang w:eastAsia="ja-JP"/>
              </w:rPr>
              <w:t>200,000</w:t>
            </w:r>
          </w:p>
        </w:tc>
        <w:tc>
          <w:tcPr>
            <w:tcW w:w="347" w:type="pct"/>
            <w:shd w:val="clear" w:color="auto" w:fill="F2F2F2"/>
            <w:hideMark/>
          </w:tcPr>
          <w:p w14:paraId="71FD4D56"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1D8CE1B1" w14:textId="77777777" w:rsidR="00395D01" w:rsidRPr="00912996" w:rsidRDefault="00395D01" w:rsidP="00292396">
            <w:pPr>
              <w:rPr>
                <w:rFonts w:ascii="Calibri" w:hAnsi="Calibri"/>
                <w:bCs/>
                <w:lang w:eastAsia="ja-JP"/>
              </w:rPr>
            </w:pPr>
            <w:r w:rsidRPr="00912996">
              <w:rPr>
                <w:rFonts w:ascii="Calibri" w:hAnsi="Calibri"/>
                <w:bCs/>
                <w:lang w:eastAsia="ja-JP"/>
              </w:rPr>
              <w:t>Programul Operațional Regional, P de Investiții 10.1., Bugetul local, Alte surse de finanțare</w:t>
            </w:r>
          </w:p>
        </w:tc>
        <w:tc>
          <w:tcPr>
            <w:tcW w:w="433" w:type="pct"/>
            <w:shd w:val="clear" w:color="auto" w:fill="F2F2F2"/>
            <w:hideMark/>
          </w:tcPr>
          <w:p w14:paraId="40BB0A1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27FA09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D1C6C45" w14:textId="77777777" w:rsidTr="00E16711">
        <w:trPr>
          <w:trHeight w:val="1584"/>
        </w:trPr>
        <w:tc>
          <w:tcPr>
            <w:tcW w:w="205" w:type="pct"/>
            <w:shd w:val="clear" w:color="auto" w:fill="F2F2F2"/>
            <w:noWrap/>
            <w:hideMark/>
          </w:tcPr>
          <w:p w14:paraId="378D59CD" w14:textId="77777777" w:rsidR="00395D01" w:rsidRPr="00912996" w:rsidRDefault="00395D01" w:rsidP="00292396">
            <w:pPr>
              <w:rPr>
                <w:rFonts w:ascii="Calibri" w:hAnsi="Calibri"/>
                <w:bCs/>
                <w:lang w:eastAsia="ja-JP"/>
              </w:rPr>
            </w:pPr>
            <w:r>
              <w:rPr>
                <w:rFonts w:ascii="Calibri" w:hAnsi="Calibri"/>
                <w:bCs/>
                <w:lang w:eastAsia="ja-JP"/>
              </w:rPr>
              <w:t>2</w:t>
            </w:r>
          </w:p>
        </w:tc>
        <w:tc>
          <w:tcPr>
            <w:tcW w:w="1018" w:type="pct"/>
            <w:gridSpan w:val="2"/>
            <w:shd w:val="clear" w:color="auto" w:fill="F2F2F2"/>
            <w:hideMark/>
          </w:tcPr>
          <w:p w14:paraId="44BAE55D" w14:textId="77777777" w:rsidR="00395D01" w:rsidRPr="00912996" w:rsidRDefault="00395D01" w:rsidP="00292396">
            <w:pPr>
              <w:rPr>
                <w:rFonts w:ascii="Calibri" w:hAnsi="Calibri"/>
                <w:bCs/>
                <w:lang w:eastAsia="ja-JP"/>
              </w:rPr>
            </w:pPr>
            <w:r w:rsidRPr="00912996">
              <w:rPr>
                <w:rFonts w:ascii="Calibri" w:hAnsi="Calibri"/>
                <w:bCs/>
                <w:lang w:eastAsia="ja-JP"/>
              </w:rPr>
              <w:t>Edificare clădire cu destinația de grădinița cu 4 grupe, Str. Periș nr.</w:t>
            </w:r>
            <w:r>
              <w:rPr>
                <w:rFonts w:ascii="Calibri" w:hAnsi="Calibri"/>
                <w:bCs/>
                <w:lang w:eastAsia="ja-JP"/>
              </w:rPr>
              <w:t xml:space="preserve"> </w:t>
            </w:r>
            <w:r w:rsidRPr="00912996">
              <w:rPr>
                <w:rFonts w:ascii="Calibri" w:hAnsi="Calibri"/>
                <w:bCs/>
                <w:lang w:eastAsia="ja-JP"/>
              </w:rPr>
              <w:t>27</w:t>
            </w:r>
          </w:p>
        </w:tc>
        <w:tc>
          <w:tcPr>
            <w:tcW w:w="640" w:type="pct"/>
            <w:shd w:val="clear" w:color="auto" w:fill="F2F2F2"/>
            <w:hideMark/>
          </w:tcPr>
          <w:p w14:paraId="50FDFD19"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3AE37988" w14:textId="77777777" w:rsidR="00395D01" w:rsidRPr="00912996" w:rsidRDefault="00395D01" w:rsidP="00292396">
            <w:pPr>
              <w:rPr>
                <w:rFonts w:ascii="Calibri" w:hAnsi="Calibri"/>
                <w:bCs/>
                <w:lang w:eastAsia="ja-JP"/>
              </w:rPr>
            </w:pPr>
            <w:r w:rsidRPr="0065198D">
              <w:rPr>
                <w:rFonts w:ascii="Calibri" w:hAnsi="Calibri"/>
                <w:bCs/>
                <w:lang w:eastAsia="ja-JP"/>
              </w:rPr>
              <w:t>Procedura de achizi</w:t>
            </w:r>
            <w:r>
              <w:rPr>
                <w:rFonts w:ascii="Calibri" w:hAnsi="Calibri"/>
                <w:bCs/>
                <w:lang w:eastAsia="ja-JP"/>
              </w:rPr>
              <w:t>ț</w:t>
            </w:r>
            <w:r w:rsidRPr="0065198D">
              <w:rPr>
                <w:rFonts w:ascii="Calibri" w:hAnsi="Calibri"/>
                <w:bCs/>
                <w:lang w:eastAsia="ja-JP"/>
              </w:rPr>
              <w:t>ie pentru lucr</w:t>
            </w:r>
            <w:r>
              <w:rPr>
                <w:rFonts w:ascii="Calibri" w:hAnsi="Calibri"/>
                <w:bCs/>
                <w:lang w:eastAsia="ja-JP"/>
              </w:rPr>
              <w:t>ă</w:t>
            </w:r>
            <w:r w:rsidRPr="0065198D">
              <w:rPr>
                <w:rFonts w:ascii="Calibri" w:hAnsi="Calibri"/>
                <w:bCs/>
                <w:lang w:eastAsia="ja-JP"/>
              </w:rPr>
              <w:t>ri 2022 - 2023</w:t>
            </w:r>
          </w:p>
        </w:tc>
        <w:tc>
          <w:tcPr>
            <w:tcW w:w="473" w:type="pct"/>
            <w:shd w:val="clear" w:color="auto" w:fill="F2F2F2"/>
            <w:hideMark/>
          </w:tcPr>
          <w:p w14:paraId="43BA1AE4" w14:textId="77777777" w:rsidR="00395D01" w:rsidRPr="00912996" w:rsidRDefault="00395D01" w:rsidP="00292396">
            <w:pPr>
              <w:rPr>
                <w:rFonts w:ascii="Calibri" w:hAnsi="Calibri"/>
                <w:bCs/>
                <w:lang w:eastAsia="ja-JP"/>
              </w:rPr>
            </w:pPr>
            <w:r w:rsidRPr="0065198D">
              <w:rPr>
                <w:rFonts w:ascii="Calibri" w:hAnsi="Calibri"/>
                <w:bCs/>
                <w:lang w:eastAsia="ja-JP"/>
              </w:rPr>
              <w:t>7,969,000</w:t>
            </w:r>
          </w:p>
        </w:tc>
        <w:tc>
          <w:tcPr>
            <w:tcW w:w="411" w:type="pct"/>
            <w:shd w:val="clear" w:color="auto" w:fill="F2F2F2"/>
            <w:hideMark/>
          </w:tcPr>
          <w:p w14:paraId="55A6776A" w14:textId="77777777" w:rsidR="00395D01" w:rsidRPr="00912996" w:rsidRDefault="00395D01" w:rsidP="00292396">
            <w:pPr>
              <w:rPr>
                <w:rFonts w:ascii="Calibri" w:hAnsi="Calibri"/>
                <w:bCs/>
                <w:lang w:eastAsia="ja-JP"/>
              </w:rPr>
            </w:pPr>
            <w:r w:rsidRPr="0065198D">
              <w:rPr>
                <w:rFonts w:ascii="Calibri" w:hAnsi="Calibri"/>
                <w:bCs/>
                <w:lang w:eastAsia="ja-JP"/>
              </w:rPr>
              <w:t>1,626,327</w:t>
            </w:r>
          </w:p>
        </w:tc>
        <w:tc>
          <w:tcPr>
            <w:tcW w:w="347" w:type="pct"/>
            <w:shd w:val="clear" w:color="auto" w:fill="F2F2F2"/>
            <w:hideMark/>
          </w:tcPr>
          <w:p w14:paraId="6E400E7F"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2A791B0B" w14:textId="77777777" w:rsidR="00395D01" w:rsidRPr="00912996" w:rsidRDefault="00395D01" w:rsidP="00292396">
            <w:pPr>
              <w:rPr>
                <w:rFonts w:ascii="Calibri" w:hAnsi="Calibri"/>
                <w:bCs/>
                <w:lang w:eastAsia="ja-JP"/>
              </w:rPr>
            </w:pPr>
            <w:r w:rsidRPr="00912996">
              <w:rPr>
                <w:rFonts w:ascii="Calibri" w:hAnsi="Calibri"/>
                <w:bCs/>
                <w:lang w:eastAsia="ja-JP"/>
              </w:rPr>
              <w:t>Programul Național de Dezvoltare Locală, Bugetul local, Buget Municipal,  Alte surse de finanțare</w:t>
            </w:r>
          </w:p>
        </w:tc>
        <w:tc>
          <w:tcPr>
            <w:tcW w:w="433" w:type="pct"/>
            <w:shd w:val="clear" w:color="auto" w:fill="F2F2F2"/>
            <w:hideMark/>
          </w:tcPr>
          <w:p w14:paraId="030F470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C2546D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0D77D43" w14:textId="77777777" w:rsidTr="00E16711">
        <w:trPr>
          <w:trHeight w:val="1584"/>
        </w:trPr>
        <w:tc>
          <w:tcPr>
            <w:tcW w:w="205" w:type="pct"/>
            <w:shd w:val="clear" w:color="auto" w:fill="F2F2F2"/>
            <w:noWrap/>
            <w:hideMark/>
          </w:tcPr>
          <w:p w14:paraId="067277B3" w14:textId="77777777" w:rsidR="00395D01" w:rsidRPr="00912996" w:rsidRDefault="00395D01" w:rsidP="00292396">
            <w:pPr>
              <w:rPr>
                <w:rFonts w:ascii="Calibri" w:hAnsi="Calibri"/>
                <w:bCs/>
                <w:lang w:eastAsia="ja-JP"/>
              </w:rPr>
            </w:pPr>
            <w:r>
              <w:rPr>
                <w:rFonts w:ascii="Calibri" w:hAnsi="Calibri"/>
                <w:bCs/>
                <w:lang w:eastAsia="ja-JP"/>
              </w:rPr>
              <w:t>3</w:t>
            </w:r>
          </w:p>
        </w:tc>
        <w:tc>
          <w:tcPr>
            <w:tcW w:w="1018" w:type="pct"/>
            <w:gridSpan w:val="2"/>
            <w:shd w:val="clear" w:color="auto" w:fill="F2F2F2"/>
            <w:hideMark/>
          </w:tcPr>
          <w:p w14:paraId="7066BF54" w14:textId="77777777" w:rsidR="00395D01" w:rsidRPr="00912996" w:rsidRDefault="00395D01" w:rsidP="00292396">
            <w:pPr>
              <w:rPr>
                <w:rFonts w:ascii="Calibri" w:hAnsi="Calibri"/>
                <w:bCs/>
                <w:lang w:eastAsia="ja-JP"/>
              </w:rPr>
            </w:pPr>
            <w:r w:rsidRPr="00912996">
              <w:rPr>
                <w:rFonts w:ascii="Calibri" w:hAnsi="Calibri"/>
                <w:bCs/>
                <w:lang w:eastAsia="ja-JP"/>
              </w:rPr>
              <w:t>Construire corp nou grădinița 7 grupe Str. Știucii nr.</w:t>
            </w:r>
            <w:r>
              <w:rPr>
                <w:rFonts w:ascii="Calibri" w:hAnsi="Calibri"/>
                <w:bCs/>
                <w:lang w:eastAsia="ja-JP"/>
              </w:rPr>
              <w:t xml:space="preserve"> </w:t>
            </w:r>
            <w:r w:rsidRPr="00912996">
              <w:rPr>
                <w:rFonts w:ascii="Calibri" w:hAnsi="Calibri"/>
                <w:bCs/>
                <w:lang w:eastAsia="ja-JP"/>
              </w:rPr>
              <w:t>54</w:t>
            </w:r>
          </w:p>
        </w:tc>
        <w:tc>
          <w:tcPr>
            <w:tcW w:w="640" w:type="pct"/>
            <w:shd w:val="clear" w:color="auto" w:fill="F2F2F2"/>
            <w:hideMark/>
          </w:tcPr>
          <w:p w14:paraId="30C6E749"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59A3B967" w14:textId="77777777" w:rsidR="00395D01" w:rsidRPr="00912996" w:rsidRDefault="00395D01" w:rsidP="00292396">
            <w:pPr>
              <w:rPr>
                <w:rFonts w:ascii="Calibri" w:hAnsi="Calibri"/>
                <w:bCs/>
                <w:lang w:eastAsia="ja-JP"/>
              </w:rPr>
            </w:pPr>
            <w:r w:rsidRPr="0065198D">
              <w:rPr>
                <w:rFonts w:ascii="Calibri" w:hAnsi="Calibri"/>
                <w:bCs/>
                <w:lang w:eastAsia="ja-JP"/>
              </w:rPr>
              <w:t>Procedura de achizi</w:t>
            </w:r>
            <w:r>
              <w:rPr>
                <w:rFonts w:ascii="Calibri" w:hAnsi="Calibri"/>
                <w:bCs/>
                <w:lang w:eastAsia="ja-JP"/>
              </w:rPr>
              <w:t>ț</w:t>
            </w:r>
            <w:r w:rsidRPr="0065198D">
              <w:rPr>
                <w:rFonts w:ascii="Calibri" w:hAnsi="Calibri"/>
                <w:bCs/>
                <w:lang w:eastAsia="ja-JP"/>
              </w:rPr>
              <w:t>ie pentru lucr</w:t>
            </w:r>
            <w:r>
              <w:rPr>
                <w:rFonts w:ascii="Calibri" w:hAnsi="Calibri"/>
                <w:bCs/>
                <w:lang w:eastAsia="ja-JP"/>
              </w:rPr>
              <w:t>ă</w:t>
            </w:r>
            <w:r w:rsidRPr="0065198D">
              <w:rPr>
                <w:rFonts w:ascii="Calibri" w:hAnsi="Calibri"/>
                <w:bCs/>
                <w:lang w:eastAsia="ja-JP"/>
              </w:rPr>
              <w:t>ri 2022 - 2023</w:t>
            </w:r>
          </w:p>
        </w:tc>
        <w:tc>
          <w:tcPr>
            <w:tcW w:w="473" w:type="pct"/>
            <w:shd w:val="clear" w:color="auto" w:fill="F2F2F2"/>
            <w:hideMark/>
          </w:tcPr>
          <w:p w14:paraId="790C951B" w14:textId="77777777" w:rsidR="00395D01" w:rsidRPr="00912996" w:rsidRDefault="00395D01" w:rsidP="00292396">
            <w:pPr>
              <w:rPr>
                <w:rFonts w:ascii="Calibri" w:hAnsi="Calibri"/>
                <w:bCs/>
                <w:lang w:eastAsia="ja-JP"/>
              </w:rPr>
            </w:pPr>
            <w:r w:rsidRPr="00B62189">
              <w:rPr>
                <w:rFonts w:ascii="Calibri" w:hAnsi="Calibri"/>
                <w:bCs/>
                <w:lang w:eastAsia="ja-JP"/>
              </w:rPr>
              <w:t>9,290,000</w:t>
            </w:r>
          </w:p>
        </w:tc>
        <w:tc>
          <w:tcPr>
            <w:tcW w:w="411" w:type="pct"/>
            <w:shd w:val="clear" w:color="auto" w:fill="F2F2F2"/>
            <w:hideMark/>
          </w:tcPr>
          <w:p w14:paraId="72C13434" w14:textId="77777777" w:rsidR="00395D01" w:rsidRPr="00912996" w:rsidRDefault="00395D01" w:rsidP="00292396">
            <w:pPr>
              <w:rPr>
                <w:rFonts w:ascii="Calibri" w:hAnsi="Calibri"/>
                <w:bCs/>
                <w:lang w:eastAsia="ja-JP"/>
              </w:rPr>
            </w:pPr>
            <w:r w:rsidRPr="00B62189">
              <w:rPr>
                <w:rFonts w:ascii="Calibri" w:hAnsi="Calibri"/>
                <w:bCs/>
                <w:lang w:eastAsia="ja-JP"/>
              </w:rPr>
              <w:t>1,895,919</w:t>
            </w:r>
          </w:p>
        </w:tc>
        <w:tc>
          <w:tcPr>
            <w:tcW w:w="347" w:type="pct"/>
            <w:shd w:val="clear" w:color="auto" w:fill="F2F2F2"/>
            <w:hideMark/>
          </w:tcPr>
          <w:p w14:paraId="78FC916B"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0C63B0AF"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677DD1F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0ECA08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16A7680" w14:textId="77777777" w:rsidTr="00E16711">
        <w:trPr>
          <w:trHeight w:val="620"/>
        </w:trPr>
        <w:tc>
          <w:tcPr>
            <w:tcW w:w="205" w:type="pct"/>
            <w:shd w:val="clear" w:color="auto" w:fill="F2F2F2"/>
            <w:noWrap/>
            <w:hideMark/>
          </w:tcPr>
          <w:p w14:paraId="15ED56D9" w14:textId="77777777" w:rsidR="00395D01" w:rsidRPr="00912996" w:rsidRDefault="00395D01" w:rsidP="00292396">
            <w:pPr>
              <w:rPr>
                <w:rFonts w:ascii="Calibri" w:hAnsi="Calibri"/>
                <w:bCs/>
                <w:lang w:eastAsia="ja-JP"/>
              </w:rPr>
            </w:pPr>
            <w:r>
              <w:rPr>
                <w:rFonts w:ascii="Calibri" w:hAnsi="Calibri"/>
                <w:bCs/>
                <w:lang w:eastAsia="ja-JP"/>
              </w:rPr>
              <w:t>4</w:t>
            </w:r>
          </w:p>
        </w:tc>
        <w:tc>
          <w:tcPr>
            <w:tcW w:w="1018" w:type="pct"/>
            <w:gridSpan w:val="2"/>
            <w:shd w:val="clear" w:color="auto" w:fill="F2F2F2"/>
            <w:hideMark/>
          </w:tcPr>
          <w:p w14:paraId="4D297EB3" w14:textId="77777777" w:rsidR="00395D01" w:rsidRPr="00912996" w:rsidRDefault="00395D01" w:rsidP="00292396">
            <w:pPr>
              <w:rPr>
                <w:rFonts w:ascii="Calibri" w:hAnsi="Calibri"/>
                <w:bCs/>
                <w:lang w:eastAsia="ja-JP"/>
              </w:rPr>
            </w:pPr>
            <w:r>
              <w:rPr>
                <w:rFonts w:ascii="Calibri" w:hAnsi="Calibri"/>
                <w:bCs/>
                <w:lang w:eastAsia="ja-JP"/>
              </w:rPr>
              <w:t>Construire</w:t>
            </w:r>
            <w:r w:rsidRPr="00912996">
              <w:rPr>
                <w:rFonts w:ascii="Calibri" w:hAnsi="Calibri"/>
                <w:bCs/>
                <w:lang w:eastAsia="ja-JP"/>
              </w:rPr>
              <w:t xml:space="preserve"> grădinița nouă 8 grupe, Str. Sportului nr.</w:t>
            </w:r>
            <w:r>
              <w:rPr>
                <w:rFonts w:ascii="Calibri" w:hAnsi="Calibri"/>
                <w:bCs/>
                <w:lang w:eastAsia="ja-JP"/>
              </w:rPr>
              <w:t xml:space="preserve"> </w:t>
            </w:r>
            <w:r w:rsidRPr="00912996">
              <w:rPr>
                <w:rFonts w:ascii="Calibri" w:hAnsi="Calibri"/>
                <w:bCs/>
                <w:lang w:eastAsia="ja-JP"/>
              </w:rPr>
              <w:t>21</w:t>
            </w:r>
          </w:p>
        </w:tc>
        <w:tc>
          <w:tcPr>
            <w:tcW w:w="640" w:type="pct"/>
            <w:shd w:val="clear" w:color="auto" w:fill="F2F2F2"/>
            <w:hideMark/>
          </w:tcPr>
          <w:p w14:paraId="4BEE77E3"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167A17A9" w14:textId="77777777" w:rsidR="00395D01" w:rsidRPr="00912996" w:rsidRDefault="00395D01" w:rsidP="00292396">
            <w:pPr>
              <w:rPr>
                <w:rFonts w:ascii="Calibri" w:hAnsi="Calibri"/>
                <w:bCs/>
                <w:lang w:eastAsia="ja-JP"/>
              </w:rPr>
            </w:pPr>
            <w:r w:rsidRPr="0065198D">
              <w:rPr>
                <w:rFonts w:ascii="Calibri" w:hAnsi="Calibri"/>
                <w:bCs/>
                <w:lang w:eastAsia="ja-JP"/>
              </w:rPr>
              <w:t>Procedura de achizi</w:t>
            </w:r>
            <w:r>
              <w:rPr>
                <w:rFonts w:ascii="Calibri" w:hAnsi="Calibri"/>
                <w:bCs/>
                <w:lang w:eastAsia="ja-JP"/>
              </w:rPr>
              <w:t>ț</w:t>
            </w:r>
            <w:r w:rsidRPr="0065198D">
              <w:rPr>
                <w:rFonts w:ascii="Calibri" w:hAnsi="Calibri"/>
                <w:bCs/>
                <w:lang w:eastAsia="ja-JP"/>
              </w:rPr>
              <w:t>ie pentru lucr</w:t>
            </w:r>
            <w:r>
              <w:rPr>
                <w:rFonts w:ascii="Calibri" w:hAnsi="Calibri"/>
                <w:bCs/>
                <w:lang w:eastAsia="ja-JP"/>
              </w:rPr>
              <w:t>ă</w:t>
            </w:r>
            <w:r w:rsidRPr="0065198D">
              <w:rPr>
                <w:rFonts w:ascii="Calibri" w:hAnsi="Calibri"/>
                <w:bCs/>
                <w:lang w:eastAsia="ja-JP"/>
              </w:rPr>
              <w:t>ri 2022 - 2023</w:t>
            </w:r>
          </w:p>
        </w:tc>
        <w:tc>
          <w:tcPr>
            <w:tcW w:w="473" w:type="pct"/>
            <w:shd w:val="clear" w:color="auto" w:fill="F2F2F2"/>
            <w:hideMark/>
          </w:tcPr>
          <w:p w14:paraId="64EA59DA" w14:textId="77777777" w:rsidR="00395D01" w:rsidRPr="00912996" w:rsidRDefault="00395D01" w:rsidP="00292396">
            <w:pPr>
              <w:rPr>
                <w:rFonts w:ascii="Calibri" w:hAnsi="Calibri"/>
                <w:bCs/>
                <w:lang w:eastAsia="ja-JP"/>
              </w:rPr>
            </w:pPr>
            <w:r w:rsidRPr="00B62189">
              <w:rPr>
                <w:rFonts w:ascii="Calibri" w:hAnsi="Calibri"/>
                <w:bCs/>
                <w:lang w:eastAsia="ja-JP"/>
              </w:rPr>
              <w:t>10,332,000</w:t>
            </w:r>
          </w:p>
        </w:tc>
        <w:tc>
          <w:tcPr>
            <w:tcW w:w="411" w:type="pct"/>
            <w:shd w:val="clear" w:color="auto" w:fill="F2F2F2"/>
            <w:hideMark/>
          </w:tcPr>
          <w:p w14:paraId="0D85E786" w14:textId="77777777" w:rsidR="00395D01" w:rsidRPr="00912996" w:rsidRDefault="00395D01" w:rsidP="00292396">
            <w:pPr>
              <w:rPr>
                <w:rFonts w:ascii="Calibri" w:hAnsi="Calibri"/>
                <w:bCs/>
                <w:lang w:eastAsia="ja-JP"/>
              </w:rPr>
            </w:pPr>
            <w:r w:rsidRPr="00B62189">
              <w:rPr>
                <w:rFonts w:ascii="Calibri" w:hAnsi="Calibri"/>
                <w:bCs/>
                <w:lang w:eastAsia="ja-JP"/>
              </w:rPr>
              <w:t>2,108,572</w:t>
            </w:r>
          </w:p>
        </w:tc>
        <w:tc>
          <w:tcPr>
            <w:tcW w:w="347" w:type="pct"/>
            <w:shd w:val="clear" w:color="auto" w:fill="F2F2F2"/>
            <w:hideMark/>
          </w:tcPr>
          <w:p w14:paraId="650FC5A9"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291ED743"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1F34EA4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C0C5D7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21623BA" w14:textId="77777777" w:rsidTr="00E16711">
        <w:trPr>
          <w:trHeight w:val="1584"/>
        </w:trPr>
        <w:tc>
          <w:tcPr>
            <w:tcW w:w="205" w:type="pct"/>
            <w:shd w:val="clear" w:color="auto" w:fill="F2F2F2"/>
            <w:noWrap/>
            <w:hideMark/>
          </w:tcPr>
          <w:p w14:paraId="3C50BEED" w14:textId="77777777" w:rsidR="00395D01" w:rsidRPr="00912996" w:rsidRDefault="00395D01" w:rsidP="00292396">
            <w:pPr>
              <w:rPr>
                <w:rFonts w:ascii="Calibri" w:hAnsi="Calibri"/>
                <w:bCs/>
                <w:lang w:eastAsia="ja-JP"/>
              </w:rPr>
            </w:pPr>
            <w:r>
              <w:rPr>
                <w:rFonts w:ascii="Calibri" w:hAnsi="Calibri"/>
                <w:bCs/>
                <w:lang w:eastAsia="ja-JP"/>
              </w:rPr>
              <w:t>5</w:t>
            </w:r>
          </w:p>
        </w:tc>
        <w:tc>
          <w:tcPr>
            <w:tcW w:w="1018" w:type="pct"/>
            <w:gridSpan w:val="2"/>
            <w:shd w:val="clear" w:color="auto" w:fill="F2F2F2"/>
            <w:hideMark/>
          </w:tcPr>
          <w:p w14:paraId="00B96D4F" w14:textId="77777777" w:rsidR="00395D01" w:rsidRPr="00912996" w:rsidRDefault="00395D01" w:rsidP="00292396">
            <w:pPr>
              <w:rPr>
                <w:rFonts w:ascii="Calibri" w:hAnsi="Calibri"/>
                <w:bCs/>
                <w:lang w:eastAsia="ja-JP"/>
              </w:rPr>
            </w:pPr>
            <w:r w:rsidRPr="00912996">
              <w:rPr>
                <w:rFonts w:ascii="Calibri" w:hAnsi="Calibri"/>
                <w:bCs/>
                <w:lang w:eastAsia="ja-JP"/>
              </w:rPr>
              <w:t>Grădiniță nouă la Școala Gimnazială Ferdinand I (fosta nr.</w:t>
            </w:r>
            <w:r>
              <w:rPr>
                <w:rFonts w:ascii="Calibri" w:hAnsi="Calibri"/>
                <w:bCs/>
                <w:lang w:eastAsia="ja-JP"/>
              </w:rPr>
              <w:t xml:space="preserve"> </w:t>
            </w:r>
            <w:r w:rsidRPr="00912996">
              <w:rPr>
                <w:rFonts w:ascii="Calibri" w:hAnsi="Calibri"/>
                <w:bCs/>
                <w:lang w:eastAsia="ja-JP"/>
              </w:rPr>
              <w:t>64)</w:t>
            </w:r>
          </w:p>
        </w:tc>
        <w:tc>
          <w:tcPr>
            <w:tcW w:w="640" w:type="pct"/>
            <w:shd w:val="clear" w:color="auto" w:fill="F2F2F2"/>
            <w:hideMark/>
          </w:tcPr>
          <w:p w14:paraId="64A30FB1"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5E9DE8A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AF2E418"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03256AFA" w14:textId="77777777" w:rsidR="00395D01" w:rsidRPr="00912996" w:rsidRDefault="00395D01" w:rsidP="00292396">
            <w:pPr>
              <w:rPr>
                <w:rFonts w:ascii="Calibri" w:hAnsi="Calibri"/>
                <w:bCs/>
                <w:lang w:eastAsia="ja-JP"/>
              </w:rPr>
            </w:pPr>
            <w:r w:rsidRPr="00912996">
              <w:rPr>
                <w:rFonts w:ascii="Calibri" w:hAnsi="Calibri"/>
                <w:bCs/>
                <w:lang w:eastAsia="ja-JP"/>
              </w:rPr>
              <w:t>90,408</w:t>
            </w:r>
          </w:p>
        </w:tc>
        <w:tc>
          <w:tcPr>
            <w:tcW w:w="347" w:type="pct"/>
            <w:shd w:val="clear" w:color="auto" w:fill="F2F2F2"/>
            <w:hideMark/>
          </w:tcPr>
          <w:p w14:paraId="4D85AED8"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1C916CE4"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120B17D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E9E1846"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31ACEF0" w14:textId="77777777" w:rsidTr="00E16711">
        <w:trPr>
          <w:trHeight w:val="1584"/>
        </w:trPr>
        <w:tc>
          <w:tcPr>
            <w:tcW w:w="205" w:type="pct"/>
            <w:shd w:val="clear" w:color="auto" w:fill="F2F2F2"/>
            <w:noWrap/>
            <w:hideMark/>
          </w:tcPr>
          <w:p w14:paraId="4665586F" w14:textId="77777777" w:rsidR="00395D01" w:rsidRPr="00912996" w:rsidRDefault="00395D01" w:rsidP="00292396">
            <w:pPr>
              <w:rPr>
                <w:rFonts w:ascii="Calibri" w:hAnsi="Calibri"/>
                <w:bCs/>
                <w:lang w:eastAsia="ja-JP"/>
              </w:rPr>
            </w:pPr>
            <w:r>
              <w:rPr>
                <w:rFonts w:ascii="Calibri" w:hAnsi="Calibri"/>
                <w:bCs/>
                <w:lang w:eastAsia="ja-JP"/>
              </w:rPr>
              <w:t>6</w:t>
            </w:r>
          </w:p>
        </w:tc>
        <w:tc>
          <w:tcPr>
            <w:tcW w:w="1018" w:type="pct"/>
            <w:gridSpan w:val="2"/>
            <w:shd w:val="clear" w:color="auto" w:fill="F2F2F2"/>
            <w:hideMark/>
          </w:tcPr>
          <w:p w14:paraId="38FE6734" w14:textId="77777777" w:rsidR="00395D01" w:rsidRPr="00912996" w:rsidRDefault="00395D01" w:rsidP="00292396">
            <w:pPr>
              <w:rPr>
                <w:rFonts w:ascii="Calibri" w:hAnsi="Calibri"/>
                <w:bCs/>
                <w:lang w:eastAsia="ja-JP"/>
              </w:rPr>
            </w:pPr>
            <w:r w:rsidRPr="00912996">
              <w:rPr>
                <w:rFonts w:ascii="Calibri" w:hAnsi="Calibri"/>
                <w:bCs/>
                <w:lang w:eastAsia="ja-JP"/>
              </w:rPr>
              <w:t>Construire corp nou grădinița 8 grupe Str. Pescărușului nr.</w:t>
            </w:r>
            <w:r>
              <w:rPr>
                <w:rFonts w:ascii="Calibri" w:hAnsi="Calibri"/>
                <w:bCs/>
                <w:lang w:eastAsia="ja-JP"/>
              </w:rPr>
              <w:t xml:space="preserve"> </w:t>
            </w:r>
            <w:r w:rsidRPr="00912996">
              <w:rPr>
                <w:rFonts w:ascii="Calibri" w:hAnsi="Calibri"/>
                <w:bCs/>
                <w:lang w:eastAsia="ja-JP"/>
              </w:rPr>
              <w:t>124</w:t>
            </w:r>
          </w:p>
        </w:tc>
        <w:tc>
          <w:tcPr>
            <w:tcW w:w="640" w:type="pct"/>
            <w:shd w:val="clear" w:color="auto" w:fill="F2F2F2"/>
            <w:hideMark/>
          </w:tcPr>
          <w:p w14:paraId="12C9F74E" w14:textId="77777777" w:rsidR="00395D01" w:rsidRPr="00912996" w:rsidRDefault="00395D01" w:rsidP="00292396">
            <w:pPr>
              <w:rPr>
                <w:rFonts w:ascii="Calibri" w:hAnsi="Calibri"/>
                <w:bCs/>
                <w:lang w:eastAsia="ja-JP"/>
              </w:rPr>
            </w:pPr>
            <w:r w:rsidRPr="00912996">
              <w:rPr>
                <w:rFonts w:ascii="Calibri" w:hAnsi="Calibri"/>
                <w:bCs/>
                <w:lang w:eastAsia="ja-JP"/>
              </w:rPr>
              <w:t>PS2, DGAPI, PMB</w:t>
            </w:r>
          </w:p>
        </w:tc>
        <w:tc>
          <w:tcPr>
            <w:tcW w:w="507" w:type="pct"/>
            <w:shd w:val="clear" w:color="auto" w:fill="F2F2F2"/>
            <w:hideMark/>
          </w:tcPr>
          <w:p w14:paraId="692134C3" w14:textId="77777777" w:rsidR="00395D01" w:rsidRPr="00912996" w:rsidRDefault="00395D01" w:rsidP="00292396">
            <w:pPr>
              <w:rPr>
                <w:rFonts w:ascii="Calibri" w:hAnsi="Calibri"/>
                <w:bCs/>
                <w:lang w:eastAsia="ja-JP"/>
              </w:rPr>
            </w:pPr>
            <w:r w:rsidRPr="0065198D">
              <w:rPr>
                <w:rFonts w:ascii="Calibri" w:hAnsi="Calibri"/>
                <w:bCs/>
                <w:lang w:eastAsia="ja-JP"/>
              </w:rPr>
              <w:t>Procedura de achizi</w:t>
            </w:r>
            <w:r>
              <w:rPr>
                <w:rFonts w:ascii="Calibri" w:hAnsi="Calibri"/>
                <w:bCs/>
                <w:lang w:eastAsia="ja-JP"/>
              </w:rPr>
              <w:t>ț</w:t>
            </w:r>
            <w:r w:rsidRPr="0065198D">
              <w:rPr>
                <w:rFonts w:ascii="Calibri" w:hAnsi="Calibri"/>
                <w:bCs/>
                <w:lang w:eastAsia="ja-JP"/>
              </w:rPr>
              <w:t>ie pentru lucr</w:t>
            </w:r>
            <w:r>
              <w:rPr>
                <w:rFonts w:ascii="Calibri" w:hAnsi="Calibri"/>
                <w:bCs/>
                <w:lang w:eastAsia="ja-JP"/>
              </w:rPr>
              <w:t>ă</w:t>
            </w:r>
            <w:r w:rsidRPr="0065198D">
              <w:rPr>
                <w:rFonts w:ascii="Calibri" w:hAnsi="Calibri"/>
                <w:bCs/>
                <w:lang w:eastAsia="ja-JP"/>
              </w:rPr>
              <w:t>ri 2022 - 2023</w:t>
            </w:r>
          </w:p>
        </w:tc>
        <w:tc>
          <w:tcPr>
            <w:tcW w:w="473" w:type="pct"/>
            <w:shd w:val="clear" w:color="auto" w:fill="F2F2F2"/>
            <w:hideMark/>
          </w:tcPr>
          <w:p w14:paraId="39F21D58" w14:textId="77777777" w:rsidR="00395D01" w:rsidRPr="00912996" w:rsidRDefault="00395D01" w:rsidP="00292396">
            <w:pPr>
              <w:rPr>
                <w:rFonts w:ascii="Calibri" w:hAnsi="Calibri"/>
                <w:bCs/>
                <w:lang w:eastAsia="ja-JP"/>
              </w:rPr>
            </w:pPr>
            <w:r w:rsidRPr="00B62189">
              <w:rPr>
                <w:rFonts w:ascii="Calibri" w:hAnsi="Calibri"/>
                <w:bCs/>
                <w:lang w:eastAsia="ja-JP"/>
              </w:rPr>
              <w:t>12,925,000</w:t>
            </w:r>
          </w:p>
        </w:tc>
        <w:tc>
          <w:tcPr>
            <w:tcW w:w="411" w:type="pct"/>
            <w:shd w:val="clear" w:color="auto" w:fill="F2F2F2"/>
            <w:hideMark/>
          </w:tcPr>
          <w:p w14:paraId="185C8027" w14:textId="77777777" w:rsidR="00395D01" w:rsidRPr="00912996" w:rsidRDefault="00395D01" w:rsidP="00292396">
            <w:pPr>
              <w:rPr>
                <w:rFonts w:ascii="Calibri" w:hAnsi="Calibri"/>
                <w:bCs/>
                <w:lang w:eastAsia="ja-JP"/>
              </w:rPr>
            </w:pPr>
            <w:r w:rsidRPr="00B62189">
              <w:rPr>
                <w:rFonts w:ascii="Calibri" w:hAnsi="Calibri"/>
                <w:bCs/>
                <w:lang w:eastAsia="ja-JP"/>
              </w:rPr>
              <w:t>2,637,755</w:t>
            </w:r>
          </w:p>
        </w:tc>
        <w:tc>
          <w:tcPr>
            <w:tcW w:w="347" w:type="pct"/>
            <w:shd w:val="clear" w:color="auto" w:fill="F2F2F2"/>
            <w:hideMark/>
          </w:tcPr>
          <w:p w14:paraId="2FAD2113"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1FDAA5A1"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2210CF2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9E7F7D0"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4A9669B" w14:textId="77777777" w:rsidTr="00E16711">
        <w:trPr>
          <w:trHeight w:val="1584"/>
        </w:trPr>
        <w:tc>
          <w:tcPr>
            <w:tcW w:w="205" w:type="pct"/>
            <w:shd w:val="clear" w:color="auto" w:fill="F2F2F2"/>
            <w:noWrap/>
            <w:hideMark/>
          </w:tcPr>
          <w:p w14:paraId="4681A813" w14:textId="77777777" w:rsidR="00395D01" w:rsidRPr="00912996" w:rsidRDefault="00395D01" w:rsidP="00292396">
            <w:pPr>
              <w:rPr>
                <w:rFonts w:ascii="Calibri" w:hAnsi="Calibri"/>
                <w:bCs/>
                <w:lang w:eastAsia="ja-JP"/>
              </w:rPr>
            </w:pPr>
            <w:r>
              <w:rPr>
                <w:rFonts w:ascii="Calibri" w:hAnsi="Calibri"/>
                <w:bCs/>
                <w:lang w:eastAsia="ja-JP"/>
              </w:rPr>
              <w:t>7</w:t>
            </w:r>
          </w:p>
        </w:tc>
        <w:tc>
          <w:tcPr>
            <w:tcW w:w="1018" w:type="pct"/>
            <w:gridSpan w:val="2"/>
            <w:shd w:val="clear" w:color="auto" w:fill="F2F2F2"/>
            <w:hideMark/>
          </w:tcPr>
          <w:p w14:paraId="7719C767" w14:textId="77777777" w:rsidR="00395D01" w:rsidRPr="00912996" w:rsidRDefault="00395D01" w:rsidP="00292396">
            <w:pPr>
              <w:rPr>
                <w:rFonts w:ascii="Calibri" w:hAnsi="Calibri"/>
                <w:bCs/>
                <w:lang w:eastAsia="ja-JP"/>
              </w:rPr>
            </w:pPr>
            <w:r w:rsidRPr="00912996">
              <w:rPr>
                <w:rFonts w:ascii="Calibri" w:hAnsi="Calibri"/>
                <w:bCs/>
                <w:lang w:eastAsia="ja-JP"/>
              </w:rPr>
              <w:t>Construire creșă în cartierul Pantelimon</w:t>
            </w:r>
          </w:p>
        </w:tc>
        <w:tc>
          <w:tcPr>
            <w:tcW w:w="640" w:type="pct"/>
            <w:shd w:val="clear" w:color="auto" w:fill="F2F2F2"/>
            <w:hideMark/>
          </w:tcPr>
          <w:p w14:paraId="3303A6D7"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2E2459A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3902373"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0BACCD12"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7F43DA4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91A5645"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326C8BF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942D9C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3BEF0F3" w14:textId="77777777" w:rsidTr="00E16711">
        <w:trPr>
          <w:trHeight w:val="620"/>
        </w:trPr>
        <w:tc>
          <w:tcPr>
            <w:tcW w:w="205" w:type="pct"/>
            <w:shd w:val="clear" w:color="auto" w:fill="F2F2F2"/>
            <w:noWrap/>
            <w:hideMark/>
          </w:tcPr>
          <w:p w14:paraId="51D234CE" w14:textId="77777777" w:rsidR="00395D01" w:rsidRPr="00912996" w:rsidRDefault="00395D01" w:rsidP="00292396">
            <w:pPr>
              <w:rPr>
                <w:rFonts w:ascii="Calibri" w:hAnsi="Calibri"/>
                <w:bCs/>
                <w:lang w:eastAsia="ja-JP"/>
              </w:rPr>
            </w:pPr>
            <w:r>
              <w:rPr>
                <w:rFonts w:ascii="Calibri" w:hAnsi="Calibri"/>
                <w:bCs/>
                <w:lang w:eastAsia="ja-JP"/>
              </w:rPr>
              <w:t>8</w:t>
            </w:r>
          </w:p>
        </w:tc>
        <w:tc>
          <w:tcPr>
            <w:tcW w:w="1018" w:type="pct"/>
            <w:gridSpan w:val="2"/>
            <w:shd w:val="clear" w:color="auto" w:fill="F2F2F2"/>
            <w:hideMark/>
          </w:tcPr>
          <w:p w14:paraId="08409D47" w14:textId="77777777" w:rsidR="00395D01" w:rsidRPr="00912996" w:rsidRDefault="00395D01" w:rsidP="00292396">
            <w:pPr>
              <w:rPr>
                <w:rFonts w:ascii="Calibri" w:hAnsi="Calibri"/>
                <w:bCs/>
                <w:lang w:eastAsia="ja-JP"/>
              </w:rPr>
            </w:pPr>
            <w:r w:rsidRPr="00912996">
              <w:rPr>
                <w:rFonts w:ascii="Calibri" w:hAnsi="Calibri"/>
                <w:bCs/>
                <w:lang w:eastAsia="ja-JP"/>
              </w:rPr>
              <w:t>Construire creșă în zona Obor</w:t>
            </w:r>
          </w:p>
        </w:tc>
        <w:tc>
          <w:tcPr>
            <w:tcW w:w="640" w:type="pct"/>
            <w:shd w:val="clear" w:color="auto" w:fill="F2F2F2"/>
            <w:hideMark/>
          </w:tcPr>
          <w:p w14:paraId="31DE697C" w14:textId="77777777" w:rsidR="00395D01" w:rsidRPr="00912996" w:rsidRDefault="00395D01" w:rsidP="00292396">
            <w:pPr>
              <w:rPr>
                <w:rFonts w:ascii="Calibri" w:hAnsi="Calibri"/>
                <w:bCs/>
                <w:lang w:eastAsia="ja-JP"/>
              </w:rPr>
            </w:pPr>
            <w:r w:rsidRPr="00912996">
              <w:rPr>
                <w:rFonts w:ascii="Calibri" w:hAnsi="Calibri"/>
                <w:bCs/>
                <w:lang w:eastAsia="ja-JP"/>
              </w:rPr>
              <w:t xml:space="preserve">PS2, </w:t>
            </w:r>
            <w:r>
              <w:rPr>
                <w:rFonts w:ascii="Calibri" w:hAnsi="Calibri"/>
                <w:bCs/>
                <w:lang w:eastAsia="ja-JP"/>
              </w:rPr>
              <w:t>DGAPI</w:t>
            </w:r>
          </w:p>
        </w:tc>
        <w:tc>
          <w:tcPr>
            <w:tcW w:w="507" w:type="pct"/>
            <w:shd w:val="clear" w:color="auto" w:fill="F2F2F2"/>
            <w:hideMark/>
          </w:tcPr>
          <w:p w14:paraId="3C8198D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2D0F49A"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35448DE4"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2204246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3F5E661"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5B93D1F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0EB739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722DEE8" w14:textId="77777777" w:rsidTr="00E16711">
        <w:trPr>
          <w:trHeight w:val="1584"/>
        </w:trPr>
        <w:tc>
          <w:tcPr>
            <w:tcW w:w="205" w:type="pct"/>
            <w:shd w:val="clear" w:color="auto" w:fill="F2F2F2"/>
            <w:noWrap/>
            <w:hideMark/>
          </w:tcPr>
          <w:p w14:paraId="7F2E8CD7" w14:textId="77777777" w:rsidR="00395D01" w:rsidRPr="00912996" w:rsidRDefault="00395D01" w:rsidP="00292396">
            <w:pPr>
              <w:rPr>
                <w:rFonts w:ascii="Calibri" w:hAnsi="Calibri"/>
                <w:bCs/>
                <w:lang w:eastAsia="ja-JP"/>
              </w:rPr>
            </w:pPr>
            <w:r>
              <w:rPr>
                <w:rFonts w:ascii="Calibri" w:hAnsi="Calibri"/>
                <w:bCs/>
                <w:lang w:eastAsia="ja-JP"/>
              </w:rPr>
              <w:t>9</w:t>
            </w:r>
          </w:p>
        </w:tc>
        <w:tc>
          <w:tcPr>
            <w:tcW w:w="1018" w:type="pct"/>
            <w:gridSpan w:val="2"/>
            <w:shd w:val="clear" w:color="auto" w:fill="F2F2F2"/>
            <w:hideMark/>
          </w:tcPr>
          <w:p w14:paraId="37DE09F8" w14:textId="77777777" w:rsidR="00395D01" w:rsidRPr="00912996" w:rsidRDefault="00395D01" w:rsidP="00292396">
            <w:pPr>
              <w:rPr>
                <w:rFonts w:ascii="Calibri" w:hAnsi="Calibri"/>
                <w:bCs/>
                <w:lang w:eastAsia="ja-JP"/>
              </w:rPr>
            </w:pPr>
            <w:r w:rsidRPr="00912996">
              <w:rPr>
                <w:rFonts w:ascii="Calibri" w:hAnsi="Calibri"/>
                <w:bCs/>
                <w:lang w:eastAsia="ja-JP"/>
              </w:rPr>
              <w:t>Construire creșă în zona Vatra Luminoasă</w:t>
            </w:r>
          </w:p>
        </w:tc>
        <w:tc>
          <w:tcPr>
            <w:tcW w:w="640" w:type="pct"/>
            <w:shd w:val="clear" w:color="auto" w:fill="F2F2F2"/>
            <w:hideMark/>
          </w:tcPr>
          <w:p w14:paraId="5C313E4B" w14:textId="77777777" w:rsidR="00395D01" w:rsidRPr="00912996" w:rsidRDefault="00395D01" w:rsidP="00292396">
            <w:pPr>
              <w:rPr>
                <w:rFonts w:ascii="Calibri" w:hAnsi="Calibri"/>
                <w:bCs/>
                <w:lang w:eastAsia="ja-JP"/>
              </w:rPr>
            </w:pPr>
            <w:r w:rsidRPr="00912996">
              <w:rPr>
                <w:rFonts w:ascii="Calibri" w:hAnsi="Calibri"/>
                <w:bCs/>
                <w:lang w:eastAsia="ja-JP"/>
              </w:rPr>
              <w:t xml:space="preserve">PS2, </w:t>
            </w:r>
            <w:r>
              <w:rPr>
                <w:rFonts w:ascii="Calibri" w:hAnsi="Calibri"/>
                <w:bCs/>
                <w:lang w:eastAsia="ja-JP"/>
              </w:rPr>
              <w:t>DGAPI</w:t>
            </w:r>
          </w:p>
        </w:tc>
        <w:tc>
          <w:tcPr>
            <w:tcW w:w="507" w:type="pct"/>
            <w:shd w:val="clear" w:color="auto" w:fill="F2F2F2"/>
            <w:hideMark/>
          </w:tcPr>
          <w:p w14:paraId="682F9CD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5A1870E"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20C6E37A"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09118C6D"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144E18E"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4A8DC1A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B4AFEE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1D454A3" w14:textId="77777777" w:rsidTr="00E16711">
        <w:trPr>
          <w:trHeight w:val="528"/>
        </w:trPr>
        <w:tc>
          <w:tcPr>
            <w:tcW w:w="205" w:type="pct"/>
            <w:shd w:val="clear" w:color="auto" w:fill="F2F2F2"/>
            <w:noWrap/>
            <w:hideMark/>
          </w:tcPr>
          <w:p w14:paraId="1FCE3A15"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0</w:t>
            </w:r>
          </w:p>
        </w:tc>
        <w:tc>
          <w:tcPr>
            <w:tcW w:w="1018" w:type="pct"/>
            <w:gridSpan w:val="2"/>
            <w:shd w:val="clear" w:color="auto" w:fill="F2F2F2"/>
            <w:hideMark/>
          </w:tcPr>
          <w:p w14:paraId="4596FC43" w14:textId="77777777" w:rsidR="00395D01" w:rsidRPr="00912996" w:rsidRDefault="00395D01" w:rsidP="00292396">
            <w:pPr>
              <w:rPr>
                <w:rFonts w:ascii="Calibri" w:hAnsi="Calibri"/>
                <w:bCs/>
                <w:lang w:eastAsia="ja-JP"/>
              </w:rPr>
            </w:pPr>
            <w:r w:rsidRPr="00912996">
              <w:rPr>
                <w:rFonts w:ascii="Calibri" w:hAnsi="Calibri"/>
                <w:bCs/>
                <w:lang w:eastAsia="ja-JP"/>
              </w:rPr>
              <w:t>Construire creșă cu o capacitate de 110 locuri</w:t>
            </w:r>
            <w:r>
              <w:rPr>
                <w:rFonts w:ascii="Calibri" w:hAnsi="Calibri"/>
                <w:bCs/>
                <w:lang w:eastAsia="ja-JP"/>
              </w:rPr>
              <w:t xml:space="preserve"> si grădinița</w:t>
            </w:r>
            <w:r w:rsidRPr="00912996">
              <w:rPr>
                <w:rFonts w:ascii="Calibri" w:hAnsi="Calibri"/>
                <w:bCs/>
                <w:lang w:eastAsia="ja-JP"/>
              </w:rPr>
              <w:t xml:space="preserve"> - Str. Ion Vlad 3-5</w:t>
            </w:r>
          </w:p>
        </w:tc>
        <w:tc>
          <w:tcPr>
            <w:tcW w:w="640" w:type="pct"/>
            <w:shd w:val="clear" w:color="auto" w:fill="F2F2F2"/>
            <w:hideMark/>
          </w:tcPr>
          <w:p w14:paraId="4C587EDD" w14:textId="77777777" w:rsidR="00395D01" w:rsidRPr="00912996" w:rsidRDefault="00395D01" w:rsidP="00292396">
            <w:pPr>
              <w:rPr>
                <w:rFonts w:ascii="Calibri" w:hAnsi="Calibri"/>
                <w:bCs/>
                <w:lang w:eastAsia="ja-JP"/>
              </w:rPr>
            </w:pPr>
            <w:r w:rsidRPr="00912996">
              <w:rPr>
                <w:rFonts w:ascii="Calibri" w:hAnsi="Calibri"/>
                <w:bCs/>
                <w:lang w:eastAsia="ja-JP"/>
              </w:rPr>
              <w:t>PS2, DGA</w:t>
            </w:r>
            <w:r>
              <w:rPr>
                <w:rFonts w:ascii="Calibri" w:hAnsi="Calibri"/>
                <w:bCs/>
                <w:lang w:eastAsia="ja-JP"/>
              </w:rPr>
              <w:t>PI</w:t>
            </w:r>
            <w:r w:rsidRPr="00912996">
              <w:rPr>
                <w:rFonts w:ascii="Calibri" w:hAnsi="Calibri"/>
                <w:bCs/>
                <w:lang w:eastAsia="ja-JP"/>
              </w:rPr>
              <w:t>, PMB</w:t>
            </w:r>
          </w:p>
        </w:tc>
        <w:tc>
          <w:tcPr>
            <w:tcW w:w="507" w:type="pct"/>
            <w:shd w:val="clear" w:color="auto" w:fill="F2F2F2"/>
            <w:hideMark/>
          </w:tcPr>
          <w:p w14:paraId="7A07CD08" w14:textId="77777777" w:rsidR="00395D01" w:rsidRPr="00912996" w:rsidRDefault="00395D01" w:rsidP="00292396">
            <w:pPr>
              <w:rPr>
                <w:rFonts w:ascii="Calibri" w:hAnsi="Calibri"/>
                <w:bCs/>
                <w:lang w:eastAsia="ja-JP"/>
              </w:rPr>
            </w:pPr>
            <w:r w:rsidRPr="00912996">
              <w:rPr>
                <w:rFonts w:ascii="Calibri" w:hAnsi="Calibri"/>
                <w:bCs/>
                <w:lang w:eastAsia="ja-JP"/>
              </w:rPr>
              <w:t>SF</w:t>
            </w:r>
          </w:p>
        </w:tc>
        <w:tc>
          <w:tcPr>
            <w:tcW w:w="473" w:type="pct"/>
            <w:shd w:val="clear" w:color="auto" w:fill="F2F2F2"/>
            <w:hideMark/>
          </w:tcPr>
          <w:p w14:paraId="1851A990" w14:textId="77777777" w:rsidR="00395D01" w:rsidRPr="00912996" w:rsidRDefault="00395D01" w:rsidP="00292396">
            <w:pPr>
              <w:rPr>
                <w:rFonts w:ascii="Calibri" w:hAnsi="Calibri"/>
                <w:bCs/>
                <w:lang w:eastAsia="ja-JP"/>
              </w:rPr>
            </w:pPr>
            <w:r w:rsidRPr="00912996">
              <w:rPr>
                <w:rFonts w:ascii="Calibri" w:hAnsi="Calibri"/>
                <w:bCs/>
                <w:lang w:eastAsia="ja-JP"/>
              </w:rPr>
              <w:t>21,817,662</w:t>
            </w:r>
          </w:p>
        </w:tc>
        <w:tc>
          <w:tcPr>
            <w:tcW w:w="411" w:type="pct"/>
            <w:shd w:val="clear" w:color="auto" w:fill="F2F2F2"/>
            <w:hideMark/>
          </w:tcPr>
          <w:p w14:paraId="0FE2C452" w14:textId="77777777" w:rsidR="00395D01" w:rsidRPr="00912996" w:rsidRDefault="00395D01" w:rsidP="00292396">
            <w:pPr>
              <w:rPr>
                <w:rFonts w:ascii="Calibri" w:hAnsi="Calibri"/>
                <w:bCs/>
                <w:lang w:eastAsia="ja-JP"/>
              </w:rPr>
            </w:pPr>
            <w:r w:rsidRPr="00912996">
              <w:rPr>
                <w:rFonts w:ascii="Calibri" w:hAnsi="Calibri"/>
                <w:bCs/>
                <w:lang w:eastAsia="ja-JP"/>
              </w:rPr>
              <w:t>4,452,584</w:t>
            </w:r>
          </w:p>
        </w:tc>
        <w:tc>
          <w:tcPr>
            <w:tcW w:w="347" w:type="pct"/>
            <w:shd w:val="clear" w:color="auto" w:fill="F2F2F2"/>
            <w:hideMark/>
          </w:tcPr>
          <w:p w14:paraId="09922A73"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7733B25" w14:textId="77777777" w:rsidR="00395D01" w:rsidRPr="00912996" w:rsidRDefault="00395D01" w:rsidP="00292396">
            <w:pPr>
              <w:rPr>
                <w:rFonts w:ascii="Calibri" w:hAnsi="Calibri"/>
                <w:bCs/>
                <w:lang w:eastAsia="ja-JP"/>
              </w:rPr>
            </w:pPr>
            <w:r w:rsidRPr="00B62189">
              <w:rPr>
                <w:rFonts w:ascii="Calibri" w:hAnsi="Calibri"/>
                <w:bCs/>
                <w:lang w:eastAsia="ja-JP"/>
              </w:rPr>
              <w:t>CNI</w:t>
            </w:r>
          </w:p>
        </w:tc>
        <w:tc>
          <w:tcPr>
            <w:tcW w:w="433" w:type="pct"/>
            <w:shd w:val="clear" w:color="auto" w:fill="F2F2F2"/>
            <w:hideMark/>
          </w:tcPr>
          <w:p w14:paraId="2AB0CB3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B70CF7A"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49541B7" w14:textId="77777777" w:rsidTr="00E16711">
        <w:trPr>
          <w:trHeight w:val="792"/>
        </w:trPr>
        <w:tc>
          <w:tcPr>
            <w:tcW w:w="205" w:type="pct"/>
            <w:shd w:val="clear" w:color="auto" w:fill="F2F2F2"/>
            <w:noWrap/>
            <w:hideMark/>
          </w:tcPr>
          <w:p w14:paraId="19BFB879"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1</w:t>
            </w:r>
          </w:p>
        </w:tc>
        <w:tc>
          <w:tcPr>
            <w:tcW w:w="1018" w:type="pct"/>
            <w:gridSpan w:val="2"/>
            <w:shd w:val="clear" w:color="auto" w:fill="F2F2F2"/>
            <w:hideMark/>
          </w:tcPr>
          <w:p w14:paraId="6B14C9D4" w14:textId="2A0AB9FB" w:rsidR="00395D01" w:rsidRPr="00912996" w:rsidRDefault="00395D01" w:rsidP="00292396">
            <w:pPr>
              <w:rPr>
                <w:rFonts w:ascii="Calibri" w:hAnsi="Calibri"/>
                <w:bCs/>
                <w:lang w:eastAsia="ja-JP"/>
              </w:rPr>
            </w:pPr>
            <w:r w:rsidRPr="00912996">
              <w:rPr>
                <w:rFonts w:ascii="Calibri" w:hAnsi="Calibri"/>
                <w:bCs/>
                <w:lang w:eastAsia="ja-JP"/>
              </w:rPr>
              <w:t xml:space="preserve">Construire corp nou - grădinița - </w:t>
            </w:r>
            <w:r w:rsidR="00481271">
              <w:rPr>
                <w:rFonts w:ascii="Calibri" w:hAnsi="Calibri"/>
                <w:bCs/>
                <w:lang w:eastAsia="ja-JP"/>
              </w:rPr>
              <w:t>Ș</w:t>
            </w:r>
            <w:r w:rsidRPr="00912996">
              <w:rPr>
                <w:rFonts w:ascii="Calibri" w:hAnsi="Calibri"/>
                <w:bCs/>
                <w:lang w:eastAsia="ja-JP"/>
              </w:rPr>
              <w:t>c</w:t>
            </w:r>
            <w:r w:rsidR="00481271">
              <w:rPr>
                <w:rFonts w:ascii="Calibri" w:hAnsi="Calibri"/>
                <w:bCs/>
                <w:lang w:eastAsia="ja-JP"/>
              </w:rPr>
              <w:t>oala</w:t>
            </w:r>
            <w:r w:rsidRPr="00912996">
              <w:rPr>
                <w:rFonts w:ascii="Calibri" w:hAnsi="Calibri"/>
                <w:bCs/>
                <w:lang w:eastAsia="ja-JP"/>
              </w:rPr>
              <w:t xml:space="preserve"> Gimnazială nr. 41</w:t>
            </w:r>
          </w:p>
        </w:tc>
        <w:tc>
          <w:tcPr>
            <w:tcW w:w="640" w:type="pct"/>
            <w:shd w:val="clear" w:color="auto" w:fill="F2F2F2"/>
            <w:hideMark/>
          </w:tcPr>
          <w:p w14:paraId="178FBBFC" w14:textId="77777777" w:rsidR="00395D01" w:rsidRPr="00912996" w:rsidRDefault="00395D01" w:rsidP="00292396">
            <w:pPr>
              <w:rPr>
                <w:rFonts w:ascii="Calibri" w:hAnsi="Calibri"/>
                <w:bCs/>
                <w:lang w:eastAsia="ja-JP"/>
              </w:rPr>
            </w:pPr>
            <w:r w:rsidRPr="00912996">
              <w:rPr>
                <w:rFonts w:ascii="Calibri" w:hAnsi="Calibri"/>
                <w:bCs/>
                <w:lang w:eastAsia="ja-JP"/>
              </w:rPr>
              <w:t>PS2, DGAPI</w:t>
            </w:r>
          </w:p>
        </w:tc>
        <w:tc>
          <w:tcPr>
            <w:tcW w:w="507" w:type="pct"/>
            <w:shd w:val="clear" w:color="auto" w:fill="F2F2F2"/>
            <w:hideMark/>
          </w:tcPr>
          <w:p w14:paraId="002B70AB" w14:textId="77777777" w:rsidR="00395D01" w:rsidRPr="00912996" w:rsidRDefault="00395D01" w:rsidP="00292396">
            <w:pPr>
              <w:rPr>
                <w:rFonts w:ascii="Calibri" w:hAnsi="Calibri"/>
                <w:bCs/>
                <w:lang w:eastAsia="ja-JP"/>
              </w:rPr>
            </w:pPr>
            <w:r w:rsidRPr="00912996">
              <w:rPr>
                <w:rFonts w:ascii="Calibri" w:hAnsi="Calibri"/>
                <w:bCs/>
                <w:lang w:eastAsia="ja-JP"/>
              </w:rPr>
              <w:t>Documentație DALI</w:t>
            </w:r>
          </w:p>
        </w:tc>
        <w:tc>
          <w:tcPr>
            <w:tcW w:w="473" w:type="pct"/>
            <w:shd w:val="clear" w:color="auto" w:fill="F2F2F2"/>
            <w:hideMark/>
          </w:tcPr>
          <w:p w14:paraId="1D8DF37D" w14:textId="77777777" w:rsidR="00395D01" w:rsidRPr="00912996" w:rsidRDefault="00395D01" w:rsidP="00292396">
            <w:pPr>
              <w:rPr>
                <w:rFonts w:ascii="Calibri" w:hAnsi="Calibri"/>
                <w:bCs/>
                <w:lang w:eastAsia="ja-JP"/>
              </w:rPr>
            </w:pPr>
            <w:r w:rsidRPr="00912996">
              <w:rPr>
                <w:rFonts w:ascii="Calibri" w:hAnsi="Calibri"/>
                <w:bCs/>
                <w:lang w:eastAsia="ja-JP"/>
              </w:rPr>
              <w:t>31,850,000</w:t>
            </w:r>
          </w:p>
        </w:tc>
        <w:tc>
          <w:tcPr>
            <w:tcW w:w="411" w:type="pct"/>
            <w:shd w:val="clear" w:color="auto" w:fill="F2F2F2"/>
            <w:hideMark/>
          </w:tcPr>
          <w:p w14:paraId="69C2D20F" w14:textId="77777777" w:rsidR="00395D01" w:rsidRPr="00912996" w:rsidRDefault="00395D01" w:rsidP="00292396">
            <w:pPr>
              <w:rPr>
                <w:rFonts w:ascii="Calibri" w:hAnsi="Calibri"/>
                <w:bCs/>
                <w:lang w:eastAsia="ja-JP"/>
              </w:rPr>
            </w:pPr>
            <w:r w:rsidRPr="00912996">
              <w:rPr>
                <w:rFonts w:ascii="Calibri" w:hAnsi="Calibri"/>
                <w:bCs/>
                <w:lang w:eastAsia="ja-JP"/>
              </w:rPr>
              <w:t>6,500,000</w:t>
            </w:r>
          </w:p>
        </w:tc>
        <w:tc>
          <w:tcPr>
            <w:tcW w:w="347" w:type="pct"/>
            <w:shd w:val="clear" w:color="auto" w:fill="F2F2F2"/>
            <w:hideMark/>
          </w:tcPr>
          <w:p w14:paraId="720174E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CEE612A" w14:textId="77777777" w:rsidR="00395D01" w:rsidRPr="00912996" w:rsidRDefault="00395D01" w:rsidP="00292396">
            <w:pPr>
              <w:rPr>
                <w:rFonts w:ascii="Calibri" w:hAnsi="Calibri"/>
                <w:bCs/>
                <w:lang w:eastAsia="ja-JP"/>
              </w:rPr>
            </w:pPr>
            <w:r w:rsidRPr="00912996">
              <w:rPr>
                <w:rFonts w:ascii="Calibri" w:hAnsi="Calibri"/>
                <w:bCs/>
                <w:lang w:eastAsia="ja-JP"/>
              </w:rPr>
              <w:t>Fonduri europene, Bugetul local, Alte surse de finanțare</w:t>
            </w:r>
          </w:p>
        </w:tc>
        <w:tc>
          <w:tcPr>
            <w:tcW w:w="433" w:type="pct"/>
            <w:shd w:val="clear" w:color="auto" w:fill="F2F2F2"/>
            <w:hideMark/>
          </w:tcPr>
          <w:p w14:paraId="2012585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AD47B9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01D87BE" w14:textId="77777777" w:rsidTr="00E16711">
        <w:trPr>
          <w:trHeight w:val="1584"/>
        </w:trPr>
        <w:tc>
          <w:tcPr>
            <w:tcW w:w="205" w:type="pct"/>
            <w:shd w:val="clear" w:color="auto" w:fill="F2F2F2"/>
            <w:noWrap/>
            <w:hideMark/>
          </w:tcPr>
          <w:p w14:paraId="2D06F3CE"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2</w:t>
            </w:r>
          </w:p>
        </w:tc>
        <w:tc>
          <w:tcPr>
            <w:tcW w:w="1018" w:type="pct"/>
            <w:gridSpan w:val="2"/>
            <w:shd w:val="clear" w:color="auto" w:fill="F2F2F2"/>
            <w:hideMark/>
          </w:tcPr>
          <w:p w14:paraId="7EC3F601" w14:textId="77777777" w:rsidR="00395D01" w:rsidRPr="00912996" w:rsidRDefault="00395D01" w:rsidP="00292396">
            <w:pPr>
              <w:rPr>
                <w:rFonts w:ascii="Calibri" w:hAnsi="Calibri"/>
                <w:bCs/>
                <w:lang w:eastAsia="ja-JP"/>
              </w:rPr>
            </w:pPr>
            <w:r w:rsidRPr="00912996">
              <w:rPr>
                <w:rFonts w:ascii="Calibri" w:hAnsi="Calibri"/>
                <w:bCs/>
                <w:lang w:eastAsia="ja-JP"/>
              </w:rPr>
              <w:t>Construire creșă în cartierul Teiul Doamnei</w:t>
            </w:r>
          </w:p>
        </w:tc>
        <w:tc>
          <w:tcPr>
            <w:tcW w:w="640" w:type="pct"/>
            <w:shd w:val="clear" w:color="auto" w:fill="F2F2F2"/>
            <w:hideMark/>
          </w:tcPr>
          <w:p w14:paraId="3EC19234" w14:textId="77777777" w:rsidR="00395D01" w:rsidRPr="00912996" w:rsidRDefault="00395D01" w:rsidP="00292396">
            <w:pPr>
              <w:rPr>
                <w:rFonts w:ascii="Calibri" w:hAnsi="Calibri"/>
                <w:bCs/>
                <w:lang w:eastAsia="ja-JP"/>
              </w:rPr>
            </w:pPr>
            <w:r w:rsidRPr="00EF7958">
              <w:rPr>
                <w:rFonts w:ascii="Calibri" w:hAnsi="Calibri"/>
                <w:bCs/>
                <w:lang w:eastAsia="ja-JP"/>
              </w:rPr>
              <w:t>PS2</w:t>
            </w:r>
            <w:r w:rsidRPr="00912996">
              <w:rPr>
                <w:rFonts w:ascii="Calibri" w:hAnsi="Calibri"/>
                <w:bCs/>
                <w:lang w:eastAsia="ja-JP"/>
              </w:rPr>
              <w:t>, DGASPC S2</w:t>
            </w:r>
          </w:p>
        </w:tc>
        <w:tc>
          <w:tcPr>
            <w:tcW w:w="507" w:type="pct"/>
            <w:shd w:val="clear" w:color="auto" w:fill="F2F2F2"/>
            <w:hideMark/>
          </w:tcPr>
          <w:p w14:paraId="2312A8E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DE5D7B2"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1590893B"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64ED4D6F"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EC09395"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3CEAA96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1727C76"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32A68B42" w14:textId="77777777" w:rsidTr="00E16711">
        <w:trPr>
          <w:trHeight w:val="530"/>
        </w:trPr>
        <w:tc>
          <w:tcPr>
            <w:tcW w:w="205" w:type="pct"/>
            <w:shd w:val="clear" w:color="auto" w:fill="F2F2F2"/>
            <w:noWrap/>
            <w:hideMark/>
          </w:tcPr>
          <w:p w14:paraId="37ED6BCD"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3</w:t>
            </w:r>
          </w:p>
        </w:tc>
        <w:tc>
          <w:tcPr>
            <w:tcW w:w="1018" w:type="pct"/>
            <w:gridSpan w:val="2"/>
            <w:shd w:val="clear" w:color="auto" w:fill="F2F2F2"/>
            <w:hideMark/>
          </w:tcPr>
          <w:p w14:paraId="2A4D60FB" w14:textId="77777777" w:rsidR="00395D01" w:rsidRPr="00912996" w:rsidRDefault="00395D01" w:rsidP="00292396">
            <w:pPr>
              <w:rPr>
                <w:rFonts w:ascii="Calibri" w:hAnsi="Calibri"/>
                <w:bCs/>
                <w:lang w:eastAsia="ja-JP"/>
              </w:rPr>
            </w:pPr>
            <w:r w:rsidRPr="00912996">
              <w:rPr>
                <w:rFonts w:ascii="Calibri" w:hAnsi="Calibri"/>
                <w:bCs/>
                <w:lang w:eastAsia="ja-JP"/>
              </w:rPr>
              <w:t>Construire creșă în zona Colentina</w:t>
            </w:r>
          </w:p>
        </w:tc>
        <w:tc>
          <w:tcPr>
            <w:tcW w:w="640" w:type="pct"/>
            <w:shd w:val="clear" w:color="auto" w:fill="F2F2F2"/>
            <w:hideMark/>
          </w:tcPr>
          <w:p w14:paraId="758E37ED" w14:textId="77777777" w:rsidR="00395D01" w:rsidRPr="00912996" w:rsidRDefault="00395D01" w:rsidP="00292396">
            <w:pPr>
              <w:rPr>
                <w:rFonts w:ascii="Calibri" w:hAnsi="Calibri"/>
                <w:bCs/>
                <w:lang w:eastAsia="ja-JP"/>
              </w:rPr>
            </w:pPr>
            <w:r w:rsidRPr="00EF7958">
              <w:rPr>
                <w:rFonts w:ascii="Calibri" w:hAnsi="Calibri"/>
                <w:bCs/>
                <w:lang w:eastAsia="ja-JP"/>
              </w:rPr>
              <w:t>PS2</w:t>
            </w:r>
            <w:r w:rsidRPr="00912996">
              <w:rPr>
                <w:rFonts w:ascii="Calibri" w:hAnsi="Calibri"/>
                <w:bCs/>
                <w:lang w:eastAsia="ja-JP"/>
              </w:rPr>
              <w:t>, DGASPC S2</w:t>
            </w:r>
          </w:p>
        </w:tc>
        <w:tc>
          <w:tcPr>
            <w:tcW w:w="507" w:type="pct"/>
            <w:shd w:val="clear" w:color="auto" w:fill="F2F2F2"/>
            <w:hideMark/>
          </w:tcPr>
          <w:p w14:paraId="6C04688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02AA60A"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7F307A83"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01D8EC3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9EB3FDD"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50FDF67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9E5742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DFCEA1C" w14:textId="77777777" w:rsidTr="00E16711">
        <w:trPr>
          <w:trHeight w:val="1584"/>
        </w:trPr>
        <w:tc>
          <w:tcPr>
            <w:tcW w:w="205" w:type="pct"/>
            <w:shd w:val="clear" w:color="auto" w:fill="F2F2F2"/>
            <w:noWrap/>
            <w:hideMark/>
          </w:tcPr>
          <w:p w14:paraId="3A39438F" w14:textId="77777777" w:rsidR="00395D01" w:rsidRPr="00912996" w:rsidRDefault="00395D01" w:rsidP="00292396">
            <w:pPr>
              <w:rPr>
                <w:rFonts w:ascii="Calibri" w:hAnsi="Calibri"/>
                <w:bCs/>
                <w:lang w:eastAsia="ja-JP"/>
              </w:rPr>
            </w:pPr>
            <w:r w:rsidRPr="00912996">
              <w:rPr>
                <w:rFonts w:ascii="Calibri" w:hAnsi="Calibri"/>
                <w:bCs/>
                <w:lang w:eastAsia="ja-JP"/>
              </w:rPr>
              <w:t>1</w:t>
            </w:r>
            <w:r>
              <w:rPr>
                <w:rFonts w:ascii="Calibri" w:hAnsi="Calibri"/>
                <w:bCs/>
                <w:lang w:eastAsia="ja-JP"/>
              </w:rPr>
              <w:t>4</w:t>
            </w:r>
          </w:p>
        </w:tc>
        <w:tc>
          <w:tcPr>
            <w:tcW w:w="1018" w:type="pct"/>
            <w:gridSpan w:val="2"/>
            <w:shd w:val="clear" w:color="auto" w:fill="F2F2F2"/>
            <w:hideMark/>
          </w:tcPr>
          <w:p w14:paraId="41E1A3F5" w14:textId="77777777" w:rsidR="00395D01" w:rsidRPr="00912996" w:rsidRDefault="00395D01" w:rsidP="00292396">
            <w:pPr>
              <w:rPr>
                <w:rFonts w:ascii="Calibri" w:hAnsi="Calibri"/>
                <w:bCs/>
                <w:lang w:eastAsia="ja-JP"/>
              </w:rPr>
            </w:pPr>
            <w:r w:rsidRPr="00912996">
              <w:rPr>
                <w:rFonts w:ascii="Calibri" w:hAnsi="Calibri"/>
                <w:bCs/>
                <w:lang w:eastAsia="ja-JP"/>
              </w:rPr>
              <w:t xml:space="preserve">Extinderea programului grădinițelor </w:t>
            </w:r>
            <w:r>
              <w:rPr>
                <w:rFonts w:ascii="Calibri" w:hAnsi="Calibri"/>
                <w:bCs/>
                <w:lang w:eastAsia="ja-JP"/>
              </w:rPr>
              <w:t>ș</w:t>
            </w:r>
            <w:r w:rsidRPr="00912996">
              <w:rPr>
                <w:rFonts w:ascii="Calibri" w:hAnsi="Calibri"/>
                <w:bCs/>
                <w:lang w:eastAsia="ja-JP"/>
              </w:rPr>
              <w:t>i creșelor p</w:t>
            </w:r>
            <w:r>
              <w:rPr>
                <w:rFonts w:ascii="Calibri" w:hAnsi="Calibri"/>
                <w:bCs/>
                <w:lang w:eastAsia="ja-JP"/>
              </w:rPr>
              <w:t>â</w:t>
            </w:r>
            <w:r w:rsidRPr="00912996">
              <w:rPr>
                <w:rFonts w:ascii="Calibri" w:hAnsi="Calibri"/>
                <w:bCs/>
                <w:lang w:eastAsia="ja-JP"/>
              </w:rPr>
              <w:t>n</w:t>
            </w:r>
            <w:r>
              <w:rPr>
                <w:rFonts w:ascii="Calibri" w:hAnsi="Calibri"/>
                <w:bCs/>
                <w:lang w:eastAsia="ja-JP"/>
              </w:rPr>
              <w:t>ă</w:t>
            </w:r>
            <w:r w:rsidRPr="00912996">
              <w:rPr>
                <w:rFonts w:ascii="Calibri" w:hAnsi="Calibri"/>
                <w:bCs/>
                <w:lang w:eastAsia="ja-JP"/>
              </w:rPr>
              <w:t xml:space="preserve"> la ora 18</w:t>
            </w:r>
          </w:p>
        </w:tc>
        <w:tc>
          <w:tcPr>
            <w:tcW w:w="640" w:type="pct"/>
            <w:shd w:val="clear" w:color="auto" w:fill="F2F2F2"/>
            <w:hideMark/>
          </w:tcPr>
          <w:p w14:paraId="085BD423" w14:textId="77777777" w:rsidR="00395D01" w:rsidRPr="00912996" w:rsidRDefault="00395D01" w:rsidP="00292396">
            <w:pPr>
              <w:rPr>
                <w:rFonts w:ascii="Calibri" w:hAnsi="Calibri"/>
                <w:bCs/>
                <w:lang w:eastAsia="ja-JP"/>
              </w:rPr>
            </w:pPr>
            <w:r w:rsidRPr="00912996">
              <w:rPr>
                <w:rFonts w:ascii="Calibri" w:hAnsi="Calibri"/>
                <w:bCs/>
                <w:lang w:eastAsia="ja-JP"/>
              </w:rPr>
              <w:t>PS2, PMB</w:t>
            </w:r>
          </w:p>
        </w:tc>
        <w:tc>
          <w:tcPr>
            <w:tcW w:w="507" w:type="pct"/>
            <w:shd w:val="clear" w:color="auto" w:fill="F2F2F2"/>
            <w:hideMark/>
          </w:tcPr>
          <w:p w14:paraId="45E5E5E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FB2C38A" w14:textId="77777777" w:rsidR="00395D01" w:rsidRPr="00912996" w:rsidRDefault="00395D01" w:rsidP="00292396">
            <w:pPr>
              <w:rPr>
                <w:rFonts w:ascii="Calibri" w:hAnsi="Calibri"/>
                <w:bCs/>
                <w:lang w:eastAsia="ja-JP"/>
              </w:rPr>
            </w:pPr>
            <w:r w:rsidRPr="00912996">
              <w:rPr>
                <w:rFonts w:ascii="Calibri" w:hAnsi="Calibri"/>
                <w:bCs/>
                <w:lang w:eastAsia="ja-JP"/>
              </w:rPr>
              <w:t>1,225,000</w:t>
            </w:r>
          </w:p>
        </w:tc>
        <w:tc>
          <w:tcPr>
            <w:tcW w:w="411" w:type="pct"/>
            <w:shd w:val="clear" w:color="auto" w:fill="F2F2F2"/>
            <w:hideMark/>
          </w:tcPr>
          <w:p w14:paraId="28044413" w14:textId="77777777" w:rsidR="00395D01" w:rsidRPr="00912996" w:rsidRDefault="00395D01" w:rsidP="00292396">
            <w:pPr>
              <w:rPr>
                <w:rFonts w:ascii="Calibri" w:hAnsi="Calibri"/>
                <w:bCs/>
                <w:lang w:eastAsia="ja-JP"/>
              </w:rPr>
            </w:pPr>
            <w:r w:rsidRPr="00912996">
              <w:rPr>
                <w:rFonts w:ascii="Calibri" w:hAnsi="Calibri"/>
                <w:bCs/>
                <w:lang w:eastAsia="ja-JP"/>
              </w:rPr>
              <w:t>250,000</w:t>
            </w:r>
          </w:p>
        </w:tc>
        <w:tc>
          <w:tcPr>
            <w:tcW w:w="347" w:type="pct"/>
            <w:shd w:val="clear" w:color="auto" w:fill="F2F2F2"/>
            <w:hideMark/>
          </w:tcPr>
          <w:p w14:paraId="46B4568F"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F6974A2" w14:textId="77777777" w:rsidR="00395D01" w:rsidRPr="00912996" w:rsidRDefault="00395D01" w:rsidP="00292396">
            <w:pPr>
              <w:rPr>
                <w:rFonts w:ascii="Calibri" w:hAnsi="Calibri"/>
                <w:bCs/>
                <w:lang w:eastAsia="ja-JP"/>
              </w:rPr>
            </w:pPr>
            <w:r w:rsidRPr="00912996">
              <w:rPr>
                <w:rFonts w:ascii="Calibri" w:hAnsi="Calibri"/>
                <w:bCs/>
                <w:lang w:eastAsia="ja-JP"/>
              </w:rPr>
              <w:t>POEO 2021-2027 P5, POR BI P6, PNRR C15, CNI, Bugetul local, Buget Municipal,  Alte surse de finanțare</w:t>
            </w:r>
          </w:p>
        </w:tc>
        <w:tc>
          <w:tcPr>
            <w:tcW w:w="433" w:type="pct"/>
            <w:shd w:val="clear" w:color="auto" w:fill="F2F2F2"/>
            <w:hideMark/>
          </w:tcPr>
          <w:p w14:paraId="5BAC25A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62E018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7B75D21" w14:textId="77777777" w:rsidTr="00EA3715">
        <w:trPr>
          <w:trHeight w:val="840"/>
        </w:trPr>
        <w:tc>
          <w:tcPr>
            <w:tcW w:w="205" w:type="pct"/>
            <w:shd w:val="clear" w:color="auto" w:fill="F2F2F2"/>
            <w:noWrap/>
          </w:tcPr>
          <w:p w14:paraId="4AAE2730" w14:textId="77777777" w:rsidR="00395D01" w:rsidRPr="00912996" w:rsidRDefault="00395D01" w:rsidP="00292396">
            <w:pPr>
              <w:rPr>
                <w:rFonts w:ascii="Calibri" w:hAnsi="Calibri"/>
                <w:bCs/>
                <w:lang w:eastAsia="ja-JP"/>
              </w:rPr>
            </w:pPr>
            <w:r>
              <w:rPr>
                <w:rFonts w:ascii="Calibri" w:hAnsi="Calibri"/>
                <w:bCs/>
                <w:lang w:eastAsia="ja-JP"/>
              </w:rPr>
              <w:t>15</w:t>
            </w:r>
          </w:p>
        </w:tc>
        <w:tc>
          <w:tcPr>
            <w:tcW w:w="1018" w:type="pct"/>
            <w:gridSpan w:val="2"/>
            <w:shd w:val="clear" w:color="auto" w:fill="F2F2F2"/>
          </w:tcPr>
          <w:p w14:paraId="16222F50" w14:textId="77777777" w:rsidR="00395D01" w:rsidRPr="00912996" w:rsidRDefault="00395D01" w:rsidP="00292396">
            <w:pPr>
              <w:rPr>
                <w:rFonts w:ascii="Calibri" w:hAnsi="Calibri"/>
                <w:bCs/>
                <w:lang w:eastAsia="ja-JP"/>
              </w:rPr>
            </w:pPr>
            <w:r w:rsidRPr="00912996">
              <w:rPr>
                <w:rFonts w:ascii="Calibri" w:hAnsi="Calibri"/>
                <w:bCs/>
                <w:lang w:eastAsia="ja-JP"/>
              </w:rPr>
              <w:t>Construire creșă mică pentru maxim 4 grupe/40 copii</w:t>
            </w:r>
          </w:p>
        </w:tc>
        <w:tc>
          <w:tcPr>
            <w:tcW w:w="640" w:type="pct"/>
            <w:shd w:val="clear" w:color="auto" w:fill="F2F2F2"/>
          </w:tcPr>
          <w:p w14:paraId="387DBF7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tcPr>
          <w:p w14:paraId="4B281DCA" w14:textId="77777777" w:rsidR="00395D01" w:rsidRPr="00912996" w:rsidRDefault="00395D01" w:rsidP="00292396">
            <w:pPr>
              <w:rPr>
                <w:rFonts w:ascii="Calibri" w:hAnsi="Calibri"/>
                <w:bCs/>
                <w:lang w:eastAsia="ja-JP"/>
              </w:rPr>
            </w:pPr>
            <w:r w:rsidRPr="00912996">
              <w:rPr>
                <w:rFonts w:ascii="Calibri" w:hAnsi="Calibri"/>
                <w:bCs/>
                <w:lang w:eastAsia="ja-JP"/>
              </w:rPr>
              <w:t>Precontract</w:t>
            </w:r>
          </w:p>
        </w:tc>
        <w:tc>
          <w:tcPr>
            <w:tcW w:w="473" w:type="pct"/>
            <w:shd w:val="clear" w:color="auto" w:fill="F2F2F2"/>
          </w:tcPr>
          <w:p w14:paraId="5D0BA021" w14:textId="77777777" w:rsidR="00395D01" w:rsidRPr="00912996" w:rsidRDefault="00395D01" w:rsidP="00292396">
            <w:pPr>
              <w:rPr>
                <w:rFonts w:ascii="Calibri" w:hAnsi="Calibri"/>
                <w:bCs/>
                <w:lang w:eastAsia="ja-JP"/>
              </w:rPr>
            </w:pPr>
            <w:r w:rsidRPr="00912996">
              <w:rPr>
                <w:rFonts w:ascii="Calibri" w:hAnsi="Calibri"/>
                <w:bCs/>
                <w:lang w:eastAsia="ja-JP"/>
              </w:rPr>
              <w:t>9,988,916</w:t>
            </w:r>
          </w:p>
        </w:tc>
        <w:tc>
          <w:tcPr>
            <w:tcW w:w="411" w:type="pct"/>
            <w:shd w:val="clear" w:color="auto" w:fill="F2F2F2"/>
          </w:tcPr>
          <w:p w14:paraId="220AF259" w14:textId="77777777" w:rsidR="00395D01" w:rsidRPr="00912996" w:rsidRDefault="00395D01" w:rsidP="00292396">
            <w:pPr>
              <w:rPr>
                <w:rFonts w:ascii="Calibri" w:hAnsi="Calibri"/>
                <w:bCs/>
                <w:lang w:eastAsia="ja-JP"/>
              </w:rPr>
            </w:pPr>
            <w:r w:rsidRPr="00912996">
              <w:rPr>
                <w:rFonts w:ascii="Calibri" w:hAnsi="Calibri"/>
                <w:bCs/>
                <w:lang w:eastAsia="ja-JP"/>
              </w:rPr>
              <w:t>2,038,554</w:t>
            </w:r>
          </w:p>
          <w:p w14:paraId="19000A70" w14:textId="77777777" w:rsidR="00395D01" w:rsidRPr="00912996" w:rsidRDefault="00395D01" w:rsidP="00292396">
            <w:pPr>
              <w:rPr>
                <w:rFonts w:ascii="Calibri" w:hAnsi="Calibri"/>
                <w:bCs/>
                <w:lang w:eastAsia="ja-JP"/>
              </w:rPr>
            </w:pPr>
          </w:p>
        </w:tc>
        <w:tc>
          <w:tcPr>
            <w:tcW w:w="347" w:type="pct"/>
            <w:shd w:val="clear" w:color="auto" w:fill="F2F2F2"/>
          </w:tcPr>
          <w:p w14:paraId="319D36D1" w14:textId="77777777" w:rsidR="00395D01" w:rsidRPr="00912996" w:rsidRDefault="00395D01" w:rsidP="00292396">
            <w:pPr>
              <w:rPr>
                <w:rFonts w:ascii="Calibri" w:hAnsi="Calibri"/>
                <w:bCs/>
                <w:lang w:eastAsia="ja-JP"/>
              </w:rPr>
            </w:pPr>
            <w:r w:rsidRPr="00912996">
              <w:rPr>
                <w:rFonts w:ascii="Calibri" w:hAnsi="Calibri"/>
                <w:bCs/>
                <w:lang w:eastAsia="ja-JP"/>
              </w:rPr>
              <w:t>2022 - 2025</w:t>
            </w:r>
          </w:p>
        </w:tc>
        <w:tc>
          <w:tcPr>
            <w:tcW w:w="484" w:type="pct"/>
            <w:gridSpan w:val="2"/>
            <w:shd w:val="clear" w:color="auto" w:fill="F2F2F2"/>
          </w:tcPr>
          <w:p w14:paraId="774CB861" w14:textId="77777777" w:rsidR="00395D01" w:rsidRPr="00912996" w:rsidRDefault="00395D01" w:rsidP="00292396">
            <w:pPr>
              <w:rPr>
                <w:rFonts w:ascii="Calibri" w:hAnsi="Calibri"/>
                <w:bCs/>
                <w:lang w:eastAsia="ja-JP"/>
              </w:rPr>
            </w:pPr>
            <w:r w:rsidRPr="00912996">
              <w:rPr>
                <w:rFonts w:ascii="Calibri" w:hAnsi="Calibri"/>
                <w:bCs/>
                <w:lang w:eastAsia="ja-JP"/>
              </w:rPr>
              <w:t>PNRR-C15</w:t>
            </w:r>
          </w:p>
        </w:tc>
        <w:tc>
          <w:tcPr>
            <w:tcW w:w="433" w:type="pct"/>
            <w:shd w:val="clear" w:color="auto" w:fill="F2F2F2"/>
          </w:tcPr>
          <w:p w14:paraId="554A53E1"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tcPr>
          <w:p w14:paraId="1F80B548"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372837F4" w14:textId="77777777" w:rsidTr="00E16711">
        <w:trPr>
          <w:trHeight w:val="980"/>
        </w:trPr>
        <w:tc>
          <w:tcPr>
            <w:tcW w:w="205" w:type="pct"/>
            <w:shd w:val="clear" w:color="auto" w:fill="F2F2F2"/>
            <w:noWrap/>
          </w:tcPr>
          <w:p w14:paraId="407C89E3" w14:textId="77777777" w:rsidR="00395D01" w:rsidRPr="00912996" w:rsidRDefault="00395D01" w:rsidP="00292396">
            <w:pPr>
              <w:rPr>
                <w:rFonts w:ascii="Calibri" w:hAnsi="Calibri"/>
                <w:bCs/>
                <w:lang w:eastAsia="ja-JP"/>
              </w:rPr>
            </w:pPr>
            <w:r>
              <w:rPr>
                <w:rFonts w:ascii="Calibri" w:hAnsi="Calibri"/>
                <w:bCs/>
                <w:lang w:eastAsia="ja-JP"/>
              </w:rPr>
              <w:t>16</w:t>
            </w:r>
          </w:p>
        </w:tc>
        <w:tc>
          <w:tcPr>
            <w:tcW w:w="1018" w:type="pct"/>
            <w:gridSpan w:val="2"/>
            <w:shd w:val="clear" w:color="auto" w:fill="F2F2F2"/>
          </w:tcPr>
          <w:p w14:paraId="04C2AD93" w14:textId="77777777" w:rsidR="00395D01" w:rsidRPr="00912996" w:rsidRDefault="00395D01" w:rsidP="00292396">
            <w:pPr>
              <w:rPr>
                <w:rFonts w:ascii="Calibri" w:hAnsi="Calibri"/>
                <w:bCs/>
                <w:lang w:eastAsia="ja-JP"/>
              </w:rPr>
            </w:pPr>
            <w:r w:rsidRPr="00912996">
              <w:rPr>
                <w:rFonts w:ascii="Calibri" w:hAnsi="Calibri"/>
                <w:bCs/>
                <w:lang w:eastAsia="ja-JP"/>
              </w:rPr>
              <w:t>Construire creșă cu 110 locuri. Municipiul București</w:t>
            </w:r>
          </w:p>
        </w:tc>
        <w:tc>
          <w:tcPr>
            <w:tcW w:w="640" w:type="pct"/>
            <w:shd w:val="clear" w:color="auto" w:fill="F2F2F2"/>
          </w:tcPr>
          <w:p w14:paraId="3B89874A" w14:textId="77777777" w:rsidR="00395D01" w:rsidRPr="00912996" w:rsidRDefault="00395D01" w:rsidP="00292396">
            <w:pPr>
              <w:rPr>
                <w:rFonts w:ascii="Calibri" w:hAnsi="Calibri"/>
                <w:bCs/>
                <w:lang w:eastAsia="ja-JP"/>
              </w:rPr>
            </w:pPr>
            <w:r w:rsidRPr="00912996">
              <w:rPr>
                <w:rFonts w:ascii="Calibri" w:hAnsi="Calibri"/>
                <w:bCs/>
                <w:lang w:eastAsia="ja-JP"/>
              </w:rPr>
              <w:t xml:space="preserve">PS2, </w:t>
            </w:r>
            <w:r>
              <w:rPr>
                <w:rFonts w:ascii="Calibri" w:hAnsi="Calibri"/>
                <w:bCs/>
                <w:lang w:eastAsia="ja-JP"/>
              </w:rPr>
              <w:t>DGAPI</w:t>
            </w:r>
          </w:p>
        </w:tc>
        <w:tc>
          <w:tcPr>
            <w:tcW w:w="507" w:type="pct"/>
            <w:shd w:val="clear" w:color="auto" w:fill="F2F2F2"/>
          </w:tcPr>
          <w:p w14:paraId="26180624" w14:textId="77777777" w:rsidR="00395D01" w:rsidRPr="00912996" w:rsidRDefault="00395D01" w:rsidP="00292396">
            <w:pPr>
              <w:rPr>
                <w:rFonts w:ascii="Calibri" w:hAnsi="Calibri"/>
                <w:bCs/>
                <w:lang w:eastAsia="ja-JP"/>
              </w:rPr>
            </w:pPr>
            <w:r w:rsidRPr="00912996">
              <w:rPr>
                <w:rFonts w:ascii="Calibri" w:hAnsi="Calibri"/>
                <w:bCs/>
                <w:lang w:eastAsia="ja-JP"/>
              </w:rPr>
              <w:t>Contract de finanțare semnat</w:t>
            </w:r>
          </w:p>
        </w:tc>
        <w:tc>
          <w:tcPr>
            <w:tcW w:w="473" w:type="pct"/>
            <w:shd w:val="clear" w:color="auto" w:fill="F2F2F2"/>
          </w:tcPr>
          <w:p w14:paraId="02B047E8" w14:textId="77777777" w:rsidR="00395D01" w:rsidRPr="00912996" w:rsidRDefault="00395D01" w:rsidP="00292396">
            <w:pPr>
              <w:rPr>
                <w:rFonts w:ascii="Calibri" w:hAnsi="Calibri"/>
                <w:bCs/>
                <w:lang w:eastAsia="ja-JP"/>
              </w:rPr>
            </w:pPr>
            <w:r w:rsidRPr="00912996">
              <w:rPr>
                <w:rFonts w:ascii="Calibri" w:hAnsi="Calibri"/>
                <w:bCs/>
                <w:lang w:eastAsia="ja-JP"/>
              </w:rPr>
              <w:t>21,667,344</w:t>
            </w:r>
          </w:p>
        </w:tc>
        <w:tc>
          <w:tcPr>
            <w:tcW w:w="411" w:type="pct"/>
            <w:shd w:val="clear" w:color="auto" w:fill="F2F2F2"/>
          </w:tcPr>
          <w:p w14:paraId="3FC344EE" w14:textId="77777777" w:rsidR="00395D01" w:rsidRPr="00912996" w:rsidRDefault="00395D01" w:rsidP="00292396">
            <w:pPr>
              <w:rPr>
                <w:rFonts w:ascii="Calibri" w:hAnsi="Calibri"/>
                <w:bCs/>
                <w:lang w:eastAsia="ja-JP"/>
              </w:rPr>
            </w:pPr>
            <w:r w:rsidRPr="00912996">
              <w:rPr>
                <w:rFonts w:ascii="Calibri" w:hAnsi="Calibri"/>
                <w:bCs/>
                <w:lang w:eastAsia="ja-JP"/>
              </w:rPr>
              <w:t>4,421,907</w:t>
            </w:r>
          </w:p>
          <w:p w14:paraId="41383A67" w14:textId="77777777" w:rsidR="00395D01" w:rsidRPr="00912996" w:rsidRDefault="00395D01" w:rsidP="00292396">
            <w:pPr>
              <w:rPr>
                <w:rFonts w:ascii="Calibri" w:hAnsi="Calibri"/>
                <w:bCs/>
                <w:lang w:eastAsia="ja-JP"/>
              </w:rPr>
            </w:pPr>
          </w:p>
        </w:tc>
        <w:tc>
          <w:tcPr>
            <w:tcW w:w="347" w:type="pct"/>
            <w:shd w:val="clear" w:color="auto" w:fill="F2F2F2"/>
          </w:tcPr>
          <w:p w14:paraId="25254707" w14:textId="77777777" w:rsidR="00395D01" w:rsidRPr="00912996" w:rsidRDefault="00395D01" w:rsidP="00292396">
            <w:pPr>
              <w:rPr>
                <w:rFonts w:ascii="Calibri" w:hAnsi="Calibri"/>
                <w:bCs/>
                <w:lang w:eastAsia="ja-JP"/>
              </w:rPr>
            </w:pPr>
            <w:r w:rsidRPr="00912996">
              <w:rPr>
                <w:rFonts w:ascii="Calibri" w:hAnsi="Calibri"/>
                <w:bCs/>
                <w:lang w:eastAsia="ja-JP"/>
              </w:rPr>
              <w:t>2023 - 2026</w:t>
            </w:r>
          </w:p>
        </w:tc>
        <w:tc>
          <w:tcPr>
            <w:tcW w:w="484" w:type="pct"/>
            <w:gridSpan w:val="2"/>
            <w:shd w:val="clear" w:color="auto" w:fill="F2F2F2"/>
          </w:tcPr>
          <w:p w14:paraId="2222A792" w14:textId="77777777" w:rsidR="00395D01" w:rsidRPr="00912996" w:rsidRDefault="00395D01" w:rsidP="00292396">
            <w:pPr>
              <w:rPr>
                <w:rFonts w:ascii="Calibri" w:hAnsi="Calibri"/>
                <w:bCs/>
                <w:lang w:eastAsia="ja-JP"/>
              </w:rPr>
            </w:pPr>
            <w:r w:rsidRPr="00912996">
              <w:rPr>
                <w:rFonts w:ascii="Calibri" w:hAnsi="Calibri"/>
                <w:bCs/>
                <w:lang w:eastAsia="ja-JP"/>
              </w:rPr>
              <w:t>PNRR-C15</w:t>
            </w:r>
          </w:p>
        </w:tc>
        <w:tc>
          <w:tcPr>
            <w:tcW w:w="433" w:type="pct"/>
            <w:shd w:val="clear" w:color="auto" w:fill="F2F2F2"/>
          </w:tcPr>
          <w:p w14:paraId="26833F38"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tcPr>
          <w:p w14:paraId="141CFD25"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395D01" w:rsidRPr="00912996" w14:paraId="5805E7FC" w14:textId="77777777" w:rsidTr="00292396">
        <w:trPr>
          <w:trHeight w:val="264"/>
        </w:trPr>
        <w:tc>
          <w:tcPr>
            <w:tcW w:w="5000" w:type="pct"/>
            <w:gridSpan w:val="12"/>
            <w:shd w:val="clear" w:color="auto" w:fill="BBD9A0"/>
            <w:noWrap/>
            <w:hideMark/>
          </w:tcPr>
          <w:p w14:paraId="1CF7585F" w14:textId="77777777" w:rsidR="00395D01" w:rsidRPr="00912996" w:rsidRDefault="00395D01" w:rsidP="00EA3715">
            <w:pPr>
              <w:jc w:val="center"/>
              <w:rPr>
                <w:rFonts w:ascii="Calibri" w:hAnsi="Calibri"/>
                <w:b/>
                <w:bCs/>
                <w:lang w:eastAsia="ja-JP"/>
              </w:rPr>
            </w:pPr>
            <w:r w:rsidRPr="00912996">
              <w:rPr>
                <w:rFonts w:ascii="Calibri" w:hAnsi="Calibri"/>
                <w:b/>
                <w:bCs/>
                <w:color w:val="FFFFFF"/>
                <w:lang w:eastAsia="ja-JP"/>
              </w:rPr>
              <w:t>D1.3.3. Realizarea în parteneriat a proiectelor și programelor cu privire la reducerea fenomenului de absenteism și abandon școlar, dezvoltarea învățământului dual, precum și promovarea excelenței elevilor și a cadrelor didactice</w:t>
            </w:r>
          </w:p>
        </w:tc>
      </w:tr>
      <w:tr w:rsidR="00E16711" w:rsidRPr="00912996" w14:paraId="7E5437DC" w14:textId="77777777" w:rsidTr="00E16711">
        <w:trPr>
          <w:trHeight w:val="1320"/>
        </w:trPr>
        <w:tc>
          <w:tcPr>
            <w:tcW w:w="205" w:type="pct"/>
            <w:shd w:val="clear" w:color="auto" w:fill="F2F2F2"/>
            <w:noWrap/>
            <w:hideMark/>
          </w:tcPr>
          <w:p w14:paraId="75A1A694"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55807B84"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Colegiului Economic ”Hermes”</w:t>
            </w:r>
          </w:p>
        </w:tc>
        <w:tc>
          <w:tcPr>
            <w:tcW w:w="640" w:type="pct"/>
            <w:shd w:val="clear" w:color="auto" w:fill="F2F2F2"/>
            <w:hideMark/>
          </w:tcPr>
          <w:p w14:paraId="3D0F6B9E" w14:textId="5759C69F" w:rsidR="00395D01" w:rsidRPr="00912996" w:rsidRDefault="00395D01" w:rsidP="00292396">
            <w:pPr>
              <w:rPr>
                <w:rFonts w:ascii="Calibri" w:hAnsi="Calibri"/>
                <w:bCs/>
                <w:lang w:eastAsia="ja-JP"/>
              </w:rPr>
            </w:pPr>
            <w:r w:rsidRPr="00912996">
              <w:rPr>
                <w:rFonts w:ascii="Calibri" w:hAnsi="Calibri"/>
                <w:bCs/>
                <w:lang w:eastAsia="ja-JP"/>
              </w:rPr>
              <w:t xml:space="preserve">Colegiul Economic </w:t>
            </w:r>
            <w:r w:rsidR="00EA3715">
              <w:rPr>
                <w:rFonts w:ascii="Calibri" w:hAnsi="Calibri"/>
                <w:bCs/>
                <w:lang w:eastAsia="ja-JP"/>
              </w:rPr>
              <w:t xml:space="preserve"> </w:t>
            </w:r>
            <w:r w:rsidRPr="00912996">
              <w:rPr>
                <w:rFonts w:ascii="Calibri" w:hAnsi="Calibri"/>
                <w:bCs/>
                <w:lang w:eastAsia="ja-JP"/>
              </w:rPr>
              <w:t>”Hermes”</w:t>
            </w:r>
          </w:p>
        </w:tc>
        <w:tc>
          <w:tcPr>
            <w:tcW w:w="507" w:type="pct"/>
            <w:shd w:val="clear" w:color="auto" w:fill="F2F2F2"/>
            <w:hideMark/>
          </w:tcPr>
          <w:p w14:paraId="13A05F1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A6DF01F"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36A19028"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6F241F8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7DA6571"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POR BI P6, PNRR C15, Bugetul local, Alte surse de finanțare</w:t>
            </w:r>
          </w:p>
        </w:tc>
        <w:tc>
          <w:tcPr>
            <w:tcW w:w="433" w:type="pct"/>
            <w:shd w:val="clear" w:color="auto" w:fill="F2F2F2"/>
            <w:hideMark/>
          </w:tcPr>
          <w:p w14:paraId="7072935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68C458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0EB0E38" w14:textId="77777777" w:rsidTr="00E16711">
        <w:trPr>
          <w:trHeight w:val="620"/>
        </w:trPr>
        <w:tc>
          <w:tcPr>
            <w:tcW w:w="205" w:type="pct"/>
            <w:shd w:val="clear" w:color="auto" w:fill="F2F2F2"/>
            <w:noWrap/>
            <w:hideMark/>
          </w:tcPr>
          <w:p w14:paraId="7FF001CE"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35824B06"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Teoretic ”Traian”</w:t>
            </w:r>
          </w:p>
        </w:tc>
        <w:tc>
          <w:tcPr>
            <w:tcW w:w="640" w:type="pct"/>
            <w:shd w:val="clear" w:color="auto" w:fill="F2F2F2"/>
            <w:hideMark/>
          </w:tcPr>
          <w:p w14:paraId="62850383" w14:textId="77777777" w:rsidR="00395D01" w:rsidRPr="00912996" w:rsidRDefault="00395D01" w:rsidP="00292396">
            <w:pPr>
              <w:rPr>
                <w:rFonts w:ascii="Calibri" w:hAnsi="Calibri"/>
                <w:bCs/>
                <w:lang w:eastAsia="ja-JP"/>
              </w:rPr>
            </w:pPr>
            <w:r w:rsidRPr="00912996">
              <w:rPr>
                <w:rFonts w:ascii="Calibri" w:hAnsi="Calibri"/>
                <w:bCs/>
                <w:lang w:eastAsia="ja-JP"/>
              </w:rPr>
              <w:t>Liceul Teoretic ”Traian”</w:t>
            </w:r>
          </w:p>
        </w:tc>
        <w:tc>
          <w:tcPr>
            <w:tcW w:w="507" w:type="pct"/>
            <w:shd w:val="clear" w:color="auto" w:fill="F2F2F2"/>
            <w:hideMark/>
          </w:tcPr>
          <w:p w14:paraId="23E4ACB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6C34A3E" w14:textId="77777777" w:rsidR="00395D01" w:rsidRPr="00912996" w:rsidRDefault="00395D01" w:rsidP="00292396">
            <w:pPr>
              <w:rPr>
                <w:rFonts w:ascii="Calibri" w:hAnsi="Calibri"/>
                <w:bCs/>
                <w:lang w:eastAsia="ja-JP"/>
              </w:rPr>
            </w:pPr>
            <w:r w:rsidRPr="00912996">
              <w:rPr>
                <w:rFonts w:ascii="Calibri" w:hAnsi="Calibri"/>
                <w:bCs/>
                <w:lang w:eastAsia="ja-JP"/>
              </w:rPr>
              <w:t>675,575</w:t>
            </w:r>
          </w:p>
        </w:tc>
        <w:tc>
          <w:tcPr>
            <w:tcW w:w="411" w:type="pct"/>
            <w:shd w:val="clear" w:color="auto" w:fill="F2F2F2"/>
            <w:hideMark/>
          </w:tcPr>
          <w:p w14:paraId="5D03EADD" w14:textId="77777777" w:rsidR="00395D01" w:rsidRPr="00912996" w:rsidRDefault="00395D01" w:rsidP="00292396">
            <w:pPr>
              <w:rPr>
                <w:rFonts w:ascii="Calibri" w:hAnsi="Calibri"/>
                <w:bCs/>
                <w:lang w:eastAsia="ja-JP"/>
              </w:rPr>
            </w:pPr>
            <w:r w:rsidRPr="00912996">
              <w:rPr>
                <w:rFonts w:ascii="Calibri" w:hAnsi="Calibri"/>
                <w:bCs/>
                <w:lang w:eastAsia="ja-JP"/>
              </w:rPr>
              <w:t>152,500</w:t>
            </w:r>
          </w:p>
        </w:tc>
        <w:tc>
          <w:tcPr>
            <w:tcW w:w="347" w:type="pct"/>
            <w:shd w:val="clear" w:color="auto" w:fill="F2F2F2"/>
            <w:hideMark/>
          </w:tcPr>
          <w:p w14:paraId="7A55FEE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0216705"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POR BI P6, PNRR C15, Bugetul local, Alte surse de finanțare</w:t>
            </w:r>
          </w:p>
        </w:tc>
        <w:tc>
          <w:tcPr>
            <w:tcW w:w="433" w:type="pct"/>
            <w:shd w:val="clear" w:color="auto" w:fill="F2F2F2"/>
            <w:hideMark/>
          </w:tcPr>
          <w:p w14:paraId="2C7A092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0BDEAF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5987908" w14:textId="77777777" w:rsidTr="00E16711">
        <w:trPr>
          <w:trHeight w:val="620"/>
        </w:trPr>
        <w:tc>
          <w:tcPr>
            <w:tcW w:w="205" w:type="pct"/>
            <w:shd w:val="clear" w:color="auto" w:fill="F2F2F2"/>
            <w:noWrap/>
            <w:hideMark/>
          </w:tcPr>
          <w:p w14:paraId="048D5F0D"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3E842DFF"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Colegiului Național ”Victor Babeș”</w:t>
            </w:r>
          </w:p>
        </w:tc>
        <w:tc>
          <w:tcPr>
            <w:tcW w:w="640" w:type="pct"/>
            <w:shd w:val="clear" w:color="auto" w:fill="F2F2F2"/>
            <w:hideMark/>
          </w:tcPr>
          <w:p w14:paraId="6FE552EB" w14:textId="77777777" w:rsidR="00395D01" w:rsidRPr="00912996" w:rsidRDefault="00395D01" w:rsidP="00292396">
            <w:pPr>
              <w:rPr>
                <w:rFonts w:ascii="Calibri" w:hAnsi="Calibri"/>
                <w:bCs/>
                <w:lang w:eastAsia="ja-JP"/>
              </w:rPr>
            </w:pPr>
            <w:r w:rsidRPr="00912996">
              <w:rPr>
                <w:rFonts w:ascii="Calibri" w:hAnsi="Calibri"/>
                <w:bCs/>
                <w:lang w:eastAsia="ja-JP"/>
              </w:rPr>
              <w:t>Colegiul Național ”Victor Babeș”</w:t>
            </w:r>
          </w:p>
        </w:tc>
        <w:tc>
          <w:tcPr>
            <w:tcW w:w="507" w:type="pct"/>
            <w:shd w:val="clear" w:color="auto" w:fill="F2F2F2"/>
            <w:hideMark/>
          </w:tcPr>
          <w:p w14:paraId="4BAB05E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B0EEEA5"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06E62DD3"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4778B11F"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C2FD850"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POR BI P6, PNRR C15, Bugetul local, Alte surse de finanțare</w:t>
            </w:r>
          </w:p>
        </w:tc>
        <w:tc>
          <w:tcPr>
            <w:tcW w:w="433" w:type="pct"/>
            <w:shd w:val="clear" w:color="auto" w:fill="F2F2F2"/>
            <w:hideMark/>
          </w:tcPr>
          <w:p w14:paraId="528A5E0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1466B8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242D6A1" w14:textId="77777777" w:rsidTr="00E16711">
        <w:trPr>
          <w:trHeight w:val="1320"/>
        </w:trPr>
        <w:tc>
          <w:tcPr>
            <w:tcW w:w="205" w:type="pct"/>
            <w:shd w:val="clear" w:color="auto" w:fill="F2F2F2"/>
            <w:noWrap/>
            <w:hideMark/>
          </w:tcPr>
          <w:p w14:paraId="6567F0F6"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5F93EB07"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Teoretic ”Lucian Blaga”</w:t>
            </w:r>
          </w:p>
        </w:tc>
        <w:tc>
          <w:tcPr>
            <w:tcW w:w="640" w:type="pct"/>
            <w:shd w:val="clear" w:color="auto" w:fill="F2F2F2"/>
            <w:hideMark/>
          </w:tcPr>
          <w:p w14:paraId="48AC4754" w14:textId="77777777" w:rsidR="00395D01" w:rsidRPr="00912996" w:rsidRDefault="00395D01" w:rsidP="00292396">
            <w:pPr>
              <w:rPr>
                <w:rFonts w:ascii="Calibri" w:hAnsi="Calibri"/>
                <w:bCs/>
                <w:lang w:eastAsia="ja-JP"/>
              </w:rPr>
            </w:pPr>
            <w:r w:rsidRPr="00912996">
              <w:rPr>
                <w:rFonts w:ascii="Calibri" w:hAnsi="Calibri"/>
                <w:bCs/>
                <w:lang w:eastAsia="ja-JP"/>
              </w:rPr>
              <w:t>Liceul Teoretic ”Lucian Blaga”</w:t>
            </w:r>
          </w:p>
        </w:tc>
        <w:tc>
          <w:tcPr>
            <w:tcW w:w="507" w:type="pct"/>
            <w:shd w:val="clear" w:color="auto" w:fill="F2F2F2"/>
            <w:hideMark/>
          </w:tcPr>
          <w:p w14:paraId="14394EE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59521F9"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75454BC9"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7E79417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CD0B41E"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POR BI P6, PNRR C15, Bugetul local, Alte surse de finanțare</w:t>
            </w:r>
          </w:p>
        </w:tc>
        <w:tc>
          <w:tcPr>
            <w:tcW w:w="433" w:type="pct"/>
            <w:shd w:val="clear" w:color="auto" w:fill="F2F2F2"/>
            <w:hideMark/>
          </w:tcPr>
          <w:p w14:paraId="3D9AA68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0F4969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75C5E4E" w14:textId="77777777" w:rsidTr="00DB0D76">
        <w:trPr>
          <w:trHeight w:val="534"/>
        </w:trPr>
        <w:tc>
          <w:tcPr>
            <w:tcW w:w="205" w:type="pct"/>
            <w:shd w:val="clear" w:color="auto" w:fill="F2F2F2"/>
            <w:noWrap/>
            <w:hideMark/>
          </w:tcPr>
          <w:p w14:paraId="0930D75A"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31C24AB9"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Teoretic ”Ady Endre”</w:t>
            </w:r>
          </w:p>
        </w:tc>
        <w:tc>
          <w:tcPr>
            <w:tcW w:w="640" w:type="pct"/>
            <w:shd w:val="clear" w:color="auto" w:fill="F2F2F2"/>
            <w:hideMark/>
          </w:tcPr>
          <w:p w14:paraId="05B96970" w14:textId="77777777" w:rsidR="00395D01" w:rsidRPr="00912996" w:rsidRDefault="00395D01" w:rsidP="00292396">
            <w:pPr>
              <w:rPr>
                <w:rFonts w:ascii="Calibri" w:hAnsi="Calibri"/>
                <w:bCs/>
                <w:lang w:eastAsia="ja-JP"/>
              </w:rPr>
            </w:pPr>
            <w:r w:rsidRPr="00912996">
              <w:rPr>
                <w:rFonts w:ascii="Calibri" w:hAnsi="Calibri"/>
                <w:bCs/>
                <w:lang w:eastAsia="ja-JP"/>
              </w:rPr>
              <w:t>Liceul Teoretic ”Ady Endre”</w:t>
            </w:r>
          </w:p>
        </w:tc>
        <w:tc>
          <w:tcPr>
            <w:tcW w:w="507" w:type="pct"/>
            <w:shd w:val="clear" w:color="auto" w:fill="F2F2F2"/>
            <w:hideMark/>
          </w:tcPr>
          <w:p w14:paraId="350E931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B2D323F" w14:textId="77777777" w:rsidR="00395D01" w:rsidRPr="00912996" w:rsidRDefault="00395D01" w:rsidP="00292396">
            <w:pPr>
              <w:rPr>
                <w:rFonts w:ascii="Calibri" w:hAnsi="Calibri"/>
                <w:bCs/>
                <w:lang w:eastAsia="ja-JP"/>
              </w:rPr>
            </w:pPr>
            <w:r w:rsidRPr="00912996">
              <w:rPr>
                <w:rFonts w:ascii="Calibri" w:hAnsi="Calibri"/>
                <w:bCs/>
                <w:lang w:eastAsia="ja-JP"/>
              </w:rPr>
              <w:t>310,100</w:t>
            </w:r>
          </w:p>
        </w:tc>
        <w:tc>
          <w:tcPr>
            <w:tcW w:w="411" w:type="pct"/>
            <w:shd w:val="clear" w:color="auto" w:fill="F2F2F2"/>
            <w:hideMark/>
          </w:tcPr>
          <w:p w14:paraId="5FED5567" w14:textId="77777777" w:rsidR="00395D01" w:rsidRPr="00912996" w:rsidRDefault="00395D01" w:rsidP="00292396">
            <w:pPr>
              <w:rPr>
                <w:rFonts w:ascii="Calibri" w:hAnsi="Calibri"/>
                <w:bCs/>
                <w:lang w:eastAsia="ja-JP"/>
              </w:rPr>
            </w:pPr>
            <w:r w:rsidRPr="00912996">
              <w:rPr>
                <w:rFonts w:ascii="Calibri" w:hAnsi="Calibri"/>
                <w:bCs/>
                <w:lang w:eastAsia="ja-JP"/>
              </w:rPr>
              <w:t>70,000</w:t>
            </w:r>
          </w:p>
        </w:tc>
        <w:tc>
          <w:tcPr>
            <w:tcW w:w="347" w:type="pct"/>
            <w:shd w:val="clear" w:color="auto" w:fill="F2F2F2"/>
            <w:hideMark/>
          </w:tcPr>
          <w:p w14:paraId="2EF24B4D"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03F9E9E"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POR BI P6, PNRR C15, Bugetul local, Alte surse de finanțare</w:t>
            </w:r>
          </w:p>
        </w:tc>
        <w:tc>
          <w:tcPr>
            <w:tcW w:w="433" w:type="pct"/>
            <w:shd w:val="clear" w:color="auto" w:fill="F2F2F2"/>
            <w:hideMark/>
          </w:tcPr>
          <w:p w14:paraId="43B4DE7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CC7C850"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7DC35A2" w14:textId="77777777" w:rsidTr="00E16711">
        <w:trPr>
          <w:trHeight w:val="1320"/>
        </w:trPr>
        <w:tc>
          <w:tcPr>
            <w:tcW w:w="205" w:type="pct"/>
            <w:shd w:val="clear" w:color="auto" w:fill="F2F2F2"/>
            <w:noWrap/>
            <w:hideMark/>
          </w:tcPr>
          <w:p w14:paraId="5D9ACDD8"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16D7CCCF"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Teoretic Bilingv ”Ita Wegman”</w:t>
            </w:r>
          </w:p>
        </w:tc>
        <w:tc>
          <w:tcPr>
            <w:tcW w:w="640" w:type="pct"/>
            <w:shd w:val="clear" w:color="auto" w:fill="F2F2F2"/>
            <w:hideMark/>
          </w:tcPr>
          <w:p w14:paraId="6FD8E5E8" w14:textId="77777777" w:rsidR="00395D01" w:rsidRPr="00912996" w:rsidRDefault="00395D01" w:rsidP="00292396">
            <w:pPr>
              <w:rPr>
                <w:rFonts w:ascii="Calibri" w:hAnsi="Calibri"/>
                <w:bCs/>
                <w:lang w:eastAsia="ja-JP"/>
              </w:rPr>
            </w:pPr>
            <w:r w:rsidRPr="00912996">
              <w:rPr>
                <w:rFonts w:ascii="Calibri" w:hAnsi="Calibri"/>
                <w:bCs/>
                <w:lang w:eastAsia="ja-JP"/>
              </w:rPr>
              <w:t>Liceul Teoretic Bilingv ”Ita Wegman”</w:t>
            </w:r>
          </w:p>
        </w:tc>
        <w:tc>
          <w:tcPr>
            <w:tcW w:w="507" w:type="pct"/>
            <w:shd w:val="clear" w:color="auto" w:fill="F2F2F2"/>
            <w:hideMark/>
          </w:tcPr>
          <w:p w14:paraId="6EF8E4C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D6D648F" w14:textId="77777777" w:rsidR="00395D01" w:rsidRPr="00912996" w:rsidRDefault="00395D01" w:rsidP="00292396">
            <w:pPr>
              <w:rPr>
                <w:rFonts w:ascii="Calibri" w:hAnsi="Calibri"/>
                <w:bCs/>
                <w:lang w:eastAsia="ja-JP"/>
              </w:rPr>
            </w:pPr>
            <w:r w:rsidRPr="00912996">
              <w:rPr>
                <w:rFonts w:ascii="Calibri" w:hAnsi="Calibri"/>
                <w:bCs/>
                <w:lang w:eastAsia="ja-JP"/>
              </w:rPr>
              <w:t>310,100</w:t>
            </w:r>
          </w:p>
        </w:tc>
        <w:tc>
          <w:tcPr>
            <w:tcW w:w="411" w:type="pct"/>
            <w:shd w:val="clear" w:color="auto" w:fill="F2F2F2"/>
            <w:hideMark/>
          </w:tcPr>
          <w:p w14:paraId="48B799B1" w14:textId="77777777" w:rsidR="00395D01" w:rsidRPr="00912996" w:rsidRDefault="00395D01" w:rsidP="00292396">
            <w:pPr>
              <w:rPr>
                <w:rFonts w:ascii="Calibri" w:hAnsi="Calibri"/>
                <w:bCs/>
                <w:lang w:eastAsia="ja-JP"/>
              </w:rPr>
            </w:pPr>
            <w:r w:rsidRPr="00912996">
              <w:rPr>
                <w:rFonts w:ascii="Calibri" w:hAnsi="Calibri"/>
                <w:bCs/>
                <w:lang w:eastAsia="ja-JP"/>
              </w:rPr>
              <w:t>70,000</w:t>
            </w:r>
          </w:p>
        </w:tc>
        <w:tc>
          <w:tcPr>
            <w:tcW w:w="347" w:type="pct"/>
            <w:shd w:val="clear" w:color="auto" w:fill="F2F2F2"/>
            <w:hideMark/>
          </w:tcPr>
          <w:p w14:paraId="468FE9AD"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A046B8A"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POR BI P6, PNRR C15, Bugetul local, Alte surse de finanțare</w:t>
            </w:r>
          </w:p>
        </w:tc>
        <w:tc>
          <w:tcPr>
            <w:tcW w:w="433" w:type="pct"/>
            <w:shd w:val="clear" w:color="auto" w:fill="F2F2F2"/>
            <w:hideMark/>
          </w:tcPr>
          <w:p w14:paraId="369E50D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291364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7FC62DE" w14:textId="77777777" w:rsidTr="00E16711">
        <w:trPr>
          <w:trHeight w:val="3168"/>
        </w:trPr>
        <w:tc>
          <w:tcPr>
            <w:tcW w:w="205" w:type="pct"/>
            <w:shd w:val="clear" w:color="auto" w:fill="F2F2F2"/>
            <w:noWrap/>
            <w:hideMark/>
          </w:tcPr>
          <w:p w14:paraId="66025ACC"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036220E0" w14:textId="77777777" w:rsidR="00395D01" w:rsidRPr="00912996" w:rsidRDefault="00395D01" w:rsidP="00292396">
            <w:pPr>
              <w:rPr>
                <w:rFonts w:ascii="Calibri" w:hAnsi="Calibri"/>
                <w:bCs/>
                <w:lang w:eastAsia="ja-JP"/>
              </w:rPr>
            </w:pPr>
            <w:r w:rsidRPr="00912996">
              <w:rPr>
                <w:rFonts w:ascii="Calibri" w:hAnsi="Calibri"/>
                <w:bCs/>
                <w:lang w:eastAsia="ja-JP"/>
              </w:rPr>
              <w:t>Proiect complex - Campanie de informare,  promovare, consiliere și orientare pentru elevi și părinți în școlile gimnaziale cu privire la specializările din cadrul ÎPT la nivelul Sectorului 2 în cadrul unei platforme dedicate - crearea unei broșuri, promovarea modelelor de bună practică și a parteneriatelor cu angajatorii, inclusiv corelarea specializărilor cu cererea de pe piața muncii</w:t>
            </w:r>
          </w:p>
        </w:tc>
        <w:tc>
          <w:tcPr>
            <w:tcW w:w="640" w:type="pct"/>
            <w:shd w:val="clear" w:color="auto" w:fill="F2F2F2"/>
            <w:hideMark/>
          </w:tcPr>
          <w:p w14:paraId="6693DFE7" w14:textId="77777777" w:rsidR="00395D01" w:rsidRPr="00912996" w:rsidRDefault="00395D01" w:rsidP="00292396">
            <w:pPr>
              <w:rPr>
                <w:rFonts w:ascii="Calibri" w:hAnsi="Calibri"/>
                <w:bCs/>
                <w:lang w:eastAsia="ja-JP"/>
              </w:rPr>
            </w:pPr>
            <w:r w:rsidRPr="00912996">
              <w:rPr>
                <w:rFonts w:ascii="Calibri" w:hAnsi="Calibri"/>
                <w:bCs/>
                <w:lang w:eastAsia="ja-JP"/>
              </w:rPr>
              <w:t>PS2, ISMB S2, Asociația Patronatelor, Instituțiile de învățământ, elevi voluntari</w:t>
            </w:r>
          </w:p>
        </w:tc>
        <w:tc>
          <w:tcPr>
            <w:tcW w:w="507" w:type="pct"/>
            <w:shd w:val="clear" w:color="auto" w:fill="F2F2F2"/>
            <w:hideMark/>
          </w:tcPr>
          <w:p w14:paraId="5201996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266E142"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5FDC5679"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22EE5453" w14:textId="77777777" w:rsidR="00395D01" w:rsidRPr="00912996" w:rsidRDefault="00395D01" w:rsidP="00292396">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-2023</w:t>
            </w:r>
          </w:p>
        </w:tc>
        <w:tc>
          <w:tcPr>
            <w:tcW w:w="484" w:type="pct"/>
            <w:gridSpan w:val="2"/>
            <w:shd w:val="clear" w:color="auto" w:fill="F2F2F2"/>
            <w:hideMark/>
          </w:tcPr>
          <w:p w14:paraId="2C25AB00"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P8, POR BI P6, PNRR C15, Bugetul local, Alte surse de finanțare</w:t>
            </w:r>
          </w:p>
        </w:tc>
        <w:tc>
          <w:tcPr>
            <w:tcW w:w="433" w:type="pct"/>
            <w:shd w:val="clear" w:color="auto" w:fill="F2F2F2"/>
            <w:hideMark/>
          </w:tcPr>
          <w:p w14:paraId="3C1DF75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4A6A45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0025188" w14:textId="77777777" w:rsidTr="00E16711">
        <w:trPr>
          <w:trHeight w:val="1056"/>
        </w:trPr>
        <w:tc>
          <w:tcPr>
            <w:tcW w:w="205" w:type="pct"/>
            <w:shd w:val="clear" w:color="auto" w:fill="F2F2F2"/>
            <w:noWrap/>
            <w:hideMark/>
          </w:tcPr>
          <w:p w14:paraId="5869CBBE"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6DBA23D8" w14:textId="77777777" w:rsidR="00395D01" w:rsidRPr="00912996" w:rsidRDefault="00395D01" w:rsidP="00292396">
            <w:pPr>
              <w:rPr>
                <w:rFonts w:ascii="Calibri" w:hAnsi="Calibri"/>
                <w:bCs/>
                <w:lang w:eastAsia="ja-JP"/>
              </w:rPr>
            </w:pPr>
            <w:r w:rsidRPr="00912996">
              <w:rPr>
                <w:rFonts w:ascii="Calibri" w:hAnsi="Calibri"/>
                <w:bCs/>
                <w:lang w:eastAsia="ja-JP"/>
              </w:rPr>
              <w:t>Suplimentarea locurilor și a cadrelor didactice din învățământul liceal, specializările comerț, precum și turism și alimentație</w:t>
            </w:r>
          </w:p>
        </w:tc>
        <w:tc>
          <w:tcPr>
            <w:tcW w:w="640" w:type="pct"/>
            <w:shd w:val="clear" w:color="auto" w:fill="F2F2F2"/>
            <w:hideMark/>
          </w:tcPr>
          <w:p w14:paraId="18FDFDEC" w14:textId="77777777" w:rsidR="00395D01" w:rsidRPr="00912996" w:rsidRDefault="00395D01" w:rsidP="00292396">
            <w:pPr>
              <w:rPr>
                <w:rFonts w:ascii="Calibri" w:hAnsi="Calibri"/>
                <w:bCs/>
                <w:lang w:eastAsia="ja-JP"/>
              </w:rPr>
            </w:pPr>
            <w:r w:rsidRPr="00912996">
              <w:rPr>
                <w:rFonts w:ascii="Calibri" w:hAnsi="Calibri"/>
                <w:bCs/>
                <w:lang w:eastAsia="ja-JP"/>
              </w:rPr>
              <w:t>PS2, ISMB S2</w:t>
            </w:r>
          </w:p>
        </w:tc>
        <w:tc>
          <w:tcPr>
            <w:tcW w:w="507" w:type="pct"/>
            <w:shd w:val="clear" w:color="auto" w:fill="F2F2F2"/>
            <w:hideMark/>
          </w:tcPr>
          <w:p w14:paraId="6303024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57C2D53"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07E38B78"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3F6A248E"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6092AA2"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POR BI P6, Bugetul local, Alte surse de finanțare</w:t>
            </w:r>
          </w:p>
        </w:tc>
        <w:tc>
          <w:tcPr>
            <w:tcW w:w="433" w:type="pct"/>
            <w:shd w:val="clear" w:color="auto" w:fill="F2F2F2"/>
            <w:hideMark/>
          </w:tcPr>
          <w:p w14:paraId="08B57AE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538683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805C0B7" w14:textId="77777777" w:rsidTr="00E16711">
        <w:trPr>
          <w:trHeight w:val="1056"/>
        </w:trPr>
        <w:tc>
          <w:tcPr>
            <w:tcW w:w="205" w:type="pct"/>
            <w:shd w:val="clear" w:color="auto" w:fill="F2F2F2"/>
            <w:noWrap/>
            <w:hideMark/>
          </w:tcPr>
          <w:p w14:paraId="03FEA28E"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5AAED463" w14:textId="77777777" w:rsidR="00395D01" w:rsidRPr="00912996" w:rsidRDefault="00395D01" w:rsidP="00292396">
            <w:pPr>
              <w:rPr>
                <w:rFonts w:ascii="Calibri" w:hAnsi="Calibri"/>
                <w:bCs/>
                <w:lang w:eastAsia="ja-JP"/>
              </w:rPr>
            </w:pPr>
            <w:r w:rsidRPr="00912996">
              <w:rPr>
                <w:rFonts w:ascii="Calibri" w:hAnsi="Calibri"/>
                <w:bCs/>
                <w:lang w:eastAsia="ja-JP"/>
              </w:rPr>
              <w:t>Suplimentarea curriculei din învățământul tehnic cu specializările construcții, transport și depozitare, precum și fabricarea produselor ecologice</w:t>
            </w:r>
          </w:p>
        </w:tc>
        <w:tc>
          <w:tcPr>
            <w:tcW w:w="640" w:type="pct"/>
            <w:shd w:val="clear" w:color="auto" w:fill="F2F2F2"/>
            <w:hideMark/>
          </w:tcPr>
          <w:p w14:paraId="0016B9A7" w14:textId="77777777" w:rsidR="00395D01" w:rsidRPr="00912996" w:rsidRDefault="00395D01" w:rsidP="00292396">
            <w:pPr>
              <w:rPr>
                <w:rFonts w:ascii="Calibri" w:hAnsi="Calibri"/>
                <w:bCs/>
                <w:lang w:eastAsia="ja-JP"/>
              </w:rPr>
            </w:pPr>
            <w:r w:rsidRPr="00912996">
              <w:rPr>
                <w:rFonts w:ascii="Calibri" w:hAnsi="Calibri"/>
                <w:bCs/>
                <w:lang w:eastAsia="ja-JP"/>
              </w:rPr>
              <w:t>PS2, ISMB S2</w:t>
            </w:r>
          </w:p>
        </w:tc>
        <w:tc>
          <w:tcPr>
            <w:tcW w:w="507" w:type="pct"/>
            <w:shd w:val="clear" w:color="auto" w:fill="F2F2F2"/>
            <w:hideMark/>
          </w:tcPr>
          <w:p w14:paraId="02DCED6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08D1316"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6F222C18" w14:textId="77777777" w:rsidR="00395D01" w:rsidRPr="00912996" w:rsidRDefault="00395D01" w:rsidP="00292396">
            <w:pPr>
              <w:rPr>
                <w:rFonts w:ascii="Calibri" w:hAnsi="Calibri"/>
                <w:bCs/>
                <w:lang w:eastAsia="ja-JP"/>
              </w:rPr>
            </w:pPr>
            <w:r w:rsidRPr="00912996">
              <w:rPr>
                <w:rFonts w:ascii="Calibri" w:hAnsi="Calibri"/>
                <w:bCs/>
                <w:lang w:eastAsia="ja-JP"/>
              </w:rPr>
              <w:t>300,000</w:t>
            </w:r>
          </w:p>
        </w:tc>
        <w:tc>
          <w:tcPr>
            <w:tcW w:w="347" w:type="pct"/>
            <w:shd w:val="clear" w:color="auto" w:fill="F2F2F2"/>
            <w:hideMark/>
          </w:tcPr>
          <w:p w14:paraId="0D027B2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33B1FF8" w14:textId="77777777" w:rsidR="00395D01" w:rsidRPr="00912996" w:rsidRDefault="00395D01" w:rsidP="00292396">
            <w:pPr>
              <w:rPr>
                <w:rFonts w:ascii="Calibri" w:hAnsi="Calibri"/>
                <w:bCs/>
                <w:lang w:eastAsia="ja-JP"/>
              </w:rPr>
            </w:pPr>
            <w:r w:rsidRPr="00912996">
              <w:rPr>
                <w:rFonts w:ascii="Calibri" w:hAnsi="Calibri"/>
                <w:bCs/>
                <w:lang w:eastAsia="ja-JP"/>
              </w:rPr>
              <w:t>POEO 2021-2027 P7, POR BI P6, Bugetul local, Alte surse de finanțare</w:t>
            </w:r>
          </w:p>
        </w:tc>
        <w:tc>
          <w:tcPr>
            <w:tcW w:w="433" w:type="pct"/>
            <w:shd w:val="clear" w:color="auto" w:fill="F2F2F2"/>
            <w:hideMark/>
          </w:tcPr>
          <w:p w14:paraId="7E464BA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9D1285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AB9ABE0" w14:textId="77777777" w:rsidTr="00E16711">
        <w:trPr>
          <w:trHeight w:val="1320"/>
        </w:trPr>
        <w:tc>
          <w:tcPr>
            <w:tcW w:w="205" w:type="pct"/>
            <w:shd w:val="clear" w:color="auto" w:fill="F2F2F2"/>
            <w:noWrap/>
            <w:hideMark/>
          </w:tcPr>
          <w:p w14:paraId="2FBEF2EA"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4B79CAF5" w14:textId="77777777" w:rsidR="00395D01" w:rsidRPr="00912996" w:rsidRDefault="00395D01" w:rsidP="00292396">
            <w:pPr>
              <w:rPr>
                <w:rFonts w:ascii="Calibri" w:hAnsi="Calibri"/>
                <w:bCs/>
                <w:lang w:eastAsia="ja-JP"/>
              </w:rPr>
            </w:pPr>
            <w:r w:rsidRPr="00912996">
              <w:rPr>
                <w:rFonts w:ascii="Calibri" w:hAnsi="Calibri"/>
                <w:bCs/>
                <w:lang w:eastAsia="ja-JP"/>
              </w:rPr>
              <w:t>Proiect de realizare de programe de ucenicie și stagii de practică pentru elevii ce urmează specializările ÎPT</w:t>
            </w:r>
          </w:p>
        </w:tc>
        <w:tc>
          <w:tcPr>
            <w:tcW w:w="640" w:type="pct"/>
            <w:shd w:val="clear" w:color="auto" w:fill="F2F2F2"/>
            <w:hideMark/>
          </w:tcPr>
          <w:p w14:paraId="1A6BEB94" w14:textId="77777777" w:rsidR="00395D01" w:rsidRPr="00912996" w:rsidRDefault="00395D01" w:rsidP="00292396">
            <w:pPr>
              <w:rPr>
                <w:rFonts w:ascii="Calibri" w:hAnsi="Calibri"/>
                <w:bCs/>
                <w:lang w:eastAsia="ja-JP"/>
              </w:rPr>
            </w:pPr>
            <w:r w:rsidRPr="00912996">
              <w:rPr>
                <w:rFonts w:ascii="Calibri" w:hAnsi="Calibri"/>
                <w:bCs/>
                <w:lang w:eastAsia="ja-JP"/>
              </w:rPr>
              <w:t>PS2, ISMB S2, Asociația Patronatelor, Instituțiile de învățământ</w:t>
            </w:r>
          </w:p>
        </w:tc>
        <w:tc>
          <w:tcPr>
            <w:tcW w:w="507" w:type="pct"/>
            <w:shd w:val="clear" w:color="auto" w:fill="F2F2F2"/>
            <w:hideMark/>
          </w:tcPr>
          <w:p w14:paraId="393946B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5599112"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381F5627"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2538DE4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1B30D0D"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Bugetul local, Alte surse de finanțare</w:t>
            </w:r>
          </w:p>
        </w:tc>
        <w:tc>
          <w:tcPr>
            <w:tcW w:w="433" w:type="pct"/>
            <w:shd w:val="clear" w:color="auto" w:fill="F2F2F2"/>
            <w:hideMark/>
          </w:tcPr>
          <w:p w14:paraId="1D08705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7CB3B95"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279B39F" w14:textId="77777777" w:rsidTr="00E16711">
        <w:trPr>
          <w:trHeight w:val="620"/>
        </w:trPr>
        <w:tc>
          <w:tcPr>
            <w:tcW w:w="205" w:type="pct"/>
            <w:shd w:val="clear" w:color="auto" w:fill="F2F2F2"/>
            <w:noWrap/>
            <w:hideMark/>
          </w:tcPr>
          <w:p w14:paraId="4003AE08"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683833E8" w14:textId="77777777" w:rsidR="00395D01" w:rsidRPr="00912996" w:rsidRDefault="00395D01" w:rsidP="00292396">
            <w:pPr>
              <w:rPr>
                <w:rFonts w:ascii="Calibri" w:hAnsi="Calibri"/>
                <w:bCs/>
                <w:lang w:eastAsia="ja-JP"/>
              </w:rPr>
            </w:pPr>
            <w:r w:rsidRPr="00912996">
              <w:rPr>
                <w:rFonts w:ascii="Calibri" w:hAnsi="Calibri"/>
                <w:bCs/>
                <w:lang w:eastAsia="ja-JP"/>
              </w:rPr>
              <w:t>Proiect de schimb de experiență internațional cu elevii din învățământul tehnic în vederea creșterii calității actului educațional și menținerii interesului față de acest domeniu</w:t>
            </w:r>
          </w:p>
        </w:tc>
        <w:tc>
          <w:tcPr>
            <w:tcW w:w="640" w:type="pct"/>
            <w:shd w:val="clear" w:color="auto" w:fill="F2F2F2"/>
            <w:hideMark/>
          </w:tcPr>
          <w:p w14:paraId="4F2C44AA" w14:textId="77777777" w:rsidR="00395D01" w:rsidRPr="00912996" w:rsidRDefault="00395D01" w:rsidP="00292396">
            <w:pPr>
              <w:rPr>
                <w:rFonts w:ascii="Calibri" w:hAnsi="Calibri"/>
                <w:bCs/>
                <w:lang w:eastAsia="ja-JP"/>
              </w:rPr>
            </w:pPr>
            <w:r w:rsidRPr="00912996">
              <w:rPr>
                <w:rFonts w:ascii="Calibri" w:hAnsi="Calibri"/>
                <w:bCs/>
                <w:lang w:eastAsia="ja-JP"/>
              </w:rPr>
              <w:t>PS2, ISMB S2, Ministerul Educației</w:t>
            </w:r>
          </w:p>
        </w:tc>
        <w:tc>
          <w:tcPr>
            <w:tcW w:w="507" w:type="pct"/>
            <w:shd w:val="clear" w:color="auto" w:fill="F2F2F2"/>
            <w:hideMark/>
          </w:tcPr>
          <w:p w14:paraId="7053117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DD2B92F"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581712B8"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08360419"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B47F219" w14:textId="77777777" w:rsidR="00395D01" w:rsidRPr="00912996" w:rsidRDefault="00395D01" w:rsidP="00292396">
            <w:pPr>
              <w:rPr>
                <w:rFonts w:ascii="Calibri" w:hAnsi="Calibri"/>
                <w:bCs/>
                <w:lang w:eastAsia="ja-JP"/>
              </w:rPr>
            </w:pPr>
            <w:r w:rsidRPr="00912996">
              <w:rPr>
                <w:rFonts w:ascii="Calibri" w:hAnsi="Calibri"/>
                <w:bCs/>
                <w:lang w:eastAsia="ja-JP"/>
              </w:rPr>
              <w:t>POEO 2021-2027 P7-P8, Bugetul local, Alte surse de finanțare</w:t>
            </w:r>
          </w:p>
        </w:tc>
        <w:tc>
          <w:tcPr>
            <w:tcW w:w="433" w:type="pct"/>
            <w:shd w:val="clear" w:color="auto" w:fill="F2F2F2"/>
            <w:hideMark/>
          </w:tcPr>
          <w:p w14:paraId="321F79B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C8CD94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781C8F8" w14:textId="77777777" w:rsidTr="00E16711">
        <w:trPr>
          <w:trHeight w:val="1056"/>
        </w:trPr>
        <w:tc>
          <w:tcPr>
            <w:tcW w:w="205" w:type="pct"/>
            <w:shd w:val="clear" w:color="auto" w:fill="F2F2F2"/>
            <w:noWrap/>
            <w:hideMark/>
          </w:tcPr>
          <w:p w14:paraId="51ECA16B"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7DF96AB9" w14:textId="77777777" w:rsidR="00395D01" w:rsidRPr="00912996" w:rsidRDefault="00395D01" w:rsidP="00292396">
            <w:pPr>
              <w:rPr>
                <w:rFonts w:ascii="Calibri" w:hAnsi="Calibri"/>
                <w:bCs/>
                <w:lang w:eastAsia="ja-JP"/>
              </w:rPr>
            </w:pPr>
            <w:r w:rsidRPr="00912996">
              <w:rPr>
                <w:rFonts w:ascii="Calibri" w:hAnsi="Calibri"/>
                <w:bCs/>
                <w:lang w:eastAsia="ja-JP"/>
              </w:rPr>
              <w:t>Acordarea unei burse speciale de performanță pentru elevii din învățământul tehnic</w:t>
            </w:r>
          </w:p>
        </w:tc>
        <w:tc>
          <w:tcPr>
            <w:tcW w:w="640" w:type="pct"/>
            <w:shd w:val="clear" w:color="auto" w:fill="F2F2F2"/>
            <w:hideMark/>
          </w:tcPr>
          <w:p w14:paraId="648027C7" w14:textId="77777777" w:rsidR="00395D01" w:rsidRPr="00912996" w:rsidRDefault="00395D01" w:rsidP="00292396">
            <w:pPr>
              <w:rPr>
                <w:rFonts w:ascii="Calibri" w:hAnsi="Calibri"/>
                <w:bCs/>
                <w:lang w:eastAsia="ja-JP"/>
              </w:rPr>
            </w:pPr>
            <w:r w:rsidRPr="00912996">
              <w:rPr>
                <w:rFonts w:ascii="Calibri" w:hAnsi="Calibri"/>
                <w:bCs/>
                <w:lang w:eastAsia="ja-JP"/>
              </w:rPr>
              <w:t>PS2, ISMB S2, Ministerul Educației, Instituțiile de învățământ</w:t>
            </w:r>
          </w:p>
        </w:tc>
        <w:tc>
          <w:tcPr>
            <w:tcW w:w="507" w:type="pct"/>
            <w:shd w:val="clear" w:color="auto" w:fill="F2F2F2"/>
            <w:hideMark/>
          </w:tcPr>
          <w:p w14:paraId="2382DEC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EA937D4"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6CCFC16A"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793BF40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C0D4F0B"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59E09C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AE9D44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04FDBE2" w14:textId="77777777" w:rsidTr="00E16711">
        <w:trPr>
          <w:trHeight w:val="1584"/>
        </w:trPr>
        <w:tc>
          <w:tcPr>
            <w:tcW w:w="205" w:type="pct"/>
            <w:shd w:val="clear" w:color="auto" w:fill="F2F2F2"/>
            <w:noWrap/>
            <w:hideMark/>
          </w:tcPr>
          <w:p w14:paraId="19077A68"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4EEFB6FB" w14:textId="77777777" w:rsidR="00395D01" w:rsidRPr="00912996" w:rsidRDefault="00395D01" w:rsidP="00292396">
            <w:pPr>
              <w:rPr>
                <w:rFonts w:ascii="Calibri" w:hAnsi="Calibri"/>
                <w:bCs/>
                <w:lang w:eastAsia="ja-JP"/>
              </w:rPr>
            </w:pPr>
            <w:r w:rsidRPr="00912996">
              <w:rPr>
                <w:rFonts w:ascii="Calibri" w:hAnsi="Calibri"/>
                <w:bCs/>
                <w:lang w:eastAsia="ja-JP"/>
              </w:rPr>
              <w:t>Proiect pilot de inserție profesională a absolvenților din învățământul profesional și tehnic prin dezvoltarea competențelor antreprenoriale și de alfabetizare digitală în cadrul Liceului Tehnologic "Ion I.C. Brătianu"</w:t>
            </w:r>
          </w:p>
        </w:tc>
        <w:tc>
          <w:tcPr>
            <w:tcW w:w="640" w:type="pct"/>
            <w:shd w:val="clear" w:color="auto" w:fill="F2F2F2"/>
            <w:hideMark/>
          </w:tcPr>
          <w:p w14:paraId="5D4B94CC" w14:textId="77777777" w:rsidR="00395D01" w:rsidRPr="00912996" w:rsidRDefault="00395D01" w:rsidP="00292396">
            <w:pPr>
              <w:rPr>
                <w:rFonts w:ascii="Calibri" w:hAnsi="Calibri"/>
                <w:bCs/>
                <w:lang w:eastAsia="ja-JP"/>
              </w:rPr>
            </w:pPr>
            <w:r w:rsidRPr="00912996">
              <w:rPr>
                <w:rFonts w:ascii="Calibri" w:hAnsi="Calibri"/>
                <w:bCs/>
                <w:lang w:eastAsia="ja-JP"/>
              </w:rPr>
              <w:t>PS2, ISMB S2, Ministerul Educației</w:t>
            </w:r>
          </w:p>
        </w:tc>
        <w:tc>
          <w:tcPr>
            <w:tcW w:w="507" w:type="pct"/>
            <w:shd w:val="clear" w:color="auto" w:fill="F2F2F2"/>
            <w:hideMark/>
          </w:tcPr>
          <w:p w14:paraId="3798393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5D8BEE9"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4720E41C"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53DBDC7D"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4A68AD7" w14:textId="77777777" w:rsidR="00395D01" w:rsidRPr="00912996" w:rsidRDefault="00395D01" w:rsidP="00292396">
            <w:pPr>
              <w:rPr>
                <w:rFonts w:ascii="Calibri" w:hAnsi="Calibri"/>
                <w:bCs/>
                <w:lang w:eastAsia="ja-JP"/>
              </w:rPr>
            </w:pPr>
            <w:r w:rsidRPr="00912996">
              <w:rPr>
                <w:rFonts w:ascii="Calibri" w:hAnsi="Calibri"/>
                <w:bCs/>
                <w:lang w:eastAsia="ja-JP"/>
              </w:rPr>
              <w:t>POEO 2021-2027 P2, Bugetul local, Alte surse de finanțare</w:t>
            </w:r>
          </w:p>
        </w:tc>
        <w:tc>
          <w:tcPr>
            <w:tcW w:w="433" w:type="pct"/>
            <w:shd w:val="clear" w:color="auto" w:fill="F2F2F2"/>
            <w:hideMark/>
          </w:tcPr>
          <w:p w14:paraId="7429355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BF13A20"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12038BB" w14:textId="77777777" w:rsidTr="00E16711">
        <w:trPr>
          <w:trHeight w:val="1320"/>
        </w:trPr>
        <w:tc>
          <w:tcPr>
            <w:tcW w:w="205" w:type="pct"/>
            <w:shd w:val="clear" w:color="auto" w:fill="F2F2F2"/>
            <w:noWrap/>
            <w:hideMark/>
          </w:tcPr>
          <w:p w14:paraId="32B32320"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1D575B0B" w14:textId="77777777" w:rsidR="00395D01" w:rsidRPr="00912996" w:rsidRDefault="00395D01" w:rsidP="00292396">
            <w:pPr>
              <w:rPr>
                <w:rFonts w:ascii="Calibri" w:hAnsi="Calibri"/>
                <w:bCs/>
                <w:lang w:eastAsia="ja-JP"/>
              </w:rPr>
            </w:pPr>
            <w:r w:rsidRPr="00912996">
              <w:rPr>
                <w:rFonts w:ascii="Calibri" w:hAnsi="Calibri"/>
                <w:bCs/>
                <w:lang w:eastAsia="ja-JP"/>
              </w:rPr>
              <w:t>Proiect pilot de învățare la locul de muncă pentru elevii din specializările tehnice</w:t>
            </w:r>
          </w:p>
        </w:tc>
        <w:tc>
          <w:tcPr>
            <w:tcW w:w="640" w:type="pct"/>
            <w:shd w:val="clear" w:color="auto" w:fill="F2F2F2"/>
            <w:hideMark/>
          </w:tcPr>
          <w:p w14:paraId="3B4C755C" w14:textId="77777777" w:rsidR="00395D01" w:rsidRPr="00912996" w:rsidRDefault="00395D01" w:rsidP="00292396">
            <w:pPr>
              <w:rPr>
                <w:rFonts w:ascii="Calibri" w:hAnsi="Calibri"/>
                <w:bCs/>
                <w:lang w:eastAsia="ja-JP"/>
              </w:rPr>
            </w:pPr>
            <w:r w:rsidRPr="00912996">
              <w:rPr>
                <w:rFonts w:ascii="Calibri" w:hAnsi="Calibri"/>
                <w:bCs/>
                <w:lang w:eastAsia="ja-JP"/>
              </w:rPr>
              <w:t>PS2, ISMB S2, Asociația Patronatelor, Instituțiile de învățământ</w:t>
            </w:r>
          </w:p>
        </w:tc>
        <w:tc>
          <w:tcPr>
            <w:tcW w:w="507" w:type="pct"/>
            <w:shd w:val="clear" w:color="auto" w:fill="F2F2F2"/>
            <w:hideMark/>
          </w:tcPr>
          <w:p w14:paraId="7F3F256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48A0E13"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2F4AB0EA"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5F71DBD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E0AE6D3" w14:textId="77777777" w:rsidR="00395D01" w:rsidRPr="00912996" w:rsidRDefault="00395D01" w:rsidP="00292396">
            <w:pPr>
              <w:rPr>
                <w:rFonts w:ascii="Calibri" w:hAnsi="Calibri"/>
                <w:bCs/>
                <w:lang w:eastAsia="ja-JP"/>
              </w:rPr>
            </w:pPr>
            <w:r w:rsidRPr="00912996">
              <w:rPr>
                <w:rFonts w:ascii="Calibri" w:hAnsi="Calibri"/>
                <w:bCs/>
                <w:lang w:eastAsia="ja-JP"/>
              </w:rPr>
              <w:t>POEO 2021-2027 P2, Bugetul local, Alte surse de finanțare</w:t>
            </w:r>
          </w:p>
        </w:tc>
        <w:tc>
          <w:tcPr>
            <w:tcW w:w="433" w:type="pct"/>
            <w:shd w:val="clear" w:color="auto" w:fill="F2F2F2"/>
            <w:hideMark/>
          </w:tcPr>
          <w:p w14:paraId="7345F6D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E1B1C7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90A418B" w14:textId="77777777" w:rsidTr="00E16711">
        <w:trPr>
          <w:trHeight w:val="1320"/>
        </w:trPr>
        <w:tc>
          <w:tcPr>
            <w:tcW w:w="205" w:type="pct"/>
            <w:shd w:val="clear" w:color="auto" w:fill="F2F2F2"/>
            <w:noWrap/>
            <w:hideMark/>
          </w:tcPr>
          <w:p w14:paraId="5C2D318D"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4CD2E356" w14:textId="77777777" w:rsidR="00395D01" w:rsidRPr="00912996" w:rsidRDefault="00395D01" w:rsidP="00292396">
            <w:pPr>
              <w:rPr>
                <w:rFonts w:ascii="Calibri" w:hAnsi="Calibri"/>
                <w:bCs/>
                <w:lang w:eastAsia="ja-JP"/>
              </w:rPr>
            </w:pPr>
            <w:r w:rsidRPr="00912996">
              <w:rPr>
                <w:rFonts w:ascii="Calibri" w:hAnsi="Calibri"/>
                <w:bCs/>
                <w:lang w:eastAsia="ja-JP"/>
              </w:rPr>
              <w:t>Proiect de specializare a personalului didactic din învățământul tehnic cu noile tehnologii, inclusiv schimb de experiență internațional</w:t>
            </w:r>
          </w:p>
        </w:tc>
        <w:tc>
          <w:tcPr>
            <w:tcW w:w="640" w:type="pct"/>
            <w:shd w:val="clear" w:color="auto" w:fill="F2F2F2"/>
            <w:hideMark/>
          </w:tcPr>
          <w:p w14:paraId="51683069" w14:textId="77777777" w:rsidR="00395D01" w:rsidRPr="00912996" w:rsidRDefault="00395D01" w:rsidP="00292396">
            <w:pPr>
              <w:rPr>
                <w:rFonts w:ascii="Calibri" w:hAnsi="Calibri"/>
                <w:bCs/>
                <w:lang w:eastAsia="ja-JP"/>
              </w:rPr>
            </w:pPr>
            <w:r w:rsidRPr="00912996">
              <w:rPr>
                <w:rFonts w:ascii="Calibri" w:hAnsi="Calibri"/>
                <w:bCs/>
                <w:lang w:eastAsia="ja-JP"/>
              </w:rPr>
              <w:t>PS2, ISMB S2, Asociația Patronatelor, Instituțiile de învățământ</w:t>
            </w:r>
          </w:p>
        </w:tc>
        <w:tc>
          <w:tcPr>
            <w:tcW w:w="507" w:type="pct"/>
            <w:shd w:val="clear" w:color="auto" w:fill="F2F2F2"/>
            <w:hideMark/>
          </w:tcPr>
          <w:p w14:paraId="251601A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849ADB8"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1D9A4E14"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43B20DC3"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0C6CA08" w14:textId="77777777" w:rsidR="00395D01" w:rsidRPr="00912996" w:rsidRDefault="00395D01" w:rsidP="00292396">
            <w:pPr>
              <w:rPr>
                <w:rFonts w:ascii="Calibri" w:hAnsi="Calibri"/>
                <w:bCs/>
                <w:lang w:eastAsia="ja-JP"/>
              </w:rPr>
            </w:pPr>
            <w:r w:rsidRPr="00912996">
              <w:rPr>
                <w:rFonts w:ascii="Calibri" w:hAnsi="Calibri"/>
                <w:bCs/>
                <w:lang w:eastAsia="ja-JP"/>
              </w:rPr>
              <w:t>POEO 2021-2027 P5, Bugetul local, Alte surse de finanțare</w:t>
            </w:r>
          </w:p>
        </w:tc>
        <w:tc>
          <w:tcPr>
            <w:tcW w:w="433" w:type="pct"/>
            <w:shd w:val="clear" w:color="auto" w:fill="F2F2F2"/>
            <w:hideMark/>
          </w:tcPr>
          <w:p w14:paraId="054166B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90ED4E6"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664C0A7" w14:textId="77777777" w:rsidTr="00E16711">
        <w:trPr>
          <w:trHeight w:val="1320"/>
        </w:trPr>
        <w:tc>
          <w:tcPr>
            <w:tcW w:w="205" w:type="pct"/>
            <w:shd w:val="clear" w:color="auto" w:fill="F2F2F2"/>
            <w:noWrap/>
            <w:hideMark/>
          </w:tcPr>
          <w:p w14:paraId="698117A2" w14:textId="77777777" w:rsidR="00395D01" w:rsidRPr="00912996" w:rsidRDefault="00395D01" w:rsidP="00292396">
            <w:pPr>
              <w:rPr>
                <w:rFonts w:ascii="Calibri" w:hAnsi="Calibri"/>
                <w:bCs/>
                <w:lang w:eastAsia="ja-JP"/>
              </w:rPr>
            </w:pPr>
            <w:r w:rsidRPr="00912996">
              <w:rPr>
                <w:rFonts w:ascii="Calibri" w:hAnsi="Calibri"/>
                <w:bCs/>
                <w:lang w:eastAsia="ja-JP"/>
              </w:rPr>
              <w:t>16</w:t>
            </w:r>
          </w:p>
        </w:tc>
        <w:tc>
          <w:tcPr>
            <w:tcW w:w="1018" w:type="pct"/>
            <w:gridSpan w:val="2"/>
            <w:shd w:val="clear" w:color="auto" w:fill="F2F2F2"/>
            <w:hideMark/>
          </w:tcPr>
          <w:p w14:paraId="18748D27"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Tehnologic "Ion I.C. Brătianu"</w:t>
            </w:r>
          </w:p>
        </w:tc>
        <w:tc>
          <w:tcPr>
            <w:tcW w:w="640" w:type="pct"/>
            <w:shd w:val="clear" w:color="auto" w:fill="F2F2F2"/>
            <w:hideMark/>
          </w:tcPr>
          <w:p w14:paraId="4A57C8D7" w14:textId="77777777" w:rsidR="00395D01" w:rsidRPr="00912996" w:rsidRDefault="00395D01" w:rsidP="00292396">
            <w:pPr>
              <w:rPr>
                <w:rFonts w:ascii="Calibri" w:hAnsi="Calibri"/>
                <w:bCs/>
                <w:lang w:eastAsia="ja-JP"/>
              </w:rPr>
            </w:pPr>
            <w:r w:rsidRPr="00912996">
              <w:rPr>
                <w:rFonts w:ascii="Calibri" w:hAnsi="Calibri"/>
                <w:bCs/>
                <w:lang w:eastAsia="ja-JP"/>
              </w:rPr>
              <w:t>Liceul Tehnologic "Ion I.C. Brătianu"</w:t>
            </w:r>
          </w:p>
        </w:tc>
        <w:tc>
          <w:tcPr>
            <w:tcW w:w="507" w:type="pct"/>
            <w:shd w:val="clear" w:color="auto" w:fill="F2F2F2"/>
            <w:hideMark/>
          </w:tcPr>
          <w:p w14:paraId="24C0B85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06DED4E" w14:textId="77777777" w:rsidR="00395D01" w:rsidRPr="00912996" w:rsidRDefault="00395D01" w:rsidP="00292396">
            <w:pPr>
              <w:rPr>
                <w:rFonts w:ascii="Calibri" w:hAnsi="Calibri"/>
                <w:bCs/>
                <w:lang w:eastAsia="ja-JP"/>
              </w:rPr>
            </w:pPr>
            <w:r w:rsidRPr="00912996">
              <w:rPr>
                <w:rFonts w:ascii="Calibri" w:hAnsi="Calibri"/>
                <w:bCs/>
                <w:lang w:eastAsia="ja-JP"/>
              </w:rPr>
              <w:t>675,575</w:t>
            </w:r>
          </w:p>
        </w:tc>
        <w:tc>
          <w:tcPr>
            <w:tcW w:w="411" w:type="pct"/>
            <w:shd w:val="clear" w:color="auto" w:fill="F2F2F2"/>
            <w:hideMark/>
          </w:tcPr>
          <w:p w14:paraId="6435862D" w14:textId="77777777" w:rsidR="00395D01" w:rsidRPr="00912996" w:rsidRDefault="00395D01" w:rsidP="00292396">
            <w:pPr>
              <w:rPr>
                <w:rFonts w:ascii="Calibri" w:hAnsi="Calibri"/>
                <w:bCs/>
                <w:lang w:eastAsia="ja-JP"/>
              </w:rPr>
            </w:pPr>
            <w:r w:rsidRPr="00912996">
              <w:rPr>
                <w:rFonts w:ascii="Calibri" w:hAnsi="Calibri"/>
                <w:bCs/>
                <w:lang w:eastAsia="ja-JP"/>
              </w:rPr>
              <w:t>152,500</w:t>
            </w:r>
          </w:p>
        </w:tc>
        <w:tc>
          <w:tcPr>
            <w:tcW w:w="347" w:type="pct"/>
            <w:shd w:val="clear" w:color="auto" w:fill="F2F2F2"/>
            <w:hideMark/>
          </w:tcPr>
          <w:p w14:paraId="7469591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88AD086"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506E552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3C5CD6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9EA35B6" w14:textId="77777777" w:rsidTr="00E16711">
        <w:trPr>
          <w:trHeight w:val="1320"/>
        </w:trPr>
        <w:tc>
          <w:tcPr>
            <w:tcW w:w="205" w:type="pct"/>
            <w:shd w:val="clear" w:color="auto" w:fill="F2F2F2"/>
            <w:noWrap/>
            <w:hideMark/>
          </w:tcPr>
          <w:p w14:paraId="223FAC46" w14:textId="77777777" w:rsidR="00395D01" w:rsidRPr="00912996" w:rsidRDefault="00395D01" w:rsidP="00292396">
            <w:pPr>
              <w:rPr>
                <w:rFonts w:ascii="Calibri" w:hAnsi="Calibri"/>
                <w:bCs/>
                <w:lang w:eastAsia="ja-JP"/>
              </w:rPr>
            </w:pPr>
            <w:r w:rsidRPr="00912996">
              <w:rPr>
                <w:rFonts w:ascii="Calibri" w:hAnsi="Calibri"/>
                <w:bCs/>
                <w:lang w:eastAsia="ja-JP"/>
              </w:rPr>
              <w:t>17</w:t>
            </w:r>
          </w:p>
        </w:tc>
        <w:tc>
          <w:tcPr>
            <w:tcW w:w="1018" w:type="pct"/>
            <w:gridSpan w:val="2"/>
            <w:shd w:val="clear" w:color="auto" w:fill="F2F2F2"/>
            <w:hideMark/>
          </w:tcPr>
          <w:p w14:paraId="7FC0B897"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Tehnologic Special Nr.</w:t>
            </w:r>
            <w:r>
              <w:rPr>
                <w:rFonts w:ascii="Calibri" w:hAnsi="Calibri"/>
                <w:bCs/>
                <w:lang w:eastAsia="ja-JP"/>
              </w:rPr>
              <w:t xml:space="preserve"> </w:t>
            </w:r>
            <w:r w:rsidRPr="00912996">
              <w:rPr>
                <w:rFonts w:ascii="Calibri" w:hAnsi="Calibri"/>
                <w:bCs/>
                <w:lang w:eastAsia="ja-JP"/>
              </w:rPr>
              <w:t>3</w:t>
            </w:r>
          </w:p>
        </w:tc>
        <w:tc>
          <w:tcPr>
            <w:tcW w:w="640" w:type="pct"/>
            <w:shd w:val="clear" w:color="auto" w:fill="F2F2F2"/>
            <w:hideMark/>
          </w:tcPr>
          <w:p w14:paraId="1F767DC8" w14:textId="77777777" w:rsidR="00395D01" w:rsidRPr="00912996" w:rsidRDefault="00395D01" w:rsidP="00292396">
            <w:pPr>
              <w:rPr>
                <w:rFonts w:ascii="Calibri" w:hAnsi="Calibri"/>
                <w:bCs/>
                <w:lang w:eastAsia="ja-JP"/>
              </w:rPr>
            </w:pPr>
            <w:r w:rsidRPr="00912996">
              <w:rPr>
                <w:rFonts w:ascii="Calibri" w:hAnsi="Calibri"/>
                <w:bCs/>
                <w:lang w:eastAsia="ja-JP"/>
              </w:rPr>
              <w:t>Liceul Tehnologic Special Nr.3</w:t>
            </w:r>
          </w:p>
        </w:tc>
        <w:tc>
          <w:tcPr>
            <w:tcW w:w="507" w:type="pct"/>
            <w:shd w:val="clear" w:color="auto" w:fill="F2F2F2"/>
            <w:hideMark/>
          </w:tcPr>
          <w:p w14:paraId="1FC41E2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1C47B81"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29C2E173"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344FCD99"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48F31BB"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3473DA4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B88CB40"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BCB9E79" w14:textId="77777777" w:rsidTr="00E16711">
        <w:trPr>
          <w:trHeight w:val="1320"/>
        </w:trPr>
        <w:tc>
          <w:tcPr>
            <w:tcW w:w="205" w:type="pct"/>
            <w:shd w:val="clear" w:color="auto" w:fill="F2F2F2"/>
            <w:noWrap/>
            <w:hideMark/>
          </w:tcPr>
          <w:p w14:paraId="191B4A55" w14:textId="77777777" w:rsidR="00395D01" w:rsidRPr="00912996" w:rsidRDefault="00395D01" w:rsidP="00292396">
            <w:pPr>
              <w:rPr>
                <w:rFonts w:ascii="Calibri" w:hAnsi="Calibri"/>
                <w:bCs/>
                <w:lang w:eastAsia="ja-JP"/>
              </w:rPr>
            </w:pPr>
            <w:r w:rsidRPr="00912996">
              <w:rPr>
                <w:rFonts w:ascii="Calibri" w:hAnsi="Calibri"/>
                <w:bCs/>
                <w:lang w:eastAsia="ja-JP"/>
              </w:rPr>
              <w:t>18</w:t>
            </w:r>
          </w:p>
        </w:tc>
        <w:tc>
          <w:tcPr>
            <w:tcW w:w="1018" w:type="pct"/>
            <w:gridSpan w:val="2"/>
            <w:shd w:val="clear" w:color="auto" w:fill="F2F2F2"/>
            <w:hideMark/>
          </w:tcPr>
          <w:p w14:paraId="46FF4FBB"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Colegiului Tehnic ”Dimitrie Leonida”</w:t>
            </w:r>
          </w:p>
        </w:tc>
        <w:tc>
          <w:tcPr>
            <w:tcW w:w="640" w:type="pct"/>
            <w:shd w:val="clear" w:color="auto" w:fill="F2F2F2"/>
            <w:hideMark/>
          </w:tcPr>
          <w:p w14:paraId="4BA2A342" w14:textId="77777777" w:rsidR="00395D01" w:rsidRPr="00912996" w:rsidRDefault="00395D01" w:rsidP="00292396">
            <w:pPr>
              <w:rPr>
                <w:rFonts w:ascii="Calibri" w:hAnsi="Calibri"/>
                <w:bCs/>
                <w:lang w:eastAsia="ja-JP"/>
              </w:rPr>
            </w:pPr>
            <w:r w:rsidRPr="00912996">
              <w:rPr>
                <w:rFonts w:ascii="Calibri" w:hAnsi="Calibri"/>
                <w:bCs/>
                <w:lang w:eastAsia="ja-JP"/>
              </w:rPr>
              <w:t>Colegiul  Tehnic ”Dimitrie Leonida</w:t>
            </w:r>
          </w:p>
        </w:tc>
        <w:tc>
          <w:tcPr>
            <w:tcW w:w="507" w:type="pct"/>
            <w:shd w:val="clear" w:color="auto" w:fill="F2F2F2"/>
            <w:hideMark/>
          </w:tcPr>
          <w:p w14:paraId="395DEB2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312F847"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69CBB613"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4714E18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71CBDBB"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74A75F8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409ECB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1ECFE30" w14:textId="77777777" w:rsidTr="00E16711">
        <w:trPr>
          <w:trHeight w:val="1320"/>
        </w:trPr>
        <w:tc>
          <w:tcPr>
            <w:tcW w:w="205" w:type="pct"/>
            <w:shd w:val="clear" w:color="auto" w:fill="F2F2F2"/>
            <w:noWrap/>
            <w:hideMark/>
          </w:tcPr>
          <w:p w14:paraId="6D8B47F1" w14:textId="77777777" w:rsidR="00395D01" w:rsidRPr="00912996" w:rsidRDefault="00395D01" w:rsidP="00292396">
            <w:pPr>
              <w:rPr>
                <w:rFonts w:ascii="Calibri" w:hAnsi="Calibri"/>
                <w:bCs/>
                <w:lang w:eastAsia="ja-JP"/>
              </w:rPr>
            </w:pPr>
            <w:r w:rsidRPr="00912996">
              <w:rPr>
                <w:rFonts w:ascii="Calibri" w:hAnsi="Calibri"/>
                <w:bCs/>
                <w:lang w:eastAsia="ja-JP"/>
              </w:rPr>
              <w:t>19</w:t>
            </w:r>
          </w:p>
        </w:tc>
        <w:tc>
          <w:tcPr>
            <w:tcW w:w="1018" w:type="pct"/>
            <w:gridSpan w:val="2"/>
            <w:shd w:val="clear" w:color="auto" w:fill="F2F2F2"/>
            <w:hideMark/>
          </w:tcPr>
          <w:p w14:paraId="1353ED67"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Tehnologic ”Constantin Brâncuși”</w:t>
            </w:r>
          </w:p>
        </w:tc>
        <w:tc>
          <w:tcPr>
            <w:tcW w:w="640" w:type="pct"/>
            <w:shd w:val="clear" w:color="auto" w:fill="F2F2F2"/>
            <w:hideMark/>
          </w:tcPr>
          <w:p w14:paraId="15C73DD8" w14:textId="77777777" w:rsidR="00395D01" w:rsidRPr="00912996" w:rsidRDefault="00395D01" w:rsidP="00292396">
            <w:pPr>
              <w:rPr>
                <w:rFonts w:ascii="Calibri" w:hAnsi="Calibri"/>
                <w:bCs/>
                <w:lang w:eastAsia="ja-JP"/>
              </w:rPr>
            </w:pPr>
            <w:r w:rsidRPr="00912996">
              <w:rPr>
                <w:rFonts w:ascii="Calibri" w:hAnsi="Calibri"/>
                <w:bCs/>
                <w:lang w:eastAsia="ja-JP"/>
              </w:rPr>
              <w:t>Liceul Tehnologic ”Constantin Brâncuși”</w:t>
            </w:r>
          </w:p>
        </w:tc>
        <w:tc>
          <w:tcPr>
            <w:tcW w:w="507" w:type="pct"/>
            <w:shd w:val="clear" w:color="auto" w:fill="F2F2F2"/>
            <w:hideMark/>
          </w:tcPr>
          <w:p w14:paraId="179C4E8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27C65D4"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595B7458"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248B374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BD35F94"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470675A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DDB523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8055501" w14:textId="77777777" w:rsidTr="00DB0D76">
        <w:trPr>
          <w:trHeight w:val="624"/>
        </w:trPr>
        <w:tc>
          <w:tcPr>
            <w:tcW w:w="205" w:type="pct"/>
            <w:shd w:val="clear" w:color="auto" w:fill="F2F2F2"/>
            <w:noWrap/>
            <w:hideMark/>
          </w:tcPr>
          <w:p w14:paraId="3BE04FDA" w14:textId="77777777" w:rsidR="00395D01" w:rsidRPr="00912996" w:rsidRDefault="00395D01" w:rsidP="00292396">
            <w:pPr>
              <w:rPr>
                <w:rFonts w:ascii="Calibri" w:hAnsi="Calibri"/>
                <w:bCs/>
                <w:lang w:eastAsia="ja-JP"/>
              </w:rPr>
            </w:pPr>
            <w:r w:rsidRPr="00912996">
              <w:rPr>
                <w:rFonts w:ascii="Calibri" w:hAnsi="Calibri"/>
                <w:bCs/>
                <w:lang w:eastAsia="ja-JP"/>
              </w:rPr>
              <w:t>20</w:t>
            </w:r>
          </w:p>
        </w:tc>
        <w:tc>
          <w:tcPr>
            <w:tcW w:w="1018" w:type="pct"/>
            <w:gridSpan w:val="2"/>
            <w:shd w:val="clear" w:color="auto" w:fill="F2F2F2"/>
            <w:hideMark/>
          </w:tcPr>
          <w:p w14:paraId="276444EC"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Tehnologic ”Sfântul Pantelimon”</w:t>
            </w:r>
          </w:p>
        </w:tc>
        <w:tc>
          <w:tcPr>
            <w:tcW w:w="640" w:type="pct"/>
            <w:shd w:val="clear" w:color="auto" w:fill="F2F2F2"/>
            <w:hideMark/>
          </w:tcPr>
          <w:p w14:paraId="4CB4ECB2" w14:textId="77777777" w:rsidR="00395D01" w:rsidRPr="00912996" w:rsidRDefault="00395D01" w:rsidP="00292396">
            <w:pPr>
              <w:rPr>
                <w:rFonts w:ascii="Calibri" w:hAnsi="Calibri"/>
                <w:bCs/>
                <w:lang w:eastAsia="ja-JP"/>
              </w:rPr>
            </w:pPr>
            <w:r w:rsidRPr="00912996">
              <w:rPr>
                <w:rFonts w:ascii="Calibri" w:hAnsi="Calibri"/>
                <w:bCs/>
                <w:lang w:eastAsia="ja-JP"/>
              </w:rPr>
              <w:t>Liceul Tehnologic  ”Sfântul Pantelimon”</w:t>
            </w:r>
          </w:p>
        </w:tc>
        <w:tc>
          <w:tcPr>
            <w:tcW w:w="507" w:type="pct"/>
            <w:shd w:val="clear" w:color="auto" w:fill="F2F2F2"/>
            <w:hideMark/>
          </w:tcPr>
          <w:p w14:paraId="53E9562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99A3EA7"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6D626083"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721D653E"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CC1EBD7"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66817BB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074B30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219564C" w14:textId="77777777" w:rsidTr="00E16711">
        <w:trPr>
          <w:trHeight w:val="620"/>
        </w:trPr>
        <w:tc>
          <w:tcPr>
            <w:tcW w:w="205" w:type="pct"/>
            <w:shd w:val="clear" w:color="auto" w:fill="F2F2F2"/>
            <w:noWrap/>
            <w:hideMark/>
          </w:tcPr>
          <w:p w14:paraId="2F9B076B" w14:textId="77777777" w:rsidR="00395D01" w:rsidRPr="00912996" w:rsidRDefault="00395D01" w:rsidP="00292396">
            <w:pPr>
              <w:rPr>
                <w:rFonts w:ascii="Calibri" w:hAnsi="Calibri"/>
                <w:bCs/>
                <w:lang w:eastAsia="ja-JP"/>
              </w:rPr>
            </w:pPr>
            <w:r w:rsidRPr="00912996">
              <w:rPr>
                <w:rFonts w:ascii="Calibri" w:hAnsi="Calibri"/>
                <w:bCs/>
                <w:lang w:eastAsia="ja-JP"/>
              </w:rPr>
              <w:t>21</w:t>
            </w:r>
          </w:p>
        </w:tc>
        <w:tc>
          <w:tcPr>
            <w:tcW w:w="1018" w:type="pct"/>
            <w:gridSpan w:val="2"/>
            <w:shd w:val="clear" w:color="auto" w:fill="F2F2F2"/>
            <w:hideMark/>
          </w:tcPr>
          <w:p w14:paraId="6978579B"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Tehnologic ”Electronică Industrială”</w:t>
            </w:r>
          </w:p>
        </w:tc>
        <w:tc>
          <w:tcPr>
            <w:tcW w:w="640" w:type="pct"/>
            <w:shd w:val="clear" w:color="auto" w:fill="F2F2F2"/>
            <w:hideMark/>
          </w:tcPr>
          <w:p w14:paraId="48C5B6F1" w14:textId="77777777" w:rsidR="00395D01" w:rsidRPr="00912996" w:rsidRDefault="00395D01" w:rsidP="00292396">
            <w:pPr>
              <w:rPr>
                <w:rFonts w:ascii="Calibri" w:hAnsi="Calibri"/>
                <w:bCs/>
                <w:lang w:eastAsia="ja-JP"/>
              </w:rPr>
            </w:pPr>
            <w:r w:rsidRPr="00912996">
              <w:rPr>
                <w:rFonts w:ascii="Calibri" w:hAnsi="Calibri"/>
                <w:bCs/>
                <w:lang w:eastAsia="ja-JP"/>
              </w:rPr>
              <w:t>Liceul Tehnologic ”Electronica Industriala”</w:t>
            </w:r>
          </w:p>
        </w:tc>
        <w:tc>
          <w:tcPr>
            <w:tcW w:w="507" w:type="pct"/>
            <w:shd w:val="clear" w:color="auto" w:fill="F2F2F2"/>
            <w:hideMark/>
          </w:tcPr>
          <w:p w14:paraId="6408090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34F2457" w14:textId="77777777" w:rsidR="00395D01" w:rsidRPr="00912996" w:rsidRDefault="00395D01" w:rsidP="00292396">
            <w:pPr>
              <w:rPr>
                <w:rFonts w:ascii="Calibri" w:hAnsi="Calibri"/>
                <w:bCs/>
                <w:lang w:eastAsia="ja-JP"/>
              </w:rPr>
            </w:pPr>
            <w:r w:rsidRPr="00912996">
              <w:rPr>
                <w:rFonts w:ascii="Calibri" w:hAnsi="Calibri"/>
                <w:bCs/>
                <w:lang w:eastAsia="ja-JP"/>
              </w:rPr>
              <w:t>675,575</w:t>
            </w:r>
          </w:p>
        </w:tc>
        <w:tc>
          <w:tcPr>
            <w:tcW w:w="411" w:type="pct"/>
            <w:shd w:val="clear" w:color="auto" w:fill="F2F2F2"/>
            <w:hideMark/>
          </w:tcPr>
          <w:p w14:paraId="2E31EC6E" w14:textId="77777777" w:rsidR="00395D01" w:rsidRPr="00912996" w:rsidRDefault="00395D01" w:rsidP="00292396">
            <w:pPr>
              <w:rPr>
                <w:rFonts w:ascii="Calibri" w:hAnsi="Calibri"/>
                <w:bCs/>
                <w:lang w:eastAsia="ja-JP"/>
              </w:rPr>
            </w:pPr>
            <w:r w:rsidRPr="00912996">
              <w:rPr>
                <w:rFonts w:ascii="Calibri" w:hAnsi="Calibri"/>
                <w:bCs/>
                <w:lang w:eastAsia="ja-JP"/>
              </w:rPr>
              <w:t>152,500</w:t>
            </w:r>
          </w:p>
        </w:tc>
        <w:tc>
          <w:tcPr>
            <w:tcW w:w="347" w:type="pct"/>
            <w:shd w:val="clear" w:color="auto" w:fill="F2F2F2"/>
            <w:hideMark/>
          </w:tcPr>
          <w:p w14:paraId="4C481519"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45E3175"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2C9C130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A928586"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98C5355" w14:textId="77777777" w:rsidTr="00E16711">
        <w:trPr>
          <w:trHeight w:val="1320"/>
        </w:trPr>
        <w:tc>
          <w:tcPr>
            <w:tcW w:w="205" w:type="pct"/>
            <w:shd w:val="clear" w:color="auto" w:fill="F2F2F2"/>
            <w:noWrap/>
            <w:hideMark/>
          </w:tcPr>
          <w:p w14:paraId="01107BC1" w14:textId="77777777" w:rsidR="00395D01" w:rsidRPr="00912996" w:rsidRDefault="00395D01" w:rsidP="00292396">
            <w:pPr>
              <w:rPr>
                <w:rFonts w:ascii="Calibri" w:hAnsi="Calibri"/>
                <w:bCs/>
                <w:lang w:eastAsia="ja-JP"/>
              </w:rPr>
            </w:pPr>
            <w:r w:rsidRPr="00912996">
              <w:rPr>
                <w:rFonts w:ascii="Calibri" w:hAnsi="Calibri"/>
                <w:bCs/>
                <w:lang w:eastAsia="ja-JP"/>
              </w:rPr>
              <w:t>22</w:t>
            </w:r>
          </w:p>
        </w:tc>
        <w:tc>
          <w:tcPr>
            <w:tcW w:w="1018" w:type="pct"/>
            <w:gridSpan w:val="2"/>
            <w:shd w:val="clear" w:color="auto" w:fill="F2F2F2"/>
            <w:hideMark/>
          </w:tcPr>
          <w:p w14:paraId="70683BEE"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Liceului Tehnologic Special ”Regina Elisabeta”</w:t>
            </w:r>
          </w:p>
        </w:tc>
        <w:tc>
          <w:tcPr>
            <w:tcW w:w="640" w:type="pct"/>
            <w:shd w:val="clear" w:color="auto" w:fill="F2F2F2"/>
            <w:hideMark/>
          </w:tcPr>
          <w:p w14:paraId="69D008BA" w14:textId="77777777" w:rsidR="00395D01" w:rsidRPr="00912996" w:rsidRDefault="00395D01" w:rsidP="00292396">
            <w:pPr>
              <w:rPr>
                <w:rFonts w:ascii="Calibri" w:hAnsi="Calibri"/>
                <w:bCs/>
                <w:lang w:eastAsia="ja-JP"/>
              </w:rPr>
            </w:pPr>
            <w:r w:rsidRPr="00912996">
              <w:rPr>
                <w:rFonts w:ascii="Calibri" w:hAnsi="Calibri"/>
                <w:bCs/>
                <w:lang w:eastAsia="ja-JP"/>
              </w:rPr>
              <w:t>Liceul Tehnologic Special ”Regina Elisabeta”</w:t>
            </w:r>
          </w:p>
        </w:tc>
        <w:tc>
          <w:tcPr>
            <w:tcW w:w="507" w:type="pct"/>
            <w:shd w:val="clear" w:color="auto" w:fill="F2F2F2"/>
            <w:hideMark/>
          </w:tcPr>
          <w:p w14:paraId="6CEBC94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C954604" w14:textId="77777777" w:rsidR="00395D01" w:rsidRPr="00912996" w:rsidRDefault="00395D01" w:rsidP="00292396">
            <w:pPr>
              <w:rPr>
                <w:rFonts w:ascii="Calibri" w:hAnsi="Calibri"/>
                <w:bCs/>
                <w:lang w:eastAsia="ja-JP"/>
              </w:rPr>
            </w:pPr>
            <w:r w:rsidRPr="00912996">
              <w:rPr>
                <w:rFonts w:ascii="Calibri" w:hAnsi="Calibri"/>
                <w:bCs/>
                <w:lang w:eastAsia="ja-JP"/>
              </w:rPr>
              <w:t>310,100</w:t>
            </w:r>
          </w:p>
        </w:tc>
        <w:tc>
          <w:tcPr>
            <w:tcW w:w="411" w:type="pct"/>
            <w:shd w:val="clear" w:color="auto" w:fill="F2F2F2"/>
            <w:hideMark/>
          </w:tcPr>
          <w:p w14:paraId="75ABDB4C" w14:textId="77777777" w:rsidR="00395D01" w:rsidRPr="00912996" w:rsidRDefault="00395D01" w:rsidP="00292396">
            <w:pPr>
              <w:rPr>
                <w:rFonts w:ascii="Calibri" w:hAnsi="Calibri"/>
                <w:bCs/>
                <w:lang w:eastAsia="ja-JP"/>
              </w:rPr>
            </w:pPr>
            <w:r w:rsidRPr="00912996">
              <w:rPr>
                <w:rFonts w:ascii="Calibri" w:hAnsi="Calibri"/>
                <w:bCs/>
                <w:lang w:eastAsia="ja-JP"/>
              </w:rPr>
              <w:t>70,000</w:t>
            </w:r>
          </w:p>
        </w:tc>
        <w:tc>
          <w:tcPr>
            <w:tcW w:w="347" w:type="pct"/>
            <w:shd w:val="clear" w:color="auto" w:fill="F2F2F2"/>
            <w:hideMark/>
          </w:tcPr>
          <w:p w14:paraId="5D08D643"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710B8A9"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1788E99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A75F030"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108BEDE" w14:textId="77777777" w:rsidTr="00E16711">
        <w:trPr>
          <w:trHeight w:val="1320"/>
        </w:trPr>
        <w:tc>
          <w:tcPr>
            <w:tcW w:w="205" w:type="pct"/>
            <w:shd w:val="clear" w:color="auto" w:fill="F2F2F2"/>
            <w:noWrap/>
            <w:hideMark/>
          </w:tcPr>
          <w:p w14:paraId="37659AF4" w14:textId="77777777" w:rsidR="00395D01" w:rsidRPr="00912996" w:rsidRDefault="00395D01" w:rsidP="00292396">
            <w:pPr>
              <w:rPr>
                <w:rFonts w:ascii="Calibri" w:hAnsi="Calibri"/>
                <w:bCs/>
                <w:lang w:eastAsia="ja-JP"/>
              </w:rPr>
            </w:pPr>
            <w:r w:rsidRPr="00912996">
              <w:rPr>
                <w:rFonts w:ascii="Calibri" w:hAnsi="Calibri"/>
                <w:bCs/>
                <w:lang w:eastAsia="ja-JP"/>
              </w:rPr>
              <w:t>23</w:t>
            </w:r>
          </w:p>
        </w:tc>
        <w:tc>
          <w:tcPr>
            <w:tcW w:w="1018" w:type="pct"/>
            <w:gridSpan w:val="2"/>
            <w:shd w:val="clear" w:color="auto" w:fill="F2F2F2"/>
            <w:hideMark/>
          </w:tcPr>
          <w:p w14:paraId="4FF64986" w14:textId="77777777" w:rsidR="00395D01" w:rsidRPr="00912996" w:rsidRDefault="00395D01" w:rsidP="00292396">
            <w:pPr>
              <w:rPr>
                <w:rFonts w:ascii="Calibri" w:hAnsi="Calibri"/>
                <w:bCs/>
                <w:lang w:eastAsia="ja-JP"/>
              </w:rPr>
            </w:pPr>
            <w:r w:rsidRPr="00912996">
              <w:rPr>
                <w:rFonts w:ascii="Calibri" w:hAnsi="Calibri"/>
                <w:bCs/>
                <w:lang w:eastAsia="ja-JP"/>
              </w:rPr>
              <w:t>Proiect de îmbunătățire a performanțelor educaționale prin activități pedagogice și de sprijin, activități extra curriculare și activități de renovare și dotare în cadrul Colegiului Tehnic ”Edmond Nicolau”</w:t>
            </w:r>
          </w:p>
        </w:tc>
        <w:tc>
          <w:tcPr>
            <w:tcW w:w="640" w:type="pct"/>
            <w:shd w:val="clear" w:color="auto" w:fill="F2F2F2"/>
            <w:hideMark/>
          </w:tcPr>
          <w:p w14:paraId="366F6D13" w14:textId="77777777" w:rsidR="00395D01" w:rsidRPr="00912996" w:rsidRDefault="00395D01" w:rsidP="00292396">
            <w:pPr>
              <w:rPr>
                <w:rFonts w:ascii="Calibri" w:hAnsi="Calibri"/>
                <w:bCs/>
                <w:lang w:eastAsia="ja-JP"/>
              </w:rPr>
            </w:pPr>
            <w:r w:rsidRPr="00912996">
              <w:rPr>
                <w:rFonts w:ascii="Calibri" w:hAnsi="Calibri"/>
                <w:bCs/>
                <w:lang w:eastAsia="ja-JP"/>
              </w:rPr>
              <w:t>Colegiul Tehnic ”Edmond Nicolau”</w:t>
            </w:r>
          </w:p>
        </w:tc>
        <w:tc>
          <w:tcPr>
            <w:tcW w:w="507" w:type="pct"/>
            <w:shd w:val="clear" w:color="auto" w:fill="F2F2F2"/>
            <w:hideMark/>
          </w:tcPr>
          <w:p w14:paraId="6BB8521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932DEB5"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4F9673D6"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59E6A76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0B18313"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34FE232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497724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4F36A48" w14:textId="77777777" w:rsidTr="00E16711">
        <w:trPr>
          <w:trHeight w:val="1584"/>
        </w:trPr>
        <w:tc>
          <w:tcPr>
            <w:tcW w:w="205" w:type="pct"/>
            <w:shd w:val="clear" w:color="auto" w:fill="F2F2F2"/>
            <w:noWrap/>
            <w:hideMark/>
          </w:tcPr>
          <w:p w14:paraId="178F000A" w14:textId="77777777" w:rsidR="00395D01" w:rsidRPr="00912996" w:rsidRDefault="00395D01" w:rsidP="00292396">
            <w:pPr>
              <w:rPr>
                <w:rFonts w:ascii="Calibri" w:hAnsi="Calibri"/>
                <w:bCs/>
                <w:lang w:eastAsia="ja-JP"/>
              </w:rPr>
            </w:pPr>
            <w:r w:rsidRPr="00912996">
              <w:rPr>
                <w:rFonts w:ascii="Calibri" w:hAnsi="Calibri"/>
                <w:bCs/>
                <w:lang w:eastAsia="ja-JP"/>
              </w:rPr>
              <w:t>24</w:t>
            </w:r>
          </w:p>
        </w:tc>
        <w:tc>
          <w:tcPr>
            <w:tcW w:w="1018" w:type="pct"/>
            <w:gridSpan w:val="2"/>
            <w:shd w:val="clear" w:color="auto" w:fill="F2F2F2"/>
            <w:hideMark/>
          </w:tcPr>
          <w:p w14:paraId="64012FFF" w14:textId="77777777" w:rsidR="00395D01" w:rsidRPr="00912996" w:rsidRDefault="00395D01" w:rsidP="00292396">
            <w:pPr>
              <w:rPr>
                <w:rFonts w:ascii="Calibri" w:hAnsi="Calibri"/>
                <w:bCs/>
                <w:lang w:eastAsia="ja-JP"/>
              </w:rPr>
            </w:pPr>
            <w:r w:rsidRPr="00912996">
              <w:rPr>
                <w:rFonts w:ascii="Calibri" w:hAnsi="Calibri"/>
                <w:bCs/>
                <w:lang w:eastAsia="ja-JP"/>
              </w:rPr>
              <w:t>Proiect de combatere a abandonului școlar și a părăsirii timpurii a copiilor aflați în risc de excluziune socială prin informare, orientare și consiliere în cadrul unor centre dedicate aflate în școlile și liceele cu rate mari de abandon</w:t>
            </w:r>
          </w:p>
        </w:tc>
        <w:tc>
          <w:tcPr>
            <w:tcW w:w="640" w:type="pct"/>
            <w:shd w:val="clear" w:color="auto" w:fill="F2F2F2"/>
            <w:hideMark/>
          </w:tcPr>
          <w:p w14:paraId="1C9B4037" w14:textId="77777777" w:rsidR="00395D01" w:rsidRPr="00912996" w:rsidRDefault="00395D01" w:rsidP="00292396">
            <w:pPr>
              <w:rPr>
                <w:rFonts w:ascii="Calibri" w:hAnsi="Calibri"/>
                <w:bCs/>
                <w:lang w:eastAsia="ja-JP"/>
              </w:rPr>
            </w:pPr>
            <w:r w:rsidRPr="00912996">
              <w:rPr>
                <w:rFonts w:ascii="Calibri" w:hAnsi="Calibri"/>
                <w:bCs/>
                <w:lang w:eastAsia="ja-JP"/>
              </w:rPr>
              <w:t>PS2, ISMB S2, DGASPC</w:t>
            </w:r>
          </w:p>
        </w:tc>
        <w:tc>
          <w:tcPr>
            <w:tcW w:w="507" w:type="pct"/>
            <w:shd w:val="clear" w:color="auto" w:fill="F2F2F2"/>
            <w:hideMark/>
          </w:tcPr>
          <w:p w14:paraId="0AFB2F7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1578AAA"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766F97B0" w14:textId="77777777" w:rsidR="00395D01" w:rsidRPr="00912996" w:rsidRDefault="00395D01" w:rsidP="00292396">
            <w:pPr>
              <w:rPr>
                <w:rFonts w:ascii="Calibri" w:hAnsi="Calibri"/>
                <w:bCs/>
                <w:lang w:eastAsia="ja-JP"/>
              </w:rPr>
            </w:pPr>
            <w:r w:rsidRPr="00912996">
              <w:rPr>
                <w:rFonts w:ascii="Calibri" w:hAnsi="Calibri"/>
                <w:bCs/>
                <w:lang w:eastAsia="ja-JP"/>
              </w:rPr>
              <w:t>67,806</w:t>
            </w:r>
          </w:p>
        </w:tc>
        <w:tc>
          <w:tcPr>
            <w:tcW w:w="347" w:type="pct"/>
            <w:shd w:val="clear" w:color="auto" w:fill="F2F2F2"/>
            <w:hideMark/>
          </w:tcPr>
          <w:p w14:paraId="321B2569"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56770B54" w14:textId="77777777" w:rsidR="00395D01" w:rsidRPr="00912996" w:rsidRDefault="00395D01" w:rsidP="00292396">
            <w:pPr>
              <w:rPr>
                <w:rFonts w:ascii="Calibri" w:hAnsi="Calibri"/>
                <w:bCs/>
                <w:lang w:eastAsia="ja-JP"/>
              </w:rPr>
            </w:pPr>
            <w:r w:rsidRPr="00912996">
              <w:rPr>
                <w:rFonts w:ascii="Calibri" w:hAnsi="Calibri"/>
                <w:bCs/>
                <w:lang w:eastAsia="ja-JP"/>
              </w:rPr>
              <w:t>POEO 2021-2027 P8, POR BI P6, CNI, PNRR C15, Bugetul local, Alte surse de finanțare</w:t>
            </w:r>
          </w:p>
        </w:tc>
        <w:tc>
          <w:tcPr>
            <w:tcW w:w="433" w:type="pct"/>
            <w:shd w:val="clear" w:color="auto" w:fill="F2F2F2"/>
            <w:hideMark/>
          </w:tcPr>
          <w:p w14:paraId="2FFA7BB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769126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2DBF336" w14:textId="77777777" w:rsidTr="00E16711">
        <w:trPr>
          <w:trHeight w:val="1056"/>
        </w:trPr>
        <w:tc>
          <w:tcPr>
            <w:tcW w:w="205" w:type="pct"/>
            <w:shd w:val="clear" w:color="auto" w:fill="F2F2F2"/>
            <w:noWrap/>
            <w:hideMark/>
          </w:tcPr>
          <w:p w14:paraId="194131D6" w14:textId="77777777" w:rsidR="00395D01" w:rsidRPr="00912996" w:rsidRDefault="00395D01" w:rsidP="00292396">
            <w:pPr>
              <w:rPr>
                <w:rFonts w:ascii="Calibri" w:hAnsi="Calibri"/>
                <w:bCs/>
                <w:lang w:eastAsia="ja-JP"/>
              </w:rPr>
            </w:pPr>
            <w:r w:rsidRPr="00912996">
              <w:rPr>
                <w:rFonts w:ascii="Calibri" w:hAnsi="Calibri"/>
                <w:bCs/>
                <w:lang w:eastAsia="ja-JP"/>
              </w:rPr>
              <w:t>25</w:t>
            </w:r>
          </w:p>
        </w:tc>
        <w:tc>
          <w:tcPr>
            <w:tcW w:w="1018" w:type="pct"/>
            <w:gridSpan w:val="2"/>
            <w:shd w:val="clear" w:color="auto" w:fill="F2F2F2"/>
            <w:hideMark/>
          </w:tcPr>
          <w:p w14:paraId="7521A4DF" w14:textId="77777777" w:rsidR="00395D01" w:rsidRPr="00912996" w:rsidRDefault="00395D01" w:rsidP="00292396">
            <w:pPr>
              <w:rPr>
                <w:rFonts w:ascii="Calibri" w:hAnsi="Calibri"/>
                <w:bCs/>
                <w:lang w:eastAsia="ja-JP"/>
              </w:rPr>
            </w:pPr>
            <w:r w:rsidRPr="00912996">
              <w:rPr>
                <w:rFonts w:ascii="Calibri" w:hAnsi="Calibri"/>
                <w:bCs/>
                <w:lang w:eastAsia="ja-JP"/>
              </w:rPr>
              <w:t>Proiect de monitorizare a tranziției de la educație și formare profesională la piața muncii prin crearea unei baze de date permanente</w:t>
            </w:r>
          </w:p>
        </w:tc>
        <w:tc>
          <w:tcPr>
            <w:tcW w:w="640" w:type="pct"/>
            <w:shd w:val="clear" w:color="auto" w:fill="F2F2F2"/>
            <w:hideMark/>
          </w:tcPr>
          <w:p w14:paraId="26BEFFD1" w14:textId="77777777" w:rsidR="00395D01" w:rsidRPr="00912996" w:rsidRDefault="00395D01" w:rsidP="00292396">
            <w:pPr>
              <w:rPr>
                <w:rFonts w:ascii="Calibri" w:hAnsi="Calibri"/>
                <w:bCs/>
                <w:lang w:eastAsia="ja-JP"/>
              </w:rPr>
            </w:pPr>
            <w:r w:rsidRPr="00912996">
              <w:rPr>
                <w:rFonts w:ascii="Calibri" w:hAnsi="Calibri"/>
                <w:bCs/>
                <w:lang w:eastAsia="ja-JP"/>
              </w:rPr>
              <w:t>PS2, ISMB S2, Asociația Patronatelor</w:t>
            </w:r>
          </w:p>
        </w:tc>
        <w:tc>
          <w:tcPr>
            <w:tcW w:w="507" w:type="pct"/>
            <w:shd w:val="clear" w:color="auto" w:fill="F2F2F2"/>
            <w:hideMark/>
          </w:tcPr>
          <w:p w14:paraId="0868B1B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375B90E"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46491B30" w14:textId="77777777" w:rsidR="00395D01" w:rsidRPr="00912996" w:rsidRDefault="00395D01" w:rsidP="00292396">
            <w:pPr>
              <w:rPr>
                <w:rFonts w:ascii="Calibri" w:hAnsi="Calibri"/>
                <w:bCs/>
                <w:lang w:eastAsia="ja-JP"/>
              </w:rPr>
            </w:pPr>
            <w:r w:rsidRPr="00912996">
              <w:rPr>
                <w:rFonts w:ascii="Calibri" w:hAnsi="Calibri"/>
                <w:bCs/>
                <w:lang w:eastAsia="ja-JP"/>
              </w:rPr>
              <w:t>67,806</w:t>
            </w:r>
          </w:p>
        </w:tc>
        <w:tc>
          <w:tcPr>
            <w:tcW w:w="347" w:type="pct"/>
            <w:shd w:val="clear" w:color="auto" w:fill="F2F2F2"/>
            <w:hideMark/>
          </w:tcPr>
          <w:p w14:paraId="7DA4D6C0"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37CF8D8B"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3075E8D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6721D5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17F627C" w14:textId="77777777" w:rsidTr="00E16711">
        <w:trPr>
          <w:trHeight w:val="792"/>
        </w:trPr>
        <w:tc>
          <w:tcPr>
            <w:tcW w:w="205" w:type="pct"/>
            <w:shd w:val="clear" w:color="auto" w:fill="F2F2F2"/>
            <w:noWrap/>
            <w:hideMark/>
          </w:tcPr>
          <w:p w14:paraId="5B0E3455" w14:textId="77777777" w:rsidR="00395D01" w:rsidRPr="00912996" w:rsidRDefault="00395D01" w:rsidP="00292396">
            <w:pPr>
              <w:rPr>
                <w:rFonts w:ascii="Calibri" w:hAnsi="Calibri"/>
                <w:bCs/>
                <w:lang w:eastAsia="ja-JP"/>
              </w:rPr>
            </w:pPr>
            <w:r w:rsidRPr="00912996">
              <w:rPr>
                <w:rFonts w:ascii="Calibri" w:hAnsi="Calibri"/>
                <w:bCs/>
                <w:lang w:eastAsia="ja-JP"/>
              </w:rPr>
              <w:t>26</w:t>
            </w:r>
          </w:p>
        </w:tc>
        <w:tc>
          <w:tcPr>
            <w:tcW w:w="1018" w:type="pct"/>
            <w:gridSpan w:val="2"/>
            <w:shd w:val="clear" w:color="auto" w:fill="F2F2F2"/>
            <w:hideMark/>
          </w:tcPr>
          <w:p w14:paraId="4AFA994A" w14:textId="77777777" w:rsidR="00395D01" w:rsidRPr="00912996" w:rsidRDefault="00395D01" w:rsidP="00292396">
            <w:pPr>
              <w:rPr>
                <w:rFonts w:ascii="Calibri" w:hAnsi="Calibri"/>
                <w:bCs/>
                <w:lang w:eastAsia="ja-JP"/>
              </w:rPr>
            </w:pPr>
            <w:r w:rsidRPr="00912996">
              <w:rPr>
                <w:rFonts w:ascii="Calibri" w:hAnsi="Calibri"/>
                <w:bCs/>
                <w:lang w:eastAsia="ja-JP"/>
              </w:rPr>
              <w:t>Sprijin financiar pentru elevii ce provin din grupuri dezavantajate care urmează învățământul liceal și universitar</w:t>
            </w:r>
          </w:p>
        </w:tc>
        <w:tc>
          <w:tcPr>
            <w:tcW w:w="640" w:type="pct"/>
            <w:shd w:val="clear" w:color="auto" w:fill="F2F2F2"/>
            <w:hideMark/>
          </w:tcPr>
          <w:p w14:paraId="0AD781C1" w14:textId="77777777" w:rsidR="00395D01" w:rsidRPr="00912996" w:rsidRDefault="00395D01" w:rsidP="00292396">
            <w:pPr>
              <w:rPr>
                <w:rFonts w:ascii="Calibri" w:hAnsi="Calibri"/>
                <w:bCs/>
                <w:lang w:eastAsia="ja-JP"/>
              </w:rPr>
            </w:pPr>
            <w:r w:rsidRPr="00912996">
              <w:rPr>
                <w:rFonts w:ascii="Calibri" w:hAnsi="Calibri"/>
                <w:bCs/>
                <w:lang w:eastAsia="ja-JP"/>
              </w:rPr>
              <w:t>PS2, ISMB S2, Ministerul Educației</w:t>
            </w:r>
          </w:p>
        </w:tc>
        <w:tc>
          <w:tcPr>
            <w:tcW w:w="507" w:type="pct"/>
            <w:shd w:val="clear" w:color="auto" w:fill="F2F2F2"/>
            <w:hideMark/>
          </w:tcPr>
          <w:p w14:paraId="089982B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43933ED" w14:textId="77777777" w:rsidR="00395D01" w:rsidRPr="00912996" w:rsidRDefault="00395D01" w:rsidP="00292396">
            <w:pPr>
              <w:rPr>
                <w:rFonts w:ascii="Calibri" w:hAnsi="Calibri"/>
                <w:bCs/>
                <w:lang w:eastAsia="ja-JP"/>
              </w:rPr>
            </w:pPr>
            <w:r w:rsidRPr="00912996">
              <w:rPr>
                <w:rFonts w:ascii="Calibri" w:hAnsi="Calibri"/>
                <w:bCs/>
                <w:lang w:eastAsia="ja-JP"/>
              </w:rPr>
              <w:t>443,000</w:t>
            </w:r>
          </w:p>
        </w:tc>
        <w:tc>
          <w:tcPr>
            <w:tcW w:w="411" w:type="pct"/>
            <w:shd w:val="clear" w:color="auto" w:fill="F2F2F2"/>
            <w:hideMark/>
          </w:tcPr>
          <w:p w14:paraId="2189C578" w14:textId="77777777" w:rsidR="00395D01" w:rsidRPr="00912996" w:rsidRDefault="00395D01" w:rsidP="00292396">
            <w:pPr>
              <w:rPr>
                <w:rFonts w:ascii="Calibri" w:hAnsi="Calibri"/>
                <w:bCs/>
                <w:lang w:eastAsia="ja-JP"/>
              </w:rPr>
            </w:pPr>
            <w:r w:rsidRPr="00912996">
              <w:rPr>
                <w:rFonts w:ascii="Calibri" w:hAnsi="Calibri"/>
                <w:bCs/>
                <w:lang w:eastAsia="ja-JP"/>
              </w:rPr>
              <w:t>90,408</w:t>
            </w:r>
          </w:p>
        </w:tc>
        <w:tc>
          <w:tcPr>
            <w:tcW w:w="347" w:type="pct"/>
            <w:shd w:val="clear" w:color="auto" w:fill="F2F2F2"/>
            <w:hideMark/>
          </w:tcPr>
          <w:p w14:paraId="3D69532D"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0CA8C33C"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41569F2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3236FA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D96D7C6" w14:textId="77777777" w:rsidTr="00E16711">
        <w:trPr>
          <w:trHeight w:val="1056"/>
        </w:trPr>
        <w:tc>
          <w:tcPr>
            <w:tcW w:w="205" w:type="pct"/>
            <w:shd w:val="clear" w:color="auto" w:fill="F2F2F2"/>
            <w:noWrap/>
            <w:hideMark/>
          </w:tcPr>
          <w:p w14:paraId="3EF222D0" w14:textId="77777777" w:rsidR="00395D01" w:rsidRPr="00912996" w:rsidRDefault="00395D01" w:rsidP="00292396">
            <w:pPr>
              <w:rPr>
                <w:rFonts w:ascii="Calibri" w:hAnsi="Calibri"/>
                <w:bCs/>
                <w:lang w:eastAsia="ja-JP"/>
              </w:rPr>
            </w:pPr>
            <w:r w:rsidRPr="00912996">
              <w:rPr>
                <w:rFonts w:ascii="Calibri" w:hAnsi="Calibri"/>
                <w:bCs/>
                <w:lang w:eastAsia="ja-JP"/>
              </w:rPr>
              <w:t>27</w:t>
            </w:r>
          </w:p>
        </w:tc>
        <w:tc>
          <w:tcPr>
            <w:tcW w:w="1018" w:type="pct"/>
            <w:gridSpan w:val="2"/>
            <w:shd w:val="clear" w:color="auto" w:fill="F2F2F2"/>
            <w:hideMark/>
          </w:tcPr>
          <w:p w14:paraId="6A2E5176" w14:textId="77777777" w:rsidR="00395D01" w:rsidRPr="00912996" w:rsidRDefault="00395D01" w:rsidP="00292396">
            <w:pPr>
              <w:rPr>
                <w:rFonts w:ascii="Calibri" w:hAnsi="Calibri"/>
                <w:bCs/>
                <w:lang w:eastAsia="ja-JP"/>
              </w:rPr>
            </w:pPr>
            <w:r w:rsidRPr="00912996">
              <w:rPr>
                <w:rFonts w:ascii="Calibri" w:hAnsi="Calibri"/>
                <w:bCs/>
                <w:lang w:eastAsia="ja-JP"/>
              </w:rPr>
              <w:t>Proiect “A doua șansă” de încurajare a participării la educație și instruire pe tot parcursul vieții a persoanelor din categorii dezavantajate</w:t>
            </w:r>
          </w:p>
        </w:tc>
        <w:tc>
          <w:tcPr>
            <w:tcW w:w="640" w:type="pct"/>
            <w:shd w:val="clear" w:color="auto" w:fill="F2F2F2"/>
            <w:hideMark/>
          </w:tcPr>
          <w:p w14:paraId="0DF81C26" w14:textId="77777777" w:rsidR="00395D01" w:rsidRPr="00912996" w:rsidRDefault="00395D01" w:rsidP="00292396">
            <w:pPr>
              <w:rPr>
                <w:rFonts w:ascii="Calibri" w:hAnsi="Calibri"/>
                <w:bCs/>
                <w:lang w:eastAsia="ja-JP"/>
              </w:rPr>
            </w:pPr>
            <w:r w:rsidRPr="00912996">
              <w:rPr>
                <w:rFonts w:ascii="Calibri" w:hAnsi="Calibri"/>
                <w:bCs/>
                <w:lang w:eastAsia="ja-JP"/>
              </w:rPr>
              <w:t>PS2, ISMB S2, DGASPC</w:t>
            </w:r>
          </w:p>
        </w:tc>
        <w:tc>
          <w:tcPr>
            <w:tcW w:w="507" w:type="pct"/>
            <w:shd w:val="clear" w:color="auto" w:fill="F2F2F2"/>
            <w:hideMark/>
          </w:tcPr>
          <w:p w14:paraId="025C901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4104AE6" w14:textId="77777777" w:rsidR="00395D01" w:rsidRPr="00912996" w:rsidRDefault="00395D01" w:rsidP="00292396">
            <w:pPr>
              <w:rPr>
                <w:rFonts w:ascii="Calibri" w:hAnsi="Calibri"/>
                <w:bCs/>
                <w:lang w:eastAsia="ja-JP"/>
              </w:rPr>
            </w:pPr>
            <w:r w:rsidRPr="00912996">
              <w:rPr>
                <w:rFonts w:ascii="Calibri" w:hAnsi="Calibri"/>
                <w:bCs/>
                <w:lang w:eastAsia="ja-JP"/>
              </w:rPr>
              <w:t>2,215,000</w:t>
            </w:r>
          </w:p>
        </w:tc>
        <w:tc>
          <w:tcPr>
            <w:tcW w:w="411" w:type="pct"/>
            <w:shd w:val="clear" w:color="auto" w:fill="F2F2F2"/>
            <w:hideMark/>
          </w:tcPr>
          <w:p w14:paraId="70162827" w14:textId="77777777" w:rsidR="00395D01" w:rsidRPr="00912996" w:rsidRDefault="00395D01" w:rsidP="00292396">
            <w:pPr>
              <w:rPr>
                <w:rFonts w:ascii="Calibri" w:hAnsi="Calibri"/>
                <w:bCs/>
                <w:lang w:eastAsia="ja-JP"/>
              </w:rPr>
            </w:pPr>
            <w:r w:rsidRPr="00912996">
              <w:rPr>
                <w:rFonts w:ascii="Calibri" w:hAnsi="Calibri"/>
                <w:bCs/>
                <w:lang w:eastAsia="ja-JP"/>
              </w:rPr>
              <w:t>452,041</w:t>
            </w:r>
          </w:p>
        </w:tc>
        <w:tc>
          <w:tcPr>
            <w:tcW w:w="347" w:type="pct"/>
            <w:shd w:val="clear" w:color="auto" w:fill="F2F2F2"/>
            <w:hideMark/>
          </w:tcPr>
          <w:p w14:paraId="1D0F65C4"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72BFE4F2" w14:textId="77777777" w:rsidR="00395D01" w:rsidRPr="00912996" w:rsidRDefault="00395D01" w:rsidP="00292396">
            <w:pPr>
              <w:rPr>
                <w:rFonts w:ascii="Calibri" w:hAnsi="Calibri"/>
                <w:bCs/>
                <w:lang w:eastAsia="ja-JP"/>
              </w:rPr>
            </w:pPr>
            <w:r w:rsidRPr="00912996">
              <w:rPr>
                <w:rFonts w:ascii="Calibri" w:hAnsi="Calibri"/>
                <w:bCs/>
                <w:lang w:eastAsia="ja-JP"/>
              </w:rPr>
              <w:t>POEO P6, Bugetul local, Alte surse de finanțare</w:t>
            </w:r>
          </w:p>
        </w:tc>
        <w:tc>
          <w:tcPr>
            <w:tcW w:w="433" w:type="pct"/>
            <w:shd w:val="clear" w:color="auto" w:fill="F2F2F2"/>
            <w:hideMark/>
          </w:tcPr>
          <w:p w14:paraId="46BF027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8CE4E1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BBFB86C" w14:textId="77777777" w:rsidTr="00E16711">
        <w:trPr>
          <w:trHeight w:val="1320"/>
        </w:trPr>
        <w:tc>
          <w:tcPr>
            <w:tcW w:w="205" w:type="pct"/>
            <w:shd w:val="clear" w:color="auto" w:fill="F2F2F2"/>
            <w:noWrap/>
            <w:hideMark/>
          </w:tcPr>
          <w:p w14:paraId="6EE06D5E" w14:textId="77777777" w:rsidR="00395D01" w:rsidRPr="00912996" w:rsidRDefault="00395D01" w:rsidP="00292396">
            <w:pPr>
              <w:rPr>
                <w:rFonts w:ascii="Calibri" w:hAnsi="Calibri"/>
                <w:bCs/>
                <w:lang w:eastAsia="ja-JP"/>
              </w:rPr>
            </w:pPr>
            <w:r w:rsidRPr="00912996">
              <w:rPr>
                <w:rFonts w:ascii="Calibri" w:hAnsi="Calibri"/>
                <w:bCs/>
                <w:lang w:eastAsia="ja-JP"/>
              </w:rPr>
              <w:t>28</w:t>
            </w:r>
          </w:p>
        </w:tc>
        <w:tc>
          <w:tcPr>
            <w:tcW w:w="1018" w:type="pct"/>
            <w:gridSpan w:val="2"/>
            <w:shd w:val="clear" w:color="auto" w:fill="F2F2F2"/>
            <w:hideMark/>
          </w:tcPr>
          <w:p w14:paraId="32D08FF5" w14:textId="77777777" w:rsidR="00395D01" w:rsidRPr="00912996" w:rsidRDefault="00395D01" w:rsidP="00292396">
            <w:pPr>
              <w:rPr>
                <w:rFonts w:ascii="Calibri" w:hAnsi="Calibri"/>
                <w:bCs/>
                <w:lang w:eastAsia="ja-JP"/>
              </w:rPr>
            </w:pPr>
            <w:r w:rsidRPr="00912996">
              <w:rPr>
                <w:rFonts w:ascii="Calibri" w:hAnsi="Calibri"/>
                <w:bCs/>
                <w:lang w:eastAsia="ja-JP"/>
              </w:rPr>
              <w:t>Derularea unor campanii pentru informarea, prevenirea și conștientizarea în școală, familie și comunitate a riscului efectelor consumului de substanțe care creează dependență</w:t>
            </w:r>
          </w:p>
        </w:tc>
        <w:tc>
          <w:tcPr>
            <w:tcW w:w="640" w:type="pct"/>
            <w:shd w:val="clear" w:color="auto" w:fill="F2F2F2"/>
            <w:hideMark/>
          </w:tcPr>
          <w:p w14:paraId="062F778F" w14:textId="77777777" w:rsidR="00395D01" w:rsidRPr="00912996" w:rsidRDefault="00395D01" w:rsidP="00292396">
            <w:pPr>
              <w:rPr>
                <w:rFonts w:ascii="Calibri" w:hAnsi="Calibri"/>
                <w:bCs/>
                <w:lang w:eastAsia="ja-JP"/>
              </w:rPr>
            </w:pPr>
            <w:r w:rsidRPr="00912996">
              <w:rPr>
                <w:rFonts w:ascii="Calibri" w:hAnsi="Calibri"/>
                <w:bCs/>
                <w:lang w:eastAsia="ja-JP"/>
              </w:rPr>
              <w:t>PS2, ISMB S2, ANA</w:t>
            </w:r>
          </w:p>
        </w:tc>
        <w:tc>
          <w:tcPr>
            <w:tcW w:w="507" w:type="pct"/>
            <w:shd w:val="clear" w:color="auto" w:fill="F2F2F2"/>
            <w:hideMark/>
          </w:tcPr>
          <w:p w14:paraId="660A5C5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685B366" w14:textId="77777777" w:rsidR="00395D01" w:rsidRPr="00912996" w:rsidRDefault="00395D01" w:rsidP="00292396">
            <w:pPr>
              <w:rPr>
                <w:rFonts w:ascii="Calibri" w:hAnsi="Calibri"/>
                <w:bCs/>
                <w:lang w:eastAsia="ja-JP"/>
              </w:rPr>
            </w:pPr>
            <w:r w:rsidRPr="00912996">
              <w:rPr>
                <w:rFonts w:ascii="Calibri" w:hAnsi="Calibri"/>
                <w:bCs/>
                <w:lang w:eastAsia="ja-JP"/>
              </w:rPr>
              <w:t>88,600</w:t>
            </w:r>
          </w:p>
        </w:tc>
        <w:tc>
          <w:tcPr>
            <w:tcW w:w="411" w:type="pct"/>
            <w:shd w:val="clear" w:color="auto" w:fill="F2F2F2"/>
            <w:hideMark/>
          </w:tcPr>
          <w:p w14:paraId="42402D91" w14:textId="77777777" w:rsidR="00395D01" w:rsidRPr="00912996" w:rsidRDefault="00395D01" w:rsidP="00292396">
            <w:pPr>
              <w:rPr>
                <w:rFonts w:ascii="Calibri" w:hAnsi="Calibri"/>
                <w:bCs/>
                <w:lang w:eastAsia="ja-JP"/>
              </w:rPr>
            </w:pPr>
            <w:r w:rsidRPr="00912996">
              <w:rPr>
                <w:rFonts w:ascii="Calibri" w:hAnsi="Calibri"/>
                <w:bCs/>
                <w:lang w:eastAsia="ja-JP"/>
              </w:rPr>
              <w:t>18,082</w:t>
            </w:r>
          </w:p>
        </w:tc>
        <w:tc>
          <w:tcPr>
            <w:tcW w:w="347" w:type="pct"/>
            <w:shd w:val="clear" w:color="auto" w:fill="F2F2F2"/>
            <w:hideMark/>
          </w:tcPr>
          <w:p w14:paraId="3320E187"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0F78C752"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7834F0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37ADEB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8AD8E72" w14:textId="77777777" w:rsidTr="00E16711">
        <w:trPr>
          <w:trHeight w:val="620"/>
        </w:trPr>
        <w:tc>
          <w:tcPr>
            <w:tcW w:w="205" w:type="pct"/>
            <w:shd w:val="clear" w:color="auto" w:fill="F2F2F2"/>
            <w:noWrap/>
            <w:hideMark/>
          </w:tcPr>
          <w:p w14:paraId="1512F741" w14:textId="77777777" w:rsidR="00395D01" w:rsidRPr="00912996" w:rsidRDefault="00395D01" w:rsidP="00292396">
            <w:pPr>
              <w:rPr>
                <w:rFonts w:ascii="Calibri" w:hAnsi="Calibri"/>
                <w:bCs/>
                <w:lang w:eastAsia="ja-JP"/>
              </w:rPr>
            </w:pPr>
            <w:r w:rsidRPr="00912996">
              <w:rPr>
                <w:rFonts w:ascii="Calibri" w:hAnsi="Calibri"/>
                <w:bCs/>
                <w:lang w:eastAsia="ja-JP"/>
              </w:rPr>
              <w:t>29</w:t>
            </w:r>
          </w:p>
        </w:tc>
        <w:tc>
          <w:tcPr>
            <w:tcW w:w="1018" w:type="pct"/>
            <w:gridSpan w:val="2"/>
            <w:shd w:val="clear" w:color="auto" w:fill="F2F2F2"/>
            <w:hideMark/>
          </w:tcPr>
          <w:p w14:paraId="13A4414C" w14:textId="77777777" w:rsidR="00395D01" w:rsidRPr="00912996" w:rsidRDefault="00395D01" w:rsidP="00292396">
            <w:pPr>
              <w:rPr>
                <w:rFonts w:ascii="Calibri" w:hAnsi="Calibri"/>
                <w:bCs/>
                <w:lang w:eastAsia="ja-JP"/>
              </w:rPr>
            </w:pPr>
            <w:r w:rsidRPr="00912996">
              <w:rPr>
                <w:rFonts w:ascii="Calibri" w:hAnsi="Calibri"/>
                <w:bCs/>
                <w:lang w:eastAsia="ja-JP"/>
              </w:rPr>
              <w:t>Centru metropolitan dedicat învățământului profesional dual</w:t>
            </w:r>
          </w:p>
        </w:tc>
        <w:tc>
          <w:tcPr>
            <w:tcW w:w="640" w:type="pct"/>
            <w:shd w:val="clear" w:color="auto" w:fill="F2F2F2"/>
            <w:hideMark/>
          </w:tcPr>
          <w:p w14:paraId="1F69BB6E" w14:textId="77777777" w:rsidR="00395D01" w:rsidRPr="00912996" w:rsidRDefault="00395D01" w:rsidP="00292396">
            <w:pPr>
              <w:rPr>
                <w:rFonts w:ascii="Calibri" w:hAnsi="Calibri"/>
                <w:bCs/>
                <w:lang w:eastAsia="ja-JP"/>
              </w:rPr>
            </w:pPr>
            <w:r w:rsidRPr="00912996">
              <w:rPr>
                <w:rFonts w:ascii="Calibri" w:hAnsi="Calibri"/>
                <w:bCs/>
                <w:lang w:eastAsia="ja-JP"/>
              </w:rPr>
              <w:t>PS2, PMB, ISMB</w:t>
            </w:r>
          </w:p>
        </w:tc>
        <w:tc>
          <w:tcPr>
            <w:tcW w:w="507" w:type="pct"/>
            <w:shd w:val="clear" w:color="auto" w:fill="F2F2F2"/>
            <w:hideMark/>
          </w:tcPr>
          <w:p w14:paraId="364834F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B25B970" w14:textId="77777777" w:rsidR="00395D01" w:rsidRPr="00912996" w:rsidRDefault="00395D01" w:rsidP="00292396">
            <w:pPr>
              <w:rPr>
                <w:rFonts w:ascii="Calibri" w:hAnsi="Calibri"/>
                <w:bCs/>
                <w:lang w:eastAsia="ja-JP"/>
              </w:rPr>
            </w:pPr>
            <w:r w:rsidRPr="00912996">
              <w:rPr>
                <w:rFonts w:ascii="Calibri" w:hAnsi="Calibri"/>
                <w:bCs/>
                <w:lang w:eastAsia="ja-JP"/>
              </w:rPr>
              <w:t>49,000,000</w:t>
            </w:r>
          </w:p>
        </w:tc>
        <w:tc>
          <w:tcPr>
            <w:tcW w:w="411" w:type="pct"/>
            <w:shd w:val="clear" w:color="auto" w:fill="F2F2F2"/>
            <w:hideMark/>
          </w:tcPr>
          <w:p w14:paraId="4147A3E7" w14:textId="77777777" w:rsidR="00395D01" w:rsidRPr="00912996" w:rsidRDefault="00395D01" w:rsidP="00292396">
            <w:pPr>
              <w:rPr>
                <w:rFonts w:ascii="Calibri" w:hAnsi="Calibri"/>
                <w:bCs/>
                <w:lang w:eastAsia="ja-JP"/>
              </w:rPr>
            </w:pPr>
            <w:r w:rsidRPr="00912996">
              <w:rPr>
                <w:rFonts w:ascii="Calibri" w:hAnsi="Calibri"/>
                <w:bCs/>
                <w:lang w:eastAsia="ja-JP"/>
              </w:rPr>
              <w:t>10,000,000</w:t>
            </w:r>
          </w:p>
        </w:tc>
        <w:tc>
          <w:tcPr>
            <w:tcW w:w="347" w:type="pct"/>
            <w:shd w:val="clear" w:color="auto" w:fill="F2F2F2"/>
            <w:hideMark/>
          </w:tcPr>
          <w:p w14:paraId="7467A0D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6917234" w14:textId="77777777" w:rsidR="00395D01" w:rsidRPr="00912996" w:rsidRDefault="00395D01" w:rsidP="00292396">
            <w:pPr>
              <w:rPr>
                <w:rFonts w:ascii="Calibri" w:hAnsi="Calibri"/>
                <w:bCs/>
                <w:lang w:eastAsia="ja-JP"/>
              </w:rPr>
            </w:pPr>
            <w:r w:rsidRPr="00912996">
              <w:rPr>
                <w:rFonts w:ascii="Calibri" w:hAnsi="Calibri"/>
                <w:bCs/>
                <w:lang w:eastAsia="ja-JP"/>
              </w:rPr>
              <w:t>PNRR C15, Bugetul local, Alte surse de finanțare</w:t>
            </w:r>
          </w:p>
        </w:tc>
        <w:tc>
          <w:tcPr>
            <w:tcW w:w="433" w:type="pct"/>
            <w:shd w:val="clear" w:color="auto" w:fill="F2F2F2"/>
            <w:hideMark/>
          </w:tcPr>
          <w:p w14:paraId="54D70D88"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92EEFA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284949B" w14:textId="77777777" w:rsidTr="00E16711">
        <w:trPr>
          <w:trHeight w:val="792"/>
        </w:trPr>
        <w:tc>
          <w:tcPr>
            <w:tcW w:w="205" w:type="pct"/>
            <w:shd w:val="clear" w:color="auto" w:fill="F2F2F2"/>
            <w:noWrap/>
            <w:hideMark/>
          </w:tcPr>
          <w:p w14:paraId="353E9A02" w14:textId="77777777" w:rsidR="00395D01" w:rsidRPr="00912996" w:rsidRDefault="00395D01" w:rsidP="00292396">
            <w:pPr>
              <w:rPr>
                <w:rFonts w:ascii="Calibri" w:hAnsi="Calibri"/>
                <w:bCs/>
                <w:lang w:eastAsia="ja-JP"/>
              </w:rPr>
            </w:pPr>
            <w:r w:rsidRPr="00912996">
              <w:rPr>
                <w:rFonts w:ascii="Calibri" w:hAnsi="Calibri"/>
                <w:bCs/>
                <w:lang w:eastAsia="ja-JP"/>
              </w:rPr>
              <w:t>30</w:t>
            </w:r>
          </w:p>
        </w:tc>
        <w:tc>
          <w:tcPr>
            <w:tcW w:w="1018" w:type="pct"/>
            <w:gridSpan w:val="2"/>
            <w:shd w:val="clear" w:color="auto" w:fill="F2F2F2"/>
            <w:hideMark/>
          </w:tcPr>
          <w:p w14:paraId="3DA71C76" w14:textId="77777777" w:rsidR="00395D01" w:rsidRPr="00912996" w:rsidRDefault="00395D01" w:rsidP="00292396">
            <w:pPr>
              <w:rPr>
                <w:rFonts w:ascii="Calibri" w:hAnsi="Calibri"/>
                <w:bCs/>
                <w:lang w:eastAsia="ja-JP"/>
              </w:rPr>
            </w:pPr>
            <w:r w:rsidRPr="00912996">
              <w:rPr>
                <w:rFonts w:ascii="Calibri" w:hAnsi="Calibri"/>
                <w:bCs/>
                <w:lang w:eastAsia="ja-JP"/>
              </w:rPr>
              <w:t>Dezvoltarea de programe în parteneriat cu unitățile de învățământ în vederea susținerii participării la educație</w:t>
            </w:r>
          </w:p>
        </w:tc>
        <w:tc>
          <w:tcPr>
            <w:tcW w:w="640" w:type="pct"/>
            <w:shd w:val="clear" w:color="auto" w:fill="F2F2F2"/>
            <w:hideMark/>
          </w:tcPr>
          <w:p w14:paraId="4EFBBD9F" w14:textId="77777777" w:rsidR="00395D01" w:rsidRPr="00912996" w:rsidRDefault="00395D01" w:rsidP="00292396">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ONG</w:t>
            </w:r>
            <w:r>
              <w:rPr>
                <w:rFonts w:ascii="Calibri" w:hAnsi="Calibri"/>
                <w:bCs/>
                <w:lang w:eastAsia="ja-JP"/>
              </w:rPr>
              <w:t xml:space="preserve">, </w:t>
            </w:r>
            <w:r w:rsidRPr="00912996">
              <w:rPr>
                <w:rFonts w:ascii="Calibri" w:hAnsi="Calibri"/>
                <w:bCs/>
                <w:lang w:eastAsia="ja-JP"/>
              </w:rPr>
              <w:t>Instituții de învățământ</w:t>
            </w:r>
          </w:p>
        </w:tc>
        <w:tc>
          <w:tcPr>
            <w:tcW w:w="507" w:type="pct"/>
            <w:shd w:val="clear" w:color="auto" w:fill="F2F2F2"/>
            <w:hideMark/>
          </w:tcPr>
          <w:p w14:paraId="2AA6660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CA548FA"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7BED7343"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5F6BC66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4A64696" w14:textId="77777777" w:rsidR="00395D01" w:rsidRPr="00912996" w:rsidRDefault="00395D01" w:rsidP="00292396">
            <w:pPr>
              <w:rPr>
                <w:rFonts w:ascii="Calibri" w:hAnsi="Calibri"/>
                <w:bCs/>
                <w:lang w:eastAsia="ja-JP"/>
              </w:rPr>
            </w:pPr>
            <w:r w:rsidRPr="00912996">
              <w:rPr>
                <w:rFonts w:ascii="Calibri" w:hAnsi="Calibri"/>
                <w:bCs/>
                <w:lang w:eastAsia="ja-JP"/>
              </w:rPr>
              <w:t>POEO 2021-2027 P7-P8, Bugetul local, Alte surse de finanțare</w:t>
            </w:r>
          </w:p>
        </w:tc>
        <w:tc>
          <w:tcPr>
            <w:tcW w:w="433" w:type="pct"/>
            <w:shd w:val="clear" w:color="auto" w:fill="F2F2F2"/>
            <w:hideMark/>
          </w:tcPr>
          <w:p w14:paraId="39EED00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9B010E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E36B75A" w14:textId="77777777" w:rsidTr="00E16711">
        <w:trPr>
          <w:trHeight w:val="792"/>
        </w:trPr>
        <w:tc>
          <w:tcPr>
            <w:tcW w:w="205" w:type="pct"/>
            <w:shd w:val="clear" w:color="auto" w:fill="F2F2F2"/>
            <w:noWrap/>
            <w:hideMark/>
          </w:tcPr>
          <w:p w14:paraId="0345C45F" w14:textId="77777777" w:rsidR="00395D01" w:rsidRPr="00912996" w:rsidRDefault="00395D01" w:rsidP="00292396">
            <w:pPr>
              <w:rPr>
                <w:rFonts w:ascii="Calibri" w:hAnsi="Calibri"/>
                <w:bCs/>
                <w:lang w:eastAsia="ja-JP"/>
              </w:rPr>
            </w:pPr>
            <w:r w:rsidRPr="00912996">
              <w:rPr>
                <w:rFonts w:ascii="Calibri" w:hAnsi="Calibri"/>
                <w:bCs/>
                <w:lang w:eastAsia="ja-JP"/>
              </w:rPr>
              <w:t>31</w:t>
            </w:r>
          </w:p>
        </w:tc>
        <w:tc>
          <w:tcPr>
            <w:tcW w:w="1018" w:type="pct"/>
            <w:gridSpan w:val="2"/>
            <w:shd w:val="clear" w:color="auto" w:fill="F2F2F2"/>
            <w:hideMark/>
          </w:tcPr>
          <w:p w14:paraId="268B1D9F" w14:textId="77777777" w:rsidR="00395D01" w:rsidRPr="00912996" w:rsidRDefault="00395D01" w:rsidP="00292396">
            <w:pPr>
              <w:rPr>
                <w:rFonts w:ascii="Calibri" w:hAnsi="Calibri"/>
                <w:bCs/>
                <w:lang w:eastAsia="ja-JP"/>
              </w:rPr>
            </w:pPr>
            <w:r w:rsidRPr="00912996">
              <w:rPr>
                <w:rFonts w:ascii="Calibri" w:hAnsi="Calibri"/>
                <w:bCs/>
                <w:lang w:eastAsia="ja-JP"/>
              </w:rPr>
              <w:t>Extinderea programului școlilor pana la ora 18 si asigurarea unei mese calde pentru elevi</w:t>
            </w:r>
          </w:p>
        </w:tc>
        <w:tc>
          <w:tcPr>
            <w:tcW w:w="640" w:type="pct"/>
            <w:shd w:val="clear" w:color="auto" w:fill="F2F2F2"/>
            <w:hideMark/>
          </w:tcPr>
          <w:p w14:paraId="41FC1D94"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00785D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BA56E9B" w14:textId="77777777" w:rsidR="00395D01" w:rsidRPr="00912996" w:rsidRDefault="00395D01" w:rsidP="00292396">
            <w:pPr>
              <w:rPr>
                <w:rFonts w:ascii="Calibri" w:hAnsi="Calibri"/>
                <w:bCs/>
                <w:lang w:eastAsia="ja-JP"/>
              </w:rPr>
            </w:pPr>
            <w:r w:rsidRPr="00912996">
              <w:rPr>
                <w:rFonts w:ascii="Calibri" w:hAnsi="Calibri"/>
                <w:bCs/>
                <w:lang w:eastAsia="ja-JP"/>
              </w:rPr>
              <w:t>1,225,000</w:t>
            </w:r>
          </w:p>
        </w:tc>
        <w:tc>
          <w:tcPr>
            <w:tcW w:w="411" w:type="pct"/>
            <w:shd w:val="clear" w:color="auto" w:fill="F2F2F2"/>
            <w:hideMark/>
          </w:tcPr>
          <w:p w14:paraId="5490F551" w14:textId="77777777" w:rsidR="00395D01" w:rsidRPr="00912996" w:rsidRDefault="00395D01" w:rsidP="00292396">
            <w:pPr>
              <w:rPr>
                <w:rFonts w:ascii="Calibri" w:hAnsi="Calibri"/>
                <w:bCs/>
                <w:lang w:eastAsia="ja-JP"/>
              </w:rPr>
            </w:pPr>
            <w:r w:rsidRPr="00912996">
              <w:rPr>
                <w:rFonts w:ascii="Calibri" w:hAnsi="Calibri"/>
                <w:bCs/>
                <w:lang w:eastAsia="ja-JP"/>
              </w:rPr>
              <w:t>250,000</w:t>
            </w:r>
          </w:p>
        </w:tc>
        <w:tc>
          <w:tcPr>
            <w:tcW w:w="347" w:type="pct"/>
            <w:shd w:val="clear" w:color="auto" w:fill="F2F2F2"/>
            <w:hideMark/>
          </w:tcPr>
          <w:p w14:paraId="5820171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221BD91"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43724E1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32A060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E88CF7A" w14:textId="77777777" w:rsidTr="00E16711">
        <w:trPr>
          <w:trHeight w:val="792"/>
        </w:trPr>
        <w:tc>
          <w:tcPr>
            <w:tcW w:w="205" w:type="pct"/>
            <w:shd w:val="clear" w:color="auto" w:fill="F2F2F2"/>
            <w:noWrap/>
            <w:hideMark/>
          </w:tcPr>
          <w:p w14:paraId="2424CBFE" w14:textId="77777777" w:rsidR="00395D01" w:rsidRPr="00912996" w:rsidRDefault="00395D01" w:rsidP="00292396">
            <w:pPr>
              <w:rPr>
                <w:rFonts w:ascii="Calibri" w:hAnsi="Calibri"/>
                <w:bCs/>
                <w:lang w:eastAsia="ja-JP"/>
              </w:rPr>
            </w:pPr>
            <w:r w:rsidRPr="00912996">
              <w:rPr>
                <w:rFonts w:ascii="Calibri" w:hAnsi="Calibri"/>
                <w:bCs/>
                <w:lang w:eastAsia="ja-JP"/>
              </w:rPr>
              <w:t>32</w:t>
            </w:r>
          </w:p>
        </w:tc>
        <w:tc>
          <w:tcPr>
            <w:tcW w:w="1018" w:type="pct"/>
            <w:gridSpan w:val="2"/>
            <w:shd w:val="clear" w:color="auto" w:fill="F2F2F2"/>
            <w:hideMark/>
          </w:tcPr>
          <w:p w14:paraId="32B29003" w14:textId="77777777" w:rsidR="00395D01" w:rsidRPr="00912996" w:rsidRDefault="00395D01" w:rsidP="00292396">
            <w:pPr>
              <w:rPr>
                <w:rFonts w:ascii="Calibri" w:hAnsi="Calibri"/>
                <w:bCs/>
                <w:lang w:eastAsia="ja-JP"/>
              </w:rPr>
            </w:pPr>
            <w:r w:rsidRPr="00912996">
              <w:rPr>
                <w:rFonts w:ascii="Calibri" w:hAnsi="Calibri"/>
                <w:bCs/>
                <w:lang w:eastAsia="ja-JP"/>
              </w:rPr>
              <w:t>Atragerea tinerilor talentați spre cariera de cercetare, prin organizarea de concursuri cu premii pentru soluții inovatoare</w:t>
            </w:r>
          </w:p>
        </w:tc>
        <w:tc>
          <w:tcPr>
            <w:tcW w:w="640" w:type="pct"/>
            <w:shd w:val="clear" w:color="auto" w:fill="F2F2F2"/>
            <w:hideMark/>
          </w:tcPr>
          <w:p w14:paraId="074B9A89"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A742C4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5D33D3D" w14:textId="77777777" w:rsidR="00395D01" w:rsidRPr="00912996" w:rsidRDefault="00395D01" w:rsidP="00292396">
            <w:pPr>
              <w:rPr>
                <w:rFonts w:ascii="Calibri" w:hAnsi="Calibri"/>
                <w:bCs/>
                <w:lang w:eastAsia="ja-JP"/>
              </w:rPr>
            </w:pPr>
            <w:r w:rsidRPr="00912996">
              <w:rPr>
                <w:rFonts w:ascii="Calibri" w:hAnsi="Calibri"/>
                <w:bCs/>
                <w:lang w:eastAsia="ja-JP"/>
              </w:rPr>
              <w:t>49,000</w:t>
            </w:r>
          </w:p>
        </w:tc>
        <w:tc>
          <w:tcPr>
            <w:tcW w:w="411" w:type="pct"/>
            <w:shd w:val="clear" w:color="auto" w:fill="F2F2F2"/>
            <w:hideMark/>
          </w:tcPr>
          <w:p w14:paraId="23E135D6" w14:textId="77777777" w:rsidR="00395D01" w:rsidRPr="00912996" w:rsidRDefault="00395D01" w:rsidP="00292396">
            <w:pPr>
              <w:rPr>
                <w:rFonts w:ascii="Calibri" w:hAnsi="Calibri"/>
                <w:bCs/>
                <w:lang w:eastAsia="ja-JP"/>
              </w:rPr>
            </w:pPr>
            <w:r w:rsidRPr="00912996">
              <w:rPr>
                <w:rFonts w:ascii="Calibri" w:hAnsi="Calibri"/>
                <w:bCs/>
                <w:lang w:eastAsia="ja-JP"/>
              </w:rPr>
              <w:t>10,000</w:t>
            </w:r>
          </w:p>
        </w:tc>
        <w:tc>
          <w:tcPr>
            <w:tcW w:w="347" w:type="pct"/>
            <w:shd w:val="clear" w:color="auto" w:fill="F2F2F2"/>
            <w:hideMark/>
          </w:tcPr>
          <w:p w14:paraId="11DB231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EDD123A"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21106C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23CB8C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769F05B" w14:textId="77777777" w:rsidTr="00E16711">
        <w:trPr>
          <w:trHeight w:val="528"/>
        </w:trPr>
        <w:tc>
          <w:tcPr>
            <w:tcW w:w="205" w:type="pct"/>
            <w:shd w:val="clear" w:color="auto" w:fill="F2F2F2"/>
            <w:noWrap/>
            <w:hideMark/>
          </w:tcPr>
          <w:p w14:paraId="118C75D5" w14:textId="77777777" w:rsidR="00395D01" w:rsidRPr="00912996" w:rsidRDefault="00395D01" w:rsidP="00292396">
            <w:pPr>
              <w:rPr>
                <w:rFonts w:ascii="Calibri" w:hAnsi="Calibri"/>
                <w:bCs/>
                <w:lang w:eastAsia="ja-JP"/>
              </w:rPr>
            </w:pPr>
            <w:r w:rsidRPr="00912996">
              <w:rPr>
                <w:rFonts w:ascii="Calibri" w:hAnsi="Calibri"/>
                <w:bCs/>
                <w:lang w:eastAsia="ja-JP"/>
              </w:rPr>
              <w:t>33</w:t>
            </w:r>
          </w:p>
        </w:tc>
        <w:tc>
          <w:tcPr>
            <w:tcW w:w="1018" w:type="pct"/>
            <w:gridSpan w:val="2"/>
            <w:shd w:val="clear" w:color="auto" w:fill="F2F2F2"/>
            <w:hideMark/>
          </w:tcPr>
          <w:p w14:paraId="5491362F" w14:textId="77777777" w:rsidR="00395D01" w:rsidRPr="00912996" w:rsidRDefault="00395D01" w:rsidP="00292396">
            <w:pPr>
              <w:rPr>
                <w:rFonts w:ascii="Calibri" w:hAnsi="Calibri"/>
                <w:bCs/>
                <w:lang w:eastAsia="ja-JP"/>
              </w:rPr>
            </w:pPr>
            <w:r w:rsidRPr="00912996">
              <w:rPr>
                <w:rFonts w:ascii="Calibri" w:hAnsi="Calibri"/>
                <w:bCs/>
                <w:lang w:eastAsia="ja-JP"/>
              </w:rPr>
              <w:t>Realizarea Strategiei de Securitate în școli</w:t>
            </w:r>
          </w:p>
        </w:tc>
        <w:tc>
          <w:tcPr>
            <w:tcW w:w="640" w:type="pct"/>
            <w:shd w:val="clear" w:color="auto" w:fill="F2F2F2"/>
            <w:hideMark/>
          </w:tcPr>
          <w:p w14:paraId="61D87FB1" w14:textId="77777777" w:rsidR="00395D01" w:rsidRPr="00912996" w:rsidRDefault="00395D01" w:rsidP="00292396">
            <w:pPr>
              <w:rPr>
                <w:rFonts w:ascii="Calibri" w:hAnsi="Calibri"/>
                <w:bCs/>
                <w:lang w:eastAsia="ja-JP"/>
              </w:rPr>
            </w:pPr>
            <w:r w:rsidRPr="00912996">
              <w:rPr>
                <w:rFonts w:ascii="Calibri" w:hAnsi="Calibri"/>
                <w:bCs/>
                <w:lang w:eastAsia="ja-JP"/>
              </w:rPr>
              <w:t>PS2, ISMB S2</w:t>
            </w:r>
          </w:p>
        </w:tc>
        <w:tc>
          <w:tcPr>
            <w:tcW w:w="507" w:type="pct"/>
            <w:shd w:val="clear" w:color="auto" w:fill="F2F2F2"/>
            <w:hideMark/>
          </w:tcPr>
          <w:p w14:paraId="49A7823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A3C4F4D" w14:textId="77777777" w:rsidR="00395D01" w:rsidRPr="00912996" w:rsidRDefault="00395D01" w:rsidP="00292396">
            <w:pPr>
              <w:rPr>
                <w:rFonts w:ascii="Calibri" w:hAnsi="Calibri"/>
                <w:bCs/>
                <w:lang w:eastAsia="ja-JP"/>
              </w:rPr>
            </w:pPr>
            <w:r w:rsidRPr="00912996">
              <w:rPr>
                <w:rFonts w:ascii="Calibri" w:hAnsi="Calibri"/>
                <w:bCs/>
                <w:lang w:eastAsia="ja-JP"/>
              </w:rPr>
              <w:t>73,500</w:t>
            </w:r>
          </w:p>
        </w:tc>
        <w:tc>
          <w:tcPr>
            <w:tcW w:w="411" w:type="pct"/>
            <w:shd w:val="clear" w:color="auto" w:fill="F2F2F2"/>
            <w:hideMark/>
          </w:tcPr>
          <w:p w14:paraId="36BB2174" w14:textId="77777777" w:rsidR="00395D01" w:rsidRPr="00912996" w:rsidRDefault="00395D01" w:rsidP="00292396">
            <w:pPr>
              <w:rPr>
                <w:rFonts w:ascii="Calibri" w:hAnsi="Calibri"/>
                <w:bCs/>
                <w:lang w:eastAsia="ja-JP"/>
              </w:rPr>
            </w:pPr>
            <w:r w:rsidRPr="00912996">
              <w:rPr>
                <w:rFonts w:ascii="Calibri" w:hAnsi="Calibri"/>
                <w:bCs/>
                <w:lang w:eastAsia="ja-JP"/>
              </w:rPr>
              <w:t>15,000</w:t>
            </w:r>
          </w:p>
        </w:tc>
        <w:tc>
          <w:tcPr>
            <w:tcW w:w="347" w:type="pct"/>
            <w:shd w:val="clear" w:color="auto" w:fill="F2F2F2"/>
            <w:hideMark/>
          </w:tcPr>
          <w:p w14:paraId="43FF28DF"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ECFC2A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36BAA7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47714E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F6EB91D" w14:textId="77777777" w:rsidTr="00E16711">
        <w:trPr>
          <w:trHeight w:val="792"/>
        </w:trPr>
        <w:tc>
          <w:tcPr>
            <w:tcW w:w="205" w:type="pct"/>
            <w:shd w:val="clear" w:color="auto" w:fill="F2F2F2"/>
            <w:noWrap/>
            <w:hideMark/>
          </w:tcPr>
          <w:p w14:paraId="6636B85C" w14:textId="77777777" w:rsidR="00395D01" w:rsidRPr="00912996" w:rsidRDefault="00395D01" w:rsidP="00292396">
            <w:pPr>
              <w:rPr>
                <w:rFonts w:ascii="Calibri" w:hAnsi="Calibri"/>
                <w:bCs/>
                <w:lang w:eastAsia="ja-JP"/>
              </w:rPr>
            </w:pPr>
            <w:r w:rsidRPr="00912996">
              <w:rPr>
                <w:rFonts w:ascii="Calibri" w:hAnsi="Calibri"/>
                <w:bCs/>
                <w:lang w:eastAsia="ja-JP"/>
              </w:rPr>
              <w:t>34</w:t>
            </w:r>
          </w:p>
        </w:tc>
        <w:tc>
          <w:tcPr>
            <w:tcW w:w="1018" w:type="pct"/>
            <w:gridSpan w:val="2"/>
            <w:shd w:val="clear" w:color="auto" w:fill="F2F2F2"/>
            <w:hideMark/>
          </w:tcPr>
          <w:p w14:paraId="5C4B9170" w14:textId="77777777" w:rsidR="00395D01" w:rsidRPr="00912996" w:rsidRDefault="00395D01" w:rsidP="00292396">
            <w:pPr>
              <w:rPr>
                <w:rFonts w:ascii="Calibri" w:hAnsi="Calibri"/>
                <w:bCs/>
                <w:lang w:eastAsia="ja-JP"/>
              </w:rPr>
            </w:pPr>
            <w:r w:rsidRPr="00912996">
              <w:rPr>
                <w:rFonts w:ascii="Calibri" w:hAnsi="Calibri"/>
                <w:bCs/>
                <w:lang w:eastAsia="ja-JP"/>
              </w:rPr>
              <w:t>Informatizarea Inspectoratului Școlar al Sectorului 2</w:t>
            </w:r>
          </w:p>
        </w:tc>
        <w:tc>
          <w:tcPr>
            <w:tcW w:w="640" w:type="pct"/>
            <w:shd w:val="clear" w:color="auto" w:fill="F2F2F2"/>
            <w:hideMark/>
          </w:tcPr>
          <w:p w14:paraId="5A1764BB" w14:textId="77777777" w:rsidR="00395D01" w:rsidRPr="00912996" w:rsidRDefault="00395D01" w:rsidP="00292396">
            <w:pPr>
              <w:rPr>
                <w:rFonts w:ascii="Calibri" w:hAnsi="Calibri"/>
                <w:bCs/>
                <w:lang w:eastAsia="ja-JP"/>
              </w:rPr>
            </w:pPr>
            <w:r w:rsidRPr="00912996">
              <w:rPr>
                <w:rFonts w:ascii="Calibri" w:hAnsi="Calibri"/>
                <w:bCs/>
                <w:lang w:eastAsia="ja-JP"/>
              </w:rPr>
              <w:t>ISMB S2</w:t>
            </w:r>
          </w:p>
        </w:tc>
        <w:tc>
          <w:tcPr>
            <w:tcW w:w="507" w:type="pct"/>
            <w:shd w:val="clear" w:color="auto" w:fill="F2F2F2"/>
            <w:hideMark/>
          </w:tcPr>
          <w:p w14:paraId="4E803B1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868B7EE" w14:textId="77777777" w:rsidR="00395D01" w:rsidRPr="00912996" w:rsidRDefault="00395D01" w:rsidP="00292396">
            <w:pPr>
              <w:rPr>
                <w:rFonts w:ascii="Calibri" w:hAnsi="Calibri"/>
                <w:bCs/>
                <w:lang w:eastAsia="ja-JP"/>
              </w:rPr>
            </w:pPr>
            <w:r w:rsidRPr="00912996">
              <w:rPr>
                <w:rFonts w:ascii="Calibri" w:hAnsi="Calibri"/>
                <w:bCs/>
                <w:lang w:eastAsia="ja-JP"/>
              </w:rPr>
              <w:t>73,500</w:t>
            </w:r>
          </w:p>
        </w:tc>
        <w:tc>
          <w:tcPr>
            <w:tcW w:w="411" w:type="pct"/>
            <w:shd w:val="clear" w:color="auto" w:fill="F2F2F2"/>
            <w:hideMark/>
          </w:tcPr>
          <w:p w14:paraId="5464EA9E" w14:textId="77777777" w:rsidR="00395D01" w:rsidRPr="00912996" w:rsidRDefault="00395D01" w:rsidP="00292396">
            <w:pPr>
              <w:rPr>
                <w:rFonts w:ascii="Calibri" w:hAnsi="Calibri"/>
                <w:bCs/>
                <w:lang w:eastAsia="ja-JP"/>
              </w:rPr>
            </w:pPr>
            <w:r w:rsidRPr="00912996">
              <w:rPr>
                <w:rFonts w:ascii="Calibri" w:hAnsi="Calibri"/>
                <w:bCs/>
                <w:lang w:eastAsia="ja-JP"/>
              </w:rPr>
              <w:t>15,000</w:t>
            </w:r>
          </w:p>
        </w:tc>
        <w:tc>
          <w:tcPr>
            <w:tcW w:w="347" w:type="pct"/>
            <w:shd w:val="clear" w:color="auto" w:fill="F2F2F2"/>
            <w:hideMark/>
          </w:tcPr>
          <w:p w14:paraId="3E89A25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125AF82" w14:textId="77777777" w:rsidR="00395D01" w:rsidRPr="00912996" w:rsidRDefault="00395D01" w:rsidP="00292396">
            <w:pPr>
              <w:rPr>
                <w:rFonts w:ascii="Calibri" w:hAnsi="Calibri"/>
                <w:bCs/>
                <w:lang w:eastAsia="ja-JP"/>
              </w:rPr>
            </w:pPr>
            <w:r w:rsidRPr="00912996">
              <w:rPr>
                <w:rFonts w:ascii="Calibri" w:hAnsi="Calibri"/>
                <w:bCs/>
                <w:lang w:eastAsia="ja-JP"/>
              </w:rPr>
              <w:t>PNRR C15, Bugetul local, Alte surse de finanțare</w:t>
            </w:r>
          </w:p>
        </w:tc>
        <w:tc>
          <w:tcPr>
            <w:tcW w:w="433" w:type="pct"/>
            <w:shd w:val="clear" w:color="auto" w:fill="F2F2F2"/>
            <w:hideMark/>
          </w:tcPr>
          <w:p w14:paraId="5DCAE82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C3885B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395D01" w:rsidRPr="00912996" w14:paraId="7F9B72F1" w14:textId="77777777" w:rsidTr="00292396">
        <w:trPr>
          <w:trHeight w:val="264"/>
        </w:trPr>
        <w:tc>
          <w:tcPr>
            <w:tcW w:w="5000" w:type="pct"/>
            <w:gridSpan w:val="12"/>
            <w:shd w:val="clear" w:color="auto" w:fill="CCE188"/>
            <w:noWrap/>
            <w:hideMark/>
          </w:tcPr>
          <w:p w14:paraId="45C05C23" w14:textId="77777777" w:rsidR="00395D01" w:rsidRPr="00912996" w:rsidRDefault="00395D01" w:rsidP="005A37BD">
            <w:pPr>
              <w:jc w:val="center"/>
              <w:rPr>
                <w:rFonts w:ascii="Calibri" w:hAnsi="Calibri"/>
                <w:b/>
                <w:bCs/>
                <w:color w:val="FFFFFF"/>
                <w:lang w:eastAsia="ja-JP"/>
              </w:rPr>
            </w:pPr>
            <w:r w:rsidRPr="00912996">
              <w:rPr>
                <w:rFonts w:ascii="Calibri" w:hAnsi="Calibri"/>
                <w:b/>
                <w:bCs/>
                <w:color w:val="FFFFFF"/>
                <w:lang w:eastAsia="ja-JP"/>
              </w:rPr>
              <w:t>OBIECTIV SPECIFIC O1.4. - Infrastructură sportivă și de petrecere a timpului liber dezvoltată, ce concentrează o ofertă atractivă de activități pentru comunitatea locală</w:t>
            </w:r>
          </w:p>
        </w:tc>
      </w:tr>
      <w:tr w:rsidR="00395D01" w:rsidRPr="00912996" w14:paraId="491B4223" w14:textId="77777777" w:rsidTr="00292396">
        <w:trPr>
          <w:trHeight w:val="510"/>
        </w:trPr>
        <w:tc>
          <w:tcPr>
            <w:tcW w:w="5000" w:type="pct"/>
            <w:gridSpan w:val="12"/>
            <w:shd w:val="clear" w:color="auto" w:fill="BBD9A0"/>
            <w:noWrap/>
            <w:hideMark/>
          </w:tcPr>
          <w:p w14:paraId="09958BA7" w14:textId="77777777" w:rsidR="00395D01" w:rsidRPr="00912996" w:rsidRDefault="00395D01" w:rsidP="005A37BD">
            <w:pPr>
              <w:jc w:val="center"/>
              <w:rPr>
                <w:rFonts w:ascii="Calibri" w:hAnsi="Calibri"/>
                <w:b/>
                <w:bCs/>
                <w:color w:val="FFFFFF"/>
                <w:lang w:eastAsia="ja-JP"/>
              </w:rPr>
            </w:pPr>
            <w:r w:rsidRPr="00912996">
              <w:rPr>
                <w:rFonts w:ascii="Calibri" w:hAnsi="Calibri"/>
                <w:b/>
                <w:bCs/>
                <w:color w:val="FFFFFF"/>
                <w:lang w:eastAsia="ja-JP"/>
              </w:rPr>
              <w:t>D1.4.1. Diversificarea infrastructurii de sport și de petrecerea timpului liber din Sector 2, prin construcția și amenajarea de noi facilități sau reabilitarea, modernizarea și dotarea infrastructurii existente</w:t>
            </w:r>
          </w:p>
        </w:tc>
      </w:tr>
      <w:tr w:rsidR="00E16711" w:rsidRPr="00912996" w14:paraId="51F20CA9" w14:textId="77777777" w:rsidTr="00E16711">
        <w:trPr>
          <w:trHeight w:val="1056"/>
        </w:trPr>
        <w:tc>
          <w:tcPr>
            <w:tcW w:w="205" w:type="pct"/>
            <w:shd w:val="clear" w:color="auto" w:fill="F2F2F2"/>
            <w:noWrap/>
            <w:hideMark/>
          </w:tcPr>
          <w:p w14:paraId="35C50298"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62015ECD" w14:textId="77777777" w:rsidR="00395D01" w:rsidRPr="00912996" w:rsidRDefault="00395D01" w:rsidP="00292396">
            <w:pPr>
              <w:rPr>
                <w:rFonts w:ascii="Calibri" w:hAnsi="Calibri"/>
                <w:bCs/>
                <w:lang w:eastAsia="ja-JP"/>
              </w:rPr>
            </w:pPr>
            <w:r w:rsidRPr="00912996">
              <w:rPr>
                <w:rFonts w:ascii="Calibri" w:hAnsi="Calibri"/>
                <w:bCs/>
                <w:lang w:eastAsia="ja-JP"/>
              </w:rPr>
              <w:t>Extinderea parcurilor existente (Circului, Floreasca, Verdi, Sticlăriei)</w:t>
            </w:r>
          </w:p>
        </w:tc>
        <w:tc>
          <w:tcPr>
            <w:tcW w:w="640" w:type="pct"/>
            <w:shd w:val="clear" w:color="auto" w:fill="F2F2F2"/>
            <w:hideMark/>
          </w:tcPr>
          <w:p w14:paraId="699ED9A7"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E10CD3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59C6508" w14:textId="77777777" w:rsidR="00395D01" w:rsidRPr="00912996" w:rsidRDefault="00395D01" w:rsidP="00292396">
            <w:pPr>
              <w:rPr>
                <w:rFonts w:ascii="Calibri" w:hAnsi="Calibri"/>
                <w:bCs/>
                <w:lang w:eastAsia="ja-JP"/>
              </w:rPr>
            </w:pPr>
            <w:r w:rsidRPr="00912996">
              <w:rPr>
                <w:rFonts w:ascii="Calibri" w:hAnsi="Calibri"/>
                <w:bCs/>
                <w:lang w:eastAsia="ja-JP"/>
              </w:rPr>
              <w:t>19,600,000</w:t>
            </w:r>
          </w:p>
        </w:tc>
        <w:tc>
          <w:tcPr>
            <w:tcW w:w="411" w:type="pct"/>
            <w:shd w:val="clear" w:color="auto" w:fill="F2F2F2"/>
            <w:hideMark/>
          </w:tcPr>
          <w:p w14:paraId="4BDCBF65" w14:textId="77777777" w:rsidR="00395D01" w:rsidRPr="00912996" w:rsidRDefault="00395D01" w:rsidP="00292396">
            <w:pPr>
              <w:rPr>
                <w:rFonts w:ascii="Calibri" w:hAnsi="Calibri"/>
                <w:bCs/>
                <w:lang w:eastAsia="ja-JP"/>
              </w:rPr>
            </w:pPr>
            <w:r w:rsidRPr="00912996">
              <w:rPr>
                <w:rFonts w:ascii="Calibri" w:hAnsi="Calibri"/>
                <w:bCs/>
                <w:lang w:eastAsia="ja-JP"/>
              </w:rPr>
              <w:t>4,000,000</w:t>
            </w:r>
          </w:p>
        </w:tc>
        <w:tc>
          <w:tcPr>
            <w:tcW w:w="347" w:type="pct"/>
            <w:shd w:val="clear" w:color="auto" w:fill="F2F2F2"/>
            <w:hideMark/>
          </w:tcPr>
          <w:p w14:paraId="6EA7573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4C9A46F"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66B60CD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118729E" w14:textId="77777777" w:rsidR="00395D01" w:rsidRPr="00912996" w:rsidRDefault="00395D01" w:rsidP="00292396">
            <w:pPr>
              <w:rPr>
                <w:rFonts w:ascii="Calibri" w:hAnsi="Calibri"/>
                <w:bCs/>
                <w:lang w:eastAsia="ja-JP"/>
              </w:rPr>
            </w:pPr>
            <w:r w:rsidRPr="00912996">
              <w:rPr>
                <w:rFonts w:ascii="Calibri" w:hAnsi="Calibri"/>
                <w:bCs/>
                <w:lang w:eastAsia="ja-JP"/>
              </w:rPr>
              <w:t>PS2_Anexa 1. SIDU MB - Lista lungă de proiecte</w:t>
            </w:r>
          </w:p>
        </w:tc>
      </w:tr>
      <w:tr w:rsidR="00E16711" w:rsidRPr="00912996" w14:paraId="153F1D43" w14:textId="77777777" w:rsidTr="00E16711">
        <w:trPr>
          <w:trHeight w:val="1056"/>
        </w:trPr>
        <w:tc>
          <w:tcPr>
            <w:tcW w:w="205" w:type="pct"/>
            <w:shd w:val="clear" w:color="auto" w:fill="F2F2F2"/>
            <w:noWrap/>
            <w:hideMark/>
          </w:tcPr>
          <w:p w14:paraId="4DDC9393"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221642A0" w14:textId="77777777" w:rsidR="00395D01" w:rsidRPr="00912996" w:rsidRDefault="00395D01" w:rsidP="00292396">
            <w:pPr>
              <w:rPr>
                <w:rFonts w:ascii="Calibri" w:hAnsi="Calibri"/>
                <w:bCs/>
                <w:lang w:eastAsia="ja-JP"/>
              </w:rPr>
            </w:pPr>
            <w:r w:rsidRPr="00912996">
              <w:rPr>
                <w:rFonts w:ascii="Calibri" w:hAnsi="Calibri"/>
                <w:bCs/>
                <w:lang w:eastAsia="ja-JP"/>
              </w:rPr>
              <w:t>Construirea/modernizarea/extinderea de clădiri și anexe aferente în vederea construirii unor centre destinate comunității</w:t>
            </w:r>
          </w:p>
        </w:tc>
        <w:tc>
          <w:tcPr>
            <w:tcW w:w="640" w:type="pct"/>
            <w:shd w:val="clear" w:color="auto" w:fill="F2F2F2"/>
            <w:hideMark/>
          </w:tcPr>
          <w:p w14:paraId="4B06ADE5"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A4A05C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4CB959A" w14:textId="77777777" w:rsidR="00395D01" w:rsidRPr="00912996" w:rsidRDefault="00395D01" w:rsidP="00292396">
            <w:pPr>
              <w:rPr>
                <w:rFonts w:ascii="Calibri" w:hAnsi="Calibri"/>
                <w:bCs/>
                <w:lang w:eastAsia="ja-JP"/>
              </w:rPr>
            </w:pPr>
            <w:r w:rsidRPr="00912996">
              <w:rPr>
                <w:rFonts w:ascii="Calibri" w:hAnsi="Calibri"/>
                <w:bCs/>
                <w:lang w:eastAsia="ja-JP"/>
              </w:rPr>
              <w:t>14,700,000</w:t>
            </w:r>
          </w:p>
        </w:tc>
        <w:tc>
          <w:tcPr>
            <w:tcW w:w="411" w:type="pct"/>
            <w:shd w:val="clear" w:color="auto" w:fill="F2F2F2"/>
            <w:hideMark/>
          </w:tcPr>
          <w:p w14:paraId="713722A3"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347" w:type="pct"/>
            <w:shd w:val="clear" w:color="auto" w:fill="F2F2F2"/>
            <w:hideMark/>
          </w:tcPr>
          <w:p w14:paraId="6B38C46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BD42ACA"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157A733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5A27A6B" w14:textId="77777777" w:rsidR="00395D01" w:rsidRPr="00912996" w:rsidRDefault="00395D01" w:rsidP="00292396">
            <w:pPr>
              <w:rPr>
                <w:rFonts w:ascii="Calibri" w:hAnsi="Calibri"/>
                <w:bCs/>
                <w:lang w:eastAsia="ja-JP"/>
              </w:rPr>
            </w:pPr>
            <w:r w:rsidRPr="00912996">
              <w:rPr>
                <w:rFonts w:ascii="Calibri" w:hAnsi="Calibri"/>
                <w:bCs/>
                <w:lang w:eastAsia="ja-JP"/>
              </w:rPr>
              <w:t>PS2_Anexa 1. SIDU MB - Lista lungă de proiecte</w:t>
            </w:r>
          </w:p>
        </w:tc>
      </w:tr>
      <w:tr w:rsidR="00E16711" w:rsidRPr="00912996" w14:paraId="6EE0E759" w14:textId="77777777" w:rsidTr="00E16711">
        <w:trPr>
          <w:trHeight w:val="1320"/>
        </w:trPr>
        <w:tc>
          <w:tcPr>
            <w:tcW w:w="205" w:type="pct"/>
            <w:shd w:val="clear" w:color="auto" w:fill="F2F2F2"/>
            <w:noWrap/>
            <w:hideMark/>
          </w:tcPr>
          <w:p w14:paraId="31524445"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3C11D5FF" w14:textId="77777777" w:rsidR="00395D01" w:rsidRPr="00912996" w:rsidRDefault="00395D01" w:rsidP="00292396">
            <w:pPr>
              <w:rPr>
                <w:rFonts w:ascii="Calibri" w:hAnsi="Calibri"/>
                <w:bCs/>
                <w:lang w:eastAsia="ja-JP"/>
              </w:rPr>
            </w:pPr>
            <w:r w:rsidRPr="00912996">
              <w:rPr>
                <w:rFonts w:ascii="Calibri" w:hAnsi="Calibri"/>
                <w:bCs/>
                <w:lang w:eastAsia="ja-JP"/>
              </w:rPr>
              <w:t>Reabilitare, modernizare - inclusiv acoperire și dotare bazin de înot aferent Liceului Teoretic C.A. Rosetti</w:t>
            </w:r>
          </w:p>
        </w:tc>
        <w:tc>
          <w:tcPr>
            <w:tcW w:w="640" w:type="pct"/>
            <w:shd w:val="clear" w:color="auto" w:fill="F2F2F2"/>
            <w:hideMark/>
          </w:tcPr>
          <w:p w14:paraId="134B63B1" w14:textId="77777777" w:rsidR="00395D01" w:rsidRPr="00912996" w:rsidRDefault="00395D01" w:rsidP="00292396">
            <w:pPr>
              <w:rPr>
                <w:rFonts w:ascii="Calibri" w:hAnsi="Calibri"/>
                <w:bCs/>
                <w:lang w:eastAsia="ja-JP"/>
              </w:rPr>
            </w:pPr>
            <w:r w:rsidRPr="00912996">
              <w:rPr>
                <w:rFonts w:ascii="Calibri" w:hAnsi="Calibri"/>
                <w:bCs/>
                <w:lang w:eastAsia="ja-JP"/>
              </w:rPr>
              <w:t>PS2, DGAPI (protocol semnat de către unitatea de învățământ cu Sports Hub)</w:t>
            </w:r>
          </w:p>
        </w:tc>
        <w:tc>
          <w:tcPr>
            <w:tcW w:w="507" w:type="pct"/>
            <w:shd w:val="clear" w:color="auto" w:fill="F2F2F2"/>
            <w:hideMark/>
          </w:tcPr>
          <w:p w14:paraId="4E3C3ECA" w14:textId="77777777" w:rsidR="00395D01" w:rsidRPr="00912996" w:rsidRDefault="00395D01" w:rsidP="00292396">
            <w:pPr>
              <w:rPr>
                <w:rFonts w:ascii="Calibri" w:hAnsi="Calibri"/>
                <w:bCs/>
                <w:lang w:eastAsia="ja-JP"/>
              </w:rPr>
            </w:pPr>
            <w:r w:rsidRPr="00912996">
              <w:rPr>
                <w:rFonts w:ascii="Calibri" w:hAnsi="Calibri"/>
                <w:bCs/>
                <w:lang w:eastAsia="ja-JP"/>
              </w:rPr>
              <w:t>PT</w:t>
            </w:r>
          </w:p>
        </w:tc>
        <w:tc>
          <w:tcPr>
            <w:tcW w:w="473" w:type="pct"/>
            <w:shd w:val="clear" w:color="auto" w:fill="F2F2F2"/>
            <w:hideMark/>
          </w:tcPr>
          <w:p w14:paraId="78419BC7"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08021DAD"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54393D67"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32F5842A"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FDC20B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AE0D89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A71FA2B" w14:textId="77777777" w:rsidTr="00E16711">
        <w:trPr>
          <w:trHeight w:val="792"/>
        </w:trPr>
        <w:tc>
          <w:tcPr>
            <w:tcW w:w="205" w:type="pct"/>
            <w:shd w:val="clear" w:color="auto" w:fill="F2F2F2"/>
            <w:noWrap/>
            <w:hideMark/>
          </w:tcPr>
          <w:p w14:paraId="451835C5"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4CD3AAE5" w14:textId="77777777" w:rsidR="00395D01" w:rsidRPr="00912996" w:rsidRDefault="00395D01" w:rsidP="00292396">
            <w:pPr>
              <w:rPr>
                <w:rFonts w:ascii="Calibri" w:hAnsi="Calibri"/>
                <w:bCs/>
                <w:lang w:eastAsia="ja-JP"/>
              </w:rPr>
            </w:pPr>
            <w:r w:rsidRPr="00912996">
              <w:rPr>
                <w:rFonts w:ascii="Calibri" w:hAnsi="Calibri"/>
                <w:bCs/>
                <w:lang w:eastAsia="ja-JP"/>
              </w:rPr>
              <w:t>Amenajare insula Plumbuita</w:t>
            </w:r>
          </w:p>
        </w:tc>
        <w:tc>
          <w:tcPr>
            <w:tcW w:w="640" w:type="pct"/>
            <w:shd w:val="clear" w:color="auto" w:fill="F2F2F2"/>
            <w:hideMark/>
          </w:tcPr>
          <w:p w14:paraId="6F4FF558"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ADP, Apele Române</w:t>
            </w:r>
          </w:p>
        </w:tc>
        <w:tc>
          <w:tcPr>
            <w:tcW w:w="507" w:type="pct"/>
            <w:shd w:val="clear" w:color="auto" w:fill="F2F2F2"/>
            <w:hideMark/>
          </w:tcPr>
          <w:p w14:paraId="69842F39" w14:textId="77777777" w:rsidR="00395D01" w:rsidRPr="00912996" w:rsidRDefault="00395D01" w:rsidP="00292396">
            <w:pPr>
              <w:rPr>
                <w:rFonts w:ascii="Calibri" w:hAnsi="Calibri"/>
                <w:bCs/>
                <w:lang w:eastAsia="ja-JP"/>
              </w:rPr>
            </w:pPr>
            <w:r w:rsidRPr="00912996">
              <w:rPr>
                <w:rFonts w:ascii="Calibri" w:hAnsi="Calibri"/>
                <w:bCs/>
                <w:lang w:eastAsia="ja-JP"/>
              </w:rPr>
              <w:t>Demarare elaborare documentație</w:t>
            </w:r>
          </w:p>
        </w:tc>
        <w:tc>
          <w:tcPr>
            <w:tcW w:w="473" w:type="pct"/>
            <w:shd w:val="clear" w:color="auto" w:fill="F2F2F2"/>
            <w:hideMark/>
          </w:tcPr>
          <w:p w14:paraId="0F147A19" w14:textId="77777777" w:rsidR="00395D01" w:rsidRPr="00912996" w:rsidRDefault="00395D01" w:rsidP="00292396">
            <w:pPr>
              <w:rPr>
                <w:rFonts w:ascii="Calibri" w:hAnsi="Calibri"/>
                <w:bCs/>
                <w:lang w:eastAsia="ja-JP"/>
              </w:rPr>
            </w:pPr>
            <w:r w:rsidRPr="00912996">
              <w:rPr>
                <w:rFonts w:ascii="Calibri" w:hAnsi="Calibri"/>
                <w:bCs/>
                <w:lang w:eastAsia="ja-JP"/>
              </w:rPr>
              <w:t>14,700,000</w:t>
            </w:r>
          </w:p>
        </w:tc>
        <w:tc>
          <w:tcPr>
            <w:tcW w:w="411" w:type="pct"/>
            <w:shd w:val="clear" w:color="auto" w:fill="F2F2F2"/>
            <w:hideMark/>
          </w:tcPr>
          <w:p w14:paraId="1F9CC323"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347" w:type="pct"/>
            <w:shd w:val="clear" w:color="auto" w:fill="F2F2F2"/>
            <w:hideMark/>
          </w:tcPr>
          <w:p w14:paraId="5BF6D614"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hideMark/>
          </w:tcPr>
          <w:p w14:paraId="277F983B" w14:textId="77777777" w:rsidR="00395D01" w:rsidRPr="00912996" w:rsidRDefault="00395D01" w:rsidP="00292396">
            <w:pPr>
              <w:rPr>
                <w:rFonts w:ascii="Calibri" w:hAnsi="Calibri"/>
                <w:bCs/>
                <w:lang w:eastAsia="ja-JP"/>
              </w:rPr>
            </w:pPr>
            <w:r>
              <w:rPr>
                <w:rFonts w:ascii="Calibri" w:hAnsi="Calibri"/>
                <w:bCs/>
                <w:lang w:eastAsia="ja-JP"/>
              </w:rPr>
              <w:t>N/A</w:t>
            </w:r>
          </w:p>
        </w:tc>
        <w:tc>
          <w:tcPr>
            <w:tcW w:w="433" w:type="pct"/>
            <w:shd w:val="clear" w:color="auto" w:fill="F2F2F2"/>
            <w:hideMark/>
          </w:tcPr>
          <w:p w14:paraId="64FFD68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5D6546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7038E10" w14:textId="77777777" w:rsidTr="00E16711">
        <w:trPr>
          <w:trHeight w:val="528"/>
        </w:trPr>
        <w:tc>
          <w:tcPr>
            <w:tcW w:w="205" w:type="pct"/>
            <w:shd w:val="clear" w:color="auto" w:fill="F2F2F2"/>
            <w:noWrap/>
            <w:hideMark/>
          </w:tcPr>
          <w:p w14:paraId="11972747"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6ECA9898" w14:textId="77777777" w:rsidR="00395D01" w:rsidRPr="00912996" w:rsidRDefault="00395D01" w:rsidP="00292396">
            <w:pPr>
              <w:rPr>
                <w:rFonts w:ascii="Calibri" w:hAnsi="Calibri"/>
                <w:bCs/>
                <w:lang w:eastAsia="ja-JP"/>
              </w:rPr>
            </w:pPr>
            <w:r w:rsidRPr="00912996">
              <w:rPr>
                <w:rFonts w:ascii="Calibri" w:hAnsi="Calibri"/>
                <w:bCs/>
                <w:lang w:eastAsia="ja-JP"/>
              </w:rPr>
              <w:t>Transport turistic instalație tip gondolă - zona salbei de lacuri</w:t>
            </w:r>
          </w:p>
        </w:tc>
        <w:tc>
          <w:tcPr>
            <w:tcW w:w="640" w:type="pct"/>
            <w:shd w:val="clear" w:color="auto" w:fill="F2F2F2"/>
            <w:hideMark/>
          </w:tcPr>
          <w:p w14:paraId="6D4CFC32"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D74097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79C0B73"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286FFFDD"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6BB786E4"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ABECF36"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5204A8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2D7AC8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AE229DD" w14:textId="77777777" w:rsidTr="00E16711">
        <w:trPr>
          <w:trHeight w:val="620"/>
        </w:trPr>
        <w:tc>
          <w:tcPr>
            <w:tcW w:w="205" w:type="pct"/>
            <w:shd w:val="clear" w:color="auto" w:fill="F2F2F2"/>
            <w:noWrap/>
            <w:hideMark/>
          </w:tcPr>
          <w:p w14:paraId="0E6DEAC9"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29D4D4DF" w14:textId="77777777" w:rsidR="00395D01" w:rsidRPr="00912996" w:rsidRDefault="00395D01" w:rsidP="00292396">
            <w:pPr>
              <w:rPr>
                <w:rFonts w:ascii="Calibri" w:hAnsi="Calibri"/>
                <w:bCs/>
                <w:lang w:eastAsia="ja-JP"/>
              </w:rPr>
            </w:pPr>
            <w:r w:rsidRPr="00912996">
              <w:rPr>
                <w:rFonts w:ascii="Calibri" w:hAnsi="Calibri"/>
                <w:bCs/>
                <w:lang w:eastAsia="ja-JP"/>
              </w:rPr>
              <w:t>Susținere parteneriate între mediul privat și PS2 în vederea realizării unor dotări de interes local în zona malurilor de lac (alimentație publică, spații comerciale de mici dimensiuni)</w:t>
            </w:r>
          </w:p>
        </w:tc>
        <w:tc>
          <w:tcPr>
            <w:tcW w:w="640" w:type="pct"/>
            <w:shd w:val="clear" w:color="auto" w:fill="F2F2F2"/>
            <w:hideMark/>
          </w:tcPr>
          <w:p w14:paraId="64F73D29"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BF2390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6832B19" w14:textId="77777777" w:rsidR="00395D01" w:rsidRPr="00912996" w:rsidRDefault="00395D01" w:rsidP="00292396">
            <w:pPr>
              <w:rPr>
                <w:rFonts w:ascii="Calibri" w:hAnsi="Calibri"/>
                <w:bCs/>
                <w:lang w:eastAsia="ja-JP"/>
              </w:rPr>
            </w:pPr>
            <w:r w:rsidRPr="00912996">
              <w:rPr>
                <w:rFonts w:ascii="Calibri" w:hAnsi="Calibri"/>
                <w:bCs/>
                <w:lang w:eastAsia="ja-JP"/>
              </w:rPr>
              <w:t>245,000</w:t>
            </w:r>
          </w:p>
        </w:tc>
        <w:tc>
          <w:tcPr>
            <w:tcW w:w="411" w:type="pct"/>
            <w:shd w:val="clear" w:color="auto" w:fill="F2F2F2"/>
            <w:hideMark/>
          </w:tcPr>
          <w:p w14:paraId="4119184D" w14:textId="77777777" w:rsidR="00395D01" w:rsidRPr="00912996" w:rsidRDefault="00395D01" w:rsidP="00292396">
            <w:pPr>
              <w:rPr>
                <w:rFonts w:ascii="Calibri" w:hAnsi="Calibri"/>
                <w:bCs/>
                <w:lang w:eastAsia="ja-JP"/>
              </w:rPr>
            </w:pPr>
            <w:r w:rsidRPr="00912996">
              <w:rPr>
                <w:rFonts w:ascii="Calibri" w:hAnsi="Calibri"/>
                <w:bCs/>
                <w:lang w:eastAsia="ja-JP"/>
              </w:rPr>
              <w:t>50,000</w:t>
            </w:r>
          </w:p>
        </w:tc>
        <w:tc>
          <w:tcPr>
            <w:tcW w:w="347" w:type="pct"/>
            <w:shd w:val="clear" w:color="auto" w:fill="F2F2F2"/>
            <w:hideMark/>
          </w:tcPr>
          <w:p w14:paraId="7AC620FA"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DEC2350"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7137DB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1CAC48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2236A8E" w14:textId="77777777" w:rsidTr="00E16711">
        <w:trPr>
          <w:trHeight w:val="528"/>
        </w:trPr>
        <w:tc>
          <w:tcPr>
            <w:tcW w:w="205" w:type="pct"/>
            <w:shd w:val="clear" w:color="auto" w:fill="F2F2F2"/>
            <w:noWrap/>
            <w:hideMark/>
          </w:tcPr>
          <w:p w14:paraId="416CCD51"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060D6197" w14:textId="77777777" w:rsidR="00395D01" w:rsidRPr="00912996" w:rsidRDefault="00395D01" w:rsidP="00292396">
            <w:pPr>
              <w:rPr>
                <w:rFonts w:ascii="Calibri" w:hAnsi="Calibri"/>
                <w:bCs/>
                <w:lang w:eastAsia="ja-JP"/>
              </w:rPr>
            </w:pPr>
            <w:r w:rsidRPr="00912996">
              <w:rPr>
                <w:rFonts w:ascii="Calibri" w:hAnsi="Calibri"/>
                <w:bCs/>
                <w:lang w:eastAsia="ja-JP"/>
              </w:rPr>
              <w:t>Amenajare debarcader pentru agrement/sporturi nautic</w:t>
            </w:r>
          </w:p>
        </w:tc>
        <w:tc>
          <w:tcPr>
            <w:tcW w:w="640" w:type="pct"/>
            <w:shd w:val="clear" w:color="auto" w:fill="F2F2F2"/>
            <w:hideMark/>
          </w:tcPr>
          <w:p w14:paraId="4A658412"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388727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49B32F8" w14:textId="77777777" w:rsidR="00395D01" w:rsidRPr="00912996" w:rsidRDefault="00395D01" w:rsidP="00292396">
            <w:pPr>
              <w:rPr>
                <w:rFonts w:ascii="Calibri" w:hAnsi="Calibri"/>
                <w:bCs/>
                <w:lang w:eastAsia="ja-JP"/>
              </w:rPr>
            </w:pPr>
            <w:r w:rsidRPr="00912996">
              <w:rPr>
                <w:rFonts w:ascii="Calibri" w:hAnsi="Calibri"/>
                <w:bCs/>
                <w:lang w:eastAsia="ja-JP"/>
              </w:rPr>
              <w:t>980,000</w:t>
            </w:r>
          </w:p>
        </w:tc>
        <w:tc>
          <w:tcPr>
            <w:tcW w:w="411" w:type="pct"/>
            <w:shd w:val="clear" w:color="auto" w:fill="F2F2F2"/>
            <w:hideMark/>
          </w:tcPr>
          <w:p w14:paraId="20FF065F" w14:textId="77777777" w:rsidR="00395D01" w:rsidRPr="00912996" w:rsidRDefault="00395D01" w:rsidP="00292396">
            <w:pPr>
              <w:rPr>
                <w:rFonts w:ascii="Calibri" w:hAnsi="Calibri"/>
                <w:bCs/>
                <w:lang w:eastAsia="ja-JP"/>
              </w:rPr>
            </w:pPr>
            <w:r w:rsidRPr="00912996">
              <w:rPr>
                <w:rFonts w:ascii="Calibri" w:hAnsi="Calibri"/>
                <w:bCs/>
                <w:lang w:eastAsia="ja-JP"/>
              </w:rPr>
              <w:t>200,000</w:t>
            </w:r>
          </w:p>
        </w:tc>
        <w:tc>
          <w:tcPr>
            <w:tcW w:w="347" w:type="pct"/>
            <w:shd w:val="clear" w:color="auto" w:fill="F2F2F2"/>
            <w:hideMark/>
          </w:tcPr>
          <w:p w14:paraId="72A43FC7"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22FAA42"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9A36E4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DCAA4D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DDD891F" w14:textId="77777777" w:rsidTr="00E16711">
        <w:trPr>
          <w:trHeight w:val="1056"/>
        </w:trPr>
        <w:tc>
          <w:tcPr>
            <w:tcW w:w="205" w:type="pct"/>
            <w:shd w:val="clear" w:color="auto" w:fill="F2F2F2"/>
            <w:noWrap/>
            <w:hideMark/>
          </w:tcPr>
          <w:p w14:paraId="33BBB33C"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42D7E2FB" w14:textId="77777777" w:rsidR="00395D01" w:rsidRPr="00912996" w:rsidRDefault="00395D01" w:rsidP="00292396">
            <w:pPr>
              <w:rPr>
                <w:rFonts w:ascii="Calibri" w:hAnsi="Calibri"/>
                <w:bCs/>
                <w:lang w:eastAsia="ja-JP"/>
              </w:rPr>
            </w:pPr>
            <w:r w:rsidRPr="00912996">
              <w:rPr>
                <w:rFonts w:ascii="Calibri" w:hAnsi="Calibri"/>
                <w:bCs/>
                <w:lang w:eastAsia="ja-JP"/>
              </w:rPr>
              <w:t>Realizare axă verde Parcul Tei - Parcul Circului - Parcul Verdi</w:t>
            </w:r>
          </w:p>
        </w:tc>
        <w:tc>
          <w:tcPr>
            <w:tcW w:w="640" w:type="pct"/>
            <w:shd w:val="clear" w:color="auto" w:fill="F2F2F2"/>
            <w:hideMark/>
          </w:tcPr>
          <w:p w14:paraId="6F2B9D62"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ADP S2</w:t>
            </w:r>
          </w:p>
        </w:tc>
        <w:tc>
          <w:tcPr>
            <w:tcW w:w="507" w:type="pct"/>
            <w:shd w:val="clear" w:color="auto" w:fill="F2F2F2"/>
            <w:hideMark/>
          </w:tcPr>
          <w:p w14:paraId="7741AF82" w14:textId="77777777" w:rsidR="00395D01" w:rsidRPr="00912996" w:rsidRDefault="00395D01" w:rsidP="00292396">
            <w:pPr>
              <w:rPr>
                <w:rFonts w:ascii="Calibri" w:hAnsi="Calibri"/>
                <w:bCs/>
                <w:lang w:eastAsia="ja-JP"/>
              </w:rPr>
            </w:pPr>
            <w:r>
              <w:rPr>
                <w:rFonts w:ascii="Calibri" w:hAnsi="Calibri"/>
                <w:bCs/>
                <w:lang w:eastAsia="ja-JP"/>
              </w:rPr>
              <w:t>E</w:t>
            </w:r>
            <w:r w:rsidRPr="00912996">
              <w:rPr>
                <w:rFonts w:ascii="Calibri" w:hAnsi="Calibri"/>
                <w:bCs/>
                <w:lang w:eastAsia="ja-JP"/>
              </w:rPr>
              <w:t>laborarea etapei I, conform HG nr. 907/2016/ fișă de proiect</w:t>
            </w:r>
          </w:p>
        </w:tc>
        <w:tc>
          <w:tcPr>
            <w:tcW w:w="473" w:type="pct"/>
            <w:shd w:val="clear" w:color="auto" w:fill="F2F2F2"/>
            <w:hideMark/>
          </w:tcPr>
          <w:p w14:paraId="2DF7189F" w14:textId="77777777" w:rsidR="00395D01" w:rsidRPr="00912996" w:rsidRDefault="00395D01" w:rsidP="00292396">
            <w:pPr>
              <w:rPr>
                <w:rFonts w:ascii="Calibri" w:hAnsi="Calibri"/>
                <w:bCs/>
                <w:lang w:eastAsia="ja-JP"/>
              </w:rPr>
            </w:pPr>
            <w:r w:rsidRPr="00912996">
              <w:rPr>
                <w:rFonts w:ascii="Calibri" w:hAnsi="Calibri"/>
                <w:bCs/>
                <w:lang w:eastAsia="ja-JP"/>
              </w:rPr>
              <w:t>980,000</w:t>
            </w:r>
          </w:p>
        </w:tc>
        <w:tc>
          <w:tcPr>
            <w:tcW w:w="411" w:type="pct"/>
            <w:shd w:val="clear" w:color="auto" w:fill="F2F2F2"/>
            <w:hideMark/>
          </w:tcPr>
          <w:p w14:paraId="7B78521E" w14:textId="77777777" w:rsidR="00395D01" w:rsidRPr="00912996" w:rsidRDefault="00395D01" w:rsidP="00292396">
            <w:pPr>
              <w:rPr>
                <w:rFonts w:ascii="Calibri" w:hAnsi="Calibri"/>
                <w:bCs/>
                <w:lang w:eastAsia="ja-JP"/>
              </w:rPr>
            </w:pPr>
            <w:r w:rsidRPr="00912996">
              <w:rPr>
                <w:rFonts w:ascii="Calibri" w:hAnsi="Calibri"/>
                <w:bCs/>
                <w:lang w:eastAsia="ja-JP"/>
              </w:rPr>
              <w:t>200,000</w:t>
            </w:r>
          </w:p>
        </w:tc>
        <w:tc>
          <w:tcPr>
            <w:tcW w:w="347" w:type="pct"/>
            <w:shd w:val="clear" w:color="auto" w:fill="F2F2F2"/>
            <w:hideMark/>
          </w:tcPr>
          <w:p w14:paraId="51F3383E" w14:textId="77777777" w:rsidR="00395D01" w:rsidRPr="00912996" w:rsidRDefault="00395D01" w:rsidP="00292396">
            <w:pPr>
              <w:rPr>
                <w:rFonts w:ascii="Calibri" w:hAnsi="Calibri"/>
                <w:bCs/>
                <w:lang w:eastAsia="ja-JP"/>
              </w:rPr>
            </w:pPr>
            <w:r w:rsidRPr="00912996">
              <w:rPr>
                <w:rFonts w:ascii="Calibri" w:hAnsi="Calibri"/>
                <w:bCs/>
                <w:lang w:eastAsia="ja-JP"/>
              </w:rPr>
              <w:t>2020</w:t>
            </w:r>
            <w:r>
              <w:rPr>
                <w:rFonts w:ascii="Calibri" w:hAnsi="Calibri"/>
                <w:bCs/>
                <w:lang w:eastAsia="ja-JP"/>
              </w:rPr>
              <w:t xml:space="preserve"> </w:t>
            </w:r>
            <w:r w:rsidRPr="00912996">
              <w:rPr>
                <w:rFonts w:ascii="Calibri" w:hAnsi="Calibri"/>
                <w:bCs/>
                <w:lang w:eastAsia="ja-JP"/>
              </w:rPr>
              <w:t>-2023</w:t>
            </w:r>
          </w:p>
        </w:tc>
        <w:tc>
          <w:tcPr>
            <w:tcW w:w="484" w:type="pct"/>
            <w:gridSpan w:val="2"/>
            <w:shd w:val="clear" w:color="auto" w:fill="F2F2F2"/>
            <w:hideMark/>
          </w:tcPr>
          <w:p w14:paraId="7AC1795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6B59D2A1"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FF24F6A"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C545FF6" w14:textId="77777777" w:rsidTr="00E16711">
        <w:trPr>
          <w:trHeight w:val="1056"/>
        </w:trPr>
        <w:tc>
          <w:tcPr>
            <w:tcW w:w="205" w:type="pct"/>
            <w:shd w:val="clear" w:color="auto" w:fill="F2F2F2"/>
            <w:noWrap/>
            <w:hideMark/>
          </w:tcPr>
          <w:p w14:paraId="76E24E96"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62EDD902" w14:textId="77777777" w:rsidR="00395D01" w:rsidRPr="00912996" w:rsidRDefault="00395D01" w:rsidP="00292396">
            <w:pPr>
              <w:rPr>
                <w:rFonts w:ascii="Calibri" w:hAnsi="Calibri"/>
                <w:bCs/>
                <w:lang w:eastAsia="ja-JP"/>
              </w:rPr>
            </w:pPr>
            <w:r w:rsidRPr="00912996">
              <w:rPr>
                <w:rFonts w:ascii="Calibri" w:hAnsi="Calibri"/>
                <w:bCs/>
                <w:lang w:eastAsia="ja-JP"/>
              </w:rPr>
              <w:t>Amenajare Parc Pipera</w:t>
            </w:r>
          </w:p>
        </w:tc>
        <w:tc>
          <w:tcPr>
            <w:tcW w:w="640" w:type="pct"/>
            <w:shd w:val="clear" w:color="auto" w:fill="F2F2F2"/>
            <w:hideMark/>
          </w:tcPr>
          <w:p w14:paraId="59AB2021"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ADP S2 și ALPAB</w:t>
            </w:r>
          </w:p>
        </w:tc>
        <w:tc>
          <w:tcPr>
            <w:tcW w:w="507" w:type="pct"/>
            <w:shd w:val="clear" w:color="auto" w:fill="F2F2F2"/>
            <w:hideMark/>
          </w:tcPr>
          <w:p w14:paraId="14FC7C3D" w14:textId="77777777" w:rsidR="00395D01" w:rsidRPr="00912996" w:rsidRDefault="00395D01" w:rsidP="00292396">
            <w:pPr>
              <w:rPr>
                <w:rFonts w:ascii="Calibri" w:hAnsi="Calibri"/>
                <w:bCs/>
                <w:lang w:eastAsia="ja-JP"/>
              </w:rPr>
            </w:pPr>
            <w:r w:rsidRPr="00912996">
              <w:rPr>
                <w:rFonts w:ascii="Calibri" w:hAnsi="Calibri"/>
                <w:bCs/>
                <w:lang w:eastAsia="ja-JP"/>
              </w:rPr>
              <w:t>PUZ Sector 2 / PUZ inel median</w:t>
            </w:r>
          </w:p>
        </w:tc>
        <w:tc>
          <w:tcPr>
            <w:tcW w:w="473" w:type="pct"/>
            <w:shd w:val="clear" w:color="auto" w:fill="F2F2F2"/>
            <w:hideMark/>
          </w:tcPr>
          <w:p w14:paraId="3536F95E"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19095063"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155D9326"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41E2E096"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37CEB4C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FFA31C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6376A8E" w14:textId="77777777" w:rsidTr="00E16711">
        <w:trPr>
          <w:trHeight w:val="1056"/>
        </w:trPr>
        <w:tc>
          <w:tcPr>
            <w:tcW w:w="205" w:type="pct"/>
            <w:shd w:val="clear" w:color="auto" w:fill="F2F2F2"/>
            <w:noWrap/>
            <w:hideMark/>
          </w:tcPr>
          <w:p w14:paraId="1BF20A7B"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2F88C74F" w14:textId="77777777" w:rsidR="00395D01" w:rsidRPr="00912996" w:rsidRDefault="00395D01" w:rsidP="00292396">
            <w:pPr>
              <w:rPr>
                <w:rFonts w:ascii="Calibri" w:hAnsi="Calibri"/>
                <w:bCs/>
                <w:lang w:eastAsia="ja-JP"/>
              </w:rPr>
            </w:pPr>
            <w:r w:rsidRPr="00912996">
              <w:rPr>
                <w:rFonts w:ascii="Calibri" w:hAnsi="Calibri"/>
                <w:bCs/>
                <w:lang w:eastAsia="ja-JP"/>
              </w:rPr>
              <w:t>Reabilitarea Parcului Național</w:t>
            </w:r>
          </w:p>
        </w:tc>
        <w:tc>
          <w:tcPr>
            <w:tcW w:w="640" w:type="pct"/>
            <w:shd w:val="clear" w:color="auto" w:fill="F2F2F2"/>
            <w:hideMark/>
          </w:tcPr>
          <w:p w14:paraId="2D52E523"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ADP S2</w:t>
            </w:r>
          </w:p>
        </w:tc>
        <w:tc>
          <w:tcPr>
            <w:tcW w:w="507" w:type="pct"/>
            <w:shd w:val="clear" w:color="auto" w:fill="F2F2F2"/>
            <w:hideMark/>
          </w:tcPr>
          <w:p w14:paraId="602D3579" w14:textId="77777777" w:rsidR="00395D01" w:rsidRPr="00912996" w:rsidRDefault="00395D01" w:rsidP="00292396">
            <w:pPr>
              <w:rPr>
                <w:rFonts w:ascii="Calibri" w:hAnsi="Calibri"/>
                <w:bCs/>
                <w:lang w:eastAsia="ja-JP"/>
              </w:rPr>
            </w:pPr>
            <w:r w:rsidRPr="00912996">
              <w:rPr>
                <w:rFonts w:ascii="Calibri" w:hAnsi="Calibri"/>
                <w:bCs/>
                <w:lang w:eastAsia="ja-JP"/>
              </w:rPr>
              <w:t>În elaborare documentație tehnico-economică</w:t>
            </w:r>
          </w:p>
        </w:tc>
        <w:tc>
          <w:tcPr>
            <w:tcW w:w="473" w:type="pct"/>
            <w:shd w:val="clear" w:color="auto" w:fill="F2F2F2"/>
            <w:hideMark/>
          </w:tcPr>
          <w:p w14:paraId="416940EB"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7DEC48AA"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6CACA508"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64406B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6AC34A9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1124D96"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4C69297" w14:textId="77777777" w:rsidTr="00E16711">
        <w:trPr>
          <w:trHeight w:val="1056"/>
        </w:trPr>
        <w:tc>
          <w:tcPr>
            <w:tcW w:w="205" w:type="pct"/>
            <w:shd w:val="clear" w:color="auto" w:fill="F2F2F2"/>
            <w:noWrap/>
            <w:hideMark/>
          </w:tcPr>
          <w:p w14:paraId="66FF951D"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760856F8" w14:textId="77777777" w:rsidR="00395D01" w:rsidRPr="00912996" w:rsidRDefault="00395D01" w:rsidP="00292396">
            <w:pPr>
              <w:rPr>
                <w:rFonts w:ascii="Calibri" w:hAnsi="Calibri"/>
                <w:bCs/>
                <w:lang w:eastAsia="ja-JP"/>
              </w:rPr>
            </w:pPr>
            <w:r w:rsidRPr="00912996">
              <w:rPr>
                <w:rFonts w:ascii="Calibri" w:hAnsi="Calibri"/>
                <w:bCs/>
                <w:lang w:eastAsia="ja-JP"/>
              </w:rPr>
              <w:t>Reabilitare și modernizare zona sportivă Parcul Studențesc</w:t>
            </w:r>
          </w:p>
        </w:tc>
        <w:tc>
          <w:tcPr>
            <w:tcW w:w="640" w:type="pct"/>
            <w:shd w:val="clear" w:color="auto" w:fill="F2F2F2"/>
            <w:hideMark/>
          </w:tcPr>
          <w:p w14:paraId="38FD5557"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Ministrul Educației Naționale</w:t>
            </w:r>
          </w:p>
        </w:tc>
        <w:tc>
          <w:tcPr>
            <w:tcW w:w="507" w:type="pct"/>
            <w:shd w:val="clear" w:color="auto" w:fill="F2F2F2"/>
            <w:hideMark/>
          </w:tcPr>
          <w:p w14:paraId="69BFBE2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BEEA5F2"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0D613592"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6550D0DE"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869C2A4"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3C5D004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6E11A9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5D6E382" w14:textId="77777777" w:rsidTr="00E16711">
        <w:trPr>
          <w:trHeight w:val="792"/>
        </w:trPr>
        <w:tc>
          <w:tcPr>
            <w:tcW w:w="205" w:type="pct"/>
            <w:shd w:val="clear" w:color="auto" w:fill="F2F2F2"/>
            <w:noWrap/>
            <w:hideMark/>
          </w:tcPr>
          <w:p w14:paraId="20F25C03"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0CC09890" w14:textId="77777777" w:rsidR="00395D01" w:rsidRPr="00912996" w:rsidRDefault="00395D01" w:rsidP="00292396">
            <w:pPr>
              <w:rPr>
                <w:rFonts w:ascii="Calibri" w:hAnsi="Calibri"/>
                <w:bCs/>
                <w:lang w:eastAsia="ja-JP"/>
              </w:rPr>
            </w:pPr>
            <w:r w:rsidRPr="00912996">
              <w:rPr>
                <w:rFonts w:ascii="Calibri" w:hAnsi="Calibri"/>
                <w:bCs/>
                <w:lang w:eastAsia="ja-JP"/>
              </w:rPr>
              <w:t>Reabilitare bază sportivă Juventus Colentina</w:t>
            </w:r>
          </w:p>
        </w:tc>
        <w:tc>
          <w:tcPr>
            <w:tcW w:w="640" w:type="pct"/>
            <w:shd w:val="clear" w:color="auto" w:fill="F2F2F2"/>
            <w:hideMark/>
          </w:tcPr>
          <w:p w14:paraId="53A98C00"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administratorii / proprietarii privați</w:t>
            </w:r>
          </w:p>
        </w:tc>
        <w:tc>
          <w:tcPr>
            <w:tcW w:w="507" w:type="pct"/>
            <w:shd w:val="clear" w:color="auto" w:fill="F2F2F2"/>
            <w:hideMark/>
          </w:tcPr>
          <w:p w14:paraId="2A6CC4F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9CD70A8"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49679B99"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26C909C3"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98834C4"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495CFC2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F42197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56FF094" w14:textId="77777777" w:rsidTr="00E16711">
        <w:trPr>
          <w:trHeight w:val="792"/>
        </w:trPr>
        <w:tc>
          <w:tcPr>
            <w:tcW w:w="205" w:type="pct"/>
            <w:shd w:val="clear" w:color="auto" w:fill="F2F2F2"/>
            <w:noWrap/>
            <w:hideMark/>
          </w:tcPr>
          <w:p w14:paraId="4FE2DBCD"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4D171EC3" w14:textId="77777777" w:rsidR="00395D01" w:rsidRPr="00912996" w:rsidRDefault="00395D01" w:rsidP="00292396">
            <w:pPr>
              <w:rPr>
                <w:rFonts w:ascii="Calibri" w:hAnsi="Calibri"/>
                <w:bCs/>
                <w:lang w:eastAsia="ja-JP"/>
              </w:rPr>
            </w:pPr>
            <w:r w:rsidRPr="00912996">
              <w:rPr>
                <w:rFonts w:ascii="Calibri" w:hAnsi="Calibri"/>
                <w:bCs/>
                <w:lang w:eastAsia="ja-JP"/>
              </w:rPr>
              <w:t>Terenuri de sport zona Dobroești - Fundeni</w:t>
            </w:r>
          </w:p>
        </w:tc>
        <w:tc>
          <w:tcPr>
            <w:tcW w:w="640" w:type="pct"/>
            <w:shd w:val="clear" w:color="auto" w:fill="F2F2F2"/>
            <w:hideMark/>
          </w:tcPr>
          <w:p w14:paraId="0B041023"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administratorii / proprietarii privați</w:t>
            </w:r>
          </w:p>
        </w:tc>
        <w:tc>
          <w:tcPr>
            <w:tcW w:w="507" w:type="pct"/>
            <w:shd w:val="clear" w:color="auto" w:fill="F2F2F2"/>
            <w:hideMark/>
          </w:tcPr>
          <w:p w14:paraId="35EBB46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E74BB45" w14:textId="77777777" w:rsidR="00395D01" w:rsidRPr="00912996" w:rsidRDefault="00395D01" w:rsidP="00292396">
            <w:pPr>
              <w:rPr>
                <w:rFonts w:ascii="Calibri" w:hAnsi="Calibri"/>
                <w:bCs/>
                <w:lang w:eastAsia="ja-JP"/>
              </w:rPr>
            </w:pPr>
            <w:r w:rsidRPr="00912996">
              <w:rPr>
                <w:rFonts w:ascii="Calibri" w:hAnsi="Calibri"/>
                <w:bCs/>
                <w:lang w:eastAsia="ja-JP"/>
              </w:rPr>
              <w:t>980,000</w:t>
            </w:r>
          </w:p>
        </w:tc>
        <w:tc>
          <w:tcPr>
            <w:tcW w:w="411" w:type="pct"/>
            <w:shd w:val="clear" w:color="auto" w:fill="F2F2F2"/>
            <w:hideMark/>
          </w:tcPr>
          <w:p w14:paraId="4F411677" w14:textId="77777777" w:rsidR="00395D01" w:rsidRPr="00912996" w:rsidRDefault="00395D01" w:rsidP="00292396">
            <w:pPr>
              <w:rPr>
                <w:rFonts w:ascii="Calibri" w:hAnsi="Calibri"/>
                <w:bCs/>
                <w:lang w:eastAsia="ja-JP"/>
              </w:rPr>
            </w:pPr>
            <w:r w:rsidRPr="00912996">
              <w:rPr>
                <w:rFonts w:ascii="Calibri" w:hAnsi="Calibri"/>
                <w:bCs/>
                <w:lang w:eastAsia="ja-JP"/>
              </w:rPr>
              <w:t>200,000</w:t>
            </w:r>
          </w:p>
        </w:tc>
        <w:tc>
          <w:tcPr>
            <w:tcW w:w="347" w:type="pct"/>
            <w:shd w:val="clear" w:color="auto" w:fill="F2F2F2"/>
            <w:hideMark/>
          </w:tcPr>
          <w:p w14:paraId="0F07A940"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3F4C3CF"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5008A19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62BB29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4C2C75E" w14:textId="77777777" w:rsidTr="00E16711">
        <w:trPr>
          <w:trHeight w:val="792"/>
        </w:trPr>
        <w:tc>
          <w:tcPr>
            <w:tcW w:w="205" w:type="pct"/>
            <w:shd w:val="clear" w:color="auto" w:fill="F2F2F2"/>
            <w:noWrap/>
            <w:hideMark/>
          </w:tcPr>
          <w:p w14:paraId="326D1271"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1D694721" w14:textId="77777777" w:rsidR="00395D01" w:rsidRPr="00912996" w:rsidRDefault="00395D01" w:rsidP="00292396">
            <w:pPr>
              <w:rPr>
                <w:rFonts w:ascii="Calibri" w:hAnsi="Calibri"/>
                <w:bCs/>
                <w:lang w:eastAsia="ja-JP"/>
              </w:rPr>
            </w:pPr>
            <w:r w:rsidRPr="00912996">
              <w:rPr>
                <w:rFonts w:ascii="Calibri" w:hAnsi="Calibri"/>
                <w:bCs/>
                <w:lang w:eastAsia="ja-JP"/>
              </w:rPr>
              <w:t>Terenuri de sport zona Electronicii - Gara Obor</w:t>
            </w:r>
          </w:p>
        </w:tc>
        <w:tc>
          <w:tcPr>
            <w:tcW w:w="640" w:type="pct"/>
            <w:shd w:val="clear" w:color="auto" w:fill="F2F2F2"/>
            <w:hideMark/>
          </w:tcPr>
          <w:p w14:paraId="6ADA7ACD"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administratorii / proprietarii privați</w:t>
            </w:r>
          </w:p>
        </w:tc>
        <w:tc>
          <w:tcPr>
            <w:tcW w:w="507" w:type="pct"/>
            <w:shd w:val="clear" w:color="auto" w:fill="F2F2F2"/>
            <w:hideMark/>
          </w:tcPr>
          <w:p w14:paraId="5AA6050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E1CCA38" w14:textId="77777777" w:rsidR="00395D01" w:rsidRPr="00912996" w:rsidRDefault="00395D01" w:rsidP="00292396">
            <w:pPr>
              <w:rPr>
                <w:rFonts w:ascii="Calibri" w:hAnsi="Calibri"/>
                <w:bCs/>
                <w:lang w:eastAsia="ja-JP"/>
              </w:rPr>
            </w:pPr>
            <w:r w:rsidRPr="00912996">
              <w:rPr>
                <w:rFonts w:ascii="Calibri" w:hAnsi="Calibri"/>
                <w:bCs/>
                <w:lang w:eastAsia="ja-JP"/>
              </w:rPr>
              <w:t>980,000</w:t>
            </w:r>
          </w:p>
        </w:tc>
        <w:tc>
          <w:tcPr>
            <w:tcW w:w="411" w:type="pct"/>
            <w:shd w:val="clear" w:color="auto" w:fill="F2F2F2"/>
            <w:hideMark/>
          </w:tcPr>
          <w:p w14:paraId="2186A1E9" w14:textId="77777777" w:rsidR="00395D01" w:rsidRPr="00912996" w:rsidRDefault="00395D01" w:rsidP="00292396">
            <w:pPr>
              <w:rPr>
                <w:rFonts w:ascii="Calibri" w:hAnsi="Calibri"/>
                <w:bCs/>
                <w:lang w:eastAsia="ja-JP"/>
              </w:rPr>
            </w:pPr>
            <w:r w:rsidRPr="00912996">
              <w:rPr>
                <w:rFonts w:ascii="Calibri" w:hAnsi="Calibri"/>
                <w:bCs/>
                <w:lang w:eastAsia="ja-JP"/>
              </w:rPr>
              <w:t>200,000</w:t>
            </w:r>
          </w:p>
        </w:tc>
        <w:tc>
          <w:tcPr>
            <w:tcW w:w="347" w:type="pct"/>
            <w:shd w:val="clear" w:color="auto" w:fill="F2F2F2"/>
            <w:hideMark/>
          </w:tcPr>
          <w:p w14:paraId="44FE19C6"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32F8842"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318B492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783578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9DEA5D8" w14:textId="77777777" w:rsidTr="00E16711">
        <w:trPr>
          <w:trHeight w:val="792"/>
        </w:trPr>
        <w:tc>
          <w:tcPr>
            <w:tcW w:w="205" w:type="pct"/>
            <w:shd w:val="clear" w:color="auto" w:fill="F2F2F2"/>
            <w:noWrap/>
            <w:hideMark/>
          </w:tcPr>
          <w:p w14:paraId="0F672064"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02525B7F" w14:textId="77777777" w:rsidR="00395D01" w:rsidRPr="00912996" w:rsidRDefault="00395D01" w:rsidP="00292396">
            <w:pPr>
              <w:rPr>
                <w:rFonts w:ascii="Calibri" w:hAnsi="Calibri"/>
                <w:bCs/>
                <w:lang w:eastAsia="ja-JP"/>
              </w:rPr>
            </w:pPr>
            <w:r w:rsidRPr="00912996">
              <w:rPr>
                <w:rFonts w:ascii="Calibri" w:hAnsi="Calibri"/>
                <w:bCs/>
                <w:lang w:eastAsia="ja-JP"/>
              </w:rPr>
              <w:t>Studiu identificare oportunitate amplasare terenuri de sport de mici dimensiuni în cartierele de locuințe colective</w:t>
            </w:r>
          </w:p>
        </w:tc>
        <w:tc>
          <w:tcPr>
            <w:tcW w:w="640" w:type="pct"/>
            <w:shd w:val="clear" w:color="auto" w:fill="F2F2F2"/>
            <w:hideMark/>
          </w:tcPr>
          <w:p w14:paraId="2C8CCF56"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0FAD29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16CB143"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61D90DBC"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5EF0E08D"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9E379B5"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6C0F19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30109B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60DA42F" w14:textId="77777777" w:rsidTr="00E16711">
        <w:trPr>
          <w:trHeight w:val="528"/>
        </w:trPr>
        <w:tc>
          <w:tcPr>
            <w:tcW w:w="205" w:type="pct"/>
            <w:shd w:val="clear" w:color="auto" w:fill="F2F2F2"/>
            <w:noWrap/>
            <w:hideMark/>
          </w:tcPr>
          <w:p w14:paraId="7D8D2CAD" w14:textId="77777777" w:rsidR="00395D01" w:rsidRPr="00912996" w:rsidRDefault="00395D01" w:rsidP="00292396">
            <w:pPr>
              <w:rPr>
                <w:rFonts w:ascii="Calibri" w:hAnsi="Calibri"/>
                <w:bCs/>
                <w:lang w:eastAsia="ja-JP"/>
              </w:rPr>
            </w:pPr>
            <w:r w:rsidRPr="00912996">
              <w:rPr>
                <w:rFonts w:ascii="Calibri" w:hAnsi="Calibri"/>
                <w:bCs/>
                <w:lang w:eastAsia="ja-JP"/>
              </w:rPr>
              <w:t>16</w:t>
            </w:r>
          </w:p>
        </w:tc>
        <w:tc>
          <w:tcPr>
            <w:tcW w:w="1018" w:type="pct"/>
            <w:gridSpan w:val="2"/>
            <w:shd w:val="clear" w:color="auto" w:fill="F2F2F2"/>
            <w:hideMark/>
          </w:tcPr>
          <w:p w14:paraId="2BF7E78E" w14:textId="77777777" w:rsidR="00395D01" w:rsidRPr="00912996" w:rsidRDefault="00395D01" w:rsidP="00292396">
            <w:pPr>
              <w:rPr>
                <w:rFonts w:ascii="Calibri" w:hAnsi="Calibri"/>
                <w:bCs/>
                <w:lang w:eastAsia="ja-JP"/>
              </w:rPr>
            </w:pPr>
            <w:r w:rsidRPr="00912996">
              <w:rPr>
                <w:rFonts w:ascii="Calibri" w:hAnsi="Calibri"/>
                <w:bCs/>
                <w:lang w:eastAsia="ja-JP"/>
              </w:rPr>
              <w:t>Amenajare 2 Skatepark-uri (identificare terenuri)</w:t>
            </w:r>
          </w:p>
        </w:tc>
        <w:tc>
          <w:tcPr>
            <w:tcW w:w="640" w:type="pct"/>
            <w:shd w:val="clear" w:color="auto" w:fill="F2F2F2"/>
            <w:hideMark/>
          </w:tcPr>
          <w:p w14:paraId="607AEC0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6BEBB2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E1E16B1"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23594A23"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337DDF48"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EEB9A54"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F8C8C2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DEA06A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BEDF4F0" w14:textId="77777777" w:rsidTr="00E16711">
        <w:trPr>
          <w:trHeight w:val="792"/>
        </w:trPr>
        <w:tc>
          <w:tcPr>
            <w:tcW w:w="205" w:type="pct"/>
            <w:shd w:val="clear" w:color="auto" w:fill="F2F2F2"/>
            <w:noWrap/>
            <w:hideMark/>
          </w:tcPr>
          <w:p w14:paraId="64607A69" w14:textId="77777777" w:rsidR="00395D01" w:rsidRPr="00912996" w:rsidRDefault="00395D01" w:rsidP="00292396">
            <w:pPr>
              <w:rPr>
                <w:rFonts w:ascii="Calibri" w:hAnsi="Calibri"/>
                <w:bCs/>
                <w:lang w:eastAsia="ja-JP"/>
              </w:rPr>
            </w:pPr>
            <w:r w:rsidRPr="00912996">
              <w:rPr>
                <w:rFonts w:ascii="Calibri" w:hAnsi="Calibri"/>
                <w:bCs/>
                <w:lang w:eastAsia="ja-JP"/>
              </w:rPr>
              <w:t>17</w:t>
            </w:r>
          </w:p>
        </w:tc>
        <w:tc>
          <w:tcPr>
            <w:tcW w:w="1018" w:type="pct"/>
            <w:gridSpan w:val="2"/>
            <w:shd w:val="clear" w:color="auto" w:fill="F2F2F2"/>
            <w:hideMark/>
          </w:tcPr>
          <w:p w14:paraId="6444F817" w14:textId="77777777" w:rsidR="00395D01" w:rsidRPr="00912996" w:rsidRDefault="00395D01" w:rsidP="00292396">
            <w:pPr>
              <w:rPr>
                <w:rFonts w:ascii="Calibri" w:hAnsi="Calibri"/>
                <w:bCs/>
                <w:lang w:eastAsia="ja-JP"/>
              </w:rPr>
            </w:pPr>
            <w:r w:rsidRPr="00912996">
              <w:rPr>
                <w:rFonts w:ascii="Calibri" w:hAnsi="Calibri"/>
                <w:bCs/>
                <w:lang w:eastAsia="ja-JP"/>
              </w:rPr>
              <w:t>Amenajare terenuri sportive și de agrement în zonele cu densitate ridicată a locuințelor colective</w:t>
            </w:r>
          </w:p>
        </w:tc>
        <w:tc>
          <w:tcPr>
            <w:tcW w:w="640" w:type="pct"/>
            <w:shd w:val="clear" w:color="auto" w:fill="F2F2F2"/>
            <w:hideMark/>
          </w:tcPr>
          <w:p w14:paraId="44EE846A"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D5AAC3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A8DFF1D" w14:textId="77777777" w:rsidR="00395D01" w:rsidRPr="00912996" w:rsidRDefault="00395D01" w:rsidP="00292396">
            <w:pPr>
              <w:rPr>
                <w:rFonts w:ascii="Calibri" w:hAnsi="Calibri"/>
                <w:bCs/>
                <w:lang w:eastAsia="ja-JP"/>
              </w:rPr>
            </w:pPr>
            <w:r w:rsidRPr="00912996">
              <w:rPr>
                <w:rFonts w:ascii="Calibri" w:hAnsi="Calibri"/>
                <w:bCs/>
                <w:lang w:eastAsia="ja-JP"/>
              </w:rPr>
              <w:t>12,250,000</w:t>
            </w:r>
          </w:p>
        </w:tc>
        <w:tc>
          <w:tcPr>
            <w:tcW w:w="411" w:type="pct"/>
            <w:shd w:val="clear" w:color="auto" w:fill="F2F2F2"/>
            <w:hideMark/>
          </w:tcPr>
          <w:p w14:paraId="6480F7C4" w14:textId="77777777" w:rsidR="00395D01" w:rsidRPr="00912996" w:rsidRDefault="00395D01" w:rsidP="00292396">
            <w:pPr>
              <w:rPr>
                <w:rFonts w:ascii="Calibri" w:hAnsi="Calibri"/>
                <w:bCs/>
                <w:lang w:eastAsia="ja-JP"/>
              </w:rPr>
            </w:pPr>
            <w:r w:rsidRPr="00912996">
              <w:rPr>
                <w:rFonts w:ascii="Calibri" w:hAnsi="Calibri"/>
                <w:bCs/>
                <w:lang w:eastAsia="ja-JP"/>
              </w:rPr>
              <w:t>2,500,000</w:t>
            </w:r>
          </w:p>
        </w:tc>
        <w:tc>
          <w:tcPr>
            <w:tcW w:w="347" w:type="pct"/>
            <w:shd w:val="clear" w:color="auto" w:fill="F2F2F2"/>
            <w:hideMark/>
          </w:tcPr>
          <w:p w14:paraId="42ADFA30"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763D111"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3B58338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1BE4871" w14:textId="77777777" w:rsidR="00395D01" w:rsidRPr="00912996" w:rsidRDefault="00395D01" w:rsidP="00292396">
            <w:pPr>
              <w:rPr>
                <w:rFonts w:ascii="Calibri" w:hAnsi="Calibri"/>
                <w:bCs/>
                <w:lang w:eastAsia="ja-JP"/>
              </w:rPr>
            </w:pPr>
            <w:r w:rsidRPr="00912996">
              <w:rPr>
                <w:rFonts w:ascii="Calibri" w:hAnsi="Calibri"/>
                <w:bCs/>
                <w:lang w:eastAsia="ja-JP"/>
              </w:rPr>
              <w:t>PS2_Anexa 1. SIDU MB - Lista lungă de proiecte</w:t>
            </w:r>
          </w:p>
        </w:tc>
      </w:tr>
      <w:tr w:rsidR="00E16711" w:rsidRPr="00912996" w14:paraId="2D6303A4" w14:textId="77777777" w:rsidTr="00E16711">
        <w:trPr>
          <w:trHeight w:val="792"/>
        </w:trPr>
        <w:tc>
          <w:tcPr>
            <w:tcW w:w="205" w:type="pct"/>
            <w:shd w:val="clear" w:color="auto" w:fill="F2F2F2"/>
            <w:noWrap/>
            <w:hideMark/>
          </w:tcPr>
          <w:p w14:paraId="32DA6584" w14:textId="77777777" w:rsidR="00395D01" w:rsidRPr="00912996" w:rsidRDefault="00395D01" w:rsidP="00292396">
            <w:pPr>
              <w:rPr>
                <w:rFonts w:ascii="Calibri" w:hAnsi="Calibri"/>
                <w:bCs/>
                <w:lang w:eastAsia="ja-JP"/>
              </w:rPr>
            </w:pPr>
            <w:r w:rsidRPr="00912996">
              <w:rPr>
                <w:rFonts w:ascii="Calibri" w:hAnsi="Calibri"/>
                <w:bCs/>
                <w:lang w:eastAsia="ja-JP"/>
              </w:rPr>
              <w:t>18</w:t>
            </w:r>
          </w:p>
        </w:tc>
        <w:tc>
          <w:tcPr>
            <w:tcW w:w="1018" w:type="pct"/>
            <w:gridSpan w:val="2"/>
            <w:shd w:val="clear" w:color="auto" w:fill="F2F2F2"/>
            <w:hideMark/>
          </w:tcPr>
          <w:p w14:paraId="7F7559FB" w14:textId="77777777" w:rsidR="00395D01" w:rsidRPr="00912996" w:rsidRDefault="00395D01" w:rsidP="00292396">
            <w:pPr>
              <w:rPr>
                <w:rFonts w:ascii="Calibri" w:hAnsi="Calibri"/>
                <w:bCs/>
                <w:lang w:eastAsia="ja-JP"/>
              </w:rPr>
            </w:pPr>
            <w:r w:rsidRPr="00912996">
              <w:rPr>
                <w:rFonts w:ascii="Calibri" w:hAnsi="Calibri"/>
                <w:bCs/>
                <w:lang w:eastAsia="ja-JP"/>
              </w:rPr>
              <w:t>Complex multifuncțional educațional, sportiv si de agrement (Șos. Pantelimon / Lac Dobroești)</w:t>
            </w:r>
          </w:p>
        </w:tc>
        <w:tc>
          <w:tcPr>
            <w:tcW w:w="640" w:type="pct"/>
            <w:shd w:val="clear" w:color="auto" w:fill="F2F2F2"/>
            <w:hideMark/>
          </w:tcPr>
          <w:p w14:paraId="5409FB00"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DEF22E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A1B44C5" w14:textId="77777777" w:rsidR="00395D01" w:rsidRPr="00912996" w:rsidRDefault="00395D01" w:rsidP="00292396">
            <w:pPr>
              <w:rPr>
                <w:rFonts w:ascii="Calibri" w:hAnsi="Calibri"/>
                <w:bCs/>
                <w:lang w:eastAsia="ja-JP"/>
              </w:rPr>
            </w:pPr>
            <w:r w:rsidRPr="00912996">
              <w:rPr>
                <w:rFonts w:ascii="Calibri" w:hAnsi="Calibri"/>
                <w:bCs/>
                <w:lang w:eastAsia="ja-JP"/>
              </w:rPr>
              <w:t>73,500,000</w:t>
            </w:r>
          </w:p>
        </w:tc>
        <w:tc>
          <w:tcPr>
            <w:tcW w:w="411" w:type="pct"/>
            <w:shd w:val="clear" w:color="auto" w:fill="F2F2F2"/>
            <w:hideMark/>
          </w:tcPr>
          <w:p w14:paraId="032A2AA3" w14:textId="77777777" w:rsidR="00395D01" w:rsidRPr="00912996" w:rsidRDefault="00395D01" w:rsidP="00292396">
            <w:pPr>
              <w:rPr>
                <w:rFonts w:ascii="Calibri" w:hAnsi="Calibri"/>
                <w:bCs/>
                <w:lang w:eastAsia="ja-JP"/>
              </w:rPr>
            </w:pPr>
            <w:r w:rsidRPr="00912996">
              <w:rPr>
                <w:rFonts w:ascii="Calibri" w:hAnsi="Calibri"/>
                <w:bCs/>
                <w:lang w:eastAsia="ja-JP"/>
              </w:rPr>
              <w:t>15,000,000</w:t>
            </w:r>
          </w:p>
        </w:tc>
        <w:tc>
          <w:tcPr>
            <w:tcW w:w="347" w:type="pct"/>
            <w:shd w:val="clear" w:color="auto" w:fill="F2F2F2"/>
            <w:hideMark/>
          </w:tcPr>
          <w:p w14:paraId="03B26671"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E10AB82"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10907C6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20037A2" w14:textId="77777777" w:rsidR="00395D01" w:rsidRPr="00912996" w:rsidRDefault="00395D01" w:rsidP="00292396">
            <w:pPr>
              <w:rPr>
                <w:rFonts w:ascii="Calibri" w:hAnsi="Calibri"/>
                <w:bCs/>
                <w:lang w:eastAsia="ja-JP"/>
              </w:rPr>
            </w:pPr>
            <w:r w:rsidRPr="00912996">
              <w:rPr>
                <w:rFonts w:ascii="Calibri" w:hAnsi="Calibri"/>
                <w:bCs/>
                <w:lang w:eastAsia="ja-JP"/>
              </w:rPr>
              <w:t>PS2_Anexa 1. SIDU MB - Lista lungă de proiecte</w:t>
            </w:r>
          </w:p>
        </w:tc>
      </w:tr>
      <w:tr w:rsidR="00E16711" w:rsidRPr="00912996" w14:paraId="586F5D03" w14:textId="77777777" w:rsidTr="00E16711">
        <w:trPr>
          <w:trHeight w:val="792"/>
        </w:trPr>
        <w:tc>
          <w:tcPr>
            <w:tcW w:w="205" w:type="pct"/>
            <w:shd w:val="clear" w:color="auto" w:fill="F2F2F2"/>
            <w:noWrap/>
            <w:hideMark/>
          </w:tcPr>
          <w:p w14:paraId="4A8F707C" w14:textId="77777777" w:rsidR="00395D01" w:rsidRPr="00912996" w:rsidRDefault="00395D01" w:rsidP="00292396">
            <w:pPr>
              <w:rPr>
                <w:rFonts w:ascii="Calibri" w:hAnsi="Calibri"/>
                <w:bCs/>
                <w:lang w:eastAsia="ja-JP"/>
              </w:rPr>
            </w:pPr>
            <w:r w:rsidRPr="00912996">
              <w:rPr>
                <w:rFonts w:ascii="Calibri" w:hAnsi="Calibri"/>
                <w:bCs/>
                <w:lang w:eastAsia="ja-JP"/>
              </w:rPr>
              <w:t>19</w:t>
            </w:r>
          </w:p>
        </w:tc>
        <w:tc>
          <w:tcPr>
            <w:tcW w:w="1018" w:type="pct"/>
            <w:gridSpan w:val="2"/>
            <w:shd w:val="clear" w:color="auto" w:fill="F2F2F2"/>
            <w:hideMark/>
          </w:tcPr>
          <w:p w14:paraId="7BDB30F1" w14:textId="77777777" w:rsidR="00395D01" w:rsidRPr="00912996" w:rsidRDefault="00395D01" w:rsidP="00292396">
            <w:pPr>
              <w:rPr>
                <w:rFonts w:ascii="Calibri" w:hAnsi="Calibri"/>
                <w:bCs/>
                <w:lang w:eastAsia="ja-JP"/>
              </w:rPr>
            </w:pPr>
            <w:r w:rsidRPr="00912996">
              <w:rPr>
                <w:rFonts w:ascii="Calibri" w:hAnsi="Calibri"/>
                <w:bCs/>
                <w:lang w:eastAsia="ja-JP"/>
              </w:rPr>
              <w:t>Extindere sală de gimnastică din cadrul Complex Sportiv National „Lia Manoliu”</w:t>
            </w:r>
          </w:p>
        </w:tc>
        <w:tc>
          <w:tcPr>
            <w:tcW w:w="640" w:type="pct"/>
            <w:shd w:val="clear" w:color="auto" w:fill="F2F2F2"/>
            <w:hideMark/>
          </w:tcPr>
          <w:p w14:paraId="22F17CF9"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255413D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5898EC6" w14:textId="77777777" w:rsidR="00395D01" w:rsidRPr="00912996" w:rsidRDefault="00395D01" w:rsidP="00292396">
            <w:pPr>
              <w:rPr>
                <w:rFonts w:ascii="Calibri" w:hAnsi="Calibri"/>
                <w:bCs/>
                <w:lang w:eastAsia="ja-JP"/>
              </w:rPr>
            </w:pPr>
            <w:r w:rsidRPr="00912996">
              <w:rPr>
                <w:rFonts w:ascii="Calibri" w:hAnsi="Calibri"/>
                <w:bCs/>
                <w:lang w:eastAsia="ja-JP"/>
              </w:rPr>
              <w:t>14,700,000</w:t>
            </w:r>
          </w:p>
        </w:tc>
        <w:tc>
          <w:tcPr>
            <w:tcW w:w="411" w:type="pct"/>
            <w:shd w:val="clear" w:color="auto" w:fill="F2F2F2"/>
            <w:hideMark/>
          </w:tcPr>
          <w:p w14:paraId="293704D8"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347" w:type="pct"/>
            <w:shd w:val="clear" w:color="auto" w:fill="F2F2F2"/>
            <w:hideMark/>
          </w:tcPr>
          <w:p w14:paraId="3EC18DD0"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26A3902"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6019D06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95CCE9E"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5AD26707" w14:textId="77777777" w:rsidTr="00E16711">
        <w:trPr>
          <w:trHeight w:val="1320"/>
        </w:trPr>
        <w:tc>
          <w:tcPr>
            <w:tcW w:w="205" w:type="pct"/>
            <w:shd w:val="clear" w:color="auto" w:fill="F2F2F2"/>
            <w:noWrap/>
            <w:hideMark/>
          </w:tcPr>
          <w:p w14:paraId="43501F38" w14:textId="77777777" w:rsidR="00395D01" w:rsidRPr="00912996" w:rsidRDefault="00395D01" w:rsidP="00292396">
            <w:pPr>
              <w:rPr>
                <w:rFonts w:ascii="Calibri" w:hAnsi="Calibri"/>
                <w:bCs/>
                <w:lang w:eastAsia="ja-JP"/>
              </w:rPr>
            </w:pPr>
            <w:r w:rsidRPr="00912996">
              <w:rPr>
                <w:rFonts w:ascii="Calibri" w:hAnsi="Calibri"/>
                <w:bCs/>
                <w:lang w:eastAsia="ja-JP"/>
              </w:rPr>
              <w:t>20</w:t>
            </w:r>
          </w:p>
        </w:tc>
        <w:tc>
          <w:tcPr>
            <w:tcW w:w="1018" w:type="pct"/>
            <w:gridSpan w:val="2"/>
            <w:shd w:val="clear" w:color="auto" w:fill="F2F2F2"/>
            <w:hideMark/>
          </w:tcPr>
          <w:p w14:paraId="73CA8D18" w14:textId="77777777" w:rsidR="00395D01" w:rsidRPr="00912996" w:rsidRDefault="00395D01" w:rsidP="00292396">
            <w:pPr>
              <w:rPr>
                <w:rFonts w:ascii="Calibri" w:hAnsi="Calibri"/>
                <w:bCs/>
                <w:lang w:eastAsia="ja-JP"/>
              </w:rPr>
            </w:pPr>
            <w:r w:rsidRPr="00912996">
              <w:rPr>
                <w:rFonts w:ascii="Calibri" w:hAnsi="Calibri"/>
                <w:bCs/>
                <w:lang w:eastAsia="ja-JP"/>
              </w:rPr>
              <w:t>Amenajarea in parcurile existente si a spatiilor dedicate copiilor de vârste mai mari (circuite pentru BMX, skateboard, trotinete, role și biciclete, panouri de baschet, mese pentru board games)</w:t>
            </w:r>
          </w:p>
        </w:tc>
        <w:tc>
          <w:tcPr>
            <w:tcW w:w="640" w:type="pct"/>
            <w:shd w:val="clear" w:color="auto" w:fill="F2F2F2"/>
            <w:hideMark/>
          </w:tcPr>
          <w:p w14:paraId="3C93C52F"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C00727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83429A2"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542DDCA1"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7E75EFD7"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D7F05C4"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5D0CF10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48704DD"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61ED36A8" w14:textId="77777777" w:rsidTr="00E16711">
        <w:trPr>
          <w:trHeight w:val="1584"/>
        </w:trPr>
        <w:tc>
          <w:tcPr>
            <w:tcW w:w="205" w:type="pct"/>
            <w:shd w:val="clear" w:color="auto" w:fill="F2F2F2"/>
            <w:noWrap/>
            <w:hideMark/>
          </w:tcPr>
          <w:p w14:paraId="54C76217" w14:textId="77777777" w:rsidR="00395D01" w:rsidRPr="00912996" w:rsidRDefault="00395D01" w:rsidP="00292396">
            <w:pPr>
              <w:rPr>
                <w:rFonts w:ascii="Calibri" w:hAnsi="Calibri"/>
                <w:bCs/>
                <w:lang w:eastAsia="ja-JP"/>
              </w:rPr>
            </w:pPr>
            <w:r w:rsidRPr="00912996">
              <w:rPr>
                <w:rFonts w:ascii="Calibri" w:hAnsi="Calibri"/>
                <w:bCs/>
                <w:lang w:eastAsia="ja-JP"/>
              </w:rPr>
              <w:t>21</w:t>
            </w:r>
          </w:p>
        </w:tc>
        <w:tc>
          <w:tcPr>
            <w:tcW w:w="1018" w:type="pct"/>
            <w:gridSpan w:val="2"/>
            <w:shd w:val="clear" w:color="auto" w:fill="F2F2F2"/>
            <w:hideMark/>
          </w:tcPr>
          <w:p w14:paraId="000AF170" w14:textId="77777777" w:rsidR="00395D01" w:rsidRPr="00912996" w:rsidRDefault="00395D01" w:rsidP="00292396">
            <w:pPr>
              <w:rPr>
                <w:rFonts w:ascii="Calibri" w:hAnsi="Calibri"/>
                <w:bCs/>
                <w:lang w:eastAsia="ja-JP"/>
              </w:rPr>
            </w:pPr>
            <w:r w:rsidRPr="00912996">
              <w:rPr>
                <w:rFonts w:ascii="Calibri" w:hAnsi="Calibri"/>
                <w:bCs/>
                <w:lang w:eastAsia="ja-JP"/>
              </w:rPr>
              <w:t>Amenajarea Complexului Sportiv din Șoseaua Ștefan cel Mare</w:t>
            </w:r>
          </w:p>
        </w:tc>
        <w:tc>
          <w:tcPr>
            <w:tcW w:w="640" w:type="pct"/>
            <w:shd w:val="clear" w:color="auto" w:fill="F2F2F2"/>
            <w:hideMark/>
          </w:tcPr>
          <w:p w14:paraId="3EDD0A70" w14:textId="77777777" w:rsidR="00395D01" w:rsidRPr="00912996" w:rsidRDefault="00395D01" w:rsidP="00292396">
            <w:pPr>
              <w:rPr>
                <w:rFonts w:ascii="Calibri" w:hAnsi="Calibri"/>
                <w:bCs/>
                <w:lang w:eastAsia="ja-JP"/>
              </w:rPr>
            </w:pPr>
            <w:r w:rsidRPr="00912996">
              <w:rPr>
                <w:rFonts w:ascii="Calibri" w:hAnsi="Calibri"/>
                <w:bCs/>
                <w:lang w:eastAsia="ja-JP"/>
              </w:rPr>
              <w:t>Primăria Municipiului București</w:t>
            </w:r>
            <w:r>
              <w:rPr>
                <w:rFonts w:ascii="Calibri" w:hAnsi="Calibri"/>
                <w:bCs/>
                <w:lang w:eastAsia="ja-JP"/>
              </w:rPr>
              <w:t xml:space="preserve">, </w:t>
            </w:r>
            <w:r w:rsidRPr="00912996">
              <w:rPr>
                <w:rFonts w:ascii="Calibri" w:hAnsi="Calibri"/>
                <w:bCs/>
                <w:lang w:eastAsia="ja-JP"/>
              </w:rPr>
              <w:t>PS2</w:t>
            </w:r>
            <w:r>
              <w:rPr>
                <w:rFonts w:ascii="Calibri" w:hAnsi="Calibri"/>
                <w:bCs/>
                <w:lang w:eastAsia="ja-JP"/>
              </w:rPr>
              <w:t>,</w:t>
            </w:r>
            <w:r w:rsidRPr="00912996">
              <w:rPr>
                <w:rFonts w:ascii="Calibri" w:hAnsi="Calibri"/>
                <w:bCs/>
                <w:lang w:eastAsia="ja-JP"/>
              </w:rPr>
              <w:t xml:space="preserve"> Ministerul Afacerilor Interne</w:t>
            </w:r>
          </w:p>
        </w:tc>
        <w:tc>
          <w:tcPr>
            <w:tcW w:w="507" w:type="pct"/>
            <w:shd w:val="clear" w:color="auto" w:fill="F2F2F2"/>
            <w:hideMark/>
          </w:tcPr>
          <w:p w14:paraId="40E63FB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C27D6A1" w14:textId="77777777" w:rsidR="00395D01" w:rsidRPr="00912996" w:rsidRDefault="00395D01" w:rsidP="00292396">
            <w:pPr>
              <w:rPr>
                <w:rFonts w:ascii="Calibri" w:hAnsi="Calibri"/>
                <w:bCs/>
                <w:lang w:eastAsia="ja-JP"/>
              </w:rPr>
            </w:pPr>
            <w:r w:rsidRPr="00912996">
              <w:rPr>
                <w:rFonts w:ascii="Calibri" w:hAnsi="Calibri"/>
                <w:bCs/>
                <w:lang w:eastAsia="ja-JP"/>
              </w:rPr>
              <w:t>735,000,000</w:t>
            </w:r>
          </w:p>
        </w:tc>
        <w:tc>
          <w:tcPr>
            <w:tcW w:w="411" w:type="pct"/>
            <w:shd w:val="clear" w:color="auto" w:fill="F2F2F2"/>
            <w:hideMark/>
          </w:tcPr>
          <w:p w14:paraId="7F61B554" w14:textId="77777777" w:rsidR="00395D01" w:rsidRPr="00912996" w:rsidRDefault="00395D01" w:rsidP="00292396">
            <w:pPr>
              <w:rPr>
                <w:rFonts w:ascii="Calibri" w:hAnsi="Calibri"/>
                <w:bCs/>
                <w:lang w:eastAsia="ja-JP"/>
              </w:rPr>
            </w:pPr>
            <w:r w:rsidRPr="00912996">
              <w:rPr>
                <w:rFonts w:ascii="Calibri" w:hAnsi="Calibri"/>
                <w:bCs/>
                <w:lang w:eastAsia="ja-JP"/>
              </w:rPr>
              <w:t>150,000,000</w:t>
            </w:r>
          </w:p>
        </w:tc>
        <w:tc>
          <w:tcPr>
            <w:tcW w:w="347" w:type="pct"/>
            <w:shd w:val="clear" w:color="auto" w:fill="F2F2F2"/>
            <w:hideMark/>
          </w:tcPr>
          <w:p w14:paraId="6276455C"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E4FBF59"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046CACE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830C472"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033DDB18" w14:textId="77777777" w:rsidTr="00E16711">
        <w:trPr>
          <w:trHeight w:val="792"/>
        </w:trPr>
        <w:tc>
          <w:tcPr>
            <w:tcW w:w="205" w:type="pct"/>
            <w:shd w:val="clear" w:color="auto" w:fill="F2F2F2"/>
            <w:noWrap/>
            <w:hideMark/>
          </w:tcPr>
          <w:p w14:paraId="6456C4CA" w14:textId="77777777" w:rsidR="00395D01" w:rsidRPr="00912996" w:rsidRDefault="00395D01" w:rsidP="00292396">
            <w:pPr>
              <w:rPr>
                <w:rFonts w:ascii="Calibri" w:hAnsi="Calibri"/>
                <w:bCs/>
                <w:lang w:eastAsia="ja-JP"/>
              </w:rPr>
            </w:pPr>
            <w:r w:rsidRPr="00912996">
              <w:rPr>
                <w:rFonts w:ascii="Calibri" w:hAnsi="Calibri"/>
                <w:bCs/>
                <w:lang w:eastAsia="ja-JP"/>
              </w:rPr>
              <w:t>22</w:t>
            </w:r>
          </w:p>
        </w:tc>
        <w:tc>
          <w:tcPr>
            <w:tcW w:w="1018" w:type="pct"/>
            <w:gridSpan w:val="2"/>
            <w:shd w:val="clear" w:color="auto" w:fill="F2F2F2"/>
            <w:hideMark/>
          </w:tcPr>
          <w:p w14:paraId="6FC85997" w14:textId="77777777" w:rsidR="00395D01" w:rsidRPr="00912996" w:rsidRDefault="00395D01" w:rsidP="00292396">
            <w:pPr>
              <w:rPr>
                <w:rFonts w:ascii="Calibri" w:hAnsi="Calibri"/>
                <w:bCs/>
                <w:lang w:eastAsia="ja-JP"/>
              </w:rPr>
            </w:pPr>
            <w:r w:rsidRPr="00912996">
              <w:rPr>
                <w:rFonts w:ascii="Calibri" w:hAnsi="Calibri"/>
                <w:bCs/>
                <w:lang w:eastAsia="ja-JP"/>
              </w:rPr>
              <w:t>Amenajare bazin de înot cu scop didactic și de agrement</w:t>
            </w:r>
          </w:p>
        </w:tc>
        <w:tc>
          <w:tcPr>
            <w:tcW w:w="640" w:type="pct"/>
            <w:shd w:val="clear" w:color="auto" w:fill="F2F2F2"/>
            <w:hideMark/>
          </w:tcPr>
          <w:p w14:paraId="7421D862"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177226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26FE4E4" w14:textId="77777777" w:rsidR="00395D01" w:rsidRPr="00912996" w:rsidRDefault="00395D01" w:rsidP="00292396">
            <w:pPr>
              <w:rPr>
                <w:rFonts w:ascii="Calibri" w:hAnsi="Calibri"/>
                <w:bCs/>
                <w:lang w:eastAsia="ja-JP"/>
              </w:rPr>
            </w:pPr>
            <w:r w:rsidRPr="00912996">
              <w:rPr>
                <w:rFonts w:ascii="Calibri" w:hAnsi="Calibri"/>
                <w:bCs/>
                <w:lang w:eastAsia="ja-JP"/>
              </w:rPr>
              <w:t>12,250,000</w:t>
            </w:r>
          </w:p>
        </w:tc>
        <w:tc>
          <w:tcPr>
            <w:tcW w:w="411" w:type="pct"/>
            <w:shd w:val="clear" w:color="auto" w:fill="F2F2F2"/>
            <w:hideMark/>
          </w:tcPr>
          <w:p w14:paraId="79ACFB5B" w14:textId="77777777" w:rsidR="00395D01" w:rsidRPr="00912996" w:rsidRDefault="00395D01" w:rsidP="00292396">
            <w:pPr>
              <w:rPr>
                <w:rFonts w:ascii="Calibri" w:hAnsi="Calibri"/>
                <w:bCs/>
                <w:lang w:eastAsia="ja-JP"/>
              </w:rPr>
            </w:pPr>
            <w:r w:rsidRPr="00912996">
              <w:rPr>
                <w:rFonts w:ascii="Calibri" w:hAnsi="Calibri"/>
                <w:bCs/>
                <w:lang w:eastAsia="ja-JP"/>
              </w:rPr>
              <w:t>2,500,000</w:t>
            </w:r>
          </w:p>
        </w:tc>
        <w:tc>
          <w:tcPr>
            <w:tcW w:w="347" w:type="pct"/>
            <w:shd w:val="clear" w:color="auto" w:fill="F2F2F2"/>
            <w:hideMark/>
          </w:tcPr>
          <w:p w14:paraId="7C33CDE9"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A6F6D96"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4FCBFCC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FACCCE8"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136C1B5D" w14:textId="77777777" w:rsidTr="00E16711">
        <w:trPr>
          <w:trHeight w:val="792"/>
        </w:trPr>
        <w:tc>
          <w:tcPr>
            <w:tcW w:w="205" w:type="pct"/>
            <w:shd w:val="clear" w:color="auto" w:fill="F2F2F2"/>
            <w:noWrap/>
            <w:hideMark/>
          </w:tcPr>
          <w:p w14:paraId="770AD007" w14:textId="77777777" w:rsidR="00395D01" w:rsidRPr="00912996" w:rsidRDefault="00395D01" w:rsidP="00292396">
            <w:pPr>
              <w:rPr>
                <w:rFonts w:ascii="Calibri" w:hAnsi="Calibri"/>
                <w:bCs/>
                <w:lang w:eastAsia="ja-JP"/>
              </w:rPr>
            </w:pPr>
            <w:r w:rsidRPr="00912996">
              <w:rPr>
                <w:rFonts w:ascii="Calibri" w:hAnsi="Calibri"/>
                <w:bCs/>
                <w:lang w:eastAsia="ja-JP"/>
              </w:rPr>
              <w:t>23</w:t>
            </w:r>
          </w:p>
        </w:tc>
        <w:tc>
          <w:tcPr>
            <w:tcW w:w="1018" w:type="pct"/>
            <w:gridSpan w:val="2"/>
            <w:shd w:val="clear" w:color="auto" w:fill="F2F2F2"/>
            <w:hideMark/>
          </w:tcPr>
          <w:p w14:paraId="74DB921B" w14:textId="77777777" w:rsidR="00395D01" w:rsidRPr="00912996" w:rsidRDefault="00395D01" w:rsidP="00292396">
            <w:pPr>
              <w:rPr>
                <w:rFonts w:ascii="Calibri" w:hAnsi="Calibri"/>
                <w:bCs/>
                <w:lang w:eastAsia="ja-JP"/>
              </w:rPr>
            </w:pPr>
            <w:r w:rsidRPr="00912996">
              <w:rPr>
                <w:rFonts w:ascii="Calibri" w:hAnsi="Calibri"/>
                <w:bCs/>
                <w:lang w:eastAsia="ja-JP"/>
              </w:rPr>
              <w:t>Amenajare bazin de înot sportiv</w:t>
            </w:r>
          </w:p>
        </w:tc>
        <w:tc>
          <w:tcPr>
            <w:tcW w:w="640" w:type="pct"/>
            <w:shd w:val="clear" w:color="auto" w:fill="F2F2F2"/>
            <w:hideMark/>
          </w:tcPr>
          <w:p w14:paraId="2681066D"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EE05DB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078E2D8"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78A3415F"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2A0FCF9A"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B9C049D"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6B69C15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32A28CD"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5227836E" w14:textId="77777777" w:rsidTr="00E16711">
        <w:trPr>
          <w:trHeight w:val="1056"/>
        </w:trPr>
        <w:tc>
          <w:tcPr>
            <w:tcW w:w="205" w:type="pct"/>
            <w:shd w:val="clear" w:color="auto" w:fill="F2F2F2"/>
            <w:noWrap/>
            <w:hideMark/>
          </w:tcPr>
          <w:p w14:paraId="35627EED" w14:textId="77777777" w:rsidR="00395D01" w:rsidRPr="00912996" w:rsidRDefault="00395D01" w:rsidP="00292396">
            <w:pPr>
              <w:rPr>
                <w:rFonts w:ascii="Calibri" w:hAnsi="Calibri"/>
                <w:bCs/>
                <w:lang w:eastAsia="ja-JP"/>
              </w:rPr>
            </w:pPr>
            <w:r w:rsidRPr="00912996">
              <w:rPr>
                <w:rFonts w:ascii="Calibri" w:hAnsi="Calibri"/>
                <w:bCs/>
                <w:lang w:eastAsia="ja-JP"/>
              </w:rPr>
              <w:t>24</w:t>
            </w:r>
          </w:p>
        </w:tc>
        <w:tc>
          <w:tcPr>
            <w:tcW w:w="1018" w:type="pct"/>
            <w:gridSpan w:val="2"/>
            <w:shd w:val="clear" w:color="auto" w:fill="F2F2F2"/>
            <w:hideMark/>
          </w:tcPr>
          <w:p w14:paraId="1EAC1028" w14:textId="77777777" w:rsidR="00395D01" w:rsidRPr="00912996" w:rsidRDefault="00395D01" w:rsidP="00292396">
            <w:pPr>
              <w:rPr>
                <w:rFonts w:ascii="Calibri" w:hAnsi="Calibri"/>
                <w:bCs/>
                <w:lang w:eastAsia="ja-JP"/>
              </w:rPr>
            </w:pPr>
            <w:r w:rsidRPr="00912996">
              <w:rPr>
                <w:rFonts w:ascii="Calibri" w:hAnsi="Calibri"/>
                <w:bCs/>
                <w:lang w:eastAsia="ja-JP"/>
              </w:rPr>
              <w:t>Reabilitare Parcul Sticlăriei - parc ecologic</w:t>
            </w:r>
          </w:p>
        </w:tc>
        <w:tc>
          <w:tcPr>
            <w:tcW w:w="640" w:type="pct"/>
            <w:shd w:val="clear" w:color="auto" w:fill="F2F2F2"/>
            <w:hideMark/>
          </w:tcPr>
          <w:p w14:paraId="49F4A200"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ADP S2</w:t>
            </w:r>
          </w:p>
        </w:tc>
        <w:tc>
          <w:tcPr>
            <w:tcW w:w="507" w:type="pct"/>
            <w:shd w:val="clear" w:color="auto" w:fill="F2F2F2"/>
            <w:hideMark/>
          </w:tcPr>
          <w:p w14:paraId="48F7C12D" w14:textId="77777777" w:rsidR="00395D01" w:rsidRPr="00912996" w:rsidRDefault="00395D01" w:rsidP="00292396">
            <w:pPr>
              <w:rPr>
                <w:rFonts w:ascii="Calibri" w:hAnsi="Calibri"/>
                <w:bCs/>
                <w:lang w:eastAsia="ja-JP"/>
              </w:rPr>
            </w:pPr>
            <w:r>
              <w:rPr>
                <w:rFonts w:ascii="Calibri" w:hAnsi="Calibri"/>
                <w:bCs/>
                <w:lang w:eastAsia="ja-JP"/>
              </w:rPr>
              <w:t>Finalizat 2021</w:t>
            </w:r>
          </w:p>
        </w:tc>
        <w:tc>
          <w:tcPr>
            <w:tcW w:w="473" w:type="pct"/>
            <w:shd w:val="clear" w:color="auto" w:fill="F2F2F2"/>
            <w:hideMark/>
          </w:tcPr>
          <w:p w14:paraId="63BAB9C1" w14:textId="77777777" w:rsidR="00395D01" w:rsidRPr="00912996" w:rsidRDefault="00395D01" w:rsidP="00292396">
            <w:pPr>
              <w:rPr>
                <w:rFonts w:ascii="Calibri" w:hAnsi="Calibri"/>
                <w:bCs/>
                <w:lang w:eastAsia="ja-JP"/>
              </w:rPr>
            </w:pPr>
            <w:r w:rsidRPr="00912996">
              <w:rPr>
                <w:rFonts w:ascii="Calibri" w:hAnsi="Calibri"/>
                <w:bCs/>
                <w:lang w:eastAsia="ja-JP"/>
              </w:rPr>
              <w:t>17,150,000</w:t>
            </w:r>
          </w:p>
        </w:tc>
        <w:tc>
          <w:tcPr>
            <w:tcW w:w="411" w:type="pct"/>
            <w:shd w:val="clear" w:color="auto" w:fill="F2F2F2"/>
            <w:hideMark/>
          </w:tcPr>
          <w:p w14:paraId="0D751C39" w14:textId="77777777" w:rsidR="00395D01" w:rsidRPr="00912996" w:rsidRDefault="00395D01" w:rsidP="00292396">
            <w:pPr>
              <w:rPr>
                <w:rFonts w:ascii="Calibri" w:hAnsi="Calibri"/>
                <w:bCs/>
                <w:lang w:eastAsia="ja-JP"/>
              </w:rPr>
            </w:pPr>
            <w:r w:rsidRPr="00912996">
              <w:rPr>
                <w:rFonts w:ascii="Calibri" w:hAnsi="Calibri"/>
                <w:bCs/>
                <w:lang w:eastAsia="ja-JP"/>
              </w:rPr>
              <w:t>3,500,000</w:t>
            </w:r>
          </w:p>
        </w:tc>
        <w:tc>
          <w:tcPr>
            <w:tcW w:w="347" w:type="pct"/>
            <w:shd w:val="clear" w:color="auto" w:fill="F2F2F2"/>
            <w:hideMark/>
          </w:tcPr>
          <w:p w14:paraId="60C87AE4" w14:textId="77777777" w:rsidR="00395D01" w:rsidRPr="00912996" w:rsidRDefault="00395D01" w:rsidP="00292396">
            <w:pPr>
              <w:rPr>
                <w:rFonts w:ascii="Calibri" w:hAnsi="Calibri"/>
                <w:bCs/>
                <w:lang w:eastAsia="ja-JP"/>
              </w:rPr>
            </w:pPr>
            <w:r w:rsidRPr="00912996">
              <w:rPr>
                <w:rFonts w:ascii="Calibri" w:hAnsi="Calibri"/>
                <w:bCs/>
                <w:lang w:eastAsia="ja-JP"/>
              </w:rPr>
              <w:t>202</w:t>
            </w:r>
            <w:r>
              <w:rPr>
                <w:rFonts w:ascii="Calibri" w:hAnsi="Calibri"/>
                <w:bCs/>
                <w:lang w:eastAsia="ja-JP"/>
              </w:rPr>
              <w:t xml:space="preserve">0 </w:t>
            </w:r>
            <w:r w:rsidRPr="00912996">
              <w:rPr>
                <w:rFonts w:ascii="Calibri" w:hAnsi="Calibri"/>
                <w:bCs/>
                <w:lang w:eastAsia="ja-JP"/>
              </w:rPr>
              <w:t>-202</w:t>
            </w:r>
            <w:r>
              <w:rPr>
                <w:rFonts w:ascii="Calibri" w:hAnsi="Calibri"/>
                <w:bCs/>
                <w:lang w:eastAsia="ja-JP"/>
              </w:rPr>
              <w:t>1</w:t>
            </w:r>
          </w:p>
        </w:tc>
        <w:tc>
          <w:tcPr>
            <w:tcW w:w="484" w:type="pct"/>
            <w:gridSpan w:val="2"/>
            <w:shd w:val="clear" w:color="auto" w:fill="F2F2F2"/>
            <w:hideMark/>
          </w:tcPr>
          <w:p w14:paraId="061F61E9" w14:textId="77777777" w:rsidR="00395D01" w:rsidRPr="00912996" w:rsidRDefault="00395D01" w:rsidP="00292396">
            <w:pPr>
              <w:rPr>
                <w:rFonts w:ascii="Calibri" w:hAnsi="Calibri"/>
                <w:bCs/>
                <w:lang w:eastAsia="ja-JP"/>
              </w:rPr>
            </w:pPr>
            <w:r w:rsidRPr="005D5584">
              <w:rPr>
                <w:rFonts w:ascii="Calibri" w:hAnsi="Calibri"/>
                <w:bCs/>
                <w:lang w:eastAsia="ja-JP"/>
              </w:rPr>
              <w:t>Fonduri Europene, Bugetul local,  Alte surse de finanțare</w:t>
            </w:r>
          </w:p>
        </w:tc>
        <w:tc>
          <w:tcPr>
            <w:tcW w:w="433" w:type="pct"/>
            <w:shd w:val="clear" w:color="auto" w:fill="F2F2F2"/>
            <w:hideMark/>
          </w:tcPr>
          <w:p w14:paraId="7CFBDC6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542E3BC"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42B1010F" w14:textId="77777777" w:rsidTr="00E16711">
        <w:trPr>
          <w:trHeight w:val="1056"/>
        </w:trPr>
        <w:tc>
          <w:tcPr>
            <w:tcW w:w="205" w:type="pct"/>
            <w:shd w:val="clear" w:color="auto" w:fill="F2F2F2"/>
            <w:noWrap/>
            <w:hideMark/>
          </w:tcPr>
          <w:p w14:paraId="50E9EE86" w14:textId="77777777" w:rsidR="00395D01" w:rsidRPr="00912996" w:rsidRDefault="00395D01" w:rsidP="00292396">
            <w:pPr>
              <w:rPr>
                <w:rFonts w:ascii="Calibri" w:hAnsi="Calibri"/>
                <w:bCs/>
                <w:lang w:eastAsia="ja-JP"/>
              </w:rPr>
            </w:pPr>
            <w:r w:rsidRPr="00912996">
              <w:rPr>
                <w:rFonts w:ascii="Calibri" w:hAnsi="Calibri"/>
                <w:bCs/>
                <w:lang w:eastAsia="ja-JP"/>
              </w:rPr>
              <w:t>25</w:t>
            </w:r>
          </w:p>
        </w:tc>
        <w:tc>
          <w:tcPr>
            <w:tcW w:w="1018" w:type="pct"/>
            <w:gridSpan w:val="2"/>
            <w:shd w:val="clear" w:color="auto" w:fill="F2F2F2"/>
            <w:hideMark/>
          </w:tcPr>
          <w:p w14:paraId="3970632C" w14:textId="77777777" w:rsidR="00395D01" w:rsidRPr="00912996" w:rsidRDefault="00395D01" w:rsidP="00292396">
            <w:pPr>
              <w:rPr>
                <w:rFonts w:ascii="Calibri" w:hAnsi="Calibri"/>
                <w:bCs/>
                <w:lang w:eastAsia="ja-JP"/>
              </w:rPr>
            </w:pPr>
            <w:r w:rsidRPr="00912996">
              <w:rPr>
                <w:rFonts w:ascii="Calibri" w:hAnsi="Calibri"/>
                <w:bCs/>
                <w:lang w:eastAsia="ja-JP"/>
              </w:rPr>
              <w:t>Amenajarea Parcului Moroeni</w:t>
            </w:r>
          </w:p>
        </w:tc>
        <w:tc>
          <w:tcPr>
            <w:tcW w:w="640" w:type="pct"/>
            <w:shd w:val="clear" w:color="auto" w:fill="F2F2F2"/>
            <w:hideMark/>
          </w:tcPr>
          <w:p w14:paraId="27995651"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4091384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E28768D"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1158BDA4"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146FFBD2"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71C6675"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07934EB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93F0BB5"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26F65788" w14:textId="77777777" w:rsidTr="000D2F48">
        <w:trPr>
          <w:trHeight w:val="624"/>
        </w:trPr>
        <w:tc>
          <w:tcPr>
            <w:tcW w:w="205" w:type="pct"/>
            <w:shd w:val="clear" w:color="auto" w:fill="F2F2F2"/>
            <w:noWrap/>
            <w:hideMark/>
          </w:tcPr>
          <w:p w14:paraId="1B828248" w14:textId="77777777" w:rsidR="00395D01" w:rsidRPr="00912996" w:rsidRDefault="00395D01" w:rsidP="00292396">
            <w:pPr>
              <w:rPr>
                <w:rFonts w:ascii="Calibri" w:hAnsi="Calibri"/>
                <w:bCs/>
                <w:lang w:eastAsia="ja-JP"/>
              </w:rPr>
            </w:pPr>
            <w:r w:rsidRPr="00912996">
              <w:rPr>
                <w:rFonts w:ascii="Calibri" w:hAnsi="Calibri"/>
                <w:bCs/>
                <w:lang w:eastAsia="ja-JP"/>
              </w:rPr>
              <w:t>26</w:t>
            </w:r>
          </w:p>
        </w:tc>
        <w:tc>
          <w:tcPr>
            <w:tcW w:w="1018" w:type="pct"/>
            <w:gridSpan w:val="2"/>
            <w:shd w:val="clear" w:color="auto" w:fill="F2F2F2"/>
            <w:hideMark/>
          </w:tcPr>
          <w:p w14:paraId="78CCB1DC" w14:textId="77777777" w:rsidR="00395D01" w:rsidRPr="00912996" w:rsidRDefault="00395D01" w:rsidP="00292396">
            <w:pPr>
              <w:rPr>
                <w:rFonts w:ascii="Calibri" w:hAnsi="Calibri"/>
                <w:bCs/>
                <w:lang w:eastAsia="ja-JP"/>
              </w:rPr>
            </w:pPr>
            <w:r w:rsidRPr="00912996">
              <w:rPr>
                <w:rFonts w:ascii="Calibri" w:hAnsi="Calibri"/>
                <w:bCs/>
                <w:lang w:eastAsia="ja-JP"/>
              </w:rPr>
              <w:t>Amenajarea lacului din Parcul Circului</w:t>
            </w:r>
          </w:p>
        </w:tc>
        <w:tc>
          <w:tcPr>
            <w:tcW w:w="640" w:type="pct"/>
            <w:shd w:val="clear" w:color="auto" w:fill="F2F2F2"/>
            <w:hideMark/>
          </w:tcPr>
          <w:p w14:paraId="5FD03D7B"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2D37B9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6382206" w14:textId="77777777" w:rsidR="00395D01" w:rsidRPr="00912996" w:rsidRDefault="00395D01" w:rsidP="00292396">
            <w:pPr>
              <w:rPr>
                <w:rFonts w:ascii="Calibri" w:hAnsi="Calibri"/>
                <w:bCs/>
                <w:lang w:eastAsia="ja-JP"/>
              </w:rPr>
            </w:pPr>
            <w:r w:rsidRPr="00912996">
              <w:rPr>
                <w:rFonts w:ascii="Calibri" w:hAnsi="Calibri"/>
                <w:bCs/>
                <w:lang w:eastAsia="ja-JP"/>
              </w:rPr>
              <w:t>7,350,000</w:t>
            </w:r>
          </w:p>
        </w:tc>
        <w:tc>
          <w:tcPr>
            <w:tcW w:w="411" w:type="pct"/>
            <w:shd w:val="clear" w:color="auto" w:fill="F2F2F2"/>
            <w:hideMark/>
          </w:tcPr>
          <w:p w14:paraId="027E0A70"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347" w:type="pct"/>
            <w:shd w:val="clear" w:color="auto" w:fill="F2F2F2"/>
            <w:hideMark/>
          </w:tcPr>
          <w:p w14:paraId="38631E64"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D91A28B"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6715928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1A30B53"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5872799C" w14:textId="77777777" w:rsidTr="00E16711">
        <w:trPr>
          <w:trHeight w:val="1056"/>
        </w:trPr>
        <w:tc>
          <w:tcPr>
            <w:tcW w:w="205" w:type="pct"/>
            <w:shd w:val="clear" w:color="auto" w:fill="F2F2F2"/>
            <w:noWrap/>
            <w:hideMark/>
          </w:tcPr>
          <w:p w14:paraId="5388B0DB" w14:textId="77777777" w:rsidR="00395D01" w:rsidRPr="00912996" w:rsidRDefault="00395D01" w:rsidP="00292396">
            <w:pPr>
              <w:rPr>
                <w:rFonts w:ascii="Calibri" w:hAnsi="Calibri"/>
                <w:bCs/>
                <w:lang w:eastAsia="ja-JP"/>
              </w:rPr>
            </w:pPr>
            <w:r w:rsidRPr="00912996">
              <w:rPr>
                <w:rFonts w:ascii="Calibri" w:hAnsi="Calibri"/>
                <w:bCs/>
                <w:lang w:eastAsia="ja-JP"/>
              </w:rPr>
              <w:t>27</w:t>
            </w:r>
          </w:p>
        </w:tc>
        <w:tc>
          <w:tcPr>
            <w:tcW w:w="1018" w:type="pct"/>
            <w:gridSpan w:val="2"/>
            <w:shd w:val="clear" w:color="auto" w:fill="F2F2F2"/>
            <w:hideMark/>
          </w:tcPr>
          <w:p w14:paraId="3DF5A118" w14:textId="77777777" w:rsidR="00395D01" w:rsidRPr="00912996" w:rsidRDefault="00395D01" w:rsidP="00292396">
            <w:pPr>
              <w:rPr>
                <w:rFonts w:ascii="Calibri" w:hAnsi="Calibri"/>
                <w:bCs/>
                <w:lang w:eastAsia="ja-JP"/>
              </w:rPr>
            </w:pPr>
            <w:r w:rsidRPr="00912996">
              <w:rPr>
                <w:rFonts w:ascii="Calibri" w:hAnsi="Calibri"/>
                <w:bCs/>
                <w:lang w:eastAsia="ja-JP"/>
              </w:rPr>
              <w:t>Identificarea spatiilor publice abandonate si revitalizarea acestora in colaborare cu diverse grupuri civice</w:t>
            </w:r>
          </w:p>
        </w:tc>
        <w:tc>
          <w:tcPr>
            <w:tcW w:w="640" w:type="pct"/>
            <w:shd w:val="clear" w:color="auto" w:fill="F2F2F2"/>
            <w:hideMark/>
          </w:tcPr>
          <w:p w14:paraId="1331DFE7"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B674DA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51AC401" w14:textId="77777777" w:rsidR="00395D01" w:rsidRPr="00912996" w:rsidRDefault="00395D01" w:rsidP="00292396">
            <w:pPr>
              <w:rPr>
                <w:rFonts w:ascii="Calibri" w:hAnsi="Calibri"/>
                <w:bCs/>
                <w:lang w:eastAsia="ja-JP"/>
              </w:rPr>
            </w:pPr>
            <w:r w:rsidRPr="00912996">
              <w:rPr>
                <w:rFonts w:ascii="Calibri" w:hAnsi="Calibri"/>
                <w:bCs/>
                <w:lang w:eastAsia="ja-JP"/>
              </w:rPr>
              <w:t>2,205,000</w:t>
            </w:r>
          </w:p>
        </w:tc>
        <w:tc>
          <w:tcPr>
            <w:tcW w:w="411" w:type="pct"/>
            <w:shd w:val="clear" w:color="auto" w:fill="F2F2F2"/>
            <w:hideMark/>
          </w:tcPr>
          <w:p w14:paraId="2EDE2704" w14:textId="77777777" w:rsidR="00395D01" w:rsidRPr="00912996" w:rsidRDefault="00395D01" w:rsidP="00292396">
            <w:pPr>
              <w:rPr>
                <w:rFonts w:ascii="Calibri" w:hAnsi="Calibri"/>
                <w:bCs/>
                <w:lang w:eastAsia="ja-JP"/>
              </w:rPr>
            </w:pPr>
            <w:r w:rsidRPr="00912996">
              <w:rPr>
                <w:rFonts w:ascii="Calibri" w:hAnsi="Calibri"/>
                <w:bCs/>
                <w:lang w:eastAsia="ja-JP"/>
              </w:rPr>
              <w:t>450,000</w:t>
            </w:r>
          </w:p>
        </w:tc>
        <w:tc>
          <w:tcPr>
            <w:tcW w:w="347" w:type="pct"/>
            <w:shd w:val="clear" w:color="auto" w:fill="F2F2F2"/>
            <w:hideMark/>
          </w:tcPr>
          <w:p w14:paraId="1B8B9754"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53920F2"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0BB1BCE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CA9C835"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E16711" w:rsidRPr="00912996" w14:paraId="455B206C" w14:textId="77777777" w:rsidTr="00E16711">
        <w:trPr>
          <w:trHeight w:val="792"/>
        </w:trPr>
        <w:tc>
          <w:tcPr>
            <w:tcW w:w="205" w:type="pct"/>
            <w:shd w:val="clear" w:color="auto" w:fill="F2F2F2"/>
            <w:noWrap/>
            <w:hideMark/>
          </w:tcPr>
          <w:p w14:paraId="3AB04624" w14:textId="77777777" w:rsidR="00395D01" w:rsidRPr="00912996" w:rsidRDefault="00395D01" w:rsidP="00292396">
            <w:pPr>
              <w:rPr>
                <w:rFonts w:ascii="Calibri" w:hAnsi="Calibri"/>
                <w:bCs/>
                <w:lang w:eastAsia="ja-JP"/>
              </w:rPr>
            </w:pPr>
            <w:r w:rsidRPr="00912996">
              <w:rPr>
                <w:rFonts w:ascii="Calibri" w:hAnsi="Calibri"/>
                <w:bCs/>
                <w:lang w:eastAsia="ja-JP"/>
              </w:rPr>
              <w:t>28</w:t>
            </w:r>
          </w:p>
        </w:tc>
        <w:tc>
          <w:tcPr>
            <w:tcW w:w="1018" w:type="pct"/>
            <w:gridSpan w:val="2"/>
            <w:shd w:val="clear" w:color="auto" w:fill="F2F2F2"/>
            <w:hideMark/>
          </w:tcPr>
          <w:p w14:paraId="177F9F35" w14:textId="77777777" w:rsidR="00395D01" w:rsidRPr="00912996" w:rsidRDefault="00395D01" w:rsidP="00292396">
            <w:pPr>
              <w:rPr>
                <w:rFonts w:ascii="Calibri" w:hAnsi="Calibri"/>
                <w:bCs/>
                <w:lang w:eastAsia="ja-JP"/>
              </w:rPr>
            </w:pPr>
            <w:r w:rsidRPr="00912996">
              <w:rPr>
                <w:rFonts w:ascii="Calibri" w:hAnsi="Calibri"/>
                <w:bCs/>
                <w:lang w:eastAsia="ja-JP"/>
              </w:rPr>
              <w:t>Program de modernizare a infrastructurii sportive - dezvoltare velodrom, centre și baze sportive, bazine de înot</w:t>
            </w:r>
          </w:p>
        </w:tc>
        <w:tc>
          <w:tcPr>
            <w:tcW w:w="640" w:type="pct"/>
            <w:shd w:val="clear" w:color="auto" w:fill="F2F2F2"/>
            <w:hideMark/>
          </w:tcPr>
          <w:p w14:paraId="160B7CB6"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1BC1E6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8E6DF16"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0C091308"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532BCAAF"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20B7EEE" w14:textId="77777777" w:rsidR="00395D01" w:rsidRPr="00912996" w:rsidRDefault="00395D01" w:rsidP="00292396">
            <w:pPr>
              <w:rPr>
                <w:rFonts w:ascii="Calibri" w:hAnsi="Calibri"/>
                <w:bCs/>
                <w:lang w:eastAsia="ja-JP"/>
              </w:rPr>
            </w:pPr>
            <w:r w:rsidRPr="00912996">
              <w:rPr>
                <w:rFonts w:ascii="Calibri" w:hAnsi="Calibri"/>
                <w:bCs/>
                <w:lang w:eastAsia="ja-JP"/>
              </w:rPr>
              <w:t>CNI, Bugetul local, Alte surse de finanțare</w:t>
            </w:r>
          </w:p>
        </w:tc>
        <w:tc>
          <w:tcPr>
            <w:tcW w:w="433" w:type="pct"/>
            <w:shd w:val="clear" w:color="auto" w:fill="F2F2F2"/>
            <w:hideMark/>
          </w:tcPr>
          <w:p w14:paraId="1E1144C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7878738"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6404DEDD" w14:textId="77777777" w:rsidTr="00E16711">
        <w:trPr>
          <w:trHeight w:val="1056"/>
        </w:trPr>
        <w:tc>
          <w:tcPr>
            <w:tcW w:w="205" w:type="pct"/>
            <w:shd w:val="clear" w:color="auto" w:fill="F2F2F2"/>
            <w:noWrap/>
            <w:hideMark/>
          </w:tcPr>
          <w:p w14:paraId="53F7A819" w14:textId="77777777" w:rsidR="00395D01" w:rsidRPr="00912996" w:rsidRDefault="00395D01" w:rsidP="00292396">
            <w:pPr>
              <w:rPr>
                <w:rFonts w:ascii="Calibri" w:hAnsi="Calibri"/>
                <w:bCs/>
                <w:lang w:eastAsia="ja-JP"/>
              </w:rPr>
            </w:pPr>
            <w:r w:rsidRPr="00912996">
              <w:rPr>
                <w:rFonts w:ascii="Calibri" w:hAnsi="Calibri"/>
                <w:bCs/>
                <w:lang w:eastAsia="ja-JP"/>
              </w:rPr>
              <w:t>29</w:t>
            </w:r>
          </w:p>
        </w:tc>
        <w:tc>
          <w:tcPr>
            <w:tcW w:w="1018" w:type="pct"/>
            <w:gridSpan w:val="2"/>
            <w:shd w:val="clear" w:color="auto" w:fill="F2F2F2"/>
            <w:hideMark/>
          </w:tcPr>
          <w:p w14:paraId="5EF8B141" w14:textId="77777777" w:rsidR="00395D01" w:rsidRPr="00912996" w:rsidRDefault="00395D01" w:rsidP="00292396">
            <w:pPr>
              <w:rPr>
                <w:rFonts w:ascii="Calibri" w:hAnsi="Calibri"/>
                <w:bCs/>
                <w:lang w:eastAsia="ja-JP"/>
              </w:rPr>
            </w:pPr>
            <w:r w:rsidRPr="00912996">
              <w:rPr>
                <w:rFonts w:ascii="Calibri" w:hAnsi="Calibri"/>
                <w:bCs/>
                <w:lang w:eastAsia="ja-JP"/>
              </w:rPr>
              <w:t>Amenajare parc în cartierul Andronache</w:t>
            </w:r>
          </w:p>
        </w:tc>
        <w:tc>
          <w:tcPr>
            <w:tcW w:w="640" w:type="pct"/>
            <w:shd w:val="clear" w:color="auto" w:fill="F2F2F2"/>
            <w:hideMark/>
          </w:tcPr>
          <w:p w14:paraId="05B4F338"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9E34E5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0410C69"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0A8609D0"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5333392B"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F2500D5"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799DDFE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8A3190D"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395D01" w:rsidRPr="00912996" w14:paraId="10BA12E0" w14:textId="77777777" w:rsidTr="00292396">
        <w:trPr>
          <w:trHeight w:val="264"/>
        </w:trPr>
        <w:tc>
          <w:tcPr>
            <w:tcW w:w="5000" w:type="pct"/>
            <w:gridSpan w:val="12"/>
            <w:shd w:val="clear" w:color="auto" w:fill="BBD9A0"/>
            <w:noWrap/>
            <w:hideMark/>
          </w:tcPr>
          <w:p w14:paraId="29E6A7A4" w14:textId="77777777" w:rsidR="00395D01" w:rsidRPr="00912996" w:rsidRDefault="00395D01" w:rsidP="000D2F48">
            <w:pPr>
              <w:jc w:val="center"/>
              <w:rPr>
                <w:rFonts w:ascii="Calibri" w:hAnsi="Calibri"/>
                <w:b/>
                <w:bCs/>
                <w:color w:val="FFFFFF"/>
                <w:lang w:eastAsia="ja-JP"/>
              </w:rPr>
            </w:pPr>
            <w:r w:rsidRPr="00912996">
              <w:rPr>
                <w:rFonts w:ascii="Calibri" w:hAnsi="Calibri"/>
                <w:b/>
                <w:bCs/>
                <w:color w:val="FFFFFF"/>
                <w:lang w:eastAsia="ja-JP"/>
              </w:rPr>
              <w:t>D1.4.2. Sprijinirea și promovarea ofertei de activități de sport și de petrecerea timpului liber în Sectorul 2</w:t>
            </w:r>
          </w:p>
        </w:tc>
      </w:tr>
      <w:tr w:rsidR="00E16711" w:rsidRPr="00912996" w14:paraId="5D039A56" w14:textId="77777777" w:rsidTr="00E16711">
        <w:trPr>
          <w:trHeight w:val="1320"/>
        </w:trPr>
        <w:tc>
          <w:tcPr>
            <w:tcW w:w="205" w:type="pct"/>
            <w:shd w:val="clear" w:color="auto" w:fill="F2F2F2"/>
            <w:noWrap/>
            <w:hideMark/>
          </w:tcPr>
          <w:p w14:paraId="4D72DC1D"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4A731BFA" w14:textId="77777777" w:rsidR="00395D01" w:rsidRPr="00912996" w:rsidRDefault="00395D01" w:rsidP="00292396">
            <w:pPr>
              <w:rPr>
                <w:rFonts w:ascii="Calibri" w:hAnsi="Calibri"/>
                <w:bCs/>
                <w:lang w:eastAsia="ja-JP"/>
              </w:rPr>
            </w:pPr>
            <w:r w:rsidRPr="00912996">
              <w:rPr>
                <w:rFonts w:ascii="Calibri" w:hAnsi="Calibri"/>
                <w:bCs/>
                <w:lang w:eastAsia="ja-JP"/>
              </w:rPr>
              <w:t>Eveniment: Macii roșii</w:t>
            </w:r>
          </w:p>
        </w:tc>
        <w:tc>
          <w:tcPr>
            <w:tcW w:w="640" w:type="pct"/>
            <w:shd w:val="clear" w:color="auto" w:fill="F2F2F2"/>
            <w:hideMark/>
          </w:tcPr>
          <w:p w14:paraId="3D051EB0" w14:textId="77777777" w:rsidR="00395D01" w:rsidRPr="00912996" w:rsidRDefault="00395D01" w:rsidP="00292396">
            <w:pPr>
              <w:rPr>
                <w:rFonts w:ascii="Calibri" w:hAnsi="Calibri"/>
                <w:bCs/>
                <w:lang w:eastAsia="ja-JP"/>
              </w:rPr>
            </w:pPr>
            <w:r w:rsidRPr="00912996">
              <w:rPr>
                <w:rFonts w:ascii="Calibri" w:hAnsi="Calibri"/>
                <w:bCs/>
                <w:lang w:eastAsia="ja-JP"/>
              </w:rPr>
              <w:t>PS2, Centrul Cultural Mihai Eminescu</w:t>
            </w:r>
          </w:p>
        </w:tc>
        <w:tc>
          <w:tcPr>
            <w:tcW w:w="507" w:type="pct"/>
            <w:shd w:val="clear" w:color="auto" w:fill="F2F2F2"/>
            <w:hideMark/>
          </w:tcPr>
          <w:p w14:paraId="087709C0"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59BDCCFC"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616DCF43"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4CB536E0" w14:textId="77777777" w:rsidR="00395D01" w:rsidRPr="00912996" w:rsidRDefault="00395D01" w:rsidP="00292396">
            <w:pPr>
              <w:rPr>
                <w:rFonts w:ascii="Calibri" w:hAnsi="Calibri"/>
                <w:bCs/>
                <w:lang w:eastAsia="ja-JP"/>
              </w:rPr>
            </w:pPr>
            <w:r w:rsidRPr="00912996">
              <w:rPr>
                <w:rFonts w:ascii="Calibri" w:hAnsi="Calibri"/>
                <w:bCs/>
                <w:lang w:eastAsia="ja-JP"/>
              </w:rPr>
              <w:t>202</w:t>
            </w:r>
            <w:r>
              <w:rPr>
                <w:rFonts w:ascii="Calibri" w:hAnsi="Calibri"/>
                <w:bCs/>
                <w:lang w:eastAsia="ja-JP"/>
              </w:rPr>
              <w:t>3</w:t>
            </w:r>
          </w:p>
        </w:tc>
        <w:tc>
          <w:tcPr>
            <w:tcW w:w="484" w:type="pct"/>
            <w:gridSpan w:val="2"/>
            <w:shd w:val="clear" w:color="auto" w:fill="F2F2F2"/>
            <w:hideMark/>
          </w:tcPr>
          <w:p w14:paraId="5F06FAAD"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29CBADB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5D52546" w14:textId="77777777" w:rsidR="00395D01" w:rsidRPr="00912996" w:rsidRDefault="00395D01" w:rsidP="00292396">
            <w:pPr>
              <w:rPr>
                <w:rFonts w:ascii="Calibri" w:hAnsi="Calibri"/>
                <w:bCs/>
                <w:lang w:eastAsia="ja-JP"/>
              </w:rPr>
            </w:pPr>
            <w:r w:rsidRPr="00912996">
              <w:rPr>
                <w:rFonts w:ascii="Calibri" w:hAnsi="Calibri"/>
                <w:bCs/>
                <w:lang w:eastAsia="ja-JP"/>
              </w:rPr>
              <w:t>Proiecte în implementare - Răspuns Centrul Cultural Mihai Eminescu</w:t>
            </w:r>
          </w:p>
        </w:tc>
      </w:tr>
      <w:tr w:rsidR="00E16711" w:rsidRPr="00912996" w14:paraId="2E6EE49E" w14:textId="77777777" w:rsidTr="00E16711">
        <w:trPr>
          <w:trHeight w:val="1320"/>
        </w:trPr>
        <w:tc>
          <w:tcPr>
            <w:tcW w:w="205" w:type="pct"/>
            <w:shd w:val="clear" w:color="auto" w:fill="F2F2F2"/>
            <w:noWrap/>
            <w:hideMark/>
          </w:tcPr>
          <w:p w14:paraId="6E44C003"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5E872D12" w14:textId="77777777" w:rsidR="00395D01" w:rsidRPr="00912996" w:rsidRDefault="00395D01" w:rsidP="00292396">
            <w:pPr>
              <w:rPr>
                <w:rFonts w:ascii="Calibri" w:hAnsi="Calibri"/>
                <w:bCs/>
                <w:lang w:eastAsia="ja-JP"/>
              </w:rPr>
            </w:pPr>
            <w:r w:rsidRPr="00912996">
              <w:rPr>
                <w:rFonts w:ascii="Calibri" w:hAnsi="Calibri"/>
                <w:bCs/>
                <w:lang w:eastAsia="ja-JP"/>
              </w:rPr>
              <w:t>Eveniment: Campionat de fotbal</w:t>
            </w:r>
          </w:p>
        </w:tc>
        <w:tc>
          <w:tcPr>
            <w:tcW w:w="640" w:type="pct"/>
            <w:shd w:val="clear" w:color="auto" w:fill="F2F2F2"/>
            <w:hideMark/>
          </w:tcPr>
          <w:p w14:paraId="02D900A8" w14:textId="77777777" w:rsidR="00395D01" w:rsidRPr="00912996" w:rsidRDefault="00395D01" w:rsidP="00292396">
            <w:pPr>
              <w:rPr>
                <w:rFonts w:ascii="Calibri" w:hAnsi="Calibri"/>
                <w:bCs/>
                <w:lang w:eastAsia="ja-JP"/>
              </w:rPr>
            </w:pPr>
            <w:r w:rsidRPr="00912996">
              <w:rPr>
                <w:rFonts w:ascii="Calibri" w:hAnsi="Calibri"/>
                <w:bCs/>
                <w:lang w:eastAsia="ja-JP"/>
              </w:rPr>
              <w:t>PS2, Centrul Cultural Mihai Eminescu</w:t>
            </w:r>
          </w:p>
        </w:tc>
        <w:tc>
          <w:tcPr>
            <w:tcW w:w="507" w:type="pct"/>
            <w:shd w:val="clear" w:color="auto" w:fill="F2F2F2"/>
            <w:hideMark/>
          </w:tcPr>
          <w:p w14:paraId="59FADCD6"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07F6D33E"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23129F4F"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1C764C81" w14:textId="77777777" w:rsidR="00395D01" w:rsidRPr="00912996" w:rsidRDefault="00395D01" w:rsidP="00292396">
            <w:pPr>
              <w:rPr>
                <w:rFonts w:ascii="Calibri" w:hAnsi="Calibri"/>
                <w:bCs/>
                <w:lang w:eastAsia="ja-JP"/>
              </w:rPr>
            </w:pPr>
            <w:r w:rsidRPr="00912996">
              <w:rPr>
                <w:rFonts w:ascii="Calibri" w:hAnsi="Calibri"/>
                <w:bCs/>
                <w:lang w:eastAsia="ja-JP"/>
              </w:rPr>
              <w:t>202</w:t>
            </w:r>
            <w:r>
              <w:rPr>
                <w:rFonts w:ascii="Calibri" w:hAnsi="Calibri"/>
                <w:bCs/>
                <w:lang w:eastAsia="ja-JP"/>
              </w:rPr>
              <w:t>3</w:t>
            </w:r>
          </w:p>
        </w:tc>
        <w:tc>
          <w:tcPr>
            <w:tcW w:w="484" w:type="pct"/>
            <w:gridSpan w:val="2"/>
            <w:shd w:val="clear" w:color="auto" w:fill="F2F2F2"/>
            <w:hideMark/>
          </w:tcPr>
          <w:p w14:paraId="0161AA30"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1ACAA531"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B3013A7" w14:textId="77777777" w:rsidR="00395D01" w:rsidRPr="00912996" w:rsidRDefault="00395D01" w:rsidP="00292396">
            <w:pPr>
              <w:rPr>
                <w:rFonts w:ascii="Calibri" w:hAnsi="Calibri"/>
                <w:bCs/>
                <w:lang w:eastAsia="ja-JP"/>
              </w:rPr>
            </w:pPr>
            <w:r w:rsidRPr="00912996">
              <w:rPr>
                <w:rFonts w:ascii="Calibri" w:hAnsi="Calibri"/>
                <w:bCs/>
                <w:lang w:eastAsia="ja-JP"/>
              </w:rPr>
              <w:t>Proiecte în implementare - Răspuns Centrul Cultural Mihai Eminescu</w:t>
            </w:r>
          </w:p>
        </w:tc>
      </w:tr>
      <w:tr w:rsidR="00E16711" w:rsidRPr="00912996" w14:paraId="4810E367" w14:textId="77777777" w:rsidTr="000D2F48">
        <w:trPr>
          <w:trHeight w:val="714"/>
        </w:trPr>
        <w:tc>
          <w:tcPr>
            <w:tcW w:w="205" w:type="pct"/>
            <w:shd w:val="clear" w:color="auto" w:fill="F2F2F2"/>
            <w:noWrap/>
            <w:hideMark/>
          </w:tcPr>
          <w:p w14:paraId="6F4555B1"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51F54E67" w14:textId="77777777" w:rsidR="00395D01" w:rsidRPr="00912996" w:rsidRDefault="00395D01" w:rsidP="00292396">
            <w:pPr>
              <w:rPr>
                <w:rFonts w:ascii="Calibri" w:hAnsi="Calibri"/>
                <w:bCs/>
                <w:lang w:eastAsia="ja-JP"/>
              </w:rPr>
            </w:pPr>
            <w:r w:rsidRPr="00912996">
              <w:rPr>
                <w:rFonts w:ascii="Calibri" w:hAnsi="Calibri"/>
                <w:bCs/>
                <w:lang w:eastAsia="ja-JP"/>
              </w:rPr>
              <w:t>Eveniment: Crosul pentru 2</w:t>
            </w:r>
          </w:p>
        </w:tc>
        <w:tc>
          <w:tcPr>
            <w:tcW w:w="640" w:type="pct"/>
            <w:shd w:val="clear" w:color="auto" w:fill="F2F2F2"/>
            <w:hideMark/>
          </w:tcPr>
          <w:p w14:paraId="4ACD9CDC" w14:textId="77777777" w:rsidR="00395D01" w:rsidRPr="00912996" w:rsidRDefault="00395D01" w:rsidP="00292396">
            <w:pPr>
              <w:rPr>
                <w:rFonts w:ascii="Calibri" w:hAnsi="Calibri"/>
                <w:bCs/>
                <w:lang w:eastAsia="ja-JP"/>
              </w:rPr>
            </w:pPr>
            <w:r w:rsidRPr="00912996">
              <w:rPr>
                <w:rFonts w:ascii="Calibri" w:hAnsi="Calibri"/>
                <w:bCs/>
                <w:lang w:eastAsia="ja-JP"/>
              </w:rPr>
              <w:t>PS2, Centrul Cultural Mihai Eminescu</w:t>
            </w:r>
          </w:p>
        </w:tc>
        <w:tc>
          <w:tcPr>
            <w:tcW w:w="507" w:type="pct"/>
            <w:shd w:val="clear" w:color="auto" w:fill="F2F2F2"/>
            <w:hideMark/>
          </w:tcPr>
          <w:p w14:paraId="4D077CC9"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334B1532"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6278E16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526BF5C6" w14:textId="77777777" w:rsidR="00395D01" w:rsidRPr="00912996" w:rsidRDefault="00395D01" w:rsidP="00292396">
            <w:pPr>
              <w:rPr>
                <w:rFonts w:ascii="Calibri" w:hAnsi="Calibri"/>
                <w:bCs/>
                <w:lang w:eastAsia="ja-JP"/>
              </w:rPr>
            </w:pPr>
            <w:r w:rsidRPr="00912996">
              <w:rPr>
                <w:rFonts w:ascii="Calibri" w:hAnsi="Calibri"/>
                <w:bCs/>
                <w:lang w:eastAsia="ja-JP"/>
              </w:rPr>
              <w:t>202</w:t>
            </w:r>
            <w:r>
              <w:rPr>
                <w:rFonts w:ascii="Calibri" w:hAnsi="Calibri"/>
                <w:bCs/>
                <w:lang w:eastAsia="ja-JP"/>
              </w:rPr>
              <w:t>3</w:t>
            </w:r>
          </w:p>
        </w:tc>
        <w:tc>
          <w:tcPr>
            <w:tcW w:w="484" w:type="pct"/>
            <w:gridSpan w:val="2"/>
            <w:shd w:val="clear" w:color="auto" w:fill="F2F2F2"/>
            <w:hideMark/>
          </w:tcPr>
          <w:p w14:paraId="12C0801A"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7DFF30BF"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41FDFE48" w14:textId="77777777" w:rsidR="00395D01" w:rsidRPr="00912996" w:rsidRDefault="00395D01" w:rsidP="00292396">
            <w:pPr>
              <w:rPr>
                <w:rFonts w:ascii="Calibri" w:hAnsi="Calibri"/>
                <w:bCs/>
                <w:lang w:eastAsia="ja-JP"/>
              </w:rPr>
            </w:pPr>
            <w:r w:rsidRPr="00912996">
              <w:rPr>
                <w:rFonts w:ascii="Calibri" w:hAnsi="Calibri"/>
                <w:bCs/>
                <w:lang w:eastAsia="ja-JP"/>
              </w:rPr>
              <w:t>Proiecte în implementare - Răspuns Centrul Cultural Mihai Eminescu</w:t>
            </w:r>
          </w:p>
        </w:tc>
      </w:tr>
      <w:tr w:rsidR="00E16711" w:rsidRPr="00912996" w14:paraId="7DCEAE48" w14:textId="77777777" w:rsidTr="00E16711">
        <w:trPr>
          <w:trHeight w:val="1320"/>
        </w:trPr>
        <w:tc>
          <w:tcPr>
            <w:tcW w:w="205" w:type="pct"/>
            <w:shd w:val="clear" w:color="auto" w:fill="F2F2F2"/>
            <w:noWrap/>
            <w:hideMark/>
          </w:tcPr>
          <w:p w14:paraId="4AF0B8B0"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0FEA22B7" w14:textId="77777777" w:rsidR="00395D01" w:rsidRPr="00912996" w:rsidRDefault="00395D01" w:rsidP="00292396">
            <w:pPr>
              <w:rPr>
                <w:rFonts w:ascii="Calibri" w:hAnsi="Calibri"/>
                <w:bCs/>
                <w:lang w:eastAsia="ja-JP"/>
              </w:rPr>
            </w:pPr>
            <w:r w:rsidRPr="00912996">
              <w:rPr>
                <w:rFonts w:ascii="Calibri" w:hAnsi="Calibri"/>
                <w:bCs/>
                <w:lang w:eastAsia="ja-JP"/>
              </w:rPr>
              <w:t>Eveniment: Zilele Sectorului 2</w:t>
            </w:r>
          </w:p>
        </w:tc>
        <w:tc>
          <w:tcPr>
            <w:tcW w:w="640" w:type="pct"/>
            <w:shd w:val="clear" w:color="auto" w:fill="F2F2F2"/>
            <w:hideMark/>
          </w:tcPr>
          <w:p w14:paraId="244273BD" w14:textId="77777777" w:rsidR="00395D01" w:rsidRPr="00912996" w:rsidRDefault="00395D01" w:rsidP="00292396">
            <w:pPr>
              <w:rPr>
                <w:rFonts w:ascii="Calibri" w:hAnsi="Calibri"/>
                <w:bCs/>
                <w:lang w:eastAsia="ja-JP"/>
              </w:rPr>
            </w:pPr>
            <w:r w:rsidRPr="00912996">
              <w:rPr>
                <w:rFonts w:ascii="Calibri" w:hAnsi="Calibri"/>
                <w:bCs/>
                <w:lang w:eastAsia="ja-JP"/>
              </w:rPr>
              <w:t>PS2, Centrul Cultural Mihai Eminescu</w:t>
            </w:r>
          </w:p>
        </w:tc>
        <w:tc>
          <w:tcPr>
            <w:tcW w:w="507" w:type="pct"/>
            <w:shd w:val="clear" w:color="auto" w:fill="F2F2F2"/>
            <w:hideMark/>
          </w:tcPr>
          <w:p w14:paraId="245EE869"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6806DA4F"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69F2048E"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04A59F18" w14:textId="77777777" w:rsidR="00395D01" w:rsidRPr="00912996" w:rsidRDefault="00395D01" w:rsidP="00292396">
            <w:pPr>
              <w:rPr>
                <w:rFonts w:ascii="Calibri" w:hAnsi="Calibri"/>
                <w:bCs/>
                <w:lang w:eastAsia="ja-JP"/>
              </w:rPr>
            </w:pPr>
            <w:r w:rsidRPr="00912996">
              <w:rPr>
                <w:rFonts w:ascii="Calibri" w:hAnsi="Calibri"/>
                <w:bCs/>
                <w:lang w:eastAsia="ja-JP"/>
              </w:rPr>
              <w:t>202</w:t>
            </w:r>
            <w:r>
              <w:rPr>
                <w:rFonts w:ascii="Calibri" w:hAnsi="Calibri"/>
                <w:bCs/>
                <w:lang w:eastAsia="ja-JP"/>
              </w:rPr>
              <w:t>3</w:t>
            </w:r>
          </w:p>
        </w:tc>
        <w:tc>
          <w:tcPr>
            <w:tcW w:w="484" w:type="pct"/>
            <w:gridSpan w:val="2"/>
            <w:shd w:val="clear" w:color="auto" w:fill="F2F2F2"/>
            <w:hideMark/>
          </w:tcPr>
          <w:p w14:paraId="60D51796"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69F6B459"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871B8E3" w14:textId="77777777" w:rsidR="00395D01" w:rsidRPr="00912996" w:rsidRDefault="00395D01" w:rsidP="00292396">
            <w:pPr>
              <w:rPr>
                <w:rFonts w:ascii="Calibri" w:hAnsi="Calibri"/>
                <w:bCs/>
                <w:lang w:eastAsia="ja-JP"/>
              </w:rPr>
            </w:pPr>
            <w:r w:rsidRPr="00912996">
              <w:rPr>
                <w:rFonts w:ascii="Calibri" w:hAnsi="Calibri"/>
                <w:bCs/>
                <w:lang w:eastAsia="ja-JP"/>
              </w:rPr>
              <w:t>Proiecte în implementare - Răspuns Centrul Cultural Mihai Eminescu</w:t>
            </w:r>
          </w:p>
        </w:tc>
      </w:tr>
      <w:tr w:rsidR="00E16711" w:rsidRPr="00912996" w14:paraId="24BD4EDC" w14:textId="77777777" w:rsidTr="00E16711">
        <w:trPr>
          <w:trHeight w:val="792"/>
        </w:trPr>
        <w:tc>
          <w:tcPr>
            <w:tcW w:w="205" w:type="pct"/>
            <w:shd w:val="clear" w:color="auto" w:fill="F2F2F2"/>
            <w:noWrap/>
            <w:hideMark/>
          </w:tcPr>
          <w:p w14:paraId="7D010DD8"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2C7D03E4" w14:textId="77777777" w:rsidR="00395D01" w:rsidRPr="00912996" w:rsidRDefault="00395D01" w:rsidP="00292396">
            <w:pPr>
              <w:rPr>
                <w:rFonts w:ascii="Calibri" w:hAnsi="Calibri"/>
                <w:bCs/>
                <w:lang w:eastAsia="ja-JP"/>
              </w:rPr>
            </w:pPr>
            <w:r w:rsidRPr="00912996">
              <w:rPr>
                <w:rFonts w:ascii="Calibri" w:hAnsi="Calibri"/>
                <w:bCs/>
                <w:lang w:eastAsia="ja-JP"/>
              </w:rPr>
              <w:t>Organizare competiții sportive (alergare, velo) pe zona de mal de lac reabilitată (zona salbei de lacuri)</w:t>
            </w:r>
          </w:p>
        </w:tc>
        <w:tc>
          <w:tcPr>
            <w:tcW w:w="640" w:type="pct"/>
            <w:shd w:val="clear" w:color="auto" w:fill="F2F2F2"/>
            <w:hideMark/>
          </w:tcPr>
          <w:p w14:paraId="530B155F"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B3FCBA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974C653"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5FE90CFB"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0AA3E72F"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-2023</w:t>
            </w:r>
          </w:p>
        </w:tc>
        <w:tc>
          <w:tcPr>
            <w:tcW w:w="484" w:type="pct"/>
            <w:gridSpan w:val="2"/>
            <w:shd w:val="clear" w:color="auto" w:fill="F2F2F2"/>
            <w:hideMark/>
          </w:tcPr>
          <w:p w14:paraId="4CE89C10"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2B7EF2D"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55F5143"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A6CAD1F" w14:textId="77777777" w:rsidTr="00E16711">
        <w:trPr>
          <w:trHeight w:val="1584"/>
        </w:trPr>
        <w:tc>
          <w:tcPr>
            <w:tcW w:w="205" w:type="pct"/>
            <w:shd w:val="clear" w:color="auto" w:fill="F2F2F2"/>
            <w:noWrap/>
            <w:hideMark/>
          </w:tcPr>
          <w:p w14:paraId="0D870765"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10336D62" w14:textId="77777777" w:rsidR="00395D01" w:rsidRPr="00912996" w:rsidRDefault="00395D01" w:rsidP="00292396">
            <w:pPr>
              <w:rPr>
                <w:rFonts w:ascii="Calibri" w:hAnsi="Calibri"/>
                <w:bCs/>
                <w:lang w:eastAsia="ja-JP"/>
              </w:rPr>
            </w:pPr>
            <w:r w:rsidRPr="00912996">
              <w:rPr>
                <w:rFonts w:ascii="Calibri" w:hAnsi="Calibri"/>
                <w:bCs/>
                <w:lang w:eastAsia="ja-JP"/>
              </w:rPr>
              <w:t>Program de sprijinire a organizării de competiții sportive pentru diferite categorii de vârstă în Sectorul 2 - realizarea unei agende sportive a Sectorului (poate fi corelată cu calendarul evenimentelor la nivelul Municipiului București)</w:t>
            </w:r>
          </w:p>
        </w:tc>
        <w:tc>
          <w:tcPr>
            <w:tcW w:w="640" w:type="pct"/>
            <w:shd w:val="clear" w:color="auto" w:fill="F2F2F2"/>
            <w:hideMark/>
          </w:tcPr>
          <w:p w14:paraId="1FF80B37"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Inspectoratul Școlar, cluburi sportive</w:t>
            </w:r>
          </w:p>
        </w:tc>
        <w:tc>
          <w:tcPr>
            <w:tcW w:w="507" w:type="pct"/>
            <w:shd w:val="clear" w:color="auto" w:fill="F2F2F2"/>
            <w:hideMark/>
          </w:tcPr>
          <w:p w14:paraId="09D302D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F1FCA7D" w14:textId="77777777" w:rsidR="00395D01" w:rsidRPr="00912996" w:rsidRDefault="00395D01" w:rsidP="00292396">
            <w:pPr>
              <w:rPr>
                <w:rFonts w:ascii="Calibri" w:hAnsi="Calibri"/>
                <w:bCs/>
                <w:lang w:eastAsia="ja-JP"/>
              </w:rPr>
            </w:pPr>
            <w:r w:rsidRPr="00912996">
              <w:rPr>
                <w:rFonts w:ascii="Calibri" w:hAnsi="Calibri"/>
                <w:bCs/>
                <w:lang w:eastAsia="ja-JP"/>
              </w:rPr>
              <w:t>1,225,000</w:t>
            </w:r>
          </w:p>
        </w:tc>
        <w:tc>
          <w:tcPr>
            <w:tcW w:w="411" w:type="pct"/>
            <w:shd w:val="clear" w:color="auto" w:fill="F2F2F2"/>
            <w:hideMark/>
          </w:tcPr>
          <w:p w14:paraId="01A810F4" w14:textId="77777777" w:rsidR="00395D01" w:rsidRPr="00912996" w:rsidRDefault="00395D01" w:rsidP="00292396">
            <w:pPr>
              <w:rPr>
                <w:rFonts w:ascii="Calibri" w:hAnsi="Calibri"/>
                <w:bCs/>
                <w:lang w:eastAsia="ja-JP"/>
              </w:rPr>
            </w:pPr>
            <w:r w:rsidRPr="00912996">
              <w:rPr>
                <w:rFonts w:ascii="Calibri" w:hAnsi="Calibri"/>
                <w:bCs/>
                <w:lang w:eastAsia="ja-JP"/>
              </w:rPr>
              <w:t>250,000</w:t>
            </w:r>
          </w:p>
        </w:tc>
        <w:tc>
          <w:tcPr>
            <w:tcW w:w="347" w:type="pct"/>
            <w:shd w:val="clear" w:color="auto" w:fill="F2F2F2"/>
            <w:hideMark/>
          </w:tcPr>
          <w:p w14:paraId="279F17B7"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D5D8E5E"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92B64AF"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0C2561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0A27727" w14:textId="77777777" w:rsidTr="00E16711">
        <w:trPr>
          <w:trHeight w:val="1320"/>
        </w:trPr>
        <w:tc>
          <w:tcPr>
            <w:tcW w:w="205" w:type="pct"/>
            <w:shd w:val="clear" w:color="auto" w:fill="F2F2F2"/>
            <w:noWrap/>
            <w:hideMark/>
          </w:tcPr>
          <w:p w14:paraId="763A3F69"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339F953C" w14:textId="77777777" w:rsidR="00395D01" w:rsidRPr="00912996" w:rsidRDefault="00395D01" w:rsidP="00292396">
            <w:pPr>
              <w:rPr>
                <w:rFonts w:ascii="Calibri" w:hAnsi="Calibri"/>
                <w:bCs/>
                <w:lang w:eastAsia="ja-JP"/>
              </w:rPr>
            </w:pPr>
            <w:r w:rsidRPr="00912996">
              <w:rPr>
                <w:rFonts w:ascii="Calibri" w:hAnsi="Calibri"/>
                <w:bCs/>
                <w:lang w:eastAsia="ja-JP"/>
              </w:rPr>
              <w:t>Reglementarea accesului publicului, în anumite condiții și între anumite ore, la sălile de sport / terenurile de sport din incinta școlilor generale și a liceelor</w:t>
            </w:r>
          </w:p>
        </w:tc>
        <w:tc>
          <w:tcPr>
            <w:tcW w:w="640" w:type="pct"/>
            <w:shd w:val="clear" w:color="auto" w:fill="F2F2F2"/>
            <w:hideMark/>
          </w:tcPr>
          <w:p w14:paraId="0C2CDC77"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Inspectoratul Școlar, administratorii / proprietarii privat</w:t>
            </w:r>
          </w:p>
        </w:tc>
        <w:tc>
          <w:tcPr>
            <w:tcW w:w="507" w:type="pct"/>
            <w:shd w:val="clear" w:color="auto" w:fill="F2F2F2"/>
            <w:hideMark/>
          </w:tcPr>
          <w:p w14:paraId="3012878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1E594F7"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6F90A28A"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1AB88E08"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52D932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307365F6"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61B4E9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CCFA06B" w14:textId="77777777" w:rsidTr="00E16711">
        <w:trPr>
          <w:trHeight w:val="1056"/>
        </w:trPr>
        <w:tc>
          <w:tcPr>
            <w:tcW w:w="205" w:type="pct"/>
            <w:shd w:val="clear" w:color="auto" w:fill="F2F2F2"/>
            <w:noWrap/>
            <w:hideMark/>
          </w:tcPr>
          <w:p w14:paraId="23C208E2"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65DB875D" w14:textId="77777777" w:rsidR="00395D01" w:rsidRPr="00912996" w:rsidRDefault="00395D01" w:rsidP="00292396">
            <w:pPr>
              <w:rPr>
                <w:rFonts w:ascii="Calibri" w:hAnsi="Calibri"/>
                <w:bCs/>
                <w:lang w:eastAsia="ja-JP"/>
              </w:rPr>
            </w:pPr>
            <w:r w:rsidRPr="00912996">
              <w:rPr>
                <w:rFonts w:ascii="Calibri" w:hAnsi="Calibri"/>
                <w:bCs/>
                <w:lang w:eastAsia="ja-JP"/>
              </w:rPr>
              <w:t>Realizarea de parteneriate privind accesul anumitor categorii de persoane (ex: elevi) în bazele sportive private de pe teritoriul Sectorului 2</w:t>
            </w:r>
          </w:p>
        </w:tc>
        <w:tc>
          <w:tcPr>
            <w:tcW w:w="640" w:type="pct"/>
            <w:shd w:val="clear" w:color="auto" w:fill="F2F2F2"/>
            <w:hideMark/>
          </w:tcPr>
          <w:p w14:paraId="31E4DCA5"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administratorii / proprietarii privat</w:t>
            </w:r>
          </w:p>
        </w:tc>
        <w:tc>
          <w:tcPr>
            <w:tcW w:w="507" w:type="pct"/>
            <w:shd w:val="clear" w:color="auto" w:fill="F2F2F2"/>
            <w:hideMark/>
          </w:tcPr>
          <w:p w14:paraId="33F161F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E47E0CD"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3687E86C"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16EC49CF"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1D8441F"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60BA1C65"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EE0454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6CE5B6F" w14:textId="77777777" w:rsidTr="00E16711">
        <w:trPr>
          <w:trHeight w:val="1056"/>
        </w:trPr>
        <w:tc>
          <w:tcPr>
            <w:tcW w:w="205" w:type="pct"/>
            <w:shd w:val="clear" w:color="auto" w:fill="F2F2F2"/>
            <w:noWrap/>
            <w:hideMark/>
          </w:tcPr>
          <w:p w14:paraId="244A15F8"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4939908D" w14:textId="77777777" w:rsidR="00395D01" w:rsidRPr="00912996" w:rsidRDefault="00395D01" w:rsidP="00292396">
            <w:pPr>
              <w:rPr>
                <w:rFonts w:ascii="Calibri" w:hAnsi="Calibri"/>
                <w:bCs/>
                <w:lang w:eastAsia="ja-JP"/>
              </w:rPr>
            </w:pPr>
            <w:r w:rsidRPr="00912996">
              <w:rPr>
                <w:rFonts w:ascii="Calibri" w:hAnsi="Calibri"/>
                <w:bCs/>
                <w:lang w:eastAsia="ja-JP"/>
              </w:rPr>
              <w:t>Înființarea unui grup de lucru în domeniul tineret și sport care să faciliteze dialogul între actorii  relevanți la nivelul Sectorul 2</w:t>
            </w:r>
          </w:p>
        </w:tc>
        <w:tc>
          <w:tcPr>
            <w:tcW w:w="640" w:type="pct"/>
            <w:shd w:val="clear" w:color="auto" w:fill="F2F2F2"/>
            <w:hideMark/>
          </w:tcPr>
          <w:p w14:paraId="406B59AC" w14:textId="77777777" w:rsidR="00395D01" w:rsidRPr="00912996" w:rsidRDefault="00395D01" w:rsidP="00292396">
            <w:pPr>
              <w:rPr>
                <w:rFonts w:ascii="Calibri" w:hAnsi="Calibri"/>
                <w:bCs/>
                <w:lang w:eastAsia="ja-JP"/>
              </w:rPr>
            </w:pPr>
            <w:r w:rsidRPr="00EF7958">
              <w:rPr>
                <w:rFonts w:ascii="Calibri" w:hAnsi="Calibri"/>
                <w:bCs/>
                <w:lang w:eastAsia="ja-JP"/>
              </w:rPr>
              <w:t>PS2</w:t>
            </w:r>
            <w:r w:rsidRPr="00912996">
              <w:rPr>
                <w:rFonts w:ascii="Calibri" w:hAnsi="Calibri"/>
                <w:bCs/>
                <w:lang w:eastAsia="ja-JP"/>
              </w:rPr>
              <w:t>, PMB, ISMB S2, parteneri privați, ONG-uri</w:t>
            </w:r>
          </w:p>
        </w:tc>
        <w:tc>
          <w:tcPr>
            <w:tcW w:w="507" w:type="pct"/>
            <w:shd w:val="clear" w:color="auto" w:fill="F2F2F2"/>
            <w:hideMark/>
          </w:tcPr>
          <w:p w14:paraId="715BFD4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10FF51D" w14:textId="77777777" w:rsidR="00395D01" w:rsidRPr="00912996" w:rsidRDefault="00395D01" w:rsidP="00292396">
            <w:pPr>
              <w:rPr>
                <w:rFonts w:ascii="Calibri" w:hAnsi="Calibri"/>
                <w:bCs/>
                <w:lang w:eastAsia="ja-JP"/>
              </w:rPr>
            </w:pPr>
            <w:r w:rsidRPr="00912996">
              <w:rPr>
                <w:rFonts w:ascii="Calibri" w:hAnsi="Calibri"/>
                <w:bCs/>
                <w:lang w:eastAsia="ja-JP"/>
              </w:rPr>
              <w:t>Nu necesită costuri suplimentare</w:t>
            </w:r>
          </w:p>
        </w:tc>
        <w:tc>
          <w:tcPr>
            <w:tcW w:w="411" w:type="pct"/>
            <w:shd w:val="clear" w:color="auto" w:fill="F2F2F2"/>
            <w:hideMark/>
          </w:tcPr>
          <w:p w14:paraId="0C3B4A75" w14:textId="77777777" w:rsidR="00395D01" w:rsidRPr="00912996" w:rsidRDefault="00395D01" w:rsidP="00292396">
            <w:pPr>
              <w:rPr>
                <w:rFonts w:ascii="Calibri" w:hAnsi="Calibri"/>
                <w:bCs/>
                <w:lang w:eastAsia="ja-JP"/>
              </w:rPr>
            </w:pPr>
            <w:r w:rsidRPr="00912996">
              <w:rPr>
                <w:rFonts w:ascii="Calibri" w:hAnsi="Calibri"/>
                <w:bCs/>
                <w:lang w:eastAsia="ja-JP"/>
              </w:rPr>
              <w:t>Nu necesită costuri suplimentare</w:t>
            </w:r>
          </w:p>
        </w:tc>
        <w:tc>
          <w:tcPr>
            <w:tcW w:w="347" w:type="pct"/>
            <w:shd w:val="clear" w:color="auto" w:fill="F2F2F2"/>
            <w:hideMark/>
          </w:tcPr>
          <w:p w14:paraId="59A413CA"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6980973"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1AF24D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7244DE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5BC321A" w14:textId="77777777" w:rsidTr="00E16711">
        <w:trPr>
          <w:trHeight w:val="528"/>
        </w:trPr>
        <w:tc>
          <w:tcPr>
            <w:tcW w:w="205" w:type="pct"/>
            <w:shd w:val="clear" w:color="auto" w:fill="F2F2F2"/>
            <w:noWrap/>
            <w:hideMark/>
          </w:tcPr>
          <w:p w14:paraId="05967F1B"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7996D0BF" w14:textId="77777777" w:rsidR="00395D01" w:rsidRPr="00912996" w:rsidRDefault="00395D01" w:rsidP="00292396">
            <w:pPr>
              <w:rPr>
                <w:rFonts w:ascii="Calibri" w:hAnsi="Calibri"/>
                <w:bCs/>
                <w:lang w:eastAsia="ja-JP"/>
              </w:rPr>
            </w:pPr>
            <w:r w:rsidRPr="00912996">
              <w:rPr>
                <w:rFonts w:ascii="Calibri" w:hAnsi="Calibri"/>
                <w:bCs/>
                <w:lang w:eastAsia="ja-JP"/>
              </w:rPr>
              <w:t>Platformă de programare și abonare online la dotările sportive din Sector 2</w:t>
            </w:r>
          </w:p>
        </w:tc>
        <w:tc>
          <w:tcPr>
            <w:tcW w:w="640" w:type="pct"/>
            <w:shd w:val="clear" w:color="auto" w:fill="F2F2F2"/>
            <w:hideMark/>
          </w:tcPr>
          <w:p w14:paraId="29D33A75" w14:textId="77777777" w:rsidR="00395D01" w:rsidRPr="00912996" w:rsidRDefault="00395D01" w:rsidP="00292396">
            <w:pPr>
              <w:rPr>
                <w:rFonts w:ascii="Calibri" w:hAnsi="Calibri"/>
                <w:bCs/>
                <w:lang w:eastAsia="ja-JP"/>
              </w:rPr>
            </w:pPr>
            <w:r w:rsidRPr="00912996">
              <w:rPr>
                <w:rFonts w:ascii="Calibri" w:hAnsi="Calibri"/>
                <w:bCs/>
                <w:lang w:eastAsia="ja-JP"/>
              </w:rPr>
              <w:t>PS2, instituții de învățământ</w:t>
            </w:r>
          </w:p>
        </w:tc>
        <w:tc>
          <w:tcPr>
            <w:tcW w:w="507" w:type="pct"/>
            <w:shd w:val="clear" w:color="auto" w:fill="F2F2F2"/>
            <w:hideMark/>
          </w:tcPr>
          <w:p w14:paraId="277652C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1525F95" w14:textId="77777777" w:rsidR="00395D01" w:rsidRPr="00912996" w:rsidRDefault="00395D01" w:rsidP="00292396">
            <w:pPr>
              <w:rPr>
                <w:rFonts w:ascii="Calibri" w:hAnsi="Calibri"/>
                <w:bCs/>
                <w:lang w:eastAsia="ja-JP"/>
              </w:rPr>
            </w:pPr>
            <w:r w:rsidRPr="00912996">
              <w:rPr>
                <w:rFonts w:ascii="Calibri" w:hAnsi="Calibri"/>
                <w:bCs/>
                <w:lang w:eastAsia="ja-JP"/>
              </w:rPr>
              <w:t>147,000</w:t>
            </w:r>
          </w:p>
        </w:tc>
        <w:tc>
          <w:tcPr>
            <w:tcW w:w="411" w:type="pct"/>
            <w:shd w:val="clear" w:color="auto" w:fill="F2F2F2"/>
            <w:hideMark/>
          </w:tcPr>
          <w:p w14:paraId="50298EF3" w14:textId="77777777" w:rsidR="00395D01" w:rsidRPr="00912996" w:rsidRDefault="00395D01" w:rsidP="00292396">
            <w:pPr>
              <w:rPr>
                <w:rFonts w:ascii="Calibri" w:hAnsi="Calibri"/>
                <w:bCs/>
                <w:lang w:eastAsia="ja-JP"/>
              </w:rPr>
            </w:pPr>
            <w:r w:rsidRPr="00912996">
              <w:rPr>
                <w:rFonts w:ascii="Calibri" w:hAnsi="Calibri"/>
                <w:bCs/>
                <w:lang w:eastAsia="ja-JP"/>
              </w:rPr>
              <w:t>30,000</w:t>
            </w:r>
          </w:p>
        </w:tc>
        <w:tc>
          <w:tcPr>
            <w:tcW w:w="347" w:type="pct"/>
            <w:shd w:val="clear" w:color="auto" w:fill="F2F2F2"/>
            <w:hideMark/>
          </w:tcPr>
          <w:p w14:paraId="655DE67B"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E5FD8B2"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E09009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A68E8EA"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3395CAB2" w14:textId="77777777" w:rsidTr="00E16711">
        <w:trPr>
          <w:trHeight w:val="1320"/>
        </w:trPr>
        <w:tc>
          <w:tcPr>
            <w:tcW w:w="205" w:type="pct"/>
            <w:shd w:val="clear" w:color="auto" w:fill="F2F2F2"/>
            <w:noWrap/>
            <w:hideMark/>
          </w:tcPr>
          <w:p w14:paraId="1FDAC1CD"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26498B59" w14:textId="77777777" w:rsidR="00395D01" w:rsidRPr="00912996" w:rsidRDefault="00395D01" w:rsidP="00292396">
            <w:pPr>
              <w:rPr>
                <w:rFonts w:ascii="Calibri" w:hAnsi="Calibri"/>
                <w:bCs/>
                <w:lang w:eastAsia="ja-JP"/>
              </w:rPr>
            </w:pPr>
            <w:r w:rsidRPr="00912996">
              <w:rPr>
                <w:rFonts w:ascii="Calibri" w:hAnsi="Calibri"/>
                <w:bCs/>
                <w:lang w:eastAsia="ja-JP"/>
              </w:rPr>
              <w:t>Proiect pilot: Străzi Deschise în Sectorul 2 (blocarea accesului auto pe anumite străzi din cartierele de locuit periodic și organizarea de manifestări cultural-artistice)</w:t>
            </w:r>
          </w:p>
        </w:tc>
        <w:tc>
          <w:tcPr>
            <w:tcW w:w="640" w:type="pct"/>
            <w:shd w:val="clear" w:color="auto" w:fill="F2F2F2"/>
            <w:hideMark/>
          </w:tcPr>
          <w:p w14:paraId="6E739FCF"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4C6B72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66DC6E9"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2C74ADC4"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133AF8DF"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86A2D1F"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C51DB3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B54E9AF"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39C4B470" w14:textId="77777777" w:rsidTr="00E16711">
        <w:trPr>
          <w:trHeight w:val="792"/>
        </w:trPr>
        <w:tc>
          <w:tcPr>
            <w:tcW w:w="205" w:type="pct"/>
            <w:shd w:val="clear" w:color="auto" w:fill="F2F2F2"/>
            <w:noWrap/>
            <w:hideMark/>
          </w:tcPr>
          <w:p w14:paraId="148DECB4"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23BE674C" w14:textId="77777777" w:rsidR="00395D01" w:rsidRPr="00912996" w:rsidRDefault="00395D01" w:rsidP="00292396">
            <w:pPr>
              <w:rPr>
                <w:rFonts w:ascii="Calibri" w:hAnsi="Calibri"/>
                <w:bCs/>
                <w:lang w:eastAsia="ja-JP"/>
              </w:rPr>
            </w:pPr>
            <w:r w:rsidRPr="00912996">
              <w:rPr>
                <w:rFonts w:ascii="Calibri" w:hAnsi="Calibri"/>
                <w:bCs/>
                <w:lang w:eastAsia="ja-JP"/>
              </w:rPr>
              <w:t>Cursuri gratuite pentru copii în parcurile din Sector 2 pentru promovarea educației în domeniul sportiv</w:t>
            </w:r>
          </w:p>
        </w:tc>
        <w:tc>
          <w:tcPr>
            <w:tcW w:w="640" w:type="pct"/>
            <w:shd w:val="clear" w:color="auto" w:fill="F2F2F2"/>
            <w:hideMark/>
          </w:tcPr>
          <w:p w14:paraId="5A8D8109" w14:textId="77777777" w:rsidR="00395D01" w:rsidRPr="00912996" w:rsidRDefault="00395D01" w:rsidP="00292396">
            <w:pPr>
              <w:rPr>
                <w:rFonts w:ascii="Calibri" w:hAnsi="Calibri"/>
                <w:bCs/>
                <w:lang w:eastAsia="ja-JP"/>
              </w:rPr>
            </w:pPr>
            <w:r w:rsidRPr="00912996">
              <w:rPr>
                <w:rFonts w:ascii="Calibri" w:hAnsi="Calibri"/>
                <w:bCs/>
                <w:lang w:eastAsia="ja-JP"/>
              </w:rPr>
              <w:t>PS2, instituții de învățământ</w:t>
            </w:r>
          </w:p>
        </w:tc>
        <w:tc>
          <w:tcPr>
            <w:tcW w:w="507" w:type="pct"/>
            <w:shd w:val="clear" w:color="auto" w:fill="F2F2F2"/>
            <w:hideMark/>
          </w:tcPr>
          <w:p w14:paraId="019C197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C8A23AD" w14:textId="77777777" w:rsidR="00395D01" w:rsidRPr="00912996" w:rsidRDefault="00395D01" w:rsidP="00292396">
            <w:pPr>
              <w:rPr>
                <w:rFonts w:ascii="Calibri" w:hAnsi="Calibri"/>
                <w:bCs/>
                <w:lang w:eastAsia="ja-JP"/>
              </w:rPr>
            </w:pPr>
            <w:r w:rsidRPr="00912996">
              <w:rPr>
                <w:rFonts w:ascii="Calibri" w:hAnsi="Calibri"/>
                <w:bCs/>
                <w:lang w:eastAsia="ja-JP"/>
              </w:rPr>
              <w:t>245,000</w:t>
            </w:r>
          </w:p>
        </w:tc>
        <w:tc>
          <w:tcPr>
            <w:tcW w:w="411" w:type="pct"/>
            <w:shd w:val="clear" w:color="auto" w:fill="F2F2F2"/>
            <w:hideMark/>
          </w:tcPr>
          <w:p w14:paraId="3A879331" w14:textId="77777777" w:rsidR="00395D01" w:rsidRPr="00912996" w:rsidRDefault="00395D01" w:rsidP="00292396">
            <w:pPr>
              <w:rPr>
                <w:rFonts w:ascii="Calibri" w:hAnsi="Calibri"/>
                <w:bCs/>
                <w:lang w:eastAsia="ja-JP"/>
              </w:rPr>
            </w:pPr>
            <w:r w:rsidRPr="00912996">
              <w:rPr>
                <w:rFonts w:ascii="Calibri" w:hAnsi="Calibri"/>
                <w:bCs/>
                <w:lang w:eastAsia="ja-JP"/>
              </w:rPr>
              <w:t>50,000</w:t>
            </w:r>
          </w:p>
        </w:tc>
        <w:tc>
          <w:tcPr>
            <w:tcW w:w="347" w:type="pct"/>
            <w:shd w:val="clear" w:color="auto" w:fill="F2F2F2"/>
            <w:hideMark/>
          </w:tcPr>
          <w:p w14:paraId="7E26A0F4"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AF9AEE5"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47B7639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173FD2E"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39C5544D" w14:textId="77777777" w:rsidTr="00E16711">
        <w:trPr>
          <w:trHeight w:val="1056"/>
        </w:trPr>
        <w:tc>
          <w:tcPr>
            <w:tcW w:w="205" w:type="pct"/>
            <w:shd w:val="clear" w:color="auto" w:fill="F2F2F2"/>
            <w:noWrap/>
            <w:hideMark/>
          </w:tcPr>
          <w:p w14:paraId="4A4B07A6"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3B7158C7" w14:textId="77777777" w:rsidR="00395D01" w:rsidRPr="00912996" w:rsidRDefault="00395D01" w:rsidP="00292396">
            <w:pPr>
              <w:rPr>
                <w:rFonts w:ascii="Calibri" w:hAnsi="Calibri"/>
                <w:bCs/>
                <w:lang w:eastAsia="ja-JP"/>
              </w:rPr>
            </w:pPr>
            <w:r w:rsidRPr="00912996">
              <w:rPr>
                <w:rFonts w:ascii="Calibri" w:hAnsi="Calibri"/>
                <w:bCs/>
                <w:lang w:eastAsia="ja-JP"/>
              </w:rPr>
              <w:t>Dezvoltarea ofertei de activități în cadrul Sectorului 2 în timpul Săptămânii Europene a Sportului</w:t>
            </w:r>
          </w:p>
        </w:tc>
        <w:tc>
          <w:tcPr>
            <w:tcW w:w="640" w:type="pct"/>
            <w:shd w:val="clear" w:color="auto" w:fill="F2F2F2"/>
            <w:hideMark/>
          </w:tcPr>
          <w:p w14:paraId="06678C3C" w14:textId="77777777" w:rsidR="00395D01" w:rsidRPr="00912996" w:rsidRDefault="00395D01" w:rsidP="00292396">
            <w:pPr>
              <w:rPr>
                <w:rFonts w:ascii="Calibri" w:hAnsi="Calibri"/>
                <w:bCs/>
                <w:lang w:eastAsia="ja-JP"/>
              </w:rPr>
            </w:pPr>
            <w:r w:rsidRPr="00912996">
              <w:rPr>
                <w:rFonts w:ascii="Calibri" w:hAnsi="Calibri"/>
                <w:bCs/>
                <w:lang w:eastAsia="ja-JP"/>
              </w:rPr>
              <w:t>PS2, Ministerul Sportului, parteneri privați, ONG-uri, alți actori</w:t>
            </w:r>
          </w:p>
        </w:tc>
        <w:tc>
          <w:tcPr>
            <w:tcW w:w="507" w:type="pct"/>
            <w:shd w:val="clear" w:color="auto" w:fill="F2F2F2"/>
            <w:hideMark/>
          </w:tcPr>
          <w:p w14:paraId="4D7B874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7019273"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325C0F95"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10CE9DC0"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1868153"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01C3E4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68EA7B9"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3BEB97B2" w14:textId="77777777" w:rsidTr="00E16711">
        <w:trPr>
          <w:trHeight w:val="1056"/>
        </w:trPr>
        <w:tc>
          <w:tcPr>
            <w:tcW w:w="205" w:type="pct"/>
            <w:shd w:val="clear" w:color="auto" w:fill="F2F2F2"/>
            <w:noWrap/>
            <w:hideMark/>
          </w:tcPr>
          <w:p w14:paraId="623FEC02"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494DE0FE" w14:textId="77777777" w:rsidR="00395D01" w:rsidRPr="00912996" w:rsidRDefault="00395D01" w:rsidP="00292396">
            <w:pPr>
              <w:rPr>
                <w:rFonts w:ascii="Calibri" w:hAnsi="Calibri"/>
                <w:bCs/>
                <w:lang w:eastAsia="ja-JP"/>
              </w:rPr>
            </w:pPr>
            <w:r w:rsidRPr="00912996">
              <w:rPr>
                <w:rFonts w:ascii="Calibri" w:hAnsi="Calibri"/>
                <w:bCs/>
                <w:lang w:eastAsia="ja-JP"/>
              </w:rPr>
              <w:t>Dezvoltarea agendei sportive a Sectorului 2 prin organizarea periodică a unor evenimente de tip cros tematice: dedicate studenților, companiilor, femeilor etc.</w:t>
            </w:r>
          </w:p>
        </w:tc>
        <w:tc>
          <w:tcPr>
            <w:tcW w:w="640" w:type="pct"/>
            <w:shd w:val="clear" w:color="auto" w:fill="F2F2F2"/>
            <w:hideMark/>
          </w:tcPr>
          <w:p w14:paraId="4BBD4910" w14:textId="77777777" w:rsidR="00395D01" w:rsidRPr="00912996" w:rsidRDefault="00395D01" w:rsidP="00292396">
            <w:pPr>
              <w:rPr>
                <w:rFonts w:ascii="Calibri" w:hAnsi="Calibri"/>
                <w:bCs/>
                <w:lang w:eastAsia="ja-JP"/>
              </w:rPr>
            </w:pPr>
            <w:r w:rsidRPr="00912996">
              <w:rPr>
                <w:rFonts w:ascii="Calibri" w:hAnsi="Calibri"/>
                <w:bCs/>
                <w:lang w:eastAsia="ja-JP"/>
              </w:rPr>
              <w:t>PS2, Ministerul Sportului, parteneri privați, ONG-uri, alți actori</w:t>
            </w:r>
          </w:p>
        </w:tc>
        <w:tc>
          <w:tcPr>
            <w:tcW w:w="507" w:type="pct"/>
            <w:shd w:val="clear" w:color="auto" w:fill="F2F2F2"/>
            <w:hideMark/>
          </w:tcPr>
          <w:p w14:paraId="37A8CE0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1F45C2C"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7680F353"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4C03B435"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525353D"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3F7832C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14129C2"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236820B5" w14:textId="77777777" w:rsidTr="00E16711">
        <w:trPr>
          <w:trHeight w:val="528"/>
        </w:trPr>
        <w:tc>
          <w:tcPr>
            <w:tcW w:w="205" w:type="pct"/>
            <w:shd w:val="clear" w:color="auto" w:fill="F2F2F2"/>
            <w:noWrap/>
            <w:hideMark/>
          </w:tcPr>
          <w:p w14:paraId="5827658D"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7A6FA803" w14:textId="77777777" w:rsidR="00395D01" w:rsidRPr="00912996" w:rsidRDefault="00395D01" w:rsidP="00292396">
            <w:pPr>
              <w:rPr>
                <w:rFonts w:ascii="Calibri" w:hAnsi="Calibri"/>
                <w:bCs/>
                <w:lang w:eastAsia="ja-JP"/>
              </w:rPr>
            </w:pPr>
            <w:r w:rsidRPr="00912996">
              <w:rPr>
                <w:rFonts w:ascii="Calibri" w:hAnsi="Calibri"/>
                <w:bCs/>
                <w:lang w:eastAsia="ja-JP"/>
              </w:rPr>
              <w:t>Deschiderea parcurilor noaptea</w:t>
            </w:r>
          </w:p>
        </w:tc>
        <w:tc>
          <w:tcPr>
            <w:tcW w:w="640" w:type="pct"/>
            <w:shd w:val="clear" w:color="auto" w:fill="F2F2F2"/>
            <w:hideMark/>
          </w:tcPr>
          <w:p w14:paraId="288D7A78"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6A01F5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7DF2CF6"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27CCC9D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7667E2DE"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A774D7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DE3C0F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56DE146" w14:textId="77777777" w:rsidR="00395D01" w:rsidRPr="00912996" w:rsidRDefault="00395D01" w:rsidP="00292396">
            <w:pPr>
              <w:rPr>
                <w:rFonts w:ascii="Calibri" w:hAnsi="Calibri"/>
                <w:bCs/>
                <w:lang w:eastAsia="ja-JP"/>
              </w:rPr>
            </w:pPr>
            <w:r w:rsidRPr="00912996">
              <w:rPr>
                <w:rFonts w:ascii="Calibri" w:hAnsi="Calibri"/>
                <w:bCs/>
                <w:lang w:eastAsia="ja-JP"/>
              </w:rPr>
              <w:t>Propunere grupuri de lucru</w:t>
            </w:r>
          </w:p>
        </w:tc>
      </w:tr>
      <w:tr w:rsidR="00E16711" w:rsidRPr="00912996" w14:paraId="05366E12" w14:textId="77777777" w:rsidTr="000D2F48">
        <w:trPr>
          <w:trHeight w:val="624"/>
        </w:trPr>
        <w:tc>
          <w:tcPr>
            <w:tcW w:w="205" w:type="pct"/>
            <w:shd w:val="clear" w:color="auto" w:fill="F2F2F2"/>
            <w:noWrap/>
            <w:hideMark/>
          </w:tcPr>
          <w:p w14:paraId="6CBB9745" w14:textId="77777777" w:rsidR="00395D01" w:rsidRPr="00912996" w:rsidRDefault="00395D01" w:rsidP="00292396">
            <w:pPr>
              <w:rPr>
                <w:rFonts w:ascii="Calibri" w:hAnsi="Calibri"/>
                <w:bCs/>
                <w:lang w:eastAsia="ja-JP"/>
              </w:rPr>
            </w:pPr>
            <w:r w:rsidRPr="00912996">
              <w:rPr>
                <w:rFonts w:ascii="Calibri" w:hAnsi="Calibri"/>
                <w:bCs/>
                <w:lang w:eastAsia="ja-JP"/>
              </w:rPr>
              <w:t>16</w:t>
            </w:r>
          </w:p>
        </w:tc>
        <w:tc>
          <w:tcPr>
            <w:tcW w:w="1018" w:type="pct"/>
            <w:gridSpan w:val="2"/>
            <w:shd w:val="clear" w:color="auto" w:fill="F2F2F2"/>
            <w:hideMark/>
          </w:tcPr>
          <w:p w14:paraId="73A711E6" w14:textId="77777777" w:rsidR="00395D01" w:rsidRPr="00912996" w:rsidRDefault="00395D01" w:rsidP="00292396">
            <w:pPr>
              <w:rPr>
                <w:rFonts w:ascii="Calibri" w:hAnsi="Calibri"/>
                <w:bCs/>
                <w:lang w:eastAsia="ja-JP"/>
              </w:rPr>
            </w:pPr>
            <w:r w:rsidRPr="00912996">
              <w:rPr>
                <w:rFonts w:ascii="Calibri" w:hAnsi="Calibri"/>
                <w:bCs/>
                <w:lang w:eastAsia="ja-JP"/>
              </w:rPr>
              <w:t>Amenajarea unui loc de joacă în vecinătatea mini parcului Țepeș Vodă</w:t>
            </w:r>
          </w:p>
        </w:tc>
        <w:tc>
          <w:tcPr>
            <w:tcW w:w="640" w:type="pct"/>
            <w:shd w:val="clear" w:color="auto" w:fill="F2F2F2"/>
            <w:hideMark/>
          </w:tcPr>
          <w:p w14:paraId="6B668AA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7E3253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0181130"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411" w:type="pct"/>
            <w:shd w:val="clear" w:color="auto" w:fill="F2F2F2"/>
            <w:hideMark/>
          </w:tcPr>
          <w:p w14:paraId="76584696" w14:textId="77777777" w:rsidR="00395D01" w:rsidRPr="00912996" w:rsidRDefault="00395D01" w:rsidP="00292396">
            <w:pPr>
              <w:rPr>
                <w:rFonts w:ascii="Calibri" w:hAnsi="Calibri"/>
                <w:bCs/>
                <w:lang w:eastAsia="ja-JP"/>
              </w:rPr>
            </w:pPr>
            <w:r w:rsidRPr="00912996">
              <w:rPr>
                <w:rFonts w:ascii="Calibri" w:hAnsi="Calibri"/>
                <w:bCs/>
                <w:lang w:eastAsia="ja-JP"/>
              </w:rPr>
              <w:t>102,041</w:t>
            </w:r>
          </w:p>
        </w:tc>
        <w:tc>
          <w:tcPr>
            <w:tcW w:w="347" w:type="pct"/>
            <w:shd w:val="clear" w:color="auto" w:fill="F2F2F2"/>
            <w:hideMark/>
          </w:tcPr>
          <w:p w14:paraId="3398D4C4"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092728D1"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PNRR C2, Bugetul local,  Alte surse de finanțare</w:t>
            </w:r>
          </w:p>
        </w:tc>
        <w:tc>
          <w:tcPr>
            <w:tcW w:w="433" w:type="pct"/>
            <w:shd w:val="clear" w:color="auto" w:fill="F2F2F2"/>
            <w:hideMark/>
          </w:tcPr>
          <w:p w14:paraId="3E55839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1A5EB07"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E16711" w:rsidRPr="00912996" w14:paraId="6A6E1B6D" w14:textId="77777777" w:rsidTr="00E16711">
        <w:trPr>
          <w:trHeight w:val="1056"/>
        </w:trPr>
        <w:tc>
          <w:tcPr>
            <w:tcW w:w="205" w:type="pct"/>
            <w:shd w:val="clear" w:color="auto" w:fill="F2F2F2"/>
            <w:noWrap/>
          </w:tcPr>
          <w:p w14:paraId="14296C34" w14:textId="77777777" w:rsidR="00395D01" w:rsidRPr="00912996" w:rsidRDefault="00395D01" w:rsidP="00292396">
            <w:pPr>
              <w:rPr>
                <w:rFonts w:ascii="Calibri" w:hAnsi="Calibri"/>
                <w:bCs/>
                <w:lang w:eastAsia="ja-JP"/>
              </w:rPr>
            </w:pPr>
            <w:r>
              <w:rPr>
                <w:rFonts w:ascii="Calibri" w:hAnsi="Calibri"/>
                <w:bCs/>
                <w:lang w:eastAsia="ja-JP"/>
              </w:rPr>
              <w:t>17</w:t>
            </w:r>
          </w:p>
        </w:tc>
        <w:tc>
          <w:tcPr>
            <w:tcW w:w="1018" w:type="pct"/>
            <w:gridSpan w:val="2"/>
            <w:shd w:val="clear" w:color="auto" w:fill="F2F2F2"/>
          </w:tcPr>
          <w:p w14:paraId="1428BB32" w14:textId="77777777" w:rsidR="00395D01" w:rsidRPr="00873D36" w:rsidRDefault="00395D01" w:rsidP="00292396">
            <w:pPr>
              <w:rPr>
                <w:rFonts w:ascii="Calibri" w:hAnsi="Calibri"/>
                <w:bCs/>
                <w:lang w:eastAsia="ja-JP"/>
              </w:rPr>
            </w:pPr>
            <w:r w:rsidRPr="00873D36">
              <w:rPr>
                <w:rFonts w:ascii="Calibri" w:hAnsi="Calibri"/>
                <w:bCs/>
                <w:lang w:eastAsia="ja-JP"/>
              </w:rPr>
              <w:t>Proiect educațional</w:t>
            </w:r>
            <w:r>
              <w:rPr>
                <w:rFonts w:ascii="Calibri" w:hAnsi="Calibri"/>
                <w:bCs/>
                <w:lang w:eastAsia="ja-JP"/>
              </w:rPr>
              <w:t xml:space="preserve"> </w:t>
            </w:r>
            <w:r w:rsidRPr="00873D36">
              <w:rPr>
                <w:rFonts w:ascii="Calibri" w:hAnsi="Calibri"/>
                <w:bCs/>
                <w:lang w:eastAsia="ja-JP"/>
              </w:rPr>
              <w:t>-vocațional: PANTELIMON 301</w:t>
            </w:r>
          </w:p>
          <w:p w14:paraId="5A8ED379" w14:textId="7658C260" w:rsidR="00395D01" w:rsidRPr="00912996" w:rsidRDefault="00395D01" w:rsidP="00292396">
            <w:pPr>
              <w:rPr>
                <w:rFonts w:ascii="Calibri" w:hAnsi="Calibri"/>
                <w:bCs/>
                <w:lang w:eastAsia="ja-JP"/>
              </w:rPr>
            </w:pPr>
            <w:r w:rsidRPr="00873D36">
              <w:rPr>
                <w:rFonts w:ascii="Calibri" w:hAnsi="Calibri"/>
                <w:bCs/>
                <w:lang w:eastAsia="ja-JP"/>
              </w:rPr>
              <w:t>Clubul copiilor</w:t>
            </w:r>
            <w:r w:rsidR="00614C44">
              <w:rPr>
                <w:rFonts w:ascii="Calibri" w:hAnsi="Calibri"/>
                <w:bCs/>
                <w:lang w:eastAsia="ja-JP"/>
              </w:rPr>
              <w:t xml:space="preserve"> </w:t>
            </w:r>
            <w:r w:rsidRPr="00873D36">
              <w:rPr>
                <w:rFonts w:ascii="Calibri" w:hAnsi="Calibri"/>
                <w:bCs/>
                <w:lang w:eastAsia="ja-JP"/>
              </w:rPr>
              <w:t>Clubul Seniorilor</w:t>
            </w:r>
          </w:p>
        </w:tc>
        <w:tc>
          <w:tcPr>
            <w:tcW w:w="640" w:type="pct"/>
            <w:shd w:val="clear" w:color="auto" w:fill="F2F2F2"/>
          </w:tcPr>
          <w:p w14:paraId="3453C1AB"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0C398881"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16366600"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3FF3DD20"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0976E746"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31932952"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75A4EDCD"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5343C875"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44060E24" w14:textId="77777777" w:rsidTr="000D2F48">
        <w:trPr>
          <w:trHeight w:val="813"/>
        </w:trPr>
        <w:tc>
          <w:tcPr>
            <w:tcW w:w="205" w:type="pct"/>
            <w:shd w:val="clear" w:color="auto" w:fill="F2F2F2"/>
            <w:noWrap/>
          </w:tcPr>
          <w:p w14:paraId="1D1F0628" w14:textId="77777777" w:rsidR="00395D01" w:rsidRPr="00912996" w:rsidRDefault="00395D01" w:rsidP="00292396">
            <w:pPr>
              <w:rPr>
                <w:rFonts w:ascii="Calibri" w:hAnsi="Calibri"/>
                <w:bCs/>
                <w:lang w:eastAsia="ja-JP"/>
              </w:rPr>
            </w:pPr>
            <w:r>
              <w:rPr>
                <w:rFonts w:ascii="Calibri" w:hAnsi="Calibri"/>
                <w:bCs/>
                <w:lang w:eastAsia="ja-JP"/>
              </w:rPr>
              <w:t>18</w:t>
            </w:r>
          </w:p>
        </w:tc>
        <w:tc>
          <w:tcPr>
            <w:tcW w:w="1018" w:type="pct"/>
            <w:gridSpan w:val="2"/>
            <w:shd w:val="clear" w:color="auto" w:fill="F2F2F2"/>
          </w:tcPr>
          <w:p w14:paraId="4A3BF30A" w14:textId="77777777" w:rsidR="00395D01" w:rsidRPr="00873D36" w:rsidRDefault="00395D01" w:rsidP="00292396">
            <w:pPr>
              <w:rPr>
                <w:rFonts w:ascii="Calibri" w:hAnsi="Calibri"/>
                <w:bCs/>
                <w:lang w:eastAsia="ja-JP"/>
              </w:rPr>
            </w:pPr>
            <w:r w:rsidRPr="00873D36">
              <w:rPr>
                <w:rFonts w:ascii="Calibri" w:hAnsi="Calibri"/>
                <w:bCs/>
                <w:lang w:eastAsia="ja-JP"/>
              </w:rPr>
              <w:t>Proiect cultural:</w:t>
            </w:r>
          </w:p>
          <w:p w14:paraId="78E79D8C" w14:textId="77777777" w:rsidR="00395D01" w:rsidRPr="00912996" w:rsidRDefault="00395D01" w:rsidP="00292396">
            <w:pPr>
              <w:rPr>
                <w:rFonts w:ascii="Calibri" w:hAnsi="Calibri"/>
                <w:bCs/>
                <w:lang w:eastAsia="ja-JP"/>
              </w:rPr>
            </w:pPr>
            <w:r w:rsidRPr="00873D36">
              <w:rPr>
                <w:rFonts w:ascii="Calibri" w:hAnsi="Calibri"/>
                <w:bCs/>
                <w:lang w:eastAsia="ja-JP"/>
              </w:rPr>
              <w:t>Galeria</w:t>
            </w:r>
            <w:r>
              <w:rPr>
                <w:rFonts w:ascii="Calibri" w:hAnsi="Calibri"/>
                <w:bCs/>
                <w:lang w:eastAsia="ja-JP"/>
              </w:rPr>
              <w:t xml:space="preserve"> </w:t>
            </w:r>
            <w:r w:rsidRPr="00873D36">
              <w:rPr>
                <w:rFonts w:ascii="Calibri" w:hAnsi="Calibri"/>
                <w:bCs/>
                <w:lang w:eastAsia="ja-JP"/>
              </w:rPr>
              <w:t>“Calderon Art Studio”</w:t>
            </w:r>
          </w:p>
        </w:tc>
        <w:tc>
          <w:tcPr>
            <w:tcW w:w="640" w:type="pct"/>
            <w:shd w:val="clear" w:color="auto" w:fill="F2F2F2"/>
          </w:tcPr>
          <w:p w14:paraId="6893F8AC"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0FB7BF38"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172F8DEE"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16649AFC"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2C9A7FE1"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3E289568"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35F8993D"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1D1B8690"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2E6FF815" w14:textId="77777777" w:rsidTr="00E16711">
        <w:trPr>
          <w:trHeight w:val="1056"/>
        </w:trPr>
        <w:tc>
          <w:tcPr>
            <w:tcW w:w="205" w:type="pct"/>
            <w:shd w:val="clear" w:color="auto" w:fill="F2F2F2"/>
            <w:noWrap/>
          </w:tcPr>
          <w:p w14:paraId="37594E06" w14:textId="77777777" w:rsidR="00395D01" w:rsidRPr="00912996" w:rsidRDefault="00395D01" w:rsidP="00292396">
            <w:pPr>
              <w:rPr>
                <w:rFonts w:ascii="Calibri" w:hAnsi="Calibri"/>
                <w:bCs/>
                <w:lang w:eastAsia="ja-JP"/>
              </w:rPr>
            </w:pPr>
            <w:r>
              <w:rPr>
                <w:rFonts w:ascii="Calibri" w:hAnsi="Calibri"/>
                <w:bCs/>
                <w:lang w:eastAsia="ja-JP"/>
              </w:rPr>
              <w:t>19</w:t>
            </w:r>
          </w:p>
        </w:tc>
        <w:tc>
          <w:tcPr>
            <w:tcW w:w="1018" w:type="pct"/>
            <w:gridSpan w:val="2"/>
            <w:shd w:val="clear" w:color="auto" w:fill="F2F2F2"/>
          </w:tcPr>
          <w:p w14:paraId="781318F0"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0FB0AA73" w14:textId="77777777" w:rsidR="00395D01" w:rsidRPr="00912996" w:rsidRDefault="00395D01" w:rsidP="00292396">
            <w:pPr>
              <w:rPr>
                <w:rFonts w:ascii="Calibri" w:hAnsi="Calibri"/>
                <w:bCs/>
                <w:lang w:eastAsia="ja-JP"/>
              </w:rPr>
            </w:pPr>
            <w:r w:rsidRPr="00B130F8">
              <w:rPr>
                <w:rFonts w:ascii="Calibri" w:hAnsi="Calibri"/>
                <w:bCs/>
                <w:lang w:eastAsia="ja-JP"/>
              </w:rPr>
              <w:t>Editura “Centrul Cultural Mihai Eminescu”</w:t>
            </w:r>
          </w:p>
        </w:tc>
        <w:tc>
          <w:tcPr>
            <w:tcW w:w="640" w:type="pct"/>
            <w:shd w:val="clear" w:color="auto" w:fill="F2F2F2"/>
          </w:tcPr>
          <w:p w14:paraId="0787A99D"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7A82A979"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01AC8511"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52798543"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1AFA3C01"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0CDCA29F"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07576058"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3E17B462"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073A6015" w14:textId="77777777" w:rsidTr="000D2F48">
        <w:trPr>
          <w:trHeight w:val="714"/>
        </w:trPr>
        <w:tc>
          <w:tcPr>
            <w:tcW w:w="205" w:type="pct"/>
            <w:shd w:val="clear" w:color="auto" w:fill="F2F2F2"/>
            <w:noWrap/>
          </w:tcPr>
          <w:p w14:paraId="188D075C" w14:textId="77777777" w:rsidR="00395D01" w:rsidRPr="00912996" w:rsidRDefault="00395D01" w:rsidP="00292396">
            <w:pPr>
              <w:rPr>
                <w:rFonts w:ascii="Calibri" w:hAnsi="Calibri"/>
                <w:bCs/>
                <w:lang w:eastAsia="ja-JP"/>
              </w:rPr>
            </w:pPr>
            <w:r>
              <w:rPr>
                <w:rFonts w:ascii="Calibri" w:hAnsi="Calibri"/>
                <w:bCs/>
                <w:lang w:eastAsia="ja-JP"/>
              </w:rPr>
              <w:t>20</w:t>
            </w:r>
          </w:p>
        </w:tc>
        <w:tc>
          <w:tcPr>
            <w:tcW w:w="1018" w:type="pct"/>
            <w:gridSpan w:val="2"/>
            <w:shd w:val="clear" w:color="auto" w:fill="F2F2F2"/>
          </w:tcPr>
          <w:p w14:paraId="75602411"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0454A39B" w14:textId="77777777" w:rsidR="00395D01" w:rsidRPr="00912996" w:rsidRDefault="00395D01" w:rsidP="00292396">
            <w:pPr>
              <w:rPr>
                <w:rFonts w:ascii="Calibri" w:hAnsi="Calibri"/>
                <w:bCs/>
                <w:lang w:eastAsia="ja-JP"/>
              </w:rPr>
            </w:pPr>
            <w:r w:rsidRPr="00B130F8">
              <w:rPr>
                <w:rFonts w:ascii="Calibri" w:hAnsi="Calibri"/>
                <w:bCs/>
                <w:lang w:eastAsia="ja-JP"/>
              </w:rPr>
              <w:t>Time 2</w:t>
            </w:r>
            <w:r>
              <w:rPr>
                <w:rFonts w:ascii="Calibri" w:hAnsi="Calibri"/>
                <w:bCs/>
                <w:lang w:eastAsia="ja-JP"/>
              </w:rPr>
              <w:t xml:space="preserve"> </w:t>
            </w:r>
            <w:r w:rsidRPr="00B130F8">
              <w:rPr>
                <w:rFonts w:ascii="Calibri" w:hAnsi="Calibri"/>
                <w:bCs/>
                <w:lang w:eastAsia="ja-JP"/>
              </w:rPr>
              <w:t>Mihai Eminescu</w:t>
            </w:r>
          </w:p>
        </w:tc>
        <w:tc>
          <w:tcPr>
            <w:tcW w:w="640" w:type="pct"/>
            <w:shd w:val="clear" w:color="auto" w:fill="F2F2F2"/>
          </w:tcPr>
          <w:p w14:paraId="3E151580"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49E69F13"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2F7171FF"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2E2F122A"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5ED89685"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36134E2C"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1DAAD05E"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3D086C95"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03F325AF" w14:textId="77777777" w:rsidTr="000D2F48">
        <w:trPr>
          <w:trHeight w:val="795"/>
        </w:trPr>
        <w:tc>
          <w:tcPr>
            <w:tcW w:w="205" w:type="pct"/>
            <w:shd w:val="clear" w:color="auto" w:fill="F2F2F2"/>
            <w:noWrap/>
          </w:tcPr>
          <w:p w14:paraId="6584B1D6" w14:textId="77777777" w:rsidR="00395D01" w:rsidRPr="00912996" w:rsidRDefault="00395D01" w:rsidP="00292396">
            <w:pPr>
              <w:rPr>
                <w:rFonts w:ascii="Calibri" w:hAnsi="Calibri"/>
                <w:bCs/>
                <w:lang w:eastAsia="ja-JP"/>
              </w:rPr>
            </w:pPr>
            <w:r>
              <w:rPr>
                <w:rFonts w:ascii="Calibri" w:hAnsi="Calibri"/>
                <w:bCs/>
                <w:lang w:eastAsia="ja-JP"/>
              </w:rPr>
              <w:t>21</w:t>
            </w:r>
          </w:p>
        </w:tc>
        <w:tc>
          <w:tcPr>
            <w:tcW w:w="1018" w:type="pct"/>
            <w:gridSpan w:val="2"/>
            <w:shd w:val="clear" w:color="auto" w:fill="F2F2F2"/>
          </w:tcPr>
          <w:p w14:paraId="2EA73F07" w14:textId="77777777" w:rsidR="00395D01" w:rsidRPr="00B130F8" w:rsidRDefault="00395D01" w:rsidP="00292396">
            <w:pPr>
              <w:rPr>
                <w:rFonts w:ascii="Calibri" w:hAnsi="Calibri"/>
                <w:bCs/>
                <w:lang w:eastAsia="ja-JP"/>
              </w:rPr>
            </w:pPr>
            <w:r w:rsidRPr="00B130F8">
              <w:rPr>
                <w:rFonts w:ascii="Calibri" w:hAnsi="Calibri"/>
                <w:bCs/>
                <w:lang w:eastAsia="ja-JP"/>
              </w:rPr>
              <w:t>Activități sportive:</w:t>
            </w:r>
          </w:p>
          <w:p w14:paraId="6129B2AD" w14:textId="77777777" w:rsidR="00395D01" w:rsidRPr="00912996" w:rsidRDefault="00395D01" w:rsidP="00292396">
            <w:pPr>
              <w:rPr>
                <w:rFonts w:ascii="Calibri" w:hAnsi="Calibri"/>
                <w:bCs/>
                <w:lang w:eastAsia="ja-JP"/>
              </w:rPr>
            </w:pPr>
            <w:r w:rsidRPr="00B130F8">
              <w:rPr>
                <w:rFonts w:ascii="Calibri" w:hAnsi="Calibri"/>
                <w:bCs/>
                <w:lang w:eastAsia="ja-JP"/>
              </w:rPr>
              <w:t>Iarna magic</w:t>
            </w:r>
            <w:r>
              <w:rPr>
                <w:rFonts w:ascii="Calibri" w:hAnsi="Calibri"/>
                <w:bCs/>
                <w:lang w:eastAsia="ja-JP"/>
              </w:rPr>
              <w:t>ă</w:t>
            </w:r>
            <w:r w:rsidRPr="00B130F8">
              <w:rPr>
                <w:rFonts w:ascii="Calibri" w:hAnsi="Calibri"/>
                <w:bCs/>
                <w:lang w:eastAsia="ja-JP"/>
              </w:rPr>
              <w:t xml:space="preserve"> a copiilor</w:t>
            </w:r>
          </w:p>
        </w:tc>
        <w:tc>
          <w:tcPr>
            <w:tcW w:w="640" w:type="pct"/>
            <w:shd w:val="clear" w:color="auto" w:fill="F2F2F2"/>
          </w:tcPr>
          <w:p w14:paraId="17B88D76"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1E17AFF3"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0DC5CD14"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78593CE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12822C15"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26E1E418"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42F8249E"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44A18835"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4931F072" w14:textId="77777777" w:rsidTr="000D2F48">
        <w:trPr>
          <w:trHeight w:val="795"/>
        </w:trPr>
        <w:tc>
          <w:tcPr>
            <w:tcW w:w="205" w:type="pct"/>
            <w:shd w:val="clear" w:color="auto" w:fill="F2F2F2"/>
            <w:noWrap/>
          </w:tcPr>
          <w:p w14:paraId="21F9688B" w14:textId="77777777" w:rsidR="00395D01" w:rsidRPr="00912996" w:rsidRDefault="00395D01" w:rsidP="00292396">
            <w:pPr>
              <w:rPr>
                <w:rFonts w:ascii="Calibri" w:hAnsi="Calibri"/>
                <w:bCs/>
                <w:lang w:eastAsia="ja-JP"/>
              </w:rPr>
            </w:pPr>
            <w:r>
              <w:rPr>
                <w:rFonts w:ascii="Calibri" w:hAnsi="Calibri"/>
                <w:bCs/>
                <w:lang w:eastAsia="ja-JP"/>
              </w:rPr>
              <w:t>22</w:t>
            </w:r>
          </w:p>
        </w:tc>
        <w:tc>
          <w:tcPr>
            <w:tcW w:w="1018" w:type="pct"/>
            <w:gridSpan w:val="2"/>
            <w:shd w:val="clear" w:color="auto" w:fill="F2F2F2"/>
          </w:tcPr>
          <w:p w14:paraId="782C5849"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5843E6C6" w14:textId="77777777" w:rsidR="00395D01" w:rsidRPr="00912996" w:rsidRDefault="00395D01" w:rsidP="00292396">
            <w:pPr>
              <w:rPr>
                <w:rFonts w:ascii="Calibri" w:hAnsi="Calibri"/>
                <w:bCs/>
                <w:lang w:eastAsia="ja-JP"/>
              </w:rPr>
            </w:pPr>
            <w:r w:rsidRPr="00B130F8">
              <w:rPr>
                <w:rFonts w:ascii="Calibri" w:hAnsi="Calibri"/>
                <w:bCs/>
                <w:lang w:eastAsia="ja-JP"/>
              </w:rPr>
              <w:t>Primăvară începe cu un mărțișor</w:t>
            </w:r>
          </w:p>
        </w:tc>
        <w:tc>
          <w:tcPr>
            <w:tcW w:w="640" w:type="pct"/>
            <w:shd w:val="clear" w:color="auto" w:fill="F2F2F2"/>
          </w:tcPr>
          <w:p w14:paraId="3FF91651"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51D9F9D7"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325293D5"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24FE2D58"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461E5013"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13F2D135"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65508BBC"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5E0D8EF3"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38CE024E" w14:textId="77777777" w:rsidTr="000D2F48">
        <w:trPr>
          <w:trHeight w:val="714"/>
        </w:trPr>
        <w:tc>
          <w:tcPr>
            <w:tcW w:w="205" w:type="pct"/>
            <w:shd w:val="clear" w:color="auto" w:fill="F2F2F2"/>
            <w:noWrap/>
          </w:tcPr>
          <w:p w14:paraId="1BE21C09" w14:textId="77777777" w:rsidR="00395D01" w:rsidRPr="00912996" w:rsidRDefault="00395D01" w:rsidP="00292396">
            <w:pPr>
              <w:rPr>
                <w:rFonts w:ascii="Calibri" w:hAnsi="Calibri"/>
                <w:bCs/>
                <w:lang w:eastAsia="ja-JP"/>
              </w:rPr>
            </w:pPr>
            <w:r>
              <w:rPr>
                <w:rFonts w:ascii="Calibri" w:hAnsi="Calibri"/>
                <w:bCs/>
                <w:lang w:eastAsia="ja-JP"/>
              </w:rPr>
              <w:t>23</w:t>
            </w:r>
          </w:p>
        </w:tc>
        <w:tc>
          <w:tcPr>
            <w:tcW w:w="1018" w:type="pct"/>
            <w:gridSpan w:val="2"/>
            <w:shd w:val="clear" w:color="auto" w:fill="F2F2F2"/>
          </w:tcPr>
          <w:p w14:paraId="4C5A37D9"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3C1D4A9C" w14:textId="77777777" w:rsidR="00395D01" w:rsidRPr="00912996" w:rsidRDefault="00395D01" w:rsidP="00292396">
            <w:pPr>
              <w:rPr>
                <w:rFonts w:ascii="Calibri" w:hAnsi="Calibri"/>
                <w:bCs/>
                <w:lang w:eastAsia="ja-JP"/>
              </w:rPr>
            </w:pPr>
            <w:r w:rsidRPr="00B130F8">
              <w:rPr>
                <w:rFonts w:ascii="Calibri" w:hAnsi="Calibri"/>
                <w:bCs/>
                <w:lang w:eastAsia="ja-JP"/>
              </w:rPr>
              <w:t>Duminica Ortodoxiei</w:t>
            </w:r>
          </w:p>
        </w:tc>
        <w:tc>
          <w:tcPr>
            <w:tcW w:w="640" w:type="pct"/>
            <w:shd w:val="clear" w:color="auto" w:fill="F2F2F2"/>
          </w:tcPr>
          <w:p w14:paraId="4AC42726"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621ECCE5"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52A76334"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7A959EF3"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58FFC10B"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669DAB12"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49B8B6D8"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4E4B461F"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6EC9D118" w14:textId="77777777" w:rsidTr="00E16711">
        <w:trPr>
          <w:trHeight w:val="440"/>
        </w:trPr>
        <w:tc>
          <w:tcPr>
            <w:tcW w:w="205" w:type="pct"/>
            <w:shd w:val="clear" w:color="auto" w:fill="F2F2F2"/>
            <w:noWrap/>
          </w:tcPr>
          <w:p w14:paraId="523B4B84" w14:textId="77777777" w:rsidR="00395D01" w:rsidRPr="00912996" w:rsidRDefault="00395D01" w:rsidP="00292396">
            <w:pPr>
              <w:rPr>
                <w:rFonts w:ascii="Calibri" w:hAnsi="Calibri"/>
                <w:bCs/>
                <w:lang w:eastAsia="ja-JP"/>
              </w:rPr>
            </w:pPr>
            <w:r>
              <w:rPr>
                <w:rFonts w:ascii="Calibri" w:hAnsi="Calibri"/>
                <w:bCs/>
                <w:lang w:eastAsia="ja-JP"/>
              </w:rPr>
              <w:t>24</w:t>
            </w:r>
          </w:p>
        </w:tc>
        <w:tc>
          <w:tcPr>
            <w:tcW w:w="1018" w:type="pct"/>
            <w:gridSpan w:val="2"/>
            <w:shd w:val="clear" w:color="auto" w:fill="F2F2F2"/>
          </w:tcPr>
          <w:p w14:paraId="47CCF758" w14:textId="77777777" w:rsidR="00395D01" w:rsidRPr="00B130F8" w:rsidRDefault="00395D01" w:rsidP="00292396">
            <w:pPr>
              <w:rPr>
                <w:rFonts w:ascii="Calibri" w:hAnsi="Calibri"/>
                <w:bCs/>
                <w:lang w:eastAsia="ja-JP"/>
              </w:rPr>
            </w:pPr>
            <w:r w:rsidRPr="00B130F8">
              <w:rPr>
                <w:rFonts w:ascii="Calibri" w:hAnsi="Calibri"/>
                <w:bCs/>
                <w:lang w:eastAsia="ja-JP"/>
              </w:rPr>
              <w:t>Campanii de informare și educare:</w:t>
            </w:r>
          </w:p>
          <w:p w14:paraId="1D39D67E" w14:textId="77777777" w:rsidR="00395D01" w:rsidRDefault="00395D01" w:rsidP="00292396">
            <w:pPr>
              <w:rPr>
                <w:rFonts w:ascii="Calibri" w:hAnsi="Calibri"/>
                <w:bCs/>
                <w:lang w:eastAsia="ja-JP"/>
              </w:rPr>
            </w:pPr>
            <w:r w:rsidRPr="00B130F8">
              <w:rPr>
                <w:rFonts w:ascii="Calibri" w:hAnsi="Calibri"/>
                <w:bCs/>
                <w:lang w:eastAsia="ja-JP"/>
              </w:rPr>
              <w:t>Eat Goo</w:t>
            </w:r>
            <w:r>
              <w:rPr>
                <w:rFonts w:ascii="Calibri" w:hAnsi="Calibri"/>
                <w:bCs/>
                <w:lang w:eastAsia="ja-JP"/>
              </w:rPr>
              <w:t xml:space="preserve"> </w:t>
            </w:r>
          </w:p>
          <w:p w14:paraId="4EE66C59" w14:textId="77777777" w:rsidR="00395D01" w:rsidRPr="00912996" w:rsidRDefault="00395D01" w:rsidP="00292396">
            <w:pPr>
              <w:rPr>
                <w:rFonts w:ascii="Calibri" w:hAnsi="Calibri"/>
                <w:bCs/>
                <w:lang w:eastAsia="ja-JP"/>
              </w:rPr>
            </w:pPr>
            <w:r w:rsidRPr="00B130F8">
              <w:rPr>
                <w:rFonts w:ascii="Calibri" w:hAnsi="Calibri"/>
                <w:bCs/>
                <w:lang w:eastAsia="ja-JP"/>
              </w:rPr>
              <w:t>Feel Good</w:t>
            </w:r>
          </w:p>
        </w:tc>
        <w:tc>
          <w:tcPr>
            <w:tcW w:w="640" w:type="pct"/>
            <w:shd w:val="clear" w:color="auto" w:fill="F2F2F2"/>
          </w:tcPr>
          <w:p w14:paraId="78D78498"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7F06BB7E"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4053CFC7"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6A56DAA2"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210E74C9"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42A30721"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03555B1A"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7C94AD50"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254249FE" w14:textId="77777777" w:rsidTr="00E16711">
        <w:trPr>
          <w:trHeight w:val="1056"/>
        </w:trPr>
        <w:tc>
          <w:tcPr>
            <w:tcW w:w="205" w:type="pct"/>
            <w:shd w:val="clear" w:color="auto" w:fill="F2F2F2"/>
            <w:noWrap/>
          </w:tcPr>
          <w:p w14:paraId="4F678060" w14:textId="77777777" w:rsidR="00395D01" w:rsidRPr="00912996" w:rsidRDefault="00395D01" w:rsidP="00292396">
            <w:pPr>
              <w:rPr>
                <w:rFonts w:ascii="Calibri" w:hAnsi="Calibri"/>
                <w:bCs/>
                <w:lang w:eastAsia="ja-JP"/>
              </w:rPr>
            </w:pPr>
            <w:r>
              <w:rPr>
                <w:rFonts w:ascii="Calibri" w:hAnsi="Calibri"/>
                <w:bCs/>
                <w:lang w:eastAsia="ja-JP"/>
              </w:rPr>
              <w:t>25</w:t>
            </w:r>
          </w:p>
        </w:tc>
        <w:tc>
          <w:tcPr>
            <w:tcW w:w="1018" w:type="pct"/>
            <w:gridSpan w:val="2"/>
            <w:shd w:val="clear" w:color="auto" w:fill="F2F2F2"/>
          </w:tcPr>
          <w:p w14:paraId="50B4CA0D"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42B83322" w14:textId="77777777" w:rsidR="00395D01" w:rsidRPr="00912996" w:rsidRDefault="00395D01" w:rsidP="00292396">
            <w:pPr>
              <w:rPr>
                <w:rFonts w:ascii="Calibri" w:hAnsi="Calibri"/>
                <w:bCs/>
                <w:lang w:eastAsia="ja-JP"/>
              </w:rPr>
            </w:pPr>
            <w:r w:rsidRPr="00B130F8">
              <w:rPr>
                <w:rFonts w:ascii="Calibri" w:hAnsi="Calibri"/>
                <w:bCs/>
                <w:lang w:eastAsia="ja-JP"/>
              </w:rPr>
              <w:t>O seară de teatru</w:t>
            </w:r>
          </w:p>
        </w:tc>
        <w:tc>
          <w:tcPr>
            <w:tcW w:w="640" w:type="pct"/>
            <w:shd w:val="clear" w:color="auto" w:fill="F2F2F2"/>
          </w:tcPr>
          <w:p w14:paraId="2F8E7419"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0708A745"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7205C0C7"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61C193C4"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5A4EC19C"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1A665DBC"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6426A387"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395C4EA8"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3D43819E" w14:textId="77777777" w:rsidTr="000D2F48">
        <w:trPr>
          <w:trHeight w:val="714"/>
        </w:trPr>
        <w:tc>
          <w:tcPr>
            <w:tcW w:w="205" w:type="pct"/>
            <w:shd w:val="clear" w:color="auto" w:fill="F2F2F2"/>
            <w:noWrap/>
          </w:tcPr>
          <w:p w14:paraId="7B1D4945" w14:textId="77777777" w:rsidR="00395D01" w:rsidRPr="00912996" w:rsidRDefault="00395D01" w:rsidP="00292396">
            <w:pPr>
              <w:rPr>
                <w:rFonts w:ascii="Calibri" w:hAnsi="Calibri"/>
                <w:bCs/>
                <w:lang w:eastAsia="ja-JP"/>
              </w:rPr>
            </w:pPr>
            <w:r>
              <w:rPr>
                <w:rFonts w:ascii="Calibri" w:hAnsi="Calibri"/>
                <w:bCs/>
                <w:lang w:eastAsia="ja-JP"/>
              </w:rPr>
              <w:t>26</w:t>
            </w:r>
          </w:p>
        </w:tc>
        <w:tc>
          <w:tcPr>
            <w:tcW w:w="1018" w:type="pct"/>
            <w:gridSpan w:val="2"/>
            <w:shd w:val="clear" w:color="auto" w:fill="F2F2F2"/>
          </w:tcPr>
          <w:p w14:paraId="2D90DE85"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2BEEB8A4" w14:textId="3265A68B" w:rsidR="00395D01" w:rsidRPr="00912996" w:rsidRDefault="00395D01" w:rsidP="00292396">
            <w:pPr>
              <w:rPr>
                <w:rFonts w:ascii="Calibri" w:hAnsi="Calibri"/>
                <w:bCs/>
                <w:lang w:eastAsia="ja-JP"/>
              </w:rPr>
            </w:pPr>
            <w:r w:rsidRPr="00B130F8">
              <w:rPr>
                <w:rFonts w:ascii="Calibri" w:hAnsi="Calibri"/>
                <w:bCs/>
                <w:lang w:eastAsia="ja-JP"/>
              </w:rPr>
              <w:t>Bijuterii</w:t>
            </w:r>
            <w:r>
              <w:rPr>
                <w:rFonts w:ascii="Calibri" w:hAnsi="Calibri"/>
                <w:bCs/>
                <w:lang w:eastAsia="ja-JP"/>
              </w:rPr>
              <w:t xml:space="preserve"> </w:t>
            </w:r>
            <w:r w:rsidRPr="00B130F8">
              <w:rPr>
                <w:rFonts w:ascii="Calibri" w:hAnsi="Calibri"/>
                <w:bCs/>
                <w:lang w:eastAsia="ja-JP"/>
              </w:rPr>
              <w:t>arhitecturale uitate</w:t>
            </w:r>
          </w:p>
        </w:tc>
        <w:tc>
          <w:tcPr>
            <w:tcW w:w="640" w:type="pct"/>
            <w:shd w:val="clear" w:color="auto" w:fill="F2F2F2"/>
          </w:tcPr>
          <w:p w14:paraId="002E40ED"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097D734E"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2CBD3B73"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729E70E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435E191C"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0BF61879"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7B159080"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055587B3"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35DA37CC" w14:textId="77777777" w:rsidTr="000D2F48">
        <w:trPr>
          <w:trHeight w:val="795"/>
        </w:trPr>
        <w:tc>
          <w:tcPr>
            <w:tcW w:w="205" w:type="pct"/>
            <w:shd w:val="clear" w:color="auto" w:fill="F2F2F2"/>
            <w:noWrap/>
          </w:tcPr>
          <w:p w14:paraId="61D06EF3" w14:textId="77777777" w:rsidR="00395D01" w:rsidRPr="00912996" w:rsidRDefault="00395D01" w:rsidP="00292396">
            <w:pPr>
              <w:rPr>
                <w:rFonts w:ascii="Calibri" w:hAnsi="Calibri"/>
                <w:bCs/>
                <w:lang w:eastAsia="ja-JP"/>
              </w:rPr>
            </w:pPr>
            <w:r>
              <w:rPr>
                <w:rFonts w:ascii="Calibri" w:hAnsi="Calibri"/>
                <w:bCs/>
                <w:lang w:eastAsia="ja-JP"/>
              </w:rPr>
              <w:t>27</w:t>
            </w:r>
          </w:p>
        </w:tc>
        <w:tc>
          <w:tcPr>
            <w:tcW w:w="1018" w:type="pct"/>
            <w:gridSpan w:val="2"/>
            <w:shd w:val="clear" w:color="auto" w:fill="F2F2F2"/>
          </w:tcPr>
          <w:p w14:paraId="143D5757"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5F76A5C9" w14:textId="2F376905" w:rsidR="00395D01" w:rsidRPr="00912996" w:rsidRDefault="00395D01" w:rsidP="00292396">
            <w:pPr>
              <w:rPr>
                <w:rFonts w:ascii="Calibri" w:hAnsi="Calibri"/>
                <w:bCs/>
                <w:lang w:eastAsia="ja-JP"/>
              </w:rPr>
            </w:pPr>
            <w:r w:rsidRPr="00B130F8">
              <w:rPr>
                <w:rFonts w:ascii="Calibri" w:hAnsi="Calibri"/>
                <w:bCs/>
                <w:lang w:eastAsia="ja-JP"/>
              </w:rPr>
              <w:t>Târgul Anticarilor</w:t>
            </w:r>
          </w:p>
        </w:tc>
        <w:tc>
          <w:tcPr>
            <w:tcW w:w="640" w:type="pct"/>
            <w:shd w:val="clear" w:color="auto" w:fill="F2F2F2"/>
          </w:tcPr>
          <w:p w14:paraId="65C2FD43"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047AED1A"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7AE6B849"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0038D16B"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1EC6A3F4"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458C9651"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3D6F7F03"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79686AE8"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4352C363" w14:textId="77777777" w:rsidTr="000D2F48">
        <w:trPr>
          <w:trHeight w:val="795"/>
        </w:trPr>
        <w:tc>
          <w:tcPr>
            <w:tcW w:w="205" w:type="pct"/>
            <w:shd w:val="clear" w:color="auto" w:fill="F2F2F2"/>
            <w:noWrap/>
          </w:tcPr>
          <w:p w14:paraId="0F9B6E25" w14:textId="77777777" w:rsidR="00395D01" w:rsidRPr="00912996" w:rsidRDefault="00395D01" w:rsidP="00292396">
            <w:pPr>
              <w:rPr>
                <w:rFonts w:ascii="Calibri" w:hAnsi="Calibri"/>
                <w:bCs/>
                <w:lang w:eastAsia="ja-JP"/>
              </w:rPr>
            </w:pPr>
            <w:r>
              <w:rPr>
                <w:rFonts w:ascii="Calibri" w:hAnsi="Calibri"/>
                <w:bCs/>
                <w:lang w:eastAsia="ja-JP"/>
              </w:rPr>
              <w:t>28</w:t>
            </w:r>
          </w:p>
        </w:tc>
        <w:tc>
          <w:tcPr>
            <w:tcW w:w="1018" w:type="pct"/>
            <w:gridSpan w:val="2"/>
            <w:shd w:val="clear" w:color="auto" w:fill="F2F2F2"/>
          </w:tcPr>
          <w:p w14:paraId="58DD3D88"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3A8E7E2C" w14:textId="77777777" w:rsidR="00395D01" w:rsidRPr="00912996" w:rsidRDefault="00395D01" w:rsidP="00292396">
            <w:pPr>
              <w:rPr>
                <w:rFonts w:ascii="Calibri" w:hAnsi="Calibri"/>
                <w:bCs/>
                <w:lang w:eastAsia="ja-JP"/>
              </w:rPr>
            </w:pPr>
            <w:r w:rsidRPr="00B130F8">
              <w:rPr>
                <w:rFonts w:ascii="Calibri" w:hAnsi="Calibri"/>
                <w:bCs/>
                <w:lang w:eastAsia="ja-JP"/>
              </w:rPr>
              <w:t xml:space="preserve">Ziua Internațională </w:t>
            </w:r>
            <w:r>
              <w:rPr>
                <w:rFonts w:ascii="Calibri" w:hAnsi="Calibri"/>
                <w:bCs/>
                <w:lang w:eastAsia="ja-JP"/>
              </w:rPr>
              <w:t>a</w:t>
            </w:r>
            <w:r w:rsidRPr="00B130F8">
              <w:rPr>
                <w:rFonts w:ascii="Calibri" w:hAnsi="Calibri"/>
                <w:bCs/>
                <w:lang w:eastAsia="ja-JP"/>
              </w:rPr>
              <w:t xml:space="preserve"> Copilului</w:t>
            </w:r>
          </w:p>
        </w:tc>
        <w:tc>
          <w:tcPr>
            <w:tcW w:w="640" w:type="pct"/>
            <w:shd w:val="clear" w:color="auto" w:fill="F2F2F2"/>
          </w:tcPr>
          <w:p w14:paraId="078B29D1"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00CFE383"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4257CEFD"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3DAC94CE"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20D5806C"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39AC840E"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2A52D83E"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473E7D1E"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4B74D60B" w14:textId="77777777" w:rsidTr="000D2F48">
        <w:trPr>
          <w:trHeight w:val="804"/>
        </w:trPr>
        <w:tc>
          <w:tcPr>
            <w:tcW w:w="205" w:type="pct"/>
            <w:shd w:val="clear" w:color="auto" w:fill="F2F2F2"/>
            <w:noWrap/>
          </w:tcPr>
          <w:p w14:paraId="591E7E7C" w14:textId="77777777" w:rsidR="00395D01" w:rsidRPr="00912996" w:rsidRDefault="00395D01" w:rsidP="00292396">
            <w:pPr>
              <w:rPr>
                <w:rFonts w:ascii="Calibri" w:hAnsi="Calibri"/>
                <w:bCs/>
                <w:lang w:eastAsia="ja-JP"/>
              </w:rPr>
            </w:pPr>
            <w:r>
              <w:rPr>
                <w:rFonts w:ascii="Calibri" w:hAnsi="Calibri"/>
                <w:bCs/>
                <w:lang w:eastAsia="ja-JP"/>
              </w:rPr>
              <w:t>29</w:t>
            </w:r>
          </w:p>
        </w:tc>
        <w:tc>
          <w:tcPr>
            <w:tcW w:w="1018" w:type="pct"/>
            <w:gridSpan w:val="2"/>
            <w:shd w:val="clear" w:color="auto" w:fill="F2F2F2"/>
          </w:tcPr>
          <w:p w14:paraId="01E74CDE"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217C90C1" w14:textId="77777777" w:rsidR="00395D01" w:rsidRPr="00912996" w:rsidRDefault="00395D01" w:rsidP="00292396">
            <w:pPr>
              <w:rPr>
                <w:rFonts w:ascii="Calibri" w:hAnsi="Calibri"/>
                <w:bCs/>
                <w:lang w:eastAsia="ja-JP"/>
              </w:rPr>
            </w:pPr>
            <w:r w:rsidRPr="00B130F8">
              <w:rPr>
                <w:rFonts w:ascii="Calibri" w:hAnsi="Calibri"/>
                <w:bCs/>
                <w:lang w:eastAsia="ja-JP"/>
              </w:rPr>
              <w:t>Ziua Iei</w:t>
            </w:r>
          </w:p>
        </w:tc>
        <w:tc>
          <w:tcPr>
            <w:tcW w:w="640" w:type="pct"/>
            <w:shd w:val="clear" w:color="auto" w:fill="F2F2F2"/>
          </w:tcPr>
          <w:p w14:paraId="42CA071E"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5B7FF3EC"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56BD7F66"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3ECD3DA7"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62C30216"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6E33FEB3"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5BBF0AC4"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4B0CF737"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232E44F3" w14:textId="77777777" w:rsidTr="000D2F48">
        <w:trPr>
          <w:trHeight w:val="705"/>
        </w:trPr>
        <w:tc>
          <w:tcPr>
            <w:tcW w:w="205" w:type="pct"/>
            <w:shd w:val="clear" w:color="auto" w:fill="F2F2F2"/>
            <w:noWrap/>
          </w:tcPr>
          <w:p w14:paraId="5C442E66" w14:textId="77777777" w:rsidR="00395D01" w:rsidRPr="00912996" w:rsidRDefault="00395D01" w:rsidP="00292396">
            <w:pPr>
              <w:rPr>
                <w:rFonts w:ascii="Calibri" w:hAnsi="Calibri"/>
                <w:bCs/>
                <w:lang w:eastAsia="ja-JP"/>
              </w:rPr>
            </w:pPr>
            <w:r>
              <w:rPr>
                <w:rFonts w:ascii="Calibri" w:hAnsi="Calibri"/>
                <w:bCs/>
                <w:lang w:eastAsia="ja-JP"/>
              </w:rPr>
              <w:t>30</w:t>
            </w:r>
          </w:p>
        </w:tc>
        <w:tc>
          <w:tcPr>
            <w:tcW w:w="1018" w:type="pct"/>
            <w:gridSpan w:val="2"/>
            <w:shd w:val="clear" w:color="auto" w:fill="F2F2F2"/>
          </w:tcPr>
          <w:p w14:paraId="3EB4E70E"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3D10E26C" w14:textId="77777777" w:rsidR="00395D01" w:rsidRPr="00912996" w:rsidRDefault="00395D01" w:rsidP="00292396">
            <w:pPr>
              <w:rPr>
                <w:rFonts w:ascii="Calibri" w:hAnsi="Calibri"/>
                <w:bCs/>
                <w:lang w:eastAsia="ja-JP"/>
              </w:rPr>
            </w:pPr>
            <w:r w:rsidRPr="00B130F8">
              <w:rPr>
                <w:rFonts w:ascii="Calibri" w:hAnsi="Calibri"/>
                <w:bCs/>
                <w:lang w:eastAsia="ja-JP"/>
              </w:rPr>
              <w:t xml:space="preserve">Ziua Natională </w:t>
            </w:r>
            <w:r>
              <w:rPr>
                <w:rFonts w:ascii="Calibri" w:hAnsi="Calibri"/>
                <w:bCs/>
                <w:lang w:eastAsia="ja-JP"/>
              </w:rPr>
              <w:t>a</w:t>
            </w:r>
            <w:r w:rsidRPr="00B130F8">
              <w:rPr>
                <w:rFonts w:ascii="Calibri" w:hAnsi="Calibri"/>
                <w:bCs/>
                <w:lang w:eastAsia="ja-JP"/>
              </w:rPr>
              <w:t xml:space="preserve"> Drapelului</w:t>
            </w:r>
          </w:p>
        </w:tc>
        <w:tc>
          <w:tcPr>
            <w:tcW w:w="640" w:type="pct"/>
            <w:shd w:val="clear" w:color="auto" w:fill="F2F2F2"/>
          </w:tcPr>
          <w:p w14:paraId="4BCB1702"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493E9665"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011C8566"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3E365254"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450123CD"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57C7591F"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15B2D873"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0926739F"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1FC11FE4" w14:textId="77777777" w:rsidTr="000D2F48">
        <w:trPr>
          <w:trHeight w:val="777"/>
        </w:trPr>
        <w:tc>
          <w:tcPr>
            <w:tcW w:w="205" w:type="pct"/>
            <w:shd w:val="clear" w:color="auto" w:fill="F2F2F2"/>
            <w:noWrap/>
          </w:tcPr>
          <w:p w14:paraId="4117DBDE" w14:textId="77777777" w:rsidR="00395D01" w:rsidRPr="00912996" w:rsidRDefault="00395D01" w:rsidP="00292396">
            <w:pPr>
              <w:rPr>
                <w:rFonts w:ascii="Calibri" w:hAnsi="Calibri"/>
                <w:bCs/>
                <w:lang w:eastAsia="ja-JP"/>
              </w:rPr>
            </w:pPr>
            <w:r>
              <w:rPr>
                <w:rFonts w:ascii="Calibri" w:hAnsi="Calibri"/>
                <w:bCs/>
                <w:lang w:eastAsia="ja-JP"/>
              </w:rPr>
              <w:t>31</w:t>
            </w:r>
          </w:p>
        </w:tc>
        <w:tc>
          <w:tcPr>
            <w:tcW w:w="1018" w:type="pct"/>
            <w:gridSpan w:val="2"/>
            <w:shd w:val="clear" w:color="auto" w:fill="F2F2F2"/>
          </w:tcPr>
          <w:p w14:paraId="4B5AB953"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728491A5" w14:textId="77777777" w:rsidR="00395D01" w:rsidRPr="00912996" w:rsidRDefault="00395D01" w:rsidP="00292396">
            <w:pPr>
              <w:rPr>
                <w:rFonts w:ascii="Calibri" w:hAnsi="Calibri"/>
                <w:bCs/>
                <w:lang w:eastAsia="ja-JP"/>
              </w:rPr>
            </w:pPr>
            <w:r w:rsidRPr="00B130F8">
              <w:rPr>
                <w:rFonts w:ascii="Calibri" w:hAnsi="Calibri"/>
                <w:bCs/>
                <w:lang w:eastAsia="ja-JP"/>
              </w:rPr>
              <w:t>Park Film Festival</w:t>
            </w:r>
          </w:p>
        </w:tc>
        <w:tc>
          <w:tcPr>
            <w:tcW w:w="640" w:type="pct"/>
            <w:shd w:val="clear" w:color="auto" w:fill="F2F2F2"/>
          </w:tcPr>
          <w:p w14:paraId="62D467BE"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099CC728"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5E9108EB"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7D1012D5"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6CAF720F"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21B78CE2"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19A46F14"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544615DA"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42C947D2" w14:textId="77777777" w:rsidTr="000D2F48">
        <w:trPr>
          <w:trHeight w:val="795"/>
        </w:trPr>
        <w:tc>
          <w:tcPr>
            <w:tcW w:w="205" w:type="pct"/>
            <w:shd w:val="clear" w:color="auto" w:fill="F2F2F2"/>
            <w:noWrap/>
          </w:tcPr>
          <w:p w14:paraId="4EF1438C" w14:textId="77777777" w:rsidR="00395D01" w:rsidRPr="00912996" w:rsidRDefault="00395D01" w:rsidP="00292396">
            <w:pPr>
              <w:rPr>
                <w:rFonts w:ascii="Calibri" w:hAnsi="Calibri"/>
                <w:bCs/>
                <w:lang w:eastAsia="ja-JP"/>
              </w:rPr>
            </w:pPr>
            <w:r>
              <w:rPr>
                <w:rFonts w:ascii="Calibri" w:hAnsi="Calibri"/>
                <w:bCs/>
                <w:lang w:eastAsia="ja-JP"/>
              </w:rPr>
              <w:t>32</w:t>
            </w:r>
          </w:p>
        </w:tc>
        <w:tc>
          <w:tcPr>
            <w:tcW w:w="1018" w:type="pct"/>
            <w:gridSpan w:val="2"/>
            <w:shd w:val="clear" w:color="auto" w:fill="F2F2F2"/>
          </w:tcPr>
          <w:p w14:paraId="18B923E9"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11A35127" w14:textId="77777777" w:rsidR="00395D01" w:rsidRPr="00912996" w:rsidRDefault="00395D01" w:rsidP="00292396">
            <w:pPr>
              <w:rPr>
                <w:rFonts w:ascii="Calibri" w:hAnsi="Calibri"/>
                <w:bCs/>
                <w:lang w:eastAsia="ja-JP"/>
              </w:rPr>
            </w:pPr>
            <w:r w:rsidRPr="00B130F8">
              <w:rPr>
                <w:rFonts w:ascii="Calibri" w:hAnsi="Calibri"/>
                <w:bCs/>
                <w:lang w:eastAsia="ja-JP"/>
              </w:rPr>
              <w:t xml:space="preserve">Cu </w:t>
            </w:r>
            <w:r>
              <w:rPr>
                <w:rFonts w:ascii="Calibri" w:hAnsi="Calibri"/>
                <w:bCs/>
                <w:lang w:eastAsia="ja-JP"/>
              </w:rPr>
              <w:t>ș</w:t>
            </w:r>
            <w:r w:rsidRPr="00B130F8">
              <w:rPr>
                <w:rFonts w:ascii="Calibri" w:hAnsi="Calibri"/>
                <w:bCs/>
                <w:lang w:eastAsia="ja-JP"/>
              </w:rPr>
              <w:t xml:space="preserve">evaletul </w:t>
            </w:r>
            <w:r>
              <w:rPr>
                <w:rFonts w:ascii="Calibri" w:hAnsi="Calibri"/>
                <w:bCs/>
                <w:lang w:eastAsia="ja-JP"/>
              </w:rPr>
              <w:t>p</w:t>
            </w:r>
            <w:r w:rsidRPr="00B130F8">
              <w:rPr>
                <w:rFonts w:ascii="Calibri" w:hAnsi="Calibri"/>
                <w:bCs/>
                <w:lang w:eastAsia="ja-JP"/>
              </w:rPr>
              <w:t>rin Micul Paris</w:t>
            </w:r>
          </w:p>
        </w:tc>
        <w:tc>
          <w:tcPr>
            <w:tcW w:w="640" w:type="pct"/>
            <w:shd w:val="clear" w:color="auto" w:fill="F2F2F2"/>
          </w:tcPr>
          <w:p w14:paraId="416CFECA"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0D775903"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369E8276"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79FFAF72"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60FAACA9"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0BBEC02A"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2FDECCE5"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11674B87"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1B7D102E" w14:textId="77777777" w:rsidTr="00E16711">
        <w:trPr>
          <w:trHeight w:val="1056"/>
        </w:trPr>
        <w:tc>
          <w:tcPr>
            <w:tcW w:w="205" w:type="pct"/>
            <w:shd w:val="clear" w:color="auto" w:fill="F2F2F2"/>
            <w:noWrap/>
          </w:tcPr>
          <w:p w14:paraId="3ED50B98" w14:textId="77777777" w:rsidR="00395D01" w:rsidRPr="00912996" w:rsidRDefault="00395D01" w:rsidP="00292396">
            <w:pPr>
              <w:rPr>
                <w:rFonts w:ascii="Calibri" w:hAnsi="Calibri"/>
                <w:bCs/>
                <w:lang w:eastAsia="ja-JP"/>
              </w:rPr>
            </w:pPr>
            <w:r>
              <w:rPr>
                <w:rFonts w:ascii="Calibri" w:hAnsi="Calibri"/>
                <w:bCs/>
                <w:lang w:eastAsia="ja-JP"/>
              </w:rPr>
              <w:t>33</w:t>
            </w:r>
          </w:p>
        </w:tc>
        <w:tc>
          <w:tcPr>
            <w:tcW w:w="1018" w:type="pct"/>
            <w:gridSpan w:val="2"/>
            <w:shd w:val="clear" w:color="auto" w:fill="F2F2F2"/>
          </w:tcPr>
          <w:p w14:paraId="0E2AAAED" w14:textId="77777777" w:rsidR="00395D01" w:rsidRPr="00B130F8" w:rsidRDefault="00395D01" w:rsidP="00292396">
            <w:pPr>
              <w:rPr>
                <w:rFonts w:ascii="Calibri" w:hAnsi="Calibri"/>
                <w:bCs/>
                <w:lang w:eastAsia="ja-JP"/>
              </w:rPr>
            </w:pPr>
            <w:r w:rsidRPr="00B130F8">
              <w:rPr>
                <w:rFonts w:ascii="Calibri" w:hAnsi="Calibri"/>
                <w:bCs/>
                <w:lang w:eastAsia="ja-JP"/>
              </w:rPr>
              <w:t>Activități sportive:</w:t>
            </w:r>
          </w:p>
          <w:p w14:paraId="15EBFE5F" w14:textId="77777777" w:rsidR="00395D01" w:rsidRPr="00912996" w:rsidRDefault="00395D01" w:rsidP="00292396">
            <w:pPr>
              <w:rPr>
                <w:rFonts w:ascii="Calibri" w:hAnsi="Calibri"/>
                <w:bCs/>
                <w:lang w:eastAsia="ja-JP"/>
              </w:rPr>
            </w:pPr>
            <w:r w:rsidRPr="00B130F8">
              <w:rPr>
                <w:rFonts w:ascii="Calibri" w:hAnsi="Calibri"/>
                <w:bCs/>
                <w:lang w:eastAsia="ja-JP"/>
              </w:rPr>
              <w:t>CUPA BEST OF 2   la baschet - fete și băieți</w:t>
            </w:r>
          </w:p>
        </w:tc>
        <w:tc>
          <w:tcPr>
            <w:tcW w:w="640" w:type="pct"/>
            <w:shd w:val="clear" w:color="auto" w:fill="F2F2F2"/>
          </w:tcPr>
          <w:p w14:paraId="198A45CD"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68A4814B"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0A010074"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637B0C53"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0294B01C"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1D34E17D"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10BB3E8C"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7A5B4BEF"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474EC76C" w14:textId="77777777" w:rsidTr="000D2F48">
        <w:trPr>
          <w:trHeight w:val="723"/>
        </w:trPr>
        <w:tc>
          <w:tcPr>
            <w:tcW w:w="205" w:type="pct"/>
            <w:shd w:val="clear" w:color="auto" w:fill="F2F2F2"/>
            <w:noWrap/>
          </w:tcPr>
          <w:p w14:paraId="27E26E08" w14:textId="77777777" w:rsidR="00395D01" w:rsidRPr="00912996" w:rsidRDefault="00395D01" w:rsidP="00292396">
            <w:pPr>
              <w:rPr>
                <w:rFonts w:ascii="Calibri" w:hAnsi="Calibri"/>
                <w:bCs/>
                <w:lang w:eastAsia="ja-JP"/>
              </w:rPr>
            </w:pPr>
            <w:r>
              <w:rPr>
                <w:rFonts w:ascii="Calibri" w:hAnsi="Calibri"/>
                <w:bCs/>
                <w:lang w:eastAsia="ja-JP"/>
              </w:rPr>
              <w:t>34</w:t>
            </w:r>
          </w:p>
        </w:tc>
        <w:tc>
          <w:tcPr>
            <w:tcW w:w="1018" w:type="pct"/>
            <w:gridSpan w:val="2"/>
            <w:shd w:val="clear" w:color="auto" w:fill="F2F2F2"/>
          </w:tcPr>
          <w:p w14:paraId="34A40106" w14:textId="77777777" w:rsidR="00395D01" w:rsidRPr="00B130F8" w:rsidRDefault="00395D01" w:rsidP="00292396">
            <w:pPr>
              <w:rPr>
                <w:rFonts w:ascii="Calibri" w:hAnsi="Calibri"/>
                <w:bCs/>
                <w:lang w:eastAsia="ja-JP"/>
              </w:rPr>
            </w:pPr>
            <w:r w:rsidRPr="00B130F8">
              <w:rPr>
                <w:rFonts w:ascii="Calibri" w:hAnsi="Calibri"/>
                <w:bCs/>
                <w:lang w:eastAsia="ja-JP"/>
              </w:rPr>
              <w:t>Activități sportive:</w:t>
            </w:r>
          </w:p>
          <w:p w14:paraId="12C80E09" w14:textId="77777777" w:rsidR="00395D01" w:rsidRPr="00912996" w:rsidRDefault="00395D01" w:rsidP="00292396">
            <w:pPr>
              <w:rPr>
                <w:rFonts w:ascii="Calibri" w:hAnsi="Calibri"/>
                <w:bCs/>
                <w:lang w:eastAsia="ja-JP"/>
              </w:rPr>
            </w:pPr>
            <w:r w:rsidRPr="00B130F8">
              <w:rPr>
                <w:rFonts w:ascii="Calibri" w:hAnsi="Calibri"/>
                <w:bCs/>
                <w:lang w:eastAsia="ja-JP"/>
              </w:rPr>
              <w:t>Sport în parc</w:t>
            </w:r>
          </w:p>
        </w:tc>
        <w:tc>
          <w:tcPr>
            <w:tcW w:w="640" w:type="pct"/>
            <w:shd w:val="clear" w:color="auto" w:fill="F2F2F2"/>
          </w:tcPr>
          <w:p w14:paraId="1FCF345B"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6B184CAA"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1E420C26"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66D8C0FB"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24703959"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0054CED9"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50900132"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3F8AB501"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6C102273" w14:textId="77777777" w:rsidTr="000D2F48">
        <w:trPr>
          <w:trHeight w:val="795"/>
        </w:trPr>
        <w:tc>
          <w:tcPr>
            <w:tcW w:w="205" w:type="pct"/>
            <w:shd w:val="clear" w:color="auto" w:fill="F2F2F2"/>
            <w:noWrap/>
          </w:tcPr>
          <w:p w14:paraId="34454ED4" w14:textId="77777777" w:rsidR="00395D01" w:rsidRPr="00912996" w:rsidRDefault="00395D01" w:rsidP="00292396">
            <w:pPr>
              <w:rPr>
                <w:rFonts w:ascii="Calibri" w:hAnsi="Calibri"/>
                <w:bCs/>
                <w:lang w:eastAsia="ja-JP"/>
              </w:rPr>
            </w:pPr>
            <w:r>
              <w:rPr>
                <w:rFonts w:ascii="Calibri" w:hAnsi="Calibri"/>
                <w:bCs/>
                <w:lang w:eastAsia="ja-JP"/>
              </w:rPr>
              <w:t>35</w:t>
            </w:r>
          </w:p>
        </w:tc>
        <w:tc>
          <w:tcPr>
            <w:tcW w:w="1018" w:type="pct"/>
            <w:gridSpan w:val="2"/>
            <w:shd w:val="clear" w:color="auto" w:fill="F2F2F2"/>
          </w:tcPr>
          <w:p w14:paraId="61EDF7A0"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0141A273" w14:textId="77777777" w:rsidR="00395D01" w:rsidRPr="00912996" w:rsidRDefault="00395D01" w:rsidP="00292396">
            <w:pPr>
              <w:rPr>
                <w:rFonts w:ascii="Calibri" w:hAnsi="Calibri"/>
                <w:bCs/>
                <w:lang w:eastAsia="ja-JP"/>
              </w:rPr>
            </w:pPr>
            <w:r w:rsidRPr="00B130F8">
              <w:rPr>
                <w:rFonts w:ascii="Calibri" w:hAnsi="Calibri"/>
                <w:bCs/>
                <w:lang w:eastAsia="ja-JP"/>
              </w:rPr>
              <w:t>Pantelimonul Petrece</w:t>
            </w:r>
          </w:p>
        </w:tc>
        <w:tc>
          <w:tcPr>
            <w:tcW w:w="640" w:type="pct"/>
            <w:shd w:val="clear" w:color="auto" w:fill="F2F2F2"/>
          </w:tcPr>
          <w:p w14:paraId="4E01C9C7"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35A6B362"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573C7E9B"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46D1EF81"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7EDDF09D"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2364C58D"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6BFB7847"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294235A1"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15C1B691" w14:textId="77777777" w:rsidTr="00E16711">
        <w:trPr>
          <w:trHeight w:val="1056"/>
        </w:trPr>
        <w:tc>
          <w:tcPr>
            <w:tcW w:w="205" w:type="pct"/>
            <w:shd w:val="clear" w:color="auto" w:fill="F2F2F2"/>
            <w:noWrap/>
          </w:tcPr>
          <w:p w14:paraId="42068220" w14:textId="77777777" w:rsidR="00395D01" w:rsidRPr="00912996" w:rsidRDefault="00395D01" w:rsidP="00292396">
            <w:pPr>
              <w:rPr>
                <w:rFonts w:ascii="Calibri" w:hAnsi="Calibri"/>
                <w:bCs/>
                <w:lang w:eastAsia="ja-JP"/>
              </w:rPr>
            </w:pPr>
            <w:r>
              <w:rPr>
                <w:rFonts w:ascii="Calibri" w:hAnsi="Calibri"/>
                <w:bCs/>
                <w:lang w:eastAsia="ja-JP"/>
              </w:rPr>
              <w:t>36</w:t>
            </w:r>
          </w:p>
        </w:tc>
        <w:tc>
          <w:tcPr>
            <w:tcW w:w="1018" w:type="pct"/>
            <w:gridSpan w:val="2"/>
            <w:shd w:val="clear" w:color="auto" w:fill="F2F2F2"/>
          </w:tcPr>
          <w:p w14:paraId="0EBAD248"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3021C0AA" w14:textId="77777777" w:rsidR="00395D01" w:rsidRPr="00912996" w:rsidRDefault="00395D01" w:rsidP="00292396">
            <w:pPr>
              <w:rPr>
                <w:rFonts w:ascii="Calibri" w:hAnsi="Calibri"/>
                <w:bCs/>
                <w:lang w:eastAsia="ja-JP"/>
              </w:rPr>
            </w:pPr>
            <w:r w:rsidRPr="00B130F8">
              <w:rPr>
                <w:rFonts w:ascii="Calibri" w:hAnsi="Calibri"/>
                <w:bCs/>
                <w:lang w:eastAsia="ja-JP"/>
              </w:rPr>
              <w:t>Artă și patrimoniu</w:t>
            </w:r>
          </w:p>
        </w:tc>
        <w:tc>
          <w:tcPr>
            <w:tcW w:w="640" w:type="pct"/>
            <w:shd w:val="clear" w:color="auto" w:fill="F2F2F2"/>
          </w:tcPr>
          <w:p w14:paraId="19E90F8E"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1D066D3D"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1A998EE9"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100C3AA4"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40326FAF"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69F358B3"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379EB9D9"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5F4C861C"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0E07E9E3" w14:textId="77777777" w:rsidTr="000D2F48">
        <w:trPr>
          <w:trHeight w:val="984"/>
        </w:trPr>
        <w:tc>
          <w:tcPr>
            <w:tcW w:w="205" w:type="pct"/>
            <w:shd w:val="clear" w:color="auto" w:fill="F2F2F2"/>
            <w:noWrap/>
          </w:tcPr>
          <w:p w14:paraId="43859CB6" w14:textId="77777777" w:rsidR="00395D01" w:rsidRPr="00912996" w:rsidRDefault="00395D01" w:rsidP="00292396">
            <w:pPr>
              <w:rPr>
                <w:rFonts w:ascii="Calibri" w:hAnsi="Calibri"/>
                <w:bCs/>
                <w:lang w:eastAsia="ja-JP"/>
              </w:rPr>
            </w:pPr>
            <w:r>
              <w:rPr>
                <w:rFonts w:ascii="Calibri" w:hAnsi="Calibri"/>
                <w:bCs/>
                <w:lang w:eastAsia="ja-JP"/>
              </w:rPr>
              <w:t>37</w:t>
            </w:r>
          </w:p>
        </w:tc>
        <w:tc>
          <w:tcPr>
            <w:tcW w:w="1018" w:type="pct"/>
            <w:gridSpan w:val="2"/>
            <w:shd w:val="clear" w:color="auto" w:fill="F2F2F2"/>
          </w:tcPr>
          <w:p w14:paraId="77D9C941" w14:textId="77777777" w:rsidR="00395D01" w:rsidRDefault="00395D01" w:rsidP="00292396">
            <w:pPr>
              <w:rPr>
                <w:rFonts w:ascii="Calibri" w:hAnsi="Calibri"/>
                <w:bCs/>
                <w:lang w:eastAsia="ja-JP"/>
              </w:rPr>
            </w:pPr>
            <w:r w:rsidRPr="00B130F8">
              <w:rPr>
                <w:rFonts w:ascii="Calibri" w:hAnsi="Calibri"/>
                <w:bCs/>
                <w:lang w:eastAsia="ja-JP"/>
              </w:rPr>
              <w:t>Campanii de informare și educare:</w:t>
            </w:r>
          </w:p>
          <w:p w14:paraId="790ACC54" w14:textId="77777777" w:rsidR="00395D01" w:rsidRPr="00912996" w:rsidRDefault="00395D01" w:rsidP="00292396">
            <w:pPr>
              <w:rPr>
                <w:rFonts w:ascii="Calibri" w:hAnsi="Calibri"/>
                <w:bCs/>
                <w:lang w:eastAsia="ja-JP"/>
              </w:rPr>
            </w:pPr>
            <w:r w:rsidRPr="00B130F8">
              <w:rPr>
                <w:rFonts w:ascii="Calibri" w:hAnsi="Calibri"/>
                <w:bCs/>
                <w:lang w:eastAsia="ja-JP"/>
              </w:rPr>
              <w:t>BE COOL NOT A FOOL!</w:t>
            </w:r>
          </w:p>
        </w:tc>
        <w:tc>
          <w:tcPr>
            <w:tcW w:w="640" w:type="pct"/>
            <w:shd w:val="clear" w:color="auto" w:fill="F2F2F2"/>
          </w:tcPr>
          <w:p w14:paraId="2E4DAD53"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74FF17E6"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7944CF15"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5FC954A2"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49C0BC5E"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0207431C"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6BA63E4B"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63B0BB22"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571CE7ED" w14:textId="77777777" w:rsidTr="000D2F48">
        <w:trPr>
          <w:trHeight w:val="804"/>
        </w:trPr>
        <w:tc>
          <w:tcPr>
            <w:tcW w:w="205" w:type="pct"/>
            <w:shd w:val="clear" w:color="auto" w:fill="F2F2F2"/>
            <w:noWrap/>
          </w:tcPr>
          <w:p w14:paraId="60A45778" w14:textId="77777777" w:rsidR="00395D01" w:rsidRPr="00912996" w:rsidRDefault="00395D01" w:rsidP="00292396">
            <w:pPr>
              <w:rPr>
                <w:rFonts w:ascii="Calibri" w:hAnsi="Calibri"/>
                <w:bCs/>
                <w:lang w:eastAsia="ja-JP"/>
              </w:rPr>
            </w:pPr>
            <w:r>
              <w:rPr>
                <w:rFonts w:ascii="Calibri" w:hAnsi="Calibri"/>
                <w:bCs/>
                <w:lang w:eastAsia="ja-JP"/>
              </w:rPr>
              <w:t>38</w:t>
            </w:r>
          </w:p>
        </w:tc>
        <w:tc>
          <w:tcPr>
            <w:tcW w:w="1018" w:type="pct"/>
            <w:gridSpan w:val="2"/>
            <w:shd w:val="clear" w:color="auto" w:fill="F2F2F2"/>
          </w:tcPr>
          <w:p w14:paraId="1BBC84AA"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2A3A4114" w14:textId="77777777" w:rsidR="00395D01" w:rsidRPr="00912996" w:rsidRDefault="00395D01" w:rsidP="00292396">
            <w:pPr>
              <w:rPr>
                <w:rFonts w:ascii="Calibri" w:hAnsi="Calibri"/>
                <w:bCs/>
                <w:lang w:eastAsia="ja-JP"/>
              </w:rPr>
            </w:pPr>
            <w:r w:rsidRPr="00B130F8">
              <w:rPr>
                <w:rFonts w:ascii="Calibri" w:hAnsi="Calibri"/>
                <w:bCs/>
                <w:lang w:eastAsia="ja-JP"/>
              </w:rPr>
              <w:t xml:space="preserve">Ziua Națională </w:t>
            </w:r>
            <w:r>
              <w:rPr>
                <w:rFonts w:ascii="Calibri" w:hAnsi="Calibri"/>
                <w:bCs/>
                <w:lang w:eastAsia="ja-JP"/>
              </w:rPr>
              <w:t>a</w:t>
            </w:r>
            <w:r w:rsidRPr="00B130F8">
              <w:rPr>
                <w:rFonts w:ascii="Calibri" w:hAnsi="Calibri"/>
                <w:bCs/>
                <w:lang w:eastAsia="ja-JP"/>
              </w:rPr>
              <w:t xml:space="preserve"> României</w:t>
            </w:r>
            <w:r>
              <w:rPr>
                <w:rFonts w:ascii="Times New Roman" w:hAnsi="Times New Roman" w:cs="Times New Roman"/>
                <w:sz w:val="24"/>
                <w:szCs w:val="24"/>
              </w:rPr>
              <w:t xml:space="preserve">                 </w:t>
            </w:r>
          </w:p>
        </w:tc>
        <w:tc>
          <w:tcPr>
            <w:tcW w:w="640" w:type="pct"/>
            <w:shd w:val="clear" w:color="auto" w:fill="F2F2F2"/>
          </w:tcPr>
          <w:p w14:paraId="17DF7582"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72ABBC83"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416BE7F3"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63AE2094"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2A24BCA9"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5E6672A3"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1B48CFDA"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535AA29B"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666CCD86" w14:textId="77777777" w:rsidTr="000D2F48">
        <w:trPr>
          <w:trHeight w:val="885"/>
        </w:trPr>
        <w:tc>
          <w:tcPr>
            <w:tcW w:w="205" w:type="pct"/>
            <w:shd w:val="clear" w:color="auto" w:fill="F2F2F2"/>
            <w:noWrap/>
          </w:tcPr>
          <w:p w14:paraId="0AFA6437" w14:textId="77777777" w:rsidR="00395D01" w:rsidRPr="00912996" w:rsidRDefault="00395D01" w:rsidP="00292396">
            <w:pPr>
              <w:rPr>
                <w:rFonts w:ascii="Calibri" w:hAnsi="Calibri"/>
                <w:bCs/>
                <w:lang w:eastAsia="ja-JP"/>
              </w:rPr>
            </w:pPr>
            <w:r>
              <w:rPr>
                <w:rFonts w:ascii="Calibri" w:hAnsi="Calibri"/>
                <w:bCs/>
                <w:lang w:eastAsia="ja-JP"/>
              </w:rPr>
              <w:t>39</w:t>
            </w:r>
          </w:p>
        </w:tc>
        <w:tc>
          <w:tcPr>
            <w:tcW w:w="1018" w:type="pct"/>
            <w:gridSpan w:val="2"/>
            <w:shd w:val="clear" w:color="auto" w:fill="F2F2F2"/>
          </w:tcPr>
          <w:p w14:paraId="42E341C9"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235F9184" w14:textId="77777777" w:rsidR="00395D01" w:rsidRPr="00912996" w:rsidRDefault="00395D01" w:rsidP="00292396">
            <w:pPr>
              <w:rPr>
                <w:rFonts w:ascii="Calibri" w:hAnsi="Calibri"/>
                <w:bCs/>
                <w:lang w:eastAsia="ja-JP"/>
              </w:rPr>
            </w:pPr>
            <w:r w:rsidRPr="00B130F8">
              <w:rPr>
                <w:rFonts w:ascii="Calibri" w:hAnsi="Calibri"/>
                <w:bCs/>
                <w:lang w:eastAsia="ja-JP"/>
              </w:rPr>
              <w:t>Colinde pentru suflet</w:t>
            </w:r>
          </w:p>
        </w:tc>
        <w:tc>
          <w:tcPr>
            <w:tcW w:w="640" w:type="pct"/>
            <w:shd w:val="clear" w:color="auto" w:fill="F2F2F2"/>
          </w:tcPr>
          <w:p w14:paraId="245E3219"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4CB4A4F3"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4928DD23"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3FB85FE8"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1F44191B"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1283E1C6"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68792EE9"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0C099383"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0D0B5BB3" w14:textId="77777777" w:rsidTr="000D2F48">
        <w:trPr>
          <w:trHeight w:val="993"/>
        </w:trPr>
        <w:tc>
          <w:tcPr>
            <w:tcW w:w="205" w:type="pct"/>
            <w:shd w:val="clear" w:color="auto" w:fill="F2F2F2"/>
            <w:noWrap/>
          </w:tcPr>
          <w:p w14:paraId="77156BB6" w14:textId="77777777" w:rsidR="00395D01" w:rsidRPr="00912996" w:rsidRDefault="00395D01" w:rsidP="00292396">
            <w:pPr>
              <w:rPr>
                <w:rFonts w:ascii="Calibri" w:hAnsi="Calibri"/>
                <w:bCs/>
                <w:lang w:eastAsia="ja-JP"/>
              </w:rPr>
            </w:pPr>
            <w:r>
              <w:rPr>
                <w:rFonts w:ascii="Calibri" w:hAnsi="Calibri"/>
                <w:bCs/>
                <w:lang w:eastAsia="ja-JP"/>
              </w:rPr>
              <w:t>40</w:t>
            </w:r>
          </w:p>
        </w:tc>
        <w:tc>
          <w:tcPr>
            <w:tcW w:w="1018" w:type="pct"/>
            <w:gridSpan w:val="2"/>
            <w:shd w:val="clear" w:color="auto" w:fill="F2F2F2"/>
          </w:tcPr>
          <w:p w14:paraId="0BD223C0"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17B22F54" w14:textId="77777777" w:rsidR="00395D01" w:rsidRPr="00912996" w:rsidRDefault="00395D01" w:rsidP="00292396">
            <w:pPr>
              <w:rPr>
                <w:rFonts w:ascii="Calibri" w:hAnsi="Calibri"/>
                <w:bCs/>
                <w:lang w:eastAsia="ja-JP"/>
              </w:rPr>
            </w:pPr>
            <w:r w:rsidRPr="00B130F8">
              <w:rPr>
                <w:rFonts w:ascii="Calibri" w:hAnsi="Calibri"/>
                <w:bCs/>
                <w:lang w:eastAsia="ja-JP"/>
              </w:rPr>
              <w:t>Festivalul de lumini și artă contemporană</w:t>
            </w:r>
          </w:p>
        </w:tc>
        <w:tc>
          <w:tcPr>
            <w:tcW w:w="640" w:type="pct"/>
            <w:shd w:val="clear" w:color="auto" w:fill="F2F2F2"/>
          </w:tcPr>
          <w:p w14:paraId="29CE744C"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705045B9"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528FBA4D"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6EEAEB9E"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455E0FD3"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4491DC35"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2AB9ACD4"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3028171C"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E16711" w:rsidRPr="00912996" w14:paraId="15506460" w14:textId="77777777" w:rsidTr="000D2F48">
        <w:trPr>
          <w:trHeight w:val="723"/>
        </w:trPr>
        <w:tc>
          <w:tcPr>
            <w:tcW w:w="205" w:type="pct"/>
            <w:shd w:val="clear" w:color="auto" w:fill="F2F2F2"/>
            <w:noWrap/>
          </w:tcPr>
          <w:p w14:paraId="07C9A34B" w14:textId="77777777" w:rsidR="00395D01" w:rsidRPr="00912996" w:rsidRDefault="00395D01" w:rsidP="00292396">
            <w:pPr>
              <w:rPr>
                <w:rFonts w:ascii="Calibri" w:hAnsi="Calibri"/>
                <w:bCs/>
                <w:lang w:eastAsia="ja-JP"/>
              </w:rPr>
            </w:pPr>
            <w:r>
              <w:rPr>
                <w:rFonts w:ascii="Calibri" w:hAnsi="Calibri"/>
                <w:bCs/>
                <w:lang w:eastAsia="ja-JP"/>
              </w:rPr>
              <w:t>41</w:t>
            </w:r>
          </w:p>
        </w:tc>
        <w:tc>
          <w:tcPr>
            <w:tcW w:w="1018" w:type="pct"/>
            <w:gridSpan w:val="2"/>
            <w:shd w:val="clear" w:color="auto" w:fill="F2F2F2"/>
          </w:tcPr>
          <w:p w14:paraId="5D8A2FBD" w14:textId="77777777" w:rsidR="00395D01" w:rsidRPr="00B130F8" w:rsidRDefault="00395D01" w:rsidP="00292396">
            <w:pPr>
              <w:rPr>
                <w:rFonts w:ascii="Calibri" w:hAnsi="Calibri"/>
                <w:bCs/>
                <w:lang w:eastAsia="ja-JP"/>
              </w:rPr>
            </w:pPr>
            <w:r w:rsidRPr="00B130F8">
              <w:rPr>
                <w:rFonts w:ascii="Calibri" w:hAnsi="Calibri"/>
                <w:bCs/>
                <w:lang w:eastAsia="ja-JP"/>
              </w:rPr>
              <w:t>Proiect cultural:</w:t>
            </w:r>
          </w:p>
          <w:p w14:paraId="1956480B" w14:textId="77777777" w:rsidR="00395D01" w:rsidRPr="00912996" w:rsidRDefault="00395D01" w:rsidP="00292396">
            <w:pPr>
              <w:rPr>
                <w:rFonts w:ascii="Calibri" w:hAnsi="Calibri"/>
                <w:bCs/>
                <w:lang w:eastAsia="ja-JP"/>
              </w:rPr>
            </w:pPr>
            <w:r w:rsidRPr="00B130F8">
              <w:rPr>
                <w:rFonts w:ascii="Calibri" w:hAnsi="Calibri"/>
                <w:bCs/>
                <w:lang w:eastAsia="ja-JP"/>
              </w:rPr>
              <w:t>Magia Cr</w:t>
            </w:r>
            <w:r>
              <w:rPr>
                <w:rFonts w:ascii="Calibri" w:hAnsi="Calibri"/>
                <w:bCs/>
                <w:lang w:eastAsia="ja-JP"/>
              </w:rPr>
              <w:t>ă</w:t>
            </w:r>
            <w:r w:rsidRPr="00B130F8">
              <w:rPr>
                <w:rFonts w:ascii="Calibri" w:hAnsi="Calibri"/>
                <w:bCs/>
                <w:lang w:eastAsia="ja-JP"/>
              </w:rPr>
              <w:t>ciunului</w:t>
            </w:r>
          </w:p>
        </w:tc>
        <w:tc>
          <w:tcPr>
            <w:tcW w:w="640" w:type="pct"/>
            <w:shd w:val="clear" w:color="auto" w:fill="F2F2F2"/>
          </w:tcPr>
          <w:p w14:paraId="1E16946E" w14:textId="77777777" w:rsidR="00395D01" w:rsidRPr="00912996" w:rsidRDefault="00395D01" w:rsidP="00292396">
            <w:pPr>
              <w:rPr>
                <w:rFonts w:ascii="Calibri" w:hAnsi="Calibri"/>
                <w:bCs/>
                <w:lang w:eastAsia="ja-JP"/>
              </w:rPr>
            </w:pPr>
            <w:r w:rsidRPr="00873D36">
              <w:rPr>
                <w:rFonts w:ascii="Calibri" w:hAnsi="Calibri"/>
                <w:bCs/>
                <w:lang w:eastAsia="ja-JP"/>
              </w:rPr>
              <w:t>Centrul Cultural Mihai Eminescu</w:t>
            </w:r>
          </w:p>
        </w:tc>
        <w:tc>
          <w:tcPr>
            <w:tcW w:w="507" w:type="pct"/>
            <w:shd w:val="clear" w:color="auto" w:fill="F2F2F2"/>
          </w:tcPr>
          <w:p w14:paraId="63490FE8" w14:textId="77777777" w:rsidR="00395D01" w:rsidRPr="00912996" w:rsidRDefault="00395D01" w:rsidP="00292396">
            <w:pPr>
              <w:rPr>
                <w:rFonts w:ascii="Calibri" w:hAnsi="Calibri"/>
                <w:bCs/>
                <w:lang w:eastAsia="ja-JP"/>
              </w:rPr>
            </w:pPr>
            <w:r>
              <w:rPr>
                <w:rFonts w:ascii="Calibri" w:hAnsi="Calibri"/>
                <w:bCs/>
                <w:lang w:eastAsia="ja-JP"/>
              </w:rPr>
              <w:t>N/A</w:t>
            </w:r>
          </w:p>
        </w:tc>
        <w:tc>
          <w:tcPr>
            <w:tcW w:w="473" w:type="pct"/>
            <w:shd w:val="clear" w:color="auto" w:fill="F2F2F2"/>
          </w:tcPr>
          <w:p w14:paraId="04F43038"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26EA8E44"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0F6089D8" w14:textId="77777777" w:rsidR="00395D01" w:rsidRPr="00912996" w:rsidRDefault="00395D01" w:rsidP="00292396">
            <w:pPr>
              <w:rPr>
                <w:rFonts w:ascii="Calibri" w:hAnsi="Calibri"/>
                <w:bCs/>
                <w:lang w:eastAsia="ja-JP"/>
              </w:rPr>
            </w:pPr>
            <w:r w:rsidRPr="00873D36">
              <w:rPr>
                <w:rFonts w:ascii="Calibri" w:hAnsi="Calibri"/>
                <w:bCs/>
                <w:lang w:eastAsia="ja-JP"/>
              </w:rPr>
              <w:t>2023</w:t>
            </w:r>
          </w:p>
        </w:tc>
        <w:tc>
          <w:tcPr>
            <w:tcW w:w="484" w:type="pct"/>
            <w:gridSpan w:val="2"/>
            <w:shd w:val="clear" w:color="auto" w:fill="F2F2F2"/>
          </w:tcPr>
          <w:p w14:paraId="0594CD5C" w14:textId="77777777" w:rsidR="00395D01" w:rsidRPr="00912996" w:rsidRDefault="00395D01" w:rsidP="00292396">
            <w:pPr>
              <w:rPr>
                <w:rFonts w:ascii="Calibri" w:hAnsi="Calibri"/>
                <w:bCs/>
                <w:lang w:eastAsia="ja-JP"/>
              </w:rPr>
            </w:pPr>
            <w:r w:rsidRPr="00873D36">
              <w:rPr>
                <w:rFonts w:ascii="Calibri" w:hAnsi="Calibri"/>
                <w:bCs/>
                <w:lang w:eastAsia="ja-JP"/>
              </w:rPr>
              <w:t>Bugetul local</w:t>
            </w:r>
          </w:p>
        </w:tc>
        <w:tc>
          <w:tcPr>
            <w:tcW w:w="433" w:type="pct"/>
            <w:shd w:val="clear" w:color="auto" w:fill="F2F2F2"/>
          </w:tcPr>
          <w:p w14:paraId="3896E424" w14:textId="77777777" w:rsidR="00395D01" w:rsidRPr="00912996" w:rsidRDefault="00395D01" w:rsidP="00292396">
            <w:pPr>
              <w:rPr>
                <w:rFonts w:ascii="Calibri" w:hAnsi="Calibri"/>
                <w:bCs/>
                <w:lang w:eastAsia="ja-JP"/>
              </w:rPr>
            </w:pPr>
            <w:r>
              <w:rPr>
                <w:rFonts w:ascii="Calibri" w:hAnsi="Calibri"/>
                <w:bCs/>
                <w:lang w:eastAsia="ja-JP"/>
              </w:rPr>
              <w:t>Lista lungă de proiecte</w:t>
            </w:r>
          </w:p>
        </w:tc>
        <w:tc>
          <w:tcPr>
            <w:tcW w:w="482" w:type="pct"/>
            <w:shd w:val="clear" w:color="auto" w:fill="F2F2F2"/>
          </w:tcPr>
          <w:p w14:paraId="0FBB08E1"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395D01" w:rsidRPr="00912996" w14:paraId="2D5B3705" w14:textId="77777777" w:rsidTr="00292396">
        <w:trPr>
          <w:trHeight w:val="264"/>
        </w:trPr>
        <w:tc>
          <w:tcPr>
            <w:tcW w:w="5000" w:type="pct"/>
            <w:gridSpan w:val="12"/>
            <w:shd w:val="clear" w:color="auto" w:fill="BBD9A0"/>
            <w:noWrap/>
            <w:hideMark/>
          </w:tcPr>
          <w:p w14:paraId="48277909" w14:textId="77777777" w:rsidR="00395D01" w:rsidRPr="00912996" w:rsidRDefault="00395D01" w:rsidP="000D2F48">
            <w:pPr>
              <w:jc w:val="center"/>
              <w:rPr>
                <w:rFonts w:ascii="Calibri" w:hAnsi="Calibri"/>
                <w:b/>
                <w:bCs/>
                <w:lang w:eastAsia="ja-JP"/>
              </w:rPr>
            </w:pPr>
            <w:r w:rsidRPr="00912996">
              <w:rPr>
                <w:rFonts w:ascii="Calibri" w:hAnsi="Calibri"/>
                <w:b/>
                <w:bCs/>
                <w:color w:val="FFFFFF"/>
                <w:lang w:eastAsia="ja-JP"/>
              </w:rPr>
              <w:t>D1.4.3. Consolidarea rețelei de spații publice identitare din Sectorul 2 și constituirea de axe verzi între acestea prin operațiuni de reabilitare, modernizare sau amenajare</w:t>
            </w:r>
          </w:p>
        </w:tc>
      </w:tr>
      <w:tr w:rsidR="00E16711" w:rsidRPr="00912996" w14:paraId="2FD0BE08" w14:textId="77777777" w:rsidTr="00E16711">
        <w:trPr>
          <w:trHeight w:val="528"/>
        </w:trPr>
        <w:tc>
          <w:tcPr>
            <w:tcW w:w="205" w:type="pct"/>
            <w:shd w:val="clear" w:color="auto" w:fill="F2F2F2"/>
            <w:noWrap/>
            <w:hideMark/>
          </w:tcPr>
          <w:p w14:paraId="1F5A921C"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70A40719" w14:textId="77777777" w:rsidR="00395D01" w:rsidRPr="00912996" w:rsidRDefault="00395D01" w:rsidP="00292396">
            <w:pPr>
              <w:rPr>
                <w:rFonts w:ascii="Calibri" w:hAnsi="Calibri"/>
                <w:bCs/>
                <w:lang w:eastAsia="ja-JP"/>
              </w:rPr>
            </w:pPr>
            <w:r w:rsidRPr="00912996">
              <w:rPr>
                <w:rFonts w:ascii="Calibri" w:hAnsi="Calibri"/>
                <w:bCs/>
                <w:lang w:eastAsia="ja-JP"/>
              </w:rPr>
              <w:t>Amplasare toaletă automată parc Ciurea</w:t>
            </w:r>
          </w:p>
        </w:tc>
        <w:tc>
          <w:tcPr>
            <w:tcW w:w="640" w:type="pct"/>
            <w:shd w:val="clear" w:color="auto" w:fill="F2F2F2"/>
            <w:hideMark/>
          </w:tcPr>
          <w:p w14:paraId="5FB13C7F"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2D6ABC10" w14:textId="77777777" w:rsidR="00395D01" w:rsidRPr="00912996" w:rsidRDefault="00395D01" w:rsidP="00292396">
            <w:pPr>
              <w:rPr>
                <w:rFonts w:ascii="Calibri" w:hAnsi="Calibri"/>
                <w:bCs/>
                <w:lang w:eastAsia="ja-JP"/>
              </w:rPr>
            </w:pPr>
            <w:r w:rsidRPr="00912996">
              <w:rPr>
                <w:rFonts w:ascii="Calibri" w:hAnsi="Calibri"/>
                <w:bCs/>
                <w:lang w:eastAsia="ja-JP"/>
              </w:rPr>
              <w:t>În implementare - faza DTAC</w:t>
            </w:r>
          </w:p>
        </w:tc>
        <w:tc>
          <w:tcPr>
            <w:tcW w:w="473" w:type="pct"/>
            <w:shd w:val="clear" w:color="auto" w:fill="F2F2F2"/>
            <w:hideMark/>
          </w:tcPr>
          <w:p w14:paraId="72BD892D"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6C447B9B"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1A46D7AE"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2ACCF71E"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143109A0"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84AFCCB" w14:textId="77777777" w:rsidR="00395D01" w:rsidRPr="00912996" w:rsidRDefault="00395D01" w:rsidP="00292396">
            <w:pPr>
              <w:rPr>
                <w:rFonts w:ascii="Calibri" w:hAnsi="Calibri"/>
                <w:bCs/>
                <w:lang w:eastAsia="ja-JP"/>
              </w:rPr>
            </w:pPr>
            <w:r w:rsidRPr="00912996">
              <w:rPr>
                <w:rFonts w:ascii="Calibri" w:hAnsi="Calibri"/>
                <w:bCs/>
                <w:lang w:eastAsia="ja-JP"/>
              </w:rPr>
              <w:t>ADP2, Adresă 31515/01.08.2022</w:t>
            </w:r>
          </w:p>
        </w:tc>
      </w:tr>
      <w:tr w:rsidR="00E16711" w:rsidRPr="00912996" w14:paraId="75A2C757" w14:textId="77777777" w:rsidTr="00E16711">
        <w:trPr>
          <w:trHeight w:val="528"/>
        </w:trPr>
        <w:tc>
          <w:tcPr>
            <w:tcW w:w="205" w:type="pct"/>
            <w:shd w:val="clear" w:color="auto" w:fill="F2F2F2"/>
            <w:noWrap/>
            <w:hideMark/>
          </w:tcPr>
          <w:p w14:paraId="7616FAEA"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6AA4E42F" w14:textId="77777777" w:rsidR="00395D01" w:rsidRPr="00912996" w:rsidRDefault="00395D01" w:rsidP="00292396">
            <w:pPr>
              <w:rPr>
                <w:rFonts w:ascii="Calibri" w:hAnsi="Calibri"/>
                <w:bCs/>
                <w:lang w:eastAsia="ja-JP"/>
              </w:rPr>
            </w:pPr>
            <w:r w:rsidRPr="00912996">
              <w:rPr>
                <w:rFonts w:ascii="Calibri" w:hAnsi="Calibri"/>
                <w:bCs/>
                <w:lang w:eastAsia="ja-JP"/>
              </w:rPr>
              <w:t>Reamenajare scuaruri Popa Nan și Pache Protopopescu</w:t>
            </w:r>
          </w:p>
        </w:tc>
        <w:tc>
          <w:tcPr>
            <w:tcW w:w="640" w:type="pct"/>
            <w:shd w:val="clear" w:color="auto" w:fill="F2F2F2"/>
            <w:hideMark/>
          </w:tcPr>
          <w:p w14:paraId="52D2BE9B"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79E730D9" w14:textId="77777777" w:rsidR="00395D01" w:rsidRPr="00912996" w:rsidRDefault="00395D01" w:rsidP="00292396">
            <w:pPr>
              <w:rPr>
                <w:rFonts w:ascii="Calibri" w:hAnsi="Calibri"/>
                <w:bCs/>
                <w:lang w:eastAsia="ja-JP"/>
              </w:rPr>
            </w:pPr>
            <w:r>
              <w:rPr>
                <w:rFonts w:ascii="Calibri" w:hAnsi="Calibri"/>
                <w:bCs/>
                <w:lang w:eastAsia="ja-JP"/>
              </w:rPr>
              <w:t>Finalizat 2022</w:t>
            </w:r>
          </w:p>
        </w:tc>
        <w:tc>
          <w:tcPr>
            <w:tcW w:w="473" w:type="pct"/>
            <w:shd w:val="clear" w:color="auto" w:fill="F2F2F2"/>
            <w:hideMark/>
          </w:tcPr>
          <w:p w14:paraId="3549EE4B"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704777A7"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00C63BA8"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4FEB446B" w14:textId="77777777" w:rsidR="00395D01" w:rsidRPr="00912996" w:rsidRDefault="00395D01" w:rsidP="00292396">
            <w:pPr>
              <w:rPr>
                <w:rFonts w:ascii="Calibri" w:hAnsi="Calibri"/>
                <w:bCs/>
                <w:lang w:eastAsia="ja-JP"/>
              </w:rPr>
            </w:pPr>
            <w:r w:rsidRPr="00912996">
              <w:rPr>
                <w:rFonts w:ascii="Calibri" w:hAnsi="Calibri"/>
                <w:bCs/>
                <w:lang w:eastAsia="ja-JP"/>
              </w:rPr>
              <w:t>Bugetul local</w:t>
            </w:r>
          </w:p>
        </w:tc>
        <w:tc>
          <w:tcPr>
            <w:tcW w:w="433" w:type="pct"/>
            <w:shd w:val="clear" w:color="auto" w:fill="F2F2F2"/>
            <w:hideMark/>
          </w:tcPr>
          <w:p w14:paraId="0FAC930B"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A91C796" w14:textId="77777777" w:rsidR="00395D01" w:rsidRPr="00912996" w:rsidRDefault="00395D01" w:rsidP="00292396">
            <w:pPr>
              <w:rPr>
                <w:rFonts w:ascii="Calibri" w:hAnsi="Calibri"/>
                <w:bCs/>
                <w:lang w:eastAsia="ja-JP"/>
              </w:rPr>
            </w:pPr>
            <w:r w:rsidRPr="00912996">
              <w:rPr>
                <w:rFonts w:ascii="Calibri" w:hAnsi="Calibri"/>
                <w:bCs/>
                <w:lang w:eastAsia="ja-JP"/>
              </w:rPr>
              <w:t>ADP2, Adresă 31515/01.08.2022</w:t>
            </w:r>
          </w:p>
        </w:tc>
      </w:tr>
      <w:tr w:rsidR="00E16711" w:rsidRPr="00912996" w14:paraId="6D57B182" w14:textId="77777777" w:rsidTr="00E16711">
        <w:trPr>
          <w:trHeight w:val="1056"/>
        </w:trPr>
        <w:tc>
          <w:tcPr>
            <w:tcW w:w="205" w:type="pct"/>
            <w:shd w:val="clear" w:color="auto" w:fill="F2F2F2"/>
            <w:noWrap/>
            <w:hideMark/>
          </w:tcPr>
          <w:p w14:paraId="00C64C7F"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5271493A" w14:textId="77777777" w:rsidR="00395D01" w:rsidRPr="00912996" w:rsidRDefault="00395D01" w:rsidP="00292396">
            <w:pPr>
              <w:rPr>
                <w:rFonts w:ascii="Calibri" w:hAnsi="Calibri"/>
                <w:bCs/>
                <w:lang w:eastAsia="ja-JP"/>
              </w:rPr>
            </w:pPr>
            <w:r w:rsidRPr="00912996">
              <w:rPr>
                <w:rFonts w:ascii="Calibri" w:hAnsi="Calibri"/>
                <w:bCs/>
                <w:lang w:eastAsia="ja-JP"/>
              </w:rPr>
              <w:t>Reamenajare Parc Călin Ottoi</w:t>
            </w:r>
          </w:p>
        </w:tc>
        <w:tc>
          <w:tcPr>
            <w:tcW w:w="640" w:type="pct"/>
            <w:shd w:val="clear" w:color="auto" w:fill="F2F2F2"/>
            <w:hideMark/>
          </w:tcPr>
          <w:p w14:paraId="5F130C8A"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78D4E099" w14:textId="77777777" w:rsidR="00395D01" w:rsidRPr="00912996" w:rsidRDefault="00395D01" w:rsidP="00292396">
            <w:pPr>
              <w:rPr>
                <w:rFonts w:ascii="Calibri" w:hAnsi="Calibri"/>
                <w:bCs/>
                <w:lang w:eastAsia="ja-JP"/>
              </w:rPr>
            </w:pPr>
            <w:r>
              <w:rPr>
                <w:rFonts w:ascii="Calibri" w:hAnsi="Calibri"/>
                <w:bCs/>
                <w:lang w:eastAsia="ja-JP"/>
              </w:rPr>
              <w:t>Finalizat 2022</w:t>
            </w:r>
          </w:p>
        </w:tc>
        <w:tc>
          <w:tcPr>
            <w:tcW w:w="473" w:type="pct"/>
            <w:shd w:val="clear" w:color="auto" w:fill="F2F2F2"/>
            <w:hideMark/>
          </w:tcPr>
          <w:p w14:paraId="19B93EF4"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72B0C35F"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0243FE37"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057C2A46"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PNRR C2, Bugetul local,  Alte surse de finanțare</w:t>
            </w:r>
          </w:p>
        </w:tc>
        <w:tc>
          <w:tcPr>
            <w:tcW w:w="433" w:type="pct"/>
            <w:shd w:val="clear" w:color="auto" w:fill="F2F2F2"/>
            <w:hideMark/>
          </w:tcPr>
          <w:p w14:paraId="076E6BF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22FC2FA"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4CD3AC45" w14:textId="77777777" w:rsidTr="002D0A01">
        <w:trPr>
          <w:trHeight w:val="624"/>
        </w:trPr>
        <w:tc>
          <w:tcPr>
            <w:tcW w:w="205" w:type="pct"/>
            <w:shd w:val="clear" w:color="auto" w:fill="F2F2F2"/>
            <w:noWrap/>
            <w:hideMark/>
          </w:tcPr>
          <w:p w14:paraId="5841C67B"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6E683911" w14:textId="77777777" w:rsidR="00395D01" w:rsidRPr="00912996" w:rsidRDefault="00395D01" w:rsidP="00292396">
            <w:pPr>
              <w:rPr>
                <w:rFonts w:ascii="Calibri" w:hAnsi="Calibri"/>
                <w:bCs/>
                <w:lang w:eastAsia="ja-JP"/>
              </w:rPr>
            </w:pPr>
            <w:r w:rsidRPr="00912996">
              <w:rPr>
                <w:rFonts w:ascii="Calibri" w:hAnsi="Calibri"/>
                <w:bCs/>
                <w:lang w:eastAsia="ja-JP"/>
              </w:rPr>
              <w:t>Revitalizare scuaruri existente și amenajare aliniamente stradale - axa Str. Vasile Lascăr - Str. Viitorului - Str. Icoanei - Etapa II</w:t>
            </w:r>
          </w:p>
        </w:tc>
        <w:tc>
          <w:tcPr>
            <w:tcW w:w="640" w:type="pct"/>
            <w:shd w:val="clear" w:color="auto" w:fill="F2F2F2"/>
            <w:hideMark/>
          </w:tcPr>
          <w:p w14:paraId="2F623FF5"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673C5A5E" w14:textId="77777777" w:rsidR="00395D01" w:rsidRPr="00912996" w:rsidRDefault="00395D01" w:rsidP="00292396">
            <w:pPr>
              <w:rPr>
                <w:rFonts w:ascii="Calibri" w:hAnsi="Calibri"/>
                <w:bCs/>
                <w:lang w:eastAsia="ja-JP"/>
              </w:rPr>
            </w:pPr>
            <w:r w:rsidRPr="005D5584">
              <w:rPr>
                <w:rFonts w:ascii="Calibri" w:hAnsi="Calibri"/>
                <w:bCs/>
                <w:lang w:eastAsia="ja-JP"/>
              </w:rPr>
              <w:t>Finalizat parțial 2020 (Viitorului x Vasile Lascăr)</w:t>
            </w:r>
          </w:p>
        </w:tc>
        <w:tc>
          <w:tcPr>
            <w:tcW w:w="473" w:type="pct"/>
            <w:shd w:val="clear" w:color="auto" w:fill="F2F2F2"/>
            <w:hideMark/>
          </w:tcPr>
          <w:p w14:paraId="1163A31D"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367556A5"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4E89B9E1"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4ACC096"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5, Bugetul local,  Alte surse de finanțare</w:t>
            </w:r>
          </w:p>
        </w:tc>
        <w:tc>
          <w:tcPr>
            <w:tcW w:w="433" w:type="pct"/>
            <w:shd w:val="clear" w:color="auto" w:fill="F2F2F2"/>
            <w:hideMark/>
          </w:tcPr>
          <w:p w14:paraId="4264F7C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682A3D3"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6400D83" w14:textId="77777777" w:rsidTr="00E16711">
        <w:trPr>
          <w:trHeight w:val="1320"/>
        </w:trPr>
        <w:tc>
          <w:tcPr>
            <w:tcW w:w="205" w:type="pct"/>
            <w:shd w:val="clear" w:color="auto" w:fill="F2F2F2"/>
            <w:noWrap/>
            <w:hideMark/>
          </w:tcPr>
          <w:p w14:paraId="6F84AC01"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4FC79381" w14:textId="77777777" w:rsidR="00395D01" w:rsidRPr="00912996" w:rsidRDefault="00395D01" w:rsidP="00292396">
            <w:pPr>
              <w:rPr>
                <w:rFonts w:ascii="Calibri" w:hAnsi="Calibri"/>
                <w:bCs/>
                <w:lang w:eastAsia="ja-JP"/>
              </w:rPr>
            </w:pPr>
            <w:r w:rsidRPr="00912996">
              <w:rPr>
                <w:rFonts w:ascii="Calibri" w:hAnsi="Calibri"/>
                <w:bCs/>
                <w:lang w:eastAsia="ja-JP"/>
              </w:rPr>
              <w:t>Revitalizare scuaruri existente și amenajare aliniamente stradale - axa Str. Țepeș Vodă - Str. Frunzei. Etapa  II - zonele intersecțiilor străzilor Orzari și Teleajen, Orzari și Frunzei</w:t>
            </w:r>
          </w:p>
        </w:tc>
        <w:tc>
          <w:tcPr>
            <w:tcW w:w="640" w:type="pct"/>
            <w:shd w:val="clear" w:color="auto" w:fill="F2F2F2"/>
            <w:hideMark/>
          </w:tcPr>
          <w:p w14:paraId="3672A07E" w14:textId="77777777" w:rsidR="00395D01" w:rsidRPr="00912996" w:rsidRDefault="00395D01" w:rsidP="00292396">
            <w:pPr>
              <w:rPr>
                <w:rFonts w:ascii="Calibri" w:hAnsi="Calibri"/>
                <w:bCs/>
                <w:lang w:eastAsia="ja-JP"/>
              </w:rPr>
            </w:pPr>
            <w:r w:rsidRPr="00912996">
              <w:rPr>
                <w:rFonts w:ascii="Calibri" w:hAnsi="Calibri"/>
                <w:bCs/>
                <w:lang w:eastAsia="ja-JP"/>
              </w:rPr>
              <w:t>PS2, ADP2</w:t>
            </w:r>
          </w:p>
        </w:tc>
        <w:tc>
          <w:tcPr>
            <w:tcW w:w="507" w:type="pct"/>
            <w:shd w:val="clear" w:color="auto" w:fill="F2F2F2"/>
            <w:hideMark/>
          </w:tcPr>
          <w:p w14:paraId="6683D970" w14:textId="77777777" w:rsidR="00395D01" w:rsidRPr="00912996" w:rsidRDefault="00395D01" w:rsidP="00292396">
            <w:pPr>
              <w:rPr>
                <w:rFonts w:ascii="Calibri" w:hAnsi="Calibri"/>
                <w:bCs/>
                <w:lang w:eastAsia="ja-JP"/>
              </w:rPr>
            </w:pPr>
            <w:r w:rsidRPr="005D5584">
              <w:rPr>
                <w:rFonts w:ascii="Calibri" w:hAnsi="Calibri"/>
                <w:bCs/>
                <w:lang w:eastAsia="ja-JP"/>
              </w:rPr>
              <w:t>Finalizat 2022 si extinderea se va face in 2023</w:t>
            </w:r>
          </w:p>
        </w:tc>
        <w:tc>
          <w:tcPr>
            <w:tcW w:w="473" w:type="pct"/>
            <w:shd w:val="clear" w:color="auto" w:fill="F2F2F2"/>
            <w:hideMark/>
          </w:tcPr>
          <w:p w14:paraId="6B398B75"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19A7E551"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591517C9"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93E5F2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P4, Bugetul local,  Alte surse de finanțare</w:t>
            </w:r>
          </w:p>
        </w:tc>
        <w:tc>
          <w:tcPr>
            <w:tcW w:w="433" w:type="pct"/>
            <w:shd w:val="clear" w:color="auto" w:fill="F2F2F2"/>
            <w:hideMark/>
          </w:tcPr>
          <w:p w14:paraId="08D5FD1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45A461A"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B128B74" w14:textId="77777777" w:rsidTr="00E16711">
        <w:trPr>
          <w:trHeight w:val="5544"/>
        </w:trPr>
        <w:tc>
          <w:tcPr>
            <w:tcW w:w="205" w:type="pct"/>
            <w:shd w:val="clear" w:color="auto" w:fill="F2F2F2"/>
            <w:noWrap/>
            <w:hideMark/>
          </w:tcPr>
          <w:p w14:paraId="42535207"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117E9E8D" w14:textId="77777777" w:rsidR="00395D01" w:rsidRPr="00912996" w:rsidRDefault="00395D01" w:rsidP="00292396">
            <w:pPr>
              <w:rPr>
                <w:rFonts w:ascii="Calibri" w:hAnsi="Calibri"/>
                <w:bCs/>
                <w:lang w:eastAsia="ja-JP"/>
              </w:rPr>
            </w:pPr>
            <w:r w:rsidRPr="00912996">
              <w:rPr>
                <w:rFonts w:ascii="Calibri" w:hAnsi="Calibri"/>
                <w:bCs/>
                <w:lang w:eastAsia="ja-JP"/>
              </w:rPr>
              <w:t xml:space="preserve">Reconfigurare și amenajare piațete din Sectorul 2 </w:t>
            </w:r>
            <w:r w:rsidRPr="00912996">
              <w:rPr>
                <w:rFonts w:ascii="Calibri" w:hAnsi="Calibri"/>
                <w:bCs/>
                <w:lang w:eastAsia="ja-JP"/>
              </w:rPr>
              <w:br/>
              <w:t>- Reconfigurare și modernizare Piața Spaniei;</w:t>
            </w:r>
            <w:r w:rsidRPr="00912996">
              <w:rPr>
                <w:rFonts w:ascii="Calibri" w:hAnsi="Calibri"/>
                <w:bCs/>
                <w:lang w:eastAsia="ja-JP"/>
              </w:rPr>
              <w:br/>
              <w:t>- Reconfigurare și modernizare Piața Cantacuzino;</w:t>
            </w:r>
            <w:r w:rsidRPr="00912996">
              <w:rPr>
                <w:rFonts w:ascii="Calibri" w:hAnsi="Calibri"/>
                <w:bCs/>
                <w:lang w:eastAsia="ja-JP"/>
              </w:rPr>
              <w:br/>
              <w:t>- Reconfigurare și modernizare Piața Foișorul de Foc;</w:t>
            </w:r>
            <w:r w:rsidRPr="00912996">
              <w:rPr>
                <w:rFonts w:ascii="Calibri" w:hAnsi="Calibri"/>
                <w:bCs/>
                <w:lang w:eastAsia="ja-JP"/>
              </w:rPr>
              <w:br/>
              <w:t>- Reconfigurare și modernizare Piața Italiană (Piața Stefanik M.R.);</w:t>
            </w:r>
            <w:r w:rsidRPr="00912996">
              <w:rPr>
                <w:rFonts w:ascii="Calibri" w:hAnsi="Calibri"/>
                <w:bCs/>
                <w:lang w:eastAsia="ja-JP"/>
              </w:rPr>
              <w:br/>
              <w:t>- Reconfigurare și modernizare Piața Sf. Stefan;</w:t>
            </w:r>
            <w:r w:rsidRPr="00912996">
              <w:rPr>
                <w:rFonts w:ascii="Calibri" w:hAnsi="Calibri"/>
                <w:bCs/>
                <w:lang w:eastAsia="ja-JP"/>
              </w:rPr>
              <w:br/>
              <w:t>- Reconfigurare și modernizare Piața Popa Soare (Piața G-ral N. Dabija);</w:t>
            </w:r>
            <w:r w:rsidRPr="00912996">
              <w:rPr>
                <w:rFonts w:ascii="Calibri" w:hAnsi="Calibri"/>
                <w:bCs/>
                <w:lang w:eastAsia="ja-JP"/>
              </w:rPr>
              <w:br/>
              <w:t>- Reconfigurare și modernizare intersecție Str. Salcâmilor cu str. Toamnei;</w:t>
            </w:r>
            <w:r w:rsidRPr="00912996">
              <w:rPr>
                <w:rFonts w:ascii="Calibri" w:hAnsi="Calibri"/>
                <w:bCs/>
                <w:lang w:eastAsia="ja-JP"/>
              </w:rPr>
              <w:br/>
              <w:t>- Reconfigurare și modernizare împrejmuirea Bisericii Popa Chițu, strada Logofăt Luca Stroici.</w:t>
            </w:r>
            <w:r w:rsidRPr="00912996">
              <w:rPr>
                <w:rFonts w:ascii="Calibri" w:hAnsi="Calibri"/>
                <w:bCs/>
                <w:lang w:eastAsia="ja-JP"/>
              </w:rPr>
              <w:br/>
              <w:t>Organizare concurs internațional de soluții</w:t>
            </w:r>
          </w:p>
        </w:tc>
        <w:tc>
          <w:tcPr>
            <w:tcW w:w="640" w:type="pct"/>
            <w:shd w:val="clear" w:color="auto" w:fill="F2F2F2"/>
            <w:hideMark/>
          </w:tcPr>
          <w:p w14:paraId="4195500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82CF1D8" w14:textId="77777777" w:rsidR="00395D01" w:rsidRPr="00912996" w:rsidRDefault="00395D01" w:rsidP="00292396">
            <w:pPr>
              <w:rPr>
                <w:rFonts w:ascii="Calibri" w:hAnsi="Calibri"/>
                <w:bCs/>
                <w:lang w:eastAsia="ja-JP"/>
              </w:rPr>
            </w:pPr>
            <w:r w:rsidRPr="00912996">
              <w:rPr>
                <w:rFonts w:ascii="Calibri" w:hAnsi="Calibri"/>
                <w:bCs/>
                <w:lang w:eastAsia="ja-JP"/>
              </w:rPr>
              <w:t>În implementare - faza CU</w:t>
            </w:r>
          </w:p>
        </w:tc>
        <w:tc>
          <w:tcPr>
            <w:tcW w:w="473" w:type="pct"/>
            <w:shd w:val="clear" w:color="auto" w:fill="F2F2F2"/>
            <w:hideMark/>
          </w:tcPr>
          <w:p w14:paraId="0F46AD42"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257182E3"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0EB70400"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E213D0F" w14:textId="77777777" w:rsidR="00395D01" w:rsidRPr="00912996" w:rsidRDefault="00395D01" w:rsidP="00292396">
            <w:pPr>
              <w:rPr>
                <w:rFonts w:ascii="Calibri" w:hAnsi="Calibri"/>
                <w:bCs/>
                <w:lang w:eastAsia="ja-JP"/>
              </w:rPr>
            </w:pPr>
            <w:r w:rsidRPr="00912996">
              <w:rPr>
                <w:rFonts w:ascii="Calibri" w:hAnsi="Calibri"/>
                <w:bCs/>
                <w:lang w:eastAsia="ja-JP"/>
              </w:rPr>
              <w:t>POR BI 2021-2027, bugetul local, PNRR, Alte surse de finanțare</w:t>
            </w:r>
          </w:p>
        </w:tc>
        <w:tc>
          <w:tcPr>
            <w:tcW w:w="433" w:type="pct"/>
            <w:shd w:val="clear" w:color="auto" w:fill="F2F2F2"/>
            <w:hideMark/>
          </w:tcPr>
          <w:p w14:paraId="7C301FB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D3EBE2C"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r w:rsidR="00E16711" w:rsidRPr="00912996" w14:paraId="7E06570B" w14:textId="77777777" w:rsidTr="002D0A01">
        <w:trPr>
          <w:trHeight w:val="624"/>
        </w:trPr>
        <w:tc>
          <w:tcPr>
            <w:tcW w:w="205" w:type="pct"/>
            <w:shd w:val="clear" w:color="auto" w:fill="F2F2F2"/>
            <w:noWrap/>
            <w:hideMark/>
          </w:tcPr>
          <w:p w14:paraId="217CC971"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4B48C7E5" w14:textId="77777777" w:rsidR="00395D01" w:rsidRPr="00912996" w:rsidRDefault="00395D01" w:rsidP="00292396">
            <w:pPr>
              <w:rPr>
                <w:rFonts w:ascii="Calibri" w:hAnsi="Calibri"/>
                <w:bCs/>
                <w:lang w:eastAsia="ja-JP"/>
              </w:rPr>
            </w:pPr>
            <w:r w:rsidRPr="00912996">
              <w:rPr>
                <w:rFonts w:ascii="Calibri" w:hAnsi="Calibri"/>
                <w:bCs/>
                <w:lang w:eastAsia="ja-JP"/>
              </w:rPr>
              <w:t>Reabilitarea celor 20 de fântâni publice cu ap</w:t>
            </w:r>
            <w:r>
              <w:rPr>
                <w:rFonts w:ascii="Calibri" w:hAnsi="Calibri"/>
                <w:bCs/>
                <w:lang w:eastAsia="ja-JP"/>
              </w:rPr>
              <w:t>ă</w:t>
            </w:r>
            <w:r w:rsidRPr="00912996">
              <w:rPr>
                <w:rFonts w:ascii="Calibri" w:hAnsi="Calibri"/>
                <w:bCs/>
                <w:lang w:eastAsia="ja-JP"/>
              </w:rPr>
              <w:t xml:space="preserve"> potabil</w:t>
            </w:r>
            <w:r>
              <w:rPr>
                <w:rFonts w:ascii="Calibri" w:hAnsi="Calibri"/>
                <w:bCs/>
                <w:lang w:eastAsia="ja-JP"/>
              </w:rPr>
              <w:t>ă</w:t>
            </w:r>
            <w:r w:rsidRPr="00912996">
              <w:rPr>
                <w:rFonts w:ascii="Calibri" w:hAnsi="Calibri"/>
                <w:bCs/>
                <w:lang w:eastAsia="ja-JP"/>
              </w:rPr>
              <w:t xml:space="preserve"> </w:t>
            </w:r>
            <w:r>
              <w:rPr>
                <w:rFonts w:ascii="Calibri" w:hAnsi="Calibri"/>
                <w:bCs/>
                <w:lang w:eastAsia="ja-JP"/>
              </w:rPr>
              <w:t>ș</w:t>
            </w:r>
            <w:r w:rsidRPr="00912996">
              <w:rPr>
                <w:rFonts w:ascii="Calibri" w:hAnsi="Calibri"/>
                <w:bCs/>
                <w:lang w:eastAsia="ja-JP"/>
              </w:rPr>
              <w:t>i construirea a încă 10</w:t>
            </w:r>
          </w:p>
        </w:tc>
        <w:tc>
          <w:tcPr>
            <w:tcW w:w="640" w:type="pct"/>
            <w:shd w:val="clear" w:color="auto" w:fill="F2F2F2"/>
            <w:hideMark/>
          </w:tcPr>
          <w:p w14:paraId="42297FD9"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4D1A71A3"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0A8650D6" w14:textId="77777777" w:rsidR="00395D01" w:rsidRPr="00912996" w:rsidRDefault="00395D01" w:rsidP="00292396">
            <w:pPr>
              <w:rPr>
                <w:rFonts w:ascii="Calibri" w:hAnsi="Calibri"/>
                <w:bCs/>
                <w:lang w:eastAsia="ja-JP"/>
              </w:rPr>
            </w:pPr>
            <w:r w:rsidRPr="00912996">
              <w:rPr>
                <w:rFonts w:ascii="Calibri" w:hAnsi="Calibri"/>
                <w:bCs/>
                <w:lang w:eastAsia="ja-JP"/>
              </w:rPr>
              <w:t>14,700,000</w:t>
            </w:r>
          </w:p>
        </w:tc>
        <w:tc>
          <w:tcPr>
            <w:tcW w:w="411" w:type="pct"/>
            <w:shd w:val="clear" w:color="auto" w:fill="F2F2F2"/>
            <w:hideMark/>
          </w:tcPr>
          <w:p w14:paraId="5DD7D451"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347" w:type="pct"/>
            <w:shd w:val="clear" w:color="auto" w:fill="F2F2F2"/>
            <w:hideMark/>
          </w:tcPr>
          <w:p w14:paraId="3BF91891"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E305727" w14:textId="77777777" w:rsidR="00395D01" w:rsidRPr="00912996" w:rsidRDefault="00395D01" w:rsidP="00292396">
            <w:pPr>
              <w:rPr>
                <w:rFonts w:ascii="Calibri" w:hAnsi="Calibri"/>
                <w:bCs/>
                <w:lang w:eastAsia="ja-JP"/>
              </w:rPr>
            </w:pPr>
            <w:r w:rsidRPr="00912996">
              <w:rPr>
                <w:rFonts w:ascii="Calibri" w:hAnsi="Calibri"/>
                <w:bCs/>
                <w:lang w:eastAsia="ja-JP"/>
              </w:rPr>
              <w:t>POR BI 2021-2027, bugetul local,  Alte surse de finanțare</w:t>
            </w:r>
          </w:p>
        </w:tc>
        <w:tc>
          <w:tcPr>
            <w:tcW w:w="433" w:type="pct"/>
            <w:shd w:val="clear" w:color="auto" w:fill="F2F2F2"/>
            <w:hideMark/>
          </w:tcPr>
          <w:p w14:paraId="7F8C634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7C8D0F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2ACC103" w14:textId="77777777" w:rsidTr="00E16711">
        <w:trPr>
          <w:trHeight w:val="530"/>
        </w:trPr>
        <w:tc>
          <w:tcPr>
            <w:tcW w:w="205" w:type="pct"/>
            <w:shd w:val="clear" w:color="auto" w:fill="F2F2F2"/>
            <w:noWrap/>
            <w:hideMark/>
          </w:tcPr>
          <w:p w14:paraId="544638BB"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24FB41F7" w14:textId="77777777" w:rsidR="00395D01" w:rsidRPr="00912996" w:rsidRDefault="00395D01" w:rsidP="00292396">
            <w:pPr>
              <w:rPr>
                <w:rFonts w:ascii="Calibri" w:hAnsi="Calibri"/>
                <w:bCs/>
                <w:lang w:eastAsia="ja-JP"/>
              </w:rPr>
            </w:pPr>
            <w:r w:rsidRPr="00912996">
              <w:rPr>
                <w:rFonts w:ascii="Calibri" w:hAnsi="Calibri"/>
                <w:bCs/>
                <w:lang w:eastAsia="ja-JP"/>
              </w:rPr>
              <w:t>Realizarea unei rețele publice de 20 de cișmele stradale moderne</w:t>
            </w:r>
          </w:p>
        </w:tc>
        <w:tc>
          <w:tcPr>
            <w:tcW w:w="640" w:type="pct"/>
            <w:shd w:val="clear" w:color="auto" w:fill="F2F2F2"/>
            <w:hideMark/>
          </w:tcPr>
          <w:p w14:paraId="561E6703"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6762C67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3649E0B" w14:textId="77777777" w:rsidR="00395D01" w:rsidRPr="00912996" w:rsidRDefault="00395D01" w:rsidP="00292396">
            <w:pPr>
              <w:rPr>
                <w:rFonts w:ascii="Calibri" w:hAnsi="Calibri"/>
                <w:bCs/>
                <w:lang w:eastAsia="ja-JP"/>
              </w:rPr>
            </w:pPr>
            <w:r w:rsidRPr="00912996">
              <w:rPr>
                <w:rFonts w:ascii="Calibri" w:hAnsi="Calibri"/>
                <w:bCs/>
                <w:lang w:eastAsia="ja-JP"/>
              </w:rPr>
              <w:t>3,920,000</w:t>
            </w:r>
          </w:p>
        </w:tc>
        <w:tc>
          <w:tcPr>
            <w:tcW w:w="411" w:type="pct"/>
            <w:shd w:val="clear" w:color="auto" w:fill="F2F2F2"/>
            <w:hideMark/>
          </w:tcPr>
          <w:p w14:paraId="560FEB87" w14:textId="77777777" w:rsidR="00395D01" w:rsidRPr="00912996" w:rsidRDefault="00395D01" w:rsidP="00292396">
            <w:pPr>
              <w:rPr>
                <w:rFonts w:ascii="Calibri" w:hAnsi="Calibri"/>
                <w:bCs/>
                <w:lang w:eastAsia="ja-JP"/>
              </w:rPr>
            </w:pPr>
            <w:r w:rsidRPr="00912996">
              <w:rPr>
                <w:rFonts w:ascii="Calibri" w:hAnsi="Calibri"/>
                <w:bCs/>
                <w:lang w:eastAsia="ja-JP"/>
              </w:rPr>
              <w:t>800,000</w:t>
            </w:r>
          </w:p>
        </w:tc>
        <w:tc>
          <w:tcPr>
            <w:tcW w:w="347" w:type="pct"/>
            <w:shd w:val="clear" w:color="auto" w:fill="F2F2F2"/>
            <w:hideMark/>
          </w:tcPr>
          <w:p w14:paraId="3BCB8A96"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A906F97" w14:textId="77777777" w:rsidR="00395D01" w:rsidRPr="00912996" w:rsidRDefault="00395D01" w:rsidP="00292396">
            <w:pPr>
              <w:rPr>
                <w:rFonts w:ascii="Calibri" w:hAnsi="Calibri"/>
                <w:bCs/>
                <w:lang w:eastAsia="ja-JP"/>
              </w:rPr>
            </w:pPr>
            <w:r w:rsidRPr="00912996">
              <w:rPr>
                <w:rFonts w:ascii="Calibri" w:hAnsi="Calibri"/>
                <w:bCs/>
                <w:lang w:eastAsia="ja-JP"/>
              </w:rPr>
              <w:t>POR BI 2021-2027, bugetul local,  Alte surse de finanțare</w:t>
            </w:r>
          </w:p>
        </w:tc>
        <w:tc>
          <w:tcPr>
            <w:tcW w:w="433" w:type="pct"/>
            <w:shd w:val="clear" w:color="auto" w:fill="F2F2F2"/>
            <w:hideMark/>
          </w:tcPr>
          <w:p w14:paraId="6215B83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647FC7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9F45EBA" w14:textId="77777777" w:rsidTr="00E16711">
        <w:trPr>
          <w:trHeight w:val="1320"/>
        </w:trPr>
        <w:tc>
          <w:tcPr>
            <w:tcW w:w="205" w:type="pct"/>
            <w:shd w:val="clear" w:color="auto" w:fill="F2F2F2"/>
            <w:noWrap/>
            <w:hideMark/>
          </w:tcPr>
          <w:p w14:paraId="78756608"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4AD827DB" w14:textId="77777777" w:rsidR="00395D01" w:rsidRPr="00912996" w:rsidRDefault="00395D01" w:rsidP="00292396">
            <w:pPr>
              <w:rPr>
                <w:rFonts w:ascii="Calibri" w:hAnsi="Calibri"/>
                <w:bCs/>
                <w:lang w:eastAsia="ja-JP"/>
              </w:rPr>
            </w:pPr>
            <w:r w:rsidRPr="00912996">
              <w:rPr>
                <w:rFonts w:ascii="Calibri" w:hAnsi="Calibri"/>
                <w:bCs/>
                <w:lang w:eastAsia="ja-JP"/>
              </w:rPr>
              <w:t>Rețea metropolitană de cișmele și toalete publice</w:t>
            </w:r>
          </w:p>
        </w:tc>
        <w:tc>
          <w:tcPr>
            <w:tcW w:w="640" w:type="pct"/>
            <w:shd w:val="clear" w:color="auto" w:fill="F2F2F2"/>
            <w:hideMark/>
          </w:tcPr>
          <w:p w14:paraId="617DEC93" w14:textId="77777777" w:rsidR="00395D01" w:rsidRPr="00912996" w:rsidRDefault="00395D01" w:rsidP="00292396">
            <w:pPr>
              <w:rPr>
                <w:rFonts w:ascii="Calibri" w:hAnsi="Calibri"/>
                <w:bCs/>
                <w:lang w:eastAsia="ja-JP"/>
              </w:rPr>
            </w:pPr>
            <w:r w:rsidRPr="00912996">
              <w:rPr>
                <w:rFonts w:ascii="Calibri" w:hAnsi="Calibri"/>
                <w:bCs/>
                <w:lang w:eastAsia="ja-JP"/>
              </w:rPr>
              <w:t>PS2, celelalte primării de sector, Primăria Municipiului București</w:t>
            </w:r>
          </w:p>
        </w:tc>
        <w:tc>
          <w:tcPr>
            <w:tcW w:w="507" w:type="pct"/>
            <w:shd w:val="clear" w:color="auto" w:fill="F2F2F2"/>
            <w:hideMark/>
          </w:tcPr>
          <w:p w14:paraId="36E9B272" w14:textId="77777777" w:rsidR="00395D01" w:rsidRPr="00912996" w:rsidRDefault="00395D01" w:rsidP="00292396">
            <w:pPr>
              <w:rPr>
                <w:rFonts w:ascii="Calibri" w:hAnsi="Calibri"/>
                <w:bCs/>
                <w:lang w:eastAsia="ja-JP"/>
              </w:rPr>
            </w:pPr>
            <w:r w:rsidRPr="00912996">
              <w:rPr>
                <w:rFonts w:ascii="Calibri" w:hAnsi="Calibri"/>
                <w:bCs/>
                <w:lang w:eastAsia="ja-JP"/>
              </w:rPr>
              <w:t>Elaborare documentații de urbanism</w:t>
            </w:r>
          </w:p>
        </w:tc>
        <w:tc>
          <w:tcPr>
            <w:tcW w:w="473" w:type="pct"/>
            <w:shd w:val="clear" w:color="auto" w:fill="F2F2F2"/>
            <w:hideMark/>
          </w:tcPr>
          <w:p w14:paraId="3E6FA099" w14:textId="77777777" w:rsidR="00395D01" w:rsidRPr="00912996" w:rsidRDefault="00395D01" w:rsidP="00292396">
            <w:pPr>
              <w:rPr>
                <w:rFonts w:ascii="Calibri" w:hAnsi="Calibri"/>
                <w:bCs/>
                <w:lang w:eastAsia="ja-JP"/>
              </w:rPr>
            </w:pPr>
            <w:r w:rsidRPr="00912996">
              <w:rPr>
                <w:rFonts w:ascii="Calibri" w:hAnsi="Calibri"/>
                <w:bCs/>
                <w:lang w:eastAsia="ja-JP"/>
              </w:rPr>
              <w:t>122,500,000</w:t>
            </w:r>
          </w:p>
        </w:tc>
        <w:tc>
          <w:tcPr>
            <w:tcW w:w="411" w:type="pct"/>
            <w:shd w:val="clear" w:color="auto" w:fill="F2F2F2"/>
            <w:hideMark/>
          </w:tcPr>
          <w:p w14:paraId="5B70D79C" w14:textId="77777777" w:rsidR="00395D01" w:rsidRPr="00912996" w:rsidRDefault="00395D01" w:rsidP="00292396">
            <w:pPr>
              <w:rPr>
                <w:rFonts w:ascii="Calibri" w:hAnsi="Calibri"/>
                <w:bCs/>
                <w:lang w:eastAsia="ja-JP"/>
              </w:rPr>
            </w:pPr>
            <w:r w:rsidRPr="00912996">
              <w:rPr>
                <w:rFonts w:ascii="Calibri" w:hAnsi="Calibri"/>
                <w:bCs/>
                <w:lang w:eastAsia="ja-JP"/>
              </w:rPr>
              <w:t>25,000,000</w:t>
            </w:r>
          </w:p>
        </w:tc>
        <w:tc>
          <w:tcPr>
            <w:tcW w:w="347" w:type="pct"/>
            <w:shd w:val="clear" w:color="auto" w:fill="F2F2F2"/>
            <w:noWrap/>
            <w:hideMark/>
          </w:tcPr>
          <w:p w14:paraId="130C6732"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hideMark/>
          </w:tcPr>
          <w:p w14:paraId="5DDFB5BD" w14:textId="77777777" w:rsidR="00395D01" w:rsidRPr="00912996" w:rsidRDefault="00395D01" w:rsidP="00292396">
            <w:pPr>
              <w:rPr>
                <w:rFonts w:ascii="Calibri" w:hAnsi="Calibri"/>
                <w:bCs/>
                <w:lang w:eastAsia="ja-JP"/>
              </w:rPr>
            </w:pPr>
            <w:r w:rsidRPr="00912996">
              <w:rPr>
                <w:rFonts w:ascii="Calibri" w:hAnsi="Calibri"/>
                <w:bCs/>
                <w:lang w:eastAsia="ja-JP"/>
              </w:rPr>
              <w:t>Bugetul local și Alte surse de finanțare</w:t>
            </w:r>
          </w:p>
        </w:tc>
        <w:tc>
          <w:tcPr>
            <w:tcW w:w="433" w:type="pct"/>
            <w:shd w:val="clear" w:color="auto" w:fill="F2F2F2"/>
            <w:hideMark/>
          </w:tcPr>
          <w:p w14:paraId="6A4C05EC" w14:textId="77777777" w:rsidR="00395D01" w:rsidRPr="00912996" w:rsidRDefault="00395D01" w:rsidP="00292396">
            <w:pPr>
              <w:rPr>
                <w:rFonts w:ascii="Calibri" w:hAnsi="Calibri"/>
                <w:bCs/>
                <w:lang w:eastAsia="ja-JP"/>
              </w:rPr>
            </w:pPr>
          </w:p>
        </w:tc>
        <w:tc>
          <w:tcPr>
            <w:tcW w:w="482" w:type="pct"/>
            <w:shd w:val="clear" w:color="auto" w:fill="F2F2F2"/>
            <w:hideMark/>
          </w:tcPr>
          <w:p w14:paraId="018C2F0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F611E4B" w14:textId="77777777" w:rsidTr="00E16711">
        <w:trPr>
          <w:trHeight w:val="2376"/>
        </w:trPr>
        <w:tc>
          <w:tcPr>
            <w:tcW w:w="205" w:type="pct"/>
            <w:shd w:val="clear" w:color="auto" w:fill="F2F2F2"/>
            <w:noWrap/>
            <w:hideMark/>
          </w:tcPr>
          <w:p w14:paraId="2EE30134"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55B20207" w14:textId="77777777" w:rsidR="00395D01" w:rsidRPr="00912996" w:rsidRDefault="00395D01" w:rsidP="00292396">
            <w:pPr>
              <w:rPr>
                <w:rFonts w:ascii="Calibri" w:hAnsi="Calibri"/>
                <w:bCs/>
                <w:lang w:eastAsia="ja-JP"/>
              </w:rPr>
            </w:pPr>
            <w:r w:rsidRPr="00912996">
              <w:rPr>
                <w:rFonts w:ascii="Calibri" w:hAnsi="Calibri"/>
                <w:bCs/>
                <w:lang w:eastAsia="ja-JP"/>
              </w:rPr>
              <w:t xml:space="preserve">Realizarea de toalete publice în spațiile publice: toalete pentru copii, în spații verzi; toalete publice pe arterele de circulații intens tranzitate (prioritar: zona intersecției Șos. Colentina și Șos. Fundeni) </w:t>
            </w:r>
            <w:r w:rsidRPr="00912996">
              <w:rPr>
                <w:rFonts w:ascii="Calibri" w:hAnsi="Calibri"/>
                <w:bCs/>
                <w:i/>
                <w:iCs/>
                <w:lang w:eastAsia="ja-JP"/>
              </w:rPr>
              <w:t>(Prin SIDU Municipiul București sunt propuse 2 proiecte tematice: Toaletă automată, Toaletă automată pentru persoane cu dizabilități)</w:t>
            </w:r>
          </w:p>
        </w:tc>
        <w:tc>
          <w:tcPr>
            <w:tcW w:w="640" w:type="pct"/>
            <w:shd w:val="clear" w:color="auto" w:fill="F2F2F2"/>
            <w:hideMark/>
          </w:tcPr>
          <w:p w14:paraId="2904B417"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47D9F4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2539D10"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411" w:type="pct"/>
            <w:shd w:val="clear" w:color="auto" w:fill="F2F2F2"/>
            <w:hideMark/>
          </w:tcPr>
          <w:p w14:paraId="6CBD52D7" w14:textId="77777777" w:rsidR="00395D01" w:rsidRPr="00912996" w:rsidRDefault="00395D01" w:rsidP="00292396">
            <w:pPr>
              <w:rPr>
                <w:rFonts w:ascii="Calibri" w:hAnsi="Calibri"/>
                <w:bCs/>
                <w:lang w:eastAsia="ja-JP"/>
              </w:rPr>
            </w:pPr>
            <w:r w:rsidRPr="00912996">
              <w:rPr>
                <w:rFonts w:ascii="Calibri" w:hAnsi="Calibri"/>
                <w:bCs/>
                <w:lang w:eastAsia="ja-JP"/>
              </w:rPr>
              <w:t>612,245</w:t>
            </w:r>
          </w:p>
        </w:tc>
        <w:tc>
          <w:tcPr>
            <w:tcW w:w="347" w:type="pct"/>
            <w:shd w:val="clear" w:color="auto" w:fill="F2F2F2"/>
            <w:hideMark/>
          </w:tcPr>
          <w:p w14:paraId="361FEEC1"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02172447"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4CD77A2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1770E02"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 SIDU MB</w:t>
            </w:r>
          </w:p>
        </w:tc>
      </w:tr>
      <w:tr w:rsidR="00E16711" w:rsidRPr="00912996" w14:paraId="3174AC2A" w14:textId="77777777" w:rsidTr="00E16711">
        <w:trPr>
          <w:trHeight w:val="1056"/>
        </w:trPr>
        <w:tc>
          <w:tcPr>
            <w:tcW w:w="205" w:type="pct"/>
            <w:shd w:val="clear" w:color="auto" w:fill="F2F2F2"/>
            <w:noWrap/>
            <w:hideMark/>
          </w:tcPr>
          <w:p w14:paraId="5BD40C98"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70F4175B" w14:textId="77777777" w:rsidR="00395D01" w:rsidRPr="00912996" w:rsidRDefault="00395D01" w:rsidP="00292396">
            <w:pPr>
              <w:rPr>
                <w:rFonts w:ascii="Calibri" w:hAnsi="Calibri"/>
                <w:bCs/>
                <w:lang w:eastAsia="ja-JP"/>
              </w:rPr>
            </w:pPr>
            <w:r w:rsidRPr="00912996">
              <w:rPr>
                <w:rFonts w:ascii="Calibri" w:hAnsi="Calibri"/>
                <w:bCs/>
                <w:lang w:eastAsia="ja-JP"/>
              </w:rPr>
              <w:t>Reconfigurarea zonei Obor - transformare în zonă cu prioritate pentru pietoni</w:t>
            </w:r>
          </w:p>
        </w:tc>
        <w:tc>
          <w:tcPr>
            <w:tcW w:w="640" w:type="pct"/>
            <w:shd w:val="clear" w:color="auto" w:fill="F2F2F2"/>
            <w:hideMark/>
          </w:tcPr>
          <w:p w14:paraId="5F30ECBA" w14:textId="77777777" w:rsidR="00395D01" w:rsidRPr="00912996" w:rsidRDefault="00395D01" w:rsidP="00292396">
            <w:pPr>
              <w:rPr>
                <w:rFonts w:ascii="Calibri" w:hAnsi="Calibri"/>
                <w:bCs/>
                <w:lang w:eastAsia="ja-JP"/>
              </w:rPr>
            </w:pPr>
            <w:r w:rsidRPr="00912996">
              <w:rPr>
                <w:rFonts w:ascii="Calibri" w:hAnsi="Calibri"/>
                <w:bCs/>
                <w:lang w:eastAsia="ja-JP"/>
              </w:rPr>
              <w:t>PMB, PS2, ADPS2</w:t>
            </w:r>
          </w:p>
        </w:tc>
        <w:tc>
          <w:tcPr>
            <w:tcW w:w="507" w:type="pct"/>
            <w:shd w:val="clear" w:color="auto" w:fill="F2F2F2"/>
            <w:hideMark/>
          </w:tcPr>
          <w:p w14:paraId="72F6805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5A6BBEF"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1884A55B"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33C84C55" w14:textId="77777777" w:rsidR="00395D01" w:rsidRPr="00912996" w:rsidRDefault="00395D01" w:rsidP="0029239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26251C2B"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5, Bugetul local,  Alte surse de finanțare</w:t>
            </w:r>
          </w:p>
        </w:tc>
        <w:tc>
          <w:tcPr>
            <w:tcW w:w="433" w:type="pct"/>
            <w:shd w:val="clear" w:color="auto" w:fill="F2F2F2"/>
            <w:hideMark/>
          </w:tcPr>
          <w:p w14:paraId="78B6557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5F8B642"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ACF05D9" w14:textId="77777777" w:rsidTr="00E16711">
        <w:trPr>
          <w:trHeight w:val="1056"/>
        </w:trPr>
        <w:tc>
          <w:tcPr>
            <w:tcW w:w="205" w:type="pct"/>
            <w:shd w:val="clear" w:color="auto" w:fill="F2F2F2"/>
            <w:noWrap/>
            <w:hideMark/>
          </w:tcPr>
          <w:p w14:paraId="63FD84D9"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0FDE5E83" w14:textId="77777777" w:rsidR="00395D01" w:rsidRPr="00912996" w:rsidRDefault="00395D01" w:rsidP="00292396">
            <w:pPr>
              <w:rPr>
                <w:rFonts w:ascii="Calibri" w:hAnsi="Calibri"/>
                <w:bCs/>
                <w:lang w:eastAsia="ja-JP"/>
              </w:rPr>
            </w:pPr>
            <w:r w:rsidRPr="00912996">
              <w:rPr>
                <w:rFonts w:ascii="Calibri" w:hAnsi="Calibri"/>
                <w:bCs/>
                <w:lang w:eastAsia="ja-JP"/>
              </w:rPr>
              <w:t>Realizarea unui parc în cartierul Ion Creangă aferent străzii Moroeni</w:t>
            </w:r>
          </w:p>
        </w:tc>
        <w:tc>
          <w:tcPr>
            <w:tcW w:w="640" w:type="pct"/>
            <w:shd w:val="clear" w:color="auto" w:fill="F2F2F2"/>
            <w:hideMark/>
          </w:tcPr>
          <w:p w14:paraId="60DC8DB9"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0835CCA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2F8B900"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6ADDED6B"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5EEA1975" w14:textId="77777777" w:rsidR="00395D01" w:rsidRPr="00912996" w:rsidRDefault="00395D01" w:rsidP="0029239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55DF7372"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PNRR C2, Bugetul local,  Alte surse de finanțare</w:t>
            </w:r>
          </w:p>
        </w:tc>
        <w:tc>
          <w:tcPr>
            <w:tcW w:w="433" w:type="pct"/>
            <w:shd w:val="clear" w:color="auto" w:fill="F2F2F2"/>
            <w:hideMark/>
          </w:tcPr>
          <w:p w14:paraId="785CC35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9BFB6A8" w14:textId="77777777" w:rsidR="00395D01" w:rsidRPr="00912996" w:rsidRDefault="00395D01" w:rsidP="00292396">
            <w:pPr>
              <w:rPr>
                <w:rFonts w:ascii="Calibri" w:hAnsi="Calibri"/>
                <w:bCs/>
                <w:lang w:eastAsia="ja-JP"/>
              </w:rPr>
            </w:pPr>
            <w:r w:rsidRPr="00912996">
              <w:rPr>
                <w:rFonts w:ascii="Calibri" w:hAnsi="Calibri"/>
                <w:bCs/>
                <w:lang w:eastAsia="ja-JP"/>
              </w:rPr>
              <w:t>PUZ S2</w:t>
            </w:r>
          </w:p>
        </w:tc>
      </w:tr>
      <w:tr w:rsidR="00E16711" w:rsidRPr="00912996" w14:paraId="32379A9A" w14:textId="77777777" w:rsidTr="00E16711">
        <w:trPr>
          <w:trHeight w:val="620"/>
        </w:trPr>
        <w:tc>
          <w:tcPr>
            <w:tcW w:w="205" w:type="pct"/>
            <w:shd w:val="clear" w:color="auto" w:fill="F2F2F2"/>
            <w:noWrap/>
            <w:hideMark/>
          </w:tcPr>
          <w:p w14:paraId="2320463A"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2832E43B" w14:textId="77777777" w:rsidR="00395D01" w:rsidRPr="00912996" w:rsidRDefault="00395D01" w:rsidP="00292396">
            <w:pPr>
              <w:rPr>
                <w:rFonts w:ascii="Calibri" w:hAnsi="Calibri"/>
                <w:bCs/>
                <w:lang w:eastAsia="ja-JP"/>
              </w:rPr>
            </w:pPr>
            <w:r w:rsidRPr="00912996">
              <w:rPr>
                <w:rFonts w:ascii="Calibri" w:hAnsi="Calibri"/>
                <w:bCs/>
                <w:lang w:eastAsia="ja-JP"/>
              </w:rPr>
              <w:t>Refacerea/amenajarea/reamenajarea vegetației de aliniament pe străzile secundare</w:t>
            </w:r>
          </w:p>
        </w:tc>
        <w:tc>
          <w:tcPr>
            <w:tcW w:w="640" w:type="pct"/>
            <w:shd w:val="clear" w:color="auto" w:fill="F2F2F2"/>
            <w:hideMark/>
          </w:tcPr>
          <w:p w14:paraId="436A7803"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668AD6F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766A82F"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384F1214" w14:textId="77777777" w:rsidR="00395D01" w:rsidRPr="00912996" w:rsidRDefault="00395D01" w:rsidP="00292396">
            <w:pPr>
              <w:rPr>
                <w:rFonts w:ascii="Calibri" w:hAnsi="Calibri"/>
                <w:bCs/>
                <w:lang w:eastAsia="ja-JP"/>
              </w:rPr>
            </w:pPr>
            <w:r w:rsidRPr="00912996">
              <w:rPr>
                <w:rFonts w:ascii="Calibri" w:hAnsi="Calibri"/>
                <w:bCs/>
                <w:lang w:eastAsia="ja-JP"/>
              </w:rPr>
              <w:t>408,163</w:t>
            </w:r>
          </w:p>
        </w:tc>
        <w:tc>
          <w:tcPr>
            <w:tcW w:w="347" w:type="pct"/>
            <w:shd w:val="clear" w:color="auto" w:fill="F2F2F2"/>
            <w:hideMark/>
          </w:tcPr>
          <w:p w14:paraId="4C755E9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DBB5C3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PNRR C2, Bugetul local,  Alte surse de finanțare</w:t>
            </w:r>
          </w:p>
        </w:tc>
        <w:tc>
          <w:tcPr>
            <w:tcW w:w="433" w:type="pct"/>
            <w:shd w:val="clear" w:color="auto" w:fill="F2F2F2"/>
            <w:hideMark/>
          </w:tcPr>
          <w:p w14:paraId="27CE7AA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74376F6" w14:textId="77777777" w:rsidR="00395D01" w:rsidRPr="00912996" w:rsidRDefault="00395D01" w:rsidP="00292396">
            <w:pPr>
              <w:rPr>
                <w:rFonts w:ascii="Calibri" w:hAnsi="Calibri"/>
                <w:bCs/>
                <w:lang w:eastAsia="ja-JP"/>
              </w:rPr>
            </w:pPr>
            <w:r w:rsidRPr="00912996">
              <w:rPr>
                <w:rFonts w:ascii="Calibri" w:hAnsi="Calibri"/>
                <w:bCs/>
                <w:lang w:eastAsia="ja-JP"/>
              </w:rPr>
              <w:t>PUZ S2</w:t>
            </w:r>
          </w:p>
        </w:tc>
      </w:tr>
      <w:tr w:rsidR="00E16711" w:rsidRPr="00912996" w14:paraId="636DE1DA" w14:textId="77777777" w:rsidTr="00E16711">
        <w:trPr>
          <w:trHeight w:val="1056"/>
        </w:trPr>
        <w:tc>
          <w:tcPr>
            <w:tcW w:w="205" w:type="pct"/>
            <w:shd w:val="clear" w:color="auto" w:fill="F2F2F2"/>
            <w:noWrap/>
            <w:hideMark/>
          </w:tcPr>
          <w:p w14:paraId="1A32DA9E"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2BF99C9E" w14:textId="77777777" w:rsidR="00395D01" w:rsidRPr="00912996" w:rsidRDefault="00395D01" w:rsidP="00292396">
            <w:pPr>
              <w:rPr>
                <w:rFonts w:ascii="Calibri" w:hAnsi="Calibri"/>
                <w:bCs/>
                <w:lang w:eastAsia="ja-JP"/>
              </w:rPr>
            </w:pPr>
            <w:r w:rsidRPr="00912996">
              <w:rPr>
                <w:rFonts w:ascii="Calibri" w:hAnsi="Calibri"/>
                <w:bCs/>
                <w:lang w:eastAsia="ja-JP"/>
              </w:rPr>
              <w:t>Amenajarea unui parc în zona Pieței Delfinului</w:t>
            </w:r>
          </w:p>
        </w:tc>
        <w:tc>
          <w:tcPr>
            <w:tcW w:w="640" w:type="pct"/>
            <w:shd w:val="clear" w:color="auto" w:fill="F2F2F2"/>
            <w:hideMark/>
          </w:tcPr>
          <w:p w14:paraId="21FA1C3D"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131A048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82CD455" w14:textId="77777777" w:rsidR="00395D01" w:rsidRPr="00912996" w:rsidRDefault="00395D01" w:rsidP="00292396">
            <w:pPr>
              <w:rPr>
                <w:rFonts w:ascii="Calibri" w:hAnsi="Calibri"/>
                <w:bCs/>
                <w:lang w:eastAsia="ja-JP"/>
              </w:rPr>
            </w:pPr>
            <w:r w:rsidRPr="00912996">
              <w:rPr>
                <w:rFonts w:ascii="Calibri" w:hAnsi="Calibri"/>
                <w:bCs/>
                <w:lang w:eastAsia="ja-JP"/>
              </w:rPr>
              <w:t>2,500,000</w:t>
            </w:r>
          </w:p>
        </w:tc>
        <w:tc>
          <w:tcPr>
            <w:tcW w:w="411" w:type="pct"/>
            <w:shd w:val="clear" w:color="auto" w:fill="F2F2F2"/>
            <w:hideMark/>
          </w:tcPr>
          <w:p w14:paraId="1ADAB58B" w14:textId="77777777" w:rsidR="00395D01" w:rsidRPr="00912996" w:rsidRDefault="00395D01" w:rsidP="00292396">
            <w:pPr>
              <w:rPr>
                <w:rFonts w:ascii="Calibri" w:hAnsi="Calibri"/>
                <w:bCs/>
                <w:lang w:eastAsia="ja-JP"/>
              </w:rPr>
            </w:pPr>
            <w:r w:rsidRPr="00912996">
              <w:rPr>
                <w:rFonts w:ascii="Calibri" w:hAnsi="Calibri"/>
                <w:bCs/>
                <w:lang w:eastAsia="ja-JP"/>
              </w:rPr>
              <w:t>510,204</w:t>
            </w:r>
          </w:p>
        </w:tc>
        <w:tc>
          <w:tcPr>
            <w:tcW w:w="347" w:type="pct"/>
            <w:shd w:val="clear" w:color="auto" w:fill="F2F2F2"/>
            <w:hideMark/>
          </w:tcPr>
          <w:p w14:paraId="53736837"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0D71F434"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PNRR C2, Bugetul local,  Alte surse de finanțare</w:t>
            </w:r>
          </w:p>
        </w:tc>
        <w:tc>
          <w:tcPr>
            <w:tcW w:w="433" w:type="pct"/>
            <w:shd w:val="clear" w:color="auto" w:fill="F2F2F2"/>
            <w:hideMark/>
          </w:tcPr>
          <w:p w14:paraId="67B229C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8F9D505"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 locuitori</w:t>
            </w:r>
          </w:p>
        </w:tc>
      </w:tr>
      <w:tr w:rsidR="00E16711" w:rsidRPr="00912996" w14:paraId="4EA5219E" w14:textId="77777777" w:rsidTr="00E16711">
        <w:trPr>
          <w:trHeight w:val="1056"/>
        </w:trPr>
        <w:tc>
          <w:tcPr>
            <w:tcW w:w="205" w:type="pct"/>
            <w:shd w:val="clear" w:color="auto" w:fill="F2F2F2"/>
            <w:noWrap/>
            <w:hideMark/>
          </w:tcPr>
          <w:p w14:paraId="097E5B83"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4F8978F8" w14:textId="77777777" w:rsidR="00395D01" w:rsidRPr="00912996" w:rsidRDefault="00395D01" w:rsidP="00292396">
            <w:pPr>
              <w:rPr>
                <w:rFonts w:ascii="Calibri" w:hAnsi="Calibri"/>
                <w:bCs/>
                <w:lang w:eastAsia="ja-JP"/>
              </w:rPr>
            </w:pPr>
            <w:r w:rsidRPr="00912996">
              <w:rPr>
                <w:rFonts w:ascii="Calibri" w:hAnsi="Calibri"/>
                <w:bCs/>
                <w:lang w:eastAsia="ja-JP"/>
              </w:rPr>
              <w:t>Reamenajarea peisajeră a spațiului verde de pe aleea Vergului nr. 7</w:t>
            </w:r>
          </w:p>
        </w:tc>
        <w:tc>
          <w:tcPr>
            <w:tcW w:w="640" w:type="pct"/>
            <w:shd w:val="clear" w:color="auto" w:fill="F2F2F2"/>
            <w:hideMark/>
          </w:tcPr>
          <w:p w14:paraId="67F2ADC3"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640112B7" w14:textId="77777777" w:rsidR="00395D01" w:rsidRPr="00912996" w:rsidRDefault="00395D01" w:rsidP="00292396">
            <w:pPr>
              <w:rPr>
                <w:rFonts w:ascii="Calibri" w:hAnsi="Calibri"/>
                <w:bCs/>
                <w:lang w:eastAsia="ja-JP"/>
              </w:rPr>
            </w:pPr>
            <w:r>
              <w:rPr>
                <w:rFonts w:ascii="Calibri" w:hAnsi="Calibri"/>
                <w:bCs/>
                <w:lang w:eastAsia="ja-JP"/>
              </w:rPr>
              <w:t>În execuție 2023</w:t>
            </w:r>
          </w:p>
        </w:tc>
        <w:tc>
          <w:tcPr>
            <w:tcW w:w="473" w:type="pct"/>
            <w:shd w:val="clear" w:color="auto" w:fill="F2F2F2"/>
            <w:hideMark/>
          </w:tcPr>
          <w:p w14:paraId="1837E082"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411" w:type="pct"/>
            <w:shd w:val="clear" w:color="auto" w:fill="F2F2F2"/>
            <w:hideMark/>
          </w:tcPr>
          <w:p w14:paraId="32AC8F87" w14:textId="77777777" w:rsidR="00395D01" w:rsidRPr="00912996" w:rsidRDefault="00395D01" w:rsidP="00292396">
            <w:pPr>
              <w:rPr>
                <w:rFonts w:ascii="Calibri" w:hAnsi="Calibri"/>
                <w:bCs/>
                <w:lang w:eastAsia="ja-JP"/>
              </w:rPr>
            </w:pPr>
            <w:r w:rsidRPr="00912996">
              <w:rPr>
                <w:rFonts w:ascii="Calibri" w:hAnsi="Calibri"/>
                <w:bCs/>
                <w:lang w:eastAsia="ja-JP"/>
              </w:rPr>
              <w:t>612,245</w:t>
            </w:r>
          </w:p>
        </w:tc>
        <w:tc>
          <w:tcPr>
            <w:tcW w:w="347" w:type="pct"/>
            <w:shd w:val="clear" w:color="auto" w:fill="F2F2F2"/>
            <w:hideMark/>
          </w:tcPr>
          <w:p w14:paraId="210AFFA4" w14:textId="77777777" w:rsidR="00395D01" w:rsidRPr="00912996" w:rsidRDefault="00395D01" w:rsidP="0029239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DFE0900"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PNRR C2, Bugetul local,  Alte surse de finanțare</w:t>
            </w:r>
          </w:p>
        </w:tc>
        <w:tc>
          <w:tcPr>
            <w:tcW w:w="433" w:type="pct"/>
            <w:shd w:val="clear" w:color="auto" w:fill="F2F2F2"/>
            <w:hideMark/>
          </w:tcPr>
          <w:p w14:paraId="55AC175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6087CB6"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 locuitori</w:t>
            </w:r>
          </w:p>
        </w:tc>
      </w:tr>
      <w:tr w:rsidR="00E16711" w:rsidRPr="00912996" w14:paraId="6BC7B6FA" w14:textId="77777777" w:rsidTr="00E16711">
        <w:trPr>
          <w:trHeight w:val="1056"/>
        </w:trPr>
        <w:tc>
          <w:tcPr>
            <w:tcW w:w="205" w:type="pct"/>
            <w:shd w:val="clear" w:color="auto" w:fill="F2F2F2"/>
            <w:noWrap/>
            <w:hideMark/>
          </w:tcPr>
          <w:p w14:paraId="30077986" w14:textId="77777777" w:rsidR="00395D01" w:rsidRPr="00912996" w:rsidRDefault="00395D01" w:rsidP="00292396">
            <w:pPr>
              <w:rPr>
                <w:rFonts w:ascii="Calibri" w:hAnsi="Calibri"/>
                <w:bCs/>
                <w:lang w:eastAsia="ja-JP"/>
              </w:rPr>
            </w:pPr>
            <w:r w:rsidRPr="00912996">
              <w:rPr>
                <w:rFonts w:ascii="Calibri" w:hAnsi="Calibri"/>
                <w:bCs/>
                <w:lang w:eastAsia="ja-JP"/>
              </w:rPr>
              <w:t>16</w:t>
            </w:r>
          </w:p>
        </w:tc>
        <w:tc>
          <w:tcPr>
            <w:tcW w:w="1018" w:type="pct"/>
            <w:gridSpan w:val="2"/>
            <w:shd w:val="clear" w:color="auto" w:fill="F2F2F2"/>
            <w:hideMark/>
          </w:tcPr>
          <w:p w14:paraId="29CDDC54" w14:textId="77777777" w:rsidR="00395D01" w:rsidRPr="00912996" w:rsidRDefault="00395D01" w:rsidP="00292396">
            <w:pPr>
              <w:rPr>
                <w:rFonts w:ascii="Calibri" w:hAnsi="Calibri"/>
                <w:bCs/>
                <w:lang w:eastAsia="ja-JP"/>
              </w:rPr>
            </w:pPr>
            <w:r w:rsidRPr="00912996">
              <w:rPr>
                <w:rFonts w:ascii="Calibri" w:hAnsi="Calibri"/>
                <w:bCs/>
                <w:lang w:eastAsia="ja-JP"/>
              </w:rPr>
              <w:t>Amenajarea de perdele de vegetație în lungul străzilor secundare (axe verzi), inclusiv realizarea unui parteneriat public-privat în acest sens</w:t>
            </w:r>
          </w:p>
        </w:tc>
        <w:tc>
          <w:tcPr>
            <w:tcW w:w="640" w:type="pct"/>
            <w:shd w:val="clear" w:color="auto" w:fill="F2F2F2"/>
            <w:hideMark/>
          </w:tcPr>
          <w:p w14:paraId="598A4367" w14:textId="77777777" w:rsidR="00395D01" w:rsidRPr="00912996" w:rsidRDefault="00395D01" w:rsidP="00292396">
            <w:pPr>
              <w:rPr>
                <w:rFonts w:ascii="Calibri" w:hAnsi="Calibri"/>
                <w:bCs/>
                <w:lang w:eastAsia="ja-JP"/>
              </w:rPr>
            </w:pPr>
            <w:r w:rsidRPr="00912996">
              <w:rPr>
                <w:rFonts w:ascii="Calibri" w:hAnsi="Calibri"/>
                <w:bCs/>
                <w:lang w:eastAsia="ja-JP"/>
              </w:rPr>
              <w:t>PS2, ADPS2</w:t>
            </w:r>
          </w:p>
        </w:tc>
        <w:tc>
          <w:tcPr>
            <w:tcW w:w="507" w:type="pct"/>
            <w:shd w:val="clear" w:color="auto" w:fill="F2F2F2"/>
            <w:hideMark/>
          </w:tcPr>
          <w:p w14:paraId="2848ABC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6F381BC" w14:textId="77777777" w:rsidR="00395D01" w:rsidRPr="00912996" w:rsidRDefault="00395D01" w:rsidP="00292396">
            <w:pPr>
              <w:rPr>
                <w:rFonts w:ascii="Calibri" w:hAnsi="Calibri"/>
                <w:bCs/>
                <w:lang w:eastAsia="ja-JP"/>
              </w:rPr>
            </w:pPr>
            <w:r w:rsidRPr="00912996">
              <w:rPr>
                <w:rFonts w:ascii="Calibri" w:hAnsi="Calibri"/>
                <w:bCs/>
                <w:lang w:eastAsia="ja-JP"/>
              </w:rPr>
              <w:t>6,000,000</w:t>
            </w:r>
          </w:p>
        </w:tc>
        <w:tc>
          <w:tcPr>
            <w:tcW w:w="411" w:type="pct"/>
            <w:shd w:val="clear" w:color="auto" w:fill="F2F2F2"/>
            <w:hideMark/>
          </w:tcPr>
          <w:p w14:paraId="46C4CDDB" w14:textId="77777777" w:rsidR="00395D01" w:rsidRPr="00912996" w:rsidRDefault="00395D01" w:rsidP="00292396">
            <w:pPr>
              <w:rPr>
                <w:rFonts w:ascii="Calibri" w:hAnsi="Calibri"/>
                <w:bCs/>
                <w:lang w:eastAsia="ja-JP"/>
              </w:rPr>
            </w:pPr>
            <w:r w:rsidRPr="00912996">
              <w:rPr>
                <w:rFonts w:ascii="Calibri" w:hAnsi="Calibri"/>
                <w:bCs/>
                <w:lang w:eastAsia="ja-JP"/>
              </w:rPr>
              <w:t>1,224,490</w:t>
            </w:r>
          </w:p>
        </w:tc>
        <w:tc>
          <w:tcPr>
            <w:tcW w:w="347" w:type="pct"/>
            <w:shd w:val="clear" w:color="auto" w:fill="F2F2F2"/>
            <w:hideMark/>
          </w:tcPr>
          <w:p w14:paraId="071A2C1E" w14:textId="77777777" w:rsidR="00395D01" w:rsidRPr="00912996" w:rsidRDefault="00395D01" w:rsidP="0029239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21B4169"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PNRR C2, Bugetul local,  Alte surse de finanțare</w:t>
            </w:r>
          </w:p>
        </w:tc>
        <w:tc>
          <w:tcPr>
            <w:tcW w:w="433" w:type="pct"/>
            <w:shd w:val="clear" w:color="auto" w:fill="F2F2F2"/>
            <w:hideMark/>
          </w:tcPr>
          <w:p w14:paraId="3AA909B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1E5E67B"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 locuitori</w:t>
            </w:r>
          </w:p>
        </w:tc>
      </w:tr>
      <w:tr w:rsidR="00E16711" w:rsidRPr="00912996" w14:paraId="780D9D23" w14:textId="77777777" w:rsidTr="00E16711">
        <w:trPr>
          <w:trHeight w:val="1056"/>
        </w:trPr>
        <w:tc>
          <w:tcPr>
            <w:tcW w:w="205" w:type="pct"/>
            <w:shd w:val="clear" w:color="auto" w:fill="F2F2F2"/>
            <w:noWrap/>
            <w:hideMark/>
          </w:tcPr>
          <w:p w14:paraId="67C37ACC" w14:textId="77777777" w:rsidR="00395D01" w:rsidRPr="00912996" w:rsidRDefault="00395D01" w:rsidP="00292396">
            <w:pPr>
              <w:rPr>
                <w:rFonts w:ascii="Calibri" w:hAnsi="Calibri"/>
                <w:bCs/>
                <w:lang w:eastAsia="ja-JP"/>
              </w:rPr>
            </w:pPr>
            <w:r w:rsidRPr="00912996">
              <w:rPr>
                <w:rFonts w:ascii="Calibri" w:hAnsi="Calibri"/>
                <w:bCs/>
                <w:lang w:eastAsia="ja-JP"/>
              </w:rPr>
              <w:t>17</w:t>
            </w:r>
          </w:p>
        </w:tc>
        <w:tc>
          <w:tcPr>
            <w:tcW w:w="1018" w:type="pct"/>
            <w:gridSpan w:val="2"/>
            <w:shd w:val="clear" w:color="auto" w:fill="F2F2F2"/>
            <w:hideMark/>
          </w:tcPr>
          <w:p w14:paraId="514ADD1E" w14:textId="77777777" w:rsidR="00395D01" w:rsidRPr="00912996" w:rsidRDefault="00395D01" w:rsidP="00292396">
            <w:pPr>
              <w:rPr>
                <w:rFonts w:ascii="Calibri" w:hAnsi="Calibri"/>
                <w:bCs/>
                <w:lang w:eastAsia="ja-JP"/>
              </w:rPr>
            </w:pPr>
            <w:r w:rsidRPr="00912996">
              <w:rPr>
                <w:rFonts w:ascii="Calibri" w:hAnsi="Calibri"/>
                <w:bCs/>
                <w:lang w:eastAsia="ja-JP"/>
              </w:rPr>
              <w:t xml:space="preserve">Implementare sisteme de supraveghere video a spațiilor verzi (alveole, scuaruri, mini parcuri) </w:t>
            </w:r>
            <w:r>
              <w:rPr>
                <w:rFonts w:ascii="Calibri" w:hAnsi="Calibri"/>
                <w:bCs/>
                <w:lang w:eastAsia="ja-JP"/>
              </w:rPr>
              <w:t>ș</w:t>
            </w:r>
            <w:r w:rsidRPr="00912996">
              <w:rPr>
                <w:rFonts w:ascii="Calibri" w:hAnsi="Calibri"/>
                <w:bCs/>
                <w:lang w:eastAsia="ja-JP"/>
              </w:rPr>
              <w:t>i conectarea cu banca de date urbane</w:t>
            </w:r>
          </w:p>
        </w:tc>
        <w:tc>
          <w:tcPr>
            <w:tcW w:w="640" w:type="pct"/>
            <w:shd w:val="clear" w:color="auto" w:fill="F2F2F2"/>
            <w:hideMark/>
          </w:tcPr>
          <w:p w14:paraId="4011AF26"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1792A3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0541DB3"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411" w:type="pct"/>
            <w:shd w:val="clear" w:color="auto" w:fill="F2F2F2"/>
            <w:hideMark/>
          </w:tcPr>
          <w:p w14:paraId="56042096" w14:textId="77777777" w:rsidR="00395D01" w:rsidRPr="00912996" w:rsidRDefault="00395D01" w:rsidP="00292396">
            <w:pPr>
              <w:rPr>
                <w:rFonts w:ascii="Calibri" w:hAnsi="Calibri"/>
                <w:bCs/>
                <w:lang w:eastAsia="ja-JP"/>
              </w:rPr>
            </w:pPr>
            <w:r w:rsidRPr="00912996">
              <w:rPr>
                <w:rFonts w:ascii="Calibri" w:hAnsi="Calibri"/>
                <w:bCs/>
                <w:lang w:eastAsia="ja-JP"/>
              </w:rPr>
              <w:t>612,245</w:t>
            </w:r>
          </w:p>
        </w:tc>
        <w:tc>
          <w:tcPr>
            <w:tcW w:w="347" w:type="pct"/>
            <w:shd w:val="clear" w:color="auto" w:fill="F2F2F2"/>
            <w:hideMark/>
          </w:tcPr>
          <w:p w14:paraId="7763078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D258158"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PNRR C2, Bugetul local,  Alte surse de finanțare</w:t>
            </w:r>
          </w:p>
        </w:tc>
        <w:tc>
          <w:tcPr>
            <w:tcW w:w="433" w:type="pct"/>
            <w:shd w:val="clear" w:color="auto" w:fill="F2F2F2"/>
            <w:hideMark/>
          </w:tcPr>
          <w:p w14:paraId="12DFCDA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EE09053"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E16711" w:rsidRPr="00912996" w14:paraId="0535E677" w14:textId="77777777" w:rsidTr="00E16711">
        <w:trPr>
          <w:trHeight w:val="1584"/>
        </w:trPr>
        <w:tc>
          <w:tcPr>
            <w:tcW w:w="205" w:type="pct"/>
            <w:shd w:val="clear" w:color="auto" w:fill="F2F2F2"/>
            <w:noWrap/>
            <w:hideMark/>
          </w:tcPr>
          <w:p w14:paraId="3D523184" w14:textId="77777777" w:rsidR="00395D01" w:rsidRPr="00912996" w:rsidRDefault="00395D01" w:rsidP="00292396">
            <w:pPr>
              <w:rPr>
                <w:rFonts w:ascii="Calibri" w:hAnsi="Calibri"/>
                <w:bCs/>
                <w:lang w:eastAsia="ja-JP"/>
              </w:rPr>
            </w:pPr>
            <w:r w:rsidRPr="00912996">
              <w:rPr>
                <w:rFonts w:ascii="Calibri" w:hAnsi="Calibri"/>
                <w:bCs/>
                <w:lang w:eastAsia="ja-JP"/>
              </w:rPr>
              <w:t>18</w:t>
            </w:r>
          </w:p>
        </w:tc>
        <w:tc>
          <w:tcPr>
            <w:tcW w:w="1018" w:type="pct"/>
            <w:gridSpan w:val="2"/>
            <w:shd w:val="clear" w:color="auto" w:fill="F2F2F2"/>
            <w:hideMark/>
          </w:tcPr>
          <w:p w14:paraId="15425AB7" w14:textId="77777777" w:rsidR="00395D01" w:rsidRPr="00912996" w:rsidRDefault="00395D01" w:rsidP="00292396">
            <w:pPr>
              <w:rPr>
                <w:rFonts w:ascii="Calibri" w:hAnsi="Calibri"/>
                <w:bCs/>
                <w:lang w:eastAsia="ja-JP"/>
              </w:rPr>
            </w:pPr>
            <w:r w:rsidRPr="00912996">
              <w:rPr>
                <w:rFonts w:ascii="Calibri" w:hAnsi="Calibri"/>
                <w:bCs/>
                <w:lang w:eastAsia="ja-JP"/>
              </w:rPr>
              <w:t>Modernizarea mobilierului urban din spațiul public: creșterea numărului de coșuri de gunoi de pe străzi și din spațiile verzi și a numărului de bănci din spațiile verzi</w:t>
            </w:r>
            <w:r w:rsidRPr="00912996">
              <w:rPr>
                <w:rFonts w:ascii="Calibri" w:hAnsi="Calibri"/>
                <w:bCs/>
                <w:i/>
                <w:iCs/>
                <w:lang w:eastAsia="ja-JP"/>
              </w:rPr>
              <w:t xml:space="preserve"> (Prin SIDU Municipiul București se propune proiect achiziție cu montaj mobilier urban)</w:t>
            </w:r>
          </w:p>
        </w:tc>
        <w:tc>
          <w:tcPr>
            <w:tcW w:w="640" w:type="pct"/>
            <w:shd w:val="clear" w:color="auto" w:fill="F2F2F2"/>
            <w:hideMark/>
          </w:tcPr>
          <w:p w14:paraId="2D9ED614" w14:textId="77777777" w:rsidR="00395D01" w:rsidRPr="00912996" w:rsidRDefault="00395D01" w:rsidP="00292396">
            <w:pPr>
              <w:rPr>
                <w:rFonts w:ascii="Calibri" w:hAnsi="Calibri"/>
                <w:bCs/>
                <w:lang w:eastAsia="ja-JP"/>
              </w:rPr>
            </w:pPr>
            <w:r w:rsidRPr="00912996">
              <w:rPr>
                <w:rFonts w:ascii="Calibri" w:hAnsi="Calibri"/>
                <w:bCs/>
                <w:lang w:eastAsia="ja-JP"/>
              </w:rPr>
              <w:t>PS2,  A.D.P. Sector 2</w:t>
            </w:r>
          </w:p>
        </w:tc>
        <w:tc>
          <w:tcPr>
            <w:tcW w:w="507" w:type="pct"/>
            <w:shd w:val="clear" w:color="auto" w:fill="F2F2F2"/>
            <w:hideMark/>
          </w:tcPr>
          <w:p w14:paraId="41878E90" w14:textId="77777777" w:rsidR="00395D01" w:rsidRPr="00912996" w:rsidRDefault="00395D01" w:rsidP="00292396">
            <w:pPr>
              <w:rPr>
                <w:rFonts w:ascii="Calibri" w:hAnsi="Calibri"/>
                <w:bCs/>
                <w:lang w:eastAsia="ja-JP"/>
              </w:rPr>
            </w:pPr>
            <w:r>
              <w:rPr>
                <w:rFonts w:ascii="Calibri" w:hAnsi="Calibri"/>
                <w:bCs/>
                <w:lang w:eastAsia="ja-JP"/>
              </w:rPr>
              <w:t>În implementare</w:t>
            </w:r>
          </w:p>
        </w:tc>
        <w:tc>
          <w:tcPr>
            <w:tcW w:w="473" w:type="pct"/>
            <w:shd w:val="clear" w:color="auto" w:fill="F2F2F2"/>
            <w:hideMark/>
          </w:tcPr>
          <w:p w14:paraId="0875073A"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0CA2F88A"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63259003"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3312A0A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3, Bugetul local,  Alte surse de finanțare</w:t>
            </w:r>
          </w:p>
        </w:tc>
        <w:tc>
          <w:tcPr>
            <w:tcW w:w="433" w:type="pct"/>
            <w:shd w:val="clear" w:color="auto" w:fill="F2F2F2"/>
            <w:hideMark/>
          </w:tcPr>
          <w:p w14:paraId="6CAAE1A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2A02845"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 SIDU MB</w:t>
            </w:r>
          </w:p>
        </w:tc>
      </w:tr>
      <w:tr w:rsidR="00E16711" w:rsidRPr="00912996" w14:paraId="0F03F79D" w14:textId="77777777" w:rsidTr="00E16711">
        <w:trPr>
          <w:trHeight w:val="1320"/>
        </w:trPr>
        <w:tc>
          <w:tcPr>
            <w:tcW w:w="205" w:type="pct"/>
            <w:shd w:val="clear" w:color="auto" w:fill="F2F2F2"/>
            <w:noWrap/>
            <w:hideMark/>
          </w:tcPr>
          <w:p w14:paraId="7FD71F65" w14:textId="77777777" w:rsidR="00395D01" w:rsidRPr="00912996" w:rsidRDefault="00395D01" w:rsidP="00292396">
            <w:pPr>
              <w:rPr>
                <w:rFonts w:ascii="Calibri" w:hAnsi="Calibri"/>
                <w:bCs/>
                <w:lang w:eastAsia="ja-JP"/>
              </w:rPr>
            </w:pPr>
            <w:r w:rsidRPr="00912996">
              <w:rPr>
                <w:rFonts w:ascii="Calibri" w:hAnsi="Calibri"/>
                <w:bCs/>
                <w:lang w:eastAsia="ja-JP"/>
              </w:rPr>
              <w:t>19</w:t>
            </w:r>
          </w:p>
        </w:tc>
        <w:tc>
          <w:tcPr>
            <w:tcW w:w="1018" w:type="pct"/>
            <w:gridSpan w:val="2"/>
            <w:shd w:val="clear" w:color="auto" w:fill="F2F2F2"/>
            <w:hideMark/>
          </w:tcPr>
          <w:p w14:paraId="7ADC606C" w14:textId="77777777" w:rsidR="00395D01" w:rsidRPr="00912996" w:rsidRDefault="00395D01" w:rsidP="00292396">
            <w:pPr>
              <w:rPr>
                <w:rFonts w:ascii="Calibri" w:hAnsi="Calibri"/>
                <w:bCs/>
                <w:lang w:eastAsia="ja-JP"/>
              </w:rPr>
            </w:pPr>
            <w:r w:rsidRPr="00912996">
              <w:rPr>
                <w:rFonts w:ascii="Calibri" w:hAnsi="Calibri"/>
                <w:bCs/>
                <w:lang w:eastAsia="ja-JP"/>
              </w:rPr>
              <w:t>Concursuri internaționale de soluții pentru amenajarea/reamenajarea unor spații abandonate/spații publice din zona centrală în spații verzi/scuaruri urbane. Proiect pilot: 10 spații verzi/scuaruri</w:t>
            </w:r>
          </w:p>
        </w:tc>
        <w:tc>
          <w:tcPr>
            <w:tcW w:w="640" w:type="pct"/>
            <w:shd w:val="clear" w:color="auto" w:fill="F2F2F2"/>
            <w:hideMark/>
          </w:tcPr>
          <w:p w14:paraId="736BFD73"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0E72C7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FA1F600" w14:textId="77777777" w:rsidR="00395D01" w:rsidRPr="00912996" w:rsidRDefault="00395D01" w:rsidP="00292396">
            <w:pPr>
              <w:rPr>
                <w:rFonts w:ascii="Calibri" w:hAnsi="Calibri"/>
                <w:bCs/>
                <w:lang w:eastAsia="ja-JP"/>
              </w:rPr>
            </w:pPr>
            <w:r w:rsidRPr="00912996">
              <w:rPr>
                <w:rFonts w:ascii="Calibri" w:hAnsi="Calibri"/>
                <w:bCs/>
                <w:lang w:eastAsia="ja-JP"/>
              </w:rPr>
              <w:t>15,000,000</w:t>
            </w:r>
          </w:p>
        </w:tc>
        <w:tc>
          <w:tcPr>
            <w:tcW w:w="411" w:type="pct"/>
            <w:shd w:val="clear" w:color="auto" w:fill="F2F2F2"/>
            <w:hideMark/>
          </w:tcPr>
          <w:p w14:paraId="536721E2" w14:textId="77777777" w:rsidR="00395D01" w:rsidRPr="00912996" w:rsidRDefault="00395D01" w:rsidP="00292396">
            <w:pPr>
              <w:rPr>
                <w:rFonts w:ascii="Calibri" w:hAnsi="Calibri"/>
                <w:bCs/>
                <w:lang w:eastAsia="ja-JP"/>
              </w:rPr>
            </w:pPr>
            <w:r w:rsidRPr="00912996">
              <w:rPr>
                <w:rFonts w:ascii="Calibri" w:hAnsi="Calibri"/>
                <w:bCs/>
                <w:lang w:eastAsia="ja-JP"/>
              </w:rPr>
              <w:t>3,061,224</w:t>
            </w:r>
          </w:p>
        </w:tc>
        <w:tc>
          <w:tcPr>
            <w:tcW w:w="347" w:type="pct"/>
            <w:shd w:val="clear" w:color="auto" w:fill="F2F2F2"/>
            <w:hideMark/>
          </w:tcPr>
          <w:p w14:paraId="368BCAA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2BEAEDB8"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6EAE7F6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759E71C"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 - consultarea locuitorilor,</w:t>
            </w:r>
          </w:p>
        </w:tc>
      </w:tr>
      <w:tr w:rsidR="00E16711" w:rsidRPr="00912996" w14:paraId="0FF51A53" w14:textId="77777777" w:rsidTr="00E16711">
        <w:trPr>
          <w:trHeight w:val="792"/>
        </w:trPr>
        <w:tc>
          <w:tcPr>
            <w:tcW w:w="205" w:type="pct"/>
            <w:shd w:val="clear" w:color="auto" w:fill="F2F2F2"/>
            <w:noWrap/>
            <w:hideMark/>
          </w:tcPr>
          <w:p w14:paraId="263EFEBB" w14:textId="77777777" w:rsidR="00395D01" w:rsidRPr="00912996" w:rsidRDefault="00395D01" w:rsidP="00292396">
            <w:pPr>
              <w:rPr>
                <w:rFonts w:ascii="Calibri" w:hAnsi="Calibri"/>
                <w:bCs/>
                <w:lang w:eastAsia="ja-JP"/>
              </w:rPr>
            </w:pPr>
            <w:r w:rsidRPr="00912996">
              <w:rPr>
                <w:rFonts w:ascii="Calibri" w:hAnsi="Calibri"/>
                <w:bCs/>
                <w:lang w:eastAsia="ja-JP"/>
              </w:rPr>
              <w:t>20</w:t>
            </w:r>
          </w:p>
        </w:tc>
        <w:tc>
          <w:tcPr>
            <w:tcW w:w="1018" w:type="pct"/>
            <w:gridSpan w:val="2"/>
            <w:shd w:val="clear" w:color="auto" w:fill="F2F2F2"/>
            <w:hideMark/>
          </w:tcPr>
          <w:p w14:paraId="59BF045A" w14:textId="77777777" w:rsidR="00395D01" w:rsidRPr="00912996" w:rsidRDefault="00395D01" w:rsidP="00292396">
            <w:pPr>
              <w:rPr>
                <w:rFonts w:ascii="Calibri" w:hAnsi="Calibri"/>
                <w:bCs/>
                <w:lang w:eastAsia="ja-JP"/>
              </w:rPr>
            </w:pPr>
            <w:r w:rsidRPr="00912996">
              <w:rPr>
                <w:rFonts w:ascii="Calibri" w:hAnsi="Calibri"/>
                <w:bCs/>
                <w:lang w:eastAsia="ja-JP"/>
              </w:rPr>
              <w:t>Identificarea a 5 terenuri libere care să fie achiziționate de către primărie și transformate în mici spații verzi de tip scuar</w:t>
            </w:r>
          </w:p>
        </w:tc>
        <w:tc>
          <w:tcPr>
            <w:tcW w:w="640" w:type="pct"/>
            <w:shd w:val="clear" w:color="auto" w:fill="F2F2F2"/>
            <w:hideMark/>
          </w:tcPr>
          <w:p w14:paraId="1016E849"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9D9E81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7A9EE09" w14:textId="77777777" w:rsidR="00395D01" w:rsidRPr="00912996" w:rsidRDefault="00395D01" w:rsidP="00292396">
            <w:pPr>
              <w:rPr>
                <w:rFonts w:ascii="Calibri" w:hAnsi="Calibri"/>
                <w:bCs/>
                <w:lang w:eastAsia="ja-JP"/>
              </w:rPr>
            </w:pPr>
            <w:r w:rsidRPr="00912996">
              <w:rPr>
                <w:rFonts w:ascii="Calibri" w:hAnsi="Calibri"/>
                <w:bCs/>
                <w:lang w:eastAsia="ja-JP"/>
              </w:rPr>
              <w:t>10,000,000</w:t>
            </w:r>
          </w:p>
        </w:tc>
        <w:tc>
          <w:tcPr>
            <w:tcW w:w="411" w:type="pct"/>
            <w:shd w:val="clear" w:color="auto" w:fill="F2F2F2"/>
            <w:hideMark/>
          </w:tcPr>
          <w:p w14:paraId="6D1D98C6" w14:textId="77777777" w:rsidR="00395D01" w:rsidRPr="00912996" w:rsidRDefault="00395D01" w:rsidP="00292396">
            <w:pPr>
              <w:rPr>
                <w:rFonts w:ascii="Calibri" w:hAnsi="Calibri"/>
                <w:bCs/>
                <w:lang w:eastAsia="ja-JP"/>
              </w:rPr>
            </w:pPr>
            <w:r w:rsidRPr="00912996">
              <w:rPr>
                <w:rFonts w:ascii="Calibri" w:hAnsi="Calibri"/>
                <w:bCs/>
                <w:lang w:eastAsia="ja-JP"/>
              </w:rPr>
              <w:t>2,040,816</w:t>
            </w:r>
          </w:p>
        </w:tc>
        <w:tc>
          <w:tcPr>
            <w:tcW w:w="347" w:type="pct"/>
            <w:shd w:val="clear" w:color="auto" w:fill="F2F2F2"/>
            <w:hideMark/>
          </w:tcPr>
          <w:p w14:paraId="237AC50A"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7E5D3B2"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6F71CF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11E3C1E"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1A737292" w14:textId="77777777" w:rsidTr="00E16711">
        <w:trPr>
          <w:trHeight w:val="1320"/>
        </w:trPr>
        <w:tc>
          <w:tcPr>
            <w:tcW w:w="205" w:type="pct"/>
            <w:shd w:val="clear" w:color="auto" w:fill="F2F2F2"/>
            <w:noWrap/>
            <w:hideMark/>
          </w:tcPr>
          <w:p w14:paraId="48FFAA4F" w14:textId="77777777" w:rsidR="00395D01" w:rsidRPr="00912996" w:rsidRDefault="00395D01" w:rsidP="00292396">
            <w:pPr>
              <w:rPr>
                <w:rFonts w:ascii="Calibri" w:hAnsi="Calibri"/>
                <w:bCs/>
                <w:lang w:eastAsia="ja-JP"/>
              </w:rPr>
            </w:pPr>
            <w:r w:rsidRPr="00912996">
              <w:rPr>
                <w:rFonts w:ascii="Calibri" w:hAnsi="Calibri"/>
                <w:bCs/>
                <w:lang w:eastAsia="ja-JP"/>
              </w:rPr>
              <w:t>21</w:t>
            </w:r>
          </w:p>
        </w:tc>
        <w:tc>
          <w:tcPr>
            <w:tcW w:w="1018" w:type="pct"/>
            <w:gridSpan w:val="2"/>
            <w:shd w:val="clear" w:color="auto" w:fill="F2F2F2"/>
            <w:hideMark/>
          </w:tcPr>
          <w:p w14:paraId="13356F78" w14:textId="77777777" w:rsidR="00395D01" w:rsidRPr="00912996" w:rsidRDefault="00395D01" w:rsidP="00292396">
            <w:pPr>
              <w:rPr>
                <w:rFonts w:ascii="Calibri" w:hAnsi="Calibri"/>
                <w:bCs/>
                <w:lang w:eastAsia="ja-JP"/>
              </w:rPr>
            </w:pPr>
            <w:r w:rsidRPr="00912996">
              <w:rPr>
                <w:rFonts w:ascii="Calibri" w:hAnsi="Calibri"/>
                <w:bCs/>
                <w:lang w:eastAsia="ja-JP"/>
              </w:rPr>
              <w:t xml:space="preserve">Transformarea unor străzi din zona centrală în străzi ocazional carosabile - Proiect de pietonalizare temporară strada J. L. Calderon (în weekend) </w:t>
            </w:r>
            <w:r>
              <w:rPr>
                <w:rFonts w:ascii="Calibri" w:hAnsi="Calibri"/>
                <w:bCs/>
                <w:lang w:eastAsia="ja-JP"/>
              </w:rPr>
              <w:t>ș</w:t>
            </w:r>
            <w:r w:rsidRPr="00912996">
              <w:rPr>
                <w:rFonts w:ascii="Calibri" w:hAnsi="Calibri"/>
                <w:bCs/>
                <w:lang w:eastAsia="ja-JP"/>
              </w:rPr>
              <w:t>i desfășurarea de evenimente culturale</w:t>
            </w:r>
          </w:p>
        </w:tc>
        <w:tc>
          <w:tcPr>
            <w:tcW w:w="640" w:type="pct"/>
            <w:shd w:val="clear" w:color="auto" w:fill="F2F2F2"/>
            <w:hideMark/>
          </w:tcPr>
          <w:p w14:paraId="04020F1C" w14:textId="77777777" w:rsidR="00395D01" w:rsidRPr="00912996" w:rsidRDefault="00395D01" w:rsidP="00292396">
            <w:pPr>
              <w:rPr>
                <w:rFonts w:ascii="Calibri" w:hAnsi="Calibri"/>
                <w:bCs/>
                <w:lang w:eastAsia="ja-JP"/>
              </w:rPr>
            </w:pPr>
            <w:r w:rsidRPr="00912996">
              <w:rPr>
                <w:rFonts w:ascii="Calibri" w:hAnsi="Calibri"/>
                <w:bCs/>
                <w:lang w:eastAsia="ja-JP"/>
              </w:rPr>
              <w:t>PS2, ONG-uri</w:t>
            </w:r>
          </w:p>
        </w:tc>
        <w:tc>
          <w:tcPr>
            <w:tcW w:w="507" w:type="pct"/>
            <w:shd w:val="clear" w:color="auto" w:fill="F2F2F2"/>
            <w:hideMark/>
          </w:tcPr>
          <w:p w14:paraId="5E0A67B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0396FFB" w14:textId="77777777" w:rsidR="00395D01" w:rsidRPr="00912996" w:rsidRDefault="00395D01" w:rsidP="00292396">
            <w:pPr>
              <w:rPr>
                <w:rFonts w:ascii="Calibri" w:hAnsi="Calibri"/>
                <w:bCs/>
                <w:lang w:eastAsia="ja-JP"/>
              </w:rPr>
            </w:pPr>
            <w:r w:rsidRPr="00912996">
              <w:rPr>
                <w:rFonts w:ascii="Calibri" w:hAnsi="Calibri"/>
                <w:bCs/>
                <w:lang w:eastAsia="ja-JP"/>
              </w:rPr>
              <w:t>600,000</w:t>
            </w:r>
          </w:p>
        </w:tc>
        <w:tc>
          <w:tcPr>
            <w:tcW w:w="411" w:type="pct"/>
            <w:shd w:val="clear" w:color="auto" w:fill="F2F2F2"/>
            <w:hideMark/>
          </w:tcPr>
          <w:p w14:paraId="4689D93C" w14:textId="77777777" w:rsidR="00395D01" w:rsidRPr="00912996" w:rsidRDefault="00395D01" w:rsidP="00292396">
            <w:pPr>
              <w:rPr>
                <w:rFonts w:ascii="Calibri" w:hAnsi="Calibri"/>
                <w:bCs/>
                <w:lang w:eastAsia="ja-JP"/>
              </w:rPr>
            </w:pPr>
            <w:r w:rsidRPr="00912996">
              <w:rPr>
                <w:rFonts w:ascii="Calibri" w:hAnsi="Calibri"/>
                <w:bCs/>
                <w:lang w:eastAsia="ja-JP"/>
              </w:rPr>
              <w:t>122,449</w:t>
            </w:r>
          </w:p>
        </w:tc>
        <w:tc>
          <w:tcPr>
            <w:tcW w:w="347" w:type="pct"/>
            <w:shd w:val="clear" w:color="auto" w:fill="F2F2F2"/>
            <w:hideMark/>
          </w:tcPr>
          <w:p w14:paraId="315F9F99"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C7A9164" w14:textId="77777777" w:rsidR="00395D01" w:rsidRPr="00912996" w:rsidRDefault="00395D01" w:rsidP="00292396">
            <w:pPr>
              <w:rPr>
                <w:rFonts w:ascii="Calibri" w:hAnsi="Calibri"/>
                <w:bCs/>
                <w:lang w:eastAsia="ja-JP"/>
              </w:rPr>
            </w:pPr>
            <w:r w:rsidRPr="00912996">
              <w:rPr>
                <w:rFonts w:ascii="Calibri" w:hAnsi="Calibri"/>
                <w:bCs/>
                <w:lang w:eastAsia="ja-JP"/>
              </w:rPr>
              <w:t>POR BI 2021-2027 P 5, Bugetul local,  Alte surse de finanțare</w:t>
            </w:r>
          </w:p>
        </w:tc>
        <w:tc>
          <w:tcPr>
            <w:tcW w:w="433" w:type="pct"/>
            <w:shd w:val="clear" w:color="auto" w:fill="F2F2F2"/>
            <w:hideMark/>
          </w:tcPr>
          <w:p w14:paraId="452876E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C656F81"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4D050447" w14:textId="77777777" w:rsidTr="00E16711">
        <w:trPr>
          <w:trHeight w:val="1056"/>
        </w:trPr>
        <w:tc>
          <w:tcPr>
            <w:tcW w:w="205" w:type="pct"/>
            <w:shd w:val="clear" w:color="auto" w:fill="F2F2F2"/>
            <w:noWrap/>
            <w:hideMark/>
          </w:tcPr>
          <w:p w14:paraId="59FF022F" w14:textId="77777777" w:rsidR="00395D01" w:rsidRPr="00912996" w:rsidRDefault="00395D01" w:rsidP="00292396">
            <w:pPr>
              <w:rPr>
                <w:rFonts w:ascii="Calibri" w:hAnsi="Calibri"/>
                <w:bCs/>
                <w:lang w:eastAsia="ja-JP"/>
              </w:rPr>
            </w:pPr>
            <w:r w:rsidRPr="00912996">
              <w:rPr>
                <w:rFonts w:ascii="Calibri" w:hAnsi="Calibri"/>
                <w:bCs/>
                <w:lang w:eastAsia="ja-JP"/>
              </w:rPr>
              <w:t>22</w:t>
            </w:r>
          </w:p>
        </w:tc>
        <w:tc>
          <w:tcPr>
            <w:tcW w:w="1018" w:type="pct"/>
            <w:gridSpan w:val="2"/>
            <w:shd w:val="clear" w:color="auto" w:fill="F2F2F2"/>
            <w:hideMark/>
          </w:tcPr>
          <w:p w14:paraId="2703B94A" w14:textId="77777777" w:rsidR="00395D01" w:rsidRPr="00912996" w:rsidRDefault="00395D01" w:rsidP="00292396">
            <w:pPr>
              <w:rPr>
                <w:rFonts w:ascii="Calibri" w:hAnsi="Calibri"/>
                <w:bCs/>
                <w:lang w:eastAsia="ja-JP"/>
              </w:rPr>
            </w:pPr>
            <w:r w:rsidRPr="00912996">
              <w:rPr>
                <w:rFonts w:ascii="Calibri" w:hAnsi="Calibri"/>
                <w:bCs/>
                <w:lang w:eastAsia="ja-JP"/>
              </w:rPr>
              <w:t xml:space="preserve">Achiziție cu montaj foișoare de lemn </w:t>
            </w:r>
            <w:r w:rsidRPr="00912996">
              <w:rPr>
                <w:rFonts w:ascii="Calibri" w:hAnsi="Calibri"/>
                <w:bCs/>
                <w:i/>
                <w:iCs/>
                <w:lang w:eastAsia="ja-JP"/>
              </w:rPr>
              <w:t>(Propunere Actualizare SDLID: amplasarea de foișoare de lemn în cadrul spațiilor verzi de interes local)</w:t>
            </w:r>
          </w:p>
        </w:tc>
        <w:tc>
          <w:tcPr>
            <w:tcW w:w="640" w:type="pct"/>
            <w:shd w:val="clear" w:color="auto" w:fill="F2F2F2"/>
            <w:hideMark/>
          </w:tcPr>
          <w:p w14:paraId="54E81B28" w14:textId="77777777" w:rsidR="00395D01" w:rsidRPr="00912996" w:rsidRDefault="00395D01" w:rsidP="00292396">
            <w:pPr>
              <w:rPr>
                <w:rFonts w:ascii="Calibri" w:hAnsi="Calibri"/>
                <w:bCs/>
                <w:lang w:eastAsia="ja-JP"/>
              </w:rPr>
            </w:pPr>
            <w:r w:rsidRPr="00EF7958">
              <w:rPr>
                <w:rFonts w:ascii="Calibri" w:hAnsi="Calibri"/>
                <w:bCs/>
                <w:lang w:eastAsia="ja-JP"/>
              </w:rPr>
              <w:t>PS2</w:t>
            </w:r>
            <w:r w:rsidRPr="00912996">
              <w:rPr>
                <w:rFonts w:ascii="Calibri" w:hAnsi="Calibri"/>
                <w:bCs/>
                <w:lang w:eastAsia="ja-JP"/>
              </w:rPr>
              <w:t>, A.D.P. Sector 2</w:t>
            </w:r>
          </w:p>
        </w:tc>
        <w:tc>
          <w:tcPr>
            <w:tcW w:w="507" w:type="pct"/>
            <w:shd w:val="clear" w:color="auto" w:fill="F2F2F2"/>
            <w:hideMark/>
          </w:tcPr>
          <w:p w14:paraId="6766AE1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9326D8B" w14:textId="77777777" w:rsidR="00395D01" w:rsidRPr="00912996" w:rsidRDefault="00395D01" w:rsidP="00292396">
            <w:pPr>
              <w:rPr>
                <w:rFonts w:ascii="Calibri" w:hAnsi="Calibri"/>
                <w:bCs/>
                <w:lang w:eastAsia="ja-JP"/>
              </w:rPr>
            </w:pPr>
            <w:r w:rsidRPr="00912996">
              <w:rPr>
                <w:rFonts w:ascii="Calibri" w:hAnsi="Calibri"/>
                <w:bCs/>
                <w:lang w:eastAsia="ja-JP"/>
              </w:rPr>
              <w:t>1,446,985</w:t>
            </w:r>
          </w:p>
        </w:tc>
        <w:tc>
          <w:tcPr>
            <w:tcW w:w="411" w:type="pct"/>
            <w:shd w:val="clear" w:color="auto" w:fill="F2F2F2"/>
            <w:hideMark/>
          </w:tcPr>
          <w:p w14:paraId="4EA1539F" w14:textId="77777777" w:rsidR="00395D01" w:rsidRPr="00912996" w:rsidRDefault="00395D01" w:rsidP="00292396">
            <w:pPr>
              <w:rPr>
                <w:rFonts w:ascii="Calibri" w:hAnsi="Calibri"/>
                <w:bCs/>
                <w:lang w:eastAsia="ja-JP"/>
              </w:rPr>
            </w:pPr>
            <w:r w:rsidRPr="00912996">
              <w:rPr>
                <w:rFonts w:ascii="Calibri" w:hAnsi="Calibri"/>
                <w:bCs/>
                <w:lang w:eastAsia="ja-JP"/>
              </w:rPr>
              <w:t>295,303</w:t>
            </w:r>
          </w:p>
        </w:tc>
        <w:tc>
          <w:tcPr>
            <w:tcW w:w="347" w:type="pct"/>
            <w:shd w:val="clear" w:color="auto" w:fill="F2F2F2"/>
            <w:noWrap/>
            <w:hideMark/>
          </w:tcPr>
          <w:p w14:paraId="1E11EAB5"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hideMark/>
          </w:tcPr>
          <w:p w14:paraId="3065E378"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4FD4318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A7D1E6D" w14:textId="77777777" w:rsidR="00395D01" w:rsidRPr="00912996" w:rsidRDefault="00395D01" w:rsidP="00292396">
            <w:pPr>
              <w:rPr>
                <w:rFonts w:ascii="Calibri" w:hAnsi="Calibri"/>
                <w:bCs/>
                <w:lang w:eastAsia="ja-JP"/>
              </w:rPr>
            </w:pPr>
            <w:r w:rsidRPr="00912996">
              <w:rPr>
                <w:rFonts w:ascii="Calibri" w:hAnsi="Calibri"/>
                <w:bCs/>
                <w:lang w:eastAsia="ja-JP"/>
              </w:rPr>
              <w:t>SIDU MB, Propunere consultant</w:t>
            </w:r>
          </w:p>
        </w:tc>
      </w:tr>
      <w:tr w:rsidR="00E16711" w:rsidRPr="00912996" w14:paraId="26243EE3" w14:textId="77777777" w:rsidTr="00E16711">
        <w:trPr>
          <w:trHeight w:val="1320"/>
        </w:trPr>
        <w:tc>
          <w:tcPr>
            <w:tcW w:w="205" w:type="pct"/>
            <w:shd w:val="clear" w:color="auto" w:fill="F2F2F2"/>
            <w:noWrap/>
            <w:hideMark/>
          </w:tcPr>
          <w:p w14:paraId="5481F8F9" w14:textId="77777777" w:rsidR="00395D01" w:rsidRPr="00912996" w:rsidRDefault="00395D01" w:rsidP="00292396">
            <w:pPr>
              <w:rPr>
                <w:rFonts w:ascii="Calibri" w:hAnsi="Calibri"/>
                <w:bCs/>
                <w:lang w:eastAsia="ja-JP"/>
              </w:rPr>
            </w:pPr>
            <w:r w:rsidRPr="00912996">
              <w:rPr>
                <w:rFonts w:ascii="Calibri" w:hAnsi="Calibri"/>
                <w:bCs/>
                <w:lang w:eastAsia="ja-JP"/>
              </w:rPr>
              <w:t>23</w:t>
            </w:r>
          </w:p>
        </w:tc>
        <w:tc>
          <w:tcPr>
            <w:tcW w:w="1018" w:type="pct"/>
            <w:gridSpan w:val="2"/>
            <w:shd w:val="clear" w:color="auto" w:fill="F2F2F2"/>
            <w:hideMark/>
          </w:tcPr>
          <w:p w14:paraId="193958DA" w14:textId="77777777" w:rsidR="00395D01" w:rsidRPr="00912996" w:rsidRDefault="00395D01" w:rsidP="00292396">
            <w:pPr>
              <w:rPr>
                <w:rFonts w:ascii="Calibri" w:hAnsi="Calibri"/>
                <w:bCs/>
                <w:lang w:eastAsia="ja-JP"/>
              </w:rPr>
            </w:pPr>
            <w:r w:rsidRPr="00912996">
              <w:rPr>
                <w:rFonts w:ascii="Calibri" w:hAnsi="Calibri"/>
                <w:bCs/>
                <w:lang w:eastAsia="ja-JP"/>
              </w:rPr>
              <w:t xml:space="preserve">Achiziție cu montaj echipamente de joacă </w:t>
            </w:r>
            <w:r w:rsidRPr="00912996">
              <w:rPr>
                <w:rFonts w:ascii="Calibri" w:hAnsi="Calibri"/>
                <w:bCs/>
                <w:i/>
                <w:iCs/>
                <w:lang w:eastAsia="ja-JP"/>
              </w:rPr>
              <w:t>(Propunere Actualizare SDLID: modernizarea locurilor de joacă existente și amenajarea de noi locuri de joacă în cadrul spațiilor verzi de interes local)</w:t>
            </w:r>
          </w:p>
        </w:tc>
        <w:tc>
          <w:tcPr>
            <w:tcW w:w="640" w:type="pct"/>
            <w:shd w:val="clear" w:color="auto" w:fill="F2F2F2"/>
            <w:hideMark/>
          </w:tcPr>
          <w:p w14:paraId="4812685B" w14:textId="77777777" w:rsidR="00395D01" w:rsidRPr="00912996" w:rsidRDefault="00395D01" w:rsidP="00292396">
            <w:pPr>
              <w:rPr>
                <w:rFonts w:ascii="Calibri" w:hAnsi="Calibri"/>
                <w:bCs/>
                <w:lang w:eastAsia="ja-JP"/>
              </w:rPr>
            </w:pPr>
            <w:r w:rsidRPr="00EF7958">
              <w:rPr>
                <w:rFonts w:ascii="Calibri" w:hAnsi="Calibri"/>
                <w:bCs/>
                <w:lang w:eastAsia="ja-JP"/>
              </w:rPr>
              <w:t>PS2</w:t>
            </w:r>
            <w:r w:rsidRPr="00912996">
              <w:rPr>
                <w:rFonts w:ascii="Calibri" w:hAnsi="Calibri"/>
                <w:bCs/>
                <w:lang w:eastAsia="ja-JP"/>
              </w:rPr>
              <w:t>, A.D.P. Sector 2</w:t>
            </w:r>
          </w:p>
        </w:tc>
        <w:tc>
          <w:tcPr>
            <w:tcW w:w="507" w:type="pct"/>
            <w:shd w:val="clear" w:color="auto" w:fill="F2F2F2"/>
            <w:hideMark/>
          </w:tcPr>
          <w:p w14:paraId="053A37A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575341F" w14:textId="77777777" w:rsidR="00395D01" w:rsidRPr="00912996" w:rsidRDefault="00395D01" w:rsidP="00292396">
            <w:pPr>
              <w:rPr>
                <w:rFonts w:ascii="Calibri" w:hAnsi="Calibri"/>
                <w:bCs/>
                <w:lang w:eastAsia="ja-JP"/>
              </w:rPr>
            </w:pPr>
            <w:r w:rsidRPr="00912996">
              <w:rPr>
                <w:rFonts w:ascii="Calibri" w:hAnsi="Calibri"/>
                <w:bCs/>
                <w:lang w:eastAsia="ja-JP"/>
              </w:rPr>
              <w:t>11,369,152</w:t>
            </w:r>
          </w:p>
        </w:tc>
        <w:tc>
          <w:tcPr>
            <w:tcW w:w="411" w:type="pct"/>
            <w:shd w:val="clear" w:color="auto" w:fill="F2F2F2"/>
            <w:hideMark/>
          </w:tcPr>
          <w:p w14:paraId="1C5D3CD1" w14:textId="77777777" w:rsidR="00395D01" w:rsidRPr="00912996" w:rsidRDefault="00395D01" w:rsidP="00292396">
            <w:pPr>
              <w:rPr>
                <w:rFonts w:ascii="Calibri" w:hAnsi="Calibri"/>
                <w:bCs/>
                <w:lang w:eastAsia="ja-JP"/>
              </w:rPr>
            </w:pPr>
            <w:r w:rsidRPr="00912996">
              <w:rPr>
                <w:rFonts w:ascii="Calibri" w:hAnsi="Calibri"/>
                <w:bCs/>
                <w:lang w:eastAsia="ja-JP"/>
              </w:rPr>
              <w:t>2,320,235</w:t>
            </w:r>
          </w:p>
        </w:tc>
        <w:tc>
          <w:tcPr>
            <w:tcW w:w="347" w:type="pct"/>
            <w:shd w:val="clear" w:color="auto" w:fill="F2F2F2"/>
            <w:noWrap/>
            <w:hideMark/>
          </w:tcPr>
          <w:p w14:paraId="3FF2D034"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hideMark/>
          </w:tcPr>
          <w:p w14:paraId="612A3028"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A86637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0A3C75F" w14:textId="77777777" w:rsidR="00395D01" w:rsidRPr="00912996" w:rsidRDefault="00395D01" w:rsidP="00292396">
            <w:pPr>
              <w:rPr>
                <w:rFonts w:ascii="Calibri" w:hAnsi="Calibri"/>
                <w:bCs/>
                <w:lang w:eastAsia="ja-JP"/>
              </w:rPr>
            </w:pPr>
            <w:r w:rsidRPr="00912996">
              <w:rPr>
                <w:rFonts w:ascii="Calibri" w:hAnsi="Calibri"/>
                <w:bCs/>
                <w:lang w:eastAsia="ja-JP"/>
              </w:rPr>
              <w:t>SIDU MB, Propunere consultant</w:t>
            </w:r>
          </w:p>
        </w:tc>
      </w:tr>
      <w:tr w:rsidR="00E16711" w:rsidRPr="00072A26" w14:paraId="16F0C5C8" w14:textId="77777777" w:rsidTr="00C45CC1">
        <w:trPr>
          <w:trHeight w:val="714"/>
        </w:trPr>
        <w:tc>
          <w:tcPr>
            <w:tcW w:w="205" w:type="pct"/>
            <w:shd w:val="clear" w:color="auto" w:fill="F2F2F2"/>
            <w:noWrap/>
          </w:tcPr>
          <w:p w14:paraId="578D46DB" w14:textId="77777777" w:rsidR="00395D01" w:rsidRPr="00912996" w:rsidRDefault="00395D01" w:rsidP="00292396">
            <w:pPr>
              <w:rPr>
                <w:rFonts w:ascii="Calibri" w:hAnsi="Calibri"/>
                <w:bCs/>
                <w:lang w:eastAsia="ja-JP"/>
              </w:rPr>
            </w:pPr>
            <w:r>
              <w:rPr>
                <w:rFonts w:ascii="Calibri" w:hAnsi="Calibri"/>
                <w:bCs/>
                <w:lang w:eastAsia="ja-JP"/>
              </w:rPr>
              <w:t>24</w:t>
            </w:r>
          </w:p>
        </w:tc>
        <w:tc>
          <w:tcPr>
            <w:tcW w:w="1018" w:type="pct"/>
            <w:gridSpan w:val="2"/>
            <w:shd w:val="clear" w:color="auto" w:fill="F2F2F2"/>
          </w:tcPr>
          <w:p w14:paraId="61E43455" w14:textId="77777777" w:rsidR="00395D01" w:rsidRPr="00072A26" w:rsidRDefault="00395D01" w:rsidP="00292396">
            <w:pPr>
              <w:rPr>
                <w:rFonts w:ascii="Calibri" w:hAnsi="Calibri"/>
                <w:bCs/>
                <w:lang w:eastAsia="ja-JP"/>
              </w:rPr>
            </w:pPr>
            <w:r w:rsidRPr="00072A26">
              <w:rPr>
                <w:rFonts w:ascii="Calibri" w:hAnsi="Calibri"/>
                <w:bCs/>
                <w:lang w:eastAsia="ja-JP"/>
              </w:rPr>
              <w:t>Reamenajare, modernizare spațiu public cuprins între „Piața Spaniei - str. Dumbrava Roșie - Piața Cantacuzino - str. Jean Louis Calderon și Arthur Verona”</w:t>
            </w:r>
          </w:p>
          <w:p w14:paraId="0AB89146" w14:textId="77777777" w:rsidR="00395D01" w:rsidRPr="00072A26" w:rsidRDefault="00395D01" w:rsidP="00292396">
            <w:pPr>
              <w:rPr>
                <w:rFonts w:ascii="Calibri" w:hAnsi="Calibri"/>
                <w:bCs/>
                <w:lang w:eastAsia="ja-JP"/>
              </w:rPr>
            </w:pPr>
            <w:r w:rsidRPr="00072A26">
              <w:rPr>
                <w:rFonts w:ascii="Calibri" w:hAnsi="Calibri"/>
                <w:bCs/>
                <w:lang w:eastAsia="ja-JP"/>
              </w:rPr>
              <w:t>Reamenajare, modernizare spațiu public  aferent „Foișorul de Foc”</w:t>
            </w:r>
          </w:p>
          <w:p w14:paraId="65A9EF96" w14:textId="77777777" w:rsidR="00395D01" w:rsidRPr="00072A26" w:rsidRDefault="00395D01" w:rsidP="00292396">
            <w:pPr>
              <w:rPr>
                <w:rFonts w:ascii="Calibri" w:hAnsi="Calibri"/>
                <w:bCs/>
                <w:lang w:eastAsia="ja-JP"/>
              </w:rPr>
            </w:pPr>
            <w:r w:rsidRPr="00072A26">
              <w:rPr>
                <w:rFonts w:ascii="Calibri" w:hAnsi="Calibri"/>
                <w:bCs/>
                <w:lang w:eastAsia="ja-JP"/>
              </w:rPr>
              <w:t>Reamenajare, modernizare spațiu public „Piața Italiană (Piața M. R. Stefanik) și racord cu străzile adiacente”, Reamenajare, modernizare spațiu public ”Str. Sf.Ștefan, respectiv Piața Popa Soare (Piața G-ral N. Dabija) și Piața Sf. Ștefan”</w:t>
            </w:r>
          </w:p>
          <w:p w14:paraId="4359406F" w14:textId="77777777" w:rsidR="00395D01" w:rsidRPr="00072A26" w:rsidRDefault="00395D01" w:rsidP="00292396">
            <w:pPr>
              <w:rPr>
                <w:rFonts w:ascii="Calibri" w:hAnsi="Calibri"/>
                <w:bCs/>
                <w:lang w:eastAsia="ja-JP"/>
              </w:rPr>
            </w:pPr>
            <w:r w:rsidRPr="00072A26">
              <w:rPr>
                <w:rFonts w:ascii="Calibri" w:hAnsi="Calibri"/>
                <w:bCs/>
                <w:lang w:eastAsia="ja-JP"/>
              </w:rPr>
              <w:t>Reamenajare, modernizare spațiu public ”Str. Negustori, intersecția str. Negustori cu str. Mântuleasa şi str. Pictor Alexandro Romano, str. Plantelor pe sectorul cuprins între str. Mântuleasa şi str. Sf. Ștefan”</w:t>
            </w:r>
          </w:p>
          <w:p w14:paraId="5209AE3A" w14:textId="77777777" w:rsidR="00395D01" w:rsidRPr="00072A26" w:rsidRDefault="00395D01" w:rsidP="00292396">
            <w:pPr>
              <w:rPr>
                <w:rFonts w:ascii="Calibri" w:hAnsi="Calibri"/>
                <w:bCs/>
                <w:lang w:eastAsia="ja-JP"/>
              </w:rPr>
            </w:pPr>
            <w:r w:rsidRPr="00072A26">
              <w:rPr>
                <w:rFonts w:ascii="Calibri" w:hAnsi="Calibri"/>
                <w:bCs/>
                <w:lang w:eastAsia="ja-JP"/>
              </w:rPr>
              <w:t>(„Intersecţie Str. Salcâmilor cu Str. Toamnei")</w:t>
            </w:r>
          </w:p>
          <w:p w14:paraId="586DC0FC" w14:textId="77777777" w:rsidR="00395D01" w:rsidRPr="00912996" w:rsidRDefault="00395D01" w:rsidP="00292396">
            <w:pPr>
              <w:rPr>
                <w:rFonts w:ascii="Calibri" w:hAnsi="Calibri"/>
                <w:bCs/>
                <w:lang w:eastAsia="ja-JP"/>
              </w:rPr>
            </w:pPr>
            <w:r w:rsidRPr="00072A26">
              <w:rPr>
                <w:rFonts w:ascii="Calibri" w:hAnsi="Calibri"/>
                <w:bCs/>
                <w:lang w:eastAsia="ja-JP"/>
              </w:rPr>
              <w:t>(„Str. Logofăt Luca Stroici aferentă  Bisericii Popa Chiţu, Str. Maria Rosetti şi intersecţiile aferente între Str. Vasile Lascăr  şi Str. Toamnei")</w:t>
            </w:r>
          </w:p>
        </w:tc>
        <w:tc>
          <w:tcPr>
            <w:tcW w:w="640" w:type="pct"/>
            <w:shd w:val="clear" w:color="auto" w:fill="F2F2F2"/>
          </w:tcPr>
          <w:p w14:paraId="05915C31" w14:textId="77777777" w:rsidR="00395D01" w:rsidRPr="00912996" w:rsidRDefault="00395D01" w:rsidP="00292396">
            <w:pPr>
              <w:rPr>
                <w:rFonts w:ascii="Calibri" w:hAnsi="Calibri"/>
                <w:bCs/>
                <w:lang w:eastAsia="ja-JP"/>
              </w:rPr>
            </w:pPr>
            <w:r w:rsidRPr="00072A26">
              <w:rPr>
                <w:rFonts w:ascii="Calibri" w:hAnsi="Calibri"/>
                <w:bCs/>
                <w:lang w:eastAsia="ja-JP"/>
              </w:rPr>
              <w:t>PS2</w:t>
            </w:r>
          </w:p>
        </w:tc>
        <w:tc>
          <w:tcPr>
            <w:tcW w:w="507" w:type="pct"/>
            <w:shd w:val="clear" w:color="auto" w:fill="F2F2F2"/>
          </w:tcPr>
          <w:p w14:paraId="348A72B5" w14:textId="77777777" w:rsidR="00395D01" w:rsidRPr="00912996" w:rsidRDefault="00395D01" w:rsidP="00292396">
            <w:pPr>
              <w:rPr>
                <w:rFonts w:ascii="Calibri" w:hAnsi="Calibri"/>
                <w:bCs/>
                <w:lang w:eastAsia="ja-JP"/>
              </w:rPr>
            </w:pPr>
            <w:r>
              <w:rPr>
                <w:rFonts w:ascii="Calibri" w:hAnsi="Calibri"/>
                <w:bCs/>
                <w:lang w:eastAsia="ja-JP"/>
              </w:rPr>
              <w:t>Î</w:t>
            </w:r>
            <w:r w:rsidRPr="00072A26">
              <w:rPr>
                <w:rFonts w:ascii="Calibri" w:hAnsi="Calibri"/>
                <w:bCs/>
                <w:lang w:eastAsia="ja-JP"/>
              </w:rPr>
              <w:t>n implementare Faza DALI</w:t>
            </w:r>
          </w:p>
        </w:tc>
        <w:tc>
          <w:tcPr>
            <w:tcW w:w="473" w:type="pct"/>
            <w:shd w:val="clear" w:color="auto" w:fill="F2F2F2"/>
          </w:tcPr>
          <w:p w14:paraId="3E5F585B" w14:textId="77777777" w:rsidR="00395D01" w:rsidRPr="00912996" w:rsidRDefault="00395D01" w:rsidP="00292396">
            <w:pPr>
              <w:rPr>
                <w:rFonts w:ascii="Calibri" w:hAnsi="Calibri"/>
                <w:bCs/>
                <w:lang w:eastAsia="ja-JP"/>
              </w:rPr>
            </w:pPr>
            <w:r w:rsidRPr="00072A26">
              <w:rPr>
                <w:rFonts w:ascii="Calibri" w:hAnsi="Calibri"/>
                <w:bCs/>
                <w:lang w:eastAsia="ja-JP"/>
              </w:rPr>
              <w:t>780.00</w:t>
            </w:r>
          </w:p>
        </w:tc>
        <w:tc>
          <w:tcPr>
            <w:tcW w:w="411" w:type="pct"/>
            <w:shd w:val="clear" w:color="auto" w:fill="F2F2F2"/>
          </w:tcPr>
          <w:p w14:paraId="6ACD634A"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noWrap/>
          </w:tcPr>
          <w:p w14:paraId="6466EB9E" w14:textId="77777777" w:rsidR="00395D01" w:rsidRPr="00912996" w:rsidRDefault="00395D01" w:rsidP="00292396">
            <w:pPr>
              <w:rPr>
                <w:rFonts w:ascii="Calibri" w:hAnsi="Calibri"/>
                <w:bCs/>
                <w:lang w:eastAsia="ja-JP"/>
              </w:rPr>
            </w:pPr>
            <w:r>
              <w:rPr>
                <w:rFonts w:ascii="Calibri" w:hAnsi="Calibri"/>
                <w:bCs/>
                <w:lang w:eastAsia="ja-JP"/>
              </w:rPr>
              <w:t>N/A</w:t>
            </w:r>
          </w:p>
        </w:tc>
        <w:tc>
          <w:tcPr>
            <w:tcW w:w="484" w:type="pct"/>
            <w:gridSpan w:val="2"/>
            <w:shd w:val="clear" w:color="auto" w:fill="F2F2F2"/>
          </w:tcPr>
          <w:p w14:paraId="5B69EF3A" w14:textId="77777777" w:rsidR="00395D01" w:rsidRPr="00072A26" w:rsidRDefault="00395D01" w:rsidP="00292396">
            <w:pPr>
              <w:rPr>
                <w:rFonts w:ascii="Calibri" w:hAnsi="Calibri"/>
                <w:bCs/>
                <w:lang w:eastAsia="ja-JP"/>
              </w:rPr>
            </w:pPr>
            <w:r>
              <w:rPr>
                <w:rFonts w:ascii="Calibri" w:hAnsi="Calibri"/>
                <w:bCs/>
                <w:lang w:eastAsia="ja-JP"/>
              </w:rPr>
              <w:t>P</w:t>
            </w:r>
            <w:r w:rsidRPr="00072A26">
              <w:rPr>
                <w:rFonts w:ascii="Calibri" w:hAnsi="Calibri"/>
                <w:bCs/>
                <w:lang w:eastAsia="ja-JP"/>
              </w:rPr>
              <w:t>osibila surs</w:t>
            </w:r>
            <w:r>
              <w:rPr>
                <w:rFonts w:ascii="Calibri" w:hAnsi="Calibri"/>
                <w:bCs/>
                <w:lang w:eastAsia="ja-JP"/>
              </w:rPr>
              <w:t>ă</w:t>
            </w:r>
            <w:r w:rsidRPr="00072A26">
              <w:rPr>
                <w:rFonts w:ascii="Calibri" w:hAnsi="Calibri"/>
                <w:bCs/>
                <w:lang w:eastAsia="ja-JP"/>
              </w:rPr>
              <w:t xml:space="preserve"> de finanțare</w:t>
            </w:r>
          </w:p>
          <w:p w14:paraId="0A0B7451" w14:textId="77777777" w:rsidR="00395D01" w:rsidRPr="00912996" w:rsidRDefault="00395D01" w:rsidP="00292396">
            <w:pPr>
              <w:rPr>
                <w:rFonts w:ascii="Calibri" w:hAnsi="Calibri"/>
                <w:bCs/>
                <w:lang w:eastAsia="ja-JP"/>
              </w:rPr>
            </w:pPr>
            <w:r w:rsidRPr="00072A26">
              <w:rPr>
                <w:rFonts w:ascii="Calibri" w:hAnsi="Calibri"/>
                <w:bCs/>
                <w:lang w:eastAsia="ja-JP"/>
              </w:rPr>
              <w:t>Programul Operațional Regional pentru Regiunea București-Ilfov (POR-BI) 2021-2027, prin intermediul Priorităţii de investiţii 3 – O regiune cu oraşe prietenoase cu mediul, Operaţiunea “Dezvoltarea mobilităţii şi infrastructurii urbane curate”</w:t>
            </w:r>
          </w:p>
        </w:tc>
        <w:tc>
          <w:tcPr>
            <w:tcW w:w="433" w:type="pct"/>
            <w:shd w:val="clear" w:color="auto" w:fill="F2F2F2"/>
          </w:tcPr>
          <w:p w14:paraId="7479FEA5" w14:textId="77777777" w:rsidR="00395D01" w:rsidRPr="00912996" w:rsidRDefault="00395D01" w:rsidP="00292396">
            <w:pPr>
              <w:rPr>
                <w:rFonts w:ascii="Calibri" w:hAnsi="Calibri"/>
                <w:bCs/>
                <w:lang w:eastAsia="ja-JP"/>
              </w:rPr>
            </w:pPr>
            <w:r w:rsidRPr="00072A26">
              <w:rPr>
                <w:rFonts w:ascii="Calibri" w:hAnsi="Calibri"/>
                <w:bCs/>
                <w:lang w:eastAsia="ja-JP"/>
              </w:rPr>
              <w:t>Lista lung</w:t>
            </w:r>
            <w:r>
              <w:rPr>
                <w:rFonts w:ascii="Calibri" w:hAnsi="Calibri"/>
                <w:bCs/>
                <w:lang w:eastAsia="ja-JP"/>
              </w:rPr>
              <w:t>ă de proiecte</w:t>
            </w:r>
          </w:p>
        </w:tc>
        <w:tc>
          <w:tcPr>
            <w:tcW w:w="482" w:type="pct"/>
            <w:shd w:val="clear" w:color="auto" w:fill="F2F2F2"/>
          </w:tcPr>
          <w:p w14:paraId="072AFB21"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r>
      <w:tr w:rsidR="00395D01" w:rsidRPr="00912996" w14:paraId="0FA726BE" w14:textId="77777777" w:rsidTr="00292396">
        <w:trPr>
          <w:trHeight w:val="264"/>
        </w:trPr>
        <w:tc>
          <w:tcPr>
            <w:tcW w:w="5000" w:type="pct"/>
            <w:gridSpan w:val="12"/>
            <w:shd w:val="clear" w:color="auto" w:fill="BBD9A0"/>
            <w:noWrap/>
            <w:hideMark/>
          </w:tcPr>
          <w:p w14:paraId="2DE04440" w14:textId="77777777" w:rsidR="00395D01" w:rsidRPr="00912996" w:rsidRDefault="00395D01" w:rsidP="00C45CC1">
            <w:pPr>
              <w:jc w:val="center"/>
              <w:rPr>
                <w:rFonts w:ascii="Calibri" w:hAnsi="Calibri"/>
                <w:b/>
                <w:bCs/>
                <w:lang w:eastAsia="ja-JP"/>
              </w:rPr>
            </w:pPr>
            <w:r w:rsidRPr="00912996">
              <w:rPr>
                <w:rFonts w:ascii="Calibri" w:hAnsi="Calibri"/>
                <w:b/>
                <w:bCs/>
                <w:color w:val="FFFFFF"/>
                <w:lang w:eastAsia="ja-JP"/>
              </w:rPr>
              <w:t>D1.5.1. Reabilitarea, modernizarea și dotarea infrastructurii și patrimoniului cultural</w:t>
            </w:r>
          </w:p>
        </w:tc>
      </w:tr>
      <w:tr w:rsidR="00E16711" w:rsidRPr="00912996" w14:paraId="271AF1A8" w14:textId="77777777" w:rsidTr="00E16711">
        <w:trPr>
          <w:trHeight w:val="792"/>
        </w:trPr>
        <w:tc>
          <w:tcPr>
            <w:tcW w:w="205" w:type="pct"/>
            <w:shd w:val="clear" w:color="auto" w:fill="F2F2F2"/>
            <w:noWrap/>
            <w:hideMark/>
          </w:tcPr>
          <w:p w14:paraId="1A85F22F"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1FA8C088" w14:textId="77777777" w:rsidR="00395D01" w:rsidRPr="00912996" w:rsidRDefault="00395D01" w:rsidP="00292396">
            <w:pPr>
              <w:rPr>
                <w:rFonts w:ascii="Calibri" w:hAnsi="Calibri"/>
                <w:bCs/>
                <w:lang w:eastAsia="ja-JP"/>
              </w:rPr>
            </w:pPr>
            <w:r w:rsidRPr="00912996">
              <w:rPr>
                <w:rFonts w:ascii="Calibri" w:hAnsi="Calibri"/>
                <w:bCs/>
                <w:lang w:eastAsia="ja-JP"/>
              </w:rPr>
              <w:t>Conservarea și valorificarea culturală și economică a patrimoniului construit</w:t>
            </w:r>
          </w:p>
        </w:tc>
        <w:tc>
          <w:tcPr>
            <w:tcW w:w="640" w:type="pct"/>
            <w:shd w:val="clear" w:color="auto" w:fill="F2F2F2"/>
            <w:hideMark/>
          </w:tcPr>
          <w:p w14:paraId="27EED183" w14:textId="77777777" w:rsidR="00395D01" w:rsidRPr="00912996" w:rsidRDefault="00395D01" w:rsidP="00292396">
            <w:pPr>
              <w:rPr>
                <w:rFonts w:ascii="Calibri" w:hAnsi="Calibri"/>
                <w:bCs/>
                <w:lang w:eastAsia="ja-JP"/>
              </w:rPr>
            </w:pPr>
            <w:r w:rsidRPr="00912996">
              <w:rPr>
                <w:rFonts w:ascii="Calibri" w:hAnsi="Calibri"/>
                <w:bCs/>
                <w:lang w:eastAsia="ja-JP"/>
              </w:rPr>
              <w:t>PS2, PMB, parteneri publici și privați</w:t>
            </w:r>
          </w:p>
        </w:tc>
        <w:tc>
          <w:tcPr>
            <w:tcW w:w="507" w:type="pct"/>
            <w:shd w:val="clear" w:color="auto" w:fill="F2F2F2"/>
            <w:hideMark/>
          </w:tcPr>
          <w:p w14:paraId="0FE8599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FC1EF3D" w14:textId="77777777" w:rsidR="00395D01" w:rsidRPr="00912996" w:rsidRDefault="00395D01" w:rsidP="00292396">
            <w:pPr>
              <w:rPr>
                <w:rFonts w:ascii="Calibri" w:hAnsi="Calibri"/>
                <w:bCs/>
                <w:lang w:eastAsia="ja-JP"/>
              </w:rPr>
            </w:pPr>
            <w:r w:rsidRPr="00912996">
              <w:rPr>
                <w:rFonts w:ascii="Calibri" w:hAnsi="Calibri"/>
                <w:bCs/>
                <w:lang w:eastAsia="ja-JP"/>
              </w:rPr>
              <w:t>73,500,000</w:t>
            </w:r>
          </w:p>
        </w:tc>
        <w:tc>
          <w:tcPr>
            <w:tcW w:w="411" w:type="pct"/>
            <w:shd w:val="clear" w:color="auto" w:fill="F2F2F2"/>
            <w:hideMark/>
          </w:tcPr>
          <w:p w14:paraId="2E03DAE4" w14:textId="77777777" w:rsidR="00395D01" w:rsidRPr="00912996" w:rsidRDefault="00395D01" w:rsidP="00292396">
            <w:pPr>
              <w:rPr>
                <w:rFonts w:ascii="Calibri" w:hAnsi="Calibri"/>
                <w:bCs/>
                <w:lang w:eastAsia="ja-JP"/>
              </w:rPr>
            </w:pPr>
            <w:r w:rsidRPr="00912996">
              <w:rPr>
                <w:rFonts w:ascii="Calibri" w:hAnsi="Calibri"/>
                <w:bCs/>
                <w:lang w:eastAsia="ja-JP"/>
              </w:rPr>
              <w:t>15,000,000</w:t>
            </w:r>
          </w:p>
        </w:tc>
        <w:tc>
          <w:tcPr>
            <w:tcW w:w="347" w:type="pct"/>
            <w:shd w:val="clear" w:color="auto" w:fill="F2F2F2"/>
            <w:hideMark/>
          </w:tcPr>
          <w:p w14:paraId="64F12D99"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36F3F72"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TMI, Bugetul local, Alte surse de finanțare</w:t>
            </w:r>
          </w:p>
        </w:tc>
        <w:tc>
          <w:tcPr>
            <w:tcW w:w="433" w:type="pct"/>
            <w:shd w:val="clear" w:color="auto" w:fill="F2F2F2"/>
            <w:hideMark/>
          </w:tcPr>
          <w:p w14:paraId="2DE1AB5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577FC6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0A7FE8E" w14:textId="77777777" w:rsidTr="00E16711">
        <w:trPr>
          <w:trHeight w:val="2376"/>
        </w:trPr>
        <w:tc>
          <w:tcPr>
            <w:tcW w:w="205" w:type="pct"/>
            <w:shd w:val="clear" w:color="auto" w:fill="F2F2F2"/>
            <w:noWrap/>
            <w:hideMark/>
          </w:tcPr>
          <w:p w14:paraId="4FB585A2"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01D47C42" w14:textId="77777777" w:rsidR="00395D01" w:rsidRPr="00912996" w:rsidRDefault="00395D01" w:rsidP="00292396">
            <w:pPr>
              <w:rPr>
                <w:rFonts w:ascii="Calibri" w:hAnsi="Calibri"/>
                <w:bCs/>
                <w:lang w:eastAsia="ja-JP"/>
              </w:rPr>
            </w:pPr>
            <w:r w:rsidRPr="00912996">
              <w:rPr>
                <w:rFonts w:ascii="Calibri" w:hAnsi="Calibri"/>
                <w:bCs/>
                <w:lang w:eastAsia="ja-JP"/>
              </w:rPr>
              <w:t xml:space="preserve">Conservarea și valorificarea culturală și economică a clădirilor  cu potențial de resursă culturală și istorică (valoare arhitectural-urbanistică, valoare memorial-simbolică) și introducerea acestora în circuitul cultural local </w:t>
            </w:r>
            <w:r w:rsidRPr="00912996">
              <w:rPr>
                <w:rFonts w:ascii="Calibri" w:hAnsi="Calibri"/>
                <w:bCs/>
                <w:i/>
                <w:iCs/>
                <w:lang w:eastAsia="ja-JP"/>
              </w:rPr>
              <w:t>(Prin SLDIDS2 actualizată  sunt propuse 25 clădiri, proiect prioritar: amfiteatrul Mihai Eminescu)</w:t>
            </w:r>
          </w:p>
        </w:tc>
        <w:tc>
          <w:tcPr>
            <w:tcW w:w="640" w:type="pct"/>
            <w:shd w:val="clear" w:color="auto" w:fill="F2F2F2"/>
            <w:hideMark/>
          </w:tcPr>
          <w:p w14:paraId="4FAFB2BD" w14:textId="77777777" w:rsidR="00395D01" w:rsidRPr="00912996" w:rsidRDefault="00395D01" w:rsidP="00292396">
            <w:pPr>
              <w:rPr>
                <w:rFonts w:ascii="Calibri" w:hAnsi="Calibri"/>
                <w:bCs/>
                <w:lang w:eastAsia="ja-JP"/>
              </w:rPr>
            </w:pPr>
            <w:r w:rsidRPr="00912996">
              <w:rPr>
                <w:rFonts w:ascii="Calibri" w:hAnsi="Calibri"/>
                <w:bCs/>
                <w:lang w:eastAsia="ja-JP"/>
              </w:rPr>
              <w:t>PS2, PMB, parteneri publici și privați</w:t>
            </w:r>
          </w:p>
        </w:tc>
        <w:tc>
          <w:tcPr>
            <w:tcW w:w="507" w:type="pct"/>
            <w:shd w:val="clear" w:color="auto" w:fill="F2F2F2"/>
            <w:hideMark/>
          </w:tcPr>
          <w:p w14:paraId="2268D06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A10FFA7" w14:textId="77777777" w:rsidR="00395D01" w:rsidRPr="00912996" w:rsidRDefault="00395D01" w:rsidP="00292396">
            <w:pPr>
              <w:rPr>
                <w:rFonts w:ascii="Calibri" w:hAnsi="Calibri"/>
                <w:bCs/>
                <w:lang w:eastAsia="ja-JP"/>
              </w:rPr>
            </w:pPr>
            <w:r w:rsidRPr="00912996">
              <w:rPr>
                <w:rFonts w:ascii="Calibri" w:hAnsi="Calibri"/>
                <w:bCs/>
                <w:lang w:eastAsia="ja-JP"/>
              </w:rPr>
              <w:t>12,250,000</w:t>
            </w:r>
          </w:p>
        </w:tc>
        <w:tc>
          <w:tcPr>
            <w:tcW w:w="411" w:type="pct"/>
            <w:shd w:val="clear" w:color="auto" w:fill="F2F2F2"/>
            <w:hideMark/>
          </w:tcPr>
          <w:p w14:paraId="692C6E86" w14:textId="77777777" w:rsidR="00395D01" w:rsidRPr="00912996" w:rsidRDefault="00395D01" w:rsidP="00292396">
            <w:pPr>
              <w:rPr>
                <w:rFonts w:ascii="Calibri" w:hAnsi="Calibri"/>
                <w:bCs/>
                <w:lang w:eastAsia="ja-JP"/>
              </w:rPr>
            </w:pPr>
            <w:r w:rsidRPr="00912996">
              <w:rPr>
                <w:rFonts w:ascii="Calibri" w:hAnsi="Calibri"/>
                <w:bCs/>
                <w:lang w:eastAsia="ja-JP"/>
              </w:rPr>
              <w:t>2,500,000</w:t>
            </w:r>
          </w:p>
        </w:tc>
        <w:tc>
          <w:tcPr>
            <w:tcW w:w="347" w:type="pct"/>
            <w:shd w:val="clear" w:color="auto" w:fill="F2F2F2"/>
            <w:hideMark/>
          </w:tcPr>
          <w:p w14:paraId="6899081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1D8F68F"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C10, C11, Fonduri private, Bugetul local, Alte surse de finanțare</w:t>
            </w:r>
          </w:p>
        </w:tc>
        <w:tc>
          <w:tcPr>
            <w:tcW w:w="433" w:type="pct"/>
            <w:shd w:val="clear" w:color="auto" w:fill="F2F2F2"/>
            <w:hideMark/>
          </w:tcPr>
          <w:p w14:paraId="0B77A45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7E96A84" w14:textId="77777777" w:rsidR="00395D01" w:rsidRPr="00912996" w:rsidRDefault="00395D01" w:rsidP="00292396">
            <w:pPr>
              <w:rPr>
                <w:rFonts w:ascii="Calibri" w:hAnsi="Calibri"/>
                <w:bCs/>
                <w:lang w:eastAsia="ja-JP"/>
              </w:rPr>
            </w:pPr>
            <w:r w:rsidRPr="00912996">
              <w:rPr>
                <w:rFonts w:ascii="Calibri" w:hAnsi="Calibri"/>
                <w:bCs/>
                <w:lang w:eastAsia="ja-JP"/>
              </w:rPr>
              <w:t>SIDU MB, Propunere consultant</w:t>
            </w:r>
          </w:p>
        </w:tc>
      </w:tr>
      <w:tr w:rsidR="00E16711" w:rsidRPr="00912996" w14:paraId="58086F1D" w14:textId="77777777" w:rsidTr="00E16711">
        <w:trPr>
          <w:trHeight w:val="2112"/>
        </w:trPr>
        <w:tc>
          <w:tcPr>
            <w:tcW w:w="205" w:type="pct"/>
            <w:shd w:val="clear" w:color="auto" w:fill="F2F2F2"/>
            <w:noWrap/>
            <w:hideMark/>
          </w:tcPr>
          <w:p w14:paraId="67DD54B1"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3106F29A" w14:textId="77777777" w:rsidR="00395D01" w:rsidRPr="00912996" w:rsidRDefault="00395D01" w:rsidP="00292396">
            <w:pPr>
              <w:rPr>
                <w:rFonts w:ascii="Calibri" w:hAnsi="Calibri"/>
                <w:bCs/>
                <w:lang w:eastAsia="ja-JP"/>
              </w:rPr>
            </w:pPr>
            <w:r w:rsidRPr="00912996">
              <w:rPr>
                <w:rFonts w:ascii="Calibri" w:hAnsi="Calibri"/>
                <w:bCs/>
                <w:lang w:eastAsia="ja-JP"/>
              </w:rPr>
              <w:t xml:space="preserve">Consolidarea, conservarea și reabilitarea fațadelor clădirilor istorice. </w:t>
            </w:r>
            <w:r w:rsidRPr="00912996">
              <w:rPr>
                <w:rFonts w:ascii="Calibri" w:hAnsi="Calibri"/>
                <w:bCs/>
                <w:lang w:eastAsia="ja-JP"/>
              </w:rPr>
              <w:br/>
            </w:r>
            <w:r w:rsidRPr="00912996">
              <w:rPr>
                <w:rFonts w:ascii="Calibri" w:hAnsi="Calibri"/>
                <w:bCs/>
                <w:i/>
                <w:iCs/>
                <w:lang w:eastAsia="ja-JP"/>
              </w:rPr>
              <w:t>Prin SDLID S2 actualizată se propune realizarea unui program multianual de reabilitare a fațadelor clădirilor din zona istorică sau a clădirilor monumente istorice (Proiect prioritar: clădiri culturale/obiective turistice)</w:t>
            </w:r>
          </w:p>
        </w:tc>
        <w:tc>
          <w:tcPr>
            <w:tcW w:w="640" w:type="pct"/>
            <w:shd w:val="clear" w:color="auto" w:fill="F2F2F2"/>
            <w:hideMark/>
          </w:tcPr>
          <w:p w14:paraId="7295D1CA" w14:textId="77777777" w:rsidR="00395D01" w:rsidRPr="00912996" w:rsidRDefault="00395D01" w:rsidP="00292396">
            <w:pPr>
              <w:rPr>
                <w:rFonts w:ascii="Calibri" w:hAnsi="Calibri"/>
                <w:bCs/>
                <w:lang w:eastAsia="ja-JP"/>
              </w:rPr>
            </w:pPr>
            <w:r w:rsidRPr="00912996">
              <w:rPr>
                <w:rFonts w:ascii="Calibri" w:hAnsi="Calibri"/>
                <w:bCs/>
                <w:lang w:eastAsia="ja-JP"/>
              </w:rPr>
              <w:t>PS2, PMB, parteneri publici și privați</w:t>
            </w:r>
          </w:p>
        </w:tc>
        <w:tc>
          <w:tcPr>
            <w:tcW w:w="507" w:type="pct"/>
            <w:shd w:val="clear" w:color="auto" w:fill="F2F2F2"/>
            <w:hideMark/>
          </w:tcPr>
          <w:p w14:paraId="789E160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3C04796"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62872A1E"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7667BEED"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51477DF"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C10, C11, Fonduri private, Bugetul local, Alte surse de finanțare</w:t>
            </w:r>
          </w:p>
        </w:tc>
        <w:tc>
          <w:tcPr>
            <w:tcW w:w="433" w:type="pct"/>
            <w:shd w:val="clear" w:color="auto" w:fill="F2F2F2"/>
            <w:hideMark/>
          </w:tcPr>
          <w:p w14:paraId="7D475D88"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5DC1B19" w14:textId="77777777" w:rsidR="00395D01" w:rsidRPr="00912996" w:rsidRDefault="00395D01" w:rsidP="00292396">
            <w:pPr>
              <w:rPr>
                <w:rFonts w:ascii="Calibri" w:hAnsi="Calibri"/>
                <w:bCs/>
                <w:lang w:eastAsia="ja-JP"/>
              </w:rPr>
            </w:pPr>
            <w:r w:rsidRPr="00912996">
              <w:rPr>
                <w:rFonts w:ascii="Calibri" w:hAnsi="Calibri"/>
                <w:bCs/>
                <w:lang w:eastAsia="ja-JP"/>
              </w:rPr>
              <w:t>SIDU MB, Propunere consultant</w:t>
            </w:r>
          </w:p>
        </w:tc>
      </w:tr>
      <w:tr w:rsidR="00E16711" w:rsidRPr="00912996" w14:paraId="7FE4A0BA" w14:textId="77777777" w:rsidTr="00E16711">
        <w:trPr>
          <w:trHeight w:val="1848"/>
        </w:trPr>
        <w:tc>
          <w:tcPr>
            <w:tcW w:w="205" w:type="pct"/>
            <w:shd w:val="clear" w:color="auto" w:fill="F2F2F2"/>
            <w:noWrap/>
            <w:hideMark/>
          </w:tcPr>
          <w:p w14:paraId="569B8DFD"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28A316AD" w14:textId="77777777" w:rsidR="00395D01" w:rsidRPr="00912996" w:rsidRDefault="00395D01" w:rsidP="00292396">
            <w:pPr>
              <w:rPr>
                <w:rFonts w:ascii="Calibri" w:hAnsi="Calibri"/>
                <w:bCs/>
                <w:lang w:eastAsia="ja-JP"/>
              </w:rPr>
            </w:pPr>
            <w:r w:rsidRPr="00912996">
              <w:rPr>
                <w:rFonts w:ascii="Calibri" w:hAnsi="Calibri"/>
                <w:bCs/>
                <w:lang w:eastAsia="ja-JP"/>
              </w:rPr>
              <w:t>Utilizarea ca spatii publice a clădirilor cu valoare istorică din administrare privată în urma încheierii unui parteneriat public-privat cu proprietarii.</w:t>
            </w:r>
            <w:r w:rsidRPr="00912996">
              <w:rPr>
                <w:rFonts w:ascii="Calibri" w:hAnsi="Calibri"/>
                <w:bCs/>
                <w:lang w:eastAsia="ja-JP"/>
              </w:rPr>
              <w:br/>
            </w:r>
            <w:r w:rsidRPr="00912996">
              <w:rPr>
                <w:rFonts w:ascii="Calibri" w:hAnsi="Calibri"/>
                <w:bCs/>
                <w:i/>
                <w:iCs/>
                <w:lang w:eastAsia="ja-JP"/>
              </w:rPr>
              <w:t>(Prin SDLID S2 actualizată se propune amenajarea de spații culturale în aceste clădiri)</w:t>
            </w:r>
          </w:p>
        </w:tc>
        <w:tc>
          <w:tcPr>
            <w:tcW w:w="640" w:type="pct"/>
            <w:shd w:val="clear" w:color="auto" w:fill="F2F2F2"/>
            <w:hideMark/>
          </w:tcPr>
          <w:p w14:paraId="13A9B6AE" w14:textId="77777777" w:rsidR="00395D01" w:rsidRPr="00912996" w:rsidRDefault="00395D01" w:rsidP="00292396">
            <w:pPr>
              <w:rPr>
                <w:rFonts w:ascii="Calibri" w:hAnsi="Calibri"/>
                <w:bCs/>
                <w:lang w:eastAsia="ja-JP"/>
              </w:rPr>
            </w:pPr>
            <w:r w:rsidRPr="00912996">
              <w:rPr>
                <w:rFonts w:ascii="Calibri" w:hAnsi="Calibri"/>
                <w:bCs/>
                <w:lang w:eastAsia="ja-JP"/>
              </w:rPr>
              <w:t>PS2, PMB, parteneri publici și privați</w:t>
            </w:r>
          </w:p>
        </w:tc>
        <w:tc>
          <w:tcPr>
            <w:tcW w:w="507" w:type="pct"/>
            <w:shd w:val="clear" w:color="auto" w:fill="F2F2F2"/>
            <w:hideMark/>
          </w:tcPr>
          <w:p w14:paraId="70D1DDC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E369182"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4E78FD45"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12992021"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772403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51680F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B5DFDF7" w14:textId="77777777" w:rsidR="00395D01" w:rsidRPr="00912996" w:rsidRDefault="00395D01" w:rsidP="00292396">
            <w:pPr>
              <w:rPr>
                <w:rFonts w:ascii="Calibri" w:hAnsi="Calibri"/>
                <w:bCs/>
                <w:lang w:eastAsia="ja-JP"/>
              </w:rPr>
            </w:pPr>
            <w:r w:rsidRPr="00912996">
              <w:rPr>
                <w:rFonts w:ascii="Calibri" w:hAnsi="Calibri"/>
                <w:bCs/>
                <w:lang w:eastAsia="ja-JP"/>
              </w:rPr>
              <w:t>SIDU MB, Propunere consultant</w:t>
            </w:r>
          </w:p>
        </w:tc>
      </w:tr>
      <w:tr w:rsidR="00E16711" w:rsidRPr="00912996" w14:paraId="6C629C32" w14:textId="77777777" w:rsidTr="00E16711">
        <w:trPr>
          <w:trHeight w:val="1848"/>
        </w:trPr>
        <w:tc>
          <w:tcPr>
            <w:tcW w:w="205" w:type="pct"/>
            <w:shd w:val="clear" w:color="auto" w:fill="F2F2F2"/>
            <w:noWrap/>
            <w:hideMark/>
          </w:tcPr>
          <w:p w14:paraId="00F70206"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1F155CCD" w14:textId="77777777" w:rsidR="00395D01" w:rsidRPr="00912996" w:rsidRDefault="00395D01" w:rsidP="00292396">
            <w:pPr>
              <w:rPr>
                <w:rFonts w:ascii="Calibri" w:hAnsi="Calibri"/>
                <w:bCs/>
                <w:lang w:eastAsia="ja-JP"/>
              </w:rPr>
            </w:pPr>
            <w:r w:rsidRPr="00912996">
              <w:rPr>
                <w:rFonts w:ascii="Calibri" w:hAnsi="Calibri"/>
                <w:bCs/>
                <w:lang w:eastAsia="ja-JP"/>
              </w:rPr>
              <w:t>Modernizarea și amenajarea zonelor de acces aferente monumentelor istorice, obiectivelor culturale și turistice: amenajare căi de acces pietonale și carosabile, amplasare de panouri informative, amplasare de mobilier urban etc (prioritar: zona Muzeului Aviației)</w:t>
            </w:r>
          </w:p>
        </w:tc>
        <w:tc>
          <w:tcPr>
            <w:tcW w:w="640" w:type="pct"/>
            <w:shd w:val="clear" w:color="auto" w:fill="F2F2F2"/>
            <w:hideMark/>
          </w:tcPr>
          <w:p w14:paraId="1195D5EE" w14:textId="77777777" w:rsidR="00395D01" w:rsidRPr="00912996" w:rsidRDefault="00395D01" w:rsidP="00292396">
            <w:pPr>
              <w:rPr>
                <w:rFonts w:ascii="Calibri" w:hAnsi="Calibri"/>
                <w:bCs/>
                <w:lang w:eastAsia="ja-JP"/>
              </w:rPr>
            </w:pPr>
            <w:r w:rsidRPr="00912996">
              <w:rPr>
                <w:rFonts w:ascii="Calibri" w:hAnsi="Calibri"/>
                <w:bCs/>
                <w:lang w:eastAsia="ja-JP"/>
              </w:rPr>
              <w:t>PS2, PMB, DCMB, instituții culturale</w:t>
            </w:r>
          </w:p>
        </w:tc>
        <w:tc>
          <w:tcPr>
            <w:tcW w:w="507" w:type="pct"/>
            <w:shd w:val="clear" w:color="auto" w:fill="F2F2F2"/>
            <w:hideMark/>
          </w:tcPr>
          <w:p w14:paraId="3C3CC5F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28292C5" w14:textId="77777777" w:rsidR="00395D01" w:rsidRPr="00912996" w:rsidRDefault="00395D01" w:rsidP="00292396">
            <w:pPr>
              <w:rPr>
                <w:rFonts w:ascii="Calibri" w:hAnsi="Calibri"/>
                <w:bCs/>
                <w:lang w:eastAsia="ja-JP"/>
              </w:rPr>
            </w:pPr>
            <w:r w:rsidRPr="00912996">
              <w:rPr>
                <w:rFonts w:ascii="Calibri" w:hAnsi="Calibri"/>
                <w:bCs/>
                <w:lang w:eastAsia="ja-JP"/>
              </w:rPr>
              <w:t>700,000</w:t>
            </w:r>
          </w:p>
        </w:tc>
        <w:tc>
          <w:tcPr>
            <w:tcW w:w="411" w:type="pct"/>
            <w:shd w:val="clear" w:color="auto" w:fill="F2F2F2"/>
            <w:hideMark/>
          </w:tcPr>
          <w:p w14:paraId="6645540D" w14:textId="77777777" w:rsidR="00395D01" w:rsidRPr="00912996" w:rsidRDefault="00395D01" w:rsidP="00292396">
            <w:pPr>
              <w:rPr>
                <w:rFonts w:ascii="Calibri" w:hAnsi="Calibri"/>
                <w:bCs/>
                <w:lang w:eastAsia="ja-JP"/>
              </w:rPr>
            </w:pPr>
            <w:r w:rsidRPr="00912996">
              <w:rPr>
                <w:rFonts w:ascii="Calibri" w:hAnsi="Calibri"/>
                <w:bCs/>
                <w:lang w:eastAsia="ja-JP"/>
              </w:rPr>
              <w:t>142,857</w:t>
            </w:r>
          </w:p>
        </w:tc>
        <w:tc>
          <w:tcPr>
            <w:tcW w:w="347" w:type="pct"/>
            <w:shd w:val="clear" w:color="auto" w:fill="F2F2F2"/>
            <w:hideMark/>
          </w:tcPr>
          <w:p w14:paraId="0CB65151"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95A4BB2" w14:textId="77777777" w:rsidR="00395D01" w:rsidRPr="00912996" w:rsidRDefault="00395D01" w:rsidP="00292396">
            <w:pPr>
              <w:rPr>
                <w:rFonts w:ascii="Calibri" w:hAnsi="Calibri"/>
                <w:bCs/>
                <w:lang w:eastAsia="ja-JP"/>
              </w:rPr>
            </w:pPr>
            <w:r w:rsidRPr="00912996">
              <w:rPr>
                <w:rFonts w:ascii="Calibri" w:hAnsi="Calibri"/>
                <w:bCs/>
                <w:lang w:eastAsia="ja-JP"/>
              </w:rPr>
              <w:t>POR BI 2021-2027, fonduri private, Bugetul local, Alte surse de finanțare</w:t>
            </w:r>
          </w:p>
        </w:tc>
        <w:tc>
          <w:tcPr>
            <w:tcW w:w="433" w:type="pct"/>
            <w:shd w:val="clear" w:color="auto" w:fill="F2F2F2"/>
            <w:hideMark/>
          </w:tcPr>
          <w:p w14:paraId="2816B92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AC96CE1"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572A9E8B" w14:textId="77777777" w:rsidTr="00E16711">
        <w:trPr>
          <w:trHeight w:val="1584"/>
        </w:trPr>
        <w:tc>
          <w:tcPr>
            <w:tcW w:w="205" w:type="pct"/>
            <w:shd w:val="clear" w:color="auto" w:fill="F2F2F2"/>
            <w:noWrap/>
            <w:hideMark/>
          </w:tcPr>
          <w:p w14:paraId="1E0F2DAA"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4757A434" w14:textId="77777777" w:rsidR="00395D01" w:rsidRPr="00912996" w:rsidRDefault="00395D01" w:rsidP="00292396">
            <w:pPr>
              <w:rPr>
                <w:rFonts w:ascii="Calibri" w:hAnsi="Calibri"/>
                <w:bCs/>
                <w:lang w:eastAsia="ja-JP"/>
              </w:rPr>
            </w:pPr>
            <w:r w:rsidRPr="00912996">
              <w:rPr>
                <w:rFonts w:ascii="Calibri" w:hAnsi="Calibri"/>
                <w:bCs/>
                <w:lang w:eastAsia="ja-JP"/>
              </w:rPr>
              <w:t>Proiect complex de amenajare a unei axe culturale majore la nivelul Sectorului 2 cu tematica bulevardului Haussmannian, care să conecteze Piața Universității și Piața Iancului (Bulevardul Carol I - Bulevardul Pache Protopopescu)</w:t>
            </w:r>
          </w:p>
        </w:tc>
        <w:tc>
          <w:tcPr>
            <w:tcW w:w="640" w:type="pct"/>
            <w:shd w:val="clear" w:color="auto" w:fill="F2F2F2"/>
            <w:hideMark/>
          </w:tcPr>
          <w:p w14:paraId="084349BE"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 parteneri privat</w:t>
            </w:r>
          </w:p>
        </w:tc>
        <w:tc>
          <w:tcPr>
            <w:tcW w:w="507" w:type="pct"/>
            <w:shd w:val="clear" w:color="auto" w:fill="F2F2F2"/>
            <w:hideMark/>
          </w:tcPr>
          <w:p w14:paraId="1870B24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6730BE1"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769B8D47"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4887D521"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E08220A"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390EA55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1E8B313"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55FCD56" w14:textId="77777777" w:rsidTr="00E16711">
        <w:trPr>
          <w:trHeight w:val="1070"/>
        </w:trPr>
        <w:tc>
          <w:tcPr>
            <w:tcW w:w="205" w:type="pct"/>
            <w:shd w:val="clear" w:color="auto" w:fill="F2F2F2"/>
            <w:noWrap/>
            <w:hideMark/>
          </w:tcPr>
          <w:p w14:paraId="19110EA5"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3E6B99BF" w14:textId="77777777" w:rsidR="00395D01" w:rsidRPr="00912996" w:rsidRDefault="00395D01" w:rsidP="00292396">
            <w:pPr>
              <w:rPr>
                <w:rFonts w:ascii="Calibri" w:hAnsi="Calibri"/>
                <w:bCs/>
                <w:lang w:eastAsia="ja-JP"/>
              </w:rPr>
            </w:pPr>
            <w:r w:rsidRPr="00912996">
              <w:rPr>
                <w:rFonts w:ascii="Calibri" w:hAnsi="Calibri"/>
                <w:bCs/>
                <w:lang w:eastAsia="ja-JP"/>
              </w:rPr>
              <w:t>Proiect complex de amenajare a unei axe culturale majore la nivelul Sectorului 2 pe traseul tramvaiului nr. 16, care să conecteze zona istorică și salba de lacuri a râului Colentina (Calea Moșilor, Strada Vasile Lascăr, Strada Viitorului, Strada Lizeanu, Bulevardul Lacul Tei)</w:t>
            </w:r>
          </w:p>
        </w:tc>
        <w:tc>
          <w:tcPr>
            <w:tcW w:w="640" w:type="pct"/>
            <w:shd w:val="clear" w:color="auto" w:fill="F2F2F2"/>
            <w:hideMark/>
          </w:tcPr>
          <w:p w14:paraId="40F60B01" w14:textId="77777777" w:rsidR="00395D01" w:rsidRPr="00912996" w:rsidRDefault="00395D01" w:rsidP="00292396">
            <w:pPr>
              <w:rPr>
                <w:rFonts w:ascii="Calibri" w:hAnsi="Calibri"/>
                <w:bCs/>
                <w:lang w:eastAsia="ja-JP"/>
              </w:rPr>
            </w:pPr>
            <w:r w:rsidRPr="00912996">
              <w:rPr>
                <w:rFonts w:ascii="Calibri" w:hAnsi="Calibri"/>
                <w:bCs/>
                <w:lang w:eastAsia="ja-JP"/>
              </w:rPr>
              <w:t>PS2, PMB, RATB, instituții culturale, parteneri privat</w:t>
            </w:r>
          </w:p>
        </w:tc>
        <w:tc>
          <w:tcPr>
            <w:tcW w:w="507" w:type="pct"/>
            <w:shd w:val="clear" w:color="auto" w:fill="F2F2F2"/>
            <w:hideMark/>
          </w:tcPr>
          <w:p w14:paraId="3A10FE4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8F8C11D"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3A155A04"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602B152E"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FD87BB8"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5F0F454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7E1329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0C908CB" w14:textId="77777777" w:rsidTr="00E16711">
        <w:trPr>
          <w:trHeight w:val="1584"/>
        </w:trPr>
        <w:tc>
          <w:tcPr>
            <w:tcW w:w="205" w:type="pct"/>
            <w:shd w:val="clear" w:color="auto" w:fill="F2F2F2"/>
            <w:noWrap/>
            <w:hideMark/>
          </w:tcPr>
          <w:p w14:paraId="07553257"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6A78DBC4" w14:textId="77777777" w:rsidR="00395D01" w:rsidRPr="00912996" w:rsidRDefault="00395D01" w:rsidP="00292396">
            <w:pPr>
              <w:rPr>
                <w:rFonts w:ascii="Calibri" w:hAnsi="Calibri"/>
                <w:bCs/>
                <w:lang w:eastAsia="ja-JP"/>
              </w:rPr>
            </w:pPr>
            <w:r w:rsidRPr="00912996">
              <w:rPr>
                <w:rFonts w:ascii="Calibri" w:hAnsi="Calibri"/>
                <w:bCs/>
                <w:lang w:eastAsia="ja-JP"/>
              </w:rPr>
              <w:t>Proiect complex de amenajare a unei axe culturale majore la nivelul Sectorului 2 cu tematică creativă și de agrement,  care să conecteze zona istorică și salba de lacuri a râului Colentina (Strada Pictor Arthur Verona, Strada Polonă, Calea Floreasca)</w:t>
            </w:r>
          </w:p>
        </w:tc>
        <w:tc>
          <w:tcPr>
            <w:tcW w:w="640" w:type="pct"/>
            <w:shd w:val="clear" w:color="auto" w:fill="F2F2F2"/>
            <w:hideMark/>
          </w:tcPr>
          <w:p w14:paraId="3993D5D4"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 parteneri privat</w:t>
            </w:r>
          </w:p>
        </w:tc>
        <w:tc>
          <w:tcPr>
            <w:tcW w:w="507" w:type="pct"/>
            <w:shd w:val="clear" w:color="auto" w:fill="F2F2F2"/>
            <w:hideMark/>
          </w:tcPr>
          <w:p w14:paraId="777F07D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F5DD864"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2E436133"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69F4B871"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C54BBDD"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9B7EDF2"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0301CA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6FC7477" w14:textId="77777777" w:rsidTr="00E16711">
        <w:trPr>
          <w:trHeight w:val="792"/>
        </w:trPr>
        <w:tc>
          <w:tcPr>
            <w:tcW w:w="205" w:type="pct"/>
            <w:shd w:val="clear" w:color="auto" w:fill="F2F2F2"/>
            <w:noWrap/>
            <w:hideMark/>
          </w:tcPr>
          <w:p w14:paraId="3B63159C"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6340CE8C" w14:textId="77777777" w:rsidR="00395D01" w:rsidRPr="00912996" w:rsidRDefault="00395D01" w:rsidP="00292396">
            <w:pPr>
              <w:rPr>
                <w:rFonts w:ascii="Calibri" w:hAnsi="Calibri"/>
                <w:bCs/>
                <w:lang w:eastAsia="ja-JP"/>
              </w:rPr>
            </w:pPr>
            <w:r w:rsidRPr="00912996">
              <w:rPr>
                <w:rFonts w:ascii="Calibri" w:hAnsi="Calibri"/>
                <w:bCs/>
                <w:lang w:eastAsia="ja-JP"/>
              </w:rPr>
              <w:t>Proiect complex de amenajare a unei axe culturale majore la nivelul Sectorului 2 care să promoveze multiculturalismul</w:t>
            </w:r>
          </w:p>
        </w:tc>
        <w:tc>
          <w:tcPr>
            <w:tcW w:w="640" w:type="pct"/>
            <w:shd w:val="clear" w:color="auto" w:fill="F2F2F2"/>
            <w:hideMark/>
          </w:tcPr>
          <w:p w14:paraId="4840C419"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 parteneri privat</w:t>
            </w:r>
          </w:p>
        </w:tc>
        <w:tc>
          <w:tcPr>
            <w:tcW w:w="507" w:type="pct"/>
            <w:shd w:val="clear" w:color="auto" w:fill="F2F2F2"/>
            <w:hideMark/>
          </w:tcPr>
          <w:p w14:paraId="77AFDAD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06BF35A" w14:textId="77777777" w:rsidR="00395D01" w:rsidRPr="00912996" w:rsidRDefault="00395D01" w:rsidP="00292396">
            <w:pPr>
              <w:rPr>
                <w:rFonts w:ascii="Calibri" w:hAnsi="Calibri"/>
                <w:bCs/>
                <w:lang w:eastAsia="ja-JP"/>
              </w:rPr>
            </w:pPr>
            <w:r w:rsidRPr="00912996">
              <w:rPr>
                <w:rFonts w:ascii="Calibri" w:hAnsi="Calibri"/>
                <w:bCs/>
                <w:lang w:eastAsia="ja-JP"/>
              </w:rPr>
              <w:t>24,500,000</w:t>
            </w:r>
          </w:p>
        </w:tc>
        <w:tc>
          <w:tcPr>
            <w:tcW w:w="411" w:type="pct"/>
            <w:shd w:val="clear" w:color="auto" w:fill="F2F2F2"/>
            <w:hideMark/>
          </w:tcPr>
          <w:p w14:paraId="38639DD6"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60AAE1E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6AA0A01"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44E9817"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262D6806"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B276344" w14:textId="77777777" w:rsidTr="00E16711">
        <w:trPr>
          <w:trHeight w:val="1056"/>
        </w:trPr>
        <w:tc>
          <w:tcPr>
            <w:tcW w:w="205" w:type="pct"/>
            <w:shd w:val="clear" w:color="auto" w:fill="F2F2F2"/>
            <w:noWrap/>
            <w:hideMark/>
          </w:tcPr>
          <w:p w14:paraId="0E0CBB3F"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19781457" w14:textId="77777777" w:rsidR="00395D01" w:rsidRPr="00912996" w:rsidRDefault="00395D01" w:rsidP="00292396">
            <w:pPr>
              <w:rPr>
                <w:rFonts w:ascii="Calibri" w:hAnsi="Calibri"/>
                <w:bCs/>
                <w:lang w:eastAsia="ja-JP"/>
              </w:rPr>
            </w:pPr>
            <w:r w:rsidRPr="00912996">
              <w:rPr>
                <w:rFonts w:ascii="Calibri" w:hAnsi="Calibri"/>
                <w:bCs/>
                <w:lang w:eastAsia="ja-JP"/>
              </w:rPr>
              <w:t>Dotarea Centrului Cultural "Mihai Eminescu" pentru a putea permite organizarea de evenimente în Amfiteatrul Mihai Eminescu</w:t>
            </w:r>
          </w:p>
        </w:tc>
        <w:tc>
          <w:tcPr>
            <w:tcW w:w="640" w:type="pct"/>
            <w:shd w:val="clear" w:color="auto" w:fill="F2F2F2"/>
            <w:hideMark/>
          </w:tcPr>
          <w:p w14:paraId="2EB106C7" w14:textId="77777777" w:rsidR="00395D01" w:rsidRPr="00912996" w:rsidRDefault="00395D01" w:rsidP="00292396">
            <w:pPr>
              <w:rPr>
                <w:rFonts w:ascii="Calibri" w:hAnsi="Calibri"/>
                <w:bCs/>
                <w:lang w:eastAsia="ja-JP"/>
              </w:rPr>
            </w:pPr>
            <w:r w:rsidRPr="00912996">
              <w:rPr>
                <w:rFonts w:ascii="Calibri" w:hAnsi="Calibri"/>
                <w:bCs/>
                <w:lang w:eastAsia="ja-JP"/>
              </w:rPr>
              <w:t>PS2, Centrul Cultural "Mihai Eminescu"</w:t>
            </w:r>
          </w:p>
        </w:tc>
        <w:tc>
          <w:tcPr>
            <w:tcW w:w="507" w:type="pct"/>
            <w:shd w:val="clear" w:color="auto" w:fill="F2F2F2"/>
            <w:hideMark/>
          </w:tcPr>
          <w:p w14:paraId="585DCA7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12D570E"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6371786B"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132593E4"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3A73E56"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620F3F09"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DF2154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D6DC698" w14:textId="77777777" w:rsidTr="00E16711">
        <w:trPr>
          <w:trHeight w:val="1320"/>
        </w:trPr>
        <w:tc>
          <w:tcPr>
            <w:tcW w:w="205" w:type="pct"/>
            <w:shd w:val="clear" w:color="auto" w:fill="F2F2F2"/>
            <w:noWrap/>
            <w:hideMark/>
          </w:tcPr>
          <w:p w14:paraId="41180823"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51FCF7C9" w14:textId="77777777" w:rsidR="00395D01" w:rsidRPr="00912996" w:rsidRDefault="00395D01" w:rsidP="00292396">
            <w:pPr>
              <w:rPr>
                <w:rFonts w:ascii="Calibri" w:hAnsi="Calibri"/>
                <w:bCs/>
                <w:lang w:eastAsia="ja-JP"/>
              </w:rPr>
            </w:pPr>
            <w:r w:rsidRPr="00912996">
              <w:rPr>
                <w:rFonts w:ascii="Calibri" w:hAnsi="Calibri"/>
                <w:bCs/>
                <w:lang w:eastAsia="ja-JP"/>
              </w:rPr>
              <w:t>Reabilitarea Cinematografului Cosmos și amenajarea acestuia pentru a găzdui un centru cultural multifuncțional</w:t>
            </w:r>
          </w:p>
        </w:tc>
        <w:tc>
          <w:tcPr>
            <w:tcW w:w="640" w:type="pct"/>
            <w:shd w:val="clear" w:color="auto" w:fill="F2F2F2"/>
            <w:hideMark/>
          </w:tcPr>
          <w:p w14:paraId="70BAC863"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w:t>
            </w:r>
          </w:p>
        </w:tc>
        <w:tc>
          <w:tcPr>
            <w:tcW w:w="507" w:type="pct"/>
            <w:shd w:val="clear" w:color="auto" w:fill="F2F2F2"/>
            <w:hideMark/>
          </w:tcPr>
          <w:p w14:paraId="48A66D2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3B686A7"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7C587674"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68C52C69"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F45A41D"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C10, C11, Fonduri private, Bugetul local, Alte surse de finanțare</w:t>
            </w:r>
          </w:p>
        </w:tc>
        <w:tc>
          <w:tcPr>
            <w:tcW w:w="433" w:type="pct"/>
            <w:shd w:val="clear" w:color="auto" w:fill="F2F2F2"/>
            <w:hideMark/>
          </w:tcPr>
          <w:p w14:paraId="5DB5E2EC"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25CF514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E739929" w14:textId="77777777" w:rsidTr="00E16711">
        <w:trPr>
          <w:trHeight w:val="1320"/>
        </w:trPr>
        <w:tc>
          <w:tcPr>
            <w:tcW w:w="205" w:type="pct"/>
            <w:shd w:val="clear" w:color="auto" w:fill="F2F2F2"/>
            <w:noWrap/>
            <w:hideMark/>
          </w:tcPr>
          <w:p w14:paraId="176878BB"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1DEC6AAA" w14:textId="77777777" w:rsidR="00395D01" w:rsidRPr="00912996" w:rsidRDefault="00395D01" w:rsidP="00292396">
            <w:pPr>
              <w:rPr>
                <w:rFonts w:ascii="Calibri" w:hAnsi="Calibri"/>
                <w:bCs/>
                <w:lang w:eastAsia="ja-JP"/>
              </w:rPr>
            </w:pPr>
            <w:r w:rsidRPr="00912996">
              <w:rPr>
                <w:rFonts w:ascii="Calibri" w:hAnsi="Calibri"/>
                <w:bCs/>
                <w:lang w:eastAsia="ja-JP"/>
              </w:rPr>
              <w:t>Reabilitarea Cinematografului Pache și amenajarea acestuia pentru a găzdui un centru cultural multifuncțional</w:t>
            </w:r>
          </w:p>
        </w:tc>
        <w:tc>
          <w:tcPr>
            <w:tcW w:w="640" w:type="pct"/>
            <w:shd w:val="clear" w:color="auto" w:fill="F2F2F2"/>
            <w:hideMark/>
          </w:tcPr>
          <w:p w14:paraId="11C4AF3D"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w:t>
            </w:r>
          </w:p>
        </w:tc>
        <w:tc>
          <w:tcPr>
            <w:tcW w:w="507" w:type="pct"/>
            <w:shd w:val="clear" w:color="auto" w:fill="F2F2F2"/>
            <w:hideMark/>
          </w:tcPr>
          <w:p w14:paraId="4183627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8656EFB"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165F87C6"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69E882AE"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7EA3F8E"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C10, C11, Fonduri private, Bugetul local, Alte surse de finanțare</w:t>
            </w:r>
          </w:p>
        </w:tc>
        <w:tc>
          <w:tcPr>
            <w:tcW w:w="433" w:type="pct"/>
            <w:shd w:val="clear" w:color="auto" w:fill="F2F2F2"/>
            <w:hideMark/>
          </w:tcPr>
          <w:p w14:paraId="1094E51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B26115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7A636E8" w14:textId="77777777" w:rsidTr="00E16711">
        <w:trPr>
          <w:trHeight w:val="1320"/>
        </w:trPr>
        <w:tc>
          <w:tcPr>
            <w:tcW w:w="205" w:type="pct"/>
            <w:shd w:val="clear" w:color="auto" w:fill="F2F2F2"/>
            <w:noWrap/>
            <w:hideMark/>
          </w:tcPr>
          <w:p w14:paraId="73C784F8"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48451E72" w14:textId="77777777" w:rsidR="00395D01" w:rsidRPr="00912996" w:rsidRDefault="00395D01" w:rsidP="00292396">
            <w:pPr>
              <w:rPr>
                <w:rFonts w:ascii="Calibri" w:hAnsi="Calibri"/>
                <w:bCs/>
                <w:lang w:eastAsia="ja-JP"/>
              </w:rPr>
            </w:pPr>
            <w:r w:rsidRPr="00912996">
              <w:rPr>
                <w:rFonts w:ascii="Calibri" w:hAnsi="Calibri"/>
                <w:bCs/>
                <w:lang w:eastAsia="ja-JP"/>
              </w:rPr>
              <w:t>Reconversia funcțională a  Morii lui Assan și amenajarea ansamblului pentru a găzdui un centru cultural multifuncțional</w:t>
            </w:r>
          </w:p>
        </w:tc>
        <w:tc>
          <w:tcPr>
            <w:tcW w:w="640" w:type="pct"/>
            <w:shd w:val="clear" w:color="auto" w:fill="F2F2F2"/>
            <w:hideMark/>
          </w:tcPr>
          <w:p w14:paraId="1EADDB1A"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EBB263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CB53D62" w14:textId="77777777" w:rsidR="00395D01" w:rsidRPr="00912996" w:rsidRDefault="00395D01" w:rsidP="00292396">
            <w:pPr>
              <w:rPr>
                <w:rFonts w:ascii="Calibri" w:hAnsi="Calibri"/>
                <w:bCs/>
                <w:lang w:eastAsia="ja-JP"/>
              </w:rPr>
            </w:pPr>
            <w:r w:rsidRPr="00912996">
              <w:rPr>
                <w:rFonts w:ascii="Calibri" w:hAnsi="Calibri"/>
                <w:bCs/>
                <w:lang w:eastAsia="ja-JP"/>
              </w:rPr>
              <w:t>Necesită evaluare</w:t>
            </w:r>
          </w:p>
        </w:tc>
        <w:tc>
          <w:tcPr>
            <w:tcW w:w="411" w:type="pct"/>
            <w:shd w:val="clear" w:color="auto" w:fill="F2F2F2"/>
            <w:hideMark/>
          </w:tcPr>
          <w:p w14:paraId="10009DB0" w14:textId="77777777" w:rsidR="00395D01" w:rsidRPr="00912996" w:rsidRDefault="00395D01" w:rsidP="00292396">
            <w:pPr>
              <w:rPr>
                <w:rFonts w:ascii="Calibri" w:hAnsi="Calibri"/>
                <w:bCs/>
                <w:lang w:eastAsia="ja-JP"/>
              </w:rPr>
            </w:pPr>
            <w:r w:rsidRPr="00912996">
              <w:rPr>
                <w:rFonts w:ascii="Calibri" w:hAnsi="Calibri"/>
                <w:bCs/>
                <w:lang w:eastAsia="ja-JP"/>
              </w:rPr>
              <w:t>Necesită evaluare</w:t>
            </w:r>
          </w:p>
        </w:tc>
        <w:tc>
          <w:tcPr>
            <w:tcW w:w="347" w:type="pct"/>
            <w:shd w:val="clear" w:color="auto" w:fill="F2F2F2"/>
            <w:hideMark/>
          </w:tcPr>
          <w:p w14:paraId="02AE2E8D"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F3C80E1" w14:textId="77777777" w:rsidR="00395D01" w:rsidRPr="00912996" w:rsidRDefault="00395D01" w:rsidP="00292396">
            <w:pPr>
              <w:rPr>
                <w:rFonts w:ascii="Calibri" w:hAnsi="Calibri"/>
                <w:bCs/>
                <w:lang w:eastAsia="ja-JP"/>
              </w:rPr>
            </w:pPr>
            <w:r w:rsidRPr="00912996">
              <w:rPr>
                <w:rFonts w:ascii="Calibri" w:hAnsi="Calibri"/>
                <w:bCs/>
                <w:lang w:eastAsia="ja-JP"/>
              </w:rPr>
              <w:t>POR BI 2021-2027 P7, PNRR C10, C11, Fonduri private, Bugetul local, Alte surse de finanțare</w:t>
            </w:r>
          </w:p>
        </w:tc>
        <w:tc>
          <w:tcPr>
            <w:tcW w:w="433" w:type="pct"/>
            <w:shd w:val="clear" w:color="auto" w:fill="F2F2F2"/>
            <w:hideMark/>
          </w:tcPr>
          <w:p w14:paraId="7F2937A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B4881B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 Propunere consultant</w:t>
            </w:r>
          </w:p>
        </w:tc>
      </w:tr>
      <w:tr w:rsidR="00E16711" w:rsidRPr="00912996" w14:paraId="33480A1F" w14:textId="77777777" w:rsidTr="00E16711">
        <w:trPr>
          <w:trHeight w:val="792"/>
        </w:trPr>
        <w:tc>
          <w:tcPr>
            <w:tcW w:w="205" w:type="pct"/>
            <w:shd w:val="clear" w:color="auto" w:fill="F2F2F2"/>
            <w:noWrap/>
            <w:hideMark/>
          </w:tcPr>
          <w:p w14:paraId="1E9536E1"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5D670BFC" w14:textId="77777777" w:rsidR="00395D01" w:rsidRPr="00912996" w:rsidRDefault="00395D01" w:rsidP="00292396">
            <w:pPr>
              <w:rPr>
                <w:rFonts w:ascii="Calibri" w:hAnsi="Calibri"/>
                <w:bCs/>
                <w:lang w:eastAsia="ja-JP"/>
              </w:rPr>
            </w:pPr>
            <w:r w:rsidRPr="00912996">
              <w:rPr>
                <w:rFonts w:ascii="Calibri" w:hAnsi="Calibri"/>
                <w:bCs/>
                <w:lang w:eastAsia="ja-JP"/>
              </w:rPr>
              <w:t>Realizarea unui centru cultural multifuncțional în zona Obor-Electronicii (parte a proiectului Zonei Complexe Obor)</w:t>
            </w:r>
          </w:p>
        </w:tc>
        <w:tc>
          <w:tcPr>
            <w:tcW w:w="640" w:type="pct"/>
            <w:shd w:val="clear" w:color="auto" w:fill="F2F2F2"/>
            <w:hideMark/>
          </w:tcPr>
          <w:p w14:paraId="5543AFD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20BEB20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EBFF92D"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35C71641"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31AD8C76"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69F26454"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2FFE613"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E2A2E8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1788CAF" w14:textId="77777777" w:rsidTr="00E16711">
        <w:trPr>
          <w:trHeight w:val="1056"/>
        </w:trPr>
        <w:tc>
          <w:tcPr>
            <w:tcW w:w="205" w:type="pct"/>
            <w:shd w:val="clear" w:color="auto" w:fill="F2F2F2"/>
            <w:noWrap/>
            <w:hideMark/>
          </w:tcPr>
          <w:p w14:paraId="6DB924B2"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72C1ADE8" w14:textId="77777777" w:rsidR="00395D01" w:rsidRPr="00912996" w:rsidRDefault="00395D01" w:rsidP="00292396">
            <w:pPr>
              <w:rPr>
                <w:rFonts w:ascii="Calibri" w:hAnsi="Calibri"/>
                <w:bCs/>
                <w:lang w:eastAsia="ja-JP"/>
              </w:rPr>
            </w:pPr>
            <w:r w:rsidRPr="00912996">
              <w:rPr>
                <w:rFonts w:ascii="Calibri" w:hAnsi="Calibri"/>
                <w:bCs/>
                <w:lang w:eastAsia="ja-JP"/>
              </w:rPr>
              <w:t>Creare de centre comunitare în Sectorul 2 pentru sprijinirea activităților creative</w:t>
            </w:r>
          </w:p>
        </w:tc>
        <w:tc>
          <w:tcPr>
            <w:tcW w:w="640" w:type="pct"/>
            <w:shd w:val="clear" w:color="auto" w:fill="F2F2F2"/>
            <w:hideMark/>
          </w:tcPr>
          <w:p w14:paraId="0B399731" w14:textId="77777777" w:rsidR="00395D01" w:rsidRPr="00912996" w:rsidRDefault="00395D01" w:rsidP="00292396">
            <w:pPr>
              <w:rPr>
                <w:rFonts w:ascii="Calibri" w:hAnsi="Calibri"/>
                <w:bCs/>
                <w:lang w:eastAsia="ja-JP"/>
              </w:rPr>
            </w:pPr>
            <w:r w:rsidRPr="00912996">
              <w:rPr>
                <w:rFonts w:ascii="Calibri" w:hAnsi="Calibri"/>
                <w:bCs/>
                <w:lang w:eastAsia="ja-JP"/>
              </w:rPr>
              <w:t>PS2, PMB</w:t>
            </w:r>
          </w:p>
        </w:tc>
        <w:tc>
          <w:tcPr>
            <w:tcW w:w="507" w:type="pct"/>
            <w:shd w:val="clear" w:color="auto" w:fill="F2F2F2"/>
            <w:hideMark/>
          </w:tcPr>
          <w:p w14:paraId="3B69FAA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BC1E049"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07C647E2"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5CC06A36"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CB793E6"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9B1C92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47FAF66" w14:textId="77777777" w:rsidR="00395D01" w:rsidRPr="00912996" w:rsidRDefault="00395D01" w:rsidP="00292396">
            <w:pPr>
              <w:rPr>
                <w:rFonts w:ascii="Calibri" w:hAnsi="Calibri"/>
                <w:bCs/>
                <w:lang w:eastAsia="ja-JP"/>
              </w:rPr>
            </w:pPr>
            <w:r w:rsidRPr="00912996">
              <w:rPr>
                <w:rFonts w:ascii="Calibri" w:hAnsi="Calibri"/>
                <w:bCs/>
                <w:lang w:eastAsia="ja-JP"/>
              </w:rPr>
              <w:t>PS2_Anexa 1. SIDU MB - Lista lungă de proiecte / Propunere consultant</w:t>
            </w:r>
          </w:p>
        </w:tc>
      </w:tr>
      <w:tr w:rsidR="00E16711" w:rsidRPr="00912996" w14:paraId="2AA69807" w14:textId="77777777" w:rsidTr="00E16711">
        <w:trPr>
          <w:trHeight w:val="1320"/>
        </w:trPr>
        <w:tc>
          <w:tcPr>
            <w:tcW w:w="205" w:type="pct"/>
            <w:shd w:val="clear" w:color="auto" w:fill="F2F2F2"/>
            <w:noWrap/>
            <w:hideMark/>
          </w:tcPr>
          <w:p w14:paraId="78B9EAFD" w14:textId="77777777" w:rsidR="00395D01" w:rsidRPr="00912996" w:rsidRDefault="00395D01" w:rsidP="00292396">
            <w:pPr>
              <w:rPr>
                <w:rFonts w:ascii="Calibri" w:hAnsi="Calibri"/>
                <w:bCs/>
                <w:lang w:eastAsia="ja-JP"/>
              </w:rPr>
            </w:pPr>
            <w:r w:rsidRPr="00912996">
              <w:rPr>
                <w:rFonts w:ascii="Calibri" w:hAnsi="Calibri"/>
                <w:bCs/>
                <w:lang w:eastAsia="ja-JP"/>
              </w:rPr>
              <w:t>16</w:t>
            </w:r>
          </w:p>
        </w:tc>
        <w:tc>
          <w:tcPr>
            <w:tcW w:w="1018" w:type="pct"/>
            <w:gridSpan w:val="2"/>
            <w:shd w:val="clear" w:color="auto" w:fill="F2F2F2"/>
            <w:hideMark/>
          </w:tcPr>
          <w:p w14:paraId="0F78EED0" w14:textId="77777777" w:rsidR="00395D01" w:rsidRPr="00912996" w:rsidRDefault="00395D01" w:rsidP="00292396">
            <w:pPr>
              <w:rPr>
                <w:rFonts w:ascii="Calibri" w:hAnsi="Calibri"/>
                <w:bCs/>
                <w:lang w:eastAsia="ja-JP"/>
              </w:rPr>
            </w:pPr>
            <w:r w:rsidRPr="00912996">
              <w:rPr>
                <w:rFonts w:ascii="Calibri" w:hAnsi="Calibri"/>
                <w:bCs/>
                <w:lang w:eastAsia="ja-JP"/>
              </w:rPr>
              <w:t>Crearea unor puncte multifuncționale în fiecare parc al sectorului care să cuprindă: bibliotecă mobilă, spații de concerte/spectacole în aer liber/conferințe și întâlniri cu artiști</w:t>
            </w:r>
          </w:p>
        </w:tc>
        <w:tc>
          <w:tcPr>
            <w:tcW w:w="640" w:type="pct"/>
            <w:shd w:val="clear" w:color="auto" w:fill="F2F2F2"/>
            <w:hideMark/>
          </w:tcPr>
          <w:p w14:paraId="2D6E61A1"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EA41C9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8E9315B"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251756F0"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0B6EF7CD"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B25394E" w14:textId="77777777" w:rsidR="00395D01" w:rsidRPr="00912996" w:rsidRDefault="00395D01" w:rsidP="00292396">
            <w:pPr>
              <w:rPr>
                <w:rFonts w:ascii="Calibri" w:hAnsi="Calibri"/>
                <w:bCs/>
                <w:lang w:eastAsia="ja-JP"/>
              </w:rPr>
            </w:pPr>
            <w:r w:rsidRPr="00912996">
              <w:rPr>
                <w:rFonts w:ascii="Calibri" w:hAnsi="Calibri"/>
                <w:bCs/>
                <w:lang w:eastAsia="ja-JP"/>
              </w:rPr>
              <w:t>AFCN, Bugetul local, Alte surse de finanțare</w:t>
            </w:r>
          </w:p>
        </w:tc>
        <w:tc>
          <w:tcPr>
            <w:tcW w:w="433" w:type="pct"/>
            <w:shd w:val="clear" w:color="auto" w:fill="F2F2F2"/>
            <w:hideMark/>
          </w:tcPr>
          <w:p w14:paraId="1E144A4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B71DFE2" w14:textId="77777777" w:rsidR="00395D01" w:rsidRPr="00912996" w:rsidRDefault="00395D01" w:rsidP="00292396">
            <w:pPr>
              <w:rPr>
                <w:rFonts w:ascii="Calibri" w:hAnsi="Calibri"/>
                <w:bCs/>
                <w:lang w:eastAsia="ja-JP"/>
              </w:rPr>
            </w:pPr>
            <w:r w:rsidRPr="00912996">
              <w:rPr>
                <w:rFonts w:ascii="Calibri" w:hAnsi="Calibri"/>
                <w:bCs/>
                <w:lang w:eastAsia="ja-JP"/>
              </w:rPr>
              <w:t>PS2_Anexa 1. SIDU MB - Lista lungă de proiecte / Propunere consultant</w:t>
            </w:r>
          </w:p>
        </w:tc>
      </w:tr>
      <w:tr w:rsidR="00E16711" w:rsidRPr="00912996" w14:paraId="1A9CC5BE" w14:textId="77777777" w:rsidTr="00976191">
        <w:trPr>
          <w:trHeight w:val="1200"/>
        </w:trPr>
        <w:tc>
          <w:tcPr>
            <w:tcW w:w="205" w:type="pct"/>
            <w:shd w:val="clear" w:color="auto" w:fill="F2F2F2"/>
            <w:noWrap/>
            <w:hideMark/>
          </w:tcPr>
          <w:p w14:paraId="5422FD7D" w14:textId="77777777" w:rsidR="00395D01" w:rsidRPr="00912996" w:rsidRDefault="00395D01" w:rsidP="00292396">
            <w:pPr>
              <w:rPr>
                <w:rFonts w:ascii="Calibri" w:hAnsi="Calibri"/>
                <w:bCs/>
                <w:lang w:eastAsia="ja-JP"/>
              </w:rPr>
            </w:pPr>
            <w:r w:rsidRPr="00912996">
              <w:rPr>
                <w:rFonts w:ascii="Calibri" w:hAnsi="Calibri"/>
                <w:bCs/>
                <w:lang w:eastAsia="ja-JP"/>
              </w:rPr>
              <w:t>17</w:t>
            </w:r>
          </w:p>
        </w:tc>
        <w:tc>
          <w:tcPr>
            <w:tcW w:w="1018" w:type="pct"/>
            <w:gridSpan w:val="2"/>
            <w:shd w:val="clear" w:color="auto" w:fill="F2F2F2"/>
            <w:hideMark/>
          </w:tcPr>
          <w:p w14:paraId="5D63800C" w14:textId="77777777" w:rsidR="00395D01" w:rsidRPr="00912996" w:rsidRDefault="00395D01" w:rsidP="00292396">
            <w:pPr>
              <w:rPr>
                <w:rFonts w:ascii="Calibri" w:hAnsi="Calibri"/>
                <w:bCs/>
                <w:lang w:eastAsia="ja-JP"/>
              </w:rPr>
            </w:pPr>
            <w:r w:rsidRPr="00912996">
              <w:rPr>
                <w:rFonts w:ascii="Calibri" w:hAnsi="Calibri"/>
                <w:bCs/>
                <w:lang w:eastAsia="ja-JP"/>
              </w:rPr>
              <w:t>Consolidare clădire Centrul Cultural Expo Arte (str. Batistei 14)</w:t>
            </w:r>
          </w:p>
        </w:tc>
        <w:tc>
          <w:tcPr>
            <w:tcW w:w="640" w:type="pct"/>
            <w:shd w:val="clear" w:color="auto" w:fill="F2F2F2"/>
            <w:hideMark/>
          </w:tcPr>
          <w:p w14:paraId="4D342BD1"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581DA7F" w14:textId="77777777" w:rsidR="00395D01" w:rsidRPr="00912996" w:rsidRDefault="00395D01" w:rsidP="00292396">
            <w:pPr>
              <w:rPr>
                <w:rFonts w:ascii="Calibri" w:hAnsi="Calibri"/>
                <w:bCs/>
                <w:lang w:eastAsia="ja-JP"/>
              </w:rPr>
            </w:pPr>
            <w:r w:rsidRPr="00912996">
              <w:rPr>
                <w:rFonts w:ascii="Calibri" w:hAnsi="Calibri"/>
                <w:bCs/>
                <w:lang w:eastAsia="ja-JP"/>
              </w:rPr>
              <w:t>Elaborare SF</w:t>
            </w:r>
          </w:p>
        </w:tc>
        <w:tc>
          <w:tcPr>
            <w:tcW w:w="473" w:type="pct"/>
            <w:shd w:val="clear" w:color="auto" w:fill="F2F2F2"/>
            <w:hideMark/>
          </w:tcPr>
          <w:p w14:paraId="41A837B7" w14:textId="77777777" w:rsidR="00395D01" w:rsidRPr="00912996" w:rsidRDefault="00395D01" w:rsidP="00292396">
            <w:pPr>
              <w:rPr>
                <w:rFonts w:ascii="Calibri" w:hAnsi="Calibri"/>
                <w:bCs/>
                <w:lang w:eastAsia="ja-JP"/>
              </w:rPr>
            </w:pPr>
            <w:r w:rsidRPr="00912996">
              <w:rPr>
                <w:rFonts w:ascii="Calibri" w:hAnsi="Calibri"/>
                <w:bCs/>
                <w:lang w:eastAsia="ja-JP"/>
              </w:rPr>
              <w:t>12,250,000</w:t>
            </w:r>
          </w:p>
        </w:tc>
        <w:tc>
          <w:tcPr>
            <w:tcW w:w="411" w:type="pct"/>
            <w:shd w:val="clear" w:color="auto" w:fill="F2F2F2"/>
            <w:hideMark/>
          </w:tcPr>
          <w:p w14:paraId="6D6E51CD" w14:textId="77777777" w:rsidR="00395D01" w:rsidRPr="00912996" w:rsidRDefault="00395D01" w:rsidP="00292396">
            <w:pPr>
              <w:rPr>
                <w:rFonts w:ascii="Calibri" w:hAnsi="Calibri"/>
                <w:bCs/>
                <w:lang w:eastAsia="ja-JP"/>
              </w:rPr>
            </w:pPr>
            <w:r w:rsidRPr="00912996">
              <w:rPr>
                <w:rFonts w:ascii="Calibri" w:hAnsi="Calibri"/>
                <w:bCs/>
                <w:lang w:eastAsia="ja-JP"/>
              </w:rPr>
              <w:t>2,500,000</w:t>
            </w:r>
          </w:p>
        </w:tc>
        <w:tc>
          <w:tcPr>
            <w:tcW w:w="347" w:type="pct"/>
            <w:shd w:val="clear" w:color="auto" w:fill="F2F2F2"/>
            <w:hideMark/>
          </w:tcPr>
          <w:p w14:paraId="3C451C03"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250605A"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08D3E8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5A5899A" w14:textId="77777777" w:rsidR="00395D01" w:rsidRPr="00912996" w:rsidRDefault="00395D01" w:rsidP="00292396">
            <w:pPr>
              <w:rPr>
                <w:rFonts w:ascii="Calibri" w:hAnsi="Calibri"/>
                <w:bCs/>
                <w:lang w:eastAsia="ja-JP"/>
              </w:rPr>
            </w:pPr>
            <w:r w:rsidRPr="00912996">
              <w:rPr>
                <w:rFonts w:ascii="Calibri" w:hAnsi="Calibri"/>
                <w:bCs/>
                <w:lang w:eastAsia="ja-JP"/>
              </w:rPr>
              <w:t>Anexa 3. SIDU București - Lista proiecte prioritare PS2</w:t>
            </w:r>
          </w:p>
        </w:tc>
      </w:tr>
      <w:tr w:rsidR="00E16711" w:rsidRPr="00912996" w14:paraId="5AF6828A" w14:textId="77777777" w:rsidTr="00976191">
        <w:trPr>
          <w:trHeight w:val="1263"/>
        </w:trPr>
        <w:tc>
          <w:tcPr>
            <w:tcW w:w="205" w:type="pct"/>
            <w:shd w:val="clear" w:color="auto" w:fill="F2F2F2"/>
            <w:noWrap/>
            <w:hideMark/>
          </w:tcPr>
          <w:p w14:paraId="0B5AD9FA" w14:textId="77777777" w:rsidR="00395D01" w:rsidRPr="00912996" w:rsidRDefault="00395D01" w:rsidP="00292396">
            <w:pPr>
              <w:rPr>
                <w:rFonts w:ascii="Calibri" w:hAnsi="Calibri"/>
                <w:bCs/>
                <w:lang w:eastAsia="ja-JP"/>
              </w:rPr>
            </w:pPr>
            <w:r w:rsidRPr="00912996">
              <w:rPr>
                <w:rFonts w:ascii="Calibri" w:hAnsi="Calibri"/>
                <w:bCs/>
                <w:lang w:eastAsia="ja-JP"/>
              </w:rPr>
              <w:t>18</w:t>
            </w:r>
          </w:p>
        </w:tc>
        <w:tc>
          <w:tcPr>
            <w:tcW w:w="1018" w:type="pct"/>
            <w:gridSpan w:val="2"/>
            <w:shd w:val="clear" w:color="auto" w:fill="F2F2F2"/>
            <w:hideMark/>
          </w:tcPr>
          <w:p w14:paraId="3768F807" w14:textId="77777777" w:rsidR="00395D01" w:rsidRPr="00912996" w:rsidRDefault="00395D01" w:rsidP="00292396">
            <w:pPr>
              <w:rPr>
                <w:rFonts w:ascii="Calibri" w:hAnsi="Calibri"/>
                <w:bCs/>
                <w:lang w:eastAsia="ja-JP"/>
              </w:rPr>
            </w:pPr>
            <w:r w:rsidRPr="00912996">
              <w:rPr>
                <w:rFonts w:ascii="Calibri" w:hAnsi="Calibri"/>
                <w:bCs/>
                <w:lang w:eastAsia="ja-JP"/>
              </w:rPr>
              <w:t>Construirea/modernizarea/extinderea de clădiri și anexe aferente în vederea construirii unor centre destinate comunității</w:t>
            </w:r>
          </w:p>
        </w:tc>
        <w:tc>
          <w:tcPr>
            <w:tcW w:w="640" w:type="pct"/>
            <w:shd w:val="clear" w:color="auto" w:fill="F2F2F2"/>
            <w:hideMark/>
          </w:tcPr>
          <w:p w14:paraId="510004D3"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8C5FC2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E67346B" w14:textId="77777777" w:rsidR="00395D01" w:rsidRPr="00912996" w:rsidRDefault="00395D01" w:rsidP="00292396">
            <w:pPr>
              <w:rPr>
                <w:rFonts w:ascii="Calibri" w:hAnsi="Calibri"/>
                <w:bCs/>
                <w:lang w:eastAsia="ja-JP"/>
              </w:rPr>
            </w:pPr>
            <w:r w:rsidRPr="00912996">
              <w:rPr>
                <w:rFonts w:ascii="Calibri" w:hAnsi="Calibri"/>
                <w:bCs/>
                <w:lang w:eastAsia="ja-JP"/>
              </w:rPr>
              <w:t>14,700,000</w:t>
            </w:r>
          </w:p>
        </w:tc>
        <w:tc>
          <w:tcPr>
            <w:tcW w:w="411" w:type="pct"/>
            <w:shd w:val="clear" w:color="auto" w:fill="F2F2F2"/>
            <w:hideMark/>
          </w:tcPr>
          <w:p w14:paraId="4852B4F4"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347" w:type="pct"/>
            <w:shd w:val="clear" w:color="auto" w:fill="F2F2F2"/>
            <w:hideMark/>
          </w:tcPr>
          <w:p w14:paraId="27F4C471"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420E7AF"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D650D1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8B460E9"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395D01" w:rsidRPr="00912996" w14:paraId="5AD5DDC3" w14:textId="77777777" w:rsidTr="00292396">
        <w:trPr>
          <w:trHeight w:val="264"/>
        </w:trPr>
        <w:tc>
          <w:tcPr>
            <w:tcW w:w="5000" w:type="pct"/>
            <w:gridSpan w:val="12"/>
            <w:shd w:val="clear" w:color="auto" w:fill="BBD9A0"/>
            <w:noWrap/>
            <w:hideMark/>
          </w:tcPr>
          <w:p w14:paraId="3DFAD54E" w14:textId="77777777" w:rsidR="00395D01" w:rsidRPr="00912996" w:rsidRDefault="00395D01" w:rsidP="00292396">
            <w:pPr>
              <w:rPr>
                <w:rFonts w:ascii="Calibri" w:hAnsi="Calibri"/>
                <w:b/>
                <w:bCs/>
                <w:color w:val="FFFFFF"/>
                <w:lang w:eastAsia="ja-JP"/>
              </w:rPr>
            </w:pPr>
            <w:r w:rsidRPr="00912996">
              <w:rPr>
                <w:rFonts w:ascii="Calibri" w:hAnsi="Calibri"/>
                <w:b/>
                <w:bCs/>
                <w:color w:val="FFFFFF"/>
                <w:lang w:eastAsia="ja-JP"/>
              </w:rPr>
              <w:t>D1.5.2. Descentralizarea ofertei culturale și încurajarea sporirii consumului cultural</w:t>
            </w:r>
          </w:p>
        </w:tc>
      </w:tr>
      <w:tr w:rsidR="00E16711" w:rsidRPr="00912996" w14:paraId="6EEAFF0B" w14:textId="77777777" w:rsidTr="00E16711">
        <w:trPr>
          <w:trHeight w:val="1056"/>
        </w:trPr>
        <w:tc>
          <w:tcPr>
            <w:tcW w:w="205" w:type="pct"/>
            <w:shd w:val="clear" w:color="auto" w:fill="F2F2F2"/>
            <w:noWrap/>
            <w:hideMark/>
          </w:tcPr>
          <w:p w14:paraId="59A9662B"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52C161C7" w14:textId="77777777" w:rsidR="00395D01" w:rsidRPr="00912996" w:rsidRDefault="00395D01" w:rsidP="00292396">
            <w:pPr>
              <w:rPr>
                <w:rFonts w:ascii="Calibri" w:hAnsi="Calibri"/>
                <w:bCs/>
                <w:lang w:eastAsia="ja-JP"/>
              </w:rPr>
            </w:pPr>
            <w:r w:rsidRPr="00912996">
              <w:rPr>
                <w:rFonts w:ascii="Calibri" w:hAnsi="Calibri"/>
                <w:bCs/>
                <w:lang w:eastAsia="ja-JP"/>
              </w:rPr>
              <w:t>Dezvoltarea unei aplicații web de prezentare a clădirilor monumente istorice din Sectorul 2, cu accent pe obiectivele culturale sau turistice</w:t>
            </w:r>
          </w:p>
        </w:tc>
        <w:tc>
          <w:tcPr>
            <w:tcW w:w="640" w:type="pct"/>
            <w:shd w:val="clear" w:color="auto" w:fill="F2F2F2"/>
            <w:hideMark/>
          </w:tcPr>
          <w:p w14:paraId="5FD0E72F" w14:textId="77777777" w:rsidR="00395D01" w:rsidRPr="00912996" w:rsidRDefault="00395D01" w:rsidP="00292396">
            <w:pPr>
              <w:rPr>
                <w:rFonts w:ascii="Calibri" w:hAnsi="Calibri"/>
                <w:bCs/>
                <w:lang w:eastAsia="ja-JP"/>
              </w:rPr>
            </w:pPr>
            <w:r w:rsidRPr="00912996">
              <w:rPr>
                <w:rFonts w:ascii="Calibri" w:hAnsi="Calibri"/>
                <w:bCs/>
                <w:lang w:eastAsia="ja-JP"/>
              </w:rPr>
              <w:t>PS2, PMB, DCMB</w:t>
            </w:r>
          </w:p>
        </w:tc>
        <w:tc>
          <w:tcPr>
            <w:tcW w:w="507" w:type="pct"/>
            <w:shd w:val="clear" w:color="auto" w:fill="F2F2F2"/>
            <w:hideMark/>
          </w:tcPr>
          <w:p w14:paraId="6C41D26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430F16A" w14:textId="77777777" w:rsidR="00395D01" w:rsidRPr="00912996" w:rsidRDefault="00395D01" w:rsidP="00292396">
            <w:pPr>
              <w:rPr>
                <w:rFonts w:ascii="Calibri" w:hAnsi="Calibri"/>
                <w:bCs/>
                <w:lang w:eastAsia="ja-JP"/>
              </w:rPr>
            </w:pPr>
            <w:r w:rsidRPr="00912996">
              <w:rPr>
                <w:rFonts w:ascii="Calibri" w:hAnsi="Calibri"/>
                <w:bCs/>
                <w:lang w:eastAsia="ja-JP"/>
              </w:rPr>
              <w:t>700,000</w:t>
            </w:r>
          </w:p>
        </w:tc>
        <w:tc>
          <w:tcPr>
            <w:tcW w:w="411" w:type="pct"/>
            <w:shd w:val="clear" w:color="auto" w:fill="F2F2F2"/>
            <w:hideMark/>
          </w:tcPr>
          <w:p w14:paraId="54AA3411" w14:textId="77777777" w:rsidR="00395D01" w:rsidRPr="00912996" w:rsidRDefault="00395D01" w:rsidP="00292396">
            <w:pPr>
              <w:rPr>
                <w:rFonts w:ascii="Calibri" w:hAnsi="Calibri"/>
                <w:bCs/>
                <w:lang w:eastAsia="ja-JP"/>
              </w:rPr>
            </w:pPr>
            <w:r w:rsidRPr="00912996">
              <w:rPr>
                <w:rFonts w:ascii="Calibri" w:hAnsi="Calibri"/>
                <w:bCs/>
                <w:lang w:eastAsia="ja-JP"/>
              </w:rPr>
              <w:t>142,857</w:t>
            </w:r>
          </w:p>
        </w:tc>
        <w:tc>
          <w:tcPr>
            <w:tcW w:w="347" w:type="pct"/>
            <w:shd w:val="clear" w:color="auto" w:fill="F2F2F2"/>
            <w:hideMark/>
          </w:tcPr>
          <w:p w14:paraId="209C51BC" w14:textId="77777777" w:rsidR="00395D01" w:rsidRPr="00912996" w:rsidRDefault="00395D01" w:rsidP="0029239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7F85FCE"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E8038C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80E1291"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1AEE51FA" w14:textId="77777777" w:rsidTr="00E16711">
        <w:trPr>
          <w:trHeight w:val="1320"/>
        </w:trPr>
        <w:tc>
          <w:tcPr>
            <w:tcW w:w="205" w:type="pct"/>
            <w:shd w:val="clear" w:color="auto" w:fill="F2F2F2"/>
            <w:noWrap/>
            <w:hideMark/>
          </w:tcPr>
          <w:p w14:paraId="484735F1"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6EED3C95" w14:textId="77777777" w:rsidR="00395D01" w:rsidRPr="00912996" w:rsidRDefault="00395D01" w:rsidP="00292396">
            <w:pPr>
              <w:rPr>
                <w:rFonts w:ascii="Calibri" w:hAnsi="Calibri"/>
                <w:bCs/>
                <w:lang w:eastAsia="ja-JP"/>
              </w:rPr>
            </w:pPr>
            <w:r w:rsidRPr="00912996">
              <w:rPr>
                <w:rFonts w:ascii="Calibri" w:hAnsi="Calibri"/>
                <w:bCs/>
                <w:lang w:eastAsia="ja-JP"/>
              </w:rPr>
              <w:t>Eveniment: Istorie și artă în România</w:t>
            </w:r>
          </w:p>
        </w:tc>
        <w:tc>
          <w:tcPr>
            <w:tcW w:w="640" w:type="pct"/>
            <w:shd w:val="clear" w:color="auto" w:fill="F2F2F2"/>
            <w:hideMark/>
          </w:tcPr>
          <w:p w14:paraId="1E3A1EC3" w14:textId="77777777" w:rsidR="00395D01" w:rsidRPr="00912996" w:rsidRDefault="00395D01" w:rsidP="00292396">
            <w:pPr>
              <w:rPr>
                <w:rFonts w:ascii="Calibri" w:hAnsi="Calibri"/>
                <w:bCs/>
                <w:lang w:eastAsia="ja-JP"/>
              </w:rPr>
            </w:pPr>
            <w:r w:rsidRPr="00912996">
              <w:rPr>
                <w:rFonts w:ascii="Calibri" w:hAnsi="Calibri"/>
                <w:bCs/>
                <w:lang w:eastAsia="ja-JP"/>
              </w:rPr>
              <w:t>PS2, Centrul Cultural Mihai Eminescu</w:t>
            </w:r>
          </w:p>
        </w:tc>
        <w:tc>
          <w:tcPr>
            <w:tcW w:w="507" w:type="pct"/>
            <w:shd w:val="clear" w:color="auto" w:fill="F2F2F2"/>
            <w:hideMark/>
          </w:tcPr>
          <w:p w14:paraId="36BAD16B"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3800C0A6"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0FEB84C9"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5951DCBF"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348E8166"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5A07031D"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A0F604D" w14:textId="77777777" w:rsidR="00395D01" w:rsidRPr="00912996" w:rsidRDefault="00395D01" w:rsidP="00292396">
            <w:pPr>
              <w:rPr>
                <w:rFonts w:ascii="Calibri" w:hAnsi="Calibri"/>
                <w:bCs/>
                <w:lang w:eastAsia="ja-JP"/>
              </w:rPr>
            </w:pPr>
            <w:r w:rsidRPr="00912996">
              <w:rPr>
                <w:rFonts w:ascii="Calibri" w:hAnsi="Calibri"/>
                <w:bCs/>
                <w:lang w:eastAsia="ja-JP"/>
              </w:rPr>
              <w:t>Proiecte în implementare - Răspuns Centrul Cultural Mihai Eminescu</w:t>
            </w:r>
          </w:p>
        </w:tc>
      </w:tr>
      <w:tr w:rsidR="00E16711" w:rsidRPr="00912996" w14:paraId="0FFA064E" w14:textId="77777777" w:rsidTr="00E16711">
        <w:trPr>
          <w:trHeight w:val="1320"/>
        </w:trPr>
        <w:tc>
          <w:tcPr>
            <w:tcW w:w="205" w:type="pct"/>
            <w:shd w:val="clear" w:color="auto" w:fill="F2F2F2"/>
            <w:noWrap/>
            <w:hideMark/>
          </w:tcPr>
          <w:p w14:paraId="43CB9BCB"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75248885" w14:textId="77777777" w:rsidR="00395D01" w:rsidRPr="00912996" w:rsidRDefault="00395D01" w:rsidP="00292396">
            <w:pPr>
              <w:rPr>
                <w:rFonts w:ascii="Calibri" w:hAnsi="Calibri"/>
                <w:bCs/>
                <w:lang w:eastAsia="ja-JP"/>
              </w:rPr>
            </w:pPr>
            <w:r w:rsidRPr="00912996">
              <w:rPr>
                <w:rFonts w:ascii="Calibri" w:hAnsi="Calibri"/>
                <w:bCs/>
                <w:lang w:eastAsia="ja-JP"/>
              </w:rPr>
              <w:t>Eveniment: Pledoarie pentru patrimoniul intangibil</w:t>
            </w:r>
          </w:p>
        </w:tc>
        <w:tc>
          <w:tcPr>
            <w:tcW w:w="640" w:type="pct"/>
            <w:shd w:val="clear" w:color="auto" w:fill="F2F2F2"/>
            <w:hideMark/>
          </w:tcPr>
          <w:p w14:paraId="159644FD" w14:textId="77777777" w:rsidR="00395D01" w:rsidRPr="00912996" w:rsidRDefault="00395D01" w:rsidP="00292396">
            <w:pPr>
              <w:rPr>
                <w:rFonts w:ascii="Calibri" w:hAnsi="Calibri"/>
                <w:bCs/>
                <w:lang w:eastAsia="ja-JP"/>
              </w:rPr>
            </w:pPr>
            <w:r w:rsidRPr="00912996">
              <w:rPr>
                <w:rFonts w:ascii="Calibri" w:hAnsi="Calibri"/>
                <w:bCs/>
                <w:lang w:eastAsia="ja-JP"/>
              </w:rPr>
              <w:t>PS2, Centrul Cultural Mihai Eminescu</w:t>
            </w:r>
          </w:p>
        </w:tc>
        <w:tc>
          <w:tcPr>
            <w:tcW w:w="507" w:type="pct"/>
            <w:shd w:val="clear" w:color="auto" w:fill="F2F2F2"/>
            <w:hideMark/>
          </w:tcPr>
          <w:p w14:paraId="40E15C53"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209FC1C2"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hideMark/>
          </w:tcPr>
          <w:p w14:paraId="2BD8EEA5"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hideMark/>
          </w:tcPr>
          <w:p w14:paraId="3C47E823" w14:textId="77777777" w:rsidR="00395D01" w:rsidRPr="00912996" w:rsidRDefault="00395D01" w:rsidP="00292396">
            <w:pPr>
              <w:rPr>
                <w:rFonts w:ascii="Calibri" w:hAnsi="Calibri"/>
                <w:bCs/>
                <w:lang w:eastAsia="ja-JP"/>
              </w:rPr>
            </w:pPr>
            <w:r w:rsidRPr="00912996">
              <w:rPr>
                <w:rFonts w:ascii="Calibri" w:hAnsi="Calibri"/>
                <w:bCs/>
                <w:lang w:eastAsia="ja-JP"/>
              </w:rPr>
              <w:t>2022</w:t>
            </w:r>
          </w:p>
        </w:tc>
        <w:tc>
          <w:tcPr>
            <w:tcW w:w="484" w:type="pct"/>
            <w:gridSpan w:val="2"/>
            <w:shd w:val="clear" w:color="auto" w:fill="F2F2F2"/>
            <w:hideMark/>
          </w:tcPr>
          <w:p w14:paraId="2DA16966"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4552A00"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2390176" w14:textId="77777777" w:rsidR="00395D01" w:rsidRPr="00912996" w:rsidRDefault="00395D01" w:rsidP="00292396">
            <w:pPr>
              <w:rPr>
                <w:rFonts w:ascii="Calibri" w:hAnsi="Calibri"/>
                <w:bCs/>
                <w:lang w:eastAsia="ja-JP"/>
              </w:rPr>
            </w:pPr>
            <w:r w:rsidRPr="00912996">
              <w:rPr>
                <w:rFonts w:ascii="Calibri" w:hAnsi="Calibri"/>
                <w:bCs/>
                <w:lang w:eastAsia="ja-JP"/>
              </w:rPr>
              <w:t>Proiecte în implementare - Răspuns Centrul Cultural Mihai Eminescu</w:t>
            </w:r>
          </w:p>
        </w:tc>
      </w:tr>
      <w:tr w:rsidR="00E16711" w:rsidRPr="00912996" w14:paraId="2D08C4B0" w14:textId="77777777" w:rsidTr="00E16711">
        <w:trPr>
          <w:trHeight w:val="3168"/>
        </w:trPr>
        <w:tc>
          <w:tcPr>
            <w:tcW w:w="205" w:type="pct"/>
            <w:shd w:val="clear" w:color="auto" w:fill="F2F2F2"/>
            <w:noWrap/>
            <w:hideMark/>
          </w:tcPr>
          <w:p w14:paraId="05D08A53"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2C57372B" w14:textId="77777777" w:rsidR="00395D01" w:rsidRPr="00912996" w:rsidRDefault="00395D01" w:rsidP="00292396">
            <w:pPr>
              <w:rPr>
                <w:rFonts w:ascii="Calibri" w:hAnsi="Calibri"/>
                <w:bCs/>
                <w:lang w:eastAsia="ja-JP"/>
              </w:rPr>
            </w:pPr>
            <w:r w:rsidRPr="00912996">
              <w:rPr>
                <w:rFonts w:ascii="Calibri" w:hAnsi="Calibri"/>
                <w:bCs/>
                <w:lang w:eastAsia="ja-JP"/>
              </w:rPr>
              <w:t>Elaborarea și implementarea unei agende culturale multianuale a Sectorului 2</w:t>
            </w:r>
            <w:r w:rsidRPr="00912996">
              <w:rPr>
                <w:rFonts w:ascii="Calibri" w:hAnsi="Calibri"/>
                <w:bCs/>
                <w:lang w:eastAsia="ja-JP"/>
              </w:rPr>
              <w:br/>
            </w:r>
            <w:r w:rsidRPr="00912996">
              <w:rPr>
                <w:rFonts w:ascii="Calibri" w:hAnsi="Calibri"/>
                <w:bCs/>
                <w:i/>
                <w:iCs/>
                <w:lang w:eastAsia="ja-JP"/>
              </w:rPr>
              <w:t>(Agenda va cuprinde evenimente organizate atât la nivel municipal, cât și de instituțiile din Sectorul 2: Centrul Cultural "Mihai Eminescu", Centrul Teritorial Veterinar, Galeria "Luceafărul", Galeria Dialog , Centrul de zi „Mihail și Gavril”, Centrul de zi „J.L.Calderon”, Complexului pentru Activități Recreative si Educative “Sf. Pantelimon”, Centrul de Servicii Socio-Educative pentru Elevi „Sfânta Maria“ etc.)</w:t>
            </w:r>
          </w:p>
        </w:tc>
        <w:tc>
          <w:tcPr>
            <w:tcW w:w="640" w:type="pct"/>
            <w:shd w:val="clear" w:color="auto" w:fill="F2F2F2"/>
            <w:hideMark/>
          </w:tcPr>
          <w:p w14:paraId="28EC3C1F"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 ONG-ur</w:t>
            </w:r>
            <w:r>
              <w:rPr>
                <w:rFonts w:ascii="Calibri" w:hAnsi="Calibri"/>
                <w:bCs/>
                <w:lang w:eastAsia="ja-JP"/>
              </w:rPr>
              <w:t>i</w:t>
            </w:r>
          </w:p>
        </w:tc>
        <w:tc>
          <w:tcPr>
            <w:tcW w:w="507" w:type="pct"/>
            <w:shd w:val="clear" w:color="auto" w:fill="F2F2F2"/>
            <w:hideMark/>
          </w:tcPr>
          <w:p w14:paraId="09CB406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571E89C" w14:textId="77777777" w:rsidR="00395D01" w:rsidRPr="00912996" w:rsidRDefault="00395D01" w:rsidP="00292396">
            <w:pPr>
              <w:rPr>
                <w:rFonts w:ascii="Calibri" w:hAnsi="Calibri"/>
                <w:bCs/>
                <w:lang w:eastAsia="ja-JP"/>
              </w:rPr>
            </w:pPr>
            <w:r w:rsidRPr="00912996">
              <w:rPr>
                <w:rFonts w:ascii="Calibri" w:hAnsi="Calibri"/>
                <w:bCs/>
                <w:lang w:eastAsia="ja-JP"/>
              </w:rPr>
              <w:t>392,000</w:t>
            </w:r>
          </w:p>
        </w:tc>
        <w:tc>
          <w:tcPr>
            <w:tcW w:w="411" w:type="pct"/>
            <w:shd w:val="clear" w:color="auto" w:fill="F2F2F2"/>
            <w:hideMark/>
          </w:tcPr>
          <w:p w14:paraId="0DF58FED" w14:textId="77777777" w:rsidR="00395D01" w:rsidRPr="00912996" w:rsidRDefault="00395D01" w:rsidP="00292396">
            <w:pPr>
              <w:rPr>
                <w:rFonts w:ascii="Calibri" w:hAnsi="Calibri"/>
                <w:bCs/>
                <w:lang w:eastAsia="ja-JP"/>
              </w:rPr>
            </w:pPr>
            <w:r w:rsidRPr="00912996">
              <w:rPr>
                <w:rFonts w:ascii="Calibri" w:hAnsi="Calibri"/>
                <w:bCs/>
                <w:lang w:eastAsia="ja-JP"/>
              </w:rPr>
              <w:t>80,000</w:t>
            </w:r>
          </w:p>
        </w:tc>
        <w:tc>
          <w:tcPr>
            <w:tcW w:w="347" w:type="pct"/>
            <w:shd w:val="clear" w:color="auto" w:fill="F2F2F2"/>
            <w:hideMark/>
          </w:tcPr>
          <w:p w14:paraId="209F361D"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6EBC729" w14:textId="77777777" w:rsidR="00395D01" w:rsidRPr="00912996" w:rsidRDefault="00395D01" w:rsidP="00292396">
            <w:pPr>
              <w:rPr>
                <w:rFonts w:ascii="Calibri" w:hAnsi="Calibri"/>
                <w:bCs/>
                <w:lang w:eastAsia="ja-JP"/>
              </w:rPr>
            </w:pPr>
            <w:r w:rsidRPr="00912996">
              <w:rPr>
                <w:rFonts w:ascii="Calibri" w:hAnsi="Calibri"/>
                <w:bCs/>
                <w:lang w:eastAsia="ja-JP"/>
              </w:rPr>
              <w:t>Fondul internațional pentru promovarea culturii, AFCN, Bugetul local, Alte surse de finanțare</w:t>
            </w:r>
          </w:p>
        </w:tc>
        <w:tc>
          <w:tcPr>
            <w:tcW w:w="433" w:type="pct"/>
            <w:shd w:val="clear" w:color="auto" w:fill="F2F2F2"/>
            <w:hideMark/>
          </w:tcPr>
          <w:p w14:paraId="6E443474"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499D27B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B144F37" w14:textId="77777777" w:rsidTr="00E16711">
        <w:trPr>
          <w:trHeight w:val="1584"/>
        </w:trPr>
        <w:tc>
          <w:tcPr>
            <w:tcW w:w="205" w:type="pct"/>
            <w:shd w:val="clear" w:color="auto" w:fill="F2F2F2"/>
            <w:noWrap/>
            <w:hideMark/>
          </w:tcPr>
          <w:p w14:paraId="446E526E"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575D0C2B" w14:textId="77777777" w:rsidR="00395D01" w:rsidRPr="00912996" w:rsidRDefault="00395D01" w:rsidP="00292396">
            <w:pPr>
              <w:rPr>
                <w:rFonts w:ascii="Calibri" w:hAnsi="Calibri"/>
                <w:bCs/>
                <w:lang w:eastAsia="ja-JP"/>
              </w:rPr>
            </w:pPr>
            <w:r w:rsidRPr="00912996">
              <w:rPr>
                <w:rFonts w:ascii="Calibri" w:hAnsi="Calibri"/>
                <w:bCs/>
                <w:lang w:eastAsia="ja-JP"/>
              </w:rPr>
              <w:t>Elaborarea unei Strategii Culturale Integrate</w:t>
            </w:r>
          </w:p>
        </w:tc>
        <w:tc>
          <w:tcPr>
            <w:tcW w:w="640" w:type="pct"/>
            <w:shd w:val="clear" w:color="auto" w:fill="F2F2F2"/>
            <w:hideMark/>
          </w:tcPr>
          <w:p w14:paraId="27A8AF08"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D4F7E7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DB3ED7B" w14:textId="77777777" w:rsidR="00395D01" w:rsidRPr="00912996" w:rsidRDefault="00395D01" w:rsidP="00292396">
            <w:pPr>
              <w:rPr>
                <w:rFonts w:ascii="Calibri" w:hAnsi="Calibri"/>
                <w:bCs/>
                <w:lang w:eastAsia="ja-JP"/>
              </w:rPr>
            </w:pPr>
            <w:r w:rsidRPr="00912996">
              <w:rPr>
                <w:rFonts w:ascii="Calibri" w:hAnsi="Calibri"/>
                <w:bCs/>
                <w:lang w:eastAsia="ja-JP"/>
              </w:rPr>
              <w:t>73,500</w:t>
            </w:r>
          </w:p>
        </w:tc>
        <w:tc>
          <w:tcPr>
            <w:tcW w:w="411" w:type="pct"/>
            <w:shd w:val="clear" w:color="auto" w:fill="F2F2F2"/>
            <w:hideMark/>
          </w:tcPr>
          <w:p w14:paraId="3AAA5563" w14:textId="77777777" w:rsidR="00395D01" w:rsidRPr="00912996" w:rsidRDefault="00395D01" w:rsidP="00292396">
            <w:pPr>
              <w:rPr>
                <w:rFonts w:ascii="Calibri" w:hAnsi="Calibri"/>
                <w:bCs/>
                <w:lang w:eastAsia="ja-JP"/>
              </w:rPr>
            </w:pPr>
            <w:r w:rsidRPr="00912996">
              <w:rPr>
                <w:rFonts w:ascii="Calibri" w:hAnsi="Calibri"/>
                <w:bCs/>
                <w:lang w:eastAsia="ja-JP"/>
              </w:rPr>
              <w:t>15,000</w:t>
            </w:r>
          </w:p>
        </w:tc>
        <w:tc>
          <w:tcPr>
            <w:tcW w:w="347" w:type="pct"/>
            <w:shd w:val="clear" w:color="auto" w:fill="F2F2F2"/>
            <w:hideMark/>
          </w:tcPr>
          <w:p w14:paraId="339A784E" w14:textId="77777777" w:rsidR="00395D01" w:rsidRPr="00912996" w:rsidRDefault="00395D01" w:rsidP="00292396">
            <w:pPr>
              <w:rPr>
                <w:rFonts w:ascii="Calibri" w:hAnsi="Calibri"/>
                <w:bCs/>
                <w:lang w:eastAsia="ja-JP"/>
              </w:rPr>
            </w:pPr>
            <w:r w:rsidRPr="00912996">
              <w:rPr>
                <w:rFonts w:ascii="Calibri" w:hAnsi="Calibri"/>
                <w:bCs/>
                <w:lang w:eastAsia="ja-JP"/>
              </w:rPr>
              <w:t>2022-2027</w:t>
            </w:r>
          </w:p>
        </w:tc>
        <w:tc>
          <w:tcPr>
            <w:tcW w:w="484" w:type="pct"/>
            <w:gridSpan w:val="2"/>
            <w:shd w:val="clear" w:color="auto" w:fill="F2F2F2"/>
            <w:hideMark/>
          </w:tcPr>
          <w:p w14:paraId="48060ACC" w14:textId="77777777" w:rsidR="00395D01" w:rsidRPr="00912996" w:rsidRDefault="00395D01" w:rsidP="00292396">
            <w:pPr>
              <w:rPr>
                <w:rFonts w:ascii="Calibri" w:hAnsi="Calibri"/>
                <w:bCs/>
                <w:lang w:eastAsia="ja-JP"/>
              </w:rPr>
            </w:pPr>
            <w:r w:rsidRPr="00912996">
              <w:rPr>
                <w:rFonts w:ascii="Calibri" w:hAnsi="Calibri"/>
                <w:bCs/>
                <w:lang w:eastAsia="ja-JP"/>
              </w:rPr>
              <w:t>Fondul internațional pentru promovarea culturii, AFCN, Bugetul local, Alte surse de finanțare</w:t>
            </w:r>
          </w:p>
        </w:tc>
        <w:tc>
          <w:tcPr>
            <w:tcW w:w="433" w:type="pct"/>
            <w:shd w:val="clear" w:color="auto" w:fill="F2F2F2"/>
            <w:hideMark/>
          </w:tcPr>
          <w:p w14:paraId="2AD9125F"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4A28D5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EDD94A4" w14:textId="77777777" w:rsidTr="00E16711">
        <w:trPr>
          <w:trHeight w:val="1320"/>
        </w:trPr>
        <w:tc>
          <w:tcPr>
            <w:tcW w:w="205" w:type="pct"/>
            <w:shd w:val="clear" w:color="auto" w:fill="F2F2F2"/>
            <w:noWrap/>
            <w:hideMark/>
          </w:tcPr>
          <w:p w14:paraId="652FD54F"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771719DA" w14:textId="77777777" w:rsidR="00395D01" w:rsidRPr="00912996" w:rsidRDefault="00395D01" w:rsidP="00292396">
            <w:pPr>
              <w:rPr>
                <w:rFonts w:ascii="Calibri" w:hAnsi="Calibri"/>
                <w:bCs/>
                <w:lang w:eastAsia="ja-JP"/>
              </w:rPr>
            </w:pPr>
            <w:r w:rsidRPr="00912996">
              <w:rPr>
                <w:rFonts w:ascii="Calibri" w:hAnsi="Calibri"/>
                <w:bCs/>
                <w:lang w:eastAsia="ja-JP"/>
              </w:rPr>
              <w:t>Cartografierea și promovarea unor trasee culturale alternative în cartiere, inclusiv prin tururi ghidate</w:t>
            </w:r>
          </w:p>
        </w:tc>
        <w:tc>
          <w:tcPr>
            <w:tcW w:w="640" w:type="pct"/>
            <w:shd w:val="clear" w:color="auto" w:fill="F2F2F2"/>
            <w:hideMark/>
          </w:tcPr>
          <w:p w14:paraId="4C47BE73" w14:textId="77777777" w:rsidR="00395D01" w:rsidRPr="00912996" w:rsidRDefault="00395D01" w:rsidP="00292396">
            <w:pPr>
              <w:rPr>
                <w:rFonts w:ascii="Calibri" w:hAnsi="Calibri"/>
                <w:bCs/>
                <w:lang w:eastAsia="ja-JP"/>
              </w:rPr>
            </w:pPr>
            <w:r w:rsidRPr="00912996">
              <w:rPr>
                <w:rFonts w:ascii="Calibri" w:hAnsi="Calibri"/>
                <w:bCs/>
                <w:lang w:eastAsia="ja-JP"/>
              </w:rPr>
              <w:t>PS2, ONG-uri și Grupuri de Inițiativă Locală, Centrul Cultural Mihai Eminescu</w:t>
            </w:r>
          </w:p>
        </w:tc>
        <w:tc>
          <w:tcPr>
            <w:tcW w:w="507" w:type="pct"/>
            <w:shd w:val="clear" w:color="auto" w:fill="F2F2F2"/>
            <w:hideMark/>
          </w:tcPr>
          <w:p w14:paraId="77621E2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A2C09AD" w14:textId="77777777" w:rsidR="00395D01" w:rsidRPr="00912996" w:rsidRDefault="00395D01" w:rsidP="00292396">
            <w:pPr>
              <w:rPr>
                <w:rFonts w:ascii="Calibri" w:hAnsi="Calibri"/>
                <w:bCs/>
                <w:lang w:eastAsia="ja-JP"/>
              </w:rPr>
            </w:pPr>
            <w:r w:rsidRPr="00912996">
              <w:rPr>
                <w:rFonts w:ascii="Calibri" w:hAnsi="Calibri"/>
                <w:bCs/>
                <w:lang w:eastAsia="ja-JP"/>
              </w:rPr>
              <w:t>7,350,000</w:t>
            </w:r>
          </w:p>
        </w:tc>
        <w:tc>
          <w:tcPr>
            <w:tcW w:w="411" w:type="pct"/>
            <w:shd w:val="clear" w:color="auto" w:fill="F2F2F2"/>
            <w:hideMark/>
          </w:tcPr>
          <w:p w14:paraId="567BF236"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347" w:type="pct"/>
            <w:shd w:val="clear" w:color="auto" w:fill="F2F2F2"/>
            <w:hideMark/>
          </w:tcPr>
          <w:p w14:paraId="6C07DC94"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4A6073D"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070712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4B27FC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D130EF7" w14:textId="77777777" w:rsidTr="00E16711">
        <w:trPr>
          <w:trHeight w:val="792"/>
        </w:trPr>
        <w:tc>
          <w:tcPr>
            <w:tcW w:w="205" w:type="pct"/>
            <w:shd w:val="clear" w:color="auto" w:fill="F2F2F2"/>
            <w:noWrap/>
            <w:hideMark/>
          </w:tcPr>
          <w:p w14:paraId="459C481F"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1787A083" w14:textId="77777777" w:rsidR="00395D01" w:rsidRPr="00912996" w:rsidRDefault="00395D01" w:rsidP="00292396">
            <w:pPr>
              <w:rPr>
                <w:rFonts w:ascii="Calibri" w:hAnsi="Calibri"/>
                <w:bCs/>
                <w:lang w:eastAsia="ja-JP"/>
              </w:rPr>
            </w:pPr>
            <w:r w:rsidRPr="00912996">
              <w:rPr>
                <w:rFonts w:ascii="Calibri" w:hAnsi="Calibri"/>
                <w:bCs/>
                <w:lang w:eastAsia="ja-JP"/>
              </w:rPr>
              <w:t>Proiect pilot - Istoria Cartierelor</w:t>
            </w:r>
          </w:p>
        </w:tc>
        <w:tc>
          <w:tcPr>
            <w:tcW w:w="640" w:type="pct"/>
            <w:shd w:val="clear" w:color="auto" w:fill="F2F2F2"/>
            <w:hideMark/>
          </w:tcPr>
          <w:p w14:paraId="49256D7F" w14:textId="77777777" w:rsidR="00395D01" w:rsidRPr="00912996" w:rsidRDefault="00395D01" w:rsidP="00292396">
            <w:pPr>
              <w:rPr>
                <w:rFonts w:ascii="Calibri" w:hAnsi="Calibri"/>
                <w:bCs/>
                <w:lang w:eastAsia="ja-JP"/>
              </w:rPr>
            </w:pPr>
            <w:r w:rsidRPr="00912996">
              <w:rPr>
                <w:rFonts w:ascii="Calibri" w:hAnsi="Calibri"/>
                <w:bCs/>
                <w:lang w:eastAsia="ja-JP"/>
              </w:rPr>
              <w:t>PS2, ONG-uri și Grupuri de Inițiativă Locală</w:t>
            </w:r>
          </w:p>
        </w:tc>
        <w:tc>
          <w:tcPr>
            <w:tcW w:w="507" w:type="pct"/>
            <w:shd w:val="clear" w:color="auto" w:fill="F2F2F2"/>
            <w:hideMark/>
          </w:tcPr>
          <w:p w14:paraId="3BE68BE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6923D44" w14:textId="77777777" w:rsidR="00395D01" w:rsidRPr="00912996" w:rsidRDefault="00395D01" w:rsidP="00292396">
            <w:pPr>
              <w:rPr>
                <w:rFonts w:ascii="Calibri" w:hAnsi="Calibri"/>
                <w:bCs/>
                <w:lang w:eastAsia="ja-JP"/>
              </w:rPr>
            </w:pPr>
            <w:r w:rsidRPr="00912996">
              <w:rPr>
                <w:rFonts w:ascii="Calibri" w:hAnsi="Calibri"/>
                <w:bCs/>
                <w:lang w:eastAsia="ja-JP"/>
              </w:rPr>
              <w:t>49,000</w:t>
            </w:r>
          </w:p>
        </w:tc>
        <w:tc>
          <w:tcPr>
            <w:tcW w:w="411" w:type="pct"/>
            <w:shd w:val="clear" w:color="auto" w:fill="F2F2F2"/>
            <w:hideMark/>
          </w:tcPr>
          <w:p w14:paraId="03452875" w14:textId="77777777" w:rsidR="00395D01" w:rsidRPr="00912996" w:rsidRDefault="00395D01" w:rsidP="00292396">
            <w:pPr>
              <w:rPr>
                <w:rFonts w:ascii="Calibri" w:hAnsi="Calibri"/>
                <w:bCs/>
                <w:lang w:eastAsia="ja-JP"/>
              </w:rPr>
            </w:pPr>
            <w:r w:rsidRPr="00912996">
              <w:rPr>
                <w:rFonts w:ascii="Calibri" w:hAnsi="Calibri"/>
                <w:bCs/>
                <w:lang w:eastAsia="ja-JP"/>
              </w:rPr>
              <w:t>10,000</w:t>
            </w:r>
          </w:p>
        </w:tc>
        <w:tc>
          <w:tcPr>
            <w:tcW w:w="347" w:type="pct"/>
            <w:shd w:val="clear" w:color="auto" w:fill="F2F2F2"/>
            <w:hideMark/>
          </w:tcPr>
          <w:p w14:paraId="0F2DC050"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9376C31"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E3E8E5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0E645D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018CBB9" w14:textId="77777777" w:rsidTr="00E16711">
        <w:trPr>
          <w:trHeight w:val="1584"/>
        </w:trPr>
        <w:tc>
          <w:tcPr>
            <w:tcW w:w="205" w:type="pct"/>
            <w:shd w:val="clear" w:color="auto" w:fill="F2F2F2"/>
            <w:noWrap/>
            <w:hideMark/>
          </w:tcPr>
          <w:p w14:paraId="0F321836"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0FD79A79" w14:textId="77777777" w:rsidR="00395D01" w:rsidRPr="00912996" w:rsidRDefault="00395D01" w:rsidP="00292396">
            <w:pPr>
              <w:rPr>
                <w:rFonts w:ascii="Calibri" w:hAnsi="Calibri"/>
                <w:bCs/>
                <w:lang w:eastAsia="ja-JP"/>
              </w:rPr>
            </w:pPr>
            <w:r w:rsidRPr="00912996">
              <w:rPr>
                <w:rFonts w:ascii="Calibri" w:hAnsi="Calibri"/>
                <w:bCs/>
                <w:lang w:eastAsia="ja-JP"/>
              </w:rPr>
              <w:t>Constituirea unei platforme integrate de promovare și informare cu privire la activitățile culturale desfășurate în Sectorul 2, care să cuprindă și amenajarea unor puncte de informare și promovare (ecrane interactive)</w:t>
            </w:r>
          </w:p>
        </w:tc>
        <w:tc>
          <w:tcPr>
            <w:tcW w:w="640" w:type="pct"/>
            <w:shd w:val="clear" w:color="auto" w:fill="F2F2F2"/>
            <w:hideMark/>
          </w:tcPr>
          <w:p w14:paraId="5D4DD90A"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w:t>
            </w:r>
          </w:p>
        </w:tc>
        <w:tc>
          <w:tcPr>
            <w:tcW w:w="507" w:type="pct"/>
            <w:shd w:val="clear" w:color="auto" w:fill="F2F2F2"/>
            <w:hideMark/>
          </w:tcPr>
          <w:p w14:paraId="0E8C409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5974A55" w14:textId="77777777" w:rsidR="00395D01" w:rsidRPr="00912996" w:rsidRDefault="00395D01" w:rsidP="00292396">
            <w:pPr>
              <w:rPr>
                <w:rFonts w:ascii="Calibri" w:hAnsi="Calibri"/>
                <w:bCs/>
                <w:lang w:eastAsia="ja-JP"/>
              </w:rPr>
            </w:pPr>
            <w:r w:rsidRPr="00912996">
              <w:rPr>
                <w:rFonts w:ascii="Calibri" w:hAnsi="Calibri"/>
                <w:bCs/>
                <w:lang w:eastAsia="ja-JP"/>
              </w:rPr>
              <w:t>220,500,000</w:t>
            </w:r>
          </w:p>
        </w:tc>
        <w:tc>
          <w:tcPr>
            <w:tcW w:w="411" w:type="pct"/>
            <w:shd w:val="clear" w:color="auto" w:fill="F2F2F2"/>
            <w:hideMark/>
          </w:tcPr>
          <w:p w14:paraId="080B786C" w14:textId="77777777" w:rsidR="00395D01" w:rsidRPr="00912996" w:rsidRDefault="00395D01" w:rsidP="00292396">
            <w:pPr>
              <w:rPr>
                <w:rFonts w:ascii="Calibri" w:hAnsi="Calibri"/>
                <w:bCs/>
                <w:lang w:eastAsia="ja-JP"/>
              </w:rPr>
            </w:pPr>
            <w:r w:rsidRPr="00912996">
              <w:rPr>
                <w:rFonts w:ascii="Calibri" w:hAnsi="Calibri"/>
                <w:bCs/>
                <w:lang w:eastAsia="ja-JP"/>
              </w:rPr>
              <w:t>45,000,000</w:t>
            </w:r>
          </w:p>
        </w:tc>
        <w:tc>
          <w:tcPr>
            <w:tcW w:w="347" w:type="pct"/>
            <w:shd w:val="clear" w:color="auto" w:fill="F2F2F2"/>
            <w:hideMark/>
          </w:tcPr>
          <w:p w14:paraId="3B177D09"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F2485C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72D166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7C08770" w14:textId="77777777" w:rsidR="00395D01" w:rsidRPr="00912996" w:rsidRDefault="00395D01" w:rsidP="00292396">
            <w:pPr>
              <w:rPr>
                <w:rFonts w:ascii="Calibri" w:hAnsi="Calibri"/>
                <w:bCs/>
                <w:lang w:eastAsia="ja-JP"/>
              </w:rPr>
            </w:pPr>
            <w:r w:rsidRPr="00912996">
              <w:rPr>
                <w:rFonts w:ascii="Calibri" w:hAnsi="Calibri"/>
                <w:bCs/>
                <w:lang w:eastAsia="ja-JP"/>
              </w:rPr>
              <w:t>SDLID S2 2016-2025 / Propunere consultant</w:t>
            </w:r>
          </w:p>
        </w:tc>
      </w:tr>
      <w:tr w:rsidR="00E16711" w:rsidRPr="00912996" w14:paraId="4FBE3FB9" w14:textId="77777777" w:rsidTr="00E16711">
        <w:trPr>
          <w:trHeight w:val="1056"/>
        </w:trPr>
        <w:tc>
          <w:tcPr>
            <w:tcW w:w="205" w:type="pct"/>
            <w:shd w:val="clear" w:color="auto" w:fill="F2F2F2"/>
            <w:noWrap/>
            <w:hideMark/>
          </w:tcPr>
          <w:p w14:paraId="324C5199"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34E328CF" w14:textId="77777777" w:rsidR="00395D01" w:rsidRPr="00912996" w:rsidRDefault="00395D01" w:rsidP="00292396">
            <w:pPr>
              <w:rPr>
                <w:rFonts w:ascii="Calibri" w:hAnsi="Calibri"/>
                <w:bCs/>
                <w:lang w:eastAsia="ja-JP"/>
              </w:rPr>
            </w:pPr>
            <w:r w:rsidRPr="00912996">
              <w:rPr>
                <w:rFonts w:ascii="Calibri" w:hAnsi="Calibri"/>
                <w:bCs/>
                <w:lang w:eastAsia="ja-JP"/>
              </w:rPr>
              <w:t>Parteneriat public-privat pentru activitatea spațiilor culturale și comunitare (propuneri proiecte, gestionare comună a infrastructurii disponibile)</w:t>
            </w:r>
          </w:p>
        </w:tc>
        <w:tc>
          <w:tcPr>
            <w:tcW w:w="640" w:type="pct"/>
            <w:shd w:val="clear" w:color="auto" w:fill="F2F2F2"/>
            <w:hideMark/>
          </w:tcPr>
          <w:p w14:paraId="09A158F5" w14:textId="77777777" w:rsidR="00395D01" w:rsidRPr="00912996" w:rsidRDefault="00395D01" w:rsidP="00292396">
            <w:pPr>
              <w:rPr>
                <w:rFonts w:ascii="Calibri" w:hAnsi="Calibri"/>
                <w:bCs/>
                <w:lang w:eastAsia="ja-JP"/>
              </w:rPr>
            </w:pPr>
            <w:r w:rsidRPr="00912996">
              <w:rPr>
                <w:rFonts w:ascii="Calibri" w:hAnsi="Calibri"/>
                <w:bCs/>
                <w:lang w:eastAsia="ja-JP"/>
              </w:rPr>
              <w:t>PS2, parteneri publici și privați</w:t>
            </w:r>
          </w:p>
        </w:tc>
        <w:tc>
          <w:tcPr>
            <w:tcW w:w="507" w:type="pct"/>
            <w:shd w:val="clear" w:color="auto" w:fill="F2F2F2"/>
            <w:hideMark/>
          </w:tcPr>
          <w:p w14:paraId="0DDE549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5611248" w14:textId="77777777" w:rsidR="00395D01" w:rsidRPr="00912996" w:rsidRDefault="00395D01" w:rsidP="00292396">
            <w:pPr>
              <w:rPr>
                <w:rFonts w:ascii="Calibri" w:hAnsi="Calibri"/>
                <w:bCs/>
                <w:lang w:eastAsia="ja-JP"/>
              </w:rPr>
            </w:pPr>
            <w:r w:rsidRPr="00912996">
              <w:rPr>
                <w:rFonts w:ascii="Calibri" w:hAnsi="Calibri"/>
                <w:bCs/>
                <w:lang w:eastAsia="ja-JP"/>
              </w:rPr>
              <w:t>245,000,000</w:t>
            </w:r>
          </w:p>
        </w:tc>
        <w:tc>
          <w:tcPr>
            <w:tcW w:w="411" w:type="pct"/>
            <w:shd w:val="clear" w:color="auto" w:fill="F2F2F2"/>
            <w:hideMark/>
          </w:tcPr>
          <w:p w14:paraId="180728AE" w14:textId="77777777" w:rsidR="00395D01" w:rsidRPr="00912996" w:rsidRDefault="00395D01" w:rsidP="00292396">
            <w:pPr>
              <w:rPr>
                <w:rFonts w:ascii="Calibri" w:hAnsi="Calibri"/>
                <w:bCs/>
                <w:lang w:eastAsia="ja-JP"/>
              </w:rPr>
            </w:pPr>
            <w:r w:rsidRPr="00912996">
              <w:rPr>
                <w:rFonts w:ascii="Calibri" w:hAnsi="Calibri"/>
                <w:bCs/>
                <w:lang w:eastAsia="ja-JP"/>
              </w:rPr>
              <w:t>50,000,000</w:t>
            </w:r>
          </w:p>
        </w:tc>
        <w:tc>
          <w:tcPr>
            <w:tcW w:w="347" w:type="pct"/>
            <w:shd w:val="clear" w:color="auto" w:fill="F2F2F2"/>
            <w:hideMark/>
          </w:tcPr>
          <w:p w14:paraId="65B04A7D"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-2026</w:t>
            </w:r>
          </w:p>
        </w:tc>
        <w:tc>
          <w:tcPr>
            <w:tcW w:w="484" w:type="pct"/>
            <w:gridSpan w:val="2"/>
            <w:shd w:val="clear" w:color="auto" w:fill="F2F2F2"/>
            <w:hideMark/>
          </w:tcPr>
          <w:p w14:paraId="37268EDA"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5D431B2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276B9A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1BC4BDB" w14:textId="77777777" w:rsidTr="00E16711">
        <w:trPr>
          <w:trHeight w:val="528"/>
        </w:trPr>
        <w:tc>
          <w:tcPr>
            <w:tcW w:w="205" w:type="pct"/>
            <w:shd w:val="clear" w:color="auto" w:fill="F2F2F2"/>
            <w:noWrap/>
            <w:hideMark/>
          </w:tcPr>
          <w:p w14:paraId="509F6B41"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0EE28EA8" w14:textId="77777777" w:rsidR="00395D01" w:rsidRPr="00912996" w:rsidRDefault="00395D01" w:rsidP="00292396">
            <w:pPr>
              <w:rPr>
                <w:rFonts w:ascii="Calibri" w:hAnsi="Calibri"/>
                <w:bCs/>
                <w:lang w:eastAsia="ja-JP"/>
              </w:rPr>
            </w:pPr>
            <w:r w:rsidRPr="00912996">
              <w:rPr>
                <w:rFonts w:ascii="Calibri" w:hAnsi="Calibri"/>
                <w:bCs/>
                <w:lang w:eastAsia="ja-JP"/>
              </w:rPr>
              <w:t>Micro finanțare și sprijin infrastructural pentru inițiative în cartiere</w:t>
            </w:r>
          </w:p>
        </w:tc>
        <w:tc>
          <w:tcPr>
            <w:tcW w:w="640" w:type="pct"/>
            <w:shd w:val="clear" w:color="auto" w:fill="F2F2F2"/>
            <w:hideMark/>
          </w:tcPr>
          <w:p w14:paraId="2487880B"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E7ACCA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8095D5C" w14:textId="77777777" w:rsidR="00395D01" w:rsidRPr="00912996" w:rsidRDefault="00395D01" w:rsidP="00292396">
            <w:pPr>
              <w:rPr>
                <w:rFonts w:ascii="Calibri" w:hAnsi="Calibri"/>
                <w:bCs/>
                <w:lang w:eastAsia="ja-JP"/>
              </w:rPr>
            </w:pPr>
            <w:r w:rsidRPr="00912996">
              <w:rPr>
                <w:rFonts w:ascii="Calibri" w:hAnsi="Calibri"/>
                <w:bCs/>
                <w:lang w:eastAsia="ja-JP"/>
              </w:rPr>
              <w:t>245,000,000</w:t>
            </w:r>
          </w:p>
        </w:tc>
        <w:tc>
          <w:tcPr>
            <w:tcW w:w="411" w:type="pct"/>
            <w:shd w:val="clear" w:color="auto" w:fill="F2F2F2"/>
            <w:hideMark/>
          </w:tcPr>
          <w:p w14:paraId="2A4F6BAA" w14:textId="77777777" w:rsidR="00395D01" w:rsidRPr="00912996" w:rsidRDefault="00395D01" w:rsidP="00292396">
            <w:pPr>
              <w:rPr>
                <w:rFonts w:ascii="Calibri" w:hAnsi="Calibri"/>
                <w:bCs/>
                <w:lang w:eastAsia="ja-JP"/>
              </w:rPr>
            </w:pPr>
            <w:r w:rsidRPr="00912996">
              <w:rPr>
                <w:rFonts w:ascii="Calibri" w:hAnsi="Calibri"/>
                <w:bCs/>
                <w:lang w:eastAsia="ja-JP"/>
              </w:rPr>
              <w:t>50,000,000</w:t>
            </w:r>
          </w:p>
        </w:tc>
        <w:tc>
          <w:tcPr>
            <w:tcW w:w="347" w:type="pct"/>
            <w:shd w:val="clear" w:color="auto" w:fill="F2F2F2"/>
            <w:hideMark/>
          </w:tcPr>
          <w:p w14:paraId="43E2190C"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53E7B55A"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B252F4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C93EB7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81CBB98" w14:textId="77777777" w:rsidTr="00E16711">
        <w:trPr>
          <w:trHeight w:val="1320"/>
        </w:trPr>
        <w:tc>
          <w:tcPr>
            <w:tcW w:w="205" w:type="pct"/>
            <w:shd w:val="clear" w:color="auto" w:fill="F2F2F2"/>
            <w:noWrap/>
            <w:hideMark/>
          </w:tcPr>
          <w:p w14:paraId="1FB6E96D"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4725BE68" w14:textId="77777777" w:rsidR="00395D01" w:rsidRPr="00912996" w:rsidRDefault="00395D01" w:rsidP="00292396">
            <w:pPr>
              <w:rPr>
                <w:rFonts w:ascii="Calibri" w:hAnsi="Calibri"/>
                <w:bCs/>
                <w:lang w:eastAsia="ja-JP"/>
              </w:rPr>
            </w:pPr>
            <w:r w:rsidRPr="00912996">
              <w:rPr>
                <w:rFonts w:ascii="Calibri" w:hAnsi="Calibri"/>
                <w:bCs/>
                <w:lang w:eastAsia="ja-JP"/>
              </w:rPr>
              <w:t>Stabilirea de parteneriate cu instituțiile culturale pentru organizarea de evenimente în aer liber, inclusiv în afara zonei centrale (piese de teatru, expoziții, ateliere de creație, concerte, cinema în aer liber etc.)</w:t>
            </w:r>
          </w:p>
        </w:tc>
        <w:tc>
          <w:tcPr>
            <w:tcW w:w="640" w:type="pct"/>
            <w:shd w:val="clear" w:color="auto" w:fill="F2F2F2"/>
            <w:hideMark/>
          </w:tcPr>
          <w:p w14:paraId="0E068462"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w:t>
            </w:r>
          </w:p>
        </w:tc>
        <w:tc>
          <w:tcPr>
            <w:tcW w:w="507" w:type="pct"/>
            <w:shd w:val="clear" w:color="auto" w:fill="F2F2F2"/>
            <w:hideMark/>
          </w:tcPr>
          <w:p w14:paraId="2B116CF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68DC62C"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17F877A7"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32130A33"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F7B19C6"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5098933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853F64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BFE7948" w14:textId="77777777" w:rsidTr="00E16711">
        <w:trPr>
          <w:trHeight w:val="1584"/>
        </w:trPr>
        <w:tc>
          <w:tcPr>
            <w:tcW w:w="205" w:type="pct"/>
            <w:shd w:val="clear" w:color="auto" w:fill="F2F2F2"/>
            <w:noWrap/>
            <w:hideMark/>
          </w:tcPr>
          <w:p w14:paraId="215584F8"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68DAF442" w14:textId="77777777" w:rsidR="00395D01" w:rsidRPr="00912996" w:rsidRDefault="00395D01" w:rsidP="00292396">
            <w:pPr>
              <w:rPr>
                <w:rFonts w:ascii="Calibri" w:hAnsi="Calibri"/>
                <w:bCs/>
                <w:lang w:eastAsia="ja-JP"/>
              </w:rPr>
            </w:pPr>
            <w:r w:rsidRPr="00912996">
              <w:rPr>
                <w:rFonts w:ascii="Calibri" w:hAnsi="Calibri"/>
                <w:bCs/>
                <w:lang w:eastAsia="ja-JP"/>
              </w:rPr>
              <w:t>Program de facilitarea accesului la evenimente culturale pentru categorii vulnerabile prin oferirea de vouchere pentru persoane defavorizate</w:t>
            </w:r>
          </w:p>
        </w:tc>
        <w:tc>
          <w:tcPr>
            <w:tcW w:w="640" w:type="pct"/>
            <w:shd w:val="clear" w:color="auto" w:fill="F2F2F2"/>
            <w:hideMark/>
          </w:tcPr>
          <w:p w14:paraId="32D983D6"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w:t>
            </w:r>
          </w:p>
        </w:tc>
        <w:tc>
          <w:tcPr>
            <w:tcW w:w="507" w:type="pct"/>
            <w:shd w:val="clear" w:color="auto" w:fill="F2F2F2"/>
            <w:hideMark/>
          </w:tcPr>
          <w:p w14:paraId="5DA365E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0887155" w14:textId="77777777" w:rsidR="00395D01" w:rsidRPr="00912996" w:rsidRDefault="00395D01" w:rsidP="00292396">
            <w:pPr>
              <w:rPr>
                <w:rFonts w:ascii="Calibri" w:hAnsi="Calibri"/>
                <w:bCs/>
                <w:lang w:eastAsia="ja-JP"/>
              </w:rPr>
            </w:pPr>
            <w:r w:rsidRPr="00912996">
              <w:rPr>
                <w:rFonts w:ascii="Calibri" w:hAnsi="Calibri"/>
                <w:bCs/>
                <w:lang w:eastAsia="ja-JP"/>
              </w:rPr>
              <w:t>1,470,000</w:t>
            </w:r>
          </w:p>
        </w:tc>
        <w:tc>
          <w:tcPr>
            <w:tcW w:w="411" w:type="pct"/>
            <w:shd w:val="clear" w:color="auto" w:fill="F2F2F2"/>
            <w:hideMark/>
          </w:tcPr>
          <w:p w14:paraId="6D70A8BC" w14:textId="77777777" w:rsidR="00395D01" w:rsidRPr="00912996" w:rsidRDefault="00395D01" w:rsidP="00292396">
            <w:pPr>
              <w:rPr>
                <w:rFonts w:ascii="Calibri" w:hAnsi="Calibri"/>
                <w:bCs/>
                <w:lang w:eastAsia="ja-JP"/>
              </w:rPr>
            </w:pPr>
            <w:r w:rsidRPr="00912996">
              <w:rPr>
                <w:rFonts w:ascii="Calibri" w:hAnsi="Calibri"/>
                <w:bCs/>
                <w:lang w:eastAsia="ja-JP"/>
              </w:rPr>
              <w:t>300,000</w:t>
            </w:r>
          </w:p>
        </w:tc>
        <w:tc>
          <w:tcPr>
            <w:tcW w:w="347" w:type="pct"/>
            <w:shd w:val="clear" w:color="auto" w:fill="F2F2F2"/>
            <w:hideMark/>
          </w:tcPr>
          <w:p w14:paraId="160632DB"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6D9A719" w14:textId="77777777" w:rsidR="00395D01" w:rsidRPr="00912996" w:rsidRDefault="00395D01" w:rsidP="00292396">
            <w:pPr>
              <w:rPr>
                <w:rFonts w:ascii="Calibri" w:hAnsi="Calibri"/>
                <w:bCs/>
                <w:lang w:eastAsia="ja-JP"/>
              </w:rPr>
            </w:pPr>
            <w:r w:rsidRPr="00912996">
              <w:rPr>
                <w:rFonts w:ascii="Calibri" w:hAnsi="Calibri"/>
                <w:bCs/>
                <w:lang w:eastAsia="ja-JP"/>
              </w:rPr>
              <w:t>Surse ale Ministerului Culturii, AFCN, CultIN, Bugetul local, Alte surse de finanțare</w:t>
            </w:r>
          </w:p>
        </w:tc>
        <w:tc>
          <w:tcPr>
            <w:tcW w:w="433" w:type="pct"/>
            <w:shd w:val="clear" w:color="auto" w:fill="F2F2F2"/>
            <w:hideMark/>
          </w:tcPr>
          <w:p w14:paraId="66EC0BA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887C789"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2D967084" w14:textId="77777777" w:rsidTr="00E16711">
        <w:trPr>
          <w:trHeight w:val="1848"/>
        </w:trPr>
        <w:tc>
          <w:tcPr>
            <w:tcW w:w="205" w:type="pct"/>
            <w:shd w:val="clear" w:color="auto" w:fill="F2F2F2"/>
            <w:noWrap/>
            <w:hideMark/>
          </w:tcPr>
          <w:p w14:paraId="4C7FA6EE"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5833E841" w14:textId="77777777" w:rsidR="00395D01" w:rsidRPr="00912996" w:rsidRDefault="00395D01" w:rsidP="00292396">
            <w:pPr>
              <w:rPr>
                <w:rFonts w:ascii="Calibri" w:hAnsi="Calibri"/>
                <w:bCs/>
                <w:lang w:eastAsia="ja-JP"/>
              </w:rPr>
            </w:pPr>
            <w:r w:rsidRPr="00912996">
              <w:rPr>
                <w:rFonts w:ascii="Calibri" w:hAnsi="Calibri"/>
                <w:bCs/>
                <w:lang w:eastAsia="ja-JP"/>
              </w:rPr>
              <w:t>Proiect de creștere a accesului la cultură a persoanelor din grupuri vulnerabile prin organizarea de programe pentru dezvoltarea competențelor profesionale ale personalului din instituțiile publice de cultură în domeniul activităților cu grupurile vulnerabile</w:t>
            </w:r>
          </w:p>
        </w:tc>
        <w:tc>
          <w:tcPr>
            <w:tcW w:w="640" w:type="pct"/>
            <w:shd w:val="clear" w:color="auto" w:fill="F2F2F2"/>
            <w:hideMark/>
          </w:tcPr>
          <w:p w14:paraId="5A61DFC0"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 Centrul Cultural Mihai Eminescu</w:t>
            </w:r>
          </w:p>
        </w:tc>
        <w:tc>
          <w:tcPr>
            <w:tcW w:w="507" w:type="pct"/>
            <w:shd w:val="clear" w:color="auto" w:fill="F2F2F2"/>
            <w:hideMark/>
          </w:tcPr>
          <w:p w14:paraId="77D1B64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34B4A84" w14:textId="77777777" w:rsidR="00395D01" w:rsidRPr="00912996" w:rsidRDefault="00395D01" w:rsidP="00292396">
            <w:pPr>
              <w:rPr>
                <w:rFonts w:ascii="Calibri" w:hAnsi="Calibri"/>
                <w:bCs/>
                <w:lang w:eastAsia="ja-JP"/>
              </w:rPr>
            </w:pPr>
            <w:r w:rsidRPr="00912996">
              <w:rPr>
                <w:rFonts w:ascii="Calibri" w:hAnsi="Calibri"/>
                <w:bCs/>
                <w:lang w:eastAsia="ja-JP"/>
              </w:rPr>
              <w:t>2,940,000</w:t>
            </w:r>
          </w:p>
        </w:tc>
        <w:tc>
          <w:tcPr>
            <w:tcW w:w="411" w:type="pct"/>
            <w:shd w:val="clear" w:color="auto" w:fill="F2F2F2"/>
            <w:hideMark/>
          </w:tcPr>
          <w:p w14:paraId="3A7679C1" w14:textId="77777777" w:rsidR="00395D01" w:rsidRPr="00912996" w:rsidRDefault="00395D01" w:rsidP="00292396">
            <w:pPr>
              <w:rPr>
                <w:rFonts w:ascii="Calibri" w:hAnsi="Calibri"/>
                <w:bCs/>
                <w:lang w:eastAsia="ja-JP"/>
              </w:rPr>
            </w:pPr>
            <w:r w:rsidRPr="00912996">
              <w:rPr>
                <w:rFonts w:ascii="Calibri" w:hAnsi="Calibri"/>
                <w:bCs/>
                <w:lang w:eastAsia="ja-JP"/>
              </w:rPr>
              <w:t>600,000</w:t>
            </w:r>
          </w:p>
        </w:tc>
        <w:tc>
          <w:tcPr>
            <w:tcW w:w="347" w:type="pct"/>
            <w:shd w:val="clear" w:color="auto" w:fill="F2F2F2"/>
            <w:hideMark/>
          </w:tcPr>
          <w:p w14:paraId="6E29A5BF"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EC878E9" w14:textId="77777777" w:rsidR="00395D01" w:rsidRPr="00912996" w:rsidRDefault="00395D01" w:rsidP="00292396">
            <w:pPr>
              <w:rPr>
                <w:rFonts w:ascii="Calibri" w:hAnsi="Calibri"/>
                <w:bCs/>
                <w:lang w:eastAsia="ja-JP"/>
              </w:rPr>
            </w:pPr>
            <w:r w:rsidRPr="00912996">
              <w:rPr>
                <w:rFonts w:ascii="Calibri" w:hAnsi="Calibri"/>
                <w:bCs/>
                <w:lang w:eastAsia="ja-JP"/>
              </w:rPr>
              <w:t>Surse ale Ministerului Culturii, AFCN, CultIN, Bugetul local, Alte surse de finanțare</w:t>
            </w:r>
          </w:p>
        </w:tc>
        <w:tc>
          <w:tcPr>
            <w:tcW w:w="433" w:type="pct"/>
            <w:shd w:val="clear" w:color="auto" w:fill="F2F2F2"/>
            <w:hideMark/>
          </w:tcPr>
          <w:p w14:paraId="7BD36B7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8CEB8DA"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48842748" w14:textId="77777777" w:rsidTr="00E16711">
        <w:trPr>
          <w:trHeight w:val="1584"/>
        </w:trPr>
        <w:tc>
          <w:tcPr>
            <w:tcW w:w="205" w:type="pct"/>
            <w:shd w:val="clear" w:color="auto" w:fill="F2F2F2"/>
            <w:noWrap/>
            <w:hideMark/>
          </w:tcPr>
          <w:p w14:paraId="7F675263"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39D0A962" w14:textId="77777777" w:rsidR="00395D01" w:rsidRPr="00912996" w:rsidRDefault="00395D01" w:rsidP="00292396">
            <w:pPr>
              <w:rPr>
                <w:rFonts w:ascii="Calibri" w:hAnsi="Calibri"/>
                <w:bCs/>
                <w:lang w:eastAsia="ja-JP"/>
              </w:rPr>
            </w:pPr>
            <w:r w:rsidRPr="00912996">
              <w:rPr>
                <w:rFonts w:ascii="Calibri" w:hAnsi="Calibri"/>
                <w:bCs/>
                <w:lang w:eastAsia="ja-JP"/>
              </w:rPr>
              <w:t>Campanie de promovare a evenimentelor culturale în transportul public sau pe biletele de la Metrorex</w:t>
            </w:r>
          </w:p>
        </w:tc>
        <w:tc>
          <w:tcPr>
            <w:tcW w:w="640" w:type="pct"/>
            <w:shd w:val="clear" w:color="auto" w:fill="F2F2F2"/>
            <w:hideMark/>
          </w:tcPr>
          <w:p w14:paraId="14FEF38A" w14:textId="77777777" w:rsidR="00395D01" w:rsidRPr="00912996" w:rsidRDefault="00395D01" w:rsidP="00292396">
            <w:pPr>
              <w:rPr>
                <w:rFonts w:ascii="Calibri" w:hAnsi="Calibri"/>
                <w:bCs/>
                <w:lang w:eastAsia="ja-JP"/>
              </w:rPr>
            </w:pPr>
            <w:r w:rsidRPr="00912996">
              <w:rPr>
                <w:rFonts w:ascii="Calibri" w:hAnsi="Calibri"/>
                <w:bCs/>
                <w:lang w:eastAsia="ja-JP"/>
              </w:rPr>
              <w:t>PS2, PMB, Metrorex, STB</w:t>
            </w:r>
          </w:p>
        </w:tc>
        <w:tc>
          <w:tcPr>
            <w:tcW w:w="507" w:type="pct"/>
            <w:shd w:val="clear" w:color="auto" w:fill="F2F2F2"/>
            <w:hideMark/>
          </w:tcPr>
          <w:p w14:paraId="13D1ADE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E0A5129" w14:textId="77777777" w:rsidR="00395D01" w:rsidRPr="00912996" w:rsidRDefault="00395D01" w:rsidP="00292396">
            <w:pPr>
              <w:rPr>
                <w:rFonts w:ascii="Calibri" w:hAnsi="Calibri"/>
                <w:bCs/>
                <w:lang w:eastAsia="ja-JP"/>
              </w:rPr>
            </w:pPr>
            <w:r w:rsidRPr="00912996">
              <w:rPr>
                <w:rFonts w:ascii="Calibri" w:hAnsi="Calibri"/>
                <w:bCs/>
                <w:lang w:eastAsia="ja-JP"/>
              </w:rPr>
              <w:t>2,940,000</w:t>
            </w:r>
          </w:p>
        </w:tc>
        <w:tc>
          <w:tcPr>
            <w:tcW w:w="411" w:type="pct"/>
            <w:shd w:val="clear" w:color="auto" w:fill="F2F2F2"/>
            <w:hideMark/>
          </w:tcPr>
          <w:p w14:paraId="1CD87999" w14:textId="77777777" w:rsidR="00395D01" w:rsidRPr="00912996" w:rsidRDefault="00395D01" w:rsidP="00292396">
            <w:pPr>
              <w:rPr>
                <w:rFonts w:ascii="Calibri" w:hAnsi="Calibri"/>
                <w:bCs/>
                <w:lang w:eastAsia="ja-JP"/>
              </w:rPr>
            </w:pPr>
            <w:r w:rsidRPr="00912996">
              <w:rPr>
                <w:rFonts w:ascii="Calibri" w:hAnsi="Calibri"/>
                <w:bCs/>
                <w:lang w:eastAsia="ja-JP"/>
              </w:rPr>
              <w:t>600,000</w:t>
            </w:r>
          </w:p>
        </w:tc>
        <w:tc>
          <w:tcPr>
            <w:tcW w:w="347" w:type="pct"/>
            <w:shd w:val="clear" w:color="auto" w:fill="F2F2F2"/>
            <w:hideMark/>
          </w:tcPr>
          <w:p w14:paraId="37BDA50B"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1717543" w14:textId="77777777" w:rsidR="00395D01" w:rsidRPr="00912996" w:rsidRDefault="00395D01" w:rsidP="00292396">
            <w:pPr>
              <w:rPr>
                <w:rFonts w:ascii="Calibri" w:hAnsi="Calibri"/>
                <w:bCs/>
                <w:lang w:eastAsia="ja-JP"/>
              </w:rPr>
            </w:pPr>
            <w:r w:rsidRPr="00912996">
              <w:rPr>
                <w:rFonts w:ascii="Calibri" w:hAnsi="Calibri"/>
                <w:bCs/>
                <w:lang w:eastAsia="ja-JP"/>
              </w:rPr>
              <w:t>Surse ale Ministerului Culturii, AFCN, CultIN, Bugetul local, Alte surse de finanțare</w:t>
            </w:r>
          </w:p>
        </w:tc>
        <w:tc>
          <w:tcPr>
            <w:tcW w:w="433" w:type="pct"/>
            <w:shd w:val="clear" w:color="auto" w:fill="F2F2F2"/>
            <w:hideMark/>
          </w:tcPr>
          <w:p w14:paraId="78AC2BC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0188A74"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0BC416B4" w14:textId="77777777" w:rsidTr="00E16711">
        <w:trPr>
          <w:trHeight w:val="1056"/>
        </w:trPr>
        <w:tc>
          <w:tcPr>
            <w:tcW w:w="205" w:type="pct"/>
            <w:shd w:val="clear" w:color="auto" w:fill="F2F2F2"/>
            <w:noWrap/>
            <w:hideMark/>
          </w:tcPr>
          <w:p w14:paraId="10E3D645"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0F9FBF67" w14:textId="77777777" w:rsidR="00395D01" w:rsidRPr="00912996" w:rsidRDefault="00395D01" w:rsidP="00292396">
            <w:pPr>
              <w:rPr>
                <w:rFonts w:ascii="Calibri" w:hAnsi="Calibri"/>
                <w:bCs/>
                <w:lang w:eastAsia="ja-JP"/>
              </w:rPr>
            </w:pPr>
            <w:r w:rsidRPr="00912996">
              <w:rPr>
                <w:rFonts w:ascii="Calibri" w:hAnsi="Calibri"/>
                <w:bCs/>
                <w:lang w:eastAsia="ja-JP"/>
              </w:rPr>
              <w:t>Organizarea unui festival/unei săptămâni a creativității/de promovare a actorilor locali culturali</w:t>
            </w:r>
          </w:p>
        </w:tc>
        <w:tc>
          <w:tcPr>
            <w:tcW w:w="640" w:type="pct"/>
            <w:shd w:val="clear" w:color="auto" w:fill="F2F2F2"/>
            <w:hideMark/>
          </w:tcPr>
          <w:p w14:paraId="7E7E9DF1"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 Centrul Cultural Mihai Eminescu</w:t>
            </w:r>
          </w:p>
        </w:tc>
        <w:tc>
          <w:tcPr>
            <w:tcW w:w="507" w:type="pct"/>
            <w:shd w:val="clear" w:color="auto" w:fill="F2F2F2"/>
            <w:hideMark/>
          </w:tcPr>
          <w:p w14:paraId="5A7E2A5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52B85A7"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61B33208"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329338FF"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4FE4B2E"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3A96F48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C30EB6A"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5C20C93F" w14:textId="77777777" w:rsidTr="00E16711">
        <w:trPr>
          <w:trHeight w:val="1584"/>
        </w:trPr>
        <w:tc>
          <w:tcPr>
            <w:tcW w:w="205" w:type="pct"/>
            <w:shd w:val="clear" w:color="auto" w:fill="F2F2F2"/>
            <w:noWrap/>
            <w:hideMark/>
          </w:tcPr>
          <w:p w14:paraId="7CA7BF05" w14:textId="77777777" w:rsidR="00395D01" w:rsidRPr="00912996" w:rsidRDefault="00395D01" w:rsidP="00292396">
            <w:pPr>
              <w:rPr>
                <w:rFonts w:ascii="Calibri" w:hAnsi="Calibri"/>
                <w:bCs/>
                <w:lang w:eastAsia="ja-JP"/>
              </w:rPr>
            </w:pPr>
            <w:r w:rsidRPr="00912996">
              <w:rPr>
                <w:rFonts w:ascii="Calibri" w:hAnsi="Calibri"/>
                <w:bCs/>
                <w:lang w:eastAsia="ja-JP"/>
              </w:rPr>
              <w:t>16</w:t>
            </w:r>
          </w:p>
        </w:tc>
        <w:tc>
          <w:tcPr>
            <w:tcW w:w="1018" w:type="pct"/>
            <w:gridSpan w:val="2"/>
            <w:shd w:val="clear" w:color="auto" w:fill="F2F2F2"/>
            <w:hideMark/>
          </w:tcPr>
          <w:p w14:paraId="4A581588" w14:textId="77777777" w:rsidR="00395D01" w:rsidRPr="00912996" w:rsidRDefault="00395D01" w:rsidP="00292396">
            <w:pPr>
              <w:rPr>
                <w:rFonts w:ascii="Calibri" w:hAnsi="Calibri"/>
                <w:bCs/>
                <w:lang w:eastAsia="ja-JP"/>
              </w:rPr>
            </w:pPr>
            <w:r w:rsidRPr="00912996">
              <w:rPr>
                <w:rFonts w:ascii="Calibri" w:hAnsi="Calibri"/>
                <w:bCs/>
                <w:lang w:eastAsia="ja-JP"/>
              </w:rPr>
              <w:t>Elaborarea unor materiale offline/unor campanii online de promovare a ofertei culturale și de petrecere a timpului liber în Sectorul 2 (ex. Ce poți să faci într-un weekend/ într-o zi/într-o seară în cartierul tău?)</w:t>
            </w:r>
          </w:p>
        </w:tc>
        <w:tc>
          <w:tcPr>
            <w:tcW w:w="640" w:type="pct"/>
            <w:shd w:val="clear" w:color="auto" w:fill="F2F2F2"/>
            <w:hideMark/>
          </w:tcPr>
          <w:p w14:paraId="303EDFD8"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 Centrul Cultural Mihai Eminescu</w:t>
            </w:r>
          </w:p>
        </w:tc>
        <w:tc>
          <w:tcPr>
            <w:tcW w:w="507" w:type="pct"/>
            <w:shd w:val="clear" w:color="auto" w:fill="F2F2F2"/>
            <w:hideMark/>
          </w:tcPr>
          <w:p w14:paraId="771E285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AFED817" w14:textId="77777777" w:rsidR="00395D01" w:rsidRPr="00912996" w:rsidRDefault="00395D01" w:rsidP="00292396">
            <w:pPr>
              <w:rPr>
                <w:rFonts w:ascii="Calibri" w:hAnsi="Calibri"/>
                <w:bCs/>
                <w:lang w:eastAsia="ja-JP"/>
              </w:rPr>
            </w:pPr>
            <w:r w:rsidRPr="00912996">
              <w:rPr>
                <w:rFonts w:ascii="Calibri" w:hAnsi="Calibri"/>
                <w:bCs/>
                <w:lang w:eastAsia="ja-JP"/>
              </w:rPr>
              <w:t>147,000</w:t>
            </w:r>
          </w:p>
        </w:tc>
        <w:tc>
          <w:tcPr>
            <w:tcW w:w="411" w:type="pct"/>
            <w:shd w:val="clear" w:color="auto" w:fill="F2F2F2"/>
            <w:hideMark/>
          </w:tcPr>
          <w:p w14:paraId="7DB4CAA3" w14:textId="77777777" w:rsidR="00395D01" w:rsidRPr="00912996" w:rsidRDefault="00395D01" w:rsidP="00292396">
            <w:pPr>
              <w:rPr>
                <w:rFonts w:ascii="Calibri" w:hAnsi="Calibri"/>
                <w:bCs/>
                <w:lang w:eastAsia="ja-JP"/>
              </w:rPr>
            </w:pPr>
            <w:r w:rsidRPr="00912996">
              <w:rPr>
                <w:rFonts w:ascii="Calibri" w:hAnsi="Calibri"/>
                <w:bCs/>
                <w:lang w:eastAsia="ja-JP"/>
              </w:rPr>
              <w:t>30,000</w:t>
            </w:r>
          </w:p>
        </w:tc>
        <w:tc>
          <w:tcPr>
            <w:tcW w:w="347" w:type="pct"/>
            <w:shd w:val="clear" w:color="auto" w:fill="F2F2F2"/>
            <w:hideMark/>
          </w:tcPr>
          <w:p w14:paraId="1BCEB8B7"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49114BA"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CD5120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520F341"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1571FD3D" w14:textId="77777777" w:rsidTr="00E16711">
        <w:trPr>
          <w:trHeight w:val="1056"/>
        </w:trPr>
        <w:tc>
          <w:tcPr>
            <w:tcW w:w="205" w:type="pct"/>
            <w:shd w:val="clear" w:color="auto" w:fill="F2F2F2"/>
            <w:noWrap/>
            <w:hideMark/>
          </w:tcPr>
          <w:p w14:paraId="70D55E69" w14:textId="77777777" w:rsidR="00395D01" w:rsidRPr="00912996" w:rsidRDefault="00395D01" w:rsidP="00292396">
            <w:pPr>
              <w:rPr>
                <w:rFonts w:ascii="Calibri" w:hAnsi="Calibri"/>
                <w:bCs/>
                <w:lang w:eastAsia="ja-JP"/>
              </w:rPr>
            </w:pPr>
            <w:r w:rsidRPr="00912996">
              <w:rPr>
                <w:rFonts w:ascii="Calibri" w:hAnsi="Calibri"/>
                <w:bCs/>
                <w:lang w:eastAsia="ja-JP"/>
              </w:rPr>
              <w:t>17</w:t>
            </w:r>
          </w:p>
        </w:tc>
        <w:tc>
          <w:tcPr>
            <w:tcW w:w="1018" w:type="pct"/>
            <w:gridSpan w:val="2"/>
            <w:shd w:val="clear" w:color="auto" w:fill="F2F2F2"/>
            <w:hideMark/>
          </w:tcPr>
          <w:p w14:paraId="4493CAE5" w14:textId="77777777" w:rsidR="00395D01" w:rsidRPr="00912996" w:rsidRDefault="00395D01" w:rsidP="00292396">
            <w:pPr>
              <w:rPr>
                <w:rFonts w:ascii="Calibri" w:hAnsi="Calibri"/>
                <w:bCs/>
                <w:lang w:eastAsia="ja-JP"/>
              </w:rPr>
            </w:pPr>
            <w:r w:rsidRPr="00912996">
              <w:rPr>
                <w:rFonts w:ascii="Calibri" w:hAnsi="Calibri"/>
                <w:bCs/>
                <w:lang w:eastAsia="ja-JP"/>
              </w:rPr>
              <w:t>Organizarea unor evenimente de artă modernă pentru tineri</w:t>
            </w:r>
          </w:p>
        </w:tc>
        <w:tc>
          <w:tcPr>
            <w:tcW w:w="640" w:type="pct"/>
            <w:shd w:val="clear" w:color="auto" w:fill="F2F2F2"/>
            <w:hideMark/>
          </w:tcPr>
          <w:p w14:paraId="74DB8AA1"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 Centrul Cultural Mihai Eminescu</w:t>
            </w:r>
          </w:p>
        </w:tc>
        <w:tc>
          <w:tcPr>
            <w:tcW w:w="507" w:type="pct"/>
            <w:shd w:val="clear" w:color="auto" w:fill="F2F2F2"/>
            <w:hideMark/>
          </w:tcPr>
          <w:p w14:paraId="256241B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57FF3CE" w14:textId="77777777" w:rsidR="00395D01" w:rsidRPr="00912996" w:rsidRDefault="00395D01" w:rsidP="00292396">
            <w:pPr>
              <w:rPr>
                <w:rFonts w:ascii="Calibri" w:hAnsi="Calibri"/>
                <w:bCs/>
                <w:lang w:eastAsia="ja-JP"/>
              </w:rPr>
            </w:pPr>
            <w:r w:rsidRPr="00912996">
              <w:rPr>
                <w:rFonts w:ascii="Calibri" w:hAnsi="Calibri"/>
                <w:bCs/>
                <w:lang w:eastAsia="ja-JP"/>
              </w:rPr>
              <w:t>1,470,000</w:t>
            </w:r>
          </w:p>
        </w:tc>
        <w:tc>
          <w:tcPr>
            <w:tcW w:w="411" w:type="pct"/>
            <w:shd w:val="clear" w:color="auto" w:fill="F2F2F2"/>
            <w:hideMark/>
          </w:tcPr>
          <w:p w14:paraId="58B8F602" w14:textId="77777777" w:rsidR="00395D01" w:rsidRPr="00912996" w:rsidRDefault="00395D01" w:rsidP="00292396">
            <w:pPr>
              <w:rPr>
                <w:rFonts w:ascii="Calibri" w:hAnsi="Calibri"/>
                <w:bCs/>
                <w:lang w:eastAsia="ja-JP"/>
              </w:rPr>
            </w:pPr>
            <w:r w:rsidRPr="00912996">
              <w:rPr>
                <w:rFonts w:ascii="Calibri" w:hAnsi="Calibri"/>
                <w:bCs/>
                <w:lang w:eastAsia="ja-JP"/>
              </w:rPr>
              <w:t>300,000</w:t>
            </w:r>
          </w:p>
        </w:tc>
        <w:tc>
          <w:tcPr>
            <w:tcW w:w="347" w:type="pct"/>
            <w:shd w:val="clear" w:color="auto" w:fill="F2F2F2"/>
            <w:hideMark/>
          </w:tcPr>
          <w:p w14:paraId="4AC29234"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56FA8D0"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47ABF7D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B4F1F56"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28CADD2D" w14:textId="77777777" w:rsidTr="00E16711">
        <w:trPr>
          <w:trHeight w:val="792"/>
        </w:trPr>
        <w:tc>
          <w:tcPr>
            <w:tcW w:w="205" w:type="pct"/>
            <w:shd w:val="clear" w:color="auto" w:fill="F2F2F2"/>
            <w:noWrap/>
            <w:hideMark/>
          </w:tcPr>
          <w:p w14:paraId="510CBC37" w14:textId="77777777" w:rsidR="00395D01" w:rsidRPr="00912996" w:rsidRDefault="00395D01" w:rsidP="00292396">
            <w:pPr>
              <w:rPr>
                <w:rFonts w:ascii="Calibri" w:hAnsi="Calibri"/>
                <w:bCs/>
                <w:lang w:eastAsia="ja-JP"/>
              </w:rPr>
            </w:pPr>
            <w:r w:rsidRPr="00912996">
              <w:rPr>
                <w:rFonts w:ascii="Calibri" w:hAnsi="Calibri"/>
                <w:bCs/>
                <w:lang w:eastAsia="ja-JP"/>
              </w:rPr>
              <w:t>18</w:t>
            </w:r>
          </w:p>
        </w:tc>
        <w:tc>
          <w:tcPr>
            <w:tcW w:w="1018" w:type="pct"/>
            <w:gridSpan w:val="2"/>
            <w:shd w:val="clear" w:color="auto" w:fill="F2F2F2"/>
            <w:hideMark/>
          </w:tcPr>
          <w:p w14:paraId="709D6684" w14:textId="77777777" w:rsidR="00395D01" w:rsidRPr="00912996" w:rsidRDefault="00395D01" w:rsidP="00292396">
            <w:pPr>
              <w:rPr>
                <w:rFonts w:ascii="Calibri" w:hAnsi="Calibri"/>
                <w:bCs/>
                <w:lang w:eastAsia="ja-JP"/>
              </w:rPr>
            </w:pPr>
            <w:r w:rsidRPr="00912996">
              <w:rPr>
                <w:rFonts w:ascii="Calibri" w:hAnsi="Calibri"/>
                <w:bCs/>
                <w:lang w:eastAsia="ja-JP"/>
              </w:rPr>
              <w:t>Locuire, servicii și cultură adaptate unei comunități active și implicate</w:t>
            </w:r>
          </w:p>
        </w:tc>
        <w:tc>
          <w:tcPr>
            <w:tcW w:w="640" w:type="pct"/>
            <w:shd w:val="clear" w:color="auto" w:fill="F2F2F2"/>
            <w:hideMark/>
          </w:tcPr>
          <w:p w14:paraId="6172BC4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9AEDAF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41345BF" w14:textId="77777777" w:rsidR="00395D01" w:rsidRPr="00912996" w:rsidRDefault="00395D01" w:rsidP="00292396">
            <w:pPr>
              <w:rPr>
                <w:rFonts w:ascii="Calibri" w:hAnsi="Calibri"/>
                <w:bCs/>
                <w:lang w:eastAsia="ja-JP"/>
              </w:rPr>
            </w:pPr>
            <w:r w:rsidRPr="00912996">
              <w:rPr>
                <w:rFonts w:ascii="Calibri" w:hAnsi="Calibri"/>
                <w:bCs/>
                <w:lang w:eastAsia="ja-JP"/>
              </w:rPr>
              <w:t>550,813,900</w:t>
            </w:r>
          </w:p>
        </w:tc>
        <w:tc>
          <w:tcPr>
            <w:tcW w:w="411" w:type="pct"/>
            <w:shd w:val="clear" w:color="auto" w:fill="F2F2F2"/>
            <w:hideMark/>
          </w:tcPr>
          <w:p w14:paraId="42676835" w14:textId="77777777" w:rsidR="00395D01" w:rsidRPr="00912996" w:rsidRDefault="00395D01" w:rsidP="00292396">
            <w:pPr>
              <w:rPr>
                <w:rFonts w:ascii="Calibri" w:hAnsi="Calibri"/>
                <w:bCs/>
                <w:lang w:eastAsia="ja-JP"/>
              </w:rPr>
            </w:pPr>
            <w:r w:rsidRPr="00912996">
              <w:rPr>
                <w:rFonts w:ascii="Calibri" w:hAnsi="Calibri"/>
                <w:bCs/>
                <w:lang w:eastAsia="ja-JP"/>
              </w:rPr>
              <w:t>112,411,000</w:t>
            </w:r>
          </w:p>
        </w:tc>
        <w:tc>
          <w:tcPr>
            <w:tcW w:w="347" w:type="pct"/>
            <w:shd w:val="clear" w:color="auto" w:fill="F2F2F2"/>
            <w:hideMark/>
          </w:tcPr>
          <w:p w14:paraId="14159F76"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C931C0E"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52A802A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27B8C87"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395D01" w:rsidRPr="00912996" w14:paraId="0949BF14" w14:textId="77777777" w:rsidTr="00292396">
        <w:trPr>
          <w:trHeight w:val="264"/>
        </w:trPr>
        <w:tc>
          <w:tcPr>
            <w:tcW w:w="5000" w:type="pct"/>
            <w:gridSpan w:val="12"/>
            <w:shd w:val="clear" w:color="auto" w:fill="BBD9A0"/>
            <w:noWrap/>
            <w:hideMark/>
          </w:tcPr>
          <w:p w14:paraId="0993E1CA" w14:textId="77777777" w:rsidR="00395D01" w:rsidRPr="00912996" w:rsidRDefault="00395D01" w:rsidP="001C765E">
            <w:pPr>
              <w:jc w:val="center"/>
              <w:rPr>
                <w:rFonts w:ascii="Calibri" w:hAnsi="Calibri"/>
                <w:b/>
                <w:bCs/>
                <w:lang w:eastAsia="ja-JP"/>
              </w:rPr>
            </w:pPr>
            <w:r w:rsidRPr="00912996">
              <w:rPr>
                <w:rFonts w:ascii="Calibri" w:hAnsi="Calibri"/>
                <w:b/>
                <w:bCs/>
                <w:color w:val="FFFFFF"/>
                <w:lang w:eastAsia="ja-JP"/>
              </w:rPr>
              <w:t>D1.5.3. Sprijinirea actorilor din domeniile cultural-artistice din Sectorul 2</w:t>
            </w:r>
          </w:p>
        </w:tc>
      </w:tr>
      <w:tr w:rsidR="00E16711" w:rsidRPr="00912996" w14:paraId="0792F198" w14:textId="77777777" w:rsidTr="00E16711">
        <w:trPr>
          <w:trHeight w:val="2376"/>
        </w:trPr>
        <w:tc>
          <w:tcPr>
            <w:tcW w:w="205" w:type="pct"/>
            <w:shd w:val="clear" w:color="auto" w:fill="F2F2F2"/>
            <w:noWrap/>
            <w:hideMark/>
          </w:tcPr>
          <w:p w14:paraId="6D341AAF"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02F0A32A" w14:textId="77777777" w:rsidR="00395D01" w:rsidRPr="00912996" w:rsidRDefault="00395D01" w:rsidP="00292396">
            <w:pPr>
              <w:rPr>
                <w:rFonts w:ascii="Calibri" w:hAnsi="Calibri"/>
                <w:bCs/>
                <w:lang w:eastAsia="ja-JP"/>
              </w:rPr>
            </w:pPr>
            <w:r w:rsidRPr="00912996">
              <w:rPr>
                <w:rFonts w:ascii="Calibri" w:hAnsi="Calibri"/>
                <w:bCs/>
                <w:lang w:eastAsia="ja-JP"/>
              </w:rPr>
              <w:t>Organizarea de evenimente și întâlniri de lucru cu reprezentanți ai altor autorități publice din țară și străinătate pentru schimb de experiență în domeniul cultural</w:t>
            </w:r>
          </w:p>
        </w:tc>
        <w:tc>
          <w:tcPr>
            <w:tcW w:w="640" w:type="pct"/>
            <w:shd w:val="clear" w:color="auto" w:fill="F2F2F2"/>
            <w:hideMark/>
          </w:tcPr>
          <w:p w14:paraId="64B031D6"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674C5B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8D11E2C" w14:textId="77777777" w:rsidR="00395D01" w:rsidRPr="00912996" w:rsidRDefault="00395D01" w:rsidP="00292396">
            <w:pPr>
              <w:rPr>
                <w:rFonts w:ascii="Calibri" w:hAnsi="Calibri"/>
                <w:bCs/>
                <w:lang w:eastAsia="ja-JP"/>
              </w:rPr>
            </w:pPr>
            <w:r w:rsidRPr="00912996">
              <w:rPr>
                <w:rFonts w:ascii="Calibri" w:hAnsi="Calibri"/>
                <w:bCs/>
                <w:lang w:eastAsia="ja-JP"/>
              </w:rPr>
              <w:t>161,700</w:t>
            </w:r>
          </w:p>
        </w:tc>
        <w:tc>
          <w:tcPr>
            <w:tcW w:w="411" w:type="pct"/>
            <w:shd w:val="clear" w:color="auto" w:fill="F2F2F2"/>
            <w:hideMark/>
          </w:tcPr>
          <w:p w14:paraId="697F5606" w14:textId="77777777" w:rsidR="00395D01" w:rsidRPr="00912996" w:rsidRDefault="00395D01" w:rsidP="00292396">
            <w:pPr>
              <w:rPr>
                <w:rFonts w:ascii="Calibri" w:hAnsi="Calibri"/>
                <w:bCs/>
                <w:lang w:eastAsia="ja-JP"/>
              </w:rPr>
            </w:pPr>
            <w:r w:rsidRPr="00912996">
              <w:rPr>
                <w:rFonts w:ascii="Calibri" w:hAnsi="Calibri"/>
                <w:bCs/>
                <w:lang w:eastAsia="ja-JP"/>
              </w:rPr>
              <w:t>33,000</w:t>
            </w:r>
          </w:p>
        </w:tc>
        <w:tc>
          <w:tcPr>
            <w:tcW w:w="347" w:type="pct"/>
            <w:shd w:val="clear" w:color="auto" w:fill="F2F2F2"/>
            <w:hideMark/>
          </w:tcPr>
          <w:p w14:paraId="55140E6D"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D7A5B2A" w14:textId="77777777" w:rsidR="00395D01" w:rsidRPr="00912996" w:rsidRDefault="00395D01" w:rsidP="00292396">
            <w:pPr>
              <w:rPr>
                <w:rFonts w:ascii="Calibri" w:hAnsi="Calibri"/>
                <w:bCs/>
                <w:lang w:eastAsia="ja-JP"/>
              </w:rPr>
            </w:pPr>
            <w:r w:rsidRPr="00912996">
              <w:rPr>
                <w:rFonts w:ascii="Calibri" w:hAnsi="Calibri"/>
                <w:bCs/>
                <w:lang w:eastAsia="ja-JP"/>
              </w:rPr>
              <w:t>Programul Europa Creativă 2021 -2027, Fondul internațional pentru promovarea culturii, Bugetul local, Buget parteneri, Alte surse de finanțare</w:t>
            </w:r>
          </w:p>
        </w:tc>
        <w:tc>
          <w:tcPr>
            <w:tcW w:w="433" w:type="pct"/>
            <w:shd w:val="clear" w:color="auto" w:fill="F2F2F2"/>
            <w:hideMark/>
          </w:tcPr>
          <w:p w14:paraId="5A0845DB"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0A6CB61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CAB2BCE" w14:textId="77777777" w:rsidTr="00E16711">
        <w:trPr>
          <w:trHeight w:val="792"/>
        </w:trPr>
        <w:tc>
          <w:tcPr>
            <w:tcW w:w="205" w:type="pct"/>
            <w:shd w:val="clear" w:color="auto" w:fill="F2F2F2"/>
            <w:noWrap/>
            <w:hideMark/>
          </w:tcPr>
          <w:p w14:paraId="2B4B0825"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7884488F" w14:textId="77777777" w:rsidR="00395D01" w:rsidRPr="00912996" w:rsidRDefault="00395D01" w:rsidP="00292396">
            <w:pPr>
              <w:rPr>
                <w:rFonts w:ascii="Calibri" w:hAnsi="Calibri"/>
                <w:bCs/>
                <w:lang w:eastAsia="ja-JP"/>
              </w:rPr>
            </w:pPr>
            <w:r w:rsidRPr="00912996">
              <w:rPr>
                <w:rFonts w:ascii="Calibri" w:hAnsi="Calibri"/>
                <w:bCs/>
                <w:lang w:eastAsia="ja-JP"/>
              </w:rPr>
              <w:t>Înființarea unui grup de lucru în domeniul cultural care să faciliteze dialogul între actorii culturali relevanți la nivelul Sectorul 2</w:t>
            </w:r>
          </w:p>
        </w:tc>
        <w:tc>
          <w:tcPr>
            <w:tcW w:w="640" w:type="pct"/>
            <w:shd w:val="clear" w:color="auto" w:fill="F2F2F2"/>
            <w:hideMark/>
          </w:tcPr>
          <w:p w14:paraId="05E07CFB"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 ONG-uri</w:t>
            </w:r>
          </w:p>
        </w:tc>
        <w:tc>
          <w:tcPr>
            <w:tcW w:w="507" w:type="pct"/>
            <w:shd w:val="clear" w:color="auto" w:fill="F2F2F2"/>
            <w:hideMark/>
          </w:tcPr>
          <w:p w14:paraId="1027535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FB6211A" w14:textId="77777777" w:rsidR="00395D01" w:rsidRPr="00912996" w:rsidRDefault="00395D01" w:rsidP="00292396">
            <w:pPr>
              <w:rPr>
                <w:rFonts w:ascii="Calibri" w:hAnsi="Calibri"/>
                <w:bCs/>
                <w:lang w:eastAsia="ja-JP"/>
              </w:rPr>
            </w:pPr>
            <w:r w:rsidRPr="00912996">
              <w:rPr>
                <w:rFonts w:ascii="Calibri" w:hAnsi="Calibri"/>
                <w:bCs/>
                <w:lang w:eastAsia="ja-JP"/>
              </w:rPr>
              <w:t>Nu necesită costuri suplimentare</w:t>
            </w:r>
          </w:p>
        </w:tc>
        <w:tc>
          <w:tcPr>
            <w:tcW w:w="411" w:type="pct"/>
            <w:shd w:val="clear" w:color="auto" w:fill="F2F2F2"/>
            <w:hideMark/>
          </w:tcPr>
          <w:p w14:paraId="1920C820" w14:textId="77777777" w:rsidR="00395D01" w:rsidRPr="00912996" w:rsidRDefault="00395D01" w:rsidP="00292396">
            <w:pPr>
              <w:rPr>
                <w:rFonts w:ascii="Calibri" w:hAnsi="Calibri"/>
                <w:bCs/>
                <w:lang w:eastAsia="ja-JP"/>
              </w:rPr>
            </w:pPr>
            <w:r w:rsidRPr="00912996">
              <w:rPr>
                <w:rFonts w:ascii="Calibri" w:hAnsi="Calibri"/>
                <w:bCs/>
                <w:lang w:eastAsia="ja-JP"/>
              </w:rPr>
              <w:t>Nu necesită costuri suplimentare</w:t>
            </w:r>
          </w:p>
        </w:tc>
        <w:tc>
          <w:tcPr>
            <w:tcW w:w="347" w:type="pct"/>
            <w:shd w:val="clear" w:color="auto" w:fill="F2F2F2"/>
            <w:hideMark/>
          </w:tcPr>
          <w:p w14:paraId="19AA39C3"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276A1EB" w14:textId="77777777" w:rsidR="00395D01" w:rsidRPr="00912996" w:rsidRDefault="00395D01" w:rsidP="00292396">
            <w:pPr>
              <w:rPr>
                <w:rFonts w:ascii="Calibri" w:hAnsi="Calibri"/>
                <w:bCs/>
                <w:lang w:eastAsia="ja-JP"/>
              </w:rPr>
            </w:pPr>
            <w:r w:rsidRPr="00912996">
              <w:rPr>
                <w:rFonts w:ascii="Calibri" w:hAnsi="Calibri"/>
                <w:bCs/>
                <w:lang w:eastAsia="ja-JP"/>
              </w:rPr>
              <w:t>Nu necesită costuri suplimentare</w:t>
            </w:r>
          </w:p>
        </w:tc>
        <w:tc>
          <w:tcPr>
            <w:tcW w:w="433" w:type="pct"/>
            <w:shd w:val="clear" w:color="auto" w:fill="F2F2F2"/>
            <w:hideMark/>
          </w:tcPr>
          <w:p w14:paraId="0C2E7111"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CB4519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966637A" w14:textId="77777777" w:rsidTr="00E16711">
        <w:trPr>
          <w:trHeight w:val="792"/>
        </w:trPr>
        <w:tc>
          <w:tcPr>
            <w:tcW w:w="205" w:type="pct"/>
            <w:shd w:val="clear" w:color="auto" w:fill="F2F2F2"/>
            <w:noWrap/>
            <w:hideMark/>
          </w:tcPr>
          <w:p w14:paraId="2DBC53C8"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2CE6E03F" w14:textId="77777777" w:rsidR="00395D01" w:rsidRPr="00912996" w:rsidRDefault="00395D01" w:rsidP="00292396">
            <w:pPr>
              <w:rPr>
                <w:rFonts w:ascii="Calibri" w:hAnsi="Calibri"/>
                <w:bCs/>
                <w:lang w:eastAsia="ja-JP"/>
              </w:rPr>
            </w:pPr>
            <w:r w:rsidRPr="00912996">
              <w:rPr>
                <w:rFonts w:ascii="Calibri" w:hAnsi="Calibri"/>
                <w:bCs/>
                <w:lang w:eastAsia="ja-JP"/>
              </w:rPr>
              <w:t>Organizarea de apeluri de proiecte locale de</w:t>
            </w:r>
            <w:r w:rsidRPr="00912996">
              <w:rPr>
                <w:rFonts w:ascii="Calibri" w:hAnsi="Calibri"/>
                <w:bCs/>
                <w:lang w:eastAsia="ja-JP"/>
              </w:rPr>
              <w:br/>
              <w:t>și pentru tineret</w:t>
            </w:r>
          </w:p>
        </w:tc>
        <w:tc>
          <w:tcPr>
            <w:tcW w:w="640" w:type="pct"/>
            <w:shd w:val="clear" w:color="auto" w:fill="F2F2F2"/>
            <w:hideMark/>
          </w:tcPr>
          <w:p w14:paraId="30359A65"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370CF7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9D2BEBF" w14:textId="77777777" w:rsidR="00395D01" w:rsidRPr="00912996" w:rsidRDefault="00395D01" w:rsidP="00292396">
            <w:pPr>
              <w:rPr>
                <w:rFonts w:ascii="Calibri" w:hAnsi="Calibri"/>
                <w:bCs/>
                <w:lang w:eastAsia="ja-JP"/>
              </w:rPr>
            </w:pPr>
            <w:r w:rsidRPr="00912996">
              <w:rPr>
                <w:rFonts w:ascii="Calibri" w:hAnsi="Calibri"/>
                <w:bCs/>
                <w:lang w:eastAsia="ja-JP"/>
              </w:rPr>
              <w:t>367,500</w:t>
            </w:r>
          </w:p>
        </w:tc>
        <w:tc>
          <w:tcPr>
            <w:tcW w:w="411" w:type="pct"/>
            <w:shd w:val="clear" w:color="auto" w:fill="F2F2F2"/>
            <w:hideMark/>
          </w:tcPr>
          <w:p w14:paraId="54EC9507"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131E201D" w14:textId="77777777" w:rsidR="00395D01" w:rsidRPr="00912996" w:rsidRDefault="00395D01" w:rsidP="00292396">
            <w:pPr>
              <w:rPr>
                <w:rFonts w:ascii="Calibri" w:hAnsi="Calibri"/>
                <w:bCs/>
                <w:lang w:eastAsia="ja-JP"/>
              </w:rPr>
            </w:pPr>
            <w:r w:rsidRPr="00912996">
              <w:rPr>
                <w:rFonts w:ascii="Calibri" w:hAnsi="Calibri"/>
                <w:bCs/>
                <w:lang w:eastAsia="ja-JP"/>
              </w:rPr>
              <w:t>2022-2027</w:t>
            </w:r>
          </w:p>
        </w:tc>
        <w:tc>
          <w:tcPr>
            <w:tcW w:w="484" w:type="pct"/>
            <w:gridSpan w:val="2"/>
            <w:shd w:val="clear" w:color="auto" w:fill="F2F2F2"/>
            <w:hideMark/>
          </w:tcPr>
          <w:p w14:paraId="05C2A19A"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6BE32B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19AD536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87C12D5" w14:textId="77777777" w:rsidTr="00E16711">
        <w:trPr>
          <w:trHeight w:val="620"/>
        </w:trPr>
        <w:tc>
          <w:tcPr>
            <w:tcW w:w="205" w:type="pct"/>
            <w:shd w:val="clear" w:color="auto" w:fill="F2F2F2"/>
            <w:noWrap/>
            <w:hideMark/>
          </w:tcPr>
          <w:p w14:paraId="580301DB"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066B13CA" w14:textId="77777777" w:rsidR="00395D01" w:rsidRPr="00912996" w:rsidRDefault="00395D01" w:rsidP="00292396">
            <w:pPr>
              <w:rPr>
                <w:rFonts w:ascii="Calibri" w:hAnsi="Calibri"/>
                <w:bCs/>
                <w:lang w:eastAsia="ja-JP"/>
              </w:rPr>
            </w:pPr>
            <w:r w:rsidRPr="00912996">
              <w:rPr>
                <w:rFonts w:ascii="Calibri" w:hAnsi="Calibri"/>
                <w:bCs/>
                <w:lang w:eastAsia="ja-JP"/>
              </w:rPr>
              <w:t>Program de rezidențe de creație pentru tinerii artiști</w:t>
            </w:r>
          </w:p>
        </w:tc>
        <w:tc>
          <w:tcPr>
            <w:tcW w:w="640" w:type="pct"/>
            <w:shd w:val="clear" w:color="auto" w:fill="F2F2F2"/>
            <w:hideMark/>
          </w:tcPr>
          <w:p w14:paraId="54E2EF11"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 parteneri privați</w:t>
            </w:r>
          </w:p>
        </w:tc>
        <w:tc>
          <w:tcPr>
            <w:tcW w:w="507" w:type="pct"/>
            <w:shd w:val="clear" w:color="auto" w:fill="F2F2F2"/>
            <w:hideMark/>
          </w:tcPr>
          <w:p w14:paraId="20FA525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E35B46A" w14:textId="77777777" w:rsidR="00395D01" w:rsidRPr="00912996" w:rsidRDefault="00395D01" w:rsidP="00292396">
            <w:pPr>
              <w:rPr>
                <w:rFonts w:ascii="Calibri" w:hAnsi="Calibri"/>
                <w:bCs/>
                <w:lang w:eastAsia="ja-JP"/>
              </w:rPr>
            </w:pPr>
            <w:r w:rsidRPr="00912996">
              <w:rPr>
                <w:rFonts w:ascii="Calibri" w:hAnsi="Calibri"/>
                <w:bCs/>
                <w:lang w:eastAsia="ja-JP"/>
              </w:rPr>
              <w:t>1,470,000</w:t>
            </w:r>
          </w:p>
        </w:tc>
        <w:tc>
          <w:tcPr>
            <w:tcW w:w="411" w:type="pct"/>
            <w:shd w:val="clear" w:color="auto" w:fill="F2F2F2"/>
            <w:hideMark/>
          </w:tcPr>
          <w:p w14:paraId="2D57140F" w14:textId="77777777" w:rsidR="00395D01" w:rsidRPr="00912996" w:rsidRDefault="00395D01" w:rsidP="00292396">
            <w:pPr>
              <w:rPr>
                <w:rFonts w:ascii="Calibri" w:hAnsi="Calibri"/>
                <w:bCs/>
                <w:lang w:eastAsia="ja-JP"/>
              </w:rPr>
            </w:pPr>
            <w:r w:rsidRPr="00912996">
              <w:rPr>
                <w:rFonts w:ascii="Calibri" w:hAnsi="Calibri"/>
                <w:bCs/>
                <w:lang w:eastAsia="ja-JP"/>
              </w:rPr>
              <w:t>300,000</w:t>
            </w:r>
          </w:p>
        </w:tc>
        <w:tc>
          <w:tcPr>
            <w:tcW w:w="347" w:type="pct"/>
            <w:shd w:val="clear" w:color="auto" w:fill="F2F2F2"/>
            <w:hideMark/>
          </w:tcPr>
          <w:p w14:paraId="00A95D38" w14:textId="77777777" w:rsidR="00395D01" w:rsidRPr="00912996" w:rsidRDefault="00395D01" w:rsidP="00292396">
            <w:pPr>
              <w:rPr>
                <w:rFonts w:ascii="Calibri" w:hAnsi="Calibri"/>
                <w:bCs/>
                <w:lang w:eastAsia="ja-JP"/>
              </w:rPr>
            </w:pPr>
            <w:r w:rsidRPr="00912996">
              <w:rPr>
                <w:rFonts w:ascii="Calibri" w:hAnsi="Calibri"/>
                <w:bCs/>
                <w:lang w:eastAsia="ja-JP"/>
              </w:rPr>
              <w:t>2022-2027</w:t>
            </w:r>
          </w:p>
        </w:tc>
        <w:tc>
          <w:tcPr>
            <w:tcW w:w="484" w:type="pct"/>
            <w:gridSpan w:val="2"/>
            <w:shd w:val="clear" w:color="auto" w:fill="F2F2F2"/>
            <w:hideMark/>
          </w:tcPr>
          <w:p w14:paraId="7C69D1AE" w14:textId="77777777" w:rsidR="00395D01" w:rsidRPr="00912996" w:rsidRDefault="00395D01" w:rsidP="00292396">
            <w:pPr>
              <w:rPr>
                <w:rFonts w:ascii="Calibri" w:hAnsi="Calibri"/>
                <w:bCs/>
                <w:lang w:eastAsia="ja-JP"/>
              </w:rPr>
            </w:pPr>
            <w:r w:rsidRPr="00912996">
              <w:rPr>
                <w:rFonts w:ascii="Calibri" w:hAnsi="Calibri"/>
                <w:bCs/>
                <w:lang w:eastAsia="ja-JP"/>
              </w:rPr>
              <w:t>Programul Europa Creativă 2021-2027, Finanțare AFCN, Bugetul local, Buget parteneri, Alte surse de finanțare</w:t>
            </w:r>
          </w:p>
        </w:tc>
        <w:tc>
          <w:tcPr>
            <w:tcW w:w="433" w:type="pct"/>
            <w:shd w:val="clear" w:color="auto" w:fill="F2F2F2"/>
            <w:hideMark/>
          </w:tcPr>
          <w:p w14:paraId="029E041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30F9963"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5BA49E5" w14:textId="77777777" w:rsidTr="00E16711">
        <w:trPr>
          <w:trHeight w:val="1848"/>
        </w:trPr>
        <w:tc>
          <w:tcPr>
            <w:tcW w:w="205" w:type="pct"/>
            <w:shd w:val="clear" w:color="auto" w:fill="F2F2F2"/>
            <w:noWrap/>
            <w:hideMark/>
          </w:tcPr>
          <w:p w14:paraId="1AEB31C5"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4BE10DDA" w14:textId="77777777" w:rsidR="00395D01" w:rsidRPr="00912996" w:rsidRDefault="00395D01" w:rsidP="00292396">
            <w:pPr>
              <w:rPr>
                <w:rFonts w:ascii="Calibri" w:hAnsi="Calibri"/>
                <w:bCs/>
                <w:lang w:eastAsia="ja-JP"/>
              </w:rPr>
            </w:pPr>
            <w:r w:rsidRPr="00912996">
              <w:rPr>
                <w:rFonts w:ascii="Calibri" w:hAnsi="Calibri"/>
                <w:bCs/>
                <w:lang w:eastAsia="ja-JP"/>
              </w:rPr>
              <w:t>Elaborarea Manualului de Branding al Sectorului 2, corelat cu o strategie de marketing și promovare</w:t>
            </w:r>
            <w:r>
              <w:rPr>
                <w:rFonts w:ascii="Calibri" w:hAnsi="Calibri"/>
                <w:bCs/>
                <w:lang w:eastAsia="ja-JP"/>
              </w:rPr>
              <w:t xml:space="preserve"> </w:t>
            </w:r>
            <w:r w:rsidRPr="005D5584">
              <w:rPr>
                <w:rFonts w:ascii="Calibri" w:hAnsi="Calibri"/>
                <w:bCs/>
                <w:lang w:eastAsia="ja-JP"/>
              </w:rPr>
              <w:t xml:space="preserve">definirea unui concept de UI/UX pentru site-urile PS2  </w:t>
            </w:r>
          </w:p>
        </w:tc>
        <w:tc>
          <w:tcPr>
            <w:tcW w:w="640" w:type="pct"/>
            <w:shd w:val="clear" w:color="auto" w:fill="F2F2F2"/>
            <w:hideMark/>
          </w:tcPr>
          <w:p w14:paraId="13DD502C"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2C5951A5" w14:textId="77777777" w:rsidR="00395D01" w:rsidRPr="00912996" w:rsidRDefault="00395D01" w:rsidP="00292396">
            <w:pPr>
              <w:rPr>
                <w:rFonts w:ascii="Calibri" w:hAnsi="Calibri"/>
                <w:bCs/>
                <w:lang w:eastAsia="ja-JP"/>
              </w:rPr>
            </w:pPr>
            <w:r w:rsidRPr="005D5584">
              <w:rPr>
                <w:rFonts w:ascii="Calibri" w:hAnsi="Calibri"/>
                <w:bCs/>
                <w:lang w:eastAsia="ja-JP"/>
              </w:rPr>
              <w:t>Elaborare specificații tehnice în vederea achiziției serviciilor</w:t>
            </w:r>
          </w:p>
        </w:tc>
        <w:tc>
          <w:tcPr>
            <w:tcW w:w="473" w:type="pct"/>
            <w:shd w:val="clear" w:color="auto" w:fill="F2F2F2"/>
            <w:hideMark/>
          </w:tcPr>
          <w:p w14:paraId="799E007A" w14:textId="77777777" w:rsidR="00395D01" w:rsidRPr="00912996" w:rsidRDefault="00395D01" w:rsidP="00292396">
            <w:pPr>
              <w:rPr>
                <w:rFonts w:ascii="Calibri" w:hAnsi="Calibri"/>
                <w:bCs/>
                <w:lang w:eastAsia="ja-JP"/>
              </w:rPr>
            </w:pPr>
            <w:r w:rsidRPr="00912996">
              <w:rPr>
                <w:rFonts w:ascii="Calibri" w:hAnsi="Calibri"/>
                <w:bCs/>
                <w:lang w:eastAsia="ja-JP"/>
              </w:rPr>
              <w:t>147,000</w:t>
            </w:r>
          </w:p>
        </w:tc>
        <w:tc>
          <w:tcPr>
            <w:tcW w:w="411" w:type="pct"/>
            <w:shd w:val="clear" w:color="auto" w:fill="F2F2F2"/>
            <w:hideMark/>
          </w:tcPr>
          <w:p w14:paraId="3D854AD9" w14:textId="77777777" w:rsidR="00395D01" w:rsidRPr="00912996" w:rsidRDefault="00395D01" w:rsidP="00292396">
            <w:pPr>
              <w:rPr>
                <w:rFonts w:ascii="Calibri" w:hAnsi="Calibri"/>
                <w:bCs/>
                <w:lang w:eastAsia="ja-JP"/>
              </w:rPr>
            </w:pPr>
            <w:r w:rsidRPr="00912996">
              <w:rPr>
                <w:rFonts w:ascii="Calibri" w:hAnsi="Calibri"/>
                <w:bCs/>
                <w:lang w:eastAsia="ja-JP"/>
              </w:rPr>
              <w:t>30,000</w:t>
            </w:r>
          </w:p>
        </w:tc>
        <w:tc>
          <w:tcPr>
            <w:tcW w:w="347" w:type="pct"/>
            <w:shd w:val="clear" w:color="auto" w:fill="F2F2F2"/>
            <w:hideMark/>
          </w:tcPr>
          <w:p w14:paraId="3D952A7E"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E8BFE70" w14:textId="77777777" w:rsidR="00395D01" w:rsidRPr="00912996" w:rsidRDefault="00395D01" w:rsidP="00292396">
            <w:pPr>
              <w:rPr>
                <w:rFonts w:ascii="Calibri" w:hAnsi="Calibri"/>
                <w:bCs/>
                <w:lang w:eastAsia="ja-JP"/>
              </w:rPr>
            </w:pPr>
            <w:r w:rsidRPr="00912996">
              <w:rPr>
                <w:rFonts w:ascii="Calibri" w:hAnsi="Calibri"/>
                <w:bCs/>
                <w:lang w:eastAsia="ja-JP"/>
              </w:rPr>
              <w:t>POR BI 2021-2027, Surse de finanțare ale Ministerului Culturii, Bugetul local, Alte surse de finanțare</w:t>
            </w:r>
          </w:p>
        </w:tc>
        <w:tc>
          <w:tcPr>
            <w:tcW w:w="433" w:type="pct"/>
            <w:shd w:val="clear" w:color="auto" w:fill="F2F2F2"/>
            <w:hideMark/>
          </w:tcPr>
          <w:p w14:paraId="7BACE048"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322522F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1FBB651" w14:textId="77777777" w:rsidTr="00E16711">
        <w:trPr>
          <w:trHeight w:val="620"/>
        </w:trPr>
        <w:tc>
          <w:tcPr>
            <w:tcW w:w="205" w:type="pct"/>
            <w:shd w:val="clear" w:color="auto" w:fill="F2F2F2"/>
            <w:noWrap/>
            <w:hideMark/>
          </w:tcPr>
          <w:p w14:paraId="66B1C7EE"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4D4FEB53" w14:textId="77777777" w:rsidR="00395D01" w:rsidRPr="00912996" w:rsidRDefault="00395D01" w:rsidP="00292396">
            <w:pPr>
              <w:rPr>
                <w:rFonts w:ascii="Calibri" w:hAnsi="Calibri"/>
                <w:bCs/>
                <w:lang w:eastAsia="ja-JP"/>
              </w:rPr>
            </w:pPr>
            <w:r w:rsidRPr="00912996">
              <w:rPr>
                <w:rFonts w:ascii="Calibri" w:hAnsi="Calibri"/>
                <w:bCs/>
                <w:lang w:eastAsia="ja-JP"/>
              </w:rPr>
              <w:t>Promovarea artiștilor locali prin organizarea de manifestări și expoziții în Sectorul 2</w:t>
            </w:r>
          </w:p>
        </w:tc>
        <w:tc>
          <w:tcPr>
            <w:tcW w:w="640" w:type="pct"/>
            <w:shd w:val="clear" w:color="auto" w:fill="F2F2F2"/>
            <w:hideMark/>
          </w:tcPr>
          <w:p w14:paraId="0E039E48" w14:textId="77777777" w:rsidR="00395D01" w:rsidRPr="00912996" w:rsidRDefault="00395D01" w:rsidP="00292396">
            <w:pPr>
              <w:rPr>
                <w:rFonts w:ascii="Calibri" w:hAnsi="Calibri"/>
                <w:bCs/>
                <w:lang w:eastAsia="ja-JP"/>
              </w:rPr>
            </w:pPr>
            <w:r w:rsidRPr="00912996">
              <w:rPr>
                <w:rFonts w:ascii="Calibri" w:hAnsi="Calibri"/>
                <w:bCs/>
                <w:lang w:eastAsia="ja-JP"/>
              </w:rPr>
              <w:t>PS2, instituții culturale, parteneri privați</w:t>
            </w:r>
          </w:p>
        </w:tc>
        <w:tc>
          <w:tcPr>
            <w:tcW w:w="507" w:type="pct"/>
            <w:shd w:val="clear" w:color="auto" w:fill="F2F2F2"/>
            <w:hideMark/>
          </w:tcPr>
          <w:p w14:paraId="3BDBDC7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CA49BEF"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51FF2B91"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45372A60"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0617066" w14:textId="77777777" w:rsidR="00395D01" w:rsidRPr="00912996" w:rsidRDefault="00395D01" w:rsidP="00292396">
            <w:pPr>
              <w:rPr>
                <w:rFonts w:ascii="Calibri" w:hAnsi="Calibri"/>
                <w:bCs/>
                <w:lang w:eastAsia="ja-JP"/>
              </w:rPr>
            </w:pPr>
            <w:r w:rsidRPr="00912996">
              <w:rPr>
                <w:rFonts w:ascii="Calibri" w:hAnsi="Calibri"/>
                <w:bCs/>
                <w:lang w:eastAsia="ja-JP"/>
              </w:rPr>
              <w:t>Programul Europa Creativă 2021-2027, Finanțare AFCN, Bugetul local, Buget parteneri, Alte surse de finanțare</w:t>
            </w:r>
          </w:p>
        </w:tc>
        <w:tc>
          <w:tcPr>
            <w:tcW w:w="433" w:type="pct"/>
            <w:shd w:val="clear" w:color="auto" w:fill="F2F2F2"/>
            <w:hideMark/>
          </w:tcPr>
          <w:p w14:paraId="6521FCDA"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63EE2484" w14:textId="77777777" w:rsidR="00395D01" w:rsidRPr="00912996" w:rsidRDefault="00395D01" w:rsidP="00292396">
            <w:pPr>
              <w:rPr>
                <w:rFonts w:ascii="Calibri" w:hAnsi="Calibri"/>
                <w:bCs/>
                <w:lang w:eastAsia="ja-JP"/>
              </w:rPr>
            </w:pPr>
            <w:r w:rsidRPr="00912996">
              <w:rPr>
                <w:rFonts w:ascii="Calibri" w:hAnsi="Calibri"/>
                <w:bCs/>
                <w:lang w:eastAsia="ja-JP"/>
              </w:rPr>
              <w:t>PS2_Anexa 1. SIDU MB - Lista lungă de proiecte / Propunere consultant</w:t>
            </w:r>
          </w:p>
        </w:tc>
      </w:tr>
      <w:tr w:rsidR="00E16711" w:rsidRPr="00912996" w14:paraId="4F3273E9" w14:textId="77777777" w:rsidTr="00E16711">
        <w:trPr>
          <w:trHeight w:val="792"/>
        </w:trPr>
        <w:tc>
          <w:tcPr>
            <w:tcW w:w="205" w:type="pct"/>
            <w:shd w:val="clear" w:color="auto" w:fill="F2F2F2"/>
            <w:noWrap/>
            <w:hideMark/>
          </w:tcPr>
          <w:p w14:paraId="708E1D83"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170F0D7F" w14:textId="77777777" w:rsidR="00395D01" w:rsidRPr="00912996" w:rsidRDefault="00395D01" w:rsidP="00292396">
            <w:pPr>
              <w:rPr>
                <w:rFonts w:ascii="Calibri" w:hAnsi="Calibri"/>
                <w:bCs/>
                <w:lang w:eastAsia="ja-JP"/>
              </w:rPr>
            </w:pPr>
            <w:r w:rsidRPr="00912996">
              <w:rPr>
                <w:rFonts w:ascii="Calibri" w:hAnsi="Calibri"/>
                <w:bCs/>
                <w:lang w:eastAsia="ja-JP"/>
              </w:rPr>
              <w:t>Punerea la dispoziție a spațiilor instituțiilor publice pentru exprimare creativă / expoziții pentru artiști amatori sau independenți</w:t>
            </w:r>
          </w:p>
        </w:tc>
        <w:tc>
          <w:tcPr>
            <w:tcW w:w="640" w:type="pct"/>
            <w:shd w:val="clear" w:color="auto" w:fill="F2F2F2"/>
            <w:hideMark/>
          </w:tcPr>
          <w:p w14:paraId="378591FC"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 ONG-uri</w:t>
            </w:r>
          </w:p>
        </w:tc>
        <w:tc>
          <w:tcPr>
            <w:tcW w:w="507" w:type="pct"/>
            <w:shd w:val="clear" w:color="auto" w:fill="F2F2F2"/>
            <w:hideMark/>
          </w:tcPr>
          <w:p w14:paraId="1A3E4A0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2AA2A48" w14:textId="77777777" w:rsidR="00395D01" w:rsidRPr="00912996" w:rsidRDefault="00395D01" w:rsidP="00292396">
            <w:pPr>
              <w:rPr>
                <w:rFonts w:ascii="Calibri" w:hAnsi="Calibri"/>
                <w:bCs/>
                <w:lang w:eastAsia="ja-JP"/>
              </w:rPr>
            </w:pPr>
            <w:r w:rsidRPr="00912996">
              <w:rPr>
                <w:rFonts w:ascii="Calibri" w:hAnsi="Calibri"/>
                <w:bCs/>
                <w:lang w:eastAsia="ja-JP"/>
              </w:rPr>
              <w:t>Nu necesită costuri suplimentare</w:t>
            </w:r>
          </w:p>
        </w:tc>
        <w:tc>
          <w:tcPr>
            <w:tcW w:w="411" w:type="pct"/>
            <w:shd w:val="clear" w:color="auto" w:fill="F2F2F2"/>
            <w:hideMark/>
          </w:tcPr>
          <w:p w14:paraId="3524FA27" w14:textId="77777777" w:rsidR="00395D01" w:rsidRPr="00912996" w:rsidRDefault="00395D01" w:rsidP="00292396">
            <w:pPr>
              <w:rPr>
                <w:rFonts w:ascii="Calibri" w:hAnsi="Calibri"/>
                <w:bCs/>
                <w:lang w:eastAsia="ja-JP"/>
              </w:rPr>
            </w:pPr>
            <w:r w:rsidRPr="00912996">
              <w:rPr>
                <w:rFonts w:ascii="Calibri" w:hAnsi="Calibri"/>
                <w:bCs/>
                <w:lang w:eastAsia="ja-JP"/>
              </w:rPr>
              <w:t>Nu necesită costuri suplimentare</w:t>
            </w:r>
          </w:p>
        </w:tc>
        <w:tc>
          <w:tcPr>
            <w:tcW w:w="347" w:type="pct"/>
            <w:shd w:val="clear" w:color="auto" w:fill="F2F2F2"/>
            <w:hideMark/>
          </w:tcPr>
          <w:p w14:paraId="669D7685"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1D8A9AD" w14:textId="77777777" w:rsidR="00395D01" w:rsidRPr="00912996" w:rsidRDefault="00395D01" w:rsidP="00292396">
            <w:pPr>
              <w:rPr>
                <w:rFonts w:ascii="Calibri" w:hAnsi="Calibri"/>
                <w:bCs/>
                <w:lang w:eastAsia="ja-JP"/>
              </w:rPr>
            </w:pPr>
            <w:r w:rsidRPr="00912996">
              <w:rPr>
                <w:rFonts w:ascii="Calibri" w:hAnsi="Calibri"/>
                <w:bCs/>
                <w:lang w:eastAsia="ja-JP"/>
              </w:rPr>
              <w:t>Nu necesită costuri suplimentare</w:t>
            </w:r>
          </w:p>
        </w:tc>
        <w:tc>
          <w:tcPr>
            <w:tcW w:w="433" w:type="pct"/>
            <w:shd w:val="clear" w:color="auto" w:fill="F2F2F2"/>
            <w:hideMark/>
          </w:tcPr>
          <w:p w14:paraId="2FF2382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A5FFB23"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3677F3CC" w14:textId="77777777" w:rsidTr="00E16711">
        <w:trPr>
          <w:trHeight w:val="1320"/>
        </w:trPr>
        <w:tc>
          <w:tcPr>
            <w:tcW w:w="205" w:type="pct"/>
            <w:shd w:val="clear" w:color="auto" w:fill="F2F2F2"/>
            <w:noWrap/>
            <w:hideMark/>
          </w:tcPr>
          <w:p w14:paraId="5D9597C5"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4EEC5082" w14:textId="77777777" w:rsidR="00395D01" w:rsidRPr="00912996" w:rsidRDefault="00395D01" w:rsidP="00292396">
            <w:pPr>
              <w:rPr>
                <w:rFonts w:ascii="Calibri" w:hAnsi="Calibri"/>
                <w:bCs/>
                <w:lang w:eastAsia="ja-JP"/>
              </w:rPr>
            </w:pPr>
            <w:r w:rsidRPr="00912996">
              <w:rPr>
                <w:rFonts w:ascii="Calibri" w:hAnsi="Calibri"/>
                <w:bCs/>
                <w:lang w:eastAsia="ja-JP"/>
              </w:rPr>
              <w:t>Dezvoltarea unor alternative de finanțare (burse) pentru participarea la proiecte naționale / internaționale</w:t>
            </w:r>
          </w:p>
        </w:tc>
        <w:tc>
          <w:tcPr>
            <w:tcW w:w="640" w:type="pct"/>
            <w:shd w:val="clear" w:color="auto" w:fill="F2F2F2"/>
            <w:hideMark/>
          </w:tcPr>
          <w:p w14:paraId="5AD9734D" w14:textId="77777777" w:rsidR="00395D01" w:rsidRPr="00912996" w:rsidRDefault="00395D01" w:rsidP="00292396">
            <w:pPr>
              <w:rPr>
                <w:rFonts w:ascii="Calibri" w:hAnsi="Calibri"/>
                <w:bCs/>
                <w:lang w:eastAsia="ja-JP"/>
              </w:rPr>
            </w:pPr>
            <w:r w:rsidRPr="00912996">
              <w:rPr>
                <w:rFonts w:ascii="Calibri" w:hAnsi="Calibri"/>
                <w:bCs/>
                <w:lang w:eastAsia="ja-JP"/>
              </w:rPr>
              <w:t>PS2, PMB, instituții culturale, ONG-uri, Centrul Cultural Mihai Eminescu</w:t>
            </w:r>
          </w:p>
        </w:tc>
        <w:tc>
          <w:tcPr>
            <w:tcW w:w="507" w:type="pct"/>
            <w:shd w:val="clear" w:color="auto" w:fill="F2F2F2"/>
            <w:hideMark/>
          </w:tcPr>
          <w:p w14:paraId="6329364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F140B73"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411" w:type="pct"/>
            <w:shd w:val="clear" w:color="auto" w:fill="F2F2F2"/>
            <w:hideMark/>
          </w:tcPr>
          <w:p w14:paraId="7F080374" w14:textId="77777777" w:rsidR="00395D01" w:rsidRPr="00912996" w:rsidRDefault="00395D01" w:rsidP="00292396">
            <w:pPr>
              <w:rPr>
                <w:rFonts w:ascii="Calibri" w:hAnsi="Calibri"/>
                <w:bCs/>
                <w:lang w:eastAsia="ja-JP"/>
              </w:rPr>
            </w:pPr>
            <w:r w:rsidRPr="00912996">
              <w:rPr>
                <w:rFonts w:ascii="Calibri" w:hAnsi="Calibri"/>
                <w:bCs/>
                <w:lang w:eastAsia="ja-JP"/>
              </w:rPr>
              <w:t>204,082</w:t>
            </w:r>
          </w:p>
        </w:tc>
        <w:tc>
          <w:tcPr>
            <w:tcW w:w="347" w:type="pct"/>
            <w:shd w:val="clear" w:color="auto" w:fill="F2F2F2"/>
            <w:hideMark/>
          </w:tcPr>
          <w:p w14:paraId="717980AF"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D4AAA0A" w14:textId="77777777" w:rsidR="00395D01" w:rsidRPr="00912996" w:rsidRDefault="00395D01" w:rsidP="00292396">
            <w:pPr>
              <w:rPr>
                <w:rFonts w:ascii="Calibri" w:hAnsi="Calibri"/>
                <w:bCs/>
                <w:lang w:eastAsia="ja-JP"/>
              </w:rPr>
            </w:pPr>
            <w:r w:rsidRPr="00912996">
              <w:rPr>
                <w:rFonts w:ascii="Calibri" w:hAnsi="Calibri"/>
                <w:bCs/>
                <w:lang w:eastAsia="ja-JP"/>
              </w:rPr>
              <w:t>Surse de finanțare ale Ministerului Culturii, Bugetul local, Alte surse de finanțare</w:t>
            </w:r>
          </w:p>
        </w:tc>
        <w:tc>
          <w:tcPr>
            <w:tcW w:w="433" w:type="pct"/>
            <w:shd w:val="clear" w:color="auto" w:fill="F2F2F2"/>
            <w:hideMark/>
          </w:tcPr>
          <w:p w14:paraId="146A343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96157F3" w14:textId="77777777" w:rsidR="00395D01" w:rsidRPr="00912996" w:rsidRDefault="00395D01" w:rsidP="00292396">
            <w:pPr>
              <w:rPr>
                <w:rFonts w:ascii="Calibri" w:hAnsi="Calibri"/>
                <w:bCs/>
                <w:lang w:eastAsia="ja-JP"/>
              </w:rPr>
            </w:pPr>
            <w:r w:rsidRPr="00912996">
              <w:rPr>
                <w:rFonts w:ascii="Calibri" w:hAnsi="Calibri"/>
                <w:bCs/>
                <w:lang w:eastAsia="ja-JP"/>
              </w:rPr>
              <w:t>Propunere consultant</w:t>
            </w:r>
          </w:p>
        </w:tc>
      </w:tr>
      <w:tr w:rsidR="00E16711" w:rsidRPr="00912996" w14:paraId="7C281840" w14:textId="77777777" w:rsidTr="00E16711">
        <w:trPr>
          <w:trHeight w:val="792"/>
        </w:trPr>
        <w:tc>
          <w:tcPr>
            <w:tcW w:w="205" w:type="pct"/>
            <w:shd w:val="clear" w:color="auto" w:fill="F2F2F2"/>
            <w:noWrap/>
            <w:hideMark/>
          </w:tcPr>
          <w:p w14:paraId="32D0AFE1"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0AF80B41" w14:textId="77777777" w:rsidR="00395D01" w:rsidRPr="00912996" w:rsidRDefault="00395D01" w:rsidP="00292396">
            <w:pPr>
              <w:rPr>
                <w:rFonts w:ascii="Calibri" w:hAnsi="Calibri"/>
                <w:bCs/>
                <w:lang w:eastAsia="ja-JP"/>
              </w:rPr>
            </w:pPr>
            <w:r w:rsidRPr="00912996">
              <w:rPr>
                <w:rFonts w:ascii="Calibri" w:hAnsi="Calibri"/>
                <w:bCs/>
                <w:lang w:eastAsia="ja-JP"/>
              </w:rPr>
              <w:t>Realizarea Strategiei pentru Tineret a Sectorului 2</w:t>
            </w:r>
          </w:p>
        </w:tc>
        <w:tc>
          <w:tcPr>
            <w:tcW w:w="640" w:type="pct"/>
            <w:shd w:val="clear" w:color="auto" w:fill="F2F2F2"/>
            <w:hideMark/>
          </w:tcPr>
          <w:p w14:paraId="68D47F26"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B1EBA0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4D3ADF5" w14:textId="77777777" w:rsidR="00395D01" w:rsidRPr="00912996" w:rsidRDefault="00395D01" w:rsidP="00292396">
            <w:pPr>
              <w:rPr>
                <w:rFonts w:ascii="Calibri" w:hAnsi="Calibri"/>
                <w:bCs/>
                <w:lang w:eastAsia="ja-JP"/>
              </w:rPr>
            </w:pPr>
            <w:r w:rsidRPr="00912996">
              <w:rPr>
                <w:rFonts w:ascii="Calibri" w:hAnsi="Calibri"/>
                <w:bCs/>
                <w:lang w:eastAsia="ja-JP"/>
              </w:rPr>
              <w:t>147,000</w:t>
            </w:r>
          </w:p>
        </w:tc>
        <w:tc>
          <w:tcPr>
            <w:tcW w:w="411" w:type="pct"/>
            <w:shd w:val="clear" w:color="auto" w:fill="F2F2F2"/>
            <w:hideMark/>
          </w:tcPr>
          <w:p w14:paraId="67C55CCE" w14:textId="77777777" w:rsidR="00395D01" w:rsidRPr="00912996" w:rsidRDefault="00395D01" w:rsidP="00292396">
            <w:pPr>
              <w:rPr>
                <w:rFonts w:ascii="Calibri" w:hAnsi="Calibri"/>
                <w:bCs/>
                <w:lang w:eastAsia="ja-JP"/>
              </w:rPr>
            </w:pPr>
            <w:r w:rsidRPr="00912996">
              <w:rPr>
                <w:rFonts w:ascii="Calibri" w:hAnsi="Calibri"/>
                <w:bCs/>
                <w:lang w:eastAsia="ja-JP"/>
              </w:rPr>
              <w:t>30,000</w:t>
            </w:r>
          </w:p>
        </w:tc>
        <w:tc>
          <w:tcPr>
            <w:tcW w:w="347" w:type="pct"/>
            <w:shd w:val="clear" w:color="auto" w:fill="F2F2F2"/>
            <w:hideMark/>
          </w:tcPr>
          <w:p w14:paraId="19862BA5"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B45267E"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36E2898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BC33DD6" w14:textId="77777777" w:rsidR="00395D01" w:rsidRPr="00912996" w:rsidRDefault="00395D01" w:rsidP="00292396">
            <w:pPr>
              <w:rPr>
                <w:rFonts w:ascii="Calibri" w:hAnsi="Calibri"/>
                <w:bCs/>
                <w:lang w:eastAsia="ja-JP"/>
              </w:rPr>
            </w:pPr>
            <w:r w:rsidRPr="00912996">
              <w:rPr>
                <w:rFonts w:ascii="Calibri" w:hAnsi="Calibri"/>
                <w:bCs/>
                <w:lang w:eastAsia="ja-JP"/>
              </w:rPr>
              <w:t>Anexa 1. SIDU MB - Lista lungă de proiecte</w:t>
            </w:r>
          </w:p>
        </w:tc>
      </w:tr>
      <w:tr w:rsidR="00395D01" w:rsidRPr="00912996" w14:paraId="4823FB94" w14:textId="77777777" w:rsidTr="00292396">
        <w:trPr>
          <w:trHeight w:val="264"/>
        </w:trPr>
        <w:tc>
          <w:tcPr>
            <w:tcW w:w="5000" w:type="pct"/>
            <w:gridSpan w:val="12"/>
            <w:shd w:val="clear" w:color="auto" w:fill="CCE188"/>
            <w:noWrap/>
            <w:hideMark/>
          </w:tcPr>
          <w:p w14:paraId="29374377" w14:textId="77777777" w:rsidR="00395D01" w:rsidRPr="00912996" w:rsidRDefault="00395D01" w:rsidP="001C765E">
            <w:pPr>
              <w:jc w:val="center"/>
              <w:rPr>
                <w:rFonts w:ascii="Calibri" w:hAnsi="Calibri"/>
                <w:b/>
                <w:bCs/>
                <w:lang w:eastAsia="ja-JP"/>
              </w:rPr>
            </w:pPr>
            <w:r w:rsidRPr="00912996">
              <w:rPr>
                <w:rFonts w:ascii="Calibri" w:hAnsi="Calibri"/>
                <w:b/>
                <w:bCs/>
                <w:color w:val="FFFFFF"/>
                <w:lang w:eastAsia="ja-JP"/>
              </w:rPr>
              <w:t>OBIECTIV SPECIFIC O1.6. - Infrastructură medicală și servicii moderne, oportunități și programe de consolidare a unui mod de viață sănătos, bazat pe informare și cunoaștere, activitate și sport</w:t>
            </w:r>
          </w:p>
        </w:tc>
      </w:tr>
      <w:tr w:rsidR="00395D01" w:rsidRPr="00912996" w14:paraId="2584B251" w14:textId="77777777" w:rsidTr="00292396">
        <w:trPr>
          <w:trHeight w:val="264"/>
        </w:trPr>
        <w:tc>
          <w:tcPr>
            <w:tcW w:w="5000" w:type="pct"/>
            <w:gridSpan w:val="12"/>
            <w:shd w:val="clear" w:color="auto" w:fill="BBD9A0"/>
            <w:noWrap/>
            <w:hideMark/>
          </w:tcPr>
          <w:p w14:paraId="27774451" w14:textId="77777777" w:rsidR="00395D01" w:rsidRPr="00912996" w:rsidRDefault="00395D01" w:rsidP="001C765E">
            <w:pPr>
              <w:jc w:val="center"/>
              <w:rPr>
                <w:rFonts w:ascii="Calibri" w:hAnsi="Calibri"/>
                <w:b/>
                <w:bCs/>
                <w:color w:val="FFFFFF"/>
                <w:lang w:eastAsia="ja-JP"/>
              </w:rPr>
            </w:pPr>
            <w:r w:rsidRPr="00912996">
              <w:rPr>
                <w:rFonts w:ascii="Calibri" w:hAnsi="Calibri"/>
                <w:b/>
                <w:bCs/>
                <w:color w:val="FFFFFF"/>
                <w:lang w:eastAsia="ja-JP"/>
              </w:rPr>
              <w:t>D1.6.1. Creșterea gradului de informare a populației cu privire la beneficiile adoptării unui stil de viață sănătos bazat pe alimentație și sport</w:t>
            </w:r>
          </w:p>
        </w:tc>
      </w:tr>
      <w:tr w:rsidR="00E16711" w:rsidRPr="00912996" w14:paraId="7F81F65C" w14:textId="77777777" w:rsidTr="00E16711">
        <w:trPr>
          <w:trHeight w:val="1320"/>
        </w:trPr>
        <w:tc>
          <w:tcPr>
            <w:tcW w:w="205" w:type="pct"/>
            <w:shd w:val="clear" w:color="auto" w:fill="F2F2F2"/>
            <w:noWrap/>
            <w:hideMark/>
          </w:tcPr>
          <w:p w14:paraId="6EB98D90"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5F78B9BB" w14:textId="77777777" w:rsidR="00395D01" w:rsidRPr="00912996" w:rsidRDefault="00395D01" w:rsidP="00292396">
            <w:pPr>
              <w:rPr>
                <w:rFonts w:ascii="Calibri" w:hAnsi="Calibri"/>
                <w:bCs/>
                <w:lang w:eastAsia="ja-JP"/>
              </w:rPr>
            </w:pPr>
            <w:r w:rsidRPr="00912996">
              <w:rPr>
                <w:rFonts w:ascii="Calibri" w:hAnsi="Calibri"/>
                <w:bCs/>
                <w:lang w:eastAsia="ja-JP"/>
              </w:rPr>
              <w:t>Proiect de acordare a serviciilor gratuite de medicină preventivă, alături de campanii de informare asupra sănătății și importanței diagnosticării timpurii pentru persoanele defavorizate.</w:t>
            </w:r>
          </w:p>
        </w:tc>
        <w:tc>
          <w:tcPr>
            <w:tcW w:w="640" w:type="pct"/>
            <w:shd w:val="clear" w:color="auto" w:fill="F2F2F2"/>
            <w:hideMark/>
          </w:tcPr>
          <w:p w14:paraId="357A34D8"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2C4A0A4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F78138A" w14:textId="77777777" w:rsidR="00395D01" w:rsidRPr="00912996" w:rsidRDefault="00395D01" w:rsidP="00292396">
            <w:pPr>
              <w:rPr>
                <w:rFonts w:ascii="Calibri" w:hAnsi="Calibri"/>
                <w:bCs/>
                <w:lang w:eastAsia="ja-JP"/>
              </w:rPr>
            </w:pPr>
            <w:r w:rsidRPr="00912996">
              <w:rPr>
                <w:rFonts w:ascii="Calibri" w:hAnsi="Calibri"/>
                <w:bCs/>
                <w:lang w:eastAsia="ja-JP"/>
              </w:rPr>
              <w:t>177,200</w:t>
            </w:r>
          </w:p>
        </w:tc>
        <w:tc>
          <w:tcPr>
            <w:tcW w:w="411" w:type="pct"/>
            <w:shd w:val="clear" w:color="auto" w:fill="F2F2F2"/>
            <w:hideMark/>
          </w:tcPr>
          <w:p w14:paraId="2C926A41" w14:textId="77777777" w:rsidR="00395D01" w:rsidRPr="00912996" w:rsidRDefault="00395D01" w:rsidP="00292396">
            <w:pPr>
              <w:rPr>
                <w:rFonts w:ascii="Calibri" w:hAnsi="Calibri"/>
                <w:bCs/>
                <w:lang w:eastAsia="ja-JP"/>
              </w:rPr>
            </w:pPr>
            <w:r w:rsidRPr="00912996">
              <w:rPr>
                <w:rFonts w:ascii="Calibri" w:hAnsi="Calibri"/>
                <w:bCs/>
                <w:lang w:eastAsia="ja-JP"/>
              </w:rPr>
              <w:t>40,000</w:t>
            </w:r>
          </w:p>
        </w:tc>
        <w:tc>
          <w:tcPr>
            <w:tcW w:w="347" w:type="pct"/>
            <w:shd w:val="clear" w:color="auto" w:fill="F2F2F2"/>
            <w:hideMark/>
          </w:tcPr>
          <w:p w14:paraId="08030048"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762E7443" w14:textId="77777777" w:rsidR="00395D01" w:rsidRPr="00912996" w:rsidRDefault="00395D01" w:rsidP="00292396">
            <w:pPr>
              <w:rPr>
                <w:rFonts w:ascii="Calibri" w:hAnsi="Calibri"/>
                <w:bCs/>
                <w:lang w:eastAsia="ja-JP"/>
              </w:rPr>
            </w:pPr>
            <w:r w:rsidRPr="00912996">
              <w:rPr>
                <w:rFonts w:ascii="Calibri" w:hAnsi="Calibri"/>
                <w:bCs/>
                <w:lang w:eastAsia="ja-JP"/>
              </w:rPr>
              <w:t>POS 2021-2027 P2, POIDS P1, Bugetul local, Alte surse de finanțare</w:t>
            </w:r>
          </w:p>
        </w:tc>
        <w:tc>
          <w:tcPr>
            <w:tcW w:w="433" w:type="pct"/>
            <w:shd w:val="clear" w:color="auto" w:fill="F2F2F2"/>
            <w:hideMark/>
          </w:tcPr>
          <w:p w14:paraId="6F2F31B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09216D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E9381FD" w14:textId="77777777" w:rsidTr="00E16711">
        <w:trPr>
          <w:trHeight w:val="620"/>
        </w:trPr>
        <w:tc>
          <w:tcPr>
            <w:tcW w:w="205" w:type="pct"/>
            <w:shd w:val="clear" w:color="auto" w:fill="F2F2F2"/>
            <w:noWrap/>
            <w:hideMark/>
          </w:tcPr>
          <w:p w14:paraId="37D52E98"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08695650" w14:textId="77777777" w:rsidR="00395D01" w:rsidRPr="00912996" w:rsidRDefault="00395D01" w:rsidP="00292396">
            <w:pPr>
              <w:rPr>
                <w:rFonts w:ascii="Calibri" w:hAnsi="Calibri"/>
                <w:bCs/>
                <w:lang w:eastAsia="ja-JP"/>
              </w:rPr>
            </w:pPr>
            <w:r w:rsidRPr="00912996">
              <w:rPr>
                <w:rFonts w:ascii="Calibri" w:hAnsi="Calibri"/>
                <w:bCs/>
                <w:lang w:eastAsia="ja-JP"/>
              </w:rPr>
              <w:t>Implicarea studenților de la Facultățile de Medicină în diferite acțiuni de promovare a modului sănătos de viață, în special în școli și grădinițe</w:t>
            </w:r>
          </w:p>
        </w:tc>
        <w:tc>
          <w:tcPr>
            <w:tcW w:w="640" w:type="pct"/>
            <w:shd w:val="clear" w:color="auto" w:fill="F2F2F2"/>
            <w:hideMark/>
          </w:tcPr>
          <w:p w14:paraId="4C20ED6A"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2640D7B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0A184DE" w14:textId="77777777" w:rsidR="00395D01" w:rsidRPr="00912996" w:rsidRDefault="00395D01" w:rsidP="00292396">
            <w:pPr>
              <w:rPr>
                <w:rFonts w:ascii="Calibri" w:hAnsi="Calibri"/>
                <w:bCs/>
                <w:lang w:eastAsia="ja-JP"/>
              </w:rPr>
            </w:pPr>
            <w:r w:rsidRPr="00912996">
              <w:rPr>
                <w:rFonts w:ascii="Calibri" w:hAnsi="Calibri"/>
                <w:bCs/>
                <w:lang w:eastAsia="ja-JP"/>
              </w:rPr>
              <w:t>1,225,000</w:t>
            </w:r>
          </w:p>
        </w:tc>
        <w:tc>
          <w:tcPr>
            <w:tcW w:w="411" w:type="pct"/>
            <w:shd w:val="clear" w:color="auto" w:fill="F2F2F2"/>
            <w:hideMark/>
          </w:tcPr>
          <w:p w14:paraId="6F730140" w14:textId="77777777" w:rsidR="00395D01" w:rsidRPr="00912996" w:rsidRDefault="00395D01" w:rsidP="00292396">
            <w:pPr>
              <w:rPr>
                <w:rFonts w:ascii="Calibri" w:hAnsi="Calibri"/>
                <w:bCs/>
                <w:lang w:eastAsia="ja-JP"/>
              </w:rPr>
            </w:pPr>
            <w:r w:rsidRPr="00912996">
              <w:rPr>
                <w:rFonts w:ascii="Calibri" w:hAnsi="Calibri"/>
                <w:bCs/>
                <w:lang w:eastAsia="ja-JP"/>
              </w:rPr>
              <w:t>250,000</w:t>
            </w:r>
          </w:p>
        </w:tc>
        <w:tc>
          <w:tcPr>
            <w:tcW w:w="347" w:type="pct"/>
            <w:shd w:val="clear" w:color="auto" w:fill="F2F2F2"/>
            <w:hideMark/>
          </w:tcPr>
          <w:p w14:paraId="2A03F4D4" w14:textId="64471572" w:rsidR="00395D01" w:rsidRPr="00912996" w:rsidRDefault="00395D01" w:rsidP="00292396">
            <w:pPr>
              <w:rPr>
                <w:rFonts w:ascii="Calibri" w:hAnsi="Calibri"/>
                <w:bCs/>
                <w:lang w:eastAsia="ja-JP"/>
              </w:rPr>
            </w:pPr>
            <w:r w:rsidRPr="00912996">
              <w:rPr>
                <w:rFonts w:ascii="Calibri" w:hAnsi="Calibri"/>
                <w:bCs/>
                <w:lang w:eastAsia="ja-JP"/>
              </w:rPr>
              <w:t>2021</w:t>
            </w:r>
            <w:r w:rsidR="003951C9">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4D4372A" w14:textId="77777777" w:rsidR="00395D01" w:rsidRPr="00912996" w:rsidRDefault="00395D01" w:rsidP="00292396">
            <w:pPr>
              <w:rPr>
                <w:rFonts w:ascii="Calibri" w:hAnsi="Calibri"/>
                <w:bCs/>
                <w:lang w:eastAsia="ja-JP"/>
              </w:rPr>
            </w:pPr>
            <w:r w:rsidRPr="00912996">
              <w:rPr>
                <w:rFonts w:ascii="Calibri" w:hAnsi="Calibri"/>
                <w:bCs/>
                <w:lang w:eastAsia="ja-JP"/>
              </w:rPr>
              <w:t>POS 2021-2027 P2, POIDS P1, Bugetul local, Alte surse de finanțare</w:t>
            </w:r>
          </w:p>
        </w:tc>
        <w:tc>
          <w:tcPr>
            <w:tcW w:w="433" w:type="pct"/>
            <w:shd w:val="clear" w:color="auto" w:fill="F2F2F2"/>
            <w:hideMark/>
          </w:tcPr>
          <w:p w14:paraId="0C55316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B553308"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138E2C3" w14:textId="77777777" w:rsidTr="00A74883">
        <w:trPr>
          <w:trHeight w:val="624"/>
        </w:trPr>
        <w:tc>
          <w:tcPr>
            <w:tcW w:w="205" w:type="pct"/>
            <w:shd w:val="clear" w:color="auto" w:fill="F2F2F2"/>
            <w:noWrap/>
            <w:hideMark/>
          </w:tcPr>
          <w:p w14:paraId="0BEE96B6"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5B1888C0" w14:textId="77777777" w:rsidR="00395D01" w:rsidRPr="00912996" w:rsidRDefault="00395D01" w:rsidP="00292396">
            <w:pPr>
              <w:rPr>
                <w:rFonts w:ascii="Calibri" w:hAnsi="Calibri"/>
                <w:bCs/>
                <w:lang w:eastAsia="ja-JP"/>
              </w:rPr>
            </w:pPr>
            <w:r w:rsidRPr="00912996">
              <w:rPr>
                <w:rFonts w:ascii="Calibri" w:hAnsi="Calibri"/>
                <w:bCs/>
                <w:lang w:eastAsia="ja-JP"/>
              </w:rPr>
              <w:t>Proiect de acordare a serviciilor gratuite de medicină preventivă, alături de campanii de informare asupra sănătății și importanței diagnosticării timpurii pentru persoanele defavorizate</w:t>
            </w:r>
          </w:p>
        </w:tc>
        <w:tc>
          <w:tcPr>
            <w:tcW w:w="640" w:type="pct"/>
            <w:shd w:val="clear" w:color="auto" w:fill="F2F2F2"/>
            <w:hideMark/>
          </w:tcPr>
          <w:p w14:paraId="57431646"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43BA642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0A21000" w14:textId="77777777" w:rsidR="00395D01" w:rsidRPr="00912996" w:rsidRDefault="00395D01" w:rsidP="00292396">
            <w:pPr>
              <w:rPr>
                <w:rFonts w:ascii="Calibri" w:hAnsi="Calibri"/>
                <w:bCs/>
                <w:lang w:eastAsia="ja-JP"/>
              </w:rPr>
            </w:pPr>
            <w:r w:rsidRPr="00912996">
              <w:rPr>
                <w:rFonts w:ascii="Calibri" w:hAnsi="Calibri"/>
                <w:bCs/>
                <w:lang w:eastAsia="ja-JP"/>
              </w:rPr>
              <w:t>196,000</w:t>
            </w:r>
          </w:p>
        </w:tc>
        <w:tc>
          <w:tcPr>
            <w:tcW w:w="411" w:type="pct"/>
            <w:shd w:val="clear" w:color="auto" w:fill="F2F2F2"/>
            <w:hideMark/>
          </w:tcPr>
          <w:p w14:paraId="444CC14B" w14:textId="77777777" w:rsidR="00395D01" w:rsidRPr="00912996" w:rsidRDefault="00395D01" w:rsidP="00292396">
            <w:pPr>
              <w:rPr>
                <w:rFonts w:ascii="Calibri" w:hAnsi="Calibri"/>
                <w:bCs/>
                <w:lang w:eastAsia="ja-JP"/>
              </w:rPr>
            </w:pPr>
            <w:r w:rsidRPr="00912996">
              <w:rPr>
                <w:rFonts w:ascii="Calibri" w:hAnsi="Calibri"/>
                <w:bCs/>
                <w:lang w:eastAsia="ja-JP"/>
              </w:rPr>
              <w:t>40,000</w:t>
            </w:r>
          </w:p>
        </w:tc>
        <w:tc>
          <w:tcPr>
            <w:tcW w:w="347" w:type="pct"/>
            <w:shd w:val="clear" w:color="auto" w:fill="F2F2F2"/>
            <w:hideMark/>
          </w:tcPr>
          <w:p w14:paraId="4FA0264C" w14:textId="5293668D" w:rsidR="00395D01" w:rsidRPr="00912996" w:rsidRDefault="00395D01" w:rsidP="00292396">
            <w:pPr>
              <w:rPr>
                <w:rFonts w:ascii="Calibri" w:hAnsi="Calibri"/>
                <w:bCs/>
                <w:lang w:eastAsia="ja-JP"/>
              </w:rPr>
            </w:pPr>
            <w:r w:rsidRPr="00912996">
              <w:rPr>
                <w:rFonts w:ascii="Calibri" w:hAnsi="Calibri"/>
                <w:bCs/>
                <w:lang w:eastAsia="ja-JP"/>
              </w:rPr>
              <w:t>2021</w:t>
            </w:r>
            <w:r w:rsidR="003951C9">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DEA1976" w14:textId="77777777" w:rsidR="00395D01" w:rsidRPr="00912996" w:rsidRDefault="00395D01" w:rsidP="00292396">
            <w:pPr>
              <w:rPr>
                <w:rFonts w:ascii="Calibri" w:hAnsi="Calibri"/>
                <w:bCs/>
                <w:lang w:eastAsia="ja-JP"/>
              </w:rPr>
            </w:pPr>
            <w:r w:rsidRPr="00912996">
              <w:rPr>
                <w:rFonts w:ascii="Calibri" w:hAnsi="Calibri"/>
                <w:bCs/>
                <w:lang w:eastAsia="ja-JP"/>
              </w:rPr>
              <w:t>POS 2021-2027 P2, POIDS P1, Bugetul local, Alte surse de finanțare</w:t>
            </w:r>
          </w:p>
        </w:tc>
        <w:tc>
          <w:tcPr>
            <w:tcW w:w="433" w:type="pct"/>
            <w:shd w:val="clear" w:color="auto" w:fill="F2F2F2"/>
            <w:hideMark/>
          </w:tcPr>
          <w:p w14:paraId="28DF944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447CAB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395D01" w:rsidRPr="00912996" w14:paraId="3D4DE220" w14:textId="77777777" w:rsidTr="00292396">
        <w:trPr>
          <w:trHeight w:val="264"/>
        </w:trPr>
        <w:tc>
          <w:tcPr>
            <w:tcW w:w="5000" w:type="pct"/>
            <w:gridSpan w:val="12"/>
            <w:shd w:val="clear" w:color="auto" w:fill="BBD9A0"/>
            <w:noWrap/>
            <w:hideMark/>
          </w:tcPr>
          <w:p w14:paraId="2E603E97" w14:textId="77777777" w:rsidR="00395D01" w:rsidRPr="00912996" w:rsidRDefault="00395D01" w:rsidP="00A74883">
            <w:pPr>
              <w:jc w:val="center"/>
              <w:rPr>
                <w:rFonts w:ascii="Calibri" w:hAnsi="Calibri"/>
                <w:b/>
                <w:bCs/>
                <w:lang w:eastAsia="ja-JP"/>
              </w:rPr>
            </w:pPr>
            <w:r w:rsidRPr="00912996">
              <w:rPr>
                <w:rFonts w:ascii="Calibri" w:hAnsi="Calibri"/>
                <w:b/>
                <w:bCs/>
                <w:color w:val="FFFFFF"/>
                <w:lang w:eastAsia="ja-JP"/>
              </w:rPr>
              <w:t>D1.6.2. Extinderea, modernizarea și dotarea infrastructurii medico-sanitare din sector precum și a infrastructurii pentru practicarea sportului și activităților în aer liber</w:t>
            </w:r>
          </w:p>
        </w:tc>
      </w:tr>
      <w:tr w:rsidR="00E16711" w:rsidRPr="00912996" w14:paraId="44C44F94" w14:textId="77777777" w:rsidTr="00E16711">
        <w:trPr>
          <w:trHeight w:val="1056"/>
        </w:trPr>
        <w:tc>
          <w:tcPr>
            <w:tcW w:w="205" w:type="pct"/>
            <w:shd w:val="clear" w:color="auto" w:fill="F2F2F2"/>
            <w:noWrap/>
            <w:hideMark/>
          </w:tcPr>
          <w:p w14:paraId="6FE8B319"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4D2BBF3E" w14:textId="77777777" w:rsidR="00395D01" w:rsidRPr="00912996" w:rsidRDefault="00395D01" w:rsidP="00292396">
            <w:pPr>
              <w:rPr>
                <w:rFonts w:ascii="Calibri" w:hAnsi="Calibri"/>
                <w:bCs/>
                <w:lang w:eastAsia="ja-JP"/>
              </w:rPr>
            </w:pPr>
            <w:r w:rsidRPr="00912996">
              <w:rPr>
                <w:rFonts w:ascii="Calibri" w:hAnsi="Calibri"/>
                <w:bCs/>
                <w:lang w:eastAsia="ja-JP"/>
              </w:rPr>
              <w:t>Reabilitarea dispensarului din str. Garibaldi nr. 16</w:t>
            </w:r>
          </w:p>
        </w:tc>
        <w:tc>
          <w:tcPr>
            <w:tcW w:w="640" w:type="pct"/>
            <w:shd w:val="clear" w:color="auto" w:fill="F2F2F2"/>
            <w:hideMark/>
          </w:tcPr>
          <w:p w14:paraId="22547C6D"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E361F5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D5D19DC" w14:textId="77777777" w:rsidR="00395D01" w:rsidRPr="00912996" w:rsidRDefault="00395D01" w:rsidP="00292396">
            <w:pPr>
              <w:rPr>
                <w:rFonts w:ascii="Calibri" w:hAnsi="Calibri"/>
                <w:bCs/>
                <w:lang w:eastAsia="ja-JP"/>
              </w:rPr>
            </w:pPr>
            <w:r w:rsidRPr="00912996">
              <w:rPr>
                <w:rFonts w:ascii="Calibri" w:hAnsi="Calibri"/>
                <w:bCs/>
                <w:lang w:eastAsia="ja-JP"/>
              </w:rPr>
              <w:t>900,000</w:t>
            </w:r>
          </w:p>
        </w:tc>
        <w:tc>
          <w:tcPr>
            <w:tcW w:w="411" w:type="pct"/>
            <w:shd w:val="clear" w:color="auto" w:fill="F2F2F2"/>
            <w:hideMark/>
          </w:tcPr>
          <w:p w14:paraId="17B5CAD1" w14:textId="77777777" w:rsidR="00395D01" w:rsidRPr="00912996" w:rsidRDefault="00395D01" w:rsidP="00292396">
            <w:pPr>
              <w:rPr>
                <w:rFonts w:ascii="Calibri" w:hAnsi="Calibri"/>
                <w:bCs/>
                <w:lang w:eastAsia="ja-JP"/>
              </w:rPr>
            </w:pPr>
            <w:r w:rsidRPr="00912996">
              <w:rPr>
                <w:rFonts w:ascii="Calibri" w:hAnsi="Calibri"/>
                <w:bCs/>
                <w:lang w:eastAsia="ja-JP"/>
              </w:rPr>
              <w:t>203,160</w:t>
            </w:r>
          </w:p>
        </w:tc>
        <w:tc>
          <w:tcPr>
            <w:tcW w:w="347" w:type="pct"/>
            <w:shd w:val="clear" w:color="auto" w:fill="F2F2F2"/>
            <w:hideMark/>
          </w:tcPr>
          <w:p w14:paraId="343268C0"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0CE969C4" w14:textId="77777777" w:rsidR="00395D01" w:rsidRPr="00912996" w:rsidRDefault="00395D01" w:rsidP="00292396">
            <w:pPr>
              <w:rPr>
                <w:rFonts w:ascii="Calibri" w:hAnsi="Calibri"/>
                <w:bCs/>
                <w:lang w:eastAsia="ja-JP"/>
              </w:rPr>
            </w:pPr>
            <w:r w:rsidRPr="00912996">
              <w:rPr>
                <w:rFonts w:ascii="Calibri" w:hAnsi="Calibri"/>
                <w:bCs/>
                <w:lang w:eastAsia="ja-JP"/>
              </w:rPr>
              <w:t>PNRR C5, C12, POS P1, Bugetul local, Alte surse de finanțare</w:t>
            </w:r>
          </w:p>
        </w:tc>
        <w:tc>
          <w:tcPr>
            <w:tcW w:w="433" w:type="pct"/>
            <w:shd w:val="clear" w:color="auto" w:fill="F2F2F2"/>
            <w:hideMark/>
          </w:tcPr>
          <w:p w14:paraId="718B39C6"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5345C4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AA6EF45" w14:textId="77777777" w:rsidTr="00E16711">
        <w:trPr>
          <w:trHeight w:val="1056"/>
        </w:trPr>
        <w:tc>
          <w:tcPr>
            <w:tcW w:w="205" w:type="pct"/>
            <w:shd w:val="clear" w:color="auto" w:fill="F2F2F2"/>
            <w:noWrap/>
            <w:hideMark/>
          </w:tcPr>
          <w:p w14:paraId="3A2DC76B"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094827DF" w14:textId="77777777" w:rsidR="00395D01" w:rsidRPr="00912996" w:rsidRDefault="00395D01" w:rsidP="00292396">
            <w:pPr>
              <w:rPr>
                <w:rFonts w:ascii="Calibri" w:hAnsi="Calibri"/>
                <w:bCs/>
                <w:lang w:eastAsia="ja-JP"/>
              </w:rPr>
            </w:pPr>
            <w:r w:rsidRPr="00912996">
              <w:rPr>
                <w:rFonts w:ascii="Calibri" w:hAnsi="Calibri"/>
                <w:bCs/>
                <w:lang w:eastAsia="ja-JP"/>
              </w:rPr>
              <w:t>Redeschiderea centrului de Sănătate din Șoseaua Pantelimon nr. 223</w:t>
            </w:r>
          </w:p>
        </w:tc>
        <w:tc>
          <w:tcPr>
            <w:tcW w:w="640" w:type="pct"/>
            <w:shd w:val="clear" w:color="auto" w:fill="F2F2F2"/>
            <w:hideMark/>
          </w:tcPr>
          <w:p w14:paraId="302E3AE1"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8958B4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C0DE057" w14:textId="77777777" w:rsidR="00395D01" w:rsidRPr="00912996" w:rsidRDefault="00395D01" w:rsidP="00292396">
            <w:pPr>
              <w:rPr>
                <w:rFonts w:ascii="Calibri" w:hAnsi="Calibri"/>
                <w:bCs/>
                <w:lang w:eastAsia="ja-JP"/>
              </w:rPr>
            </w:pPr>
            <w:r w:rsidRPr="00912996">
              <w:rPr>
                <w:rFonts w:ascii="Calibri" w:hAnsi="Calibri"/>
                <w:bCs/>
                <w:lang w:eastAsia="ja-JP"/>
              </w:rPr>
              <w:t>900,000</w:t>
            </w:r>
          </w:p>
        </w:tc>
        <w:tc>
          <w:tcPr>
            <w:tcW w:w="411" w:type="pct"/>
            <w:shd w:val="clear" w:color="auto" w:fill="F2F2F2"/>
            <w:hideMark/>
          </w:tcPr>
          <w:p w14:paraId="5B643BA7" w14:textId="77777777" w:rsidR="00395D01" w:rsidRPr="00912996" w:rsidRDefault="00395D01" w:rsidP="00292396">
            <w:pPr>
              <w:rPr>
                <w:rFonts w:ascii="Calibri" w:hAnsi="Calibri"/>
                <w:bCs/>
                <w:lang w:eastAsia="ja-JP"/>
              </w:rPr>
            </w:pPr>
            <w:r w:rsidRPr="00912996">
              <w:rPr>
                <w:rFonts w:ascii="Calibri" w:hAnsi="Calibri"/>
                <w:bCs/>
                <w:lang w:eastAsia="ja-JP"/>
              </w:rPr>
              <w:t>203,160</w:t>
            </w:r>
          </w:p>
        </w:tc>
        <w:tc>
          <w:tcPr>
            <w:tcW w:w="347" w:type="pct"/>
            <w:shd w:val="clear" w:color="auto" w:fill="F2F2F2"/>
            <w:hideMark/>
          </w:tcPr>
          <w:p w14:paraId="2F514B8A"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5CCBA6C0" w14:textId="77777777" w:rsidR="00395D01" w:rsidRPr="00912996" w:rsidRDefault="00395D01" w:rsidP="00292396">
            <w:pPr>
              <w:rPr>
                <w:rFonts w:ascii="Calibri" w:hAnsi="Calibri"/>
                <w:bCs/>
                <w:lang w:eastAsia="ja-JP"/>
              </w:rPr>
            </w:pPr>
            <w:r w:rsidRPr="00912996">
              <w:rPr>
                <w:rFonts w:ascii="Calibri" w:hAnsi="Calibri"/>
                <w:bCs/>
                <w:lang w:eastAsia="ja-JP"/>
              </w:rPr>
              <w:t>PNRR C5, C12, POS P1, Bugetul local, Alte surse de finanțare</w:t>
            </w:r>
          </w:p>
        </w:tc>
        <w:tc>
          <w:tcPr>
            <w:tcW w:w="433" w:type="pct"/>
            <w:shd w:val="clear" w:color="auto" w:fill="F2F2F2"/>
            <w:hideMark/>
          </w:tcPr>
          <w:p w14:paraId="0BC907B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A3ABE65"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FB6FF11" w14:textId="77777777" w:rsidTr="00E16711">
        <w:trPr>
          <w:trHeight w:val="1056"/>
        </w:trPr>
        <w:tc>
          <w:tcPr>
            <w:tcW w:w="205" w:type="pct"/>
            <w:shd w:val="clear" w:color="auto" w:fill="F2F2F2"/>
            <w:noWrap/>
            <w:hideMark/>
          </w:tcPr>
          <w:p w14:paraId="71362E50"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469BA3D4" w14:textId="77777777" w:rsidR="00395D01" w:rsidRPr="00912996" w:rsidRDefault="00395D01" w:rsidP="00292396">
            <w:pPr>
              <w:rPr>
                <w:rFonts w:ascii="Calibri" w:hAnsi="Calibri"/>
                <w:bCs/>
                <w:lang w:eastAsia="ja-JP"/>
              </w:rPr>
            </w:pPr>
            <w:r w:rsidRPr="00912996">
              <w:rPr>
                <w:rFonts w:ascii="Calibri" w:hAnsi="Calibri"/>
                <w:bCs/>
                <w:lang w:eastAsia="ja-JP"/>
              </w:rPr>
              <w:t>Construire punct medico-sanitar în zona Baicului</w:t>
            </w:r>
          </w:p>
        </w:tc>
        <w:tc>
          <w:tcPr>
            <w:tcW w:w="640" w:type="pct"/>
            <w:shd w:val="clear" w:color="auto" w:fill="F2F2F2"/>
            <w:hideMark/>
          </w:tcPr>
          <w:p w14:paraId="5BE8E417"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0832BA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32EBC0D" w14:textId="77777777" w:rsidR="00395D01" w:rsidRPr="00912996" w:rsidRDefault="00395D01" w:rsidP="00292396">
            <w:pPr>
              <w:rPr>
                <w:rFonts w:ascii="Calibri" w:hAnsi="Calibri"/>
                <w:bCs/>
                <w:lang w:eastAsia="ja-JP"/>
              </w:rPr>
            </w:pPr>
            <w:r w:rsidRPr="00912996">
              <w:rPr>
                <w:rFonts w:ascii="Calibri" w:hAnsi="Calibri"/>
                <w:bCs/>
                <w:lang w:eastAsia="ja-JP"/>
              </w:rPr>
              <w:t>900,000</w:t>
            </w:r>
          </w:p>
        </w:tc>
        <w:tc>
          <w:tcPr>
            <w:tcW w:w="411" w:type="pct"/>
            <w:shd w:val="clear" w:color="auto" w:fill="F2F2F2"/>
            <w:hideMark/>
          </w:tcPr>
          <w:p w14:paraId="02F10768" w14:textId="77777777" w:rsidR="00395D01" w:rsidRPr="00912996" w:rsidRDefault="00395D01" w:rsidP="00292396">
            <w:pPr>
              <w:rPr>
                <w:rFonts w:ascii="Calibri" w:hAnsi="Calibri"/>
                <w:bCs/>
                <w:lang w:eastAsia="ja-JP"/>
              </w:rPr>
            </w:pPr>
            <w:r w:rsidRPr="00912996">
              <w:rPr>
                <w:rFonts w:ascii="Calibri" w:hAnsi="Calibri"/>
                <w:bCs/>
                <w:lang w:eastAsia="ja-JP"/>
              </w:rPr>
              <w:t>203,160</w:t>
            </w:r>
          </w:p>
        </w:tc>
        <w:tc>
          <w:tcPr>
            <w:tcW w:w="347" w:type="pct"/>
            <w:shd w:val="clear" w:color="auto" w:fill="F2F2F2"/>
            <w:hideMark/>
          </w:tcPr>
          <w:p w14:paraId="73B5DB99"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22B66CFB" w14:textId="77777777" w:rsidR="00395D01" w:rsidRPr="00912996" w:rsidRDefault="00395D01" w:rsidP="00292396">
            <w:pPr>
              <w:rPr>
                <w:rFonts w:ascii="Calibri" w:hAnsi="Calibri"/>
                <w:bCs/>
                <w:lang w:eastAsia="ja-JP"/>
              </w:rPr>
            </w:pPr>
            <w:r w:rsidRPr="00912996">
              <w:rPr>
                <w:rFonts w:ascii="Calibri" w:hAnsi="Calibri"/>
                <w:bCs/>
                <w:lang w:eastAsia="ja-JP"/>
              </w:rPr>
              <w:t>PNRR C5, C12, POS P1, Bugetul local, Alte surse de finanțare</w:t>
            </w:r>
          </w:p>
        </w:tc>
        <w:tc>
          <w:tcPr>
            <w:tcW w:w="433" w:type="pct"/>
            <w:shd w:val="clear" w:color="auto" w:fill="F2F2F2"/>
            <w:hideMark/>
          </w:tcPr>
          <w:p w14:paraId="4B7F8F0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79FFCE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BFA3FB1" w14:textId="77777777" w:rsidTr="00E16711">
        <w:trPr>
          <w:trHeight w:val="1320"/>
        </w:trPr>
        <w:tc>
          <w:tcPr>
            <w:tcW w:w="205" w:type="pct"/>
            <w:shd w:val="clear" w:color="auto" w:fill="F2F2F2"/>
            <w:noWrap/>
            <w:hideMark/>
          </w:tcPr>
          <w:p w14:paraId="3A640977"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2ACBEF5A" w14:textId="77777777" w:rsidR="00395D01" w:rsidRPr="00912996" w:rsidRDefault="00395D01" w:rsidP="00292396">
            <w:pPr>
              <w:rPr>
                <w:rFonts w:ascii="Calibri" w:hAnsi="Calibri"/>
                <w:bCs/>
                <w:lang w:eastAsia="ja-JP"/>
              </w:rPr>
            </w:pPr>
            <w:r w:rsidRPr="00912996">
              <w:rPr>
                <w:rFonts w:ascii="Calibri" w:hAnsi="Calibri"/>
                <w:bCs/>
                <w:lang w:eastAsia="ja-JP"/>
              </w:rPr>
              <w:t>Creșterea accesului la servicii medicale prin înființarea Policlinicii Sectorului 2 pentru investigații și tratament în regim ambulatoriu care să ofere și servicii de tipul policlinică social</w:t>
            </w:r>
          </w:p>
        </w:tc>
        <w:tc>
          <w:tcPr>
            <w:tcW w:w="640" w:type="pct"/>
            <w:shd w:val="clear" w:color="auto" w:fill="F2F2F2"/>
            <w:hideMark/>
          </w:tcPr>
          <w:p w14:paraId="6CAA105B"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34269E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5E55354" w14:textId="77777777" w:rsidR="00395D01" w:rsidRPr="00912996" w:rsidRDefault="00395D01" w:rsidP="00292396">
            <w:pPr>
              <w:rPr>
                <w:rFonts w:ascii="Calibri" w:hAnsi="Calibri"/>
                <w:bCs/>
                <w:lang w:eastAsia="ja-JP"/>
              </w:rPr>
            </w:pPr>
            <w:r w:rsidRPr="00912996">
              <w:rPr>
                <w:rFonts w:ascii="Calibri" w:hAnsi="Calibri"/>
                <w:bCs/>
                <w:lang w:eastAsia="ja-JP"/>
              </w:rPr>
              <w:t>1,329,000</w:t>
            </w:r>
          </w:p>
        </w:tc>
        <w:tc>
          <w:tcPr>
            <w:tcW w:w="411" w:type="pct"/>
            <w:shd w:val="clear" w:color="auto" w:fill="F2F2F2"/>
            <w:hideMark/>
          </w:tcPr>
          <w:p w14:paraId="39BA8EE3" w14:textId="77777777" w:rsidR="00395D01" w:rsidRPr="00912996" w:rsidRDefault="00395D01" w:rsidP="00292396">
            <w:pPr>
              <w:rPr>
                <w:rFonts w:ascii="Calibri" w:hAnsi="Calibri"/>
                <w:bCs/>
                <w:lang w:eastAsia="ja-JP"/>
              </w:rPr>
            </w:pPr>
            <w:r w:rsidRPr="00912996">
              <w:rPr>
                <w:rFonts w:ascii="Calibri" w:hAnsi="Calibri"/>
                <w:bCs/>
                <w:lang w:eastAsia="ja-JP"/>
              </w:rPr>
              <w:t>300,000</w:t>
            </w:r>
          </w:p>
        </w:tc>
        <w:tc>
          <w:tcPr>
            <w:tcW w:w="347" w:type="pct"/>
            <w:shd w:val="clear" w:color="auto" w:fill="F2F2F2"/>
            <w:hideMark/>
          </w:tcPr>
          <w:p w14:paraId="45087E58"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71E3D4AD" w14:textId="77777777" w:rsidR="00395D01" w:rsidRPr="00912996" w:rsidRDefault="00395D01" w:rsidP="00292396">
            <w:pPr>
              <w:rPr>
                <w:rFonts w:ascii="Calibri" w:hAnsi="Calibri"/>
                <w:bCs/>
                <w:lang w:eastAsia="ja-JP"/>
              </w:rPr>
            </w:pPr>
            <w:r w:rsidRPr="00912996">
              <w:rPr>
                <w:rFonts w:ascii="Calibri" w:hAnsi="Calibri"/>
                <w:bCs/>
                <w:lang w:eastAsia="ja-JP"/>
              </w:rPr>
              <w:t>PNRR C5, C12, POS P1, Bugetul local, Alte surse de finanțare</w:t>
            </w:r>
          </w:p>
        </w:tc>
        <w:tc>
          <w:tcPr>
            <w:tcW w:w="433" w:type="pct"/>
            <w:shd w:val="clear" w:color="auto" w:fill="F2F2F2"/>
            <w:hideMark/>
          </w:tcPr>
          <w:p w14:paraId="4C62E17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8706C5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4B1705D" w14:textId="77777777" w:rsidTr="00E16711">
        <w:trPr>
          <w:trHeight w:val="1056"/>
        </w:trPr>
        <w:tc>
          <w:tcPr>
            <w:tcW w:w="205" w:type="pct"/>
            <w:shd w:val="clear" w:color="auto" w:fill="F2F2F2"/>
            <w:noWrap/>
            <w:hideMark/>
          </w:tcPr>
          <w:p w14:paraId="2A6A5892"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4CD4A8C3" w14:textId="77777777" w:rsidR="00395D01" w:rsidRPr="00912996" w:rsidRDefault="00395D01" w:rsidP="00292396">
            <w:pPr>
              <w:rPr>
                <w:rFonts w:ascii="Calibri" w:hAnsi="Calibri"/>
                <w:bCs/>
                <w:lang w:eastAsia="ja-JP"/>
              </w:rPr>
            </w:pPr>
            <w:r w:rsidRPr="00912996">
              <w:rPr>
                <w:rFonts w:ascii="Calibri" w:hAnsi="Calibri"/>
                <w:bCs/>
                <w:lang w:eastAsia="ja-JP"/>
              </w:rPr>
              <w:t>Inițierea unei rețele de defibrilatoare în spațiile publice aglomerate și în care se lucrează intens cu publicul</w:t>
            </w:r>
          </w:p>
        </w:tc>
        <w:tc>
          <w:tcPr>
            <w:tcW w:w="640" w:type="pct"/>
            <w:shd w:val="clear" w:color="auto" w:fill="F2F2F2"/>
            <w:hideMark/>
          </w:tcPr>
          <w:p w14:paraId="155B24DF" w14:textId="77777777" w:rsidR="00395D01" w:rsidRPr="00912996" w:rsidRDefault="00395D01" w:rsidP="00292396">
            <w:pPr>
              <w:rPr>
                <w:rFonts w:ascii="Calibri" w:hAnsi="Calibri"/>
                <w:bCs/>
                <w:lang w:eastAsia="ja-JP"/>
              </w:rPr>
            </w:pPr>
            <w:r w:rsidRPr="00912996">
              <w:rPr>
                <w:rFonts w:ascii="Calibri" w:hAnsi="Calibri"/>
                <w:bCs/>
                <w:lang w:eastAsia="ja-JP"/>
              </w:rPr>
              <w:t>PS2, SMSU</w:t>
            </w:r>
          </w:p>
        </w:tc>
        <w:tc>
          <w:tcPr>
            <w:tcW w:w="507" w:type="pct"/>
            <w:shd w:val="clear" w:color="auto" w:fill="F2F2F2"/>
            <w:hideMark/>
          </w:tcPr>
          <w:p w14:paraId="64A2454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049369F" w14:textId="77777777" w:rsidR="00395D01" w:rsidRPr="00912996" w:rsidRDefault="00395D01" w:rsidP="00292396">
            <w:pPr>
              <w:rPr>
                <w:rFonts w:ascii="Calibri" w:hAnsi="Calibri"/>
                <w:bCs/>
                <w:lang w:eastAsia="ja-JP"/>
              </w:rPr>
            </w:pPr>
            <w:r w:rsidRPr="00912996">
              <w:rPr>
                <w:rFonts w:ascii="Calibri" w:hAnsi="Calibri"/>
                <w:bCs/>
                <w:lang w:eastAsia="ja-JP"/>
              </w:rPr>
              <w:t>1.329.000,00</w:t>
            </w:r>
          </w:p>
        </w:tc>
        <w:tc>
          <w:tcPr>
            <w:tcW w:w="411" w:type="pct"/>
            <w:shd w:val="clear" w:color="auto" w:fill="F2F2F2"/>
            <w:hideMark/>
          </w:tcPr>
          <w:p w14:paraId="53C14C93" w14:textId="77777777" w:rsidR="00395D01" w:rsidRPr="00912996" w:rsidRDefault="00395D01" w:rsidP="00292396">
            <w:pPr>
              <w:rPr>
                <w:rFonts w:ascii="Calibri" w:hAnsi="Calibri"/>
                <w:bCs/>
                <w:lang w:eastAsia="ja-JP"/>
              </w:rPr>
            </w:pPr>
            <w:r w:rsidRPr="00912996">
              <w:rPr>
                <w:rFonts w:ascii="Calibri" w:hAnsi="Calibri"/>
                <w:bCs/>
                <w:lang w:eastAsia="ja-JP"/>
              </w:rPr>
              <w:t>300.000,00</w:t>
            </w:r>
          </w:p>
        </w:tc>
        <w:tc>
          <w:tcPr>
            <w:tcW w:w="347" w:type="pct"/>
            <w:shd w:val="clear" w:color="auto" w:fill="F2F2F2"/>
            <w:hideMark/>
          </w:tcPr>
          <w:p w14:paraId="39A382F0" w14:textId="77777777" w:rsidR="00395D01" w:rsidRPr="00912996" w:rsidRDefault="00395D01" w:rsidP="00292396">
            <w:pPr>
              <w:rPr>
                <w:rFonts w:ascii="Calibri" w:hAnsi="Calibri"/>
                <w:bCs/>
                <w:lang w:eastAsia="ja-JP"/>
              </w:rPr>
            </w:pPr>
            <w:r w:rsidRPr="00912996">
              <w:rPr>
                <w:rFonts w:ascii="Calibri" w:hAnsi="Calibri"/>
                <w:bCs/>
                <w:lang w:eastAsia="ja-JP"/>
              </w:rPr>
              <w:t>2017-2020</w:t>
            </w:r>
          </w:p>
        </w:tc>
        <w:tc>
          <w:tcPr>
            <w:tcW w:w="484" w:type="pct"/>
            <w:gridSpan w:val="2"/>
            <w:shd w:val="clear" w:color="auto" w:fill="F2F2F2"/>
            <w:hideMark/>
          </w:tcPr>
          <w:p w14:paraId="50E2FB5E" w14:textId="77777777" w:rsidR="00395D01" w:rsidRPr="00912996" w:rsidRDefault="00395D01" w:rsidP="00292396">
            <w:pPr>
              <w:rPr>
                <w:rFonts w:ascii="Calibri" w:hAnsi="Calibri"/>
                <w:bCs/>
                <w:lang w:eastAsia="ja-JP"/>
              </w:rPr>
            </w:pPr>
            <w:r w:rsidRPr="00912996">
              <w:rPr>
                <w:rFonts w:ascii="Calibri" w:hAnsi="Calibri"/>
                <w:bCs/>
                <w:lang w:eastAsia="ja-JP"/>
              </w:rPr>
              <w:t>PNRR C5, C12, POS P1, Bugetul local, Alte surse de finanțare</w:t>
            </w:r>
          </w:p>
        </w:tc>
        <w:tc>
          <w:tcPr>
            <w:tcW w:w="433" w:type="pct"/>
            <w:shd w:val="clear" w:color="auto" w:fill="F2F2F2"/>
            <w:hideMark/>
          </w:tcPr>
          <w:p w14:paraId="2ED2183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CF8ED39"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B129120" w14:textId="77777777" w:rsidTr="00E16711">
        <w:trPr>
          <w:trHeight w:val="1056"/>
        </w:trPr>
        <w:tc>
          <w:tcPr>
            <w:tcW w:w="205" w:type="pct"/>
            <w:shd w:val="clear" w:color="auto" w:fill="F2F2F2"/>
            <w:noWrap/>
            <w:hideMark/>
          </w:tcPr>
          <w:p w14:paraId="26304C4B"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25EBAF0A" w14:textId="77777777" w:rsidR="00395D01" w:rsidRPr="00912996" w:rsidRDefault="00395D01" w:rsidP="00292396">
            <w:pPr>
              <w:rPr>
                <w:rFonts w:ascii="Calibri" w:hAnsi="Calibri"/>
                <w:bCs/>
                <w:lang w:eastAsia="ja-JP"/>
              </w:rPr>
            </w:pPr>
            <w:r w:rsidRPr="00912996">
              <w:rPr>
                <w:rFonts w:ascii="Calibri" w:hAnsi="Calibri"/>
                <w:bCs/>
                <w:lang w:eastAsia="ja-JP"/>
              </w:rPr>
              <w:t>Modernizarea, extinderea, refuncționalizarea și dotarea Policlinicii Pantelimon</w:t>
            </w:r>
          </w:p>
        </w:tc>
        <w:tc>
          <w:tcPr>
            <w:tcW w:w="640" w:type="pct"/>
            <w:shd w:val="clear" w:color="auto" w:fill="F2F2F2"/>
            <w:hideMark/>
          </w:tcPr>
          <w:p w14:paraId="5DA6EBA5"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7AB110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8BA0015" w14:textId="77777777" w:rsidR="00395D01" w:rsidRPr="00912996" w:rsidRDefault="00395D01" w:rsidP="00292396">
            <w:pPr>
              <w:rPr>
                <w:rFonts w:ascii="Calibri" w:hAnsi="Calibri"/>
                <w:bCs/>
                <w:lang w:eastAsia="ja-JP"/>
              </w:rPr>
            </w:pPr>
            <w:r w:rsidRPr="00912996">
              <w:rPr>
                <w:rFonts w:ascii="Calibri" w:hAnsi="Calibri"/>
                <w:bCs/>
                <w:lang w:eastAsia="ja-JP"/>
              </w:rPr>
              <w:t>49,000,000</w:t>
            </w:r>
          </w:p>
        </w:tc>
        <w:tc>
          <w:tcPr>
            <w:tcW w:w="411" w:type="pct"/>
            <w:shd w:val="clear" w:color="auto" w:fill="F2F2F2"/>
            <w:hideMark/>
          </w:tcPr>
          <w:p w14:paraId="02A1EFBD" w14:textId="77777777" w:rsidR="00395D01" w:rsidRPr="00912996" w:rsidRDefault="00395D01" w:rsidP="00292396">
            <w:pPr>
              <w:rPr>
                <w:rFonts w:ascii="Calibri" w:hAnsi="Calibri"/>
                <w:bCs/>
                <w:lang w:eastAsia="ja-JP"/>
              </w:rPr>
            </w:pPr>
            <w:r w:rsidRPr="00912996">
              <w:rPr>
                <w:rFonts w:ascii="Calibri" w:hAnsi="Calibri"/>
                <w:bCs/>
                <w:lang w:eastAsia="ja-JP"/>
              </w:rPr>
              <w:t>10,000,000</w:t>
            </w:r>
          </w:p>
        </w:tc>
        <w:tc>
          <w:tcPr>
            <w:tcW w:w="347" w:type="pct"/>
            <w:shd w:val="clear" w:color="auto" w:fill="F2F2F2"/>
            <w:hideMark/>
          </w:tcPr>
          <w:p w14:paraId="1976CB6D" w14:textId="77777777" w:rsidR="00395D01" w:rsidRPr="00912996" w:rsidRDefault="00395D01" w:rsidP="00292396">
            <w:pPr>
              <w:rPr>
                <w:rFonts w:ascii="Calibri" w:hAnsi="Calibri"/>
                <w:bCs/>
                <w:lang w:eastAsia="ja-JP"/>
              </w:rPr>
            </w:pPr>
            <w:r w:rsidRPr="00912996">
              <w:rPr>
                <w:rFonts w:ascii="Calibri" w:hAnsi="Calibri"/>
                <w:bCs/>
                <w:lang w:eastAsia="ja-JP"/>
              </w:rPr>
              <w:t>2021-2027</w:t>
            </w:r>
          </w:p>
        </w:tc>
        <w:tc>
          <w:tcPr>
            <w:tcW w:w="484" w:type="pct"/>
            <w:gridSpan w:val="2"/>
            <w:shd w:val="clear" w:color="auto" w:fill="F2F2F2"/>
            <w:hideMark/>
          </w:tcPr>
          <w:p w14:paraId="7D66DD0D" w14:textId="77777777" w:rsidR="00395D01" w:rsidRPr="00912996" w:rsidRDefault="00395D01" w:rsidP="00292396">
            <w:pPr>
              <w:rPr>
                <w:rFonts w:ascii="Calibri" w:hAnsi="Calibri"/>
                <w:bCs/>
                <w:lang w:eastAsia="ja-JP"/>
              </w:rPr>
            </w:pPr>
            <w:r w:rsidRPr="00912996">
              <w:rPr>
                <w:rFonts w:ascii="Calibri" w:hAnsi="Calibri"/>
                <w:bCs/>
                <w:lang w:eastAsia="ja-JP"/>
              </w:rPr>
              <w:t>PNRR C5, C12, POS P1, Bugetul local, Alte surse de finanțare</w:t>
            </w:r>
          </w:p>
        </w:tc>
        <w:tc>
          <w:tcPr>
            <w:tcW w:w="433" w:type="pct"/>
            <w:shd w:val="clear" w:color="auto" w:fill="F2F2F2"/>
            <w:hideMark/>
          </w:tcPr>
          <w:p w14:paraId="6E3B455D"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2E0F48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6F087E0" w14:textId="77777777" w:rsidTr="00E16711">
        <w:trPr>
          <w:trHeight w:val="1056"/>
        </w:trPr>
        <w:tc>
          <w:tcPr>
            <w:tcW w:w="205" w:type="pct"/>
            <w:shd w:val="clear" w:color="auto" w:fill="F2F2F2"/>
            <w:noWrap/>
            <w:hideMark/>
          </w:tcPr>
          <w:p w14:paraId="5256529D"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54AC30A5" w14:textId="77777777" w:rsidR="00395D01" w:rsidRPr="00912996" w:rsidRDefault="00395D01" w:rsidP="00292396">
            <w:pPr>
              <w:rPr>
                <w:rFonts w:ascii="Calibri" w:hAnsi="Calibri"/>
                <w:bCs/>
                <w:lang w:eastAsia="ja-JP"/>
              </w:rPr>
            </w:pPr>
            <w:r w:rsidRPr="00912996">
              <w:rPr>
                <w:rFonts w:ascii="Calibri" w:hAnsi="Calibri"/>
                <w:bCs/>
                <w:lang w:eastAsia="ja-JP"/>
              </w:rPr>
              <w:t>Redeschiderea centrului de Sănătate din Șoseaua Pantelimon nr. 223</w:t>
            </w:r>
          </w:p>
        </w:tc>
        <w:tc>
          <w:tcPr>
            <w:tcW w:w="640" w:type="pct"/>
            <w:shd w:val="clear" w:color="auto" w:fill="F2F2F2"/>
            <w:hideMark/>
          </w:tcPr>
          <w:p w14:paraId="6CD2FB16"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4F7705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39D31BD" w14:textId="77777777" w:rsidR="00395D01" w:rsidRPr="00912996" w:rsidRDefault="00395D01" w:rsidP="00292396">
            <w:pPr>
              <w:rPr>
                <w:rFonts w:ascii="Calibri" w:hAnsi="Calibri"/>
                <w:bCs/>
                <w:lang w:eastAsia="ja-JP"/>
              </w:rPr>
            </w:pPr>
            <w:r w:rsidRPr="00912996">
              <w:rPr>
                <w:rFonts w:ascii="Calibri" w:hAnsi="Calibri"/>
                <w:bCs/>
                <w:lang w:eastAsia="ja-JP"/>
              </w:rPr>
              <w:t>995,485</w:t>
            </w:r>
          </w:p>
        </w:tc>
        <w:tc>
          <w:tcPr>
            <w:tcW w:w="411" w:type="pct"/>
            <w:shd w:val="clear" w:color="auto" w:fill="F2F2F2"/>
            <w:hideMark/>
          </w:tcPr>
          <w:p w14:paraId="5089F6CD" w14:textId="77777777" w:rsidR="00395D01" w:rsidRPr="00912996" w:rsidRDefault="00395D01" w:rsidP="00292396">
            <w:pPr>
              <w:rPr>
                <w:rFonts w:ascii="Calibri" w:hAnsi="Calibri"/>
                <w:bCs/>
                <w:lang w:eastAsia="ja-JP"/>
              </w:rPr>
            </w:pPr>
            <w:r w:rsidRPr="00912996">
              <w:rPr>
                <w:rFonts w:ascii="Calibri" w:hAnsi="Calibri"/>
                <w:bCs/>
                <w:lang w:eastAsia="ja-JP"/>
              </w:rPr>
              <w:t>203,160</w:t>
            </w:r>
          </w:p>
        </w:tc>
        <w:tc>
          <w:tcPr>
            <w:tcW w:w="347" w:type="pct"/>
            <w:shd w:val="clear" w:color="auto" w:fill="F2F2F2"/>
            <w:hideMark/>
          </w:tcPr>
          <w:p w14:paraId="57CDF9D4" w14:textId="77777777" w:rsidR="00395D01" w:rsidRPr="00912996" w:rsidRDefault="00395D01" w:rsidP="00292396">
            <w:pPr>
              <w:rPr>
                <w:rFonts w:ascii="Calibri" w:hAnsi="Calibri"/>
                <w:bCs/>
                <w:lang w:eastAsia="ja-JP"/>
              </w:rPr>
            </w:pPr>
            <w:r w:rsidRPr="00912996">
              <w:rPr>
                <w:rFonts w:ascii="Calibri" w:hAnsi="Calibri"/>
                <w:bCs/>
                <w:lang w:eastAsia="ja-JP"/>
              </w:rPr>
              <w:t>2021-2027</w:t>
            </w:r>
          </w:p>
        </w:tc>
        <w:tc>
          <w:tcPr>
            <w:tcW w:w="484" w:type="pct"/>
            <w:gridSpan w:val="2"/>
            <w:shd w:val="clear" w:color="auto" w:fill="F2F2F2"/>
            <w:hideMark/>
          </w:tcPr>
          <w:p w14:paraId="13F60E50" w14:textId="77777777" w:rsidR="00395D01" w:rsidRPr="00912996" w:rsidRDefault="00395D01" w:rsidP="00292396">
            <w:pPr>
              <w:rPr>
                <w:rFonts w:ascii="Calibri" w:hAnsi="Calibri"/>
                <w:bCs/>
                <w:lang w:eastAsia="ja-JP"/>
              </w:rPr>
            </w:pPr>
            <w:r w:rsidRPr="00912996">
              <w:rPr>
                <w:rFonts w:ascii="Calibri" w:hAnsi="Calibri"/>
                <w:bCs/>
                <w:lang w:eastAsia="ja-JP"/>
              </w:rPr>
              <w:t>PNRR C5, C12, POS P1, Bugetul local, Alte surse de finanțare</w:t>
            </w:r>
          </w:p>
        </w:tc>
        <w:tc>
          <w:tcPr>
            <w:tcW w:w="433" w:type="pct"/>
            <w:shd w:val="clear" w:color="auto" w:fill="F2F2F2"/>
            <w:hideMark/>
          </w:tcPr>
          <w:p w14:paraId="618FD3C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5BD36E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77DA476" w14:textId="77777777" w:rsidTr="00E16711">
        <w:trPr>
          <w:trHeight w:val="1056"/>
        </w:trPr>
        <w:tc>
          <w:tcPr>
            <w:tcW w:w="205" w:type="pct"/>
            <w:shd w:val="clear" w:color="auto" w:fill="F2F2F2"/>
            <w:noWrap/>
            <w:hideMark/>
          </w:tcPr>
          <w:p w14:paraId="7499602F"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3B0BD3AD" w14:textId="77777777" w:rsidR="00395D01" w:rsidRPr="00912996" w:rsidRDefault="00395D01" w:rsidP="00292396">
            <w:pPr>
              <w:rPr>
                <w:rFonts w:ascii="Calibri" w:hAnsi="Calibri"/>
                <w:bCs/>
                <w:lang w:eastAsia="ja-JP"/>
              </w:rPr>
            </w:pPr>
            <w:r w:rsidRPr="00912996">
              <w:rPr>
                <w:rFonts w:ascii="Calibri" w:hAnsi="Calibri"/>
                <w:bCs/>
                <w:lang w:eastAsia="ja-JP"/>
              </w:rPr>
              <w:t>Modernizarea cabinetelor medicale din instituțiile de învățământ</w:t>
            </w:r>
          </w:p>
        </w:tc>
        <w:tc>
          <w:tcPr>
            <w:tcW w:w="640" w:type="pct"/>
            <w:shd w:val="clear" w:color="auto" w:fill="F2F2F2"/>
            <w:hideMark/>
          </w:tcPr>
          <w:p w14:paraId="4FC45D34"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B38671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DD69C1D" w14:textId="77777777" w:rsidR="00395D01" w:rsidRPr="00912996" w:rsidRDefault="00395D01" w:rsidP="00292396">
            <w:pPr>
              <w:rPr>
                <w:rFonts w:ascii="Calibri" w:hAnsi="Calibri"/>
                <w:bCs/>
                <w:lang w:eastAsia="ja-JP"/>
              </w:rPr>
            </w:pPr>
            <w:r w:rsidRPr="00912996">
              <w:rPr>
                <w:rFonts w:ascii="Calibri" w:hAnsi="Calibri"/>
                <w:bCs/>
                <w:lang w:eastAsia="ja-JP"/>
              </w:rPr>
              <w:t>14,700,000</w:t>
            </w:r>
          </w:p>
        </w:tc>
        <w:tc>
          <w:tcPr>
            <w:tcW w:w="411" w:type="pct"/>
            <w:shd w:val="clear" w:color="auto" w:fill="F2F2F2"/>
            <w:hideMark/>
          </w:tcPr>
          <w:p w14:paraId="2D2FF36E"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347" w:type="pct"/>
            <w:shd w:val="clear" w:color="auto" w:fill="F2F2F2"/>
            <w:hideMark/>
          </w:tcPr>
          <w:p w14:paraId="239A9635" w14:textId="77777777" w:rsidR="00395D01" w:rsidRPr="00912996" w:rsidRDefault="00395D01" w:rsidP="00292396">
            <w:pPr>
              <w:rPr>
                <w:rFonts w:ascii="Calibri" w:hAnsi="Calibri"/>
                <w:bCs/>
                <w:lang w:eastAsia="ja-JP"/>
              </w:rPr>
            </w:pPr>
            <w:r w:rsidRPr="00912996">
              <w:rPr>
                <w:rFonts w:ascii="Calibri" w:hAnsi="Calibri"/>
                <w:bCs/>
                <w:lang w:eastAsia="ja-JP"/>
              </w:rPr>
              <w:t>2021-2027</w:t>
            </w:r>
          </w:p>
        </w:tc>
        <w:tc>
          <w:tcPr>
            <w:tcW w:w="484" w:type="pct"/>
            <w:gridSpan w:val="2"/>
            <w:shd w:val="clear" w:color="auto" w:fill="F2F2F2"/>
            <w:hideMark/>
          </w:tcPr>
          <w:p w14:paraId="7C814186" w14:textId="77777777" w:rsidR="00395D01" w:rsidRPr="00912996" w:rsidRDefault="00395D01" w:rsidP="00292396">
            <w:pPr>
              <w:rPr>
                <w:rFonts w:ascii="Calibri" w:hAnsi="Calibri"/>
                <w:bCs/>
                <w:lang w:eastAsia="ja-JP"/>
              </w:rPr>
            </w:pPr>
            <w:r w:rsidRPr="00912996">
              <w:rPr>
                <w:rFonts w:ascii="Calibri" w:hAnsi="Calibri"/>
                <w:bCs/>
                <w:lang w:eastAsia="ja-JP"/>
              </w:rPr>
              <w:t>PNRR C5, C12, POS P1, Bugetul local, Alte surse de finanțare</w:t>
            </w:r>
          </w:p>
        </w:tc>
        <w:tc>
          <w:tcPr>
            <w:tcW w:w="433" w:type="pct"/>
            <w:shd w:val="clear" w:color="auto" w:fill="F2F2F2"/>
            <w:hideMark/>
          </w:tcPr>
          <w:p w14:paraId="05BB9C7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96DE1D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2BC999E" w14:textId="77777777" w:rsidTr="00E16711">
        <w:trPr>
          <w:trHeight w:val="792"/>
        </w:trPr>
        <w:tc>
          <w:tcPr>
            <w:tcW w:w="205" w:type="pct"/>
            <w:shd w:val="clear" w:color="auto" w:fill="F2F2F2"/>
            <w:noWrap/>
            <w:hideMark/>
          </w:tcPr>
          <w:p w14:paraId="0A1B14EB"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4BFE2AE0" w14:textId="77777777" w:rsidR="00395D01" w:rsidRPr="00912996" w:rsidRDefault="00395D01" w:rsidP="00292396">
            <w:pPr>
              <w:rPr>
                <w:rFonts w:ascii="Calibri" w:hAnsi="Calibri"/>
                <w:bCs/>
                <w:lang w:eastAsia="ja-JP"/>
              </w:rPr>
            </w:pPr>
            <w:r w:rsidRPr="00912996">
              <w:rPr>
                <w:rFonts w:ascii="Calibri" w:hAnsi="Calibri"/>
                <w:bCs/>
                <w:lang w:eastAsia="ja-JP"/>
              </w:rPr>
              <w:t>Digitalizarea a 19 unități sanitare din subordinea ASSMB</w:t>
            </w:r>
          </w:p>
        </w:tc>
        <w:tc>
          <w:tcPr>
            <w:tcW w:w="640" w:type="pct"/>
            <w:shd w:val="clear" w:color="auto" w:fill="F2F2F2"/>
            <w:hideMark/>
          </w:tcPr>
          <w:p w14:paraId="70BFB35B" w14:textId="77777777" w:rsidR="00395D01" w:rsidRPr="00912996" w:rsidRDefault="00395D01" w:rsidP="00292396">
            <w:pPr>
              <w:rPr>
                <w:rFonts w:ascii="Calibri" w:hAnsi="Calibri"/>
                <w:bCs/>
                <w:lang w:eastAsia="ja-JP"/>
              </w:rPr>
            </w:pPr>
            <w:r w:rsidRPr="00912996">
              <w:rPr>
                <w:rFonts w:ascii="Calibri" w:hAnsi="Calibri"/>
                <w:bCs/>
                <w:lang w:eastAsia="ja-JP"/>
              </w:rPr>
              <w:t>PMB/PS2</w:t>
            </w:r>
          </w:p>
        </w:tc>
        <w:tc>
          <w:tcPr>
            <w:tcW w:w="507" w:type="pct"/>
            <w:shd w:val="clear" w:color="auto" w:fill="F2F2F2"/>
            <w:hideMark/>
          </w:tcPr>
          <w:p w14:paraId="05509E0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0CC1319"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3005464D"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5566D5D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5272EC0" w14:textId="77777777" w:rsidR="00395D01" w:rsidRPr="00912996" w:rsidRDefault="00395D01" w:rsidP="00292396">
            <w:pPr>
              <w:rPr>
                <w:rFonts w:ascii="Calibri" w:hAnsi="Calibri"/>
                <w:bCs/>
                <w:lang w:eastAsia="ja-JP"/>
              </w:rPr>
            </w:pPr>
            <w:r w:rsidRPr="00912996">
              <w:rPr>
                <w:rFonts w:ascii="Calibri" w:hAnsi="Calibri"/>
                <w:bCs/>
                <w:lang w:eastAsia="ja-JP"/>
              </w:rPr>
              <w:t>POS P6,Bugetul local, Alte surse de finanțare</w:t>
            </w:r>
          </w:p>
        </w:tc>
        <w:tc>
          <w:tcPr>
            <w:tcW w:w="433" w:type="pct"/>
            <w:shd w:val="clear" w:color="auto" w:fill="F2F2F2"/>
            <w:hideMark/>
          </w:tcPr>
          <w:p w14:paraId="2B396B65"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54D9CDE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BECB968" w14:textId="77777777" w:rsidTr="00E16711">
        <w:trPr>
          <w:trHeight w:val="620"/>
        </w:trPr>
        <w:tc>
          <w:tcPr>
            <w:tcW w:w="205" w:type="pct"/>
            <w:shd w:val="clear" w:color="auto" w:fill="F2F2F2"/>
            <w:noWrap/>
            <w:hideMark/>
          </w:tcPr>
          <w:p w14:paraId="585E0A8E"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2AC7C05B" w14:textId="77777777" w:rsidR="00395D01" w:rsidRPr="00912996" w:rsidRDefault="00395D01" w:rsidP="00292396">
            <w:pPr>
              <w:rPr>
                <w:rFonts w:ascii="Calibri" w:hAnsi="Calibri"/>
                <w:bCs/>
                <w:lang w:eastAsia="ja-JP"/>
              </w:rPr>
            </w:pPr>
            <w:r w:rsidRPr="00912996">
              <w:rPr>
                <w:rFonts w:ascii="Calibri" w:hAnsi="Calibri"/>
                <w:bCs/>
                <w:lang w:eastAsia="ja-JP"/>
              </w:rPr>
              <w:t>Lucrări de modernizare / extindere pentru instalații de ventilați, tratare a aerului și infrastructura de fluide medicale, precum și montarea de sisteme de detectare, semnalizare, alarmare incendii și în cazul depășirii concentrației maxime admis de oxigen pentru 9 spitale din subordinea ASSMB</w:t>
            </w:r>
          </w:p>
        </w:tc>
        <w:tc>
          <w:tcPr>
            <w:tcW w:w="640" w:type="pct"/>
            <w:shd w:val="clear" w:color="auto" w:fill="F2F2F2"/>
            <w:hideMark/>
          </w:tcPr>
          <w:p w14:paraId="4C2B2392" w14:textId="77777777" w:rsidR="00395D01" w:rsidRPr="00912996" w:rsidRDefault="00395D01" w:rsidP="00292396">
            <w:pPr>
              <w:rPr>
                <w:rFonts w:ascii="Calibri" w:hAnsi="Calibri"/>
                <w:bCs/>
                <w:lang w:eastAsia="ja-JP"/>
              </w:rPr>
            </w:pPr>
            <w:r w:rsidRPr="00912996">
              <w:rPr>
                <w:rFonts w:ascii="Calibri" w:hAnsi="Calibri"/>
                <w:bCs/>
                <w:lang w:eastAsia="ja-JP"/>
              </w:rPr>
              <w:t>PMB/PS2</w:t>
            </w:r>
          </w:p>
        </w:tc>
        <w:tc>
          <w:tcPr>
            <w:tcW w:w="507" w:type="pct"/>
            <w:shd w:val="clear" w:color="auto" w:fill="F2F2F2"/>
            <w:hideMark/>
          </w:tcPr>
          <w:p w14:paraId="2E0080F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45F5C6A" w14:textId="77777777" w:rsidR="00395D01" w:rsidRPr="00912996" w:rsidRDefault="00395D01" w:rsidP="00292396">
            <w:pPr>
              <w:rPr>
                <w:rFonts w:ascii="Calibri" w:hAnsi="Calibri"/>
                <w:bCs/>
                <w:lang w:eastAsia="ja-JP"/>
              </w:rPr>
            </w:pPr>
            <w:r w:rsidRPr="00912996">
              <w:rPr>
                <w:rFonts w:ascii="Calibri" w:hAnsi="Calibri"/>
                <w:bCs/>
                <w:lang w:eastAsia="ja-JP"/>
              </w:rPr>
              <w:t>98,000,000</w:t>
            </w:r>
          </w:p>
        </w:tc>
        <w:tc>
          <w:tcPr>
            <w:tcW w:w="411" w:type="pct"/>
            <w:shd w:val="clear" w:color="auto" w:fill="F2F2F2"/>
            <w:hideMark/>
          </w:tcPr>
          <w:p w14:paraId="3969378F" w14:textId="77777777" w:rsidR="00395D01" w:rsidRPr="00912996" w:rsidRDefault="00395D01" w:rsidP="00292396">
            <w:pPr>
              <w:rPr>
                <w:rFonts w:ascii="Calibri" w:hAnsi="Calibri"/>
                <w:bCs/>
                <w:lang w:eastAsia="ja-JP"/>
              </w:rPr>
            </w:pPr>
            <w:r w:rsidRPr="00912996">
              <w:rPr>
                <w:rFonts w:ascii="Calibri" w:hAnsi="Calibri"/>
                <w:bCs/>
                <w:lang w:eastAsia="ja-JP"/>
              </w:rPr>
              <w:t>20,000,000</w:t>
            </w:r>
          </w:p>
        </w:tc>
        <w:tc>
          <w:tcPr>
            <w:tcW w:w="347" w:type="pct"/>
            <w:shd w:val="clear" w:color="auto" w:fill="F2F2F2"/>
            <w:hideMark/>
          </w:tcPr>
          <w:p w14:paraId="148535C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56BE78E" w14:textId="77777777" w:rsidR="00395D01" w:rsidRPr="00912996" w:rsidRDefault="00395D01" w:rsidP="00292396">
            <w:pPr>
              <w:rPr>
                <w:rFonts w:ascii="Calibri" w:hAnsi="Calibri"/>
                <w:bCs/>
                <w:lang w:eastAsia="ja-JP"/>
              </w:rPr>
            </w:pPr>
            <w:r w:rsidRPr="00912996">
              <w:rPr>
                <w:rFonts w:ascii="Calibri" w:hAnsi="Calibri"/>
                <w:bCs/>
                <w:lang w:eastAsia="ja-JP"/>
              </w:rPr>
              <w:t>PNRR C12, POS P6, Bugetul local, Alte surse de finanțare</w:t>
            </w:r>
          </w:p>
        </w:tc>
        <w:tc>
          <w:tcPr>
            <w:tcW w:w="433" w:type="pct"/>
            <w:shd w:val="clear" w:color="auto" w:fill="F2F2F2"/>
            <w:hideMark/>
          </w:tcPr>
          <w:p w14:paraId="279F2680"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1F94D644"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0FE2046" w14:textId="77777777" w:rsidTr="00E16711">
        <w:trPr>
          <w:trHeight w:val="620"/>
        </w:trPr>
        <w:tc>
          <w:tcPr>
            <w:tcW w:w="205" w:type="pct"/>
            <w:shd w:val="clear" w:color="auto" w:fill="F2F2F2"/>
            <w:noWrap/>
            <w:hideMark/>
          </w:tcPr>
          <w:p w14:paraId="3391A84B"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75F21318" w14:textId="77777777" w:rsidR="00395D01" w:rsidRPr="00912996" w:rsidRDefault="00395D01" w:rsidP="00292396">
            <w:pPr>
              <w:rPr>
                <w:rFonts w:ascii="Calibri" w:hAnsi="Calibri"/>
                <w:bCs/>
                <w:lang w:eastAsia="ja-JP"/>
              </w:rPr>
            </w:pPr>
            <w:r w:rsidRPr="00912996">
              <w:rPr>
                <w:rFonts w:ascii="Calibri" w:hAnsi="Calibri"/>
                <w:bCs/>
                <w:lang w:eastAsia="ja-JP"/>
              </w:rPr>
              <w:t>Consolidarea, reabilitarea și extinderea Serviciului de Ambulanță București – Ilfov - corp administrativ, dispecerat – C1, corp ateliere – C2, corp garaj – C5, corp copertine auto - C4, C7, C8 și corp magazii - C12, C13, C14”, Str. Mihai Eminescu nr. 226-236</w:t>
            </w:r>
          </w:p>
        </w:tc>
        <w:tc>
          <w:tcPr>
            <w:tcW w:w="640" w:type="pct"/>
            <w:shd w:val="clear" w:color="auto" w:fill="F2F2F2"/>
            <w:hideMark/>
          </w:tcPr>
          <w:p w14:paraId="62D3755B"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54A04C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3A6A654" w14:textId="77777777" w:rsidR="00395D01" w:rsidRPr="00912996" w:rsidRDefault="00395D01" w:rsidP="00292396">
            <w:pPr>
              <w:rPr>
                <w:rFonts w:ascii="Calibri" w:hAnsi="Calibri"/>
                <w:bCs/>
                <w:lang w:eastAsia="ja-JP"/>
              </w:rPr>
            </w:pPr>
            <w:r w:rsidRPr="00912996">
              <w:rPr>
                <w:rFonts w:ascii="Calibri" w:hAnsi="Calibri"/>
                <w:bCs/>
                <w:lang w:eastAsia="ja-JP"/>
              </w:rPr>
              <w:t>22,250,209</w:t>
            </w:r>
          </w:p>
        </w:tc>
        <w:tc>
          <w:tcPr>
            <w:tcW w:w="411" w:type="pct"/>
            <w:shd w:val="clear" w:color="auto" w:fill="F2F2F2"/>
            <w:hideMark/>
          </w:tcPr>
          <w:p w14:paraId="0B47C268" w14:textId="77777777" w:rsidR="00395D01" w:rsidRPr="00912996" w:rsidRDefault="00395D01" w:rsidP="00292396">
            <w:pPr>
              <w:rPr>
                <w:rFonts w:ascii="Calibri" w:hAnsi="Calibri"/>
                <w:bCs/>
                <w:lang w:eastAsia="ja-JP"/>
              </w:rPr>
            </w:pPr>
            <w:r w:rsidRPr="00912996">
              <w:rPr>
                <w:rFonts w:ascii="Calibri" w:hAnsi="Calibri"/>
                <w:bCs/>
                <w:lang w:eastAsia="ja-JP"/>
              </w:rPr>
              <w:t>4,540,859</w:t>
            </w:r>
          </w:p>
        </w:tc>
        <w:tc>
          <w:tcPr>
            <w:tcW w:w="347" w:type="pct"/>
            <w:shd w:val="clear" w:color="auto" w:fill="F2F2F2"/>
            <w:hideMark/>
          </w:tcPr>
          <w:p w14:paraId="5AF9B3BF"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871876B" w14:textId="77777777" w:rsidR="00395D01" w:rsidRPr="00912996" w:rsidRDefault="00395D01" w:rsidP="00292396">
            <w:pPr>
              <w:rPr>
                <w:rFonts w:ascii="Calibri" w:hAnsi="Calibri"/>
                <w:bCs/>
                <w:lang w:eastAsia="ja-JP"/>
              </w:rPr>
            </w:pPr>
            <w:r w:rsidRPr="00912996">
              <w:rPr>
                <w:rFonts w:ascii="Calibri" w:hAnsi="Calibri"/>
                <w:bCs/>
                <w:lang w:eastAsia="ja-JP"/>
              </w:rPr>
              <w:t>PNRR C5, C12, Bugetul local, Alte surse de finanțare</w:t>
            </w:r>
          </w:p>
        </w:tc>
        <w:tc>
          <w:tcPr>
            <w:tcW w:w="433" w:type="pct"/>
            <w:shd w:val="clear" w:color="auto" w:fill="F2F2F2"/>
            <w:hideMark/>
          </w:tcPr>
          <w:p w14:paraId="7664F65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A4AC1EB"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EC4E09A" w14:textId="77777777" w:rsidTr="00E16711">
        <w:trPr>
          <w:trHeight w:val="1584"/>
        </w:trPr>
        <w:tc>
          <w:tcPr>
            <w:tcW w:w="205" w:type="pct"/>
            <w:shd w:val="clear" w:color="auto" w:fill="F2F2F2"/>
            <w:noWrap/>
            <w:hideMark/>
          </w:tcPr>
          <w:p w14:paraId="7028F757"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6EA5C39B" w14:textId="36CA9476" w:rsidR="00395D01" w:rsidRPr="00912996" w:rsidRDefault="00395D01" w:rsidP="00292396">
            <w:pPr>
              <w:rPr>
                <w:rFonts w:ascii="Calibri" w:hAnsi="Calibri"/>
                <w:bCs/>
                <w:lang w:eastAsia="ja-JP"/>
              </w:rPr>
            </w:pPr>
            <w:r w:rsidRPr="00912996">
              <w:rPr>
                <w:rFonts w:ascii="Calibri" w:hAnsi="Calibri"/>
                <w:bCs/>
                <w:lang w:eastAsia="ja-JP"/>
              </w:rPr>
              <w:t>Creșterea accesului la servicii medicale prin înființarea Policlinicii Sectorului 2 pentru investigații și tratament în regim ambulatoriu care să ofere și servicii de tipul policlinică social</w:t>
            </w:r>
          </w:p>
        </w:tc>
        <w:tc>
          <w:tcPr>
            <w:tcW w:w="640" w:type="pct"/>
            <w:shd w:val="clear" w:color="auto" w:fill="F2F2F2"/>
            <w:hideMark/>
          </w:tcPr>
          <w:p w14:paraId="684E0D03"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556281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54D122A" w14:textId="77777777" w:rsidR="00395D01" w:rsidRPr="00912996" w:rsidRDefault="00395D01" w:rsidP="00292396">
            <w:pPr>
              <w:rPr>
                <w:rFonts w:ascii="Calibri" w:hAnsi="Calibri"/>
                <w:bCs/>
                <w:lang w:eastAsia="ja-JP"/>
              </w:rPr>
            </w:pPr>
            <w:r w:rsidRPr="00912996">
              <w:rPr>
                <w:rFonts w:ascii="Calibri" w:hAnsi="Calibri"/>
                <w:bCs/>
                <w:lang w:eastAsia="ja-JP"/>
              </w:rPr>
              <w:t>1,470,000</w:t>
            </w:r>
          </w:p>
        </w:tc>
        <w:tc>
          <w:tcPr>
            <w:tcW w:w="411" w:type="pct"/>
            <w:shd w:val="clear" w:color="auto" w:fill="F2F2F2"/>
            <w:hideMark/>
          </w:tcPr>
          <w:p w14:paraId="18BE88E3" w14:textId="77777777" w:rsidR="00395D01" w:rsidRPr="00912996" w:rsidRDefault="00395D01" w:rsidP="00292396">
            <w:pPr>
              <w:rPr>
                <w:rFonts w:ascii="Calibri" w:hAnsi="Calibri"/>
                <w:bCs/>
                <w:lang w:eastAsia="ja-JP"/>
              </w:rPr>
            </w:pPr>
            <w:r w:rsidRPr="00912996">
              <w:rPr>
                <w:rFonts w:ascii="Calibri" w:hAnsi="Calibri"/>
                <w:bCs/>
                <w:lang w:eastAsia="ja-JP"/>
              </w:rPr>
              <w:t>300,000</w:t>
            </w:r>
          </w:p>
        </w:tc>
        <w:tc>
          <w:tcPr>
            <w:tcW w:w="347" w:type="pct"/>
            <w:shd w:val="clear" w:color="auto" w:fill="F2F2F2"/>
            <w:hideMark/>
          </w:tcPr>
          <w:p w14:paraId="609625B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B318843" w14:textId="77777777" w:rsidR="00395D01" w:rsidRPr="00912996" w:rsidRDefault="00395D01" w:rsidP="00292396">
            <w:pPr>
              <w:rPr>
                <w:rFonts w:ascii="Calibri" w:hAnsi="Calibri"/>
                <w:bCs/>
                <w:lang w:eastAsia="ja-JP"/>
              </w:rPr>
            </w:pPr>
            <w:r w:rsidRPr="00912996">
              <w:rPr>
                <w:rFonts w:ascii="Calibri" w:hAnsi="Calibri"/>
                <w:bCs/>
                <w:lang w:eastAsia="ja-JP"/>
              </w:rPr>
              <w:t>PNRR C5, C12, Bugetul local, Alte surse de finanțare</w:t>
            </w:r>
          </w:p>
        </w:tc>
        <w:tc>
          <w:tcPr>
            <w:tcW w:w="433" w:type="pct"/>
            <w:shd w:val="clear" w:color="auto" w:fill="F2F2F2"/>
            <w:hideMark/>
          </w:tcPr>
          <w:p w14:paraId="364567A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FA7431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8AE24EB" w14:textId="77777777" w:rsidTr="00E16711">
        <w:trPr>
          <w:trHeight w:val="792"/>
        </w:trPr>
        <w:tc>
          <w:tcPr>
            <w:tcW w:w="205" w:type="pct"/>
            <w:shd w:val="clear" w:color="auto" w:fill="F2F2F2"/>
            <w:noWrap/>
            <w:hideMark/>
          </w:tcPr>
          <w:p w14:paraId="11E976B3"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447B6328" w14:textId="77777777" w:rsidR="00395D01" w:rsidRPr="00912996" w:rsidRDefault="00395D01" w:rsidP="00292396">
            <w:pPr>
              <w:rPr>
                <w:rFonts w:ascii="Calibri" w:hAnsi="Calibri"/>
                <w:bCs/>
                <w:lang w:eastAsia="ja-JP"/>
              </w:rPr>
            </w:pPr>
            <w:r w:rsidRPr="00912996">
              <w:rPr>
                <w:rFonts w:ascii="Calibri" w:hAnsi="Calibri"/>
                <w:bCs/>
                <w:lang w:eastAsia="ja-JP"/>
              </w:rPr>
              <w:t>Crearea unor centre comunitare dedicate medicilor de familie</w:t>
            </w:r>
          </w:p>
        </w:tc>
        <w:tc>
          <w:tcPr>
            <w:tcW w:w="640" w:type="pct"/>
            <w:shd w:val="clear" w:color="auto" w:fill="F2F2F2"/>
            <w:hideMark/>
          </w:tcPr>
          <w:p w14:paraId="4C97BCDD"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435412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A105678"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1FD21E86"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5AE9C7D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5A4F9D8" w14:textId="77777777" w:rsidR="00395D01" w:rsidRPr="00912996" w:rsidRDefault="00395D01" w:rsidP="00292396">
            <w:pPr>
              <w:rPr>
                <w:rFonts w:ascii="Calibri" w:hAnsi="Calibri"/>
                <w:bCs/>
                <w:lang w:eastAsia="ja-JP"/>
              </w:rPr>
            </w:pPr>
            <w:r w:rsidRPr="00912996">
              <w:rPr>
                <w:rFonts w:ascii="Calibri" w:hAnsi="Calibri"/>
                <w:bCs/>
                <w:lang w:eastAsia="ja-JP"/>
              </w:rPr>
              <w:t>PNRR C5, C12, Bugetul local, Alte surse de finanțare</w:t>
            </w:r>
          </w:p>
        </w:tc>
        <w:tc>
          <w:tcPr>
            <w:tcW w:w="433" w:type="pct"/>
            <w:shd w:val="clear" w:color="auto" w:fill="F2F2F2"/>
            <w:hideMark/>
          </w:tcPr>
          <w:p w14:paraId="3511B2C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30457EF"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06E1996" w14:textId="77777777" w:rsidTr="00E16711">
        <w:trPr>
          <w:trHeight w:val="792"/>
        </w:trPr>
        <w:tc>
          <w:tcPr>
            <w:tcW w:w="205" w:type="pct"/>
            <w:shd w:val="clear" w:color="auto" w:fill="F2F2F2"/>
            <w:noWrap/>
            <w:hideMark/>
          </w:tcPr>
          <w:p w14:paraId="2BCB34F3"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2DBB1623" w14:textId="77777777" w:rsidR="00395D01" w:rsidRPr="00912996" w:rsidRDefault="00395D01" w:rsidP="00292396">
            <w:pPr>
              <w:rPr>
                <w:rFonts w:ascii="Calibri" w:hAnsi="Calibri"/>
                <w:bCs/>
                <w:lang w:eastAsia="ja-JP"/>
              </w:rPr>
            </w:pPr>
            <w:r w:rsidRPr="00912996">
              <w:rPr>
                <w:rFonts w:ascii="Calibri" w:hAnsi="Calibri"/>
                <w:bCs/>
                <w:lang w:eastAsia="ja-JP"/>
              </w:rPr>
              <w:t>Înființarea unor cabinete medicale și stomatologice pentru pensionarii cu venituri mici</w:t>
            </w:r>
          </w:p>
        </w:tc>
        <w:tc>
          <w:tcPr>
            <w:tcW w:w="640" w:type="pct"/>
            <w:shd w:val="clear" w:color="auto" w:fill="F2F2F2"/>
            <w:hideMark/>
          </w:tcPr>
          <w:p w14:paraId="7D4CF79B"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CC3ECA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35B4399" w14:textId="77777777" w:rsidR="00395D01" w:rsidRPr="00912996" w:rsidRDefault="00395D01" w:rsidP="00292396">
            <w:pPr>
              <w:rPr>
                <w:rFonts w:ascii="Calibri" w:hAnsi="Calibri"/>
                <w:bCs/>
                <w:lang w:eastAsia="ja-JP"/>
              </w:rPr>
            </w:pPr>
            <w:r w:rsidRPr="00912996">
              <w:rPr>
                <w:rFonts w:ascii="Calibri" w:hAnsi="Calibri"/>
                <w:bCs/>
                <w:lang w:eastAsia="ja-JP"/>
              </w:rPr>
              <w:t>14,700,000</w:t>
            </w:r>
          </w:p>
        </w:tc>
        <w:tc>
          <w:tcPr>
            <w:tcW w:w="411" w:type="pct"/>
            <w:shd w:val="clear" w:color="auto" w:fill="F2F2F2"/>
            <w:hideMark/>
          </w:tcPr>
          <w:p w14:paraId="6F3D1880" w14:textId="77777777" w:rsidR="00395D01" w:rsidRPr="00912996" w:rsidRDefault="00395D01" w:rsidP="00292396">
            <w:pPr>
              <w:rPr>
                <w:rFonts w:ascii="Calibri" w:hAnsi="Calibri"/>
                <w:bCs/>
                <w:lang w:eastAsia="ja-JP"/>
              </w:rPr>
            </w:pPr>
            <w:r w:rsidRPr="00912996">
              <w:rPr>
                <w:rFonts w:ascii="Calibri" w:hAnsi="Calibri"/>
                <w:bCs/>
                <w:lang w:eastAsia="ja-JP"/>
              </w:rPr>
              <w:t>3,000,000</w:t>
            </w:r>
          </w:p>
        </w:tc>
        <w:tc>
          <w:tcPr>
            <w:tcW w:w="347" w:type="pct"/>
            <w:shd w:val="clear" w:color="auto" w:fill="F2F2F2"/>
            <w:hideMark/>
          </w:tcPr>
          <w:p w14:paraId="15E1D12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3207E63" w14:textId="77777777" w:rsidR="00395D01" w:rsidRPr="00912996" w:rsidRDefault="00395D01" w:rsidP="00292396">
            <w:pPr>
              <w:rPr>
                <w:rFonts w:ascii="Calibri" w:hAnsi="Calibri"/>
                <w:bCs/>
                <w:lang w:eastAsia="ja-JP"/>
              </w:rPr>
            </w:pPr>
            <w:r w:rsidRPr="00912996">
              <w:rPr>
                <w:rFonts w:ascii="Calibri" w:hAnsi="Calibri"/>
                <w:bCs/>
                <w:lang w:eastAsia="ja-JP"/>
              </w:rPr>
              <w:t>PNRR C5, C12, Bugetul local, Alte surse de finanțare</w:t>
            </w:r>
          </w:p>
        </w:tc>
        <w:tc>
          <w:tcPr>
            <w:tcW w:w="433" w:type="pct"/>
            <w:shd w:val="clear" w:color="auto" w:fill="F2F2F2"/>
            <w:hideMark/>
          </w:tcPr>
          <w:p w14:paraId="609D538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E9B8C9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E8530A4" w14:textId="77777777" w:rsidTr="00E16711">
        <w:trPr>
          <w:trHeight w:val="792"/>
        </w:trPr>
        <w:tc>
          <w:tcPr>
            <w:tcW w:w="205" w:type="pct"/>
            <w:shd w:val="clear" w:color="auto" w:fill="F2F2F2"/>
            <w:noWrap/>
            <w:hideMark/>
          </w:tcPr>
          <w:p w14:paraId="1AD84BF6"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hideMark/>
          </w:tcPr>
          <w:p w14:paraId="76E6E63F" w14:textId="77777777" w:rsidR="00395D01" w:rsidRPr="00912996" w:rsidRDefault="00395D01" w:rsidP="00292396">
            <w:pPr>
              <w:rPr>
                <w:rFonts w:ascii="Calibri" w:hAnsi="Calibri"/>
                <w:bCs/>
                <w:lang w:eastAsia="ja-JP"/>
              </w:rPr>
            </w:pPr>
            <w:r w:rsidRPr="00912996">
              <w:rPr>
                <w:rFonts w:ascii="Calibri" w:hAnsi="Calibri"/>
                <w:bCs/>
                <w:lang w:eastAsia="ja-JP"/>
              </w:rPr>
              <w:t>Înființarea unui centru de recuperare și reabilitare neuropsihică</w:t>
            </w:r>
          </w:p>
        </w:tc>
        <w:tc>
          <w:tcPr>
            <w:tcW w:w="640" w:type="pct"/>
            <w:shd w:val="clear" w:color="auto" w:fill="F2F2F2"/>
            <w:hideMark/>
          </w:tcPr>
          <w:p w14:paraId="131BE7FA"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309F1F0A" w14:textId="77777777" w:rsidR="00395D01" w:rsidRPr="00912996" w:rsidRDefault="00395D01" w:rsidP="00292396">
            <w:pPr>
              <w:rPr>
                <w:rFonts w:ascii="Calibri" w:hAnsi="Calibri"/>
                <w:bCs/>
                <w:lang w:eastAsia="ja-JP"/>
              </w:rPr>
            </w:pPr>
            <w:r w:rsidRPr="00912996">
              <w:rPr>
                <w:rFonts w:ascii="Calibri" w:hAnsi="Calibri"/>
                <w:bCs/>
                <w:lang w:eastAsia="ja-JP"/>
              </w:rPr>
              <w:t>Expertiză tehnică</w:t>
            </w:r>
          </w:p>
        </w:tc>
        <w:tc>
          <w:tcPr>
            <w:tcW w:w="473" w:type="pct"/>
            <w:shd w:val="clear" w:color="auto" w:fill="F2F2F2"/>
            <w:hideMark/>
          </w:tcPr>
          <w:p w14:paraId="63768578" w14:textId="77777777" w:rsidR="00395D01" w:rsidRPr="00912996" w:rsidRDefault="00395D01" w:rsidP="00292396">
            <w:pPr>
              <w:rPr>
                <w:rFonts w:ascii="Calibri" w:hAnsi="Calibri"/>
                <w:bCs/>
                <w:lang w:eastAsia="ja-JP"/>
              </w:rPr>
            </w:pPr>
            <w:r w:rsidRPr="00912996">
              <w:rPr>
                <w:rFonts w:ascii="Calibri" w:hAnsi="Calibri"/>
                <w:bCs/>
                <w:lang w:eastAsia="ja-JP"/>
              </w:rPr>
              <w:t>5,880,000</w:t>
            </w:r>
          </w:p>
        </w:tc>
        <w:tc>
          <w:tcPr>
            <w:tcW w:w="411" w:type="pct"/>
            <w:shd w:val="clear" w:color="auto" w:fill="F2F2F2"/>
            <w:hideMark/>
          </w:tcPr>
          <w:p w14:paraId="54EB2755" w14:textId="77777777" w:rsidR="00395D01" w:rsidRPr="00912996" w:rsidRDefault="00395D01" w:rsidP="00292396">
            <w:pPr>
              <w:rPr>
                <w:rFonts w:ascii="Calibri" w:hAnsi="Calibri"/>
                <w:bCs/>
                <w:lang w:eastAsia="ja-JP"/>
              </w:rPr>
            </w:pPr>
            <w:r w:rsidRPr="00912996">
              <w:rPr>
                <w:rFonts w:ascii="Calibri" w:hAnsi="Calibri"/>
                <w:bCs/>
                <w:lang w:eastAsia="ja-JP"/>
              </w:rPr>
              <w:t>1,200,000</w:t>
            </w:r>
          </w:p>
        </w:tc>
        <w:tc>
          <w:tcPr>
            <w:tcW w:w="347" w:type="pct"/>
            <w:shd w:val="clear" w:color="auto" w:fill="F2F2F2"/>
            <w:hideMark/>
          </w:tcPr>
          <w:p w14:paraId="5C50C07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0F3A3B7" w14:textId="77777777" w:rsidR="00395D01" w:rsidRPr="00912996" w:rsidRDefault="00395D01" w:rsidP="00292396">
            <w:pPr>
              <w:rPr>
                <w:rFonts w:ascii="Calibri" w:hAnsi="Calibri"/>
                <w:bCs/>
                <w:lang w:eastAsia="ja-JP"/>
              </w:rPr>
            </w:pPr>
            <w:r w:rsidRPr="00912996">
              <w:rPr>
                <w:rFonts w:ascii="Calibri" w:hAnsi="Calibri"/>
                <w:bCs/>
                <w:lang w:eastAsia="ja-JP"/>
              </w:rPr>
              <w:t>PNRR C5, C12, Bugetul local, Alte surse de finanțare</w:t>
            </w:r>
          </w:p>
        </w:tc>
        <w:tc>
          <w:tcPr>
            <w:tcW w:w="433" w:type="pct"/>
            <w:shd w:val="clear" w:color="auto" w:fill="F2F2F2"/>
            <w:hideMark/>
          </w:tcPr>
          <w:p w14:paraId="3DDC763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DAF70BF"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838B49B" w14:textId="77777777" w:rsidTr="00E16711">
        <w:trPr>
          <w:trHeight w:val="792"/>
        </w:trPr>
        <w:tc>
          <w:tcPr>
            <w:tcW w:w="205" w:type="pct"/>
            <w:shd w:val="clear" w:color="auto" w:fill="F2F2F2"/>
            <w:noWrap/>
          </w:tcPr>
          <w:p w14:paraId="36A7FAF1" w14:textId="77777777" w:rsidR="00395D01" w:rsidRPr="00912996" w:rsidRDefault="00395D01" w:rsidP="00292396">
            <w:pPr>
              <w:rPr>
                <w:rFonts w:ascii="Calibri" w:hAnsi="Calibri"/>
                <w:bCs/>
                <w:lang w:eastAsia="ja-JP"/>
              </w:rPr>
            </w:pPr>
            <w:r>
              <w:rPr>
                <w:rFonts w:ascii="Calibri" w:hAnsi="Calibri"/>
                <w:bCs/>
                <w:lang w:eastAsia="ja-JP"/>
              </w:rPr>
              <w:t>16</w:t>
            </w:r>
          </w:p>
        </w:tc>
        <w:tc>
          <w:tcPr>
            <w:tcW w:w="1018" w:type="pct"/>
            <w:gridSpan w:val="2"/>
            <w:shd w:val="clear" w:color="auto" w:fill="F2F2F2"/>
          </w:tcPr>
          <w:p w14:paraId="6552B096" w14:textId="0984BC40" w:rsidR="00395D01" w:rsidRPr="004027BE" w:rsidRDefault="00395D01" w:rsidP="00292396">
            <w:pPr>
              <w:rPr>
                <w:rFonts w:ascii="Calibri" w:hAnsi="Calibri"/>
                <w:color w:val="000000"/>
                <w:lang w:val="en-US"/>
              </w:rPr>
            </w:pPr>
            <w:r w:rsidRPr="004027BE">
              <w:rPr>
                <w:rFonts w:ascii="Calibri" w:hAnsi="Calibri"/>
                <w:color w:val="000000"/>
              </w:rPr>
              <w:t>Construcție</w:t>
            </w:r>
            <w:r w:rsidR="00FA2EA0">
              <w:rPr>
                <w:rFonts w:ascii="Calibri" w:hAnsi="Calibri"/>
                <w:color w:val="000000"/>
              </w:rPr>
              <w:t xml:space="preserve"> </w:t>
            </w:r>
            <w:r w:rsidRPr="004027BE">
              <w:rPr>
                <w:rFonts w:ascii="Calibri" w:hAnsi="Calibri"/>
                <w:color w:val="000000"/>
              </w:rPr>
              <w:t>/</w:t>
            </w:r>
            <w:r w:rsidR="00FA2EA0">
              <w:rPr>
                <w:rFonts w:ascii="Calibri" w:hAnsi="Calibri"/>
                <w:color w:val="000000"/>
              </w:rPr>
              <w:t xml:space="preserve"> </w:t>
            </w:r>
            <w:r w:rsidRPr="004027BE">
              <w:rPr>
                <w:rFonts w:ascii="Calibri" w:hAnsi="Calibri"/>
                <w:color w:val="000000"/>
              </w:rPr>
              <w:t>Reabilitare</w:t>
            </w:r>
            <w:r w:rsidR="00FA2EA0">
              <w:rPr>
                <w:rFonts w:ascii="Calibri" w:hAnsi="Calibri"/>
                <w:color w:val="000000"/>
              </w:rPr>
              <w:t xml:space="preserve"> </w:t>
            </w:r>
            <w:r w:rsidRPr="004027BE">
              <w:rPr>
                <w:rFonts w:ascii="Calibri" w:hAnsi="Calibri"/>
                <w:color w:val="000000"/>
              </w:rPr>
              <w:t>/</w:t>
            </w:r>
            <w:r w:rsidR="00FA2EA0">
              <w:rPr>
                <w:rFonts w:ascii="Calibri" w:hAnsi="Calibri"/>
                <w:color w:val="000000"/>
              </w:rPr>
              <w:t xml:space="preserve"> </w:t>
            </w:r>
            <w:r w:rsidRPr="004027BE">
              <w:rPr>
                <w:rFonts w:ascii="Calibri" w:hAnsi="Calibri"/>
                <w:color w:val="000000"/>
              </w:rPr>
              <w:t>Modernizare</w:t>
            </w:r>
            <w:r w:rsidR="00FA2EA0">
              <w:rPr>
                <w:rFonts w:ascii="Calibri" w:hAnsi="Calibri"/>
                <w:color w:val="000000"/>
              </w:rPr>
              <w:t xml:space="preserve"> </w:t>
            </w:r>
            <w:r w:rsidRPr="004027BE">
              <w:rPr>
                <w:rFonts w:ascii="Calibri" w:hAnsi="Calibri"/>
                <w:color w:val="000000"/>
              </w:rPr>
              <w:t>/</w:t>
            </w:r>
            <w:r w:rsidR="00FA2EA0">
              <w:rPr>
                <w:rFonts w:ascii="Calibri" w:hAnsi="Calibri"/>
                <w:color w:val="000000"/>
              </w:rPr>
              <w:t xml:space="preserve"> </w:t>
            </w:r>
            <w:r w:rsidRPr="004027BE">
              <w:rPr>
                <w:rFonts w:ascii="Calibri" w:hAnsi="Calibri"/>
                <w:color w:val="000000"/>
              </w:rPr>
              <w:t>Eficientizare energetică cabinete medicale Grigore Moisi</w:t>
            </w:r>
            <w:r>
              <w:rPr>
                <w:rFonts w:ascii="Calibri" w:hAnsi="Calibri"/>
                <w:color w:val="000000"/>
              </w:rPr>
              <w:t>l</w:t>
            </w:r>
          </w:p>
        </w:tc>
        <w:tc>
          <w:tcPr>
            <w:tcW w:w="640" w:type="pct"/>
            <w:shd w:val="clear" w:color="auto" w:fill="F2F2F2"/>
          </w:tcPr>
          <w:p w14:paraId="304D5DCF"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tcPr>
          <w:p w14:paraId="2314969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tcPr>
          <w:p w14:paraId="67E1976F"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547B7E33"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20A5548E" w14:textId="77777777" w:rsidR="00395D01" w:rsidRPr="00912996" w:rsidRDefault="00395D01" w:rsidP="00292396">
            <w:pPr>
              <w:rPr>
                <w:rFonts w:ascii="Calibri" w:hAnsi="Calibri"/>
                <w:bCs/>
                <w:lang w:eastAsia="ja-JP"/>
              </w:rPr>
            </w:pPr>
            <w:r>
              <w:rPr>
                <w:rFonts w:ascii="Calibri" w:hAnsi="Calibri"/>
                <w:bCs/>
                <w:lang w:eastAsia="ja-JP"/>
              </w:rPr>
              <w:t>2023 - 2027</w:t>
            </w:r>
          </w:p>
        </w:tc>
        <w:tc>
          <w:tcPr>
            <w:tcW w:w="484" w:type="pct"/>
            <w:gridSpan w:val="2"/>
            <w:shd w:val="clear" w:color="auto" w:fill="F2F2F2"/>
          </w:tcPr>
          <w:p w14:paraId="01A97FE4" w14:textId="77777777" w:rsidR="00395D01" w:rsidRPr="00912996" w:rsidRDefault="00395D01" w:rsidP="00292396">
            <w:pPr>
              <w:rPr>
                <w:rFonts w:ascii="Calibri" w:hAnsi="Calibri"/>
                <w:bCs/>
                <w:lang w:eastAsia="ja-JP"/>
              </w:rPr>
            </w:pPr>
            <w:r w:rsidRPr="00912996">
              <w:rPr>
                <w:rFonts w:ascii="Calibri" w:hAnsi="Calibri"/>
                <w:bCs/>
                <w:lang w:eastAsia="ja-JP"/>
              </w:rPr>
              <w:t>PNRR C5, C12, Bugetul local, Alte surse de finanțare</w:t>
            </w:r>
          </w:p>
        </w:tc>
        <w:tc>
          <w:tcPr>
            <w:tcW w:w="433" w:type="pct"/>
            <w:shd w:val="clear" w:color="auto" w:fill="F2F2F2"/>
          </w:tcPr>
          <w:p w14:paraId="5E9BF90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tcPr>
          <w:p w14:paraId="20AEAD3D" w14:textId="77777777" w:rsidR="00395D01" w:rsidRPr="00912996" w:rsidRDefault="00395D01" w:rsidP="00292396">
            <w:pPr>
              <w:rPr>
                <w:rFonts w:ascii="Calibri" w:hAnsi="Calibri"/>
                <w:bCs/>
                <w:lang w:eastAsia="ja-JP"/>
              </w:rPr>
            </w:pPr>
            <w:r>
              <w:rPr>
                <w:rFonts w:ascii="Calibri" w:hAnsi="Calibri"/>
                <w:bCs/>
                <w:lang w:eastAsia="ja-JP"/>
              </w:rPr>
              <w:t>PS2</w:t>
            </w:r>
          </w:p>
        </w:tc>
      </w:tr>
      <w:tr w:rsidR="00395D01" w:rsidRPr="00912996" w14:paraId="51F0800F" w14:textId="77777777" w:rsidTr="00292396">
        <w:trPr>
          <w:trHeight w:val="264"/>
        </w:trPr>
        <w:tc>
          <w:tcPr>
            <w:tcW w:w="5000" w:type="pct"/>
            <w:gridSpan w:val="12"/>
            <w:shd w:val="clear" w:color="auto" w:fill="CCE188"/>
            <w:noWrap/>
            <w:hideMark/>
          </w:tcPr>
          <w:p w14:paraId="62758808" w14:textId="77777777" w:rsidR="00395D01" w:rsidRPr="00912996" w:rsidRDefault="00395D01" w:rsidP="00627232">
            <w:pPr>
              <w:jc w:val="center"/>
              <w:rPr>
                <w:rFonts w:ascii="Calibri" w:hAnsi="Calibri"/>
                <w:b/>
                <w:bCs/>
                <w:lang w:eastAsia="ja-JP"/>
              </w:rPr>
            </w:pPr>
            <w:r w:rsidRPr="00912996">
              <w:rPr>
                <w:rFonts w:ascii="Calibri" w:hAnsi="Calibri"/>
                <w:b/>
                <w:bCs/>
                <w:color w:val="FFFFFF"/>
                <w:lang w:eastAsia="ja-JP"/>
              </w:rPr>
              <w:t>OBIECTIV SPECIFIC O1.7. - Diversificarea serviciilor sociale și îmbunătățirea calității acestora în vederea creșterii accesului populației, în special al persoanelor vulnerabile, la măsuri și soluții pentru îmbunătățirea condițiilor de trai și oportunități pentru o viață decentă</w:t>
            </w:r>
          </w:p>
        </w:tc>
      </w:tr>
      <w:tr w:rsidR="00395D01" w:rsidRPr="00912996" w14:paraId="12DAAF55" w14:textId="77777777" w:rsidTr="00292396">
        <w:trPr>
          <w:trHeight w:val="264"/>
        </w:trPr>
        <w:tc>
          <w:tcPr>
            <w:tcW w:w="5000" w:type="pct"/>
            <w:gridSpan w:val="12"/>
            <w:shd w:val="clear" w:color="auto" w:fill="BBD9A0"/>
            <w:noWrap/>
            <w:hideMark/>
          </w:tcPr>
          <w:p w14:paraId="126DA189" w14:textId="77777777" w:rsidR="00395D01" w:rsidRPr="00912996" w:rsidRDefault="00395D01" w:rsidP="00627232">
            <w:pPr>
              <w:jc w:val="center"/>
              <w:rPr>
                <w:rFonts w:ascii="Calibri" w:hAnsi="Calibri"/>
                <w:b/>
                <w:bCs/>
                <w:lang w:eastAsia="ja-JP"/>
              </w:rPr>
            </w:pPr>
            <w:r w:rsidRPr="00912996">
              <w:rPr>
                <w:rFonts w:ascii="Calibri" w:hAnsi="Calibri"/>
                <w:b/>
                <w:bCs/>
                <w:color w:val="FFFFFF"/>
                <w:lang w:eastAsia="ja-JP"/>
              </w:rPr>
              <w:t>D1.7.1. Îmbunătățirea serviciilor sociale prin modernizarea și dotarea infrastructurii, creșterea acoperirii teritoriale, îmbunătățirea competențelor personalului</w:t>
            </w:r>
          </w:p>
        </w:tc>
      </w:tr>
      <w:tr w:rsidR="00E16711" w:rsidRPr="00912996" w14:paraId="230E8804" w14:textId="77777777" w:rsidTr="007C78FE">
        <w:trPr>
          <w:trHeight w:val="984"/>
        </w:trPr>
        <w:tc>
          <w:tcPr>
            <w:tcW w:w="205" w:type="pct"/>
            <w:shd w:val="clear" w:color="auto" w:fill="F2F2F2"/>
            <w:noWrap/>
            <w:hideMark/>
          </w:tcPr>
          <w:p w14:paraId="6A8509F2"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0CDB805A" w14:textId="77777777" w:rsidR="00395D01" w:rsidRPr="00912996" w:rsidRDefault="00395D01" w:rsidP="00292396">
            <w:pPr>
              <w:rPr>
                <w:rFonts w:ascii="Calibri" w:hAnsi="Calibri"/>
                <w:bCs/>
                <w:lang w:eastAsia="ja-JP"/>
              </w:rPr>
            </w:pPr>
            <w:r w:rsidRPr="00912996">
              <w:rPr>
                <w:rFonts w:ascii="Calibri" w:hAnsi="Calibri"/>
                <w:bCs/>
                <w:lang w:eastAsia="ja-JP"/>
              </w:rPr>
              <w:t>Proiect complex de realizare a unui studiu la nivelul Sectorului 2 pentru identificarea situației și a nevoilor persoanelor vârstnice și cu dizabilități, informare si consultare a comunității cu privire la crearea serviciilor de îmbătrânire activă  și crearea de locuri de muncă protejate pentru persoanele de peste 50 de ani in cadrul structurilor de economie socială</w:t>
            </w:r>
          </w:p>
        </w:tc>
        <w:tc>
          <w:tcPr>
            <w:tcW w:w="640" w:type="pct"/>
            <w:shd w:val="clear" w:color="auto" w:fill="F2F2F2"/>
            <w:hideMark/>
          </w:tcPr>
          <w:p w14:paraId="5BD7C4B3" w14:textId="77777777" w:rsidR="00395D01" w:rsidRPr="00912996" w:rsidRDefault="00395D01" w:rsidP="00292396">
            <w:pPr>
              <w:rPr>
                <w:rFonts w:ascii="Calibri" w:hAnsi="Calibri"/>
                <w:bCs/>
                <w:lang w:eastAsia="ja-JP"/>
              </w:rPr>
            </w:pPr>
            <w:r w:rsidRPr="00912996">
              <w:rPr>
                <w:rFonts w:ascii="Calibri" w:hAnsi="Calibri"/>
                <w:bCs/>
                <w:lang w:eastAsia="ja-JP"/>
              </w:rPr>
              <w:t>PS2, DGASPC S2, ALOFM S2</w:t>
            </w:r>
          </w:p>
        </w:tc>
        <w:tc>
          <w:tcPr>
            <w:tcW w:w="507" w:type="pct"/>
            <w:shd w:val="clear" w:color="auto" w:fill="F2F2F2"/>
            <w:hideMark/>
          </w:tcPr>
          <w:p w14:paraId="7FA1F63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36FB177"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6EF7E417"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36F63999"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F0C6426" w14:textId="77777777" w:rsidR="00395D01" w:rsidRPr="00912996" w:rsidRDefault="00395D01" w:rsidP="00292396">
            <w:pPr>
              <w:rPr>
                <w:rFonts w:ascii="Calibri" w:hAnsi="Calibri"/>
                <w:bCs/>
                <w:lang w:eastAsia="ja-JP"/>
              </w:rPr>
            </w:pPr>
            <w:r w:rsidRPr="00912996">
              <w:rPr>
                <w:rFonts w:ascii="Calibri" w:hAnsi="Calibri"/>
                <w:bCs/>
                <w:lang w:eastAsia="ja-JP"/>
              </w:rPr>
              <w:t>POIDS P6, Bugetul local, Alte surse de finanțare</w:t>
            </w:r>
          </w:p>
        </w:tc>
        <w:tc>
          <w:tcPr>
            <w:tcW w:w="433" w:type="pct"/>
            <w:shd w:val="clear" w:color="auto" w:fill="F2F2F2"/>
            <w:hideMark/>
          </w:tcPr>
          <w:p w14:paraId="396AB6C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DF3F51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4E8CB03" w14:textId="77777777" w:rsidTr="00E16711">
        <w:trPr>
          <w:trHeight w:val="528"/>
        </w:trPr>
        <w:tc>
          <w:tcPr>
            <w:tcW w:w="205" w:type="pct"/>
            <w:shd w:val="clear" w:color="auto" w:fill="F2F2F2"/>
            <w:noWrap/>
            <w:hideMark/>
          </w:tcPr>
          <w:p w14:paraId="7F84C350"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2345C74E" w14:textId="77777777" w:rsidR="00395D01" w:rsidRPr="00912996" w:rsidRDefault="00395D01" w:rsidP="00292396">
            <w:pPr>
              <w:rPr>
                <w:rFonts w:ascii="Calibri" w:hAnsi="Calibri"/>
                <w:bCs/>
                <w:lang w:eastAsia="ja-JP"/>
              </w:rPr>
            </w:pPr>
            <w:r w:rsidRPr="00912996">
              <w:rPr>
                <w:rFonts w:ascii="Calibri" w:hAnsi="Calibri"/>
                <w:bCs/>
                <w:lang w:eastAsia="ja-JP"/>
              </w:rPr>
              <w:t>Extinderea, consolidarea și modernizarea C.I.A. Nr.2</w:t>
            </w:r>
          </w:p>
        </w:tc>
        <w:tc>
          <w:tcPr>
            <w:tcW w:w="640" w:type="pct"/>
            <w:shd w:val="clear" w:color="auto" w:fill="F2F2F2"/>
            <w:hideMark/>
          </w:tcPr>
          <w:p w14:paraId="46FBBCE6"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428A9AEC" w14:textId="77777777" w:rsidR="00395D01" w:rsidRPr="00912996" w:rsidRDefault="00395D01" w:rsidP="00292396">
            <w:pPr>
              <w:rPr>
                <w:rFonts w:ascii="Calibri" w:hAnsi="Calibri"/>
                <w:bCs/>
                <w:lang w:eastAsia="ja-JP"/>
              </w:rPr>
            </w:pPr>
            <w:r w:rsidRPr="00912996">
              <w:rPr>
                <w:rFonts w:ascii="Calibri" w:hAnsi="Calibri"/>
                <w:bCs/>
                <w:lang w:eastAsia="ja-JP"/>
              </w:rPr>
              <w:t>PT</w:t>
            </w:r>
          </w:p>
        </w:tc>
        <w:tc>
          <w:tcPr>
            <w:tcW w:w="473" w:type="pct"/>
            <w:shd w:val="clear" w:color="auto" w:fill="F2F2F2"/>
            <w:hideMark/>
          </w:tcPr>
          <w:p w14:paraId="5A6621A1"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1B250BC9" w14:textId="77777777" w:rsidR="00395D01" w:rsidRPr="00912996" w:rsidRDefault="00395D01" w:rsidP="00292396">
            <w:pPr>
              <w:rPr>
                <w:rFonts w:ascii="Calibri" w:hAnsi="Calibri"/>
                <w:bCs/>
                <w:lang w:eastAsia="ja-JP"/>
              </w:rPr>
            </w:pPr>
            <w:r w:rsidRPr="00912996">
              <w:rPr>
                <w:rFonts w:ascii="Calibri" w:hAnsi="Calibri"/>
                <w:bCs/>
                <w:lang w:eastAsia="ja-JP"/>
              </w:rPr>
              <w:t>450,000</w:t>
            </w:r>
          </w:p>
        </w:tc>
        <w:tc>
          <w:tcPr>
            <w:tcW w:w="347" w:type="pct"/>
            <w:shd w:val="clear" w:color="auto" w:fill="F2F2F2"/>
            <w:hideMark/>
          </w:tcPr>
          <w:p w14:paraId="7741DFE1"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3536ADFB" w14:textId="77777777" w:rsidR="00395D01" w:rsidRPr="00912996" w:rsidRDefault="00395D01" w:rsidP="00292396">
            <w:pPr>
              <w:rPr>
                <w:rFonts w:ascii="Calibri" w:hAnsi="Calibri"/>
                <w:bCs/>
                <w:lang w:eastAsia="ja-JP"/>
              </w:rPr>
            </w:pPr>
            <w:r w:rsidRPr="00912996">
              <w:rPr>
                <w:rFonts w:ascii="Calibri" w:hAnsi="Calibri"/>
                <w:bCs/>
                <w:lang w:eastAsia="ja-JP"/>
              </w:rPr>
              <w:t>Grant-uri, Bugetul local, Alte surse de finanțare</w:t>
            </w:r>
          </w:p>
        </w:tc>
        <w:tc>
          <w:tcPr>
            <w:tcW w:w="433" w:type="pct"/>
            <w:shd w:val="clear" w:color="auto" w:fill="F2F2F2"/>
            <w:hideMark/>
          </w:tcPr>
          <w:p w14:paraId="0DBD37C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F1071C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018400FD" w14:textId="77777777" w:rsidTr="00E16711">
        <w:trPr>
          <w:trHeight w:val="528"/>
        </w:trPr>
        <w:tc>
          <w:tcPr>
            <w:tcW w:w="205" w:type="pct"/>
            <w:shd w:val="clear" w:color="auto" w:fill="F2F2F2"/>
            <w:noWrap/>
            <w:hideMark/>
          </w:tcPr>
          <w:p w14:paraId="11C0FA06"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33447A0B" w14:textId="77777777" w:rsidR="00395D01" w:rsidRPr="00912996" w:rsidRDefault="00395D01" w:rsidP="00292396">
            <w:pPr>
              <w:rPr>
                <w:rFonts w:ascii="Calibri" w:hAnsi="Calibri"/>
                <w:bCs/>
                <w:lang w:eastAsia="ja-JP"/>
              </w:rPr>
            </w:pPr>
            <w:r w:rsidRPr="00912996">
              <w:rPr>
                <w:rFonts w:ascii="Calibri" w:hAnsi="Calibri"/>
                <w:bCs/>
                <w:lang w:eastAsia="ja-JP"/>
              </w:rPr>
              <w:t>Modernizare C.R.P.V. “Speranța”</w:t>
            </w:r>
          </w:p>
        </w:tc>
        <w:tc>
          <w:tcPr>
            <w:tcW w:w="640" w:type="pct"/>
            <w:shd w:val="clear" w:color="auto" w:fill="F2F2F2"/>
            <w:hideMark/>
          </w:tcPr>
          <w:p w14:paraId="650AC4DF"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692F86C9" w14:textId="77777777" w:rsidR="00395D01" w:rsidRPr="00912996" w:rsidRDefault="00395D01" w:rsidP="00292396">
            <w:pPr>
              <w:rPr>
                <w:rFonts w:ascii="Calibri" w:hAnsi="Calibri"/>
                <w:bCs/>
                <w:lang w:eastAsia="ja-JP"/>
              </w:rPr>
            </w:pPr>
            <w:r w:rsidRPr="00912996">
              <w:rPr>
                <w:rFonts w:ascii="Calibri" w:hAnsi="Calibri"/>
                <w:bCs/>
                <w:lang w:eastAsia="ja-JP"/>
              </w:rPr>
              <w:t>DALI</w:t>
            </w:r>
          </w:p>
        </w:tc>
        <w:tc>
          <w:tcPr>
            <w:tcW w:w="473" w:type="pct"/>
            <w:shd w:val="clear" w:color="auto" w:fill="F2F2F2"/>
            <w:hideMark/>
          </w:tcPr>
          <w:p w14:paraId="5F52BCD0"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411" w:type="pct"/>
            <w:shd w:val="clear" w:color="auto" w:fill="F2F2F2"/>
            <w:hideMark/>
          </w:tcPr>
          <w:p w14:paraId="042251B5" w14:textId="77777777" w:rsidR="00395D01" w:rsidRPr="00912996" w:rsidRDefault="00395D01" w:rsidP="00292396">
            <w:pPr>
              <w:rPr>
                <w:rFonts w:ascii="Calibri" w:hAnsi="Calibri"/>
                <w:bCs/>
                <w:lang w:eastAsia="ja-JP"/>
              </w:rPr>
            </w:pPr>
            <w:r w:rsidRPr="00912996">
              <w:rPr>
                <w:rFonts w:ascii="Calibri" w:hAnsi="Calibri"/>
                <w:bCs/>
                <w:lang w:eastAsia="ja-JP"/>
              </w:rPr>
              <w:t>450,000</w:t>
            </w:r>
          </w:p>
        </w:tc>
        <w:tc>
          <w:tcPr>
            <w:tcW w:w="347" w:type="pct"/>
            <w:shd w:val="clear" w:color="auto" w:fill="F2F2F2"/>
            <w:hideMark/>
          </w:tcPr>
          <w:p w14:paraId="33A52D93" w14:textId="77777777" w:rsidR="00395D01" w:rsidRPr="00912996" w:rsidRDefault="00395D01" w:rsidP="0029239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-2024</w:t>
            </w:r>
          </w:p>
        </w:tc>
        <w:tc>
          <w:tcPr>
            <w:tcW w:w="484" w:type="pct"/>
            <w:gridSpan w:val="2"/>
            <w:shd w:val="clear" w:color="auto" w:fill="F2F2F2"/>
            <w:hideMark/>
          </w:tcPr>
          <w:p w14:paraId="62D2294E" w14:textId="77777777" w:rsidR="00395D01" w:rsidRPr="00912996" w:rsidRDefault="00395D01" w:rsidP="00292396">
            <w:pPr>
              <w:rPr>
                <w:rFonts w:ascii="Calibri" w:hAnsi="Calibri"/>
                <w:bCs/>
                <w:lang w:eastAsia="ja-JP"/>
              </w:rPr>
            </w:pPr>
            <w:r w:rsidRPr="00912996">
              <w:rPr>
                <w:rFonts w:ascii="Calibri" w:hAnsi="Calibri"/>
                <w:bCs/>
                <w:lang w:eastAsia="ja-JP"/>
              </w:rPr>
              <w:t>Grant-uri, Bugetul local, Alte surse de finanțare</w:t>
            </w:r>
          </w:p>
        </w:tc>
        <w:tc>
          <w:tcPr>
            <w:tcW w:w="433" w:type="pct"/>
            <w:shd w:val="clear" w:color="auto" w:fill="F2F2F2"/>
            <w:hideMark/>
          </w:tcPr>
          <w:p w14:paraId="33878B6D"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1FC9243"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B2E7BBF" w14:textId="77777777" w:rsidTr="00E16711">
        <w:trPr>
          <w:trHeight w:val="792"/>
        </w:trPr>
        <w:tc>
          <w:tcPr>
            <w:tcW w:w="205" w:type="pct"/>
            <w:shd w:val="clear" w:color="auto" w:fill="F2F2F2"/>
            <w:noWrap/>
            <w:hideMark/>
          </w:tcPr>
          <w:p w14:paraId="4026AC12"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26A4174B" w14:textId="77777777" w:rsidR="00395D01" w:rsidRPr="00912996" w:rsidRDefault="00395D01" w:rsidP="00292396">
            <w:pPr>
              <w:rPr>
                <w:rFonts w:ascii="Calibri" w:hAnsi="Calibri"/>
                <w:bCs/>
                <w:lang w:eastAsia="ja-JP"/>
              </w:rPr>
            </w:pPr>
            <w:r w:rsidRPr="00912996">
              <w:rPr>
                <w:rFonts w:ascii="Calibri" w:hAnsi="Calibri"/>
                <w:bCs/>
                <w:lang w:eastAsia="ja-JP"/>
              </w:rPr>
              <w:t>Reabilitarea și modernizarea unităților rezidențiale de tip familial și a unei case de tip familial</w:t>
            </w:r>
          </w:p>
        </w:tc>
        <w:tc>
          <w:tcPr>
            <w:tcW w:w="640" w:type="pct"/>
            <w:shd w:val="clear" w:color="auto" w:fill="F2F2F2"/>
            <w:hideMark/>
          </w:tcPr>
          <w:p w14:paraId="001E54A4"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26A1DA7E"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2A47CF1F" w14:textId="77777777" w:rsidR="00395D01" w:rsidRPr="00912996" w:rsidRDefault="00395D01" w:rsidP="00292396">
            <w:pPr>
              <w:rPr>
                <w:rFonts w:ascii="Calibri" w:hAnsi="Calibri"/>
                <w:bCs/>
                <w:lang w:eastAsia="ja-JP"/>
              </w:rPr>
            </w:pPr>
            <w:r w:rsidRPr="00912996">
              <w:rPr>
                <w:rFonts w:ascii="Calibri" w:hAnsi="Calibri"/>
                <w:bCs/>
                <w:lang w:eastAsia="ja-JP"/>
              </w:rPr>
              <w:t>4,430,000</w:t>
            </w:r>
          </w:p>
        </w:tc>
        <w:tc>
          <w:tcPr>
            <w:tcW w:w="411" w:type="pct"/>
            <w:shd w:val="clear" w:color="auto" w:fill="F2F2F2"/>
            <w:hideMark/>
          </w:tcPr>
          <w:p w14:paraId="1FE194BB" w14:textId="77777777" w:rsidR="00395D01" w:rsidRPr="00912996" w:rsidRDefault="00395D01" w:rsidP="00292396">
            <w:pPr>
              <w:rPr>
                <w:rFonts w:ascii="Calibri" w:hAnsi="Calibri"/>
                <w:bCs/>
                <w:lang w:eastAsia="ja-JP"/>
              </w:rPr>
            </w:pPr>
            <w:r w:rsidRPr="00912996">
              <w:rPr>
                <w:rFonts w:ascii="Calibri" w:hAnsi="Calibri"/>
                <w:bCs/>
                <w:lang w:eastAsia="ja-JP"/>
              </w:rPr>
              <w:t>904,082</w:t>
            </w:r>
          </w:p>
        </w:tc>
        <w:tc>
          <w:tcPr>
            <w:tcW w:w="347" w:type="pct"/>
            <w:shd w:val="clear" w:color="auto" w:fill="F2F2F2"/>
            <w:hideMark/>
          </w:tcPr>
          <w:p w14:paraId="2C1393D0"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061A7027" w14:textId="77777777" w:rsidR="00395D01" w:rsidRPr="00912996" w:rsidRDefault="00395D01" w:rsidP="00292396">
            <w:pPr>
              <w:rPr>
                <w:rFonts w:ascii="Calibri" w:hAnsi="Calibri"/>
                <w:bCs/>
                <w:lang w:eastAsia="ja-JP"/>
              </w:rPr>
            </w:pPr>
            <w:r w:rsidRPr="00912996">
              <w:rPr>
                <w:rFonts w:ascii="Calibri" w:hAnsi="Calibri"/>
                <w:bCs/>
                <w:lang w:eastAsia="ja-JP"/>
              </w:rPr>
              <w:t>Grant-uri, Bugetul local, Alte surse de finanțare</w:t>
            </w:r>
          </w:p>
        </w:tc>
        <w:tc>
          <w:tcPr>
            <w:tcW w:w="433" w:type="pct"/>
            <w:shd w:val="clear" w:color="auto" w:fill="F2F2F2"/>
            <w:hideMark/>
          </w:tcPr>
          <w:p w14:paraId="3F4D36A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035634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CE6EE6A" w14:textId="77777777" w:rsidTr="00E16711">
        <w:trPr>
          <w:trHeight w:val="1320"/>
        </w:trPr>
        <w:tc>
          <w:tcPr>
            <w:tcW w:w="205" w:type="pct"/>
            <w:shd w:val="clear" w:color="auto" w:fill="F2F2F2"/>
            <w:noWrap/>
            <w:hideMark/>
          </w:tcPr>
          <w:p w14:paraId="714E503C"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646905C1" w14:textId="77777777" w:rsidR="00395D01" w:rsidRPr="00912996" w:rsidRDefault="00395D01" w:rsidP="00292396">
            <w:pPr>
              <w:rPr>
                <w:rFonts w:ascii="Calibri" w:hAnsi="Calibri"/>
                <w:bCs/>
                <w:lang w:eastAsia="ja-JP"/>
              </w:rPr>
            </w:pPr>
            <w:r w:rsidRPr="00912996">
              <w:rPr>
                <w:rFonts w:ascii="Calibri" w:hAnsi="Calibri"/>
                <w:bCs/>
                <w:lang w:eastAsia="ja-JP"/>
              </w:rPr>
              <w:t>Reabilitarea, modernizarea și dotarea centrului de servicii pentru copii cu Handicap din Str. Traian nr. 144</w:t>
            </w:r>
          </w:p>
        </w:tc>
        <w:tc>
          <w:tcPr>
            <w:tcW w:w="640" w:type="pct"/>
            <w:shd w:val="clear" w:color="auto" w:fill="F2F2F2"/>
            <w:hideMark/>
          </w:tcPr>
          <w:p w14:paraId="2C0EB5F9"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4B67EAC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CA6752F" w14:textId="77777777" w:rsidR="00395D01" w:rsidRPr="00912996" w:rsidRDefault="00395D01" w:rsidP="00292396">
            <w:pPr>
              <w:rPr>
                <w:rFonts w:ascii="Calibri" w:hAnsi="Calibri"/>
                <w:bCs/>
                <w:lang w:eastAsia="ja-JP"/>
              </w:rPr>
            </w:pPr>
            <w:r w:rsidRPr="00912996">
              <w:rPr>
                <w:rFonts w:ascii="Calibri" w:hAnsi="Calibri"/>
                <w:bCs/>
                <w:lang w:eastAsia="ja-JP"/>
              </w:rPr>
              <w:t>4,430,000</w:t>
            </w:r>
          </w:p>
        </w:tc>
        <w:tc>
          <w:tcPr>
            <w:tcW w:w="411" w:type="pct"/>
            <w:shd w:val="clear" w:color="auto" w:fill="F2F2F2"/>
            <w:hideMark/>
          </w:tcPr>
          <w:p w14:paraId="48EA8250" w14:textId="77777777" w:rsidR="00395D01" w:rsidRPr="00912996" w:rsidRDefault="00395D01" w:rsidP="00292396">
            <w:pPr>
              <w:rPr>
                <w:rFonts w:ascii="Calibri" w:hAnsi="Calibri"/>
                <w:bCs/>
                <w:lang w:eastAsia="ja-JP"/>
              </w:rPr>
            </w:pPr>
            <w:r w:rsidRPr="00912996">
              <w:rPr>
                <w:rFonts w:ascii="Calibri" w:hAnsi="Calibri"/>
                <w:bCs/>
                <w:lang w:eastAsia="ja-JP"/>
              </w:rPr>
              <w:t>904,082</w:t>
            </w:r>
          </w:p>
        </w:tc>
        <w:tc>
          <w:tcPr>
            <w:tcW w:w="347" w:type="pct"/>
            <w:shd w:val="clear" w:color="auto" w:fill="F2F2F2"/>
            <w:hideMark/>
          </w:tcPr>
          <w:p w14:paraId="679602D0"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00F6D7E8" w14:textId="77777777" w:rsidR="00395D01" w:rsidRPr="00912996" w:rsidRDefault="00395D01" w:rsidP="00292396">
            <w:pPr>
              <w:rPr>
                <w:rFonts w:ascii="Calibri" w:hAnsi="Calibri"/>
                <w:bCs/>
                <w:lang w:eastAsia="ja-JP"/>
              </w:rPr>
            </w:pPr>
            <w:r w:rsidRPr="00912996">
              <w:rPr>
                <w:rFonts w:ascii="Calibri" w:hAnsi="Calibri"/>
                <w:bCs/>
                <w:lang w:eastAsia="ja-JP"/>
              </w:rPr>
              <w:t>PNRR C5, POR BI 2021 - 2027 P3, POIDS P5, Bugetul local, Alte surse de finanțare</w:t>
            </w:r>
          </w:p>
        </w:tc>
        <w:tc>
          <w:tcPr>
            <w:tcW w:w="433" w:type="pct"/>
            <w:shd w:val="clear" w:color="auto" w:fill="F2F2F2"/>
            <w:hideMark/>
          </w:tcPr>
          <w:p w14:paraId="18C599C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FAA21F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A6E7209" w14:textId="77777777" w:rsidTr="00E16711">
        <w:trPr>
          <w:trHeight w:val="1056"/>
        </w:trPr>
        <w:tc>
          <w:tcPr>
            <w:tcW w:w="205" w:type="pct"/>
            <w:shd w:val="clear" w:color="auto" w:fill="F2F2F2"/>
            <w:noWrap/>
            <w:hideMark/>
          </w:tcPr>
          <w:p w14:paraId="725558B5"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4F390FDD" w14:textId="77777777" w:rsidR="00395D01" w:rsidRPr="00912996" w:rsidRDefault="00395D01" w:rsidP="00292396">
            <w:pPr>
              <w:rPr>
                <w:rFonts w:ascii="Calibri" w:hAnsi="Calibri"/>
                <w:bCs/>
                <w:lang w:eastAsia="ja-JP"/>
              </w:rPr>
            </w:pPr>
            <w:r w:rsidRPr="00912996">
              <w:rPr>
                <w:rFonts w:ascii="Calibri" w:hAnsi="Calibri"/>
                <w:bCs/>
                <w:lang w:eastAsia="ja-JP"/>
              </w:rPr>
              <w:t>Extinderea, modernizarea și reabilitarea Centrului Pilot de Protecție a Copilului Victimă a Traficului de Ființe Umane Gavroche</w:t>
            </w:r>
          </w:p>
        </w:tc>
        <w:tc>
          <w:tcPr>
            <w:tcW w:w="640" w:type="pct"/>
            <w:shd w:val="clear" w:color="auto" w:fill="F2F2F2"/>
            <w:hideMark/>
          </w:tcPr>
          <w:p w14:paraId="5B2271B7"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537170E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205AF61" w14:textId="77777777" w:rsidR="00395D01" w:rsidRPr="00912996" w:rsidRDefault="00395D01" w:rsidP="00292396">
            <w:pPr>
              <w:rPr>
                <w:rFonts w:ascii="Calibri" w:hAnsi="Calibri"/>
                <w:bCs/>
                <w:lang w:eastAsia="ja-JP"/>
              </w:rPr>
            </w:pPr>
            <w:r w:rsidRPr="00912996">
              <w:rPr>
                <w:rFonts w:ascii="Calibri" w:hAnsi="Calibri"/>
                <w:bCs/>
                <w:lang w:eastAsia="ja-JP"/>
              </w:rPr>
              <w:t>4,430,000</w:t>
            </w:r>
          </w:p>
        </w:tc>
        <w:tc>
          <w:tcPr>
            <w:tcW w:w="411" w:type="pct"/>
            <w:shd w:val="clear" w:color="auto" w:fill="F2F2F2"/>
            <w:hideMark/>
          </w:tcPr>
          <w:p w14:paraId="6F25E511" w14:textId="77777777" w:rsidR="00395D01" w:rsidRPr="00912996" w:rsidRDefault="00395D01" w:rsidP="00292396">
            <w:pPr>
              <w:rPr>
                <w:rFonts w:ascii="Calibri" w:hAnsi="Calibri"/>
                <w:bCs/>
                <w:lang w:eastAsia="ja-JP"/>
              </w:rPr>
            </w:pPr>
            <w:r w:rsidRPr="00912996">
              <w:rPr>
                <w:rFonts w:ascii="Calibri" w:hAnsi="Calibri"/>
                <w:bCs/>
                <w:lang w:eastAsia="ja-JP"/>
              </w:rPr>
              <w:t>904,082</w:t>
            </w:r>
          </w:p>
        </w:tc>
        <w:tc>
          <w:tcPr>
            <w:tcW w:w="347" w:type="pct"/>
            <w:shd w:val="clear" w:color="auto" w:fill="F2F2F2"/>
            <w:hideMark/>
          </w:tcPr>
          <w:p w14:paraId="1BD1AC4C"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55CBA178" w14:textId="77777777" w:rsidR="00395D01" w:rsidRPr="00912996" w:rsidRDefault="00395D01" w:rsidP="00292396">
            <w:pPr>
              <w:rPr>
                <w:rFonts w:ascii="Calibri" w:hAnsi="Calibri"/>
                <w:bCs/>
                <w:lang w:eastAsia="ja-JP"/>
              </w:rPr>
            </w:pPr>
            <w:r w:rsidRPr="00912996">
              <w:rPr>
                <w:rFonts w:ascii="Calibri" w:hAnsi="Calibri"/>
                <w:bCs/>
                <w:lang w:eastAsia="ja-JP"/>
              </w:rPr>
              <w:t>PNRR C5, POR BI 2021 - 2027 P3, Bugetul local, Alte surse de finanțare</w:t>
            </w:r>
          </w:p>
        </w:tc>
        <w:tc>
          <w:tcPr>
            <w:tcW w:w="433" w:type="pct"/>
            <w:shd w:val="clear" w:color="auto" w:fill="F2F2F2"/>
            <w:hideMark/>
          </w:tcPr>
          <w:p w14:paraId="7FFE6BD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E7BB22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CDF372A" w14:textId="77777777" w:rsidTr="00E16711">
        <w:trPr>
          <w:trHeight w:val="1320"/>
        </w:trPr>
        <w:tc>
          <w:tcPr>
            <w:tcW w:w="205" w:type="pct"/>
            <w:shd w:val="clear" w:color="auto" w:fill="F2F2F2"/>
            <w:noWrap/>
            <w:hideMark/>
          </w:tcPr>
          <w:p w14:paraId="0A19A461"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14C3E04D" w14:textId="77777777" w:rsidR="00395D01" w:rsidRPr="00912996" w:rsidRDefault="00395D01" w:rsidP="00292396">
            <w:pPr>
              <w:rPr>
                <w:rFonts w:ascii="Calibri" w:hAnsi="Calibri"/>
                <w:bCs/>
                <w:lang w:eastAsia="ja-JP"/>
              </w:rPr>
            </w:pPr>
            <w:r w:rsidRPr="00912996">
              <w:rPr>
                <w:rFonts w:ascii="Calibri" w:hAnsi="Calibri"/>
                <w:bCs/>
                <w:lang w:eastAsia="ja-JP"/>
              </w:rPr>
              <w:t>Proiect complex de creșterea competențelor autorităților publice locale în dezvoltarea serviciilor sociale și de economie socială în comunitate prin formarea de personal și schimb de experiență internațional</w:t>
            </w:r>
          </w:p>
        </w:tc>
        <w:tc>
          <w:tcPr>
            <w:tcW w:w="640" w:type="pct"/>
            <w:shd w:val="clear" w:color="auto" w:fill="F2F2F2"/>
            <w:hideMark/>
          </w:tcPr>
          <w:p w14:paraId="3980B341"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196990D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1E5715B" w14:textId="77777777" w:rsidR="00395D01" w:rsidRPr="00912996" w:rsidRDefault="00395D01" w:rsidP="00292396">
            <w:pPr>
              <w:rPr>
                <w:rFonts w:ascii="Calibri" w:hAnsi="Calibri"/>
                <w:bCs/>
                <w:lang w:eastAsia="ja-JP"/>
              </w:rPr>
            </w:pPr>
            <w:r w:rsidRPr="00912996">
              <w:rPr>
                <w:rFonts w:ascii="Calibri" w:hAnsi="Calibri"/>
                <w:bCs/>
                <w:lang w:eastAsia="ja-JP"/>
              </w:rPr>
              <w:t>367,500</w:t>
            </w:r>
          </w:p>
        </w:tc>
        <w:tc>
          <w:tcPr>
            <w:tcW w:w="411" w:type="pct"/>
            <w:shd w:val="clear" w:color="auto" w:fill="F2F2F2"/>
            <w:hideMark/>
          </w:tcPr>
          <w:p w14:paraId="5A3A51DA"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0A62EEF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0765140"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2617BDB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7D621E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7485B98" w14:textId="77777777" w:rsidTr="00E16711">
        <w:trPr>
          <w:trHeight w:val="1320"/>
        </w:trPr>
        <w:tc>
          <w:tcPr>
            <w:tcW w:w="205" w:type="pct"/>
            <w:shd w:val="clear" w:color="auto" w:fill="F2F2F2"/>
            <w:noWrap/>
            <w:hideMark/>
          </w:tcPr>
          <w:p w14:paraId="4A543287"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1B235104" w14:textId="77777777" w:rsidR="00395D01" w:rsidRPr="00912996" w:rsidRDefault="00395D01" w:rsidP="00292396">
            <w:pPr>
              <w:rPr>
                <w:rFonts w:ascii="Calibri" w:hAnsi="Calibri"/>
                <w:bCs/>
                <w:lang w:eastAsia="ja-JP"/>
              </w:rPr>
            </w:pPr>
            <w:r w:rsidRPr="00912996">
              <w:rPr>
                <w:rFonts w:ascii="Calibri" w:hAnsi="Calibri"/>
                <w:bCs/>
                <w:lang w:eastAsia="ja-JP"/>
              </w:rPr>
              <w:t>Reabilitare, consolidare, modernizare și extinderea sediului Serviciului Protecția Copilului al DGASPC Sector 2 din Str. Dimitrie Racovița nr. 22</w:t>
            </w:r>
          </w:p>
        </w:tc>
        <w:tc>
          <w:tcPr>
            <w:tcW w:w="640" w:type="pct"/>
            <w:shd w:val="clear" w:color="auto" w:fill="F2F2F2"/>
            <w:hideMark/>
          </w:tcPr>
          <w:p w14:paraId="34E7D67A"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3D1BDFD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167D715"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37B32A81"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6F7263A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2665191" w14:textId="77777777" w:rsidR="00395D01" w:rsidRPr="00912996" w:rsidRDefault="00395D01" w:rsidP="00292396">
            <w:pPr>
              <w:rPr>
                <w:rFonts w:ascii="Calibri" w:hAnsi="Calibri"/>
                <w:bCs/>
                <w:lang w:eastAsia="ja-JP"/>
              </w:rPr>
            </w:pPr>
            <w:r w:rsidRPr="00912996">
              <w:rPr>
                <w:rFonts w:ascii="Calibri" w:hAnsi="Calibri"/>
                <w:bCs/>
                <w:lang w:eastAsia="ja-JP"/>
              </w:rPr>
              <w:t>PNRR C5, POR BI 2021 - 2027 P3, POIDS P5, Bugetul local, Alte surse de finanțare</w:t>
            </w:r>
          </w:p>
        </w:tc>
        <w:tc>
          <w:tcPr>
            <w:tcW w:w="433" w:type="pct"/>
            <w:shd w:val="clear" w:color="auto" w:fill="F2F2F2"/>
            <w:hideMark/>
          </w:tcPr>
          <w:p w14:paraId="7A53F53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1F38BD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9C99101" w14:textId="77777777" w:rsidTr="00E16711">
        <w:trPr>
          <w:trHeight w:val="1056"/>
        </w:trPr>
        <w:tc>
          <w:tcPr>
            <w:tcW w:w="205" w:type="pct"/>
            <w:shd w:val="clear" w:color="auto" w:fill="F2F2F2"/>
            <w:noWrap/>
            <w:hideMark/>
          </w:tcPr>
          <w:p w14:paraId="2DEEC1AB"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3B8899CF" w14:textId="77777777" w:rsidR="00395D01" w:rsidRPr="00912996" w:rsidRDefault="00395D01" w:rsidP="00292396">
            <w:pPr>
              <w:rPr>
                <w:rFonts w:ascii="Calibri" w:hAnsi="Calibri"/>
                <w:bCs/>
                <w:lang w:eastAsia="ja-JP"/>
              </w:rPr>
            </w:pPr>
            <w:r w:rsidRPr="00912996">
              <w:rPr>
                <w:rFonts w:ascii="Calibri" w:hAnsi="Calibri"/>
                <w:bCs/>
                <w:lang w:eastAsia="ja-JP"/>
              </w:rPr>
              <w:t>Reabilitare, consolidare, modernizare și extinderea sediului Serviciului pentru Persoane Adulte cu Handicap al DGASPC Sector 2 din Calea Moșilor nr. 229</w:t>
            </w:r>
          </w:p>
        </w:tc>
        <w:tc>
          <w:tcPr>
            <w:tcW w:w="640" w:type="pct"/>
            <w:shd w:val="clear" w:color="auto" w:fill="F2F2F2"/>
            <w:hideMark/>
          </w:tcPr>
          <w:p w14:paraId="02816821"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398469D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7DE461D" w14:textId="77777777" w:rsidR="00395D01" w:rsidRPr="00912996" w:rsidRDefault="00395D01" w:rsidP="00292396">
            <w:pPr>
              <w:rPr>
                <w:rFonts w:ascii="Calibri" w:hAnsi="Calibri"/>
                <w:bCs/>
                <w:lang w:eastAsia="ja-JP"/>
              </w:rPr>
            </w:pPr>
            <w:r w:rsidRPr="00912996">
              <w:rPr>
                <w:rFonts w:ascii="Calibri" w:hAnsi="Calibri"/>
                <w:bCs/>
                <w:lang w:eastAsia="ja-JP"/>
              </w:rPr>
              <w:t>490,000</w:t>
            </w:r>
          </w:p>
        </w:tc>
        <w:tc>
          <w:tcPr>
            <w:tcW w:w="411" w:type="pct"/>
            <w:shd w:val="clear" w:color="auto" w:fill="F2F2F2"/>
            <w:hideMark/>
          </w:tcPr>
          <w:p w14:paraId="15349690" w14:textId="77777777" w:rsidR="00395D01" w:rsidRPr="00912996" w:rsidRDefault="00395D01" w:rsidP="00292396">
            <w:pPr>
              <w:rPr>
                <w:rFonts w:ascii="Calibri" w:hAnsi="Calibri"/>
                <w:bCs/>
                <w:lang w:eastAsia="ja-JP"/>
              </w:rPr>
            </w:pPr>
            <w:r w:rsidRPr="00912996">
              <w:rPr>
                <w:rFonts w:ascii="Calibri" w:hAnsi="Calibri"/>
                <w:bCs/>
                <w:lang w:eastAsia="ja-JP"/>
              </w:rPr>
              <w:t>100,000</w:t>
            </w:r>
          </w:p>
        </w:tc>
        <w:tc>
          <w:tcPr>
            <w:tcW w:w="347" w:type="pct"/>
            <w:shd w:val="clear" w:color="auto" w:fill="F2F2F2"/>
            <w:hideMark/>
          </w:tcPr>
          <w:p w14:paraId="1D80C57E"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0252892" w14:textId="77777777" w:rsidR="00395D01" w:rsidRPr="00912996" w:rsidRDefault="00395D01" w:rsidP="00292396">
            <w:pPr>
              <w:rPr>
                <w:rFonts w:ascii="Calibri" w:hAnsi="Calibri"/>
                <w:bCs/>
                <w:lang w:eastAsia="ja-JP"/>
              </w:rPr>
            </w:pPr>
            <w:r w:rsidRPr="00912996">
              <w:rPr>
                <w:rFonts w:ascii="Calibri" w:hAnsi="Calibri"/>
                <w:bCs/>
                <w:lang w:eastAsia="ja-JP"/>
              </w:rPr>
              <w:t>PNRR C5, POR BI 2021 - 2027 P3, Bugetul local, Alte surse de finanțare</w:t>
            </w:r>
          </w:p>
        </w:tc>
        <w:tc>
          <w:tcPr>
            <w:tcW w:w="433" w:type="pct"/>
            <w:shd w:val="clear" w:color="auto" w:fill="F2F2F2"/>
            <w:hideMark/>
          </w:tcPr>
          <w:p w14:paraId="5C9252E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483A7C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3A6D59F" w14:textId="77777777" w:rsidTr="00E16711">
        <w:trPr>
          <w:trHeight w:val="1320"/>
        </w:trPr>
        <w:tc>
          <w:tcPr>
            <w:tcW w:w="205" w:type="pct"/>
            <w:shd w:val="clear" w:color="auto" w:fill="F2F2F2"/>
            <w:noWrap/>
            <w:hideMark/>
          </w:tcPr>
          <w:p w14:paraId="44CCC747"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7F05C8A1" w14:textId="77777777" w:rsidR="00395D01" w:rsidRPr="00912996" w:rsidRDefault="00395D01" w:rsidP="00292396">
            <w:pPr>
              <w:rPr>
                <w:rFonts w:ascii="Calibri" w:hAnsi="Calibri"/>
                <w:bCs/>
                <w:lang w:eastAsia="ja-JP"/>
              </w:rPr>
            </w:pPr>
            <w:r w:rsidRPr="00912996">
              <w:rPr>
                <w:rFonts w:ascii="Calibri" w:hAnsi="Calibri"/>
                <w:bCs/>
                <w:lang w:eastAsia="ja-JP"/>
              </w:rPr>
              <w:t>Modernizarea Adăpostului pentru copiii străzii Dănilă Prepeleac</w:t>
            </w:r>
          </w:p>
        </w:tc>
        <w:tc>
          <w:tcPr>
            <w:tcW w:w="640" w:type="pct"/>
            <w:shd w:val="clear" w:color="auto" w:fill="F2F2F2"/>
            <w:hideMark/>
          </w:tcPr>
          <w:p w14:paraId="1BEEC087"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315CAE3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B947681"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19931CBD"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3BC24B63"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7D2EECE" w14:textId="77777777" w:rsidR="00395D01" w:rsidRPr="00912996" w:rsidRDefault="00395D01" w:rsidP="00292396">
            <w:pPr>
              <w:rPr>
                <w:rFonts w:ascii="Calibri" w:hAnsi="Calibri"/>
                <w:bCs/>
                <w:lang w:eastAsia="ja-JP"/>
              </w:rPr>
            </w:pPr>
            <w:r w:rsidRPr="00912996">
              <w:rPr>
                <w:rFonts w:ascii="Calibri" w:hAnsi="Calibri"/>
                <w:bCs/>
                <w:lang w:eastAsia="ja-JP"/>
              </w:rPr>
              <w:t>PNRR C5, POR BI 2021 - 2027 P3, POIDS P5, Bugetul local, Alte surse de finanțare</w:t>
            </w:r>
          </w:p>
        </w:tc>
        <w:tc>
          <w:tcPr>
            <w:tcW w:w="433" w:type="pct"/>
            <w:shd w:val="clear" w:color="auto" w:fill="F2F2F2"/>
            <w:hideMark/>
          </w:tcPr>
          <w:p w14:paraId="6220268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672229F"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54E9E82" w14:textId="77777777" w:rsidTr="00E16711">
        <w:trPr>
          <w:trHeight w:val="530"/>
        </w:trPr>
        <w:tc>
          <w:tcPr>
            <w:tcW w:w="205" w:type="pct"/>
            <w:shd w:val="clear" w:color="auto" w:fill="F2F2F2"/>
            <w:noWrap/>
            <w:hideMark/>
          </w:tcPr>
          <w:p w14:paraId="125E26E1"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410651B7" w14:textId="77777777" w:rsidR="00395D01" w:rsidRPr="00912996" w:rsidRDefault="00395D01" w:rsidP="00292396">
            <w:pPr>
              <w:rPr>
                <w:rFonts w:ascii="Calibri" w:hAnsi="Calibri"/>
                <w:bCs/>
                <w:lang w:eastAsia="ja-JP"/>
              </w:rPr>
            </w:pPr>
            <w:r w:rsidRPr="00912996">
              <w:rPr>
                <w:rFonts w:ascii="Calibri" w:hAnsi="Calibri"/>
                <w:bCs/>
                <w:lang w:eastAsia="ja-JP"/>
              </w:rPr>
              <w:t>Informatizarea serviciului DGASPC Sector 2, inclusiv bază de date unică pentru toți beneficiarii de servicii și prestații sociale</w:t>
            </w:r>
          </w:p>
        </w:tc>
        <w:tc>
          <w:tcPr>
            <w:tcW w:w="640" w:type="pct"/>
            <w:shd w:val="clear" w:color="auto" w:fill="F2F2F2"/>
            <w:hideMark/>
          </w:tcPr>
          <w:p w14:paraId="2A79BA5D"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1AEF564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ACEC3FA" w14:textId="77777777" w:rsidR="00395D01" w:rsidRPr="00912996" w:rsidRDefault="00395D01" w:rsidP="00292396">
            <w:pPr>
              <w:rPr>
                <w:rFonts w:ascii="Calibri" w:hAnsi="Calibri"/>
                <w:bCs/>
                <w:lang w:eastAsia="ja-JP"/>
              </w:rPr>
            </w:pPr>
            <w:r w:rsidRPr="00912996">
              <w:rPr>
                <w:rFonts w:ascii="Calibri" w:hAnsi="Calibri"/>
                <w:bCs/>
                <w:lang w:eastAsia="ja-JP"/>
              </w:rPr>
              <w:t>7,350,000</w:t>
            </w:r>
          </w:p>
        </w:tc>
        <w:tc>
          <w:tcPr>
            <w:tcW w:w="411" w:type="pct"/>
            <w:shd w:val="clear" w:color="auto" w:fill="F2F2F2"/>
            <w:hideMark/>
          </w:tcPr>
          <w:p w14:paraId="19413F44"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347" w:type="pct"/>
            <w:shd w:val="clear" w:color="auto" w:fill="F2F2F2"/>
            <w:hideMark/>
          </w:tcPr>
          <w:p w14:paraId="7724C77A"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90580DD" w14:textId="77777777" w:rsidR="00395D01" w:rsidRPr="00912996" w:rsidRDefault="00395D01" w:rsidP="00292396">
            <w:pPr>
              <w:rPr>
                <w:rFonts w:ascii="Calibri" w:hAnsi="Calibri"/>
                <w:bCs/>
                <w:lang w:eastAsia="ja-JP"/>
              </w:rPr>
            </w:pPr>
            <w:r w:rsidRPr="00912996">
              <w:rPr>
                <w:rFonts w:ascii="Calibri" w:hAnsi="Calibri"/>
                <w:bCs/>
                <w:lang w:eastAsia="ja-JP"/>
              </w:rPr>
              <w:t>PNRR C7, Bugetul local, Alte surse de finanțare</w:t>
            </w:r>
          </w:p>
        </w:tc>
        <w:tc>
          <w:tcPr>
            <w:tcW w:w="433" w:type="pct"/>
            <w:shd w:val="clear" w:color="auto" w:fill="F2F2F2"/>
            <w:hideMark/>
          </w:tcPr>
          <w:p w14:paraId="432D8DB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5A2100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A4DE67E" w14:textId="77777777" w:rsidTr="00E16711">
        <w:trPr>
          <w:trHeight w:val="1056"/>
        </w:trPr>
        <w:tc>
          <w:tcPr>
            <w:tcW w:w="205" w:type="pct"/>
            <w:shd w:val="clear" w:color="auto" w:fill="F2F2F2"/>
            <w:noWrap/>
            <w:hideMark/>
          </w:tcPr>
          <w:p w14:paraId="6423CE9F"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4CBA8B18" w14:textId="77777777" w:rsidR="00395D01" w:rsidRPr="00912996" w:rsidRDefault="00395D01" w:rsidP="00292396">
            <w:pPr>
              <w:rPr>
                <w:rFonts w:ascii="Calibri" w:hAnsi="Calibri"/>
                <w:bCs/>
                <w:lang w:eastAsia="ja-JP"/>
              </w:rPr>
            </w:pPr>
            <w:r w:rsidRPr="00912996">
              <w:rPr>
                <w:rFonts w:ascii="Calibri" w:hAnsi="Calibri"/>
                <w:bCs/>
                <w:lang w:eastAsia="ja-JP"/>
              </w:rPr>
              <w:t>Reabilitarea și modernizarea unităților rezidențiale de tip familial și caselor de tip familial</w:t>
            </w:r>
          </w:p>
        </w:tc>
        <w:tc>
          <w:tcPr>
            <w:tcW w:w="640" w:type="pct"/>
            <w:shd w:val="clear" w:color="auto" w:fill="F2F2F2"/>
            <w:hideMark/>
          </w:tcPr>
          <w:p w14:paraId="2B76EFB0"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0CD5EFD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65F71E3"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16A0D654"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334B053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01411BB" w14:textId="77777777" w:rsidR="00395D01" w:rsidRPr="00912996" w:rsidRDefault="00395D01" w:rsidP="00292396">
            <w:pPr>
              <w:rPr>
                <w:rFonts w:ascii="Calibri" w:hAnsi="Calibri"/>
                <w:bCs/>
                <w:lang w:eastAsia="ja-JP"/>
              </w:rPr>
            </w:pPr>
            <w:r w:rsidRPr="00912996">
              <w:rPr>
                <w:rFonts w:ascii="Calibri" w:hAnsi="Calibri"/>
                <w:bCs/>
                <w:lang w:eastAsia="ja-JP"/>
              </w:rPr>
              <w:t>PNRR C5, POR BI 2021 - 2027 P3, Bugetul local, Alte surse de finanțare</w:t>
            </w:r>
          </w:p>
        </w:tc>
        <w:tc>
          <w:tcPr>
            <w:tcW w:w="433" w:type="pct"/>
            <w:shd w:val="clear" w:color="auto" w:fill="F2F2F2"/>
            <w:hideMark/>
          </w:tcPr>
          <w:p w14:paraId="7CF90B5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79353C0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4ED4321" w14:textId="77777777" w:rsidTr="00E16711">
        <w:trPr>
          <w:trHeight w:val="1056"/>
        </w:trPr>
        <w:tc>
          <w:tcPr>
            <w:tcW w:w="205" w:type="pct"/>
            <w:shd w:val="clear" w:color="auto" w:fill="F2F2F2"/>
            <w:noWrap/>
            <w:hideMark/>
          </w:tcPr>
          <w:p w14:paraId="6990178F"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57E4B418" w14:textId="77777777" w:rsidR="00395D01" w:rsidRPr="00912996" w:rsidRDefault="00395D01" w:rsidP="00292396">
            <w:pPr>
              <w:rPr>
                <w:rFonts w:ascii="Calibri" w:hAnsi="Calibri"/>
                <w:bCs/>
                <w:lang w:eastAsia="ja-JP"/>
              </w:rPr>
            </w:pPr>
            <w:r w:rsidRPr="00912996">
              <w:rPr>
                <w:rFonts w:ascii="Calibri" w:hAnsi="Calibri"/>
                <w:bCs/>
                <w:lang w:eastAsia="ja-JP"/>
              </w:rPr>
              <w:t>Amenajare Centru Rezidențial pentru Persoane Vârstnice Speranța</w:t>
            </w:r>
          </w:p>
        </w:tc>
        <w:tc>
          <w:tcPr>
            <w:tcW w:w="640" w:type="pct"/>
            <w:shd w:val="clear" w:color="auto" w:fill="F2F2F2"/>
            <w:hideMark/>
          </w:tcPr>
          <w:p w14:paraId="7BDDF32D"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0CC70C39" w14:textId="77777777" w:rsidR="00395D01" w:rsidRPr="00912996" w:rsidRDefault="00395D01" w:rsidP="00292396">
            <w:pPr>
              <w:rPr>
                <w:rFonts w:ascii="Calibri" w:hAnsi="Calibri"/>
                <w:bCs/>
                <w:lang w:eastAsia="ja-JP"/>
              </w:rPr>
            </w:pPr>
            <w:r w:rsidRPr="00912996">
              <w:rPr>
                <w:rFonts w:ascii="Calibri" w:hAnsi="Calibri"/>
                <w:bCs/>
                <w:lang w:eastAsia="ja-JP"/>
              </w:rPr>
              <w:t>Proiectare</w:t>
            </w:r>
          </w:p>
        </w:tc>
        <w:tc>
          <w:tcPr>
            <w:tcW w:w="473" w:type="pct"/>
            <w:shd w:val="clear" w:color="auto" w:fill="F2F2F2"/>
            <w:hideMark/>
          </w:tcPr>
          <w:p w14:paraId="4B2C9862" w14:textId="77777777" w:rsidR="00395D01" w:rsidRPr="00912996" w:rsidRDefault="00395D01" w:rsidP="00292396">
            <w:pPr>
              <w:rPr>
                <w:rFonts w:ascii="Calibri" w:hAnsi="Calibri"/>
                <w:bCs/>
                <w:lang w:eastAsia="ja-JP"/>
              </w:rPr>
            </w:pPr>
            <w:r w:rsidRPr="00912996">
              <w:rPr>
                <w:rFonts w:ascii="Calibri" w:hAnsi="Calibri"/>
                <w:bCs/>
                <w:lang w:eastAsia="ja-JP"/>
              </w:rPr>
              <w:t>3,269,525</w:t>
            </w:r>
          </w:p>
        </w:tc>
        <w:tc>
          <w:tcPr>
            <w:tcW w:w="411" w:type="pct"/>
            <w:shd w:val="clear" w:color="auto" w:fill="F2F2F2"/>
            <w:hideMark/>
          </w:tcPr>
          <w:p w14:paraId="08DED1DB" w14:textId="77777777" w:rsidR="00395D01" w:rsidRPr="00912996" w:rsidRDefault="00395D01" w:rsidP="00292396">
            <w:pPr>
              <w:rPr>
                <w:rFonts w:ascii="Calibri" w:hAnsi="Calibri"/>
                <w:bCs/>
                <w:lang w:eastAsia="ja-JP"/>
              </w:rPr>
            </w:pPr>
            <w:r w:rsidRPr="00912996">
              <w:rPr>
                <w:rFonts w:ascii="Calibri" w:hAnsi="Calibri"/>
                <w:bCs/>
                <w:lang w:eastAsia="ja-JP"/>
              </w:rPr>
              <w:t>667,250</w:t>
            </w:r>
          </w:p>
        </w:tc>
        <w:tc>
          <w:tcPr>
            <w:tcW w:w="347" w:type="pct"/>
            <w:shd w:val="clear" w:color="auto" w:fill="F2F2F2"/>
            <w:hideMark/>
          </w:tcPr>
          <w:p w14:paraId="6725616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01671A7" w14:textId="77777777" w:rsidR="00395D01" w:rsidRPr="00912996" w:rsidRDefault="00395D01" w:rsidP="00292396">
            <w:pPr>
              <w:rPr>
                <w:rFonts w:ascii="Calibri" w:hAnsi="Calibri"/>
                <w:bCs/>
                <w:lang w:eastAsia="ja-JP"/>
              </w:rPr>
            </w:pPr>
            <w:r w:rsidRPr="00912996">
              <w:rPr>
                <w:rFonts w:ascii="Calibri" w:hAnsi="Calibri"/>
                <w:bCs/>
                <w:lang w:eastAsia="ja-JP"/>
              </w:rPr>
              <w:t>PNRR C5, POR BI 2021 - 2027 P3, Bugetul local, Alte surse de finanțare</w:t>
            </w:r>
          </w:p>
        </w:tc>
        <w:tc>
          <w:tcPr>
            <w:tcW w:w="433" w:type="pct"/>
            <w:shd w:val="clear" w:color="auto" w:fill="F2F2F2"/>
            <w:hideMark/>
          </w:tcPr>
          <w:p w14:paraId="1812E73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83CF0C3"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45C6F41" w14:textId="77777777" w:rsidTr="00E16711">
        <w:trPr>
          <w:trHeight w:val="1056"/>
        </w:trPr>
        <w:tc>
          <w:tcPr>
            <w:tcW w:w="205" w:type="pct"/>
            <w:shd w:val="clear" w:color="auto" w:fill="F2F2F2"/>
            <w:noWrap/>
            <w:hideMark/>
          </w:tcPr>
          <w:p w14:paraId="5D351E1B" w14:textId="77777777" w:rsidR="00395D01" w:rsidRPr="00912996" w:rsidRDefault="00395D01" w:rsidP="00292396">
            <w:pPr>
              <w:rPr>
                <w:rFonts w:ascii="Calibri" w:hAnsi="Calibri"/>
                <w:bCs/>
                <w:lang w:eastAsia="ja-JP"/>
              </w:rPr>
            </w:pPr>
            <w:r w:rsidRPr="00912996">
              <w:rPr>
                <w:rFonts w:ascii="Calibri" w:hAnsi="Calibri"/>
                <w:bCs/>
                <w:lang w:eastAsia="ja-JP"/>
              </w:rPr>
              <w:t>14</w:t>
            </w:r>
          </w:p>
        </w:tc>
        <w:tc>
          <w:tcPr>
            <w:tcW w:w="1018" w:type="pct"/>
            <w:gridSpan w:val="2"/>
            <w:shd w:val="clear" w:color="auto" w:fill="F2F2F2"/>
            <w:hideMark/>
          </w:tcPr>
          <w:p w14:paraId="59D0D8D5" w14:textId="77777777" w:rsidR="00395D01" w:rsidRPr="00912996" w:rsidRDefault="00395D01" w:rsidP="00292396">
            <w:pPr>
              <w:rPr>
                <w:rFonts w:ascii="Calibri" w:hAnsi="Calibri"/>
                <w:bCs/>
                <w:lang w:eastAsia="ja-JP"/>
              </w:rPr>
            </w:pPr>
            <w:r w:rsidRPr="00912996">
              <w:rPr>
                <w:rFonts w:ascii="Calibri" w:hAnsi="Calibri"/>
                <w:bCs/>
                <w:lang w:eastAsia="ja-JP"/>
              </w:rPr>
              <w:t>Relocarea centrului de Recuperare și reabilitare neuropsihiatrică 2 în vederea alinierii serviciilor sociale la standarde moderne.</w:t>
            </w:r>
          </w:p>
        </w:tc>
        <w:tc>
          <w:tcPr>
            <w:tcW w:w="640" w:type="pct"/>
            <w:shd w:val="clear" w:color="auto" w:fill="F2F2F2"/>
            <w:hideMark/>
          </w:tcPr>
          <w:p w14:paraId="3C1B5A37"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0060CCF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CA40988" w14:textId="77777777" w:rsidR="00395D01" w:rsidRPr="00912996" w:rsidRDefault="00395D01" w:rsidP="00292396">
            <w:pPr>
              <w:rPr>
                <w:rFonts w:ascii="Calibri" w:hAnsi="Calibri"/>
                <w:bCs/>
                <w:lang w:eastAsia="ja-JP"/>
              </w:rPr>
            </w:pPr>
            <w:r w:rsidRPr="00912996">
              <w:rPr>
                <w:rFonts w:ascii="Calibri" w:hAnsi="Calibri"/>
                <w:bCs/>
                <w:lang w:eastAsia="ja-JP"/>
              </w:rPr>
              <w:t>9,800,000</w:t>
            </w:r>
          </w:p>
        </w:tc>
        <w:tc>
          <w:tcPr>
            <w:tcW w:w="411" w:type="pct"/>
            <w:shd w:val="clear" w:color="auto" w:fill="F2F2F2"/>
            <w:hideMark/>
          </w:tcPr>
          <w:p w14:paraId="5C0E6C2A"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3058739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C57CDCF"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5F7F697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5FF0B2C"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FFF1661" w14:textId="77777777" w:rsidTr="00E16711">
        <w:trPr>
          <w:trHeight w:val="1056"/>
        </w:trPr>
        <w:tc>
          <w:tcPr>
            <w:tcW w:w="205" w:type="pct"/>
            <w:shd w:val="clear" w:color="auto" w:fill="F2F2F2"/>
            <w:noWrap/>
          </w:tcPr>
          <w:p w14:paraId="3924C30A" w14:textId="77777777" w:rsidR="00395D01" w:rsidRPr="00912996" w:rsidRDefault="00395D01" w:rsidP="00292396">
            <w:pPr>
              <w:rPr>
                <w:rFonts w:ascii="Calibri" w:hAnsi="Calibri"/>
                <w:bCs/>
                <w:lang w:eastAsia="ja-JP"/>
              </w:rPr>
            </w:pPr>
            <w:r w:rsidRPr="00912996">
              <w:rPr>
                <w:rFonts w:ascii="Calibri" w:hAnsi="Calibri"/>
                <w:bCs/>
                <w:lang w:eastAsia="ja-JP"/>
              </w:rPr>
              <w:t>15</w:t>
            </w:r>
          </w:p>
        </w:tc>
        <w:tc>
          <w:tcPr>
            <w:tcW w:w="1018" w:type="pct"/>
            <w:gridSpan w:val="2"/>
            <w:shd w:val="clear" w:color="auto" w:fill="F2F2F2"/>
          </w:tcPr>
          <w:p w14:paraId="525B39D6" w14:textId="77777777" w:rsidR="00395D01" w:rsidRPr="00912996" w:rsidRDefault="00395D01" w:rsidP="00292396">
            <w:pPr>
              <w:rPr>
                <w:rFonts w:ascii="Calibri" w:hAnsi="Calibri"/>
                <w:bCs/>
                <w:lang w:eastAsia="ja-JP"/>
              </w:rPr>
            </w:pPr>
            <w:r w:rsidRPr="00912996">
              <w:rPr>
                <w:rFonts w:ascii="Calibri" w:hAnsi="Calibri"/>
                <w:bCs/>
                <w:lang w:eastAsia="ja-JP"/>
              </w:rPr>
              <w:t>Dezvoltarea unei platforme online dedicată serviciilor sociale de la nivelul sectorului 2</w:t>
            </w:r>
          </w:p>
        </w:tc>
        <w:tc>
          <w:tcPr>
            <w:tcW w:w="640" w:type="pct"/>
            <w:shd w:val="clear" w:color="auto" w:fill="F2F2F2"/>
          </w:tcPr>
          <w:p w14:paraId="10C6B377"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tcPr>
          <w:p w14:paraId="31DFA53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tcPr>
          <w:p w14:paraId="6BD1DF4F"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6D70B99B"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188D5C5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tcPr>
          <w:p w14:paraId="021BE773"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tcPr>
          <w:p w14:paraId="038ACD9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tcPr>
          <w:p w14:paraId="7EFDF724" w14:textId="77777777" w:rsidR="00395D01" w:rsidRPr="00912996" w:rsidRDefault="00395D01" w:rsidP="00292396">
            <w:pPr>
              <w:rPr>
                <w:rFonts w:ascii="Calibri" w:hAnsi="Calibri"/>
                <w:bCs/>
                <w:lang w:eastAsia="ja-JP"/>
              </w:rPr>
            </w:pPr>
            <w:r w:rsidRPr="00912996">
              <w:rPr>
                <w:rFonts w:ascii="Calibri" w:hAnsi="Calibri"/>
                <w:bCs/>
                <w:lang w:eastAsia="ja-JP"/>
              </w:rPr>
              <w:t>Propunere consultări publice</w:t>
            </w:r>
          </w:p>
        </w:tc>
      </w:tr>
      <w:tr w:rsidR="00395D01" w:rsidRPr="00912996" w14:paraId="339C7299" w14:textId="77777777" w:rsidTr="00292396">
        <w:trPr>
          <w:trHeight w:val="264"/>
        </w:trPr>
        <w:tc>
          <w:tcPr>
            <w:tcW w:w="5000" w:type="pct"/>
            <w:gridSpan w:val="12"/>
            <w:shd w:val="clear" w:color="auto" w:fill="BBD9A0"/>
            <w:noWrap/>
            <w:hideMark/>
          </w:tcPr>
          <w:p w14:paraId="280A70F7" w14:textId="77777777" w:rsidR="00395D01" w:rsidRPr="00912996" w:rsidRDefault="00395D01" w:rsidP="007550E8">
            <w:pPr>
              <w:jc w:val="center"/>
              <w:rPr>
                <w:rFonts w:ascii="Calibri" w:hAnsi="Calibri"/>
                <w:b/>
                <w:bCs/>
                <w:lang w:eastAsia="ja-JP"/>
              </w:rPr>
            </w:pPr>
            <w:r w:rsidRPr="00912996">
              <w:rPr>
                <w:rFonts w:ascii="Calibri" w:hAnsi="Calibri"/>
                <w:b/>
                <w:bCs/>
                <w:color w:val="FFFFFF"/>
                <w:lang w:eastAsia="ja-JP"/>
              </w:rPr>
              <w:t>D1.7.2. Asigurarea de servicii sociale destinate copilului și/sau familiei</w:t>
            </w:r>
          </w:p>
        </w:tc>
      </w:tr>
      <w:tr w:rsidR="00E16711" w:rsidRPr="00912996" w14:paraId="52261D88" w14:textId="77777777" w:rsidTr="00E16711">
        <w:trPr>
          <w:trHeight w:val="792"/>
        </w:trPr>
        <w:tc>
          <w:tcPr>
            <w:tcW w:w="205" w:type="pct"/>
            <w:shd w:val="clear" w:color="auto" w:fill="F2F2F2"/>
            <w:noWrap/>
            <w:hideMark/>
          </w:tcPr>
          <w:p w14:paraId="13E51A45"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572D95DE" w14:textId="77777777" w:rsidR="00395D01" w:rsidRPr="00912996" w:rsidRDefault="00395D01" w:rsidP="00292396">
            <w:pPr>
              <w:rPr>
                <w:rFonts w:ascii="Calibri" w:hAnsi="Calibri"/>
                <w:bCs/>
                <w:lang w:eastAsia="ja-JP"/>
              </w:rPr>
            </w:pPr>
            <w:r w:rsidRPr="00912996">
              <w:rPr>
                <w:rFonts w:ascii="Calibri" w:hAnsi="Calibri"/>
                <w:bCs/>
                <w:lang w:eastAsia="ja-JP"/>
              </w:rPr>
              <w:t>Crearea unui centru pentru copiii care au săvârșit fapte penale dar care nu răspund penal, pentru reintegrarea acestora</w:t>
            </w:r>
          </w:p>
        </w:tc>
        <w:tc>
          <w:tcPr>
            <w:tcW w:w="640" w:type="pct"/>
            <w:shd w:val="clear" w:color="auto" w:fill="F2F2F2"/>
            <w:hideMark/>
          </w:tcPr>
          <w:p w14:paraId="0ADB4676"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192AC40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8B026DA" w14:textId="77777777" w:rsidR="00395D01" w:rsidRPr="00912996" w:rsidRDefault="00395D01" w:rsidP="00292396">
            <w:pPr>
              <w:rPr>
                <w:rFonts w:ascii="Calibri" w:hAnsi="Calibri"/>
                <w:bCs/>
                <w:lang w:eastAsia="ja-JP"/>
              </w:rPr>
            </w:pPr>
            <w:r w:rsidRPr="00912996">
              <w:rPr>
                <w:rFonts w:ascii="Calibri" w:hAnsi="Calibri"/>
                <w:bCs/>
                <w:lang w:eastAsia="ja-JP"/>
              </w:rPr>
              <w:t>8,860,000</w:t>
            </w:r>
          </w:p>
        </w:tc>
        <w:tc>
          <w:tcPr>
            <w:tcW w:w="411" w:type="pct"/>
            <w:shd w:val="clear" w:color="auto" w:fill="F2F2F2"/>
            <w:hideMark/>
          </w:tcPr>
          <w:p w14:paraId="38CF43E6"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026CAC1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E11D607" w14:textId="77777777" w:rsidR="00395D01" w:rsidRPr="00912996" w:rsidRDefault="00395D01" w:rsidP="00292396">
            <w:pPr>
              <w:rPr>
                <w:rFonts w:ascii="Calibri" w:hAnsi="Calibri"/>
                <w:bCs/>
                <w:lang w:eastAsia="ja-JP"/>
              </w:rPr>
            </w:pPr>
            <w:r w:rsidRPr="00912996">
              <w:rPr>
                <w:rFonts w:ascii="Calibri" w:hAnsi="Calibri"/>
                <w:bCs/>
                <w:lang w:eastAsia="ja-JP"/>
              </w:rPr>
              <w:t>PNRR C13, Bugetul local, Alte surse de finanțare</w:t>
            </w:r>
          </w:p>
        </w:tc>
        <w:tc>
          <w:tcPr>
            <w:tcW w:w="433" w:type="pct"/>
            <w:shd w:val="clear" w:color="auto" w:fill="F2F2F2"/>
            <w:hideMark/>
          </w:tcPr>
          <w:p w14:paraId="2D4C99D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EB5DE8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FA280DA" w14:textId="77777777" w:rsidTr="00E16711">
        <w:trPr>
          <w:trHeight w:val="792"/>
        </w:trPr>
        <w:tc>
          <w:tcPr>
            <w:tcW w:w="205" w:type="pct"/>
            <w:shd w:val="clear" w:color="auto" w:fill="F2F2F2"/>
            <w:noWrap/>
            <w:hideMark/>
          </w:tcPr>
          <w:p w14:paraId="1B47D16F"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2D3A5FCC" w14:textId="77777777" w:rsidR="00395D01" w:rsidRPr="00912996" w:rsidRDefault="00395D01" w:rsidP="00292396">
            <w:pPr>
              <w:rPr>
                <w:rFonts w:ascii="Calibri" w:hAnsi="Calibri"/>
                <w:bCs/>
                <w:lang w:eastAsia="ja-JP"/>
              </w:rPr>
            </w:pPr>
            <w:r w:rsidRPr="00912996">
              <w:rPr>
                <w:rFonts w:ascii="Calibri" w:hAnsi="Calibri"/>
                <w:bCs/>
                <w:lang w:eastAsia="ja-JP"/>
              </w:rPr>
              <w:t>Copii au drepturi – Derularea de campanii periodice de informare în Sectorul 2 privind drepturile copilului</w:t>
            </w:r>
          </w:p>
        </w:tc>
        <w:tc>
          <w:tcPr>
            <w:tcW w:w="640" w:type="pct"/>
            <w:shd w:val="clear" w:color="auto" w:fill="F2F2F2"/>
            <w:hideMark/>
          </w:tcPr>
          <w:p w14:paraId="3379F219" w14:textId="77777777" w:rsidR="00395D01" w:rsidRPr="00912996" w:rsidRDefault="00395D01" w:rsidP="00292396">
            <w:pPr>
              <w:rPr>
                <w:rFonts w:ascii="Calibri" w:hAnsi="Calibri"/>
                <w:bCs/>
                <w:lang w:eastAsia="ja-JP"/>
              </w:rPr>
            </w:pPr>
            <w:r w:rsidRPr="00912996">
              <w:rPr>
                <w:rFonts w:ascii="Calibri" w:hAnsi="Calibri"/>
                <w:bCs/>
                <w:lang w:eastAsia="ja-JP"/>
              </w:rPr>
              <w:t>PS2, DGASPC S2, Poliția Locală S2</w:t>
            </w:r>
          </w:p>
        </w:tc>
        <w:tc>
          <w:tcPr>
            <w:tcW w:w="507" w:type="pct"/>
            <w:shd w:val="clear" w:color="auto" w:fill="F2F2F2"/>
            <w:hideMark/>
          </w:tcPr>
          <w:p w14:paraId="68496C8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3D4F013" w14:textId="77777777" w:rsidR="00395D01" w:rsidRPr="00912996" w:rsidRDefault="00395D01" w:rsidP="00292396">
            <w:pPr>
              <w:rPr>
                <w:rFonts w:ascii="Calibri" w:hAnsi="Calibri"/>
                <w:bCs/>
                <w:lang w:eastAsia="ja-JP"/>
              </w:rPr>
            </w:pPr>
            <w:r w:rsidRPr="00912996">
              <w:rPr>
                <w:rFonts w:ascii="Calibri" w:hAnsi="Calibri"/>
                <w:bCs/>
                <w:lang w:eastAsia="ja-JP"/>
              </w:rPr>
              <w:t>88,600</w:t>
            </w:r>
          </w:p>
        </w:tc>
        <w:tc>
          <w:tcPr>
            <w:tcW w:w="411" w:type="pct"/>
            <w:shd w:val="clear" w:color="auto" w:fill="F2F2F2"/>
            <w:hideMark/>
          </w:tcPr>
          <w:p w14:paraId="7B0AE6DC" w14:textId="77777777" w:rsidR="00395D01" w:rsidRPr="00912996" w:rsidRDefault="00395D01" w:rsidP="00292396">
            <w:pPr>
              <w:rPr>
                <w:rFonts w:ascii="Calibri" w:hAnsi="Calibri"/>
                <w:bCs/>
                <w:lang w:eastAsia="ja-JP"/>
              </w:rPr>
            </w:pPr>
            <w:r w:rsidRPr="00912996">
              <w:rPr>
                <w:rFonts w:ascii="Calibri" w:hAnsi="Calibri"/>
                <w:bCs/>
                <w:lang w:eastAsia="ja-JP"/>
              </w:rPr>
              <w:t>18,082</w:t>
            </w:r>
          </w:p>
        </w:tc>
        <w:tc>
          <w:tcPr>
            <w:tcW w:w="347" w:type="pct"/>
            <w:shd w:val="clear" w:color="auto" w:fill="F2F2F2"/>
            <w:hideMark/>
          </w:tcPr>
          <w:p w14:paraId="6C477D94"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DA99A1E" w14:textId="77777777" w:rsidR="00395D01" w:rsidRPr="00912996" w:rsidRDefault="00395D01" w:rsidP="00292396">
            <w:pPr>
              <w:rPr>
                <w:rFonts w:ascii="Calibri" w:hAnsi="Calibri"/>
                <w:bCs/>
                <w:lang w:eastAsia="ja-JP"/>
              </w:rPr>
            </w:pPr>
            <w:r w:rsidRPr="00912996">
              <w:rPr>
                <w:rFonts w:ascii="Calibri" w:hAnsi="Calibri"/>
                <w:bCs/>
                <w:lang w:eastAsia="ja-JP"/>
              </w:rPr>
              <w:t>POIDS 2021-2027 P5, Bugetul local, Alte surse de finanțare</w:t>
            </w:r>
          </w:p>
        </w:tc>
        <w:tc>
          <w:tcPr>
            <w:tcW w:w="433" w:type="pct"/>
            <w:shd w:val="clear" w:color="auto" w:fill="F2F2F2"/>
            <w:hideMark/>
          </w:tcPr>
          <w:p w14:paraId="3E8A346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7096CD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65419252" w14:textId="77777777" w:rsidTr="00E16711">
        <w:trPr>
          <w:trHeight w:val="1056"/>
        </w:trPr>
        <w:tc>
          <w:tcPr>
            <w:tcW w:w="205" w:type="pct"/>
            <w:shd w:val="clear" w:color="auto" w:fill="F2F2F2"/>
            <w:noWrap/>
            <w:hideMark/>
          </w:tcPr>
          <w:p w14:paraId="3835FCDE"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0A32AA0B" w14:textId="77777777" w:rsidR="00395D01" w:rsidRPr="00912996" w:rsidRDefault="00395D01" w:rsidP="00292396">
            <w:pPr>
              <w:rPr>
                <w:rFonts w:ascii="Calibri" w:hAnsi="Calibri"/>
                <w:bCs/>
                <w:lang w:eastAsia="ja-JP"/>
              </w:rPr>
            </w:pPr>
            <w:r w:rsidRPr="00912996">
              <w:rPr>
                <w:rFonts w:ascii="Calibri" w:hAnsi="Calibri"/>
                <w:bCs/>
                <w:lang w:eastAsia="ja-JP"/>
              </w:rPr>
              <w:t>Organizarea de campanii de sensibilizare pentru prevenirea separării copilului de părinți “Responsabilitate, familie, comunitate”</w:t>
            </w:r>
          </w:p>
        </w:tc>
        <w:tc>
          <w:tcPr>
            <w:tcW w:w="640" w:type="pct"/>
            <w:shd w:val="clear" w:color="auto" w:fill="F2F2F2"/>
            <w:hideMark/>
          </w:tcPr>
          <w:p w14:paraId="54B20FDB"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4E1736AD"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B9956D3" w14:textId="77777777" w:rsidR="00395D01" w:rsidRPr="00912996" w:rsidRDefault="00395D01" w:rsidP="00292396">
            <w:pPr>
              <w:rPr>
                <w:rFonts w:ascii="Calibri" w:hAnsi="Calibri"/>
                <w:bCs/>
                <w:lang w:eastAsia="ja-JP"/>
              </w:rPr>
            </w:pPr>
            <w:r w:rsidRPr="00912996">
              <w:rPr>
                <w:rFonts w:ascii="Calibri" w:hAnsi="Calibri"/>
                <w:bCs/>
                <w:lang w:eastAsia="ja-JP"/>
              </w:rPr>
              <w:t>88,600</w:t>
            </w:r>
          </w:p>
        </w:tc>
        <w:tc>
          <w:tcPr>
            <w:tcW w:w="411" w:type="pct"/>
            <w:shd w:val="clear" w:color="auto" w:fill="F2F2F2"/>
            <w:hideMark/>
          </w:tcPr>
          <w:p w14:paraId="74A4BD88" w14:textId="77777777" w:rsidR="00395D01" w:rsidRPr="00912996" w:rsidRDefault="00395D01" w:rsidP="00292396">
            <w:pPr>
              <w:rPr>
                <w:rFonts w:ascii="Calibri" w:hAnsi="Calibri"/>
                <w:bCs/>
                <w:lang w:eastAsia="ja-JP"/>
              </w:rPr>
            </w:pPr>
            <w:r w:rsidRPr="00912996">
              <w:rPr>
                <w:rFonts w:ascii="Calibri" w:hAnsi="Calibri"/>
                <w:bCs/>
                <w:lang w:eastAsia="ja-JP"/>
              </w:rPr>
              <w:t>18,082</w:t>
            </w:r>
          </w:p>
        </w:tc>
        <w:tc>
          <w:tcPr>
            <w:tcW w:w="347" w:type="pct"/>
            <w:shd w:val="clear" w:color="auto" w:fill="F2F2F2"/>
            <w:hideMark/>
          </w:tcPr>
          <w:p w14:paraId="6F08055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1C29D79" w14:textId="77777777" w:rsidR="00395D01" w:rsidRPr="00912996" w:rsidRDefault="00395D01" w:rsidP="00292396">
            <w:pPr>
              <w:rPr>
                <w:rFonts w:ascii="Calibri" w:hAnsi="Calibri"/>
                <w:bCs/>
                <w:lang w:eastAsia="ja-JP"/>
              </w:rPr>
            </w:pPr>
            <w:r w:rsidRPr="00912996">
              <w:rPr>
                <w:rFonts w:ascii="Calibri" w:hAnsi="Calibri"/>
                <w:bCs/>
                <w:lang w:eastAsia="ja-JP"/>
              </w:rPr>
              <w:t>POIDS 2021-2027 P5, Bugetul local, Alte surse de finanțare</w:t>
            </w:r>
          </w:p>
        </w:tc>
        <w:tc>
          <w:tcPr>
            <w:tcW w:w="433" w:type="pct"/>
            <w:shd w:val="clear" w:color="auto" w:fill="F2F2F2"/>
            <w:hideMark/>
          </w:tcPr>
          <w:p w14:paraId="421FF8F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F9EAC3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631D8BA" w14:textId="77777777" w:rsidTr="00E16711">
        <w:trPr>
          <w:trHeight w:val="1584"/>
        </w:trPr>
        <w:tc>
          <w:tcPr>
            <w:tcW w:w="205" w:type="pct"/>
            <w:shd w:val="clear" w:color="auto" w:fill="F2F2F2"/>
            <w:noWrap/>
            <w:hideMark/>
          </w:tcPr>
          <w:p w14:paraId="1F97338D"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06A160F2" w14:textId="77777777" w:rsidR="00395D01" w:rsidRPr="00912996" w:rsidRDefault="00395D01" w:rsidP="00292396">
            <w:pPr>
              <w:rPr>
                <w:rFonts w:ascii="Calibri" w:hAnsi="Calibri"/>
                <w:bCs/>
                <w:lang w:eastAsia="ja-JP"/>
              </w:rPr>
            </w:pPr>
            <w:r w:rsidRPr="00912996">
              <w:rPr>
                <w:rFonts w:ascii="Calibri" w:hAnsi="Calibri"/>
                <w:bCs/>
                <w:lang w:eastAsia="ja-JP"/>
              </w:rPr>
              <w:t>Realizarea unui studiu la nivel de Sector pentru identificarea situației și a nevoilor  copiilor și/sau familiei în vederea  creșterii calității vieții acestora precum și asigurarea condițiilor pentru viață demnă,  pentru prevenirea și combaterea situațiilor de risc</w:t>
            </w:r>
          </w:p>
        </w:tc>
        <w:tc>
          <w:tcPr>
            <w:tcW w:w="640" w:type="pct"/>
            <w:shd w:val="clear" w:color="auto" w:fill="F2F2F2"/>
            <w:hideMark/>
          </w:tcPr>
          <w:p w14:paraId="7810EAA5"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3C06A7C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65ECC5D" w14:textId="77777777" w:rsidR="00395D01" w:rsidRPr="00912996" w:rsidRDefault="00395D01" w:rsidP="00292396">
            <w:pPr>
              <w:rPr>
                <w:rFonts w:ascii="Calibri" w:hAnsi="Calibri"/>
                <w:bCs/>
                <w:lang w:eastAsia="ja-JP"/>
              </w:rPr>
            </w:pPr>
            <w:r w:rsidRPr="00912996">
              <w:rPr>
                <w:rFonts w:ascii="Calibri" w:hAnsi="Calibri"/>
                <w:bCs/>
                <w:lang w:eastAsia="ja-JP"/>
              </w:rPr>
              <w:t>110,750</w:t>
            </w:r>
          </w:p>
        </w:tc>
        <w:tc>
          <w:tcPr>
            <w:tcW w:w="411" w:type="pct"/>
            <w:shd w:val="clear" w:color="auto" w:fill="F2F2F2"/>
            <w:hideMark/>
          </w:tcPr>
          <w:p w14:paraId="5DD2F489" w14:textId="77777777" w:rsidR="00395D01" w:rsidRPr="00912996" w:rsidRDefault="00395D01" w:rsidP="00292396">
            <w:pPr>
              <w:rPr>
                <w:rFonts w:ascii="Calibri" w:hAnsi="Calibri"/>
                <w:bCs/>
                <w:lang w:eastAsia="ja-JP"/>
              </w:rPr>
            </w:pPr>
            <w:r w:rsidRPr="00912996">
              <w:rPr>
                <w:rFonts w:ascii="Calibri" w:hAnsi="Calibri"/>
                <w:bCs/>
                <w:lang w:eastAsia="ja-JP"/>
              </w:rPr>
              <w:t>25,000</w:t>
            </w:r>
          </w:p>
        </w:tc>
        <w:tc>
          <w:tcPr>
            <w:tcW w:w="347" w:type="pct"/>
            <w:shd w:val="clear" w:color="auto" w:fill="F2F2F2"/>
            <w:hideMark/>
          </w:tcPr>
          <w:p w14:paraId="00FC0311"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5F0E47BD" w14:textId="77777777" w:rsidR="00395D01" w:rsidRPr="00912996" w:rsidRDefault="00395D01" w:rsidP="00292396">
            <w:pPr>
              <w:rPr>
                <w:rFonts w:ascii="Calibri" w:hAnsi="Calibri"/>
                <w:bCs/>
                <w:lang w:eastAsia="ja-JP"/>
              </w:rPr>
            </w:pPr>
            <w:r w:rsidRPr="00912996">
              <w:rPr>
                <w:rFonts w:ascii="Calibri" w:hAnsi="Calibri"/>
                <w:bCs/>
                <w:lang w:eastAsia="ja-JP"/>
              </w:rPr>
              <w:t>POIDS 2021-2027 P6, Bugetul local, Alte surse de finanțare</w:t>
            </w:r>
          </w:p>
        </w:tc>
        <w:tc>
          <w:tcPr>
            <w:tcW w:w="433" w:type="pct"/>
            <w:shd w:val="clear" w:color="auto" w:fill="F2F2F2"/>
            <w:hideMark/>
          </w:tcPr>
          <w:p w14:paraId="41E3101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EEC9C38"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CEAC6BB" w14:textId="77777777" w:rsidTr="00E16711">
        <w:trPr>
          <w:trHeight w:val="792"/>
        </w:trPr>
        <w:tc>
          <w:tcPr>
            <w:tcW w:w="205" w:type="pct"/>
            <w:shd w:val="clear" w:color="auto" w:fill="F2F2F2"/>
            <w:noWrap/>
            <w:hideMark/>
          </w:tcPr>
          <w:p w14:paraId="11541CE2"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62E4BE40" w14:textId="77777777" w:rsidR="00395D01" w:rsidRPr="00912996" w:rsidRDefault="00395D01" w:rsidP="00292396">
            <w:pPr>
              <w:rPr>
                <w:rFonts w:ascii="Calibri" w:hAnsi="Calibri"/>
                <w:bCs/>
                <w:lang w:eastAsia="ja-JP"/>
              </w:rPr>
            </w:pPr>
            <w:r w:rsidRPr="00912996">
              <w:rPr>
                <w:rFonts w:ascii="Calibri" w:hAnsi="Calibri"/>
                <w:bCs/>
                <w:lang w:eastAsia="ja-JP"/>
              </w:rPr>
              <w:t>Violența naște violență – campanii pentru informarea și responsabilizarea comunității față de problematica violenței în familie</w:t>
            </w:r>
          </w:p>
        </w:tc>
        <w:tc>
          <w:tcPr>
            <w:tcW w:w="640" w:type="pct"/>
            <w:shd w:val="clear" w:color="auto" w:fill="F2F2F2"/>
            <w:hideMark/>
          </w:tcPr>
          <w:p w14:paraId="7C638745" w14:textId="77777777" w:rsidR="00395D01" w:rsidRPr="00912996" w:rsidRDefault="00395D01" w:rsidP="00292396">
            <w:pPr>
              <w:rPr>
                <w:rFonts w:ascii="Calibri" w:hAnsi="Calibri"/>
                <w:bCs/>
                <w:lang w:eastAsia="ja-JP"/>
              </w:rPr>
            </w:pPr>
            <w:r w:rsidRPr="00912996">
              <w:rPr>
                <w:rFonts w:ascii="Calibri" w:hAnsi="Calibri"/>
                <w:bCs/>
                <w:lang w:eastAsia="ja-JP"/>
              </w:rPr>
              <w:t>PS2, DGASPC S2, Poliția Locală S2</w:t>
            </w:r>
          </w:p>
        </w:tc>
        <w:tc>
          <w:tcPr>
            <w:tcW w:w="507" w:type="pct"/>
            <w:shd w:val="clear" w:color="auto" w:fill="F2F2F2"/>
            <w:hideMark/>
          </w:tcPr>
          <w:p w14:paraId="1149631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76B6177" w14:textId="77777777" w:rsidR="00395D01" w:rsidRPr="00912996" w:rsidRDefault="00395D01" w:rsidP="00292396">
            <w:pPr>
              <w:rPr>
                <w:rFonts w:ascii="Calibri" w:hAnsi="Calibri"/>
                <w:bCs/>
                <w:lang w:eastAsia="ja-JP"/>
              </w:rPr>
            </w:pPr>
            <w:r w:rsidRPr="00912996">
              <w:rPr>
                <w:rFonts w:ascii="Calibri" w:hAnsi="Calibri"/>
                <w:bCs/>
                <w:lang w:eastAsia="ja-JP"/>
              </w:rPr>
              <w:t>88,600</w:t>
            </w:r>
          </w:p>
        </w:tc>
        <w:tc>
          <w:tcPr>
            <w:tcW w:w="411" w:type="pct"/>
            <w:shd w:val="clear" w:color="auto" w:fill="F2F2F2"/>
            <w:hideMark/>
          </w:tcPr>
          <w:p w14:paraId="7D86F296" w14:textId="77777777" w:rsidR="00395D01" w:rsidRPr="00912996" w:rsidRDefault="00395D01" w:rsidP="00292396">
            <w:pPr>
              <w:rPr>
                <w:rFonts w:ascii="Calibri" w:hAnsi="Calibri"/>
                <w:bCs/>
                <w:lang w:eastAsia="ja-JP"/>
              </w:rPr>
            </w:pPr>
            <w:r w:rsidRPr="00912996">
              <w:rPr>
                <w:rFonts w:ascii="Calibri" w:hAnsi="Calibri"/>
                <w:bCs/>
                <w:lang w:eastAsia="ja-JP"/>
              </w:rPr>
              <w:t>18,082</w:t>
            </w:r>
          </w:p>
        </w:tc>
        <w:tc>
          <w:tcPr>
            <w:tcW w:w="347" w:type="pct"/>
            <w:shd w:val="clear" w:color="auto" w:fill="F2F2F2"/>
            <w:hideMark/>
          </w:tcPr>
          <w:p w14:paraId="3D1554F6"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76692D91" w14:textId="77777777" w:rsidR="00395D01" w:rsidRPr="00912996" w:rsidRDefault="00395D01" w:rsidP="00292396">
            <w:pPr>
              <w:rPr>
                <w:rFonts w:ascii="Calibri" w:hAnsi="Calibri"/>
                <w:bCs/>
                <w:lang w:eastAsia="ja-JP"/>
              </w:rPr>
            </w:pPr>
            <w:r w:rsidRPr="00912996">
              <w:rPr>
                <w:rFonts w:ascii="Calibri" w:hAnsi="Calibri"/>
                <w:bCs/>
                <w:lang w:eastAsia="ja-JP"/>
              </w:rPr>
              <w:t>POIDS 2021-2027 P5, Bugetul local, Alte surse de finanțare</w:t>
            </w:r>
          </w:p>
        </w:tc>
        <w:tc>
          <w:tcPr>
            <w:tcW w:w="433" w:type="pct"/>
            <w:shd w:val="clear" w:color="auto" w:fill="F2F2F2"/>
            <w:hideMark/>
          </w:tcPr>
          <w:p w14:paraId="3C06097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EA5E263"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0BEB636" w14:textId="77777777" w:rsidTr="00E16711">
        <w:trPr>
          <w:trHeight w:val="792"/>
        </w:trPr>
        <w:tc>
          <w:tcPr>
            <w:tcW w:w="205" w:type="pct"/>
            <w:shd w:val="clear" w:color="auto" w:fill="F2F2F2"/>
            <w:noWrap/>
            <w:hideMark/>
          </w:tcPr>
          <w:p w14:paraId="65D6DACF"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7E952018" w14:textId="77777777" w:rsidR="00395D01" w:rsidRPr="00912996" w:rsidRDefault="00395D01" w:rsidP="00292396">
            <w:pPr>
              <w:rPr>
                <w:rFonts w:ascii="Calibri" w:hAnsi="Calibri"/>
                <w:bCs/>
                <w:lang w:eastAsia="ja-JP"/>
              </w:rPr>
            </w:pPr>
            <w:r w:rsidRPr="00912996">
              <w:rPr>
                <w:rFonts w:ascii="Calibri" w:hAnsi="Calibri"/>
                <w:bCs/>
                <w:lang w:eastAsia="ja-JP"/>
              </w:rPr>
              <w:t>Start bun spre viitor pentru copiii din Sectorul 2</w:t>
            </w:r>
          </w:p>
        </w:tc>
        <w:tc>
          <w:tcPr>
            <w:tcW w:w="640" w:type="pct"/>
            <w:shd w:val="clear" w:color="auto" w:fill="F2F2F2"/>
            <w:hideMark/>
          </w:tcPr>
          <w:p w14:paraId="39FD4450"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443273D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E92396C"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2AB1C0EC" w14:textId="77777777" w:rsidR="00395D01" w:rsidRPr="00912996" w:rsidRDefault="00395D01" w:rsidP="00292396">
            <w:pPr>
              <w:rPr>
                <w:rFonts w:ascii="Calibri" w:hAnsi="Calibri"/>
                <w:bCs/>
                <w:lang w:eastAsia="ja-JP"/>
              </w:rPr>
            </w:pPr>
            <w:r w:rsidRPr="00912996">
              <w:rPr>
                <w:rFonts w:ascii="Calibri" w:hAnsi="Calibri"/>
                <w:bCs/>
                <w:lang w:eastAsia="ja-JP"/>
              </w:rPr>
              <w:t>67,806</w:t>
            </w:r>
          </w:p>
        </w:tc>
        <w:tc>
          <w:tcPr>
            <w:tcW w:w="347" w:type="pct"/>
            <w:shd w:val="clear" w:color="auto" w:fill="F2F2F2"/>
            <w:hideMark/>
          </w:tcPr>
          <w:p w14:paraId="0042EBAA" w14:textId="77777777" w:rsidR="00395D01" w:rsidRPr="00912996" w:rsidRDefault="00395D01" w:rsidP="00292396">
            <w:pPr>
              <w:rPr>
                <w:rFonts w:ascii="Calibri" w:hAnsi="Calibri"/>
                <w:bCs/>
                <w:lang w:eastAsia="ja-JP"/>
              </w:rPr>
            </w:pPr>
            <w:r w:rsidRPr="00912996">
              <w:rPr>
                <w:rFonts w:ascii="Calibri" w:hAnsi="Calibri"/>
                <w:bCs/>
                <w:lang w:eastAsia="ja-JP"/>
              </w:rPr>
              <w:t>2021-2027</w:t>
            </w:r>
          </w:p>
        </w:tc>
        <w:tc>
          <w:tcPr>
            <w:tcW w:w="484" w:type="pct"/>
            <w:gridSpan w:val="2"/>
            <w:shd w:val="clear" w:color="auto" w:fill="F2F2F2"/>
            <w:hideMark/>
          </w:tcPr>
          <w:p w14:paraId="225788A4" w14:textId="77777777" w:rsidR="00395D01" w:rsidRPr="00912996" w:rsidRDefault="00395D01" w:rsidP="00292396">
            <w:pPr>
              <w:rPr>
                <w:rFonts w:ascii="Calibri" w:hAnsi="Calibri"/>
                <w:bCs/>
                <w:lang w:eastAsia="ja-JP"/>
              </w:rPr>
            </w:pPr>
            <w:r w:rsidRPr="00912996">
              <w:rPr>
                <w:rFonts w:ascii="Calibri" w:hAnsi="Calibri"/>
                <w:bCs/>
                <w:lang w:eastAsia="ja-JP"/>
              </w:rPr>
              <w:t>POIDS 2021-2027 P5, Bugetul local, Alte surse de finanțare</w:t>
            </w:r>
          </w:p>
        </w:tc>
        <w:tc>
          <w:tcPr>
            <w:tcW w:w="433" w:type="pct"/>
            <w:shd w:val="clear" w:color="auto" w:fill="F2F2F2"/>
            <w:hideMark/>
          </w:tcPr>
          <w:p w14:paraId="1321B1A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EAA279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D6A62FC" w14:textId="77777777" w:rsidTr="00E16711">
        <w:trPr>
          <w:trHeight w:val="528"/>
        </w:trPr>
        <w:tc>
          <w:tcPr>
            <w:tcW w:w="205" w:type="pct"/>
            <w:shd w:val="clear" w:color="auto" w:fill="F2F2F2"/>
            <w:noWrap/>
            <w:hideMark/>
          </w:tcPr>
          <w:p w14:paraId="1F60F8FB"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663C73F9" w14:textId="77777777" w:rsidR="00395D01" w:rsidRPr="00912996" w:rsidRDefault="00395D01" w:rsidP="00292396">
            <w:pPr>
              <w:rPr>
                <w:rFonts w:ascii="Calibri" w:hAnsi="Calibri"/>
                <w:bCs/>
                <w:lang w:eastAsia="ja-JP"/>
              </w:rPr>
            </w:pPr>
            <w:r w:rsidRPr="00912996">
              <w:rPr>
                <w:rFonts w:ascii="Calibri" w:hAnsi="Calibri"/>
                <w:bCs/>
                <w:lang w:eastAsia="ja-JP"/>
              </w:rPr>
              <w:t>Acordarea unor sprijine financiare pentru familiile monoparentale</w:t>
            </w:r>
          </w:p>
        </w:tc>
        <w:tc>
          <w:tcPr>
            <w:tcW w:w="640" w:type="pct"/>
            <w:shd w:val="clear" w:color="auto" w:fill="F2F2F2"/>
            <w:hideMark/>
          </w:tcPr>
          <w:p w14:paraId="3839F98A"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2326F40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86D9D85"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1040C864"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20546C5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1CCE812"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CEFE9A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AE3BA2E"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1FB15EF" w14:textId="77777777" w:rsidTr="00E16711">
        <w:trPr>
          <w:trHeight w:val="792"/>
        </w:trPr>
        <w:tc>
          <w:tcPr>
            <w:tcW w:w="205" w:type="pct"/>
            <w:shd w:val="clear" w:color="auto" w:fill="F2F2F2"/>
            <w:noWrap/>
            <w:hideMark/>
          </w:tcPr>
          <w:p w14:paraId="35642328"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5DA5858E" w14:textId="77777777" w:rsidR="00395D01" w:rsidRPr="00912996" w:rsidRDefault="00395D01" w:rsidP="00292396">
            <w:pPr>
              <w:rPr>
                <w:rFonts w:ascii="Calibri" w:hAnsi="Calibri"/>
                <w:bCs/>
                <w:lang w:eastAsia="ja-JP"/>
              </w:rPr>
            </w:pPr>
            <w:r w:rsidRPr="00912996">
              <w:rPr>
                <w:rFonts w:ascii="Calibri" w:hAnsi="Calibri"/>
                <w:bCs/>
                <w:lang w:eastAsia="ja-JP"/>
              </w:rPr>
              <w:t>Complex de servicii pentru prevenirea și combaterea violenței în familiile cu copii</w:t>
            </w:r>
          </w:p>
        </w:tc>
        <w:tc>
          <w:tcPr>
            <w:tcW w:w="640" w:type="pct"/>
            <w:shd w:val="clear" w:color="auto" w:fill="F2F2F2"/>
            <w:hideMark/>
          </w:tcPr>
          <w:p w14:paraId="32017220"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7C8411C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1AB35E4" w14:textId="77777777" w:rsidR="00395D01" w:rsidRPr="00912996" w:rsidRDefault="00395D01" w:rsidP="00292396">
            <w:pPr>
              <w:rPr>
                <w:rFonts w:ascii="Calibri" w:hAnsi="Calibri"/>
                <w:bCs/>
                <w:lang w:eastAsia="ja-JP"/>
              </w:rPr>
            </w:pPr>
            <w:r w:rsidRPr="00912996">
              <w:rPr>
                <w:rFonts w:ascii="Calibri" w:hAnsi="Calibri"/>
                <w:bCs/>
                <w:lang w:eastAsia="ja-JP"/>
              </w:rPr>
              <w:t>5,880,000</w:t>
            </w:r>
          </w:p>
        </w:tc>
        <w:tc>
          <w:tcPr>
            <w:tcW w:w="411" w:type="pct"/>
            <w:shd w:val="clear" w:color="auto" w:fill="F2F2F2"/>
            <w:hideMark/>
          </w:tcPr>
          <w:p w14:paraId="503F5EFE" w14:textId="77777777" w:rsidR="00395D01" w:rsidRPr="00912996" w:rsidRDefault="00395D01" w:rsidP="00292396">
            <w:pPr>
              <w:rPr>
                <w:rFonts w:ascii="Calibri" w:hAnsi="Calibri"/>
                <w:bCs/>
                <w:lang w:eastAsia="ja-JP"/>
              </w:rPr>
            </w:pPr>
            <w:r w:rsidRPr="00912996">
              <w:rPr>
                <w:rFonts w:ascii="Calibri" w:hAnsi="Calibri"/>
                <w:bCs/>
                <w:lang w:eastAsia="ja-JP"/>
              </w:rPr>
              <w:t>1,200,000</w:t>
            </w:r>
          </w:p>
        </w:tc>
        <w:tc>
          <w:tcPr>
            <w:tcW w:w="347" w:type="pct"/>
            <w:shd w:val="clear" w:color="auto" w:fill="F2F2F2"/>
            <w:hideMark/>
          </w:tcPr>
          <w:p w14:paraId="2A2C172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8812E0C" w14:textId="77777777" w:rsidR="00395D01" w:rsidRPr="00912996" w:rsidRDefault="00395D01" w:rsidP="00292396">
            <w:pPr>
              <w:rPr>
                <w:rFonts w:ascii="Calibri" w:hAnsi="Calibri"/>
                <w:bCs/>
                <w:lang w:eastAsia="ja-JP"/>
              </w:rPr>
            </w:pPr>
            <w:r w:rsidRPr="00912996">
              <w:rPr>
                <w:rFonts w:ascii="Calibri" w:hAnsi="Calibri"/>
                <w:bCs/>
                <w:lang w:eastAsia="ja-JP"/>
              </w:rPr>
              <w:t>PNRR C13, Bugetul local, Alte surse de finanțare</w:t>
            </w:r>
          </w:p>
        </w:tc>
        <w:tc>
          <w:tcPr>
            <w:tcW w:w="433" w:type="pct"/>
            <w:shd w:val="clear" w:color="auto" w:fill="F2F2F2"/>
            <w:hideMark/>
          </w:tcPr>
          <w:p w14:paraId="0ED07E5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F8CA74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70C9AE0" w14:textId="77777777" w:rsidTr="003653A4">
        <w:trPr>
          <w:trHeight w:val="1713"/>
        </w:trPr>
        <w:tc>
          <w:tcPr>
            <w:tcW w:w="205" w:type="pct"/>
            <w:shd w:val="clear" w:color="auto" w:fill="F2F2F2"/>
            <w:noWrap/>
            <w:hideMark/>
          </w:tcPr>
          <w:p w14:paraId="1885271A"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4739C98B" w14:textId="77777777" w:rsidR="00395D01" w:rsidRPr="00912996" w:rsidRDefault="00395D01" w:rsidP="00292396">
            <w:pPr>
              <w:rPr>
                <w:rFonts w:ascii="Calibri" w:hAnsi="Calibri"/>
                <w:bCs/>
                <w:lang w:eastAsia="ja-JP"/>
              </w:rPr>
            </w:pPr>
            <w:r w:rsidRPr="00912996">
              <w:rPr>
                <w:rFonts w:ascii="Calibri" w:hAnsi="Calibri"/>
                <w:bCs/>
                <w:lang w:eastAsia="ja-JP"/>
              </w:rPr>
              <w:t>Reconfigurare, supraetajare corp central DGASPC Sector 2, conformare la standardele DSP și ISU, pentru funcțiunea de centru multifuncțional de recuperare copii cu dizabilități</w:t>
            </w:r>
          </w:p>
        </w:tc>
        <w:tc>
          <w:tcPr>
            <w:tcW w:w="640" w:type="pct"/>
            <w:shd w:val="clear" w:color="auto" w:fill="F2F2F2"/>
            <w:hideMark/>
          </w:tcPr>
          <w:p w14:paraId="0EF5B3B7"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02FC1B4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CAEEADA" w14:textId="77777777" w:rsidR="00395D01" w:rsidRPr="00912996" w:rsidRDefault="00395D01" w:rsidP="00292396">
            <w:pPr>
              <w:rPr>
                <w:rFonts w:ascii="Calibri" w:hAnsi="Calibri"/>
                <w:bCs/>
                <w:lang w:eastAsia="ja-JP"/>
              </w:rPr>
            </w:pPr>
            <w:r w:rsidRPr="00912996">
              <w:rPr>
                <w:rFonts w:ascii="Calibri" w:hAnsi="Calibri"/>
                <w:bCs/>
                <w:lang w:eastAsia="ja-JP"/>
              </w:rPr>
              <w:t>2,585,977</w:t>
            </w:r>
          </w:p>
        </w:tc>
        <w:tc>
          <w:tcPr>
            <w:tcW w:w="411" w:type="pct"/>
            <w:shd w:val="clear" w:color="auto" w:fill="F2F2F2"/>
            <w:hideMark/>
          </w:tcPr>
          <w:p w14:paraId="7D747D4B" w14:textId="77777777" w:rsidR="00395D01" w:rsidRPr="00912996" w:rsidRDefault="00395D01" w:rsidP="00292396">
            <w:pPr>
              <w:rPr>
                <w:rFonts w:ascii="Calibri" w:hAnsi="Calibri"/>
                <w:bCs/>
                <w:lang w:eastAsia="ja-JP"/>
              </w:rPr>
            </w:pPr>
            <w:r w:rsidRPr="00912996">
              <w:rPr>
                <w:rFonts w:ascii="Calibri" w:hAnsi="Calibri"/>
                <w:bCs/>
                <w:lang w:eastAsia="ja-JP"/>
              </w:rPr>
              <w:t>527,750</w:t>
            </w:r>
          </w:p>
        </w:tc>
        <w:tc>
          <w:tcPr>
            <w:tcW w:w="347" w:type="pct"/>
            <w:shd w:val="clear" w:color="auto" w:fill="F2F2F2"/>
            <w:hideMark/>
          </w:tcPr>
          <w:p w14:paraId="78F79DC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E6BEA86" w14:textId="77777777" w:rsidR="00395D01" w:rsidRPr="00912996" w:rsidRDefault="00395D01" w:rsidP="00292396">
            <w:pPr>
              <w:rPr>
                <w:rFonts w:ascii="Calibri" w:hAnsi="Calibri"/>
                <w:bCs/>
                <w:lang w:eastAsia="ja-JP"/>
              </w:rPr>
            </w:pPr>
            <w:r w:rsidRPr="00912996">
              <w:rPr>
                <w:rFonts w:ascii="Calibri" w:hAnsi="Calibri"/>
                <w:bCs/>
                <w:lang w:eastAsia="ja-JP"/>
              </w:rPr>
              <w:t>POIDS 2021-2027 P7, PNRR C13, Bugetul local, Alte surse de finanțare</w:t>
            </w:r>
          </w:p>
        </w:tc>
        <w:tc>
          <w:tcPr>
            <w:tcW w:w="433" w:type="pct"/>
            <w:shd w:val="clear" w:color="auto" w:fill="F2F2F2"/>
            <w:hideMark/>
          </w:tcPr>
          <w:p w14:paraId="1D1108C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18B4616"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B7D0BF6" w14:textId="77777777" w:rsidTr="003653A4">
        <w:trPr>
          <w:trHeight w:val="1380"/>
        </w:trPr>
        <w:tc>
          <w:tcPr>
            <w:tcW w:w="205" w:type="pct"/>
            <w:shd w:val="clear" w:color="auto" w:fill="F2F2F2"/>
            <w:noWrap/>
          </w:tcPr>
          <w:p w14:paraId="499E57E5"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tcPr>
          <w:p w14:paraId="5A9EC1D5" w14:textId="77777777" w:rsidR="00395D01" w:rsidRPr="00912996" w:rsidRDefault="00395D01" w:rsidP="00292396">
            <w:pPr>
              <w:rPr>
                <w:rFonts w:ascii="Calibri" w:hAnsi="Calibri"/>
                <w:bCs/>
                <w:lang w:eastAsia="ja-JP"/>
              </w:rPr>
            </w:pPr>
            <w:r w:rsidRPr="00912996">
              <w:rPr>
                <w:rFonts w:ascii="Calibri" w:hAnsi="Calibri"/>
                <w:bCs/>
                <w:lang w:eastAsia="ja-JP"/>
              </w:rPr>
              <w:t>Sesiuni de informare și consiliere pentru tinerii care ies din sistemul social privind oportunitățile sociale și economice</w:t>
            </w:r>
          </w:p>
        </w:tc>
        <w:tc>
          <w:tcPr>
            <w:tcW w:w="640" w:type="pct"/>
            <w:shd w:val="clear" w:color="auto" w:fill="F2F2F2"/>
          </w:tcPr>
          <w:p w14:paraId="177EF9D3"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tcPr>
          <w:p w14:paraId="7D42C74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tcPr>
          <w:p w14:paraId="05E3CE68"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0F721692"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26D887A7" w14:textId="77777777" w:rsidR="00395D01" w:rsidRPr="00912996" w:rsidRDefault="00395D01" w:rsidP="00292396">
            <w:pPr>
              <w:rPr>
                <w:rFonts w:ascii="Calibri" w:hAnsi="Calibri"/>
                <w:bCs/>
                <w:lang w:eastAsia="ja-JP"/>
              </w:rPr>
            </w:pPr>
            <w:r>
              <w:rPr>
                <w:rFonts w:ascii="Calibri" w:hAnsi="Calibri"/>
                <w:bCs/>
                <w:lang w:eastAsia="ja-JP"/>
              </w:rPr>
              <w:t>2</w:t>
            </w:r>
            <w:r w:rsidRPr="00912996">
              <w:rPr>
                <w:rFonts w:ascii="Calibri" w:hAnsi="Calibri"/>
                <w:bCs/>
                <w:lang w:eastAsia="ja-JP"/>
              </w:rPr>
              <w:t>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tcPr>
          <w:p w14:paraId="5BD8D660"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tcPr>
          <w:p w14:paraId="28A5105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tcPr>
          <w:p w14:paraId="5F71CAC7" w14:textId="77777777" w:rsidR="00395D01" w:rsidRPr="00912996" w:rsidRDefault="00395D01" w:rsidP="00292396">
            <w:pPr>
              <w:rPr>
                <w:rFonts w:ascii="Calibri" w:hAnsi="Calibri"/>
                <w:bCs/>
                <w:lang w:eastAsia="ja-JP"/>
              </w:rPr>
            </w:pPr>
            <w:r w:rsidRPr="00912996">
              <w:rPr>
                <w:rFonts w:ascii="Calibri" w:hAnsi="Calibri"/>
                <w:bCs/>
                <w:lang w:eastAsia="ja-JP"/>
              </w:rPr>
              <w:t>Propuneri consultări publice</w:t>
            </w:r>
          </w:p>
        </w:tc>
      </w:tr>
      <w:tr w:rsidR="00E16711" w:rsidRPr="00912996" w14:paraId="1356E701" w14:textId="77777777" w:rsidTr="00E16711">
        <w:trPr>
          <w:trHeight w:val="1320"/>
        </w:trPr>
        <w:tc>
          <w:tcPr>
            <w:tcW w:w="205" w:type="pct"/>
            <w:shd w:val="clear" w:color="auto" w:fill="F2F2F2"/>
            <w:noWrap/>
          </w:tcPr>
          <w:p w14:paraId="7740A3C5"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tcPr>
          <w:p w14:paraId="05D7C0BE" w14:textId="77777777" w:rsidR="00395D01" w:rsidRPr="00912996" w:rsidRDefault="00395D01" w:rsidP="00292396">
            <w:pPr>
              <w:rPr>
                <w:rFonts w:ascii="Calibri" w:hAnsi="Calibri"/>
                <w:bCs/>
                <w:lang w:eastAsia="ja-JP"/>
              </w:rPr>
            </w:pPr>
            <w:r w:rsidRPr="00912996">
              <w:rPr>
                <w:rFonts w:ascii="Calibri" w:hAnsi="Calibri"/>
                <w:bCs/>
                <w:lang w:eastAsia="ja-JP"/>
              </w:rPr>
              <w:t>Realizarea de anchete sociale în instituții școlare pentru identificarea familiilor vulnerabile</w:t>
            </w:r>
          </w:p>
        </w:tc>
        <w:tc>
          <w:tcPr>
            <w:tcW w:w="640" w:type="pct"/>
            <w:shd w:val="clear" w:color="auto" w:fill="F2F2F2"/>
          </w:tcPr>
          <w:p w14:paraId="4109FC62"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tcPr>
          <w:p w14:paraId="372420C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tcPr>
          <w:p w14:paraId="00096E33"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04D54517"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04C83D6E" w14:textId="77777777" w:rsidR="00395D01" w:rsidRPr="00912996" w:rsidRDefault="00395D01" w:rsidP="00292396">
            <w:pPr>
              <w:rPr>
                <w:rFonts w:ascii="Calibri" w:hAnsi="Calibri"/>
                <w:bCs/>
                <w:lang w:eastAsia="ja-JP"/>
              </w:rPr>
            </w:pPr>
            <w:r>
              <w:rPr>
                <w:rFonts w:ascii="Calibri" w:hAnsi="Calibri"/>
                <w:bCs/>
                <w:lang w:eastAsia="ja-JP"/>
              </w:rPr>
              <w:t>2</w:t>
            </w:r>
            <w:r w:rsidRPr="00912996">
              <w:rPr>
                <w:rFonts w:ascii="Calibri" w:hAnsi="Calibri"/>
                <w:bCs/>
                <w:lang w:eastAsia="ja-JP"/>
              </w:rPr>
              <w:t>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tcPr>
          <w:p w14:paraId="10E95D54"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tcPr>
          <w:p w14:paraId="63AE21E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tcPr>
          <w:p w14:paraId="2A582A2E" w14:textId="77777777" w:rsidR="00395D01" w:rsidRPr="00912996" w:rsidRDefault="00395D01" w:rsidP="00292396">
            <w:pPr>
              <w:rPr>
                <w:rFonts w:ascii="Calibri" w:hAnsi="Calibri"/>
                <w:bCs/>
                <w:lang w:eastAsia="ja-JP"/>
              </w:rPr>
            </w:pPr>
            <w:r w:rsidRPr="00912996">
              <w:rPr>
                <w:rFonts w:ascii="Calibri" w:hAnsi="Calibri"/>
                <w:bCs/>
                <w:lang w:eastAsia="ja-JP"/>
              </w:rPr>
              <w:t>Propuneri consultări publice</w:t>
            </w:r>
          </w:p>
        </w:tc>
      </w:tr>
      <w:tr w:rsidR="00395D01" w:rsidRPr="00912996" w14:paraId="06F407DE" w14:textId="77777777" w:rsidTr="00292396">
        <w:trPr>
          <w:trHeight w:val="264"/>
        </w:trPr>
        <w:tc>
          <w:tcPr>
            <w:tcW w:w="5000" w:type="pct"/>
            <w:gridSpan w:val="12"/>
            <w:shd w:val="clear" w:color="auto" w:fill="BBD9A0"/>
            <w:noWrap/>
            <w:hideMark/>
          </w:tcPr>
          <w:p w14:paraId="07E8BF00" w14:textId="77777777" w:rsidR="00395D01" w:rsidRPr="00912996" w:rsidRDefault="00395D01" w:rsidP="003653A4">
            <w:pPr>
              <w:jc w:val="center"/>
              <w:rPr>
                <w:rFonts w:ascii="Calibri" w:hAnsi="Calibri"/>
                <w:b/>
                <w:bCs/>
                <w:lang w:eastAsia="ja-JP"/>
              </w:rPr>
            </w:pPr>
            <w:r w:rsidRPr="00912996">
              <w:rPr>
                <w:rFonts w:ascii="Calibri" w:hAnsi="Calibri"/>
                <w:b/>
                <w:bCs/>
                <w:color w:val="FFFFFF"/>
                <w:lang w:eastAsia="ja-JP"/>
              </w:rPr>
              <w:t>D1.7.3. Asigurarea de servicii sociale destinate persoanelor vârstnice și cu dizabilități</w:t>
            </w:r>
          </w:p>
        </w:tc>
      </w:tr>
      <w:tr w:rsidR="00E16711" w:rsidRPr="00912996" w14:paraId="257A1306" w14:textId="77777777" w:rsidTr="00E16711">
        <w:trPr>
          <w:trHeight w:val="792"/>
        </w:trPr>
        <w:tc>
          <w:tcPr>
            <w:tcW w:w="205" w:type="pct"/>
            <w:shd w:val="clear" w:color="auto" w:fill="F2F2F2"/>
            <w:noWrap/>
            <w:hideMark/>
          </w:tcPr>
          <w:p w14:paraId="5ADE9136"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27759BFC" w14:textId="77777777" w:rsidR="00395D01" w:rsidRPr="00912996" w:rsidRDefault="00395D01" w:rsidP="00292396">
            <w:pPr>
              <w:rPr>
                <w:rFonts w:ascii="Calibri" w:hAnsi="Calibri"/>
                <w:bCs/>
                <w:lang w:eastAsia="ja-JP"/>
              </w:rPr>
            </w:pPr>
            <w:r w:rsidRPr="00912996">
              <w:rPr>
                <w:rFonts w:ascii="Calibri" w:hAnsi="Calibri"/>
                <w:bCs/>
                <w:lang w:eastAsia="ja-JP"/>
              </w:rPr>
              <w:t>Și tu vei fi la fel – Campanie de informare și sensibilizare asupra vulnerabilității persoanelor vârstnice</w:t>
            </w:r>
          </w:p>
        </w:tc>
        <w:tc>
          <w:tcPr>
            <w:tcW w:w="640" w:type="pct"/>
            <w:shd w:val="clear" w:color="auto" w:fill="F2F2F2"/>
            <w:hideMark/>
          </w:tcPr>
          <w:p w14:paraId="65EDE471" w14:textId="77777777" w:rsidR="00395D01" w:rsidRPr="00912996" w:rsidRDefault="00395D01" w:rsidP="00292396">
            <w:pPr>
              <w:rPr>
                <w:rFonts w:ascii="Calibri" w:hAnsi="Calibri"/>
                <w:bCs/>
                <w:lang w:eastAsia="ja-JP"/>
              </w:rPr>
            </w:pPr>
            <w:r w:rsidRPr="00912996">
              <w:rPr>
                <w:rFonts w:ascii="Calibri" w:hAnsi="Calibri"/>
                <w:bCs/>
                <w:lang w:eastAsia="ja-JP"/>
              </w:rPr>
              <w:t>PS2 în parteneriat cu Poliția Locală S2</w:t>
            </w:r>
          </w:p>
        </w:tc>
        <w:tc>
          <w:tcPr>
            <w:tcW w:w="507" w:type="pct"/>
            <w:shd w:val="clear" w:color="auto" w:fill="F2F2F2"/>
            <w:hideMark/>
          </w:tcPr>
          <w:p w14:paraId="7261B15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8DD6532" w14:textId="77777777" w:rsidR="00395D01" w:rsidRPr="00912996" w:rsidRDefault="00395D01" w:rsidP="00292396">
            <w:pPr>
              <w:rPr>
                <w:rFonts w:ascii="Calibri" w:hAnsi="Calibri"/>
                <w:bCs/>
                <w:lang w:eastAsia="ja-JP"/>
              </w:rPr>
            </w:pPr>
            <w:r w:rsidRPr="00912996">
              <w:rPr>
                <w:rFonts w:ascii="Calibri" w:hAnsi="Calibri"/>
                <w:bCs/>
                <w:lang w:eastAsia="ja-JP"/>
              </w:rPr>
              <w:t>88,600</w:t>
            </w:r>
          </w:p>
        </w:tc>
        <w:tc>
          <w:tcPr>
            <w:tcW w:w="411" w:type="pct"/>
            <w:shd w:val="clear" w:color="auto" w:fill="F2F2F2"/>
            <w:hideMark/>
          </w:tcPr>
          <w:p w14:paraId="507FFC1D" w14:textId="77777777" w:rsidR="00395D01" w:rsidRPr="00912996" w:rsidRDefault="00395D01" w:rsidP="00292396">
            <w:pPr>
              <w:rPr>
                <w:rFonts w:ascii="Calibri" w:hAnsi="Calibri"/>
                <w:bCs/>
                <w:lang w:eastAsia="ja-JP"/>
              </w:rPr>
            </w:pPr>
            <w:r w:rsidRPr="00912996">
              <w:rPr>
                <w:rFonts w:ascii="Calibri" w:hAnsi="Calibri"/>
                <w:bCs/>
                <w:lang w:eastAsia="ja-JP"/>
              </w:rPr>
              <w:t>20,000</w:t>
            </w:r>
          </w:p>
        </w:tc>
        <w:tc>
          <w:tcPr>
            <w:tcW w:w="347" w:type="pct"/>
            <w:shd w:val="clear" w:color="auto" w:fill="F2F2F2"/>
            <w:hideMark/>
          </w:tcPr>
          <w:p w14:paraId="58F7D34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6713677" w14:textId="77777777" w:rsidR="00395D01" w:rsidRPr="00912996" w:rsidRDefault="00395D01" w:rsidP="00292396">
            <w:pPr>
              <w:rPr>
                <w:rFonts w:ascii="Calibri" w:hAnsi="Calibri"/>
                <w:bCs/>
                <w:lang w:eastAsia="ja-JP"/>
              </w:rPr>
            </w:pPr>
            <w:r w:rsidRPr="00912996">
              <w:rPr>
                <w:rFonts w:ascii="Calibri" w:hAnsi="Calibri"/>
                <w:bCs/>
                <w:lang w:eastAsia="ja-JP"/>
              </w:rPr>
              <w:t>POIDS 2021-2027 P5, Bugetul local, Alte surse de finanțare</w:t>
            </w:r>
          </w:p>
        </w:tc>
        <w:tc>
          <w:tcPr>
            <w:tcW w:w="433" w:type="pct"/>
            <w:shd w:val="clear" w:color="auto" w:fill="F2F2F2"/>
            <w:hideMark/>
          </w:tcPr>
          <w:p w14:paraId="30434DB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10A5C0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457ACC85" w14:textId="77777777" w:rsidTr="00E16711">
        <w:trPr>
          <w:trHeight w:val="1848"/>
        </w:trPr>
        <w:tc>
          <w:tcPr>
            <w:tcW w:w="205" w:type="pct"/>
            <w:shd w:val="clear" w:color="auto" w:fill="F2F2F2"/>
            <w:noWrap/>
            <w:hideMark/>
          </w:tcPr>
          <w:p w14:paraId="57389EC7"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32300AB7" w14:textId="2B3F878C" w:rsidR="00395D01" w:rsidRPr="00912996" w:rsidRDefault="00395D01" w:rsidP="00292396">
            <w:pPr>
              <w:rPr>
                <w:rFonts w:ascii="Calibri" w:hAnsi="Calibri"/>
                <w:bCs/>
                <w:lang w:eastAsia="ja-JP"/>
              </w:rPr>
            </w:pPr>
            <w:r w:rsidRPr="00912996">
              <w:rPr>
                <w:rFonts w:ascii="Calibri" w:hAnsi="Calibri"/>
                <w:bCs/>
                <w:lang w:eastAsia="ja-JP"/>
              </w:rPr>
              <w:t>Proiect complex de creare a unui centru pentru persoanele cu dizabilități psihice (persoane cu boli psihice cornice, persoane cu Alzheimer), cu programe de asistență specializată și cercetare psihiatrică în parteneriat cu universitățile de profil</w:t>
            </w:r>
          </w:p>
        </w:tc>
        <w:tc>
          <w:tcPr>
            <w:tcW w:w="640" w:type="pct"/>
            <w:shd w:val="clear" w:color="auto" w:fill="F2F2F2"/>
            <w:hideMark/>
          </w:tcPr>
          <w:p w14:paraId="7817E0D3" w14:textId="77777777" w:rsidR="00395D01" w:rsidRPr="00912996" w:rsidRDefault="00395D01" w:rsidP="00292396">
            <w:pPr>
              <w:rPr>
                <w:rFonts w:ascii="Calibri" w:hAnsi="Calibri"/>
                <w:bCs/>
                <w:lang w:eastAsia="ja-JP"/>
              </w:rPr>
            </w:pPr>
            <w:r w:rsidRPr="00912996">
              <w:rPr>
                <w:rFonts w:ascii="Calibri" w:hAnsi="Calibri"/>
                <w:bCs/>
                <w:lang w:eastAsia="ja-JP"/>
              </w:rPr>
              <w:t>PS2, DGASPC S2, Universități și centre de cercetare de profil</w:t>
            </w:r>
          </w:p>
        </w:tc>
        <w:tc>
          <w:tcPr>
            <w:tcW w:w="507" w:type="pct"/>
            <w:shd w:val="clear" w:color="auto" w:fill="F2F2F2"/>
            <w:hideMark/>
          </w:tcPr>
          <w:p w14:paraId="4718F065"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2CB2258" w14:textId="77777777" w:rsidR="00395D01" w:rsidRPr="00912996" w:rsidRDefault="00395D01" w:rsidP="00292396">
            <w:pPr>
              <w:rPr>
                <w:rFonts w:ascii="Calibri" w:hAnsi="Calibri"/>
                <w:bCs/>
                <w:lang w:eastAsia="ja-JP"/>
              </w:rPr>
            </w:pPr>
            <w:r w:rsidRPr="00912996">
              <w:rPr>
                <w:rFonts w:ascii="Calibri" w:hAnsi="Calibri"/>
                <w:bCs/>
                <w:lang w:eastAsia="ja-JP"/>
              </w:rPr>
              <w:t>8,860,000</w:t>
            </w:r>
          </w:p>
        </w:tc>
        <w:tc>
          <w:tcPr>
            <w:tcW w:w="411" w:type="pct"/>
            <w:shd w:val="clear" w:color="auto" w:fill="F2F2F2"/>
            <w:hideMark/>
          </w:tcPr>
          <w:p w14:paraId="65F140AA"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734AAA86" w14:textId="77777777" w:rsidR="00395D01" w:rsidRPr="00912996" w:rsidRDefault="00395D01" w:rsidP="00292396">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484" w:type="pct"/>
            <w:gridSpan w:val="2"/>
            <w:shd w:val="clear" w:color="auto" w:fill="F2F2F2"/>
            <w:hideMark/>
          </w:tcPr>
          <w:p w14:paraId="127CBEAF" w14:textId="77777777" w:rsidR="00395D01" w:rsidRPr="00912996" w:rsidRDefault="00395D01" w:rsidP="00292396">
            <w:pPr>
              <w:rPr>
                <w:rFonts w:ascii="Calibri" w:hAnsi="Calibri"/>
                <w:bCs/>
                <w:lang w:eastAsia="ja-JP"/>
              </w:rPr>
            </w:pPr>
            <w:r w:rsidRPr="00912996">
              <w:rPr>
                <w:rFonts w:ascii="Calibri" w:hAnsi="Calibri"/>
                <w:bCs/>
                <w:lang w:eastAsia="ja-JP"/>
              </w:rPr>
              <w:t>POIDS 2021-2027 P7, PNRR C13, Bugetul local, Alte surse de finanțare</w:t>
            </w:r>
          </w:p>
        </w:tc>
        <w:tc>
          <w:tcPr>
            <w:tcW w:w="433" w:type="pct"/>
            <w:shd w:val="clear" w:color="auto" w:fill="F2F2F2"/>
            <w:hideMark/>
          </w:tcPr>
          <w:p w14:paraId="56ABF78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E4483A3"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20C4136" w14:textId="77777777" w:rsidTr="00E16711">
        <w:trPr>
          <w:trHeight w:val="1056"/>
        </w:trPr>
        <w:tc>
          <w:tcPr>
            <w:tcW w:w="205" w:type="pct"/>
            <w:shd w:val="clear" w:color="auto" w:fill="F2F2F2"/>
            <w:noWrap/>
            <w:hideMark/>
          </w:tcPr>
          <w:p w14:paraId="1304EF06"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3F527174" w14:textId="77777777" w:rsidR="00395D01" w:rsidRPr="00912996" w:rsidRDefault="00395D01" w:rsidP="00292396">
            <w:pPr>
              <w:rPr>
                <w:rFonts w:ascii="Calibri" w:hAnsi="Calibri"/>
                <w:bCs/>
                <w:lang w:eastAsia="ja-JP"/>
              </w:rPr>
            </w:pPr>
            <w:r w:rsidRPr="00912996">
              <w:rPr>
                <w:rFonts w:ascii="Calibri" w:hAnsi="Calibri"/>
                <w:bCs/>
                <w:lang w:eastAsia="ja-JP"/>
              </w:rPr>
              <w:t>Crearea unui nou centru pentru persoane cu dizabilități</w:t>
            </w:r>
          </w:p>
        </w:tc>
        <w:tc>
          <w:tcPr>
            <w:tcW w:w="640" w:type="pct"/>
            <w:shd w:val="clear" w:color="auto" w:fill="F2F2F2"/>
            <w:hideMark/>
          </w:tcPr>
          <w:p w14:paraId="58D7326D"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52B65DC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938A7DC" w14:textId="77777777" w:rsidR="00395D01" w:rsidRPr="00912996" w:rsidRDefault="00395D01" w:rsidP="00292396">
            <w:pPr>
              <w:rPr>
                <w:rFonts w:ascii="Calibri" w:hAnsi="Calibri"/>
                <w:bCs/>
                <w:lang w:eastAsia="ja-JP"/>
              </w:rPr>
            </w:pPr>
            <w:r w:rsidRPr="00912996">
              <w:rPr>
                <w:rFonts w:ascii="Calibri" w:hAnsi="Calibri"/>
                <w:bCs/>
                <w:lang w:eastAsia="ja-JP"/>
              </w:rPr>
              <w:t>8,860,000</w:t>
            </w:r>
          </w:p>
        </w:tc>
        <w:tc>
          <w:tcPr>
            <w:tcW w:w="411" w:type="pct"/>
            <w:shd w:val="clear" w:color="auto" w:fill="F2F2F2"/>
            <w:hideMark/>
          </w:tcPr>
          <w:p w14:paraId="4D8C7378"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2036A68D"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BA02E89" w14:textId="77777777" w:rsidR="00395D01" w:rsidRPr="00912996" w:rsidRDefault="00395D01" w:rsidP="00292396">
            <w:pPr>
              <w:rPr>
                <w:rFonts w:ascii="Calibri" w:hAnsi="Calibri"/>
                <w:bCs/>
                <w:lang w:eastAsia="ja-JP"/>
              </w:rPr>
            </w:pPr>
            <w:r w:rsidRPr="00912996">
              <w:rPr>
                <w:rFonts w:ascii="Calibri" w:hAnsi="Calibri"/>
                <w:bCs/>
                <w:lang w:eastAsia="ja-JP"/>
              </w:rPr>
              <w:t>POIDS 2021-2027 P7, PNRR C13, Bugetul local, Alte surse de finanțare</w:t>
            </w:r>
          </w:p>
        </w:tc>
        <w:tc>
          <w:tcPr>
            <w:tcW w:w="433" w:type="pct"/>
            <w:shd w:val="clear" w:color="auto" w:fill="F2F2F2"/>
            <w:hideMark/>
          </w:tcPr>
          <w:p w14:paraId="7B262A43"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02304D25"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55EC2EB" w14:textId="77777777" w:rsidTr="00E16711">
        <w:trPr>
          <w:trHeight w:val="1584"/>
        </w:trPr>
        <w:tc>
          <w:tcPr>
            <w:tcW w:w="205" w:type="pct"/>
            <w:shd w:val="clear" w:color="auto" w:fill="F2F2F2"/>
            <w:noWrap/>
            <w:hideMark/>
          </w:tcPr>
          <w:p w14:paraId="7B2E7401"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402554D5" w14:textId="77777777" w:rsidR="00395D01" w:rsidRPr="00912996" w:rsidRDefault="00395D01" w:rsidP="00292396">
            <w:pPr>
              <w:rPr>
                <w:rFonts w:ascii="Calibri" w:hAnsi="Calibri"/>
                <w:bCs/>
                <w:lang w:eastAsia="ja-JP"/>
              </w:rPr>
            </w:pPr>
            <w:r w:rsidRPr="00912996">
              <w:rPr>
                <w:rFonts w:ascii="Calibri" w:hAnsi="Calibri"/>
                <w:bCs/>
                <w:lang w:eastAsia="ja-JP"/>
              </w:rPr>
              <w:t>Proiect complex de includerea în programe de formare profesională a persoanelor cu dizabilități, promovarea oportunităților de transfer pe piața muncii, inclusiv campanii de prevenire și combatere a prejudecăților și discriminării la locul de muncă</w:t>
            </w:r>
          </w:p>
        </w:tc>
        <w:tc>
          <w:tcPr>
            <w:tcW w:w="640" w:type="pct"/>
            <w:shd w:val="clear" w:color="auto" w:fill="F2F2F2"/>
            <w:hideMark/>
          </w:tcPr>
          <w:p w14:paraId="73343CA1" w14:textId="77777777" w:rsidR="00395D01" w:rsidRPr="00912996" w:rsidRDefault="00395D01" w:rsidP="00292396">
            <w:pPr>
              <w:rPr>
                <w:rFonts w:ascii="Calibri" w:hAnsi="Calibri"/>
                <w:bCs/>
                <w:lang w:eastAsia="ja-JP"/>
              </w:rPr>
            </w:pPr>
            <w:r w:rsidRPr="00912996">
              <w:rPr>
                <w:rFonts w:ascii="Calibri" w:hAnsi="Calibri"/>
                <w:bCs/>
                <w:lang w:eastAsia="ja-JP"/>
              </w:rPr>
              <w:t>PS2, DGASPC S2, Asociația Patronatelor</w:t>
            </w:r>
          </w:p>
        </w:tc>
        <w:tc>
          <w:tcPr>
            <w:tcW w:w="507" w:type="pct"/>
            <w:shd w:val="clear" w:color="auto" w:fill="F2F2F2"/>
            <w:hideMark/>
          </w:tcPr>
          <w:p w14:paraId="3606D0BE"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E82E45D"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3E7F875F"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3D791B3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6A1595F8" w14:textId="77777777" w:rsidR="00395D01" w:rsidRPr="00912996" w:rsidRDefault="00395D01" w:rsidP="00292396">
            <w:pPr>
              <w:rPr>
                <w:rFonts w:ascii="Calibri" w:hAnsi="Calibri"/>
                <w:bCs/>
                <w:lang w:eastAsia="ja-JP"/>
              </w:rPr>
            </w:pPr>
            <w:r w:rsidRPr="00912996">
              <w:rPr>
                <w:rFonts w:ascii="Calibri" w:hAnsi="Calibri"/>
                <w:bCs/>
                <w:lang w:eastAsia="ja-JP"/>
              </w:rPr>
              <w:t>POEO P3, Bugetul local, Alte surse de finanțare, grant-uri, Alte surse de finanțare</w:t>
            </w:r>
          </w:p>
        </w:tc>
        <w:tc>
          <w:tcPr>
            <w:tcW w:w="433" w:type="pct"/>
            <w:shd w:val="clear" w:color="auto" w:fill="F2F2F2"/>
            <w:hideMark/>
          </w:tcPr>
          <w:p w14:paraId="5927438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25581BB"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706F9FC" w14:textId="77777777" w:rsidTr="009F590F">
        <w:trPr>
          <w:trHeight w:val="534"/>
        </w:trPr>
        <w:tc>
          <w:tcPr>
            <w:tcW w:w="205" w:type="pct"/>
            <w:shd w:val="clear" w:color="auto" w:fill="F2F2F2"/>
            <w:noWrap/>
            <w:hideMark/>
          </w:tcPr>
          <w:p w14:paraId="0F687F00"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36DCDD5F" w14:textId="77777777" w:rsidR="00395D01" w:rsidRPr="00912996" w:rsidRDefault="00395D01" w:rsidP="00292396">
            <w:pPr>
              <w:rPr>
                <w:rFonts w:ascii="Calibri" w:hAnsi="Calibri"/>
                <w:bCs/>
                <w:lang w:eastAsia="ja-JP"/>
              </w:rPr>
            </w:pPr>
            <w:r w:rsidRPr="00912996">
              <w:rPr>
                <w:rFonts w:ascii="Calibri" w:hAnsi="Calibri"/>
                <w:bCs/>
                <w:lang w:eastAsia="ja-JP"/>
              </w:rPr>
              <w:t>Dezvoltarea unui serviciu integrat pentru persoanele vârstnice, ce alternează îngrijirea la domiciliu cu servicii oferite în cadrul unui nou centru de zi</w:t>
            </w:r>
          </w:p>
        </w:tc>
        <w:tc>
          <w:tcPr>
            <w:tcW w:w="640" w:type="pct"/>
            <w:shd w:val="clear" w:color="auto" w:fill="F2F2F2"/>
            <w:hideMark/>
          </w:tcPr>
          <w:p w14:paraId="52254C18"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7BE5129A"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E078EA4" w14:textId="77777777" w:rsidR="00395D01" w:rsidRPr="00912996" w:rsidRDefault="00395D01" w:rsidP="00292396">
            <w:pPr>
              <w:rPr>
                <w:rFonts w:ascii="Calibri" w:hAnsi="Calibri"/>
                <w:bCs/>
                <w:lang w:eastAsia="ja-JP"/>
              </w:rPr>
            </w:pPr>
            <w:r w:rsidRPr="00912996">
              <w:rPr>
                <w:rFonts w:ascii="Calibri" w:hAnsi="Calibri"/>
                <w:bCs/>
                <w:lang w:eastAsia="ja-JP"/>
              </w:rPr>
              <w:t>4,430,000</w:t>
            </w:r>
          </w:p>
        </w:tc>
        <w:tc>
          <w:tcPr>
            <w:tcW w:w="411" w:type="pct"/>
            <w:shd w:val="clear" w:color="auto" w:fill="F2F2F2"/>
            <w:hideMark/>
          </w:tcPr>
          <w:p w14:paraId="22F7E440"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1AFC275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67E285E" w14:textId="77777777" w:rsidR="00395D01" w:rsidRPr="00912996" w:rsidRDefault="00395D01" w:rsidP="00292396">
            <w:pPr>
              <w:rPr>
                <w:rFonts w:ascii="Calibri" w:hAnsi="Calibri"/>
                <w:bCs/>
                <w:lang w:eastAsia="ja-JP"/>
              </w:rPr>
            </w:pPr>
            <w:r w:rsidRPr="00912996">
              <w:rPr>
                <w:rFonts w:ascii="Calibri" w:hAnsi="Calibri"/>
                <w:bCs/>
                <w:lang w:eastAsia="ja-JP"/>
              </w:rPr>
              <w:t>POIDS 2021-2027 P6, Bugetul local, Alte surse de finanțare, Alte surse de finanțare</w:t>
            </w:r>
          </w:p>
        </w:tc>
        <w:tc>
          <w:tcPr>
            <w:tcW w:w="433" w:type="pct"/>
            <w:shd w:val="clear" w:color="auto" w:fill="F2F2F2"/>
            <w:hideMark/>
          </w:tcPr>
          <w:p w14:paraId="40DF905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BB12C8D"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745BBE8" w14:textId="77777777" w:rsidTr="00E16711">
        <w:trPr>
          <w:trHeight w:val="1056"/>
        </w:trPr>
        <w:tc>
          <w:tcPr>
            <w:tcW w:w="205" w:type="pct"/>
            <w:shd w:val="clear" w:color="auto" w:fill="F2F2F2"/>
            <w:noWrap/>
            <w:hideMark/>
          </w:tcPr>
          <w:p w14:paraId="21B10D71"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205D7A2D" w14:textId="77777777" w:rsidR="00395D01" w:rsidRPr="00912996" w:rsidRDefault="00395D01" w:rsidP="00292396">
            <w:pPr>
              <w:rPr>
                <w:rFonts w:ascii="Calibri" w:hAnsi="Calibri"/>
                <w:bCs/>
                <w:lang w:eastAsia="ja-JP"/>
              </w:rPr>
            </w:pPr>
            <w:r w:rsidRPr="00912996">
              <w:rPr>
                <w:rFonts w:ascii="Calibri" w:hAnsi="Calibri"/>
                <w:bCs/>
                <w:lang w:eastAsia="ja-JP"/>
              </w:rPr>
              <w:t>Centru de respiro pentru persoanele cu dizabilități</w:t>
            </w:r>
          </w:p>
        </w:tc>
        <w:tc>
          <w:tcPr>
            <w:tcW w:w="640" w:type="pct"/>
            <w:shd w:val="clear" w:color="auto" w:fill="F2F2F2"/>
            <w:hideMark/>
          </w:tcPr>
          <w:p w14:paraId="3D24C6D2" w14:textId="77777777" w:rsidR="00395D01" w:rsidRPr="00912996" w:rsidRDefault="00395D01" w:rsidP="00292396">
            <w:pPr>
              <w:rPr>
                <w:rFonts w:ascii="Calibri" w:hAnsi="Calibri"/>
                <w:bCs/>
                <w:lang w:eastAsia="ja-JP"/>
              </w:rPr>
            </w:pPr>
            <w:r w:rsidRPr="00912996">
              <w:rPr>
                <w:rFonts w:ascii="Calibri" w:hAnsi="Calibri"/>
                <w:bCs/>
                <w:lang w:eastAsia="ja-JP"/>
              </w:rPr>
              <w:t>DGASPC S2</w:t>
            </w:r>
          </w:p>
        </w:tc>
        <w:tc>
          <w:tcPr>
            <w:tcW w:w="507" w:type="pct"/>
            <w:shd w:val="clear" w:color="auto" w:fill="F2F2F2"/>
            <w:hideMark/>
          </w:tcPr>
          <w:p w14:paraId="46EC422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0B2A02A" w14:textId="77777777" w:rsidR="00395D01" w:rsidRPr="00912996" w:rsidRDefault="00395D01" w:rsidP="00292396">
            <w:pPr>
              <w:rPr>
                <w:rFonts w:ascii="Calibri" w:hAnsi="Calibri"/>
                <w:bCs/>
                <w:lang w:eastAsia="ja-JP"/>
              </w:rPr>
            </w:pPr>
            <w:r w:rsidRPr="00912996">
              <w:rPr>
                <w:rFonts w:ascii="Calibri" w:hAnsi="Calibri"/>
                <w:bCs/>
                <w:lang w:eastAsia="ja-JP"/>
              </w:rPr>
              <w:t>8,860,000</w:t>
            </w:r>
          </w:p>
        </w:tc>
        <w:tc>
          <w:tcPr>
            <w:tcW w:w="411" w:type="pct"/>
            <w:shd w:val="clear" w:color="auto" w:fill="F2F2F2"/>
            <w:hideMark/>
          </w:tcPr>
          <w:p w14:paraId="0FB76ED6" w14:textId="77777777" w:rsidR="00395D01" w:rsidRPr="00912996" w:rsidRDefault="00395D01" w:rsidP="00292396">
            <w:pPr>
              <w:rPr>
                <w:rFonts w:ascii="Calibri" w:hAnsi="Calibri"/>
                <w:bCs/>
                <w:lang w:eastAsia="ja-JP"/>
              </w:rPr>
            </w:pPr>
            <w:r w:rsidRPr="00912996">
              <w:rPr>
                <w:rFonts w:ascii="Calibri" w:hAnsi="Calibri"/>
                <w:bCs/>
                <w:lang w:eastAsia="ja-JP"/>
              </w:rPr>
              <w:t>2,000,000</w:t>
            </w:r>
          </w:p>
        </w:tc>
        <w:tc>
          <w:tcPr>
            <w:tcW w:w="347" w:type="pct"/>
            <w:shd w:val="clear" w:color="auto" w:fill="F2F2F2"/>
            <w:hideMark/>
          </w:tcPr>
          <w:p w14:paraId="0B23B9B9"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498A799" w14:textId="77777777" w:rsidR="00395D01" w:rsidRPr="00912996" w:rsidRDefault="00395D01" w:rsidP="00292396">
            <w:pPr>
              <w:rPr>
                <w:rFonts w:ascii="Calibri" w:hAnsi="Calibri"/>
                <w:bCs/>
                <w:lang w:eastAsia="ja-JP"/>
              </w:rPr>
            </w:pPr>
            <w:r w:rsidRPr="00912996">
              <w:rPr>
                <w:rFonts w:ascii="Calibri" w:hAnsi="Calibri"/>
                <w:bCs/>
                <w:lang w:eastAsia="ja-JP"/>
              </w:rPr>
              <w:t>POIDS 2021-2027 P7, PNRR C13, Bugetul local, Alte surse de finanțare</w:t>
            </w:r>
          </w:p>
        </w:tc>
        <w:tc>
          <w:tcPr>
            <w:tcW w:w="433" w:type="pct"/>
            <w:shd w:val="clear" w:color="auto" w:fill="F2F2F2"/>
            <w:hideMark/>
          </w:tcPr>
          <w:p w14:paraId="1F629E08"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5555FB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345F526" w14:textId="77777777" w:rsidTr="00E16711">
        <w:trPr>
          <w:trHeight w:val="1056"/>
        </w:trPr>
        <w:tc>
          <w:tcPr>
            <w:tcW w:w="205" w:type="pct"/>
            <w:shd w:val="clear" w:color="auto" w:fill="F2F2F2"/>
            <w:noWrap/>
            <w:hideMark/>
          </w:tcPr>
          <w:p w14:paraId="2946979D"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14331DD5" w14:textId="77777777" w:rsidR="00395D01" w:rsidRPr="00912996" w:rsidRDefault="00395D01" w:rsidP="00292396">
            <w:pPr>
              <w:rPr>
                <w:rFonts w:ascii="Calibri" w:hAnsi="Calibri"/>
                <w:bCs/>
                <w:lang w:eastAsia="ja-JP"/>
              </w:rPr>
            </w:pPr>
            <w:r w:rsidRPr="00912996">
              <w:rPr>
                <w:rFonts w:ascii="Calibri" w:hAnsi="Calibri"/>
                <w:bCs/>
                <w:lang w:eastAsia="ja-JP"/>
              </w:rPr>
              <w:t>Program multianual de accesibilizare a locuințelor colective</w:t>
            </w:r>
          </w:p>
        </w:tc>
        <w:tc>
          <w:tcPr>
            <w:tcW w:w="640" w:type="pct"/>
            <w:shd w:val="clear" w:color="auto" w:fill="F2F2F2"/>
            <w:hideMark/>
          </w:tcPr>
          <w:p w14:paraId="080C25E9"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517119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10AC5AA" w14:textId="77777777" w:rsidR="00395D01" w:rsidRPr="00912996" w:rsidRDefault="00395D01" w:rsidP="00292396">
            <w:pPr>
              <w:rPr>
                <w:rFonts w:ascii="Calibri" w:hAnsi="Calibri"/>
                <w:bCs/>
                <w:lang w:eastAsia="ja-JP"/>
              </w:rPr>
            </w:pPr>
            <w:r w:rsidRPr="00912996">
              <w:rPr>
                <w:rFonts w:ascii="Calibri" w:hAnsi="Calibri"/>
                <w:bCs/>
                <w:lang w:eastAsia="ja-JP"/>
              </w:rPr>
              <w:t>2,215,000</w:t>
            </w:r>
          </w:p>
        </w:tc>
        <w:tc>
          <w:tcPr>
            <w:tcW w:w="411" w:type="pct"/>
            <w:shd w:val="clear" w:color="auto" w:fill="F2F2F2"/>
            <w:hideMark/>
          </w:tcPr>
          <w:p w14:paraId="454DF59B"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5AD4160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55EA2ED" w14:textId="77777777" w:rsidR="00395D01" w:rsidRPr="00912996" w:rsidRDefault="00395D01" w:rsidP="00292396">
            <w:pPr>
              <w:rPr>
                <w:rFonts w:ascii="Calibri" w:hAnsi="Calibri"/>
                <w:bCs/>
                <w:lang w:eastAsia="ja-JP"/>
              </w:rPr>
            </w:pPr>
            <w:r w:rsidRPr="00912996">
              <w:rPr>
                <w:rFonts w:ascii="Calibri" w:hAnsi="Calibri"/>
                <w:bCs/>
                <w:lang w:eastAsia="ja-JP"/>
              </w:rPr>
              <w:t>PNRR C13, Bugetul local, Alte surse de finanțare</w:t>
            </w:r>
          </w:p>
        </w:tc>
        <w:tc>
          <w:tcPr>
            <w:tcW w:w="433" w:type="pct"/>
            <w:shd w:val="clear" w:color="auto" w:fill="F2F2F2"/>
            <w:hideMark/>
          </w:tcPr>
          <w:p w14:paraId="6A9D2C6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ABD17C7"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2AFC158E" w14:textId="77777777" w:rsidTr="00E16711">
        <w:trPr>
          <w:trHeight w:val="528"/>
        </w:trPr>
        <w:tc>
          <w:tcPr>
            <w:tcW w:w="205" w:type="pct"/>
            <w:shd w:val="clear" w:color="auto" w:fill="F2F2F2"/>
            <w:noWrap/>
            <w:hideMark/>
          </w:tcPr>
          <w:p w14:paraId="1DDA9410"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656EFACF" w14:textId="77777777" w:rsidR="00395D01" w:rsidRPr="00912996" w:rsidRDefault="00395D01" w:rsidP="00292396">
            <w:pPr>
              <w:rPr>
                <w:rFonts w:ascii="Calibri" w:hAnsi="Calibri"/>
                <w:bCs/>
                <w:lang w:eastAsia="ja-JP"/>
              </w:rPr>
            </w:pPr>
            <w:r w:rsidRPr="00912996">
              <w:rPr>
                <w:rFonts w:ascii="Calibri" w:hAnsi="Calibri"/>
                <w:bCs/>
                <w:lang w:eastAsia="ja-JP"/>
              </w:rPr>
              <w:t>Deschiderea alternativelor de tip rezidențial pentru persoane cu dizabilități</w:t>
            </w:r>
          </w:p>
        </w:tc>
        <w:tc>
          <w:tcPr>
            <w:tcW w:w="640" w:type="pct"/>
            <w:shd w:val="clear" w:color="auto" w:fill="F2F2F2"/>
            <w:hideMark/>
          </w:tcPr>
          <w:p w14:paraId="6D98BE99"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17D4E6E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DAACE02" w14:textId="77777777" w:rsidR="00395D01" w:rsidRPr="00912996" w:rsidRDefault="00395D01" w:rsidP="00292396">
            <w:pPr>
              <w:rPr>
                <w:rFonts w:ascii="Calibri" w:hAnsi="Calibri"/>
                <w:bCs/>
                <w:lang w:eastAsia="ja-JP"/>
              </w:rPr>
            </w:pPr>
            <w:r w:rsidRPr="00912996">
              <w:rPr>
                <w:rFonts w:ascii="Calibri" w:hAnsi="Calibri"/>
                <w:bCs/>
                <w:lang w:eastAsia="ja-JP"/>
              </w:rPr>
              <w:t>367,500</w:t>
            </w:r>
          </w:p>
        </w:tc>
        <w:tc>
          <w:tcPr>
            <w:tcW w:w="411" w:type="pct"/>
            <w:shd w:val="clear" w:color="auto" w:fill="F2F2F2"/>
            <w:hideMark/>
          </w:tcPr>
          <w:p w14:paraId="7CAE155D"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3D768D8B" w14:textId="77777777" w:rsidR="00395D01" w:rsidRPr="00912996" w:rsidRDefault="00395D01" w:rsidP="00292396">
            <w:pPr>
              <w:rPr>
                <w:rFonts w:ascii="Calibri" w:hAnsi="Calibri"/>
                <w:bCs/>
                <w:lang w:eastAsia="ja-JP"/>
              </w:rPr>
            </w:pPr>
            <w:r w:rsidRPr="00912996">
              <w:rPr>
                <w:rFonts w:ascii="Calibri" w:hAnsi="Calibri"/>
                <w:bCs/>
                <w:lang w:eastAsia="ja-JP"/>
              </w:rPr>
              <w:t>2021-2027</w:t>
            </w:r>
          </w:p>
        </w:tc>
        <w:tc>
          <w:tcPr>
            <w:tcW w:w="484" w:type="pct"/>
            <w:gridSpan w:val="2"/>
            <w:shd w:val="clear" w:color="auto" w:fill="F2F2F2"/>
            <w:hideMark/>
          </w:tcPr>
          <w:p w14:paraId="0820D19C" w14:textId="77777777" w:rsidR="00395D01" w:rsidRPr="00912996" w:rsidRDefault="00395D01" w:rsidP="00292396">
            <w:pPr>
              <w:rPr>
                <w:rFonts w:ascii="Calibri" w:hAnsi="Calibri"/>
                <w:bCs/>
                <w:lang w:eastAsia="ja-JP"/>
              </w:rPr>
            </w:pPr>
            <w:r w:rsidRPr="00912996">
              <w:rPr>
                <w:rFonts w:ascii="Calibri" w:hAnsi="Calibri"/>
                <w:bCs/>
                <w:lang w:eastAsia="ja-JP"/>
              </w:rPr>
              <w:t>Grant-uri, Bugetul local, Alte surse de finanțare</w:t>
            </w:r>
          </w:p>
        </w:tc>
        <w:tc>
          <w:tcPr>
            <w:tcW w:w="433" w:type="pct"/>
            <w:shd w:val="clear" w:color="auto" w:fill="F2F2F2"/>
            <w:hideMark/>
          </w:tcPr>
          <w:p w14:paraId="6E16056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DDAB91A"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176D8F98" w14:textId="77777777" w:rsidTr="00E16711">
        <w:trPr>
          <w:trHeight w:val="792"/>
        </w:trPr>
        <w:tc>
          <w:tcPr>
            <w:tcW w:w="205" w:type="pct"/>
            <w:shd w:val="clear" w:color="auto" w:fill="F2F2F2"/>
            <w:noWrap/>
            <w:hideMark/>
          </w:tcPr>
          <w:p w14:paraId="23D3ACC6"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0A97E6A6" w14:textId="77777777" w:rsidR="00395D01" w:rsidRPr="00912996" w:rsidRDefault="00395D01" w:rsidP="00292396">
            <w:pPr>
              <w:rPr>
                <w:rFonts w:ascii="Calibri" w:hAnsi="Calibri"/>
                <w:bCs/>
                <w:lang w:eastAsia="ja-JP"/>
              </w:rPr>
            </w:pPr>
            <w:r w:rsidRPr="00912996">
              <w:rPr>
                <w:rFonts w:ascii="Calibri" w:hAnsi="Calibri"/>
                <w:bCs/>
                <w:lang w:eastAsia="ja-JP"/>
              </w:rPr>
              <w:t>Crearea unui program pentru instruirea persoanelor vârstnice în folosirea platformelor digitale</w:t>
            </w:r>
          </w:p>
        </w:tc>
        <w:tc>
          <w:tcPr>
            <w:tcW w:w="640" w:type="pct"/>
            <w:shd w:val="clear" w:color="auto" w:fill="F2F2F2"/>
            <w:hideMark/>
          </w:tcPr>
          <w:p w14:paraId="0078230F"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1BE5A52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3FCC30C"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22D38375"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2766E471"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31567AB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5DAEE37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95971C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76B22C98" w14:textId="77777777" w:rsidTr="00E16711">
        <w:trPr>
          <w:trHeight w:val="792"/>
        </w:trPr>
        <w:tc>
          <w:tcPr>
            <w:tcW w:w="205" w:type="pct"/>
            <w:shd w:val="clear" w:color="auto" w:fill="F2F2F2"/>
            <w:noWrap/>
            <w:hideMark/>
          </w:tcPr>
          <w:p w14:paraId="612A8093"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369376BF" w14:textId="77777777" w:rsidR="00395D01" w:rsidRPr="00912996" w:rsidRDefault="00395D01" w:rsidP="00292396">
            <w:pPr>
              <w:rPr>
                <w:rFonts w:ascii="Calibri" w:hAnsi="Calibri"/>
                <w:bCs/>
                <w:lang w:eastAsia="ja-JP"/>
              </w:rPr>
            </w:pPr>
            <w:r w:rsidRPr="00912996">
              <w:rPr>
                <w:rFonts w:ascii="Calibri" w:hAnsi="Calibri"/>
                <w:bCs/>
                <w:lang w:eastAsia="ja-JP"/>
              </w:rPr>
              <w:t>Susținerea financiar</w:t>
            </w:r>
            <w:r>
              <w:rPr>
                <w:rFonts w:ascii="Calibri" w:hAnsi="Calibri"/>
                <w:bCs/>
                <w:lang w:eastAsia="ja-JP"/>
              </w:rPr>
              <w:t>ă</w:t>
            </w:r>
            <w:r w:rsidRPr="00912996">
              <w:rPr>
                <w:rFonts w:ascii="Calibri" w:hAnsi="Calibri"/>
                <w:bCs/>
                <w:lang w:eastAsia="ja-JP"/>
              </w:rPr>
              <w:t xml:space="preserve"> a proiectelor </w:t>
            </w:r>
            <w:r>
              <w:rPr>
                <w:rFonts w:ascii="Calibri" w:hAnsi="Calibri"/>
                <w:bCs/>
                <w:lang w:eastAsia="ja-JP"/>
              </w:rPr>
              <w:t>ș</w:t>
            </w:r>
            <w:r w:rsidRPr="00912996">
              <w:rPr>
                <w:rFonts w:ascii="Calibri" w:hAnsi="Calibri"/>
                <w:bCs/>
                <w:lang w:eastAsia="ja-JP"/>
              </w:rPr>
              <w:t>i a instituțiilor de educație destinate persoanelor cu dizabilități</w:t>
            </w:r>
          </w:p>
        </w:tc>
        <w:tc>
          <w:tcPr>
            <w:tcW w:w="640" w:type="pct"/>
            <w:shd w:val="clear" w:color="auto" w:fill="F2F2F2"/>
            <w:hideMark/>
          </w:tcPr>
          <w:p w14:paraId="523F5414" w14:textId="77777777" w:rsidR="00395D01" w:rsidRPr="00912996" w:rsidRDefault="00395D01" w:rsidP="00292396">
            <w:pPr>
              <w:rPr>
                <w:rFonts w:ascii="Calibri" w:hAnsi="Calibri"/>
                <w:bCs/>
                <w:lang w:eastAsia="ja-JP"/>
              </w:rPr>
            </w:pPr>
            <w:r w:rsidRPr="00EF7958">
              <w:rPr>
                <w:rFonts w:ascii="Calibri" w:hAnsi="Calibri"/>
                <w:bCs/>
                <w:lang w:eastAsia="ja-JP"/>
              </w:rPr>
              <w:t>PS2</w:t>
            </w:r>
          </w:p>
        </w:tc>
        <w:tc>
          <w:tcPr>
            <w:tcW w:w="507" w:type="pct"/>
            <w:shd w:val="clear" w:color="auto" w:fill="F2F2F2"/>
            <w:hideMark/>
          </w:tcPr>
          <w:p w14:paraId="6289632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BAE7C01" w14:textId="77777777" w:rsidR="00395D01" w:rsidRPr="00912996" w:rsidRDefault="00395D01" w:rsidP="00292396">
            <w:pPr>
              <w:rPr>
                <w:rFonts w:ascii="Calibri" w:hAnsi="Calibri"/>
                <w:bCs/>
                <w:lang w:eastAsia="ja-JP"/>
              </w:rPr>
            </w:pPr>
            <w:r w:rsidRPr="00912996">
              <w:rPr>
                <w:rFonts w:ascii="Calibri" w:hAnsi="Calibri"/>
                <w:bCs/>
                <w:lang w:eastAsia="ja-JP"/>
              </w:rPr>
              <w:t>2,205,000</w:t>
            </w:r>
          </w:p>
        </w:tc>
        <w:tc>
          <w:tcPr>
            <w:tcW w:w="411" w:type="pct"/>
            <w:shd w:val="clear" w:color="auto" w:fill="F2F2F2"/>
            <w:hideMark/>
          </w:tcPr>
          <w:p w14:paraId="7FD81737" w14:textId="77777777" w:rsidR="00395D01" w:rsidRPr="00912996" w:rsidRDefault="00395D01" w:rsidP="00292396">
            <w:pPr>
              <w:rPr>
                <w:rFonts w:ascii="Calibri" w:hAnsi="Calibri"/>
                <w:bCs/>
                <w:lang w:eastAsia="ja-JP"/>
              </w:rPr>
            </w:pPr>
            <w:r w:rsidRPr="00912996">
              <w:rPr>
                <w:rFonts w:ascii="Calibri" w:hAnsi="Calibri"/>
                <w:bCs/>
                <w:lang w:eastAsia="ja-JP"/>
              </w:rPr>
              <w:t>450,000</w:t>
            </w:r>
          </w:p>
        </w:tc>
        <w:tc>
          <w:tcPr>
            <w:tcW w:w="347" w:type="pct"/>
            <w:shd w:val="clear" w:color="auto" w:fill="F2F2F2"/>
            <w:hideMark/>
          </w:tcPr>
          <w:p w14:paraId="1FFF858E"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8B353B5"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29F064C"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9C1464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2B284B21" w14:textId="77777777" w:rsidTr="00E16711">
        <w:trPr>
          <w:trHeight w:val="1056"/>
        </w:trPr>
        <w:tc>
          <w:tcPr>
            <w:tcW w:w="205" w:type="pct"/>
            <w:shd w:val="clear" w:color="auto" w:fill="F2F2F2"/>
            <w:noWrap/>
            <w:hideMark/>
          </w:tcPr>
          <w:p w14:paraId="2C65BE67"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56464092" w14:textId="77777777" w:rsidR="00395D01" w:rsidRPr="00912996" w:rsidRDefault="00395D01" w:rsidP="00292396">
            <w:pPr>
              <w:rPr>
                <w:rFonts w:ascii="Calibri" w:hAnsi="Calibri"/>
                <w:bCs/>
                <w:lang w:eastAsia="ja-JP"/>
              </w:rPr>
            </w:pPr>
            <w:r w:rsidRPr="00912996">
              <w:rPr>
                <w:rFonts w:ascii="Calibri" w:hAnsi="Calibri"/>
                <w:bCs/>
                <w:lang w:eastAsia="ja-JP"/>
              </w:rPr>
              <w:t>Construirea unui centru de zi pentru persoanele vârstnice</w:t>
            </w:r>
          </w:p>
        </w:tc>
        <w:tc>
          <w:tcPr>
            <w:tcW w:w="640" w:type="pct"/>
            <w:shd w:val="clear" w:color="auto" w:fill="F2F2F2"/>
            <w:hideMark/>
          </w:tcPr>
          <w:p w14:paraId="602801FF"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79E16F1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870F025" w14:textId="77777777" w:rsidR="00395D01" w:rsidRPr="00912996" w:rsidRDefault="00395D01" w:rsidP="00292396">
            <w:pPr>
              <w:rPr>
                <w:rFonts w:ascii="Calibri" w:hAnsi="Calibri"/>
                <w:bCs/>
                <w:lang w:eastAsia="ja-JP"/>
              </w:rPr>
            </w:pPr>
            <w:r w:rsidRPr="00912996">
              <w:rPr>
                <w:rFonts w:ascii="Calibri" w:hAnsi="Calibri"/>
                <w:bCs/>
                <w:lang w:eastAsia="ja-JP"/>
              </w:rPr>
              <w:t>7,840,000</w:t>
            </w:r>
          </w:p>
        </w:tc>
        <w:tc>
          <w:tcPr>
            <w:tcW w:w="411" w:type="pct"/>
            <w:shd w:val="clear" w:color="auto" w:fill="F2F2F2"/>
            <w:hideMark/>
          </w:tcPr>
          <w:p w14:paraId="7FB9AD41" w14:textId="77777777" w:rsidR="00395D01" w:rsidRPr="00912996" w:rsidRDefault="00395D01" w:rsidP="00292396">
            <w:pPr>
              <w:rPr>
                <w:rFonts w:ascii="Calibri" w:hAnsi="Calibri"/>
                <w:bCs/>
                <w:lang w:eastAsia="ja-JP"/>
              </w:rPr>
            </w:pPr>
            <w:r w:rsidRPr="00912996">
              <w:rPr>
                <w:rFonts w:ascii="Calibri" w:hAnsi="Calibri"/>
                <w:bCs/>
                <w:lang w:eastAsia="ja-JP"/>
              </w:rPr>
              <w:t>1,600,000</w:t>
            </w:r>
          </w:p>
        </w:tc>
        <w:tc>
          <w:tcPr>
            <w:tcW w:w="347" w:type="pct"/>
            <w:shd w:val="clear" w:color="auto" w:fill="F2F2F2"/>
            <w:hideMark/>
          </w:tcPr>
          <w:p w14:paraId="11389372"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27D4791" w14:textId="77777777" w:rsidR="00395D01" w:rsidRPr="00912996" w:rsidRDefault="00395D01" w:rsidP="00292396">
            <w:pPr>
              <w:rPr>
                <w:rFonts w:ascii="Calibri" w:hAnsi="Calibri"/>
                <w:bCs/>
                <w:lang w:eastAsia="ja-JP"/>
              </w:rPr>
            </w:pPr>
            <w:r w:rsidRPr="00912996">
              <w:rPr>
                <w:rFonts w:ascii="Calibri" w:hAnsi="Calibri"/>
                <w:bCs/>
                <w:lang w:eastAsia="ja-JP"/>
              </w:rPr>
              <w:t>POIDS 2021-2027 P7, PNRR C13, Bugetul local, Alte surse de finanțare</w:t>
            </w:r>
          </w:p>
        </w:tc>
        <w:tc>
          <w:tcPr>
            <w:tcW w:w="433" w:type="pct"/>
            <w:shd w:val="clear" w:color="auto" w:fill="F2F2F2"/>
            <w:hideMark/>
          </w:tcPr>
          <w:p w14:paraId="5B2F66A2"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4813057"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5C786D0" w14:textId="77777777" w:rsidTr="009F590F">
        <w:trPr>
          <w:trHeight w:val="624"/>
        </w:trPr>
        <w:tc>
          <w:tcPr>
            <w:tcW w:w="205" w:type="pct"/>
            <w:shd w:val="clear" w:color="auto" w:fill="F2F2F2"/>
            <w:noWrap/>
            <w:hideMark/>
          </w:tcPr>
          <w:p w14:paraId="43D6FC71"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hideMark/>
          </w:tcPr>
          <w:p w14:paraId="299F5185" w14:textId="77777777" w:rsidR="00395D01" w:rsidRPr="00912996" w:rsidRDefault="00395D01" w:rsidP="00292396">
            <w:pPr>
              <w:rPr>
                <w:rFonts w:ascii="Calibri" w:hAnsi="Calibri"/>
                <w:bCs/>
                <w:lang w:eastAsia="ja-JP"/>
              </w:rPr>
            </w:pPr>
            <w:r w:rsidRPr="00912996">
              <w:rPr>
                <w:rFonts w:ascii="Calibri" w:hAnsi="Calibri"/>
                <w:bCs/>
                <w:lang w:eastAsia="ja-JP"/>
              </w:rPr>
              <w:t>Înființarea unui nou Centru Rezidențial pentru persoane vârstnice</w:t>
            </w:r>
          </w:p>
        </w:tc>
        <w:tc>
          <w:tcPr>
            <w:tcW w:w="640" w:type="pct"/>
            <w:shd w:val="clear" w:color="auto" w:fill="F2F2F2"/>
            <w:hideMark/>
          </w:tcPr>
          <w:p w14:paraId="60072651"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0D55EAD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41DEAEE" w14:textId="77777777" w:rsidR="00395D01" w:rsidRPr="00912996" w:rsidRDefault="00395D01" w:rsidP="00292396">
            <w:pPr>
              <w:rPr>
                <w:rFonts w:ascii="Calibri" w:hAnsi="Calibri"/>
                <w:bCs/>
                <w:lang w:eastAsia="ja-JP"/>
              </w:rPr>
            </w:pPr>
            <w:r w:rsidRPr="00912996">
              <w:rPr>
                <w:rFonts w:ascii="Calibri" w:hAnsi="Calibri"/>
                <w:bCs/>
                <w:lang w:eastAsia="ja-JP"/>
              </w:rPr>
              <w:t>1,715,000</w:t>
            </w:r>
          </w:p>
        </w:tc>
        <w:tc>
          <w:tcPr>
            <w:tcW w:w="411" w:type="pct"/>
            <w:shd w:val="clear" w:color="auto" w:fill="F2F2F2"/>
            <w:hideMark/>
          </w:tcPr>
          <w:p w14:paraId="7ACA7D3B" w14:textId="77777777" w:rsidR="00395D01" w:rsidRPr="00912996" w:rsidRDefault="00395D01" w:rsidP="00292396">
            <w:pPr>
              <w:rPr>
                <w:rFonts w:ascii="Calibri" w:hAnsi="Calibri"/>
                <w:bCs/>
                <w:lang w:eastAsia="ja-JP"/>
              </w:rPr>
            </w:pPr>
            <w:r w:rsidRPr="00912996">
              <w:rPr>
                <w:rFonts w:ascii="Calibri" w:hAnsi="Calibri"/>
                <w:bCs/>
                <w:lang w:eastAsia="ja-JP"/>
              </w:rPr>
              <w:t>350,000</w:t>
            </w:r>
          </w:p>
        </w:tc>
        <w:tc>
          <w:tcPr>
            <w:tcW w:w="347" w:type="pct"/>
            <w:shd w:val="clear" w:color="auto" w:fill="F2F2F2"/>
            <w:hideMark/>
          </w:tcPr>
          <w:p w14:paraId="4533394B"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929CBA2" w14:textId="77777777" w:rsidR="00395D01" w:rsidRPr="00912996" w:rsidRDefault="00395D01" w:rsidP="00292396">
            <w:pPr>
              <w:rPr>
                <w:rFonts w:ascii="Calibri" w:hAnsi="Calibri"/>
                <w:bCs/>
                <w:lang w:eastAsia="ja-JP"/>
              </w:rPr>
            </w:pPr>
            <w:r w:rsidRPr="00912996">
              <w:rPr>
                <w:rFonts w:ascii="Calibri" w:hAnsi="Calibri"/>
                <w:bCs/>
                <w:lang w:eastAsia="ja-JP"/>
              </w:rPr>
              <w:t>POIDS 2021-2027 P6, PNRR C13, Bugetul local, Alte surse de finanțare</w:t>
            </w:r>
          </w:p>
        </w:tc>
        <w:tc>
          <w:tcPr>
            <w:tcW w:w="433" w:type="pct"/>
            <w:shd w:val="clear" w:color="auto" w:fill="F2F2F2"/>
            <w:hideMark/>
          </w:tcPr>
          <w:p w14:paraId="3375FA7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0158CC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189A3DD" w14:textId="77777777" w:rsidTr="00E16711">
        <w:trPr>
          <w:trHeight w:val="792"/>
        </w:trPr>
        <w:tc>
          <w:tcPr>
            <w:tcW w:w="205" w:type="pct"/>
            <w:shd w:val="clear" w:color="auto" w:fill="F2F2F2"/>
            <w:noWrap/>
            <w:hideMark/>
          </w:tcPr>
          <w:p w14:paraId="328BBA72"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hideMark/>
          </w:tcPr>
          <w:p w14:paraId="357C7BEF" w14:textId="77777777" w:rsidR="00395D01" w:rsidRPr="00912996" w:rsidRDefault="00395D01" w:rsidP="00292396">
            <w:pPr>
              <w:rPr>
                <w:rFonts w:ascii="Calibri" w:hAnsi="Calibri"/>
                <w:bCs/>
                <w:lang w:eastAsia="ja-JP"/>
              </w:rPr>
            </w:pPr>
            <w:r w:rsidRPr="00912996">
              <w:rPr>
                <w:rFonts w:ascii="Calibri" w:hAnsi="Calibri"/>
                <w:bCs/>
                <w:lang w:eastAsia="ja-JP"/>
              </w:rPr>
              <w:t>Crearea unui instrument, pe site-ul Primăriei, care să permită transmiterea informațiilor publice către nevăzători</w:t>
            </w:r>
          </w:p>
        </w:tc>
        <w:tc>
          <w:tcPr>
            <w:tcW w:w="640" w:type="pct"/>
            <w:shd w:val="clear" w:color="auto" w:fill="F2F2F2"/>
            <w:hideMark/>
          </w:tcPr>
          <w:p w14:paraId="03AB5579"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5EFAA7AC"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50FF4B79" w14:textId="77777777" w:rsidR="00395D01" w:rsidRPr="00912996" w:rsidRDefault="00395D01" w:rsidP="00292396">
            <w:pPr>
              <w:rPr>
                <w:rFonts w:ascii="Calibri" w:hAnsi="Calibri"/>
                <w:bCs/>
                <w:lang w:eastAsia="ja-JP"/>
              </w:rPr>
            </w:pPr>
            <w:r w:rsidRPr="00912996">
              <w:rPr>
                <w:rFonts w:ascii="Calibri" w:hAnsi="Calibri"/>
                <w:bCs/>
                <w:lang w:eastAsia="ja-JP"/>
              </w:rPr>
              <w:t>1,225,000</w:t>
            </w:r>
          </w:p>
        </w:tc>
        <w:tc>
          <w:tcPr>
            <w:tcW w:w="411" w:type="pct"/>
            <w:shd w:val="clear" w:color="auto" w:fill="F2F2F2"/>
            <w:hideMark/>
          </w:tcPr>
          <w:p w14:paraId="6CFF4090" w14:textId="77777777" w:rsidR="00395D01" w:rsidRPr="00912996" w:rsidRDefault="00395D01" w:rsidP="00292396">
            <w:pPr>
              <w:rPr>
                <w:rFonts w:ascii="Calibri" w:hAnsi="Calibri"/>
                <w:bCs/>
                <w:lang w:eastAsia="ja-JP"/>
              </w:rPr>
            </w:pPr>
            <w:r w:rsidRPr="00912996">
              <w:rPr>
                <w:rFonts w:ascii="Calibri" w:hAnsi="Calibri"/>
                <w:bCs/>
                <w:lang w:eastAsia="ja-JP"/>
              </w:rPr>
              <w:t>250,000</w:t>
            </w:r>
          </w:p>
        </w:tc>
        <w:tc>
          <w:tcPr>
            <w:tcW w:w="347" w:type="pct"/>
            <w:shd w:val="clear" w:color="auto" w:fill="F2F2F2"/>
            <w:hideMark/>
          </w:tcPr>
          <w:p w14:paraId="175CCBD3"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5E042CB3" w14:textId="77777777" w:rsidR="00395D01" w:rsidRPr="00912996" w:rsidRDefault="00395D01" w:rsidP="00292396">
            <w:pPr>
              <w:rPr>
                <w:rFonts w:ascii="Calibri" w:hAnsi="Calibri"/>
                <w:bCs/>
                <w:lang w:eastAsia="ja-JP"/>
              </w:rPr>
            </w:pPr>
            <w:r w:rsidRPr="00912996">
              <w:rPr>
                <w:rFonts w:ascii="Calibri" w:hAnsi="Calibri"/>
                <w:bCs/>
                <w:lang w:eastAsia="ja-JP"/>
              </w:rPr>
              <w:t>PNRR C7, Bugetul local, Alte surse de finanțare</w:t>
            </w:r>
          </w:p>
        </w:tc>
        <w:tc>
          <w:tcPr>
            <w:tcW w:w="433" w:type="pct"/>
            <w:shd w:val="clear" w:color="auto" w:fill="F2F2F2"/>
            <w:hideMark/>
          </w:tcPr>
          <w:p w14:paraId="6133C111"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982948D"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395D01" w:rsidRPr="00912996" w14:paraId="7C223A1F" w14:textId="77777777" w:rsidTr="00292396">
        <w:trPr>
          <w:trHeight w:val="264"/>
        </w:trPr>
        <w:tc>
          <w:tcPr>
            <w:tcW w:w="5000" w:type="pct"/>
            <w:gridSpan w:val="12"/>
            <w:shd w:val="clear" w:color="auto" w:fill="BBD9A0"/>
            <w:noWrap/>
            <w:hideMark/>
          </w:tcPr>
          <w:p w14:paraId="5860296E" w14:textId="77777777" w:rsidR="00395D01" w:rsidRPr="00912996" w:rsidRDefault="00395D01" w:rsidP="009F590F">
            <w:pPr>
              <w:jc w:val="center"/>
              <w:rPr>
                <w:rFonts w:ascii="Calibri" w:hAnsi="Calibri"/>
                <w:b/>
                <w:bCs/>
                <w:lang w:eastAsia="ja-JP"/>
              </w:rPr>
            </w:pPr>
            <w:r w:rsidRPr="00912996">
              <w:rPr>
                <w:rFonts w:ascii="Calibri" w:hAnsi="Calibri"/>
                <w:b/>
                <w:bCs/>
                <w:color w:val="FFFFFF"/>
                <w:lang w:eastAsia="ja-JP"/>
              </w:rPr>
              <w:t>D1.7.4. Asigurarea de servicii sociale destinate persoanelor din comunitățile marginalizate</w:t>
            </w:r>
          </w:p>
        </w:tc>
      </w:tr>
      <w:tr w:rsidR="00E16711" w:rsidRPr="00912996" w14:paraId="42CE2AE7" w14:textId="77777777" w:rsidTr="00E16711">
        <w:trPr>
          <w:trHeight w:val="620"/>
        </w:trPr>
        <w:tc>
          <w:tcPr>
            <w:tcW w:w="205" w:type="pct"/>
            <w:shd w:val="clear" w:color="auto" w:fill="F2F2F2"/>
            <w:noWrap/>
            <w:hideMark/>
          </w:tcPr>
          <w:p w14:paraId="481CBD4F"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119757E5" w14:textId="77777777" w:rsidR="00395D01" w:rsidRPr="00912996" w:rsidRDefault="00395D01" w:rsidP="00292396">
            <w:pPr>
              <w:rPr>
                <w:rFonts w:ascii="Calibri" w:hAnsi="Calibri"/>
                <w:bCs/>
                <w:lang w:eastAsia="ja-JP"/>
              </w:rPr>
            </w:pPr>
            <w:r w:rsidRPr="00912996">
              <w:rPr>
                <w:rFonts w:ascii="Calibri" w:hAnsi="Calibri"/>
                <w:bCs/>
                <w:lang w:eastAsia="ja-JP"/>
              </w:rPr>
              <w:t>Discriminarea se învață acasă – Campanie de informare, combaterea și prevenirea discriminării pe baze etnice</w:t>
            </w:r>
          </w:p>
        </w:tc>
        <w:tc>
          <w:tcPr>
            <w:tcW w:w="640" w:type="pct"/>
            <w:shd w:val="clear" w:color="auto" w:fill="F2F2F2"/>
            <w:hideMark/>
          </w:tcPr>
          <w:p w14:paraId="761397A6" w14:textId="77777777" w:rsidR="00395D01" w:rsidRPr="00912996" w:rsidRDefault="00395D01" w:rsidP="00292396">
            <w:pPr>
              <w:rPr>
                <w:rFonts w:ascii="Calibri" w:hAnsi="Calibri"/>
                <w:bCs/>
                <w:lang w:eastAsia="ja-JP"/>
              </w:rPr>
            </w:pPr>
            <w:r w:rsidRPr="00912996">
              <w:rPr>
                <w:rFonts w:ascii="Calibri" w:hAnsi="Calibri"/>
                <w:bCs/>
                <w:lang w:eastAsia="ja-JP"/>
              </w:rPr>
              <w:t>PS2, DGASPC S2, Poliția Locală S2</w:t>
            </w:r>
          </w:p>
        </w:tc>
        <w:tc>
          <w:tcPr>
            <w:tcW w:w="507" w:type="pct"/>
            <w:shd w:val="clear" w:color="auto" w:fill="F2F2F2"/>
            <w:hideMark/>
          </w:tcPr>
          <w:p w14:paraId="68ADA2A1"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844E6E8" w14:textId="77777777" w:rsidR="00395D01" w:rsidRPr="00912996" w:rsidRDefault="00395D01" w:rsidP="00292396">
            <w:pPr>
              <w:rPr>
                <w:rFonts w:ascii="Calibri" w:hAnsi="Calibri"/>
                <w:bCs/>
                <w:lang w:eastAsia="ja-JP"/>
              </w:rPr>
            </w:pPr>
            <w:r w:rsidRPr="00912996">
              <w:rPr>
                <w:rFonts w:ascii="Calibri" w:hAnsi="Calibri"/>
                <w:bCs/>
                <w:lang w:eastAsia="ja-JP"/>
              </w:rPr>
              <w:t>88,600</w:t>
            </w:r>
          </w:p>
        </w:tc>
        <w:tc>
          <w:tcPr>
            <w:tcW w:w="411" w:type="pct"/>
            <w:shd w:val="clear" w:color="auto" w:fill="F2F2F2"/>
            <w:hideMark/>
          </w:tcPr>
          <w:p w14:paraId="365B4C1E" w14:textId="77777777" w:rsidR="00395D01" w:rsidRPr="00912996" w:rsidRDefault="00395D01" w:rsidP="00292396">
            <w:pPr>
              <w:rPr>
                <w:rFonts w:ascii="Calibri" w:hAnsi="Calibri"/>
                <w:bCs/>
                <w:lang w:eastAsia="ja-JP"/>
              </w:rPr>
            </w:pPr>
            <w:r w:rsidRPr="00912996">
              <w:rPr>
                <w:rFonts w:ascii="Calibri" w:hAnsi="Calibri"/>
                <w:bCs/>
                <w:lang w:eastAsia="ja-JP"/>
              </w:rPr>
              <w:t>18,082</w:t>
            </w:r>
          </w:p>
        </w:tc>
        <w:tc>
          <w:tcPr>
            <w:tcW w:w="347" w:type="pct"/>
            <w:shd w:val="clear" w:color="auto" w:fill="F2F2F2"/>
            <w:hideMark/>
          </w:tcPr>
          <w:p w14:paraId="6783DBB6"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890B387" w14:textId="77777777" w:rsidR="00395D01" w:rsidRPr="00912996" w:rsidRDefault="00395D01" w:rsidP="00292396">
            <w:pPr>
              <w:rPr>
                <w:rFonts w:ascii="Calibri" w:hAnsi="Calibri"/>
                <w:bCs/>
                <w:lang w:eastAsia="ja-JP"/>
              </w:rPr>
            </w:pPr>
            <w:r w:rsidRPr="00912996">
              <w:rPr>
                <w:rFonts w:ascii="Calibri" w:hAnsi="Calibri"/>
                <w:bCs/>
                <w:lang w:eastAsia="ja-JP"/>
              </w:rPr>
              <w:t>POIDS 2021-2027 P5, Bugetul local, Alte surse de finanțare</w:t>
            </w:r>
          </w:p>
        </w:tc>
        <w:tc>
          <w:tcPr>
            <w:tcW w:w="433" w:type="pct"/>
            <w:shd w:val="clear" w:color="auto" w:fill="F2F2F2"/>
            <w:hideMark/>
          </w:tcPr>
          <w:p w14:paraId="724416C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92B0791"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39259DF9" w14:textId="77777777" w:rsidTr="00E16711">
        <w:trPr>
          <w:trHeight w:val="1584"/>
        </w:trPr>
        <w:tc>
          <w:tcPr>
            <w:tcW w:w="205" w:type="pct"/>
            <w:shd w:val="clear" w:color="auto" w:fill="F2F2F2"/>
            <w:noWrap/>
            <w:hideMark/>
          </w:tcPr>
          <w:p w14:paraId="7A50C8F7"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083A9EE6" w14:textId="77777777" w:rsidR="00395D01" w:rsidRPr="00912996" w:rsidRDefault="00395D01" w:rsidP="00292396">
            <w:pPr>
              <w:rPr>
                <w:rFonts w:ascii="Calibri" w:hAnsi="Calibri"/>
                <w:bCs/>
                <w:lang w:eastAsia="ja-JP"/>
              </w:rPr>
            </w:pPr>
            <w:r w:rsidRPr="00912996">
              <w:rPr>
                <w:rFonts w:ascii="Calibri" w:hAnsi="Calibri"/>
                <w:bCs/>
                <w:lang w:eastAsia="ja-JP"/>
              </w:rPr>
              <w:t>Dezvoltarea integrată a comunităților marginalizate din cadrul Sectorului 2 București</w:t>
            </w:r>
          </w:p>
        </w:tc>
        <w:tc>
          <w:tcPr>
            <w:tcW w:w="640" w:type="pct"/>
            <w:shd w:val="clear" w:color="auto" w:fill="F2F2F2"/>
            <w:hideMark/>
          </w:tcPr>
          <w:p w14:paraId="4BEE9813" w14:textId="77777777" w:rsidR="00395D01" w:rsidRPr="00912996" w:rsidRDefault="00395D01" w:rsidP="00292396">
            <w:pPr>
              <w:rPr>
                <w:rFonts w:ascii="Calibri" w:hAnsi="Calibri"/>
                <w:bCs/>
                <w:lang w:eastAsia="ja-JP"/>
              </w:rPr>
            </w:pPr>
            <w:r w:rsidRPr="00912996">
              <w:rPr>
                <w:rFonts w:ascii="Calibri" w:hAnsi="Calibri"/>
                <w:bCs/>
                <w:lang w:eastAsia="ja-JP"/>
              </w:rPr>
              <w:t>PS2, DGASPC S2, ONG de profil</w:t>
            </w:r>
          </w:p>
        </w:tc>
        <w:tc>
          <w:tcPr>
            <w:tcW w:w="507" w:type="pct"/>
            <w:shd w:val="clear" w:color="auto" w:fill="F2F2F2"/>
            <w:hideMark/>
          </w:tcPr>
          <w:p w14:paraId="1B4CE56D" w14:textId="77777777" w:rsidR="00395D01" w:rsidRPr="00912996" w:rsidRDefault="00395D01" w:rsidP="00292396">
            <w:pPr>
              <w:rPr>
                <w:rFonts w:ascii="Calibri" w:hAnsi="Calibri"/>
                <w:bCs/>
                <w:lang w:eastAsia="ja-JP"/>
              </w:rPr>
            </w:pPr>
            <w:r w:rsidRPr="00912996">
              <w:rPr>
                <w:rFonts w:ascii="Calibri" w:hAnsi="Calibri"/>
                <w:bCs/>
                <w:lang w:eastAsia="ja-JP"/>
              </w:rPr>
              <w:t>În implementare</w:t>
            </w:r>
          </w:p>
        </w:tc>
        <w:tc>
          <w:tcPr>
            <w:tcW w:w="473" w:type="pct"/>
            <w:shd w:val="clear" w:color="auto" w:fill="F2F2F2"/>
            <w:hideMark/>
          </w:tcPr>
          <w:p w14:paraId="700A35E0" w14:textId="77777777" w:rsidR="00395D01" w:rsidRPr="00912996" w:rsidRDefault="00395D01" w:rsidP="00292396">
            <w:pPr>
              <w:rPr>
                <w:rFonts w:ascii="Calibri" w:hAnsi="Calibri"/>
                <w:bCs/>
                <w:lang w:eastAsia="ja-JP"/>
              </w:rPr>
            </w:pPr>
            <w:r w:rsidRPr="00912996">
              <w:rPr>
                <w:rFonts w:ascii="Calibri" w:hAnsi="Calibri"/>
                <w:bCs/>
                <w:lang w:eastAsia="ja-JP"/>
              </w:rPr>
              <w:t>222,221</w:t>
            </w:r>
          </w:p>
        </w:tc>
        <w:tc>
          <w:tcPr>
            <w:tcW w:w="411" w:type="pct"/>
            <w:shd w:val="clear" w:color="auto" w:fill="F2F2F2"/>
            <w:hideMark/>
          </w:tcPr>
          <w:p w14:paraId="52C1C3D1" w14:textId="77777777" w:rsidR="00395D01" w:rsidRPr="00912996" w:rsidRDefault="00395D01" w:rsidP="00292396">
            <w:pPr>
              <w:rPr>
                <w:rFonts w:ascii="Calibri" w:hAnsi="Calibri"/>
                <w:bCs/>
                <w:lang w:eastAsia="ja-JP"/>
              </w:rPr>
            </w:pPr>
            <w:r w:rsidRPr="00912996">
              <w:rPr>
                <w:rFonts w:ascii="Calibri" w:hAnsi="Calibri"/>
                <w:bCs/>
                <w:lang w:eastAsia="ja-JP"/>
              </w:rPr>
              <w:t>45,351</w:t>
            </w:r>
          </w:p>
        </w:tc>
        <w:tc>
          <w:tcPr>
            <w:tcW w:w="347" w:type="pct"/>
            <w:shd w:val="clear" w:color="auto" w:fill="F2F2F2"/>
            <w:hideMark/>
          </w:tcPr>
          <w:p w14:paraId="6E820310" w14:textId="77777777" w:rsidR="00395D01" w:rsidRPr="00912996" w:rsidRDefault="00395D01" w:rsidP="00292396">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-2018</w:t>
            </w:r>
          </w:p>
        </w:tc>
        <w:tc>
          <w:tcPr>
            <w:tcW w:w="484" w:type="pct"/>
            <w:gridSpan w:val="2"/>
            <w:shd w:val="clear" w:color="auto" w:fill="F2F2F2"/>
            <w:hideMark/>
          </w:tcPr>
          <w:p w14:paraId="0CBC6A5C" w14:textId="77777777" w:rsidR="00395D01" w:rsidRPr="00912996" w:rsidRDefault="00395D01" w:rsidP="00292396">
            <w:pPr>
              <w:rPr>
                <w:rFonts w:ascii="Calibri" w:hAnsi="Calibri"/>
                <w:bCs/>
                <w:lang w:eastAsia="ja-JP"/>
              </w:rPr>
            </w:pPr>
            <w:r w:rsidRPr="00912996">
              <w:rPr>
                <w:rFonts w:ascii="Calibri" w:hAnsi="Calibri"/>
                <w:bCs/>
                <w:lang w:eastAsia="ja-JP"/>
              </w:rPr>
              <w:t>FPOCU 2017-2020, Axa 5 - Dezvoltare locală plasată sub responsabilitatea comunității</w:t>
            </w:r>
          </w:p>
        </w:tc>
        <w:tc>
          <w:tcPr>
            <w:tcW w:w="433" w:type="pct"/>
            <w:shd w:val="clear" w:color="auto" w:fill="F2F2F2"/>
            <w:hideMark/>
          </w:tcPr>
          <w:p w14:paraId="3349147A"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5A369FC"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9C81A44" w14:textId="77777777" w:rsidTr="00E16711">
        <w:trPr>
          <w:trHeight w:val="1848"/>
        </w:trPr>
        <w:tc>
          <w:tcPr>
            <w:tcW w:w="205" w:type="pct"/>
            <w:shd w:val="clear" w:color="auto" w:fill="F2F2F2"/>
            <w:noWrap/>
            <w:hideMark/>
          </w:tcPr>
          <w:p w14:paraId="732A207C"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322D3CBE" w14:textId="77777777" w:rsidR="00395D01" w:rsidRPr="00912996" w:rsidRDefault="00395D01" w:rsidP="00292396">
            <w:pPr>
              <w:rPr>
                <w:rFonts w:ascii="Calibri" w:hAnsi="Calibri"/>
                <w:bCs/>
                <w:lang w:eastAsia="ja-JP"/>
              </w:rPr>
            </w:pPr>
            <w:r w:rsidRPr="00912996">
              <w:rPr>
                <w:rFonts w:ascii="Calibri" w:hAnsi="Calibri"/>
                <w:bCs/>
                <w:lang w:eastAsia="ja-JP"/>
              </w:rPr>
              <w:t>Acordarea unor pachete integrate (transport, masă, materiale educaționale, calculatoare, măsuri de acompaniere, acces la servicii medicale și sociale) pentru susținerea participării la educația preuniversitară a copiilor și tinerilor din familii dezavantajate</w:t>
            </w:r>
          </w:p>
        </w:tc>
        <w:tc>
          <w:tcPr>
            <w:tcW w:w="640" w:type="pct"/>
            <w:shd w:val="clear" w:color="auto" w:fill="F2F2F2"/>
            <w:hideMark/>
          </w:tcPr>
          <w:p w14:paraId="0C801D11"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29E7D910"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E7F0405" w14:textId="77777777" w:rsidR="00395D01" w:rsidRPr="00912996" w:rsidRDefault="00395D01" w:rsidP="00292396">
            <w:pPr>
              <w:rPr>
                <w:rFonts w:ascii="Calibri" w:hAnsi="Calibri"/>
                <w:bCs/>
                <w:lang w:eastAsia="ja-JP"/>
              </w:rPr>
            </w:pPr>
            <w:r w:rsidRPr="00912996">
              <w:rPr>
                <w:rFonts w:ascii="Calibri" w:hAnsi="Calibri"/>
                <w:bCs/>
                <w:lang w:eastAsia="ja-JP"/>
              </w:rPr>
              <w:t>2,215,000</w:t>
            </w:r>
          </w:p>
        </w:tc>
        <w:tc>
          <w:tcPr>
            <w:tcW w:w="411" w:type="pct"/>
            <w:shd w:val="clear" w:color="auto" w:fill="F2F2F2"/>
            <w:hideMark/>
          </w:tcPr>
          <w:p w14:paraId="29C9F90D" w14:textId="77777777" w:rsidR="00395D01" w:rsidRPr="00912996" w:rsidRDefault="00395D01" w:rsidP="00292396">
            <w:pPr>
              <w:rPr>
                <w:rFonts w:ascii="Calibri" w:hAnsi="Calibri"/>
                <w:bCs/>
                <w:lang w:eastAsia="ja-JP"/>
              </w:rPr>
            </w:pPr>
            <w:r w:rsidRPr="00912996">
              <w:rPr>
                <w:rFonts w:ascii="Calibri" w:hAnsi="Calibri"/>
                <w:bCs/>
                <w:lang w:eastAsia="ja-JP"/>
              </w:rPr>
              <w:t>452,041</w:t>
            </w:r>
          </w:p>
        </w:tc>
        <w:tc>
          <w:tcPr>
            <w:tcW w:w="347" w:type="pct"/>
            <w:shd w:val="clear" w:color="auto" w:fill="F2F2F2"/>
            <w:hideMark/>
          </w:tcPr>
          <w:p w14:paraId="44643B45" w14:textId="77777777" w:rsidR="00395D01" w:rsidRPr="00912996" w:rsidRDefault="00395D01" w:rsidP="00292396">
            <w:pPr>
              <w:rPr>
                <w:rFonts w:ascii="Calibri" w:hAnsi="Calibri"/>
                <w:bCs/>
                <w:lang w:eastAsia="ja-JP"/>
              </w:rPr>
            </w:pPr>
            <w:r w:rsidRPr="00912996">
              <w:rPr>
                <w:rFonts w:ascii="Calibri" w:hAnsi="Calibri"/>
                <w:bCs/>
                <w:lang w:eastAsia="ja-JP"/>
              </w:rPr>
              <w:t>2017 - 2023</w:t>
            </w:r>
          </w:p>
        </w:tc>
        <w:tc>
          <w:tcPr>
            <w:tcW w:w="484" w:type="pct"/>
            <w:gridSpan w:val="2"/>
            <w:shd w:val="clear" w:color="auto" w:fill="F2F2F2"/>
            <w:hideMark/>
          </w:tcPr>
          <w:p w14:paraId="54428DD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848982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400B262"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79C7DB14" w14:textId="77777777" w:rsidTr="009F590F">
        <w:trPr>
          <w:trHeight w:val="1209"/>
        </w:trPr>
        <w:tc>
          <w:tcPr>
            <w:tcW w:w="205" w:type="pct"/>
            <w:shd w:val="clear" w:color="auto" w:fill="F2F2F2"/>
            <w:noWrap/>
            <w:hideMark/>
          </w:tcPr>
          <w:p w14:paraId="2CA4732D"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3BE36256" w14:textId="77777777" w:rsidR="00395D01" w:rsidRPr="00912996" w:rsidRDefault="00395D01" w:rsidP="00292396">
            <w:pPr>
              <w:rPr>
                <w:rFonts w:ascii="Calibri" w:hAnsi="Calibri"/>
                <w:bCs/>
                <w:lang w:eastAsia="ja-JP"/>
              </w:rPr>
            </w:pPr>
            <w:r w:rsidRPr="00912996">
              <w:rPr>
                <w:rFonts w:ascii="Calibri" w:hAnsi="Calibri"/>
                <w:bCs/>
                <w:lang w:eastAsia="ja-JP"/>
              </w:rPr>
              <w:t>Proiect sprijinire populație din zone marginalizate în vederea racordării la rețeaua de apă și canalizare</w:t>
            </w:r>
          </w:p>
        </w:tc>
        <w:tc>
          <w:tcPr>
            <w:tcW w:w="640" w:type="pct"/>
            <w:shd w:val="clear" w:color="auto" w:fill="F2F2F2"/>
            <w:hideMark/>
          </w:tcPr>
          <w:p w14:paraId="1D4040A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44FE18F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310C00D" w14:textId="77777777" w:rsidR="00395D01" w:rsidRPr="00912996" w:rsidRDefault="00395D01" w:rsidP="00292396">
            <w:pPr>
              <w:rPr>
                <w:rFonts w:ascii="Calibri" w:hAnsi="Calibri"/>
                <w:bCs/>
                <w:lang w:eastAsia="ja-JP"/>
              </w:rPr>
            </w:pPr>
            <w:r w:rsidRPr="00912996">
              <w:rPr>
                <w:rFonts w:ascii="Calibri" w:hAnsi="Calibri"/>
                <w:bCs/>
                <w:lang w:eastAsia="ja-JP"/>
              </w:rPr>
              <w:t>980,000</w:t>
            </w:r>
          </w:p>
        </w:tc>
        <w:tc>
          <w:tcPr>
            <w:tcW w:w="411" w:type="pct"/>
            <w:shd w:val="clear" w:color="auto" w:fill="F2F2F2"/>
            <w:hideMark/>
          </w:tcPr>
          <w:p w14:paraId="14A4AA63" w14:textId="77777777" w:rsidR="00395D01" w:rsidRPr="00912996" w:rsidRDefault="00395D01" w:rsidP="00292396">
            <w:pPr>
              <w:rPr>
                <w:rFonts w:ascii="Calibri" w:hAnsi="Calibri"/>
                <w:bCs/>
                <w:lang w:eastAsia="ja-JP"/>
              </w:rPr>
            </w:pPr>
            <w:r w:rsidRPr="00912996">
              <w:rPr>
                <w:rFonts w:ascii="Calibri" w:hAnsi="Calibri"/>
                <w:bCs/>
                <w:lang w:eastAsia="ja-JP"/>
              </w:rPr>
              <w:t>200,000</w:t>
            </w:r>
          </w:p>
        </w:tc>
        <w:tc>
          <w:tcPr>
            <w:tcW w:w="347" w:type="pct"/>
            <w:shd w:val="clear" w:color="auto" w:fill="F2F2F2"/>
            <w:hideMark/>
          </w:tcPr>
          <w:p w14:paraId="0C294E84"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7B5DA6C"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06892B1E"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747D51F"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395D01" w:rsidRPr="00912996" w14:paraId="5D2EFCB0" w14:textId="77777777" w:rsidTr="00292396">
        <w:trPr>
          <w:trHeight w:val="264"/>
        </w:trPr>
        <w:tc>
          <w:tcPr>
            <w:tcW w:w="5000" w:type="pct"/>
            <w:gridSpan w:val="12"/>
            <w:shd w:val="clear" w:color="auto" w:fill="BBD9A0"/>
            <w:noWrap/>
            <w:hideMark/>
          </w:tcPr>
          <w:p w14:paraId="032C7FC9" w14:textId="77777777" w:rsidR="00395D01" w:rsidRPr="00912996" w:rsidRDefault="00395D01" w:rsidP="00292396">
            <w:pPr>
              <w:rPr>
                <w:rFonts w:ascii="Calibri" w:hAnsi="Calibri"/>
                <w:b/>
                <w:bCs/>
                <w:color w:val="FFFFFF"/>
                <w:lang w:eastAsia="ja-JP"/>
              </w:rPr>
            </w:pPr>
            <w:r w:rsidRPr="00912996">
              <w:rPr>
                <w:rFonts w:ascii="Calibri" w:hAnsi="Calibri"/>
                <w:b/>
                <w:bCs/>
                <w:color w:val="FFFFFF"/>
                <w:lang w:eastAsia="ja-JP"/>
              </w:rPr>
              <w:t>D1.7.5. Asigurarea de servicii sociale pentru alte categorii vulnerabile</w:t>
            </w:r>
          </w:p>
        </w:tc>
      </w:tr>
      <w:tr w:rsidR="00E16711" w:rsidRPr="00912996" w14:paraId="6782C27B" w14:textId="77777777" w:rsidTr="00E16711">
        <w:trPr>
          <w:trHeight w:val="1056"/>
        </w:trPr>
        <w:tc>
          <w:tcPr>
            <w:tcW w:w="205" w:type="pct"/>
            <w:shd w:val="clear" w:color="auto" w:fill="F2F2F2"/>
            <w:hideMark/>
          </w:tcPr>
          <w:p w14:paraId="6EA0CE65" w14:textId="77777777" w:rsidR="00395D01" w:rsidRPr="00912996" w:rsidRDefault="00395D01" w:rsidP="00292396">
            <w:pPr>
              <w:rPr>
                <w:rFonts w:ascii="Calibri" w:hAnsi="Calibri"/>
                <w:bCs/>
                <w:lang w:eastAsia="ja-JP"/>
              </w:rPr>
            </w:pPr>
            <w:r w:rsidRPr="00912996">
              <w:rPr>
                <w:rFonts w:ascii="Calibri" w:hAnsi="Calibri"/>
                <w:bCs/>
                <w:lang w:eastAsia="ja-JP"/>
              </w:rPr>
              <w:t>1</w:t>
            </w:r>
          </w:p>
        </w:tc>
        <w:tc>
          <w:tcPr>
            <w:tcW w:w="1018" w:type="pct"/>
            <w:gridSpan w:val="2"/>
            <w:shd w:val="clear" w:color="auto" w:fill="F2F2F2"/>
            <w:hideMark/>
          </w:tcPr>
          <w:p w14:paraId="2A1ADD19" w14:textId="77777777" w:rsidR="00395D01" w:rsidRPr="00912996" w:rsidRDefault="00395D01" w:rsidP="00292396">
            <w:pPr>
              <w:rPr>
                <w:rFonts w:ascii="Calibri" w:hAnsi="Calibri"/>
                <w:bCs/>
                <w:lang w:eastAsia="ja-JP"/>
              </w:rPr>
            </w:pPr>
            <w:r w:rsidRPr="00912996">
              <w:rPr>
                <w:rFonts w:ascii="Calibri" w:hAnsi="Calibri"/>
                <w:bCs/>
                <w:lang w:eastAsia="ja-JP"/>
              </w:rPr>
              <w:t xml:space="preserve">Dezvoltarea unor întreprinderi sociale și întreprinderi sociale de inserție pentru a asigura inserția socio-profesională a grupurilor defavorizate într-un mod economic și financiar sustenabil </w:t>
            </w:r>
          </w:p>
          <w:p w14:paraId="63A0CAD7" w14:textId="77777777" w:rsidR="00395D01" w:rsidRPr="00912996" w:rsidRDefault="00395D01" w:rsidP="00292396">
            <w:pPr>
              <w:rPr>
                <w:rFonts w:ascii="Calibri" w:hAnsi="Calibri"/>
                <w:bCs/>
                <w:lang w:eastAsia="ja-JP"/>
              </w:rPr>
            </w:pPr>
          </w:p>
        </w:tc>
        <w:tc>
          <w:tcPr>
            <w:tcW w:w="640" w:type="pct"/>
            <w:shd w:val="clear" w:color="auto" w:fill="F2F2F2"/>
            <w:hideMark/>
          </w:tcPr>
          <w:p w14:paraId="2A92943D" w14:textId="77777777" w:rsidR="00395D01" w:rsidRPr="00912996" w:rsidRDefault="00395D01" w:rsidP="00292396">
            <w:pPr>
              <w:rPr>
                <w:rFonts w:ascii="Calibri" w:hAnsi="Calibri"/>
                <w:bCs/>
                <w:lang w:eastAsia="ja-JP"/>
              </w:rPr>
            </w:pPr>
            <w:r w:rsidRPr="00912996">
              <w:rPr>
                <w:rFonts w:ascii="Calibri" w:hAnsi="Calibri"/>
                <w:bCs/>
                <w:lang w:eastAsia="ja-JP"/>
              </w:rPr>
              <w:t>PS2, DGASPC S2, ALOFM S2</w:t>
            </w:r>
          </w:p>
        </w:tc>
        <w:tc>
          <w:tcPr>
            <w:tcW w:w="507" w:type="pct"/>
            <w:shd w:val="clear" w:color="auto" w:fill="F2F2F2"/>
            <w:hideMark/>
          </w:tcPr>
          <w:p w14:paraId="544DC4D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468586C2" w14:textId="77777777" w:rsidR="00395D01" w:rsidRPr="00912996" w:rsidRDefault="00395D01" w:rsidP="00292396">
            <w:pPr>
              <w:rPr>
                <w:rFonts w:ascii="Calibri" w:hAnsi="Calibri"/>
                <w:bCs/>
                <w:lang w:eastAsia="ja-JP"/>
              </w:rPr>
            </w:pPr>
            <w:r w:rsidRPr="00912996">
              <w:rPr>
                <w:rFonts w:ascii="Calibri" w:hAnsi="Calibri"/>
                <w:bCs/>
                <w:lang w:eastAsia="ja-JP"/>
              </w:rPr>
              <w:t>22,150,000</w:t>
            </w:r>
          </w:p>
        </w:tc>
        <w:tc>
          <w:tcPr>
            <w:tcW w:w="411" w:type="pct"/>
            <w:shd w:val="clear" w:color="auto" w:fill="F2F2F2"/>
            <w:hideMark/>
          </w:tcPr>
          <w:p w14:paraId="0B8F96B9" w14:textId="77777777" w:rsidR="00395D01" w:rsidRPr="00912996" w:rsidRDefault="00395D01" w:rsidP="00292396">
            <w:pPr>
              <w:rPr>
                <w:rFonts w:ascii="Calibri" w:hAnsi="Calibri"/>
                <w:bCs/>
                <w:lang w:eastAsia="ja-JP"/>
              </w:rPr>
            </w:pPr>
            <w:r w:rsidRPr="00912996">
              <w:rPr>
                <w:rFonts w:ascii="Calibri" w:hAnsi="Calibri"/>
                <w:bCs/>
                <w:lang w:eastAsia="ja-JP"/>
              </w:rPr>
              <w:t>5,000,000</w:t>
            </w:r>
          </w:p>
        </w:tc>
        <w:tc>
          <w:tcPr>
            <w:tcW w:w="347" w:type="pct"/>
            <w:shd w:val="clear" w:color="auto" w:fill="F2F2F2"/>
            <w:hideMark/>
          </w:tcPr>
          <w:p w14:paraId="1E95ED4F"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8BDA8B7" w14:textId="77777777" w:rsidR="00395D01" w:rsidRPr="00912996" w:rsidRDefault="00395D01" w:rsidP="00292396">
            <w:pPr>
              <w:rPr>
                <w:rFonts w:ascii="Calibri" w:hAnsi="Calibri"/>
                <w:bCs/>
                <w:lang w:eastAsia="ja-JP"/>
              </w:rPr>
            </w:pPr>
            <w:r w:rsidRPr="00912996">
              <w:rPr>
                <w:rFonts w:ascii="Calibri" w:hAnsi="Calibri"/>
                <w:bCs/>
                <w:lang w:eastAsia="ja-JP"/>
              </w:rPr>
              <w:t>POEO 2021-202 P47, Bugetul local, Alte surse de finanțare, Alte surse de finanțare</w:t>
            </w:r>
          </w:p>
        </w:tc>
        <w:tc>
          <w:tcPr>
            <w:tcW w:w="433" w:type="pct"/>
            <w:shd w:val="clear" w:color="auto" w:fill="F2F2F2"/>
            <w:hideMark/>
          </w:tcPr>
          <w:p w14:paraId="1EFE7D7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241F801E" w14:textId="77777777" w:rsidR="00395D01" w:rsidRPr="00912996" w:rsidRDefault="00395D01" w:rsidP="00292396">
            <w:pPr>
              <w:rPr>
                <w:rFonts w:ascii="Calibri" w:hAnsi="Calibri"/>
                <w:bCs/>
                <w:lang w:eastAsia="ja-JP"/>
              </w:rPr>
            </w:pPr>
            <w:r w:rsidRPr="00912996">
              <w:rPr>
                <w:rFonts w:ascii="Calibri" w:hAnsi="Calibri"/>
                <w:bCs/>
                <w:lang w:eastAsia="ja-JP"/>
              </w:rPr>
              <w:t>Propuneri de la consultările publice</w:t>
            </w:r>
          </w:p>
        </w:tc>
      </w:tr>
      <w:tr w:rsidR="00E16711" w:rsidRPr="00912996" w14:paraId="00BBC2E0" w14:textId="77777777" w:rsidTr="00E16711">
        <w:trPr>
          <w:trHeight w:val="890"/>
        </w:trPr>
        <w:tc>
          <w:tcPr>
            <w:tcW w:w="205" w:type="pct"/>
            <w:shd w:val="clear" w:color="auto" w:fill="F2F2F2"/>
            <w:hideMark/>
          </w:tcPr>
          <w:p w14:paraId="1E6BE2BF" w14:textId="77777777" w:rsidR="00395D01" w:rsidRPr="00912996" w:rsidRDefault="00395D01" w:rsidP="00292396">
            <w:pPr>
              <w:rPr>
                <w:rFonts w:ascii="Calibri" w:hAnsi="Calibri"/>
                <w:bCs/>
                <w:lang w:eastAsia="ja-JP"/>
              </w:rPr>
            </w:pPr>
            <w:r w:rsidRPr="00912996">
              <w:rPr>
                <w:rFonts w:ascii="Calibri" w:hAnsi="Calibri"/>
                <w:bCs/>
                <w:lang w:eastAsia="ja-JP"/>
              </w:rPr>
              <w:t>2</w:t>
            </w:r>
          </w:p>
        </w:tc>
        <w:tc>
          <w:tcPr>
            <w:tcW w:w="1018" w:type="pct"/>
            <w:gridSpan w:val="2"/>
            <w:shd w:val="clear" w:color="auto" w:fill="F2F2F2"/>
            <w:hideMark/>
          </w:tcPr>
          <w:p w14:paraId="2BE668BE" w14:textId="77777777" w:rsidR="00395D01" w:rsidRPr="00912996" w:rsidRDefault="00395D01" w:rsidP="00292396">
            <w:pPr>
              <w:rPr>
                <w:rFonts w:ascii="Calibri" w:hAnsi="Calibri"/>
                <w:bCs/>
                <w:lang w:eastAsia="ja-JP"/>
              </w:rPr>
            </w:pPr>
            <w:r w:rsidRPr="00912996">
              <w:rPr>
                <w:rFonts w:ascii="Calibri" w:hAnsi="Calibri"/>
                <w:bCs/>
                <w:lang w:eastAsia="ja-JP"/>
              </w:rPr>
              <w:t>Crearea unui program de sprijin social și consiliere pentru mamele minore care să vizeze și componenta educațională prin adaptare curriculară  în parteneriat cu instituțiile de învățământ, în vederea completării studiilor gimnaziale, inclusiv creșă pentru copii pe perioada educației</w:t>
            </w:r>
          </w:p>
        </w:tc>
        <w:tc>
          <w:tcPr>
            <w:tcW w:w="640" w:type="pct"/>
            <w:shd w:val="clear" w:color="auto" w:fill="F2F2F2"/>
            <w:hideMark/>
          </w:tcPr>
          <w:p w14:paraId="414D1312" w14:textId="77777777" w:rsidR="00395D01" w:rsidRPr="00912996" w:rsidRDefault="00395D01" w:rsidP="00292396">
            <w:pPr>
              <w:rPr>
                <w:rFonts w:ascii="Calibri" w:hAnsi="Calibri"/>
                <w:bCs/>
                <w:lang w:eastAsia="ja-JP"/>
              </w:rPr>
            </w:pPr>
            <w:r w:rsidRPr="00912996">
              <w:rPr>
                <w:rFonts w:ascii="Calibri" w:hAnsi="Calibri"/>
                <w:bCs/>
                <w:lang w:eastAsia="ja-JP"/>
              </w:rPr>
              <w:t>PS2, DGASPC S2, ISMB S2, ONG -uri de profil</w:t>
            </w:r>
          </w:p>
        </w:tc>
        <w:tc>
          <w:tcPr>
            <w:tcW w:w="507" w:type="pct"/>
            <w:shd w:val="clear" w:color="auto" w:fill="F2F2F2"/>
            <w:hideMark/>
          </w:tcPr>
          <w:p w14:paraId="44E16F68"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177BC8C4"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02D1D4D5"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46DEA9BF"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6722F155"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42913EC4"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921CCD4"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5C347A18" w14:textId="77777777" w:rsidTr="00E16711">
        <w:trPr>
          <w:trHeight w:val="1056"/>
        </w:trPr>
        <w:tc>
          <w:tcPr>
            <w:tcW w:w="205" w:type="pct"/>
            <w:shd w:val="clear" w:color="auto" w:fill="F2F2F2"/>
            <w:hideMark/>
          </w:tcPr>
          <w:p w14:paraId="3E2FC765" w14:textId="77777777" w:rsidR="00395D01" w:rsidRPr="00912996" w:rsidRDefault="00395D01" w:rsidP="00292396">
            <w:pPr>
              <w:rPr>
                <w:rFonts w:ascii="Calibri" w:hAnsi="Calibri"/>
                <w:bCs/>
                <w:lang w:eastAsia="ja-JP"/>
              </w:rPr>
            </w:pPr>
            <w:r w:rsidRPr="00912996">
              <w:rPr>
                <w:rFonts w:ascii="Calibri" w:hAnsi="Calibri"/>
                <w:bCs/>
                <w:lang w:eastAsia="ja-JP"/>
              </w:rPr>
              <w:t>3</w:t>
            </w:r>
          </w:p>
        </w:tc>
        <w:tc>
          <w:tcPr>
            <w:tcW w:w="1018" w:type="pct"/>
            <w:gridSpan w:val="2"/>
            <w:shd w:val="clear" w:color="auto" w:fill="F2F2F2"/>
            <w:hideMark/>
          </w:tcPr>
          <w:p w14:paraId="4A013420" w14:textId="77777777" w:rsidR="00395D01" w:rsidRPr="00912996" w:rsidRDefault="00395D01" w:rsidP="00292396">
            <w:pPr>
              <w:rPr>
                <w:rFonts w:ascii="Calibri" w:hAnsi="Calibri"/>
                <w:bCs/>
                <w:lang w:eastAsia="ja-JP"/>
              </w:rPr>
            </w:pPr>
            <w:r w:rsidRPr="00912996">
              <w:rPr>
                <w:rFonts w:ascii="Calibri" w:hAnsi="Calibri"/>
                <w:bCs/>
                <w:lang w:eastAsia="ja-JP"/>
              </w:rPr>
              <w:t>Calificare pentru viață – Includerea tinerilor care părăsesc sistemul de protecție într-un program de creare a competențelor pentru viață și calificare profesională</w:t>
            </w:r>
          </w:p>
        </w:tc>
        <w:tc>
          <w:tcPr>
            <w:tcW w:w="640" w:type="pct"/>
            <w:shd w:val="clear" w:color="auto" w:fill="F2F2F2"/>
            <w:hideMark/>
          </w:tcPr>
          <w:p w14:paraId="2B398B0A" w14:textId="77777777" w:rsidR="00395D01" w:rsidRPr="00912996" w:rsidRDefault="00395D01" w:rsidP="00292396">
            <w:pPr>
              <w:rPr>
                <w:rFonts w:ascii="Calibri" w:hAnsi="Calibri"/>
                <w:bCs/>
                <w:lang w:eastAsia="ja-JP"/>
              </w:rPr>
            </w:pPr>
            <w:r w:rsidRPr="00912996">
              <w:rPr>
                <w:rFonts w:ascii="Calibri" w:hAnsi="Calibri"/>
                <w:bCs/>
                <w:lang w:eastAsia="ja-JP"/>
              </w:rPr>
              <w:t>PS2, DGASPC S2, ISMB S2, Asociația Patronatelor, ONG - uri de profil</w:t>
            </w:r>
          </w:p>
        </w:tc>
        <w:tc>
          <w:tcPr>
            <w:tcW w:w="507" w:type="pct"/>
            <w:shd w:val="clear" w:color="auto" w:fill="F2F2F2"/>
            <w:hideMark/>
          </w:tcPr>
          <w:p w14:paraId="5997C92F"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F0E0603" w14:textId="77777777" w:rsidR="00395D01" w:rsidRPr="00912996" w:rsidRDefault="00395D01" w:rsidP="00292396">
            <w:pPr>
              <w:rPr>
                <w:rFonts w:ascii="Calibri" w:hAnsi="Calibri"/>
                <w:bCs/>
                <w:lang w:eastAsia="ja-JP"/>
              </w:rPr>
            </w:pPr>
            <w:r w:rsidRPr="00912996">
              <w:rPr>
                <w:rFonts w:ascii="Calibri" w:hAnsi="Calibri"/>
                <w:bCs/>
                <w:lang w:eastAsia="ja-JP"/>
              </w:rPr>
              <w:t>332,250</w:t>
            </w:r>
          </w:p>
        </w:tc>
        <w:tc>
          <w:tcPr>
            <w:tcW w:w="411" w:type="pct"/>
            <w:shd w:val="clear" w:color="auto" w:fill="F2F2F2"/>
            <w:hideMark/>
          </w:tcPr>
          <w:p w14:paraId="4809772F" w14:textId="77777777" w:rsidR="00395D01" w:rsidRPr="00912996" w:rsidRDefault="00395D01" w:rsidP="00292396">
            <w:pPr>
              <w:rPr>
                <w:rFonts w:ascii="Calibri" w:hAnsi="Calibri"/>
                <w:bCs/>
                <w:lang w:eastAsia="ja-JP"/>
              </w:rPr>
            </w:pPr>
            <w:r w:rsidRPr="00912996">
              <w:rPr>
                <w:rFonts w:ascii="Calibri" w:hAnsi="Calibri"/>
                <w:bCs/>
                <w:lang w:eastAsia="ja-JP"/>
              </w:rPr>
              <w:t>75,000</w:t>
            </w:r>
          </w:p>
        </w:tc>
        <w:tc>
          <w:tcPr>
            <w:tcW w:w="347" w:type="pct"/>
            <w:shd w:val="clear" w:color="auto" w:fill="F2F2F2"/>
            <w:hideMark/>
          </w:tcPr>
          <w:p w14:paraId="2E2E149A" w14:textId="77777777" w:rsidR="00395D01" w:rsidRPr="00912996" w:rsidRDefault="00395D01" w:rsidP="00292396">
            <w:pPr>
              <w:rPr>
                <w:rFonts w:ascii="Calibri" w:hAnsi="Calibri"/>
                <w:bCs/>
                <w:lang w:eastAsia="ja-JP"/>
              </w:rPr>
            </w:pPr>
            <w:r w:rsidRPr="00912996">
              <w:rPr>
                <w:rFonts w:ascii="Calibri" w:hAnsi="Calibri"/>
                <w:bCs/>
                <w:lang w:eastAsia="ja-JP"/>
              </w:rPr>
              <w:t>2017 - 2025</w:t>
            </w:r>
          </w:p>
        </w:tc>
        <w:tc>
          <w:tcPr>
            <w:tcW w:w="484" w:type="pct"/>
            <w:gridSpan w:val="2"/>
            <w:shd w:val="clear" w:color="auto" w:fill="F2F2F2"/>
            <w:hideMark/>
          </w:tcPr>
          <w:p w14:paraId="38D91935" w14:textId="77777777" w:rsidR="00395D01" w:rsidRPr="00912996" w:rsidRDefault="00395D01" w:rsidP="00292396">
            <w:pPr>
              <w:rPr>
                <w:rFonts w:ascii="Calibri" w:hAnsi="Calibri"/>
                <w:bCs/>
                <w:lang w:eastAsia="ja-JP"/>
              </w:rPr>
            </w:pPr>
            <w:r w:rsidRPr="00912996">
              <w:rPr>
                <w:rFonts w:ascii="Calibri" w:hAnsi="Calibri"/>
                <w:bCs/>
                <w:lang w:eastAsia="ja-JP"/>
              </w:rPr>
              <w:t>POEO P3, Bugetul local, Alte surse de finanțare, grant-uri, Alte surse de finanțare</w:t>
            </w:r>
          </w:p>
        </w:tc>
        <w:tc>
          <w:tcPr>
            <w:tcW w:w="433" w:type="pct"/>
            <w:shd w:val="clear" w:color="auto" w:fill="F2F2F2"/>
            <w:hideMark/>
          </w:tcPr>
          <w:p w14:paraId="7BA8E81B"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9DD5C8E" w14:textId="77777777" w:rsidR="00395D01" w:rsidRPr="00912996" w:rsidRDefault="00395D01" w:rsidP="00292396">
            <w:pPr>
              <w:rPr>
                <w:rFonts w:ascii="Calibri" w:hAnsi="Calibri"/>
                <w:bCs/>
                <w:lang w:eastAsia="ja-JP"/>
              </w:rPr>
            </w:pPr>
            <w:r w:rsidRPr="00912996">
              <w:rPr>
                <w:rFonts w:ascii="Calibri" w:hAnsi="Calibri"/>
                <w:bCs/>
                <w:lang w:eastAsia="ja-JP"/>
              </w:rPr>
              <w:t>SDLID S2 2016-2025</w:t>
            </w:r>
          </w:p>
        </w:tc>
      </w:tr>
      <w:tr w:rsidR="00E16711" w:rsidRPr="00912996" w14:paraId="1D391740" w14:textId="77777777" w:rsidTr="00E16711">
        <w:trPr>
          <w:trHeight w:val="1056"/>
        </w:trPr>
        <w:tc>
          <w:tcPr>
            <w:tcW w:w="205" w:type="pct"/>
            <w:shd w:val="clear" w:color="auto" w:fill="F2F2F2"/>
            <w:hideMark/>
          </w:tcPr>
          <w:p w14:paraId="643CC1A2" w14:textId="77777777" w:rsidR="00395D01" w:rsidRPr="00912996" w:rsidRDefault="00395D01" w:rsidP="00292396">
            <w:pPr>
              <w:rPr>
                <w:rFonts w:ascii="Calibri" w:hAnsi="Calibri"/>
                <w:bCs/>
                <w:lang w:eastAsia="ja-JP"/>
              </w:rPr>
            </w:pPr>
            <w:r w:rsidRPr="00912996">
              <w:rPr>
                <w:rFonts w:ascii="Calibri" w:hAnsi="Calibri"/>
                <w:bCs/>
                <w:lang w:eastAsia="ja-JP"/>
              </w:rPr>
              <w:t>4</w:t>
            </w:r>
          </w:p>
        </w:tc>
        <w:tc>
          <w:tcPr>
            <w:tcW w:w="1018" w:type="pct"/>
            <w:gridSpan w:val="2"/>
            <w:shd w:val="clear" w:color="auto" w:fill="F2F2F2"/>
            <w:hideMark/>
          </w:tcPr>
          <w:p w14:paraId="09DD58AB" w14:textId="77777777" w:rsidR="00395D01" w:rsidRPr="00912996" w:rsidRDefault="00395D01" w:rsidP="00292396">
            <w:pPr>
              <w:rPr>
                <w:rFonts w:ascii="Calibri" w:hAnsi="Calibri"/>
                <w:bCs/>
                <w:lang w:eastAsia="ja-JP"/>
              </w:rPr>
            </w:pPr>
            <w:r w:rsidRPr="00912996">
              <w:rPr>
                <w:rFonts w:ascii="Calibri" w:hAnsi="Calibri"/>
                <w:bCs/>
                <w:lang w:eastAsia="ja-JP"/>
              </w:rPr>
              <w:t>Construire Ansamblu de locuințe sociale pentru tineri  in Str. Aurului</w:t>
            </w:r>
          </w:p>
        </w:tc>
        <w:tc>
          <w:tcPr>
            <w:tcW w:w="640" w:type="pct"/>
            <w:shd w:val="clear" w:color="auto" w:fill="F2F2F2"/>
            <w:hideMark/>
          </w:tcPr>
          <w:p w14:paraId="0B9F526B"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A29927B"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7E5810E" w14:textId="77777777" w:rsidR="00395D01" w:rsidRPr="00912996" w:rsidRDefault="00395D01" w:rsidP="00292396">
            <w:pPr>
              <w:rPr>
                <w:rFonts w:ascii="Calibri" w:hAnsi="Calibri"/>
                <w:bCs/>
                <w:lang w:eastAsia="ja-JP"/>
              </w:rPr>
            </w:pPr>
            <w:r w:rsidRPr="00912996">
              <w:rPr>
                <w:rFonts w:ascii="Calibri" w:hAnsi="Calibri"/>
                <w:bCs/>
                <w:lang w:eastAsia="ja-JP"/>
              </w:rPr>
              <w:t>40,000,000</w:t>
            </w:r>
          </w:p>
        </w:tc>
        <w:tc>
          <w:tcPr>
            <w:tcW w:w="411" w:type="pct"/>
            <w:shd w:val="clear" w:color="auto" w:fill="F2F2F2"/>
            <w:hideMark/>
          </w:tcPr>
          <w:p w14:paraId="2A94C00B" w14:textId="77777777" w:rsidR="00395D01" w:rsidRPr="00912996" w:rsidRDefault="00395D01" w:rsidP="00292396">
            <w:pPr>
              <w:rPr>
                <w:rFonts w:ascii="Calibri" w:hAnsi="Calibri"/>
                <w:bCs/>
                <w:lang w:eastAsia="ja-JP"/>
              </w:rPr>
            </w:pPr>
            <w:r w:rsidRPr="00912996">
              <w:rPr>
                <w:rFonts w:ascii="Calibri" w:hAnsi="Calibri"/>
                <w:bCs/>
                <w:lang w:eastAsia="ja-JP"/>
              </w:rPr>
              <w:t>10,000,000</w:t>
            </w:r>
          </w:p>
        </w:tc>
        <w:tc>
          <w:tcPr>
            <w:tcW w:w="347" w:type="pct"/>
            <w:shd w:val="clear" w:color="auto" w:fill="F2F2F2"/>
            <w:hideMark/>
          </w:tcPr>
          <w:p w14:paraId="27982430"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12B11623" w14:textId="77777777" w:rsidR="00395D01" w:rsidRPr="00912996" w:rsidRDefault="00395D01" w:rsidP="00292396">
            <w:pPr>
              <w:rPr>
                <w:rFonts w:ascii="Calibri" w:hAnsi="Calibri"/>
                <w:bCs/>
                <w:lang w:eastAsia="ja-JP"/>
              </w:rPr>
            </w:pPr>
            <w:r w:rsidRPr="00912996">
              <w:rPr>
                <w:rFonts w:ascii="Calibri" w:hAnsi="Calibri"/>
                <w:bCs/>
                <w:lang w:eastAsia="ja-JP"/>
              </w:rPr>
              <w:t>POIDS 2021-2027 P8, PNRR C13, Bugetul local, Alte surse de finanțare</w:t>
            </w:r>
          </w:p>
        </w:tc>
        <w:tc>
          <w:tcPr>
            <w:tcW w:w="433" w:type="pct"/>
            <w:shd w:val="clear" w:color="auto" w:fill="F2F2F2"/>
            <w:hideMark/>
          </w:tcPr>
          <w:p w14:paraId="2EAB083E"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hideMark/>
          </w:tcPr>
          <w:p w14:paraId="72680FF5"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284A0C1" w14:textId="77777777" w:rsidTr="00E16711">
        <w:trPr>
          <w:trHeight w:val="1056"/>
        </w:trPr>
        <w:tc>
          <w:tcPr>
            <w:tcW w:w="205" w:type="pct"/>
            <w:shd w:val="clear" w:color="auto" w:fill="F2F2F2"/>
            <w:hideMark/>
          </w:tcPr>
          <w:p w14:paraId="323DC5CC" w14:textId="77777777" w:rsidR="00395D01" w:rsidRPr="00912996" w:rsidRDefault="00395D01" w:rsidP="00292396">
            <w:pPr>
              <w:rPr>
                <w:rFonts w:ascii="Calibri" w:hAnsi="Calibri"/>
                <w:bCs/>
                <w:lang w:eastAsia="ja-JP"/>
              </w:rPr>
            </w:pPr>
            <w:r w:rsidRPr="00912996">
              <w:rPr>
                <w:rFonts w:ascii="Calibri" w:hAnsi="Calibri"/>
                <w:bCs/>
                <w:lang w:eastAsia="ja-JP"/>
              </w:rPr>
              <w:t>5</w:t>
            </w:r>
          </w:p>
        </w:tc>
        <w:tc>
          <w:tcPr>
            <w:tcW w:w="1018" w:type="pct"/>
            <w:gridSpan w:val="2"/>
            <w:shd w:val="clear" w:color="auto" w:fill="F2F2F2"/>
            <w:hideMark/>
          </w:tcPr>
          <w:p w14:paraId="06D9EAE5" w14:textId="77777777" w:rsidR="00395D01" w:rsidRPr="00912996" w:rsidRDefault="00395D01" w:rsidP="00292396">
            <w:pPr>
              <w:rPr>
                <w:rFonts w:ascii="Calibri" w:hAnsi="Calibri"/>
                <w:bCs/>
                <w:lang w:eastAsia="ja-JP"/>
              </w:rPr>
            </w:pPr>
            <w:r w:rsidRPr="00912996">
              <w:rPr>
                <w:rFonts w:ascii="Calibri" w:hAnsi="Calibri"/>
                <w:bCs/>
                <w:lang w:eastAsia="ja-JP"/>
              </w:rPr>
              <w:t>Crearea unui program ce oferă reorientare profesională, instruire gratuită și programe de ucenicie pentru persoanele adulte defavorizate</w:t>
            </w:r>
          </w:p>
        </w:tc>
        <w:tc>
          <w:tcPr>
            <w:tcW w:w="640" w:type="pct"/>
            <w:shd w:val="clear" w:color="auto" w:fill="F2F2F2"/>
            <w:hideMark/>
          </w:tcPr>
          <w:p w14:paraId="7115071D" w14:textId="77777777" w:rsidR="00395D01" w:rsidRPr="00912996" w:rsidRDefault="00395D01" w:rsidP="00292396">
            <w:pPr>
              <w:rPr>
                <w:rFonts w:ascii="Calibri" w:hAnsi="Calibri"/>
                <w:bCs/>
                <w:lang w:eastAsia="ja-JP"/>
              </w:rPr>
            </w:pPr>
            <w:r w:rsidRPr="00912996">
              <w:rPr>
                <w:rFonts w:ascii="Calibri" w:hAnsi="Calibri"/>
                <w:bCs/>
                <w:lang w:eastAsia="ja-JP"/>
              </w:rPr>
              <w:t>PS2, DGASPC S2, ISMB S2, ONG -uri de profil</w:t>
            </w:r>
          </w:p>
        </w:tc>
        <w:tc>
          <w:tcPr>
            <w:tcW w:w="507" w:type="pct"/>
            <w:shd w:val="clear" w:color="auto" w:fill="F2F2F2"/>
            <w:hideMark/>
          </w:tcPr>
          <w:p w14:paraId="4EBEDF04"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B7E837C" w14:textId="77777777" w:rsidR="00395D01" w:rsidRPr="00912996" w:rsidRDefault="00395D01" w:rsidP="00292396">
            <w:pPr>
              <w:rPr>
                <w:rFonts w:ascii="Calibri" w:hAnsi="Calibri"/>
                <w:bCs/>
                <w:lang w:eastAsia="ja-JP"/>
              </w:rPr>
            </w:pPr>
            <w:r w:rsidRPr="00912996">
              <w:rPr>
                <w:rFonts w:ascii="Calibri" w:hAnsi="Calibri"/>
                <w:bCs/>
                <w:lang w:eastAsia="ja-JP"/>
              </w:rPr>
              <w:t>40,000,000</w:t>
            </w:r>
          </w:p>
        </w:tc>
        <w:tc>
          <w:tcPr>
            <w:tcW w:w="411" w:type="pct"/>
            <w:shd w:val="clear" w:color="auto" w:fill="F2F2F2"/>
            <w:hideMark/>
          </w:tcPr>
          <w:p w14:paraId="0F86D629" w14:textId="77777777" w:rsidR="00395D01" w:rsidRPr="00912996" w:rsidRDefault="00395D01" w:rsidP="00292396">
            <w:pPr>
              <w:rPr>
                <w:rFonts w:ascii="Calibri" w:hAnsi="Calibri"/>
                <w:bCs/>
                <w:lang w:eastAsia="ja-JP"/>
              </w:rPr>
            </w:pPr>
            <w:r w:rsidRPr="00912996">
              <w:rPr>
                <w:rFonts w:ascii="Calibri" w:hAnsi="Calibri"/>
                <w:bCs/>
                <w:lang w:eastAsia="ja-JP"/>
              </w:rPr>
              <w:t>10,000,000</w:t>
            </w:r>
          </w:p>
        </w:tc>
        <w:tc>
          <w:tcPr>
            <w:tcW w:w="347" w:type="pct"/>
            <w:shd w:val="clear" w:color="auto" w:fill="F2F2F2"/>
            <w:hideMark/>
          </w:tcPr>
          <w:p w14:paraId="42D29984"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45846C1" w14:textId="77777777" w:rsidR="00395D01" w:rsidRPr="00912996" w:rsidRDefault="00395D01" w:rsidP="00292396">
            <w:pPr>
              <w:rPr>
                <w:rFonts w:ascii="Calibri" w:hAnsi="Calibri"/>
                <w:bCs/>
                <w:lang w:eastAsia="ja-JP"/>
              </w:rPr>
            </w:pPr>
            <w:r w:rsidRPr="00912996">
              <w:rPr>
                <w:rFonts w:ascii="Calibri" w:hAnsi="Calibri"/>
                <w:bCs/>
                <w:lang w:eastAsia="ja-JP"/>
              </w:rPr>
              <w:t>POEO P3, Bugetul local, Alte surse de finanțare, grant-uri, Alte surse de finanțare</w:t>
            </w:r>
          </w:p>
        </w:tc>
        <w:tc>
          <w:tcPr>
            <w:tcW w:w="433" w:type="pct"/>
            <w:shd w:val="clear" w:color="auto" w:fill="F2F2F2"/>
            <w:hideMark/>
          </w:tcPr>
          <w:p w14:paraId="699F1FDF"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18968BF9"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6ED0792A" w14:textId="77777777" w:rsidTr="00E16711">
        <w:trPr>
          <w:trHeight w:val="620"/>
        </w:trPr>
        <w:tc>
          <w:tcPr>
            <w:tcW w:w="205" w:type="pct"/>
            <w:shd w:val="clear" w:color="auto" w:fill="F2F2F2"/>
            <w:hideMark/>
          </w:tcPr>
          <w:p w14:paraId="1517E907" w14:textId="77777777" w:rsidR="00395D01" w:rsidRPr="00912996" w:rsidRDefault="00395D01" w:rsidP="00292396">
            <w:pPr>
              <w:rPr>
                <w:rFonts w:ascii="Calibri" w:hAnsi="Calibri"/>
                <w:bCs/>
                <w:lang w:eastAsia="ja-JP"/>
              </w:rPr>
            </w:pPr>
            <w:r w:rsidRPr="00912996">
              <w:rPr>
                <w:rFonts w:ascii="Calibri" w:hAnsi="Calibri"/>
                <w:bCs/>
                <w:lang w:eastAsia="ja-JP"/>
              </w:rPr>
              <w:t>6</w:t>
            </w:r>
          </w:p>
        </w:tc>
        <w:tc>
          <w:tcPr>
            <w:tcW w:w="1018" w:type="pct"/>
            <w:gridSpan w:val="2"/>
            <w:shd w:val="clear" w:color="auto" w:fill="F2F2F2"/>
            <w:hideMark/>
          </w:tcPr>
          <w:p w14:paraId="51536E02" w14:textId="77777777" w:rsidR="00395D01" w:rsidRPr="00912996" w:rsidRDefault="00395D01" w:rsidP="00292396">
            <w:pPr>
              <w:rPr>
                <w:rFonts w:ascii="Calibri" w:hAnsi="Calibri"/>
                <w:bCs/>
                <w:lang w:eastAsia="ja-JP"/>
              </w:rPr>
            </w:pPr>
            <w:r w:rsidRPr="00912996">
              <w:rPr>
                <w:rFonts w:ascii="Calibri" w:hAnsi="Calibri"/>
                <w:bCs/>
                <w:lang w:eastAsia="ja-JP"/>
              </w:rPr>
              <w:t>Extindere, repoziționare și amenajare a complexului de servicii pentru persoane adulte fără adăpost, cu refacere local</w:t>
            </w:r>
            <w:r>
              <w:rPr>
                <w:rFonts w:ascii="Calibri" w:hAnsi="Calibri"/>
                <w:bCs/>
                <w:lang w:eastAsia="ja-JP"/>
              </w:rPr>
              <w:t>ă</w:t>
            </w:r>
            <w:r w:rsidRPr="00912996">
              <w:rPr>
                <w:rFonts w:ascii="Calibri" w:hAnsi="Calibri"/>
                <w:bCs/>
                <w:lang w:eastAsia="ja-JP"/>
              </w:rPr>
              <w:t xml:space="preserve"> împrejmuire</w:t>
            </w:r>
          </w:p>
        </w:tc>
        <w:tc>
          <w:tcPr>
            <w:tcW w:w="640" w:type="pct"/>
            <w:shd w:val="clear" w:color="auto" w:fill="F2F2F2"/>
            <w:hideMark/>
          </w:tcPr>
          <w:p w14:paraId="08B032F9"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6AA031AD" w14:textId="77777777" w:rsidR="00395D01" w:rsidRPr="00912996" w:rsidRDefault="00395D01" w:rsidP="00292396">
            <w:pPr>
              <w:rPr>
                <w:rFonts w:ascii="Calibri" w:hAnsi="Calibri"/>
                <w:bCs/>
                <w:lang w:eastAsia="ja-JP"/>
              </w:rPr>
            </w:pPr>
            <w:r w:rsidRPr="00912996">
              <w:rPr>
                <w:rFonts w:ascii="Calibri" w:hAnsi="Calibri"/>
                <w:bCs/>
                <w:lang w:eastAsia="ja-JP"/>
              </w:rPr>
              <w:t>SF</w:t>
            </w:r>
          </w:p>
        </w:tc>
        <w:tc>
          <w:tcPr>
            <w:tcW w:w="473" w:type="pct"/>
            <w:shd w:val="clear" w:color="auto" w:fill="F2F2F2"/>
            <w:hideMark/>
          </w:tcPr>
          <w:p w14:paraId="1E9EB508"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4993BF0F"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4415836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085F0846" w14:textId="77777777" w:rsidR="00395D01" w:rsidRPr="00912996" w:rsidRDefault="00395D01" w:rsidP="00292396">
            <w:pPr>
              <w:rPr>
                <w:rFonts w:ascii="Calibri" w:hAnsi="Calibri"/>
                <w:bCs/>
                <w:lang w:eastAsia="ja-JP"/>
              </w:rPr>
            </w:pPr>
            <w:r w:rsidRPr="00912996">
              <w:rPr>
                <w:rFonts w:ascii="Calibri" w:hAnsi="Calibri"/>
                <w:bCs/>
                <w:lang w:eastAsia="ja-JP"/>
              </w:rPr>
              <w:t>CNI</w:t>
            </w:r>
          </w:p>
        </w:tc>
        <w:tc>
          <w:tcPr>
            <w:tcW w:w="433" w:type="pct"/>
            <w:shd w:val="clear" w:color="auto" w:fill="F2F2F2"/>
            <w:hideMark/>
          </w:tcPr>
          <w:p w14:paraId="40CD1097" w14:textId="77777777" w:rsidR="00395D01" w:rsidRPr="00912996" w:rsidRDefault="00395D01" w:rsidP="00292396">
            <w:pPr>
              <w:rPr>
                <w:rFonts w:ascii="Calibri" w:hAnsi="Calibri"/>
                <w:bCs/>
                <w:lang w:eastAsia="ja-JP"/>
              </w:rPr>
            </w:pPr>
            <w:r w:rsidRPr="00912996">
              <w:rPr>
                <w:rFonts w:ascii="Calibri" w:hAnsi="Calibri"/>
                <w:bCs/>
                <w:lang w:eastAsia="ja-JP"/>
              </w:rPr>
              <w:t>List</w:t>
            </w:r>
            <w:r>
              <w:rPr>
                <w:rFonts w:ascii="Calibri" w:hAnsi="Calibri"/>
                <w:bCs/>
                <w:lang w:eastAsia="ja-JP"/>
              </w:rPr>
              <w:t>a</w:t>
            </w:r>
            <w:r w:rsidRPr="00912996">
              <w:rPr>
                <w:rFonts w:ascii="Calibri" w:hAnsi="Calibri"/>
                <w:bCs/>
                <w:lang w:eastAsia="ja-JP"/>
              </w:rPr>
              <w:t xml:space="preserve"> lungă</w:t>
            </w:r>
            <w:r>
              <w:rPr>
                <w:rFonts w:ascii="Calibri" w:hAnsi="Calibri"/>
                <w:bCs/>
                <w:lang w:eastAsia="ja-JP"/>
              </w:rPr>
              <w:t xml:space="preserve"> de proiecte</w:t>
            </w:r>
          </w:p>
        </w:tc>
        <w:tc>
          <w:tcPr>
            <w:tcW w:w="482" w:type="pct"/>
            <w:shd w:val="clear" w:color="auto" w:fill="F2F2F2"/>
            <w:hideMark/>
          </w:tcPr>
          <w:p w14:paraId="16023C50"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5850C2DA" w14:textId="77777777" w:rsidTr="00E16711">
        <w:trPr>
          <w:trHeight w:val="792"/>
        </w:trPr>
        <w:tc>
          <w:tcPr>
            <w:tcW w:w="205" w:type="pct"/>
            <w:shd w:val="clear" w:color="auto" w:fill="F2F2F2"/>
            <w:hideMark/>
          </w:tcPr>
          <w:p w14:paraId="4EC531A0" w14:textId="77777777" w:rsidR="00395D01" w:rsidRPr="00912996" w:rsidRDefault="00395D01" w:rsidP="00292396">
            <w:pPr>
              <w:rPr>
                <w:rFonts w:ascii="Calibri" w:hAnsi="Calibri"/>
                <w:bCs/>
                <w:lang w:eastAsia="ja-JP"/>
              </w:rPr>
            </w:pPr>
            <w:r w:rsidRPr="00912996">
              <w:rPr>
                <w:rFonts w:ascii="Calibri" w:hAnsi="Calibri"/>
                <w:bCs/>
                <w:lang w:eastAsia="ja-JP"/>
              </w:rPr>
              <w:t>7</w:t>
            </w:r>
          </w:p>
        </w:tc>
        <w:tc>
          <w:tcPr>
            <w:tcW w:w="1018" w:type="pct"/>
            <w:gridSpan w:val="2"/>
            <w:shd w:val="clear" w:color="auto" w:fill="F2F2F2"/>
            <w:hideMark/>
          </w:tcPr>
          <w:p w14:paraId="7E0D9A38" w14:textId="77777777" w:rsidR="00395D01" w:rsidRPr="00912996" w:rsidRDefault="00395D01" w:rsidP="00292396">
            <w:pPr>
              <w:rPr>
                <w:rFonts w:ascii="Calibri" w:hAnsi="Calibri"/>
                <w:bCs/>
                <w:lang w:eastAsia="ja-JP"/>
              </w:rPr>
            </w:pPr>
            <w:r w:rsidRPr="00912996">
              <w:rPr>
                <w:rFonts w:ascii="Calibri" w:hAnsi="Calibri"/>
                <w:bCs/>
                <w:lang w:eastAsia="ja-JP"/>
              </w:rPr>
              <w:t xml:space="preserve">Înființarea a 6 centre de fizioterapie </w:t>
            </w:r>
            <w:r>
              <w:rPr>
                <w:rFonts w:ascii="Calibri" w:hAnsi="Calibri"/>
                <w:bCs/>
                <w:lang w:eastAsia="ja-JP"/>
              </w:rPr>
              <w:t>î</w:t>
            </w:r>
            <w:r w:rsidRPr="00912996">
              <w:rPr>
                <w:rFonts w:ascii="Calibri" w:hAnsi="Calibri"/>
                <w:bCs/>
                <w:lang w:eastAsia="ja-JP"/>
              </w:rPr>
              <w:t>n regim gratuit pentru persoanele defavorizate</w:t>
            </w:r>
          </w:p>
        </w:tc>
        <w:tc>
          <w:tcPr>
            <w:tcW w:w="640" w:type="pct"/>
            <w:shd w:val="clear" w:color="auto" w:fill="F2F2F2"/>
            <w:hideMark/>
          </w:tcPr>
          <w:p w14:paraId="6AE2410A"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04E60FA7"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08F32641" w14:textId="77777777" w:rsidR="00395D01" w:rsidRPr="00912996" w:rsidRDefault="00395D01" w:rsidP="00292396">
            <w:pPr>
              <w:rPr>
                <w:rFonts w:ascii="Calibri" w:hAnsi="Calibri"/>
                <w:bCs/>
                <w:lang w:eastAsia="ja-JP"/>
              </w:rPr>
            </w:pPr>
            <w:r w:rsidRPr="00912996">
              <w:rPr>
                <w:rFonts w:ascii="Calibri" w:hAnsi="Calibri"/>
                <w:bCs/>
                <w:lang w:eastAsia="ja-JP"/>
              </w:rPr>
              <w:t>6,860,000</w:t>
            </w:r>
          </w:p>
        </w:tc>
        <w:tc>
          <w:tcPr>
            <w:tcW w:w="411" w:type="pct"/>
            <w:shd w:val="clear" w:color="auto" w:fill="F2F2F2"/>
            <w:hideMark/>
          </w:tcPr>
          <w:p w14:paraId="730F4202" w14:textId="77777777" w:rsidR="00395D01" w:rsidRPr="00912996" w:rsidRDefault="00395D01" w:rsidP="00292396">
            <w:pPr>
              <w:rPr>
                <w:rFonts w:ascii="Calibri" w:hAnsi="Calibri"/>
                <w:bCs/>
                <w:lang w:eastAsia="ja-JP"/>
              </w:rPr>
            </w:pPr>
            <w:r w:rsidRPr="00912996">
              <w:rPr>
                <w:rFonts w:ascii="Calibri" w:hAnsi="Calibri"/>
                <w:bCs/>
                <w:lang w:eastAsia="ja-JP"/>
              </w:rPr>
              <w:t>1,400,000</w:t>
            </w:r>
          </w:p>
        </w:tc>
        <w:tc>
          <w:tcPr>
            <w:tcW w:w="347" w:type="pct"/>
            <w:shd w:val="clear" w:color="auto" w:fill="F2F2F2"/>
            <w:hideMark/>
          </w:tcPr>
          <w:p w14:paraId="2B6441FC"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04432BE" w14:textId="77777777" w:rsidR="00395D01" w:rsidRPr="00912996" w:rsidRDefault="00395D01" w:rsidP="00292396">
            <w:pPr>
              <w:rPr>
                <w:rFonts w:ascii="Calibri" w:hAnsi="Calibri"/>
                <w:bCs/>
                <w:lang w:eastAsia="ja-JP"/>
              </w:rPr>
            </w:pPr>
            <w:r w:rsidRPr="00912996">
              <w:rPr>
                <w:rFonts w:ascii="Calibri" w:hAnsi="Calibri"/>
                <w:bCs/>
                <w:lang w:eastAsia="ja-JP"/>
              </w:rPr>
              <w:t>PNRR C13, Bugetul local, Alte surse de finanțare</w:t>
            </w:r>
          </w:p>
        </w:tc>
        <w:tc>
          <w:tcPr>
            <w:tcW w:w="433" w:type="pct"/>
            <w:shd w:val="clear" w:color="auto" w:fill="F2F2F2"/>
            <w:hideMark/>
          </w:tcPr>
          <w:p w14:paraId="135B86D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39504AC2"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12A42CF" w14:textId="77777777" w:rsidTr="00E16711">
        <w:trPr>
          <w:trHeight w:val="1056"/>
        </w:trPr>
        <w:tc>
          <w:tcPr>
            <w:tcW w:w="205" w:type="pct"/>
            <w:shd w:val="clear" w:color="auto" w:fill="F2F2F2"/>
            <w:hideMark/>
          </w:tcPr>
          <w:p w14:paraId="2D4FFEE3" w14:textId="77777777" w:rsidR="00395D01" w:rsidRPr="00912996" w:rsidRDefault="00395D01" w:rsidP="00292396">
            <w:pPr>
              <w:rPr>
                <w:rFonts w:ascii="Calibri" w:hAnsi="Calibri"/>
                <w:bCs/>
                <w:lang w:eastAsia="ja-JP"/>
              </w:rPr>
            </w:pPr>
            <w:r w:rsidRPr="00912996">
              <w:rPr>
                <w:rFonts w:ascii="Calibri" w:hAnsi="Calibri"/>
                <w:bCs/>
                <w:lang w:eastAsia="ja-JP"/>
              </w:rPr>
              <w:t>8</w:t>
            </w:r>
          </w:p>
        </w:tc>
        <w:tc>
          <w:tcPr>
            <w:tcW w:w="1018" w:type="pct"/>
            <w:gridSpan w:val="2"/>
            <w:shd w:val="clear" w:color="auto" w:fill="F2F2F2"/>
            <w:hideMark/>
          </w:tcPr>
          <w:p w14:paraId="70F20E33" w14:textId="77777777" w:rsidR="00395D01" w:rsidRPr="00912996" w:rsidRDefault="00395D01" w:rsidP="00292396">
            <w:pPr>
              <w:rPr>
                <w:rFonts w:ascii="Calibri" w:hAnsi="Calibri"/>
                <w:bCs/>
                <w:lang w:eastAsia="ja-JP"/>
              </w:rPr>
            </w:pPr>
            <w:r w:rsidRPr="00912996">
              <w:rPr>
                <w:rFonts w:ascii="Calibri" w:hAnsi="Calibri"/>
                <w:bCs/>
                <w:lang w:eastAsia="ja-JP"/>
              </w:rPr>
              <w:t>Înființarea unui centru pentru agresori</w:t>
            </w:r>
          </w:p>
        </w:tc>
        <w:tc>
          <w:tcPr>
            <w:tcW w:w="640" w:type="pct"/>
            <w:shd w:val="clear" w:color="auto" w:fill="F2F2F2"/>
            <w:hideMark/>
          </w:tcPr>
          <w:p w14:paraId="11179C29"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51CE9E7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7EA1552D" w14:textId="77777777" w:rsidR="00395D01" w:rsidRPr="00912996" w:rsidRDefault="00395D01" w:rsidP="00292396">
            <w:pPr>
              <w:rPr>
                <w:rFonts w:ascii="Calibri" w:hAnsi="Calibri"/>
                <w:bCs/>
                <w:lang w:eastAsia="ja-JP"/>
              </w:rPr>
            </w:pPr>
            <w:r w:rsidRPr="00912996">
              <w:rPr>
                <w:rFonts w:ascii="Calibri" w:hAnsi="Calibri"/>
                <w:bCs/>
                <w:lang w:eastAsia="ja-JP"/>
              </w:rPr>
              <w:t>2,940,000</w:t>
            </w:r>
          </w:p>
        </w:tc>
        <w:tc>
          <w:tcPr>
            <w:tcW w:w="411" w:type="pct"/>
            <w:shd w:val="clear" w:color="auto" w:fill="F2F2F2"/>
            <w:hideMark/>
          </w:tcPr>
          <w:p w14:paraId="0E4D906B" w14:textId="77777777" w:rsidR="00395D01" w:rsidRPr="00912996" w:rsidRDefault="00395D01" w:rsidP="00292396">
            <w:pPr>
              <w:rPr>
                <w:rFonts w:ascii="Calibri" w:hAnsi="Calibri"/>
                <w:bCs/>
                <w:lang w:eastAsia="ja-JP"/>
              </w:rPr>
            </w:pPr>
            <w:r w:rsidRPr="00912996">
              <w:rPr>
                <w:rFonts w:ascii="Calibri" w:hAnsi="Calibri"/>
                <w:bCs/>
                <w:lang w:eastAsia="ja-JP"/>
              </w:rPr>
              <w:t>600,000</w:t>
            </w:r>
          </w:p>
        </w:tc>
        <w:tc>
          <w:tcPr>
            <w:tcW w:w="347" w:type="pct"/>
            <w:shd w:val="clear" w:color="auto" w:fill="F2F2F2"/>
            <w:hideMark/>
          </w:tcPr>
          <w:p w14:paraId="50AA1018"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27383D8A" w14:textId="77777777" w:rsidR="00395D01" w:rsidRPr="00912996" w:rsidRDefault="00395D01" w:rsidP="00292396">
            <w:pPr>
              <w:rPr>
                <w:rFonts w:ascii="Calibri" w:hAnsi="Calibri"/>
                <w:bCs/>
                <w:lang w:eastAsia="ja-JP"/>
              </w:rPr>
            </w:pPr>
            <w:r w:rsidRPr="00912996">
              <w:rPr>
                <w:rFonts w:ascii="Calibri" w:hAnsi="Calibri"/>
                <w:bCs/>
                <w:lang w:eastAsia="ja-JP"/>
              </w:rPr>
              <w:t>POR BI, POIDS P1, Bugetul local, Alte surse de finanțare, Alte surse de finanțare</w:t>
            </w:r>
          </w:p>
        </w:tc>
        <w:tc>
          <w:tcPr>
            <w:tcW w:w="433" w:type="pct"/>
            <w:shd w:val="clear" w:color="auto" w:fill="F2F2F2"/>
            <w:hideMark/>
          </w:tcPr>
          <w:p w14:paraId="339DA24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4167AB7A"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0F7ED6BD" w14:textId="77777777" w:rsidTr="00E16711">
        <w:trPr>
          <w:trHeight w:val="528"/>
        </w:trPr>
        <w:tc>
          <w:tcPr>
            <w:tcW w:w="205" w:type="pct"/>
            <w:shd w:val="clear" w:color="auto" w:fill="F2F2F2"/>
            <w:hideMark/>
          </w:tcPr>
          <w:p w14:paraId="0D51D0BA" w14:textId="77777777" w:rsidR="00395D01" w:rsidRPr="00912996" w:rsidRDefault="00395D01" w:rsidP="00292396">
            <w:pPr>
              <w:rPr>
                <w:rFonts w:ascii="Calibri" w:hAnsi="Calibri"/>
                <w:bCs/>
                <w:lang w:eastAsia="ja-JP"/>
              </w:rPr>
            </w:pPr>
            <w:r w:rsidRPr="00912996">
              <w:rPr>
                <w:rFonts w:ascii="Calibri" w:hAnsi="Calibri"/>
                <w:bCs/>
                <w:lang w:eastAsia="ja-JP"/>
              </w:rPr>
              <w:t>9</w:t>
            </w:r>
          </w:p>
        </w:tc>
        <w:tc>
          <w:tcPr>
            <w:tcW w:w="1018" w:type="pct"/>
            <w:gridSpan w:val="2"/>
            <w:shd w:val="clear" w:color="auto" w:fill="F2F2F2"/>
            <w:hideMark/>
          </w:tcPr>
          <w:p w14:paraId="16C114AA" w14:textId="77777777" w:rsidR="00395D01" w:rsidRPr="00912996" w:rsidRDefault="00395D01" w:rsidP="00292396">
            <w:pPr>
              <w:rPr>
                <w:rFonts w:ascii="Calibri" w:hAnsi="Calibri"/>
                <w:bCs/>
                <w:lang w:eastAsia="ja-JP"/>
              </w:rPr>
            </w:pPr>
            <w:r w:rsidRPr="00912996">
              <w:rPr>
                <w:rFonts w:ascii="Calibri" w:hAnsi="Calibri"/>
                <w:bCs/>
                <w:lang w:eastAsia="ja-JP"/>
              </w:rPr>
              <w:t xml:space="preserve">Organizarea unor ateliere de artă </w:t>
            </w:r>
            <w:r>
              <w:rPr>
                <w:rFonts w:ascii="Calibri" w:hAnsi="Calibri"/>
                <w:bCs/>
                <w:lang w:eastAsia="ja-JP"/>
              </w:rPr>
              <w:t>ș</w:t>
            </w:r>
            <w:r w:rsidRPr="00912996">
              <w:rPr>
                <w:rFonts w:ascii="Calibri" w:hAnsi="Calibri"/>
                <w:bCs/>
                <w:lang w:eastAsia="ja-JP"/>
              </w:rPr>
              <w:t>i terapii alternative pentru persoanele defavorizate</w:t>
            </w:r>
          </w:p>
        </w:tc>
        <w:tc>
          <w:tcPr>
            <w:tcW w:w="640" w:type="pct"/>
            <w:shd w:val="clear" w:color="auto" w:fill="F2F2F2"/>
            <w:hideMark/>
          </w:tcPr>
          <w:p w14:paraId="08426DD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hideMark/>
          </w:tcPr>
          <w:p w14:paraId="777D8249"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24FC23E8" w14:textId="77777777" w:rsidR="00395D01" w:rsidRPr="00912996" w:rsidRDefault="00395D01" w:rsidP="00292396">
            <w:pPr>
              <w:rPr>
                <w:rFonts w:ascii="Calibri" w:hAnsi="Calibri"/>
                <w:bCs/>
                <w:lang w:eastAsia="ja-JP"/>
              </w:rPr>
            </w:pPr>
            <w:r w:rsidRPr="00912996">
              <w:rPr>
                <w:rFonts w:ascii="Calibri" w:hAnsi="Calibri"/>
                <w:bCs/>
                <w:lang w:eastAsia="ja-JP"/>
              </w:rPr>
              <w:t>2,450,000</w:t>
            </w:r>
          </w:p>
        </w:tc>
        <w:tc>
          <w:tcPr>
            <w:tcW w:w="411" w:type="pct"/>
            <w:shd w:val="clear" w:color="auto" w:fill="F2F2F2"/>
            <w:hideMark/>
          </w:tcPr>
          <w:p w14:paraId="77FA38A5" w14:textId="77777777" w:rsidR="00395D01" w:rsidRPr="00912996" w:rsidRDefault="00395D01" w:rsidP="00292396">
            <w:pPr>
              <w:rPr>
                <w:rFonts w:ascii="Calibri" w:hAnsi="Calibri"/>
                <w:bCs/>
                <w:lang w:eastAsia="ja-JP"/>
              </w:rPr>
            </w:pPr>
            <w:r w:rsidRPr="00912996">
              <w:rPr>
                <w:rFonts w:ascii="Calibri" w:hAnsi="Calibri"/>
                <w:bCs/>
                <w:lang w:eastAsia="ja-JP"/>
              </w:rPr>
              <w:t>500,000</w:t>
            </w:r>
          </w:p>
        </w:tc>
        <w:tc>
          <w:tcPr>
            <w:tcW w:w="347" w:type="pct"/>
            <w:shd w:val="clear" w:color="auto" w:fill="F2F2F2"/>
            <w:hideMark/>
          </w:tcPr>
          <w:p w14:paraId="555C0914"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46D516E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77DCCFE5"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D206991"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5DD7D34" w14:textId="77777777" w:rsidTr="00E16711">
        <w:trPr>
          <w:trHeight w:val="1056"/>
        </w:trPr>
        <w:tc>
          <w:tcPr>
            <w:tcW w:w="205" w:type="pct"/>
            <w:shd w:val="clear" w:color="auto" w:fill="F2F2F2"/>
            <w:hideMark/>
          </w:tcPr>
          <w:p w14:paraId="1000DC44" w14:textId="77777777" w:rsidR="00395D01" w:rsidRPr="00912996" w:rsidRDefault="00395D01" w:rsidP="00292396">
            <w:pPr>
              <w:rPr>
                <w:rFonts w:ascii="Calibri" w:hAnsi="Calibri"/>
                <w:bCs/>
                <w:lang w:eastAsia="ja-JP"/>
              </w:rPr>
            </w:pPr>
            <w:r w:rsidRPr="00912996">
              <w:rPr>
                <w:rFonts w:ascii="Calibri" w:hAnsi="Calibri"/>
                <w:bCs/>
                <w:lang w:eastAsia="ja-JP"/>
              </w:rPr>
              <w:t>10</w:t>
            </w:r>
          </w:p>
        </w:tc>
        <w:tc>
          <w:tcPr>
            <w:tcW w:w="1018" w:type="pct"/>
            <w:gridSpan w:val="2"/>
            <w:shd w:val="clear" w:color="auto" w:fill="F2F2F2"/>
            <w:hideMark/>
          </w:tcPr>
          <w:p w14:paraId="0C0EDABF" w14:textId="77777777" w:rsidR="00395D01" w:rsidRPr="00912996" w:rsidRDefault="00395D01" w:rsidP="00292396">
            <w:pPr>
              <w:rPr>
                <w:rFonts w:ascii="Calibri" w:hAnsi="Calibri"/>
                <w:bCs/>
                <w:lang w:eastAsia="ja-JP"/>
              </w:rPr>
            </w:pPr>
            <w:r w:rsidRPr="00912996">
              <w:rPr>
                <w:rFonts w:ascii="Calibri" w:hAnsi="Calibri"/>
                <w:bCs/>
                <w:lang w:eastAsia="ja-JP"/>
              </w:rPr>
              <w:t>Reabilitare si modernizare 3 locuințe protejate in vederea utilizării acestora de către grupurile defavorizate</w:t>
            </w:r>
          </w:p>
        </w:tc>
        <w:tc>
          <w:tcPr>
            <w:tcW w:w="640" w:type="pct"/>
            <w:shd w:val="clear" w:color="auto" w:fill="F2F2F2"/>
            <w:hideMark/>
          </w:tcPr>
          <w:p w14:paraId="30EA9426"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32424993"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340D6917" w14:textId="77777777" w:rsidR="00395D01" w:rsidRPr="00912996" w:rsidRDefault="00395D01" w:rsidP="00292396">
            <w:pPr>
              <w:rPr>
                <w:rFonts w:ascii="Calibri" w:hAnsi="Calibri"/>
                <w:bCs/>
                <w:lang w:eastAsia="ja-JP"/>
              </w:rPr>
            </w:pPr>
            <w:r w:rsidRPr="00912996">
              <w:rPr>
                <w:rFonts w:ascii="Calibri" w:hAnsi="Calibri"/>
                <w:bCs/>
                <w:lang w:eastAsia="ja-JP"/>
              </w:rPr>
              <w:t>7,350,000</w:t>
            </w:r>
          </w:p>
        </w:tc>
        <w:tc>
          <w:tcPr>
            <w:tcW w:w="411" w:type="pct"/>
            <w:shd w:val="clear" w:color="auto" w:fill="F2F2F2"/>
            <w:hideMark/>
          </w:tcPr>
          <w:p w14:paraId="01856549" w14:textId="77777777" w:rsidR="00395D01" w:rsidRPr="00912996" w:rsidRDefault="00395D01" w:rsidP="00292396">
            <w:pPr>
              <w:rPr>
                <w:rFonts w:ascii="Calibri" w:hAnsi="Calibri"/>
                <w:bCs/>
                <w:lang w:eastAsia="ja-JP"/>
              </w:rPr>
            </w:pPr>
            <w:r w:rsidRPr="00912996">
              <w:rPr>
                <w:rFonts w:ascii="Calibri" w:hAnsi="Calibri"/>
                <w:bCs/>
                <w:lang w:eastAsia="ja-JP"/>
              </w:rPr>
              <w:t>1,500,000</w:t>
            </w:r>
          </w:p>
        </w:tc>
        <w:tc>
          <w:tcPr>
            <w:tcW w:w="347" w:type="pct"/>
            <w:shd w:val="clear" w:color="auto" w:fill="F2F2F2"/>
            <w:hideMark/>
          </w:tcPr>
          <w:p w14:paraId="758B5165"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CBE9284" w14:textId="77777777" w:rsidR="00395D01" w:rsidRPr="00912996" w:rsidRDefault="00395D01" w:rsidP="00292396">
            <w:pPr>
              <w:rPr>
                <w:rFonts w:ascii="Calibri" w:hAnsi="Calibri"/>
                <w:bCs/>
                <w:lang w:eastAsia="ja-JP"/>
              </w:rPr>
            </w:pPr>
            <w:r w:rsidRPr="00912996">
              <w:rPr>
                <w:rFonts w:ascii="Calibri" w:hAnsi="Calibri"/>
                <w:bCs/>
                <w:lang w:eastAsia="ja-JP"/>
              </w:rPr>
              <w:t>POIDS 2021-2027 P8, PNRR C13, Bugetul local, Alte surse de finanțare</w:t>
            </w:r>
          </w:p>
        </w:tc>
        <w:tc>
          <w:tcPr>
            <w:tcW w:w="433" w:type="pct"/>
            <w:shd w:val="clear" w:color="auto" w:fill="F2F2F2"/>
            <w:hideMark/>
          </w:tcPr>
          <w:p w14:paraId="3607BCE0"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61E5BF01"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3229ED4" w14:textId="77777777" w:rsidTr="00E16711">
        <w:trPr>
          <w:trHeight w:val="792"/>
        </w:trPr>
        <w:tc>
          <w:tcPr>
            <w:tcW w:w="205" w:type="pct"/>
            <w:shd w:val="clear" w:color="auto" w:fill="F2F2F2"/>
            <w:hideMark/>
          </w:tcPr>
          <w:p w14:paraId="5D1906AF" w14:textId="77777777" w:rsidR="00395D01" w:rsidRPr="00912996" w:rsidRDefault="00395D01" w:rsidP="00292396">
            <w:pPr>
              <w:rPr>
                <w:rFonts w:ascii="Calibri" w:hAnsi="Calibri"/>
                <w:bCs/>
                <w:lang w:eastAsia="ja-JP"/>
              </w:rPr>
            </w:pPr>
            <w:r w:rsidRPr="00912996">
              <w:rPr>
                <w:rFonts w:ascii="Calibri" w:hAnsi="Calibri"/>
                <w:bCs/>
                <w:lang w:eastAsia="ja-JP"/>
              </w:rPr>
              <w:t>11</w:t>
            </w:r>
          </w:p>
        </w:tc>
        <w:tc>
          <w:tcPr>
            <w:tcW w:w="1018" w:type="pct"/>
            <w:gridSpan w:val="2"/>
            <w:shd w:val="clear" w:color="auto" w:fill="F2F2F2"/>
            <w:hideMark/>
          </w:tcPr>
          <w:p w14:paraId="24225CC4" w14:textId="77777777" w:rsidR="00395D01" w:rsidRPr="00912996" w:rsidRDefault="00395D01" w:rsidP="00292396">
            <w:pPr>
              <w:rPr>
                <w:rFonts w:ascii="Calibri" w:hAnsi="Calibri"/>
                <w:bCs/>
                <w:lang w:eastAsia="ja-JP"/>
              </w:rPr>
            </w:pPr>
            <w:r w:rsidRPr="00912996">
              <w:rPr>
                <w:rFonts w:ascii="Calibri" w:hAnsi="Calibri"/>
                <w:bCs/>
                <w:lang w:eastAsia="ja-JP"/>
              </w:rPr>
              <w:t>Reînființarea serviciul Ambulanța Socială pentru asistența socio-medicală a persoanelor defavorizate</w:t>
            </w:r>
          </w:p>
        </w:tc>
        <w:tc>
          <w:tcPr>
            <w:tcW w:w="640" w:type="pct"/>
            <w:shd w:val="clear" w:color="auto" w:fill="F2F2F2"/>
            <w:hideMark/>
          </w:tcPr>
          <w:p w14:paraId="554D81FA"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hideMark/>
          </w:tcPr>
          <w:p w14:paraId="19802532"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hideMark/>
          </w:tcPr>
          <w:p w14:paraId="641FACAE" w14:textId="77777777" w:rsidR="00395D01" w:rsidRPr="00912996" w:rsidRDefault="00395D01" w:rsidP="00292396">
            <w:pPr>
              <w:rPr>
                <w:rFonts w:ascii="Calibri" w:hAnsi="Calibri"/>
                <w:bCs/>
                <w:lang w:eastAsia="ja-JP"/>
              </w:rPr>
            </w:pPr>
            <w:r w:rsidRPr="00912996">
              <w:rPr>
                <w:rFonts w:ascii="Calibri" w:hAnsi="Calibri"/>
                <w:bCs/>
                <w:lang w:eastAsia="ja-JP"/>
              </w:rPr>
              <w:t>4,900,000</w:t>
            </w:r>
          </w:p>
        </w:tc>
        <w:tc>
          <w:tcPr>
            <w:tcW w:w="411" w:type="pct"/>
            <w:shd w:val="clear" w:color="auto" w:fill="F2F2F2"/>
            <w:hideMark/>
          </w:tcPr>
          <w:p w14:paraId="2E306DEC" w14:textId="77777777" w:rsidR="00395D01" w:rsidRPr="00912996" w:rsidRDefault="00395D01" w:rsidP="00292396">
            <w:pPr>
              <w:rPr>
                <w:rFonts w:ascii="Calibri" w:hAnsi="Calibri"/>
                <w:bCs/>
                <w:lang w:eastAsia="ja-JP"/>
              </w:rPr>
            </w:pPr>
            <w:r w:rsidRPr="00912996">
              <w:rPr>
                <w:rFonts w:ascii="Calibri" w:hAnsi="Calibri"/>
                <w:bCs/>
                <w:lang w:eastAsia="ja-JP"/>
              </w:rPr>
              <w:t>1,000,000</w:t>
            </w:r>
          </w:p>
        </w:tc>
        <w:tc>
          <w:tcPr>
            <w:tcW w:w="347" w:type="pct"/>
            <w:shd w:val="clear" w:color="auto" w:fill="F2F2F2"/>
            <w:hideMark/>
          </w:tcPr>
          <w:p w14:paraId="12F5C0FE"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hideMark/>
          </w:tcPr>
          <w:p w14:paraId="78F983F9"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hideMark/>
          </w:tcPr>
          <w:p w14:paraId="1748CE09"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hideMark/>
          </w:tcPr>
          <w:p w14:paraId="5F14FC5F" w14:textId="77777777" w:rsidR="00395D01" w:rsidRPr="00912996" w:rsidRDefault="00395D01" w:rsidP="00292396">
            <w:pPr>
              <w:rPr>
                <w:rFonts w:ascii="Calibri" w:hAnsi="Calibri"/>
                <w:bCs/>
                <w:lang w:eastAsia="ja-JP"/>
              </w:rPr>
            </w:pPr>
            <w:r w:rsidRPr="00912996">
              <w:rPr>
                <w:rFonts w:ascii="Calibri" w:hAnsi="Calibri"/>
                <w:bCs/>
                <w:lang w:eastAsia="ja-JP"/>
              </w:rPr>
              <w:t>SIDU MB</w:t>
            </w:r>
          </w:p>
        </w:tc>
      </w:tr>
      <w:tr w:rsidR="00E16711" w:rsidRPr="00912996" w14:paraId="4D49AA72" w14:textId="77777777" w:rsidTr="00E16711">
        <w:trPr>
          <w:trHeight w:val="792"/>
        </w:trPr>
        <w:tc>
          <w:tcPr>
            <w:tcW w:w="205" w:type="pct"/>
            <w:shd w:val="clear" w:color="auto" w:fill="F2F2F2"/>
          </w:tcPr>
          <w:p w14:paraId="22340E73" w14:textId="77777777" w:rsidR="00395D01" w:rsidRPr="00912996" w:rsidRDefault="00395D01" w:rsidP="00292396">
            <w:pPr>
              <w:rPr>
                <w:rFonts w:ascii="Calibri" w:hAnsi="Calibri"/>
                <w:bCs/>
                <w:lang w:eastAsia="ja-JP"/>
              </w:rPr>
            </w:pPr>
            <w:r w:rsidRPr="00912996">
              <w:rPr>
                <w:rFonts w:ascii="Calibri" w:hAnsi="Calibri"/>
                <w:bCs/>
                <w:lang w:eastAsia="ja-JP"/>
              </w:rPr>
              <w:t>12</w:t>
            </w:r>
          </w:p>
        </w:tc>
        <w:tc>
          <w:tcPr>
            <w:tcW w:w="1018" w:type="pct"/>
            <w:gridSpan w:val="2"/>
            <w:shd w:val="clear" w:color="auto" w:fill="F2F2F2"/>
          </w:tcPr>
          <w:p w14:paraId="421B06AD" w14:textId="77777777" w:rsidR="00395D01" w:rsidRPr="00912996" w:rsidRDefault="00395D01" w:rsidP="00292396">
            <w:pPr>
              <w:rPr>
                <w:rFonts w:ascii="Calibri" w:hAnsi="Calibri"/>
                <w:bCs/>
                <w:lang w:eastAsia="ja-JP"/>
              </w:rPr>
            </w:pPr>
            <w:r w:rsidRPr="00912996">
              <w:rPr>
                <w:rFonts w:ascii="Calibri" w:hAnsi="Calibri"/>
                <w:bCs/>
                <w:lang w:eastAsia="ja-JP"/>
              </w:rPr>
              <w:t>Centre de zi pentru îngrijirea copiilor ai căror părinți participă la servicii de ocupare pe piața muncii</w:t>
            </w:r>
          </w:p>
        </w:tc>
        <w:tc>
          <w:tcPr>
            <w:tcW w:w="640" w:type="pct"/>
            <w:shd w:val="clear" w:color="auto" w:fill="F2F2F2"/>
          </w:tcPr>
          <w:p w14:paraId="21DBFDD5" w14:textId="77777777" w:rsidR="00395D01" w:rsidRPr="00912996" w:rsidRDefault="00395D01" w:rsidP="00292396">
            <w:pPr>
              <w:rPr>
                <w:rFonts w:ascii="Calibri" w:hAnsi="Calibri"/>
                <w:bCs/>
                <w:lang w:eastAsia="ja-JP"/>
              </w:rPr>
            </w:pPr>
            <w:r w:rsidRPr="00912996">
              <w:rPr>
                <w:rFonts w:ascii="Calibri" w:hAnsi="Calibri"/>
                <w:bCs/>
                <w:lang w:eastAsia="ja-JP"/>
              </w:rPr>
              <w:t>PS2, DGASPC S2</w:t>
            </w:r>
          </w:p>
        </w:tc>
        <w:tc>
          <w:tcPr>
            <w:tcW w:w="507" w:type="pct"/>
            <w:shd w:val="clear" w:color="auto" w:fill="F2F2F2"/>
          </w:tcPr>
          <w:p w14:paraId="0FA585D6" w14:textId="77777777" w:rsidR="00395D01" w:rsidRPr="00912996" w:rsidRDefault="00395D01" w:rsidP="00292396">
            <w:pPr>
              <w:rPr>
                <w:rFonts w:ascii="Calibri" w:hAnsi="Calibri"/>
                <w:bCs/>
                <w:lang w:eastAsia="ja-JP"/>
              </w:rPr>
            </w:pPr>
            <w:r w:rsidRPr="00912996">
              <w:rPr>
                <w:rFonts w:ascii="Calibri" w:hAnsi="Calibri"/>
                <w:bCs/>
                <w:lang w:eastAsia="ja-JP"/>
              </w:rPr>
              <w:t>Idee</w:t>
            </w:r>
          </w:p>
        </w:tc>
        <w:tc>
          <w:tcPr>
            <w:tcW w:w="473" w:type="pct"/>
            <w:shd w:val="clear" w:color="auto" w:fill="F2F2F2"/>
          </w:tcPr>
          <w:p w14:paraId="5C0C11B9" w14:textId="77777777" w:rsidR="00395D01" w:rsidRPr="00912996" w:rsidRDefault="00395D01" w:rsidP="00292396">
            <w:pPr>
              <w:rPr>
                <w:rFonts w:ascii="Calibri" w:hAnsi="Calibri"/>
                <w:bCs/>
                <w:lang w:eastAsia="ja-JP"/>
              </w:rPr>
            </w:pPr>
            <w:r>
              <w:rPr>
                <w:rFonts w:ascii="Calibri" w:hAnsi="Calibri"/>
                <w:bCs/>
                <w:lang w:eastAsia="ja-JP"/>
              </w:rPr>
              <w:t>N/A</w:t>
            </w:r>
          </w:p>
        </w:tc>
        <w:tc>
          <w:tcPr>
            <w:tcW w:w="411" w:type="pct"/>
            <w:shd w:val="clear" w:color="auto" w:fill="F2F2F2"/>
          </w:tcPr>
          <w:p w14:paraId="5610BBC6" w14:textId="77777777" w:rsidR="00395D01" w:rsidRPr="00912996" w:rsidRDefault="00395D01" w:rsidP="00292396">
            <w:pPr>
              <w:rPr>
                <w:rFonts w:ascii="Calibri" w:hAnsi="Calibri"/>
                <w:bCs/>
                <w:lang w:eastAsia="ja-JP"/>
              </w:rPr>
            </w:pPr>
            <w:r>
              <w:rPr>
                <w:rFonts w:ascii="Calibri" w:hAnsi="Calibri"/>
                <w:bCs/>
                <w:lang w:eastAsia="ja-JP"/>
              </w:rPr>
              <w:t>N/A</w:t>
            </w:r>
          </w:p>
        </w:tc>
        <w:tc>
          <w:tcPr>
            <w:tcW w:w="347" w:type="pct"/>
            <w:shd w:val="clear" w:color="auto" w:fill="F2F2F2"/>
          </w:tcPr>
          <w:p w14:paraId="5B008567" w14:textId="77777777" w:rsidR="00395D01" w:rsidRPr="00912996" w:rsidRDefault="00395D01" w:rsidP="00292396">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484" w:type="pct"/>
            <w:gridSpan w:val="2"/>
            <w:shd w:val="clear" w:color="auto" w:fill="F2F2F2"/>
          </w:tcPr>
          <w:p w14:paraId="3E0A9E87" w14:textId="77777777" w:rsidR="00395D01" w:rsidRPr="00912996" w:rsidRDefault="00395D01" w:rsidP="00292396">
            <w:pPr>
              <w:rPr>
                <w:rFonts w:ascii="Calibri" w:hAnsi="Calibri"/>
                <w:bCs/>
                <w:lang w:eastAsia="ja-JP"/>
              </w:rPr>
            </w:pPr>
            <w:r w:rsidRPr="00912996">
              <w:rPr>
                <w:rFonts w:ascii="Calibri" w:hAnsi="Calibri"/>
                <w:bCs/>
                <w:lang w:eastAsia="ja-JP"/>
              </w:rPr>
              <w:t>Bugetul local, Alte surse de finanțare</w:t>
            </w:r>
          </w:p>
        </w:tc>
        <w:tc>
          <w:tcPr>
            <w:tcW w:w="433" w:type="pct"/>
            <w:shd w:val="clear" w:color="auto" w:fill="F2F2F2"/>
          </w:tcPr>
          <w:p w14:paraId="38708047" w14:textId="77777777" w:rsidR="00395D01" w:rsidRPr="00912996" w:rsidRDefault="00395D01" w:rsidP="00292396">
            <w:pPr>
              <w:rPr>
                <w:rFonts w:ascii="Calibri" w:hAnsi="Calibri"/>
                <w:bCs/>
                <w:lang w:eastAsia="ja-JP"/>
              </w:rPr>
            </w:pPr>
            <w:r w:rsidRPr="00912996">
              <w:rPr>
                <w:rFonts w:ascii="Calibri" w:hAnsi="Calibri"/>
                <w:bCs/>
                <w:lang w:eastAsia="ja-JP"/>
              </w:rPr>
              <w:t>Lista lungă de proiecte</w:t>
            </w:r>
          </w:p>
        </w:tc>
        <w:tc>
          <w:tcPr>
            <w:tcW w:w="482" w:type="pct"/>
            <w:shd w:val="clear" w:color="auto" w:fill="F2F2F2"/>
          </w:tcPr>
          <w:p w14:paraId="4EF5F876" w14:textId="77777777" w:rsidR="00395D01" w:rsidRPr="00912996" w:rsidRDefault="00395D01" w:rsidP="00292396">
            <w:pPr>
              <w:rPr>
                <w:rFonts w:ascii="Calibri" w:hAnsi="Calibri"/>
                <w:bCs/>
                <w:lang w:eastAsia="ja-JP"/>
              </w:rPr>
            </w:pPr>
            <w:r w:rsidRPr="00912996">
              <w:rPr>
                <w:rFonts w:ascii="Calibri" w:hAnsi="Calibri"/>
                <w:bCs/>
                <w:lang w:eastAsia="ja-JP"/>
              </w:rPr>
              <w:t>Propuneri primite la consultările publice</w:t>
            </w:r>
          </w:p>
        </w:tc>
      </w:tr>
      <w:tr w:rsidR="00E16711" w:rsidRPr="00912996" w14:paraId="6392C933" w14:textId="77777777" w:rsidTr="00E16711">
        <w:trPr>
          <w:trHeight w:val="792"/>
        </w:trPr>
        <w:tc>
          <w:tcPr>
            <w:tcW w:w="205" w:type="pct"/>
            <w:shd w:val="clear" w:color="auto" w:fill="F2F2F2"/>
          </w:tcPr>
          <w:p w14:paraId="1E1CC09E" w14:textId="77777777" w:rsidR="00395D01" w:rsidRPr="00912996" w:rsidRDefault="00395D01" w:rsidP="00292396">
            <w:pPr>
              <w:rPr>
                <w:rFonts w:ascii="Calibri" w:hAnsi="Calibri"/>
                <w:bCs/>
                <w:lang w:eastAsia="ja-JP"/>
              </w:rPr>
            </w:pPr>
            <w:r w:rsidRPr="00912996">
              <w:rPr>
                <w:rFonts w:ascii="Calibri" w:hAnsi="Calibri"/>
                <w:bCs/>
                <w:lang w:eastAsia="ja-JP"/>
              </w:rPr>
              <w:t>13</w:t>
            </w:r>
          </w:p>
        </w:tc>
        <w:tc>
          <w:tcPr>
            <w:tcW w:w="1018" w:type="pct"/>
            <w:gridSpan w:val="2"/>
            <w:shd w:val="clear" w:color="auto" w:fill="F2F2F2"/>
          </w:tcPr>
          <w:p w14:paraId="501621C6" w14:textId="77777777" w:rsidR="00395D01" w:rsidRPr="00912996" w:rsidRDefault="00395D01" w:rsidP="00292396">
            <w:pPr>
              <w:rPr>
                <w:rFonts w:ascii="Calibri" w:hAnsi="Calibri"/>
                <w:bCs/>
                <w:lang w:eastAsia="ja-JP"/>
              </w:rPr>
            </w:pPr>
            <w:r w:rsidRPr="00912996">
              <w:rPr>
                <w:rFonts w:ascii="Calibri" w:hAnsi="Calibri"/>
                <w:bCs/>
                <w:lang w:eastAsia="ja-JP"/>
              </w:rPr>
              <w:t>Construirea de locuințe NZEB</w:t>
            </w:r>
            <w:r>
              <w:rPr>
                <w:rFonts w:ascii="Calibri" w:hAnsi="Calibri"/>
                <w:bCs/>
                <w:lang w:eastAsia="ja-JP"/>
              </w:rPr>
              <w:t xml:space="preserve"> PLUS</w:t>
            </w:r>
            <w:r w:rsidRPr="00912996">
              <w:rPr>
                <w:rFonts w:ascii="Calibri" w:hAnsi="Calibri"/>
                <w:bCs/>
                <w:lang w:eastAsia="ja-JP"/>
              </w:rPr>
              <w:t xml:space="preserve"> pentru tineri, B-dul Basarabiei, nr.</w:t>
            </w:r>
            <w:r>
              <w:rPr>
                <w:rFonts w:ascii="Calibri" w:hAnsi="Calibri"/>
                <w:bCs/>
                <w:lang w:eastAsia="ja-JP"/>
              </w:rPr>
              <w:t xml:space="preserve"> </w:t>
            </w:r>
            <w:r w:rsidRPr="00912996">
              <w:rPr>
                <w:rFonts w:ascii="Calibri" w:hAnsi="Calibri"/>
                <w:bCs/>
                <w:lang w:eastAsia="ja-JP"/>
              </w:rPr>
              <w:t>151</w:t>
            </w:r>
          </w:p>
        </w:tc>
        <w:tc>
          <w:tcPr>
            <w:tcW w:w="640" w:type="pct"/>
            <w:shd w:val="clear" w:color="auto" w:fill="F2F2F2"/>
          </w:tcPr>
          <w:p w14:paraId="7C1A817E"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c>
          <w:tcPr>
            <w:tcW w:w="507" w:type="pct"/>
            <w:shd w:val="clear" w:color="auto" w:fill="F2F2F2"/>
          </w:tcPr>
          <w:p w14:paraId="1FE6B370" w14:textId="77777777" w:rsidR="00395D01" w:rsidRPr="00912996" w:rsidRDefault="00395D01" w:rsidP="00292396">
            <w:pPr>
              <w:rPr>
                <w:rFonts w:ascii="Calibri" w:hAnsi="Calibri"/>
                <w:bCs/>
                <w:lang w:eastAsia="ja-JP"/>
              </w:rPr>
            </w:pPr>
            <w:r>
              <w:rPr>
                <w:rFonts w:ascii="Calibri" w:hAnsi="Calibri"/>
                <w:bCs/>
                <w:lang w:eastAsia="ja-JP"/>
              </w:rPr>
              <w:t>Î</w:t>
            </w:r>
            <w:r w:rsidRPr="00C42AF3">
              <w:rPr>
                <w:rFonts w:ascii="Calibri" w:hAnsi="Calibri"/>
                <w:bCs/>
                <w:lang w:eastAsia="ja-JP"/>
              </w:rPr>
              <w:t>n implementare</w:t>
            </w:r>
          </w:p>
        </w:tc>
        <w:tc>
          <w:tcPr>
            <w:tcW w:w="473" w:type="pct"/>
            <w:shd w:val="clear" w:color="auto" w:fill="F2F2F2"/>
          </w:tcPr>
          <w:p w14:paraId="707EA27B" w14:textId="77777777" w:rsidR="00395D01" w:rsidRPr="00912996" w:rsidRDefault="00395D01" w:rsidP="00292396">
            <w:pPr>
              <w:rPr>
                <w:rFonts w:ascii="Calibri" w:hAnsi="Calibri"/>
                <w:bCs/>
                <w:lang w:eastAsia="ja-JP"/>
              </w:rPr>
            </w:pPr>
            <w:r w:rsidRPr="00C42AF3">
              <w:rPr>
                <w:rFonts w:ascii="Calibri" w:hAnsi="Calibri"/>
                <w:bCs/>
                <w:lang w:eastAsia="ja-JP"/>
              </w:rPr>
              <w:t>19</w:t>
            </w:r>
            <w:r>
              <w:rPr>
                <w:rFonts w:ascii="Calibri" w:hAnsi="Calibri"/>
                <w:bCs/>
                <w:lang w:eastAsia="ja-JP"/>
              </w:rPr>
              <w:t>,</w:t>
            </w:r>
            <w:r w:rsidRPr="00C42AF3">
              <w:rPr>
                <w:rFonts w:ascii="Calibri" w:hAnsi="Calibri"/>
                <w:bCs/>
                <w:lang w:eastAsia="ja-JP"/>
              </w:rPr>
              <w:t>334</w:t>
            </w:r>
            <w:r>
              <w:rPr>
                <w:rFonts w:ascii="Calibri" w:hAnsi="Calibri"/>
                <w:bCs/>
                <w:lang w:eastAsia="ja-JP"/>
              </w:rPr>
              <w:t>,</w:t>
            </w:r>
            <w:r w:rsidRPr="00C42AF3">
              <w:rPr>
                <w:rFonts w:ascii="Calibri" w:hAnsi="Calibri"/>
                <w:bCs/>
                <w:lang w:eastAsia="ja-JP"/>
              </w:rPr>
              <w:t>037</w:t>
            </w:r>
          </w:p>
        </w:tc>
        <w:tc>
          <w:tcPr>
            <w:tcW w:w="411" w:type="pct"/>
            <w:shd w:val="clear" w:color="auto" w:fill="F2F2F2"/>
          </w:tcPr>
          <w:p w14:paraId="452C3DDF" w14:textId="77777777" w:rsidR="00395D01" w:rsidRPr="00912996" w:rsidRDefault="00395D01" w:rsidP="00292396">
            <w:pPr>
              <w:rPr>
                <w:rFonts w:ascii="Calibri" w:hAnsi="Calibri"/>
                <w:bCs/>
                <w:lang w:eastAsia="ja-JP"/>
              </w:rPr>
            </w:pPr>
          </w:p>
          <w:p w14:paraId="4D4E7126" w14:textId="77777777" w:rsidR="00395D01" w:rsidRPr="00912996" w:rsidRDefault="00395D01" w:rsidP="00292396">
            <w:pPr>
              <w:rPr>
                <w:rFonts w:ascii="Calibri" w:hAnsi="Calibri"/>
                <w:bCs/>
                <w:lang w:eastAsia="ja-JP"/>
              </w:rPr>
            </w:pPr>
            <w:r>
              <w:rPr>
                <w:rFonts w:ascii="Calibri" w:hAnsi="Calibri"/>
                <w:bCs/>
                <w:lang w:eastAsia="ja-JP"/>
              </w:rPr>
              <w:t>3,945,721</w:t>
            </w:r>
          </w:p>
          <w:p w14:paraId="5557902D" w14:textId="77777777" w:rsidR="00395D01" w:rsidRPr="00912996" w:rsidRDefault="00395D01" w:rsidP="00292396">
            <w:pPr>
              <w:rPr>
                <w:rFonts w:ascii="Calibri" w:hAnsi="Calibri"/>
                <w:bCs/>
                <w:lang w:eastAsia="ja-JP"/>
              </w:rPr>
            </w:pPr>
          </w:p>
        </w:tc>
        <w:tc>
          <w:tcPr>
            <w:tcW w:w="347" w:type="pct"/>
            <w:shd w:val="clear" w:color="auto" w:fill="F2F2F2"/>
          </w:tcPr>
          <w:p w14:paraId="1B42F23B" w14:textId="77777777" w:rsidR="00395D01" w:rsidRPr="00912996" w:rsidRDefault="00395D01" w:rsidP="00292396">
            <w:pPr>
              <w:rPr>
                <w:rFonts w:ascii="Calibri" w:hAnsi="Calibri"/>
                <w:bCs/>
                <w:lang w:eastAsia="ja-JP"/>
              </w:rPr>
            </w:pPr>
            <w:r>
              <w:rPr>
                <w:rFonts w:ascii="Calibri" w:hAnsi="Calibri"/>
                <w:bCs/>
                <w:lang w:eastAsia="ja-JP"/>
              </w:rPr>
              <w:t>2022 -2025</w:t>
            </w:r>
          </w:p>
        </w:tc>
        <w:tc>
          <w:tcPr>
            <w:tcW w:w="484" w:type="pct"/>
            <w:gridSpan w:val="2"/>
            <w:shd w:val="clear" w:color="auto" w:fill="F2F2F2"/>
          </w:tcPr>
          <w:p w14:paraId="725379C7" w14:textId="77777777" w:rsidR="00395D01" w:rsidRPr="00912996" w:rsidRDefault="00395D01" w:rsidP="00292396">
            <w:pPr>
              <w:rPr>
                <w:rFonts w:ascii="Calibri" w:hAnsi="Calibri"/>
                <w:bCs/>
                <w:lang w:eastAsia="ja-JP"/>
              </w:rPr>
            </w:pPr>
            <w:r w:rsidRPr="00C42AF3">
              <w:rPr>
                <w:rFonts w:ascii="Calibri" w:hAnsi="Calibri"/>
                <w:bCs/>
                <w:lang w:eastAsia="ja-JP"/>
              </w:rPr>
              <w:t>PNRR Componenta C10 - Fondul Local, Investiția I.2 și I1.3</w:t>
            </w:r>
          </w:p>
        </w:tc>
        <w:tc>
          <w:tcPr>
            <w:tcW w:w="433" w:type="pct"/>
            <w:shd w:val="clear" w:color="auto" w:fill="F2F2F2"/>
          </w:tcPr>
          <w:p w14:paraId="0773B7EA" w14:textId="77777777" w:rsidR="00395D01" w:rsidRPr="00912996" w:rsidRDefault="00395D01" w:rsidP="00292396">
            <w:pPr>
              <w:rPr>
                <w:rFonts w:ascii="Calibri" w:hAnsi="Calibri"/>
                <w:bCs/>
                <w:lang w:eastAsia="ja-JP"/>
              </w:rPr>
            </w:pPr>
            <w:r w:rsidRPr="00912996">
              <w:rPr>
                <w:rFonts w:ascii="Calibri" w:hAnsi="Calibri"/>
                <w:bCs/>
                <w:lang w:eastAsia="ja-JP"/>
              </w:rPr>
              <w:t>Proiect prioritar</w:t>
            </w:r>
          </w:p>
        </w:tc>
        <w:tc>
          <w:tcPr>
            <w:tcW w:w="482" w:type="pct"/>
            <w:shd w:val="clear" w:color="auto" w:fill="F2F2F2"/>
          </w:tcPr>
          <w:p w14:paraId="7D633FC8" w14:textId="77777777" w:rsidR="00395D01" w:rsidRPr="00912996" w:rsidRDefault="00395D01" w:rsidP="00292396">
            <w:pPr>
              <w:rPr>
                <w:rFonts w:ascii="Calibri" w:hAnsi="Calibri"/>
                <w:bCs/>
                <w:lang w:eastAsia="ja-JP"/>
              </w:rPr>
            </w:pPr>
            <w:r w:rsidRPr="00912996">
              <w:rPr>
                <w:rFonts w:ascii="Calibri" w:hAnsi="Calibri"/>
                <w:bCs/>
                <w:lang w:eastAsia="ja-JP"/>
              </w:rPr>
              <w:t>PS2</w:t>
            </w:r>
          </w:p>
        </w:tc>
      </w:tr>
    </w:tbl>
    <w:p w14:paraId="4F8825F2" w14:textId="77777777" w:rsidR="00F45A10" w:rsidRDefault="00F45A10" w:rsidP="00F45A10"/>
    <w:p w14:paraId="4C1B6CFA" w14:textId="6D657724" w:rsidR="00E305CA" w:rsidRPr="00F171A3" w:rsidRDefault="00E305CA" w:rsidP="00E305CA"/>
    <w:p w14:paraId="63D6DCF1" w14:textId="44E6FBE4" w:rsidR="00693955" w:rsidRPr="00F171A3" w:rsidRDefault="00381845" w:rsidP="00381845">
      <w:pPr>
        <w:spacing w:after="0"/>
        <w:jc w:val="left"/>
      </w:pPr>
      <w:r>
        <w:br w:type="page"/>
      </w:r>
    </w:p>
    <w:p w14:paraId="5F8493EA" w14:textId="223C6BCE" w:rsidR="00693955" w:rsidRDefault="00693955" w:rsidP="00693955">
      <w:pPr>
        <w:pStyle w:val="Heading3"/>
        <w:rPr>
          <w:lang w:val="ro-RO"/>
        </w:rPr>
      </w:pPr>
      <w:bookmarkStart w:id="454" w:name="_Toc127199316"/>
      <w:r w:rsidRPr="00F171A3">
        <w:rPr>
          <w:lang w:val="ro-RO"/>
        </w:rPr>
        <w:t>OBIECTIV STRATEGIC O2 – SECTOR COMPETITIV ȘI INOVATOR, ATRACTIV PENTRU FORȚA DE MUNCĂ, ANTREPRENORIAT ȘI INVESTIȚII ÎN DOMENII CU VALOARE ADĂUGATĂ MARE</w:t>
      </w:r>
      <w:bookmarkEnd w:id="454"/>
    </w:p>
    <w:p w14:paraId="03006FD1" w14:textId="77777777" w:rsidR="00F53C79" w:rsidRPr="00F53C79" w:rsidRDefault="00F53C79" w:rsidP="00F53C79"/>
    <w:tbl>
      <w:tblPr>
        <w:tblStyle w:val="TableGrid4"/>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F2F2"/>
        <w:tblLayout w:type="fixed"/>
        <w:tblLook w:val="04A0" w:firstRow="1" w:lastRow="0" w:firstColumn="1" w:lastColumn="0" w:noHBand="0" w:noVBand="1"/>
      </w:tblPr>
      <w:tblGrid>
        <w:gridCol w:w="624"/>
        <w:gridCol w:w="2702"/>
        <w:gridCol w:w="1438"/>
        <w:gridCol w:w="1620"/>
        <w:gridCol w:w="1170"/>
        <w:gridCol w:w="1079"/>
        <w:gridCol w:w="991"/>
        <w:gridCol w:w="1711"/>
        <w:gridCol w:w="1438"/>
        <w:gridCol w:w="1464"/>
      </w:tblGrid>
      <w:tr w:rsidR="00262046" w:rsidRPr="00912996" w14:paraId="349ACAF2" w14:textId="77777777" w:rsidTr="00D719F3">
        <w:trPr>
          <w:trHeight w:val="1185"/>
        </w:trPr>
        <w:tc>
          <w:tcPr>
            <w:tcW w:w="219" w:type="pct"/>
            <w:shd w:val="clear" w:color="auto" w:fill="134753"/>
            <w:vAlign w:val="center"/>
            <w:hideMark/>
          </w:tcPr>
          <w:p w14:paraId="22BDD52E"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NR. CRT.</w:t>
            </w:r>
          </w:p>
        </w:tc>
        <w:tc>
          <w:tcPr>
            <w:tcW w:w="949" w:type="pct"/>
            <w:shd w:val="clear" w:color="auto" w:fill="134753"/>
            <w:vAlign w:val="center"/>
            <w:hideMark/>
          </w:tcPr>
          <w:p w14:paraId="67A81907"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TITLU PROGRAM/PROIECT</w:t>
            </w:r>
          </w:p>
        </w:tc>
        <w:tc>
          <w:tcPr>
            <w:tcW w:w="505" w:type="pct"/>
            <w:shd w:val="clear" w:color="auto" w:fill="134753"/>
            <w:vAlign w:val="center"/>
            <w:hideMark/>
          </w:tcPr>
          <w:p w14:paraId="36D52126"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RESPONSABILI ȘI POSIBILI PARTENERI</w:t>
            </w:r>
          </w:p>
        </w:tc>
        <w:tc>
          <w:tcPr>
            <w:tcW w:w="569" w:type="pct"/>
            <w:shd w:val="clear" w:color="auto" w:fill="134753"/>
            <w:vAlign w:val="center"/>
            <w:hideMark/>
          </w:tcPr>
          <w:p w14:paraId="29656F18"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GRAD DE MATURITATE</w:t>
            </w:r>
          </w:p>
        </w:tc>
        <w:tc>
          <w:tcPr>
            <w:tcW w:w="411" w:type="pct"/>
            <w:shd w:val="clear" w:color="auto" w:fill="134753"/>
            <w:vAlign w:val="center"/>
            <w:hideMark/>
          </w:tcPr>
          <w:p w14:paraId="3363BFB7"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VALOARE ESTIMATĂ (RON)</w:t>
            </w:r>
          </w:p>
        </w:tc>
        <w:tc>
          <w:tcPr>
            <w:tcW w:w="379" w:type="pct"/>
            <w:shd w:val="clear" w:color="auto" w:fill="134753"/>
            <w:vAlign w:val="center"/>
            <w:hideMark/>
          </w:tcPr>
          <w:p w14:paraId="14BE9AB6"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 xml:space="preserve">VALOARE ESTIMATĂ (EUR) </w:t>
            </w:r>
            <w:r w:rsidRPr="00912996">
              <w:rPr>
                <w:rFonts w:ascii="Calibri" w:hAnsi="Calibri"/>
                <w:b/>
                <w:bCs/>
                <w:color w:val="FFFFFF"/>
                <w:lang w:eastAsia="ja-JP"/>
              </w:rPr>
              <w:br/>
            </w:r>
            <w:r w:rsidRPr="00912996">
              <w:rPr>
                <w:rFonts w:ascii="Calibri" w:hAnsi="Calibri"/>
                <w:b/>
                <w:bCs/>
                <w:color w:val="FFFFFF"/>
                <w:lang w:eastAsia="ja-JP"/>
              </w:rPr>
              <w:br/>
            </w:r>
            <w:r w:rsidRPr="00912996">
              <w:rPr>
                <w:rFonts w:ascii="Calibri" w:hAnsi="Calibri"/>
                <w:b/>
                <w:bCs/>
                <w:i/>
                <w:iCs/>
                <w:color w:val="FFFFFF"/>
                <w:lang w:eastAsia="ja-JP"/>
              </w:rPr>
              <w:t>* 1 EUR = 4.9 LEI</w:t>
            </w:r>
          </w:p>
        </w:tc>
        <w:tc>
          <w:tcPr>
            <w:tcW w:w="348" w:type="pct"/>
            <w:shd w:val="clear" w:color="auto" w:fill="134753"/>
            <w:vAlign w:val="center"/>
            <w:hideMark/>
          </w:tcPr>
          <w:p w14:paraId="6F41F9AD"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ORIZONT DE TIMP</w:t>
            </w:r>
          </w:p>
        </w:tc>
        <w:tc>
          <w:tcPr>
            <w:tcW w:w="601" w:type="pct"/>
            <w:shd w:val="clear" w:color="auto" w:fill="134753"/>
            <w:vAlign w:val="center"/>
            <w:hideMark/>
          </w:tcPr>
          <w:p w14:paraId="51145F94"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SURSE DE FINANȚARE POTENȚIALE</w:t>
            </w:r>
          </w:p>
        </w:tc>
        <w:tc>
          <w:tcPr>
            <w:tcW w:w="505" w:type="pct"/>
            <w:shd w:val="clear" w:color="auto" w:fill="134753"/>
            <w:vAlign w:val="center"/>
            <w:hideMark/>
          </w:tcPr>
          <w:p w14:paraId="15A382D1"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NIVEL DE PRIORITATE</w:t>
            </w:r>
          </w:p>
        </w:tc>
        <w:tc>
          <w:tcPr>
            <w:tcW w:w="514" w:type="pct"/>
            <w:shd w:val="clear" w:color="auto" w:fill="134753"/>
            <w:vAlign w:val="center"/>
            <w:hideMark/>
          </w:tcPr>
          <w:p w14:paraId="3CDE3B6E"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SURSA PROIECTULUI</w:t>
            </w:r>
          </w:p>
        </w:tc>
      </w:tr>
      <w:tr w:rsidR="00262046" w:rsidRPr="00912996" w14:paraId="0F2555DE" w14:textId="77777777" w:rsidTr="008506DF">
        <w:trPr>
          <w:trHeight w:val="276"/>
        </w:trPr>
        <w:tc>
          <w:tcPr>
            <w:tcW w:w="5000" w:type="pct"/>
            <w:gridSpan w:val="10"/>
            <w:shd w:val="clear" w:color="auto" w:fill="ABCD3A"/>
            <w:noWrap/>
            <w:hideMark/>
          </w:tcPr>
          <w:p w14:paraId="3168738A"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OBIECTIV STRATEGIC O2 – SECTOR COMPETITIV ȘI INOVATOR, ATRACTIV PENTRU FORȚA DE MUNCĂ, ANTREPRENORIAT ȘI INVESTIȚII ÎN DOMENII CU VALOARE ADĂUGATĂ MARE</w:t>
            </w:r>
          </w:p>
        </w:tc>
      </w:tr>
      <w:tr w:rsidR="00262046" w:rsidRPr="00912996" w14:paraId="2F827152" w14:textId="77777777" w:rsidTr="008506DF">
        <w:trPr>
          <w:trHeight w:val="276"/>
        </w:trPr>
        <w:tc>
          <w:tcPr>
            <w:tcW w:w="5000" w:type="pct"/>
            <w:gridSpan w:val="10"/>
            <w:shd w:val="clear" w:color="auto" w:fill="CCE188"/>
            <w:noWrap/>
            <w:hideMark/>
          </w:tcPr>
          <w:p w14:paraId="265BEC3C"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OBIECTIV SPECIFIC O2.1. - Infrastructură de afaceri atractivă pentru investitori</w:t>
            </w:r>
          </w:p>
        </w:tc>
      </w:tr>
      <w:tr w:rsidR="00262046" w:rsidRPr="00912996" w14:paraId="15FD5CEF" w14:textId="77777777" w:rsidTr="008506DF">
        <w:trPr>
          <w:trHeight w:val="276"/>
        </w:trPr>
        <w:tc>
          <w:tcPr>
            <w:tcW w:w="5000" w:type="pct"/>
            <w:gridSpan w:val="10"/>
            <w:shd w:val="clear" w:color="auto" w:fill="BBD9A0"/>
            <w:noWrap/>
            <w:hideMark/>
          </w:tcPr>
          <w:p w14:paraId="3A42211E" w14:textId="77777777" w:rsidR="00262046" w:rsidRPr="00912996" w:rsidRDefault="00262046" w:rsidP="008506DF">
            <w:pPr>
              <w:jc w:val="center"/>
              <w:rPr>
                <w:rFonts w:ascii="Calibri" w:hAnsi="Calibri"/>
                <w:b/>
                <w:bCs/>
                <w:color w:val="FFFFFF"/>
                <w:lang w:eastAsia="ja-JP"/>
              </w:rPr>
            </w:pPr>
            <w:r w:rsidRPr="00912996">
              <w:rPr>
                <w:rFonts w:ascii="Calibri" w:hAnsi="Calibri"/>
                <w:b/>
                <w:bCs/>
                <w:color w:val="FFFFFF"/>
                <w:lang w:eastAsia="ja-JP"/>
              </w:rPr>
              <w:t>D2.1.1. Dezvoltarea, prin intermediul Parteneriatului Public-Privat, a infrastructurii de afaceri moderne din Sectorul 2 (parcuri industriale, clădiri de birouri, etc.)</w:t>
            </w:r>
          </w:p>
        </w:tc>
      </w:tr>
      <w:tr w:rsidR="00262046" w:rsidRPr="00912996" w14:paraId="61FAFD7B" w14:textId="77777777" w:rsidTr="00D719F3">
        <w:trPr>
          <w:trHeight w:val="1902"/>
        </w:trPr>
        <w:tc>
          <w:tcPr>
            <w:tcW w:w="219" w:type="pct"/>
            <w:shd w:val="clear" w:color="auto" w:fill="F2F2F2"/>
            <w:noWrap/>
            <w:hideMark/>
          </w:tcPr>
          <w:p w14:paraId="33E2F8EB" w14:textId="77777777" w:rsidR="00262046" w:rsidRPr="00912996" w:rsidRDefault="00262046" w:rsidP="00396D75">
            <w:pPr>
              <w:rPr>
                <w:rFonts w:ascii="Calibri" w:hAnsi="Calibri"/>
                <w:bCs/>
                <w:lang w:eastAsia="ja-JP"/>
              </w:rPr>
            </w:pPr>
            <w:r w:rsidRPr="00912996">
              <w:rPr>
                <w:rFonts w:ascii="Calibri" w:hAnsi="Calibri"/>
                <w:bCs/>
                <w:lang w:eastAsia="ja-JP"/>
              </w:rPr>
              <w:t>1</w:t>
            </w:r>
          </w:p>
        </w:tc>
        <w:tc>
          <w:tcPr>
            <w:tcW w:w="949" w:type="pct"/>
            <w:shd w:val="clear" w:color="auto" w:fill="F2F2F2"/>
            <w:hideMark/>
          </w:tcPr>
          <w:p w14:paraId="25741CC6" w14:textId="77777777" w:rsidR="00262046" w:rsidRPr="00912996" w:rsidRDefault="00262046" w:rsidP="00396D75">
            <w:pPr>
              <w:rPr>
                <w:rFonts w:ascii="Calibri" w:hAnsi="Calibri"/>
                <w:bCs/>
                <w:lang w:eastAsia="ja-JP"/>
              </w:rPr>
            </w:pPr>
            <w:r w:rsidRPr="00912996">
              <w:rPr>
                <w:rFonts w:ascii="Calibri" w:hAnsi="Calibri"/>
                <w:bCs/>
                <w:lang w:eastAsia="ja-JP"/>
              </w:rPr>
              <w:t>Proiect complex de reconversie și valorificare a potențialului zonei Institutului URBAN-INCERC – Filatura Română prin studiu de oportunitate, reglementare urbanistică și amenajarea spațiilor publice</w:t>
            </w:r>
          </w:p>
        </w:tc>
        <w:tc>
          <w:tcPr>
            <w:tcW w:w="505" w:type="pct"/>
            <w:shd w:val="clear" w:color="auto" w:fill="F2F2F2"/>
            <w:hideMark/>
          </w:tcPr>
          <w:p w14:paraId="7280A3C1"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4C171C6C"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2DAA3812" w14:textId="77777777" w:rsidR="00262046" w:rsidRPr="00912996" w:rsidRDefault="00262046" w:rsidP="00396D75">
            <w:pPr>
              <w:rPr>
                <w:rFonts w:ascii="Calibri" w:hAnsi="Calibri"/>
                <w:bCs/>
                <w:lang w:eastAsia="ja-JP"/>
              </w:rPr>
            </w:pPr>
            <w:r w:rsidRPr="00912996">
              <w:rPr>
                <w:rFonts w:ascii="Calibri" w:hAnsi="Calibri"/>
                <w:bCs/>
                <w:lang w:eastAsia="ja-JP"/>
              </w:rPr>
              <w:t>24,500,000</w:t>
            </w:r>
          </w:p>
        </w:tc>
        <w:tc>
          <w:tcPr>
            <w:tcW w:w="379" w:type="pct"/>
            <w:shd w:val="clear" w:color="auto" w:fill="F2F2F2"/>
            <w:noWrap/>
            <w:hideMark/>
          </w:tcPr>
          <w:p w14:paraId="7635E666" w14:textId="77777777" w:rsidR="00262046" w:rsidRPr="00912996" w:rsidRDefault="00262046" w:rsidP="00396D75">
            <w:pPr>
              <w:rPr>
                <w:rFonts w:ascii="Calibri" w:hAnsi="Calibri"/>
                <w:bCs/>
                <w:lang w:eastAsia="ja-JP"/>
              </w:rPr>
            </w:pPr>
            <w:r w:rsidRPr="00912996">
              <w:rPr>
                <w:rFonts w:ascii="Calibri" w:hAnsi="Calibri"/>
                <w:bCs/>
                <w:lang w:eastAsia="ja-JP"/>
              </w:rPr>
              <w:t>5,000,000</w:t>
            </w:r>
          </w:p>
        </w:tc>
        <w:tc>
          <w:tcPr>
            <w:tcW w:w="348" w:type="pct"/>
            <w:shd w:val="clear" w:color="auto" w:fill="F2F2F2"/>
            <w:noWrap/>
            <w:hideMark/>
          </w:tcPr>
          <w:p w14:paraId="0CD4CB6C" w14:textId="77777777" w:rsidR="00262046" w:rsidRPr="00912996" w:rsidRDefault="00262046" w:rsidP="00396D75">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601" w:type="pct"/>
            <w:shd w:val="clear" w:color="auto" w:fill="F2F2F2"/>
            <w:hideMark/>
          </w:tcPr>
          <w:p w14:paraId="5A8CA528" w14:textId="77777777" w:rsidR="00262046" w:rsidRPr="00912996" w:rsidRDefault="00262046" w:rsidP="00396D75">
            <w:pPr>
              <w:rPr>
                <w:rFonts w:ascii="Calibri" w:hAnsi="Calibri"/>
                <w:bCs/>
                <w:lang w:eastAsia="ja-JP"/>
              </w:rPr>
            </w:pPr>
            <w:r w:rsidRPr="00912996">
              <w:rPr>
                <w:rFonts w:ascii="Calibri" w:hAnsi="Calibri"/>
                <w:bCs/>
                <w:lang w:eastAsia="ja-JP"/>
              </w:rPr>
              <w:t>PNRR C10, POR BI P7, Bugetul local, Buget parteneri, Alte surse de finanțare</w:t>
            </w:r>
          </w:p>
        </w:tc>
        <w:tc>
          <w:tcPr>
            <w:tcW w:w="505" w:type="pct"/>
            <w:shd w:val="clear" w:color="auto" w:fill="F2F2F2"/>
            <w:noWrap/>
            <w:hideMark/>
          </w:tcPr>
          <w:p w14:paraId="60A8CED7"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4713E9BE"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2A655066" w14:textId="77777777" w:rsidTr="00D719F3">
        <w:trPr>
          <w:trHeight w:val="1875"/>
        </w:trPr>
        <w:tc>
          <w:tcPr>
            <w:tcW w:w="219" w:type="pct"/>
            <w:shd w:val="clear" w:color="auto" w:fill="F2F2F2"/>
            <w:noWrap/>
            <w:hideMark/>
          </w:tcPr>
          <w:p w14:paraId="74DB4141" w14:textId="77777777" w:rsidR="00262046" w:rsidRPr="00912996" w:rsidRDefault="00262046" w:rsidP="00396D75">
            <w:pPr>
              <w:rPr>
                <w:rFonts w:ascii="Calibri" w:hAnsi="Calibri"/>
                <w:bCs/>
                <w:lang w:eastAsia="ja-JP"/>
              </w:rPr>
            </w:pPr>
            <w:r w:rsidRPr="00912996">
              <w:rPr>
                <w:rFonts w:ascii="Calibri" w:hAnsi="Calibri"/>
                <w:bCs/>
                <w:lang w:eastAsia="ja-JP"/>
              </w:rPr>
              <w:t>2</w:t>
            </w:r>
          </w:p>
        </w:tc>
        <w:tc>
          <w:tcPr>
            <w:tcW w:w="949" w:type="pct"/>
            <w:shd w:val="clear" w:color="auto" w:fill="F2F2F2"/>
            <w:hideMark/>
          </w:tcPr>
          <w:p w14:paraId="1A635832" w14:textId="77777777" w:rsidR="00262046" w:rsidRPr="00912996" w:rsidRDefault="00262046" w:rsidP="00396D75">
            <w:pPr>
              <w:rPr>
                <w:rFonts w:ascii="Calibri" w:hAnsi="Calibri"/>
                <w:bCs/>
                <w:lang w:eastAsia="ja-JP"/>
              </w:rPr>
            </w:pPr>
            <w:r w:rsidRPr="00912996">
              <w:rPr>
                <w:rFonts w:ascii="Calibri" w:hAnsi="Calibri"/>
                <w:bCs/>
                <w:lang w:eastAsia="ja-JP"/>
              </w:rPr>
              <w:t>Proiect complex de reconversie și dezvoltare pol urban principal Barbu Văcărescu – Gheorghe Țițeica prin studiu de oportunitate, reglementare urbanistică și amenajarea spațiilor publice</w:t>
            </w:r>
          </w:p>
        </w:tc>
        <w:tc>
          <w:tcPr>
            <w:tcW w:w="505" w:type="pct"/>
            <w:shd w:val="clear" w:color="auto" w:fill="F2F2F2"/>
            <w:hideMark/>
          </w:tcPr>
          <w:p w14:paraId="703B3A1F"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2B31ADCD"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2BE552BD" w14:textId="77777777" w:rsidR="00262046" w:rsidRPr="00912996" w:rsidRDefault="00262046" w:rsidP="00396D75">
            <w:pPr>
              <w:rPr>
                <w:rFonts w:ascii="Calibri" w:hAnsi="Calibri"/>
                <w:bCs/>
                <w:lang w:eastAsia="ja-JP"/>
              </w:rPr>
            </w:pPr>
            <w:r w:rsidRPr="00912996">
              <w:rPr>
                <w:rFonts w:ascii="Calibri" w:hAnsi="Calibri"/>
                <w:bCs/>
                <w:lang w:eastAsia="ja-JP"/>
              </w:rPr>
              <w:t>24,500,000</w:t>
            </w:r>
          </w:p>
        </w:tc>
        <w:tc>
          <w:tcPr>
            <w:tcW w:w="379" w:type="pct"/>
            <w:shd w:val="clear" w:color="auto" w:fill="F2F2F2"/>
            <w:noWrap/>
            <w:hideMark/>
          </w:tcPr>
          <w:p w14:paraId="17A3D828" w14:textId="77777777" w:rsidR="00262046" w:rsidRPr="00912996" w:rsidRDefault="00262046" w:rsidP="00396D75">
            <w:pPr>
              <w:rPr>
                <w:rFonts w:ascii="Calibri" w:hAnsi="Calibri"/>
                <w:bCs/>
                <w:lang w:eastAsia="ja-JP"/>
              </w:rPr>
            </w:pPr>
            <w:r w:rsidRPr="00912996">
              <w:rPr>
                <w:rFonts w:ascii="Calibri" w:hAnsi="Calibri"/>
                <w:bCs/>
                <w:lang w:eastAsia="ja-JP"/>
              </w:rPr>
              <w:t>5,000,000</w:t>
            </w:r>
          </w:p>
        </w:tc>
        <w:tc>
          <w:tcPr>
            <w:tcW w:w="348" w:type="pct"/>
            <w:shd w:val="clear" w:color="auto" w:fill="F2F2F2"/>
            <w:noWrap/>
            <w:hideMark/>
          </w:tcPr>
          <w:p w14:paraId="03A8328E" w14:textId="77777777" w:rsidR="00262046" w:rsidRPr="00912996" w:rsidRDefault="00262046" w:rsidP="00396D75">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601" w:type="pct"/>
            <w:shd w:val="clear" w:color="auto" w:fill="F2F2F2"/>
            <w:hideMark/>
          </w:tcPr>
          <w:p w14:paraId="66A811A7" w14:textId="77777777" w:rsidR="00262046" w:rsidRPr="00912996" w:rsidRDefault="00262046" w:rsidP="00396D75">
            <w:pPr>
              <w:rPr>
                <w:rFonts w:ascii="Calibri" w:hAnsi="Calibri"/>
                <w:bCs/>
                <w:lang w:eastAsia="ja-JP"/>
              </w:rPr>
            </w:pPr>
            <w:r w:rsidRPr="00912996">
              <w:rPr>
                <w:rFonts w:ascii="Calibri" w:hAnsi="Calibri"/>
                <w:bCs/>
                <w:lang w:eastAsia="ja-JP"/>
              </w:rPr>
              <w:t>PNRR C10, POR BI P7, Bugetul local, Buget parteneri, Alte surse de finanțare</w:t>
            </w:r>
          </w:p>
        </w:tc>
        <w:tc>
          <w:tcPr>
            <w:tcW w:w="505" w:type="pct"/>
            <w:shd w:val="clear" w:color="auto" w:fill="F2F2F2"/>
            <w:noWrap/>
            <w:hideMark/>
          </w:tcPr>
          <w:p w14:paraId="58BA29FB"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78E954C0"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4D4689E8" w14:textId="77777777" w:rsidTr="00D719F3">
        <w:trPr>
          <w:trHeight w:val="800"/>
        </w:trPr>
        <w:tc>
          <w:tcPr>
            <w:tcW w:w="219" w:type="pct"/>
            <w:shd w:val="clear" w:color="auto" w:fill="F2F2F2"/>
            <w:noWrap/>
            <w:hideMark/>
          </w:tcPr>
          <w:p w14:paraId="0BCA1C45" w14:textId="77777777" w:rsidR="00262046" w:rsidRPr="00912996" w:rsidRDefault="00262046" w:rsidP="00396D75">
            <w:pPr>
              <w:rPr>
                <w:rFonts w:ascii="Calibri" w:hAnsi="Calibri"/>
                <w:bCs/>
                <w:lang w:eastAsia="ja-JP"/>
              </w:rPr>
            </w:pPr>
            <w:r w:rsidRPr="00912996">
              <w:rPr>
                <w:rFonts w:ascii="Calibri" w:hAnsi="Calibri"/>
                <w:bCs/>
                <w:lang w:eastAsia="ja-JP"/>
              </w:rPr>
              <w:t>3</w:t>
            </w:r>
          </w:p>
        </w:tc>
        <w:tc>
          <w:tcPr>
            <w:tcW w:w="949" w:type="pct"/>
            <w:shd w:val="clear" w:color="auto" w:fill="F2F2F2"/>
            <w:hideMark/>
          </w:tcPr>
          <w:p w14:paraId="63AB33EB" w14:textId="77777777" w:rsidR="00262046" w:rsidRPr="00912996" w:rsidRDefault="00262046" w:rsidP="00396D75">
            <w:pPr>
              <w:rPr>
                <w:rFonts w:ascii="Calibri" w:hAnsi="Calibri"/>
                <w:bCs/>
                <w:lang w:eastAsia="ja-JP"/>
              </w:rPr>
            </w:pPr>
            <w:r w:rsidRPr="00912996">
              <w:rPr>
                <w:rFonts w:ascii="Calibri" w:hAnsi="Calibri"/>
                <w:bCs/>
                <w:lang w:eastAsia="ja-JP"/>
              </w:rPr>
              <w:t>Incubator de afaceri ESA BIC</w:t>
            </w:r>
          </w:p>
        </w:tc>
        <w:tc>
          <w:tcPr>
            <w:tcW w:w="505" w:type="pct"/>
            <w:shd w:val="clear" w:color="auto" w:fill="F2F2F2"/>
            <w:hideMark/>
          </w:tcPr>
          <w:p w14:paraId="39F3A8B2"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539B84D6"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1043ED39" w14:textId="77777777" w:rsidR="00262046" w:rsidRPr="00912996" w:rsidRDefault="00262046" w:rsidP="00396D75">
            <w:pPr>
              <w:rPr>
                <w:rFonts w:ascii="Calibri" w:hAnsi="Calibri"/>
                <w:bCs/>
                <w:lang w:eastAsia="ja-JP"/>
              </w:rPr>
            </w:pPr>
            <w:r w:rsidRPr="00912996">
              <w:rPr>
                <w:rFonts w:ascii="Calibri" w:hAnsi="Calibri"/>
                <w:bCs/>
                <w:lang w:eastAsia="ja-JP"/>
              </w:rPr>
              <w:t>12,250,000</w:t>
            </w:r>
          </w:p>
        </w:tc>
        <w:tc>
          <w:tcPr>
            <w:tcW w:w="379" w:type="pct"/>
            <w:shd w:val="clear" w:color="auto" w:fill="F2F2F2"/>
            <w:noWrap/>
            <w:hideMark/>
          </w:tcPr>
          <w:p w14:paraId="18F05144" w14:textId="77777777" w:rsidR="00262046" w:rsidRPr="00912996" w:rsidRDefault="00262046" w:rsidP="00396D75">
            <w:pPr>
              <w:rPr>
                <w:rFonts w:ascii="Calibri" w:hAnsi="Calibri"/>
                <w:bCs/>
                <w:lang w:eastAsia="ja-JP"/>
              </w:rPr>
            </w:pPr>
            <w:r w:rsidRPr="00912996">
              <w:rPr>
                <w:rFonts w:ascii="Calibri" w:hAnsi="Calibri"/>
                <w:bCs/>
                <w:lang w:eastAsia="ja-JP"/>
              </w:rPr>
              <w:t>2,500,000</w:t>
            </w:r>
          </w:p>
        </w:tc>
        <w:tc>
          <w:tcPr>
            <w:tcW w:w="348" w:type="pct"/>
            <w:shd w:val="clear" w:color="auto" w:fill="F2F2F2"/>
            <w:noWrap/>
            <w:hideMark/>
          </w:tcPr>
          <w:p w14:paraId="566A61F6" w14:textId="7775D66B" w:rsidR="00262046" w:rsidRPr="00912996" w:rsidRDefault="00262046" w:rsidP="00396D75">
            <w:pPr>
              <w:rPr>
                <w:rFonts w:ascii="Calibri" w:hAnsi="Calibri"/>
                <w:bCs/>
                <w:lang w:eastAsia="ja-JP"/>
              </w:rPr>
            </w:pPr>
            <w:r w:rsidRPr="00912996">
              <w:rPr>
                <w:rFonts w:ascii="Calibri" w:hAnsi="Calibri"/>
                <w:bCs/>
                <w:lang w:eastAsia="ja-JP"/>
              </w:rPr>
              <w:t>2021</w:t>
            </w:r>
            <w:r w:rsidR="0032299C">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4A3D066A" w14:textId="77777777" w:rsidR="00262046" w:rsidRPr="00912996" w:rsidRDefault="00262046" w:rsidP="00396D75">
            <w:pPr>
              <w:rPr>
                <w:rFonts w:ascii="Calibri" w:hAnsi="Calibri"/>
                <w:bCs/>
                <w:lang w:eastAsia="ja-JP"/>
              </w:rPr>
            </w:pPr>
            <w:r w:rsidRPr="00912996">
              <w:rPr>
                <w:rFonts w:ascii="Calibri" w:hAnsi="Calibri"/>
                <w:bCs/>
                <w:lang w:eastAsia="ja-JP"/>
              </w:rPr>
              <w:t>PNRR C9, POR BI P1, Bugetul local, Buget parteneri, Alte surse de finanțare</w:t>
            </w:r>
          </w:p>
        </w:tc>
        <w:tc>
          <w:tcPr>
            <w:tcW w:w="505" w:type="pct"/>
            <w:shd w:val="clear" w:color="auto" w:fill="F2F2F2"/>
            <w:noWrap/>
            <w:hideMark/>
          </w:tcPr>
          <w:p w14:paraId="222BE780"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095CEEEC"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1B975DF2" w14:textId="77777777" w:rsidTr="00D719F3">
        <w:trPr>
          <w:trHeight w:val="1155"/>
        </w:trPr>
        <w:tc>
          <w:tcPr>
            <w:tcW w:w="219" w:type="pct"/>
            <w:shd w:val="clear" w:color="auto" w:fill="F2F2F2"/>
            <w:noWrap/>
            <w:hideMark/>
          </w:tcPr>
          <w:p w14:paraId="26256FA3" w14:textId="77777777" w:rsidR="00262046" w:rsidRPr="00912996" w:rsidRDefault="00262046" w:rsidP="00396D75">
            <w:pPr>
              <w:rPr>
                <w:rFonts w:ascii="Calibri" w:hAnsi="Calibri"/>
                <w:bCs/>
                <w:lang w:eastAsia="ja-JP"/>
              </w:rPr>
            </w:pPr>
            <w:r w:rsidRPr="00912996">
              <w:rPr>
                <w:rFonts w:ascii="Calibri" w:hAnsi="Calibri"/>
                <w:bCs/>
                <w:lang w:eastAsia="ja-JP"/>
              </w:rPr>
              <w:t>4</w:t>
            </w:r>
          </w:p>
        </w:tc>
        <w:tc>
          <w:tcPr>
            <w:tcW w:w="949" w:type="pct"/>
            <w:shd w:val="clear" w:color="auto" w:fill="F2F2F2"/>
            <w:hideMark/>
          </w:tcPr>
          <w:p w14:paraId="05387857" w14:textId="77777777" w:rsidR="00262046" w:rsidRPr="00912996" w:rsidRDefault="00262046" w:rsidP="00396D75">
            <w:pPr>
              <w:rPr>
                <w:rFonts w:ascii="Calibri" w:hAnsi="Calibri"/>
                <w:bCs/>
                <w:lang w:eastAsia="ja-JP"/>
              </w:rPr>
            </w:pPr>
            <w:r w:rsidRPr="00912996">
              <w:rPr>
                <w:rFonts w:ascii="Calibri" w:hAnsi="Calibri"/>
                <w:bCs/>
                <w:lang w:eastAsia="ja-JP"/>
              </w:rPr>
              <w:t>Susținere parteneriate între mediul privat și PS2 în vederea realizării unor dotări de interes local în zona malurilor de lac</w:t>
            </w:r>
          </w:p>
        </w:tc>
        <w:tc>
          <w:tcPr>
            <w:tcW w:w="505" w:type="pct"/>
            <w:shd w:val="clear" w:color="auto" w:fill="F2F2F2"/>
            <w:hideMark/>
          </w:tcPr>
          <w:p w14:paraId="626D56F4"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17ADB512"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7E0832A0" w14:textId="77777777" w:rsidR="00262046" w:rsidRPr="00912996" w:rsidRDefault="00262046" w:rsidP="00396D75">
            <w:pPr>
              <w:rPr>
                <w:rFonts w:ascii="Calibri" w:hAnsi="Calibri"/>
                <w:bCs/>
                <w:lang w:eastAsia="ja-JP"/>
              </w:rPr>
            </w:pPr>
            <w:r w:rsidRPr="00912996">
              <w:rPr>
                <w:rFonts w:ascii="Calibri" w:hAnsi="Calibri"/>
                <w:bCs/>
                <w:lang w:eastAsia="ja-JP"/>
              </w:rPr>
              <w:t>245,000</w:t>
            </w:r>
          </w:p>
        </w:tc>
        <w:tc>
          <w:tcPr>
            <w:tcW w:w="379" w:type="pct"/>
            <w:shd w:val="clear" w:color="auto" w:fill="F2F2F2"/>
            <w:noWrap/>
            <w:hideMark/>
          </w:tcPr>
          <w:p w14:paraId="1B8B2215" w14:textId="77777777" w:rsidR="00262046" w:rsidRPr="00912996" w:rsidRDefault="00262046" w:rsidP="00396D75">
            <w:pPr>
              <w:rPr>
                <w:rFonts w:ascii="Calibri" w:hAnsi="Calibri"/>
                <w:bCs/>
                <w:lang w:eastAsia="ja-JP"/>
              </w:rPr>
            </w:pPr>
            <w:r w:rsidRPr="00912996">
              <w:rPr>
                <w:rFonts w:ascii="Calibri" w:hAnsi="Calibri"/>
                <w:bCs/>
                <w:lang w:eastAsia="ja-JP"/>
              </w:rPr>
              <w:t>50,000</w:t>
            </w:r>
          </w:p>
        </w:tc>
        <w:tc>
          <w:tcPr>
            <w:tcW w:w="348" w:type="pct"/>
            <w:shd w:val="clear" w:color="auto" w:fill="F2F2F2"/>
            <w:noWrap/>
            <w:hideMark/>
          </w:tcPr>
          <w:p w14:paraId="43A74024"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02548DFB" w14:textId="77777777" w:rsidR="00262046" w:rsidRPr="00912996" w:rsidRDefault="00262046" w:rsidP="00396D75">
            <w:pPr>
              <w:rPr>
                <w:rFonts w:ascii="Calibri" w:hAnsi="Calibri"/>
                <w:bCs/>
                <w:lang w:eastAsia="ja-JP"/>
              </w:rPr>
            </w:pPr>
            <w:r w:rsidRPr="00912996">
              <w:rPr>
                <w:rFonts w:ascii="Calibri" w:hAnsi="Calibri"/>
                <w:bCs/>
                <w:lang w:eastAsia="ja-JP"/>
              </w:rPr>
              <w:t>PNRR C10, POR BI P7, Bugetul local, Alte surse</w:t>
            </w:r>
          </w:p>
        </w:tc>
        <w:tc>
          <w:tcPr>
            <w:tcW w:w="505" w:type="pct"/>
            <w:shd w:val="clear" w:color="auto" w:fill="F2F2F2"/>
            <w:noWrap/>
            <w:hideMark/>
          </w:tcPr>
          <w:p w14:paraId="00D7950D"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697DD669"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56EA5E48" w14:textId="77777777" w:rsidTr="00D719F3">
        <w:trPr>
          <w:trHeight w:val="2658"/>
        </w:trPr>
        <w:tc>
          <w:tcPr>
            <w:tcW w:w="219" w:type="pct"/>
            <w:shd w:val="clear" w:color="auto" w:fill="F2F2F2"/>
            <w:noWrap/>
            <w:hideMark/>
          </w:tcPr>
          <w:p w14:paraId="18FBD18D" w14:textId="77777777" w:rsidR="00262046" w:rsidRPr="00912996" w:rsidRDefault="00262046" w:rsidP="00396D75">
            <w:pPr>
              <w:rPr>
                <w:rFonts w:ascii="Calibri" w:hAnsi="Calibri"/>
                <w:bCs/>
                <w:lang w:eastAsia="ja-JP"/>
              </w:rPr>
            </w:pPr>
            <w:r w:rsidRPr="00912996">
              <w:rPr>
                <w:rFonts w:ascii="Calibri" w:hAnsi="Calibri"/>
                <w:bCs/>
                <w:lang w:eastAsia="ja-JP"/>
              </w:rPr>
              <w:t>5</w:t>
            </w:r>
          </w:p>
        </w:tc>
        <w:tc>
          <w:tcPr>
            <w:tcW w:w="949" w:type="pct"/>
            <w:shd w:val="clear" w:color="auto" w:fill="F2F2F2"/>
            <w:hideMark/>
          </w:tcPr>
          <w:p w14:paraId="0FA2D063" w14:textId="77777777" w:rsidR="00262046" w:rsidRPr="00912996" w:rsidRDefault="00262046" w:rsidP="00396D75">
            <w:pPr>
              <w:rPr>
                <w:rFonts w:ascii="Calibri" w:hAnsi="Calibri"/>
                <w:bCs/>
                <w:lang w:eastAsia="ja-JP"/>
              </w:rPr>
            </w:pPr>
            <w:r w:rsidRPr="00912996">
              <w:rPr>
                <w:rFonts w:ascii="Calibri" w:hAnsi="Calibri"/>
                <w:bCs/>
                <w:lang w:eastAsia="ja-JP"/>
              </w:rPr>
              <w:t>Dezvoltarea infrastructurii de afaceri (parcuri industriale, incubatoare, hub-uri, parcuri științifice și tehnologice) si înființarea unui cartier de business in urma relocării Uzinei de Reparații Atelierele Centrale Primăria Municipiului București -</w:t>
            </w:r>
            <w:r>
              <w:rPr>
                <w:rFonts w:ascii="Calibri" w:hAnsi="Calibri"/>
                <w:bCs/>
                <w:lang w:eastAsia="ja-JP"/>
              </w:rPr>
              <w:t xml:space="preserve"> </w:t>
            </w:r>
            <w:r w:rsidRPr="00912996">
              <w:rPr>
                <w:rFonts w:ascii="Calibri" w:hAnsi="Calibri"/>
                <w:bCs/>
                <w:lang w:eastAsia="ja-JP"/>
              </w:rPr>
              <w:t>Societatea de Transport București</w:t>
            </w:r>
          </w:p>
        </w:tc>
        <w:tc>
          <w:tcPr>
            <w:tcW w:w="505" w:type="pct"/>
            <w:shd w:val="clear" w:color="auto" w:fill="F2F2F2"/>
            <w:hideMark/>
          </w:tcPr>
          <w:p w14:paraId="74212859"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 PMB</w:t>
            </w:r>
          </w:p>
        </w:tc>
        <w:tc>
          <w:tcPr>
            <w:tcW w:w="569" w:type="pct"/>
            <w:shd w:val="clear" w:color="auto" w:fill="F2F2F2"/>
            <w:noWrap/>
            <w:hideMark/>
          </w:tcPr>
          <w:p w14:paraId="3715DBFD"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5CA543E9" w14:textId="77777777" w:rsidR="00262046" w:rsidRPr="00912996" w:rsidRDefault="00262046" w:rsidP="00396D75">
            <w:pPr>
              <w:rPr>
                <w:rFonts w:ascii="Calibri" w:hAnsi="Calibri"/>
                <w:bCs/>
                <w:lang w:eastAsia="ja-JP"/>
              </w:rPr>
            </w:pPr>
            <w:r w:rsidRPr="00912996">
              <w:rPr>
                <w:rFonts w:ascii="Calibri" w:hAnsi="Calibri"/>
                <w:bCs/>
                <w:lang w:eastAsia="ja-JP"/>
              </w:rPr>
              <w:t>36,750,000</w:t>
            </w:r>
          </w:p>
        </w:tc>
        <w:tc>
          <w:tcPr>
            <w:tcW w:w="379" w:type="pct"/>
            <w:shd w:val="clear" w:color="auto" w:fill="F2F2F2"/>
            <w:noWrap/>
            <w:hideMark/>
          </w:tcPr>
          <w:p w14:paraId="4B2B3B07" w14:textId="77777777" w:rsidR="00262046" w:rsidRPr="00912996" w:rsidRDefault="00262046" w:rsidP="00396D75">
            <w:pPr>
              <w:rPr>
                <w:rFonts w:ascii="Calibri" w:hAnsi="Calibri"/>
                <w:bCs/>
                <w:lang w:eastAsia="ja-JP"/>
              </w:rPr>
            </w:pPr>
            <w:r w:rsidRPr="00912996">
              <w:rPr>
                <w:rFonts w:ascii="Calibri" w:hAnsi="Calibri"/>
                <w:bCs/>
                <w:lang w:eastAsia="ja-JP"/>
              </w:rPr>
              <w:t>7,500,000</w:t>
            </w:r>
          </w:p>
        </w:tc>
        <w:tc>
          <w:tcPr>
            <w:tcW w:w="348" w:type="pct"/>
            <w:shd w:val="clear" w:color="auto" w:fill="F2F2F2"/>
            <w:noWrap/>
            <w:hideMark/>
          </w:tcPr>
          <w:p w14:paraId="54845F46"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7547D133" w14:textId="77777777" w:rsidR="00262046" w:rsidRPr="00912996" w:rsidRDefault="00262046" w:rsidP="00396D75">
            <w:pPr>
              <w:rPr>
                <w:rFonts w:ascii="Calibri" w:hAnsi="Calibri"/>
                <w:bCs/>
                <w:lang w:eastAsia="ja-JP"/>
              </w:rPr>
            </w:pPr>
            <w:r w:rsidRPr="00912996">
              <w:rPr>
                <w:rFonts w:ascii="Calibri" w:hAnsi="Calibri"/>
                <w:bCs/>
                <w:lang w:eastAsia="ja-JP"/>
              </w:rPr>
              <w:t>PNRR C9, POR BI P1, Bugetul local și alte surse de finanțare</w:t>
            </w:r>
          </w:p>
        </w:tc>
        <w:tc>
          <w:tcPr>
            <w:tcW w:w="505" w:type="pct"/>
            <w:shd w:val="clear" w:color="auto" w:fill="F2F2F2"/>
            <w:noWrap/>
            <w:hideMark/>
          </w:tcPr>
          <w:p w14:paraId="5F318A63"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0A96D15C"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0E64F338" w14:textId="77777777" w:rsidTr="00D719F3">
        <w:trPr>
          <w:trHeight w:val="1191"/>
        </w:trPr>
        <w:tc>
          <w:tcPr>
            <w:tcW w:w="219" w:type="pct"/>
            <w:shd w:val="clear" w:color="auto" w:fill="F2F2F2"/>
            <w:noWrap/>
            <w:hideMark/>
          </w:tcPr>
          <w:p w14:paraId="782FE245" w14:textId="77777777" w:rsidR="00262046" w:rsidRPr="00912996" w:rsidRDefault="00262046" w:rsidP="00396D75">
            <w:pPr>
              <w:rPr>
                <w:rFonts w:ascii="Calibri" w:hAnsi="Calibri"/>
                <w:bCs/>
                <w:lang w:eastAsia="ja-JP"/>
              </w:rPr>
            </w:pPr>
            <w:r w:rsidRPr="00912996">
              <w:rPr>
                <w:rFonts w:ascii="Calibri" w:hAnsi="Calibri"/>
                <w:bCs/>
                <w:lang w:eastAsia="ja-JP"/>
              </w:rPr>
              <w:t>6</w:t>
            </w:r>
          </w:p>
        </w:tc>
        <w:tc>
          <w:tcPr>
            <w:tcW w:w="949" w:type="pct"/>
            <w:shd w:val="clear" w:color="auto" w:fill="F2F2F2"/>
            <w:hideMark/>
          </w:tcPr>
          <w:p w14:paraId="60086368" w14:textId="77777777" w:rsidR="00262046" w:rsidRPr="00912996" w:rsidRDefault="00262046" w:rsidP="00396D75">
            <w:pPr>
              <w:rPr>
                <w:rFonts w:ascii="Calibri" w:hAnsi="Calibri"/>
                <w:bCs/>
                <w:lang w:eastAsia="ja-JP"/>
              </w:rPr>
            </w:pPr>
            <w:r w:rsidRPr="00912996">
              <w:rPr>
                <w:rFonts w:ascii="Calibri" w:hAnsi="Calibri"/>
                <w:bCs/>
                <w:lang w:eastAsia="ja-JP"/>
              </w:rPr>
              <w:t>Asigurarea unor spatii gratuite pentru startup-uri timp de 5 ani</w:t>
            </w:r>
          </w:p>
        </w:tc>
        <w:tc>
          <w:tcPr>
            <w:tcW w:w="505" w:type="pct"/>
            <w:shd w:val="clear" w:color="auto" w:fill="F2F2F2"/>
            <w:hideMark/>
          </w:tcPr>
          <w:p w14:paraId="3CDA6DD0"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 PMB</w:t>
            </w:r>
          </w:p>
        </w:tc>
        <w:tc>
          <w:tcPr>
            <w:tcW w:w="569" w:type="pct"/>
            <w:shd w:val="clear" w:color="auto" w:fill="F2F2F2"/>
            <w:noWrap/>
            <w:hideMark/>
          </w:tcPr>
          <w:p w14:paraId="22B3A705"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611B3837" w14:textId="77777777" w:rsidR="00262046" w:rsidRPr="00912996" w:rsidRDefault="00262046" w:rsidP="00396D75">
            <w:pPr>
              <w:rPr>
                <w:rFonts w:ascii="Calibri" w:hAnsi="Calibri"/>
                <w:bCs/>
                <w:lang w:eastAsia="ja-JP"/>
              </w:rPr>
            </w:pPr>
            <w:r w:rsidRPr="00912996">
              <w:rPr>
                <w:rFonts w:ascii="Calibri" w:hAnsi="Calibri"/>
                <w:bCs/>
                <w:lang w:eastAsia="ja-JP"/>
              </w:rPr>
              <w:t>17,150,000</w:t>
            </w:r>
          </w:p>
        </w:tc>
        <w:tc>
          <w:tcPr>
            <w:tcW w:w="379" w:type="pct"/>
            <w:shd w:val="clear" w:color="auto" w:fill="F2F2F2"/>
            <w:noWrap/>
            <w:hideMark/>
          </w:tcPr>
          <w:p w14:paraId="6C48882B" w14:textId="77777777" w:rsidR="00262046" w:rsidRPr="00912996" w:rsidRDefault="00262046" w:rsidP="00396D75">
            <w:pPr>
              <w:rPr>
                <w:rFonts w:ascii="Calibri" w:hAnsi="Calibri"/>
                <w:bCs/>
                <w:lang w:eastAsia="ja-JP"/>
              </w:rPr>
            </w:pPr>
            <w:r w:rsidRPr="00912996">
              <w:rPr>
                <w:rFonts w:ascii="Calibri" w:hAnsi="Calibri"/>
                <w:bCs/>
                <w:lang w:eastAsia="ja-JP"/>
              </w:rPr>
              <w:t>3,500,000</w:t>
            </w:r>
          </w:p>
        </w:tc>
        <w:tc>
          <w:tcPr>
            <w:tcW w:w="348" w:type="pct"/>
            <w:shd w:val="clear" w:color="auto" w:fill="F2F2F2"/>
            <w:noWrap/>
            <w:hideMark/>
          </w:tcPr>
          <w:p w14:paraId="359CD2EE"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5C54D14C" w14:textId="77777777" w:rsidR="00262046" w:rsidRPr="00912996" w:rsidRDefault="00262046" w:rsidP="00396D75">
            <w:pPr>
              <w:rPr>
                <w:rFonts w:ascii="Calibri" w:hAnsi="Calibri"/>
                <w:bCs/>
                <w:lang w:eastAsia="ja-JP"/>
              </w:rPr>
            </w:pPr>
            <w:r w:rsidRPr="00912996">
              <w:rPr>
                <w:rFonts w:ascii="Calibri" w:hAnsi="Calibri"/>
                <w:bCs/>
                <w:lang w:eastAsia="ja-JP"/>
              </w:rPr>
              <w:t>PNRR C9, POR BI P1, Bugetul local și alte surse de finanțare</w:t>
            </w:r>
          </w:p>
        </w:tc>
        <w:tc>
          <w:tcPr>
            <w:tcW w:w="505" w:type="pct"/>
            <w:shd w:val="clear" w:color="auto" w:fill="F2F2F2"/>
            <w:noWrap/>
            <w:hideMark/>
          </w:tcPr>
          <w:p w14:paraId="3CEE2C79"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182CEBF6"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6D4FE10C" w14:textId="77777777" w:rsidTr="00D719F3">
        <w:trPr>
          <w:trHeight w:val="1965"/>
        </w:trPr>
        <w:tc>
          <w:tcPr>
            <w:tcW w:w="219" w:type="pct"/>
            <w:shd w:val="clear" w:color="auto" w:fill="F2F2F2"/>
            <w:noWrap/>
            <w:hideMark/>
          </w:tcPr>
          <w:p w14:paraId="51D35D52" w14:textId="77777777" w:rsidR="00262046" w:rsidRPr="00912996" w:rsidRDefault="00262046" w:rsidP="00396D75">
            <w:pPr>
              <w:rPr>
                <w:rFonts w:ascii="Calibri" w:hAnsi="Calibri"/>
                <w:bCs/>
                <w:lang w:eastAsia="ja-JP"/>
              </w:rPr>
            </w:pPr>
            <w:r w:rsidRPr="00912996">
              <w:rPr>
                <w:rFonts w:ascii="Calibri" w:hAnsi="Calibri"/>
                <w:bCs/>
                <w:lang w:eastAsia="ja-JP"/>
              </w:rPr>
              <w:t>7</w:t>
            </w:r>
          </w:p>
        </w:tc>
        <w:tc>
          <w:tcPr>
            <w:tcW w:w="949" w:type="pct"/>
            <w:shd w:val="clear" w:color="auto" w:fill="F2F2F2"/>
            <w:hideMark/>
          </w:tcPr>
          <w:p w14:paraId="34AFF28C" w14:textId="77777777" w:rsidR="00262046" w:rsidRPr="00912996" w:rsidRDefault="00262046" w:rsidP="00396D75">
            <w:pPr>
              <w:rPr>
                <w:rFonts w:ascii="Calibri" w:hAnsi="Calibri"/>
                <w:bCs/>
                <w:lang w:eastAsia="ja-JP"/>
              </w:rPr>
            </w:pPr>
            <w:r w:rsidRPr="00912996">
              <w:rPr>
                <w:rFonts w:ascii="Calibri" w:hAnsi="Calibri"/>
                <w:bCs/>
                <w:lang w:eastAsia="ja-JP"/>
              </w:rPr>
              <w:t>Construirea/modernizarea/extinderea de clădiri și anexe aferente, care vor fi utilizate de operatorii economici, cu precădere IMM-uri, pentru activități de producție și/sau servicii</w:t>
            </w:r>
          </w:p>
        </w:tc>
        <w:tc>
          <w:tcPr>
            <w:tcW w:w="505" w:type="pct"/>
            <w:shd w:val="clear" w:color="auto" w:fill="F2F2F2"/>
            <w:hideMark/>
          </w:tcPr>
          <w:p w14:paraId="5CF8C3F1"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PMB</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4E81E1A5"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67BA62C3" w14:textId="77777777" w:rsidR="00262046" w:rsidRPr="00912996" w:rsidRDefault="00262046" w:rsidP="00396D75">
            <w:pPr>
              <w:rPr>
                <w:rFonts w:ascii="Calibri" w:hAnsi="Calibri"/>
                <w:bCs/>
                <w:lang w:eastAsia="ja-JP"/>
              </w:rPr>
            </w:pPr>
            <w:r w:rsidRPr="00912996">
              <w:rPr>
                <w:rFonts w:ascii="Calibri" w:hAnsi="Calibri"/>
                <w:bCs/>
                <w:lang w:eastAsia="ja-JP"/>
              </w:rPr>
              <w:t>7,898,751</w:t>
            </w:r>
          </w:p>
        </w:tc>
        <w:tc>
          <w:tcPr>
            <w:tcW w:w="379" w:type="pct"/>
            <w:shd w:val="clear" w:color="auto" w:fill="F2F2F2"/>
            <w:noWrap/>
            <w:hideMark/>
          </w:tcPr>
          <w:p w14:paraId="746BBB49" w14:textId="77777777" w:rsidR="00262046" w:rsidRPr="00912996" w:rsidRDefault="00262046" w:rsidP="00396D75">
            <w:pPr>
              <w:rPr>
                <w:rFonts w:ascii="Calibri" w:hAnsi="Calibri"/>
                <w:bCs/>
                <w:lang w:eastAsia="ja-JP"/>
              </w:rPr>
            </w:pPr>
            <w:r w:rsidRPr="00912996">
              <w:rPr>
                <w:rFonts w:ascii="Calibri" w:hAnsi="Calibri"/>
                <w:bCs/>
                <w:lang w:eastAsia="ja-JP"/>
              </w:rPr>
              <w:t>1,611,990</w:t>
            </w:r>
          </w:p>
        </w:tc>
        <w:tc>
          <w:tcPr>
            <w:tcW w:w="348" w:type="pct"/>
            <w:shd w:val="clear" w:color="auto" w:fill="F2F2F2"/>
            <w:noWrap/>
            <w:hideMark/>
          </w:tcPr>
          <w:p w14:paraId="63FCE7AA"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7850403E" w14:textId="77777777" w:rsidR="00262046" w:rsidRPr="00912996" w:rsidRDefault="00262046" w:rsidP="00396D75">
            <w:pPr>
              <w:rPr>
                <w:rFonts w:ascii="Calibri" w:hAnsi="Calibri"/>
                <w:bCs/>
                <w:lang w:eastAsia="ja-JP"/>
              </w:rPr>
            </w:pPr>
            <w:r w:rsidRPr="00912996">
              <w:rPr>
                <w:rFonts w:ascii="Calibri" w:hAnsi="Calibri"/>
                <w:bCs/>
                <w:lang w:eastAsia="ja-JP"/>
              </w:rPr>
              <w:t>PNRR C10, POR BI P7, Bugetul local și alte surse de finanțare</w:t>
            </w:r>
          </w:p>
        </w:tc>
        <w:tc>
          <w:tcPr>
            <w:tcW w:w="505" w:type="pct"/>
            <w:shd w:val="clear" w:color="auto" w:fill="F2F2F2"/>
            <w:noWrap/>
            <w:hideMark/>
          </w:tcPr>
          <w:p w14:paraId="39BD8269" w14:textId="77777777" w:rsidR="00262046" w:rsidRPr="00912996" w:rsidRDefault="00262046" w:rsidP="00396D75">
            <w:pPr>
              <w:rPr>
                <w:rFonts w:ascii="Calibri" w:hAnsi="Calibri"/>
                <w:bCs/>
                <w:lang w:eastAsia="ja-JP"/>
              </w:rPr>
            </w:pPr>
            <w:r w:rsidRPr="00912996">
              <w:rPr>
                <w:rFonts w:ascii="Calibri" w:hAnsi="Calibri"/>
                <w:bCs/>
                <w:lang w:eastAsia="ja-JP"/>
              </w:rPr>
              <w:t>Proiect prioritar</w:t>
            </w:r>
          </w:p>
        </w:tc>
        <w:tc>
          <w:tcPr>
            <w:tcW w:w="514" w:type="pct"/>
            <w:shd w:val="clear" w:color="auto" w:fill="F2F2F2"/>
            <w:hideMark/>
          </w:tcPr>
          <w:p w14:paraId="3640C199"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67B55C28" w14:textId="77777777" w:rsidTr="00B0207B">
        <w:trPr>
          <w:trHeight w:val="1434"/>
        </w:trPr>
        <w:tc>
          <w:tcPr>
            <w:tcW w:w="219" w:type="pct"/>
            <w:shd w:val="clear" w:color="auto" w:fill="F2F2F2"/>
            <w:noWrap/>
            <w:hideMark/>
          </w:tcPr>
          <w:p w14:paraId="2C797ABA" w14:textId="77777777" w:rsidR="00262046" w:rsidRPr="00912996" w:rsidRDefault="00262046" w:rsidP="00396D75">
            <w:pPr>
              <w:rPr>
                <w:rFonts w:ascii="Calibri" w:hAnsi="Calibri"/>
                <w:bCs/>
                <w:lang w:eastAsia="ja-JP"/>
              </w:rPr>
            </w:pPr>
            <w:r w:rsidRPr="00912996">
              <w:rPr>
                <w:rFonts w:ascii="Calibri" w:hAnsi="Calibri"/>
                <w:bCs/>
                <w:lang w:eastAsia="ja-JP"/>
              </w:rPr>
              <w:t>8</w:t>
            </w:r>
          </w:p>
        </w:tc>
        <w:tc>
          <w:tcPr>
            <w:tcW w:w="949" w:type="pct"/>
            <w:shd w:val="clear" w:color="auto" w:fill="F2F2F2"/>
            <w:hideMark/>
          </w:tcPr>
          <w:p w14:paraId="4B6604AA" w14:textId="77777777" w:rsidR="00262046" w:rsidRPr="00912996" w:rsidRDefault="00262046" w:rsidP="00396D75">
            <w:pPr>
              <w:rPr>
                <w:rFonts w:ascii="Calibri" w:hAnsi="Calibri"/>
                <w:bCs/>
                <w:lang w:eastAsia="ja-JP"/>
              </w:rPr>
            </w:pPr>
            <w:r w:rsidRPr="00912996">
              <w:rPr>
                <w:rFonts w:ascii="Calibri" w:hAnsi="Calibri"/>
                <w:bCs/>
                <w:lang w:eastAsia="ja-JP"/>
              </w:rPr>
              <w:t>Înființarea unui parc industrial si a unuia tehnologic pe o suprafață de 20 ha</w:t>
            </w:r>
          </w:p>
        </w:tc>
        <w:tc>
          <w:tcPr>
            <w:tcW w:w="505" w:type="pct"/>
            <w:shd w:val="clear" w:color="auto" w:fill="F2F2F2"/>
            <w:hideMark/>
          </w:tcPr>
          <w:p w14:paraId="23CDD875"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2AF5CD28"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32CC4A67" w14:textId="77777777" w:rsidR="00262046" w:rsidRPr="00912996" w:rsidRDefault="00262046" w:rsidP="00396D75">
            <w:pPr>
              <w:rPr>
                <w:rFonts w:ascii="Calibri" w:hAnsi="Calibri"/>
                <w:bCs/>
                <w:lang w:eastAsia="ja-JP"/>
              </w:rPr>
            </w:pPr>
            <w:r w:rsidRPr="00912996">
              <w:rPr>
                <w:rFonts w:ascii="Calibri" w:hAnsi="Calibri"/>
                <w:bCs/>
                <w:lang w:eastAsia="ja-JP"/>
              </w:rPr>
              <w:t>73,500,000</w:t>
            </w:r>
          </w:p>
        </w:tc>
        <w:tc>
          <w:tcPr>
            <w:tcW w:w="379" w:type="pct"/>
            <w:shd w:val="clear" w:color="auto" w:fill="F2F2F2"/>
            <w:noWrap/>
            <w:hideMark/>
          </w:tcPr>
          <w:p w14:paraId="624F2736" w14:textId="77777777" w:rsidR="00262046" w:rsidRPr="00912996" w:rsidRDefault="00262046" w:rsidP="00396D75">
            <w:pPr>
              <w:rPr>
                <w:rFonts w:ascii="Calibri" w:hAnsi="Calibri"/>
                <w:bCs/>
                <w:lang w:eastAsia="ja-JP"/>
              </w:rPr>
            </w:pPr>
            <w:r w:rsidRPr="00912996">
              <w:rPr>
                <w:rFonts w:ascii="Calibri" w:hAnsi="Calibri"/>
                <w:bCs/>
                <w:lang w:eastAsia="ja-JP"/>
              </w:rPr>
              <w:t>15,000,000</w:t>
            </w:r>
          </w:p>
        </w:tc>
        <w:tc>
          <w:tcPr>
            <w:tcW w:w="348" w:type="pct"/>
            <w:shd w:val="clear" w:color="auto" w:fill="F2F2F2"/>
            <w:noWrap/>
            <w:hideMark/>
          </w:tcPr>
          <w:p w14:paraId="11A01BA3"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4650E799" w14:textId="77777777" w:rsidR="00262046" w:rsidRPr="00912996" w:rsidRDefault="00262046" w:rsidP="00396D75">
            <w:pPr>
              <w:rPr>
                <w:rFonts w:ascii="Calibri" w:hAnsi="Calibri"/>
                <w:bCs/>
                <w:lang w:eastAsia="ja-JP"/>
              </w:rPr>
            </w:pPr>
            <w:r w:rsidRPr="00912996">
              <w:rPr>
                <w:rFonts w:ascii="Calibri" w:hAnsi="Calibri"/>
                <w:bCs/>
                <w:lang w:eastAsia="ja-JP"/>
              </w:rPr>
              <w:t>PNRR C9, POR BI P1, P7, bugetul local, Alte surse de finanțare</w:t>
            </w:r>
          </w:p>
        </w:tc>
        <w:tc>
          <w:tcPr>
            <w:tcW w:w="505" w:type="pct"/>
            <w:shd w:val="clear" w:color="auto" w:fill="F2F2F2"/>
            <w:noWrap/>
            <w:hideMark/>
          </w:tcPr>
          <w:p w14:paraId="28D1B8F1"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10B0BFA8"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36799DF9" w14:textId="77777777" w:rsidTr="00396D75">
        <w:trPr>
          <w:trHeight w:val="276"/>
        </w:trPr>
        <w:tc>
          <w:tcPr>
            <w:tcW w:w="5000" w:type="pct"/>
            <w:gridSpan w:val="10"/>
            <w:shd w:val="clear" w:color="auto" w:fill="BBD9A0"/>
            <w:noWrap/>
            <w:hideMark/>
          </w:tcPr>
          <w:p w14:paraId="339D595A" w14:textId="77777777" w:rsidR="00262046" w:rsidRPr="00912996" w:rsidRDefault="00262046" w:rsidP="004D5CF7">
            <w:pPr>
              <w:jc w:val="center"/>
              <w:rPr>
                <w:rFonts w:ascii="Calibri" w:hAnsi="Calibri"/>
                <w:b/>
                <w:bCs/>
                <w:color w:val="FFFFFF"/>
                <w:lang w:eastAsia="ja-JP"/>
              </w:rPr>
            </w:pPr>
            <w:r w:rsidRPr="00912996">
              <w:rPr>
                <w:rFonts w:ascii="Calibri" w:hAnsi="Calibri"/>
                <w:b/>
                <w:bCs/>
                <w:color w:val="FFFFFF"/>
                <w:lang w:eastAsia="ja-JP"/>
              </w:rPr>
              <w:t>D2.1.2. Creșterea capacității administrative prin simplificarea procedurilor privind oferirea serviciilor publice pentru mediul de afaceri</w:t>
            </w:r>
          </w:p>
        </w:tc>
      </w:tr>
      <w:tr w:rsidR="00262046" w:rsidRPr="00912996" w14:paraId="3D3D3DF1" w14:textId="77777777" w:rsidTr="00D719F3">
        <w:trPr>
          <w:trHeight w:val="2226"/>
        </w:trPr>
        <w:tc>
          <w:tcPr>
            <w:tcW w:w="219" w:type="pct"/>
            <w:shd w:val="clear" w:color="auto" w:fill="F2F2F2"/>
            <w:noWrap/>
            <w:hideMark/>
          </w:tcPr>
          <w:p w14:paraId="72AE2FD9" w14:textId="77777777" w:rsidR="00262046" w:rsidRPr="00912996" w:rsidRDefault="00262046" w:rsidP="00396D75">
            <w:pPr>
              <w:rPr>
                <w:rFonts w:ascii="Calibri" w:hAnsi="Calibri"/>
                <w:bCs/>
                <w:lang w:eastAsia="ja-JP"/>
              </w:rPr>
            </w:pPr>
            <w:r w:rsidRPr="00912996">
              <w:rPr>
                <w:rFonts w:ascii="Calibri" w:hAnsi="Calibri"/>
                <w:bCs/>
                <w:lang w:eastAsia="ja-JP"/>
              </w:rPr>
              <w:t>1</w:t>
            </w:r>
          </w:p>
        </w:tc>
        <w:tc>
          <w:tcPr>
            <w:tcW w:w="949" w:type="pct"/>
            <w:shd w:val="clear" w:color="auto" w:fill="F2F2F2"/>
            <w:hideMark/>
          </w:tcPr>
          <w:p w14:paraId="1F6E823C" w14:textId="77777777" w:rsidR="00262046" w:rsidRPr="00912996" w:rsidRDefault="00262046" w:rsidP="00396D75">
            <w:pPr>
              <w:rPr>
                <w:rFonts w:ascii="Calibri" w:hAnsi="Calibri"/>
                <w:bCs/>
                <w:lang w:eastAsia="ja-JP"/>
              </w:rPr>
            </w:pPr>
            <w:r w:rsidRPr="00912996">
              <w:rPr>
                <w:rFonts w:ascii="Calibri" w:hAnsi="Calibri"/>
                <w:bCs/>
                <w:lang w:eastAsia="ja-JP"/>
              </w:rPr>
              <w:t>Organizarea de evenimente destinate tinerilor antreprenori (prezentarea surselor de finanțare nerambursabile existente, încurajare parteneriate, prezentare oportunități pentru mediul de afaceri etc.)</w:t>
            </w:r>
          </w:p>
        </w:tc>
        <w:tc>
          <w:tcPr>
            <w:tcW w:w="505" w:type="pct"/>
            <w:shd w:val="clear" w:color="auto" w:fill="F2F2F2"/>
            <w:hideMark/>
          </w:tcPr>
          <w:p w14:paraId="6D86E893"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r>
              <w:rPr>
                <w:rFonts w:ascii="Calibri" w:hAnsi="Calibri"/>
                <w:bCs/>
                <w:lang w:eastAsia="ja-JP"/>
              </w:rPr>
              <w:t xml:space="preserve">, </w:t>
            </w:r>
            <w:r w:rsidRPr="00912996">
              <w:rPr>
                <w:rFonts w:ascii="Calibri" w:hAnsi="Calibri"/>
                <w:bCs/>
                <w:lang w:eastAsia="ja-JP"/>
              </w:rPr>
              <w:t>ONG</w:t>
            </w:r>
          </w:p>
        </w:tc>
        <w:tc>
          <w:tcPr>
            <w:tcW w:w="569" w:type="pct"/>
            <w:shd w:val="clear" w:color="auto" w:fill="F2F2F2"/>
            <w:noWrap/>
            <w:hideMark/>
          </w:tcPr>
          <w:p w14:paraId="6B9532C1"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55C910EB" w14:textId="77777777" w:rsidR="00262046" w:rsidRPr="00912996" w:rsidRDefault="00262046" w:rsidP="00396D75">
            <w:pPr>
              <w:rPr>
                <w:rFonts w:ascii="Calibri" w:hAnsi="Calibri"/>
                <w:bCs/>
                <w:lang w:eastAsia="ja-JP"/>
              </w:rPr>
            </w:pPr>
            <w:r w:rsidRPr="00912996">
              <w:rPr>
                <w:rFonts w:ascii="Calibri" w:hAnsi="Calibri"/>
                <w:bCs/>
                <w:lang w:eastAsia="ja-JP"/>
              </w:rPr>
              <w:t>73,500</w:t>
            </w:r>
          </w:p>
        </w:tc>
        <w:tc>
          <w:tcPr>
            <w:tcW w:w="379" w:type="pct"/>
            <w:shd w:val="clear" w:color="auto" w:fill="F2F2F2"/>
            <w:noWrap/>
            <w:hideMark/>
          </w:tcPr>
          <w:p w14:paraId="1D9AFC7D" w14:textId="77777777" w:rsidR="00262046" w:rsidRPr="00912996" w:rsidRDefault="00262046" w:rsidP="00396D75">
            <w:pPr>
              <w:rPr>
                <w:rFonts w:ascii="Calibri" w:hAnsi="Calibri"/>
                <w:bCs/>
                <w:lang w:eastAsia="ja-JP"/>
              </w:rPr>
            </w:pPr>
            <w:r w:rsidRPr="00912996">
              <w:rPr>
                <w:rFonts w:ascii="Calibri" w:hAnsi="Calibri"/>
                <w:bCs/>
                <w:lang w:eastAsia="ja-JP"/>
              </w:rPr>
              <w:t>15,000</w:t>
            </w:r>
          </w:p>
        </w:tc>
        <w:tc>
          <w:tcPr>
            <w:tcW w:w="348" w:type="pct"/>
            <w:shd w:val="clear" w:color="auto" w:fill="F2F2F2"/>
            <w:noWrap/>
            <w:hideMark/>
          </w:tcPr>
          <w:p w14:paraId="5DD4F737" w14:textId="77777777" w:rsidR="00262046" w:rsidRPr="00912996" w:rsidRDefault="00262046" w:rsidP="00396D75">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601" w:type="pct"/>
            <w:shd w:val="clear" w:color="auto" w:fill="F2F2F2"/>
            <w:hideMark/>
          </w:tcPr>
          <w:p w14:paraId="4E1CCE79" w14:textId="77777777" w:rsidR="00262046" w:rsidRPr="00912996" w:rsidRDefault="00262046" w:rsidP="00396D75">
            <w:pPr>
              <w:rPr>
                <w:rFonts w:ascii="Calibri" w:hAnsi="Calibri"/>
                <w:bCs/>
                <w:lang w:eastAsia="ja-JP"/>
              </w:rPr>
            </w:pPr>
            <w:r w:rsidRPr="00912996">
              <w:rPr>
                <w:rFonts w:ascii="Calibri" w:hAnsi="Calibri"/>
                <w:bCs/>
                <w:lang w:eastAsia="ja-JP"/>
              </w:rPr>
              <w:t>POR BI P1, POEO 2021-2027 P4, Bugetul local, Buget parteneri, Alte surse de finanțare</w:t>
            </w:r>
          </w:p>
        </w:tc>
        <w:tc>
          <w:tcPr>
            <w:tcW w:w="505" w:type="pct"/>
            <w:shd w:val="clear" w:color="auto" w:fill="F2F2F2"/>
            <w:noWrap/>
            <w:hideMark/>
          </w:tcPr>
          <w:p w14:paraId="4229DB76"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5AD52019"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7B13D9B7" w14:textId="77777777" w:rsidTr="00D719F3">
        <w:trPr>
          <w:trHeight w:val="1776"/>
        </w:trPr>
        <w:tc>
          <w:tcPr>
            <w:tcW w:w="219" w:type="pct"/>
            <w:shd w:val="clear" w:color="auto" w:fill="F2F2F2"/>
            <w:noWrap/>
            <w:hideMark/>
          </w:tcPr>
          <w:p w14:paraId="717E1EBD" w14:textId="77777777" w:rsidR="00262046" w:rsidRPr="00912996" w:rsidRDefault="00262046" w:rsidP="00396D75">
            <w:pPr>
              <w:rPr>
                <w:rFonts w:ascii="Calibri" w:hAnsi="Calibri"/>
                <w:bCs/>
                <w:lang w:eastAsia="ja-JP"/>
              </w:rPr>
            </w:pPr>
            <w:r w:rsidRPr="00912996">
              <w:rPr>
                <w:rFonts w:ascii="Calibri" w:hAnsi="Calibri"/>
                <w:bCs/>
                <w:lang w:eastAsia="ja-JP"/>
              </w:rPr>
              <w:t>2</w:t>
            </w:r>
          </w:p>
        </w:tc>
        <w:tc>
          <w:tcPr>
            <w:tcW w:w="949" w:type="pct"/>
            <w:shd w:val="clear" w:color="auto" w:fill="F2F2F2"/>
            <w:hideMark/>
          </w:tcPr>
          <w:p w14:paraId="0E6E30D9" w14:textId="77777777" w:rsidR="00262046" w:rsidRPr="00912996" w:rsidRDefault="00262046" w:rsidP="00396D75">
            <w:pPr>
              <w:rPr>
                <w:rFonts w:ascii="Calibri" w:hAnsi="Calibri"/>
                <w:bCs/>
                <w:lang w:eastAsia="ja-JP"/>
              </w:rPr>
            </w:pPr>
            <w:r w:rsidRPr="00912996">
              <w:rPr>
                <w:rFonts w:ascii="Calibri" w:hAnsi="Calibri"/>
                <w:bCs/>
                <w:lang w:eastAsia="ja-JP"/>
              </w:rPr>
              <w:t>Dezvoltarea unui program care să ofere facilități tinerilor antreprenori (reduceri chirii, consultanță etc.)</w:t>
            </w:r>
          </w:p>
        </w:tc>
        <w:tc>
          <w:tcPr>
            <w:tcW w:w="505" w:type="pct"/>
            <w:shd w:val="clear" w:color="auto" w:fill="F2F2F2"/>
            <w:hideMark/>
          </w:tcPr>
          <w:p w14:paraId="3454B5CC"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30CF1918"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14027A39" w14:textId="77777777" w:rsidR="00262046" w:rsidRPr="00912996" w:rsidRDefault="00262046" w:rsidP="00396D75">
            <w:pPr>
              <w:rPr>
                <w:rFonts w:ascii="Calibri" w:hAnsi="Calibri"/>
                <w:bCs/>
                <w:lang w:eastAsia="ja-JP"/>
              </w:rPr>
            </w:pPr>
            <w:r w:rsidRPr="00912996">
              <w:rPr>
                <w:rFonts w:ascii="Calibri" w:hAnsi="Calibri"/>
                <w:bCs/>
                <w:lang w:eastAsia="ja-JP"/>
              </w:rPr>
              <w:t>443,000</w:t>
            </w:r>
          </w:p>
        </w:tc>
        <w:tc>
          <w:tcPr>
            <w:tcW w:w="379" w:type="pct"/>
            <w:shd w:val="clear" w:color="auto" w:fill="F2F2F2"/>
            <w:noWrap/>
            <w:hideMark/>
          </w:tcPr>
          <w:p w14:paraId="3E17A1A4" w14:textId="77777777" w:rsidR="00262046" w:rsidRPr="00912996" w:rsidRDefault="00262046" w:rsidP="00396D75">
            <w:pPr>
              <w:rPr>
                <w:rFonts w:ascii="Calibri" w:hAnsi="Calibri"/>
                <w:bCs/>
                <w:lang w:eastAsia="ja-JP"/>
              </w:rPr>
            </w:pPr>
            <w:r w:rsidRPr="00912996">
              <w:rPr>
                <w:rFonts w:ascii="Calibri" w:hAnsi="Calibri"/>
                <w:bCs/>
                <w:lang w:eastAsia="ja-JP"/>
              </w:rPr>
              <w:t>90,408</w:t>
            </w:r>
          </w:p>
        </w:tc>
        <w:tc>
          <w:tcPr>
            <w:tcW w:w="348" w:type="pct"/>
            <w:shd w:val="clear" w:color="auto" w:fill="F2F2F2"/>
            <w:noWrap/>
            <w:hideMark/>
          </w:tcPr>
          <w:p w14:paraId="2BA0EE9D" w14:textId="77777777" w:rsidR="00262046" w:rsidRPr="00912996" w:rsidRDefault="00262046" w:rsidP="00396D75">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601" w:type="pct"/>
            <w:shd w:val="clear" w:color="auto" w:fill="F2F2F2"/>
            <w:hideMark/>
          </w:tcPr>
          <w:p w14:paraId="57EED54D" w14:textId="77777777" w:rsidR="00262046" w:rsidRPr="00912996" w:rsidRDefault="00262046" w:rsidP="00396D75">
            <w:pPr>
              <w:rPr>
                <w:rFonts w:ascii="Calibri" w:hAnsi="Calibri"/>
                <w:bCs/>
                <w:lang w:eastAsia="ja-JP"/>
              </w:rPr>
            </w:pPr>
            <w:r w:rsidRPr="00912996">
              <w:rPr>
                <w:rFonts w:ascii="Calibri" w:hAnsi="Calibri"/>
                <w:bCs/>
                <w:lang w:eastAsia="ja-JP"/>
              </w:rPr>
              <w:t>POR BI P1, POEO 2021-2027 P4, Bugetul local, Buget parteneri, Alte surse de finanțare</w:t>
            </w:r>
          </w:p>
        </w:tc>
        <w:tc>
          <w:tcPr>
            <w:tcW w:w="505" w:type="pct"/>
            <w:shd w:val="clear" w:color="auto" w:fill="F2F2F2"/>
            <w:noWrap/>
            <w:hideMark/>
          </w:tcPr>
          <w:p w14:paraId="0079C3C4"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5A57F30B"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73648689" w14:textId="77777777" w:rsidTr="00D719F3">
        <w:trPr>
          <w:trHeight w:val="1452"/>
        </w:trPr>
        <w:tc>
          <w:tcPr>
            <w:tcW w:w="219" w:type="pct"/>
            <w:shd w:val="clear" w:color="auto" w:fill="F2F2F2"/>
            <w:noWrap/>
            <w:hideMark/>
          </w:tcPr>
          <w:p w14:paraId="43943C4A" w14:textId="77777777" w:rsidR="00262046" w:rsidRPr="00912996" w:rsidRDefault="00262046" w:rsidP="00396D75">
            <w:pPr>
              <w:rPr>
                <w:rFonts w:ascii="Calibri" w:hAnsi="Calibri"/>
                <w:bCs/>
                <w:lang w:eastAsia="ja-JP"/>
              </w:rPr>
            </w:pPr>
            <w:r w:rsidRPr="00912996">
              <w:rPr>
                <w:rFonts w:ascii="Calibri" w:hAnsi="Calibri"/>
                <w:bCs/>
                <w:lang w:eastAsia="ja-JP"/>
              </w:rPr>
              <w:t>3</w:t>
            </w:r>
          </w:p>
        </w:tc>
        <w:tc>
          <w:tcPr>
            <w:tcW w:w="949" w:type="pct"/>
            <w:shd w:val="clear" w:color="auto" w:fill="F2F2F2"/>
            <w:hideMark/>
          </w:tcPr>
          <w:p w14:paraId="28D9B1A2" w14:textId="77777777" w:rsidR="00262046" w:rsidRPr="00912996" w:rsidRDefault="00262046" w:rsidP="00396D75">
            <w:pPr>
              <w:rPr>
                <w:rFonts w:ascii="Calibri" w:hAnsi="Calibri"/>
                <w:bCs/>
                <w:lang w:eastAsia="ja-JP"/>
              </w:rPr>
            </w:pPr>
            <w:r w:rsidRPr="00912996">
              <w:rPr>
                <w:rFonts w:ascii="Calibri" w:hAnsi="Calibri"/>
                <w:bCs/>
                <w:lang w:eastAsia="ja-JP"/>
              </w:rPr>
              <w:t>Dezvoltarea de programe de susținerea colaborării cu mediul de afaceri internațional în colaborare cu CCIB, PMB și Patronatul Român</w:t>
            </w:r>
          </w:p>
        </w:tc>
        <w:tc>
          <w:tcPr>
            <w:tcW w:w="505" w:type="pct"/>
            <w:shd w:val="clear" w:color="auto" w:fill="F2F2F2"/>
            <w:hideMark/>
          </w:tcPr>
          <w:p w14:paraId="42806A05"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CCIB</w:t>
            </w:r>
            <w:r>
              <w:rPr>
                <w:rFonts w:ascii="Calibri" w:hAnsi="Calibri"/>
                <w:bCs/>
                <w:lang w:eastAsia="ja-JP"/>
              </w:rPr>
              <w:t xml:space="preserve">, </w:t>
            </w:r>
            <w:r w:rsidRPr="00912996">
              <w:rPr>
                <w:rFonts w:ascii="Calibri" w:hAnsi="Calibri"/>
                <w:bCs/>
                <w:lang w:eastAsia="ja-JP"/>
              </w:rPr>
              <w:t>Patronatul Român</w:t>
            </w:r>
          </w:p>
        </w:tc>
        <w:tc>
          <w:tcPr>
            <w:tcW w:w="569" w:type="pct"/>
            <w:shd w:val="clear" w:color="auto" w:fill="F2F2F2"/>
            <w:noWrap/>
            <w:hideMark/>
          </w:tcPr>
          <w:p w14:paraId="5370174F"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0E3B1535" w14:textId="77777777" w:rsidR="00262046" w:rsidRPr="00912996" w:rsidRDefault="00262046" w:rsidP="00396D75">
            <w:pPr>
              <w:rPr>
                <w:rFonts w:ascii="Calibri" w:hAnsi="Calibri"/>
                <w:bCs/>
                <w:lang w:eastAsia="ja-JP"/>
              </w:rPr>
            </w:pPr>
            <w:r w:rsidRPr="00912996">
              <w:rPr>
                <w:rFonts w:ascii="Calibri" w:hAnsi="Calibri"/>
                <w:bCs/>
                <w:lang w:eastAsia="ja-JP"/>
              </w:rPr>
              <w:t>221,500</w:t>
            </w:r>
          </w:p>
        </w:tc>
        <w:tc>
          <w:tcPr>
            <w:tcW w:w="379" w:type="pct"/>
            <w:shd w:val="clear" w:color="auto" w:fill="F2F2F2"/>
            <w:noWrap/>
            <w:hideMark/>
          </w:tcPr>
          <w:p w14:paraId="0BA94E20" w14:textId="77777777" w:rsidR="00262046" w:rsidRPr="00912996" w:rsidRDefault="00262046" w:rsidP="00396D75">
            <w:pPr>
              <w:rPr>
                <w:rFonts w:ascii="Calibri" w:hAnsi="Calibri"/>
                <w:bCs/>
                <w:lang w:eastAsia="ja-JP"/>
              </w:rPr>
            </w:pPr>
            <w:r w:rsidRPr="00912996">
              <w:rPr>
                <w:rFonts w:ascii="Calibri" w:hAnsi="Calibri"/>
                <w:bCs/>
                <w:lang w:eastAsia="ja-JP"/>
              </w:rPr>
              <w:t>45,204</w:t>
            </w:r>
          </w:p>
        </w:tc>
        <w:tc>
          <w:tcPr>
            <w:tcW w:w="348" w:type="pct"/>
            <w:shd w:val="clear" w:color="auto" w:fill="F2F2F2"/>
            <w:noWrap/>
            <w:hideMark/>
          </w:tcPr>
          <w:p w14:paraId="7926DA1E" w14:textId="77777777" w:rsidR="00262046" w:rsidRPr="00912996" w:rsidRDefault="00262046" w:rsidP="00396D75">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601" w:type="pct"/>
            <w:shd w:val="clear" w:color="auto" w:fill="F2F2F2"/>
            <w:hideMark/>
          </w:tcPr>
          <w:p w14:paraId="628AAF73" w14:textId="77777777" w:rsidR="00262046" w:rsidRPr="00912996" w:rsidRDefault="00262046" w:rsidP="00396D75">
            <w:pPr>
              <w:rPr>
                <w:rFonts w:ascii="Calibri" w:hAnsi="Calibri"/>
                <w:bCs/>
                <w:lang w:eastAsia="ja-JP"/>
              </w:rPr>
            </w:pPr>
            <w:r w:rsidRPr="00912996">
              <w:rPr>
                <w:rFonts w:ascii="Calibri" w:hAnsi="Calibri"/>
                <w:bCs/>
                <w:lang w:eastAsia="ja-JP"/>
              </w:rPr>
              <w:t>POR BI P1, PNRR C9, Bugetul local, Buget parteneri, Alte surse de finanțare</w:t>
            </w:r>
          </w:p>
        </w:tc>
        <w:tc>
          <w:tcPr>
            <w:tcW w:w="505" w:type="pct"/>
            <w:shd w:val="clear" w:color="auto" w:fill="F2F2F2"/>
            <w:noWrap/>
            <w:hideMark/>
          </w:tcPr>
          <w:p w14:paraId="7D79C709"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43D59290"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791471DA" w14:textId="77777777" w:rsidTr="00D719F3">
        <w:trPr>
          <w:trHeight w:val="2124"/>
        </w:trPr>
        <w:tc>
          <w:tcPr>
            <w:tcW w:w="219" w:type="pct"/>
            <w:shd w:val="clear" w:color="auto" w:fill="F2F2F2"/>
            <w:noWrap/>
            <w:hideMark/>
          </w:tcPr>
          <w:p w14:paraId="728A2902" w14:textId="77777777" w:rsidR="00262046" w:rsidRPr="00912996" w:rsidRDefault="00262046" w:rsidP="00396D75">
            <w:pPr>
              <w:rPr>
                <w:rFonts w:ascii="Calibri" w:hAnsi="Calibri"/>
                <w:bCs/>
                <w:lang w:eastAsia="ja-JP"/>
              </w:rPr>
            </w:pPr>
            <w:r w:rsidRPr="00912996">
              <w:rPr>
                <w:rFonts w:ascii="Calibri" w:hAnsi="Calibri"/>
                <w:bCs/>
                <w:lang w:eastAsia="ja-JP"/>
              </w:rPr>
              <w:t>4</w:t>
            </w:r>
          </w:p>
        </w:tc>
        <w:tc>
          <w:tcPr>
            <w:tcW w:w="949" w:type="pct"/>
            <w:shd w:val="clear" w:color="auto" w:fill="F2F2F2"/>
            <w:hideMark/>
          </w:tcPr>
          <w:p w14:paraId="395419A7" w14:textId="77777777" w:rsidR="00262046" w:rsidRPr="00912996" w:rsidRDefault="00262046" w:rsidP="00396D75">
            <w:pPr>
              <w:rPr>
                <w:rFonts w:ascii="Calibri" w:hAnsi="Calibri"/>
                <w:bCs/>
                <w:lang w:eastAsia="ja-JP"/>
              </w:rPr>
            </w:pPr>
            <w:r w:rsidRPr="00912996">
              <w:rPr>
                <w:rFonts w:ascii="Calibri" w:hAnsi="Calibri"/>
                <w:bCs/>
                <w:lang w:eastAsia="ja-JP"/>
              </w:rPr>
              <w:t>Dezvoltarea activității grupului de lucru în domeniul economic: organizarea de întâlniri cu reprezentanți ai mediului de afaceri în care sunt discutate propuneri de parteneriate, de colaborări, probleme întâmpinate și posibilități de rezolvare, precum și preîntâmpinare, dezvoltarea competențelor membrilor grupului de lucru</w:t>
            </w:r>
          </w:p>
        </w:tc>
        <w:tc>
          <w:tcPr>
            <w:tcW w:w="505" w:type="pct"/>
            <w:shd w:val="clear" w:color="auto" w:fill="F2F2F2"/>
            <w:hideMark/>
          </w:tcPr>
          <w:p w14:paraId="6A68F31B"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57435209"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4CAF0D71" w14:textId="77777777" w:rsidR="00262046" w:rsidRPr="00912996" w:rsidRDefault="00262046" w:rsidP="00396D75">
            <w:pPr>
              <w:rPr>
                <w:rFonts w:ascii="Calibri" w:hAnsi="Calibri"/>
                <w:bCs/>
                <w:lang w:eastAsia="ja-JP"/>
              </w:rPr>
            </w:pPr>
            <w:r w:rsidRPr="00912996">
              <w:rPr>
                <w:rFonts w:ascii="Calibri" w:hAnsi="Calibri"/>
                <w:bCs/>
                <w:lang w:eastAsia="ja-JP"/>
              </w:rPr>
              <w:t>49,000</w:t>
            </w:r>
          </w:p>
        </w:tc>
        <w:tc>
          <w:tcPr>
            <w:tcW w:w="379" w:type="pct"/>
            <w:shd w:val="clear" w:color="auto" w:fill="F2F2F2"/>
            <w:noWrap/>
            <w:hideMark/>
          </w:tcPr>
          <w:p w14:paraId="72A390A6" w14:textId="77777777" w:rsidR="00262046" w:rsidRPr="00912996" w:rsidRDefault="00262046" w:rsidP="00396D75">
            <w:pPr>
              <w:rPr>
                <w:rFonts w:ascii="Calibri" w:hAnsi="Calibri"/>
                <w:bCs/>
                <w:lang w:eastAsia="ja-JP"/>
              </w:rPr>
            </w:pPr>
            <w:r w:rsidRPr="00912996">
              <w:rPr>
                <w:rFonts w:ascii="Calibri" w:hAnsi="Calibri"/>
                <w:bCs/>
                <w:lang w:eastAsia="ja-JP"/>
              </w:rPr>
              <w:t>10,000</w:t>
            </w:r>
          </w:p>
        </w:tc>
        <w:tc>
          <w:tcPr>
            <w:tcW w:w="348" w:type="pct"/>
            <w:shd w:val="clear" w:color="auto" w:fill="F2F2F2"/>
            <w:noWrap/>
            <w:hideMark/>
          </w:tcPr>
          <w:p w14:paraId="07F12007" w14:textId="77777777" w:rsidR="00262046" w:rsidRPr="00912996" w:rsidRDefault="00262046" w:rsidP="00396D75">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601" w:type="pct"/>
            <w:shd w:val="clear" w:color="auto" w:fill="F2F2F2"/>
            <w:hideMark/>
          </w:tcPr>
          <w:p w14:paraId="4866596D" w14:textId="77777777" w:rsidR="00262046" w:rsidRPr="00912996" w:rsidRDefault="00262046" w:rsidP="00396D75">
            <w:pPr>
              <w:rPr>
                <w:rFonts w:ascii="Calibri" w:hAnsi="Calibri"/>
                <w:bCs/>
                <w:lang w:eastAsia="ja-JP"/>
              </w:rPr>
            </w:pPr>
            <w:r w:rsidRPr="00912996">
              <w:rPr>
                <w:rFonts w:ascii="Calibri" w:hAnsi="Calibri"/>
                <w:bCs/>
                <w:lang w:eastAsia="ja-JP"/>
              </w:rPr>
              <w:t>POR BI P1, PNRR C9, Bugetul local, Buget parteneri, Alte surse de finanțare</w:t>
            </w:r>
          </w:p>
        </w:tc>
        <w:tc>
          <w:tcPr>
            <w:tcW w:w="505" w:type="pct"/>
            <w:shd w:val="clear" w:color="auto" w:fill="F2F2F2"/>
            <w:noWrap/>
            <w:hideMark/>
          </w:tcPr>
          <w:p w14:paraId="19817CDF"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17A03B6D"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4F2BB643" w14:textId="77777777" w:rsidTr="00D719F3">
        <w:trPr>
          <w:trHeight w:val="2145"/>
        </w:trPr>
        <w:tc>
          <w:tcPr>
            <w:tcW w:w="219" w:type="pct"/>
            <w:shd w:val="clear" w:color="auto" w:fill="F2F2F2"/>
            <w:noWrap/>
            <w:hideMark/>
          </w:tcPr>
          <w:p w14:paraId="2060AD4F" w14:textId="77777777" w:rsidR="00262046" w:rsidRPr="00912996" w:rsidRDefault="00262046" w:rsidP="00396D75">
            <w:pPr>
              <w:rPr>
                <w:rFonts w:ascii="Calibri" w:hAnsi="Calibri"/>
                <w:bCs/>
                <w:lang w:eastAsia="ja-JP"/>
              </w:rPr>
            </w:pPr>
            <w:r w:rsidRPr="00912996">
              <w:rPr>
                <w:rFonts w:ascii="Calibri" w:hAnsi="Calibri"/>
                <w:bCs/>
                <w:lang w:eastAsia="ja-JP"/>
              </w:rPr>
              <w:t>5</w:t>
            </w:r>
          </w:p>
        </w:tc>
        <w:tc>
          <w:tcPr>
            <w:tcW w:w="949" w:type="pct"/>
            <w:shd w:val="clear" w:color="auto" w:fill="F2F2F2"/>
            <w:hideMark/>
          </w:tcPr>
          <w:p w14:paraId="37E585F1" w14:textId="77777777" w:rsidR="00262046" w:rsidRPr="00912996" w:rsidRDefault="00262046" w:rsidP="00396D75">
            <w:pPr>
              <w:rPr>
                <w:rFonts w:ascii="Calibri" w:hAnsi="Calibri"/>
                <w:bCs/>
                <w:lang w:eastAsia="ja-JP"/>
              </w:rPr>
            </w:pPr>
            <w:r w:rsidRPr="00912996">
              <w:rPr>
                <w:rFonts w:ascii="Calibri" w:hAnsi="Calibri"/>
                <w:bCs/>
                <w:lang w:eastAsia="ja-JP"/>
              </w:rPr>
              <w:t>Realizarea unui studiu care să permită identificarea alternativelor de creștere a veniturilor proprii și a gradului de colectare a acestora și în același timp să permită reducerea costurilor pentru contribuabili</w:t>
            </w:r>
          </w:p>
        </w:tc>
        <w:tc>
          <w:tcPr>
            <w:tcW w:w="505" w:type="pct"/>
            <w:shd w:val="clear" w:color="auto" w:fill="F2F2F2"/>
            <w:hideMark/>
          </w:tcPr>
          <w:p w14:paraId="7B504B02"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525A9179"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778BB1A2" w14:textId="77777777" w:rsidR="00262046" w:rsidRPr="00912996" w:rsidRDefault="00262046" w:rsidP="00396D75">
            <w:pPr>
              <w:rPr>
                <w:rFonts w:ascii="Calibri" w:hAnsi="Calibri"/>
                <w:bCs/>
                <w:lang w:eastAsia="ja-JP"/>
              </w:rPr>
            </w:pPr>
            <w:r w:rsidRPr="00912996">
              <w:rPr>
                <w:rFonts w:ascii="Calibri" w:hAnsi="Calibri"/>
                <w:bCs/>
                <w:lang w:eastAsia="ja-JP"/>
              </w:rPr>
              <w:t>147,000</w:t>
            </w:r>
          </w:p>
        </w:tc>
        <w:tc>
          <w:tcPr>
            <w:tcW w:w="379" w:type="pct"/>
            <w:shd w:val="clear" w:color="auto" w:fill="F2F2F2"/>
            <w:noWrap/>
            <w:hideMark/>
          </w:tcPr>
          <w:p w14:paraId="452A9C85" w14:textId="77777777" w:rsidR="00262046" w:rsidRPr="00912996" w:rsidRDefault="00262046" w:rsidP="00396D75">
            <w:pPr>
              <w:rPr>
                <w:rFonts w:ascii="Calibri" w:hAnsi="Calibri"/>
                <w:bCs/>
                <w:lang w:eastAsia="ja-JP"/>
              </w:rPr>
            </w:pPr>
            <w:r w:rsidRPr="00912996">
              <w:rPr>
                <w:rFonts w:ascii="Calibri" w:hAnsi="Calibri"/>
                <w:bCs/>
                <w:lang w:eastAsia="ja-JP"/>
              </w:rPr>
              <w:t>30,000</w:t>
            </w:r>
          </w:p>
        </w:tc>
        <w:tc>
          <w:tcPr>
            <w:tcW w:w="348" w:type="pct"/>
            <w:shd w:val="clear" w:color="auto" w:fill="F2F2F2"/>
            <w:noWrap/>
            <w:hideMark/>
          </w:tcPr>
          <w:p w14:paraId="0EC38026"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7D17DF82" w14:textId="77777777" w:rsidR="00262046" w:rsidRPr="00912996" w:rsidRDefault="00262046" w:rsidP="00396D75">
            <w:pPr>
              <w:rPr>
                <w:rFonts w:ascii="Calibri" w:hAnsi="Calibri"/>
                <w:bCs/>
                <w:lang w:eastAsia="ja-JP"/>
              </w:rPr>
            </w:pPr>
            <w:r w:rsidRPr="00912996">
              <w:rPr>
                <w:rFonts w:ascii="Calibri" w:hAnsi="Calibri"/>
                <w:bCs/>
                <w:lang w:eastAsia="ja-JP"/>
              </w:rPr>
              <w:t>Bugetul local, Alte surse de finanțare</w:t>
            </w:r>
          </w:p>
        </w:tc>
        <w:tc>
          <w:tcPr>
            <w:tcW w:w="505" w:type="pct"/>
            <w:shd w:val="clear" w:color="auto" w:fill="F2F2F2"/>
            <w:noWrap/>
            <w:hideMark/>
          </w:tcPr>
          <w:p w14:paraId="17E676CA"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7F67E0E5"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1E5B8B93" w14:textId="77777777" w:rsidTr="00D719F3">
        <w:trPr>
          <w:trHeight w:val="975"/>
        </w:trPr>
        <w:tc>
          <w:tcPr>
            <w:tcW w:w="219" w:type="pct"/>
            <w:shd w:val="clear" w:color="auto" w:fill="F2F2F2"/>
            <w:noWrap/>
            <w:hideMark/>
          </w:tcPr>
          <w:p w14:paraId="5AFC18F5" w14:textId="77777777" w:rsidR="00262046" w:rsidRPr="00912996" w:rsidRDefault="00262046" w:rsidP="00396D75">
            <w:pPr>
              <w:rPr>
                <w:rFonts w:ascii="Calibri" w:hAnsi="Calibri"/>
                <w:bCs/>
                <w:lang w:eastAsia="ja-JP"/>
              </w:rPr>
            </w:pPr>
            <w:r w:rsidRPr="00912996">
              <w:rPr>
                <w:rFonts w:ascii="Calibri" w:hAnsi="Calibri"/>
                <w:bCs/>
                <w:lang w:eastAsia="ja-JP"/>
              </w:rPr>
              <w:t>6</w:t>
            </w:r>
          </w:p>
        </w:tc>
        <w:tc>
          <w:tcPr>
            <w:tcW w:w="949" w:type="pct"/>
            <w:shd w:val="clear" w:color="auto" w:fill="F2F2F2"/>
            <w:hideMark/>
          </w:tcPr>
          <w:p w14:paraId="14564912" w14:textId="77777777" w:rsidR="00262046" w:rsidRPr="00912996" w:rsidRDefault="00262046" w:rsidP="00396D75">
            <w:pPr>
              <w:rPr>
                <w:rFonts w:ascii="Calibri" w:hAnsi="Calibri"/>
                <w:bCs/>
                <w:lang w:eastAsia="ja-JP"/>
              </w:rPr>
            </w:pPr>
            <w:r w:rsidRPr="00912996">
              <w:rPr>
                <w:rFonts w:ascii="Calibri" w:hAnsi="Calibri"/>
                <w:bCs/>
                <w:lang w:eastAsia="ja-JP"/>
              </w:rPr>
              <w:t>Micro finanțare și sprijin infrastructural pentru inițiative în cartiere</w:t>
            </w:r>
          </w:p>
        </w:tc>
        <w:tc>
          <w:tcPr>
            <w:tcW w:w="505" w:type="pct"/>
            <w:shd w:val="clear" w:color="auto" w:fill="F2F2F2"/>
            <w:hideMark/>
          </w:tcPr>
          <w:p w14:paraId="4D3DF7C1"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5D567423"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58B2586D" w14:textId="77777777" w:rsidR="00262046" w:rsidRPr="00912996" w:rsidRDefault="00262046" w:rsidP="00396D75">
            <w:pPr>
              <w:rPr>
                <w:rFonts w:ascii="Calibri" w:hAnsi="Calibri"/>
                <w:bCs/>
                <w:lang w:eastAsia="ja-JP"/>
              </w:rPr>
            </w:pPr>
            <w:r w:rsidRPr="00912996">
              <w:rPr>
                <w:rFonts w:ascii="Calibri" w:hAnsi="Calibri"/>
                <w:bCs/>
                <w:lang w:eastAsia="ja-JP"/>
              </w:rPr>
              <w:t>245,000</w:t>
            </w:r>
          </w:p>
        </w:tc>
        <w:tc>
          <w:tcPr>
            <w:tcW w:w="379" w:type="pct"/>
            <w:shd w:val="clear" w:color="auto" w:fill="F2F2F2"/>
            <w:noWrap/>
            <w:hideMark/>
          </w:tcPr>
          <w:p w14:paraId="4CF73526" w14:textId="77777777" w:rsidR="00262046" w:rsidRPr="00912996" w:rsidRDefault="00262046" w:rsidP="00396D75">
            <w:pPr>
              <w:rPr>
                <w:rFonts w:ascii="Calibri" w:hAnsi="Calibri"/>
                <w:bCs/>
                <w:lang w:eastAsia="ja-JP"/>
              </w:rPr>
            </w:pPr>
            <w:r w:rsidRPr="00912996">
              <w:rPr>
                <w:rFonts w:ascii="Calibri" w:hAnsi="Calibri"/>
                <w:bCs/>
                <w:lang w:eastAsia="ja-JP"/>
              </w:rPr>
              <w:t>50,000</w:t>
            </w:r>
          </w:p>
        </w:tc>
        <w:tc>
          <w:tcPr>
            <w:tcW w:w="348" w:type="pct"/>
            <w:shd w:val="clear" w:color="auto" w:fill="F2F2F2"/>
            <w:noWrap/>
            <w:hideMark/>
          </w:tcPr>
          <w:p w14:paraId="42BECDB1"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2CE5E5CE" w14:textId="77777777" w:rsidR="00262046" w:rsidRPr="00912996" w:rsidRDefault="00262046" w:rsidP="00396D75">
            <w:pPr>
              <w:rPr>
                <w:rFonts w:ascii="Calibri" w:hAnsi="Calibri"/>
                <w:bCs/>
                <w:lang w:eastAsia="ja-JP"/>
              </w:rPr>
            </w:pPr>
            <w:r w:rsidRPr="00912996">
              <w:rPr>
                <w:rFonts w:ascii="Calibri" w:hAnsi="Calibri"/>
                <w:bCs/>
                <w:lang w:eastAsia="ja-JP"/>
              </w:rPr>
              <w:t>Bugetul local, Alte surse de finanțare</w:t>
            </w:r>
          </w:p>
        </w:tc>
        <w:tc>
          <w:tcPr>
            <w:tcW w:w="505" w:type="pct"/>
            <w:shd w:val="clear" w:color="auto" w:fill="F2F2F2"/>
            <w:noWrap/>
            <w:hideMark/>
          </w:tcPr>
          <w:p w14:paraId="0AADD5E6"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49F385A9"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29D4DACB" w14:textId="77777777" w:rsidTr="00D719F3">
        <w:trPr>
          <w:trHeight w:val="1254"/>
        </w:trPr>
        <w:tc>
          <w:tcPr>
            <w:tcW w:w="219" w:type="pct"/>
            <w:shd w:val="clear" w:color="auto" w:fill="F2F2F2"/>
            <w:noWrap/>
            <w:hideMark/>
          </w:tcPr>
          <w:p w14:paraId="39063E73" w14:textId="77777777" w:rsidR="00262046" w:rsidRPr="00912996" w:rsidRDefault="00262046" w:rsidP="00396D75">
            <w:pPr>
              <w:rPr>
                <w:rFonts w:ascii="Calibri" w:hAnsi="Calibri"/>
                <w:bCs/>
                <w:lang w:eastAsia="ja-JP"/>
              </w:rPr>
            </w:pPr>
            <w:r w:rsidRPr="00912996">
              <w:rPr>
                <w:rFonts w:ascii="Calibri" w:hAnsi="Calibri"/>
                <w:bCs/>
                <w:lang w:eastAsia="ja-JP"/>
              </w:rPr>
              <w:t>7</w:t>
            </w:r>
          </w:p>
        </w:tc>
        <w:tc>
          <w:tcPr>
            <w:tcW w:w="949" w:type="pct"/>
            <w:shd w:val="clear" w:color="auto" w:fill="F2F2F2"/>
            <w:hideMark/>
          </w:tcPr>
          <w:p w14:paraId="3F969686" w14:textId="77777777" w:rsidR="00262046" w:rsidRPr="00912996" w:rsidRDefault="00262046" w:rsidP="00396D75">
            <w:pPr>
              <w:rPr>
                <w:rFonts w:ascii="Calibri" w:hAnsi="Calibri"/>
                <w:bCs/>
                <w:lang w:eastAsia="ja-JP"/>
              </w:rPr>
            </w:pPr>
            <w:r w:rsidRPr="00912996">
              <w:rPr>
                <w:rFonts w:ascii="Calibri" w:hAnsi="Calibri"/>
                <w:bCs/>
                <w:lang w:eastAsia="ja-JP"/>
              </w:rPr>
              <w:t>Acordarea de asistenta online si la birou pentru antreprenorii care inițiază afaceri</w:t>
            </w:r>
          </w:p>
        </w:tc>
        <w:tc>
          <w:tcPr>
            <w:tcW w:w="505" w:type="pct"/>
            <w:shd w:val="clear" w:color="auto" w:fill="F2F2F2"/>
            <w:hideMark/>
          </w:tcPr>
          <w:p w14:paraId="0F1956DE"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5A26415D"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08A667E7" w14:textId="77777777" w:rsidR="00262046" w:rsidRPr="00912996" w:rsidRDefault="00262046" w:rsidP="00396D75">
            <w:pPr>
              <w:rPr>
                <w:rFonts w:ascii="Calibri" w:hAnsi="Calibri"/>
                <w:bCs/>
                <w:lang w:eastAsia="ja-JP"/>
              </w:rPr>
            </w:pPr>
            <w:r w:rsidRPr="00912996">
              <w:rPr>
                <w:rFonts w:ascii="Calibri" w:hAnsi="Calibri"/>
                <w:bCs/>
                <w:lang w:eastAsia="ja-JP"/>
              </w:rPr>
              <w:t>980,000</w:t>
            </w:r>
          </w:p>
        </w:tc>
        <w:tc>
          <w:tcPr>
            <w:tcW w:w="379" w:type="pct"/>
            <w:shd w:val="clear" w:color="auto" w:fill="F2F2F2"/>
            <w:noWrap/>
            <w:hideMark/>
          </w:tcPr>
          <w:p w14:paraId="72ECB798" w14:textId="77777777" w:rsidR="00262046" w:rsidRPr="00912996" w:rsidRDefault="00262046" w:rsidP="00396D75">
            <w:pPr>
              <w:rPr>
                <w:rFonts w:ascii="Calibri" w:hAnsi="Calibri"/>
                <w:bCs/>
                <w:lang w:eastAsia="ja-JP"/>
              </w:rPr>
            </w:pPr>
            <w:r w:rsidRPr="00912996">
              <w:rPr>
                <w:rFonts w:ascii="Calibri" w:hAnsi="Calibri"/>
                <w:bCs/>
                <w:lang w:eastAsia="ja-JP"/>
              </w:rPr>
              <w:t>200,000</w:t>
            </w:r>
          </w:p>
        </w:tc>
        <w:tc>
          <w:tcPr>
            <w:tcW w:w="348" w:type="pct"/>
            <w:shd w:val="clear" w:color="auto" w:fill="F2F2F2"/>
            <w:noWrap/>
            <w:hideMark/>
          </w:tcPr>
          <w:p w14:paraId="7E4C48A3"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4F8B9052" w14:textId="77777777" w:rsidR="00262046" w:rsidRPr="00912996" w:rsidRDefault="00262046" w:rsidP="00396D75">
            <w:pPr>
              <w:rPr>
                <w:rFonts w:ascii="Calibri" w:hAnsi="Calibri"/>
                <w:bCs/>
                <w:lang w:eastAsia="ja-JP"/>
              </w:rPr>
            </w:pPr>
            <w:r w:rsidRPr="00912996">
              <w:rPr>
                <w:rFonts w:ascii="Calibri" w:hAnsi="Calibri"/>
                <w:bCs/>
                <w:lang w:eastAsia="ja-JP"/>
              </w:rPr>
              <w:t>POR BI P2, PNRR C7, Bugetul local, Alte surse de finanțare</w:t>
            </w:r>
          </w:p>
        </w:tc>
        <w:tc>
          <w:tcPr>
            <w:tcW w:w="505" w:type="pct"/>
            <w:shd w:val="clear" w:color="auto" w:fill="F2F2F2"/>
            <w:noWrap/>
            <w:hideMark/>
          </w:tcPr>
          <w:p w14:paraId="382C846A"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1EE09C32"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3B9D0D5E" w14:textId="77777777" w:rsidTr="00D719F3">
        <w:trPr>
          <w:trHeight w:val="1245"/>
        </w:trPr>
        <w:tc>
          <w:tcPr>
            <w:tcW w:w="219" w:type="pct"/>
            <w:shd w:val="clear" w:color="auto" w:fill="F2F2F2"/>
            <w:noWrap/>
            <w:hideMark/>
          </w:tcPr>
          <w:p w14:paraId="65DA732A" w14:textId="77777777" w:rsidR="00262046" w:rsidRPr="00912996" w:rsidRDefault="00262046" w:rsidP="00396D75">
            <w:pPr>
              <w:rPr>
                <w:rFonts w:ascii="Calibri" w:hAnsi="Calibri"/>
                <w:bCs/>
                <w:lang w:eastAsia="ja-JP"/>
              </w:rPr>
            </w:pPr>
            <w:r w:rsidRPr="00912996">
              <w:rPr>
                <w:rFonts w:ascii="Calibri" w:hAnsi="Calibri"/>
                <w:bCs/>
                <w:lang w:eastAsia="ja-JP"/>
              </w:rPr>
              <w:t>8</w:t>
            </w:r>
          </w:p>
        </w:tc>
        <w:tc>
          <w:tcPr>
            <w:tcW w:w="949" w:type="pct"/>
            <w:shd w:val="clear" w:color="auto" w:fill="F2F2F2"/>
            <w:hideMark/>
          </w:tcPr>
          <w:p w14:paraId="0880EECC" w14:textId="77777777" w:rsidR="00262046" w:rsidRPr="00912996" w:rsidRDefault="00262046" w:rsidP="00396D75">
            <w:pPr>
              <w:rPr>
                <w:rFonts w:ascii="Calibri" w:hAnsi="Calibri"/>
                <w:bCs/>
                <w:lang w:eastAsia="ja-JP"/>
              </w:rPr>
            </w:pPr>
            <w:r w:rsidRPr="00912996">
              <w:rPr>
                <w:rFonts w:ascii="Calibri" w:hAnsi="Calibri"/>
                <w:bCs/>
                <w:lang w:eastAsia="ja-JP"/>
              </w:rPr>
              <w:t>Crearea unei pagini web destinate antreprenorialului</w:t>
            </w:r>
          </w:p>
        </w:tc>
        <w:tc>
          <w:tcPr>
            <w:tcW w:w="505" w:type="pct"/>
            <w:shd w:val="clear" w:color="auto" w:fill="F2F2F2"/>
            <w:hideMark/>
          </w:tcPr>
          <w:p w14:paraId="5555C819"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56EA4591"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747BA763" w14:textId="77777777" w:rsidR="00262046" w:rsidRPr="00912996" w:rsidRDefault="00262046" w:rsidP="00396D75">
            <w:pPr>
              <w:rPr>
                <w:rFonts w:ascii="Calibri" w:hAnsi="Calibri"/>
                <w:bCs/>
                <w:lang w:eastAsia="ja-JP"/>
              </w:rPr>
            </w:pPr>
            <w:r w:rsidRPr="00912996">
              <w:rPr>
                <w:rFonts w:ascii="Calibri" w:hAnsi="Calibri"/>
                <w:bCs/>
                <w:lang w:eastAsia="ja-JP"/>
              </w:rPr>
              <w:t>245,000</w:t>
            </w:r>
          </w:p>
        </w:tc>
        <w:tc>
          <w:tcPr>
            <w:tcW w:w="379" w:type="pct"/>
            <w:shd w:val="clear" w:color="auto" w:fill="F2F2F2"/>
            <w:noWrap/>
            <w:hideMark/>
          </w:tcPr>
          <w:p w14:paraId="46D16764" w14:textId="77777777" w:rsidR="00262046" w:rsidRPr="00912996" w:rsidRDefault="00262046" w:rsidP="00396D75">
            <w:pPr>
              <w:rPr>
                <w:rFonts w:ascii="Calibri" w:hAnsi="Calibri"/>
                <w:bCs/>
                <w:lang w:eastAsia="ja-JP"/>
              </w:rPr>
            </w:pPr>
            <w:r w:rsidRPr="00912996">
              <w:rPr>
                <w:rFonts w:ascii="Calibri" w:hAnsi="Calibri"/>
                <w:bCs/>
                <w:lang w:eastAsia="ja-JP"/>
              </w:rPr>
              <w:t>50,000</w:t>
            </w:r>
          </w:p>
        </w:tc>
        <w:tc>
          <w:tcPr>
            <w:tcW w:w="348" w:type="pct"/>
            <w:shd w:val="clear" w:color="auto" w:fill="F2F2F2"/>
            <w:noWrap/>
            <w:hideMark/>
          </w:tcPr>
          <w:p w14:paraId="6A784CDB"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24294C1F" w14:textId="77777777" w:rsidR="00262046" w:rsidRPr="00912996" w:rsidRDefault="00262046" w:rsidP="00396D75">
            <w:pPr>
              <w:rPr>
                <w:rFonts w:ascii="Calibri" w:hAnsi="Calibri"/>
                <w:bCs/>
                <w:lang w:eastAsia="ja-JP"/>
              </w:rPr>
            </w:pPr>
            <w:r w:rsidRPr="00912996">
              <w:rPr>
                <w:rFonts w:ascii="Calibri" w:hAnsi="Calibri"/>
                <w:bCs/>
                <w:lang w:eastAsia="ja-JP"/>
              </w:rPr>
              <w:t>POR BI P2, PNRR C7, Bugetul local, Alte surse de finanțare</w:t>
            </w:r>
          </w:p>
        </w:tc>
        <w:tc>
          <w:tcPr>
            <w:tcW w:w="505" w:type="pct"/>
            <w:shd w:val="clear" w:color="auto" w:fill="F2F2F2"/>
            <w:noWrap/>
            <w:hideMark/>
          </w:tcPr>
          <w:p w14:paraId="5F59FD94"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1A61F913"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1A1CFC23" w14:textId="77777777" w:rsidTr="00D719F3">
        <w:trPr>
          <w:trHeight w:val="1614"/>
        </w:trPr>
        <w:tc>
          <w:tcPr>
            <w:tcW w:w="219" w:type="pct"/>
            <w:shd w:val="clear" w:color="auto" w:fill="F2F2F2"/>
            <w:noWrap/>
            <w:hideMark/>
          </w:tcPr>
          <w:p w14:paraId="1316A339" w14:textId="77777777" w:rsidR="00262046" w:rsidRPr="00912996" w:rsidRDefault="00262046" w:rsidP="00396D75">
            <w:pPr>
              <w:rPr>
                <w:rFonts w:ascii="Calibri" w:hAnsi="Calibri"/>
                <w:bCs/>
                <w:lang w:eastAsia="ja-JP"/>
              </w:rPr>
            </w:pPr>
            <w:r w:rsidRPr="00912996">
              <w:rPr>
                <w:rFonts w:ascii="Calibri" w:hAnsi="Calibri"/>
                <w:bCs/>
                <w:lang w:eastAsia="ja-JP"/>
              </w:rPr>
              <w:t>9</w:t>
            </w:r>
          </w:p>
        </w:tc>
        <w:tc>
          <w:tcPr>
            <w:tcW w:w="949" w:type="pct"/>
            <w:shd w:val="clear" w:color="auto" w:fill="F2F2F2"/>
            <w:hideMark/>
          </w:tcPr>
          <w:p w14:paraId="66806D8A" w14:textId="77777777" w:rsidR="00262046" w:rsidRPr="00912996" w:rsidRDefault="00262046" w:rsidP="00396D75">
            <w:pPr>
              <w:rPr>
                <w:rFonts w:ascii="Calibri" w:hAnsi="Calibri"/>
                <w:bCs/>
                <w:lang w:eastAsia="ja-JP"/>
              </w:rPr>
            </w:pPr>
            <w:r w:rsidRPr="00912996">
              <w:rPr>
                <w:rFonts w:ascii="Calibri" w:hAnsi="Calibri"/>
                <w:bCs/>
                <w:lang w:eastAsia="ja-JP"/>
              </w:rPr>
              <w:t>Transformarea digitală a serviciilor PMB si interconectarea cu primăriile de sector pentru susținerea dezvoltării sectorului privat</w:t>
            </w:r>
          </w:p>
        </w:tc>
        <w:tc>
          <w:tcPr>
            <w:tcW w:w="505" w:type="pct"/>
            <w:shd w:val="clear" w:color="auto" w:fill="F2F2F2"/>
            <w:hideMark/>
          </w:tcPr>
          <w:p w14:paraId="67F72AEF" w14:textId="77777777" w:rsidR="00262046" w:rsidRPr="00912996" w:rsidRDefault="00262046" w:rsidP="00396D75">
            <w:pPr>
              <w:rPr>
                <w:rFonts w:ascii="Calibri" w:hAnsi="Calibri"/>
                <w:bCs/>
                <w:lang w:eastAsia="ja-JP"/>
              </w:rPr>
            </w:pPr>
            <w:r w:rsidRPr="00912996">
              <w:rPr>
                <w:rFonts w:ascii="Calibri" w:hAnsi="Calibri"/>
                <w:bCs/>
                <w:lang w:eastAsia="ja-JP"/>
              </w:rPr>
              <w:t>Primăria Municipiului București, PS2</w:t>
            </w:r>
          </w:p>
        </w:tc>
        <w:tc>
          <w:tcPr>
            <w:tcW w:w="569" w:type="pct"/>
            <w:shd w:val="clear" w:color="auto" w:fill="F2F2F2"/>
            <w:noWrap/>
            <w:hideMark/>
          </w:tcPr>
          <w:p w14:paraId="103710EF"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2B9148D6" w14:textId="77777777" w:rsidR="00262046" w:rsidRPr="00912996" w:rsidRDefault="00262046" w:rsidP="00396D75">
            <w:pPr>
              <w:rPr>
                <w:rFonts w:ascii="Calibri" w:hAnsi="Calibri"/>
                <w:bCs/>
                <w:lang w:eastAsia="ja-JP"/>
              </w:rPr>
            </w:pPr>
            <w:r w:rsidRPr="00912996">
              <w:rPr>
                <w:rFonts w:ascii="Calibri" w:hAnsi="Calibri"/>
                <w:bCs/>
                <w:lang w:eastAsia="ja-JP"/>
              </w:rPr>
              <w:t>19,600,000</w:t>
            </w:r>
          </w:p>
        </w:tc>
        <w:tc>
          <w:tcPr>
            <w:tcW w:w="379" w:type="pct"/>
            <w:shd w:val="clear" w:color="auto" w:fill="F2F2F2"/>
            <w:noWrap/>
            <w:hideMark/>
          </w:tcPr>
          <w:p w14:paraId="7FA4136E" w14:textId="77777777" w:rsidR="00262046" w:rsidRPr="00912996" w:rsidRDefault="00262046" w:rsidP="00396D75">
            <w:pPr>
              <w:rPr>
                <w:rFonts w:ascii="Calibri" w:hAnsi="Calibri"/>
                <w:bCs/>
                <w:lang w:eastAsia="ja-JP"/>
              </w:rPr>
            </w:pPr>
            <w:r w:rsidRPr="00912996">
              <w:rPr>
                <w:rFonts w:ascii="Calibri" w:hAnsi="Calibri"/>
                <w:bCs/>
                <w:lang w:eastAsia="ja-JP"/>
              </w:rPr>
              <w:t>4,000,000</w:t>
            </w:r>
          </w:p>
        </w:tc>
        <w:tc>
          <w:tcPr>
            <w:tcW w:w="348" w:type="pct"/>
            <w:shd w:val="clear" w:color="auto" w:fill="F2F2F2"/>
            <w:noWrap/>
            <w:hideMark/>
          </w:tcPr>
          <w:p w14:paraId="548A4D0F"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58BB1A14" w14:textId="77777777" w:rsidR="00262046" w:rsidRPr="00912996" w:rsidRDefault="00262046" w:rsidP="00396D75">
            <w:pPr>
              <w:rPr>
                <w:rFonts w:ascii="Calibri" w:hAnsi="Calibri"/>
                <w:bCs/>
                <w:lang w:eastAsia="ja-JP"/>
              </w:rPr>
            </w:pPr>
            <w:r w:rsidRPr="00912996">
              <w:rPr>
                <w:rFonts w:ascii="Calibri" w:hAnsi="Calibri"/>
                <w:bCs/>
                <w:lang w:eastAsia="ja-JP"/>
              </w:rPr>
              <w:t>PNRR C7, bugetul local, Alte surse de finanțare</w:t>
            </w:r>
          </w:p>
        </w:tc>
        <w:tc>
          <w:tcPr>
            <w:tcW w:w="505" w:type="pct"/>
            <w:shd w:val="clear" w:color="auto" w:fill="F2F2F2"/>
            <w:noWrap/>
            <w:hideMark/>
          </w:tcPr>
          <w:p w14:paraId="1CE4651B" w14:textId="77777777" w:rsidR="00262046" w:rsidRPr="00912996" w:rsidRDefault="00262046" w:rsidP="00396D75">
            <w:pPr>
              <w:rPr>
                <w:rFonts w:ascii="Calibri" w:hAnsi="Calibri"/>
                <w:bCs/>
                <w:lang w:eastAsia="ja-JP"/>
              </w:rPr>
            </w:pPr>
            <w:r w:rsidRPr="00912996">
              <w:rPr>
                <w:rFonts w:ascii="Calibri" w:hAnsi="Calibri"/>
                <w:bCs/>
                <w:lang w:eastAsia="ja-JP"/>
              </w:rPr>
              <w:t>Proiect prioritar</w:t>
            </w:r>
          </w:p>
        </w:tc>
        <w:tc>
          <w:tcPr>
            <w:tcW w:w="514" w:type="pct"/>
            <w:shd w:val="clear" w:color="auto" w:fill="F2F2F2"/>
            <w:hideMark/>
          </w:tcPr>
          <w:p w14:paraId="01078F9C"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2ADD0A18" w14:textId="77777777" w:rsidTr="00D719F3">
        <w:trPr>
          <w:trHeight w:val="1965"/>
        </w:trPr>
        <w:tc>
          <w:tcPr>
            <w:tcW w:w="219" w:type="pct"/>
            <w:shd w:val="clear" w:color="auto" w:fill="F2F2F2"/>
            <w:noWrap/>
            <w:hideMark/>
          </w:tcPr>
          <w:p w14:paraId="6501817D" w14:textId="77777777" w:rsidR="00262046" w:rsidRPr="00912996" w:rsidRDefault="00262046" w:rsidP="00396D75">
            <w:pPr>
              <w:rPr>
                <w:rFonts w:ascii="Calibri" w:hAnsi="Calibri"/>
                <w:bCs/>
                <w:lang w:eastAsia="ja-JP"/>
              </w:rPr>
            </w:pPr>
            <w:r w:rsidRPr="00912996">
              <w:rPr>
                <w:rFonts w:ascii="Calibri" w:hAnsi="Calibri"/>
                <w:bCs/>
                <w:lang w:eastAsia="ja-JP"/>
              </w:rPr>
              <w:t>10</w:t>
            </w:r>
          </w:p>
        </w:tc>
        <w:tc>
          <w:tcPr>
            <w:tcW w:w="949" w:type="pct"/>
            <w:shd w:val="clear" w:color="auto" w:fill="F2F2F2"/>
            <w:hideMark/>
          </w:tcPr>
          <w:p w14:paraId="05D1754A" w14:textId="67A81254" w:rsidR="004D5CF7" w:rsidRPr="00912996" w:rsidRDefault="00262046" w:rsidP="00396D75">
            <w:pPr>
              <w:rPr>
                <w:rFonts w:ascii="Calibri" w:hAnsi="Calibri"/>
                <w:bCs/>
                <w:lang w:eastAsia="ja-JP"/>
              </w:rPr>
            </w:pPr>
            <w:r w:rsidRPr="00912996">
              <w:rPr>
                <w:rFonts w:ascii="Calibri" w:hAnsi="Calibri"/>
                <w:bCs/>
                <w:lang w:eastAsia="ja-JP"/>
              </w:rPr>
              <w:t>Oferirea unui spațiu in cadrul primăriei pentru o perioada de 2 ani in scopul înființării sediului social al afacerilor inițiate de tineri</w:t>
            </w:r>
          </w:p>
        </w:tc>
        <w:tc>
          <w:tcPr>
            <w:tcW w:w="505" w:type="pct"/>
            <w:shd w:val="clear" w:color="auto" w:fill="F2F2F2"/>
            <w:hideMark/>
          </w:tcPr>
          <w:p w14:paraId="4F8D3DA5"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7882D1C2"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4DB5F21E" w14:textId="77777777" w:rsidR="00262046" w:rsidRPr="00912996" w:rsidRDefault="00262046" w:rsidP="00396D75">
            <w:pPr>
              <w:rPr>
                <w:rFonts w:ascii="Calibri" w:hAnsi="Calibri"/>
                <w:bCs/>
                <w:lang w:eastAsia="ja-JP"/>
              </w:rPr>
            </w:pPr>
            <w:r w:rsidRPr="00912996">
              <w:rPr>
                <w:rFonts w:ascii="Calibri" w:hAnsi="Calibri"/>
                <w:bCs/>
                <w:lang w:eastAsia="ja-JP"/>
              </w:rPr>
              <w:t>980,000</w:t>
            </w:r>
          </w:p>
        </w:tc>
        <w:tc>
          <w:tcPr>
            <w:tcW w:w="379" w:type="pct"/>
            <w:shd w:val="clear" w:color="auto" w:fill="F2F2F2"/>
            <w:noWrap/>
            <w:hideMark/>
          </w:tcPr>
          <w:p w14:paraId="58163F71" w14:textId="77777777" w:rsidR="00262046" w:rsidRPr="00912996" w:rsidRDefault="00262046" w:rsidP="00396D75">
            <w:pPr>
              <w:rPr>
                <w:rFonts w:ascii="Calibri" w:hAnsi="Calibri"/>
                <w:bCs/>
                <w:lang w:eastAsia="ja-JP"/>
              </w:rPr>
            </w:pPr>
            <w:r w:rsidRPr="00912996">
              <w:rPr>
                <w:rFonts w:ascii="Calibri" w:hAnsi="Calibri"/>
                <w:bCs/>
                <w:lang w:eastAsia="ja-JP"/>
              </w:rPr>
              <w:t>200,000</w:t>
            </w:r>
          </w:p>
        </w:tc>
        <w:tc>
          <w:tcPr>
            <w:tcW w:w="348" w:type="pct"/>
            <w:shd w:val="clear" w:color="auto" w:fill="F2F2F2"/>
            <w:noWrap/>
            <w:hideMark/>
          </w:tcPr>
          <w:p w14:paraId="688CA405"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767D4914" w14:textId="77777777" w:rsidR="00262046" w:rsidRPr="00912996" w:rsidRDefault="00262046" w:rsidP="00396D75">
            <w:pPr>
              <w:rPr>
                <w:rFonts w:ascii="Calibri" w:hAnsi="Calibri"/>
                <w:bCs/>
                <w:lang w:eastAsia="ja-JP"/>
              </w:rPr>
            </w:pPr>
            <w:r w:rsidRPr="00912996">
              <w:rPr>
                <w:rFonts w:ascii="Calibri" w:hAnsi="Calibri"/>
                <w:bCs/>
                <w:lang w:eastAsia="ja-JP"/>
              </w:rPr>
              <w:t>POR BI P1, bugetul local, Alte surse de finanțare</w:t>
            </w:r>
          </w:p>
        </w:tc>
        <w:tc>
          <w:tcPr>
            <w:tcW w:w="505" w:type="pct"/>
            <w:shd w:val="clear" w:color="auto" w:fill="F2F2F2"/>
            <w:noWrap/>
            <w:hideMark/>
          </w:tcPr>
          <w:p w14:paraId="3F69685F"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49D5D1C3"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2F2A414B" w14:textId="77777777" w:rsidTr="00396D75">
        <w:trPr>
          <w:trHeight w:val="276"/>
        </w:trPr>
        <w:tc>
          <w:tcPr>
            <w:tcW w:w="5000" w:type="pct"/>
            <w:gridSpan w:val="10"/>
            <w:shd w:val="clear" w:color="auto" w:fill="BBD9A0"/>
            <w:noWrap/>
            <w:hideMark/>
          </w:tcPr>
          <w:p w14:paraId="7CD915E7" w14:textId="77777777" w:rsidR="00262046" w:rsidRPr="00912996" w:rsidRDefault="00262046" w:rsidP="004D5CF7">
            <w:pPr>
              <w:jc w:val="center"/>
              <w:rPr>
                <w:rFonts w:ascii="Calibri" w:hAnsi="Calibri"/>
                <w:b/>
                <w:bCs/>
                <w:color w:val="FFFFFF"/>
                <w:lang w:eastAsia="ja-JP"/>
              </w:rPr>
            </w:pPr>
            <w:r w:rsidRPr="00912996">
              <w:rPr>
                <w:rFonts w:ascii="Calibri" w:hAnsi="Calibri"/>
                <w:b/>
                <w:bCs/>
                <w:color w:val="FFFFFF"/>
                <w:lang w:eastAsia="ja-JP"/>
              </w:rPr>
              <w:t>D2.1.3. Valorificarea rezervelor de teren și promovarea coerentă ca destinație atractivă pentru investiții</w:t>
            </w:r>
          </w:p>
        </w:tc>
      </w:tr>
      <w:tr w:rsidR="00262046" w:rsidRPr="00912996" w14:paraId="15C7256D" w14:textId="77777777" w:rsidTr="00D719F3">
        <w:trPr>
          <w:trHeight w:val="1332"/>
        </w:trPr>
        <w:tc>
          <w:tcPr>
            <w:tcW w:w="219" w:type="pct"/>
            <w:shd w:val="clear" w:color="auto" w:fill="F2F2F2"/>
            <w:noWrap/>
            <w:hideMark/>
          </w:tcPr>
          <w:p w14:paraId="0317B630" w14:textId="77777777" w:rsidR="00262046" w:rsidRPr="00912996" w:rsidRDefault="00262046" w:rsidP="00396D75">
            <w:pPr>
              <w:rPr>
                <w:rFonts w:ascii="Calibri" w:hAnsi="Calibri"/>
                <w:bCs/>
                <w:lang w:eastAsia="ja-JP"/>
              </w:rPr>
            </w:pPr>
            <w:r w:rsidRPr="00912996">
              <w:rPr>
                <w:rFonts w:ascii="Calibri" w:hAnsi="Calibri"/>
                <w:bCs/>
                <w:lang w:eastAsia="ja-JP"/>
              </w:rPr>
              <w:t>1</w:t>
            </w:r>
          </w:p>
        </w:tc>
        <w:tc>
          <w:tcPr>
            <w:tcW w:w="949" w:type="pct"/>
            <w:shd w:val="clear" w:color="auto" w:fill="F2F2F2"/>
            <w:hideMark/>
          </w:tcPr>
          <w:p w14:paraId="3FB4FE0B" w14:textId="77777777" w:rsidR="00262046" w:rsidRPr="00912996" w:rsidRDefault="00262046" w:rsidP="00396D75">
            <w:pPr>
              <w:rPr>
                <w:rFonts w:ascii="Calibri" w:hAnsi="Calibri"/>
                <w:bCs/>
                <w:lang w:eastAsia="ja-JP"/>
              </w:rPr>
            </w:pPr>
            <w:r w:rsidRPr="00912996">
              <w:rPr>
                <w:rFonts w:ascii="Calibri" w:hAnsi="Calibri"/>
                <w:bCs/>
                <w:lang w:eastAsia="ja-JP"/>
              </w:rPr>
              <w:t>Proiect complex de reconversie și valorificare a zonei industriale Obor – Electronicii prin studiu de oportunitate, reglementare urbanistică și amenajarea spațiilor publice</w:t>
            </w:r>
          </w:p>
        </w:tc>
        <w:tc>
          <w:tcPr>
            <w:tcW w:w="505" w:type="pct"/>
            <w:shd w:val="clear" w:color="auto" w:fill="F2F2F2"/>
            <w:hideMark/>
          </w:tcPr>
          <w:p w14:paraId="1D82C517"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3CCFCCB6"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0AED354B" w14:textId="77777777" w:rsidR="00262046" w:rsidRPr="00912996" w:rsidRDefault="00262046" w:rsidP="00396D75">
            <w:pPr>
              <w:rPr>
                <w:rFonts w:ascii="Calibri" w:hAnsi="Calibri"/>
                <w:bCs/>
                <w:lang w:eastAsia="ja-JP"/>
              </w:rPr>
            </w:pPr>
            <w:r w:rsidRPr="00912996">
              <w:rPr>
                <w:rFonts w:ascii="Calibri" w:hAnsi="Calibri"/>
                <w:bCs/>
                <w:lang w:eastAsia="ja-JP"/>
              </w:rPr>
              <w:t>24,500,000</w:t>
            </w:r>
          </w:p>
        </w:tc>
        <w:tc>
          <w:tcPr>
            <w:tcW w:w="379" w:type="pct"/>
            <w:shd w:val="clear" w:color="auto" w:fill="F2F2F2"/>
            <w:noWrap/>
            <w:hideMark/>
          </w:tcPr>
          <w:p w14:paraId="4922232F" w14:textId="77777777" w:rsidR="00262046" w:rsidRPr="00912996" w:rsidRDefault="00262046" w:rsidP="00396D75">
            <w:pPr>
              <w:rPr>
                <w:rFonts w:ascii="Calibri" w:hAnsi="Calibri"/>
                <w:bCs/>
                <w:lang w:eastAsia="ja-JP"/>
              </w:rPr>
            </w:pPr>
            <w:r w:rsidRPr="00912996">
              <w:rPr>
                <w:rFonts w:ascii="Calibri" w:hAnsi="Calibri"/>
                <w:bCs/>
                <w:lang w:eastAsia="ja-JP"/>
              </w:rPr>
              <w:t>5,000,000</w:t>
            </w:r>
          </w:p>
        </w:tc>
        <w:tc>
          <w:tcPr>
            <w:tcW w:w="348" w:type="pct"/>
            <w:shd w:val="clear" w:color="auto" w:fill="F2F2F2"/>
            <w:noWrap/>
            <w:hideMark/>
          </w:tcPr>
          <w:p w14:paraId="3DACB0F8" w14:textId="77777777" w:rsidR="00262046" w:rsidRPr="00912996" w:rsidRDefault="00262046" w:rsidP="00396D75">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601" w:type="pct"/>
            <w:shd w:val="clear" w:color="auto" w:fill="F2F2F2"/>
            <w:hideMark/>
          </w:tcPr>
          <w:p w14:paraId="250DED57" w14:textId="77777777" w:rsidR="00262046" w:rsidRPr="00912996" w:rsidRDefault="00262046" w:rsidP="00396D75">
            <w:pPr>
              <w:rPr>
                <w:rFonts w:ascii="Calibri" w:hAnsi="Calibri"/>
                <w:bCs/>
                <w:lang w:eastAsia="ja-JP"/>
              </w:rPr>
            </w:pPr>
            <w:r w:rsidRPr="00912996">
              <w:rPr>
                <w:rFonts w:ascii="Calibri" w:hAnsi="Calibri"/>
                <w:bCs/>
                <w:lang w:eastAsia="ja-JP"/>
              </w:rPr>
              <w:t>PNRR C10, POR BI P7, Bugetul local, Buget parteneri, Alte surse de finanțare</w:t>
            </w:r>
          </w:p>
        </w:tc>
        <w:tc>
          <w:tcPr>
            <w:tcW w:w="505" w:type="pct"/>
            <w:shd w:val="clear" w:color="auto" w:fill="F2F2F2"/>
            <w:noWrap/>
            <w:hideMark/>
          </w:tcPr>
          <w:p w14:paraId="2256F4E1"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7CFD2025"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7DA760E7" w14:textId="77777777" w:rsidTr="00D719F3">
        <w:trPr>
          <w:trHeight w:val="1332"/>
        </w:trPr>
        <w:tc>
          <w:tcPr>
            <w:tcW w:w="219" w:type="pct"/>
            <w:shd w:val="clear" w:color="auto" w:fill="F2F2F2"/>
            <w:noWrap/>
            <w:hideMark/>
          </w:tcPr>
          <w:p w14:paraId="13F3955A" w14:textId="77777777" w:rsidR="00262046" w:rsidRPr="00912996" w:rsidRDefault="00262046" w:rsidP="00396D75">
            <w:pPr>
              <w:rPr>
                <w:rFonts w:ascii="Calibri" w:hAnsi="Calibri"/>
                <w:bCs/>
                <w:lang w:eastAsia="ja-JP"/>
              </w:rPr>
            </w:pPr>
            <w:r w:rsidRPr="00912996">
              <w:rPr>
                <w:rFonts w:ascii="Calibri" w:hAnsi="Calibri"/>
                <w:bCs/>
                <w:lang w:eastAsia="ja-JP"/>
              </w:rPr>
              <w:t>2</w:t>
            </w:r>
          </w:p>
        </w:tc>
        <w:tc>
          <w:tcPr>
            <w:tcW w:w="949" w:type="pct"/>
            <w:shd w:val="clear" w:color="auto" w:fill="F2F2F2"/>
            <w:hideMark/>
          </w:tcPr>
          <w:p w14:paraId="02B54D81" w14:textId="77777777" w:rsidR="00262046" w:rsidRPr="00912996" w:rsidRDefault="00262046" w:rsidP="00396D75">
            <w:pPr>
              <w:rPr>
                <w:rFonts w:ascii="Calibri" w:hAnsi="Calibri"/>
                <w:bCs/>
                <w:lang w:eastAsia="ja-JP"/>
              </w:rPr>
            </w:pPr>
            <w:r w:rsidRPr="00912996">
              <w:rPr>
                <w:rFonts w:ascii="Calibri" w:hAnsi="Calibri"/>
                <w:bCs/>
                <w:lang w:eastAsia="ja-JP"/>
              </w:rPr>
              <w:t>Proiect complex de reconversie și dezvoltare pol urban principal Petricani prin studiu de oportunitate, reglementare urbanistică și amenajarea spațiilor publice</w:t>
            </w:r>
          </w:p>
        </w:tc>
        <w:tc>
          <w:tcPr>
            <w:tcW w:w="505" w:type="pct"/>
            <w:shd w:val="clear" w:color="auto" w:fill="F2F2F2"/>
            <w:hideMark/>
          </w:tcPr>
          <w:p w14:paraId="006AFCFF"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23787FC8"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60CAEE85" w14:textId="77777777" w:rsidR="00262046" w:rsidRPr="00912996" w:rsidRDefault="00262046" w:rsidP="00396D75">
            <w:pPr>
              <w:rPr>
                <w:rFonts w:ascii="Calibri" w:hAnsi="Calibri"/>
                <w:bCs/>
                <w:lang w:eastAsia="ja-JP"/>
              </w:rPr>
            </w:pPr>
            <w:r w:rsidRPr="00912996">
              <w:rPr>
                <w:rFonts w:ascii="Calibri" w:hAnsi="Calibri"/>
                <w:bCs/>
                <w:lang w:eastAsia="ja-JP"/>
              </w:rPr>
              <w:t>24,500,000</w:t>
            </w:r>
          </w:p>
        </w:tc>
        <w:tc>
          <w:tcPr>
            <w:tcW w:w="379" w:type="pct"/>
            <w:shd w:val="clear" w:color="auto" w:fill="F2F2F2"/>
            <w:noWrap/>
            <w:hideMark/>
          </w:tcPr>
          <w:p w14:paraId="642D4D54" w14:textId="77777777" w:rsidR="00262046" w:rsidRPr="00912996" w:rsidRDefault="00262046" w:rsidP="00396D75">
            <w:pPr>
              <w:rPr>
                <w:rFonts w:ascii="Calibri" w:hAnsi="Calibri"/>
                <w:bCs/>
                <w:lang w:eastAsia="ja-JP"/>
              </w:rPr>
            </w:pPr>
            <w:r w:rsidRPr="00912996">
              <w:rPr>
                <w:rFonts w:ascii="Calibri" w:hAnsi="Calibri"/>
                <w:bCs/>
                <w:lang w:eastAsia="ja-JP"/>
              </w:rPr>
              <w:t>5,000,000</w:t>
            </w:r>
          </w:p>
        </w:tc>
        <w:tc>
          <w:tcPr>
            <w:tcW w:w="348" w:type="pct"/>
            <w:shd w:val="clear" w:color="auto" w:fill="F2F2F2"/>
            <w:noWrap/>
            <w:hideMark/>
          </w:tcPr>
          <w:p w14:paraId="38FC6BFA" w14:textId="77777777" w:rsidR="00262046" w:rsidRPr="00912996" w:rsidRDefault="00262046" w:rsidP="00396D75">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601" w:type="pct"/>
            <w:shd w:val="clear" w:color="auto" w:fill="F2F2F2"/>
            <w:hideMark/>
          </w:tcPr>
          <w:p w14:paraId="46C73534" w14:textId="77777777" w:rsidR="00262046" w:rsidRPr="00912996" w:rsidRDefault="00262046" w:rsidP="00396D75">
            <w:pPr>
              <w:rPr>
                <w:rFonts w:ascii="Calibri" w:hAnsi="Calibri"/>
                <w:bCs/>
                <w:lang w:eastAsia="ja-JP"/>
              </w:rPr>
            </w:pPr>
            <w:r w:rsidRPr="00912996">
              <w:rPr>
                <w:rFonts w:ascii="Calibri" w:hAnsi="Calibri"/>
                <w:bCs/>
                <w:lang w:eastAsia="ja-JP"/>
              </w:rPr>
              <w:t>PNRR C10, POR BI P7, Bugetul local, Buget parteneri, Alte surse de finanțare</w:t>
            </w:r>
          </w:p>
        </w:tc>
        <w:tc>
          <w:tcPr>
            <w:tcW w:w="505" w:type="pct"/>
            <w:shd w:val="clear" w:color="auto" w:fill="F2F2F2"/>
            <w:noWrap/>
            <w:hideMark/>
          </w:tcPr>
          <w:p w14:paraId="6350EE7F"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32DA597A"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31797CAE" w14:textId="77777777" w:rsidTr="00D719F3">
        <w:trPr>
          <w:trHeight w:val="540"/>
        </w:trPr>
        <w:tc>
          <w:tcPr>
            <w:tcW w:w="219" w:type="pct"/>
            <w:shd w:val="clear" w:color="auto" w:fill="F2F2F2"/>
            <w:noWrap/>
            <w:hideMark/>
          </w:tcPr>
          <w:p w14:paraId="193D77FB" w14:textId="77777777" w:rsidR="00262046" w:rsidRPr="00912996" w:rsidRDefault="00262046" w:rsidP="00396D75">
            <w:pPr>
              <w:rPr>
                <w:rFonts w:ascii="Calibri" w:hAnsi="Calibri"/>
                <w:bCs/>
                <w:lang w:eastAsia="ja-JP"/>
              </w:rPr>
            </w:pPr>
            <w:r w:rsidRPr="00912996">
              <w:rPr>
                <w:rFonts w:ascii="Calibri" w:hAnsi="Calibri"/>
                <w:bCs/>
                <w:lang w:eastAsia="ja-JP"/>
              </w:rPr>
              <w:t>3</w:t>
            </w:r>
          </w:p>
        </w:tc>
        <w:tc>
          <w:tcPr>
            <w:tcW w:w="949" w:type="pct"/>
            <w:shd w:val="clear" w:color="auto" w:fill="F2F2F2"/>
            <w:hideMark/>
          </w:tcPr>
          <w:p w14:paraId="6630879C" w14:textId="77777777" w:rsidR="00262046" w:rsidRPr="00912996" w:rsidRDefault="00262046" w:rsidP="00396D75">
            <w:pPr>
              <w:rPr>
                <w:rFonts w:ascii="Calibri" w:hAnsi="Calibri"/>
                <w:bCs/>
                <w:lang w:eastAsia="ja-JP"/>
              </w:rPr>
            </w:pPr>
            <w:r w:rsidRPr="00912996">
              <w:rPr>
                <w:rFonts w:ascii="Calibri" w:hAnsi="Calibri"/>
                <w:bCs/>
                <w:lang w:eastAsia="ja-JP"/>
              </w:rPr>
              <w:t>Branding și promovare a zonelor de dezvoltare economică</w:t>
            </w:r>
          </w:p>
        </w:tc>
        <w:tc>
          <w:tcPr>
            <w:tcW w:w="505" w:type="pct"/>
            <w:shd w:val="clear" w:color="auto" w:fill="F2F2F2"/>
            <w:hideMark/>
          </w:tcPr>
          <w:p w14:paraId="6ECF6B0C"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264AA379"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186E1307" w14:textId="77777777" w:rsidR="00262046" w:rsidRPr="00912996" w:rsidRDefault="00262046" w:rsidP="00396D75">
            <w:pPr>
              <w:rPr>
                <w:rFonts w:ascii="Calibri" w:hAnsi="Calibri"/>
                <w:bCs/>
                <w:lang w:eastAsia="ja-JP"/>
              </w:rPr>
            </w:pPr>
            <w:r w:rsidRPr="00912996">
              <w:rPr>
                <w:rFonts w:ascii="Calibri" w:hAnsi="Calibri"/>
                <w:bCs/>
                <w:lang w:eastAsia="ja-JP"/>
              </w:rPr>
              <w:t>245,000</w:t>
            </w:r>
          </w:p>
        </w:tc>
        <w:tc>
          <w:tcPr>
            <w:tcW w:w="379" w:type="pct"/>
            <w:shd w:val="clear" w:color="auto" w:fill="F2F2F2"/>
            <w:noWrap/>
            <w:hideMark/>
          </w:tcPr>
          <w:p w14:paraId="51DCC49D" w14:textId="77777777" w:rsidR="00262046" w:rsidRPr="00912996" w:rsidRDefault="00262046" w:rsidP="00396D75">
            <w:pPr>
              <w:rPr>
                <w:rFonts w:ascii="Calibri" w:hAnsi="Calibri"/>
                <w:bCs/>
                <w:lang w:eastAsia="ja-JP"/>
              </w:rPr>
            </w:pPr>
            <w:r w:rsidRPr="00912996">
              <w:rPr>
                <w:rFonts w:ascii="Calibri" w:hAnsi="Calibri"/>
                <w:bCs/>
                <w:lang w:eastAsia="ja-JP"/>
              </w:rPr>
              <w:t>50,000</w:t>
            </w:r>
          </w:p>
        </w:tc>
        <w:tc>
          <w:tcPr>
            <w:tcW w:w="348" w:type="pct"/>
            <w:shd w:val="clear" w:color="auto" w:fill="F2F2F2"/>
            <w:noWrap/>
            <w:hideMark/>
          </w:tcPr>
          <w:p w14:paraId="1D6FA968"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5FC2C39C" w14:textId="77777777" w:rsidR="00262046" w:rsidRPr="00912996" w:rsidRDefault="00262046" w:rsidP="00396D75">
            <w:pPr>
              <w:rPr>
                <w:rFonts w:ascii="Calibri" w:hAnsi="Calibri"/>
                <w:bCs/>
                <w:lang w:eastAsia="ja-JP"/>
              </w:rPr>
            </w:pPr>
            <w:r w:rsidRPr="00912996">
              <w:rPr>
                <w:rFonts w:ascii="Calibri" w:hAnsi="Calibri"/>
                <w:bCs/>
                <w:lang w:eastAsia="ja-JP"/>
              </w:rPr>
              <w:t>Bugetul local, Alte surse de finanțare</w:t>
            </w:r>
          </w:p>
        </w:tc>
        <w:tc>
          <w:tcPr>
            <w:tcW w:w="505" w:type="pct"/>
            <w:shd w:val="clear" w:color="auto" w:fill="F2F2F2"/>
            <w:noWrap/>
            <w:hideMark/>
          </w:tcPr>
          <w:p w14:paraId="4DD726CA"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51F7FB88"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48FD8F81" w14:textId="77777777" w:rsidTr="00D719F3">
        <w:trPr>
          <w:trHeight w:val="804"/>
        </w:trPr>
        <w:tc>
          <w:tcPr>
            <w:tcW w:w="219" w:type="pct"/>
            <w:shd w:val="clear" w:color="auto" w:fill="F2F2F2"/>
            <w:noWrap/>
            <w:hideMark/>
          </w:tcPr>
          <w:p w14:paraId="1CB0E4BF" w14:textId="77777777" w:rsidR="00262046" w:rsidRPr="00912996" w:rsidRDefault="00262046" w:rsidP="00396D75">
            <w:pPr>
              <w:rPr>
                <w:rFonts w:ascii="Calibri" w:hAnsi="Calibri"/>
                <w:bCs/>
                <w:lang w:eastAsia="ja-JP"/>
              </w:rPr>
            </w:pPr>
            <w:r w:rsidRPr="00912996">
              <w:rPr>
                <w:rFonts w:ascii="Calibri" w:hAnsi="Calibri"/>
                <w:bCs/>
                <w:lang w:eastAsia="ja-JP"/>
              </w:rPr>
              <w:t>4</w:t>
            </w:r>
          </w:p>
        </w:tc>
        <w:tc>
          <w:tcPr>
            <w:tcW w:w="949" w:type="pct"/>
            <w:shd w:val="clear" w:color="auto" w:fill="F2F2F2"/>
            <w:hideMark/>
          </w:tcPr>
          <w:p w14:paraId="49443C71" w14:textId="77777777" w:rsidR="00262046" w:rsidRPr="00912996" w:rsidRDefault="00262046" w:rsidP="00396D75">
            <w:pPr>
              <w:rPr>
                <w:rFonts w:ascii="Calibri" w:hAnsi="Calibri"/>
                <w:bCs/>
                <w:lang w:eastAsia="ja-JP"/>
              </w:rPr>
            </w:pPr>
            <w:r w:rsidRPr="00912996">
              <w:rPr>
                <w:rFonts w:ascii="Calibri" w:hAnsi="Calibri"/>
                <w:bCs/>
                <w:lang w:eastAsia="ja-JP"/>
              </w:rPr>
              <w:t>Civic HUB - Înființarea unui spațiu destinat societății civile, unde asociații, fundații, grupuri locale etc își pot desfășura activitatea</w:t>
            </w:r>
          </w:p>
        </w:tc>
        <w:tc>
          <w:tcPr>
            <w:tcW w:w="505" w:type="pct"/>
            <w:shd w:val="clear" w:color="auto" w:fill="F2F2F2"/>
            <w:hideMark/>
          </w:tcPr>
          <w:p w14:paraId="59CF98B6" w14:textId="18C8D2E9"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Parteneri privați</w:t>
            </w:r>
            <w:r w:rsidR="003B31CD">
              <w:rPr>
                <w:rFonts w:ascii="Calibri" w:hAnsi="Calibri"/>
                <w:bCs/>
                <w:lang w:eastAsia="ja-JP"/>
              </w:rPr>
              <w:t xml:space="preserve">, </w:t>
            </w:r>
            <w:r w:rsidRPr="00912996">
              <w:rPr>
                <w:rFonts w:ascii="Calibri" w:hAnsi="Calibri"/>
                <w:bCs/>
                <w:lang w:eastAsia="ja-JP"/>
              </w:rPr>
              <w:t>ONG</w:t>
            </w:r>
          </w:p>
        </w:tc>
        <w:tc>
          <w:tcPr>
            <w:tcW w:w="569" w:type="pct"/>
            <w:shd w:val="clear" w:color="auto" w:fill="F2F2F2"/>
            <w:noWrap/>
            <w:hideMark/>
          </w:tcPr>
          <w:p w14:paraId="0C2259E8"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1CDFE051" w14:textId="77777777" w:rsidR="00262046" w:rsidRPr="00912996" w:rsidRDefault="00262046" w:rsidP="00396D75">
            <w:pPr>
              <w:rPr>
                <w:rFonts w:ascii="Calibri" w:hAnsi="Calibri"/>
                <w:bCs/>
                <w:lang w:eastAsia="ja-JP"/>
              </w:rPr>
            </w:pPr>
            <w:r w:rsidRPr="00912996">
              <w:rPr>
                <w:rFonts w:ascii="Calibri" w:hAnsi="Calibri"/>
                <w:bCs/>
                <w:lang w:eastAsia="ja-JP"/>
              </w:rPr>
              <w:t>2,215,000</w:t>
            </w:r>
          </w:p>
        </w:tc>
        <w:tc>
          <w:tcPr>
            <w:tcW w:w="379" w:type="pct"/>
            <w:shd w:val="clear" w:color="auto" w:fill="F2F2F2"/>
            <w:noWrap/>
            <w:hideMark/>
          </w:tcPr>
          <w:p w14:paraId="53AD3E65" w14:textId="77777777" w:rsidR="00262046" w:rsidRPr="00912996" w:rsidRDefault="00262046" w:rsidP="00396D75">
            <w:pPr>
              <w:rPr>
                <w:rFonts w:ascii="Calibri" w:hAnsi="Calibri"/>
                <w:bCs/>
                <w:lang w:eastAsia="ja-JP"/>
              </w:rPr>
            </w:pPr>
            <w:r w:rsidRPr="00912996">
              <w:rPr>
                <w:rFonts w:ascii="Calibri" w:hAnsi="Calibri"/>
                <w:bCs/>
                <w:lang w:eastAsia="ja-JP"/>
              </w:rPr>
              <w:t>452,041</w:t>
            </w:r>
          </w:p>
        </w:tc>
        <w:tc>
          <w:tcPr>
            <w:tcW w:w="348" w:type="pct"/>
            <w:shd w:val="clear" w:color="auto" w:fill="F2F2F2"/>
            <w:noWrap/>
            <w:hideMark/>
          </w:tcPr>
          <w:p w14:paraId="383F80A8"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7737904F" w14:textId="77777777" w:rsidR="00262046" w:rsidRPr="00912996" w:rsidRDefault="00262046" w:rsidP="00396D75">
            <w:pPr>
              <w:rPr>
                <w:rFonts w:ascii="Calibri" w:hAnsi="Calibri"/>
                <w:bCs/>
                <w:lang w:eastAsia="ja-JP"/>
              </w:rPr>
            </w:pPr>
            <w:r w:rsidRPr="00912996">
              <w:rPr>
                <w:rFonts w:ascii="Calibri" w:hAnsi="Calibri"/>
                <w:bCs/>
                <w:lang w:eastAsia="ja-JP"/>
              </w:rPr>
              <w:t>POR BI P7, bugetul local, Alte surse de finanțare</w:t>
            </w:r>
          </w:p>
        </w:tc>
        <w:tc>
          <w:tcPr>
            <w:tcW w:w="505" w:type="pct"/>
            <w:shd w:val="clear" w:color="auto" w:fill="F2F2F2"/>
            <w:noWrap/>
            <w:hideMark/>
          </w:tcPr>
          <w:p w14:paraId="29A81A64"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31093330"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6FB683AA" w14:textId="77777777" w:rsidTr="00396D75">
        <w:trPr>
          <w:trHeight w:val="276"/>
        </w:trPr>
        <w:tc>
          <w:tcPr>
            <w:tcW w:w="5000" w:type="pct"/>
            <w:gridSpan w:val="10"/>
            <w:shd w:val="clear" w:color="auto" w:fill="CCE188"/>
            <w:noWrap/>
            <w:hideMark/>
          </w:tcPr>
          <w:p w14:paraId="42772440" w14:textId="1C729FB2" w:rsidR="00262046" w:rsidRPr="00912996" w:rsidRDefault="00262046" w:rsidP="00DB2DC7">
            <w:pPr>
              <w:jc w:val="center"/>
              <w:rPr>
                <w:rFonts w:ascii="Calibri" w:hAnsi="Calibri"/>
                <w:b/>
                <w:bCs/>
                <w:color w:val="FFFFFF"/>
                <w:lang w:eastAsia="ja-JP"/>
              </w:rPr>
            </w:pPr>
            <w:r w:rsidRPr="00912996">
              <w:rPr>
                <w:rFonts w:ascii="Calibri" w:hAnsi="Calibri"/>
                <w:b/>
                <w:bCs/>
                <w:color w:val="FFFFFF"/>
                <w:lang w:eastAsia="ja-JP"/>
              </w:rPr>
              <w:t>OBIECTIV</w:t>
            </w:r>
            <w:r w:rsidR="00DB2DC7">
              <w:rPr>
                <w:rFonts w:ascii="Calibri" w:hAnsi="Calibri"/>
                <w:b/>
                <w:bCs/>
                <w:color w:val="FFFFFF"/>
                <w:lang w:eastAsia="ja-JP"/>
              </w:rPr>
              <w:t xml:space="preserve"> </w:t>
            </w:r>
            <w:r w:rsidRPr="00912996">
              <w:rPr>
                <w:rFonts w:ascii="Calibri" w:hAnsi="Calibri"/>
                <w:b/>
                <w:bCs/>
                <w:color w:val="FFFFFF"/>
                <w:lang w:eastAsia="ja-JP"/>
              </w:rPr>
              <w:t>SPECIFIC O2.2. - Sectorul 2 implicat în dezvoltarea și valorificarea resursei umane</w:t>
            </w:r>
          </w:p>
        </w:tc>
      </w:tr>
      <w:tr w:rsidR="00262046" w:rsidRPr="00912996" w14:paraId="5C542B15" w14:textId="77777777" w:rsidTr="00396D75">
        <w:trPr>
          <w:trHeight w:val="276"/>
        </w:trPr>
        <w:tc>
          <w:tcPr>
            <w:tcW w:w="5000" w:type="pct"/>
            <w:gridSpan w:val="10"/>
            <w:shd w:val="clear" w:color="auto" w:fill="BBD9A0"/>
            <w:noWrap/>
            <w:hideMark/>
          </w:tcPr>
          <w:p w14:paraId="47E5F77C" w14:textId="77777777" w:rsidR="00262046" w:rsidRPr="00912996" w:rsidRDefault="00262046" w:rsidP="00DB2DC7">
            <w:pPr>
              <w:jc w:val="center"/>
              <w:rPr>
                <w:rFonts w:ascii="Calibri" w:hAnsi="Calibri"/>
                <w:b/>
                <w:bCs/>
                <w:color w:val="FFFFFF"/>
                <w:lang w:eastAsia="ja-JP"/>
              </w:rPr>
            </w:pPr>
            <w:r w:rsidRPr="00912996">
              <w:rPr>
                <w:rFonts w:ascii="Calibri" w:hAnsi="Calibri"/>
                <w:b/>
                <w:bCs/>
                <w:color w:val="FFFFFF"/>
                <w:lang w:eastAsia="ja-JP"/>
              </w:rPr>
              <w:t>D.2.2.1. Calificarea, recalificarea și formarea continuă a forței de muncă din Sectorul 2, pentru o mai bună corelare a pieței forței de muncă, respectiv, pentru diminuarea fenomenului de șomaj</w:t>
            </w:r>
          </w:p>
        </w:tc>
      </w:tr>
      <w:tr w:rsidR="00262046" w:rsidRPr="00912996" w14:paraId="33D19F3D" w14:textId="77777777" w:rsidTr="00D719F3">
        <w:trPr>
          <w:trHeight w:val="1596"/>
        </w:trPr>
        <w:tc>
          <w:tcPr>
            <w:tcW w:w="219" w:type="pct"/>
            <w:shd w:val="clear" w:color="auto" w:fill="F2F2F2"/>
            <w:noWrap/>
            <w:hideMark/>
          </w:tcPr>
          <w:p w14:paraId="2405B912" w14:textId="77777777" w:rsidR="00262046" w:rsidRPr="00912996" w:rsidRDefault="00262046" w:rsidP="00396D75">
            <w:pPr>
              <w:rPr>
                <w:rFonts w:ascii="Calibri" w:hAnsi="Calibri"/>
                <w:bCs/>
                <w:lang w:eastAsia="ja-JP"/>
              </w:rPr>
            </w:pPr>
            <w:r w:rsidRPr="00912996">
              <w:rPr>
                <w:rFonts w:ascii="Calibri" w:hAnsi="Calibri"/>
                <w:bCs/>
                <w:lang w:eastAsia="ja-JP"/>
              </w:rPr>
              <w:t>1</w:t>
            </w:r>
          </w:p>
        </w:tc>
        <w:tc>
          <w:tcPr>
            <w:tcW w:w="949" w:type="pct"/>
            <w:shd w:val="clear" w:color="auto" w:fill="F2F2F2"/>
            <w:hideMark/>
          </w:tcPr>
          <w:p w14:paraId="0A99A55C" w14:textId="77777777" w:rsidR="00262046" w:rsidRPr="00912996" w:rsidRDefault="00262046" w:rsidP="00396D75">
            <w:pPr>
              <w:rPr>
                <w:rFonts w:ascii="Calibri" w:hAnsi="Calibri"/>
                <w:bCs/>
                <w:lang w:eastAsia="ja-JP"/>
              </w:rPr>
            </w:pPr>
            <w:r w:rsidRPr="00912996">
              <w:rPr>
                <w:rFonts w:ascii="Calibri" w:hAnsi="Calibri"/>
                <w:bCs/>
                <w:lang w:eastAsia="ja-JP"/>
              </w:rPr>
              <w:t>Crearea unui program ce oferă reorientare profesională, instruire gratuită și programe de ucenicie pentru persoanele adulte defavorizate</w:t>
            </w:r>
          </w:p>
        </w:tc>
        <w:tc>
          <w:tcPr>
            <w:tcW w:w="505" w:type="pct"/>
            <w:shd w:val="clear" w:color="auto" w:fill="F2F2F2"/>
            <w:hideMark/>
          </w:tcPr>
          <w:p w14:paraId="43696847" w14:textId="77777777" w:rsidR="00262046" w:rsidRPr="00912996" w:rsidRDefault="00262046" w:rsidP="00396D75">
            <w:pPr>
              <w:rPr>
                <w:rFonts w:ascii="Calibri" w:hAnsi="Calibri"/>
                <w:bCs/>
                <w:lang w:eastAsia="ja-JP"/>
              </w:rPr>
            </w:pPr>
            <w:r w:rsidRPr="00912996">
              <w:rPr>
                <w:rFonts w:ascii="Calibri" w:hAnsi="Calibri"/>
                <w:bCs/>
                <w:lang w:eastAsia="ja-JP"/>
              </w:rPr>
              <w:t>PS2, DGASPC S2, ISMB S2, ALOFM S2, ONG -uri de profil</w:t>
            </w:r>
          </w:p>
        </w:tc>
        <w:tc>
          <w:tcPr>
            <w:tcW w:w="569" w:type="pct"/>
            <w:shd w:val="clear" w:color="auto" w:fill="F2F2F2"/>
            <w:noWrap/>
            <w:hideMark/>
          </w:tcPr>
          <w:p w14:paraId="3DD24BED"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47B79EA9" w14:textId="77777777" w:rsidR="00262046" w:rsidRPr="00912996" w:rsidRDefault="00262046" w:rsidP="00396D75">
            <w:pPr>
              <w:rPr>
                <w:rFonts w:ascii="Calibri" w:hAnsi="Calibri"/>
                <w:bCs/>
                <w:lang w:eastAsia="ja-JP"/>
              </w:rPr>
            </w:pPr>
            <w:r w:rsidRPr="00912996">
              <w:rPr>
                <w:rFonts w:ascii="Calibri" w:hAnsi="Calibri"/>
                <w:bCs/>
                <w:lang w:eastAsia="ja-JP"/>
              </w:rPr>
              <w:t>44,300,000</w:t>
            </w:r>
          </w:p>
        </w:tc>
        <w:tc>
          <w:tcPr>
            <w:tcW w:w="379" w:type="pct"/>
            <w:shd w:val="clear" w:color="auto" w:fill="F2F2F2"/>
            <w:noWrap/>
            <w:hideMark/>
          </w:tcPr>
          <w:p w14:paraId="6A4E91E2" w14:textId="77777777" w:rsidR="00262046" w:rsidRPr="00912996" w:rsidRDefault="00262046" w:rsidP="00396D75">
            <w:pPr>
              <w:rPr>
                <w:rFonts w:ascii="Calibri" w:hAnsi="Calibri"/>
                <w:bCs/>
                <w:lang w:eastAsia="ja-JP"/>
              </w:rPr>
            </w:pPr>
            <w:r w:rsidRPr="00912996">
              <w:rPr>
                <w:rFonts w:ascii="Calibri" w:hAnsi="Calibri"/>
                <w:bCs/>
                <w:lang w:eastAsia="ja-JP"/>
              </w:rPr>
              <w:t>10,000,000</w:t>
            </w:r>
          </w:p>
        </w:tc>
        <w:tc>
          <w:tcPr>
            <w:tcW w:w="348" w:type="pct"/>
            <w:shd w:val="clear" w:color="auto" w:fill="F2F2F2"/>
            <w:noWrap/>
            <w:hideMark/>
          </w:tcPr>
          <w:p w14:paraId="633F78CB" w14:textId="77777777" w:rsidR="00262046" w:rsidRPr="00912996" w:rsidRDefault="00262046" w:rsidP="00396D75">
            <w:pPr>
              <w:rPr>
                <w:rFonts w:ascii="Calibri" w:hAnsi="Calibri"/>
                <w:bCs/>
                <w:lang w:eastAsia="ja-JP"/>
              </w:rPr>
            </w:pPr>
            <w:r w:rsidRPr="00912996">
              <w:rPr>
                <w:rFonts w:ascii="Calibri" w:hAnsi="Calibri"/>
                <w:bCs/>
                <w:lang w:eastAsia="ja-JP"/>
              </w:rPr>
              <w:t>2017 - 2023</w:t>
            </w:r>
          </w:p>
        </w:tc>
        <w:tc>
          <w:tcPr>
            <w:tcW w:w="601" w:type="pct"/>
            <w:shd w:val="clear" w:color="auto" w:fill="F2F2F2"/>
            <w:hideMark/>
          </w:tcPr>
          <w:p w14:paraId="150A00F4" w14:textId="77777777" w:rsidR="00262046" w:rsidRPr="00912996" w:rsidRDefault="00262046" w:rsidP="00396D75">
            <w:pPr>
              <w:rPr>
                <w:rFonts w:ascii="Calibri" w:hAnsi="Calibri"/>
                <w:bCs/>
                <w:lang w:eastAsia="ja-JP"/>
              </w:rPr>
            </w:pPr>
            <w:r w:rsidRPr="00912996">
              <w:rPr>
                <w:rFonts w:ascii="Calibri" w:hAnsi="Calibri"/>
                <w:bCs/>
                <w:lang w:eastAsia="ja-JP"/>
              </w:rPr>
              <w:t>Bugetul local, buget municipal, POEO 2021-2027 P9, P6, POIDS 2021-2027 P9, Alte surse de finanțare</w:t>
            </w:r>
          </w:p>
        </w:tc>
        <w:tc>
          <w:tcPr>
            <w:tcW w:w="505" w:type="pct"/>
            <w:shd w:val="clear" w:color="auto" w:fill="F2F2F2"/>
            <w:noWrap/>
            <w:hideMark/>
          </w:tcPr>
          <w:p w14:paraId="3BD3581F"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35E8820B"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2583ADA7" w14:textId="77777777" w:rsidTr="00B0207B">
        <w:trPr>
          <w:trHeight w:val="3234"/>
        </w:trPr>
        <w:tc>
          <w:tcPr>
            <w:tcW w:w="219" w:type="pct"/>
            <w:shd w:val="clear" w:color="auto" w:fill="F2F2F2"/>
            <w:noWrap/>
            <w:hideMark/>
          </w:tcPr>
          <w:p w14:paraId="0BD6A654" w14:textId="77777777" w:rsidR="00262046" w:rsidRPr="00912996" w:rsidRDefault="00262046" w:rsidP="00396D75">
            <w:pPr>
              <w:rPr>
                <w:rFonts w:ascii="Calibri" w:hAnsi="Calibri"/>
                <w:bCs/>
                <w:lang w:eastAsia="ja-JP"/>
              </w:rPr>
            </w:pPr>
            <w:r w:rsidRPr="00912996">
              <w:rPr>
                <w:rFonts w:ascii="Calibri" w:hAnsi="Calibri"/>
                <w:bCs/>
                <w:lang w:eastAsia="ja-JP"/>
              </w:rPr>
              <w:t>2</w:t>
            </w:r>
          </w:p>
        </w:tc>
        <w:tc>
          <w:tcPr>
            <w:tcW w:w="949" w:type="pct"/>
            <w:shd w:val="clear" w:color="auto" w:fill="F2F2F2"/>
            <w:hideMark/>
          </w:tcPr>
          <w:p w14:paraId="44B79CB6" w14:textId="77777777" w:rsidR="00262046" w:rsidRPr="00912996" w:rsidRDefault="00262046" w:rsidP="00396D75">
            <w:pPr>
              <w:rPr>
                <w:rFonts w:ascii="Calibri" w:hAnsi="Calibri"/>
                <w:bCs/>
                <w:lang w:eastAsia="ja-JP"/>
              </w:rPr>
            </w:pPr>
            <w:r w:rsidRPr="00912996">
              <w:rPr>
                <w:rFonts w:ascii="Calibri" w:hAnsi="Calibri"/>
                <w:bCs/>
                <w:lang w:eastAsia="ja-JP"/>
              </w:rPr>
              <w:t>Proiect de realizare de parteneriate cu mediul privat (Corporate Social Responsability) pentru acordare de micro-granturi, consultanță și parteneriat pentru persoanele dezavantajate care au beneficiat de cursuri de reorientare profesională și care vor să își înființeze propria afacere</w:t>
            </w:r>
          </w:p>
        </w:tc>
        <w:tc>
          <w:tcPr>
            <w:tcW w:w="505" w:type="pct"/>
            <w:shd w:val="clear" w:color="auto" w:fill="F2F2F2"/>
            <w:hideMark/>
          </w:tcPr>
          <w:p w14:paraId="5303D4CC" w14:textId="77777777" w:rsidR="00262046" w:rsidRPr="00912996" w:rsidRDefault="00262046" w:rsidP="00396D75">
            <w:pPr>
              <w:rPr>
                <w:rFonts w:ascii="Calibri" w:hAnsi="Calibri"/>
                <w:bCs/>
                <w:lang w:eastAsia="ja-JP"/>
              </w:rPr>
            </w:pPr>
            <w:r w:rsidRPr="00912996">
              <w:rPr>
                <w:rFonts w:ascii="Calibri" w:hAnsi="Calibri"/>
                <w:bCs/>
                <w:lang w:eastAsia="ja-JP"/>
              </w:rPr>
              <w:t>PS2, DGASPC S2, ISMB S2, Asociația Patronatelor ONG -uri de profil</w:t>
            </w:r>
          </w:p>
        </w:tc>
        <w:tc>
          <w:tcPr>
            <w:tcW w:w="569" w:type="pct"/>
            <w:shd w:val="clear" w:color="auto" w:fill="F2F2F2"/>
            <w:noWrap/>
            <w:hideMark/>
          </w:tcPr>
          <w:p w14:paraId="5507786A"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1AA36057" w14:textId="77777777" w:rsidR="00262046" w:rsidRPr="00912996" w:rsidRDefault="00262046" w:rsidP="00396D75">
            <w:pPr>
              <w:rPr>
                <w:rFonts w:ascii="Calibri" w:hAnsi="Calibri"/>
                <w:bCs/>
                <w:lang w:eastAsia="ja-JP"/>
              </w:rPr>
            </w:pPr>
            <w:r w:rsidRPr="00912996">
              <w:rPr>
                <w:rFonts w:ascii="Calibri" w:hAnsi="Calibri"/>
                <w:bCs/>
                <w:lang w:eastAsia="ja-JP"/>
              </w:rPr>
              <w:t>2,215,000</w:t>
            </w:r>
          </w:p>
        </w:tc>
        <w:tc>
          <w:tcPr>
            <w:tcW w:w="379" w:type="pct"/>
            <w:shd w:val="clear" w:color="auto" w:fill="F2F2F2"/>
            <w:noWrap/>
            <w:hideMark/>
          </w:tcPr>
          <w:p w14:paraId="08B39751" w14:textId="77777777" w:rsidR="00262046" w:rsidRPr="00912996" w:rsidRDefault="00262046" w:rsidP="00396D75">
            <w:pPr>
              <w:rPr>
                <w:rFonts w:ascii="Calibri" w:hAnsi="Calibri"/>
                <w:bCs/>
                <w:lang w:eastAsia="ja-JP"/>
              </w:rPr>
            </w:pPr>
            <w:r w:rsidRPr="00912996">
              <w:rPr>
                <w:rFonts w:ascii="Calibri" w:hAnsi="Calibri"/>
                <w:bCs/>
                <w:lang w:eastAsia="ja-JP"/>
              </w:rPr>
              <w:t>452,041</w:t>
            </w:r>
          </w:p>
        </w:tc>
        <w:tc>
          <w:tcPr>
            <w:tcW w:w="348" w:type="pct"/>
            <w:shd w:val="clear" w:color="auto" w:fill="F2F2F2"/>
            <w:noWrap/>
            <w:hideMark/>
          </w:tcPr>
          <w:p w14:paraId="6CC0AA42" w14:textId="77777777" w:rsidR="00262046" w:rsidRPr="00912996" w:rsidRDefault="00262046" w:rsidP="00396D75">
            <w:pPr>
              <w:rPr>
                <w:rFonts w:ascii="Calibri" w:hAnsi="Calibri"/>
                <w:bCs/>
                <w:lang w:eastAsia="ja-JP"/>
              </w:rPr>
            </w:pPr>
            <w:r w:rsidRPr="00912996">
              <w:rPr>
                <w:rFonts w:ascii="Calibri" w:hAnsi="Calibri"/>
                <w:bCs/>
                <w:lang w:eastAsia="ja-JP"/>
              </w:rPr>
              <w:t>2017 - 2025</w:t>
            </w:r>
          </w:p>
        </w:tc>
        <w:tc>
          <w:tcPr>
            <w:tcW w:w="601" w:type="pct"/>
            <w:shd w:val="clear" w:color="auto" w:fill="F2F2F2"/>
            <w:hideMark/>
          </w:tcPr>
          <w:p w14:paraId="365089C8" w14:textId="77777777" w:rsidR="00262046" w:rsidRPr="00912996" w:rsidRDefault="00262046" w:rsidP="00396D75">
            <w:pPr>
              <w:rPr>
                <w:rFonts w:ascii="Calibri" w:hAnsi="Calibri"/>
                <w:bCs/>
                <w:lang w:eastAsia="ja-JP"/>
              </w:rPr>
            </w:pPr>
            <w:r w:rsidRPr="00912996">
              <w:rPr>
                <w:rFonts w:ascii="Calibri" w:hAnsi="Calibri"/>
                <w:bCs/>
                <w:lang w:eastAsia="ja-JP"/>
              </w:rPr>
              <w:t>POR BI P1, POIDS 2021-2027 P9, bugetul local, Alte surse de finanțare</w:t>
            </w:r>
          </w:p>
        </w:tc>
        <w:tc>
          <w:tcPr>
            <w:tcW w:w="505" w:type="pct"/>
            <w:shd w:val="clear" w:color="auto" w:fill="F2F2F2"/>
            <w:noWrap/>
            <w:hideMark/>
          </w:tcPr>
          <w:p w14:paraId="4AC29566"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25EA386E"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435B3658" w14:textId="77777777" w:rsidTr="00B0207B">
        <w:trPr>
          <w:trHeight w:val="1434"/>
        </w:trPr>
        <w:tc>
          <w:tcPr>
            <w:tcW w:w="219" w:type="pct"/>
            <w:shd w:val="clear" w:color="auto" w:fill="F2F2F2"/>
            <w:noWrap/>
            <w:hideMark/>
          </w:tcPr>
          <w:p w14:paraId="47A9A367" w14:textId="77777777" w:rsidR="00262046" w:rsidRPr="00912996" w:rsidRDefault="00262046" w:rsidP="00396D75">
            <w:pPr>
              <w:rPr>
                <w:rFonts w:ascii="Calibri" w:hAnsi="Calibri"/>
                <w:bCs/>
                <w:lang w:eastAsia="ja-JP"/>
              </w:rPr>
            </w:pPr>
            <w:r w:rsidRPr="00912996">
              <w:rPr>
                <w:rFonts w:ascii="Calibri" w:hAnsi="Calibri"/>
                <w:bCs/>
                <w:lang w:eastAsia="ja-JP"/>
              </w:rPr>
              <w:t>3</w:t>
            </w:r>
          </w:p>
        </w:tc>
        <w:tc>
          <w:tcPr>
            <w:tcW w:w="949" w:type="pct"/>
            <w:shd w:val="clear" w:color="auto" w:fill="F2F2F2"/>
            <w:hideMark/>
          </w:tcPr>
          <w:p w14:paraId="51EE880C" w14:textId="77777777" w:rsidR="00262046" w:rsidRPr="00912996" w:rsidRDefault="00262046" w:rsidP="00396D75">
            <w:pPr>
              <w:rPr>
                <w:rFonts w:ascii="Calibri" w:hAnsi="Calibri"/>
                <w:bCs/>
                <w:lang w:eastAsia="ja-JP"/>
              </w:rPr>
            </w:pPr>
            <w:r w:rsidRPr="00912996">
              <w:rPr>
                <w:rFonts w:ascii="Calibri" w:hAnsi="Calibri"/>
                <w:bCs/>
                <w:lang w:eastAsia="ja-JP"/>
              </w:rPr>
              <w:t>Facilitarea parteneriatelor între unitățile de învățământ tehnic și angajatori în vederea încadrării absolvenților pe piața muncii</w:t>
            </w:r>
          </w:p>
        </w:tc>
        <w:tc>
          <w:tcPr>
            <w:tcW w:w="505" w:type="pct"/>
            <w:shd w:val="clear" w:color="auto" w:fill="F2F2F2"/>
            <w:hideMark/>
          </w:tcPr>
          <w:p w14:paraId="46E62833"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w:t>
            </w:r>
            <w:r w:rsidRPr="00912996">
              <w:rPr>
                <w:rFonts w:ascii="Calibri" w:hAnsi="Calibri"/>
                <w:bCs/>
                <w:lang w:eastAsia="ja-JP"/>
              </w:rPr>
              <w:t>ONG</w:t>
            </w:r>
            <w:r>
              <w:rPr>
                <w:rFonts w:ascii="Calibri" w:hAnsi="Calibri"/>
                <w:bCs/>
                <w:lang w:eastAsia="ja-JP"/>
              </w:rPr>
              <w:t xml:space="preserve">, </w:t>
            </w:r>
            <w:r w:rsidRPr="00912996">
              <w:rPr>
                <w:rFonts w:ascii="Calibri" w:hAnsi="Calibri"/>
                <w:bCs/>
                <w:lang w:eastAsia="ja-JP"/>
              </w:rPr>
              <w:t>Instituții de învățământ</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06A0FF54"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696FE1FA" w14:textId="77777777" w:rsidR="00262046" w:rsidRPr="00912996" w:rsidRDefault="00262046" w:rsidP="00396D75">
            <w:pPr>
              <w:rPr>
                <w:rFonts w:ascii="Calibri" w:hAnsi="Calibri"/>
                <w:bCs/>
                <w:lang w:eastAsia="ja-JP"/>
              </w:rPr>
            </w:pPr>
            <w:r w:rsidRPr="00912996">
              <w:rPr>
                <w:rFonts w:ascii="Calibri" w:hAnsi="Calibri"/>
                <w:bCs/>
                <w:lang w:eastAsia="ja-JP"/>
              </w:rPr>
              <w:t>66,450</w:t>
            </w:r>
          </w:p>
        </w:tc>
        <w:tc>
          <w:tcPr>
            <w:tcW w:w="379" w:type="pct"/>
            <w:shd w:val="clear" w:color="auto" w:fill="F2F2F2"/>
            <w:noWrap/>
            <w:hideMark/>
          </w:tcPr>
          <w:p w14:paraId="043D10F6" w14:textId="77777777" w:rsidR="00262046" w:rsidRPr="00912996" w:rsidRDefault="00262046" w:rsidP="00396D75">
            <w:pPr>
              <w:rPr>
                <w:rFonts w:ascii="Calibri" w:hAnsi="Calibri"/>
                <w:bCs/>
                <w:lang w:eastAsia="ja-JP"/>
              </w:rPr>
            </w:pPr>
            <w:r w:rsidRPr="00912996">
              <w:rPr>
                <w:rFonts w:ascii="Calibri" w:hAnsi="Calibri"/>
                <w:bCs/>
                <w:lang w:eastAsia="ja-JP"/>
              </w:rPr>
              <w:t>13,561</w:t>
            </w:r>
          </w:p>
        </w:tc>
        <w:tc>
          <w:tcPr>
            <w:tcW w:w="348" w:type="pct"/>
            <w:shd w:val="clear" w:color="auto" w:fill="F2F2F2"/>
            <w:noWrap/>
            <w:hideMark/>
          </w:tcPr>
          <w:p w14:paraId="35C05861"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2F0B3EC1" w14:textId="77777777" w:rsidR="00262046" w:rsidRPr="00912996" w:rsidRDefault="00262046" w:rsidP="00396D75">
            <w:pPr>
              <w:rPr>
                <w:rFonts w:ascii="Calibri" w:hAnsi="Calibri"/>
                <w:bCs/>
                <w:lang w:eastAsia="ja-JP"/>
              </w:rPr>
            </w:pPr>
            <w:r w:rsidRPr="00912996">
              <w:rPr>
                <w:rFonts w:ascii="Calibri" w:hAnsi="Calibri"/>
                <w:bCs/>
                <w:lang w:eastAsia="ja-JP"/>
              </w:rPr>
              <w:t>POEO 2021-2027 P3 Bugetul local/ Buget parteneri privați/ Alte surse de finanțare</w:t>
            </w:r>
          </w:p>
        </w:tc>
        <w:tc>
          <w:tcPr>
            <w:tcW w:w="505" w:type="pct"/>
            <w:shd w:val="clear" w:color="auto" w:fill="F2F2F2"/>
            <w:noWrap/>
            <w:hideMark/>
          </w:tcPr>
          <w:p w14:paraId="5D7350D2"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2BF078E8"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205B5CF4" w14:textId="77777777" w:rsidTr="00B0207B">
        <w:trPr>
          <w:trHeight w:val="1533"/>
        </w:trPr>
        <w:tc>
          <w:tcPr>
            <w:tcW w:w="219" w:type="pct"/>
            <w:shd w:val="clear" w:color="auto" w:fill="F2F2F2"/>
            <w:noWrap/>
            <w:hideMark/>
          </w:tcPr>
          <w:p w14:paraId="1D40B48C" w14:textId="77777777" w:rsidR="00262046" w:rsidRPr="00912996" w:rsidRDefault="00262046" w:rsidP="00396D75">
            <w:pPr>
              <w:rPr>
                <w:rFonts w:ascii="Calibri" w:hAnsi="Calibri"/>
                <w:bCs/>
                <w:lang w:eastAsia="ja-JP"/>
              </w:rPr>
            </w:pPr>
            <w:r w:rsidRPr="00912996">
              <w:rPr>
                <w:rFonts w:ascii="Calibri" w:hAnsi="Calibri"/>
                <w:bCs/>
                <w:lang w:eastAsia="ja-JP"/>
              </w:rPr>
              <w:t>4</w:t>
            </w:r>
          </w:p>
        </w:tc>
        <w:tc>
          <w:tcPr>
            <w:tcW w:w="949" w:type="pct"/>
            <w:shd w:val="clear" w:color="auto" w:fill="F2F2F2"/>
            <w:hideMark/>
          </w:tcPr>
          <w:p w14:paraId="565B2BE2" w14:textId="77777777" w:rsidR="00262046" w:rsidRPr="00912996" w:rsidRDefault="00262046" w:rsidP="00396D75">
            <w:pPr>
              <w:rPr>
                <w:rFonts w:ascii="Calibri" w:hAnsi="Calibri"/>
                <w:bCs/>
                <w:lang w:eastAsia="ja-JP"/>
              </w:rPr>
            </w:pPr>
            <w:r w:rsidRPr="00912996">
              <w:rPr>
                <w:rFonts w:ascii="Calibri" w:hAnsi="Calibri"/>
                <w:bCs/>
                <w:lang w:eastAsia="ja-JP"/>
              </w:rPr>
              <w:t>Sprijinirea organizării de programe de formare/reconversie profesională adaptată cerințelor pieței</w:t>
            </w:r>
          </w:p>
        </w:tc>
        <w:tc>
          <w:tcPr>
            <w:tcW w:w="505" w:type="pct"/>
            <w:shd w:val="clear" w:color="auto" w:fill="F2F2F2"/>
            <w:noWrap/>
            <w:hideMark/>
          </w:tcPr>
          <w:p w14:paraId="02AF72D1"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 xml:space="preserve">, </w:t>
            </w:r>
            <w:r w:rsidRPr="00912996">
              <w:rPr>
                <w:rFonts w:ascii="Calibri" w:hAnsi="Calibri"/>
                <w:bCs/>
                <w:lang w:eastAsia="ja-JP"/>
              </w:rPr>
              <w:t>AJOFM</w:t>
            </w:r>
          </w:p>
        </w:tc>
        <w:tc>
          <w:tcPr>
            <w:tcW w:w="569" w:type="pct"/>
            <w:shd w:val="clear" w:color="auto" w:fill="F2F2F2"/>
            <w:noWrap/>
            <w:hideMark/>
          </w:tcPr>
          <w:p w14:paraId="1FD47D1E"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35D09C6D" w14:textId="77777777" w:rsidR="00262046" w:rsidRPr="00912996" w:rsidRDefault="00262046" w:rsidP="00396D75">
            <w:pPr>
              <w:rPr>
                <w:rFonts w:ascii="Calibri" w:hAnsi="Calibri"/>
                <w:bCs/>
                <w:lang w:eastAsia="ja-JP"/>
              </w:rPr>
            </w:pPr>
            <w:r w:rsidRPr="00912996">
              <w:rPr>
                <w:rFonts w:ascii="Calibri" w:hAnsi="Calibri"/>
                <w:bCs/>
                <w:lang w:eastAsia="ja-JP"/>
              </w:rPr>
              <w:t>245,000</w:t>
            </w:r>
          </w:p>
        </w:tc>
        <w:tc>
          <w:tcPr>
            <w:tcW w:w="379" w:type="pct"/>
            <w:shd w:val="clear" w:color="auto" w:fill="F2F2F2"/>
            <w:noWrap/>
            <w:hideMark/>
          </w:tcPr>
          <w:p w14:paraId="1F0DD8BE" w14:textId="77777777" w:rsidR="00262046" w:rsidRPr="00912996" w:rsidRDefault="00262046" w:rsidP="00396D75">
            <w:pPr>
              <w:rPr>
                <w:rFonts w:ascii="Calibri" w:hAnsi="Calibri"/>
                <w:bCs/>
                <w:lang w:eastAsia="ja-JP"/>
              </w:rPr>
            </w:pPr>
            <w:r w:rsidRPr="00912996">
              <w:rPr>
                <w:rFonts w:ascii="Calibri" w:hAnsi="Calibri"/>
                <w:bCs/>
                <w:lang w:eastAsia="ja-JP"/>
              </w:rPr>
              <w:t>50,000</w:t>
            </w:r>
          </w:p>
        </w:tc>
        <w:tc>
          <w:tcPr>
            <w:tcW w:w="348" w:type="pct"/>
            <w:shd w:val="clear" w:color="auto" w:fill="F2F2F2"/>
            <w:noWrap/>
            <w:hideMark/>
          </w:tcPr>
          <w:p w14:paraId="7140AE03"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5960A3BF" w14:textId="77777777" w:rsidR="00262046" w:rsidRPr="00912996" w:rsidRDefault="00262046" w:rsidP="00396D75">
            <w:pPr>
              <w:rPr>
                <w:rFonts w:ascii="Calibri" w:hAnsi="Calibri"/>
                <w:bCs/>
                <w:lang w:eastAsia="ja-JP"/>
              </w:rPr>
            </w:pPr>
            <w:r w:rsidRPr="00912996">
              <w:rPr>
                <w:rFonts w:ascii="Calibri" w:hAnsi="Calibri"/>
                <w:bCs/>
                <w:lang w:eastAsia="ja-JP"/>
              </w:rPr>
              <w:t>POEO 2021-2027 P7, Bugetul local, Buget parteneri, Alte surse de finanțare</w:t>
            </w:r>
          </w:p>
        </w:tc>
        <w:tc>
          <w:tcPr>
            <w:tcW w:w="505" w:type="pct"/>
            <w:shd w:val="clear" w:color="auto" w:fill="F2F2F2"/>
            <w:noWrap/>
            <w:hideMark/>
          </w:tcPr>
          <w:p w14:paraId="6B76BD90"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45531BB9"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6916B237" w14:textId="77777777" w:rsidTr="00B0207B">
        <w:trPr>
          <w:trHeight w:val="1344"/>
        </w:trPr>
        <w:tc>
          <w:tcPr>
            <w:tcW w:w="219" w:type="pct"/>
            <w:shd w:val="clear" w:color="auto" w:fill="F2F2F2"/>
            <w:noWrap/>
            <w:hideMark/>
          </w:tcPr>
          <w:p w14:paraId="6C09C0D3" w14:textId="77777777" w:rsidR="00262046" w:rsidRPr="00912996" w:rsidRDefault="00262046" w:rsidP="00396D75">
            <w:pPr>
              <w:rPr>
                <w:rFonts w:ascii="Calibri" w:hAnsi="Calibri"/>
                <w:bCs/>
                <w:lang w:eastAsia="ja-JP"/>
              </w:rPr>
            </w:pPr>
            <w:r w:rsidRPr="00912996">
              <w:rPr>
                <w:rFonts w:ascii="Calibri" w:hAnsi="Calibri"/>
                <w:bCs/>
                <w:lang w:eastAsia="ja-JP"/>
              </w:rPr>
              <w:t>5</w:t>
            </w:r>
          </w:p>
        </w:tc>
        <w:tc>
          <w:tcPr>
            <w:tcW w:w="949" w:type="pct"/>
            <w:shd w:val="clear" w:color="auto" w:fill="F2F2F2"/>
            <w:hideMark/>
          </w:tcPr>
          <w:p w14:paraId="4D3743BB" w14:textId="77777777" w:rsidR="00262046" w:rsidRPr="00912996" w:rsidRDefault="00262046" w:rsidP="00396D75">
            <w:pPr>
              <w:rPr>
                <w:rFonts w:ascii="Calibri" w:hAnsi="Calibri"/>
                <w:bCs/>
                <w:lang w:eastAsia="ja-JP"/>
              </w:rPr>
            </w:pPr>
            <w:r w:rsidRPr="00912996">
              <w:rPr>
                <w:rFonts w:ascii="Calibri" w:hAnsi="Calibri"/>
                <w:bCs/>
                <w:lang w:eastAsia="ja-JP"/>
              </w:rPr>
              <w:t>Dezvoltarea de programe în parteneriat cu unitățile de învățământ în vederea susținerii participării la educație</w:t>
            </w:r>
          </w:p>
        </w:tc>
        <w:tc>
          <w:tcPr>
            <w:tcW w:w="505" w:type="pct"/>
            <w:shd w:val="clear" w:color="auto" w:fill="F2F2F2"/>
            <w:hideMark/>
          </w:tcPr>
          <w:p w14:paraId="5C2E381F"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w:t>
            </w:r>
            <w:r w:rsidRPr="00912996">
              <w:rPr>
                <w:rFonts w:ascii="Calibri" w:hAnsi="Calibri"/>
                <w:bCs/>
                <w:lang w:eastAsia="ja-JP"/>
              </w:rPr>
              <w:t>ONG</w:t>
            </w:r>
            <w:r>
              <w:rPr>
                <w:rFonts w:ascii="Calibri" w:hAnsi="Calibri"/>
                <w:bCs/>
                <w:lang w:eastAsia="ja-JP"/>
              </w:rPr>
              <w:t xml:space="preserve">, </w:t>
            </w:r>
            <w:r w:rsidRPr="00912996">
              <w:rPr>
                <w:rFonts w:ascii="Calibri" w:hAnsi="Calibri"/>
                <w:bCs/>
                <w:lang w:eastAsia="ja-JP"/>
              </w:rPr>
              <w:t>Instituții de învățământ</w:t>
            </w:r>
          </w:p>
        </w:tc>
        <w:tc>
          <w:tcPr>
            <w:tcW w:w="569" w:type="pct"/>
            <w:shd w:val="clear" w:color="auto" w:fill="F2F2F2"/>
            <w:noWrap/>
            <w:hideMark/>
          </w:tcPr>
          <w:p w14:paraId="742BD945"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513B2E5E" w14:textId="77777777" w:rsidR="00262046" w:rsidRPr="00912996" w:rsidRDefault="00262046" w:rsidP="00396D75">
            <w:pPr>
              <w:rPr>
                <w:rFonts w:ascii="Calibri" w:hAnsi="Calibri"/>
                <w:bCs/>
                <w:lang w:eastAsia="ja-JP"/>
              </w:rPr>
            </w:pPr>
            <w:r w:rsidRPr="00912996">
              <w:rPr>
                <w:rFonts w:ascii="Calibri" w:hAnsi="Calibri"/>
                <w:bCs/>
                <w:lang w:eastAsia="ja-JP"/>
              </w:rPr>
              <w:t>490,000</w:t>
            </w:r>
          </w:p>
        </w:tc>
        <w:tc>
          <w:tcPr>
            <w:tcW w:w="379" w:type="pct"/>
            <w:shd w:val="clear" w:color="auto" w:fill="F2F2F2"/>
            <w:noWrap/>
            <w:hideMark/>
          </w:tcPr>
          <w:p w14:paraId="666EA131" w14:textId="77777777" w:rsidR="00262046" w:rsidRPr="00912996" w:rsidRDefault="00262046" w:rsidP="00396D75">
            <w:pPr>
              <w:rPr>
                <w:rFonts w:ascii="Calibri" w:hAnsi="Calibri"/>
                <w:bCs/>
                <w:lang w:eastAsia="ja-JP"/>
              </w:rPr>
            </w:pPr>
            <w:r w:rsidRPr="00912996">
              <w:rPr>
                <w:rFonts w:ascii="Calibri" w:hAnsi="Calibri"/>
                <w:bCs/>
                <w:lang w:eastAsia="ja-JP"/>
              </w:rPr>
              <w:t>100,000</w:t>
            </w:r>
          </w:p>
        </w:tc>
        <w:tc>
          <w:tcPr>
            <w:tcW w:w="348" w:type="pct"/>
            <w:shd w:val="clear" w:color="auto" w:fill="F2F2F2"/>
            <w:noWrap/>
            <w:hideMark/>
          </w:tcPr>
          <w:p w14:paraId="3D2AB4DC"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2A693084" w14:textId="77777777" w:rsidR="00262046" w:rsidRPr="00912996" w:rsidRDefault="00262046" w:rsidP="00396D75">
            <w:pPr>
              <w:rPr>
                <w:rFonts w:ascii="Calibri" w:hAnsi="Calibri"/>
                <w:bCs/>
                <w:lang w:eastAsia="ja-JP"/>
              </w:rPr>
            </w:pPr>
            <w:r w:rsidRPr="00912996">
              <w:rPr>
                <w:rFonts w:ascii="Calibri" w:hAnsi="Calibri"/>
                <w:bCs/>
                <w:lang w:eastAsia="ja-JP"/>
              </w:rPr>
              <w:t>POEO 2021-2027 P7, Bugetul local, Buget parteneri, Alte surse de finanțare</w:t>
            </w:r>
          </w:p>
        </w:tc>
        <w:tc>
          <w:tcPr>
            <w:tcW w:w="505" w:type="pct"/>
            <w:shd w:val="clear" w:color="auto" w:fill="F2F2F2"/>
            <w:noWrap/>
            <w:hideMark/>
          </w:tcPr>
          <w:p w14:paraId="20771491"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135CC5A3"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07220E77" w14:textId="77777777" w:rsidTr="00B0207B">
        <w:trPr>
          <w:trHeight w:val="1524"/>
        </w:trPr>
        <w:tc>
          <w:tcPr>
            <w:tcW w:w="219" w:type="pct"/>
            <w:shd w:val="clear" w:color="auto" w:fill="F2F2F2"/>
            <w:noWrap/>
            <w:hideMark/>
          </w:tcPr>
          <w:p w14:paraId="26BFC412" w14:textId="77777777" w:rsidR="00262046" w:rsidRPr="00912996" w:rsidRDefault="00262046" w:rsidP="00396D75">
            <w:pPr>
              <w:rPr>
                <w:rFonts w:ascii="Calibri" w:hAnsi="Calibri"/>
                <w:bCs/>
                <w:lang w:eastAsia="ja-JP"/>
              </w:rPr>
            </w:pPr>
            <w:r w:rsidRPr="00912996">
              <w:rPr>
                <w:rFonts w:ascii="Calibri" w:hAnsi="Calibri"/>
                <w:bCs/>
                <w:lang w:eastAsia="ja-JP"/>
              </w:rPr>
              <w:t>6</w:t>
            </w:r>
          </w:p>
        </w:tc>
        <w:tc>
          <w:tcPr>
            <w:tcW w:w="949" w:type="pct"/>
            <w:shd w:val="clear" w:color="auto" w:fill="F2F2F2"/>
            <w:hideMark/>
          </w:tcPr>
          <w:p w14:paraId="25D1A315" w14:textId="77777777" w:rsidR="00262046" w:rsidRPr="00912996" w:rsidRDefault="00262046" w:rsidP="00396D75">
            <w:pPr>
              <w:rPr>
                <w:rFonts w:ascii="Calibri" w:hAnsi="Calibri"/>
                <w:bCs/>
                <w:lang w:eastAsia="ja-JP"/>
              </w:rPr>
            </w:pPr>
            <w:r w:rsidRPr="00912996">
              <w:rPr>
                <w:rFonts w:ascii="Calibri" w:hAnsi="Calibri"/>
                <w:bCs/>
                <w:lang w:eastAsia="ja-JP"/>
              </w:rPr>
              <w:t>Susținerea programelor de formare continua a angajaților</w:t>
            </w:r>
          </w:p>
        </w:tc>
        <w:tc>
          <w:tcPr>
            <w:tcW w:w="505" w:type="pct"/>
            <w:shd w:val="clear" w:color="auto" w:fill="F2F2F2"/>
            <w:hideMark/>
          </w:tcPr>
          <w:p w14:paraId="766A2D79" w14:textId="77777777" w:rsidR="00262046" w:rsidRPr="00912996" w:rsidRDefault="00262046" w:rsidP="00396D75">
            <w:pPr>
              <w:rPr>
                <w:rFonts w:ascii="Calibri" w:hAnsi="Calibri"/>
                <w:bCs/>
                <w:lang w:eastAsia="ja-JP"/>
              </w:rPr>
            </w:pPr>
            <w:r w:rsidRPr="00912996">
              <w:rPr>
                <w:rFonts w:ascii="Calibri" w:hAnsi="Calibri"/>
                <w:bCs/>
                <w:lang w:eastAsia="ja-JP"/>
              </w:rPr>
              <w:t>PS2, PMB</w:t>
            </w:r>
          </w:p>
        </w:tc>
        <w:tc>
          <w:tcPr>
            <w:tcW w:w="569" w:type="pct"/>
            <w:shd w:val="clear" w:color="auto" w:fill="F2F2F2"/>
            <w:noWrap/>
            <w:hideMark/>
          </w:tcPr>
          <w:p w14:paraId="625F7AC8"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03F6465E" w14:textId="77777777" w:rsidR="00262046" w:rsidRPr="00912996" w:rsidRDefault="00262046" w:rsidP="00396D75">
            <w:pPr>
              <w:rPr>
                <w:rFonts w:ascii="Calibri" w:hAnsi="Calibri"/>
                <w:bCs/>
                <w:lang w:eastAsia="ja-JP"/>
              </w:rPr>
            </w:pPr>
            <w:r w:rsidRPr="00912996">
              <w:rPr>
                <w:rFonts w:ascii="Calibri" w:hAnsi="Calibri"/>
                <w:bCs/>
                <w:lang w:eastAsia="ja-JP"/>
              </w:rPr>
              <w:t>4,900,000</w:t>
            </w:r>
          </w:p>
        </w:tc>
        <w:tc>
          <w:tcPr>
            <w:tcW w:w="379" w:type="pct"/>
            <w:shd w:val="clear" w:color="auto" w:fill="F2F2F2"/>
            <w:noWrap/>
            <w:hideMark/>
          </w:tcPr>
          <w:p w14:paraId="19F6335B" w14:textId="77777777" w:rsidR="00262046" w:rsidRPr="00912996" w:rsidRDefault="00262046" w:rsidP="00396D75">
            <w:pPr>
              <w:rPr>
                <w:rFonts w:ascii="Calibri" w:hAnsi="Calibri"/>
                <w:bCs/>
                <w:lang w:eastAsia="ja-JP"/>
              </w:rPr>
            </w:pPr>
            <w:r w:rsidRPr="00912996">
              <w:rPr>
                <w:rFonts w:ascii="Calibri" w:hAnsi="Calibri"/>
                <w:bCs/>
                <w:lang w:eastAsia="ja-JP"/>
              </w:rPr>
              <w:t>1,000,000</w:t>
            </w:r>
          </w:p>
        </w:tc>
        <w:tc>
          <w:tcPr>
            <w:tcW w:w="348" w:type="pct"/>
            <w:shd w:val="clear" w:color="auto" w:fill="F2F2F2"/>
            <w:noWrap/>
            <w:hideMark/>
          </w:tcPr>
          <w:p w14:paraId="151CEE2C"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11E9C5BC" w14:textId="77777777" w:rsidR="00262046" w:rsidRPr="00912996" w:rsidRDefault="00262046" w:rsidP="00396D75">
            <w:pPr>
              <w:rPr>
                <w:rFonts w:ascii="Calibri" w:hAnsi="Calibri"/>
                <w:bCs/>
                <w:lang w:eastAsia="ja-JP"/>
              </w:rPr>
            </w:pPr>
            <w:r w:rsidRPr="00912996">
              <w:rPr>
                <w:rFonts w:ascii="Calibri" w:hAnsi="Calibri"/>
                <w:bCs/>
                <w:lang w:eastAsia="ja-JP"/>
              </w:rPr>
              <w:t>POEO 2021-2027 P7, Bugetul local, Buget parteneri, Alte surse de finanțare</w:t>
            </w:r>
          </w:p>
        </w:tc>
        <w:tc>
          <w:tcPr>
            <w:tcW w:w="505" w:type="pct"/>
            <w:shd w:val="clear" w:color="auto" w:fill="F2F2F2"/>
            <w:noWrap/>
            <w:hideMark/>
          </w:tcPr>
          <w:p w14:paraId="5053762B" w14:textId="77777777" w:rsidR="00262046" w:rsidRPr="00912996" w:rsidRDefault="00262046" w:rsidP="00396D75">
            <w:pPr>
              <w:rPr>
                <w:rFonts w:ascii="Calibri" w:hAnsi="Calibri"/>
                <w:bCs/>
                <w:lang w:eastAsia="ja-JP"/>
              </w:rPr>
            </w:pPr>
            <w:r w:rsidRPr="00912996">
              <w:rPr>
                <w:rFonts w:ascii="Calibri" w:hAnsi="Calibri"/>
                <w:bCs/>
                <w:lang w:eastAsia="ja-JP"/>
              </w:rPr>
              <w:t>Proiect prioritar</w:t>
            </w:r>
          </w:p>
        </w:tc>
        <w:tc>
          <w:tcPr>
            <w:tcW w:w="514" w:type="pct"/>
            <w:shd w:val="clear" w:color="auto" w:fill="F2F2F2"/>
            <w:hideMark/>
          </w:tcPr>
          <w:p w14:paraId="2CE9244B"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2FCF9CEA" w14:textId="77777777" w:rsidTr="00396D75">
        <w:trPr>
          <w:trHeight w:val="276"/>
        </w:trPr>
        <w:tc>
          <w:tcPr>
            <w:tcW w:w="5000" w:type="pct"/>
            <w:gridSpan w:val="10"/>
            <w:shd w:val="clear" w:color="auto" w:fill="BBD9A0"/>
            <w:noWrap/>
            <w:hideMark/>
          </w:tcPr>
          <w:p w14:paraId="4091AE11" w14:textId="77777777" w:rsidR="00262046" w:rsidRPr="00912996" w:rsidRDefault="00262046" w:rsidP="00A173B0">
            <w:pPr>
              <w:jc w:val="center"/>
              <w:rPr>
                <w:rFonts w:ascii="Calibri" w:hAnsi="Calibri"/>
                <w:b/>
                <w:bCs/>
                <w:color w:val="FFFFFF"/>
                <w:lang w:eastAsia="ja-JP"/>
              </w:rPr>
            </w:pPr>
            <w:r w:rsidRPr="00912996">
              <w:rPr>
                <w:rFonts w:ascii="Calibri" w:hAnsi="Calibri"/>
                <w:b/>
                <w:bCs/>
                <w:color w:val="FFFFFF"/>
                <w:lang w:eastAsia="ja-JP"/>
              </w:rPr>
              <w:t>D2.2.2. Facilitarea atragerii, retenției și integrării forței de muncă din afara Sectorului 2 / din afara Capitalei</w:t>
            </w:r>
          </w:p>
        </w:tc>
      </w:tr>
      <w:tr w:rsidR="00262046" w:rsidRPr="00912996" w14:paraId="47ED580F" w14:textId="77777777" w:rsidTr="00D719F3">
        <w:trPr>
          <w:trHeight w:val="615"/>
        </w:trPr>
        <w:tc>
          <w:tcPr>
            <w:tcW w:w="219" w:type="pct"/>
            <w:shd w:val="clear" w:color="auto" w:fill="F2F2F2"/>
            <w:noWrap/>
            <w:hideMark/>
          </w:tcPr>
          <w:p w14:paraId="4AC39593" w14:textId="77777777" w:rsidR="00262046" w:rsidRPr="00912996" w:rsidRDefault="00262046" w:rsidP="00396D75">
            <w:pPr>
              <w:rPr>
                <w:rFonts w:ascii="Calibri" w:hAnsi="Calibri"/>
                <w:bCs/>
                <w:lang w:eastAsia="ja-JP"/>
              </w:rPr>
            </w:pPr>
            <w:r w:rsidRPr="00912996">
              <w:rPr>
                <w:rFonts w:ascii="Calibri" w:hAnsi="Calibri"/>
                <w:bCs/>
                <w:lang w:eastAsia="ja-JP"/>
              </w:rPr>
              <w:t>1</w:t>
            </w:r>
          </w:p>
        </w:tc>
        <w:tc>
          <w:tcPr>
            <w:tcW w:w="949" w:type="pct"/>
            <w:shd w:val="clear" w:color="auto" w:fill="F2F2F2"/>
            <w:hideMark/>
          </w:tcPr>
          <w:p w14:paraId="4C4DF6B4" w14:textId="77777777" w:rsidR="00262046" w:rsidRPr="00912996" w:rsidRDefault="00262046" w:rsidP="00396D75">
            <w:pPr>
              <w:rPr>
                <w:rFonts w:ascii="Calibri" w:hAnsi="Calibri"/>
                <w:bCs/>
                <w:lang w:eastAsia="ja-JP"/>
              </w:rPr>
            </w:pPr>
            <w:r w:rsidRPr="00912996">
              <w:rPr>
                <w:rFonts w:ascii="Calibri" w:hAnsi="Calibri"/>
                <w:bCs/>
                <w:lang w:eastAsia="ja-JP"/>
              </w:rPr>
              <w:t>Organizarea unor târguri de joburi, evenimente în cadrul cărora să fie promovate ofertele de muncă precum și instrumentele disponibile pentru găsirea unui loc de muncă</w:t>
            </w:r>
          </w:p>
        </w:tc>
        <w:tc>
          <w:tcPr>
            <w:tcW w:w="505" w:type="pct"/>
            <w:shd w:val="clear" w:color="auto" w:fill="F2F2F2"/>
            <w:hideMark/>
          </w:tcPr>
          <w:p w14:paraId="65FE2A1C"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w:t>
            </w:r>
            <w:r w:rsidRPr="00912996">
              <w:rPr>
                <w:rFonts w:ascii="Calibri" w:hAnsi="Calibri"/>
                <w:bCs/>
                <w:lang w:eastAsia="ja-JP"/>
              </w:rPr>
              <w:t>ONG</w:t>
            </w:r>
            <w:r>
              <w:rPr>
                <w:rFonts w:ascii="Calibri" w:hAnsi="Calibri"/>
                <w:bCs/>
                <w:lang w:eastAsia="ja-JP"/>
              </w:rPr>
              <w:t xml:space="preserve">, </w:t>
            </w:r>
            <w:r w:rsidRPr="00912996">
              <w:rPr>
                <w:rFonts w:ascii="Calibri" w:hAnsi="Calibri"/>
                <w:bCs/>
                <w:lang w:eastAsia="ja-JP"/>
              </w:rPr>
              <w:t>Instituții de învățământ</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62A26264"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0AA57797" w14:textId="77777777" w:rsidR="00262046" w:rsidRPr="00912996" w:rsidRDefault="00262046" w:rsidP="00396D75">
            <w:pPr>
              <w:rPr>
                <w:rFonts w:ascii="Calibri" w:hAnsi="Calibri"/>
                <w:bCs/>
                <w:lang w:eastAsia="ja-JP"/>
              </w:rPr>
            </w:pPr>
            <w:r w:rsidRPr="00912996">
              <w:rPr>
                <w:rFonts w:ascii="Calibri" w:hAnsi="Calibri"/>
                <w:bCs/>
                <w:lang w:eastAsia="ja-JP"/>
              </w:rPr>
              <w:t>443,000</w:t>
            </w:r>
          </w:p>
        </w:tc>
        <w:tc>
          <w:tcPr>
            <w:tcW w:w="379" w:type="pct"/>
            <w:shd w:val="clear" w:color="auto" w:fill="F2F2F2"/>
            <w:noWrap/>
            <w:hideMark/>
          </w:tcPr>
          <w:p w14:paraId="08E9867E" w14:textId="77777777" w:rsidR="00262046" w:rsidRPr="00912996" w:rsidRDefault="00262046" w:rsidP="00396D75">
            <w:pPr>
              <w:rPr>
                <w:rFonts w:ascii="Calibri" w:hAnsi="Calibri"/>
                <w:bCs/>
                <w:lang w:eastAsia="ja-JP"/>
              </w:rPr>
            </w:pPr>
            <w:r w:rsidRPr="00912996">
              <w:rPr>
                <w:rFonts w:ascii="Calibri" w:hAnsi="Calibri"/>
                <w:bCs/>
                <w:lang w:eastAsia="ja-JP"/>
              </w:rPr>
              <w:t>90,408</w:t>
            </w:r>
          </w:p>
        </w:tc>
        <w:tc>
          <w:tcPr>
            <w:tcW w:w="348" w:type="pct"/>
            <w:shd w:val="clear" w:color="auto" w:fill="F2F2F2"/>
            <w:noWrap/>
            <w:hideMark/>
          </w:tcPr>
          <w:p w14:paraId="01D950D1"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08FE0884" w14:textId="77777777" w:rsidR="00262046" w:rsidRPr="00912996" w:rsidRDefault="00262046" w:rsidP="00396D75">
            <w:pPr>
              <w:rPr>
                <w:rFonts w:ascii="Calibri" w:hAnsi="Calibri"/>
                <w:bCs/>
                <w:lang w:eastAsia="ja-JP"/>
              </w:rPr>
            </w:pPr>
            <w:r w:rsidRPr="00912996">
              <w:rPr>
                <w:rFonts w:ascii="Calibri" w:hAnsi="Calibri"/>
                <w:bCs/>
                <w:lang w:eastAsia="ja-JP"/>
              </w:rPr>
              <w:t>POEO 2021-2027 P3, Bugetul local, Buget parteneri, Alte surse de finanțare</w:t>
            </w:r>
          </w:p>
        </w:tc>
        <w:tc>
          <w:tcPr>
            <w:tcW w:w="505" w:type="pct"/>
            <w:shd w:val="clear" w:color="auto" w:fill="F2F2F2"/>
            <w:noWrap/>
            <w:hideMark/>
          </w:tcPr>
          <w:p w14:paraId="14997857"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5EAA578B"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7E90031E" w14:textId="77777777" w:rsidTr="00D719F3">
        <w:trPr>
          <w:trHeight w:val="804"/>
        </w:trPr>
        <w:tc>
          <w:tcPr>
            <w:tcW w:w="219" w:type="pct"/>
            <w:shd w:val="clear" w:color="auto" w:fill="F2F2F2"/>
            <w:noWrap/>
            <w:hideMark/>
          </w:tcPr>
          <w:p w14:paraId="77581076" w14:textId="77777777" w:rsidR="00262046" w:rsidRPr="00912996" w:rsidRDefault="00262046" w:rsidP="00396D75">
            <w:pPr>
              <w:rPr>
                <w:rFonts w:ascii="Calibri" w:hAnsi="Calibri"/>
                <w:bCs/>
                <w:lang w:eastAsia="ja-JP"/>
              </w:rPr>
            </w:pPr>
            <w:r w:rsidRPr="00912996">
              <w:rPr>
                <w:rFonts w:ascii="Calibri" w:hAnsi="Calibri"/>
                <w:bCs/>
                <w:lang w:eastAsia="ja-JP"/>
              </w:rPr>
              <w:t>2</w:t>
            </w:r>
          </w:p>
        </w:tc>
        <w:tc>
          <w:tcPr>
            <w:tcW w:w="949" w:type="pct"/>
            <w:shd w:val="clear" w:color="auto" w:fill="F2F2F2"/>
            <w:hideMark/>
          </w:tcPr>
          <w:p w14:paraId="087C76FB" w14:textId="77777777" w:rsidR="00262046" w:rsidRPr="00912996" w:rsidRDefault="00262046" w:rsidP="00396D75">
            <w:pPr>
              <w:rPr>
                <w:rFonts w:ascii="Calibri" w:hAnsi="Calibri"/>
                <w:bCs/>
                <w:lang w:eastAsia="ja-JP"/>
              </w:rPr>
            </w:pPr>
            <w:r w:rsidRPr="00912996">
              <w:rPr>
                <w:rFonts w:ascii="Calibri" w:hAnsi="Calibri"/>
                <w:bCs/>
                <w:lang w:eastAsia="ja-JP"/>
              </w:rPr>
              <w:t>Stagii de practică pentru studenții în administrație publică</w:t>
            </w:r>
          </w:p>
        </w:tc>
        <w:tc>
          <w:tcPr>
            <w:tcW w:w="505" w:type="pct"/>
            <w:shd w:val="clear" w:color="auto" w:fill="F2F2F2"/>
            <w:hideMark/>
          </w:tcPr>
          <w:p w14:paraId="29ED3541"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0C20CFB0"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61CC5AF1" w14:textId="77777777" w:rsidR="00262046" w:rsidRPr="00912996" w:rsidRDefault="00262046" w:rsidP="00396D75">
            <w:pPr>
              <w:rPr>
                <w:rFonts w:ascii="Calibri" w:hAnsi="Calibri"/>
                <w:bCs/>
                <w:lang w:eastAsia="ja-JP"/>
              </w:rPr>
            </w:pPr>
            <w:r w:rsidRPr="00912996">
              <w:rPr>
                <w:rFonts w:ascii="Calibri" w:hAnsi="Calibri"/>
                <w:bCs/>
                <w:lang w:eastAsia="ja-JP"/>
              </w:rPr>
              <w:t>245,000</w:t>
            </w:r>
          </w:p>
        </w:tc>
        <w:tc>
          <w:tcPr>
            <w:tcW w:w="379" w:type="pct"/>
            <w:shd w:val="clear" w:color="auto" w:fill="F2F2F2"/>
            <w:noWrap/>
            <w:hideMark/>
          </w:tcPr>
          <w:p w14:paraId="77C9BEBE" w14:textId="77777777" w:rsidR="00262046" w:rsidRPr="00912996" w:rsidRDefault="00262046" w:rsidP="00396D75">
            <w:pPr>
              <w:rPr>
                <w:rFonts w:ascii="Calibri" w:hAnsi="Calibri"/>
                <w:bCs/>
                <w:lang w:eastAsia="ja-JP"/>
              </w:rPr>
            </w:pPr>
            <w:r w:rsidRPr="00912996">
              <w:rPr>
                <w:rFonts w:ascii="Calibri" w:hAnsi="Calibri"/>
                <w:bCs/>
                <w:lang w:eastAsia="ja-JP"/>
              </w:rPr>
              <w:t>50,000</w:t>
            </w:r>
          </w:p>
        </w:tc>
        <w:tc>
          <w:tcPr>
            <w:tcW w:w="348" w:type="pct"/>
            <w:shd w:val="clear" w:color="auto" w:fill="F2F2F2"/>
            <w:noWrap/>
            <w:hideMark/>
          </w:tcPr>
          <w:p w14:paraId="11A76E25"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5F39434D" w14:textId="77777777" w:rsidR="00262046" w:rsidRPr="00912996" w:rsidRDefault="00262046" w:rsidP="00396D75">
            <w:pPr>
              <w:rPr>
                <w:rFonts w:ascii="Calibri" w:hAnsi="Calibri"/>
                <w:bCs/>
                <w:lang w:eastAsia="ja-JP"/>
              </w:rPr>
            </w:pPr>
            <w:r w:rsidRPr="00912996">
              <w:rPr>
                <w:rFonts w:ascii="Calibri" w:hAnsi="Calibri"/>
                <w:bCs/>
                <w:lang w:eastAsia="ja-JP"/>
              </w:rPr>
              <w:t>POEO 2021-2027 P2, P3, Bugetul local</w:t>
            </w:r>
          </w:p>
        </w:tc>
        <w:tc>
          <w:tcPr>
            <w:tcW w:w="505" w:type="pct"/>
            <w:shd w:val="clear" w:color="auto" w:fill="F2F2F2"/>
            <w:noWrap/>
            <w:hideMark/>
          </w:tcPr>
          <w:p w14:paraId="32D7D437"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1CF50365"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54D54CB8" w14:textId="77777777" w:rsidTr="00D719F3">
        <w:trPr>
          <w:trHeight w:val="1068"/>
        </w:trPr>
        <w:tc>
          <w:tcPr>
            <w:tcW w:w="219" w:type="pct"/>
            <w:shd w:val="clear" w:color="auto" w:fill="F2F2F2"/>
            <w:noWrap/>
            <w:hideMark/>
          </w:tcPr>
          <w:p w14:paraId="75D49666" w14:textId="77777777" w:rsidR="00262046" w:rsidRPr="00912996" w:rsidRDefault="00262046" w:rsidP="00396D75">
            <w:pPr>
              <w:rPr>
                <w:rFonts w:ascii="Calibri" w:hAnsi="Calibri"/>
                <w:bCs/>
                <w:lang w:eastAsia="ja-JP"/>
              </w:rPr>
            </w:pPr>
            <w:r w:rsidRPr="00912996">
              <w:rPr>
                <w:rFonts w:ascii="Calibri" w:hAnsi="Calibri"/>
                <w:bCs/>
                <w:lang w:eastAsia="ja-JP"/>
              </w:rPr>
              <w:t>3</w:t>
            </w:r>
          </w:p>
        </w:tc>
        <w:tc>
          <w:tcPr>
            <w:tcW w:w="949" w:type="pct"/>
            <w:shd w:val="clear" w:color="auto" w:fill="F2F2F2"/>
            <w:hideMark/>
          </w:tcPr>
          <w:p w14:paraId="779AB4AC" w14:textId="77777777" w:rsidR="00262046" w:rsidRPr="00912996" w:rsidRDefault="00262046" w:rsidP="00396D75">
            <w:pPr>
              <w:rPr>
                <w:rFonts w:ascii="Calibri" w:hAnsi="Calibri"/>
                <w:bCs/>
                <w:lang w:eastAsia="ja-JP"/>
              </w:rPr>
            </w:pPr>
            <w:r w:rsidRPr="00912996">
              <w:rPr>
                <w:rFonts w:ascii="Calibri" w:hAnsi="Calibri"/>
                <w:bCs/>
                <w:lang w:eastAsia="ja-JP"/>
              </w:rPr>
              <w:t>Acordarea unor stimulente financiare pentru antreprenorii care angajează persoane cu dizabilități</w:t>
            </w:r>
          </w:p>
        </w:tc>
        <w:tc>
          <w:tcPr>
            <w:tcW w:w="505" w:type="pct"/>
            <w:shd w:val="clear" w:color="auto" w:fill="F2F2F2"/>
            <w:hideMark/>
          </w:tcPr>
          <w:p w14:paraId="051220CD"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238104C2"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27A0475E" w14:textId="77777777" w:rsidR="00262046" w:rsidRPr="00912996" w:rsidRDefault="00262046" w:rsidP="00396D75">
            <w:pPr>
              <w:rPr>
                <w:rFonts w:ascii="Calibri" w:hAnsi="Calibri"/>
                <w:bCs/>
                <w:lang w:eastAsia="ja-JP"/>
              </w:rPr>
            </w:pPr>
            <w:r w:rsidRPr="00912996">
              <w:rPr>
                <w:rFonts w:ascii="Calibri" w:hAnsi="Calibri"/>
                <w:bCs/>
                <w:lang w:eastAsia="ja-JP"/>
              </w:rPr>
              <w:t>4,900,000</w:t>
            </w:r>
          </w:p>
        </w:tc>
        <w:tc>
          <w:tcPr>
            <w:tcW w:w="379" w:type="pct"/>
            <w:shd w:val="clear" w:color="auto" w:fill="F2F2F2"/>
            <w:noWrap/>
            <w:hideMark/>
          </w:tcPr>
          <w:p w14:paraId="4ADEA02A" w14:textId="77777777" w:rsidR="00262046" w:rsidRPr="00912996" w:rsidRDefault="00262046" w:rsidP="00396D75">
            <w:pPr>
              <w:rPr>
                <w:rFonts w:ascii="Calibri" w:hAnsi="Calibri"/>
                <w:bCs/>
                <w:lang w:eastAsia="ja-JP"/>
              </w:rPr>
            </w:pPr>
            <w:r w:rsidRPr="00912996">
              <w:rPr>
                <w:rFonts w:ascii="Calibri" w:hAnsi="Calibri"/>
                <w:bCs/>
                <w:lang w:eastAsia="ja-JP"/>
              </w:rPr>
              <w:t>1,000,000</w:t>
            </w:r>
          </w:p>
        </w:tc>
        <w:tc>
          <w:tcPr>
            <w:tcW w:w="348" w:type="pct"/>
            <w:shd w:val="clear" w:color="auto" w:fill="F2F2F2"/>
            <w:noWrap/>
            <w:hideMark/>
          </w:tcPr>
          <w:p w14:paraId="59B33BE1"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4C0D11A9" w14:textId="77777777" w:rsidR="00262046" w:rsidRPr="00912996" w:rsidRDefault="00262046" w:rsidP="00396D75">
            <w:pPr>
              <w:rPr>
                <w:rFonts w:ascii="Calibri" w:hAnsi="Calibri"/>
                <w:bCs/>
                <w:lang w:eastAsia="ja-JP"/>
              </w:rPr>
            </w:pPr>
            <w:r w:rsidRPr="00912996">
              <w:rPr>
                <w:rFonts w:ascii="Calibri" w:hAnsi="Calibri"/>
                <w:bCs/>
                <w:lang w:eastAsia="ja-JP"/>
              </w:rPr>
              <w:t>Bugetul local, POEO 2021-2027 P3, POIDS 2021-2027 P7</w:t>
            </w:r>
          </w:p>
        </w:tc>
        <w:tc>
          <w:tcPr>
            <w:tcW w:w="505" w:type="pct"/>
            <w:shd w:val="clear" w:color="auto" w:fill="F2F2F2"/>
            <w:noWrap/>
            <w:hideMark/>
          </w:tcPr>
          <w:p w14:paraId="2C6B61F4"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2E999426"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457DC4B0" w14:textId="77777777" w:rsidTr="00396D75">
        <w:trPr>
          <w:trHeight w:val="276"/>
        </w:trPr>
        <w:tc>
          <w:tcPr>
            <w:tcW w:w="5000" w:type="pct"/>
            <w:gridSpan w:val="10"/>
            <w:shd w:val="clear" w:color="auto" w:fill="CCE188"/>
            <w:noWrap/>
            <w:hideMark/>
          </w:tcPr>
          <w:p w14:paraId="15ED23A9" w14:textId="77777777" w:rsidR="00262046" w:rsidRPr="00912996" w:rsidRDefault="00262046" w:rsidP="00396D75">
            <w:pPr>
              <w:rPr>
                <w:rFonts w:ascii="Calibri" w:hAnsi="Calibri"/>
                <w:b/>
                <w:bCs/>
                <w:color w:val="FFFFFF"/>
                <w:lang w:eastAsia="ja-JP"/>
              </w:rPr>
            </w:pPr>
            <w:r w:rsidRPr="00912996">
              <w:rPr>
                <w:rFonts w:ascii="Calibri" w:hAnsi="Calibri"/>
                <w:b/>
                <w:bCs/>
                <w:color w:val="FFFFFF"/>
                <w:lang w:eastAsia="ja-JP"/>
              </w:rPr>
              <w:t>OBIECTIV SPECIFIC O2.3. - Sectorul 2 – implicat în dezvoltarea și creșterea economică bazată pe cercetare, inovare și parteneriate</w:t>
            </w:r>
          </w:p>
        </w:tc>
      </w:tr>
      <w:tr w:rsidR="00262046" w:rsidRPr="00912996" w14:paraId="7224E803" w14:textId="77777777" w:rsidTr="00396D75">
        <w:trPr>
          <w:trHeight w:val="276"/>
        </w:trPr>
        <w:tc>
          <w:tcPr>
            <w:tcW w:w="5000" w:type="pct"/>
            <w:gridSpan w:val="10"/>
            <w:shd w:val="clear" w:color="auto" w:fill="BBD9A0"/>
            <w:noWrap/>
            <w:hideMark/>
          </w:tcPr>
          <w:p w14:paraId="04EF79EB" w14:textId="77777777" w:rsidR="00262046" w:rsidRPr="00912996" w:rsidRDefault="00262046" w:rsidP="00396D75">
            <w:pPr>
              <w:rPr>
                <w:rFonts w:ascii="Calibri" w:hAnsi="Calibri"/>
                <w:b/>
                <w:bCs/>
                <w:color w:val="FFFFFF"/>
                <w:lang w:eastAsia="ja-JP"/>
              </w:rPr>
            </w:pPr>
            <w:r w:rsidRPr="00912996">
              <w:rPr>
                <w:rFonts w:ascii="Calibri" w:hAnsi="Calibri"/>
                <w:b/>
                <w:bCs/>
                <w:color w:val="FFFFFF"/>
                <w:lang w:eastAsia="ja-JP"/>
              </w:rPr>
              <w:t>D2.3.1. Creșterea potențialului de Cercetare-Dezvoltare-Inovare și transfer tehnologic, prin dezvoltarea serviciilor și a infrastructurii favorabile aferente, respectiv prin promovarea colaborării cu universitățile din sector și Capitală</w:t>
            </w:r>
          </w:p>
        </w:tc>
      </w:tr>
      <w:tr w:rsidR="00262046" w:rsidRPr="00912996" w14:paraId="232ADF06" w14:textId="77777777" w:rsidTr="00D719F3">
        <w:trPr>
          <w:trHeight w:val="2124"/>
        </w:trPr>
        <w:tc>
          <w:tcPr>
            <w:tcW w:w="219" w:type="pct"/>
            <w:shd w:val="clear" w:color="auto" w:fill="F2F2F2"/>
            <w:noWrap/>
            <w:hideMark/>
          </w:tcPr>
          <w:p w14:paraId="0CE5AB69" w14:textId="77777777" w:rsidR="00262046" w:rsidRPr="00912996" w:rsidRDefault="00262046" w:rsidP="00396D75">
            <w:pPr>
              <w:rPr>
                <w:rFonts w:ascii="Calibri" w:hAnsi="Calibri"/>
                <w:bCs/>
                <w:lang w:eastAsia="ja-JP"/>
              </w:rPr>
            </w:pPr>
            <w:r w:rsidRPr="00912996">
              <w:rPr>
                <w:rFonts w:ascii="Calibri" w:hAnsi="Calibri"/>
                <w:bCs/>
                <w:lang w:eastAsia="ja-JP"/>
              </w:rPr>
              <w:t>1</w:t>
            </w:r>
          </w:p>
        </w:tc>
        <w:tc>
          <w:tcPr>
            <w:tcW w:w="949" w:type="pct"/>
            <w:shd w:val="clear" w:color="auto" w:fill="F2F2F2"/>
            <w:hideMark/>
          </w:tcPr>
          <w:p w14:paraId="61ED9968" w14:textId="77777777" w:rsidR="00262046" w:rsidRPr="00912996" w:rsidRDefault="00262046" w:rsidP="00396D75">
            <w:pPr>
              <w:rPr>
                <w:rFonts w:ascii="Calibri" w:hAnsi="Calibri"/>
                <w:bCs/>
                <w:lang w:eastAsia="ja-JP"/>
              </w:rPr>
            </w:pPr>
            <w:r w:rsidRPr="00912996">
              <w:rPr>
                <w:rFonts w:ascii="Calibri" w:hAnsi="Calibri"/>
                <w:bCs/>
                <w:lang w:eastAsia="ja-JP"/>
              </w:rPr>
              <w:t>Crearea unui catalog pentru investitori care să includă cartarea spațiilor cu potențial de valorificare și o bază de date conținând informații economice relevante privind posibilitățile de investiții pentru firme, informații privind posibilitățile de finanțare, spații existente pentru Start Up-uri și Spin Offs-uri</w:t>
            </w:r>
          </w:p>
        </w:tc>
        <w:tc>
          <w:tcPr>
            <w:tcW w:w="505" w:type="pct"/>
            <w:shd w:val="clear" w:color="auto" w:fill="F2F2F2"/>
            <w:hideMark/>
          </w:tcPr>
          <w:p w14:paraId="732328CF" w14:textId="77777777" w:rsidR="00262046" w:rsidRPr="00912996" w:rsidRDefault="00262046" w:rsidP="00396D75">
            <w:pPr>
              <w:rPr>
                <w:rFonts w:ascii="Calibri" w:hAnsi="Calibri"/>
                <w:bCs/>
                <w:lang w:eastAsia="ja-JP"/>
              </w:rPr>
            </w:pPr>
            <w:r w:rsidRPr="00912996">
              <w:rPr>
                <w:rFonts w:ascii="Calibri" w:hAnsi="Calibri"/>
                <w:bCs/>
                <w:lang w:eastAsia="ja-JP"/>
              </w:rPr>
              <w:t>PS2</w:t>
            </w:r>
            <w:r>
              <w:rPr>
                <w:rFonts w:ascii="Calibri" w:hAnsi="Calibri"/>
                <w:bCs/>
                <w:lang w:eastAsia="ja-JP"/>
              </w:rPr>
              <w:t>,</w:t>
            </w:r>
            <w:r w:rsidRPr="00912996">
              <w:rPr>
                <w:rFonts w:ascii="Calibri" w:hAnsi="Calibri"/>
                <w:bCs/>
                <w:lang w:eastAsia="ja-JP"/>
              </w:rPr>
              <w:t>CCIB</w:t>
            </w:r>
            <w:r>
              <w:rPr>
                <w:rFonts w:ascii="Calibri" w:hAnsi="Calibri"/>
                <w:bCs/>
                <w:lang w:eastAsia="ja-JP"/>
              </w:rPr>
              <w:t xml:space="preserve">, </w:t>
            </w:r>
            <w:r w:rsidRPr="00912996">
              <w:rPr>
                <w:rFonts w:ascii="Calibri" w:hAnsi="Calibri"/>
                <w:bCs/>
                <w:lang w:eastAsia="ja-JP"/>
              </w:rPr>
              <w:t>Parteneri Privați</w:t>
            </w:r>
          </w:p>
        </w:tc>
        <w:tc>
          <w:tcPr>
            <w:tcW w:w="569" w:type="pct"/>
            <w:shd w:val="clear" w:color="auto" w:fill="F2F2F2"/>
            <w:noWrap/>
            <w:hideMark/>
          </w:tcPr>
          <w:p w14:paraId="26E17AF9"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333759FB" w14:textId="77777777" w:rsidR="00262046" w:rsidRPr="00912996" w:rsidRDefault="00262046" w:rsidP="00396D75">
            <w:pPr>
              <w:rPr>
                <w:rFonts w:ascii="Calibri" w:hAnsi="Calibri"/>
                <w:bCs/>
                <w:lang w:eastAsia="ja-JP"/>
              </w:rPr>
            </w:pPr>
            <w:r w:rsidRPr="00912996">
              <w:rPr>
                <w:rFonts w:ascii="Calibri" w:hAnsi="Calibri"/>
                <w:bCs/>
                <w:lang w:eastAsia="ja-JP"/>
              </w:rPr>
              <w:t>392,000</w:t>
            </w:r>
          </w:p>
        </w:tc>
        <w:tc>
          <w:tcPr>
            <w:tcW w:w="379" w:type="pct"/>
            <w:shd w:val="clear" w:color="auto" w:fill="F2F2F2"/>
            <w:noWrap/>
            <w:hideMark/>
          </w:tcPr>
          <w:p w14:paraId="6D83BC83" w14:textId="77777777" w:rsidR="00262046" w:rsidRPr="00912996" w:rsidRDefault="00262046" w:rsidP="00396D75">
            <w:pPr>
              <w:rPr>
                <w:rFonts w:ascii="Calibri" w:hAnsi="Calibri"/>
                <w:bCs/>
                <w:lang w:eastAsia="ja-JP"/>
              </w:rPr>
            </w:pPr>
            <w:r w:rsidRPr="00912996">
              <w:rPr>
                <w:rFonts w:ascii="Calibri" w:hAnsi="Calibri"/>
                <w:bCs/>
                <w:lang w:eastAsia="ja-JP"/>
              </w:rPr>
              <w:t>80,000</w:t>
            </w:r>
          </w:p>
        </w:tc>
        <w:tc>
          <w:tcPr>
            <w:tcW w:w="348" w:type="pct"/>
            <w:shd w:val="clear" w:color="auto" w:fill="F2F2F2"/>
            <w:noWrap/>
            <w:hideMark/>
          </w:tcPr>
          <w:p w14:paraId="71E3CE9F"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4B7A8C4B" w14:textId="77777777" w:rsidR="00262046" w:rsidRPr="00912996" w:rsidRDefault="00262046" w:rsidP="00396D75">
            <w:pPr>
              <w:rPr>
                <w:rFonts w:ascii="Calibri" w:hAnsi="Calibri"/>
                <w:bCs/>
                <w:lang w:eastAsia="ja-JP"/>
              </w:rPr>
            </w:pPr>
            <w:r w:rsidRPr="00912996">
              <w:rPr>
                <w:rFonts w:ascii="Calibri" w:hAnsi="Calibri"/>
                <w:bCs/>
                <w:lang w:eastAsia="ja-JP"/>
              </w:rPr>
              <w:t>POR BI P1, PNRR C9, Bugetul local, buget municipal, Alte surse de finanțare</w:t>
            </w:r>
          </w:p>
        </w:tc>
        <w:tc>
          <w:tcPr>
            <w:tcW w:w="505" w:type="pct"/>
            <w:shd w:val="clear" w:color="auto" w:fill="F2F2F2"/>
            <w:noWrap/>
            <w:hideMark/>
          </w:tcPr>
          <w:p w14:paraId="3764EDB1"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35FF6DFA"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58A5C79E" w14:textId="77777777" w:rsidTr="00D719F3">
        <w:trPr>
          <w:trHeight w:val="1332"/>
        </w:trPr>
        <w:tc>
          <w:tcPr>
            <w:tcW w:w="219" w:type="pct"/>
            <w:shd w:val="clear" w:color="auto" w:fill="F2F2F2"/>
            <w:noWrap/>
            <w:hideMark/>
          </w:tcPr>
          <w:p w14:paraId="3EBA9C6E" w14:textId="77777777" w:rsidR="00262046" w:rsidRPr="00912996" w:rsidRDefault="00262046" w:rsidP="00396D75">
            <w:pPr>
              <w:rPr>
                <w:rFonts w:ascii="Calibri" w:hAnsi="Calibri"/>
                <w:bCs/>
                <w:lang w:eastAsia="ja-JP"/>
              </w:rPr>
            </w:pPr>
            <w:r w:rsidRPr="00912996">
              <w:rPr>
                <w:rFonts w:ascii="Calibri" w:hAnsi="Calibri"/>
                <w:bCs/>
                <w:lang w:eastAsia="ja-JP"/>
              </w:rPr>
              <w:t>2</w:t>
            </w:r>
          </w:p>
        </w:tc>
        <w:tc>
          <w:tcPr>
            <w:tcW w:w="949" w:type="pct"/>
            <w:shd w:val="clear" w:color="auto" w:fill="F2F2F2"/>
            <w:hideMark/>
          </w:tcPr>
          <w:p w14:paraId="18100B18" w14:textId="77777777" w:rsidR="00262046" w:rsidRPr="00912996" w:rsidRDefault="00262046" w:rsidP="00396D75">
            <w:pPr>
              <w:rPr>
                <w:rFonts w:ascii="Calibri" w:hAnsi="Calibri"/>
                <w:bCs/>
                <w:lang w:eastAsia="ja-JP"/>
              </w:rPr>
            </w:pPr>
            <w:r w:rsidRPr="00912996">
              <w:rPr>
                <w:rFonts w:ascii="Calibri" w:hAnsi="Calibri"/>
                <w:bCs/>
                <w:lang w:eastAsia="ja-JP"/>
              </w:rPr>
              <w:t>Realizarea unor materiale/evenimente care să prezinte avantajele inovării și a schimbului de tehnologie</w:t>
            </w:r>
          </w:p>
        </w:tc>
        <w:tc>
          <w:tcPr>
            <w:tcW w:w="505" w:type="pct"/>
            <w:shd w:val="clear" w:color="auto" w:fill="F2F2F2"/>
            <w:hideMark/>
          </w:tcPr>
          <w:p w14:paraId="3A86571C"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4EC89A46"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00D345C0" w14:textId="77777777" w:rsidR="00262046" w:rsidRPr="00912996" w:rsidRDefault="00262046" w:rsidP="00396D75">
            <w:pPr>
              <w:rPr>
                <w:rFonts w:ascii="Calibri" w:hAnsi="Calibri"/>
                <w:bCs/>
                <w:lang w:eastAsia="ja-JP"/>
              </w:rPr>
            </w:pPr>
            <w:r w:rsidRPr="00912996">
              <w:rPr>
                <w:rFonts w:ascii="Calibri" w:hAnsi="Calibri"/>
                <w:bCs/>
                <w:lang w:eastAsia="ja-JP"/>
              </w:rPr>
              <w:t>49,000</w:t>
            </w:r>
          </w:p>
        </w:tc>
        <w:tc>
          <w:tcPr>
            <w:tcW w:w="379" w:type="pct"/>
            <w:shd w:val="clear" w:color="auto" w:fill="F2F2F2"/>
            <w:noWrap/>
            <w:hideMark/>
          </w:tcPr>
          <w:p w14:paraId="442793D1" w14:textId="77777777" w:rsidR="00262046" w:rsidRPr="00912996" w:rsidRDefault="00262046" w:rsidP="00396D75">
            <w:pPr>
              <w:rPr>
                <w:rFonts w:ascii="Calibri" w:hAnsi="Calibri"/>
                <w:bCs/>
                <w:lang w:eastAsia="ja-JP"/>
              </w:rPr>
            </w:pPr>
            <w:r w:rsidRPr="00912996">
              <w:rPr>
                <w:rFonts w:ascii="Calibri" w:hAnsi="Calibri"/>
                <w:bCs/>
                <w:lang w:eastAsia="ja-JP"/>
              </w:rPr>
              <w:t>10,000</w:t>
            </w:r>
          </w:p>
        </w:tc>
        <w:tc>
          <w:tcPr>
            <w:tcW w:w="348" w:type="pct"/>
            <w:shd w:val="clear" w:color="auto" w:fill="F2F2F2"/>
            <w:noWrap/>
            <w:hideMark/>
          </w:tcPr>
          <w:p w14:paraId="3D5E9431"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7067E3E1" w14:textId="77777777" w:rsidR="00262046" w:rsidRPr="00912996" w:rsidRDefault="00262046" w:rsidP="00396D75">
            <w:pPr>
              <w:rPr>
                <w:rFonts w:ascii="Calibri" w:hAnsi="Calibri"/>
                <w:bCs/>
                <w:lang w:eastAsia="ja-JP"/>
              </w:rPr>
            </w:pPr>
            <w:r w:rsidRPr="00912996">
              <w:rPr>
                <w:rFonts w:ascii="Calibri" w:hAnsi="Calibri"/>
                <w:bCs/>
                <w:lang w:eastAsia="ja-JP"/>
              </w:rPr>
              <w:t>POCIDIF 2021-2027 P1, POR BI P1, PNRR C9, bugetul local, Alte surse de finanțare</w:t>
            </w:r>
          </w:p>
        </w:tc>
        <w:tc>
          <w:tcPr>
            <w:tcW w:w="505" w:type="pct"/>
            <w:shd w:val="clear" w:color="auto" w:fill="F2F2F2"/>
            <w:noWrap/>
            <w:hideMark/>
          </w:tcPr>
          <w:p w14:paraId="5C9E24E6"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39FA76A1" w14:textId="77777777" w:rsidR="00262046" w:rsidRPr="00912996" w:rsidRDefault="00262046" w:rsidP="00396D75">
            <w:pPr>
              <w:rPr>
                <w:rFonts w:ascii="Calibri" w:hAnsi="Calibri"/>
                <w:bCs/>
                <w:lang w:eastAsia="ja-JP"/>
              </w:rPr>
            </w:pPr>
            <w:r w:rsidRPr="00912996">
              <w:rPr>
                <w:rFonts w:ascii="Calibri" w:hAnsi="Calibri"/>
                <w:bCs/>
                <w:lang w:eastAsia="ja-JP"/>
              </w:rPr>
              <w:t>SDLID S2 2016-2025</w:t>
            </w:r>
          </w:p>
        </w:tc>
      </w:tr>
      <w:tr w:rsidR="00262046" w:rsidRPr="00912996" w14:paraId="70483E1D" w14:textId="77777777" w:rsidTr="00D719F3">
        <w:trPr>
          <w:trHeight w:val="1332"/>
        </w:trPr>
        <w:tc>
          <w:tcPr>
            <w:tcW w:w="219" w:type="pct"/>
            <w:shd w:val="clear" w:color="auto" w:fill="F2F2F2"/>
            <w:noWrap/>
            <w:hideMark/>
          </w:tcPr>
          <w:p w14:paraId="6AE7DD06" w14:textId="77777777" w:rsidR="00262046" w:rsidRPr="00912996" w:rsidRDefault="00262046" w:rsidP="00396D75">
            <w:pPr>
              <w:rPr>
                <w:rFonts w:ascii="Calibri" w:hAnsi="Calibri"/>
                <w:bCs/>
                <w:lang w:eastAsia="ja-JP"/>
              </w:rPr>
            </w:pPr>
            <w:r w:rsidRPr="00912996">
              <w:rPr>
                <w:rFonts w:ascii="Calibri" w:hAnsi="Calibri"/>
                <w:bCs/>
                <w:lang w:eastAsia="ja-JP"/>
              </w:rPr>
              <w:t>3</w:t>
            </w:r>
          </w:p>
        </w:tc>
        <w:tc>
          <w:tcPr>
            <w:tcW w:w="949" w:type="pct"/>
            <w:shd w:val="clear" w:color="auto" w:fill="F2F2F2"/>
            <w:hideMark/>
          </w:tcPr>
          <w:p w14:paraId="5C172D35" w14:textId="77777777" w:rsidR="00262046" w:rsidRPr="00912996" w:rsidRDefault="00262046" w:rsidP="00396D75">
            <w:pPr>
              <w:rPr>
                <w:rFonts w:ascii="Calibri" w:hAnsi="Calibri"/>
                <w:bCs/>
                <w:lang w:eastAsia="ja-JP"/>
              </w:rPr>
            </w:pPr>
            <w:r w:rsidRPr="00912996">
              <w:rPr>
                <w:rFonts w:ascii="Calibri" w:hAnsi="Calibri"/>
                <w:bCs/>
                <w:lang w:eastAsia="ja-JP"/>
              </w:rPr>
              <w:t>Centru de excelență în domeniul roboticii/Smart Lab</w:t>
            </w:r>
          </w:p>
        </w:tc>
        <w:tc>
          <w:tcPr>
            <w:tcW w:w="505" w:type="pct"/>
            <w:shd w:val="clear" w:color="auto" w:fill="F2F2F2"/>
            <w:hideMark/>
          </w:tcPr>
          <w:p w14:paraId="002E382E" w14:textId="77777777" w:rsidR="00262046" w:rsidRPr="00912996" w:rsidRDefault="00262046" w:rsidP="00396D75">
            <w:pPr>
              <w:rPr>
                <w:rFonts w:ascii="Calibri" w:hAnsi="Calibri"/>
                <w:bCs/>
                <w:lang w:eastAsia="ja-JP"/>
              </w:rPr>
            </w:pPr>
            <w:r w:rsidRPr="00912996">
              <w:rPr>
                <w:rFonts w:ascii="Calibri" w:hAnsi="Calibri"/>
                <w:bCs/>
                <w:lang w:eastAsia="ja-JP"/>
              </w:rPr>
              <w:t>PS2, UTCB, UAUIM, PMB, Parteneri privați</w:t>
            </w:r>
          </w:p>
        </w:tc>
        <w:tc>
          <w:tcPr>
            <w:tcW w:w="569" w:type="pct"/>
            <w:shd w:val="clear" w:color="auto" w:fill="F2F2F2"/>
            <w:noWrap/>
            <w:hideMark/>
          </w:tcPr>
          <w:p w14:paraId="082DDBBC"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6253766A" w14:textId="77777777" w:rsidR="00262046" w:rsidRPr="00912996" w:rsidRDefault="00262046" w:rsidP="00396D75">
            <w:pPr>
              <w:rPr>
                <w:rFonts w:ascii="Calibri" w:hAnsi="Calibri"/>
                <w:bCs/>
                <w:lang w:eastAsia="ja-JP"/>
              </w:rPr>
            </w:pPr>
            <w:r w:rsidRPr="00912996">
              <w:rPr>
                <w:rFonts w:ascii="Calibri" w:hAnsi="Calibri"/>
                <w:bCs/>
                <w:lang w:eastAsia="ja-JP"/>
              </w:rPr>
              <w:t>9,800,000</w:t>
            </w:r>
          </w:p>
        </w:tc>
        <w:tc>
          <w:tcPr>
            <w:tcW w:w="379" w:type="pct"/>
            <w:shd w:val="clear" w:color="auto" w:fill="F2F2F2"/>
            <w:noWrap/>
            <w:hideMark/>
          </w:tcPr>
          <w:p w14:paraId="36F2B4CA" w14:textId="77777777" w:rsidR="00262046" w:rsidRPr="00912996" w:rsidRDefault="00262046" w:rsidP="00396D75">
            <w:pPr>
              <w:rPr>
                <w:rFonts w:ascii="Calibri" w:hAnsi="Calibri"/>
                <w:bCs/>
                <w:lang w:eastAsia="ja-JP"/>
              </w:rPr>
            </w:pPr>
            <w:r w:rsidRPr="00912996">
              <w:rPr>
                <w:rFonts w:ascii="Calibri" w:hAnsi="Calibri"/>
                <w:bCs/>
                <w:lang w:eastAsia="ja-JP"/>
              </w:rPr>
              <w:t>2,000,000</w:t>
            </w:r>
          </w:p>
        </w:tc>
        <w:tc>
          <w:tcPr>
            <w:tcW w:w="348" w:type="pct"/>
            <w:shd w:val="clear" w:color="auto" w:fill="F2F2F2"/>
            <w:noWrap/>
            <w:hideMark/>
          </w:tcPr>
          <w:p w14:paraId="180E7058"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7CF893F7" w14:textId="77777777" w:rsidR="00262046" w:rsidRPr="00912996" w:rsidRDefault="00262046" w:rsidP="00396D75">
            <w:pPr>
              <w:rPr>
                <w:rFonts w:ascii="Calibri" w:hAnsi="Calibri"/>
                <w:bCs/>
                <w:lang w:eastAsia="ja-JP"/>
              </w:rPr>
            </w:pPr>
            <w:r w:rsidRPr="00912996">
              <w:rPr>
                <w:rFonts w:ascii="Calibri" w:hAnsi="Calibri"/>
                <w:bCs/>
                <w:lang w:eastAsia="ja-JP"/>
              </w:rPr>
              <w:t>POCIDIF 2021-2027 P1, POR BI P1, PNRR C9, bugetul local, Alte surse de finanțare</w:t>
            </w:r>
          </w:p>
        </w:tc>
        <w:tc>
          <w:tcPr>
            <w:tcW w:w="505" w:type="pct"/>
            <w:shd w:val="clear" w:color="auto" w:fill="F2F2F2"/>
            <w:noWrap/>
            <w:hideMark/>
          </w:tcPr>
          <w:p w14:paraId="67516D2E" w14:textId="77777777" w:rsidR="00262046" w:rsidRPr="00912996" w:rsidRDefault="00262046" w:rsidP="00396D75">
            <w:pPr>
              <w:rPr>
                <w:rFonts w:ascii="Calibri" w:hAnsi="Calibri"/>
                <w:bCs/>
                <w:lang w:eastAsia="ja-JP"/>
              </w:rPr>
            </w:pPr>
            <w:r w:rsidRPr="00912996">
              <w:rPr>
                <w:rFonts w:ascii="Calibri" w:hAnsi="Calibri"/>
                <w:bCs/>
                <w:lang w:eastAsia="ja-JP"/>
              </w:rPr>
              <w:t>Proiect prioritar</w:t>
            </w:r>
          </w:p>
        </w:tc>
        <w:tc>
          <w:tcPr>
            <w:tcW w:w="514" w:type="pct"/>
            <w:shd w:val="clear" w:color="auto" w:fill="F2F2F2"/>
            <w:hideMark/>
          </w:tcPr>
          <w:p w14:paraId="39D660B1"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62D2D4D5" w14:textId="77777777" w:rsidTr="00D719F3">
        <w:trPr>
          <w:trHeight w:val="1332"/>
        </w:trPr>
        <w:tc>
          <w:tcPr>
            <w:tcW w:w="219" w:type="pct"/>
            <w:shd w:val="clear" w:color="auto" w:fill="F2F2F2"/>
            <w:noWrap/>
            <w:hideMark/>
          </w:tcPr>
          <w:p w14:paraId="1E83DA3E" w14:textId="77777777" w:rsidR="00262046" w:rsidRPr="00912996" w:rsidRDefault="00262046" w:rsidP="00396D75">
            <w:pPr>
              <w:rPr>
                <w:rFonts w:ascii="Calibri" w:hAnsi="Calibri"/>
                <w:bCs/>
                <w:lang w:eastAsia="ja-JP"/>
              </w:rPr>
            </w:pPr>
            <w:r w:rsidRPr="00912996">
              <w:rPr>
                <w:rFonts w:ascii="Calibri" w:hAnsi="Calibri"/>
                <w:bCs/>
                <w:lang w:eastAsia="ja-JP"/>
              </w:rPr>
              <w:t>4</w:t>
            </w:r>
          </w:p>
        </w:tc>
        <w:tc>
          <w:tcPr>
            <w:tcW w:w="949" w:type="pct"/>
            <w:shd w:val="clear" w:color="auto" w:fill="F2F2F2"/>
            <w:hideMark/>
          </w:tcPr>
          <w:p w14:paraId="4358522B" w14:textId="77777777" w:rsidR="00262046" w:rsidRPr="00912996" w:rsidRDefault="00262046" w:rsidP="00396D75">
            <w:pPr>
              <w:rPr>
                <w:rFonts w:ascii="Calibri" w:hAnsi="Calibri"/>
                <w:bCs/>
                <w:lang w:eastAsia="ja-JP"/>
              </w:rPr>
            </w:pPr>
            <w:r w:rsidRPr="00912996">
              <w:rPr>
                <w:rFonts w:ascii="Calibri" w:hAnsi="Calibri"/>
                <w:bCs/>
                <w:lang w:eastAsia="ja-JP"/>
              </w:rPr>
              <w:t>Parc Științific și Tehnologic Pipera</w:t>
            </w:r>
          </w:p>
        </w:tc>
        <w:tc>
          <w:tcPr>
            <w:tcW w:w="505" w:type="pct"/>
            <w:shd w:val="clear" w:color="auto" w:fill="F2F2F2"/>
            <w:hideMark/>
          </w:tcPr>
          <w:p w14:paraId="2E5506B3"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0EEEDB05"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7C55080F" w14:textId="77777777" w:rsidR="00262046" w:rsidRPr="00912996" w:rsidRDefault="00262046" w:rsidP="00396D75">
            <w:pPr>
              <w:rPr>
                <w:rFonts w:ascii="Calibri" w:hAnsi="Calibri"/>
                <w:bCs/>
                <w:lang w:eastAsia="ja-JP"/>
              </w:rPr>
            </w:pPr>
            <w:r w:rsidRPr="00912996">
              <w:rPr>
                <w:rFonts w:ascii="Calibri" w:hAnsi="Calibri"/>
                <w:bCs/>
                <w:lang w:eastAsia="ja-JP"/>
              </w:rPr>
              <w:t>122,500,000</w:t>
            </w:r>
          </w:p>
        </w:tc>
        <w:tc>
          <w:tcPr>
            <w:tcW w:w="379" w:type="pct"/>
            <w:shd w:val="clear" w:color="auto" w:fill="F2F2F2"/>
            <w:noWrap/>
            <w:hideMark/>
          </w:tcPr>
          <w:p w14:paraId="65231EF5" w14:textId="77777777" w:rsidR="00262046" w:rsidRPr="00912996" w:rsidRDefault="00262046" w:rsidP="00396D75">
            <w:pPr>
              <w:rPr>
                <w:rFonts w:ascii="Calibri" w:hAnsi="Calibri"/>
                <w:bCs/>
                <w:lang w:eastAsia="ja-JP"/>
              </w:rPr>
            </w:pPr>
            <w:r w:rsidRPr="00912996">
              <w:rPr>
                <w:rFonts w:ascii="Calibri" w:hAnsi="Calibri"/>
                <w:bCs/>
                <w:lang w:eastAsia="ja-JP"/>
              </w:rPr>
              <w:t>25,000,000</w:t>
            </w:r>
          </w:p>
        </w:tc>
        <w:tc>
          <w:tcPr>
            <w:tcW w:w="348" w:type="pct"/>
            <w:shd w:val="clear" w:color="auto" w:fill="F2F2F2"/>
            <w:noWrap/>
            <w:hideMark/>
          </w:tcPr>
          <w:p w14:paraId="0F67926B"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1368DE8D" w14:textId="77777777" w:rsidR="00262046" w:rsidRPr="00912996" w:rsidRDefault="00262046" w:rsidP="00396D75">
            <w:pPr>
              <w:rPr>
                <w:rFonts w:ascii="Calibri" w:hAnsi="Calibri"/>
                <w:bCs/>
                <w:lang w:eastAsia="ja-JP"/>
              </w:rPr>
            </w:pPr>
            <w:r w:rsidRPr="00912996">
              <w:rPr>
                <w:rFonts w:ascii="Calibri" w:hAnsi="Calibri"/>
                <w:bCs/>
                <w:lang w:eastAsia="ja-JP"/>
              </w:rPr>
              <w:t>POCIDIF 2021-2027 P1, POR BI P1, PNRR C9, bugetul local, Alte surse de finanțare</w:t>
            </w:r>
          </w:p>
        </w:tc>
        <w:tc>
          <w:tcPr>
            <w:tcW w:w="505" w:type="pct"/>
            <w:shd w:val="clear" w:color="auto" w:fill="F2F2F2"/>
            <w:noWrap/>
            <w:hideMark/>
          </w:tcPr>
          <w:p w14:paraId="392E8C3B"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49C69870"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65AF99E7" w14:textId="77777777" w:rsidTr="00D719F3">
        <w:trPr>
          <w:trHeight w:val="3180"/>
        </w:trPr>
        <w:tc>
          <w:tcPr>
            <w:tcW w:w="219" w:type="pct"/>
            <w:shd w:val="clear" w:color="auto" w:fill="F2F2F2"/>
            <w:noWrap/>
            <w:hideMark/>
          </w:tcPr>
          <w:p w14:paraId="4D3BC88B" w14:textId="77777777" w:rsidR="00262046" w:rsidRPr="00912996" w:rsidRDefault="00262046" w:rsidP="00396D75">
            <w:pPr>
              <w:rPr>
                <w:rFonts w:ascii="Calibri" w:hAnsi="Calibri"/>
                <w:bCs/>
                <w:lang w:eastAsia="ja-JP"/>
              </w:rPr>
            </w:pPr>
            <w:r w:rsidRPr="00912996">
              <w:rPr>
                <w:rFonts w:ascii="Calibri" w:hAnsi="Calibri"/>
                <w:bCs/>
                <w:lang w:eastAsia="ja-JP"/>
              </w:rPr>
              <w:t>5</w:t>
            </w:r>
          </w:p>
        </w:tc>
        <w:tc>
          <w:tcPr>
            <w:tcW w:w="949" w:type="pct"/>
            <w:shd w:val="clear" w:color="auto" w:fill="F2F2F2"/>
            <w:hideMark/>
          </w:tcPr>
          <w:p w14:paraId="09895C2F" w14:textId="77777777" w:rsidR="00262046" w:rsidRPr="00912996" w:rsidRDefault="00262046" w:rsidP="00396D75">
            <w:pPr>
              <w:rPr>
                <w:rFonts w:ascii="Calibri" w:hAnsi="Calibri"/>
                <w:bCs/>
                <w:lang w:eastAsia="ja-JP"/>
              </w:rPr>
            </w:pPr>
            <w:r w:rsidRPr="00912996">
              <w:rPr>
                <w:rFonts w:ascii="Calibri" w:hAnsi="Calibri"/>
                <w:bCs/>
                <w:lang w:eastAsia="ja-JP"/>
              </w:rPr>
              <w:t>Realizarea unei platforme de inovare în infrastructura publică bazată pe transferul de cunoștințe între instituțiile de cercetare-dezvoltare și potențialii beneficiari ai rezultatelor</w:t>
            </w:r>
          </w:p>
        </w:tc>
        <w:tc>
          <w:tcPr>
            <w:tcW w:w="505" w:type="pct"/>
            <w:shd w:val="clear" w:color="auto" w:fill="F2F2F2"/>
            <w:hideMark/>
          </w:tcPr>
          <w:p w14:paraId="75A228D3" w14:textId="77777777" w:rsidR="00262046" w:rsidRPr="00912996" w:rsidRDefault="00262046" w:rsidP="00396D75">
            <w:pPr>
              <w:rPr>
                <w:rFonts w:ascii="Calibri" w:hAnsi="Calibri"/>
                <w:bCs/>
                <w:lang w:eastAsia="ja-JP"/>
              </w:rPr>
            </w:pPr>
            <w:r w:rsidRPr="00912996">
              <w:rPr>
                <w:rFonts w:ascii="Calibri" w:hAnsi="Calibri"/>
                <w:bCs/>
                <w:lang w:eastAsia="ja-JP"/>
              </w:rPr>
              <w:t>PS2, UTCB, UAUIM, PMB, Parteneri privați</w:t>
            </w:r>
          </w:p>
        </w:tc>
        <w:tc>
          <w:tcPr>
            <w:tcW w:w="569" w:type="pct"/>
            <w:shd w:val="clear" w:color="auto" w:fill="F2F2F2"/>
            <w:noWrap/>
            <w:hideMark/>
          </w:tcPr>
          <w:p w14:paraId="690517DE"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03718B2D" w14:textId="77777777" w:rsidR="00262046" w:rsidRPr="00912996" w:rsidRDefault="00262046" w:rsidP="00396D75">
            <w:pPr>
              <w:rPr>
                <w:rFonts w:ascii="Calibri" w:hAnsi="Calibri"/>
                <w:bCs/>
                <w:lang w:eastAsia="ja-JP"/>
              </w:rPr>
            </w:pPr>
            <w:r w:rsidRPr="00912996">
              <w:rPr>
                <w:rFonts w:ascii="Calibri" w:hAnsi="Calibri"/>
                <w:bCs/>
                <w:lang w:eastAsia="ja-JP"/>
              </w:rPr>
              <w:t>24,500,000</w:t>
            </w:r>
          </w:p>
        </w:tc>
        <w:tc>
          <w:tcPr>
            <w:tcW w:w="379" w:type="pct"/>
            <w:shd w:val="clear" w:color="auto" w:fill="F2F2F2"/>
            <w:noWrap/>
            <w:hideMark/>
          </w:tcPr>
          <w:p w14:paraId="35F4E390" w14:textId="77777777" w:rsidR="00262046" w:rsidRPr="00912996" w:rsidRDefault="00262046" w:rsidP="00396D75">
            <w:pPr>
              <w:rPr>
                <w:rFonts w:ascii="Calibri" w:hAnsi="Calibri"/>
                <w:bCs/>
                <w:lang w:eastAsia="ja-JP"/>
              </w:rPr>
            </w:pPr>
            <w:r w:rsidRPr="00912996">
              <w:rPr>
                <w:rFonts w:ascii="Calibri" w:hAnsi="Calibri"/>
                <w:bCs/>
                <w:lang w:eastAsia="ja-JP"/>
              </w:rPr>
              <w:t>5,000,000</w:t>
            </w:r>
          </w:p>
        </w:tc>
        <w:tc>
          <w:tcPr>
            <w:tcW w:w="348" w:type="pct"/>
            <w:shd w:val="clear" w:color="auto" w:fill="F2F2F2"/>
            <w:noWrap/>
            <w:hideMark/>
          </w:tcPr>
          <w:p w14:paraId="0ECAD738"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16AF32E6" w14:textId="77777777" w:rsidR="00262046" w:rsidRPr="00912996" w:rsidRDefault="00262046" w:rsidP="00396D75">
            <w:pPr>
              <w:rPr>
                <w:rFonts w:ascii="Calibri" w:hAnsi="Calibri"/>
                <w:bCs/>
                <w:lang w:eastAsia="ja-JP"/>
              </w:rPr>
            </w:pPr>
            <w:r w:rsidRPr="00912996">
              <w:rPr>
                <w:rFonts w:ascii="Calibri" w:hAnsi="Calibri"/>
                <w:bCs/>
                <w:lang w:eastAsia="ja-JP"/>
              </w:rPr>
              <w:t>Horizon 2020 Smart Cities and Communities lighthouse projects, Urban Innovative Actions (UIA), INTERREG Europe 2021-2027, Axa Prioritară 1, Bugetul local, Alte surse</w:t>
            </w:r>
          </w:p>
        </w:tc>
        <w:tc>
          <w:tcPr>
            <w:tcW w:w="505" w:type="pct"/>
            <w:shd w:val="clear" w:color="auto" w:fill="F2F2F2"/>
            <w:noWrap/>
            <w:hideMark/>
          </w:tcPr>
          <w:p w14:paraId="5A4053D5"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70DCE7A5"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0FEA33FD" w14:textId="77777777" w:rsidTr="00D719F3">
        <w:trPr>
          <w:trHeight w:val="1068"/>
        </w:trPr>
        <w:tc>
          <w:tcPr>
            <w:tcW w:w="219" w:type="pct"/>
            <w:shd w:val="clear" w:color="auto" w:fill="F2F2F2"/>
            <w:noWrap/>
            <w:hideMark/>
          </w:tcPr>
          <w:p w14:paraId="1CB02197" w14:textId="77777777" w:rsidR="00262046" w:rsidRPr="00912996" w:rsidRDefault="00262046" w:rsidP="00396D75">
            <w:pPr>
              <w:rPr>
                <w:rFonts w:ascii="Calibri" w:hAnsi="Calibri"/>
                <w:bCs/>
                <w:lang w:eastAsia="ja-JP"/>
              </w:rPr>
            </w:pPr>
            <w:r w:rsidRPr="00912996">
              <w:rPr>
                <w:rFonts w:ascii="Calibri" w:hAnsi="Calibri"/>
                <w:bCs/>
                <w:lang w:eastAsia="ja-JP"/>
              </w:rPr>
              <w:t>6</w:t>
            </w:r>
          </w:p>
        </w:tc>
        <w:tc>
          <w:tcPr>
            <w:tcW w:w="949" w:type="pct"/>
            <w:shd w:val="clear" w:color="auto" w:fill="F2F2F2"/>
            <w:hideMark/>
          </w:tcPr>
          <w:p w14:paraId="2C055C33" w14:textId="77777777" w:rsidR="00262046" w:rsidRPr="00912996" w:rsidRDefault="00262046" w:rsidP="00396D75">
            <w:pPr>
              <w:rPr>
                <w:rFonts w:ascii="Calibri" w:hAnsi="Calibri"/>
                <w:bCs/>
                <w:lang w:eastAsia="ja-JP"/>
              </w:rPr>
            </w:pPr>
            <w:r w:rsidRPr="00912996">
              <w:rPr>
                <w:rFonts w:ascii="Calibri" w:hAnsi="Calibri"/>
                <w:bCs/>
                <w:lang w:eastAsia="ja-JP"/>
              </w:rPr>
              <w:t>Organizarea de expoziții, zile deschise, inclusiv pentru promovarea rezultatelor cercetării inovării</w:t>
            </w:r>
          </w:p>
        </w:tc>
        <w:tc>
          <w:tcPr>
            <w:tcW w:w="505" w:type="pct"/>
            <w:shd w:val="clear" w:color="auto" w:fill="F2F2F2"/>
            <w:hideMark/>
          </w:tcPr>
          <w:p w14:paraId="64AEC8CC"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205A23C3"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3D1AA7A9" w14:textId="77777777" w:rsidR="00262046" w:rsidRPr="00912996" w:rsidRDefault="00262046" w:rsidP="00396D75">
            <w:pPr>
              <w:rPr>
                <w:rFonts w:ascii="Calibri" w:hAnsi="Calibri"/>
                <w:bCs/>
                <w:lang w:eastAsia="ja-JP"/>
              </w:rPr>
            </w:pPr>
            <w:r w:rsidRPr="00912996">
              <w:rPr>
                <w:rFonts w:ascii="Calibri" w:hAnsi="Calibri"/>
                <w:bCs/>
                <w:lang w:eastAsia="ja-JP"/>
              </w:rPr>
              <w:t>245,000</w:t>
            </w:r>
          </w:p>
        </w:tc>
        <w:tc>
          <w:tcPr>
            <w:tcW w:w="379" w:type="pct"/>
            <w:shd w:val="clear" w:color="auto" w:fill="F2F2F2"/>
            <w:noWrap/>
            <w:hideMark/>
          </w:tcPr>
          <w:p w14:paraId="429EE499" w14:textId="77777777" w:rsidR="00262046" w:rsidRPr="00912996" w:rsidRDefault="00262046" w:rsidP="00396D75">
            <w:pPr>
              <w:rPr>
                <w:rFonts w:ascii="Calibri" w:hAnsi="Calibri"/>
                <w:bCs/>
                <w:lang w:eastAsia="ja-JP"/>
              </w:rPr>
            </w:pPr>
            <w:r w:rsidRPr="00912996">
              <w:rPr>
                <w:rFonts w:ascii="Calibri" w:hAnsi="Calibri"/>
                <w:bCs/>
                <w:lang w:eastAsia="ja-JP"/>
              </w:rPr>
              <w:t>50,000</w:t>
            </w:r>
          </w:p>
        </w:tc>
        <w:tc>
          <w:tcPr>
            <w:tcW w:w="348" w:type="pct"/>
            <w:shd w:val="clear" w:color="auto" w:fill="F2F2F2"/>
            <w:noWrap/>
            <w:hideMark/>
          </w:tcPr>
          <w:p w14:paraId="64B49221"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7E56DFF0" w14:textId="77777777" w:rsidR="00262046" w:rsidRPr="00912996" w:rsidRDefault="00262046" w:rsidP="00396D75">
            <w:pPr>
              <w:rPr>
                <w:rFonts w:ascii="Calibri" w:hAnsi="Calibri"/>
                <w:bCs/>
                <w:lang w:eastAsia="ja-JP"/>
              </w:rPr>
            </w:pPr>
            <w:r w:rsidRPr="00912996">
              <w:rPr>
                <w:rFonts w:ascii="Calibri" w:hAnsi="Calibri"/>
                <w:bCs/>
                <w:lang w:eastAsia="ja-JP"/>
              </w:rPr>
              <w:t>POCIDIF 2021-2027 P1, POR BI P1, Bugetul local, Alte surse de finanțare</w:t>
            </w:r>
          </w:p>
        </w:tc>
        <w:tc>
          <w:tcPr>
            <w:tcW w:w="505" w:type="pct"/>
            <w:shd w:val="clear" w:color="auto" w:fill="F2F2F2"/>
            <w:noWrap/>
            <w:hideMark/>
          </w:tcPr>
          <w:p w14:paraId="65DA063A"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782DCBA3"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04595928" w14:textId="77777777" w:rsidTr="00D719F3">
        <w:trPr>
          <w:trHeight w:val="1068"/>
        </w:trPr>
        <w:tc>
          <w:tcPr>
            <w:tcW w:w="219" w:type="pct"/>
            <w:shd w:val="clear" w:color="auto" w:fill="F2F2F2"/>
            <w:noWrap/>
            <w:hideMark/>
          </w:tcPr>
          <w:p w14:paraId="26D9297C" w14:textId="77777777" w:rsidR="00262046" w:rsidRPr="00912996" w:rsidRDefault="00262046" w:rsidP="00396D75">
            <w:pPr>
              <w:rPr>
                <w:rFonts w:ascii="Calibri" w:hAnsi="Calibri"/>
                <w:bCs/>
                <w:lang w:eastAsia="ja-JP"/>
              </w:rPr>
            </w:pPr>
            <w:r w:rsidRPr="00912996">
              <w:rPr>
                <w:rFonts w:ascii="Calibri" w:hAnsi="Calibri"/>
                <w:bCs/>
                <w:lang w:eastAsia="ja-JP"/>
              </w:rPr>
              <w:t>7</w:t>
            </w:r>
          </w:p>
        </w:tc>
        <w:tc>
          <w:tcPr>
            <w:tcW w:w="949" w:type="pct"/>
            <w:shd w:val="clear" w:color="auto" w:fill="F2F2F2"/>
            <w:hideMark/>
          </w:tcPr>
          <w:p w14:paraId="741932D7" w14:textId="77777777" w:rsidR="00262046" w:rsidRPr="00912996" w:rsidRDefault="00262046" w:rsidP="00396D75">
            <w:pPr>
              <w:rPr>
                <w:rFonts w:ascii="Calibri" w:hAnsi="Calibri"/>
                <w:bCs/>
                <w:lang w:eastAsia="ja-JP"/>
              </w:rPr>
            </w:pPr>
            <w:r w:rsidRPr="00912996">
              <w:rPr>
                <w:rFonts w:ascii="Calibri" w:hAnsi="Calibri"/>
                <w:bCs/>
                <w:lang w:eastAsia="ja-JP"/>
              </w:rPr>
              <w:t>Evenimente de networking cu reprezentanți ai mediului academic, de cercetare și privat</w:t>
            </w:r>
          </w:p>
        </w:tc>
        <w:tc>
          <w:tcPr>
            <w:tcW w:w="505" w:type="pct"/>
            <w:shd w:val="clear" w:color="auto" w:fill="F2F2F2"/>
            <w:hideMark/>
          </w:tcPr>
          <w:p w14:paraId="05C0562C" w14:textId="77777777" w:rsidR="00262046" w:rsidRPr="00912996" w:rsidRDefault="00262046" w:rsidP="00396D75">
            <w:pPr>
              <w:rPr>
                <w:rFonts w:ascii="Calibri" w:hAnsi="Calibri"/>
                <w:bCs/>
                <w:lang w:eastAsia="ja-JP"/>
              </w:rPr>
            </w:pPr>
            <w:r w:rsidRPr="00912996">
              <w:rPr>
                <w:rFonts w:ascii="Calibri" w:hAnsi="Calibri"/>
                <w:bCs/>
                <w:lang w:eastAsia="ja-JP"/>
              </w:rPr>
              <w:t>PS2</w:t>
            </w:r>
          </w:p>
        </w:tc>
        <w:tc>
          <w:tcPr>
            <w:tcW w:w="569" w:type="pct"/>
            <w:shd w:val="clear" w:color="auto" w:fill="F2F2F2"/>
            <w:noWrap/>
            <w:hideMark/>
          </w:tcPr>
          <w:p w14:paraId="3EB69766"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7DDAED7B" w14:textId="77777777" w:rsidR="00262046" w:rsidRPr="00912996" w:rsidRDefault="00262046" w:rsidP="00396D75">
            <w:pPr>
              <w:rPr>
                <w:rFonts w:ascii="Calibri" w:hAnsi="Calibri"/>
                <w:bCs/>
                <w:lang w:eastAsia="ja-JP"/>
              </w:rPr>
            </w:pPr>
            <w:r w:rsidRPr="00912996">
              <w:rPr>
                <w:rFonts w:ascii="Calibri" w:hAnsi="Calibri"/>
                <w:bCs/>
                <w:lang w:eastAsia="ja-JP"/>
              </w:rPr>
              <w:t>4,900,000</w:t>
            </w:r>
          </w:p>
        </w:tc>
        <w:tc>
          <w:tcPr>
            <w:tcW w:w="379" w:type="pct"/>
            <w:shd w:val="clear" w:color="auto" w:fill="F2F2F2"/>
            <w:noWrap/>
            <w:hideMark/>
          </w:tcPr>
          <w:p w14:paraId="52D5882F" w14:textId="77777777" w:rsidR="00262046" w:rsidRPr="00912996" w:rsidRDefault="00262046" w:rsidP="00396D75">
            <w:pPr>
              <w:rPr>
                <w:rFonts w:ascii="Calibri" w:hAnsi="Calibri"/>
                <w:bCs/>
                <w:lang w:eastAsia="ja-JP"/>
              </w:rPr>
            </w:pPr>
            <w:r w:rsidRPr="00912996">
              <w:rPr>
                <w:rFonts w:ascii="Calibri" w:hAnsi="Calibri"/>
                <w:bCs/>
                <w:lang w:eastAsia="ja-JP"/>
              </w:rPr>
              <w:t>1,000,000</w:t>
            </w:r>
          </w:p>
        </w:tc>
        <w:tc>
          <w:tcPr>
            <w:tcW w:w="348" w:type="pct"/>
            <w:shd w:val="clear" w:color="auto" w:fill="F2F2F2"/>
            <w:noWrap/>
            <w:hideMark/>
          </w:tcPr>
          <w:p w14:paraId="64D660B1"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0F485C8A" w14:textId="77777777" w:rsidR="00262046" w:rsidRPr="00912996" w:rsidRDefault="00262046" w:rsidP="00396D75">
            <w:pPr>
              <w:rPr>
                <w:rFonts w:ascii="Calibri" w:hAnsi="Calibri"/>
                <w:bCs/>
                <w:lang w:eastAsia="ja-JP"/>
              </w:rPr>
            </w:pPr>
            <w:r w:rsidRPr="00912996">
              <w:rPr>
                <w:rFonts w:ascii="Calibri" w:hAnsi="Calibri"/>
                <w:bCs/>
                <w:lang w:eastAsia="ja-JP"/>
              </w:rPr>
              <w:t>POCIDIF 2021-2027 P1, POR BI P1, Bugetul local, Alte surse de finanțare</w:t>
            </w:r>
          </w:p>
        </w:tc>
        <w:tc>
          <w:tcPr>
            <w:tcW w:w="505" w:type="pct"/>
            <w:shd w:val="clear" w:color="auto" w:fill="F2F2F2"/>
            <w:noWrap/>
            <w:hideMark/>
          </w:tcPr>
          <w:p w14:paraId="6612E5BC" w14:textId="77777777" w:rsidR="00262046" w:rsidRPr="00912996" w:rsidRDefault="00262046" w:rsidP="00396D75">
            <w:pPr>
              <w:rPr>
                <w:rFonts w:ascii="Calibri" w:hAnsi="Calibri"/>
                <w:bCs/>
                <w:lang w:eastAsia="ja-JP"/>
              </w:rPr>
            </w:pPr>
            <w:r w:rsidRPr="00912996">
              <w:rPr>
                <w:rFonts w:ascii="Calibri" w:hAnsi="Calibri"/>
                <w:bCs/>
                <w:lang w:eastAsia="ja-JP"/>
              </w:rPr>
              <w:t>Lista lungă de proiecte</w:t>
            </w:r>
          </w:p>
        </w:tc>
        <w:tc>
          <w:tcPr>
            <w:tcW w:w="514" w:type="pct"/>
            <w:shd w:val="clear" w:color="auto" w:fill="F2F2F2"/>
            <w:hideMark/>
          </w:tcPr>
          <w:p w14:paraId="7E0441B3"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r w:rsidR="00262046" w:rsidRPr="00912996" w14:paraId="2028B8B0" w14:textId="77777777" w:rsidTr="00D719F3">
        <w:trPr>
          <w:trHeight w:val="804"/>
        </w:trPr>
        <w:tc>
          <w:tcPr>
            <w:tcW w:w="219" w:type="pct"/>
            <w:shd w:val="clear" w:color="auto" w:fill="F2F2F2"/>
            <w:noWrap/>
            <w:hideMark/>
          </w:tcPr>
          <w:p w14:paraId="72BE0103" w14:textId="77777777" w:rsidR="00262046" w:rsidRPr="00912996" w:rsidRDefault="00262046" w:rsidP="00396D75">
            <w:pPr>
              <w:rPr>
                <w:rFonts w:ascii="Calibri" w:hAnsi="Calibri"/>
                <w:bCs/>
                <w:lang w:eastAsia="ja-JP"/>
              </w:rPr>
            </w:pPr>
            <w:r w:rsidRPr="00912996">
              <w:rPr>
                <w:rFonts w:ascii="Calibri" w:hAnsi="Calibri"/>
                <w:bCs/>
                <w:lang w:eastAsia="ja-JP"/>
              </w:rPr>
              <w:t>8</w:t>
            </w:r>
          </w:p>
        </w:tc>
        <w:tc>
          <w:tcPr>
            <w:tcW w:w="949" w:type="pct"/>
            <w:shd w:val="clear" w:color="auto" w:fill="F2F2F2"/>
            <w:hideMark/>
          </w:tcPr>
          <w:p w14:paraId="7E39B3BE" w14:textId="3F60E54D" w:rsidR="00262046" w:rsidRPr="00912996" w:rsidRDefault="00262046" w:rsidP="00396D75">
            <w:pPr>
              <w:rPr>
                <w:rFonts w:ascii="Calibri" w:hAnsi="Calibri"/>
                <w:bCs/>
                <w:lang w:eastAsia="ja-JP"/>
              </w:rPr>
            </w:pPr>
            <w:r w:rsidRPr="00912996">
              <w:rPr>
                <w:rFonts w:ascii="Calibri" w:hAnsi="Calibri"/>
                <w:bCs/>
                <w:lang w:eastAsia="ja-JP"/>
              </w:rPr>
              <w:t>Dezvoltarea unor ecosisteme antreprenoriale specifice conceptului de specializare inteligenta (parcuri de specializare inteligent</w:t>
            </w:r>
            <w:r>
              <w:rPr>
                <w:rFonts w:ascii="Calibri" w:hAnsi="Calibri"/>
                <w:bCs/>
                <w:lang w:eastAsia="ja-JP"/>
              </w:rPr>
              <w:t>ă</w:t>
            </w:r>
            <w:r w:rsidRPr="00912996">
              <w:rPr>
                <w:rFonts w:ascii="Calibri" w:hAnsi="Calibri"/>
                <w:bCs/>
                <w:lang w:eastAsia="ja-JP"/>
              </w:rPr>
              <w:t>)</w:t>
            </w:r>
          </w:p>
        </w:tc>
        <w:tc>
          <w:tcPr>
            <w:tcW w:w="505" w:type="pct"/>
            <w:shd w:val="clear" w:color="auto" w:fill="F2F2F2"/>
            <w:hideMark/>
          </w:tcPr>
          <w:p w14:paraId="06B17058" w14:textId="77777777" w:rsidR="00262046" w:rsidRPr="00912996" w:rsidRDefault="00262046" w:rsidP="00396D75">
            <w:pPr>
              <w:rPr>
                <w:rFonts w:ascii="Calibri" w:hAnsi="Calibri"/>
                <w:bCs/>
                <w:lang w:eastAsia="ja-JP"/>
              </w:rPr>
            </w:pPr>
            <w:r w:rsidRPr="00912996">
              <w:rPr>
                <w:rFonts w:ascii="Calibri" w:hAnsi="Calibri"/>
                <w:bCs/>
                <w:lang w:eastAsia="ja-JP"/>
              </w:rPr>
              <w:t>Primăria Municipiului București, PS2</w:t>
            </w:r>
          </w:p>
        </w:tc>
        <w:tc>
          <w:tcPr>
            <w:tcW w:w="569" w:type="pct"/>
            <w:shd w:val="clear" w:color="auto" w:fill="F2F2F2"/>
            <w:noWrap/>
            <w:hideMark/>
          </w:tcPr>
          <w:p w14:paraId="602F9E3C" w14:textId="77777777" w:rsidR="00262046" w:rsidRPr="00912996" w:rsidRDefault="00262046" w:rsidP="00396D75">
            <w:pPr>
              <w:rPr>
                <w:rFonts w:ascii="Calibri" w:hAnsi="Calibri"/>
                <w:bCs/>
                <w:lang w:eastAsia="ja-JP"/>
              </w:rPr>
            </w:pPr>
            <w:r w:rsidRPr="00912996">
              <w:rPr>
                <w:rFonts w:ascii="Calibri" w:hAnsi="Calibri"/>
                <w:bCs/>
                <w:lang w:eastAsia="ja-JP"/>
              </w:rPr>
              <w:t>Idee</w:t>
            </w:r>
          </w:p>
        </w:tc>
        <w:tc>
          <w:tcPr>
            <w:tcW w:w="411" w:type="pct"/>
            <w:shd w:val="clear" w:color="auto" w:fill="F2F2F2"/>
            <w:noWrap/>
            <w:hideMark/>
          </w:tcPr>
          <w:p w14:paraId="1DD63B77" w14:textId="77777777" w:rsidR="00262046" w:rsidRPr="00912996" w:rsidRDefault="00262046" w:rsidP="00396D75">
            <w:pPr>
              <w:rPr>
                <w:rFonts w:ascii="Calibri" w:hAnsi="Calibri"/>
                <w:bCs/>
                <w:lang w:eastAsia="ja-JP"/>
              </w:rPr>
            </w:pPr>
            <w:r w:rsidRPr="00912996">
              <w:rPr>
                <w:rFonts w:ascii="Calibri" w:hAnsi="Calibri"/>
                <w:bCs/>
                <w:lang w:eastAsia="ja-JP"/>
              </w:rPr>
              <w:t>1,715,000</w:t>
            </w:r>
          </w:p>
        </w:tc>
        <w:tc>
          <w:tcPr>
            <w:tcW w:w="379" w:type="pct"/>
            <w:shd w:val="clear" w:color="auto" w:fill="F2F2F2"/>
            <w:noWrap/>
            <w:hideMark/>
          </w:tcPr>
          <w:p w14:paraId="3EB40BA3" w14:textId="77777777" w:rsidR="00262046" w:rsidRPr="00912996" w:rsidRDefault="00262046" w:rsidP="00396D75">
            <w:pPr>
              <w:rPr>
                <w:rFonts w:ascii="Calibri" w:hAnsi="Calibri"/>
                <w:bCs/>
                <w:lang w:eastAsia="ja-JP"/>
              </w:rPr>
            </w:pPr>
            <w:r w:rsidRPr="00912996">
              <w:rPr>
                <w:rFonts w:ascii="Calibri" w:hAnsi="Calibri"/>
                <w:bCs/>
                <w:lang w:eastAsia="ja-JP"/>
              </w:rPr>
              <w:t>350,000</w:t>
            </w:r>
          </w:p>
        </w:tc>
        <w:tc>
          <w:tcPr>
            <w:tcW w:w="348" w:type="pct"/>
            <w:shd w:val="clear" w:color="auto" w:fill="F2F2F2"/>
            <w:noWrap/>
            <w:hideMark/>
          </w:tcPr>
          <w:p w14:paraId="1C2F4A07" w14:textId="77777777" w:rsidR="00262046" w:rsidRPr="00912996" w:rsidRDefault="00262046" w:rsidP="00396D75">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601" w:type="pct"/>
            <w:shd w:val="clear" w:color="auto" w:fill="F2F2F2"/>
            <w:hideMark/>
          </w:tcPr>
          <w:p w14:paraId="5D37B1E7" w14:textId="77777777" w:rsidR="00262046" w:rsidRPr="00912996" w:rsidRDefault="00262046" w:rsidP="00396D75">
            <w:pPr>
              <w:rPr>
                <w:rFonts w:ascii="Calibri" w:hAnsi="Calibri"/>
                <w:bCs/>
                <w:lang w:eastAsia="ja-JP"/>
              </w:rPr>
            </w:pPr>
            <w:r w:rsidRPr="00912996">
              <w:rPr>
                <w:rFonts w:ascii="Calibri" w:hAnsi="Calibri"/>
                <w:bCs/>
                <w:lang w:eastAsia="ja-JP"/>
              </w:rPr>
              <w:t>PNRR C9</w:t>
            </w:r>
          </w:p>
        </w:tc>
        <w:tc>
          <w:tcPr>
            <w:tcW w:w="505" w:type="pct"/>
            <w:shd w:val="clear" w:color="auto" w:fill="F2F2F2"/>
            <w:noWrap/>
            <w:hideMark/>
          </w:tcPr>
          <w:p w14:paraId="3CB0D012" w14:textId="77777777" w:rsidR="00262046" w:rsidRPr="00912996" w:rsidRDefault="00262046" w:rsidP="00396D75">
            <w:pPr>
              <w:rPr>
                <w:rFonts w:ascii="Calibri" w:hAnsi="Calibri"/>
                <w:bCs/>
                <w:lang w:eastAsia="ja-JP"/>
              </w:rPr>
            </w:pPr>
            <w:r w:rsidRPr="00912996">
              <w:rPr>
                <w:rFonts w:ascii="Calibri" w:hAnsi="Calibri"/>
                <w:bCs/>
                <w:lang w:eastAsia="ja-JP"/>
              </w:rPr>
              <w:t>Proiect prioritar</w:t>
            </w:r>
          </w:p>
        </w:tc>
        <w:tc>
          <w:tcPr>
            <w:tcW w:w="514" w:type="pct"/>
            <w:shd w:val="clear" w:color="auto" w:fill="F2F2F2"/>
            <w:noWrap/>
            <w:hideMark/>
          </w:tcPr>
          <w:p w14:paraId="662B249E" w14:textId="77777777" w:rsidR="00262046" w:rsidRPr="00912996" w:rsidRDefault="00262046" w:rsidP="00396D75">
            <w:pPr>
              <w:rPr>
                <w:rFonts w:ascii="Calibri" w:hAnsi="Calibri"/>
                <w:bCs/>
                <w:lang w:eastAsia="ja-JP"/>
              </w:rPr>
            </w:pPr>
            <w:r w:rsidRPr="00912996">
              <w:rPr>
                <w:rFonts w:ascii="Calibri" w:hAnsi="Calibri"/>
                <w:bCs/>
                <w:lang w:eastAsia="ja-JP"/>
              </w:rPr>
              <w:t>SIDU MB</w:t>
            </w:r>
          </w:p>
        </w:tc>
      </w:tr>
    </w:tbl>
    <w:p w14:paraId="62E744D6" w14:textId="5D48A845" w:rsidR="00262046" w:rsidRDefault="00262046" w:rsidP="00262046"/>
    <w:p w14:paraId="3E64EC46" w14:textId="40C8FC31" w:rsidR="00963E4C" w:rsidRPr="00F171A3" w:rsidRDefault="00A173B0" w:rsidP="00262046">
      <w:pPr>
        <w:spacing w:after="0"/>
        <w:jc w:val="left"/>
      </w:pPr>
      <w:r>
        <w:br w:type="page"/>
      </w:r>
    </w:p>
    <w:p w14:paraId="2A3883D0" w14:textId="4431FA03" w:rsidR="00693955" w:rsidRDefault="00693955" w:rsidP="00E305CA">
      <w:pPr>
        <w:pStyle w:val="Heading3"/>
        <w:rPr>
          <w:lang w:val="ro-RO"/>
        </w:rPr>
      </w:pPr>
      <w:bookmarkStart w:id="455" w:name="_Toc127199317"/>
      <w:r w:rsidRPr="00F171A3">
        <w:rPr>
          <w:lang w:val="ro-RO"/>
        </w:rPr>
        <w:t>OBIECTIV STRATEGIC O3 -  SECTOR NEUTRU DIN PUNCT DE VEDERE CLIMATIC, CU O INFRASTRUCTURĂ EFICIENTĂ ȘI MODERNĂ</w:t>
      </w:r>
      <w:bookmarkEnd w:id="455"/>
    </w:p>
    <w:tbl>
      <w:tblPr>
        <w:tblStyle w:val="TableGrid5"/>
        <w:tblW w:w="2963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625"/>
        <w:gridCol w:w="2250"/>
        <w:gridCol w:w="1530"/>
        <w:gridCol w:w="1620"/>
        <w:gridCol w:w="1260"/>
        <w:gridCol w:w="1260"/>
        <w:gridCol w:w="1089"/>
        <w:gridCol w:w="1881"/>
        <w:gridCol w:w="1260"/>
        <w:gridCol w:w="1440"/>
        <w:gridCol w:w="1733"/>
        <w:gridCol w:w="1711"/>
        <w:gridCol w:w="1711"/>
        <w:gridCol w:w="1711"/>
        <w:gridCol w:w="1711"/>
        <w:gridCol w:w="1711"/>
        <w:gridCol w:w="1711"/>
        <w:gridCol w:w="1711"/>
        <w:gridCol w:w="1711"/>
      </w:tblGrid>
      <w:tr w:rsidR="00AC2FFA" w:rsidRPr="00912996" w14:paraId="06051CF8" w14:textId="77777777" w:rsidTr="00E2442E">
        <w:trPr>
          <w:gridAfter w:val="9"/>
          <w:wAfter w:w="15421" w:type="dxa"/>
          <w:trHeight w:val="1185"/>
        </w:trPr>
        <w:tc>
          <w:tcPr>
            <w:tcW w:w="625" w:type="dxa"/>
            <w:shd w:val="clear" w:color="auto" w:fill="134753"/>
            <w:vAlign w:val="center"/>
            <w:hideMark/>
          </w:tcPr>
          <w:p w14:paraId="19359531"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NR. CRT.</w:t>
            </w:r>
          </w:p>
        </w:tc>
        <w:tc>
          <w:tcPr>
            <w:tcW w:w="2250" w:type="dxa"/>
            <w:shd w:val="clear" w:color="auto" w:fill="134753"/>
            <w:vAlign w:val="center"/>
            <w:hideMark/>
          </w:tcPr>
          <w:p w14:paraId="37A92BE7"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TITLU PROGRAM/PROIECT</w:t>
            </w:r>
          </w:p>
        </w:tc>
        <w:tc>
          <w:tcPr>
            <w:tcW w:w="1530" w:type="dxa"/>
            <w:shd w:val="clear" w:color="auto" w:fill="134753"/>
            <w:vAlign w:val="center"/>
            <w:hideMark/>
          </w:tcPr>
          <w:p w14:paraId="7006121C"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RESPONSABILI ȘI POSIBILI PARTENERI</w:t>
            </w:r>
          </w:p>
        </w:tc>
        <w:tc>
          <w:tcPr>
            <w:tcW w:w="1620" w:type="dxa"/>
            <w:shd w:val="clear" w:color="auto" w:fill="134753"/>
            <w:vAlign w:val="center"/>
            <w:hideMark/>
          </w:tcPr>
          <w:p w14:paraId="33F1AA2B"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GRAD DE MATURITATE</w:t>
            </w:r>
          </w:p>
        </w:tc>
        <w:tc>
          <w:tcPr>
            <w:tcW w:w="1260" w:type="dxa"/>
            <w:shd w:val="clear" w:color="auto" w:fill="134753"/>
            <w:vAlign w:val="center"/>
            <w:hideMark/>
          </w:tcPr>
          <w:p w14:paraId="5919FFF9"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VALOARE ESTIMATĂ (RON)</w:t>
            </w:r>
          </w:p>
        </w:tc>
        <w:tc>
          <w:tcPr>
            <w:tcW w:w="1260" w:type="dxa"/>
            <w:shd w:val="clear" w:color="auto" w:fill="134753"/>
            <w:vAlign w:val="center"/>
            <w:hideMark/>
          </w:tcPr>
          <w:p w14:paraId="557DD0D1"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 xml:space="preserve">VALOARE ESTIMATĂ (EUR) </w:t>
            </w:r>
            <w:r w:rsidRPr="00912996">
              <w:rPr>
                <w:rFonts w:ascii="Calibri" w:hAnsi="Calibri"/>
                <w:b/>
                <w:bCs/>
                <w:lang w:eastAsia="ja-JP"/>
              </w:rPr>
              <w:br/>
            </w:r>
            <w:r w:rsidRPr="00912996">
              <w:rPr>
                <w:rFonts w:ascii="Calibri" w:hAnsi="Calibri"/>
                <w:b/>
                <w:bCs/>
                <w:lang w:eastAsia="ja-JP"/>
              </w:rPr>
              <w:br/>
            </w:r>
            <w:r w:rsidRPr="00912996">
              <w:rPr>
                <w:rFonts w:ascii="Calibri" w:hAnsi="Calibri"/>
                <w:b/>
                <w:bCs/>
                <w:i/>
                <w:iCs/>
                <w:lang w:eastAsia="ja-JP"/>
              </w:rPr>
              <w:t>* 1 EUR = 4.9 LEI</w:t>
            </w:r>
          </w:p>
        </w:tc>
        <w:tc>
          <w:tcPr>
            <w:tcW w:w="1089" w:type="dxa"/>
            <w:shd w:val="clear" w:color="auto" w:fill="134753"/>
            <w:vAlign w:val="center"/>
            <w:hideMark/>
          </w:tcPr>
          <w:p w14:paraId="56C0C834"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ORIZONT DE TIMP</w:t>
            </w:r>
          </w:p>
        </w:tc>
        <w:tc>
          <w:tcPr>
            <w:tcW w:w="1881" w:type="dxa"/>
            <w:shd w:val="clear" w:color="auto" w:fill="134753"/>
            <w:vAlign w:val="center"/>
            <w:hideMark/>
          </w:tcPr>
          <w:p w14:paraId="3CCD4A68"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SURSE DE FINANȚARE POTENȚIALE</w:t>
            </w:r>
          </w:p>
        </w:tc>
        <w:tc>
          <w:tcPr>
            <w:tcW w:w="1260" w:type="dxa"/>
            <w:shd w:val="clear" w:color="auto" w:fill="134753"/>
            <w:vAlign w:val="center"/>
            <w:hideMark/>
          </w:tcPr>
          <w:p w14:paraId="2AAC579E"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NIVEL DE PRIORITATE</w:t>
            </w:r>
          </w:p>
        </w:tc>
        <w:tc>
          <w:tcPr>
            <w:tcW w:w="1440" w:type="dxa"/>
            <w:shd w:val="clear" w:color="auto" w:fill="134753"/>
            <w:vAlign w:val="center"/>
            <w:hideMark/>
          </w:tcPr>
          <w:p w14:paraId="30AA0817" w14:textId="77777777" w:rsidR="001A54E6" w:rsidRPr="00912996" w:rsidRDefault="001A54E6" w:rsidP="008506DF">
            <w:pPr>
              <w:jc w:val="center"/>
              <w:rPr>
                <w:rFonts w:ascii="Calibri" w:hAnsi="Calibri"/>
                <w:b/>
                <w:bCs/>
                <w:lang w:eastAsia="ja-JP"/>
              </w:rPr>
            </w:pPr>
            <w:r w:rsidRPr="00912996">
              <w:rPr>
                <w:rFonts w:ascii="Calibri" w:hAnsi="Calibri"/>
                <w:b/>
                <w:bCs/>
                <w:lang w:eastAsia="ja-JP"/>
              </w:rPr>
              <w:t>SURSA PROIECTULUI</w:t>
            </w:r>
          </w:p>
        </w:tc>
      </w:tr>
      <w:tr w:rsidR="001A54E6" w:rsidRPr="00912996" w14:paraId="497D3807" w14:textId="77777777" w:rsidTr="00AC2FFA">
        <w:trPr>
          <w:gridAfter w:val="9"/>
          <w:wAfter w:w="15421" w:type="dxa"/>
          <w:trHeight w:val="276"/>
        </w:trPr>
        <w:tc>
          <w:tcPr>
            <w:tcW w:w="14215" w:type="dxa"/>
            <w:gridSpan w:val="10"/>
            <w:shd w:val="clear" w:color="auto" w:fill="ABCD3A"/>
            <w:noWrap/>
            <w:hideMark/>
          </w:tcPr>
          <w:p w14:paraId="0D351BEE" w14:textId="77777777" w:rsidR="001A54E6" w:rsidRPr="00912996" w:rsidRDefault="001A54E6" w:rsidP="008506DF">
            <w:pPr>
              <w:jc w:val="center"/>
              <w:rPr>
                <w:rFonts w:ascii="Calibri" w:hAnsi="Calibri"/>
                <w:b/>
                <w:bCs/>
                <w:color w:val="FFFFFF"/>
                <w:lang w:eastAsia="ja-JP"/>
              </w:rPr>
            </w:pPr>
            <w:r w:rsidRPr="00912996">
              <w:rPr>
                <w:rFonts w:ascii="Calibri" w:hAnsi="Calibri"/>
                <w:b/>
                <w:bCs/>
                <w:color w:val="FFFFFF"/>
                <w:lang w:eastAsia="ja-JP"/>
              </w:rPr>
              <w:t>OBIECTIV STRATEGIC O3 -  SECTOR NEUTRU DIN PUNCT DE VEDERE CLIMATIC, CU O INFRASTRUCTURĂ EFICIENTĂ ȘI MODERNĂ</w:t>
            </w:r>
          </w:p>
        </w:tc>
      </w:tr>
      <w:tr w:rsidR="001A54E6" w:rsidRPr="00912996" w14:paraId="6B0F3D21" w14:textId="77777777" w:rsidTr="00AC2FFA">
        <w:trPr>
          <w:gridAfter w:val="9"/>
          <w:wAfter w:w="15421" w:type="dxa"/>
          <w:trHeight w:val="276"/>
        </w:trPr>
        <w:tc>
          <w:tcPr>
            <w:tcW w:w="14215" w:type="dxa"/>
            <w:gridSpan w:val="10"/>
            <w:shd w:val="clear" w:color="auto" w:fill="CCE188"/>
            <w:noWrap/>
            <w:hideMark/>
          </w:tcPr>
          <w:p w14:paraId="63DB31B8" w14:textId="77777777" w:rsidR="001A54E6" w:rsidRPr="00912996" w:rsidRDefault="001A54E6" w:rsidP="008506DF">
            <w:pPr>
              <w:jc w:val="center"/>
              <w:rPr>
                <w:rFonts w:ascii="Calibri" w:hAnsi="Calibri"/>
                <w:b/>
                <w:bCs/>
                <w:color w:val="FFFFFF"/>
                <w:lang w:eastAsia="ja-JP"/>
              </w:rPr>
            </w:pPr>
            <w:r w:rsidRPr="00912996">
              <w:rPr>
                <w:rFonts w:ascii="Calibri" w:hAnsi="Calibri"/>
                <w:b/>
                <w:bCs/>
                <w:color w:val="FFFFFF"/>
                <w:lang w:eastAsia="ja-JP"/>
              </w:rPr>
              <w:t>OBIECTIV SPECIFIC O3.1. - Sector sigur, cu emisii scăzute de gaze cu efect de seră datorită sistemului energetic performant</w:t>
            </w:r>
          </w:p>
        </w:tc>
      </w:tr>
      <w:tr w:rsidR="001A54E6" w:rsidRPr="00912996" w14:paraId="6797113F" w14:textId="77777777" w:rsidTr="00AC2FFA">
        <w:trPr>
          <w:gridAfter w:val="9"/>
          <w:wAfter w:w="15421" w:type="dxa"/>
          <w:trHeight w:val="276"/>
        </w:trPr>
        <w:tc>
          <w:tcPr>
            <w:tcW w:w="14215" w:type="dxa"/>
            <w:gridSpan w:val="10"/>
            <w:shd w:val="clear" w:color="auto" w:fill="BBD9A0"/>
            <w:noWrap/>
            <w:hideMark/>
          </w:tcPr>
          <w:p w14:paraId="42A8FA4C" w14:textId="77777777" w:rsidR="001A54E6" w:rsidRPr="00912996" w:rsidRDefault="001A54E6" w:rsidP="008506DF">
            <w:pPr>
              <w:jc w:val="center"/>
              <w:rPr>
                <w:rFonts w:ascii="Calibri" w:hAnsi="Calibri"/>
                <w:b/>
                <w:bCs/>
                <w:color w:val="FFFFFF"/>
                <w:lang w:eastAsia="ja-JP"/>
              </w:rPr>
            </w:pPr>
            <w:r w:rsidRPr="00912996">
              <w:rPr>
                <w:rFonts w:ascii="Calibri" w:hAnsi="Calibri"/>
                <w:b/>
                <w:bCs/>
                <w:color w:val="FFFFFF"/>
                <w:lang w:eastAsia="ja-JP"/>
              </w:rPr>
              <w:t>D3.1.1. Consolidarea și eficientizarea energetică a fondului construit</w:t>
            </w:r>
          </w:p>
        </w:tc>
      </w:tr>
      <w:tr w:rsidR="00AC2FFA" w:rsidRPr="00912996" w14:paraId="05890CE7" w14:textId="77777777" w:rsidTr="00E2442E">
        <w:trPr>
          <w:gridAfter w:val="9"/>
          <w:wAfter w:w="15421" w:type="dxa"/>
          <w:trHeight w:val="495"/>
        </w:trPr>
        <w:tc>
          <w:tcPr>
            <w:tcW w:w="625" w:type="dxa"/>
            <w:shd w:val="clear" w:color="auto" w:fill="F2F2F2"/>
            <w:noWrap/>
            <w:hideMark/>
          </w:tcPr>
          <w:p w14:paraId="297D7D59"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4E3E828B" w14:textId="03067B8C" w:rsidR="001A54E6" w:rsidRPr="00912996" w:rsidRDefault="001A54E6" w:rsidP="00394372">
            <w:pPr>
              <w:rPr>
                <w:rFonts w:ascii="Calibri" w:hAnsi="Calibri"/>
                <w:bCs/>
                <w:lang w:eastAsia="ja-JP"/>
              </w:rPr>
            </w:pPr>
            <w:r w:rsidRPr="00495F47">
              <w:rPr>
                <w:rFonts w:ascii="Calibri" w:hAnsi="Calibri"/>
                <w:bCs/>
                <w:lang w:eastAsia="ja-JP"/>
              </w:rPr>
              <w:t>Eficientizare energetică</w:t>
            </w:r>
            <w:r>
              <w:rPr>
                <w:rFonts w:ascii="Calibri" w:hAnsi="Calibri"/>
                <w:bCs/>
                <w:lang w:eastAsia="ja-JP"/>
              </w:rPr>
              <w:t xml:space="preserve"> p</w:t>
            </w:r>
            <w:r w:rsidRPr="00495F47">
              <w:rPr>
                <w:rFonts w:ascii="Calibri" w:hAnsi="Calibri"/>
                <w:bCs/>
                <w:lang w:eastAsia="ja-JP"/>
              </w:rPr>
              <w:t>rin</w:t>
            </w:r>
            <w:r w:rsidR="00AC2FFA">
              <w:rPr>
                <w:rFonts w:ascii="Calibri" w:hAnsi="Calibri"/>
                <w:bCs/>
                <w:lang w:eastAsia="ja-JP"/>
              </w:rPr>
              <w:t xml:space="preserve"> </w:t>
            </w:r>
            <w:r w:rsidRPr="00495F47">
              <w:rPr>
                <w:rFonts w:ascii="Calibri" w:hAnsi="Calibri"/>
                <w:bCs/>
                <w:lang w:eastAsia="ja-JP"/>
              </w:rPr>
              <w:t>reabilitare</w:t>
            </w:r>
            <w:r w:rsidR="00AC2FFA">
              <w:rPr>
                <w:rFonts w:ascii="Calibri" w:hAnsi="Calibri"/>
                <w:bCs/>
                <w:lang w:eastAsia="ja-JP"/>
              </w:rPr>
              <w:t xml:space="preserve"> </w:t>
            </w:r>
            <w:r w:rsidRPr="00495F47">
              <w:rPr>
                <w:rFonts w:ascii="Calibri" w:hAnsi="Calibri"/>
                <w:bCs/>
                <w:lang w:eastAsia="ja-JP"/>
              </w:rPr>
              <w:t>/</w:t>
            </w:r>
            <w:r w:rsidR="00AC2FFA">
              <w:rPr>
                <w:rFonts w:ascii="Calibri" w:hAnsi="Calibri"/>
                <w:bCs/>
                <w:lang w:eastAsia="ja-JP"/>
              </w:rPr>
              <w:t xml:space="preserve"> </w:t>
            </w:r>
            <w:r w:rsidRPr="00495F47">
              <w:rPr>
                <w:rFonts w:ascii="Calibri" w:hAnsi="Calibri"/>
                <w:bCs/>
                <w:lang w:eastAsia="ja-JP"/>
              </w:rPr>
              <w:t>modernizare a</w:t>
            </w:r>
            <w:r>
              <w:rPr>
                <w:rFonts w:ascii="Calibri" w:hAnsi="Calibri"/>
                <w:bCs/>
                <w:lang w:eastAsia="ja-JP"/>
              </w:rPr>
              <w:t xml:space="preserve"> </w:t>
            </w:r>
            <w:r w:rsidRPr="00495F47">
              <w:rPr>
                <w:rFonts w:ascii="Calibri" w:hAnsi="Calibri"/>
                <w:bCs/>
                <w:lang w:eastAsia="ja-JP"/>
              </w:rPr>
              <w:t>Liceului</w:t>
            </w:r>
            <w:r>
              <w:rPr>
                <w:rFonts w:ascii="Calibri" w:hAnsi="Calibri"/>
                <w:bCs/>
                <w:lang w:eastAsia="ja-JP"/>
              </w:rPr>
              <w:t xml:space="preserve"> </w:t>
            </w:r>
            <w:r w:rsidRPr="00495F47">
              <w:rPr>
                <w:rFonts w:ascii="Calibri" w:hAnsi="Calibri"/>
                <w:bCs/>
                <w:lang w:eastAsia="ja-JP"/>
              </w:rPr>
              <w:t>Tehnologic</w:t>
            </w:r>
            <w:r>
              <w:rPr>
                <w:rFonts w:ascii="Calibri" w:hAnsi="Calibri"/>
                <w:bCs/>
                <w:lang w:eastAsia="ja-JP"/>
              </w:rPr>
              <w:t xml:space="preserve"> ”</w:t>
            </w:r>
            <w:r w:rsidRPr="00495F47">
              <w:rPr>
                <w:rFonts w:ascii="Calibri" w:hAnsi="Calibri"/>
                <w:bCs/>
                <w:lang w:eastAsia="ja-JP"/>
              </w:rPr>
              <w:t>Ion I.C. Brătianu”</w:t>
            </w:r>
          </w:p>
        </w:tc>
        <w:tc>
          <w:tcPr>
            <w:tcW w:w="1530" w:type="dxa"/>
            <w:shd w:val="clear" w:color="auto" w:fill="F2F2F2"/>
            <w:hideMark/>
          </w:tcPr>
          <w:p w14:paraId="4F22E5B6"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08D36172"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304DFC3A" w14:textId="77777777" w:rsidR="001A54E6" w:rsidRPr="00912996" w:rsidRDefault="001A54E6" w:rsidP="00394372">
            <w:pPr>
              <w:rPr>
                <w:rFonts w:ascii="Calibri" w:hAnsi="Calibri"/>
                <w:bCs/>
                <w:lang w:eastAsia="ja-JP"/>
              </w:rPr>
            </w:pPr>
            <w:r w:rsidRPr="00495F47">
              <w:rPr>
                <w:rFonts w:ascii="Calibri" w:hAnsi="Calibri"/>
                <w:bCs/>
                <w:lang w:eastAsia="ja-JP"/>
              </w:rPr>
              <w:t>8,179,944</w:t>
            </w:r>
          </w:p>
        </w:tc>
        <w:tc>
          <w:tcPr>
            <w:tcW w:w="1260" w:type="dxa"/>
            <w:shd w:val="clear" w:color="auto" w:fill="F2F2F2"/>
            <w:noWrap/>
            <w:hideMark/>
          </w:tcPr>
          <w:p w14:paraId="3AD1FE2F" w14:textId="77777777" w:rsidR="001A54E6" w:rsidRPr="00912996" w:rsidRDefault="001A54E6" w:rsidP="00394372">
            <w:pPr>
              <w:rPr>
                <w:rFonts w:ascii="Calibri" w:hAnsi="Calibri"/>
                <w:bCs/>
                <w:lang w:eastAsia="ja-JP"/>
              </w:rPr>
            </w:pPr>
            <w:r w:rsidRPr="00495F47">
              <w:rPr>
                <w:rFonts w:ascii="Calibri" w:hAnsi="Calibri"/>
                <w:bCs/>
                <w:lang w:eastAsia="ja-JP"/>
              </w:rPr>
              <w:t>1,669,376</w:t>
            </w:r>
          </w:p>
        </w:tc>
        <w:tc>
          <w:tcPr>
            <w:tcW w:w="1089" w:type="dxa"/>
            <w:shd w:val="clear" w:color="auto" w:fill="F2F2F2"/>
            <w:noWrap/>
            <w:hideMark/>
          </w:tcPr>
          <w:p w14:paraId="251124FF" w14:textId="77777777" w:rsidR="001A54E6" w:rsidRPr="00495F47" w:rsidRDefault="001A54E6" w:rsidP="00394372">
            <w:pPr>
              <w:rPr>
                <w:rFonts w:ascii="Calibri" w:hAnsi="Calibri"/>
                <w:bCs/>
                <w:lang w:eastAsia="ja-JP"/>
              </w:rPr>
            </w:pPr>
            <w:r w:rsidRPr="00495F47">
              <w:rPr>
                <w:rFonts w:ascii="Calibri" w:hAnsi="Calibri"/>
                <w:bCs/>
                <w:lang w:eastAsia="ja-JP"/>
              </w:rPr>
              <w:t xml:space="preserve">2019 </w:t>
            </w:r>
            <w:r>
              <w:rPr>
                <w:rFonts w:ascii="Calibri" w:hAnsi="Calibri"/>
                <w:bCs/>
                <w:lang w:eastAsia="ja-JP"/>
              </w:rPr>
              <w:t xml:space="preserve"> </w:t>
            </w:r>
            <w:r w:rsidRPr="00495F47">
              <w:rPr>
                <w:rFonts w:ascii="Calibri" w:hAnsi="Calibri"/>
                <w:bCs/>
                <w:lang w:eastAsia="ja-JP"/>
              </w:rPr>
              <w:t>-</w:t>
            </w:r>
          </w:p>
          <w:p w14:paraId="1DC50EE6" w14:textId="77777777" w:rsidR="001A54E6" w:rsidRPr="00912996" w:rsidRDefault="001A54E6" w:rsidP="00394372">
            <w:pPr>
              <w:rPr>
                <w:rFonts w:ascii="Calibri" w:hAnsi="Calibri"/>
                <w:bCs/>
                <w:lang w:eastAsia="ja-JP"/>
              </w:rPr>
            </w:pPr>
            <w:r w:rsidRPr="00495F47">
              <w:rPr>
                <w:rFonts w:ascii="Calibri" w:hAnsi="Calibri"/>
                <w:bCs/>
                <w:lang w:eastAsia="ja-JP"/>
              </w:rPr>
              <w:t>2023</w:t>
            </w:r>
          </w:p>
        </w:tc>
        <w:tc>
          <w:tcPr>
            <w:tcW w:w="1881" w:type="dxa"/>
            <w:shd w:val="clear" w:color="auto" w:fill="F2F2F2"/>
            <w:hideMark/>
          </w:tcPr>
          <w:p w14:paraId="4B5B2227" w14:textId="1FBCBC0A" w:rsidR="001A54E6" w:rsidRPr="00912996" w:rsidRDefault="001A54E6" w:rsidP="00394372">
            <w:pPr>
              <w:rPr>
                <w:rFonts w:ascii="Calibri" w:hAnsi="Calibri"/>
                <w:bCs/>
                <w:lang w:eastAsia="ja-JP"/>
              </w:rPr>
            </w:pPr>
            <w:r w:rsidRPr="00495F47">
              <w:rPr>
                <w:rFonts w:ascii="Calibri" w:hAnsi="Calibri"/>
                <w:bCs/>
                <w:lang w:eastAsia="ja-JP"/>
              </w:rPr>
              <w:t>POR BI 2021-2027 P3, Bugetul local,</w:t>
            </w:r>
            <w:r>
              <w:rPr>
                <w:rFonts w:ascii="Calibri" w:hAnsi="Calibri"/>
                <w:bCs/>
                <w:lang w:eastAsia="ja-JP"/>
              </w:rPr>
              <w:t xml:space="preserve"> </w:t>
            </w:r>
            <w:r w:rsidRPr="00495F47">
              <w:rPr>
                <w:rFonts w:ascii="Calibri" w:hAnsi="Calibri"/>
                <w:bCs/>
                <w:lang w:eastAsia="ja-JP"/>
              </w:rPr>
              <w:t>Alte surse de</w:t>
            </w:r>
            <w:r>
              <w:rPr>
                <w:rFonts w:ascii="Calibri" w:hAnsi="Calibri"/>
                <w:bCs/>
                <w:lang w:eastAsia="ja-JP"/>
              </w:rPr>
              <w:t xml:space="preserve"> </w:t>
            </w:r>
            <w:r w:rsidRPr="00495F47">
              <w:rPr>
                <w:rFonts w:ascii="Calibri" w:hAnsi="Calibri"/>
                <w:bCs/>
                <w:lang w:eastAsia="ja-JP"/>
              </w:rPr>
              <w:t>finanțare</w:t>
            </w:r>
          </w:p>
        </w:tc>
        <w:tc>
          <w:tcPr>
            <w:tcW w:w="1260" w:type="dxa"/>
            <w:shd w:val="clear" w:color="auto" w:fill="F2F2F2"/>
            <w:hideMark/>
          </w:tcPr>
          <w:p w14:paraId="023A0797"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0741E20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18217D44" w14:textId="77777777" w:rsidTr="00E2442E">
        <w:trPr>
          <w:gridAfter w:val="9"/>
          <w:wAfter w:w="15421" w:type="dxa"/>
          <w:trHeight w:val="804"/>
        </w:trPr>
        <w:tc>
          <w:tcPr>
            <w:tcW w:w="625" w:type="dxa"/>
            <w:shd w:val="clear" w:color="auto" w:fill="F2F2F2"/>
            <w:noWrap/>
            <w:hideMark/>
          </w:tcPr>
          <w:p w14:paraId="75C0A2AB"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7A2D63DF" w14:textId="618E7AC1" w:rsidR="001A54E6" w:rsidRPr="00912996" w:rsidRDefault="001A54E6" w:rsidP="00394372">
            <w:pPr>
              <w:rPr>
                <w:rFonts w:ascii="Calibri" w:hAnsi="Calibri"/>
                <w:bCs/>
                <w:lang w:eastAsia="ja-JP"/>
              </w:rPr>
            </w:pPr>
            <w:r w:rsidRPr="00912996">
              <w:rPr>
                <w:rFonts w:ascii="Calibri" w:hAnsi="Calibri"/>
                <w:bCs/>
                <w:lang w:eastAsia="ja-JP"/>
              </w:rPr>
              <w:t>Eficientizare energetică prin reabilitare</w:t>
            </w:r>
            <w:r w:rsidR="00AC2FFA">
              <w:rPr>
                <w:rFonts w:ascii="Calibri" w:hAnsi="Calibri"/>
                <w:bCs/>
                <w:lang w:eastAsia="ja-JP"/>
              </w:rPr>
              <w:t xml:space="preserve"> </w:t>
            </w:r>
            <w:r w:rsidRPr="00912996">
              <w:rPr>
                <w:rFonts w:ascii="Calibri" w:hAnsi="Calibri"/>
                <w:bCs/>
                <w:lang w:eastAsia="ja-JP"/>
              </w:rPr>
              <w:t>/</w:t>
            </w:r>
            <w:r w:rsidR="00AC2FFA">
              <w:rPr>
                <w:rFonts w:ascii="Calibri" w:hAnsi="Calibri"/>
                <w:bCs/>
                <w:lang w:eastAsia="ja-JP"/>
              </w:rPr>
              <w:t xml:space="preserve"> </w:t>
            </w:r>
            <w:r w:rsidRPr="00912996">
              <w:rPr>
                <w:rFonts w:ascii="Calibri" w:hAnsi="Calibri"/>
                <w:bCs/>
                <w:lang w:eastAsia="ja-JP"/>
              </w:rPr>
              <w:t>modernizare a Școlii nr. 64 „Ferdinand I”</w:t>
            </w:r>
          </w:p>
        </w:tc>
        <w:tc>
          <w:tcPr>
            <w:tcW w:w="1530" w:type="dxa"/>
            <w:shd w:val="clear" w:color="auto" w:fill="F2F2F2"/>
            <w:hideMark/>
          </w:tcPr>
          <w:p w14:paraId="3A5D4E95"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89C8B9D"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18A4C594" w14:textId="77777777" w:rsidR="001A54E6" w:rsidRPr="00912996" w:rsidRDefault="001A54E6" w:rsidP="00394372">
            <w:pPr>
              <w:rPr>
                <w:rFonts w:ascii="Calibri" w:hAnsi="Calibri"/>
                <w:bCs/>
                <w:lang w:eastAsia="ja-JP"/>
              </w:rPr>
            </w:pPr>
            <w:r w:rsidRPr="0065198D">
              <w:rPr>
                <w:rFonts w:ascii="Calibri" w:hAnsi="Calibri"/>
                <w:bCs/>
                <w:lang w:eastAsia="ja-JP"/>
              </w:rPr>
              <w:t>8,179,944</w:t>
            </w:r>
          </w:p>
        </w:tc>
        <w:tc>
          <w:tcPr>
            <w:tcW w:w="1260" w:type="dxa"/>
            <w:shd w:val="clear" w:color="auto" w:fill="F2F2F2"/>
            <w:noWrap/>
            <w:hideMark/>
          </w:tcPr>
          <w:p w14:paraId="043C7372" w14:textId="77777777" w:rsidR="001A54E6" w:rsidRPr="00912996" w:rsidRDefault="001A54E6" w:rsidP="00394372">
            <w:pPr>
              <w:rPr>
                <w:rFonts w:ascii="Calibri" w:hAnsi="Calibri"/>
                <w:bCs/>
                <w:lang w:eastAsia="ja-JP"/>
              </w:rPr>
            </w:pPr>
            <w:r w:rsidRPr="0065198D">
              <w:rPr>
                <w:rFonts w:ascii="Calibri" w:hAnsi="Calibri"/>
                <w:bCs/>
                <w:lang w:eastAsia="ja-JP"/>
              </w:rPr>
              <w:t>1,669,376</w:t>
            </w:r>
          </w:p>
        </w:tc>
        <w:tc>
          <w:tcPr>
            <w:tcW w:w="1089" w:type="dxa"/>
            <w:shd w:val="clear" w:color="auto" w:fill="F2F2F2"/>
            <w:noWrap/>
            <w:hideMark/>
          </w:tcPr>
          <w:p w14:paraId="1E258421" w14:textId="77777777" w:rsidR="001A54E6" w:rsidRPr="0065198D" w:rsidRDefault="001A54E6" w:rsidP="00394372">
            <w:pPr>
              <w:rPr>
                <w:rFonts w:ascii="Calibri" w:hAnsi="Calibri"/>
                <w:bCs/>
                <w:lang w:eastAsia="ja-JP"/>
              </w:rPr>
            </w:pPr>
            <w:r w:rsidRPr="0065198D">
              <w:rPr>
                <w:rFonts w:ascii="Calibri" w:hAnsi="Calibri"/>
                <w:bCs/>
                <w:lang w:eastAsia="ja-JP"/>
              </w:rPr>
              <w:t>2019</w:t>
            </w:r>
            <w:r>
              <w:rPr>
                <w:rFonts w:ascii="Calibri" w:hAnsi="Calibri"/>
                <w:bCs/>
                <w:lang w:eastAsia="ja-JP"/>
              </w:rPr>
              <w:t xml:space="preserve"> </w:t>
            </w:r>
            <w:r w:rsidRPr="0065198D">
              <w:rPr>
                <w:rFonts w:ascii="Calibri" w:hAnsi="Calibri"/>
                <w:bCs/>
                <w:lang w:eastAsia="ja-JP"/>
              </w:rPr>
              <w:t>-</w:t>
            </w:r>
          </w:p>
          <w:p w14:paraId="204AA3CE" w14:textId="77777777" w:rsidR="001A54E6" w:rsidRPr="00912996" w:rsidRDefault="001A54E6" w:rsidP="00394372">
            <w:pPr>
              <w:rPr>
                <w:rFonts w:ascii="Calibri" w:hAnsi="Calibri"/>
                <w:bCs/>
                <w:lang w:eastAsia="ja-JP"/>
              </w:rPr>
            </w:pPr>
            <w:r w:rsidRPr="0065198D">
              <w:rPr>
                <w:rFonts w:ascii="Calibri" w:hAnsi="Calibri"/>
                <w:bCs/>
                <w:lang w:eastAsia="ja-JP"/>
              </w:rPr>
              <w:t>2022</w:t>
            </w:r>
          </w:p>
        </w:tc>
        <w:tc>
          <w:tcPr>
            <w:tcW w:w="1881" w:type="dxa"/>
            <w:shd w:val="clear" w:color="auto" w:fill="F2F2F2"/>
            <w:hideMark/>
          </w:tcPr>
          <w:p w14:paraId="0871FB39" w14:textId="1C307759" w:rsidR="001A54E6" w:rsidRPr="00912996" w:rsidRDefault="001A54E6" w:rsidP="00394372">
            <w:pPr>
              <w:rPr>
                <w:rFonts w:ascii="Calibri" w:hAnsi="Calibri"/>
                <w:bCs/>
                <w:lang w:eastAsia="ja-JP"/>
              </w:rPr>
            </w:pPr>
            <w:r w:rsidRPr="0065198D">
              <w:rPr>
                <w:rFonts w:ascii="Calibri" w:hAnsi="Calibri"/>
                <w:bCs/>
                <w:lang w:eastAsia="ja-JP"/>
              </w:rPr>
              <w:t>POR BI 2021-2027 P3, Bugetul local,</w:t>
            </w:r>
            <w:r>
              <w:rPr>
                <w:rFonts w:ascii="Calibri" w:hAnsi="Calibri"/>
                <w:bCs/>
                <w:lang w:eastAsia="ja-JP"/>
              </w:rPr>
              <w:t xml:space="preserve"> </w:t>
            </w:r>
            <w:r w:rsidRPr="0065198D">
              <w:rPr>
                <w:rFonts w:ascii="Calibri" w:hAnsi="Calibri"/>
                <w:bCs/>
                <w:lang w:eastAsia="ja-JP"/>
              </w:rPr>
              <w:t>Alte surse de</w:t>
            </w:r>
            <w:r>
              <w:rPr>
                <w:rFonts w:ascii="Calibri" w:hAnsi="Calibri"/>
                <w:bCs/>
                <w:lang w:eastAsia="ja-JP"/>
              </w:rPr>
              <w:t xml:space="preserve"> </w:t>
            </w:r>
            <w:r w:rsidRPr="0065198D">
              <w:rPr>
                <w:rFonts w:ascii="Calibri" w:hAnsi="Calibri"/>
                <w:bCs/>
                <w:lang w:eastAsia="ja-JP"/>
              </w:rPr>
              <w:t>finanțare</w:t>
            </w:r>
          </w:p>
        </w:tc>
        <w:tc>
          <w:tcPr>
            <w:tcW w:w="1260" w:type="dxa"/>
            <w:shd w:val="clear" w:color="auto" w:fill="F2F2F2"/>
            <w:hideMark/>
          </w:tcPr>
          <w:p w14:paraId="17BF6EE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260E92C6"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3C36B475" w14:textId="77777777" w:rsidTr="00E2442E">
        <w:trPr>
          <w:gridAfter w:val="9"/>
          <w:wAfter w:w="15421" w:type="dxa"/>
          <w:trHeight w:val="804"/>
        </w:trPr>
        <w:tc>
          <w:tcPr>
            <w:tcW w:w="625" w:type="dxa"/>
            <w:shd w:val="clear" w:color="auto" w:fill="F2F2F2"/>
            <w:noWrap/>
            <w:hideMark/>
          </w:tcPr>
          <w:p w14:paraId="57CF4A2E"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465DB48E" w14:textId="77777777" w:rsidR="001A54E6" w:rsidRPr="00912996" w:rsidRDefault="001A54E6" w:rsidP="00394372">
            <w:pPr>
              <w:rPr>
                <w:rFonts w:ascii="Calibri" w:hAnsi="Calibri"/>
                <w:bCs/>
                <w:lang w:eastAsia="ja-JP"/>
              </w:rPr>
            </w:pPr>
            <w:r w:rsidRPr="00912996">
              <w:rPr>
                <w:rFonts w:ascii="Calibri" w:hAnsi="Calibri"/>
                <w:bCs/>
                <w:lang w:eastAsia="ja-JP"/>
              </w:rPr>
              <w:t>Reabilitarea termică a sediului Direcției Publice de Evidență Persoane și Stare Civilă Sector 2 București, strada Olari, nr. 19</w:t>
            </w:r>
          </w:p>
        </w:tc>
        <w:tc>
          <w:tcPr>
            <w:tcW w:w="1530" w:type="dxa"/>
            <w:shd w:val="clear" w:color="auto" w:fill="F2F2F2"/>
            <w:hideMark/>
          </w:tcPr>
          <w:p w14:paraId="13E4905E"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42832563"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3C3E2C7E" w14:textId="77777777" w:rsidR="001A54E6" w:rsidRPr="00912996" w:rsidRDefault="001A54E6" w:rsidP="00394372">
            <w:pPr>
              <w:rPr>
                <w:rFonts w:ascii="Calibri" w:hAnsi="Calibri"/>
                <w:bCs/>
                <w:lang w:eastAsia="ja-JP"/>
              </w:rPr>
            </w:pPr>
            <w:r w:rsidRPr="00912996">
              <w:rPr>
                <w:rFonts w:ascii="Calibri" w:hAnsi="Calibri"/>
                <w:bCs/>
                <w:lang w:eastAsia="ja-JP"/>
              </w:rPr>
              <w:t>8,282,475</w:t>
            </w:r>
          </w:p>
        </w:tc>
        <w:tc>
          <w:tcPr>
            <w:tcW w:w="1260" w:type="dxa"/>
            <w:shd w:val="clear" w:color="auto" w:fill="F2F2F2"/>
            <w:noWrap/>
            <w:hideMark/>
          </w:tcPr>
          <w:p w14:paraId="383DBC55" w14:textId="77777777" w:rsidR="001A54E6" w:rsidRPr="00912996" w:rsidRDefault="001A54E6" w:rsidP="00394372">
            <w:pPr>
              <w:rPr>
                <w:rFonts w:ascii="Calibri" w:hAnsi="Calibri"/>
                <w:bCs/>
                <w:lang w:eastAsia="ja-JP"/>
              </w:rPr>
            </w:pPr>
            <w:r w:rsidRPr="00912996">
              <w:rPr>
                <w:rFonts w:ascii="Calibri" w:hAnsi="Calibri"/>
                <w:bCs/>
                <w:lang w:eastAsia="ja-JP"/>
              </w:rPr>
              <w:t>1,690,301</w:t>
            </w:r>
          </w:p>
        </w:tc>
        <w:tc>
          <w:tcPr>
            <w:tcW w:w="1089" w:type="dxa"/>
            <w:shd w:val="clear" w:color="auto" w:fill="F2F2F2"/>
            <w:noWrap/>
            <w:hideMark/>
          </w:tcPr>
          <w:p w14:paraId="336EEB90" w14:textId="77777777" w:rsidR="001A54E6" w:rsidRPr="00912996" w:rsidRDefault="001A54E6" w:rsidP="00394372">
            <w:pPr>
              <w:rPr>
                <w:rFonts w:ascii="Calibri" w:hAnsi="Calibri"/>
                <w:bCs/>
                <w:lang w:eastAsia="ja-JP"/>
              </w:rPr>
            </w:pPr>
            <w:r w:rsidRPr="00912996">
              <w:rPr>
                <w:rFonts w:ascii="Calibri" w:hAnsi="Calibri"/>
                <w:bCs/>
                <w:lang w:eastAsia="ja-JP"/>
              </w:rPr>
              <w:t>2019 - 2023</w:t>
            </w:r>
          </w:p>
        </w:tc>
        <w:tc>
          <w:tcPr>
            <w:tcW w:w="1881" w:type="dxa"/>
            <w:shd w:val="clear" w:color="auto" w:fill="F2F2F2"/>
            <w:hideMark/>
          </w:tcPr>
          <w:p w14:paraId="414FAF41" w14:textId="1813DBCE"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2903367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7B4C611E"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7648480B" w14:textId="77777777" w:rsidTr="00E2442E">
        <w:trPr>
          <w:gridAfter w:val="9"/>
          <w:wAfter w:w="15421" w:type="dxa"/>
          <w:trHeight w:val="804"/>
        </w:trPr>
        <w:tc>
          <w:tcPr>
            <w:tcW w:w="625" w:type="dxa"/>
            <w:shd w:val="clear" w:color="auto" w:fill="F2F2F2"/>
            <w:noWrap/>
            <w:hideMark/>
          </w:tcPr>
          <w:p w14:paraId="19B5D063"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6F081E4F" w14:textId="77777777" w:rsidR="001A54E6" w:rsidRPr="00912996" w:rsidRDefault="001A54E6" w:rsidP="00394372">
            <w:pPr>
              <w:rPr>
                <w:rFonts w:ascii="Calibri" w:hAnsi="Calibri"/>
                <w:bCs/>
                <w:lang w:eastAsia="ja-JP"/>
              </w:rPr>
            </w:pPr>
            <w:r w:rsidRPr="00912996">
              <w:rPr>
                <w:rFonts w:ascii="Calibri" w:hAnsi="Calibri"/>
                <w:bCs/>
                <w:lang w:eastAsia="ja-JP"/>
              </w:rPr>
              <w:t>Program de eficientizare energetică a clădirilor publice din sectorul 2: grădinițe, școli, licee, clădiri administrative (30 clădiri)</w:t>
            </w:r>
          </w:p>
        </w:tc>
        <w:tc>
          <w:tcPr>
            <w:tcW w:w="1530" w:type="dxa"/>
            <w:shd w:val="clear" w:color="auto" w:fill="F2F2F2"/>
            <w:hideMark/>
          </w:tcPr>
          <w:p w14:paraId="257FAD52"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E28D691"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FBC3FDB" w14:textId="77777777" w:rsidR="001A54E6" w:rsidRPr="00912996" w:rsidRDefault="001A54E6" w:rsidP="00394372">
            <w:pPr>
              <w:rPr>
                <w:rFonts w:ascii="Calibri" w:hAnsi="Calibri"/>
                <w:bCs/>
                <w:lang w:eastAsia="ja-JP"/>
              </w:rPr>
            </w:pPr>
            <w:r w:rsidRPr="00912996">
              <w:rPr>
                <w:rFonts w:ascii="Calibri" w:hAnsi="Calibri"/>
                <w:bCs/>
                <w:lang w:eastAsia="ja-JP"/>
              </w:rPr>
              <w:t>245,000,000</w:t>
            </w:r>
          </w:p>
        </w:tc>
        <w:tc>
          <w:tcPr>
            <w:tcW w:w="1260" w:type="dxa"/>
            <w:shd w:val="clear" w:color="auto" w:fill="F2F2F2"/>
            <w:noWrap/>
            <w:hideMark/>
          </w:tcPr>
          <w:p w14:paraId="23EAA3D4" w14:textId="77777777" w:rsidR="001A54E6" w:rsidRPr="00912996" w:rsidRDefault="001A54E6" w:rsidP="00394372">
            <w:pPr>
              <w:rPr>
                <w:rFonts w:ascii="Calibri" w:hAnsi="Calibri"/>
                <w:bCs/>
                <w:lang w:eastAsia="ja-JP"/>
              </w:rPr>
            </w:pPr>
            <w:r w:rsidRPr="00912996">
              <w:rPr>
                <w:rFonts w:ascii="Calibri" w:hAnsi="Calibri"/>
                <w:bCs/>
                <w:lang w:eastAsia="ja-JP"/>
              </w:rPr>
              <w:t>50,000,000</w:t>
            </w:r>
          </w:p>
        </w:tc>
        <w:tc>
          <w:tcPr>
            <w:tcW w:w="1089" w:type="dxa"/>
            <w:shd w:val="clear" w:color="auto" w:fill="F2F2F2"/>
            <w:noWrap/>
            <w:hideMark/>
          </w:tcPr>
          <w:p w14:paraId="7B9BCBD0" w14:textId="77777777" w:rsidR="001A54E6" w:rsidRPr="00912996" w:rsidRDefault="001A54E6" w:rsidP="00394372">
            <w:pPr>
              <w:rPr>
                <w:rFonts w:ascii="Calibri" w:hAnsi="Calibri"/>
                <w:bCs/>
                <w:lang w:eastAsia="ja-JP"/>
              </w:rPr>
            </w:pPr>
            <w:r w:rsidRPr="00912996">
              <w:rPr>
                <w:rFonts w:ascii="Calibri" w:hAnsi="Calibri"/>
                <w:bCs/>
                <w:lang w:eastAsia="ja-JP"/>
              </w:rPr>
              <w:t>2023 - 2030</w:t>
            </w:r>
          </w:p>
        </w:tc>
        <w:tc>
          <w:tcPr>
            <w:tcW w:w="1881" w:type="dxa"/>
            <w:shd w:val="clear" w:color="auto" w:fill="F2F2F2"/>
            <w:hideMark/>
          </w:tcPr>
          <w:p w14:paraId="22E6D590" w14:textId="3ECD952D"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0C9BB77A"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4CDA85B5" w14:textId="77777777" w:rsidR="001A54E6" w:rsidRPr="00912996" w:rsidRDefault="001A54E6" w:rsidP="00394372">
            <w:pPr>
              <w:rPr>
                <w:rFonts w:ascii="Calibri" w:hAnsi="Calibri"/>
                <w:bCs/>
                <w:lang w:eastAsia="ja-JP"/>
              </w:rPr>
            </w:pPr>
            <w:r w:rsidRPr="00912996">
              <w:rPr>
                <w:rFonts w:ascii="Calibri" w:hAnsi="Calibri"/>
                <w:bCs/>
                <w:lang w:eastAsia="ja-JP"/>
              </w:rPr>
              <w:t>Propunere consultant</w:t>
            </w:r>
          </w:p>
        </w:tc>
      </w:tr>
      <w:tr w:rsidR="00AC2FFA" w:rsidRPr="00912996" w14:paraId="0FAE76AF" w14:textId="77777777" w:rsidTr="00E2442E">
        <w:trPr>
          <w:gridAfter w:val="9"/>
          <w:wAfter w:w="15421" w:type="dxa"/>
          <w:trHeight w:val="540"/>
        </w:trPr>
        <w:tc>
          <w:tcPr>
            <w:tcW w:w="625" w:type="dxa"/>
            <w:shd w:val="clear" w:color="auto" w:fill="F2F2F2"/>
            <w:noWrap/>
            <w:hideMark/>
          </w:tcPr>
          <w:p w14:paraId="4E00BF4A"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0DB745F0" w14:textId="77777777" w:rsidR="001A54E6" w:rsidRPr="00912996" w:rsidRDefault="001A54E6" w:rsidP="00394372">
            <w:pPr>
              <w:rPr>
                <w:rFonts w:ascii="Calibri" w:hAnsi="Calibri"/>
                <w:bCs/>
                <w:lang w:eastAsia="ja-JP"/>
              </w:rPr>
            </w:pPr>
            <w:r w:rsidRPr="00912996">
              <w:rPr>
                <w:rFonts w:ascii="Calibri" w:hAnsi="Calibri"/>
                <w:bCs/>
                <w:lang w:eastAsia="ja-JP"/>
              </w:rPr>
              <w:t>Program reabilitare termică a locuințelor colective din Sectorul 2 ptr. 25 blocuri</w:t>
            </w:r>
          </w:p>
        </w:tc>
        <w:tc>
          <w:tcPr>
            <w:tcW w:w="1530" w:type="dxa"/>
            <w:shd w:val="clear" w:color="auto" w:fill="F2F2F2"/>
            <w:hideMark/>
          </w:tcPr>
          <w:p w14:paraId="4B02C9AD" w14:textId="77777777" w:rsidR="001A54E6" w:rsidRPr="00912996" w:rsidRDefault="001A54E6" w:rsidP="00394372">
            <w:pPr>
              <w:rPr>
                <w:rFonts w:ascii="Calibri" w:hAnsi="Calibri"/>
                <w:bCs/>
                <w:lang w:eastAsia="ja-JP"/>
              </w:rPr>
            </w:pPr>
            <w:r w:rsidRPr="00912996">
              <w:rPr>
                <w:rFonts w:ascii="Calibri" w:hAnsi="Calibri"/>
                <w:bCs/>
                <w:lang w:eastAsia="ja-JP"/>
              </w:rPr>
              <w:t>PS2, Asociații de proprietari</w:t>
            </w:r>
          </w:p>
        </w:tc>
        <w:tc>
          <w:tcPr>
            <w:tcW w:w="1620" w:type="dxa"/>
            <w:shd w:val="clear" w:color="auto" w:fill="F2F2F2"/>
            <w:noWrap/>
            <w:hideMark/>
          </w:tcPr>
          <w:p w14:paraId="44FFC23F"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22CBC0E8" w14:textId="77777777" w:rsidR="001A54E6" w:rsidRPr="00912996" w:rsidRDefault="001A54E6" w:rsidP="00394372">
            <w:pPr>
              <w:rPr>
                <w:rFonts w:ascii="Calibri" w:hAnsi="Calibri"/>
                <w:bCs/>
                <w:lang w:eastAsia="ja-JP"/>
              </w:rPr>
            </w:pPr>
            <w:r w:rsidRPr="00912996">
              <w:rPr>
                <w:rFonts w:ascii="Calibri" w:hAnsi="Calibri"/>
                <w:bCs/>
                <w:lang w:eastAsia="ja-JP"/>
              </w:rPr>
              <w:t>134,498,807</w:t>
            </w:r>
          </w:p>
        </w:tc>
        <w:tc>
          <w:tcPr>
            <w:tcW w:w="1260" w:type="dxa"/>
            <w:shd w:val="clear" w:color="auto" w:fill="F2F2F2"/>
            <w:noWrap/>
            <w:hideMark/>
          </w:tcPr>
          <w:p w14:paraId="7DB44BD6" w14:textId="77777777" w:rsidR="001A54E6" w:rsidRPr="00912996" w:rsidRDefault="001A54E6" w:rsidP="00394372">
            <w:pPr>
              <w:rPr>
                <w:rFonts w:ascii="Calibri" w:hAnsi="Calibri"/>
                <w:bCs/>
                <w:lang w:eastAsia="ja-JP"/>
              </w:rPr>
            </w:pPr>
            <w:r w:rsidRPr="00912996">
              <w:rPr>
                <w:rFonts w:ascii="Calibri" w:hAnsi="Calibri"/>
                <w:bCs/>
                <w:lang w:eastAsia="ja-JP"/>
              </w:rPr>
              <w:t>27,448,736</w:t>
            </w:r>
          </w:p>
        </w:tc>
        <w:tc>
          <w:tcPr>
            <w:tcW w:w="1089" w:type="dxa"/>
            <w:shd w:val="clear" w:color="auto" w:fill="F2F2F2"/>
            <w:noWrap/>
            <w:hideMark/>
          </w:tcPr>
          <w:p w14:paraId="08CE3C7E" w14:textId="77777777" w:rsidR="001A54E6" w:rsidRPr="00912996" w:rsidRDefault="001A54E6" w:rsidP="00394372">
            <w:pPr>
              <w:rPr>
                <w:rFonts w:ascii="Calibri" w:hAnsi="Calibri"/>
                <w:bCs/>
                <w:lang w:eastAsia="ja-JP"/>
              </w:rPr>
            </w:pPr>
            <w:r w:rsidRPr="00912996">
              <w:rPr>
                <w:rFonts w:ascii="Calibri" w:hAnsi="Calibri"/>
                <w:bCs/>
                <w:lang w:eastAsia="ja-JP"/>
              </w:rPr>
              <w:t>2022 - 2025</w:t>
            </w:r>
          </w:p>
        </w:tc>
        <w:tc>
          <w:tcPr>
            <w:tcW w:w="1881" w:type="dxa"/>
            <w:shd w:val="clear" w:color="auto" w:fill="F2F2F2"/>
            <w:hideMark/>
          </w:tcPr>
          <w:p w14:paraId="6AF3690A" w14:textId="77777777" w:rsidR="001A54E6" w:rsidRPr="00912996" w:rsidRDefault="001A54E6" w:rsidP="00394372">
            <w:pPr>
              <w:rPr>
                <w:rFonts w:ascii="Calibri" w:hAnsi="Calibri"/>
                <w:bCs/>
                <w:lang w:eastAsia="ja-JP"/>
              </w:rPr>
            </w:pPr>
            <w:r w:rsidRPr="00912996">
              <w:rPr>
                <w:rFonts w:ascii="Calibri" w:hAnsi="Calibri"/>
                <w:bCs/>
                <w:lang w:eastAsia="ja-JP"/>
              </w:rPr>
              <w:t>PNRR</w:t>
            </w:r>
          </w:p>
        </w:tc>
        <w:tc>
          <w:tcPr>
            <w:tcW w:w="1260" w:type="dxa"/>
            <w:shd w:val="clear" w:color="auto" w:fill="F2F2F2"/>
            <w:hideMark/>
          </w:tcPr>
          <w:p w14:paraId="1711987A"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19132CE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446F36C1" w14:textId="77777777" w:rsidTr="00E2442E">
        <w:trPr>
          <w:gridAfter w:val="9"/>
          <w:wAfter w:w="15421" w:type="dxa"/>
          <w:trHeight w:val="804"/>
        </w:trPr>
        <w:tc>
          <w:tcPr>
            <w:tcW w:w="625" w:type="dxa"/>
            <w:shd w:val="clear" w:color="auto" w:fill="F2F2F2"/>
            <w:noWrap/>
            <w:hideMark/>
          </w:tcPr>
          <w:p w14:paraId="330BC61B"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65BBCBEE" w14:textId="77777777" w:rsidR="001A54E6" w:rsidRPr="00912996" w:rsidRDefault="001A54E6" w:rsidP="00394372">
            <w:pPr>
              <w:rPr>
                <w:rFonts w:ascii="Calibri" w:hAnsi="Calibri"/>
                <w:bCs/>
                <w:lang w:eastAsia="ja-JP"/>
              </w:rPr>
            </w:pPr>
            <w:r w:rsidRPr="00912996">
              <w:rPr>
                <w:rFonts w:ascii="Calibri" w:hAnsi="Calibri"/>
                <w:bCs/>
                <w:lang w:eastAsia="ja-JP"/>
              </w:rPr>
              <w:t>Program reabilitare termică a locuințelor colective din Sectorul 2 - 21 blocuri</w:t>
            </w:r>
          </w:p>
        </w:tc>
        <w:tc>
          <w:tcPr>
            <w:tcW w:w="1530" w:type="dxa"/>
            <w:shd w:val="clear" w:color="auto" w:fill="F2F2F2"/>
            <w:hideMark/>
          </w:tcPr>
          <w:p w14:paraId="708B464B" w14:textId="77777777" w:rsidR="001A54E6" w:rsidRPr="00912996" w:rsidRDefault="001A54E6" w:rsidP="00394372">
            <w:pPr>
              <w:rPr>
                <w:rFonts w:ascii="Calibri" w:hAnsi="Calibri"/>
                <w:bCs/>
                <w:lang w:eastAsia="ja-JP"/>
              </w:rPr>
            </w:pPr>
            <w:r w:rsidRPr="00912996">
              <w:rPr>
                <w:rFonts w:ascii="Calibri" w:hAnsi="Calibri"/>
                <w:bCs/>
                <w:lang w:eastAsia="ja-JP"/>
              </w:rPr>
              <w:t>PS2, Asociații de proprietari</w:t>
            </w:r>
          </w:p>
        </w:tc>
        <w:tc>
          <w:tcPr>
            <w:tcW w:w="1620" w:type="dxa"/>
            <w:shd w:val="clear" w:color="auto" w:fill="F2F2F2"/>
            <w:noWrap/>
            <w:hideMark/>
          </w:tcPr>
          <w:p w14:paraId="2A14AD79"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764FC91B" w14:textId="77777777" w:rsidR="001A54E6" w:rsidRPr="00912996" w:rsidRDefault="001A54E6" w:rsidP="00394372">
            <w:pPr>
              <w:rPr>
                <w:rFonts w:ascii="Calibri" w:hAnsi="Calibri"/>
                <w:bCs/>
                <w:lang w:eastAsia="ja-JP"/>
              </w:rPr>
            </w:pPr>
            <w:r w:rsidRPr="00912996">
              <w:rPr>
                <w:rFonts w:ascii="Calibri" w:hAnsi="Calibri"/>
                <w:bCs/>
                <w:lang w:eastAsia="ja-JP"/>
              </w:rPr>
              <w:t>Conform PT</w:t>
            </w:r>
          </w:p>
        </w:tc>
        <w:tc>
          <w:tcPr>
            <w:tcW w:w="1260" w:type="dxa"/>
            <w:shd w:val="clear" w:color="auto" w:fill="F2F2F2"/>
            <w:noWrap/>
            <w:hideMark/>
          </w:tcPr>
          <w:p w14:paraId="6DE2FBF4" w14:textId="77777777" w:rsidR="001A54E6" w:rsidRPr="00912996" w:rsidRDefault="001A54E6" w:rsidP="00394372">
            <w:pPr>
              <w:rPr>
                <w:rFonts w:ascii="Calibri" w:hAnsi="Calibri"/>
                <w:bCs/>
                <w:lang w:eastAsia="ja-JP"/>
              </w:rPr>
            </w:pPr>
            <w:r w:rsidRPr="00912996">
              <w:rPr>
                <w:rFonts w:ascii="Calibri" w:hAnsi="Calibri"/>
                <w:bCs/>
                <w:lang w:eastAsia="ja-JP"/>
              </w:rPr>
              <w:t>Conform PT</w:t>
            </w:r>
          </w:p>
        </w:tc>
        <w:tc>
          <w:tcPr>
            <w:tcW w:w="1089" w:type="dxa"/>
            <w:shd w:val="clear" w:color="auto" w:fill="F2F2F2"/>
            <w:noWrap/>
            <w:hideMark/>
          </w:tcPr>
          <w:p w14:paraId="37E8B641" w14:textId="77777777" w:rsidR="001A54E6" w:rsidRPr="00912996" w:rsidRDefault="001A54E6" w:rsidP="00394372">
            <w:pPr>
              <w:rPr>
                <w:rFonts w:ascii="Calibri" w:hAnsi="Calibri"/>
                <w:bCs/>
                <w:lang w:eastAsia="ja-JP"/>
              </w:rPr>
            </w:pPr>
            <w:r w:rsidRPr="00912996">
              <w:rPr>
                <w:rFonts w:ascii="Calibri" w:hAnsi="Calibri"/>
                <w:bCs/>
                <w:lang w:eastAsia="ja-JP"/>
              </w:rPr>
              <w:t>2022 - 2023</w:t>
            </w:r>
          </w:p>
        </w:tc>
        <w:tc>
          <w:tcPr>
            <w:tcW w:w="1881" w:type="dxa"/>
            <w:shd w:val="clear" w:color="auto" w:fill="F2F2F2"/>
            <w:hideMark/>
          </w:tcPr>
          <w:p w14:paraId="75A4A3C4" w14:textId="27F115ED"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482B9355"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4AC00AE8" w14:textId="77777777" w:rsidR="001A54E6" w:rsidRPr="00912996" w:rsidRDefault="001A54E6" w:rsidP="00394372">
            <w:pPr>
              <w:rPr>
                <w:rFonts w:ascii="Calibri" w:hAnsi="Calibri"/>
                <w:bCs/>
                <w:lang w:eastAsia="ja-JP"/>
              </w:rPr>
            </w:pPr>
            <w:r w:rsidRPr="00912996">
              <w:rPr>
                <w:rFonts w:ascii="Calibri" w:hAnsi="Calibri"/>
                <w:bCs/>
                <w:lang w:eastAsia="ja-JP"/>
              </w:rPr>
              <w:t>PS2 - DGAPI</w:t>
            </w:r>
          </w:p>
        </w:tc>
      </w:tr>
      <w:tr w:rsidR="00AC2FFA" w:rsidRPr="00912996" w14:paraId="591A96B2" w14:textId="77777777" w:rsidTr="00E2442E">
        <w:trPr>
          <w:gridAfter w:val="9"/>
          <w:wAfter w:w="15421" w:type="dxa"/>
          <w:trHeight w:val="792"/>
        </w:trPr>
        <w:tc>
          <w:tcPr>
            <w:tcW w:w="625" w:type="dxa"/>
            <w:shd w:val="clear" w:color="auto" w:fill="F2F2F2"/>
            <w:noWrap/>
            <w:hideMark/>
          </w:tcPr>
          <w:p w14:paraId="79946719"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4D4413E1" w14:textId="77777777" w:rsidR="001A54E6" w:rsidRPr="00912996" w:rsidRDefault="001A54E6" w:rsidP="00394372">
            <w:pPr>
              <w:rPr>
                <w:rFonts w:ascii="Calibri" w:hAnsi="Calibri"/>
                <w:bCs/>
                <w:lang w:eastAsia="ja-JP"/>
              </w:rPr>
            </w:pPr>
            <w:r w:rsidRPr="00912996">
              <w:rPr>
                <w:rFonts w:ascii="Calibri" w:hAnsi="Calibri"/>
                <w:bCs/>
                <w:lang w:eastAsia="ja-JP"/>
              </w:rPr>
              <w:t>Consultanță tehnică și dirigenție de șantier pe perioada execuției lucrărilor de reabilitare termică a 221 de blocuri din Sectorul 2 al Municipiului București</w:t>
            </w:r>
          </w:p>
        </w:tc>
        <w:tc>
          <w:tcPr>
            <w:tcW w:w="1530" w:type="dxa"/>
            <w:shd w:val="clear" w:color="auto" w:fill="F2F2F2"/>
            <w:hideMark/>
          </w:tcPr>
          <w:p w14:paraId="47BB8ADC" w14:textId="77777777" w:rsidR="001A54E6" w:rsidRPr="00912996" w:rsidRDefault="001A54E6" w:rsidP="00394372">
            <w:pPr>
              <w:rPr>
                <w:rFonts w:ascii="Calibri" w:hAnsi="Calibri"/>
                <w:bCs/>
                <w:lang w:eastAsia="ja-JP"/>
              </w:rPr>
            </w:pPr>
            <w:r w:rsidRPr="00912996">
              <w:rPr>
                <w:rFonts w:ascii="Calibri" w:hAnsi="Calibri"/>
                <w:bCs/>
                <w:lang w:eastAsia="ja-JP"/>
              </w:rPr>
              <w:t>PS2, Asociații de proprietari</w:t>
            </w:r>
          </w:p>
        </w:tc>
        <w:tc>
          <w:tcPr>
            <w:tcW w:w="1620" w:type="dxa"/>
            <w:shd w:val="clear" w:color="auto" w:fill="F2F2F2"/>
            <w:noWrap/>
            <w:hideMark/>
          </w:tcPr>
          <w:p w14:paraId="00CAF7E3"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05946A67" w14:textId="77777777" w:rsidR="001A54E6" w:rsidRPr="00912996" w:rsidRDefault="001A54E6" w:rsidP="00394372">
            <w:pPr>
              <w:rPr>
                <w:rFonts w:ascii="Calibri" w:hAnsi="Calibri"/>
                <w:bCs/>
                <w:lang w:eastAsia="ja-JP"/>
              </w:rPr>
            </w:pPr>
            <w:r w:rsidRPr="00912996">
              <w:rPr>
                <w:rFonts w:ascii="Calibri" w:hAnsi="Calibri"/>
                <w:bCs/>
                <w:lang w:eastAsia="ja-JP"/>
              </w:rPr>
              <w:t>8,044,859</w:t>
            </w:r>
          </w:p>
        </w:tc>
        <w:tc>
          <w:tcPr>
            <w:tcW w:w="1260" w:type="dxa"/>
            <w:shd w:val="clear" w:color="auto" w:fill="F2F2F2"/>
            <w:noWrap/>
            <w:hideMark/>
          </w:tcPr>
          <w:p w14:paraId="29C2A7F8" w14:textId="77777777" w:rsidR="001A54E6" w:rsidRPr="00912996" w:rsidRDefault="001A54E6" w:rsidP="00394372">
            <w:pPr>
              <w:rPr>
                <w:rFonts w:ascii="Calibri" w:hAnsi="Calibri"/>
                <w:bCs/>
                <w:lang w:eastAsia="ja-JP"/>
              </w:rPr>
            </w:pPr>
            <w:r w:rsidRPr="00912996">
              <w:rPr>
                <w:rFonts w:ascii="Calibri" w:hAnsi="Calibri"/>
                <w:bCs/>
                <w:lang w:eastAsia="ja-JP"/>
              </w:rPr>
              <w:t>1,641,808</w:t>
            </w:r>
          </w:p>
        </w:tc>
        <w:tc>
          <w:tcPr>
            <w:tcW w:w="1089" w:type="dxa"/>
            <w:shd w:val="clear" w:color="auto" w:fill="F2F2F2"/>
            <w:noWrap/>
            <w:hideMark/>
          </w:tcPr>
          <w:p w14:paraId="2BB29D0F" w14:textId="77777777" w:rsidR="001A54E6" w:rsidRPr="00912996" w:rsidRDefault="001A54E6" w:rsidP="00394372">
            <w:pPr>
              <w:rPr>
                <w:rFonts w:ascii="Calibri" w:hAnsi="Calibri"/>
                <w:bCs/>
                <w:lang w:eastAsia="ja-JP"/>
              </w:rPr>
            </w:pPr>
            <w:r w:rsidRPr="00912996">
              <w:rPr>
                <w:rFonts w:ascii="Calibri" w:hAnsi="Calibri"/>
                <w:bCs/>
                <w:lang w:eastAsia="ja-JP"/>
              </w:rPr>
              <w:t>2022 - 2025</w:t>
            </w:r>
          </w:p>
        </w:tc>
        <w:tc>
          <w:tcPr>
            <w:tcW w:w="1881" w:type="dxa"/>
            <w:shd w:val="clear" w:color="auto" w:fill="F2F2F2"/>
            <w:hideMark/>
          </w:tcPr>
          <w:p w14:paraId="7E401955"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7C18C20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5CD7AD27"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52B76415" w14:textId="77777777" w:rsidTr="00E2442E">
        <w:trPr>
          <w:gridAfter w:val="9"/>
          <w:wAfter w:w="15421" w:type="dxa"/>
          <w:trHeight w:val="804"/>
        </w:trPr>
        <w:tc>
          <w:tcPr>
            <w:tcW w:w="625" w:type="dxa"/>
            <w:shd w:val="clear" w:color="auto" w:fill="F2F2F2"/>
            <w:noWrap/>
            <w:hideMark/>
          </w:tcPr>
          <w:p w14:paraId="6C140939"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57B2B263" w14:textId="77777777" w:rsidR="001A54E6" w:rsidRPr="00912996" w:rsidRDefault="001A54E6" w:rsidP="00394372">
            <w:pPr>
              <w:rPr>
                <w:rFonts w:ascii="Calibri" w:hAnsi="Calibri"/>
                <w:bCs/>
                <w:lang w:eastAsia="ja-JP"/>
              </w:rPr>
            </w:pPr>
            <w:r w:rsidRPr="00912996">
              <w:rPr>
                <w:rFonts w:ascii="Calibri" w:hAnsi="Calibri"/>
                <w:bCs/>
                <w:lang w:eastAsia="ja-JP"/>
              </w:rPr>
              <w:t>Program reabilitare termică a locuințelor colective din Sectorul 2 - faza 2 (379 blocuri)</w:t>
            </w:r>
          </w:p>
        </w:tc>
        <w:tc>
          <w:tcPr>
            <w:tcW w:w="1530" w:type="dxa"/>
            <w:shd w:val="clear" w:color="auto" w:fill="F2F2F2"/>
            <w:hideMark/>
          </w:tcPr>
          <w:p w14:paraId="7D726258" w14:textId="77777777" w:rsidR="001A54E6" w:rsidRPr="00912996" w:rsidRDefault="001A54E6" w:rsidP="00394372">
            <w:pPr>
              <w:rPr>
                <w:rFonts w:ascii="Calibri" w:hAnsi="Calibri"/>
                <w:bCs/>
                <w:lang w:eastAsia="ja-JP"/>
              </w:rPr>
            </w:pPr>
            <w:r w:rsidRPr="00912996">
              <w:rPr>
                <w:rFonts w:ascii="Calibri" w:hAnsi="Calibri"/>
                <w:bCs/>
                <w:lang w:eastAsia="ja-JP"/>
              </w:rPr>
              <w:t>PS2, Asociații de proprietari</w:t>
            </w:r>
          </w:p>
        </w:tc>
        <w:tc>
          <w:tcPr>
            <w:tcW w:w="1620" w:type="dxa"/>
            <w:shd w:val="clear" w:color="auto" w:fill="F2F2F2"/>
            <w:hideMark/>
          </w:tcPr>
          <w:p w14:paraId="2833B6C4" w14:textId="77777777" w:rsidR="001A54E6" w:rsidRPr="00912996" w:rsidRDefault="001A54E6" w:rsidP="00394372">
            <w:pPr>
              <w:rPr>
                <w:rFonts w:ascii="Calibri" w:hAnsi="Calibri"/>
                <w:bCs/>
                <w:lang w:eastAsia="ja-JP"/>
              </w:rPr>
            </w:pPr>
            <w:r w:rsidRPr="00912996">
              <w:rPr>
                <w:rFonts w:ascii="Calibri" w:hAnsi="Calibri"/>
                <w:bCs/>
                <w:lang w:eastAsia="ja-JP"/>
              </w:rPr>
              <w:t>Servicii proiectare contractate</w:t>
            </w:r>
          </w:p>
        </w:tc>
        <w:tc>
          <w:tcPr>
            <w:tcW w:w="1260" w:type="dxa"/>
            <w:shd w:val="clear" w:color="auto" w:fill="F2F2F2"/>
            <w:noWrap/>
            <w:hideMark/>
          </w:tcPr>
          <w:p w14:paraId="62F74D26" w14:textId="77777777" w:rsidR="001A54E6" w:rsidRPr="00912996" w:rsidRDefault="001A54E6" w:rsidP="00394372">
            <w:pPr>
              <w:rPr>
                <w:rFonts w:ascii="Calibri" w:hAnsi="Calibri"/>
                <w:bCs/>
                <w:lang w:eastAsia="ja-JP"/>
              </w:rPr>
            </w:pPr>
            <w:r w:rsidRPr="00912996">
              <w:rPr>
                <w:rFonts w:ascii="Calibri" w:hAnsi="Calibri"/>
                <w:bCs/>
                <w:lang w:eastAsia="ja-JP"/>
              </w:rPr>
              <w:t>Conform PT</w:t>
            </w:r>
          </w:p>
        </w:tc>
        <w:tc>
          <w:tcPr>
            <w:tcW w:w="1260" w:type="dxa"/>
            <w:shd w:val="clear" w:color="auto" w:fill="F2F2F2"/>
            <w:noWrap/>
            <w:hideMark/>
          </w:tcPr>
          <w:p w14:paraId="4457A3BD" w14:textId="77777777" w:rsidR="001A54E6" w:rsidRPr="00912996" w:rsidRDefault="001A54E6" w:rsidP="00394372">
            <w:pPr>
              <w:rPr>
                <w:rFonts w:ascii="Calibri" w:hAnsi="Calibri"/>
                <w:bCs/>
                <w:lang w:eastAsia="ja-JP"/>
              </w:rPr>
            </w:pPr>
            <w:r w:rsidRPr="00912996">
              <w:rPr>
                <w:rFonts w:ascii="Calibri" w:hAnsi="Calibri"/>
                <w:bCs/>
                <w:lang w:eastAsia="ja-JP"/>
              </w:rPr>
              <w:t>Conform PT</w:t>
            </w:r>
          </w:p>
        </w:tc>
        <w:tc>
          <w:tcPr>
            <w:tcW w:w="1089" w:type="dxa"/>
            <w:shd w:val="clear" w:color="auto" w:fill="F2F2F2"/>
            <w:noWrap/>
            <w:hideMark/>
          </w:tcPr>
          <w:p w14:paraId="713169F1" w14:textId="77777777" w:rsidR="001A54E6" w:rsidRPr="00912996" w:rsidRDefault="001A54E6" w:rsidP="00394372">
            <w:pPr>
              <w:rPr>
                <w:rFonts w:ascii="Calibri" w:hAnsi="Calibri"/>
                <w:bCs/>
                <w:lang w:eastAsia="ja-JP"/>
              </w:rPr>
            </w:pPr>
            <w:r w:rsidRPr="00912996">
              <w:rPr>
                <w:rFonts w:ascii="Calibri" w:hAnsi="Calibri"/>
                <w:bCs/>
                <w:lang w:eastAsia="ja-JP"/>
              </w:rPr>
              <w:t>2022 - 2027</w:t>
            </w:r>
          </w:p>
        </w:tc>
        <w:tc>
          <w:tcPr>
            <w:tcW w:w="1881" w:type="dxa"/>
            <w:shd w:val="clear" w:color="auto" w:fill="F2F2F2"/>
            <w:hideMark/>
          </w:tcPr>
          <w:p w14:paraId="0FBA2C0E" w14:textId="3EE9BC7E"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7438BEF8"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40031E8A"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652AB575" w14:textId="77777777" w:rsidTr="00E2442E">
        <w:trPr>
          <w:gridAfter w:val="9"/>
          <w:wAfter w:w="15421" w:type="dxa"/>
          <w:trHeight w:val="792"/>
        </w:trPr>
        <w:tc>
          <w:tcPr>
            <w:tcW w:w="625" w:type="dxa"/>
            <w:shd w:val="clear" w:color="auto" w:fill="F2F2F2"/>
            <w:noWrap/>
            <w:hideMark/>
          </w:tcPr>
          <w:p w14:paraId="60874C33" w14:textId="77777777" w:rsidR="001A54E6" w:rsidRPr="00912996" w:rsidRDefault="001A54E6" w:rsidP="00394372">
            <w:pPr>
              <w:rPr>
                <w:rFonts w:ascii="Calibri" w:hAnsi="Calibri"/>
                <w:bCs/>
                <w:lang w:eastAsia="ja-JP"/>
              </w:rPr>
            </w:pPr>
            <w:r w:rsidRPr="00912996">
              <w:rPr>
                <w:rFonts w:ascii="Calibri" w:hAnsi="Calibri"/>
                <w:bCs/>
                <w:lang w:eastAsia="ja-JP"/>
              </w:rPr>
              <w:t>10</w:t>
            </w:r>
          </w:p>
        </w:tc>
        <w:tc>
          <w:tcPr>
            <w:tcW w:w="2250" w:type="dxa"/>
            <w:shd w:val="clear" w:color="auto" w:fill="F2F2F2"/>
            <w:hideMark/>
          </w:tcPr>
          <w:p w14:paraId="418320CF" w14:textId="77777777" w:rsidR="001A54E6" w:rsidRPr="00912996" w:rsidRDefault="001A54E6" w:rsidP="00394372">
            <w:pPr>
              <w:rPr>
                <w:rFonts w:ascii="Calibri" w:hAnsi="Calibri"/>
                <w:bCs/>
                <w:lang w:eastAsia="ja-JP"/>
              </w:rPr>
            </w:pPr>
            <w:r w:rsidRPr="00912996">
              <w:rPr>
                <w:rFonts w:ascii="Calibri" w:hAnsi="Calibri"/>
                <w:bCs/>
                <w:lang w:eastAsia="ja-JP"/>
              </w:rPr>
              <w:t>Program de investiții “Reabilitarea ascensoarelor din blocurile reabilitate termic în scopul creșterii eficienței energetice a acestora”</w:t>
            </w:r>
          </w:p>
        </w:tc>
        <w:tc>
          <w:tcPr>
            <w:tcW w:w="1530" w:type="dxa"/>
            <w:shd w:val="clear" w:color="auto" w:fill="F2F2F2"/>
            <w:hideMark/>
          </w:tcPr>
          <w:p w14:paraId="5E8E8EB2" w14:textId="77777777" w:rsidR="001A54E6" w:rsidRPr="00912996" w:rsidRDefault="001A54E6" w:rsidP="00394372">
            <w:pPr>
              <w:rPr>
                <w:rFonts w:ascii="Calibri" w:hAnsi="Calibri"/>
                <w:bCs/>
                <w:lang w:eastAsia="ja-JP"/>
              </w:rPr>
            </w:pPr>
            <w:r w:rsidRPr="00912996">
              <w:rPr>
                <w:rFonts w:ascii="Calibri" w:hAnsi="Calibri"/>
                <w:bCs/>
                <w:lang w:eastAsia="ja-JP"/>
              </w:rPr>
              <w:t>PS2, Asociații de proprietari</w:t>
            </w:r>
          </w:p>
        </w:tc>
        <w:tc>
          <w:tcPr>
            <w:tcW w:w="1620" w:type="dxa"/>
            <w:shd w:val="clear" w:color="auto" w:fill="F2F2F2"/>
            <w:noWrap/>
            <w:hideMark/>
          </w:tcPr>
          <w:p w14:paraId="1E053947"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97320E0" w14:textId="77777777" w:rsidR="001A54E6" w:rsidRPr="00912996" w:rsidRDefault="001A54E6" w:rsidP="00394372">
            <w:pPr>
              <w:rPr>
                <w:rFonts w:ascii="Calibri" w:hAnsi="Calibri"/>
                <w:bCs/>
                <w:lang w:eastAsia="ja-JP"/>
              </w:rPr>
            </w:pPr>
            <w:r w:rsidRPr="00912996">
              <w:rPr>
                <w:rFonts w:ascii="Calibri" w:hAnsi="Calibri"/>
                <w:bCs/>
                <w:lang w:eastAsia="ja-JP"/>
              </w:rPr>
              <w:t>98,000,000</w:t>
            </w:r>
          </w:p>
        </w:tc>
        <w:tc>
          <w:tcPr>
            <w:tcW w:w="1260" w:type="dxa"/>
            <w:shd w:val="clear" w:color="auto" w:fill="F2F2F2"/>
            <w:noWrap/>
            <w:hideMark/>
          </w:tcPr>
          <w:p w14:paraId="60C1012C" w14:textId="77777777" w:rsidR="001A54E6" w:rsidRPr="00912996" w:rsidRDefault="001A54E6" w:rsidP="00394372">
            <w:pPr>
              <w:rPr>
                <w:rFonts w:ascii="Calibri" w:hAnsi="Calibri"/>
                <w:bCs/>
                <w:lang w:eastAsia="ja-JP"/>
              </w:rPr>
            </w:pPr>
            <w:r w:rsidRPr="00912996">
              <w:rPr>
                <w:rFonts w:ascii="Calibri" w:hAnsi="Calibri"/>
                <w:bCs/>
                <w:lang w:eastAsia="ja-JP"/>
              </w:rPr>
              <w:t>20,000,000</w:t>
            </w:r>
          </w:p>
        </w:tc>
        <w:tc>
          <w:tcPr>
            <w:tcW w:w="1089" w:type="dxa"/>
            <w:shd w:val="clear" w:color="auto" w:fill="F2F2F2"/>
            <w:noWrap/>
            <w:hideMark/>
          </w:tcPr>
          <w:p w14:paraId="6756DFFB" w14:textId="77777777" w:rsidR="001A54E6" w:rsidRPr="00912996" w:rsidRDefault="001A54E6" w:rsidP="00394372">
            <w:pPr>
              <w:rPr>
                <w:rFonts w:ascii="Calibri" w:hAnsi="Calibri"/>
                <w:bCs/>
                <w:lang w:eastAsia="ja-JP"/>
              </w:rPr>
            </w:pPr>
            <w:r w:rsidRPr="00912996">
              <w:rPr>
                <w:rFonts w:ascii="Calibri" w:hAnsi="Calibri"/>
                <w:bCs/>
                <w:lang w:eastAsia="ja-JP"/>
              </w:rPr>
              <w:t>2023 - 2030</w:t>
            </w:r>
          </w:p>
        </w:tc>
        <w:tc>
          <w:tcPr>
            <w:tcW w:w="1881" w:type="dxa"/>
            <w:shd w:val="clear" w:color="auto" w:fill="F2F2F2"/>
            <w:hideMark/>
          </w:tcPr>
          <w:p w14:paraId="0ADB88B6"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hideMark/>
          </w:tcPr>
          <w:p w14:paraId="2318708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7BA0DC27"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18ECC906" w14:textId="77777777" w:rsidTr="00E2442E">
        <w:trPr>
          <w:gridAfter w:val="9"/>
          <w:wAfter w:w="15421" w:type="dxa"/>
          <w:trHeight w:val="804"/>
        </w:trPr>
        <w:tc>
          <w:tcPr>
            <w:tcW w:w="625" w:type="dxa"/>
            <w:shd w:val="clear" w:color="auto" w:fill="F2F2F2"/>
            <w:noWrap/>
            <w:hideMark/>
          </w:tcPr>
          <w:p w14:paraId="32803BEC" w14:textId="77777777" w:rsidR="001A54E6" w:rsidRPr="00912996" w:rsidRDefault="001A54E6" w:rsidP="00394372">
            <w:pPr>
              <w:rPr>
                <w:rFonts w:ascii="Calibri" w:hAnsi="Calibri"/>
                <w:bCs/>
                <w:lang w:eastAsia="ja-JP"/>
              </w:rPr>
            </w:pPr>
            <w:r w:rsidRPr="00912996">
              <w:rPr>
                <w:rFonts w:ascii="Calibri" w:hAnsi="Calibri"/>
                <w:bCs/>
                <w:lang w:eastAsia="ja-JP"/>
              </w:rPr>
              <w:t>11</w:t>
            </w:r>
          </w:p>
        </w:tc>
        <w:tc>
          <w:tcPr>
            <w:tcW w:w="2250" w:type="dxa"/>
            <w:shd w:val="clear" w:color="auto" w:fill="F2F2F2"/>
            <w:hideMark/>
          </w:tcPr>
          <w:p w14:paraId="7C878E38" w14:textId="77777777" w:rsidR="001A54E6" w:rsidRPr="00912996" w:rsidRDefault="001A54E6" w:rsidP="00394372">
            <w:pPr>
              <w:rPr>
                <w:rFonts w:ascii="Calibri" w:hAnsi="Calibri"/>
                <w:bCs/>
                <w:lang w:eastAsia="ja-JP"/>
              </w:rPr>
            </w:pPr>
            <w:r w:rsidRPr="00912996">
              <w:rPr>
                <w:rFonts w:ascii="Calibri" w:hAnsi="Calibri"/>
                <w:bCs/>
                <w:lang w:eastAsia="ja-JP"/>
              </w:rPr>
              <w:t>Consolidare clădire Centrul Cultural Expo Arte (str. Batistei 14)</w:t>
            </w:r>
          </w:p>
        </w:tc>
        <w:tc>
          <w:tcPr>
            <w:tcW w:w="1530" w:type="dxa"/>
            <w:shd w:val="clear" w:color="auto" w:fill="F2F2F2"/>
            <w:hideMark/>
          </w:tcPr>
          <w:p w14:paraId="7767F11A" w14:textId="77777777" w:rsidR="001A54E6" w:rsidRPr="00912996" w:rsidRDefault="001A54E6" w:rsidP="00394372">
            <w:pPr>
              <w:rPr>
                <w:rFonts w:ascii="Calibri" w:hAnsi="Calibri"/>
                <w:bCs/>
                <w:lang w:eastAsia="ja-JP"/>
              </w:rPr>
            </w:pPr>
            <w:r w:rsidRPr="00912996">
              <w:rPr>
                <w:rFonts w:ascii="Calibri" w:hAnsi="Calibri"/>
                <w:bCs/>
                <w:lang w:eastAsia="ja-JP"/>
              </w:rPr>
              <w:t>PS2, PMB</w:t>
            </w:r>
          </w:p>
        </w:tc>
        <w:tc>
          <w:tcPr>
            <w:tcW w:w="1620" w:type="dxa"/>
            <w:shd w:val="clear" w:color="auto" w:fill="F2F2F2"/>
            <w:noWrap/>
            <w:hideMark/>
          </w:tcPr>
          <w:p w14:paraId="69996EE6"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E406285" w14:textId="77777777" w:rsidR="001A54E6" w:rsidRPr="00912996" w:rsidRDefault="001A54E6" w:rsidP="00394372">
            <w:pPr>
              <w:rPr>
                <w:rFonts w:ascii="Calibri" w:hAnsi="Calibri"/>
                <w:bCs/>
                <w:lang w:eastAsia="ja-JP"/>
              </w:rPr>
            </w:pPr>
            <w:r w:rsidRPr="00912996">
              <w:rPr>
                <w:rFonts w:ascii="Calibri" w:hAnsi="Calibri"/>
                <w:bCs/>
                <w:lang w:eastAsia="ja-JP"/>
              </w:rPr>
              <w:t>12,250,000</w:t>
            </w:r>
          </w:p>
        </w:tc>
        <w:tc>
          <w:tcPr>
            <w:tcW w:w="1260" w:type="dxa"/>
            <w:shd w:val="clear" w:color="auto" w:fill="F2F2F2"/>
            <w:noWrap/>
            <w:hideMark/>
          </w:tcPr>
          <w:p w14:paraId="4710508C" w14:textId="77777777" w:rsidR="001A54E6" w:rsidRPr="00912996" w:rsidRDefault="001A54E6" w:rsidP="00394372">
            <w:pPr>
              <w:rPr>
                <w:rFonts w:ascii="Calibri" w:hAnsi="Calibri"/>
                <w:bCs/>
                <w:lang w:eastAsia="ja-JP"/>
              </w:rPr>
            </w:pPr>
            <w:r w:rsidRPr="00912996">
              <w:rPr>
                <w:rFonts w:ascii="Calibri" w:hAnsi="Calibri"/>
                <w:bCs/>
                <w:lang w:eastAsia="ja-JP"/>
              </w:rPr>
              <w:t>2,500,000</w:t>
            </w:r>
          </w:p>
        </w:tc>
        <w:tc>
          <w:tcPr>
            <w:tcW w:w="1089" w:type="dxa"/>
            <w:shd w:val="clear" w:color="auto" w:fill="F2F2F2"/>
            <w:noWrap/>
            <w:hideMark/>
          </w:tcPr>
          <w:p w14:paraId="57EEE898"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1881" w:type="dxa"/>
            <w:shd w:val="clear" w:color="auto" w:fill="F2F2F2"/>
            <w:hideMark/>
          </w:tcPr>
          <w:p w14:paraId="035DF1FA" w14:textId="165406B9"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4618C6BB"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3F8CD5A4"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01A26829" w14:textId="77777777" w:rsidTr="00E2442E">
        <w:trPr>
          <w:gridAfter w:val="9"/>
          <w:wAfter w:w="15421" w:type="dxa"/>
          <w:trHeight w:val="804"/>
        </w:trPr>
        <w:tc>
          <w:tcPr>
            <w:tcW w:w="625" w:type="dxa"/>
            <w:shd w:val="clear" w:color="auto" w:fill="F2F2F2"/>
            <w:noWrap/>
            <w:hideMark/>
          </w:tcPr>
          <w:p w14:paraId="4EE8B9DB" w14:textId="77777777" w:rsidR="001A54E6" w:rsidRPr="00912996" w:rsidRDefault="001A54E6" w:rsidP="00394372">
            <w:pPr>
              <w:rPr>
                <w:rFonts w:ascii="Calibri" w:hAnsi="Calibri"/>
                <w:bCs/>
                <w:lang w:eastAsia="ja-JP"/>
              </w:rPr>
            </w:pPr>
            <w:r w:rsidRPr="00912996">
              <w:rPr>
                <w:rFonts w:ascii="Calibri" w:hAnsi="Calibri"/>
                <w:bCs/>
                <w:lang w:eastAsia="ja-JP"/>
              </w:rPr>
              <w:t>12</w:t>
            </w:r>
          </w:p>
        </w:tc>
        <w:tc>
          <w:tcPr>
            <w:tcW w:w="2250" w:type="dxa"/>
            <w:shd w:val="clear" w:color="auto" w:fill="F2F2F2"/>
            <w:hideMark/>
          </w:tcPr>
          <w:p w14:paraId="512ED5C2" w14:textId="77777777" w:rsidR="001A54E6" w:rsidRPr="00912996" w:rsidRDefault="001A54E6" w:rsidP="00394372">
            <w:pPr>
              <w:rPr>
                <w:rFonts w:ascii="Calibri" w:hAnsi="Calibri"/>
                <w:bCs/>
                <w:lang w:eastAsia="ja-JP"/>
              </w:rPr>
            </w:pPr>
            <w:r w:rsidRPr="00912996">
              <w:rPr>
                <w:rFonts w:ascii="Calibri" w:hAnsi="Calibri"/>
                <w:bCs/>
                <w:lang w:eastAsia="ja-JP"/>
              </w:rPr>
              <w:t>Reabilitare, consolidare, modernizare și eficientizare energetică a sediului Secției 9 Poliție</w:t>
            </w:r>
          </w:p>
        </w:tc>
        <w:tc>
          <w:tcPr>
            <w:tcW w:w="1530" w:type="dxa"/>
            <w:shd w:val="clear" w:color="auto" w:fill="F2F2F2"/>
            <w:hideMark/>
          </w:tcPr>
          <w:p w14:paraId="0CCB4D18" w14:textId="77777777" w:rsidR="001A54E6" w:rsidRPr="00912996" w:rsidRDefault="001A54E6" w:rsidP="00394372">
            <w:pPr>
              <w:rPr>
                <w:rFonts w:ascii="Calibri" w:hAnsi="Calibri"/>
                <w:bCs/>
                <w:lang w:eastAsia="ja-JP"/>
              </w:rPr>
            </w:pPr>
            <w:r w:rsidRPr="00912996">
              <w:rPr>
                <w:rFonts w:ascii="Calibri" w:hAnsi="Calibri"/>
                <w:bCs/>
                <w:lang w:eastAsia="ja-JP"/>
              </w:rPr>
              <w:t>PS2, Secția 9 Poliție</w:t>
            </w:r>
          </w:p>
        </w:tc>
        <w:tc>
          <w:tcPr>
            <w:tcW w:w="1620" w:type="dxa"/>
            <w:shd w:val="clear" w:color="auto" w:fill="F2F2F2"/>
            <w:hideMark/>
          </w:tcPr>
          <w:p w14:paraId="6E594E7C"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hideMark/>
          </w:tcPr>
          <w:p w14:paraId="7324D0CC" w14:textId="77777777" w:rsidR="001A54E6" w:rsidRPr="00912996" w:rsidRDefault="001A54E6" w:rsidP="00394372">
            <w:pPr>
              <w:rPr>
                <w:rFonts w:ascii="Calibri" w:hAnsi="Calibri"/>
                <w:bCs/>
                <w:lang w:eastAsia="ja-JP"/>
              </w:rPr>
            </w:pPr>
            <w:r w:rsidRPr="00912996">
              <w:rPr>
                <w:rFonts w:ascii="Calibri" w:hAnsi="Calibri"/>
                <w:bCs/>
                <w:lang w:eastAsia="ja-JP"/>
              </w:rPr>
              <w:t>1,000,000</w:t>
            </w:r>
          </w:p>
        </w:tc>
        <w:tc>
          <w:tcPr>
            <w:tcW w:w="1260" w:type="dxa"/>
            <w:shd w:val="clear" w:color="auto" w:fill="F2F2F2"/>
            <w:hideMark/>
          </w:tcPr>
          <w:p w14:paraId="666B15B9" w14:textId="77777777" w:rsidR="001A54E6" w:rsidRPr="00912996" w:rsidRDefault="001A54E6" w:rsidP="00394372">
            <w:pPr>
              <w:rPr>
                <w:rFonts w:ascii="Calibri" w:hAnsi="Calibri"/>
                <w:bCs/>
                <w:lang w:eastAsia="ja-JP"/>
              </w:rPr>
            </w:pPr>
            <w:r w:rsidRPr="00912996">
              <w:rPr>
                <w:rFonts w:ascii="Calibri" w:hAnsi="Calibri"/>
                <w:bCs/>
                <w:lang w:eastAsia="ja-JP"/>
              </w:rPr>
              <w:t>204,082</w:t>
            </w:r>
          </w:p>
        </w:tc>
        <w:tc>
          <w:tcPr>
            <w:tcW w:w="1089" w:type="dxa"/>
            <w:shd w:val="clear" w:color="auto" w:fill="F2F2F2"/>
            <w:hideMark/>
          </w:tcPr>
          <w:p w14:paraId="352D3E89" w14:textId="77777777" w:rsidR="001A54E6" w:rsidRPr="00912996" w:rsidRDefault="001A54E6" w:rsidP="00394372">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-2026</w:t>
            </w:r>
          </w:p>
        </w:tc>
        <w:tc>
          <w:tcPr>
            <w:tcW w:w="1881" w:type="dxa"/>
            <w:shd w:val="clear" w:color="auto" w:fill="F2F2F2"/>
            <w:hideMark/>
          </w:tcPr>
          <w:p w14:paraId="23C4EFED" w14:textId="6AEC675C"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55352EF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74587C38" w14:textId="77777777" w:rsidR="001A54E6" w:rsidRPr="00912996" w:rsidRDefault="001A54E6" w:rsidP="00394372">
            <w:pPr>
              <w:rPr>
                <w:rFonts w:ascii="Calibri" w:hAnsi="Calibri"/>
                <w:bCs/>
                <w:lang w:eastAsia="ja-JP"/>
              </w:rPr>
            </w:pPr>
            <w:r w:rsidRPr="00912996">
              <w:rPr>
                <w:rFonts w:ascii="Calibri" w:hAnsi="Calibri"/>
                <w:bCs/>
                <w:lang w:eastAsia="ja-JP"/>
              </w:rPr>
              <w:t>SDLID S2 2016-2025</w:t>
            </w:r>
          </w:p>
        </w:tc>
      </w:tr>
      <w:tr w:rsidR="00AC2FFA" w:rsidRPr="00912996" w14:paraId="78679D1E" w14:textId="77777777" w:rsidTr="00E2442E">
        <w:trPr>
          <w:gridAfter w:val="9"/>
          <w:wAfter w:w="15421" w:type="dxa"/>
          <w:trHeight w:val="804"/>
        </w:trPr>
        <w:tc>
          <w:tcPr>
            <w:tcW w:w="625" w:type="dxa"/>
            <w:shd w:val="clear" w:color="auto" w:fill="F2F2F2"/>
            <w:noWrap/>
          </w:tcPr>
          <w:p w14:paraId="4E828B17" w14:textId="77777777" w:rsidR="001A54E6" w:rsidRPr="00912996" w:rsidRDefault="001A54E6" w:rsidP="00394372">
            <w:pPr>
              <w:rPr>
                <w:rFonts w:ascii="Calibri" w:hAnsi="Calibri"/>
                <w:bCs/>
                <w:lang w:eastAsia="ja-JP"/>
              </w:rPr>
            </w:pPr>
            <w:r>
              <w:rPr>
                <w:rFonts w:ascii="Calibri" w:hAnsi="Calibri"/>
                <w:bCs/>
                <w:lang w:eastAsia="ja-JP"/>
              </w:rPr>
              <w:t>13</w:t>
            </w:r>
          </w:p>
        </w:tc>
        <w:tc>
          <w:tcPr>
            <w:tcW w:w="2250" w:type="dxa"/>
            <w:shd w:val="clear" w:color="auto" w:fill="F2F2F2"/>
          </w:tcPr>
          <w:p w14:paraId="011ED2EB" w14:textId="77777777" w:rsidR="001A54E6" w:rsidRPr="00912996" w:rsidRDefault="001A54E6" w:rsidP="00394372">
            <w:pPr>
              <w:rPr>
                <w:rFonts w:ascii="Calibri" w:hAnsi="Calibri"/>
                <w:bCs/>
                <w:lang w:eastAsia="ja-JP"/>
              </w:rPr>
            </w:pPr>
            <w:r w:rsidRPr="00573181">
              <w:rPr>
                <w:rFonts w:ascii="Calibri" w:hAnsi="Calibri"/>
                <w:bCs/>
                <w:lang w:eastAsia="ja-JP"/>
              </w:rPr>
              <w:t>Renovarea Energetică Moderată a clădirilor rezidențiale multifamiliale din Sectorul 2 al Municipiului București (14 clădiri) – RUNDA 1</w:t>
            </w:r>
          </w:p>
        </w:tc>
        <w:tc>
          <w:tcPr>
            <w:tcW w:w="1530" w:type="dxa"/>
            <w:shd w:val="clear" w:color="auto" w:fill="F2F2F2"/>
          </w:tcPr>
          <w:p w14:paraId="168E2CFB" w14:textId="77777777" w:rsidR="001A54E6" w:rsidRPr="00912996" w:rsidRDefault="001A54E6" w:rsidP="00394372">
            <w:pPr>
              <w:rPr>
                <w:rFonts w:ascii="Calibri" w:hAnsi="Calibri"/>
                <w:bCs/>
                <w:lang w:eastAsia="ja-JP"/>
              </w:rPr>
            </w:pPr>
            <w:r w:rsidRPr="00573181">
              <w:rPr>
                <w:rFonts w:ascii="Calibri" w:hAnsi="Calibri"/>
                <w:bCs/>
                <w:lang w:eastAsia="ja-JP"/>
              </w:rPr>
              <w:t>PS2</w:t>
            </w:r>
          </w:p>
        </w:tc>
        <w:tc>
          <w:tcPr>
            <w:tcW w:w="1620" w:type="dxa"/>
            <w:shd w:val="clear" w:color="auto" w:fill="F2F2F2"/>
          </w:tcPr>
          <w:p w14:paraId="67606815" w14:textId="77777777" w:rsidR="001A54E6" w:rsidRPr="00912996" w:rsidRDefault="001A54E6" w:rsidP="00394372">
            <w:pPr>
              <w:rPr>
                <w:rFonts w:ascii="Calibri" w:hAnsi="Calibri"/>
                <w:bCs/>
                <w:lang w:eastAsia="ja-JP"/>
              </w:rPr>
            </w:pPr>
            <w:r w:rsidRPr="00573181">
              <w:rPr>
                <w:rFonts w:ascii="Calibri" w:hAnsi="Calibri"/>
                <w:bCs/>
                <w:lang w:eastAsia="ja-JP"/>
              </w:rPr>
              <w:t>In implementare</w:t>
            </w:r>
          </w:p>
        </w:tc>
        <w:tc>
          <w:tcPr>
            <w:tcW w:w="1260" w:type="dxa"/>
            <w:shd w:val="clear" w:color="auto" w:fill="F2F2F2"/>
          </w:tcPr>
          <w:p w14:paraId="7885DD3B" w14:textId="77777777" w:rsidR="001A54E6" w:rsidRPr="00912996" w:rsidRDefault="001A54E6" w:rsidP="00394372">
            <w:pPr>
              <w:rPr>
                <w:rFonts w:ascii="Calibri" w:hAnsi="Calibri"/>
                <w:bCs/>
                <w:lang w:eastAsia="ja-JP"/>
              </w:rPr>
            </w:pPr>
            <w:r w:rsidRPr="00573181">
              <w:rPr>
                <w:rFonts w:ascii="Calibri" w:hAnsi="Calibri"/>
                <w:bCs/>
                <w:lang w:eastAsia="ja-JP"/>
              </w:rPr>
              <w:t>61</w:t>
            </w:r>
            <w:r>
              <w:rPr>
                <w:rFonts w:ascii="Calibri" w:hAnsi="Calibri"/>
                <w:bCs/>
                <w:lang w:eastAsia="ja-JP"/>
              </w:rPr>
              <w:t>,</w:t>
            </w:r>
            <w:r w:rsidRPr="00573181">
              <w:rPr>
                <w:rFonts w:ascii="Calibri" w:hAnsi="Calibri"/>
                <w:bCs/>
                <w:lang w:eastAsia="ja-JP"/>
              </w:rPr>
              <w:t>332</w:t>
            </w:r>
            <w:r>
              <w:rPr>
                <w:rFonts w:ascii="Calibri" w:hAnsi="Calibri"/>
                <w:bCs/>
                <w:lang w:eastAsia="ja-JP"/>
              </w:rPr>
              <w:t>,</w:t>
            </w:r>
            <w:r w:rsidRPr="00573181">
              <w:rPr>
                <w:rFonts w:ascii="Calibri" w:hAnsi="Calibri"/>
                <w:bCs/>
                <w:lang w:eastAsia="ja-JP"/>
              </w:rPr>
              <w:t>904</w:t>
            </w:r>
          </w:p>
        </w:tc>
        <w:tc>
          <w:tcPr>
            <w:tcW w:w="1260" w:type="dxa"/>
            <w:shd w:val="clear" w:color="auto" w:fill="F2F2F2"/>
          </w:tcPr>
          <w:p w14:paraId="428522A9" w14:textId="77777777" w:rsidR="001A54E6" w:rsidRPr="00912996" w:rsidRDefault="001A54E6" w:rsidP="00394372">
            <w:pPr>
              <w:rPr>
                <w:rFonts w:ascii="Calibri" w:hAnsi="Calibri"/>
                <w:bCs/>
                <w:lang w:eastAsia="ja-JP"/>
              </w:rPr>
            </w:pPr>
            <w:r w:rsidRPr="00573181">
              <w:rPr>
                <w:rFonts w:ascii="Calibri" w:hAnsi="Calibri"/>
                <w:bCs/>
                <w:lang w:eastAsia="ja-JP"/>
              </w:rPr>
              <w:t>12</w:t>
            </w:r>
            <w:r>
              <w:rPr>
                <w:rFonts w:ascii="Calibri" w:hAnsi="Calibri"/>
                <w:bCs/>
                <w:lang w:eastAsia="ja-JP"/>
              </w:rPr>
              <w:t>,</w:t>
            </w:r>
            <w:r w:rsidRPr="00573181">
              <w:rPr>
                <w:rFonts w:ascii="Calibri" w:hAnsi="Calibri"/>
                <w:bCs/>
                <w:lang w:eastAsia="ja-JP"/>
              </w:rPr>
              <w:t>516</w:t>
            </w:r>
            <w:r>
              <w:rPr>
                <w:rFonts w:ascii="Calibri" w:hAnsi="Calibri"/>
                <w:bCs/>
                <w:lang w:eastAsia="ja-JP"/>
              </w:rPr>
              <w:t>,</w:t>
            </w:r>
            <w:r w:rsidRPr="00573181">
              <w:rPr>
                <w:rFonts w:ascii="Calibri" w:hAnsi="Calibri"/>
                <w:bCs/>
                <w:lang w:eastAsia="ja-JP"/>
              </w:rPr>
              <w:t>919</w:t>
            </w:r>
          </w:p>
        </w:tc>
        <w:tc>
          <w:tcPr>
            <w:tcW w:w="1089" w:type="dxa"/>
            <w:shd w:val="clear" w:color="auto" w:fill="F2F2F2"/>
          </w:tcPr>
          <w:p w14:paraId="088F7B8C" w14:textId="77777777" w:rsidR="001A54E6" w:rsidRPr="00912996" w:rsidRDefault="001A54E6" w:rsidP="00394372">
            <w:pPr>
              <w:rPr>
                <w:rFonts w:ascii="Calibri" w:hAnsi="Calibri"/>
                <w:bCs/>
                <w:lang w:eastAsia="ja-JP"/>
              </w:rPr>
            </w:pPr>
            <w:r w:rsidRPr="00573181">
              <w:rPr>
                <w:rFonts w:ascii="Calibri" w:hAnsi="Calibri"/>
                <w:bCs/>
                <w:lang w:eastAsia="ja-JP"/>
              </w:rPr>
              <w:t>2023</w:t>
            </w:r>
            <w:r>
              <w:rPr>
                <w:rFonts w:ascii="Calibri" w:hAnsi="Calibri"/>
                <w:bCs/>
                <w:lang w:eastAsia="ja-JP"/>
              </w:rPr>
              <w:t xml:space="preserve"> </w:t>
            </w:r>
            <w:r w:rsidRPr="00573181">
              <w:rPr>
                <w:rFonts w:ascii="Calibri" w:hAnsi="Calibri"/>
                <w:bCs/>
                <w:lang w:eastAsia="ja-JP"/>
              </w:rPr>
              <w:t>-2025</w:t>
            </w:r>
          </w:p>
        </w:tc>
        <w:tc>
          <w:tcPr>
            <w:tcW w:w="1881" w:type="dxa"/>
            <w:shd w:val="clear" w:color="auto" w:fill="F2F2F2"/>
          </w:tcPr>
          <w:p w14:paraId="03836EA6" w14:textId="77777777" w:rsidR="001A54E6" w:rsidRPr="00912996" w:rsidRDefault="001A54E6" w:rsidP="00394372">
            <w:pPr>
              <w:rPr>
                <w:rFonts w:ascii="Calibri" w:hAnsi="Calibri"/>
                <w:bCs/>
                <w:lang w:eastAsia="ja-JP"/>
              </w:rPr>
            </w:pPr>
            <w:r w:rsidRPr="00573181">
              <w:rPr>
                <w:rFonts w:ascii="Calibri" w:hAnsi="Calibri"/>
                <w:bCs/>
                <w:lang w:eastAsia="ja-JP"/>
              </w:rPr>
              <w:t>PNRR componenta 5, Axa 1, Operațiunea A3</w:t>
            </w:r>
          </w:p>
        </w:tc>
        <w:tc>
          <w:tcPr>
            <w:tcW w:w="1260" w:type="dxa"/>
            <w:shd w:val="clear" w:color="auto" w:fill="F2F2F2"/>
          </w:tcPr>
          <w:p w14:paraId="6438800A" w14:textId="77777777" w:rsidR="001A54E6" w:rsidRPr="00912996" w:rsidRDefault="001A54E6" w:rsidP="00394372">
            <w:pPr>
              <w:rPr>
                <w:rFonts w:ascii="Calibri" w:hAnsi="Calibri"/>
                <w:bCs/>
                <w:lang w:eastAsia="ja-JP"/>
              </w:rPr>
            </w:pPr>
            <w:r w:rsidRPr="00573181">
              <w:rPr>
                <w:rFonts w:ascii="Calibri" w:hAnsi="Calibri"/>
                <w:bCs/>
                <w:lang w:eastAsia="ja-JP"/>
              </w:rPr>
              <w:t>Lista lungă de proiecte</w:t>
            </w:r>
          </w:p>
        </w:tc>
        <w:tc>
          <w:tcPr>
            <w:tcW w:w="1440" w:type="dxa"/>
            <w:shd w:val="clear" w:color="auto" w:fill="F2F2F2"/>
          </w:tcPr>
          <w:p w14:paraId="6694E023" w14:textId="3169C8C7" w:rsidR="001A54E6" w:rsidRPr="00912996" w:rsidRDefault="001A54E6" w:rsidP="00394372">
            <w:pPr>
              <w:rPr>
                <w:rFonts w:ascii="Calibri" w:hAnsi="Calibri"/>
                <w:bCs/>
                <w:lang w:eastAsia="ja-JP"/>
              </w:rPr>
            </w:pPr>
            <w:r w:rsidRPr="00573181">
              <w:rPr>
                <w:rFonts w:ascii="Calibri" w:hAnsi="Calibri"/>
                <w:bCs/>
                <w:lang w:eastAsia="ja-JP"/>
              </w:rPr>
              <w:t xml:space="preserve">PS2 </w:t>
            </w:r>
            <w:r w:rsidR="00D71399">
              <w:rPr>
                <w:rFonts w:ascii="Calibri" w:hAnsi="Calibri"/>
                <w:bCs/>
                <w:lang w:eastAsia="ja-JP"/>
              </w:rPr>
              <w:t>/</w:t>
            </w:r>
            <w:r w:rsidRPr="00573181">
              <w:rPr>
                <w:rFonts w:ascii="Calibri" w:hAnsi="Calibri"/>
                <w:bCs/>
                <w:lang w:eastAsia="ja-JP"/>
              </w:rPr>
              <w:t xml:space="preserve"> DGPDUFE</w:t>
            </w:r>
          </w:p>
        </w:tc>
      </w:tr>
      <w:tr w:rsidR="00AC2FFA" w:rsidRPr="00912996" w14:paraId="56FE9755" w14:textId="77777777" w:rsidTr="00E2442E">
        <w:trPr>
          <w:gridAfter w:val="9"/>
          <w:wAfter w:w="15421" w:type="dxa"/>
          <w:trHeight w:val="804"/>
        </w:trPr>
        <w:tc>
          <w:tcPr>
            <w:tcW w:w="625" w:type="dxa"/>
            <w:shd w:val="clear" w:color="auto" w:fill="F2F2F2"/>
            <w:noWrap/>
          </w:tcPr>
          <w:p w14:paraId="3A037226" w14:textId="77777777" w:rsidR="001A54E6" w:rsidRPr="00912996" w:rsidRDefault="001A54E6" w:rsidP="00394372">
            <w:pPr>
              <w:rPr>
                <w:rFonts w:ascii="Calibri" w:hAnsi="Calibri"/>
                <w:bCs/>
                <w:lang w:eastAsia="ja-JP"/>
              </w:rPr>
            </w:pPr>
            <w:r>
              <w:rPr>
                <w:rFonts w:ascii="Calibri" w:hAnsi="Calibri"/>
                <w:bCs/>
                <w:lang w:eastAsia="ja-JP"/>
              </w:rPr>
              <w:t>14</w:t>
            </w:r>
          </w:p>
        </w:tc>
        <w:tc>
          <w:tcPr>
            <w:tcW w:w="2250" w:type="dxa"/>
            <w:shd w:val="clear" w:color="auto" w:fill="F2F2F2"/>
          </w:tcPr>
          <w:p w14:paraId="313EE529" w14:textId="77777777" w:rsidR="001A54E6" w:rsidRPr="00912996" w:rsidRDefault="001A54E6" w:rsidP="00394372">
            <w:pPr>
              <w:rPr>
                <w:rFonts w:ascii="Calibri" w:hAnsi="Calibri"/>
                <w:bCs/>
                <w:lang w:eastAsia="ja-JP"/>
              </w:rPr>
            </w:pPr>
            <w:r w:rsidRPr="00573181">
              <w:rPr>
                <w:rFonts w:ascii="Calibri" w:hAnsi="Calibri"/>
                <w:bCs/>
                <w:lang w:eastAsia="ja-JP"/>
              </w:rPr>
              <w:t>Renovare Energetică Moderată a clădirilor rezidențiale multifamiliale din Sectorul 2 al Municipiului București-(11 clădiri) , inclusiv instalarea a 22 stații de încărcare electrică</w:t>
            </w:r>
            <w:r>
              <w:rPr>
                <w:rFonts w:ascii="Calibri" w:hAnsi="Calibri"/>
                <w:bCs/>
                <w:lang w:eastAsia="ja-JP"/>
              </w:rPr>
              <w:t xml:space="preserve"> </w:t>
            </w:r>
            <w:r w:rsidRPr="00573181">
              <w:rPr>
                <w:rFonts w:ascii="Calibri" w:hAnsi="Calibri"/>
                <w:bCs/>
                <w:lang w:eastAsia="ja-JP"/>
              </w:rPr>
              <w:t>- RUNDA 2</w:t>
            </w:r>
          </w:p>
        </w:tc>
        <w:tc>
          <w:tcPr>
            <w:tcW w:w="1530" w:type="dxa"/>
            <w:shd w:val="clear" w:color="auto" w:fill="F2F2F2"/>
          </w:tcPr>
          <w:p w14:paraId="54EA2910" w14:textId="77777777" w:rsidR="001A54E6" w:rsidRPr="00912996" w:rsidRDefault="001A54E6" w:rsidP="00394372">
            <w:pPr>
              <w:rPr>
                <w:rFonts w:ascii="Calibri" w:hAnsi="Calibri"/>
                <w:bCs/>
                <w:lang w:eastAsia="ja-JP"/>
              </w:rPr>
            </w:pPr>
            <w:r w:rsidRPr="00573181">
              <w:rPr>
                <w:rFonts w:ascii="Calibri" w:hAnsi="Calibri"/>
                <w:bCs/>
                <w:lang w:eastAsia="ja-JP"/>
              </w:rPr>
              <w:t>PS2</w:t>
            </w:r>
          </w:p>
        </w:tc>
        <w:tc>
          <w:tcPr>
            <w:tcW w:w="1620" w:type="dxa"/>
            <w:shd w:val="clear" w:color="auto" w:fill="F2F2F2"/>
          </w:tcPr>
          <w:p w14:paraId="36363C7B" w14:textId="77777777" w:rsidR="001A54E6" w:rsidRPr="00912996" w:rsidRDefault="001A54E6" w:rsidP="00394372">
            <w:pPr>
              <w:rPr>
                <w:rFonts w:ascii="Calibri" w:hAnsi="Calibri"/>
                <w:bCs/>
                <w:lang w:eastAsia="ja-JP"/>
              </w:rPr>
            </w:pPr>
            <w:r>
              <w:rPr>
                <w:rFonts w:ascii="Calibri" w:hAnsi="Calibri"/>
                <w:bCs/>
                <w:lang w:eastAsia="ja-JP"/>
              </w:rPr>
              <w:t>Î</w:t>
            </w:r>
            <w:r w:rsidRPr="00573181">
              <w:rPr>
                <w:rFonts w:ascii="Calibri" w:hAnsi="Calibri"/>
                <w:bCs/>
                <w:lang w:eastAsia="ja-JP"/>
              </w:rPr>
              <w:t>n evaluare</w:t>
            </w:r>
          </w:p>
        </w:tc>
        <w:tc>
          <w:tcPr>
            <w:tcW w:w="1260" w:type="dxa"/>
            <w:shd w:val="clear" w:color="auto" w:fill="F2F2F2"/>
          </w:tcPr>
          <w:p w14:paraId="59BB0337" w14:textId="77777777" w:rsidR="001A54E6" w:rsidRPr="00573181" w:rsidRDefault="001A54E6" w:rsidP="00394372">
            <w:pPr>
              <w:tabs>
                <w:tab w:val="left" w:pos="938"/>
              </w:tabs>
              <w:rPr>
                <w:rFonts w:ascii="Calibri" w:hAnsi="Calibri"/>
                <w:bCs/>
                <w:lang w:eastAsia="ja-JP"/>
              </w:rPr>
            </w:pPr>
            <w:r w:rsidRPr="00573181">
              <w:rPr>
                <w:rFonts w:ascii="Calibri" w:hAnsi="Calibri"/>
                <w:bCs/>
                <w:lang w:eastAsia="ja-JP"/>
              </w:rPr>
              <w:t>55</w:t>
            </w:r>
            <w:r>
              <w:rPr>
                <w:rFonts w:ascii="Calibri" w:hAnsi="Calibri"/>
                <w:bCs/>
                <w:lang w:eastAsia="ja-JP"/>
              </w:rPr>
              <w:t>,</w:t>
            </w:r>
            <w:r w:rsidRPr="00573181">
              <w:rPr>
                <w:rFonts w:ascii="Calibri" w:hAnsi="Calibri"/>
                <w:bCs/>
                <w:lang w:eastAsia="ja-JP"/>
              </w:rPr>
              <w:t>106</w:t>
            </w:r>
            <w:r>
              <w:rPr>
                <w:rFonts w:ascii="Calibri" w:hAnsi="Calibri"/>
                <w:bCs/>
                <w:lang w:eastAsia="ja-JP"/>
              </w:rPr>
              <w:t>,</w:t>
            </w:r>
            <w:r w:rsidRPr="00573181">
              <w:rPr>
                <w:rFonts w:ascii="Calibri" w:hAnsi="Calibri"/>
                <w:bCs/>
                <w:lang w:eastAsia="ja-JP"/>
              </w:rPr>
              <w:t>328</w:t>
            </w:r>
          </w:p>
          <w:p w14:paraId="76772839" w14:textId="77777777" w:rsidR="001A54E6" w:rsidRPr="00573181" w:rsidRDefault="001A54E6" w:rsidP="00394372">
            <w:pPr>
              <w:tabs>
                <w:tab w:val="left" w:pos="938"/>
              </w:tabs>
              <w:rPr>
                <w:rFonts w:ascii="Calibri" w:hAnsi="Calibri"/>
                <w:bCs/>
                <w:lang w:eastAsia="ja-JP"/>
              </w:rPr>
            </w:pPr>
          </w:p>
          <w:p w14:paraId="544F0B57" w14:textId="77777777" w:rsidR="001A54E6" w:rsidRPr="00912996" w:rsidRDefault="001A54E6" w:rsidP="00394372">
            <w:pPr>
              <w:rPr>
                <w:rFonts w:ascii="Calibri" w:hAnsi="Calibri"/>
                <w:bCs/>
                <w:lang w:eastAsia="ja-JP"/>
              </w:rPr>
            </w:pPr>
          </w:p>
        </w:tc>
        <w:tc>
          <w:tcPr>
            <w:tcW w:w="1260" w:type="dxa"/>
            <w:shd w:val="clear" w:color="auto" w:fill="F2F2F2"/>
          </w:tcPr>
          <w:p w14:paraId="7772F386" w14:textId="77777777" w:rsidR="001A54E6" w:rsidRPr="00573181" w:rsidRDefault="001A54E6" w:rsidP="00394372">
            <w:pPr>
              <w:tabs>
                <w:tab w:val="left" w:pos="938"/>
              </w:tabs>
              <w:rPr>
                <w:rFonts w:ascii="Calibri" w:hAnsi="Calibri"/>
                <w:bCs/>
                <w:lang w:eastAsia="ja-JP"/>
              </w:rPr>
            </w:pPr>
            <w:r w:rsidRPr="00573181">
              <w:rPr>
                <w:rFonts w:ascii="Calibri" w:hAnsi="Calibri"/>
                <w:bCs/>
                <w:lang w:eastAsia="ja-JP"/>
              </w:rPr>
              <w:t>11</w:t>
            </w:r>
            <w:r>
              <w:rPr>
                <w:rFonts w:ascii="Calibri" w:hAnsi="Calibri"/>
                <w:bCs/>
                <w:lang w:eastAsia="ja-JP"/>
              </w:rPr>
              <w:t>,</w:t>
            </w:r>
            <w:r w:rsidRPr="00573181">
              <w:rPr>
                <w:rFonts w:ascii="Calibri" w:hAnsi="Calibri"/>
                <w:bCs/>
                <w:lang w:eastAsia="ja-JP"/>
              </w:rPr>
              <w:t>246</w:t>
            </w:r>
            <w:r>
              <w:rPr>
                <w:rFonts w:ascii="Calibri" w:hAnsi="Calibri"/>
                <w:bCs/>
                <w:lang w:eastAsia="ja-JP"/>
              </w:rPr>
              <w:t>,</w:t>
            </w:r>
            <w:r w:rsidRPr="00573181">
              <w:rPr>
                <w:rFonts w:ascii="Calibri" w:hAnsi="Calibri"/>
                <w:bCs/>
                <w:lang w:eastAsia="ja-JP"/>
              </w:rPr>
              <w:t>189</w:t>
            </w:r>
          </w:p>
          <w:p w14:paraId="0FF5639A" w14:textId="77777777" w:rsidR="001A54E6" w:rsidRPr="00912996" w:rsidRDefault="001A54E6" w:rsidP="00394372">
            <w:pPr>
              <w:rPr>
                <w:rFonts w:ascii="Calibri" w:hAnsi="Calibri"/>
                <w:bCs/>
                <w:lang w:eastAsia="ja-JP"/>
              </w:rPr>
            </w:pPr>
          </w:p>
        </w:tc>
        <w:tc>
          <w:tcPr>
            <w:tcW w:w="1089" w:type="dxa"/>
            <w:shd w:val="clear" w:color="auto" w:fill="F2F2F2"/>
          </w:tcPr>
          <w:p w14:paraId="53FAD19A" w14:textId="77777777" w:rsidR="001A54E6" w:rsidRPr="00912996" w:rsidRDefault="001A54E6" w:rsidP="00394372">
            <w:pPr>
              <w:rPr>
                <w:rFonts w:ascii="Calibri" w:hAnsi="Calibri"/>
                <w:bCs/>
                <w:lang w:eastAsia="ja-JP"/>
              </w:rPr>
            </w:pPr>
            <w:r w:rsidRPr="00573181">
              <w:rPr>
                <w:rFonts w:ascii="Calibri" w:hAnsi="Calibri"/>
                <w:bCs/>
                <w:lang w:eastAsia="ja-JP"/>
              </w:rPr>
              <w:t>N/A</w:t>
            </w:r>
          </w:p>
        </w:tc>
        <w:tc>
          <w:tcPr>
            <w:tcW w:w="1881" w:type="dxa"/>
            <w:shd w:val="clear" w:color="auto" w:fill="F2F2F2"/>
          </w:tcPr>
          <w:p w14:paraId="5847E5CC" w14:textId="6B6EB26B" w:rsidR="001A54E6" w:rsidRPr="00912996" w:rsidRDefault="001A54E6" w:rsidP="00394372">
            <w:pPr>
              <w:rPr>
                <w:rFonts w:ascii="Calibri" w:hAnsi="Calibri"/>
                <w:bCs/>
                <w:lang w:eastAsia="ja-JP"/>
              </w:rPr>
            </w:pPr>
            <w:r w:rsidRPr="00573181">
              <w:rPr>
                <w:rFonts w:ascii="Calibri" w:hAnsi="Calibri"/>
                <w:bCs/>
                <w:lang w:eastAsia="ja-JP"/>
              </w:rPr>
              <w:t>PNRR</w:t>
            </w:r>
            <w:r w:rsidR="00D71399">
              <w:rPr>
                <w:rFonts w:ascii="Calibri" w:hAnsi="Calibri"/>
                <w:bCs/>
                <w:lang w:eastAsia="ja-JP"/>
              </w:rPr>
              <w:t xml:space="preserve"> </w:t>
            </w:r>
            <w:r w:rsidRPr="00573181">
              <w:rPr>
                <w:rFonts w:ascii="Calibri" w:hAnsi="Calibri"/>
                <w:bCs/>
                <w:lang w:eastAsia="ja-JP"/>
              </w:rPr>
              <w:t>/</w:t>
            </w:r>
            <w:r w:rsidR="00D71399">
              <w:rPr>
                <w:rFonts w:ascii="Calibri" w:hAnsi="Calibri"/>
                <w:bCs/>
                <w:lang w:eastAsia="ja-JP"/>
              </w:rPr>
              <w:t xml:space="preserve"> </w:t>
            </w:r>
            <w:r w:rsidRPr="00573181">
              <w:rPr>
                <w:rFonts w:ascii="Calibri" w:hAnsi="Calibri"/>
                <w:bCs/>
                <w:lang w:eastAsia="ja-JP"/>
              </w:rPr>
              <w:t>C5</w:t>
            </w:r>
          </w:p>
        </w:tc>
        <w:tc>
          <w:tcPr>
            <w:tcW w:w="1260" w:type="dxa"/>
            <w:shd w:val="clear" w:color="auto" w:fill="F2F2F2"/>
          </w:tcPr>
          <w:p w14:paraId="5947AFAE" w14:textId="77777777" w:rsidR="001A54E6" w:rsidRPr="00912996" w:rsidRDefault="001A54E6" w:rsidP="00394372">
            <w:pPr>
              <w:rPr>
                <w:rFonts w:ascii="Calibri" w:hAnsi="Calibri"/>
                <w:bCs/>
                <w:lang w:eastAsia="ja-JP"/>
              </w:rPr>
            </w:pPr>
            <w:r w:rsidRPr="00573181">
              <w:rPr>
                <w:rFonts w:ascii="Calibri" w:hAnsi="Calibri"/>
                <w:bCs/>
                <w:lang w:eastAsia="ja-JP"/>
              </w:rPr>
              <w:t>Lista lungă de proiecte</w:t>
            </w:r>
          </w:p>
        </w:tc>
        <w:tc>
          <w:tcPr>
            <w:tcW w:w="1440" w:type="dxa"/>
            <w:shd w:val="clear" w:color="auto" w:fill="F2F2F2"/>
          </w:tcPr>
          <w:p w14:paraId="2E2B879E" w14:textId="77777777" w:rsidR="001A54E6" w:rsidRPr="00912996" w:rsidRDefault="001A54E6" w:rsidP="00394372">
            <w:pPr>
              <w:rPr>
                <w:rFonts w:ascii="Calibri" w:hAnsi="Calibri"/>
                <w:bCs/>
                <w:lang w:eastAsia="ja-JP"/>
              </w:rPr>
            </w:pPr>
            <w:r w:rsidRPr="00573181">
              <w:rPr>
                <w:rFonts w:ascii="Calibri" w:hAnsi="Calibri"/>
                <w:bCs/>
                <w:lang w:eastAsia="ja-JP"/>
              </w:rPr>
              <w:t>PS2 / DGPDUFE</w:t>
            </w:r>
          </w:p>
        </w:tc>
      </w:tr>
      <w:tr w:rsidR="00AC2FFA" w:rsidRPr="00912996" w14:paraId="7DC77310" w14:textId="77777777" w:rsidTr="00E2442E">
        <w:trPr>
          <w:gridAfter w:val="9"/>
          <w:wAfter w:w="15421" w:type="dxa"/>
          <w:trHeight w:val="804"/>
        </w:trPr>
        <w:tc>
          <w:tcPr>
            <w:tcW w:w="625" w:type="dxa"/>
            <w:shd w:val="clear" w:color="auto" w:fill="F2F2F2"/>
            <w:noWrap/>
          </w:tcPr>
          <w:p w14:paraId="0000770B" w14:textId="77777777" w:rsidR="001A54E6" w:rsidRPr="00912996" w:rsidRDefault="001A54E6" w:rsidP="00394372">
            <w:pPr>
              <w:rPr>
                <w:rFonts w:ascii="Calibri" w:hAnsi="Calibri"/>
                <w:bCs/>
                <w:lang w:eastAsia="ja-JP"/>
              </w:rPr>
            </w:pPr>
            <w:r>
              <w:rPr>
                <w:rFonts w:ascii="Calibri" w:hAnsi="Calibri"/>
                <w:bCs/>
                <w:lang w:eastAsia="ja-JP"/>
              </w:rPr>
              <w:t>15</w:t>
            </w:r>
          </w:p>
        </w:tc>
        <w:tc>
          <w:tcPr>
            <w:tcW w:w="2250" w:type="dxa"/>
            <w:shd w:val="clear" w:color="auto" w:fill="F2F2F2"/>
          </w:tcPr>
          <w:p w14:paraId="2CE38856" w14:textId="77777777" w:rsidR="001A54E6" w:rsidRPr="00912996" w:rsidRDefault="001A54E6" w:rsidP="00394372">
            <w:pPr>
              <w:rPr>
                <w:rFonts w:ascii="Calibri" w:hAnsi="Calibri"/>
                <w:bCs/>
                <w:lang w:eastAsia="ja-JP"/>
              </w:rPr>
            </w:pPr>
            <w:r w:rsidRPr="00573181">
              <w:rPr>
                <w:rFonts w:ascii="Calibri" w:hAnsi="Calibri"/>
                <w:bCs/>
                <w:lang w:eastAsia="ja-JP"/>
              </w:rPr>
              <w:t>Întocmire Documentație de Avizare a Lucrărilor de Intervenție pentru consolidarea, supraetajarea, creșterea performantei energetice si recompartimentarea construcției existente cu Sp+P+1E, situata pe strada Grigore Moisil nr. 12 in Sectorul 2 al Municipiului București, in vederea schimbării destinației pentru realizarea unor spatii pentru servicii de medicina primara si servicii complementare, recepție, depozitare, grupuri sanitare, spatii tehnice, etc., Rh final Sp+P+2E”</w:t>
            </w:r>
          </w:p>
        </w:tc>
        <w:tc>
          <w:tcPr>
            <w:tcW w:w="1530" w:type="dxa"/>
            <w:shd w:val="clear" w:color="auto" w:fill="F2F2F2"/>
          </w:tcPr>
          <w:p w14:paraId="2FF20C95" w14:textId="77777777" w:rsidR="001A54E6" w:rsidRPr="00573181" w:rsidRDefault="001A54E6" w:rsidP="00394372">
            <w:pPr>
              <w:rPr>
                <w:rFonts w:ascii="Calibri" w:hAnsi="Calibri"/>
                <w:bCs/>
                <w:lang w:eastAsia="ja-JP"/>
              </w:rPr>
            </w:pPr>
            <w:r w:rsidRPr="00573181">
              <w:rPr>
                <w:rFonts w:ascii="Calibri" w:hAnsi="Calibri"/>
                <w:bCs/>
                <w:lang w:eastAsia="ja-JP"/>
              </w:rPr>
              <w:t>PS2, Asociații de proprietari</w:t>
            </w:r>
          </w:p>
          <w:p w14:paraId="73D98060" w14:textId="77777777" w:rsidR="001A54E6" w:rsidRPr="00573181" w:rsidRDefault="001A54E6" w:rsidP="00394372">
            <w:pPr>
              <w:rPr>
                <w:rFonts w:ascii="Calibri" w:hAnsi="Calibri"/>
                <w:bCs/>
                <w:lang w:eastAsia="ja-JP"/>
              </w:rPr>
            </w:pPr>
          </w:p>
          <w:p w14:paraId="7A1ED151" w14:textId="77777777" w:rsidR="001A54E6" w:rsidRPr="00573181" w:rsidRDefault="001A54E6" w:rsidP="00394372">
            <w:pPr>
              <w:rPr>
                <w:rFonts w:ascii="Calibri" w:hAnsi="Calibri"/>
                <w:bCs/>
                <w:lang w:eastAsia="ja-JP"/>
              </w:rPr>
            </w:pPr>
          </w:p>
          <w:p w14:paraId="0B5106BE" w14:textId="77777777" w:rsidR="001A54E6" w:rsidRPr="00573181" w:rsidRDefault="001A54E6" w:rsidP="00394372">
            <w:pPr>
              <w:rPr>
                <w:rFonts w:ascii="Calibri" w:hAnsi="Calibri"/>
                <w:bCs/>
                <w:lang w:eastAsia="ja-JP"/>
              </w:rPr>
            </w:pPr>
          </w:p>
          <w:p w14:paraId="3E7C534E" w14:textId="77777777" w:rsidR="001A54E6" w:rsidRPr="00573181" w:rsidRDefault="001A54E6" w:rsidP="00394372">
            <w:pPr>
              <w:rPr>
                <w:rFonts w:ascii="Calibri" w:hAnsi="Calibri"/>
                <w:bCs/>
                <w:lang w:eastAsia="ja-JP"/>
              </w:rPr>
            </w:pPr>
          </w:p>
          <w:p w14:paraId="4294BE96" w14:textId="77777777" w:rsidR="001A54E6" w:rsidRPr="00573181" w:rsidRDefault="001A54E6" w:rsidP="00394372">
            <w:pPr>
              <w:rPr>
                <w:rFonts w:ascii="Calibri" w:hAnsi="Calibri"/>
                <w:bCs/>
                <w:lang w:eastAsia="ja-JP"/>
              </w:rPr>
            </w:pPr>
          </w:p>
          <w:p w14:paraId="5F6065DE" w14:textId="77777777" w:rsidR="001A54E6" w:rsidRPr="00573181" w:rsidRDefault="001A54E6" w:rsidP="00394372">
            <w:pPr>
              <w:rPr>
                <w:rFonts w:ascii="Calibri" w:hAnsi="Calibri"/>
                <w:bCs/>
                <w:lang w:eastAsia="ja-JP"/>
              </w:rPr>
            </w:pPr>
          </w:p>
          <w:p w14:paraId="1030ECA3" w14:textId="77777777" w:rsidR="001A54E6" w:rsidRPr="00573181" w:rsidRDefault="001A54E6" w:rsidP="00394372">
            <w:pPr>
              <w:rPr>
                <w:rFonts w:ascii="Calibri" w:hAnsi="Calibri"/>
                <w:bCs/>
                <w:lang w:eastAsia="ja-JP"/>
              </w:rPr>
            </w:pPr>
          </w:p>
          <w:p w14:paraId="3FF2EDC6" w14:textId="77777777" w:rsidR="001A54E6" w:rsidRPr="00573181" w:rsidRDefault="001A54E6" w:rsidP="00394372">
            <w:pPr>
              <w:rPr>
                <w:rFonts w:ascii="Calibri" w:hAnsi="Calibri"/>
                <w:bCs/>
                <w:lang w:eastAsia="ja-JP"/>
              </w:rPr>
            </w:pPr>
          </w:p>
          <w:p w14:paraId="6598A67C" w14:textId="77777777" w:rsidR="001A54E6" w:rsidRPr="00912996" w:rsidRDefault="001A54E6" w:rsidP="00394372">
            <w:pPr>
              <w:rPr>
                <w:rFonts w:ascii="Calibri" w:hAnsi="Calibri"/>
                <w:bCs/>
                <w:lang w:eastAsia="ja-JP"/>
              </w:rPr>
            </w:pPr>
          </w:p>
        </w:tc>
        <w:tc>
          <w:tcPr>
            <w:tcW w:w="1620" w:type="dxa"/>
            <w:shd w:val="clear" w:color="auto" w:fill="F2F2F2"/>
          </w:tcPr>
          <w:p w14:paraId="2C37CFEB" w14:textId="77777777" w:rsidR="001A54E6" w:rsidRPr="00912996" w:rsidRDefault="001A54E6" w:rsidP="00394372">
            <w:pPr>
              <w:rPr>
                <w:rFonts w:ascii="Calibri" w:hAnsi="Calibri"/>
                <w:bCs/>
                <w:lang w:eastAsia="ja-JP"/>
              </w:rPr>
            </w:pPr>
            <w:r w:rsidRPr="00573181">
              <w:rPr>
                <w:rFonts w:ascii="Calibri" w:hAnsi="Calibri"/>
                <w:bCs/>
                <w:lang w:eastAsia="ja-JP"/>
              </w:rPr>
              <w:t>In implementare</w:t>
            </w:r>
          </w:p>
        </w:tc>
        <w:tc>
          <w:tcPr>
            <w:tcW w:w="1260" w:type="dxa"/>
            <w:shd w:val="clear" w:color="auto" w:fill="F2F2F2"/>
          </w:tcPr>
          <w:p w14:paraId="74304149" w14:textId="77777777" w:rsidR="001A54E6" w:rsidRPr="00912996" w:rsidRDefault="001A54E6" w:rsidP="00394372">
            <w:pPr>
              <w:rPr>
                <w:rFonts w:ascii="Calibri" w:hAnsi="Calibri"/>
                <w:bCs/>
                <w:lang w:eastAsia="ja-JP"/>
              </w:rPr>
            </w:pPr>
            <w:r w:rsidRPr="00573181">
              <w:rPr>
                <w:rFonts w:ascii="Calibri" w:hAnsi="Calibri"/>
                <w:bCs/>
                <w:lang w:eastAsia="ja-JP"/>
              </w:rPr>
              <w:t>400,000</w:t>
            </w:r>
          </w:p>
        </w:tc>
        <w:tc>
          <w:tcPr>
            <w:tcW w:w="1260" w:type="dxa"/>
            <w:shd w:val="clear" w:color="auto" w:fill="F2F2F2"/>
          </w:tcPr>
          <w:p w14:paraId="7A458254" w14:textId="77777777" w:rsidR="001A54E6" w:rsidRPr="00912996" w:rsidRDefault="001A54E6" w:rsidP="00394372">
            <w:pPr>
              <w:rPr>
                <w:rFonts w:ascii="Calibri" w:hAnsi="Calibri"/>
                <w:bCs/>
                <w:lang w:eastAsia="ja-JP"/>
              </w:rPr>
            </w:pPr>
            <w:r w:rsidRPr="00573181">
              <w:rPr>
                <w:rFonts w:ascii="Calibri" w:hAnsi="Calibri"/>
                <w:bCs/>
                <w:lang w:eastAsia="ja-JP"/>
              </w:rPr>
              <w:t>83,334</w:t>
            </w:r>
          </w:p>
        </w:tc>
        <w:tc>
          <w:tcPr>
            <w:tcW w:w="1089" w:type="dxa"/>
            <w:shd w:val="clear" w:color="auto" w:fill="F2F2F2"/>
          </w:tcPr>
          <w:p w14:paraId="57A5D79C" w14:textId="77777777" w:rsidR="001A54E6" w:rsidRPr="00912996" w:rsidRDefault="001A54E6" w:rsidP="00394372">
            <w:pPr>
              <w:rPr>
                <w:rFonts w:ascii="Calibri" w:hAnsi="Calibri"/>
                <w:bCs/>
                <w:lang w:eastAsia="ja-JP"/>
              </w:rPr>
            </w:pPr>
            <w:r w:rsidRPr="00573181">
              <w:rPr>
                <w:rFonts w:ascii="Calibri" w:hAnsi="Calibri"/>
                <w:bCs/>
                <w:lang w:eastAsia="ja-JP"/>
              </w:rPr>
              <w:t>2023</w:t>
            </w:r>
            <w:r>
              <w:rPr>
                <w:rFonts w:ascii="Calibri" w:hAnsi="Calibri"/>
                <w:bCs/>
                <w:lang w:eastAsia="ja-JP"/>
              </w:rPr>
              <w:t xml:space="preserve"> </w:t>
            </w:r>
            <w:r w:rsidRPr="00573181">
              <w:rPr>
                <w:rFonts w:ascii="Calibri" w:hAnsi="Calibri"/>
                <w:bCs/>
                <w:lang w:eastAsia="ja-JP"/>
              </w:rPr>
              <w:t>-           2025</w:t>
            </w:r>
          </w:p>
        </w:tc>
        <w:tc>
          <w:tcPr>
            <w:tcW w:w="1881" w:type="dxa"/>
            <w:shd w:val="clear" w:color="auto" w:fill="F2F2F2"/>
          </w:tcPr>
          <w:p w14:paraId="104D68B2" w14:textId="77777777" w:rsidR="001A54E6" w:rsidRPr="00912996" w:rsidRDefault="001A54E6" w:rsidP="00394372">
            <w:pPr>
              <w:rPr>
                <w:rFonts w:ascii="Calibri" w:hAnsi="Calibri"/>
                <w:bCs/>
                <w:lang w:eastAsia="ja-JP"/>
              </w:rPr>
            </w:pPr>
            <w:r w:rsidRPr="00573181">
              <w:rPr>
                <w:rFonts w:ascii="Calibri" w:hAnsi="Calibri"/>
                <w:bCs/>
                <w:lang w:eastAsia="ja-JP"/>
              </w:rPr>
              <w:t>Bugetul Local</w:t>
            </w:r>
          </w:p>
        </w:tc>
        <w:tc>
          <w:tcPr>
            <w:tcW w:w="1260" w:type="dxa"/>
            <w:shd w:val="clear" w:color="auto" w:fill="F2F2F2"/>
          </w:tcPr>
          <w:p w14:paraId="04B63329" w14:textId="77777777" w:rsidR="001A54E6" w:rsidRPr="00912996" w:rsidRDefault="001A54E6" w:rsidP="00394372">
            <w:pPr>
              <w:rPr>
                <w:rFonts w:ascii="Calibri" w:hAnsi="Calibri"/>
                <w:bCs/>
                <w:lang w:eastAsia="ja-JP"/>
              </w:rPr>
            </w:pPr>
            <w:r w:rsidRPr="00573181">
              <w:rPr>
                <w:rFonts w:ascii="Calibri" w:hAnsi="Calibri"/>
                <w:bCs/>
                <w:lang w:eastAsia="ja-JP"/>
              </w:rPr>
              <w:t>Lista lungă de proiecte</w:t>
            </w:r>
          </w:p>
        </w:tc>
        <w:tc>
          <w:tcPr>
            <w:tcW w:w="1440" w:type="dxa"/>
            <w:shd w:val="clear" w:color="auto" w:fill="F2F2F2"/>
          </w:tcPr>
          <w:p w14:paraId="5CD54BBD" w14:textId="77777777" w:rsidR="001A54E6" w:rsidRPr="00912996" w:rsidRDefault="001A54E6" w:rsidP="00394372">
            <w:pPr>
              <w:rPr>
                <w:rFonts w:ascii="Calibri" w:hAnsi="Calibri"/>
                <w:bCs/>
                <w:lang w:eastAsia="ja-JP"/>
              </w:rPr>
            </w:pPr>
            <w:r w:rsidRPr="00573181">
              <w:rPr>
                <w:rFonts w:ascii="Calibri" w:hAnsi="Calibri"/>
                <w:bCs/>
                <w:lang w:eastAsia="ja-JP"/>
              </w:rPr>
              <w:t>PS2</w:t>
            </w:r>
          </w:p>
        </w:tc>
      </w:tr>
      <w:tr w:rsidR="00AC2FFA" w:rsidRPr="00912996" w14:paraId="102FB256" w14:textId="77777777" w:rsidTr="00E2442E">
        <w:trPr>
          <w:gridAfter w:val="9"/>
          <w:wAfter w:w="15421" w:type="dxa"/>
          <w:trHeight w:val="804"/>
        </w:trPr>
        <w:tc>
          <w:tcPr>
            <w:tcW w:w="625" w:type="dxa"/>
            <w:shd w:val="clear" w:color="auto" w:fill="F2F2F2"/>
            <w:noWrap/>
          </w:tcPr>
          <w:p w14:paraId="6796321C" w14:textId="77777777" w:rsidR="001A54E6" w:rsidRDefault="001A54E6" w:rsidP="00394372">
            <w:pPr>
              <w:rPr>
                <w:rFonts w:ascii="Calibri" w:hAnsi="Calibri"/>
                <w:bCs/>
                <w:lang w:eastAsia="ja-JP"/>
              </w:rPr>
            </w:pPr>
            <w:r>
              <w:rPr>
                <w:rFonts w:ascii="Calibri" w:hAnsi="Calibri"/>
                <w:bCs/>
                <w:lang w:eastAsia="ja-JP"/>
              </w:rPr>
              <w:t>16</w:t>
            </w:r>
          </w:p>
        </w:tc>
        <w:tc>
          <w:tcPr>
            <w:tcW w:w="2250" w:type="dxa"/>
            <w:shd w:val="clear" w:color="auto" w:fill="F2F2F2"/>
          </w:tcPr>
          <w:p w14:paraId="080D3B69" w14:textId="77777777" w:rsidR="001A54E6" w:rsidRPr="00912996" w:rsidRDefault="001A54E6" w:rsidP="00394372">
            <w:pPr>
              <w:rPr>
                <w:rFonts w:ascii="Calibri" w:hAnsi="Calibri"/>
                <w:bCs/>
                <w:lang w:eastAsia="ja-JP"/>
              </w:rPr>
            </w:pPr>
            <w:r w:rsidRPr="006F124D">
              <w:rPr>
                <w:rFonts w:ascii="Calibri" w:hAnsi="Calibri"/>
                <w:bCs/>
                <w:lang w:eastAsia="ja-JP"/>
              </w:rPr>
              <w:t>Servicii de proiectare si execuție  privind reabilitarea termică a blocurilor de locuințe din sectorul 2 – 325 blocuri</w:t>
            </w:r>
          </w:p>
        </w:tc>
        <w:tc>
          <w:tcPr>
            <w:tcW w:w="1530" w:type="dxa"/>
            <w:shd w:val="clear" w:color="auto" w:fill="F2F2F2"/>
          </w:tcPr>
          <w:p w14:paraId="7EACD972" w14:textId="77777777" w:rsidR="001A54E6" w:rsidRPr="006F124D" w:rsidRDefault="001A54E6" w:rsidP="00394372">
            <w:pPr>
              <w:rPr>
                <w:rFonts w:ascii="Calibri" w:hAnsi="Calibri"/>
                <w:bCs/>
                <w:lang w:eastAsia="ja-JP"/>
              </w:rPr>
            </w:pPr>
            <w:r w:rsidRPr="006F124D">
              <w:rPr>
                <w:rFonts w:ascii="Calibri" w:hAnsi="Calibri"/>
                <w:bCs/>
                <w:lang w:eastAsia="ja-JP"/>
              </w:rPr>
              <w:t>PS2, Asociații de proprietari</w:t>
            </w:r>
          </w:p>
          <w:p w14:paraId="481EF45B" w14:textId="77777777" w:rsidR="001A54E6" w:rsidRPr="006F124D" w:rsidRDefault="001A54E6" w:rsidP="00394372">
            <w:pPr>
              <w:rPr>
                <w:rFonts w:ascii="Calibri" w:hAnsi="Calibri"/>
                <w:bCs/>
                <w:lang w:eastAsia="ja-JP"/>
              </w:rPr>
            </w:pPr>
          </w:p>
          <w:p w14:paraId="66913055" w14:textId="77777777" w:rsidR="001A54E6" w:rsidRPr="00912996" w:rsidRDefault="001A54E6" w:rsidP="00394372">
            <w:pPr>
              <w:rPr>
                <w:rFonts w:ascii="Calibri" w:hAnsi="Calibri"/>
                <w:bCs/>
                <w:lang w:eastAsia="ja-JP"/>
              </w:rPr>
            </w:pPr>
          </w:p>
        </w:tc>
        <w:tc>
          <w:tcPr>
            <w:tcW w:w="1620" w:type="dxa"/>
            <w:shd w:val="clear" w:color="auto" w:fill="F2F2F2"/>
          </w:tcPr>
          <w:p w14:paraId="6AF80E95" w14:textId="77777777" w:rsidR="001A54E6" w:rsidRPr="00912996" w:rsidRDefault="001A54E6" w:rsidP="00394372">
            <w:pPr>
              <w:rPr>
                <w:rFonts w:ascii="Calibri" w:hAnsi="Calibri"/>
                <w:bCs/>
                <w:lang w:eastAsia="ja-JP"/>
              </w:rPr>
            </w:pPr>
            <w:r>
              <w:rPr>
                <w:rFonts w:ascii="Calibri" w:hAnsi="Calibri"/>
                <w:bCs/>
                <w:lang w:eastAsia="ja-JP"/>
              </w:rPr>
              <w:t>Î</w:t>
            </w:r>
            <w:r w:rsidRPr="006F124D">
              <w:rPr>
                <w:rFonts w:ascii="Calibri" w:hAnsi="Calibri"/>
                <w:bCs/>
                <w:lang w:eastAsia="ja-JP"/>
              </w:rPr>
              <w:t>n implementare</w:t>
            </w:r>
          </w:p>
        </w:tc>
        <w:tc>
          <w:tcPr>
            <w:tcW w:w="1260" w:type="dxa"/>
            <w:shd w:val="clear" w:color="auto" w:fill="F2F2F2"/>
          </w:tcPr>
          <w:p w14:paraId="495464F0" w14:textId="77777777" w:rsidR="001A54E6" w:rsidRPr="00912996" w:rsidRDefault="001A54E6" w:rsidP="00394372">
            <w:pPr>
              <w:rPr>
                <w:rFonts w:ascii="Calibri" w:hAnsi="Calibri"/>
                <w:bCs/>
                <w:lang w:eastAsia="ja-JP"/>
              </w:rPr>
            </w:pPr>
            <w:r w:rsidRPr="006F124D">
              <w:rPr>
                <w:rFonts w:ascii="Calibri" w:hAnsi="Calibri"/>
                <w:bCs/>
                <w:lang w:eastAsia="ja-JP"/>
              </w:rPr>
              <w:t>834,537,000</w:t>
            </w:r>
          </w:p>
        </w:tc>
        <w:tc>
          <w:tcPr>
            <w:tcW w:w="1260" w:type="dxa"/>
            <w:shd w:val="clear" w:color="auto" w:fill="F2F2F2"/>
          </w:tcPr>
          <w:p w14:paraId="45B119F0" w14:textId="77777777" w:rsidR="001A54E6" w:rsidRPr="00912996" w:rsidRDefault="001A54E6" w:rsidP="00394372">
            <w:pPr>
              <w:rPr>
                <w:rFonts w:ascii="Calibri" w:hAnsi="Calibri"/>
                <w:bCs/>
                <w:lang w:eastAsia="ja-JP"/>
              </w:rPr>
            </w:pPr>
            <w:r w:rsidRPr="006F124D">
              <w:rPr>
                <w:rFonts w:ascii="Calibri" w:hAnsi="Calibri"/>
                <w:bCs/>
                <w:lang w:eastAsia="ja-JP"/>
              </w:rPr>
              <w:t>173,861,875</w:t>
            </w:r>
          </w:p>
        </w:tc>
        <w:tc>
          <w:tcPr>
            <w:tcW w:w="1089" w:type="dxa"/>
            <w:shd w:val="clear" w:color="auto" w:fill="F2F2F2"/>
          </w:tcPr>
          <w:p w14:paraId="363CE25B" w14:textId="77777777" w:rsidR="001A54E6" w:rsidRPr="00912996" w:rsidRDefault="001A54E6" w:rsidP="00394372">
            <w:pPr>
              <w:rPr>
                <w:rFonts w:ascii="Calibri" w:hAnsi="Calibri"/>
                <w:bCs/>
                <w:lang w:eastAsia="ja-JP"/>
              </w:rPr>
            </w:pPr>
            <w:r w:rsidRPr="006F124D">
              <w:rPr>
                <w:rFonts w:ascii="Calibri" w:hAnsi="Calibri"/>
                <w:bCs/>
                <w:lang w:eastAsia="ja-JP"/>
              </w:rPr>
              <w:t>2023</w:t>
            </w:r>
            <w:r>
              <w:rPr>
                <w:rFonts w:ascii="Calibri" w:hAnsi="Calibri"/>
                <w:bCs/>
                <w:lang w:eastAsia="ja-JP"/>
              </w:rPr>
              <w:t xml:space="preserve"> </w:t>
            </w:r>
            <w:r w:rsidRPr="006F124D">
              <w:rPr>
                <w:rFonts w:ascii="Calibri" w:hAnsi="Calibri"/>
                <w:bCs/>
                <w:lang w:eastAsia="ja-JP"/>
              </w:rPr>
              <w:t xml:space="preserve">-         2025          </w:t>
            </w:r>
          </w:p>
        </w:tc>
        <w:tc>
          <w:tcPr>
            <w:tcW w:w="1881" w:type="dxa"/>
            <w:shd w:val="clear" w:color="auto" w:fill="F2F2F2"/>
          </w:tcPr>
          <w:p w14:paraId="58C4928D" w14:textId="77777777" w:rsidR="001A54E6" w:rsidRPr="00912996" w:rsidRDefault="001A54E6" w:rsidP="00394372">
            <w:pPr>
              <w:rPr>
                <w:rFonts w:ascii="Calibri" w:hAnsi="Calibri"/>
                <w:bCs/>
                <w:lang w:eastAsia="ja-JP"/>
              </w:rPr>
            </w:pPr>
            <w:r w:rsidRPr="006F124D">
              <w:rPr>
                <w:rFonts w:ascii="Calibri" w:hAnsi="Calibri"/>
                <w:bCs/>
                <w:lang w:eastAsia="ja-JP"/>
              </w:rPr>
              <w:t>Bugetul Local</w:t>
            </w:r>
          </w:p>
        </w:tc>
        <w:tc>
          <w:tcPr>
            <w:tcW w:w="1260" w:type="dxa"/>
            <w:shd w:val="clear" w:color="auto" w:fill="F2F2F2"/>
          </w:tcPr>
          <w:p w14:paraId="08370EBB" w14:textId="77777777" w:rsidR="001A54E6" w:rsidRPr="00912996" w:rsidRDefault="001A54E6" w:rsidP="00394372">
            <w:pPr>
              <w:rPr>
                <w:rFonts w:ascii="Calibri" w:hAnsi="Calibri"/>
                <w:bCs/>
                <w:lang w:eastAsia="ja-JP"/>
              </w:rPr>
            </w:pPr>
            <w:r w:rsidRPr="006F124D">
              <w:rPr>
                <w:rFonts w:ascii="Calibri" w:hAnsi="Calibri"/>
                <w:bCs/>
                <w:lang w:eastAsia="ja-JP"/>
              </w:rPr>
              <w:t>Lista lungă de proiecte</w:t>
            </w:r>
          </w:p>
        </w:tc>
        <w:tc>
          <w:tcPr>
            <w:tcW w:w="1440" w:type="dxa"/>
            <w:shd w:val="clear" w:color="auto" w:fill="F2F2F2"/>
          </w:tcPr>
          <w:p w14:paraId="433CD7CD" w14:textId="77777777" w:rsidR="001A54E6" w:rsidRPr="00912996" w:rsidRDefault="001A54E6" w:rsidP="00394372">
            <w:pPr>
              <w:rPr>
                <w:rFonts w:ascii="Calibri" w:hAnsi="Calibri"/>
                <w:bCs/>
                <w:lang w:eastAsia="ja-JP"/>
              </w:rPr>
            </w:pPr>
            <w:r w:rsidRPr="006F124D">
              <w:rPr>
                <w:rFonts w:ascii="Calibri" w:hAnsi="Calibri"/>
                <w:bCs/>
                <w:lang w:eastAsia="ja-JP"/>
              </w:rPr>
              <w:t>PS2</w:t>
            </w:r>
          </w:p>
        </w:tc>
      </w:tr>
      <w:tr w:rsidR="001A54E6" w:rsidRPr="00912996" w14:paraId="7955675C" w14:textId="77777777" w:rsidTr="00AC2FFA">
        <w:trPr>
          <w:gridAfter w:val="9"/>
          <w:wAfter w:w="15421" w:type="dxa"/>
          <w:trHeight w:val="276"/>
        </w:trPr>
        <w:tc>
          <w:tcPr>
            <w:tcW w:w="14215" w:type="dxa"/>
            <w:gridSpan w:val="10"/>
            <w:shd w:val="clear" w:color="auto" w:fill="BBD9A0"/>
            <w:noWrap/>
            <w:hideMark/>
          </w:tcPr>
          <w:p w14:paraId="10D93F13" w14:textId="77777777" w:rsidR="001A54E6" w:rsidRPr="00912996" w:rsidRDefault="001A54E6" w:rsidP="00394372">
            <w:pPr>
              <w:jc w:val="center"/>
              <w:rPr>
                <w:rFonts w:ascii="Calibri" w:hAnsi="Calibri"/>
                <w:b/>
                <w:bCs/>
                <w:lang w:eastAsia="ja-JP"/>
              </w:rPr>
            </w:pPr>
            <w:r w:rsidRPr="00912996">
              <w:rPr>
                <w:rFonts w:ascii="Calibri" w:hAnsi="Calibri"/>
                <w:b/>
                <w:bCs/>
                <w:color w:val="FFFFFF"/>
                <w:lang w:eastAsia="ja-JP"/>
              </w:rPr>
              <w:t>D3.1.2. Modernizarea infrastructurii energetice</w:t>
            </w:r>
          </w:p>
        </w:tc>
      </w:tr>
      <w:tr w:rsidR="00AC2FFA" w:rsidRPr="00912996" w14:paraId="374F21F6" w14:textId="77777777" w:rsidTr="00E2442E">
        <w:trPr>
          <w:gridAfter w:val="9"/>
          <w:wAfter w:w="15421" w:type="dxa"/>
          <w:trHeight w:val="804"/>
        </w:trPr>
        <w:tc>
          <w:tcPr>
            <w:tcW w:w="625" w:type="dxa"/>
            <w:shd w:val="clear" w:color="auto" w:fill="F2F2F2"/>
            <w:noWrap/>
            <w:hideMark/>
          </w:tcPr>
          <w:p w14:paraId="5C6B1BBF"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14145AD0" w14:textId="77777777" w:rsidR="001A54E6" w:rsidRPr="00912996" w:rsidRDefault="001A54E6" w:rsidP="00394372">
            <w:pPr>
              <w:rPr>
                <w:rFonts w:ascii="Calibri" w:hAnsi="Calibri"/>
                <w:bCs/>
                <w:lang w:eastAsia="ja-JP"/>
              </w:rPr>
            </w:pPr>
            <w:r w:rsidRPr="00912996">
              <w:rPr>
                <w:rFonts w:ascii="Calibri" w:hAnsi="Calibri"/>
                <w:bCs/>
                <w:lang w:eastAsia="ja-JP"/>
              </w:rPr>
              <w:t>Proiect demonstrativ – implementare distribuție inteligentă a energiei electrice într-o zonă de locuințe colective</w:t>
            </w:r>
          </w:p>
        </w:tc>
        <w:tc>
          <w:tcPr>
            <w:tcW w:w="1530" w:type="dxa"/>
            <w:shd w:val="clear" w:color="auto" w:fill="F2F2F2"/>
            <w:hideMark/>
          </w:tcPr>
          <w:p w14:paraId="6BEC8AAB" w14:textId="77777777" w:rsidR="001A54E6" w:rsidRPr="00912996" w:rsidRDefault="001A54E6" w:rsidP="00394372">
            <w:pPr>
              <w:rPr>
                <w:rFonts w:ascii="Calibri" w:hAnsi="Calibri"/>
                <w:bCs/>
                <w:lang w:eastAsia="ja-JP"/>
              </w:rPr>
            </w:pPr>
            <w:r w:rsidRPr="00912996">
              <w:rPr>
                <w:rFonts w:ascii="Calibri" w:hAnsi="Calibri"/>
                <w:bCs/>
                <w:lang w:eastAsia="ja-JP"/>
              </w:rPr>
              <w:t>PS2, E-Distribuție Muntenia</w:t>
            </w:r>
          </w:p>
        </w:tc>
        <w:tc>
          <w:tcPr>
            <w:tcW w:w="1620" w:type="dxa"/>
            <w:shd w:val="clear" w:color="auto" w:fill="F2F2F2"/>
            <w:noWrap/>
            <w:hideMark/>
          </w:tcPr>
          <w:p w14:paraId="6C90A94C"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4BBA719" w14:textId="77777777" w:rsidR="001A54E6" w:rsidRPr="00912996" w:rsidRDefault="001A54E6" w:rsidP="00394372">
            <w:pPr>
              <w:rPr>
                <w:rFonts w:ascii="Calibri" w:hAnsi="Calibri"/>
                <w:bCs/>
                <w:lang w:eastAsia="ja-JP"/>
              </w:rPr>
            </w:pPr>
            <w:r w:rsidRPr="00912996">
              <w:rPr>
                <w:rFonts w:ascii="Calibri" w:hAnsi="Calibri"/>
                <w:bCs/>
                <w:lang w:eastAsia="ja-JP"/>
              </w:rPr>
              <w:t>12,250,000</w:t>
            </w:r>
          </w:p>
        </w:tc>
        <w:tc>
          <w:tcPr>
            <w:tcW w:w="1260" w:type="dxa"/>
            <w:shd w:val="clear" w:color="auto" w:fill="F2F2F2"/>
            <w:noWrap/>
            <w:hideMark/>
          </w:tcPr>
          <w:p w14:paraId="2E061F82" w14:textId="77777777" w:rsidR="001A54E6" w:rsidRPr="00912996" w:rsidRDefault="001A54E6" w:rsidP="00394372">
            <w:pPr>
              <w:rPr>
                <w:rFonts w:ascii="Calibri" w:hAnsi="Calibri"/>
                <w:bCs/>
                <w:lang w:eastAsia="ja-JP"/>
              </w:rPr>
            </w:pPr>
            <w:r w:rsidRPr="00912996">
              <w:rPr>
                <w:rFonts w:ascii="Calibri" w:hAnsi="Calibri"/>
                <w:bCs/>
                <w:lang w:eastAsia="ja-JP"/>
              </w:rPr>
              <w:t>2,500,000</w:t>
            </w:r>
          </w:p>
        </w:tc>
        <w:tc>
          <w:tcPr>
            <w:tcW w:w="1089" w:type="dxa"/>
            <w:shd w:val="clear" w:color="auto" w:fill="F2F2F2"/>
            <w:noWrap/>
            <w:hideMark/>
          </w:tcPr>
          <w:p w14:paraId="3BF38542" w14:textId="77777777" w:rsidR="001A54E6" w:rsidRPr="00912996" w:rsidRDefault="001A54E6" w:rsidP="00394372">
            <w:pPr>
              <w:rPr>
                <w:rFonts w:ascii="Calibri" w:hAnsi="Calibri"/>
                <w:bCs/>
                <w:lang w:eastAsia="ja-JP"/>
              </w:rPr>
            </w:pPr>
            <w:r w:rsidRPr="00912996">
              <w:rPr>
                <w:rFonts w:ascii="Calibri" w:hAnsi="Calibri"/>
                <w:bCs/>
                <w:lang w:eastAsia="ja-JP"/>
              </w:rPr>
              <w:t>2023 - 2030</w:t>
            </w:r>
          </w:p>
        </w:tc>
        <w:tc>
          <w:tcPr>
            <w:tcW w:w="1881" w:type="dxa"/>
            <w:shd w:val="clear" w:color="auto" w:fill="F2F2F2"/>
            <w:hideMark/>
          </w:tcPr>
          <w:p w14:paraId="084C1650" w14:textId="75C2AB31"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6A00ACAA"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36ECD90A" w14:textId="77777777" w:rsidR="001A54E6" w:rsidRPr="00912996" w:rsidRDefault="001A54E6" w:rsidP="00394372">
            <w:pPr>
              <w:rPr>
                <w:rFonts w:ascii="Calibri" w:hAnsi="Calibri"/>
                <w:bCs/>
                <w:lang w:eastAsia="ja-JP"/>
              </w:rPr>
            </w:pPr>
            <w:r>
              <w:rPr>
                <w:rFonts w:ascii="Calibri" w:hAnsi="Calibri"/>
                <w:bCs/>
                <w:lang w:eastAsia="ja-JP"/>
              </w:rPr>
              <w:t>N/A</w:t>
            </w:r>
          </w:p>
        </w:tc>
      </w:tr>
      <w:tr w:rsidR="00AC2FFA" w:rsidRPr="00912996" w14:paraId="0DCA00F5" w14:textId="77777777" w:rsidTr="00E2442E">
        <w:trPr>
          <w:gridAfter w:val="9"/>
          <w:wAfter w:w="15421" w:type="dxa"/>
          <w:trHeight w:val="540"/>
        </w:trPr>
        <w:tc>
          <w:tcPr>
            <w:tcW w:w="625" w:type="dxa"/>
            <w:shd w:val="clear" w:color="auto" w:fill="F2F2F2"/>
            <w:noWrap/>
            <w:hideMark/>
          </w:tcPr>
          <w:p w14:paraId="71D69F39"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51A74B23" w14:textId="77777777" w:rsidR="001A54E6" w:rsidRPr="00912996" w:rsidRDefault="001A54E6" w:rsidP="00394372">
            <w:pPr>
              <w:rPr>
                <w:rFonts w:ascii="Calibri" w:hAnsi="Calibri"/>
                <w:bCs/>
                <w:lang w:eastAsia="ja-JP"/>
              </w:rPr>
            </w:pPr>
            <w:r w:rsidRPr="00912996">
              <w:rPr>
                <w:rFonts w:ascii="Calibri" w:hAnsi="Calibri"/>
                <w:bCs/>
                <w:lang w:eastAsia="ja-JP"/>
              </w:rPr>
              <w:t>Modernizarea stației 110/20/10 kV Obor</w:t>
            </w:r>
          </w:p>
        </w:tc>
        <w:tc>
          <w:tcPr>
            <w:tcW w:w="1530" w:type="dxa"/>
            <w:shd w:val="clear" w:color="auto" w:fill="F2F2F2"/>
            <w:hideMark/>
          </w:tcPr>
          <w:p w14:paraId="19FA5A41" w14:textId="77777777" w:rsidR="001A54E6" w:rsidRPr="00912996" w:rsidRDefault="001A54E6" w:rsidP="00394372">
            <w:pPr>
              <w:rPr>
                <w:rFonts w:ascii="Calibri" w:hAnsi="Calibri"/>
                <w:bCs/>
                <w:lang w:eastAsia="ja-JP"/>
              </w:rPr>
            </w:pPr>
            <w:r w:rsidRPr="00912996">
              <w:rPr>
                <w:rFonts w:ascii="Calibri" w:hAnsi="Calibri"/>
                <w:bCs/>
                <w:lang w:eastAsia="ja-JP"/>
              </w:rPr>
              <w:t>E-Distribuție Muntenia</w:t>
            </w:r>
          </w:p>
        </w:tc>
        <w:tc>
          <w:tcPr>
            <w:tcW w:w="1620" w:type="dxa"/>
            <w:shd w:val="clear" w:color="auto" w:fill="F2F2F2"/>
            <w:noWrap/>
            <w:hideMark/>
          </w:tcPr>
          <w:p w14:paraId="34652F9A"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28E0056E" w14:textId="77777777" w:rsidR="001A54E6" w:rsidRPr="00912996" w:rsidRDefault="001A54E6" w:rsidP="00394372">
            <w:pPr>
              <w:rPr>
                <w:rFonts w:ascii="Calibri" w:hAnsi="Calibri"/>
                <w:bCs/>
                <w:lang w:eastAsia="ja-JP"/>
              </w:rPr>
            </w:pPr>
            <w:r w:rsidRPr="00912996">
              <w:rPr>
                <w:rFonts w:ascii="Calibri" w:hAnsi="Calibri"/>
                <w:bCs/>
                <w:lang w:eastAsia="ja-JP"/>
              </w:rPr>
              <w:t>Conform program investiții E-Distribuție Muntenia</w:t>
            </w:r>
          </w:p>
        </w:tc>
        <w:tc>
          <w:tcPr>
            <w:tcW w:w="1260" w:type="dxa"/>
            <w:shd w:val="clear" w:color="auto" w:fill="F2F2F2"/>
            <w:noWrap/>
            <w:hideMark/>
          </w:tcPr>
          <w:p w14:paraId="353D28AD" w14:textId="77777777" w:rsidR="001A54E6" w:rsidRPr="00912996" w:rsidRDefault="001A54E6" w:rsidP="00394372">
            <w:pPr>
              <w:rPr>
                <w:rFonts w:ascii="Calibri" w:hAnsi="Calibri"/>
                <w:bCs/>
                <w:lang w:eastAsia="ja-JP"/>
              </w:rPr>
            </w:pPr>
            <w:r w:rsidRPr="00912996">
              <w:rPr>
                <w:rFonts w:ascii="Calibri" w:hAnsi="Calibri"/>
                <w:bCs/>
                <w:lang w:eastAsia="ja-JP"/>
              </w:rPr>
              <w:t>Conform program investiții E-Distribuție Muntenia</w:t>
            </w:r>
          </w:p>
        </w:tc>
        <w:tc>
          <w:tcPr>
            <w:tcW w:w="1089" w:type="dxa"/>
            <w:shd w:val="clear" w:color="auto" w:fill="F2F2F2"/>
            <w:noWrap/>
            <w:hideMark/>
          </w:tcPr>
          <w:p w14:paraId="064E34EA" w14:textId="77777777" w:rsidR="001A54E6" w:rsidRPr="00912996" w:rsidRDefault="001A54E6" w:rsidP="00394372">
            <w:pPr>
              <w:rPr>
                <w:rFonts w:ascii="Calibri" w:hAnsi="Calibri"/>
                <w:bCs/>
                <w:lang w:eastAsia="ja-JP"/>
              </w:rPr>
            </w:pPr>
            <w:r w:rsidRPr="00912996">
              <w:rPr>
                <w:rFonts w:ascii="Calibri" w:hAnsi="Calibri"/>
                <w:bCs/>
                <w:lang w:eastAsia="ja-JP"/>
              </w:rPr>
              <w:t>2019 - 2023</w:t>
            </w:r>
          </w:p>
        </w:tc>
        <w:tc>
          <w:tcPr>
            <w:tcW w:w="1881" w:type="dxa"/>
            <w:shd w:val="clear" w:color="auto" w:fill="F2F2F2"/>
            <w:hideMark/>
          </w:tcPr>
          <w:p w14:paraId="0150B41A" w14:textId="77777777" w:rsidR="001A54E6" w:rsidRPr="00912996" w:rsidRDefault="001A54E6" w:rsidP="00394372">
            <w:pPr>
              <w:rPr>
                <w:rFonts w:ascii="Calibri" w:hAnsi="Calibri"/>
                <w:bCs/>
                <w:lang w:eastAsia="ja-JP"/>
              </w:rPr>
            </w:pPr>
            <w:r w:rsidRPr="00912996">
              <w:rPr>
                <w:rFonts w:ascii="Calibri" w:hAnsi="Calibri"/>
                <w:bCs/>
                <w:lang w:eastAsia="ja-JP"/>
              </w:rPr>
              <w:t>Bugetul de stat</w:t>
            </w:r>
          </w:p>
        </w:tc>
        <w:tc>
          <w:tcPr>
            <w:tcW w:w="1260" w:type="dxa"/>
            <w:shd w:val="clear" w:color="auto" w:fill="F2F2F2"/>
            <w:hideMark/>
          </w:tcPr>
          <w:p w14:paraId="1019FAA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4FB27F49" w14:textId="77777777" w:rsidR="001A54E6" w:rsidRPr="00912996" w:rsidRDefault="001A54E6" w:rsidP="00394372">
            <w:pPr>
              <w:rPr>
                <w:rFonts w:ascii="Calibri" w:hAnsi="Calibri"/>
                <w:bCs/>
                <w:lang w:eastAsia="ja-JP"/>
              </w:rPr>
            </w:pPr>
            <w:r w:rsidRPr="00912996">
              <w:rPr>
                <w:rFonts w:ascii="Calibri" w:hAnsi="Calibri"/>
                <w:bCs/>
                <w:lang w:eastAsia="ja-JP"/>
              </w:rPr>
              <w:t>E-Distribuție Muntenia</w:t>
            </w:r>
          </w:p>
        </w:tc>
      </w:tr>
      <w:tr w:rsidR="00AC2FFA" w:rsidRPr="00912996" w14:paraId="3D5D926F" w14:textId="77777777" w:rsidTr="00E2442E">
        <w:trPr>
          <w:gridAfter w:val="9"/>
          <w:wAfter w:w="15421" w:type="dxa"/>
          <w:trHeight w:val="540"/>
        </w:trPr>
        <w:tc>
          <w:tcPr>
            <w:tcW w:w="625" w:type="dxa"/>
            <w:shd w:val="clear" w:color="auto" w:fill="F2F2F2"/>
            <w:noWrap/>
            <w:hideMark/>
          </w:tcPr>
          <w:p w14:paraId="19936251"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462F7074" w14:textId="77777777" w:rsidR="001A54E6" w:rsidRPr="00912996" w:rsidRDefault="001A54E6" w:rsidP="00394372">
            <w:pPr>
              <w:rPr>
                <w:rFonts w:ascii="Calibri" w:hAnsi="Calibri"/>
                <w:bCs/>
                <w:lang w:eastAsia="ja-JP"/>
              </w:rPr>
            </w:pPr>
            <w:r w:rsidRPr="00912996">
              <w:rPr>
                <w:rFonts w:ascii="Calibri" w:hAnsi="Calibri"/>
                <w:bCs/>
                <w:lang w:eastAsia="ja-JP"/>
              </w:rPr>
              <w:t>Înlocuirea LES 110 kV Fundeni - Pipera 2</w:t>
            </w:r>
          </w:p>
        </w:tc>
        <w:tc>
          <w:tcPr>
            <w:tcW w:w="1530" w:type="dxa"/>
            <w:shd w:val="clear" w:color="auto" w:fill="F2F2F2"/>
            <w:hideMark/>
          </w:tcPr>
          <w:p w14:paraId="24F9E05E" w14:textId="77777777" w:rsidR="001A54E6" w:rsidRPr="00912996" w:rsidRDefault="001A54E6" w:rsidP="00394372">
            <w:pPr>
              <w:rPr>
                <w:rFonts w:ascii="Calibri" w:hAnsi="Calibri"/>
                <w:bCs/>
                <w:lang w:eastAsia="ja-JP"/>
              </w:rPr>
            </w:pPr>
            <w:r w:rsidRPr="00912996">
              <w:rPr>
                <w:rFonts w:ascii="Calibri" w:hAnsi="Calibri"/>
                <w:bCs/>
                <w:lang w:eastAsia="ja-JP"/>
              </w:rPr>
              <w:t>E-Distribuție Muntenia</w:t>
            </w:r>
          </w:p>
        </w:tc>
        <w:tc>
          <w:tcPr>
            <w:tcW w:w="1620" w:type="dxa"/>
            <w:shd w:val="clear" w:color="auto" w:fill="F2F2F2"/>
            <w:noWrap/>
            <w:hideMark/>
          </w:tcPr>
          <w:p w14:paraId="212141E7"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13EA06E6" w14:textId="77777777" w:rsidR="001A54E6" w:rsidRPr="00912996" w:rsidRDefault="001A54E6" w:rsidP="00394372">
            <w:pPr>
              <w:rPr>
                <w:rFonts w:ascii="Calibri" w:hAnsi="Calibri"/>
                <w:bCs/>
                <w:lang w:eastAsia="ja-JP"/>
              </w:rPr>
            </w:pPr>
            <w:r w:rsidRPr="00912996">
              <w:rPr>
                <w:rFonts w:ascii="Calibri" w:hAnsi="Calibri"/>
                <w:bCs/>
                <w:lang w:eastAsia="ja-JP"/>
              </w:rPr>
              <w:t>Conform program investiții E-Distribuție Muntenia</w:t>
            </w:r>
          </w:p>
        </w:tc>
        <w:tc>
          <w:tcPr>
            <w:tcW w:w="1260" w:type="dxa"/>
            <w:shd w:val="clear" w:color="auto" w:fill="F2F2F2"/>
            <w:noWrap/>
            <w:hideMark/>
          </w:tcPr>
          <w:p w14:paraId="14176014" w14:textId="77777777" w:rsidR="001A54E6" w:rsidRPr="00912996" w:rsidRDefault="001A54E6" w:rsidP="00394372">
            <w:pPr>
              <w:rPr>
                <w:rFonts w:ascii="Calibri" w:hAnsi="Calibri"/>
                <w:bCs/>
                <w:lang w:eastAsia="ja-JP"/>
              </w:rPr>
            </w:pPr>
            <w:r w:rsidRPr="00912996">
              <w:rPr>
                <w:rFonts w:ascii="Calibri" w:hAnsi="Calibri"/>
                <w:bCs/>
                <w:lang w:eastAsia="ja-JP"/>
              </w:rPr>
              <w:t>Conform program investiții E-Distribuție Muntenia</w:t>
            </w:r>
          </w:p>
        </w:tc>
        <w:tc>
          <w:tcPr>
            <w:tcW w:w="1089" w:type="dxa"/>
            <w:shd w:val="clear" w:color="auto" w:fill="F2F2F2"/>
            <w:noWrap/>
            <w:hideMark/>
          </w:tcPr>
          <w:p w14:paraId="5FCD8D6B" w14:textId="77777777" w:rsidR="001A54E6" w:rsidRPr="00912996" w:rsidRDefault="001A54E6" w:rsidP="00394372">
            <w:pPr>
              <w:rPr>
                <w:rFonts w:ascii="Calibri" w:hAnsi="Calibri"/>
                <w:bCs/>
                <w:lang w:eastAsia="ja-JP"/>
              </w:rPr>
            </w:pPr>
            <w:r w:rsidRPr="00912996">
              <w:rPr>
                <w:rFonts w:ascii="Calibri" w:hAnsi="Calibri"/>
                <w:bCs/>
                <w:lang w:eastAsia="ja-JP"/>
              </w:rPr>
              <w:t>2019 - 2023</w:t>
            </w:r>
          </w:p>
        </w:tc>
        <w:tc>
          <w:tcPr>
            <w:tcW w:w="1881" w:type="dxa"/>
            <w:shd w:val="clear" w:color="auto" w:fill="F2F2F2"/>
            <w:hideMark/>
          </w:tcPr>
          <w:p w14:paraId="6BB73DE0" w14:textId="77777777" w:rsidR="001A54E6" w:rsidRPr="00912996" w:rsidRDefault="001A54E6" w:rsidP="00394372">
            <w:pPr>
              <w:rPr>
                <w:rFonts w:ascii="Calibri" w:hAnsi="Calibri"/>
                <w:bCs/>
                <w:lang w:eastAsia="ja-JP"/>
              </w:rPr>
            </w:pPr>
            <w:r w:rsidRPr="00912996">
              <w:rPr>
                <w:rFonts w:ascii="Calibri" w:hAnsi="Calibri"/>
                <w:bCs/>
                <w:lang w:eastAsia="ja-JP"/>
              </w:rPr>
              <w:t>Bugetul de stat</w:t>
            </w:r>
          </w:p>
        </w:tc>
        <w:tc>
          <w:tcPr>
            <w:tcW w:w="1260" w:type="dxa"/>
            <w:shd w:val="clear" w:color="auto" w:fill="F2F2F2"/>
            <w:hideMark/>
          </w:tcPr>
          <w:p w14:paraId="6FCDABD0"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40454B11" w14:textId="77777777" w:rsidR="001A54E6" w:rsidRPr="00912996" w:rsidRDefault="001A54E6" w:rsidP="00394372">
            <w:pPr>
              <w:rPr>
                <w:rFonts w:ascii="Calibri" w:hAnsi="Calibri"/>
                <w:bCs/>
                <w:lang w:eastAsia="ja-JP"/>
              </w:rPr>
            </w:pPr>
            <w:r w:rsidRPr="00912996">
              <w:rPr>
                <w:rFonts w:ascii="Calibri" w:hAnsi="Calibri"/>
                <w:bCs/>
                <w:lang w:eastAsia="ja-JP"/>
              </w:rPr>
              <w:t>E-Distribuție Muntenia</w:t>
            </w:r>
          </w:p>
        </w:tc>
      </w:tr>
      <w:tr w:rsidR="00AC2FFA" w:rsidRPr="00912996" w14:paraId="6FCF9FA1" w14:textId="77777777" w:rsidTr="00E2442E">
        <w:trPr>
          <w:gridAfter w:val="9"/>
          <w:wAfter w:w="15421" w:type="dxa"/>
          <w:trHeight w:val="540"/>
        </w:trPr>
        <w:tc>
          <w:tcPr>
            <w:tcW w:w="625" w:type="dxa"/>
            <w:shd w:val="clear" w:color="auto" w:fill="F2F2F2"/>
            <w:noWrap/>
            <w:hideMark/>
          </w:tcPr>
          <w:p w14:paraId="49C77C33"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04F47C22" w14:textId="77777777" w:rsidR="001A54E6" w:rsidRPr="00912996" w:rsidRDefault="001A54E6" w:rsidP="00394372">
            <w:pPr>
              <w:rPr>
                <w:rFonts w:ascii="Calibri" w:hAnsi="Calibri"/>
                <w:bCs/>
                <w:lang w:eastAsia="ja-JP"/>
              </w:rPr>
            </w:pPr>
            <w:r w:rsidRPr="00912996">
              <w:rPr>
                <w:rFonts w:ascii="Calibri" w:hAnsi="Calibri"/>
                <w:bCs/>
                <w:lang w:eastAsia="ja-JP"/>
              </w:rPr>
              <w:t>Retehnologizarea posturilor de transformare și a liniilor de medie tensiune</w:t>
            </w:r>
          </w:p>
        </w:tc>
        <w:tc>
          <w:tcPr>
            <w:tcW w:w="1530" w:type="dxa"/>
            <w:shd w:val="clear" w:color="auto" w:fill="F2F2F2"/>
            <w:hideMark/>
          </w:tcPr>
          <w:p w14:paraId="324AE265" w14:textId="77777777" w:rsidR="001A54E6" w:rsidRPr="00912996" w:rsidRDefault="001A54E6" w:rsidP="00394372">
            <w:pPr>
              <w:rPr>
                <w:rFonts w:ascii="Calibri" w:hAnsi="Calibri"/>
                <w:bCs/>
                <w:lang w:eastAsia="ja-JP"/>
              </w:rPr>
            </w:pPr>
            <w:r w:rsidRPr="00912996">
              <w:rPr>
                <w:rFonts w:ascii="Calibri" w:hAnsi="Calibri"/>
                <w:bCs/>
                <w:lang w:eastAsia="ja-JP"/>
              </w:rPr>
              <w:t>E-Distribuție Muntenia</w:t>
            </w:r>
          </w:p>
        </w:tc>
        <w:tc>
          <w:tcPr>
            <w:tcW w:w="1620" w:type="dxa"/>
            <w:shd w:val="clear" w:color="auto" w:fill="F2F2F2"/>
            <w:noWrap/>
            <w:hideMark/>
          </w:tcPr>
          <w:p w14:paraId="7DDBFF73"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7BE3D8E8" w14:textId="77777777" w:rsidR="001A54E6" w:rsidRPr="00912996" w:rsidRDefault="001A54E6" w:rsidP="00394372">
            <w:pPr>
              <w:rPr>
                <w:rFonts w:ascii="Calibri" w:hAnsi="Calibri"/>
                <w:bCs/>
                <w:lang w:eastAsia="ja-JP"/>
              </w:rPr>
            </w:pPr>
            <w:r w:rsidRPr="00912996">
              <w:rPr>
                <w:rFonts w:ascii="Calibri" w:hAnsi="Calibri"/>
                <w:bCs/>
                <w:lang w:eastAsia="ja-JP"/>
              </w:rPr>
              <w:t>Conform program investiții E-Distribuție Muntenia</w:t>
            </w:r>
          </w:p>
        </w:tc>
        <w:tc>
          <w:tcPr>
            <w:tcW w:w="1260" w:type="dxa"/>
            <w:shd w:val="clear" w:color="auto" w:fill="F2F2F2"/>
            <w:noWrap/>
            <w:hideMark/>
          </w:tcPr>
          <w:p w14:paraId="6F053F7A" w14:textId="77777777" w:rsidR="001A54E6" w:rsidRPr="00912996" w:rsidRDefault="001A54E6" w:rsidP="00394372">
            <w:pPr>
              <w:rPr>
                <w:rFonts w:ascii="Calibri" w:hAnsi="Calibri"/>
                <w:bCs/>
                <w:lang w:eastAsia="ja-JP"/>
              </w:rPr>
            </w:pPr>
            <w:r w:rsidRPr="00912996">
              <w:rPr>
                <w:rFonts w:ascii="Calibri" w:hAnsi="Calibri"/>
                <w:bCs/>
                <w:lang w:eastAsia="ja-JP"/>
              </w:rPr>
              <w:t>Conform program investiții E-Distribuție Muntenia</w:t>
            </w:r>
          </w:p>
        </w:tc>
        <w:tc>
          <w:tcPr>
            <w:tcW w:w="1089" w:type="dxa"/>
            <w:shd w:val="clear" w:color="auto" w:fill="F2F2F2"/>
            <w:noWrap/>
            <w:hideMark/>
          </w:tcPr>
          <w:p w14:paraId="37612D9F" w14:textId="77777777" w:rsidR="001A54E6" w:rsidRPr="00912996" w:rsidRDefault="001A54E6" w:rsidP="00394372">
            <w:pPr>
              <w:rPr>
                <w:rFonts w:ascii="Calibri" w:hAnsi="Calibri"/>
                <w:bCs/>
                <w:lang w:eastAsia="ja-JP"/>
              </w:rPr>
            </w:pPr>
            <w:r w:rsidRPr="00912996">
              <w:rPr>
                <w:rFonts w:ascii="Calibri" w:hAnsi="Calibri"/>
                <w:bCs/>
                <w:lang w:eastAsia="ja-JP"/>
              </w:rPr>
              <w:t>2019 - 2023</w:t>
            </w:r>
          </w:p>
        </w:tc>
        <w:tc>
          <w:tcPr>
            <w:tcW w:w="1881" w:type="dxa"/>
            <w:shd w:val="clear" w:color="auto" w:fill="F2F2F2"/>
            <w:hideMark/>
          </w:tcPr>
          <w:p w14:paraId="262001CF" w14:textId="77777777" w:rsidR="001A54E6" w:rsidRPr="00912996" w:rsidRDefault="001A54E6" w:rsidP="00394372">
            <w:pPr>
              <w:rPr>
                <w:rFonts w:ascii="Calibri" w:hAnsi="Calibri"/>
                <w:bCs/>
                <w:lang w:eastAsia="ja-JP"/>
              </w:rPr>
            </w:pPr>
            <w:r w:rsidRPr="00912996">
              <w:rPr>
                <w:rFonts w:ascii="Calibri" w:hAnsi="Calibri"/>
                <w:bCs/>
                <w:lang w:eastAsia="ja-JP"/>
              </w:rPr>
              <w:t>Bugetul de stat</w:t>
            </w:r>
          </w:p>
        </w:tc>
        <w:tc>
          <w:tcPr>
            <w:tcW w:w="1260" w:type="dxa"/>
            <w:shd w:val="clear" w:color="auto" w:fill="F2F2F2"/>
            <w:hideMark/>
          </w:tcPr>
          <w:p w14:paraId="34F21BE5"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4724F4C9" w14:textId="77777777" w:rsidR="001A54E6" w:rsidRPr="00912996" w:rsidRDefault="001A54E6" w:rsidP="00394372">
            <w:pPr>
              <w:rPr>
                <w:rFonts w:ascii="Calibri" w:hAnsi="Calibri"/>
                <w:bCs/>
                <w:lang w:eastAsia="ja-JP"/>
              </w:rPr>
            </w:pPr>
            <w:r w:rsidRPr="00912996">
              <w:rPr>
                <w:rFonts w:ascii="Calibri" w:hAnsi="Calibri"/>
                <w:bCs/>
                <w:lang w:eastAsia="ja-JP"/>
              </w:rPr>
              <w:t>E-Distribuție Muntenia</w:t>
            </w:r>
          </w:p>
        </w:tc>
      </w:tr>
      <w:tr w:rsidR="00AC2FFA" w:rsidRPr="00912996" w14:paraId="602CE05C" w14:textId="77777777" w:rsidTr="00E2442E">
        <w:trPr>
          <w:gridAfter w:val="9"/>
          <w:wAfter w:w="15421" w:type="dxa"/>
          <w:trHeight w:val="792"/>
        </w:trPr>
        <w:tc>
          <w:tcPr>
            <w:tcW w:w="625" w:type="dxa"/>
            <w:shd w:val="clear" w:color="auto" w:fill="F2F2F2"/>
            <w:noWrap/>
            <w:hideMark/>
          </w:tcPr>
          <w:p w14:paraId="0B2BD0D0"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2AF66FA4" w14:textId="77777777" w:rsidR="001A54E6" w:rsidRPr="00912996" w:rsidRDefault="001A54E6" w:rsidP="00394372">
            <w:pPr>
              <w:rPr>
                <w:rFonts w:ascii="Calibri" w:hAnsi="Calibri"/>
                <w:bCs/>
                <w:lang w:eastAsia="ja-JP"/>
              </w:rPr>
            </w:pPr>
            <w:r w:rsidRPr="00912996">
              <w:rPr>
                <w:rFonts w:ascii="Calibri" w:hAnsi="Calibri"/>
                <w:bCs/>
                <w:lang w:eastAsia="ja-JP"/>
              </w:rPr>
              <w:t>Program extindere și reabilitare (9,18 km) rețea de distribuție gaze naturale la nivelul Sectorului 2 (cartierele Tei, Tei Toboc, Fundeni)</w:t>
            </w:r>
          </w:p>
        </w:tc>
        <w:tc>
          <w:tcPr>
            <w:tcW w:w="1530" w:type="dxa"/>
            <w:shd w:val="clear" w:color="auto" w:fill="F2F2F2"/>
            <w:hideMark/>
          </w:tcPr>
          <w:p w14:paraId="4B25A345" w14:textId="77777777" w:rsidR="001A54E6" w:rsidRPr="00912996" w:rsidRDefault="001A54E6" w:rsidP="00394372">
            <w:pPr>
              <w:rPr>
                <w:rFonts w:ascii="Calibri" w:hAnsi="Calibri"/>
                <w:bCs/>
                <w:lang w:eastAsia="ja-JP"/>
              </w:rPr>
            </w:pPr>
            <w:r w:rsidRPr="00912996">
              <w:rPr>
                <w:rFonts w:ascii="Calibri" w:hAnsi="Calibri"/>
                <w:bCs/>
                <w:lang w:eastAsia="ja-JP"/>
              </w:rPr>
              <w:t>Distrigaz Sud, PMB</w:t>
            </w:r>
          </w:p>
        </w:tc>
        <w:tc>
          <w:tcPr>
            <w:tcW w:w="1620" w:type="dxa"/>
            <w:shd w:val="clear" w:color="auto" w:fill="F2F2F2"/>
            <w:noWrap/>
            <w:hideMark/>
          </w:tcPr>
          <w:p w14:paraId="7DF56CD9"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B5DB86B" w14:textId="77777777" w:rsidR="001A54E6" w:rsidRPr="00912996" w:rsidRDefault="001A54E6" w:rsidP="00394372">
            <w:pPr>
              <w:rPr>
                <w:rFonts w:ascii="Calibri" w:hAnsi="Calibri"/>
                <w:bCs/>
                <w:lang w:eastAsia="ja-JP"/>
              </w:rPr>
            </w:pPr>
            <w:r w:rsidRPr="00912996">
              <w:rPr>
                <w:rFonts w:ascii="Calibri" w:hAnsi="Calibri"/>
                <w:bCs/>
                <w:lang w:eastAsia="ja-JP"/>
              </w:rPr>
              <w:t>Conform program investiții Distrigaz Sud</w:t>
            </w:r>
          </w:p>
        </w:tc>
        <w:tc>
          <w:tcPr>
            <w:tcW w:w="1260" w:type="dxa"/>
            <w:shd w:val="clear" w:color="auto" w:fill="F2F2F2"/>
            <w:noWrap/>
            <w:hideMark/>
          </w:tcPr>
          <w:p w14:paraId="6578B6D0" w14:textId="77777777" w:rsidR="001A54E6" w:rsidRPr="00912996" w:rsidRDefault="001A54E6" w:rsidP="00394372">
            <w:pPr>
              <w:rPr>
                <w:rFonts w:ascii="Calibri" w:hAnsi="Calibri"/>
                <w:bCs/>
                <w:lang w:eastAsia="ja-JP"/>
              </w:rPr>
            </w:pPr>
            <w:r w:rsidRPr="00912996">
              <w:rPr>
                <w:rFonts w:ascii="Calibri" w:hAnsi="Calibri"/>
                <w:bCs/>
                <w:lang w:eastAsia="ja-JP"/>
              </w:rPr>
              <w:t>Conform program investiții Distrigaz Sud</w:t>
            </w:r>
          </w:p>
        </w:tc>
        <w:tc>
          <w:tcPr>
            <w:tcW w:w="1089" w:type="dxa"/>
            <w:shd w:val="clear" w:color="auto" w:fill="F2F2F2"/>
            <w:noWrap/>
            <w:hideMark/>
          </w:tcPr>
          <w:p w14:paraId="630A3083" w14:textId="77777777" w:rsidR="001A54E6" w:rsidRPr="00912996" w:rsidRDefault="001A54E6" w:rsidP="00394372">
            <w:pPr>
              <w:rPr>
                <w:rFonts w:ascii="Calibri" w:hAnsi="Calibri"/>
                <w:bCs/>
                <w:lang w:eastAsia="ja-JP"/>
              </w:rPr>
            </w:pPr>
            <w:r w:rsidRPr="00912996">
              <w:rPr>
                <w:rFonts w:ascii="Calibri" w:hAnsi="Calibri"/>
                <w:bCs/>
                <w:lang w:eastAsia="ja-JP"/>
              </w:rPr>
              <w:t>2023 - 2030</w:t>
            </w:r>
          </w:p>
        </w:tc>
        <w:tc>
          <w:tcPr>
            <w:tcW w:w="1881" w:type="dxa"/>
            <w:shd w:val="clear" w:color="auto" w:fill="F2F2F2"/>
            <w:hideMark/>
          </w:tcPr>
          <w:p w14:paraId="18F40176"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63E8C69C"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74183818" w14:textId="77777777" w:rsidR="001A54E6" w:rsidRPr="00912996" w:rsidRDefault="001A54E6" w:rsidP="00394372">
            <w:pPr>
              <w:rPr>
                <w:rFonts w:ascii="Calibri" w:hAnsi="Calibri"/>
                <w:bCs/>
                <w:lang w:eastAsia="ja-JP"/>
              </w:rPr>
            </w:pPr>
            <w:r w:rsidRPr="00912996">
              <w:rPr>
                <w:rFonts w:ascii="Calibri" w:hAnsi="Calibri"/>
                <w:bCs/>
                <w:lang w:eastAsia="ja-JP"/>
              </w:rPr>
              <w:t>SDL 2016-2025, SIDU MB</w:t>
            </w:r>
          </w:p>
        </w:tc>
      </w:tr>
      <w:tr w:rsidR="00AC2FFA" w:rsidRPr="00912996" w14:paraId="1C04A85C" w14:textId="77777777" w:rsidTr="00E2442E">
        <w:trPr>
          <w:gridAfter w:val="9"/>
          <w:wAfter w:w="15421" w:type="dxa"/>
          <w:trHeight w:val="792"/>
        </w:trPr>
        <w:tc>
          <w:tcPr>
            <w:tcW w:w="625" w:type="dxa"/>
            <w:shd w:val="clear" w:color="auto" w:fill="F2F2F2"/>
            <w:noWrap/>
            <w:hideMark/>
          </w:tcPr>
          <w:p w14:paraId="34A81C23"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304C4814" w14:textId="77777777" w:rsidR="001A54E6" w:rsidRPr="00912996" w:rsidRDefault="001A54E6" w:rsidP="00394372">
            <w:pPr>
              <w:rPr>
                <w:rFonts w:ascii="Calibri" w:hAnsi="Calibri"/>
                <w:bCs/>
                <w:lang w:eastAsia="ja-JP"/>
              </w:rPr>
            </w:pPr>
            <w:r w:rsidRPr="00912996">
              <w:rPr>
                <w:rFonts w:ascii="Calibri" w:hAnsi="Calibri"/>
                <w:bCs/>
                <w:lang w:eastAsia="ja-JP"/>
              </w:rPr>
              <w:t>Extinderea sistemului de iluminat public în spațiile verzi - parcurile Morarilor, Ostrov, Dobroiești, Plumbuita II și zona malului de lac Dobroiești</w:t>
            </w:r>
          </w:p>
        </w:tc>
        <w:tc>
          <w:tcPr>
            <w:tcW w:w="1530" w:type="dxa"/>
            <w:shd w:val="clear" w:color="auto" w:fill="F2F2F2"/>
            <w:hideMark/>
          </w:tcPr>
          <w:p w14:paraId="7975E72D" w14:textId="77777777" w:rsidR="001A54E6" w:rsidRPr="00912996" w:rsidRDefault="001A54E6" w:rsidP="00394372">
            <w:pPr>
              <w:rPr>
                <w:rFonts w:ascii="Calibri" w:hAnsi="Calibri"/>
                <w:bCs/>
                <w:lang w:eastAsia="ja-JP"/>
              </w:rPr>
            </w:pPr>
            <w:r w:rsidRPr="00912996">
              <w:rPr>
                <w:rFonts w:ascii="Calibri" w:hAnsi="Calibri"/>
                <w:bCs/>
                <w:lang w:eastAsia="ja-JP"/>
              </w:rPr>
              <w:t>PS2, ADP Sector 2</w:t>
            </w:r>
          </w:p>
        </w:tc>
        <w:tc>
          <w:tcPr>
            <w:tcW w:w="1620" w:type="dxa"/>
            <w:shd w:val="clear" w:color="auto" w:fill="F2F2F2"/>
            <w:noWrap/>
            <w:hideMark/>
          </w:tcPr>
          <w:p w14:paraId="3B32A73A"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noWrap/>
            <w:hideMark/>
          </w:tcPr>
          <w:p w14:paraId="21463BE8" w14:textId="77777777" w:rsidR="001A54E6" w:rsidRPr="00912996" w:rsidRDefault="001A54E6" w:rsidP="00394372">
            <w:pPr>
              <w:rPr>
                <w:rFonts w:ascii="Calibri" w:hAnsi="Calibri"/>
                <w:bCs/>
                <w:lang w:eastAsia="ja-JP"/>
              </w:rPr>
            </w:pPr>
            <w:r w:rsidRPr="00912996">
              <w:rPr>
                <w:rFonts w:ascii="Calibri" w:hAnsi="Calibri"/>
                <w:bCs/>
                <w:lang w:eastAsia="ja-JP"/>
              </w:rPr>
              <w:t>Conform PT</w:t>
            </w:r>
          </w:p>
        </w:tc>
        <w:tc>
          <w:tcPr>
            <w:tcW w:w="1260" w:type="dxa"/>
            <w:shd w:val="clear" w:color="auto" w:fill="F2F2F2"/>
            <w:noWrap/>
            <w:hideMark/>
          </w:tcPr>
          <w:p w14:paraId="1E74F2F9" w14:textId="77777777" w:rsidR="001A54E6" w:rsidRPr="00912996" w:rsidRDefault="001A54E6" w:rsidP="00394372">
            <w:pPr>
              <w:rPr>
                <w:rFonts w:ascii="Calibri" w:hAnsi="Calibri"/>
                <w:bCs/>
                <w:lang w:eastAsia="ja-JP"/>
              </w:rPr>
            </w:pPr>
            <w:r w:rsidRPr="00912996">
              <w:rPr>
                <w:rFonts w:ascii="Calibri" w:hAnsi="Calibri"/>
                <w:bCs/>
                <w:lang w:eastAsia="ja-JP"/>
              </w:rPr>
              <w:t>Conform PT</w:t>
            </w:r>
          </w:p>
        </w:tc>
        <w:tc>
          <w:tcPr>
            <w:tcW w:w="1089" w:type="dxa"/>
            <w:shd w:val="clear" w:color="auto" w:fill="F2F2F2"/>
            <w:noWrap/>
            <w:hideMark/>
          </w:tcPr>
          <w:p w14:paraId="0799FD12" w14:textId="77777777" w:rsidR="001A54E6" w:rsidRPr="00912996" w:rsidRDefault="001A54E6" w:rsidP="00394372">
            <w:pPr>
              <w:rPr>
                <w:rFonts w:ascii="Calibri" w:hAnsi="Calibri"/>
                <w:bCs/>
                <w:lang w:eastAsia="ja-JP"/>
              </w:rPr>
            </w:pPr>
            <w:r w:rsidRPr="00912996">
              <w:rPr>
                <w:rFonts w:ascii="Calibri" w:hAnsi="Calibri"/>
                <w:bCs/>
                <w:lang w:eastAsia="ja-JP"/>
              </w:rPr>
              <w:t>2022 - 2023</w:t>
            </w:r>
          </w:p>
        </w:tc>
        <w:tc>
          <w:tcPr>
            <w:tcW w:w="1881" w:type="dxa"/>
            <w:shd w:val="clear" w:color="auto" w:fill="F2F2F2"/>
            <w:hideMark/>
          </w:tcPr>
          <w:p w14:paraId="398E615F"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263A5E7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2845E23B" w14:textId="77777777" w:rsidR="001A54E6" w:rsidRPr="00912996" w:rsidRDefault="001A54E6" w:rsidP="00394372">
            <w:pPr>
              <w:rPr>
                <w:rFonts w:ascii="Calibri" w:hAnsi="Calibri"/>
                <w:bCs/>
                <w:lang w:eastAsia="ja-JP"/>
              </w:rPr>
            </w:pPr>
            <w:r w:rsidRPr="00912996">
              <w:rPr>
                <w:rFonts w:ascii="Calibri" w:hAnsi="Calibri"/>
                <w:bCs/>
                <w:lang w:eastAsia="ja-JP"/>
              </w:rPr>
              <w:t>ADP Sector 2</w:t>
            </w:r>
          </w:p>
        </w:tc>
      </w:tr>
      <w:tr w:rsidR="00AC2FFA" w:rsidRPr="00912996" w14:paraId="20D429A3" w14:textId="77777777" w:rsidTr="00E2442E">
        <w:trPr>
          <w:gridAfter w:val="9"/>
          <w:wAfter w:w="15421" w:type="dxa"/>
          <w:trHeight w:val="540"/>
        </w:trPr>
        <w:tc>
          <w:tcPr>
            <w:tcW w:w="625" w:type="dxa"/>
            <w:shd w:val="clear" w:color="auto" w:fill="F2F2F2"/>
            <w:noWrap/>
            <w:hideMark/>
          </w:tcPr>
          <w:p w14:paraId="79BB8A5D"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2AB813CA" w14:textId="77777777" w:rsidR="001A54E6" w:rsidRPr="00912996" w:rsidRDefault="001A54E6" w:rsidP="00394372">
            <w:pPr>
              <w:rPr>
                <w:rFonts w:ascii="Calibri" w:hAnsi="Calibri"/>
                <w:bCs/>
                <w:lang w:eastAsia="ja-JP"/>
              </w:rPr>
            </w:pPr>
            <w:r w:rsidRPr="00912996">
              <w:rPr>
                <w:rFonts w:ascii="Calibri" w:hAnsi="Calibri"/>
                <w:bCs/>
                <w:lang w:eastAsia="ja-JP"/>
              </w:rPr>
              <w:t>Modernizare centralei termice Floreasca</w:t>
            </w:r>
          </w:p>
        </w:tc>
        <w:tc>
          <w:tcPr>
            <w:tcW w:w="1530" w:type="dxa"/>
            <w:shd w:val="clear" w:color="auto" w:fill="F2F2F2"/>
            <w:hideMark/>
          </w:tcPr>
          <w:p w14:paraId="72DBE58D"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790242C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6C82C72"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260" w:type="dxa"/>
            <w:shd w:val="clear" w:color="auto" w:fill="F2F2F2"/>
            <w:noWrap/>
            <w:hideMark/>
          </w:tcPr>
          <w:p w14:paraId="285E0A20"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089" w:type="dxa"/>
            <w:shd w:val="clear" w:color="auto" w:fill="F2F2F2"/>
            <w:noWrap/>
            <w:hideMark/>
          </w:tcPr>
          <w:p w14:paraId="3AB73901" w14:textId="77777777" w:rsidR="001A54E6" w:rsidRPr="00912996" w:rsidRDefault="001A54E6" w:rsidP="00394372">
            <w:pPr>
              <w:rPr>
                <w:rFonts w:ascii="Calibri" w:hAnsi="Calibri"/>
                <w:bCs/>
                <w:lang w:eastAsia="ja-JP"/>
              </w:rPr>
            </w:pPr>
            <w:r w:rsidRPr="00912996">
              <w:rPr>
                <w:rFonts w:ascii="Calibri" w:hAnsi="Calibri"/>
                <w:bCs/>
                <w:lang w:eastAsia="ja-JP"/>
              </w:rPr>
              <w:t>2023 - 2030</w:t>
            </w:r>
          </w:p>
        </w:tc>
        <w:tc>
          <w:tcPr>
            <w:tcW w:w="1881" w:type="dxa"/>
            <w:shd w:val="clear" w:color="auto" w:fill="F2F2F2"/>
            <w:hideMark/>
          </w:tcPr>
          <w:p w14:paraId="2212AADD"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4131AF6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2A2321CB"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452A9B75" w14:textId="77777777" w:rsidTr="00E2442E">
        <w:trPr>
          <w:gridAfter w:val="9"/>
          <w:wAfter w:w="15421" w:type="dxa"/>
          <w:trHeight w:val="540"/>
        </w:trPr>
        <w:tc>
          <w:tcPr>
            <w:tcW w:w="625" w:type="dxa"/>
            <w:shd w:val="clear" w:color="auto" w:fill="F2F2F2"/>
            <w:noWrap/>
            <w:hideMark/>
          </w:tcPr>
          <w:p w14:paraId="064E113C"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7BF7D50E" w14:textId="77777777" w:rsidR="001A54E6" w:rsidRPr="00912996" w:rsidRDefault="001A54E6" w:rsidP="00394372">
            <w:pPr>
              <w:rPr>
                <w:rFonts w:ascii="Calibri" w:hAnsi="Calibri"/>
                <w:bCs/>
                <w:lang w:eastAsia="ja-JP"/>
              </w:rPr>
            </w:pPr>
            <w:r w:rsidRPr="00912996">
              <w:rPr>
                <w:rFonts w:ascii="Calibri" w:hAnsi="Calibri"/>
                <w:bCs/>
                <w:lang w:eastAsia="ja-JP"/>
              </w:rPr>
              <w:t>Reabilitare rețea transport și distribuție energie termică</w:t>
            </w:r>
          </w:p>
        </w:tc>
        <w:tc>
          <w:tcPr>
            <w:tcW w:w="1530" w:type="dxa"/>
            <w:shd w:val="clear" w:color="auto" w:fill="F2F2F2"/>
            <w:hideMark/>
          </w:tcPr>
          <w:p w14:paraId="6DB56502" w14:textId="77777777" w:rsidR="001A54E6" w:rsidRPr="00912996" w:rsidRDefault="001A54E6" w:rsidP="00394372">
            <w:pPr>
              <w:rPr>
                <w:rFonts w:ascii="Calibri" w:hAnsi="Calibri"/>
                <w:bCs/>
                <w:lang w:eastAsia="ja-JP"/>
              </w:rPr>
            </w:pPr>
            <w:r w:rsidRPr="00912996">
              <w:rPr>
                <w:rFonts w:ascii="Calibri" w:hAnsi="Calibri"/>
                <w:bCs/>
                <w:lang w:eastAsia="ja-JP"/>
              </w:rPr>
              <w:t>PMB</w:t>
            </w:r>
          </w:p>
        </w:tc>
        <w:tc>
          <w:tcPr>
            <w:tcW w:w="1620" w:type="dxa"/>
            <w:shd w:val="clear" w:color="auto" w:fill="F2F2F2"/>
            <w:noWrap/>
            <w:hideMark/>
          </w:tcPr>
          <w:p w14:paraId="62F0DF5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DB599F9" w14:textId="77777777" w:rsidR="001A54E6" w:rsidRPr="00912996" w:rsidRDefault="001A54E6" w:rsidP="00394372">
            <w:pPr>
              <w:rPr>
                <w:rFonts w:ascii="Calibri" w:hAnsi="Calibri"/>
                <w:bCs/>
                <w:lang w:eastAsia="ja-JP"/>
              </w:rPr>
            </w:pPr>
            <w:r w:rsidRPr="00912996">
              <w:rPr>
                <w:rFonts w:ascii="Calibri" w:hAnsi="Calibri"/>
                <w:bCs/>
                <w:lang w:eastAsia="ja-JP"/>
              </w:rPr>
              <w:t>Conform PT</w:t>
            </w:r>
          </w:p>
        </w:tc>
        <w:tc>
          <w:tcPr>
            <w:tcW w:w="1260" w:type="dxa"/>
            <w:shd w:val="clear" w:color="auto" w:fill="F2F2F2"/>
            <w:noWrap/>
            <w:hideMark/>
          </w:tcPr>
          <w:p w14:paraId="4AE0BF39" w14:textId="77777777" w:rsidR="001A54E6" w:rsidRPr="00912996" w:rsidRDefault="001A54E6" w:rsidP="00394372">
            <w:pPr>
              <w:rPr>
                <w:rFonts w:ascii="Calibri" w:hAnsi="Calibri"/>
                <w:bCs/>
                <w:lang w:eastAsia="ja-JP"/>
              </w:rPr>
            </w:pPr>
            <w:r w:rsidRPr="00912996">
              <w:rPr>
                <w:rFonts w:ascii="Calibri" w:hAnsi="Calibri"/>
                <w:bCs/>
                <w:lang w:eastAsia="ja-JP"/>
              </w:rPr>
              <w:t>Conform PT</w:t>
            </w:r>
          </w:p>
        </w:tc>
        <w:tc>
          <w:tcPr>
            <w:tcW w:w="1089" w:type="dxa"/>
            <w:shd w:val="clear" w:color="auto" w:fill="F2F2F2"/>
            <w:noWrap/>
            <w:hideMark/>
          </w:tcPr>
          <w:p w14:paraId="2B14B86A"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1881" w:type="dxa"/>
            <w:shd w:val="clear" w:color="auto" w:fill="F2F2F2"/>
            <w:hideMark/>
          </w:tcPr>
          <w:p w14:paraId="54F371A7"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1A5C07E2"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57A73860" w14:textId="77777777" w:rsidR="001A54E6" w:rsidRPr="00912996" w:rsidRDefault="001A54E6" w:rsidP="00394372">
            <w:pPr>
              <w:rPr>
                <w:rFonts w:ascii="Calibri" w:hAnsi="Calibri"/>
                <w:bCs/>
                <w:lang w:eastAsia="ja-JP"/>
              </w:rPr>
            </w:pPr>
            <w:r w:rsidRPr="00912996">
              <w:rPr>
                <w:rFonts w:ascii="Calibri" w:hAnsi="Calibri"/>
                <w:bCs/>
                <w:lang w:eastAsia="ja-JP"/>
              </w:rPr>
              <w:t>Propunere consultant</w:t>
            </w:r>
          </w:p>
        </w:tc>
      </w:tr>
      <w:tr w:rsidR="001A54E6" w:rsidRPr="00912996" w14:paraId="6058A5B7" w14:textId="77777777" w:rsidTr="00AC2FFA">
        <w:trPr>
          <w:gridAfter w:val="9"/>
          <w:wAfter w:w="15421" w:type="dxa"/>
          <w:trHeight w:val="276"/>
        </w:trPr>
        <w:tc>
          <w:tcPr>
            <w:tcW w:w="14215" w:type="dxa"/>
            <w:gridSpan w:val="10"/>
            <w:shd w:val="clear" w:color="auto" w:fill="BBD9A0"/>
            <w:noWrap/>
            <w:hideMark/>
          </w:tcPr>
          <w:p w14:paraId="0E9AB684" w14:textId="77777777" w:rsidR="001A54E6" w:rsidRPr="00912996" w:rsidRDefault="001A54E6" w:rsidP="00394372">
            <w:pPr>
              <w:jc w:val="center"/>
              <w:rPr>
                <w:rFonts w:ascii="Calibri" w:hAnsi="Calibri"/>
                <w:b/>
                <w:bCs/>
                <w:color w:val="FFFFFF"/>
                <w:lang w:eastAsia="ja-JP"/>
              </w:rPr>
            </w:pPr>
            <w:r w:rsidRPr="00912996">
              <w:rPr>
                <w:rFonts w:ascii="Calibri" w:hAnsi="Calibri"/>
                <w:b/>
                <w:bCs/>
                <w:color w:val="FFFFFF"/>
                <w:lang w:eastAsia="ja-JP"/>
              </w:rPr>
              <w:t>D3.1.3. Promovarea utilizării energiei regenerabile</w:t>
            </w:r>
          </w:p>
        </w:tc>
      </w:tr>
      <w:tr w:rsidR="00AC2FFA" w:rsidRPr="00912996" w14:paraId="7682625A" w14:textId="77777777" w:rsidTr="00E2442E">
        <w:trPr>
          <w:gridAfter w:val="9"/>
          <w:wAfter w:w="15421" w:type="dxa"/>
          <w:trHeight w:val="804"/>
        </w:trPr>
        <w:tc>
          <w:tcPr>
            <w:tcW w:w="625" w:type="dxa"/>
            <w:shd w:val="clear" w:color="auto" w:fill="F2F2F2"/>
            <w:noWrap/>
            <w:hideMark/>
          </w:tcPr>
          <w:p w14:paraId="43DA4D6C"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28D91050" w14:textId="77777777" w:rsidR="001A54E6" w:rsidRPr="00912996" w:rsidRDefault="001A54E6" w:rsidP="00394372">
            <w:pPr>
              <w:rPr>
                <w:rFonts w:ascii="Calibri" w:hAnsi="Calibri"/>
                <w:bCs/>
                <w:lang w:eastAsia="ja-JP"/>
              </w:rPr>
            </w:pPr>
            <w:r w:rsidRPr="00912996">
              <w:rPr>
                <w:rFonts w:ascii="Calibri" w:hAnsi="Calibri"/>
                <w:bCs/>
                <w:lang w:eastAsia="ja-JP"/>
              </w:rPr>
              <w:t>Proiect pilot pentru clădiri de locuit și pentru clădiri publice: sistem de panouri termo-solare pentru aport încălzire și preparare apă caldă de consum</w:t>
            </w:r>
          </w:p>
        </w:tc>
        <w:tc>
          <w:tcPr>
            <w:tcW w:w="1530" w:type="dxa"/>
            <w:shd w:val="clear" w:color="auto" w:fill="F2F2F2"/>
            <w:hideMark/>
          </w:tcPr>
          <w:p w14:paraId="2A538C01" w14:textId="77777777" w:rsidR="001A54E6" w:rsidRPr="00912996" w:rsidRDefault="001A54E6" w:rsidP="00394372">
            <w:pPr>
              <w:rPr>
                <w:rFonts w:ascii="Calibri" w:hAnsi="Calibri"/>
                <w:bCs/>
                <w:lang w:eastAsia="ja-JP"/>
              </w:rPr>
            </w:pPr>
            <w:r w:rsidRPr="00912996">
              <w:rPr>
                <w:rFonts w:ascii="Calibri" w:hAnsi="Calibri"/>
                <w:bCs/>
                <w:lang w:eastAsia="ja-JP"/>
              </w:rPr>
              <w:t>PS2, Asociații de proprietari</w:t>
            </w:r>
          </w:p>
        </w:tc>
        <w:tc>
          <w:tcPr>
            <w:tcW w:w="1620" w:type="dxa"/>
            <w:shd w:val="clear" w:color="auto" w:fill="F2F2F2"/>
            <w:noWrap/>
            <w:hideMark/>
          </w:tcPr>
          <w:p w14:paraId="622ECC04"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855A47F" w14:textId="77777777" w:rsidR="001A54E6" w:rsidRPr="00912996" w:rsidRDefault="001A54E6" w:rsidP="00394372">
            <w:pPr>
              <w:rPr>
                <w:rFonts w:ascii="Calibri" w:hAnsi="Calibri"/>
                <w:bCs/>
                <w:lang w:eastAsia="ja-JP"/>
              </w:rPr>
            </w:pPr>
            <w:r w:rsidRPr="00912996">
              <w:rPr>
                <w:rFonts w:ascii="Calibri" w:hAnsi="Calibri"/>
                <w:bCs/>
                <w:lang w:eastAsia="ja-JP"/>
              </w:rPr>
              <w:t>9,800,000</w:t>
            </w:r>
          </w:p>
        </w:tc>
        <w:tc>
          <w:tcPr>
            <w:tcW w:w="1260" w:type="dxa"/>
            <w:shd w:val="clear" w:color="auto" w:fill="F2F2F2"/>
            <w:noWrap/>
            <w:hideMark/>
          </w:tcPr>
          <w:p w14:paraId="48947D52" w14:textId="77777777" w:rsidR="001A54E6" w:rsidRPr="00912996" w:rsidRDefault="001A54E6" w:rsidP="00394372">
            <w:pPr>
              <w:rPr>
                <w:rFonts w:ascii="Calibri" w:hAnsi="Calibri"/>
                <w:bCs/>
                <w:lang w:eastAsia="ja-JP"/>
              </w:rPr>
            </w:pPr>
            <w:r w:rsidRPr="00912996">
              <w:rPr>
                <w:rFonts w:ascii="Calibri" w:hAnsi="Calibri"/>
                <w:bCs/>
                <w:lang w:eastAsia="ja-JP"/>
              </w:rPr>
              <w:t>2,000,000</w:t>
            </w:r>
          </w:p>
        </w:tc>
        <w:tc>
          <w:tcPr>
            <w:tcW w:w="1089" w:type="dxa"/>
            <w:shd w:val="clear" w:color="auto" w:fill="F2F2F2"/>
            <w:noWrap/>
            <w:hideMark/>
          </w:tcPr>
          <w:p w14:paraId="03987CD2" w14:textId="77777777" w:rsidR="001A54E6" w:rsidRPr="00912996" w:rsidRDefault="001A54E6" w:rsidP="00394372">
            <w:pPr>
              <w:rPr>
                <w:rFonts w:ascii="Calibri" w:hAnsi="Calibri"/>
                <w:bCs/>
                <w:lang w:eastAsia="ja-JP"/>
              </w:rPr>
            </w:pPr>
            <w:r w:rsidRPr="00912996">
              <w:rPr>
                <w:rFonts w:ascii="Calibri" w:hAnsi="Calibri"/>
                <w:bCs/>
                <w:lang w:eastAsia="ja-JP"/>
              </w:rPr>
              <w:t>2023 - 2025</w:t>
            </w:r>
          </w:p>
        </w:tc>
        <w:tc>
          <w:tcPr>
            <w:tcW w:w="1881" w:type="dxa"/>
            <w:shd w:val="clear" w:color="auto" w:fill="F2F2F2"/>
            <w:hideMark/>
          </w:tcPr>
          <w:p w14:paraId="0BF94974"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75838D5A"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52D2A7F6" w14:textId="77777777" w:rsidR="001A54E6" w:rsidRPr="00912996" w:rsidRDefault="001A54E6" w:rsidP="00394372">
            <w:pPr>
              <w:rPr>
                <w:rFonts w:ascii="Calibri" w:hAnsi="Calibri"/>
                <w:bCs/>
                <w:lang w:eastAsia="ja-JP"/>
              </w:rPr>
            </w:pPr>
            <w:r w:rsidRPr="00912996">
              <w:rPr>
                <w:rFonts w:ascii="Calibri" w:hAnsi="Calibri"/>
                <w:bCs/>
                <w:lang w:eastAsia="ja-JP"/>
              </w:rPr>
              <w:t>SDL 2016-2025</w:t>
            </w:r>
          </w:p>
        </w:tc>
      </w:tr>
      <w:tr w:rsidR="00AC2FFA" w:rsidRPr="00912996" w14:paraId="4BDB260A" w14:textId="77777777" w:rsidTr="00E2442E">
        <w:trPr>
          <w:gridAfter w:val="9"/>
          <w:wAfter w:w="15421" w:type="dxa"/>
          <w:trHeight w:val="1332"/>
        </w:trPr>
        <w:tc>
          <w:tcPr>
            <w:tcW w:w="625" w:type="dxa"/>
            <w:shd w:val="clear" w:color="auto" w:fill="F2F2F2"/>
            <w:noWrap/>
            <w:hideMark/>
          </w:tcPr>
          <w:p w14:paraId="03041CAC"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4FCC9D45" w14:textId="77777777" w:rsidR="001A54E6" w:rsidRPr="00912996" w:rsidRDefault="001A54E6" w:rsidP="00394372">
            <w:pPr>
              <w:rPr>
                <w:rFonts w:ascii="Calibri" w:hAnsi="Calibri"/>
                <w:bCs/>
                <w:lang w:eastAsia="ja-JP"/>
              </w:rPr>
            </w:pPr>
            <w:r w:rsidRPr="00912996">
              <w:rPr>
                <w:rFonts w:ascii="Calibri" w:hAnsi="Calibri"/>
                <w:bCs/>
                <w:lang w:eastAsia="ja-JP"/>
              </w:rPr>
              <w:t>Realizare punct de informare pentru cetățeni - cum pot reduce consumul de energie și ce oportunități de finanțare există pentru eficientizarea energetică a locuințelor sau pentru producerea energiei din surse regenerabile</w:t>
            </w:r>
          </w:p>
        </w:tc>
        <w:tc>
          <w:tcPr>
            <w:tcW w:w="1530" w:type="dxa"/>
            <w:shd w:val="clear" w:color="auto" w:fill="F2F2F2"/>
            <w:hideMark/>
          </w:tcPr>
          <w:p w14:paraId="77BA2F0A"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3CAB94B5"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1D74CA2F" w14:textId="77777777" w:rsidR="001A54E6" w:rsidRPr="00912996" w:rsidRDefault="001A54E6" w:rsidP="00394372">
            <w:pPr>
              <w:rPr>
                <w:rFonts w:ascii="Calibri" w:hAnsi="Calibri"/>
                <w:bCs/>
                <w:lang w:eastAsia="ja-JP"/>
              </w:rPr>
            </w:pPr>
            <w:r w:rsidRPr="00912996">
              <w:rPr>
                <w:rFonts w:ascii="Calibri" w:hAnsi="Calibri"/>
                <w:bCs/>
                <w:lang w:eastAsia="ja-JP"/>
              </w:rPr>
              <w:t>490,000</w:t>
            </w:r>
          </w:p>
        </w:tc>
        <w:tc>
          <w:tcPr>
            <w:tcW w:w="1260" w:type="dxa"/>
            <w:shd w:val="clear" w:color="auto" w:fill="F2F2F2"/>
            <w:noWrap/>
            <w:hideMark/>
          </w:tcPr>
          <w:p w14:paraId="247D2C2A" w14:textId="77777777" w:rsidR="001A54E6" w:rsidRPr="00912996" w:rsidRDefault="001A54E6" w:rsidP="00394372">
            <w:pPr>
              <w:rPr>
                <w:rFonts w:ascii="Calibri" w:hAnsi="Calibri"/>
                <w:bCs/>
                <w:lang w:eastAsia="ja-JP"/>
              </w:rPr>
            </w:pPr>
            <w:r w:rsidRPr="00912996">
              <w:rPr>
                <w:rFonts w:ascii="Calibri" w:hAnsi="Calibri"/>
                <w:bCs/>
                <w:lang w:eastAsia="ja-JP"/>
              </w:rPr>
              <w:t>100,000</w:t>
            </w:r>
          </w:p>
        </w:tc>
        <w:tc>
          <w:tcPr>
            <w:tcW w:w="1089" w:type="dxa"/>
            <w:shd w:val="clear" w:color="auto" w:fill="F2F2F2"/>
            <w:noWrap/>
            <w:hideMark/>
          </w:tcPr>
          <w:p w14:paraId="71141ED9" w14:textId="77777777" w:rsidR="001A54E6" w:rsidRPr="00912996" w:rsidRDefault="001A54E6" w:rsidP="00394372">
            <w:pPr>
              <w:rPr>
                <w:rFonts w:ascii="Calibri" w:hAnsi="Calibri"/>
                <w:bCs/>
                <w:lang w:eastAsia="ja-JP"/>
              </w:rPr>
            </w:pPr>
            <w:r w:rsidRPr="00912996">
              <w:rPr>
                <w:rFonts w:ascii="Calibri" w:hAnsi="Calibri"/>
                <w:bCs/>
                <w:lang w:eastAsia="ja-JP"/>
              </w:rPr>
              <w:t>2023 - 2024</w:t>
            </w:r>
          </w:p>
        </w:tc>
        <w:tc>
          <w:tcPr>
            <w:tcW w:w="1881" w:type="dxa"/>
            <w:shd w:val="clear" w:color="auto" w:fill="F2F2F2"/>
            <w:hideMark/>
          </w:tcPr>
          <w:p w14:paraId="2BF051A3"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3D7895C9"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56170301" w14:textId="77777777" w:rsidR="001A54E6" w:rsidRPr="00912996" w:rsidRDefault="001A54E6" w:rsidP="00394372">
            <w:pPr>
              <w:rPr>
                <w:rFonts w:ascii="Calibri" w:hAnsi="Calibri"/>
                <w:bCs/>
                <w:lang w:eastAsia="ja-JP"/>
              </w:rPr>
            </w:pPr>
            <w:r w:rsidRPr="00912996">
              <w:rPr>
                <w:rFonts w:ascii="Calibri" w:hAnsi="Calibri"/>
                <w:bCs/>
                <w:lang w:eastAsia="ja-JP"/>
              </w:rPr>
              <w:t>SDL 2016-2025, SIDU MB</w:t>
            </w:r>
          </w:p>
        </w:tc>
      </w:tr>
      <w:tr w:rsidR="00AC2FFA" w:rsidRPr="00912996" w14:paraId="2292E1AA" w14:textId="77777777" w:rsidTr="00E2442E">
        <w:trPr>
          <w:gridAfter w:val="9"/>
          <w:wAfter w:w="15421" w:type="dxa"/>
          <w:trHeight w:val="540"/>
        </w:trPr>
        <w:tc>
          <w:tcPr>
            <w:tcW w:w="625" w:type="dxa"/>
            <w:shd w:val="clear" w:color="auto" w:fill="F2F2F2"/>
            <w:noWrap/>
            <w:hideMark/>
          </w:tcPr>
          <w:p w14:paraId="314F1DF5"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433D0F0E" w14:textId="77777777" w:rsidR="001A54E6" w:rsidRPr="00912996" w:rsidRDefault="001A54E6" w:rsidP="00394372">
            <w:pPr>
              <w:rPr>
                <w:rFonts w:ascii="Calibri" w:hAnsi="Calibri"/>
                <w:bCs/>
                <w:lang w:eastAsia="ja-JP"/>
              </w:rPr>
            </w:pPr>
            <w:r w:rsidRPr="00912996">
              <w:rPr>
                <w:rFonts w:ascii="Calibri" w:hAnsi="Calibri"/>
                <w:bCs/>
                <w:lang w:eastAsia="ja-JP"/>
              </w:rPr>
              <w:t>Achiziție sisteme panouri fotovoltaice sediu DGVBL S2</w:t>
            </w:r>
          </w:p>
        </w:tc>
        <w:tc>
          <w:tcPr>
            <w:tcW w:w="1530" w:type="dxa"/>
            <w:shd w:val="clear" w:color="auto" w:fill="F2F2F2"/>
            <w:hideMark/>
          </w:tcPr>
          <w:p w14:paraId="187757C4" w14:textId="77777777" w:rsidR="001A54E6" w:rsidRPr="00912996" w:rsidRDefault="001A54E6" w:rsidP="00394372">
            <w:pPr>
              <w:rPr>
                <w:rFonts w:ascii="Calibri" w:hAnsi="Calibri"/>
                <w:bCs/>
                <w:lang w:eastAsia="ja-JP"/>
              </w:rPr>
            </w:pPr>
            <w:r w:rsidRPr="00912996">
              <w:rPr>
                <w:rFonts w:ascii="Calibri" w:hAnsi="Calibri"/>
                <w:bCs/>
                <w:lang w:eastAsia="ja-JP"/>
              </w:rPr>
              <w:t>DGVBL S2</w:t>
            </w:r>
          </w:p>
        </w:tc>
        <w:tc>
          <w:tcPr>
            <w:tcW w:w="1620" w:type="dxa"/>
            <w:shd w:val="clear" w:color="auto" w:fill="F2F2F2"/>
            <w:noWrap/>
            <w:hideMark/>
          </w:tcPr>
          <w:p w14:paraId="356EBF37" w14:textId="77777777" w:rsidR="001A54E6" w:rsidRDefault="001A54E6" w:rsidP="00394372">
            <w:pPr>
              <w:rPr>
                <w:rFonts w:ascii="Calibri" w:hAnsi="Calibri"/>
                <w:bCs/>
                <w:lang w:eastAsia="ja-JP"/>
              </w:rPr>
            </w:pPr>
            <w:r w:rsidRPr="00912996">
              <w:rPr>
                <w:rFonts w:ascii="Calibri" w:hAnsi="Calibri"/>
                <w:bCs/>
                <w:lang w:eastAsia="ja-JP"/>
              </w:rPr>
              <w:t>SF</w:t>
            </w:r>
            <w:r>
              <w:rPr>
                <w:rFonts w:ascii="Calibri" w:hAnsi="Calibri"/>
                <w:bCs/>
                <w:lang w:eastAsia="ja-JP"/>
              </w:rPr>
              <w:t xml:space="preserve"> – Finalizat </w:t>
            </w:r>
          </w:p>
          <w:p w14:paraId="74AA5F9E" w14:textId="77777777" w:rsidR="001A54E6" w:rsidRPr="00912996" w:rsidRDefault="001A54E6" w:rsidP="00394372">
            <w:pPr>
              <w:rPr>
                <w:rFonts w:ascii="Calibri" w:hAnsi="Calibri"/>
                <w:bCs/>
                <w:lang w:eastAsia="ja-JP"/>
              </w:rPr>
            </w:pPr>
            <w:r>
              <w:rPr>
                <w:rFonts w:ascii="Calibri" w:hAnsi="Calibri"/>
                <w:bCs/>
                <w:lang w:eastAsia="ja-JP"/>
              </w:rPr>
              <w:t xml:space="preserve">Achiziție sisteme </w:t>
            </w:r>
          </w:p>
        </w:tc>
        <w:tc>
          <w:tcPr>
            <w:tcW w:w="1260" w:type="dxa"/>
            <w:shd w:val="clear" w:color="auto" w:fill="F2F2F2"/>
            <w:noWrap/>
            <w:hideMark/>
          </w:tcPr>
          <w:p w14:paraId="47232AE8" w14:textId="77777777" w:rsidR="001A54E6" w:rsidRDefault="001A54E6" w:rsidP="00394372">
            <w:pPr>
              <w:rPr>
                <w:rFonts w:ascii="Calibri" w:hAnsi="Calibri"/>
                <w:bCs/>
                <w:lang w:eastAsia="ja-JP"/>
              </w:rPr>
            </w:pPr>
            <w:r w:rsidRPr="00912996">
              <w:rPr>
                <w:rFonts w:ascii="Calibri" w:hAnsi="Calibri"/>
                <w:bCs/>
                <w:lang w:eastAsia="ja-JP"/>
              </w:rPr>
              <w:t>60,000</w:t>
            </w:r>
          </w:p>
          <w:p w14:paraId="2B31DF86" w14:textId="77777777" w:rsidR="001A54E6" w:rsidRPr="00912996" w:rsidRDefault="001A54E6" w:rsidP="00394372">
            <w:pPr>
              <w:rPr>
                <w:rFonts w:ascii="Calibri" w:hAnsi="Calibri"/>
                <w:bCs/>
                <w:lang w:eastAsia="ja-JP"/>
              </w:rPr>
            </w:pPr>
            <w:r>
              <w:rPr>
                <w:rFonts w:ascii="Calibri" w:hAnsi="Calibri"/>
                <w:bCs/>
                <w:lang w:eastAsia="ja-JP"/>
              </w:rPr>
              <w:t>967,000</w:t>
            </w:r>
          </w:p>
        </w:tc>
        <w:tc>
          <w:tcPr>
            <w:tcW w:w="1260" w:type="dxa"/>
            <w:shd w:val="clear" w:color="auto" w:fill="F2F2F2"/>
            <w:noWrap/>
            <w:hideMark/>
          </w:tcPr>
          <w:p w14:paraId="3358D7F8" w14:textId="77777777" w:rsidR="001A54E6" w:rsidRDefault="001A54E6" w:rsidP="00394372">
            <w:pPr>
              <w:rPr>
                <w:rFonts w:ascii="Calibri" w:hAnsi="Calibri"/>
                <w:bCs/>
                <w:lang w:eastAsia="ja-JP"/>
              </w:rPr>
            </w:pPr>
            <w:r w:rsidRPr="00912996">
              <w:rPr>
                <w:rFonts w:ascii="Calibri" w:hAnsi="Calibri"/>
                <w:bCs/>
                <w:lang w:eastAsia="ja-JP"/>
              </w:rPr>
              <w:t>12,245</w:t>
            </w:r>
          </w:p>
          <w:p w14:paraId="72621916" w14:textId="77777777" w:rsidR="001A54E6" w:rsidRPr="00912996" w:rsidRDefault="001A54E6" w:rsidP="00394372">
            <w:pPr>
              <w:rPr>
                <w:rFonts w:ascii="Calibri" w:hAnsi="Calibri"/>
                <w:bCs/>
                <w:lang w:eastAsia="ja-JP"/>
              </w:rPr>
            </w:pPr>
            <w:r>
              <w:rPr>
                <w:rFonts w:ascii="Calibri" w:hAnsi="Calibri"/>
                <w:bCs/>
                <w:lang w:eastAsia="ja-JP"/>
              </w:rPr>
              <w:t>197,662</w:t>
            </w:r>
          </w:p>
        </w:tc>
        <w:tc>
          <w:tcPr>
            <w:tcW w:w="1089" w:type="dxa"/>
            <w:shd w:val="clear" w:color="auto" w:fill="F2F2F2"/>
            <w:noWrap/>
            <w:hideMark/>
          </w:tcPr>
          <w:p w14:paraId="38695296" w14:textId="77777777" w:rsidR="001A54E6" w:rsidRDefault="001A54E6" w:rsidP="00394372">
            <w:pPr>
              <w:rPr>
                <w:rFonts w:ascii="Calibri" w:hAnsi="Calibri"/>
                <w:bCs/>
                <w:lang w:eastAsia="ja-JP"/>
              </w:rPr>
            </w:pPr>
            <w:r w:rsidRPr="00912996">
              <w:rPr>
                <w:rFonts w:ascii="Calibri" w:hAnsi="Calibri"/>
                <w:bCs/>
                <w:lang w:eastAsia="ja-JP"/>
              </w:rPr>
              <w:t xml:space="preserve">2022 </w:t>
            </w:r>
          </w:p>
          <w:p w14:paraId="3B92060E" w14:textId="2C6EC75D" w:rsidR="001A54E6" w:rsidRPr="00912996" w:rsidRDefault="001A54E6" w:rsidP="00394372">
            <w:pPr>
              <w:rPr>
                <w:rFonts w:ascii="Calibri" w:hAnsi="Calibri"/>
                <w:bCs/>
                <w:lang w:eastAsia="ja-JP"/>
              </w:rPr>
            </w:pPr>
            <w:r w:rsidRPr="00912996">
              <w:rPr>
                <w:rFonts w:ascii="Calibri" w:hAnsi="Calibri"/>
                <w:bCs/>
                <w:lang w:eastAsia="ja-JP"/>
              </w:rPr>
              <w:t>2023</w:t>
            </w:r>
          </w:p>
        </w:tc>
        <w:tc>
          <w:tcPr>
            <w:tcW w:w="1881" w:type="dxa"/>
            <w:shd w:val="clear" w:color="auto" w:fill="F2F2F2"/>
            <w:hideMark/>
          </w:tcPr>
          <w:p w14:paraId="6BFF1E73" w14:textId="77777777" w:rsidR="001A54E6" w:rsidRDefault="001A54E6" w:rsidP="00394372">
            <w:pPr>
              <w:rPr>
                <w:rFonts w:ascii="Calibri" w:hAnsi="Calibri"/>
                <w:bCs/>
                <w:lang w:eastAsia="ja-JP"/>
              </w:rPr>
            </w:pPr>
            <w:r w:rsidRPr="00912996">
              <w:rPr>
                <w:rFonts w:ascii="Calibri" w:hAnsi="Calibri"/>
                <w:bCs/>
                <w:lang w:eastAsia="ja-JP"/>
              </w:rPr>
              <w:t>Bugetul local</w:t>
            </w:r>
          </w:p>
          <w:p w14:paraId="35401A0A"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7733B9A3" w14:textId="77777777" w:rsidR="001A54E6" w:rsidRDefault="001A54E6" w:rsidP="00394372">
            <w:pPr>
              <w:rPr>
                <w:rFonts w:ascii="Calibri" w:hAnsi="Calibri"/>
                <w:bCs/>
                <w:lang w:eastAsia="ja-JP"/>
              </w:rPr>
            </w:pPr>
            <w:r w:rsidRPr="00912996">
              <w:rPr>
                <w:rFonts w:ascii="Calibri" w:hAnsi="Calibri"/>
                <w:bCs/>
                <w:lang w:eastAsia="ja-JP"/>
              </w:rPr>
              <w:t>Proiect prioritar</w:t>
            </w:r>
          </w:p>
          <w:p w14:paraId="16659169"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518831E6" w14:textId="77777777" w:rsidR="001A54E6" w:rsidRDefault="001A54E6" w:rsidP="00394372">
            <w:pPr>
              <w:rPr>
                <w:rFonts w:ascii="Calibri" w:hAnsi="Calibri"/>
                <w:bCs/>
                <w:lang w:eastAsia="ja-JP"/>
              </w:rPr>
            </w:pPr>
            <w:r w:rsidRPr="00912996">
              <w:rPr>
                <w:rFonts w:ascii="Calibri" w:hAnsi="Calibri"/>
                <w:bCs/>
                <w:lang w:eastAsia="ja-JP"/>
              </w:rPr>
              <w:t>DGVBL S2</w:t>
            </w:r>
          </w:p>
          <w:p w14:paraId="70EF2CB4" w14:textId="77777777" w:rsidR="001A54E6" w:rsidRPr="00912996" w:rsidRDefault="001A54E6" w:rsidP="00394372">
            <w:pPr>
              <w:rPr>
                <w:rFonts w:ascii="Calibri" w:hAnsi="Calibri"/>
                <w:bCs/>
                <w:lang w:eastAsia="ja-JP"/>
              </w:rPr>
            </w:pPr>
            <w:r w:rsidRPr="00912996">
              <w:rPr>
                <w:rFonts w:ascii="Calibri" w:hAnsi="Calibri"/>
                <w:bCs/>
                <w:lang w:eastAsia="ja-JP"/>
              </w:rPr>
              <w:t>DGVBL S2</w:t>
            </w:r>
          </w:p>
        </w:tc>
      </w:tr>
      <w:tr w:rsidR="00AC2FFA" w:rsidRPr="00912996" w14:paraId="344654CE" w14:textId="77777777" w:rsidTr="00E2442E">
        <w:trPr>
          <w:gridAfter w:val="9"/>
          <w:wAfter w:w="15421" w:type="dxa"/>
          <w:trHeight w:val="540"/>
        </w:trPr>
        <w:tc>
          <w:tcPr>
            <w:tcW w:w="625" w:type="dxa"/>
            <w:shd w:val="clear" w:color="auto" w:fill="F2F2F2"/>
            <w:noWrap/>
          </w:tcPr>
          <w:p w14:paraId="77E7FC5D" w14:textId="77777777" w:rsidR="001A54E6" w:rsidRPr="00912996" w:rsidRDefault="001A54E6" w:rsidP="00394372">
            <w:pPr>
              <w:rPr>
                <w:rFonts w:ascii="Calibri" w:hAnsi="Calibri"/>
                <w:bCs/>
                <w:lang w:eastAsia="ja-JP"/>
              </w:rPr>
            </w:pPr>
            <w:r>
              <w:rPr>
                <w:rFonts w:ascii="Calibri" w:hAnsi="Calibri"/>
                <w:bCs/>
                <w:lang w:eastAsia="ja-JP"/>
              </w:rPr>
              <w:t>4</w:t>
            </w:r>
          </w:p>
        </w:tc>
        <w:tc>
          <w:tcPr>
            <w:tcW w:w="2250" w:type="dxa"/>
            <w:shd w:val="clear" w:color="auto" w:fill="F2F2F2"/>
          </w:tcPr>
          <w:p w14:paraId="19C9722D" w14:textId="77777777" w:rsidR="001A54E6" w:rsidRPr="00912996" w:rsidRDefault="001A54E6" w:rsidP="00394372">
            <w:pPr>
              <w:rPr>
                <w:rFonts w:ascii="Calibri" w:hAnsi="Calibri"/>
                <w:bCs/>
                <w:lang w:eastAsia="ja-JP"/>
              </w:rPr>
            </w:pPr>
            <w:r w:rsidRPr="00A84317">
              <w:rPr>
                <w:rFonts w:ascii="Calibri" w:hAnsi="Calibri"/>
                <w:bCs/>
                <w:lang w:eastAsia="ja-JP"/>
              </w:rPr>
              <w:t>Realizare de capacități de producere energie electrica din surse regenerabile pentru sediul administrativ al Primăriei Sectorului 2</w:t>
            </w:r>
          </w:p>
        </w:tc>
        <w:tc>
          <w:tcPr>
            <w:tcW w:w="1530" w:type="dxa"/>
            <w:shd w:val="clear" w:color="auto" w:fill="F2F2F2"/>
          </w:tcPr>
          <w:p w14:paraId="602DDB86" w14:textId="77777777" w:rsidR="001A54E6" w:rsidRPr="00912996" w:rsidRDefault="001A54E6" w:rsidP="00394372">
            <w:pPr>
              <w:rPr>
                <w:rFonts w:ascii="Calibri" w:hAnsi="Calibri"/>
                <w:bCs/>
                <w:lang w:eastAsia="ja-JP"/>
              </w:rPr>
            </w:pPr>
            <w:r w:rsidRPr="00A84317">
              <w:rPr>
                <w:rFonts w:ascii="Calibri" w:hAnsi="Calibri"/>
                <w:bCs/>
                <w:lang w:eastAsia="ja-JP"/>
              </w:rPr>
              <w:t>PS2</w:t>
            </w:r>
          </w:p>
        </w:tc>
        <w:tc>
          <w:tcPr>
            <w:tcW w:w="1620" w:type="dxa"/>
            <w:shd w:val="clear" w:color="auto" w:fill="F2F2F2"/>
            <w:noWrap/>
          </w:tcPr>
          <w:p w14:paraId="5A4B7FD7" w14:textId="77777777" w:rsidR="001A54E6" w:rsidRPr="00912996" w:rsidRDefault="001A54E6" w:rsidP="00394372">
            <w:pPr>
              <w:rPr>
                <w:rFonts w:ascii="Calibri" w:hAnsi="Calibri"/>
                <w:bCs/>
                <w:lang w:eastAsia="ja-JP"/>
              </w:rPr>
            </w:pPr>
            <w:r w:rsidRPr="00A84317">
              <w:rPr>
                <w:rFonts w:ascii="Calibri" w:hAnsi="Calibri"/>
                <w:bCs/>
                <w:lang w:eastAsia="ja-JP"/>
              </w:rPr>
              <w:t>Idee</w:t>
            </w:r>
          </w:p>
        </w:tc>
        <w:tc>
          <w:tcPr>
            <w:tcW w:w="1260" w:type="dxa"/>
            <w:shd w:val="clear" w:color="auto" w:fill="F2F2F2"/>
            <w:noWrap/>
          </w:tcPr>
          <w:p w14:paraId="1D7444FB" w14:textId="77777777" w:rsidR="001A54E6" w:rsidRPr="00912996" w:rsidRDefault="001A54E6" w:rsidP="00394372">
            <w:pPr>
              <w:rPr>
                <w:rFonts w:ascii="Calibri" w:hAnsi="Calibri"/>
                <w:bCs/>
                <w:lang w:eastAsia="ja-JP"/>
              </w:rPr>
            </w:pPr>
            <w:r w:rsidRPr="00A84317">
              <w:rPr>
                <w:rFonts w:ascii="Calibri" w:hAnsi="Calibri"/>
                <w:bCs/>
                <w:lang w:eastAsia="ja-JP"/>
              </w:rPr>
              <w:t>N/A</w:t>
            </w:r>
          </w:p>
        </w:tc>
        <w:tc>
          <w:tcPr>
            <w:tcW w:w="1260" w:type="dxa"/>
            <w:shd w:val="clear" w:color="auto" w:fill="F2F2F2"/>
            <w:noWrap/>
          </w:tcPr>
          <w:p w14:paraId="10871DEA" w14:textId="77777777" w:rsidR="001A54E6" w:rsidRPr="00912996" w:rsidRDefault="001A54E6" w:rsidP="00394372">
            <w:pPr>
              <w:rPr>
                <w:rFonts w:ascii="Calibri" w:hAnsi="Calibri"/>
                <w:bCs/>
                <w:lang w:eastAsia="ja-JP"/>
              </w:rPr>
            </w:pPr>
            <w:r w:rsidRPr="00A84317">
              <w:rPr>
                <w:rFonts w:ascii="Calibri" w:hAnsi="Calibri"/>
                <w:bCs/>
                <w:lang w:eastAsia="ja-JP"/>
              </w:rPr>
              <w:t>N/A</w:t>
            </w:r>
          </w:p>
        </w:tc>
        <w:tc>
          <w:tcPr>
            <w:tcW w:w="1089" w:type="dxa"/>
            <w:shd w:val="clear" w:color="auto" w:fill="F2F2F2"/>
            <w:noWrap/>
          </w:tcPr>
          <w:p w14:paraId="2A934D7C" w14:textId="77777777" w:rsidR="001A54E6" w:rsidRPr="00912996" w:rsidRDefault="001A54E6" w:rsidP="00394372">
            <w:pPr>
              <w:rPr>
                <w:rFonts w:ascii="Calibri" w:hAnsi="Calibri"/>
                <w:bCs/>
                <w:lang w:eastAsia="ja-JP"/>
              </w:rPr>
            </w:pPr>
            <w:r w:rsidRPr="00A84317">
              <w:rPr>
                <w:rFonts w:ascii="Calibri" w:hAnsi="Calibri"/>
                <w:bCs/>
                <w:lang w:eastAsia="ja-JP"/>
              </w:rPr>
              <w:t>N/A</w:t>
            </w:r>
          </w:p>
        </w:tc>
        <w:tc>
          <w:tcPr>
            <w:tcW w:w="1881" w:type="dxa"/>
            <w:shd w:val="clear" w:color="auto" w:fill="F2F2F2"/>
          </w:tcPr>
          <w:p w14:paraId="70105FB7" w14:textId="77777777" w:rsidR="001A54E6" w:rsidRPr="00912996" w:rsidRDefault="001A54E6" w:rsidP="00394372">
            <w:pPr>
              <w:rPr>
                <w:rFonts w:ascii="Calibri" w:hAnsi="Calibri"/>
                <w:bCs/>
                <w:lang w:eastAsia="ja-JP"/>
              </w:rPr>
            </w:pPr>
            <w:r w:rsidRPr="00A84317">
              <w:rPr>
                <w:rFonts w:ascii="Calibri" w:hAnsi="Calibri"/>
                <w:bCs/>
                <w:lang w:eastAsia="ja-JP"/>
              </w:rPr>
              <w:t>FM, Bugetul local, Alte surse de finanțare</w:t>
            </w:r>
          </w:p>
        </w:tc>
        <w:tc>
          <w:tcPr>
            <w:tcW w:w="1260" w:type="dxa"/>
            <w:shd w:val="clear" w:color="auto" w:fill="F2F2F2"/>
          </w:tcPr>
          <w:p w14:paraId="3F34EF3C" w14:textId="77777777" w:rsidR="001A54E6" w:rsidRPr="00912996" w:rsidRDefault="001A54E6" w:rsidP="00394372">
            <w:pPr>
              <w:rPr>
                <w:rFonts w:ascii="Calibri" w:hAnsi="Calibri"/>
                <w:bCs/>
                <w:lang w:eastAsia="ja-JP"/>
              </w:rPr>
            </w:pPr>
            <w:r w:rsidRPr="00A84317">
              <w:rPr>
                <w:rFonts w:ascii="Calibri" w:hAnsi="Calibri"/>
                <w:bCs/>
                <w:lang w:eastAsia="ja-JP"/>
              </w:rPr>
              <w:t>Lista lungă de proiecte</w:t>
            </w:r>
          </w:p>
        </w:tc>
        <w:tc>
          <w:tcPr>
            <w:tcW w:w="1440" w:type="dxa"/>
            <w:shd w:val="clear" w:color="auto" w:fill="F2F2F2"/>
            <w:noWrap/>
          </w:tcPr>
          <w:p w14:paraId="6CCA9F18" w14:textId="77777777" w:rsidR="001A54E6" w:rsidRPr="00912996" w:rsidRDefault="001A54E6" w:rsidP="00394372">
            <w:pPr>
              <w:rPr>
                <w:rFonts w:ascii="Calibri" w:hAnsi="Calibri"/>
                <w:bCs/>
                <w:lang w:eastAsia="ja-JP"/>
              </w:rPr>
            </w:pPr>
            <w:r w:rsidRPr="00A84317">
              <w:rPr>
                <w:rFonts w:ascii="Calibri" w:hAnsi="Calibri"/>
                <w:bCs/>
                <w:lang w:eastAsia="ja-JP"/>
              </w:rPr>
              <w:t>PS2 - DAISE</w:t>
            </w:r>
          </w:p>
        </w:tc>
      </w:tr>
      <w:tr w:rsidR="00AC2FFA" w:rsidRPr="00912996" w14:paraId="69DAA20E" w14:textId="77777777" w:rsidTr="00E2442E">
        <w:trPr>
          <w:gridAfter w:val="9"/>
          <w:wAfter w:w="15421" w:type="dxa"/>
          <w:trHeight w:val="540"/>
        </w:trPr>
        <w:tc>
          <w:tcPr>
            <w:tcW w:w="625" w:type="dxa"/>
            <w:shd w:val="clear" w:color="auto" w:fill="F2F2F2"/>
            <w:noWrap/>
          </w:tcPr>
          <w:p w14:paraId="09302AB2" w14:textId="77777777" w:rsidR="001A54E6" w:rsidRDefault="001A54E6" w:rsidP="00394372">
            <w:pPr>
              <w:rPr>
                <w:rFonts w:ascii="Calibri" w:hAnsi="Calibri"/>
                <w:bCs/>
                <w:lang w:eastAsia="ja-JP"/>
              </w:rPr>
            </w:pPr>
            <w:r>
              <w:rPr>
                <w:rFonts w:ascii="Calibri" w:hAnsi="Calibri"/>
                <w:bCs/>
                <w:lang w:eastAsia="ja-JP"/>
              </w:rPr>
              <w:t>5</w:t>
            </w:r>
          </w:p>
        </w:tc>
        <w:tc>
          <w:tcPr>
            <w:tcW w:w="2250" w:type="dxa"/>
            <w:shd w:val="clear" w:color="auto" w:fill="F2F2F2"/>
          </w:tcPr>
          <w:p w14:paraId="17E2A98F" w14:textId="77777777" w:rsidR="001A54E6" w:rsidRPr="00A84317" w:rsidRDefault="001A54E6" w:rsidP="00394372">
            <w:pPr>
              <w:rPr>
                <w:rFonts w:ascii="Calibri" w:hAnsi="Calibri"/>
                <w:bCs/>
                <w:lang w:eastAsia="ja-JP"/>
              </w:rPr>
            </w:pPr>
            <w:r w:rsidRPr="00A84317">
              <w:rPr>
                <w:rFonts w:ascii="Calibri" w:hAnsi="Calibri"/>
                <w:bCs/>
                <w:lang w:eastAsia="ja-JP"/>
              </w:rPr>
              <w:t>Realizare de capacități de producere energie electrica din surse regenerabile pentru sediul din strada Thomas Masaryk nr.22</w:t>
            </w:r>
          </w:p>
        </w:tc>
        <w:tc>
          <w:tcPr>
            <w:tcW w:w="1530" w:type="dxa"/>
            <w:shd w:val="clear" w:color="auto" w:fill="F2F2F2"/>
          </w:tcPr>
          <w:p w14:paraId="6D8FA3F2" w14:textId="77777777" w:rsidR="001A54E6" w:rsidRPr="00A84317" w:rsidRDefault="001A54E6" w:rsidP="00394372">
            <w:pPr>
              <w:rPr>
                <w:rFonts w:ascii="Calibri" w:hAnsi="Calibri"/>
                <w:bCs/>
                <w:lang w:eastAsia="ja-JP"/>
              </w:rPr>
            </w:pPr>
            <w:r w:rsidRPr="00A84317">
              <w:rPr>
                <w:rFonts w:ascii="Calibri" w:hAnsi="Calibri"/>
                <w:bCs/>
                <w:lang w:eastAsia="ja-JP"/>
              </w:rPr>
              <w:t>PS2</w:t>
            </w:r>
          </w:p>
        </w:tc>
        <w:tc>
          <w:tcPr>
            <w:tcW w:w="1620" w:type="dxa"/>
            <w:shd w:val="clear" w:color="auto" w:fill="F2F2F2"/>
            <w:noWrap/>
          </w:tcPr>
          <w:p w14:paraId="3A916251" w14:textId="77777777" w:rsidR="001A54E6" w:rsidRPr="00A84317" w:rsidRDefault="001A54E6" w:rsidP="00394372">
            <w:pPr>
              <w:rPr>
                <w:rFonts w:ascii="Calibri" w:hAnsi="Calibri"/>
                <w:bCs/>
                <w:lang w:eastAsia="ja-JP"/>
              </w:rPr>
            </w:pPr>
            <w:r w:rsidRPr="00A84317">
              <w:rPr>
                <w:rFonts w:ascii="Calibri" w:hAnsi="Calibri"/>
                <w:bCs/>
                <w:lang w:eastAsia="ja-JP"/>
              </w:rPr>
              <w:t>Idee</w:t>
            </w:r>
          </w:p>
        </w:tc>
        <w:tc>
          <w:tcPr>
            <w:tcW w:w="1260" w:type="dxa"/>
            <w:shd w:val="clear" w:color="auto" w:fill="F2F2F2"/>
            <w:noWrap/>
          </w:tcPr>
          <w:p w14:paraId="76758A60" w14:textId="77777777" w:rsidR="001A54E6" w:rsidRPr="00A84317" w:rsidRDefault="001A54E6" w:rsidP="00394372">
            <w:pPr>
              <w:rPr>
                <w:rFonts w:ascii="Calibri" w:hAnsi="Calibri"/>
                <w:bCs/>
                <w:lang w:eastAsia="ja-JP"/>
              </w:rPr>
            </w:pPr>
            <w:r w:rsidRPr="00A84317">
              <w:rPr>
                <w:rFonts w:ascii="Calibri" w:hAnsi="Calibri"/>
                <w:bCs/>
                <w:lang w:eastAsia="ja-JP"/>
              </w:rPr>
              <w:t>N/A</w:t>
            </w:r>
          </w:p>
        </w:tc>
        <w:tc>
          <w:tcPr>
            <w:tcW w:w="1260" w:type="dxa"/>
            <w:shd w:val="clear" w:color="auto" w:fill="F2F2F2"/>
            <w:noWrap/>
          </w:tcPr>
          <w:p w14:paraId="164A739F" w14:textId="77777777" w:rsidR="001A54E6" w:rsidRPr="00A84317" w:rsidRDefault="001A54E6" w:rsidP="00394372">
            <w:pPr>
              <w:rPr>
                <w:rFonts w:ascii="Calibri" w:hAnsi="Calibri"/>
                <w:bCs/>
                <w:lang w:eastAsia="ja-JP"/>
              </w:rPr>
            </w:pPr>
            <w:r w:rsidRPr="00A84317">
              <w:rPr>
                <w:rFonts w:ascii="Calibri" w:hAnsi="Calibri"/>
                <w:bCs/>
                <w:lang w:eastAsia="ja-JP"/>
              </w:rPr>
              <w:t>N/A</w:t>
            </w:r>
          </w:p>
        </w:tc>
        <w:tc>
          <w:tcPr>
            <w:tcW w:w="1089" w:type="dxa"/>
            <w:shd w:val="clear" w:color="auto" w:fill="F2F2F2"/>
            <w:noWrap/>
          </w:tcPr>
          <w:p w14:paraId="41426038" w14:textId="77777777" w:rsidR="001A54E6" w:rsidRPr="00A84317" w:rsidRDefault="001A54E6" w:rsidP="00394372">
            <w:pPr>
              <w:rPr>
                <w:rFonts w:ascii="Calibri" w:hAnsi="Calibri"/>
                <w:bCs/>
                <w:lang w:eastAsia="ja-JP"/>
              </w:rPr>
            </w:pPr>
            <w:r w:rsidRPr="00A84317">
              <w:rPr>
                <w:rFonts w:ascii="Calibri" w:hAnsi="Calibri"/>
                <w:bCs/>
                <w:lang w:eastAsia="ja-JP"/>
              </w:rPr>
              <w:t>N/A</w:t>
            </w:r>
          </w:p>
        </w:tc>
        <w:tc>
          <w:tcPr>
            <w:tcW w:w="1881" w:type="dxa"/>
            <w:shd w:val="clear" w:color="auto" w:fill="F2F2F2"/>
          </w:tcPr>
          <w:p w14:paraId="2A722CCC" w14:textId="77777777" w:rsidR="001A54E6" w:rsidRPr="00A84317" w:rsidRDefault="001A54E6" w:rsidP="00394372">
            <w:pPr>
              <w:rPr>
                <w:rFonts w:ascii="Calibri" w:hAnsi="Calibri"/>
                <w:bCs/>
                <w:lang w:eastAsia="ja-JP"/>
              </w:rPr>
            </w:pPr>
            <w:r w:rsidRPr="00A84317">
              <w:rPr>
                <w:rFonts w:ascii="Calibri" w:hAnsi="Calibri"/>
                <w:bCs/>
                <w:lang w:eastAsia="ja-JP"/>
              </w:rPr>
              <w:t>FM, Bugetul local, Alte surse de finanțare</w:t>
            </w:r>
          </w:p>
        </w:tc>
        <w:tc>
          <w:tcPr>
            <w:tcW w:w="1260" w:type="dxa"/>
            <w:shd w:val="clear" w:color="auto" w:fill="F2F2F2"/>
          </w:tcPr>
          <w:p w14:paraId="792D4986" w14:textId="77777777" w:rsidR="001A54E6" w:rsidRPr="00A84317" w:rsidRDefault="001A54E6" w:rsidP="00394372">
            <w:pPr>
              <w:rPr>
                <w:rFonts w:ascii="Calibri" w:hAnsi="Calibri"/>
                <w:bCs/>
                <w:lang w:eastAsia="ja-JP"/>
              </w:rPr>
            </w:pPr>
            <w:r w:rsidRPr="00A84317">
              <w:rPr>
                <w:rFonts w:ascii="Calibri" w:hAnsi="Calibri"/>
                <w:bCs/>
                <w:lang w:eastAsia="ja-JP"/>
              </w:rPr>
              <w:t>Lista lungă de proiecte</w:t>
            </w:r>
          </w:p>
        </w:tc>
        <w:tc>
          <w:tcPr>
            <w:tcW w:w="1440" w:type="dxa"/>
            <w:shd w:val="clear" w:color="auto" w:fill="F2F2F2"/>
            <w:noWrap/>
          </w:tcPr>
          <w:p w14:paraId="596A9B74" w14:textId="77777777" w:rsidR="001A54E6" w:rsidRPr="00A84317" w:rsidRDefault="001A54E6" w:rsidP="00394372">
            <w:pPr>
              <w:rPr>
                <w:rFonts w:ascii="Calibri" w:hAnsi="Calibri"/>
                <w:bCs/>
                <w:lang w:eastAsia="ja-JP"/>
              </w:rPr>
            </w:pPr>
            <w:r w:rsidRPr="00A84317">
              <w:rPr>
                <w:rFonts w:ascii="Calibri" w:hAnsi="Calibri"/>
                <w:bCs/>
                <w:lang w:eastAsia="ja-JP"/>
              </w:rPr>
              <w:t>PS2 - DAISE</w:t>
            </w:r>
          </w:p>
        </w:tc>
      </w:tr>
      <w:tr w:rsidR="00AC2FFA" w:rsidRPr="00912996" w14:paraId="35E2505F" w14:textId="77777777" w:rsidTr="00E2442E">
        <w:trPr>
          <w:gridAfter w:val="9"/>
          <w:wAfter w:w="15421" w:type="dxa"/>
          <w:trHeight w:val="540"/>
        </w:trPr>
        <w:tc>
          <w:tcPr>
            <w:tcW w:w="625" w:type="dxa"/>
            <w:shd w:val="clear" w:color="auto" w:fill="F2F2F2"/>
            <w:noWrap/>
          </w:tcPr>
          <w:p w14:paraId="0387E907" w14:textId="77777777" w:rsidR="001A54E6" w:rsidRDefault="001A54E6" w:rsidP="00394372">
            <w:pPr>
              <w:rPr>
                <w:rFonts w:ascii="Calibri" w:hAnsi="Calibri"/>
                <w:bCs/>
                <w:lang w:eastAsia="ja-JP"/>
              </w:rPr>
            </w:pPr>
            <w:r>
              <w:rPr>
                <w:rFonts w:ascii="Calibri" w:hAnsi="Calibri"/>
                <w:bCs/>
                <w:lang w:eastAsia="ja-JP"/>
              </w:rPr>
              <w:t>6</w:t>
            </w:r>
          </w:p>
        </w:tc>
        <w:tc>
          <w:tcPr>
            <w:tcW w:w="2250" w:type="dxa"/>
            <w:shd w:val="clear" w:color="auto" w:fill="F2F2F2"/>
          </w:tcPr>
          <w:p w14:paraId="10036147" w14:textId="77777777" w:rsidR="001A54E6" w:rsidRPr="00A84317" w:rsidRDefault="001A54E6" w:rsidP="00394372">
            <w:pPr>
              <w:rPr>
                <w:rFonts w:ascii="Calibri" w:hAnsi="Calibri"/>
                <w:bCs/>
                <w:lang w:eastAsia="ja-JP"/>
              </w:rPr>
            </w:pPr>
            <w:r w:rsidRPr="00A84317">
              <w:rPr>
                <w:rFonts w:ascii="Calibri" w:hAnsi="Calibri"/>
                <w:bCs/>
                <w:lang w:eastAsia="ja-JP"/>
              </w:rPr>
              <w:t>Instalare panouri fotovoltaice pe sediile clădirilor administrative din Sectorul 2</w:t>
            </w:r>
          </w:p>
        </w:tc>
        <w:tc>
          <w:tcPr>
            <w:tcW w:w="1530" w:type="dxa"/>
            <w:shd w:val="clear" w:color="auto" w:fill="F2F2F2"/>
          </w:tcPr>
          <w:p w14:paraId="6CB788F4" w14:textId="77777777" w:rsidR="001A54E6" w:rsidRPr="00A84317" w:rsidRDefault="001A54E6" w:rsidP="00394372">
            <w:pPr>
              <w:rPr>
                <w:rFonts w:ascii="Calibri" w:hAnsi="Calibri"/>
                <w:bCs/>
                <w:lang w:eastAsia="ja-JP"/>
              </w:rPr>
            </w:pPr>
            <w:r w:rsidRPr="00A84317">
              <w:rPr>
                <w:rFonts w:ascii="Calibri" w:hAnsi="Calibri"/>
                <w:bCs/>
                <w:lang w:eastAsia="ja-JP"/>
              </w:rPr>
              <w:t>PS2</w:t>
            </w:r>
          </w:p>
        </w:tc>
        <w:tc>
          <w:tcPr>
            <w:tcW w:w="1620" w:type="dxa"/>
            <w:shd w:val="clear" w:color="auto" w:fill="F2F2F2"/>
            <w:noWrap/>
          </w:tcPr>
          <w:p w14:paraId="580DE044" w14:textId="77777777" w:rsidR="001A54E6" w:rsidRPr="00A84317" w:rsidRDefault="001A54E6" w:rsidP="00394372">
            <w:pPr>
              <w:rPr>
                <w:rFonts w:ascii="Calibri" w:hAnsi="Calibri"/>
                <w:bCs/>
                <w:lang w:eastAsia="ja-JP"/>
              </w:rPr>
            </w:pPr>
            <w:r w:rsidRPr="00A84317">
              <w:rPr>
                <w:rFonts w:ascii="Calibri" w:hAnsi="Calibri"/>
                <w:bCs/>
                <w:lang w:eastAsia="ja-JP"/>
              </w:rPr>
              <w:t>Idee</w:t>
            </w:r>
          </w:p>
        </w:tc>
        <w:tc>
          <w:tcPr>
            <w:tcW w:w="1260" w:type="dxa"/>
            <w:shd w:val="clear" w:color="auto" w:fill="F2F2F2"/>
            <w:noWrap/>
          </w:tcPr>
          <w:p w14:paraId="276172A3" w14:textId="77777777" w:rsidR="001A54E6" w:rsidRPr="00A84317" w:rsidRDefault="001A54E6" w:rsidP="00394372">
            <w:pPr>
              <w:rPr>
                <w:rFonts w:ascii="Calibri" w:hAnsi="Calibri"/>
                <w:bCs/>
                <w:lang w:eastAsia="ja-JP"/>
              </w:rPr>
            </w:pPr>
            <w:r w:rsidRPr="00A84317">
              <w:rPr>
                <w:rFonts w:ascii="Calibri" w:hAnsi="Calibri"/>
                <w:bCs/>
                <w:lang w:eastAsia="ja-JP"/>
              </w:rPr>
              <w:t>N/A</w:t>
            </w:r>
          </w:p>
        </w:tc>
        <w:tc>
          <w:tcPr>
            <w:tcW w:w="1260" w:type="dxa"/>
            <w:shd w:val="clear" w:color="auto" w:fill="F2F2F2"/>
            <w:noWrap/>
          </w:tcPr>
          <w:p w14:paraId="60779A33" w14:textId="77777777" w:rsidR="001A54E6" w:rsidRPr="00A84317" w:rsidRDefault="001A54E6" w:rsidP="00394372">
            <w:pPr>
              <w:rPr>
                <w:rFonts w:ascii="Calibri" w:hAnsi="Calibri"/>
                <w:bCs/>
                <w:lang w:eastAsia="ja-JP"/>
              </w:rPr>
            </w:pPr>
            <w:r w:rsidRPr="00A84317">
              <w:rPr>
                <w:rFonts w:ascii="Calibri" w:hAnsi="Calibri"/>
                <w:bCs/>
                <w:lang w:eastAsia="ja-JP"/>
              </w:rPr>
              <w:t>N/A</w:t>
            </w:r>
          </w:p>
        </w:tc>
        <w:tc>
          <w:tcPr>
            <w:tcW w:w="1089" w:type="dxa"/>
            <w:shd w:val="clear" w:color="auto" w:fill="F2F2F2"/>
            <w:noWrap/>
          </w:tcPr>
          <w:p w14:paraId="67637F33" w14:textId="77777777" w:rsidR="001A54E6" w:rsidRPr="00A84317" w:rsidRDefault="001A54E6" w:rsidP="00394372">
            <w:pPr>
              <w:rPr>
                <w:rFonts w:ascii="Calibri" w:hAnsi="Calibri"/>
                <w:bCs/>
                <w:lang w:eastAsia="ja-JP"/>
              </w:rPr>
            </w:pPr>
            <w:r w:rsidRPr="00A84317">
              <w:rPr>
                <w:rFonts w:ascii="Calibri" w:hAnsi="Calibri"/>
                <w:bCs/>
                <w:lang w:eastAsia="ja-JP"/>
              </w:rPr>
              <w:t>N/A</w:t>
            </w:r>
          </w:p>
        </w:tc>
        <w:tc>
          <w:tcPr>
            <w:tcW w:w="1881" w:type="dxa"/>
            <w:shd w:val="clear" w:color="auto" w:fill="F2F2F2"/>
          </w:tcPr>
          <w:p w14:paraId="6F13BE36" w14:textId="77777777" w:rsidR="001A54E6" w:rsidRPr="00A84317" w:rsidRDefault="001A54E6" w:rsidP="00394372">
            <w:pPr>
              <w:rPr>
                <w:rFonts w:ascii="Calibri" w:hAnsi="Calibri"/>
                <w:bCs/>
                <w:lang w:eastAsia="ja-JP"/>
              </w:rPr>
            </w:pPr>
            <w:r w:rsidRPr="00A84317">
              <w:rPr>
                <w:rFonts w:ascii="Calibri" w:hAnsi="Calibri"/>
                <w:bCs/>
                <w:lang w:eastAsia="ja-JP"/>
              </w:rPr>
              <w:t>AFM, PNRR,  Bugetul local,  Alte surse de finanțare</w:t>
            </w:r>
          </w:p>
        </w:tc>
        <w:tc>
          <w:tcPr>
            <w:tcW w:w="1260" w:type="dxa"/>
            <w:shd w:val="clear" w:color="auto" w:fill="F2F2F2"/>
          </w:tcPr>
          <w:p w14:paraId="63751307" w14:textId="77777777" w:rsidR="001A54E6" w:rsidRPr="00A84317" w:rsidRDefault="001A54E6" w:rsidP="00394372">
            <w:pPr>
              <w:rPr>
                <w:rFonts w:ascii="Calibri" w:hAnsi="Calibri"/>
                <w:bCs/>
                <w:lang w:eastAsia="ja-JP"/>
              </w:rPr>
            </w:pPr>
            <w:r w:rsidRPr="00A84317">
              <w:rPr>
                <w:rFonts w:ascii="Calibri" w:hAnsi="Calibri"/>
                <w:bCs/>
                <w:lang w:eastAsia="ja-JP"/>
              </w:rPr>
              <w:t>Lista lungă</w:t>
            </w:r>
            <w:r>
              <w:rPr>
                <w:rFonts w:ascii="Calibri" w:hAnsi="Calibri"/>
                <w:bCs/>
                <w:lang w:eastAsia="ja-JP"/>
              </w:rPr>
              <w:t xml:space="preserve"> de proiecte</w:t>
            </w:r>
          </w:p>
        </w:tc>
        <w:tc>
          <w:tcPr>
            <w:tcW w:w="1440" w:type="dxa"/>
            <w:shd w:val="clear" w:color="auto" w:fill="F2F2F2"/>
            <w:noWrap/>
          </w:tcPr>
          <w:p w14:paraId="1D67E5A9" w14:textId="77777777" w:rsidR="001A54E6" w:rsidRPr="00A84317" w:rsidRDefault="001A54E6" w:rsidP="00394372">
            <w:pPr>
              <w:rPr>
                <w:rFonts w:ascii="Calibri" w:hAnsi="Calibri"/>
                <w:bCs/>
                <w:lang w:eastAsia="ja-JP"/>
              </w:rPr>
            </w:pPr>
            <w:r w:rsidRPr="00A84317">
              <w:rPr>
                <w:rFonts w:ascii="Calibri" w:hAnsi="Calibri"/>
                <w:bCs/>
                <w:lang w:eastAsia="ja-JP"/>
              </w:rPr>
              <w:t>PS2/ DGPDUFE</w:t>
            </w:r>
          </w:p>
        </w:tc>
      </w:tr>
      <w:tr w:rsidR="001A54E6" w:rsidRPr="00912996" w14:paraId="0E045037" w14:textId="77777777" w:rsidTr="00AC2FFA">
        <w:trPr>
          <w:gridAfter w:val="9"/>
          <w:wAfter w:w="15421" w:type="dxa"/>
          <w:trHeight w:val="276"/>
        </w:trPr>
        <w:tc>
          <w:tcPr>
            <w:tcW w:w="14215" w:type="dxa"/>
            <w:gridSpan w:val="10"/>
            <w:shd w:val="clear" w:color="auto" w:fill="CCE188"/>
            <w:noWrap/>
            <w:hideMark/>
          </w:tcPr>
          <w:p w14:paraId="46322D65" w14:textId="77777777" w:rsidR="001A54E6" w:rsidRPr="00912996" w:rsidRDefault="001A54E6" w:rsidP="00300445">
            <w:pPr>
              <w:jc w:val="center"/>
              <w:rPr>
                <w:rFonts w:ascii="Calibri" w:hAnsi="Calibri"/>
                <w:b/>
                <w:bCs/>
                <w:color w:val="FFFFFF"/>
                <w:lang w:eastAsia="ja-JP"/>
              </w:rPr>
            </w:pPr>
            <w:r w:rsidRPr="00912996">
              <w:rPr>
                <w:rFonts w:ascii="Calibri" w:hAnsi="Calibri"/>
                <w:b/>
                <w:bCs/>
                <w:color w:val="FFFFFF"/>
                <w:lang w:eastAsia="ja-JP"/>
              </w:rPr>
              <w:t>OBIECTIV SPECIFIC O3.2. - Rețea albastră-verde consolidată, extinsă și valorificată</w:t>
            </w:r>
          </w:p>
        </w:tc>
      </w:tr>
      <w:tr w:rsidR="001A54E6" w:rsidRPr="00912996" w14:paraId="6D51BE6A" w14:textId="77777777" w:rsidTr="00AC2FFA">
        <w:trPr>
          <w:gridAfter w:val="9"/>
          <w:wAfter w:w="15421" w:type="dxa"/>
          <w:trHeight w:val="276"/>
        </w:trPr>
        <w:tc>
          <w:tcPr>
            <w:tcW w:w="14215" w:type="dxa"/>
            <w:gridSpan w:val="10"/>
            <w:shd w:val="clear" w:color="auto" w:fill="BBD9A0"/>
            <w:noWrap/>
            <w:hideMark/>
          </w:tcPr>
          <w:p w14:paraId="5685FD42" w14:textId="77777777" w:rsidR="001A54E6" w:rsidRPr="00912996" w:rsidRDefault="001A54E6" w:rsidP="00300445">
            <w:pPr>
              <w:jc w:val="center"/>
              <w:rPr>
                <w:rFonts w:ascii="Calibri" w:hAnsi="Calibri"/>
                <w:b/>
                <w:bCs/>
                <w:lang w:eastAsia="ja-JP"/>
              </w:rPr>
            </w:pPr>
            <w:r w:rsidRPr="00912996">
              <w:rPr>
                <w:rFonts w:ascii="Calibri" w:hAnsi="Calibri"/>
                <w:b/>
                <w:bCs/>
                <w:color w:val="FFFFFF"/>
                <w:lang w:eastAsia="ja-JP"/>
              </w:rPr>
              <w:t>D3.2.1. Ameliorarea calității apei și a peisajului în zona salbei de lacuri</w:t>
            </w:r>
          </w:p>
        </w:tc>
      </w:tr>
      <w:tr w:rsidR="00AC2FFA" w:rsidRPr="00912996" w14:paraId="16D9260E" w14:textId="77777777" w:rsidTr="00E2442E">
        <w:trPr>
          <w:gridAfter w:val="9"/>
          <w:wAfter w:w="15421" w:type="dxa"/>
          <w:trHeight w:val="804"/>
        </w:trPr>
        <w:tc>
          <w:tcPr>
            <w:tcW w:w="625" w:type="dxa"/>
            <w:shd w:val="clear" w:color="auto" w:fill="F2F2F2"/>
            <w:noWrap/>
            <w:hideMark/>
          </w:tcPr>
          <w:p w14:paraId="7402E8DB"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2EAC1F9B" w14:textId="77777777" w:rsidR="001A54E6" w:rsidRPr="00912996" w:rsidRDefault="001A54E6" w:rsidP="00394372">
            <w:pPr>
              <w:rPr>
                <w:rFonts w:ascii="Calibri" w:hAnsi="Calibri"/>
                <w:bCs/>
                <w:lang w:eastAsia="ja-JP"/>
              </w:rPr>
            </w:pPr>
            <w:r w:rsidRPr="00912996">
              <w:rPr>
                <w:rFonts w:ascii="Calibri" w:hAnsi="Calibri"/>
                <w:bCs/>
                <w:lang w:eastAsia="ja-JP"/>
              </w:rPr>
              <w:t>Lucrări de amenajare, reconfigurare, sistematizare a zonelor (malurilor) aferente salbei de lacuri situată pe raza sectorului 2 - Tronson I Zona Lacul Tei</w:t>
            </w:r>
          </w:p>
        </w:tc>
        <w:tc>
          <w:tcPr>
            <w:tcW w:w="1530" w:type="dxa"/>
            <w:shd w:val="clear" w:color="auto" w:fill="F2F2F2"/>
            <w:hideMark/>
          </w:tcPr>
          <w:p w14:paraId="1C45558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AEDE153" w14:textId="1CB26A76" w:rsidR="001A54E6" w:rsidRPr="00901B2D" w:rsidRDefault="001A54E6" w:rsidP="00394372">
            <w:pPr>
              <w:rPr>
                <w:rFonts w:ascii="Calibri" w:hAnsi="Calibri"/>
                <w:bCs/>
                <w:lang w:eastAsia="ja-JP"/>
              </w:rPr>
            </w:pPr>
            <w:r w:rsidRPr="00901B2D">
              <w:rPr>
                <w:rFonts w:ascii="Calibri" w:hAnsi="Calibri"/>
                <w:bCs/>
                <w:lang w:eastAsia="ja-JP"/>
              </w:rPr>
              <w:t>Fișă de proiect</w:t>
            </w:r>
          </w:p>
          <w:p w14:paraId="02E9EE1F" w14:textId="03AAF129" w:rsidR="001A54E6" w:rsidRPr="00912996" w:rsidRDefault="001A54E6" w:rsidP="00394372">
            <w:pPr>
              <w:rPr>
                <w:rFonts w:ascii="Calibri" w:hAnsi="Calibri"/>
                <w:bCs/>
                <w:lang w:eastAsia="ja-JP"/>
              </w:rPr>
            </w:pPr>
            <w:r>
              <w:rPr>
                <w:rFonts w:ascii="Calibri" w:hAnsi="Calibri"/>
                <w:bCs/>
                <w:lang w:eastAsia="ja-JP"/>
              </w:rPr>
              <w:t>D</w:t>
            </w:r>
            <w:r w:rsidRPr="00901B2D">
              <w:rPr>
                <w:rFonts w:ascii="Calibri" w:hAnsi="Calibri"/>
                <w:bCs/>
                <w:lang w:eastAsia="ja-JP"/>
              </w:rPr>
              <w:t>erulare contract achiziție servicii consultan</w:t>
            </w:r>
            <w:r>
              <w:rPr>
                <w:rFonts w:ascii="Calibri" w:hAnsi="Calibri"/>
                <w:bCs/>
                <w:lang w:eastAsia="ja-JP"/>
              </w:rPr>
              <w:t>ță</w:t>
            </w:r>
            <w:r w:rsidRPr="00901B2D">
              <w:rPr>
                <w:rFonts w:ascii="Calibri" w:hAnsi="Calibri"/>
                <w:bCs/>
                <w:lang w:eastAsia="ja-JP"/>
              </w:rPr>
              <w:t xml:space="preserve"> pentru organizarea concursului de soluții</w:t>
            </w:r>
          </w:p>
        </w:tc>
        <w:tc>
          <w:tcPr>
            <w:tcW w:w="1260" w:type="dxa"/>
            <w:shd w:val="clear" w:color="auto" w:fill="F2F2F2"/>
            <w:noWrap/>
            <w:hideMark/>
          </w:tcPr>
          <w:p w14:paraId="6360BAE1"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10EE3C9C"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hideMark/>
          </w:tcPr>
          <w:p w14:paraId="1E97E23F"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43CF5FDB" w14:textId="4C095298"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059D2DA7"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79ED1204"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086935B3" w14:textId="77777777" w:rsidTr="00E2442E">
        <w:trPr>
          <w:gridAfter w:val="9"/>
          <w:wAfter w:w="15421" w:type="dxa"/>
          <w:trHeight w:val="804"/>
        </w:trPr>
        <w:tc>
          <w:tcPr>
            <w:tcW w:w="625" w:type="dxa"/>
            <w:shd w:val="clear" w:color="auto" w:fill="F2F2F2"/>
            <w:noWrap/>
            <w:hideMark/>
          </w:tcPr>
          <w:p w14:paraId="2395B1A4"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40CCB027" w14:textId="77777777" w:rsidR="001A54E6" w:rsidRPr="00912996" w:rsidRDefault="001A54E6" w:rsidP="00394372">
            <w:pPr>
              <w:rPr>
                <w:rFonts w:ascii="Calibri" w:hAnsi="Calibri"/>
                <w:bCs/>
                <w:lang w:eastAsia="ja-JP"/>
              </w:rPr>
            </w:pPr>
            <w:r w:rsidRPr="00912996">
              <w:rPr>
                <w:rFonts w:ascii="Calibri" w:hAnsi="Calibri"/>
                <w:bCs/>
                <w:lang w:eastAsia="ja-JP"/>
              </w:rPr>
              <w:t>Lucrări de amenajare, reconfigurare, sistematizare a zonelor (malurilor) aferente salbei de lacuri situată pe raza sectorului 2 - Tronson II Zona Lacul Plumbuita</w:t>
            </w:r>
          </w:p>
        </w:tc>
        <w:tc>
          <w:tcPr>
            <w:tcW w:w="1530" w:type="dxa"/>
            <w:shd w:val="clear" w:color="auto" w:fill="F2F2F2"/>
            <w:hideMark/>
          </w:tcPr>
          <w:p w14:paraId="078E9E44"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055A3EDE" w14:textId="4FF25F86" w:rsidR="001A54E6" w:rsidRPr="00901B2D" w:rsidRDefault="001A54E6" w:rsidP="00394372">
            <w:pPr>
              <w:rPr>
                <w:rFonts w:ascii="Calibri" w:hAnsi="Calibri"/>
                <w:bCs/>
                <w:lang w:eastAsia="ja-JP"/>
              </w:rPr>
            </w:pPr>
            <w:r w:rsidRPr="00901B2D">
              <w:rPr>
                <w:rFonts w:ascii="Calibri" w:hAnsi="Calibri"/>
                <w:bCs/>
                <w:lang w:eastAsia="ja-JP"/>
              </w:rPr>
              <w:t>Fișă de proiect</w:t>
            </w:r>
          </w:p>
          <w:p w14:paraId="722A8BE9" w14:textId="20478946" w:rsidR="001A54E6" w:rsidRPr="00912996" w:rsidRDefault="001A54E6" w:rsidP="00394372">
            <w:pPr>
              <w:rPr>
                <w:rFonts w:ascii="Calibri" w:hAnsi="Calibri"/>
                <w:bCs/>
                <w:lang w:eastAsia="ja-JP"/>
              </w:rPr>
            </w:pPr>
            <w:r>
              <w:rPr>
                <w:rFonts w:ascii="Calibri" w:hAnsi="Calibri"/>
                <w:bCs/>
                <w:lang w:eastAsia="ja-JP"/>
              </w:rPr>
              <w:t>D</w:t>
            </w:r>
            <w:r w:rsidRPr="00901B2D">
              <w:rPr>
                <w:rFonts w:ascii="Calibri" w:hAnsi="Calibri"/>
                <w:bCs/>
                <w:lang w:eastAsia="ja-JP"/>
              </w:rPr>
              <w:t>erulare contract achiziție servicii consultan</w:t>
            </w:r>
            <w:r>
              <w:rPr>
                <w:rFonts w:ascii="Calibri" w:hAnsi="Calibri"/>
                <w:bCs/>
                <w:lang w:eastAsia="ja-JP"/>
              </w:rPr>
              <w:t>ță</w:t>
            </w:r>
            <w:r w:rsidRPr="00901B2D">
              <w:rPr>
                <w:rFonts w:ascii="Calibri" w:hAnsi="Calibri"/>
                <w:bCs/>
                <w:lang w:eastAsia="ja-JP"/>
              </w:rPr>
              <w:t xml:space="preserve"> pentru organizarea concursului de soluții</w:t>
            </w:r>
          </w:p>
        </w:tc>
        <w:tc>
          <w:tcPr>
            <w:tcW w:w="1260" w:type="dxa"/>
            <w:shd w:val="clear" w:color="auto" w:fill="F2F2F2"/>
            <w:noWrap/>
            <w:hideMark/>
          </w:tcPr>
          <w:p w14:paraId="65464B80"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54CB5008"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hideMark/>
          </w:tcPr>
          <w:p w14:paraId="16CA1747"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61EBC67F" w14:textId="736A03FD"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2D2AEFD2"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633F2487"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52068546" w14:textId="77777777" w:rsidTr="00E2442E">
        <w:trPr>
          <w:gridAfter w:val="9"/>
          <w:wAfter w:w="15421" w:type="dxa"/>
          <w:trHeight w:val="804"/>
        </w:trPr>
        <w:tc>
          <w:tcPr>
            <w:tcW w:w="625" w:type="dxa"/>
            <w:shd w:val="clear" w:color="auto" w:fill="F2F2F2"/>
            <w:noWrap/>
            <w:hideMark/>
          </w:tcPr>
          <w:p w14:paraId="473DC1A9"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273B3BA0" w14:textId="77777777" w:rsidR="001A54E6" w:rsidRPr="00912996" w:rsidRDefault="001A54E6" w:rsidP="00394372">
            <w:pPr>
              <w:rPr>
                <w:rFonts w:ascii="Calibri" w:hAnsi="Calibri"/>
                <w:bCs/>
                <w:lang w:eastAsia="ja-JP"/>
              </w:rPr>
            </w:pPr>
            <w:r w:rsidRPr="00912996">
              <w:rPr>
                <w:rFonts w:ascii="Calibri" w:hAnsi="Calibri"/>
                <w:bCs/>
                <w:lang w:eastAsia="ja-JP"/>
              </w:rPr>
              <w:t>Lucrări de amenajare, reconfigurare, sistematizare a zonelor (malurilor) aferente salbei de lacuri situată pe raza sectorului 2 - Tronson III Zona Valea Saulei</w:t>
            </w:r>
          </w:p>
        </w:tc>
        <w:tc>
          <w:tcPr>
            <w:tcW w:w="1530" w:type="dxa"/>
            <w:shd w:val="clear" w:color="auto" w:fill="F2F2F2"/>
            <w:hideMark/>
          </w:tcPr>
          <w:p w14:paraId="266B2AB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7851794D" w14:textId="2A60ABA0" w:rsidR="001A54E6" w:rsidRPr="00901B2D" w:rsidRDefault="001A54E6" w:rsidP="00394372">
            <w:pPr>
              <w:rPr>
                <w:rFonts w:ascii="Calibri" w:hAnsi="Calibri"/>
                <w:bCs/>
                <w:lang w:eastAsia="ja-JP"/>
              </w:rPr>
            </w:pPr>
            <w:r w:rsidRPr="00901B2D">
              <w:rPr>
                <w:rFonts w:ascii="Calibri" w:hAnsi="Calibri"/>
                <w:bCs/>
                <w:lang w:eastAsia="ja-JP"/>
              </w:rPr>
              <w:t>Fișă de proiect</w:t>
            </w:r>
          </w:p>
          <w:p w14:paraId="68A7773B" w14:textId="59A4EEFE" w:rsidR="001A54E6" w:rsidRPr="00912996" w:rsidRDefault="001A54E6" w:rsidP="00394372">
            <w:pPr>
              <w:rPr>
                <w:rFonts w:ascii="Calibri" w:hAnsi="Calibri"/>
                <w:bCs/>
                <w:lang w:eastAsia="ja-JP"/>
              </w:rPr>
            </w:pPr>
            <w:r>
              <w:rPr>
                <w:rFonts w:ascii="Calibri" w:hAnsi="Calibri"/>
                <w:bCs/>
                <w:lang w:eastAsia="ja-JP"/>
              </w:rPr>
              <w:t>D</w:t>
            </w:r>
            <w:r w:rsidRPr="00901B2D">
              <w:rPr>
                <w:rFonts w:ascii="Calibri" w:hAnsi="Calibri"/>
                <w:bCs/>
                <w:lang w:eastAsia="ja-JP"/>
              </w:rPr>
              <w:t>erulare contract achiziție servicii consultan</w:t>
            </w:r>
            <w:r>
              <w:rPr>
                <w:rFonts w:ascii="Calibri" w:hAnsi="Calibri"/>
                <w:bCs/>
                <w:lang w:eastAsia="ja-JP"/>
              </w:rPr>
              <w:t>ță</w:t>
            </w:r>
            <w:r w:rsidRPr="00901B2D">
              <w:rPr>
                <w:rFonts w:ascii="Calibri" w:hAnsi="Calibri"/>
                <w:bCs/>
                <w:lang w:eastAsia="ja-JP"/>
              </w:rPr>
              <w:t xml:space="preserve"> pentru organizarea concursului de soluții</w:t>
            </w:r>
          </w:p>
        </w:tc>
        <w:tc>
          <w:tcPr>
            <w:tcW w:w="1260" w:type="dxa"/>
            <w:shd w:val="clear" w:color="auto" w:fill="F2F2F2"/>
            <w:noWrap/>
            <w:hideMark/>
          </w:tcPr>
          <w:p w14:paraId="7B9600CD"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44A9A7AB"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hideMark/>
          </w:tcPr>
          <w:p w14:paraId="3B9213E1"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6E116086" w14:textId="4527FEA4"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2BB0E0F4"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3BB2B64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65CFBF69" w14:textId="77777777" w:rsidTr="00E2442E">
        <w:trPr>
          <w:gridAfter w:val="9"/>
          <w:wAfter w:w="15421" w:type="dxa"/>
          <w:trHeight w:val="1068"/>
        </w:trPr>
        <w:tc>
          <w:tcPr>
            <w:tcW w:w="625" w:type="dxa"/>
            <w:shd w:val="clear" w:color="auto" w:fill="F2F2F2"/>
            <w:noWrap/>
            <w:hideMark/>
          </w:tcPr>
          <w:p w14:paraId="5F33A7F8"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5BBFB141" w14:textId="77777777" w:rsidR="001A54E6" w:rsidRPr="00912996" w:rsidRDefault="001A54E6" w:rsidP="00394372">
            <w:pPr>
              <w:rPr>
                <w:rFonts w:ascii="Calibri" w:hAnsi="Calibri"/>
                <w:bCs/>
                <w:lang w:eastAsia="ja-JP"/>
              </w:rPr>
            </w:pPr>
            <w:r w:rsidRPr="00912996">
              <w:rPr>
                <w:rFonts w:ascii="Calibri" w:hAnsi="Calibri"/>
                <w:bCs/>
                <w:lang w:eastAsia="ja-JP"/>
              </w:rPr>
              <w:t>Lucrări de amenajare, reconfigurare, sistematizare a zonelor (malurilor) aferente salbei de lacuri situată pe raza sectorului 2 - Tronson IV Zona Râul Colentina și Lacul Fundeni</w:t>
            </w:r>
          </w:p>
        </w:tc>
        <w:tc>
          <w:tcPr>
            <w:tcW w:w="1530" w:type="dxa"/>
            <w:shd w:val="clear" w:color="auto" w:fill="F2F2F2"/>
            <w:hideMark/>
          </w:tcPr>
          <w:p w14:paraId="63FFF47C"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6D532C22" w14:textId="27716642" w:rsidR="001A54E6" w:rsidRPr="00901B2D" w:rsidRDefault="001A54E6" w:rsidP="00394372">
            <w:pPr>
              <w:rPr>
                <w:rFonts w:ascii="Calibri" w:hAnsi="Calibri"/>
                <w:bCs/>
                <w:lang w:eastAsia="ja-JP"/>
              </w:rPr>
            </w:pPr>
            <w:r w:rsidRPr="00901B2D">
              <w:rPr>
                <w:rFonts w:ascii="Calibri" w:hAnsi="Calibri"/>
                <w:bCs/>
                <w:lang w:eastAsia="ja-JP"/>
              </w:rPr>
              <w:t>Fișă de proiect</w:t>
            </w:r>
          </w:p>
          <w:p w14:paraId="2AD1148E" w14:textId="446CBF9A" w:rsidR="001A54E6" w:rsidRPr="00912996" w:rsidRDefault="001A54E6" w:rsidP="00394372">
            <w:pPr>
              <w:rPr>
                <w:rFonts w:ascii="Calibri" w:hAnsi="Calibri"/>
                <w:bCs/>
                <w:lang w:eastAsia="ja-JP"/>
              </w:rPr>
            </w:pPr>
            <w:r>
              <w:rPr>
                <w:rFonts w:ascii="Calibri" w:hAnsi="Calibri"/>
                <w:bCs/>
                <w:lang w:eastAsia="ja-JP"/>
              </w:rPr>
              <w:t>D</w:t>
            </w:r>
            <w:r w:rsidRPr="00901B2D">
              <w:rPr>
                <w:rFonts w:ascii="Calibri" w:hAnsi="Calibri"/>
                <w:bCs/>
                <w:lang w:eastAsia="ja-JP"/>
              </w:rPr>
              <w:t>erulare contract achiziție servicii consultan</w:t>
            </w:r>
            <w:r>
              <w:rPr>
                <w:rFonts w:ascii="Calibri" w:hAnsi="Calibri"/>
                <w:bCs/>
                <w:lang w:eastAsia="ja-JP"/>
              </w:rPr>
              <w:t>ță</w:t>
            </w:r>
            <w:r w:rsidRPr="00901B2D">
              <w:rPr>
                <w:rFonts w:ascii="Calibri" w:hAnsi="Calibri"/>
                <w:bCs/>
                <w:lang w:eastAsia="ja-JP"/>
              </w:rPr>
              <w:t xml:space="preserve"> pentru organizarea concursului de soluții</w:t>
            </w:r>
          </w:p>
        </w:tc>
        <w:tc>
          <w:tcPr>
            <w:tcW w:w="1260" w:type="dxa"/>
            <w:shd w:val="clear" w:color="auto" w:fill="F2F2F2"/>
            <w:noWrap/>
            <w:hideMark/>
          </w:tcPr>
          <w:p w14:paraId="320E5D55"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6C1F663C"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hideMark/>
          </w:tcPr>
          <w:p w14:paraId="0BA1FC45"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605788E7" w14:textId="1FC88E0F"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192BFBB5"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476416E9"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50D54922" w14:textId="77777777" w:rsidTr="00E2442E">
        <w:trPr>
          <w:gridAfter w:val="9"/>
          <w:wAfter w:w="15421" w:type="dxa"/>
          <w:trHeight w:val="1068"/>
        </w:trPr>
        <w:tc>
          <w:tcPr>
            <w:tcW w:w="625" w:type="dxa"/>
            <w:shd w:val="clear" w:color="auto" w:fill="F2F2F2"/>
            <w:noWrap/>
            <w:hideMark/>
          </w:tcPr>
          <w:p w14:paraId="6DEF0605"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05C6D6B8" w14:textId="7CF33E1D" w:rsidR="001A54E6" w:rsidRPr="00912996" w:rsidRDefault="001A54E6" w:rsidP="00394372">
            <w:pPr>
              <w:rPr>
                <w:rFonts w:ascii="Calibri" w:hAnsi="Calibri"/>
                <w:bCs/>
                <w:lang w:eastAsia="ja-JP"/>
              </w:rPr>
            </w:pPr>
            <w:r w:rsidRPr="00912996">
              <w:rPr>
                <w:rFonts w:ascii="Calibri" w:hAnsi="Calibri"/>
                <w:bCs/>
                <w:lang w:eastAsia="ja-JP"/>
              </w:rPr>
              <w:t xml:space="preserve">Lucrări de amenajare, reconfigurare, sistematizare a zonelor (malurilor) aferente salbei de lacuri situată pe raza sectorului 2 - Tronson V Zona Lacul </w:t>
            </w:r>
            <w:r w:rsidR="00F27F07" w:rsidRPr="00912996">
              <w:rPr>
                <w:rFonts w:ascii="Calibri" w:hAnsi="Calibri"/>
                <w:bCs/>
                <w:lang w:eastAsia="ja-JP"/>
              </w:rPr>
              <w:t>Dobroești</w:t>
            </w:r>
            <w:r w:rsidRPr="00912996">
              <w:rPr>
                <w:rFonts w:ascii="Calibri" w:hAnsi="Calibri"/>
                <w:bCs/>
                <w:lang w:eastAsia="ja-JP"/>
              </w:rPr>
              <w:t xml:space="preserve"> și Pantelimon, aferentă Sector 2</w:t>
            </w:r>
          </w:p>
        </w:tc>
        <w:tc>
          <w:tcPr>
            <w:tcW w:w="1530" w:type="dxa"/>
            <w:shd w:val="clear" w:color="auto" w:fill="F2F2F2"/>
            <w:hideMark/>
          </w:tcPr>
          <w:p w14:paraId="38280FB6"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73EF7BCD" w14:textId="2A34CB46" w:rsidR="001A54E6" w:rsidRPr="00901B2D" w:rsidRDefault="001A54E6" w:rsidP="00394372">
            <w:pPr>
              <w:rPr>
                <w:rFonts w:ascii="Calibri" w:hAnsi="Calibri"/>
                <w:bCs/>
                <w:lang w:eastAsia="ja-JP"/>
              </w:rPr>
            </w:pPr>
            <w:r w:rsidRPr="00901B2D">
              <w:rPr>
                <w:rFonts w:ascii="Calibri" w:hAnsi="Calibri"/>
                <w:bCs/>
                <w:lang w:eastAsia="ja-JP"/>
              </w:rPr>
              <w:t>Fișă de proiect</w:t>
            </w:r>
          </w:p>
          <w:p w14:paraId="456D5AA3" w14:textId="4666F6A6" w:rsidR="001A54E6" w:rsidRPr="00912996" w:rsidRDefault="001A54E6" w:rsidP="00394372">
            <w:pPr>
              <w:rPr>
                <w:rFonts w:ascii="Calibri" w:hAnsi="Calibri"/>
                <w:bCs/>
                <w:lang w:eastAsia="ja-JP"/>
              </w:rPr>
            </w:pPr>
            <w:r>
              <w:rPr>
                <w:rFonts w:ascii="Calibri" w:hAnsi="Calibri"/>
                <w:bCs/>
                <w:lang w:eastAsia="ja-JP"/>
              </w:rPr>
              <w:t>D</w:t>
            </w:r>
            <w:r w:rsidRPr="00901B2D">
              <w:rPr>
                <w:rFonts w:ascii="Calibri" w:hAnsi="Calibri"/>
                <w:bCs/>
                <w:lang w:eastAsia="ja-JP"/>
              </w:rPr>
              <w:t>erulare contract achiziție servicii consultan</w:t>
            </w:r>
            <w:r>
              <w:rPr>
                <w:rFonts w:ascii="Calibri" w:hAnsi="Calibri"/>
                <w:bCs/>
                <w:lang w:eastAsia="ja-JP"/>
              </w:rPr>
              <w:t>ță</w:t>
            </w:r>
            <w:r w:rsidRPr="00901B2D">
              <w:rPr>
                <w:rFonts w:ascii="Calibri" w:hAnsi="Calibri"/>
                <w:bCs/>
                <w:lang w:eastAsia="ja-JP"/>
              </w:rPr>
              <w:t xml:space="preserve"> pentru organizarea concursului de soluții</w:t>
            </w:r>
          </w:p>
        </w:tc>
        <w:tc>
          <w:tcPr>
            <w:tcW w:w="1260" w:type="dxa"/>
            <w:shd w:val="clear" w:color="auto" w:fill="F2F2F2"/>
            <w:noWrap/>
            <w:hideMark/>
          </w:tcPr>
          <w:p w14:paraId="0F3B001A"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657F9399"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hideMark/>
          </w:tcPr>
          <w:p w14:paraId="6A4E5096"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59767BEF" w14:textId="4B8AFBE5"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317D59D0"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30EB602C"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124D1369" w14:textId="77777777" w:rsidTr="00E2442E">
        <w:trPr>
          <w:gridAfter w:val="9"/>
          <w:wAfter w:w="15421" w:type="dxa"/>
          <w:trHeight w:val="804"/>
        </w:trPr>
        <w:tc>
          <w:tcPr>
            <w:tcW w:w="625" w:type="dxa"/>
            <w:shd w:val="clear" w:color="auto" w:fill="F2F2F2"/>
            <w:noWrap/>
            <w:hideMark/>
          </w:tcPr>
          <w:p w14:paraId="21636C54"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7E3F9739" w14:textId="77777777" w:rsidR="001A54E6" w:rsidRPr="00912996" w:rsidRDefault="001A54E6" w:rsidP="00394372">
            <w:pPr>
              <w:rPr>
                <w:rFonts w:ascii="Calibri" w:hAnsi="Calibri"/>
                <w:bCs/>
                <w:lang w:eastAsia="ja-JP"/>
              </w:rPr>
            </w:pPr>
            <w:r w:rsidRPr="00912996">
              <w:rPr>
                <w:rFonts w:ascii="Calibri" w:hAnsi="Calibri"/>
                <w:bCs/>
                <w:lang w:eastAsia="ja-JP"/>
              </w:rPr>
              <w:t>Amenajarea unui parc (173 ha) între Șoseaua Petricani, A3 și strada Gherghiței - Parcul Valea Saulei</w:t>
            </w:r>
          </w:p>
        </w:tc>
        <w:tc>
          <w:tcPr>
            <w:tcW w:w="1530" w:type="dxa"/>
            <w:shd w:val="clear" w:color="auto" w:fill="F2F2F2"/>
            <w:hideMark/>
          </w:tcPr>
          <w:p w14:paraId="68995533"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5D666A28"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D035833" w14:textId="77777777" w:rsidR="001A54E6" w:rsidRPr="00912996" w:rsidRDefault="001A54E6" w:rsidP="00394372">
            <w:pPr>
              <w:rPr>
                <w:rFonts w:ascii="Calibri" w:hAnsi="Calibri"/>
                <w:bCs/>
                <w:lang w:eastAsia="ja-JP"/>
              </w:rPr>
            </w:pPr>
            <w:r w:rsidRPr="00912996">
              <w:rPr>
                <w:rFonts w:ascii="Calibri" w:hAnsi="Calibri"/>
                <w:bCs/>
                <w:lang w:eastAsia="ja-JP"/>
              </w:rPr>
              <w:t>22,050,000</w:t>
            </w:r>
          </w:p>
        </w:tc>
        <w:tc>
          <w:tcPr>
            <w:tcW w:w="1260" w:type="dxa"/>
            <w:shd w:val="clear" w:color="auto" w:fill="F2F2F2"/>
            <w:noWrap/>
            <w:hideMark/>
          </w:tcPr>
          <w:p w14:paraId="445B63EF" w14:textId="77777777" w:rsidR="001A54E6" w:rsidRPr="00912996" w:rsidRDefault="001A54E6" w:rsidP="00394372">
            <w:pPr>
              <w:rPr>
                <w:rFonts w:ascii="Calibri" w:hAnsi="Calibri"/>
                <w:bCs/>
                <w:lang w:eastAsia="ja-JP"/>
              </w:rPr>
            </w:pPr>
            <w:r w:rsidRPr="00912996">
              <w:rPr>
                <w:rFonts w:ascii="Calibri" w:hAnsi="Calibri"/>
                <w:bCs/>
                <w:lang w:eastAsia="ja-JP"/>
              </w:rPr>
              <w:t>4,500,000</w:t>
            </w:r>
          </w:p>
        </w:tc>
        <w:tc>
          <w:tcPr>
            <w:tcW w:w="1089" w:type="dxa"/>
            <w:shd w:val="clear" w:color="auto" w:fill="F2F2F2"/>
            <w:noWrap/>
            <w:hideMark/>
          </w:tcPr>
          <w:p w14:paraId="0115A5A3" w14:textId="77777777" w:rsidR="001A54E6" w:rsidRPr="00912996" w:rsidRDefault="001A54E6" w:rsidP="00394372">
            <w:pPr>
              <w:rPr>
                <w:rFonts w:ascii="Calibri" w:hAnsi="Calibri"/>
                <w:bCs/>
                <w:lang w:eastAsia="ja-JP"/>
              </w:rPr>
            </w:pPr>
            <w:r w:rsidRPr="00912996">
              <w:rPr>
                <w:rFonts w:ascii="Calibri" w:hAnsi="Calibri"/>
                <w:bCs/>
                <w:lang w:eastAsia="ja-JP"/>
              </w:rPr>
              <w:t>2024 - 2030</w:t>
            </w:r>
          </w:p>
        </w:tc>
        <w:tc>
          <w:tcPr>
            <w:tcW w:w="1881" w:type="dxa"/>
            <w:shd w:val="clear" w:color="auto" w:fill="F2F2F2"/>
            <w:hideMark/>
          </w:tcPr>
          <w:p w14:paraId="36802194" w14:textId="2DEE4E0B"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6C94E98E"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27D0DA22"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6886E441" w14:textId="77777777" w:rsidTr="00E2442E">
        <w:trPr>
          <w:gridAfter w:val="9"/>
          <w:wAfter w:w="15421" w:type="dxa"/>
          <w:trHeight w:val="540"/>
        </w:trPr>
        <w:tc>
          <w:tcPr>
            <w:tcW w:w="625" w:type="dxa"/>
            <w:shd w:val="clear" w:color="auto" w:fill="F2F2F2"/>
            <w:noWrap/>
            <w:hideMark/>
          </w:tcPr>
          <w:p w14:paraId="31EE5A71" w14:textId="77777777" w:rsidR="001A54E6" w:rsidRPr="00912996" w:rsidRDefault="001A54E6" w:rsidP="00394372">
            <w:pPr>
              <w:rPr>
                <w:rFonts w:ascii="Calibri" w:hAnsi="Calibri"/>
                <w:bCs/>
                <w:lang w:eastAsia="ja-JP"/>
              </w:rPr>
            </w:pPr>
            <w:r>
              <w:rPr>
                <w:rFonts w:ascii="Calibri" w:hAnsi="Calibri"/>
                <w:bCs/>
                <w:lang w:eastAsia="ja-JP"/>
              </w:rPr>
              <w:t>7</w:t>
            </w:r>
          </w:p>
        </w:tc>
        <w:tc>
          <w:tcPr>
            <w:tcW w:w="2250" w:type="dxa"/>
            <w:shd w:val="clear" w:color="auto" w:fill="F2F2F2"/>
            <w:hideMark/>
          </w:tcPr>
          <w:p w14:paraId="20107CD7" w14:textId="77777777" w:rsidR="001A54E6" w:rsidRPr="00912996" w:rsidRDefault="001A54E6" w:rsidP="00394372">
            <w:pPr>
              <w:rPr>
                <w:rFonts w:ascii="Calibri" w:hAnsi="Calibri"/>
                <w:bCs/>
                <w:lang w:eastAsia="ja-JP"/>
              </w:rPr>
            </w:pPr>
            <w:r w:rsidRPr="00912996">
              <w:rPr>
                <w:rFonts w:ascii="Calibri" w:hAnsi="Calibri"/>
                <w:bCs/>
                <w:lang w:eastAsia="ja-JP"/>
              </w:rPr>
              <w:t>Igienizare maluri: lacurile Floreasca, Tei, Fundeni, Pantelimon</w:t>
            </w:r>
            <w:r>
              <w:rPr>
                <w:rFonts w:ascii="Calibri" w:hAnsi="Calibri"/>
                <w:bCs/>
                <w:lang w:eastAsia="ja-JP"/>
              </w:rPr>
              <w:t>, Dobroești</w:t>
            </w:r>
          </w:p>
        </w:tc>
        <w:tc>
          <w:tcPr>
            <w:tcW w:w="1530" w:type="dxa"/>
            <w:shd w:val="clear" w:color="auto" w:fill="F2F2F2"/>
            <w:hideMark/>
          </w:tcPr>
          <w:p w14:paraId="33920B23" w14:textId="77777777" w:rsidR="001A54E6" w:rsidRPr="00912996" w:rsidRDefault="001A54E6" w:rsidP="00394372">
            <w:pPr>
              <w:rPr>
                <w:rFonts w:ascii="Calibri" w:hAnsi="Calibri"/>
                <w:bCs/>
                <w:lang w:eastAsia="ja-JP"/>
              </w:rPr>
            </w:pPr>
            <w:r w:rsidRPr="00912996">
              <w:rPr>
                <w:rFonts w:ascii="Calibri" w:hAnsi="Calibri"/>
                <w:bCs/>
                <w:lang w:eastAsia="ja-JP"/>
              </w:rPr>
              <w:t>PS2, ADP, Apele Române</w:t>
            </w:r>
          </w:p>
        </w:tc>
        <w:tc>
          <w:tcPr>
            <w:tcW w:w="1620" w:type="dxa"/>
            <w:shd w:val="clear" w:color="auto" w:fill="F2F2F2"/>
            <w:noWrap/>
            <w:hideMark/>
          </w:tcPr>
          <w:p w14:paraId="04C21F0D"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62DE754" w14:textId="77777777" w:rsidR="001A54E6" w:rsidRPr="00912996" w:rsidRDefault="001A54E6" w:rsidP="00394372">
            <w:pPr>
              <w:rPr>
                <w:rFonts w:ascii="Calibri" w:hAnsi="Calibri"/>
                <w:bCs/>
                <w:lang w:eastAsia="ja-JP"/>
              </w:rPr>
            </w:pPr>
            <w:r w:rsidRPr="00912996">
              <w:rPr>
                <w:rFonts w:ascii="Calibri" w:hAnsi="Calibri"/>
                <w:bCs/>
                <w:lang w:eastAsia="ja-JP"/>
              </w:rPr>
              <w:t>1,000,000</w:t>
            </w:r>
          </w:p>
        </w:tc>
        <w:tc>
          <w:tcPr>
            <w:tcW w:w="1260" w:type="dxa"/>
            <w:shd w:val="clear" w:color="auto" w:fill="F2F2F2"/>
            <w:noWrap/>
            <w:hideMark/>
          </w:tcPr>
          <w:p w14:paraId="4A103E6F" w14:textId="77777777" w:rsidR="001A54E6" w:rsidRPr="00912996" w:rsidRDefault="001A54E6" w:rsidP="00394372">
            <w:pPr>
              <w:rPr>
                <w:rFonts w:ascii="Calibri" w:hAnsi="Calibri"/>
                <w:bCs/>
                <w:lang w:eastAsia="ja-JP"/>
              </w:rPr>
            </w:pPr>
            <w:r w:rsidRPr="00912996">
              <w:rPr>
                <w:rFonts w:ascii="Calibri" w:hAnsi="Calibri"/>
                <w:bCs/>
                <w:lang w:eastAsia="ja-JP"/>
              </w:rPr>
              <w:t>204,082</w:t>
            </w:r>
          </w:p>
        </w:tc>
        <w:tc>
          <w:tcPr>
            <w:tcW w:w="1089" w:type="dxa"/>
            <w:shd w:val="clear" w:color="auto" w:fill="F2F2F2"/>
            <w:noWrap/>
            <w:hideMark/>
          </w:tcPr>
          <w:p w14:paraId="6C37F5A6" w14:textId="77777777" w:rsidR="001A54E6" w:rsidRPr="00912996" w:rsidRDefault="001A54E6" w:rsidP="00394372">
            <w:pPr>
              <w:rPr>
                <w:rFonts w:ascii="Calibri" w:hAnsi="Calibri"/>
                <w:bCs/>
                <w:lang w:eastAsia="ja-JP"/>
              </w:rPr>
            </w:pPr>
            <w:r w:rsidRPr="00912996">
              <w:rPr>
                <w:rFonts w:ascii="Calibri" w:hAnsi="Calibri"/>
                <w:bCs/>
                <w:lang w:eastAsia="ja-JP"/>
              </w:rPr>
              <w:t>2022 - 2023</w:t>
            </w:r>
          </w:p>
        </w:tc>
        <w:tc>
          <w:tcPr>
            <w:tcW w:w="1881" w:type="dxa"/>
            <w:shd w:val="clear" w:color="auto" w:fill="F2F2F2"/>
            <w:hideMark/>
          </w:tcPr>
          <w:p w14:paraId="39D7CC87"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26CE2E30"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4ECEA46E" w14:textId="77777777" w:rsidR="001A54E6" w:rsidRPr="00912996" w:rsidRDefault="001A54E6" w:rsidP="00394372">
            <w:pPr>
              <w:rPr>
                <w:rFonts w:ascii="Calibri" w:hAnsi="Calibri"/>
                <w:bCs/>
                <w:lang w:eastAsia="ja-JP"/>
              </w:rPr>
            </w:pPr>
            <w:r w:rsidRPr="00912996">
              <w:rPr>
                <w:rFonts w:ascii="Calibri" w:hAnsi="Calibri"/>
                <w:bCs/>
                <w:lang w:eastAsia="ja-JP"/>
              </w:rPr>
              <w:t>Propunere consultant</w:t>
            </w:r>
          </w:p>
        </w:tc>
      </w:tr>
      <w:tr w:rsidR="00AC2FFA" w:rsidRPr="00912996" w14:paraId="53C70C77" w14:textId="77777777" w:rsidTr="00E2442E">
        <w:trPr>
          <w:gridAfter w:val="9"/>
          <w:wAfter w:w="15421" w:type="dxa"/>
          <w:trHeight w:val="540"/>
        </w:trPr>
        <w:tc>
          <w:tcPr>
            <w:tcW w:w="625" w:type="dxa"/>
            <w:shd w:val="clear" w:color="auto" w:fill="F2F2F2"/>
            <w:noWrap/>
            <w:hideMark/>
          </w:tcPr>
          <w:p w14:paraId="19EF78B8" w14:textId="77777777" w:rsidR="001A54E6" w:rsidRPr="00912996" w:rsidRDefault="001A54E6" w:rsidP="00394372">
            <w:pPr>
              <w:rPr>
                <w:rFonts w:ascii="Calibri" w:hAnsi="Calibri"/>
                <w:bCs/>
                <w:lang w:eastAsia="ja-JP"/>
              </w:rPr>
            </w:pPr>
            <w:r>
              <w:rPr>
                <w:rFonts w:ascii="Calibri" w:hAnsi="Calibri"/>
                <w:bCs/>
                <w:lang w:eastAsia="ja-JP"/>
              </w:rPr>
              <w:t>8</w:t>
            </w:r>
          </w:p>
        </w:tc>
        <w:tc>
          <w:tcPr>
            <w:tcW w:w="2250" w:type="dxa"/>
            <w:shd w:val="clear" w:color="auto" w:fill="F2F2F2"/>
            <w:hideMark/>
          </w:tcPr>
          <w:p w14:paraId="12F6DBED" w14:textId="77777777" w:rsidR="001A54E6" w:rsidRPr="00912996" w:rsidRDefault="001A54E6" w:rsidP="00394372">
            <w:pPr>
              <w:rPr>
                <w:rFonts w:ascii="Calibri" w:hAnsi="Calibri"/>
                <w:bCs/>
                <w:lang w:eastAsia="ja-JP"/>
              </w:rPr>
            </w:pPr>
            <w:r w:rsidRPr="00912996">
              <w:rPr>
                <w:rFonts w:ascii="Calibri" w:hAnsi="Calibri"/>
                <w:bCs/>
                <w:lang w:eastAsia="ja-JP"/>
              </w:rPr>
              <w:t>Reabilitare lucrări hidrotehnice: Valea Saulei, Acumularea Fundeni, Acumularea Pantelimon</w:t>
            </w:r>
          </w:p>
        </w:tc>
        <w:tc>
          <w:tcPr>
            <w:tcW w:w="1530" w:type="dxa"/>
            <w:shd w:val="clear" w:color="auto" w:fill="F2F2F2"/>
            <w:hideMark/>
          </w:tcPr>
          <w:p w14:paraId="235FC59A" w14:textId="77777777" w:rsidR="001A54E6" w:rsidRPr="00912996" w:rsidRDefault="001A54E6" w:rsidP="00394372">
            <w:pPr>
              <w:rPr>
                <w:rFonts w:ascii="Calibri" w:hAnsi="Calibri"/>
                <w:bCs/>
                <w:lang w:eastAsia="ja-JP"/>
              </w:rPr>
            </w:pPr>
            <w:r w:rsidRPr="00912996">
              <w:rPr>
                <w:rFonts w:ascii="Calibri" w:hAnsi="Calibri"/>
                <w:bCs/>
                <w:lang w:eastAsia="ja-JP"/>
              </w:rPr>
              <w:t>Apele Române</w:t>
            </w:r>
          </w:p>
        </w:tc>
        <w:tc>
          <w:tcPr>
            <w:tcW w:w="1620" w:type="dxa"/>
            <w:shd w:val="clear" w:color="auto" w:fill="F2F2F2"/>
            <w:noWrap/>
            <w:hideMark/>
          </w:tcPr>
          <w:p w14:paraId="2C2C68C2"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EBB9CB7"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260" w:type="dxa"/>
            <w:shd w:val="clear" w:color="auto" w:fill="F2F2F2"/>
            <w:noWrap/>
            <w:hideMark/>
          </w:tcPr>
          <w:p w14:paraId="3E77E1D6"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089" w:type="dxa"/>
            <w:shd w:val="clear" w:color="auto" w:fill="F2F2F2"/>
            <w:noWrap/>
            <w:hideMark/>
          </w:tcPr>
          <w:p w14:paraId="181FA1EA"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3141" w:type="dxa"/>
            <w:gridSpan w:val="2"/>
            <w:shd w:val="clear" w:color="auto" w:fill="F2F2F2"/>
            <w:hideMark/>
          </w:tcPr>
          <w:p w14:paraId="10935950"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4, Fonduri guvernamentale, PNRR Componenta 2</w:t>
            </w:r>
          </w:p>
        </w:tc>
        <w:tc>
          <w:tcPr>
            <w:tcW w:w="1440" w:type="dxa"/>
            <w:shd w:val="clear" w:color="auto" w:fill="F2F2F2"/>
            <w:noWrap/>
            <w:hideMark/>
          </w:tcPr>
          <w:p w14:paraId="7FD61A97" w14:textId="77777777" w:rsidR="001A54E6" w:rsidRPr="00912996" w:rsidRDefault="001A54E6" w:rsidP="00394372">
            <w:pPr>
              <w:rPr>
                <w:rFonts w:ascii="Calibri" w:hAnsi="Calibri"/>
                <w:bCs/>
                <w:lang w:eastAsia="ja-JP"/>
              </w:rPr>
            </w:pPr>
            <w:r w:rsidRPr="00912996">
              <w:rPr>
                <w:rFonts w:ascii="Calibri" w:hAnsi="Calibri"/>
                <w:bCs/>
                <w:lang w:eastAsia="ja-JP"/>
              </w:rPr>
              <w:t>ABA Argeș-Vedea</w:t>
            </w:r>
          </w:p>
        </w:tc>
      </w:tr>
      <w:tr w:rsidR="001A54E6" w:rsidRPr="00912996" w14:paraId="31341025" w14:textId="77777777" w:rsidTr="00AC2FFA">
        <w:trPr>
          <w:gridAfter w:val="9"/>
          <w:wAfter w:w="15421" w:type="dxa"/>
          <w:trHeight w:val="276"/>
        </w:trPr>
        <w:tc>
          <w:tcPr>
            <w:tcW w:w="14215" w:type="dxa"/>
            <w:gridSpan w:val="10"/>
            <w:shd w:val="clear" w:color="auto" w:fill="BBD9A0"/>
            <w:noWrap/>
            <w:hideMark/>
          </w:tcPr>
          <w:p w14:paraId="16360394" w14:textId="77777777" w:rsidR="001A54E6" w:rsidRPr="00912996" w:rsidRDefault="001A54E6" w:rsidP="0018654A">
            <w:pPr>
              <w:jc w:val="center"/>
              <w:rPr>
                <w:rFonts w:ascii="Calibri" w:hAnsi="Calibri"/>
                <w:b/>
                <w:bCs/>
                <w:color w:val="FFFFFF"/>
                <w:lang w:eastAsia="ja-JP"/>
              </w:rPr>
            </w:pPr>
            <w:r w:rsidRPr="00912996">
              <w:rPr>
                <w:rFonts w:ascii="Calibri" w:hAnsi="Calibri"/>
                <w:b/>
                <w:bCs/>
                <w:color w:val="FFFFFF"/>
                <w:lang w:eastAsia="ja-JP"/>
              </w:rPr>
              <w:t>D3.2.2.Reabilitarea spațiilor verzi majore din sector și constituirea de axe verzi secundare între acestea</w:t>
            </w:r>
          </w:p>
        </w:tc>
      </w:tr>
      <w:tr w:rsidR="00AC2FFA" w:rsidRPr="00912996" w14:paraId="0AF33DBA" w14:textId="77777777" w:rsidTr="00E2442E">
        <w:trPr>
          <w:gridAfter w:val="9"/>
          <w:wAfter w:w="15421" w:type="dxa"/>
          <w:trHeight w:val="804"/>
        </w:trPr>
        <w:tc>
          <w:tcPr>
            <w:tcW w:w="625" w:type="dxa"/>
            <w:shd w:val="clear" w:color="auto" w:fill="F2F2F2"/>
            <w:noWrap/>
            <w:hideMark/>
          </w:tcPr>
          <w:p w14:paraId="355C2AF1"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2BE82EAD" w14:textId="77777777" w:rsidR="001A54E6" w:rsidRPr="00912996" w:rsidRDefault="001A54E6" w:rsidP="00394372">
            <w:pPr>
              <w:rPr>
                <w:rFonts w:ascii="Calibri" w:hAnsi="Calibri"/>
                <w:bCs/>
                <w:lang w:eastAsia="ja-JP"/>
              </w:rPr>
            </w:pPr>
            <w:r w:rsidRPr="00912996">
              <w:rPr>
                <w:rFonts w:ascii="Calibri" w:hAnsi="Calibri"/>
                <w:bCs/>
                <w:lang w:eastAsia="ja-JP"/>
              </w:rPr>
              <w:t>Amenajare peisagistică Parcul Verdi</w:t>
            </w:r>
          </w:p>
        </w:tc>
        <w:tc>
          <w:tcPr>
            <w:tcW w:w="1530" w:type="dxa"/>
            <w:shd w:val="clear" w:color="auto" w:fill="F2F2F2"/>
            <w:hideMark/>
          </w:tcPr>
          <w:p w14:paraId="0553757F"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6DCF4A06" w14:textId="77777777" w:rsidR="001A54E6" w:rsidRPr="00912996" w:rsidRDefault="001A54E6" w:rsidP="00394372">
            <w:pPr>
              <w:rPr>
                <w:rFonts w:ascii="Calibri" w:hAnsi="Calibri"/>
                <w:bCs/>
                <w:lang w:eastAsia="ja-JP"/>
              </w:rPr>
            </w:pPr>
            <w:r w:rsidRPr="00912996">
              <w:rPr>
                <w:rFonts w:ascii="Calibri" w:hAnsi="Calibri"/>
                <w:bCs/>
                <w:lang w:eastAsia="ja-JP"/>
              </w:rPr>
              <w:t>Fișă de proiect</w:t>
            </w:r>
          </w:p>
        </w:tc>
        <w:tc>
          <w:tcPr>
            <w:tcW w:w="1260" w:type="dxa"/>
            <w:shd w:val="clear" w:color="auto" w:fill="F2F2F2"/>
            <w:noWrap/>
            <w:hideMark/>
          </w:tcPr>
          <w:p w14:paraId="4457AD8F" w14:textId="34236F66" w:rsidR="001A54E6" w:rsidRPr="00912996" w:rsidRDefault="001A54E6" w:rsidP="00394372">
            <w:pPr>
              <w:rPr>
                <w:rFonts w:ascii="Calibri" w:hAnsi="Calibri"/>
                <w:bCs/>
                <w:lang w:eastAsia="ja-JP"/>
              </w:rPr>
            </w:pPr>
            <w:r w:rsidRPr="00901B2D">
              <w:rPr>
                <w:rFonts w:ascii="Calibri" w:hAnsi="Calibri"/>
                <w:bCs/>
                <w:lang w:eastAsia="ja-JP"/>
              </w:rPr>
              <w:t>4</w:t>
            </w:r>
            <w:r w:rsidR="0018654A">
              <w:rPr>
                <w:rFonts w:ascii="Calibri" w:hAnsi="Calibri"/>
                <w:bCs/>
                <w:lang w:eastAsia="ja-JP"/>
              </w:rPr>
              <w:t>,</w:t>
            </w:r>
            <w:r w:rsidRPr="00901B2D">
              <w:rPr>
                <w:rFonts w:ascii="Calibri" w:hAnsi="Calibri"/>
                <w:bCs/>
                <w:lang w:eastAsia="ja-JP"/>
              </w:rPr>
              <w:t>188</w:t>
            </w:r>
            <w:r w:rsidR="0018654A">
              <w:rPr>
                <w:rFonts w:ascii="Calibri" w:hAnsi="Calibri"/>
                <w:bCs/>
                <w:lang w:eastAsia="ja-JP"/>
              </w:rPr>
              <w:t>,</w:t>
            </w:r>
            <w:r w:rsidRPr="00901B2D">
              <w:rPr>
                <w:rFonts w:ascii="Calibri" w:hAnsi="Calibri"/>
                <w:bCs/>
                <w:lang w:eastAsia="ja-JP"/>
              </w:rPr>
              <w:t>800</w:t>
            </w:r>
          </w:p>
        </w:tc>
        <w:tc>
          <w:tcPr>
            <w:tcW w:w="1260" w:type="dxa"/>
            <w:shd w:val="clear" w:color="auto" w:fill="F2F2F2"/>
            <w:noWrap/>
            <w:hideMark/>
          </w:tcPr>
          <w:p w14:paraId="72AA17A5" w14:textId="0BFEFAF1" w:rsidR="001A54E6" w:rsidRPr="00912996" w:rsidRDefault="001A54E6" w:rsidP="00394372">
            <w:pPr>
              <w:rPr>
                <w:rFonts w:ascii="Calibri" w:hAnsi="Calibri"/>
                <w:bCs/>
                <w:lang w:eastAsia="ja-JP"/>
              </w:rPr>
            </w:pPr>
            <w:r w:rsidRPr="00901B2D">
              <w:rPr>
                <w:rFonts w:ascii="Calibri" w:hAnsi="Calibri"/>
                <w:bCs/>
                <w:lang w:eastAsia="ja-JP"/>
              </w:rPr>
              <w:t>854</w:t>
            </w:r>
            <w:r w:rsidR="0018654A">
              <w:rPr>
                <w:rFonts w:ascii="Calibri" w:hAnsi="Calibri"/>
                <w:bCs/>
                <w:lang w:eastAsia="ja-JP"/>
              </w:rPr>
              <w:t>,</w:t>
            </w:r>
            <w:r w:rsidRPr="00901B2D">
              <w:rPr>
                <w:rFonts w:ascii="Calibri" w:hAnsi="Calibri"/>
                <w:bCs/>
                <w:lang w:eastAsia="ja-JP"/>
              </w:rPr>
              <w:t>857</w:t>
            </w:r>
          </w:p>
        </w:tc>
        <w:tc>
          <w:tcPr>
            <w:tcW w:w="1089" w:type="dxa"/>
            <w:shd w:val="clear" w:color="auto" w:fill="F2F2F2"/>
            <w:noWrap/>
            <w:hideMark/>
          </w:tcPr>
          <w:p w14:paraId="025A06D6"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52C4F6D0" w14:textId="0A677223"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693D76CF"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7603CD9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5987508B" w14:textId="77777777" w:rsidTr="00E2442E">
        <w:trPr>
          <w:gridAfter w:val="9"/>
          <w:wAfter w:w="15421" w:type="dxa"/>
          <w:trHeight w:val="804"/>
        </w:trPr>
        <w:tc>
          <w:tcPr>
            <w:tcW w:w="625" w:type="dxa"/>
            <w:shd w:val="clear" w:color="auto" w:fill="F2F2F2"/>
            <w:noWrap/>
            <w:hideMark/>
          </w:tcPr>
          <w:p w14:paraId="3093C5A3"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3011D97B" w14:textId="77777777" w:rsidR="001A54E6" w:rsidRPr="00912996" w:rsidRDefault="001A54E6" w:rsidP="00394372">
            <w:pPr>
              <w:rPr>
                <w:rFonts w:ascii="Calibri" w:hAnsi="Calibri"/>
                <w:bCs/>
                <w:lang w:eastAsia="ja-JP"/>
              </w:rPr>
            </w:pPr>
            <w:r w:rsidRPr="00912996">
              <w:rPr>
                <w:rFonts w:ascii="Calibri" w:hAnsi="Calibri"/>
                <w:bCs/>
                <w:lang w:eastAsia="ja-JP"/>
              </w:rPr>
              <w:t>Reabilitare Parc Național</w:t>
            </w:r>
          </w:p>
        </w:tc>
        <w:tc>
          <w:tcPr>
            <w:tcW w:w="1530" w:type="dxa"/>
            <w:shd w:val="clear" w:color="auto" w:fill="F2F2F2"/>
            <w:hideMark/>
          </w:tcPr>
          <w:p w14:paraId="37D1004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680561C9" w14:textId="77777777" w:rsidR="001A54E6" w:rsidRPr="00912996" w:rsidRDefault="001A54E6" w:rsidP="00394372">
            <w:pPr>
              <w:rPr>
                <w:rFonts w:ascii="Calibri" w:hAnsi="Calibri"/>
                <w:bCs/>
                <w:lang w:eastAsia="ja-JP"/>
              </w:rPr>
            </w:pPr>
            <w:r w:rsidRPr="00912996">
              <w:rPr>
                <w:rFonts w:ascii="Calibri" w:hAnsi="Calibri"/>
                <w:bCs/>
                <w:lang w:eastAsia="ja-JP"/>
              </w:rPr>
              <w:t>Documentație tehnică în lucru</w:t>
            </w:r>
          </w:p>
        </w:tc>
        <w:tc>
          <w:tcPr>
            <w:tcW w:w="1260" w:type="dxa"/>
            <w:shd w:val="clear" w:color="auto" w:fill="F2F2F2"/>
            <w:noWrap/>
            <w:hideMark/>
          </w:tcPr>
          <w:p w14:paraId="318557BA" w14:textId="77777777" w:rsidR="001A54E6" w:rsidRPr="00912996" w:rsidRDefault="001A54E6" w:rsidP="00394372">
            <w:pPr>
              <w:rPr>
                <w:rFonts w:ascii="Calibri" w:hAnsi="Calibri"/>
                <w:bCs/>
                <w:lang w:eastAsia="ja-JP"/>
              </w:rPr>
            </w:pPr>
            <w:r w:rsidRPr="00912996">
              <w:rPr>
                <w:rFonts w:ascii="Calibri" w:hAnsi="Calibri"/>
                <w:bCs/>
                <w:lang w:eastAsia="ja-JP"/>
              </w:rPr>
              <w:t>4,900,000</w:t>
            </w:r>
          </w:p>
        </w:tc>
        <w:tc>
          <w:tcPr>
            <w:tcW w:w="1260" w:type="dxa"/>
            <w:shd w:val="clear" w:color="auto" w:fill="F2F2F2"/>
            <w:noWrap/>
            <w:hideMark/>
          </w:tcPr>
          <w:p w14:paraId="63835023" w14:textId="77777777" w:rsidR="001A54E6" w:rsidRPr="00912996" w:rsidRDefault="001A54E6" w:rsidP="00394372">
            <w:pPr>
              <w:rPr>
                <w:rFonts w:ascii="Calibri" w:hAnsi="Calibri"/>
                <w:bCs/>
                <w:lang w:eastAsia="ja-JP"/>
              </w:rPr>
            </w:pPr>
            <w:r w:rsidRPr="00912996">
              <w:rPr>
                <w:rFonts w:ascii="Calibri" w:hAnsi="Calibri"/>
                <w:bCs/>
                <w:lang w:eastAsia="ja-JP"/>
              </w:rPr>
              <w:t>1,000,000</w:t>
            </w:r>
          </w:p>
        </w:tc>
        <w:tc>
          <w:tcPr>
            <w:tcW w:w="1089" w:type="dxa"/>
            <w:shd w:val="clear" w:color="auto" w:fill="F2F2F2"/>
            <w:noWrap/>
            <w:hideMark/>
          </w:tcPr>
          <w:p w14:paraId="3FA63930" w14:textId="77777777" w:rsidR="001A54E6" w:rsidRPr="00912996" w:rsidRDefault="001A54E6" w:rsidP="00394372">
            <w:pPr>
              <w:rPr>
                <w:rFonts w:ascii="Calibri" w:hAnsi="Calibri"/>
                <w:bCs/>
                <w:lang w:eastAsia="ja-JP"/>
              </w:rPr>
            </w:pPr>
            <w:r w:rsidRPr="00912996">
              <w:rPr>
                <w:rFonts w:ascii="Calibri" w:hAnsi="Calibri"/>
                <w:bCs/>
                <w:lang w:eastAsia="ja-JP"/>
              </w:rPr>
              <w:t>2023 - 2025</w:t>
            </w:r>
          </w:p>
        </w:tc>
        <w:tc>
          <w:tcPr>
            <w:tcW w:w="1881" w:type="dxa"/>
            <w:shd w:val="clear" w:color="auto" w:fill="F2F2F2"/>
            <w:hideMark/>
          </w:tcPr>
          <w:p w14:paraId="66ECC48C" w14:textId="3F1B03A4"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243D0E18"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55528363"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3A0762D2" w14:textId="77777777" w:rsidTr="00E2442E">
        <w:trPr>
          <w:gridAfter w:val="9"/>
          <w:wAfter w:w="15421" w:type="dxa"/>
          <w:trHeight w:val="804"/>
        </w:trPr>
        <w:tc>
          <w:tcPr>
            <w:tcW w:w="625" w:type="dxa"/>
            <w:shd w:val="clear" w:color="auto" w:fill="F2F2F2"/>
            <w:noWrap/>
            <w:hideMark/>
          </w:tcPr>
          <w:p w14:paraId="3729CDB2"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59C50067" w14:textId="77777777" w:rsidR="001A54E6" w:rsidRDefault="001A54E6" w:rsidP="00394372">
            <w:pPr>
              <w:rPr>
                <w:rFonts w:ascii="Calibri" w:hAnsi="Calibri"/>
                <w:bCs/>
                <w:lang w:eastAsia="ja-JP"/>
              </w:rPr>
            </w:pPr>
            <w:r w:rsidRPr="00912996">
              <w:rPr>
                <w:rFonts w:ascii="Calibri" w:hAnsi="Calibri"/>
                <w:bCs/>
                <w:lang w:eastAsia="ja-JP"/>
              </w:rPr>
              <w:t>Reabilitare</w:t>
            </w:r>
            <w:r>
              <w:rPr>
                <w:rFonts w:ascii="Calibri" w:hAnsi="Calibri"/>
                <w:bCs/>
                <w:lang w:eastAsia="ja-JP"/>
              </w:rPr>
              <w:t xml:space="preserve"> si extindere</w:t>
            </w:r>
            <w:r w:rsidRPr="00912996">
              <w:rPr>
                <w:rFonts w:ascii="Calibri" w:hAnsi="Calibri"/>
                <w:bCs/>
                <w:lang w:eastAsia="ja-JP"/>
              </w:rPr>
              <w:t xml:space="preserve"> Parcul Circului</w:t>
            </w:r>
          </w:p>
          <w:p w14:paraId="75AD47FB" w14:textId="77777777" w:rsidR="001A54E6" w:rsidRPr="00912996" w:rsidRDefault="001A54E6" w:rsidP="00394372">
            <w:pPr>
              <w:rPr>
                <w:rFonts w:ascii="Calibri" w:hAnsi="Calibri"/>
                <w:bCs/>
                <w:lang w:eastAsia="ja-JP"/>
              </w:rPr>
            </w:pPr>
          </w:p>
        </w:tc>
        <w:tc>
          <w:tcPr>
            <w:tcW w:w="1530" w:type="dxa"/>
            <w:shd w:val="clear" w:color="auto" w:fill="F2F2F2"/>
            <w:hideMark/>
          </w:tcPr>
          <w:p w14:paraId="13AF5CDA" w14:textId="77777777" w:rsidR="001A54E6" w:rsidRPr="00912996" w:rsidRDefault="001A54E6" w:rsidP="00394372">
            <w:pPr>
              <w:rPr>
                <w:rFonts w:ascii="Calibri" w:hAnsi="Calibri"/>
                <w:bCs/>
                <w:lang w:eastAsia="ja-JP"/>
              </w:rPr>
            </w:pPr>
            <w:r w:rsidRPr="00912996">
              <w:rPr>
                <w:rFonts w:ascii="Calibri" w:hAnsi="Calibri"/>
                <w:bCs/>
                <w:lang w:eastAsia="ja-JP"/>
              </w:rPr>
              <w:t>PS2, PMB</w:t>
            </w:r>
          </w:p>
        </w:tc>
        <w:tc>
          <w:tcPr>
            <w:tcW w:w="1620" w:type="dxa"/>
            <w:shd w:val="clear" w:color="auto" w:fill="F2F2F2"/>
            <w:noWrap/>
            <w:hideMark/>
          </w:tcPr>
          <w:p w14:paraId="4989C3A1"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522C650"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260" w:type="dxa"/>
            <w:shd w:val="clear" w:color="auto" w:fill="F2F2F2"/>
            <w:noWrap/>
            <w:hideMark/>
          </w:tcPr>
          <w:p w14:paraId="621EC832"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089" w:type="dxa"/>
            <w:shd w:val="clear" w:color="auto" w:fill="F2F2F2"/>
            <w:noWrap/>
            <w:hideMark/>
          </w:tcPr>
          <w:p w14:paraId="51F31DE6" w14:textId="77777777" w:rsidR="001A54E6" w:rsidRPr="00912996" w:rsidRDefault="001A54E6" w:rsidP="00394372">
            <w:pPr>
              <w:rPr>
                <w:rFonts w:ascii="Calibri" w:hAnsi="Calibri"/>
                <w:bCs/>
                <w:lang w:eastAsia="ja-JP"/>
              </w:rPr>
            </w:pPr>
            <w:r w:rsidRPr="00912996">
              <w:rPr>
                <w:rFonts w:ascii="Calibri" w:hAnsi="Calibri"/>
                <w:bCs/>
                <w:lang w:eastAsia="ja-JP"/>
              </w:rPr>
              <w:t>2024 - 2027</w:t>
            </w:r>
          </w:p>
        </w:tc>
        <w:tc>
          <w:tcPr>
            <w:tcW w:w="1881" w:type="dxa"/>
            <w:shd w:val="clear" w:color="auto" w:fill="F2F2F2"/>
            <w:hideMark/>
          </w:tcPr>
          <w:p w14:paraId="76CEE46E" w14:textId="64B2EC2A"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7A1E550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78B10485"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11D73DDA" w14:textId="77777777" w:rsidTr="00E2442E">
        <w:trPr>
          <w:gridAfter w:val="9"/>
          <w:wAfter w:w="15421" w:type="dxa"/>
          <w:trHeight w:val="804"/>
        </w:trPr>
        <w:tc>
          <w:tcPr>
            <w:tcW w:w="625" w:type="dxa"/>
            <w:shd w:val="clear" w:color="auto" w:fill="F2F2F2"/>
            <w:noWrap/>
            <w:hideMark/>
          </w:tcPr>
          <w:p w14:paraId="4866D98C"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2CB49FBC" w14:textId="77777777" w:rsidR="001A54E6" w:rsidRPr="00912996" w:rsidRDefault="001A54E6" w:rsidP="00394372">
            <w:pPr>
              <w:rPr>
                <w:rFonts w:ascii="Calibri" w:hAnsi="Calibri"/>
                <w:bCs/>
                <w:lang w:eastAsia="ja-JP"/>
              </w:rPr>
            </w:pPr>
            <w:r w:rsidRPr="00912996">
              <w:rPr>
                <w:rFonts w:ascii="Calibri" w:hAnsi="Calibri"/>
                <w:bCs/>
                <w:lang w:eastAsia="ja-JP"/>
              </w:rPr>
              <w:t>Program de revitalizare a spațiilor verzi de mici dimensiuni - axa Parcul Național - Parcul Sticlăriei</w:t>
            </w:r>
          </w:p>
        </w:tc>
        <w:tc>
          <w:tcPr>
            <w:tcW w:w="1530" w:type="dxa"/>
            <w:shd w:val="clear" w:color="auto" w:fill="F2F2F2"/>
            <w:hideMark/>
          </w:tcPr>
          <w:p w14:paraId="2860BAE7"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1EEEDF6"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62BB920" w14:textId="77777777" w:rsidR="001A54E6" w:rsidRPr="00912996" w:rsidRDefault="001A54E6" w:rsidP="00394372">
            <w:pPr>
              <w:rPr>
                <w:rFonts w:ascii="Calibri" w:hAnsi="Calibri"/>
                <w:bCs/>
                <w:lang w:eastAsia="ja-JP"/>
              </w:rPr>
            </w:pPr>
            <w:r w:rsidRPr="00912996">
              <w:rPr>
                <w:rFonts w:ascii="Calibri" w:hAnsi="Calibri"/>
                <w:bCs/>
                <w:lang w:eastAsia="ja-JP"/>
              </w:rPr>
              <w:t>3,920,000</w:t>
            </w:r>
          </w:p>
        </w:tc>
        <w:tc>
          <w:tcPr>
            <w:tcW w:w="1260" w:type="dxa"/>
            <w:shd w:val="clear" w:color="auto" w:fill="F2F2F2"/>
            <w:noWrap/>
            <w:hideMark/>
          </w:tcPr>
          <w:p w14:paraId="3669FAC2" w14:textId="77777777" w:rsidR="001A54E6" w:rsidRPr="00912996" w:rsidRDefault="001A54E6" w:rsidP="00394372">
            <w:pPr>
              <w:rPr>
                <w:rFonts w:ascii="Calibri" w:hAnsi="Calibri"/>
                <w:bCs/>
                <w:lang w:eastAsia="ja-JP"/>
              </w:rPr>
            </w:pPr>
            <w:r w:rsidRPr="00912996">
              <w:rPr>
                <w:rFonts w:ascii="Calibri" w:hAnsi="Calibri"/>
                <w:bCs/>
                <w:lang w:eastAsia="ja-JP"/>
              </w:rPr>
              <w:t>800,000</w:t>
            </w:r>
          </w:p>
        </w:tc>
        <w:tc>
          <w:tcPr>
            <w:tcW w:w="1089" w:type="dxa"/>
            <w:shd w:val="clear" w:color="auto" w:fill="F2F2F2"/>
            <w:noWrap/>
            <w:hideMark/>
          </w:tcPr>
          <w:p w14:paraId="1AC5C12A" w14:textId="77777777" w:rsidR="001A54E6" w:rsidRPr="00912996" w:rsidRDefault="001A54E6" w:rsidP="00394372">
            <w:pPr>
              <w:rPr>
                <w:rFonts w:ascii="Calibri" w:hAnsi="Calibri"/>
                <w:bCs/>
                <w:lang w:eastAsia="ja-JP"/>
              </w:rPr>
            </w:pPr>
            <w:r w:rsidRPr="00912996">
              <w:rPr>
                <w:rFonts w:ascii="Calibri" w:hAnsi="Calibri"/>
                <w:bCs/>
                <w:lang w:eastAsia="ja-JP"/>
              </w:rPr>
              <w:t>2024 - 2027</w:t>
            </w:r>
          </w:p>
        </w:tc>
        <w:tc>
          <w:tcPr>
            <w:tcW w:w="1881" w:type="dxa"/>
            <w:shd w:val="clear" w:color="auto" w:fill="F2F2F2"/>
            <w:hideMark/>
          </w:tcPr>
          <w:p w14:paraId="2F90362F" w14:textId="3D926E19"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4A7B7F5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7ED022E2" w14:textId="77777777" w:rsidR="001A54E6" w:rsidRPr="00912996" w:rsidRDefault="001A54E6" w:rsidP="00394372">
            <w:pPr>
              <w:rPr>
                <w:rFonts w:ascii="Calibri" w:hAnsi="Calibri"/>
                <w:bCs/>
                <w:lang w:eastAsia="ja-JP"/>
              </w:rPr>
            </w:pPr>
            <w:r w:rsidRPr="00912996">
              <w:rPr>
                <w:rFonts w:ascii="Calibri" w:hAnsi="Calibri"/>
                <w:bCs/>
                <w:lang w:eastAsia="ja-JP"/>
              </w:rPr>
              <w:t>Propunere consultant</w:t>
            </w:r>
          </w:p>
        </w:tc>
      </w:tr>
      <w:tr w:rsidR="00AC2FFA" w:rsidRPr="00912996" w14:paraId="52BA3B1B" w14:textId="77777777" w:rsidTr="00E2442E">
        <w:trPr>
          <w:gridAfter w:val="9"/>
          <w:wAfter w:w="15421" w:type="dxa"/>
          <w:trHeight w:val="804"/>
        </w:trPr>
        <w:tc>
          <w:tcPr>
            <w:tcW w:w="625" w:type="dxa"/>
            <w:shd w:val="clear" w:color="auto" w:fill="F2F2F2"/>
            <w:noWrap/>
            <w:hideMark/>
          </w:tcPr>
          <w:p w14:paraId="096C9084"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24F0D3E6" w14:textId="77777777" w:rsidR="001A54E6" w:rsidRPr="00912996" w:rsidRDefault="001A54E6" w:rsidP="00394372">
            <w:pPr>
              <w:rPr>
                <w:rFonts w:ascii="Calibri" w:hAnsi="Calibri"/>
                <w:bCs/>
                <w:lang w:eastAsia="ja-JP"/>
              </w:rPr>
            </w:pPr>
            <w:r w:rsidRPr="00912996">
              <w:rPr>
                <w:rFonts w:ascii="Calibri" w:hAnsi="Calibri"/>
                <w:bCs/>
                <w:lang w:eastAsia="ja-JP"/>
              </w:rPr>
              <w:t>Program de revitalizare a spațiilor verzi de mici dimensiuni - axa Parcul Verdi - Parcul Circului</w:t>
            </w:r>
          </w:p>
        </w:tc>
        <w:tc>
          <w:tcPr>
            <w:tcW w:w="1530" w:type="dxa"/>
            <w:shd w:val="clear" w:color="auto" w:fill="F2F2F2"/>
            <w:hideMark/>
          </w:tcPr>
          <w:p w14:paraId="45FDDE05"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373B39E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76288BA8" w14:textId="77777777" w:rsidR="001A54E6" w:rsidRPr="00912996" w:rsidRDefault="001A54E6" w:rsidP="00394372">
            <w:pPr>
              <w:rPr>
                <w:rFonts w:ascii="Calibri" w:hAnsi="Calibri"/>
                <w:bCs/>
                <w:lang w:eastAsia="ja-JP"/>
              </w:rPr>
            </w:pPr>
            <w:r w:rsidRPr="00912996">
              <w:rPr>
                <w:rFonts w:ascii="Calibri" w:hAnsi="Calibri"/>
                <w:bCs/>
                <w:lang w:eastAsia="ja-JP"/>
              </w:rPr>
              <w:t>3,920,000</w:t>
            </w:r>
          </w:p>
        </w:tc>
        <w:tc>
          <w:tcPr>
            <w:tcW w:w="1260" w:type="dxa"/>
            <w:shd w:val="clear" w:color="auto" w:fill="F2F2F2"/>
            <w:noWrap/>
            <w:hideMark/>
          </w:tcPr>
          <w:p w14:paraId="0C82B634" w14:textId="77777777" w:rsidR="001A54E6" w:rsidRPr="00912996" w:rsidRDefault="001A54E6" w:rsidP="00394372">
            <w:pPr>
              <w:rPr>
                <w:rFonts w:ascii="Calibri" w:hAnsi="Calibri"/>
                <w:bCs/>
                <w:lang w:eastAsia="ja-JP"/>
              </w:rPr>
            </w:pPr>
            <w:r w:rsidRPr="00912996">
              <w:rPr>
                <w:rFonts w:ascii="Calibri" w:hAnsi="Calibri"/>
                <w:bCs/>
                <w:lang w:eastAsia="ja-JP"/>
              </w:rPr>
              <w:t>800,000</w:t>
            </w:r>
          </w:p>
        </w:tc>
        <w:tc>
          <w:tcPr>
            <w:tcW w:w="1089" w:type="dxa"/>
            <w:shd w:val="clear" w:color="auto" w:fill="F2F2F2"/>
            <w:noWrap/>
            <w:hideMark/>
          </w:tcPr>
          <w:p w14:paraId="0D949A46" w14:textId="77777777" w:rsidR="001A54E6" w:rsidRPr="00912996" w:rsidRDefault="001A54E6" w:rsidP="00394372">
            <w:pPr>
              <w:rPr>
                <w:rFonts w:ascii="Calibri" w:hAnsi="Calibri"/>
                <w:bCs/>
                <w:lang w:eastAsia="ja-JP"/>
              </w:rPr>
            </w:pPr>
            <w:r w:rsidRPr="00912996">
              <w:rPr>
                <w:rFonts w:ascii="Calibri" w:hAnsi="Calibri"/>
                <w:bCs/>
                <w:lang w:eastAsia="ja-JP"/>
              </w:rPr>
              <w:t>2024 - 2027</w:t>
            </w:r>
          </w:p>
        </w:tc>
        <w:tc>
          <w:tcPr>
            <w:tcW w:w="1881" w:type="dxa"/>
            <w:shd w:val="clear" w:color="auto" w:fill="F2F2F2"/>
            <w:hideMark/>
          </w:tcPr>
          <w:p w14:paraId="18EF1772" w14:textId="35969691"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276323BE"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215EF3C3" w14:textId="77777777" w:rsidR="001A54E6" w:rsidRPr="00912996" w:rsidRDefault="001A54E6" w:rsidP="00394372">
            <w:pPr>
              <w:rPr>
                <w:rFonts w:ascii="Calibri" w:hAnsi="Calibri"/>
                <w:bCs/>
                <w:lang w:eastAsia="ja-JP"/>
              </w:rPr>
            </w:pPr>
            <w:r w:rsidRPr="00912996">
              <w:rPr>
                <w:rFonts w:ascii="Calibri" w:hAnsi="Calibri"/>
                <w:bCs/>
                <w:lang w:eastAsia="ja-JP"/>
              </w:rPr>
              <w:t>Propunere consultant</w:t>
            </w:r>
          </w:p>
        </w:tc>
      </w:tr>
      <w:tr w:rsidR="00AC2FFA" w:rsidRPr="00912996" w14:paraId="621FBFF1" w14:textId="77777777" w:rsidTr="00E2442E">
        <w:trPr>
          <w:gridAfter w:val="9"/>
          <w:wAfter w:w="15421" w:type="dxa"/>
          <w:trHeight w:val="804"/>
        </w:trPr>
        <w:tc>
          <w:tcPr>
            <w:tcW w:w="625" w:type="dxa"/>
            <w:shd w:val="clear" w:color="auto" w:fill="F2F2F2"/>
            <w:noWrap/>
            <w:hideMark/>
          </w:tcPr>
          <w:p w14:paraId="4D7A6EA6"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6CF3A919" w14:textId="77777777" w:rsidR="001A54E6" w:rsidRPr="00912996" w:rsidRDefault="001A54E6" w:rsidP="00394372">
            <w:pPr>
              <w:rPr>
                <w:rFonts w:ascii="Calibri" w:hAnsi="Calibri"/>
                <w:bCs/>
                <w:lang w:eastAsia="ja-JP"/>
              </w:rPr>
            </w:pPr>
            <w:r w:rsidRPr="00912996">
              <w:rPr>
                <w:rFonts w:ascii="Calibri" w:hAnsi="Calibri"/>
                <w:bCs/>
                <w:lang w:eastAsia="ja-JP"/>
              </w:rPr>
              <w:t>Proiect pilot - realizare grădini comunitare pe terasele locuințelor colective din cartierul Floreasca</w:t>
            </w:r>
          </w:p>
        </w:tc>
        <w:tc>
          <w:tcPr>
            <w:tcW w:w="1530" w:type="dxa"/>
            <w:shd w:val="clear" w:color="auto" w:fill="F2F2F2"/>
            <w:hideMark/>
          </w:tcPr>
          <w:p w14:paraId="5AAB1945" w14:textId="77777777" w:rsidR="001A54E6" w:rsidRPr="00912996" w:rsidRDefault="001A54E6" w:rsidP="00394372">
            <w:pPr>
              <w:rPr>
                <w:rFonts w:ascii="Calibri" w:hAnsi="Calibri"/>
                <w:bCs/>
                <w:lang w:eastAsia="ja-JP"/>
              </w:rPr>
            </w:pPr>
            <w:r w:rsidRPr="00912996">
              <w:rPr>
                <w:rFonts w:ascii="Calibri" w:hAnsi="Calibri"/>
                <w:bCs/>
                <w:lang w:eastAsia="ja-JP"/>
              </w:rPr>
              <w:t>PS2, Asociații de proprietari</w:t>
            </w:r>
          </w:p>
        </w:tc>
        <w:tc>
          <w:tcPr>
            <w:tcW w:w="1620" w:type="dxa"/>
            <w:shd w:val="clear" w:color="auto" w:fill="F2F2F2"/>
            <w:noWrap/>
            <w:hideMark/>
          </w:tcPr>
          <w:p w14:paraId="70F5493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D062144" w14:textId="77777777" w:rsidR="001A54E6" w:rsidRPr="00912996" w:rsidRDefault="001A54E6" w:rsidP="00394372">
            <w:pPr>
              <w:rPr>
                <w:rFonts w:ascii="Calibri" w:hAnsi="Calibri"/>
                <w:bCs/>
                <w:lang w:eastAsia="ja-JP"/>
              </w:rPr>
            </w:pPr>
            <w:r w:rsidRPr="00912996">
              <w:rPr>
                <w:rFonts w:ascii="Calibri" w:hAnsi="Calibri"/>
                <w:bCs/>
                <w:lang w:eastAsia="ja-JP"/>
              </w:rPr>
              <w:t>2,450,000</w:t>
            </w:r>
          </w:p>
        </w:tc>
        <w:tc>
          <w:tcPr>
            <w:tcW w:w="1260" w:type="dxa"/>
            <w:shd w:val="clear" w:color="auto" w:fill="F2F2F2"/>
            <w:noWrap/>
            <w:hideMark/>
          </w:tcPr>
          <w:p w14:paraId="3F36EB5F" w14:textId="77777777" w:rsidR="001A54E6" w:rsidRPr="00912996" w:rsidRDefault="001A54E6" w:rsidP="00394372">
            <w:pPr>
              <w:rPr>
                <w:rFonts w:ascii="Calibri" w:hAnsi="Calibri"/>
                <w:bCs/>
                <w:lang w:eastAsia="ja-JP"/>
              </w:rPr>
            </w:pPr>
            <w:r w:rsidRPr="00912996">
              <w:rPr>
                <w:rFonts w:ascii="Calibri" w:hAnsi="Calibri"/>
                <w:bCs/>
                <w:lang w:eastAsia="ja-JP"/>
              </w:rPr>
              <w:t>500,000</w:t>
            </w:r>
          </w:p>
        </w:tc>
        <w:tc>
          <w:tcPr>
            <w:tcW w:w="1089" w:type="dxa"/>
            <w:shd w:val="clear" w:color="auto" w:fill="F2F2F2"/>
            <w:noWrap/>
            <w:hideMark/>
          </w:tcPr>
          <w:p w14:paraId="38F061CC"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1881" w:type="dxa"/>
            <w:shd w:val="clear" w:color="auto" w:fill="F2F2F2"/>
            <w:hideMark/>
          </w:tcPr>
          <w:p w14:paraId="78E4911E" w14:textId="6D1AF836"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73A02D12"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62EE116F" w14:textId="77777777" w:rsidR="001A54E6" w:rsidRPr="00912996" w:rsidRDefault="001A54E6" w:rsidP="00394372">
            <w:pPr>
              <w:rPr>
                <w:rFonts w:ascii="Calibri" w:hAnsi="Calibri"/>
                <w:bCs/>
                <w:lang w:eastAsia="ja-JP"/>
              </w:rPr>
            </w:pPr>
            <w:r w:rsidRPr="00912996">
              <w:rPr>
                <w:rFonts w:ascii="Calibri" w:hAnsi="Calibri"/>
                <w:bCs/>
                <w:lang w:eastAsia="ja-JP"/>
              </w:rPr>
              <w:t>Propunere consultant</w:t>
            </w:r>
          </w:p>
        </w:tc>
      </w:tr>
      <w:tr w:rsidR="00AC2FFA" w:rsidRPr="00912996" w14:paraId="53B3BBD9" w14:textId="77777777" w:rsidTr="00E2442E">
        <w:trPr>
          <w:gridAfter w:val="9"/>
          <w:wAfter w:w="15421" w:type="dxa"/>
          <w:trHeight w:val="1068"/>
        </w:trPr>
        <w:tc>
          <w:tcPr>
            <w:tcW w:w="625" w:type="dxa"/>
            <w:shd w:val="clear" w:color="auto" w:fill="F2F2F2"/>
            <w:noWrap/>
            <w:hideMark/>
          </w:tcPr>
          <w:p w14:paraId="77135A9D"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3C881F9D" w14:textId="77777777" w:rsidR="001A54E6" w:rsidRPr="00912996" w:rsidRDefault="001A54E6" w:rsidP="00394372">
            <w:pPr>
              <w:rPr>
                <w:rFonts w:ascii="Calibri" w:hAnsi="Calibri"/>
                <w:bCs/>
                <w:lang w:eastAsia="ja-JP"/>
              </w:rPr>
            </w:pPr>
            <w:r w:rsidRPr="00912996">
              <w:rPr>
                <w:rFonts w:ascii="Calibri" w:hAnsi="Calibri"/>
                <w:bCs/>
                <w:lang w:eastAsia="ja-JP"/>
              </w:rPr>
              <w:t>Proiect integrat de regenerare urban</w:t>
            </w:r>
            <w:r>
              <w:rPr>
                <w:rFonts w:ascii="Calibri" w:hAnsi="Calibri"/>
                <w:bCs/>
                <w:lang w:eastAsia="ja-JP"/>
              </w:rPr>
              <w:t>ă</w:t>
            </w:r>
            <w:r w:rsidRPr="00912996">
              <w:rPr>
                <w:rFonts w:ascii="Calibri" w:hAnsi="Calibri"/>
                <w:bCs/>
                <w:lang w:eastAsia="ja-JP"/>
              </w:rPr>
              <w:t xml:space="preserve"> Infrastructura Spa</w:t>
            </w:r>
            <w:r>
              <w:rPr>
                <w:rFonts w:ascii="Calibri" w:hAnsi="Calibri"/>
                <w:bCs/>
                <w:lang w:eastAsia="ja-JP"/>
              </w:rPr>
              <w:t>ț</w:t>
            </w:r>
            <w:r w:rsidRPr="00912996">
              <w:rPr>
                <w:rFonts w:ascii="Calibri" w:hAnsi="Calibri"/>
                <w:bCs/>
                <w:lang w:eastAsia="ja-JP"/>
              </w:rPr>
              <w:t xml:space="preserve">ii Verzi </w:t>
            </w:r>
          </w:p>
        </w:tc>
        <w:tc>
          <w:tcPr>
            <w:tcW w:w="1530" w:type="dxa"/>
            <w:shd w:val="clear" w:color="auto" w:fill="F2F2F2"/>
            <w:hideMark/>
          </w:tcPr>
          <w:p w14:paraId="4D319723" w14:textId="77777777" w:rsidR="001A54E6" w:rsidRPr="00912996" w:rsidRDefault="001A54E6" w:rsidP="00394372">
            <w:pPr>
              <w:rPr>
                <w:rFonts w:ascii="Calibri" w:hAnsi="Calibri"/>
                <w:bCs/>
                <w:lang w:eastAsia="ja-JP"/>
              </w:rPr>
            </w:pPr>
            <w:r w:rsidRPr="00912996">
              <w:rPr>
                <w:rFonts w:ascii="Calibri" w:hAnsi="Calibri"/>
                <w:bCs/>
                <w:lang w:eastAsia="ja-JP"/>
              </w:rPr>
              <w:t>PS2, Primăria Municipiului București</w:t>
            </w:r>
          </w:p>
        </w:tc>
        <w:tc>
          <w:tcPr>
            <w:tcW w:w="1620" w:type="dxa"/>
            <w:shd w:val="clear" w:color="auto" w:fill="F2F2F2"/>
            <w:noWrap/>
            <w:hideMark/>
          </w:tcPr>
          <w:p w14:paraId="027FF009"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01284657" w14:textId="77777777" w:rsidR="001A54E6" w:rsidRPr="00912996" w:rsidRDefault="001A54E6" w:rsidP="00394372">
            <w:pPr>
              <w:rPr>
                <w:rFonts w:ascii="Calibri" w:hAnsi="Calibri"/>
                <w:bCs/>
                <w:lang w:eastAsia="ja-JP"/>
              </w:rPr>
            </w:pPr>
            <w:r w:rsidRPr="00912996">
              <w:rPr>
                <w:rFonts w:ascii="Calibri" w:hAnsi="Calibri"/>
                <w:bCs/>
                <w:lang w:eastAsia="ja-JP"/>
              </w:rPr>
              <w:t>490,000,000</w:t>
            </w:r>
          </w:p>
        </w:tc>
        <w:tc>
          <w:tcPr>
            <w:tcW w:w="1260" w:type="dxa"/>
            <w:shd w:val="clear" w:color="auto" w:fill="F2F2F2"/>
            <w:noWrap/>
            <w:hideMark/>
          </w:tcPr>
          <w:p w14:paraId="011F2C83" w14:textId="77777777" w:rsidR="001A54E6" w:rsidRPr="00912996" w:rsidRDefault="001A54E6" w:rsidP="00394372">
            <w:pPr>
              <w:rPr>
                <w:rFonts w:ascii="Calibri" w:hAnsi="Calibri"/>
                <w:bCs/>
                <w:lang w:eastAsia="ja-JP"/>
              </w:rPr>
            </w:pPr>
            <w:r w:rsidRPr="00912996">
              <w:rPr>
                <w:rFonts w:ascii="Calibri" w:hAnsi="Calibri"/>
                <w:bCs/>
                <w:lang w:eastAsia="ja-JP"/>
              </w:rPr>
              <w:t>100,000,000</w:t>
            </w:r>
          </w:p>
        </w:tc>
        <w:tc>
          <w:tcPr>
            <w:tcW w:w="1089" w:type="dxa"/>
            <w:shd w:val="clear" w:color="auto" w:fill="F2F2F2"/>
            <w:noWrap/>
            <w:hideMark/>
          </w:tcPr>
          <w:p w14:paraId="23FB4AD8"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7A72FC17" w14:textId="77777777" w:rsidR="001A54E6" w:rsidRPr="00912996" w:rsidRDefault="001A54E6" w:rsidP="00394372">
            <w:pPr>
              <w:rPr>
                <w:rFonts w:ascii="Calibri" w:hAnsi="Calibri"/>
                <w:bCs/>
                <w:lang w:eastAsia="ja-JP"/>
              </w:rPr>
            </w:pPr>
            <w:r w:rsidRPr="00912996">
              <w:rPr>
                <w:rFonts w:ascii="Calibri" w:hAnsi="Calibri"/>
                <w:bCs/>
                <w:lang w:eastAsia="ja-JP"/>
              </w:rPr>
              <w:t>POR BI 2021-2027 Prioritățile 7, 3, AFM, bugetul local,  alte surse de finanțare</w:t>
            </w:r>
          </w:p>
        </w:tc>
        <w:tc>
          <w:tcPr>
            <w:tcW w:w="1260" w:type="dxa"/>
            <w:shd w:val="clear" w:color="auto" w:fill="F2F2F2"/>
            <w:hideMark/>
          </w:tcPr>
          <w:p w14:paraId="283DF68B"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6C27F375"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6ACC3C72" w14:textId="77777777" w:rsidTr="00E2442E">
        <w:trPr>
          <w:gridAfter w:val="9"/>
          <w:wAfter w:w="15421" w:type="dxa"/>
          <w:trHeight w:val="1068"/>
        </w:trPr>
        <w:tc>
          <w:tcPr>
            <w:tcW w:w="625" w:type="dxa"/>
            <w:shd w:val="clear" w:color="auto" w:fill="F2F2F2"/>
            <w:noWrap/>
            <w:hideMark/>
          </w:tcPr>
          <w:p w14:paraId="313A66D9"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288865B4" w14:textId="77777777" w:rsidR="001A54E6" w:rsidRPr="00912996" w:rsidRDefault="001A54E6" w:rsidP="00394372">
            <w:pPr>
              <w:rPr>
                <w:rFonts w:ascii="Calibri" w:hAnsi="Calibri"/>
                <w:bCs/>
                <w:lang w:eastAsia="ja-JP"/>
              </w:rPr>
            </w:pPr>
            <w:r w:rsidRPr="00912996">
              <w:rPr>
                <w:rFonts w:ascii="Calibri" w:hAnsi="Calibri"/>
                <w:bCs/>
                <w:lang w:eastAsia="ja-JP"/>
              </w:rPr>
              <w:t>Amenajare loc de joacă pentru copii în Parcul Morarilor</w:t>
            </w:r>
          </w:p>
        </w:tc>
        <w:tc>
          <w:tcPr>
            <w:tcW w:w="1530" w:type="dxa"/>
            <w:shd w:val="clear" w:color="auto" w:fill="F2F2F2"/>
            <w:hideMark/>
          </w:tcPr>
          <w:p w14:paraId="13B2803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41EC6417" w14:textId="77777777" w:rsidR="001A54E6" w:rsidRPr="00912996" w:rsidRDefault="001A54E6" w:rsidP="00394372">
            <w:pPr>
              <w:rPr>
                <w:rFonts w:ascii="Calibri" w:hAnsi="Calibri"/>
                <w:bCs/>
                <w:lang w:eastAsia="ja-JP"/>
              </w:rPr>
            </w:pPr>
            <w:r>
              <w:rPr>
                <w:rFonts w:ascii="Calibri" w:hAnsi="Calibri"/>
                <w:bCs/>
                <w:lang w:eastAsia="ja-JP"/>
              </w:rPr>
              <w:t>Finalizat 2021</w:t>
            </w:r>
          </w:p>
        </w:tc>
        <w:tc>
          <w:tcPr>
            <w:tcW w:w="1260" w:type="dxa"/>
            <w:shd w:val="clear" w:color="auto" w:fill="F2F2F2"/>
            <w:hideMark/>
          </w:tcPr>
          <w:p w14:paraId="24C8981B" w14:textId="77777777" w:rsidR="001A54E6" w:rsidRPr="00912996" w:rsidRDefault="001A54E6" w:rsidP="00394372">
            <w:pPr>
              <w:rPr>
                <w:rFonts w:ascii="Calibri" w:hAnsi="Calibri"/>
                <w:bCs/>
                <w:lang w:eastAsia="ja-JP"/>
              </w:rPr>
            </w:pPr>
            <w:r w:rsidRPr="00912996">
              <w:rPr>
                <w:rFonts w:ascii="Calibri" w:hAnsi="Calibri"/>
                <w:bCs/>
                <w:lang w:eastAsia="ja-JP"/>
              </w:rPr>
              <w:t>9,194,939</w:t>
            </w:r>
          </w:p>
        </w:tc>
        <w:tc>
          <w:tcPr>
            <w:tcW w:w="1260" w:type="dxa"/>
            <w:shd w:val="clear" w:color="auto" w:fill="F2F2F2"/>
            <w:hideMark/>
          </w:tcPr>
          <w:p w14:paraId="3E7FFDCE" w14:textId="77777777" w:rsidR="001A54E6" w:rsidRPr="00912996" w:rsidRDefault="001A54E6" w:rsidP="00394372">
            <w:pPr>
              <w:rPr>
                <w:rFonts w:ascii="Calibri" w:hAnsi="Calibri"/>
                <w:bCs/>
                <w:lang w:eastAsia="ja-JP"/>
              </w:rPr>
            </w:pPr>
            <w:r w:rsidRPr="00912996">
              <w:rPr>
                <w:rFonts w:ascii="Calibri" w:hAnsi="Calibri"/>
                <w:bCs/>
                <w:lang w:eastAsia="ja-JP"/>
              </w:rPr>
              <w:t>1,876,518</w:t>
            </w:r>
          </w:p>
        </w:tc>
        <w:tc>
          <w:tcPr>
            <w:tcW w:w="1089" w:type="dxa"/>
            <w:shd w:val="clear" w:color="auto" w:fill="F2F2F2"/>
            <w:noWrap/>
            <w:hideMark/>
          </w:tcPr>
          <w:p w14:paraId="4F3891F0"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484396AE" w14:textId="77777777" w:rsidR="001A54E6" w:rsidRPr="00912996" w:rsidRDefault="001A54E6" w:rsidP="00394372">
            <w:pPr>
              <w:rPr>
                <w:rFonts w:ascii="Calibri" w:hAnsi="Calibri"/>
                <w:bCs/>
                <w:lang w:eastAsia="ja-JP"/>
              </w:rPr>
            </w:pPr>
            <w:r w:rsidRPr="00912996">
              <w:rPr>
                <w:rFonts w:ascii="Calibri" w:hAnsi="Calibri"/>
                <w:bCs/>
                <w:lang w:eastAsia="ja-JP"/>
              </w:rPr>
              <w:t>POR BI 2021-2027 Prioritățile 7, 3, AFM, bugetul local,  alte surse de finanțare</w:t>
            </w:r>
          </w:p>
        </w:tc>
        <w:tc>
          <w:tcPr>
            <w:tcW w:w="1260" w:type="dxa"/>
            <w:shd w:val="clear" w:color="auto" w:fill="F2F2F2"/>
            <w:hideMark/>
          </w:tcPr>
          <w:p w14:paraId="63F859AA"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994C166"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4F29A1DA" w14:textId="77777777" w:rsidTr="00E2442E">
        <w:trPr>
          <w:gridAfter w:val="9"/>
          <w:wAfter w:w="15421" w:type="dxa"/>
          <w:trHeight w:val="1068"/>
        </w:trPr>
        <w:tc>
          <w:tcPr>
            <w:tcW w:w="625" w:type="dxa"/>
            <w:shd w:val="clear" w:color="auto" w:fill="F2F2F2"/>
            <w:noWrap/>
            <w:hideMark/>
          </w:tcPr>
          <w:p w14:paraId="3837CBD0" w14:textId="77777777" w:rsidR="001A54E6" w:rsidRPr="00912996" w:rsidRDefault="001A54E6" w:rsidP="00394372">
            <w:pPr>
              <w:rPr>
                <w:rFonts w:ascii="Calibri" w:hAnsi="Calibri"/>
                <w:bCs/>
                <w:lang w:eastAsia="ja-JP"/>
              </w:rPr>
            </w:pPr>
            <w:r w:rsidRPr="00912996">
              <w:rPr>
                <w:rFonts w:ascii="Calibri" w:hAnsi="Calibri"/>
                <w:bCs/>
                <w:lang w:eastAsia="ja-JP"/>
              </w:rPr>
              <w:t>9</w:t>
            </w:r>
          </w:p>
        </w:tc>
        <w:tc>
          <w:tcPr>
            <w:tcW w:w="2250" w:type="dxa"/>
            <w:shd w:val="clear" w:color="auto" w:fill="F2F2F2"/>
            <w:hideMark/>
          </w:tcPr>
          <w:p w14:paraId="4F92C1B4" w14:textId="77777777" w:rsidR="001A54E6" w:rsidRPr="00912996" w:rsidRDefault="001A54E6" w:rsidP="00394372">
            <w:pPr>
              <w:rPr>
                <w:rFonts w:ascii="Calibri" w:hAnsi="Calibri"/>
                <w:bCs/>
                <w:lang w:eastAsia="ja-JP"/>
              </w:rPr>
            </w:pPr>
            <w:r w:rsidRPr="00912996">
              <w:rPr>
                <w:rFonts w:ascii="Calibri" w:hAnsi="Calibri"/>
                <w:bCs/>
                <w:lang w:eastAsia="ja-JP"/>
              </w:rPr>
              <w:t>Reîntregirea parcului Floreasca (suprafață 2,6ha) prin adăugarea unui teren de 6.500mp din baza STB Floreasca</w:t>
            </w:r>
          </w:p>
        </w:tc>
        <w:tc>
          <w:tcPr>
            <w:tcW w:w="1530" w:type="dxa"/>
            <w:shd w:val="clear" w:color="auto" w:fill="F2F2F2"/>
            <w:hideMark/>
          </w:tcPr>
          <w:p w14:paraId="4C1DF9BF" w14:textId="77777777" w:rsidR="001A54E6" w:rsidRPr="00912996" w:rsidRDefault="001A54E6" w:rsidP="00394372">
            <w:pPr>
              <w:rPr>
                <w:rFonts w:ascii="Calibri" w:hAnsi="Calibri"/>
                <w:bCs/>
                <w:lang w:eastAsia="ja-JP"/>
              </w:rPr>
            </w:pPr>
            <w:r w:rsidRPr="00912996">
              <w:rPr>
                <w:rFonts w:ascii="Calibri" w:hAnsi="Calibri"/>
                <w:bCs/>
                <w:lang w:eastAsia="ja-JP"/>
              </w:rPr>
              <w:t>PS2, ADPS2</w:t>
            </w:r>
          </w:p>
        </w:tc>
        <w:tc>
          <w:tcPr>
            <w:tcW w:w="1620" w:type="dxa"/>
            <w:shd w:val="clear" w:color="auto" w:fill="F2F2F2"/>
            <w:hideMark/>
          </w:tcPr>
          <w:p w14:paraId="3502E8AF"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hideMark/>
          </w:tcPr>
          <w:p w14:paraId="4BA54250" w14:textId="77777777" w:rsidR="001A54E6" w:rsidRPr="00912996" w:rsidRDefault="001A54E6" w:rsidP="00394372">
            <w:pPr>
              <w:rPr>
                <w:rFonts w:ascii="Calibri" w:hAnsi="Calibri"/>
                <w:bCs/>
                <w:lang w:eastAsia="ja-JP"/>
              </w:rPr>
            </w:pPr>
            <w:r w:rsidRPr="00912996">
              <w:rPr>
                <w:rFonts w:ascii="Calibri" w:hAnsi="Calibri"/>
                <w:bCs/>
                <w:lang w:eastAsia="ja-JP"/>
              </w:rPr>
              <w:t>1,500,000</w:t>
            </w:r>
          </w:p>
        </w:tc>
        <w:tc>
          <w:tcPr>
            <w:tcW w:w="1260" w:type="dxa"/>
            <w:shd w:val="clear" w:color="auto" w:fill="F2F2F2"/>
            <w:hideMark/>
          </w:tcPr>
          <w:p w14:paraId="1DEDCE82" w14:textId="77777777" w:rsidR="001A54E6" w:rsidRPr="00912996" w:rsidRDefault="001A54E6" w:rsidP="00394372">
            <w:pPr>
              <w:rPr>
                <w:rFonts w:ascii="Calibri" w:hAnsi="Calibri"/>
                <w:bCs/>
                <w:lang w:eastAsia="ja-JP"/>
              </w:rPr>
            </w:pPr>
            <w:r w:rsidRPr="00912996">
              <w:rPr>
                <w:rFonts w:ascii="Calibri" w:hAnsi="Calibri"/>
                <w:bCs/>
                <w:lang w:eastAsia="ja-JP"/>
              </w:rPr>
              <w:t>306,122</w:t>
            </w:r>
          </w:p>
        </w:tc>
        <w:tc>
          <w:tcPr>
            <w:tcW w:w="1089" w:type="dxa"/>
            <w:shd w:val="clear" w:color="auto" w:fill="F2F2F2"/>
            <w:hideMark/>
          </w:tcPr>
          <w:p w14:paraId="471803BA" w14:textId="77777777" w:rsidR="001A54E6" w:rsidRPr="00912996" w:rsidRDefault="001A54E6" w:rsidP="00394372">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-2026</w:t>
            </w:r>
          </w:p>
        </w:tc>
        <w:tc>
          <w:tcPr>
            <w:tcW w:w="1881" w:type="dxa"/>
            <w:shd w:val="clear" w:color="auto" w:fill="F2F2F2"/>
            <w:hideMark/>
          </w:tcPr>
          <w:p w14:paraId="7F53E0BD" w14:textId="77777777" w:rsidR="001A54E6" w:rsidRPr="00912996" w:rsidRDefault="001A54E6" w:rsidP="00394372">
            <w:pPr>
              <w:rPr>
                <w:rFonts w:ascii="Calibri" w:hAnsi="Calibri"/>
                <w:bCs/>
                <w:lang w:eastAsia="ja-JP"/>
              </w:rPr>
            </w:pPr>
            <w:r w:rsidRPr="00912996">
              <w:rPr>
                <w:rFonts w:ascii="Calibri" w:hAnsi="Calibri"/>
                <w:bCs/>
                <w:lang w:eastAsia="ja-JP"/>
              </w:rPr>
              <w:t>POR BI 2021-2027 Prioritățile 7, 3, AFM, bugetul local,  alte surse de finanțare</w:t>
            </w:r>
          </w:p>
        </w:tc>
        <w:tc>
          <w:tcPr>
            <w:tcW w:w="1260" w:type="dxa"/>
            <w:shd w:val="clear" w:color="auto" w:fill="F2F2F2"/>
            <w:hideMark/>
          </w:tcPr>
          <w:p w14:paraId="4FE1C19F"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22CDE07B" w14:textId="77777777" w:rsidR="001A54E6" w:rsidRPr="00912996" w:rsidRDefault="001A54E6" w:rsidP="00394372">
            <w:pPr>
              <w:rPr>
                <w:rFonts w:ascii="Calibri" w:hAnsi="Calibri"/>
                <w:bCs/>
                <w:lang w:eastAsia="ja-JP"/>
              </w:rPr>
            </w:pPr>
            <w:r w:rsidRPr="00912996">
              <w:rPr>
                <w:rFonts w:ascii="Calibri" w:hAnsi="Calibri"/>
                <w:bCs/>
                <w:lang w:eastAsia="ja-JP"/>
              </w:rPr>
              <w:t>PUZ S2</w:t>
            </w:r>
          </w:p>
        </w:tc>
      </w:tr>
      <w:tr w:rsidR="00AC2FFA" w:rsidRPr="00912996" w14:paraId="287C1664" w14:textId="77777777" w:rsidTr="00E2442E">
        <w:trPr>
          <w:gridAfter w:val="9"/>
          <w:wAfter w:w="15421" w:type="dxa"/>
          <w:trHeight w:val="1068"/>
        </w:trPr>
        <w:tc>
          <w:tcPr>
            <w:tcW w:w="625" w:type="dxa"/>
            <w:shd w:val="clear" w:color="auto" w:fill="F2F2F2"/>
            <w:noWrap/>
          </w:tcPr>
          <w:p w14:paraId="0B3319DD" w14:textId="77777777" w:rsidR="001A54E6" w:rsidRPr="00912996" w:rsidRDefault="001A54E6" w:rsidP="00394372">
            <w:pPr>
              <w:rPr>
                <w:rFonts w:ascii="Calibri" w:hAnsi="Calibri"/>
                <w:bCs/>
                <w:lang w:eastAsia="ja-JP"/>
              </w:rPr>
            </w:pPr>
            <w:r w:rsidRPr="00912996">
              <w:rPr>
                <w:rFonts w:ascii="Calibri" w:hAnsi="Calibri"/>
                <w:bCs/>
                <w:lang w:eastAsia="ja-JP"/>
              </w:rPr>
              <w:t>10</w:t>
            </w:r>
          </w:p>
        </w:tc>
        <w:tc>
          <w:tcPr>
            <w:tcW w:w="2250" w:type="dxa"/>
            <w:shd w:val="clear" w:color="auto" w:fill="F2F2F2"/>
          </w:tcPr>
          <w:p w14:paraId="4273FBD1" w14:textId="77777777" w:rsidR="001A54E6" w:rsidRPr="00912996" w:rsidRDefault="001A54E6" w:rsidP="00394372">
            <w:pPr>
              <w:rPr>
                <w:rFonts w:ascii="Calibri" w:hAnsi="Calibri"/>
                <w:bCs/>
                <w:lang w:eastAsia="ja-JP"/>
              </w:rPr>
            </w:pPr>
            <w:r w:rsidRPr="00912996">
              <w:rPr>
                <w:rFonts w:ascii="Calibri" w:hAnsi="Calibri"/>
                <w:bCs/>
                <w:lang w:eastAsia="ja-JP"/>
              </w:rPr>
              <w:t>Div AirCity, Puterea diversității și a incluziunii sociale ca mijloc de reducere a poluării aerului și de realizare a legăturii urbane verzi în orașele neutre din punct de vedere climatic</w:t>
            </w:r>
          </w:p>
        </w:tc>
        <w:tc>
          <w:tcPr>
            <w:tcW w:w="1530" w:type="dxa"/>
            <w:shd w:val="clear" w:color="auto" w:fill="F2F2F2"/>
          </w:tcPr>
          <w:p w14:paraId="7690542B"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tcPr>
          <w:p w14:paraId="19F9EE42" w14:textId="77777777" w:rsidR="001A54E6" w:rsidRPr="00912996" w:rsidRDefault="001A54E6" w:rsidP="00394372">
            <w:pPr>
              <w:rPr>
                <w:rFonts w:ascii="Calibri" w:hAnsi="Calibri"/>
                <w:bCs/>
                <w:lang w:eastAsia="ja-JP"/>
              </w:rPr>
            </w:pPr>
            <w:r w:rsidRPr="00912996">
              <w:rPr>
                <w:rFonts w:ascii="Calibri" w:hAnsi="Calibri"/>
                <w:bCs/>
                <w:lang w:eastAsia="ja-JP"/>
              </w:rPr>
              <w:t>În implementare</w:t>
            </w:r>
          </w:p>
        </w:tc>
        <w:tc>
          <w:tcPr>
            <w:tcW w:w="1260" w:type="dxa"/>
            <w:shd w:val="clear" w:color="auto" w:fill="F2F2F2"/>
          </w:tcPr>
          <w:p w14:paraId="24361E8A" w14:textId="77777777" w:rsidR="001A54E6" w:rsidRPr="00912996" w:rsidRDefault="001A54E6" w:rsidP="00394372">
            <w:pPr>
              <w:rPr>
                <w:rFonts w:ascii="Calibri" w:hAnsi="Calibri"/>
                <w:bCs/>
                <w:lang w:eastAsia="ja-JP"/>
              </w:rPr>
            </w:pPr>
            <w:r w:rsidRPr="00912996">
              <w:rPr>
                <w:rFonts w:ascii="Calibri" w:hAnsi="Calibri"/>
                <w:bCs/>
                <w:lang w:eastAsia="ja-JP"/>
              </w:rPr>
              <w:t>1,201,000</w:t>
            </w:r>
          </w:p>
        </w:tc>
        <w:tc>
          <w:tcPr>
            <w:tcW w:w="1260" w:type="dxa"/>
            <w:shd w:val="clear" w:color="auto" w:fill="F2F2F2"/>
          </w:tcPr>
          <w:p w14:paraId="4B3E4F53" w14:textId="77777777" w:rsidR="001A54E6" w:rsidRPr="00912996" w:rsidRDefault="001A54E6" w:rsidP="00394372">
            <w:pPr>
              <w:rPr>
                <w:rFonts w:ascii="Calibri" w:hAnsi="Calibri"/>
                <w:bCs/>
                <w:lang w:eastAsia="ja-JP"/>
              </w:rPr>
            </w:pPr>
            <w:r w:rsidRPr="00912996">
              <w:rPr>
                <w:rFonts w:ascii="Calibri" w:hAnsi="Calibri"/>
                <w:bCs/>
                <w:lang w:eastAsia="ja-JP"/>
              </w:rPr>
              <w:t>245,102</w:t>
            </w:r>
          </w:p>
          <w:p w14:paraId="30761006" w14:textId="77777777" w:rsidR="001A54E6" w:rsidRPr="00912996" w:rsidRDefault="001A54E6" w:rsidP="00394372">
            <w:pPr>
              <w:rPr>
                <w:rFonts w:ascii="Calibri" w:hAnsi="Calibri"/>
                <w:bCs/>
                <w:lang w:eastAsia="ja-JP"/>
              </w:rPr>
            </w:pPr>
          </w:p>
        </w:tc>
        <w:tc>
          <w:tcPr>
            <w:tcW w:w="1089" w:type="dxa"/>
            <w:shd w:val="clear" w:color="auto" w:fill="F2F2F2"/>
          </w:tcPr>
          <w:p w14:paraId="3C518D19"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tcPr>
          <w:p w14:paraId="1F9EC689" w14:textId="77777777" w:rsidR="001A54E6" w:rsidRPr="00912996" w:rsidRDefault="001A54E6" w:rsidP="00394372">
            <w:pPr>
              <w:rPr>
                <w:rFonts w:ascii="Calibri" w:hAnsi="Calibri"/>
                <w:bCs/>
                <w:lang w:eastAsia="ja-JP"/>
              </w:rPr>
            </w:pPr>
            <w:r w:rsidRPr="00912996">
              <w:rPr>
                <w:rFonts w:ascii="Calibri" w:hAnsi="Calibri"/>
                <w:bCs/>
                <w:lang w:eastAsia="ja-JP"/>
              </w:rPr>
              <w:t>Horizon 2020</w:t>
            </w:r>
          </w:p>
        </w:tc>
        <w:tc>
          <w:tcPr>
            <w:tcW w:w="1260" w:type="dxa"/>
            <w:shd w:val="clear" w:color="auto" w:fill="F2F2F2"/>
          </w:tcPr>
          <w:p w14:paraId="2933301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tcPr>
          <w:p w14:paraId="2BC7BBCB"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718C6C2B" w14:textId="77777777" w:rsidTr="00E2442E">
        <w:trPr>
          <w:gridAfter w:val="9"/>
          <w:wAfter w:w="15421" w:type="dxa"/>
          <w:trHeight w:val="1068"/>
        </w:trPr>
        <w:tc>
          <w:tcPr>
            <w:tcW w:w="625" w:type="dxa"/>
            <w:shd w:val="clear" w:color="auto" w:fill="F2F2F2"/>
            <w:noWrap/>
          </w:tcPr>
          <w:p w14:paraId="3B73C448" w14:textId="77777777" w:rsidR="001A54E6" w:rsidRPr="00912996" w:rsidRDefault="001A54E6" w:rsidP="00394372">
            <w:pPr>
              <w:rPr>
                <w:rFonts w:ascii="Calibri" w:hAnsi="Calibri"/>
                <w:bCs/>
                <w:lang w:eastAsia="ja-JP"/>
              </w:rPr>
            </w:pPr>
            <w:r w:rsidRPr="00912996">
              <w:rPr>
                <w:rFonts w:ascii="Calibri" w:hAnsi="Calibri"/>
                <w:bCs/>
                <w:lang w:eastAsia="ja-JP"/>
              </w:rPr>
              <w:t>11</w:t>
            </w:r>
          </w:p>
        </w:tc>
        <w:tc>
          <w:tcPr>
            <w:tcW w:w="2250" w:type="dxa"/>
            <w:shd w:val="clear" w:color="auto" w:fill="F2F2F2"/>
          </w:tcPr>
          <w:p w14:paraId="633DE2B5" w14:textId="77777777" w:rsidR="001A54E6" w:rsidRPr="00912996" w:rsidRDefault="001A54E6" w:rsidP="00394372">
            <w:pPr>
              <w:rPr>
                <w:rFonts w:ascii="Calibri" w:hAnsi="Calibri"/>
                <w:bCs/>
                <w:lang w:eastAsia="ja-JP"/>
              </w:rPr>
            </w:pPr>
            <w:r w:rsidRPr="00912996">
              <w:rPr>
                <w:rFonts w:ascii="Calibri" w:hAnsi="Calibri"/>
                <w:bCs/>
                <w:lang w:eastAsia="ja-JP"/>
              </w:rPr>
              <w:t>Centru de monitorizare a serviciilor publice în contextul prevenirii efectelor schimbărilor climatice</w:t>
            </w:r>
          </w:p>
        </w:tc>
        <w:tc>
          <w:tcPr>
            <w:tcW w:w="1530" w:type="dxa"/>
            <w:shd w:val="clear" w:color="auto" w:fill="F2F2F2"/>
          </w:tcPr>
          <w:p w14:paraId="582F30D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tcPr>
          <w:p w14:paraId="25708D75" w14:textId="77777777" w:rsidR="001A54E6" w:rsidRPr="00912996" w:rsidRDefault="001A54E6" w:rsidP="00394372">
            <w:pPr>
              <w:rPr>
                <w:rFonts w:ascii="Calibri" w:hAnsi="Calibri"/>
                <w:bCs/>
                <w:lang w:eastAsia="ja-JP"/>
              </w:rPr>
            </w:pPr>
            <w:r>
              <w:rPr>
                <w:rFonts w:ascii="Calibri" w:hAnsi="Calibri"/>
                <w:bCs/>
                <w:lang w:eastAsia="ja-JP"/>
              </w:rPr>
              <w:t>Idee</w:t>
            </w:r>
          </w:p>
        </w:tc>
        <w:tc>
          <w:tcPr>
            <w:tcW w:w="1260" w:type="dxa"/>
            <w:shd w:val="clear" w:color="auto" w:fill="F2F2F2"/>
          </w:tcPr>
          <w:p w14:paraId="69EF7893"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22F18CA6"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27AD8FB4"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tcPr>
          <w:p w14:paraId="486EA63C" w14:textId="77777777" w:rsidR="001A54E6" w:rsidRPr="00912996" w:rsidRDefault="001A54E6" w:rsidP="00394372">
            <w:pPr>
              <w:rPr>
                <w:rFonts w:ascii="Calibri" w:hAnsi="Calibri"/>
                <w:bCs/>
                <w:lang w:eastAsia="ja-JP"/>
              </w:rPr>
            </w:pPr>
            <w:r w:rsidRPr="00912996">
              <w:rPr>
                <w:rFonts w:ascii="Calibri" w:hAnsi="Calibri"/>
                <w:bCs/>
                <w:lang w:eastAsia="ja-JP"/>
              </w:rPr>
              <w:t>PNRR C10</w:t>
            </w:r>
          </w:p>
        </w:tc>
        <w:tc>
          <w:tcPr>
            <w:tcW w:w="1260" w:type="dxa"/>
            <w:shd w:val="clear" w:color="auto" w:fill="F2F2F2"/>
          </w:tcPr>
          <w:p w14:paraId="57EC2E54"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1ABA20E3"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26216000" w14:textId="77777777" w:rsidTr="00E2442E">
        <w:trPr>
          <w:gridAfter w:val="9"/>
          <w:wAfter w:w="15421" w:type="dxa"/>
          <w:trHeight w:val="1068"/>
        </w:trPr>
        <w:tc>
          <w:tcPr>
            <w:tcW w:w="625" w:type="dxa"/>
            <w:shd w:val="clear" w:color="auto" w:fill="F2F2F2"/>
            <w:noWrap/>
          </w:tcPr>
          <w:p w14:paraId="331EA74E" w14:textId="77777777" w:rsidR="001A54E6" w:rsidRPr="00912996" w:rsidRDefault="001A54E6" w:rsidP="00394372">
            <w:pPr>
              <w:rPr>
                <w:rFonts w:ascii="Calibri" w:hAnsi="Calibri"/>
                <w:bCs/>
                <w:lang w:eastAsia="ja-JP"/>
              </w:rPr>
            </w:pPr>
            <w:r>
              <w:rPr>
                <w:rFonts w:ascii="Calibri" w:hAnsi="Calibri"/>
                <w:bCs/>
                <w:lang w:eastAsia="ja-JP"/>
              </w:rPr>
              <w:t>12</w:t>
            </w:r>
          </w:p>
        </w:tc>
        <w:tc>
          <w:tcPr>
            <w:tcW w:w="2250" w:type="dxa"/>
            <w:shd w:val="clear" w:color="auto" w:fill="F2F2F2"/>
          </w:tcPr>
          <w:p w14:paraId="3A053494" w14:textId="77777777" w:rsidR="001A54E6" w:rsidRPr="00912996" w:rsidRDefault="001A54E6" w:rsidP="00394372">
            <w:pPr>
              <w:rPr>
                <w:rFonts w:ascii="Calibri" w:hAnsi="Calibri"/>
                <w:bCs/>
                <w:lang w:eastAsia="ja-JP"/>
              </w:rPr>
            </w:pPr>
            <w:r w:rsidRPr="002C5B31">
              <w:rPr>
                <w:rFonts w:ascii="Calibri" w:hAnsi="Calibri"/>
                <w:bCs/>
                <w:lang w:eastAsia="ja-JP"/>
              </w:rPr>
              <w:t>Extindere Parc Plumbuita</w:t>
            </w:r>
            <w:r>
              <w:rPr>
                <w:rFonts w:ascii="Calibri" w:hAnsi="Calibri"/>
                <w:bCs/>
                <w:lang w:eastAsia="ja-JP"/>
              </w:rPr>
              <w:t xml:space="preserve"> (Plumbuita 1, Plumbuita 2, Insulele Plumbuita)</w:t>
            </w:r>
          </w:p>
        </w:tc>
        <w:tc>
          <w:tcPr>
            <w:tcW w:w="1530" w:type="dxa"/>
            <w:shd w:val="clear" w:color="auto" w:fill="F2F2F2"/>
          </w:tcPr>
          <w:p w14:paraId="74BED20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tcPr>
          <w:p w14:paraId="578D3714" w14:textId="77777777" w:rsidR="001A54E6" w:rsidRDefault="001A54E6" w:rsidP="00394372">
            <w:pPr>
              <w:rPr>
                <w:rFonts w:ascii="Calibri" w:hAnsi="Calibri"/>
                <w:bCs/>
                <w:lang w:eastAsia="ja-JP"/>
              </w:rPr>
            </w:pPr>
            <w:r>
              <w:rPr>
                <w:rFonts w:ascii="Calibri" w:hAnsi="Calibri"/>
                <w:bCs/>
                <w:lang w:eastAsia="ja-JP"/>
              </w:rPr>
              <w:t>Idee</w:t>
            </w:r>
          </w:p>
        </w:tc>
        <w:tc>
          <w:tcPr>
            <w:tcW w:w="1260" w:type="dxa"/>
            <w:shd w:val="clear" w:color="auto" w:fill="F2F2F2"/>
          </w:tcPr>
          <w:p w14:paraId="5F86EBEE"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5615F85B"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23E58E4E" w14:textId="77777777" w:rsidR="001A54E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tcPr>
          <w:p w14:paraId="3891189C" w14:textId="0BDC4ED0"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tcPr>
          <w:p w14:paraId="3169DD15"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4553424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6DE3ECE6" w14:textId="77777777" w:rsidTr="00E2442E">
        <w:trPr>
          <w:gridAfter w:val="9"/>
          <w:wAfter w:w="15421" w:type="dxa"/>
          <w:trHeight w:val="683"/>
        </w:trPr>
        <w:tc>
          <w:tcPr>
            <w:tcW w:w="625" w:type="dxa"/>
            <w:shd w:val="clear" w:color="auto" w:fill="F2F2F2"/>
            <w:noWrap/>
          </w:tcPr>
          <w:p w14:paraId="696CB62A" w14:textId="77777777" w:rsidR="001A54E6" w:rsidRDefault="001A54E6" w:rsidP="00394372">
            <w:pPr>
              <w:rPr>
                <w:rFonts w:ascii="Calibri" w:hAnsi="Calibri"/>
                <w:bCs/>
                <w:lang w:eastAsia="ja-JP"/>
              </w:rPr>
            </w:pPr>
            <w:r>
              <w:rPr>
                <w:rFonts w:ascii="Calibri" w:hAnsi="Calibri"/>
                <w:bCs/>
                <w:lang w:eastAsia="ja-JP"/>
              </w:rPr>
              <w:t>13</w:t>
            </w:r>
          </w:p>
        </w:tc>
        <w:tc>
          <w:tcPr>
            <w:tcW w:w="2250" w:type="dxa"/>
            <w:shd w:val="clear" w:color="auto" w:fill="F2F2F2"/>
          </w:tcPr>
          <w:p w14:paraId="0A95651E" w14:textId="77777777" w:rsidR="001A54E6" w:rsidRPr="002C5B31" w:rsidRDefault="001A54E6" w:rsidP="00394372">
            <w:pPr>
              <w:rPr>
                <w:rFonts w:ascii="Calibri" w:hAnsi="Calibri"/>
                <w:bCs/>
                <w:lang w:eastAsia="ja-JP"/>
              </w:rPr>
            </w:pPr>
            <w:r w:rsidRPr="00C51F15">
              <w:rPr>
                <w:rFonts w:ascii="Calibri" w:hAnsi="Calibri"/>
                <w:bCs/>
                <w:lang w:eastAsia="ja-JP"/>
              </w:rPr>
              <w:t>Reamenajare taluz Drăgulin Deleanu</w:t>
            </w:r>
          </w:p>
        </w:tc>
        <w:tc>
          <w:tcPr>
            <w:tcW w:w="1530" w:type="dxa"/>
            <w:shd w:val="clear" w:color="auto" w:fill="F2F2F2"/>
          </w:tcPr>
          <w:p w14:paraId="2054ED0B"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75167ADC" w14:textId="77777777" w:rsidR="001A54E6" w:rsidRDefault="001A54E6" w:rsidP="00394372">
            <w:pPr>
              <w:rPr>
                <w:rFonts w:ascii="Calibri" w:hAnsi="Calibri"/>
                <w:bCs/>
                <w:lang w:eastAsia="ja-JP"/>
              </w:rPr>
            </w:pPr>
            <w:r w:rsidRPr="00C51F15">
              <w:rPr>
                <w:rFonts w:ascii="Calibri" w:hAnsi="Calibri"/>
                <w:bCs/>
                <w:lang w:eastAsia="ja-JP"/>
              </w:rPr>
              <w:t>În implementare</w:t>
            </w:r>
          </w:p>
        </w:tc>
        <w:tc>
          <w:tcPr>
            <w:tcW w:w="1260" w:type="dxa"/>
            <w:shd w:val="clear" w:color="auto" w:fill="F2F2F2"/>
          </w:tcPr>
          <w:p w14:paraId="7A744F24"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5B0D16C8"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202FD67E" w14:textId="77777777" w:rsidR="001A54E6" w:rsidRDefault="001A54E6" w:rsidP="00394372">
            <w:pPr>
              <w:rPr>
                <w:rFonts w:ascii="Calibri" w:hAnsi="Calibri"/>
                <w:bCs/>
                <w:lang w:eastAsia="ja-JP"/>
              </w:rPr>
            </w:pPr>
            <w:r w:rsidRPr="00C51F15">
              <w:rPr>
                <w:rFonts w:ascii="Calibri" w:hAnsi="Calibri"/>
                <w:bCs/>
                <w:lang w:eastAsia="ja-JP"/>
              </w:rPr>
              <w:t>2023</w:t>
            </w:r>
          </w:p>
        </w:tc>
        <w:tc>
          <w:tcPr>
            <w:tcW w:w="1881" w:type="dxa"/>
            <w:shd w:val="clear" w:color="auto" w:fill="F2F2F2"/>
          </w:tcPr>
          <w:p w14:paraId="66445F76"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680F1AD7"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2685964E"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677F8251" w14:textId="77777777" w:rsidTr="00E2442E">
        <w:trPr>
          <w:gridAfter w:val="9"/>
          <w:wAfter w:w="15421" w:type="dxa"/>
          <w:trHeight w:val="431"/>
        </w:trPr>
        <w:tc>
          <w:tcPr>
            <w:tcW w:w="625" w:type="dxa"/>
            <w:shd w:val="clear" w:color="auto" w:fill="F2F2F2"/>
            <w:noWrap/>
          </w:tcPr>
          <w:p w14:paraId="5C042718" w14:textId="77777777" w:rsidR="001A54E6" w:rsidRDefault="001A54E6" w:rsidP="00394372">
            <w:pPr>
              <w:rPr>
                <w:rFonts w:ascii="Calibri" w:hAnsi="Calibri"/>
                <w:bCs/>
                <w:lang w:eastAsia="ja-JP"/>
              </w:rPr>
            </w:pPr>
            <w:r>
              <w:rPr>
                <w:rFonts w:ascii="Calibri" w:hAnsi="Calibri"/>
                <w:bCs/>
                <w:lang w:eastAsia="ja-JP"/>
              </w:rPr>
              <w:t>14</w:t>
            </w:r>
          </w:p>
        </w:tc>
        <w:tc>
          <w:tcPr>
            <w:tcW w:w="2250" w:type="dxa"/>
            <w:shd w:val="clear" w:color="auto" w:fill="F2F2F2"/>
          </w:tcPr>
          <w:p w14:paraId="265CA128" w14:textId="77777777" w:rsidR="001A54E6" w:rsidRPr="002C5B31" w:rsidRDefault="001A54E6" w:rsidP="00394372">
            <w:pPr>
              <w:rPr>
                <w:rFonts w:ascii="Calibri" w:hAnsi="Calibri"/>
                <w:bCs/>
                <w:lang w:eastAsia="ja-JP"/>
              </w:rPr>
            </w:pPr>
            <w:r w:rsidRPr="00C51F15">
              <w:rPr>
                <w:rFonts w:ascii="Calibri" w:hAnsi="Calibri"/>
                <w:bCs/>
                <w:lang w:eastAsia="ja-JP"/>
              </w:rPr>
              <w:t>Amenajare scuar Tunari x Eminescu</w:t>
            </w:r>
          </w:p>
        </w:tc>
        <w:tc>
          <w:tcPr>
            <w:tcW w:w="1530" w:type="dxa"/>
            <w:shd w:val="clear" w:color="auto" w:fill="F2F2F2"/>
          </w:tcPr>
          <w:p w14:paraId="4A9F426A"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5AC3AFE7" w14:textId="77777777" w:rsidR="001A54E6" w:rsidRDefault="001A54E6" w:rsidP="00394372">
            <w:pPr>
              <w:rPr>
                <w:rFonts w:ascii="Calibri" w:hAnsi="Calibri"/>
                <w:bCs/>
                <w:lang w:eastAsia="ja-JP"/>
              </w:rPr>
            </w:pPr>
            <w:r w:rsidRPr="00C51F15">
              <w:rPr>
                <w:rFonts w:ascii="Calibri" w:hAnsi="Calibri"/>
                <w:bCs/>
                <w:lang w:eastAsia="ja-JP"/>
              </w:rPr>
              <w:t>idee</w:t>
            </w:r>
          </w:p>
        </w:tc>
        <w:tc>
          <w:tcPr>
            <w:tcW w:w="1260" w:type="dxa"/>
            <w:shd w:val="clear" w:color="auto" w:fill="F2F2F2"/>
          </w:tcPr>
          <w:p w14:paraId="20401121"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54DDDB28"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5E2D61E6" w14:textId="1DC83EA2" w:rsidR="001A54E6" w:rsidRDefault="001A54E6" w:rsidP="00394372">
            <w:pPr>
              <w:rPr>
                <w:rFonts w:ascii="Calibri" w:hAnsi="Calibri"/>
                <w:bCs/>
                <w:lang w:eastAsia="ja-JP"/>
              </w:rPr>
            </w:pPr>
            <w:r w:rsidRPr="00C51F15">
              <w:rPr>
                <w:rFonts w:ascii="Calibri" w:hAnsi="Calibri"/>
                <w:bCs/>
                <w:lang w:eastAsia="ja-JP"/>
              </w:rPr>
              <w:t>2023</w:t>
            </w:r>
            <w:r w:rsidR="00C65250">
              <w:rPr>
                <w:rFonts w:ascii="Calibri" w:hAnsi="Calibri"/>
                <w:bCs/>
                <w:lang w:eastAsia="ja-JP"/>
              </w:rPr>
              <w:t xml:space="preserve"> </w:t>
            </w:r>
            <w:r w:rsidRPr="00C51F15">
              <w:rPr>
                <w:rFonts w:ascii="Calibri" w:hAnsi="Calibri"/>
                <w:bCs/>
                <w:lang w:eastAsia="ja-JP"/>
              </w:rPr>
              <w:t>-2024</w:t>
            </w:r>
          </w:p>
        </w:tc>
        <w:tc>
          <w:tcPr>
            <w:tcW w:w="1881" w:type="dxa"/>
            <w:shd w:val="clear" w:color="auto" w:fill="F2F2F2"/>
          </w:tcPr>
          <w:p w14:paraId="0E11A2A1"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5598A772"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5C5C99A7"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4411A960" w14:textId="77777777" w:rsidTr="00E2442E">
        <w:trPr>
          <w:gridAfter w:val="9"/>
          <w:wAfter w:w="15421" w:type="dxa"/>
          <w:trHeight w:val="998"/>
        </w:trPr>
        <w:tc>
          <w:tcPr>
            <w:tcW w:w="625" w:type="dxa"/>
            <w:shd w:val="clear" w:color="auto" w:fill="F2F2F2"/>
            <w:noWrap/>
          </w:tcPr>
          <w:p w14:paraId="21B757C9" w14:textId="77777777" w:rsidR="001A54E6" w:rsidRDefault="001A54E6" w:rsidP="00394372">
            <w:pPr>
              <w:rPr>
                <w:rFonts w:ascii="Calibri" w:hAnsi="Calibri"/>
                <w:bCs/>
                <w:lang w:eastAsia="ja-JP"/>
              </w:rPr>
            </w:pPr>
            <w:r>
              <w:rPr>
                <w:rFonts w:ascii="Calibri" w:hAnsi="Calibri"/>
                <w:bCs/>
                <w:lang w:eastAsia="ja-JP"/>
              </w:rPr>
              <w:t>15</w:t>
            </w:r>
          </w:p>
        </w:tc>
        <w:tc>
          <w:tcPr>
            <w:tcW w:w="2250" w:type="dxa"/>
            <w:shd w:val="clear" w:color="auto" w:fill="F2F2F2"/>
          </w:tcPr>
          <w:p w14:paraId="11AF8540" w14:textId="77777777" w:rsidR="001A54E6" w:rsidRPr="002C5B31" w:rsidRDefault="001A54E6" w:rsidP="00394372">
            <w:pPr>
              <w:rPr>
                <w:rFonts w:ascii="Calibri" w:hAnsi="Calibri"/>
                <w:bCs/>
                <w:lang w:eastAsia="ja-JP"/>
              </w:rPr>
            </w:pPr>
            <w:r w:rsidRPr="00C51F15">
              <w:rPr>
                <w:rFonts w:ascii="Calibri" w:hAnsi="Calibri"/>
                <w:bCs/>
                <w:lang w:eastAsia="ja-JP"/>
              </w:rPr>
              <w:t>Execuție sistem de irigat cvartal blocuri Ion Berindei (nr</w:t>
            </w:r>
            <w:r>
              <w:rPr>
                <w:rFonts w:ascii="Calibri" w:hAnsi="Calibri"/>
                <w:bCs/>
                <w:lang w:eastAsia="ja-JP"/>
              </w:rPr>
              <w:t>.</w:t>
            </w:r>
            <w:r w:rsidRPr="00C51F15">
              <w:rPr>
                <w:rFonts w:ascii="Calibri" w:hAnsi="Calibri"/>
                <w:bCs/>
                <w:lang w:eastAsia="ja-JP"/>
              </w:rPr>
              <w:t xml:space="preserve"> pare)</w:t>
            </w:r>
          </w:p>
        </w:tc>
        <w:tc>
          <w:tcPr>
            <w:tcW w:w="1530" w:type="dxa"/>
            <w:shd w:val="clear" w:color="auto" w:fill="F2F2F2"/>
          </w:tcPr>
          <w:p w14:paraId="1597A9D1"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765A67ED" w14:textId="77777777" w:rsidR="001A54E6" w:rsidRDefault="001A54E6" w:rsidP="00394372">
            <w:pPr>
              <w:rPr>
                <w:rFonts w:ascii="Calibri" w:hAnsi="Calibri"/>
                <w:bCs/>
                <w:lang w:eastAsia="ja-JP"/>
              </w:rPr>
            </w:pPr>
            <w:r w:rsidRPr="00C51F15">
              <w:rPr>
                <w:rFonts w:ascii="Calibri" w:hAnsi="Calibri"/>
                <w:bCs/>
                <w:lang w:eastAsia="ja-JP"/>
              </w:rPr>
              <w:t>În implementare</w:t>
            </w:r>
          </w:p>
        </w:tc>
        <w:tc>
          <w:tcPr>
            <w:tcW w:w="1260" w:type="dxa"/>
            <w:shd w:val="clear" w:color="auto" w:fill="F2F2F2"/>
          </w:tcPr>
          <w:p w14:paraId="0551E75D"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32257C6E"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632350CA" w14:textId="77777777" w:rsidR="001A54E6" w:rsidRDefault="001A54E6" w:rsidP="00394372">
            <w:pPr>
              <w:rPr>
                <w:rFonts w:ascii="Calibri" w:hAnsi="Calibri"/>
                <w:bCs/>
                <w:lang w:eastAsia="ja-JP"/>
              </w:rPr>
            </w:pPr>
            <w:r w:rsidRPr="00C51F15">
              <w:rPr>
                <w:rFonts w:ascii="Calibri" w:hAnsi="Calibri"/>
                <w:bCs/>
                <w:lang w:eastAsia="ja-JP"/>
              </w:rPr>
              <w:t>2023</w:t>
            </w:r>
          </w:p>
        </w:tc>
        <w:tc>
          <w:tcPr>
            <w:tcW w:w="1881" w:type="dxa"/>
            <w:shd w:val="clear" w:color="auto" w:fill="F2F2F2"/>
          </w:tcPr>
          <w:p w14:paraId="5CDF4480"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7C53CAA6"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35922E94"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4D09BDE8" w14:textId="77777777" w:rsidTr="00E2442E">
        <w:trPr>
          <w:gridAfter w:val="9"/>
          <w:wAfter w:w="15421" w:type="dxa"/>
          <w:trHeight w:val="980"/>
        </w:trPr>
        <w:tc>
          <w:tcPr>
            <w:tcW w:w="625" w:type="dxa"/>
            <w:shd w:val="clear" w:color="auto" w:fill="F2F2F2"/>
            <w:noWrap/>
          </w:tcPr>
          <w:p w14:paraId="749B97E5" w14:textId="77777777" w:rsidR="001A54E6" w:rsidRDefault="001A54E6" w:rsidP="00394372">
            <w:pPr>
              <w:rPr>
                <w:rFonts w:ascii="Calibri" w:hAnsi="Calibri"/>
                <w:bCs/>
                <w:lang w:eastAsia="ja-JP"/>
              </w:rPr>
            </w:pPr>
            <w:r>
              <w:rPr>
                <w:rFonts w:ascii="Calibri" w:hAnsi="Calibri"/>
                <w:bCs/>
                <w:lang w:eastAsia="ja-JP"/>
              </w:rPr>
              <w:t>16</w:t>
            </w:r>
          </w:p>
        </w:tc>
        <w:tc>
          <w:tcPr>
            <w:tcW w:w="2250" w:type="dxa"/>
            <w:shd w:val="clear" w:color="auto" w:fill="F2F2F2"/>
          </w:tcPr>
          <w:p w14:paraId="101F2C19" w14:textId="77777777" w:rsidR="001A54E6" w:rsidRPr="002C5B31" w:rsidRDefault="001A54E6" w:rsidP="00394372">
            <w:pPr>
              <w:rPr>
                <w:rFonts w:ascii="Calibri" w:hAnsi="Calibri"/>
                <w:bCs/>
                <w:lang w:eastAsia="ja-JP"/>
              </w:rPr>
            </w:pPr>
            <w:r w:rsidRPr="00C51F15">
              <w:rPr>
                <w:rFonts w:ascii="Calibri" w:hAnsi="Calibri"/>
                <w:bCs/>
                <w:lang w:eastAsia="ja-JP"/>
              </w:rPr>
              <w:t>Execuție sistem de irigat cvartal blocuri Ion Berindei (nr</w:t>
            </w:r>
            <w:r>
              <w:rPr>
                <w:rFonts w:ascii="Calibri" w:hAnsi="Calibri"/>
                <w:bCs/>
                <w:lang w:eastAsia="ja-JP"/>
              </w:rPr>
              <w:t>.</w:t>
            </w:r>
            <w:r w:rsidRPr="00C51F15">
              <w:rPr>
                <w:rFonts w:ascii="Calibri" w:hAnsi="Calibri"/>
                <w:bCs/>
                <w:lang w:eastAsia="ja-JP"/>
              </w:rPr>
              <w:t xml:space="preserve"> impare)</w:t>
            </w:r>
          </w:p>
        </w:tc>
        <w:tc>
          <w:tcPr>
            <w:tcW w:w="1530" w:type="dxa"/>
            <w:shd w:val="clear" w:color="auto" w:fill="F2F2F2"/>
          </w:tcPr>
          <w:p w14:paraId="16EB70F5"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6159317B" w14:textId="77777777" w:rsidR="001A54E6" w:rsidRDefault="001A54E6" w:rsidP="00394372">
            <w:pPr>
              <w:rPr>
                <w:rFonts w:ascii="Calibri" w:hAnsi="Calibri"/>
                <w:bCs/>
                <w:lang w:eastAsia="ja-JP"/>
              </w:rPr>
            </w:pPr>
            <w:r w:rsidRPr="00C51F15">
              <w:rPr>
                <w:rFonts w:ascii="Calibri" w:hAnsi="Calibri"/>
                <w:bCs/>
                <w:lang w:eastAsia="ja-JP"/>
              </w:rPr>
              <w:t>În implementare</w:t>
            </w:r>
          </w:p>
        </w:tc>
        <w:tc>
          <w:tcPr>
            <w:tcW w:w="1260" w:type="dxa"/>
            <w:shd w:val="clear" w:color="auto" w:fill="F2F2F2"/>
          </w:tcPr>
          <w:p w14:paraId="35CC2AA7"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748D22E1"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65800640" w14:textId="77777777" w:rsidR="001A54E6" w:rsidRDefault="001A54E6" w:rsidP="00394372">
            <w:pPr>
              <w:rPr>
                <w:rFonts w:ascii="Calibri" w:hAnsi="Calibri"/>
                <w:bCs/>
                <w:lang w:eastAsia="ja-JP"/>
              </w:rPr>
            </w:pPr>
            <w:r w:rsidRPr="00C51F15">
              <w:rPr>
                <w:rFonts w:ascii="Calibri" w:hAnsi="Calibri"/>
                <w:bCs/>
                <w:lang w:eastAsia="ja-JP"/>
              </w:rPr>
              <w:t>2023</w:t>
            </w:r>
          </w:p>
        </w:tc>
        <w:tc>
          <w:tcPr>
            <w:tcW w:w="1881" w:type="dxa"/>
            <w:shd w:val="clear" w:color="auto" w:fill="F2F2F2"/>
          </w:tcPr>
          <w:p w14:paraId="7B7CB078"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798AE905"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611A67B7"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2760C795" w14:textId="77777777" w:rsidTr="00E2442E">
        <w:trPr>
          <w:gridAfter w:val="9"/>
          <w:wAfter w:w="15421" w:type="dxa"/>
          <w:trHeight w:val="647"/>
        </w:trPr>
        <w:tc>
          <w:tcPr>
            <w:tcW w:w="625" w:type="dxa"/>
            <w:shd w:val="clear" w:color="auto" w:fill="F2F2F2"/>
            <w:noWrap/>
          </w:tcPr>
          <w:p w14:paraId="09C752BD" w14:textId="77777777" w:rsidR="001A54E6" w:rsidRDefault="001A54E6" w:rsidP="00394372">
            <w:pPr>
              <w:rPr>
                <w:rFonts w:ascii="Calibri" w:hAnsi="Calibri"/>
                <w:bCs/>
                <w:lang w:eastAsia="ja-JP"/>
              </w:rPr>
            </w:pPr>
            <w:r>
              <w:rPr>
                <w:rFonts w:ascii="Calibri" w:hAnsi="Calibri"/>
                <w:bCs/>
                <w:lang w:eastAsia="ja-JP"/>
              </w:rPr>
              <w:t>17</w:t>
            </w:r>
          </w:p>
        </w:tc>
        <w:tc>
          <w:tcPr>
            <w:tcW w:w="2250" w:type="dxa"/>
            <w:shd w:val="clear" w:color="auto" w:fill="F2F2F2"/>
          </w:tcPr>
          <w:p w14:paraId="3EBDCDE3" w14:textId="77777777" w:rsidR="001A54E6" w:rsidRPr="002C5B31" w:rsidRDefault="001A54E6" w:rsidP="00394372">
            <w:pPr>
              <w:rPr>
                <w:rFonts w:ascii="Calibri" w:hAnsi="Calibri"/>
                <w:bCs/>
                <w:lang w:eastAsia="ja-JP"/>
              </w:rPr>
            </w:pPr>
            <w:r w:rsidRPr="00C51F15">
              <w:rPr>
                <w:rFonts w:ascii="Calibri" w:hAnsi="Calibri"/>
                <w:bCs/>
                <w:lang w:eastAsia="ja-JP"/>
              </w:rPr>
              <w:t>Amenajare sistem de irigat si zone verzi str. Ramuri Tei</w:t>
            </w:r>
          </w:p>
        </w:tc>
        <w:tc>
          <w:tcPr>
            <w:tcW w:w="1530" w:type="dxa"/>
            <w:shd w:val="clear" w:color="auto" w:fill="F2F2F2"/>
          </w:tcPr>
          <w:p w14:paraId="12906445"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486366A2" w14:textId="77777777" w:rsidR="001A54E6" w:rsidRDefault="001A54E6" w:rsidP="00394372">
            <w:pPr>
              <w:rPr>
                <w:rFonts w:ascii="Calibri" w:hAnsi="Calibri"/>
                <w:bCs/>
                <w:lang w:eastAsia="ja-JP"/>
              </w:rPr>
            </w:pPr>
            <w:r w:rsidRPr="00C51F15">
              <w:rPr>
                <w:rFonts w:ascii="Calibri" w:hAnsi="Calibri"/>
                <w:bCs/>
                <w:lang w:eastAsia="ja-JP"/>
              </w:rPr>
              <w:t>În implementare</w:t>
            </w:r>
          </w:p>
        </w:tc>
        <w:tc>
          <w:tcPr>
            <w:tcW w:w="1260" w:type="dxa"/>
            <w:shd w:val="clear" w:color="auto" w:fill="F2F2F2"/>
          </w:tcPr>
          <w:p w14:paraId="28653E34"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4F101334"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36BD8237" w14:textId="77777777" w:rsidR="001A54E6" w:rsidRDefault="001A54E6" w:rsidP="00394372">
            <w:pPr>
              <w:rPr>
                <w:rFonts w:ascii="Calibri" w:hAnsi="Calibri"/>
                <w:bCs/>
                <w:lang w:eastAsia="ja-JP"/>
              </w:rPr>
            </w:pPr>
            <w:r w:rsidRPr="00C51F15">
              <w:rPr>
                <w:rFonts w:ascii="Calibri" w:hAnsi="Calibri"/>
                <w:bCs/>
                <w:lang w:eastAsia="ja-JP"/>
              </w:rPr>
              <w:t>2023</w:t>
            </w:r>
          </w:p>
        </w:tc>
        <w:tc>
          <w:tcPr>
            <w:tcW w:w="1881" w:type="dxa"/>
            <w:shd w:val="clear" w:color="auto" w:fill="F2F2F2"/>
          </w:tcPr>
          <w:p w14:paraId="1F394708"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7366C995"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49504480"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28F2D15D" w14:textId="77777777" w:rsidTr="00E2442E">
        <w:trPr>
          <w:gridAfter w:val="9"/>
          <w:wAfter w:w="15421" w:type="dxa"/>
          <w:trHeight w:val="755"/>
        </w:trPr>
        <w:tc>
          <w:tcPr>
            <w:tcW w:w="625" w:type="dxa"/>
            <w:shd w:val="clear" w:color="auto" w:fill="F2F2F2"/>
            <w:noWrap/>
          </w:tcPr>
          <w:p w14:paraId="46D553E1" w14:textId="77777777" w:rsidR="001A54E6" w:rsidRDefault="001A54E6" w:rsidP="00394372">
            <w:pPr>
              <w:rPr>
                <w:rFonts w:ascii="Calibri" w:hAnsi="Calibri"/>
                <w:bCs/>
                <w:lang w:eastAsia="ja-JP"/>
              </w:rPr>
            </w:pPr>
            <w:r>
              <w:rPr>
                <w:rFonts w:ascii="Calibri" w:hAnsi="Calibri"/>
                <w:bCs/>
                <w:lang w:eastAsia="ja-JP"/>
              </w:rPr>
              <w:t>18</w:t>
            </w:r>
          </w:p>
        </w:tc>
        <w:tc>
          <w:tcPr>
            <w:tcW w:w="2250" w:type="dxa"/>
            <w:shd w:val="clear" w:color="auto" w:fill="F2F2F2"/>
          </w:tcPr>
          <w:p w14:paraId="00FFB3C9" w14:textId="77777777" w:rsidR="001A54E6" w:rsidRPr="002C5B31" w:rsidRDefault="001A54E6" w:rsidP="00394372">
            <w:pPr>
              <w:rPr>
                <w:rFonts w:ascii="Calibri" w:hAnsi="Calibri"/>
                <w:bCs/>
                <w:lang w:eastAsia="ja-JP"/>
              </w:rPr>
            </w:pPr>
            <w:r w:rsidRPr="00C51F15">
              <w:rPr>
                <w:rFonts w:ascii="Calibri" w:hAnsi="Calibri"/>
                <w:bCs/>
                <w:lang w:eastAsia="ja-JP"/>
              </w:rPr>
              <w:t>Reamenajare zona verde Metrou Pipera</w:t>
            </w:r>
          </w:p>
        </w:tc>
        <w:tc>
          <w:tcPr>
            <w:tcW w:w="1530" w:type="dxa"/>
            <w:shd w:val="clear" w:color="auto" w:fill="F2F2F2"/>
          </w:tcPr>
          <w:p w14:paraId="6CA0DFB6"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72B34413" w14:textId="77777777" w:rsidR="001A54E6" w:rsidRDefault="001A54E6" w:rsidP="00394372">
            <w:pPr>
              <w:rPr>
                <w:rFonts w:ascii="Calibri" w:hAnsi="Calibri"/>
                <w:bCs/>
                <w:lang w:eastAsia="ja-JP"/>
              </w:rPr>
            </w:pPr>
            <w:r w:rsidRPr="00C51F15">
              <w:rPr>
                <w:rFonts w:ascii="Calibri" w:hAnsi="Calibri"/>
                <w:bCs/>
                <w:lang w:eastAsia="ja-JP"/>
              </w:rPr>
              <w:t>În implementare</w:t>
            </w:r>
          </w:p>
        </w:tc>
        <w:tc>
          <w:tcPr>
            <w:tcW w:w="1260" w:type="dxa"/>
            <w:shd w:val="clear" w:color="auto" w:fill="F2F2F2"/>
          </w:tcPr>
          <w:p w14:paraId="62477520"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6A653FF0"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4952C8EE" w14:textId="77777777" w:rsidR="001A54E6" w:rsidRDefault="001A54E6" w:rsidP="00394372">
            <w:pPr>
              <w:rPr>
                <w:rFonts w:ascii="Calibri" w:hAnsi="Calibri"/>
                <w:bCs/>
                <w:lang w:eastAsia="ja-JP"/>
              </w:rPr>
            </w:pPr>
            <w:r w:rsidRPr="00C51F15">
              <w:rPr>
                <w:rFonts w:ascii="Calibri" w:hAnsi="Calibri"/>
                <w:bCs/>
                <w:lang w:eastAsia="ja-JP"/>
              </w:rPr>
              <w:t>2023</w:t>
            </w:r>
          </w:p>
        </w:tc>
        <w:tc>
          <w:tcPr>
            <w:tcW w:w="1881" w:type="dxa"/>
            <w:shd w:val="clear" w:color="auto" w:fill="F2F2F2"/>
          </w:tcPr>
          <w:p w14:paraId="07F33E23"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19A378DE"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2F60A04F"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3C7DD3C9" w14:textId="77777777" w:rsidTr="00E2442E">
        <w:trPr>
          <w:gridAfter w:val="9"/>
          <w:wAfter w:w="15421" w:type="dxa"/>
          <w:trHeight w:val="818"/>
        </w:trPr>
        <w:tc>
          <w:tcPr>
            <w:tcW w:w="625" w:type="dxa"/>
            <w:shd w:val="clear" w:color="auto" w:fill="F2F2F2"/>
            <w:noWrap/>
          </w:tcPr>
          <w:p w14:paraId="0656AE63" w14:textId="77777777" w:rsidR="001A54E6" w:rsidRDefault="001A54E6" w:rsidP="00394372">
            <w:pPr>
              <w:rPr>
                <w:rFonts w:ascii="Calibri" w:hAnsi="Calibri"/>
                <w:bCs/>
                <w:lang w:eastAsia="ja-JP"/>
              </w:rPr>
            </w:pPr>
            <w:r>
              <w:rPr>
                <w:rFonts w:ascii="Calibri" w:hAnsi="Calibri"/>
                <w:bCs/>
                <w:lang w:eastAsia="ja-JP"/>
              </w:rPr>
              <w:t>19</w:t>
            </w:r>
          </w:p>
        </w:tc>
        <w:tc>
          <w:tcPr>
            <w:tcW w:w="2250" w:type="dxa"/>
            <w:shd w:val="clear" w:color="auto" w:fill="F2F2F2"/>
          </w:tcPr>
          <w:p w14:paraId="466CB806" w14:textId="77777777" w:rsidR="001A54E6" w:rsidRPr="002C5B31" w:rsidRDefault="001A54E6" w:rsidP="00394372">
            <w:pPr>
              <w:rPr>
                <w:rFonts w:ascii="Calibri" w:hAnsi="Calibri"/>
                <w:bCs/>
                <w:lang w:eastAsia="ja-JP"/>
              </w:rPr>
            </w:pPr>
            <w:r w:rsidRPr="00C51F15">
              <w:rPr>
                <w:rFonts w:ascii="Calibri" w:hAnsi="Calibri"/>
                <w:bCs/>
                <w:lang w:eastAsia="ja-JP"/>
              </w:rPr>
              <w:t>Amenajare zonă verde Mașina de Pâine</w:t>
            </w:r>
          </w:p>
        </w:tc>
        <w:tc>
          <w:tcPr>
            <w:tcW w:w="1530" w:type="dxa"/>
            <w:shd w:val="clear" w:color="auto" w:fill="F2F2F2"/>
          </w:tcPr>
          <w:p w14:paraId="53DC9086"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4FA1566C" w14:textId="77777777" w:rsidR="001A54E6" w:rsidRDefault="001A54E6" w:rsidP="00394372">
            <w:pPr>
              <w:rPr>
                <w:rFonts w:ascii="Calibri" w:hAnsi="Calibri"/>
                <w:bCs/>
                <w:lang w:eastAsia="ja-JP"/>
              </w:rPr>
            </w:pPr>
            <w:r w:rsidRPr="00C51F15">
              <w:rPr>
                <w:rFonts w:ascii="Calibri" w:hAnsi="Calibri"/>
                <w:bCs/>
                <w:lang w:eastAsia="ja-JP"/>
              </w:rPr>
              <w:t>În implementare</w:t>
            </w:r>
          </w:p>
        </w:tc>
        <w:tc>
          <w:tcPr>
            <w:tcW w:w="1260" w:type="dxa"/>
            <w:shd w:val="clear" w:color="auto" w:fill="F2F2F2"/>
          </w:tcPr>
          <w:p w14:paraId="7B7D3CBB"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0E8FC76D"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3CE24CE1" w14:textId="77777777" w:rsidR="001A54E6" w:rsidRDefault="001A54E6" w:rsidP="00394372">
            <w:pPr>
              <w:rPr>
                <w:rFonts w:ascii="Calibri" w:hAnsi="Calibri"/>
                <w:bCs/>
                <w:lang w:eastAsia="ja-JP"/>
              </w:rPr>
            </w:pPr>
            <w:r w:rsidRPr="00C51F15">
              <w:rPr>
                <w:rFonts w:ascii="Calibri" w:hAnsi="Calibri"/>
                <w:bCs/>
                <w:lang w:eastAsia="ja-JP"/>
              </w:rPr>
              <w:t>2023</w:t>
            </w:r>
          </w:p>
        </w:tc>
        <w:tc>
          <w:tcPr>
            <w:tcW w:w="1881" w:type="dxa"/>
            <w:shd w:val="clear" w:color="auto" w:fill="F2F2F2"/>
          </w:tcPr>
          <w:p w14:paraId="50AC3AFD"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7A5FE149"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4B52A481"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056D7FB5" w14:textId="77777777" w:rsidTr="00E2442E">
        <w:trPr>
          <w:gridAfter w:val="9"/>
          <w:wAfter w:w="15421" w:type="dxa"/>
          <w:trHeight w:val="530"/>
        </w:trPr>
        <w:tc>
          <w:tcPr>
            <w:tcW w:w="625" w:type="dxa"/>
            <w:shd w:val="clear" w:color="auto" w:fill="F2F2F2"/>
            <w:noWrap/>
          </w:tcPr>
          <w:p w14:paraId="4232A794" w14:textId="77777777" w:rsidR="001A54E6" w:rsidRDefault="001A54E6" w:rsidP="00394372">
            <w:pPr>
              <w:rPr>
                <w:rFonts w:ascii="Calibri" w:hAnsi="Calibri"/>
                <w:bCs/>
                <w:lang w:eastAsia="ja-JP"/>
              </w:rPr>
            </w:pPr>
            <w:r>
              <w:rPr>
                <w:rFonts w:ascii="Calibri" w:hAnsi="Calibri"/>
                <w:bCs/>
                <w:lang w:eastAsia="ja-JP"/>
              </w:rPr>
              <w:t>20</w:t>
            </w:r>
          </w:p>
        </w:tc>
        <w:tc>
          <w:tcPr>
            <w:tcW w:w="2250" w:type="dxa"/>
            <w:shd w:val="clear" w:color="auto" w:fill="F2F2F2"/>
          </w:tcPr>
          <w:p w14:paraId="2C539F46" w14:textId="77777777" w:rsidR="001A54E6" w:rsidRPr="002C5B31" w:rsidRDefault="001A54E6" w:rsidP="00394372">
            <w:pPr>
              <w:rPr>
                <w:rFonts w:ascii="Calibri" w:hAnsi="Calibri"/>
                <w:bCs/>
                <w:lang w:eastAsia="ja-JP"/>
              </w:rPr>
            </w:pPr>
            <w:r w:rsidRPr="00C51F15">
              <w:rPr>
                <w:rFonts w:ascii="Calibri" w:hAnsi="Calibri"/>
                <w:bCs/>
                <w:lang w:eastAsia="ja-JP"/>
              </w:rPr>
              <w:t>Amenajare  loc de joacă Colentina nr.19</w:t>
            </w:r>
          </w:p>
        </w:tc>
        <w:tc>
          <w:tcPr>
            <w:tcW w:w="1530" w:type="dxa"/>
            <w:shd w:val="clear" w:color="auto" w:fill="F2F2F2"/>
          </w:tcPr>
          <w:p w14:paraId="1F121759"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14167FC9" w14:textId="77777777" w:rsidR="001A54E6" w:rsidRDefault="001A54E6" w:rsidP="00394372">
            <w:pPr>
              <w:rPr>
                <w:rFonts w:ascii="Calibri" w:hAnsi="Calibri"/>
                <w:bCs/>
                <w:lang w:eastAsia="ja-JP"/>
              </w:rPr>
            </w:pPr>
            <w:r w:rsidRPr="00C51F15">
              <w:rPr>
                <w:rFonts w:ascii="Calibri" w:hAnsi="Calibri"/>
                <w:bCs/>
                <w:lang w:eastAsia="ja-JP"/>
              </w:rPr>
              <w:t>În elaborare documentație si obținere avize</w:t>
            </w:r>
          </w:p>
        </w:tc>
        <w:tc>
          <w:tcPr>
            <w:tcW w:w="1260" w:type="dxa"/>
            <w:shd w:val="clear" w:color="auto" w:fill="F2F2F2"/>
          </w:tcPr>
          <w:p w14:paraId="3E30FC50"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784C6F09"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274CB4A4" w14:textId="77777777" w:rsidR="001A54E6" w:rsidRDefault="001A54E6" w:rsidP="00394372">
            <w:pPr>
              <w:rPr>
                <w:rFonts w:ascii="Calibri" w:hAnsi="Calibri"/>
                <w:bCs/>
                <w:lang w:eastAsia="ja-JP"/>
              </w:rPr>
            </w:pPr>
            <w:r w:rsidRPr="00C51F15">
              <w:rPr>
                <w:rFonts w:ascii="Calibri" w:hAnsi="Calibri"/>
                <w:bCs/>
                <w:lang w:eastAsia="ja-JP"/>
              </w:rPr>
              <w:t>2023</w:t>
            </w:r>
            <w:r>
              <w:rPr>
                <w:rFonts w:ascii="Calibri" w:hAnsi="Calibri"/>
                <w:bCs/>
                <w:lang w:eastAsia="ja-JP"/>
              </w:rPr>
              <w:t xml:space="preserve"> </w:t>
            </w:r>
            <w:r w:rsidRPr="00C51F15">
              <w:rPr>
                <w:rFonts w:ascii="Calibri" w:hAnsi="Calibri"/>
                <w:bCs/>
                <w:lang w:eastAsia="ja-JP"/>
              </w:rPr>
              <w:t>-2024</w:t>
            </w:r>
          </w:p>
        </w:tc>
        <w:tc>
          <w:tcPr>
            <w:tcW w:w="1881" w:type="dxa"/>
            <w:shd w:val="clear" w:color="auto" w:fill="F2F2F2"/>
          </w:tcPr>
          <w:p w14:paraId="44BAC188"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4B9F62F6"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3CA44811"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1E75DA34" w14:textId="77777777" w:rsidTr="00E2442E">
        <w:trPr>
          <w:gridAfter w:val="9"/>
          <w:wAfter w:w="15421" w:type="dxa"/>
          <w:trHeight w:val="1068"/>
        </w:trPr>
        <w:tc>
          <w:tcPr>
            <w:tcW w:w="625" w:type="dxa"/>
            <w:shd w:val="clear" w:color="auto" w:fill="F2F2F2"/>
            <w:noWrap/>
          </w:tcPr>
          <w:p w14:paraId="54C8F9D3" w14:textId="77777777" w:rsidR="001A54E6" w:rsidRDefault="001A54E6" w:rsidP="00394372">
            <w:pPr>
              <w:rPr>
                <w:rFonts w:ascii="Calibri" w:hAnsi="Calibri"/>
                <w:bCs/>
                <w:lang w:eastAsia="ja-JP"/>
              </w:rPr>
            </w:pPr>
            <w:r>
              <w:rPr>
                <w:rFonts w:ascii="Calibri" w:hAnsi="Calibri"/>
                <w:bCs/>
                <w:lang w:eastAsia="ja-JP"/>
              </w:rPr>
              <w:t>21</w:t>
            </w:r>
          </w:p>
        </w:tc>
        <w:tc>
          <w:tcPr>
            <w:tcW w:w="2250" w:type="dxa"/>
            <w:shd w:val="clear" w:color="auto" w:fill="F2F2F2"/>
          </w:tcPr>
          <w:p w14:paraId="3D2500E6" w14:textId="77777777" w:rsidR="001A54E6" w:rsidRPr="002C5B31" w:rsidRDefault="001A54E6" w:rsidP="00394372">
            <w:pPr>
              <w:rPr>
                <w:rFonts w:ascii="Calibri" w:hAnsi="Calibri"/>
                <w:bCs/>
                <w:lang w:eastAsia="ja-JP"/>
              </w:rPr>
            </w:pPr>
            <w:r w:rsidRPr="00C51F15">
              <w:rPr>
                <w:rFonts w:ascii="Calibri" w:hAnsi="Calibri"/>
                <w:bCs/>
                <w:lang w:eastAsia="ja-JP"/>
              </w:rPr>
              <w:t>Amenajare loc de odihnă/recreere Mihai Bravu x Chiristigii</w:t>
            </w:r>
          </w:p>
        </w:tc>
        <w:tc>
          <w:tcPr>
            <w:tcW w:w="1530" w:type="dxa"/>
            <w:shd w:val="clear" w:color="auto" w:fill="F2F2F2"/>
          </w:tcPr>
          <w:p w14:paraId="4FA04AF3"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53682C7C" w14:textId="77777777" w:rsidR="001A54E6" w:rsidRDefault="001A54E6" w:rsidP="00394372">
            <w:pPr>
              <w:rPr>
                <w:rFonts w:ascii="Calibri" w:hAnsi="Calibri"/>
                <w:bCs/>
                <w:lang w:eastAsia="ja-JP"/>
              </w:rPr>
            </w:pPr>
            <w:r w:rsidRPr="00C51F15">
              <w:rPr>
                <w:rFonts w:ascii="Calibri" w:hAnsi="Calibri"/>
                <w:bCs/>
                <w:lang w:eastAsia="ja-JP"/>
              </w:rPr>
              <w:t>În elaborare documentație si obținere avize</w:t>
            </w:r>
          </w:p>
        </w:tc>
        <w:tc>
          <w:tcPr>
            <w:tcW w:w="1260" w:type="dxa"/>
            <w:shd w:val="clear" w:color="auto" w:fill="F2F2F2"/>
          </w:tcPr>
          <w:p w14:paraId="5E7F7393"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5A81C922"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400E0B6C" w14:textId="77777777" w:rsidR="001A54E6" w:rsidRDefault="001A54E6" w:rsidP="00394372">
            <w:pPr>
              <w:rPr>
                <w:rFonts w:ascii="Calibri" w:hAnsi="Calibri"/>
                <w:bCs/>
                <w:lang w:eastAsia="ja-JP"/>
              </w:rPr>
            </w:pPr>
            <w:r w:rsidRPr="00C51F15">
              <w:rPr>
                <w:rFonts w:ascii="Calibri" w:hAnsi="Calibri"/>
                <w:bCs/>
                <w:lang w:eastAsia="ja-JP"/>
              </w:rPr>
              <w:t>2023</w:t>
            </w:r>
            <w:r>
              <w:rPr>
                <w:rFonts w:ascii="Calibri" w:hAnsi="Calibri"/>
                <w:bCs/>
                <w:lang w:eastAsia="ja-JP"/>
              </w:rPr>
              <w:t xml:space="preserve"> </w:t>
            </w:r>
            <w:r w:rsidRPr="00C51F15">
              <w:rPr>
                <w:rFonts w:ascii="Calibri" w:hAnsi="Calibri"/>
                <w:bCs/>
                <w:lang w:eastAsia="ja-JP"/>
              </w:rPr>
              <w:t>-2024</w:t>
            </w:r>
          </w:p>
        </w:tc>
        <w:tc>
          <w:tcPr>
            <w:tcW w:w="1881" w:type="dxa"/>
            <w:shd w:val="clear" w:color="auto" w:fill="F2F2F2"/>
          </w:tcPr>
          <w:p w14:paraId="75D9018D" w14:textId="77777777" w:rsidR="001A54E6" w:rsidRPr="00912996"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211D7DD4" w14:textId="77777777" w:rsidR="001A54E6" w:rsidRPr="00912996"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0370EE62" w14:textId="77777777" w:rsidR="001A54E6" w:rsidRPr="00912996" w:rsidRDefault="001A54E6" w:rsidP="00394372">
            <w:pPr>
              <w:rPr>
                <w:rFonts w:ascii="Calibri" w:hAnsi="Calibri"/>
                <w:bCs/>
                <w:lang w:eastAsia="ja-JP"/>
              </w:rPr>
            </w:pPr>
            <w:r w:rsidRPr="00C51F15">
              <w:rPr>
                <w:rFonts w:ascii="Calibri" w:hAnsi="Calibri"/>
                <w:bCs/>
                <w:lang w:eastAsia="ja-JP"/>
              </w:rPr>
              <w:t>ADP2</w:t>
            </w:r>
          </w:p>
        </w:tc>
      </w:tr>
      <w:tr w:rsidR="00AC2FFA" w:rsidRPr="00912996" w14:paraId="20F1F301" w14:textId="77777777" w:rsidTr="00E2442E">
        <w:trPr>
          <w:gridAfter w:val="9"/>
          <w:wAfter w:w="15421" w:type="dxa"/>
          <w:trHeight w:val="1068"/>
        </w:trPr>
        <w:tc>
          <w:tcPr>
            <w:tcW w:w="625" w:type="dxa"/>
            <w:shd w:val="clear" w:color="auto" w:fill="F2F2F2"/>
            <w:noWrap/>
          </w:tcPr>
          <w:p w14:paraId="2A40C400" w14:textId="77777777" w:rsidR="001A54E6" w:rsidRDefault="001A54E6" w:rsidP="00394372">
            <w:pPr>
              <w:rPr>
                <w:rFonts w:ascii="Calibri" w:hAnsi="Calibri"/>
                <w:bCs/>
                <w:lang w:eastAsia="ja-JP"/>
              </w:rPr>
            </w:pPr>
            <w:r>
              <w:rPr>
                <w:rFonts w:ascii="Calibri" w:hAnsi="Calibri"/>
                <w:bCs/>
                <w:lang w:eastAsia="ja-JP"/>
              </w:rPr>
              <w:t>22</w:t>
            </w:r>
          </w:p>
        </w:tc>
        <w:tc>
          <w:tcPr>
            <w:tcW w:w="2250" w:type="dxa"/>
            <w:shd w:val="clear" w:color="auto" w:fill="F2F2F2"/>
          </w:tcPr>
          <w:p w14:paraId="11ABF5F1" w14:textId="77777777" w:rsidR="001A54E6" w:rsidRPr="00C51F15" w:rsidRDefault="001A54E6" w:rsidP="00394372">
            <w:pPr>
              <w:rPr>
                <w:rFonts w:ascii="Calibri" w:hAnsi="Calibri"/>
                <w:bCs/>
                <w:lang w:eastAsia="ja-JP"/>
              </w:rPr>
            </w:pPr>
            <w:r w:rsidRPr="00C51F15">
              <w:rPr>
                <w:rFonts w:ascii="Calibri" w:hAnsi="Calibri"/>
                <w:bCs/>
                <w:lang w:eastAsia="ja-JP"/>
              </w:rPr>
              <w:t>Amenajare  loc de joacă Luntrei nr</w:t>
            </w:r>
            <w:r>
              <w:rPr>
                <w:rFonts w:ascii="Calibri" w:hAnsi="Calibri"/>
                <w:bCs/>
                <w:lang w:eastAsia="ja-JP"/>
              </w:rPr>
              <w:t>.</w:t>
            </w:r>
            <w:r w:rsidRPr="00C51F15">
              <w:rPr>
                <w:rFonts w:ascii="Calibri" w:hAnsi="Calibri"/>
                <w:bCs/>
                <w:lang w:eastAsia="ja-JP"/>
              </w:rPr>
              <w:t xml:space="preserve"> 3 bl</w:t>
            </w:r>
            <w:r>
              <w:rPr>
                <w:rFonts w:ascii="Calibri" w:hAnsi="Calibri"/>
                <w:bCs/>
                <w:lang w:eastAsia="ja-JP"/>
              </w:rPr>
              <w:t>.</w:t>
            </w:r>
            <w:r w:rsidRPr="00C51F15">
              <w:rPr>
                <w:rFonts w:ascii="Calibri" w:hAnsi="Calibri"/>
                <w:bCs/>
                <w:lang w:eastAsia="ja-JP"/>
              </w:rPr>
              <w:t xml:space="preserve"> 10</w:t>
            </w:r>
          </w:p>
        </w:tc>
        <w:tc>
          <w:tcPr>
            <w:tcW w:w="1530" w:type="dxa"/>
            <w:shd w:val="clear" w:color="auto" w:fill="F2F2F2"/>
          </w:tcPr>
          <w:p w14:paraId="0D06CC09" w14:textId="77777777" w:rsidR="001A54E6" w:rsidRPr="00C51F15"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58CE328F" w14:textId="77777777" w:rsidR="001A54E6" w:rsidRPr="00C51F15" w:rsidRDefault="001A54E6" w:rsidP="00394372">
            <w:pPr>
              <w:rPr>
                <w:rFonts w:ascii="Calibri" w:hAnsi="Calibri"/>
                <w:bCs/>
                <w:lang w:eastAsia="ja-JP"/>
              </w:rPr>
            </w:pPr>
            <w:r w:rsidRPr="00C51F15">
              <w:rPr>
                <w:rFonts w:ascii="Calibri" w:hAnsi="Calibri"/>
                <w:bCs/>
                <w:lang w:eastAsia="ja-JP"/>
              </w:rPr>
              <w:t>În elaborare documentație si obținere avize</w:t>
            </w:r>
          </w:p>
        </w:tc>
        <w:tc>
          <w:tcPr>
            <w:tcW w:w="1260" w:type="dxa"/>
            <w:shd w:val="clear" w:color="auto" w:fill="F2F2F2"/>
          </w:tcPr>
          <w:p w14:paraId="7976881D" w14:textId="77777777" w:rsidR="001A54E6" w:rsidRPr="00C10880"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5350BD84" w14:textId="77777777" w:rsidR="001A54E6" w:rsidRPr="00C10880"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5B8349E4" w14:textId="77777777" w:rsidR="001A54E6" w:rsidRPr="00C51F15" w:rsidRDefault="001A54E6" w:rsidP="00394372">
            <w:pPr>
              <w:rPr>
                <w:rFonts w:ascii="Calibri" w:hAnsi="Calibri"/>
                <w:bCs/>
                <w:lang w:eastAsia="ja-JP"/>
              </w:rPr>
            </w:pPr>
            <w:r w:rsidRPr="00C51F15">
              <w:rPr>
                <w:rFonts w:ascii="Calibri" w:hAnsi="Calibri"/>
                <w:bCs/>
                <w:lang w:eastAsia="ja-JP"/>
              </w:rPr>
              <w:t>2023</w:t>
            </w:r>
            <w:r>
              <w:rPr>
                <w:rFonts w:ascii="Calibri" w:hAnsi="Calibri"/>
                <w:bCs/>
                <w:lang w:eastAsia="ja-JP"/>
              </w:rPr>
              <w:t xml:space="preserve"> </w:t>
            </w:r>
            <w:r w:rsidRPr="00C51F15">
              <w:rPr>
                <w:rFonts w:ascii="Calibri" w:hAnsi="Calibri"/>
                <w:bCs/>
                <w:lang w:eastAsia="ja-JP"/>
              </w:rPr>
              <w:t>-2024</w:t>
            </w:r>
          </w:p>
        </w:tc>
        <w:tc>
          <w:tcPr>
            <w:tcW w:w="1881" w:type="dxa"/>
            <w:shd w:val="clear" w:color="auto" w:fill="F2F2F2"/>
          </w:tcPr>
          <w:p w14:paraId="56B6A0F8" w14:textId="77777777" w:rsidR="001A54E6" w:rsidRPr="00C51F15"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374A2E93" w14:textId="77777777" w:rsidR="001A54E6" w:rsidRPr="00C51F15"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33E98722" w14:textId="77777777" w:rsidR="001A54E6" w:rsidRPr="00C51F15" w:rsidRDefault="001A54E6" w:rsidP="00394372">
            <w:pPr>
              <w:rPr>
                <w:rFonts w:ascii="Calibri" w:hAnsi="Calibri"/>
                <w:bCs/>
                <w:lang w:eastAsia="ja-JP"/>
              </w:rPr>
            </w:pPr>
            <w:r w:rsidRPr="00C51F15">
              <w:rPr>
                <w:rFonts w:ascii="Calibri" w:hAnsi="Calibri"/>
                <w:bCs/>
                <w:lang w:eastAsia="ja-JP"/>
              </w:rPr>
              <w:t>ADP2</w:t>
            </w:r>
          </w:p>
        </w:tc>
      </w:tr>
      <w:tr w:rsidR="00AC2FFA" w:rsidRPr="00912996" w14:paraId="6D25B114" w14:textId="77777777" w:rsidTr="00E2442E">
        <w:trPr>
          <w:gridAfter w:val="9"/>
          <w:wAfter w:w="15421" w:type="dxa"/>
          <w:trHeight w:val="1068"/>
        </w:trPr>
        <w:tc>
          <w:tcPr>
            <w:tcW w:w="625" w:type="dxa"/>
            <w:shd w:val="clear" w:color="auto" w:fill="F2F2F2"/>
            <w:noWrap/>
          </w:tcPr>
          <w:p w14:paraId="7D04240F" w14:textId="77777777" w:rsidR="001A54E6" w:rsidRDefault="001A54E6" w:rsidP="00394372">
            <w:pPr>
              <w:rPr>
                <w:rFonts w:ascii="Calibri" w:hAnsi="Calibri"/>
                <w:bCs/>
                <w:lang w:eastAsia="ja-JP"/>
              </w:rPr>
            </w:pPr>
            <w:r>
              <w:rPr>
                <w:rFonts w:ascii="Calibri" w:hAnsi="Calibri"/>
                <w:bCs/>
                <w:lang w:eastAsia="ja-JP"/>
              </w:rPr>
              <w:t>23</w:t>
            </w:r>
          </w:p>
        </w:tc>
        <w:tc>
          <w:tcPr>
            <w:tcW w:w="2250" w:type="dxa"/>
            <w:shd w:val="clear" w:color="auto" w:fill="F2F2F2"/>
          </w:tcPr>
          <w:p w14:paraId="22E84438" w14:textId="77777777" w:rsidR="001A54E6" w:rsidRPr="00C51F15" w:rsidRDefault="001A54E6" w:rsidP="00394372">
            <w:pPr>
              <w:rPr>
                <w:rFonts w:ascii="Calibri" w:hAnsi="Calibri"/>
                <w:bCs/>
                <w:lang w:eastAsia="ja-JP"/>
              </w:rPr>
            </w:pPr>
            <w:r w:rsidRPr="00C51F15">
              <w:rPr>
                <w:rFonts w:ascii="Calibri" w:hAnsi="Calibri"/>
                <w:bCs/>
                <w:lang w:eastAsia="ja-JP"/>
              </w:rPr>
              <w:t>Amenajare  loc de joacă si spații verzi Medic Zlătescu - GARAJE</w:t>
            </w:r>
          </w:p>
        </w:tc>
        <w:tc>
          <w:tcPr>
            <w:tcW w:w="1530" w:type="dxa"/>
            <w:shd w:val="clear" w:color="auto" w:fill="F2F2F2"/>
          </w:tcPr>
          <w:p w14:paraId="438DDA0E" w14:textId="77777777" w:rsidR="001A54E6" w:rsidRPr="00C51F15"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33F33064" w14:textId="77777777" w:rsidR="001A54E6" w:rsidRPr="00C51F15" w:rsidRDefault="001A54E6" w:rsidP="00394372">
            <w:pPr>
              <w:rPr>
                <w:rFonts w:ascii="Calibri" w:hAnsi="Calibri"/>
                <w:bCs/>
                <w:lang w:eastAsia="ja-JP"/>
              </w:rPr>
            </w:pPr>
            <w:r w:rsidRPr="00C51F15">
              <w:rPr>
                <w:rFonts w:ascii="Calibri" w:hAnsi="Calibri"/>
                <w:bCs/>
                <w:lang w:eastAsia="ja-JP"/>
              </w:rPr>
              <w:t>În elaborare documentație si obținere avize</w:t>
            </w:r>
          </w:p>
        </w:tc>
        <w:tc>
          <w:tcPr>
            <w:tcW w:w="1260" w:type="dxa"/>
            <w:shd w:val="clear" w:color="auto" w:fill="F2F2F2"/>
          </w:tcPr>
          <w:p w14:paraId="139435FC" w14:textId="77777777" w:rsidR="001A54E6" w:rsidRPr="00C10880"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37E7CD3A" w14:textId="77777777" w:rsidR="001A54E6" w:rsidRPr="00C10880"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52B90B40" w14:textId="77777777" w:rsidR="001A54E6" w:rsidRPr="00C51F15" w:rsidRDefault="001A54E6" w:rsidP="00394372">
            <w:pPr>
              <w:rPr>
                <w:rFonts w:ascii="Calibri" w:hAnsi="Calibri"/>
                <w:bCs/>
                <w:lang w:eastAsia="ja-JP"/>
              </w:rPr>
            </w:pPr>
            <w:r w:rsidRPr="00C51F15">
              <w:rPr>
                <w:rFonts w:ascii="Calibri" w:hAnsi="Calibri"/>
                <w:bCs/>
                <w:lang w:eastAsia="ja-JP"/>
              </w:rPr>
              <w:t>2023</w:t>
            </w:r>
            <w:r>
              <w:rPr>
                <w:rFonts w:ascii="Calibri" w:hAnsi="Calibri"/>
                <w:bCs/>
                <w:lang w:eastAsia="ja-JP"/>
              </w:rPr>
              <w:t xml:space="preserve"> </w:t>
            </w:r>
            <w:r w:rsidRPr="00C51F15">
              <w:rPr>
                <w:rFonts w:ascii="Calibri" w:hAnsi="Calibri"/>
                <w:bCs/>
                <w:lang w:eastAsia="ja-JP"/>
              </w:rPr>
              <w:t>-2024</w:t>
            </w:r>
          </w:p>
        </w:tc>
        <w:tc>
          <w:tcPr>
            <w:tcW w:w="1881" w:type="dxa"/>
            <w:shd w:val="clear" w:color="auto" w:fill="F2F2F2"/>
          </w:tcPr>
          <w:p w14:paraId="1FF186A5" w14:textId="77777777" w:rsidR="001A54E6" w:rsidRPr="00C51F15"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0FC72D1A" w14:textId="77777777" w:rsidR="001A54E6" w:rsidRPr="00C51F15"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671A0B05" w14:textId="77777777" w:rsidR="001A54E6" w:rsidRPr="00C51F15" w:rsidRDefault="001A54E6" w:rsidP="00394372">
            <w:pPr>
              <w:rPr>
                <w:rFonts w:ascii="Calibri" w:hAnsi="Calibri"/>
                <w:bCs/>
                <w:lang w:eastAsia="ja-JP"/>
              </w:rPr>
            </w:pPr>
            <w:r w:rsidRPr="00C51F15">
              <w:rPr>
                <w:rFonts w:ascii="Calibri" w:hAnsi="Calibri"/>
                <w:bCs/>
                <w:lang w:eastAsia="ja-JP"/>
              </w:rPr>
              <w:t>ADP2</w:t>
            </w:r>
          </w:p>
        </w:tc>
      </w:tr>
      <w:tr w:rsidR="00AC2FFA" w:rsidRPr="00912996" w14:paraId="0DAAE924" w14:textId="77777777" w:rsidTr="00E2442E">
        <w:trPr>
          <w:gridAfter w:val="9"/>
          <w:wAfter w:w="15421" w:type="dxa"/>
          <w:trHeight w:val="1068"/>
        </w:trPr>
        <w:tc>
          <w:tcPr>
            <w:tcW w:w="625" w:type="dxa"/>
            <w:shd w:val="clear" w:color="auto" w:fill="F2F2F2"/>
            <w:noWrap/>
          </w:tcPr>
          <w:p w14:paraId="5A074C8B" w14:textId="77777777" w:rsidR="001A54E6" w:rsidRDefault="001A54E6" w:rsidP="00394372">
            <w:pPr>
              <w:rPr>
                <w:rFonts w:ascii="Calibri" w:hAnsi="Calibri"/>
                <w:bCs/>
                <w:lang w:eastAsia="ja-JP"/>
              </w:rPr>
            </w:pPr>
            <w:r>
              <w:rPr>
                <w:rFonts w:ascii="Calibri" w:hAnsi="Calibri"/>
                <w:bCs/>
                <w:lang w:eastAsia="ja-JP"/>
              </w:rPr>
              <w:t>24</w:t>
            </w:r>
          </w:p>
        </w:tc>
        <w:tc>
          <w:tcPr>
            <w:tcW w:w="2250" w:type="dxa"/>
            <w:shd w:val="clear" w:color="auto" w:fill="F2F2F2"/>
          </w:tcPr>
          <w:p w14:paraId="65104922" w14:textId="77777777" w:rsidR="001A54E6" w:rsidRPr="00C51F15" w:rsidRDefault="001A54E6" w:rsidP="00394372">
            <w:pPr>
              <w:rPr>
                <w:rFonts w:ascii="Calibri" w:hAnsi="Calibri"/>
                <w:bCs/>
                <w:lang w:eastAsia="ja-JP"/>
              </w:rPr>
            </w:pPr>
            <w:r w:rsidRPr="00C51F15">
              <w:rPr>
                <w:rFonts w:ascii="Calibri" w:hAnsi="Calibri"/>
                <w:bCs/>
                <w:lang w:eastAsia="ja-JP"/>
              </w:rPr>
              <w:t>Amenajare loc de joaca si spații verzi – zona cuprinsă între str. Râsnov – Str. Popa Nicolae – Str.</w:t>
            </w:r>
            <w:r>
              <w:rPr>
                <w:rFonts w:ascii="Calibri" w:hAnsi="Calibri"/>
                <w:bCs/>
                <w:lang w:eastAsia="ja-JP"/>
              </w:rPr>
              <w:t xml:space="preserve"> </w:t>
            </w:r>
            <w:r w:rsidRPr="00C51F15">
              <w:rPr>
                <w:rFonts w:ascii="Calibri" w:hAnsi="Calibri"/>
                <w:bCs/>
                <w:lang w:eastAsia="ja-JP"/>
              </w:rPr>
              <w:t xml:space="preserve">Dimitrie Grozdea si Str. Paharnicul turturea </w:t>
            </w:r>
          </w:p>
        </w:tc>
        <w:tc>
          <w:tcPr>
            <w:tcW w:w="1530" w:type="dxa"/>
            <w:shd w:val="clear" w:color="auto" w:fill="F2F2F2"/>
          </w:tcPr>
          <w:p w14:paraId="3CD298FC" w14:textId="77777777" w:rsidR="001A54E6" w:rsidRPr="00C51F15" w:rsidRDefault="001A54E6" w:rsidP="00394372">
            <w:pPr>
              <w:rPr>
                <w:rFonts w:ascii="Calibri" w:hAnsi="Calibri"/>
                <w:bCs/>
                <w:lang w:eastAsia="ja-JP"/>
              </w:rPr>
            </w:pPr>
            <w:r w:rsidRPr="00C51F15">
              <w:rPr>
                <w:rFonts w:ascii="Calibri" w:hAnsi="Calibri"/>
                <w:bCs/>
                <w:lang w:eastAsia="ja-JP"/>
              </w:rPr>
              <w:t>ADP2</w:t>
            </w:r>
          </w:p>
        </w:tc>
        <w:tc>
          <w:tcPr>
            <w:tcW w:w="1620" w:type="dxa"/>
            <w:shd w:val="clear" w:color="auto" w:fill="F2F2F2"/>
          </w:tcPr>
          <w:p w14:paraId="7643CA25" w14:textId="77777777" w:rsidR="001A54E6" w:rsidRPr="00C51F15" w:rsidRDefault="001A54E6" w:rsidP="00394372">
            <w:pPr>
              <w:rPr>
                <w:rFonts w:ascii="Calibri" w:hAnsi="Calibri"/>
                <w:bCs/>
                <w:lang w:eastAsia="ja-JP"/>
              </w:rPr>
            </w:pPr>
            <w:r>
              <w:rPr>
                <w:rFonts w:ascii="Calibri" w:hAnsi="Calibri"/>
                <w:bCs/>
                <w:lang w:eastAsia="ja-JP"/>
              </w:rPr>
              <w:t>Î</w:t>
            </w:r>
            <w:r w:rsidRPr="00C51F15">
              <w:rPr>
                <w:rFonts w:ascii="Calibri" w:hAnsi="Calibri"/>
                <w:bCs/>
                <w:lang w:eastAsia="ja-JP"/>
              </w:rPr>
              <w:t>n elaborare documentație de urbanism</w:t>
            </w:r>
          </w:p>
        </w:tc>
        <w:tc>
          <w:tcPr>
            <w:tcW w:w="1260" w:type="dxa"/>
            <w:shd w:val="clear" w:color="auto" w:fill="F2F2F2"/>
          </w:tcPr>
          <w:p w14:paraId="21AEDC0A" w14:textId="77777777" w:rsidR="001A54E6" w:rsidRPr="001A2E2D"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tcPr>
          <w:p w14:paraId="4C3C2301" w14:textId="77777777" w:rsidR="001A54E6" w:rsidRPr="001A2E2D"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tcPr>
          <w:p w14:paraId="3A17C01F" w14:textId="77777777" w:rsidR="001A54E6" w:rsidRPr="00C51F15" w:rsidRDefault="001A54E6" w:rsidP="00394372">
            <w:pPr>
              <w:rPr>
                <w:rFonts w:ascii="Calibri" w:hAnsi="Calibri"/>
                <w:bCs/>
                <w:lang w:eastAsia="ja-JP"/>
              </w:rPr>
            </w:pPr>
            <w:r w:rsidRPr="00C51F15">
              <w:rPr>
                <w:rFonts w:ascii="Calibri" w:hAnsi="Calibri"/>
                <w:bCs/>
                <w:lang w:eastAsia="ja-JP"/>
              </w:rPr>
              <w:t>2024</w:t>
            </w:r>
            <w:r>
              <w:rPr>
                <w:rFonts w:ascii="Calibri" w:hAnsi="Calibri"/>
                <w:bCs/>
                <w:lang w:eastAsia="ja-JP"/>
              </w:rPr>
              <w:t xml:space="preserve"> </w:t>
            </w:r>
            <w:r w:rsidRPr="00C51F15">
              <w:rPr>
                <w:rFonts w:ascii="Calibri" w:hAnsi="Calibri"/>
                <w:bCs/>
                <w:lang w:eastAsia="ja-JP"/>
              </w:rPr>
              <w:t>-2025</w:t>
            </w:r>
          </w:p>
        </w:tc>
        <w:tc>
          <w:tcPr>
            <w:tcW w:w="1881" w:type="dxa"/>
            <w:shd w:val="clear" w:color="auto" w:fill="F2F2F2"/>
          </w:tcPr>
          <w:p w14:paraId="3C32282C" w14:textId="77777777" w:rsidR="001A54E6" w:rsidRPr="00C51F15" w:rsidRDefault="001A54E6" w:rsidP="00394372">
            <w:pPr>
              <w:rPr>
                <w:rFonts w:ascii="Calibri" w:hAnsi="Calibri"/>
                <w:bCs/>
                <w:lang w:eastAsia="ja-JP"/>
              </w:rPr>
            </w:pPr>
            <w:r w:rsidRPr="00C51F15">
              <w:rPr>
                <w:rFonts w:ascii="Calibri" w:hAnsi="Calibri"/>
                <w:bCs/>
                <w:lang w:eastAsia="ja-JP"/>
              </w:rPr>
              <w:t>Buget local</w:t>
            </w:r>
          </w:p>
        </w:tc>
        <w:tc>
          <w:tcPr>
            <w:tcW w:w="1260" w:type="dxa"/>
            <w:shd w:val="clear" w:color="auto" w:fill="F2F2F2"/>
          </w:tcPr>
          <w:p w14:paraId="6B3C01B0" w14:textId="77777777" w:rsidR="001A54E6" w:rsidRPr="00C51F15" w:rsidRDefault="001A54E6" w:rsidP="00394372">
            <w:pPr>
              <w:rPr>
                <w:rFonts w:ascii="Calibri" w:hAnsi="Calibri"/>
                <w:bCs/>
                <w:lang w:eastAsia="ja-JP"/>
              </w:rPr>
            </w:pPr>
            <w:r w:rsidRPr="00C51F15">
              <w:rPr>
                <w:rFonts w:ascii="Calibri" w:hAnsi="Calibri"/>
                <w:bCs/>
                <w:lang w:eastAsia="ja-JP"/>
              </w:rPr>
              <w:t>Proiect prioritar</w:t>
            </w:r>
          </w:p>
        </w:tc>
        <w:tc>
          <w:tcPr>
            <w:tcW w:w="1440" w:type="dxa"/>
            <w:shd w:val="clear" w:color="auto" w:fill="F2F2F2"/>
          </w:tcPr>
          <w:p w14:paraId="7819B7BE" w14:textId="77777777" w:rsidR="001A54E6" w:rsidRPr="00C51F15" w:rsidRDefault="001A54E6" w:rsidP="00394372">
            <w:pPr>
              <w:rPr>
                <w:rFonts w:ascii="Calibri" w:hAnsi="Calibri"/>
                <w:bCs/>
                <w:lang w:eastAsia="ja-JP"/>
              </w:rPr>
            </w:pPr>
            <w:r w:rsidRPr="00C51F15">
              <w:rPr>
                <w:rFonts w:ascii="Calibri" w:hAnsi="Calibri"/>
                <w:bCs/>
                <w:lang w:eastAsia="ja-JP"/>
              </w:rPr>
              <w:t>ADP2</w:t>
            </w:r>
          </w:p>
        </w:tc>
      </w:tr>
      <w:tr w:rsidR="00AC2FFA" w:rsidRPr="00912996" w14:paraId="0E38CF41" w14:textId="77777777" w:rsidTr="00E2442E">
        <w:trPr>
          <w:gridAfter w:val="9"/>
          <w:wAfter w:w="15421" w:type="dxa"/>
          <w:trHeight w:val="1068"/>
        </w:trPr>
        <w:tc>
          <w:tcPr>
            <w:tcW w:w="625" w:type="dxa"/>
            <w:shd w:val="clear" w:color="auto" w:fill="F2F2F2"/>
            <w:noWrap/>
          </w:tcPr>
          <w:p w14:paraId="70BEB9F4" w14:textId="77777777" w:rsidR="001A54E6" w:rsidRDefault="001A54E6" w:rsidP="00394372">
            <w:pPr>
              <w:rPr>
                <w:rFonts w:ascii="Calibri" w:hAnsi="Calibri"/>
                <w:bCs/>
                <w:lang w:eastAsia="ja-JP"/>
              </w:rPr>
            </w:pPr>
            <w:r>
              <w:rPr>
                <w:rFonts w:ascii="Calibri" w:hAnsi="Calibri"/>
                <w:bCs/>
                <w:lang w:eastAsia="ja-JP"/>
              </w:rPr>
              <w:t>25</w:t>
            </w:r>
          </w:p>
        </w:tc>
        <w:tc>
          <w:tcPr>
            <w:tcW w:w="2250" w:type="dxa"/>
            <w:shd w:val="clear" w:color="auto" w:fill="F2F2F2"/>
          </w:tcPr>
          <w:p w14:paraId="5FF0C877" w14:textId="77777777" w:rsidR="001A54E6" w:rsidRPr="00C51F15" w:rsidRDefault="001A54E6" w:rsidP="00394372">
            <w:pPr>
              <w:rPr>
                <w:rFonts w:ascii="Calibri" w:hAnsi="Calibri"/>
                <w:bCs/>
                <w:lang w:eastAsia="ja-JP"/>
              </w:rPr>
            </w:pPr>
            <w:r w:rsidRPr="00C51F15">
              <w:rPr>
                <w:rFonts w:ascii="Calibri" w:hAnsi="Calibri"/>
                <w:bCs/>
                <w:lang w:eastAsia="ja-JP"/>
              </w:rPr>
              <w:t>Amenajare peisagistică curte interioară a sediului din strada Olari nr. 19</w:t>
            </w:r>
          </w:p>
        </w:tc>
        <w:tc>
          <w:tcPr>
            <w:tcW w:w="1530" w:type="dxa"/>
            <w:shd w:val="clear" w:color="auto" w:fill="F2F2F2"/>
          </w:tcPr>
          <w:p w14:paraId="33475CC4" w14:textId="77777777" w:rsidR="001A54E6" w:rsidRPr="00C51F15" w:rsidRDefault="001A54E6" w:rsidP="00394372">
            <w:pPr>
              <w:rPr>
                <w:rFonts w:ascii="Calibri" w:hAnsi="Calibri"/>
                <w:bCs/>
                <w:lang w:eastAsia="ja-JP"/>
              </w:rPr>
            </w:pPr>
            <w:r w:rsidRPr="00C51F15">
              <w:rPr>
                <w:rFonts w:ascii="Calibri" w:hAnsi="Calibri"/>
                <w:bCs/>
                <w:lang w:eastAsia="ja-JP"/>
              </w:rPr>
              <w:t>PS2, ADPS2</w:t>
            </w:r>
          </w:p>
        </w:tc>
        <w:tc>
          <w:tcPr>
            <w:tcW w:w="1620" w:type="dxa"/>
            <w:shd w:val="clear" w:color="auto" w:fill="F2F2F2"/>
          </w:tcPr>
          <w:p w14:paraId="53BE9562" w14:textId="77777777" w:rsidR="001A54E6" w:rsidRPr="00C51F15" w:rsidRDefault="001A54E6" w:rsidP="00394372">
            <w:pPr>
              <w:rPr>
                <w:rFonts w:ascii="Calibri" w:hAnsi="Calibri"/>
                <w:bCs/>
                <w:lang w:eastAsia="ja-JP"/>
              </w:rPr>
            </w:pPr>
            <w:r w:rsidRPr="00C51F15">
              <w:rPr>
                <w:rFonts w:ascii="Calibri" w:hAnsi="Calibri"/>
                <w:bCs/>
                <w:lang w:eastAsia="ja-JP"/>
              </w:rPr>
              <w:t>Idee</w:t>
            </w:r>
          </w:p>
        </w:tc>
        <w:tc>
          <w:tcPr>
            <w:tcW w:w="1260" w:type="dxa"/>
            <w:shd w:val="clear" w:color="auto" w:fill="F2F2F2"/>
          </w:tcPr>
          <w:p w14:paraId="5175A3B2" w14:textId="77777777" w:rsidR="001A54E6" w:rsidRPr="001A2E2D" w:rsidRDefault="001A54E6" w:rsidP="00394372">
            <w:pPr>
              <w:rPr>
                <w:rFonts w:ascii="Calibri" w:hAnsi="Calibri"/>
                <w:bCs/>
                <w:lang w:eastAsia="ja-JP"/>
              </w:rPr>
            </w:pPr>
            <w:r w:rsidRPr="00C51F15">
              <w:rPr>
                <w:rFonts w:ascii="Calibri" w:hAnsi="Calibri"/>
                <w:bCs/>
                <w:lang w:eastAsia="ja-JP"/>
              </w:rPr>
              <w:t>N/A</w:t>
            </w:r>
          </w:p>
        </w:tc>
        <w:tc>
          <w:tcPr>
            <w:tcW w:w="1260" w:type="dxa"/>
            <w:shd w:val="clear" w:color="auto" w:fill="F2F2F2"/>
          </w:tcPr>
          <w:p w14:paraId="2915CE5D" w14:textId="77777777" w:rsidR="001A54E6" w:rsidRPr="001A2E2D" w:rsidRDefault="001A54E6" w:rsidP="00394372">
            <w:pPr>
              <w:rPr>
                <w:rFonts w:ascii="Calibri" w:hAnsi="Calibri"/>
                <w:bCs/>
                <w:lang w:eastAsia="ja-JP"/>
              </w:rPr>
            </w:pPr>
            <w:r w:rsidRPr="00C51F15">
              <w:rPr>
                <w:rFonts w:ascii="Calibri" w:hAnsi="Calibri"/>
                <w:bCs/>
                <w:lang w:eastAsia="ja-JP"/>
              </w:rPr>
              <w:t>N/A</w:t>
            </w:r>
          </w:p>
        </w:tc>
        <w:tc>
          <w:tcPr>
            <w:tcW w:w="1089" w:type="dxa"/>
            <w:shd w:val="clear" w:color="auto" w:fill="F2F2F2"/>
          </w:tcPr>
          <w:p w14:paraId="449A9270" w14:textId="77777777" w:rsidR="001A54E6" w:rsidRPr="00C51F15" w:rsidRDefault="001A54E6" w:rsidP="00394372">
            <w:pPr>
              <w:rPr>
                <w:rFonts w:ascii="Calibri" w:hAnsi="Calibri"/>
                <w:bCs/>
                <w:lang w:eastAsia="ja-JP"/>
              </w:rPr>
            </w:pPr>
            <w:r w:rsidRPr="00C51F15">
              <w:rPr>
                <w:rFonts w:ascii="Calibri" w:hAnsi="Calibri"/>
                <w:bCs/>
                <w:lang w:eastAsia="ja-JP"/>
              </w:rPr>
              <w:t>N/A</w:t>
            </w:r>
          </w:p>
        </w:tc>
        <w:tc>
          <w:tcPr>
            <w:tcW w:w="1881" w:type="dxa"/>
            <w:shd w:val="clear" w:color="auto" w:fill="F2F2F2"/>
          </w:tcPr>
          <w:p w14:paraId="78F0A58E" w14:textId="77777777" w:rsidR="001A54E6" w:rsidRPr="00C51F15" w:rsidRDefault="001A54E6" w:rsidP="00394372">
            <w:pPr>
              <w:rPr>
                <w:rFonts w:ascii="Calibri" w:hAnsi="Calibri"/>
                <w:bCs/>
                <w:lang w:eastAsia="ja-JP"/>
              </w:rPr>
            </w:pPr>
            <w:r w:rsidRPr="00C51F15">
              <w:rPr>
                <w:rFonts w:ascii="Calibri" w:hAnsi="Calibri"/>
                <w:bCs/>
                <w:lang w:eastAsia="ja-JP"/>
              </w:rPr>
              <w:t>Buget local, Alte surse de finanțare</w:t>
            </w:r>
          </w:p>
        </w:tc>
        <w:tc>
          <w:tcPr>
            <w:tcW w:w="1260" w:type="dxa"/>
            <w:shd w:val="clear" w:color="auto" w:fill="F2F2F2"/>
          </w:tcPr>
          <w:p w14:paraId="430C34BE" w14:textId="77777777" w:rsidR="001A54E6" w:rsidRPr="00C51F15" w:rsidRDefault="001A54E6" w:rsidP="00394372">
            <w:pPr>
              <w:rPr>
                <w:rFonts w:ascii="Calibri" w:hAnsi="Calibri"/>
                <w:bCs/>
                <w:lang w:eastAsia="ja-JP"/>
              </w:rPr>
            </w:pPr>
            <w:r w:rsidRPr="00C51F15">
              <w:rPr>
                <w:rFonts w:ascii="Calibri" w:hAnsi="Calibri"/>
                <w:bCs/>
                <w:lang w:eastAsia="ja-JP"/>
              </w:rPr>
              <w:t>Lista lungă de proiecte</w:t>
            </w:r>
          </w:p>
        </w:tc>
        <w:tc>
          <w:tcPr>
            <w:tcW w:w="1440" w:type="dxa"/>
            <w:shd w:val="clear" w:color="auto" w:fill="F2F2F2"/>
          </w:tcPr>
          <w:p w14:paraId="4650361D" w14:textId="77777777" w:rsidR="001A54E6" w:rsidRPr="00C51F15" w:rsidRDefault="001A54E6" w:rsidP="00394372">
            <w:pPr>
              <w:rPr>
                <w:rFonts w:ascii="Calibri" w:hAnsi="Calibri"/>
                <w:bCs/>
                <w:lang w:eastAsia="ja-JP"/>
              </w:rPr>
            </w:pPr>
            <w:r w:rsidRPr="00C51F15">
              <w:rPr>
                <w:rFonts w:ascii="Calibri" w:hAnsi="Calibri"/>
                <w:bCs/>
                <w:lang w:eastAsia="ja-JP"/>
              </w:rPr>
              <w:t>PS2 - DAISE</w:t>
            </w:r>
          </w:p>
        </w:tc>
      </w:tr>
      <w:tr w:rsidR="00AC2FFA" w:rsidRPr="00912996" w14:paraId="324CD060" w14:textId="77777777" w:rsidTr="00E2442E">
        <w:trPr>
          <w:gridAfter w:val="9"/>
          <w:wAfter w:w="15421" w:type="dxa"/>
          <w:trHeight w:val="764"/>
        </w:trPr>
        <w:tc>
          <w:tcPr>
            <w:tcW w:w="625" w:type="dxa"/>
            <w:shd w:val="clear" w:color="auto" w:fill="F2F2F2"/>
            <w:noWrap/>
          </w:tcPr>
          <w:p w14:paraId="3473A67D" w14:textId="77777777" w:rsidR="001A54E6" w:rsidRDefault="001A54E6" w:rsidP="00394372">
            <w:pPr>
              <w:rPr>
                <w:rFonts w:ascii="Calibri" w:hAnsi="Calibri"/>
                <w:bCs/>
                <w:lang w:eastAsia="ja-JP"/>
              </w:rPr>
            </w:pPr>
            <w:r>
              <w:rPr>
                <w:rFonts w:ascii="Calibri" w:hAnsi="Calibri"/>
                <w:bCs/>
                <w:lang w:eastAsia="ja-JP"/>
              </w:rPr>
              <w:t>26</w:t>
            </w:r>
          </w:p>
        </w:tc>
        <w:tc>
          <w:tcPr>
            <w:tcW w:w="2250" w:type="dxa"/>
            <w:shd w:val="clear" w:color="auto" w:fill="F2F2F2"/>
          </w:tcPr>
          <w:p w14:paraId="53C6D3E3" w14:textId="77777777" w:rsidR="001A54E6" w:rsidRPr="00C51F15" w:rsidRDefault="001A54E6" w:rsidP="00394372">
            <w:pPr>
              <w:rPr>
                <w:rFonts w:ascii="Calibri" w:hAnsi="Calibri"/>
                <w:bCs/>
                <w:lang w:eastAsia="ja-JP"/>
              </w:rPr>
            </w:pPr>
            <w:r w:rsidRPr="00C51F15">
              <w:rPr>
                <w:rFonts w:ascii="Calibri" w:hAnsi="Calibri"/>
                <w:bCs/>
                <w:lang w:eastAsia="ja-JP"/>
              </w:rPr>
              <w:t>Împrejmuire stradală și interioara a sediului din strada Olari nr. 19</w:t>
            </w:r>
          </w:p>
        </w:tc>
        <w:tc>
          <w:tcPr>
            <w:tcW w:w="1530" w:type="dxa"/>
            <w:shd w:val="clear" w:color="auto" w:fill="F2F2F2"/>
          </w:tcPr>
          <w:p w14:paraId="0DBB9A70" w14:textId="77777777" w:rsidR="001A54E6" w:rsidRPr="00C51F15" w:rsidRDefault="001A54E6" w:rsidP="00394372">
            <w:pPr>
              <w:rPr>
                <w:rFonts w:ascii="Calibri" w:hAnsi="Calibri"/>
                <w:bCs/>
                <w:lang w:eastAsia="ja-JP"/>
              </w:rPr>
            </w:pPr>
            <w:r w:rsidRPr="00C51F15">
              <w:rPr>
                <w:rFonts w:ascii="Calibri" w:hAnsi="Calibri"/>
                <w:bCs/>
                <w:lang w:eastAsia="ja-JP"/>
              </w:rPr>
              <w:t>PS2</w:t>
            </w:r>
          </w:p>
        </w:tc>
        <w:tc>
          <w:tcPr>
            <w:tcW w:w="1620" w:type="dxa"/>
            <w:shd w:val="clear" w:color="auto" w:fill="F2F2F2"/>
          </w:tcPr>
          <w:p w14:paraId="71206E89" w14:textId="77777777" w:rsidR="001A54E6" w:rsidRPr="00C51F15" w:rsidRDefault="001A54E6" w:rsidP="00394372">
            <w:pPr>
              <w:rPr>
                <w:rFonts w:ascii="Calibri" w:hAnsi="Calibri"/>
                <w:bCs/>
                <w:lang w:eastAsia="ja-JP"/>
              </w:rPr>
            </w:pPr>
            <w:r w:rsidRPr="00C51F15">
              <w:rPr>
                <w:rFonts w:ascii="Calibri" w:hAnsi="Calibri"/>
                <w:bCs/>
                <w:lang w:eastAsia="ja-JP"/>
              </w:rPr>
              <w:t>Idee</w:t>
            </w:r>
          </w:p>
        </w:tc>
        <w:tc>
          <w:tcPr>
            <w:tcW w:w="1260" w:type="dxa"/>
            <w:shd w:val="clear" w:color="auto" w:fill="F2F2F2"/>
          </w:tcPr>
          <w:p w14:paraId="043D7249" w14:textId="77777777" w:rsidR="001A54E6" w:rsidRPr="001A2E2D" w:rsidRDefault="001A54E6" w:rsidP="00394372">
            <w:pPr>
              <w:rPr>
                <w:rFonts w:ascii="Calibri" w:hAnsi="Calibri"/>
                <w:bCs/>
                <w:lang w:eastAsia="ja-JP"/>
              </w:rPr>
            </w:pPr>
            <w:r w:rsidRPr="00C51F15">
              <w:rPr>
                <w:rFonts w:ascii="Calibri" w:hAnsi="Calibri"/>
                <w:bCs/>
                <w:lang w:eastAsia="ja-JP"/>
              </w:rPr>
              <w:t>N/A</w:t>
            </w:r>
          </w:p>
        </w:tc>
        <w:tc>
          <w:tcPr>
            <w:tcW w:w="1260" w:type="dxa"/>
            <w:shd w:val="clear" w:color="auto" w:fill="F2F2F2"/>
          </w:tcPr>
          <w:p w14:paraId="44561F61" w14:textId="77777777" w:rsidR="001A54E6" w:rsidRPr="001A2E2D" w:rsidRDefault="001A54E6" w:rsidP="00394372">
            <w:pPr>
              <w:rPr>
                <w:rFonts w:ascii="Calibri" w:hAnsi="Calibri"/>
                <w:bCs/>
                <w:lang w:eastAsia="ja-JP"/>
              </w:rPr>
            </w:pPr>
            <w:r w:rsidRPr="00C51F15">
              <w:rPr>
                <w:rFonts w:ascii="Calibri" w:hAnsi="Calibri"/>
                <w:bCs/>
                <w:lang w:eastAsia="ja-JP"/>
              </w:rPr>
              <w:t>N/A</w:t>
            </w:r>
          </w:p>
        </w:tc>
        <w:tc>
          <w:tcPr>
            <w:tcW w:w="1089" w:type="dxa"/>
            <w:shd w:val="clear" w:color="auto" w:fill="F2F2F2"/>
          </w:tcPr>
          <w:p w14:paraId="36FEA34E" w14:textId="77777777" w:rsidR="001A54E6" w:rsidRPr="00C51F15" w:rsidRDefault="001A54E6" w:rsidP="00394372">
            <w:pPr>
              <w:rPr>
                <w:rFonts w:ascii="Calibri" w:hAnsi="Calibri"/>
                <w:bCs/>
                <w:lang w:eastAsia="ja-JP"/>
              </w:rPr>
            </w:pPr>
            <w:r w:rsidRPr="00C51F15">
              <w:rPr>
                <w:rFonts w:ascii="Calibri" w:hAnsi="Calibri"/>
                <w:bCs/>
                <w:lang w:eastAsia="ja-JP"/>
              </w:rPr>
              <w:t>N/A</w:t>
            </w:r>
          </w:p>
        </w:tc>
        <w:tc>
          <w:tcPr>
            <w:tcW w:w="1881" w:type="dxa"/>
            <w:shd w:val="clear" w:color="auto" w:fill="F2F2F2"/>
          </w:tcPr>
          <w:p w14:paraId="61CBC3B9" w14:textId="77777777" w:rsidR="001A54E6" w:rsidRPr="00C51F15" w:rsidRDefault="001A54E6" w:rsidP="00394372">
            <w:pPr>
              <w:rPr>
                <w:rFonts w:ascii="Calibri" w:hAnsi="Calibri"/>
                <w:bCs/>
                <w:lang w:eastAsia="ja-JP"/>
              </w:rPr>
            </w:pPr>
            <w:r w:rsidRPr="00C51F15">
              <w:rPr>
                <w:rFonts w:ascii="Calibri" w:hAnsi="Calibri"/>
                <w:bCs/>
                <w:lang w:eastAsia="ja-JP"/>
              </w:rPr>
              <w:t>Buget local, Alte surse de finanțare</w:t>
            </w:r>
          </w:p>
        </w:tc>
        <w:tc>
          <w:tcPr>
            <w:tcW w:w="1260" w:type="dxa"/>
            <w:shd w:val="clear" w:color="auto" w:fill="F2F2F2"/>
          </w:tcPr>
          <w:p w14:paraId="6120689F" w14:textId="77777777" w:rsidR="001A54E6" w:rsidRPr="00C51F15" w:rsidRDefault="001A54E6" w:rsidP="00394372">
            <w:pPr>
              <w:rPr>
                <w:rFonts w:ascii="Calibri" w:hAnsi="Calibri"/>
                <w:bCs/>
                <w:lang w:eastAsia="ja-JP"/>
              </w:rPr>
            </w:pPr>
            <w:r w:rsidRPr="00C51F15">
              <w:rPr>
                <w:rFonts w:ascii="Calibri" w:hAnsi="Calibri"/>
                <w:bCs/>
                <w:lang w:eastAsia="ja-JP"/>
              </w:rPr>
              <w:t>Lista lungă de proiecte</w:t>
            </w:r>
          </w:p>
        </w:tc>
        <w:tc>
          <w:tcPr>
            <w:tcW w:w="1440" w:type="dxa"/>
            <w:shd w:val="clear" w:color="auto" w:fill="F2F2F2"/>
          </w:tcPr>
          <w:p w14:paraId="335A827D" w14:textId="77777777" w:rsidR="001A54E6" w:rsidRPr="00C51F15" w:rsidRDefault="001A54E6" w:rsidP="00394372">
            <w:pPr>
              <w:rPr>
                <w:rFonts w:ascii="Calibri" w:hAnsi="Calibri"/>
                <w:bCs/>
                <w:lang w:eastAsia="ja-JP"/>
              </w:rPr>
            </w:pPr>
            <w:r w:rsidRPr="00C51F15">
              <w:rPr>
                <w:rFonts w:ascii="Calibri" w:hAnsi="Calibri"/>
                <w:bCs/>
                <w:lang w:eastAsia="ja-JP"/>
              </w:rPr>
              <w:t>PS2 - DAISE</w:t>
            </w:r>
          </w:p>
        </w:tc>
      </w:tr>
      <w:tr w:rsidR="001A54E6" w:rsidRPr="00912996" w14:paraId="130ADF25" w14:textId="77777777" w:rsidTr="00AC2FFA">
        <w:trPr>
          <w:trHeight w:val="80"/>
        </w:trPr>
        <w:tc>
          <w:tcPr>
            <w:tcW w:w="14215" w:type="dxa"/>
            <w:gridSpan w:val="10"/>
            <w:shd w:val="clear" w:color="auto" w:fill="CCE188"/>
            <w:noWrap/>
          </w:tcPr>
          <w:p w14:paraId="47E2B9FB" w14:textId="77777777" w:rsidR="001A54E6" w:rsidRPr="00912996" w:rsidRDefault="001A54E6" w:rsidP="009D4CB3">
            <w:pPr>
              <w:jc w:val="center"/>
              <w:rPr>
                <w:rFonts w:ascii="Calibri" w:hAnsi="Calibri"/>
                <w:b/>
                <w:bCs/>
                <w:color w:val="FFFFFF"/>
                <w:lang w:eastAsia="ja-JP"/>
              </w:rPr>
            </w:pPr>
            <w:r w:rsidRPr="00912996">
              <w:rPr>
                <w:rFonts w:ascii="Calibri" w:hAnsi="Calibri"/>
                <w:b/>
                <w:bCs/>
                <w:color w:val="FFFFFF"/>
                <w:lang w:eastAsia="ja-JP"/>
              </w:rPr>
              <w:t>OBIECTIV SPECIFIC O3.3. - Infrastructură de mediu modernă</w:t>
            </w:r>
          </w:p>
        </w:tc>
        <w:tc>
          <w:tcPr>
            <w:tcW w:w="1733" w:type="dxa"/>
            <w:vAlign w:val="center"/>
          </w:tcPr>
          <w:p w14:paraId="6005BA7B" w14:textId="77777777" w:rsidR="001A54E6" w:rsidRPr="00912996" w:rsidRDefault="001A54E6" w:rsidP="008506DF"/>
        </w:tc>
        <w:tc>
          <w:tcPr>
            <w:tcW w:w="1711" w:type="dxa"/>
            <w:vAlign w:val="bottom"/>
          </w:tcPr>
          <w:p w14:paraId="56CFFAE4" w14:textId="77777777" w:rsidR="001A54E6" w:rsidRPr="00361772" w:rsidRDefault="001A54E6" w:rsidP="008506DF">
            <w:pPr>
              <w:rPr>
                <w:rFonts w:ascii="Times New Roman" w:hAnsi="Times New Roman" w:cs="Times New Roman"/>
              </w:rPr>
            </w:pPr>
          </w:p>
        </w:tc>
        <w:tc>
          <w:tcPr>
            <w:tcW w:w="1711" w:type="dxa"/>
            <w:vAlign w:val="bottom"/>
          </w:tcPr>
          <w:p w14:paraId="03D8E07D" w14:textId="77777777" w:rsidR="001A54E6" w:rsidRPr="00361772" w:rsidRDefault="001A54E6" w:rsidP="008506DF">
            <w:pPr>
              <w:rPr>
                <w:rFonts w:ascii="Times New Roman" w:hAnsi="Times New Roman" w:cs="Times New Roman"/>
              </w:rPr>
            </w:pPr>
          </w:p>
        </w:tc>
        <w:tc>
          <w:tcPr>
            <w:tcW w:w="1711" w:type="dxa"/>
            <w:vAlign w:val="bottom"/>
          </w:tcPr>
          <w:p w14:paraId="3228BEDA" w14:textId="77777777" w:rsidR="001A54E6" w:rsidRPr="00361772" w:rsidRDefault="001A54E6" w:rsidP="008506DF">
            <w:pPr>
              <w:rPr>
                <w:rFonts w:ascii="Times New Roman" w:hAnsi="Times New Roman" w:cs="Times New Roman"/>
              </w:rPr>
            </w:pPr>
          </w:p>
        </w:tc>
        <w:tc>
          <w:tcPr>
            <w:tcW w:w="1711" w:type="dxa"/>
            <w:vAlign w:val="bottom"/>
          </w:tcPr>
          <w:p w14:paraId="602E87D0" w14:textId="77777777" w:rsidR="001A54E6" w:rsidRPr="00361772" w:rsidRDefault="001A54E6" w:rsidP="008506DF">
            <w:pPr>
              <w:rPr>
                <w:rFonts w:ascii="Times New Roman" w:hAnsi="Times New Roman" w:cs="Times New Roman"/>
              </w:rPr>
            </w:pPr>
          </w:p>
        </w:tc>
        <w:tc>
          <w:tcPr>
            <w:tcW w:w="1711" w:type="dxa"/>
            <w:vAlign w:val="bottom"/>
          </w:tcPr>
          <w:p w14:paraId="741D0F80" w14:textId="77777777" w:rsidR="001A54E6" w:rsidRPr="00361772" w:rsidRDefault="001A54E6" w:rsidP="008506DF">
            <w:pPr>
              <w:rPr>
                <w:rFonts w:ascii="Times New Roman" w:hAnsi="Times New Roman" w:cs="Times New Roman"/>
              </w:rPr>
            </w:pPr>
          </w:p>
        </w:tc>
        <w:tc>
          <w:tcPr>
            <w:tcW w:w="1711" w:type="dxa"/>
            <w:vAlign w:val="bottom"/>
          </w:tcPr>
          <w:p w14:paraId="19E892A5" w14:textId="77777777" w:rsidR="001A54E6" w:rsidRPr="00361772" w:rsidRDefault="001A54E6" w:rsidP="008506DF">
            <w:pPr>
              <w:rPr>
                <w:rFonts w:ascii="Times New Roman" w:hAnsi="Times New Roman" w:cs="Times New Roman"/>
              </w:rPr>
            </w:pPr>
          </w:p>
        </w:tc>
        <w:tc>
          <w:tcPr>
            <w:tcW w:w="1711" w:type="dxa"/>
            <w:vAlign w:val="bottom"/>
          </w:tcPr>
          <w:p w14:paraId="0A4E8236" w14:textId="77777777" w:rsidR="001A54E6" w:rsidRPr="00361772" w:rsidRDefault="001A54E6" w:rsidP="008506DF">
            <w:pPr>
              <w:rPr>
                <w:rFonts w:ascii="Times New Roman" w:hAnsi="Times New Roman" w:cs="Times New Roman"/>
              </w:rPr>
            </w:pPr>
          </w:p>
        </w:tc>
        <w:tc>
          <w:tcPr>
            <w:tcW w:w="1711" w:type="dxa"/>
            <w:vAlign w:val="bottom"/>
          </w:tcPr>
          <w:p w14:paraId="00E602ED" w14:textId="77777777" w:rsidR="001A54E6" w:rsidRPr="00361772" w:rsidRDefault="001A54E6" w:rsidP="008506DF">
            <w:pPr>
              <w:rPr>
                <w:rFonts w:ascii="Times New Roman" w:hAnsi="Times New Roman" w:cs="Times New Roman"/>
              </w:rPr>
            </w:pPr>
          </w:p>
        </w:tc>
      </w:tr>
      <w:tr w:rsidR="001A54E6" w:rsidRPr="00912996" w14:paraId="4A04850B" w14:textId="77777777" w:rsidTr="00AC2FFA">
        <w:trPr>
          <w:trHeight w:val="332"/>
        </w:trPr>
        <w:tc>
          <w:tcPr>
            <w:tcW w:w="14215" w:type="dxa"/>
            <w:gridSpan w:val="10"/>
            <w:shd w:val="clear" w:color="auto" w:fill="BBD9A0"/>
            <w:noWrap/>
          </w:tcPr>
          <w:p w14:paraId="231F45E4" w14:textId="77777777" w:rsidR="001A54E6" w:rsidRPr="00912996" w:rsidRDefault="001A54E6" w:rsidP="009D4CB3">
            <w:pPr>
              <w:jc w:val="center"/>
              <w:rPr>
                <w:rFonts w:ascii="Calibri" w:hAnsi="Calibri"/>
                <w:b/>
                <w:bCs/>
                <w:color w:val="FFFFFF"/>
                <w:lang w:eastAsia="ja-JP"/>
              </w:rPr>
            </w:pPr>
            <w:r w:rsidRPr="00912996">
              <w:rPr>
                <w:rFonts w:ascii="Calibri" w:hAnsi="Calibri"/>
                <w:b/>
                <w:bCs/>
                <w:color w:val="FFFFFF"/>
                <w:lang w:eastAsia="ja-JP"/>
              </w:rPr>
              <w:t>D3.3.1. Modernizarea infrastructurii de alimentare cu apă și canalizare</w:t>
            </w:r>
          </w:p>
        </w:tc>
        <w:tc>
          <w:tcPr>
            <w:tcW w:w="1733" w:type="dxa"/>
            <w:vAlign w:val="center"/>
          </w:tcPr>
          <w:p w14:paraId="01C90AB2" w14:textId="77777777" w:rsidR="001A54E6" w:rsidRPr="00912996" w:rsidRDefault="001A54E6" w:rsidP="008506DF"/>
        </w:tc>
        <w:tc>
          <w:tcPr>
            <w:tcW w:w="1711" w:type="dxa"/>
            <w:vAlign w:val="bottom"/>
          </w:tcPr>
          <w:p w14:paraId="18ABF5BE" w14:textId="77777777" w:rsidR="001A54E6" w:rsidRPr="00361772" w:rsidRDefault="001A54E6" w:rsidP="008506DF">
            <w:pPr>
              <w:rPr>
                <w:rFonts w:ascii="Times New Roman" w:hAnsi="Times New Roman" w:cs="Times New Roman"/>
              </w:rPr>
            </w:pPr>
          </w:p>
        </w:tc>
        <w:tc>
          <w:tcPr>
            <w:tcW w:w="1711" w:type="dxa"/>
            <w:vAlign w:val="bottom"/>
          </w:tcPr>
          <w:p w14:paraId="17FF3629" w14:textId="77777777" w:rsidR="001A54E6" w:rsidRPr="00361772" w:rsidRDefault="001A54E6" w:rsidP="008506DF">
            <w:pPr>
              <w:rPr>
                <w:rFonts w:ascii="Times New Roman" w:hAnsi="Times New Roman" w:cs="Times New Roman"/>
              </w:rPr>
            </w:pPr>
          </w:p>
        </w:tc>
        <w:tc>
          <w:tcPr>
            <w:tcW w:w="1711" w:type="dxa"/>
            <w:vAlign w:val="bottom"/>
          </w:tcPr>
          <w:p w14:paraId="34CD713D" w14:textId="77777777" w:rsidR="001A54E6" w:rsidRPr="00361772" w:rsidRDefault="001A54E6" w:rsidP="008506DF">
            <w:pPr>
              <w:rPr>
                <w:rFonts w:ascii="Times New Roman" w:hAnsi="Times New Roman" w:cs="Times New Roman"/>
              </w:rPr>
            </w:pPr>
          </w:p>
        </w:tc>
        <w:tc>
          <w:tcPr>
            <w:tcW w:w="1711" w:type="dxa"/>
            <w:vAlign w:val="bottom"/>
          </w:tcPr>
          <w:p w14:paraId="487E050B" w14:textId="77777777" w:rsidR="001A54E6" w:rsidRPr="00361772" w:rsidRDefault="001A54E6" w:rsidP="008506DF">
            <w:pPr>
              <w:rPr>
                <w:rFonts w:ascii="Times New Roman" w:hAnsi="Times New Roman" w:cs="Times New Roman"/>
              </w:rPr>
            </w:pPr>
          </w:p>
        </w:tc>
        <w:tc>
          <w:tcPr>
            <w:tcW w:w="1711" w:type="dxa"/>
            <w:vAlign w:val="bottom"/>
          </w:tcPr>
          <w:p w14:paraId="25944AF5" w14:textId="77777777" w:rsidR="001A54E6" w:rsidRPr="00361772" w:rsidRDefault="001A54E6" w:rsidP="008506DF">
            <w:pPr>
              <w:rPr>
                <w:rFonts w:ascii="Times New Roman" w:hAnsi="Times New Roman" w:cs="Times New Roman"/>
              </w:rPr>
            </w:pPr>
          </w:p>
        </w:tc>
        <w:tc>
          <w:tcPr>
            <w:tcW w:w="1711" w:type="dxa"/>
            <w:vAlign w:val="bottom"/>
          </w:tcPr>
          <w:p w14:paraId="450C4D9B" w14:textId="77777777" w:rsidR="001A54E6" w:rsidRPr="00361772" w:rsidRDefault="001A54E6" w:rsidP="008506DF">
            <w:pPr>
              <w:rPr>
                <w:rFonts w:ascii="Times New Roman" w:hAnsi="Times New Roman" w:cs="Times New Roman"/>
              </w:rPr>
            </w:pPr>
          </w:p>
        </w:tc>
        <w:tc>
          <w:tcPr>
            <w:tcW w:w="1711" w:type="dxa"/>
            <w:vAlign w:val="bottom"/>
          </w:tcPr>
          <w:p w14:paraId="0409FA6B" w14:textId="77777777" w:rsidR="001A54E6" w:rsidRPr="00361772" w:rsidRDefault="001A54E6" w:rsidP="008506DF">
            <w:pPr>
              <w:rPr>
                <w:rFonts w:ascii="Times New Roman" w:hAnsi="Times New Roman" w:cs="Times New Roman"/>
              </w:rPr>
            </w:pPr>
          </w:p>
        </w:tc>
        <w:tc>
          <w:tcPr>
            <w:tcW w:w="1711" w:type="dxa"/>
            <w:vAlign w:val="bottom"/>
          </w:tcPr>
          <w:p w14:paraId="0DD89CD0" w14:textId="77777777" w:rsidR="001A54E6" w:rsidRPr="00361772" w:rsidRDefault="001A54E6" w:rsidP="008506DF">
            <w:pPr>
              <w:rPr>
                <w:rFonts w:ascii="Times New Roman" w:hAnsi="Times New Roman" w:cs="Times New Roman"/>
              </w:rPr>
            </w:pPr>
          </w:p>
        </w:tc>
      </w:tr>
      <w:tr w:rsidR="00AC2FFA" w:rsidRPr="00912996" w14:paraId="51C10A4E" w14:textId="77777777" w:rsidTr="00E2442E">
        <w:trPr>
          <w:gridAfter w:val="9"/>
          <w:wAfter w:w="15421" w:type="dxa"/>
          <w:trHeight w:val="540"/>
        </w:trPr>
        <w:tc>
          <w:tcPr>
            <w:tcW w:w="625" w:type="dxa"/>
            <w:shd w:val="clear" w:color="auto" w:fill="F2F2F2"/>
            <w:noWrap/>
            <w:hideMark/>
          </w:tcPr>
          <w:p w14:paraId="2A70DAA7"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tcPr>
          <w:p w14:paraId="46810279" w14:textId="77777777" w:rsidR="001A54E6" w:rsidRPr="00912996" w:rsidRDefault="001A54E6" w:rsidP="00394372">
            <w:pPr>
              <w:rPr>
                <w:rFonts w:ascii="Calibri" w:hAnsi="Calibri"/>
                <w:bCs/>
                <w:lang w:eastAsia="ja-JP"/>
              </w:rPr>
            </w:pPr>
            <w:r>
              <w:rPr>
                <w:rFonts w:ascii="Calibri" w:hAnsi="Calibri"/>
                <w:bCs/>
                <w:lang w:eastAsia="ja-JP"/>
              </w:rPr>
              <w:t>Realizarea unei baze de date urbane sub forma unui Plan coordonator rețele tehnico-edilitare la nivelul Sectorului 2</w:t>
            </w:r>
          </w:p>
        </w:tc>
        <w:tc>
          <w:tcPr>
            <w:tcW w:w="1530" w:type="dxa"/>
            <w:shd w:val="clear" w:color="auto" w:fill="F2F2F2"/>
          </w:tcPr>
          <w:p w14:paraId="5E48B293" w14:textId="77777777" w:rsidR="001A54E6" w:rsidRPr="00912996" w:rsidRDefault="001A54E6" w:rsidP="00394372">
            <w:pPr>
              <w:rPr>
                <w:rFonts w:ascii="Calibri" w:hAnsi="Calibri"/>
                <w:bCs/>
                <w:lang w:eastAsia="ja-JP"/>
              </w:rPr>
            </w:pPr>
            <w:r>
              <w:rPr>
                <w:rFonts w:ascii="Calibri" w:hAnsi="Calibri"/>
                <w:bCs/>
                <w:lang w:eastAsia="ja-JP"/>
              </w:rPr>
              <w:t>PS2, furnizori rețele</w:t>
            </w:r>
          </w:p>
        </w:tc>
        <w:tc>
          <w:tcPr>
            <w:tcW w:w="1620" w:type="dxa"/>
            <w:shd w:val="clear" w:color="auto" w:fill="F2F2F2"/>
            <w:noWrap/>
          </w:tcPr>
          <w:p w14:paraId="25F78A58" w14:textId="77777777" w:rsidR="001A54E6" w:rsidRPr="00912996" w:rsidRDefault="001A54E6" w:rsidP="00394372">
            <w:pPr>
              <w:rPr>
                <w:rFonts w:ascii="Calibri" w:hAnsi="Calibri"/>
                <w:bCs/>
                <w:lang w:eastAsia="ja-JP"/>
              </w:rPr>
            </w:pPr>
            <w:r>
              <w:rPr>
                <w:rFonts w:ascii="Calibri" w:hAnsi="Calibri"/>
                <w:bCs/>
                <w:lang w:eastAsia="ja-JP"/>
              </w:rPr>
              <w:t>Idee</w:t>
            </w:r>
          </w:p>
        </w:tc>
        <w:tc>
          <w:tcPr>
            <w:tcW w:w="1260" w:type="dxa"/>
            <w:shd w:val="clear" w:color="auto" w:fill="F2F2F2"/>
            <w:noWrap/>
          </w:tcPr>
          <w:p w14:paraId="24831CC0" w14:textId="77777777" w:rsidR="001A54E6" w:rsidRPr="00912996" w:rsidRDefault="001A54E6" w:rsidP="00394372">
            <w:pPr>
              <w:rPr>
                <w:rFonts w:ascii="Calibri" w:hAnsi="Calibri"/>
                <w:bCs/>
                <w:lang w:eastAsia="ja-JP"/>
              </w:rPr>
            </w:pPr>
            <w:r>
              <w:rPr>
                <w:rFonts w:ascii="Calibri" w:hAnsi="Calibri"/>
                <w:bCs/>
                <w:lang w:eastAsia="ja-JP"/>
              </w:rPr>
              <w:t>980,000</w:t>
            </w:r>
          </w:p>
        </w:tc>
        <w:tc>
          <w:tcPr>
            <w:tcW w:w="1260" w:type="dxa"/>
            <w:shd w:val="clear" w:color="auto" w:fill="F2F2F2"/>
            <w:noWrap/>
          </w:tcPr>
          <w:p w14:paraId="54F2AFDD" w14:textId="77777777" w:rsidR="001A54E6" w:rsidRPr="00912996" w:rsidRDefault="001A54E6" w:rsidP="00394372">
            <w:pPr>
              <w:rPr>
                <w:rFonts w:ascii="Calibri" w:hAnsi="Calibri"/>
                <w:bCs/>
                <w:lang w:eastAsia="ja-JP"/>
              </w:rPr>
            </w:pPr>
            <w:r>
              <w:rPr>
                <w:rFonts w:ascii="Calibri" w:hAnsi="Calibri"/>
                <w:bCs/>
                <w:lang w:eastAsia="ja-JP"/>
              </w:rPr>
              <w:t>200,000</w:t>
            </w:r>
          </w:p>
        </w:tc>
        <w:tc>
          <w:tcPr>
            <w:tcW w:w="1089" w:type="dxa"/>
            <w:shd w:val="clear" w:color="auto" w:fill="F2F2F2"/>
            <w:noWrap/>
          </w:tcPr>
          <w:p w14:paraId="7D51A160" w14:textId="77777777" w:rsidR="001A54E6" w:rsidRPr="00912996" w:rsidRDefault="001A54E6" w:rsidP="00394372">
            <w:pPr>
              <w:rPr>
                <w:rFonts w:ascii="Calibri" w:hAnsi="Calibri"/>
                <w:bCs/>
                <w:lang w:eastAsia="ja-JP"/>
              </w:rPr>
            </w:pPr>
            <w:r>
              <w:rPr>
                <w:rFonts w:ascii="Calibri" w:hAnsi="Calibri"/>
                <w:bCs/>
                <w:lang w:eastAsia="ja-JP"/>
              </w:rPr>
              <w:t>2023 - 2024</w:t>
            </w:r>
          </w:p>
        </w:tc>
        <w:tc>
          <w:tcPr>
            <w:tcW w:w="1881" w:type="dxa"/>
            <w:shd w:val="clear" w:color="auto" w:fill="F2F2F2"/>
          </w:tcPr>
          <w:p w14:paraId="3FA8D5E3" w14:textId="77777777" w:rsidR="001A54E6" w:rsidRPr="00912996" w:rsidRDefault="001A54E6" w:rsidP="00394372">
            <w:pPr>
              <w:rPr>
                <w:rFonts w:ascii="Calibri" w:hAnsi="Calibri"/>
                <w:bCs/>
                <w:lang w:eastAsia="ja-JP"/>
              </w:rPr>
            </w:pPr>
            <w:r>
              <w:rPr>
                <w:rFonts w:ascii="Calibri" w:hAnsi="Calibri"/>
                <w:bCs/>
                <w:lang w:eastAsia="ja-JP"/>
              </w:rPr>
              <w:t>Bugetul local</w:t>
            </w:r>
          </w:p>
        </w:tc>
        <w:tc>
          <w:tcPr>
            <w:tcW w:w="1260" w:type="dxa"/>
            <w:shd w:val="clear" w:color="auto" w:fill="F2F2F2"/>
          </w:tcPr>
          <w:p w14:paraId="4B22429A" w14:textId="77777777" w:rsidR="001A54E6" w:rsidRPr="00912996" w:rsidRDefault="001A54E6" w:rsidP="00394372">
            <w:pPr>
              <w:rPr>
                <w:rFonts w:ascii="Calibri" w:hAnsi="Calibri"/>
                <w:bCs/>
                <w:lang w:eastAsia="ja-JP"/>
              </w:rPr>
            </w:pPr>
            <w:r>
              <w:rPr>
                <w:rFonts w:ascii="Calibri" w:hAnsi="Calibri"/>
                <w:bCs/>
                <w:lang w:eastAsia="ja-JP"/>
              </w:rPr>
              <w:t>Proiect prioritar</w:t>
            </w:r>
          </w:p>
        </w:tc>
        <w:tc>
          <w:tcPr>
            <w:tcW w:w="1440" w:type="dxa"/>
            <w:shd w:val="clear" w:color="auto" w:fill="F2F2F2"/>
            <w:noWrap/>
          </w:tcPr>
          <w:p w14:paraId="7C61DF50" w14:textId="77777777" w:rsidR="001A54E6" w:rsidRPr="00912996" w:rsidRDefault="001A54E6" w:rsidP="00394372">
            <w:pPr>
              <w:rPr>
                <w:rFonts w:ascii="Calibri" w:hAnsi="Calibri"/>
                <w:bCs/>
                <w:lang w:eastAsia="ja-JP"/>
              </w:rPr>
            </w:pPr>
            <w:r>
              <w:rPr>
                <w:rFonts w:ascii="Calibri" w:hAnsi="Calibri"/>
                <w:bCs/>
                <w:lang w:eastAsia="ja-JP"/>
              </w:rPr>
              <w:t>SDL 2016-2025</w:t>
            </w:r>
          </w:p>
        </w:tc>
      </w:tr>
      <w:tr w:rsidR="00AC2FFA" w:rsidRPr="00912996" w14:paraId="05EB5BF9" w14:textId="77777777" w:rsidTr="00E2442E">
        <w:trPr>
          <w:gridAfter w:val="9"/>
          <w:wAfter w:w="15421" w:type="dxa"/>
          <w:trHeight w:val="540"/>
        </w:trPr>
        <w:tc>
          <w:tcPr>
            <w:tcW w:w="625" w:type="dxa"/>
            <w:shd w:val="clear" w:color="auto" w:fill="F2F2F2"/>
            <w:noWrap/>
            <w:hideMark/>
          </w:tcPr>
          <w:p w14:paraId="75B5311E"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432A437C" w14:textId="77777777" w:rsidR="001A54E6" w:rsidRPr="00912996" w:rsidRDefault="001A54E6" w:rsidP="00394372">
            <w:pPr>
              <w:rPr>
                <w:rFonts w:ascii="Calibri" w:hAnsi="Calibri"/>
                <w:bCs/>
                <w:lang w:eastAsia="ja-JP"/>
              </w:rPr>
            </w:pPr>
            <w:r w:rsidRPr="00912996">
              <w:rPr>
                <w:rFonts w:ascii="Calibri" w:hAnsi="Calibri"/>
                <w:bCs/>
                <w:lang w:eastAsia="ja-JP"/>
              </w:rPr>
              <w:t>Program reabilitare infrastructură apă-canal la nivelul Sectorului 2</w:t>
            </w:r>
          </w:p>
        </w:tc>
        <w:tc>
          <w:tcPr>
            <w:tcW w:w="1530" w:type="dxa"/>
            <w:shd w:val="clear" w:color="auto" w:fill="F2F2F2"/>
            <w:hideMark/>
          </w:tcPr>
          <w:p w14:paraId="476BC1FD" w14:textId="77777777" w:rsidR="001A54E6" w:rsidRPr="00912996" w:rsidRDefault="001A54E6" w:rsidP="00394372">
            <w:pPr>
              <w:rPr>
                <w:rFonts w:ascii="Calibri" w:hAnsi="Calibri"/>
                <w:bCs/>
                <w:lang w:eastAsia="ja-JP"/>
              </w:rPr>
            </w:pPr>
            <w:r w:rsidRPr="00912996">
              <w:rPr>
                <w:rFonts w:ascii="Calibri" w:hAnsi="Calibri"/>
                <w:bCs/>
                <w:lang w:eastAsia="ja-JP"/>
              </w:rPr>
              <w:t>PMB, Apa Nova</w:t>
            </w:r>
          </w:p>
        </w:tc>
        <w:tc>
          <w:tcPr>
            <w:tcW w:w="1620" w:type="dxa"/>
            <w:shd w:val="clear" w:color="auto" w:fill="F2F2F2"/>
            <w:noWrap/>
            <w:hideMark/>
          </w:tcPr>
          <w:p w14:paraId="0BFDEDDD"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79B00CB" w14:textId="77777777" w:rsidR="001A54E6" w:rsidRPr="00912996" w:rsidRDefault="001A54E6" w:rsidP="00394372">
            <w:pPr>
              <w:rPr>
                <w:rFonts w:ascii="Calibri" w:hAnsi="Calibri"/>
                <w:bCs/>
                <w:lang w:eastAsia="ja-JP"/>
              </w:rPr>
            </w:pPr>
            <w:r w:rsidRPr="00912996">
              <w:rPr>
                <w:rFonts w:ascii="Calibri" w:hAnsi="Calibri"/>
                <w:bCs/>
                <w:lang w:eastAsia="ja-JP"/>
              </w:rPr>
              <w:t>Conform Masterplan</w:t>
            </w:r>
          </w:p>
        </w:tc>
        <w:tc>
          <w:tcPr>
            <w:tcW w:w="1260" w:type="dxa"/>
            <w:shd w:val="clear" w:color="auto" w:fill="F2F2F2"/>
            <w:noWrap/>
            <w:hideMark/>
          </w:tcPr>
          <w:p w14:paraId="007A267E" w14:textId="77777777" w:rsidR="001A54E6" w:rsidRPr="00912996" w:rsidRDefault="001A54E6" w:rsidP="00394372">
            <w:pPr>
              <w:rPr>
                <w:rFonts w:ascii="Calibri" w:hAnsi="Calibri"/>
                <w:bCs/>
                <w:lang w:eastAsia="ja-JP"/>
              </w:rPr>
            </w:pPr>
            <w:r w:rsidRPr="00912996">
              <w:rPr>
                <w:rFonts w:ascii="Calibri" w:hAnsi="Calibri"/>
                <w:bCs/>
                <w:lang w:eastAsia="ja-JP"/>
              </w:rPr>
              <w:t>Conform Masterplan</w:t>
            </w:r>
          </w:p>
        </w:tc>
        <w:tc>
          <w:tcPr>
            <w:tcW w:w="1089" w:type="dxa"/>
            <w:shd w:val="clear" w:color="auto" w:fill="F2F2F2"/>
            <w:noWrap/>
            <w:hideMark/>
          </w:tcPr>
          <w:p w14:paraId="692372D5" w14:textId="77777777" w:rsidR="001A54E6" w:rsidRPr="00912996" w:rsidRDefault="001A54E6" w:rsidP="00394372">
            <w:pPr>
              <w:rPr>
                <w:rFonts w:ascii="Calibri" w:hAnsi="Calibri"/>
                <w:bCs/>
                <w:lang w:eastAsia="ja-JP"/>
              </w:rPr>
            </w:pPr>
            <w:r w:rsidRPr="00912996">
              <w:rPr>
                <w:rFonts w:ascii="Calibri" w:hAnsi="Calibri"/>
                <w:bCs/>
                <w:lang w:eastAsia="ja-JP"/>
              </w:rPr>
              <w:t>2023 - 2030</w:t>
            </w:r>
          </w:p>
        </w:tc>
        <w:tc>
          <w:tcPr>
            <w:tcW w:w="1881" w:type="dxa"/>
            <w:shd w:val="clear" w:color="auto" w:fill="F2F2F2"/>
            <w:hideMark/>
          </w:tcPr>
          <w:p w14:paraId="0FF94507"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hideMark/>
          </w:tcPr>
          <w:p w14:paraId="68D9CED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06E1223E" w14:textId="77777777" w:rsidR="001A54E6" w:rsidRPr="00912996" w:rsidRDefault="001A54E6" w:rsidP="00394372">
            <w:pPr>
              <w:rPr>
                <w:rFonts w:ascii="Calibri" w:hAnsi="Calibri"/>
                <w:bCs/>
                <w:lang w:eastAsia="ja-JP"/>
              </w:rPr>
            </w:pPr>
            <w:r w:rsidRPr="00912996">
              <w:rPr>
                <w:rFonts w:ascii="Calibri" w:hAnsi="Calibri"/>
                <w:bCs/>
                <w:lang w:eastAsia="ja-JP"/>
              </w:rPr>
              <w:t>SDL 2016-2025</w:t>
            </w:r>
          </w:p>
        </w:tc>
      </w:tr>
      <w:tr w:rsidR="00AC2FFA" w:rsidRPr="00912996" w14:paraId="155F1C1F" w14:textId="77777777" w:rsidTr="00E2442E">
        <w:trPr>
          <w:gridAfter w:val="9"/>
          <w:wAfter w:w="15421" w:type="dxa"/>
          <w:trHeight w:val="540"/>
        </w:trPr>
        <w:tc>
          <w:tcPr>
            <w:tcW w:w="625" w:type="dxa"/>
            <w:shd w:val="clear" w:color="auto" w:fill="F2F2F2"/>
            <w:noWrap/>
            <w:hideMark/>
          </w:tcPr>
          <w:p w14:paraId="313422D2"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38289114" w14:textId="77777777" w:rsidR="001A54E6" w:rsidRPr="00912996" w:rsidRDefault="001A54E6" w:rsidP="00394372">
            <w:pPr>
              <w:rPr>
                <w:rFonts w:ascii="Calibri" w:hAnsi="Calibri"/>
                <w:bCs/>
                <w:lang w:eastAsia="ja-JP"/>
              </w:rPr>
            </w:pPr>
            <w:r w:rsidRPr="00912996">
              <w:rPr>
                <w:rFonts w:ascii="Calibri" w:hAnsi="Calibri"/>
                <w:bCs/>
                <w:lang w:eastAsia="ja-JP"/>
              </w:rPr>
              <w:t>Program extindere infrastructură apă-canal pe străzile unde aceasta lipsește la nivelul Sectorului 2 (circa 9 km)</w:t>
            </w:r>
          </w:p>
        </w:tc>
        <w:tc>
          <w:tcPr>
            <w:tcW w:w="1530" w:type="dxa"/>
            <w:shd w:val="clear" w:color="auto" w:fill="F2F2F2"/>
            <w:hideMark/>
          </w:tcPr>
          <w:p w14:paraId="07528E5A" w14:textId="77777777" w:rsidR="001A54E6" w:rsidRPr="00912996" w:rsidRDefault="001A54E6" w:rsidP="00394372">
            <w:pPr>
              <w:rPr>
                <w:rFonts w:ascii="Calibri" w:hAnsi="Calibri"/>
                <w:bCs/>
                <w:lang w:eastAsia="ja-JP"/>
              </w:rPr>
            </w:pPr>
            <w:r w:rsidRPr="00912996">
              <w:rPr>
                <w:rFonts w:ascii="Calibri" w:hAnsi="Calibri"/>
                <w:bCs/>
                <w:lang w:eastAsia="ja-JP"/>
              </w:rPr>
              <w:t>PMB, Apa Nova</w:t>
            </w:r>
          </w:p>
        </w:tc>
        <w:tc>
          <w:tcPr>
            <w:tcW w:w="1620" w:type="dxa"/>
            <w:shd w:val="clear" w:color="auto" w:fill="F2F2F2"/>
            <w:noWrap/>
            <w:hideMark/>
          </w:tcPr>
          <w:p w14:paraId="052BBD42"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7A08470B" w14:textId="77777777" w:rsidR="001A54E6" w:rsidRPr="00912996" w:rsidRDefault="001A54E6" w:rsidP="00394372">
            <w:pPr>
              <w:rPr>
                <w:rFonts w:ascii="Calibri" w:hAnsi="Calibri"/>
                <w:bCs/>
                <w:lang w:eastAsia="ja-JP"/>
              </w:rPr>
            </w:pPr>
            <w:r w:rsidRPr="00912996">
              <w:rPr>
                <w:rFonts w:ascii="Calibri" w:hAnsi="Calibri"/>
                <w:bCs/>
                <w:lang w:eastAsia="ja-JP"/>
              </w:rPr>
              <w:t>Conform Masterplan</w:t>
            </w:r>
          </w:p>
        </w:tc>
        <w:tc>
          <w:tcPr>
            <w:tcW w:w="1260" w:type="dxa"/>
            <w:shd w:val="clear" w:color="auto" w:fill="F2F2F2"/>
            <w:noWrap/>
            <w:hideMark/>
          </w:tcPr>
          <w:p w14:paraId="2A9A686F" w14:textId="77777777" w:rsidR="001A54E6" w:rsidRPr="00912996" w:rsidRDefault="001A54E6" w:rsidP="00394372">
            <w:pPr>
              <w:rPr>
                <w:rFonts w:ascii="Calibri" w:hAnsi="Calibri"/>
                <w:bCs/>
                <w:lang w:eastAsia="ja-JP"/>
              </w:rPr>
            </w:pPr>
            <w:r w:rsidRPr="00912996">
              <w:rPr>
                <w:rFonts w:ascii="Calibri" w:hAnsi="Calibri"/>
                <w:bCs/>
                <w:lang w:eastAsia="ja-JP"/>
              </w:rPr>
              <w:t>Conform Masterplan</w:t>
            </w:r>
          </w:p>
        </w:tc>
        <w:tc>
          <w:tcPr>
            <w:tcW w:w="1089" w:type="dxa"/>
            <w:shd w:val="clear" w:color="auto" w:fill="F2F2F2"/>
            <w:noWrap/>
            <w:hideMark/>
          </w:tcPr>
          <w:p w14:paraId="00A5327C" w14:textId="77777777" w:rsidR="001A54E6" w:rsidRPr="00912996" w:rsidRDefault="001A54E6" w:rsidP="00394372">
            <w:pPr>
              <w:rPr>
                <w:rFonts w:ascii="Calibri" w:hAnsi="Calibri"/>
                <w:bCs/>
                <w:lang w:eastAsia="ja-JP"/>
              </w:rPr>
            </w:pPr>
            <w:r w:rsidRPr="00912996">
              <w:rPr>
                <w:rFonts w:ascii="Calibri" w:hAnsi="Calibri"/>
                <w:bCs/>
                <w:lang w:eastAsia="ja-JP"/>
              </w:rPr>
              <w:t>2023 - 2030</w:t>
            </w:r>
          </w:p>
        </w:tc>
        <w:tc>
          <w:tcPr>
            <w:tcW w:w="1881" w:type="dxa"/>
            <w:shd w:val="clear" w:color="auto" w:fill="F2F2F2"/>
            <w:hideMark/>
          </w:tcPr>
          <w:p w14:paraId="5C8E6F73"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hideMark/>
          </w:tcPr>
          <w:p w14:paraId="5F5675A7"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12EC7C09" w14:textId="77777777" w:rsidR="001A54E6" w:rsidRPr="00912996" w:rsidRDefault="001A54E6" w:rsidP="00394372">
            <w:pPr>
              <w:rPr>
                <w:rFonts w:ascii="Calibri" w:hAnsi="Calibri"/>
                <w:bCs/>
                <w:lang w:eastAsia="ja-JP"/>
              </w:rPr>
            </w:pPr>
            <w:r w:rsidRPr="00912996">
              <w:rPr>
                <w:rFonts w:ascii="Calibri" w:hAnsi="Calibri"/>
                <w:bCs/>
                <w:lang w:eastAsia="ja-JP"/>
              </w:rPr>
              <w:t>SDL 2016-2025</w:t>
            </w:r>
          </w:p>
        </w:tc>
      </w:tr>
      <w:tr w:rsidR="00AC2FFA" w:rsidRPr="00912996" w14:paraId="7C277B22" w14:textId="77777777" w:rsidTr="00E2442E">
        <w:trPr>
          <w:gridAfter w:val="9"/>
          <w:wAfter w:w="15421" w:type="dxa"/>
          <w:trHeight w:val="540"/>
        </w:trPr>
        <w:tc>
          <w:tcPr>
            <w:tcW w:w="625" w:type="dxa"/>
            <w:shd w:val="clear" w:color="auto" w:fill="F2F2F2"/>
            <w:noWrap/>
            <w:hideMark/>
          </w:tcPr>
          <w:p w14:paraId="7CC6833C"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66A59AEB" w14:textId="77777777" w:rsidR="001A54E6" w:rsidRPr="00912996" w:rsidRDefault="001A54E6" w:rsidP="00394372">
            <w:pPr>
              <w:rPr>
                <w:rFonts w:ascii="Calibri" w:hAnsi="Calibri"/>
                <w:bCs/>
                <w:lang w:eastAsia="ja-JP"/>
              </w:rPr>
            </w:pPr>
            <w:r w:rsidRPr="00912996">
              <w:rPr>
                <w:rFonts w:ascii="Calibri" w:hAnsi="Calibri"/>
                <w:bCs/>
                <w:lang w:eastAsia="ja-JP"/>
              </w:rPr>
              <w:t>Program extindere sisteme separate canalizare pluvial - menajer în cartierele din zona salbei de lacuri</w:t>
            </w:r>
          </w:p>
        </w:tc>
        <w:tc>
          <w:tcPr>
            <w:tcW w:w="1530" w:type="dxa"/>
            <w:shd w:val="clear" w:color="auto" w:fill="F2F2F2"/>
            <w:hideMark/>
          </w:tcPr>
          <w:p w14:paraId="7A35089A" w14:textId="77777777" w:rsidR="001A54E6" w:rsidRPr="00912996" w:rsidRDefault="001A54E6" w:rsidP="00394372">
            <w:pPr>
              <w:rPr>
                <w:rFonts w:ascii="Calibri" w:hAnsi="Calibri"/>
                <w:bCs/>
                <w:lang w:eastAsia="ja-JP"/>
              </w:rPr>
            </w:pPr>
            <w:r w:rsidRPr="00912996">
              <w:rPr>
                <w:rFonts w:ascii="Calibri" w:hAnsi="Calibri"/>
                <w:bCs/>
                <w:lang w:eastAsia="ja-JP"/>
              </w:rPr>
              <w:t>PMB, Apa Nova</w:t>
            </w:r>
          </w:p>
        </w:tc>
        <w:tc>
          <w:tcPr>
            <w:tcW w:w="1620" w:type="dxa"/>
            <w:shd w:val="clear" w:color="auto" w:fill="F2F2F2"/>
            <w:noWrap/>
            <w:hideMark/>
          </w:tcPr>
          <w:p w14:paraId="5F97F6FA"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3EAB88C" w14:textId="77777777" w:rsidR="001A54E6" w:rsidRPr="00912996" w:rsidRDefault="001A54E6" w:rsidP="00394372">
            <w:pPr>
              <w:rPr>
                <w:rFonts w:ascii="Calibri" w:hAnsi="Calibri"/>
                <w:bCs/>
                <w:lang w:eastAsia="ja-JP"/>
              </w:rPr>
            </w:pPr>
            <w:r w:rsidRPr="00912996">
              <w:rPr>
                <w:rFonts w:ascii="Calibri" w:hAnsi="Calibri"/>
                <w:bCs/>
                <w:lang w:eastAsia="ja-JP"/>
              </w:rPr>
              <w:t>Conform Masterplan</w:t>
            </w:r>
          </w:p>
        </w:tc>
        <w:tc>
          <w:tcPr>
            <w:tcW w:w="1260" w:type="dxa"/>
            <w:shd w:val="clear" w:color="auto" w:fill="F2F2F2"/>
            <w:noWrap/>
            <w:hideMark/>
          </w:tcPr>
          <w:p w14:paraId="3EB6C9FF" w14:textId="77777777" w:rsidR="001A54E6" w:rsidRPr="00912996" w:rsidRDefault="001A54E6" w:rsidP="00394372">
            <w:pPr>
              <w:rPr>
                <w:rFonts w:ascii="Calibri" w:hAnsi="Calibri"/>
                <w:bCs/>
                <w:lang w:eastAsia="ja-JP"/>
              </w:rPr>
            </w:pPr>
            <w:r w:rsidRPr="00912996">
              <w:rPr>
                <w:rFonts w:ascii="Calibri" w:hAnsi="Calibri"/>
                <w:bCs/>
                <w:lang w:eastAsia="ja-JP"/>
              </w:rPr>
              <w:t>Conform Masterplan</w:t>
            </w:r>
          </w:p>
        </w:tc>
        <w:tc>
          <w:tcPr>
            <w:tcW w:w="1089" w:type="dxa"/>
            <w:shd w:val="clear" w:color="auto" w:fill="F2F2F2"/>
            <w:noWrap/>
            <w:hideMark/>
          </w:tcPr>
          <w:p w14:paraId="05700E23" w14:textId="77777777" w:rsidR="001A54E6" w:rsidRPr="00912996" w:rsidRDefault="001A54E6" w:rsidP="00394372">
            <w:pPr>
              <w:rPr>
                <w:rFonts w:ascii="Calibri" w:hAnsi="Calibri"/>
                <w:bCs/>
                <w:lang w:eastAsia="ja-JP"/>
              </w:rPr>
            </w:pPr>
            <w:r w:rsidRPr="00912996">
              <w:rPr>
                <w:rFonts w:ascii="Calibri" w:hAnsi="Calibri"/>
                <w:bCs/>
                <w:lang w:eastAsia="ja-JP"/>
              </w:rPr>
              <w:t>2023 - 2030</w:t>
            </w:r>
          </w:p>
        </w:tc>
        <w:tc>
          <w:tcPr>
            <w:tcW w:w="1881" w:type="dxa"/>
            <w:shd w:val="clear" w:color="auto" w:fill="F2F2F2"/>
            <w:hideMark/>
          </w:tcPr>
          <w:p w14:paraId="36DB07AB"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hideMark/>
          </w:tcPr>
          <w:p w14:paraId="0BC1F262"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2A7C431D" w14:textId="77777777" w:rsidR="001A54E6" w:rsidRPr="00912996" w:rsidRDefault="001A54E6" w:rsidP="00394372">
            <w:pPr>
              <w:rPr>
                <w:rFonts w:ascii="Calibri" w:hAnsi="Calibri"/>
                <w:bCs/>
                <w:lang w:eastAsia="ja-JP"/>
              </w:rPr>
            </w:pPr>
            <w:r>
              <w:rPr>
                <w:rFonts w:ascii="Calibri" w:hAnsi="Calibri"/>
                <w:bCs/>
                <w:lang w:eastAsia="ja-JP"/>
              </w:rPr>
              <w:t>N/A</w:t>
            </w:r>
          </w:p>
        </w:tc>
      </w:tr>
      <w:tr w:rsidR="00AC2FFA" w:rsidRPr="00912996" w14:paraId="3E7D0461" w14:textId="77777777" w:rsidTr="00E2442E">
        <w:trPr>
          <w:gridAfter w:val="9"/>
          <w:wAfter w:w="15421" w:type="dxa"/>
          <w:trHeight w:val="804"/>
        </w:trPr>
        <w:tc>
          <w:tcPr>
            <w:tcW w:w="625" w:type="dxa"/>
            <w:shd w:val="clear" w:color="auto" w:fill="F2F2F2"/>
            <w:noWrap/>
            <w:hideMark/>
          </w:tcPr>
          <w:p w14:paraId="11ABD21F"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07A8B207" w14:textId="77777777" w:rsidR="001A54E6" w:rsidRPr="00912996" w:rsidRDefault="001A54E6" w:rsidP="00394372">
            <w:pPr>
              <w:rPr>
                <w:rFonts w:ascii="Calibri" w:hAnsi="Calibri"/>
                <w:bCs/>
                <w:lang w:eastAsia="ja-JP"/>
              </w:rPr>
            </w:pPr>
            <w:r w:rsidRPr="00912996">
              <w:rPr>
                <w:rFonts w:ascii="Calibri" w:hAnsi="Calibri"/>
                <w:bCs/>
                <w:lang w:eastAsia="ja-JP"/>
              </w:rPr>
              <w:t>Extindere sisteme de irigații în spațiile verzi publice din Sector - etapa II scuaruri, platbande, spații verzi din zona locuințelor colective, aliniamente stradale</w:t>
            </w:r>
          </w:p>
        </w:tc>
        <w:tc>
          <w:tcPr>
            <w:tcW w:w="1530" w:type="dxa"/>
            <w:shd w:val="clear" w:color="auto" w:fill="F2F2F2"/>
            <w:hideMark/>
          </w:tcPr>
          <w:p w14:paraId="6DC263F2" w14:textId="77777777" w:rsidR="001A54E6" w:rsidRPr="00912996" w:rsidRDefault="001A54E6" w:rsidP="00394372">
            <w:pPr>
              <w:rPr>
                <w:rFonts w:ascii="Calibri" w:hAnsi="Calibri"/>
                <w:bCs/>
                <w:lang w:eastAsia="ja-JP"/>
              </w:rPr>
            </w:pPr>
            <w:r w:rsidRPr="00912996">
              <w:rPr>
                <w:rFonts w:ascii="Calibri" w:hAnsi="Calibri"/>
                <w:bCs/>
                <w:lang w:eastAsia="ja-JP"/>
              </w:rPr>
              <w:t>PS2, ADP2</w:t>
            </w:r>
          </w:p>
        </w:tc>
        <w:tc>
          <w:tcPr>
            <w:tcW w:w="1620" w:type="dxa"/>
            <w:shd w:val="clear" w:color="auto" w:fill="F2F2F2"/>
            <w:hideMark/>
          </w:tcPr>
          <w:p w14:paraId="55813DF6" w14:textId="77777777" w:rsidR="001A54E6" w:rsidRPr="00912996" w:rsidRDefault="001A54E6" w:rsidP="00394372">
            <w:pPr>
              <w:rPr>
                <w:rFonts w:ascii="Calibri" w:hAnsi="Calibri"/>
                <w:bCs/>
                <w:lang w:eastAsia="ja-JP"/>
              </w:rPr>
            </w:pPr>
            <w:r>
              <w:rPr>
                <w:rFonts w:ascii="Calibri" w:hAnsi="Calibri"/>
                <w:bCs/>
                <w:lang w:eastAsia="ja-JP"/>
              </w:rPr>
              <w:t>În implementare</w:t>
            </w:r>
          </w:p>
        </w:tc>
        <w:tc>
          <w:tcPr>
            <w:tcW w:w="1260" w:type="dxa"/>
            <w:shd w:val="clear" w:color="auto" w:fill="F2F2F2"/>
            <w:hideMark/>
          </w:tcPr>
          <w:p w14:paraId="5A32FABB" w14:textId="77777777" w:rsidR="001A54E6" w:rsidRPr="00912996" w:rsidRDefault="001A54E6" w:rsidP="00394372">
            <w:pPr>
              <w:rPr>
                <w:rFonts w:ascii="Calibri" w:hAnsi="Calibri"/>
                <w:bCs/>
                <w:lang w:eastAsia="ja-JP"/>
              </w:rPr>
            </w:pPr>
            <w:r w:rsidRPr="00912996">
              <w:rPr>
                <w:rFonts w:ascii="Calibri" w:hAnsi="Calibri"/>
                <w:bCs/>
                <w:lang w:eastAsia="ja-JP"/>
              </w:rPr>
              <w:t>5,000,000</w:t>
            </w:r>
          </w:p>
        </w:tc>
        <w:tc>
          <w:tcPr>
            <w:tcW w:w="1260" w:type="dxa"/>
            <w:shd w:val="clear" w:color="auto" w:fill="F2F2F2"/>
            <w:hideMark/>
          </w:tcPr>
          <w:p w14:paraId="70C9B524" w14:textId="77777777" w:rsidR="001A54E6" w:rsidRPr="00912996" w:rsidRDefault="001A54E6" w:rsidP="00394372">
            <w:pPr>
              <w:rPr>
                <w:rFonts w:ascii="Calibri" w:hAnsi="Calibri"/>
                <w:bCs/>
                <w:lang w:eastAsia="ja-JP"/>
              </w:rPr>
            </w:pPr>
            <w:r w:rsidRPr="00912996">
              <w:rPr>
                <w:rFonts w:ascii="Calibri" w:hAnsi="Calibri"/>
                <w:bCs/>
                <w:lang w:eastAsia="ja-JP"/>
              </w:rPr>
              <w:t>1,020,408</w:t>
            </w:r>
          </w:p>
        </w:tc>
        <w:tc>
          <w:tcPr>
            <w:tcW w:w="1089" w:type="dxa"/>
            <w:shd w:val="clear" w:color="auto" w:fill="F2F2F2"/>
            <w:hideMark/>
          </w:tcPr>
          <w:p w14:paraId="053724C9" w14:textId="77777777" w:rsidR="001A54E6" w:rsidRPr="00912996" w:rsidRDefault="001A54E6" w:rsidP="00394372">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2F8AEC7E" w14:textId="29F427D8"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7F9F5D75"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1FD160D8" w14:textId="77777777" w:rsidR="001A54E6" w:rsidRPr="00912996" w:rsidRDefault="001A54E6" w:rsidP="00394372">
            <w:pPr>
              <w:rPr>
                <w:rFonts w:ascii="Calibri" w:hAnsi="Calibri"/>
                <w:bCs/>
                <w:lang w:eastAsia="ja-JP"/>
              </w:rPr>
            </w:pPr>
            <w:r w:rsidRPr="00912996">
              <w:rPr>
                <w:rFonts w:ascii="Calibri" w:hAnsi="Calibri"/>
                <w:bCs/>
                <w:lang w:eastAsia="ja-JP"/>
              </w:rPr>
              <w:t>SDLID S2 2016-2025, SIDU MB</w:t>
            </w:r>
          </w:p>
        </w:tc>
      </w:tr>
      <w:tr w:rsidR="00AC2FFA" w:rsidRPr="00912996" w14:paraId="6830FC9D" w14:textId="77777777" w:rsidTr="00E2442E">
        <w:trPr>
          <w:gridAfter w:val="9"/>
          <w:wAfter w:w="15421" w:type="dxa"/>
          <w:trHeight w:val="1068"/>
        </w:trPr>
        <w:tc>
          <w:tcPr>
            <w:tcW w:w="625" w:type="dxa"/>
            <w:shd w:val="clear" w:color="auto" w:fill="F2F2F2"/>
            <w:noWrap/>
            <w:hideMark/>
          </w:tcPr>
          <w:p w14:paraId="5D1DC2C5"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59C5EEFC" w14:textId="77777777" w:rsidR="001A54E6" w:rsidRPr="00912996" w:rsidRDefault="001A54E6" w:rsidP="00394372">
            <w:pPr>
              <w:rPr>
                <w:rFonts w:ascii="Calibri" w:hAnsi="Calibri"/>
                <w:bCs/>
                <w:lang w:eastAsia="ja-JP"/>
              </w:rPr>
            </w:pPr>
            <w:r w:rsidRPr="00912996">
              <w:rPr>
                <w:rFonts w:ascii="Calibri" w:hAnsi="Calibri"/>
                <w:bCs/>
                <w:lang w:eastAsia="ja-JP"/>
              </w:rPr>
              <w:br/>
              <w:t>Montarea de sisteme automate de irigare a spatiilor verzi din parcuri, aliniamente stradale</w:t>
            </w:r>
          </w:p>
        </w:tc>
        <w:tc>
          <w:tcPr>
            <w:tcW w:w="1530" w:type="dxa"/>
            <w:shd w:val="clear" w:color="auto" w:fill="F2F2F2"/>
            <w:hideMark/>
          </w:tcPr>
          <w:p w14:paraId="196E1736"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F7D280B" w14:textId="77777777" w:rsidR="001A54E6" w:rsidRPr="00912996" w:rsidRDefault="001A54E6" w:rsidP="00394372">
            <w:pPr>
              <w:rPr>
                <w:rFonts w:ascii="Calibri" w:hAnsi="Calibri"/>
                <w:bCs/>
                <w:lang w:eastAsia="ja-JP"/>
              </w:rPr>
            </w:pPr>
            <w:r>
              <w:rPr>
                <w:rFonts w:ascii="Calibri" w:hAnsi="Calibri"/>
                <w:bCs/>
                <w:lang w:eastAsia="ja-JP"/>
              </w:rPr>
              <w:t>În implementare</w:t>
            </w:r>
          </w:p>
        </w:tc>
        <w:tc>
          <w:tcPr>
            <w:tcW w:w="1260" w:type="dxa"/>
            <w:shd w:val="clear" w:color="auto" w:fill="F2F2F2"/>
            <w:noWrap/>
            <w:hideMark/>
          </w:tcPr>
          <w:p w14:paraId="6F75F507" w14:textId="77777777" w:rsidR="001A54E6" w:rsidRPr="00912996" w:rsidRDefault="001A54E6" w:rsidP="00394372">
            <w:pPr>
              <w:rPr>
                <w:rFonts w:ascii="Calibri" w:hAnsi="Calibri"/>
                <w:bCs/>
                <w:lang w:eastAsia="ja-JP"/>
              </w:rPr>
            </w:pPr>
            <w:r w:rsidRPr="00912996">
              <w:rPr>
                <w:rFonts w:ascii="Calibri" w:hAnsi="Calibri"/>
                <w:bCs/>
                <w:lang w:eastAsia="ja-JP"/>
              </w:rPr>
              <w:t>9,800,000</w:t>
            </w:r>
          </w:p>
        </w:tc>
        <w:tc>
          <w:tcPr>
            <w:tcW w:w="1260" w:type="dxa"/>
            <w:shd w:val="clear" w:color="auto" w:fill="F2F2F2"/>
            <w:noWrap/>
            <w:hideMark/>
          </w:tcPr>
          <w:p w14:paraId="1B45EEE1" w14:textId="77777777" w:rsidR="001A54E6" w:rsidRPr="00912996" w:rsidRDefault="001A54E6" w:rsidP="00394372">
            <w:pPr>
              <w:rPr>
                <w:rFonts w:ascii="Calibri" w:hAnsi="Calibri"/>
                <w:bCs/>
                <w:lang w:eastAsia="ja-JP"/>
              </w:rPr>
            </w:pPr>
            <w:r w:rsidRPr="00912996">
              <w:rPr>
                <w:rFonts w:ascii="Calibri" w:hAnsi="Calibri"/>
                <w:bCs/>
                <w:lang w:eastAsia="ja-JP"/>
              </w:rPr>
              <w:t>2,000,000</w:t>
            </w:r>
          </w:p>
        </w:tc>
        <w:tc>
          <w:tcPr>
            <w:tcW w:w="1089" w:type="dxa"/>
            <w:shd w:val="clear" w:color="auto" w:fill="F2F2F2"/>
            <w:noWrap/>
            <w:hideMark/>
          </w:tcPr>
          <w:p w14:paraId="64E9DF6A"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hideMark/>
          </w:tcPr>
          <w:p w14:paraId="7B2CCFC1" w14:textId="16A945CA"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012B0EB0"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6BDF14E1"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310F0743" w14:textId="77777777" w:rsidTr="00E2442E">
        <w:trPr>
          <w:gridAfter w:val="9"/>
          <w:wAfter w:w="15421" w:type="dxa"/>
          <w:trHeight w:val="804"/>
        </w:trPr>
        <w:tc>
          <w:tcPr>
            <w:tcW w:w="625" w:type="dxa"/>
            <w:shd w:val="clear" w:color="auto" w:fill="F2F2F2"/>
            <w:noWrap/>
            <w:hideMark/>
          </w:tcPr>
          <w:p w14:paraId="3A580899"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5E4EAF32" w14:textId="77777777" w:rsidR="001A54E6" w:rsidRPr="00912996" w:rsidRDefault="001A54E6" w:rsidP="00394372">
            <w:pPr>
              <w:rPr>
                <w:rFonts w:ascii="Calibri" w:hAnsi="Calibri"/>
                <w:bCs/>
                <w:lang w:eastAsia="ja-JP"/>
              </w:rPr>
            </w:pPr>
            <w:r w:rsidRPr="00912996">
              <w:rPr>
                <w:rFonts w:ascii="Calibri" w:hAnsi="Calibri"/>
                <w:bCs/>
                <w:lang w:eastAsia="ja-JP"/>
              </w:rPr>
              <w:t>Execuție sistem de irigat Bulevardele Basarabia, Chișinău și Morarilor</w:t>
            </w:r>
          </w:p>
        </w:tc>
        <w:tc>
          <w:tcPr>
            <w:tcW w:w="1530" w:type="dxa"/>
            <w:shd w:val="clear" w:color="auto" w:fill="F2F2F2"/>
            <w:hideMark/>
          </w:tcPr>
          <w:p w14:paraId="0BA3F44C" w14:textId="77777777" w:rsidR="001A54E6" w:rsidRPr="00912996" w:rsidRDefault="001A54E6" w:rsidP="00394372">
            <w:pPr>
              <w:rPr>
                <w:rFonts w:ascii="Calibri" w:hAnsi="Calibri"/>
                <w:bCs/>
                <w:lang w:eastAsia="ja-JP"/>
              </w:rPr>
            </w:pPr>
            <w:r w:rsidRPr="00912996">
              <w:rPr>
                <w:rFonts w:ascii="Calibri" w:hAnsi="Calibri"/>
                <w:bCs/>
                <w:lang w:eastAsia="ja-JP"/>
              </w:rPr>
              <w:t>PS2, ADPS2</w:t>
            </w:r>
          </w:p>
        </w:tc>
        <w:tc>
          <w:tcPr>
            <w:tcW w:w="1620" w:type="dxa"/>
            <w:shd w:val="clear" w:color="auto" w:fill="F2F2F2"/>
            <w:hideMark/>
          </w:tcPr>
          <w:p w14:paraId="2BDFC700" w14:textId="77777777" w:rsidR="001A54E6" w:rsidRPr="00912996" w:rsidRDefault="001A54E6" w:rsidP="00394372">
            <w:pPr>
              <w:rPr>
                <w:rFonts w:ascii="Calibri" w:hAnsi="Calibri"/>
                <w:bCs/>
                <w:lang w:eastAsia="ja-JP"/>
              </w:rPr>
            </w:pPr>
            <w:r>
              <w:rPr>
                <w:rFonts w:ascii="Calibri" w:hAnsi="Calibri"/>
                <w:bCs/>
                <w:lang w:eastAsia="ja-JP"/>
              </w:rPr>
              <w:t>În implementare 2022-2023</w:t>
            </w:r>
          </w:p>
        </w:tc>
        <w:tc>
          <w:tcPr>
            <w:tcW w:w="1260" w:type="dxa"/>
            <w:shd w:val="clear" w:color="auto" w:fill="F2F2F2"/>
            <w:hideMark/>
          </w:tcPr>
          <w:p w14:paraId="42E2181A" w14:textId="77777777" w:rsidR="001A54E6" w:rsidRPr="00912996" w:rsidRDefault="001A54E6" w:rsidP="00394372">
            <w:pPr>
              <w:rPr>
                <w:rFonts w:ascii="Calibri" w:hAnsi="Calibri"/>
                <w:bCs/>
                <w:lang w:eastAsia="ja-JP"/>
              </w:rPr>
            </w:pPr>
            <w:r w:rsidRPr="00912996">
              <w:rPr>
                <w:rFonts w:ascii="Calibri" w:hAnsi="Calibri"/>
                <w:bCs/>
                <w:lang w:eastAsia="ja-JP"/>
              </w:rPr>
              <w:t>1,962,976</w:t>
            </w:r>
          </w:p>
        </w:tc>
        <w:tc>
          <w:tcPr>
            <w:tcW w:w="1260" w:type="dxa"/>
            <w:shd w:val="clear" w:color="auto" w:fill="F2F2F2"/>
            <w:hideMark/>
          </w:tcPr>
          <w:p w14:paraId="76C373C2" w14:textId="77777777" w:rsidR="001A54E6" w:rsidRPr="00912996" w:rsidRDefault="001A54E6" w:rsidP="00394372">
            <w:pPr>
              <w:rPr>
                <w:rFonts w:ascii="Calibri" w:hAnsi="Calibri"/>
                <w:bCs/>
                <w:lang w:eastAsia="ja-JP"/>
              </w:rPr>
            </w:pPr>
            <w:r w:rsidRPr="00912996">
              <w:rPr>
                <w:rFonts w:ascii="Calibri" w:hAnsi="Calibri"/>
                <w:bCs/>
                <w:lang w:eastAsia="ja-JP"/>
              </w:rPr>
              <w:t>400,607</w:t>
            </w:r>
          </w:p>
        </w:tc>
        <w:tc>
          <w:tcPr>
            <w:tcW w:w="1089" w:type="dxa"/>
            <w:shd w:val="clear" w:color="auto" w:fill="F2F2F2"/>
            <w:hideMark/>
          </w:tcPr>
          <w:p w14:paraId="433CE345" w14:textId="77777777" w:rsidR="001A54E6" w:rsidRPr="00912996" w:rsidRDefault="001A54E6" w:rsidP="00394372">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11E7A968" w14:textId="2DE449E8" w:rsidR="001A54E6" w:rsidRPr="00912996" w:rsidRDefault="001A54E6" w:rsidP="00394372">
            <w:pPr>
              <w:rPr>
                <w:rFonts w:ascii="Calibri" w:hAnsi="Calibri"/>
                <w:bCs/>
                <w:lang w:eastAsia="ja-JP"/>
              </w:rPr>
            </w:pPr>
            <w:r w:rsidRPr="00912996">
              <w:rPr>
                <w:rFonts w:ascii="Calibri" w:hAnsi="Calibri"/>
                <w:bCs/>
                <w:lang w:eastAsia="ja-JP"/>
              </w:rPr>
              <w:t>POR BI 2021-2027 P3, Bugetul local, Alte surse de finanțare</w:t>
            </w:r>
          </w:p>
        </w:tc>
        <w:tc>
          <w:tcPr>
            <w:tcW w:w="1260" w:type="dxa"/>
            <w:shd w:val="clear" w:color="auto" w:fill="F2F2F2"/>
            <w:hideMark/>
          </w:tcPr>
          <w:p w14:paraId="7F5ABE5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5745EFD8"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72412586" w14:textId="77777777" w:rsidTr="00D22447">
        <w:trPr>
          <w:gridAfter w:val="9"/>
          <w:wAfter w:w="15421" w:type="dxa"/>
          <w:trHeight w:val="1227"/>
        </w:trPr>
        <w:tc>
          <w:tcPr>
            <w:tcW w:w="625" w:type="dxa"/>
            <w:shd w:val="clear" w:color="auto" w:fill="F2F2F2"/>
            <w:noWrap/>
            <w:hideMark/>
          </w:tcPr>
          <w:p w14:paraId="28966E5B"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2E146ACF" w14:textId="77777777" w:rsidR="001A54E6" w:rsidRPr="00912996" w:rsidRDefault="001A54E6" w:rsidP="00394372">
            <w:pPr>
              <w:rPr>
                <w:rFonts w:ascii="Calibri" w:hAnsi="Calibri"/>
                <w:bCs/>
                <w:lang w:eastAsia="ja-JP"/>
              </w:rPr>
            </w:pPr>
            <w:r w:rsidRPr="00912996">
              <w:rPr>
                <w:rFonts w:ascii="Calibri" w:hAnsi="Calibri"/>
                <w:bCs/>
                <w:lang w:eastAsia="ja-JP"/>
              </w:rPr>
              <w:t>Lucrări de construcții de canalizare ale apei fluviale - sediu DGVBL S2, Șos. Morarilor nr. 6</w:t>
            </w:r>
          </w:p>
        </w:tc>
        <w:tc>
          <w:tcPr>
            <w:tcW w:w="1530" w:type="dxa"/>
            <w:shd w:val="clear" w:color="auto" w:fill="F2F2F2"/>
            <w:hideMark/>
          </w:tcPr>
          <w:p w14:paraId="60524131" w14:textId="77777777" w:rsidR="001A54E6" w:rsidRPr="00912996" w:rsidRDefault="001A54E6" w:rsidP="00394372">
            <w:pPr>
              <w:rPr>
                <w:rFonts w:ascii="Calibri" w:hAnsi="Calibri"/>
                <w:bCs/>
                <w:lang w:eastAsia="ja-JP"/>
              </w:rPr>
            </w:pPr>
            <w:r w:rsidRPr="00912996">
              <w:rPr>
                <w:rFonts w:ascii="Calibri" w:hAnsi="Calibri"/>
                <w:bCs/>
                <w:lang w:eastAsia="ja-JP"/>
              </w:rPr>
              <w:t>DGVBL S2</w:t>
            </w:r>
          </w:p>
        </w:tc>
        <w:tc>
          <w:tcPr>
            <w:tcW w:w="1620" w:type="dxa"/>
            <w:shd w:val="clear" w:color="auto" w:fill="F2F2F2"/>
            <w:hideMark/>
          </w:tcPr>
          <w:p w14:paraId="4E9BE545" w14:textId="77777777" w:rsidR="001A54E6" w:rsidRPr="00912996" w:rsidRDefault="001A54E6" w:rsidP="00394372">
            <w:pPr>
              <w:rPr>
                <w:rFonts w:ascii="Calibri" w:hAnsi="Calibri"/>
                <w:bCs/>
                <w:lang w:eastAsia="ja-JP"/>
              </w:rPr>
            </w:pPr>
            <w:r>
              <w:rPr>
                <w:rFonts w:ascii="Calibri" w:hAnsi="Calibri"/>
                <w:bCs/>
                <w:lang w:eastAsia="ja-JP"/>
              </w:rPr>
              <w:t>Finalizat</w:t>
            </w:r>
          </w:p>
        </w:tc>
        <w:tc>
          <w:tcPr>
            <w:tcW w:w="1260" w:type="dxa"/>
            <w:shd w:val="clear" w:color="auto" w:fill="F2F2F2"/>
            <w:hideMark/>
          </w:tcPr>
          <w:p w14:paraId="4DB75431" w14:textId="77777777" w:rsidR="001A54E6" w:rsidRPr="00912996" w:rsidRDefault="001A54E6" w:rsidP="00394372">
            <w:pPr>
              <w:rPr>
                <w:rFonts w:ascii="Calibri" w:hAnsi="Calibri"/>
                <w:bCs/>
                <w:lang w:eastAsia="ja-JP"/>
              </w:rPr>
            </w:pPr>
            <w:r w:rsidRPr="00912996">
              <w:rPr>
                <w:rFonts w:ascii="Calibri" w:hAnsi="Calibri"/>
                <w:bCs/>
                <w:lang w:eastAsia="ja-JP"/>
              </w:rPr>
              <w:t>72,828</w:t>
            </w:r>
          </w:p>
        </w:tc>
        <w:tc>
          <w:tcPr>
            <w:tcW w:w="1260" w:type="dxa"/>
            <w:shd w:val="clear" w:color="auto" w:fill="F2F2F2"/>
            <w:hideMark/>
          </w:tcPr>
          <w:p w14:paraId="0D25CAA0" w14:textId="77777777" w:rsidR="001A54E6" w:rsidRPr="00912996" w:rsidRDefault="001A54E6" w:rsidP="00394372">
            <w:pPr>
              <w:rPr>
                <w:rFonts w:ascii="Calibri" w:hAnsi="Calibri"/>
                <w:bCs/>
                <w:lang w:eastAsia="ja-JP"/>
              </w:rPr>
            </w:pPr>
            <w:r w:rsidRPr="00912996">
              <w:rPr>
                <w:rFonts w:ascii="Calibri" w:hAnsi="Calibri"/>
                <w:bCs/>
                <w:lang w:eastAsia="ja-JP"/>
              </w:rPr>
              <w:t>14,863</w:t>
            </w:r>
          </w:p>
        </w:tc>
        <w:tc>
          <w:tcPr>
            <w:tcW w:w="1089" w:type="dxa"/>
            <w:shd w:val="clear" w:color="auto" w:fill="F2F2F2"/>
            <w:hideMark/>
          </w:tcPr>
          <w:p w14:paraId="7DDB0209" w14:textId="77777777" w:rsidR="001A54E6" w:rsidRPr="00912996" w:rsidRDefault="001A54E6" w:rsidP="00394372">
            <w:pPr>
              <w:rPr>
                <w:rFonts w:ascii="Calibri" w:hAnsi="Calibri"/>
                <w:bCs/>
                <w:lang w:eastAsia="ja-JP"/>
              </w:rPr>
            </w:pPr>
            <w:r w:rsidRPr="00912996">
              <w:rPr>
                <w:rFonts w:ascii="Calibri" w:hAnsi="Calibri"/>
                <w:bCs/>
                <w:lang w:eastAsia="ja-JP"/>
              </w:rPr>
              <w:t>2022 - 2023</w:t>
            </w:r>
          </w:p>
        </w:tc>
        <w:tc>
          <w:tcPr>
            <w:tcW w:w="1881" w:type="dxa"/>
            <w:shd w:val="clear" w:color="auto" w:fill="F2F2F2"/>
            <w:hideMark/>
          </w:tcPr>
          <w:p w14:paraId="55EA1006"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0F75A0A8"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2EA104C7" w14:textId="77777777" w:rsidR="001A54E6" w:rsidRPr="00912996" w:rsidRDefault="001A54E6" w:rsidP="00394372">
            <w:pPr>
              <w:rPr>
                <w:rFonts w:ascii="Calibri" w:hAnsi="Calibri"/>
                <w:bCs/>
                <w:lang w:eastAsia="ja-JP"/>
              </w:rPr>
            </w:pPr>
            <w:r w:rsidRPr="00912996">
              <w:rPr>
                <w:rFonts w:ascii="Calibri" w:hAnsi="Calibri"/>
                <w:bCs/>
                <w:lang w:eastAsia="ja-JP"/>
              </w:rPr>
              <w:t>DGVBL S2</w:t>
            </w:r>
          </w:p>
        </w:tc>
      </w:tr>
      <w:tr w:rsidR="001A54E6" w:rsidRPr="00912996" w14:paraId="46DBA9D9" w14:textId="77777777" w:rsidTr="00AC2FFA">
        <w:trPr>
          <w:gridAfter w:val="9"/>
          <w:wAfter w:w="15421" w:type="dxa"/>
          <w:trHeight w:val="276"/>
        </w:trPr>
        <w:tc>
          <w:tcPr>
            <w:tcW w:w="14215" w:type="dxa"/>
            <w:gridSpan w:val="10"/>
            <w:shd w:val="clear" w:color="auto" w:fill="BBD9A0"/>
            <w:noWrap/>
            <w:hideMark/>
          </w:tcPr>
          <w:p w14:paraId="484980B6" w14:textId="77777777" w:rsidR="001A54E6" w:rsidRPr="00912996" w:rsidRDefault="001A54E6" w:rsidP="005D64AB">
            <w:pPr>
              <w:jc w:val="center"/>
              <w:rPr>
                <w:rFonts w:ascii="Calibri" w:hAnsi="Calibri"/>
                <w:b/>
                <w:bCs/>
                <w:color w:val="FFFFFF"/>
                <w:lang w:eastAsia="ja-JP"/>
              </w:rPr>
            </w:pPr>
            <w:r w:rsidRPr="00912996">
              <w:rPr>
                <w:rFonts w:ascii="Calibri" w:hAnsi="Calibri"/>
                <w:b/>
                <w:bCs/>
                <w:color w:val="FFFFFF"/>
                <w:lang w:eastAsia="ja-JP"/>
              </w:rPr>
              <w:t>D3.3.2. Dezvoltarea economiei circulare printr-un sistem eficient și inteligent de gestiune a deșeurilor menajere la nivelul Sectorului</w:t>
            </w:r>
          </w:p>
        </w:tc>
      </w:tr>
      <w:tr w:rsidR="00AC2FFA" w:rsidRPr="00912996" w14:paraId="2E53330C" w14:textId="77777777" w:rsidTr="00E2442E">
        <w:trPr>
          <w:gridAfter w:val="9"/>
          <w:wAfter w:w="15421" w:type="dxa"/>
          <w:trHeight w:val="804"/>
        </w:trPr>
        <w:tc>
          <w:tcPr>
            <w:tcW w:w="625" w:type="dxa"/>
            <w:shd w:val="clear" w:color="auto" w:fill="F2F2F2"/>
            <w:noWrap/>
            <w:hideMark/>
          </w:tcPr>
          <w:p w14:paraId="740FBA9A"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1A769ECF" w14:textId="77777777" w:rsidR="001A54E6" w:rsidRPr="00912996" w:rsidRDefault="001A54E6" w:rsidP="00394372">
            <w:pPr>
              <w:rPr>
                <w:rFonts w:ascii="Calibri" w:hAnsi="Calibri"/>
                <w:bCs/>
                <w:lang w:eastAsia="ja-JP"/>
              </w:rPr>
            </w:pPr>
            <w:r w:rsidRPr="00912996">
              <w:rPr>
                <w:rFonts w:ascii="Calibri" w:hAnsi="Calibri"/>
                <w:bCs/>
                <w:lang w:eastAsia="ja-JP"/>
              </w:rPr>
              <w:t>Colectare selectivă a deșeurilor la nivelul Sectorului 2 - proiect de conștientizare a populației cu privire la importanța colectării selective</w:t>
            </w:r>
          </w:p>
        </w:tc>
        <w:tc>
          <w:tcPr>
            <w:tcW w:w="1530" w:type="dxa"/>
            <w:shd w:val="clear" w:color="auto" w:fill="F2F2F2"/>
            <w:hideMark/>
          </w:tcPr>
          <w:p w14:paraId="53B71E39" w14:textId="77777777" w:rsidR="001A54E6" w:rsidRPr="00912996" w:rsidRDefault="001A54E6" w:rsidP="00394372">
            <w:pPr>
              <w:rPr>
                <w:rFonts w:ascii="Calibri" w:hAnsi="Calibri"/>
                <w:bCs/>
                <w:lang w:eastAsia="ja-JP"/>
              </w:rPr>
            </w:pPr>
            <w:r w:rsidRPr="00912996">
              <w:rPr>
                <w:rFonts w:ascii="Calibri" w:hAnsi="Calibri"/>
                <w:bCs/>
                <w:lang w:eastAsia="ja-JP"/>
              </w:rPr>
              <w:t>PS2, ONG-uri, Entități de economie socială</w:t>
            </w:r>
          </w:p>
        </w:tc>
        <w:tc>
          <w:tcPr>
            <w:tcW w:w="1620" w:type="dxa"/>
            <w:shd w:val="clear" w:color="auto" w:fill="F2F2F2"/>
            <w:noWrap/>
            <w:hideMark/>
          </w:tcPr>
          <w:p w14:paraId="330F654C" w14:textId="77777777" w:rsidR="001A54E6" w:rsidRPr="00912996" w:rsidRDefault="001A54E6" w:rsidP="00394372">
            <w:pPr>
              <w:rPr>
                <w:rFonts w:ascii="Calibri" w:hAnsi="Calibri"/>
                <w:bCs/>
                <w:lang w:eastAsia="ja-JP"/>
              </w:rPr>
            </w:pPr>
            <w:r w:rsidRPr="00912996">
              <w:rPr>
                <w:rFonts w:ascii="Calibri" w:hAnsi="Calibri"/>
                <w:bCs/>
                <w:lang w:eastAsia="ja-JP"/>
              </w:rPr>
              <w:t>Fișă de proiect</w:t>
            </w:r>
          </w:p>
        </w:tc>
        <w:tc>
          <w:tcPr>
            <w:tcW w:w="1260" w:type="dxa"/>
            <w:shd w:val="clear" w:color="auto" w:fill="F2F2F2"/>
            <w:noWrap/>
            <w:hideMark/>
          </w:tcPr>
          <w:p w14:paraId="70ADE05C" w14:textId="77777777" w:rsidR="001A54E6" w:rsidRPr="00912996" w:rsidRDefault="001A54E6" w:rsidP="00394372">
            <w:pPr>
              <w:rPr>
                <w:rFonts w:ascii="Calibri" w:hAnsi="Calibri"/>
                <w:bCs/>
                <w:lang w:eastAsia="ja-JP"/>
              </w:rPr>
            </w:pPr>
            <w:r w:rsidRPr="00912996">
              <w:rPr>
                <w:rFonts w:ascii="Calibri" w:hAnsi="Calibri"/>
                <w:bCs/>
                <w:lang w:eastAsia="ja-JP"/>
              </w:rPr>
              <w:t>980,000</w:t>
            </w:r>
          </w:p>
        </w:tc>
        <w:tc>
          <w:tcPr>
            <w:tcW w:w="1260" w:type="dxa"/>
            <w:shd w:val="clear" w:color="auto" w:fill="F2F2F2"/>
            <w:noWrap/>
            <w:hideMark/>
          </w:tcPr>
          <w:p w14:paraId="59851BC3" w14:textId="77777777" w:rsidR="001A54E6" w:rsidRPr="00912996" w:rsidRDefault="001A54E6" w:rsidP="00394372">
            <w:pPr>
              <w:rPr>
                <w:rFonts w:ascii="Calibri" w:hAnsi="Calibri"/>
                <w:bCs/>
                <w:lang w:eastAsia="ja-JP"/>
              </w:rPr>
            </w:pPr>
            <w:r w:rsidRPr="00912996">
              <w:rPr>
                <w:rFonts w:ascii="Calibri" w:hAnsi="Calibri"/>
                <w:bCs/>
                <w:lang w:eastAsia="ja-JP"/>
              </w:rPr>
              <w:t>200,000</w:t>
            </w:r>
          </w:p>
        </w:tc>
        <w:tc>
          <w:tcPr>
            <w:tcW w:w="1089" w:type="dxa"/>
            <w:shd w:val="clear" w:color="auto" w:fill="F2F2F2"/>
            <w:noWrap/>
            <w:hideMark/>
          </w:tcPr>
          <w:p w14:paraId="6286E8DF" w14:textId="77777777" w:rsidR="001A54E6" w:rsidRPr="00912996" w:rsidRDefault="001A54E6" w:rsidP="00394372">
            <w:pPr>
              <w:rPr>
                <w:rFonts w:ascii="Calibri" w:hAnsi="Calibri"/>
                <w:bCs/>
                <w:lang w:eastAsia="ja-JP"/>
              </w:rPr>
            </w:pPr>
            <w:r w:rsidRPr="00912996">
              <w:rPr>
                <w:rFonts w:ascii="Calibri" w:hAnsi="Calibri"/>
                <w:bCs/>
                <w:lang w:eastAsia="ja-JP"/>
              </w:rPr>
              <w:t>2022 - 2027</w:t>
            </w:r>
          </w:p>
        </w:tc>
        <w:tc>
          <w:tcPr>
            <w:tcW w:w="1881" w:type="dxa"/>
            <w:shd w:val="clear" w:color="auto" w:fill="F2F2F2"/>
            <w:hideMark/>
          </w:tcPr>
          <w:p w14:paraId="6CA09577"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hideMark/>
          </w:tcPr>
          <w:p w14:paraId="6792E9FE"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0A27A78B"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66A366CD" w14:textId="77777777" w:rsidTr="00E2442E">
        <w:trPr>
          <w:gridAfter w:val="9"/>
          <w:wAfter w:w="15421" w:type="dxa"/>
          <w:trHeight w:val="804"/>
        </w:trPr>
        <w:tc>
          <w:tcPr>
            <w:tcW w:w="625" w:type="dxa"/>
            <w:shd w:val="clear" w:color="auto" w:fill="F2F2F2"/>
            <w:noWrap/>
            <w:hideMark/>
          </w:tcPr>
          <w:p w14:paraId="48DA2C00"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74D6D144" w14:textId="77777777" w:rsidR="001A54E6" w:rsidRPr="00912996" w:rsidRDefault="001A54E6" w:rsidP="00394372">
            <w:pPr>
              <w:rPr>
                <w:rFonts w:ascii="Calibri" w:hAnsi="Calibri"/>
                <w:bCs/>
                <w:lang w:eastAsia="ja-JP"/>
              </w:rPr>
            </w:pPr>
            <w:r w:rsidRPr="00912996">
              <w:rPr>
                <w:rFonts w:ascii="Calibri" w:hAnsi="Calibri"/>
                <w:bCs/>
                <w:lang w:eastAsia="ja-JP"/>
              </w:rPr>
              <w:t>Sistem de management integrat al deșeurilor la nivelul sectorului 2 (inclusiv extindere sistem de colectare separată a deșeurilor reciclabile, pe 3 fracții)</w:t>
            </w:r>
          </w:p>
        </w:tc>
        <w:tc>
          <w:tcPr>
            <w:tcW w:w="1530" w:type="dxa"/>
            <w:shd w:val="clear" w:color="auto" w:fill="F2F2F2"/>
            <w:hideMark/>
          </w:tcPr>
          <w:p w14:paraId="702712AA"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603F26E" w14:textId="77777777" w:rsidR="001A54E6" w:rsidRPr="00912996" w:rsidRDefault="001A54E6" w:rsidP="00394372">
            <w:pPr>
              <w:rPr>
                <w:rFonts w:ascii="Calibri" w:hAnsi="Calibri"/>
                <w:bCs/>
                <w:lang w:eastAsia="ja-JP"/>
              </w:rPr>
            </w:pPr>
            <w:r w:rsidRPr="00912996">
              <w:rPr>
                <w:rFonts w:ascii="Calibri" w:hAnsi="Calibri"/>
                <w:bCs/>
                <w:lang w:eastAsia="ja-JP"/>
              </w:rPr>
              <w:t>SF</w:t>
            </w:r>
          </w:p>
        </w:tc>
        <w:tc>
          <w:tcPr>
            <w:tcW w:w="1260" w:type="dxa"/>
            <w:shd w:val="clear" w:color="auto" w:fill="F2F2F2"/>
            <w:noWrap/>
            <w:hideMark/>
          </w:tcPr>
          <w:p w14:paraId="00782461" w14:textId="77777777" w:rsidR="001A54E6" w:rsidRPr="00912996" w:rsidRDefault="001A54E6" w:rsidP="00394372">
            <w:pPr>
              <w:rPr>
                <w:rFonts w:ascii="Calibri" w:hAnsi="Calibri"/>
                <w:bCs/>
                <w:lang w:eastAsia="ja-JP"/>
              </w:rPr>
            </w:pPr>
            <w:r w:rsidRPr="00912996">
              <w:rPr>
                <w:rFonts w:ascii="Calibri" w:hAnsi="Calibri"/>
                <w:bCs/>
                <w:lang w:eastAsia="ja-JP"/>
              </w:rPr>
              <w:t>98,000,000</w:t>
            </w:r>
          </w:p>
        </w:tc>
        <w:tc>
          <w:tcPr>
            <w:tcW w:w="1260" w:type="dxa"/>
            <w:shd w:val="clear" w:color="auto" w:fill="F2F2F2"/>
            <w:noWrap/>
            <w:hideMark/>
          </w:tcPr>
          <w:p w14:paraId="1C185C7B" w14:textId="77777777" w:rsidR="001A54E6" w:rsidRPr="00912996" w:rsidRDefault="001A54E6" w:rsidP="00394372">
            <w:pPr>
              <w:rPr>
                <w:rFonts w:ascii="Calibri" w:hAnsi="Calibri"/>
                <w:bCs/>
                <w:lang w:eastAsia="ja-JP"/>
              </w:rPr>
            </w:pPr>
            <w:r w:rsidRPr="00912996">
              <w:rPr>
                <w:rFonts w:ascii="Calibri" w:hAnsi="Calibri"/>
                <w:bCs/>
                <w:lang w:eastAsia="ja-JP"/>
              </w:rPr>
              <w:t>20,000,000</w:t>
            </w:r>
          </w:p>
        </w:tc>
        <w:tc>
          <w:tcPr>
            <w:tcW w:w="1089" w:type="dxa"/>
            <w:shd w:val="clear" w:color="auto" w:fill="F2F2F2"/>
            <w:noWrap/>
            <w:hideMark/>
          </w:tcPr>
          <w:p w14:paraId="6DA099D9" w14:textId="77777777" w:rsidR="001A54E6" w:rsidRPr="00912996" w:rsidRDefault="001A54E6" w:rsidP="00394372">
            <w:pPr>
              <w:rPr>
                <w:rFonts w:ascii="Calibri" w:hAnsi="Calibri"/>
                <w:bCs/>
                <w:lang w:eastAsia="ja-JP"/>
              </w:rPr>
            </w:pPr>
            <w:r w:rsidRPr="00912996">
              <w:rPr>
                <w:rFonts w:ascii="Calibri" w:hAnsi="Calibri"/>
                <w:bCs/>
                <w:lang w:eastAsia="ja-JP"/>
              </w:rPr>
              <w:t>2022 - 2027</w:t>
            </w:r>
          </w:p>
        </w:tc>
        <w:tc>
          <w:tcPr>
            <w:tcW w:w="1881" w:type="dxa"/>
            <w:shd w:val="clear" w:color="auto" w:fill="F2F2F2"/>
            <w:hideMark/>
          </w:tcPr>
          <w:p w14:paraId="453B03E5"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hideMark/>
          </w:tcPr>
          <w:p w14:paraId="04113333"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22E5D830" w14:textId="4A7B678D" w:rsidR="001A54E6" w:rsidRPr="00912996" w:rsidRDefault="001A54E6" w:rsidP="00394372">
            <w:pPr>
              <w:rPr>
                <w:rFonts w:ascii="Calibri" w:hAnsi="Calibri"/>
                <w:bCs/>
                <w:lang w:eastAsia="ja-JP"/>
              </w:rPr>
            </w:pPr>
            <w:r w:rsidRPr="00912996">
              <w:rPr>
                <w:rFonts w:ascii="Calibri" w:hAnsi="Calibri"/>
                <w:bCs/>
                <w:lang w:eastAsia="ja-JP"/>
              </w:rPr>
              <w:t>SIDU MB, PGD Mun</w:t>
            </w:r>
            <w:r w:rsidR="005D64AB">
              <w:rPr>
                <w:rFonts w:ascii="Calibri" w:hAnsi="Calibri"/>
                <w:bCs/>
                <w:lang w:eastAsia="ja-JP"/>
              </w:rPr>
              <w:t>icipiul</w:t>
            </w:r>
            <w:r w:rsidRPr="00912996">
              <w:rPr>
                <w:rFonts w:ascii="Calibri" w:hAnsi="Calibri"/>
                <w:bCs/>
                <w:lang w:eastAsia="ja-JP"/>
              </w:rPr>
              <w:t xml:space="preserve"> Buc 2020-2025</w:t>
            </w:r>
          </w:p>
        </w:tc>
      </w:tr>
      <w:tr w:rsidR="00AC2FFA" w:rsidRPr="00912996" w14:paraId="7820ED0C" w14:textId="77777777" w:rsidTr="00E2442E">
        <w:trPr>
          <w:gridAfter w:val="9"/>
          <w:wAfter w:w="15421" w:type="dxa"/>
          <w:trHeight w:val="540"/>
        </w:trPr>
        <w:tc>
          <w:tcPr>
            <w:tcW w:w="625" w:type="dxa"/>
            <w:shd w:val="clear" w:color="auto" w:fill="F2F2F2"/>
            <w:noWrap/>
            <w:hideMark/>
          </w:tcPr>
          <w:p w14:paraId="25ABBD9C"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4895DC2B" w14:textId="77777777" w:rsidR="001A54E6" w:rsidRPr="00912996" w:rsidRDefault="001A54E6" w:rsidP="00394372">
            <w:pPr>
              <w:rPr>
                <w:rFonts w:ascii="Calibri" w:hAnsi="Calibri"/>
                <w:bCs/>
                <w:lang w:eastAsia="ja-JP"/>
              </w:rPr>
            </w:pPr>
            <w:r w:rsidRPr="00912996">
              <w:rPr>
                <w:rFonts w:ascii="Calibri" w:hAnsi="Calibri"/>
                <w:bCs/>
                <w:lang w:eastAsia="ja-JP"/>
              </w:rPr>
              <w:t>Extinderea sistemului de colectare separată a biodeșeurilor din parcuri și grădini publice</w:t>
            </w:r>
          </w:p>
        </w:tc>
        <w:tc>
          <w:tcPr>
            <w:tcW w:w="1530" w:type="dxa"/>
            <w:shd w:val="clear" w:color="auto" w:fill="F2F2F2"/>
            <w:hideMark/>
          </w:tcPr>
          <w:p w14:paraId="382C36F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13445C7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09B514A"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260" w:type="dxa"/>
            <w:shd w:val="clear" w:color="auto" w:fill="F2F2F2"/>
            <w:noWrap/>
            <w:hideMark/>
          </w:tcPr>
          <w:p w14:paraId="218A4F7D"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089" w:type="dxa"/>
            <w:shd w:val="clear" w:color="auto" w:fill="F2F2F2"/>
            <w:noWrap/>
            <w:hideMark/>
          </w:tcPr>
          <w:p w14:paraId="52182C73"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1881" w:type="dxa"/>
            <w:shd w:val="clear" w:color="auto" w:fill="F2F2F2"/>
            <w:hideMark/>
          </w:tcPr>
          <w:p w14:paraId="046E20E8"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hideMark/>
          </w:tcPr>
          <w:p w14:paraId="0FF111B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2E4069A0" w14:textId="26DB0FB8" w:rsidR="001A54E6" w:rsidRPr="00912996" w:rsidRDefault="001A54E6" w:rsidP="00394372">
            <w:pPr>
              <w:rPr>
                <w:rFonts w:ascii="Calibri" w:hAnsi="Calibri"/>
                <w:bCs/>
                <w:lang w:eastAsia="ja-JP"/>
              </w:rPr>
            </w:pPr>
            <w:r w:rsidRPr="00912996">
              <w:rPr>
                <w:rFonts w:ascii="Calibri" w:hAnsi="Calibri"/>
                <w:bCs/>
                <w:lang w:eastAsia="ja-JP"/>
              </w:rPr>
              <w:t>PGD</w:t>
            </w:r>
            <w:r w:rsidR="005D64AB">
              <w:rPr>
                <w:rFonts w:ascii="Calibri" w:hAnsi="Calibri"/>
                <w:bCs/>
                <w:lang w:eastAsia="ja-JP"/>
              </w:rPr>
              <w:t xml:space="preserve"> </w:t>
            </w:r>
            <w:r w:rsidR="005D64AB" w:rsidRPr="00912996">
              <w:rPr>
                <w:rFonts w:ascii="Calibri" w:hAnsi="Calibri"/>
                <w:bCs/>
                <w:lang w:eastAsia="ja-JP"/>
              </w:rPr>
              <w:t>Mun</w:t>
            </w:r>
            <w:r w:rsidR="005D64AB">
              <w:rPr>
                <w:rFonts w:ascii="Calibri" w:hAnsi="Calibri"/>
                <w:bCs/>
                <w:lang w:eastAsia="ja-JP"/>
              </w:rPr>
              <w:t>icipiul</w:t>
            </w:r>
            <w:r w:rsidRPr="00912996">
              <w:rPr>
                <w:rFonts w:ascii="Calibri" w:hAnsi="Calibri"/>
                <w:bCs/>
                <w:lang w:eastAsia="ja-JP"/>
              </w:rPr>
              <w:t xml:space="preserve"> Buc 2020-2025</w:t>
            </w:r>
          </w:p>
        </w:tc>
      </w:tr>
      <w:tr w:rsidR="00AC2FFA" w:rsidRPr="00912996" w14:paraId="41BEDF7C" w14:textId="77777777" w:rsidTr="00E2442E">
        <w:trPr>
          <w:gridAfter w:val="9"/>
          <w:wAfter w:w="15421" w:type="dxa"/>
          <w:trHeight w:val="540"/>
        </w:trPr>
        <w:tc>
          <w:tcPr>
            <w:tcW w:w="625" w:type="dxa"/>
            <w:shd w:val="clear" w:color="auto" w:fill="F2F2F2"/>
            <w:noWrap/>
            <w:hideMark/>
          </w:tcPr>
          <w:p w14:paraId="2232E1F8"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15139D45" w14:textId="77777777" w:rsidR="001A54E6" w:rsidRPr="00912996" w:rsidRDefault="001A54E6" w:rsidP="00394372">
            <w:pPr>
              <w:rPr>
                <w:rFonts w:ascii="Calibri" w:hAnsi="Calibri"/>
                <w:bCs/>
                <w:lang w:eastAsia="ja-JP"/>
              </w:rPr>
            </w:pPr>
            <w:r w:rsidRPr="00912996">
              <w:rPr>
                <w:rFonts w:ascii="Calibri" w:hAnsi="Calibri"/>
                <w:bCs/>
                <w:lang w:eastAsia="ja-JP"/>
              </w:rPr>
              <w:t>Implementarea sistemului de colectare separată a biodeșeurilor din deșeuri menajere, similare și din piețe</w:t>
            </w:r>
          </w:p>
        </w:tc>
        <w:tc>
          <w:tcPr>
            <w:tcW w:w="1530" w:type="dxa"/>
            <w:shd w:val="clear" w:color="auto" w:fill="F2F2F2"/>
            <w:hideMark/>
          </w:tcPr>
          <w:p w14:paraId="2C85200F"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0A2B979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56297C0"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260" w:type="dxa"/>
            <w:shd w:val="clear" w:color="auto" w:fill="F2F2F2"/>
            <w:noWrap/>
            <w:hideMark/>
          </w:tcPr>
          <w:p w14:paraId="7264872D"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089" w:type="dxa"/>
            <w:shd w:val="clear" w:color="auto" w:fill="F2F2F2"/>
            <w:noWrap/>
            <w:hideMark/>
          </w:tcPr>
          <w:p w14:paraId="15A2AECE"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1881" w:type="dxa"/>
            <w:shd w:val="clear" w:color="auto" w:fill="F2F2F2"/>
            <w:hideMark/>
          </w:tcPr>
          <w:p w14:paraId="1D18C637"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hideMark/>
          </w:tcPr>
          <w:p w14:paraId="5A78FA5B"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6E294EBF" w14:textId="63CB06F2" w:rsidR="001A54E6" w:rsidRPr="00912996" w:rsidRDefault="001A54E6" w:rsidP="00394372">
            <w:pPr>
              <w:rPr>
                <w:rFonts w:ascii="Calibri" w:hAnsi="Calibri"/>
                <w:bCs/>
                <w:lang w:eastAsia="ja-JP"/>
              </w:rPr>
            </w:pPr>
            <w:r w:rsidRPr="00912996">
              <w:rPr>
                <w:rFonts w:ascii="Calibri" w:hAnsi="Calibri"/>
                <w:bCs/>
                <w:lang w:eastAsia="ja-JP"/>
              </w:rPr>
              <w:t xml:space="preserve">PGD </w:t>
            </w:r>
            <w:r w:rsidR="005D64AB" w:rsidRPr="00912996">
              <w:rPr>
                <w:rFonts w:ascii="Calibri" w:hAnsi="Calibri"/>
                <w:bCs/>
                <w:lang w:eastAsia="ja-JP"/>
              </w:rPr>
              <w:t>Mun</w:t>
            </w:r>
            <w:r w:rsidR="005D64AB">
              <w:rPr>
                <w:rFonts w:ascii="Calibri" w:hAnsi="Calibri"/>
                <w:bCs/>
                <w:lang w:eastAsia="ja-JP"/>
              </w:rPr>
              <w:t>icipiul</w:t>
            </w:r>
            <w:r w:rsidRPr="00912996">
              <w:rPr>
                <w:rFonts w:ascii="Calibri" w:hAnsi="Calibri"/>
                <w:bCs/>
                <w:lang w:eastAsia="ja-JP"/>
              </w:rPr>
              <w:t xml:space="preserve"> Buc 2020-2025</w:t>
            </w:r>
          </w:p>
        </w:tc>
      </w:tr>
      <w:tr w:rsidR="00AC2FFA" w:rsidRPr="00912996" w14:paraId="0CA1550A" w14:textId="77777777" w:rsidTr="00E2442E">
        <w:trPr>
          <w:gridAfter w:val="9"/>
          <w:wAfter w:w="15421" w:type="dxa"/>
          <w:trHeight w:val="804"/>
        </w:trPr>
        <w:tc>
          <w:tcPr>
            <w:tcW w:w="625" w:type="dxa"/>
            <w:shd w:val="clear" w:color="auto" w:fill="F2F2F2"/>
            <w:noWrap/>
            <w:hideMark/>
          </w:tcPr>
          <w:p w14:paraId="529079AD"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0B98D5B1" w14:textId="77777777" w:rsidR="001A54E6" w:rsidRPr="00912996" w:rsidRDefault="001A54E6" w:rsidP="00394372">
            <w:pPr>
              <w:rPr>
                <w:rFonts w:ascii="Calibri" w:hAnsi="Calibri"/>
                <w:bCs/>
                <w:lang w:eastAsia="ja-JP"/>
              </w:rPr>
            </w:pPr>
            <w:r w:rsidRPr="00912996">
              <w:rPr>
                <w:rFonts w:ascii="Calibri" w:hAnsi="Calibri"/>
                <w:bCs/>
                <w:lang w:eastAsia="ja-JP"/>
              </w:rPr>
              <w:t>Asigurarea capacităților de reciclare a biodeșeurilor colectate separat prin compostare în sistem închis și digestie anaerobă</w:t>
            </w:r>
          </w:p>
        </w:tc>
        <w:tc>
          <w:tcPr>
            <w:tcW w:w="1530" w:type="dxa"/>
            <w:shd w:val="clear" w:color="auto" w:fill="F2F2F2"/>
            <w:hideMark/>
          </w:tcPr>
          <w:p w14:paraId="014A93B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512622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D4B1C66"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260" w:type="dxa"/>
            <w:shd w:val="clear" w:color="auto" w:fill="F2F2F2"/>
            <w:noWrap/>
            <w:hideMark/>
          </w:tcPr>
          <w:p w14:paraId="558D51ED" w14:textId="77777777" w:rsidR="001A54E6" w:rsidRPr="00912996" w:rsidRDefault="001A54E6" w:rsidP="00394372">
            <w:pPr>
              <w:rPr>
                <w:rFonts w:ascii="Calibri" w:hAnsi="Calibri"/>
                <w:bCs/>
                <w:lang w:eastAsia="ja-JP"/>
              </w:rPr>
            </w:pPr>
            <w:r w:rsidRPr="00912996">
              <w:rPr>
                <w:rFonts w:ascii="Calibri" w:hAnsi="Calibri"/>
                <w:bCs/>
                <w:lang w:eastAsia="ja-JP"/>
              </w:rPr>
              <w:t>Conform SF</w:t>
            </w:r>
          </w:p>
        </w:tc>
        <w:tc>
          <w:tcPr>
            <w:tcW w:w="1089" w:type="dxa"/>
            <w:shd w:val="clear" w:color="auto" w:fill="F2F2F2"/>
            <w:noWrap/>
            <w:hideMark/>
          </w:tcPr>
          <w:p w14:paraId="298CE397"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1881" w:type="dxa"/>
            <w:shd w:val="clear" w:color="auto" w:fill="F2F2F2"/>
            <w:hideMark/>
          </w:tcPr>
          <w:p w14:paraId="1D03E050"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hideMark/>
          </w:tcPr>
          <w:p w14:paraId="38C12957"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655BC4FF" w14:textId="1D5CD0B2" w:rsidR="001A54E6" w:rsidRPr="00912996" w:rsidRDefault="001A54E6" w:rsidP="00394372">
            <w:pPr>
              <w:rPr>
                <w:rFonts w:ascii="Calibri" w:hAnsi="Calibri"/>
                <w:bCs/>
                <w:lang w:eastAsia="ja-JP"/>
              </w:rPr>
            </w:pPr>
            <w:r w:rsidRPr="00912996">
              <w:rPr>
                <w:rFonts w:ascii="Calibri" w:hAnsi="Calibri"/>
                <w:bCs/>
                <w:lang w:eastAsia="ja-JP"/>
              </w:rPr>
              <w:t xml:space="preserve">PGD </w:t>
            </w:r>
            <w:r w:rsidR="005D64AB" w:rsidRPr="00912996">
              <w:rPr>
                <w:rFonts w:ascii="Calibri" w:hAnsi="Calibri"/>
                <w:bCs/>
                <w:lang w:eastAsia="ja-JP"/>
              </w:rPr>
              <w:t>Mun</w:t>
            </w:r>
            <w:r w:rsidR="005D64AB">
              <w:rPr>
                <w:rFonts w:ascii="Calibri" w:hAnsi="Calibri"/>
                <w:bCs/>
                <w:lang w:eastAsia="ja-JP"/>
              </w:rPr>
              <w:t>icipiul</w:t>
            </w:r>
            <w:r w:rsidRPr="00912996">
              <w:rPr>
                <w:rFonts w:ascii="Calibri" w:hAnsi="Calibri"/>
                <w:bCs/>
                <w:lang w:eastAsia="ja-JP"/>
              </w:rPr>
              <w:t xml:space="preserve"> Buc 2020-2025</w:t>
            </w:r>
          </w:p>
        </w:tc>
      </w:tr>
      <w:tr w:rsidR="00AC2FFA" w:rsidRPr="00912996" w14:paraId="5A457545" w14:textId="77777777" w:rsidTr="00E2442E">
        <w:trPr>
          <w:gridAfter w:val="9"/>
          <w:wAfter w:w="15421" w:type="dxa"/>
          <w:trHeight w:val="804"/>
        </w:trPr>
        <w:tc>
          <w:tcPr>
            <w:tcW w:w="625" w:type="dxa"/>
            <w:shd w:val="clear" w:color="auto" w:fill="F2F2F2"/>
            <w:noWrap/>
            <w:hideMark/>
          </w:tcPr>
          <w:p w14:paraId="2448116A"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7BD0CC7F" w14:textId="77777777" w:rsidR="001A54E6" w:rsidRPr="00912996" w:rsidRDefault="001A54E6" w:rsidP="00394372">
            <w:pPr>
              <w:rPr>
                <w:rFonts w:ascii="Calibri" w:hAnsi="Calibri"/>
                <w:bCs/>
                <w:lang w:eastAsia="ja-JP"/>
              </w:rPr>
            </w:pPr>
            <w:r w:rsidRPr="00912996">
              <w:rPr>
                <w:rFonts w:ascii="Calibri" w:hAnsi="Calibri"/>
                <w:bCs/>
                <w:lang w:eastAsia="ja-JP"/>
              </w:rPr>
              <w:t>Sistem inteligent de monitorizare a colectării selective a deșeurilor - pubele inteligente în cartierele de locuințe individuale</w:t>
            </w:r>
          </w:p>
        </w:tc>
        <w:tc>
          <w:tcPr>
            <w:tcW w:w="1530" w:type="dxa"/>
            <w:shd w:val="clear" w:color="auto" w:fill="F2F2F2"/>
            <w:hideMark/>
          </w:tcPr>
          <w:p w14:paraId="14421ECC"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47A438EC"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2289426" w14:textId="77777777" w:rsidR="001A54E6" w:rsidRPr="00912996" w:rsidRDefault="001A54E6" w:rsidP="00394372">
            <w:pPr>
              <w:rPr>
                <w:rFonts w:ascii="Calibri" w:hAnsi="Calibri"/>
                <w:bCs/>
                <w:lang w:eastAsia="ja-JP"/>
              </w:rPr>
            </w:pPr>
            <w:r w:rsidRPr="00912996">
              <w:rPr>
                <w:rFonts w:ascii="Calibri" w:hAnsi="Calibri"/>
                <w:bCs/>
                <w:lang w:eastAsia="ja-JP"/>
              </w:rPr>
              <w:t>39,200,000</w:t>
            </w:r>
          </w:p>
        </w:tc>
        <w:tc>
          <w:tcPr>
            <w:tcW w:w="1260" w:type="dxa"/>
            <w:shd w:val="clear" w:color="auto" w:fill="F2F2F2"/>
            <w:noWrap/>
            <w:hideMark/>
          </w:tcPr>
          <w:p w14:paraId="69C8242F" w14:textId="77777777" w:rsidR="001A54E6" w:rsidRPr="00912996" w:rsidRDefault="001A54E6" w:rsidP="00394372">
            <w:pPr>
              <w:rPr>
                <w:rFonts w:ascii="Calibri" w:hAnsi="Calibri"/>
                <w:bCs/>
                <w:lang w:eastAsia="ja-JP"/>
              </w:rPr>
            </w:pPr>
            <w:r w:rsidRPr="00912996">
              <w:rPr>
                <w:rFonts w:ascii="Calibri" w:hAnsi="Calibri"/>
                <w:bCs/>
                <w:lang w:eastAsia="ja-JP"/>
              </w:rPr>
              <w:t>8,000,000</w:t>
            </w:r>
          </w:p>
        </w:tc>
        <w:tc>
          <w:tcPr>
            <w:tcW w:w="1089" w:type="dxa"/>
            <w:shd w:val="clear" w:color="auto" w:fill="F2F2F2"/>
            <w:noWrap/>
            <w:hideMark/>
          </w:tcPr>
          <w:p w14:paraId="3E2109A0" w14:textId="77777777" w:rsidR="001A54E6" w:rsidRPr="00912996" w:rsidRDefault="001A54E6" w:rsidP="00394372">
            <w:pPr>
              <w:rPr>
                <w:rFonts w:ascii="Calibri" w:hAnsi="Calibri"/>
                <w:bCs/>
                <w:lang w:eastAsia="ja-JP"/>
              </w:rPr>
            </w:pPr>
            <w:r w:rsidRPr="00912996">
              <w:rPr>
                <w:rFonts w:ascii="Calibri" w:hAnsi="Calibri"/>
                <w:bCs/>
                <w:lang w:eastAsia="ja-JP"/>
              </w:rPr>
              <w:t>2023 - 2025</w:t>
            </w:r>
          </w:p>
        </w:tc>
        <w:tc>
          <w:tcPr>
            <w:tcW w:w="1881" w:type="dxa"/>
            <w:shd w:val="clear" w:color="auto" w:fill="F2F2F2"/>
            <w:hideMark/>
          </w:tcPr>
          <w:p w14:paraId="147B14D9"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50DB7484"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0E11C1D3" w14:textId="77777777" w:rsidR="001A54E6" w:rsidRPr="00912996" w:rsidRDefault="001A54E6" w:rsidP="00394372">
            <w:pPr>
              <w:rPr>
                <w:rFonts w:ascii="Calibri" w:hAnsi="Calibri"/>
                <w:bCs/>
                <w:lang w:eastAsia="ja-JP"/>
              </w:rPr>
            </w:pPr>
            <w:r w:rsidRPr="00912996">
              <w:rPr>
                <w:rFonts w:ascii="Calibri" w:hAnsi="Calibri"/>
                <w:bCs/>
                <w:lang w:eastAsia="ja-JP"/>
              </w:rPr>
              <w:t>Propunere consultant</w:t>
            </w:r>
          </w:p>
        </w:tc>
      </w:tr>
      <w:tr w:rsidR="00AC2FFA" w:rsidRPr="00912996" w14:paraId="05BBD237" w14:textId="77777777" w:rsidTr="00E2442E">
        <w:trPr>
          <w:gridAfter w:val="9"/>
          <w:wAfter w:w="15421" w:type="dxa"/>
          <w:trHeight w:val="540"/>
        </w:trPr>
        <w:tc>
          <w:tcPr>
            <w:tcW w:w="625" w:type="dxa"/>
            <w:shd w:val="clear" w:color="auto" w:fill="F2F2F2"/>
            <w:noWrap/>
            <w:hideMark/>
          </w:tcPr>
          <w:p w14:paraId="35B0CC0E"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5A9115D1" w14:textId="77777777" w:rsidR="001A54E6" w:rsidRPr="00912996" w:rsidRDefault="001A54E6" w:rsidP="00394372">
            <w:pPr>
              <w:rPr>
                <w:rFonts w:ascii="Calibri" w:hAnsi="Calibri"/>
                <w:bCs/>
                <w:lang w:eastAsia="ja-JP"/>
              </w:rPr>
            </w:pPr>
            <w:r w:rsidRPr="00912996">
              <w:rPr>
                <w:rFonts w:ascii="Calibri" w:hAnsi="Calibri"/>
                <w:bCs/>
                <w:lang w:eastAsia="ja-JP"/>
              </w:rPr>
              <w:t>Realizarea de centre de aport voluntar pe teritoriul Sectorului 2</w:t>
            </w:r>
          </w:p>
        </w:tc>
        <w:tc>
          <w:tcPr>
            <w:tcW w:w="1530" w:type="dxa"/>
            <w:shd w:val="clear" w:color="auto" w:fill="F2F2F2"/>
            <w:hideMark/>
          </w:tcPr>
          <w:p w14:paraId="0AFEDFE0" w14:textId="77777777" w:rsidR="001A54E6" w:rsidRPr="00912996" w:rsidRDefault="001A54E6" w:rsidP="00394372">
            <w:pPr>
              <w:rPr>
                <w:rFonts w:ascii="Calibri" w:hAnsi="Calibri"/>
                <w:bCs/>
                <w:lang w:eastAsia="ja-JP"/>
              </w:rPr>
            </w:pPr>
            <w:r w:rsidRPr="00912996">
              <w:rPr>
                <w:rFonts w:ascii="Calibri" w:hAnsi="Calibri"/>
                <w:bCs/>
                <w:lang w:eastAsia="ja-JP"/>
              </w:rPr>
              <w:t>PS2, parteneri privați, ONG-uri, Entități de economie socială</w:t>
            </w:r>
          </w:p>
        </w:tc>
        <w:tc>
          <w:tcPr>
            <w:tcW w:w="1620" w:type="dxa"/>
            <w:shd w:val="clear" w:color="auto" w:fill="F2F2F2"/>
            <w:noWrap/>
            <w:hideMark/>
          </w:tcPr>
          <w:p w14:paraId="6EDF4BE5"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76F80E3" w14:textId="77777777" w:rsidR="001A54E6" w:rsidRPr="00912996" w:rsidRDefault="001A54E6" w:rsidP="00394372">
            <w:pPr>
              <w:rPr>
                <w:rFonts w:ascii="Calibri" w:hAnsi="Calibri"/>
                <w:bCs/>
                <w:lang w:eastAsia="ja-JP"/>
              </w:rPr>
            </w:pPr>
            <w:r w:rsidRPr="00912996">
              <w:rPr>
                <w:rFonts w:ascii="Calibri" w:hAnsi="Calibri"/>
                <w:bCs/>
                <w:lang w:eastAsia="ja-JP"/>
              </w:rPr>
              <w:t>19,600,000</w:t>
            </w:r>
          </w:p>
        </w:tc>
        <w:tc>
          <w:tcPr>
            <w:tcW w:w="1260" w:type="dxa"/>
            <w:shd w:val="clear" w:color="auto" w:fill="F2F2F2"/>
            <w:noWrap/>
            <w:hideMark/>
          </w:tcPr>
          <w:p w14:paraId="5BB03F22" w14:textId="77777777" w:rsidR="001A54E6" w:rsidRPr="00912996" w:rsidRDefault="001A54E6" w:rsidP="00394372">
            <w:pPr>
              <w:rPr>
                <w:rFonts w:ascii="Calibri" w:hAnsi="Calibri"/>
                <w:bCs/>
                <w:lang w:eastAsia="ja-JP"/>
              </w:rPr>
            </w:pPr>
            <w:r w:rsidRPr="00912996">
              <w:rPr>
                <w:rFonts w:ascii="Calibri" w:hAnsi="Calibri"/>
                <w:bCs/>
                <w:lang w:eastAsia="ja-JP"/>
              </w:rPr>
              <w:t>4,000,000</w:t>
            </w:r>
          </w:p>
        </w:tc>
        <w:tc>
          <w:tcPr>
            <w:tcW w:w="1089" w:type="dxa"/>
            <w:shd w:val="clear" w:color="auto" w:fill="F2F2F2"/>
            <w:noWrap/>
            <w:hideMark/>
          </w:tcPr>
          <w:p w14:paraId="1372DDCF" w14:textId="77777777" w:rsidR="001A54E6" w:rsidRPr="00912996" w:rsidRDefault="001A54E6" w:rsidP="00394372">
            <w:pPr>
              <w:rPr>
                <w:rFonts w:ascii="Calibri" w:hAnsi="Calibri"/>
                <w:bCs/>
                <w:lang w:eastAsia="ja-JP"/>
              </w:rPr>
            </w:pPr>
            <w:r w:rsidRPr="00912996">
              <w:rPr>
                <w:rFonts w:ascii="Calibri" w:hAnsi="Calibri"/>
                <w:bCs/>
                <w:lang w:eastAsia="ja-JP"/>
              </w:rPr>
              <w:t>2023 - 2026</w:t>
            </w:r>
          </w:p>
        </w:tc>
        <w:tc>
          <w:tcPr>
            <w:tcW w:w="1881" w:type="dxa"/>
            <w:shd w:val="clear" w:color="auto" w:fill="F2F2F2"/>
            <w:hideMark/>
          </w:tcPr>
          <w:p w14:paraId="38B41B9A" w14:textId="77777777" w:rsidR="001A54E6" w:rsidRPr="00912996" w:rsidRDefault="001A54E6" w:rsidP="00394372">
            <w:pPr>
              <w:rPr>
                <w:rFonts w:ascii="Calibri" w:hAnsi="Calibri"/>
                <w:bCs/>
                <w:lang w:eastAsia="ja-JP"/>
              </w:rPr>
            </w:pPr>
            <w:r w:rsidRPr="00912996">
              <w:rPr>
                <w:rFonts w:ascii="Calibri" w:hAnsi="Calibri"/>
                <w:bCs/>
                <w:lang w:eastAsia="ja-JP"/>
              </w:rPr>
              <w:t>PNRR C 3, Bugetul local</w:t>
            </w:r>
          </w:p>
        </w:tc>
        <w:tc>
          <w:tcPr>
            <w:tcW w:w="1260" w:type="dxa"/>
            <w:shd w:val="clear" w:color="auto" w:fill="F2F2F2"/>
            <w:hideMark/>
          </w:tcPr>
          <w:p w14:paraId="7093AEC5"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6CA4B4DF" w14:textId="77777777" w:rsidR="001A54E6" w:rsidRPr="00912996" w:rsidRDefault="001A54E6" w:rsidP="00394372">
            <w:pPr>
              <w:rPr>
                <w:rFonts w:ascii="Calibri" w:hAnsi="Calibri"/>
                <w:bCs/>
                <w:lang w:eastAsia="ja-JP"/>
              </w:rPr>
            </w:pPr>
            <w:r w:rsidRPr="00912996">
              <w:rPr>
                <w:rFonts w:ascii="Calibri" w:hAnsi="Calibri"/>
                <w:bCs/>
                <w:lang w:eastAsia="ja-JP"/>
              </w:rPr>
              <w:t>Propunere consultant</w:t>
            </w:r>
          </w:p>
        </w:tc>
      </w:tr>
      <w:tr w:rsidR="00AC2FFA" w:rsidRPr="00912996" w14:paraId="2F1D7900" w14:textId="77777777" w:rsidTr="00E2442E">
        <w:trPr>
          <w:gridAfter w:val="9"/>
          <w:wAfter w:w="15421" w:type="dxa"/>
          <w:trHeight w:val="540"/>
        </w:trPr>
        <w:tc>
          <w:tcPr>
            <w:tcW w:w="625" w:type="dxa"/>
            <w:shd w:val="clear" w:color="auto" w:fill="F2F2F2"/>
            <w:noWrap/>
            <w:hideMark/>
          </w:tcPr>
          <w:p w14:paraId="117C3D8F"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6652458D" w14:textId="77777777" w:rsidR="001A54E6" w:rsidRPr="00912996" w:rsidRDefault="001A54E6" w:rsidP="00394372">
            <w:pPr>
              <w:rPr>
                <w:rFonts w:ascii="Calibri" w:hAnsi="Calibri"/>
                <w:bCs/>
                <w:lang w:eastAsia="ja-JP"/>
              </w:rPr>
            </w:pPr>
            <w:r w:rsidRPr="00912996">
              <w:rPr>
                <w:rFonts w:ascii="Calibri" w:hAnsi="Calibri"/>
                <w:bCs/>
                <w:lang w:eastAsia="ja-JP"/>
              </w:rPr>
              <w:t>Campanii lunare de colectare a deșeurilor voluminoase / DEEE</w:t>
            </w:r>
          </w:p>
        </w:tc>
        <w:tc>
          <w:tcPr>
            <w:tcW w:w="1530" w:type="dxa"/>
            <w:shd w:val="clear" w:color="auto" w:fill="F2F2F2"/>
            <w:hideMark/>
          </w:tcPr>
          <w:p w14:paraId="7D4331AC" w14:textId="77777777" w:rsidR="001A54E6" w:rsidRPr="00912996" w:rsidRDefault="001A54E6" w:rsidP="00394372">
            <w:pPr>
              <w:rPr>
                <w:rFonts w:ascii="Calibri" w:hAnsi="Calibri"/>
                <w:bCs/>
                <w:lang w:eastAsia="ja-JP"/>
              </w:rPr>
            </w:pPr>
            <w:r w:rsidRPr="00912996">
              <w:rPr>
                <w:rFonts w:ascii="Calibri" w:hAnsi="Calibri"/>
                <w:bCs/>
                <w:lang w:eastAsia="ja-JP"/>
              </w:rPr>
              <w:t>PS2, operator salubritate</w:t>
            </w:r>
          </w:p>
        </w:tc>
        <w:tc>
          <w:tcPr>
            <w:tcW w:w="1620" w:type="dxa"/>
            <w:shd w:val="clear" w:color="auto" w:fill="F2F2F2"/>
            <w:noWrap/>
            <w:hideMark/>
          </w:tcPr>
          <w:p w14:paraId="15D59291" w14:textId="77777777" w:rsidR="001A54E6" w:rsidRPr="00912996" w:rsidRDefault="001A54E6" w:rsidP="00394372">
            <w:pPr>
              <w:rPr>
                <w:rFonts w:ascii="Calibri" w:hAnsi="Calibri"/>
                <w:bCs/>
                <w:lang w:eastAsia="ja-JP"/>
              </w:rPr>
            </w:pPr>
            <w:r>
              <w:rPr>
                <w:rFonts w:ascii="Calibri" w:hAnsi="Calibri"/>
                <w:bCs/>
                <w:lang w:eastAsia="ja-JP"/>
              </w:rPr>
              <w:t>În implementare</w:t>
            </w:r>
          </w:p>
        </w:tc>
        <w:tc>
          <w:tcPr>
            <w:tcW w:w="1260" w:type="dxa"/>
            <w:shd w:val="clear" w:color="auto" w:fill="F2F2F2"/>
            <w:noWrap/>
            <w:hideMark/>
          </w:tcPr>
          <w:p w14:paraId="3D647A8D" w14:textId="77777777" w:rsidR="001A54E6" w:rsidRPr="00912996" w:rsidRDefault="001A54E6" w:rsidP="00394372">
            <w:pPr>
              <w:rPr>
                <w:rFonts w:ascii="Calibri" w:hAnsi="Calibri"/>
                <w:bCs/>
                <w:lang w:eastAsia="ja-JP"/>
              </w:rPr>
            </w:pPr>
            <w:r w:rsidRPr="00912996">
              <w:rPr>
                <w:rFonts w:ascii="Calibri" w:hAnsi="Calibri"/>
                <w:bCs/>
                <w:lang w:eastAsia="ja-JP"/>
              </w:rPr>
              <w:t>3,528,000</w:t>
            </w:r>
          </w:p>
        </w:tc>
        <w:tc>
          <w:tcPr>
            <w:tcW w:w="1260" w:type="dxa"/>
            <w:shd w:val="clear" w:color="auto" w:fill="F2F2F2"/>
            <w:noWrap/>
            <w:hideMark/>
          </w:tcPr>
          <w:p w14:paraId="52BE3DB3" w14:textId="77777777" w:rsidR="001A54E6" w:rsidRPr="00912996" w:rsidRDefault="001A54E6" w:rsidP="00394372">
            <w:pPr>
              <w:rPr>
                <w:rFonts w:ascii="Calibri" w:hAnsi="Calibri"/>
                <w:bCs/>
                <w:lang w:eastAsia="ja-JP"/>
              </w:rPr>
            </w:pPr>
            <w:r w:rsidRPr="00912996">
              <w:rPr>
                <w:rFonts w:ascii="Calibri" w:hAnsi="Calibri"/>
                <w:bCs/>
                <w:lang w:eastAsia="ja-JP"/>
              </w:rPr>
              <w:t>720,000</w:t>
            </w:r>
          </w:p>
        </w:tc>
        <w:tc>
          <w:tcPr>
            <w:tcW w:w="1089" w:type="dxa"/>
            <w:shd w:val="clear" w:color="auto" w:fill="F2F2F2"/>
            <w:noWrap/>
            <w:hideMark/>
          </w:tcPr>
          <w:p w14:paraId="6751EAFE" w14:textId="77777777" w:rsidR="001A54E6" w:rsidRPr="00912996" w:rsidRDefault="001A54E6" w:rsidP="00394372">
            <w:pPr>
              <w:rPr>
                <w:rFonts w:ascii="Calibri" w:hAnsi="Calibri"/>
                <w:bCs/>
                <w:lang w:eastAsia="ja-JP"/>
              </w:rPr>
            </w:pPr>
            <w:r w:rsidRPr="00912996">
              <w:rPr>
                <w:rFonts w:ascii="Calibri" w:hAnsi="Calibri"/>
                <w:bCs/>
                <w:lang w:eastAsia="ja-JP"/>
              </w:rPr>
              <w:t>2022 - 2030</w:t>
            </w:r>
          </w:p>
        </w:tc>
        <w:tc>
          <w:tcPr>
            <w:tcW w:w="1881" w:type="dxa"/>
            <w:shd w:val="clear" w:color="auto" w:fill="F2F2F2"/>
            <w:hideMark/>
          </w:tcPr>
          <w:p w14:paraId="4CB112DA"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402D035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19E6321E" w14:textId="77777777" w:rsidR="001A54E6" w:rsidRPr="00912996" w:rsidRDefault="001A54E6" w:rsidP="00394372">
            <w:pPr>
              <w:rPr>
                <w:rFonts w:ascii="Calibri" w:hAnsi="Calibri"/>
                <w:bCs/>
                <w:lang w:eastAsia="ja-JP"/>
              </w:rPr>
            </w:pPr>
            <w:r w:rsidRPr="00912996">
              <w:rPr>
                <w:rFonts w:ascii="Calibri" w:hAnsi="Calibri"/>
                <w:bCs/>
                <w:lang w:eastAsia="ja-JP"/>
              </w:rPr>
              <w:t>SDL 2016-2025, SIDU MB</w:t>
            </w:r>
          </w:p>
        </w:tc>
      </w:tr>
      <w:tr w:rsidR="00AC2FFA" w:rsidRPr="00912996" w14:paraId="342D246C" w14:textId="77777777" w:rsidTr="00E2442E">
        <w:trPr>
          <w:gridAfter w:val="9"/>
          <w:wAfter w:w="15421" w:type="dxa"/>
          <w:trHeight w:val="540"/>
        </w:trPr>
        <w:tc>
          <w:tcPr>
            <w:tcW w:w="625" w:type="dxa"/>
            <w:shd w:val="clear" w:color="auto" w:fill="F2F2F2"/>
            <w:noWrap/>
            <w:hideMark/>
          </w:tcPr>
          <w:p w14:paraId="18B7AF26" w14:textId="77777777" w:rsidR="001A54E6" w:rsidRPr="00912996" w:rsidRDefault="001A54E6" w:rsidP="00394372">
            <w:pPr>
              <w:rPr>
                <w:rFonts w:ascii="Calibri" w:hAnsi="Calibri"/>
                <w:bCs/>
                <w:lang w:eastAsia="ja-JP"/>
              </w:rPr>
            </w:pPr>
            <w:r w:rsidRPr="00912996">
              <w:rPr>
                <w:rFonts w:ascii="Calibri" w:hAnsi="Calibri"/>
                <w:bCs/>
                <w:lang w:eastAsia="ja-JP"/>
              </w:rPr>
              <w:t>9</w:t>
            </w:r>
          </w:p>
        </w:tc>
        <w:tc>
          <w:tcPr>
            <w:tcW w:w="2250" w:type="dxa"/>
            <w:shd w:val="clear" w:color="auto" w:fill="F2F2F2"/>
            <w:hideMark/>
          </w:tcPr>
          <w:p w14:paraId="59C6F67B" w14:textId="77777777" w:rsidR="001A54E6" w:rsidRPr="00912996" w:rsidRDefault="001A54E6" w:rsidP="00394372">
            <w:pPr>
              <w:rPr>
                <w:rFonts w:ascii="Calibri" w:hAnsi="Calibri"/>
                <w:bCs/>
                <w:lang w:eastAsia="ja-JP"/>
              </w:rPr>
            </w:pPr>
            <w:r w:rsidRPr="00912996">
              <w:rPr>
                <w:rFonts w:ascii="Calibri" w:hAnsi="Calibri"/>
                <w:bCs/>
                <w:lang w:eastAsia="ja-JP"/>
              </w:rPr>
              <w:t>Refacerea sistemului de colectare a deșeurilor municipale stradale</w:t>
            </w:r>
          </w:p>
        </w:tc>
        <w:tc>
          <w:tcPr>
            <w:tcW w:w="1530" w:type="dxa"/>
            <w:shd w:val="clear" w:color="auto" w:fill="F2F2F2"/>
            <w:hideMark/>
          </w:tcPr>
          <w:p w14:paraId="40EAB6EF"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0778B808" w14:textId="77777777" w:rsidR="001A54E6" w:rsidRPr="00912996" w:rsidRDefault="001A54E6" w:rsidP="00394372">
            <w:pPr>
              <w:rPr>
                <w:rFonts w:ascii="Calibri" w:hAnsi="Calibri"/>
                <w:bCs/>
                <w:lang w:eastAsia="ja-JP"/>
              </w:rPr>
            </w:pPr>
            <w:r>
              <w:rPr>
                <w:rFonts w:ascii="Calibri" w:hAnsi="Calibri"/>
                <w:bCs/>
                <w:lang w:eastAsia="ja-JP"/>
              </w:rPr>
              <w:t>În implementare</w:t>
            </w:r>
          </w:p>
        </w:tc>
        <w:tc>
          <w:tcPr>
            <w:tcW w:w="1260" w:type="dxa"/>
            <w:shd w:val="clear" w:color="auto" w:fill="F2F2F2"/>
            <w:noWrap/>
            <w:hideMark/>
          </w:tcPr>
          <w:p w14:paraId="3D38D024" w14:textId="77777777" w:rsidR="001A54E6" w:rsidRPr="00912996" w:rsidRDefault="001A54E6" w:rsidP="00394372">
            <w:pPr>
              <w:rPr>
                <w:rFonts w:ascii="Calibri" w:hAnsi="Calibri"/>
                <w:bCs/>
                <w:lang w:eastAsia="ja-JP"/>
              </w:rPr>
            </w:pPr>
            <w:r w:rsidRPr="00912996">
              <w:rPr>
                <w:rFonts w:ascii="Calibri" w:hAnsi="Calibri"/>
                <w:bCs/>
                <w:lang w:eastAsia="ja-JP"/>
              </w:rPr>
              <w:t>4,900,000</w:t>
            </w:r>
          </w:p>
        </w:tc>
        <w:tc>
          <w:tcPr>
            <w:tcW w:w="1260" w:type="dxa"/>
            <w:shd w:val="clear" w:color="auto" w:fill="F2F2F2"/>
            <w:noWrap/>
            <w:hideMark/>
          </w:tcPr>
          <w:p w14:paraId="4795C89F" w14:textId="77777777" w:rsidR="001A54E6" w:rsidRPr="00912996" w:rsidRDefault="001A54E6" w:rsidP="00394372">
            <w:pPr>
              <w:rPr>
                <w:rFonts w:ascii="Calibri" w:hAnsi="Calibri"/>
                <w:bCs/>
                <w:lang w:eastAsia="ja-JP"/>
              </w:rPr>
            </w:pPr>
            <w:r w:rsidRPr="00912996">
              <w:rPr>
                <w:rFonts w:ascii="Calibri" w:hAnsi="Calibri"/>
                <w:bCs/>
                <w:lang w:eastAsia="ja-JP"/>
              </w:rPr>
              <w:t>1,000,000</w:t>
            </w:r>
          </w:p>
        </w:tc>
        <w:tc>
          <w:tcPr>
            <w:tcW w:w="1089" w:type="dxa"/>
            <w:shd w:val="clear" w:color="auto" w:fill="F2F2F2"/>
            <w:noWrap/>
            <w:hideMark/>
          </w:tcPr>
          <w:p w14:paraId="583E69E8" w14:textId="77777777" w:rsidR="001A54E6" w:rsidRPr="00912996" w:rsidRDefault="001A54E6" w:rsidP="00394372">
            <w:pPr>
              <w:rPr>
                <w:rFonts w:ascii="Calibri" w:hAnsi="Calibri"/>
                <w:bCs/>
                <w:lang w:eastAsia="ja-JP"/>
              </w:rPr>
            </w:pPr>
            <w:r w:rsidRPr="00912996">
              <w:rPr>
                <w:rFonts w:ascii="Calibri" w:hAnsi="Calibri"/>
                <w:bCs/>
                <w:lang w:eastAsia="ja-JP"/>
              </w:rPr>
              <w:t>2022 - 2024</w:t>
            </w:r>
          </w:p>
        </w:tc>
        <w:tc>
          <w:tcPr>
            <w:tcW w:w="1881" w:type="dxa"/>
            <w:shd w:val="clear" w:color="auto" w:fill="F2F2F2"/>
            <w:hideMark/>
          </w:tcPr>
          <w:p w14:paraId="6D71C391"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40688D2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05FC1E90" w14:textId="77777777" w:rsidR="001A54E6" w:rsidRPr="00912996" w:rsidRDefault="001A54E6" w:rsidP="00394372">
            <w:pPr>
              <w:rPr>
                <w:rFonts w:ascii="Calibri" w:hAnsi="Calibri"/>
                <w:bCs/>
                <w:lang w:eastAsia="ja-JP"/>
              </w:rPr>
            </w:pPr>
            <w:r w:rsidRPr="00912996">
              <w:rPr>
                <w:rFonts w:ascii="Calibri" w:hAnsi="Calibri"/>
                <w:bCs/>
                <w:lang w:eastAsia="ja-JP"/>
              </w:rPr>
              <w:t>SDL 2016-2025, SIDU MB</w:t>
            </w:r>
          </w:p>
        </w:tc>
      </w:tr>
      <w:tr w:rsidR="00AC2FFA" w:rsidRPr="00912996" w14:paraId="56DF87CF" w14:textId="77777777" w:rsidTr="00E2442E">
        <w:trPr>
          <w:gridAfter w:val="9"/>
          <w:wAfter w:w="15421" w:type="dxa"/>
          <w:trHeight w:val="540"/>
        </w:trPr>
        <w:tc>
          <w:tcPr>
            <w:tcW w:w="625" w:type="dxa"/>
            <w:shd w:val="clear" w:color="auto" w:fill="F2F2F2"/>
            <w:noWrap/>
            <w:hideMark/>
          </w:tcPr>
          <w:p w14:paraId="42DB2038" w14:textId="77777777" w:rsidR="001A54E6" w:rsidRPr="00912996" w:rsidRDefault="001A54E6" w:rsidP="00394372">
            <w:pPr>
              <w:rPr>
                <w:rFonts w:ascii="Calibri" w:hAnsi="Calibri"/>
                <w:bCs/>
                <w:lang w:eastAsia="ja-JP"/>
              </w:rPr>
            </w:pPr>
            <w:r w:rsidRPr="00912996">
              <w:rPr>
                <w:rFonts w:ascii="Calibri" w:hAnsi="Calibri"/>
                <w:bCs/>
                <w:lang w:eastAsia="ja-JP"/>
              </w:rPr>
              <w:t>10</w:t>
            </w:r>
          </w:p>
        </w:tc>
        <w:tc>
          <w:tcPr>
            <w:tcW w:w="2250" w:type="dxa"/>
            <w:shd w:val="clear" w:color="auto" w:fill="F2F2F2"/>
            <w:hideMark/>
          </w:tcPr>
          <w:p w14:paraId="6B6FEE24" w14:textId="77777777" w:rsidR="001A54E6" w:rsidRPr="00912996" w:rsidRDefault="001A54E6" w:rsidP="00394372">
            <w:pPr>
              <w:rPr>
                <w:rFonts w:ascii="Calibri" w:hAnsi="Calibri"/>
                <w:bCs/>
                <w:lang w:eastAsia="ja-JP"/>
              </w:rPr>
            </w:pPr>
            <w:r w:rsidRPr="00912996">
              <w:rPr>
                <w:rFonts w:ascii="Calibri" w:hAnsi="Calibri"/>
                <w:bCs/>
                <w:lang w:eastAsia="ja-JP"/>
              </w:rPr>
              <w:t>Colectarea deșeurilor generate in urma activității de construire</w:t>
            </w:r>
          </w:p>
        </w:tc>
        <w:tc>
          <w:tcPr>
            <w:tcW w:w="1530" w:type="dxa"/>
            <w:shd w:val="clear" w:color="auto" w:fill="F2F2F2"/>
            <w:hideMark/>
          </w:tcPr>
          <w:p w14:paraId="400FC733"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3859CD9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82FE593" w14:textId="77777777" w:rsidR="001A54E6" w:rsidRPr="00912996" w:rsidRDefault="001A54E6" w:rsidP="00394372">
            <w:pPr>
              <w:rPr>
                <w:rFonts w:ascii="Calibri" w:hAnsi="Calibri"/>
                <w:bCs/>
                <w:lang w:eastAsia="ja-JP"/>
              </w:rPr>
            </w:pPr>
            <w:r w:rsidRPr="00912996">
              <w:rPr>
                <w:rFonts w:ascii="Calibri" w:hAnsi="Calibri"/>
                <w:bCs/>
                <w:lang w:eastAsia="ja-JP"/>
              </w:rPr>
              <w:t>12,250,000</w:t>
            </w:r>
          </w:p>
        </w:tc>
        <w:tc>
          <w:tcPr>
            <w:tcW w:w="1260" w:type="dxa"/>
            <w:shd w:val="clear" w:color="auto" w:fill="F2F2F2"/>
            <w:noWrap/>
            <w:hideMark/>
          </w:tcPr>
          <w:p w14:paraId="1087378F" w14:textId="77777777" w:rsidR="001A54E6" w:rsidRPr="00912996" w:rsidRDefault="001A54E6" w:rsidP="00394372">
            <w:pPr>
              <w:rPr>
                <w:rFonts w:ascii="Calibri" w:hAnsi="Calibri"/>
                <w:bCs/>
                <w:lang w:eastAsia="ja-JP"/>
              </w:rPr>
            </w:pPr>
            <w:r w:rsidRPr="00912996">
              <w:rPr>
                <w:rFonts w:ascii="Calibri" w:hAnsi="Calibri"/>
                <w:bCs/>
                <w:lang w:eastAsia="ja-JP"/>
              </w:rPr>
              <w:t>2,500,000</w:t>
            </w:r>
          </w:p>
        </w:tc>
        <w:tc>
          <w:tcPr>
            <w:tcW w:w="1089" w:type="dxa"/>
            <w:shd w:val="clear" w:color="auto" w:fill="F2F2F2"/>
            <w:noWrap/>
            <w:hideMark/>
          </w:tcPr>
          <w:p w14:paraId="2E6B25CB"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1881" w:type="dxa"/>
            <w:shd w:val="clear" w:color="auto" w:fill="F2F2F2"/>
            <w:hideMark/>
          </w:tcPr>
          <w:p w14:paraId="5F95A31A"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0A9F0BCB"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12941B14"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4A32D594" w14:textId="77777777" w:rsidTr="008C1D07">
        <w:trPr>
          <w:gridAfter w:val="9"/>
          <w:wAfter w:w="15421" w:type="dxa"/>
          <w:trHeight w:val="1713"/>
        </w:trPr>
        <w:tc>
          <w:tcPr>
            <w:tcW w:w="625" w:type="dxa"/>
            <w:shd w:val="clear" w:color="auto" w:fill="F2F2F2"/>
            <w:noWrap/>
            <w:hideMark/>
          </w:tcPr>
          <w:p w14:paraId="5869FD38" w14:textId="77777777" w:rsidR="001A54E6" w:rsidRPr="00912996" w:rsidRDefault="001A54E6" w:rsidP="00394372">
            <w:pPr>
              <w:rPr>
                <w:rFonts w:ascii="Calibri" w:hAnsi="Calibri"/>
                <w:bCs/>
                <w:lang w:eastAsia="ja-JP"/>
              </w:rPr>
            </w:pPr>
            <w:r w:rsidRPr="00912996">
              <w:rPr>
                <w:rFonts w:ascii="Calibri" w:hAnsi="Calibri"/>
                <w:bCs/>
                <w:lang w:eastAsia="ja-JP"/>
              </w:rPr>
              <w:t>11</w:t>
            </w:r>
          </w:p>
        </w:tc>
        <w:tc>
          <w:tcPr>
            <w:tcW w:w="2250" w:type="dxa"/>
            <w:shd w:val="clear" w:color="auto" w:fill="F2F2F2"/>
            <w:hideMark/>
          </w:tcPr>
          <w:p w14:paraId="75243232" w14:textId="77777777" w:rsidR="001A54E6" w:rsidRPr="00912996" w:rsidRDefault="001A54E6" w:rsidP="00394372">
            <w:pPr>
              <w:rPr>
                <w:rFonts w:ascii="Calibri" w:hAnsi="Calibri"/>
                <w:bCs/>
                <w:lang w:eastAsia="ja-JP"/>
              </w:rPr>
            </w:pPr>
            <w:r w:rsidRPr="00912996">
              <w:rPr>
                <w:rFonts w:ascii="Calibri" w:hAnsi="Calibri"/>
                <w:bCs/>
                <w:lang w:eastAsia="ja-JP"/>
              </w:rPr>
              <w:t>Aplicare sancțiuni pentru nerespectarea Hotărârilor Consiliului Local cu privire la gestiunea deșeurilor pe teritoriul Sectorului 2</w:t>
            </w:r>
          </w:p>
        </w:tc>
        <w:tc>
          <w:tcPr>
            <w:tcW w:w="1530" w:type="dxa"/>
            <w:shd w:val="clear" w:color="auto" w:fill="F2F2F2"/>
            <w:hideMark/>
          </w:tcPr>
          <w:p w14:paraId="08A694B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79A4D1C6"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310A532" w14:textId="77777777" w:rsidR="001A54E6" w:rsidRPr="00912996" w:rsidRDefault="001A54E6" w:rsidP="00394372">
            <w:pPr>
              <w:rPr>
                <w:rFonts w:ascii="Calibri" w:hAnsi="Calibri"/>
                <w:bCs/>
                <w:lang w:eastAsia="ja-JP"/>
              </w:rPr>
            </w:pPr>
            <w:r w:rsidRPr="00912996">
              <w:rPr>
                <w:rFonts w:ascii="Calibri" w:hAnsi="Calibri"/>
                <w:bCs/>
                <w:lang w:eastAsia="ja-JP"/>
              </w:rPr>
              <w:t>245,000</w:t>
            </w:r>
          </w:p>
        </w:tc>
        <w:tc>
          <w:tcPr>
            <w:tcW w:w="1260" w:type="dxa"/>
            <w:shd w:val="clear" w:color="auto" w:fill="F2F2F2"/>
            <w:noWrap/>
            <w:hideMark/>
          </w:tcPr>
          <w:p w14:paraId="709E4A33" w14:textId="77777777" w:rsidR="001A54E6" w:rsidRPr="00912996" w:rsidRDefault="001A54E6" w:rsidP="00394372">
            <w:pPr>
              <w:rPr>
                <w:rFonts w:ascii="Calibri" w:hAnsi="Calibri"/>
                <w:bCs/>
                <w:lang w:eastAsia="ja-JP"/>
              </w:rPr>
            </w:pPr>
            <w:r w:rsidRPr="00912996">
              <w:rPr>
                <w:rFonts w:ascii="Calibri" w:hAnsi="Calibri"/>
                <w:bCs/>
                <w:lang w:eastAsia="ja-JP"/>
              </w:rPr>
              <w:t>50,000</w:t>
            </w:r>
          </w:p>
        </w:tc>
        <w:tc>
          <w:tcPr>
            <w:tcW w:w="1089" w:type="dxa"/>
            <w:shd w:val="clear" w:color="auto" w:fill="F2F2F2"/>
            <w:noWrap/>
            <w:hideMark/>
          </w:tcPr>
          <w:p w14:paraId="03917AF8" w14:textId="77777777" w:rsidR="001A54E6" w:rsidRPr="00912996" w:rsidRDefault="001A54E6" w:rsidP="00394372">
            <w:pPr>
              <w:rPr>
                <w:rFonts w:ascii="Calibri" w:hAnsi="Calibri"/>
                <w:bCs/>
                <w:lang w:eastAsia="ja-JP"/>
              </w:rPr>
            </w:pPr>
            <w:r w:rsidRPr="00912996">
              <w:rPr>
                <w:rFonts w:ascii="Calibri" w:hAnsi="Calibri"/>
                <w:bCs/>
                <w:lang w:eastAsia="ja-JP"/>
              </w:rPr>
              <w:t>2023 - 2027</w:t>
            </w:r>
          </w:p>
        </w:tc>
        <w:tc>
          <w:tcPr>
            <w:tcW w:w="1881" w:type="dxa"/>
            <w:shd w:val="clear" w:color="auto" w:fill="F2F2F2"/>
            <w:hideMark/>
          </w:tcPr>
          <w:p w14:paraId="7F273A0E" w14:textId="77777777" w:rsidR="001A54E6" w:rsidRPr="00912996" w:rsidRDefault="001A54E6" w:rsidP="00394372">
            <w:pPr>
              <w:rPr>
                <w:rFonts w:ascii="Calibri" w:hAnsi="Calibri"/>
                <w:bCs/>
                <w:lang w:eastAsia="ja-JP"/>
              </w:rPr>
            </w:pPr>
            <w:r w:rsidRPr="00912996">
              <w:rPr>
                <w:rFonts w:ascii="Calibri" w:hAnsi="Calibri"/>
                <w:bCs/>
                <w:lang w:eastAsia="ja-JP"/>
              </w:rPr>
              <w:t>Bugetul local</w:t>
            </w:r>
          </w:p>
        </w:tc>
        <w:tc>
          <w:tcPr>
            <w:tcW w:w="1260" w:type="dxa"/>
            <w:shd w:val="clear" w:color="auto" w:fill="F2F2F2"/>
            <w:hideMark/>
          </w:tcPr>
          <w:p w14:paraId="1EEB339C"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4027995A"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54D6E149" w14:textId="77777777" w:rsidTr="00E2442E">
        <w:trPr>
          <w:gridAfter w:val="9"/>
          <w:wAfter w:w="15421" w:type="dxa"/>
          <w:trHeight w:val="792"/>
        </w:trPr>
        <w:tc>
          <w:tcPr>
            <w:tcW w:w="625" w:type="dxa"/>
            <w:shd w:val="clear" w:color="auto" w:fill="F2F2F2"/>
            <w:noWrap/>
          </w:tcPr>
          <w:p w14:paraId="1B387E56" w14:textId="77777777" w:rsidR="001A54E6" w:rsidRPr="00912996" w:rsidRDefault="001A54E6" w:rsidP="00394372">
            <w:pPr>
              <w:rPr>
                <w:rFonts w:ascii="Calibri" w:hAnsi="Calibri"/>
                <w:bCs/>
                <w:lang w:eastAsia="ja-JP"/>
              </w:rPr>
            </w:pPr>
            <w:r w:rsidRPr="00912996">
              <w:rPr>
                <w:rFonts w:ascii="Calibri" w:hAnsi="Calibri"/>
                <w:bCs/>
                <w:lang w:eastAsia="ja-JP"/>
              </w:rPr>
              <w:t>12</w:t>
            </w:r>
          </w:p>
        </w:tc>
        <w:tc>
          <w:tcPr>
            <w:tcW w:w="2250" w:type="dxa"/>
            <w:shd w:val="clear" w:color="auto" w:fill="F2F2F2"/>
          </w:tcPr>
          <w:p w14:paraId="61536E79" w14:textId="77777777" w:rsidR="001A54E6" w:rsidRPr="00912996" w:rsidRDefault="001A54E6" w:rsidP="00394372">
            <w:pPr>
              <w:rPr>
                <w:rFonts w:ascii="Calibri" w:hAnsi="Calibri"/>
                <w:bCs/>
                <w:lang w:eastAsia="ja-JP"/>
              </w:rPr>
            </w:pPr>
            <w:r w:rsidRPr="00912996">
              <w:rPr>
                <w:rFonts w:ascii="Calibri" w:hAnsi="Calibri"/>
                <w:bCs/>
                <w:lang w:eastAsia="ja-JP"/>
              </w:rPr>
              <w:t>Implementarea unui sistem de colectare deșeuri de tip DEE și voluminoase – mobilier, textile, jucării, cărți, etc – care pot fi verificate și pregătite pentru reutilizare</w:t>
            </w:r>
          </w:p>
        </w:tc>
        <w:tc>
          <w:tcPr>
            <w:tcW w:w="1530" w:type="dxa"/>
            <w:shd w:val="clear" w:color="auto" w:fill="F2F2F2"/>
          </w:tcPr>
          <w:p w14:paraId="58C211DD" w14:textId="77777777" w:rsidR="001A54E6" w:rsidRPr="00912996" w:rsidRDefault="001A54E6" w:rsidP="00394372">
            <w:pPr>
              <w:rPr>
                <w:rFonts w:ascii="Calibri" w:hAnsi="Calibri"/>
                <w:bCs/>
                <w:lang w:eastAsia="ja-JP"/>
              </w:rPr>
            </w:pPr>
            <w:r w:rsidRPr="00912996">
              <w:rPr>
                <w:rFonts w:ascii="Calibri" w:hAnsi="Calibri"/>
                <w:bCs/>
                <w:lang w:eastAsia="ja-JP"/>
              </w:rPr>
              <w:t>PS2, parteneri privați, ONG-uri, Entități de economie socială</w:t>
            </w:r>
          </w:p>
        </w:tc>
        <w:tc>
          <w:tcPr>
            <w:tcW w:w="1620" w:type="dxa"/>
            <w:shd w:val="clear" w:color="auto" w:fill="F2F2F2"/>
            <w:noWrap/>
          </w:tcPr>
          <w:p w14:paraId="2834396E"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tcPr>
          <w:p w14:paraId="768C0B3F"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tcPr>
          <w:p w14:paraId="75986B5E"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tcPr>
          <w:p w14:paraId="735BDC2C" w14:textId="77777777" w:rsidR="001A54E6" w:rsidRPr="00912996" w:rsidRDefault="001A54E6" w:rsidP="00394372">
            <w:pPr>
              <w:rPr>
                <w:rFonts w:ascii="Calibri" w:hAnsi="Calibri"/>
                <w:bCs/>
                <w:lang w:eastAsia="ja-JP"/>
              </w:rPr>
            </w:pPr>
            <w:r>
              <w:rPr>
                <w:rFonts w:ascii="Calibri" w:hAnsi="Calibri"/>
                <w:bCs/>
                <w:lang w:eastAsia="ja-JP"/>
              </w:rPr>
              <w:t>2</w:t>
            </w:r>
            <w:r w:rsidRPr="00912996">
              <w:rPr>
                <w:rFonts w:ascii="Calibri" w:hAnsi="Calibri"/>
                <w:bCs/>
                <w:lang w:eastAsia="ja-JP"/>
              </w:rPr>
              <w:t>023 - 2027</w:t>
            </w:r>
          </w:p>
        </w:tc>
        <w:tc>
          <w:tcPr>
            <w:tcW w:w="1881" w:type="dxa"/>
            <w:shd w:val="clear" w:color="auto" w:fill="F2F2F2"/>
          </w:tcPr>
          <w:p w14:paraId="261A7AE6"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tcPr>
          <w:p w14:paraId="60E9873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tcPr>
          <w:p w14:paraId="79F55BFD" w14:textId="77777777" w:rsidR="001A54E6" w:rsidRPr="00912996" w:rsidRDefault="001A54E6" w:rsidP="00394372">
            <w:pPr>
              <w:rPr>
                <w:rFonts w:ascii="Calibri" w:hAnsi="Calibri"/>
                <w:bCs/>
                <w:lang w:eastAsia="ja-JP"/>
              </w:rPr>
            </w:pPr>
            <w:r w:rsidRPr="00912996">
              <w:rPr>
                <w:rFonts w:ascii="Calibri" w:hAnsi="Calibri"/>
                <w:bCs/>
                <w:lang w:eastAsia="ja-JP"/>
              </w:rPr>
              <w:t>Propuneri consultări publice</w:t>
            </w:r>
          </w:p>
        </w:tc>
      </w:tr>
      <w:tr w:rsidR="00AC2FFA" w:rsidRPr="00912996" w14:paraId="4DC481F7" w14:textId="77777777" w:rsidTr="008C1D07">
        <w:trPr>
          <w:gridAfter w:val="9"/>
          <w:wAfter w:w="15421" w:type="dxa"/>
          <w:trHeight w:val="894"/>
        </w:trPr>
        <w:tc>
          <w:tcPr>
            <w:tcW w:w="625" w:type="dxa"/>
            <w:shd w:val="clear" w:color="auto" w:fill="F2F2F2"/>
            <w:noWrap/>
          </w:tcPr>
          <w:p w14:paraId="528D8868" w14:textId="77777777" w:rsidR="001A54E6" w:rsidRPr="00912996" w:rsidRDefault="001A54E6" w:rsidP="00394372">
            <w:pPr>
              <w:rPr>
                <w:rFonts w:ascii="Calibri" w:hAnsi="Calibri"/>
                <w:bCs/>
                <w:lang w:eastAsia="ja-JP"/>
              </w:rPr>
            </w:pPr>
            <w:r w:rsidRPr="00912996">
              <w:rPr>
                <w:rFonts w:ascii="Calibri" w:hAnsi="Calibri"/>
                <w:bCs/>
                <w:lang w:eastAsia="ja-JP"/>
              </w:rPr>
              <w:t>13</w:t>
            </w:r>
          </w:p>
        </w:tc>
        <w:tc>
          <w:tcPr>
            <w:tcW w:w="2250" w:type="dxa"/>
            <w:shd w:val="clear" w:color="auto" w:fill="F2F2F2"/>
          </w:tcPr>
          <w:p w14:paraId="1AB6E449" w14:textId="77777777" w:rsidR="001A54E6" w:rsidRPr="00912996" w:rsidRDefault="001A54E6" w:rsidP="00394372">
            <w:pPr>
              <w:rPr>
                <w:rFonts w:ascii="Calibri" w:hAnsi="Calibri"/>
                <w:bCs/>
                <w:lang w:eastAsia="ja-JP"/>
              </w:rPr>
            </w:pPr>
            <w:r w:rsidRPr="00912996">
              <w:rPr>
                <w:rFonts w:ascii="Calibri" w:hAnsi="Calibri"/>
                <w:bCs/>
                <w:lang w:eastAsia="ja-JP"/>
              </w:rPr>
              <w:t>Campanii privind recondiționarea, reutilizarea și repararea deșeurilor</w:t>
            </w:r>
          </w:p>
        </w:tc>
        <w:tc>
          <w:tcPr>
            <w:tcW w:w="1530" w:type="dxa"/>
            <w:shd w:val="clear" w:color="auto" w:fill="F2F2F2"/>
          </w:tcPr>
          <w:p w14:paraId="75608A93" w14:textId="77777777" w:rsidR="001A54E6" w:rsidRPr="00912996" w:rsidRDefault="001A54E6" w:rsidP="00394372">
            <w:pPr>
              <w:rPr>
                <w:rFonts w:ascii="Calibri" w:hAnsi="Calibri"/>
                <w:bCs/>
                <w:lang w:eastAsia="ja-JP"/>
              </w:rPr>
            </w:pPr>
            <w:r w:rsidRPr="00912996">
              <w:rPr>
                <w:rFonts w:ascii="Calibri" w:hAnsi="Calibri"/>
                <w:bCs/>
                <w:lang w:eastAsia="ja-JP"/>
              </w:rPr>
              <w:t>PS2, parteneri privați, ONG-uri, Entități de economie socială</w:t>
            </w:r>
          </w:p>
        </w:tc>
        <w:tc>
          <w:tcPr>
            <w:tcW w:w="1620" w:type="dxa"/>
            <w:shd w:val="clear" w:color="auto" w:fill="F2F2F2"/>
            <w:noWrap/>
          </w:tcPr>
          <w:p w14:paraId="13B1233D"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tcPr>
          <w:p w14:paraId="0DA19C20"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tcPr>
          <w:p w14:paraId="0BEF3D9D"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tcPr>
          <w:p w14:paraId="741B562C" w14:textId="77777777" w:rsidR="001A54E6" w:rsidRPr="00912996" w:rsidRDefault="001A54E6" w:rsidP="00394372">
            <w:pPr>
              <w:rPr>
                <w:rFonts w:ascii="Calibri" w:hAnsi="Calibri"/>
                <w:bCs/>
                <w:lang w:eastAsia="ja-JP"/>
              </w:rPr>
            </w:pPr>
            <w:r>
              <w:rPr>
                <w:rFonts w:ascii="Calibri" w:hAnsi="Calibri"/>
                <w:bCs/>
                <w:lang w:eastAsia="ja-JP"/>
              </w:rPr>
              <w:t>2</w:t>
            </w:r>
            <w:r w:rsidRPr="00912996">
              <w:rPr>
                <w:rFonts w:ascii="Calibri" w:hAnsi="Calibri"/>
                <w:bCs/>
                <w:lang w:eastAsia="ja-JP"/>
              </w:rPr>
              <w:t>023 - 2027</w:t>
            </w:r>
          </w:p>
        </w:tc>
        <w:tc>
          <w:tcPr>
            <w:tcW w:w="1881" w:type="dxa"/>
            <w:shd w:val="clear" w:color="auto" w:fill="F2F2F2"/>
          </w:tcPr>
          <w:p w14:paraId="57C5C148"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tcPr>
          <w:p w14:paraId="5894C53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tcPr>
          <w:p w14:paraId="5E5DC111" w14:textId="77777777" w:rsidR="001A54E6" w:rsidRPr="00912996" w:rsidRDefault="001A54E6" w:rsidP="00394372">
            <w:pPr>
              <w:rPr>
                <w:rFonts w:ascii="Calibri" w:hAnsi="Calibri"/>
                <w:bCs/>
                <w:lang w:eastAsia="ja-JP"/>
              </w:rPr>
            </w:pPr>
            <w:r w:rsidRPr="00912996">
              <w:rPr>
                <w:rFonts w:ascii="Calibri" w:hAnsi="Calibri"/>
                <w:bCs/>
                <w:lang w:eastAsia="ja-JP"/>
              </w:rPr>
              <w:t>Propuneri consultări publice</w:t>
            </w:r>
          </w:p>
        </w:tc>
      </w:tr>
      <w:tr w:rsidR="00AC2FFA" w:rsidRPr="00912996" w14:paraId="2DAD7CE5" w14:textId="77777777" w:rsidTr="008C1D07">
        <w:trPr>
          <w:gridAfter w:val="9"/>
          <w:wAfter w:w="15421" w:type="dxa"/>
          <w:trHeight w:val="2163"/>
        </w:trPr>
        <w:tc>
          <w:tcPr>
            <w:tcW w:w="625" w:type="dxa"/>
            <w:shd w:val="clear" w:color="auto" w:fill="F2F2F2"/>
            <w:noWrap/>
          </w:tcPr>
          <w:p w14:paraId="06BAC3F0" w14:textId="77777777" w:rsidR="001A54E6" w:rsidRPr="00912996" w:rsidRDefault="001A54E6" w:rsidP="00394372">
            <w:pPr>
              <w:rPr>
                <w:rFonts w:ascii="Calibri" w:hAnsi="Calibri"/>
                <w:bCs/>
                <w:lang w:eastAsia="ja-JP"/>
              </w:rPr>
            </w:pPr>
            <w:r w:rsidRPr="00912996">
              <w:rPr>
                <w:rFonts w:ascii="Calibri" w:hAnsi="Calibri"/>
                <w:bCs/>
                <w:lang w:eastAsia="ja-JP"/>
              </w:rPr>
              <w:t>14</w:t>
            </w:r>
          </w:p>
        </w:tc>
        <w:tc>
          <w:tcPr>
            <w:tcW w:w="2250" w:type="dxa"/>
            <w:shd w:val="clear" w:color="auto" w:fill="F2F2F2"/>
          </w:tcPr>
          <w:p w14:paraId="45FB948C" w14:textId="77777777" w:rsidR="001A54E6" w:rsidRPr="00912996" w:rsidRDefault="001A54E6" w:rsidP="00394372">
            <w:pPr>
              <w:rPr>
                <w:rFonts w:ascii="Calibri" w:hAnsi="Calibri"/>
                <w:bCs/>
                <w:lang w:eastAsia="ja-JP"/>
              </w:rPr>
            </w:pPr>
            <w:r w:rsidRPr="00912996">
              <w:rPr>
                <w:rFonts w:ascii="Calibri" w:hAnsi="Calibri"/>
                <w:bCs/>
                <w:lang w:eastAsia="ja-JP"/>
              </w:rPr>
              <w:t>Crearea unei platforme la nivelul sectorului 2 care să includă detalii despre operatorii de deșeuri și tipurile de deșeuri care pot fi colectate și recondiționate</w:t>
            </w:r>
          </w:p>
        </w:tc>
        <w:tc>
          <w:tcPr>
            <w:tcW w:w="1530" w:type="dxa"/>
            <w:shd w:val="clear" w:color="auto" w:fill="F2F2F2"/>
          </w:tcPr>
          <w:p w14:paraId="5F7E87D7" w14:textId="77777777" w:rsidR="001A54E6" w:rsidRPr="00912996" w:rsidRDefault="001A54E6" w:rsidP="00394372">
            <w:pPr>
              <w:rPr>
                <w:rFonts w:ascii="Calibri" w:hAnsi="Calibri"/>
                <w:bCs/>
                <w:lang w:eastAsia="ja-JP"/>
              </w:rPr>
            </w:pPr>
            <w:r w:rsidRPr="00912996">
              <w:rPr>
                <w:rFonts w:ascii="Calibri" w:hAnsi="Calibri"/>
                <w:bCs/>
                <w:lang w:eastAsia="ja-JP"/>
              </w:rPr>
              <w:t>PS2, parteneri privați, ONG-uri, Entități de economie socială</w:t>
            </w:r>
          </w:p>
        </w:tc>
        <w:tc>
          <w:tcPr>
            <w:tcW w:w="1620" w:type="dxa"/>
            <w:shd w:val="clear" w:color="auto" w:fill="F2F2F2"/>
            <w:noWrap/>
          </w:tcPr>
          <w:p w14:paraId="142E19CD"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tcPr>
          <w:p w14:paraId="47A08704"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tcPr>
          <w:p w14:paraId="74689179"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tcPr>
          <w:p w14:paraId="6AA1B3CF" w14:textId="77777777" w:rsidR="001A54E6" w:rsidRPr="00912996" w:rsidRDefault="001A54E6" w:rsidP="00394372">
            <w:pPr>
              <w:rPr>
                <w:rFonts w:ascii="Calibri" w:hAnsi="Calibri"/>
                <w:bCs/>
                <w:lang w:eastAsia="ja-JP"/>
              </w:rPr>
            </w:pPr>
            <w:r>
              <w:rPr>
                <w:rFonts w:ascii="Calibri" w:hAnsi="Calibri"/>
                <w:bCs/>
                <w:lang w:eastAsia="ja-JP"/>
              </w:rPr>
              <w:t>2</w:t>
            </w:r>
            <w:r w:rsidRPr="00912996">
              <w:rPr>
                <w:rFonts w:ascii="Calibri" w:hAnsi="Calibri"/>
                <w:bCs/>
                <w:lang w:eastAsia="ja-JP"/>
              </w:rPr>
              <w:t>023 - 2027</w:t>
            </w:r>
          </w:p>
        </w:tc>
        <w:tc>
          <w:tcPr>
            <w:tcW w:w="1881" w:type="dxa"/>
            <w:shd w:val="clear" w:color="auto" w:fill="F2F2F2"/>
          </w:tcPr>
          <w:p w14:paraId="587BF8EB" w14:textId="77777777" w:rsidR="001A54E6" w:rsidRPr="00912996" w:rsidRDefault="001A54E6" w:rsidP="00394372">
            <w:pPr>
              <w:rPr>
                <w:rFonts w:ascii="Calibri" w:hAnsi="Calibri"/>
                <w:bCs/>
                <w:lang w:eastAsia="ja-JP"/>
              </w:rPr>
            </w:pPr>
            <w:r w:rsidRPr="00912996">
              <w:rPr>
                <w:rFonts w:ascii="Calibri" w:hAnsi="Calibri"/>
                <w:bCs/>
                <w:lang w:eastAsia="ja-JP"/>
              </w:rPr>
              <w:t>PO DD 2021-2027 AP 2, Bugetul local</w:t>
            </w:r>
          </w:p>
        </w:tc>
        <w:tc>
          <w:tcPr>
            <w:tcW w:w="1260" w:type="dxa"/>
            <w:shd w:val="clear" w:color="auto" w:fill="F2F2F2"/>
          </w:tcPr>
          <w:p w14:paraId="27093EB7"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tcPr>
          <w:p w14:paraId="28B7C92D" w14:textId="77777777" w:rsidR="001A54E6" w:rsidRPr="00912996" w:rsidRDefault="001A54E6" w:rsidP="00394372">
            <w:pPr>
              <w:rPr>
                <w:rFonts w:ascii="Calibri" w:hAnsi="Calibri"/>
                <w:bCs/>
                <w:lang w:eastAsia="ja-JP"/>
              </w:rPr>
            </w:pPr>
            <w:r w:rsidRPr="00912996">
              <w:rPr>
                <w:rFonts w:ascii="Calibri" w:hAnsi="Calibri"/>
                <w:bCs/>
                <w:lang w:eastAsia="ja-JP"/>
              </w:rPr>
              <w:t>Propuneri consultări publice</w:t>
            </w:r>
          </w:p>
        </w:tc>
      </w:tr>
      <w:tr w:rsidR="00AC2FFA" w:rsidRPr="00912996" w14:paraId="308BEC11" w14:textId="77777777" w:rsidTr="00E2442E">
        <w:trPr>
          <w:gridAfter w:val="9"/>
          <w:wAfter w:w="15421" w:type="dxa"/>
          <w:trHeight w:val="792"/>
        </w:trPr>
        <w:tc>
          <w:tcPr>
            <w:tcW w:w="625" w:type="dxa"/>
            <w:shd w:val="clear" w:color="auto" w:fill="F2F2F2"/>
            <w:noWrap/>
          </w:tcPr>
          <w:p w14:paraId="739D23D9" w14:textId="77777777" w:rsidR="001A54E6" w:rsidRPr="00912996" w:rsidRDefault="001A54E6" w:rsidP="00394372">
            <w:pPr>
              <w:rPr>
                <w:rFonts w:ascii="Calibri" w:hAnsi="Calibri"/>
                <w:bCs/>
                <w:lang w:eastAsia="ja-JP"/>
              </w:rPr>
            </w:pPr>
            <w:r>
              <w:rPr>
                <w:rFonts w:ascii="Calibri" w:hAnsi="Calibri"/>
                <w:bCs/>
                <w:lang w:eastAsia="ja-JP"/>
              </w:rPr>
              <w:t>15</w:t>
            </w:r>
          </w:p>
        </w:tc>
        <w:tc>
          <w:tcPr>
            <w:tcW w:w="2250" w:type="dxa"/>
            <w:shd w:val="clear" w:color="auto" w:fill="F2F2F2"/>
          </w:tcPr>
          <w:p w14:paraId="6E7520AF" w14:textId="77777777" w:rsidR="001A54E6" w:rsidRPr="00912996" w:rsidRDefault="001A54E6" w:rsidP="00394372">
            <w:pPr>
              <w:rPr>
                <w:rFonts w:ascii="Calibri" w:hAnsi="Calibri"/>
                <w:bCs/>
                <w:lang w:eastAsia="ja-JP"/>
              </w:rPr>
            </w:pPr>
            <w:r w:rsidRPr="00DC4E8A">
              <w:rPr>
                <w:rFonts w:ascii="Calibri" w:hAnsi="Calibri"/>
                <w:bCs/>
                <w:lang w:eastAsia="ja-JP"/>
              </w:rPr>
              <w:t>Infrastructură de colectare separată pentru atingerea obiectivelor de reciclare a deșeurilor din Sectorul 2, Municipiul București</w:t>
            </w:r>
          </w:p>
        </w:tc>
        <w:tc>
          <w:tcPr>
            <w:tcW w:w="1530" w:type="dxa"/>
            <w:shd w:val="clear" w:color="auto" w:fill="F2F2F2"/>
          </w:tcPr>
          <w:p w14:paraId="1E73C64C" w14:textId="77777777" w:rsidR="001A54E6" w:rsidRPr="00912996" w:rsidRDefault="001A54E6" w:rsidP="00394372">
            <w:pPr>
              <w:rPr>
                <w:rFonts w:ascii="Calibri" w:hAnsi="Calibri"/>
                <w:bCs/>
                <w:lang w:eastAsia="ja-JP"/>
              </w:rPr>
            </w:pPr>
            <w:r w:rsidRPr="00DC4E8A">
              <w:rPr>
                <w:rFonts w:ascii="Calibri" w:hAnsi="Calibri"/>
                <w:bCs/>
                <w:lang w:eastAsia="ja-JP"/>
              </w:rPr>
              <w:t>PS2</w:t>
            </w:r>
          </w:p>
        </w:tc>
        <w:tc>
          <w:tcPr>
            <w:tcW w:w="1620" w:type="dxa"/>
            <w:shd w:val="clear" w:color="auto" w:fill="F2F2F2"/>
            <w:noWrap/>
          </w:tcPr>
          <w:p w14:paraId="5A8B1AAA" w14:textId="77777777" w:rsidR="001A54E6" w:rsidRPr="00912996" w:rsidRDefault="001A54E6" w:rsidP="00394372">
            <w:pPr>
              <w:rPr>
                <w:rFonts w:ascii="Calibri" w:hAnsi="Calibri"/>
                <w:bCs/>
                <w:lang w:eastAsia="ja-JP"/>
              </w:rPr>
            </w:pPr>
            <w:r>
              <w:rPr>
                <w:rFonts w:ascii="Calibri" w:hAnsi="Calibri"/>
                <w:bCs/>
                <w:lang w:eastAsia="ja-JP"/>
              </w:rPr>
              <w:t>Î</w:t>
            </w:r>
            <w:r w:rsidRPr="00DC4E8A">
              <w:rPr>
                <w:rFonts w:ascii="Calibri" w:hAnsi="Calibri"/>
                <w:bCs/>
                <w:lang w:eastAsia="ja-JP"/>
              </w:rPr>
              <w:t>n implementare</w:t>
            </w:r>
          </w:p>
        </w:tc>
        <w:tc>
          <w:tcPr>
            <w:tcW w:w="1260" w:type="dxa"/>
            <w:shd w:val="clear" w:color="auto" w:fill="F2F2F2"/>
            <w:noWrap/>
          </w:tcPr>
          <w:p w14:paraId="258AC96C" w14:textId="77777777" w:rsidR="001A54E6" w:rsidRDefault="001A54E6" w:rsidP="00394372">
            <w:pPr>
              <w:rPr>
                <w:rFonts w:ascii="Calibri" w:hAnsi="Calibri"/>
                <w:bCs/>
                <w:lang w:eastAsia="ja-JP"/>
              </w:rPr>
            </w:pPr>
            <w:r w:rsidRPr="00DC4E8A">
              <w:rPr>
                <w:rFonts w:ascii="Calibri" w:hAnsi="Calibri"/>
                <w:bCs/>
                <w:lang w:eastAsia="ja-JP"/>
              </w:rPr>
              <w:t>114.769.965</w:t>
            </w:r>
          </w:p>
        </w:tc>
        <w:tc>
          <w:tcPr>
            <w:tcW w:w="1260" w:type="dxa"/>
            <w:shd w:val="clear" w:color="auto" w:fill="F2F2F2"/>
            <w:noWrap/>
          </w:tcPr>
          <w:p w14:paraId="585DE9A8" w14:textId="77777777" w:rsidR="001A54E6" w:rsidRDefault="001A54E6" w:rsidP="00394372">
            <w:pPr>
              <w:rPr>
                <w:rFonts w:ascii="Calibri" w:hAnsi="Calibri"/>
                <w:bCs/>
                <w:lang w:eastAsia="ja-JP"/>
              </w:rPr>
            </w:pPr>
            <w:r w:rsidRPr="00DC4E8A">
              <w:rPr>
                <w:rFonts w:ascii="Calibri" w:hAnsi="Calibri"/>
                <w:bCs/>
                <w:lang w:eastAsia="ja-JP"/>
              </w:rPr>
              <w:t>2.342.237</w:t>
            </w:r>
          </w:p>
        </w:tc>
        <w:tc>
          <w:tcPr>
            <w:tcW w:w="1089" w:type="dxa"/>
            <w:shd w:val="clear" w:color="auto" w:fill="F2F2F2"/>
            <w:noWrap/>
          </w:tcPr>
          <w:p w14:paraId="25D9BF6E" w14:textId="77777777" w:rsidR="001A54E6" w:rsidRPr="00912996" w:rsidRDefault="001A54E6" w:rsidP="00394372">
            <w:pPr>
              <w:rPr>
                <w:rFonts w:ascii="Calibri" w:hAnsi="Calibri"/>
                <w:bCs/>
                <w:lang w:eastAsia="ja-JP"/>
              </w:rPr>
            </w:pPr>
            <w:r w:rsidRPr="00DC4E8A">
              <w:rPr>
                <w:rFonts w:ascii="Calibri" w:hAnsi="Calibri"/>
                <w:bCs/>
                <w:lang w:eastAsia="ja-JP"/>
              </w:rPr>
              <w:t>2022</w:t>
            </w:r>
            <w:r>
              <w:rPr>
                <w:rFonts w:ascii="Calibri" w:hAnsi="Calibri"/>
                <w:bCs/>
                <w:lang w:eastAsia="ja-JP"/>
              </w:rPr>
              <w:t xml:space="preserve"> </w:t>
            </w:r>
            <w:r w:rsidRPr="00DC4E8A">
              <w:rPr>
                <w:rFonts w:ascii="Calibri" w:hAnsi="Calibri"/>
                <w:bCs/>
                <w:lang w:eastAsia="ja-JP"/>
              </w:rPr>
              <w:t>-2023</w:t>
            </w:r>
          </w:p>
        </w:tc>
        <w:tc>
          <w:tcPr>
            <w:tcW w:w="1881" w:type="dxa"/>
            <w:shd w:val="clear" w:color="auto" w:fill="F2F2F2"/>
          </w:tcPr>
          <w:p w14:paraId="2D9199EE" w14:textId="77777777" w:rsidR="001A54E6" w:rsidRPr="00912996" w:rsidRDefault="001A54E6" w:rsidP="00394372">
            <w:pPr>
              <w:rPr>
                <w:rFonts w:ascii="Calibri" w:hAnsi="Calibri"/>
                <w:bCs/>
                <w:lang w:eastAsia="ja-JP"/>
              </w:rPr>
            </w:pPr>
            <w:r w:rsidRPr="00DC4E8A">
              <w:rPr>
                <w:rFonts w:ascii="Calibri" w:hAnsi="Calibri"/>
                <w:bCs/>
                <w:lang w:eastAsia="ja-JP"/>
              </w:rPr>
              <w:t>POIM 2014-2020</w:t>
            </w:r>
          </w:p>
        </w:tc>
        <w:tc>
          <w:tcPr>
            <w:tcW w:w="1260" w:type="dxa"/>
            <w:shd w:val="clear" w:color="auto" w:fill="F2F2F2"/>
          </w:tcPr>
          <w:p w14:paraId="45CB176D" w14:textId="77777777" w:rsidR="001A54E6" w:rsidRPr="00912996" w:rsidRDefault="001A54E6" w:rsidP="00394372">
            <w:pPr>
              <w:rPr>
                <w:rFonts w:ascii="Calibri" w:hAnsi="Calibri"/>
                <w:bCs/>
                <w:lang w:eastAsia="ja-JP"/>
              </w:rPr>
            </w:pPr>
            <w:r w:rsidRPr="00DC4E8A">
              <w:rPr>
                <w:rFonts w:ascii="Calibri" w:hAnsi="Calibri"/>
                <w:bCs/>
                <w:lang w:eastAsia="ja-JP"/>
              </w:rPr>
              <w:t>Lista lungă de proiecte</w:t>
            </w:r>
          </w:p>
        </w:tc>
        <w:tc>
          <w:tcPr>
            <w:tcW w:w="1440" w:type="dxa"/>
            <w:shd w:val="clear" w:color="auto" w:fill="F2F2F2"/>
            <w:noWrap/>
          </w:tcPr>
          <w:p w14:paraId="1B4E93E1" w14:textId="282E58B1" w:rsidR="001A54E6" w:rsidRPr="00912996" w:rsidRDefault="001A54E6" w:rsidP="00394372">
            <w:pPr>
              <w:rPr>
                <w:rFonts w:ascii="Calibri" w:hAnsi="Calibri"/>
                <w:bCs/>
                <w:lang w:eastAsia="ja-JP"/>
              </w:rPr>
            </w:pPr>
            <w:r w:rsidRPr="00DC4E8A">
              <w:rPr>
                <w:rFonts w:ascii="Calibri" w:hAnsi="Calibri"/>
                <w:bCs/>
                <w:lang w:eastAsia="ja-JP"/>
              </w:rPr>
              <w:t>PS2/DGPDUFE</w:t>
            </w:r>
          </w:p>
        </w:tc>
      </w:tr>
      <w:tr w:rsidR="00AC2FFA" w:rsidRPr="00912996" w14:paraId="10DE0C8D" w14:textId="77777777" w:rsidTr="00E2442E">
        <w:trPr>
          <w:gridAfter w:val="9"/>
          <w:wAfter w:w="15421" w:type="dxa"/>
          <w:trHeight w:val="792"/>
        </w:trPr>
        <w:tc>
          <w:tcPr>
            <w:tcW w:w="625" w:type="dxa"/>
            <w:shd w:val="clear" w:color="auto" w:fill="F2F2F2"/>
            <w:noWrap/>
          </w:tcPr>
          <w:p w14:paraId="02EC0D0A" w14:textId="77777777" w:rsidR="001A54E6" w:rsidRDefault="001A54E6" w:rsidP="00394372">
            <w:pPr>
              <w:rPr>
                <w:rFonts w:ascii="Calibri" w:hAnsi="Calibri"/>
                <w:bCs/>
                <w:lang w:eastAsia="ja-JP"/>
              </w:rPr>
            </w:pPr>
            <w:r>
              <w:rPr>
                <w:rFonts w:ascii="Calibri" w:hAnsi="Calibri"/>
                <w:bCs/>
                <w:lang w:eastAsia="ja-JP"/>
              </w:rPr>
              <w:t>16</w:t>
            </w:r>
          </w:p>
        </w:tc>
        <w:tc>
          <w:tcPr>
            <w:tcW w:w="2250" w:type="dxa"/>
            <w:shd w:val="clear" w:color="auto" w:fill="F2F2F2"/>
          </w:tcPr>
          <w:p w14:paraId="34BCE956" w14:textId="77777777" w:rsidR="001A54E6" w:rsidRPr="00DC4E8A" w:rsidRDefault="001A54E6" w:rsidP="00394372">
            <w:pPr>
              <w:rPr>
                <w:rFonts w:ascii="Calibri" w:hAnsi="Calibri"/>
                <w:bCs/>
                <w:lang w:eastAsia="ja-JP"/>
              </w:rPr>
            </w:pPr>
            <w:r w:rsidRPr="00DC4E8A">
              <w:rPr>
                <w:rFonts w:ascii="Calibri" w:hAnsi="Calibri"/>
                <w:bCs/>
                <w:lang w:eastAsia="ja-JP"/>
              </w:rPr>
              <w:t>“Curățăm Sectorul 2”</w:t>
            </w:r>
          </w:p>
        </w:tc>
        <w:tc>
          <w:tcPr>
            <w:tcW w:w="1530" w:type="dxa"/>
            <w:shd w:val="clear" w:color="auto" w:fill="F2F2F2"/>
          </w:tcPr>
          <w:p w14:paraId="4E5064A1" w14:textId="77777777" w:rsidR="001A54E6" w:rsidRPr="00DC4E8A" w:rsidRDefault="001A54E6" w:rsidP="00394372">
            <w:pPr>
              <w:rPr>
                <w:rFonts w:ascii="Calibri" w:hAnsi="Calibri"/>
                <w:bCs/>
                <w:lang w:eastAsia="ja-JP"/>
              </w:rPr>
            </w:pPr>
            <w:r w:rsidRPr="00DC4E8A">
              <w:rPr>
                <w:rFonts w:ascii="Calibri" w:hAnsi="Calibri"/>
                <w:bCs/>
                <w:lang w:eastAsia="ja-JP"/>
              </w:rPr>
              <w:t>PS2</w:t>
            </w:r>
          </w:p>
          <w:p w14:paraId="7D3163E7" w14:textId="77777777" w:rsidR="001A54E6" w:rsidRPr="00DC4E8A" w:rsidRDefault="001A54E6" w:rsidP="00394372">
            <w:pPr>
              <w:rPr>
                <w:rFonts w:ascii="Calibri" w:hAnsi="Calibri"/>
                <w:bCs/>
                <w:lang w:eastAsia="ja-JP"/>
              </w:rPr>
            </w:pPr>
          </w:p>
        </w:tc>
        <w:tc>
          <w:tcPr>
            <w:tcW w:w="1620" w:type="dxa"/>
            <w:shd w:val="clear" w:color="auto" w:fill="F2F2F2"/>
            <w:noWrap/>
          </w:tcPr>
          <w:p w14:paraId="6AD298F0" w14:textId="77777777" w:rsidR="001A54E6" w:rsidRPr="00DC4E8A" w:rsidRDefault="001A54E6" w:rsidP="00394372">
            <w:pPr>
              <w:rPr>
                <w:rFonts w:ascii="Calibri" w:hAnsi="Calibri"/>
                <w:bCs/>
                <w:lang w:eastAsia="ja-JP"/>
              </w:rPr>
            </w:pPr>
            <w:r>
              <w:rPr>
                <w:rFonts w:ascii="Calibri" w:hAnsi="Calibri"/>
                <w:bCs/>
                <w:lang w:eastAsia="ja-JP"/>
              </w:rPr>
              <w:t>Î</w:t>
            </w:r>
            <w:r w:rsidRPr="00DC4E8A">
              <w:rPr>
                <w:rFonts w:ascii="Calibri" w:hAnsi="Calibri"/>
                <w:bCs/>
                <w:lang w:eastAsia="ja-JP"/>
              </w:rPr>
              <w:t>n implementare</w:t>
            </w:r>
          </w:p>
        </w:tc>
        <w:tc>
          <w:tcPr>
            <w:tcW w:w="1260" w:type="dxa"/>
            <w:shd w:val="clear" w:color="auto" w:fill="F2F2F2"/>
            <w:noWrap/>
          </w:tcPr>
          <w:p w14:paraId="2C42317D" w14:textId="77777777" w:rsidR="001A54E6" w:rsidRPr="00DC4E8A" w:rsidRDefault="001A54E6" w:rsidP="00394372">
            <w:pPr>
              <w:rPr>
                <w:rFonts w:ascii="Calibri" w:hAnsi="Calibri"/>
                <w:bCs/>
                <w:lang w:eastAsia="ja-JP"/>
              </w:rPr>
            </w:pPr>
            <w:r w:rsidRPr="00DC4E8A">
              <w:rPr>
                <w:rFonts w:ascii="Calibri" w:hAnsi="Calibri"/>
                <w:bCs/>
                <w:lang w:eastAsia="ja-JP"/>
              </w:rPr>
              <w:t>27.000</w:t>
            </w:r>
          </w:p>
        </w:tc>
        <w:tc>
          <w:tcPr>
            <w:tcW w:w="1260" w:type="dxa"/>
            <w:shd w:val="clear" w:color="auto" w:fill="F2F2F2"/>
            <w:noWrap/>
          </w:tcPr>
          <w:p w14:paraId="02715D75" w14:textId="77777777" w:rsidR="001A54E6" w:rsidRPr="00DC4E8A" w:rsidRDefault="001A54E6" w:rsidP="00394372">
            <w:pPr>
              <w:rPr>
                <w:rFonts w:ascii="Calibri" w:hAnsi="Calibri"/>
                <w:bCs/>
                <w:lang w:eastAsia="ja-JP"/>
              </w:rPr>
            </w:pPr>
            <w:r w:rsidRPr="00DC4E8A">
              <w:rPr>
                <w:rFonts w:ascii="Calibri" w:hAnsi="Calibri"/>
                <w:bCs/>
                <w:lang w:eastAsia="ja-JP"/>
              </w:rPr>
              <w:t>5.510,20</w:t>
            </w:r>
          </w:p>
        </w:tc>
        <w:tc>
          <w:tcPr>
            <w:tcW w:w="1089" w:type="dxa"/>
            <w:shd w:val="clear" w:color="auto" w:fill="F2F2F2"/>
            <w:noWrap/>
          </w:tcPr>
          <w:p w14:paraId="521B0B33" w14:textId="77777777" w:rsidR="001A54E6" w:rsidRPr="00DC4E8A" w:rsidRDefault="001A54E6" w:rsidP="00394372">
            <w:pPr>
              <w:rPr>
                <w:rFonts w:ascii="Calibri" w:hAnsi="Calibri"/>
                <w:bCs/>
                <w:lang w:eastAsia="ja-JP"/>
              </w:rPr>
            </w:pPr>
            <w:r w:rsidRPr="00DC4E8A">
              <w:rPr>
                <w:rFonts w:ascii="Calibri" w:hAnsi="Calibri"/>
                <w:bCs/>
                <w:lang w:eastAsia="ja-JP"/>
              </w:rPr>
              <w:t>2023</w:t>
            </w:r>
          </w:p>
        </w:tc>
        <w:tc>
          <w:tcPr>
            <w:tcW w:w="1881" w:type="dxa"/>
            <w:shd w:val="clear" w:color="auto" w:fill="F2F2F2"/>
          </w:tcPr>
          <w:p w14:paraId="7289781F" w14:textId="77777777" w:rsidR="001A54E6" w:rsidRPr="00DC4E8A" w:rsidRDefault="001A54E6" w:rsidP="00394372">
            <w:pPr>
              <w:rPr>
                <w:rFonts w:ascii="Calibri" w:hAnsi="Calibri"/>
                <w:bCs/>
                <w:lang w:eastAsia="ja-JP"/>
              </w:rPr>
            </w:pPr>
            <w:r w:rsidRPr="00DC4E8A">
              <w:rPr>
                <w:rFonts w:ascii="Calibri" w:hAnsi="Calibri"/>
                <w:bCs/>
                <w:lang w:eastAsia="ja-JP"/>
              </w:rPr>
              <w:t>Administrația Fondului pentru Mediu</w:t>
            </w:r>
          </w:p>
        </w:tc>
        <w:tc>
          <w:tcPr>
            <w:tcW w:w="1260" w:type="dxa"/>
            <w:shd w:val="clear" w:color="auto" w:fill="F2F2F2"/>
          </w:tcPr>
          <w:p w14:paraId="1ED230E1" w14:textId="77777777" w:rsidR="001A54E6" w:rsidRPr="00DC4E8A" w:rsidRDefault="001A54E6" w:rsidP="00394372">
            <w:pPr>
              <w:rPr>
                <w:rFonts w:ascii="Calibri" w:hAnsi="Calibri"/>
                <w:bCs/>
                <w:lang w:eastAsia="ja-JP"/>
              </w:rPr>
            </w:pPr>
            <w:r w:rsidRPr="00DC4E8A">
              <w:rPr>
                <w:rFonts w:ascii="Calibri" w:hAnsi="Calibri"/>
                <w:bCs/>
                <w:lang w:eastAsia="ja-JP"/>
              </w:rPr>
              <w:t>Lista lunga</w:t>
            </w:r>
          </w:p>
        </w:tc>
        <w:tc>
          <w:tcPr>
            <w:tcW w:w="1440" w:type="dxa"/>
            <w:shd w:val="clear" w:color="auto" w:fill="F2F2F2"/>
            <w:noWrap/>
          </w:tcPr>
          <w:p w14:paraId="00A9E5B5" w14:textId="2741F3AF" w:rsidR="001A54E6" w:rsidRPr="00DC4E8A" w:rsidRDefault="001A54E6" w:rsidP="00394372">
            <w:pPr>
              <w:rPr>
                <w:rFonts w:ascii="Calibri" w:hAnsi="Calibri"/>
                <w:bCs/>
                <w:lang w:eastAsia="ja-JP"/>
              </w:rPr>
            </w:pPr>
            <w:r w:rsidRPr="00DC4E8A">
              <w:rPr>
                <w:rFonts w:ascii="Calibri" w:hAnsi="Calibri"/>
                <w:bCs/>
                <w:lang w:eastAsia="ja-JP"/>
              </w:rPr>
              <w:t>PS2/DGPDUFE</w:t>
            </w:r>
          </w:p>
        </w:tc>
      </w:tr>
      <w:tr w:rsidR="00AC2FFA" w:rsidRPr="00912996" w14:paraId="4A17B55D" w14:textId="77777777" w:rsidTr="008C1D07">
        <w:trPr>
          <w:gridAfter w:val="9"/>
          <w:wAfter w:w="15421" w:type="dxa"/>
          <w:trHeight w:val="3117"/>
        </w:trPr>
        <w:tc>
          <w:tcPr>
            <w:tcW w:w="625" w:type="dxa"/>
            <w:shd w:val="clear" w:color="auto" w:fill="F2F2F2"/>
            <w:noWrap/>
          </w:tcPr>
          <w:p w14:paraId="31942EC1" w14:textId="77777777" w:rsidR="001A54E6" w:rsidRDefault="001A54E6" w:rsidP="00394372">
            <w:pPr>
              <w:rPr>
                <w:rFonts w:ascii="Calibri" w:hAnsi="Calibri"/>
                <w:bCs/>
                <w:lang w:eastAsia="ja-JP"/>
              </w:rPr>
            </w:pPr>
            <w:r>
              <w:rPr>
                <w:rFonts w:ascii="Calibri" w:hAnsi="Calibri"/>
                <w:bCs/>
                <w:lang w:eastAsia="ja-JP"/>
              </w:rPr>
              <w:t>17</w:t>
            </w:r>
          </w:p>
        </w:tc>
        <w:tc>
          <w:tcPr>
            <w:tcW w:w="2250" w:type="dxa"/>
            <w:shd w:val="clear" w:color="auto" w:fill="F2F2F2"/>
          </w:tcPr>
          <w:p w14:paraId="1CD26391" w14:textId="77777777" w:rsidR="001A54E6" w:rsidRPr="00DC4E8A" w:rsidRDefault="001A54E6" w:rsidP="00394372">
            <w:pPr>
              <w:rPr>
                <w:rFonts w:ascii="Calibri" w:hAnsi="Calibri"/>
                <w:bCs/>
                <w:lang w:eastAsia="ja-JP"/>
              </w:rPr>
            </w:pPr>
            <w:r w:rsidRPr="00DC4E8A">
              <w:rPr>
                <w:rFonts w:ascii="Calibri" w:hAnsi="Calibri"/>
                <w:bCs/>
                <w:lang w:eastAsia="ja-JP"/>
              </w:rPr>
              <w:t>Planificare participativă pentru reducerea amprentei de carbon Diagnostic participativ, planificare și proiectare urbană pentru regenerarea unui cartier existent cu reducerea amprentei de carbon” – program de finanțare Net Zero Cities</w:t>
            </w:r>
          </w:p>
        </w:tc>
        <w:tc>
          <w:tcPr>
            <w:tcW w:w="1530" w:type="dxa"/>
            <w:shd w:val="clear" w:color="auto" w:fill="F2F2F2"/>
          </w:tcPr>
          <w:p w14:paraId="4E426B68" w14:textId="77777777" w:rsidR="001A54E6" w:rsidRPr="00DC4E8A" w:rsidRDefault="001A54E6" w:rsidP="00394372">
            <w:pPr>
              <w:rPr>
                <w:rFonts w:ascii="Calibri" w:hAnsi="Calibri"/>
                <w:bCs/>
                <w:lang w:eastAsia="ja-JP"/>
              </w:rPr>
            </w:pPr>
            <w:r w:rsidRPr="00DC4E8A">
              <w:rPr>
                <w:rFonts w:ascii="Calibri" w:hAnsi="Calibri"/>
                <w:bCs/>
                <w:lang w:eastAsia="ja-JP"/>
              </w:rPr>
              <w:t>PS2</w:t>
            </w:r>
          </w:p>
        </w:tc>
        <w:tc>
          <w:tcPr>
            <w:tcW w:w="1620" w:type="dxa"/>
            <w:shd w:val="clear" w:color="auto" w:fill="F2F2F2"/>
            <w:noWrap/>
          </w:tcPr>
          <w:p w14:paraId="651F600A" w14:textId="77777777" w:rsidR="001A54E6" w:rsidRPr="00DC4E8A" w:rsidRDefault="001A54E6" w:rsidP="00394372">
            <w:pPr>
              <w:rPr>
                <w:rFonts w:ascii="Calibri" w:hAnsi="Calibri"/>
                <w:bCs/>
                <w:lang w:eastAsia="ja-JP"/>
              </w:rPr>
            </w:pPr>
            <w:r>
              <w:rPr>
                <w:rFonts w:ascii="Calibri" w:hAnsi="Calibri"/>
                <w:bCs/>
                <w:lang w:eastAsia="ja-JP"/>
              </w:rPr>
              <w:t>Î</w:t>
            </w:r>
            <w:r w:rsidRPr="00DC4E8A">
              <w:rPr>
                <w:rFonts w:ascii="Calibri" w:hAnsi="Calibri"/>
                <w:bCs/>
                <w:lang w:eastAsia="ja-JP"/>
              </w:rPr>
              <w:t>n evaluare</w:t>
            </w:r>
          </w:p>
        </w:tc>
        <w:tc>
          <w:tcPr>
            <w:tcW w:w="1260" w:type="dxa"/>
            <w:shd w:val="clear" w:color="auto" w:fill="F2F2F2"/>
            <w:noWrap/>
          </w:tcPr>
          <w:p w14:paraId="7FB44D53" w14:textId="77777777" w:rsidR="001A54E6" w:rsidRPr="00DC4E8A" w:rsidRDefault="001A54E6" w:rsidP="00394372">
            <w:pPr>
              <w:rPr>
                <w:rFonts w:ascii="Calibri" w:hAnsi="Calibri"/>
                <w:bCs/>
                <w:lang w:eastAsia="ja-JP"/>
              </w:rPr>
            </w:pPr>
            <w:r w:rsidRPr="00DC4E8A">
              <w:rPr>
                <w:rFonts w:ascii="Calibri" w:hAnsi="Calibri"/>
                <w:bCs/>
                <w:lang w:eastAsia="ja-JP"/>
              </w:rPr>
              <w:t>N/A</w:t>
            </w:r>
          </w:p>
        </w:tc>
        <w:tc>
          <w:tcPr>
            <w:tcW w:w="1260" w:type="dxa"/>
            <w:shd w:val="clear" w:color="auto" w:fill="F2F2F2"/>
            <w:noWrap/>
          </w:tcPr>
          <w:p w14:paraId="4307665C" w14:textId="77777777" w:rsidR="001A54E6" w:rsidRPr="00DC4E8A" w:rsidRDefault="001A54E6" w:rsidP="00394372">
            <w:pPr>
              <w:rPr>
                <w:rFonts w:ascii="Calibri" w:hAnsi="Calibri"/>
                <w:bCs/>
                <w:lang w:eastAsia="ja-JP"/>
              </w:rPr>
            </w:pPr>
            <w:r w:rsidRPr="00DC4E8A">
              <w:rPr>
                <w:rFonts w:ascii="Calibri" w:hAnsi="Calibri"/>
                <w:bCs/>
                <w:lang w:eastAsia="ja-JP"/>
              </w:rPr>
              <w:t>N/A</w:t>
            </w:r>
          </w:p>
        </w:tc>
        <w:tc>
          <w:tcPr>
            <w:tcW w:w="1089" w:type="dxa"/>
            <w:shd w:val="clear" w:color="auto" w:fill="F2F2F2"/>
            <w:noWrap/>
          </w:tcPr>
          <w:p w14:paraId="0DEE9EFB" w14:textId="77777777" w:rsidR="001A54E6" w:rsidRPr="00DC4E8A" w:rsidRDefault="001A54E6" w:rsidP="00394372">
            <w:pPr>
              <w:rPr>
                <w:rFonts w:ascii="Calibri" w:hAnsi="Calibri"/>
                <w:bCs/>
                <w:lang w:eastAsia="ja-JP"/>
              </w:rPr>
            </w:pPr>
            <w:r w:rsidRPr="00DC4E8A">
              <w:rPr>
                <w:rFonts w:ascii="Calibri" w:hAnsi="Calibri"/>
                <w:bCs/>
                <w:lang w:eastAsia="ja-JP"/>
              </w:rPr>
              <w:t>N/A</w:t>
            </w:r>
          </w:p>
        </w:tc>
        <w:tc>
          <w:tcPr>
            <w:tcW w:w="1881" w:type="dxa"/>
            <w:shd w:val="clear" w:color="auto" w:fill="F2F2F2"/>
          </w:tcPr>
          <w:p w14:paraId="1655C892" w14:textId="77777777" w:rsidR="001A54E6" w:rsidRPr="00DC4E8A" w:rsidRDefault="001A54E6" w:rsidP="00394372">
            <w:pPr>
              <w:rPr>
                <w:rFonts w:ascii="Calibri" w:hAnsi="Calibri"/>
                <w:bCs/>
                <w:lang w:eastAsia="ja-JP"/>
              </w:rPr>
            </w:pPr>
            <w:r w:rsidRPr="00DC4E8A">
              <w:rPr>
                <w:rFonts w:ascii="Calibri" w:hAnsi="Calibri"/>
                <w:bCs/>
                <w:lang w:eastAsia="ja-JP"/>
              </w:rPr>
              <w:t>Net Zero Cities</w:t>
            </w:r>
          </w:p>
        </w:tc>
        <w:tc>
          <w:tcPr>
            <w:tcW w:w="1260" w:type="dxa"/>
            <w:shd w:val="clear" w:color="auto" w:fill="F2F2F2"/>
          </w:tcPr>
          <w:p w14:paraId="73FC4428" w14:textId="77777777" w:rsidR="001A54E6" w:rsidRPr="00DC4E8A" w:rsidRDefault="001A54E6" w:rsidP="00394372">
            <w:pPr>
              <w:rPr>
                <w:rFonts w:ascii="Calibri" w:hAnsi="Calibri"/>
                <w:bCs/>
                <w:lang w:eastAsia="ja-JP"/>
              </w:rPr>
            </w:pPr>
            <w:r w:rsidRPr="00DC4E8A">
              <w:rPr>
                <w:rFonts w:ascii="Calibri" w:hAnsi="Calibri"/>
                <w:bCs/>
                <w:lang w:eastAsia="ja-JP"/>
              </w:rPr>
              <w:t>Lista lunga</w:t>
            </w:r>
          </w:p>
        </w:tc>
        <w:tc>
          <w:tcPr>
            <w:tcW w:w="1440" w:type="dxa"/>
            <w:shd w:val="clear" w:color="auto" w:fill="F2F2F2"/>
            <w:noWrap/>
          </w:tcPr>
          <w:p w14:paraId="2FCF986F" w14:textId="150D4928" w:rsidR="001A54E6" w:rsidRPr="00DC4E8A" w:rsidRDefault="001A54E6" w:rsidP="00394372">
            <w:pPr>
              <w:rPr>
                <w:rFonts w:ascii="Calibri" w:hAnsi="Calibri"/>
                <w:bCs/>
                <w:lang w:eastAsia="ja-JP"/>
              </w:rPr>
            </w:pPr>
            <w:r w:rsidRPr="00DC4E8A">
              <w:rPr>
                <w:rFonts w:ascii="Calibri" w:hAnsi="Calibri"/>
                <w:bCs/>
                <w:lang w:eastAsia="ja-JP"/>
              </w:rPr>
              <w:t>PS2/DGPDUFE</w:t>
            </w:r>
          </w:p>
        </w:tc>
      </w:tr>
      <w:tr w:rsidR="001A54E6" w:rsidRPr="00912996" w14:paraId="2430A21A" w14:textId="77777777" w:rsidTr="00AC2FFA">
        <w:trPr>
          <w:gridAfter w:val="9"/>
          <w:wAfter w:w="15421" w:type="dxa"/>
          <w:trHeight w:val="276"/>
        </w:trPr>
        <w:tc>
          <w:tcPr>
            <w:tcW w:w="14215" w:type="dxa"/>
            <w:gridSpan w:val="10"/>
            <w:shd w:val="clear" w:color="auto" w:fill="CCE188"/>
            <w:noWrap/>
            <w:hideMark/>
          </w:tcPr>
          <w:p w14:paraId="0A957EDD" w14:textId="77777777" w:rsidR="001A54E6" w:rsidRPr="00912996" w:rsidRDefault="001A54E6" w:rsidP="003F7293">
            <w:pPr>
              <w:jc w:val="center"/>
              <w:rPr>
                <w:rFonts w:ascii="Calibri" w:hAnsi="Calibri"/>
                <w:b/>
                <w:bCs/>
                <w:lang w:eastAsia="ja-JP"/>
              </w:rPr>
            </w:pPr>
            <w:r w:rsidRPr="00912996">
              <w:rPr>
                <w:rFonts w:ascii="Calibri" w:hAnsi="Calibri"/>
                <w:b/>
                <w:bCs/>
                <w:color w:val="FFFFFF"/>
                <w:lang w:eastAsia="ja-JP"/>
              </w:rPr>
              <w:t>OBIECTIV SPECIFIC O3.4 - Sistem de transport orientat în jurul deplasărilor nemotorizate și a transportului public</w:t>
            </w:r>
          </w:p>
        </w:tc>
      </w:tr>
      <w:tr w:rsidR="001A54E6" w:rsidRPr="00912996" w14:paraId="1B78C0E5" w14:textId="77777777" w:rsidTr="00AC2FFA">
        <w:trPr>
          <w:gridAfter w:val="9"/>
          <w:wAfter w:w="15421" w:type="dxa"/>
          <w:trHeight w:val="276"/>
        </w:trPr>
        <w:tc>
          <w:tcPr>
            <w:tcW w:w="14215" w:type="dxa"/>
            <w:gridSpan w:val="10"/>
            <w:shd w:val="clear" w:color="auto" w:fill="BBD9A0"/>
            <w:noWrap/>
            <w:hideMark/>
          </w:tcPr>
          <w:p w14:paraId="78C793A9" w14:textId="77777777" w:rsidR="001A54E6" w:rsidRPr="00912996" w:rsidRDefault="001A54E6" w:rsidP="003F7293">
            <w:pPr>
              <w:jc w:val="center"/>
              <w:rPr>
                <w:rFonts w:ascii="Calibri" w:hAnsi="Calibri"/>
                <w:b/>
                <w:bCs/>
                <w:lang w:eastAsia="ja-JP"/>
              </w:rPr>
            </w:pPr>
            <w:r w:rsidRPr="00912996">
              <w:rPr>
                <w:rFonts w:ascii="Calibri" w:hAnsi="Calibri"/>
                <w:b/>
                <w:bCs/>
                <w:color w:val="FFFFFF"/>
                <w:lang w:eastAsia="ja-JP"/>
              </w:rPr>
              <w:t>D3.4.1 Dezvoltarea infrastructurii și serviciilor pentru mersul cu bicicleta</w:t>
            </w:r>
          </w:p>
        </w:tc>
      </w:tr>
      <w:tr w:rsidR="00AC2FFA" w:rsidRPr="00912996" w14:paraId="40D3D508" w14:textId="77777777" w:rsidTr="00E2442E">
        <w:trPr>
          <w:gridAfter w:val="9"/>
          <w:wAfter w:w="15421" w:type="dxa"/>
          <w:trHeight w:val="510"/>
        </w:trPr>
        <w:tc>
          <w:tcPr>
            <w:tcW w:w="625" w:type="dxa"/>
            <w:shd w:val="clear" w:color="auto" w:fill="F2F2F2"/>
            <w:noWrap/>
            <w:hideMark/>
          </w:tcPr>
          <w:p w14:paraId="028CC678"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6DA6A2B0" w14:textId="77777777" w:rsidR="001A54E6" w:rsidRPr="00912996" w:rsidRDefault="001A54E6" w:rsidP="00394372">
            <w:pPr>
              <w:rPr>
                <w:rFonts w:ascii="Calibri" w:hAnsi="Calibri"/>
                <w:bCs/>
                <w:lang w:eastAsia="ja-JP"/>
              </w:rPr>
            </w:pPr>
            <w:r w:rsidRPr="00912996">
              <w:rPr>
                <w:rFonts w:ascii="Calibri" w:hAnsi="Calibri"/>
                <w:bCs/>
                <w:lang w:eastAsia="ja-JP"/>
              </w:rPr>
              <w:t>Master plan piste biciclete la nivelul Municipiului București</w:t>
            </w:r>
          </w:p>
        </w:tc>
        <w:tc>
          <w:tcPr>
            <w:tcW w:w="1530" w:type="dxa"/>
            <w:shd w:val="clear" w:color="auto" w:fill="F2F2F2"/>
            <w:hideMark/>
          </w:tcPr>
          <w:p w14:paraId="2CBC2384" w14:textId="77777777" w:rsidR="001A54E6" w:rsidRPr="00912996" w:rsidRDefault="001A54E6" w:rsidP="00394372">
            <w:pPr>
              <w:rPr>
                <w:rFonts w:ascii="Calibri" w:hAnsi="Calibri"/>
                <w:bCs/>
                <w:lang w:eastAsia="ja-JP"/>
              </w:rPr>
            </w:pPr>
            <w:r w:rsidRPr="00912996">
              <w:rPr>
                <w:rFonts w:ascii="Calibri" w:hAnsi="Calibri"/>
                <w:bCs/>
                <w:lang w:eastAsia="ja-JP"/>
              </w:rPr>
              <w:t>PMB, Primăriile de sector</w:t>
            </w:r>
          </w:p>
        </w:tc>
        <w:tc>
          <w:tcPr>
            <w:tcW w:w="1620" w:type="dxa"/>
            <w:shd w:val="clear" w:color="auto" w:fill="F2F2F2"/>
            <w:noWrap/>
            <w:hideMark/>
          </w:tcPr>
          <w:p w14:paraId="48AB46CF" w14:textId="77777777" w:rsidR="001A54E6" w:rsidRPr="00912996" w:rsidRDefault="001A54E6" w:rsidP="00394372">
            <w:pPr>
              <w:rPr>
                <w:rFonts w:ascii="Calibri" w:hAnsi="Calibri"/>
                <w:bCs/>
                <w:lang w:eastAsia="ja-JP"/>
              </w:rPr>
            </w:pPr>
            <w:r w:rsidRPr="00912996">
              <w:rPr>
                <w:rFonts w:ascii="Calibri" w:hAnsi="Calibri"/>
                <w:bCs/>
                <w:lang w:eastAsia="ja-JP"/>
              </w:rPr>
              <w:t>Atribuire SF</w:t>
            </w:r>
          </w:p>
        </w:tc>
        <w:tc>
          <w:tcPr>
            <w:tcW w:w="1260" w:type="dxa"/>
            <w:shd w:val="clear" w:color="auto" w:fill="F2F2F2"/>
            <w:noWrap/>
            <w:hideMark/>
          </w:tcPr>
          <w:p w14:paraId="6DC85474" w14:textId="77777777" w:rsidR="001A54E6" w:rsidRPr="00912996" w:rsidRDefault="001A54E6" w:rsidP="00394372">
            <w:pPr>
              <w:rPr>
                <w:rFonts w:ascii="Calibri" w:hAnsi="Calibri"/>
                <w:bCs/>
                <w:lang w:eastAsia="ja-JP"/>
              </w:rPr>
            </w:pPr>
            <w:r w:rsidRPr="00912996">
              <w:rPr>
                <w:rFonts w:ascii="Calibri" w:hAnsi="Calibri"/>
                <w:bCs/>
                <w:lang w:eastAsia="ja-JP"/>
              </w:rPr>
              <w:t>838,700</w:t>
            </w:r>
          </w:p>
        </w:tc>
        <w:tc>
          <w:tcPr>
            <w:tcW w:w="1260" w:type="dxa"/>
            <w:shd w:val="clear" w:color="auto" w:fill="F2F2F2"/>
            <w:noWrap/>
            <w:hideMark/>
          </w:tcPr>
          <w:p w14:paraId="395CDD81" w14:textId="77777777" w:rsidR="001A54E6" w:rsidRPr="00912996" w:rsidRDefault="001A54E6" w:rsidP="00394372">
            <w:pPr>
              <w:rPr>
                <w:rFonts w:ascii="Calibri" w:hAnsi="Calibri"/>
                <w:bCs/>
                <w:lang w:eastAsia="ja-JP"/>
              </w:rPr>
            </w:pPr>
            <w:r w:rsidRPr="00912996">
              <w:rPr>
                <w:rFonts w:ascii="Calibri" w:hAnsi="Calibri"/>
                <w:bCs/>
                <w:lang w:eastAsia="ja-JP"/>
              </w:rPr>
              <w:t>171,163</w:t>
            </w:r>
          </w:p>
        </w:tc>
        <w:tc>
          <w:tcPr>
            <w:tcW w:w="1089" w:type="dxa"/>
            <w:shd w:val="clear" w:color="auto" w:fill="F2F2F2"/>
            <w:noWrap/>
            <w:hideMark/>
          </w:tcPr>
          <w:p w14:paraId="3AAA5EFA" w14:textId="77777777" w:rsidR="001A54E6" w:rsidRPr="00912996" w:rsidRDefault="001A54E6" w:rsidP="00394372">
            <w:pPr>
              <w:rPr>
                <w:rFonts w:ascii="Calibri" w:hAnsi="Calibri"/>
                <w:bCs/>
                <w:lang w:eastAsia="ja-JP"/>
              </w:rPr>
            </w:pPr>
            <w:r w:rsidRPr="00912996">
              <w:rPr>
                <w:rFonts w:ascii="Calibri" w:hAnsi="Calibri"/>
                <w:bCs/>
                <w:lang w:eastAsia="ja-JP"/>
              </w:rPr>
              <w:t>2023</w:t>
            </w:r>
          </w:p>
        </w:tc>
        <w:tc>
          <w:tcPr>
            <w:tcW w:w="1881" w:type="dxa"/>
            <w:shd w:val="clear" w:color="auto" w:fill="F2F2F2"/>
            <w:hideMark/>
          </w:tcPr>
          <w:p w14:paraId="350A70BE" w14:textId="77777777" w:rsidR="001A54E6" w:rsidRPr="00912996" w:rsidRDefault="001A54E6" w:rsidP="00394372">
            <w:pPr>
              <w:rPr>
                <w:rFonts w:ascii="Calibri" w:hAnsi="Calibri"/>
                <w:bCs/>
                <w:lang w:eastAsia="ja-JP"/>
              </w:rPr>
            </w:pPr>
            <w:r w:rsidRPr="00912996">
              <w:rPr>
                <w:rFonts w:ascii="Calibri" w:hAnsi="Calibri"/>
                <w:bCs/>
                <w:lang w:eastAsia="ja-JP"/>
              </w:rPr>
              <w:t xml:space="preserve">Bugetul local </w:t>
            </w:r>
          </w:p>
        </w:tc>
        <w:tc>
          <w:tcPr>
            <w:tcW w:w="1260" w:type="dxa"/>
            <w:shd w:val="clear" w:color="auto" w:fill="F2F2F2"/>
            <w:hideMark/>
          </w:tcPr>
          <w:p w14:paraId="6C93ED4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202CF35" w14:textId="77777777" w:rsidR="001A54E6" w:rsidRPr="00912996" w:rsidRDefault="001A54E6" w:rsidP="00394372">
            <w:pPr>
              <w:rPr>
                <w:rFonts w:ascii="Calibri" w:hAnsi="Calibri"/>
                <w:bCs/>
                <w:lang w:eastAsia="ja-JP"/>
              </w:rPr>
            </w:pPr>
            <w:r w:rsidRPr="00912996">
              <w:rPr>
                <w:rFonts w:ascii="Calibri" w:hAnsi="Calibri"/>
                <w:bCs/>
                <w:lang w:eastAsia="ja-JP"/>
              </w:rPr>
              <w:t>PMB</w:t>
            </w:r>
          </w:p>
        </w:tc>
      </w:tr>
      <w:tr w:rsidR="00AC2FFA" w:rsidRPr="00912996" w14:paraId="157A3BD1" w14:textId="77777777" w:rsidTr="00E2442E">
        <w:trPr>
          <w:gridAfter w:val="9"/>
          <w:wAfter w:w="15421" w:type="dxa"/>
          <w:trHeight w:val="1275"/>
        </w:trPr>
        <w:tc>
          <w:tcPr>
            <w:tcW w:w="625" w:type="dxa"/>
            <w:shd w:val="clear" w:color="auto" w:fill="F2F2F2"/>
            <w:noWrap/>
            <w:hideMark/>
          </w:tcPr>
          <w:p w14:paraId="19A07744"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3C0C30A3" w14:textId="77777777" w:rsidR="001A54E6" w:rsidRPr="00912996" w:rsidRDefault="001A54E6" w:rsidP="00394372">
            <w:pPr>
              <w:rPr>
                <w:rFonts w:ascii="Calibri" w:hAnsi="Calibri"/>
                <w:bCs/>
                <w:lang w:eastAsia="ja-JP"/>
              </w:rPr>
            </w:pPr>
            <w:r w:rsidRPr="00912996">
              <w:rPr>
                <w:rFonts w:ascii="Calibri" w:hAnsi="Calibri"/>
                <w:bCs/>
                <w:lang w:eastAsia="ja-JP"/>
              </w:rPr>
              <w:t>Înființarea rețelei utilitare pentru biciclete - Dezvoltarea unei rețele de infrastructură pentru biciclete de 250 km în București și Ilfov cu accentul pe locuri de muncă, instituții, transport public.</w:t>
            </w:r>
            <w:r w:rsidRPr="00912996">
              <w:rPr>
                <w:rFonts w:ascii="Calibri" w:hAnsi="Calibri"/>
                <w:bCs/>
                <w:lang w:eastAsia="ja-JP"/>
              </w:rPr>
              <w:br/>
              <w:t>Etapa 1 - termen scurt:</w:t>
            </w:r>
            <w:r w:rsidRPr="00912996">
              <w:rPr>
                <w:rFonts w:ascii="Calibri" w:hAnsi="Calibri"/>
                <w:bCs/>
                <w:lang w:eastAsia="ja-JP"/>
              </w:rPr>
              <w:br/>
              <w:t>Traseu către birou: Doamna Ghica - Pipera (6,3 km)</w:t>
            </w:r>
          </w:p>
        </w:tc>
        <w:tc>
          <w:tcPr>
            <w:tcW w:w="1530" w:type="dxa"/>
            <w:shd w:val="clear" w:color="auto" w:fill="F2F2F2"/>
            <w:hideMark/>
          </w:tcPr>
          <w:p w14:paraId="3AB2BB40" w14:textId="77777777" w:rsidR="001A54E6" w:rsidRPr="00912996" w:rsidRDefault="001A54E6" w:rsidP="00394372">
            <w:pPr>
              <w:rPr>
                <w:rFonts w:ascii="Calibri" w:hAnsi="Calibri"/>
                <w:bCs/>
                <w:lang w:eastAsia="ja-JP"/>
              </w:rPr>
            </w:pPr>
            <w:r w:rsidRPr="00912996">
              <w:rPr>
                <w:rFonts w:ascii="Calibri" w:hAnsi="Calibri"/>
                <w:bCs/>
                <w:lang w:eastAsia="ja-JP"/>
              </w:rPr>
              <w:t>PMB, PS2, CJ Ilfov</w:t>
            </w:r>
          </w:p>
        </w:tc>
        <w:tc>
          <w:tcPr>
            <w:tcW w:w="1620" w:type="dxa"/>
            <w:shd w:val="clear" w:color="auto" w:fill="F2F2F2"/>
            <w:noWrap/>
            <w:hideMark/>
          </w:tcPr>
          <w:p w14:paraId="75C65E8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624C6BE" w14:textId="77777777" w:rsidR="001A54E6" w:rsidRPr="00912996" w:rsidRDefault="001A54E6" w:rsidP="00394372">
            <w:pPr>
              <w:rPr>
                <w:rFonts w:ascii="Calibri" w:hAnsi="Calibri"/>
                <w:bCs/>
                <w:lang w:eastAsia="ja-JP"/>
              </w:rPr>
            </w:pPr>
            <w:r w:rsidRPr="00912996">
              <w:rPr>
                <w:rFonts w:ascii="Calibri" w:hAnsi="Calibri"/>
                <w:bCs/>
                <w:lang w:eastAsia="ja-JP"/>
              </w:rPr>
              <w:t>7,840,000</w:t>
            </w:r>
          </w:p>
        </w:tc>
        <w:tc>
          <w:tcPr>
            <w:tcW w:w="1260" w:type="dxa"/>
            <w:shd w:val="clear" w:color="auto" w:fill="F2F2F2"/>
            <w:noWrap/>
            <w:hideMark/>
          </w:tcPr>
          <w:p w14:paraId="5BE94A4D" w14:textId="77777777" w:rsidR="001A54E6" w:rsidRPr="00912996" w:rsidRDefault="001A54E6" w:rsidP="00394372">
            <w:pPr>
              <w:rPr>
                <w:rFonts w:ascii="Calibri" w:hAnsi="Calibri"/>
                <w:bCs/>
                <w:lang w:eastAsia="ja-JP"/>
              </w:rPr>
            </w:pPr>
            <w:r w:rsidRPr="00912996">
              <w:rPr>
                <w:rFonts w:ascii="Calibri" w:hAnsi="Calibri"/>
                <w:bCs/>
                <w:lang w:eastAsia="ja-JP"/>
              </w:rPr>
              <w:t>1,600,000</w:t>
            </w:r>
          </w:p>
        </w:tc>
        <w:tc>
          <w:tcPr>
            <w:tcW w:w="1089" w:type="dxa"/>
            <w:shd w:val="clear" w:color="auto" w:fill="F2F2F2"/>
            <w:noWrap/>
            <w:hideMark/>
          </w:tcPr>
          <w:p w14:paraId="1FD45FAA"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3166C19E" w14:textId="77777777" w:rsidR="001A54E6" w:rsidRPr="00912996" w:rsidRDefault="001A54E6" w:rsidP="00394372">
            <w:pPr>
              <w:rPr>
                <w:rFonts w:ascii="Calibri" w:hAnsi="Calibri"/>
                <w:bCs/>
                <w:lang w:eastAsia="ja-JP"/>
              </w:rPr>
            </w:pPr>
            <w:r w:rsidRPr="00912996">
              <w:rPr>
                <w:rFonts w:ascii="Calibri" w:hAnsi="Calibri"/>
                <w:bCs/>
                <w:lang w:eastAsia="ja-JP"/>
              </w:rPr>
              <w:t>PNRR C 10, POR BI 2021 - 2027 P 4, Bugetul local, Alte surse de finanțare</w:t>
            </w:r>
          </w:p>
        </w:tc>
        <w:tc>
          <w:tcPr>
            <w:tcW w:w="1260" w:type="dxa"/>
            <w:shd w:val="clear" w:color="auto" w:fill="F2F2F2"/>
            <w:hideMark/>
          </w:tcPr>
          <w:p w14:paraId="4E1EA177"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8252E9F"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06D87B03" w14:textId="77777777" w:rsidTr="00E2442E">
        <w:trPr>
          <w:gridAfter w:val="9"/>
          <w:wAfter w:w="15421" w:type="dxa"/>
          <w:trHeight w:val="510"/>
        </w:trPr>
        <w:tc>
          <w:tcPr>
            <w:tcW w:w="625" w:type="dxa"/>
            <w:shd w:val="clear" w:color="auto" w:fill="F2F2F2"/>
            <w:noWrap/>
            <w:hideMark/>
          </w:tcPr>
          <w:p w14:paraId="0D55814B"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244DCED9" w14:textId="69EE7890" w:rsidR="001A54E6" w:rsidRPr="00912996" w:rsidRDefault="001A54E6" w:rsidP="00394372">
            <w:pPr>
              <w:rPr>
                <w:rFonts w:ascii="Calibri" w:hAnsi="Calibri"/>
                <w:bCs/>
                <w:lang w:eastAsia="ja-JP"/>
              </w:rPr>
            </w:pPr>
            <w:r w:rsidRPr="00912996">
              <w:rPr>
                <w:rFonts w:ascii="Calibri" w:hAnsi="Calibri"/>
                <w:bCs/>
                <w:lang w:eastAsia="ja-JP"/>
              </w:rPr>
              <w:t>Amenajare piste de biciclete pe traseele deja proiectate: Iancu de Hunedoara – Ștefan cel Mare – Mihai Bravu, Piața Națiunile Unite – Parcul Izvor (via Splaiul Independenței), Bd. Constantin Prezan - Șos. Kiseleff - Piața Presei Libere, Calea Victoriei – Bd. Regina Elisabeta – Splaiul Independenței (Pod Grozăvești) și  Bd. Libertății – Piața Constituției – Bd. Unirii – Bd. Decebal – Bd. Basarabia – Stadionul Național</w:t>
            </w:r>
          </w:p>
        </w:tc>
        <w:tc>
          <w:tcPr>
            <w:tcW w:w="1530" w:type="dxa"/>
            <w:shd w:val="clear" w:color="auto" w:fill="F2F2F2"/>
            <w:hideMark/>
          </w:tcPr>
          <w:p w14:paraId="580521F0"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57F3DC7D" w14:textId="77777777" w:rsidR="001A54E6" w:rsidRPr="00912996" w:rsidRDefault="001A54E6" w:rsidP="00394372">
            <w:pPr>
              <w:rPr>
                <w:rFonts w:ascii="Calibri" w:hAnsi="Calibri"/>
                <w:bCs/>
                <w:lang w:eastAsia="ja-JP"/>
              </w:rPr>
            </w:pPr>
            <w:r w:rsidRPr="00912996">
              <w:rPr>
                <w:rFonts w:ascii="Calibri" w:hAnsi="Calibri"/>
                <w:bCs/>
                <w:lang w:eastAsia="ja-JP"/>
              </w:rPr>
              <w:t>PT</w:t>
            </w:r>
          </w:p>
        </w:tc>
        <w:tc>
          <w:tcPr>
            <w:tcW w:w="1260" w:type="dxa"/>
            <w:shd w:val="clear" w:color="auto" w:fill="F2F2F2"/>
            <w:noWrap/>
            <w:hideMark/>
          </w:tcPr>
          <w:p w14:paraId="415E7B41" w14:textId="77777777" w:rsidR="001A54E6" w:rsidRPr="00912996" w:rsidRDefault="001A54E6" w:rsidP="00394372">
            <w:pPr>
              <w:rPr>
                <w:rFonts w:ascii="Calibri" w:hAnsi="Calibri"/>
                <w:bCs/>
                <w:lang w:eastAsia="ja-JP"/>
              </w:rPr>
            </w:pPr>
            <w:r w:rsidRPr="00912996">
              <w:rPr>
                <w:rFonts w:ascii="Calibri" w:hAnsi="Calibri"/>
                <w:bCs/>
                <w:lang w:eastAsia="ja-JP"/>
              </w:rPr>
              <w:t>49,000,000</w:t>
            </w:r>
          </w:p>
        </w:tc>
        <w:tc>
          <w:tcPr>
            <w:tcW w:w="1260" w:type="dxa"/>
            <w:shd w:val="clear" w:color="auto" w:fill="F2F2F2"/>
            <w:noWrap/>
            <w:hideMark/>
          </w:tcPr>
          <w:p w14:paraId="60AB5044" w14:textId="77777777" w:rsidR="001A54E6" w:rsidRPr="00912996" w:rsidRDefault="001A54E6" w:rsidP="00394372">
            <w:pPr>
              <w:rPr>
                <w:rFonts w:ascii="Calibri" w:hAnsi="Calibri"/>
                <w:bCs/>
                <w:lang w:eastAsia="ja-JP"/>
              </w:rPr>
            </w:pPr>
            <w:r w:rsidRPr="00912996">
              <w:rPr>
                <w:rFonts w:ascii="Calibri" w:hAnsi="Calibri"/>
                <w:bCs/>
                <w:lang w:eastAsia="ja-JP"/>
              </w:rPr>
              <w:t>10,000,000</w:t>
            </w:r>
          </w:p>
        </w:tc>
        <w:tc>
          <w:tcPr>
            <w:tcW w:w="1089" w:type="dxa"/>
            <w:shd w:val="clear" w:color="auto" w:fill="F2F2F2"/>
            <w:noWrap/>
            <w:hideMark/>
          </w:tcPr>
          <w:p w14:paraId="273330DF"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71E6B1A0" w14:textId="77777777" w:rsidR="001A54E6" w:rsidRPr="00912996" w:rsidRDefault="001A54E6" w:rsidP="00394372">
            <w:pPr>
              <w:rPr>
                <w:rFonts w:ascii="Calibri" w:hAnsi="Calibri"/>
                <w:bCs/>
                <w:lang w:eastAsia="ja-JP"/>
              </w:rPr>
            </w:pPr>
            <w:r w:rsidRPr="00912996">
              <w:rPr>
                <w:rFonts w:ascii="Calibri" w:hAnsi="Calibri"/>
                <w:bCs/>
                <w:lang w:eastAsia="ja-JP"/>
              </w:rPr>
              <w:t>PNRR C 10, POR BI 2021 - 2027 P 4, Bugetul local, Alte surse de finanțare</w:t>
            </w:r>
          </w:p>
        </w:tc>
        <w:tc>
          <w:tcPr>
            <w:tcW w:w="1260" w:type="dxa"/>
            <w:shd w:val="clear" w:color="auto" w:fill="F2F2F2"/>
            <w:hideMark/>
          </w:tcPr>
          <w:p w14:paraId="3A39466E"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24FB4D1"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1C4CFA13" w14:textId="77777777" w:rsidTr="00E2442E">
        <w:trPr>
          <w:gridAfter w:val="9"/>
          <w:wAfter w:w="15421" w:type="dxa"/>
          <w:trHeight w:val="804"/>
        </w:trPr>
        <w:tc>
          <w:tcPr>
            <w:tcW w:w="625" w:type="dxa"/>
            <w:shd w:val="clear" w:color="auto" w:fill="F2F2F2"/>
            <w:noWrap/>
            <w:hideMark/>
          </w:tcPr>
          <w:p w14:paraId="39F3E7B3"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5D0C8E0D" w14:textId="77777777" w:rsidR="001A54E6" w:rsidRPr="00912996" w:rsidRDefault="001A54E6" w:rsidP="00394372">
            <w:pPr>
              <w:rPr>
                <w:rFonts w:ascii="Calibri" w:hAnsi="Calibri"/>
                <w:bCs/>
                <w:lang w:eastAsia="ja-JP"/>
              </w:rPr>
            </w:pPr>
            <w:r w:rsidRPr="00912996">
              <w:rPr>
                <w:rFonts w:ascii="Calibri" w:hAnsi="Calibri"/>
                <w:bCs/>
                <w:lang w:eastAsia="ja-JP"/>
              </w:rPr>
              <w:t>Amenajare de</w:t>
            </w:r>
            <w:r>
              <w:rPr>
                <w:rFonts w:ascii="Calibri" w:hAnsi="Calibri"/>
                <w:bCs/>
                <w:lang w:eastAsia="ja-JP"/>
              </w:rPr>
              <w:t xml:space="preserve"> </w:t>
            </w:r>
            <w:r w:rsidRPr="00912996">
              <w:rPr>
                <w:rFonts w:ascii="Calibri" w:hAnsi="Calibri"/>
                <w:bCs/>
                <w:lang w:eastAsia="ja-JP"/>
              </w:rPr>
              <w:t>piste de biciclete</w:t>
            </w:r>
            <w:r>
              <w:rPr>
                <w:rFonts w:ascii="Calibri" w:hAnsi="Calibri"/>
                <w:bCs/>
                <w:lang w:eastAsia="ja-JP"/>
              </w:rPr>
              <w:t xml:space="preserve"> 36,5 km</w:t>
            </w:r>
            <w:r w:rsidRPr="00912996">
              <w:rPr>
                <w:rFonts w:ascii="Calibri" w:hAnsi="Calibri"/>
                <w:bCs/>
                <w:lang w:eastAsia="ja-JP"/>
              </w:rPr>
              <w:t xml:space="preserve"> pe raza Sectorului 2 al Mun. București – Lider parteneriat, Parteneriat PMB</w:t>
            </w:r>
            <w:r>
              <w:rPr>
                <w:rFonts w:ascii="Calibri" w:hAnsi="Calibri"/>
                <w:bCs/>
                <w:lang w:eastAsia="ja-JP"/>
              </w:rPr>
              <w:t xml:space="preserve"> (Etapa 1)</w:t>
            </w:r>
          </w:p>
        </w:tc>
        <w:tc>
          <w:tcPr>
            <w:tcW w:w="1530" w:type="dxa"/>
            <w:shd w:val="clear" w:color="auto" w:fill="F2F2F2"/>
            <w:hideMark/>
          </w:tcPr>
          <w:p w14:paraId="45B26243" w14:textId="77777777" w:rsidR="001A54E6" w:rsidRPr="00912996" w:rsidRDefault="001A54E6" w:rsidP="00394372">
            <w:pPr>
              <w:rPr>
                <w:rFonts w:ascii="Calibri" w:hAnsi="Calibri"/>
                <w:bCs/>
                <w:lang w:eastAsia="ja-JP"/>
              </w:rPr>
            </w:pPr>
            <w:r w:rsidRPr="00912996">
              <w:rPr>
                <w:rFonts w:ascii="Calibri" w:hAnsi="Calibri"/>
                <w:bCs/>
                <w:lang w:eastAsia="ja-JP"/>
              </w:rPr>
              <w:t>PS2, PMB</w:t>
            </w:r>
          </w:p>
        </w:tc>
        <w:tc>
          <w:tcPr>
            <w:tcW w:w="1620" w:type="dxa"/>
            <w:shd w:val="clear" w:color="auto" w:fill="F2F2F2"/>
            <w:noWrap/>
            <w:hideMark/>
          </w:tcPr>
          <w:p w14:paraId="67708080" w14:textId="77777777" w:rsidR="001A54E6" w:rsidRPr="00912996" w:rsidRDefault="001A54E6" w:rsidP="00394372">
            <w:pPr>
              <w:rPr>
                <w:rFonts w:ascii="Calibri" w:hAnsi="Calibri"/>
                <w:bCs/>
                <w:lang w:eastAsia="ja-JP"/>
              </w:rPr>
            </w:pPr>
            <w:r>
              <w:rPr>
                <w:rFonts w:ascii="Calibri" w:hAnsi="Calibri"/>
                <w:bCs/>
                <w:lang w:eastAsia="ja-JP"/>
              </w:rPr>
              <w:t>În implementare</w:t>
            </w:r>
          </w:p>
        </w:tc>
        <w:tc>
          <w:tcPr>
            <w:tcW w:w="1260" w:type="dxa"/>
            <w:shd w:val="clear" w:color="auto" w:fill="F2F2F2"/>
            <w:noWrap/>
            <w:hideMark/>
          </w:tcPr>
          <w:p w14:paraId="61FE985F" w14:textId="73554D97" w:rsidR="001A54E6" w:rsidRPr="00912996" w:rsidRDefault="001A54E6" w:rsidP="00394372">
            <w:pPr>
              <w:rPr>
                <w:rFonts w:ascii="Calibri" w:hAnsi="Calibri"/>
                <w:bCs/>
                <w:lang w:eastAsia="ja-JP"/>
              </w:rPr>
            </w:pPr>
            <w:r w:rsidRPr="00513B65">
              <w:rPr>
                <w:rFonts w:ascii="Calibri" w:hAnsi="Calibri"/>
                <w:bCs/>
                <w:lang w:eastAsia="ja-JP"/>
              </w:rPr>
              <w:t>42</w:t>
            </w:r>
            <w:r>
              <w:rPr>
                <w:rFonts w:ascii="Calibri" w:hAnsi="Calibri"/>
                <w:bCs/>
                <w:lang w:eastAsia="ja-JP"/>
              </w:rPr>
              <w:t>,</w:t>
            </w:r>
            <w:r w:rsidRPr="00513B65">
              <w:rPr>
                <w:rFonts w:ascii="Calibri" w:hAnsi="Calibri"/>
                <w:bCs/>
                <w:lang w:eastAsia="ja-JP"/>
              </w:rPr>
              <w:t>704</w:t>
            </w:r>
            <w:r>
              <w:rPr>
                <w:rFonts w:ascii="Calibri" w:hAnsi="Calibri"/>
                <w:bCs/>
                <w:lang w:eastAsia="ja-JP"/>
              </w:rPr>
              <w:t>,</w:t>
            </w:r>
            <w:r w:rsidRPr="00513B65">
              <w:rPr>
                <w:rFonts w:ascii="Calibri" w:hAnsi="Calibri"/>
                <w:bCs/>
                <w:lang w:eastAsia="ja-JP"/>
              </w:rPr>
              <w:t>914</w:t>
            </w:r>
          </w:p>
        </w:tc>
        <w:tc>
          <w:tcPr>
            <w:tcW w:w="1260" w:type="dxa"/>
            <w:shd w:val="clear" w:color="auto" w:fill="F2F2F2"/>
            <w:noWrap/>
            <w:hideMark/>
          </w:tcPr>
          <w:p w14:paraId="7F286799" w14:textId="6F964801" w:rsidR="001A54E6" w:rsidRPr="00912996" w:rsidRDefault="001A54E6" w:rsidP="00394372">
            <w:pPr>
              <w:rPr>
                <w:rFonts w:ascii="Calibri" w:hAnsi="Calibri"/>
                <w:bCs/>
                <w:lang w:eastAsia="ja-JP"/>
              </w:rPr>
            </w:pPr>
            <w:r w:rsidRPr="00513B65">
              <w:rPr>
                <w:rFonts w:ascii="Calibri" w:hAnsi="Calibri"/>
                <w:bCs/>
                <w:lang w:eastAsia="ja-JP"/>
              </w:rPr>
              <w:t>8</w:t>
            </w:r>
            <w:r>
              <w:rPr>
                <w:rFonts w:ascii="Calibri" w:hAnsi="Calibri"/>
                <w:bCs/>
                <w:lang w:eastAsia="ja-JP"/>
              </w:rPr>
              <w:t>,</w:t>
            </w:r>
            <w:r w:rsidRPr="00513B65">
              <w:rPr>
                <w:rFonts w:ascii="Calibri" w:hAnsi="Calibri"/>
                <w:bCs/>
                <w:lang w:eastAsia="ja-JP"/>
              </w:rPr>
              <w:t>715</w:t>
            </w:r>
            <w:r>
              <w:rPr>
                <w:rFonts w:ascii="Calibri" w:hAnsi="Calibri"/>
                <w:bCs/>
                <w:lang w:eastAsia="ja-JP"/>
              </w:rPr>
              <w:t>,</w:t>
            </w:r>
            <w:r w:rsidRPr="00513B65">
              <w:rPr>
                <w:rFonts w:ascii="Calibri" w:hAnsi="Calibri"/>
                <w:bCs/>
                <w:lang w:eastAsia="ja-JP"/>
              </w:rPr>
              <w:t>288</w:t>
            </w:r>
          </w:p>
        </w:tc>
        <w:tc>
          <w:tcPr>
            <w:tcW w:w="1089" w:type="dxa"/>
            <w:shd w:val="clear" w:color="auto" w:fill="F2F2F2"/>
            <w:noWrap/>
            <w:hideMark/>
          </w:tcPr>
          <w:p w14:paraId="4C1B58C9" w14:textId="77777777" w:rsidR="001A54E6" w:rsidRPr="00912996" w:rsidRDefault="001A54E6" w:rsidP="00394372">
            <w:pPr>
              <w:rPr>
                <w:rFonts w:ascii="Calibri" w:hAnsi="Calibri"/>
                <w:bCs/>
                <w:lang w:eastAsia="ja-JP"/>
              </w:rPr>
            </w:pPr>
            <w:r w:rsidRPr="00912996">
              <w:rPr>
                <w:rFonts w:ascii="Calibri" w:hAnsi="Calibri"/>
                <w:bCs/>
                <w:lang w:eastAsia="ja-JP"/>
              </w:rPr>
              <w:t>202</w:t>
            </w:r>
            <w:r>
              <w:rPr>
                <w:rFonts w:ascii="Calibri" w:hAnsi="Calibri"/>
                <w:bCs/>
                <w:lang w:eastAsia="ja-JP"/>
              </w:rPr>
              <w:t xml:space="preserve">2 </w:t>
            </w:r>
            <w:r w:rsidRPr="00912996">
              <w:rPr>
                <w:rFonts w:ascii="Calibri" w:hAnsi="Calibri"/>
                <w:bCs/>
                <w:lang w:eastAsia="ja-JP"/>
              </w:rPr>
              <w:t>-2025</w:t>
            </w:r>
          </w:p>
        </w:tc>
        <w:tc>
          <w:tcPr>
            <w:tcW w:w="1881" w:type="dxa"/>
            <w:shd w:val="clear" w:color="auto" w:fill="F2F2F2"/>
            <w:hideMark/>
          </w:tcPr>
          <w:p w14:paraId="5029E8C4" w14:textId="77777777" w:rsidR="001A54E6" w:rsidRPr="00912996" w:rsidRDefault="001A54E6" w:rsidP="00394372">
            <w:pPr>
              <w:rPr>
                <w:rFonts w:ascii="Calibri" w:hAnsi="Calibri"/>
                <w:bCs/>
                <w:lang w:eastAsia="ja-JP"/>
              </w:rPr>
            </w:pPr>
            <w:r w:rsidRPr="00912996">
              <w:rPr>
                <w:rFonts w:ascii="Calibri" w:hAnsi="Calibri"/>
                <w:bCs/>
                <w:lang w:eastAsia="ja-JP"/>
              </w:rPr>
              <w:t>PNRR</w:t>
            </w:r>
            <w:r>
              <w:rPr>
                <w:rFonts w:ascii="Calibri" w:hAnsi="Calibri"/>
                <w:bCs/>
                <w:lang w:eastAsia="ja-JP"/>
              </w:rPr>
              <w:t>/</w:t>
            </w:r>
            <w:r w:rsidRPr="00912996">
              <w:rPr>
                <w:rFonts w:ascii="Calibri" w:hAnsi="Calibri"/>
                <w:bCs/>
                <w:lang w:eastAsia="ja-JP"/>
              </w:rPr>
              <w:t>C 10</w:t>
            </w:r>
          </w:p>
        </w:tc>
        <w:tc>
          <w:tcPr>
            <w:tcW w:w="1260" w:type="dxa"/>
            <w:shd w:val="clear" w:color="auto" w:fill="F2F2F2"/>
            <w:hideMark/>
          </w:tcPr>
          <w:p w14:paraId="72D3878F"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3804696B"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58BAC2E9" w14:textId="77777777" w:rsidTr="00E2442E">
        <w:trPr>
          <w:gridAfter w:val="9"/>
          <w:wAfter w:w="15421" w:type="dxa"/>
          <w:trHeight w:val="1068"/>
        </w:trPr>
        <w:tc>
          <w:tcPr>
            <w:tcW w:w="625" w:type="dxa"/>
            <w:shd w:val="clear" w:color="auto" w:fill="F2F2F2"/>
            <w:noWrap/>
            <w:hideMark/>
          </w:tcPr>
          <w:p w14:paraId="50227A53"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55BBB0AC" w14:textId="77777777" w:rsidR="001A54E6" w:rsidRPr="00912996" w:rsidRDefault="001A54E6" w:rsidP="00394372">
            <w:pPr>
              <w:rPr>
                <w:rFonts w:ascii="Calibri" w:hAnsi="Calibri"/>
                <w:bCs/>
                <w:lang w:eastAsia="ja-JP"/>
              </w:rPr>
            </w:pPr>
            <w:r w:rsidRPr="00912996">
              <w:rPr>
                <w:rFonts w:ascii="Calibri" w:hAnsi="Calibri"/>
                <w:bCs/>
                <w:lang w:eastAsia="ja-JP"/>
              </w:rPr>
              <w:t>Dezvoltarea rețelei primare și secundare de piste pentru biciclete (etapa 2) - 20 km</w:t>
            </w:r>
          </w:p>
        </w:tc>
        <w:tc>
          <w:tcPr>
            <w:tcW w:w="1530" w:type="dxa"/>
            <w:shd w:val="clear" w:color="auto" w:fill="F2F2F2"/>
            <w:hideMark/>
          </w:tcPr>
          <w:p w14:paraId="1C758D41" w14:textId="77777777" w:rsidR="001A54E6" w:rsidRPr="00912996" w:rsidRDefault="001A54E6" w:rsidP="00394372">
            <w:pPr>
              <w:rPr>
                <w:rFonts w:ascii="Calibri" w:hAnsi="Calibri"/>
                <w:bCs/>
                <w:lang w:eastAsia="ja-JP"/>
              </w:rPr>
            </w:pPr>
            <w:r w:rsidRPr="00912996">
              <w:rPr>
                <w:rFonts w:ascii="Calibri" w:hAnsi="Calibri"/>
                <w:bCs/>
                <w:lang w:eastAsia="ja-JP"/>
              </w:rPr>
              <w:t>PS2, PMB</w:t>
            </w:r>
          </w:p>
        </w:tc>
        <w:tc>
          <w:tcPr>
            <w:tcW w:w="1620" w:type="dxa"/>
            <w:shd w:val="clear" w:color="auto" w:fill="F2F2F2"/>
            <w:noWrap/>
            <w:hideMark/>
          </w:tcPr>
          <w:p w14:paraId="64B8B72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1D562F87" w14:textId="77777777" w:rsidR="001A54E6" w:rsidRPr="00912996" w:rsidRDefault="001A54E6" w:rsidP="00394372">
            <w:pPr>
              <w:rPr>
                <w:rFonts w:ascii="Calibri" w:hAnsi="Calibri"/>
                <w:bCs/>
                <w:lang w:eastAsia="ja-JP"/>
              </w:rPr>
            </w:pPr>
            <w:r w:rsidRPr="00912996">
              <w:rPr>
                <w:rFonts w:ascii="Calibri" w:hAnsi="Calibri"/>
                <w:bCs/>
                <w:lang w:eastAsia="ja-JP"/>
              </w:rPr>
              <w:t>22,050,000</w:t>
            </w:r>
          </w:p>
        </w:tc>
        <w:tc>
          <w:tcPr>
            <w:tcW w:w="1260" w:type="dxa"/>
            <w:shd w:val="clear" w:color="auto" w:fill="F2F2F2"/>
            <w:noWrap/>
            <w:hideMark/>
          </w:tcPr>
          <w:p w14:paraId="0E6A0CE9" w14:textId="77777777" w:rsidR="001A54E6" w:rsidRPr="00912996" w:rsidRDefault="001A54E6" w:rsidP="00394372">
            <w:pPr>
              <w:rPr>
                <w:rFonts w:ascii="Calibri" w:hAnsi="Calibri"/>
                <w:bCs/>
                <w:lang w:eastAsia="ja-JP"/>
              </w:rPr>
            </w:pPr>
            <w:r w:rsidRPr="00912996">
              <w:rPr>
                <w:rFonts w:ascii="Calibri" w:hAnsi="Calibri"/>
                <w:bCs/>
                <w:lang w:eastAsia="ja-JP"/>
              </w:rPr>
              <w:t>4,500,000</w:t>
            </w:r>
          </w:p>
        </w:tc>
        <w:tc>
          <w:tcPr>
            <w:tcW w:w="1089" w:type="dxa"/>
            <w:shd w:val="clear" w:color="auto" w:fill="F2F2F2"/>
            <w:noWrap/>
            <w:hideMark/>
          </w:tcPr>
          <w:p w14:paraId="157E0955"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1F38CEAF" w14:textId="77777777" w:rsidR="001A54E6" w:rsidRPr="00912996" w:rsidRDefault="001A54E6" w:rsidP="00394372">
            <w:pPr>
              <w:rPr>
                <w:rFonts w:ascii="Calibri" w:hAnsi="Calibri"/>
                <w:bCs/>
                <w:lang w:eastAsia="ja-JP"/>
              </w:rPr>
            </w:pPr>
            <w:r w:rsidRPr="00912996">
              <w:rPr>
                <w:rFonts w:ascii="Calibri" w:hAnsi="Calibri"/>
                <w:bCs/>
                <w:lang w:eastAsia="ja-JP"/>
              </w:rPr>
              <w:t>AFM, PNRR C10, POR BI 2021 - 2027 P 4, Bugetul local, Alte surse de finanțare</w:t>
            </w:r>
          </w:p>
        </w:tc>
        <w:tc>
          <w:tcPr>
            <w:tcW w:w="1260" w:type="dxa"/>
            <w:shd w:val="clear" w:color="auto" w:fill="F2F2F2"/>
            <w:hideMark/>
          </w:tcPr>
          <w:p w14:paraId="615DCA04"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661BEF5D" w14:textId="77777777" w:rsidR="001A54E6" w:rsidRPr="00912996" w:rsidRDefault="001A54E6" w:rsidP="00394372">
            <w:pPr>
              <w:rPr>
                <w:rFonts w:ascii="Calibri" w:hAnsi="Calibri"/>
                <w:bCs/>
                <w:lang w:eastAsia="ja-JP"/>
              </w:rPr>
            </w:pPr>
            <w:r>
              <w:rPr>
                <w:rFonts w:ascii="Calibri" w:hAnsi="Calibri"/>
                <w:bCs/>
                <w:lang w:eastAsia="ja-JP"/>
              </w:rPr>
              <w:t>N/A</w:t>
            </w:r>
          </w:p>
        </w:tc>
      </w:tr>
      <w:tr w:rsidR="00AC2FFA" w:rsidRPr="00912996" w14:paraId="3485CDED" w14:textId="77777777" w:rsidTr="00E2442E">
        <w:trPr>
          <w:gridAfter w:val="9"/>
          <w:wAfter w:w="15421" w:type="dxa"/>
          <w:trHeight w:val="510"/>
        </w:trPr>
        <w:tc>
          <w:tcPr>
            <w:tcW w:w="625" w:type="dxa"/>
            <w:shd w:val="clear" w:color="auto" w:fill="F2F2F2"/>
            <w:noWrap/>
            <w:hideMark/>
          </w:tcPr>
          <w:p w14:paraId="0FD455B7"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5FE904A0" w14:textId="77777777" w:rsidR="001A54E6" w:rsidRPr="00912996" w:rsidRDefault="001A54E6" w:rsidP="00394372">
            <w:pPr>
              <w:rPr>
                <w:rFonts w:ascii="Calibri" w:hAnsi="Calibri"/>
                <w:bCs/>
                <w:lang w:eastAsia="ja-JP"/>
              </w:rPr>
            </w:pPr>
            <w:r w:rsidRPr="00912996">
              <w:rPr>
                <w:rFonts w:ascii="Calibri" w:hAnsi="Calibri"/>
                <w:bCs/>
                <w:lang w:eastAsia="ja-JP"/>
              </w:rPr>
              <w:t>Program de amenajare a unei rețele secundare de piste și trasee pentru biciclete (pe străzi categ</w:t>
            </w:r>
            <w:r>
              <w:rPr>
                <w:rFonts w:ascii="Calibri" w:hAnsi="Calibri"/>
                <w:bCs/>
                <w:lang w:eastAsia="ja-JP"/>
              </w:rPr>
              <w:t>oria</w:t>
            </w:r>
            <w:r w:rsidRPr="00912996">
              <w:rPr>
                <w:rFonts w:ascii="Calibri" w:hAnsi="Calibri"/>
                <w:bCs/>
                <w:lang w:eastAsia="ja-JP"/>
              </w:rPr>
              <w:t xml:space="preserve"> III-V)</w:t>
            </w:r>
          </w:p>
        </w:tc>
        <w:tc>
          <w:tcPr>
            <w:tcW w:w="1530" w:type="dxa"/>
            <w:shd w:val="clear" w:color="auto" w:fill="F2F2F2"/>
            <w:hideMark/>
          </w:tcPr>
          <w:p w14:paraId="0963625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44C072E1"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6040253" w14:textId="77777777" w:rsidR="001A54E6" w:rsidRPr="00912996" w:rsidRDefault="001A54E6" w:rsidP="00394372">
            <w:pPr>
              <w:rPr>
                <w:rFonts w:ascii="Calibri" w:hAnsi="Calibri"/>
                <w:bCs/>
                <w:lang w:eastAsia="ja-JP"/>
              </w:rPr>
            </w:pPr>
            <w:r w:rsidRPr="00912996">
              <w:rPr>
                <w:rFonts w:ascii="Calibri" w:hAnsi="Calibri"/>
                <w:bCs/>
                <w:lang w:eastAsia="ja-JP"/>
              </w:rPr>
              <w:t>49,000,000</w:t>
            </w:r>
          </w:p>
        </w:tc>
        <w:tc>
          <w:tcPr>
            <w:tcW w:w="1260" w:type="dxa"/>
            <w:shd w:val="clear" w:color="auto" w:fill="F2F2F2"/>
            <w:noWrap/>
            <w:hideMark/>
          </w:tcPr>
          <w:p w14:paraId="02D9E2CD" w14:textId="77777777" w:rsidR="001A54E6" w:rsidRPr="00912996" w:rsidRDefault="001A54E6" w:rsidP="00394372">
            <w:pPr>
              <w:rPr>
                <w:rFonts w:ascii="Calibri" w:hAnsi="Calibri"/>
                <w:bCs/>
                <w:lang w:eastAsia="ja-JP"/>
              </w:rPr>
            </w:pPr>
            <w:r w:rsidRPr="00912996">
              <w:rPr>
                <w:rFonts w:ascii="Calibri" w:hAnsi="Calibri"/>
                <w:bCs/>
                <w:lang w:eastAsia="ja-JP"/>
              </w:rPr>
              <w:t>10,000,000</w:t>
            </w:r>
          </w:p>
        </w:tc>
        <w:tc>
          <w:tcPr>
            <w:tcW w:w="1089" w:type="dxa"/>
            <w:shd w:val="clear" w:color="auto" w:fill="F2F2F2"/>
            <w:noWrap/>
            <w:hideMark/>
          </w:tcPr>
          <w:p w14:paraId="7BDE923C"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249CF7BE" w14:textId="77777777" w:rsidR="001A54E6" w:rsidRPr="00912996" w:rsidRDefault="001A54E6" w:rsidP="00394372">
            <w:pPr>
              <w:rPr>
                <w:rFonts w:ascii="Calibri" w:hAnsi="Calibri"/>
                <w:bCs/>
                <w:lang w:eastAsia="ja-JP"/>
              </w:rPr>
            </w:pPr>
            <w:r w:rsidRPr="00912996">
              <w:rPr>
                <w:rFonts w:ascii="Calibri" w:hAnsi="Calibri"/>
                <w:bCs/>
                <w:lang w:eastAsia="ja-JP"/>
              </w:rPr>
              <w:t>POR BI 2021 - 2027 P 4, Bugetul local, Alte surse de finanțare</w:t>
            </w:r>
          </w:p>
        </w:tc>
        <w:tc>
          <w:tcPr>
            <w:tcW w:w="1260" w:type="dxa"/>
            <w:shd w:val="clear" w:color="auto" w:fill="F2F2F2"/>
            <w:hideMark/>
          </w:tcPr>
          <w:p w14:paraId="34D90CD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5CD6AC5" w14:textId="77777777" w:rsidR="001A54E6" w:rsidRPr="00912996" w:rsidRDefault="001A54E6" w:rsidP="00394372">
            <w:pPr>
              <w:rPr>
                <w:rFonts w:ascii="Calibri" w:hAnsi="Calibri"/>
                <w:bCs/>
                <w:lang w:eastAsia="ja-JP"/>
              </w:rPr>
            </w:pPr>
            <w:r w:rsidRPr="00912996">
              <w:rPr>
                <w:rFonts w:ascii="Calibri" w:hAnsi="Calibri"/>
                <w:bCs/>
                <w:lang w:eastAsia="ja-JP"/>
              </w:rPr>
              <w:t>Consultant</w:t>
            </w:r>
          </w:p>
        </w:tc>
      </w:tr>
      <w:tr w:rsidR="00AC2FFA" w:rsidRPr="00912996" w14:paraId="01C108E5" w14:textId="77777777" w:rsidTr="00E2442E">
        <w:trPr>
          <w:gridAfter w:val="9"/>
          <w:wAfter w:w="15421" w:type="dxa"/>
          <w:trHeight w:val="510"/>
        </w:trPr>
        <w:tc>
          <w:tcPr>
            <w:tcW w:w="625" w:type="dxa"/>
            <w:shd w:val="clear" w:color="auto" w:fill="F2F2F2"/>
            <w:noWrap/>
            <w:hideMark/>
          </w:tcPr>
          <w:p w14:paraId="0C39C615"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1F70C3F6" w14:textId="77777777" w:rsidR="001A54E6" w:rsidRPr="00912996" w:rsidRDefault="001A54E6" w:rsidP="00394372">
            <w:pPr>
              <w:rPr>
                <w:rFonts w:ascii="Calibri" w:hAnsi="Calibri"/>
                <w:bCs/>
                <w:lang w:eastAsia="ja-JP"/>
              </w:rPr>
            </w:pPr>
            <w:r w:rsidRPr="00912996">
              <w:rPr>
                <w:rFonts w:ascii="Calibri" w:hAnsi="Calibri"/>
                <w:bCs/>
                <w:lang w:eastAsia="ja-JP"/>
              </w:rPr>
              <w:t>Instalarea de rastele pentru biciclete, în lungul pistelor pentru biciclete și în vecinătatea sau curtea instituțiilor publice (mai ales licee)</w:t>
            </w:r>
          </w:p>
        </w:tc>
        <w:tc>
          <w:tcPr>
            <w:tcW w:w="1530" w:type="dxa"/>
            <w:shd w:val="clear" w:color="auto" w:fill="F2F2F2"/>
            <w:hideMark/>
          </w:tcPr>
          <w:p w14:paraId="441A6DEA"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44F770AA"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3AA0E9C" w14:textId="77777777" w:rsidR="001A54E6" w:rsidRPr="00912996" w:rsidRDefault="001A54E6" w:rsidP="00394372">
            <w:pPr>
              <w:rPr>
                <w:rFonts w:ascii="Calibri" w:hAnsi="Calibri"/>
                <w:bCs/>
                <w:lang w:eastAsia="ja-JP"/>
              </w:rPr>
            </w:pPr>
            <w:r w:rsidRPr="00912996">
              <w:rPr>
                <w:rFonts w:ascii="Calibri" w:hAnsi="Calibri"/>
                <w:bCs/>
                <w:lang w:eastAsia="ja-JP"/>
              </w:rPr>
              <w:t>17,150,000</w:t>
            </w:r>
          </w:p>
        </w:tc>
        <w:tc>
          <w:tcPr>
            <w:tcW w:w="1260" w:type="dxa"/>
            <w:shd w:val="clear" w:color="auto" w:fill="F2F2F2"/>
            <w:noWrap/>
            <w:hideMark/>
          </w:tcPr>
          <w:p w14:paraId="0DFF633F" w14:textId="77777777" w:rsidR="001A54E6" w:rsidRPr="00912996" w:rsidRDefault="001A54E6" w:rsidP="00394372">
            <w:pPr>
              <w:rPr>
                <w:rFonts w:ascii="Calibri" w:hAnsi="Calibri"/>
                <w:bCs/>
                <w:lang w:eastAsia="ja-JP"/>
              </w:rPr>
            </w:pPr>
            <w:r w:rsidRPr="00912996">
              <w:rPr>
                <w:rFonts w:ascii="Calibri" w:hAnsi="Calibri"/>
                <w:bCs/>
                <w:lang w:eastAsia="ja-JP"/>
              </w:rPr>
              <w:t>3,500,000</w:t>
            </w:r>
          </w:p>
        </w:tc>
        <w:tc>
          <w:tcPr>
            <w:tcW w:w="1089" w:type="dxa"/>
            <w:shd w:val="clear" w:color="auto" w:fill="F2F2F2"/>
            <w:noWrap/>
            <w:hideMark/>
          </w:tcPr>
          <w:p w14:paraId="198F22EF"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233BE366" w14:textId="77777777" w:rsidR="001A54E6" w:rsidRPr="00912996" w:rsidRDefault="001A54E6" w:rsidP="00394372">
            <w:pPr>
              <w:rPr>
                <w:rFonts w:ascii="Calibri" w:hAnsi="Calibri"/>
                <w:bCs/>
                <w:lang w:eastAsia="ja-JP"/>
              </w:rPr>
            </w:pPr>
            <w:r w:rsidRPr="00912996">
              <w:rPr>
                <w:rFonts w:ascii="Calibri" w:hAnsi="Calibri"/>
                <w:bCs/>
                <w:lang w:eastAsia="ja-JP"/>
              </w:rPr>
              <w:t>Bugetul local și alte surse de finanțare</w:t>
            </w:r>
          </w:p>
        </w:tc>
        <w:tc>
          <w:tcPr>
            <w:tcW w:w="1260" w:type="dxa"/>
            <w:shd w:val="clear" w:color="auto" w:fill="F2F2F2"/>
            <w:hideMark/>
          </w:tcPr>
          <w:p w14:paraId="4B8F78DA"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5A1C10E5"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1906A282" w14:textId="77777777" w:rsidTr="00E2442E">
        <w:trPr>
          <w:gridAfter w:val="9"/>
          <w:wAfter w:w="15421" w:type="dxa"/>
          <w:trHeight w:val="510"/>
        </w:trPr>
        <w:tc>
          <w:tcPr>
            <w:tcW w:w="625" w:type="dxa"/>
            <w:shd w:val="clear" w:color="auto" w:fill="F2F2F2"/>
            <w:noWrap/>
            <w:hideMark/>
          </w:tcPr>
          <w:p w14:paraId="657EFBA7"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538913EE" w14:textId="77777777" w:rsidR="001A54E6" w:rsidRPr="00912996" w:rsidRDefault="001A54E6" w:rsidP="00394372">
            <w:pPr>
              <w:rPr>
                <w:rFonts w:ascii="Calibri" w:hAnsi="Calibri"/>
                <w:bCs/>
                <w:lang w:eastAsia="ja-JP"/>
              </w:rPr>
            </w:pPr>
            <w:r w:rsidRPr="00912996">
              <w:rPr>
                <w:rFonts w:ascii="Calibri" w:hAnsi="Calibri"/>
                <w:bCs/>
                <w:lang w:eastAsia="ja-JP"/>
              </w:rPr>
              <w:t>Construirea de garaje securizate pentru biciclete (etapa 1) - 10 garaje</w:t>
            </w:r>
          </w:p>
        </w:tc>
        <w:tc>
          <w:tcPr>
            <w:tcW w:w="1530" w:type="dxa"/>
            <w:shd w:val="clear" w:color="auto" w:fill="F2F2F2"/>
            <w:hideMark/>
          </w:tcPr>
          <w:p w14:paraId="4CCE6F45"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68F93C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D259189" w14:textId="77777777" w:rsidR="001A54E6" w:rsidRPr="00912996" w:rsidRDefault="001A54E6" w:rsidP="00394372">
            <w:pPr>
              <w:rPr>
                <w:rFonts w:ascii="Calibri" w:hAnsi="Calibri"/>
                <w:bCs/>
                <w:lang w:eastAsia="ja-JP"/>
              </w:rPr>
            </w:pPr>
            <w:r w:rsidRPr="00912996">
              <w:rPr>
                <w:rFonts w:ascii="Calibri" w:hAnsi="Calibri"/>
                <w:bCs/>
                <w:lang w:eastAsia="ja-JP"/>
              </w:rPr>
              <w:t>1,470,000</w:t>
            </w:r>
          </w:p>
        </w:tc>
        <w:tc>
          <w:tcPr>
            <w:tcW w:w="1260" w:type="dxa"/>
            <w:shd w:val="clear" w:color="auto" w:fill="F2F2F2"/>
            <w:noWrap/>
            <w:hideMark/>
          </w:tcPr>
          <w:p w14:paraId="554D16DA" w14:textId="77777777" w:rsidR="001A54E6" w:rsidRPr="00912996" w:rsidRDefault="001A54E6" w:rsidP="00394372">
            <w:pPr>
              <w:rPr>
                <w:rFonts w:ascii="Calibri" w:hAnsi="Calibri"/>
                <w:bCs/>
                <w:lang w:eastAsia="ja-JP"/>
              </w:rPr>
            </w:pPr>
            <w:r w:rsidRPr="00912996">
              <w:rPr>
                <w:rFonts w:ascii="Calibri" w:hAnsi="Calibri"/>
                <w:bCs/>
                <w:lang w:eastAsia="ja-JP"/>
              </w:rPr>
              <w:t>300,000</w:t>
            </w:r>
          </w:p>
        </w:tc>
        <w:tc>
          <w:tcPr>
            <w:tcW w:w="1089" w:type="dxa"/>
            <w:shd w:val="clear" w:color="auto" w:fill="F2F2F2"/>
            <w:noWrap/>
            <w:hideMark/>
          </w:tcPr>
          <w:p w14:paraId="09727A32"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07C69135"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67BD44D7"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6306DAD9"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26B4D9B9" w14:textId="77777777" w:rsidTr="00E2442E">
        <w:trPr>
          <w:gridAfter w:val="9"/>
          <w:wAfter w:w="15421" w:type="dxa"/>
          <w:trHeight w:val="510"/>
        </w:trPr>
        <w:tc>
          <w:tcPr>
            <w:tcW w:w="625" w:type="dxa"/>
            <w:shd w:val="clear" w:color="auto" w:fill="F2F2F2"/>
            <w:noWrap/>
            <w:hideMark/>
          </w:tcPr>
          <w:p w14:paraId="2E950961" w14:textId="77777777" w:rsidR="001A54E6" w:rsidRPr="00912996" w:rsidRDefault="001A54E6" w:rsidP="00394372">
            <w:pPr>
              <w:rPr>
                <w:rFonts w:ascii="Calibri" w:hAnsi="Calibri"/>
                <w:bCs/>
                <w:lang w:eastAsia="ja-JP"/>
              </w:rPr>
            </w:pPr>
            <w:r w:rsidRPr="00912996">
              <w:rPr>
                <w:rFonts w:ascii="Calibri" w:hAnsi="Calibri"/>
                <w:bCs/>
                <w:lang w:eastAsia="ja-JP"/>
              </w:rPr>
              <w:t>9</w:t>
            </w:r>
          </w:p>
        </w:tc>
        <w:tc>
          <w:tcPr>
            <w:tcW w:w="2250" w:type="dxa"/>
            <w:shd w:val="clear" w:color="auto" w:fill="F2F2F2"/>
            <w:hideMark/>
          </w:tcPr>
          <w:p w14:paraId="269591E7" w14:textId="77777777" w:rsidR="001A54E6" w:rsidRPr="00912996" w:rsidRDefault="001A54E6" w:rsidP="00394372">
            <w:pPr>
              <w:rPr>
                <w:rFonts w:ascii="Calibri" w:hAnsi="Calibri"/>
                <w:bCs/>
                <w:lang w:eastAsia="ja-JP"/>
              </w:rPr>
            </w:pPr>
            <w:r w:rsidRPr="00912996">
              <w:rPr>
                <w:rFonts w:ascii="Calibri" w:hAnsi="Calibri"/>
                <w:bCs/>
                <w:lang w:eastAsia="ja-JP"/>
              </w:rPr>
              <w:t>Construirea de garaje securizate pentru biciclete (etapa 2) - 25 garaje</w:t>
            </w:r>
          </w:p>
        </w:tc>
        <w:tc>
          <w:tcPr>
            <w:tcW w:w="1530" w:type="dxa"/>
            <w:shd w:val="clear" w:color="auto" w:fill="F2F2F2"/>
            <w:hideMark/>
          </w:tcPr>
          <w:p w14:paraId="530AFF3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67EDD8F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AA867F9" w14:textId="77777777" w:rsidR="001A54E6" w:rsidRPr="00912996" w:rsidRDefault="001A54E6" w:rsidP="00394372">
            <w:pPr>
              <w:rPr>
                <w:rFonts w:ascii="Calibri" w:hAnsi="Calibri"/>
                <w:bCs/>
                <w:lang w:eastAsia="ja-JP"/>
              </w:rPr>
            </w:pPr>
            <w:r w:rsidRPr="00912996">
              <w:rPr>
                <w:rFonts w:ascii="Calibri" w:hAnsi="Calibri"/>
                <w:bCs/>
                <w:lang w:eastAsia="ja-JP"/>
              </w:rPr>
              <w:t>3,675,000</w:t>
            </w:r>
          </w:p>
        </w:tc>
        <w:tc>
          <w:tcPr>
            <w:tcW w:w="1260" w:type="dxa"/>
            <w:shd w:val="clear" w:color="auto" w:fill="F2F2F2"/>
            <w:noWrap/>
            <w:hideMark/>
          </w:tcPr>
          <w:p w14:paraId="19A98DCE" w14:textId="77777777" w:rsidR="001A54E6" w:rsidRPr="00912996" w:rsidRDefault="001A54E6" w:rsidP="00394372">
            <w:pPr>
              <w:rPr>
                <w:rFonts w:ascii="Calibri" w:hAnsi="Calibri"/>
                <w:bCs/>
                <w:lang w:eastAsia="ja-JP"/>
              </w:rPr>
            </w:pPr>
            <w:r w:rsidRPr="00912996">
              <w:rPr>
                <w:rFonts w:ascii="Calibri" w:hAnsi="Calibri"/>
                <w:bCs/>
                <w:lang w:eastAsia="ja-JP"/>
              </w:rPr>
              <w:t>750,000</w:t>
            </w:r>
          </w:p>
        </w:tc>
        <w:tc>
          <w:tcPr>
            <w:tcW w:w="1089" w:type="dxa"/>
            <w:shd w:val="clear" w:color="auto" w:fill="F2F2F2"/>
            <w:noWrap/>
            <w:hideMark/>
          </w:tcPr>
          <w:p w14:paraId="18B1E337"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7B66847A"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26F531CF"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2784A4D9"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31A84307" w14:textId="77777777" w:rsidTr="00E2442E">
        <w:trPr>
          <w:gridAfter w:val="9"/>
          <w:wAfter w:w="15421" w:type="dxa"/>
          <w:trHeight w:val="510"/>
        </w:trPr>
        <w:tc>
          <w:tcPr>
            <w:tcW w:w="625" w:type="dxa"/>
            <w:shd w:val="clear" w:color="auto" w:fill="F2F2F2"/>
            <w:noWrap/>
            <w:hideMark/>
          </w:tcPr>
          <w:p w14:paraId="03114D3A" w14:textId="77777777" w:rsidR="001A54E6" w:rsidRPr="00912996" w:rsidRDefault="001A54E6" w:rsidP="00394372">
            <w:pPr>
              <w:rPr>
                <w:rFonts w:ascii="Calibri" w:hAnsi="Calibri"/>
                <w:bCs/>
                <w:lang w:eastAsia="ja-JP"/>
              </w:rPr>
            </w:pPr>
            <w:r w:rsidRPr="00912996">
              <w:rPr>
                <w:rFonts w:ascii="Calibri" w:hAnsi="Calibri"/>
                <w:bCs/>
                <w:lang w:eastAsia="ja-JP"/>
              </w:rPr>
              <w:t>10</w:t>
            </w:r>
          </w:p>
        </w:tc>
        <w:tc>
          <w:tcPr>
            <w:tcW w:w="2250" w:type="dxa"/>
            <w:shd w:val="clear" w:color="auto" w:fill="F2F2F2"/>
            <w:hideMark/>
          </w:tcPr>
          <w:p w14:paraId="49CC5454" w14:textId="77777777" w:rsidR="001A54E6" w:rsidRPr="00912996" w:rsidRDefault="001A54E6" w:rsidP="00394372">
            <w:pPr>
              <w:rPr>
                <w:rFonts w:ascii="Calibri" w:hAnsi="Calibri"/>
                <w:bCs/>
                <w:lang w:eastAsia="ja-JP"/>
              </w:rPr>
            </w:pPr>
            <w:r w:rsidRPr="00912996">
              <w:rPr>
                <w:rFonts w:ascii="Calibri" w:hAnsi="Calibri"/>
                <w:bCs/>
                <w:lang w:eastAsia="ja-JP"/>
              </w:rPr>
              <w:t>Amenajarea unui sistem de piste de biciclete pentru conectarea zonei Obor ("Moara lui Asan") cu zona Pipera</w:t>
            </w:r>
          </w:p>
        </w:tc>
        <w:tc>
          <w:tcPr>
            <w:tcW w:w="1530" w:type="dxa"/>
            <w:shd w:val="clear" w:color="auto" w:fill="F2F2F2"/>
            <w:hideMark/>
          </w:tcPr>
          <w:p w14:paraId="3ECC0571"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33F9924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86C5EB2" w14:textId="77777777" w:rsidR="001A54E6" w:rsidRPr="00912996" w:rsidRDefault="001A54E6" w:rsidP="00394372">
            <w:pPr>
              <w:rPr>
                <w:rFonts w:ascii="Calibri" w:hAnsi="Calibri"/>
                <w:bCs/>
                <w:lang w:eastAsia="ja-JP"/>
              </w:rPr>
            </w:pPr>
            <w:r w:rsidRPr="00912996">
              <w:rPr>
                <w:rFonts w:ascii="Calibri" w:hAnsi="Calibri"/>
                <w:bCs/>
                <w:lang w:eastAsia="ja-JP"/>
              </w:rPr>
              <w:t>7,350,000</w:t>
            </w:r>
          </w:p>
        </w:tc>
        <w:tc>
          <w:tcPr>
            <w:tcW w:w="1260" w:type="dxa"/>
            <w:shd w:val="clear" w:color="auto" w:fill="F2F2F2"/>
            <w:noWrap/>
            <w:hideMark/>
          </w:tcPr>
          <w:p w14:paraId="4079840B" w14:textId="77777777" w:rsidR="001A54E6" w:rsidRPr="00912996" w:rsidRDefault="001A54E6" w:rsidP="00394372">
            <w:pPr>
              <w:rPr>
                <w:rFonts w:ascii="Calibri" w:hAnsi="Calibri"/>
                <w:bCs/>
                <w:lang w:eastAsia="ja-JP"/>
              </w:rPr>
            </w:pPr>
            <w:r w:rsidRPr="00912996">
              <w:rPr>
                <w:rFonts w:ascii="Calibri" w:hAnsi="Calibri"/>
                <w:bCs/>
                <w:lang w:eastAsia="ja-JP"/>
              </w:rPr>
              <w:t>1,500,000</w:t>
            </w:r>
          </w:p>
        </w:tc>
        <w:tc>
          <w:tcPr>
            <w:tcW w:w="1089" w:type="dxa"/>
            <w:shd w:val="clear" w:color="auto" w:fill="F2F2F2"/>
            <w:noWrap/>
            <w:hideMark/>
          </w:tcPr>
          <w:p w14:paraId="10CB6860"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666FDE33" w14:textId="77777777" w:rsidR="001A54E6" w:rsidRPr="00912996" w:rsidRDefault="001A54E6" w:rsidP="00394372">
            <w:pPr>
              <w:rPr>
                <w:rFonts w:ascii="Calibri" w:hAnsi="Calibri"/>
                <w:bCs/>
                <w:lang w:eastAsia="ja-JP"/>
              </w:rPr>
            </w:pPr>
            <w:r w:rsidRPr="00912996">
              <w:rPr>
                <w:rFonts w:ascii="Calibri" w:hAnsi="Calibri"/>
                <w:bCs/>
                <w:lang w:eastAsia="ja-JP"/>
              </w:rPr>
              <w:t>POR BI 2021 - 2027 P 5, Bugetul local, Alte surse de finanțare</w:t>
            </w:r>
          </w:p>
        </w:tc>
        <w:tc>
          <w:tcPr>
            <w:tcW w:w="1260" w:type="dxa"/>
            <w:shd w:val="clear" w:color="auto" w:fill="F2F2F2"/>
            <w:hideMark/>
          </w:tcPr>
          <w:p w14:paraId="6CAC34A0"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256BBFC2"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1422E4C5" w14:textId="77777777" w:rsidTr="00E2442E">
        <w:trPr>
          <w:gridAfter w:val="9"/>
          <w:wAfter w:w="15421" w:type="dxa"/>
          <w:trHeight w:val="540"/>
        </w:trPr>
        <w:tc>
          <w:tcPr>
            <w:tcW w:w="625" w:type="dxa"/>
            <w:shd w:val="clear" w:color="auto" w:fill="F2F2F2"/>
            <w:noWrap/>
            <w:hideMark/>
          </w:tcPr>
          <w:p w14:paraId="1F203D4F" w14:textId="77777777" w:rsidR="001A54E6" w:rsidRPr="00912996" w:rsidRDefault="001A54E6" w:rsidP="00394372">
            <w:pPr>
              <w:rPr>
                <w:rFonts w:ascii="Calibri" w:hAnsi="Calibri"/>
                <w:bCs/>
                <w:lang w:eastAsia="ja-JP"/>
              </w:rPr>
            </w:pPr>
            <w:r w:rsidRPr="00912996">
              <w:rPr>
                <w:rFonts w:ascii="Calibri" w:hAnsi="Calibri"/>
                <w:bCs/>
                <w:lang w:eastAsia="ja-JP"/>
              </w:rPr>
              <w:t>11</w:t>
            </w:r>
          </w:p>
        </w:tc>
        <w:tc>
          <w:tcPr>
            <w:tcW w:w="2250" w:type="dxa"/>
            <w:shd w:val="clear" w:color="auto" w:fill="F2F2F2"/>
            <w:hideMark/>
          </w:tcPr>
          <w:p w14:paraId="32DCCA67" w14:textId="77777777" w:rsidR="001A54E6" w:rsidRPr="00912996" w:rsidRDefault="001A54E6" w:rsidP="00394372">
            <w:pPr>
              <w:rPr>
                <w:rFonts w:ascii="Calibri" w:hAnsi="Calibri"/>
                <w:bCs/>
                <w:lang w:eastAsia="ja-JP"/>
              </w:rPr>
            </w:pPr>
            <w:r w:rsidRPr="00912996">
              <w:rPr>
                <w:rFonts w:ascii="Calibri" w:hAnsi="Calibri"/>
                <w:bCs/>
                <w:lang w:eastAsia="ja-JP"/>
              </w:rPr>
              <w:t>Introducerea unui sistem de închiriere</w:t>
            </w:r>
            <w:r w:rsidRPr="00912996">
              <w:rPr>
                <w:rFonts w:ascii="Calibri" w:hAnsi="Calibri"/>
                <w:bCs/>
                <w:lang w:eastAsia="ja-JP"/>
              </w:rPr>
              <w:br/>
              <w:t>biciclete (bike-sharing)</w:t>
            </w:r>
          </w:p>
        </w:tc>
        <w:tc>
          <w:tcPr>
            <w:tcW w:w="1530" w:type="dxa"/>
            <w:shd w:val="clear" w:color="auto" w:fill="F2F2F2"/>
            <w:hideMark/>
          </w:tcPr>
          <w:p w14:paraId="5B4DAEED" w14:textId="77777777" w:rsidR="001A54E6" w:rsidRPr="00912996" w:rsidRDefault="001A54E6" w:rsidP="00394372">
            <w:pPr>
              <w:rPr>
                <w:rFonts w:ascii="Calibri" w:hAnsi="Calibri"/>
                <w:bCs/>
                <w:lang w:eastAsia="ja-JP"/>
              </w:rPr>
            </w:pPr>
            <w:r w:rsidRPr="00912996">
              <w:rPr>
                <w:rFonts w:ascii="Calibri" w:hAnsi="Calibri"/>
                <w:bCs/>
                <w:lang w:eastAsia="ja-JP"/>
              </w:rPr>
              <w:t>PMB, Județul Ilfov și autoritățile locale</w:t>
            </w:r>
          </w:p>
        </w:tc>
        <w:tc>
          <w:tcPr>
            <w:tcW w:w="1620" w:type="dxa"/>
            <w:shd w:val="clear" w:color="auto" w:fill="F2F2F2"/>
            <w:noWrap/>
            <w:hideMark/>
          </w:tcPr>
          <w:p w14:paraId="4E3CAE5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8F80257" w14:textId="77777777" w:rsidR="001A54E6" w:rsidRPr="00912996" w:rsidRDefault="001A54E6" w:rsidP="00394372">
            <w:pPr>
              <w:rPr>
                <w:rFonts w:ascii="Calibri" w:hAnsi="Calibri"/>
                <w:bCs/>
                <w:lang w:eastAsia="ja-JP"/>
              </w:rPr>
            </w:pPr>
            <w:r w:rsidRPr="00912996">
              <w:rPr>
                <w:rFonts w:ascii="Calibri" w:hAnsi="Calibri"/>
                <w:bCs/>
                <w:lang w:eastAsia="ja-JP"/>
              </w:rPr>
              <w:t>73,500,000</w:t>
            </w:r>
          </w:p>
        </w:tc>
        <w:tc>
          <w:tcPr>
            <w:tcW w:w="1260" w:type="dxa"/>
            <w:shd w:val="clear" w:color="auto" w:fill="F2F2F2"/>
            <w:noWrap/>
            <w:hideMark/>
          </w:tcPr>
          <w:p w14:paraId="2D7E7DD4" w14:textId="77777777" w:rsidR="001A54E6" w:rsidRPr="00912996" w:rsidRDefault="001A54E6" w:rsidP="00394372">
            <w:pPr>
              <w:rPr>
                <w:rFonts w:ascii="Calibri" w:hAnsi="Calibri"/>
                <w:bCs/>
                <w:lang w:eastAsia="ja-JP"/>
              </w:rPr>
            </w:pPr>
            <w:r w:rsidRPr="00912996">
              <w:rPr>
                <w:rFonts w:ascii="Calibri" w:hAnsi="Calibri"/>
                <w:bCs/>
                <w:lang w:eastAsia="ja-JP"/>
              </w:rPr>
              <w:t>15,000,000</w:t>
            </w:r>
          </w:p>
        </w:tc>
        <w:tc>
          <w:tcPr>
            <w:tcW w:w="1089" w:type="dxa"/>
            <w:shd w:val="clear" w:color="auto" w:fill="F2F2F2"/>
            <w:noWrap/>
            <w:hideMark/>
          </w:tcPr>
          <w:p w14:paraId="68ADE6A9"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7276C785" w14:textId="77777777" w:rsidR="001A54E6" w:rsidRPr="00912996" w:rsidRDefault="001A54E6" w:rsidP="00394372">
            <w:pPr>
              <w:rPr>
                <w:rFonts w:ascii="Calibri" w:hAnsi="Calibri"/>
                <w:bCs/>
                <w:lang w:eastAsia="ja-JP"/>
              </w:rPr>
            </w:pPr>
            <w:r w:rsidRPr="00912996">
              <w:rPr>
                <w:rFonts w:ascii="Calibri" w:hAnsi="Calibri"/>
                <w:bCs/>
                <w:lang w:eastAsia="ja-JP"/>
              </w:rPr>
              <w:t>Bugetul local, fonduri europene, PPP</w:t>
            </w:r>
          </w:p>
        </w:tc>
        <w:tc>
          <w:tcPr>
            <w:tcW w:w="1260" w:type="dxa"/>
            <w:shd w:val="clear" w:color="auto" w:fill="F2F2F2"/>
            <w:hideMark/>
          </w:tcPr>
          <w:p w14:paraId="51D12942"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6028B133" w14:textId="77777777" w:rsidR="001A54E6" w:rsidRPr="00912996" w:rsidRDefault="001A54E6" w:rsidP="00394372">
            <w:pPr>
              <w:rPr>
                <w:rFonts w:ascii="Calibri" w:hAnsi="Calibri"/>
                <w:bCs/>
                <w:lang w:eastAsia="ja-JP"/>
              </w:rPr>
            </w:pPr>
            <w:r w:rsidRPr="00912996">
              <w:rPr>
                <w:rFonts w:ascii="Calibri" w:hAnsi="Calibri"/>
                <w:bCs/>
                <w:lang w:eastAsia="ja-JP"/>
              </w:rPr>
              <w:t>PS2, PMUD-BI</w:t>
            </w:r>
          </w:p>
        </w:tc>
      </w:tr>
      <w:tr w:rsidR="00AC2FFA" w:rsidRPr="00912996" w14:paraId="70B76D69" w14:textId="77777777" w:rsidTr="00E2442E">
        <w:trPr>
          <w:gridAfter w:val="9"/>
          <w:wAfter w:w="15421" w:type="dxa"/>
          <w:trHeight w:val="1191"/>
        </w:trPr>
        <w:tc>
          <w:tcPr>
            <w:tcW w:w="625" w:type="dxa"/>
            <w:shd w:val="clear" w:color="auto" w:fill="F2F2F2"/>
            <w:noWrap/>
            <w:hideMark/>
          </w:tcPr>
          <w:p w14:paraId="19AF1AFB" w14:textId="77777777" w:rsidR="001A54E6" w:rsidRPr="00912996" w:rsidRDefault="001A54E6" w:rsidP="00394372">
            <w:pPr>
              <w:rPr>
                <w:rFonts w:ascii="Calibri" w:hAnsi="Calibri"/>
                <w:bCs/>
                <w:lang w:eastAsia="ja-JP"/>
              </w:rPr>
            </w:pPr>
            <w:r w:rsidRPr="00912996">
              <w:rPr>
                <w:rFonts w:ascii="Calibri" w:hAnsi="Calibri"/>
                <w:bCs/>
                <w:lang w:eastAsia="ja-JP"/>
              </w:rPr>
              <w:t>12</w:t>
            </w:r>
          </w:p>
        </w:tc>
        <w:tc>
          <w:tcPr>
            <w:tcW w:w="2250" w:type="dxa"/>
            <w:shd w:val="clear" w:color="auto" w:fill="F2F2F2"/>
            <w:hideMark/>
          </w:tcPr>
          <w:p w14:paraId="6DAAD89C" w14:textId="77777777" w:rsidR="001A54E6" w:rsidRPr="00912996" w:rsidRDefault="001A54E6" w:rsidP="00394372">
            <w:pPr>
              <w:rPr>
                <w:rFonts w:ascii="Calibri" w:hAnsi="Calibri"/>
                <w:bCs/>
                <w:lang w:eastAsia="ja-JP"/>
              </w:rPr>
            </w:pPr>
            <w:r w:rsidRPr="00912996">
              <w:rPr>
                <w:rFonts w:ascii="Calibri" w:hAnsi="Calibri"/>
                <w:bCs/>
                <w:lang w:eastAsia="ja-JP"/>
              </w:rPr>
              <w:t>Program de amenajare a unor stații de tip "self care" pentru biciclete</w:t>
            </w:r>
          </w:p>
        </w:tc>
        <w:tc>
          <w:tcPr>
            <w:tcW w:w="1530" w:type="dxa"/>
            <w:shd w:val="clear" w:color="auto" w:fill="F2F2F2"/>
            <w:hideMark/>
          </w:tcPr>
          <w:p w14:paraId="4E44D92C"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424C5A9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63CBC30" w14:textId="77777777" w:rsidR="001A54E6" w:rsidRPr="00912996" w:rsidRDefault="001A54E6" w:rsidP="00394372">
            <w:pPr>
              <w:rPr>
                <w:rFonts w:ascii="Calibri" w:hAnsi="Calibri"/>
                <w:bCs/>
                <w:lang w:eastAsia="ja-JP"/>
              </w:rPr>
            </w:pPr>
            <w:r w:rsidRPr="00912996">
              <w:rPr>
                <w:rFonts w:ascii="Calibri" w:hAnsi="Calibri"/>
                <w:bCs/>
                <w:lang w:eastAsia="ja-JP"/>
              </w:rPr>
              <w:t>245,000</w:t>
            </w:r>
          </w:p>
        </w:tc>
        <w:tc>
          <w:tcPr>
            <w:tcW w:w="1260" w:type="dxa"/>
            <w:shd w:val="clear" w:color="auto" w:fill="F2F2F2"/>
            <w:noWrap/>
            <w:hideMark/>
          </w:tcPr>
          <w:p w14:paraId="630C22AD" w14:textId="77777777" w:rsidR="001A54E6" w:rsidRPr="00912996" w:rsidRDefault="001A54E6" w:rsidP="00394372">
            <w:pPr>
              <w:rPr>
                <w:rFonts w:ascii="Calibri" w:hAnsi="Calibri"/>
                <w:bCs/>
                <w:lang w:eastAsia="ja-JP"/>
              </w:rPr>
            </w:pPr>
            <w:r w:rsidRPr="00912996">
              <w:rPr>
                <w:rFonts w:ascii="Calibri" w:hAnsi="Calibri"/>
                <w:bCs/>
                <w:lang w:eastAsia="ja-JP"/>
              </w:rPr>
              <w:t>50,000</w:t>
            </w:r>
          </w:p>
        </w:tc>
        <w:tc>
          <w:tcPr>
            <w:tcW w:w="1089" w:type="dxa"/>
            <w:shd w:val="clear" w:color="auto" w:fill="F2F2F2"/>
            <w:noWrap/>
            <w:hideMark/>
          </w:tcPr>
          <w:p w14:paraId="639B2B40"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52D71F60" w14:textId="77777777" w:rsidR="001A54E6" w:rsidRPr="00912996" w:rsidRDefault="001A54E6" w:rsidP="00394372">
            <w:pPr>
              <w:rPr>
                <w:rFonts w:ascii="Calibri" w:hAnsi="Calibri"/>
                <w:bCs/>
                <w:lang w:eastAsia="ja-JP"/>
              </w:rPr>
            </w:pPr>
            <w:r w:rsidRPr="00912996">
              <w:rPr>
                <w:rFonts w:ascii="Calibri" w:hAnsi="Calibri"/>
                <w:bCs/>
                <w:lang w:eastAsia="ja-JP"/>
              </w:rPr>
              <w:t>POR BI 2021 - 2027 P 4, Bugetul local, Alte surse de finanțare</w:t>
            </w:r>
          </w:p>
        </w:tc>
        <w:tc>
          <w:tcPr>
            <w:tcW w:w="1260" w:type="dxa"/>
            <w:shd w:val="clear" w:color="auto" w:fill="F2F2F2"/>
            <w:hideMark/>
          </w:tcPr>
          <w:p w14:paraId="21DB79A6"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7BD68BA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1A54E6" w:rsidRPr="00912996" w14:paraId="76660F49" w14:textId="77777777" w:rsidTr="00AC2FFA">
        <w:trPr>
          <w:gridAfter w:val="9"/>
          <w:wAfter w:w="15421" w:type="dxa"/>
          <w:trHeight w:val="276"/>
        </w:trPr>
        <w:tc>
          <w:tcPr>
            <w:tcW w:w="14215" w:type="dxa"/>
            <w:gridSpan w:val="10"/>
            <w:shd w:val="clear" w:color="auto" w:fill="BBD9A0"/>
            <w:noWrap/>
            <w:hideMark/>
          </w:tcPr>
          <w:p w14:paraId="47ED51C0" w14:textId="77777777" w:rsidR="001A54E6" w:rsidRPr="00912996" w:rsidRDefault="001A54E6" w:rsidP="00F632CC">
            <w:pPr>
              <w:jc w:val="center"/>
              <w:rPr>
                <w:rFonts w:ascii="Calibri" w:hAnsi="Calibri"/>
                <w:b/>
                <w:bCs/>
                <w:color w:val="FFFFFF"/>
                <w:lang w:eastAsia="ja-JP"/>
              </w:rPr>
            </w:pPr>
            <w:r w:rsidRPr="00912996">
              <w:rPr>
                <w:rFonts w:ascii="Calibri" w:hAnsi="Calibri"/>
                <w:b/>
                <w:bCs/>
                <w:color w:val="FFFFFF"/>
                <w:lang w:eastAsia="ja-JP"/>
              </w:rPr>
              <w:t xml:space="preserve">D3.4.2 Extinderea și revitalizarea zonelor și circulațiilor pietonale - </w:t>
            </w:r>
            <w:r w:rsidRPr="00912996">
              <w:rPr>
                <w:rFonts w:ascii="Calibri" w:hAnsi="Calibri"/>
                <w:b/>
                <w:bCs/>
                <w:i/>
                <w:iCs/>
                <w:color w:val="FFFFFF"/>
                <w:lang w:eastAsia="ja-JP"/>
              </w:rPr>
              <w:t>direcția de acțiune este deservită și de proiectele de la D1.2.1. Regenerarea urbană a spațiilor publice din cadrul ansamblurilor de locuințe colective și parcelări</w:t>
            </w:r>
          </w:p>
        </w:tc>
      </w:tr>
      <w:tr w:rsidR="00AC2FFA" w:rsidRPr="00912996" w14:paraId="265DCC65" w14:textId="77777777" w:rsidTr="00E2442E">
        <w:trPr>
          <w:gridAfter w:val="9"/>
          <w:wAfter w:w="15421" w:type="dxa"/>
          <w:trHeight w:val="540"/>
        </w:trPr>
        <w:tc>
          <w:tcPr>
            <w:tcW w:w="625" w:type="dxa"/>
            <w:shd w:val="clear" w:color="auto" w:fill="F2F2F2"/>
            <w:noWrap/>
            <w:hideMark/>
          </w:tcPr>
          <w:p w14:paraId="446549DF"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7CCFCEA5" w14:textId="77777777" w:rsidR="001A54E6" w:rsidRPr="00912996" w:rsidRDefault="001A54E6" w:rsidP="00394372">
            <w:pPr>
              <w:rPr>
                <w:rFonts w:ascii="Calibri" w:hAnsi="Calibri"/>
                <w:bCs/>
                <w:lang w:eastAsia="ja-JP"/>
              </w:rPr>
            </w:pPr>
            <w:r w:rsidRPr="00912996">
              <w:rPr>
                <w:rFonts w:ascii="Calibri" w:hAnsi="Calibri"/>
                <w:bCs/>
                <w:lang w:eastAsia="ja-JP"/>
              </w:rPr>
              <w:t>Crearea unor noi zone cu prioritate pentru pietoni în centrul orașului (zone pietonale și cu utilizare mixtă)</w:t>
            </w:r>
          </w:p>
        </w:tc>
        <w:tc>
          <w:tcPr>
            <w:tcW w:w="1530" w:type="dxa"/>
            <w:shd w:val="clear" w:color="auto" w:fill="F2F2F2"/>
            <w:hideMark/>
          </w:tcPr>
          <w:p w14:paraId="4B377997" w14:textId="77777777" w:rsidR="001A54E6" w:rsidRPr="00912996" w:rsidRDefault="001A54E6" w:rsidP="00394372">
            <w:pPr>
              <w:rPr>
                <w:rFonts w:ascii="Calibri" w:hAnsi="Calibri"/>
                <w:bCs/>
                <w:lang w:eastAsia="ja-JP"/>
              </w:rPr>
            </w:pPr>
            <w:r w:rsidRPr="00912996">
              <w:rPr>
                <w:rFonts w:ascii="Calibri" w:hAnsi="Calibri"/>
                <w:bCs/>
                <w:lang w:eastAsia="ja-JP"/>
              </w:rPr>
              <w:t>PMB, Primăriile de sector</w:t>
            </w:r>
          </w:p>
        </w:tc>
        <w:tc>
          <w:tcPr>
            <w:tcW w:w="1620" w:type="dxa"/>
            <w:shd w:val="clear" w:color="auto" w:fill="F2F2F2"/>
            <w:noWrap/>
            <w:hideMark/>
          </w:tcPr>
          <w:p w14:paraId="2A407431"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5B64995" w14:textId="77777777" w:rsidR="001A54E6" w:rsidRPr="00912996" w:rsidRDefault="001A54E6" w:rsidP="00394372">
            <w:pPr>
              <w:rPr>
                <w:rFonts w:ascii="Calibri" w:hAnsi="Calibri"/>
                <w:bCs/>
                <w:lang w:eastAsia="ja-JP"/>
              </w:rPr>
            </w:pPr>
            <w:r w:rsidRPr="00912996">
              <w:rPr>
                <w:rFonts w:ascii="Calibri" w:hAnsi="Calibri"/>
                <w:bCs/>
                <w:lang w:eastAsia="ja-JP"/>
              </w:rPr>
              <w:t>690,900,000</w:t>
            </w:r>
          </w:p>
        </w:tc>
        <w:tc>
          <w:tcPr>
            <w:tcW w:w="1260" w:type="dxa"/>
            <w:shd w:val="clear" w:color="auto" w:fill="F2F2F2"/>
            <w:noWrap/>
            <w:hideMark/>
          </w:tcPr>
          <w:p w14:paraId="3D317B12" w14:textId="77777777" w:rsidR="001A54E6" w:rsidRPr="00912996" w:rsidRDefault="001A54E6" w:rsidP="00394372">
            <w:pPr>
              <w:rPr>
                <w:rFonts w:ascii="Calibri" w:hAnsi="Calibri"/>
                <w:bCs/>
                <w:lang w:eastAsia="ja-JP"/>
              </w:rPr>
            </w:pPr>
            <w:r w:rsidRPr="00912996">
              <w:rPr>
                <w:rFonts w:ascii="Calibri" w:hAnsi="Calibri"/>
                <w:bCs/>
                <w:lang w:eastAsia="ja-JP"/>
              </w:rPr>
              <w:t>141,000,000</w:t>
            </w:r>
          </w:p>
        </w:tc>
        <w:tc>
          <w:tcPr>
            <w:tcW w:w="1089" w:type="dxa"/>
            <w:shd w:val="clear" w:color="auto" w:fill="F2F2F2"/>
            <w:noWrap/>
            <w:hideMark/>
          </w:tcPr>
          <w:p w14:paraId="2E4B463E"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18D29729"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61FDC32E"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5F3599E5"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65602173" w14:textId="77777777" w:rsidTr="00E2442E">
        <w:trPr>
          <w:gridAfter w:val="9"/>
          <w:wAfter w:w="15421" w:type="dxa"/>
          <w:trHeight w:val="1068"/>
        </w:trPr>
        <w:tc>
          <w:tcPr>
            <w:tcW w:w="625" w:type="dxa"/>
            <w:shd w:val="clear" w:color="auto" w:fill="F2F2F2"/>
            <w:noWrap/>
            <w:hideMark/>
          </w:tcPr>
          <w:p w14:paraId="77770F3C"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2D907B1E" w14:textId="77777777" w:rsidR="001A54E6" w:rsidRPr="00912996" w:rsidRDefault="001A54E6" w:rsidP="00394372">
            <w:pPr>
              <w:rPr>
                <w:rFonts w:ascii="Calibri" w:hAnsi="Calibri"/>
                <w:bCs/>
                <w:lang w:eastAsia="ja-JP"/>
              </w:rPr>
            </w:pPr>
            <w:r w:rsidRPr="00912996">
              <w:rPr>
                <w:rFonts w:ascii="Calibri" w:hAnsi="Calibri"/>
                <w:bCs/>
                <w:lang w:eastAsia="ja-JP"/>
              </w:rPr>
              <w:t>Modernizarea, accesibilizarea și dotarea trotuarelor pentru a permite circulația persoanelor în scaune rulante și introducerea marcajului tactil pentru persoanele cu deficiențe de vedere</w:t>
            </w:r>
          </w:p>
        </w:tc>
        <w:tc>
          <w:tcPr>
            <w:tcW w:w="1530" w:type="dxa"/>
            <w:shd w:val="clear" w:color="auto" w:fill="F2F2F2"/>
            <w:hideMark/>
          </w:tcPr>
          <w:p w14:paraId="1ACFED5E"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35D1DCD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F128FC1" w14:textId="77777777" w:rsidR="001A54E6" w:rsidRPr="00912996" w:rsidRDefault="001A54E6" w:rsidP="00394372">
            <w:pPr>
              <w:rPr>
                <w:rFonts w:ascii="Calibri" w:hAnsi="Calibri"/>
                <w:bCs/>
                <w:lang w:eastAsia="ja-JP"/>
              </w:rPr>
            </w:pPr>
            <w:r w:rsidRPr="00912996">
              <w:rPr>
                <w:rFonts w:ascii="Calibri" w:hAnsi="Calibri"/>
                <w:bCs/>
                <w:lang w:eastAsia="ja-JP"/>
              </w:rPr>
              <w:t>14,700,000</w:t>
            </w:r>
          </w:p>
        </w:tc>
        <w:tc>
          <w:tcPr>
            <w:tcW w:w="1260" w:type="dxa"/>
            <w:shd w:val="clear" w:color="auto" w:fill="F2F2F2"/>
            <w:noWrap/>
            <w:hideMark/>
          </w:tcPr>
          <w:p w14:paraId="1621C2EC" w14:textId="77777777" w:rsidR="001A54E6" w:rsidRPr="00912996" w:rsidRDefault="001A54E6" w:rsidP="00394372">
            <w:pPr>
              <w:rPr>
                <w:rFonts w:ascii="Calibri" w:hAnsi="Calibri"/>
                <w:bCs/>
                <w:lang w:eastAsia="ja-JP"/>
              </w:rPr>
            </w:pPr>
            <w:r w:rsidRPr="00912996">
              <w:rPr>
                <w:rFonts w:ascii="Calibri" w:hAnsi="Calibri"/>
                <w:bCs/>
                <w:lang w:eastAsia="ja-JP"/>
              </w:rPr>
              <w:t>3,000,000</w:t>
            </w:r>
          </w:p>
        </w:tc>
        <w:tc>
          <w:tcPr>
            <w:tcW w:w="1089" w:type="dxa"/>
            <w:shd w:val="clear" w:color="auto" w:fill="F2F2F2"/>
            <w:noWrap/>
            <w:hideMark/>
          </w:tcPr>
          <w:p w14:paraId="283F891D"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287BEBE9"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35162356"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2D565DFB" w14:textId="77777777" w:rsidR="001A54E6" w:rsidRPr="00912996" w:rsidRDefault="001A54E6" w:rsidP="00394372">
            <w:pPr>
              <w:rPr>
                <w:rFonts w:ascii="Calibri" w:hAnsi="Calibri"/>
                <w:bCs/>
                <w:lang w:eastAsia="ja-JP"/>
              </w:rPr>
            </w:pPr>
            <w:r w:rsidRPr="00912996">
              <w:rPr>
                <w:rFonts w:ascii="Calibri" w:hAnsi="Calibri"/>
                <w:bCs/>
                <w:lang w:eastAsia="ja-JP"/>
              </w:rPr>
              <w:t>PS2, PMUD-BI</w:t>
            </w:r>
          </w:p>
        </w:tc>
      </w:tr>
      <w:tr w:rsidR="00AC2FFA" w:rsidRPr="00912996" w14:paraId="2E308CC6" w14:textId="77777777" w:rsidTr="00E2442E">
        <w:trPr>
          <w:gridAfter w:val="9"/>
          <w:wAfter w:w="15421" w:type="dxa"/>
          <w:trHeight w:val="540"/>
        </w:trPr>
        <w:tc>
          <w:tcPr>
            <w:tcW w:w="625" w:type="dxa"/>
            <w:shd w:val="clear" w:color="auto" w:fill="F2F2F2"/>
            <w:noWrap/>
            <w:hideMark/>
          </w:tcPr>
          <w:p w14:paraId="33F02C9E"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1FEC7C32" w14:textId="77777777" w:rsidR="001A54E6" w:rsidRPr="00912996" w:rsidRDefault="001A54E6" w:rsidP="00394372">
            <w:pPr>
              <w:rPr>
                <w:rFonts w:ascii="Calibri" w:hAnsi="Calibri"/>
                <w:bCs/>
                <w:lang w:eastAsia="ja-JP"/>
              </w:rPr>
            </w:pPr>
            <w:r w:rsidRPr="00912996">
              <w:rPr>
                <w:rFonts w:ascii="Calibri" w:hAnsi="Calibri"/>
                <w:bCs/>
                <w:lang w:eastAsia="ja-JP"/>
              </w:rPr>
              <w:t>Amenajarea de noi zone pietonale in zona Obor (Colentina, Mihai Bravu, Chiristigiilor și Ziduri Moși)</w:t>
            </w:r>
          </w:p>
        </w:tc>
        <w:tc>
          <w:tcPr>
            <w:tcW w:w="1530" w:type="dxa"/>
            <w:shd w:val="clear" w:color="auto" w:fill="F2F2F2"/>
            <w:hideMark/>
          </w:tcPr>
          <w:p w14:paraId="4E6558F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113BF0C"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D9500BC" w14:textId="77777777" w:rsidR="001A54E6" w:rsidRPr="00912996" w:rsidRDefault="001A54E6" w:rsidP="00394372">
            <w:pPr>
              <w:rPr>
                <w:rFonts w:ascii="Calibri" w:hAnsi="Calibri"/>
                <w:bCs/>
                <w:lang w:eastAsia="ja-JP"/>
              </w:rPr>
            </w:pPr>
            <w:r w:rsidRPr="00912996">
              <w:rPr>
                <w:rFonts w:ascii="Calibri" w:hAnsi="Calibri"/>
                <w:bCs/>
                <w:lang w:eastAsia="ja-JP"/>
              </w:rPr>
              <w:t>7,350,000</w:t>
            </w:r>
          </w:p>
        </w:tc>
        <w:tc>
          <w:tcPr>
            <w:tcW w:w="1260" w:type="dxa"/>
            <w:shd w:val="clear" w:color="auto" w:fill="F2F2F2"/>
            <w:noWrap/>
            <w:hideMark/>
          </w:tcPr>
          <w:p w14:paraId="2849E9D1" w14:textId="77777777" w:rsidR="001A54E6" w:rsidRPr="00912996" w:rsidRDefault="001A54E6" w:rsidP="00394372">
            <w:pPr>
              <w:rPr>
                <w:rFonts w:ascii="Calibri" w:hAnsi="Calibri"/>
                <w:bCs/>
                <w:lang w:eastAsia="ja-JP"/>
              </w:rPr>
            </w:pPr>
            <w:r w:rsidRPr="00912996">
              <w:rPr>
                <w:rFonts w:ascii="Calibri" w:hAnsi="Calibri"/>
                <w:bCs/>
                <w:lang w:eastAsia="ja-JP"/>
              </w:rPr>
              <w:t>1,500,000</w:t>
            </w:r>
          </w:p>
        </w:tc>
        <w:tc>
          <w:tcPr>
            <w:tcW w:w="1089" w:type="dxa"/>
            <w:shd w:val="clear" w:color="auto" w:fill="F2F2F2"/>
            <w:noWrap/>
            <w:hideMark/>
          </w:tcPr>
          <w:p w14:paraId="369BAF46"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0D9FDAB0"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489545A3"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219D64CB"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51DB6584" w14:textId="77777777" w:rsidTr="00E2442E">
        <w:trPr>
          <w:gridAfter w:val="9"/>
          <w:wAfter w:w="15421" w:type="dxa"/>
          <w:trHeight w:val="620"/>
        </w:trPr>
        <w:tc>
          <w:tcPr>
            <w:tcW w:w="625" w:type="dxa"/>
            <w:shd w:val="clear" w:color="auto" w:fill="F2F2F2"/>
            <w:noWrap/>
            <w:hideMark/>
          </w:tcPr>
          <w:p w14:paraId="17955748"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57422658" w14:textId="77777777" w:rsidR="001A54E6" w:rsidRPr="00912996" w:rsidRDefault="001A54E6" w:rsidP="00394372">
            <w:pPr>
              <w:rPr>
                <w:rFonts w:ascii="Calibri" w:hAnsi="Calibri"/>
                <w:bCs/>
                <w:lang w:eastAsia="ja-JP"/>
              </w:rPr>
            </w:pPr>
            <w:r w:rsidRPr="00912996">
              <w:rPr>
                <w:rFonts w:ascii="Calibri" w:hAnsi="Calibri"/>
                <w:bCs/>
                <w:lang w:eastAsia="ja-JP"/>
              </w:rPr>
              <w:t>Program de îmbunătățire a siguranței rutiere, în special pentru participanții vulnerabili la trafic din București</w:t>
            </w:r>
          </w:p>
        </w:tc>
        <w:tc>
          <w:tcPr>
            <w:tcW w:w="1530" w:type="dxa"/>
            <w:shd w:val="clear" w:color="auto" w:fill="F2F2F2"/>
            <w:hideMark/>
          </w:tcPr>
          <w:p w14:paraId="1FC5D8DC" w14:textId="77777777" w:rsidR="001A54E6" w:rsidRPr="00912996" w:rsidRDefault="001A54E6" w:rsidP="00394372">
            <w:pPr>
              <w:rPr>
                <w:rFonts w:ascii="Calibri" w:hAnsi="Calibri"/>
                <w:bCs/>
                <w:lang w:eastAsia="ja-JP"/>
              </w:rPr>
            </w:pPr>
            <w:r w:rsidRPr="00912996">
              <w:rPr>
                <w:rFonts w:ascii="Calibri" w:hAnsi="Calibri"/>
                <w:bCs/>
                <w:lang w:eastAsia="ja-JP"/>
              </w:rPr>
              <w:t>PS2, PMB</w:t>
            </w:r>
          </w:p>
        </w:tc>
        <w:tc>
          <w:tcPr>
            <w:tcW w:w="1620" w:type="dxa"/>
            <w:shd w:val="clear" w:color="auto" w:fill="F2F2F2"/>
            <w:noWrap/>
            <w:hideMark/>
          </w:tcPr>
          <w:p w14:paraId="041D3011"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EC99BDE" w14:textId="77777777" w:rsidR="001A54E6" w:rsidRPr="00912996" w:rsidRDefault="001A54E6" w:rsidP="00394372">
            <w:pPr>
              <w:rPr>
                <w:rFonts w:ascii="Calibri" w:hAnsi="Calibri"/>
                <w:bCs/>
                <w:lang w:eastAsia="ja-JP"/>
              </w:rPr>
            </w:pPr>
            <w:r w:rsidRPr="00912996">
              <w:rPr>
                <w:rFonts w:ascii="Calibri" w:hAnsi="Calibri"/>
                <w:bCs/>
                <w:lang w:eastAsia="ja-JP"/>
              </w:rPr>
              <w:t>2,989,000</w:t>
            </w:r>
          </w:p>
        </w:tc>
        <w:tc>
          <w:tcPr>
            <w:tcW w:w="1260" w:type="dxa"/>
            <w:shd w:val="clear" w:color="auto" w:fill="F2F2F2"/>
            <w:noWrap/>
            <w:hideMark/>
          </w:tcPr>
          <w:p w14:paraId="476D8D7B" w14:textId="77777777" w:rsidR="001A54E6" w:rsidRPr="00912996" w:rsidRDefault="001A54E6" w:rsidP="00394372">
            <w:pPr>
              <w:rPr>
                <w:rFonts w:ascii="Calibri" w:hAnsi="Calibri"/>
                <w:bCs/>
                <w:lang w:eastAsia="ja-JP"/>
              </w:rPr>
            </w:pPr>
            <w:r w:rsidRPr="00912996">
              <w:rPr>
                <w:rFonts w:ascii="Calibri" w:hAnsi="Calibri"/>
                <w:bCs/>
                <w:lang w:eastAsia="ja-JP"/>
              </w:rPr>
              <w:t>610,000</w:t>
            </w:r>
          </w:p>
        </w:tc>
        <w:tc>
          <w:tcPr>
            <w:tcW w:w="1089" w:type="dxa"/>
            <w:shd w:val="clear" w:color="auto" w:fill="F2F2F2"/>
            <w:noWrap/>
            <w:hideMark/>
          </w:tcPr>
          <w:p w14:paraId="50D98F02"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45502C13"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2FB7A16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2B7D7B7" w14:textId="77777777" w:rsidR="001A54E6" w:rsidRPr="00912996" w:rsidRDefault="001A54E6" w:rsidP="00394372">
            <w:pPr>
              <w:rPr>
                <w:rFonts w:ascii="Calibri" w:hAnsi="Calibri"/>
                <w:bCs/>
                <w:lang w:eastAsia="ja-JP"/>
              </w:rPr>
            </w:pPr>
            <w:r w:rsidRPr="00912996">
              <w:rPr>
                <w:rFonts w:ascii="Calibri" w:hAnsi="Calibri"/>
                <w:bCs/>
                <w:lang w:eastAsia="ja-JP"/>
              </w:rPr>
              <w:t>PS2, PMUD-BI</w:t>
            </w:r>
          </w:p>
        </w:tc>
      </w:tr>
      <w:tr w:rsidR="00AC2FFA" w:rsidRPr="00912996" w14:paraId="7C160DDB" w14:textId="77777777" w:rsidTr="00E2442E">
        <w:trPr>
          <w:gridAfter w:val="9"/>
          <w:wAfter w:w="15421" w:type="dxa"/>
          <w:trHeight w:val="1065"/>
        </w:trPr>
        <w:tc>
          <w:tcPr>
            <w:tcW w:w="625" w:type="dxa"/>
            <w:shd w:val="clear" w:color="auto" w:fill="F2F2F2"/>
            <w:noWrap/>
            <w:hideMark/>
          </w:tcPr>
          <w:p w14:paraId="68D25137"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6782AA22" w14:textId="77777777" w:rsidR="001A54E6" w:rsidRPr="00912996" w:rsidRDefault="001A54E6" w:rsidP="00394372">
            <w:pPr>
              <w:rPr>
                <w:rFonts w:ascii="Calibri" w:hAnsi="Calibri"/>
                <w:bCs/>
                <w:lang w:eastAsia="ja-JP"/>
              </w:rPr>
            </w:pPr>
            <w:r w:rsidRPr="00912996">
              <w:rPr>
                <w:rFonts w:ascii="Calibri" w:hAnsi="Calibri"/>
                <w:bCs/>
                <w:lang w:eastAsia="ja-JP"/>
              </w:rPr>
              <w:t>Program multianual de reconfigurare și modernizare a piațetelor din Sectorul 2</w:t>
            </w:r>
          </w:p>
        </w:tc>
        <w:tc>
          <w:tcPr>
            <w:tcW w:w="1530" w:type="dxa"/>
            <w:shd w:val="clear" w:color="auto" w:fill="F2F2F2"/>
            <w:hideMark/>
          </w:tcPr>
          <w:p w14:paraId="1AC5BD8F"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F05DD4F" w14:textId="77777777" w:rsidR="001A54E6" w:rsidRPr="00912996" w:rsidRDefault="001A54E6" w:rsidP="00394372">
            <w:pPr>
              <w:rPr>
                <w:rFonts w:ascii="Calibri" w:hAnsi="Calibri"/>
                <w:bCs/>
                <w:lang w:eastAsia="ja-JP"/>
              </w:rPr>
            </w:pPr>
            <w:r w:rsidRPr="00912996">
              <w:rPr>
                <w:rFonts w:ascii="Calibri" w:hAnsi="Calibri"/>
                <w:bCs/>
                <w:lang w:eastAsia="ja-JP"/>
              </w:rPr>
              <w:t>Faza C.U.</w:t>
            </w:r>
          </w:p>
        </w:tc>
        <w:tc>
          <w:tcPr>
            <w:tcW w:w="1260" w:type="dxa"/>
            <w:shd w:val="clear" w:color="auto" w:fill="F2F2F2"/>
            <w:noWrap/>
            <w:hideMark/>
          </w:tcPr>
          <w:p w14:paraId="0F07E8AF"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3D7631E7"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hideMark/>
          </w:tcPr>
          <w:p w14:paraId="7A654AD3"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1AF46DAD"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2E20446A"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26ED63B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3B10D7F8" w14:textId="77777777" w:rsidTr="00E2442E">
        <w:trPr>
          <w:gridAfter w:val="9"/>
          <w:wAfter w:w="15421" w:type="dxa"/>
          <w:trHeight w:val="735"/>
        </w:trPr>
        <w:tc>
          <w:tcPr>
            <w:tcW w:w="625" w:type="dxa"/>
            <w:shd w:val="clear" w:color="auto" w:fill="F2F2F2"/>
            <w:noWrap/>
            <w:hideMark/>
          </w:tcPr>
          <w:p w14:paraId="751E903A"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30900312" w14:textId="77777777" w:rsidR="001A54E6" w:rsidRPr="00912996" w:rsidRDefault="001A54E6" w:rsidP="00394372">
            <w:pPr>
              <w:rPr>
                <w:rFonts w:ascii="Calibri" w:hAnsi="Calibri"/>
                <w:bCs/>
                <w:lang w:eastAsia="ja-JP"/>
              </w:rPr>
            </w:pPr>
            <w:r w:rsidRPr="00912996">
              <w:rPr>
                <w:rFonts w:ascii="Calibri" w:hAnsi="Calibri"/>
                <w:bCs/>
                <w:lang w:eastAsia="ja-JP"/>
              </w:rPr>
              <w:t>Program multianual de creștere a siguranței rutiere și extinderea spațiilor cu prioritate pentru pietoni pe străzile secundare</w:t>
            </w:r>
          </w:p>
        </w:tc>
        <w:tc>
          <w:tcPr>
            <w:tcW w:w="1530" w:type="dxa"/>
            <w:shd w:val="clear" w:color="auto" w:fill="F2F2F2"/>
            <w:hideMark/>
          </w:tcPr>
          <w:p w14:paraId="1FD2A913"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6FAD0814" w14:textId="77777777" w:rsidR="001A54E6" w:rsidRPr="00912996" w:rsidRDefault="001A54E6" w:rsidP="00394372">
            <w:pPr>
              <w:rPr>
                <w:rFonts w:ascii="Calibri" w:hAnsi="Calibri"/>
                <w:bCs/>
                <w:lang w:eastAsia="ja-JP"/>
              </w:rPr>
            </w:pPr>
            <w:r w:rsidRPr="00912996">
              <w:rPr>
                <w:rFonts w:ascii="Calibri" w:hAnsi="Calibri"/>
                <w:bCs/>
                <w:lang w:eastAsia="ja-JP"/>
              </w:rPr>
              <w:t>Idee - intervenții pilot realizate</w:t>
            </w:r>
          </w:p>
        </w:tc>
        <w:tc>
          <w:tcPr>
            <w:tcW w:w="1260" w:type="dxa"/>
            <w:shd w:val="clear" w:color="auto" w:fill="F2F2F2"/>
            <w:noWrap/>
            <w:hideMark/>
          </w:tcPr>
          <w:p w14:paraId="5C1BE0B9" w14:textId="77777777" w:rsidR="001A54E6" w:rsidRPr="00912996" w:rsidRDefault="001A54E6" w:rsidP="00394372">
            <w:pPr>
              <w:rPr>
                <w:rFonts w:ascii="Calibri" w:hAnsi="Calibri"/>
                <w:bCs/>
                <w:lang w:eastAsia="ja-JP"/>
              </w:rPr>
            </w:pPr>
            <w:r w:rsidRPr="00912996">
              <w:rPr>
                <w:rFonts w:ascii="Calibri" w:hAnsi="Calibri"/>
                <w:bCs/>
                <w:lang w:eastAsia="ja-JP"/>
              </w:rPr>
              <w:t>12,250,000</w:t>
            </w:r>
          </w:p>
        </w:tc>
        <w:tc>
          <w:tcPr>
            <w:tcW w:w="1260" w:type="dxa"/>
            <w:shd w:val="clear" w:color="auto" w:fill="F2F2F2"/>
            <w:noWrap/>
            <w:hideMark/>
          </w:tcPr>
          <w:p w14:paraId="348903FB" w14:textId="77777777" w:rsidR="001A54E6" w:rsidRPr="00912996" w:rsidRDefault="001A54E6" w:rsidP="00394372">
            <w:pPr>
              <w:rPr>
                <w:rFonts w:ascii="Calibri" w:hAnsi="Calibri"/>
                <w:bCs/>
                <w:lang w:eastAsia="ja-JP"/>
              </w:rPr>
            </w:pPr>
            <w:r w:rsidRPr="00912996">
              <w:rPr>
                <w:rFonts w:ascii="Calibri" w:hAnsi="Calibri"/>
                <w:bCs/>
                <w:lang w:eastAsia="ja-JP"/>
              </w:rPr>
              <w:t>2,500,000</w:t>
            </w:r>
          </w:p>
        </w:tc>
        <w:tc>
          <w:tcPr>
            <w:tcW w:w="1089" w:type="dxa"/>
            <w:shd w:val="clear" w:color="auto" w:fill="F2F2F2"/>
            <w:noWrap/>
            <w:hideMark/>
          </w:tcPr>
          <w:p w14:paraId="076A87CF"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1CE8B897" w14:textId="77777777" w:rsidR="001A54E6" w:rsidRPr="00912996" w:rsidRDefault="001A54E6" w:rsidP="00394372">
            <w:pPr>
              <w:rPr>
                <w:rFonts w:ascii="Calibri" w:hAnsi="Calibri"/>
                <w:bCs/>
                <w:lang w:eastAsia="ja-JP"/>
              </w:rPr>
            </w:pPr>
            <w:r w:rsidRPr="00912996">
              <w:rPr>
                <w:rFonts w:ascii="Calibri" w:hAnsi="Calibri"/>
                <w:bCs/>
                <w:lang w:eastAsia="ja-JP"/>
              </w:rPr>
              <w:t>POR BI 2021 - 2027 P 5, Bugetul local, Alte surse de finanțare</w:t>
            </w:r>
          </w:p>
        </w:tc>
        <w:tc>
          <w:tcPr>
            <w:tcW w:w="1260" w:type="dxa"/>
            <w:shd w:val="clear" w:color="auto" w:fill="F2F2F2"/>
            <w:hideMark/>
          </w:tcPr>
          <w:p w14:paraId="26FE28A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7F6AB0E2" w14:textId="77777777" w:rsidR="001A54E6" w:rsidRPr="00912996" w:rsidRDefault="001A54E6" w:rsidP="00394372">
            <w:pPr>
              <w:rPr>
                <w:rFonts w:ascii="Calibri" w:hAnsi="Calibri"/>
                <w:bCs/>
                <w:lang w:eastAsia="ja-JP"/>
              </w:rPr>
            </w:pPr>
            <w:r w:rsidRPr="00912996">
              <w:rPr>
                <w:rFonts w:ascii="Calibri" w:hAnsi="Calibri"/>
                <w:bCs/>
                <w:lang w:eastAsia="ja-JP"/>
              </w:rPr>
              <w:t>SIDU MB, PS2</w:t>
            </w:r>
          </w:p>
        </w:tc>
      </w:tr>
      <w:tr w:rsidR="00AC2FFA" w:rsidRPr="00912996" w14:paraId="108218C2" w14:textId="77777777" w:rsidTr="00E2442E">
        <w:trPr>
          <w:gridAfter w:val="9"/>
          <w:wAfter w:w="15421" w:type="dxa"/>
          <w:trHeight w:val="810"/>
        </w:trPr>
        <w:tc>
          <w:tcPr>
            <w:tcW w:w="625" w:type="dxa"/>
            <w:shd w:val="clear" w:color="auto" w:fill="F2F2F2"/>
            <w:noWrap/>
            <w:hideMark/>
          </w:tcPr>
          <w:p w14:paraId="103A2754"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22037A04" w14:textId="77777777" w:rsidR="001A54E6" w:rsidRPr="00912996" w:rsidRDefault="001A54E6" w:rsidP="00394372">
            <w:pPr>
              <w:rPr>
                <w:rFonts w:ascii="Calibri" w:hAnsi="Calibri"/>
                <w:bCs/>
                <w:lang w:eastAsia="ja-JP"/>
              </w:rPr>
            </w:pPr>
            <w:r w:rsidRPr="00912996">
              <w:rPr>
                <w:rFonts w:ascii="Calibri" w:hAnsi="Calibri"/>
                <w:bCs/>
                <w:lang w:eastAsia="ja-JP"/>
              </w:rPr>
              <w:t>Program multianual de reconfigurare a intersecțiilor pentru a ameliorarea conectivității pietonilor și a altor tipuri de transport nemotorizat</w:t>
            </w:r>
          </w:p>
        </w:tc>
        <w:tc>
          <w:tcPr>
            <w:tcW w:w="1530" w:type="dxa"/>
            <w:shd w:val="clear" w:color="auto" w:fill="F2F2F2"/>
            <w:hideMark/>
          </w:tcPr>
          <w:p w14:paraId="7A6C9D47"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33DAA4FB" w14:textId="77777777" w:rsidR="001A54E6" w:rsidRPr="00912996" w:rsidRDefault="001A54E6" w:rsidP="00394372">
            <w:pPr>
              <w:rPr>
                <w:rFonts w:ascii="Calibri" w:hAnsi="Calibri"/>
                <w:bCs/>
                <w:lang w:eastAsia="ja-JP"/>
              </w:rPr>
            </w:pPr>
            <w:r w:rsidRPr="00912996">
              <w:rPr>
                <w:rFonts w:ascii="Calibri" w:hAnsi="Calibri"/>
                <w:bCs/>
                <w:lang w:eastAsia="ja-JP"/>
              </w:rPr>
              <w:t>DALI/Idee</w:t>
            </w:r>
          </w:p>
        </w:tc>
        <w:tc>
          <w:tcPr>
            <w:tcW w:w="1260" w:type="dxa"/>
            <w:shd w:val="clear" w:color="auto" w:fill="F2F2F2"/>
            <w:noWrap/>
            <w:hideMark/>
          </w:tcPr>
          <w:p w14:paraId="65F7F225" w14:textId="77777777" w:rsidR="001A54E6" w:rsidRPr="00912996" w:rsidRDefault="001A54E6" w:rsidP="00394372">
            <w:pPr>
              <w:rPr>
                <w:rFonts w:ascii="Calibri" w:hAnsi="Calibri"/>
                <w:bCs/>
                <w:lang w:eastAsia="ja-JP"/>
              </w:rPr>
            </w:pPr>
            <w:r w:rsidRPr="00912996">
              <w:rPr>
                <w:rFonts w:ascii="Calibri" w:hAnsi="Calibri"/>
                <w:bCs/>
                <w:lang w:eastAsia="ja-JP"/>
              </w:rPr>
              <w:t>77,665,000</w:t>
            </w:r>
          </w:p>
        </w:tc>
        <w:tc>
          <w:tcPr>
            <w:tcW w:w="1260" w:type="dxa"/>
            <w:shd w:val="clear" w:color="auto" w:fill="F2F2F2"/>
            <w:noWrap/>
            <w:hideMark/>
          </w:tcPr>
          <w:p w14:paraId="741161C9" w14:textId="77777777" w:rsidR="001A54E6" w:rsidRPr="00912996" w:rsidRDefault="001A54E6" w:rsidP="00394372">
            <w:pPr>
              <w:rPr>
                <w:rFonts w:ascii="Calibri" w:hAnsi="Calibri"/>
                <w:bCs/>
                <w:lang w:eastAsia="ja-JP"/>
              </w:rPr>
            </w:pPr>
            <w:r w:rsidRPr="00912996">
              <w:rPr>
                <w:rFonts w:ascii="Calibri" w:hAnsi="Calibri"/>
                <w:bCs/>
                <w:lang w:eastAsia="ja-JP"/>
              </w:rPr>
              <w:t>15,850,000</w:t>
            </w:r>
          </w:p>
        </w:tc>
        <w:tc>
          <w:tcPr>
            <w:tcW w:w="1089" w:type="dxa"/>
            <w:shd w:val="clear" w:color="auto" w:fill="F2F2F2"/>
            <w:noWrap/>
            <w:hideMark/>
          </w:tcPr>
          <w:p w14:paraId="59E14EE2"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339C1F7A" w14:textId="77777777" w:rsidR="001A54E6" w:rsidRPr="00912996" w:rsidRDefault="001A54E6" w:rsidP="00394372">
            <w:pPr>
              <w:rPr>
                <w:rFonts w:ascii="Calibri" w:hAnsi="Calibri"/>
                <w:bCs/>
                <w:lang w:eastAsia="ja-JP"/>
              </w:rPr>
            </w:pPr>
            <w:r w:rsidRPr="00912996">
              <w:rPr>
                <w:rFonts w:ascii="Calibri" w:hAnsi="Calibri"/>
                <w:bCs/>
                <w:lang w:eastAsia="ja-JP"/>
              </w:rPr>
              <w:t>POR BI 2021 - 2027 P 5, Bugetul local, Alte surse de finanțare</w:t>
            </w:r>
          </w:p>
        </w:tc>
        <w:tc>
          <w:tcPr>
            <w:tcW w:w="1260" w:type="dxa"/>
            <w:shd w:val="clear" w:color="auto" w:fill="F2F2F2"/>
            <w:hideMark/>
          </w:tcPr>
          <w:p w14:paraId="077049F7"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79D23682" w14:textId="77777777" w:rsidR="001A54E6" w:rsidRPr="00912996" w:rsidRDefault="001A54E6" w:rsidP="00394372">
            <w:pPr>
              <w:rPr>
                <w:rFonts w:ascii="Calibri" w:hAnsi="Calibri"/>
                <w:bCs/>
                <w:lang w:eastAsia="ja-JP"/>
              </w:rPr>
            </w:pPr>
            <w:r w:rsidRPr="00912996">
              <w:rPr>
                <w:rFonts w:ascii="Calibri" w:hAnsi="Calibri"/>
                <w:bCs/>
                <w:lang w:eastAsia="ja-JP"/>
              </w:rPr>
              <w:t>Consultant, PS2, PMB</w:t>
            </w:r>
          </w:p>
        </w:tc>
      </w:tr>
      <w:tr w:rsidR="00AC2FFA" w:rsidRPr="00912996" w14:paraId="41861B9C" w14:textId="77777777" w:rsidTr="00E2442E">
        <w:trPr>
          <w:gridAfter w:val="9"/>
          <w:wAfter w:w="15421" w:type="dxa"/>
          <w:trHeight w:val="804"/>
        </w:trPr>
        <w:tc>
          <w:tcPr>
            <w:tcW w:w="625" w:type="dxa"/>
            <w:shd w:val="clear" w:color="auto" w:fill="F2F2F2"/>
            <w:noWrap/>
            <w:hideMark/>
          </w:tcPr>
          <w:p w14:paraId="69FC83F2"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175EC0F8" w14:textId="77777777" w:rsidR="001A54E6" w:rsidRPr="00912996" w:rsidRDefault="001A54E6" w:rsidP="00394372">
            <w:pPr>
              <w:rPr>
                <w:rFonts w:ascii="Calibri" w:hAnsi="Calibri"/>
                <w:bCs/>
                <w:lang w:eastAsia="ja-JP"/>
              </w:rPr>
            </w:pPr>
            <w:r w:rsidRPr="00912996">
              <w:rPr>
                <w:rFonts w:ascii="Calibri" w:hAnsi="Calibri"/>
                <w:bCs/>
                <w:lang w:eastAsia="ja-JP"/>
              </w:rPr>
              <w:t>Conectare gara Obor cu stație metrou Obor - pasaj subteran pietonal</w:t>
            </w:r>
          </w:p>
        </w:tc>
        <w:tc>
          <w:tcPr>
            <w:tcW w:w="1530" w:type="dxa"/>
            <w:shd w:val="clear" w:color="auto" w:fill="F2F2F2"/>
            <w:hideMark/>
          </w:tcPr>
          <w:p w14:paraId="291DACB5"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72776196"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8E79C6B" w14:textId="77777777" w:rsidR="001A54E6" w:rsidRPr="00912996" w:rsidRDefault="001A54E6" w:rsidP="00394372">
            <w:pPr>
              <w:rPr>
                <w:rFonts w:ascii="Calibri" w:hAnsi="Calibri"/>
                <w:bCs/>
                <w:lang w:eastAsia="ja-JP"/>
              </w:rPr>
            </w:pPr>
            <w:r w:rsidRPr="00912996">
              <w:rPr>
                <w:rFonts w:ascii="Calibri" w:hAnsi="Calibri"/>
                <w:bCs/>
                <w:lang w:eastAsia="ja-JP"/>
              </w:rPr>
              <w:t>171,500,000</w:t>
            </w:r>
          </w:p>
        </w:tc>
        <w:tc>
          <w:tcPr>
            <w:tcW w:w="1260" w:type="dxa"/>
            <w:shd w:val="clear" w:color="auto" w:fill="F2F2F2"/>
            <w:noWrap/>
            <w:hideMark/>
          </w:tcPr>
          <w:p w14:paraId="1868A87D" w14:textId="77777777" w:rsidR="001A54E6" w:rsidRPr="00912996" w:rsidRDefault="001A54E6" w:rsidP="00394372">
            <w:pPr>
              <w:rPr>
                <w:rFonts w:ascii="Calibri" w:hAnsi="Calibri"/>
                <w:bCs/>
                <w:lang w:eastAsia="ja-JP"/>
              </w:rPr>
            </w:pPr>
            <w:r w:rsidRPr="00912996">
              <w:rPr>
                <w:rFonts w:ascii="Calibri" w:hAnsi="Calibri"/>
                <w:bCs/>
                <w:lang w:eastAsia="ja-JP"/>
              </w:rPr>
              <w:t>35,000,000</w:t>
            </w:r>
          </w:p>
        </w:tc>
        <w:tc>
          <w:tcPr>
            <w:tcW w:w="1089" w:type="dxa"/>
            <w:shd w:val="clear" w:color="auto" w:fill="F2F2F2"/>
            <w:noWrap/>
            <w:hideMark/>
          </w:tcPr>
          <w:p w14:paraId="0214814E"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67B14229" w14:textId="77777777" w:rsidR="001A54E6" w:rsidRPr="00912996" w:rsidRDefault="001A54E6" w:rsidP="00394372">
            <w:pPr>
              <w:rPr>
                <w:rFonts w:ascii="Calibri" w:hAnsi="Calibri"/>
                <w:bCs/>
                <w:lang w:eastAsia="ja-JP"/>
              </w:rPr>
            </w:pPr>
            <w:r w:rsidRPr="00912996">
              <w:rPr>
                <w:rFonts w:ascii="Calibri" w:hAnsi="Calibri"/>
                <w:bCs/>
                <w:lang w:eastAsia="ja-JP"/>
              </w:rPr>
              <w:t>POR BI 2021 - 2027 P 5, Bugetul local, Alte surse de finanțare</w:t>
            </w:r>
          </w:p>
        </w:tc>
        <w:tc>
          <w:tcPr>
            <w:tcW w:w="1260" w:type="dxa"/>
            <w:shd w:val="clear" w:color="auto" w:fill="F2F2F2"/>
            <w:hideMark/>
          </w:tcPr>
          <w:p w14:paraId="1643FAE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8FD8939"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1A54E6" w:rsidRPr="00912996" w14:paraId="71229821" w14:textId="77777777" w:rsidTr="00AC2FFA">
        <w:trPr>
          <w:gridAfter w:val="9"/>
          <w:wAfter w:w="15421" w:type="dxa"/>
          <w:trHeight w:val="276"/>
        </w:trPr>
        <w:tc>
          <w:tcPr>
            <w:tcW w:w="14215" w:type="dxa"/>
            <w:gridSpan w:val="10"/>
            <w:shd w:val="clear" w:color="auto" w:fill="BBD9A0"/>
            <w:noWrap/>
            <w:hideMark/>
          </w:tcPr>
          <w:p w14:paraId="50DE0996" w14:textId="77777777" w:rsidR="001A54E6" w:rsidRPr="00912996" w:rsidRDefault="001A54E6" w:rsidP="005604C7">
            <w:pPr>
              <w:jc w:val="center"/>
              <w:rPr>
                <w:rFonts w:ascii="Calibri" w:hAnsi="Calibri"/>
                <w:b/>
                <w:bCs/>
                <w:color w:val="FFFFFF"/>
                <w:lang w:eastAsia="ja-JP"/>
              </w:rPr>
            </w:pPr>
            <w:r w:rsidRPr="00912996">
              <w:rPr>
                <w:rFonts w:ascii="Calibri" w:hAnsi="Calibri"/>
                <w:b/>
                <w:bCs/>
                <w:color w:val="FFFFFF"/>
                <w:lang w:eastAsia="ja-JP"/>
              </w:rPr>
              <w:t>D3.4.3 Optimizarea modului de gestiune a parcării</w:t>
            </w:r>
          </w:p>
        </w:tc>
      </w:tr>
      <w:tr w:rsidR="00AC2FFA" w:rsidRPr="00912996" w14:paraId="2485E967" w14:textId="77777777" w:rsidTr="008E3F0D">
        <w:trPr>
          <w:gridAfter w:val="9"/>
          <w:wAfter w:w="15421" w:type="dxa"/>
          <w:trHeight w:val="1155"/>
        </w:trPr>
        <w:tc>
          <w:tcPr>
            <w:tcW w:w="625" w:type="dxa"/>
            <w:shd w:val="clear" w:color="auto" w:fill="F2F2F2"/>
            <w:noWrap/>
            <w:hideMark/>
          </w:tcPr>
          <w:p w14:paraId="5733259E"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60371382" w14:textId="77777777" w:rsidR="001A54E6" w:rsidRPr="00912996" w:rsidRDefault="001A54E6" w:rsidP="00394372">
            <w:pPr>
              <w:rPr>
                <w:rFonts w:ascii="Calibri" w:hAnsi="Calibri"/>
                <w:bCs/>
                <w:lang w:eastAsia="ja-JP"/>
              </w:rPr>
            </w:pPr>
            <w:r w:rsidRPr="00912996">
              <w:rPr>
                <w:rFonts w:ascii="Calibri" w:hAnsi="Calibri"/>
                <w:bCs/>
                <w:lang w:eastAsia="ja-JP"/>
              </w:rPr>
              <w:t>Conturarea unei politici de parcare rezidențială (în corelare cu celelalte sectoare)</w:t>
            </w:r>
          </w:p>
        </w:tc>
        <w:tc>
          <w:tcPr>
            <w:tcW w:w="1530" w:type="dxa"/>
            <w:shd w:val="clear" w:color="auto" w:fill="F2F2F2"/>
            <w:hideMark/>
          </w:tcPr>
          <w:p w14:paraId="3BF45EC2"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8E40DF9"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FF8C699" w14:textId="77777777" w:rsidR="001A54E6" w:rsidRPr="00912996" w:rsidRDefault="001A54E6" w:rsidP="00394372">
            <w:pPr>
              <w:rPr>
                <w:rFonts w:ascii="Calibri" w:hAnsi="Calibri"/>
                <w:bCs/>
                <w:lang w:eastAsia="ja-JP"/>
              </w:rPr>
            </w:pPr>
            <w:r w:rsidRPr="00912996">
              <w:rPr>
                <w:rFonts w:ascii="Calibri" w:hAnsi="Calibri"/>
                <w:bCs/>
                <w:lang w:eastAsia="ja-JP"/>
              </w:rPr>
              <w:t>245,000</w:t>
            </w:r>
          </w:p>
        </w:tc>
        <w:tc>
          <w:tcPr>
            <w:tcW w:w="1260" w:type="dxa"/>
            <w:shd w:val="clear" w:color="auto" w:fill="F2F2F2"/>
            <w:noWrap/>
            <w:hideMark/>
          </w:tcPr>
          <w:p w14:paraId="15E7BDD1" w14:textId="77777777" w:rsidR="001A54E6" w:rsidRPr="00912996" w:rsidRDefault="001A54E6" w:rsidP="00394372">
            <w:pPr>
              <w:rPr>
                <w:rFonts w:ascii="Calibri" w:hAnsi="Calibri"/>
                <w:bCs/>
                <w:lang w:eastAsia="ja-JP"/>
              </w:rPr>
            </w:pPr>
            <w:r w:rsidRPr="00912996">
              <w:rPr>
                <w:rFonts w:ascii="Calibri" w:hAnsi="Calibri"/>
                <w:bCs/>
                <w:lang w:eastAsia="ja-JP"/>
              </w:rPr>
              <w:t>50,000</w:t>
            </w:r>
          </w:p>
        </w:tc>
        <w:tc>
          <w:tcPr>
            <w:tcW w:w="1089" w:type="dxa"/>
            <w:shd w:val="clear" w:color="auto" w:fill="F2F2F2"/>
            <w:noWrap/>
            <w:hideMark/>
          </w:tcPr>
          <w:p w14:paraId="7669B36B"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50150E6D"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52D73D7E"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265EF912"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5F5983EB" w14:textId="77777777" w:rsidTr="00E2442E">
        <w:trPr>
          <w:gridAfter w:val="9"/>
          <w:wAfter w:w="15421" w:type="dxa"/>
          <w:trHeight w:val="540"/>
        </w:trPr>
        <w:tc>
          <w:tcPr>
            <w:tcW w:w="625" w:type="dxa"/>
            <w:shd w:val="clear" w:color="auto" w:fill="F2F2F2"/>
            <w:noWrap/>
            <w:hideMark/>
          </w:tcPr>
          <w:p w14:paraId="4057E14B"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066AE207" w14:textId="54103168" w:rsidR="001A54E6" w:rsidRPr="00912996" w:rsidRDefault="001A54E6" w:rsidP="00394372">
            <w:pPr>
              <w:rPr>
                <w:rFonts w:ascii="Calibri" w:hAnsi="Calibri"/>
                <w:bCs/>
                <w:lang w:eastAsia="ja-JP"/>
              </w:rPr>
            </w:pPr>
            <w:r w:rsidRPr="00912996">
              <w:rPr>
                <w:rFonts w:ascii="Calibri" w:hAnsi="Calibri"/>
                <w:bCs/>
                <w:lang w:eastAsia="ja-JP"/>
              </w:rPr>
              <w:t>Contractarea unui serviciu de ridicare autoturisme parcate neregulamentar sau abandonate</w:t>
            </w:r>
          </w:p>
        </w:tc>
        <w:tc>
          <w:tcPr>
            <w:tcW w:w="1530" w:type="dxa"/>
            <w:shd w:val="clear" w:color="auto" w:fill="F2F2F2"/>
            <w:hideMark/>
          </w:tcPr>
          <w:p w14:paraId="4D6DC99C"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07DC3FD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788D5BF"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477CC94B"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hideMark/>
          </w:tcPr>
          <w:p w14:paraId="194311F9"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3D153B20"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728A00E8"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3351ACA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411F4D06" w14:textId="77777777" w:rsidTr="008E3F0D">
        <w:trPr>
          <w:gridAfter w:val="9"/>
          <w:wAfter w:w="15421" w:type="dxa"/>
          <w:trHeight w:val="894"/>
        </w:trPr>
        <w:tc>
          <w:tcPr>
            <w:tcW w:w="625" w:type="dxa"/>
            <w:shd w:val="clear" w:color="auto" w:fill="F2F2F2"/>
            <w:noWrap/>
            <w:hideMark/>
          </w:tcPr>
          <w:p w14:paraId="0826B4E0"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4FF5BB6F" w14:textId="77777777" w:rsidR="001A54E6" w:rsidRPr="00912996" w:rsidRDefault="001A54E6" w:rsidP="00394372">
            <w:pPr>
              <w:rPr>
                <w:rFonts w:ascii="Calibri" w:hAnsi="Calibri"/>
                <w:bCs/>
                <w:lang w:eastAsia="ja-JP"/>
              </w:rPr>
            </w:pPr>
            <w:r w:rsidRPr="00912996">
              <w:rPr>
                <w:rFonts w:ascii="Calibri" w:hAnsi="Calibri"/>
                <w:bCs/>
                <w:lang w:eastAsia="ja-JP"/>
              </w:rPr>
              <w:t>Program multianual de amenajare de parcări rezidențiale multietajate</w:t>
            </w:r>
          </w:p>
        </w:tc>
        <w:tc>
          <w:tcPr>
            <w:tcW w:w="1530" w:type="dxa"/>
            <w:shd w:val="clear" w:color="auto" w:fill="F2F2F2"/>
            <w:hideMark/>
          </w:tcPr>
          <w:p w14:paraId="212464CC"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0C3BA6ED"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77F8A24" w14:textId="77777777" w:rsidR="001A54E6" w:rsidRPr="00912996" w:rsidRDefault="001A54E6" w:rsidP="00394372">
            <w:pPr>
              <w:rPr>
                <w:rFonts w:ascii="Calibri" w:hAnsi="Calibri"/>
                <w:bCs/>
                <w:lang w:eastAsia="ja-JP"/>
              </w:rPr>
            </w:pPr>
            <w:r w:rsidRPr="00912996">
              <w:rPr>
                <w:rFonts w:ascii="Calibri" w:hAnsi="Calibri"/>
                <w:bCs/>
                <w:lang w:eastAsia="ja-JP"/>
              </w:rPr>
              <w:t>188,650,000</w:t>
            </w:r>
          </w:p>
        </w:tc>
        <w:tc>
          <w:tcPr>
            <w:tcW w:w="1260" w:type="dxa"/>
            <w:shd w:val="clear" w:color="auto" w:fill="F2F2F2"/>
            <w:noWrap/>
            <w:hideMark/>
          </w:tcPr>
          <w:p w14:paraId="22E38230" w14:textId="77777777" w:rsidR="001A54E6" w:rsidRPr="00912996" w:rsidRDefault="001A54E6" w:rsidP="00394372">
            <w:pPr>
              <w:rPr>
                <w:rFonts w:ascii="Calibri" w:hAnsi="Calibri"/>
                <w:bCs/>
                <w:lang w:eastAsia="ja-JP"/>
              </w:rPr>
            </w:pPr>
            <w:r w:rsidRPr="00912996">
              <w:rPr>
                <w:rFonts w:ascii="Calibri" w:hAnsi="Calibri"/>
                <w:bCs/>
                <w:lang w:eastAsia="ja-JP"/>
              </w:rPr>
              <w:t>38,500,000</w:t>
            </w:r>
          </w:p>
        </w:tc>
        <w:tc>
          <w:tcPr>
            <w:tcW w:w="1089" w:type="dxa"/>
            <w:shd w:val="clear" w:color="auto" w:fill="F2F2F2"/>
            <w:noWrap/>
            <w:hideMark/>
          </w:tcPr>
          <w:p w14:paraId="0D062FA0"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415DCBD7" w14:textId="77777777" w:rsidR="001A54E6" w:rsidRPr="00912996" w:rsidRDefault="001A54E6" w:rsidP="00394372">
            <w:pPr>
              <w:rPr>
                <w:rFonts w:ascii="Calibri" w:hAnsi="Calibri"/>
                <w:bCs/>
                <w:lang w:eastAsia="ja-JP"/>
              </w:rPr>
            </w:pPr>
            <w:r w:rsidRPr="00912996">
              <w:rPr>
                <w:rFonts w:ascii="Calibri" w:hAnsi="Calibri"/>
                <w:bCs/>
                <w:lang w:eastAsia="ja-JP"/>
              </w:rPr>
              <w:t>Bugetul local, PPP</w:t>
            </w:r>
          </w:p>
        </w:tc>
        <w:tc>
          <w:tcPr>
            <w:tcW w:w="1260" w:type="dxa"/>
            <w:shd w:val="clear" w:color="auto" w:fill="F2F2F2"/>
            <w:hideMark/>
          </w:tcPr>
          <w:p w14:paraId="4661D23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1CA8363"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31E69675" w14:textId="77777777" w:rsidTr="008E3F0D">
        <w:trPr>
          <w:gridAfter w:val="9"/>
          <w:wAfter w:w="15421" w:type="dxa"/>
          <w:trHeight w:val="1209"/>
        </w:trPr>
        <w:tc>
          <w:tcPr>
            <w:tcW w:w="625" w:type="dxa"/>
            <w:shd w:val="clear" w:color="auto" w:fill="F2F2F2"/>
            <w:noWrap/>
            <w:hideMark/>
          </w:tcPr>
          <w:p w14:paraId="68DAB3C6"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292F8F8B" w14:textId="77777777" w:rsidR="001A54E6" w:rsidRPr="00912996" w:rsidRDefault="001A54E6" w:rsidP="00394372">
            <w:pPr>
              <w:rPr>
                <w:rFonts w:ascii="Calibri" w:hAnsi="Calibri"/>
                <w:bCs/>
                <w:lang w:eastAsia="ja-JP"/>
              </w:rPr>
            </w:pPr>
            <w:r w:rsidRPr="00912996">
              <w:rPr>
                <w:rFonts w:ascii="Calibri" w:hAnsi="Calibri"/>
                <w:bCs/>
                <w:lang w:eastAsia="ja-JP"/>
              </w:rPr>
              <w:t>Parcări subterane conform PIDU „Zona Centrală” (Piața Lahovari / Piața Cantacuzino)</w:t>
            </w:r>
          </w:p>
        </w:tc>
        <w:tc>
          <w:tcPr>
            <w:tcW w:w="1530" w:type="dxa"/>
            <w:shd w:val="clear" w:color="auto" w:fill="F2F2F2"/>
            <w:hideMark/>
          </w:tcPr>
          <w:p w14:paraId="20A28E75" w14:textId="77777777" w:rsidR="001A54E6" w:rsidRPr="00912996" w:rsidRDefault="001A54E6" w:rsidP="00394372">
            <w:pPr>
              <w:rPr>
                <w:rFonts w:ascii="Calibri" w:hAnsi="Calibri"/>
                <w:bCs/>
                <w:lang w:eastAsia="ja-JP"/>
              </w:rPr>
            </w:pPr>
            <w:r w:rsidRPr="00912996">
              <w:rPr>
                <w:rFonts w:ascii="Calibri" w:hAnsi="Calibri"/>
                <w:bCs/>
                <w:lang w:eastAsia="ja-JP"/>
              </w:rPr>
              <w:t>PMB</w:t>
            </w:r>
          </w:p>
        </w:tc>
        <w:tc>
          <w:tcPr>
            <w:tcW w:w="1620" w:type="dxa"/>
            <w:shd w:val="clear" w:color="auto" w:fill="F2F2F2"/>
            <w:noWrap/>
            <w:hideMark/>
          </w:tcPr>
          <w:p w14:paraId="173FD282"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67B7AF4" w14:textId="77777777" w:rsidR="001A54E6" w:rsidRPr="00912996" w:rsidRDefault="001A54E6" w:rsidP="00394372">
            <w:pPr>
              <w:rPr>
                <w:rFonts w:ascii="Calibri" w:hAnsi="Calibri"/>
                <w:bCs/>
                <w:lang w:eastAsia="ja-JP"/>
              </w:rPr>
            </w:pPr>
            <w:r w:rsidRPr="00912996">
              <w:rPr>
                <w:rFonts w:ascii="Calibri" w:hAnsi="Calibri"/>
                <w:bCs/>
                <w:lang w:eastAsia="ja-JP"/>
              </w:rPr>
              <w:t>68,600,000</w:t>
            </w:r>
          </w:p>
        </w:tc>
        <w:tc>
          <w:tcPr>
            <w:tcW w:w="1260" w:type="dxa"/>
            <w:shd w:val="clear" w:color="auto" w:fill="F2F2F2"/>
            <w:noWrap/>
            <w:hideMark/>
          </w:tcPr>
          <w:p w14:paraId="4A289F2F" w14:textId="77777777" w:rsidR="001A54E6" w:rsidRPr="00912996" w:rsidRDefault="001A54E6" w:rsidP="00394372">
            <w:pPr>
              <w:rPr>
                <w:rFonts w:ascii="Calibri" w:hAnsi="Calibri"/>
                <w:bCs/>
                <w:lang w:eastAsia="ja-JP"/>
              </w:rPr>
            </w:pPr>
            <w:r w:rsidRPr="00912996">
              <w:rPr>
                <w:rFonts w:ascii="Calibri" w:hAnsi="Calibri"/>
                <w:bCs/>
                <w:lang w:eastAsia="ja-JP"/>
              </w:rPr>
              <w:t>14,000,000</w:t>
            </w:r>
          </w:p>
        </w:tc>
        <w:tc>
          <w:tcPr>
            <w:tcW w:w="1089" w:type="dxa"/>
            <w:shd w:val="clear" w:color="auto" w:fill="F2F2F2"/>
            <w:noWrap/>
            <w:hideMark/>
          </w:tcPr>
          <w:p w14:paraId="136F9EED"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3C309D33" w14:textId="77777777" w:rsidR="001A54E6" w:rsidRPr="00912996" w:rsidRDefault="001A54E6" w:rsidP="00394372">
            <w:pPr>
              <w:rPr>
                <w:rFonts w:ascii="Calibri" w:hAnsi="Calibri"/>
                <w:bCs/>
                <w:lang w:eastAsia="ja-JP"/>
              </w:rPr>
            </w:pPr>
            <w:r w:rsidRPr="00912996">
              <w:rPr>
                <w:rFonts w:ascii="Calibri" w:hAnsi="Calibri"/>
                <w:bCs/>
                <w:lang w:eastAsia="ja-JP"/>
              </w:rPr>
              <w:t>Parteneriat Public-privat</w:t>
            </w:r>
          </w:p>
        </w:tc>
        <w:tc>
          <w:tcPr>
            <w:tcW w:w="1260" w:type="dxa"/>
            <w:shd w:val="clear" w:color="auto" w:fill="F2F2F2"/>
            <w:hideMark/>
          </w:tcPr>
          <w:p w14:paraId="300B82B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4A2BAD7"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23DF6439" w14:textId="77777777" w:rsidTr="00E2442E">
        <w:trPr>
          <w:gridAfter w:val="9"/>
          <w:wAfter w:w="15421" w:type="dxa"/>
          <w:trHeight w:val="540"/>
        </w:trPr>
        <w:tc>
          <w:tcPr>
            <w:tcW w:w="625" w:type="dxa"/>
            <w:shd w:val="clear" w:color="auto" w:fill="F2F2F2"/>
            <w:noWrap/>
            <w:hideMark/>
          </w:tcPr>
          <w:p w14:paraId="7626E3DD"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4D007B90" w14:textId="78162E57" w:rsidR="001A54E6" w:rsidRPr="00912996" w:rsidRDefault="001A54E6" w:rsidP="00394372">
            <w:pPr>
              <w:rPr>
                <w:rFonts w:ascii="Calibri" w:hAnsi="Calibri"/>
                <w:bCs/>
                <w:lang w:eastAsia="ja-JP"/>
              </w:rPr>
            </w:pPr>
            <w:r w:rsidRPr="00912996">
              <w:rPr>
                <w:rFonts w:ascii="Calibri" w:hAnsi="Calibri"/>
                <w:bCs/>
                <w:lang w:eastAsia="ja-JP"/>
              </w:rPr>
              <w:t>Amenajare parcare multietajată B</w:t>
            </w:r>
            <w:r w:rsidR="005604C7">
              <w:rPr>
                <w:rFonts w:ascii="Calibri" w:hAnsi="Calibri"/>
                <w:bCs/>
                <w:lang w:eastAsia="ja-JP"/>
              </w:rPr>
              <w:t>-</w:t>
            </w:r>
            <w:r w:rsidRPr="00912996">
              <w:rPr>
                <w:rFonts w:ascii="Calibri" w:hAnsi="Calibri"/>
                <w:bCs/>
                <w:lang w:eastAsia="ja-JP"/>
              </w:rPr>
              <w:t>dul Dacia</w:t>
            </w:r>
          </w:p>
        </w:tc>
        <w:tc>
          <w:tcPr>
            <w:tcW w:w="1530" w:type="dxa"/>
            <w:shd w:val="clear" w:color="auto" w:fill="F2F2F2"/>
            <w:hideMark/>
          </w:tcPr>
          <w:p w14:paraId="26911AE8"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27C1F6B9"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722D2C6" w14:textId="77777777" w:rsidR="001A54E6" w:rsidRPr="00912996" w:rsidRDefault="001A54E6" w:rsidP="00394372">
            <w:pPr>
              <w:rPr>
                <w:rFonts w:ascii="Calibri" w:hAnsi="Calibri"/>
                <w:bCs/>
                <w:lang w:eastAsia="ja-JP"/>
              </w:rPr>
            </w:pPr>
            <w:r w:rsidRPr="00912996">
              <w:rPr>
                <w:rFonts w:ascii="Calibri" w:hAnsi="Calibri"/>
                <w:bCs/>
                <w:lang w:eastAsia="ja-JP"/>
              </w:rPr>
              <w:t>12,250,000</w:t>
            </w:r>
          </w:p>
        </w:tc>
        <w:tc>
          <w:tcPr>
            <w:tcW w:w="1260" w:type="dxa"/>
            <w:shd w:val="clear" w:color="auto" w:fill="F2F2F2"/>
            <w:noWrap/>
            <w:hideMark/>
          </w:tcPr>
          <w:p w14:paraId="6DFCDF47" w14:textId="77777777" w:rsidR="001A54E6" w:rsidRPr="00912996" w:rsidRDefault="001A54E6" w:rsidP="00394372">
            <w:pPr>
              <w:rPr>
                <w:rFonts w:ascii="Calibri" w:hAnsi="Calibri"/>
                <w:bCs/>
                <w:lang w:eastAsia="ja-JP"/>
              </w:rPr>
            </w:pPr>
            <w:r w:rsidRPr="00912996">
              <w:rPr>
                <w:rFonts w:ascii="Calibri" w:hAnsi="Calibri"/>
                <w:bCs/>
                <w:lang w:eastAsia="ja-JP"/>
              </w:rPr>
              <w:t>2,500,000</w:t>
            </w:r>
          </w:p>
        </w:tc>
        <w:tc>
          <w:tcPr>
            <w:tcW w:w="1089" w:type="dxa"/>
            <w:shd w:val="clear" w:color="auto" w:fill="F2F2F2"/>
            <w:noWrap/>
            <w:hideMark/>
          </w:tcPr>
          <w:p w14:paraId="190E8F78" w14:textId="77777777" w:rsidR="001A54E6" w:rsidRPr="00912996" w:rsidRDefault="001A54E6" w:rsidP="00394372">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5EA2BEFE" w14:textId="77777777" w:rsidR="001A54E6" w:rsidRPr="00912996" w:rsidRDefault="001A54E6" w:rsidP="00394372">
            <w:pPr>
              <w:rPr>
                <w:rFonts w:ascii="Calibri" w:hAnsi="Calibri"/>
                <w:bCs/>
                <w:lang w:eastAsia="ja-JP"/>
              </w:rPr>
            </w:pPr>
            <w:r w:rsidRPr="00912996">
              <w:rPr>
                <w:rFonts w:ascii="Calibri" w:hAnsi="Calibri"/>
                <w:bCs/>
                <w:lang w:eastAsia="ja-JP"/>
              </w:rPr>
              <w:t>Buget PMB, Bugetul local</w:t>
            </w:r>
          </w:p>
        </w:tc>
        <w:tc>
          <w:tcPr>
            <w:tcW w:w="1260" w:type="dxa"/>
            <w:shd w:val="clear" w:color="auto" w:fill="F2F2F2"/>
            <w:hideMark/>
          </w:tcPr>
          <w:p w14:paraId="2485EC4B"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0C6C0CE" w14:textId="77777777" w:rsidR="001A54E6" w:rsidRPr="00912996" w:rsidRDefault="001A54E6" w:rsidP="00394372">
            <w:pPr>
              <w:rPr>
                <w:rFonts w:ascii="Calibri" w:hAnsi="Calibri"/>
                <w:bCs/>
                <w:lang w:eastAsia="ja-JP"/>
              </w:rPr>
            </w:pPr>
            <w:r w:rsidRPr="00912996">
              <w:rPr>
                <w:rFonts w:ascii="Calibri" w:hAnsi="Calibri"/>
                <w:bCs/>
                <w:lang w:eastAsia="ja-JP"/>
              </w:rPr>
              <w:t>PMUD-BI, PS2</w:t>
            </w:r>
          </w:p>
        </w:tc>
      </w:tr>
      <w:tr w:rsidR="00AC2FFA" w:rsidRPr="00912996" w14:paraId="1B36339D" w14:textId="77777777" w:rsidTr="008E3F0D">
        <w:trPr>
          <w:gridAfter w:val="9"/>
          <w:wAfter w:w="15421" w:type="dxa"/>
          <w:trHeight w:val="912"/>
        </w:trPr>
        <w:tc>
          <w:tcPr>
            <w:tcW w:w="625" w:type="dxa"/>
            <w:shd w:val="clear" w:color="auto" w:fill="F2F2F2"/>
            <w:noWrap/>
            <w:hideMark/>
          </w:tcPr>
          <w:p w14:paraId="4C1499D3"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4D5E198E" w14:textId="5977AE64" w:rsidR="001A54E6" w:rsidRPr="00912996" w:rsidRDefault="001A54E6" w:rsidP="00394372">
            <w:pPr>
              <w:rPr>
                <w:rFonts w:ascii="Calibri" w:hAnsi="Calibri"/>
                <w:bCs/>
                <w:lang w:eastAsia="ja-JP"/>
              </w:rPr>
            </w:pPr>
            <w:r w:rsidRPr="00912996">
              <w:rPr>
                <w:rFonts w:ascii="Calibri" w:hAnsi="Calibri"/>
                <w:bCs/>
                <w:lang w:eastAsia="ja-JP"/>
              </w:rPr>
              <w:t>Amenajare parcare multietajată B</w:t>
            </w:r>
            <w:r w:rsidR="0020143F">
              <w:rPr>
                <w:rFonts w:ascii="Calibri" w:hAnsi="Calibri"/>
                <w:bCs/>
                <w:lang w:eastAsia="ja-JP"/>
              </w:rPr>
              <w:t>-</w:t>
            </w:r>
            <w:r w:rsidRPr="00912996">
              <w:rPr>
                <w:rFonts w:ascii="Calibri" w:hAnsi="Calibri"/>
                <w:bCs/>
                <w:lang w:eastAsia="ja-JP"/>
              </w:rPr>
              <w:t>dul Pache Protopopescu</w:t>
            </w:r>
          </w:p>
        </w:tc>
        <w:tc>
          <w:tcPr>
            <w:tcW w:w="1530" w:type="dxa"/>
            <w:shd w:val="clear" w:color="auto" w:fill="F2F2F2"/>
            <w:hideMark/>
          </w:tcPr>
          <w:p w14:paraId="2E0737A0"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65EDC33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D665FB4" w14:textId="77777777" w:rsidR="001A54E6" w:rsidRPr="00912996" w:rsidRDefault="001A54E6" w:rsidP="00394372">
            <w:pPr>
              <w:rPr>
                <w:rFonts w:ascii="Calibri" w:hAnsi="Calibri"/>
                <w:bCs/>
                <w:lang w:eastAsia="ja-JP"/>
              </w:rPr>
            </w:pPr>
            <w:r w:rsidRPr="00912996">
              <w:rPr>
                <w:rFonts w:ascii="Calibri" w:hAnsi="Calibri"/>
                <w:bCs/>
                <w:lang w:eastAsia="ja-JP"/>
              </w:rPr>
              <w:t>12,250,000</w:t>
            </w:r>
          </w:p>
        </w:tc>
        <w:tc>
          <w:tcPr>
            <w:tcW w:w="1260" w:type="dxa"/>
            <w:shd w:val="clear" w:color="auto" w:fill="F2F2F2"/>
            <w:noWrap/>
            <w:hideMark/>
          </w:tcPr>
          <w:p w14:paraId="0B7276FA" w14:textId="77777777" w:rsidR="001A54E6" w:rsidRPr="00912996" w:rsidRDefault="001A54E6" w:rsidP="00394372">
            <w:pPr>
              <w:rPr>
                <w:rFonts w:ascii="Calibri" w:hAnsi="Calibri"/>
                <w:bCs/>
                <w:lang w:eastAsia="ja-JP"/>
              </w:rPr>
            </w:pPr>
            <w:r w:rsidRPr="00912996">
              <w:rPr>
                <w:rFonts w:ascii="Calibri" w:hAnsi="Calibri"/>
                <w:bCs/>
                <w:lang w:eastAsia="ja-JP"/>
              </w:rPr>
              <w:t>2,500,000</w:t>
            </w:r>
          </w:p>
        </w:tc>
        <w:tc>
          <w:tcPr>
            <w:tcW w:w="1089" w:type="dxa"/>
            <w:shd w:val="clear" w:color="auto" w:fill="F2F2F2"/>
            <w:noWrap/>
            <w:hideMark/>
          </w:tcPr>
          <w:p w14:paraId="414B0E97" w14:textId="77777777" w:rsidR="001A54E6" w:rsidRPr="00912996" w:rsidRDefault="001A54E6" w:rsidP="00394372">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777B926A" w14:textId="77777777" w:rsidR="001A54E6" w:rsidRPr="00912996" w:rsidRDefault="001A54E6" w:rsidP="00394372">
            <w:pPr>
              <w:rPr>
                <w:rFonts w:ascii="Calibri" w:hAnsi="Calibri"/>
                <w:bCs/>
                <w:lang w:eastAsia="ja-JP"/>
              </w:rPr>
            </w:pPr>
            <w:r w:rsidRPr="00912996">
              <w:rPr>
                <w:rFonts w:ascii="Calibri" w:hAnsi="Calibri"/>
                <w:bCs/>
                <w:lang w:eastAsia="ja-JP"/>
              </w:rPr>
              <w:t>Buget PMB, Bugetul local</w:t>
            </w:r>
          </w:p>
        </w:tc>
        <w:tc>
          <w:tcPr>
            <w:tcW w:w="1260" w:type="dxa"/>
            <w:shd w:val="clear" w:color="auto" w:fill="F2F2F2"/>
            <w:hideMark/>
          </w:tcPr>
          <w:p w14:paraId="5AACEB5C"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6CE1631" w14:textId="77777777" w:rsidR="001A54E6" w:rsidRPr="00912996" w:rsidRDefault="001A54E6" w:rsidP="00394372">
            <w:pPr>
              <w:rPr>
                <w:rFonts w:ascii="Calibri" w:hAnsi="Calibri"/>
                <w:bCs/>
                <w:lang w:eastAsia="ja-JP"/>
              </w:rPr>
            </w:pPr>
            <w:r w:rsidRPr="00912996">
              <w:rPr>
                <w:rFonts w:ascii="Calibri" w:hAnsi="Calibri"/>
                <w:bCs/>
                <w:lang w:eastAsia="ja-JP"/>
              </w:rPr>
              <w:t>PMUD-BI, PS2</w:t>
            </w:r>
          </w:p>
        </w:tc>
      </w:tr>
      <w:tr w:rsidR="00AC2FFA" w:rsidRPr="00912996" w14:paraId="42C5B7DF" w14:textId="77777777" w:rsidTr="008E3F0D">
        <w:trPr>
          <w:gridAfter w:val="9"/>
          <w:wAfter w:w="15421" w:type="dxa"/>
          <w:trHeight w:val="1227"/>
        </w:trPr>
        <w:tc>
          <w:tcPr>
            <w:tcW w:w="625" w:type="dxa"/>
            <w:shd w:val="clear" w:color="auto" w:fill="F2F2F2"/>
            <w:noWrap/>
            <w:hideMark/>
          </w:tcPr>
          <w:p w14:paraId="0966D166" w14:textId="77777777" w:rsidR="001A54E6" w:rsidRPr="00912996" w:rsidRDefault="001A54E6" w:rsidP="00394372">
            <w:pPr>
              <w:rPr>
                <w:rFonts w:ascii="Calibri" w:hAnsi="Calibri"/>
                <w:bCs/>
                <w:lang w:eastAsia="ja-JP"/>
              </w:rPr>
            </w:pPr>
            <w:r>
              <w:rPr>
                <w:rFonts w:ascii="Calibri" w:hAnsi="Calibri"/>
                <w:bCs/>
                <w:lang w:eastAsia="ja-JP"/>
              </w:rPr>
              <w:t>7</w:t>
            </w:r>
          </w:p>
        </w:tc>
        <w:tc>
          <w:tcPr>
            <w:tcW w:w="2250" w:type="dxa"/>
            <w:shd w:val="clear" w:color="auto" w:fill="F2F2F2"/>
            <w:hideMark/>
          </w:tcPr>
          <w:p w14:paraId="487BF4D8" w14:textId="77777777" w:rsidR="001A54E6" w:rsidRPr="00912996" w:rsidRDefault="001A54E6" w:rsidP="00394372">
            <w:pPr>
              <w:rPr>
                <w:rFonts w:ascii="Calibri" w:hAnsi="Calibri"/>
                <w:bCs/>
                <w:lang w:eastAsia="ja-JP"/>
              </w:rPr>
            </w:pPr>
            <w:r w:rsidRPr="00912996">
              <w:rPr>
                <w:rFonts w:ascii="Calibri" w:hAnsi="Calibri"/>
                <w:bCs/>
                <w:lang w:eastAsia="ja-JP"/>
              </w:rPr>
              <w:t>Construirea unor noi parcări rezidențiale supraetajate sau automate (rotative)</w:t>
            </w:r>
          </w:p>
        </w:tc>
        <w:tc>
          <w:tcPr>
            <w:tcW w:w="1530" w:type="dxa"/>
            <w:shd w:val="clear" w:color="auto" w:fill="F2F2F2"/>
            <w:hideMark/>
          </w:tcPr>
          <w:p w14:paraId="566CE48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2A88C626"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C2659DF" w14:textId="77777777" w:rsidR="001A54E6" w:rsidRPr="00912996" w:rsidRDefault="001A54E6" w:rsidP="00394372">
            <w:pPr>
              <w:rPr>
                <w:rFonts w:ascii="Calibri" w:hAnsi="Calibri"/>
                <w:bCs/>
                <w:lang w:eastAsia="ja-JP"/>
              </w:rPr>
            </w:pPr>
            <w:r w:rsidRPr="00912996">
              <w:rPr>
                <w:rFonts w:ascii="Calibri" w:hAnsi="Calibri"/>
                <w:bCs/>
                <w:lang w:eastAsia="ja-JP"/>
              </w:rPr>
              <w:t>49,000,000</w:t>
            </w:r>
          </w:p>
        </w:tc>
        <w:tc>
          <w:tcPr>
            <w:tcW w:w="1260" w:type="dxa"/>
            <w:shd w:val="clear" w:color="auto" w:fill="F2F2F2"/>
            <w:noWrap/>
            <w:hideMark/>
          </w:tcPr>
          <w:p w14:paraId="4652B773" w14:textId="77777777" w:rsidR="001A54E6" w:rsidRPr="00912996" w:rsidRDefault="001A54E6" w:rsidP="00394372">
            <w:pPr>
              <w:rPr>
                <w:rFonts w:ascii="Calibri" w:hAnsi="Calibri"/>
                <w:bCs/>
                <w:lang w:eastAsia="ja-JP"/>
              </w:rPr>
            </w:pPr>
            <w:r w:rsidRPr="00912996">
              <w:rPr>
                <w:rFonts w:ascii="Calibri" w:hAnsi="Calibri"/>
                <w:bCs/>
                <w:lang w:eastAsia="ja-JP"/>
              </w:rPr>
              <w:t>10,000,000</w:t>
            </w:r>
          </w:p>
        </w:tc>
        <w:tc>
          <w:tcPr>
            <w:tcW w:w="1089" w:type="dxa"/>
            <w:shd w:val="clear" w:color="auto" w:fill="F2F2F2"/>
            <w:noWrap/>
            <w:hideMark/>
          </w:tcPr>
          <w:p w14:paraId="6E547EC8" w14:textId="77777777" w:rsidR="001A54E6" w:rsidRPr="00912996" w:rsidRDefault="001A54E6" w:rsidP="00394372">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3A90ADDA"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5B6A4CF3"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1816EE6E"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5BC5B096" w14:textId="77777777" w:rsidTr="008E3F0D">
        <w:trPr>
          <w:gridAfter w:val="9"/>
          <w:wAfter w:w="15421" w:type="dxa"/>
          <w:trHeight w:val="2199"/>
        </w:trPr>
        <w:tc>
          <w:tcPr>
            <w:tcW w:w="625" w:type="dxa"/>
            <w:shd w:val="clear" w:color="auto" w:fill="F2F2F2"/>
            <w:noWrap/>
            <w:hideMark/>
          </w:tcPr>
          <w:p w14:paraId="362BAB8C" w14:textId="77777777" w:rsidR="001A54E6" w:rsidRPr="00912996" w:rsidRDefault="001A54E6" w:rsidP="00394372">
            <w:pPr>
              <w:rPr>
                <w:rFonts w:ascii="Calibri" w:hAnsi="Calibri"/>
                <w:bCs/>
                <w:lang w:eastAsia="ja-JP"/>
              </w:rPr>
            </w:pPr>
            <w:r>
              <w:rPr>
                <w:rFonts w:ascii="Calibri" w:hAnsi="Calibri"/>
                <w:bCs/>
                <w:lang w:eastAsia="ja-JP"/>
              </w:rPr>
              <w:t>8</w:t>
            </w:r>
          </w:p>
        </w:tc>
        <w:tc>
          <w:tcPr>
            <w:tcW w:w="2250" w:type="dxa"/>
            <w:shd w:val="clear" w:color="auto" w:fill="F2F2F2"/>
            <w:hideMark/>
          </w:tcPr>
          <w:p w14:paraId="4460E2EA" w14:textId="77777777" w:rsidR="001A54E6" w:rsidRPr="00912996" w:rsidRDefault="001A54E6" w:rsidP="00394372">
            <w:pPr>
              <w:rPr>
                <w:rFonts w:ascii="Calibri" w:hAnsi="Calibri"/>
                <w:bCs/>
                <w:lang w:eastAsia="ja-JP"/>
              </w:rPr>
            </w:pPr>
            <w:r w:rsidRPr="00912996">
              <w:rPr>
                <w:rFonts w:ascii="Calibri" w:hAnsi="Calibri"/>
                <w:bCs/>
                <w:lang w:eastAsia="ja-JP"/>
              </w:rPr>
              <w:t>Crearea unui portal pentru administrarea facila a locurilor de parcare (care sa includă disponibilitatea locurilor, posibilitatea de a depune cerere si de a achita taxa online)</w:t>
            </w:r>
          </w:p>
        </w:tc>
        <w:tc>
          <w:tcPr>
            <w:tcW w:w="1530" w:type="dxa"/>
            <w:shd w:val="clear" w:color="auto" w:fill="F2F2F2"/>
            <w:hideMark/>
          </w:tcPr>
          <w:p w14:paraId="53EE08AB"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6DCF63E8"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838A8AD" w14:textId="77777777" w:rsidR="001A54E6" w:rsidRPr="00912996" w:rsidRDefault="001A54E6" w:rsidP="00394372">
            <w:pPr>
              <w:rPr>
                <w:rFonts w:ascii="Calibri" w:hAnsi="Calibri"/>
                <w:bCs/>
                <w:lang w:eastAsia="ja-JP"/>
              </w:rPr>
            </w:pPr>
            <w:r w:rsidRPr="00912996">
              <w:rPr>
                <w:rFonts w:ascii="Calibri" w:hAnsi="Calibri"/>
                <w:bCs/>
                <w:lang w:eastAsia="ja-JP"/>
              </w:rPr>
              <w:t>735,000</w:t>
            </w:r>
          </w:p>
        </w:tc>
        <w:tc>
          <w:tcPr>
            <w:tcW w:w="1260" w:type="dxa"/>
            <w:shd w:val="clear" w:color="auto" w:fill="F2F2F2"/>
            <w:noWrap/>
            <w:hideMark/>
          </w:tcPr>
          <w:p w14:paraId="40ABD62E" w14:textId="77777777" w:rsidR="001A54E6" w:rsidRPr="00912996" w:rsidRDefault="001A54E6" w:rsidP="00394372">
            <w:pPr>
              <w:rPr>
                <w:rFonts w:ascii="Calibri" w:hAnsi="Calibri"/>
                <w:bCs/>
                <w:lang w:eastAsia="ja-JP"/>
              </w:rPr>
            </w:pPr>
            <w:r w:rsidRPr="00912996">
              <w:rPr>
                <w:rFonts w:ascii="Calibri" w:hAnsi="Calibri"/>
                <w:bCs/>
                <w:lang w:eastAsia="ja-JP"/>
              </w:rPr>
              <w:t>150,000</w:t>
            </w:r>
          </w:p>
        </w:tc>
        <w:tc>
          <w:tcPr>
            <w:tcW w:w="1089" w:type="dxa"/>
            <w:shd w:val="clear" w:color="auto" w:fill="F2F2F2"/>
            <w:noWrap/>
            <w:hideMark/>
          </w:tcPr>
          <w:p w14:paraId="1B447AAE"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2D232221" w14:textId="77777777" w:rsidR="001A54E6" w:rsidRPr="00912996" w:rsidRDefault="001A54E6" w:rsidP="00394372">
            <w:pPr>
              <w:rPr>
                <w:rFonts w:ascii="Calibri" w:hAnsi="Calibri"/>
                <w:bCs/>
                <w:lang w:eastAsia="ja-JP"/>
              </w:rPr>
            </w:pPr>
            <w:r w:rsidRPr="00912996">
              <w:rPr>
                <w:rFonts w:ascii="Calibri" w:hAnsi="Calibri"/>
                <w:bCs/>
                <w:lang w:eastAsia="ja-JP"/>
              </w:rPr>
              <w:t>PNRR C4, Bugetul local, Alte surse de finanțare</w:t>
            </w:r>
          </w:p>
        </w:tc>
        <w:tc>
          <w:tcPr>
            <w:tcW w:w="1260" w:type="dxa"/>
            <w:shd w:val="clear" w:color="auto" w:fill="F2F2F2"/>
            <w:hideMark/>
          </w:tcPr>
          <w:p w14:paraId="37E11951"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5194FD49"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77AF6CDF" w14:textId="77777777" w:rsidTr="008E3F0D">
        <w:trPr>
          <w:gridAfter w:val="9"/>
          <w:wAfter w:w="15421" w:type="dxa"/>
          <w:trHeight w:val="1974"/>
        </w:trPr>
        <w:tc>
          <w:tcPr>
            <w:tcW w:w="625" w:type="dxa"/>
            <w:shd w:val="clear" w:color="auto" w:fill="F2F2F2"/>
            <w:noWrap/>
            <w:hideMark/>
          </w:tcPr>
          <w:p w14:paraId="4A1446E1" w14:textId="77777777" w:rsidR="001A54E6" w:rsidRPr="00912996" w:rsidRDefault="001A54E6" w:rsidP="00394372">
            <w:pPr>
              <w:rPr>
                <w:rFonts w:ascii="Calibri" w:hAnsi="Calibri"/>
                <w:bCs/>
                <w:lang w:eastAsia="ja-JP"/>
              </w:rPr>
            </w:pPr>
            <w:r>
              <w:rPr>
                <w:rFonts w:ascii="Calibri" w:hAnsi="Calibri"/>
                <w:bCs/>
                <w:lang w:eastAsia="ja-JP"/>
              </w:rPr>
              <w:t>9</w:t>
            </w:r>
          </w:p>
        </w:tc>
        <w:tc>
          <w:tcPr>
            <w:tcW w:w="2250" w:type="dxa"/>
            <w:shd w:val="clear" w:color="auto" w:fill="F2F2F2"/>
            <w:hideMark/>
          </w:tcPr>
          <w:p w14:paraId="06EFFE28" w14:textId="77777777" w:rsidR="001A54E6" w:rsidRPr="00912996" w:rsidRDefault="001A54E6" w:rsidP="00394372">
            <w:pPr>
              <w:rPr>
                <w:rFonts w:ascii="Calibri" w:hAnsi="Calibri"/>
                <w:bCs/>
                <w:lang w:eastAsia="ja-JP"/>
              </w:rPr>
            </w:pPr>
            <w:r w:rsidRPr="00912996">
              <w:rPr>
                <w:rFonts w:ascii="Calibri" w:hAnsi="Calibri"/>
                <w:bCs/>
                <w:lang w:eastAsia="ja-JP"/>
              </w:rPr>
              <w:t>“Parking Day” – proiect multianual de promovarea a utilizării alternative a locurilor de parcare (valoarea unui loc de parcare ca spațiu public)</w:t>
            </w:r>
          </w:p>
        </w:tc>
        <w:tc>
          <w:tcPr>
            <w:tcW w:w="1530" w:type="dxa"/>
            <w:shd w:val="clear" w:color="auto" w:fill="F2F2F2"/>
            <w:hideMark/>
          </w:tcPr>
          <w:p w14:paraId="3FF604E5"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5C26A027"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0DAE5A3" w14:textId="77777777" w:rsidR="001A54E6" w:rsidRPr="00912996" w:rsidRDefault="001A54E6" w:rsidP="00394372">
            <w:pPr>
              <w:rPr>
                <w:rFonts w:ascii="Calibri" w:hAnsi="Calibri"/>
                <w:bCs/>
                <w:lang w:eastAsia="ja-JP"/>
              </w:rPr>
            </w:pPr>
            <w:r w:rsidRPr="00912996">
              <w:rPr>
                <w:rFonts w:ascii="Calibri" w:hAnsi="Calibri"/>
                <w:bCs/>
                <w:lang w:eastAsia="ja-JP"/>
              </w:rPr>
              <w:t>392,000</w:t>
            </w:r>
          </w:p>
        </w:tc>
        <w:tc>
          <w:tcPr>
            <w:tcW w:w="1260" w:type="dxa"/>
            <w:shd w:val="clear" w:color="auto" w:fill="F2F2F2"/>
            <w:noWrap/>
            <w:hideMark/>
          </w:tcPr>
          <w:p w14:paraId="78A88683" w14:textId="77777777" w:rsidR="001A54E6" w:rsidRPr="00912996" w:rsidRDefault="001A54E6" w:rsidP="00394372">
            <w:pPr>
              <w:rPr>
                <w:rFonts w:ascii="Calibri" w:hAnsi="Calibri"/>
                <w:bCs/>
                <w:lang w:eastAsia="ja-JP"/>
              </w:rPr>
            </w:pPr>
            <w:r w:rsidRPr="00912996">
              <w:rPr>
                <w:rFonts w:ascii="Calibri" w:hAnsi="Calibri"/>
                <w:bCs/>
                <w:lang w:eastAsia="ja-JP"/>
              </w:rPr>
              <w:t>80,000</w:t>
            </w:r>
          </w:p>
        </w:tc>
        <w:tc>
          <w:tcPr>
            <w:tcW w:w="1089" w:type="dxa"/>
            <w:shd w:val="clear" w:color="auto" w:fill="F2F2F2"/>
            <w:noWrap/>
            <w:hideMark/>
          </w:tcPr>
          <w:p w14:paraId="743D49CC"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6E44FAD6" w14:textId="77777777" w:rsidR="001A54E6" w:rsidRPr="00912996" w:rsidRDefault="001A54E6" w:rsidP="00394372">
            <w:pPr>
              <w:rPr>
                <w:rFonts w:ascii="Calibri" w:hAnsi="Calibri"/>
                <w:bCs/>
                <w:lang w:eastAsia="ja-JP"/>
              </w:rPr>
            </w:pPr>
            <w:r w:rsidRPr="00912996">
              <w:rPr>
                <w:rFonts w:ascii="Calibri" w:hAnsi="Calibri"/>
                <w:bCs/>
                <w:lang w:eastAsia="ja-JP"/>
              </w:rPr>
              <w:t>Bugetul local, PPP</w:t>
            </w:r>
          </w:p>
        </w:tc>
        <w:tc>
          <w:tcPr>
            <w:tcW w:w="1260" w:type="dxa"/>
            <w:shd w:val="clear" w:color="auto" w:fill="F2F2F2"/>
            <w:hideMark/>
          </w:tcPr>
          <w:p w14:paraId="6757DAF3"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30779C2E"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1A54E6" w:rsidRPr="00912996" w14:paraId="6AF32144" w14:textId="77777777" w:rsidTr="00AC2FFA">
        <w:trPr>
          <w:gridAfter w:val="9"/>
          <w:wAfter w:w="15421" w:type="dxa"/>
          <w:trHeight w:val="276"/>
        </w:trPr>
        <w:tc>
          <w:tcPr>
            <w:tcW w:w="14215" w:type="dxa"/>
            <w:gridSpan w:val="10"/>
            <w:shd w:val="clear" w:color="auto" w:fill="BBD9A0"/>
            <w:noWrap/>
            <w:hideMark/>
          </w:tcPr>
          <w:p w14:paraId="1FF090E3" w14:textId="77777777" w:rsidR="001A54E6" w:rsidRPr="00912996" w:rsidRDefault="001A54E6" w:rsidP="00394372">
            <w:pPr>
              <w:jc w:val="center"/>
              <w:rPr>
                <w:rFonts w:ascii="Calibri" w:hAnsi="Calibri"/>
                <w:b/>
                <w:bCs/>
                <w:color w:val="FFFFFF"/>
                <w:lang w:eastAsia="ja-JP"/>
              </w:rPr>
            </w:pPr>
            <w:r w:rsidRPr="00912996">
              <w:rPr>
                <w:rFonts w:ascii="Calibri" w:hAnsi="Calibri"/>
                <w:b/>
                <w:bCs/>
                <w:color w:val="FFFFFF"/>
                <w:lang w:eastAsia="ja-JP"/>
              </w:rPr>
              <w:t>D3.4.4 Creșterea conectivității în zonele de dezvoltare și restructurare urbană</w:t>
            </w:r>
          </w:p>
        </w:tc>
      </w:tr>
      <w:tr w:rsidR="00AC2FFA" w:rsidRPr="00912996" w14:paraId="0705A34B" w14:textId="77777777" w:rsidTr="00E2442E">
        <w:trPr>
          <w:gridAfter w:val="9"/>
          <w:wAfter w:w="15421" w:type="dxa"/>
          <w:trHeight w:val="1371"/>
        </w:trPr>
        <w:tc>
          <w:tcPr>
            <w:tcW w:w="625" w:type="dxa"/>
            <w:shd w:val="clear" w:color="auto" w:fill="F2F2F2"/>
            <w:noWrap/>
            <w:hideMark/>
          </w:tcPr>
          <w:p w14:paraId="0C500E84"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76498523" w14:textId="77777777" w:rsidR="001A54E6" w:rsidRPr="00912996" w:rsidRDefault="001A54E6" w:rsidP="00394372">
            <w:pPr>
              <w:rPr>
                <w:rFonts w:ascii="Calibri" w:hAnsi="Calibri"/>
                <w:bCs/>
                <w:lang w:eastAsia="ja-JP"/>
              </w:rPr>
            </w:pPr>
            <w:r w:rsidRPr="00912996">
              <w:rPr>
                <w:rFonts w:ascii="Calibri" w:hAnsi="Calibri"/>
                <w:bCs/>
                <w:lang w:eastAsia="ja-JP"/>
              </w:rPr>
              <w:t>Program multianual de reabilitare și modernizare a străzilor secundare sau locale</w:t>
            </w:r>
          </w:p>
        </w:tc>
        <w:tc>
          <w:tcPr>
            <w:tcW w:w="1530" w:type="dxa"/>
            <w:shd w:val="clear" w:color="auto" w:fill="F2F2F2"/>
            <w:hideMark/>
          </w:tcPr>
          <w:p w14:paraId="7D858FD7"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07EC1C53" w14:textId="77777777" w:rsidR="001A54E6" w:rsidRPr="00912996" w:rsidRDefault="001A54E6" w:rsidP="00394372">
            <w:pPr>
              <w:rPr>
                <w:rFonts w:ascii="Calibri" w:hAnsi="Calibri"/>
                <w:bCs/>
                <w:lang w:eastAsia="ja-JP"/>
              </w:rPr>
            </w:pPr>
            <w:r w:rsidRPr="00912996">
              <w:rPr>
                <w:rFonts w:ascii="Calibri" w:hAnsi="Calibri"/>
                <w:bCs/>
                <w:lang w:eastAsia="ja-JP"/>
              </w:rPr>
              <w:t>Depus pentru finanțare</w:t>
            </w:r>
          </w:p>
        </w:tc>
        <w:tc>
          <w:tcPr>
            <w:tcW w:w="1260" w:type="dxa"/>
            <w:shd w:val="clear" w:color="auto" w:fill="F2F2F2"/>
            <w:noWrap/>
            <w:hideMark/>
          </w:tcPr>
          <w:p w14:paraId="08076151" w14:textId="77777777" w:rsidR="001A54E6" w:rsidRPr="00912996" w:rsidRDefault="001A54E6" w:rsidP="00394372">
            <w:pPr>
              <w:rPr>
                <w:rFonts w:ascii="Calibri" w:hAnsi="Calibri"/>
                <w:bCs/>
                <w:lang w:eastAsia="ja-JP"/>
              </w:rPr>
            </w:pPr>
            <w:r w:rsidRPr="00912996">
              <w:rPr>
                <w:rFonts w:ascii="Calibri" w:hAnsi="Calibri"/>
                <w:bCs/>
                <w:lang w:eastAsia="ja-JP"/>
              </w:rPr>
              <w:t>34,125,049</w:t>
            </w:r>
          </w:p>
        </w:tc>
        <w:tc>
          <w:tcPr>
            <w:tcW w:w="1260" w:type="dxa"/>
            <w:shd w:val="clear" w:color="auto" w:fill="F2F2F2"/>
            <w:noWrap/>
            <w:hideMark/>
          </w:tcPr>
          <w:p w14:paraId="1E2D06A4" w14:textId="77777777" w:rsidR="001A54E6" w:rsidRPr="00912996" w:rsidRDefault="001A54E6" w:rsidP="00394372">
            <w:pPr>
              <w:rPr>
                <w:rFonts w:ascii="Calibri" w:hAnsi="Calibri"/>
                <w:bCs/>
                <w:lang w:eastAsia="ja-JP"/>
              </w:rPr>
            </w:pPr>
            <w:r w:rsidRPr="00912996">
              <w:rPr>
                <w:rFonts w:ascii="Calibri" w:hAnsi="Calibri"/>
                <w:bCs/>
                <w:lang w:eastAsia="ja-JP"/>
              </w:rPr>
              <w:t>6,964,296</w:t>
            </w:r>
          </w:p>
        </w:tc>
        <w:tc>
          <w:tcPr>
            <w:tcW w:w="1089" w:type="dxa"/>
            <w:shd w:val="clear" w:color="auto" w:fill="F2F2F2"/>
            <w:noWrap/>
            <w:hideMark/>
          </w:tcPr>
          <w:p w14:paraId="40648D7B" w14:textId="77777777" w:rsidR="001A54E6" w:rsidRPr="00912996" w:rsidRDefault="001A54E6" w:rsidP="00394372">
            <w:pPr>
              <w:rPr>
                <w:rFonts w:ascii="Calibri" w:hAnsi="Calibri"/>
                <w:bCs/>
                <w:lang w:eastAsia="ja-JP"/>
              </w:rPr>
            </w:pPr>
            <w:r w:rsidRPr="00912996">
              <w:rPr>
                <w:rFonts w:ascii="Calibri" w:hAnsi="Calibri"/>
                <w:bCs/>
                <w:lang w:eastAsia="ja-JP"/>
              </w:rPr>
              <w:t>2021-2025</w:t>
            </w:r>
          </w:p>
        </w:tc>
        <w:tc>
          <w:tcPr>
            <w:tcW w:w="1881" w:type="dxa"/>
            <w:shd w:val="clear" w:color="auto" w:fill="F2F2F2"/>
            <w:hideMark/>
          </w:tcPr>
          <w:p w14:paraId="6C948198" w14:textId="77777777" w:rsidR="001A54E6" w:rsidRPr="00912996" w:rsidRDefault="001A54E6" w:rsidP="00394372">
            <w:pPr>
              <w:rPr>
                <w:rFonts w:ascii="Calibri" w:hAnsi="Calibri"/>
                <w:bCs/>
                <w:lang w:eastAsia="ja-JP"/>
              </w:rPr>
            </w:pPr>
            <w:r w:rsidRPr="00912996">
              <w:rPr>
                <w:rFonts w:ascii="Calibri" w:hAnsi="Calibri"/>
                <w:bCs/>
                <w:lang w:eastAsia="ja-JP"/>
              </w:rPr>
              <w:t>Buget local, PNI Anghel Saligny, Alte surse de finanțare</w:t>
            </w:r>
          </w:p>
        </w:tc>
        <w:tc>
          <w:tcPr>
            <w:tcW w:w="1260" w:type="dxa"/>
            <w:shd w:val="clear" w:color="auto" w:fill="F2F2F2"/>
            <w:hideMark/>
          </w:tcPr>
          <w:p w14:paraId="183CA33A"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694E970C" w14:textId="77777777" w:rsidR="001A54E6" w:rsidRPr="00912996" w:rsidRDefault="001A54E6" w:rsidP="00394372">
            <w:pPr>
              <w:rPr>
                <w:rFonts w:ascii="Calibri" w:hAnsi="Calibri"/>
                <w:bCs/>
                <w:lang w:eastAsia="ja-JP"/>
              </w:rPr>
            </w:pPr>
            <w:r w:rsidRPr="00912996">
              <w:rPr>
                <w:rFonts w:ascii="Calibri" w:hAnsi="Calibri"/>
                <w:bCs/>
                <w:lang w:eastAsia="ja-JP"/>
              </w:rPr>
              <w:t>Consultant, PS2</w:t>
            </w:r>
          </w:p>
        </w:tc>
      </w:tr>
      <w:tr w:rsidR="00AC2FFA" w:rsidRPr="00912996" w14:paraId="490D6014" w14:textId="77777777" w:rsidTr="00E2442E">
        <w:trPr>
          <w:gridAfter w:val="9"/>
          <w:wAfter w:w="15421" w:type="dxa"/>
          <w:trHeight w:val="1354"/>
        </w:trPr>
        <w:tc>
          <w:tcPr>
            <w:tcW w:w="625" w:type="dxa"/>
            <w:shd w:val="clear" w:color="auto" w:fill="F2F2F2"/>
            <w:noWrap/>
            <w:hideMark/>
          </w:tcPr>
          <w:p w14:paraId="7E56385A"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4CBCD92B" w14:textId="77777777" w:rsidR="001A54E6" w:rsidRPr="00912996" w:rsidRDefault="001A54E6" w:rsidP="00394372">
            <w:pPr>
              <w:rPr>
                <w:rFonts w:ascii="Calibri" w:hAnsi="Calibri"/>
                <w:bCs/>
                <w:lang w:eastAsia="ja-JP"/>
              </w:rPr>
            </w:pPr>
            <w:r w:rsidRPr="00912996">
              <w:rPr>
                <w:rFonts w:ascii="Calibri" w:hAnsi="Calibri"/>
                <w:bCs/>
                <w:lang w:eastAsia="ja-JP"/>
              </w:rPr>
              <w:t>Program multianual de extindere, lărgire și reconfigurare a străzilor principale sau de importanță crescută</w:t>
            </w:r>
          </w:p>
        </w:tc>
        <w:tc>
          <w:tcPr>
            <w:tcW w:w="1530" w:type="dxa"/>
            <w:shd w:val="clear" w:color="auto" w:fill="F2F2F2"/>
            <w:hideMark/>
          </w:tcPr>
          <w:p w14:paraId="03E425DC" w14:textId="77777777" w:rsidR="001A54E6" w:rsidRPr="00912996" w:rsidRDefault="001A54E6" w:rsidP="00394372">
            <w:pPr>
              <w:rPr>
                <w:rFonts w:ascii="Calibri" w:hAnsi="Calibri"/>
                <w:bCs/>
                <w:lang w:eastAsia="ja-JP"/>
              </w:rPr>
            </w:pPr>
            <w:r w:rsidRPr="00912996">
              <w:rPr>
                <w:rFonts w:ascii="Calibri" w:hAnsi="Calibri"/>
                <w:bCs/>
                <w:lang w:eastAsia="ja-JP"/>
              </w:rPr>
              <w:t>PS2, PMB, CNAIR</w:t>
            </w:r>
          </w:p>
        </w:tc>
        <w:tc>
          <w:tcPr>
            <w:tcW w:w="1620" w:type="dxa"/>
            <w:shd w:val="clear" w:color="auto" w:fill="F2F2F2"/>
            <w:hideMark/>
          </w:tcPr>
          <w:p w14:paraId="628D173A" w14:textId="4A9C1D00" w:rsidR="001A54E6" w:rsidRPr="00912996" w:rsidRDefault="001A54E6" w:rsidP="00394372">
            <w:pPr>
              <w:rPr>
                <w:rFonts w:ascii="Calibri" w:hAnsi="Calibri"/>
                <w:bCs/>
                <w:lang w:eastAsia="ja-JP"/>
              </w:rPr>
            </w:pPr>
            <w:r w:rsidRPr="00912996">
              <w:rPr>
                <w:rFonts w:ascii="Calibri" w:hAnsi="Calibri"/>
                <w:bCs/>
                <w:lang w:eastAsia="ja-JP"/>
              </w:rPr>
              <w:t>Depus pentru finanțare</w:t>
            </w:r>
            <w:r w:rsidR="00587E94">
              <w:rPr>
                <w:rFonts w:ascii="Calibri" w:hAnsi="Calibri"/>
                <w:bCs/>
                <w:lang w:eastAsia="ja-JP"/>
              </w:rPr>
              <w:t xml:space="preserve"> </w:t>
            </w:r>
            <w:r w:rsidRPr="00912996">
              <w:rPr>
                <w:rFonts w:ascii="Calibri" w:hAnsi="Calibri"/>
                <w:bCs/>
                <w:lang w:eastAsia="ja-JP"/>
              </w:rPr>
              <w:t>/</w:t>
            </w:r>
            <w:r w:rsidR="00587E94">
              <w:rPr>
                <w:rFonts w:ascii="Calibri" w:hAnsi="Calibri"/>
                <w:bCs/>
                <w:lang w:eastAsia="ja-JP"/>
              </w:rPr>
              <w:t xml:space="preserve"> </w:t>
            </w:r>
            <w:r w:rsidRPr="00912996">
              <w:rPr>
                <w:rFonts w:ascii="Calibri" w:hAnsi="Calibri"/>
                <w:bCs/>
                <w:lang w:eastAsia="ja-JP"/>
              </w:rPr>
              <w:t>DALI</w:t>
            </w:r>
            <w:r w:rsidR="00587E94">
              <w:rPr>
                <w:rFonts w:ascii="Calibri" w:hAnsi="Calibri"/>
                <w:bCs/>
                <w:lang w:eastAsia="ja-JP"/>
              </w:rPr>
              <w:t xml:space="preserve"> </w:t>
            </w:r>
            <w:r w:rsidRPr="00912996">
              <w:rPr>
                <w:rFonts w:ascii="Calibri" w:hAnsi="Calibri"/>
                <w:bCs/>
                <w:lang w:eastAsia="ja-JP"/>
              </w:rPr>
              <w:t>/</w:t>
            </w:r>
            <w:r w:rsidR="00587E94">
              <w:rPr>
                <w:rFonts w:ascii="Calibri" w:hAnsi="Calibri"/>
                <w:bCs/>
                <w:lang w:eastAsia="ja-JP"/>
              </w:rPr>
              <w:t xml:space="preserve"> </w:t>
            </w:r>
            <w:r>
              <w:rPr>
                <w:rFonts w:ascii="Calibri" w:hAnsi="Calibri"/>
                <w:bCs/>
                <w:lang w:eastAsia="ja-JP"/>
              </w:rPr>
              <w:t>În implementare</w:t>
            </w:r>
            <w:r w:rsidR="00587E94">
              <w:rPr>
                <w:rFonts w:ascii="Calibri" w:hAnsi="Calibri"/>
                <w:bCs/>
                <w:lang w:eastAsia="ja-JP"/>
              </w:rPr>
              <w:t xml:space="preserve"> </w:t>
            </w:r>
            <w:r w:rsidRPr="00912996">
              <w:rPr>
                <w:rFonts w:ascii="Calibri" w:hAnsi="Calibri"/>
                <w:bCs/>
                <w:lang w:eastAsia="ja-JP"/>
              </w:rPr>
              <w:t>/</w:t>
            </w:r>
            <w:r w:rsidR="00587E94">
              <w:rPr>
                <w:rFonts w:ascii="Calibri" w:hAnsi="Calibri"/>
                <w:bCs/>
                <w:lang w:eastAsia="ja-JP"/>
              </w:rPr>
              <w:t xml:space="preserve"> </w:t>
            </w:r>
            <w:r w:rsidRPr="00912996">
              <w:rPr>
                <w:rFonts w:ascii="Calibri" w:hAnsi="Calibri"/>
                <w:bCs/>
                <w:lang w:eastAsia="ja-JP"/>
              </w:rPr>
              <w:t>Idee</w:t>
            </w:r>
          </w:p>
        </w:tc>
        <w:tc>
          <w:tcPr>
            <w:tcW w:w="1260" w:type="dxa"/>
            <w:shd w:val="clear" w:color="auto" w:fill="F2F2F2"/>
            <w:noWrap/>
            <w:hideMark/>
          </w:tcPr>
          <w:p w14:paraId="59C0EFA6" w14:textId="77777777" w:rsidR="001A54E6" w:rsidRPr="00912996" w:rsidRDefault="001A54E6" w:rsidP="00394372">
            <w:pPr>
              <w:rPr>
                <w:rFonts w:ascii="Calibri" w:hAnsi="Calibri"/>
                <w:bCs/>
                <w:lang w:eastAsia="ja-JP"/>
              </w:rPr>
            </w:pPr>
            <w:r w:rsidRPr="00912996">
              <w:rPr>
                <w:rFonts w:ascii="Calibri" w:hAnsi="Calibri"/>
                <w:bCs/>
                <w:lang w:eastAsia="ja-JP"/>
              </w:rPr>
              <w:t>1,459,024,000</w:t>
            </w:r>
          </w:p>
        </w:tc>
        <w:tc>
          <w:tcPr>
            <w:tcW w:w="1260" w:type="dxa"/>
            <w:shd w:val="clear" w:color="auto" w:fill="F2F2F2"/>
            <w:noWrap/>
            <w:hideMark/>
          </w:tcPr>
          <w:p w14:paraId="59B69C81" w14:textId="77777777" w:rsidR="001A54E6" w:rsidRPr="00912996" w:rsidRDefault="001A54E6" w:rsidP="00394372">
            <w:pPr>
              <w:rPr>
                <w:rFonts w:ascii="Calibri" w:hAnsi="Calibri"/>
                <w:bCs/>
                <w:lang w:eastAsia="ja-JP"/>
              </w:rPr>
            </w:pPr>
            <w:r w:rsidRPr="00912996">
              <w:rPr>
                <w:rFonts w:ascii="Calibri" w:hAnsi="Calibri"/>
                <w:bCs/>
                <w:lang w:eastAsia="ja-JP"/>
              </w:rPr>
              <w:t>297,760,000</w:t>
            </w:r>
          </w:p>
        </w:tc>
        <w:tc>
          <w:tcPr>
            <w:tcW w:w="1089" w:type="dxa"/>
            <w:shd w:val="clear" w:color="auto" w:fill="F2F2F2"/>
            <w:noWrap/>
            <w:hideMark/>
          </w:tcPr>
          <w:p w14:paraId="4D9EDB9A"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625B7B82" w14:textId="77777777" w:rsidR="001A54E6" w:rsidRPr="00912996" w:rsidRDefault="001A54E6" w:rsidP="00394372">
            <w:pPr>
              <w:rPr>
                <w:rFonts w:ascii="Calibri" w:hAnsi="Calibri"/>
                <w:bCs/>
                <w:lang w:eastAsia="ja-JP"/>
              </w:rPr>
            </w:pPr>
            <w:r w:rsidRPr="00912996">
              <w:rPr>
                <w:rFonts w:ascii="Calibri" w:hAnsi="Calibri"/>
                <w:bCs/>
                <w:lang w:eastAsia="ja-JP"/>
              </w:rPr>
              <w:t>Buget local, Buget de stat, PNI Anghel Saligny, Alte surse de finanțare</w:t>
            </w:r>
          </w:p>
        </w:tc>
        <w:tc>
          <w:tcPr>
            <w:tcW w:w="1260" w:type="dxa"/>
            <w:shd w:val="clear" w:color="auto" w:fill="F2F2F2"/>
            <w:hideMark/>
          </w:tcPr>
          <w:p w14:paraId="6A9E1EE3"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F13E38C" w14:textId="77777777" w:rsidR="001A54E6" w:rsidRPr="00912996" w:rsidRDefault="001A54E6" w:rsidP="00394372">
            <w:pPr>
              <w:rPr>
                <w:rFonts w:ascii="Calibri" w:hAnsi="Calibri"/>
                <w:bCs/>
                <w:lang w:eastAsia="ja-JP"/>
              </w:rPr>
            </w:pPr>
            <w:r w:rsidRPr="00912996">
              <w:rPr>
                <w:rFonts w:ascii="Calibri" w:hAnsi="Calibri"/>
                <w:bCs/>
                <w:lang w:eastAsia="ja-JP"/>
              </w:rPr>
              <w:t>Consultant, PS2, PMB</w:t>
            </w:r>
          </w:p>
        </w:tc>
      </w:tr>
      <w:tr w:rsidR="00AC2FFA" w:rsidRPr="00912996" w14:paraId="5141E38B" w14:textId="77777777" w:rsidTr="00E2442E">
        <w:trPr>
          <w:gridAfter w:val="9"/>
          <w:wAfter w:w="15421" w:type="dxa"/>
          <w:trHeight w:val="1614"/>
        </w:trPr>
        <w:tc>
          <w:tcPr>
            <w:tcW w:w="625" w:type="dxa"/>
            <w:shd w:val="clear" w:color="auto" w:fill="F2F2F2"/>
            <w:noWrap/>
            <w:hideMark/>
          </w:tcPr>
          <w:p w14:paraId="212BC086"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2685A5AE" w14:textId="77777777" w:rsidR="001A54E6" w:rsidRPr="00912996" w:rsidRDefault="001A54E6" w:rsidP="00394372">
            <w:pPr>
              <w:rPr>
                <w:rFonts w:ascii="Calibri" w:hAnsi="Calibri"/>
                <w:bCs/>
                <w:lang w:eastAsia="ja-JP"/>
              </w:rPr>
            </w:pPr>
            <w:r w:rsidRPr="00912996">
              <w:rPr>
                <w:rFonts w:ascii="Calibri" w:hAnsi="Calibri"/>
                <w:bCs/>
                <w:lang w:eastAsia="ja-JP"/>
              </w:rPr>
              <w:t>Program de ameliorare a conectivității prin pasaje denivelate peste calea ferată, cadrul natural sau alte situații complexe</w:t>
            </w:r>
          </w:p>
        </w:tc>
        <w:tc>
          <w:tcPr>
            <w:tcW w:w="1530" w:type="dxa"/>
            <w:shd w:val="clear" w:color="auto" w:fill="F2F2F2"/>
            <w:hideMark/>
          </w:tcPr>
          <w:p w14:paraId="7031C53F" w14:textId="77777777" w:rsidR="001A54E6" w:rsidRPr="00912996" w:rsidRDefault="001A54E6" w:rsidP="00394372">
            <w:pPr>
              <w:rPr>
                <w:rFonts w:ascii="Calibri" w:hAnsi="Calibri"/>
                <w:bCs/>
                <w:lang w:eastAsia="ja-JP"/>
              </w:rPr>
            </w:pPr>
            <w:r w:rsidRPr="00912996">
              <w:rPr>
                <w:rFonts w:ascii="Calibri" w:hAnsi="Calibri"/>
                <w:bCs/>
                <w:lang w:eastAsia="ja-JP"/>
              </w:rPr>
              <w:t>PS2, PMB, CNAIR, ADI TPBI, CJ Ilfov, PS2, Orașul Voluntari</w:t>
            </w:r>
          </w:p>
        </w:tc>
        <w:tc>
          <w:tcPr>
            <w:tcW w:w="1620" w:type="dxa"/>
            <w:shd w:val="clear" w:color="auto" w:fill="F2F2F2"/>
            <w:noWrap/>
            <w:hideMark/>
          </w:tcPr>
          <w:p w14:paraId="4068F534" w14:textId="5E53727A" w:rsidR="001A54E6" w:rsidRPr="00912996" w:rsidRDefault="001A54E6" w:rsidP="00394372">
            <w:pPr>
              <w:rPr>
                <w:rFonts w:ascii="Calibri" w:hAnsi="Calibri"/>
                <w:bCs/>
                <w:lang w:eastAsia="ja-JP"/>
              </w:rPr>
            </w:pPr>
            <w:r w:rsidRPr="00912996">
              <w:rPr>
                <w:rFonts w:ascii="Calibri" w:hAnsi="Calibri"/>
                <w:bCs/>
                <w:lang w:eastAsia="ja-JP"/>
              </w:rPr>
              <w:t>Depus pentru finanțare</w:t>
            </w:r>
            <w:r w:rsidR="00702985">
              <w:rPr>
                <w:rFonts w:ascii="Calibri" w:hAnsi="Calibri"/>
                <w:bCs/>
                <w:lang w:eastAsia="ja-JP"/>
              </w:rPr>
              <w:t xml:space="preserve"> </w:t>
            </w:r>
            <w:r w:rsidRPr="00912996">
              <w:rPr>
                <w:rFonts w:ascii="Calibri" w:hAnsi="Calibri"/>
                <w:bCs/>
                <w:lang w:eastAsia="ja-JP"/>
              </w:rPr>
              <w:t>/</w:t>
            </w:r>
            <w:r w:rsidR="00702985">
              <w:rPr>
                <w:rFonts w:ascii="Calibri" w:hAnsi="Calibri"/>
                <w:bCs/>
                <w:lang w:eastAsia="ja-JP"/>
              </w:rPr>
              <w:t xml:space="preserve"> </w:t>
            </w:r>
            <w:r w:rsidRPr="00912996">
              <w:rPr>
                <w:rFonts w:ascii="Calibri" w:hAnsi="Calibri"/>
                <w:bCs/>
                <w:lang w:eastAsia="ja-JP"/>
              </w:rPr>
              <w:t>DALI</w:t>
            </w:r>
            <w:r w:rsidR="00702985">
              <w:rPr>
                <w:rFonts w:ascii="Calibri" w:hAnsi="Calibri"/>
                <w:bCs/>
                <w:lang w:eastAsia="ja-JP"/>
              </w:rPr>
              <w:t xml:space="preserve"> </w:t>
            </w:r>
            <w:r w:rsidRPr="00912996">
              <w:rPr>
                <w:rFonts w:ascii="Calibri" w:hAnsi="Calibri"/>
                <w:bCs/>
                <w:lang w:eastAsia="ja-JP"/>
              </w:rPr>
              <w:t>/</w:t>
            </w:r>
            <w:r w:rsidR="00702985">
              <w:rPr>
                <w:rFonts w:ascii="Calibri" w:hAnsi="Calibri"/>
                <w:bCs/>
                <w:lang w:eastAsia="ja-JP"/>
              </w:rPr>
              <w:t xml:space="preserve"> </w:t>
            </w:r>
            <w:r>
              <w:rPr>
                <w:rFonts w:ascii="Calibri" w:hAnsi="Calibri"/>
                <w:bCs/>
                <w:lang w:eastAsia="ja-JP"/>
              </w:rPr>
              <w:t>În implementare</w:t>
            </w:r>
            <w:r w:rsidR="00702985">
              <w:rPr>
                <w:rFonts w:ascii="Calibri" w:hAnsi="Calibri"/>
                <w:bCs/>
                <w:lang w:eastAsia="ja-JP"/>
              </w:rPr>
              <w:t xml:space="preserve"> </w:t>
            </w:r>
            <w:r w:rsidRPr="00912996">
              <w:rPr>
                <w:rFonts w:ascii="Calibri" w:hAnsi="Calibri"/>
                <w:bCs/>
                <w:lang w:eastAsia="ja-JP"/>
              </w:rPr>
              <w:t>/</w:t>
            </w:r>
            <w:r w:rsidR="00702985">
              <w:rPr>
                <w:rFonts w:ascii="Calibri" w:hAnsi="Calibri"/>
                <w:bCs/>
                <w:lang w:eastAsia="ja-JP"/>
              </w:rPr>
              <w:t xml:space="preserve"> </w:t>
            </w:r>
            <w:r w:rsidRPr="00912996">
              <w:rPr>
                <w:rFonts w:ascii="Calibri" w:hAnsi="Calibri"/>
                <w:bCs/>
                <w:lang w:eastAsia="ja-JP"/>
              </w:rPr>
              <w:t>Idee</w:t>
            </w:r>
          </w:p>
        </w:tc>
        <w:tc>
          <w:tcPr>
            <w:tcW w:w="1260" w:type="dxa"/>
            <w:shd w:val="clear" w:color="auto" w:fill="F2F2F2"/>
            <w:hideMark/>
          </w:tcPr>
          <w:p w14:paraId="15939459" w14:textId="77777777" w:rsidR="001A54E6" w:rsidRPr="00912996" w:rsidRDefault="001A54E6" w:rsidP="00394372">
            <w:pPr>
              <w:rPr>
                <w:rFonts w:ascii="Calibri" w:hAnsi="Calibri"/>
                <w:bCs/>
                <w:lang w:eastAsia="ja-JP"/>
              </w:rPr>
            </w:pPr>
            <w:r w:rsidRPr="00912996">
              <w:rPr>
                <w:rFonts w:ascii="Calibri" w:hAnsi="Calibri"/>
                <w:bCs/>
                <w:lang w:eastAsia="ja-JP"/>
              </w:rPr>
              <w:t>1,410,636,561</w:t>
            </w:r>
          </w:p>
        </w:tc>
        <w:tc>
          <w:tcPr>
            <w:tcW w:w="1260" w:type="dxa"/>
            <w:shd w:val="clear" w:color="auto" w:fill="F2F2F2"/>
            <w:noWrap/>
            <w:hideMark/>
          </w:tcPr>
          <w:p w14:paraId="59AEE69C" w14:textId="77777777" w:rsidR="001A54E6" w:rsidRPr="00912996" w:rsidRDefault="001A54E6" w:rsidP="00394372">
            <w:pPr>
              <w:rPr>
                <w:rFonts w:ascii="Calibri" w:hAnsi="Calibri"/>
                <w:bCs/>
                <w:lang w:eastAsia="ja-JP"/>
              </w:rPr>
            </w:pPr>
            <w:r w:rsidRPr="00912996">
              <w:rPr>
                <w:rFonts w:ascii="Calibri" w:hAnsi="Calibri"/>
                <w:bCs/>
                <w:lang w:eastAsia="ja-JP"/>
              </w:rPr>
              <w:t>287,885,013</w:t>
            </w:r>
          </w:p>
        </w:tc>
        <w:tc>
          <w:tcPr>
            <w:tcW w:w="1089" w:type="dxa"/>
            <w:shd w:val="clear" w:color="auto" w:fill="F2F2F2"/>
            <w:noWrap/>
            <w:hideMark/>
          </w:tcPr>
          <w:p w14:paraId="25D1C511"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7B81E135" w14:textId="77777777" w:rsidR="001A54E6" w:rsidRPr="00912996" w:rsidRDefault="001A54E6" w:rsidP="00394372">
            <w:pPr>
              <w:rPr>
                <w:rFonts w:ascii="Calibri" w:hAnsi="Calibri"/>
                <w:bCs/>
                <w:lang w:eastAsia="ja-JP"/>
              </w:rPr>
            </w:pPr>
            <w:r w:rsidRPr="00912996">
              <w:rPr>
                <w:rFonts w:ascii="Calibri" w:hAnsi="Calibri"/>
                <w:bCs/>
                <w:lang w:eastAsia="ja-JP"/>
              </w:rPr>
              <w:t>Buget local, Buget de stat, POR, POIM, PNRR, PNI Anghel Saligny, Alte surse de finanțare</w:t>
            </w:r>
          </w:p>
        </w:tc>
        <w:tc>
          <w:tcPr>
            <w:tcW w:w="1260" w:type="dxa"/>
            <w:shd w:val="clear" w:color="auto" w:fill="F2F2F2"/>
            <w:hideMark/>
          </w:tcPr>
          <w:p w14:paraId="40A9ABC2"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82F14E8" w14:textId="77777777" w:rsidR="001A54E6" w:rsidRPr="00912996" w:rsidRDefault="001A54E6" w:rsidP="00394372">
            <w:pPr>
              <w:rPr>
                <w:rFonts w:ascii="Calibri" w:hAnsi="Calibri"/>
                <w:bCs/>
                <w:lang w:eastAsia="ja-JP"/>
              </w:rPr>
            </w:pPr>
            <w:r w:rsidRPr="00912996">
              <w:rPr>
                <w:rFonts w:ascii="Calibri" w:hAnsi="Calibri"/>
                <w:bCs/>
                <w:lang w:eastAsia="ja-JP"/>
              </w:rPr>
              <w:t>PS2, PMB, SIDU MB</w:t>
            </w:r>
          </w:p>
        </w:tc>
      </w:tr>
      <w:tr w:rsidR="00AC2FFA" w:rsidRPr="00912996" w14:paraId="751C785E" w14:textId="77777777" w:rsidTr="00E2442E">
        <w:trPr>
          <w:gridAfter w:val="9"/>
          <w:wAfter w:w="15421" w:type="dxa"/>
          <w:trHeight w:val="2055"/>
        </w:trPr>
        <w:tc>
          <w:tcPr>
            <w:tcW w:w="625" w:type="dxa"/>
            <w:shd w:val="clear" w:color="auto" w:fill="F2F2F2"/>
            <w:noWrap/>
            <w:hideMark/>
          </w:tcPr>
          <w:p w14:paraId="67C32E79"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45DAD623" w14:textId="77777777" w:rsidR="001A54E6" w:rsidRPr="00912996" w:rsidRDefault="001A54E6" w:rsidP="00394372">
            <w:pPr>
              <w:rPr>
                <w:rFonts w:ascii="Calibri" w:hAnsi="Calibri"/>
                <w:bCs/>
                <w:lang w:eastAsia="ja-JP"/>
              </w:rPr>
            </w:pPr>
            <w:r w:rsidRPr="00912996">
              <w:rPr>
                <w:rFonts w:ascii="Calibri" w:hAnsi="Calibri"/>
                <w:bCs/>
                <w:lang w:eastAsia="ja-JP"/>
              </w:rPr>
              <w:t>Program de reconfigurare a tramei stradale și calmare a traficului prin stabilirea de sensuri unice și alte tipuri de reconfigurări pe areale urbane</w:t>
            </w:r>
          </w:p>
        </w:tc>
        <w:tc>
          <w:tcPr>
            <w:tcW w:w="1530" w:type="dxa"/>
            <w:shd w:val="clear" w:color="auto" w:fill="F2F2F2"/>
            <w:hideMark/>
          </w:tcPr>
          <w:p w14:paraId="7755D20E"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32685F05"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9120713" w14:textId="77777777" w:rsidR="001A54E6" w:rsidRPr="00912996" w:rsidRDefault="001A54E6" w:rsidP="00394372">
            <w:pPr>
              <w:rPr>
                <w:rFonts w:ascii="Calibri" w:hAnsi="Calibri"/>
                <w:bCs/>
                <w:lang w:eastAsia="ja-JP"/>
              </w:rPr>
            </w:pPr>
            <w:r w:rsidRPr="00912996">
              <w:rPr>
                <w:rFonts w:ascii="Calibri" w:hAnsi="Calibri"/>
                <w:bCs/>
                <w:lang w:eastAsia="ja-JP"/>
              </w:rPr>
              <w:t>2,205,000</w:t>
            </w:r>
          </w:p>
        </w:tc>
        <w:tc>
          <w:tcPr>
            <w:tcW w:w="1260" w:type="dxa"/>
            <w:shd w:val="clear" w:color="auto" w:fill="F2F2F2"/>
            <w:noWrap/>
            <w:hideMark/>
          </w:tcPr>
          <w:p w14:paraId="73A64FF2" w14:textId="77777777" w:rsidR="001A54E6" w:rsidRPr="00912996" w:rsidRDefault="001A54E6" w:rsidP="00394372">
            <w:pPr>
              <w:rPr>
                <w:rFonts w:ascii="Calibri" w:hAnsi="Calibri"/>
                <w:bCs/>
                <w:lang w:eastAsia="ja-JP"/>
              </w:rPr>
            </w:pPr>
            <w:r w:rsidRPr="00912996">
              <w:rPr>
                <w:rFonts w:ascii="Calibri" w:hAnsi="Calibri"/>
                <w:bCs/>
                <w:lang w:eastAsia="ja-JP"/>
              </w:rPr>
              <w:t>450,000</w:t>
            </w:r>
          </w:p>
        </w:tc>
        <w:tc>
          <w:tcPr>
            <w:tcW w:w="1089" w:type="dxa"/>
            <w:shd w:val="clear" w:color="auto" w:fill="F2F2F2"/>
            <w:noWrap/>
            <w:hideMark/>
          </w:tcPr>
          <w:p w14:paraId="4E55F445"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5288D08F" w14:textId="77777777" w:rsidR="001A54E6" w:rsidRPr="00912996" w:rsidRDefault="001A54E6" w:rsidP="00394372">
            <w:pPr>
              <w:rPr>
                <w:rFonts w:ascii="Calibri" w:hAnsi="Calibri"/>
                <w:bCs/>
                <w:lang w:eastAsia="ja-JP"/>
              </w:rPr>
            </w:pPr>
            <w:r w:rsidRPr="00912996">
              <w:rPr>
                <w:rFonts w:ascii="Calibri" w:hAnsi="Calibri"/>
                <w:bCs/>
                <w:lang w:eastAsia="ja-JP"/>
              </w:rPr>
              <w:t>Bugetul local, Alte surse de finanțare</w:t>
            </w:r>
          </w:p>
        </w:tc>
        <w:tc>
          <w:tcPr>
            <w:tcW w:w="1260" w:type="dxa"/>
            <w:shd w:val="clear" w:color="auto" w:fill="F2F2F2"/>
            <w:hideMark/>
          </w:tcPr>
          <w:p w14:paraId="65B5E174"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D970160" w14:textId="77777777" w:rsidR="001A54E6" w:rsidRPr="00912996" w:rsidRDefault="001A54E6" w:rsidP="00394372">
            <w:pPr>
              <w:rPr>
                <w:rFonts w:ascii="Calibri" w:hAnsi="Calibri"/>
                <w:bCs/>
                <w:lang w:eastAsia="ja-JP"/>
              </w:rPr>
            </w:pPr>
            <w:r w:rsidRPr="00912996">
              <w:rPr>
                <w:rFonts w:ascii="Calibri" w:hAnsi="Calibri"/>
                <w:bCs/>
                <w:lang w:eastAsia="ja-JP"/>
              </w:rPr>
              <w:t>Consultant, PS2</w:t>
            </w:r>
          </w:p>
        </w:tc>
      </w:tr>
      <w:tr w:rsidR="00AC2FFA" w:rsidRPr="00912996" w14:paraId="17009E5F" w14:textId="77777777" w:rsidTr="00E2442E">
        <w:trPr>
          <w:gridAfter w:val="9"/>
          <w:wAfter w:w="15421" w:type="dxa"/>
          <w:trHeight w:val="1515"/>
        </w:trPr>
        <w:tc>
          <w:tcPr>
            <w:tcW w:w="625" w:type="dxa"/>
            <w:shd w:val="clear" w:color="auto" w:fill="F2F2F2"/>
            <w:noWrap/>
            <w:hideMark/>
          </w:tcPr>
          <w:p w14:paraId="6042ACB3"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78E84749" w14:textId="77777777" w:rsidR="001A54E6" w:rsidRPr="00912996" w:rsidRDefault="001A54E6" w:rsidP="00394372">
            <w:pPr>
              <w:rPr>
                <w:rFonts w:ascii="Calibri" w:hAnsi="Calibri"/>
                <w:bCs/>
                <w:lang w:eastAsia="ja-JP"/>
              </w:rPr>
            </w:pPr>
            <w:r w:rsidRPr="00912996">
              <w:rPr>
                <w:rFonts w:ascii="Calibri" w:hAnsi="Calibri"/>
                <w:bCs/>
                <w:lang w:eastAsia="ja-JP"/>
              </w:rPr>
              <w:t>Coridor de mobilitate urbană de-a lungul bulevardului Dimitrie Pompeiu</w:t>
            </w:r>
            <w:r>
              <w:rPr>
                <w:rFonts w:ascii="Calibri" w:hAnsi="Calibri"/>
                <w:bCs/>
                <w:lang w:eastAsia="ja-JP"/>
              </w:rPr>
              <w:t>, străpungere Barbu Văcărescu</w:t>
            </w:r>
          </w:p>
        </w:tc>
        <w:tc>
          <w:tcPr>
            <w:tcW w:w="1530" w:type="dxa"/>
            <w:shd w:val="clear" w:color="auto" w:fill="F2F2F2"/>
            <w:hideMark/>
          </w:tcPr>
          <w:p w14:paraId="0203A9D1"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619678C9"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4A4AA42" w14:textId="77777777" w:rsidR="001A54E6" w:rsidRPr="00912996" w:rsidRDefault="001A54E6" w:rsidP="00394372">
            <w:pPr>
              <w:rPr>
                <w:rFonts w:ascii="Calibri" w:hAnsi="Calibri"/>
                <w:bCs/>
                <w:lang w:eastAsia="ja-JP"/>
              </w:rPr>
            </w:pPr>
            <w:r w:rsidRPr="00912996">
              <w:rPr>
                <w:rFonts w:ascii="Calibri" w:hAnsi="Calibri"/>
                <w:bCs/>
                <w:lang w:eastAsia="ja-JP"/>
              </w:rPr>
              <w:t>60,025,000</w:t>
            </w:r>
          </w:p>
        </w:tc>
        <w:tc>
          <w:tcPr>
            <w:tcW w:w="1260" w:type="dxa"/>
            <w:shd w:val="clear" w:color="auto" w:fill="F2F2F2"/>
            <w:noWrap/>
            <w:hideMark/>
          </w:tcPr>
          <w:p w14:paraId="1C24A4C2" w14:textId="77777777" w:rsidR="001A54E6" w:rsidRPr="00912996" w:rsidRDefault="001A54E6" w:rsidP="00394372">
            <w:pPr>
              <w:rPr>
                <w:rFonts w:ascii="Calibri" w:hAnsi="Calibri"/>
                <w:bCs/>
                <w:lang w:eastAsia="ja-JP"/>
              </w:rPr>
            </w:pPr>
            <w:r w:rsidRPr="00912996">
              <w:rPr>
                <w:rFonts w:ascii="Calibri" w:hAnsi="Calibri"/>
                <w:bCs/>
                <w:lang w:eastAsia="ja-JP"/>
              </w:rPr>
              <w:t>12,250,000</w:t>
            </w:r>
          </w:p>
        </w:tc>
        <w:tc>
          <w:tcPr>
            <w:tcW w:w="1089" w:type="dxa"/>
            <w:shd w:val="clear" w:color="auto" w:fill="F2F2F2"/>
            <w:noWrap/>
            <w:hideMark/>
          </w:tcPr>
          <w:p w14:paraId="44D166D7"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30632112" w14:textId="77777777" w:rsidR="001A54E6" w:rsidRPr="00912996" w:rsidRDefault="001A54E6" w:rsidP="00394372">
            <w:pPr>
              <w:rPr>
                <w:rFonts w:ascii="Calibri" w:hAnsi="Calibri"/>
                <w:bCs/>
                <w:lang w:eastAsia="ja-JP"/>
              </w:rPr>
            </w:pPr>
            <w:r w:rsidRPr="00912996">
              <w:rPr>
                <w:rFonts w:ascii="Calibri" w:hAnsi="Calibri"/>
                <w:bCs/>
                <w:lang w:eastAsia="ja-JP"/>
              </w:rPr>
              <w:t>Bugetul local, Fonduri Nerambursabile</w:t>
            </w:r>
          </w:p>
        </w:tc>
        <w:tc>
          <w:tcPr>
            <w:tcW w:w="1260" w:type="dxa"/>
            <w:shd w:val="clear" w:color="auto" w:fill="F2F2F2"/>
            <w:hideMark/>
          </w:tcPr>
          <w:p w14:paraId="65F876A5"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07EC803F" w14:textId="77777777" w:rsidR="001A54E6" w:rsidRPr="00912996" w:rsidRDefault="001A54E6" w:rsidP="00394372">
            <w:pPr>
              <w:rPr>
                <w:rFonts w:ascii="Calibri" w:hAnsi="Calibri"/>
                <w:bCs/>
                <w:lang w:eastAsia="ja-JP"/>
              </w:rPr>
            </w:pPr>
            <w:r w:rsidRPr="00912996">
              <w:rPr>
                <w:rFonts w:ascii="Calibri" w:hAnsi="Calibri"/>
                <w:bCs/>
                <w:lang w:eastAsia="ja-JP"/>
              </w:rPr>
              <w:t>PMB, PS2, SIDU MB</w:t>
            </w:r>
          </w:p>
        </w:tc>
      </w:tr>
      <w:tr w:rsidR="00AC2FFA" w:rsidRPr="00912996" w14:paraId="25EC426A" w14:textId="77777777" w:rsidTr="00394372">
        <w:trPr>
          <w:gridAfter w:val="9"/>
          <w:wAfter w:w="15421" w:type="dxa"/>
          <w:trHeight w:val="3684"/>
        </w:trPr>
        <w:tc>
          <w:tcPr>
            <w:tcW w:w="625" w:type="dxa"/>
            <w:shd w:val="clear" w:color="auto" w:fill="F2F2F2"/>
            <w:noWrap/>
          </w:tcPr>
          <w:p w14:paraId="0DC85FCE"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tcPr>
          <w:p w14:paraId="5B102BA4" w14:textId="77777777" w:rsidR="001A54E6" w:rsidRPr="00912996" w:rsidRDefault="001A54E6" w:rsidP="00394372">
            <w:pPr>
              <w:rPr>
                <w:rFonts w:ascii="Calibri" w:hAnsi="Calibri"/>
                <w:bCs/>
                <w:lang w:eastAsia="ja-JP"/>
              </w:rPr>
            </w:pPr>
            <w:r w:rsidRPr="00513B65">
              <w:rPr>
                <w:rFonts w:ascii="Calibri" w:hAnsi="Calibri"/>
                <w:bCs/>
                <w:lang w:eastAsia="ja-JP"/>
              </w:rPr>
              <w:t>Modernizarea și extinderea sistemului de semaforizare inteligentă (Managementul Traficului București-Ilfov) și prioritizarea vehiculelor de transport public, în vederea creșterii siguranței rutiere, fluidizării traficului și reducerii poluării – Parteneriat intre PS2, PMB, S1, S3, S4, S5, S6, TPBI</w:t>
            </w:r>
          </w:p>
        </w:tc>
        <w:tc>
          <w:tcPr>
            <w:tcW w:w="1530" w:type="dxa"/>
            <w:shd w:val="clear" w:color="auto" w:fill="F2F2F2"/>
          </w:tcPr>
          <w:p w14:paraId="16670933"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tcPr>
          <w:p w14:paraId="09D89C1C" w14:textId="77777777" w:rsidR="001A54E6" w:rsidRPr="00912996" w:rsidRDefault="001A54E6" w:rsidP="00394372">
            <w:pPr>
              <w:rPr>
                <w:rFonts w:ascii="Calibri" w:hAnsi="Calibri"/>
                <w:bCs/>
                <w:lang w:eastAsia="ja-JP"/>
              </w:rPr>
            </w:pPr>
            <w:r>
              <w:rPr>
                <w:rFonts w:ascii="Calibri" w:hAnsi="Calibri"/>
                <w:bCs/>
                <w:lang w:eastAsia="ja-JP"/>
              </w:rPr>
              <w:t>Î</w:t>
            </w:r>
            <w:r w:rsidRPr="00513B65">
              <w:rPr>
                <w:rFonts w:ascii="Calibri" w:hAnsi="Calibri"/>
                <w:bCs/>
                <w:lang w:eastAsia="ja-JP"/>
              </w:rPr>
              <w:t>n evaluare</w:t>
            </w:r>
          </w:p>
        </w:tc>
        <w:tc>
          <w:tcPr>
            <w:tcW w:w="1260" w:type="dxa"/>
            <w:shd w:val="clear" w:color="auto" w:fill="F2F2F2"/>
            <w:noWrap/>
          </w:tcPr>
          <w:p w14:paraId="55E98296" w14:textId="77777777" w:rsidR="001A54E6" w:rsidRPr="00912996" w:rsidRDefault="001A54E6" w:rsidP="00394372">
            <w:pPr>
              <w:rPr>
                <w:rFonts w:ascii="Calibri" w:hAnsi="Calibri"/>
                <w:bCs/>
                <w:lang w:eastAsia="ja-JP"/>
              </w:rPr>
            </w:pPr>
            <w:r w:rsidRPr="00513B65">
              <w:rPr>
                <w:rFonts w:ascii="Calibri" w:hAnsi="Calibri"/>
                <w:bCs/>
                <w:lang w:eastAsia="ja-JP"/>
              </w:rPr>
              <w:t>64</w:t>
            </w:r>
            <w:r>
              <w:rPr>
                <w:rFonts w:ascii="Calibri" w:hAnsi="Calibri"/>
                <w:bCs/>
                <w:lang w:eastAsia="ja-JP"/>
              </w:rPr>
              <w:t>,</w:t>
            </w:r>
            <w:r w:rsidRPr="00513B65">
              <w:rPr>
                <w:rFonts w:ascii="Calibri" w:hAnsi="Calibri"/>
                <w:bCs/>
                <w:lang w:eastAsia="ja-JP"/>
              </w:rPr>
              <w:t>367</w:t>
            </w:r>
            <w:r>
              <w:rPr>
                <w:rFonts w:ascii="Calibri" w:hAnsi="Calibri"/>
                <w:bCs/>
                <w:lang w:eastAsia="ja-JP"/>
              </w:rPr>
              <w:t>,</w:t>
            </w:r>
            <w:r w:rsidRPr="00513B65">
              <w:rPr>
                <w:rFonts w:ascii="Calibri" w:hAnsi="Calibri"/>
                <w:bCs/>
                <w:lang w:eastAsia="ja-JP"/>
              </w:rPr>
              <w:t>652</w:t>
            </w:r>
          </w:p>
        </w:tc>
        <w:tc>
          <w:tcPr>
            <w:tcW w:w="1260" w:type="dxa"/>
            <w:shd w:val="clear" w:color="auto" w:fill="F2F2F2"/>
            <w:noWrap/>
          </w:tcPr>
          <w:p w14:paraId="7A4398F8" w14:textId="77777777" w:rsidR="001A54E6" w:rsidRPr="00912996" w:rsidRDefault="001A54E6" w:rsidP="00394372">
            <w:pPr>
              <w:rPr>
                <w:rFonts w:ascii="Calibri" w:hAnsi="Calibri"/>
                <w:bCs/>
                <w:lang w:eastAsia="ja-JP"/>
              </w:rPr>
            </w:pPr>
            <w:r w:rsidRPr="00513B65">
              <w:rPr>
                <w:rFonts w:ascii="Calibri" w:hAnsi="Calibri"/>
                <w:bCs/>
                <w:lang w:eastAsia="ja-JP"/>
              </w:rPr>
              <w:t>13</w:t>
            </w:r>
            <w:r>
              <w:rPr>
                <w:rFonts w:ascii="Calibri" w:hAnsi="Calibri"/>
                <w:bCs/>
                <w:lang w:eastAsia="ja-JP"/>
              </w:rPr>
              <w:t>,</w:t>
            </w:r>
            <w:r w:rsidRPr="00513B65">
              <w:rPr>
                <w:rFonts w:ascii="Calibri" w:hAnsi="Calibri"/>
                <w:bCs/>
                <w:lang w:eastAsia="ja-JP"/>
              </w:rPr>
              <w:t>136</w:t>
            </w:r>
            <w:r>
              <w:rPr>
                <w:rFonts w:ascii="Calibri" w:hAnsi="Calibri"/>
                <w:bCs/>
                <w:lang w:eastAsia="ja-JP"/>
              </w:rPr>
              <w:t>,</w:t>
            </w:r>
            <w:r w:rsidRPr="00513B65">
              <w:rPr>
                <w:rFonts w:ascii="Calibri" w:hAnsi="Calibri"/>
                <w:bCs/>
                <w:lang w:eastAsia="ja-JP"/>
              </w:rPr>
              <w:t>255</w:t>
            </w:r>
          </w:p>
        </w:tc>
        <w:tc>
          <w:tcPr>
            <w:tcW w:w="1089" w:type="dxa"/>
            <w:shd w:val="clear" w:color="auto" w:fill="F2F2F2"/>
            <w:noWrap/>
          </w:tcPr>
          <w:p w14:paraId="0E505231"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tcPr>
          <w:p w14:paraId="3A6DCB16" w14:textId="77777777" w:rsidR="001A54E6" w:rsidRPr="00912996" w:rsidRDefault="001A54E6" w:rsidP="00394372">
            <w:pPr>
              <w:rPr>
                <w:rFonts w:ascii="Calibri" w:hAnsi="Calibri"/>
                <w:bCs/>
                <w:lang w:eastAsia="ja-JP"/>
              </w:rPr>
            </w:pPr>
            <w:r w:rsidRPr="00513B65">
              <w:rPr>
                <w:rFonts w:ascii="Calibri" w:hAnsi="Calibri"/>
                <w:bCs/>
                <w:lang w:eastAsia="ja-JP"/>
              </w:rPr>
              <w:t>PNRR/C10</w:t>
            </w:r>
          </w:p>
        </w:tc>
        <w:tc>
          <w:tcPr>
            <w:tcW w:w="1260" w:type="dxa"/>
            <w:shd w:val="clear" w:color="auto" w:fill="F2F2F2"/>
          </w:tcPr>
          <w:p w14:paraId="2114E80E" w14:textId="77777777" w:rsidR="001A54E6" w:rsidRPr="00912996" w:rsidRDefault="001A54E6" w:rsidP="00394372">
            <w:pPr>
              <w:rPr>
                <w:rFonts w:ascii="Calibri" w:hAnsi="Calibri"/>
                <w:bCs/>
                <w:lang w:eastAsia="ja-JP"/>
              </w:rPr>
            </w:pPr>
            <w:r w:rsidRPr="00513B65">
              <w:rPr>
                <w:rFonts w:ascii="Calibri" w:hAnsi="Calibri"/>
                <w:bCs/>
                <w:lang w:eastAsia="ja-JP"/>
              </w:rPr>
              <w:t>Proiect prioritar</w:t>
            </w:r>
          </w:p>
        </w:tc>
        <w:tc>
          <w:tcPr>
            <w:tcW w:w="1440" w:type="dxa"/>
            <w:shd w:val="clear" w:color="auto" w:fill="F2F2F2"/>
          </w:tcPr>
          <w:p w14:paraId="3A172B7E" w14:textId="77777777" w:rsidR="001A54E6" w:rsidRPr="00912996" w:rsidRDefault="001A54E6" w:rsidP="00394372">
            <w:pPr>
              <w:rPr>
                <w:rFonts w:ascii="Calibri" w:hAnsi="Calibri"/>
                <w:bCs/>
                <w:lang w:eastAsia="ja-JP"/>
              </w:rPr>
            </w:pPr>
            <w:r w:rsidRPr="00513B65">
              <w:rPr>
                <w:rFonts w:ascii="Calibri" w:hAnsi="Calibri"/>
                <w:bCs/>
                <w:lang w:eastAsia="ja-JP"/>
              </w:rPr>
              <w:t>PMB, PS2, PS1, PS3, PS4, PS5, PS6, TPBI SIDU MB</w:t>
            </w:r>
          </w:p>
        </w:tc>
      </w:tr>
      <w:tr w:rsidR="001A54E6" w:rsidRPr="00912996" w14:paraId="24990076" w14:textId="77777777" w:rsidTr="00AC2FFA">
        <w:trPr>
          <w:gridAfter w:val="9"/>
          <w:wAfter w:w="15421" w:type="dxa"/>
          <w:trHeight w:val="276"/>
        </w:trPr>
        <w:tc>
          <w:tcPr>
            <w:tcW w:w="14215" w:type="dxa"/>
            <w:gridSpan w:val="10"/>
            <w:shd w:val="clear" w:color="auto" w:fill="BBD9A0"/>
            <w:noWrap/>
            <w:hideMark/>
          </w:tcPr>
          <w:p w14:paraId="73BC947A" w14:textId="77777777" w:rsidR="001A54E6" w:rsidRPr="00912996" w:rsidRDefault="001A54E6" w:rsidP="00394372">
            <w:pPr>
              <w:jc w:val="center"/>
              <w:rPr>
                <w:rFonts w:ascii="Calibri" w:hAnsi="Calibri"/>
                <w:b/>
                <w:bCs/>
                <w:color w:val="FFFFFF"/>
                <w:lang w:eastAsia="ja-JP"/>
              </w:rPr>
            </w:pPr>
            <w:r w:rsidRPr="00912996">
              <w:rPr>
                <w:rFonts w:ascii="Calibri" w:hAnsi="Calibri"/>
                <w:b/>
                <w:bCs/>
                <w:color w:val="FFFFFF"/>
                <w:lang w:eastAsia="ja-JP"/>
              </w:rPr>
              <w:t>D3.4.5 Dezvoltarea facilităților pentru autovehicule nepoluante</w:t>
            </w:r>
          </w:p>
        </w:tc>
      </w:tr>
      <w:tr w:rsidR="00AC2FFA" w:rsidRPr="00912996" w14:paraId="679BBEED" w14:textId="77777777" w:rsidTr="00394372">
        <w:trPr>
          <w:gridAfter w:val="9"/>
          <w:wAfter w:w="15421" w:type="dxa"/>
          <w:trHeight w:val="1407"/>
        </w:trPr>
        <w:tc>
          <w:tcPr>
            <w:tcW w:w="625" w:type="dxa"/>
            <w:shd w:val="clear" w:color="auto" w:fill="F2F2F2"/>
            <w:noWrap/>
            <w:hideMark/>
          </w:tcPr>
          <w:p w14:paraId="1CB37753"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2BF5776E" w14:textId="77777777" w:rsidR="001A54E6" w:rsidRPr="00912996" w:rsidRDefault="001A54E6" w:rsidP="00394372">
            <w:pPr>
              <w:rPr>
                <w:rFonts w:ascii="Calibri" w:hAnsi="Calibri"/>
                <w:bCs/>
                <w:lang w:eastAsia="ja-JP"/>
              </w:rPr>
            </w:pPr>
            <w:r w:rsidRPr="00912996">
              <w:rPr>
                <w:rFonts w:ascii="Calibri" w:hAnsi="Calibri"/>
                <w:bCs/>
                <w:lang w:eastAsia="ja-JP"/>
              </w:rPr>
              <w:t>Program multianual de dezvoltare a infrastructurii de încărcare a vehiculelor electrice</w:t>
            </w:r>
          </w:p>
        </w:tc>
        <w:tc>
          <w:tcPr>
            <w:tcW w:w="1530" w:type="dxa"/>
            <w:shd w:val="clear" w:color="auto" w:fill="F2F2F2"/>
            <w:hideMark/>
          </w:tcPr>
          <w:p w14:paraId="02F38D5B"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5482A018" w14:textId="390DD74C" w:rsidR="001A54E6" w:rsidRPr="00912996" w:rsidRDefault="001A54E6" w:rsidP="00394372">
            <w:pPr>
              <w:rPr>
                <w:rFonts w:ascii="Calibri" w:hAnsi="Calibri"/>
                <w:bCs/>
                <w:lang w:eastAsia="ja-JP"/>
              </w:rPr>
            </w:pPr>
            <w:r>
              <w:rPr>
                <w:rFonts w:ascii="Calibri" w:hAnsi="Calibri"/>
                <w:bCs/>
                <w:lang w:eastAsia="ja-JP"/>
              </w:rPr>
              <w:t>În implementare</w:t>
            </w:r>
            <w:r w:rsidR="0093139E">
              <w:rPr>
                <w:rFonts w:ascii="Calibri" w:hAnsi="Calibri"/>
                <w:bCs/>
                <w:lang w:eastAsia="ja-JP"/>
              </w:rPr>
              <w:t xml:space="preserve"> </w:t>
            </w:r>
            <w:r w:rsidRPr="00912996">
              <w:rPr>
                <w:rFonts w:ascii="Calibri" w:hAnsi="Calibri"/>
                <w:bCs/>
                <w:lang w:eastAsia="ja-JP"/>
              </w:rPr>
              <w:t>/SF</w:t>
            </w:r>
          </w:p>
        </w:tc>
        <w:tc>
          <w:tcPr>
            <w:tcW w:w="1260" w:type="dxa"/>
            <w:shd w:val="clear" w:color="auto" w:fill="F2F2F2"/>
            <w:noWrap/>
            <w:hideMark/>
          </w:tcPr>
          <w:p w14:paraId="32448FDD" w14:textId="77777777" w:rsidR="001A54E6" w:rsidRPr="00912996" w:rsidRDefault="001A54E6" w:rsidP="00394372">
            <w:pPr>
              <w:rPr>
                <w:rFonts w:ascii="Calibri" w:hAnsi="Calibri"/>
                <w:bCs/>
                <w:lang w:eastAsia="ja-JP"/>
              </w:rPr>
            </w:pPr>
            <w:r w:rsidRPr="00912996">
              <w:rPr>
                <w:rFonts w:ascii="Calibri" w:hAnsi="Calibri"/>
                <w:bCs/>
                <w:lang w:eastAsia="ja-JP"/>
              </w:rPr>
              <w:t>17,150,000</w:t>
            </w:r>
          </w:p>
        </w:tc>
        <w:tc>
          <w:tcPr>
            <w:tcW w:w="1260" w:type="dxa"/>
            <w:shd w:val="clear" w:color="auto" w:fill="F2F2F2"/>
            <w:noWrap/>
            <w:hideMark/>
          </w:tcPr>
          <w:p w14:paraId="0B4FE549" w14:textId="77777777" w:rsidR="001A54E6" w:rsidRPr="00912996" w:rsidRDefault="001A54E6" w:rsidP="00394372">
            <w:pPr>
              <w:rPr>
                <w:rFonts w:ascii="Calibri" w:hAnsi="Calibri"/>
                <w:bCs/>
                <w:lang w:eastAsia="ja-JP"/>
              </w:rPr>
            </w:pPr>
            <w:r w:rsidRPr="00912996">
              <w:rPr>
                <w:rFonts w:ascii="Calibri" w:hAnsi="Calibri"/>
                <w:bCs/>
                <w:lang w:eastAsia="ja-JP"/>
              </w:rPr>
              <w:t>3,500,000</w:t>
            </w:r>
          </w:p>
        </w:tc>
        <w:tc>
          <w:tcPr>
            <w:tcW w:w="1089" w:type="dxa"/>
            <w:shd w:val="clear" w:color="auto" w:fill="F2F2F2"/>
            <w:noWrap/>
            <w:hideMark/>
          </w:tcPr>
          <w:p w14:paraId="131BC663" w14:textId="77777777" w:rsidR="001A54E6" w:rsidRPr="00912996" w:rsidRDefault="001A54E6" w:rsidP="00394372">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-2025</w:t>
            </w:r>
          </w:p>
        </w:tc>
        <w:tc>
          <w:tcPr>
            <w:tcW w:w="1881" w:type="dxa"/>
            <w:shd w:val="clear" w:color="auto" w:fill="F2F2F2"/>
            <w:hideMark/>
          </w:tcPr>
          <w:p w14:paraId="2B968587" w14:textId="77777777" w:rsidR="001A54E6" w:rsidRPr="00912996" w:rsidRDefault="001A54E6" w:rsidP="00394372">
            <w:pPr>
              <w:rPr>
                <w:rFonts w:ascii="Calibri" w:hAnsi="Calibri"/>
                <w:bCs/>
                <w:lang w:eastAsia="ja-JP"/>
              </w:rPr>
            </w:pPr>
            <w:r w:rsidRPr="00912996">
              <w:rPr>
                <w:rFonts w:ascii="Calibri" w:hAnsi="Calibri"/>
                <w:bCs/>
                <w:lang w:eastAsia="ja-JP"/>
              </w:rPr>
              <w:t>PNRR C10, Buget local, Alte surse de finanțare</w:t>
            </w:r>
          </w:p>
        </w:tc>
        <w:tc>
          <w:tcPr>
            <w:tcW w:w="1260" w:type="dxa"/>
            <w:shd w:val="clear" w:color="auto" w:fill="F2F2F2"/>
            <w:hideMark/>
          </w:tcPr>
          <w:p w14:paraId="488D636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732B850A" w14:textId="77777777" w:rsidR="001A54E6" w:rsidRPr="00912996" w:rsidRDefault="001A54E6" w:rsidP="00394372">
            <w:pPr>
              <w:rPr>
                <w:rFonts w:ascii="Calibri" w:hAnsi="Calibri"/>
                <w:bCs/>
                <w:lang w:eastAsia="ja-JP"/>
              </w:rPr>
            </w:pPr>
            <w:r w:rsidRPr="00912996">
              <w:rPr>
                <w:rFonts w:ascii="Calibri" w:hAnsi="Calibri"/>
                <w:bCs/>
                <w:lang w:eastAsia="ja-JP"/>
              </w:rPr>
              <w:t>Consultant, PS2</w:t>
            </w:r>
          </w:p>
        </w:tc>
      </w:tr>
      <w:tr w:rsidR="00AC2FFA" w:rsidRPr="00912996" w14:paraId="430AF4B3" w14:textId="77777777" w:rsidTr="00394372">
        <w:trPr>
          <w:gridAfter w:val="9"/>
          <w:wAfter w:w="15421" w:type="dxa"/>
          <w:trHeight w:val="957"/>
        </w:trPr>
        <w:tc>
          <w:tcPr>
            <w:tcW w:w="625" w:type="dxa"/>
            <w:shd w:val="clear" w:color="auto" w:fill="F2F2F2"/>
            <w:noWrap/>
            <w:hideMark/>
          </w:tcPr>
          <w:p w14:paraId="5CF87252"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4246A707" w14:textId="77777777" w:rsidR="001A54E6" w:rsidRPr="00912996" w:rsidRDefault="001A54E6" w:rsidP="00394372">
            <w:pPr>
              <w:rPr>
                <w:rFonts w:ascii="Calibri" w:hAnsi="Calibri"/>
                <w:bCs/>
                <w:lang w:eastAsia="ja-JP"/>
              </w:rPr>
            </w:pPr>
            <w:r w:rsidRPr="00912996">
              <w:rPr>
                <w:rFonts w:ascii="Calibri" w:hAnsi="Calibri"/>
                <w:bCs/>
                <w:lang w:eastAsia="ja-JP"/>
              </w:rPr>
              <w:t>Program stații de reîncărcare pentru vehiculele electrice</w:t>
            </w:r>
          </w:p>
        </w:tc>
        <w:tc>
          <w:tcPr>
            <w:tcW w:w="1530" w:type="dxa"/>
            <w:shd w:val="clear" w:color="auto" w:fill="F2F2F2"/>
            <w:hideMark/>
          </w:tcPr>
          <w:p w14:paraId="2B829F52" w14:textId="77777777" w:rsidR="001A54E6" w:rsidRPr="00912996" w:rsidRDefault="001A54E6" w:rsidP="00394372">
            <w:pPr>
              <w:rPr>
                <w:rFonts w:ascii="Calibri" w:hAnsi="Calibri"/>
                <w:bCs/>
                <w:lang w:eastAsia="ja-JP"/>
              </w:rPr>
            </w:pPr>
            <w:r w:rsidRPr="00912996">
              <w:rPr>
                <w:rFonts w:ascii="Calibri" w:hAnsi="Calibri"/>
                <w:bCs/>
                <w:lang w:eastAsia="ja-JP"/>
              </w:rPr>
              <w:t>PS2, DGVBL S2</w:t>
            </w:r>
          </w:p>
        </w:tc>
        <w:tc>
          <w:tcPr>
            <w:tcW w:w="1620" w:type="dxa"/>
            <w:shd w:val="clear" w:color="auto" w:fill="F2F2F2"/>
            <w:noWrap/>
            <w:hideMark/>
          </w:tcPr>
          <w:p w14:paraId="4D26D638" w14:textId="77777777" w:rsidR="001A54E6" w:rsidRPr="00912996" w:rsidRDefault="001A54E6" w:rsidP="00394372">
            <w:pPr>
              <w:rPr>
                <w:rFonts w:ascii="Calibri" w:hAnsi="Calibri"/>
                <w:bCs/>
                <w:lang w:eastAsia="ja-JP"/>
              </w:rPr>
            </w:pPr>
            <w:r>
              <w:rPr>
                <w:rFonts w:ascii="Calibri" w:hAnsi="Calibri"/>
                <w:bCs/>
                <w:lang w:eastAsia="ja-JP"/>
              </w:rPr>
              <w:t>În implementare</w:t>
            </w:r>
          </w:p>
        </w:tc>
        <w:tc>
          <w:tcPr>
            <w:tcW w:w="1260" w:type="dxa"/>
            <w:shd w:val="clear" w:color="auto" w:fill="F2F2F2"/>
            <w:noWrap/>
            <w:hideMark/>
          </w:tcPr>
          <w:p w14:paraId="65F4FC7B" w14:textId="77777777" w:rsidR="001A54E6" w:rsidRPr="00912996" w:rsidRDefault="001A54E6" w:rsidP="00394372">
            <w:pPr>
              <w:rPr>
                <w:rFonts w:ascii="Calibri" w:hAnsi="Calibri"/>
                <w:bCs/>
                <w:lang w:eastAsia="ja-JP"/>
              </w:rPr>
            </w:pPr>
            <w:r w:rsidRPr="00912996">
              <w:rPr>
                <w:rFonts w:ascii="Calibri" w:hAnsi="Calibri"/>
                <w:bCs/>
                <w:lang w:eastAsia="ja-JP"/>
              </w:rPr>
              <w:t>46,000</w:t>
            </w:r>
          </w:p>
        </w:tc>
        <w:tc>
          <w:tcPr>
            <w:tcW w:w="1260" w:type="dxa"/>
            <w:shd w:val="clear" w:color="auto" w:fill="F2F2F2"/>
            <w:noWrap/>
            <w:hideMark/>
          </w:tcPr>
          <w:p w14:paraId="0286E83C" w14:textId="77777777" w:rsidR="001A54E6" w:rsidRPr="00912996" w:rsidRDefault="001A54E6" w:rsidP="00394372">
            <w:pPr>
              <w:rPr>
                <w:rFonts w:ascii="Calibri" w:hAnsi="Calibri"/>
                <w:bCs/>
                <w:lang w:eastAsia="ja-JP"/>
              </w:rPr>
            </w:pPr>
            <w:r w:rsidRPr="00912996">
              <w:rPr>
                <w:rFonts w:ascii="Calibri" w:hAnsi="Calibri"/>
                <w:bCs/>
                <w:lang w:eastAsia="ja-JP"/>
              </w:rPr>
              <w:t>9,300</w:t>
            </w:r>
          </w:p>
        </w:tc>
        <w:tc>
          <w:tcPr>
            <w:tcW w:w="1089" w:type="dxa"/>
            <w:shd w:val="clear" w:color="auto" w:fill="F2F2F2"/>
            <w:noWrap/>
            <w:hideMark/>
          </w:tcPr>
          <w:p w14:paraId="0C87E858" w14:textId="77777777" w:rsidR="001A54E6" w:rsidRPr="00912996" w:rsidRDefault="001A54E6" w:rsidP="00394372">
            <w:pPr>
              <w:rPr>
                <w:rFonts w:ascii="Calibri" w:hAnsi="Calibri"/>
                <w:bCs/>
                <w:lang w:eastAsia="ja-JP"/>
              </w:rPr>
            </w:pPr>
            <w:r w:rsidRPr="00912996">
              <w:rPr>
                <w:rFonts w:ascii="Calibri" w:hAnsi="Calibri"/>
                <w:bCs/>
                <w:lang w:eastAsia="ja-JP"/>
              </w:rPr>
              <w:t>2021 - 2023</w:t>
            </w:r>
          </w:p>
        </w:tc>
        <w:tc>
          <w:tcPr>
            <w:tcW w:w="1881" w:type="dxa"/>
            <w:shd w:val="clear" w:color="auto" w:fill="F2F2F2"/>
            <w:hideMark/>
          </w:tcPr>
          <w:p w14:paraId="54E92155" w14:textId="77777777" w:rsidR="001A54E6" w:rsidRPr="00912996" w:rsidRDefault="001A54E6" w:rsidP="00394372">
            <w:pPr>
              <w:rPr>
                <w:rFonts w:ascii="Calibri" w:hAnsi="Calibri"/>
                <w:bCs/>
                <w:lang w:eastAsia="ja-JP"/>
              </w:rPr>
            </w:pPr>
            <w:r w:rsidRPr="00912996">
              <w:rPr>
                <w:rFonts w:ascii="Calibri" w:hAnsi="Calibri"/>
                <w:bCs/>
                <w:lang w:eastAsia="ja-JP"/>
              </w:rPr>
              <w:t>Parteneriat public - privat (PPP)</w:t>
            </w:r>
          </w:p>
        </w:tc>
        <w:tc>
          <w:tcPr>
            <w:tcW w:w="1260" w:type="dxa"/>
            <w:shd w:val="clear" w:color="auto" w:fill="F2F2F2"/>
            <w:hideMark/>
          </w:tcPr>
          <w:p w14:paraId="0EB08E8B"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2659186E" w14:textId="77777777" w:rsidR="001A54E6" w:rsidRPr="00912996" w:rsidRDefault="001A54E6" w:rsidP="00394372">
            <w:pPr>
              <w:rPr>
                <w:rFonts w:ascii="Calibri" w:hAnsi="Calibri"/>
                <w:bCs/>
                <w:lang w:eastAsia="ja-JP"/>
              </w:rPr>
            </w:pPr>
            <w:r w:rsidRPr="00912996">
              <w:rPr>
                <w:rFonts w:ascii="Calibri" w:hAnsi="Calibri"/>
                <w:bCs/>
                <w:lang w:eastAsia="ja-JP"/>
              </w:rPr>
              <w:t>DGVBL S2</w:t>
            </w:r>
          </w:p>
        </w:tc>
      </w:tr>
      <w:tr w:rsidR="00AC2FFA" w:rsidRPr="00912996" w14:paraId="5739B370" w14:textId="77777777" w:rsidTr="00394372">
        <w:trPr>
          <w:gridAfter w:val="9"/>
          <w:wAfter w:w="15421" w:type="dxa"/>
          <w:trHeight w:val="1452"/>
        </w:trPr>
        <w:tc>
          <w:tcPr>
            <w:tcW w:w="625" w:type="dxa"/>
            <w:shd w:val="clear" w:color="auto" w:fill="F2F2F2"/>
            <w:noWrap/>
          </w:tcPr>
          <w:p w14:paraId="165A4E79"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tcPr>
          <w:p w14:paraId="21812A76" w14:textId="77777777" w:rsidR="001A54E6" w:rsidRPr="00912996" w:rsidRDefault="001A54E6" w:rsidP="00394372">
            <w:pPr>
              <w:rPr>
                <w:rFonts w:ascii="Calibri" w:hAnsi="Calibri"/>
                <w:bCs/>
                <w:lang w:eastAsia="ja-JP"/>
              </w:rPr>
            </w:pPr>
            <w:r w:rsidRPr="00912996">
              <w:rPr>
                <w:rFonts w:ascii="Calibri" w:hAnsi="Calibri"/>
                <w:bCs/>
                <w:lang w:eastAsia="ja-JP"/>
              </w:rPr>
              <w:t>Amplasare stații de încărcare pentru vehicule electrice pe teritoriul sectorului 2, 42 stații</w:t>
            </w:r>
          </w:p>
        </w:tc>
        <w:tc>
          <w:tcPr>
            <w:tcW w:w="1530" w:type="dxa"/>
            <w:shd w:val="clear" w:color="auto" w:fill="F2F2F2"/>
          </w:tcPr>
          <w:p w14:paraId="7346B4A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7A8E3972" w14:textId="77777777" w:rsidR="001A54E6" w:rsidRPr="00912996" w:rsidRDefault="001A54E6" w:rsidP="00394372">
            <w:pPr>
              <w:rPr>
                <w:rFonts w:ascii="Calibri" w:hAnsi="Calibri"/>
                <w:bCs/>
                <w:lang w:eastAsia="ja-JP"/>
              </w:rPr>
            </w:pPr>
            <w:r w:rsidRPr="00912996">
              <w:rPr>
                <w:rFonts w:ascii="Calibri" w:hAnsi="Calibri"/>
                <w:bCs/>
                <w:lang w:eastAsia="ja-JP"/>
              </w:rPr>
              <w:t>Proiect aflat în evaluare</w:t>
            </w:r>
          </w:p>
        </w:tc>
        <w:tc>
          <w:tcPr>
            <w:tcW w:w="1260" w:type="dxa"/>
            <w:shd w:val="clear" w:color="auto" w:fill="F2F2F2"/>
            <w:noWrap/>
          </w:tcPr>
          <w:p w14:paraId="3D3EBA22" w14:textId="77777777" w:rsidR="001A54E6" w:rsidRPr="00912996" w:rsidRDefault="001A54E6" w:rsidP="00394372">
            <w:pPr>
              <w:rPr>
                <w:rFonts w:ascii="Calibri" w:hAnsi="Calibri"/>
                <w:bCs/>
                <w:lang w:eastAsia="ja-JP"/>
              </w:rPr>
            </w:pPr>
            <w:r w:rsidRPr="00912996">
              <w:rPr>
                <w:rFonts w:ascii="Calibri" w:hAnsi="Calibri"/>
                <w:bCs/>
                <w:lang w:eastAsia="ja-JP"/>
              </w:rPr>
              <w:t>18,731,005</w:t>
            </w:r>
          </w:p>
        </w:tc>
        <w:tc>
          <w:tcPr>
            <w:tcW w:w="1260" w:type="dxa"/>
            <w:shd w:val="clear" w:color="auto" w:fill="F2F2F2"/>
            <w:noWrap/>
          </w:tcPr>
          <w:p w14:paraId="2A777D99" w14:textId="77777777" w:rsidR="001A54E6" w:rsidRPr="00912996" w:rsidRDefault="001A54E6" w:rsidP="00394372">
            <w:pPr>
              <w:rPr>
                <w:rFonts w:ascii="Calibri" w:hAnsi="Calibri"/>
                <w:bCs/>
                <w:lang w:eastAsia="ja-JP"/>
              </w:rPr>
            </w:pPr>
            <w:r w:rsidRPr="00912996">
              <w:rPr>
                <w:rFonts w:ascii="Calibri" w:hAnsi="Calibri"/>
                <w:bCs/>
                <w:lang w:eastAsia="ja-JP"/>
              </w:rPr>
              <w:t>3,822,654</w:t>
            </w:r>
          </w:p>
          <w:p w14:paraId="451A28DA" w14:textId="77777777" w:rsidR="001A54E6" w:rsidRPr="00912996" w:rsidRDefault="001A54E6" w:rsidP="00394372">
            <w:pPr>
              <w:rPr>
                <w:rFonts w:ascii="Calibri" w:hAnsi="Calibri"/>
                <w:bCs/>
                <w:lang w:eastAsia="ja-JP"/>
              </w:rPr>
            </w:pPr>
          </w:p>
        </w:tc>
        <w:tc>
          <w:tcPr>
            <w:tcW w:w="1089" w:type="dxa"/>
            <w:shd w:val="clear" w:color="auto" w:fill="F2F2F2"/>
            <w:noWrap/>
          </w:tcPr>
          <w:p w14:paraId="179E1DF9" w14:textId="77777777" w:rsidR="001A54E6" w:rsidRPr="0091299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tcPr>
          <w:p w14:paraId="27F086B7" w14:textId="77777777" w:rsidR="001A54E6" w:rsidRPr="00912996" w:rsidRDefault="001A54E6" w:rsidP="00394372">
            <w:pPr>
              <w:rPr>
                <w:rFonts w:ascii="Calibri" w:hAnsi="Calibri"/>
                <w:bCs/>
                <w:lang w:eastAsia="ja-JP"/>
              </w:rPr>
            </w:pPr>
            <w:r w:rsidRPr="00912996">
              <w:rPr>
                <w:rFonts w:ascii="Calibri" w:hAnsi="Calibri"/>
                <w:bCs/>
                <w:lang w:eastAsia="ja-JP"/>
              </w:rPr>
              <w:t>AFM</w:t>
            </w:r>
          </w:p>
        </w:tc>
        <w:tc>
          <w:tcPr>
            <w:tcW w:w="1260" w:type="dxa"/>
            <w:shd w:val="clear" w:color="auto" w:fill="F2F2F2"/>
          </w:tcPr>
          <w:p w14:paraId="516CE93B"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5A3C529A"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21EE95E4" w14:textId="77777777" w:rsidTr="00394372">
        <w:trPr>
          <w:gridAfter w:val="9"/>
          <w:wAfter w:w="15421" w:type="dxa"/>
          <w:trHeight w:val="1263"/>
        </w:trPr>
        <w:tc>
          <w:tcPr>
            <w:tcW w:w="625" w:type="dxa"/>
            <w:shd w:val="clear" w:color="auto" w:fill="F2F2F2"/>
            <w:noWrap/>
          </w:tcPr>
          <w:p w14:paraId="5BA5B331" w14:textId="77777777" w:rsidR="001A54E6" w:rsidRPr="00912996" w:rsidRDefault="001A54E6" w:rsidP="00394372">
            <w:pPr>
              <w:rPr>
                <w:rFonts w:ascii="Calibri" w:hAnsi="Calibri"/>
                <w:bCs/>
                <w:lang w:eastAsia="ja-JP"/>
              </w:rPr>
            </w:pPr>
            <w:r>
              <w:rPr>
                <w:rFonts w:ascii="Calibri" w:hAnsi="Calibri"/>
                <w:bCs/>
                <w:lang w:eastAsia="ja-JP"/>
              </w:rPr>
              <w:t>4</w:t>
            </w:r>
          </w:p>
        </w:tc>
        <w:tc>
          <w:tcPr>
            <w:tcW w:w="2250" w:type="dxa"/>
            <w:shd w:val="clear" w:color="auto" w:fill="F2F2F2"/>
          </w:tcPr>
          <w:p w14:paraId="7ED84107" w14:textId="77777777" w:rsidR="001A54E6" w:rsidRPr="00912996" w:rsidRDefault="001A54E6" w:rsidP="00394372">
            <w:pPr>
              <w:rPr>
                <w:rFonts w:ascii="Calibri" w:hAnsi="Calibri"/>
                <w:bCs/>
                <w:lang w:eastAsia="ja-JP"/>
              </w:rPr>
            </w:pPr>
            <w:r w:rsidRPr="007B6C72">
              <w:rPr>
                <w:rFonts w:ascii="Calibri" w:hAnsi="Calibri"/>
                <w:bCs/>
                <w:lang w:eastAsia="ja-JP"/>
              </w:rPr>
              <w:t>Sistem de stații de reîncărcare la nivelul Sectorului 2  (infrastructura verde)</w:t>
            </w:r>
          </w:p>
        </w:tc>
        <w:tc>
          <w:tcPr>
            <w:tcW w:w="1530" w:type="dxa"/>
            <w:shd w:val="clear" w:color="auto" w:fill="F2F2F2"/>
          </w:tcPr>
          <w:p w14:paraId="4943AEC4"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44946D8B" w14:textId="75292CC3" w:rsidR="001A54E6" w:rsidRPr="00912996" w:rsidRDefault="0093139E" w:rsidP="00394372">
            <w:pPr>
              <w:rPr>
                <w:rFonts w:ascii="Calibri" w:hAnsi="Calibri"/>
                <w:bCs/>
                <w:lang w:eastAsia="ja-JP"/>
              </w:rPr>
            </w:pPr>
            <w:r>
              <w:rPr>
                <w:rFonts w:ascii="Calibri" w:hAnsi="Calibri"/>
                <w:bCs/>
                <w:lang w:eastAsia="ja-JP"/>
              </w:rPr>
              <w:t>I</w:t>
            </w:r>
            <w:r w:rsidR="001A54E6">
              <w:rPr>
                <w:rFonts w:ascii="Calibri" w:hAnsi="Calibri"/>
                <w:bCs/>
                <w:lang w:eastAsia="ja-JP"/>
              </w:rPr>
              <w:t>dee</w:t>
            </w:r>
          </w:p>
        </w:tc>
        <w:tc>
          <w:tcPr>
            <w:tcW w:w="1260" w:type="dxa"/>
            <w:shd w:val="clear" w:color="auto" w:fill="F2F2F2"/>
            <w:noWrap/>
          </w:tcPr>
          <w:p w14:paraId="0D3B4D42"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tcPr>
          <w:p w14:paraId="370F95B3"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tcPr>
          <w:p w14:paraId="6BEEBAC2" w14:textId="77777777" w:rsidR="001A54E6" w:rsidRDefault="001A54E6" w:rsidP="00394372">
            <w:pPr>
              <w:rPr>
                <w:rFonts w:ascii="Calibri" w:hAnsi="Calibri"/>
                <w:bCs/>
                <w:lang w:eastAsia="ja-JP"/>
              </w:rPr>
            </w:pPr>
            <w:r>
              <w:rPr>
                <w:rFonts w:ascii="Calibri" w:hAnsi="Calibri"/>
                <w:bCs/>
                <w:lang w:eastAsia="ja-JP"/>
              </w:rPr>
              <w:t>N/A</w:t>
            </w:r>
          </w:p>
        </w:tc>
        <w:tc>
          <w:tcPr>
            <w:tcW w:w="1881" w:type="dxa"/>
            <w:shd w:val="clear" w:color="auto" w:fill="F2F2F2"/>
          </w:tcPr>
          <w:p w14:paraId="407F904C" w14:textId="77777777" w:rsidR="001A54E6" w:rsidRPr="00912996" w:rsidRDefault="001A54E6" w:rsidP="00394372">
            <w:pPr>
              <w:rPr>
                <w:rFonts w:ascii="Calibri" w:hAnsi="Calibri"/>
                <w:bCs/>
                <w:lang w:eastAsia="ja-JP"/>
              </w:rPr>
            </w:pPr>
            <w:r w:rsidRPr="00912996">
              <w:rPr>
                <w:rFonts w:ascii="Calibri" w:hAnsi="Calibri"/>
                <w:bCs/>
                <w:lang w:eastAsia="ja-JP"/>
              </w:rPr>
              <w:t>PNRR C10, Buget local, Alte surse de finanțare</w:t>
            </w:r>
          </w:p>
        </w:tc>
        <w:tc>
          <w:tcPr>
            <w:tcW w:w="1260" w:type="dxa"/>
            <w:shd w:val="clear" w:color="auto" w:fill="F2F2F2"/>
          </w:tcPr>
          <w:p w14:paraId="78CF9C22"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4FA5AD1A"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1A54E6" w:rsidRPr="00912996" w14:paraId="6341C6B0" w14:textId="77777777" w:rsidTr="00AC2FFA">
        <w:trPr>
          <w:gridAfter w:val="9"/>
          <w:wAfter w:w="15421" w:type="dxa"/>
          <w:trHeight w:val="276"/>
        </w:trPr>
        <w:tc>
          <w:tcPr>
            <w:tcW w:w="14215" w:type="dxa"/>
            <w:gridSpan w:val="10"/>
            <w:shd w:val="clear" w:color="auto" w:fill="BBD9A0"/>
            <w:noWrap/>
            <w:hideMark/>
          </w:tcPr>
          <w:p w14:paraId="58F8FE54" w14:textId="77777777" w:rsidR="001A54E6" w:rsidRPr="00912996" w:rsidRDefault="001A54E6" w:rsidP="00394372">
            <w:pPr>
              <w:jc w:val="center"/>
              <w:rPr>
                <w:rFonts w:ascii="Calibri" w:hAnsi="Calibri"/>
                <w:b/>
                <w:bCs/>
                <w:color w:val="FFFFFF"/>
                <w:lang w:eastAsia="ja-JP"/>
              </w:rPr>
            </w:pPr>
            <w:r w:rsidRPr="00912996">
              <w:rPr>
                <w:rFonts w:ascii="Calibri" w:hAnsi="Calibri"/>
                <w:b/>
                <w:bCs/>
                <w:color w:val="FFFFFF"/>
                <w:lang w:eastAsia="ja-JP"/>
              </w:rPr>
              <w:t>D3.4.6 Creșterea atractivității și performanței sistemului de transport public (PMB)</w:t>
            </w:r>
          </w:p>
        </w:tc>
      </w:tr>
      <w:tr w:rsidR="00AC2FFA" w:rsidRPr="00912996" w14:paraId="4D9764C6" w14:textId="77777777" w:rsidTr="00E2442E">
        <w:trPr>
          <w:gridAfter w:val="9"/>
          <w:wAfter w:w="15421" w:type="dxa"/>
          <w:trHeight w:val="804"/>
        </w:trPr>
        <w:tc>
          <w:tcPr>
            <w:tcW w:w="625" w:type="dxa"/>
            <w:shd w:val="clear" w:color="auto" w:fill="F2F2F2"/>
            <w:noWrap/>
            <w:hideMark/>
          </w:tcPr>
          <w:p w14:paraId="6D703689"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04E9157E" w14:textId="77777777" w:rsidR="001A54E6" w:rsidRPr="00912996" w:rsidRDefault="001A54E6" w:rsidP="00394372">
            <w:pPr>
              <w:rPr>
                <w:rFonts w:ascii="Calibri" w:hAnsi="Calibri"/>
                <w:bCs/>
                <w:lang w:eastAsia="ja-JP"/>
              </w:rPr>
            </w:pPr>
            <w:r w:rsidRPr="00912996">
              <w:rPr>
                <w:rFonts w:ascii="Calibri" w:hAnsi="Calibri"/>
                <w:bCs/>
                <w:lang w:eastAsia="ja-JP"/>
              </w:rPr>
              <w:t>Centru de Control al Traficului Urban și Semnalizarea Regimului de Prioritate în Intersecții</w:t>
            </w:r>
          </w:p>
        </w:tc>
        <w:tc>
          <w:tcPr>
            <w:tcW w:w="1530" w:type="dxa"/>
            <w:shd w:val="clear" w:color="auto" w:fill="F2F2F2"/>
            <w:hideMark/>
          </w:tcPr>
          <w:p w14:paraId="7CEA2FA7" w14:textId="77777777" w:rsidR="001A54E6" w:rsidRPr="00912996" w:rsidRDefault="001A54E6" w:rsidP="00394372">
            <w:pPr>
              <w:rPr>
                <w:rFonts w:ascii="Calibri" w:hAnsi="Calibri"/>
                <w:bCs/>
                <w:lang w:eastAsia="ja-JP"/>
              </w:rPr>
            </w:pPr>
            <w:r w:rsidRPr="00912996">
              <w:rPr>
                <w:rFonts w:ascii="Calibri" w:hAnsi="Calibri"/>
                <w:bCs/>
                <w:lang w:eastAsia="ja-JP"/>
              </w:rPr>
              <w:t>PMB</w:t>
            </w:r>
          </w:p>
        </w:tc>
        <w:tc>
          <w:tcPr>
            <w:tcW w:w="1620" w:type="dxa"/>
            <w:shd w:val="clear" w:color="auto" w:fill="F2F2F2"/>
            <w:noWrap/>
            <w:hideMark/>
          </w:tcPr>
          <w:p w14:paraId="3F33124E" w14:textId="77777777" w:rsidR="001A54E6" w:rsidRPr="00912996" w:rsidRDefault="001A54E6" w:rsidP="00394372">
            <w:pPr>
              <w:rPr>
                <w:rFonts w:ascii="Calibri" w:hAnsi="Calibri"/>
                <w:bCs/>
                <w:lang w:eastAsia="ja-JP"/>
              </w:rPr>
            </w:pPr>
            <w:r w:rsidRPr="00912996">
              <w:rPr>
                <w:rFonts w:ascii="Calibri" w:hAnsi="Calibri"/>
                <w:bCs/>
                <w:lang w:eastAsia="ja-JP"/>
              </w:rPr>
              <w:t>Cf. PMUD</w:t>
            </w:r>
          </w:p>
        </w:tc>
        <w:tc>
          <w:tcPr>
            <w:tcW w:w="1260" w:type="dxa"/>
            <w:shd w:val="clear" w:color="auto" w:fill="F2F2F2"/>
            <w:noWrap/>
            <w:hideMark/>
          </w:tcPr>
          <w:p w14:paraId="2551FEE6" w14:textId="77777777" w:rsidR="001A54E6" w:rsidRPr="00912996" w:rsidRDefault="001A54E6" w:rsidP="00394372">
            <w:pPr>
              <w:rPr>
                <w:rFonts w:ascii="Calibri" w:hAnsi="Calibri"/>
                <w:bCs/>
                <w:lang w:eastAsia="ja-JP"/>
              </w:rPr>
            </w:pPr>
            <w:r w:rsidRPr="00912996">
              <w:rPr>
                <w:rFonts w:ascii="Calibri" w:hAnsi="Calibri"/>
                <w:bCs/>
                <w:lang w:eastAsia="ja-JP"/>
              </w:rPr>
              <w:t>171,500,000</w:t>
            </w:r>
          </w:p>
        </w:tc>
        <w:tc>
          <w:tcPr>
            <w:tcW w:w="1260" w:type="dxa"/>
            <w:shd w:val="clear" w:color="auto" w:fill="F2F2F2"/>
            <w:noWrap/>
            <w:hideMark/>
          </w:tcPr>
          <w:p w14:paraId="55AC78BF" w14:textId="77777777" w:rsidR="001A54E6" w:rsidRPr="00912996" w:rsidRDefault="001A54E6" w:rsidP="00394372">
            <w:pPr>
              <w:rPr>
                <w:rFonts w:ascii="Calibri" w:hAnsi="Calibri"/>
                <w:bCs/>
                <w:lang w:eastAsia="ja-JP"/>
              </w:rPr>
            </w:pPr>
            <w:r w:rsidRPr="00912996">
              <w:rPr>
                <w:rFonts w:ascii="Calibri" w:hAnsi="Calibri"/>
                <w:bCs/>
                <w:lang w:eastAsia="ja-JP"/>
              </w:rPr>
              <w:t>35,000,000</w:t>
            </w:r>
          </w:p>
        </w:tc>
        <w:tc>
          <w:tcPr>
            <w:tcW w:w="1089" w:type="dxa"/>
            <w:shd w:val="clear" w:color="auto" w:fill="F2F2F2"/>
            <w:noWrap/>
            <w:hideMark/>
          </w:tcPr>
          <w:p w14:paraId="54A12442" w14:textId="77777777" w:rsidR="001A54E6" w:rsidRPr="00912996" w:rsidRDefault="001A54E6" w:rsidP="00394372">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-2020</w:t>
            </w:r>
          </w:p>
        </w:tc>
        <w:tc>
          <w:tcPr>
            <w:tcW w:w="1881" w:type="dxa"/>
            <w:shd w:val="clear" w:color="auto" w:fill="F2F2F2"/>
            <w:hideMark/>
          </w:tcPr>
          <w:p w14:paraId="44F8CEE5" w14:textId="77777777" w:rsidR="001A54E6" w:rsidRPr="00912996" w:rsidRDefault="001A54E6" w:rsidP="00394372">
            <w:pPr>
              <w:rPr>
                <w:rFonts w:ascii="Calibri" w:hAnsi="Calibri"/>
                <w:bCs/>
                <w:lang w:eastAsia="ja-JP"/>
              </w:rPr>
            </w:pPr>
            <w:r w:rsidRPr="00912996">
              <w:rPr>
                <w:rFonts w:ascii="Calibri" w:hAnsi="Calibri"/>
                <w:bCs/>
                <w:lang w:eastAsia="ja-JP"/>
              </w:rPr>
              <w:t>Buget PMB, POR BI 2021 - 2027 P 4, Alte surse de finanțare</w:t>
            </w:r>
          </w:p>
        </w:tc>
        <w:tc>
          <w:tcPr>
            <w:tcW w:w="1260" w:type="dxa"/>
            <w:shd w:val="clear" w:color="auto" w:fill="F2F2F2"/>
            <w:hideMark/>
          </w:tcPr>
          <w:p w14:paraId="1825F5A5"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34D753D" w14:textId="77777777" w:rsidR="001A54E6" w:rsidRPr="00912996" w:rsidRDefault="001A54E6" w:rsidP="00394372">
            <w:pPr>
              <w:rPr>
                <w:rFonts w:ascii="Calibri" w:hAnsi="Calibri"/>
                <w:bCs/>
                <w:lang w:eastAsia="ja-JP"/>
              </w:rPr>
            </w:pPr>
            <w:r w:rsidRPr="00912996">
              <w:rPr>
                <w:rFonts w:ascii="Calibri" w:hAnsi="Calibri"/>
                <w:bCs/>
                <w:lang w:eastAsia="ja-JP"/>
              </w:rPr>
              <w:t>PMUD-BI</w:t>
            </w:r>
          </w:p>
        </w:tc>
      </w:tr>
      <w:tr w:rsidR="00AC2FFA" w:rsidRPr="00912996" w14:paraId="238B5A50" w14:textId="77777777" w:rsidTr="00E2442E">
        <w:trPr>
          <w:gridAfter w:val="9"/>
          <w:wAfter w:w="15421" w:type="dxa"/>
          <w:trHeight w:val="620"/>
        </w:trPr>
        <w:tc>
          <w:tcPr>
            <w:tcW w:w="625" w:type="dxa"/>
            <w:shd w:val="clear" w:color="auto" w:fill="F2F2F2"/>
            <w:noWrap/>
            <w:hideMark/>
          </w:tcPr>
          <w:p w14:paraId="4401E1F0"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17459526" w14:textId="77777777" w:rsidR="001A54E6" w:rsidRPr="00912996" w:rsidRDefault="001A54E6" w:rsidP="00394372">
            <w:pPr>
              <w:rPr>
                <w:rFonts w:ascii="Calibri" w:hAnsi="Calibri"/>
                <w:bCs/>
                <w:lang w:eastAsia="ja-JP"/>
              </w:rPr>
            </w:pPr>
            <w:r w:rsidRPr="00912996">
              <w:rPr>
                <w:rFonts w:ascii="Calibri" w:hAnsi="Calibri"/>
                <w:bCs/>
                <w:lang w:eastAsia="ja-JP"/>
              </w:rPr>
              <w:t>Benzi de circulație cu prioritate pentru transportul public (cod PMUD C-9)</w:t>
            </w:r>
            <w:r w:rsidRPr="00912996">
              <w:rPr>
                <w:rFonts w:ascii="Calibri" w:hAnsi="Calibri"/>
                <w:bCs/>
                <w:lang w:eastAsia="ja-JP"/>
              </w:rPr>
              <w:br/>
              <w:t>Piața Universității - Bulevardul Carol I, 1 km</w:t>
            </w:r>
            <w:r w:rsidRPr="00912996">
              <w:rPr>
                <w:rFonts w:ascii="Calibri" w:hAnsi="Calibri"/>
                <w:bCs/>
                <w:lang w:eastAsia="ja-JP"/>
              </w:rPr>
              <w:br/>
              <w:t>Bulevardul Dacia – Mihai Eminescu (sens unic Vest-Est), 1,5 km</w:t>
            </w:r>
          </w:p>
        </w:tc>
        <w:tc>
          <w:tcPr>
            <w:tcW w:w="1530" w:type="dxa"/>
            <w:shd w:val="clear" w:color="auto" w:fill="F2F2F2"/>
            <w:hideMark/>
          </w:tcPr>
          <w:p w14:paraId="637787ED" w14:textId="77777777" w:rsidR="001A54E6" w:rsidRPr="00912996" w:rsidRDefault="001A54E6" w:rsidP="00394372">
            <w:pPr>
              <w:rPr>
                <w:rFonts w:ascii="Calibri" w:hAnsi="Calibri"/>
                <w:bCs/>
                <w:lang w:eastAsia="ja-JP"/>
              </w:rPr>
            </w:pPr>
            <w:r w:rsidRPr="00912996">
              <w:rPr>
                <w:rFonts w:ascii="Calibri" w:hAnsi="Calibri"/>
                <w:bCs/>
                <w:lang w:eastAsia="ja-JP"/>
              </w:rPr>
              <w:t>Transport Public București-Ilfov, PMB, Primăriile de sector</w:t>
            </w:r>
          </w:p>
        </w:tc>
        <w:tc>
          <w:tcPr>
            <w:tcW w:w="1620" w:type="dxa"/>
            <w:shd w:val="clear" w:color="auto" w:fill="F2F2F2"/>
            <w:noWrap/>
            <w:hideMark/>
          </w:tcPr>
          <w:p w14:paraId="7BA686F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E953D00" w14:textId="77777777" w:rsidR="001A54E6" w:rsidRPr="00912996" w:rsidRDefault="001A54E6" w:rsidP="00394372">
            <w:pPr>
              <w:rPr>
                <w:rFonts w:ascii="Calibri" w:hAnsi="Calibri"/>
                <w:bCs/>
                <w:lang w:eastAsia="ja-JP"/>
              </w:rPr>
            </w:pPr>
            <w:r w:rsidRPr="00912996">
              <w:rPr>
                <w:rFonts w:ascii="Calibri" w:hAnsi="Calibri"/>
                <w:bCs/>
                <w:lang w:eastAsia="ja-JP"/>
              </w:rPr>
              <w:t>73,500,000</w:t>
            </w:r>
          </w:p>
        </w:tc>
        <w:tc>
          <w:tcPr>
            <w:tcW w:w="1260" w:type="dxa"/>
            <w:shd w:val="clear" w:color="auto" w:fill="F2F2F2"/>
            <w:noWrap/>
            <w:hideMark/>
          </w:tcPr>
          <w:p w14:paraId="7E51FF8A" w14:textId="77777777" w:rsidR="001A54E6" w:rsidRPr="00912996" w:rsidRDefault="001A54E6" w:rsidP="00394372">
            <w:pPr>
              <w:rPr>
                <w:rFonts w:ascii="Calibri" w:hAnsi="Calibri"/>
                <w:bCs/>
                <w:lang w:eastAsia="ja-JP"/>
              </w:rPr>
            </w:pPr>
            <w:r w:rsidRPr="00912996">
              <w:rPr>
                <w:rFonts w:ascii="Calibri" w:hAnsi="Calibri"/>
                <w:bCs/>
                <w:lang w:eastAsia="ja-JP"/>
              </w:rPr>
              <w:t>15,000,000</w:t>
            </w:r>
          </w:p>
        </w:tc>
        <w:tc>
          <w:tcPr>
            <w:tcW w:w="1089" w:type="dxa"/>
            <w:shd w:val="clear" w:color="auto" w:fill="F2F2F2"/>
            <w:noWrap/>
            <w:hideMark/>
          </w:tcPr>
          <w:p w14:paraId="2AC54978"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6DA04FA4" w14:textId="77777777" w:rsidR="001A54E6" w:rsidRPr="00912996" w:rsidRDefault="001A54E6" w:rsidP="00394372">
            <w:pPr>
              <w:rPr>
                <w:rFonts w:ascii="Calibri" w:hAnsi="Calibri"/>
                <w:bCs/>
                <w:lang w:eastAsia="ja-JP"/>
              </w:rPr>
            </w:pPr>
            <w:r w:rsidRPr="00912996">
              <w:rPr>
                <w:rFonts w:ascii="Calibri" w:hAnsi="Calibri"/>
                <w:bCs/>
                <w:lang w:eastAsia="ja-JP"/>
              </w:rPr>
              <w:t>Bugetul local, POR BI 2021 - 2027 P 4, Alte surse de finanțare</w:t>
            </w:r>
          </w:p>
        </w:tc>
        <w:tc>
          <w:tcPr>
            <w:tcW w:w="1260" w:type="dxa"/>
            <w:shd w:val="clear" w:color="auto" w:fill="F2F2F2"/>
            <w:hideMark/>
          </w:tcPr>
          <w:p w14:paraId="3A1C389F"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67B4F0EB"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1C058BE7" w14:textId="77777777" w:rsidTr="00E2442E">
        <w:trPr>
          <w:gridAfter w:val="9"/>
          <w:wAfter w:w="15421" w:type="dxa"/>
          <w:trHeight w:val="945"/>
        </w:trPr>
        <w:tc>
          <w:tcPr>
            <w:tcW w:w="625" w:type="dxa"/>
            <w:shd w:val="clear" w:color="auto" w:fill="F2F2F2"/>
            <w:noWrap/>
            <w:hideMark/>
          </w:tcPr>
          <w:p w14:paraId="34147AF7"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10BE2FA6" w14:textId="77777777" w:rsidR="001A54E6" w:rsidRPr="00912996" w:rsidRDefault="001A54E6" w:rsidP="00394372">
            <w:pPr>
              <w:rPr>
                <w:rFonts w:ascii="Calibri" w:hAnsi="Calibri"/>
                <w:bCs/>
                <w:lang w:eastAsia="ja-JP"/>
              </w:rPr>
            </w:pPr>
            <w:r w:rsidRPr="00912996">
              <w:rPr>
                <w:rFonts w:ascii="Calibri" w:hAnsi="Calibri"/>
                <w:bCs/>
                <w:lang w:eastAsia="ja-JP"/>
              </w:rPr>
              <w:t>Achiziționare autobuze electrice necesare îmbunătățirii transportului public de călători pe traseele 300, 330 și 335 Achiziționare 25 buc. autobuze electrice clasa 12m</w:t>
            </w:r>
          </w:p>
        </w:tc>
        <w:tc>
          <w:tcPr>
            <w:tcW w:w="1530" w:type="dxa"/>
            <w:shd w:val="clear" w:color="auto" w:fill="F2F2F2"/>
            <w:hideMark/>
          </w:tcPr>
          <w:p w14:paraId="6B36A594" w14:textId="77777777" w:rsidR="001A54E6" w:rsidRPr="00912996" w:rsidRDefault="001A54E6" w:rsidP="00394372">
            <w:pPr>
              <w:rPr>
                <w:rFonts w:ascii="Calibri" w:hAnsi="Calibri"/>
                <w:bCs/>
                <w:lang w:eastAsia="ja-JP"/>
              </w:rPr>
            </w:pPr>
            <w:r w:rsidRPr="00912996">
              <w:rPr>
                <w:rFonts w:ascii="Calibri" w:hAnsi="Calibri"/>
                <w:bCs/>
                <w:lang w:eastAsia="ja-JP"/>
              </w:rPr>
              <w:t>PMB - STB, Primăriile de sector</w:t>
            </w:r>
          </w:p>
        </w:tc>
        <w:tc>
          <w:tcPr>
            <w:tcW w:w="1620" w:type="dxa"/>
            <w:shd w:val="clear" w:color="auto" w:fill="F2F2F2"/>
            <w:noWrap/>
            <w:hideMark/>
          </w:tcPr>
          <w:p w14:paraId="2A7B1A66"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4FB089CE" w14:textId="77777777" w:rsidR="001A54E6" w:rsidRPr="00912996" w:rsidRDefault="001A54E6" w:rsidP="00394372">
            <w:pPr>
              <w:rPr>
                <w:rFonts w:ascii="Calibri" w:hAnsi="Calibri"/>
                <w:bCs/>
                <w:lang w:eastAsia="ja-JP"/>
              </w:rPr>
            </w:pPr>
            <w:r w:rsidRPr="00912996">
              <w:rPr>
                <w:rFonts w:ascii="Calibri" w:hAnsi="Calibri"/>
                <w:bCs/>
                <w:lang w:eastAsia="ja-JP"/>
              </w:rPr>
              <w:t>65,864,217</w:t>
            </w:r>
          </w:p>
        </w:tc>
        <w:tc>
          <w:tcPr>
            <w:tcW w:w="1260" w:type="dxa"/>
            <w:shd w:val="clear" w:color="auto" w:fill="F2F2F2"/>
            <w:noWrap/>
            <w:hideMark/>
          </w:tcPr>
          <w:p w14:paraId="42A37A01" w14:textId="77777777" w:rsidR="001A54E6" w:rsidRPr="00912996" w:rsidRDefault="001A54E6" w:rsidP="00394372">
            <w:pPr>
              <w:rPr>
                <w:rFonts w:ascii="Calibri" w:hAnsi="Calibri"/>
                <w:bCs/>
                <w:lang w:eastAsia="ja-JP"/>
              </w:rPr>
            </w:pPr>
            <w:r w:rsidRPr="00912996">
              <w:rPr>
                <w:rFonts w:ascii="Calibri" w:hAnsi="Calibri"/>
                <w:bCs/>
                <w:lang w:eastAsia="ja-JP"/>
              </w:rPr>
              <w:t>13,441,677</w:t>
            </w:r>
          </w:p>
        </w:tc>
        <w:tc>
          <w:tcPr>
            <w:tcW w:w="1089" w:type="dxa"/>
            <w:shd w:val="clear" w:color="auto" w:fill="F2F2F2"/>
            <w:noWrap/>
            <w:hideMark/>
          </w:tcPr>
          <w:p w14:paraId="148C4DDC" w14:textId="77777777" w:rsidR="001A54E6" w:rsidRPr="00912996" w:rsidRDefault="001A54E6" w:rsidP="00394372">
            <w:pPr>
              <w:rPr>
                <w:rFonts w:ascii="Calibri" w:hAnsi="Calibri"/>
                <w:bCs/>
                <w:lang w:eastAsia="ja-JP"/>
              </w:rPr>
            </w:pPr>
            <w:r w:rsidRPr="00912996">
              <w:rPr>
                <w:rFonts w:ascii="Calibri" w:hAnsi="Calibri"/>
                <w:bCs/>
                <w:lang w:eastAsia="ja-JP"/>
              </w:rPr>
              <w:t>2023</w:t>
            </w:r>
          </w:p>
        </w:tc>
        <w:tc>
          <w:tcPr>
            <w:tcW w:w="1881" w:type="dxa"/>
            <w:shd w:val="clear" w:color="auto" w:fill="F2F2F2"/>
            <w:hideMark/>
          </w:tcPr>
          <w:p w14:paraId="6593AE10" w14:textId="77777777" w:rsidR="001A54E6" w:rsidRPr="00912996" w:rsidRDefault="001A54E6" w:rsidP="00394372">
            <w:pPr>
              <w:rPr>
                <w:rFonts w:ascii="Calibri" w:hAnsi="Calibri"/>
                <w:bCs/>
                <w:lang w:eastAsia="ja-JP"/>
              </w:rPr>
            </w:pPr>
            <w:r w:rsidRPr="00912996">
              <w:rPr>
                <w:rFonts w:ascii="Calibri" w:hAnsi="Calibri"/>
                <w:bCs/>
                <w:lang w:eastAsia="ja-JP"/>
              </w:rPr>
              <w:t>Bugetul local, POR BI 2021 - 2027 P 4, Alte surse de finanțare</w:t>
            </w:r>
          </w:p>
        </w:tc>
        <w:tc>
          <w:tcPr>
            <w:tcW w:w="1260" w:type="dxa"/>
            <w:shd w:val="clear" w:color="auto" w:fill="F2F2F2"/>
            <w:hideMark/>
          </w:tcPr>
          <w:p w14:paraId="6D897E0B"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4EB54ADB"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508D1ABF" w14:textId="77777777" w:rsidTr="00E2442E">
        <w:trPr>
          <w:gridAfter w:val="9"/>
          <w:wAfter w:w="15421" w:type="dxa"/>
          <w:trHeight w:val="804"/>
        </w:trPr>
        <w:tc>
          <w:tcPr>
            <w:tcW w:w="625" w:type="dxa"/>
            <w:shd w:val="clear" w:color="auto" w:fill="F2F2F2"/>
            <w:noWrap/>
            <w:hideMark/>
          </w:tcPr>
          <w:p w14:paraId="1BD4D651"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4F2E9A25" w14:textId="77777777" w:rsidR="001A54E6" w:rsidRPr="00912996" w:rsidRDefault="001A54E6" w:rsidP="00394372">
            <w:pPr>
              <w:rPr>
                <w:rFonts w:ascii="Calibri" w:hAnsi="Calibri"/>
                <w:bCs/>
                <w:lang w:eastAsia="ja-JP"/>
              </w:rPr>
            </w:pPr>
            <w:r w:rsidRPr="00912996">
              <w:rPr>
                <w:rFonts w:ascii="Calibri" w:hAnsi="Calibri"/>
                <w:bCs/>
                <w:lang w:eastAsia="ja-JP"/>
              </w:rPr>
              <w:t>Extinderea infrastructurii de tramvai in București (Extinderea cu peste 10 km a liniilor de tramvai urban)</w:t>
            </w:r>
          </w:p>
        </w:tc>
        <w:tc>
          <w:tcPr>
            <w:tcW w:w="1530" w:type="dxa"/>
            <w:shd w:val="clear" w:color="auto" w:fill="F2F2F2"/>
            <w:hideMark/>
          </w:tcPr>
          <w:p w14:paraId="49DC6A89"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27EFF598" w14:textId="77777777" w:rsidR="001A54E6" w:rsidRPr="00912996" w:rsidRDefault="001A54E6" w:rsidP="00394372">
            <w:pPr>
              <w:rPr>
                <w:rFonts w:ascii="Calibri" w:hAnsi="Calibri"/>
                <w:bCs/>
                <w:lang w:eastAsia="ja-JP"/>
              </w:rPr>
            </w:pPr>
            <w:r w:rsidRPr="00912996">
              <w:rPr>
                <w:rFonts w:ascii="Calibri" w:hAnsi="Calibri"/>
                <w:bCs/>
                <w:lang w:eastAsia="ja-JP"/>
              </w:rPr>
              <w:t>Elaborare SF</w:t>
            </w:r>
          </w:p>
        </w:tc>
        <w:tc>
          <w:tcPr>
            <w:tcW w:w="1260" w:type="dxa"/>
            <w:shd w:val="clear" w:color="auto" w:fill="F2F2F2"/>
            <w:noWrap/>
            <w:hideMark/>
          </w:tcPr>
          <w:p w14:paraId="3BAD8A4E" w14:textId="77777777" w:rsidR="001A54E6" w:rsidRPr="00912996" w:rsidRDefault="001A54E6" w:rsidP="00394372">
            <w:pPr>
              <w:rPr>
                <w:rFonts w:ascii="Calibri" w:hAnsi="Calibri"/>
                <w:bCs/>
                <w:lang w:eastAsia="ja-JP"/>
              </w:rPr>
            </w:pPr>
            <w:r w:rsidRPr="00912996">
              <w:rPr>
                <w:rFonts w:ascii="Calibri" w:hAnsi="Calibri"/>
                <w:bCs/>
                <w:lang w:eastAsia="ja-JP"/>
              </w:rPr>
              <w:t>735,000,000</w:t>
            </w:r>
          </w:p>
        </w:tc>
        <w:tc>
          <w:tcPr>
            <w:tcW w:w="1260" w:type="dxa"/>
            <w:shd w:val="clear" w:color="auto" w:fill="F2F2F2"/>
            <w:noWrap/>
            <w:hideMark/>
          </w:tcPr>
          <w:p w14:paraId="0B9FB41F" w14:textId="77777777" w:rsidR="001A54E6" w:rsidRPr="00912996" w:rsidRDefault="001A54E6" w:rsidP="00394372">
            <w:pPr>
              <w:rPr>
                <w:rFonts w:ascii="Calibri" w:hAnsi="Calibri"/>
                <w:bCs/>
                <w:lang w:eastAsia="ja-JP"/>
              </w:rPr>
            </w:pPr>
            <w:r w:rsidRPr="00912996">
              <w:rPr>
                <w:rFonts w:ascii="Calibri" w:hAnsi="Calibri"/>
                <w:bCs/>
                <w:lang w:eastAsia="ja-JP"/>
              </w:rPr>
              <w:t>150,000,000</w:t>
            </w:r>
          </w:p>
        </w:tc>
        <w:tc>
          <w:tcPr>
            <w:tcW w:w="1089" w:type="dxa"/>
            <w:shd w:val="clear" w:color="auto" w:fill="F2F2F2"/>
            <w:noWrap/>
            <w:hideMark/>
          </w:tcPr>
          <w:p w14:paraId="08CDBE51"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-2026</w:t>
            </w:r>
          </w:p>
        </w:tc>
        <w:tc>
          <w:tcPr>
            <w:tcW w:w="1881" w:type="dxa"/>
            <w:shd w:val="clear" w:color="auto" w:fill="F2F2F2"/>
            <w:hideMark/>
          </w:tcPr>
          <w:p w14:paraId="580ACD9D"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317EF5F9"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6EAF278C" w14:textId="77777777" w:rsidR="001A54E6" w:rsidRPr="00912996" w:rsidRDefault="001A54E6" w:rsidP="00394372">
            <w:pPr>
              <w:rPr>
                <w:rFonts w:ascii="Calibri" w:hAnsi="Calibri"/>
                <w:bCs/>
                <w:lang w:eastAsia="ja-JP"/>
              </w:rPr>
            </w:pPr>
            <w:r w:rsidRPr="00912996">
              <w:rPr>
                <w:rFonts w:ascii="Calibri" w:hAnsi="Calibri"/>
                <w:bCs/>
                <w:lang w:eastAsia="ja-JP"/>
              </w:rPr>
              <w:t>PNRR</w:t>
            </w:r>
          </w:p>
        </w:tc>
      </w:tr>
      <w:tr w:rsidR="00AC2FFA" w:rsidRPr="00912996" w14:paraId="26D290AF" w14:textId="77777777" w:rsidTr="00E2442E">
        <w:trPr>
          <w:gridAfter w:val="9"/>
          <w:wAfter w:w="15421" w:type="dxa"/>
          <w:trHeight w:val="804"/>
        </w:trPr>
        <w:tc>
          <w:tcPr>
            <w:tcW w:w="625" w:type="dxa"/>
            <w:shd w:val="clear" w:color="auto" w:fill="F2F2F2"/>
            <w:noWrap/>
            <w:hideMark/>
          </w:tcPr>
          <w:p w14:paraId="5047F903"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7428C9F1" w14:textId="77777777" w:rsidR="001A54E6" w:rsidRPr="00912996" w:rsidRDefault="001A54E6" w:rsidP="00394372">
            <w:pPr>
              <w:rPr>
                <w:rFonts w:ascii="Calibri" w:hAnsi="Calibri"/>
                <w:bCs/>
                <w:lang w:eastAsia="ja-JP"/>
              </w:rPr>
            </w:pPr>
            <w:r w:rsidRPr="00912996">
              <w:rPr>
                <w:rFonts w:ascii="Calibri" w:hAnsi="Calibri"/>
                <w:bCs/>
                <w:lang w:eastAsia="ja-JP"/>
              </w:rPr>
              <w:t>Modernizarea și dotarea liniei de tramvai nr. 21 - 12 tramvaie - buget total 120,83 milioane lei, din care finanțare nerambursabilă 75,4 milioane lei</w:t>
            </w:r>
          </w:p>
        </w:tc>
        <w:tc>
          <w:tcPr>
            <w:tcW w:w="1530" w:type="dxa"/>
            <w:shd w:val="clear" w:color="auto" w:fill="F2F2F2"/>
            <w:hideMark/>
          </w:tcPr>
          <w:p w14:paraId="5BD82B4B"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0F01C91F" w14:textId="77777777" w:rsidR="001A54E6" w:rsidRPr="00912996" w:rsidRDefault="001A54E6" w:rsidP="00394372">
            <w:pPr>
              <w:rPr>
                <w:rFonts w:ascii="Calibri" w:hAnsi="Calibri"/>
                <w:bCs/>
                <w:lang w:eastAsia="ja-JP"/>
              </w:rPr>
            </w:pPr>
            <w:r w:rsidRPr="00912996">
              <w:rPr>
                <w:rFonts w:ascii="Calibri" w:hAnsi="Calibri"/>
                <w:bCs/>
                <w:lang w:eastAsia="ja-JP"/>
              </w:rPr>
              <w:t> </w:t>
            </w:r>
            <w:r>
              <w:rPr>
                <w:rFonts w:ascii="Calibri" w:hAnsi="Calibri"/>
                <w:bCs/>
                <w:lang w:eastAsia="ja-JP"/>
              </w:rPr>
              <w:t>N/A</w:t>
            </w:r>
          </w:p>
        </w:tc>
        <w:tc>
          <w:tcPr>
            <w:tcW w:w="1260" w:type="dxa"/>
            <w:shd w:val="clear" w:color="auto" w:fill="F2F2F2"/>
            <w:noWrap/>
            <w:hideMark/>
          </w:tcPr>
          <w:p w14:paraId="528D5AD0" w14:textId="77777777" w:rsidR="001A54E6" w:rsidRPr="00912996" w:rsidRDefault="001A54E6" w:rsidP="00394372">
            <w:pPr>
              <w:rPr>
                <w:rFonts w:ascii="Calibri" w:hAnsi="Calibri"/>
                <w:bCs/>
                <w:lang w:eastAsia="ja-JP"/>
              </w:rPr>
            </w:pPr>
            <w:r w:rsidRPr="00912996">
              <w:rPr>
                <w:rFonts w:ascii="Calibri" w:hAnsi="Calibri"/>
                <w:bCs/>
                <w:lang w:eastAsia="ja-JP"/>
              </w:rPr>
              <w:t>120,830,000</w:t>
            </w:r>
          </w:p>
        </w:tc>
        <w:tc>
          <w:tcPr>
            <w:tcW w:w="1260" w:type="dxa"/>
            <w:shd w:val="clear" w:color="auto" w:fill="F2F2F2"/>
            <w:noWrap/>
            <w:hideMark/>
          </w:tcPr>
          <w:p w14:paraId="13E1D261" w14:textId="77777777" w:rsidR="001A54E6" w:rsidRPr="00912996" w:rsidRDefault="001A54E6" w:rsidP="00394372">
            <w:pPr>
              <w:rPr>
                <w:rFonts w:ascii="Calibri" w:hAnsi="Calibri"/>
                <w:bCs/>
                <w:lang w:eastAsia="ja-JP"/>
              </w:rPr>
            </w:pPr>
            <w:r w:rsidRPr="00912996">
              <w:rPr>
                <w:rFonts w:ascii="Calibri" w:hAnsi="Calibri"/>
                <w:bCs/>
                <w:lang w:eastAsia="ja-JP"/>
              </w:rPr>
              <w:t>24,659,184</w:t>
            </w:r>
          </w:p>
        </w:tc>
        <w:tc>
          <w:tcPr>
            <w:tcW w:w="1089" w:type="dxa"/>
            <w:shd w:val="clear" w:color="auto" w:fill="F2F2F2"/>
            <w:noWrap/>
            <w:hideMark/>
          </w:tcPr>
          <w:p w14:paraId="59508D88" w14:textId="77777777" w:rsidR="001A54E6" w:rsidRPr="00912996" w:rsidRDefault="001A54E6" w:rsidP="00394372">
            <w:pPr>
              <w:rPr>
                <w:rFonts w:ascii="Calibri" w:hAnsi="Calibri"/>
                <w:bCs/>
                <w:lang w:eastAsia="ja-JP"/>
              </w:rPr>
            </w:pPr>
            <w:r w:rsidRPr="00912996">
              <w:rPr>
                <w:rFonts w:ascii="Calibri" w:hAnsi="Calibri"/>
                <w:bCs/>
                <w:lang w:eastAsia="ja-JP"/>
              </w:rPr>
              <w:t>2023</w:t>
            </w:r>
          </w:p>
        </w:tc>
        <w:tc>
          <w:tcPr>
            <w:tcW w:w="1881" w:type="dxa"/>
            <w:shd w:val="clear" w:color="auto" w:fill="F2F2F2"/>
            <w:hideMark/>
          </w:tcPr>
          <w:p w14:paraId="02528063"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3214119C"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6F457A1" w14:textId="77777777" w:rsidR="001A54E6" w:rsidRPr="00912996" w:rsidRDefault="001A54E6" w:rsidP="00394372">
            <w:pPr>
              <w:rPr>
                <w:rFonts w:ascii="Calibri" w:hAnsi="Calibri"/>
                <w:bCs/>
                <w:lang w:eastAsia="ja-JP"/>
              </w:rPr>
            </w:pPr>
            <w:r w:rsidRPr="00912996">
              <w:rPr>
                <w:rFonts w:ascii="Calibri" w:hAnsi="Calibri"/>
                <w:bCs/>
                <w:lang w:eastAsia="ja-JP"/>
              </w:rPr>
              <w:t>SIDU MB</w:t>
            </w:r>
          </w:p>
        </w:tc>
      </w:tr>
      <w:tr w:rsidR="00AC2FFA" w:rsidRPr="00912996" w14:paraId="5755CC45" w14:textId="77777777" w:rsidTr="00E2442E">
        <w:trPr>
          <w:gridAfter w:val="9"/>
          <w:wAfter w:w="15421" w:type="dxa"/>
          <w:trHeight w:val="1380"/>
        </w:trPr>
        <w:tc>
          <w:tcPr>
            <w:tcW w:w="625" w:type="dxa"/>
            <w:shd w:val="clear" w:color="auto" w:fill="F2F2F2"/>
            <w:noWrap/>
            <w:hideMark/>
          </w:tcPr>
          <w:p w14:paraId="77055134"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22092A9C" w14:textId="77777777" w:rsidR="001A54E6" w:rsidRPr="00912996" w:rsidRDefault="001A54E6" w:rsidP="00394372">
            <w:pPr>
              <w:rPr>
                <w:rFonts w:ascii="Calibri" w:hAnsi="Calibri"/>
                <w:bCs/>
                <w:lang w:eastAsia="ja-JP"/>
              </w:rPr>
            </w:pPr>
            <w:r w:rsidRPr="00912996">
              <w:rPr>
                <w:rFonts w:ascii="Calibri" w:hAnsi="Calibri"/>
                <w:bCs/>
                <w:lang w:eastAsia="ja-JP"/>
              </w:rPr>
              <w:t>Modernizarea și dotarea liniei de tramvai nr. 21:</w:t>
            </w:r>
            <w:r w:rsidRPr="00912996">
              <w:rPr>
                <w:rFonts w:ascii="Calibri" w:hAnsi="Calibri"/>
                <w:bCs/>
                <w:lang w:eastAsia="ja-JP"/>
              </w:rPr>
              <w:br/>
              <w:t xml:space="preserve">Modernizare linie de tramvai - pentru retragerea la depoul Dudești: </w:t>
            </w:r>
            <w:r w:rsidRPr="00912996">
              <w:rPr>
                <w:rFonts w:ascii="Calibri" w:hAnsi="Calibri"/>
                <w:bCs/>
                <w:lang w:eastAsia="ja-JP"/>
              </w:rPr>
              <w:br/>
              <w:t xml:space="preserve"> - tronsonul de pe str. Ziduri Moși - 625 m cale dublă;</w:t>
            </w:r>
            <w:r w:rsidRPr="00912996">
              <w:rPr>
                <w:rFonts w:ascii="Calibri" w:hAnsi="Calibri"/>
                <w:bCs/>
                <w:lang w:eastAsia="ja-JP"/>
              </w:rPr>
              <w:br/>
              <w:t xml:space="preserve"> - tronsonul de pe B-dul Ferdinand cuprins între str. Ziduri Moși și Șoseaua Mihai Bravu</w:t>
            </w:r>
          </w:p>
        </w:tc>
        <w:tc>
          <w:tcPr>
            <w:tcW w:w="1530" w:type="dxa"/>
            <w:shd w:val="clear" w:color="auto" w:fill="F2F2F2"/>
            <w:hideMark/>
          </w:tcPr>
          <w:p w14:paraId="54B459BE" w14:textId="77777777" w:rsidR="001A54E6" w:rsidRPr="00912996" w:rsidRDefault="001A54E6" w:rsidP="00394372">
            <w:pPr>
              <w:rPr>
                <w:rFonts w:ascii="Calibri" w:hAnsi="Calibri"/>
                <w:bCs/>
                <w:lang w:eastAsia="ja-JP"/>
              </w:rPr>
            </w:pPr>
            <w:r w:rsidRPr="00912996">
              <w:rPr>
                <w:rFonts w:ascii="Calibri" w:hAnsi="Calibri"/>
                <w:bCs/>
                <w:lang w:eastAsia="ja-JP"/>
              </w:rPr>
              <w:t>PMB, STB, PS2</w:t>
            </w:r>
          </w:p>
        </w:tc>
        <w:tc>
          <w:tcPr>
            <w:tcW w:w="1620" w:type="dxa"/>
            <w:shd w:val="clear" w:color="auto" w:fill="F2F2F2"/>
            <w:noWrap/>
            <w:hideMark/>
          </w:tcPr>
          <w:p w14:paraId="25E3BB45"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C941977" w14:textId="77777777" w:rsidR="001A54E6" w:rsidRPr="00912996" w:rsidRDefault="001A54E6" w:rsidP="00394372">
            <w:pPr>
              <w:rPr>
                <w:rFonts w:ascii="Calibri" w:hAnsi="Calibri"/>
                <w:bCs/>
                <w:lang w:eastAsia="ja-JP"/>
              </w:rPr>
            </w:pPr>
            <w:r w:rsidRPr="00912996">
              <w:rPr>
                <w:rFonts w:ascii="Calibri" w:hAnsi="Calibri"/>
                <w:bCs/>
                <w:lang w:eastAsia="ja-JP"/>
              </w:rPr>
              <w:t>622,300,000</w:t>
            </w:r>
          </w:p>
        </w:tc>
        <w:tc>
          <w:tcPr>
            <w:tcW w:w="1260" w:type="dxa"/>
            <w:shd w:val="clear" w:color="auto" w:fill="F2F2F2"/>
            <w:noWrap/>
            <w:hideMark/>
          </w:tcPr>
          <w:p w14:paraId="48A1A413" w14:textId="77777777" w:rsidR="001A54E6" w:rsidRPr="00912996" w:rsidRDefault="001A54E6" w:rsidP="00394372">
            <w:pPr>
              <w:rPr>
                <w:rFonts w:ascii="Calibri" w:hAnsi="Calibri"/>
                <w:bCs/>
                <w:lang w:eastAsia="ja-JP"/>
              </w:rPr>
            </w:pPr>
            <w:r w:rsidRPr="00912996">
              <w:rPr>
                <w:rFonts w:ascii="Calibri" w:hAnsi="Calibri"/>
                <w:bCs/>
                <w:lang w:eastAsia="ja-JP"/>
              </w:rPr>
              <w:t>127,000,000</w:t>
            </w:r>
          </w:p>
        </w:tc>
        <w:tc>
          <w:tcPr>
            <w:tcW w:w="1089" w:type="dxa"/>
            <w:shd w:val="clear" w:color="auto" w:fill="F2F2F2"/>
            <w:noWrap/>
            <w:hideMark/>
          </w:tcPr>
          <w:p w14:paraId="7C204F6E"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7E9429B1"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15105986"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noWrap/>
            <w:hideMark/>
          </w:tcPr>
          <w:p w14:paraId="2F4724A6" w14:textId="77777777" w:rsidR="001A54E6" w:rsidRPr="00912996" w:rsidRDefault="001A54E6" w:rsidP="00394372">
            <w:pPr>
              <w:rPr>
                <w:rFonts w:ascii="Calibri" w:hAnsi="Calibri"/>
                <w:bCs/>
                <w:lang w:eastAsia="ja-JP"/>
              </w:rPr>
            </w:pPr>
            <w:r w:rsidRPr="00912996">
              <w:rPr>
                <w:rFonts w:ascii="Calibri" w:hAnsi="Calibri"/>
                <w:bCs/>
                <w:lang w:eastAsia="ja-JP"/>
              </w:rPr>
              <w:t>Buget PMB</w:t>
            </w:r>
          </w:p>
        </w:tc>
      </w:tr>
      <w:tr w:rsidR="00AC2FFA" w:rsidRPr="00912996" w14:paraId="42E3AC68" w14:textId="77777777" w:rsidTr="00E2442E">
        <w:trPr>
          <w:gridAfter w:val="9"/>
          <w:wAfter w:w="15421" w:type="dxa"/>
          <w:trHeight w:val="1380"/>
        </w:trPr>
        <w:tc>
          <w:tcPr>
            <w:tcW w:w="625" w:type="dxa"/>
            <w:shd w:val="clear" w:color="auto" w:fill="F2F2F2"/>
            <w:noWrap/>
            <w:hideMark/>
          </w:tcPr>
          <w:p w14:paraId="118A5659"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031F61A9" w14:textId="77777777" w:rsidR="001A54E6" w:rsidRPr="00912996" w:rsidRDefault="001A54E6" w:rsidP="00394372">
            <w:pPr>
              <w:rPr>
                <w:rFonts w:ascii="Calibri" w:hAnsi="Calibri"/>
                <w:bCs/>
                <w:lang w:eastAsia="ja-JP"/>
              </w:rPr>
            </w:pPr>
            <w:r w:rsidRPr="00912996">
              <w:rPr>
                <w:rFonts w:ascii="Calibri" w:hAnsi="Calibri"/>
                <w:bCs/>
                <w:lang w:eastAsia="ja-JP"/>
              </w:rPr>
              <w:t>Modernizarea și dotarea liniei de tramvai nr. 40</w:t>
            </w:r>
          </w:p>
        </w:tc>
        <w:tc>
          <w:tcPr>
            <w:tcW w:w="1530" w:type="dxa"/>
            <w:shd w:val="clear" w:color="auto" w:fill="F2F2F2"/>
            <w:hideMark/>
          </w:tcPr>
          <w:p w14:paraId="65F25540" w14:textId="77777777" w:rsidR="001A54E6" w:rsidRPr="00912996" w:rsidRDefault="001A54E6" w:rsidP="00394372">
            <w:pPr>
              <w:rPr>
                <w:rFonts w:ascii="Calibri" w:hAnsi="Calibri"/>
                <w:bCs/>
                <w:lang w:eastAsia="ja-JP"/>
              </w:rPr>
            </w:pPr>
            <w:r w:rsidRPr="00912996">
              <w:rPr>
                <w:rFonts w:ascii="Calibri" w:hAnsi="Calibri"/>
                <w:bCs/>
                <w:lang w:eastAsia="ja-JP"/>
              </w:rPr>
              <w:t>PMB - STB, Primăriile de sector</w:t>
            </w:r>
          </w:p>
        </w:tc>
        <w:tc>
          <w:tcPr>
            <w:tcW w:w="1620" w:type="dxa"/>
            <w:shd w:val="clear" w:color="auto" w:fill="F2F2F2"/>
            <w:noWrap/>
            <w:hideMark/>
          </w:tcPr>
          <w:p w14:paraId="1CBD75AF" w14:textId="77777777" w:rsidR="001A54E6" w:rsidRPr="00912996" w:rsidRDefault="001A54E6" w:rsidP="00394372">
            <w:pPr>
              <w:rPr>
                <w:rFonts w:ascii="Calibri" w:hAnsi="Calibri"/>
                <w:bCs/>
                <w:lang w:eastAsia="ja-JP"/>
              </w:rPr>
            </w:pPr>
            <w:r>
              <w:rPr>
                <w:rFonts w:ascii="Calibri" w:hAnsi="Calibri"/>
                <w:bCs/>
                <w:lang w:eastAsia="ja-JP"/>
              </w:rPr>
              <w:t>În implementare</w:t>
            </w:r>
          </w:p>
        </w:tc>
        <w:tc>
          <w:tcPr>
            <w:tcW w:w="1260" w:type="dxa"/>
            <w:shd w:val="clear" w:color="auto" w:fill="F2F2F2"/>
            <w:noWrap/>
            <w:hideMark/>
          </w:tcPr>
          <w:p w14:paraId="2B58879A" w14:textId="77777777" w:rsidR="001A54E6" w:rsidRPr="00912996" w:rsidRDefault="001A54E6" w:rsidP="00394372">
            <w:pPr>
              <w:rPr>
                <w:rFonts w:ascii="Calibri" w:hAnsi="Calibri"/>
                <w:bCs/>
                <w:lang w:eastAsia="ja-JP"/>
              </w:rPr>
            </w:pPr>
            <w:r w:rsidRPr="00912996">
              <w:rPr>
                <w:rFonts w:ascii="Calibri" w:hAnsi="Calibri"/>
                <w:bCs/>
                <w:lang w:eastAsia="ja-JP"/>
              </w:rPr>
              <w:t>1,091,220,200</w:t>
            </w:r>
          </w:p>
        </w:tc>
        <w:tc>
          <w:tcPr>
            <w:tcW w:w="1260" w:type="dxa"/>
            <w:shd w:val="clear" w:color="auto" w:fill="F2F2F2"/>
            <w:noWrap/>
            <w:hideMark/>
          </w:tcPr>
          <w:p w14:paraId="7E56EE4A" w14:textId="77777777" w:rsidR="001A54E6" w:rsidRPr="00912996" w:rsidRDefault="001A54E6" w:rsidP="00394372">
            <w:pPr>
              <w:rPr>
                <w:rFonts w:ascii="Calibri" w:hAnsi="Calibri"/>
                <w:bCs/>
                <w:lang w:eastAsia="ja-JP"/>
              </w:rPr>
            </w:pPr>
            <w:r w:rsidRPr="00912996">
              <w:rPr>
                <w:rFonts w:ascii="Calibri" w:hAnsi="Calibri"/>
                <w:bCs/>
                <w:lang w:eastAsia="ja-JP"/>
              </w:rPr>
              <w:t>222,698,000</w:t>
            </w:r>
          </w:p>
        </w:tc>
        <w:tc>
          <w:tcPr>
            <w:tcW w:w="1089" w:type="dxa"/>
            <w:shd w:val="clear" w:color="auto" w:fill="F2F2F2"/>
            <w:noWrap/>
            <w:hideMark/>
          </w:tcPr>
          <w:p w14:paraId="68009ACB"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7A3F5F25"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6C3202E1"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55A55611"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19052777" w14:textId="77777777" w:rsidTr="00E2442E">
        <w:trPr>
          <w:gridAfter w:val="9"/>
          <w:wAfter w:w="15421" w:type="dxa"/>
          <w:trHeight w:val="1245"/>
        </w:trPr>
        <w:tc>
          <w:tcPr>
            <w:tcW w:w="625" w:type="dxa"/>
            <w:shd w:val="clear" w:color="auto" w:fill="F2F2F2"/>
            <w:noWrap/>
            <w:hideMark/>
          </w:tcPr>
          <w:p w14:paraId="3359F0A4"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1C719BC5" w14:textId="77777777" w:rsidR="001A54E6" w:rsidRPr="00912996" w:rsidRDefault="001A54E6" w:rsidP="00394372">
            <w:pPr>
              <w:rPr>
                <w:rFonts w:ascii="Calibri" w:hAnsi="Calibri"/>
                <w:bCs/>
                <w:lang w:eastAsia="ja-JP"/>
              </w:rPr>
            </w:pPr>
            <w:r w:rsidRPr="00912996">
              <w:rPr>
                <w:rFonts w:ascii="Calibri" w:hAnsi="Calibri"/>
                <w:bCs/>
                <w:lang w:eastAsia="ja-JP"/>
              </w:rPr>
              <w:t>Modernizarea și dotarea liniei de tramvai nr.</w:t>
            </w:r>
            <w:r>
              <w:rPr>
                <w:rFonts w:ascii="Calibri" w:hAnsi="Calibri"/>
                <w:bCs/>
                <w:lang w:eastAsia="ja-JP"/>
              </w:rPr>
              <w:t xml:space="preserve"> </w:t>
            </w:r>
            <w:r w:rsidRPr="00912996">
              <w:rPr>
                <w:rFonts w:ascii="Calibri" w:hAnsi="Calibri"/>
                <w:bCs/>
                <w:lang w:eastAsia="ja-JP"/>
              </w:rPr>
              <w:t>55</w:t>
            </w:r>
            <w:r w:rsidRPr="00912996">
              <w:rPr>
                <w:rFonts w:ascii="Calibri" w:hAnsi="Calibri"/>
                <w:bCs/>
                <w:lang w:eastAsia="ja-JP"/>
              </w:rPr>
              <w:br/>
              <w:t xml:space="preserve"> </w:t>
            </w:r>
          </w:p>
        </w:tc>
        <w:tc>
          <w:tcPr>
            <w:tcW w:w="1530" w:type="dxa"/>
            <w:shd w:val="clear" w:color="auto" w:fill="F2F2F2"/>
            <w:hideMark/>
          </w:tcPr>
          <w:p w14:paraId="4D71A663" w14:textId="77777777" w:rsidR="001A54E6" w:rsidRPr="00912996" w:rsidRDefault="001A54E6" w:rsidP="00394372">
            <w:pPr>
              <w:rPr>
                <w:rFonts w:ascii="Calibri" w:hAnsi="Calibri"/>
                <w:bCs/>
                <w:lang w:eastAsia="ja-JP"/>
              </w:rPr>
            </w:pPr>
            <w:r w:rsidRPr="00912996">
              <w:rPr>
                <w:rFonts w:ascii="Calibri" w:hAnsi="Calibri"/>
                <w:bCs/>
                <w:lang w:eastAsia="ja-JP"/>
              </w:rPr>
              <w:t>PMB - STB, Primăriile de sector</w:t>
            </w:r>
          </w:p>
        </w:tc>
        <w:tc>
          <w:tcPr>
            <w:tcW w:w="1620" w:type="dxa"/>
            <w:shd w:val="clear" w:color="auto" w:fill="F2F2F2"/>
            <w:noWrap/>
            <w:hideMark/>
          </w:tcPr>
          <w:p w14:paraId="1C090B4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203023B" w14:textId="77777777" w:rsidR="001A54E6" w:rsidRPr="00912996" w:rsidRDefault="001A54E6" w:rsidP="00394372">
            <w:pPr>
              <w:rPr>
                <w:rFonts w:ascii="Calibri" w:hAnsi="Calibri"/>
                <w:bCs/>
                <w:lang w:eastAsia="ja-JP"/>
              </w:rPr>
            </w:pPr>
            <w:r w:rsidRPr="00912996">
              <w:rPr>
                <w:rFonts w:ascii="Calibri" w:hAnsi="Calibri"/>
                <w:bCs/>
                <w:lang w:eastAsia="ja-JP"/>
              </w:rPr>
              <w:t>111,230,000</w:t>
            </w:r>
          </w:p>
        </w:tc>
        <w:tc>
          <w:tcPr>
            <w:tcW w:w="1260" w:type="dxa"/>
            <w:shd w:val="clear" w:color="auto" w:fill="F2F2F2"/>
            <w:noWrap/>
            <w:hideMark/>
          </w:tcPr>
          <w:p w14:paraId="68795DEF" w14:textId="77777777" w:rsidR="001A54E6" w:rsidRPr="00912996" w:rsidRDefault="001A54E6" w:rsidP="00394372">
            <w:pPr>
              <w:rPr>
                <w:rFonts w:ascii="Calibri" w:hAnsi="Calibri"/>
                <w:bCs/>
                <w:lang w:eastAsia="ja-JP"/>
              </w:rPr>
            </w:pPr>
            <w:r w:rsidRPr="00912996">
              <w:rPr>
                <w:rFonts w:ascii="Calibri" w:hAnsi="Calibri"/>
                <w:bCs/>
                <w:lang w:eastAsia="ja-JP"/>
              </w:rPr>
              <w:t>22,700,000</w:t>
            </w:r>
          </w:p>
        </w:tc>
        <w:tc>
          <w:tcPr>
            <w:tcW w:w="1089" w:type="dxa"/>
            <w:shd w:val="clear" w:color="auto" w:fill="F2F2F2"/>
            <w:noWrap/>
            <w:hideMark/>
          </w:tcPr>
          <w:p w14:paraId="13158520"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3BA0D44C"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23FD3FE0"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45884D2A"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0F04AF6B" w14:textId="77777777" w:rsidTr="00E2442E">
        <w:trPr>
          <w:gridAfter w:val="9"/>
          <w:wAfter w:w="15421" w:type="dxa"/>
          <w:trHeight w:val="804"/>
        </w:trPr>
        <w:tc>
          <w:tcPr>
            <w:tcW w:w="625" w:type="dxa"/>
            <w:shd w:val="clear" w:color="auto" w:fill="F2F2F2"/>
            <w:noWrap/>
            <w:hideMark/>
          </w:tcPr>
          <w:p w14:paraId="75C7C696" w14:textId="77777777" w:rsidR="001A54E6" w:rsidRPr="00912996" w:rsidRDefault="001A54E6" w:rsidP="00394372">
            <w:pPr>
              <w:rPr>
                <w:rFonts w:ascii="Calibri" w:hAnsi="Calibri"/>
                <w:bCs/>
                <w:lang w:eastAsia="ja-JP"/>
              </w:rPr>
            </w:pPr>
            <w:r w:rsidRPr="00912996">
              <w:rPr>
                <w:rFonts w:ascii="Calibri" w:hAnsi="Calibri"/>
                <w:bCs/>
                <w:lang w:eastAsia="ja-JP"/>
              </w:rPr>
              <w:t>9</w:t>
            </w:r>
          </w:p>
        </w:tc>
        <w:tc>
          <w:tcPr>
            <w:tcW w:w="2250" w:type="dxa"/>
            <w:shd w:val="clear" w:color="auto" w:fill="F2F2F2"/>
            <w:hideMark/>
          </w:tcPr>
          <w:p w14:paraId="0C1A57D7"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și linie de tramvai pe Bulevardul Basarabia, între Șoseaua Mihai Bravu și Șoseaua Dudești-Pantelimon</w:t>
            </w:r>
          </w:p>
        </w:tc>
        <w:tc>
          <w:tcPr>
            <w:tcW w:w="1530" w:type="dxa"/>
            <w:shd w:val="clear" w:color="auto" w:fill="F2F2F2"/>
            <w:hideMark/>
          </w:tcPr>
          <w:p w14:paraId="69A88395"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00CCD8FA" w14:textId="77777777" w:rsidR="001A54E6" w:rsidRPr="00912996" w:rsidRDefault="001A54E6" w:rsidP="00394372">
            <w:pPr>
              <w:rPr>
                <w:rFonts w:ascii="Calibri" w:hAnsi="Calibri"/>
                <w:bCs/>
                <w:lang w:eastAsia="ja-JP"/>
              </w:rPr>
            </w:pPr>
            <w:r w:rsidRPr="00912996">
              <w:rPr>
                <w:rFonts w:ascii="Calibri" w:hAnsi="Calibri"/>
                <w:bCs/>
                <w:lang w:eastAsia="ja-JP"/>
              </w:rPr>
              <w:t>În curs de elaborare</w:t>
            </w:r>
          </w:p>
        </w:tc>
        <w:tc>
          <w:tcPr>
            <w:tcW w:w="1260" w:type="dxa"/>
            <w:shd w:val="clear" w:color="auto" w:fill="F2F2F2"/>
            <w:noWrap/>
            <w:hideMark/>
          </w:tcPr>
          <w:p w14:paraId="4DACAD3C" w14:textId="77777777" w:rsidR="001A54E6" w:rsidRPr="00912996" w:rsidRDefault="001A54E6" w:rsidP="00394372">
            <w:pPr>
              <w:rPr>
                <w:rFonts w:ascii="Calibri" w:hAnsi="Calibri"/>
                <w:bCs/>
                <w:lang w:eastAsia="ja-JP"/>
              </w:rPr>
            </w:pPr>
            <w:r w:rsidRPr="00912996">
              <w:rPr>
                <w:rFonts w:ascii="Calibri" w:hAnsi="Calibri"/>
                <w:bCs/>
                <w:lang w:eastAsia="ja-JP"/>
              </w:rPr>
              <w:t>490,000,000</w:t>
            </w:r>
          </w:p>
        </w:tc>
        <w:tc>
          <w:tcPr>
            <w:tcW w:w="1260" w:type="dxa"/>
            <w:shd w:val="clear" w:color="auto" w:fill="F2F2F2"/>
            <w:noWrap/>
            <w:hideMark/>
          </w:tcPr>
          <w:p w14:paraId="747EBC66" w14:textId="77777777" w:rsidR="001A54E6" w:rsidRPr="00912996" w:rsidRDefault="001A54E6" w:rsidP="00394372">
            <w:pPr>
              <w:rPr>
                <w:rFonts w:ascii="Calibri" w:hAnsi="Calibri"/>
                <w:bCs/>
                <w:lang w:eastAsia="ja-JP"/>
              </w:rPr>
            </w:pPr>
            <w:r w:rsidRPr="00912996">
              <w:rPr>
                <w:rFonts w:ascii="Calibri" w:hAnsi="Calibri"/>
                <w:bCs/>
                <w:lang w:eastAsia="ja-JP"/>
              </w:rPr>
              <w:t>100,000,000</w:t>
            </w:r>
          </w:p>
        </w:tc>
        <w:tc>
          <w:tcPr>
            <w:tcW w:w="1089" w:type="dxa"/>
            <w:shd w:val="clear" w:color="auto" w:fill="F2F2F2"/>
            <w:noWrap/>
            <w:hideMark/>
          </w:tcPr>
          <w:p w14:paraId="3D0E860C"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713950E6"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3EE17FE4"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6BF41CE0"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411D5ECA" w14:textId="77777777" w:rsidTr="00E2442E">
        <w:trPr>
          <w:gridAfter w:val="9"/>
          <w:wAfter w:w="15421" w:type="dxa"/>
          <w:trHeight w:val="804"/>
        </w:trPr>
        <w:tc>
          <w:tcPr>
            <w:tcW w:w="625" w:type="dxa"/>
            <w:shd w:val="clear" w:color="auto" w:fill="F2F2F2"/>
            <w:noWrap/>
            <w:hideMark/>
          </w:tcPr>
          <w:p w14:paraId="41CA6108" w14:textId="77777777" w:rsidR="001A54E6" w:rsidRPr="00912996" w:rsidRDefault="001A54E6" w:rsidP="00394372">
            <w:pPr>
              <w:rPr>
                <w:rFonts w:ascii="Calibri" w:hAnsi="Calibri"/>
                <w:bCs/>
                <w:lang w:eastAsia="ja-JP"/>
              </w:rPr>
            </w:pPr>
            <w:r w:rsidRPr="00912996">
              <w:rPr>
                <w:rFonts w:ascii="Calibri" w:hAnsi="Calibri"/>
                <w:bCs/>
                <w:lang w:eastAsia="ja-JP"/>
              </w:rPr>
              <w:t>10</w:t>
            </w:r>
          </w:p>
        </w:tc>
        <w:tc>
          <w:tcPr>
            <w:tcW w:w="2250" w:type="dxa"/>
            <w:shd w:val="clear" w:color="auto" w:fill="F2F2F2"/>
            <w:hideMark/>
          </w:tcPr>
          <w:p w14:paraId="0BF93C7D"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și linie de tramvai pe Bulevardul Chișinău, între Șoseaua Pantelimon și Bulevardul Basarabia</w:t>
            </w:r>
          </w:p>
        </w:tc>
        <w:tc>
          <w:tcPr>
            <w:tcW w:w="1530" w:type="dxa"/>
            <w:shd w:val="clear" w:color="auto" w:fill="F2F2F2"/>
            <w:hideMark/>
          </w:tcPr>
          <w:p w14:paraId="73922CF2"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49D34031" w14:textId="77777777" w:rsidR="001A54E6" w:rsidRPr="00912996" w:rsidRDefault="001A54E6" w:rsidP="00394372">
            <w:pPr>
              <w:rPr>
                <w:rFonts w:ascii="Calibri" w:hAnsi="Calibri"/>
                <w:bCs/>
                <w:lang w:eastAsia="ja-JP"/>
              </w:rPr>
            </w:pPr>
            <w:r w:rsidRPr="00912996">
              <w:rPr>
                <w:rFonts w:ascii="Calibri" w:hAnsi="Calibri"/>
                <w:bCs/>
                <w:lang w:eastAsia="ja-JP"/>
              </w:rPr>
              <w:t>Elaborare DALI</w:t>
            </w:r>
          </w:p>
        </w:tc>
        <w:tc>
          <w:tcPr>
            <w:tcW w:w="1260" w:type="dxa"/>
            <w:shd w:val="clear" w:color="auto" w:fill="F2F2F2"/>
            <w:noWrap/>
            <w:hideMark/>
          </w:tcPr>
          <w:p w14:paraId="48527071" w14:textId="77777777" w:rsidR="001A54E6" w:rsidRPr="00912996" w:rsidRDefault="001A54E6" w:rsidP="00394372">
            <w:pPr>
              <w:rPr>
                <w:rFonts w:ascii="Calibri" w:hAnsi="Calibri"/>
                <w:bCs/>
                <w:lang w:eastAsia="ja-JP"/>
              </w:rPr>
            </w:pPr>
            <w:r w:rsidRPr="00912996">
              <w:rPr>
                <w:rFonts w:ascii="Calibri" w:hAnsi="Calibri"/>
                <w:bCs/>
                <w:lang w:eastAsia="ja-JP"/>
              </w:rPr>
              <w:t>490,000,000</w:t>
            </w:r>
          </w:p>
        </w:tc>
        <w:tc>
          <w:tcPr>
            <w:tcW w:w="1260" w:type="dxa"/>
            <w:shd w:val="clear" w:color="auto" w:fill="F2F2F2"/>
            <w:noWrap/>
            <w:hideMark/>
          </w:tcPr>
          <w:p w14:paraId="1DB07452" w14:textId="77777777" w:rsidR="001A54E6" w:rsidRPr="00912996" w:rsidRDefault="001A54E6" w:rsidP="00394372">
            <w:pPr>
              <w:rPr>
                <w:rFonts w:ascii="Calibri" w:hAnsi="Calibri"/>
                <w:bCs/>
                <w:lang w:eastAsia="ja-JP"/>
              </w:rPr>
            </w:pPr>
            <w:r w:rsidRPr="00912996">
              <w:rPr>
                <w:rFonts w:ascii="Calibri" w:hAnsi="Calibri"/>
                <w:bCs/>
                <w:lang w:eastAsia="ja-JP"/>
              </w:rPr>
              <w:t>100,000,000</w:t>
            </w:r>
          </w:p>
        </w:tc>
        <w:tc>
          <w:tcPr>
            <w:tcW w:w="1089" w:type="dxa"/>
            <w:shd w:val="clear" w:color="auto" w:fill="F2F2F2"/>
            <w:noWrap/>
            <w:hideMark/>
          </w:tcPr>
          <w:p w14:paraId="156B3C64"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4DF8908F"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53CE9BAF"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38376B55" w14:textId="77777777" w:rsidR="001A54E6" w:rsidRPr="00912996" w:rsidRDefault="001A54E6" w:rsidP="00394372">
            <w:pPr>
              <w:rPr>
                <w:rFonts w:ascii="Calibri" w:hAnsi="Calibri"/>
                <w:bCs/>
                <w:lang w:eastAsia="ja-JP"/>
              </w:rPr>
            </w:pPr>
            <w:r w:rsidRPr="00912996">
              <w:rPr>
                <w:rFonts w:ascii="Calibri" w:hAnsi="Calibri"/>
                <w:bCs/>
                <w:lang w:eastAsia="ja-JP"/>
              </w:rPr>
              <w:t>PMB, PS2, SIDU MB</w:t>
            </w:r>
          </w:p>
        </w:tc>
      </w:tr>
      <w:tr w:rsidR="00AC2FFA" w:rsidRPr="00912996" w14:paraId="70D7233A" w14:textId="77777777" w:rsidTr="00E2442E">
        <w:trPr>
          <w:gridAfter w:val="9"/>
          <w:wAfter w:w="15421" w:type="dxa"/>
          <w:trHeight w:val="804"/>
        </w:trPr>
        <w:tc>
          <w:tcPr>
            <w:tcW w:w="625" w:type="dxa"/>
            <w:shd w:val="clear" w:color="auto" w:fill="F2F2F2"/>
            <w:noWrap/>
            <w:hideMark/>
          </w:tcPr>
          <w:p w14:paraId="1ECA4D17" w14:textId="77777777" w:rsidR="001A54E6" w:rsidRPr="00912996" w:rsidRDefault="001A54E6" w:rsidP="00394372">
            <w:pPr>
              <w:rPr>
                <w:rFonts w:ascii="Calibri" w:hAnsi="Calibri"/>
                <w:bCs/>
                <w:lang w:eastAsia="ja-JP"/>
              </w:rPr>
            </w:pPr>
            <w:r w:rsidRPr="00912996">
              <w:rPr>
                <w:rFonts w:ascii="Calibri" w:hAnsi="Calibri"/>
                <w:bCs/>
                <w:lang w:eastAsia="ja-JP"/>
              </w:rPr>
              <w:t>11</w:t>
            </w:r>
          </w:p>
        </w:tc>
        <w:tc>
          <w:tcPr>
            <w:tcW w:w="2250" w:type="dxa"/>
            <w:shd w:val="clear" w:color="auto" w:fill="F2F2F2"/>
            <w:hideMark/>
          </w:tcPr>
          <w:p w14:paraId="51FC3FCD" w14:textId="77777777" w:rsidR="001A54E6" w:rsidRPr="00912996" w:rsidRDefault="001A54E6" w:rsidP="00394372">
            <w:pPr>
              <w:rPr>
                <w:rFonts w:ascii="Calibri" w:hAnsi="Calibri"/>
                <w:bCs/>
                <w:lang w:eastAsia="ja-JP"/>
              </w:rPr>
            </w:pPr>
            <w:r w:rsidRPr="00912996">
              <w:rPr>
                <w:rFonts w:ascii="Calibri" w:hAnsi="Calibri"/>
                <w:bCs/>
                <w:lang w:eastAsia="ja-JP"/>
              </w:rPr>
              <w:t>Modernizare linie tramvai Bd Barbu Văcărescu între Ștefan cel Mare și Pod Băneasa</w:t>
            </w:r>
          </w:p>
        </w:tc>
        <w:tc>
          <w:tcPr>
            <w:tcW w:w="1530" w:type="dxa"/>
            <w:shd w:val="clear" w:color="auto" w:fill="F2F2F2"/>
            <w:hideMark/>
          </w:tcPr>
          <w:p w14:paraId="55286A25" w14:textId="77777777" w:rsidR="001A54E6" w:rsidRPr="00912996" w:rsidRDefault="001A54E6" w:rsidP="00394372">
            <w:pPr>
              <w:rPr>
                <w:rFonts w:ascii="Calibri" w:hAnsi="Calibri"/>
                <w:bCs/>
                <w:lang w:eastAsia="ja-JP"/>
              </w:rPr>
            </w:pPr>
            <w:r w:rsidRPr="00912996">
              <w:rPr>
                <w:rFonts w:ascii="Calibri" w:hAnsi="Calibri"/>
                <w:bCs/>
                <w:lang w:eastAsia="ja-JP"/>
              </w:rPr>
              <w:t>PMB, PS2, PS1</w:t>
            </w:r>
          </w:p>
        </w:tc>
        <w:tc>
          <w:tcPr>
            <w:tcW w:w="1620" w:type="dxa"/>
            <w:shd w:val="clear" w:color="auto" w:fill="F2F2F2"/>
            <w:noWrap/>
            <w:hideMark/>
          </w:tcPr>
          <w:p w14:paraId="0A7D0302"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78E916F9" w14:textId="77777777" w:rsidR="001A54E6" w:rsidRPr="00912996" w:rsidRDefault="001A54E6" w:rsidP="00394372">
            <w:pPr>
              <w:rPr>
                <w:rFonts w:ascii="Calibri" w:hAnsi="Calibri"/>
                <w:bCs/>
                <w:lang w:eastAsia="ja-JP"/>
              </w:rPr>
            </w:pPr>
            <w:r w:rsidRPr="00912996">
              <w:rPr>
                <w:rFonts w:ascii="Calibri" w:hAnsi="Calibri"/>
                <w:bCs/>
                <w:lang w:eastAsia="ja-JP"/>
              </w:rPr>
              <w:t>171,500,000</w:t>
            </w:r>
          </w:p>
        </w:tc>
        <w:tc>
          <w:tcPr>
            <w:tcW w:w="1260" w:type="dxa"/>
            <w:shd w:val="clear" w:color="auto" w:fill="F2F2F2"/>
            <w:noWrap/>
            <w:hideMark/>
          </w:tcPr>
          <w:p w14:paraId="212357F4" w14:textId="77777777" w:rsidR="001A54E6" w:rsidRPr="00912996" w:rsidRDefault="001A54E6" w:rsidP="00394372">
            <w:pPr>
              <w:rPr>
                <w:rFonts w:ascii="Calibri" w:hAnsi="Calibri"/>
                <w:bCs/>
                <w:lang w:eastAsia="ja-JP"/>
              </w:rPr>
            </w:pPr>
            <w:r w:rsidRPr="00912996">
              <w:rPr>
                <w:rFonts w:ascii="Calibri" w:hAnsi="Calibri"/>
                <w:bCs/>
                <w:lang w:eastAsia="ja-JP"/>
              </w:rPr>
              <w:t>35,000,000</w:t>
            </w:r>
          </w:p>
        </w:tc>
        <w:tc>
          <w:tcPr>
            <w:tcW w:w="1089" w:type="dxa"/>
            <w:shd w:val="clear" w:color="auto" w:fill="F2F2F2"/>
            <w:noWrap/>
            <w:hideMark/>
          </w:tcPr>
          <w:p w14:paraId="63F1EB1A"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52D53EE1"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59DA0FEF"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1DA227A2"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5E47F8EA" w14:textId="77777777" w:rsidTr="00E2442E">
        <w:trPr>
          <w:gridAfter w:val="9"/>
          <w:wAfter w:w="15421" w:type="dxa"/>
          <w:trHeight w:val="804"/>
        </w:trPr>
        <w:tc>
          <w:tcPr>
            <w:tcW w:w="625" w:type="dxa"/>
            <w:shd w:val="clear" w:color="auto" w:fill="F2F2F2"/>
            <w:noWrap/>
            <w:hideMark/>
          </w:tcPr>
          <w:p w14:paraId="086F5CD0" w14:textId="77777777" w:rsidR="001A54E6" w:rsidRPr="00912996" w:rsidRDefault="001A54E6" w:rsidP="00394372">
            <w:pPr>
              <w:rPr>
                <w:rFonts w:ascii="Calibri" w:hAnsi="Calibri"/>
                <w:bCs/>
                <w:lang w:eastAsia="ja-JP"/>
              </w:rPr>
            </w:pPr>
            <w:r w:rsidRPr="00912996">
              <w:rPr>
                <w:rFonts w:ascii="Calibri" w:hAnsi="Calibri"/>
                <w:bCs/>
                <w:lang w:eastAsia="ja-JP"/>
              </w:rPr>
              <w:t>12</w:t>
            </w:r>
          </w:p>
        </w:tc>
        <w:tc>
          <w:tcPr>
            <w:tcW w:w="2250" w:type="dxa"/>
            <w:shd w:val="clear" w:color="auto" w:fill="F2F2F2"/>
            <w:hideMark/>
          </w:tcPr>
          <w:p w14:paraId="33484B0A" w14:textId="77777777" w:rsidR="001A54E6" w:rsidRPr="00912996" w:rsidRDefault="001A54E6" w:rsidP="00394372">
            <w:pPr>
              <w:rPr>
                <w:rFonts w:ascii="Calibri" w:hAnsi="Calibri"/>
                <w:bCs/>
                <w:lang w:eastAsia="ja-JP"/>
              </w:rPr>
            </w:pPr>
            <w:r w:rsidRPr="00912996">
              <w:rPr>
                <w:rFonts w:ascii="Calibri" w:hAnsi="Calibri"/>
                <w:bCs/>
                <w:lang w:eastAsia="ja-JP"/>
              </w:rPr>
              <w:t xml:space="preserve">Modernizare linie tramvai str. Maica Domnului si str. Lacul Tei de la str. Reînvierii la bucla Lacul Tei </w:t>
            </w:r>
          </w:p>
        </w:tc>
        <w:tc>
          <w:tcPr>
            <w:tcW w:w="1530" w:type="dxa"/>
            <w:shd w:val="clear" w:color="auto" w:fill="F2F2F2"/>
            <w:hideMark/>
          </w:tcPr>
          <w:p w14:paraId="7773904D"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2773D9BA" w14:textId="77777777" w:rsidR="001A54E6" w:rsidRPr="00912996" w:rsidRDefault="001A54E6" w:rsidP="00394372">
            <w:pPr>
              <w:rPr>
                <w:rFonts w:ascii="Calibri" w:hAnsi="Calibri"/>
                <w:bCs/>
                <w:lang w:eastAsia="ja-JP"/>
              </w:rPr>
            </w:pPr>
            <w:r w:rsidRPr="00912996">
              <w:rPr>
                <w:rFonts w:ascii="Calibri" w:hAnsi="Calibri"/>
                <w:bCs/>
                <w:lang w:eastAsia="ja-JP"/>
              </w:rPr>
              <w:t>Elaborare DALI</w:t>
            </w:r>
          </w:p>
        </w:tc>
        <w:tc>
          <w:tcPr>
            <w:tcW w:w="1260" w:type="dxa"/>
            <w:shd w:val="clear" w:color="auto" w:fill="F2F2F2"/>
            <w:noWrap/>
            <w:hideMark/>
          </w:tcPr>
          <w:p w14:paraId="227482DF" w14:textId="77777777" w:rsidR="001A54E6" w:rsidRPr="00912996" w:rsidRDefault="001A54E6" w:rsidP="00394372">
            <w:pPr>
              <w:rPr>
                <w:rFonts w:ascii="Calibri" w:hAnsi="Calibri"/>
                <w:bCs/>
                <w:lang w:eastAsia="ja-JP"/>
              </w:rPr>
            </w:pPr>
            <w:r w:rsidRPr="00912996">
              <w:rPr>
                <w:rFonts w:ascii="Calibri" w:hAnsi="Calibri"/>
                <w:bCs/>
                <w:lang w:eastAsia="ja-JP"/>
              </w:rPr>
              <w:t>171,500,000</w:t>
            </w:r>
          </w:p>
        </w:tc>
        <w:tc>
          <w:tcPr>
            <w:tcW w:w="1260" w:type="dxa"/>
            <w:shd w:val="clear" w:color="auto" w:fill="F2F2F2"/>
            <w:noWrap/>
            <w:hideMark/>
          </w:tcPr>
          <w:p w14:paraId="6ACD77BB" w14:textId="77777777" w:rsidR="001A54E6" w:rsidRPr="00912996" w:rsidRDefault="001A54E6" w:rsidP="00394372">
            <w:pPr>
              <w:rPr>
                <w:rFonts w:ascii="Calibri" w:hAnsi="Calibri"/>
                <w:bCs/>
                <w:lang w:eastAsia="ja-JP"/>
              </w:rPr>
            </w:pPr>
            <w:r w:rsidRPr="00912996">
              <w:rPr>
                <w:rFonts w:ascii="Calibri" w:hAnsi="Calibri"/>
                <w:bCs/>
                <w:lang w:eastAsia="ja-JP"/>
              </w:rPr>
              <w:t>35,000,000</w:t>
            </w:r>
          </w:p>
        </w:tc>
        <w:tc>
          <w:tcPr>
            <w:tcW w:w="1089" w:type="dxa"/>
            <w:shd w:val="clear" w:color="auto" w:fill="F2F2F2"/>
            <w:noWrap/>
            <w:hideMark/>
          </w:tcPr>
          <w:p w14:paraId="67772F27"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6258CC80"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03AA2278"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30F91283" w14:textId="77777777" w:rsidR="001A54E6" w:rsidRPr="00912996" w:rsidRDefault="001A54E6" w:rsidP="00394372">
            <w:pPr>
              <w:rPr>
                <w:rFonts w:ascii="Calibri" w:hAnsi="Calibri"/>
                <w:bCs/>
                <w:lang w:eastAsia="ja-JP"/>
              </w:rPr>
            </w:pPr>
            <w:r w:rsidRPr="00912996">
              <w:rPr>
                <w:rFonts w:ascii="Calibri" w:hAnsi="Calibri"/>
                <w:bCs/>
                <w:lang w:eastAsia="ja-JP"/>
              </w:rPr>
              <w:t>PMB, PS2, SIDU MB</w:t>
            </w:r>
          </w:p>
        </w:tc>
      </w:tr>
      <w:tr w:rsidR="00AC2FFA" w:rsidRPr="00912996" w14:paraId="4CED348A" w14:textId="77777777" w:rsidTr="00E2442E">
        <w:trPr>
          <w:gridAfter w:val="9"/>
          <w:wAfter w:w="15421" w:type="dxa"/>
          <w:trHeight w:val="620"/>
        </w:trPr>
        <w:tc>
          <w:tcPr>
            <w:tcW w:w="625" w:type="dxa"/>
            <w:shd w:val="clear" w:color="auto" w:fill="F2F2F2"/>
            <w:noWrap/>
            <w:hideMark/>
          </w:tcPr>
          <w:p w14:paraId="0A25143C" w14:textId="77777777" w:rsidR="001A54E6" w:rsidRPr="00912996" w:rsidRDefault="001A54E6" w:rsidP="00394372">
            <w:pPr>
              <w:rPr>
                <w:rFonts w:ascii="Calibri" w:hAnsi="Calibri"/>
                <w:bCs/>
                <w:lang w:eastAsia="ja-JP"/>
              </w:rPr>
            </w:pPr>
            <w:r w:rsidRPr="00912996">
              <w:rPr>
                <w:rFonts w:ascii="Calibri" w:hAnsi="Calibri"/>
                <w:bCs/>
                <w:lang w:eastAsia="ja-JP"/>
              </w:rPr>
              <w:t>13</w:t>
            </w:r>
          </w:p>
        </w:tc>
        <w:tc>
          <w:tcPr>
            <w:tcW w:w="2250" w:type="dxa"/>
            <w:shd w:val="clear" w:color="auto" w:fill="F2F2F2"/>
            <w:hideMark/>
          </w:tcPr>
          <w:p w14:paraId="4B85F280" w14:textId="77777777" w:rsidR="001A54E6" w:rsidRPr="00912996" w:rsidRDefault="001A54E6" w:rsidP="00394372">
            <w:pPr>
              <w:rPr>
                <w:rFonts w:ascii="Calibri" w:hAnsi="Calibri"/>
                <w:bCs/>
                <w:lang w:eastAsia="ja-JP"/>
              </w:rPr>
            </w:pPr>
            <w:r w:rsidRPr="00912996">
              <w:rPr>
                <w:rFonts w:ascii="Calibri" w:hAnsi="Calibri"/>
                <w:bCs/>
                <w:lang w:eastAsia="ja-JP"/>
              </w:rPr>
              <w:t xml:space="preserve">Modernizare linie de tramvai Calea Moșilor – Str. Armand Călinescu – Str. Viitorului – Str. Vasile Lascăr, inclusiv reconfigurarea străzilor </w:t>
            </w:r>
          </w:p>
        </w:tc>
        <w:tc>
          <w:tcPr>
            <w:tcW w:w="1530" w:type="dxa"/>
            <w:shd w:val="clear" w:color="auto" w:fill="F2F2F2"/>
            <w:hideMark/>
          </w:tcPr>
          <w:p w14:paraId="6CB4F4E2"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752380E1"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E141E76" w14:textId="77777777" w:rsidR="001A54E6" w:rsidRPr="00912996" w:rsidRDefault="001A54E6" w:rsidP="00394372">
            <w:pPr>
              <w:rPr>
                <w:rFonts w:ascii="Calibri" w:hAnsi="Calibri"/>
                <w:bCs/>
                <w:lang w:eastAsia="ja-JP"/>
              </w:rPr>
            </w:pPr>
            <w:r w:rsidRPr="00912996">
              <w:rPr>
                <w:rFonts w:ascii="Calibri" w:hAnsi="Calibri"/>
                <w:bCs/>
                <w:lang w:eastAsia="ja-JP"/>
              </w:rPr>
              <w:t>147,000,000</w:t>
            </w:r>
          </w:p>
        </w:tc>
        <w:tc>
          <w:tcPr>
            <w:tcW w:w="1260" w:type="dxa"/>
            <w:shd w:val="clear" w:color="auto" w:fill="F2F2F2"/>
            <w:noWrap/>
            <w:hideMark/>
          </w:tcPr>
          <w:p w14:paraId="14E19645" w14:textId="77777777" w:rsidR="001A54E6" w:rsidRPr="00912996" w:rsidRDefault="001A54E6" w:rsidP="00394372">
            <w:pPr>
              <w:rPr>
                <w:rFonts w:ascii="Calibri" w:hAnsi="Calibri"/>
                <w:bCs/>
                <w:lang w:eastAsia="ja-JP"/>
              </w:rPr>
            </w:pPr>
            <w:r w:rsidRPr="00912996">
              <w:rPr>
                <w:rFonts w:ascii="Calibri" w:hAnsi="Calibri"/>
                <w:bCs/>
                <w:lang w:eastAsia="ja-JP"/>
              </w:rPr>
              <w:t>30,000,000</w:t>
            </w:r>
          </w:p>
        </w:tc>
        <w:tc>
          <w:tcPr>
            <w:tcW w:w="1089" w:type="dxa"/>
            <w:shd w:val="clear" w:color="auto" w:fill="F2F2F2"/>
            <w:noWrap/>
            <w:hideMark/>
          </w:tcPr>
          <w:p w14:paraId="2D4EA338"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3CD86021"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53ECA216"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38130680" w14:textId="77777777" w:rsidR="001A54E6" w:rsidRPr="00912996" w:rsidRDefault="001A54E6" w:rsidP="00394372">
            <w:pPr>
              <w:rPr>
                <w:rFonts w:ascii="Calibri" w:hAnsi="Calibri"/>
                <w:bCs/>
                <w:lang w:eastAsia="ja-JP"/>
              </w:rPr>
            </w:pPr>
            <w:r w:rsidRPr="00912996">
              <w:rPr>
                <w:rFonts w:ascii="Calibri" w:hAnsi="Calibri"/>
                <w:bCs/>
                <w:lang w:eastAsia="ja-JP"/>
              </w:rPr>
              <w:t>PMB, PS2, SIDU MB</w:t>
            </w:r>
          </w:p>
        </w:tc>
      </w:tr>
      <w:tr w:rsidR="00AC2FFA" w:rsidRPr="00912996" w14:paraId="11657D34" w14:textId="77777777" w:rsidTr="00E2442E">
        <w:trPr>
          <w:gridAfter w:val="9"/>
          <w:wAfter w:w="15421" w:type="dxa"/>
          <w:trHeight w:val="440"/>
        </w:trPr>
        <w:tc>
          <w:tcPr>
            <w:tcW w:w="625" w:type="dxa"/>
            <w:shd w:val="clear" w:color="auto" w:fill="F2F2F2"/>
            <w:noWrap/>
            <w:hideMark/>
          </w:tcPr>
          <w:p w14:paraId="43057C62" w14:textId="77777777" w:rsidR="001A54E6" w:rsidRPr="00912996" w:rsidRDefault="001A54E6" w:rsidP="00394372">
            <w:pPr>
              <w:rPr>
                <w:rFonts w:ascii="Calibri" w:hAnsi="Calibri"/>
                <w:bCs/>
                <w:lang w:eastAsia="ja-JP"/>
              </w:rPr>
            </w:pPr>
            <w:r w:rsidRPr="00912996">
              <w:rPr>
                <w:rFonts w:ascii="Calibri" w:hAnsi="Calibri"/>
                <w:bCs/>
                <w:lang w:eastAsia="ja-JP"/>
              </w:rPr>
              <w:t>14</w:t>
            </w:r>
          </w:p>
        </w:tc>
        <w:tc>
          <w:tcPr>
            <w:tcW w:w="2250" w:type="dxa"/>
            <w:shd w:val="clear" w:color="auto" w:fill="F2F2F2"/>
            <w:hideMark/>
          </w:tcPr>
          <w:p w14:paraId="448184CE" w14:textId="77777777" w:rsidR="001A54E6" w:rsidRPr="00912996" w:rsidRDefault="001A54E6" w:rsidP="00394372">
            <w:pPr>
              <w:rPr>
                <w:rFonts w:ascii="Calibri" w:hAnsi="Calibri"/>
                <w:bCs/>
                <w:lang w:eastAsia="ja-JP"/>
              </w:rPr>
            </w:pPr>
            <w:r w:rsidRPr="00912996">
              <w:rPr>
                <w:rFonts w:ascii="Calibri" w:hAnsi="Calibri"/>
                <w:bCs/>
                <w:lang w:eastAsia="ja-JP"/>
              </w:rPr>
              <w:t>Modernizare linie de tramvai Bd. Basarabia (între Piața Hurmuzachi și bucla de întoarcere Republica)</w:t>
            </w:r>
          </w:p>
        </w:tc>
        <w:tc>
          <w:tcPr>
            <w:tcW w:w="1530" w:type="dxa"/>
            <w:shd w:val="clear" w:color="auto" w:fill="F2F2F2"/>
            <w:hideMark/>
          </w:tcPr>
          <w:p w14:paraId="37D0BE6F"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5E267BDE"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56AE1CC" w14:textId="77777777" w:rsidR="001A54E6" w:rsidRPr="00912996" w:rsidRDefault="001A54E6" w:rsidP="00394372">
            <w:pPr>
              <w:rPr>
                <w:rFonts w:ascii="Calibri" w:hAnsi="Calibri"/>
                <w:bCs/>
                <w:lang w:eastAsia="ja-JP"/>
              </w:rPr>
            </w:pPr>
            <w:r w:rsidRPr="00912996">
              <w:rPr>
                <w:rFonts w:ascii="Calibri" w:hAnsi="Calibri"/>
                <w:bCs/>
                <w:lang w:eastAsia="ja-JP"/>
              </w:rPr>
              <w:t>122,500,000</w:t>
            </w:r>
          </w:p>
        </w:tc>
        <w:tc>
          <w:tcPr>
            <w:tcW w:w="1260" w:type="dxa"/>
            <w:shd w:val="clear" w:color="auto" w:fill="F2F2F2"/>
            <w:noWrap/>
            <w:hideMark/>
          </w:tcPr>
          <w:p w14:paraId="70650308" w14:textId="77777777" w:rsidR="001A54E6" w:rsidRPr="00912996" w:rsidRDefault="001A54E6" w:rsidP="00394372">
            <w:pPr>
              <w:rPr>
                <w:rFonts w:ascii="Calibri" w:hAnsi="Calibri"/>
                <w:bCs/>
                <w:lang w:eastAsia="ja-JP"/>
              </w:rPr>
            </w:pPr>
            <w:r w:rsidRPr="00912996">
              <w:rPr>
                <w:rFonts w:ascii="Calibri" w:hAnsi="Calibri"/>
                <w:bCs/>
                <w:lang w:eastAsia="ja-JP"/>
              </w:rPr>
              <w:t>25,000,000</w:t>
            </w:r>
          </w:p>
        </w:tc>
        <w:tc>
          <w:tcPr>
            <w:tcW w:w="1089" w:type="dxa"/>
            <w:shd w:val="clear" w:color="auto" w:fill="F2F2F2"/>
            <w:noWrap/>
            <w:hideMark/>
          </w:tcPr>
          <w:p w14:paraId="6E324563"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199CCDFE"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2F9759D3"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5C5DB13E" w14:textId="77777777" w:rsidR="001A54E6" w:rsidRPr="00912996" w:rsidRDefault="001A54E6" w:rsidP="00394372">
            <w:pPr>
              <w:rPr>
                <w:rFonts w:ascii="Calibri" w:hAnsi="Calibri"/>
                <w:bCs/>
                <w:lang w:eastAsia="ja-JP"/>
              </w:rPr>
            </w:pPr>
            <w:r w:rsidRPr="00912996">
              <w:rPr>
                <w:rFonts w:ascii="Calibri" w:hAnsi="Calibri"/>
                <w:bCs/>
                <w:lang w:eastAsia="ja-JP"/>
              </w:rPr>
              <w:t>PMB, PS2, SIDU MB</w:t>
            </w:r>
          </w:p>
        </w:tc>
      </w:tr>
      <w:tr w:rsidR="00AC2FFA" w:rsidRPr="00912996" w14:paraId="00B15B05" w14:textId="77777777" w:rsidTr="00E2442E">
        <w:trPr>
          <w:gridAfter w:val="9"/>
          <w:wAfter w:w="15421" w:type="dxa"/>
          <w:trHeight w:val="804"/>
        </w:trPr>
        <w:tc>
          <w:tcPr>
            <w:tcW w:w="625" w:type="dxa"/>
            <w:shd w:val="clear" w:color="auto" w:fill="F2F2F2"/>
            <w:noWrap/>
            <w:hideMark/>
          </w:tcPr>
          <w:p w14:paraId="7D80FA05" w14:textId="77777777" w:rsidR="001A54E6" w:rsidRPr="00912996" w:rsidRDefault="001A54E6" w:rsidP="00394372">
            <w:pPr>
              <w:rPr>
                <w:rFonts w:ascii="Calibri" w:hAnsi="Calibri"/>
                <w:bCs/>
                <w:lang w:eastAsia="ja-JP"/>
              </w:rPr>
            </w:pPr>
            <w:r w:rsidRPr="00912996">
              <w:rPr>
                <w:rFonts w:ascii="Calibri" w:hAnsi="Calibri"/>
                <w:bCs/>
                <w:lang w:eastAsia="ja-JP"/>
              </w:rPr>
              <w:t>15</w:t>
            </w:r>
          </w:p>
        </w:tc>
        <w:tc>
          <w:tcPr>
            <w:tcW w:w="2250" w:type="dxa"/>
            <w:shd w:val="clear" w:color="auto" w:fill="F2F2F2"/>
            <w:hideMark/>
          </w:tcPr>
          <w:p w14:paraId="5804929E" w14:textId="77777777" w:rsidR="001A54E6" w:rsidRPr="00912996" w:rsidRDefault="001A54E6" w:rsidP="00394372">
            <w:pPr>
              <w:rPr>
                <w:rFonts w:ascii="Calibri" w:hAnsi="Calibri"/>
                <w:bCs/>
                <w:lang w:eastAsia="ja-JP"/>
              </w:rPr>
            </w:pPr>
            <w:r w:rsidRPr="00912996">
              <w:rPr>
                <w:rFonts w:ascii="Calibri" w:hAnsi="Calibri"/>
                <w:bCs/>
                <w:lang w:eastAsia="ja-JP"/>
              </w:rPr>
              <w:t>Modernizare linie de tramvai pe str. Ziduri Moși C2</w:t>
            </w:r>
          </w:p>
        </w:tc>
        <w:tc>
          <w:tcPr>
            <w:tcW w:w="1530" w:type="dxa"/>
            <w:shd w:val="clear" w:color="auto" w:fill="F2F2F2"/>
            <w:hideMark/>
          </w:tcPr>
          <w:p w14:paraId="42799A87"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4E2A12CC"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F1FE936" w14:textId="77777777" w:rsidR="001A54E6" w:rsidRPr="00912996" w:rsidRDefault="001A54E6" w:rsidP="00394372">
            <w:pPr>
              <w:rPr>
                <w:rFonts w:ascii="Calibri" w:hAnsi="Calibri"/>
                <w:bCs/>
                <w:lang w:eastAsia="ja-JP"/>
              </w:rPr>
            </w:pPr>
            <w:r w:rsidRPr="00912996">
              <w:rPr>
                <w:rFonts w:ascii="Calibri" w:hAnsi="Calibri"/>
                <w:bCs/>
                <w:lang w:eastAsia="ja-JP"/>
              </w:rPr>
              <w:t>19,600,000</w:t>
            </w:r>
          </w:p>
        </w:tc>
        <w:tc>
          <w:tcPr>
            <w:tcW w:w="1260" w:type="dxa"/>
            <w:shd w:val="clear" w:color="auto" w:fill="F2F2F2"/>
            <w:noWrap/>
            <w:hideMark/>
          </w:tcPr>
          <w:p w14:paraId="464292EF" w14:textId="77777777" w:rsidR="001A54E6" w:rsidRPr="00912996" w:rsidRDefault="001A54E6" w:rsidP="00394372">
            <w:pPr>
              <w:rPr>
                <w:rFonts w:ascii="Calibri" w:hAnsi="Calibri"/>
                <w:bCs/>
                <w:lang w:eastAsia="ja-JP"/>
              </w:rPr>
            </w:pPr>
            <w:r w:rsidRPr="00912996">
              <w:rPr>
                <w:rFonts w:ascii="Calibri" w:hAnsi="Calibri"/>
                <w:bCs/>
                <w:lang w:eastAsia="ja-JP"/>
              </w:rPr>
              <w:t>4,000,000</w:t>
            </w:r>
          </w:p>
        </w:tc>
        <w:tc>
          <w:tcPr>
            <w:tcW w:w="1089" w:type="dxa"/>
            <w:shd w:val="clear" w:color="auto" w:fill="F2F2F2"/>
            <w:noWrap/>
            <w:hideMark/>
          </w:tcPr>
          <w:p w14:paraId="030BBE42"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748E9EE0"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1E71DA5C"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10D2C3E1"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34D48EBF" w14:textId="77777777" w:rsidTr="00E2442E">
        <w:trPr>
          <w:gridAfter w:val="9"/>
          <w:wAfter w:w="15421" w:type="dxa"/>
          <w:trHeight w:val="804"/>
        </w:trPr>
        <w:tc>
          <w:tcPr>
            <w:tcW w:w="625" w:type="dxa"/>
            <w:shd w:val="clear" w:color="auto" w:fill="F2F2F2"/>
            <w:noWrap/>
            <w:hideMark/>
          </w:tcPr>
          <w:p w14:paraId="2EFD7ED9" w14:textId="77777777" w:rsidR="001A54E6" w:rsidRPr="00912996" w:rsidRDefault="001A54E6" w:rsidP="00394372">
            <w:pPr>
              <w:rPr>
                <w:rFonts w:ascii="Calibri" w:hAnsi="Calibri"/>
                <w:bCs/>
                <w:lang w:eastAsia="ja-JP"/>
              </w:rPr>
            </w:pPr>
            <w:r w:rsidRPr="00912996">
              <w:rPr>
                <w:rFonts w:ascii="Calibri" w:hAnsi="Calibri"/>
                <w:bCs/>
                <w:lang w:eastAsia="ja-JP"/>
              </w:rPr>
              <w:t>16</w:t>
            </w:r>
          </w:p>
        </w:tc>
        <w:tc>
          <w:tcPr>
            <w:tcW w:w="2250" w:type="dxa"/>
            <w:shd w:val="clear" w:color="auto" w:fill="F2F2F2"/>
            <w:hideMark/>
          </w:tcPr>
          <w:p w14:paraId="4DF80EDE" w14:textId="77777777" w:rsidR="001A54E6" w:rsidRPr="00912996" w:rsidRDefault="001A54E6" w:rsidP="00394372">
            <w:pPr>
              <w:rPr>
                <w:rFonts w:ascii="Calibri" w:hAnsi="Calibri"/>
                <w:bCs/>
                <w:lang w:eastAsia="ja-JP"/>
              </w:rPr>
            </w:pPr>
            <w:r w:rsidRPr="00912996">
              <w:rPr>
                <w:rFonts w:ascii="Calibri" w:hAnsi="Calibri"/>
                <w:bCs/>
                <w:lang w:eastAsia="ja-JP"/>
              </w:rPr>
              <w:t>Extinderea rețelei de tramvai pe traseul Bd. Dimitrie Pompeiu – Str. Barbu Văcărescu</w:t>
            </w:r>
            <w:r>
              <w:rPr>
                <w:rFonts w:ascii="Calibri" w:hAnsi="Calibri"/>
                <w:bCs/>
                <w:lang w:eastAsia="ja-JP"/>
              </w:rPr>
              <w:t>; Dimitrie Pompeiu – Pipera (Spitalul Metropolitan)</w:t>
            </w:r>
          </w:p>
        </w:tc>
        <w:tc>
          <w:tcPr>
            <w:tcW w:w="1530" w:type="dxa"/>
            <w:shd w:val="clear" w:color="auto" w:fill="F2F2F2"/>
            <w:hideMark/>
          </w:tcPr>
          <w:p w14:paraId="405F3D4B"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20BF31ED"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1EB161B" w14:textId="77777777" w:rsidR="001A54E6" w:rsidRPr="00912996" w:rsidRDefault="001A54E6" w:rsidP="00394372">
            <w:pPr>
              <w:rPr>
                <w:rFonts w:ascii="Calibri" w:hAnsi="Calibri"/>
                <w:bCs/>
                <w:lang w:eastAsia="ja-JP"/>
              </w:rPr>
            </w:pPr>
            <w:r w:rsidRPr="00912996">
              <w:rPr>
                <w:rFonts w:ascii="Calibri" w:hAnsi="Calibri"/>
                <w:bCs/>
                <w:lang w:eastAsia="ja-JP"/>
              </w:rPr>
              <w:t>4,900,000</w:t>
            </w:r>
          </w:p>
        </w:tc>
        <w:tc>
          <w:tcPr>
            <w:tcW w:w="1260" w:type="dxa"/>
            <w:shd w:val="clear" w:color="auto" w:fill="F2F2F2"/>
            <w:hideMark/>
          </w:tcPr>
          <w:p w14:paraId="12BBEED1" w14:textId="77777777" w:rsidR="001A54E6" w:rsidRPr="00912996" w:rsidRDefault="001A54E6" w:rsidP="00394372">
            <w:pPr>
              <w:rPr>
                <w:rFonts w:ascii="Calibri" w:hAnsi="Calibri"/>
                <w:bCs/>
                <w:lang w:eastAsia="ja-JP"/>
              </w:rPr>
            </w:pPr>
            <w:r w:rsidRPr="00912996">
              <w:rPr>
                <w:rFonts w:ascii="Calibri" w:hAnsi="Calibri"/>
                <w:bCs/>
                <w:lang w:eastAsia="ja-JP"/>
              </w:rPr>
              <w:t>1,000,000</w:t>
            </w:r>
          </w:p>
        </w:tc>
        <w:tc>
          <w:tcPr>
            <w:tcW w:w="1089" w:type="dxa"/>
            <w:shd w:val="clear" w:color="auto" w:fill="F2F2F2"/>
            <w:noWrap/>
            <w:hideMark/>
          </w:tcPr>
          <w:p w14:paraId="4EC575B5"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084179EC"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52EF0C0E"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7AE4D34"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2F4492B0" w14:textId="77777777" w:rsidTr="00E2442E">
        <w:trPr>
          <w:gridAfter w:val="9"/>
          <w:wAfter w:w="15421" w:type="dxa"/>
          <w:trHeight w:val="804"/>
        </w:trPr>
        <w:tc>
          <w:tcPr>
            <w:tcW w:w="625" w:type="dxa"/>
            <w:shd w:val="clear" w:color="auto" w:fill="F2F2F2"/>
            <w:noWrap/>
            <w:hideMark/>
          </w:tcPr>
          <w:p w14:paraId="5974FA78" w14:textId="77777777" w:rsidR="001A54E6" w:rsidRPr="00912996" w:rsidRDefault="001A54E6" w:rsidP="00394372">
            <w:pPr>
              <w:rPr>
                <w:rFonts w:ascii="Calibri" w:hAnsi="Calibri"/>
                <w:bCs/>
                <w:lang w:eastAsia="ja-JP"/>
              </w:rPr>
            </w:pPr>
            <w:r w:rsidRPr="00912996">
              <w:rPr>
                <w:rFonts w:ascii="Calibri" w:hAnsi="Calibri"/>
                <w:bCs/>
                <w:lang w:eastAsia="ja-JP"/>
              </w:rPr>
              <w:t>17</w:t>
            </w:r>
          </w:p>
        </w:tc>
        <w:tc>
          <w:tcPr>
            <w:tcW w:w="2250" w:type="dxa"/>
            <w:shd w:val="clear" w:color="auto" w:fill="F2F2F2"/>
            <w:hideMark/>
          </w:tcPr>
          <w:p w14:paraId="77B9B990" w14:textId="77777777" w:rsidR="001A54E6" w:rsidRPr="00912996" w:rsidRDefault="001A54E6" w:rsidP="00394372">
            <w:pPr>
              <w:rPr>
                <w:rFonts w:ascii="Calibri" w:hAnsi="Calibri"/>
                <w:bCs/>
                <w:lang w:eastAsia="ja-JP"/>
              </w:rPr>
            </w:pPr>
            <w:r w:rsidRPr="00912996">
              <w:rPr>
                <w:rFonts w:ascii="Calibri" w:hAnsi="Calibri"/>
                <w:bCs/>
                <w:lang w:eastAsia="ja-JP"/>
              </w:rPr>
              <w:t>Modernizare linie de tramvai pe Bd. Pache Protopopescu între Piața Iancului și Str. Traian C2</w:t>
            </w:r>
          </w:p>
        </w:tc>
        <w:tc>
          <w:tcPr>
            <w:tcW w:w="1530" w:type="dxa"/>
            <w:shd w:val="clear" w:color="auto" w:fill="F2F2F2"/>
            <w:hideMark/>
          </w:tcPr>
          <w:p w14:paraId="2B10BFB3"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3C970F91"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A3D09D7" w14:textId="77777777" w:rsidR="001A54E6" w:rsidRPr="00912996" w:rsidRDefault="001A54E6" w:rsidP="00394372">
            <w:pPr>
              <w:rPr>
                <w:rFonts w:ascii="Calibri" w:hAnsi="Calibri"/>
                <w:bCs/>
                <w:lang w:eastAsia="ja-JP"/>
              </w:rPr>
            </w:pPr>
            <w:r w:rsidRPr="00912996">
              <w:rPr>
                <w:rFonts w:ascii="Calibri" w:hAnsi="Calibri"/>
                <w:bCs/>
                <w:lang w:eastAsia="ja-JP"/>
              </w:rPr>
              <w:t>30,380,000</w:t>
            </w:r>
          </w:p>
        </w:tc>
        <w:tc>
          <w:tcPr>
            <w:tcW w:w="1260" w:type="dxa"/>
            <w:shd w:val="clear" w:color="auto" w:fill="F2F2F2"/>
            <w:hideMark/>
          </w:tcPr>
          <w:p w14:paraId="62AF409D" w14:textId="77777777" w:rsidR="001A54E6" w:rsidRPr="00912996" w:rsidRDefault="001A54E6" w:rsidP="00394372">
            <w:pPr>
              <w:rPr>
                <w:rFonts w:ascii="Calibri" w:hAnsi="Calibri"/>
                <w:bCs/>
                <w:lang w:eastAsia="ja-JP"/>
              </w:rPr>
            </w:pPr>
            <w:r w:rsidRPr="00912996">
              <w:rPr>
                <w:rFonts w:ascii="Calibri" w:hAnsi="Calibri"/>
                <w:bCs/>
                <w:lang w:eastAsia="ja-JP"/>
              </w:rPr>
              <w:t>6,200,000</w:t>
            </w:r>
          </w:p>
        </w:tc>
        <w:tc>
          <w:tcPr>
            <w:tcW w:w="1089" w:type="dxa"/>
            <w:shd w:val="clear" w:color="auto" w:fill="F2F2F2"/>
            <w:noWrap/>
            <w:hideMark/>
          </w:tcPr>
          <w:p w14:paraId="784EBA1F"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7F473776"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6A27A1FA"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D7DD442"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4AABE9FE" w14:textId="77777777" w:rsidTr="00E2442E">
        <w:trPr>
          <w:gridAfter w:val="9"/>
          <w:wAfter w:w="15421" w:type="dxa"/>
          <w:trHeight w:val="1068"/>
        </w:trPr>
        <w:tc>
          <w:tcPr>
            <w:tcW w:w="625" w:type="dxa"/>
            <w:shd w:val="clear" w:color="auto" w:fill="F2F2F2"/>
            <w:noWrap/>
            <w:hideMark/>
          </w:tcPr>
          <w:p w14:paraId="74BC31F1" w14:textId="77777777" w:rsidR="001A54E6" w:rsidRPr="00912996" w:rsidRDefault="001A54E6" w:rsidP="00394372">
            <w:pPr>
              <w:rPr>
                <w:rFonts w:ascii="Calibri" w:hAnsi="Calibri"/>
                <w:bCs/>
                <w:lang w:eastAsia="ja-JP"/>
              </w:rPr>
            </w:pPr>
            <w:r w:rsidRPr="00912996">
              <w:rPr>
                <w:rFonts w:ascii="Calibri" w:hAnsi="Calibri"/>
                <w:bCs/>
                <w:lang w:eastAsia="ja-JP"/>
              </w:rPr>
              <w:t>18</w:t>
            </w:r>
          </w:p>
        </w:tc>
        <w:tc>
          <w:tcPr>
            <w:tcW w:w="2250" w:type="dxa"/>
            <w:shd w:val="clear" w:color="auto" w:fill="F2F2F2"/>
            <w:hideMark/>
          </w:tcPr>
          <w:p w14:paraId="72D4D9BE" w14:textId="5D38AB25" w:rsidR="001A54E6" w:rsidRPr="00912996" w:rsidRDefault="001A54E6" w:rsidP="00394372">
            <w:pPr>
              <w:rPr>
                <w:rFonts w:ascii="Calibri" w:hAnsi="Calibri"/>
                <w:bCs/>
                <w:lang w:eastAsia="ja-JP"/>
              </w:rPr>
            </w:pPr>
            <w:r w:rsidRPr="00912996">
              <w:rPr>
                <w:rFonts w:ascii="Calibri" w:hAnsi="Calibri"/>
                <w:bCs/>
                <w:lang w:eastAsia="ja-JP"/>
              </w:rPr>
              <w:t>Modernizare linie de tramvai pe Str</w:t>
            </w:r>
            <w:r>
              <w:rPr>
                <w:rFonts w:ascii="Calibri" w:hAnsi="Calibri"/>
                <w:bCs/>
                <w:lang w:eastAsia="ja-JP"/>
              </w:rPr>
              <w:t>.</w:t>
            </w:r>
            <w:r w:rsidRPr="00912996">
              <w:rPr>
                <w:rFonts w:ascii="Calibri" w:hAnsi="Calibri"/>
                <w:bCs/>
                <w:lang w:eastAsia="ja-JP"/>
              </w:rPr>
              <w:t xml:space="preserve"> Reînvierii si str. Turmelor intre str. Lizeanu si sos. Colentina (lucrări modernizare linie de tramvai cale dubla; lucrări la rețeaua de contact aferenta, aparținând STB SA)</w:t>
            </w:r>
          </w:p>
        </w:tc>
        <w:tc>
          <w:tcPr>
            <w:tcW w:w="1530" w:type="dxa"/>
            <w:shd w:val="clear" w:color="auto" w:fill="F2F2F2"/>
            <w:hideMark/>
          </w:tcPr>
          <w:p w14:paraId="6AB23D24"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52E0764D"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8275B37" w14:textId="77777777" w:rsidR="001A54E6" w:rsidRPr="00912996" w:rsidRDefault="001A54E6" w:rsidP="00394372">
            <w:pPr>
              <w:rPr>
                <w:rFonts w:ascii="Calibri" w:hAnsi="Calibri"/>
                <w:bCs/>
                <w:lang w:eastAsia="ja-JP"/>
              </w:rPr>
            </w:pPr>
            <w:r w:rsidRPr="00912996">
              <w:rPr>
                <w:rFonts w:ascii="Calibri" w:hAnsi="Calibri"/>
                <w:bCs/>
                <w:lang w:eastAsia="ja-JP"/>
              </w:rPr>
              <w:t>98,000,000</w:t>
            </w:r>
          </w:p>
        </w:tc>
        <w:tc>
          <w:tcPr>
            <w:tcW w:w="1260" w:type="dxa"/>
            <w:shd w:val="clear" w:color="auto" w:fill="F2F2F2"/>
            <w:hideMark/>
          </w:tcPr>
          <w:p w14:paraId="68E30E64" w14:textId="77777777" w:rsidR="001A54E6" w:rsidRPr="00912996" w:rsidRDefault="001A54E6" w:rsidP="00394372">
            <w:pPr>
              <w:rPr>
                <w:rFonts w:ascii="Calibri" w:hAnsi="Calibri"/>
                <w:bCs/>
                <w:lang w:eastAsia="ja-JP"/>
              </w:rPr>
            </w:pPr>
            <w:r w:rsidRPr="00912996">
              <w:rPr>
                <w:rFonts w:ascii="Calibri" w:hAnsi="Calibri"/>
                <w:bCs/>
                <w:lang w:eastAsia="ja-JP"/>
              </w:rPr>
              <w:t>20,000,000</w:t>
            </w:r>
          </w:p>
        </w:tc>
        <w:tc>
          <w:tcPr>
            <w:tcW w:w="1089" w:type="dxa"/>
            <w:shd w:val="clear" w:color="auto" w:fill="F2F2F2"/>
            <w:noWrap/>
            <w:hideMark/>
          </w:tcPr>
          <w:p w14:paraId="69AC021E"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06DA3967"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7CD8EB9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28D33BDA"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07AD3D24" w14:textId="77777777" w:rsidTr="00E2442E">
        <w:trPr>
          <w:gridAfter w:val="9"/>
          <w:wAfter w:w="15421" w:type="dxa"/>
          <w:trHeight w:val="440"/>
        </w:trPr>
        <w:tc>
          <w:tcPr>
            <w:tcW w:w="625" w:type="dxa"/>
            <w:shd w:val="clear" w:color="auto" w:fill="F2F2F2"/>
            <w:noWrap/>
            <w:hideMark/>
          </w:tcPr>
          <w:p w14:paraId="403CA045" w14:textId="77777777" w:rsidR="001A54E6" w:rsidRPr="00912996" w:rsidRDefault="001A54E6" w:rsidP="00394372">
            <w:pPr>
              <w:rPr>
                <w:rFonts w:ascii="Calibri" w:hAnsi="Calibri"/>
                <w:bCs/>
                <w:lang w:eastAsia="ja-JP"/>
              </w:rPr>
            </w:pPr>
            <w:r w:rsidRPr="00912996">
              <w:rPr>
                <w:rFonts w:ascii="Calibri" w:hAnsi="Calibri"/>
                <w:bCs/>
                <w:lang w:eastAsia="ja-JP"/>
              </w:rPr>
              <w:t>19</w:t>
            </w:r>
          </w:p>
        </w:tc>
        <w:tc>
          <w:tcPr>
            <w:tcW w:w="2250" w:type="dxa"/>
            <w:shd w:val="clear" w:color="auto" w:fill="F2F2F2"/>
            <w:hideMark/>
          </w:tcPr>
          <w:p w14:paraId="70DD5F97" w14:textId="77777777" w:rsidR="001A54E6" w:rsidRPr="00912996" w:rsidRDefault="001A54E6" w:rsidP="00394372">
            <w:pPr>
              <w:rPr>
                <w:rFonts w:ascii="Calibri" w:hAnsi="Calibri"/>
                <w:bCs/>
                <w:lang w:eastAsia="ja-JP"/>
              </w:rPr>
            </w:pPr>
            <w:r w:rsidRPr="00912996">
              <w:rPr>
                <w:rFonts w:ascii="Calibri" w:hAnsi="Calibri"/>
                <w:bCs/>
                <w:lang w:eastAsia="ja-JP"/>
              </w:rPr>
              <w:t>Modernizare linie de tramvai pe Str. Lizeanu si Intrarea Vagonului, intre sos. Stefan cel Mare si str. Maica Domnului , intersecția Str. Maica Domnului- intersecția Str. Reînvierii, inclusive aparatele de cale si rețeaua de contact aferent</w:t>
            </w:r>
            <w:r>
              <w:rPr>
                <w:rFonts w:ascii="Calibri" w:hAnsi="Calibri"/>
                <w:bCs/>
                <w:lang w:eastAsia="ja-JP"/>
              </w:rPr>
              <w:t>ă</w:t>
            </w:r>
          </w:p>
        </w:tc>
        <w:tc>
          <w:tcPr>
            <w:tcW w:w="1530" w:type="dxa"/>
            <w:shd w:val="clear" w:color="auto" w:fill="F2F2F2"/>
            <w:hideMark/>
          </w:tcPr>
          <w:p w14:paraId="77A90C9A"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2B556DC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76037B2" w14:textId="77777777" w:rsidR="001A54E6" w:rsidRPr="00912996" w:rsidRDefault="001A54E6" w:rsidP="00394372">
            <w:pPr>
              <w:rPr>
                <w:rFonts w:ascii="Calibri" w:hAnsi="Calibri"/>
                <w:bCs/>
                <w:lang w:eastAsia="ja-JP"/>
              </w:rPr>
            </w:pPr>
            <w:r w:rsidRPr="00912996">
              <w:rPr>
                <w:rFonts w:ascii="Calibri" w:hAnsi="Calibri"/>
                <w:bCs/>
                <w:lang w:eastAsia="ja-JP"/>
              </w:rPr>
              <w:t>98,000,000</w:t>
            </w:r>
          </w:p>
        </w:tc>
        <w:tc>
          <w:tcPr>
            <w:tcW w:w="1260" w:type="dxa"/>
            <w:shd w:val="clear" w:color="auto" w:fill="F2F2F2"/>
            <w:hideMark/>
          </w:tcPr>
          <w:p w14:paraId="11454C15" w14:textId="77777777" w:rsidR="001A54E6" w:rsidRPr="00912996" w:rsidRDefault="001A54E6" w:rsidP="00394372">
            <w:pPr>
              <w:rPr>
                <w:rFonts w:ascii="Calibri" w:hAnsi="Calibri"/>
                <w:bCs/>
                <w:lang w:eastAsia="ja-JP"/>
              </w:rPr>
            </w:pPr>
            <w:r w:rsidRPr="00912996">
              <w:rPr>
                <w:rFonts w:ascii="Calibri" w:hAnsi="Calibri"/>
                <w:bCs/>
                <w:lang w:eastAsia="ja-JP"/>
              </w:rPr>
              <w:t>20,000,000</w:t>
            </w:r>
          </w:p>
        </w:tc>
        <w:tc>
          <w:tcPr>
            <w:tcW w:w="1089" w:type="dxa"/>
            <w:shd w:val="clear" w:color="auto" w:fill="F2F2F2"/>
            <w:noWrap/>
            <w:hideMark/>
          </w:tcPr>
          <w:p w14:paraId="2A847FBF"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38258C1E"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137D2A8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3D619EC"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3957AE51" w14:textId="77777777" w:rsidTr="00E2442E">
        <w:trPr>
          <w:gridAfter w:val="9"/>
          <w:wAfter w:w="15421" w:type="dxa"/>
          <w:trHeight w:val="804"/>
        </w:trPr>
        <w:tc>
          <w:tcPr>
            <w:tcW w:w="625" w:type="dxa"/>
            <w:shd w:val="clear" w:color="auto" w:fill="F2F2F2"/>
            <w:noWrap/>
            <w:hideMark/>
          </w:tcPr>
          <w:p w14:paraId="1C0F4FB8" w14:textId="77777777" w:rsidR="001A54E6" w:rsidRPr="00912996" w:rsidRDefault="001A54E6" w:rsidP="00394372">
            <w:pPr>
              <w:rPr>
                <w:rFonts w:ascii="Calibri" w:hAnsi="Calibri"/>
                <w:bCs/>
                <w:lang w:eastAsia="ja-JP"/>
              </w:rPr>
            </w:pPr>
            <w:r w:rsidRPr="00912996">
              <w:rPr>
                <w:rFonts w:ascii="Calibri" w:hAnsi="Calibri"/>
                <w:bCs/>
                <w:lang w:eastAsia="ja-JP"/>
              </w:rPr>
              <w:t>20</w:t>
            </w:r>
          </w:p>
        </w:tc>
        <w:tc>
          <w:tcPr>
            <w:tcW w:w="2250" w:type="dxa"/>
            <w:shd w:val="clear" w:color="auto" w:fill="F2F2F2"/>
            <w:hideMark/>
          </w:tcPr>
          <w:p w14:paraId="1271FDD1" w14:textId="77777777" w:rsidR="001A54E6" w:rsidRPr="00912996" w:rsidRDefault="001A54E6" w:rsidP="00394372">
            <w:pPr>
              <w:rPr>
                <w:rFonts w:ascii="Calibri" w:hAnsi="Calibri"/>
                <w:bCs/>
                <w:lang w:eastAsia="ja-JP"/>
              </w:rPr>
            </w:pPr>
            <w:r w:rsidRPr="00912996">
              <w:rPr>
                <w:rFonts w:ascii="Calibri" w:hAnsi="Calibri"/>
                <w:bCs/>
                <w:lang w:eastAsia="ja-JP"/>
              </w:rPr>
              <w:t>Modernizare linie de tramvai pe str. Traian între Bd. Pache Protopopescu și Calea Călărașilor C2</w:t>
            </w:r>
          </w:p>
        </w:tc>
        <w:tc>
          <w:tcPr>
            <w:tcW w:w="1530" w:type="dxa"/>
            <w:shd w:val="clear" w:color="auto" w:fill="F2F2F2"/>
            <w:hideMark/>
          </w:tcPr>
          <w:p w14:paraId="3A2308B4"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6D11A9B2"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9A7F65E" w14:textId="77777777" w:rsidR="001A54E6" w:rsidRPr="00912996" w:rsidRDefault="001A54E6" w:rsidP="00394372">
            <w:pPr>
              <w:rPr>
                <w:rFonts w:ascii="Calibri" w:hAnsi="Calibri"/>
                <w:bCs/>
                <w:lang w:eastAsia="ja-JP"/>
              </w:rPr>
            </w:pPr>
            <w:r w:rsidRPr="00912996">
              <w:rPr>
                <w:rFonts w:ascii="Calibri" w:hAnsi="Calibri"/>
                <w:bCs/>
                <w:lang w:eastAsia="ja-JP"/>
              </w:rPr>
              <w:t>17,926,829</w:t>
            </w:r>
          </w:p>
        </w:tc>
        <w:tc>
          <w:tcPr>
            <w:tcW w:w="1260" w:type="dxa"/>
            <w:shd w:val="clear" w:color="auto" w:fill="F2F2F2"/>
            <w:hideMark/>
          </w:tcPr>
          <w:p w14:paraId="1BA352C9" w14:textId="77777777" w:rsidR="001A54E6" w:rsidRPr="00912996" w:rsidRDefault="001A54E6" w:rsidP="00394372">
            <w:pPr>
              <w:rPr>
                <w:rFonts w:ascii="Calibri" w:hAnsi="Calibri"/>
                <w:bCs/>
                <w:lang w:eastAsia="ja-JP"/>
              </w:rPr>
            </w:pPr>
            <w:r w:rsidRPr="00912996">
              <w:rPr>
                <w:rFonts w:ascii="Calibri" w:hAnsi="Calibri"/>
                <w:bCs/>
                <w:lang w:eastAsia="ja-JP"/>
              </w:rPr>
              <w:t>3,658,537</w:t>
            </w:r>
          </w:p>
        </w:tc>
        <w:tc>
          <w:tcPr>
            <w:tcW w:w="1089" w:type="dxa"/>
            <w:shd w:val="clear" w:color="auto" w:fill="F2F2F2"/>
            <w:noWrap/>
            <w:hideMark/>
          </w:tcPr>
          <w:p w14:paraId="63ABAC4E"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4BFE0A85"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6BE67684"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35D9CDE"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1C6404ED" w14:textId="77777777" w:rsidTr="00E2442E">
        <w:trPr>
          <w:gridAfter w:val="9"/>
          <w:wAfter w:w="15421" w:type="dxa"/>
          <w:trHeight w:val="804"/>
        </w:trPr>
        <w:tc>
          <w:tcPr>
            <w:tcW w:w="625" w:type="dxa"/>
            <w:shd w:val="clear" w:color="auto" w:fill="F2F2F2"/>
            <w:noWrap/>
            <w:hideMark/>
          </w:tcPr>
          <w:p w14:paraId="73C71FB5" w14:textId="77777777" w:rsidR="001A54E6" w:rsidRPr="00912996" w:rsidRDefault="001A54E6" w:rsidP="00394372">
            <w:pPr>
              <w:rPr>
                <w:rFonts w:ascii="Calibri" w:hAnsi="Calibri"/>
                <w:bCs/>
                <w:lang w:eastAsia="ja-JP"/>
              </w:rPr>
            </w:pPr>
            <w:r w:rsidRPr="00912996">
              <w:rPr>
                <w:rFonts w:ascii="Calibri" w:hAnsi="Calibri"/>
                <w:bCs/>
                <w:lang w:eastAsia="ja-JP"/>
              </w:rPr>
              <w:t>21</w:t>
            </w:r>
          </w:p>
        </w:tc>
        <w:tc>
          <w:tcPr>
            <w:tcW w:w="2250" w:type="dxa"/>
            <w:shd w:val="clear" w:color="auto" w:fill="F2F2F2"/>
            <w:hideMark/>
          </w:tcPr>
          <w:p w14:paraId="39184B21" w14:textId="77777777" w:rsidR="001A54E6" w:rsidRPr="00912996" w:rsidRDefault="001A54E6" w:rsidP="00394372">
            <w:pPr>
              <w:rPr>
                <w:rFonts w:ascii="Calibri" w:hAnsi="Calibri"/>
                <w:bCs/>
                <w:lang w:eastAsia="ja-JP"/>
              </w:rPr>
            </w:pPr>
            <w:r w:rsidRPr="00912996">
              <w:rPr>
                <w:rFonts w:ascii="Calibri" w:hAnsi="Calibri"/>
                <w:bCs/>
                <w:lang w:eastAsia="ja-JP"/>
              </w:rPr>
              <w:t>Modernizare linie de tramvai și extindere pe Bd. Dimitrie Pompei</w:t>
            </w:r>
          </w:p>
        </w:tc>
        <w:tc>
          <w:tcPr>
            <w:tcW w:w="1530" w:type="dxa"/>
            <w:shd w:val="clear" w:color="auto" w:fill="F2F2F2"/>
            <w:hideMark/>
          </w:tcPr>
          <w:p w14:paraId="74070BE0"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4D5F76E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2605BCB" w14:textId="77777777" w:rsidR="001A54E6" w:rsidRPr="00912996" w:rsidRDefault="001A54E6" w:rsidP="00394372">
            <w:pPr>
              <w:rPr>
                <w:rFonts w:ascii="Calibri" w:hAnsi="Calibri"/>
                <w:bCs/>
                <w:lang w:eastAsia="ja-JP"/>
              </w:rPr>
            </w:pPr>
            <w:r w:rsidRPr="00912996">
              <w:rPr>
                <w:rFonts w:ascii="Calibri" w:hAnsi="Calibri"/>
                <w:bCs/>
                <w:lang w:eastAsia="ja-JP"/>
              </w:rPr>
              <w:t>34,300,000</w:t>
            </w:r>
          </w:p>
        </w:tc>
        <w:tc>
          <w:tcPr>
            <w:tcW w:w="1260" w:type="dxa"/>
            <w:shd w:val="clear" w:color="auto" w:fill="F2F2F2"/>
            <w:hideMark/>
          </w:tcPr>
          <w:p w14:paraId="25AE7495" w14:textId="77777777" w:rsidR="001A54E6" w:rsidRPr="00912996" w:rsidRDefault="001A54E6" w:rsidP="00394372">
            <w:pPr>
              <w:rPr>
                <w:rFonts w:ascii="Calibri" w:hAnsi="Calibri"/>
                <w:bCs/>
                <w:lang w:eastAsia="ja-JP"/>
              </w:rPr>
            </w:pPr>
            <w:r w:rsidRPr="00912996">
              <w:rPr>
                <w:rFonts w:ascii="Calibri" w:hAnsi="Calibri"/>
                <w:bCs/>
                <w:lang w:eastAsia="ja-JP"/>
              </w:rPr>
              <w:t>7,000,000</w:t>
            </w:r>
          </w:p>
        </w:tc>
        <w:tc>
          <w:tcPr>
            <w:tcW w:w="1089" w:type="dxa"/>
            <w:shd w:val="clear" w:color="auto" w:fill="F2F2F2"/>
            <w:noWrap/>
            <w:hideMark/>
          </w:tcPr>
          <w:p w14:paraId="30BB38F1"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198453F7"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0495D91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3B6F1B9"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03C2EC56" w14:textId="77777777" w:rsidTr="00E2442E">
        <w:trPr>
          <w:gridAfter w:val="9"/>
          <w:wAfter w:w="15421" w:type="dxa"/>
          <w:trHeight w:val="804"/>
        </w:trPr>
        <w:tc>
          <w:tcPr>
            <w:tcW w:w="625" w:type="dxa"/>
            <w:shd w:val="clear" w:color="auto" w:fill="F2F2F2"/>
            <w:noWrap/>
            <w:hideMark/>
          </w:tcPr>
          <w:p w14:paraId="441DACD9" w14:textId="77777777" w:rsidR="001A54E6" w:rsidRPr="00912996" w:rsidRDefault="001A54E6" w:rsidP="00394372">
            <w:pPr>
              <w:rPr>
                <w:rFonts w:ascii="Calibri" w:hAnsi="Calibri"/>
                <w:bCs/>
                <w:lang w:eastAsia="ja-JP"/>
              </w:rPr>
            </w:pPr>
            <w:r w:rsidRPr="00912996">
              <w:rPr>
                <w:rFonts w:ascii="Calibri" w:hAnsi="Calibri"/>
                <w:bCs/>
                <w:lang w:eastAsia="ja-JP"/>
              </w:rPr>
              <w:t>22</w:t>
            </w:r>
          </w:p>
        </w:tc>
        <w:tc>
          <w:tcPr>
            <w:tcW w:w="2250" w:type="dxa"/>
            <w:shd w:val="clear" w:color="auto" w:fill="F2F2F2"/>
            <w:hideMark/>
          </w:tcPr>
          <w:p w14:paraId="417CD5E0" w14:textId="77777777" w:rsidR="001A54E6" w:rsidRPr="00912996" w:rsidRDefault="001A54E6" w:rsidP="00394372">
            <w:pPr>
              <w:rPr>
                <w:rFonts w:ascii="Calibri" w:hAnsi="Calibri"/>
                <w:bCs/>
                <w:lang w:eastAsia="ja-JP"/>
              </w:rPr>
            </w:pPr>
            <w:r w:rsidRPr="00912996">
              <w:rPr>
                <w:rFonts w:ascii="Calibri" w:hAnsi="Calibri"/>
                <w:bCs/>
                <w:lang w:eastAsia="ja-JP"/>
              </w:rPr>
              <w:t>Modernizare linie de tramvai si rețea de contact pe B-dul Dimitrie Pompei de la intersecția cu Sos. Petricani pana la bucla Pipera inclusiv</w:t>
            </w:r>
          </w:p>
        </w:tc>
        <w:tc>
          <w:tcPr>
            <w:tcW w:w="1530" w:type="dxa"/>
            <w:shd w:val="clear" w:color="auto" w:fill="F2F2F2"/>
            <w:hideMark/>
          </w:tcPr>
          <w:p w14:paraId="6D25D26E"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5F06C0E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123D40F" w14:textId="77777777" w:rsidR="001A54E6" w:rsidRPr="00912996" w:rsidRDefault="001A54E6" w:rsidP="00394372">
            <w:pPr>
              <w:rPr>
                <w:rFonts w:ascii="Calibri" w:hAnsi="Calibri"/>
                <w:bCs/>
                <w:lang w:eastAsia="ja-JP"/>
              </w:rPr>
            </w:pPr>
            <w:r w:rsidRPr="00912996">
              <w:rPr>
                <w:rFonts w:ascii="Calibri" w:hAnsi="Calibri"/>
                <w:bCs/>
                <w:lang w:eastAsia="ja-JP"/>
              </w:rPr>
              <w:t>98,000,000</w:t>
            </w:r>
          </w:p>
        </w:tc>
        <w:tc>
          <w:tcPr>
            <w:tcW w:w="1260" w:type="dxa"/>
            <w:shd w:val="clear" w:color="auto" w:fill="F2F2F2"/>
            <w:hideMark/>
          </w:tcPr>
          <w:p w14:paraId="768B115F" w14:textId="77777777" w:rsidR="001A54E6" w:rsidRPr="00912996" w:rsidRDefault="001A54E6" w:rsidP="00394372">
            <w:pPr>
              <w:rPr>
                <w:rFonts w:ascii="Calibri" w:hAnsi="Calibri"/>
                <w:bCs/>
                <w:lang w:eastAsia="ja-JP"/>
              </w:rPr>
            </w:pPr>
            <w:r w:rsidRPr="00912996">
              <w:rPr>
                <w:rFonts w:ascii="Calibri" w:hAnsi="Calibri"/>
                <w:bCs/>
                <w:lang w:eastAsia="ja-JP"/>
              </w:rPr>
              <w:t>20,000,000</w:t>
            </w:r>
          </w:p>
        </w:tc>
        <w:tc>
          <w:tcPr>
            <w:tcW w:w="1089" w:type="dxa"/>
            <w:shd w:val="clear" w:color="auto" w:fill="F2F2F2"/>
            <w:noWrap/>
            <w:hideMark/>
          </w:tcPr>
          <w:p w14:paraId="5026661E"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6C28696F"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6561ADA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6F50A47B"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2DD1FF95" w14:textId="77777777" w:rsidTr="00E2442E">
        <w:trPr>
          <w:gridAfter w:val="9"/>
          <w:wAfter w:w="15421" w:type="dxa"/>
          <w:trHeight w:val="804"/>
        </w:trPr>
        <w:tc>
          <w:tcPr>
            <w:tcW w:w="625" w:type="dxa"/>
            <w:shd w:val="clear" w:color="auto" w:fill="F2F2F2"/>
            <w:noWrap/>
            <w:hideMark/>
          </w:tcPr>
          <w:p w14:paraId="67F15736" w14:textId="77777777" w:rsidR="001A54E6" w:rsidRPr="00912996" w:rsidRDefault="001A54E6" w:rsidP="00394372">
            <w:pPr>
              <w:rPr>
                <w:rFonts w:ascii="Calibri" w:hAnsi="Calibri"/>
                <w:bCs/>
                <w:lang w:eastAsia="ja-JP"/>
              </w:rPr>
            </w:pPr>
            <w:r w:rsidRPr="00912996">
              <w:rPr>
                <w:rFonts w:ascii="Calibri" w:hAnsi="Calibri"/>
                <w:bCs/>
                <w:lang w:eastAsia="ja-JP"/>
              </w:rPr>
              <w:t>23</w:t>
            </w:r>
          </w:p>
        </w:tc>
        <w:tc>
          <w:tcPr>
            <w:tcW w:w="2250" w:type="dxa"/>
            <w:shd w:val="clear" w:color="auto" w:fill="F2F2F2"/>
            <w:hideMark/>
          </w:tcPr>
          <w:p w14:paraId="30ABA6C2" w14:textId="77777777" w:rsidR="001A54E6" w:rsidRPr="00912996" w:rsidRDefault="001A54E6" w:rsidP="00394372">
            <w:pPr>
              <w:rPr>
                <w:rFonts w:ascii="Calibri" w:hAnsi="Calibri"/>
                <w:bCs/>
                <w:lang w:eastAsia="ja-JP"/>
              </w:rPr>
            </w:pPr>
            <w:r w:rsidRPr="00912996">
              <w:rPr>
                <w:rFonts w:ascii="Calibri" w:hAnsi="Calibri"/>
                <w:bCs/>
                <w:lang w:eastAsia="ja-JP"/>
              </w:rPr>
              <w:t xml:space="preserve">Modernizare linie de tramvai si rețea de contact pe Sos. Pantelimon, de la intersecția cu Sos. Iancului pana la intersecția cu B-dul Ferdinand </w:t>
            </w:r>
          </w:p>
        </w:tc>
        <w:tc>
          <w:tcPr>
            <w:tcW w:w="1530" w:type="dxa"/>
            <w:shd w:val="clear" w:color="auto" w:fill="F2F2F2"/>
            <w:hideMark/>
          </w:tcPr>
          <w:p w14:paraId="442928C8"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7A0E655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1553590F" w14:textId="77777777" w:rsidR="001A54E6" w:rsidRPr="00912996" w:rsidRDefault="001A54E6" w:rsidP="00394372">
            <w:pPr>
              <w:rPr>
                <w:rFonts w:ascii="Calibri" w:hAnsi="Calibri"/>
                <w:bCs/>
                <w:lang w:eastAsia="ja-JP"/>
              </w:rPr>
            </w:pPr>
            <w:r w:rsidRPr="00912996">
              <w:rPr>
                <w:rFonts w:ascii="Calibri" w:hAnsi="Calibri"/>
                <w:bCs/>
                <w:lang w:eastAsia="ja-JP"/>
              </w:rPr>
              <w:t>98,000,000</w:t>
            </w:r>
          </w:p>
        </w:tc>
        <w:tc>
          <w:tcPr>
            <w:tcW w:w="1260" w:type="dxa"/>
            <w:shd w:val="clear" w:color="auto" w:fill="F2F2F2"/>
            <w:hideMark/>
          </w:tcPr>
          <w:p w14:paraId="398C57CF" w14:textId="77777777" w:rsidR="001A54E6" w:rsidRPr="00912996" w:rsidRDefault="001A54E6" w:rsidP="00394372">
            <w:pPr>
              <w:rPr>
                <w:rFonts w:ascii="Calibri" w:hAnsi="Calibri"/>
                <w:bCs/>
                <w:lang w:eastAsia="ja-JP"/>
              </w:rPr>
            </w:pPr>
            <w:r w:rsidRPr="00912996">
              <w:rPr>
                <w:rFonts w:ascii="Calibri" w:hAnsi="Calibri"/>
                <w:bCs/>
                <w:lang w:eastAsia="ja-JP"/>
              </w:rPr>
              <w:t>20,000,000</w:t>
            </w:r>
          </w:p>
        </w:tc>
        <w:tc>
          <w:tcPr>
            <w:tcW w:w="1089" w:type="dxa"/>
            <w:shd w:val="clear" w:color="auto" w:fill="F2F2F2"/>
            <w:noWrap/>
            <w:hideMark/>
          </w:tcPr>
          <w:p w14:paraId="5811855A"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3335AFC7"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2DA5363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61DBC6A"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329D5605" w14:textId="77777777" w:rsidTr="00E2442E">
        <w:trPr>
          <w:gridAfter w:val="9"/>
          <w:wAfter w:w="15421" w:type="dxa"/>
          <w:trHeight w:val="804"/>
        </w:trPr>
        <w:tc>
          <w:tcPr>
            <w:tcW w:w="625" w:type="dxa"/>
            <w:shd w:val="clear" w:color="auto" w:fill="F2F2F2"/>
            <w:noWrap/>
            <w:hideMark/>
          </w:tcPr>
          <w:p w14:paraId="6C46BF22" w14:textId="77777777" w:rsidR="001A54E6" w:rsidRPr="00912996" w:rsidRDefault="001A54E6" w:rsidP="00394372">
            <w:pPr>
              <w:rPr>
                <w:rFonts w:ascii="Calibri" w:hAnsi="Calibri"/>
                <w:bCs/>
                <w:lang w:eastAsia="ja-JP"/>
              </w:rPr>
            </w:pPr>
            <w:r w:rsidRPr="00912996">
              <w:rPr>
                <w:rFonts w:ascii="Calibri" w:hAnsi="Calibri"/>
                <w:bCs/>
                <w:lang w:eastAsia="ja-JP"/>
              </w:rPr>
              <w:t>24</w:t>
            </w:r>
          </w:p>
        </w:tc>
        <w:tc>
          <w:tcPr>
            <w:tcW w:w="2250" w:type="dxa"/>
            <w:shd w:val="clear" w:color="auto" w:fill="F2F2F2"/>
            <w:hideMark/>
          </w:tcPr>
          <w:p w14:paraId="711F6A8B" w14:textId="77777777" w:rsidR="001A54E6" w:rsidRPr="00912996" w:rsidRDefault="001A54E6" w:rsidP="00394372">
            <w:pPr>
              <w:rPr>
                <w:rFonts w:ascii="Calibri" w:hAnsi="Calibri"/>
                <w:bCs/>
                <w:lang w:eastAsia="ja-JP"/>
              </w:rPr>
            </w:pPr>
            <w:r w:rsidRPr="00912996">
              <w:rPr>
                <w:rFonts w:ascii="Calibri" w:hAnsi="Calibri"/>
                <w:bCs/>
                <w:lang w:eastAsia="ja-JP"/>
              </w:rPr>
              <w:t>Construcția liniei de tramvai Titan - Piața Delfinului - Doamna Ghica - Petricani - Pipera, in colaborare cu Primăria Municipiului București</w:t>
            </w:r>
          </w:p>
        </w:tc>
        <w:tc>
          <w:tcPr>
            <w:tcW w:w="1530" w:type="dxa"/>
            <w:shd w:val="clear" w:color="auto" w:fill="F2F2F2"/>
            <w:hideMark/>
          </w:tcPr>
          <w:p w14:paraId="5D47459D" w14:textId="77777777" w:rsidR="001A54E6" w:rsidRPr="00912996" w:rsidRDefault="001A54E6" w:rsidP="00394372">
            <w:pPr>
              <w:rPr>
                <w:rFonts w:ascii="Calibri" w:hAnsi="Calibri"/>
                <w:bCs/>
                <w:lang w:eastAsia="ja-JP"/>
              </w:rPr>
            </w:pPr>
            <w:r w:rsidRPr="00912996">
              <w:rPr>
                <w:rFonts w:ascii="Calibri" w:hAnsi="Calibri"/>
                <w:bCs/>
                <w:lang w:eastAsia="ja-JP"/>
              </w:rPr>
              <w:t>PMB, PS2, PS3</w:t>
            </w:r>
          </w:p>
        </w:tc>
        <w:tc>
          <w:tcPr>
            <w:tcW w:w="1620" w:type="dxa"/>
            <w:shd w:val="clear" w:color="auto" w:fill="F2F2F2"/>
            <w:noWrap/>
            <w:hideMark/>
          </w:tcPr>
          <w:p w14:paraId="1246804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5B35738" w14:textId="77777777" w:rsidR="001A54E6" w:rsidRPr="00912996" w:rsidRDefault="001A54E6" w:rsidP="00394372">
            <w:pPr>
              <w:rPr>
                <w:rFonts w:ascii="Calibri" w:hAnsi="Calibri"/>
                <w:bCs/>
                <w:lang w:eastAsia="ja-JP"/>
              </w:rPr>
            </w:pPr>
            <w:r w:rsidRPr="00912996">
              <w:rPr>
                <w:rFonts w:ascii="Calibri" w:hAnsi="Calibri"/>
                <w:bCs/>
                <w:lang w:eastAsia="ja-JP"/>
              </w:rPr>
              <w:t>171,500,000</w:t>
            </w:r>
          </w:p>
        </w:tc>
        <w:tc>
          <w:tcPr>
            <w:tcW w:w="1260" w:type="dxa"/>
            <w:shd w:val="clear" w:color="auto" w:fill="F2F2F2"/>
            <w:noWrap/>
            <w:hideMark/>
          </w:tcPr>
          <w:p w14:paraId="3C25C0C2" w14:textId="77777777" w:rsidR="001A54E6" w:rsidRPr="00912996" w:rsidRDefault="001A54E6" w:rsidP="00394372">
            <w:pPr>
              <w:rPr>
                <w:rFonts w:ascii="Calibri" w:hAnsi="Calibri"/>
                <w:bCs/>
                <w:lang w:eastAsia="ja-JP"/>
              </w:rPr>
            </w:pPr>
            <w:r w:rsidRPr="00912996">
              <w:rPr>
                <w:rFonts w:ascii="Calibri" w:hAnsi="Calibri"/>
                <w:bCs/>
                <w:lang w:eastAsia="ja-JP"/>
              </w:rPr>
              <w:t>35,000,000</w:t>
            </w:r>
          </w:p>
        </w:tc>
        <w:tc>
          <w:tcPr>
            <w:tcW w:w="1089" w:type="dxa"/>
            <w:shd w:val="clear" w:color="auto" w:fill="F2F2F2"/>
            <w:noWrap/>
            <w:hideMark/>
          </w:tcPr>
          <w:p w14:paraId="0F609BE9"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0849ED6C"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17260F6B"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2A2A44C7"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61A8A1A7" w14:textId="77777777" w:rsidTr="00E2442E">
        <w:trPr>
          <w:gridAfter w:val="9"/>
          <w:wAfter w:w="15421" w:type="dxa"/>
          <w:trHeight w:val="780"/>
        </w:trPr>
        <w:tc>
          <w:tcPr>
            <w:tcW w:w="625" w:type="dxa"/>
            <w:shd w:val="clear" w:color="auto" w:fill="F2F2F2"/>
            <w:noWrap/>
            <w:hideMark/>
          </w:tcPr>
          <w:p w14:paraId="58F9BB7B" w14:textId="77777777" w:rsidR="001A54E6" w:rsidRPr="00912996" w:rsidRDefault="001A54E6" w:rsidP="00394372">
            <w:pPr>
              <w:rPr>
                <w:rFonts w:ascii="Calibri" w:hAnsi="Calibri"/>
                <w:bCs/>
                <w:lang w:eastAsia="ja-JP"/>
              </w:rPr>
            </w:pPr>
            <w:r w:rsidRPr="00912996">
              <w:rPr>
                <w:rFonts w:ascii="Calibri" w:hAnsi="Calibri"/>
                <w:bCs/>
                <w:lang w:eastAsia="ja-JP"/>
              </w:rPr>
              <w:t>25</w:t>
            </w:r>
          </w:p>
        </w:tc>
        <w:tc>
          <w:tcPr>
            <w:tcW w:w="2250" w:type="dxa"/>
            <w:shd w:val="clear" w:color="auto" w:fill="F2F2F2"/>
            <w:hideMark/>
          </w:tcPr>
          <w:p w14:paraId="7F9A4A53" w14:textId="77777777" w:rsidR="001A54E6" w:rsidRPr="00912996" w:rsidRDefault="001A54E6" w:rsidP="00394372">
            <w:pPr>
              <w:rPr>
                <w:rFonts w:ascii="Calibri" w:hAnsi="Calibri"/>
                <w:bCs/>
                <w:lang w:eastAsia="ja-JP"/>
              </w:rPr>
            </w:pPr>
            <w:r w:rsidRPr="00912996">
              <w:rPr>
                <w:rFonts w:ascii="Calibri" w:hAnsi="Calibri"/>
                <w:bCs/>
                <w:lang w:eastAsia="ja-JP"/>
              </w:rPr>
              <w:t>Achiziționarea de material rulant tramvaie</w:t>
            </w:r>
          </w:p>
        </w:tc>
        <w:tc>
          <w:tcPr>
            <w:tcW w:w="1530" w:type="dxa"/>
            <w:shd w:val="clear" w:color="auto" w:fill="F2F2F2"/>
            <w:hideMark/>
          </w:tcPr>
          <w:p w14:paraId="5D2260E4" w14:textId="77777777" w:rsidR="001A54E6" w:rsidRPr="00912996" w:rsidRDefault="001A54E6" w:rsidP="00394372">
            <w:pPr>
              <w:rPr>
                <w:rFonts w:ascii="Calibri" w:hAnsi="Calibri"/>
                <w:bCs/>
                <w:lang w:eastAsia="ja-JP"/>
              </w:rPr>
            </w:pPr>
            <w:r w:rsidRPr="00912996">
              <w:rPr>
                <w:rFonts w:ascii="Calibri" w:hAnsi="Calibri"/>
                <w:bCs/>
                <w:lang w:eastAsia="ja-JP"/>
              </w:rPr>
              <w:t>Transport Public București-Ilfov, PMB, Primăriile de sector</w:t>
            </w:r>
          </w:p>
        </w:tc>
        <w:tc>
          <w:tcPr>
            <w:tcW w:w="1620" w:type="dxa"/>
            <w:shd w:val="clear" w:color="auto" w:fill="F2F2F2"/>
            <w:noWrap/>
            <w:hideMark/>
          </w:tcPr>
          <w:p w14:paraId="0AEBE5B8" w14:textId="77777777" w:rsidR="001A54E6" w:rsidRPr="00912996" w:rsidRDefault="001A54E6" w:rsidP="00394372">
            <w:pPr>
              <w:rPr>
                <w:rFonts w:ascii="Calibri" w:hAnsi="Calibri"/>
                <w:bCs/>
                <w:lang w:eastAsia="ja-JP"/>
              </w:rPr>
            </w:pPr>
            <w:r>
              <w:rPr>
                <w:rFonts w:ascii="Calibri" w:hAnsi="Calibri"/>
                <w:bCs/>
                <w:lang w:eastAsia="ja-JP"/>
              </w:rPr>
              <w:t>În implementare</w:t>
            </w:r>
          </w:p>
        </w:tc>
        <w:tc>
          <w:tcPr>
            <w:tcW w:w="1260" w:type="dxa"/>
            <w:shd w:val="clear" w:color="auto" w:fill="F2F2F2"/>
            <w:noWrap/>
            <w:hideMark/>
          </w:tcPr>
          <w:p w14:paraId="16D883FC" w14:textId="77777777" w:rsidR="001A54E6" w:rsidRPr="00912996" w:rsidRDefault="001A54E6" w:rsidP="00394372">
            <w:pPr>
              <w:rPr>
                <w:rFonts w:ascii="Calibri" w:hAnsi="Calibri"/>
                <w:bCs/>
                <w:lang w:eastAsia="ja-JP"/>
              </w:rPr>
            </w:pPr>
            <w:r w:rsidRPr="00912996">
              <w:rPr>
                <w:rFonts w:ascii="Calibri" w:hAnsi="Calibri"/>
                <w:bCs/>
                <w:lang w:eastAsia="ja-JP"/>
              </w:rPr>
              <w:t>3,111,500,000</w:t>
            </w:r>
          </w:p>
        </w:tc>
        <w:tc>
          <w:tcPr>
            <w:tcW w:w="1260" w:type="dxa"/>
            <w:shd w:val="clear" w:color="auto" w:fill="F2F2F2"/>
            <w:noWrap/>
            <w:hideMark/>
          </w:tcPr>
          <w:p w14:paraId="0B4C209C" w14:textId="77777777" w:rsidR="001A54E6" w:rsidRPr="00912996" w:rsidRDefault="001A54E6" w:rsidP="00394372">
            <w:pPr>
              <w:rPr>
                <w:rFonts w:ascii="Calibri" w:hAnsi="Calibri"/>
                <w:bCs/>
                <w:lang w:eastAsia="ja-JP"/>
              </w:rPr>
            </w:pPr>
            <w:r w:rsidRPr="00912996">
              <w:rPr>
                <w:rFonts w:ascii="Calibri" w:hAnsi="Calibri"/>
                <w:bCs/>
                <w:lang w:eastAsia="ja-JP"/>
              </w:rPr>
              <w:t>635,000,000</w:t>
            </w:r>
          </w:p>
        </w:tc>
        <w:tc>
          <w:tcPr>
            <w:tcW w:w="1089" w:type="dxa"/>
            <w:shd w:val="clear" w:color="auto" w:fill="F2F2F2"/>
            <w:noWrap/>
            <w:hideMark/>
          </w:tcPr>
          <w:p w14:paraId="028BADC8"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-2023</w:t>
            </w:r>
          </w:p>
        </w:tc>
        <w:tc>
          <w:tcPr>
            <w:tcW w:w="1881" w:type="dxa"/>
            <w:shd w:val="clear" w:color="auto" w:fill="F2F2F2"/>
            <w:hideMark/>
          </w:tcPr>
          <w:p w14:paraId="43969278"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027DE403"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2A0E61C"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64E5123B" w14:textId="77777777" w:rsidTr="00E2442E">
        <w:trPr>
          <w:gridAfter w:val="9"/>
          <w:wAfter w:w="15421" w:type="dxa"/>
          <w:trHeight w:val="528"/>
        </w:trPr>
        <w:tc>
          <w:tcPr>
            <w:tcW w:w="625" w:type="dxa"/>
            <w:shd w:val="clear" w:color="auto" w:fill="F2F2F2"/>
            <w:noWrap/>
            <w:hideMark/>
          </w:tcPr>
          <w:p w14:paraId="1D4E8093" w14:textId="77777777" w:rsidR="001A54E6" w:rsidRPr="00912996" w:rsidRDefault="001A54E6" w:rsidP="00394372">
            <w:pPr>
              <w:rPr>
                <w:rFonts w:ascii="Calibri" w:hAnsi="Calibri"/>
                <w:bCs/>
                <w:lang w:eastAsia="ja-JP"/>
              </w:rPr>
            </w:pPr>
            <w:r w:rsidRPr="00912996">
              <w:rPr>
                <w:rFonts w:ascii="Calibri" w:hAnsi="Calibri"/>
                <w:bCs/>
                <w:lang w:eastAsia="ja-JP"/>
              </w:rPr>
              <w:t>26</w:t>
            </w:r>
          </w:p>
        </w:tc>
        <w:tc>
          <w:tcPr>
            <w:tcW w:w="2250" w:type="dxa"/>
            <w:shd w:val="clear" w:color="auto" w:fill="F2F2F2"/>
            <w:hideMark/>
          </w:tcPr>
          <w:p w14:paraId="67A7595F" w14:textId="77777777" w:rsidR="001A54E6" w:rsidRPr="00912996" w:rsidRDefault="001A54E6" w:rsidP="00394372">
            <w:pPr>
              <w:rPr>
                <w:rFonts w:ascii="Calibri" w:hAnsi="Calibri"/>
                <w:bCs/>
                <w:lang w:eastAsia="ja-JP"/>
              </w:rPr>
            </w:pPr>
            <w:r w:rsidRPr="00912996">
              <w:rPr>
                <w:rFonts w:ascii="Calibri" w:hAnsi="Calibri"/>
                <w:bCs/>
                <w:lang w:eastAsia="ja-JP"/>
              </w:rPr>
              <w:t>Modernizare Depou Colentina</w:t>
            </w:r>
          </w:p>
        </w:tc>
        <w:tc>
          <w:tcPr>
            <w:tcW w:w="1530" w:type="dxa"/>
            <w:shd w:val="clear" w:color="auto" w:fill="F2F2F2"/>
            <w:hideMark/>
          </w:tcPr>
          <w:p w14:paraId="1A1C86C7"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536B3E08"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5437AC85" w14:textId="77777777" w:rsidR="001A54E6" w:rsidRPr="00912996" w:rsidRDefault="001A54E6" w:rsidP="00394372">
            <w:pPr>
              <w:rPr>
                <w:rFonts w:ascii="Calibri" w:hAnsi="Calibri"/>
                <w:bCs/>
                <w:lang w:eastAsia="ja-JP"/>
              </w:rPr>
            </w:pPr>
            <w:r w:rsidRPr="00912996">
              <w:rPr>
                <w:rFonts w:ascii="Calibri" w:hAnsi="Calibri"/>
                <w:bCs/>
                <w:lang w:eastAsia="ja-JP"/>
              </w:rPr>
              <w:t>444,430,000</w:t>
            </w:r>
          </w:p>
        </w:tc>
        <w:tc>
          <w:tcPr>
            <w:tcW w:w="1260" w:type="dxa"/>
            <w:shd w:val="clear" w:color="auto" w:fill="F2F2F2"/>
            <w:noWrap/>
            <w:hideMark/>
          </w:tcPr>
          <w:p w14:paraId="76E24E91" w14:textId="77777777" w:rsidR="001A54E6" w:rsidRPr="00912996" w:rsidRDefault="001A54E6" w:rsidP="00394372">
            <w:pPr>
              <w:rPr>
                <w:rFonts w:ascii="Calibri" w:hAnsi="Calibri"/>
                <w:bCs/>
                <w:lang w:eastAsia="ja-JP"/>
              </w:rPr>
            </w:pPr>
            <w:r w:rsidRPr="00912996">
              <w:rPr>
                <w:rFonts w:ascii="Calibri" w:hAnsi="Calibri"/>
                <w:bCs/>
                <w:lang w:eastAsia="ja-JP"/>
              </w:rPr>
              <w:t>90,700,000</w:t>
            </w:r>
          </w:p>
        </w:tc>
        <w:tc>
          <w:tcPr>
            <w:tcW w:w="1089" w:type="dxa"/>
            <w:shd w:val="clear" w:color="auto" w:fill="F2F2F2"/>
            <w:noWrap/>
            <w:hideMark/>
          </w:tcPr>
          <w:p w14:paraId="62ED123A"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3BE11728" w14:textId="77777777" w:rsidR="001A54E6" w:rsidRPr="00912996" w:rsidRDefault="001A54E6" w:rsidP="00394372">
            <w:pPr>
              <w:rPr>
                <w:rFonts w:ascii="Calibri" w:hAnsi="Calibri"/>
                <w:bCs/>
                <w:lang w:eastAsia="ja-JP"/>
              </w:rPr>
            </w:pPr>
            <w:r w:rsidRPr="00912996">
              <w:rPr>
                <w:rFonts w:ascii="Calibri" w:hAnsi="Calibri"/>
                <w:bCs/>
                <w:lang w:eastAsia="ja-JP"/>
              </w:rPr>
              <w:t>REGIO - Axa prioritară 4</w:t>
            </w:r>
          </w:p>
        </w:tc>
        <w:tc>
          <w:tcPr>
            <w:tcW w:w="1260" w:type="dxa"/>
            <w:shd w:val="clear" w:color="auto" w:fill="F2F2F2"/>
            <w:hideMark/>
          </w:tcPr>
          <w:p w14:paraId="45423C70"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1915658A"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57022E3C" w14:textId="77777777" w:rsidTr="00E2442E">
        <w:trPr>
          <w:gridAfter w:val="9"/>
          <w:wAfter w:w="15421" w:type="dxa"/>
          <w:trHeight w:val="804"/>
        </w:trPr>
        <w:tc>
          <w:tcPr>
            <w:tcW w:w="625" w:type="dxa"/>
            <w:shd w:val="clear" w:color="auto" w:fill="F2F2F2"/>
            <w:noWrap/>
            <w:hideMark/>
          </w:tcPr>
          <w:p w14:paraId="42F95CFE" w14:textId="77777777" w:rsidR="001A54E6" w:rsidRPr="00912996" w:rsidRDefault="001A54E6" w:rsidP="00394372">
            <w:pPr>
              <w:rPr>
                <w:rFonts w:ascii="Calibri" w:hAnsi="Calibri"/>
                <w:bCs/>
                <w:lang w:eastAsia="ja-JP"/>
              </w:rPr>
            </w:pPr>
            <w:r w:rsidRPr="00912996">
              <w:rPr>
                <w:rFonts w:ascii="Calibri" w:hAnsi="Calibri"/>
                <w:bCs/>
                <w:lang w:eastAsia="ja-JP"/>
              </w:rPr>
              <w:t>27</w:t>
            </w:r>
          </w:p>
        </w:tc>
        <w:tc>
          <w:tcPr>
            <w:tcW w:w="2250" w:type="dxa"/>
            <w:shd w:val="clear" w:color="auto" w:fill="F2F2F2"/>
            <w:hideMark/>
          </w:tcPr>
          <w:p w14:paraId="737143E7" w14:textId="77777777" w:rsidR="001A54E6" w:rsidRPr="00912996" w:rsidRDefault="001A54E6" w:rsidP="00394372">
            <w:pPr>
              <w:rPr>
                <w:rFonts w:ascii="Calibri" w:hAnsi="Calibri"/>
                <w:bCs/>
                <w:lang w:eastAsia="ja-JP"/>
              </w:rPr>
            </w:pPr>
            <w:r w:rsidRPr="00912996">
              <w:rPr>
                <w:rFonts w:ascii="Calibri" w:hAnsi="Calibri"/>
                <w:bCs/>
                <w:lang w:eastAsia="ja-JP"/>
              </w:rPr>
              <w:t>Depou nou de tramvai Colentina</w:t>
            </w:r>
            <w:r>
              <w:rPr>
                <w:rFonts w:ascii="Calibri" w:hAnsi="Calibri"/>
                <w:bCs/>
                <w:lang w:eastAsia="ja-JP"/>
              </w:rPr>
              <w:t xml:space="preserve"> + Park &amp; Ride</w:t>
            </w:r>
          </w:p>
        </w:tc>
        <w:tc>
          <w:tcPr>
            <w:tcW w:w="1530" w:type="dxa"/>
            <w:shd w:val="clear" w:color="auto" w:fill="F2F2F2"/>
            <w:hideMark/>
          </w:tcPr>
          <w:p w14:paraId="5B46E7A2"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4A310F49"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72450C4" w14:textId="77777777" w:rsidR="001A54E6" w:rsidRPr="00912996" w:rsidRDefault="001A54E6" w:rsidP="00394372">
            <w:pPr>
              <w:rPr>
                <w:rFonts w:ascii="Calibri" w:hAnsi="Calibri"/>
                <w:bCs/>
                <w:lang w:eastAsia="ja-JP"/>
              </w:rPr>
            </w:pPr>
            <w:r w:rsidRPr="00912996">
              <w:rPr>
                <w:rFonts w:ascii="Calibri" w:hAnsi="Calibri"/>
                <w:bCs/>
                <w:lang w:eastAsia="ja-JP"/>
              </w:rPr>
              <w:t>147,000,000</w:t>
            </w:r>
          </w:p>
        </w:tc>
        <w:tc>
          <w:tcPr>
            <w:tcW w:w="1260" w:type="dxa"/>
            <w:shd w:val="clear" w:color="auto" w:fill="F2F2F2"/>
            <w:noWrap/>
            <w:hideMark/>
          </w:tcPr>
          <w:p w14:paraId="273B429A" w14:textId="77777777" w:rsidR="001A54E6" w:rsidRPr="00912996" w:rsidRDefault="001A54E6" w:rsidP="00394372">
            <w:pPr>
              <w:rPr>
                <w:rFonts w:ascii="Calibri" w:hAnsi="Calibri"/>
                <w:bCs/>
                <w:lang w:eastAsia="ja-JP"/>
              </w:rPr>
            </w:pPr>
            <w:r w:rsidRPr="00912996">
              <w:rPr>
                <w:rFonts w:ascii="Calibri" w:hAnsi="Calibri"/>
                <w:bCs/>
                <w:lang w:eastAsia="ja-JP"/>
              </w:rPr>
              <w:t>30,000,000</w:t>
            </w:r>
          </w:p>
        </w:tc>
        <w:tc>
          <w:tcPr>
            <w:tcW w:w="1089" w:type="dxa"/>
            <w:shd w:val="clear" w:color="auto" w:fill="F2F2F2"/>
            <w:noWrap/>
            <w:hideMark/>
          </w:tcPr>
          <w:p w14:paraId="2776C7CB"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12DB72EB" w14:textId="77777777" w:rsidR="001A54E6" w:rsidRPr="00912996" w:rsidRDefault="001A54E6" w:rsidP="00394372">
            <w:pPr>
              <w:rPr>
                <w:rFonts w:ascii="Calibri" w:hAnsi="Calibri"/>
                <w:bCs/>
                <w:lang w:eastAsia="ja-JP"/>
              </w:rPr>
            </w:pPr>
            <w:r w:rsidRPr="00912996">
              <w:rPr>
                <w:rFonts w:ascii="Calibri" w:hAnsi="Calibri"/>
                <w:bCs/>
                <w:lang w:eastAsia="ja-JP"/>
              </w:rPr>
              <w:t>PNRR C4, C10, POR BI 2021 - 2027 P 4, Alte surse de finanțare</w:t>
            </w:r>
          </w:p>
        </w:tc>
        <w:tc>
          <w:tcPr>
            <w:tcW w:w="1260" w:type="dxa"/>
            <w:shd w:val="clear" w:color="auto" w:fill="F2F2F2"/>
            <w:hideMark/>
          </w:tcPr>
          <w:p w14:paraId="07D44F6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76F603F1"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57A94A54" w14:textId="77777777" w:rsidTr="00E2442E">
        <w:trPr>
          <w:gridAfter w:val="9"/>
          <w:wAfter w:w="15421" w:type="dxa"/>
          <w:trHeight w:val="530"/>
        </w:trPr>
        <w:tc>
          <w:tcPr>
            <w:tcW w:w="625" w:type="dxa"/>
            <w:shd w:val="clear" w:color="auto" w:fill="F2F2F2"/>
            <w:noWrap/>
            <w:hideMark/>
          </w:tcPr>
          <w:p w14:paraId="09B48D0A" w14:textId="77777777" w:rsidR="001A54E6" w:rsidRPr="00912996" w:rsidRDefault="001A54E6" w:rsidP="00394372">
            <w:pPr>
              <w:rPr>
                <w:rFonts w:ascii="Calibri" w:hAnsi="Calibri"/>
                <w:bCs/>
                <w:lang w:eastAsia="ja-JP"/>
              </w:rPr>
            </w:pPr>
            <w:r w:rsidRPr="00912996">
              <w:rPr>
                <w:rFonts w:ascii="Calibri" w:hAnsi="Calibri"/>
                <w:bCs/>
                <w:lang w:eastAsia="ja-JP"/>
              </w:rPr>
              <w:t>28</w:t>
            </w:r>
          </w:p>
        </w:tc>
        <w:tc>
          <w:tcPr>
            <w:tcW w:w="2250" w:type="dxa"/>
            <w:shd w:val="clear" w:color="auto" w:fill="F2F2F2"/>
            <w:hideMark/>
          </w:tcPr>
          <w:p w14:paraId="6E9378EB" w14:textId="77777777" w:rsidR="001A54E6" w:rsidRPr="00912996" w:rsidRDefault="001A54E6" w:rsidP="00394372">
            <w:pPr>
              <w:rPr>
                <w:rFonts w:ascii="Calibri" w:hAnsi="Calibri"/>
                <w:bCs/>
                <w:lang w:eastAsia="ja-JP"/>
              </w:rPr>
            </w:pPr>
            <w:r w:rsidRPr="00912996">
              <w:rPr>
                <w:rFonts w:ascii="Calibri" w:hAnsi="Calibri"/>
                <w:bCs/>
                <w:lang w:eastAsia="ja-JP"/>
              </w:rPr>
              <w:t>Prelungirea magistralei M5 de metrou – tronsonul Eroilor – Piața Iancului (4.5 km – 6 stații)</w:t>
            </w:r>
          </w:p>
        </w:tc>
        <w:tc>
          <w:tcPr>
            <w:tcW w:w="1530" w:type="dxa"/>
            <w:shd w:val="clear" w:color="auto" w:fill="F2F2F2"/>
            <w:hideMark/>
          </w:tcPr>
          <w:p w14:paraId="2A92C9BB"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isterul</w:t>
            </w:r>
            <w:r w:rsidRPr="00912996">
              <w:rPr>
                <w:rFonts w:ascii="Calibri" w:hAnsi="Calibri"/>
                <w:bCs/>
                <w:lang w:eastAsia="ja-JP"/>
              </w:rPr>
              <w:t xml:space="preserve"> Transporturilor, PS2</w:t>
            </w:r>
          </w:p>
        </w:tc>
        <w:tc>
          <w:tcPr>
            <w:tcW w:w="1620" w:type="dxa"/>
            <w:shd w:val="clear" w:color="auto" w:fill="F2F2F2"/>
            <w:noWrap/>
            <w:hideMark/>
          </w:tcPr>
          <w:p w14:paraId="5C51D63C" w14:textId="77777777" w:rsidR="001A54E6" w:rsidRPr="00912996" w:rsidRDefault="001A54E6" w:rsidP="00394372">
            <w:pPr>
              <w:rPr>
                <w:rFonts w:ascii="Calibri" w:hAnsi="Calibri"/>
                <w:bCs/>
                <w:lang w:eastAsia="ja-JP"/>
              </w:rPr>
            </w:pPr>
            <w:r w:rsidRPr="00912996">
              <w:rPr>
                <w:rFonts w:ascii="Calibri" w:hAnsi="Calibri"/>
                <w:bCs/>
                <w:lang w:eastAsia="ja-JP"/>
              </w:rPr>
              <w:t>Proiectare și asistență tehnică</w:t>
            </w:r>
          </w:p>
        </w:tc>
        <w:tc>
          <w:tcPr>
            <w:tcW w:w="1260" w:type="dxa"/>
            <w:shd w:val="clear" w:color="auto" w:fill="F2F2F2"/>
            <w:noWrap/>
            <w:hideMark/>
          </w:tcPr>
          <w:p w14:paraId="4A94AAB1" w14:textId="77777777" w:rsidR="001A54E6" w:rsidRPr="00912996" w:rsidRDefault="001A54E6" w:rsidP="00394372">
            <w:pPr>
              <w:rPr>
                <w:rFonts w:ascii="Calibri" w:hAnsi="Calibri"/>
                <w:bCs/>
                <w:lang w:eastAsia="ja-JP"/>
              </w:rPr>
            </w:pPr>
            <w:r w:rsidRPr="00912996">
              <w:rPr>
                <w:rFonts w:ascii="Calibri" w:hAnsi="Calibri"/>
                <w:bCs/>
                <w:lang w:eastAsia="ja-JP"/>
              </w:rPr>
              <w:t>7,497,000,000</w:t>
            </w:r>
          </w:p>
        </w:tc>
        <w:tc>
          <w:tcPr>
            <w:tcW w:w="1260" w:type="dxa"/>
            <w:shd w:val="clear" w:color="auto" w:fill="F2F2F2"/>
            <w:noWrap/>
            <w:hideMark/>
          </w:tcPr>
          <w:p w14:paraId="44651B8C" w14:textId="77777777" w:rsidR="001A54E6" w:rsidRPr="00912996" w:rsidRDefault="001A54E6" w:rsidP="00394372">
            <w:pPr>
              <w:rPr>
                <w:rFonts w:ascii="Calibri" w:hAnsi="Calibri"/>
                <w:bCs/>
                <w:lang w:eastAsia="ja-JP"/>
              </w:rPr>
            </w:pPr>
            <w:r w:rsidRPr="00912996">
              <w:rPr>
                <w:rFonts w:ascii="Calibri" w:hAnsi="Calibri"/>
                <w:bCs/>
                <w:lang w:eastAsia="ja-JP"/>
              </w:rPr>
              <w:t>1,530,000,000</w:t>
            </w:r>
          </w:p>
        </w:tc>
        <w:tc>
          <w:tcPr>
            <w:tcW w:w="1089" w:type="dxa"/>
            <w:shd w:val="clear" w:color="auto" w:fill="F2F2F2"/>
            <w:noWrap/>
            <w:hideMark/>
          </w:tcPr>
          <w:p w14:paraId="75DE9C21"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781888C2"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60437488"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16DA8191" w14:textId="77777777" w:rsidR="001A54E6" w:rsidRPr="00912996" w:rsidRDefault="001A54E6" w:rsidP="00394372">
            <w:pPr>
              <w:rPr>
                <w:rFonts w:ascii="Calibri" w:hAnsi="Calibri"/>
                <w:bCs/>
                <w:lang w:eastAsia="ja-JP"/>
              </w:rPr>
            </w:pPr>
            <w:r w:rsidRPr="00912996">
              <w:rPr>
                <w:rFonts w:ascii="Calibri" w:hAnsi="Calibri"/>
                <w:bCs/>
                <w:lang w:eastAsia="ja-JP"/>
              </w:rPr>
              <w:t>Planul investițional de transport 2021-2030, SIDU MB</w:t>
            </w:r>
          </w:p>
        </w:tc>
      </w:tr>
      <w:tr w:rsidR="00AC2FFA" w:rsidRPr="00912996" w14:paraId="746CE67F" w14:textId="77777777" w:rsidTr="00E2442E">
        <w:trPr>
          <w:gridAfter w:val="9"/>
          <w:wAfter w:w="15421" w:type="dxa"/>
          <w:trHeight w:val="1056"/>
        </w:trPr>
        <w:tc>
          <w:tcPr>
            <w:tcW w:w="625" w:type="dxa"/>
            <w:shd w:val="clear" w:color="auto" w:fill="F2F2F2"/>
            <w:noWrap/>
            <w:hideMark/>
          </w:tcPr>
          <w:p w14:paraId="14954A44" w14:textId="77777777" w:rsidR="001A54E6" w:rsidRPr="00912996" w:rsidRDefault="001A54E6" w:rsidP="00394372">
            <w:pPr>
              <w:rPr>
                <w:rFonts w:ascii="Calibri" w:hAnsi="Calibri"/>
                <w:bCs/>
                <w:lang w:eastAsia="ja-JP"/>
              </w:rPr>
            </w:pPr>
            <w:r w:rsidRPr="00912996">
              <w:rPr>
                <w:rFonts w:ascii="Calibri" w:hAnsi="Calibri"/>
                <w:bCs/>
                <w:lang w:eastAsia="ja-JP"/>
              </w:rPr>
              <w:t>29</w:t>
            </w:r>
          </w:p>
        </w:tc>
        <w:tc>
          <w:tcPr>
            <w:tcW w:w="2250" w:type="dxa"/>
            <w:shd w:val="clear" w:color="auto" w:fill="F2F2F2"/>
            <w:hideMark/>
          </w:tcPr>
          <w:p w14:paraId="3E4ECCB3" w14:textId="77777777" w:rsidR="001A54E6" w:rsidRPr="00912996" w:rsidRDefault="001A54E6" w:rsidP="00394372">
            <w:pPr>
              <w:rPr>
                <w:rFonts w:ascii="Calibri" w:hAnsi="Calibri"/>
                <w:bCs/>
                <w:lang w:eastAsia="ja-JP"/>
              </w:rPr>
            </w:pPr>
            <w:r w:rsidRPr="00912996">
              <w:rPr>
                <w:rFonts w:ascii="Calibri" w:hAnsi="Calibri"/>
                <w:bCs/>
                <w:lang w:eastAsia="ja-JP"/>
              </w:rPr>
              <w:t>Realizare linie metrou M7 Bragadiru – Voluntari (26 km, 27 stații, 2 depouri)</w:t>
            </w:r>
          </w:p>
        </w:tc>
        <w:tc>
          <w:tcPr>
            <w:tcW w:w="1530" w:type="dxa"/>
            <w:shd w:val="clear" w:color="auto" w:fill="F2F2F2"/>
            <w:hideMark/>
          </w:tcPr>
          <w:p w14:paraId="700FB921"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isterul</w:t>
            </w:r>
            <w:r w:rsidRPr="00912996">
              <w:rPr>
                <w:rFonts w:ascii="Calibri" w:hAnsi="Calibri"/>
                <w:bCs/>
                <w:lang w:eastAsia="ja-JP"/>
              </w:rPr>
              <w:t xml:space="preserve"> Transporturilor, PS2</w:t>
            </w:r>
          </w:p>
        </w:tc>
        <w:tc>
          <w:tcPr>
            <w:tcW w:w="1620" w:type="dxa"/>
            <w:shd w:val="clear" w:color="auto" w:fill="F2F2F2"/>
            <w:noWrap/>
            <w:hideMark/>
          </w:tcPr>
          <w:p w14:paraId="263E197B"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7644C24" w14:textId="77777777" w:rsidR="001A54E6" w:rsidRPr="00912996" w:rsidRDefault="001A54E6" w:rsidP="00394372">
            <w:pPr>
              <w:rPr>
                <w:rFonts w:ascii="Calibri" w:hAnsi="Calibri"/>
                <w:bCs/>
                <w:lang w:eastAsia="ja-JP"/>
              </w:rPr>
            </w:pPr>
            <w:r w:rsidRPr="00912996">
              <w:rPr>
                <w:rFonts w:ascii="Calibri" w:hAnsi="Calibri"/>
                <w:bCs/>
                <w:lang w:eastAsia="ja-JP"/>
              </w:rPr>
              <w:t>12,103,000,000</w:t>
            </w:r>
          </w:p>
        </w:tc>
        <w:tc>
          <w:tcPr>
            <w:tcW w:w="1260" w:type="dxa"/>
            <w:shd w:val="clear" w:color="auto" w:fill="F2F2F2"/>
            <w:noWrap/>
            <w:hideMark/>
          </w:tcPr>
          <w:p w14:paraId="1DC9CD5C" w14:textId="77777777" w:rsidR="001A54E6" w:rsidRPr="00912996" w:rsidRDefault="001A54E6" w:rsidP="00394372">
            <w:pPr>
              <w:rPr>
                <w:rFonts w:ascii="Calibri" w:hAnsi="Calibri"/>
                <w:bCs/>
                <w:lang w:eastAsia="ja-JP"/>
              </w:rPr>
            </w:pPr>
            <w:r w:rsidRPr="00912996">
              <w:rPr>
                <w:rFonts w:ascii="Calibri" w:hAnsi="Calibri"/>
                <w:bCs/>
                <w:lang w:eastAsia="ja-JP"/>
              </w:rPr>
              <w:t>2,470,000,000</w:t>
            </w:r>
          </w:p>
        </w:tc>
        <w:tc>
          <w:tcPr>
            <w:tcW w:w="1089" w:type="dxa"/>
            <w:shd w:val="clear" w:color="auto" w:fill="F2F2F2"/>
            <w:noWrap/>
            <w:hideMark/>
          </w:tcPr>
          <w:p w14:paraId="61D7F273" w14:textId="77777777" w:rsidR="001A54E6" w:rsidRPr="00912996" w:rsidRDefault="001A54E6" w:rsidP="00394372">
            <w:pPr>
              <w:rPr>
                <w:rFonts w:ascii="Calibri" w:hAnsi="Calibri"/>
                <w:bCs/>
                <w:lang w:eastAsia="ja-JP"/>
              </w:rPr>
            </w:pPr>
            <w:r w:rsidRPr="00912996">
              <w:rPr>
                <w:rFonts w:ascii="Calibri" w:hAnsi="Calibri"/>
                <w:bCs/>
                <w:lang w:eastAsia="ja-JP"/>
              </w:rPr>
              <w:t>2027</w:t>
            </w:r>
            <w:r>
              <w:rPr>
                <w:rFonts w:ascii="Calibri" w:hAnsi="Calibri"/>
                <w:bCs/>
                <w:lang w:eastAsia="ja-JP"/>
              </w:rPr>
              <w:t xml:space="preserve"> </w:t>
            </w:r>
            <w:r w:rsidRPr="00912996">
              <w:rPr>
                <w:rFonts w:ascii="Calibri" w:hAnsi="Calibri"/>
                <w:bCs/>
                <w:lang w:eastAsia="ja-JP"/>
              </w:rPr>
              <w:t>-2037</w:t>
            </w:r>
          </w:p>
        </w:tc>
        <w:tc>
          <w:tcPr>
            <w:tcW w:w="1881" w:type="dxa"/>
            <w:shd w:val="clear" w:color="auto" w:fill="F2F2F2"/>
            <w:hideMark/>
          </w:tcPr>
          <w:p w14:paraId="347D102D"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3CE2657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545C4FC4" w14:textId="77777777" w:rsidR="001A54E6" w:rsidRPr="00912996" w:rsidRDefault="001A54E6" w:rsidP="00394372">
            <w:pPr>
              <w:rPr>
                <w:rFonts w:ascii="Calibri" w:hAnsi="Calibri"/>
                <w:bCs/>
                <w:lang w:eastAsia="ja-JP"/>
              </w:rPr>
            </w:pPr>
            <w:r w:rsidRPr="00912996">
              <w:rPr>
                <w:rFonts w:ascii="Calibri" w:hAnsi="Calibri"/>
                <w:bCs/>
                <w:lang w:eastAsia="ja-JP"/>
              </w:rPr>
              <w:t>Planul investițional de transport 2021-2030, SIDU MB, PMUD-BI</w:t>
            </w:r>
          </w:p>
        </w:tc>
      </w:tr>
      <w:tr w:rsidR="00AC2FFA" w:rsidRPr="00912996" w14:paraId="4A37E7D5" w14:textId="77777777" w:rsidTr="00E2442E">
        <w:trPr>
          <w:gridAfter w:val="9"/>
          <w:wAfter w:w="15421" w:type="dxa"/>
          <w:trHeight w:val="540"/>
        </w:trPr>
        <w:tc>
          <w:tcPr>
            <w:tcW w:w="625" w:type="dxa"/>
            <w:shd w:val="clear" w:color="auto" w:fill="F2F2F2"/>
            <w:noWrap/>
            <w:hideMark/>
          </w:tcPr>
          <w:p w14:paraId="10D37D3E" w14:textId="77777777" w:rsidR="001A54E6" w:rsidRPr="00912996" w:rsidRDefault="001A54E6" w:rsidP="00394372">
            <w:pPr>
              <w:rPr>
                <w:rFonts w:ascii="Calibri" w:hAnsi="Calibri"/>
                <w:bCs/>
                <w:lang w:eastAsia="ja-JP"/>
              </w:rPr>
            </w:pPr>
            <w:r w:rsidRPr="00912996">
              <w:rPr>
                <w:rFonts w:ascii="Calibri" w:hAnsi="Calibri"/>
                <w:bCs/>
                <w:lang w:eastAsia="ja-JP"/>
              </w:rPr>
              <w:t>30</w:t>
            </w:r>
          </w:p>
        </w:tc>
        <w:tc>
          <w:tcPr>
            <w:tcW w:w="2250" w:type="dxa"/>
            <w:shd w:val="clear" w:color="auto" w:fill="F2F2F2"/>
            <w:hideMark/>
          </w:tcPr>
          <w:p w14:paraId="1C78649B" w14:textId="77777777" w:rsidR="001A54E6" w:rsidRPr="00912996" w:rsidRDefault="001A54E6" w:rsidP="00394372">
            <w:pPr>
              <w:rPr>
                <w:rFonts w:ascii="Calibri" w:hAnsi="Calibri"/>
                <w:bCs/>
                <w:lang w:eastAsia="ja-JP"/>
              </w:rPr>
            </w:pPr>
            <w:r w:rsidRPr="00912996">
              <w:rPr>
                <w:rFonts w:ascii="Calibri" w:hAnsi="Calibri"/>
                <w:bCs/>
                <w:lang w:eastAsia="ja-JP"/>
              </w:rPr>
              <w:t>Achiziția de material rulant pentru M5 Râul Doamnei – Pantelimon (43 trenuri cu 6 vagoane)</w:t>
            </w:r>
          </w:p>
        </w:tc>
        <w:tc>
          <w:tcPr>
            <w:tcW w:w="1530" w:type="dxa"/>
            <w:shd w:val="clear" w:color="auto" w:fill="F2F2F2"/>
            <w:hideMark/>
          </w:tcPr>
          <w:p w14:paraId="51B840CF" w14:textId="77777777" w:rsidR="001A54E6" w:rsidRPr="00912996" w:rsidRDefault="001A54E6" w:rsidP="00394372">
            <w:pPr>
              <w:rPr>
                <w:rFonts w:ascii="Calibri" w:hAnsi="Calibri"/>
                <w:bCs/>
                <w:lang w:eastAsia="ja-JP"/>
              </w:rPr>
            </w:pPr>
            <w:r w:rsidRPr="00912996">
              <w:rPr>
                <w:rFonts w:ascii="Calibri" w:hAnsi="Calibri"/>
                <w:bCs/>
                <w:lang w:eastAsia="ja-JP"/>
              </w:rPr>
              <w:t>PMB, Metrorex, Min</w:t>
            </w:r>
            <w:r>
              <w:rPr>
                <w:rFonts w:ascii="Calibri" w:hAnsi="Calibri"/>
                <w:bCs/>
                <w:lang w:eastAsia="ja-JP"/>
              </w:rPr>
              <w:t>isterul</w:t>
            </w:r>
            <w:r w:rsidRPr="00912996">
              <w:rPr>
                <w:rFonts w:ascii="Calibri" w:hAnsi="Calibri"/>
                <w:bCs/>
                <w:lang w:eastAsia="ja-JP"/>
              </w:rPr>
              <w:t xml:space="preserve"> Transporturilor</w:t>
            </w:r>
          </w:p>
        </w:tc>
        <w:tc>
          <w:tcPr>
            <w:tcW w:w="1620" w:type="dxa"/>
            <w:shd w:val="clear" w:color="auto" w:fill="F2F2F2"/>
            <w:noWrap/>
            <w:hideMark/>
          </w:tcPr>
          <w:p w14:paraId="249B2F6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7075381C" w14:textId="77777777" w:rsidR="001A54E6" w:rsidRPr="00912996" w:rsidRDefault="001A54E6" w:rsidP="00394372">
            <w:pPr>
              <w:rPr>
                <w:rFonts w:ascii="Calibri" w:hAnsi="Calibri"/>
                <w:bCs/>
                <w:lang w:eastAsia="ja-JP"/>
              </w:rPr>
            </w:pPr>
            <w:r w:rsidRPr="00912996">
              <w:rPr>
                <w:rFonts w:ascii="Calibri" w:hAnsi="Calibri"/>
                <w:bCs/>
                <w:lang w:eastAsia="ja-JP"/>
              </w:rPr>
              <w:t>1,656,200,000</w:t>
            </w:r>
          </w:p>
        </w:tc>
        <w:tc>
          <w:tcPr>
            <w:tcW w:w="1260" w:type="dxa"/>
            <w:shd w:val="clear" w:color="auto" w:fill="F2F2F2"/>
            <w:noWrap/>
            <w:hideMark/>
          </w:tcPr>
          <w:p w14:paraId="5BF679E3" w14:textId="77777777" w:rsidR="001A54E6" w:rsidRPr="00912996" w:rsidRDefault="001A54E6" w:rsidP="00394372">
            <w:pPr>
              <w:rPr>
                <w:rFonts w:ascii="Calibri" w:hAnsi="Calibri"/>
                <w:bCs/>
                <w:lang w:eastAsia="ja-JP"/>
              </w:rPr>
            </w:pPr>
            <w:r w:rsidRPr="00912996">
              <w:rPr>
                <w:rFonts w:ascii="Calibri" w:hAnsi="Calibri"/>
                <w:bCs/>
                <w:lang w:eastAsia="ja-JP"/>
              </w:rPr>
              <w:t>338,000,000</w:t>
            </w:r>
          </w:p>
        </w:tc>
        <w:tc>
          <w:tcPr>
            <w:tcW w:w="1089" w:type="dxa"/>
            <w:shd w:val="clear" w:color="auto" w:fill="F2F2F2"/>
            <w:noWrap/>
            <w:hideMark/>
          </w:tcPr>
          <w:p w14:paraId="19AEF313"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67AFF22C" w14:textId="77777777" w:rsidR="001A54E6" w:rsidRPr="00912996" w:rsidRDefault="001A54E6" w:rsidP="00394372">
            <w:pPr>
              <w:rPr>
                <w:rFonts w:ascii="Calibri" w:hAnsi="Calibri"/>
                <w:bCs/>
                <w:lang w:eastAsia="ja-JP"/>
              </w:rPr>
            </w:pPr>
            <w:r w:rsidRPr="00912996">
              <w:rPr>
                <w:rFonts w:ascii="Calibri" w:hAnsi="Calibri"/>
                <w:bCs/>
                <w:lang w:eastAsia="ja-JP"/>
              </w:rPr>
              <w:t>POIM, împrumut BEI, buget de stat</w:t>
            </w:r>
          </w:p>
        </w:tc>
        <w:tc>
          <w:tcPr>
            <w:tcW w:w="1260" w:type="dxa"/>
            <w:shd w:val="clear" w:color="auto" w:fill="F2F2F2"/>
            <w:hideMark/>
          </w:tcPr>
          <w:p w14:paraId="63EA6CC1"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35B2219"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2169B082" w14:textId="77777777" w:rsidTr="00E2442E">
        <w:trPr>
          <w:gridAfter w:val="9"/>
          <w:wAfter w:w="15421" w:type="dxa"/>
          <w:trHeight w:val="540"/>
        </w:trPr>
        <w:tc>
          <w:tcPr>
            <w:tcW w:w="625" w:type="dxa"/>
            <w:shd w:val="clear" w:color="auto" w:fill="F2F2F2"/>
            <w:noWrap/>
            <w:hideMark/>
          </w:tcPr>
          <w:p w14:paraId="5DC5AC8C" w14:textId="77777777" w:rsidR="001A54E6" w:rsidRPr="00912996" w:rsidRDefault="001A54E6" w:rsidP="00394372">
            <w:pPr>
              <w:rPr>
                <w:rFonts w:ascii="Calibri" w:hAnsi="Calibri"/>
                <w:bCs/>
                <w:lang w:eastAsia="ja-JP"/>
              </w:rPr>
            </w:pPr>
            <w:r w:rsidRPr="00912996">
              <w:rPr>
                <w:rFonts w:ascii="Calibri" w:hAnsi="Calibri"/>
                <w:bCs/>
                <w:lang w:eastAsia="ja-JP"/>
              </w:rPr>
              <w:t>31</w:t>
            </w:r>
          </w:p>
        </w:tc>
        <w:tc>
          <w:tcPr>
            <w:tcW w:w="2250" w:type="dxa"/>
            <w:shd w:val="clear" w:color="auto" w:fill="F2F2F2"/>
            <w:hideMark/>
          </w:tcPr>
          <w:p w14:paraId="03794C5B" w14:textId="77777777" w:rsidR="001A54E6" w:rsidRPr="00912996" w:rsidRDefault="001A54E6" w:rsidP="00394372">
            <w:pPr>
              <w:rPr>
                <w:rFonts w:ascii="Calibri" w:hAnsi="Calibri"/>
                <w:bCs/>
                <w:lang w:eastAsia="ja-JP"/>
              </w:rPr>
            </w:pPr>
            <w:r w:rsidRPr="00912996">
              <w:rPr>
                <w:rFonts w:ascii="Calibri" w:hAnsi="Calibri"/>
                <w:bCs/>
                <w:lang w:eastAsia="ja-JP"/>
              </w:rPr>
              <w:t>Prelungire M2 până la intersecția cu magistrala 800 (nod intermodal Pipera-Andronache)</w:t>
            </w:r>
          </w:p>
        </w:tc>
        <w:tc>
          <w:tcPr>
            <w:tcW w:w="1530" w:type="dxa"/>
            <w:shd w:val="clear" w:color="auto" w:fill="F2F2F2"/>
            <w:hideMark/>
          </w:tcPr>
          <w:p w14:paraId="5F72FC33" w14:textId="77777777" w:rsidR="001A54E6" w:rsidRPr="00912996" w:rsidRDefault="001A54E6" w:rsidP="00394372">
            <w:pPr>
              <w:rPr>
                <w:rFonts w:ascii="Calibri" w:hAnsi="Calibri"/>
                <w:bCs/>
                <w:lang w:eastAsia="ja-JP"/>
              </w:rPr>
            </w:pPr>
            <w:r w:rsidRPr="00912996">
              <w:rPr>
                <w:rFonts w:ascii="Calibri" w:hAnsi="Calibri"/>
                <w:bCs/>
                <w:lang w:eastAsia="ja-JP"/>
              </w:rPr>
              <w:t>PMB, Metrorex, Min</w:t>
            </w:r>
            <w:r>
              <w:rPr>
                <w:rFonts w:ascii="Calibri" w:hAnsi="Calibri"/>
                <w:bCs/>
                <w:lang w:eastAsia="ja-JP"/>
              </w:rPr>
              <w:t>isterul</w:t>
            </w:r>
            <w:r w:rsidRPr="00912996">
              <w:rPr>
                <w:rFonts w:ascii="Calibri" w:hAnsi="Calibri"/>
                <w:bCs/>
                <w:lang w:eastAsia="ja-JP"/>
              </w:rPr>
              <w:t xml:space="preserve"> Transporturilor</w:t>
            </w:r>
          </w:p>
        </w:tc>
        <w:tc>
          <w:tcPr>
            <w:tcW w:w="1620" w:type="dxa"/>
            <w:shd w:val="clear" w:color="auto" w:fill="F2F2F2"/>
            <w:noWrap/>
            <w:hideMark/>
          </w:tcPr>
          <w:p w14:paraId="594212C2"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6D67B56" w14:textId="77777777" w:rsidR="001A54E6" w:rsidRPr="00912996" w:rsidRDefault="001A54E6" w:rsidP="00394372">
            <w:pPr>
              <w:rPr>
                <w:rFonts w:ascii="Calibri" w:hAnsi="Calibri"/>
                <w:bCs/>
                <w:lang w:eastAsia="ja-JP"/>
              </w:rPr>
            </w:pPr>
            <w:r>
              <w:rPr>
                <w:rFonts w:ascii="Calibri" w:hAnsi="Calibri"/>
                <w:bCs/>
                <w:lang w:eastAsia="ja-JP"/>
              </w:rPr>
              <w:t>N/A</w:t>
            </w:r>
          </w:p>
        </w:tc>
        <w:tc>
          <w:tcPr>
            <w:tcW w:w="1260" w:type="dxa"/>
            <w:shd w:val="clear" w:color="auto" w:fill="F2F2F2"/>
            <w:noWrap/>
            <w:hideMark/>
          </w:tcPr>
          <w:p w14:paraId="7D466A6E" w14:textId="77777777" w:rsidR="001A54E6" w:rsidRPr="00912996" w:rsidRDefault="001A54E6" w:rsidP="00394372">
            <w:pPr>
              <w:rPr>
                <w:rFonts w:ascii="Calibri" w:hAnsi="Calibri"/>
                <w:bCs/>
                <w:lang w:eastAsia="ja-JP"/>
              </w:rPr>
            </w:pPr>
            <w:r>
              <w:rPr>
                <w:rFonts w:ascii="Calibri" w:hAnsi="Calibri"/>
                <w:bCs/>
                <w:lang w:eastAsia="ja-JP"/>
              </w:rPr>
              <w:t>N/A</w:t>
            </w:r>
          </w:p>
        </w:tc>
        <w:tc>
          <w:tcPr>
            <w:tcW w:w="1089" w:type="dxa"/>
            <w:shd w:val="clear" w:color="auto" w:fill="F2F2F2"/>
            <w:noWrap/>
            <w:hideMark/>
          </w:tcPr>
          <w:p w14:paraId="116DF626" w14:textId="77777777" w:rsidR="001A54E6" w:rsidRPr="00912996" w:rsidRDefault="001A54E6" w:rsidP="00394372">
            <w:pPr>
              <w:rPr>
                <w:rFonts w:ascii="Calibri" w:hAnsi="Calibri"/>
                <w:bCs/>
                <w:lang w:eastAsia="ja-JP"/>
              </w:rPr>
            </w:pPr>
            <w:r w:rsidRPr="00912996">
              <w:rPr>
                <w:rFonts w:ascii="Calibri" w:hAnsi="Calibri"/>
                <w:bCs/>
                <w:lang w:eastAsia="ja-JP"/>
              </w:rPr>
              <w:t>2027</w:t>
            </w:r>
            <w:r>
              <w:rPr>
                <w:rFonts w:ascii="Calibri" w:hAnsi="Calibri"/>
                <w:bCs/>
                <w:lang w:eastAsia="ja-JP"/>
              </w:rPr>
              <w:t xml:space="preserve"> </w:t>
            </w:r>
            <w:r w:rsidRPr="00912996">
              <w:rPr>
                <w:rFonts w:ascii="Calibri" w:hAnsi="Calibri"/>
                <w:bCs/>
                <w:lang w:eastAsia="ja-JP"/>
              </w:rPr>
              <w:t>-2037</w:t>
            </w:r>
          </w:p>
        </w:tc>
        <w:tc>
          <w:tcPr>
            <w:tcW w:w="1881" w:type="dxa"/>
            <w:shd w:val="clear" w:color="auto" w:fill="F2F2F2"/>
            <w:hideMark/>
          </w:tcPr>
          <w:p w14:paraId="4288D0C5" w14:textId="77777777" w:rsidR="001A54E6" w:rsidRPr="00912996" w:rsidRDefault="001A54E6" w:rsidP="00394372">
            <w:pPr>
              <w:rPr>
                <w:rFonts w:ascii="Calibri" w:hAnsi="Calibri"/>
                <w:bCs/>
                <w:lang w:eastAsia="ja-JP"/>
              </w:rPr>
            </w:pPr>
            <w:r w:rsidRPr="00912996">
              <w:rPr>
                <w:rFonts w:ascii="Calibri" w:hAnsi="Calibri"/>
                <w:bCs/>
                <w:lang w:eastAsia="ja-JP"/>
              </w:rPr>
              <w:t>POIM, împrumut BEI, buget de stat</w:t>
            </w:r>
          </w:p>
        </w:tc>
        <w:tc>
          <w:tcPr>
            <w:tcW w:w="1260" w:type="dxa"/>
            <w:shd w:val="clear" w:color="auto" w:fill="F2F2F2"/>
            <w:hideMark/>
          </w:tcPr>
          <w:p w14:paraId="15BDDB8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2F9C7CBA"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45EFED3F" w14:textId="77777777" w:rsidTr="00E2442E">
        <w:trPr>
          <w:gridAfter w:val="9"/>
          <w:wAfter w:w="15421" w:type="dxa"/>
          <w:trHeight w:val="540"/>
        </w:trPr>
        <w:tc>
          <w:tcPr>
            <w:tcW w:w="625" w:type="dxa"/>
            <w:shd w:val="clear" w:color="auto" w:fill="F2F2F2"/>
            <w:noWrap/>
          </w:tcPr>
          <w:p w14:paraId="6EA522E5" w14:textId="77777777" w:rsidR="001A54E6" w:rsidRPr="00912996" w:rsidRDefault="001A54E6" w:rsidP="00394372">
            <w:pPr>
              <w:rPr>
                <w:rFonts w:ascii="Calibri" w:hAnsi="Calibri"/>
                <w:bCs/>
                <w:lang w:eastAsia="ja-JP"/>
              </w:rPr>
            </w:pPr>
            <w:r w:rsidRPr="00912996">
              <w:rPr>
                <w:rFonts w:ascii="Calibri" w:hAnsi="Calibri"/>
                <w:bCs/>
                <w:lang w:eastAsia="ja-JP"/>
              </w:rPr>
              <w:t>32</w:t>
            </w:r>
          </w:p>
        </w:tc>
        <w:tc>
          <w:tcPr>
            <w:tcW w:w="2250" w:type="dxa"/>
            <w:shd w:val="clear" w:color="auto" w:fill="F2F2F2"/>
          </w:tcPr>
          <w:p w14:paraId="5038A9D2"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Lotovoi Voievod, sect.2, Mun. București</w:t>
            </w:r>
          </w:p>
        </w:tc>
        <w:tc>
          <w:tcPr>
            <w:tcW w:w="1530" w:type="dxa"/>
            <w:shd w:val="clear" w:color="auto" w:fill="F2F2F2"/>
          </w:tcPr>
          <w:p w14:paraId="28D7B63B"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7676C036"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44B8BC19" w14:textId="77777777" w:rsidR="001A54E6" w:rsidRPr="00912996" w:rsidRDefault="001A54E6" w:rsidP="00394372">
            <w:pPr>
              <w:rPr>
                <w:rFonts w:ascii="Calibri" w:hAnsi="Calibri"/>
                <w:bCs/>
                <w:lang w:eastAsia="ja-JP"/>
              </w:rPr>
            </w:pPr>
            <w:r w:rsidRPr="00912996">
              <w:rPr>
                <w:rFonts w:ascii="Calibri" w:hAnsi="Calibri"/>
                <w:bCs/>
                <w:lang w:eastAsia="ja-JP"/>
              </w:rPr>
              <w:t>2,115,336</w:t>
            </w:r>
          </w:p>
        </w:tc>
        <w:tc>
          <w:tcPr>
            <w:tcW w:w="1260" w:type="dxa"/>
            <w:shd w:val="clear" w:color="auto" w:fill="F2F2F2"/>
            <w:noWrap/>
          </w:tcPr>
          <w:p w14:paraId="7E14D4E2" w14:textId="77777777" w:rsidR="001A54E6" w:rsidRPr="00912996" w:rsidRDefault="001A54E6" w:rsidP="00394372">
            <w:pPr>
              <w:rPr>
                <w:rFonts w:ascii="Calibri" w:hAnsi="Calibri"/>
                <w:bCs/>
                <w:lang w:eastAsia="ja-JP"/>
              </w:rPr>
            </w:pPr>
            <w:r w:rsidRPr="00912996">
              <w:rPr>
                <w:rFonts w:ascii="Calibri" w:hAnsi="Calibri"/>
                <w:bCs/>
                <w:lang w:eastAsia="ja-JP"/>
              </w:rPr>
              <w:t>431,701</w:t>
            </w:r>
          </w:p>
          <w:p w14:paraId="0037DF16" w14:textId="77777777" w:rsidR="001A54E6" w:rsidRPr="00912996" w:rsidRDefault="001A54E6" w:rsidP="00394372">
            <w:pPr>
              <w:rPr>
                <w:rFonts w:ascii="Calibri" w:hAnsi="Calibri"/>
                <w:bCs/>
                <w:lang w:eastAsia="ja-JP"/>
              </w:rPr>
            </w:pPr>
          </w:p>
        </w:tc>
        <w:tc>
          <w:tcPr>
            <w:tcW w:w="1089" w:type="dxa"/>
            <w:shd w:val="clear" w:color="auto" w:fill="F2F2F2"/>
            <w:noWrap/>
          </w:tcPr>
          <w:p w14:paraId="7A760191"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1C2708D2"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208A2CCB"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6FE52CA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297A10E4" w14:textId="77777777" w:rsidTr="00E2442E">
        <w:trPr>
          <w:gridAfter w:val="9"/>
          <w:wAfter w:w="15421" w:type="dxa"/>
          <w:trHeight w:val="540"/>
        </w:trPr>
        <w:tc>
          <w:tcPr>
            <w:tcW w:w="625" w:type="dxa"/>
            <w:shd w:val="clear" w:color="auto" w:fill="F2F2F2"/>
            <w:noWrap/>
          </w:tcPr>
          <w:p w14:paraId="206D623B" w14:textId="77777777" w:rsidR="001A54E6" w:rsidRPr="00912996" w:rsidRDefault="001A54E6" w:rsidP="00394372">
            <w:pPr>
              <w:rPr>
                <w:rFonts w:ascii="Calibri" w:hAnsi="Calibri"/>
                <w:bCs/>
                <w:lang w:eastAsia="ja-JP"/>
              </w:rPr>
            </w:pPr>
            <w:r w:rsidRPr="00912996">
              <w:rPr>
                <w:rFonts w:ascii="Calibri" w:hAnsi="Calibri"/>
                <w:bCs/>
                <w:lang w:eastAsia="ja-JP"/>
              </w:rPr>
              <w:t>33</w:t>
            </w:r>
          </w:p>
        </w:tc>
        <w:tc>
          <w:tcPr>
            <w:tcW w:w="2250" w:type="dxa"/>
            <w:shd w:val="clear" w:color="auto" w:fill="F2F2F2"/>
          </w:tcPr>
          <w:p w14:paraId="1F5E2AD5"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Seneslav Voievod, sect.2, Mun. București</w:t>
            </w:r>
          </w:p>
        </w:tc>
        <w:tc>
          <w:tcPr>
            <w:tcW w:w="1530" w:type="dxa"/>
            <w:shd w:val="clear" w:color="auto" w:fill="F2F2F2"/>
          </w:tcPr>
          <w:p w14:paraId="7A9DE619"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16913A2E"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5C71BC2B" w14:textId="77777777" w:rsidR="001A54E6" w:rsidRPr="00912996" w:rsidRDefault="001A54E6" w:rsidP="00394372">
            <w:pPr>
              <w:rPr>
                <w:rFonts w:ascii="Calibri" w:hAnsi="Calibri"/>
                <w:bCs/>
                <w:lang w:eastAsia="ja-JP"/>
              </w:rPr>
            </w:pPr>
            <w:r w:rsidRPr="00912996">
              <w:rPr>
                <w:rFonts w:ascii="Calibri" w:hAnsi="Calibri"/>
                <w:bCs/>
                <w:lang w:eastAsia="ja-JP"/>
              </w:rPr>
              <w:t>2,472,172</w:t>
            </w:r>
          </w:p>
        </w:tc>
        <w:tc>
          <w:tcPr>
            <w:tcW w:w="1260" w:type="dxa"/>
            <w:shd w:val="clear" w:color="auto" w:fill="F2F2F2"/>
            <w:noWrap/>
          </w:tcPr>
          <w:p w14:paraId="124CA613" w14:textId="77777777" w:rsidR="001A54E6" w:rsidRPr="00912996" w:rsidRDefault="001A54E6" w:rsidP="00394372">
            <w:pPr>
              <w:rPr>
                <w:rFonts w:ascii="Calibri" w:hAnsi="Calibri"/>
                <w:bCs/>
                <w:lang w:eastAsia="ja-JP"/>
              </w:rPr>
            </w:pPr>
            <w:r w:rsidRPr="00912996">
              <w:rPr>
                <w:rFonts w:ascii="Calibri" w:hAnsi="Calibri"/>
                <w:bCs/>
                <w:lang w:eastAsia="ja-JP"/>
              </w:rPr>
              <w:t>504,525</w:t>
            </w:r>
          </w:p>
          <w:p w14:paraId="218BE253" w14:textId="77777777" w:rsidR="001A54E6" w:rsidRPr="00912996" w:rsidRDefault="001A54E6" w:rsidP="00394372">
            <w:pPr>
              <w:rPr>
                <w:rFonts w:ascii="Calibri" w:hAnsi="Calibri"/>
                <w:bCs/>
                <w:lang w:eastAsia="ja-JP"/>
              </w:rPr>
            </w:pPr>
          </w:p>
        </w:tc>
        <w:tc>
          <w:tcPr>
            <w:tcW w:w="1089" w:type="dxa"/>
            <w:shd w:val="clear" w:color="auto" w:fill="F2F2F2"/>
            <w:noWrap/>
          </w:tcPr>
          <w:p w14:paraId="0E763F34"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69637871"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28107CFD"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1B97CC01"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12FA3860" w14:textId="77777777" w:rsidTr="00E2442E">
        <w:trPr>
          <w:gridAfter w:val="9"/>
          <w:wAfter w:w="15421" w:type="dxa"/>
          <w:trHeight w:val="540"/>
        </w:trPr>
        <w:tc>
          <w:tcPr>
            <w:tcW w:w="625" w:type="dxa"/>
            <w:shd w:val="clear" w:color="auto" w:fill="F2F2F2"/>
            <w:noWrap/>
          </w:tcPr>
          <w:p w14:paraId="4AE6BC17" w14:textId="77777777" w:rsidR="001A54E6" w:rsidRPr="00912996" w:rsidRDefault="001A54E6" w:rsidP="00394372">
            <w:pPr>
              <w:rPr>
                <w:rFonts w:ascii="Calibri" w:hAnsi="Calibri"/>
                <w:bCs/>
                <w:lang w:eastAsia="ja-JP"/>
              </w:rPr>
            </w:pPr>
            <w:r w:rsidRPr="00912996">
              <w:rPr>
                <w:rFonts w:ascii="Calibri" w:hAnsi="Calibri"/>
                <w:bCs/>
                <w:lang w:eastAsia="ja-JP"/>
              </w:rPr>
              <w:t>34</w:t>
            </w:r>
          </w:p>
        </w:tc>
        <w:tc>
          <w:tcPr>
            <w:tcW w:w="2250" w:type="dxa"/>
            <w:shd w:val="clear" w:color="auto" w:fill="F2F2F2"/>
          </w:tcPr>
          <w:p w14:paraId="10CAA037"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Spătarul Nicolae Milescu, sect.2, Mun. București</w:t>
            </w:r>
          </w:p>
        </w:tc>
        <w:tc>
          <w:tcPr>
            <w:tcW w:w="1530" w:type="dxa"/>
            <w:shd w:val="clear" w:color="auto" w:fill="F2F2F2"/>
          </w:tcPr>
          <w:p w14:paraId="487119FF"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35FF386F"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1B24CA46" w14:textId="77777777" w:rsidR="001A54E6" w:rsidRPr="00912996" w:rsidRDefault="001A54E6" w:rsidP="00394372">
            <w:pPr>
              <w:rPr>
                <w:rFonts w:ascii="Calibri" w:hAnsi="Calibri"/>
                <w:bCs/>
                <w:lang w:eastAsia="ja-JP"/>
              </w:rPr>
            </w:pPr>
            <w:r w:rsidRPr="00912996">
              <w:rPr>
                <w:rFonts w:ascii="Calibri" w:hAnsi="Calibri"/>
                <w:bCs/>
                <w:lang w:eastAsia="ja-JP"/>
              </w:rPr>
              <w:t>3,750,406</w:t>
            </w:r>
          </w:p>
        </w:tc>
        <w:tc>
          <w:tcPr>
            <w:tcW w:w="1260" w:type="dxa"/>
            <w:shd w:val="clear" w:color="auto" w:fill="F2F2F2"/>
            <w:noWrap/>
          </w:tcPr>
          <w:p w14:paraId="6D70B200" w14:textId="77777777" w:rsidR="001A54E6" w:rsidRPr="00912996" w:rsidRDefault="001A54E6" w:rsidP="00394372">
            <w:pPr>
              <w:rPr>
                <w:rFonts w:ascii="Calibri" w:hAnsi="Calibri"/>
                <w:bCs/>
                <w:lang w:eastAsia="ja-JP"/>
              </w:rPr>
            </w:pPr>
            <w:r w:rsidRPr="00912996">
              <w:rPr>
                <w:rFonts w:ascii="Calibri" w:hAnsi="Calibri"/>
                <w:bCs/>
                <w:lang w:eastAsia="ja-JP"/>
              </w:rPr>
              <w:t>765,389</w:t>
            </w:r>
          </w:p>
          <w:p w14:paraId="17698A49" w14:textId="77777777" w:rsidR="001A54E6" w:rsidRPr="00912996" w:rsidRDefault="001A54E6" w:rsidP="00394372">
            <w:pPr>
              <w:rPr>
                <w:rFonts w:ascii="Calibri" w:hAnsi="Calibri"/>
                <w:bCs/>
                <w:lang w:eastAsia="ja-JP"/>
              </w:rPr>
            </w:pPr>
          </w:p>
        </w:tc>
        <w:tc>
          <w:tcPr>
            <w:tcW w:w="1089" w:type="dxa"/>
            <w:shd w:val="clear" w:color="auto" w:fill="F2F2F2"/>
            <w:noWrap/>
          </w:tcPr>
          <w:p w14:paraId="46EAD5BB"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3A163E27"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025B2222"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7D391C2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7F7A006F" w14:textId="77777777" w:rsidTr="00E2442E">
        <w:trPr>
          <w:gridAfter w:val="9"/>
          <w:wAfter w:w="15421" w:type="dxa"/>
          <w:trHeight w:val="540"/>
        </w:trPr>
        <w:tc>
          <w:tcPr>
            <w:tcW w:w="625" w:type="dxa"/>
            <w:shd w:val="clear" w:color="auto" w:fill="F2F2F2"/>
            <w:noWrap/>
          </w:tcPr>
          <w:p w14:paraId="24517F70" w14:textId="77777777" w:rsidR="001A54E6" w:rsidRPr="00912996" w:rsidRDefault="001A54E6" w:rsidP="00394372">
            <w:pPr>
              <w:rPr>
                <w:rFonts w:ascii="Calibri" w:hAnsi="Calibri"/>
                <w:bCs/>
                <w:lang w:eastAsia="ja-JP"/>
              </w:rPr>
            </w:pPr>
            <w:r w:rsidRPr="00912996">
              <w:rPr>
                <w:rFonts w:ascii="Calibri" w:hAnsi="Calibri"/>
                <w:bCs/>
                <w:lang w:eastAsia="ja-JP"/>
              </w:rPr>
              <w:t>35</w:t>
            </w:r>
          </w:p>
        </w:tc>
        <w:tc>
          <w:tcPr>
            <w:tcW w:w="2250" w:type="dxa"/>
            <w:shd w:val="clear" w:color="auto" w:fill="F2F2F2"/>
          </w:tcPr>
          <w:p w14:paraId="6592A6E1"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Viesparilor, sect.2, Mun. București</w:t>
            </w:r>
          </w:p>
        </w:tc>
        <w:tc>
          <w:tcPr>
            <w:tcW w:w="1530" w:type="dxa"/>
            <w:shd w:val="clear" w:color="auto" w:fill="F2F2F2"/>
          </w:tcPr>
          <w:p w14:paraId="4618F29C"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46202197"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59B56C4E" w14:textId="77777777" w:rsidR="001A54E6" w:rsidRPr="00912996" w:rsidRDefault="001A54E6" w:rsidP="00394372">
            <w:pPr>
              <w:rPr>
                <w:rFonts w:ascii="Calibri" w:hAnsi="Calibri"/>
                <w:bCs/>
                <w:lang w:eastAsia="ja-JP"/>
              </w:rPr>
            </w:pPr>
            <w:r w:rsidRPr="00912996">
              <w:rPr>
                <w:rFonts w:ascii="Calibri" w:hAnsi="Calibri"/>
                <w:bCs/>
                <w:lang w:eastAsia="ja-JP"/>
              </w:rPr>
              <w:t>2,595,600</w:t>
            </w:r>
          </w:p>
        </w:tc>
        <w:tc>
          <w:tcPr>
            <w:tcW w:w="1260" w:type="dxa"/>
            <w:shd w:val="clear" w:color="auto" w:fill="F2F2F2"/>
            <w:noWrap/>
          </w:tcPr>
          <w:p w14:paraId="2008CCFF" w14:textId="77777777" w:rsidR="001A54E6" w:rsidRPr="00912996" w:rsidRDefault="001A54E6" w:rsidP="00394372">
            <w:pPr>
              <w:rPr>
                <w:rFonts w:ascii="Calibri" w:hAnsi="Calibri"/>
                <w:bCs/>
                <w:lang w:eastAsia="ja-JP"/>
              </w:rPr>
            </w:pPr>
            <w:r w:rsidRPr="00912996">
              <w:rPr>
                <w:rFonts w:ascii="Calibri" w:hAnsi="Calibri"/>
                <w:bCs/>
                <w:lang w:eastAsia="ja-JP"/>
              </w:rPr>
              <w:t>529,714</w:t>
            </w:r>
          </w:p>
          <w:p w14:paraId="0CAD1241" w14:textId="77777777" w:rsidR="001A54E6" w:rsidRPr="00912996" w:rsidRDefault="001A54E6" w:rsidP="00394372">
            <w:pPr>
              <w:rPr>
                <w:rFonts w:ascii="Calibri" w:hAnsi="Calibri"/>
                <w:bCs/>
                <w:lang w:eastAsia="ja-JP"/>
              </w:rPr>
            </w:pPr>
          </w:p>
        </w:tc>
        <w:tc>
          <w:tcPr>
            <w:tcW w:w="1089" w:type="dxa"/>
            <w:shd w:val="clear" w:color="auto" w:fill="F2F2F2"/>
            <w:noWrap/>
          </w:tcPr>
          <w:p w14:paraId="66A20341"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7063C4EE"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3E86C304"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52F4414D"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23FFD67C" w14:textId="77777777" w:rsidTr="00E2442E">
        <w:trPr>
          <w:gridAfter w:val="9"/>
          <w:wAfter w:w="15421" w:type="dxa"/>
          <w:trHeight w:val="540"/>
        </w:trPr>
        <w:tc>
          <w:tcPr>
            <w:tcW w:w="625" w:type="dxa"/>
            <w:shd w:val="clear" w:color="auto" w:fill="F2F2F2"/>
            <w:noWrap/>
          </w:tcPr>
          <w:p w14:paraId="066F9DE3" w14:textId="77777777" w:rsidR="001A54E6" w:rsidRPr="00912996" w:rsidRDefault="001A54E6" w:rsidP="00394372">
            <w:pPr>
              <w:rPr>
                <w:rFonts w:ascii="Calibri" w:hAnsi="Calibri"/>
                <w:bCs/>
                <w:lang w:eastAsia="ja-JP"/>
              </w:rPr>
            </w:pPr>
            <w:r w:rsidRPr="00912996">
              <w:rPr>
                <w:rFonts w:ascii="Calibri" w:hAnsi="Calibri"/>
                <w:bCs/>
                <w:lang w:eastAsia="ja-JP"/>
              </w:rPr>
              <w:t>36</w:t>
            </w:r>
          </w:p>
        </w:tc>
        <w:tc>
          <w:tcPr>
            <w:tcW w:w="2250" w:type="dxa"/>
            <w:shd w:val="clear" w:color="auto" w:fill="F2F2F2"/>
          </w:tcPr>
          <w:p w14:paraId="0308AED0"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Precupeții Vechi, sect.2, Mun. București</w:t>
            </w:r>
          </w:p>
        </w:tc>
        <w:tc>
          <w:tcPr>
            <w:tcW w:w="1530" w:type="dxa"/>
            <w:shd w:val="clear" w:color="auto" w:fill="F2F2F2"/>
          </w:tcPr>
          <w:p w14:paraId="7F270E84"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1864DD90"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70948E3D" w14:textId="77777777" w:rsidR="001A54E6" w:rsidRPr="00912996" w:rsidRDefault="001A54E6" w:rsidP="00394372">
            <w:pPr>
              <w:rPr>
                <w:rFonts w:ascii="Calibri" w:hAnsi="Calibri"/>
                <w:bCs/>
                <w:lang w:eastAsia="ja-JP"/>
              </w:rPr>
            </w:pPr>
            <w:r w:rsidRPr="00912996">
              <w:rPr>
                <w:rFonts w:ascii="Calibri" w:hAnsi="Calibri"/>
                <w:bCs/>
                <w:lang w:eastAsia="ja-JP"/>
              </w:rPr>
              <w:t>3,112,332</w:t>
            </w:r>
          </w:p>
        </w:tc>
        <w:tc>
          <w:tcPr>
            <w:tcW w:w="1260" w:type="dxa"/>
            <w:shd w:val="clear" w:color="auto" w:fill="F2F2F2"/>
            <w:noWrap/>
          </w:tcPr>
          <w:p w14:paraId="0E21AB75" w14:textId="77777777" w:rsidR="001A54E6" w:rsidRPr="00912996" w:rsidRDefault="001A54E6" w:rsidP="00394372">
            <w:pPr>
              <w:rPr>
                <w:rFonts w:ascii="Calibri" w:hAnsi="Calibri"/>
                <w:bCs/>
                <w:lang w:eastAsia="ja-JP"/>
              </w:rPr>
            </w:pPr>
            <w:r w:rsidRPr="00912996">
              <w:rPr>
                <w:rFonts w:ascii="Calibri" w:hAnsi="Calibri"/>
                <w:bCs/>
                <w:lang w:eastAsia="ja-JP"/>
              </w:rPr>
              <w:t>635,170</w:t>
            </w:r>
          </w:p>
          <w:p w14:paraId="3CBB4D32" w14:textId="77777777" w:rsidR="001A54E6" w:rsidRPr="00912996" w:rsidRDefault="001A54E6" w:rsidP="00394372">
            <w:pPr>
              <w:rPr>
                <w:rFonts w:ascii="Calibri" w:hAnsi="Calibri"/>
                <w:bCs/>
                <w:lang w:eastAsia="ja-JP"/>
              </w:rPr>
            </w:pPr>
          </w:p>
        </w:tc>
        <w:tc>
          <w:tcPr>
            <w:tcW w:w="1089" w:type="dxa"/>
            <w:shd w:val="clear" w:color="auto" w:fill="F2F2F2"/>
            <w:noWrap/>
          </w:tcPr>
          <w:p w14:paraId="788D38A6"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5CC32F11"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46F17545"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382CA69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2F61EB60" w14:textId="77777777" w:rsidTr="00E2442E">
        <w:trPr>
          <w:gridAfter w:val="9"/>
          <w:wAfter w:w="15421" w:type="dxa"/>
          <w:trHeight w:val="540"/>
        </w:trPr>
        <w:tc>
          <w:tcPr>
            <w:tcW w:w="625" w:type="dxa"/>
            <w:shd w:val="clear" w:color="auto" w:fill="F2F2F2"/>
            <w:noWrap/>
          </w:tcPr>
          <w:p w14:paraId="28D40E8B" w14:textId="77777777" w:rsidR="001A54E6" w:rsidRPr="00912996" w:rsidRDefault="001A54E6" w:rsidP="00394372">
            <w:pPr>
              <w:rPr>
                <w:rFonts w:ascii="Calibri" w:hAnsi="Calibri"/>
                <w:bCs/>
                <w:lang w:eastAsia="ja-JP"/>
              </w:rPr>
            </w:pPr>
            <w:r w:rsidRPr="00912996">
              <w:rPr>
                <w:rFonts w:ascii="Calibri" w:hAnsi="Calibri"/>
                <w:bCs/>
                <w:lang w:eastAsia="ja-JP"/>
              </w:rPr>
              <w:t>37</w:t>
            </w:r>
          </w:p>
        </w:tc>
        <w:tc>
          <w:tcPr>
            <w:tcW w:w="2250" w:type="dxa"/>
            <w:shd w:val="clear" w:color="auto" w:fill="F2F2F2"/>
          </w:tcPr>
          <w:p w14:paraId="6A3EA683"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Eufrosin Potecă, sect.2, Mun. București</w:t>
            </w:r>
          </w:p>
        </w:tc>
        <w:tc>
          <w:tcPr>
            <w:tcW w:w="1530" w:type="dxa"/>
            <w:shd w:val="clear" w:color="auto" w:fill="F2F2F2"/>
          </w:tcPr>
          <w:p w14:paraId="0086DC64"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50C191EA"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2D079095" w14:textId="77777777" w:rsidR="001A54E6" w:rsidRPr="00912996" w:rsidRDefault="001A54E6" w:rsidP="00394372">
            <w:pPr>
              <w:rPr>
                <w:rFonts w:ascii="Calibri" w:hAnsi="Calibri"/>
                <w:bCs/>
                <w:lang w:eastAsia="ja-JP"/>
              </w:rPr>
            </w:pPr>
            <w:r w:rsidRPr="00912996">
              <w:rPr>
                <w:rFonts w:ascii="Calibri" w:hAnsi="Calibri"/>
                <w:bCs/>
                <w:lang w:eastAsia="ja-JP"/>
              </w:rPr>
              <w:t>2,798,600</w:t>
            </w:r>
          </w:p>
        </w:tc>
        <w:tc>
          <w:tcPr>
            <w:tcW w:w="1260" w:type="dxa"/>
            <w:shd w:val="clear" w:color="auto" w:fill="F2F2F2"/>
            <w:noWrap/>
          </w:tcPr>
          <w:p w14:paraId="16426984" w14:textId="77777777" w:rsidR="001A54E6" w:rsidRPr="00912996" w:rsidRDefault="001A54E6" w:rsidP="00394372">
            <w:pPr>
              <w:rPr>
                <w:rFonts w:ascii="Calibri" w:hAnsi="Calibri"/>
                <w:bCs/>
                <w:lang w:eastAsia="ja-JP"/>
              </w:rPr>
            </w:pPr>
            <w:r w:rsidRPr="00912996">
              <w:rPr>
                <w:rFonts w:ascii="Calibri" w:hAnsi="Calibri"/>
                <w:bCs/>
                <w:lang w:eastAsia="ja-JP"/>
              </w:rPr>
              <w:t>571,143</w:t>
            </w:r>
          </w:p>
          <w:p w14:paraId="0CD6A813" w14:textId="77777777" w:rsidR="001A54E6" w:rsidRPr="00912996" w:rsidRDefault="001A54E6" w:rsidP="00394372">
            <w:pPr>
              <w:rPr>
                <w:rFonts w:ascii="Calibri" w:hAnsi="Calibri"/>
                <w:bCs/>
                <w:lang w:eastAsia="ja-JP"/>
              </w:rPr>
            </w:pPr>
          </w:p>
        </w:tc>
        <w:tc>
          <w:tcPr>
            <w:tcW w:w="1089" w:type="dxa"/>
            <w:shd w:val="clear" w:color="auto" w:fill="F2F2F2"/>
            <w:noWrap/>
          </w:tcPr>
          <w:p w14:paraId="21FAA072"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26E9EA17"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76C6426D"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2EEF5A24"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6E5F3075" w14:textId="77777777" w:rsidTr="00E2442E">
        <w:trPr>
          <w:gridAfter w:val="9"/>
          <w:wAfter w:w="15421" w:type="dxa"/>
          <w:trHeight w:val="540"/>
        </w:trPr>
        <w:tc>
          <w:tcPr>
            <w:tcW w:w="625" w:type="dxa"/>
            <w:shd w:val="clear" w:color="auto" w:fill="F2F2F2"/>
            <w:noWrap/>
          </w:tcPr>
          <w:p w14:paraId="5A8F829D" w14:textId="77777777" w:rsidR="001A54E6" w:rsidRPr="00912996" w:rsidRDefault="001A54E6" w:rsidP="00394372">
            <w:pPr>
              <w:rPr>
                <w:rFonts w:ascii="Calibri" w:hAnsi="Calibri"/>
                <w:bCs/>
                <w:lang w:eastAsia="ja-JP"/>
              </w:rPr>
            </w:pPr>
            <w:r w:rsidRPr="00912996">
              <w:rPr>
                <w:rFonts w:ascii="Calibri" w:hAnsi="Calibri"/>
                <w:bCs/>
                <w:lang w:eastAsia="ja-JP"/>
              </w:rPr>
              <w:t>38</w:t>
            </w:r>
          </w:p>
        </w:tc>
        <w:tc>
          <w:tcPr>
            <w:tcW w:w="2250" w:type="dxa"/>
            <w:shd w:val="clear" w:color="auto" w:fill="F2F2F2"/>
          </w:tcPr>
          <w:p w14:paraId="4E92987A"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Badea Cârțan, sect.2, Mun. București</w:t>
            </w:r>
          </w:p>
        </w:tc>
        <w:tc>
          <w:tcPr>
            <w:tcW w:w="1530" w:type="dxa"/>
            <w:shd w:val="clear" w:color="auto" w:fill="F2F2F2"/>
          </w:tcPr>
          <w:p w14:paraId="68F0592F"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679A4A3F"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251F3B7D" w14:textId="77777777" w:rsidR="001A54E6" w:rsidRPr="00912996" w:rsidRDefault="001A54E6" w:rsidP="00394372">
            <w:pPr>
              <w:rPr>
                <w:rFonts w:ascii="Calibri" w:hAnsi="Calibri"/>
                <w:bCs/>
                <w:lang w:eastAsia="ja-JP"/>
              </w:rPr>
            </w:pPr>
            <w:r w:rsidRPr="00912996">
              <w:rPr>
                <w:rFonts w:ascii="Calibri" w:hAnsi="Calibri"/>
                <w:bCs/>
                <w:lang w:eastAsia="ja-JP"/>
              </w:rPr>
              <w:t>3,574,613</w:t>
            </w:r>
          </w:p>
        </w:tc>
        <w:tc>
          <w:tcPr>
            <w:tcW w:w="1260" w:type="dxa"/>
            <w:shd w:val="clear" w:color="auto" w:fill="F2F2F2"/>
            <w:noWrap/>
          </w:tcPr>
          <w:p w14:paraId="3A39F3C4" w14:textId="77777777" w:rsidR="001A54E6" w:rsidRPr="00912996" w:rsidRDefault="001A54E6" w:rsidP="00394372">
            <w:pPr>
              <w:rPr>
                <w:rFonts w:ascii="Calibri" w:hAnsi="Calibri"/>
                <w:bCs/>
                <w:lang w:eastAsia="ja-JP"/>
              </w:rPr>
            </w:pPr>
            <w:r w:rsidRPr="00912996">
              <w:rPr>
                <w:rFonts w:ascii="Calibri" w:hAnsi="Calibri"/>
                <w:bCs/>
                <w:lang w:eastAsia="ja-JP"/>
              </w:rPr>
              <w:t>729,513</w:t>
            </w:r>
          </w:p>
          <w:p w14:paraId="5C49795F" w14:textId="77777777" w:rsidR="001A54E6" w:rsidRPr="00912996" w:rsidRDefault="001A54E6" w:rsidP="00394372">
            <w:pPr>
              <w:rPr>
                <w:rFonts w:ascii="Calibri" w:hAnsi="Calibri"/>
                <w:bCs/>
                <w:lang w:eastAsia="ja-JP"/>
              </w:rPr>
            </w:pPr>
          </w:p>
        </w:tc>
        <w:tc>
          <w:tcPr>
            <w:tcW w:w="1089" w:type="dxa"/>
            <w:shd w:val="clear" w:color="auto" w:fill="F2F2F2"/>
            <w:noWrap/>
          </w:tcPr>
          <w:p w14:paraId="09C2232E"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77CC643D"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772E71C4"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4BCF64EA"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5CCFB317" w14:textId="77777777" w:rsidTr="00E2442E">
        <w:trPr>
          <w:gridAfter w:val="9"/>
          <w:wAfter w:w="15421" w:type="dxa"/>
          <w:trHeight w:val="540"/>
        </w:trPr>
        <w:tc>
          <w:tcPr>
            <w:tcW w:w="625" w:type="dxa"/>
            <w:shd w:val="clear" w:color="auto" w:fill="F2F2F2"/>
            <w:noWrap/>
          </w:tcPr>
          <w:p w14:paraId="54D2F555" w14:textId="77777777" w:rsidR="001A54E6" w:rsidRPr="00912996" w:rsidRDefault="001A54E6" w:rsidP="00394372">
            <w:pPr>
              <w:rPr>
                <w:rFonts w:ascii="Calibri" w:hAnsi="Calibri"/>
                <w:bCs/>
                <w:lang w:eastAsia="ja-JP"/>
              </w:rPr>
            </w:pPr>
            <w:r w:rsidRPr="00912996">
              <w:rPr>
                <w:rFonts w:ascii="Calibri" w:hAnsi="Calibri"/>
                <w:bCs/>
                <w:lang w:eastAsia="ja-JP"/>
              </w:rPr>
              <w:t>39</w:t>
            </w:r>
          </w:p>
        </w:tc>
        <w:tc>
          <w:tcPr>
            <w:tcW w:w="2250" w:type="dxa"/>
            <w:shd w:val="clear" w:color="auto" w:fill="F2F2F2"/>
          </w:tcPr>
          <w:p w14:paraId="3C1AAF65"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Amiral Ioan Murgescu, sect.2, Mun. București</w:t>
            </w:r>
          </w:p>
        </w:tc>
        <w:tc>
          <w:tcPr>
            <w:tcW w:w="1530" w:type="dxa"/>
            <w:shd w:val="clear" w:color="auto" w:fill="F2F2F2"/>
          </w:tcPr>
          <w:p w14:paraId="66C796A6"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11EB39CC"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0814F246" w14:textId="77777777" w:rsidR="001A54E6" w:rsidRPr="00912996" w:rsidRDefault="001A54E6" w:rsidP="00394372">
            <w:pPr>
              <w:rPr>
                <w:rFonts w:ascii="Calibri" w:hAnsi="Calibri"/>
                <w:bCs/>
                <w:lang w:eastAsia="ja-JP"/>
              </w:rPr>
            </w:pPr>
            <w:r w:rsidRPr="00912996">
              <w:rPr>
                <w:rFonts w:ascii="Calibri" w:hAnsi="Calibri"/>
                <w:bCs/>
                <w:lang w:eastAsia="ja-JP"/>
              </w:rPr>
              <w:t>3,658,796</w:t>
            </w:r>
          </w:p>
          <w:p w14:paraId="269F0C85" w14:textId="77777777" w:rsidR="001A54E6" w:rsidRPr="00912996" w:rsidRDefault="001A54E6" w:rsidP="00394372">
            <w:pPr>
              <w:rPr>
                <w:rFonts w:ascii="Calibri" w:hAnsi="Calibri"/>
                <w:bCs/>
                <w:lang w:eastAsia="ja-JP"/>
              </w:rPr>
            </w:pPr>
          </w:p>
        </w:tc>
        <w:tc>
          <w:tcPr>
            <w:tcW w:w="1260" w:type="dxa"/>
            <w:shd w:val="clear" w:color="auto" w:fill="F2F2F2"/>
            <w:noWrap/>
          </w:tcPr>
          <w:p w14:paraId="3EB020C9" w14:textId="77777777" w:rsidR="001A54E6" w:rsidRPr="00912996" w:rsidRDefault="001A54E6" w:rsidP="00394372">
            <w:pPr>
              <w:rPr>
                <w:rFonts w:ascii="Calibri" w:hAnsi="Calibri"/>
                <w:bCs/>
                <w:lang w:eastAsia="ja-JP"/>
              </w:rPr>
            </w:pPr>
            <w:r w:rsidRPr="00912996">
              <w:rPr>
                <w:rFonts w:ascii="Calibri" w:hAnsi="Calibri"/>
                <w:bCs/>
                <w:lang w:eastAsia="ja-JP"/>
              </w:rPr>
              <w:t>746,693</w:t>
            </w:r>
          </w:p>
          <w:p w14:paraId="05E68A07" w14:textId="77777777" w:rsidR="001A54E6" w:rsidRPr="00912996" w:rsidRDefault="001A54E6" w:rsidP="00394372">
            <w:pPr>
              <w:rPr>
                <w:rFonts w:ascii="Calibri" w:hAnsi="Calibri"/>
                <w:bCs/>
                <w:lang w:eastAsia="ja-JP"/>
              </w:rPr>
            </w:pPr>
          </w:p>
        </w:tc>
        <w:tc>
          <w:tcPr>
            <w:tcW w:w="1089" w:type="dxa"/>
            <w:shd w:val="clear" w:color="auto" w:fill="F2F2F2"/>
            <w:noWrap/>
          </w:tcPr>
          <w:p w14:paraId="7849DB32"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446B1742"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5B680FD3"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4233EB1E"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0BBA9EF3" w14:textId="77777777" w:rsidTr="00E2442E">
        <w:trPr>
          <w:gridAfter w:val="9"/>
          <w:wAfter w:w="15421" w:type="dxa"/>
          <w:trHeight w:val="540"/>
        </w:trPr>
        <w:tc>
          <w:tcPr>
            <w:tcW w:w="625" w:type="dxa"/>
            <w:shd w:val="clear" w:color="auto" w:fill="F2F2F2"/>
            <w:noWrap/>
          </w:tcPr>
          <w:p w14:paraId="2716675A" w14:textId="77777777" w:rsidR="001A54E6" w:rsidRPr="00912996" w:rsidRDefault="001A54E6" w:rsidP="00394372">
            <w:pPr>
              <w:rPr>
                <w:rFonts w:ascii="Calibri" w:hAnsi="Calibri"/>
                <w:bCs/>
                <w:lang w:eastAsia="ja-JP"/>
              </w:rPr>
            </w:pPr>
            <w:r w:rsidRPr="00912996">
              <w:rPr>
                <w:rFonts w:ascii="Calibri" w:hAnsi="Calibri"/>
                <w:bCs/>
                <w:lang w:eastAsia="ja-JP"/>
              </w:rPr>
              <w:t>40</w:t>
            </w:r>
          </w:p>
        </w:tc>
        <w:tc>
          <w:tcPr>
            <w:tcW w:w="2250" w:type="dxa"/>
            <w:shd w:val="clear" w:color="auto" w:fill="F2F2F2"/>
          </w:tcPr>
          <w:p w14:paraId="2187B40D" w14:textId="77777777" w:rsidR="001A54E6" w:rsidRPr="00912996" w:rsidRDefault="001A54E6" w:rsidP="00394372">
            <w:pPr>
              <w:rPr>
                <w:rFonts w:ascii="Calibri" w:hAnsi="Calibri"/>
                <w:bCs/>
                <w:lang w:eastAsia="ja-JP"/>
              </w:rPr>
            </w:pPr>
            <w:r w:rsidRPr="00912996">
              <w:rPr>
                <w:rFonts w:ascii="Calibri" w:hAnsi="Calibri"/>
                <w:bCs/>
                <w:lang w:eastAsia="ja-JP"/>
              </w:rPr>
              <w:t>Reabilitare sistem rutier Str. Cremenița, sect.2, Mun. București</w:t>
            </w:r>
          </w:p>
        </w:tc>
        <w:tc>
          <w:tcPr>
            <w:tcW w:w="1530" w:type="dxa"/>
            <w:shd w:val="clear" w:color="auto" w:fill="F2F2F2"/>
          </w:tcPr>
          <w:p w14:paraId="6E130DB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tcPr>
          <w:p w14:paraId="6C02321E" w14:textId="77777777" w:rsidR="001A54E6" w:rsidRPr="00912996" w:rsidRDefault="001A54E6" w:rsidP="00394372">
            <w:pPr>
              <w:rPr>
                <w:rFonts w:ascii="Calibri" w:hAnsi="Calibri"/>
                <w:bCs/>
                <w:lang w:eastAsia="ja-JP"/>
              </w:rPr>
            </w:pPr>
            <w:r w:rsidRPr="00912996">
              <w:rPr>
                <w:rFonts w:ascii="Calibri" w:hAnsi="Calibri"/>
                <w:bCs/>
                <w:lang w:eastAsia="ja-JP"/>
              </w:rPr>
              <w:t>Selectat la finanțare</w:t>
            </w:r>
          </w:p>
        </w:tc>
        <w:tc>
          <w:tcPr>
            <w:tcW w:w="1260" w:type="dxa"/>
            <w:shd w:val="clear" w:color="auto" w:fill="F2F2F2"/>
            <w:noWrap/>
          </w:tcPr>
          <w:p w14:paraId="2B49A6DB" w14:textId="77777777" w:rsidR="001A54E6" w:rsidRPr="00912996" w:rsidRDefault="001A54E6" w:rsidP="00394372">
            <w:pPr>
              <w:rPr>
                <w:rFonts w:ascii="Calibri" w:hAnsi="Calibri"/>
                <w:bCs/>
                <w:lang w:eastAsia="ja-JP"/>
              </w:rPr>
            </w:pPr>
            <w:r w:rsidRPr="00912996">
              <w:rPr>
                <w:rFonts w:ascii="Calibri" w:hAnsi="Calibri"/>
                <w:bCs/>
                <w:lang w:eastAsia="ja-JP"/>
              </w:rPr>
              <w:t>2,989,733</w:t>
            </w:r>
          </w:p>
        </w:tc>
        <w:tc>
          <w:tcPr>
            <w:tcW w:w="1260" w:type="dxa"/>
            <w:shd w:val="clear" w:color="auto" w:fill="F2F2F2"/>
            <w:noWrap/>
          </w:tcPr>
          <w:p w14:paraId="4392E012" w14:textId="77777777" w:rsidR="001A54E6" w:rsidRPr="00912996" w:rsidRDefault="001A54E6" w:rsidP="00394372">
            <w:pPr>
              <w:rPr>
                <w:rFonts w:ascii="Calibri" w:hAnsi="Calibri"/>
                <w:bCs/>
                <w:lang w:eastAsia="ja-JP"/>
              </w:rPr>
            </w:pPr>
            <w:r w:rsidRPr="00912996">
              <w:rPr>
                <w:rFonts w:ascii="Calibri" w:hAnsi="Calibri"/>
                <w:bCs/>
                <w:lang w:eastAsia="ja-JP"/>
              </w:rPr>
              <w:t>610,150</w:t>
            </w:r>
          </w:p>
          <w:p w14:paraId="74AAFB70" w14:textId="77777777" w:rsidR="001A54E6" w:rsidRPr="00912996" w:rsidRDefault="001A54E6" w:rsidP="00394372">
            <w:pPr>
              <w:rPr>
                <w:rFonts w:ascii="Calibri" w:hAnsi="Calibri"/>
                <w:bCs/>
                <w:lang w:eastAsia="ja-JP"/>
              </w:rPr>
            </w:pPr>
          </w:p>
        </w:tc>
        <w:tc>
          <w:tcPr>
            <w:tcW w:w="1089" w:type="dxa"/>
            <w:shd w:val="clear" w:color="auto" w:fill="F2F2F2"/>
            <w:noWrap/>
          </w:tcPr>
          <w:p w14:paraId="5E7CDCEA"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7733E621" w14:textId="77777777" w:rsidR="001A54E6" w:rsidRPr="00912996" w:rsidRDefault="001A54E6" w:rsidP="00394372">
            <w:pPr>
              <w:rPr>
                <w:rFonts w:ascii="Calibri" w:hAnsi="Calibri"/>
                <w:bCs/>
                <w:lang w:eastAsia="ja-JP"/>
              </w:rPr>
            </w:pPr>
            <w:r w:rsidRPr="00912996">
              <w:rPr>
                <w:rFonts w:ascii="Calibri" w:hAnsi="Calibri"/>
                <w:bCs/>
                <w:lang w:eastAsia="ja-JP"/>
              </w:rPr>
              <w:t>Anghel Saligny</w:t>
            </w:r>
          </w:p>
        </w:tc>
        <w:tc>
          <w:tcPr>
            <w:tcW w:w="1260" w:type="dxa"/>
            <w:shd w:val="clear" w:color="auto" w:fill="F2F2F2"/>
          </w:tcPr>
          <w:p w14:paraId="1D107A20"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1C29D41A"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0F31958A" w14:textId="77777777" w:rsidTr="00E2442E">
        <w:trPr>
          <w:gridAfter w:val="9"/>
          <w:wAfter w:w="15421" w:type="dxa"/>
          <w:trHeight w:val="540"/>
        </w:trPr>
        <w:tc>
          <w:tcPr>
            <w:tcW w:w="625" w:type="dxa"/>
            <w:shd w:val="clear" w:color="auto" w:fill="F2F2F2"/>
            <w:noWrap/>
          </w:tcPr>
          <w:p w14:paraId="117077EB" w14:textId="77777777" w:rsidR="001A54E6" w:rsidRPr="00912996" w:rsidRDefault="001A54E6" w:rsidP="00394372">
            <w:pPr>
              <w:rPr>
                <w:rFonts w:ascii="Calibri" w:hAnsi="Calibri"/>
                <w:bCs/>
                <w:lang w:eastAsia="ja-JP"/>
              </w:rPr>
            </w:pPr>
            <w:r w:rsidRPr="00912996">
              <w:rPr>
                <w:rFonts w:ascii="Calibri" w:hAnsi="Calibri"/>
                <w:bCs/>
                <w:lang w:eastAsia="ja-JP"/>
              </w:rPr>
              <w:t>41</w:t>
            </w:r>
          </w:p>
        </w:tc>
        <w:tc>
          <w:tcPr>
            <w:tcW w:w="2250" w:type="dxa"/>
            <w:shd w:val="clear" w:color="auto" w:fill="F2F2F2"/>
          </w:tcPr>
          <w:p w14:paraId="22B52939" w14:textId="77777777" w:rsidR="001A54E6" w:rsidRPr="00912996" w:rsidRDefault="001A54E6" w:rsidP="00394372">
            <w:pPr>
              <w:rPr>
                <w:rFonts w:ascii="Calibri" w:hAnsi="Calibri"/>
                <w:bCs/>
                <w:lang w:eastAsia="ja-JP"/>
              </w:rPr>
            </w:pPr>
            <w:r w:rsidRPr="00912996">
              <w:rPr>
                <w:rFonts w:ascii="Calibri" w:hAnsi="Calibri"/>
                <w:bCs/>
                <w:lang w:eastAsia="ja-JP"/>
              </w:rPr>
              <w:t>Sistem ITS integrat Smart &amp; Green Mobility pentru regiunea București-Ilfov - Informarea călătorilor în stațiile de transport public (în parteneriat cu PMB și sectoare)</w:t>
            </w:r>
          </w:p>
        </w:tc>
        <w:tc>
          <w:tcPr>
            <w:tcW w:w="1530" w:type="dxa"/>
            <w:shd w:val="clear" w:color="auto" w:fill="F2F2F2"/>
          </w:tcPr>
          <w:p w14:paraId="1AFB21B0" w14:textId="77777777" w:rsidR="001A54E6" w:rsidRPr="00912996" w:rsidRDefault="001A54E6" w:rsidP="00394372">
            <w:pPr>
              <w:rPr>
                <w:rFonts w:ascii="Calibri" w:hAnsi="Calibri"/>
                <w:bCs/>
                <w:lang w:eastAsia="ja-JP"/>
              </w:rPr>
            </w:pPr>
            <w:r w:rsidRPr="00912996">
              <w:rPr>
                <w:rFonts w:ascii="Calibri" w:hAnsi="Calibri"/>
                <w:bCs/>
                <w:lang w:eastAsia="ja-JP"/>
              </w:rPr>
              <w:t>PS2, PMB</w:t>
            </w:r>
          </w:p>
        </w:tc>
        <w:tc>
          <w:tcPr>
            <w:tcW w:w="1620" w:type="dxa"/>
            <w:shd w:val="clear" w:color="auto" w:fill="F2F2F2"/>
            <w:noWrap/>
          </w:tcPr>
          <w:p w14:paraId="2F481655" w14:textId="77777777" w:rsidR="001A54E6" w:rsidRPr="00912996" w:rsidRDefault="001A54E6" w:rsidP="00394372">
            <w:pPr>
              <w:rPr>
                <w:rFonts w:ascii="Calibri" w:hAnsi="Calibri"/>
                <w:bCs/>
                <w:lang w:eastAsia="ja-JP"/>
              </w:rPr>
            </w:pPr>
            <w:r w:rsidRPr="00912996">
              <w:rPr>
                <w:rFonts w:ascii="Calibri" w:hAnsi="Calibri"/>
                <w:bCs/>
                <w:lang w:eastAsia="ja-JP"/>
              </w:rPr>
              <w:t>Proiect aflat în evaluare</w:t>
            </w:r>
          </w:p>
        </w:tc>
        <w:tc>
          <w:tcPr>
            <w:tcW w:w="1260" w:type="dxa"/>
            <w:shd w:val="clear" w:color="auto" w:fill="F2F2F2"/>
            <w:noWrap/>
          </w:tcPr>
          <w:p w14:paraId="7B8D99F6" w14:textId="3088F2F3" w:rsidR="001A54E6" w:rsidRPr="00912996" w:rsidRDefault="001A54E6" w:rsidP="00394372">
            <w:pPr>
              <w:rPr>
                <w:rFonts w:ascii="Calibri" w:hAnsi="Calibri"/>
                <w:bCs/>
                <w:lang w:eastAsia="ja-JP"/>
              </w:rPr>
            </w:pPr>
            <w:r w:rsidRPr="00513B65">
              <w:rPr>
                <w:rFonts w:ascii="Calibri" w:hAnsi="Calibri"/>
                <w:bCs/>
                <w:lang w:eastAsia="ja-JP"/>
              </w:rPr>
              <w:t>5</w:t>
            </w:r>
            <w:r>
              <w:rPr>
                <w:rFonts w:ascii="Calibri" w:hAnsi="Calibri"/>
                <w:bCs/>
                <w:lang w:eastAsia="ja-JP"/>
              </w:rPr>
              <w:t>,</w:t>
            </w:r>
            <w:r w:rsidRPr="00513B65">
              <w:rPr>
                <w:rFonts w:ascii="Calibri" w:hAnsi="Calibri"/>
                <w:bCs/>
                <w:lang w:eastAsia="ja-JP"/>
              </w:rPr>
              <w:t>858</w:t>
            </w:r>
            <w:r>
              <w:rPr>
                <w:rFonts w:ascii="Calibri" w:hAnsi="Calibri"/>
                <w:bCs/>
                <w:lang w:eastAsia="ja-JP"/>
              </w:rPr>
              <w:t>,</w:t>
            </w:r>
            <w:r w:rsidRPr="00513B65">
              <w:rPr>
                <w:rFonts w:ascii="Calibri" w:hAnsi="Calibri"/>
                <w:bCs/>
                <w:lang w:eastAsia="ja-JP"/>
              </w:rPr>
              <w:t>013</w:t>
            </w:r>
          </w:p>
        </w:tc>
        <w:tc>
          <w:tcPr>
            <w:tcW w:w="1260" w:type="dxa"/>
            <w:shd w:val="clear" w:color="auto" w:fill="F2F2F2"/>
            <w:noWrap/>
          </w:tcPr>
          <w:p w14:paraId="02585F78" w14:textId="0E842CE1" w:rsidR="001A54E6" w:rsidRPr="00912996" w:rsidRDefault="001A54E6" w:rsidP="00394372">
            <w:pPr>
              <w:rPr>
                <w:rFonts w:ascii="Calibri" w:hAnsi="Calibri"/>
                <w:bCs/>
                <w:lang w:eastAsia="ja-JP"/>
              </w:rPr>
            </w:pPr>
            <w:r w:rsidRPr="00513B65">
              <w:rPr>
                <w:rFonts w:ascii="Calibri" w:hAnsi="Calibri"/>
                <w:bCs/>
                <w:lang w:eastAsia="ja-JP"/>
              </w:rPr>
              <w:t>1</w:t>
            </w:r>
            <w:r>
              <w:rPr>
                <w:rFonts w:ascii="Calibri" w:hAnsi="Calibri"/>
                <w:bCs/>
                <w:lang w:eastAsia="ja-JP"/>
              </w:rPr>
              <w:t>,</w:t>
            </w:r>
            <w:r w:rsidRPr="00513B65">
              <w:rPr>
                <w:rFonts w:ascii="Calibri" w:hAnsi="Calibri"/>
                <w:bCs/>
                <w:lang w:eastAsia="ja-JP"/>
              </w:rPr>
              <w:t>195</w:t>
            </w:r>
            <w:r>
              <w:rPr>
                <w:rFonts w:ascii="Calibri" w:hAnsi="Calibri"/>
                <w:bCs/>
                <w:lang w:eastAsia="ja-JP"/>
              </w:rPr>
              <w:t>,</w:t>
            </w:r>
            <w:r w:rsidRPr="00513B65">
              <w:rPr>
                <w:rFonts w:ascii="Calibri" w:hAnsi="Calibri"/>
                <w:bCs/>
                <w:lang w:eastAsia="ja-JP"/>
              </w:rPr>
              <w:t>512</w:t>
            </w:r>
          </w:p>
        </w:tc>
        <w:tc>
          <w:tcPr>
            <w:tcW w:w="1089" w:type="dxa"/>
            <w:shd w:val="clear" w:color="auto" w:fill="F2F2F2"/>
            <w:noWrap/>
          </w:tcPr>
          <w:p w14:paraId="13531DB1" w14:textId="77777777" w:rsidR="001A54E6" w:rsidRPr="00912996" w:rsidRDefault="001A54E6" w:rsidP="00394372">
            <w:pPr>
              <w:rPr>
                <w:rFonts w:ascii="Calibri" w:hAnsi="Calibri"/>
                <w:bCs/>
                <w:lang w:eastAsia="ja-JP"/>
              </w:rPr>
            </w:pPr>
            <w:r w:rsidRPr="00912996">
              <w:rPr>
                <w:rFonts w:ascii="Calibri" w:hAnsi="Calibri"/>
                <w:bCs/>
                <w:lang w:eastAsia="ja-JP"/>
              </w:rPr>
              <w:t>2032 -2025</w:t>
            </w:r>
          </w:p>
        </w:tc>
        <w:tc>
          <w:tcPr>
            <w:tcW w:w="1881" w:type="dxa"/>
            <w:shd w:val="clear" w:color="auto" w:fill="F2F2F2"/>
          </w:tcPr>
          <w:p w14:paraId="76A6D163" w14:textId="77777777" w:rsidR="001A54E6" w:rsidRPr="00912996" w:rsidRDefault="001A54E6" w:rsidP="00394372">
            <w:pPr>
              <w:rPr>
                <w:rFonts w:ascii="Calibri" w:hAnsi="Calibri"/>
                <w:bCs/>
                <w:lang w:eastAsia="ja-JP"/>
              </w:rPr>
            </w:pPr>
            <w:r w:rsidRPr="00912996">
              <w:rPr>
                <w:rFonts w:ascii="Calibri" w:hAnsi="Calibri"/>
                <w:bCs/>
                <w:lang w:eastAsia="ja-JP"/>
              </w:rPr>
              <w:t>PNRR C10</w:t>
            </w:r>
          </w:p>
        </w:tc>
        <w:tc>
          <w:tcPr>
            <w:tcW w:w="1260" w:type="dxa"/>
            <w:shd w:val="clear" w:color="auto" w:fill="F2F2F2"/>
          </w:tcPr>
          <w:p w14:paraId="78BBBBBF"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tcPr>
          <w:p w14:paraId="551E8718"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3ADE1137" w14:textId="77777777" w:rsidTr="00E2442E">
        <w:trPr>
          <w:gridAfter w:val="9"/>
          <w:wAfter w:w="15421" w:type="dxa"/>
          <w:trHeight w:val="540"/>
        </w:trPr>
        <w:tc>
          <w:tcPr>
            <w:tcW w:w="625" w:type="dxa"/>
            <w:shd w:val="clear" w:color="auto" w:fill="F2F2F2"/>
            <w:noWrap/>
          </w:tcPr>
          <w:p w14:paraId="7C427F3C" w14:textId="77777777" w:rsidR="001A54E6" w:rsidRPr="00912996" w:rsidRDefault="001A54E6" w:rsidP="00394372">
            <w:pPr>
              <w:rPr>
                <w:rFonts w:ascii="Calibri" w:hAnsi="Calibri"/>
                <w:bCs/>
                <w:lang w:eastAsia="ja-JP"/>
              </w:rPr>
            </w:pPr>
            <w:r>
              <w:rPr>
                <w:rFonts w:ascii="Calibri" w:hAnsi="Calibri"/>
                <w:bCs/>
                <w:lang w:eastAsia="ja-JP"/>
              </w:rPr>
              <w:t>42</w:t>
            </w:r>
          </w:p>
        </w:tc>
        <w:tc>
          <w:tcPr>
            <w:tcW w:w="2250" w:type="dxa"/>
            <w:shd w:val="clear" w:color="auto" w:fill="F2F2F2"/>
          </w:tcPr>
          <w:p w14:paraId="1E18122A" w14:textId="77777777" w:rsidR="001A54E6" w:rsidRPr="00912996" w:rsidRDefault="001A54E6" w:rsidP="00394372">
            <w:pPr>
              <w:rPr>
                <w:rFonts w:ascii="Calibri" w:hAnsi="Calibri"/>
                <w:bCs/>
                <w:lang w:eastAsia="ja-JP"/>
              </w:rPr>
            </w:pPr>
            <w:r w:rsidRPr="00B6049C">
              <w:rPr>
                <w:rFonts w:ascii="Calibri" w:hAnsi="Calibri"/>
                <w:bCs/>
                <w:lang w:eastAsia="ja-JP"/>
              </w:rPr>
              <w:t>Modernizare cale de rulare tronson dublu tramvai existent si realizare tronson dublu tramvai nou, rezultând un traseu final cuprins intre Bd. Dimitrie Pompei-cale ferata- Sos. Petricani – Bd. Lacul Tei – Str. Doamna Ghica – Sos. Pantelimon – Bd. Chișinău – Bd. Basarabia -  Sos. Vergului, inclusiv amenajarea/reconfigurarea domeniului public adiacent lucrărilor menționate (intersecții/artere de circulație si rețele si dotări tehnico-edilitare), pe o lungime de 12,2 km</w:t>
            </w:r>
          </w:p>
        </w:tc>
        <w:tc>
          <w:tcPr>
            <w:tcW w:w="1530" w:type="dxa"/>
            <w:shd w:val="clear" w:color="auto" w:fill="F2F2F2"/>
          </w:tcPr>
          <w:p w14:paraId="1C7DA85B" w14:textId="77777777" w:rsidR="001A54E6" w:rsidRPr="00912996" w:rsidRDefault="001A54E6" w:rsidP="00394372">
            <w:pPr>
              <w:rPr>
                <w:rFonts w:ascii="Calibri" w:hAnsi="Calibri"/>
                <w:bCs/>
                <w:lang w:eastAsia="ja-JP"/>
              </w:rPr>
            </w:pPr>
            <w:r w:rsidRPr="00B6049C">
              <w:rPr>
                <w:rFonts w:ascii="Calibri" w:hAnsi="Calibri"/>
                <w:bCs/>
                <w:lang w:eastAsia="ja-JP"/>
              </w:rPr>
              <w:t>PS2</w:t>
            </w:r>
          </w:p>
        </w:tc>
        <w:tc>
          <w:tcPr>
            <w:tcW w:w="1620" w:type="dxa"/>
            <w:shd w:val="clear" w:color="auto" w:fill="F2F2F2"/>
            <w:noWrap/>
          </w:tcPr>
          <w:p w14:paraId="1BB06F65" w14:textId="77777777" w:rsidR="001A54E6" w:rsidRPr="00912996" w:rsidRDefault="001A54E6" w:rsidP="00394372">
            <w:pPr>
              <w:rPr>
                <w:rFonts w:ascii="Calibri" w:hAnsi="Calibri"/>
                <w:bCs/>
                <w:lang w:eastAsia="ja-JP"/>
              </w:rPr>
            </w:pPr>
            <w:r w:rsidRPr="00B6049C">
              <w:rPr>
                <w:rFonts w:ascii="Calibri" w:hAnsi="Calibri"/>
                <w:bCs/>
                <w:lang w:eastAsia="ja-JP"/>
              </w:rPr>
              <w:t xml:space="preserve">Pregătirea documentației tehnico-economice </w:t>
            </w:r>
          </w:p>
        </w:tc>
        <w:tc>
          <w:tcPr>
            <w:tcW w:w="1260" w:type="dxa"/>
            <w:shd w:val="clear" w:color="auto" w:fill="F2F2F2"/>
            <w:noWrap/>
          </w:tcPr>
          <w:p w14:paraId="5AAE4257" w14:textId="750A7366" w:rsidR="001A54E6" w:rsidRPr="00513B65" w:rsidRDefault="001A54E6" w:rsidP="00394372">
            <w:pPr>
              <w:rPr>
                <w:rFonts w:ascii="Calibri" w:hAnsi="Calibri"/>
                <w:bCs/>
                <w:lang w:eastAsia="ja-JP"/>
              </w:rPr>
            </w:pPr>
            <w:r w:rsidRPr="00B6049C">
              <w:rPr>
                <w:rFonts w:ascii="Calibri" w:hAnsi="Calibri"/>
                <w:bCs/>
                <w:lang w:eastAsia="ja-JP"/>
              </w:rPr>
              <w:t>133</w:t>
            </w:r>
            <w:r w:rsidR="00E2442E">
              <w:rPr>
                <w:rFonts w:ascii="Calibri" w:hAnsi="Calibri"/>
                <w:bCs/>
                <w:lang w:eastAsia="ja-JP"/>
              </w:rPr>
              <w:t>,</w:t>
            </w:r>
            <w:r w:rsidRPr="00B6049C">
              <w:rPr>
                <w:rFonts w:ascii="Calibri" w:hAnsi="Calibri"/>
                <w:bCs/>
                <w:lang w:eastAsia="ja-JP"/>
              </w:rPr>
              <w:t>500</w:t>
            </w:r>
            <w:r w:rsidR="00E2442E">
              <w:rPr>
                <w:rFonts w:ascii="Calibri" w:hAnsi="Calibri"/>
                <w:bCs/>
                <w:lang w:eastAsia="ja-JP"/>
              </w:rPr>
              <w:t>,</w:t>
            </w:r>
            <w:r w:rsidRPr="00B6049C">
              <w:rPr>
                <w:rFonts w:ascii="Calibri" w:hAnsi="Calibri"/>
                <w:bCs/>
                <w:lang w:eastAsia="ja-JP"/>
              </w:rPr>
              <w:t>000</w:t>
            </w:r>
          </w:p>
        </w:tc>
        <w:tc>
          <w:tcPr>
            <w:tcW w:w="1260" w:type="dxa"/>
            <w:shd w:val="clear" w:color="auto" w:fill="F2F2F2"/>
            <w:noWrap/>
          </w:tcPr>
          <w:p w14:paraId="6A33FCD6" w14:textId="77777777" w:rsidR="001A54E6" w:rsidRPr="00513B65" w:rsidRDefault="001A54E6" w:rsidP="00394372">
            <w:pPr>
              <w:rPr>
                <w:rFonts w:ascii="Calibri" w:hAnsi="Calibri"/>
                <w:bCs/>
                <w:lang w:eastAsia="ja-JP"/>
              </w:rPr>
            </w:pPr>
            <w:r w:rsidRPr="00B6049C">
              <w:rPr>
                <w:rFonts w:ascii="Calibri" w:hAnsi="Calibri"/>
                <w:bCs/>
                <w:lang w:eastAsia="ja-JP"/>
              </w:rPr>
              <w:t>N/A</w:t>
            </w:r>
          </w:p>
        </w:tc>
        <w:tc>
          <w:tcPr>
            <w:tcW w:w="1089" w:type="dxa"/>
            <w:shd w:val="clear" w:color="auto" w:fill="F2F2F2"/>
            <w:noWrap/>
          </w:tcPr>
          <w:p w14:paraId="677799E5" w14:textId="77777777" w:rsidR="001A54E6" w:rsidRPr="00912996" w:rsidRDefault="001A54E6" w:rsidP="00394372">
            <w:pPr>
              <w:rPr>
                <w:rFonts w:ascii="Calibri" w:hAnsi="Calibri"/>
                <w:bCs/>
                <w:lang w:eastAsia="ja-JP"/>
              </w:rPr>
            </w:pPr>
            <w:r w:rsidRPr="00B6049C">
              <w:rPr>
                <w:rFonts w:ascii="Calibri" w:hAnsi="Calibri"/>
                <w:bCs/>
                <w:lang w:eastAsia="ja-JP"/>
              </w:rPr>
              <w:t>N/A</w:t>
            </w:r>
          </w:p>
        </w:tc>
        <w:tc>
          <w:tcPr>
            <w:tcW w:w="1881" w:type="dxa"/>
            <w:shd w:val="clear" w:color="auto" w:fill="F2F2F2"/>
          </w:tcPr>
          <w:p w14:paraId="7257E591" w14:textId="77777777" w:rsidR="001A54E6" w:rsidRPr="00912996" w:rsidRDefault="001A54E6" w:rsidP="00394372">
            <w:pPr>
              <w:rPr>
                <w:rFonts w:ascii="Calibri" w:hAnsi="Calibri"/>
                <w:bCs/>
                <w:lang w:eastAsia="ja-JP"/>
              </w:rPr>
            </w:pPr>
            <w:r w:rsidRPr="00B6049C">
              <w:rPr>
                <w:rFonts w:ascii="Calibri" w:hAnsi="Calibri"/>
                <w:bCs/>
                <w:lang w:eastAsia="ja-JP"/>
              </w:rPr>
              <w:t>POR 2021-2027</w:t>
            </w:r>
          </w:p>
        </w:tc>
        <w:tc>
          <w:tcPr>
            <w:tcW w:w="1260" w:type="dxa"/>
            <w:shd w:val="clear" w:color="auto" w:fill="F2F2F2"/>
          </w:tcPr>
          <w:p w14:paraId="310EE3C9" w14:textId="77777777" w:rsidR="001A54E6" w:rsidRPr="00912996" w:rsidRDefault="001A54E6" w:rsidP="00394372">
            <w:pPr>
              <w:rPr>
                <w:rFonts w:ascii="Calibri" w:hAnsi="Calibri"/>
                <w:bCs/>
                <w:lang w:eastAsia="ja-JP"/>
              </w:rPr>
            </w:pPr>
            <w:r>
              <w:rPr>
                <w:rFonts w:ascii="Calibri" w:hAnsi="Calibri"/>
                <w:bCs/>
                <w:lang w:eastAsia="ja-JP"/>
              </w:rPr>
              <w:t>N/A</w:t>
            </w:r>
          </w:p>
        </w:tc>
        <w:tc>
          <w:tcPr>
            <w:tcW w:w="1440" w:type="dxa"/>
            <w:shd w:val="clear" w:color="auto" w:fill="F2F2F2"/>
          </w:tcPr>
          <w:p w14:paraId="23457674" w14:textId="77777777" w:rsidR="001A54E6" w:rsidRPr="00912996" w:rsidRDefault="001A54E6" w:rsidP="00394372">
            <w:pPr>
              <w:rPr>
                <w:rFonts w:ascii="Calibri" w:hAnsi="Calibri"/>
                <w:bCs/>
                <w:lang w:eastAsia="ja-JP"/>
              </w:rPr>
            </w:pPr>
            <w:r w:rsidRPr="00B6049C">
              <w:rPr>
                <w:rFonts w:ascii="Calibri" w:hAnsi="Calibri"/>
                <w:bCs/>
                <w:lang w:eastAsia="ja-JP"/>
              </w:rPr>
              <w:t>PS2</w:t>
            </w:r>
          </w:p>
        </w:tc>
      </w:tr>
      <w:tr w:rsidR="001A54E6" w:rsidRPr="00912996" w14:paraId="6A7BDCBD" w14:textId="77777777" w:rsidTr="00AC2FFA">
        <w:trPr>
          <w:gridAfter w:val="9"/>
          <w:wAfter w:w="15421" w:type="dxa"/>
          <w:trHeight w:val="276"/>
        </w:trPr>
        <w:tc>
          <w:tcPr>
            <w:tcW w:w="14215" w:type="dxa"/>
            <w:gridSpan w:val="10"/>
            <w:shd w:val="clear" w:color="auto" w:fill="BBD9A0"/>
            <w:noWrap/>
            <w:hideMark/>
          </w:tcPr>
          <w:p w14:paraId="744732FC" w14:textId="77777777" w:rsidR="001A54E6" w:rsidRPr="00912996" w:rsidRDefault="001A54E6" w:rsidP="002A7B82">
            <w:pPr>
              <w:jc w:val="center"/>
              <w:rPr>
                <w:rFonts w:ascii="Calibri" w:hAnsi="Calibri"/>
                <w:b/>
                <w:bCs/>
                <w:color w:val="FFFFFF"/>
                <w:lang w:eastAsia="ja-JP"/>
              </w:rPr>
            </w:pPr>
            <w:r w:rsidRPr="00912996">
              <w:rPr>
                <w:rFonts w:ascii="Calibri" w:hAnsi="Calibri"/>
                <w:b/>
                <w:bCs/>
                <w:color w:val="FFFFFF"/>
                <w:lang w:eastAsia="ja-JP"/>
              </w:rPr>
              <w:t>D3.4.7 Dezvoltarea transportului inter și multimodal (PMB)</w:t>
            </w:r>
          </w:p>
        </w:tc>
      </w:tr>
      <w:tr w:rsidR="00AC2FFA" w:rsidRPr="00912996" w14:paraId="4E359515" w14:textId="77777777" w:rsidTr="00E2442E">
        <w:trPr>
          <w:gridAfter w:val="9"/>
          <w:wAfter w:w="15421" w:type="dxa"/>
          <w:trHeight w:val="1056"/>
        </w:trPr>
        <w:tc>
          <w:tcPr>
            <w:tcW w:w="625" w:type="dxa"/>
            <w:shd w:val="clear" w:color="auto" w:fill="F2F2F2"/>
            <w:noWrap/>
            <w:hideMark/>
          </w:tcPr>
          <w:p w14:paraId="2CD02DC8"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49791371" w14:textId="77777777" w:rsidR="001A54E6" w:rsidRPr="00912996" w:rsidRDefault="001A54E6" w:rsidP="00394372">
            <w:pPr>
              <w:rPr>
                <w:rFonts w:ascii="Calibri" w:hAnsi="Calibri"/>
                <w:bCs/>
                <w:lang w:eastAsia="ja-JP"/>
              </w:rPr>
            </w:pPr>
            <w:r w:rsidRPr="00912996">
              <w:rPr>
                <w:rFonts w:ascii="Calibri" w:hAnsi="Calibri"/>
                <w:bCs/>
                <w:lang w:eastAsia="ja-JP"/>
              </w:rPr>
              <w:t>Extinderea rețelei de tramvai pe traseul  Șos Pantelimon - Bd Biruinței (Pantelimon) - DN3 - DNCB, inclusiv nod intermodal la intersecția dintre DN3, DNCB, rețeaua CFR</w:t>
            </w:r>
          </w:p>
        </w:tc>
        <w:tc>
          <w:tcPr>
            <w:tcW w:w="1530" w:type="dxa"/>
            <w:shd w:val="clear" w:color="auto" w:fill="F2F2F2"/>
            <w:hideMark/>
          </w:tcPr>
          <w:p w14:paraId="44EBC252" w14:textId="77777777" w:rsidR="001A54E6" w:rsidRPr="00912996" w:rsidRDefault="001A54E6" w:rsidP="00394372">
            <w:pPr>
              <w:rPr>
                <w:rFonts w:ascii="Calibri" w:hAnsi="Calibri"/>
                <w:bCs/>
                <w:lang w:eastAsia="ja-JP"/>
              </w:rPr>
            </w:pPr>
            <w:r w:rsidRPr="00912996">
              <w:rPr>
                <w:rFonts w:ascii="Calibri" w:hAnsi="Calibri"/>
                <w:bCs/>
                <w:lang w:eastAsia="ja-JP"/>
              </w:rPr>
              <w:t>PMB, PS2, Min</w:t>
            </w:r>
            <w:r>
              <w:rPr>
                <w:rFonts w:ascii="Calibri" w:hAnsi="Calibri"/>
                <w:bCs/>
                <w:lang w:eastAsia="ja-JP"/>
              </w:rPr>
              <w:t>isterul</w:t>
            </w:r>
            <w:r w:rsidRPr="00912996">
              <w:rPr>
                <w:rFonts w:ascii="Calibri" w:hAnsi="Calibri"/>
                <w:bCs/>
                <w:lang w:eastAsia="ja-JP"/>
              </w:rPr>
              <w:t xml:space="preserve"> Transporturilor, CJ Ilfov, Orașul Pantelimon</w:t>
            </w:r>
          </w:p>
        </w:tc>
        <w:tc>
          <w:tcPr>
            <w:tcW w:w="1620" w:type="dxa"/>
            <w:shd w:val="clear" w:color="auto" w:fill="F2F2F2"/>
            <w:noWrap/>
            <w:hideMark/>
          </w:tcPr>
          <w:p w14:paraId="238AAFB0"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1A82BBFF" w14:textId="77777777" w:rsidR="001A54E6" w:rsidRPr="00912996" w:rsidRDefault="001A54E6" w:rsidP="00394372">
            <w:pPr>
              <w:rPr>
                <w:rFonts w:ascii="Calibri" w:hAnsi="Calibri"/>
                <w:bCs/>
                <w:lang w:eastAsia="ja-JP"/>
              </w:rPr>
            </w:pPr>
            <w:r w:rsidRPr="00912996">
              <w:rPr>
                <w:rFonts w:ascii="Calibri" w:hAnsi="Calibri"/>
                <w:bCs/>
                <w:lang w:eastAsia="ja-JP"/>
              </w:rPr>
              <w:t>245,000,000</w:t>
            </w:r>
          </w:p>
        </w:tc>
        <w:tc>
          <w:tcPr>
            <w:tcW w:w="1260" w:type="dxa"/>
            <w:shd w:val="clear" w:color="auto" w:fill="F2F2F2"/>
            <w:noWrap/>
            <w:hideMark/>
          </w:tcPr>
          <w:p w14:paraId="2472DCF0" w14:textId="77777777" w:rsidR="001A54E6" w:rsidRPr="00912996" w:rsidRDefault="001A54E6" w:rsidP="00394372">
            <w:pPr>
              <w:rPr>
                <w:rFonts w:ascii="Calibri" w:hAnsi="Calibri"/>
                <w:bCs/>
                <w:lang w:eastAsia="ja-JP"/>
              </w:rPr>
            </w:pPr>
            <w:r w:rsidRPr="00912996">
              <w:rPr>
                <w:rFonts w:ascii="Calibri" w:hAnsi="Calibri"/>
                <w:bCs/>
                <w:lang w:eastAsia="ja-JP"/>
              </w:rPr>
              <w:t>50,000,000</w:t>
            </w:r>
          </w:p>
        </w:tc>
        <w:tc>
          <w:tcPr>
            <w:tcW w:w="1089" w:type="dxa"/>
            <w:shd w:val="clear" w:color="auto" w:fill="F2F2F2"/>
            <w:noWrap/>
            <w:hideMark/>
          </w:tcPr>
          <w:p w14:paraId="6592989C"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43F58611"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3D251B82"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539D2231" w14:textId="77777777" w:rsidR="001A54E6" w:rsidRPr="00912996" w:rsidRDefault="001A54E6" w:rsidP="00394372">
            <w:pPr>
              <w:rPr>
                <w:rFonts w:ascii="Calibri" w:hAnsi="Calibri"/>
                <w:bCs/>
                <w:lang w:eastAsia="ja-JP"/>
              </w:rPr>
            </w:pPr>
            <w:r w:rsidRPr="00912996">
              <w:rPr>
                <w:rFonts w:ascii="Calibri" w:hAnsi="Calibri"/>
                <w:bCs/>
                <w:lang w:eastAsia="ja-JP"/>
              </w:rPr>
              <w:t>PS2, SIDU MB</w:t>
            </w:r>
          </w:p>
        </w:tc>
      </w:tr>
      <w:tr w:rsidR="00AC2FFA" w:rsidRPr="00912996" w14:paraId="07298C91" w14:textId="77777777" w:rsidTr="00E2442E">
        <w:trPr>
          <w:gridAfter w:val="9"/>
          <w:wAfter w:w="15421" w:type="dxa"/>
          <w:trHeight w:val="1056"/>
        </w:trPr>
        <w:tc>
          <w:tcPr>
            <w:tcW w:w="625" w:type="dxa"/>
            <w:shd w:val="clear" w:color="auto" w:fill="F2F2F2"/>
            <w:noWrap/>
            <w:hideMark/>
          </w:tcPr>
          <w:p w14:paraId="78A513F4"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6FFB62DC" w14:textId="77777777" w:rsidR="001A54E6" w:rsidRPr="00912996" w:rsidRDefault="001A54E6" w:rsidP="00394372">
            <w:pPr>
              <w:rPr>
                <w:rFonts w:ascii="Calibri" w:hAnsi="Calibri"/>
                <w:bCs/>
                <w:lang w:eastAsia="ja-JP"/>
              </w:rPr>
            </w:pPr>
            <w:r w:rsidRPr="00912996">
              <w:rPr>
                <w:rFonts w:ascii="Calibri" w:hAnsi="Calibri"/>
                <w:bCs/>
                <w:lang w:eastAsia="ja-JP"/>
              </w:rPr>
              <w:t>Program de suplimentare a locurilor de parcare în vecinătatea stațiilor de metrou</w:t>
            </w:r>
          </w:p>
        </w:tc>
        <w:tc>
          <w:tcPr>
            <w:tcW w:w="1530" w:type="dxa"/>
            <w:shd w:val="clear" w:color="auto" w:fill="F2F2F2"/>
            <w:hideMark/>
          </w:tcPr>
          <w:p w14:paraId="1A0C8F6E"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6EE72C06"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3590E3CE" w14:textId="77777777" w:rsidR="001A54E6" w:rsidRPr="00912996" w:rsidRDefault="001A54E6" w:rsidP="00394372">
            <w:pPr>
              <w:rPr>
                <w:rFonts w:ascii="Calibri" w:hAnsi="Calibri"/>
                <w:bCs/>
                <w:lang w:eastAsia="ja-JP"/>
              </w:rPr>
            </w:pPr>
            <w:r w:rsidRPr="00912996">
              <w:rPr>
                <w:rFonts w:ascii="Calibri" w:hAnsi="Calibri"/>
                <w:bCs/>
                <w:lang w:eastAsia="ja-JP"/>
              </w:rPr>
              <w:t>14,700,000</w:t>
            </w:r>
          </w:p>
        </w:tc>
        <w:tc>
          <w:tcPr>
            <w:tcW w:w="1260" w:type="dxa"/>
            <w:shd w:val="clear" w:color="auto" w:fill="F2F2F2"/>
            <w:noWrap/>
            <w:hideMark/>
          </w:tcPr>
          <w:p w14:paraId="128038F8" w14:textId="77777777" w:rsidR="001A54E6" w:rsidRPr="00912996" w:rsidRDefault="001A54E6" w:rsidP="00394372">
            <w:pPr>
              <w:rPr>
                <w:rFonts w:ascii="Calibri" w:hAnsi="Calibri"/>
                <w:bCs/>
                <w:lang w:eastAsia="ja-JP"/>
              </w:rPr>
            </w:pPr>
            <w:r w:rsidRPr="00912996">
              <w:rPr>
                <w:rFonts w:ascii="Calibri" w:hAnsi="Calibri"/>
                <w:bCs/>
                <w:lang w:eastAsia="ja-JP"/>
              </w:rPr>
              <w:t>3,000,000</w:t>
            </w:r>
          </w:p>
        </w:tc>
        <w:tc>
          <w:tcPr>
            <w:tcW w:w="1089" w:type="dxa"/>
            <w:shd w:val="clear" w:color="auto" w:fill="F2F2F2"/>
            <w:noWrap/>
            <w:hideMark/>
          </w:tcPr>
          <w:p w14:paraId="5C16417B" w14:textId="77777777" w:rsidR="001A54E6" w:rsidRPr="00912996" w:rsidRDefault="001A54E6" w:rsidP="00394372">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5CDAFF26"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587B2B1F"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083227B2" w14:textId="77777777" w:rsidR="001A54E6" w:rsidRPr="00912996" w:rsidRDefault="001A54E6" w:rsidP="00394372">
            <w:pPr>
              <w:rPr>
                <w:rFonts w:ascii="Calibri" w:hAnsi="Calibri"/>
                <w:bCs/>
                <w:lang w:eastAsia="ja-JP"/>
              </w:rPr>
            </w:pPr>
            <w:r w:rsidRPr="00912996">
              <w:rPr>
                <w:rFonts w:ascii="Calibri" w:hAnsi="Calibri"/>
                <w:bCs/>
                <w:lang w:eastAsia="ja-JP"/>
              </w:rPr>
              <w:t>PMUD-BI, PS2</w:t>
            </w:r>
          </w:p>
        </w:tc>
      </w:tr>
      <w:tr w:rsidR="00AC2FFA" w:rsidRPr="00912996" w14:paraId="00972496" w14:textId="77777777" w:rsidTr="00E2442E">
        <w:trPr>
          <w:gridAfter w:val="9"/>
          <w:wAfter w:w="15421" w:type="dxa"/>
          <w:trHeight w:val="1056"/>
        </w:trPr>
        <w:tc>
          <w:tcPr>
            <w:tcW w:w="625" w:type="dxa"/>
            <w:shd w:val="clear" w:color="auto" w:fill="F2F2F2"/>
            <w:noWrap/>
            <w:hideMark/>
          </w:tcPr>
          <w:p w14:paraId="6002534B" w14:textId="77777777" w:rsidR="001A54E6" w:rsidRPr="00912996" w:rsidRDefault="001A54E6" w:rsidP="00394372">
            <w:pPr>
              <w:rPr>
                <w:rFonts w:ascii="Calibri" w:hAnsi="Calibri"/>
                <w:bCs/>
                <w:lang w:eastAsia="ja-JP"/>
              </w:rPr>
            </w:pPr>
            <w:r w:rsidRPr="00912996">
              <w:rPr>
                <w:rFonts w:ascii="Calibri" w:hAnsi="Calibri"/>
                <w:bCs/>
                <w:lang w:eastAsia="ja-JP"/>
              </w:rPr>
              <w:t>3</w:t>
            </w:r>
          </w:p>
        </w:tc>
        <w:tc>
          <w:tcPr>
            <w:tcW w:w="2250" w:type="dxa"/>
            <w:shd w:val="clear" w:color="auto" w:fill="F2F2F2"/>
            <w:hideMark/>
          </w:tcPr>
          <w:p w14:paraId="54423C10" w14:textId="77777777" w:rsidR="001A54E6" w:rsidRPr="00912996" w:rsidRDefault="001A54E6" w:rsidP="00394372">
            <w:pPr>
              <w:rPr>
                <w:rFonts w:ascii="Calibri" w:hAnsi="Calibri"/>
                <w:bCs/>
                <w:lang w:eastAsia="ja-JP"/>
              </w:rPr>
            </w:pPr>
            <w:r w:rsidRPr="00912996">
              <w:rPr>
                <w:rFonts w:ascii="Calibri" w:hAnsi="Calibri"/>
                <w:bCs/>
                <w:lang w:eastAsia="ja-JP"/>
              </w:rPr>
              <w:t>Parcări de transfer (Park&amp;Ride) Pipera</w:t>
            </w:r>
          </w:p>
        </w:tc>
        <w:tc>
          <w:tcPr>
            <w:tcW w:w="1530" w:type="dxa"/>
            <w:shd w:val="clear" w:color="auto" w:fill="F2F2F2"/>
            <w:hideMark/>
          </w:tcPr>
          <w:p w14:paraId="0C070729" w14:textId="77777777" w:rsidR="001A54E6" w:rsidRPr="00912996" w:rsidRDefault="001A54E6" w:rsidP="00394372">
            <w:pPr>
              <w:rPr>
                <w:rFonts w:ascii="Calibri" w:hAnsi="Calibri"/>
                <w:bCs/>
                <w:lang w:eastAsia="ja-JP"/>
              </w:rPr>
            </w:pPr>
            <w:r w:rsidRPr="00912996">
              <w:rPr>
                <w:rFonts w:ascii="Calibri" w:hAnsi="Calibri"/>
                <w:bCs/>
                <w:lang w:eastAsia="ja-JP"/>
              </w:rPr>
              <w:t>PMB, ADI-T, PS2</w:t>
            </w:r>
          </w:p>
        </w:tc>
        <w:tc>
          <w:tcPr>
            <w:tcW w:w="1620" w:type="dxa"/>
            <w:shd w:val="clear" w:color="auto" w:fill="F2F2F2"/>
            <w:noWrap/>
            <w:hideMark/>
          </w:tcPr>
          <w:p w14:paraId="04AA5F1A" w14:textId="77777777" w:rsidR="001A54E6" w:rsidRPr="00912996" w:rsidRDefault="001A54E6" w:rsidP="00394372">
            <w:pPr>
              <w:rPr>
                <w:rFonts w:ascii="Calibri" w:hAnsi="Calibri"/>
                <w:bCs/>
                <w:lang w:eastAsia="ja-JP"/>
              </w:rPr>
            </w:pPr>
            <w:r w:rsidRPr="00912996">
              <w:rPr>
                <w:rFonts w:ascii="Calibri" w:hAnsi="Calibri"/>
                <w:bCs/>
                <w:lang w:eastAsia="ja-JP"/>
              </w:rPr>
              <w:t>Cf. PMUD</w:t>
            </w:r>
          </w:p>
        </w:tc>
        <w:tc>
          <w:tcPr>
            <w:tcW w:w="1260" w:type="dxa"/>
            <w:shd w:val="clear" w:color="auto" w:fill="F2F2F2"/>
            <w:noWrap/>
            <w:hideMark/>
          </w:tcPr>
          <w:p w14:paraId="170F2C8F" w14:textId="77777777" w:rsidR="001A54E6" w:rsidRPr="00912996" w:rsidRDefault="001A54E6" w:rsidP="00394372">
            <w:pPr>
              <w:rPr>
                <w:rFonts w:ascii="Calibri" w:hAnsi="Calibri"/>
                <w:bCs/>
                <w:lang w:eastAsia="ja-JP"/>
              </w:rPr>
            </w:pPr>
            <w:r w:rsidRPr="00912996">
              <w:rPr>
                <w:rFonts w:ascii="Calibri" w:hAnsi="Calibri"/>
                <w:bCs/>
                <w:lang w:eastAsia="ja-JP"/>
              </w:rPr>
              <w:t>117,600,000</w:t>
            </w:r>
          </w:p>
        </w:tc>
        <w:tc>
          <w:tcPr>
            <w:tcW w:w="1260" w:type="dxa"/>
            <w:shd w:val="clear" w:color="auto" w:fill="F2F2F2"/>
            <w:noWrap/>
            <w:hideMark/>
          </w:tcPr>
          <w:p w14:paraId="3C2D21B2" w14:textId="77777777" w:rsidR="001A54E6" w:rsidRPr="00912996" w:rsidRDefault="001A54E6" w:rsidP="00394372">
            <w:pPr>
              <w:rPr>
                <w:rFonts w:ascii="Calibri" w:hAnsi="Calibri"/>
                <w:bCs/>
                <w:lang w:eastAsia="ja-JP"/>
              </w:rPr>
            </w:pPr>
            <w:r w:rsidRPr="00912996">
              <w:rPr>
                <w:rFonts w:ascii="Calibri" w:hAnsi="Calibri"/>
                <w:bCs/>
                <w:lang w:eastAsia="ja-JP"/>
              </w:rPr>
              <w:t>24,000,000</w:t>
            </w:r>
          </w:p>
        </w:tc>
        <w:tc>
          <w:tcPr>
            <w:tcW w:w="1089" w:type="dxa"/>
            <w:shd w:val="clear" w:color="auto" w:fill="F2F2F2"/>
            <w:noWrap/>
            <w:hideMark/>
          </w:tcPr>
          <w:p w14:paraId="2A7288E6" w14:textId="77777777" w:rsidR="001A54E6" w:rsidRPr="00912996" w:rsidRDefault="001A54E6" w:rsidP="00394372">
            <w:pPr>
              <w:rPr>
                <w:rFonts w:ascii="Calibri" w:hAnsi="Calibri"/>
                <w:bCs/>
                <w:lang w:eastAsia="ja-JP"/>
              </w:rPr>
            </w:pPr>
            <w:r w:rsidRPr="00912996">
              <w:rPr>
                <w:rFonts w:ascii="Calibri" w:hAnsi="Calibri"/>
                <w:bCs/>
                <w:lang w:eastAsia="ja-JP"/>
              </w:rPr>
              <w:t>2017</w:t>
            </w:r>
            <w:r>
              <w:rPr>
                <w:rFonts w:ascii="Calibri" w:hAnsi="Calibri"/>
                <w:bCs/>
                <w:lang w:eastAsia="ja-JP"/>
              </w:rPr>
              <w:t xml:space="preserve"> </w:t>
            </w:r>
            <w:r w:rsidRPr="00912996">
              <w:rPr>
                <w:rFonts w:ascii="Calibri" w:hAnsi="Calibri"/>
                <w:bCs/>
                <w:lang w:eastAsia="ja-JP"/>
              </w:rPr>
              <w:t>-2030</w:t>
            </w:r>
          </w:p>
        </w:tc>
        <w:tc>
          <w:tcPr>
            <w:tcW w:w="1881" w:type="dxa"/>
            <w:shd w:val="clear" w:color="auto" w:fill="F2F2F2"/>
            <w:hideMark/>
          </w:tcPr>
          <w:p w14:paraId="06FAB43A"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5AE0D249"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7DF023B7" w14:textId="77777777" w:rsidR="001A54E6" w:rsidRPr="00912996" w:rsidRDefault="001A54E6" w:rsidP="00394372">
            <w:pPr>
              <w:rPr>
                <w:rFonts w:ascii="Calibri" w:hAnsi="Calibri"/>
                <w:bCs/>
                <w:lang w:eastAsia="ja-JP"/>
              </w:rPr>
            </w:pPr>
            <w:r w:rsidRPr="00912996">
              <w:rPr>
                <w:rFonts w:ascii="Calibri" w:hAnsi="Calibri"/>
                <w:bCs/>
                <w:lang w:eastAsia="ja-JP"/>
              </w:rPr>
              <w:t>PMUD-BI, PS2</w:t>
            </w:r>
          </w:p>
        </w:tc>
      </w:tr>
      <w:tr w:rsidR="00AC2FFA" w:rsidRPr="00912996" w14:paraId="7C285FE4" w14:textId="77777777" w:rsidTr="00E2442E">
        <w:trPr>
          <w:gridAfter w:val="9"/>
          <w:wAfter w:w="15421" w:type="dxa"/>
          <w:trHeight w:val="1056"/>
        </w:trPr>
        <w:tc>
          <w:tcPr>
            <w:tcW w:w="625" w:type="dxa"/>
            <w:shd w:val="clear" w:color="auto" w:fill="F2F2F2"/>
            <w:noWrap/>
            <w:hideMark/>
          </w:tcPr>
          <w:p w14:paraId="416340C5" w14:textId="77777777" w:rsidR="001A54E6" w:rsidRPr="00912996" w:rsidRDefault="001A54E6" w:rsidP="00394372">
            <w:pPr>
              <w:rPr>
                <w:rFonts w:ascii="Calibri" w:hAnsi="Calibri"/>
                <w:bCs/>
                <w:lang w:eastAsia="ja-JP"/>
              </w:rPr>
            </w:pPr>
            <w:r w:rsidRPr="00912996">
              <w:rPr>
                <w:rFonts w:ascii="Calibri" w:hAnsi="Calibri"/>
                <w:bCs/>
                <w:lang w:eastAsia="ja-JP"/>
              </w:rPr>
              <w:t>4</w:t>
            </w:r>
          </w:p>
        </w:tc>
        <w:tc>
          <w:tcPr>
            <w:tcW w:w="2250" w:type="dxa"/>
            <w:shd w:val="clear" w:color="auto" w:fill="F2F2F2"/>
            <w:hideMark/>
          </w:tcPr>
          <w:p w14:paraId="17B89AD7" w14:textId="77777777" w:rsidR="001A54E6" w:rsidRPr="00912996" w:rsidRDefault="001A54E6" w:rsidP="00394372">
            <w:pPr>
              <w:rPr>
                <w:rFonts w:ascii="Calibri" w:hAnsi="Calibri"/>
                <w:bCs/>
                <w:lang w:eastAsia="ja-JP"/>
              </w:rPr>
            </w:pPr>
            <w:r w:rsidRPr="00912996">
              <w:rPr>
                <w:rFonts w:ascii="Calibri" w:hAnsi="Calibri"/>
                <w:bCs/>
                <w:lang w:eastAsia="ja-JP"/>
              </w:rPr>
              <w:t>Amenajare Park&amp;Ride Colentina (zona Carrefour)</w:t>
            </w:r>
          </w:p>
        </w:tc>
        <w:tc>
          <w:tcPr>
            <w:tcW w:w="1530" w:type="dxa"/>
            <w:shd w:val="clear" w:color="auto" w:fill="F2F2F2"/>
            <w:hideMark/>
          </w:tcPr>
          <w:p w14:paraId="2018DDCF"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75020E69"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AEFC588" w14:textId="77777777" w:rsidR="001A54E6" w:rsidRPr="00912996" w:rsidRDefault="001A54E6" w:rsidP="00394372">
            <w:pPr>
              <w:rPr>
                <w:rFonts w:ascii="Calibri" w:hAnsi="Calibri"/>
                <w:bCs/>
                <w:lang w:eastAsia="ja-JP"/>
              </w:rPr>
            </w:pPr>
            <w:r w:rsidRPr="00912996">
              <w:rPr>
                <w:rFonts w:ascii="Calibri" w:hAnsi="Calibri"/>
                <w:bCs/>
                <w:lang w:eastAsia="ja-JP"/>
              </w:rPr>
              <w:t>98,000,000</w:t>
            </w:r>
          </w:p>
        </w:tc>
        <w:tc>
          <w:tcPr>
            <w:tcW w:w="1260" w:type="dxa"/>
            <w:shd w:val="clear" w:color="auto" w:fill="F2F2F2"/>
            <w:noWrap/>
            <w:hideMark/>
          </w:tcPr>
          <w:p w14:paraId="0B79E81F" w14:textId="77777777" w:rsidR="001A54E6" w:rsidRPr="00912996" w:rsidRDefault="001A54E6" w:rsidP="00394372">
            <w:pPr>
              <w:rPr>
                <w:rFonts w:ascii="Calibri" w:hAnsi="Calibri"/>
                <w:bCs/>
                <w:lang w:eastAsia="ja-JP"/>
              </w:rPr>
            </w:pPr>
            <w:r w:rsidRPr="00912996">
              <w:rPr>
                <w:rFonts w:ascii="Calibri" w:hAnsi="Calibri"/>
                <w:bCs/>
                <w:lang w:eastAsia="ja-JP"/>
              </w:rPr>
              <w:t>20,000,000</w:t>
            </w:r>
          </w:p>
        </w:tc>
        <w:tc>
          <w:tcPr>
            <w:tcW w:w="1089" w:type="dxa"/>
            <w:shd w:val="clear" w:color="auto" w:fill="F2F2F2"/>
            <w:noWrap/>
            <w:hideMark/>
          </w:tcPr>
          <w:p w14:paraId="5ECAAE86"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20962C8A"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3C376627"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3456AC9A"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62108D5D" w14:textId="77777777" w:rsidTr="00394372">
        <w:trPr>
          <w:gridAfter w:val="9"/>
          <w:wAfter w:w="15421" w:type="dxa"/>
          <w:trHeight w:val="534"/>
        </w:trPr>
        <w:tc>
          <w:tcPr>
            <w:tcW w:w="625" w:type="dxa"/>
            <w:shd w:val="clear" w:color="auto" w:fill="F2F2F2"/>
            <w:noWrap/>
            <w:hideMark/>
          </w:tcPr>
          <w:p w14:paraId="33F3A6C3" w14:textId="77777777" w:rsidR="001A54E6" w:rsidRPr="00912996" w:rsidRDefault="001A54E6" w:rsidP="00394372">
            <w:pPr>
              <w:rPr>
                <w:rFonts w:ascii="Calibri" w:hAnsi="Calibri"/>
                <w:bCs/>
                <w:lang w:eastAsia="ja-JP"/>
              </w:rPr>
            </w:pPr>
            <w:r w:rsidRPr="00912996">
              <w:rPr>
                <w:rFonts w:ascii="Calibri" w:hAnsi="Calibri"/>
                <w:bCs/>
                <w:lang w:eastAsia="ja-JP"/>
              </w:rPr>
              <w:t>5</w:t>
            </w:r>
          </w:p>
        </w:tc>
        <w:tc>
          <w:tcPr>
            <w:tcW w:w="2250" w:type="dxa"/>
            <w:shd w:val="clear" w:color="auto" w:fill="F2F2F2"/>
            <w:hideMark/>
          </w:tcPr>
          <w:p w14:paraId="25516746" w14:textId="77777777" w:rsidR="001A54E6" w:rsidRPr="00912996" w:rsidRDefault="001A54E6" w:rsidP="00394372">
            <w:pPr>
              <w:rPr>
                <w:rFonts w:ascii="Calibri" w:hAnsi="Calibri"/>
                <w:bCs/>
                <w:lang w:eastAsia="ja-JP"/>
              </w:rPr>
            </w:pPr>
            <w:r w:rsidRPr="00912996">
              <w:rPr>
                <w:rFonts w:ascii="Calibri" w:hAnsi="Calibri"/>
                <w:bCs/>
                <w:lang w:eastAsia="ja-JP"/>
              </w:rPr>
              <w:t>Amenajare Park&amp;Ride Pipera/Petricani (corelat cu extindere M2)</w:t>
            </w:r>
          </w:p>
        </w:tc>
        <w:tc>
          <w:tcPr>
            <w:tcW w:w="1530" w:type="dxa"/>
            <w:shd w:val="clear" w:color="auto" w:fill="F2F2F2"/>
            <w:hideMark/>
          </w:tcPr>
          <w:p w14:paraId="3EF3B981"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272051DF"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1DF1A0D8" w14:textId="77777777" w:rsidR="001A54E6" w:rsidRPr="00912996" w:rsidRDefault="001A54E6" w:rsidP="00394372">
            <w:pPr>
              <w:rPr>
                <w:rFonts w:ascii="Calibri" w:hAnsi="Calibri"/>
                <w:bCs/>
                <w:lang w:eastAsia="ja-JP"/>
              </w:rPr>
            </w:pPr>
            <w:r w:rsidRPr="00912996">
              <w:rPr>
                <w:rFonts w:ascii="Calibri" w:hAnsi="Calibri"/>
                <w:bCs/>
                <w:lang w:eastAsia="ja-JP"/>
              </w:rPr>
              <w:t>98,000,000</w:t>
            </w:r>
          </w:p>
        </w:tc>
        <w:tc>
          <w:tcPr>
            <w:tcW w:w="1260" w:type="dxa"/>
            <w:shd w:val="clear" w:color="auto" w:fill="F2F2F2"/>
            <w:noWrap/>
            <w:hideMark/>
          </w:tcPr>
          <w:p w14:paraId="59B44739" w14:textId="77777777" w:rsidR="001A54E6" w:rsidRPr="00912996" w:rsidRDefault="001A54E6" w:rsidP="00394372">
            <w:pPr>
              <w:rPr>
                <w:rFonts w:ascii="Calibri" w:hAnsi="Calibri"/>
                <w:bCs/>
                <w:lang w:eastAsia="ja-JP"/>
              </w:rPr>
            </w:pPr>
            <w:r w:rsidRPr="00912996">
              <w:rPr>
                <w:rFonts w:ascii="Calibri" w:hAnsi="Calibri"/>
                <w:bCs/>
                <w:lang w:eastAsia="ja-JP"/>
              </w:rPr>
              <w:t>20,000,000</w:t>
            </w:r>
          </w:p>
        </w:tc>
        <w:tc>
          <w:tcPr>
            <w:tcW w:w="1089" w:type="dxa"/>
            <w:shd w:val="clear" w:color="auto" w:fill="F2F2F2"/>
            <w:noWrap/>
            <w:hideMark/>
          </w:tcPr>
          <w:p w14:paraId="741D3DDB"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20DAE6D5"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08D63EFE"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hideMark/>
          </w:tcPr>
          <w:p w14:paraId="1E3B3FF0"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264605A7" w14:textId="77777777" w:rsidTr="00E2442E">
        <w:trPr>
          <w:gridAfter w:val="9"/>
          <w:wAfter w:w="15421" w:type="dxa"/>
          <w:trHeight w:val="1068"/>
        </w:trPr>
        <w:tc>
          <w:tcPr>
            <w:tcW w:w="625" w:type="dxa"/>
            <w:shd w:val="clear" w:color="auto" w:fill="F2F2F2"/>
            <w:noWrap/>
            <w:hideMark/>
          </w:tcPr>
          <w:p w14:paraId="300C04F3" w14:textId="77777777" w:rsidR="001A54E6" w:rsidRPr="00912996" w:rsidRDefault="001A54E6" w:rsidP="00394372">
            <w:pPr>
              <w:rPr>
                <w:rFonts w:ascii="Calibri" w:hAnsi="Calibri"/>
                <w:bCs/>
                <w:lang w:eastAsia="ja-JP"/>
              </w:rPr>
            </w:pPr>
            <w:r w:rsidRPr="00912996">
              <w:rPr>
                <w:rFonts w:ascii="Calibri" w:hAnsi="Calibri"/>
                <w:bCs/>
                <w:lang w:eastAsia="ja-JP"/>
              </w:rPr>
              <w:t>6</w:t>
            </w:r>
          </w:p>
        </w:tc>
        <w:tc>
          <w:tcPr>
            <w:tcW w:w="2250" w:type="dxa"/>
            <w:shd w:val="clear" w:color="auto" w:fill="F2F2F2"/>
            <w:hideMark/>
          </w:tcPr>
          <w:p w14:paraId="5826A1C9" w14:textId="77777777" w:rsidR="001A54E6" w:rsidRPr="00912996" w:rsidRDefault="001A54E6" w:rsidP="00394372">
            <w:pPr>
              <w:rPr>
                <w:rFonts w:ascii="Calibri" w:hAnsi="Calibri"/>
                <w:bCs/>
                <w:lang w:eastAsia="ja-JP"/>
              </w:rPr>
            </w:pPr>
            <w:r w:rsidRPr="00912996">
              <w:rPr>
                <w:rFonts w:ascii="Calibri" w:hAnsi="Calibri"/>
                <w:bCs/>
                <w:lang w:eastAsia="ja-JP"/>
              </w:rPr>
              <w:t>Amenajarea, în toate stațiile feroviare și punctele de oprire (halte) din jurul orașului, a unor parcări pentru biciclete, motociclete și autoturisme, pentru facilitarea sistemului ”P&amp;R”</w:t>
            </w:r>
          </w:p>
        </w:tc>
        <w:tc>
          <w:tcPr>
            <w:tcW w:w="1530" w:type="dxa"/>
            <w:shd w:val="clear" w:color="auto" w:fill="F2F2F2"/>
            <w:hideMark/>
          </w:tcPr>
          <w:p w14:paraId="5D198F1C" w14:textId="77777777" w:rsidR="001A54E6" w:rsidRPr="00912996" w:rsidRDefault="001A54E6" w:rsidP="00394372">
            <w:pPr>
              <w:rPr>
                <w:rFonts w:ascii="Calibri" w:hAnsi="Calibri"/>
                <w:bCs/>
                <w:lang w:eastAsia="ja-JP"/>
              </w:rPr>
            </w:pPr>
            <w:r w:rsidRPr="00912996">
              <w:rPr>
                <w:rFonts w:ascii="Calibri" w:hAnsi="Calibri"/>
                <w:bCs/>
                <w:lang w:eastAsia="ja-JP"/>
              </w:rPr>
              <w:t>CFR, PMB, PS2</w:t>
            </w:r>
          </w:p>
        </w:tc>
        <w:tc>
          <w:tcPr>
            <w:tcW w:w="1620" w:type="dxa"/>
            <w:shd w:val="clear" w:color="auto" w:fill="F2F2F2"/>
            <w:noWrap/>
            <w:hideMark/>
          </w:tcPr>
          <w:p w14:paraId="3893FF03"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0AAE7C4" w14:textId="77777777" w:rsidR="001A54E6" w:rsidRPr="00912996" w:rsidRDefault="001A54E6" w:rsidP="00394372">
            <w:pPr>
              <w:rPr>
                <w:rFonts w:ascii="Calibri" w:hAnsi="Calibri"/>
                <w:bCs/>
                <w:lang w:eastAsia="ja-JP"/>
              </w:rPr>
            </w:pPr>
            <w:r w:rsidRPr="00912996">
              <w:rPr>
                <w:rFonts w:ascii="Calibri" w:hAnsi="Calibri"/>
                <w:bCs/>
                <w:lang w:eastAsia="ja-JP"/>
              </w:rPr>
              <w:t>24,500,000</w:t>
            </w:r>
          </w:p>
        </w:tc>
        <w:tc>
          <w:tcPr>
            <w:tcW w:w="1260" w:type="dxa"/>
            <w:shd w:val="clear" w:color="auto" w:fill="F2F2F2"/>
            <w:noWrap/>
            <w:hideMark/>
          </w:tcPr>
          <w:p w14:paraId="5789FD3A" w14:textId="77777777" w:rsidR="001A54E6" w:rsidRPr="00912996" w:rsidRDefault="001A54E6" w:rsidP="00394372">
            <w:pPr>
              <w:rPr>
                <w:rFonts w:ascii="Calibri" w:hAnsi="Calibri"/>
                <w:bCs/>
                <w:lang w:eastAsia="ja-JP"/>
              </w:rPr>
            </w:pPr>
            <w:r w:rsidRPr="00912996">
              <w:rPr>
                <w:rFonts w:ascii="Calibri" w:hAnsi="Calibri"/>
                <w:bCs/>
                <w:lang w:eastAsia="ja-JP"/>
              </w:rPr>
              <w:t>5,000,000</w:t>
            </w:r>
          </w:p>
        </w:tc>
        <w:tc>
          <w:tcPr>
            <w:tcW w:w="1089" w:type="dxa"/>
            <w:shd w:val="clear" w:color="auto" w:fill="F2F2F2"/>
            <w:noWrap/>
            <w:hideMark/>
          </w:tcPr>
          <w:p w14:paraId="63C48EA8"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06A1B527"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04AF3EC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52085F8A" w14:textId="77777777" w:rsidR="001A54E6" w:rsidRPr="00912996" w:rsidRDefault="001A54E6" w:rsidP="00394372">
            <w:pPr>
              <w:rPr>
                <w:rFonts w:ascii="Calibri" w:hAnsi="Calibri"/>
                <w:bCs/>
                <w:lang w:eastAsia="ja-JP"/>
              </w:rPr>
            </w:pPr>
            <w:r w:rsidRPr="00912996">
              <w:rPr>
                <w:rFonts w:ascii="Calibri" w:hAnsi="Calibri"/>
                <w:bCs/>
                <w:lang w:eastAsia="ja-JP"/>
              </w:rPr>
              <w:t>CFR</w:t>
            </w:r>
          </w:p>
        </w:tc>
      </w:tr>
      <w:tr w:rsidR="00AC2FFA" w:rsidRPr="00912996" w14:paraId="37D049B8" w14:textId="77777777" w:rsidTr="00E2442E">
        <w:trPr>
          <w:gridAfter w:val="9"/>
          <w:wAfter w:w="15421" w:type="dxa"/>
          <w:trHeight w:val="780"/>
        </w:trPr>
        <w:tc>
          <w:tcPr>
            <w:tcW w:w="625" w:type="dxa"/>
            <w:shd w:val="clear" w:color="auto" w:fill="F2F2F2"/>
            <w:noWrap/>
            <w:hideMark/>
          </w:tcPr>
          <w:p w14:paraId="6753AD4F" w14:textId="77777777" w:rsidR="001A54E6" w:rsidRPr="00912996" w:rsidRDefault="001A54E6" w:rsidP="00394372">
            <w:pPr>
              <w:rPr>
                <w:rFonts w:ascii="Calibri" w:hAnsi="Calibri"/>
                <w:bCs/>
                <w:lang w:eastAsia="ja-JP"/>
              </w:rPr>
            </w:pPr>
            <w:r w:rsidRPr="00912996">
              <w:rPr>
                <w:rFonts w:ascii="Calibri" w:hAnsi="Calibri"/>
                <w:bCs/>
                <w:lang w:eastAsia="ja-JP"/>
              </w:rPr>
              <w:t>7</w:t>
            </w:r>
          </w:p>
        </w:tc>
        <w:tc>
          <w:tcPr>
            <w:tcW w:w="2250" w:type="dxa"/>
            <w:shd w:val="clear" w:color="auto" w:fill="F2F2F2"/>
            <w:hideMark/>
          </w:tcPr>
          <w:p w14:paraId="102CA125" w14:textId="77777777" w:rsidR="001A54E6" w:rsidRPr="00912996" w:rsidRDefault="001A54E6" w:rsidP="00394372">
            <w:pPr>
              <w:rPr>
                <w:rFonts w:ascii="Calibri" w:hAnsi="Calibri"/>
                <w:bCs/>
                <w:lang w:eastAsia="ja-JP"/>
              </w:rPr>
            </w:pPr>
            <w:r w:rsidRPr="00912996">
              <w:rPr>
                <w:rFonts w:ascii="Calibri" w:hAnsi="Calibri"/>
                <w:bCs/>
                <w:lang w:eastAsia="ja-JP"/>
              </w:rPr>
              <w:t xml:space="preserve">Modernizarea Gării Obor (inclusiv creșterea frecvenței de trenuri metropolitane) – nod intermodal </w:t>
            </w:r>
          </w:p>
        </w:tc>
        <w:tc>
          <w:tcPr>
            <w:tcW w:w="1530" w:type="dxa"/>
            <w:shd w:val="clear" w:color="auto" w:fill="F2F2F2"/>
            <w:hideMark/>
          </w:tcPr>
          <w:p w14:paraId="1B2EBC12"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isterul</w:t>
            </w:r>
            <w:r w:rsidRPr="00912996">
              <w:rPr>
                <w:rFonts w:ascii="Calibri" w:hAnsi="Calibri"/>
                <w:bCs/>
                <w:lang w:eastAsia="ja-JP"/>
              </w:rPr>
              <w:t xml:space="preserve"> Transporturilor, CNCF CFR SA, PS2</w:t>
            </w:r>
          </w:p>
        </w:tc>
        <w:tc>
          <w:tcPr>
            <w:tcW w:w="1620" w:type="dxa"/>
            <w:shd w:val="clear" w:color="auto" w:fill="F2F2F2"/>
            <w:noWrap/>
            <w:hideMark/>
          </w:tcPr>
          <w:p w14:paraId="6AF1B7C8"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6246B2A" w14:textId="77777777" w:rsidR="001A54E6" w:rsidRPr="00912996" w:rsidRDefault="001A54E6" w:rsidP="00394372">
            <w:pPr>
              <w:rPr>
                <w:rFonts w:ascii="Calibri" w:hAnsi="Calibri"/>
                <w:bCs/>
                <w:lang w:eastAsia="ja-JP"/>
              </w:rPr>
            </w:pPr>
            <w:r w:rsidRPr="00912996">
              <w:rPr>
                <w:rFonts w:ascii="Calibri" w:hAnsi="Calibri"/>
                <w:bCs/>
                <w:lang w:eastAsia="ja-JP"/>
              </w:rPr>
              <w:t>220,500,000</w:t>
            </w:r>
          </w:p>
        </w:tc>
        <w:tc>
          <w:tcPr>
            <w:tcW w:w="1260" w:type="dxa"/>
            <w:shd w:val="clear" w:color="auto" w:fill="F2F2F2"/>
            <w:noWrap/>
            <w:hideMark/>
          </w:tcPr>
          <w:p w14:paraId="4E301FAB" w14:textId="77777777" w:rsidR="001A54E6" w:rsidRPr="00912996" w:rsidRDefault="001A54E6" w:rsidP="00394372">
            <w:pPr>
              <w:rPr>
                <w:rFonts w:ascii="Calibri" w:hAnsi="Calibri"/>
                <w:bCs/>
                <w:lang w:eastAsia="ja-JP"/>
              </w:rPr>
            </w:pPr>
            <w:r w:rsidRPr="00912996">
              <w:rPr>
                <w:rFonts w:ascii="Calibri" w:hAnsi="Calibri"/>
                <w:bCs/>
                <w:lang w:eastAsia="ja-JP"/>
              </w:rPr>
              <w:t>45,000,000</w:t>
            </w:r>
          </w:p>
        </w:tc>
        <w:tc>
          <w:tcPr>
            <w:tcW w:w="1089" w:type="dxa"/>
            <w:shd w:val="clear" w:color="auto" w:fill="F2F2F2"/>
            <w:noWrap/>
            <w:hideMark/>
          </w:tcPr>
          <w:p w14:paraId="273BD52A"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3D6D7144"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2A9F22B5"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6034DE6"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12717AE1" w14:textId="77777777" w:rsidTr="00E2442E">
        <w:trPr>
          <w:gridAfter w:val="9"/>
          <w:wAfter w:w="15421" w:type="dxa"/>
          <w:trHeight w:val="1332"/>
        </w:trPr>
        <w:tc>
          <w:tcPr>
            <w:tcW w:w="625" w:type="dxa"/>
            <w:shd w:val="clear" w:color="auto" w:fill="F2F2F2"/>
            <w:noWrap/>
            <w:hideMark/>
          </w:tcPr>
          <w:p w14:paraId="4CA8F787" w14:textId="77777777" w:rsidR="001A54E6" w:rsidRPr="00912996" w:rsidRDefault="001A54E6" w:rsidP="00394372">
            <w:pPr>
              <w:rPr>
                <w:rFonts w:ascii="Calibri" w:hAnsi="Calibri"/>
                <w:bCs/>
                <w:lang w:eastAsia="ja-JP"/>
              </w:rPr>
            </w:pPr>
            <w:r w:rsidRPr="00912996">
              <w:rPr>
                <w:rFonts w:ascii="Calibri" w:hAnsi="Calibri"/>
                <w:bCs/>
                <w:lang w:eastAsia="ja-JP"/>
              </w:rPr>
              <w:t>8</w:t>
            </w:r>
          </w:p>
        </w:tc>
        <w:tc>
          <w:tcPr>
            <w:tcW w:w="2250" w:type="dxa"/>
            <w:shd w:val="clear" w:color="auto" w:fill="F2F2F2"/>
            <w:hideMark/>
          </w:tcPr>
          <w:p w14:paraId="092CCE2A" w14:textId="77777777" w:rsidR="001A54E6" w:rsidRPr="00912996" w:rsidRDefault="001A54E6" w:rsidP="00394372">
            <w:pPr>
              <w:rPr>
                <w:rFonts w:ascii="Calibri" w:hAnsi="Calibri"/>
                <w:bCs/>
                <w:lang w:eastAsia="ja-JP"/>
              </w:rPr>
            </w:pPr>
            <w:r w:rsidRPr="00912996">
              <w:rPr>
                <w:rFonts w:ascii="Calibri" w:hAnsi="Calibri"/>
                <w:bCs/>
                <w:lang w:eastAsia="ja-JP"/>
              </w:rPr>
              <w:t>Amenajare stații (gări) intermodale (Obor / Petricani)</w:t>
            </w:r>
          </w:p>
        </w:tc>
        <w:tc>
          <w:tcPr>
            <w:tcW w:w="1530" w:type="dxa"/>
            <w:shd w:val="clear" w:color="auto" w:fill="F2F2F2"/>
            <w:hideMark/>
          </w:tcPr>
          <w:p w14:paraId="16EDC5C0" w14:textId="77777777" w:rsidR="001A54E6" w:rsidRPr="00912996" w:rsidRDefault="001A54E6" w:rsidP="00394372">
            <w:pPr>
              <w:rPr>
                <w:rFonts w:ascii="Calibri" w:hAnsi="Calibri"/>
                <w:bCs/>
                <w:lang w:eastAsia="ja-JP"/>
              </w:rPr>
            </w:pPr>
            <w:r w:rsidRPr="00912996">
              <w:rPr>
                <w:rFonts w:ascii="Calibri" w:hAnsi="Calibri"/>
                <w:bCs/>
                <w:lang w:eastAsia="ja-JP"/>
              </w:rPr>
              <w:t>PMB, Min. Transporturilor</w:t>
            </w:r>
          </w:p>
        </w:tc>
        <w:tc>
          <w:tcPr>
            <w:tcW w:w="1620" w:type="dxa"/>
            <w:shd w:val="clear" w:color="auto" w:fill="F2F2F2"/>
            <w:noWrap/>
            <w:hideMark/>
          </w:tcPr>
          <w:p w14:paraId="3AC81BD6"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29E0A65A" w14:textId="77777777" w:rsidR="001A54E6" w:rsidRPr="00912996" w:rsidRDefault="001A54E6" w:rsidP="00394372">
            <w:pPr>
              <w:rPr>
                <w:rFonts w:ascii="Calibri" w:hAnsi="Calibri"/>
                <w:bCs/>
                <w:lang w:eastAsia="ja-JP"/>
              </w:rPr>
            </w:pPr>
            <w:r w:rsidRPr="00912996">
              <w:rPr>
                <w:rFonts w:ascii="Calibri" w:hAnsi="Calibri"/>
                <w:bCs/>
                <w:lang w:eastAsia="ja-JP"/>
              </w:rPr>
              <w:t>24,500,000</w:t>
            </w:r>
          </w:p>
        </w:tc>
        <w:tc>
          <w:tcPr>
            <w:tcW w:w="1260" w:type="dxa"/>
            <w:shd w:val="clear" w:color="auto" w:fill="F2F2F2"/>
            <w:noWrap/>
            <w:hideMark/>
          </w:tcPr>
          <w:p w14:paraId="2A5A9AB8" w14:textId="77777777" w:rsidR="001A54E6" w:rsidRPr="00912996" w:rsidRDefault="001A54E6" w:rsidP="00394372">
            <w:pPr>
              <w:rPr>
                <w:rFonts w:ascii="Calibri" w:hAnsi="Calibri"/>
                <w:bCs/>
                <w:lang w:eastAsia="ja-JP"/>
              </w:rPr>
            </w:pPr>
            <w:r w:rsidRPr="00912996">
              <w:rPr>
                <w:rFonts w:ascii="Calibri" w:hAnsi="Calibri"/>
                <w:bCs/>
                <w:lang w:eastAsia="ja-JP"/>
              </w:rPr>
              <w:t>5,000,000</w:t>
            </w:r>
          </w:p>
        </w:tc>
        <w:tc>
          <w:tcPr>
            <w:tcW w:w="1089" w:type="dxa"/>
            <w:shd w:val="clear" w:color="auto" w:fill="F2F2F2"/>
            <w:noWrap/>
            <w:hideMark/>
          </w:tcPr>
          <w:p w14:paraId="70EE5E61"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03A7B1C4" w14:textId="77777777" w:rsidR="001A54E6" w:rsidRPr="00912996" w:rsidRDefault="001A54E6" w:rsidP="00394372">
            <w:pPr>
              <w:rPr>
                <w:rFonts w:ascii="Calibri" w:hAnsi="Calibri"/>
                <w:bCs/>
                <w:lang w:eastAsia="ja-JP"/>
              </w:rPr>
            </w:pPr>
            <w:r w:rsidRPr="00912996">
              <w:rPr>
                <w:rFonts w:ascii="Calibri" w:hAnsi="Calibri"/>
                <w:bCs/>
                <w:lang w:eastAsia="ja-JP"/>
              </w:rPr>
              <w:t>PO Infrastructură, PNRR - C4,C10, POR BI 2021 - 2027 - Prioritățile 4,5, Bugetul local, Alte surse de finanțare</w:t>
            </w:r>
          </w:p>
        </w:tc>
        <w:tc>
          <w:tcPr>
            <w:tcW w:w="1260" w:type="dxa"/>
            <w:shd w:val="clear" w:color="auto" w:fill="F2F2F2"/>
            <w:hideMark/>
          </w:tcPr>
          <w:p w14:paraId="535B6FDD"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75DF4BF2" w14:textId="77777777" w:rsidR="001A54E6" w:rsidRPr="00912996" w:rsidRDefault="001A54E6" w:rsidP="00394372">
            <w:pPr>
              <w:rPr>
                <w:rFonts w:ascii="Calibri" w:hAnsi="Calibri"/>
                <w:bCs/>
                <w:lang w:eastAsia="ja-JP"/>
              </w:rPr>
            </w:pPr>
            <w:r w:rsidRPr="00912996">
              <w:rPr>
                <w:rFonts w:ascii="Calibri" w:hAnsi="Calibri"/>
                <w:bCs/>
                <w:lang w:eastAsia="ja-JP"/>
              </w:rPr>
              <w:t>SIDU MB, PMB</w:t>
            </w:r>
          </w:p>
        </w:tc>
      </w:tr>
      <w:tr w:rsidR="00AC2FFA" w:rsidRPr="00912996" w14:paraId="39D3DCBA" w14:textId="77777777" w:rsidTr="00E2442E">
        <w:trPr>
          <w:gridAfter w:val="9"/>
          <w:wAfter w:w="15421" w:type="dxa"/>
          <w:trHeight w:val="1056"/>
        </w:trPr>
        <w:tc>
          <w:tcPr>
            <w:tcW w:w="625" w:type="dxa"/>
            <w:shd w:val="clear" w:color="auto" w:fill="F2F2F2"/>
            <w:noWrap/>
            <w:hideMark/>
          </w:tcPr>
          <w:p w14:paraId="2683B5DF" w14:textId="77777777" w:rsidR="001A54E6" w:rsidRPr="00912996" w:rsidRDefault="001A54E6" w:rsidP="00394372">
            <w:pPr>
              <w:rPr>
                <w:rFonts w:ascii="Calibri" w:hAnsi="Calibri"/>
                <w:bCs/>
                <w:lang w:eastAsia="ja-JP"/>
              </w:rPr>
            </w:pPr>
            <w:r w:rsidRPr="00912996">
              <w:rPr>
                <w:rFonts w:ascii="Calibri" w:hAnsi="Calibri"/>
                <w:bCs/>
                <w:lang w:eastAsia="ja-JP"/>
              </w:rPr>
              <w:t>9</w:t>
            </w:r>
          </w:p>
        </w:tc>
        <w:tc>
          <w:tcPr>
            <w:tcW w:w="2250" w:type="dxa"/>
            <w:shd w:val="clear" w:color="auto" w:fill="F2F2F2"/>
            <w:hideMark/>
          </w:tcPr>
          <w:p w14:paraId="25E50554" w14:textId="77777777" w:rsidR="001A54E6" w:rsidRPr="00912996" w:rsidRDefault="001A54E6" w:rsidP="00394372">
            <w:pPr>
              <w:rPr>
                <w:rFonts w:ascii="Calibri" w:hAnsi="Calibri"/>
                <w:bCs/>
                <w:lang w:eastAsia="ja-JP"/>
              </w:rPr>
            </w:pPr>
            <w:r w:rsidRPr="00912996">
              <w:rPr>
                <w:rFonts w:ascii="Calibri" w:hAnsi="Calibri"/>
                <w:bCs/>
                <w:lang w:eastAsia="ja-JP"/>
              </w:rPr>
              <w:t>Linie feroviară nouă Snagov – București (Obor)</w:t>
            </w:r>
          </w:p>
        </w:tc>
        <w:tc>
          <w:tcPr>
            <w:tcW w:w="1530" w:type="dxa"/>
            <w:shd w:val="clear" w:color="auto" w:fill="F2F2F2"/>
            <w:hideMark/>
          </w:tcPr>
          <w:p w14:paraId="5E0A2EC5"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isterul</w:t>
            </w:r>
            <w:r w:rsidRPr="00912996">
              <w:rPr>
                <w:rFonts w:ascii="Calibri" w:hAnsi="Calibri"/>
                <w:bCs/>
                <w:lang w:eastAsia="ja-JP"/>
              </w:rPr>
              <w:t xml:space="preserve"> Transporturilor, CNCF CFR SA</w:t>
            </w:r>
          </w:p>
        </w:tc>
        <w:tc>
          <w:tcPr>
            <w:tcW w:w="1620" w:type="dxa"/>
            <w:shd w:val="clear" w:color="auto" w:fill="F2F2F2"/>
            <w:noWrap/>
            <w:hideMark/>
          </w:tcPr>
          <w:p w14:paraId="47B131CE"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73D07770" w14:textId="77777777" w:rsidR="001A54E6" w:rsidRPr="00912996" w:rsidRDefault="001A54E6" w:rsidP="00394372">
            <w:pPr>
              <w:rPr>
                <w:rFonts w:ascii="Calibri" w:hAnsi="Calibri"/>
                <w:bCs/>
                <w:lang w:eastAsia="ja-JP"/>
              </w:rPr>
            </w:pPr>
            <w:r w:rsidRPr="00912996">
              <w:rPr>
                <w:rFonts w:ascii="Calibri" w:hAnsi="Calibri"/>
                <w:bCs/>
                <w:lang w:eastAsia="ja-JP"/>
              </w:rPr>
              <w:t>882,000,000</w:t>
            </w:r>
          </w:p>
        </w:tc>
        <w:tc>
          <w:tcPr>
            <w:tcW w:w="1260" w:type="dxa"/>
            <w:shd w:val="clear" w:color="auto" w:fill="F2F2F2"/>
            <w:noWrap/>
            <w:hideMark/>
          </w:tcPr>
          <w:p w14:paraId="1F82E818" w14:textId="77777777" w:rsidR="001A54E6" w:rsidRPr="00912996" w:rsidRDefault="001A54E6" w:rsidP="00394372">
            <w:pPr>
              <w:rPr>
                <w:rFonts w:ascii="Calibri" w:hAnsi="Calibri"/>
                <w:bCs/>
                <w:lang w:eastAsia="ja-JP"/>
              </w:rPr>
            </w:pPr>
            <w:r w:rsidRPr="00912996">
              <w:rPr>
                <w:rFonts w:ascii="Calibri" w:hAnsi="Calibri"/>
                <w:bCs/>
                <w:lang w:eastAsia="ja-JP"/>
              </w:rPr>
              <w:t>180,000,000</w:t>
            </w:r>
          </w:p>
        </w:tc>
        <w:tc>
          <w:tcPr>
            <w:tcW w:w="1089" w:type="dxa"/>
            <w:shd w:val="clear" w:color="auto" w:fill="F2F2F2"/>
            <w:noWrap/>
            <w:hideMark/>
          </w:tcPr>
          <w:p w14:paraId="7C0EA37A"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58A27974"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6C1A33F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4448D9AF"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03CA8512" w14:textId="77777777" w:rsidTr="00E2442E">
        <w:trPr>
          <w:gridAfter w:val="9"/>
          <w:wAfter w:w="15421" w:type="dxa"/>
          <w:trHeight w:val="1056"/>
        </w:trPr>
        <w:tc>
          <w:tcPr>
            <w:tcW w:w="625" w:type="dxa"/>
            <w:shd w:val="clear" w:color="auto" w:fill="F2F2F2"/>
            <w:noWrap/>
            <w:hideMark/>
          </w:tcPr>
          <w:p w14:paraId="0FC7905C" w14:textId="77777777" w:rsidR="001A54E6" w:rsidRPr="00912996" w:rsidRDefault="001A54E6" w:rsidP="00394372">
            <w:pPr>
              <w:rPr>
                <w:rFonts w:ascii="Calibri" w:hAnsi="Calibri"/>
                <w:bCs/>
                <w:lang w:eastAsia="ja-JP"/>
              </w:rPr>
            </w:pPr>
            <w:r w:rsidRPr="00912996">
              <w:rPr>
                <w:rFonts w:ascii="Calibri" w:hAnsi="Calibri"/>
                <w:bCs/>
                <w:lang w:eastAsia="ja-JP"/>
              </w:rPr>
              <w:t>10</w:t>
            </w:r>
          </w:p>
        </w:tc>
        <w:tc>
          <w:tcPr>
            <w:tcW w:w="2250" w:type="dxa"/>
            <w:shd w:val="clear" w:color="auto" w:fill="F2F2F2"/>
            <w:hideMark/>
          </w:tcPr>
          <w:p w14:paraId="75F9C327" w14:textId="77777777" w:rsidR="001A54E6" w:rsidRPr="00912996" w:rsidRDefault="001A54E6" w:rsidP="00394372">
            <w:pPr>
              <w:rPr>
                <w:rFonts w:ascii="Calibri" w:hAnsi="Calibri"/>
                <w:bCs/>
                <w:lang w:eastAsia="ja-JP"/>
              </w:rPr>
            </w:pPr>
            <w:r w:rsidRPr="00912996">
              <w:rPr>
                <w:rFonts w:ascii="Calibri" w:hAnsi="Calibri"/>
                <w:bCs/>
                <w:lang w:eastAsia="ja-JP"/>
              </w:rPr>
              <w:t>Conexiune cu calea ferata subterana (Gara de Nord - Obor) - 10 km</w:t>
            </w:r>
          </w:p>
        </w:tc>
        <w:tc>
          <w:tcPr>
            <w:tcW w:w="1530" w:type="dxa"/>
            <w:shd w:val="clear" w:color="auto" w:fill="F2F2F2"/>
            <w:hideMark/>
          </w:tcPr>
          <w:p w14:paraId="09C0B60B"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isterul</w:t>
            </w:r>
            <w:r w:rsidRPr="00912996">
              <w:rPr>
                <w:rFonts w:ascii="Calibri" w:hAnsi="Calibri"/>
                <w:bCs/>
                <w:lang w:eastAsia="ja-JP"/>
              </w:rPr>
              <w:t xml:space="preserve"> Transporturilor, CNCF CFR SA</w:t>
            </w:r>
          </w:p>
        </w:tc>
        <w:tc>
          <w:tcPr>
            <w:tcW w:w="1620" w:type="dxa"/>
            <w:shd w:val="clear" w:color="auto" w:fill="F2F2F2"/>
            <w:noWrap/>
            <w:hideMark/>
          </w:tcPr>
          <w:p w14:paraId="411475AC"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48F331BC" w14:textId="77777777" w:rsidR="001A54E6" w:rsidRPr="00912996" w:rsidRDefault="001A54E6" w:rsidP="00394372">
            <w:pPr>
              <w:rPr>
                <w:rFonts w:ascii="Calibri" w:hAnsi="Calibri"/>
                <w:bCs/>
                <w:lang w:eastAsia="ja-JP"/>
              </w:rPr>
            </w:pPr>
            <w:r w:rsidRPr="00912996">
              <w:rPr>
                <w:rFonts w:ascii="Calibri" w:hAnsi="Calibri"/>
                <w:bCs/>
                <w:lang w:eastAsia="ja-JP"/>
              </w:rPr>
              <w:t>3,675,000,000</w:t>
            </w:r>
          </w:p>
        </w:tc>
        <w:tc>
          <w:tcPr>
            <w:tcW w:w="1260" w:type="dxa"/>
            <w:shd w:val="clear" w:color="auto" w:fill="F2F2F2"/>
            <w:noWrap/>
            <w:hideMark/>
          </w:tcPr>
          <w:p w14:paraId="34C7C281" w14:textId="77777777" w:rsidR="001A54E6" w:rsidRPr="00912996" w:rsidRDefault="001A54E6" w:rsidP="00394372">
            <w:pPr>
              <w:rPr>
                <w:rFonts w:ascii="Calibri" w:hAnsi="Calibri"/>
                <w:bCs/>
                <w:lang w:eastAsia="ja-JP"/>
              </w:rPr>
            </w:pPr>
            <w:r w:rsidRPr="00912996">
              <w:rPr>
                <w:rFonts w:ascii="Calibri" w:hAnsi="Calibri"/>
                <w:bCs/>
                <w:lang w:eastAsia="ja-JP"/>
              </w:rPr>
              <w:t>750,000,000</w:t>
            </w:r>
          </w:p>
        </w:tc>
        <w:tc>
          <w:tcPr>
            <w:tcW w:w="1089" w:type="dxa"/>
            <w:shd w:val="clear" w:color="auto" w:fill="F2F2F2"/>
            <w:noWrap/>
            <w:hideMark/>
          </w:tcPr>
          <w:p w14:paraId="6E7D9418"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62A756A0"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48B32658"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1BD2DF3A"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356B6F70" w14:textId="77777777" w:rsidTr="00E2442E">
        <w:trPr>
          <w:gridAfter w:val="9"/>
          <w:wAfter w:w="15421" w:type="dxa"/>
          <w:trHeight w:val="540"/>
        </w:trPr>
        <w:tc>
          <w:tcPr>
            <w:tcW w:w="625" w:type="dxa"/>
            <w:shd w:val="clear" w:color="auto" w:fill="F2F2F2"/>
            <w:noWrap/>
            <w:hideMark/>
          </w:tcPr>
          <w:p w14:paraId="0B5FC495" w14:textId="77777777" w:rsidR="001A54E6" w:rsidRPr="00912996" w:rsidRDefault="001A54E6" w:rsidP="00394372">
            <w:pPr>
              <w:rPr>
                <w:rFonts w:ascii="Calibri" w:hAnsi="Calibri"/>
                <w:bCs/>
                <w:lang w:eastAsia="ja-JP"/>
              </w:rPr>
            </w:pPr>
            <w:r w:rsidRPr="00912996">
              <w:rPr>
                <w:rFonts w:ascii="Calibri" w:hAnsi="Calibri"/>
                <w:bCs/>
                <w:lang w:eastAsia="ja-JP"/>
              </w:rPr>
              <w:t>11</w:t>
            </w:r>
          </w:p>
        </w:tc>
        <w:tc>
          <w:tcPr>
            <w:tcW w:w="2250" w:type="dxa"/>
            <w:shd w:val="clear" w:color="auto" w:fill="F2F2F2"/>
            <w:hideMark/>
          </w:tcPr>
          <w:p w14:paraId="74052EB7" w14:textId="77777777" w:rsidR="001A54E6" w:rsidRPr="00912996" w:rsidRDefault="001A54E6" w:rsidP="00394372">
            <w:pPr>
              <w:rPr>
                <w:rFonts w:ascii="Calibri" w:hAnsi="Calibri"/>
                <w:bCs/>
                <w:lang w:eastAsia="ja-JP"/>
              </w:rPr>
            </w:pPr>
            <w:r w:rsidRPr="00912996">
              <w:rPr>
                <w:rFonts w:ascii="Calibri" w:hAnsi="Calibri"/>
                <w:bCs/>
                <w:lang w:eastAsia="ja-JP"/>
              </w:rPr>
              <w:t>Tren metropolitan B. Gara de Nord – B. Băneasa – B. Gara Obor (24 km)</w:t>
            </w:r>
          </w:p>
        </w:tc>
        <w:tc>
          <w:tcPr>
            <w:tcW w:w="1530" w:type="dxa"/>
            <w:shd w:val="clear" w:color="auto" w:fill="F2F2F2"/>
            <w:hideMark/>
          </w:tcPr>
          <w:p w14:paraId="05DE113A"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isterul</w:t>
            </w:r>
            <w:r w:rsidRPr="00912996">
              <w:rPr>
                <w:rFonts w:ascii="Calibri" w:hAnsi="Calibri"/>
                <w:bCs/>
                <w:lang w:eastAsia="ja-JP"/>
              </w:rPr>
              <w:t xml:space="preserve"> Transporturilor</w:t>
            </w:r>
          </w:p>
        </w:tc>
        <w:tc>
          <w:tcPr>
            <w:tcW w:w="1620" w:type="dxa"/>
            <w:shd w:val="clear" w:color="auto" w:fill="F2F2F2"/>
            <w:noWrap/>
            <w:hideMark/>
          </w:tcPr>
          <w:p w14:paraId="3347A388"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5E595A7E" w14:textId="77777777" w:rsidR="001A54E6" w:rsidRPr="00912996" w:rsidRDefault="001A54E6" w:rsidP="00394372">
            <w:pPr>
              <w:rPr>
                <w:rFonts w:ascii="Calibri" w:hAnsi="Calibri"/>
                <w:bCs/>
                <w:lang w:eastAsia="ja-JP"/>
              </w:rPr>
            </w:pPr>
            <w:r w:rsidRPr="00912996">
              <w:rPr>
                <w:rFonts w:ascii="Calibri" w:hAnsi="Calibri"/>
                <w:bCs/>
                <w:lang w:eastAsia="ja-JP"/>
              </w:rPr>
              <w:t>49,000,000</w:t>
            </w:r>
          </w:p>
        </w:tc>
        <w:tc>
          <w:tcPr>
            <w:tcW w:w="1260" w:type="dxa"/>
            <w:shd w:val="clear" w:color="auto" w:fill="F2F2F2"/>
            <w:noWrap/>
            <w:hideMark/>
          </w:tcPr>
          <w:p w14:paraId="24F1758F" w14:textId="77777777" w:rsidR="001A54E6" w:rsidRPr="00912996" w:rsidRDefault="001A54E6" w:rsidP="00394372">
            <w:pPr>
              <w:rPr>
                <w:rFonts w:ascii="Calibri" w:hAnsi="Calibri"/>
                <w:bCs/>
                <w:lang w:eastAsia="ja-JP"/>
              </w:rPr>
            </w:pPr>
            <w:r w:rsidRPr="00912996">
              <w:rPr>
                <w:rFonts w:ascii="Calibri" w:hAnsi="Calibri"/>
                <w:bCs/>
                <w:lang w:eastAsia="ja-JP"/>
              </w:rPr>
              <w:t>10,000,000</w:t>
            </w:r>
          </w:p>
        </w:tc>
        <w:tc>
          <w:tcPr>
            <w:tcW w:w="1089" w:type="dxa"/>
            <w:shd w:val="clear" w:color="auto" w:fill="F2F2F2"/>
            <w:noWrap/>
            <w:hideMark/>
          </w:tcPr>
          <w:p w14:paraId="5E37A3FF"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179B5E8E" w14:textId="77777777" w:rsidR="001A54E6" w:rsidRPr="00912996" w:rsidRDefault="001A54E6" w:rsidP="00394372">
            <w:pPr>
              <w:rPr>
                <w:rFonts w:ascii="Calibri" w:hAnsi="Calibri"/>
                <w:bCs/>
                <w:lang w:eastAsia="ja-JP"/>
              </w:rPr>
            </w:pPr>
            <w:r w:rsidRPr="00912996">
              <w:rPr>
                <w:rFonts w:ascii="Calibri" w:hAnsi="Calibri"/>
                <w:bCs/>
                <w:lang w:eastAsia="ja-JP"/>
              </w:rPr>
              <w:t>Fonduri externe</w:t>
            </w:r>
          </w:p>
        </w:tc>
        <w:tc>
          <w:tcPr>
            <w:tcW w:w="1260" w:type="dxa"/>
            <w:shd w:val="clear" w:color="auto" w:fill="F2F2F2"/>
            <w:hideMark/>
          </w:tcPr>
          <w:p w14:paraId="3E873D29"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654223FC"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AC2FFA" w:rsidRPr="00912996" w14:paraId="3DFCE5CA" w14:textId="77777777" w:rsidTr="00E2442E">
        <w:trPr>
          <w:gridAfter w:val="9"/>
          <w:wAfter w:w="15421" w:type="dxa"/>
          <w:trHeight w:val="1056"/>
        </w:trPr>
        <w:tc>
          <w:tcPr>
            <w:tcW w:w="625" w:type="dxa"/>
            <w:shd w:val="clear" w:color="auto" w:fill="F2F2F2"/>
            <w:noWrap/>
            <w:hideMark/>
          </w:tcPr>
          <w:p w14:paraId="759EDCF2" w14:textId="77777777" w:rsidR="001A54E6" w:rsidRPr="00912996" w:rsidRDefault="001A54E6" w:rsidP="00394372">
            <w:pPr>
              <w:rPr>
                <w:rFonts w:ascii="Calibri" w:hAnsi="Calibri"/>
                <w:bCs/>
                <w:lang w:eastAsia="ja-JP"/>
              </w:rPr>
            </w:pPr>
            <w:r w:rsidRPr="00912996">
              <w:rPr>
                <w:rFonts w:ascii="Calibri" w:hAnsi="Calibri"/>
                <w:bCs/>
                <w:lang w:eastAsia="ja-JP"/>
              </w:rPr>
              <w:t>12</w:t>
            </w:r>
          </w:p>
        </w:tc>
        <w:tc>
          <w:tcPr>
            <w:tcW w:w="2250" w:type="dxa"/>
            <w:shd w:val="clear" w:color="auto" w:fill="F2F2F2"/>
            <w:hideMark/>
          </w:tcPr>
          <w:p w14:paraId="6A8F3822" w14:textId="77777777" w:rsidR="001A54E6" w:rsidRPr="00912996" w:rsidRDefault="001A54E6" w:rsidP="00394372">
            <w:pPr>
              <w:rPr>
                <w:rFonts w:ascii="Calibri" w:hAnsi="Calibri"/>
                <w:bCs/>
                <w:lang w:eastAsia="ja-JP"/>
              </w:rPr>
            </w:pPr>
            <w:r w:rsidRPr="00912996">
              <w:rPr>
                <w:rFonts w:ascii="Calibri" w:hAnsi="Calibri"/>
                <w:bCs/>
                <w:lang w:eastAsia="ja-JP"/>
              </w:rPr>
              <w:t>Tren Metropolitan București Ilfov TM05 - Gara Obor - Brănești - Islaz</w:t>
            </w:r>
          </w:p>
        </w:tc>
        <w:tc>
          <w:tcPr>
            <w:tcW w:w="1530" w:type="dxa"/>
            <w:shd w:val="clear" w:color="auto" w:fill="F2F2F2"/>
            <w:hideMark/>
          </w:tcPr>
          <w:p w14:paraId="136952E3"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 xml:space="preserve">isterul </w:t>
            </w:r>
            <w:r w:rsidRPr="00912996">
              <w:rPr>
                <w:rFonts w:ascii="Calibri" w:hAnsi="Calibri"/>
                <w:bCs/>
                <w:lang w:eastAsia="ja-JP"/>
              </w:rPr>
              <w:t>Transporturilor, CNCF CFR SA</w:t>
            </w:r>
          </w:p>
        </w:tc>
        <w:tc>
          <w:tcPr>
            <w:tcW w:w="1620" w:type="dxa"/>
            <w:shd w:val="clear" w:color="auto" w:fill="F2F2F2"/>
            <w:noWrap/>
            <w:hideMark/>
          </w:tcPr>
          <w:p w14:paraId="4A9D7C78" w14:textId="77777777" w:rsidR="001A54E6" w:rsidRPr="00912996" w:rsidRDefault="001A54E6" w:rsidP="00394372">
            <w:pPr>
              <w:rPr>
                <w:rFonts w:ascii="Calibri" w:hAnsi="Calibri"/>
                <w:bCs/>
                <w:lang w:eastAsia="ja-JP"/>
              </w:rPr>
            </w:pPr>
          </w:p>
        </w:tc>
        <w:tc>
          <w:tcPr>
            <w:tcW w:w="1260" w:type="dxa"/>
            <w:shd w:val="clear" w:color="auto" w:fill="F2F2F2"/>
            <w:noWrap/>
            <w:hideMark/>
          </w:tcPr>
          <w:p w14:paraId="16BCF5AB" w14:textId="77777777" w:rsidR="001A54E6" w:rsidRPr="00912996" w:rsidRDefault="001A54E6" w:rsidP="00394372">
            <w:pPr>
              <w:rPr>
                <w:rFonts w:ascii="Calibri" w:hAnsi="Calibri"/>
                <w:bCs/>
                <w:lang w:eastAsia="ja-JP"/>
              </w:rPr>
            </w:pPr>
            <w:r w:rsidRPr="00912996">
              <w:rPr>
                <w:rFonts w:ascii="Calibri" w:hAnsi="Calibri"/>
                <w:bCs/>
                <w:lang w:eastAsia="ja-JP"/>
              </w:rPr>
              <w:t>46,550,000</w:t>
            </w:r>
          </w:p>
        </w:tc>
        <w:tc>
          <w:tcPr>
            <w:tcW w:w="1260" w:type="dxa"/>
            <w:shd w:val="clear" w:color="auto" w:fill="F2F2F2"/>
            <w:noWrap/>
            <w:hideMark/>
          </w:tcPr>
          <w:p w14:paraId="6A294E13" w14:textId="77777777" w:rsidR="001A54E6" w:rsidRPr="00912996" w:rsidRDefault="001A54E6" w:rsidP="00394372">
            <w:pPr>
              <w:rPr>
                <w:rFonts w:ascii="Calibri" w:hAnsi="Calibri"/>
                <w:bCs/>
                <w:lang w:eastAsia="ja-JP"/>
              </w:rPr>
            </w:pPr>
            <w:r w:rsidRPr="00912996">
              <w:rPr>
                <w:rFonts w:ascii="Calibri" w:hAnsi="Calibri"/>
                <w:bCs/>
                <w:lang w:eastAsia="ja-JP"/>
              </w:rPr>
              <w:t>9,500,000</w:t>
            </w:r>
          </w:p>
        </w:tc>
        <w:tc>
          <w:tcPr>
            <w:tcW w:w="1089" w:type="dxa"/>
            <w:shd w:val="clear" w:color="auto" w:fill="F2F2F2"/>
            <w:noWrap/>
            <w:hideMark/>
          </w:tcPr>
          <w:p w14:paraId="4DA52E81"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54F5F184"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7A3F28F2"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6412BD81" w14:textId="77777777" w:rsidR="001A54E6" w:rsidRPr="00912996" w:rsidRDefault="001A54E6" w:rsidP="00394372">
            <w:pPr>
              <w:rPr>
                <w:rFonts w:ascii="Calibri" w:hAnsi="Calibri"/>
                <w:bCs/>
                <w:lang w:eastAsia="ja-JP"/>
              </w:rPr>
            </w:pPr>
            <w:r w:rsidRPr="00912996">
              <w:rPr>
                <w:rFonts w:ascii="Calibri" w:hAnsi="Calibri"/>
                <w:bCs/>
                <w:lang w:eastAsia="ja-JP"/>
              </w:rPr>
              <w:t>PNRR</w:t>
            </w:r>
          </w:p>
        </w:tc>
      </w:tr>
      <w:tr w:rsidR="00AC2FFA" w:rsidRPr="00912996" w14:paraId="517193C1" w14:textId="77777777" w:rsidTr="00E2442E">
        <w:trPr>
          <w:gridAfter w:val="9"/>
          <w:wAfter w:w="15421" w:type="dxa"/>
          <w:trHeight w:val="804"/>
        </w:trPr>
        <w:tc>
          <w:tcPr>
            <w:tcW w:w="625" w:type="dxa"/>
            <w:shd w:val="clear" w:color="auto" w:fill="F2F2F2"/>
            <w:noWrap/>
            <w:hideMark/>
          </w:tcPr>
          <w:p w14:paraId="2A084DC0" w14:textId="77777777" w:rsidR="001A54E6" w:rsidRPr="00912996" w:rsidRDefault="001A54E6" w:rsidP="00394372">
            <w:pPr>
              <w:rPr>
                <w:rFonts w:ascii="Calibri" w:hAnsi="Calibri"/>
                <w:bCs/>
                <w:lang w:eastAsia="ja-JP"/>
              </w:rPr>
            </w:pPr>
            <w:r w:rsidRPr="00912996">
              <w:rPr>
                <w:rFonts w:ascii="Calibri" w:hAnsi="Calibri"/>
                <w:bCs/>
                <w:lang w:eastAsia="ja-JP"/>
              </w:rPr>
              <w:t>13</w:t>
            </w:r>
          </w:p>
        </w:tc>
        <w:tc>
          <w:tcPr>
            <w:tcW w:w="2250" w:type="dxa"/>
            <w:shd w:val="clear" w:color="auto" w:fill="F2F2F2"/>
            <w:hideMark/>
          </w:tcPr>
          <w:p w14:paraId="1B9B90A6" w14:textId="77777777" w:rsidR="001A54E6" w:rsidRPr="00912996" w:rsidRDefault="001A54E6" w:rsidP="00394372">
            <w:pPr>
              <w:rPr>
                <w:rFonts w:ascii="Calibri" w:hAnsi="Calibri"/>
                <w:bCs/>
                <w:lang w:eastAsia="ja-JP"/>
              </w:rPr>
            </w:pPr>
            <w:r w:rsidRPr="00912996">
              <w:rPr>
                <w:rFonts w:ascii="Calibri" w:hAnsi="Calibri"/>
                <w:bCs/>
                <w:lang w:eastAsia="ja-JP"/>
              </w:rPr>
              <w:t>Dezvoltarea Centurii feroviare de Est (Pantelimon – București Sud – TN Berceni)</w:t>
            </w:r>
          </w:p>
        </w:tc>
        <w:tc>
          <w:tcPr>
            <w:tcW w:w="1530" w:type="dxa"/>
            <w:shd w:val="clear" w:color="auto" w:fill="F2F2F2"/>
            <w:hideMark/>
          </w:tcPr>
          <w:p w14:paraId="3A08F83D"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isterul</w:t>
            </w:r>
            <w:r w:rsidRPr="00912996">
              <w:rPr>
                <w:rFonts w:ascii="Calibri" w:hAnsi="Calibri"/>
                <w:bCs/>
                <w:lang w:eastAsia="ja-JP"/>
              </w:rPr>
              <w:t xml:space="preserve"> Transporturilor, CNCF CFR SA</w:t>
            </w:r>
          </w:p>
        </w:tc>
        <w:tc>
          <w:tcPr>
            <w:tcW w:w="1620" w:type="dxa"/>
            <w:shd w:val="clear" w:color="auto" w:fill="F2F2F2"/>
            <w:noWrap/>
            <w:hideMark/>
          </w:tcPr>
          <w:p w14:paraId="0527FE07"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A48F90E" w14:textId="77777777" w:rsidR="001A54E6" w:rsidRPr="00912996" w:rsidRDefault="001A54E6" w:rsidP="00394372">
            <w:pPr>
              <w:rPr>
                <w:rFonts w:ascii="Calibri" w:hAnsi="Calibri"/>
                <w:bCs/>
                <w:lang w:eastAsia="ja-JP"/>
              </w:rPr>
            </w:pPr>
            <w:r w:rsidRPr="00912996">
              <w:rPr>
                <w:rFonts w:ascii="Calibri" w:hAnsi="Calibri"/>
                <w:bCs/>
                <w:lang w:eastAsia="ja-JP"/>
              </w:rPr>
              <w:t>735,000,000</w:t>
            </w:r>
          </w:p>
        </w:tc>
        <w:tc>
          <w:tcPr>
            <w:tcW w:w="1260" w:type="dxa"/>
            <w:shd w:val="clear" w:color="auto" w:fill="F2F2F2"/>
            <w:noWrap/>
            <w:hideMark/>
          </w:tcPr>
          <w:p w14:paraId="0C8775DD" w14:textId="77777777" w:rsidR="001A54E6" w:rsidRPr="00912996" w:rsidRDefault="001A54E6" w:rsidP="00394372">
            <w:pPr>
              <w:rPr>
                <w:rFonts w:ascii="Calibri" w:hAnsi="Calibri"/>
                <w:bCs/>
                <w:lang w:eastAsia="ja-JP"/>
              </w:rPr>
            </w:pPr>
            <w:r w:rsidRPr="00912996">
              <w:rPr>
                <w:rFonts w:ascii="Calibri" w:hAnsi="Calibri"/>
                <w:bCs/>
                <w:lang w:eastAsia="ja-JP"/>
              </w:rPr>
              <w:t>150,000,000</w:t>
            </w:r>
          </w:p>
        </w:tc>
        <w:tc>
          <w:tcPr>
            <w:tcW w:w="1089" w:type="dxa"/>
            <w:shd w:val="clear" w:color="auto" w:fill="F2F2F2"/>
            <w:noWrap/>
            <w:hideMark/>
          </w:tcPr>
          <w:p w14:paraId="43C168B7"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6DDB0E9E" w14:textId="77777777" w:rsidR="001A54E6" w:rsidRPr="00912996" w:rsidRDefault="001A54E6" w:rsidP="00394372">
            <w:pPr>
              <w:rPr>
                <w:rFonts w:ascii="Calibri" w:hAnsi="Calibri"/>
                <w:bCs/>
                <w:lang w:eastAsia="ja-JP"/>
              </w:rPr>
            </w:pPr>
            <w:r w:rsidRPr="00912996">
              <w:rPr>
                <w:rFonts w:ascii="Calibri" w:hAnsi="Calibri"/>
                <w:bCs/>
                <w:lang w:eastAsia="ja-JP"/>
              </w:rPr>
              <w:t>Fonduri externe</w:t>
            </w:r>
          </w:p>
        </w:tc>
        <w:tc>
          <w:tcPr>
            <w:tcW w:w="1260" w:type="dxa"/>
            <w:shd w:val="clear" w:color="auto" w:fill="F2F2F2"/>
            <w:hideMark/>
          </w:tcPr>
          <w:p w14:paraId="07CCB0F3"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52ACFCF8" w14:textId="77777777" w:rsidR="001A54E6" w:rsidRPr="00912996" w:rsidRDefault="001A54E6" w:rsidP="00394372">
            <w:pPr>
              <w:rPr>
                <w:rFonts w:ascii="Calibri" w:hAnsi="Calibri"/>
                <w:bCs/>
                <w:lang w:eastAsia="ja-JP"/>
              </w:rPr>
            </w:pPr>
            <w:r w:rsidRPr="00912996">
              <w:rPr>
                <w:rFonts w:ascii="Calibri" w:hAnsi="Calibri"/>
                <w:bCs/>
                <w:lang w:eastAsia="ja-JP"/>
              </w:rPr>
              <w:t>SIDU MB, CFR</w:t>
            </w:r>
          </w:p>
        </w:tc>
      </w:tr>
      <w:tr w:rsidR="00AC2FFA" w:rsidRPr="00912996" w14:paraId="304CA3FB" w14:textId="77777777" w:rsidTr="00E2442E">
        <w:trPr>
          <w:gridAfter w:val="9"/>
          <w:wAfter w:w="15421" w:type="dxa"/>
          <w:trHeight w:val="804"/>
        </w:trPr>
        <w:tc>
          <w:tcPr>
            <w:tcW w:w="625" w:type="dxa"/>
            <w:shd w:val="clear" w:color="auto" w:fill="F2F2F2"/>
            <w:noWrap/>
            <w:hideMark/>
          </w:tcPr>
          <w:p w14:paraId="0D3E2EE7" w14:textId="77777777" w:rsidR="001A54E6" w:rsidRPr="00912996" w:rsidRDefault="001A54E6" w:rsidP="00394372">
            <w:pPr>
              <w:rPr>
                <w:rFonts w:ascii="Calibri" w:hAnsi="Calibri"/>
                <w:bCs/>
                <w:lang w:eastAsia="ja-JP"/>
              </w:rPr>
            </w:pPr>
            <w:r w:rsidRPr="00912996">
              <w:rPr>
                <w:rFonts w:ascii="Calibri" w:hAnsi="Calibri"/>
                <w:bCs/>
                <w:lang w:eastAsia="ja-JP"/>
              </w:rPr>
              <w:t>14</w:t>
            </w:r>
          </w:p>
        </w:tc>
        <w:tc>
          <w:tcPr>
            <w:tcW w:w="2250" w:type="dxa"/>
            <w:shd w:val="clear" w:color="auto" w:fill="F2F2F2"/>
            <w:hideMark/>
          </w:tcPr>
          <w:p w14:paraId="259A1AF4" w14:textId="77777777" w:rsidR="001A54E6" w:rsidRPr="00912996" w:rsidRDefault="001A54E6" w:rsidP="00394372">
            <w:pPr>
              <w:rPr>
                <w:rFonts w:ascii="Calibri" w:hAnsi="Calibri"/>
                <w:bCs/>
                <w:lang w:eastAsia="ja-JP"/>
              </w:rPr>
            </w:pPr>
            <w:r w:rsidRPr="00912996">
              <w:rPr>
                <w:rFonts w:ascii="Calibri" w:hAnsi="Calibri"/>
                <w:bCs/>
                <w:lang w:eastAsia="ja-JP"/>
              </w:rPr>
              <w:t>Dezvoltarea Centurii feroviare de Nord (București Nord – Băneasa – Pantelimon)</w:t>
            </w:r>
          </w:p>
        </w:tc>
        <w:tc>
          <w:tcPr>
            <w:tcW w:w="1530" w:type="dxa"/>
            <w:shd w:val="clear" w:color="auto" w:fill="F2F2F2"/>
            <w:hideMark/>
          </w:tcPr>
          <w:p w14:paraId="2408BD9C" w14:textId="77777777" w:rsidR="001A54E6" w:rsidRPr="00912996" w:rsidRDefault="001A54E6" w:rsidP="00394372">
            <w:pPr>
              <w:rPr>
                <w:rFonts w:ascii="Calibri" w:hAnsi="Calibri"/>
                <w:bCs/>
                <w:lang w:eastAsia="ja-JP"/>
              </w:rPr>
            </w:pPr>
            <w:r w:rsidRPr="00912996">
              <w:rPr>
                <w:rFonts w:ascii="Calibri" w:hAnsi="Calibri"/>
                <w:bCs/>
                <w:lang w:eastAsia="ja-JP"/>
              </w:rPr>
              <w:t>PMB, Min</w:t>
            </w:r>
            <w:r>
              <w:rPr>
                <w:rFonts w:ascii="Calibri" w:hAnsi="Calibri"/>
                <w:bCs/>
                <w:lang w:eastAsia="ja-JP"/>
              </w:rPr>
              <w:t>isterul</w:t>
            </w:r>
            <w:r w:rsidRPr="00912996">
              <w:rPr>
                <w:rFonts w:ascii="Calibri" w:hAnsi="Calibri"/>
                <w:bCs/>
                <w:lang w:eastAsia="ja-JP"/>
              </w:rPr>
              <w:t xml:space="preserve"> Transporturilor, CNCF CFR SA</w:t>
            </w:r>
          </w:p>
        </w:tc>
        <w:tc>
          <w:tcPr>
            <w:tcW w:w="1620" w:type="dxa"/>
            <w:shd w:val="clear" w:color="auto" w:fill="F2F2F2"/>
            <w:noWrap/>
            <w:hideMark/>
          </w:tcPr>
          <w:p w14:paraId="7E5EE1A2"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19030D7F" w14:textId="77777777" w:rsidR="001A54E6" w:rsidRPr="00912996" w:rsidRDefault="001A54E6" w:rsidP="00394372">
            <w:pPr>
              <w:rPr>
                <w:rFonts w:ascii="Calibri" w:hAnsi="Calibri"/>
                <w:bCs/>
                <w:lang w:eastAsia="ja-JP"/>
              </w:rPr>
            </w:pPr>
            <w:r w:rsidRPr="00912996">
              <w:rPr>
                <w:rFonts w:ascii="Calibri" w:hAnsi="Calibri"/>
                <w:bCs/>
                <w:lang w:eastAsia="ja-JP"/>
              </w:rPr>
              <w:t>735,000,000</w:t>
            </w:r>
          </w:p>
        </w:tc>
        <w:tc>
          <w:tcPr>
            <w:tcW w:w="1260" w:type="dxa"/>
            <w:shd w:val="clear" w:color="auto" w:fill="F2F2F2"/>
            <w:noWrap/>
            <w:hideMark/>
          </w:tcPr>
          <w:p w14:paraId="25298E8A" w14:textId="77777777" w:rsidR="001A54E6" w:rsidRPr="00912996" w:rsidRDefault="001A54E6" w:rsidP="00394372">
            <w:pPr>
              <w:rPr>
                <w:rFonts w:ascii="Calibri" w:hAnsi="Calibri"/>
                <w:bCs/>
                <w:lang w:eastAsia="ja-JP"/>
              </w:rPr>
            </w:pPr>
            <w:r w:rsidRPr="00912996">
              <w:rPr>
                <w:rFonts w:ascii="Calibri" w:hAnsi="Calibri"/>
                <w:bCs/>
                <w:lang w:eastAsia="ja-JP"/>
              </w:rPr>
              <w:t>150,000,000</w:t>
            </w:r>
          </w:p>
        </w:tc>
        <w:tc>
          <w:tcPr>
            <w:tcW w:w="1089" w:type="dxa"/>
            <w:shd w:val="clear" w:color="auto" w:fill="F2F2F2"/>
            <w:noWrap/>
            <w:hideMark/>
          </w:tcPr>
          <w:p w14:paraId="464E0FF6"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3BC72350" w14:textId="77777777" w:rsidR="001A54E6" w:rsidRPr="00912996" w:rsidRDefault="001A54E6" w:rsidP="00394372">
            <w:pPr>
              <w:rPr>
                <w:rFonts w:ascii="Calibri" w:hAnsi="Calibri"/>
                <w:bCs/>
                <w:lang w:eastAsia="ja-JP"/>
              </w:rPr>
            </w:pPr>
            <w:r w:rsidRPr="00912996">
              <w:rPr>
                <w:rFonts w:ascii="Calibri" w:hAnsi="Calibri"/>
                <w:bCs/>
                <w:lang w:eastAsia="ja-JP"/>
              </w:rPr>
              <w:t>Fonduri externe</w:t>
            </w:r>
          </w:p>
        </w:tc>
        <w:tc>
          <w:tcPr>
            <w:tcW w:w="1260" w:type="dxa"/>
            <w:shd w:val="clear" w:color="auto" w:fill="F2F2F2"/>
            <w:hideMark/>
          </w:tcPr>
          <w:p w14:paraId="61A290D2"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349AC38C" w14:textId="77777777" w:rsidR="001A54E6" w:rsidRPr="00912996" w:rsidRDefault="001A54E6" w:rsidP="00394372">
            <w:pPr>
              <w:rPr>
                <w:rFonts w:ascii="Calibri" w:hAnsi="Calibri"/>
                <w:bCs/>
                <w:lang w:eastAsia="ja-JP"/>
              </w:rPr>
            </w:pPr>
            <w:r w:rsidRPr="00912996">
              <w:rPr>
                <w:rFonts w:ascii="Calibri" w:hAnsi="Calibri"/>
                <w:bCs/>
                <w:lang w:eastAsia="ja-JP"/>
              </w:rPr>
              <w:t>SIDU MB, CFR</w:t>
            </w:r>
          </w:p>
        </w:tc>
      </w:tr>
      <w:tr w:rsidR="00AC2FFA" w:rsidRPr="00912996" w14:paraId="1FF88ED1" w14:textId="77777777" w:rsidTr="00E2442E">
        <w:trPr>
          <w:gridAfter w:val="9"/>
          <w:wAfter w:w="15421" w:type="dxa"/>
          <w:trHeight w:val="1056"/>
        </w:trPr>
        <w:tc>
          <w:tcPr>
            <w:tcW w:w="625" w:type="dxa"/>
            <w:shd w:val="clear" w:color="auto" w:fill="F2F2F2"/>
            <w:noWrap/>
            <w:hideMark/>
          </w:tcPr>
          <w:p w14:paraId="073BB106" w14:textId="77777777" w:rsidR="001A54E6" w:rsidRPr="00912996" w:rsidRDefault="001A54E6" w:rsidP="00394372">
            <w:pPr>
              <w:rPr>
                <w:rFonts w:ascii="Calibri" w:hAnsi="Calibri"/>
                <w:bCs/>
                <w:lang w:eastAsia="ja-JP"/>
              </w:rPr>
            </w:pPr>
            <w:r w:rsidRPr="00912996">
              <w:rPr>
                <w:rFonts w:ascii="Calibri" w:hAnsi="Calibri"/>
                <w:bCs/>
                <w:lang w:eastAsia="ja-JP"/>
              </w:rPr>
              <w:t>15</w:t>
            </w:r>
          </w:p>
        </w:tc>
        <w:tc>
          <w:tcPr>
            <w:tcW w:w="2250" w:type="dxa"/>
            <w:shd w:val="clear" w:color="auto" w:fill="F2F2F2"/>
            <w:hideMark/>
          </w:tcPr>
          <w:p w14:paraId="1802E8AE" w14:textId="77777777" w:rsidR="001A54E6" w:rsidRPr="00912996" w:rsidRDefault="001A54E6" w:rsidP="00394372">
            <w:pPr>
              <w:rPr>
                <w:rFonts w:ascii="Calibri" w:hAnsi="Calibri"/>
                <w:bCs/>
                <w:lang w:eastAsia="ja-JP"/>
              </w:rPr>
            </w:pPr>
            <w:r w:rsidRPr="00912996">
              <w:rPr>
                <w:rFonts w:ascii="Calibri" w:hAnsi="Calibri"/>
                <w:bCs/>
                <w:lang w:eastAsia="ja-JP"/>
              </w:rPr>
              <w:t>Conectare gara Obor cu stație metrou Obor- tunel de tren pe sub strada Ziduri Moși</w:t>
            </w:r>
          </w:p>
        </w:tc>
        <w:tc>
          <w:tcPr>
            <w:tcW w:w="1530" w:type="dxa"/>
            <w:shd w:val="clear" w:color="auto" w:fill="F2F2F2"/>
            <w:hideMark/>
          </w:tcPr>
          <w:p w14:paraId="42A52936" w14:textId="77777777" w:rsidR="001A54E6" w:rsidRPr="00912996" w:rsidRDefault="001A54E6" w:rsidP="00394372">
            <w:pPr>
              <w:rPr>
                <w:rFonts w:ascii="Calibri" w:hAnsi="Calibri"/>
                <w:bCs/>
                <w:lang w:eastAsia="ja-JP"/>
              </w:rPr>
            </w:pPr>
            <w:r w:rsidRPr="00912996">
              <w:rPr>
                <w:rFonts w:ascii="Calibri" w:hAnsi="Calibri"/>
                <w:bCs/>
                <w:lang w:eastAsia="ja-JP"/>
              </w:rPr>
              <w:t>PMB, PS2</w:t>
            </w:r>
          </w:p>
        </w:tc>
        <w:tc>
          <w:tcPr>
            <w:tcW w:w="1620" w:type="dxa"/>
            <w:shd w:val="clear" w:color="auto" w:fill="F2F2F2"/>
            <w:noWrap/>
            <w:hideMark/>
          </w:tcPr>
          <w:p w14:paraId="552AD9D4"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67F3725B" w14:textId="77777777" w:rsidR="001A54E6" w:rsidRPr="00912996" w:rsidRDefault="001A54E6" w:rsidP="00394372">
            <w:pPr>
              <w:rPr>
                <w:rFonts w:ascii="Calibri" w:hAnsi="Calibri"/>
                <w:bCs/>
                <w:lang w:eastAsia="ja-JP"/>
              </w:rPr>
            </w:pPr>
            <w:r w:rsidRPr="00912996">
              <w:rPr>
                <w:rFonts w:ascii="Calibri" w:hAnsi="Calibri"/>
                <w:bCs/>
                <w:lang w:eastAsia="ja-JP"/>
              </w:rPr>
              <w:t>735,000,000</w:t>
            </w:r>
          </w:p>
        </w:tc>
        <w:tc>
          <w:tcPr>
            <w:tcW w:w="1260" w:type="dxa"/>
            <w:shd w:val="clear" w:color="auto" w:fill="F2F2F2"/>
            <w:noWrap/>
            <w:hideMark/>
          </w:tcPr>
          <w:p w14:paraId="0176ECD2" w14:textId="77777777" w:rsidR="001A54E6" w:rsidRPr="00912996" w:rsidRDefault="001A54E6" w:rsidP="00394372">
            <w:pPr>
              <w:rPr>
                <w:rFonts w:ascii="Calibri" w:hAnsi="Calibri"/>
                <w:bCs/>
                <w:lang w:eastAsia="ja-JP"/>
              </w:rPr>
            </w:pPr>
            <w:r w:rsidRPr="00912996">
              <w:rPr>
                <w:rFonts w:ascii="Calibri" w:hAnsi="Calibri"/>
                <w:bCs/>
                <w:lang w:eastAsia="ja-JP"/>
              </w:rPr>
              <w:t>150,000,000</w:t>
            </w:r>
          </w:p>
        </w:tc>
        <w:tc>
          <w:tcPr>
            <w:tcW w:w="1089" w:type="dxa"/>
            <w:shd w:val="clear" w:color="auto" w:fill="F2F2F2"/>
            <w:noWrap/>
            <w:hideMark/>
          </w:tcPr>
          <w:p w14:paraId="4A67ED02"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0FFC52D4"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5E023993" w14:textId="77777777" w:rsidR="001A54E6" w:rsidRPr="00912996" w:rsidRDefault="001A54E6" w:rsidP="00394372">
            <w:pPr>
              <w:rPr>
                <w:rFonts w:ascii="Calibri" w:hAnsi="Calibri"/>
                <w:bCs/>
                <w:lang w:eastAsia="ja-JP"/>
              </w:rPr>
            </w:pPr>
            <w:r w:rsidRPr="00912996">
              <w:rPr>
                <w:rFonts w:ascii="Calibri" w:hAnsi="Calibri"/>
                <w:bCs/>
                <w:lang w:eastAsia="ja-JP"/>
              </w:rPr>
              <w:t>Lista lungă de proiecte</w:t>
            </w:r>
          </w:p>
        </w:tc>
        <w:tc>
          <w:tcPr>
            <w:tcW w:w="1440" w:type="dxa"/>
            <w:shd w:val="clear" w:color="auto" w:fill="F2F2F2"/>
            <w:hideMark/>
          </w:tcPr>
          <w:p w14:paraId="16679CD7" w14:textId="77777777" w:rsidR="001A54E6" w:rsidRPr="00912996" w:rsidRDefault="001A54E6" w:rsidP="00394372">
            <w:pPr>
              <w:rPr>
                <w:rFonts w:ascii="Calibri" w:hAnsi="Calibri"/>
                <w:bCs/>
                <w:lang w:eastAsia="ja-JP"/>
              </w:rPr>
            </w:pPr>
            <w:r w:rsidRPr="00912996">
              <w:rPr>
                <w:rFonts w:ascii="Calibri" w:hAnsi="Calibri"/>
                <w:bCs/>
                <w:lang w:eastAsia="ja-JP"/>
              </w:rPr>
              <w:t>SIDU MB, PMUD-BI</w:t>
            </w:r>
          </w:p>
        </w:tc>
      </w:tr>
      <w:tr w:rsidR="001A54E6" w:rsidRPr="00912996" w14:paraId="12E92CA8" w14:textId="77777777" w:rsidTr="00AC2FFA">
        <w:trPr>
          <w:gridAfter w:val="9"/>
          <w:wAfter w:w="15421" w:type="dxa"/>
          <w:trHeight w:val="276"/>
        </w:trPr>
        <w:tc>
          <w:tcPr>
            <w:tcW w:w="14215" w:type="dxa"/>
            <w:gridSpan w:val="10"/>
            <w:shd w:val="clear" w:color="auto" w:fill="BBD9A0"/>
            <w:noWrap/>
            <w:hideMark/>
          </w:tcPr>
          <w:p w14:paraId="1D8BAFEF" w14:textId="77777777" w:rsidR="001A54E6" w:rsidRPr="00912996" w:rsidRDefault="001A54E6" w:rsidP="002A7B82">
            <w:pPr>
              <w:jc w:val="center"/>
              <w:rPr>
                <w:rFonts w:ascii="Calibri" w:hAnsi="Calibri"/>
                <w:b/>
                <w:bCs/>
                <w:color w:val="FFFFFF"/>
                <w:lang w:eastAsia="ja-JP"/>
              </w:rPr>
            </w:pPr>
            <w:r w:rsidRPr="00912996">
              <w:rPr>
                <w:rFonts w:ascii="Calibri" w:hAnsi="Calibri"/>
                <w:b/>
                <w:bCs/>
                <w:color w:val="FFFFFF"/>
                <w:lang w:eastAsia="ja-JP"/>
              </w:rPr>
              <w:t>D3.4.8 Promovarea mobilității urbane durabile și a măsurilor de siguranță în trafic</w:t>
            </w:r>
          </w:p>
        </w:tc>
      </w:tr>
      <w:tr w:rsidR="00AC2FFA" w:rsidRPr="00912996" w14:paraId="26871A1C" w14:textId="77777777" w:rsidTr="00E2442E">
        <w:trPr>
          <w:gridAfter w:val="9"/>
          <w:wAfter w:w="15421" w:type="dxa"/>
          <w:trHeight w:val="1056"/>
        </w:trPr>
        <w:tc>
          <w:tcPr>
            <w:tcW w:w="625" w:type="dxa"/>
            <w:shd w:val="clear" w:color="auto" w:fill="F2F2F2"/>
            <w:noWrap/>
            <w:hideMark/>
          </w:tcPr>
          <w:p w14:paraId="1662F1CA" w14:textId="77777777" w:rsidR="001A54E6" w:rsidRPr="00912996" w:rsidRDefault="001A54E6" w:rsidP="00394372">
            <w:pPr>
              <w:rPr>
                <w:rFonts w:ascii="Calibri" w:hAnsi="Calibri"/>
                <w:bCs/>
                <w:lang w:eastAsia="ja-JP"/>
              </w:rPr>
            </w:pPr>
            <w:r w:rsidRPr="00912996">
              <w:rPr>
                <w:rFonts w:ascii="Calibri" w:hAnsi="Calibri"/>
                <w:bCs/>
                <w:lang w:eastAsia="ja-JP"/>
              </w:rPr>
              <w:t>1</w:t>
            </w:r>
          </w:p>
        </w:tc>
        <w:tc>
          <w:tcPr>
            <w:tcW w:w="2250" w:type="dxa"/>
            <w:shd w:val="clear" w:color="auto" w:fill="F2F2F2"/>
            <w:hideMark/>
          </w:tcPr>
          <w:p w14:paraId="6CE2942B" w14:textId="77777777" w:rsidR="001A54E6" w:rsidRPr="00912996" w:rsidRDefault="001A54E6" w:rsidP="00394372">
            <w:pPr>
              <w:rPr>
                <w:rFonts w:ascii="Calibri" w:hAnsi="Calibri"/>
                <w:bCs/>
                <w:lang w:eastAsia="ja-JP"/>
              </w:rPr>
            </w:pPr>
            <w:r w:rsidRPr="00912996">
              <w:rPr>
                <w:rFonts w:ascii="Calibri" w:hAnsi="Calibri"/>
                <w:bCs/>
                <w:lang w:eastAsia="ja-JP"/>
              </w:rPr>
              <w:t>Dezvoltarea de politici pentru creșterea</w:t>
            </w:r>
            <w:r w:rsidRPr="00912996">
              <w:rPr>
                <w:rFonts w:ascii="Calibri" w:hAnsi="Calibri"/>
                <w:bCs/>
                <w:lang w:eastAsia="ja-JP"/>
              </w:rPr>
              <w:br/>
              <w:t>siguranței rutiere și campanii de educare</w:t>
            </w:r>
            <w:r w:rsidRPr="00912996">
              <w:rPr>
                <w:rFonts w:ascii="Calibri" w:hAnsi="Calibri"/>
                <w:bCs/>
                <w:lang w:eastAsia="ja-JP"/>
              </w:rPr>
              <w:br/>
              <w:t>privind politicile de siguranță rutieră</w:t>
            </w:r>
          </w:p>
        </w:tc>
        <w:tc>
          <w:tcPr>
            <w:tcW w:w="1530" w:type="dxa"/>
            <w:shd w:val="clear" w:color="auto" w:fill="F2F2F2"/>
            <w:hideMark/>
          </w:tcPr>
          <w:p w14:paraId="4B5B21E4" w14:textId="77777777" w:rsidR="001A54E6" w:rsidRPr="00912996" w:rsidRDefault="001A54E6" w:rsidP="00394372">
            <w:pPr>
              <w:rPr>
                <w:rFonts w:ascii="Calibri" w:hAnsi="Calibri"/>
                <w:bCs/>
                <w:lang w:eastAsia="ja-JP"/>
              </w:rPr>
            </w:pPr>
            <w:r w:rsidRPr="00912996">
              <w:rPr>
                <w:rFonts w:ascii="Calibri" w:hAnsi="Calibri"/>
                <w:bCs/>
                <w:lang w:eastAsia="ja-JP"/>
              </w:rPr>
              <w:t>Brigada Rutieră, Autorități Locale, Ministerul Educației</w:t>
            </w:r>
          </w:p>
        </w:tc>
        <w:tc>
          <w:tcPr>
            <w:tcW w:w="1620" w:type="dxa"/>
            <w:shd w:val="clear" w:color="auto" w:fill="F2F2F2"/>
            <w:noWrap/>
            <w:hideMark/>
          </w:tcPr>
          <w:p w14:paraId="023013CE"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09746F80" w14:textId="77777777" w:rsidR="001A54E6" w:rsidRPr="00912996" w:rsidRDefault="001A54E6" w:rsidP="00394372">
            <w:pPr>
              <w:rPr>
                <w:rFonts w:ascii="Calibri" w:hAnsi="Calibri"/>
                <w:bCs/>
                <w:lang w:eastAsia="ja-JP"/>
              </w:rPr>
            </w:pPr>
            <w:r w:rsidRPr="00912996">
              <w:rPr>
                <w:rFonts w:ascii="Calibri" w:hAnsi="Calibri"/>
                <w:bCs/>
                <w:lang w:eastAsia="ja-JP"/>
              </w:rPr>
              <w:t>49,000,000</w:t>
            </w:r>
          </w:p>
        </w:tc>
        <w:tc>
          <w:tcPr>
            <w:tcW w:w="1260" w:type="dxa"/>
            <w:shd w:val="clear" w:color="auto" w:fill="F2F2F2"/>
            <w:noWrap/>
            <w:hideMark/>
          </w:tcPr>
          <w:p w14:paraId="52E634AD" w14:textId="77777777" w:rsidR="001A54E6" w:rsidRPr="00912996" w:rsidRDefault="001A54E6" w:rsidP="00394372">
            <w:pPr>
              <w:rPr>
                <w:rFonts w:ascii="Calibri" w:hAnsi="Calibri"/>
                <w:bCs/>
                <w:lang w:eastAsia="ja-JP"/>
              </w:rPr>
            </w:pPr>
            <w:r w:rsidRPr="00912996">
              <w:rPr>
                <w:rFonts w:ascii="Calibri" w:hAnsi="Calibri"/>
                <w:bCs/>
                <w:lang w:eastAsia="ja-JP"/>
              </w:rPr>
              <w:t>10,000,000</w:t>
            </w:r>
          </w:p>
        </w:tc>
        <w:tc>
          <w:tcPr>
            <w:tcW w:w="1089" w:type="dxa"/>
            <w:shd w:val="clear" w:color="auto" w:fill="F2F2F2"/>
            <w:noWrap/>
            <w:hideMark/>
          </w:tcPr>
          <w:p w14:paraId="647FC400"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148F2BE3" w14:textId="77777777" w:rsidR="001A54E6" w:rsidRPr="00912996" w:rsidRDefault="001A54E6" w:rsidP="00394372">
            <w:pPr>
              <w:rPr>
                <w:rFonts w:ascii="Calibri" w:hAnsi="Calibri"/>
                <w:bCs/>
                <w:lang w:eastAsia="ja-JP"/>
              </w:rPr>
            </w:pPr>
            <w:r w:rsidRPr="00912996">
              <w:rPr>
                <w:rFonts w:ascii="Calibri" w:hAnsi="Calibri"/>
                <w:bCs/>
                <w:lang w:eastAsia="ja-JP"/>
              </w:rPr>
              <w:t>PNRR - C4,C10, POR BI 2021 - 2027 - Prioritățile 4,5, Bugetul local, Alte surse de finanțare</w:t>
            </w:r>
          </w:p>
        </w:tc>
        <w:tc>
          <w:tcPr>
            <w:tcW w:w="1260" w:type="dxa"/>
            <w:shd w:val="clear" w:color="auto" w:fill="F2F2F2"/>
            <w:hideMark/>
          </w:tcPr>
          <w:p w14:paraId="53936EEB"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5A1303D6"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r w:rsidR="00AC2FFA" w:rsidRPr="00912996" w14:paraId="37642F82" w14:textId="77777777" w:rsidTr="00E2442E">
        <w:trPr>
          <w:gridAfter w:val="9"/>
          <w:wAfter w:w="15421" w:type="dxa"/>
          <w:trHeight w:val="804"/>
        </w:trPr>
        <w:tc>
          <w:tcPr>
            <w:tcW w:w="625" w:type="dxa"/>
            <w:shd w:val="clear" w:color="auto" w:fill="F2F2F2"/>
            <w:noWrap/>
            <w:hideMark/>
          </w:tcPr>
          <w:p w14:paraId="28017732" w14:textId="77777777" w:rsidR="001A54E6" w:rsidRPr="00912996" w:rsidRDefault="001A54E6" w:rsidP="00394372">
            <w:pPr>
              <w:rPr>
                <w:rFonts w:ascii="Calibri" w:hAnsi="Calibri"/>
                <w:bCs/>
                <w:lang w:eastAsia="ja-JP"/>
              </w:rPr>
            </w:pPr>
            <w:r w:rsidRPr="00912996">
              <w:rPr>
                <w:rFonts w:ascii="Calibri" w:hAnsi="Calibri"/>
                <w:bCs/>
                <w:lang w:eastAsia="ja-JP"/>
              </w:rPr>
              <w:t>2</w:t>
            </w:r>
          </w:p>
        </w:tc>
        <w:tc>
          <w:tcPr>
            <w:tcW w:w="2250" w:type="dxa"/>
            <w:shd w:val="clear" w:color="auto" w:fill="F2F2F2"/>
            <w:hideMark/>
          </w:tcPr>
          <w:p w14:paraId="5B467687" w14:textId="77777777" w:rsidR="001A54E6" w:rsidRPr="00912996" w:rsidRDefault="001A54E6" w:rsidP="00394372">
            <w:pPr>
              <w:rPr>
                <w:rFonts w:ascii="Calibri" w:hAnsi="Calibri"/>
                <w:bCs/>
                <w:lang w:eastAsia="ja-JP"/>
              </w:rPr>
            </w:pPr>
            <w:r w:rsidRPr="00912996">
              <w:rPr>
                <w:rFonts w:ascii="Calibri" w:hAnsi="Calibri"/>
                <w:bCs/>
                <w:lang w:eastAsia="ja-JP"/>
              </w:rPr>
              <w:t>Realizare campanii de promovare a mobilității active / mobilității urbane durabile (Săptămâna Europeană a Mobilității, Parking Day, Ziua mersului cu bicicleta etc.</w:t>
            </w:r>
          </w:p>
        </w:tc>
        <w:tc>
          <w:tcPr>
            <w:tcW w:w="1530" w:type="dxa"/>
            <w:shd w:val="clear" w:color="auto" w:fill="F2F2F2"/>
            <w:hideMark/>
          </w:tcPr>
          <w:p w14:paraId="393E102E"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c>
          <w:tcPr>
            <w:tcW w:w="1620" w:type="dxa"/>
            <w:shd w:val="clear" w:color="auto" w:fill="F2F2F2"/>
            <w:noWrap/>
            <w:hideMark/>
          </w:tcPr>
          <w:p w14:paraId="1CFF8736" w14:textId="77777777" w:rsidR="001A54E6" w:rsidRPr="00912996" w:rsidRDefault="001A54E6" w:rsidP="00394372">
            <w:pPr>
              <w:rPr>
                <w:rFonts w:ascii="Calibri" w:hAnsi="Calibri"/>
                <w:bCs/>
                <w:lang w:eastAsia="ja-JP"/>
              </w:rPr>
            </w:pPr>
            <w:r w:rsidRPr="00912996">
              <w:rPr>
                <w:rFonts w:ascii="Calibri" w:hAnsi="Calibri"/>
                <w:bCs/>
                <w:lang w:eastAsia="ja-JP"/>
              </w:rPr>
              <w:t>Idee</w:t>
            </w:r>
          </w:p>
        </w:tc>
        <w:tc>
          <w:tcPr>
            <w:tcW w:w="1260" w:type="dxa"/>
            <w:shd w:val="clear" w:color="auto" w:fill="F2F2F2"/>
            <w:noWrap/>
            <w:hideMark/>
          </w:tcPr>
          <w:p w14:paraId="11F2D592" w14:textId="77777777" w:rsidR="001A54E6" w:rsidRPr="00912996" w:rsidRDefault="001A54E6" w:rsidP="00394372">
            <w:pPr>
              <w:rPr>
                <w:rFonts w:ascii="Calibri" w:hAnsi="Calibri"/>
                <w:bCs/>
                <w:lang w:eastAsia="ja-JP"/>
              </w:rPr>
            </w:pPr>
            <w:r w:rsidRPr="00912996">
              <w:rPr>
                <w:rFonts w:ascii="Calibri" w:hAnsi="Calibri"/>
                <w:bCs/>
                <w:lang w:eastAsia="ja-JP"/>
              </w:rPr>
              <w:t>2,450,000</w:t>
            </w:r>
          </w:p>
        </w:tc>
        <w:tc>
          <w:tcPr>
            <w:tcW w:w="1260" w:type="dxa"/>
            <w:shd w:val="clear" w:color="auto" w:fill="F2F2F2"/>
            <w:noWrap/>
            <w:hideMark/>
          </w:tcPr>
          <w:p w14:paraId="2BF8094C" w14:textId="77777777" w:rsidR="001A54E6" w:rsidRPr="00912996" w:rsidRDefault="001A54E6" w:rsidP="00394372">
            <w:pPr>
              <w:rPr>
                <w:rFonts w:ascii="Calibri" w:hAnsi="Calibri"/>
                <w:bCs/>
                <w:lang w:eastAsia="ja-JP"/>
              </w:rPr>
            </w:pPr>
            <w:r w:rsidRPr="00912996">
              <w:rPr>
                <w:rFonts w:ascii="Calibri" w:hAnsi="Calibri"/>
                <w:bCs/>
                <w:lang w:eastAsia="ja-JP"/>
              </w:rPr>
              <w:t>500,000</w:t>
            </w:r>
          </w:p>
        </w:tc>
        <w:tc>
          <w:tcPr>
            <w:tcW w:w="1089" w:type="dxa"/>
            <w:shd w:val="clear" w:color="auto" w:fill="F2F2F2"/>
            <w:noWrap/>
            <w:hideMark/>
          </w:tcPr>
          <w:p w14:paraId="6589787B" w14:textId="77777777" w:rsidR="001A54E6" w:rsidRPr="00912996" w:rsidRDefault="001A54E6" w:rsidP="00394372">
            <w:pPr>
              <w:rPr>
                <w:rFonts w:ascii="Calibri" w:hAnsi="Calibri"/>
                <w:bCs/>
                <w:lang w:eastAsia="ja-JP"/>
              </w:rPr>
            </w:pPr>
            <w:r w:rsidRPr="00912996">
              <w:rPr>
                <w:rFonts w:ascii="Calibri" w:hAnsi="Calibri"/>
                <w:bCs/>
                <w:lang w:eastAsia="ja-JP"/>
              </w:rPr>
              <w:t>2021</w:t>
            </w:r>
            <w:r>
              <w:rPr>
                <w:rFonts w:ascii="Calibri" w:hAnsi="Calibri"/>
                <w:bCs/>
                <w:lang w:eastAsia="ja-JP"/>
              </w:rPr>
              <w:t xml:space="preserve"> </w:t>
            </w:r>
            <w:r w:rsidRPr="00912996">
              <w:rPr>
                <w:rFonts w:ascii="Calibri" w:hAnsi="Calibri"/>
                <w:bCs/>
                <w:lang w:eastAsia="ja-JP"/>
              </w:rPr>
              <w:t>-2027</w:t>
            </w:r>
          </w:p>
        </w:tc>
        <w:tc>
          <w:tcPr>
            <w:tcW w:w="1881" w:type="dxa"/>
            <w:shd w:val="clear" w:color="auto" w:fill="F2F2F2"/>
            <w:hideMark/>
          </w:tcPr>
          <w:p w14:paraId="65DFF8A6" w14:textId="77777777" w:rsidR="001A54E6" w:rsidRPr="00912996" w:rsidRDefault="001A54E6" w:rsidP="00394372">
            <w:pPr>
              <w:rPr>
                <w:rFonts w:ascii="Calibri" w:hAnsi="Calibri"/>
                <w:bCs/>
                <w:lang w:eastAsia="ja-JP"/>
              </w:rPr>
            </w:pPr>
            <w:r w:rsidRPr="00912996">
              <w:rPr>
                <w:rFonts w:ascii="Calibri" w:hAnsi="Calibri"/>
                <w:bCs/>
                <w:lang w:eastAsia="ja-JP"/>
              </w:rPr>
              <w:t xml:space="preserve">Bugetul local </w:t>
            </w:r>
          </w:p>
        </w:tc>
        <w:tc>
          <w:tcPr>
            <w:tcW w:w="1260" w:type="dxa"/>
            <w:shd w:val="clear" w:color="auto" w:fill="F2F2F2"/>
            <w:hideMark/>
          </w:tcPr>
          <w:p w14:paraId="5C52DCB5" w14:textId="77777777" w:rsidR="001A54E6" w:rsidRPr="00912996" w:rsidRDefault="001A54E6" w:rsidP="00394372">
            <w:pPr>
              <w:rPr>
                <w:rFonts w:ascii="Calibri" w:hAnsi="Calibri"/>
                <w:bCs/>
                <w:lang w:eastAsia="ja-JP"/>
              </w:rPr>
            </w:pPr>
            <w:r w:rsidRPr="00912996">
              <w:rPr>
                <w:rFonts w:ascii="Calibri" w:hAnsi="Calibri"/>
                <w:bCs/>
                <w:lang w:eastAsia="ja-JP"/>
              </w:rPr>
              <w:t>Proiect prioritar</w:t>
            </w:r>
          </w:p>
        </w:tc>
        <w:tc>
          <w:tcPr>
            <w:tcW w:w="1440" w:type="dxa"/>
            <w:shd w:val="clear" w:color="auto" w:fill="F2F2F2"/>
            <w:noWrap/>
            <w:hideMark/>
          </w:tcPr>
          <w:p w14:paraId="71E9F4E0" w14:textId="77777777" w:rsidR="001A54E6" w:rsidRPr="00912996" w:rsidRDefault="001A54E6" w:rsidP="00394372">
            <w:pPr>
              <w:rPr>
                <w:rFonts w:ascii="Calibri" w:hAnsi="Calibri"/>
                <w:bCs/>
                <w:lang w:eastAsia="ja-JP"/>
              </w:rPr>
            </w:pPr>
            <w:r w:rsidRPr="00912996">
              <w:rPr>
                <w:rFonts w:ascii="Calibri" w:hAnsi="Calibri"/>
                <w:bCs/>
                <w:lang w:eastAsia="ja-JP"/>
              </w:rPr>
              <w:t>PS2</w:t>
            </w:r>
          </w:p>
        </w:tc>
      </w:tr>
    </w:tbl>
    <w:p w14:paraId="69748E37" w14:textId="77777777" w:rsidR="00815B8C" w:rsidRDefault="00815B8C">
      <w:pPr>
        <w:spacing w:after="0"/>
        <w:jc w:val="left"/>
      </w:pPr>
      <w:r>
        <w:br w:type="page"/>
      </w:r>
    </w:p>
    <w:p w14:paraId="453286C4" w14:textId="6676B425" w:rsidR="00693955" w:rsidRDefault="0045521E" w:rsidP="00E305CA">
      <w:pPr>
        <w:pStyle w:val="Heading3"/>
        <w:rPr>
          <w:caps w:val="0"/>
          <w:lang w:val="ro-RO"/>
        </w:rPr>
      </w:pPr>
      <w:bookmarkStart w:id="456" w:name="_Toc127199318"/>
      <w:r w:rsidRPr="00F171A3">
        <w:rPr>
          <w:caps w:val="0"/>
          <w:lang w:val="ro-RO"/>
        </w:rPr>
        <w:t>OBIECTIV STRATEGIC O4 -  ADMINISTRAȚIE PUBLICĂ LOCALĂ PERFORMANTĂ CE SPRIJINĂ DEZVOLTAREA DURABILĂ PRIN DESCHIDERE ȘI TRANSPARENȚĂ, ÎNCURAJAREA PARTICIPĂRII TUTUROR CETĂȚENILOR ÎN PROCESELE DE DECIZIE ȘI FOLOSIREA NOILOR TEHNOLOGII</w:t>
      </w:r>
      <w:bookmarkEnd w:id="456"/>
    </w:p>
    <w:tbl>
      <w:tblPr>
        <w:tblStyle w:val="TableGrid6"/>
        <w:tblW w:w="4992"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622"/>
        <w:gridCol w:w="2246"/>
        <w:gridCol w:w="6"/>
        <w:gridCol w:w="1529"/>
        <w:gridCol w:w="77"/>
        <w:gridCol w:w="1544"/>
        <w:gridCol w:w="1262"/>
        <w:gridCol w:w="1262"/>
        <w:gridCol w:w="1080"/>
        <w:gridCol w:w="1888"/>
        <w:gridCol w:w="1262"/>
        <w:gridCol w:w="1436"/>
      </w:tblGrid>
      <w:tr w:rsidR="00FE43B6" w:rsidRPr="00912996" w14:paraId="0DB54A34" w14:textId="77777777" w:rsidTr="00FE43B6">
        <w:trPr>
          <w:trHeight w:val="1185"/>
        </w:trPr>
        <w:tc>
          <w:tcPr>
            <w:tcW w:w="219" w:type="pct"/>
            <w:shd w:val="clear" w:color="auto" w:fill="134753"/>
            <w:vAlign w:val="center"/>
            <w:hideMark/>
          </w:tcPr>
          <w:p w14:paraId="7467500A"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NR. CRT.</w:t>
            </w:r>
          </w:p>
        </w:tc>
        <w:tc>
          <w:tcPr>
            <w:tcW w:w="792" w:type="pct"/>
            <w:gridSpan w:val="2"/>
            <w:shd w:val="clear" w:color="auto" w:fill="134753"/>
            <w:vAlign w:val="center"/>
            <w:hideMark/>
          </w:tcPr>
          <w:p w14:paraId="3A768CB0"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TITLU PROGRAM/PROIECT</w:t>
            </w:r>
          </w:p>
        </w:tc>
        <w:tc>
          <w:tcPr>
            <w:tcW w:w="538" w:type="pct"/>
            <w:shd w:val="clear" w:color="auto" w:fill="134753"/>
            <w:vAlign w:val="center"/>
            <w:hideMark/>
          </w:tcPr>
          <w:p w14:paraId="71001BEB"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RESPONSABILI ȘI POSIBILI PARTENERI</w:t>
            </w:r>
          </w:p>
        </w:tc>
        <w:tc>
          <w:tcPr>
            <w:tcW w:w="570" w:type="pct"/>
            <w:gridSpan w:val="2"/>
            <w:shd w:val="clear" w:color="auto" w:fill="134753"/>
            <w:vAlign w:val="center"/>
            <w:hideMark/>
          </w:tcPr>
          <w:p w14:paraId="2C3BFA5D"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GRAD DE MATURITATE</w:t>
            </w:r>
          </w:p>
        </w:tc>
        <w:tc>
          <w:tcPr>
            <w:tcW w:w="444" w:type="pct"/>
            <w:shd w:val="clear" w:color="auto" w:fill="134753"/>
            <w:vAlign w:val="center"/>
            <w:hideMark/>
          </w:tcPr>
          <w:p w14:paraId="14007C28"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VALOARE ESTIMATĂ (RON)</w:t>
            </w:r>
          </w:p>
        </w:tc>
        <w:tc>
          <w:tcPr>
            <w:tcW w:w="444" w:type="pct"/>
            <w:shd w:val="clear" w:color="auto" w:fill="134753"/>
            <w:vAlign w:val="center"/>
            <w:hideMark/>
          </w:tcPr>
          <w:p w14:paraId="71A7D11C"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 xml:space="preserve">VALOARE ESTIMATĂ (EUR) </w:t>
            </w:r>
            <w:r w:rsidRPr="00912996">
              <w:rPr>
                <w:rFonts w:ascii="Calibri" w:hAnsi="Calibri"/>
                <w:b/>
                <w:bCs/>
                <w:lang w:eastAsia="ja-JP"/>
              </w:rPr>
              <w:br/>
            </w:r>
            <w:r w:rsidRPr="00912996">
              <w:rPr>
                <w:rFonts w:ascii="Calibri" w:hAnsi="Calibri"/>
                <w:b/>
                <w:bCs/>
                <w:lang w:eastAsia="ja-JP"/>
              </w:rPr>
              <w:br/>
            </w:r>
            <w:r w:rsidRPr="00912996">
              <w:rPr>
                <w:rFonts w:ascii="Calibri" w:hAnsi="Calibri"/>
                <w:b/>
                <w:bCs/>
                <w:i/>
                <w:iCs/>
                <w:lang w:eastAsia="ja-JP"/>
              </w:rPr>
              <w:t>* 1 EUR = 4.9 LEI</w:t>
            </w:r>
          </w:p>
        </w:tc>
        <w:tc>
          <w:tcPr>
            <w:tcW w:w="380" w:type="pct"/>
            <w:shd w:val="clear" w:color="auto" w:fill="134753"/>
            <w:vAlign w:val="center"/>
            <w:hideMark/>
          </w:tcPr>
          <w:p w14:paraId="4E0E236B"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ORIZONT DE TIMP</w:t>
            </w:r>
          </w:p>
        </w:tc>
        <w:tc>
          <w:tcPr>
            <w:tcW w:w="664" w:type="pct"/>
            <w:shd w:val="clear" w:color="auto" w:fill="134753"/>
            <w:vAlign w:val="center"/>
            <w:hideMark/>
          </w:tcPr>
          <w:p w14:paraId="0F71B0A4"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SURSE DE FINANȚARE POTENȚIALE</w:t>
            </w:r>
          </w:p>
        </w:tc>
        <w:tc>
          <w:tcPr>
            <w:tcW w:w="444" w:type="pct"/>
            <w:shd w:val="clear" w:color="auto" w:fill="134753"/>
            <w:vAlign w:val="center"/>
            <w:hideMark/>
          </w:tcPr>
          <w:p w14:paraId="17924538"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NIVEL DE PRIORITATE</w:t>
            </w:r>
          </w:p>
        </w:tc>
        <w:tc>
          <w:tcPr>
            <w:tcW w:w="506" w:type="pct"/>
            <w:shd w:val="clear" w:color="auto" w:fill="134753"/>
            <w:vAlign w:val="center"/>
            <w:hideMark/>
          </w:tcPr>
          <w:p w14:paraId="61762D50" w14:textId="77777777" w:rsidR="00FE43B6" w:rsidRPr="00912996" w:rsidRDefault="00FE43B6" w:rsidP="008506DF">
            <w:pPr>
              <w:jc w:val="center"/>
              <w:rPr>
                <w:rFonts w:ascii="Calibri" w:hAnsi="Calibri"/>
                <w:b/>
                <w:bCs/>
                <w:lang w:eastAsia="ja-JP"/>
              </w:rPr>
            </w:pPr>
            <w:r w:rsidRPr="00912996">
              <w:rPr>
                <w:rFonts w:ascii="Calibri" w:hAnsi="Calibri"/>
                <w:b/>
                <w:bCs/>
                <w:lang w:eastAsia="ja-JP"/>
              </w:rPr>
              <w:t>SURSA PROIECTULUI</w:t>
            </w:r>
          </w:p>
        </w:tc>
      </w:tr>
      <w:tr w:rsidR="00FE43B6" w:rsidRPr="00912996" w14:paraId="5058E3DE" w14:textId="77777777" w:rsidTr="00FE43B6">
        <w:trPr>
          <w:trHeight w:val="276"/>
        </w:trPr>
        <w:tc>
          <w:tcPr>
            <w:tcW w:w="5000" w:type="pct"/>
            <w:gridSpan w:val="12"/>
            <w:shd w:val="clear" w:color="auto" w:fill="ABCD3A"/>
            <w:noWrap/>
            <w:hideMark/>
          </w:tcPr>
          <w:p w14:paraId="7EEC7531" w14:textId="77777777" w:rsidR="00FE43B6" w:rsidRPr="00912996" w:rsidRDefault="00FE43B6" w:rsidP="008506DF">
            <w:pPr>
              <w:jc w:val="center"/>
              <w:rPr>
                <w:rFonts w:ascii="Calibri" w:hAnsi="Calibri"/>
                <w:b/>
                <w:bCs/>
                <w:lang w:eastAsia="ja-JP"/>
              </w:rPr>
            </w:pPr>
            <w:r w:rsidRPr="00912996">
              <w:rPr>
                <w:rFonts w:ascii="Calibri" w:hAnsi="Calibri"/>
                <w:b/>
                <w:bCs/>
                <w:color w:val="FFFFFF"/>
                <w:lang w:eastAsia="ja-JP"/>
              </w:rPr>
              <w:t>OBIECTIV STRATEGIC O4 -  ADMINISTRAȚIE PUBLICĂ LOCALĂ PERFORMANTĂ CE SPRIJINĂ DEZVOLTAREA DURABILĂ PRIN DESCHIDERE ȘI TRANSPARENȚĂ, ÎNCURAJAREA PARTICIPĂRII TUTUROR CETĂȚENILOR ÎN PROCESELE DE DECIZIE ȘI FOLOSIREA NOILOR TEHNOLOGII</w:t>
            </w:r>
          </w:p>
        </w:tc>
      </w:tr>
      <w:tr w:rsidR="00FE43B6" w:rsidRPr="00912996" w14:paraId="666DA5CE" w14:textId="77777777" w:rsidTr="00FE43B6">
        <w:trPr>
          <w:trHeight w:val="276"/>
        </w:trPr>
        <w:tc>
          <w:tcPr>
            <w:tcW w:w="5000" w:type="pct"/>
            <w:gridSpan w:val="12"/>
            <w:shd w:val="clear" w:color="auto" w:fill="CCE188"/>
            <w:noWrap/>
            <w:hideMark/>
          </w:tcPr>
          <w:p w14:paraId="7D2A9A48" w14:textId="77777777" w:rsidR="00FE43B6" w:rsidRPr="00912996" w:rsidRDefault="00FE43B6" w:rsidP="008506DF">
            <w:pPr>
              <w:jc w:val="center"/>
              <w:rPr>
                <w:rFonts w:ascii="Calibri" w:hAnsi="Calibri"/>
                <w:b/>
                <w:bCs/>
                <w:color w:val="FFFFFF"/>
                <w:lang w:eastAsia="ja-JP"/>
              </w:rPr>
            </w:pPr>
            <w:r w:rsidRPr="00912996">
              <w:rPr>
                <w:rFonts w:ascii="Calibri" w:hAnsi="Calibri"/>
                <w:b/>
                <w:bCs/>
                <w:color w:val="FFFFFF"/>
                <w:lang w:eastAsia="ja-JP"/>
              </w:rPr>
              <w:t>OBIECTIV SPECIFIC O4.1. - Creșterea capacității administrative pentru a îmbunătăți și eficientiza mediul intern de lucru și a susține potențialul de dezvoltare al sector 2</w:t>
            </w:r>
          </w:p>
        </w:tc>
      </w:tr>
      <w:tr w:rsidR="00FE43B6" w:rsidRPr="00912996" w14:paraId="71EC9BC2" w14:textId="77777777" w:rsidTr="00FE43B6">
        <w:trPr>
          <w:trHeight w:val="276"/>
        </w:trPr>
        <w:tc>
          <w:tcPr>
            <w:tcW w:w="5000" w:type="pct"/>
            <w:gridSpan w:val="12"/>
            <w:shd w:val="clear" w:color="auto" w:fill="BBD9A0"/>
            <w:noWrap/>
            <w:hideMark/>
          </w:tcPr>
          <w:p w14:paraId="177EAE2C" w14:textId="77777777" w:rsidR="00FE43B6" w:rsidRPr="00912996" w:rsidRDefault="00FE43B6" w:rsidP="008506DF">
            <w:pPr>
              <w:jc w:val="center"/>
              <w:rPr>
                <w:rFonts w:ascii="Calibri" w:hAnsi="Calibri"/>
                <w:b/>
                <w:bCs/>
                <w:lang w:eastAsia="ja-JP"/>
              </w:rPr>
            </w:pPr>
            <w:r w:rsidRPr="00912996">
              <w:rPr>
                <w:rFonts w:ascii="Calibri" w:hAnsi="Calibri"/>
                <w:b/>
                <w:bCs/>
                <w:color w:val="FFFFFF"/>
                <w:lang w:eastAsia="ja-JP"/>
              </w:rPr>
              <w:t>D4.1.1. Managementul eficient al resursei umane, dezvoltarea competențelor și politicii de formare. Corelarea cu nevoile raportate de personalul instituției și prioritățile strategice, dar și de modificările survenite ca urmare a reorganizării administrative și nevoilor de dezvoltare ale Primăriei Sectorului 2</w:t>
            </w:r>
          </w:p>
        </w:tc>
      </w:tr>
      <w:tr w:rsidR="00FE43B6" w:rsidRPr="00912996" w14:paraId="3F526E8A" w14:textId="77777777" w:rsidTr="00FE43B6">
        <w:trPr>
          <w:trHeight w:val="800"/>
        </w:trPr>
        <w:tc>
          <w:tcPr>
            <w:tcW w:w="219" w:type="pct"/>
            <w:shd w:val="clear" w:color="auto" w:fill="F2F2F2"/>
            <w:noWrap/>
            <w:hideMark/>
          </w:tcPr>
          <w:p w14:paraId="1D205026"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7BAF8037" w14:textId="77777777" w:rsidR="00FE43B6" w:rsidRPr="00912996" w:rsidRDefault="00FE43B6" w:rsidP="00FE43B6">
            <w:pPr>
              <w:rPr>
                <w:rFonts w:ascii="Calibri" w:hAnsi="Calibri"/>
                <w:bCs/>
                <w:lang w:eastAsia="ja-JP"/>
              </w:rPr>
            </w:pPr>
            <w:r w:rsidRPr="00912996">
              <w:rPr>
                <w:rFonts w:ascii="Calibri" w:hAnsi="Calibri"/>
                <w:bCs/>
                <w:lang w:eastAsia="ja-JP"/>
              </w:rPr>
              <w:t>Elaborarea unei strategii de resurse umane pentru perioada 2023-2027 care să țină cont de nevoile și obiectivele instituției, provocările de pe piața forței de muncă și transformările digitale în desfășurare. Corelarea strategiei cu procesul de  reorganizare administrativă și nevoile de formare ale personalului ce au rezultat ca urmare a ajustării misiunii și obiectivelor departamentelor</w:t>
            </w:r>
          </w:p>
        </w:tc>
        <w:tc>
          <w:tcPr>
            <w:tcW w:w="567" w:type="pct"/>
            <w:gridSpan w:val="3"/>
            <w:shd w:val="clear" w:color="auto" w:fill="F2F2F2"/>
            <w:hideMark/>
          </w:tcPr>
          <w:p w14:paraId="16D6C9F3"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Agenția Națională a Funcționarilor Publici, consultanți externi</w:t>
            </w:r>
          </w:p>
        </w:tc>
        <w:tc>
          <w:tcPr>
            <w:tcW w:w="543" w:type="pct"/>
            <w:shd w:val="clear" w:color="auto" w:fill="F2F2F2"/>
            <w:noWrap/>
            <w:hideMark/>
          </w:tcPr>
          <w:p w14:paraId="490E2E71"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4018839C" w14:textId="77777777" w:rsidR="00FE43B6" w:rsidRPr="00912996" w:rsidRDefault="00FE43B6" w:rsidP="00FE43B6">
            <w:pPr>
              <w:rPr>
                <w:rFonts w:ascii="Calibri" w:hAnsi="Calibri"/>
                <w:bCs/>
                <w:lang w:eastAsia="ja-JP"/>
              </w:rPr>
            </w:pPr>
            <w:r w:rsidRPr="00912996">
              <w:rPr>
                <w:rFonts w:ascii="Calibri" w:hAnsi="Calibri"/>
                <w:bCs/>
                <w:lang w:eastAsia="ja-JP"/>
              </w:rPr>
              <w:t>245,000</w:t>
            </w:r>
          </w:p>
        </w:tc>
        <w:tc>
          <w:tcPr>
            <w:tcW w:w="444" w:type="pct"/>
            <w:shd w:val="clear" w:color="auto" w:fill="F2F2F2"/>
            <w:noWrap/>
            <w:hideMark/>
          </w:tcPr>
          <w:p w14:paraId="077DDA5B" w14:textId="77777777" w:rsidR="00FE43B6" w:rsidRPr="00912996" w:rsidRDefault="00FE43B6" w:rsidP="00FE43B6">
            <w:pPr>
              <w:rPr>
                <w:rFonts w:ascii="Calibri" w:hAnsi="Calibri"/>
                <w:bCs/>
                <w:lang w:eastAsia="ja-JP"/>
              </w:rPr>
            </w:pPr>
            <w:r w:rsidRPr="00912996">
              <w:rPr>
                <w:rFonts w:ascii="Calibri" w:hAnsi="Calibri"/>
                <w:bCs/>
                <w:lang w:eastAsia="ja-JP"/>
              </w:rPr>
              <w:t>50,000</w:t>
            </w:r>
          </w:p>
        </w:tc>
        <w:tc>
          <w:tcPr>
            <w:tcW w:w="380" w:type="pct"/>
            <w:shd w:val="clear" w:color="auto" w:fill="F2F2F2"/>
            <w:noWrap/>
            <w:hideMark/>
          </w:tcPr>
          <w:p w14:paraId="022E9101"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664" w:type="pct"/>
            <w:shd w:val="clear" w:color="auto" w:fill="F2F2F2"/>
            <w:hideMark/>
          </w:tcPr>
          <w:p w14:paraId="4F7D92D4"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PO Creștere Inteligentă, Digitalizare și Instrumente Financiare  2021-2027/PO Asistență Tehnică 2021-2027</w:t>
            </w:r>
          </w:p>
        </w:tc>
        <w:tc>
          <w:tcPr>
            <w:tcW w:w="444" w:type="pct"/>
            <w:shd w:val="clear" w:color="auto" w:fill="F2F2F2"/>
            <w:noWrap/>
            <w:hideMark/>
          </w:tcPr>
          <w:p w14:paraId="1F76A317"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noWrap/>
            <w:hideMark/>
          </w:tcPr>
          <w:p w14:paraId="255B6C32"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C1E279B" w14:textId="77777777" w:rsidTr="00FE43B6">
        <w:trPr>
          <w:trHeight w:val="3954"/>
        </w:trPr>
        <w:tc>
          <w:tcPr>
            <w:tcW w:w="219" w:type="pct"/>
            <w:shd w:val="clear" w:color="auto" w:fill="F2F2F2"/>
            <w:noWrap/>
            <w:hideMark/>
          </w:tcPr>
          <w:p w14:paraId="58677CB2"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1527AD55" w14:textId="77777777" w:rsidR="00FE43B6" w:rsidRPr="00912996" w:rsidRDefault="00FE43B6" w:rsidP="00FE43B6">
            <w:pPr>
              <w:rPr>
                <w:rFonts w:ascii="Calibri" w:hAnsi="Calibri"/>
                <w:bCs/>
                <w:lang w:eastAsia="ja-JP"/>
              </w:rPr>
            </w:pPr>
            <w:r w:rsidRPr="00912996">
              <w:rPr>
                <w:rFonts w:ascii="Calibri" w:hAnsi="Calibri"/>
                <w:bCs/>
                <w:lang w:eastAsia="ja-JP"/>
              </w:rPr>
              <w:t>Realizarea și implementarea unui plan de perfecționare continuă a salariaților prin cursuri. Dezvoltarea unor programe de instruire proprii care să includă și cursuri online realizate cu personal propriu acolo unde este posibil, care să asigure minimul de specializare a personalului angajat încă din primele luni ale angajării și pe parcurs</w:t>
            </w:r>
          </w:p>
        </w:tc>
        <w:tc>
          <w:tcPr>
            <w:tcW w:w="567" w:type="pct"/>
            <w:gridSpan w:val="3"/>
            <w:shd w:val="clear" w:color="auto" w:fill="F2F2F2"/>
            <w:hideMark/>
          </w:tcPr>
          <w:p w14:paraId="2E31423D"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noWrap/>
            <w:hideMark/>
          </w:tcPr>
          <w:p w14:paraId="32C6E604"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137308B7" w14:textId="77777777" w:rsidR="00FE43B6" w:rsidRPr="00912996" w:rsidRDefault="00FE43B6" w:rsidP="00FE43B6">
            <w:pPr>
              <w:rPr>
                <w:rFonts w:ascii="Calibri" w:hAnsi="Calibri"/>
                <w:bCs/>
                <w:lang w:eastAsia="ja-JP"/>
              </w:rPr>
            </w:pPr>
            <w:r w:rsidRPr="00912996">
              <w:rPr>
                <w:rFonts w:ascii="Calibri" w:hAnsi="Calibri"/>
                <w:bCs/>
                <w:lang w:eastAsia="ja-JP"/>
              </w:rPr>
              <w:t>49,000</w:t>
            </w:r>
          </w:p>
        </w:tc>
        <w:tc>
          <w:tcPr>
            <w:tcW w:w="444" w:type="pct"/>
            <w:shd w:val="clear" w:color="auto" w:fill="F2F2F2"/>
            <w:noWrap/>
            <w:hideMark/>
          </w:tcPr>
          <w:p w14:paraId="3F21FF1D" w14:textId="77777777" w:rsidR="00FE43B6" w:rsidRPr="00912996" w:rsidRDefault="00FE43B6" w:rsidP="00FE43B6">
            <w:pPr>
              <w:rPr>
                <w:rFonts w:ascii="Calibri" w:hAnsi="Calibri"/>
                <w:bCs/>
                <w:lang w:eastAsia="ja-JP"/>
              </w:rPr>
            </w:pPr>
            <w:r w:rsidRPr="00912996">
              <w:rPr>
                <w:rFonts w:ascii="Calibri" w:hAnsi="Calibri"/>
                <w:bCs/>
                <w:lang w:eastAsia="ja-JP"/>
              </w:rPr>
              <w:t>10,000</w:t>
            </w:r>
          </w:p>
        </w:tc>
        <w:tc>
          <w:tcPr>
            <w:tcW w:w="380" w:type="pct"/>
            <w:shd w:val="clear" w:color="auto" w:fill="F2F2F2"/>
            <w:noWrap/>
            <w:hideMark/>
          </w:tcPr>
          <w:p w14:paraId="1644E2F0"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6BC2DE23"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PNRR</w:t>
            </w:r>
          </w:p>
        </w:tc>
        <w:tc>
          <w:tcPr>
            <w:tcW w:w="444" w:type="pct"/>
            <w:shd w:val="clear" w:color="auto" w:fill="F2F2F2"/>
            <w:noWrap/>
            <w:hideMark/>
          </w:tcPr>
          <w:p w14:paraId="2DD0D376"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3F4D1B53"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5D16B4E4" w14:textId="77777777" w:rsidTr="00FE43B6">
        <w:trPr>
          <w:trHeight w:val="1956"/>
        </w:trPr>
        <w:tc>
          <w:tcPr>
            <w:tcW w:w="219" w:type="pct"/>
            <w:shd w:val="clear" w:color="auto" w:fill="F2F2F2"/>
            <w:noWrap/>
            <w:hideMark/>
          </w:tcPr>
          <w:p w14:paraId="7BE220B9" w14:textId="77777777" w:rsidR="00FE43B6" w:rsidRPr="00912996" w:rsidRDefault="00FE43B6" w:rsidP="00FE43B6">
            <w:pPr>
              <w:rPr>
                <w:rFonts w:ascii="Calibri" w:hAnsi="Calibri"/>
                <w:bCs/>
                <w:lang w:eastAsia="ja-JP"/>
              </w:rPr>
            </w:pPr>
            <w:r w:rsidRPr="00912996">
              <w:rPr>
                <w:rFonts w:ascii="Calibri" w:hAnsi="Calibri"/>
                <w:bCs/>
                <w:lang w:eastAsia="ja-JP"/>
              </w:rPr>
              <w:t>3</w:t>
            </w:r>
          </w:p>
        </w:tc>
        <w:tc>
          <w:tcPr>
            <w:tcW w:w="790" w:type="pct"/>
            <w:shd w:val="clear" w:color="auto" w:fill="F2F2F2"/>
            <w:hideMark/>
          </w:tcPr>
          <w:p w14:paraId="2D0E5AFC" w14:textId="3433FE4E" w:rsidR="00FE43B6" w:rsidRPr="00912996" w:rsidRDefault="00FE43B6" w:rsidP="00FE43B6">
            <w:pPr>
              <w:rPr>
                <w:rFonts w:ascii="Calibri" w:hAnsi="Calibri"/>
                <w:bCs/>
                <w:lang w:eastAsia="ja-JP"/>
              </w:rPr>
            </w:pPr>
            <w:r w:rsidRPr="00912996">
              <w:rPr>
                <w:rFonts w:ascii="Calibri" w:hAnsi="Calibri"/>
                <w:bCs/>
                <w:lang w:eastAsia="ja-JP"/>
              </w:rPr>
              <w:t>Dezvoltarea capacității instituționale de a genera și implementa proiecte în mod eficient - organizarea de cursuri de formare, schimburi de experiență etc.</w:t>
            </w:r>
          </w:p>
        </w:tc>
        <w:tc>
          <w:tcPr>
            <w:tcW w:w="567" w:type="pct"/>
            <w:gridSpan w:val="3"/>
            <w:shd w:val="clear" w:color="auto" w:fill="F2F2F2"/>
            <w:hideMark/>
          </w:tcPr>
          <w:p w14:paraId="1AC5401A"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noWrap/>
            <w:hideMark/>
          </w:tcPr>
          <w:p w14:paraId="1C38F506"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501C96E9" w14:textId="77777777" w:rsidR="00FE43B6" w:rsidRPr="00912996" w:rsidRDefault="00FE43B6" w:rsidP="00FE43B6">
            <w:pPr>
              <w:rPr>
                <w:rFonts w:ascii="Calibri" w:hAnsi="Calibri"/>
                <w:bCs/>
                <w:lang w:eastAsia="ja-JP"/>
              </w:rPr>
            </w:pPr>
            <w:r w:rsidRPr="00912996">
              <w:rPr>
                <w:rFonts w:ascii="Calibri" w:hAnsi="Calibri"/>
                <w:bCs/>
                <w:lang w:eastAsia="ja-JP"/>
              </w:rPr>
              <w:t>98,000</w:t>
            </w:r>
          </w:p>
        </w:tc>
        <w:tc>
          <w:tcPr>
            <w:tcW w:w="444" w:type="pct"/>
            <w:shd w:val="clear" w:color="auto" w:fill="F2F2F2"/>
            <w:noWrap/>
            <w:hideMark/>
          </w:tcPr>
          <w:p w14:paraId="73D6372B" w14:textId="77777777" w:rsidR="00FE43B6" w:rsidRPr="00912996" w:rsidRDefault="00FE43B6" w:rsidP="00FE43B6">
            <w:pPr>
              <w:rPr>
                <w:rFonts w:ascii="Calibri" w:hAnsi="Calibri"/>
                <w:bCs/>
                <w:lang w:eastAsia="ja-JP"/>
              </w:rPr>
            </w:pPr>
            <w:r w:rsidRPr="00912996">
              <w:rPr>
                <w:rFonts w:ascii="Calibri" w:hAnsi="Calibri"/>
                <w:bCs/>
                <w:lang w:eastAsia="ja-JP"/>
              </w:rPr>
              <w:t>20,000</w:t>
            </w:r>
          </w:p>
        </w:tc>
        <w:tc>
          <w:tcPr>
            <w:tcW w:w="380" w:type="pct"/>
            <w:shd w:val="clear" w:color="auto" w:fill="F2F2F2"/>
            <w:noWrap/>
            <w:hideMark/>
          </w:tcPr>
          <w:p w14:paraId="7C0F543E"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731FD6D1"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PNRR</w:t>
            </w:r>
          </w:p>
        </w:tc>
        <w:tc>
          <w:tcPr>
            <w:tcW w:w="444" w:type="pct"/>
            <w:shd w:val="clear" w:color="auto" w:fill="F2F2F2"/>
            <w:noWrap/>
            <w:hideMark/>
          </w:tcPr>
          <w:p w14:paraId="2780F95A"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19EABB0E"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390F19ED" w14:textId="77777777" w:rsidTr="00FE43B6">
        <w:trPr>
          <w:trHeight w:val="1070"/>
        </w:trPr>
        <w:tc>
          <w:tcPr>
            <w:tcW w:w="219" w:type="pct"/>
            <w:shd w:val="clear" w:color="auto" w:fill="F2F2F2"/>
            <w:noWrap/>
            <w:hideMark/>
          </w:tcPr>
          <w:p w14:paraId="4B26807E" w14:textId="77777777" w:rsidR="00FE43B6" w:rsidRPr="00912996" w:rsidRDefault="00FE43B6" w:rsidP="00FE43B6">
            <w:pPr>
              <w:rPr>
                <w:rFonts w:ascii="Calibri" w:hAnsi="Calibri"/>
                <w:bCs/>
                <w:lang w:eastAsia="ja-JP"/>
              </w:rPr>
            </w:pPr>
            <w:r w:rsidRPr="00912996">
              <w:rPr>
                <w:rFonts w:ascii="Calibri" w:hAnsi="Calibri"/>
                <w:bCs/>
                <w:lang w:eastAsia="ja-JP"/>
              </w:rPr>
              <w:t>4</w:t>
            </w:r>
          </w:p>
        </w:tc>
        <w:tc>
          <w:tcPr>
            <w:tcW w:w="790" w:type="pct"/>
            <w:shd w:val="clear" w:color="auto" w:fill="F2F2F2"/>
            <w:hideMark/>
          </w:tcPr>
          <w:p w14:paraId="1F1C50AB" w14:textId="77777777" w:rsidR="00FE43B6" w:rsidRPr="00912996" w:rsidRDefault="00FE43B6" w:rsidP="00FE43B6">
            <w:pPr>
              <w:rPr>
                <w:rFonts w:ascii="Calibri" w:hAnsi="Calibri"/>
                <w:bCs/>
                <w:lang w:eastAsia="ja-JP"/>
              </w:rPr>
            </w:pPr>
            <w:r w:rsidRPr="00912996">
              <w:rPr>
                <w:rFonts w:ascii="Calibri" w:hAnsi="Calibri"/>
                <w:bCs/>
                <w:lang w:eastAsia="ja-JP"/>
              </w:rPr>
              <w:t>Proiect complex de creșterea competențelor autorităților publice locale în dezvoltarea serviciilor sociale și de economie socială în comunitate prin formarea de personal și schimb de experiență internațional</w:t>
            </w:r>
          </w:p>
        </w:tc>
        <w:tc>
          <w:tcPr>
            <w:tcW w:w="567" w:type="pct"/>
            <w:gridSpan w:val="3"/>
            <w:shd w:val="clear" w:color="auto" w:fill="F2F2F2"/>
            <w:hideMark/>
          </w:tcPr>
          <w:p w14:paraId="1C4F835E"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DGASPC Sector 2</w:t>
            </w:r>
          </w:p>
        </w:tc>
        <w:tc>
          <w:tcPr>
            <w:tcW w:w="543" w:type="pct"/>
            <w:shd w:val="clear" w:color="auto" w:fill="F2F2F2"/>
            <w:noWrap/>
            <w:hideMark/>
          </w:tcPr>
          <w:p w14:paraId="316F7F6C"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1D7816A5" w14:textId="77777777" w:rsidR="00FE43B6" w:rsidRPr="00912996" w:rsidRDefault="00FE43B6" w:rsidP="00FE43B6">
            <w:pPr>
              <w:rPr>
                <w:rFonts w:ascii="Calibri" w:hAnsi="Calibri"/>
                <w:bCs/>
                <w:lang w:eastAsia="ja-JP"/>
              </w:rPr>
            </w:pPr>
            <w:r w:rsidRPr="00912996">
              <w:rPr>
                <w:rFonts w:ascii="Calibri" w:hAnsi="Calibri"/>
                <w:bCs/>
                <w:lang w:eastAsia="ja-JP"/>
              </w:rPr>
              <w:t>367,500</w:t>
            </w:r>
          </w:p>
        </w:tc>
        <w:tc>
          <w:tcPr>
            <w:tcW w:w="444" w:type="pct"/>
            <w:shd w:val="clear" w:color="auto" w:fill="F2F2F2"/>
            <w:noWrap/>
            <w:hideMark/>
          </w:tcPr>
          <w:p w14:paraId="23098B90" w14:textId="77777777" w:rsidR="00FE43B6" w:rsidRPr="00912996" w:rsidRDefault="00FE43B6" w:rsidP="00FE43B6">
            <w:pPr>
              <w:rPr>
                <w:rFonts w:ascii="Calibri" w:hAnsi="Calibri"/>
                <w:bCs/>
                <w:lang w:eastAsia="ja-JP"/>
              </w:rPr>
            </w:pPr>
            <w:r w:rsidRPr="00912996">
              <w:rPr>
                <w:rFonts w:ascii="Calibri" w:hAnsi="Calibri"/>
                <w:bCs/>
                <w:lang w:eastAsia="ja-JP"/>
              </w:rPr>
              <w:t>75,000</w:t>
            </w:r>
          </w:p>
        </w:tc>
        <w:tc>
          <w:tcPr>
            <w:tcW w:w="380" w:type="pct"/>
            <w:shd w:val="clear" w:color="auto" w:fill="F2F2F2"/>
            <w:noWrap/>
            <w:hideMark/>
          </w:tcPr>
          <w:p w14:paraId="403BE210"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545C55FB"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PNRR</w:t>
            </w:r>
          </w:p>
        </w:tc>
        <w:tc>
          <w:tcPr>
            <w:tcW w:w="444" w:type="pct"/>
            <w:shd w:val="clear" w:color="auto" w:fill="F2F2F2"/>
            <w:noWrap/>
            <w:hideMark/>
          </w:tcPr>
          <w:p w14:paraId="755B53AD"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4BA5F75A"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64DB107F" w14:textId="77777777" w:rsidTr="00FE43B6">
        <w:trPr>
          <w:trHeight w:val="1974"/>
        </w:trPr>
        <w:tc>
          <w:tcPr>
            <w:tcW w:w="219" w:type="pct"/>
            <w:shd w:val="clear" w:color="auto" w:fill="F2F2F2"/>
            <w:noWrap/>
            <w:hideMark/>
          </w:tcPr>
          <w:p w14:paraId="136277F6" w14:textId="77777777" w:rsidR="00FE43B6" w:rsidRPr="00912996" w:rsidRDefault="00FE43B6" w:rsidP="00FE43B6">
            <w:pPr>
              <w:rPr>
                <w:rFonts w:ascii="Calibri" w:hAnsi="Calibri"/>
                <w:bCs/>
                <w:lang w:eastAsia="ja-JP"/>
              </w:rPr>
            </w:pPr>
          </w:p>
        </w:tc>
        <w:tc>
          <w:tcPr>
            <w:tcW w:w="790" w:type="pct"/>
            <w:shd w:val="clear" w:color="auto" w:fill="F2F2F2"/>
            <w:hideMark/>
          </w:tcPr>
          <w:p w14:paraId="43A0CA32" w14:textId="77777777" w:rsidR="00FE43B6" w:rsidRPr="00912996" w:rsidRDefault="00FE43B6" w:rsidP="00FE43B6">
            <w:pPr>
              <w:rPr>
                <w:rFonts w:ascii="Calibri" w:hAnsi="Calibri"/>
                <w:bCs/>
                <w:lang w:eastAsia="ja-JP"/>
              </w:rPr>
            </w:pPr>
            <w:r w:rsidRPr="00912996">
              <w:rPr>
                <w:rFonts w:ascii="Calibri" w:hAnsi="Calibri"/>
                <w:bCs/>
                <w:lang w:eastAsia="ja-JP"/>
              </w:rPr>
              <w:t>Analiza programelor de formare dedicate personalului și corelarea impactului acestora cu nevoile raportate, misiunea și obiectivele instituției</w:t>
            </w:r>
          </w:p>
        </w:tc>
        <w:tc>
          <w:tcPr>
            <w:tcW w:w="567" w:type="pct"/>
            <w:gridSpan w:val="3"/>
            <w:shd w:val="clear" w:color="auto" w:fill="F2F2F2"/>
            <w:hideMark/>
          </w:tcPr>
          <w:p w14:paraId="0A79B1FD"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consultanți externi</w:t>
            </w:r>
          </w:p>
        </w:tc>
        <w:tc>
          <w:tcPr>
            <w:tcW w:w="543" w:type="pct"/>
            <w:shd w:val="clear" w:color="auto" w:fill="F2F2F2"/>
            <w:noWrap/>
            <w:hideMark/>
          </w:tcPr>
          <w:p w14:paraId="79ADF7DF"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220B125C" w14:textId="77777777" w:rsidR="00FE43B6" w:rsidRPr="00912996" w:rsidRDefault="00FE43B6" w:rsidP="00FE43B6">
            <w:pPr>
              <w:rPr>
                <w:rFonts w:ascii="Calibri" w:hAnsi="Calibri"/>
                <w:bCs/>
                <w:lang w:eastAsia="ja-JP"/>
              </w:rPr>
            </w:pPr>
            <w:r w:rsidRPr="00912996">
              <w:rPr>
                <w:rFonts w:ascii="Calibri" w:hAnsi="Calibri"/>
                <w:bCs/>
                <w:lang w:eastAsia="ja-JP"/>
              </w:rPr>
              <w:t>147,000</w:t>
            </w:r>
          </w:p>
        </w:tc>
        <w:tc>
          <w:tcPr>
            <w:tcW w:w="444" w:type="pct"/>
            <w:shd w:val="clear" w:color="auto" w:fill="F2F2F2"/>
            <w:noWrap/>
            <w:hideMark/>
          </w:tcPr>
          <w:p w14:paraId="1DCC2013" w14:textId="77777777" w:rsidR="00FE43B6" w:rsidRPr="00912996" w:rsidRDefault="00FE43B6" w:rsidP="00FE43B6">
            <w:pPr>
              <w:rPr>
                <w:rFonts w:ascii="Calibri" w:hAnsi="Calibri"/>
                <w:bCs/>
                <w:lang w:eastAsia="ja-JP"/>
              </w:rPr>
            </w:pPr>
            <w:r w:rsidRPr="00912996">
              <w:rPr>
                <w:rFonts w:ascii="Calibri" w:hAnsi="Calibri"/>
                <w:bCs/>
                <w:lang w:eastAsia="ja-JP"/>
              </w:rPr>
              <w:t>30,000</w:t>
            </w:r>
          </w:p>
        </w:tc>
        <w:tc>
          <w:tcPr>
            <w:tcW w:w="380" w:type="pct"/>
            <w:shd w:val="clear" w:color="auto" w:fill="F2F2F2"/>
            <w:noWrap/>
            <w:hideMark/>
          </w:tcPr>
          <w:p w14:paraId="3AF74BC6"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664" w:type="pct"/>
            <w:shd w:val="clear" w:color="auto" w:fill="F2F2F2"/>
            <w:hideMark/>
          </w:tcPr>
          <w:p w14:paraId="3C22C0B9" w14:textId="77777777" w:rsidR="00FE43B6" w:rsidRPr="00912996" w:rsidRDefault="00FE43B6" w:rsidP="00FE43B6">
            <w:pPr>
              <w:rPr>
                <w:rFonts w:ascii="Calibri" w:hAnsi="Calibri"/>
                <w:bCs/>
                <w:lang w:eastAsia="ja-JP"/>
              </w:rPr>
            </w:pPr>
            <w:r w:rsidRPr="00912996">
              <w:rPr>
                <w:rFonts w:ascii="Calibri" w:hAnsi="Calibri"/>
                <w:bCs/>
                <w:lang w:eastAsia="ja-JP"/>
              </w:rPr>
              <w:t xml:space="preserve">Bugetul local, CFM 2021-2027, PO Creștere Inteligentă, Digitalizare și Instrumente Financiare  2021-2027, PNRR </w:t>
            </w:r>
          </w:p>
        </w:tc>
        <w:tc>
          <w:tcPr>
            <w:tcW w:w="444" w:type="pct"/>
            <w:shd w:val="clear" w:color="auto" w:fill="F2F2F2"/>
            <w:noWrap/>
            <w:hideMark/>
          </w:tcPr>
          <w:p w14:paraId="1C485239"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noWrap/>
            <w:hideMark/>
          </w:tcPr>
          <w:p w14:paraId="1D872675"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2A06C2A" w14:textId="77777777" w:rsidTr="00FE43B6">
        <w:trPr>
          <w:trHeight w:val="2721"/>
        </w:trPr>
        <w:tc>
          <w:tcPr>
            <w:tcW w:w="219" w:type="pct"/>
            <w:shd w:val="clear" w:color="auto" w:fill="F2F2F2"/>
            <w:noWrap/>
            <w:hideMark/>
          </w:tcPr>
          <w:p w14:paraId="4314C89B" w14:textId="77777777" w:rsidR="00FE43B6" w:rsidRPr="00912996" w:rsidRDefault="00FE43B6" w:rsidP="00FE43B6">
            <w:pPr>
              <w:rPr>
                <w:rFonts w:ascii="Calibri" w:hAnsi="Calibri"/>
                <w:bCs/>
                <w:lang w:eastAsia="ja-JP"/>
              </w:rPr>
            </w:pPr>
            <w:r w:rsidRPr="00912996">
              <w:rPr>
                <w:rFonts w:ascii="Calibri" w:hAnsi="Calibri"/>
                <w:bCs/>
                <w:lang w:eastAsia="ja-JP"/>
              </w:rPr>
              <w:t>5</w:t>
            </w:r>
          </w:p>
        </w:tc>
        <w:tc>
          <w:tcPr>
            <w:tcW w:w="790" w:type="pct"/>
            <w:shd w:val="clear" w:color="auto" w:fill="F2F2F2"/>
            <w:hideMark/>
          </w:tcPr>
          <w:p w14:paraId="0F60AE70" w14:textId="77777777" w:rsidR="00FE43B6" w:rsidRPr="00912996" w:rsidRDefault="00FE43B6" w:rsidP="00FE43B6">
            <w:pPr>
              <w:rPr>
                <w:rFonts w:ascii="Calibri" w:hAnsi="Calibri"/>
                <w:bCs/>
                <w:lang w:eastAsia="ja-JP"/>
              </w:rPr>
            </w:pPr>
            <w:r w:rsidRPr="00912996">
              <w:rPr>
                <w:rFonts w:ascii="Calibri" w:hAnsi="Calibri"/>
                <w:bCs/>
                <w:lang w:eastAsia="ja-JP"/>
              </w:rPr>
              <w:t>Evaluarea anuală prin intermediul unor chestionare anonime a gradului de satisfacție al personalului instituției față de mediul de lucru, proceduri de lucru, programe de formare, resurse interne disponibile</w:t>
            </w:r>
          </w:p>
        </w:tc>
        <w:tc>
          <w:tcPr>
            <w:tcW w:w="567" w:type="pct"/>
            <w:gridSpan w:val="3"/>
            <w:shd w:val="clear" w:color="auto" w:fill="F2F2F2"/>
            <w:hideMark/>
          </w:tcPr>
          <w:p w14:paraId="0B10C726"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noWrap/>
            <w:hideMark/>
          </w:tcPr>
          <w:p w14:paraId="1DB4A2B9"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35D3433D" w14:textId="77777777" w:rsidR="00FE43B6" w:rsidRPr="00912996" w:rsidRDefault="00FE43B6" w:rsidP="00FE43B6">
            <w:pPr>
              <w:rPr>
                <w:rFonts w:ascii="Calibri" w:hAnsi="Calibri"/>
                <w:bCs/>
                <w:lang w:eastAsia="ja-JP"/>
              </w:rPr>
            </w:pPr>
            <w:r w:rsidRPr="00912996">
              <w:rPr>
                <w:rFonts w:ascii="Calibri" w:hAnsi="Calibri"/>
                <w:bCs/>
                <w:lang w:eastAsia="ja-JP"/>
              </w:rPr>
              <w:t>49,000</w:t>
            </w:r>
          </w:p>
        </w:tc>
        <w:tc>
          <w:tcPr>
            <w:tcW w:w="444" w:type="pct"/>
            <w:shd w:val="clear" w:color="auto" w:fill="F2F2F2"/>
            <w:noWrap/>
            <w:hideMark/>
          </w:tcPr>
          <w:p w14:paraId="04C73F33" w14:textId="77777777" w:rsidR="00FE43B6" w:rsidRPr="00912996" w:rsidRDefault="00FE43B6" w:rsidP="00FE43B6">
            <w:pPr>
              <w:rPr>
                <w:rFonts w:ascii="Calibri" w:hAnsi="Calibri"/>
                <w:bCs/>
                <w:lang w:eastAsia="ja-JP"/>
              </w:rPr>
            </w:pPr>
            <w:r w:rsidRPr="00912996">
              <w:rPr>
                <w:rFonts w:ascii="Calibri" w:hAnsi="Calibri"/>
                <w:bCs/>
                <w:lang w:eastAsia="ja-JP"/>
              </w:rPr>
              <w:t>10,000</w:t>
            </w:r>
          </w:p>
        </w:tc>
        <w:tc>
          <w:tcPr>
            <w:tcW w:w="380" w:type="pct"/>
            <w:shd w:val="clear" w:color="auto" w:fill="F2F2F2"/>
            <w:noWrap/>
            <w:hideMark/>
          </w:tcPr>
          <w:p w14:paraId="6AD0384E"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510CEBB1"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noWrap/>
            <w:hideMark/>
          </w:tcPr>
          <w:p w14:paraId="77BAB9BE"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noWrap/>
            <w:hideMark/>
          </w:tcPr>
          <w:p w14:paraId="5174A310"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3A6CE9E0" w14:textId="77777777" w:rsidTr="00FE43B6">
        <w:trPr>
          <w:trHeight w:val="1668"/>
        </w:trPr>
        <w:tc>
          <w:tcPr>
            <w:tcW w:w="219" w:type="pct"/>
            <w:shd w:val="clear" w:color="auto" w:fill="F2F2F2"/>
            <w:noWrap/>
            <w:hideMark/>
          </w:tcPr>
          <w:p w14:paraId="5F624872" w14:textId="77777777" w:rsidR="00FE43B6" w:rsidRPr="00912996" w:rsidRDefault="00FE43B6" w:rsidP="00FE43B6">
            <w:pPr>
              <w:rPr>
                <w:rFonts w:ascii="Calibri" w:hAnsi="Calibri"/>
                <w:bCs/>
                <w:lang w:eastAsia="ja-JP"/>
              </w:rPr>
            </w:pPr>
            <w:r w:rsidRPr="00912996">
              <w:rPr>
                <w:rFonts w:ascii="Calibri" w:hAnsi="Calibri"/>
                <w:bCs/>
                <w:lang w:eastAsia="ja-JP"/>
              </w:rPr>
              <w:t>6</w:t>
            </w:r>
          </w:p>
        </w:tc>
        <w:tc>
          <w:tcPr>
            <w:tcW w:w="790" w:type="pct"/>
            <w:shd w:val="clear" w:color="auto" w:fill="F2F2F2"/>
            <w:hideMark/>
          </w:tcPr>
          <w:p w14:paraId="5882184E" w14:textId="77777777" w:rsidR="00FE43B6" w:rsidRPr="00912996" w:rsidRDefault="00FE43B6" w:rsidP="00FE43B6">
            <w:pPr>
              <w:rPr>
                <w:rFonts w:ascii="Calibri" w:hAnsi="Calibri"/>
                <w:bCs/>
                <w:lang w:eastAsia="ja-JP"/>
              </w:rPr>
            </w:pPr>
            <w:r w:rsidRPr="00912996">
              <w:rPr>
                <w:rFonts w:ascii="Calibri" w:hAnsi="Calibri"/>
                <w:bCs/>
                <w:lang w:eastAsia="ja-JP"/>
              </w:rPr>
              <w:t>Elaborarea unei analize interne privind impactul reorganizării administrative și nevoile și provocările raportate de personal</w:t>
            </w:r>
          </w:p>
        </w:tc>
        <w:tc>
          <w:tcPr>
            <w:tcW w:w="567" w:type="pct"/>
            <w:gridSpan w:val="3"/>
            <w:shd w:val="clear" w:color="auto" w:fill="F2F2F2"/>
            <w:hideMark/>
          </w:tcPr>
          <w:p w14:paraId="11EB3F7B"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noWrap/>
            <w:hideMark/>
          </w:tcPr>
          <w:p w14:paraId="08EF0EAE"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5612D724"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noWrap/>
            <w:hideMark/>
          </w:tcPr>
          <w:p w14:paraId="2BD4672E"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noWrap/>
            <w:hideMark/>
          </w:tcPr>
          <w:p w14:paraId="0E872728"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71F5DC08"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noWrap/>
            <w:hideMark/>
          </w:tcPr>
          <w:p w14:paraId="00070915"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noWrap/>
            <w:hideMark/>
          </w:tcPr>
          <w:p w14:paraId="28F42CF1"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634209A0" w14:textId="77777777" w:rsidTr="00FE43B6">
        <w:trPr>
          <w:trHeight w:val="1160"/>
        </w:trPr>
        <w:tc>
          <w:tcPr>
            <w:tcW w:w="219" w:type="pct"/>
            <w:shd w:val="clear" w:color="auto" w:fill="F2F2F2"/>
            <w:noWrap/>
            <w:hideMark/>
          </w:tcPr>
          <w:p w14:paraId="7F55130F" w14:textId="77777777" w:rsidR="00FE43B6" w:rsidRPr="00912996" w:rsidRDefault="00FE43B6" w:rsidP="00FE43B6">
            <w:pPr>
              <w:rPr>
                <w:rFonts w:ascii="Calibri" w:hAnsi="Calibri"/>
                <w:bCs/>
                <w:lang w:eastAsia="ja-JP"/>
              </w:rPr>
            </w:pPr>
            <w:r w:rsidRPr="00912996">
              <w:rPr>
                <w:rFonts w:ascii="Calibri" w:hAnsi="Calibri"/>
                <w:bCs/>
                <w:lang w:eastAsia="ja-JP"/>
              </w:rPr>
              <w:t>7</w:t>
            </w:r>
          </w:p>
        </w:tc>
        <w:tc>
          <w:tcPr>
            <w:tcW w:w="790" w:type="pct"/>
            <w:shd w:val="clear" w:color="auto" w:fill="F2F2F2"/>
            <w:hideMark/>
          </w:tcPr>
          <w:p w14:paraId="7DC91ABC" w14:textId="77777777" w:rsidR="00FE43B6" w:rsidRPr="00912996" w:rsidRDefault="00FE43B6" w:rsidP="00FE43B6">
            <w:pPr>
              <w:rPr>
                <w:rFonts w:ascii="Calibri" w:hAnsi="Calibri"/>
                <w:bCs/>
                <w:lang w:eastAsia="ja-JP"/>
              </w:rPr>
            </w:pPr>
            <w:r w:rsidRPr="00912996">
              <w:rPr>
                <w:rFonts w:ascii="Calibri" w:hAnsi="Calibri"/>
                <w:bCs/>
                <w:lang w:eastAsia="ja-JP"/>
              </w:rPr>
              <w:t>Extinderea programelor de practică și de internship pentru a putea răspunde dificultăților de atragere a forței de muncă în special în domeniile identificate ca prioritare</w:t>
            </w:r>
          </w:p>
        </w:tc>
        <w:tc>
          <w:tcPr>
            <w:tcW w:w="567" w:type="pct"/>
            <w:gridSpan w:val="3"/>
            <w:shd w:val="clear" w:color="auto" w:fill="F2F2F2"/>
            <w:hideMark/>
          </w:tcPr>
          <w:p w14:paraId="27139AE8"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unități de învățământ superior, mediul asociativ</w:t>
            </w:r>
          </w:p>
        </w:tc>
        <w:tc>
          <w:tcPr>
            <w:tcW w:w="543" w:type="pct"/>
            <w:shd w:val="clear" w:color="auto" w:fill="F2F2F2"/>
            <w:noWrap/>
            <w:hideMark/>
          </w:tcPr>
          <w:p w14:paraId="362A6C75"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148F847F" w14:textId="77777777" w:rsidR="00FE43B6" w:rsidRPr="00912996" w:rsidRDefault="00FE43B6" w:rsidP="00FE43B6">
            <w:pPr>
              <w:rPr>
                <w:rFonts w:ascii="Calibri" w:hAnsi="Calibri"/>
                <w:bCs/>
                <w:lang w:eastAsia="ja-JP"/>
              </w:rPr>
            </w:pPr>
            <w:r w:rsidRPr="00912996">
              <w:rPr>
                <w:rFonts w:ascii="Calibri" w:hAnsi="Calibri"/>
                <w:bCs/>
                <w:lang w:eastAsia="ja-JP"/>
              </w:rPr>
              <w:t>98,000</w:t>
            </w:r>
          </w:p>
        </w:tc>
        <w:tc>
          <w:tcPr>
            <w:tcW w:w="444" w:type="pct"/>
            <w:shd w:val="clear" w:color="auto" w:fill="F2F2F2"/>
            <w:noWrap/>
            <w:hideMark/>
          </w:tcPr>
          <w:p w14:paraId="60DAB442" w14:textId="77777777" w:rsidR="00FE43B6" w:rsidRPr="00912996" w:rsidRDefault="00FE43B6" w:rsidP="00FE43B6">
            <w:pPr>
              <w:rPr>
                <w:rFonts w:ascii="Calibri" w:hAnsi="Calibri"/>
                <w:bCs/>
                <w:lang w:eastAsia="ja-JP"/>
              </w:rPr>
            </w:pPr>
            <w:r w:rsidRPr="00912996">
              <w:rPr>
                <w:rFonts w:ascii="Calibri" w:hAnsi="Calibri"/>
                <w:bCs/>
                <w:lang w:eastAsia="ja-JP"/>
              </w:rPr>
              <w:t>20,000</w:t>
            </w:r>
          </w:p>
        </w:tc>
        <w:tc>
          <w:tcPr>
            <w:tcW w:w="380" w:type="pct"/>
            <w:shd w:val="clear" w:color="auto" w:fill="F2F2F2"/>
            <w:noWrap/>
            <w:hideMark/>
          </w:tcPr>
          <w:p w14:paraId="414223B0"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215FFD5E"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noWrap/>
            <w:hideMark/>
          </w:tcPr>
          <w:p w14:paraId="7A87BE3C"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noWrap/>
            <w:hideMark/>
          </w:tcPr>
          <w:p w14:paraId="449A01C0"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1FF0A50D" w14:textId="77777777" w:rsidTr="00FE43B6">
        <w:trPr>
          <w:trHeight w:val="4404"/>
        </w:trPr>
        <w:tc>
          <w:tcPr>
            <w:tcW w:w="219" w:type="pct"/>
            <w:shd w:val="clear" w:color="auto" w:fill="F2F2F2"/>
            <w:noWrap/>
            <w:hideMark/>
          </w:tcPr>
          <w:p w14:paraId="77782806" w14:textId="77777777" w:rsidR="00FE43B6" w:rsidRPr="00912996" w:rsidRDefault="00FE43B6" w:rsidP="00FE43B6">
            <w:pPr>
              <w:rPr>
                <w:rFonts w:ascii="Calibri" w:hAnsi="Calibri"/>
                <w:bCs/>
                <w:lang w:eastAsia="ja-JP"/>
              </w:rPr>
            </w:pPr>
            <w:r w:rsidRPr="00912996">
              <w:rPr>
                <w:rFonts w:ascii="Calibri" w:hAnsi="Calibri"/>
                <w:bCs/>
                <w:lang w:eastAsia="ja-JP"/>
              </w:rPr>
              <w:t>8</w:t>
            </w:r>
          </w:p>
        </w:tc>
        <w:tc>
          <w:tcPr>
            <w:tcW w:w="790" w:type="pct"/>
            <w:shd w:val="clear" w:color="auto" w:fill="F2F2F2"/>
            <w:hideMark/>
          </w:tcPr>
          <w:p w14:paraId="57A45368" w14:textId="6D143A5E" w:rsidR="00FE43B6" w:rsidRPr="00912996" w:rsidRDefault="00FE43B6" w:rsidP="00FE43B6">
            <w:pPr>
              <w:rPr>
                <w:rFonts w:ascii="Calibri" w:hAnsi="Calibri"/>
                <w:bCs/>
                <w:lang w:eastAsia="ja-JP"/>
              </w:rPr>
            </w:pPr>
            <w:r w:rsidRPr="00912996">
              <w:rPr>
                <w:rFonts w:ascii="Calibri" w:hAnsi="Calibri"/>
                <w:bCs/>
                <w:lang w:eastAsia="ja-JP"/>
              </w:rPr>
              <w:t>Crearea de parteneriate cu unitățile de învățământ superior pentru formarea și atragerea forței de muncă pe termen mediu și lung. Stabilirea unei strategii și inițierea de parteneriate pentru atragerea de personal calificat pentru domeniile cu posturi vacante, dar și pentru acele poziții cerute pe piața forței de muncă și dificil de atras în sistemul public</w:t>
            </w:r>
          </w:p>
        </w:tc>
        <w:tc>
          <w:tcPr>
            <w:tcW w:w="567" w:type="pct"/>
            <w:gridSpan w:val="3"/>
            <w:shd w:val="clear" w:color="auto" w:fill="F2F2F2"/>
            <w:hideMark/>
          </w:tcPr>
          <w:p w14:paraId="5620A5E8"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unități de învățământ superior, mediul asociativ</w:t>
            </w:r>
          </w:p>
        </w:tc>
        <w:tc>
          <w:tcPr>
            <w:tcW w:w="543" w:type="pct"/>
            <w:shd w:val="clear" w:color="auto" w:fill="F2F2F2"/>
            <w:noWrap/>
            <w:hideMark/>
          </w:tcPr>
          <w:p w14:paraId="3D89890D"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605B9468"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noWrap/>
            <w:hideMark/>
          </w:tcPr>
          <w:p w14:paraId="34594E12"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noWrap/>
            <w:hideMark/>
          </w:tcPr>
          <w:p w14:paraId="6114DEC8"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78B37B1D"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noWrap/>
            <w:hideMark/>
          </w:tcPr>
          <w:p w14:paraId="18870D49"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noWrap/>
            <w:hideMark/>
          </w:tcPr>
          <w:p w14:paraId="101565D7"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23145DA0" w14:textId="77777777" w:rsidTr="00FE43B6">
        <w:trPr>
          <w:trHeight w:val="2469"/>
        </w:trPr>
        <w:tc>
          <w:tcPr>
            <w:tcW w:w="219" w:type="pct"/>
            <w:shd w:val="clear" w:color="auto" w:fill="F2F2F2"/>
            <w:noWrap/>
          </w:tcPr>
          <w:p w14:paraId="6DF8A32F" w14:textId="77777777" w:rsidR="00FE43B6" w:rsidRPr="00912996" w:rsidRDefault="00FE43B6" w:rsidP="00FE43B6">
            <w:pPr>
              <w:rPr>
                <w:rFonts w:ascii="Calibri" w:hAnsi="Calibri"/>
                <w:bCs/>
                <w:lang w:eastAsia="ja-JP"/>
              </w:rPr>
            </w:pPr>
            <w:r w:rsidRPr="00912996">
              <w:rPr>
                <w:rFonts w:ascii="Calibri" w:hAnsi="Calibri"/>
                <w:bCs/>
                <w:lang w:eastAsia="ja-JP"/>
              </w:rPr>
              <w:t>9</w:t>
            </w:r>
          </w:p>
        </w:tc>
        <w:tc>
          <w:tcPr>
            <w:tcW w:w="790" w:type="pct"/>
            <w:shd w:val="clear" w:color="auto" w:fill="F2F2F2"/>
          </w:tcPr>
          <w:p w14:paraId="76993C81" w14:textId="77777777" w:rsidR="00FE43B6" w:rsidRPr="00912996" w:rsidRDefault="00FE43B6" w:rsidP="00FE43B6">
            <w:pPr>
              <w:rPr>
                <w:rFonts w:ascii="Calibri" w:hAnsi="Calibri"/>
                <w:bCs/>
                <w:lang w:eastAsia="ja-JP"/>
              </w:rPr>
            </w:pPr>
            <w:r w:rsidRPr="00912996">
              <w:rPr>
                <w:rFonts w:ascii="Calibri" w:hAnsi="Calibri"/>
                <w:bCs/>
                <w:lang w:eastAsia="ja-JP"/>
              </w:rPr>
              <w:t>Organizarea de sesiuni de mentoring/coaching/training de dezvoltare personală și de competențe transversale ale personalului care lucrează cu persoane vulnerabile</w:t>
            </w:r>
          </w:p>
        </w:tc>
        <w:tc>
          <w:tcPr>
            <w:tcW w:w="567" w:type="pct"/>
            <w:gridSpan w:val="3"/>
            <w:shd w:val="clear" w:color="auto" w:fill="F2F2F2"/>
          </w:tcPr>
          <w:p w14:paraId="6FB31992"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ONG-uri</w:t>
            </w:r>
          </w:p>
        </w:tc>
        <w:tc>
          <w:tcPr>
            <w:tcW w:w="543" w:type="pct"/>
            <w:shd w:val="clear" w:color="auto" w:fill="F2F2F2"/>
            <w:noWrap/>
          </w:tcPr>
          <w:p w14:paraId="44E8E7DB"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tcPr>
          <w:p w14:paraId="3613931A"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noWrap/>
          </w:tcPr>
          <w:p w14:paraId="27FF1E6B"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noWrap/>
          </w:tcPr>
          <w:p w14:paraId="013EBDC6" w14:textId="77777777" w:rsidR="00FE43B6" w:rsidRPr="00912996" w:rsidRDefault="00FE43B6" w:rsidP="00FE43B6">
            <w:pPr>
              <w:rPr>
                <w:rFonts w:ascii="Calibri" w:hAnsi="Calibri"/>
                <w:bCs/>
                <w:lang w:eastAsia="ja-JP"/>
              </w:rPr>
            </w:pPr>
            <w:r w:rsidRPr="00912996">
              <w:rPr>
                <w:rFonts w:ascii="Calibri" w:hAnsi="Calibri"/>
                <w:bCs/>
                <w:lang w:eastAsia="ja-JP"/>
              </w:rPr>
              <w:t>2022 - 2027</w:t>
            </w:r>
          </w:p>
        </w:tc>
        <w:tc>
          <w:tcPr>
            <w:tcW w:w="664" w:type="pct"/>
            <w:shd w:val="clear" w:color="auto" w:fill="F2F2F2"/>
          </w:tcPr>
          <w:p w14:paraId="5F0312AB"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noWrap/>
          </w:tcPr>
          <w:p w14:paraId="13F01DBD"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noWrap/>
          </w:tcPr>
          <w:p w14:paraId="7DB1A503" w14:textId="77777777" w:rsidR="00FE43B6" w:rsidRPr="00912996" w:rsidRDefault="00FE43B6" w:rsidP="00FE43B6">
            <w:pPr>
              <w:rPr>
                <w:rFonts w:ascii="Calibri" w:hAnsi="Calibri"/>
                <w:bCs/>
                <w:lang w:eastAsia="ja-JP"/>
              </w:rPr>
            </w:pPr>
            <w:r w:rsidRPr="00912996">
              <w:rPr>
                <w:rFonts w:ascii="Calibri" w:hAnsi="Calibri"/>
                <w:bCs/>
                <w:lang w:eastAsia="ja-JP"/>
              </w:rPr>
              <w:t>Propuneri de la consultările publice</w:t>
            </w:r>
          </w:p>
        </w:tc>
      </w:tr>
      <w:tr w:rsidR="00FE43B6" w:rsidRPr="00912996" w14:paraId="721F5FF7" w14:textId="77777777" w:rsidTr="00FE43B6">
        <w:trPr>
          <w:trHeight w:val="2199"/>
        </w:trPr>
        <w:tc>
          <w:tcPr>
            <w:tcW w:w="219" w:type="pct"/>
            <w:shd w:val="clear" w:color="auto" w:fill="F2F2F2"/>
            <w:noWrap/>
          </w:tcPr>
          <w:p w14:paraId="5F588E94" w14:textId="77777777" w:rsidR="00FE43B6" w:rsidRPr="00912996" w:rsidRDefault="00FE43B6" w:rsidP="00FE43B6">
            <w:pPr>
              <w:rPr>
                <w:rFonts w:ascii="Calibri" w:hAnsi="Calibri"/>
                <w:bCs/>
                <w:lang w:eastAsia="ja-JP"/>
              </w:rPr>
            </w:pPr>
            <w:r>
              <w:rPr>
                <w:rFonts w:ascii="Calibri" w:hAnsi="Calibri"/>
                <w:bCs/>
                <w:lang w:eastAsia="ja-JP"/>
              </w:rPr>
              <w:t>10</w:t>
            </w:r>
          </w:p>
        </w:tc>
        <w:tc>
          <w:tcPr>
            <w:tcW w:w="790" w:type="pct"/>
            <w:shd w:val="clear" w:color="auto" w:fill="F2F2F2"/>
          </w:tcPr>
          <w:p w14:paraId="63629A3B" w14:textId="77777777" w:rsidR="00FE43B6" w:rsidRPr="00912996" w:rsidRDefault="00FE43B6" w:rsidP="00FE43B6">
            <w:pPr>
              <w:rPr>
                <w:rFonts w:ascii="Calibri" w:hAnsi="Calibri"/>
                <w:bCs/>
                <w:lang w:eastAsia="ja-JP"/>
              </w:rPr>
            </w:pPr>
            <w:r w:rsidRPr="005A55B1">
              <w:rPr>
                <w:rFonts w:ascii="Calibri" w:hAnsi="Calibri"/>
                <w:bCs/>
                <w:lang w:eastAsia="ja-JP"/>
              </w:rPr>
              <w:t>Menținerea certificării Sistemului de management implementat la nivelul DGVBL S2-conform standardelor ISO 9001, ISO 14001 şi ISO 27001</w:t>
            </w:r>
          </w:p>
        </w:tc>
        <w:tc>
          <w:tcPr>
            <w:tcW w:w="567" w:type="pct"/>
            <w:gridSpan w:val="3"/>
            <w:shd w:val="clear" w:color="auto" w:fill="F2F2F2"/>
          </w:tcPr>
          <w:p w14:paraId="58C3BACD" w14:textId="77777777" w:rsidR="00FE43B6" w:rsidRPr="00912996" w:rsidRDefault="00FE43B6" w:rsidP="00FE43B6">
            <w:pPr>
              <w:rPr>
                <w:rFonts w:ascii="Calibri" w:hAnsi="Calibri"/>
                <w:bCs/>
                <w:lang w:eastAsia="ja-JP"/>
              </w:rPr>
            </w:pPr>
            <w:r w:rsidRPr="005A55B1">
              <w:rPr>
                <w:rFonts w:ascii="Calibri" w:hAnsi="Calibri"/>
                <w:bCs/>
                <w:lang w:eastAsia="ja-JP"/>
              </w:rPr>
              <w:t>Direcția Generală Venituri Buget Local Sector 2</w:t>
            </w:r>
          </w:p>
        </w:tc>
        <w:tc>
          <w:tcPr>
            <w:tcW w:w="543" w:type="pct"/>
            <w:shd w:val="clear" w:color="auto" w:fill="F2F2F2"/>
            <w:noWrap/>
          </w:tcPr>
          <w:p w14:paraId="67E21D7E" w14:textId="77777777" w:rsidR="00FE43B6" w:rsidRPr="005A55B1" w:rsidRDefault="00FE43B6" w:rsidP="00FE43B6">
            <w:pPr>
              <w:rPr>
                <w:rFonts w:ascii="Calibri" w:hAnsi="Calibri"/>
                <w:bCs/>
                <w:lang w:eastAsia="ja-JP"/>
              </w:rPr>
            </w:pPr>
            <w:r>
              <w:rPr>
                <w:rFonts w:ascii="Calibri" w:hAnsi="Calibri"/>
                <w:bCs/>
                <w:lang w:eastAsia="ja-JP"/>
              </w:rPr>
              <w:t>În implementare</w:t>
            </w:r>
          </w:p>
        </w:tc>
        <w:tc>
          <w:tcPr>
            <w:tcW w:w="444" w:type="pct"/>
            <w:shd w:val="clear" w:color="auto" w:fill="F2F2F2"/>
            <w:noWrap/>
          </w:tcPr>
          <w:p w14:paraId="68924E80" w14:textId="77777777" w:rsidR="00FE43B6" w:rsidRPr="00912996" w:rsidRDefault="00FE43B6" w:rsidP="00FE43B6">
            <w:pPr>
              <w:rPr>
                <w:rFonts w:ascii="Calibri" w:hAnsi="Calibri"/>
                <w:bCs/>
                <w:lang w:eastAsia="ja-JP"/>
              </w:rPr>
            </w:pPr>
            <w:r w:rsidRPr="005A55B1">
              <w:rPr>
                <w:rFonts w:ascii="Calibri" w:hAnsi="Calibri"/>
                <w:bCs/>
                <w:lang w:eastAsia="ja-JP"/>
              </w:rPr>
              <w:t>12,000</w:t>
            </w:r>
          </w:p>
        </w:tc>
        <w:tc>
          <w:tcPr>
            <w:tcW w:w="444" w:type="pct"/>
            <w:shd w:val="clear" w:color="auto" w:fill="F2F2F2"/>
            <w:noWrap/>
          </w:tcPr>
          <w:p w14:paraId="4FDA7BA3" w14:textId="77777777" w:rsidR="00FE43B6" w:rsidRPr="00912996" w:rsidRDefault="00FE43B6" w:rsidP="00FE43B6">
            <w:pPr>
              <w:rPr>
                <w:rFonts w:ascii="Calibri" w:hAnsi="Calibri"/>
                <w:bCs/>
                <w:lang w:eastAsia="ja-JP"/>
              </w:rPr>
            </w:pPr>
            <w:r w:rsidRPr="005A55B1">
              <w:rPr>
                <w:rFonts w:ascii="Calibri" w:hAnsi="Calibri"/>
                <w:bCs/>
                <w:lang w:eastAsia="ja-JP"/>
              </w:rPr>
              <w:t>2,453</w:t>
            </w:r>
          </w:p>
        </w:tc>
        <w:tc>
          <w:tcPr>
            <w:tcW w:w="380" w:type="pct"/>
            <w:shd w:val="clear" w:color="auto" w:fill="F2F2F2"/>
            <w:noWrap/>
          </w:tcPr>
          <w:p w14:paraId="0BC5EEB7" w14:textId="77777777" w:rsidR="00FE43B6" w:rsidRPr="00912996" w:rsidRDefault="00FE43B6" w:rsidP="00FE43B6">
            <w:pPr>
              <w:rPr>
                <w:rFonts w:ascii="Calibri" w:hAnsi="Calibri"/>
                <w:bCs/>
                <w:lang w:eastAsia="ja-JP"/>
              </w:rPr>
            </w:pPr>
            <w:r w:rsidRPr="005A55B1">
              <w:rPr>
                <w:rFonts w:ascii="Calibri" w:hAnsi="Calibri"/>
                <w:bCs/>
                <w:lang w:eastAsia="ja-JP"/>
              </w:rPr>
              <w:t>2023</w:t>
            </w:r>
          </w:p>
        </w:tc>
        <w:tc>
          <w:tcPr>
            <w:tcW w:w="664" w:type="pct"/>
            <w:shd w:val="clear" w:color="auto" w:fill="F2F2F2"/>
          </w:tcPr>
          <w:p w14:paraId="4363956F" w14:textId="77777777" w:rsidR="00FE43B6" w:rsidRPr="00912996" w:rsidRDefault="00FE43B6" w:rsidP="00FE43B6">
            <w:pPr>
              <w:rPr>
                <w:rFonts w:ascii="Calibri" w:hAnsi="Calibri"/>
                <w:bCs/>
                <w:lang w:eastAsia="ja-JP"/>
              </w:rPr>
            </w:pPr>
            <w:r w:rsidRPr="005A55B1">
              <w:rPr>
                <w:rFonts w:ascii="Calibri" w:hAnsi="Calibri"/>
                <w:bCs/>
                <w:lang w:eastAsia="ja-JP"/>
              </w:rPr>
              <w:t>Bugetul local</w:t>
            </w:r>
          </w:p>
        </w:tc>
        <w:tc>
          <w:tcPr>
            <w:tcW w:w="444" w:type="pct"/>
            <w:shd w:val="clear" w:color="auto" w:fill="F2F2F2"/>
            <w:noWrap/>
          </w:tcPr>
          <w:p w14:paraId="5E688A94" w14:textId="77777777" w:rsidR="00FE43B6" w:rsidRPr="00912996" w:rsidRDefault="00FE43B6" w:rsidP="00FE43B6">
            <w:pPr>
              <w:rPr>
                <w:rFonts w:ascii="Calibri" w:hAnsi="Calibri"/>
                <w:bCs/>
                <w:lang w:eastAsia="ja-JP"/>
              </w:rPr>
            </w:pPr>
            <w:r w:rsidRPr="005A55B1">
              <w:rPr>
                <w:rFonts w:ascii="Calibri" w:hAnsi="Calibri"/>
                <w:bCs/>
                <w:lang w:eastAsia="ja-JP"/>
              </w:rPr>
              <w:t>Proiect prioritar</w:t>
            </w:r>
          </w:p>
        </w:tc>
        <w:tc>
          <w:tcPr>
            <w:tcW w:w="506" w:type="pct"/>
            <w:shd w:val="clear" w:color="auto" w:fill="F2F2F2"/>
            <w:noWrap/>
          </w:tcPr>
          <w:p w14:paraId="6B994600" w14:textId="77777777" w:rsidR="00FE43B6" w:rsidRPr="00912996" w:rsidRDefault="00FE43B6" w:rsidP="00FE43B6">
            <w:pPr>
              <w:rPr>
                <w:rFonts w:ascii="Calibri" w:hAnsi="Calibri"/>
                <w:bCs/>
                <w:lang w:eastAsia="ja-JP"/>
              </w:rPr>
            </w:pPr>
            <w:r w:rsidRPr="005A55B1">
              <w:rPr>
                <w:rFonts w:ascii="Calibri" w:hAnsi="Calibri"/>
                <w:bCs/>
                <w:lang w:eastAsia="ja-JP"/>
              </w:rPr>
              <w:t>DGVBL S2</w:t>
            </w:r>
          </w:p>
        </w:tc>
      </w:tr>
      <w:tr w:rsidR="00FE43B6" w:rsidRPr="00912996" w14:paraId="096AC06D" w14:textId="77777777" w:rsidTr="00FE43B6">
        <w:trPr>
          <w:trHeight w:val="276"/>
        </w:trPr>
        <w:tc>
          <w:tcPr>
            <w:tcW w:w="5000" w:type="pct"/>
            <w:gridSpan w:val="12"/>
            <w:shd w:val="clear" w:color="auto" w:fill="BBD9A0"/>
            <w:noWrap/>
            <w:hideMark/>
          </w:tcPr>
          <w:p w14:paraId="38B16B36" w14:textId="77777777" w:rsidR="00FE43B6" w:rsidRPr="00912996" w:rsidRDefault="00FE43B6" w:rsidP="00285D3B">
            <w:pPr>
              <w:jc w:val="center"/>
              <w:rPr>
                <w:rFonts w:ascii="Calibri" w:hAnsi="Calibri"/>
                <w:b/>
                <w:bCs/>
                <w:color w:val="FFFFFF"/>
                <w:lang w:eastAsia="ja-JP"/>
              </w:rPr>
            </w:pPr>
            <w:r w:rsidRPr="00912996">
              <w:rPr>
                <w:rFonts w:ascii="Calibri" w:hAnsi="Calibri"/>
                <w:b/>
                <w:bCs/>
                <w:color w:val="FFFFFF"/>
                <w:lang w:eastAsia="ja-JP"/>
              </w:rPr>
              <w:t>D4.1.2.  Asigurarea coerenței procesului decizional intern, extinderea proceselor de debirocratizare și îmbunătățirea proceselor de lucru</w:t>
            </w:r>
          </w:p>
        </w:tc>
      </w:tr>
      <w:tr w:rsidR="00FE43B6" w:rsidRPr="00912996" w14:paraId="013BD1A1" w14:textId="77777777" w:rsidTr="00FE43B6">
        <w:trPr>
          <w:trHeight w:val="2124"/>
        </w:trPr>
        <w:tc>
          <w:tcPr>
            <w:tcW w:w="219" w:type="pct"/>
            <w:shd w:val="clear" w:color="auto" w:fill="F2F2F2"/>
            <w:noWrap/>
            <w:hideMark/>
          </w:tcPr>
          <w:p w14:paraId="5F64C5DA"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38071523" w14:textId="77777777" w:rsidR="00FE43B6" w:rsidRPr="00912996" w:rsidRDefault="00FE43B6" w:rsidP="00FE43B6">
            <w:pPr>
              <w:rPr>
                <w:rFonts w:ascii="Calibri" w:hAnsi="Calibri"/>
                <w:bCs/>
                <w:lang w:eastAsia="ja-JP"/>
              </w:rPr>
            </w:pPr>
            <w:r w:rsidRPr="00912996">
              <w:rPr>
                <w:rFonts w:ascii="Calibri" w:hAnsi="Calibri"/>
                <w:bCs/>
                <w:lang w:eastAsia="ja-JP"/>
              </w:rPr>
              <w:t>Revizuirea continuă a procedurilor de lucru în funcție de nevoile raportate de personalul instituției. Evaluarea anuală a impactului</w:t>
            </w:r>
          </w:p>
        </w:tc>
        <w:tc>
          <w:tcPr>
            <w:tcW w:w="567" w:type="pct"/>
            <w:gridSpan w:val="3"/>
            <w:shd w:val="clear" w:color="auto" w:fill="F2F2F2"/>
            <w:hideMark/>
          </w:tcPr>
          <w:p w14:paraId="02C2AA7F"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Agenția Națională pentru Funcționari Publici, contractor extern</w:t>
            </w:r>
          </w:p>
        </w:tc>
        <w:tc>
          <w:tcPr>
            <w:tcW w:w="543" w:type="pct"/>
            <w:shd w:val="clear" w:color="auto" w:fill="F2F2F2"/>
            <w:noWrap/>
            <w:hideMark/>
          </w:tcPr>
          <w:p w14:paraId="01138842"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655EEF58" w14:textId="77777777" w:rsidR="00FE43B6" w:rsidRPr="00912996" w:rsidRDefault="00FE43B6" w:rsidP="00FE43B6">
            <w:pPr>
              <w:rPr>
                <w:rFonts w:ascii="Calibri" w:hAnsi="Calibri"/>
                <w:bCs/>
                <w:lang w:eastAsia="ja-JP"/>
              </w:rPr>
            </w:pPr>
            <w:r w:rsidRPr="00912996">
              <w:rPr>
                <w:rFonts w:ascii="Calibri" w:hAnsi="Calibri"/>
                <w:bCs/>
                <w:lang w:eastAsia="ja-JP"/>
              </w:rPr>
              <w:t>73,500</w:t>
            </w:r>
          </w:p>
        </w:tc>
        <w:tc>
          <w:tcPr>
            <w:tcW w:w="444" w:type="pct"/>
            <w:shd w:val="clear" w:color="auto" w:fill="F2F2F2"/>
            <w:noWrap/>
            <w:hideMark/>
          </w:tcPr>
          <w:p w14:paraId="0610E99E" w14:textId="77777777" w:rsidR="00FE43B6" w:rsidRPr="00912996" w:rsidRDefault="00FE43B6" w:rsidP="00FE43B6">
            <w:pPr>
              <w:rPr>
                <w:rFonts w:ascii="Calibri" w:hAnsi="Calibri"/>
                <w:bCs/>
                <w:lang w:eastAsia="ja-JP"/>
              </w:rPr>
            </w:pPr>
            <w:r w:rsidRPr="00912996">
              <w:rPr>
                <w:rFonts w:ascii="Calibri" w:hAnsi="Calibri"/>
                <w:bCs/>
                <w:lang w:eastAsia="ja-JP"/>
              </w:rPr>
              <w:t>15,000</w:t>
            </w:r>
          </w:p>
        </w:tc>
        <w:tc>
          <w:tcPr>
            <w:tcW w:w="380" w:type="pct"/>
            <w:shd w:val="clear" w:color="auto" w:fill="F2F2F2"/>
            <w:noWrap/>
            <w:hideMark/>
          </w:tcPr>
          <w:p w14:paraId="51DF1349"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75F3BCE5"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PO Creștere Inteligentă, Digitalizare și Instrumente Financiare  2021-2027/PO Asistență Tehnică 2021-2027</w:t>
            </w:r>
          </w:p>
        </w:tc>
        <w:tc>
          <w:tcPr>
            <w:tcW w:w="444" w:type="pct"/>
            <w:shd w:val="clear" w:color="auto" w:fill="F2F2F2"/>
            <w:noWrap/>
            <w:hideMark/>
          </w:tcPr>
          <w:p w14:paraId="22A2942E"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noWrap/>
            <w:hideMark/>
          </w:tcPr>
          <w:p w14:paraId="521B6D45"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3E41B5A" w14:textId="77777777" w:rsidTr="00FE43B6">
        <w:trPr>
          <w:trHeight w:val="260"/>
        </w:trPr>
        <w:tc>
          <w:tcPr>
            <w:tcW w:w="219" w:type="pct"/>
            <w:shd w:val="clear" w:color="auto" w:fill="F2F2F2"/>
            <w:noWrap/>
            <w:hideMark/>
          </w:tcPr>
          <w:p w14:paraId="6EE5ADA1"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7C42F6C4" w14:textId="77777777" w:rsidR="00FE43B6" w:rsidRPr="00912996" w:rsidRDefault="00FE43B6" w:rsidP="00FE43B6">
            <w:pPr>
              <w:rPr>
                <w:rFonts w:ascii="Calibri" w:hAnsi="Calibri"/>
                <w:bCs/>
                <w:lang w:eastAsia="ja-JP"/>
              </w:rPr>
            </w:pPr>
            <w:r w:rsidRPr="00912996">
              <w:rPr>
                <w:rFonts w:ascii="Calibri" w:hAnsi="Calibri"/>
                <w:bCs/>
                <w:lang w:eastAsia="ja-JP"/>
              </w:rPr>
              <w:t xml:space="preserve">Elaborarea unei strategii de simplificare administrativă la nivelul instituției pentru perioada 2023-2027 </w:t>
            </w:r>
          </w:p>
        </w:tc>
        <w:tc>
          <w:tcPr>
            <w:tcW w:w="567" w:type="pct"/>
            <w:gridSpan w:val="3"/>
            <w:shd w:val="clear" w:color="auto" w:fill="F2F2F2"/>
            <w:hideMark/>
          </w:tcPr>
          <w:p w14:paraId="3001BD8E"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noWrap/>
            <w:hideMark/>
          </w:tcPr>
          <w:p w14:paraId="4DD1D045"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052FBF30" w14:textId="77777777" w:rsidR="00FE43B6" w:rsidRPr="00912996" w:rsidRDefault="00FE43B6" w:rsidP="00FE43B6">
            <w:pPr>
              <w:rPr>
                <w:rFonts w:ascii="Calibri" w:hAnsi="Calibri"/>
                <w:bCs/>
                <w:lang w:eastAsia="ja-JP"/>
              </w:rPr>
            </w:pPr>
            <w:r w:rsidRPr="00912996">
              <w:rPr>
                <w:rFonts w:ascii="Calibri" w:hAnsi="Calibri"/>
                <w:bCs/>
                <w:lang w:eastAsia="ja-JP"/>
              </w:rPr>
              <w:t>122,500</w:t>
            </w:r>
          </w:p>
        </w:tc>
        <w:tc>
          <w:tcPr>
            <w:tcW w:w="444" w:type="pct"/>
            <w:shd w:val="clear" w:color="auto" w:fill="F2F2F2"/>
            <w:noWrap/>
            <w:hideMark/>
          </w:tcPr>
          <w:p w14:paraId="13C638EE" w14:textId="77777777" w:rsidR="00FE43B6" w:rsidRPr="00912996" w:rsidRDefault="00FE43B6" w:rsidP="00FE43B6">
            <w:pPr>
              <w:rPr>
                <w:rFonts w:ascii="Calibri" w:hAnsi="Calibri"/>
                <w:bCs/>
                <w:lang w:eastAsia="ja-JP"/>
              </w:rPr>
            </w:pPr>
            <w:r w:rsidRPr="00912996">
              <w:rPr>
                <w:rFonts w:ascii="Calibri" w:hAnsi="Calibri"/>
                <w:bCs/>
                <w:lang w:eastAsia="ja-JP"/>
              </w:rPr>
              <w:t>25,000</w:t>
            </w:r>
          </w:p>
        </w:tc>
        <w:tc>
          <w:tcPr>
            <w:tcW w:w="380" w:type="pct"/>
            <w:shd w:val="clear" w:color="auto" w:fill="F2F2F2"/>
            <w:noWrap/>
            <w:hideMark/>
          </w:tcPr>
          <w:p w14:paraId="3682C78C"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522E0B78"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PO Creștere Inteligentă, Digitalizare și Instrumente Financiare  2021-2027/PO Asistență Tehnică 2021-2027</w:t>
            </w:r>
          </w:p>
        </w:tc>
        <w:tc>
          <w:tcPr>
            <w:tcW w:w="444" w:type="pct"/>
            <w:shd w:val="clear" w:color="auto" w:fill="F2F2F2"/>
            <w:noWrap/>
            <w:hideMark/>
          </w:tcPr>
          <w:p w14:paraId="4B7ACA9E"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noWrap/>
            <w:hideMark/>
          </w:tcPr>
          <w:p w14:paraId="40BBE8F0"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71948C46" w14:textId="77777777" w:rsidTr="00FE43B6">
        <w:trPr>
          <w:trHeight w:val="1068"/>
        </w:trPr>
        <w:tc>
          <w:tcPr>
            <w:tcW w:w="219" w:type="pct"/>
            <w:shd w:val="clear" w:color="auto" w:fill="F2F2F2"/>
            <w:noWrap/>
            <w:hideMark/>
          </w:tcPr>
          <w:p w14:paraId="60FA0F34" w14:textId="77777777" w:rsidR="00FE43B6" w:rsidRPr="00912996" w:rsidRDefault="00FE43B6" w:rsidP="00FE43B6">
            <w:pPr>
              <w:rPr>
                <w:rFonts w:ascii="Calibri" w:hAnsi="Calibri"/>
                <w:bCs/>
                <w:lang w:eastAsia="ja-JP"/>
              </w:rPr>
            </w:pPr>
            <w:r w:rsidRPr="00912996">
              <w:rPr>
                <w:rFonts w:ascii="Calibri" w:hAnsi="Calibri"/>
                <w:bCs/>
                <w:lang w:eastAsia="ja-JP"/>
              </w:rPr>
              <w:t>3</w:t>
            </w:r>
          </w:p>
        </w:tc>
        <w:tc>
          <w:tcPr>
            <w:tcW w:w="790" w:type="pct"/>
            <w:shd w:val="clear" w:color="auto" w:fill="F2F2F2"/>
            <w:hideMark/>
          </w:tcPr>
          <w:p w14:paraId="742630FA" w14:textId="77777777" w:rsidR="00FE43B6" w:rsidRPr="00912996" w:rsidRDefault="00FE43B6" w:rsidP="00FE43B6">
            <w:pPr>
              <w:rPr>
                <w:rFonts w:ascii="Calibri" w:hAnsi="Calibri"/>
                <w:bCs/>
                <w:lang w:eastAsia="ja-JP"/>
              </w:rPr>
            </w:pPr>
            <w:r w:rsidRPr="00912996">
              <w:rPr>
                <w:rFonts w:ascii="Calibri" w:hAnsi="Calibri"/>
                <w:bCs/>
                <w:lang w:eastAsia="ja-JP"/>
              </w:rPr>
              <w:t>Servicii de scanare și arhivare electronică a documentelor din arhiva istorică a DVBL S2</w:t>
            </w:r>
          </w:p>
        </w:tc>
        <w:tc>
          <w:tcPr>
            <w:tcW w:w="567" w:type="pct"/>
            <w:gridSpan w:val="3"/>
            <w:shd w:val="clear" w:color="auto" w:fill="F2F2F2"/>
            <w:hideMark/>
          </w:tcPr>
          <w:p w14:paraId="7831E705"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Direcția Venituri Bugetul local Sector 2</w:t>
            </w:r>
          </w:p>
        </w:tc>
        <w:tc>
          <w:tcPr>
            <w:tcW w:w="543" w:type="pct"/>
            <w:shd w:val="clear" w:color="auto" w:fill="F2F2F2"/>
            <w:hideMark/>
          </w:tcPr>
          <w:p w14:paraId="2D78A2EE" w14:textId="77777777" w:rsidR="00FE43B6" w:rsidRPr="00912996" w:rsidRDefault="00FE43B6" w:rsidP="00FE43B6">
            <w:pPr>
              <w:rPr>
                <w:rFonts w:ascii="Calibri" w:hAnsi="Calibri"/>
                <w:bCs/>
                <w:lang w:eastAsia="ja-JP"/>
              </w:rPr>
            </w:pPr>
            <w:r>
              <w:rPr>
                <w:rFonts w:ascii="Calibri" w:hAnsi="Calibri"/>
                <w:bCs/>
                <w:lang w:eastAsia="ja-JP"/>
              </w:rPr>
              <w:t>În implementare</w:t>
            </w:r>
          </w:p>
        </w:tc>
        <w:tc>
          <w:tcPr>
            <w:tcW w:w="444" w:type="pct"/>
            <w:shd w:val="clear" w:color="auto" w:fill="F2F2F2"/>
            <w:hideMark/>
          </w:tcPr>
          <w:p w14:paraId="080F3E89" w14:textId="77777777" w:rsidR="00FE43B6" w:rsidRPr="00912996" w:rsidRDefault="00FE43B6" w:rsidP="00FE43B6">
            <w:pPr>
              <w:rPr>
                <w:rFonts w:ascii="Calibri" w:hAnsi="Calibri"/>
                <w:bCs/>
                <w:lang w:eastAsia="ja-JP"/>
              </w:rPr>
            </w:pPr>
            <w:r w:rsidRPr="00912996">
              <w:rPr>
                <w:rFonts w:ascii="Calibri" w:hAnsi="Calibri"/>
                <w:bCs/>
                <w:lang w:eastAsia="ja-JP"/>
              </w:rPr>
              <w:t>1,323,000</w:t>
            </w:r>
          </w:p>
        </w:tc>
        <w:tc>
          <w:tcPr>
            <w:tcW w:w="444" w:type="pct"/>
            <w:shd w:val="clear" w:color="auto" w:fill="F2F2F2"/>
            <w:hideMark/>
          </w:tcPr>
          <w:p w14:paraId="4BDEB87A" w14:textId="77777777" w:rsidR="00FE43B6" w:rsidRPr="00912996" w:rsidRDefault="00FE43B6" w:rsidP="00FE43B6">
            <w:pPr>
              <w:rPr>
                <w:rFonts w:ascii="Calibri" w:hAnsi="Calibri"/>
                <w:bCs/>
                <w:lang w:eastAsia="ja-JP"/>
              </w:rPr>
            </w:pPr>
            <w:r w:rsidRPr="00912996">
              <w:rPr>
                <w:rFonts w:ascii="Calibri" w:hAnsi="Calibri"/>
                <w:bCs/>
                <w:lang w:eastAsia="ja-JP"/>
              </w:rPr>
              <w:t>270,000</w:t>
            </w:r>
          </w:p>
        </w:tc>
        <w:tc>
          <w:tcPr>
            <w:tcW w:w="380" w:type="pct"/>
            <w:shd w:val="clear" w:color="auto" w:fill="F2F2F2"/>
            <w:hideMark/>
          </w:tcPr>
          <w:p w14:paraId="3A580EB1" w14:textId="77777777" w:rsidR="00FE43B6" w:rsidRPr="00912996" w:rsidRDefault="00FE43B6" w:rsidP="00FE43B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5F386521"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118C921C"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58CDFDF5"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44D4816A" w14:textId="77777777" w:rsidTr="00FE43B6">
        <w:trPr>
          <w:trHeight w:val="1068"/>
        </w:trPr>
        <w:tc>
          <w:tcPr>
            <w:tcW w:w="219" w:type="pct"/>
            <w:shd w:val="clear" w:color="auto" w:fill="F2F2F2"/>
            <w:noWrap/>
            <w:hideMark/>
          </w:tcPr>
          <w:p w14:paraId="6AD64553" w14:textId="77777777" w:rsidR="00FE43B6" w:rsidRPr="00912996" w:rsidRDefault="00FE43B6" w:rsidP="00FE43B6">
            <w:pPr>
              <w:rPr>
                <w:rFonts w:ascii="Calibri" w:hAnsi="Calibri"/>
                <w:bCs/>
                <w:lang w:eastAsia="ja-JP"/>
              </w:rPr>
            </w:pPr>
            <w:r w:rsidRPr="00912996">
              <w:rPr>
                <w:rFonts w:ascii="Calibri" w:hAnsi="Calibri"/>
                <w:bCs/>
                <w:lang w:eastAsia="ja-JP"/>
              </w:rPr>
              <w:t>4</w:t>
            </w:r>
          </w:p>
        </w:tc>
        <w:tc>
          <w:tcPr>
            <w:tcW w:w="790" w:type="pct"/>
            <w:shd w:val="clear" w:color="auto" w:fill="F2F2F2"/>
            <w:hideMark/>
          </w:tcPr>
          <w:p w14:paraId="392E7092" w14:textId="77777777" w:rsidR="00FE43B6" w:rsidRPr="00912996" w:rsidRDefault="00FE43B6" w:rsidP="00FE43B6">
            <w:pPr>
              <w:rPr>
                <w:rFonts w:ascii="Calibri" w:hAnsi="Calibri"/>
                <w:bCs/>
                <w:lang w:eastAsia="ja-JP"/>
              </w:rPr>
            </w:pPr>
            <w:r w:rsidRPr="00912996">
              <w:rPr>
                <w:rFonts w:ascii="Calibri" w:hAnsi="Calibri"/>
                <w:bCs/>
                <w:lang w:eastAsia="ja-JP"/>
              </w:rPr>
              <w:t>Cercetarea și implementarea unui mecanism de   simplificare a procedurilor administrative de eliberare a avizelor pentru proiectele europene</w:t>
            </w:r>
          </w:p>
        </w:tc>
        <w:tc>
          <w:tcPr>
            <w:tcW w:w="567" w:type="pct"/>
            <w:gridSpan w:val="3"/>
            <w:shd w:val="clear" w:color="auto" w:fill="F2F2F2"/>
            <w:hideMark/>
          </w:tcPr>
          <w:p w14:paraId="45A16EC6"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hideMark/>
          </w:tcPr>
          <w:p w14:paraId="5D2384AF"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36A616D9" w14:textId="77777777" w:rsidR="00FE43B6" w:rsidRPr="00912996" w:rsidRDefault="00FE43B6" w:rsidP="00FE43B6">
            <w:pPr>
              <w:rPr>
                <w:rFonts w:ascii="Calibri" w:hAnsi="Calibri"/>
                <w:bCs/>
                <w:lang w:eastAsia="ja-JP"/>
              </w:rPr>
            </w:pPr>
            <w:r w:rsidRPr="00912996">
              <w:rPr>
                <w:rFonts w:ascii="Calibri" w:hAnsi="Calibri"/>
                <w:bCs/>
                <w:lang w:eastAsia="ja-JP"/>
              </w:rPr>
              <w:t>490,000</w:t>
            </w:r>
          </w:p>
        </w:tc>
        <w:tc>
          <w:tcPr>
            <w:tcW w:w="444" w:type="pct"/>
            <w:shd w:val="clear" w:color="auto" w:fill="F2F2F2"/>
            <w:hideMark/>
          </w:tcPr>
          <w:p w14:paraId="1CC7648A" w14:textId="77777777" w:rsidR="00FE43B6" w:rsidRPr="00912996" w:rsidRDefault="00FE43B6" w:rsidP="00FE43B6">
            <w:pPr>
              <w:rPr>
                <w:rFonts w:ascii="Calibri" w:hAnsi="Calibri"/>
                <w:bCs/>
                <w:lang w:eastAsia="ja-JP"/>
              </w:rPr>
            </w:pPr>
            <w:r w:rsidRPr="00912996">
              <w:rPr>
                <w:rFonts w:ascii="Calibri" w:hAnsi="Calibri"/>
                <w:bCs/>
                <w:lang w:eastAsia="ja-JP"/>
              </w:rPr>
              <w:t>100,000</w:t>
            </w:r>
          </w:p>
        </w:tc>
        <w:tc>
          <w:tcPr>
            <w:tcW w:w="380" w:type="pct"/>
            <w:shd w:val="clear" w:color="auto" w:fill="F2F2F2"/>
            <w:hideMark/>
          </w:tcPr>
          <w:p w14:paraId="2868D694"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58FCBA70"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7289503F"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18D880DE"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37CEAA8F" w14:textId="77777777" w:rsidTr="00FE43B6">
        <w:trPr>
          <w:trHeight w:val="1610"/>
        </w:trPr>
        <w:tc>
          <w:tcPr>
            <w:tcW w:w="219" w:type="pct"/>
            <w:shd w:val="clear" w:color="auto" w:fill="F2F2F2"/>
            <w:noWrap/>
            <w:hideMark/>
          </w:tcPr>
          <w:p w14:paraId="2775A543" w14:textId="77777777" w:rsidR="00FE43B6" w:rsidRPr="00912996" w:rsidRDefault="00FE43B6" w:rsidP="00FE43B6">
            <w:pPr>
              <w:rPr>
                <w:rFonts w:ascii="Calibri" w:hAnsi="Calibri"/>
                <w:bCs/>
                <w:lang w:eastAsia="ja-JP"/>
              </w:rPr>
            </w:pPr>
            <w:r w:rsidRPr="00912996">
              <w:rPr>
                <w:rFonts w:ascii="Calibri" w:hAnsi="Calibri"/>
                <w:bCs/>
                <w:lang w:eastAsia="ja-JP"/>
              </w:rPr>
              <w:t>5</w:t>
            </w:r>
          </w:p>
        </w:tc>
        <w:tc>
          <w:tcPr>
            <w:tcW w:w="790" w:type="pct"/>
            <w:shd w:val="clear" w:color="auto" w:fill="F2F2F2"/>
            <w:hideMark/>
          </w:tcPr>
          <w:p w14:paraId="6751C870" w14:textId="77777777" w:rsidR="00FE43B6" w:rsidRPr="00912996" w:rsidRDefault="00FE43B6" w:rsidP="00FE43B6">
            <w:pPr>
              <w:rPr>
                <w:rFonts w:ascii="Calibri" w:hAnsi="Calibri"/>
                <w:bCs/>
                <w:lang w:eastAsia="ja-JP"/>
              </w:rPr>
            </w:pPr>
            <w:r w:rsidRPr="00912996">
              <w:rPr>
                <w:rFonts w:ascii="Calibri" w:hAnsi="Calibri"/>
                <w:bCs/>
                <w:lang w:eastAsia="ja-JP"/>
              </w:rPr>
              <w:t>Creșterea capacității administrative - eficiența și eficacitatea activității DACP prin informatizarea sistemului de lucru care să permită managementul achizițiilor de la solicitare până la efectuarea plății efective (flux de documente) cu interconectarea activităților interdepartamentale, inclusiv crearea unui birou digital, prin constituirea unei arhive electronice</w:t>
            </w:r>
          </w:p>
        </w:tc>
        <w:tc>
          <w:tcPr>
            <w:tcW w:w="567" w:type="pct"/>
            <w:gridSpan w:val="3"/>
            <w:shd w:val="clear" w:color="auto" w:fill="F2F2F2"/>
            <w:hideMark/>
          </w:tcPr>
          <w:p w14:paraId="47836D5E"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hideMark/>
          </w:tcPr>
          <w:p w14:paraId="18079295"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758F1306" w14:textId="77777777" w:rsidR="00FE43B6" w:rsidRPr="00912996" w:rsidRDefault="00FE43B6" w:rsidP="00FE43B6">
            <w:pPr>
              <w:rPr>
                <w:rFonts w:ascii="Calibri" w:hAnsi="Calibri"/>
                <w:bCs/>
                <w:lang w:eastAsia="ja-JP"/>
              </w:rPr>
            </w:pPr>
            <w:r w:rsidRPr="00912996">
              <w:rPr>
                <w:rFonts w:ascii="Calibri" w:hAnsi="Calibri"/>
                <w:bCs/>
                <w:lang w:eastAsia="ja-JP"/>
              </w:rPr>
              <w:t>980,000</w:t>
            </w:r>
          </w:p>
        </w:tc>
        <w:tc>
          <w:tcPr>
            <w:tcW w:w="444" w:type="pct"/>
            <w:shd w:val="clear" w:color="auto" w:fill="F2F2F2"/>
            <w:hideMark/>
          </w:tcPr>
          <w:p w14:paraId="0CD9D687" w14:textId="77777777" w:rsidR="00FE43B6" w:rsidRPr="00912996" w:rsidRDefault="00FE43B6" w:rsidP="00FE43B6">
            <w:pPr>
              <w:rPr>
                <w:rFonts w:ascii="Calibri" w:hAnsi="Calibri"/>
                <w:bCs/>
                <w:lang w:eastAsia="ja-JP"/>
              </w:rPr>
            </w:pPr>
            <w:r w:rsidRPr="00912996">
              <w:rPr>
                <w:rFonts w:ascii="Calibri" w:hAnsi="Calibri"/>
                <w:bCs/>
                <w:lang w:eastAsia="ja-JP"/>
              </w:rPr>
              <w:t>200,000</w:t>
            </w:r>
          </w:p>
        </w:tc>
        <w:tc>
          <w:tcPr>
            <w:tcW w:w="380" w:type="pct"/>
            <w:shd w:val="clear" w:color="auto" w:fill="F2F2F2"/>
            <w:hideMark/>
          </w:tcPr>
          <w:p w14:paraId="1C07AA93"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664" w:type="pct"/>
            <w:shd w:val="clear" w:color="auto" w:fill="F2F2F2"/>
            <w:hideMark/>
          </w:tcPr>
          <w:p w14:paraId="6D277F59"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1F4D7125"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78FA5CFF"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53B14E05" w14:textId="77777777" w:rsidTr="00FE43B6">
        <w:trPr>
          <w:trHeight w:val="698"/>
        </w:trPr>
        <w:tc>
          <w:tcPr>
            <w:tcW w:w="219" w:type="pct"/>
            <w:shd w:val="clear" w:color="auto" w:fill="F2F2F2"/>
            <w:noWrap/>
            <w:hideMark/>
          </w:tcPr>
          <w:p w14:paraId="0E71F69C" w14:textId="77777777" w:rsidR="00FE43B6" w:rsidRPr="00912996" w:rsidRDefault="00FE43B6" w:rsidP="00FE43B6">
            <w:pPr>
              <w:rPr>
                <w:rFonts w:ascii="Calibri" w:hAnsi="Calibri"/>
                <w:bCs/>
                <w:lang w:eastAsia="ja-JP"/>
              </w:rPr>
            </w:pPr>
            <w:r w:rsidRPr="00912996">
              <w:rPr>
                <w:rFonts w:ascii="Calibri" w:hAnsi="Calibri"/>
                <w:bCs/>
                <w:lang w:eastAsia="ja-JP"/>
              </w:rPr>
              <w:t>6</w:t>
            </w:r>
          </w:p>
        </w:tc>
        <w:tc>
          <w:tcPr>
            <w:tcW w:w="790" w:type="pct"/>
            <w:shd w:val="clear" w:color="auto" w:fill="F2F2F2"/>
            <w:hideMark/>
          </w:tcPr>
          <w:p w14:paraId="450E7D29" w14:textId="77777777" w:rsidR="00FE43B6" w:rsidRPr="00912996" w:rsidRDefault="00FE43B6" w:rsidP="00FE43B6">
            <w:pPr>
              <w:rPr>
                <w:rFonts w:ascii="Calibri" w:hAnsi="Calibri"/>
                <w:bCs/>
                <w:lang w:eastAsia="ja-JP"/>
              </w:rPr>
            </w:pPr>
            <w:r w:rsidRPr="00513B65">
              <w:rPr>
                <w:rFonts w:ascii="Calibri" w:hAnsi="Calibri"/>
                <w:bCs/>
                <w:lang w:eastAsia="ja-JP"/>
              </w:rPr>
              <w:t xml:space="preserve">Implementarea de soluții de obținere informații, documente, certificate într-un sistem online care să permită reducere timpilor de așteptare și birocrația </w:t>
            </w:r>
          </w:p>
        </w:tc>
        <w:tc>
          <w:tcPr>
            <w:tcW w:w="567" w:type="pct"/>
            <w:gridSpan w:val="3"/>
            <w:shd w:val="clear" w:color="auto" w:fill="F2F2F2"/>
            <w:hideMark/>
          </w:tcPr>
          <w:p w14:paraId="57E47A77"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hideMark/>
          </w:tcPr>
          <w:p w14:paraId="733B08A2"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3AC73426" w14:textId="77777777" w:rsidR="00FE43B6" w:rsidRPr="00912996" w:rsidRDefault="00FE43B6" w:rsidP="00FE43B6">
            <w:pPr>
              <w:rPr>
                <w:rFonts w:ascii="Calibri" w:hAnsi="Calibri"/>
                <w:bCs/>
                <w:lang w:eastAsia="ja-JP"/>
              </w:rPr>
            </w:pPr>
            <w:r w:rsidRPr="00912996">
              <w:rPr>
                <w:rFonts w:ascii="Calibri" w:hAnsi="Calibri"/>
                <w:bCs/>
                <w:lang w:eastAsia="ja-JP"/>
              </w:rPr>
              <w:t>490,000</w:t>
            </w:r>
          </w:p>
        </w:tc>
        <w:tc>
          <w:tcPr>
            <w:tcW w:w="444" w:type="pct"/>
            <w:shd w:val="clear" w:color="auto" w:fill="F2F2F2"/>
            <w:hideMark/>
          </w:tcPr>
          <w:p w14:paraId="0728750B" w14:textId="77777777" w:rsidR="00FE43B6" w:rsidRPr="00912996" w:rsidRDefault="00FE43B6" w:rsidP="00FE43B6">
            <w:pPr>
              <w:rPr>
                <w:rFonts w:ascii="Calibri" w:hAnsi="Calibri"/>
                <w:bCs/>
                <w:lang w:eastAsia="ja-JP"/>
              </w:rPr>
            </w:pPr>
            <w:r w:rsidRPr="00912996">
              <w:rPr>
                <w:rFonts w:ascii="Calibri" w:hAnsi="Calibri"/>
                <w:bCs/>
                <w:lang w:eastAsia="ja-JP"/>
              </w:rPr>
              <w:t>100,000</w:t>
            </w:r>
          </w:p>
        </w:tc>
        <w:tc>
          <w:tcPr>
            <w:tcW w:w="380" w:type="pct"/>
            <w:shd w:val="clear" w:color="auto" w:fill="F2F2F2"/>
            <w:hideMark/>
          </w:tcPr>
          <w:p w14:paraId="361ED54D"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-2024</w:t>
            </w:r>
          </w:p>
        </w:tc>
        <w:tc>
          <w:tcPr>
            <w:tcW w:w="664" w:type="pct"/>
            <w:shd w:val="clear" w:color="auto" w:fill="F2F2F2"/>
            <w:hideMark/>
          </w:tcPr>
          <w:p w14:paraId="57E9CE8D"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3FA5E06C"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599F69F9"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6F76D724" w14:textId="77777777" w:rsidTr="00FE43B6">
        <w:trPr>
          <w:trHeight w:val="1332"/>
        </w:trPr>
        <w:tc>
          <w:tcPr>
            <w:tcW w:w="219" w:type="pct"/>
            <w:shd w:val="clear" w:color="auto" w:fill="F2F2F2"/>
            <w:noWrap/>
            <w:hideMark/>
          </w:tcPr>
          <w:p w14:paraId="540B0A7B" w14:textId="77777777" w:rsidR="00FE43B6" w:rsidRPr="00912996" w:rsidRDefault="00FE43B6" w:rsidP="00FE43B6">
            <w:pPr>
              <w:rPr>
                <w:rFonts w:ascii="Calibri" w:hAnsi="Calibri"/>
                <w:bCs/>
                <w:lang w:eastAsia="ja-JP"/>
              </w:rPr>
            </w:pPr>
            <w:r w:rsidRPr="00912996">
              <w:rPr>
                <w:rFonts w:ascii="Calibri" w:hAnsi="Calibri"/>
                <w:bCs/>
                <w:lang w:eastAsia="ja-JP"/>
              </w:rPr>
              <w:t>7</w:t>
            </w:r>
          </w:p>
        </w:tc>
        <w:tc>
          <w:tcPr>
            <w:tcW w:w="790" w:type="pct"/>
            <w:shd w:val="clear" w:color="auto" w:fill="F2F2F2"/>
            <w:hideMark/>
          </w:tcPr>
          <w:p w14:paraId="469DE368" w14:textId="77777777" w:rsidR="00FE43B6" w:rsidRPr="00912996" w:rsidRDefault="00FE43B6" w:rsidP="00FE43B6">
            <w:pPr>
              <w:rPr>
                <w:rFonts w:ascii="Calibri" w:hAnsi="Calibri"/>
                <w:bCs/>
                <w:lang w:eastAsia="ja-JP"/>
              </w:rPr>
            </w:pPr>
            <w:r w:rsidRPr="00912996">
              <w:rPr>
                <w:rFonts w:ascii="Calibri" w:hAnsi="Calibri"/>
                <w:bCs/>
                <w:lang w:eastAsia="ja-JP"/>
              </w:rPr>
              <w:t>Servicii de scanare și arhivare fizică/electronică a documentelor din arhiva istorică a CTV S2</w:t>
            </w:r>
          </w:p>
        </w:tc>
        <w:tc>
          <w:tcPr>
            <w:tcW w:w="567" w:type="pct"/>
            <w:gridSpan w:val="3"/>
            <w:shd w:val="clear" w:color="auto" w:fill="F2F2F2"/>
            <w:hideMark/>
          </w:tcPr>
          <w:p w14:paraId="3229D4A3"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hideMark/>
          </w:tcPr>
          <w:p w14:paraId="09CF527A" w14:textId="77777777" w:rsidR="00FE43B6" w:rsidRPr="00912996" w:rsidRDefault="00FE43B6" w:rsidP="00FE43B6">
            <w:pPr>
              <w:rPr>
                <w:rFonts w:ascii="Calibri" w:hAnsi="Calibri"/>
                <w:bCs/>
                <w:lang w:eastAsia="ja-JP"/>
              </w:rPr>
            </w:pPr>
            <w:r>
              <w:rPr>
                <w:rFonts w:ascii="Calibri" w:hAnsi="Calibri"/>
                <w:bCs/>
                <w:lang w:eastAsia="ja-JP"/>
              </w:rPr>
              <w:t>În implementare</w:t>
            </w:r>
          </w:p>
        </w:tc>
        <w:tc>
          <w:tcPr>
            <w:tcW w:w="444" w:type="pct"/>
            <w:shd w:val="clear" w:color="auto" w:fill="F2F2F2"/>
            <w:hideMark/>
          </w:tcPr>
          <w:p w14:paraId="719BBCF4" w14:textId="77777777" w:rsidR="00FE43B6" w:rsidRPr="00912996" w:rsidRDefault="00FE43B6" w:rsidP="00FE43B6">
            <w:pPr>
              <w:rPr>
                <w:rFonts w:ascii="Calibri" w:hAnsi="Calibri"/>
                <w:bCs/>
                <w:lang w:eastAsia="ja-JP"/>
              </w:rPr>
            </w:pPr>
            <w:r w:rsidRPr="00912996">
              <w:rPr>
                <w:rFonts w:ascii="Calibri" w:hAnsi="Calibri"/>
                <w:bCs/>
                <w:lang w:eastAsia="ja-JP"/>
              </w:rPr>
              <w:t>58,800</w:t>
            </w:r>
          </w:p>
        </w:tc>
        <w:tc>
          <w:tcPr>
            <w:tcW w:w="444" w:type="pct"/>
            <w:shd w:val="clear" w:color="auto" w:fill="F2F2F2"/>
            <w:hideMark/>
          </w:tcPr>
          <w:p w14:paraId="7EACC40A" w14:textId="77777777" w:rsidR="00FE43B6" w:rsidRPr="00912996" w:rsidRDefault="00FE43B6" w:rsidP="00FE43B6">
            <w:pPr>
              <w:rPr>
                <w:rFonts w:ascii="Calibri" w:hAnsi="Calibri"/>
                <w:bCs/>
                <w:lang w:eastAsia="ja-JP"/>
              </w:rPr>
            </w:pPr>
            <w:r w:rsidRPr="00912996">
              <w:rPr>
                <w:rFonts w:ascii="Calibri" w:hAnsi="Calibri"/>
                <w:bCs/>
                <w:lang w:eastAsia="ja-JP"/>
              </w:rPr>
              <w:t>12,000</w:t>
            </w:r>
          </w:p>
        </w:tc>
        <w:tc>
          <w:tcPr>
            <w:tcW w:w="380" w:type="pct"/>
            <w:shd w:val="clear" w:color="auto" w:fill="F2F2F2"/>
            <w:hideMark/>
          </w:tcPr>
          <w:p w14:paraId="44E9A6F3" w14:textId="77777777" w:rsidR="00FE43B6" w:rsidRPr="00912996" w:rsidRDefault="00FE43B6" w:rsidP="00FE43B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52B680BB"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3E757893"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3B9F75CC"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276788A0" w14:textId="77777777" w:rsidTr="00285D3B">
        <w:trPr>
          <w:trHeight w:val="624"/>
        </w:trPr>
        <w:tc>
          <w:tcPr>
            <w:tcW w:w="219" w:type="pct"/>
            <w:shd w:val="clear" w:color="auto" w:fill="F2F2F2"/>
            <w:noWrap/>
            <w:hideMark/>
          </w:tcPr>
          <w:p w14:paraId="3D287D95" w14:textId="77777777" w:rsidR="00FE43B6" w:rsidRPr="00912996" w:rsidRDefault="00FE43B6" w:rsidP="00FE43B6">
            <w:pPr>
              <w:rPr>
                <w:rFonts w:ascii="Calibri" w:hAnsi="Calibri"/>
                <w:bCs/>
                <w:lang w:eastAsia="ja-JP"/>
              </w:rPr>
            </w:pPr>
            <w:r w:rsidRPr="00912996">
              <w:rPr>
                <w:rFonts w:ascii="Calibri" w:hAnsi="Calibri"/>
                <w:bCs/>
                <w:lang w:eastAsia="ja-JP"/>
              </w:rPr>
              <w:t>8</w:t>
            </w:r>
          </w:p>
        </w:tc>
        <w:tc>
          <w:tcPr>
            <w:tcW w:w="790" w:type="pct"/>
            <w:shd w:val="clear" w:color="auto" w:fill="F2F2F2"/>
            <w:hideMark/>
          </w:tcPr>
          <w:p w14:paraId="5566A08F" w14:textId="77777777" w:rsidR="00FE43B6" w:rsidRPr="00912996" w:rsidRDefault="00FE43B6" w:rsidP="00FE43B6">
            <w:pPr>
              <w:rPr>
                <w:rFonts w:ascii="Calibri" w:hAnsi="Calibri"/>
                <w:bCs/>
                <w:lang w:eastAsia="ja-JP"/>
              </w:rPr>
            </w:pPr>
            <w:r w:rsidRPr="00912996">
              <w:rPr>
                <w:rFonts w:ascii="Calibri" w:hAnsi="Calibri"/>
                <w:bCs/>
                <w:lang w:eastAsia="ja-JP"/>
              </w:rPr>
              <w:t>Introducerea semnăturii digitale în cadrul direcțiilor primăriei</w:t>
            </w:r>
          </w:p>
        </w:tc>
        <w:tc>
          <w:tcPr>
            <w:tcW w:w="567" w:type="pct"/>
            <w:gridSpan w:val="3"/>
            <w:shd w:val="clear" w:color="auto" w:fill="F2F2F2"/>
            <w:hideMark/>
          </w:tcPr>
          <w:p w14:paraId="5D2A6936"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c>
          <w:tcPr>
            <w:tcW w:w="543" w:type="pct"/>
            <w:shd w:val="clear" w:color="auto" w:fill="F2F2F2"/>
            <w:hideMark/>
          </w:tcPr>
          <w:p w14:paraId="3F131F99" w14:textId="77777777" w:rsidR="00FE43B6" w:rsidRPr="00912996" w:rsidRDefault="00FE43B6" w:rsidP="00FE43B6">
            <w:pPr>
              <w:rPr>
                <w:rFonts w:ascii="Calibri" w:hAnsi="Calibri"/>
                <w:bCs/>
                <w:lang w:eastAsia="ja-JP"/>
              </w:rPr>
            </w:pPr>
            <w:r>
              <w:rPr>
                <w:rFonts w:ascii="Calibri" w:hAnsi="Calibri"/>
                <w:bCs/>
                <w:lang w:eastAsia="ja-JP"/>
              </w:rPr>
              <w:t xml:space="preserve">În implementare – 220 semnături electronice la nivel PS2, cu costuri 0 </w:t>
            </w:r>
          </w:p>
        </w:tc>
        <w:tc>
          <w:tcPr>
            <w:tcW w:w="444" w:type="pct"/>
            <w:shd w:val="clear" w:color="auto" w:fill="F2F2F2"/>
            <w:hideMark/>
          </w:tcPr>
          <w:p w14:paraId="5BB00866"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0B3F0667"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0BE54CA0" w14:textId="77777777" w:rsidR="00FE43B6" w:rsidRPr="00912996" w:rsidRDefault="00FE43B6" w:rsidP="00FE43B6">
            <w:pPr>
              <w:rPr>
                <w:rFonts w:ascii="Calibri" w:hAnsi="Calibri"/>
                <w:bCs/>
                <w:lang w:eastAsia="ja-JP"/>
              </w:rPr>
            </w:pPr>
            <w:r w:rsidRPr="00912996">
              <w:rPr>
                <w:rFonts w:ascii="Calibri" w:hAnsi="Calibri"/>
                <w:bCs/>
                <w:lang w:eastAsia="ja-JP"/>
              </w:rPr>
              <w:t>202</w:t>
            </w:r>
            <w:r>
              <w:rPr>
                <w:rFonts w:ascii="Calibri" w:hAnsi="Calibri"/>
                <w:bCs/>
                <w:lang w:eastAsia="ja-JP"/>
              </w:rPr>
              <w:t xml:space="preserve">1 </w:t>
            </w:r>
            <w:r w:rsidRPr="00912996">
              <w:rPr>
                <w:rFonts w:ascii="Calibri" w:hAnsi="Calibri"/>
                <w:bCs/>
                <w:lang w:eastAsia="ja-JP"/>
              </w:rPr>
              <w:t>-202</w:t>
            </w:r>
            <w:r>
              <w:rPr>
                <w:rFonts w:ascii="Calibri" w:hAnsi="Calibri"/>
                <w:bCs/>
                <w:lang w:eastAsia="ja-JP"/>
              </w:rPr>
              <w:t>5</w:t>
            </w:r>
          </w:p>
        </w:tc>
        <w:tc>
          <w:tcPr>
            <w:tcW w:w="664" w:type="pct"/>
            <w:shd w:val="clear" w:color="auto" w:fill="F2F2F2"/>
            <w:hideMark/>
          </w:tcPr>
          <w:p w14:paraId="76B95A3B"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3FC78DE8"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659BDC83" w14:textId="77777777" w:rsidR="00FE43B6" w:rsidRPr="00912996" w:rsidRDefault="00FE43B6" w:rsidP="00FE43B6">
            <w:pPr>
              <w:rPr>
                <w:rFonts w:ascii="Calibri" w:hAnsi="Calibri"/>
                <w:bCs/>
                <w:lang w:eastAsia="ja-JP"/>
              </w:rPr>
            </w:pPr>
            <w:r w:rsidRPr="00EF7958">
              <w:rPr>
                <w:rFonts w:ascii="Calibri" w:hAnsi="Calibri"/>
                <w:bCs/>
                <w:lang w:eastAsia="ja-JP"/>
              </w:rPr>
              <w:t>PS2</w:t>
            </w:r>
          </w:p>
        </w:tc>
      </w:tr>
      <w:tr w:rsidR="00FE43B6" w:rsidRPr="00912996" w14:paraId="1B92637D" w14:textId="77777777" w:rsidTr="00FE43B6">
        <w:trPr>
          <w:trHeight w:val="1068"/>
        </w:trPr>
        <w:tc>
          <w:tcPr>
            <w:tcW w:w="219" w:type="pct"/>
            <w:shd w:val="clear" w:color="auto" w:fill="F2F2F2"/>
            <w:noWrap/>
          </w:tcPr>
          <w:p w14:paraId="49F11F57" w14:textId="77777777" w:rsidR="00FE43B6" w:rsidRPr="00912996" w:rsidRDefault="00FE43B6" w:rsidP="00FE43B6">
            <w:pPr>
              <w:rPr>
                <w:rFonts w:ascii="Calibri" w:hAnsi="Calibri"/>
                <w:bCs/>
                <w:lang w:eastAsia="ja-JP"/>
              </w:rPr>
            </w:pPr>
            <w:r>
              <w:rPr>
                <w:rFonts w:ascii="Calibri" w:hAnsi="Calibri"/>
                <w:bCs/>
                <w:lang w:eastAsia="ja-JP"/>
              </w:rPr>
              <w:t>9</w:t>
            </w:r>
          </w:p>
        </w:tc>
        <w:tc>
          <w:tcPr>
            <w:tcW w:w="790" w:type="pct"/>
            <w:shd w:val="clear" w:color="auto" w:fill="F2F2F2"/>
          </w:tcPr>
          <w:p w14:paraId="424C35CE" w14:textId="77777777" w:rsidR="00FE43B6" w:rsidRPr="00912996" w:rsidRDefault="00FE43B6" w:rsidP="00FE43B6">
            <w:pPr>
              <w:rPr>
                <w:rFonts w:ascii="Calibri" w:hAnsi="Calibri"/>
                <w:bCs/>
                <w:lang w:eastAsia="ja-JP"/>
              </w:rPr>
            </w:pPr>
            <w:r w:rsidRPr="00EF7958">
              <w:rPr>
                <w:rFonts w:ascii="Calibri" w:hAnsi="Calibri"/>
                <w:bCs/>
                <w:lang w:eastAsia="ja-JP"/>
              </w:rPr>
              <w:t>Arhivare electronică – fluxuri pentru documentele generate electronic </w:t>
            </w:r>
          </w:p>
        </w:tc>
        <w:tc>
          <w:tcPr>
            <w:tcW w:w="567" w:type="pct"/>
            <w:gridSpan w:val="3"/>
            <w:shd w:val="clear" w:color="auto" w:fill="F2F2F2"/>
          </w:tcPr>
          <w:p w14:paraId="00B8FA94" w14:textId="77777777" w:rsidR="00FE43B6" w:rsidRPr="00912996" w:rsidRDefault="00FE43B6" w:rsidP="00FE43B6">
            <w:pPr>
              <w:rPr>
                <w:rFonts w:ascii="Calibri" w:hAnsi="Calibri"/>
                <w:bCs/>
                <w:lang w:eastAsia="ja-JP"/>
              </w:rPr>
            </w:pPr>
            <w:r w:rsidRPr="00EF7958">
              <w:rPr>
                <w:rFonts w:ascii="Calibri" w:hAnsi="Calibri"/>
                <w:bCs/>
                <w:lang w:eastAsia="ja-JP"/>
              </w:rPr>
              <w:t>PS2 </w:t>
            </w:r>
          </w:p>
        </w:tc>
        <w:tc>
          <w:tcPr>
            <w:tcW w:w="543" w:type="pct"/>
            <w:shd w:val="clear" w:color="auto" w:fill="F2F2F2"/>
          </w:tcPr>
          <w:p w14:paraId="5371B1F7" w14:textId="77777777" w:rsidR="00FE43B6" w:rsidRPr="00912996" w:rsidRDefault="00FE43B6" w:rsidP="00FE43B6">
            <w:pPr>
              <w:rPr>
                <w:rFonts w:ascii="Calibri" w:hAnsi="Calibri"/>
                <w:bCs/>
                <w:lang w:eastAsia="ja-JP"/>
              </w:rPr>
            </w:pPr>
            <w:r>
              <w:rPr>
                <w:rFonts w:ascii="Calibri" w:hAnsi="Calibri"/>
                <w:bCs/>
                <w:lang w:eastAsia="ja-JP"/>
              </w:rPr>
              <w:t>Î</w:t>
            </w:r>
            <w:r w:rsidRPr="00EF7958">
              <w:rPr>
                <w:rFonts w:ascii="Calibri" w:hAnsi="Calibri"/>
                <w:bCs/>
                <w:lang w:eastAsia="ja-JP"/>
              </w:rPr>
              <w:t>n implementare - 3 fluxuri </w:t>
            </w:r>
          </w:p>
        </w:tc>
        <w:tc>
          <w:tcPr>
            <w:tcW w:w="444" w:type="pct"/>
            <w:shd w:val="clear" w:color="auto" w:fill="F2F2F2"/>
          </w:tcPr>
          <w:p w14:paraId="4BC54565" w14:textId="77777777" w:rsidR="00FE43B6" w:rsidRDefault="00FE43B6" w:rsidP="00FE43B6">
            <w:pPr>
              <w:rPr>
                <w:rFonts w:ascii="Calibri" w:hAnsi="Calibri"/>
                <w:bCs/>
                <w:lang w:eastAsia="ja-JP"/>
              </w:rPr>
            </w:pPr>
            <w:r w:rsidRPr="00EF7958">
              <w:rPr>
                <w:rFonts w:ascii="Calibri" w:hAnsi="Calibri"/>
                <w:bCs/>
                <w:lang w:eastAsia="ja-JP"/>
              </w:rPr>
              <w:t>1000,00 </w:t>
            </w:r>
          </w:p>
        </w:tc>
        <w:tc>
          <w:tcPr>
            <w:tcW w:w="444" w:type="pct"/>
            <w:shd w:val="clear" w:color="auto" w:fill="F2F2F2"/>
          </w:tcPr>
          <w:p w14:paraId="6A0411E0" w14:textId="77777777" w:rsidR="00FE43B6" w:rsidRDefault="00FE43B6" w:rsidP="00FE43B6">
            <w:pPr>
              <w:rPr>
                <w:rFonts w:ascii="Calibri" w:hAnsi="Calibri"/>
                <w:bCs/>
                <w:lang w:eastAsia="ja-JP"/>
              </w:rPr>
            </w:pPr>
            <w:r w:rsidRPr="00EF7958">
              <w:rPr>
                <w:rFonts w:ascii="Calibri" w:hAnsi="Calibri"/>
                <w:bCs/>
                <w:lang w:eastAsia="ja-JP"/>
              </w:rPr>
              <w:t>5000,00 </w:t>
            </w:r>
          </w:p>
        </w:tc>
        <w:tc>
          <w:tcPr>
            <w:tcW w:w="380" w:type="pct"/>
            <w:shd w:val="clear" w:color="auto" w:fill="F2F2F2"/>
          </w:tcPr>
          <w:p w14:paraId="392EA494" w14:textId="77777777" w:rsidR="00FE43B6" w:rsidRPr="00912996" w:rsidRDefault="00FE43B6" w:rsidP="00FE43B6">
            <w:pPr>
              <w:rPr>
                <w:rFonts w:ascii="Calibri" w:hAnsi="Calibri"/>
                <w:bCs/>
                <w:lang w:eastAsia="ja-JP"/>
              </w:rPr>
            </w:pPr>
            <w:r w:rsidRPr="00EF7958">
              <w:rPr>
                <w:rFonts w:ascii="Calibri" w:hAnsi="Calibri"/>
                <w:bCs/>
                <w:lang w:eastAsia="ja-JP"/>
              </w:rPr>
              <w:t>2023</w:t>
            </w:r>
            <w:r>
              <w:rPr>
                <w:rFonts w:ascii="Calibri" w:hAnsi="Calibri"/>
                <w:bCs/>
                <w:lang w:eastAsia="ja-JP"/>
              </w:rPr>
              <w:t xml:space="preserve"> </w:t>
            </w:r>
            <w:r w:rsidRPr="00EF7958">
              <w:rPr>
                <w:rFonts w:ascii="Calibri" w:hAnsi="Calibri"/>
                <w:bCs/>
                <w:lang w:eastAsia="ja-JP"/>
              </w:rPr>
              <w:t>-2027 </w:t>
            </w:r>
          </w:p>
        </w:tc>
        <w:tc>
          <w:tcPr>
            <w:tcW w:w="664" w:type="pct"/>
            <w:shd w:val="clear" w:color="auto" w:fill="F2F2F2"/>
          </w:tcPr>
          <w:p w14:paraId="4D6C9250" w14:textId="77777777" w:rsidR="00FE43B6" w:rsidRPr="00912996" w:rsidRDefault="00FE43B6" w:rsidP="00FE43B6">
            <w:pPr>
              <w:rPr>
                <w:rFonts w:ascii="Calibri" w:hAnsi="Calibri"/>
                <w:bCs/>
                <w:lang w:eastAsia="ja-JP"/>
              </w:rPr>
            </w:pPr>
            <w:r w:rsidRPr="00EF7958">
              <w:rPr>
                <w:rFonts w:ascii="Calibri" w:hAnsi="Calibri"/>
                <w:bCs/>
                <w:lang w:eastAsia="ja-JP"/>
              </w:rPr>
              <w:t>Buget local, </w:t>
            </w:r>
            <w:r>
              <w:rPr>
                <w:rFonts w:ascii="Calibri" w:hAnsi="Calibri"/>
                <w:bCs/>
                <w:lang w:eastAsia="ja-JP"/>
              </w:rPr>
              <w:t xml:space="preserve"> </w:t>
            </w:r>
            <w:r w:rsidRPr="00912996">
              <w:rPr>
                <w:rFonts w:ascii="Calibri" w:hAnsi="Calibri"/>
                <w:bCs/>
                <w:lang w:eastAsia="ja-JP"/>
              </w:rPr>
              <w:t>Alte surse</w:t>
            </w:r>
            <w:r>
              <w:rPr>
                <w:rFonts w:ascii="Calibri" w:hAnsi="Calibri"/>
                <w:bCs/>
                <w:lang w:eastAsia="ja-JP"/>
              </w:rPr>
              <w:t xml:space="preserve"> de finanțare</w:t>
            </w:r>
            <w:r w:rsidRPr="00EF7958">
              <w:rPr>
                <w:rFonts w:ascii="Calibri" w:hAnsi="Calibri"/>
                <w:bCs/>
                <w:lang w:eastAsia="ja-JP"/>
              </w:rPr>
              <w:t> </w:t>
            </w:r>
          </w:p>
        </w:tc>
        <w:tc>
          <w:tcPr>
            <w:tcW w:w="444" w:type="pct"/>
            <w:shd w:val="clear" w:color="auto" w:fill="F2F2F2"/>
          </w:tcPr>
          <w:p w14:paraId="5935EB04" w14:textId="77777777" w:rsidR="00FE43B6" w:rsidRPr="00EF7958" w:rsidRDefault="00FE43B6" w:rsidP="00FE43B6">
            <w:pPr>
              <w:rPr>
                <w:rFonts w:ascii="Calibri" w:hAnsi="Calibri"/>
                <w:bCs/>
                <w:lang w:eastAsia="ja-JP"/>
              </w:rPr>
            </w:pPr>
            <w:r w:rsidRPr="00EF7958">
              <w:rPr>
                <w:rFonts w:ascii="Calibri" w:hAnsi="Calibri"/>
                <w:bCs/>
                <w:lang w:eastAsia="ja-JP"/>
              </w:rPr>
              <w:t>Proiect prioritar </w:t>
            </w:r>
          </w:p>
          <w:p w14:paraId="0485DE23" w14:textId="77777777" w:rsidR="00FE43B6" w:rsidRPr="00912996" w:rsidRDefault="00FE43B6" w:rsidP="00FE43B6">
            <w:pPr>
              <w:rPr>
                <w:rFonts w:ascii="Calibri" w:hAnsi="Calibri"/>
                <w:bCs/>
                <w:lang w:eastAsia="ja-JP"/>
              </w:rPr>
            </w:pPr>
            <w:r w:rsidRPr="00EF7958">
              <w:rPr>
                <w:rFonts w:ascii="Calibri" w:hAnsi="Calibri"/>
                <w:bCs/>
                <w:lang w:eastAsia="ja-JP"/>
              </w:rPr>
              <w:t> </w:t>
            </w:r>
          </w:p>
        </w:tc>
        <w:tc>
          <w:tcPr>
            <w:tcW w:w="506" w:type="pct"/>
            <w:shd w:val="clear" w:color="auto" w:fill="F2F2F2"/>
          </w:tcPr>
          <w:p w14:paraId="1EA7847D" w14:textId="77777777" w:rsidR="00FE43B6" w:rsidRDefault="00FE43B6" w:rsidP="00FE43B6">
            <w:pPr>
              <w:rPr>
                <w:rFonts w:ascii="Calibri" w:hAnsi="Calibri"/>
                <w:bCs/>
                <w:lang w:eastAsia="ja-JP"/>
              </w:rPr>
            </w:pPr>
            <w:r w:rsidRPr="00EF7958">
              <w:rPr>
                <w:rFonts w:ascii="Calibri" w:hAnsi="Calibri"/>
                <w:bCs/>
                <w:lang w:eastAsia="ja-JP"/>
              </w:rPr>
              <w:t>PS2 </w:t>
            </w:r>
          </w:p>
        </w:tc>
      </w:tr>
      <w:tr w:rsidR="00FE43B6" w:rsidRPr="00912996" w14:paraId="3756173B" w14:textId="77777777" w:rsidTr="00FE43B6">
        <w:trPr>
          <w:trHeight w:val="276"/>
        </w:trPr>
        <w:tc>
          <w:tcPr>
            <w:tcW w:w="5000" w:type="pct"/>
            <w:gridSpan w:val="12"/>
            <w:shd w:val="clear" w:color="auto" w:fill="BBD9A0"/>
            <w:noWrap/>
            <w:hideMark/>
          </w:tcPr>
          <w:p w14:paraId="59FF6F1A" w14:textId="77777777" w:rsidR="00FE43B6" w:rsidRPr="00912996" w:rsidRDefault="00FE43B6" w:rsidP="00285D3B">
            <w:pPr>
              <w:jc w:val="center"/>
              <w:rPr>
                <w:rFonts w:ascii="Calibri" w:hAnsi="Calibri"/>
                <w:b/>
                <w:bCs/>
                <w:color w:val="FFFFFF"/>
                <w:lang w:eastAsia="ja-JP"/>
              </w:rPr>
            </w:pPr>
            <w:r w:rsidRPr="00912996">
              <w:rPr>
                <w:rFonts w:ascii="Calibri" w:hAnsi="Calibri"/>
                <w:b/>
                <w:bCs/>
                <w:color w:val="FFFFFF"/>
                <w:lang w:eastAsia="ja-JP"/>
              </w:rPr>
              <w:t>D4.1.3. Îmbunătățirea managementului financiar, a predictibilității și capacității de planificare strategică și de programare a resurselor financiare</w:t>
            </w:r>
          </w:p>
        </w:tc>
      </w:tr>
      <w:tr w:rsidR="00FE43B6" w:rsidRPr="00912996" w14:paraId="1C7EAC54" w14:textId="77777777" w:rsidTr="00FE43B6">
        <w:trPr>
          <w:trHeight w:val="980"/>
        </w:trPr>
        <w:tc>
          <w:tcPr>
            <w:tcW w:w="219" w:type="pct"/>
            <w:shd w:val="clear" w:color="auto" w:fill="F2F2F2"/>
            <w:noWrap/>
            <w:hideMark/>
          </w:tcPr>
          <w:p w14:paraId="7CC603A7"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538719F9" w14:textId="77777777" w:rsidR="00FE43B6" w:rsidRPr="00912996" w:rsidRDefault="00FE43B6" w:rsidP="00FE43B6">
            <w:pPr>
              <w:rPr>
                <w:rFonts w:ascii="Calibri" w:hAnsi="Calibri"/>
                <w:bCs/>
                <w:lang w:eastAsia="ja-JP"/>
              </w:rPr>
            </w:pPr>
            <w:r w:rsidRPr="00912996">
              <w:rPr>
                <w:rFonts w:ascii="Calibri" w:hAnsi="Calibri"/>
                <w:bCs/>
                <w:lang w:eastAsia="ja-JP"/>
              </w:rPr>
              <w:t>Program pilot de evaluare a sustenabilității financiare care să identifice principalele provocări și oportunități pe termen mediu și lung în funcție de factorii interni și externi cu impact potențial asupra fluxurilor de venituri și cheltuieli. Analiză de scenarii potențiale privind sustenabilitatea financiară și capacității de a susține proiecte multianuale de investiții</w:t>
            </w:r>
          </w:p>
        </w:tc>
        <w:tc>
          <w:tcPr>
            <w:tcW w:w="567" w:type="pct"/>
            <w:gridSpan w:val="3"/>
            <w:shd w:val="clear" w:color="auto" w:fill="F2F2F2"/>
            <w:hideMark/>
          </w:tcPr>
          <w:p w14:paraId="00FC4C7D"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Banca Mondială</w:t>
            </w:r>
          </w:p>
        </w:tc>
        <w:tc>
          <w:tcPr>
            <w:tcW w:w="543" w:type="pct"/>
            <w:shd w:val="clear" w:color="auto" w:fill="F2F2F2"/>
            <w:noWrap/>
            <w:hideMark/>
          </w:tcPr>
          <w:p w14:paraId="6A0F0185"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5CBA284D" w14:textId="77777777" w:rsidR="00FE43B6" w:rsidRPr="00912996" w:rsidRDefault="00FE43B6" w:rsidP="00FE43B6">
            <w:pPr>
              <w:rPr>
                <w:rFonts w:ascii="Calibri" w:hAnsi="Calibri"/>
                <w:bCs/>
                <w:lang w:eastAsia="ja-JP"/>
              </w:rPr>
            </w:pPr>
            <w:r w:rsidRPr="00912996">
              <w:rPr>
                <w:rFonts w:ascii="Calibri" w:hAnsi="Calibri"/>
                <w:bCs/>
                <w:lang w:eastAsia="ja-JP"/>
              </w:rPr>
              <w:t>490,000</w:t>
            </w:r>
          </w:p>
        </w:tc>
        <w:tc>
          <w:tcPr>
            <w:tcW w:w="444" w:type="pct"/>
            <w:shd w:val="clear" w:color="auto" w:fill="F2F2F2"/>
            <w:noWrap/>
            <w:hideMark/>
          </w:tcPr>
          <w:p w14:paraId="6CA9073C" w14:textId="77777777" w:rsidR="00FE43B6" w:rsidRPr="00912996" w:rsidRDefault="00FE43B6" w:rsidP="00FE43B6">
            <w:pPr>
              <w:rPr>
                <w:rFonts w:ascii="Calibri" w:hAnsi="Calibri"/>
                <w:bCs/>
                <w:lang w:eastAsia="ja-JP"/>
              </w:rPr>
            </w:pPr>
            <w:r w:rsidRPr="00912996">
              <w:rPr>
                <w:rFonts w:ascii="Calibri" w:hAnsi="Calibri"/>
                <w:bCs/>
                <w:lang w:eastAsia="ja-JP"/>
              </w:rPr>
              <w:t>100,000</w:t>
            </w:r>
          </w:p>
        </w:tc>
        <w:tc>
          <w:tcPr>
            <w:tcW w:w="380" w:type="pct"/>
            <w:shd w:val="clear" w:color="auto" w:fill="F2F2F2"/>
            <w:noWrap/>
            <w:hideMark/>
          </w:tcPr>
          <w:p w14:paraId="2B876CE7"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0569A72C"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PO Creștere Inteligentă, Digitalizare și Instrumente Financiare  2021-2027/PO Asistență Tehnică 2021-2027</w:t>
            </w:r>
          </w:p>
        </w:tc>
        <w:tc>
          <w:tcPr>
            <w:tcW w:w="444" w:type="pct"/>
            <w:shd w:val="clear" w:color="auto" w:fill="F2F2F2"/>
            <w:noWrap/>
            <w:hideMark/>
          </w:tcPr>
          <w:p w14:paraId="413F00E0"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noWrap/>
            <w:hideMark/>
          </w:tcPr>
          <w:p w14:paraId="29116C91"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430F031D" w14:textId="77777777" w:rsidTr="00FE43B6">
        <w:trPr>
          <w:trHeight w:val="804"/>
        </w:trPr>
        <w:tc>
          <w:tcPr>
            <w:tcW w:w="219" w:type="pct"/>
            <w:shd w:val="clear" w:color="auto" w:fill="F2F2F2"/>
            <w:noWrap/>
            <w:hideMark/>
          </w:tcPr>
          <w:p w14:paraId="42A5C817"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6CF9EF52" w14:textId="77777777" w:rsidR="00FE43B6" w:rsidRPr="00912996" w:rsidRDefault="00FE43B6" w:rsidP="00FE43B6">
            <w:pPr>
              <w:rPr>
                <w:rFonts w:ascii="Calibri" w:hAnsi="Calibri"/>
                <w:bCs/>
                <w:lang w:eastAsia="ja-JP"/>
              </w:rPr>
            </w:pPr>
            <w:r w:rsidRPr="00912996">
              <w:rPr>
                <w:rFonts w:ascii="Calibri" w:hAnsi="Calibri"/>
                <w:bCs/>
                <w:lang w:eastAsia="ja-JP"/>
              </w:rPr>
              <w:t>Program de formare dedicat personalului cu atribuții în planificare financiară și management financiar</w:t>
            </w:r>
          </w:p>
        </w:tc>
        <w:tc>
          <w:tcPr>
            <w:tcW w:w="567" w:type="pct"/>
            <w:gridSpan w:val="3"/>
            <w:shd w:val="clear" w:color="auto" w:fill="F2F2F2"/>
            <w:hideMark/>
          </w:tcPr>
          <w:p w14:paraId="4B5F1C3E"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noWrap/>
            <w:hideMark/>
          </w:tcPr>
          <w:p w14:paraId="1ACB4F51"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04AE9346" w14:textId="77777777" w:rsidR="00FE43B6" w:rsidRPr="00912996" w:rsidRDefault="00FE43B6" w:rsidP="00FE43B6">
            <w:pPr>
              <w:rPr>
                <w:rFonts w:ascii="Calibri" w:hAnsi="Calibri"/>
                <w:bCs/>
                <w:lang w:eastAsia="ja-JP"/>
              </w:rPr>
            </w:pPr>
            <w:r w:rsidRPr="00912996">
              <w:rPr>
                <w:rFonts w:ascii="Calibri" w:hAnsi="Calibri"/>
                <w:bCs/>
                <w:lang w:eastAsia="ja-JP"/>
              </w:rPr>
              <w:t>49,000</w:t>
            </w:r>
          </w:p>
        </w:tc>
        <w:tc>
          <w:tcPr>
            <w:tcW w:w="444" w:type="pct"/>
            <w:shd w:val="clear" w:color="auto" w:fill="F2F2F2"/>
            <w:noWrap/>
            <w:hideMark/>
          </w:tcPr>
          <w:p w14:paraId="3854846D" w14:textId="77777777" w:rsidR="00FE43B6" w:rsidRPr="00912996" w:rsidRDefault="00FE43B6" w:rsidP="00FE43B6">
            <w:pPr>
              <w:rPr>
                <w:rFonts w:ascii="Calibri" w:hAnsi="Calibri"/>
                <w:bCs/>
                <w:lang w:eastAsia="ja-JP"/>
              </w:rPr>
            </w:pPr>
            <w:r w:rsidRPr="00912996">
              <w:rPr>
                <w:rFonts w:ascii="Calibri" w:hAnsi="Calibri"/>
                <w:bCs/>
                <w:lang w:eastAsia="ja-JP"/>
              </w:rPr>
              <w:t>10,000</w:t>
            </w:r>
          </w:p>
        </w:tc>
        <w:tc>
          <w:tcPr>
            <w:tcW w:w="380" w:type="pct"/>
            <w:shd w:val="clear" w:color="auto" w:fill="F2F2F2"/>
            <w:noWrap/>
            <w:hideMark/>
          </w:tcPr>
          <w:p w14:paraId="1D691295"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62FA8E75"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noWrap/>
            <w:hideMark/>
          </w:tcPr>
          <w:p w14:paraId="4137FE6A"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noWrap/>
            <w:hideMark/>
          </w:tcPr>
          <w:p w14:paraId="1C27EF2B"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79D9EFE4" w14:textId="77777777" w:rsidTr="00FE43B6">
        <w:trPr>
          <w:trHeight w:val="2124"/>
        </w:trPr>
        <w:tc>
          <w:tcPr>
            <w:tcW w:w="219" w:type="pct"/>
            <w:shd w:val="clear" w:color="auto" w:fill="F2F2F2"/>
            <w:noWrap/>
            <w:hideMark/>
          </w:tcPr>
          <w:p w14:paraId="31F735BF" w14:textId="77777777" w:rsidR="00FE43B6" w:rsidRPr="00912996" w:rsidRDefault="00FE43B6" w:rsidP="00FE43B6">
            <w:pPr>
              <w:rPr>
                <w:rFonts w:ascii="Calibri" w:hAnsi="Calibri"/>
                <w:bCs/>
                <w:lang w:eastAsia="ja-JP"/>
              </w:rPr>
            </w:pPr>
            <w:r w:rsidRPr="00912996">
              <w:rPr>
                <w:rFonts w:ascii="Calibri" w:hAnsi="Calibri"/>
                <w:bCs/>
                <w:lang w:eastAsia="ja-JP"/>
              </w:rPr>
              <w:t>3</w:t>
            </w:r>
          </w:p>
        </w:tc>
        <w:tc>
          <w:tcPr>
            <w:tcW w:w="790" w:type="pct"/>
            <w:shd w:val="clear" w:color="auto" w:fill="F2F2F2"/>
            <w:hideMark/>
          </w:tcPr>
          <w:p w14:paraId="73D59B6D" w14:textId="77777777" w:rsidR="00FE43B6" w:rsidRPr="00912996" w:rsidRDefault="00FE43B6" w:rsidP="00FE43B6">
            <w:pPr>
              <w:rPr>
                <w:rFonts w:ascii="Calibri" w:hAnsi="Calibri"/>
                <w:bCs/>
                <w:lang w:eastAsia="ja-JP"/>
              </w:rPr>
            </w:pPr>
            <w:r w:rsidRPr="00912996">
              <w:rPr>
                <w:rFonts w:ascii="Calibri" w:hAnsi="Calibri"/>
                <w:bCs/>
                <w:lang w:eastAsia="ja-JP"/>
              </w:rPr>
              <w:t>Elaborarea unei strategii pe termen mediu și lung de maximizare a veniturilor de la nivel local (proceduri competitive pentru veniturile din capital, extinderea bazei de taxare, extinderea veniturilor proprii, corelarea proiectelor de investiții cu noi surse de venit la nivel local, etc.)</w:t>
            </w:r>
          </w:p>
        </w:tc>
        <w:tc>
          <w:tcPr>
            <w:tcW w:w="567" w:type="pct"/>
            <w:gridSpan w:val="3"/>
            <w:shd w:val="clear" w:color="auto" w:fill="F2F2F2"/>
            <w:hideMark/>
          </w:tcPr>
          <w:p w14:paraId="64B8A9E5"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contractor extern, Banca Mondială, firme de consultanță financiară</w:t>
            </w:r>
          </w:p>
        </w:tc>
        <w:tc>
          <w:tcPr>
            <w:tcW w:w="543" w:type="pct"/>
            <w:shd w:val="clear" w:color="auto" w:fill="F2F2F2"/>
            <w:noWrap/>
            <w:hideMark/>
          </w:tcPr>
          <w:p w14:paraId="1B5A956E"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noWrap/>
            <w:hideMark/>
          </w:tcPr>
          <w:p w14:paraId="7D234B43" w14:textId="77777777" w:rsidR="00FE43B6" w:rsidRPr="00912996" w:rsidRDefault="00FE43B6" w:rsidP="00FE43B6">
            <w:pPr>
              <w:rPr>
                <w:rFonts w:ascii="Calibri" w:hAnsi="Calibri"/>
                <w:bCs/>
                <w:lang w:eastAsia="ja-JP"/>
              </w:rPr>
            </w:pPr>
            <w:r w:rsidRPr="00912996">
              <w:rPr>
                <w:rFonts w:ascii="Calibri" w:hAnsi="Calibri"/>
                <w:bCs/>
                <w:lang w:eastAsia="ja-JP"/>
              </w:rPr>
              <w:t>490,000</w:t>
            </w:r>
          </w:p>
        </w:tc>
        <w:tc>
          <w:tcPr>
            <w:tcW w:w="444" w:type="pct"/>
            <w:shd w:val="clear" w:color="auto" w:fill="F2F2F2"/>
            <w:noWrap/>
            <w:hideMark/>
          </w:tcPr>
          <w:p w14:paraId="4E0B5348" w14:textId="77777777" w:rsidR="00FE43B6" w:rsidRPr="00912996" w:rsidRDefault="00FE43B6" w:rsidP="00FE43B6">
            <w:pPr>
              <w:rPr>
                <w:rFonts w:ascii="Calibri" w:hAnsi="Calibri"/>
                <w:bCs/>
                <w:lang w:eastAsia="ja-JP"/>
              </w:rPr>
            </w:pPr>
            <w:r w:rsidRPr="00912996">
              <w:rPr>
                <w:rFonts w:ascii="Calibri" w:hAnsi="Calibri"/>
                <w:bCs/>
                <w:lang w:eastAsia="ja-JP"/>
              </w:rPr>
              <w:t>100,000</w:t>
            </w:r>
          </w:p>
        </w:tc>
        <w:tc>
          <w:tcPr>
            <w:tcW w:w="380" w:type="pct"/>
            <w:shd w:val="clear" w:color="auto" w:fill="F2F2F2"/>
            <w:noWrap/>
            <w:hideMark/>
          </w:tcPr>
          <w:p w14:paraId="2386DA6F"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07768FAC"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PO Creștere Inteligentă, Digitalizare și Instrumente Financiare  2021-2027/PO Asistență Tehnică 2021-2027</w:t>
            </w:r>
          </w:p>
        </w:tc>
        <w:tc>
          <w:tcPr>
            <w:tcW w:w="444" w:type="pct"/>
            <w:shd w:val="clear" w:color="auto" w:fill="F2F2F2"/>
            <w:noWrap/>
            <w:hideMark/>
          </w:tcPr>
          <w:p w14:paraId="6A726790"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noWrap/>
            <w:hideMark/>
          </w:tcPr>
          <w:p w14:paraId="41FBF45A"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70470919" w14:textId="77777777" w:rsidTr="00FE43B6">
        <w:trPr>
          <w:trHeight w:val="530"/>
        </w:trPr>
        <w:tc>
          <w:tcPr>
            <w:tcW w:w="219" w:type="pct"/>
            <w:shd w:val="clear" w:color="auto" w:fill="F2F2F2"/>
            <w:noWrap/>
            <w:hideMark/>
          </w:tcPr>
          <w:p w14:paraId="38D4FDCE" w14:textId="77777777" w:rsidR="00FE43B6" w:rsidRPr="00912996" w:rsidRDefault="00FE43B6" w:rsidP="00FE43B6">
            <w:pPr>
              <w:rPr>
                <w:rFonts w:ascii="Calibri" w:hAnsi="Calibri"/>
                <w:bCs/>
                <w:lang w:eastAsia="ja-JP"/>
              </w:rPr>
            </w:pPr>
            <w:r w:rsidRPr="00912996">
              <w:rPr>
                <w:rFonts w:ascii="Calibri" w:hAnsi="Calibri"/>
                <w:bCs/>
                <w:lang w:eastAsia="ja-JP"/>
              </w:rPr>
              <w:t>4</w:t>
            </w:r>
          </w:p>
        </w:tc>
        <w:tc>
          <w:tcPr>
            <w:tcW w:w="790" w:type="pct"/>
            <w:shd w:val="clear" w:color="auto" w:fill="F2F2F2"/>
            <w:hideMark/>
          </w:tcPr>
          <w:p w14:paraId="5E19AAF7" w14:textId="77777777" w:rsidR="00FE43B6" w:rsidRPr="00912996" w:rsidRDefault="00FE43B6" w:rsidP="00FE43B6">
            <w:pPr>
              <w:rPr>
                <w:rFonts w:ascii="Calibri" w:hAnsi="Calibri"/>
                <w:bCs/>
                <w:lang w:eastAsia="ja-JP"/>
              </w:rPr>
            </w:pPr>
            <w:r w:rsidRPr="00912996">
              <w:rPr>
                <w:rFonts w:ascii="Calibri" w:hAnsi="Calibri"/>
                <w:bCs/>
                <w:lang w:eastAsia="ja-JP"/>
              </w:rPr>
              <w:t>Realizarea unui studiu care să permită identificarea alternativelor de creștere a veniturilor proprii și a gradului de colectare a acestora și în același timp să permită reducerea costurilor pentru contribuabili</w:t>
            </w:r>
          </w:p>
        </w:tc>
        <w:tc>
          <w:tcPr>
            <w:tcW w:w="567" w:type="pct"/>
            <w:gridSpan w:val="3"/>
            <w:shd w:val="clear" w:color="auto" w:fill="F2F2F2"/>
            <w:hideMark/>
          </w:tcPr>
          <w:p w14:paraId="19C0AB7C"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0F7F8127"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298A6520" w14:textId="77777777" w:rsidR="00FE43B6" w:rsidRPr="00912996" w:rsidRDefault="00FE43B6" w:rsidP="00FE43B6">
            <w:pPr>
              <w:rPr>
                <w:rFonts w:ascii="Calibri" w:hAnsi="Calibri"/>
                <w:bCs/>
                <w:lang w:eastAsia="ja-JP"/>
              </w:rPr>
            </w:pPr>
            <w:r w:rsidRPr="00912996">
              <w:rPr>
                <w:rFonts w:ascii="Calibri" w:hAnsi="Calibri"/>
                <w:bCs/>
                <w:lang w:eastAsia="ja-JP"/>
              </w:rPr>
              <w:t>147,000</w:t>
            </w:r>
          </w:p>
        </w:tc>
        <w:tc>
          <w:tcPr>
            <w:tcW w:w="444" w:type="pct"/>
            <w:shd w:val="clear" w:color="auto" w:fill="F2F2F2"/>
            <w:hideMark/>
          </w:tcPr>
          <w:p w14:paraId="3D5639B1" w14:textId="77777777" w:rsidR="00FE43B6" w:rsidRPr="00912996" w:rsidRDefault="00FE43B6" w:rsidP="00FE43B6">
            <w:pPr>
              <w:rPr>
                <w:rFonts w:ascii="Calibri" w:hAnsi="Calibri"/>
                <w:bCs/>
                <w:lang w:eastAsia="ja-JP"/>
              </w:rPr>
            </w:pPr>
            <w:r w:rsidRPr="00912996">
              <w:rPr>
                <w:rFonts w:ascii="Calibri" w:hAnsi="Calibri"/>
                <w:bCs/>
                <w:lang w:eastAsia="ja-JP"/>
              </w:rPr>
              <w:t>30,000</w:t>
            </w:r>
          </w:p>
        </w:tc>
        <w:tc>
          <w:tcPr>
            <w:tcW w:w="380" w:type="pct"/>
            <w:shd w:val="clear" w:color="auto" w:fill="F2F2F2"/>
            <w:hideMark/>
          </w:tcPr>
          <w:p w14:paraId="2FF01691" w14:textId="77777777" w:rsidR="00FE43B6" w:rsidRPr="00912996" w:rsidRDefault="00FE43B6" w:rsidP="00FE43B6">
            <w:pPr>
              <w:rPr>
                <w:rFonts w:ascii="Calibri" w:hAnsi="Calibri"/>
                <w:bCs/>
                <w:lang w:eastAsia="ja-JP"/>
              </w:rPr>
            </w:pPr>
            <w:r w:rsidRPr="00912996">
              <w:rPr>
                <w:rFonts w:ascii="Calibri" w:hAnsi="Calibri"/>
                <w:bCs/>
                <w:lang w:eastAsia="ja-JP"/>
              </w:rPr>
              <w:t>2023</w:t>
            </w:r>
          </w:p>
        </w:tc>
        <w:tc>
          <w:tcPr>
            <w:tcW w:w="664" w:type="pct"/>
            <w:shd w:val="clear" w:color="auto" w:fill="F2F2F2"/>
            <w:hideMark/>
          </w:tcPr>
          <w:p w14:paraId="289E754B"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6206960F"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31B7B928"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39B09BC6" w14:textId="77777777" w:rsidTr="00FE43B6">
        <w:trPr>
          <w:trHeight w:val="276"/>
        </w:trPr>
        <w:tc>
          <w:tcPr>
            <w:tcW w:w="5000" w:type="pct"/>
            <w:gridSpan w:val="12"/>
            <w:shd w:val="clear" w:color="auto" w:fill="BBD9A0"/>
            <w:noWrap/>
            <w:hideMark/>
          </w:tcPr>
          <w:p w14:paraId="7034EE8D" w14:textId="77777777" w:rsidR="00FE43B6" w:rsidRPr="00912996" w:rsidRDefault="00FE43B6" w:rsidP="00285D3B">
            <w:pPr>
              <w:jc w:val="center"/>
              <w:rPr>
                <w:rFonts w:ascii="Calibri" w:hAnsi="Calibri"/>
                <w:b/>
                <w:bCs/>
                <w:lang w:eastAsia="ja-JP"/>
              </w:rPr>
            </w:pPr>
            <w:r w:rsidRPr="00912996">
              <w:rPr>
                <w:rFonts w:ascii="Calibri" w:hAnsi="Calibri"/>
                <w:b/>
                <w:bCs/>
                <w:color w:val="FFFFFF"/>
                <w:lang w:eastAsia="ja-JP"/>
              </w:rPr>
              <w:t>D4.1.4. Capacitate crescută pentru implementarea unei politici de investiții fundamentată pe absorbția de fonduri externe nerambursabile în perioada 2021-2027, urmărindu-se oportunitățile și prioritățile aferente noilor exerciții financiare</w:t>
            </w:r>
          </w:p>
        </w:tc>
      </w:tr>
      <w:tr w:rsidR="00FE43B6" w:rsidRPr="00912996" w14:paraId="544392B7" w14:textId="77777777" w:rsidTr="00FE43B6">
        <w:trPr>
          <w:trHeight w:val="1596"/>
        </w:trPr>
        <w:tc>
          <w:tcPr>
            <w:tcW w:w="219" w:type="pct"/>
            <w:shd w:val="clear" w:color="auto" w:fill="F2F2F2"/>
            <w:noWrap/>
            <w:hideMark/>
          </w:tcPr>
          <w:p w14:paraId="4754BAD8"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1890C7FD" w14:textId="77777777" w:rsidR="00FE43B6" w:rsidRPr="00912996" w:rsidRDefault="00FE43B6" w:rsidP="00FE43B6">
            <w:pPr>
              <w:rPr>
                <w:rFonts w:ascii="Calibri" w:hAnsi="Calibri"/>
                <w:bCs/>
                <w:lang w:eastAsia="ja-JP"/>
              </w:rPr>
            </w:pPr>
            <w:r w:rsidRPr="00912996">
              <w:rPr>
                <w:rFonts w:ascii="Calibri" w:hAnsi="Calibri"/>
                <w:bCs/>
                <w:lang w:eastAsia="ja-JP"/>
              </w:rPr>
              <w:t>Program de formare dedicat personalului cu atribuții în planificarea, scrierea și implementarea proiectelor cu finanțare europeană nerambursabilă.</w:t>
            </w:r>
          </w:p>
        </w:tc>
        <w:tc>
          <w:tcPr>
            <w:tcW w:w="567" w:type="pct"/>
            <w:gridSpan w:val="3"/>
            <w:shd w:val="clear" w:color="auto" w:fill="F2F2F2"/>
            <w:hideMark/>
          </w:tcPr>
          <w:p w14:paraId="0554EE62"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Ministerul Investițiilor și Proiectelor Europene, contractori externi</w:t>
            </w:r>
          </w:p>
        </w:tc>
        <w:tc>
          <w:tcPr>
            <w:tcW w:w="543" w:type="pct"/>
            <w:shd w:val="clear" w:color="auto" w:fill="F2F2F2"/>
            <w:hideMark/>
          </w:tcPr>
          <w:p w14:paraId="2649E54B"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7BEE30DB" w14:textId="77777777" w:rsidR="00FE43B6" w:rsidRPr="00912996" w:rsidRDefault="00FE43B6" w:rsidP="00FE43B6">
            <w:pPr>
              <w:rPr>
                <w:rFonts w:ascii="Calibri" w:hAnsi="Calibri"/>
                <w:bCs/>
                <w:lang w:eastAsia="ja-JP"/>
              </w:rPr>
            </w:pPr>
            <w:r w:rsidRPr="00912996">
              <w:rPr>
                <w:rFonts w:ascii="Calibri" w:hAnsi="Calibri"/>
                <w:bCs/>
                <w:lang w:eastAsia="ja-JP"/>
              </w:rPr>
              <w:t>122,500</w:t>
            </w:r>
          </w:p>
        </w:tc>
        <w:tc>
          <w:tcPr>
            <w:tcW w:w="444" w:type="pct"/>
            <w:shd w:val="clear" w:color="auto" w:fill="F2F2F2"/>
            <w:hideMark/>
          </w:tcPr>
          <w:p w14:paraId="7BD52DC0" w14:textId="77777777" w:rsidR="00FE43B6" w:rsidRPr="00912996" w:rsidRDefault="00FE43B6" w:rsidP="00FE43B6">
            <w:pPr>
              <w:rPr>
                <w:rFonts w:ascii="Calibri" w:hAnsi="Calibri"/>
                <w:bCs/>
                <w:lang w:eastAsia="ja-JP"/>
              </w:rPr>
            </w:pPr>
            <w:r w:rsidRPr="00912996">
              <w:rPr>
                <w:rFonts w:ascii="Calibri" w:hAnsi="Calibri"/>
                <w:bCs/>
                <w:lang w:eastAsia="ja-JP"/>
              </w:rPr>
              <w:t>25,000</w:t>
            </w:r>
          </w:p>
        </w:tc>
        <w:tc>
          <w:tcPr>
            <w:tcW w:w="380" w:type="pct"/>
            <w:shd w:val="clear" w:color="auto" w:fill="F2F2F2"/>
            <w:hideMark/>
          </w:tcPr>
          <w:p w14:paraId="3C492A0B"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5DDEB53F"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43DC1624"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6D4A3E43"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2ABF7B91" w14:textId="77777777" w:rsidTr="00FE43B6">
        <w:trPr>
          <w:trHeight w:val="556"/>
        </w:trPr>
        <w:tc>
          <w:tcPr>
            <w:tcW w:w="219" w:type="pct"/>
            <w:shd w:val="clear" w:color="auto" w:fill="F2F2F2"/>
            <w:noWrap/>
            <w:hideMark/>
          </w:tcPr>
          <w:p w14:paraId="3F60526B"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6D46A7D6" w14:textId="77777777" w:rsidR="00FE43B6" w:rsidRPr="00912996" w:rsidRDefault="00FE43B6" w:rsidP="00FE43B6">
            <w:pPr>
              <w:rPr>
                <w:rFonts w:ascii="Calibri" w:hAnsi="Calibri"/>
                <w:bCs/>
                <w:lang w:eastAsia="ja-JP"/>
              </w:rPr>
            </w:pPr>
            <w:r w:rsidRPr="00912996">
              <w:rPr>
                <w:rFonts w:ascii="Calibri" w:hAnsi="Calibri"/>
                <w:bCs/>
                <w:lang w:eastAsia="ja-JP"/>
              </w:rPr>
              <w:t>Program anual de schimburi de experiență dedicat Primăriei Sector 2 cu autorități publice locale performante în accesarea și managementului fondurilor externe nerambursabile</w:t>
            </w:r>
          </w:p>
        </w:tc>
        <w:tc>
          <w:tcPr>
            <w:tcW w:w="567" w:type="pct"/>
            <w:gridSpan w:val="3"/>
            <w:shd w:val="clear" w:color="auto" w:fill="F2F2F2"/>
            <w:hideMark/>
          </w:tcPr>
          <w:p w14:paraId="4AA1BC32"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39BDA2F4"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3B214DD9" w14:textId="77777777" w:rsidR="00FE43B6" w:rsidRPr="00912996" w:rsidRDefault="00FE43B6" w:rsidP="00FE43B6">
            <w:pPr>
              <w:rPr>
                <w:rFonts w:ascii="Calibri" w:hAnsi="Calibri"/>
                <w:bCs/>
                <w:lang w:eastAsia="ja-JP"/>
              </w:rPr>
            </w:pPr>
            <w:r w:rsidRPr="00912996">
              <w:rPr>
                <w:rFonts w:ascii="Calibri" w:hAnsi="Calibri"/>
                <w:bCs/>
                <w:lang w:eastAsia="ja-JP"/>
              </w:rPr>
              <w:t>245,000</w:t>
            </w:r>
          </w:p>
        </w:tc>
        <w:tc>
          <w:tcPr>
            <w:tcW w:w="444" w:type="pct"/>
            <w:shd w:val="clear" w:color="auto" w:fill="F2F2F2"/>
            <w:hideMark/>
          </w:tcPr>
          <w:p w14:paraId="07B44432" w14:textId="77777777" w:rsidR="00FE43B6" w:rsidRPr="00912996" w:rsidRDefault="00FE43B6" w:rsidP="00FE43B6">
            <w:pPr>
              <w:rPr>
                <w:rFonts w:ascii="Calibri" w:hAnsi="Calibri"/>
                <w:bCs/>
                <w:lang w:eastAsia="ja-JP"/>
              </w:rPr>
            </w:pPr>
            <w:r w:rsidRPr="00912996">
              <w:rPr>
                <w:rFonts w:ascii="Calibri" w:hAnsi="Calibri"/>
                <w:bCs/>
                <w:lang w:eastAsia="ja-JP"/>
              </w:rPr>
              <w:t>50,000</w:t>
            </w:r>
          </w:p>
        </w:tc>
        <w:tc>
          <w:tcPr>
            <w:tcW w:w="380" w:type="pct"/>
            <w:shd w:val="clear" w:color="auto" w:fill="F2F2F2"/>
            <w:hideMark/>
          </w:tcPr>
          <w:p w14:paraId="29A8D4C8"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CF7D359"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5A73DD3D"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29FB5A2F"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4A6B2F2" w14:textId="77777777" w:rsidTr="00FE43B6">
        <w:trPr>
          <w:trHeight w:val="440"/>
        </w:trPr>
        <w:tc>
          <w:tcPr>
            <w:tcW w:w="219" w:type="pct"/>
            <w:shd w:val="clear" w:color="auto" w:fill="F2F2F2"/>
            <w:noWrap/>
            <w:hideMark/>
          </w:tcPr>
          <w:p w14:paraId="0EF42FE3" w14:textId="77777777" w:rsidR="00FE43B6" w:rsidRPr="00912996" w:rsidRDefault="00FE43B6" w:rsidP="00FE43B6">
            <w:pPr>
              <w:rPr>
                <w:rFonts w:ascii="Calibri" w:hAnsi="Calibri"/>
                <w:bCs/>
                <w:lang w:eastAsia="ja-JP"/>
              </w:rPr>
            </w:pPr>
            <w:r w:rsidRPr="00912996">
              <w:rPr>
                <w:rFonts w:ascii="Calibri" w:hAnsi="Calibri"/>
                <w:bCs/>
                <w:lang w:eastAsia="ja-JP"/>
              </w:rPr>
              <w:t>3</w:t>
            </w:r>
          </w:p>
        </w:tc>
        <w:tc>
          <w:tcPr>
            <w:tcW w:w="790" w:type="pct"/>
            <w:shd w:val="clear" w:color="auto" w:fill="F2F2F2"/>
            <w:hideMark/>
          </w:tcPr>
          <w:p w14:paraId="48DDD282" w14:textId="77777777" w:rsidR="00FE43B6" w:rsidRPr="00912996" w:rsidRDefault="00FE43B6" w:rsidP="00FE43B6">
            <w:pPr>
              <w:rPr>
                <w:rFonts w:ascii="Calibri" w:hAnsi="Calibri"/>
                <w:bCs/>
                <w:lang w:eastAsia="ja-JP"/>
              </w:rPr>
            </w:pPr>
            <w:r w:rsidRPr="00912996">
              <w:rPr>
                <w:rFonts w:ascii="Calibri" w:hAnsi="Calibri"/>
                <w:bCs/>
                <w:lang w:eastAsia="ja-JP"/>
              </w:rPr>
              <w:t xml:space="preserve">Îmbunătățirea mecanismelor interne de cooperare de la nivelul Primăriei Sector 2 și instituțiilor subordonate prin crearea unui grup de lucru privind o mai bună coordonare și raportare publică a investițiilor planificate și </w:t>
            </w:r>
            <w:r>
              <w:rPr>
                <w:rFonts w:ascii="Calibri" w:hAnsi="Calibri"/>
                <w:bCs/>
                <w:lang w:eastAsia="ja-JP"/>
              </w:rPr>
              <w:t>În implementare</w:t>
            </w:r>
            <w:r w:rsidRPr="00912996">
              <w:rPr>
                <w:rFonts w:ascii="Calibri" w:hAnsi="Calibri"/>
                <w:bCs/>
                <w:lang w:eastAsia="ja-JP"/>
              </w:rPr>
              <w:t xml:space="preserve"> Publicarea tuturor investițiilor în format deschis și interactiv pe pagina oficială a Primăriei Sector 2 pentru consultare</w:t>
            </w:r>
          </w:p>
        </w:tc>
        <w:tc>
          <w:tcPr>
            <w:tcW w:w="567" w:type="pct"/>
            <w:gridSpan w:val="3"/>
            <w:shd w:val="clear" w:color="auto" w:fill="F2F2F2"/>
            <w:hideMark/>
          </w:tcPr>
          <w:p w14:paraId="00E1A42A"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6B63980D"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66CD1EC9"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6622F855"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669DC39F"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D66966F"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73A5FAD6"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4194CDC4"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15F7E9A4" w14:textId="77777777" w:rsidTr="00FE43B6">
        <w:trPr>
          <w:trHeight w:val="1068"/>
        </w:trPr>
        <w:tc>
          <w:tcPr>
            <w:tcW w:w="219" w:type="pct"/>
            <w:shd w:val="clear" w:color="auto" w:fill="F2F2F2"/>
            <w:noWrap/>
            <w:hideMark/>
          </w:tcPr>
          <w:p w14:paraId="0A2BA01F" w14:textId="77777777" w:rsidR="00FE43B6" w:rsidRPr="00912996" w:rsidRDefault="00FE43B6" w:rsidP="00FE43B6">
            <w:pPr>
              <w:rPr>
                <w:rFonts w:ascii="Calibri" w:hAnsi="Calibri"/>
                <w:bCs/>
                <w:lang w:eastAsia="ja-JP"/>
              </w:rPr>
            </w:pPr>
            <w:r w:rsidRPr="00912996">
              <w:rPr>
                <w:rFonts w:ascii="Calibri" w:hAnsi="Calibri"/>
                <w:bCs/>
                <w:lang w:eastAsia="ja-JP"/>
              </w:rPr>
              <w:t>4</w:t>
            </w:r>
          </w:p>
        </w:tc>
        <w:tc>
          <w:tcPr>
            <w:tcW w:w="790" w:type="pct"/>
            <w:shd w:val="clear" w:color="auto" w:fill="F2F2F2"/>
            <w:hideMark/>
          </w:tcPr>
          <w:p w14:paraId="46AA6D33" w14:textId="77777777" w:rsidR="00FE43B6" w:rsidRPr="00912996" w:rsidRDefault="00FE43B6" w:rsidP="00FE43B6">
            <w:pPr>
              <w:rPr>
                <w:rFonts w:ascii="Calibri" w:hAnsi="Calibri"/>
                <w:bCs/>
                <w:lang w:eastAsia="ja-JP"/>
              </w:rPr>
            </w:pPr>
            <w:r w:rsidRPr="00912996">
              <w:rPr>
                <w:rFonts w:ascii="Calibri" w:hAnsi="Calibri"/>
                <w:bCs/>
                <w:lang w:eastAsia="ja-JP"/>
              </w:rPr>
              <w:t>Cercetarea și implementarea unui mecanism de simplificare a procedurilor administrative de eliberare a avizelor pentru proiectele europene</w:t>
            </w:r>
          </w:p>
        </w:tc>
        <w:tc>
          <w:tcPr>
            <w:tcW w:w="567" w:type="pct"/>
            <w:gridSpan w:val="3"/>
            <w:shd w:val="clear" w:color="auto" w:fill="F2F2F2"/>
            <w:hideMark/>
          </w:tcPr>
          <w:p w14:paraId="132C1040"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1C782F1C"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49B40011" w14:textId="77777777" w:rsidR="00FE43B6" w:rsidRPr="00912996" w:rsidRDefault="00FE43B6" w:rsidP="00FE43B6">
            <w:pPr>
              <w:rPr>
                <w:rFonts w:ascii="Calibri" w:hAnsi="Calibri"/>
                <w:bCs/>
                <w:lang w:eastAsia="ja-JP"/>
              </w:rPr>
            </w:pPr>
            <w:r w:rsidRPr="00912996">
              <w:rPr>
                <w:rFonts w:ascii="Calibri" w:hAnsi="Calibri"/>
                <w:bCs/>
                <w:lang w:eastAsia="ja-JP"/>
              </w:rPr>
              <w:t>490,000</w:t>
            </w:r>
          </w:p>
        </w:tc>
        <w:tc>
          <w:tcPr>
            <w:tcW w:w="444" w:type="pct"/>
            <w:shd w:val="clear" w:color="auto" w:fill="F2F2F2"/>
            <w:hideMark/>
          </w:tcPr>
          <w:p w14:paraId="19735D2D" w14:textId="77777777" w:rsidR="00FE43B6" w:rsidRPr="00912996" w:rsidRDefault="00FE43B6" w:rsidP="00FE43B6">
            <w:pPr>
              <w:rPr>
                <w:rFonts w:ascii="Calibri" w:hAnsi="Calibri"/>
                <w:bCs/>
                <w:lang w:eastAsia="ja-JP"/>
              </w:rPr>
            </w:pPr>
            <w:r w:rsidRPr="00912996">
              <w:rPr>
                <w:rFonts w:ascii="Calibri" w:hAnsi="Calibri"/>
                <w:bCs/>
                <w:lang w:eastAsia="ja-JP"/>
              </w:rPr>
              <w:t>100,000</w:t>
            </w:r>
          </w:p>
        </w:tc>
        <w:tc>
          <w:tcPr>
            <w:tcW w:w="380" w:type="pct"/>
            <w:shd w:val="clear" w:color="auto" w:fill="F2F2F2"/>
            <w:hideMark/>
          </w:tcPr>
          <w:p w14:paraId="79CA4862"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6047CAEA"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3D4061D4"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69F5CE4A"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0834144F" w14:textId="77777777" w:rsidTr="00FE43B6">
        <w:trPr>
          <w:trHeight w:val="1596"/>
        </w:trPr>
        <w:tc>
          <w:tcPr>
            <w:tcW w:w="219" w:type="pct"/>
            <w:shd w:val="clear" w:color="auto" w:fill="F2F2F2"/>
            <w:noWrap/>
            <w:hideMark/>
          </w:tcPr>
          <w:p w14:paraId="62CAFC9C" w14:textId="77777777" w:rsidR="00FE43B6" w:rsidRPr="00912996" w:rsidRDefault="00FE43B6" w:rsidP="00FE43B6">
            <w:pPr>
              <w:rPr>
                <w:rFonts w:ascii="Calibri" w:hAnsi="Calibri"/>
                <w:bCs/>
                <w:lang w:eastAsia="ja-JP"/>
              </w:rPr>
            </w:pPr>
            <w:r w:rsidRPr="00912996">
              <w:rPr>
                <w:rFonts w:ascii="Calibri" w:hAnsi="Calibri"/>
                <w:bCs/>
                <w:lang w:eastAsia="ja-JP"/>
              </w:rPr>
              <w:t>5</w:t>
            </w:r>
          </w:p>
        </w:tc>
        <w:tc>
          <w:tcPr>
            <w:tcW w:w="790" w:type="pct"/>
            <w:shd w:val="clear" w:color="auto" w:fill="F2F2F2"/>
            <w:hideMark/>
          </w:tcPr>
          <w:p w14:paraId="2049EA2E" w14:textId="77777777" w:rsidR="00FE43B6" w:rsidRPr="00912996" w:rsidRDefault="00FE43B6" w:rsidP="00FE43B6">
            <w:pPr>
              <w:rPr>
                <w:rFonts w:ascii="Calibri" w:hAnsi="Calibri"/>
                <w:bCs/>
                <w:lang w:eastAsia="ja-JP"/>
              </w:rPr>
            </w:pPr>
            <w:r w:rsidRPr="00912996">
              <w:rPr>
                <w:rFonts w:ascii="Calibri" w:hAnsi="Calibri"/>
                <w:bCs/>
                <w:lang w:eastAsia="ja-JP"/>
              </w:rPr>
              <w:t>Sprijinirea participării la proiectele din cadrul Orizont 2020 - evenimente de promovare a oportunităților de înțelegere a impactului social al științei, tehnologiei și activităților economice în sectoarele relevante precum: TIC, Energie, mediu și schimbări climatice, etc.</w:t>
            </w:r>
          </w:p>
        </w:tc>
        <w:tc>
          <w:tcPr>
            <w:tcW w:w="567" w:type="pct"/>
            <w:gridSpan w:val="3"/>
            <w:shd w:val="clear" w:color="auto" w:fill="F2F2F2"/>
            <w:hideMark/>
          </w:tcPr>
          <w:p w14:paraId="4EA9A3B4"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5CFA04AF"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7E9294AC" w14:textId="77777777" w:rsidR="00FE43B6" w:rsidRPr="00912996" w:rsidRDefault="00FE43B6" w:rsidP="00FE43B6">
            <w:pPr>
              <w:rPr>
                <w:rFonts w:ascii="Calibri" w:hAnsi="Calibri"/>
                <w:bCs/>
                <w:lang w:eastAsia="ja-JP"/>
              </w:rPr>
            </w:pPr>
            <w:r w:rsidRPr="00912996">
              <w:rPr>
                <w:rFonts w:ascii="Calibri" w:hAnsi="Calibri"/>
                <w:bCs/>
                <w:lang w:eastAsia="ja-JP"/>
              </w:rPr>
              <w:t>49,000</w:t>
            </w:r>
          </w:p>
        </w:tc>
        <w:tc>
          <w:tcPr>
            <w:tcW w:w="444" w:type="pct"/>
            <w:shd w:val="clear" w:color="auto" w:fill="F2F2F2"/>
            <w:hideMark/>
          </w:tcPr>
          <w:p w14:paraId="585E884A" w14:textId="77777777" w:rsidR="00FE43B6" w:rsidRPr="00912996" w:rsidRDefault="00FE43B6" w:rsidP="00FE43B6">
            <w:pPr>
              <w:rPr>
                <w:rFonts w:ascii="Calibri" w:hAnsi="Calibri"/>
                <w:bCs/>
                <w:lang w:eastAsia="ja-JP"/>
              </w:rPr>
            </w:pPr>
            <w:r w:rsidRPr="00912996">
              <w:rPr>
                <w:rFonts w:ascii="Calibri" w:hAnsi="Calibri"/>
                <w:bCs/>
                <w:lang w:eastAsia="ja-JP"/>
              </w:rPr>
              <w:t>10,000</w:t>
            </w:r>
          </w:p>
        </w:tc>
        <w:tc>
          <w:tcPr>
            <w:tcW w:w="380" w:type="pct"/>
            <w:shd w:val="clear" w:color="auto" w:fill="F2F2F2"/>
            <w:hideMark/>
          </w:tcPr>
          <w:p w14:paraId="3D9F57D3"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24F9046F"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002BD472"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2C81BCC8"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69C4E7A0" w14:textId="77777777" w:rsidTr="00FE43B6">
        <w:trPr>
          <w:trHeight w:val="276"/>
        </w:trPr>
        <w:tc>
          <w:tcPr>
            <w:tcW w:w="5000" w:type="pct"/>
            <w:gridSpan w:val="12"/>
            <w:shd w:val="clear" w:color="auto" w:fill="CCE188"/>
            <w:noWrap/>
            <w:hideMark/>
          </w:tcPr>
          <w:p w14:paraId="50FBDFC8" w14:textId="77777777" w:rsidR="00FE43B6" w:rsidRPr="00912996" w:rsidRDefault="00FE43B6" w:rsidP="00970E22">
            <w:pPr>
              <w:jc w:val="center"/>
              <w:rPr>
                <w:rFonts w:ascii="Calibri" w:hAnsi="Calibri"/>
                <w:b/>
                <w:bCs/>
                <w:color w:val="FFFFFF"/>
                <w:lang w:eastAsia="ja-JP"/>
              </w:rPr>
            </w:pPr>
            <w:r w:rsidRPr="00912996">
              <w:rPr>
                <w:rFonts w:ascii="Calibri" w:hAnsi="Calibri"/>
                <w:b/>
                <w:bCs/>
                <w:color w:val="FFFFFF"/>
                <w:lang w:eastAsia="ja-JP"/>
              </w:rPr>
              <w:t>OBIECTIV SPECIFIC O4.2. -  Orientarea administrației către cetățean și comunitate prin asumarea unei guvernări deschise, transparente, inclusive și responsabile</w:t>
            </w:r>
          </w:p>
        </w:tc>
      </w:tr>
      <w:tr w:rsidR="00FE43B6" w:rsidRPr="00912996" w14:paraId="36500A21" w14:textId="77777777" w:rsidTr="00FE43B6">
        <w:trPr>
          <w:trHeight w:val="276"/>
        </w:trPr>
        <w:tc>
          <w:tcPr>
            <w:tcW w:w="5000" w:type="pct"/>
            <w:gridSpan w:val="12"/>
            <w:shd w:val="clear" w:color="auto" w:fill="BBD9A0"/>
            <w:noWrap/>
            <w:hideMark/>
          </w:tcPr>
          <w:p w14:paraId="41F6DB83" w14:textId="77777777" w:rsidR="00FE43B6" w:rsidRPr="00912996" w:rsidRDefault="00FE43B6" w:rsidP="00970E22">
            <w:pPr>
              <w:jc w:val="center"/>
              <w:rPr>
                <w:rFonts w:ascii="Calibri" w:hAnsi="Calibri"/>
                <w:b/>
                <w:bCs/>
                <w:lang w:eastAsia="ja-JP"/>
              </w:rPr>
            </w:pPr>
            <w:r w:rsidRPr="00912996">
              <w:rPr>
                <w:rFonts w:ascii="Calibri" w:hAnsi="Calibri"/>
                <w:b/>
                <w:bCs/>
                <w:color w:val="FFFFFF"/>
                <w:lang w:eastAsia="ja-JP"/>
              </w:rPr>
              <w:t>D4.2.1. Participare extinsă a cetățenilor, mediului de afaceri, nonguvernamental și academic în procesele de consultare și de decizie de la nivel local prin noi instrumente, mecanisme și formate asumate și promovate de administrația locală</w:t>
            </w:r>
          </w:p>
        </w:tc>
      </w:tr>
      <w:tr w:rsidR="00FE43B6" w:rsidRPr="00912996" w14:paraId="6A315A0D" w14:textId="77777777" w:rsidTr="00970E22">
        <w:trPr>
          <w:trHeight w:val="2469"/>
        </w:trPr>
        <w:tc>
          <w:tcPr>
            <w:tcW w:w="219" w:type="pct"/>
            <w:shd w:val="clear" w:color="auto" w:fill="F2F2F2"/>
            <w:noWrap/>
            <w:hideMark/>
          </w:tcPr>
          <w:p w14:paraId="37A17027"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47584BAE" w14:textId="77777777" w:rsidR="00FE43B6" w:rsidRPr="00912996" w:rsidRDefault="00FE43B6" w:rsidP="00FE43B6">
            <w:pPr>
              <w:rPr>
                <w:rFonts w:ascii="Calibri" w:hAnsi="Calibri"/>
                <w:bCs/>
                <w:lang w:eastAsia="ja-JP"/>
              </w:rPr>
            </w:pPr>
            <w:r w:rsidRPr="00912996">
              <w:rPr>
                <w:rFonts w:ascii="Calibri" w:hAnsi="Calibri"/>
                <w:bCs/>
                <w:lang w:eastAsia="ja-JP"/>
              </w:rPr>
              <w:t>Derularea anuală a programului de bugetare participativă. Stabilirea unei strategii de promovare cu ajutorul actorilor locali și organizarea de seminarii de promovare a programului</w:t>
            </w:r>
          </w:p>
        </w:tc>
        <w:tc>
          <w:tcPr>
            <w:tcW w:w="567" w:type="pct"/>
            <w:gridSpan w:val="3"/>
            <w:shd w:val="clear" w:color="auto" w:fill="F2F2F2"/>
            <w:hideMark/>
          </w:tcPr>
          <w:p w14:paraId="215C1EF1"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grupuri civice</w:t>
            </w:r>
          </w:p>
        </w:tc>
        <w:tc>
          <w:tcPr>
            <w:tcW w:w="543" w:type="pct"/>
            <w:shd w:val="clear" w:color="auto" w:fill="F2F2F2"/>
            <w:noWrap/>
            <w:hideMark/>
          </w:tcPr>
          <w:p w14:paraId="661BB706" w14:textId="77777777" w:rsidR="00FE43B6" w:rsidRPr="00912996" w:rsidRDefault="00FE43B6" w:rsidP="00FE43B6">
            <w:pPr>
              <w:rPr>
                <w:rFonts w:ascii="Calibri" w:hAnsi="Calibri"/>
                <w:bCs/>
                <w:lang w:eastAsia="ja-JP"/>
              </w:rPr>
            </w:pPr>
            <w:r>
              <w:rPr>
                <w:rFonts w:ascii="Calibri" w:hAnsi="Calibri"/>
                <w:bCs/>
                <w:lang w:eastAsia="ja-JP"/>
              </w:rPr>
              <w:t>În implementare</w:t>
            </w:r>
          </w:p>
        </w:tc>
        <w:tc>
          <w:tcPr>
            <w:tcW w:w="444" w:type="pct"/>
            <w:shd w:val="clear" w:color="auto" w:fill="F2F2F2"/>
            <w:noWrap/>
            <w:hideMark/>
          </w:tcPr>
          <w:p w14:paraId="50495937" w14:textId="77777777" w:rsidR="00FE43B6" w:rsidRPr="00912996" w:rsidRDefault="00FE43B6" w:rsidP="00FE43B6">
            <w:pPr>
              <w:rPr>
                <w:rFonts w:ascii="Calibri" w:hAnsi="Calibri"/>
                <w:bCs/>
                <w:lang w:eastAsia="ja-JP"/>
              </w:rPr>
            </w:pPr>
            <w:r w:rsidRPr="00912996">
              <w:rPr>
                <w:rFonts w:ascii="Calibri" w:hAnsi="Calibri"/>
                <w:bCs/>
                <w:lang w:eastAsia="ja-JP"/>
              </w:rPr>
              <w:t>4,900,000</w:t>
            </w:r>
          </w:p>
        </w:tc>
        <w:tc>
          <w:tcPr>
            <w:tcW w:w="444" w:type="pct"/>
            <w:shd w:val="clear" w:color="auto" w:fill="F2F2F2"/>
            <w:noWrap/>
            <w:hideMark/>
          </w:tcPr>
          <w:p w14:paraId="28F06C5F" w14:textId="77777777" w:rsidR="00FE43B6" w:rsidRPr="00912996" w:rsidRDefault="00FE43B6" w:rsidP="00FE43B6">
            <w:pPr>
              <w:rPr>
                <w:rFonts w:ascii="Calibri" w:hAnsi="Calibri"/>
                <w:bCs/>
                <w:lang w:eastAsia="ja-JP"/>
              </w:rPr>
            </w:pPr>
            <w:r w:rsidRPr="00912996">
              <w:rPr>
                <w:rFonts w:ascii="Calibri" w:hAnsi="Calibri"/>
                <w:bCs/>
                <w:lang w:eastAsia="ja-JP"/>
              </w:rPr>
              <w:t>1,000,000</w:t>
            </w:r>
          </w:p>
        </w:tc>
        <w:tc>
          <w:tcPr>
            <w:tcW w:w="380" w:type="pct"/>
            <w:shd w:val="clear" w:color="auto" w:fill="F2F2F2"/>
            <w:noWrap/>
            <w:hideMark/>
          </w:tcPr>
          <w:p w14:paraId="2A7A46BD"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noWrap/>
            <w:hideMark/>
          </w:tcPr>
          <w:p w14:paraId="2FF88C6A"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6D2F8A7C"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53E097EE"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ABDD268" w14:textId="77777777" w:rsidTr="00FE43B6">
        <w:trPr>
          <w:trHeight w:val="1596"/>
        </w:trPr>
        <w:tc>
          <w:tcPr>
            <w:tcW w:w="219" w:type="pct"/>
            <w:shd w:val="clear" w:color="auto" w:fill="F2F2F2"/>
            <w:noWrap/>
            <w:hideMark/>
          </w:tcPr>
          <w:p w14:paraId="0258A7B4"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1E2644FD" w14:textId="77777777" w:rsidR="00FE43B6" w:rsidRPr="00912996" w:rsidRDefault="00FE43B6" w:rsidP="00FE43B6">
            <w:pPr>
              <w:rPr>
                <w:rFonts w:ascii="Calibri" w:hAnsi="Calibri"/>
                <w:bCs/>
                <w:lang w:eastAsia="ja-JP"/>
              </w:rPr>
            </w:pPr>
            <w:r w:rsidRPr="00912996">
              <w:rPr>
                <w:rFonts w:ascii="Calibri" w:hAnsi="Calibri"/>
                <w:bCs/>
                <w:lang w:eastAsia="ja-JP"/>
              </w:rPr>
              <w:t>Pilotarea unui program tip bugetare participativă pentru copii</w:t>
            </w:r>
          </w:p>
        </w:tc>
        <w:tc>
          <w:tcPr>
            <w:tcW w:w="567" w:type="pct"/>
            <w:gridSpan w:val="3"/>
            <w:shd w:val="clear" w:color="auto" w:fill="F2F2F2"/>
            <w:hideMark/>
          </w:tcPr>
          <w:p w14:paraId="3D3151EA"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mediul academic, grupuri civice, asociații de tineri, asociații de părinți</w:t>
            </w:r>
          </w:p>
        </w:tc>
        <w:tc>
          <w:tcPr>
            <w:tcW w:w="543" w:type="pct"/>
            <w:shd w:val="clear" w:color="auto" w:fill="F2F2F2"/>
            <w:hideMark/>
          </w:tcPr>
          <w:p w14:paraId="28204ABC"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79DFE822" w14:textId="77777777" w:rsidR="00FE43B6" w:rsidRPr="00912996" w:rsidRDefault="00FE43B6" w:rsidP="00FE43B6">
            <w:pPr>
              <w:rPr>
                <w:rFonts w:ascii="Calibri" w:hAnsi="Calibri"/>
                <w:bCs/>
                <w:lang w:eastAsia="ja-JP"/>
              </w:rPr>
            </w:pPr>
            <w:r w:rsidRPr="00912996">
              <w:rPr>
                <w:rFonts w:ascii="Calibri" w:hAnsi="Calibri"/>
                <w:bCs/>
                <w:lang w:eastAsia="ja-JP"/>
              </w:rPr>
              <w:t>245,000</w:t>
            </w:r>
          </w:p>
        </w:tc>
        <w:tc>
          <w:tcPr>
            <w:tcW w:w="444" w:type="pct"/>
            <w:shd w:val="clear" w:color="auto" w:fill="F2F2F2"/>
            <w:hideMark/>
          </w:tcPr>
          <w:p w14:paraId="1DD95864" w14:textId="77777777" w:rsidR="00FE43B6" w:rsidRPr="00912996" w:rsidRDefault="00FE43B6" w:rsidP="00FE43B6">
            <w:pPr>
              <w:rPr>
                <w:rFonts w:ascii="Calibri" w:hAnsi="Calibri"/>
                <w:bCs/>
                <w:lang w:eastAsia="ja-JP"/>
              </w:rPr>
            </w:pPr>
            <w:r w:rsidRPr="00912996">
              <w:rPr>
                <w:rFonts w:ascii="Calibri" w:hAnsi="Calibri"/>
                <w:bCs/>
                <w:lang w:eastAsia="ja-JP"/>
              </w:rPr>
              <w:t>50,000</w:t>
            </w:r>
          </w:p>
        </w:tc>
        <w:tc>
          <w:tcPr>
            <w:tcW w:w="380" w:type="pct"/>
            <w:shd w:val="clear" w:color="auto" w:fill="F2F2F2"/>
            <w:hideMark/>
          </w:tcPr>
          <w:p w14:paraId="3620A781"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1DC6DC07"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70F3BC0D"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518231D0"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303E6F80" w14:textId="77777777" w:rsidTr="00970E22">
        <w:trPr>
          <w:trHeight w:val="3144"/>
        </w:trPr>
        <w:tc>
          <w:tcPr>
            <w:tcW w:w="219" w:type="pct"/>
            <w:shd w:val="clear" w:color="auto" w:fill="F2F2F2"/>
            <w:noWrap/>
            <w:hideMark/>
          </w:tcPr>
          <w:p w14:paraId="2F3D8B17" w14:textId="77777777" w:rsidR="00FE43B6" w:rsidRPr="00912996" w:rsidRDefault="00FE43B6" w:rsidP="00FE43B6">
            <w:pPr>
              <w:rPr>
                <w:rFonts w:ascii="Calibri" w:hAnsi="Calibri"/>
                <w:bCs/>
                <w:lang w:eastAsia="ja-JP"/>
              </w:rPr>
            </w:pPr>
            <w:r w:rsidRPr="00912996">
              <w:rPr>
                <w:rFonts w:ascii="Calibri" w:hAnsi="Calibri"/>
                <w:bCs/>
                <w:lang w:eastAsia="ja-JP"/>
              </w:rPr>
              <w:t>3</w:t>
            </w:r>
          </w:p>
        </w:tc>
        <w:tc>
          <w:tcPr>
            <w:tcW w:w="790" w:type="pct"/>
            <w:shd w:val="clear" w:color="auto" w:fill="F2F2F2"/>
            <w:hideMark/>
          </w:tcPr>
          <w:p w14:paraId="670DCABE" w14:textId="77777777" w:rsidR="00FE43B6" w:rsidRPr="00912996" w:rsidRDefault="00FE43B6" w:rsidP="00FE43B6">
            <w:pPr>
              <w:rPr>
                <w:rFonts w:ascii="Calibri" w:hAnsi="Calibri"/>
                <w:bCs/>
                <w:lang w:eastAsia="ja-JP"/>
              </w:rPr>
            </w:pPr>
            <w:r w:rsidRPr="00912996">
              <w:rPr>
                <w:rFonts w:ascii="Calibri" w:hAnsi="Calibri"/>
                <w:bCs/>
                <w:lang w:eastAsia="ja-JP"/>
              </w:rPr>
              <w:t>Lansarea unui hub de inovare și consultare publică coordonat de Primăria Sector 2 care să reunească actorii de la nivel local. Dezbaterea politicilor publice și proiectelor de investiții cu actorii resursă de la nivel local și extinderea sistemului de consultări publice</w:t>
            </w:r>
          </w:p>
        </w:tc>
        <w:tc>
          <w:tcPr>
            <w:tcW w:w="567" w:type="pct"/>
            <w:gridSpan w:val="3"/>
            <w:shd w:val="clear" w:color="auto" w:fill="F2F2F2"/>
            <w:hideMark/>
          </w:tcPr>
          <w:p w14:paraId="1727CF9D"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grupuri civice, mediul academic, mediul antreprenorial</w:t>
            </w:r>
          </w:p>
        </w:tc>
        <w:tc>
          <w:tcPr>
            <w:tcW w:w="543" w:type="pct"/>
            <w:shd w:val="clear" w:color="auto" w:fill="F2F2F2"/>
            <w:hideMark/>
          </w:tcPr>
          <w:p w14:paraId="6D5485C9"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5E9D625C" w14:textId="77777777" w:rsidR="00FE43B6" w:rsidRPr="00912996" w:rsidRDefault="00FE43B6" w:rsidP="00FE43B6">
            <w:pPr>
              <w:rPr>
                <w:rFonts w:ascii="Calibri" w:hAnsi="Calibri"/>
                <w:bCs/>
                <w:lang w:eastAsia="ja-JP"/>
              </w:rPr>
            </w:pPr>
            <w:r w:rsidRPr="00912996">
              <w:rPr>
                <w:rFonts w:ascii="Calibri" w:hAnsi="Calibri"/>
                <w:bCs/>
                <w:lang w:eastAsia="ja-JP"/>
              </w:rPr>
              <w:t>245,000</w:t>
            </w:r>
          </w:p>
        </w:tc>
        <w:tc>
          <w:tcPr>
            <w:tcW w:w="444" w:type="pct"/>
            <w:shd w:val="clear" w:color="auto" w:fill="F2F2F2"/>
            <w:hideMark/>
          </w:tcPr>
          <w:p w14:paraId="56D34474" w14:textId="77777777" w:rsidR="00FE43B6" w:rsidRPr="00912996" w:rsidRDefault="00FE43B6" w:rsidP="00FE43B6">
            <w:pPr>
              <w:rPr>
                <w:rFonts w:ascii="Calibri" w:hAnsi="Calibri"/>
                <w:bCs/>
                <w:lang w:eastAsia="ja-JP"/>
              </w:rPr>
            </w:pPr>
            <w:r w:rsidRPr="00912996">
              <w:rPr>
                <w:rFonts w:ascii="Calibri" w:hAnsi="Calibri"/>
                <w:bCs/>
                <w:lang w:eastAsia="ja-JP"/>
              </w:rPr>
              <w:t>50,000</w:t>
            </w:r>
          </w:p>
        </w:tc>
        <w:tc>
          <w:tcPr>
            <w:tcW w:w="380" w:type="pct"/>
            <w:shd w:val="clear" w:color="auto" w:fill="F2F2F2"/>
            <w:hideMark/>
          </w:tcPr>
          <w:p w14:paraId="01F5F89A"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544ED2FB"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PO Creștere Inteligentă, Digitalizare și Instrumente Financiare 2021-2027, PNRR</w:t>
            </w:r>
          </w:p>
        </w:tc>
        <w:tc>
          <w:tcPr>
            <w:tcW w:w="444" w:type="pct"/>
            <w:shd w:val="clear" w:color="auto" w:fill="F2F2F2"/>
            <w:hideMark/>
          </w:tcPr>
          <w:p w14:paraId="6F00D960"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0EA021D4"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14469EED" w14:textId="77777777" w:rsidTr="00970E22">
        <w:trPr>
          <w:trHeight w:val="2604"/>
        </w:trPr>
        <w:tc>
          <w:tcPr>
            <w:tcW w:w="219" w:type="pct"/>
            <w:shd w:val="clear" w:color="auto" w:fill="F2F2F2"/>
            <w:noWrap/>
            <w:hideMark/>
          </w:tcPr>
          <w:p w14:paraId="66483ECA" w14:textId="77777777" w:rsidR="00FE43B6" w:rsidRPr="00912996" w:rsidRDefault="00FE43B6" w:rsidP="00FE43B6">
            <w:pPr>
              <w:rPr>
                <w:rFonts w:ascii="Calibri" w:hAnsi="Calibri"/>
                <w:bCs/>
                <w:lang w:eastAsia="ja-JP"/>
              </w:rPr>
            </w:pPr>
            <w:r w:rsidRPr="00912996">
              <w:rPr>
                <w:rFonts w:ascii="Calibri" w:hAnsi="Calibri"/>
                <w:bCs/>
                <w:lang w:eastAsia="ja-JP"/>
              </w:rPr>
              <w:t>4</w:t>
            </w:r>
          </w:p>
        </w:tc>
        <w:tc>
          <w:tcPr>
            <w:tcW w:w="790" w:type="pct"/>
            <w:shd w:val="clear" w:color="auto" w:fill="F2F2F2"/>
            <w:hideMark/>
          </w:tcPr>
          <w:p w14:paraId="7C9DBB8C" w14:textId="77777777" w:rsidR="00FE43B6" w:rsidRPr="00912996" w:rsidRDefault="00FE43B6" w:rsidP="00FE43B6">
            <w:pPr>
              <w:rPr>
                <w:rFonts w:ascii="Calibri" w:hAnsi="Calibri"/>
                <w:bCs/>
                <w:lang w:eastAsia="ja-JP"/>
              </w:rPr>
            </w:pPr>
            <w:r w:rsidRPr="00912996">
              <w:rPr>
                <w:rFonts w:ascii="Calibri" w:hAnsi="Calibri"/>
                <w:bCs/>
                <w:lang w:eastAsia="ja-JP"/>
              </w:rPr>
              <w:t>Dezvoltarea de parteneriate cu actorii resursă la nivel local (ONG, mediul academic, grupuri civice, etc.) pentru dezbaterea, setarea și prioritizarea obiectivelor de investiții per arie tematică</w:t>
            </w:r>
          </w:p>
        </w:tc>
        <w:tc>
          <w:tcPr>
            <w:tcW w:w="567" w:type="pct"/>
            <w:gridSpan w:val="3"/>
            <w:shd w:val="clear" w:color="auto" w:fill="F2F2F2"/>
            <w:hideMark/>
          </w:tcPr>
          <w:p w14:paraId="4A30E6D7"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grupuri civice, mediul academic</w:t>
            </w:r>
          </w:p>
        </w:tc>
        <w:tc>
          <w:tcPr>
            <w:tcW w:w="543" w:type="pct"/>
            <w:shd w:val="clear" w:color="auto" w:fill="F2F2F2"/>
            <w:hideMark/>
          </w:tcPr>
          <w:p w14:paraId="51149F0B"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1F265A24"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1D5CD532"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0D6BA8E6"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763B28D6"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569A9D2A"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048C452E"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2F06E69B" w14:textId="77777777" w:rsidTr="00FE43B6">
        <w:trPr>
          <w:trHeight w:val="1860"/>
        </w:trPr>
        <w:tc>
          <w:tcPr>
            <w:tcW w:w="219" w:type="pct"/>
            <w:shd w:val="clear" w:color="auto" w:fill="F2F2F2"/>
            <w:noWrap/>
            <w:hideMark/>
          </w:tcPr>
          <w:p w14:paraId="744B99D3" w14:textId="77777777" w:rsidR="00FE43B6" w:rsidRPr="00912996" w:rsidRDefault="00FE43B6" w:rsidP="00FE43B6">
            <w:pPr>
              <w:rPr>
                <w:rFonts w:ascii="Calibri" w:hAnsi="Calibri"/>
                <w:bCs/>
                <w:lang w:eastAsia="ja-JP"/>
              </w:rPr>
            </w:pPr>
            <w:r w:rsidRPr="00912996">
              <w:rPr>
                <w:rFonts w:ascii="Calibri" w:hAnsi="Calibri"/>
                <w:bCs/>
                <w:lang w:eastAsia="ja-JP"/>
              </w:rPr>
              <w:t>5</w:t>
            </w:r>
          </w:p>
        </w:tc>
        <w:tc>
          <w:tcPr>
            <w:tcW w:w="790" w:type="pct"/>
            <w:shd w:val="clear" w:color="auto" w:fill="F2F2F2"/>
            <w:hideMark/>
          </w:tcPr>
          <w:p w14:paraId="1359288B" w14:textId="77777777" w:rsidR="00FE43B6" w:rsidRPr="00912996" w:rsidRDefault="00FE43B6" w:rsidP="00FE43B6">
            <w:pPr>
              <w:rPr>
                <w:rFonts w:ascii="Calibri" w:hAnsi="Calibri"/>
                <w:bCs/>
                <w:lang w:eastAsia="ja-JP"/>
              </w:rPr>
            </w:pPr>
            <w:r w:rsidRPr="00912996">
              <w:rPr>
                <w:rFonts w:ascii="Calibri" w:hAnsi="Calibri"/>
                <w:bCs/>
                <w:lang w:eastAsia="ja-JP"/>
              </w:rPr>
              <w:t xml:space="preserve">Extinderea finanțării aferente programelor parte a Legii nr. 350 din 2 decembrie 2005 și simplificarea procesului de depunere, implementare și raportare a proiectelor. Derularea de sesiuni informative pentru beneficiarii eligibili înainte de lansarea programelor </w:t>
            </w:r>
          </w:p>
        </w:tc>
        <w:tc>
          <w:tcPr>
            <w:tcW w:w="567" w:type="pct"/>
            <w:gridSpan w:val="3"/>
            <w:shd w:val="clear" w:color="auto" w:fill="F2F2F2"/>
            <w:hideMark/>
          </w:tcPr>
          <w:p w14:paraId="5E751DC2"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grupuri civice, mediul academic</w:t>
            </w:r>
          </w:p>
        </w:tc>
        <w:tc>
          <w:tcPr>
            <w:tcW w:w="543" w:type="pct"/>
            <w:shd w:val="clear" w:color="auto" w:fill="F2F2F2"/>
            <w:hideMark/>
          </w:tcPr>
          <w:p w14:paraId="4E037D55"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76EC0842" w14:textId="77777777" w:rsidR="00FE43B6" w:rsidRPr="00912996" w:rsidRDefault="00FE43B6" w:rsidP="00FE43B6">
            <w:pPr>
              <w:rPr>
                <w:rFonts w:ascii="Calibri" w:hAnsi="Calibri"/>
                <w:bCs/>
                <w:lang w:eastAsia="ja-JP"/>
              </w:rPr>
            </w:pPr>
            <w:r w:rsidRPr="00912996">
              <w:rPr>
                <w:rFonts w:ascii="Calibri" w:hAnsi="Calibri"/>
                <w:bCs/>
                <w:lang w:eastAsia="ja-JP"/>
              </w:rPr>
              <w:t>2,450,000</w:t>
            </w:r>
          </w:p>
        </w:tc>
        <w:tc>
          <w:tcPr>
            <w:tcW w:w="444" w:type="pct"/>
            <w:shd w:val="clear" w:color="auto" w:fill="F2F2F2"/>
            <w:hideMark/>
          </w:tcPr>
          <w:p w14:paraId="5805B8C5" w14:textId="77777777" w:rsidR="00FE43B6" w:rsidRPr="00912996" w:rsidRDefault="00FE43B6" w:rsidP="00FE43B6">
            <w:pPr>
              <w:rPr>
                <w:rFonts w:ascii="Calibri" w:hAnsi="Calibri"/>
                <w:bCs/>
                <w:lang w:eastAsia="ja-JP"/>
              </w:rPr>
            </w:pPr>
            <w:r w:rsidRPr="00912996">
              <w:rPr>
                <w:rFonts w:ascii="Calibri" w:hAnsi="Calibri"/>
                <w:bCs/>
                <w:lang w:eastAsia="ja-JP"/>
              </w:rPr>
              <w:t>500,000</w:t>
            </w:r>
          </w:p>
        </w:tc>
        <w:tc>
          <w:tcPr>
            <w:tcW w:w="380" w:type="pct"/>
            <w:shd w:val="clear" w:color="auto" w:fill="F2F2F2"/>
            <w:hideMark/>
          </w:tcPr>
          <w:p w14:paraId="6E8E53E0"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6534B14F"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31830422"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0A425D6D"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3B90017" w14:textId="77777777" w:rsidTr="00970E22">
        <w:trPr>
          <w:trHeight w:val="2244"/>
        </w:trPr>
        <w:tc>
          <w:tcPr>
            <w:tcW w:w="219" w:type="pct"/>
            <w:shd w:val="clear" w:color="auto" w:fill="F2F2F2"/>
            <w:noWrap/>
            <w:hideMark/>
          </w:tcPr>
          <w:p w14:paraId="36C99124" w14:textId="77777777" w:rsidR="00FE43B6" w:rsidRPr="00912996" w:rsidRDefault="00FE43B6" w:rsidP="00FE43B6">
            <w:pPr>
              <w:rPr>
                <w:rFonts w:ascii="Calibri" w:hAnsi="Calibri"/>
                <w:bCs/>
                <w:lang w:eastAsia="ja-JP"/>
              </w:rPr>
            </w:pPr>
            <w:r w:rsidRPr="00912996">
              <w:rPr>
                <w:rFonts w:ascii="Calibri" w:hAnsi="Calibri"/>
                <w:bCs/>
                <w:lang w:eastAsia="ja-JP"/>
              </w:rPr>
              <w:t>6</w:t>
            </w:r>
          </w:p>
        </w:tc>
        <w:tc>
          <w:tcPr>
            <w:tcW w:w="790" w:type="pct"/>
            <w:shd w:val="clear" w:color="auto" w:fill="F2F2F2"/>
            <w:hideMark/>
          </w:tcPr>
          <w:p w14:paraId="6DD1DAD5" w14:textId="77777777" w:rsidR="00FE43B6" w:rsidRPr="00912996" w:rsidRDefault="00FE43B6" w:rsidP="00FE43B6">
            <w:pPr>
              <w:rPr>
                <w:rFonts w:ascii="Calibri" w:hAnsi="Calibri"/>
                <w:bCs/>
                <w:lang w:eastAsia="ja-JP"/>
              </w:rPr>
            </w:pPr>
            <w:r w:rsidRPr="00912996">
              <w:rPr>
                <w:rFonts w:ascii="Calibri" w:hAnsi="Calibri"/>
                <w:bCs/>
                <w:lang w:eastAsia="ja-JP"/>
              </w:rPr>
              <w:t>Organizarea de programe tip hackatons pentru dezbaterea proiectelor de investiții cu actorii resursă de la nivel local și extinderea sistemului de consultări publice</w:t>
            </w:r>
          </w:p>
        </w:tc>
        <w:tc>
          <w:tcPr>
            <w:tcW w:w="567" w:type="pct"/>
            <w:gridSpan w:val="3"/>
            <w:shd w:val="clear" w:color="auto" w:fill="F2F2F2"/>
            <w:hideMark/>
          </w:tcPr>
          <w:p w14:paraId="26C50588"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grupuri civice, mediul academic, mediul antreprenorial</w:t>
            </w:r>
          </w:p>
        </w:tc>
        <w:tc>
          <w:tcPr>
            <w:tcW w:w="543" w:type="pct"/>
            <w:shd w:val="clear" w:color="auto" w:fill="F2F2F2"/>
            <w:hideMark/>
          </w:tcPr>
          <w:p w14:paraId="6F71F876"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0255C0B4" w14:textId="77777777" w:rsidR="00FE43B6" w:rsidRPr="00912996" w:rsidRDefault="00FE43B6" w:rsidP="00FE43B6">
            <w:pPr>
              <w:rPr>
                <w:rFonts w:ascii="Calibri" w:hAnsi="Calibri"/>
                <w:bCs/>
                <w:lang w:eastAsia="ja-JP"/>
              </w:rPr>
            </w:pPr>
            <w:r w:rsidRPr="00912996">
              <w:rPr>
                <w:rFonts w:ascii="Calibri" w:hAnsi="Calibri"/>
                <w:bCs/>
                <w:lang w:eastAsia="ja-JP"/>
              </w:rPr>
              <w:t>245,000</w:t>
            </w:r>
          </w:p>
        </w:tc>
        <w:tc>
          <w:tcPr>
            <w:tcW w:w="444" w:type="pct"/>
            <w:shd w:val="clear" w:color="auto" w:fill="F2F2F2"/>
            <w:hideMark/>
          </w:tcPr>
          <w:p w14:paraId="2ECE7A5B" w14:textId="77777777" w:rsidR="00FE43B6" w:rsidRPr="00912996" w:rsidRDefault="00FE43B6" w:rsidP="00FE43B6">
            <w:pPr>
              <w:rPr>
                <w:rFonts w:ascii="Calibri" w:hAnsi="Calibri"/>
                <w:bCs/>
                <w:lang w:eastAsia="ja-JP"/>
              </w:rPr>
            </w:pPr>
            <w:r w:rsidRPr="00912996">
              <w:rPr>
                <w:rFonts w:ascii="Calibri" w:hAnsi="Calibri"/>
                <w:bCs/>
                <w:lang w:eastAsia="ja-JP"/>
              </w:rPr>
              <w:t>50,000</w:t>
            </w:r>
          </w:p>
        </w:tc>
        <w:tc>
          <w:tcPr>
            <w:tcW w:w="380" w:type="pct"/>
            <w:shd w:val="clear" w:color="auto" w:fill="F2F2F2"/>
            <w:hideMark/>
          </w:tcPr>
          <w:p w14:paraId="4238BB0B"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156C7881"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7D57A8BA"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26F0ECCB"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69993B5A" w14:textId="77777777" w:rsidTr="00970E22">
        <w:trPr>
          <w:trHeight w:val="1956"/>
        </w:trPr>
        <w:tc>
          <w:tcPr>
            <w:tcW w:w="219" w:type="pct"/>
            <w:shd w:val="clear" w:color="auto" w:fill="F2F2F2"/>
            <w:noWrap/>
            <w:hideMark/>
          </w:tcPr>
          <w:p w14:paraId="6B452BC0" w14:textId="77777777" w:rsidR="00FE43B6" w:rsidRPr="00912996" w:rsidRDefault="00FE43B6" w:rsidP="00FE43B6">
            <w:pPr>
              <w:rPr>
                <w:rFonts w:ascii="Calibri" w:hAnsi="Calibri"/>
                <w:bCs/>
                <w:lang w:eastAsia="ja-JP"/>
              </w:rPr>
            </w:pPr>
            <w:r w:rsidRPr="00912996">
              <w:rPr>
                <w:rFonts w:ascii="Calibri" w:hAnsi="Calibri"/>
                <w:bCs/>
                <w:lang w:eastAsia="ja-JP"/>
              </w:rPr>
              <w:t>7</w:t>
            </w:r>
          </w:p>
        </w:tc>
        <w:tc>
          <w:tcPr>
            <w:tcW w:w="790" w:type="pct"/>
            <w:shd w:val="clear" w:color="auto" w:fill="F2F2F2"/>
            <w:hideMark/>
          </w:tcPr>
          <w:p w14:paraId="57AC43D5" w14:textId="77777777" w:rsidR="00FE43B6" w:rsidRPr="00912996" w:rsidRDefault="00FE43B6" w:rsidP="00FE43B6">
            <w:pPr>
              <w:rPr>
                <w:rFonts w:ascii="Calibri" w:hAnsi="Calibri"/>
                <w:bCs/>
                <w:lang w:eastAsia="ja-JP"/>
              </w:rPr>
            </w:pPr>
            <w:r w:rsidRPr="00912996">
              <w:rPr>
                <w:rFonts w:ascii="Calibri" w:hAnsi="Calibri"/>
                <w:bCs/>
                <w:lang w:eastAsia="ja-JP"/>
              </w:rPr>
              <w:t xml:space="preserve">Prezentarea publică în format interactiv a bugetului local și planului de investii. Organizarea de evenimente publice de consultare cu cetățenii </w:t>
            </w:r>
          </w:p>
        </w:tc>
        <w:tc>
          <w:tcPr>
            <w:tcW w:w="567" w:type="pct"/>
            <w:gridSpan w:val="3"/>
            <w:shd w:val="clear" w:color="auto" w:fill="F2F2F2"/>
            <w:hideMark/>
          </w:tcPr>
          <w:p w14:paraId="06B32F8E"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grupuri civice, mediul academic, mediul antreprenorial</w:t>
            </w:r>
          </w:p>
        </w:tc>
        <w:tc>
          <w:tcPr>
            <w:tcW w:w="543" w:type="pct"/>
            <w:shd w:val="clear" w:color="auto" w:fill="F2F2F2"/>
            <w:hideMark/>
          </w:tcPr>
          <w:p w14:paraId="233400A7"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1D09C4A3"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1AC95D03"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3A01ED9E"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7705A2B5"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2E3FF191"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66230C3C"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7E0BC166" w14:textId="77777777" w:rsidTr="00970E22">
        <w:trPr>
          <w:trHeight w:val="1740"/>
        </w:trPr>
        <w:tc>
          <w:tcPr>
            <w:tcW w:w="219" w:type="pct"/>
            <w:shd w:val="clear" w:color="auto" w:fill="F2F2F2"/>
            <w:noWrap/>
            <w:hideMark/>
          </w:tcPr>
          <w:p w14:paraId="3686D891" w14:textId="77777777" w:rsidR="00FE43B6" w:rsidRPr="00912996" w:rsidRDefault="00FE43B6" w:rsidP="00FE43B6">
            <w:pPr>
              <w:rPr>
                <w:rFonts w:ascii="Calibri" w:hAnsi="Calibri"/>
                <w:bCs/>
                <w:lang w:eastAsia="ja-JP"/>
              </w:rPr>
            </w:pPr>
            <w:r w:rsidRPr="00912996">
              <w:rPr>
                <w:rFonts w:ascii="Calibri" w:hAnsi="Calibri"/>
                <w:bCs/>
                <w:lang w:eastAsia="ja-JP"/>
              </w:rPr>
              <w:t>8</w:t>
            </w:r>
          </w:p>
        </w:tc>
        <w:tc>
          <w:tcPr>
            <w:tcW w:w="790" w:type="pct"/>
            <w:shd w:val="clear" w:color="auto" w:fill="F2F2F2"/>
            <w:hideMark/>
          </w:tcPr>
          <w:p w14:paraId="6E2F0997" w14:textId="77777777" w:rsidR="00FE43B6" w:rsidRPr="00912996" w:rsidRDefault="00FE43B6" w:rsidP="00FE43B6">
            <w:pPr>
              <w:rPr>
                <w:rFonts w:ascii="Calibri" w:hAnsi="Calibri"/>
                <w:bCs/>
                <w:lang w:eastAsia="ja-JP"/>
              </w:rPr>
            </w:pPr>
            <w:r w:rsidRPr="00912996">
              <w:rPr>
                <w:rFonts w:ascii="Calibri" w:hAnsi="Calibri"/>
                <w:bCs/>
                <w:lang w:eastAsia="ja-JP"/>
              </w:rPr>
              <w:t>Barometru extern – Mecanism de măsurare a percepției cetățenilor cu privire la serviciile publice de la nivelul Primăriei</w:t>
            </w:r>
          </w:p>
        </w:tc>
        <w:tc>
          <w:tcPr>
            <w:tcW w:w="567" w:type="pct"/>
            <w:gridSpan w:val="3"/>
            <w:shd w:val="clear" w:color="auto" w:fill="F2F2F2"/>
            <w:hideMark/>
          </w:tcPr>
          <w:p w14:paraId="1D8FDAAC"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grupuri civice, mediul academic, mediul antreprenorial</w:t>
            </w:r>
          </w:p>
        </w:tc>
        <w:tc>
          <w:tcPr>
            <w:tcW w:w="543" w:type="pct"/>
            <w:shd w:val="clear" w:color="auto" w:fill="F2F2F2"/>
            <w:hideMark/>
          </w:tcPr>
          <w:p w14:paraId="32C4B2DB"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3F0E4224" w14:textId="77777777" w:rsidR="00FE43B6" w:rsidRPr="00912996" w:rsidRDefault="00FE43B6" w:rsidP="00FE43B6">
            <w:pPr>
              <w:rPr>
                <w:rFonts w:ascii="Calibri" w:hAnsi="Calibri"/>
                <w:bCs/>
                <w:lang w:eastAsia="ja-JP"/>
              </w:rPr>
            </w:pPr>
            <w:r w:rsidRPr="00912996">
              <w:rPr>
                <w:rFonts w:ascii="Calibri" w:hAnsi="Calibri"/>
                <w:bCs/>
                <w:lang w:eastAsia="ja-JP"/>
              </w:rPr>
              <w:t>98,000</w:t>
            </w:r>
          </w:p>
        </w:tc>
        <w:tc>
          <w:tcPr>
            <w:tcW w:w="444" w:type="pct"/>
            <w:shd w:val="clear" w:color="auto" w:fill="F2F2F2"/>
            <w:hideMark/>
          </w:tcPr>
          <w:p w14:paraId="210C3CF7" w14:textId="77777777" w:rsidR="00FE43B6" w:rsidRPr="00912996" w:rsidRDefault="00FE43B6" w:rsidP="00FE43B6">
            <w:pPr>
              <w:rPr>
                <w:rFonts w:ascii="Calibri" w:hAnsi="Calibri"/>
                <w:bCs/>
                <w:lang w:eastAsia="ja-JP"/>
              </w:rPr>
            </w:pPr>
            <w:r w:rsidRPr="00912996">
              <w:rPr>
                <w:rFonts w:ascii="Calibri" w:hAnsi="Calibri"/>
                <w:bCs/>
                <w:lang w:eastAsia="ja-JP"/>
              </w:rPr>
              <w:t>20,000</w:t>
            </w:r>
          </w:p>
        </w:tc>
        <w:tc>
          <w:tcPr>
            <w:tcW w:w="380" w:type="pct"/>
            <w:shd w:val="clear" w:color="auto" w:fill="F2F2F2"/>
            <w:hideMark/>
          </w:tcPr>
          <w:p w14:paraId="6D8B9A0F"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1FA2127C"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27ABDB37"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0705A15B"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3C79A260" w14:textId="77777777" w:rsidTr="00970E22">
        <w:trPr>
          <w:trHeight w:val="957"/>
        </w:trPr>
        <w:tc>
          <w:tcPr>
            <w:tcW w:w="219" w:type="pct"/>
            <w:shd w:val="clear" w:color="auto" w:fill="F2F2F2"/>
            <w:noWrap/>
            <w:hideMark/>
          </w:tcPr>
          <w:p w14:paraId="24075FBE" w14:textId="77777777" w:rsidR="00FE43B6" w:rsidRPr="00912996" w:rsidRDefault="00FE43B6" w:rsidP="00FE43B6">
            <w:pPr>
              <w:rPr>
                <w:rFonts w:ascii="Calibri" w:hAnsi="Calibri"/>
                <w:bCs/>
                <w:lang w:eastAsia="ja-JP"/>
              </w:rPr>
            </w:pPr>
            <w:r w:rsidRPr="00912996">
              <w:rPr>
                <w:rFonts w:ascii="Calibri" w:hAnsi="Calibri"/>
                <w:bCs/>
                <w:lang w:eastAsia="ja-JP"/>
              </w:rPr>
              <w:t>9</w:t>
            </w:r>
          </w:p>
        </w:tc>
        <w:tc>
          <w:tcPr>
            <w:tcW w:w="790" w:type="pct"/>
            <w:shd w:val="clear" w:color="auto" w:fill="F2F2F2"/>
            <w:hideMark/>
          </w:tcPr>
          <w:p w14:paraId="49F0AEE6" w14:textId="77777777" w:rsidR="00FE43B6" w:rsidRPr="00912996" w:rsidRDefault="00FE43B6" w:rsidP="00FE43B6">
            <w:pPr>
              <w:rPr>
                <w:rFonts w:ascii="Calibri" w:hAnsi="Calibri"/>
                <w:bCs/>
                <w:lang w:eastAsia="ja-JP"/>
              </w:rPr>
            </w:pPr>
            <w:r w:rsidRPr="00912996">
              <w:rPr>
                <w:rFonts w:ascii="Calibri" w:hAnsi="Calibri"/>
                <w:bCs/>
                <w:lang w:eastAsia="ja-JP"/>
              </w:rPr>
              <w:t>Realizarea Strategiei pentru Tineret a Sectorului 2</w:t>
            </w:r>
          </w:p>
        </w:tc>
        <w:tc>
          <w:tcPr>
            <w:tcW w:w="567" w:type="pct"/>
            <w:gridSpan w:val="3"/>
            <w:shd w:val="clear" w:color="auto" w:fill="F2F2F2"/>
            <w:hideMark/>
          </w:tcPr>
          <w:p w14:paraId="31729435"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13AC8940"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5D1A277A" w14:textId="77777777" w:rsidR="00FE43B6" w:rsidRPr="00912996" w:rsidRDefault="00FE43B6" w:rsidP="00FE43B6">
            <w:pPr>
              <w:rPr>
                <w:rFonts w:ascii="Calibri" w:hAnsi="Calibri"/>
                <w:bCs/>
                <w:lang w:eastAsia="ja-JP"/>
              </w:rPr>
            </w:pPr>
            <w:r w:rsidRPr="00912996">
              <w:rPr>
                <w:rFonts w:ascii="Calibri" w:hAnsi="Calibri"/>
                <w:bCs/>
                <w:lang w:eastAsia="ja-JP"/>
              </w:rPr>
              <w:t>147,000</w:t>
            </w:r>
          </w:p>
        </w:tc>
        <w:tc>
          <w:tcPr>
            <w:tcW w:w="444" w:type="pct"/>
            <w:shd w:val="clear" w:color="auto" w:fill="F2F2F2"/>
            <w:hideMark/>
          </w:tcPr>
          <w:p w14:paraId="4F695B3F" w14:textId="77777777" w:rsidR="00FE43B6" w:rsidRPr="00912996" w:rsidRDefault="00FE43B6" w:rsidP="00FE43B6">
            <w:pPr>
              <w:rPr>
                <w:rFonts w:ascii="Calibri" w:hAnsi="Calibri"/>
                <w:bCs/>
                <w:lang w:eastAsia="ja-JP"/>
              </w:rPr>
            </w:pPr>
            <w:r w:rsidRPr="00912996">
              <w:rPr>
                <w:rFonts w:ascii="Calibri" w:hAnsi="Calibri"/>
                <w:bCs/>
                <w:lang w:eastAsia="ja-JP"/>
              </w:rPr>
              <w:t>30,000</w:t>
            </w:r>
          </w:p>
        </w:tc>
        <w:tc>
          <w:tcPr>
            <w:tcW w:w="380" w:type="pct"/>
            <w:shd w:val="clear" w:color="auto" w:fill="F2F2F2"/>
            <w:hideMark/>
          </w:tcPr>
          <w:p w14:paraId="17DE5742"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47C62A82"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1859AB86"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4315F58B"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162FF8E5" w14:textId="77777777" w:rsidTr="00970E22">
        <w:trPr>
          <w:trHeight w:val="1353"/>
        </w:trPr>
        <w:tc>
          <w:tcPr>
            <w:tcW w:w="219" w:type="pct"/>
            <w:shd w:val="clear" w:color="auto" w:fill="F2F2F2"/>
            <w:noWrap/>
            <w:hideMark/>
          </w:tcPr>
          <w:p w14:paraId="2156FE4A" w14:textId="77777777" w:rsidR="00FE43B6" w:rsidRPr="00912996" w:rsidRDefault="00FE43B6" w:rsidP="00FE43B6">
            <w:pPr>
              <w:rPr>
                <w:rFonts w:ascii="Calibri" w:hAnsi="Calibri"/>
                <w:bCs/>
                <w:lang w:eastAsia="ja-JP"/>
              </w:rPr>
            </w:pPr>
            <w:r w:rsidRPr="00912996">
              <w:rPr>
                <w:rFonts w:ascii="Calibri" w:hAnsi="Calibri"/>
                <w:bCs/>
                <w:lang w:eastAsia="ja-JP"/>
              </w:rPr>
              <w:t>10</w:t>
            </w:r>
          </w:p>
        </w:tc>
        <w:tc>
          <w:tcPr>
            <w:tcW w:w="790" w:type="pct"/>
            <w:shd w:val="clear" w:color="auto" w:fill="F2F2F2"/>
            <w:hideMark/>
          </w:tcPr>
          <w:p w14:paraId="21662651" w14:textId="77777777" w:rsidR="00FE43B6" w:rsidRPr="00912996" w:rsidRDefault="00FE43B6" w:rsidP="00FE43B6">
            <w:pPr>
              <w:rPr>
                <w:rFonts w:ascii="Calibri" w:hAnsi="Calibri"/>
                <w:bCs/>
                <w:lang w:eastAsia="ja-JP"/>
              </w:rPr>
            </w:pPr>
            <w:r w:rsidRPr="00912996">
              <w:rPr>
                <w:rFonts w:ascii="Calibri" w:hAnsi="Calibri"/>
                <w:bCs/>
                <w:lang w:eastAsia="ja-JP"/>
              </w:rPr>
              <w:t>Organizarea de grupuri de lucru cu reprezentanți ai mediului de afaceri, academic și public</w:t>
            </w:r>
          </w:p>
        </w:tc>
        <w:tc>
          <w:tcPr>
            <w:tcW w:w="567" w:type="pct"/>
            <w:gridSpan w:val="3"/>
            <w:shd w:val="clear" w:color="auto" w:fill="F2F2F2"/>
            <w:hideMark/>
          </w:tcPr>
          <w:p w14:paraId="66D8A533"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20468313"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4C1F38CF" w14:textId="77777777" w:rsidR="00FE43B6" w:rsidRPr="00912996" w:rsidRDefault="00FE43B6" w:rsidP="00FE43B6">
            <w:pPr>
              <w:rPr>
                <w:rFonts w:ascii="Calibri" w:hAnsi="Calibri"/>
                <w:bCs/>
                <w:lang w:eastAsia="ja-JP"/>
              </w:rPr>
            </w:pPr>
            <w:r w:rsidRPr="00912996">
              <w:rPr>
                <w:rFonts w:ascii="Calibri" w:hAnsi="Calibri"/>
                <w:bCs/>
                <w:lang w:eastAsia="ja-JP"/>
              </w:rPr>
              <w:t>49,000</w:t>
            </w:r>
          </w:p>
        </w:tc>
        <w:tc>
          <w:tcPr>
            <w:tcW w:w="444" w:type="pct"/>
            <w:shd w:val="clear" w:color="auto" w:fill="F2F2F2"/>
            <w:hideMark/>
          </w:tcPr>
          <w:p w14:paraId="64D32CEC" w14:textId="77777777" w:rsidR="00FE43B6" w:rsidRPr="00912996" w:rsidRDefault="00FE43B6" w:rsidP="00FE43B6">
            <w:pPr>
              <w:rPr>
                <w:rFonts w:ascii="Calibri" w:hAnsi="Calibri"/>
                <w:bCs/>
                <w:lang w:eastAsia="ja-JP"/>
              </w:rPr>
            </w:pPr>
            <w:r w:rsidRPr="00912996">
              <w:rPr>
                <w:rFonts w:ascii="Calibri" w:hAnsi="Calibri"/>
                <w:bCs/>
                <w:lang w:eastAsia="ja-JP"/>
              </w:rPr>
              <w:t>10,000</w:t>
            </w:r>
          </w:p>
        </w:tc>
        <w:tc>
          <w:tcPr>
            <w:tcW w:w="380" w:type="pct"/>
            <w:shd w:val="clear" w:color="auto" w:fill="F2F2F2"/>
            <w:hideMark/>
          </w:tcPr>
          <w:p w14:paraId="146F3DC4"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0AA14E7D"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694CD36B"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4357B10C"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417FB6D6" w14:textId="77777777" w:rsidTr="00970E22">
        <w:trPr>
          <w:trHeight w:val="1164"/>
        </w:trPr>
        <w:tc>
          <w:tcPr>
            <w:tcW w:w="219" w:type="pct"/>
            <w:shd w:val="clear" w:color="auto" w:fill="F2F2F2"/>
            <w:noWrap/>
            <w:hideMark/>
          </w:tcPr>
          <w:p w14:paraId="496C335F" w14:textId="77777777" w:rsidR="00FE43B6" w:rsidRPr="00912996" w:rsidRDefault="00FE43B6" w:rsidP="00FE43B6">
            <w:pPr>
              <w:rPr>
                <w:rFonts w:ascii="Calibri" w:hAnsi="Calibri"/>
                <w:bCs/>
                <w:lang w:eastAsia="ja-JP"/>
              </w:rPr>
            </w:pPr>
            <w:r w:rsidRPr="00912996">
              <w:rPr>
                <w:rFonts w:ascii="Calibri" w:hAnsi="Calibri"/>
                <w:bCs/>
                <w:lang w:eastAsia="ja-JP"/>
              </w:rPr>
              <w:t>11</w:t>
            </w:r>
          </w:p>
        </w:tc>
        <w:tc>
          <w:tcPr>
            <w:tcW w:w="790" w:type="pct"/>
            <w:shd w:val="clear" w:color="auto" w:fill="F2F2F2"/>
            <w:hideMark/>
          </w:tcPr>
          <w:p w14:paraId="56FB969B" w14:textId="77777777" w:rsidR="00FE43B6" w:rsidRPr="00912996" w:rsidRDefault="00FE43B6" w:rsidP="00FE43B6">
            <w:pPr>
              <w:rPr>
                <w:rFonts w:ascii="Calibri" w:hAnsi="Calibri"/>
                <w:bCs/>
                <w:lang w:eastAsia="ja-JP"/>
              </w:rPr>
            </w:pPr>
            <w:r w:rsidRPr="00912996">
              <w:rPr>
                <w:rFonts w:ascii="Calibri" w:hAnsi="Calibri"/>
                <w:bCs/>
                <w:lang w:eastAsia="ja-JP"/>
              </w:rPr>
              <w:t>Campanii de educare și încurajare a voluntariatului în rândul cetățenilor în implicarea rezolvării problemelor cu care se confruntă pentru creșterea calității vieții la nivelul Sectorului 2</w:t>
            </w:r>
          </w:p>
        </w:tc>
        <w:tc>
          <w:tcPr>
            <w:tcW w:w="567" w:type="pct"/>
            <w:gridSpan w:val="3"/>
            <w:shd w:val="clear" w:color="auto" w:fill="F2F2F2"/>
            <w:hideMark/>
          </w:tcPr>
          <w:p w14:paraId="0CCDA303"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47F35061"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5C5F6C1C" w14:textId="77777777" w:rsidR="00FE43B6" w:rsidRPr="00912996" w:rsidRDefault="00FE43B6" w:rsidP="00FE43B6">
            <w:pPr>
              <w:rPr>
                <w:rFonts w:ascii="Calibri" w:hAnsi="Calibri"/>
                <w:bCs/>
                <w:lang w:eastAsia="ja-JP"/>
              </w:rPr>
            </w:pPr>
            <w:r w:rsidRPr="00912996">
              <w:rPr>
                <w:rFonts w:ascii="Calibri" w:hAnsi="Calibri"/>
                <w:bCs/>
                <w:lang w:eastAsia="ja-JP"/>
              </w:rPr>
              <w:t>245,000</w:t>
            </w:r>
          </w:p>
        </w:tc>
        <w:tc>
          <w:tcPr>
            <w:tcW w:w="444" w:type="pct"/>
            <w:shd w:val="clear" w:color="auto" w:fill="F2F2F2"/>
            <w:hideMark/>
          </w:tcPr>
          <w:p w14:paraId="53C343F7" w14:textId="77777777" w:rsidR="00FE43B6" w:rsidRPr="00912996" w:rsidRDefault="00FE43B6" w:rsidP="00FE43B6">
            <w:pPr>
              <w:rPr>
                <w:rFonts w:ascii="Calibri" w:hAnsi="Calibri"/>
                <w:bCs/>
                <w:lang w:eastAsia="ja-JP"/>
              </w:rPr>
            </w:pPr>
            <w:r w:rsidRPr="00912996">
              <w:rPr>
                <w:rFonts w:ascii="Calibri" w:hAnsi="Calibri"/>
                <w:bCs/>
                <w:lang w:eastAsia="ja-JP"/>
              </w:rPr>
              <w:t>50,000</w:t>
            </w:r>
          </w:p>
        </w:tc>
        <w:tc>
          <w:tcPr>
            <w:tcW w:w="380" w:type="pct"/>
            <w:shd w:val="clear" w:color="auto" w:fill="F2F2F2"/>
            <w:hideMark/>
          </w:tcPr>
          <w:p w14:paraId="051333C0"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CB4F822"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55A010B5"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78ADE038"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0534FEAE" w14:textId="77777777" w:rsidTr="00970E22">
        <w:trPr>
          <w:trHeight w:val="1524"/>
        </w:trPr>
        <w:tc>
          <w:tcPr>
            <w:tcW w:w="219" w:type="pct"/>
            <w:shd w:val="clear" w:color="auto" w:fill="F2F2F2"/>
            <w:noWrap/>
            <w:hideMark/>
          </w:tcPr>
          <w:p w14:paraId="5B95F832" w14:textId="77777777" w:rsidR="00FE43B6" w:rsidRPr="00912996" w:rsidRDefault="00FE43B6" w:rsidP="00FE43B6">
            <w:pPr>
              <w:rPr>
                <w:rFonts w:ascii="Calibri" w:hAnsi="Calibri"/>
                <w:bCs/>
                <w:lang w:eastAsia="ja-JP"/>
              </w:rPr>
            </w:pPr>
            <w:r w:rsidRPr="00912996">
              <w:rPr>
                <w:rFonts w:ascii="Calibri" w:hAnsi="Calibri"/>
                <w:bCs/>
                <w:lang w:eastAsia="ja-JP"/>
              </w:rPr>
              <w:t>12</w:t>
            </w:r>
          </w:p>
        </w:tc>
        <w:tc>
          <w:tcPr>
            <w:tcW w:w="790" w:type="pct"/>
            <w:shd w:val="clear" w:color="auto" w:fill="F2F2F2"/>
            <w:hideMark/>
          </w:tcPr>
          <w:p w14:paraId="235F88CE" w14:textId="77777777" w:rsidR="00FE43B6" w:rsidRPr="00912996" w:rsidRDefault="00FE43B6" w:rsidP="00FE43B6">
            <w:pPr>
              <w:rPr>
                <w:rFonts w:ascii="Calibri" w:hAnsi="Calibri"/>
                <w:bCs/>
                <w:lang w:eastAsia="ja-JP"/>
              </w:rPr>
            </w:pPr>
            <w:r w:rsidRPr="00912996">
              <w:rPr>
                <w:rFonts w:ascii="Calibri" w:hAnsi="Calibri"/>
                <w:bCs/>
                <w:lang w:eastAsia="ja-JP"/>
              </w:rPr>
              <w:t>Evenimente de networking cu reprezentanți ai mediului academic, de cercetare și privat</w:t>
            </w:r>
          </w:p>
        </w:tc>
        <w:tc>
          <w:tcPr>
            <w:tcW w:w="567" w:type="pct"/>
            <w:gridSpan w:val="3"/>
            <w:shd w:val="clear" w:color="auto" w:fill="F2F2F2"/>
            <w:hideMark/>
          </w:tcPr>
          <w:p w14:paraId="23101D3B"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3C3E2478"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3709E6BC" w14:textId="77777777" w:rsidR="00FE43B6" w:rsidRPr="00912996" w:rsidRDefault="00FE43B6" w:rsidP="00FE43B6">
            <w:pPr>
              <w:rPr>
                <w:rFonts w:ascii="Calibri" w:hAnsi="Calibri"/>
                <w:bCs/>
                <w:lang w:eastAsia="ja-JP"/>
              </w:rPr>
            </w:pPr>
            <w:r w:rsidRPr="00912996">
              <w:rPr>
                <w:rFonts w:ascii="Calibri" w:hAnsi="Calibri"/>
                <w:bCs/>
                <w:lang w:eastAsia="ja-JP"/>
              </w:rPr>
              <w:t>49,000</w:t>
            </w:r>
          </w:p>
        </w:tc>
        <w:tc>
          <w:tcPr>
            <w:tcW w:w="444" w:type="pct"/>
            <w:shd w:val="clear" w:color="auto" w:fill="F2F2F2"/>
            <w:hideMark/>
          </w:tcPr>
          <w:p w14:paraId="11E59DA8" w14:textId="77777777" w:rsidR="00FE43B6" w:rsidRPr="00912996" w:rsidRDefault="00FE43B6" w:rsidP="00FE43B6">
            <w:pPr>
              <w:rPr>
                <w:rFonts w:ascii="Calibri" w:hAnsi="Calibri"/>
                <w:bCs/>
                <w:lang w:eastAsia="ja-JP"/>
              </w:rPr>
            </w:pPr>
            <w:r w:rsidRPr="00912996">
              <w:rPr>
                <w:rFonts w:ascii="Calibri" w:hAnsi="Calibri"/>
                <w:bCs/>
                <w:lang w:eastAsia="ja-JP"/>
              </w:rPr>
              <w:t>10,000</w:t>
            </w:r>
          </w:p>
        </w:tc>
        <w:tc>
          <w:tcPr>
            <w:tcW w:w="380" w:type="pct"/>
            <w:shd w:val="clear" w:color="auto" w:fill="F2F2F2"/>
            <w:hideMark/>
          </w:tcPr>
          <w:p w14:paraId="30DDE3F7"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B7F3B78"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6B194208"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43072C22"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5166B53B" w14:textId="77777777" w:rsidTr="00970E22">
        <w:trPr>
          <w:trHeight w:val="2415"/>
        </w:trPr>
        <w:tc>
          <w:tcPr>
            <w:tcW w:w="219" w:type="pct"/>
            <w:shd w:val="clear" w:color="auto" w:fill="F2F2F2"/>
            <w:noWrap/>
            <w:hideMark/>
          </w:tcPr>
          <w:p w14:paraId="5D1B0305" w14:textId="77777777" w:rsidR="00FE43B6" w:rsidRPr="00912996" w:rsidRDefault="00FE43B6" w:rsidP="00FE43B6">
            <w:pPr>
              <w:rPr>
                <w:rFonts w:ascii="Calibri" w:hAnsi="Calibri"/>
                <w:bCs/>
                <w:lang w:eastAsia="ja-JP"/>
              </w:rPr>
            </w:pPr>
            <w:r w:rsidRPr="00912996">
              <w:rPr>
                <w:rFonts w:ascii="Calibri" w:hAnsi="Calibri"/>
                <w:bCs/>
                <w:lang w:eastAsia="ja-JP"/>
              </w:rPr>
              <w:t>13</w:t>
            </w:r>
          </w:p>
        </w:tc>
        <w:tc>
          <w:tcPr>
            <w:tcW w:w="790" w:type="pct"/>
            <w:shd w:val="clear" w:color="auto" w:fill="F2F2F2"/>
            <w:hideMark/>
          </w:tcPr>
          <w:p w14:paraId="704FBE4A" w14:textId="77777777" w:rsidR="00FE43B6" w:rsidRPr="00912996" w:rsidRDefault="00FE43B6" w:rsidP="00FE43B6">
            <w:pPr>
              <w:rPr>
                <w:rFonts w:ascii="Calibri" w:hAnsi="Calibri"/>
                <w:bCs/>
                <w:lang w:eastAsia="ja-JP"/>
              </w:rPr>
            </w:pPr>
            <w:r w:rsidRPr="00912996">
              <w:rPr>
                <w:rFonts w:ascii="Calibri" w:hAnsi="Calibri"/>
                <w:bCs/>
                <w:lang w:eastAsia="ja-JP"/>
              </w:rPr>
              <w:t>Organizarea de întruniri pentru inițierea parteneriatelor public-private, care să încurajeze participarea organizațiilor din sectorul privat la procesul de elaborare a politicilor publice</w:t>
            </w:r>
          </w:p>
        </w:tc>
        <w:tc>
          <w:tcPr>
            <w:tcW w:w="567" w:type="pct"/>
            <w:gridSpan w:val="3"/>
            <w:shd w:val="clear" w:color="auto" w:fill="F2F2F2"/>
            <w:hideMark/>
          </w:tcPr>
          <w:p w14:paraId="3E44172B"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553990E1"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1C77F3CA" w14:textId="77777777" w:rsidR="00FE43B6" w:rsidRPr="00912996" w:rsidRDefault="00FE43B6" w:rsidP="00FE43B6">
            <w:pPr>
              <w:rPr>
                <w:rFonts w:ascii="Calibri" w:hAnsi="Calibri"/>
                <w:bCs/>
                <w:lang w:eastAsia="ja-JP"/>
              </w:rPr>
            </w:pPr>
            <w:r w:rsidRPr="00912996">
              <w:rPr>
                <w:rFonts w:ascii="Calibri" w:hAnsi="Calibri"/>
                <w:bCs/>
                <w:lang w:eastAsia="ja-JP"/>
              </w:rPr>
              <w:t>49,000</w:t>
            </w:r>
          </w:p>
        </w:tc>
        <w:tc>
          <w:tcPr>
            <w:tcW w:w="444" w:type="pct"/>
            <w:shd w:val="clear" w:color="auto" w:fill="F2F2F2"/>
            <w:hideMark/>
          </w:tcPr>
          <w:p w14:paraId="40D03D03" w14:textId="77777777" w:rsidR="00FE43B6" w:rsidRPr="00912996" w:rsidRDefault="00FE43B6" w:rsidP="00FE43B6">
            <w:pPr>
              <w:rPr>
                <w:rFonts w:ascii="Calibri" w:hAnsi="Calibri"/>
                <w:bCs/>
                <w:lang w:eastAsia="ja-JP"/>
              </w:rPr>
            </w:pPr>
            <w:r w:rsidRPr="00912996">
              <w:rPr>
                <w:rFonts w:ascii="Calibri" w:hAnsi="Calibri"/>
                <w:bCs/>
                <w:lang w:eastAsia="ja-JP"/>
              </w:rPr>
              <w:t>10,000</w:t>
            </w:r>
          </w:p>
        </w:tc>
        <w:tc>
          <w:tcPr>
            <w:tcW w:w="380" w:type="pct"/>
            <w:shd w:val="clear" w:color="auto" w:fill="F2F2F2"/>
            <w:hideMark/>
          </w:tcPr>
          <w:p w14:paraId="0FC17183"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0B2C64C4"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41227331"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61A9FD49"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62D17D19" w14:textId="77777777" w:rsidTr="00970E22">
        <w:trPr>
          <w:trHeight w:val="2784"/>
        </w:trPr>
        <w:tc>
          <w:tcPr>
            <w:tcW w:w="219" w:type="pct"/>
            <w:shd w:val="clear" w:color="auto" w:fill="F2F2F2"/>
            <w:noWrap/>
            <w:hideMark/>
          </w:tcPr>
          <w:p w14:paraId="6C437EDC" w14:textId="77777777" w:rsidR="00FE43B6" w:rsidRPr="00912996" w:rsidRDefault="00FE43B6" w:rsidP="00FE43B6">
            <w:pPr>
              <w:rPr>
                <w:rFonts w:ascii="Calibri" w:hAnsi="Calibri"/>
                <w:bCs/>
                <w:lang w:eastAsia="ja-JP"/>
              </w:rPr>
            </w:pPr>
            <w:r w:rsidRPr="00912996">
              <w:rPr>
                <w:rFonts w:ascii="Calibri" w:hAnsi="Calibri"/>
                <w:bCs/>
                <w:lang w:eastAsia="ja-JP"/>
              </w:rPr>
              <w:t>14</w:t>
            </w:r>
          </w:p>
        </w:tc>
        <w:tc>
          <w:tcPr>
            <w:tcW w:w="790" w:type="pct"/>
            <w:shd w:val="clear" w:color="auto" w:fill="F2F2F2"/>
            <w:hideMark/>
          </w:tcPr>
          <w:p w14:paraId="7466A35F" w14:textId="77777777" w:rsidR="00FE43B6" w:rsidRPr="00912996" w:rsidRDefault="00FE43B6" w:rsidP="00FE43B6">
            <w:pPr>
              <w:rPr>
                <w:rFonts w:ascii="Calibri" w:hAnsi="Calibri"/>
                <w:bCs/>
                <w:lang w:eastAsia="ja-JP"/>
              </w:rPr>
            </w:pPr>
            <w:r w:rsidRPr="00912996">
              <w:rPr>
                <w:rFonts w:ascii="Calibri" w:hAnsi="Calibri"/>
                <w:bCs/>
                <w:lang w:eastAsia="ja-JP"/>
              </w:rPr>
              <w:t>Constituirea unei platforme integrate de promovare și informare cu privire la activitățile culturale desfășurate în Sectorul 2, care să cuprindă și amenajarea unor puncte de informare și promovare (ecrane interactive)</w:t>
            </w:r>
          </w:p>
        </w:tc>
        <w:tc>
          <w:tcPr>
            <w:tcW w:w="567" w:type="pct"/>
            <w:gridSpan w:val="3"/>
            <w:shd w:val="clear" w:color="auto" w:fill="F2F2F2"/>
            <w:hideMark/>
          </w:tcPr>
          <w:p w14:paraId="2096719E"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469188D9"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583BCD7D" w14:textId="77777777" w:rsidR="00FE43B6" w:rsidRPr="00912996" w:rsidRDefault="00FE43B6" w:rsidP="00FE43B6">
            <w:pPr>
              <w:rPr>
                <w:rFonts w:ascii="Calibri" w:hAnsi="Calibri"/>
                <w:bCs/>
                <w:lang w:eastAsia="ja-JP"/>
              </w:rPr>
            </w:pPr>
            <w:r w:rsidRPr="00912996">
              <w:rPr>
                <w:rFonts w:ascii="Calibri" w:hAnsi="Calibri"/>
                <w:bCs/>
                <w:lang w:eastAsia="ja-JP"/>
              </w:rPr>
              <w:t>220,500</w:t>
            </w:r>
          </w:p>
        </w:tc>
        <w:tc>
          <w:tcPr>
            <w:tcW w:w="444" w:type="pct"/>
            <w:shd w:val="clear" w:color="auto" w:fill="F2F2F2"/>
            <w:hideMark/>
          </w:tcPr>
          <w:p w14:paraId="09471A64" w14:textId="77777777" w:rsidR="00FE43B6" w:rsidRPr="00912996" w:rsidRDefault="00FE43B6" w:rsidP="00FE43B6">
            <w:pPr>
              <w:rPr>
                <w:rFonts w:ascii="Calibri" w:hAnsi="Calibri"/>
                <w:bCs/>
                <w:lang w:eastAsia="ja-JP"/>
              </w:rPr>
            </w:pPr>
            <w:r w:rsidRPr="00912996">
              <w:rPr>
                <w:rFonts w:ascii="Calibri" w:hAnsi="Calibri"/>
                <w:bCs/>
                <w:lang w:eastAsia="ja-JP"/>
              </w:rPr>
              <w:t>45,000</w:t>
            </w:r>
          </w:p>
        </w:tc>
        <w:tc>
          <w:tcPr>
            <w:tcW w:w="380" w:type="pct"/>
            <w:shd w:val="clear" w:color="auto" w:fill="F2F2F2"/>
            <w:hideMark/>
          </w:tcPr>
          <w:p w14:paraId="07CC29FA" w14:textId="77777777" w:rsidR="00FE43B6" w:rsidRPr="00912996" w:rsidRDefault="00FE43B6" w:rsidP="00FE43B6">
            <w:pPr>
              <w:rPr>
                <w:rFonts w:ascii="Calibri" w:hAnsi="Calibri"/>
                <w:bCs/>
                <w:lang w:eastAsia="ja-JP"/>
              </w:rPr>
            </w:pPr>
            <w:r>
              <w:rPr>
                <w:rFonts w:ascii="Calibri" w:hAnsi="Calibri"/>
                <w:bCs/>
                <w:lang w:eastAsia="ja-JP"/>
              </w:rPr>
              <w:t>N/A</w:t>
            </w:r>
          </w:p>
        </w:tc>
        <w:tc>
          <w:tcPr>
            <w:tcW w:w="664" w:type="pct"/>
            <w:shd w:val="clear" w:color="auto" w:fill="F2F2F2"/>
            <w:hideMark/>
          </w:tcPr>
          <w:p w14:paraId="3E72FF69"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w:t>
            </w:r>
            <w:r>
              <w:rPr>
                <w:rFonts w:ascii="Calibri" w:hAnsi="Calibri"/>
                <w:bCs/>
                <w:lang w:eastAsia="ja-JP"/>
              </w:rPr>
              <w:t xml:space="preserve"> de finanțare</w:t>
            </w:r>
          </w:p>
        </w:tc>
        <w:tc>
          <w:tcPr>
            <w:tcW w:w="444" w:type="pct"/>
            <w:shd w:val="clear" w:color="auto" w:fill="F2F2F2"/>
            <w:hideMark/>
          </w:tcPr>
          <w:p w14:paraId="5CBD43B2"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63DAFAB9"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6A158632" w14:textId="77777777" w:rsidTr="00FE43B6">
        <w:trPr>
          <w:trHeight w:val="276"/>
        </w:trPr>
        <w:tc>
          <w:tcPr>
            <w:tcW w:w="5000" w:type="pct"/>
            <w:gridSpan w:val="12"/>
            <w:shd w:val="clear" w:color="auto" w:fill="BBD9A0"/>
            <w:noWrap/>
            <w:hideMark/>
          </w:tcPr>
          <w:p w14:paraId="19B90585" w14:textId="77777777" w:rsidR="00FE43B6" w:rsidRPr="00912996" w:rsidRDefault="00FE43B6" w:rsidP="00FE43B6">
            <w:pPr>
              <w:rPr>
                <w:rFonts w:ascii="Calibri" w:hAnsi="Calibri"/>
                <w:b/>
                <w:bCs/>
                <w:lang w:eastAsia="ja-JP"/>
              </w:rPr>
            </w:pPr>
            <w:r w:rsidRPr="00912996">
              <w:rPr>
                <w:rFonts w:ascii="Calibri" w:hAnsi="Calibri"/>
                <w:b/>
                <w:bCs/>
                <w:color w:val="FFFFFF"/>
                <w:lang w:eastAsia="ja-JP"/>
              </w:rPr>
              <w:t>D4.2.2. Creșterea transparenței administrației locale prin îmbunătățirea calității datelor publice și îmbunătățirea gradului de conformare față de standardele privind afișarea din oficiu a informațiilor de interes</w:t>
            </w:r>
          </w:p>
        </w:tc>
      </w:tr>
      <w:tr w:rsidR="00FE43B6" w:rsidRPr="00912996" w14:paraId="3C3CD0DD" w14:textId="77777777" w:rsidTr="00EF585B">
        <w:trPr>
          <w:trHeight w:val="2433"/>
        </w:trPr>
        <w:tc>
          <w:tcPr>
            <w:tcW w:w="219" w:type="pct"/>
            <w:shd w:val="clear" w:color="auto" w:fill="F2F2F2"/>
            <w:noWrap/>
            <w:hideMark/>
          </w:tcPr>
          <w:p w14:paraId="56CA25EC"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241DAEF2" w14:textId="77777777" w:rsidR="00FE43B6" w:rsidRPr="00912996" w:rsidRDefault="00FE43B6" w:rsidP="00FE43B6">
            <w:pPr>
              <w:rPr>
                <w:rFonts w:ascii="Calibri" w:hAnsi="Calibri"/>
                <w:bCs/>
                <w:lang w:eastAsia="ja-JP"/>
              </w:rPr>
            </w:pPr>
            <w:r w:rsidRPr="00912996">
              <w:rPr>
                <w:rFonts w:ascii="Calibri" w:hAnsi="Calibri"/>
                <w:bCs/>
                <w:lang w:eastAsia="ja-JP"/>
              </w:rPr>
              <w:t>Identificarea și reorganizarea tuturor datelor publice existente la nivelul instituției. Publicarea lor într-un format accesibil și intuitiv pe pagina proprie a instituției</w:t>
            </w:r>
          </w:p>
        </w:tc>
        <w:tc>
          <w:tcPr>
            <w:tcW w:w="567" w:type="pct"/>
            <w:gridSpan w:val="3"/>
            <w:shd w:val="clear" w:color="auto" w:fill="F2F2F2"/>
            <w:hideMark/>
          </w:tcPr>
          <w:p w14:paraId="21CD3615" w14:textId="49BB403B"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Secretariatul General al Guvernului - Parteneriatul pentru Guvernare Deschisă, mediul ONG</w:t>
            </w:r>
          </w:p>
        </w:tc>
        <w:tc>
          <w:tcPr>
            <w:tcW w:w="543" w:type="pct"/>
            <w:shd w:val="clear" w:color="auto" w:fill="F2F2F2"/>
            <w:hideMark/>
          </w:tcPr>
          <w:p w14:paraId="58A097FF"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23F3FFB5" w14:textId="77777777" w:rsidR="00FE43B6" w:rsidRPr="00912996" w:rsidRDefault="00FE43B6" w:rsidP="00FE43B6">
            <w:pPr>
              <w:rPr>
                <w:rFonts w:ascii="Calibri" w:hAnsi="Calibri"/>
                <w:bCs/>
                <w:lang w:eastAsia="ja-JP"/>
              </w:rPr>
            </w:pPr>
            <w:r w:rsidRPr="00912996">
              <w:rPr>
                <w:rFonts w:ascii="Calibri" w:hAnsi="Calibri"/>
                <w:bCs/>
                <w:lang w:eastAsia="ja-JP"/>
              </w:rPr>
              <w:t>245,000</w:t>
            </w:r>
          </w:p>
        </w:tc>
        <w:tc>
          <w:tcPr>
            <w:tcW w:w="444" w:type="pct"/>
            <w:shd w:val="clear" w:color="auto" w:fill="F2F2F2"/>
            <w:hideMark/>
          </w:tcPr>
          <w:p w14:paraId="62A59613" w14:textId="77777777" w:rsidR="00FE43B6" w:rsidRPr="00912996" w:rsidRDefault="00FE43B6" w:rsidP="00FE43B6">
            <w:pPr>
              <w:rPr>
                <w:rFonts w:ascii="Calibri" w:hAnsi="Calibri"/>
                <w:bCs/>
                <w:lang w:eastAsia="ja-JP"/>
              </w:rPr>
            </w:pPr>
            <w:r w:rsidRPr="00912996">
              <w:rPr>
                <w:rFonts w:ascii="Calibri" w:hAnsi="Calibri"/>
                <w:bCs/>
                <w:lang w:eastAsia="ja-JP"/>
              </w:rPr>
              <w:t>50,000</w:t>
            </w:r>
          </w:p>
        </w:tc>
        <w:tc>
          <w:tcPr>
            <w:tcW w:w="380" w:type="pct"/>
            <w:shd w:val="clear" w:color="auto" w:fill="F2F2F2"/>
            <w:hideMark/>
          </w:tcPr>
          <w:p w14:paraId="057B3025"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61F2BBBA" w14:textId="77777777" w:rsidR="00FE43B6" w:rsidRPr="00912996" w:rsidRDefault="00FE43B6" w:rsidP="00FE43B6">
            <w:pPr>
              <w:rPr>
                <w:rFonts w:ascii="Calibri" w:hAnsi="Calibri"/>
                <w:bCs/>
                <w:lang w:eastAsia="ja-JP"/>
              </w:rPr>
            </w:pPr>
            <w:r w:rsidRPr="00912996">
              <w:rPr>
                <w:rFonts w:ascii="Calibri" w:hAnsi="Calibri"/>
                <w:bCs/>
                <w:lang w:eastAsia="ja-JP"/>
              </w:rPr>
              <w:t>PNRR</w:t>
            </w:r>
          </w:p>
        </w:tc>
        <w:tc>
          <w:tcPr>
            <w:tcW w:w="444" w:type="pct"/>
            <w:shd w:val="clear" w:color="auto" w:fill="F2F2F2"/>
            <w:hideMark/>
          </w:tcPr>
          <w:p w14:paraId="3818C8EE"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29E11DB1"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250F20D3" w14:textId="77777777" w:rsidTr="00EF585B">
        <w:trPr>
          <w:trHeight w:val="2514"/>
        </w:trPr>
        <w:tc>
          <w:tcPr>
            <w:tcW w:w="219" w:type="pct"/>
            <w:shd w:val="clear" w:color="auto" w:fill="F2F2F2"/>
            <w:noWrap/>
            <w:hideMark/>
          </w:tcPr>
          <w:p w14:paraId="042585A8"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2E852991" w14:textId="77777777" w:rsidR="00FE43B6" w:rsidRPr="00912996" w:rsidRDefault="00FE43B6" w:rsidP="00FE43B6">
            <w:pPr>
              <w:rPr>
                <w:rFonts w:ascii="Calibri" w:hAnsi="Calibri"/>
                <w:bCs/>
                <w:lang w:eastAsia="ja-JP"/>
              </w:rPr>
            </w:pPr>
            <w:r w:rsidRPr="00912996">
              <w:rPr>
                <w:rFonts w:ascii="Calibri" w:hAnsi="Calibri"/>
                <w:bCs/>
                <w:lang w:eastAsia="ja-JP"/>
              </w:rPr>
              <w:t>Pilotarea publicării de date publice deschise pe pagina proprie și pe portalul național de date publice deschise data.gov.ro</w:t>
            </w:r>
          </w:p>
        </w:tc>
        <w:tc>
          <w:tcPr>
            <w:tcW w:w="567" w:type="pct"/>
            <w:gridSpan w:val="3"/>
            <w:shd w:val="clear" w:color="auto" w:fill="F2F2F2"/>
            <w:hideMark/>
          </w:tcPr>
          <w:p w14:paraId="4598679B" w14:textId="54A557CD"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Secretariatul General al Guvernului - Parteneriatul pentru Guvernare Deschisă, mediul ONG</w:t>
            </w:r>
          </w:p>
        </w:tc>
        <w:tc>
          <w:tcPr>
            <w:tcW w:w="543" w:type="pct"/>
            <w:shd w:val="clear" w:color="auto" w:fill="F2F2F2"/>
            <w:hideMark/>
          </w:tcPr>
          <w:p w14:paraId="02CB8D8A"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56018DA5" w14:textId="77777777" w:rsidR="00FE43B6" w:rsidRPr="00912996" w:rsidRDefault="00FE43B6" w:rsidP="00FE43B6">
            <w:pPr>
              <w:rPr>
                <w:rFonts w:ascii="Calibri" w:hAnsi="Calibri"/>
                <w:bCs/>
                <w:lang w:eastAsia="ja-JP"/>
              </w:rPr>
            </w:pPr>
            <w:r w:rsidRPr="00912996">
              <w:rPr>
                <w:rFonts w:ascii="Calibri" w:hAnsi="Calibri"/>
                <w:bCs/>
                <w:lang w:eastAsia="ja-JP"/>
              </w:rPr>
              <w:t>245,000</w:t>
            </w:r>
          </w:p>
        </w:tc>
        <w:tc>
          <w:tcPr>
            <w:tcW w:w="444" w:type="pct"/>
            <w:shd w:val="clear" w:color="auto" w:fill="F2F2F2"/>
            <w:hideMark/>
          </w:tcPr>
          <w:p w14:paraId="14A3DAB9" w14:textId="77777777" w:rsidR="00FE43B6" w:rsidRPr="00912996" w:rsidRDefault="00FE43B6" w:rsidP="00FE43B6">
            <w:pPr>
              <w:rPr>
                <w:rFonts w:ascii="Calibri" w:hAnsi="Calibri"/>
                <w:bCs/>
                <w:lang w:eastAsia="ja-JP"/>
              </w:rPr>
            </w:pPr>
            <w:r w:rsidRPr="00912996">
              <w:rPr>
                <w:rFonts w:ascii="Calibri" w:hAnsi="Calibri"/>
                <w:bCs/>
                <w:lang w:eastAsia="ja-JP"/>
              </w:rPr>
              <w:t>50,000</w:t>
            </w:r>
          </w:p>
        </w:tc>
        <w:tc>
          <w:tcPr>
            <w:tcW w:w="380" w:type="pct"/>
            <w:shd w:val="clear" w:color="auto" w:fill="F2F2F2"/>
            <w:hideMark/>
          </w:tcPr>
          <w:p w14:paraId="6D0AA546"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C7365DD" w14:textId="77777777" w:rsidR="00FE43B6" w:rsidRPr="00912996" w:rsidRDefault="00FE43B6" w:rsidP="00FE43B6">
            <w:pPr>
              <w:rPr>
                <w:rFonts w:ascii="Calibri" w:hAnsi="Calibri"/>
                <w:bCs/>
                <w:lang w:eastAsia="ja-JP"/>
              </w:rPr>
            </w:pPr>
            <w:r w:rsidRPr="00912996">
              <w:rPr>
                <w:rFonts w:ascii="Calibri" w:hAnsi="Calibri"/>
                <w:bCs/>
                <w:lang w:eastAsia="ja-JP"/>
              </w:rPr>
              <w:t>PNRR</w:t>
            </w:r>
          </w:p>
        </w:tc>
        <w:tc>
          <w:tcPr>
            <w:tcW w:w="444" w:type="pct"/>
            <w:shd w:val="clear" w:color="auto" w:fill="F2F2F2"/>
            <w:hideMark/>
          </w:tcPr>
          <w:p w14:paraId="0217BDCF"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63D95E9A"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41EDCB3" w14:textId="77777777" w:rsidTr="00EF585B">
        <w:trPr>
          <w:trHeight w:val="2478"/>
        </w:trPr>
        <w:tc>
          <w:tcPr>
            <w:tcW w:w="219" w:type="pct"/>
            <w:shd w:val="clear" w:color="auto" w:fill="F2F2F2"/>
            <w:noWrap/>
            <w:hideMark/>
          </w:tcPr>
          <w:p w14:paraId="506B1831" w14:textId="77777777" w:rsidR="00FE43B6" w:rsidRPr="00912996" w:rsidRDefault="00FE43B6" w:rsidP="00FE43B6">
            <w:pPr>
              <w:rPr>
                <w:rFonts w:ascii="Calibri" w:hAnsi="Calibri"/>
                <w:bCs/>
                <w:lang w:eastAsia="ja-JP"/>
              </w:rPr>
            </w:pPr>
            <w:r w:rsidRPr="00912996">
              <w:rPr>
                <w:rFonts w:ascii="Calibri" w:hAnsi="Calibri"/>
                <w:bCs/>
                <w:lang w:eastAsia="ja-JP"/>
              </w:rPr>
              <w:t>3</w:t>
            </w:r>
          </w:p>
        </w:tc>
        <w:tc>
          <w:tcPr>
            <w:tcW w:w="790" w:type="pct"/>
            <w:shd w:val="clear" w:color="auto" w:fill="F2F2F2"/>
            <w:hideMark/>
          </w:tcPr>
          <w:p w14:paraId="378BEBF7" w14:textId="77777777" w:rsidR="00FE43B6" w:rsidRPr="00912996" w:rsidRDefault="00FE43B6" w:rsidP="00FE43B6">
            <w:pPr>
              <w:rPr>
                <w:rFonts w:ascii="Calibri" w:hAnsi="Calibri"/>
                <w:bCs/>
                <w:lang w:eastAsia="ja-JP"/>
              </w:rPr>
            </w:pPr>
            <w:r w:rsidRPr="00912996">
              <w:rPr>
                <w:rFonts w:ascii="Calibri" w:hAnsi="Calibri"/>
                <w:bCs/>
                <w:lang w:eastAsia="ja-JP"/>
              </w:rPr>
              <w:t>Stabilirea unui plan de formare pentru personalul instituției cu competențe în publicarea datelor publice, transparenței și răspunsului la solicitările de informații</w:t>
            </w:r>
          </w:p>
        </w:tc>
        <w:tc>
          <w:tcPr>
            <w:tcW w:w="567" w:type="pct"/>
            <w:gridSpan w:val="3"/>
            <w:shd w:val="clear" w:color="auto" w:fill="F2F2F2"/>
            <w:hideMark/>
          </w:tcPr>
          <w:p w14:paraId="0DE8263F"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Secretariatul General al Guvernului - Parteneriatul pentru Guvernare Deschisă, mediul ONG</w:t>
            </w:r>
          </w:p>
        </w:tc>
        <w:tc>
          <w:tcPr>
            <w:tcW w:w="543" w:type="pct"/>
            <w:shd w:val="clear" w:color="auto" w:fill="F2F2F2"/>
            <w:hideMark/>
          </w:tcPr>
          <w:p w14:paraId="1E0FE541"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62DAA216" w14:textId="77777777" w:rsidR="00FE43B6" w:rsidRPr="00912996" w:rsidRDefault="00FE43B6" w:rsidP="00FE43B6">
            <w:pPr>
              <w:rPr>
                <w:rFonts w:ascii="Calibri" w:hAnsi="Calibri"/>
                <w:bCs/>
                <w:lang w:eastAsia="ja-JP"/>
              </w:rPr>
            </w:pPr>
            <w:r w:rsidRPr="00912996">
              <w:rPr>
                <w:rFonts w:ascii="Calibri" w:hAnsi="Calibri"/>
                <w:bCs/>
                <w:lang w:eastAsia="ja-JP"/>
              </w:rPr>
              <w:t>98,000</w:t>
            </w:r>
          </w:p>
        </w:tc>
        <w:tc>
          <w:tcPr>
            <w:tcW w:w="444" w:type="pct"/>
            <w:shd w:val="clear" w:color="auto" w:fill="F2F2F2"/>
            <w:hideMark/>
          </w:tcPr>
          <w:p w14:paraId="78891E06" w14:textId="77777777" w:rsidR="00FE43B6" w:rsidRPr="00912996" w:rsidRDefault="00FE43B6" w:rsidP="00FE43B6">
            <w:pPr>
              <w:rPr>
                <w:rFonts w:ascii="Calibri" w:hAnsi="Calibri"/>
                <w:bCs/>
                <w:lang w:eastAsia="ja-JP"/>
              </w:rPr>
            </w:pPr>
            <w:r w:rsidRPr="00912996">
              <w:rPr>
                <w:rFonts w:ascii="Calibri" w:hAnsi="Calibri"/>
                <w:bCs/>
                <w:lang w:eastAsia="ja-JP"/>
              </w:rPr>
              <w:t>20,000</w:t>
            </w:r>
          </w:p>
        </w:tc>
        <w:tc>
          <w:tcPr>
            <w:tcW w:w="380" w:type="pct"/>
            <w:shd w:val="clear" w:color="auto" w:fill="F2F2F2"/>
            <w:hideMark/>
          </w:tcPr>
          <w:p w14:paraId="3F51CBEF"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0095E20" w14:textId="77777777" w:rsidR="00FE43B6" w:rsidRPr="00912996" w:rsidRDefault="00FE43B6" w:rsidP="00FE43B6">
            <w:pPr>
              <w:rPr>
                <w:rFonts w:ascii="Calibri" w:hAnsi="Calibri"/>
                <w:bCs/>
                <w:lang w:eastAsia="ja-JP"/>
              </w:rPr>
            </w:pPr>
            <w:r w:rsidRPr="00912996">
              <w:rPr>
                <w:rFonts w:ascii="Calibri" w:hAnsi="Calibri"/>
                <w:bCs/>
                <w:lang w:eastAsia="ja-JP"/>
              </w:rPr>
              <w:t>PNRR</w:t>
            </w:r>
          </w:p>
        </w:tc>
        <w:tc>
          <w:tcPr>
            <w:tcW w:w="444" w:type="pct"/>
            <w:shd w:val="clear" w:color="auto" w:fill="F2F2F2"/>
            <w:hideMark/>
          </w:tcPr>
          <w:p w14:paraId="426CC459"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61B55230"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3E8C5AF2" w14:textId="77777777" w:rsidTr="00EF585B">
        <w:trPr>
          <w:trHeight w:val="1434"/>
        </w:trPr>
        <w:tc>
          <w:tcPr>
            <w:tcW w:w="219" w:type="pct"/>
            <w:shd w:val="clear" w:color="auto" w:fill="F2F2F2"/>
            <w:noWrap/>
            <w:hideMark/>
          </w:tcPr>
          <w:p w14:paraId="2F0569AA" w14:textId="77777777" w:rsidR="00FE43B6" w:rsidRPr="00912996" w:rsidRDefault="00FE43B6" w:rsidP="00FE43B6">
            <w:pPr>
              <w:rPr>
                <w:rFonts w:ascii="Calibri" w:hAnsi="Calibri"/>
                <w:bCs/>
                <w:lang w:eastAsia="ja-JP"/>
              </w:rPr>
            </w:pPr>
            <w:r w:rsidRPr="00912996">
              <w:rPr>
                <w:rFonts w:ascii="Calibri" w:hAnsi="Calibri"/>
                <w:bCs/>
                <w:lang w:eastAsia="ja-JP"/>
              </w:rPr>
              <w:t>4</w:t>
            </w:r>
          </w:p>
        </w:tc>
        <w:tc>
          <w:tcPr>
            <w:tcW w:w="790" w:type="pct"/>
            <w:shd w:val="clear" w:color="auto" w:fill="F2F2F2"/>
            <w:hideMark/>
          </w:tcPr>
          <w:p w14:paraId="7DB35FCB" w14:textId="77777777" w:rsidR="00FE43B6" w:rsidRPr="00912996" w:rsidRDefault="00FE43B6" w:rsidP="00FE43B6">
            <w:pPr>
              <w:rPr>
                <w:rFonts w:ascii="Calibri" w:hAnsi="Calibri"/>
                <w:bCs/>
                <w:lang w:eastAsia="ja-JP"/>
              </w:rPr>
            </w:pPr>
            <w:r w:rsidRPr="00912996">
              <w:rPr>
                <w:rFonts w:ascii="Calibri" w:hAnsi="Calibri"/>
                <w:bCs/>
                <w:lang w:eastAsia="ja-JP"/>
              </w:rPr>
              <w:t>Registru public al solicitărilor de informații, accesibil pe pagina instituției. Evaluarea anuală a solicitărilor de informații și adaptarea strategiei de comunicare și datelor publice în funcție de cerințele cetățenilor</w:t>
            </w:r>
          </w:p>
        </w:tc>
        <w:tc>
          <w:tcPr>
            <w:tcW w:w="567" w:type="pct"/>
            <w:gridSpan w:val="3"/>
            <w:shd w:val="clear" w:color="auto" w:fill="F2F2F2"/>
            <w:hideMark/>
          </w:tcPr>
          <w:p w14:paraId="656EE20F"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69E34844"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4F584B58"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094F455D"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4124C4D2"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3A9F836E"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1481F652"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58D355B8"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218A93CD" w14:textId="77777777" w:rsidTr="00EF585B">
        <w:trPr>
          <w:trHeight w:val="1704"/>
        </w:trPr>
        <w:tc>
          <w:tcPr>
            <w:tcW w:w="219" w:type="pct"/>
            <w:shd w:val="clear" w:color="auto" w:fill="F2F2F2"/>
            <w:noWrap/>
            <w:hideMark/>
          </w:tcPr>
          <w:p w14:paraId="2989CD5B" w14:textId="77777777" w:rsidR="00FE43B6" w:rsidRPr="00912996" w:rsidRDefault="00FE43B6" w:rsidP="00FE43B6">
            <w:pPr>
              <w:rPr>
                <w:rFonts w:ascii="Calibri" w:hAnsi="Calibri"/>
                <w:bCs/>
                <w:lang w:eastAsia="ja-JP"/>
              </w:rPr>
            </w:pPr>
            <w:r w:rsidRPr="00912996">
              <w:rPr>
                <w:rFonts w:ascii="Calibri" w:hAnsi="Calibri"/>
                <w:bCs/>
                <w:lang w:eastAsia="ja-JP"/>
              </w:rPr>
              <w:t>5</w:t>
            </w:r>
          </w:p>
        </w:tc>
        <w:tc>
          <w:tcPr>
            <w:tcW w:w="790" w:type="pct"/>
            <w:shd w:val="clear" w:color="auto" w:fill="F2F2F2"/>
            <w:hideMark/>
          </w:tcPr>
          <w:p w14:paraId="2697F4ED" w14:textId="77777777" w:rsidR="00FE43B6" w:rsidRPr="00912996" w:rsidRDefault="00FE43B6" w:rsidP="00FE43B6">
            <w:pPr>
              <w:rPr>
                <w:rFonts w:ascii="Calibri" w:hAnsi="Calibri"/>
                <w:bCs/>
                <w:lang w:eastAsia="ja-JP"/>
              </w:rPr>
            </w:pPr>
            <w:r w:rsidRPr="00912996">
              <w:rPr>
                <w:rFonts w:ascii="Calibri" w:hAnsi="Calibri"/>
                <w:bCs/>
                <w:lang w:eastAsia="ja-JP"/>
              </w:rPr>
              <w:t>Evaluarea anuală a calității datelor publice pe pagina oficială a Primăriei Sector și paginile instituțiilor subordonatelor</w:t>
            </w:r>
          </w:p>
        </w:tc>
        <w:tc>
          <w:tcPr>
            <w:tcW w:w="567" w:type="pct"/>
            <w:gridSpan w:val="3"/>
            <w:shd w:val="clear" w:color="auto" w:fill="F2F2F2"/>
            <w:hideMark/>
          </w:tcPr>
          <w:p w14:paraId="2E9BEBE9"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contractor extern, mediul asociativ</w:t>
            </w:r>
          </w:p>
        </w:tc>
        <w:tc>
          <w:tcPr>
            <w:tcW w:w="543" w:type="pct"/>
            <w:shd w:val="clear" w:color="auto" w:fill="F2F2F2"/>
            <w:hideMark/>
          </w:tcPr>
          <w:p w14:paraId="2EB60BE2"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18F2A676" w14:textId="77777777" w:rsidR="00FE43B6" w:rsidRPr="00912996" w:rsidRDefault="00FE43B6" w:rsidP="00FE43B6">
            <w:pPr>
              <w:rPr>
                <w:rFonts w:ascii="Calibri" w:hAnsi="Calibri"/>
                <w:bCs/>
                <w:lang w:eastAsia="ja-JP"/>
              </w:rPr>
            </w:pPr>
            <w:r w:rsidRPr="00912996">
              <w:rPr>
                <w:rFonts w:ascii="Calibri" w:hAnsi="Calibri"/>
                <w:bCs/>
                <w:lang w:eastAsia="ja-JP"/>
              </w:rPr>
              <w:t>73,500</w:t>
            </w:r>
          </w:p>
        </w:tc>
        <w:tc>
          <w:tcPr>
            <w:tcW w:w="444" w:type="pct"/>
            <w:shd w:val="clear" w:color="auto" w:fill="F2F2F2"/>
            <w:hideMark/>
          </w:tcPr>
          <w:p w14:paraId="2FE8A9AD" w14:textId="77777777" w:rsidR="00FE43B6" w:rsidRPr="00912996" w:rsidRDefault="00FE43B6" w:rsidP="00FE43B6">
            <w:pPr>
              <w:rPr>
                <w:rFonts w:ascii="Calibri" w:hAnsi="Calibri"/>
                <w:bCs/>
                <w:lang w:eastAsia="ja-JP"/>
              </w:rPr>
            </w:pPr>
            <w:r w:rsidRPr="00912996">
              <w:rPr>
                <w:rFonts w:ascii="Calibri" w:hAnsi="Calibri"/>
                <w:bCs/>
                <w:lang w:eastAsia="ja-JP"/>
              </w:rPr>
              <w:t>15,000</w:t>
            </w:r>
          </w:p>
        </w:tc>
        <w:tc>
          <w:tcPr>
            <w:tcW w:w="380" w:type="pct"/>
            <w:shd w:val="clear" w:color="auto" w:fill="F2F2F2"/>
            <w:hideMark/>
          </w:tcPr>
          <w:p w14:paraId="0BC21D27"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30E529B3" w14:textId="77777777" w:rsidR="00FE43B6" w:rsidRPr="00912996" w:rsidRDefault="00FE43B6" w:rsidP="00FE43B6">
            <w:pPr>
              <w:rPr>
                <w:rFonts w:ascii="Calibri" w:hAnsi="Calibri"/>
                <w:bCs/>
                <w:lang w:eastAsia="ja-JP"/>
              </w:rPr>
            </w:pPr>
            <w:r w:rsidRPr="00912996">
              <w:rPr>
                <w:rFonts w:ascii="Calibri" w:hAnsi="Calibri"/>
                <w:bCs/>
                <w:lang w:eastAsia="ja-JP"/>
              </w:rPr>
              <w:t>Bugetul local, PNRR</w:t>
            </w:r>
          </w:p>
        </w:tc>
        <w:tc>
          <w:tcPr>
            <w:tcW w:w="444" w:type="pct"/>
            <w:shd w:val="clear" w:color="auto" w:fill="F2F2F2"/>
            <w:hideMark/>
          </w:tcPr>
          <w:p w14:paraId="627D8B45"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0554CEB4"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65FEA123" w14:textId="77777777" w:rsidTr="00EF585B">
        <w:trPr>
          <w:trHeight w:val="2055"/>
        </w:trPr>
        <w:tc>
          <w:tcPr>
            <w:tcW w:w="219" w:type="pct"/>
            <w:shd w:val="clear" w:color="auto" w:fill="F2F2F2"/>
            <w:noWrap/>
            <w:hideMark/>
          </w:tcPr>
          <w:p w14:paraId="5C54F317" w14:textId="77777777" w:rsidR="00FE43B6" w:rsidRPr="00912996" w:rsidRDefault="00FE43B6" w:rsidP="00FE43B6">
            <w:pPr>
              <w:rPr>
                <w:rFonts w:ascii="Calibri" w:hAnsi="Calibri"/>
                <w:bCs/>
                <w:lang w:eastAsia="ja-JP"/>
              </w:rPr>
            </w:pPr>
            <w:r w:rsidRPr="00912996">
              <w:rPr>
                <w:rFonts w:ascii="Calibri" w:hAnsi="Calibri"/>
                <w:bCs/>
                <w:lang w:eastAsia="ja-JP"/>
              </w:rPr>
              <w:t>6</w:t>
            </w:r>
          </w:p>
        </w:tc>
        <w:tc>
          <w:tcPr>
            <w:tcW w:w="790" w:type="pct"/>
            <w:shd w:val="clear" w:color="auto" w:fill="F2F2F2"/>
            <w:hideMark/>
          </w:tcPr>
          <w:p w14:paraId="41FEAE78" w14:textId="77777777" w:rsidR="00FE43B6" w:rsidRPr="00912996" w:rsidRDefault="00FE43B6" w:rsidP="00FE43B6">
            <w:pPr>
              <w:rPr>
                <w:rFonts w:ascii="Calibri" w:hAnsi="Calibri"/>
                <w:bCs/>
                <w:lang w:eastAsia="ja-JP"/>
              </w:rPr>
            </w:pPr>
            <w:r w:rsidRPr="00912996">
              <w:rPr>
                <w:rFonts w:ascii="Calibri" w:hAnsi="Calibri"/>
                <w:bCs/>
                <w:lang w:eastAsia="ja-JP"/>
              </w:rPr>
              <w:t>Îmbunătățirea calității raportărilor publice privind Legea 544/2001 și Legea 52/2003. Prezentarea rapoartelor anuale în formate interactive și deschise</w:t>
            </w:r>
          </w:p>
        </w:tc>
        <w:tc>
          <w:tcPr>
            <w:tcW w:w="567" w:type="pct"/>
            <w:gridSpan w:val="3"/>
            <w:shd w:val="clear" w:color="auto" w:fill="F2F2F2"/>
            <w:hideMark/>
          </w:tcPr>
          <w:p w14:paraId="627807C2"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31CE9956"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5DDD3562"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0A55D2D6"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1986143E"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7C3405A"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28888E85"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19D04548"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67E95FE9" w14:textId="77777777" w:rsidTr="00EF585B">
        <w:trPr>
          <w:trHeight w:val="1254"/>
        </w:trPr>
        <w:tc>
          <w:tcPr>
            <w:tcW w:w="219" w:type="pct"/>
            <w:shd w:val="clear" w:color="auto" w:fill="F2F2F2"/>
            <w:noWrap/>
            <w:hideMark/>
          </w:tcPr>
          <w:p w14:paraId="7478AE94" w14:textId="77777777" w:rsidR="00FE43B6" w:rsidRPr="00912996" w:rsidRDefault="00FE43B6" w:rsidP="00FE43B6">
            <w:pPr>
              <w:rPr>
                <w:rFonts w:ascii="Calibri" w:hAnsi="Calibri"/>
                <w:bCs/>
                <w:lang w:eastAsia="ja-JP"/>
              </w:rPr>
            </w:pPr>
            <w:r w:rsidRPr="00912996">
              <w:rPr>
                <w:rFonts w:ascii="Calibri" w:hAnsi="Calibri"/>
                <w:bCs/>
                <w:lang w:eastAsia="ja-JP"/>
              </w:rPr>
              <w:t>7</w:t>
            </w:r>
          </w:p>
        </w:tc>
        <w:tc>
          <w:tcPr>
            <w:tcW w:w="790" w:type="pct"/>
            <w:shd w:val="clear" w:color="auto" w:fill="F2F2F2"/>
            <w:hideMark/>
          </w:tcPr>
          <w:p w14:paraId="54CE4F10" w14:textId="77777777" w:rsidR="00FE43B6" w:rsidRPr="00912996" w:rsidRDefault="00FE43B6" w:rsidP="00FE43B6">
            <w:pPr>
              <w:rPr>
                <w:rFonts w:ascii="Calibri" w:hAnsi="Calibri"/>
                <w:bCs/>
                <w:lang w:eastAsia="ja-JP"/>
              </w:rPr>
            </w:pPr>
            <w:r w:rsidRPr="00912996">
              <w:rPr>
                <w:rFonts w:ascii="Calibri" w:hAnsi="Calibri"/>
                <w:bCs/>
                <w:lang w:eastAsia="ja-JP"/>
              </w:rPr>
              <w:t>Îmbunătățirea calității raportărilor anuale ale aparatului propriu și consilierilor locali</w:t>
            </w:r>
          </w:p>
        </w:tc>
        <w:tc>
          <w:tcPr>
            <w:tcW w:w="567" w:type="pct"/>
            <w:gridSpan w:val="3"/>
            <w:shd w:val="clear" w:color="auto" w:fill="F2F2F2"/>
            <w:hideMark/>
          </w:tcPr>
          <w:p w14:paraId="09BBF6DA"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0AF9BB1A"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298B86E0"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68C1FC37"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74F5B6B3"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116EE060"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65A2735A"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2430318B"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1A0ECC76" w14:textId="77777777" w:rsidTr="00EF585B">
        <w:trPr>
          <w:trHeight w:val="1515"/>
        </w:trPr>
        <w:tc>
          <w:tcPr>
            <w:tcW w:w="219" w:type="pct"/>
            <w:shd w:val="clear" w:color="auto" w:fill="F2F2F2"/>
            <w:noWrap/>
            <w:hideMark/>
          </w:tcPr>
          <w:p w14:paraId="7F11533E" w14:textId="77777777" w:rsidR="00FE43B6" w:rsidRPr="00912996" w:rsidRDefault="00FE43B6" w:rsidP="00FE43B6">
            <w:pPr>
              <w:rPr>
                <w:rFonts w:ascii="Calibri" w:hAnsi="Calibri"/>
                <w:bCs/>
                <w:lang w:eastAsia="ja-JP"/>
              </w:rPr>
            </w:pPr>
            <w:r w:rsidRPr="00912996">
              <w:rPr>
                <w:rFonts w:ascii="Calibri" w:hAnsi="Calibri"/>
                <w:bCs/>
                <w:lang w:eastAsia="ja-JP"/>
              </w:rPr>
              <w:t>8</w:t>
            </w:r>
          </w:p>
        </w:tc>
        <w:tc>
          <w:tcPr>
            <w:tcW w:w="790" w:type="pct"/>
            <w:shd w:val="clear" w:color="auto" w:fill="F2F2F2"/>
            <w:hideMark/>
          </w:tcPr>
          <w:p w14:paraId="56B37D6A" w14:textId="77777777" w:rsidR="00FE43B6" w:rsidRPr="00912996" w:rsidRDefault="00FE43B6" w:rsidP="00FE43B6">
            <w:pPr>
              <w:rPr>
                <w:rFonts w:ascii="Calibri" w:hAnsi="Calibri"/>
                <w:bCs/>
                <w:lang w:eastAsia="ja-JP"/>
              </w:rPr>
            </w:pPr>
            <w:r w:rsidRPr="00912996">
              <w:rPr>
                <w:rFonts w:ascii="Calibri" w:hAnsi="Calibri"/>
                <w:bCs/>
                <w:lang w:eastAsia="ja-JP"/>
              </w:rPr>
              <w:t>Adoptarea și implementarea Parteneriatului pentru o Guvernare deschisă la nivel local</w:t>
            </w:r>
          </w:p>
        </w:tc>
        <w:tc>
          <w:tcPr>
            <w:tcW w:w="567" w:type="pct"/>
            <w:gridSpan w:val="3"/>
            <w:shd w:val="clear" w:color="auto" w:fill="F2F2F2"/>
            <w:hideMark/>
          </w:tcPr>
          <w:p w14:paraId="3EDF2A25"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126090BB"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1D9D0DC2"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2D258B51"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145E72FA"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066D9E6A"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366307D3"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102FEFCA"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F4B57BD" w14:textId="77777777" w:rsidTr="00FE43B6">
        <w:trPr>
          <w:trHeight w:val="276"/>
        </w:trPr>
        <w:tc>
          <w:tcPr>
            <w:tcW w:w="5000" w:type="pct"/>
            <w:gridSpan w:val="12"/>
            <w:shd w:val="clear" w:color="auto" w:fill="BBD9A0"/>
            <w:noWrap/>
            <w:hideMark/>
          </w:tcPr>
          <w:p w14:paraId="44C6878F" w14:textId="77777777" w:rsidR="00FE43B6" w:rsidRPr="00912996" w:rsidRDefault="00FE43B6" w:rsidP="00FE43B6">
            <w:pPr>
              <w:rPr>
                <w:rFonts w:ascii="Calibri" w:hAnsi="Calibri"/>
                <w:b/>
                <w:bCs/>
                <w:color w:val="FFFFFF"/>
                <w:lang w:eastAsia="ja-JP"/>
              </w:rPr>
            </w:pPr>
            <w:r w:rsidRPr="00912996">
              <w:rPr>
                <w:rFonts w:ascii="Calibri" w:hAnsi="Calibri"/>
                <w:b/>
                <w:bCs/>
                <w:color w:val="FFFFFF"/>
                <w:lang w:eastAsia="ja-JP"/>
              </w:rPr>
              <w:t>D4.2.3. Adoptarea de noi instrumente și formate incluzive care să permite informarea, participarea și consultarea și grupurilor de cetățeni vulnerabili sau slab reprezentați</w:t>
            </w:r>
          </w:p>
        </w:tc>
      </w:tr>
      <w:tr w:rsidR="00FE43B6" w:rsidRPr="00912996" w14:paraId="03300961" w14:textId="77777777" w:rsidTr="00FE43B6">
        <w:trPr>
          <w:trHeight w:val="3972"/>
        </w:trPr>
        <w:tc>
          <w:tcPr>
            <w:tcW w:w="219" w:type="pct"/>
            <w:shd w:val="clear" w:color="auto" w:fill="F2F2F2"/>
            <w:noWrap/>
            <w:hideMark/>
          </w:tcPr>
          <w:p w14:paraId="58719885"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18F4FC43" w14:textId="77777777" w:rsidR="00FE43B6" w:rsidRPr="00912996" w:rsidRDefault="00FE43B6" w:rsidP="00FE43B6">
            <w:pPr>
              <w:rPr>
                <w:rFonts w:ascii="Calibri" w:hAnsi="Calibri"/>
                <w:bCs/>
                <w:lang w:eastAsia="ja-JP"/>
              </w:rPr>
            </w:pPr>
            <w:r w:rsidRPr="00912996">
              <w:rPr>
                <w:rFonts w:ascii="Calibri" w:hAnsi="Calibri"/>
                <w:bCs/>
                <w:lang w:eastAsia="ja-JP"/>
              </w:rPr>
              <w:t>Accesibilizarea paginii web la nevoile persoanelor cu dizabilități (inclusiv documente cheie la nivel local - strategii, buget anual, plan de investiții, consultări publice)</w:t>
            </w:r>
          </w:p>
        </w:tc>
        <w:tc>
          <w:tcPr>
            <w:tcW w:w="567" w:type="pct"/>
            <w:gridSpan w:val="3"/>
            <w:shd w:val="clear" w:color="auto" w:fill="F2F2F2"/>
            <w:hideMark/>
          </w:tcPr>
          <w:p w14:paraId="097E56EF"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Ministerul Muncii și Protecției Sociale,  mediul ONG, Secretariatul General al Guvernului - Parteneriatul pentru Guvernare Deschisă, Autoritatea națională pentru persoanele cu dizabilități</w:t>
            </w:r>
          </w:p>
        </w:tc>
        <w:tc>
          <w:tcPr>
            <w:tcW w:w="543" w:type="pct"/>
            <w:shd w:val="clear" w:color="auto" w:fill="F2F2F2"/>
            <w:hideMark/>
          </w:tcPr>
          <w:p w14:paraId="4ED9B1F7"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108D31D7" w14:textId="77777777" w:rsidR="00FE43B6" w:rsidRPr="00912996" w:rsidRDefault="00FE43B6" w:rsidP="00FE43B6">
            <w:pPr>
              <w:rPr>
                <w:rFonts w:ascii="Calibri" w:hAnsi="Calibri"/>
                <w:bCs/>
                <w:lang w:eastAsia="ja-JP"/>
              </w:rPr>
            </w:pPr>
            <w:r w:rsidRPr="00912996">
              <w:rPr>
                <w:rFonts w:ascii="Calibri" w:hAnsi="Calibri"/>
                <w:bCs/>
                <w:lang w:eastAsia="ja-JP"/>
              </w:rPr>
              <w:t>147,000</w:t>
            </w:r>
          </w:p>
        </w:tc>
        <w:tc>
          <w:tcPr>
            <w:tcW w:w="444" w:type="pct"/>
            <w:shd w:val="clear" w:color="auto" w:fill="F2F2F2"/>
            <w:hideMark/>
          </w:tcPr>
          <w:p w14:paraId="13BDC82B" w14:textId="77777777" w:rsidR="00FE43B6" w:rsidRPr="00912996" w:rsidRDefault="00FE43B6" w:rsidP="00FE43B6">
            <w:pPr>
              <w:rPr>
                <w:rFonts w:ascii="Calibri" w:hAnsi="Calibri"/>
                <w:bCs/>
                <w:lang w:eastAsia="ja-JP"/>
              </w:rPr>
            </w:pPr>
            <w:r w:rsidRPr="00912996">
              <w:rPr>
                <w:rFonts w:ascii="Calibri" w:hAnsi="Calibri"/>
                <w:bCs/>
                <w:lang w:eastAsia="ja-JP"/>
              </w:rPr>
              <w:t>30,000</w:t>
            </w:r>
          </w:p>
        </w:tc>
        <w:tc>
          <w:tcPr>
            <w:tcW w:w="380" w:type="pct"/>
            <w:shd w:val="clear" w:color="auto" w:fill="F2F2F2"/>
            <w:hideMark/>
          </w:tcPr>
          <w:p w14:paraId="72B4E2E6"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2071841F"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3DE668C3"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4B4DCFF7" w14:textId="77777777" w:rsidR="00FE43B6" w:rsidRPr="00912996" w:rsidRDefault="00FE43B6" w:rsidP="00FE43B6">
            <w:pPr>
              <w:rPr>
                <w:rFonts w:ascii="Calibri" w:hAnsi="Calibri"/>
                <w:bCs/>
                <w:lang w:eastAsia="ja-JP"/>
              </w:rPr>
            </w:pPr>
            <w:r w:rsidRPr="00945899">
              <w:rPr>
                <w:rFonts w:ascii="Calibri" w:hAnsi="Calibri"/>
                <w:bCs/>
                <w:lang w:eastAsia="ja-JP"/>
              </w:rPr>
              <w:t>SDLID S2 2016-2025</w:t>
            </w:r>
          </w:p>
        </w:tc>
      </w:tr>
      <w:tr w:rsidR="00FE43B6" w:rsidRPr="00912996" w14:paraId="1B7403EE" w14:textId="77777777" w:rsidTr="00FE43B6">
        <w:trPr>
          <w:trHeight w:val="620"/>
        </w:trPr>
        <w:tc>
          <w:tcPr>
            <w:tcW w:w="219" w:type="pct"/>
            <w:shd w:val="clear" w:color="auto" w:fill="F2F2F2"/>
            <w:noWrap/>
            <w:hideMark/>
          </w:tcPr>
          <w:p w14:paraId="64E48F20"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2F53A402" w14:textId="77777777" w:rsidR="00FE43B6" w:rsidRPr="00912996" w:rsidRDefault="00FE43B6" w:rsidP="00FE43B6">
            <w:pPr>
              <w:rPr>
                <w:rFonts w:ascii="Calibri" w:hAnsi="Calibri"/>
                <w:bCs/>
                <w:lang w:eastAsia="ja-JP"/>
              </w:rPr>
            </w:pPr>
            <w:r w:rsidRPr="00912996">
              <w:rPr>
                <w:rFonts w:ascii="Calibri" w:hAnsi="Calibri"/>
                <w:bCs/>
                <w:lang w:eastAsia="ja-JP"/>
              </w:rPr>
              <w:t>Derularea de parteneriate cu organizații și asociații reprezentative pentru grupurile de cetățeni vulnerabili/slab reprezentați pentru implicarea acestora în procesele de consultare publică</w:t>
            </w:r>
          </w:p>
        </w:tc>
        <w:tc>
          <w:tcPr>
            <w:tcW w:w="567" w:type="pct"/>
            <w:gridSpan w:val="3"/>
            <w:shd w:val="clear" w:color="auto" w:fill="F2F2F2"/>
            <w:hideMark/>
          </w:tcPr>
          <w:p w14:paraId="36C7A1FD"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asociativ, mediul academic</w:t>
            </w:r>
          </w:p>
        </w:tc>
        <w:tc>
          <w:tcPr>
            <w:tcW w:w="543" w:type="pct"/>
            <w:shd w:val="clear" w:color="auto" w:fill="F2F2F2"/>
            <w:hideMark/>
          </w:tcPr>
          <w:p w14:paraId="239E48C5"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0A5A6996"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hideMark/>
          </w:tcPr>
          <w:p w14:paraId="499165ED"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hideMark/>
          </w:tcPr>
          <w:p w14:paraId="6A00050B"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1DCE6FEF"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13A8DDBF"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504FAB86"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1DF4694C" w14:textId="77777777" w:rsidTr="00FE43B6">
        <w:trPr>
          <w:trHeight w:val="276"/>
        </w:trPr>
        <w:tc>
          <w:tcPr>
            <w:tcW w:w="5000" w:type="pct"/>
            <w:gridSpan w:val="12"/>
            <w:shd w:val="clear" w:color="auto" w:fill="CCE188"/>
            <w:noWrap/>
            <w:hideMark/>
          </w:tcPr>
          <w:p w14:paraId="4CC7898B" w14:textId="77777777" w:rsidR="00FE43B6" w:rsidRPr="00912996" w:rsidRDefault="00FE43B6" w:rsidP="004A2215">
            <w:pPr>
              <w:jc w:val="center"/>
              <w:rPr>
                <w:rFonts w:ascii="Calibri" w:hAnsi="Calibri"/>
                <w:b/>
                <w:bCs/>
                <w:color w:val="FFFFFF"/>
                <w:lang w:eastAsia="ja-JP"/>
              </w:rPr>
            </w:pPr>
            <w:r w:rsidRPr="00912996">
              <w:rPr>
                <w:rFonts w:ascii="Calibri" w:hAnsi="Calibri"/>
                <w:b/>
                <w:bCs/>
                <w:color w:val="FFFFFF"/>
                <w:lang w:eastAsia="ja-JP"/>
              </w:rPr>
              <w:t>OBIECTIV SPECIFIC O4.3. - Guvernare locală inteligentă și îmbunătățirea capacității administrației publice de a răspunde și a se adapta transformărilor digitale în desfășurare</w:t>
            </w:r>
          </w:p>
        </w:tc>
      </w:tr>
      <w:tr w:rsidR="00FE43B6" w:rsidRPr="00912996" w14:paraId="56382C0C" w14:textId="77777777" w:rsidTr="00FE43B6">
        <w:trPr>
          <w:trHeight w:val="276"/>
        </w:trPr>
        <w:tc>
          <w:tcPr>
            <w:tcW w:w="5000" w:type="pct"/>
            <w:gridSpan w:val="12"/>
            <w:shd w:val="clear" w:color="auto" w:fill="BBD9A0"/>
            <w:noWrap/>
            <w:hideMark/>
          </w:tcPr>
          <w:p w14:paraId="44784D3E" w14:textId="77777777" w:rsidR="00FE43B6" w:rsidRPr="00912996" w:rsidRDefault="00FE43B6" w:rsidP="004A2215">
            <w:pPr>
              <w:jc w:val="center"/>
              <w:rPr>
                <w:rFonts w:ascii="Calibri" w:hAnsi="Calibri"/>
                <w:b/>
                <w:bCs/>
                <w:color w:val="FFFFFF"/>
                <w:lang w:eastAsia="ja-JP"/>
              </w:rPr>
            </w:pPr>
            <w:r w:rsidRPr="00912996">
              <w:rPr>
                <w:rFonts w:ascii="Calibri" w:hAnsi="Calibri"/>
                <w:b/>
                <w:bCs/>
                <w:color w:val="FFFFFF"/>
                <w:lang w:eastAsia="ja-JP"/>
              </w:rPr>
              <w:t>D4.3.1. Digitalizarea serviciilor publice, asigurarea accesului tuturor cetățenilor la acestea și evaluare continuă</w:t>
            </w:r>
          </w:p>
        </w:tc>
      </w:tr>
      <w:tr w:rsidR="00FE43B6" w:rsidRPr="00912996" w14:paraId="2B512B22" w14:textId="77777777" w:rsidTr="00FE43B6">
        <w:trPr>
          <w:trHeight w:val="804"/>
        </w:trPr>
        <w:tc>
          <w:tcPr>
            <w:tcW w:w="219" w:type="pct"/>
            <w:shd w:val="clear" w:color="auto" w:fill="F2F2F2"/>
            <w:noWrap/>
            <w:hideMark/>
          </w:tcPr>
          <w:p w14:paraId="43FEB11C"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1CDD5677" w14:textId="77777777" w:rsidR="00FE43B6" w:rsidRPr="00912996" w:rsidRDefault="00FE43B6" w:rsidP="00FE43B6">
            <w:pPr>
              <w:rPr>
                <w:rFonts w:ascii="Calibri" w:hAnsi="Calibri"/>
                <w:bCs/>
                <w:lang w:eastAsia="ja-JP"/>
              </w:rPr>
            </w:pPr>
            <w:r w:rsidRPr="00912996">
              <w:rPr>
                <w:rFonts w:ascii="Calibri" w:hAnsi="Calibri"/>
                <w:bCs/>
                <w:lang w:eastAsia="ja-JP"/>
              </w:rPr>
              <w:t>ePS2 - Servicii online pentru cetățeni (SIPOCA/SMIS 510/126372)</w:t>
            </w:r>
          </w:p>
        </w:tc>
        <w:tc>
          <w:tcPr>
            <w:tcW w:w="567" w:type="pct"/>
            <w:gridSpan w:val="3"/>
            <w:shd w:val="clear" w:color="auto" w:fill="F2F2F2"/>
            <w:hideMark/>
          </w:tcPr>
          <w:p w14:paraId="724ADE28"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3D3996F2" w14:textId="77777777" w:rsidR="00FE43B6" w:rsidRPr="00912996" w:rsidRDefault="00FE43B6" w:rsidP="00FE43B6">
            <w:pPr>
              <w:rPr>
                <w:rFonts w:ascii="Calibri" w:hAnsi="Calibri"/>
                <w:bCs/>
                <w:lang w:eastAsia="ja-JP"/>
              </w:rPr>
            </w:pPr>
            <w:r>
              <w:rPr>
                <w:rFonts w:ascii="Calibri" w:hAnsi="Calibri"/>
                <w:bCs/>
                <w:lang w:eastAsia="ja-JP"/>
              </w:rPr>
              <w:t>În implementare</w:t>
            </w:r>
            <w:r w:rsidRPr="00912996">
              <w:rPr>
                <w:rFonts w:ascii="Calibri" w:hAnsi="Calibri"/>
                <w:bCs/>
                <w:lang w:eastAsia="ja-JP"/>
              </w:rPr>
              <w:t xml:space="preserve"> </w:t>
            </w:r>
          </w:p>
        </w:tc>
        <w:tc>
          <w:tcPr>
            <w:tcW w:w="444" w:type="pct"/>
            <w:shd w:val="clear" w:color="auto" w:fill="F2F2F2"/>
            <w:hideMark/>
          </w:tcPr>
          <w:p w14:paraId="6560A9D6" w14:textId="77777777" w:rsidR="00FE43B6" w:rsidRPr="00912996" w:rsidRDefault="00FE43B6" w:rsidP="00FE43B6">
            <w:pPr>
              <w:rPr>
                <w:rFonts w:ascii="Calibri" w:hAnsi="Calibri"/>
                <w:bCs/>
                <w:lang w:eastAsia="ja-JP"/>
              </w:rPr>
            </w:pPr>
            <w:r w:rsidRPr="00912996">
              <w:rPr>
                <w:rFonts w:ascii="Calibri" w:hAnsi="Calibri"/>
                <w:bCs/>
                <w:lang w:eastAsia="ja-JP"/>
              </w:rPr>
              <w:t>3,793,158</w:t>
            </w:r>
          </w:p>
        </w:tc>
        <w:tc>
          <w:tcPr>
            <w:tcW w:w="444" w:type="pct"/>
            <w:shd w:val="clear" w:color="auto" w:fill="F2F2F2"/>
            <w:hideMark/>
          </w:tcPr>
          <w:p w14:paraId="48607479" w14:textId="77777777" w:rsidR="00FE43B6" w:rsidRPr="00912996" w:rsidRDefault="00FE43B6" w:rsidP="00FE43B6">
            <w:pPr>
              <w:rPr>
                <w:rFonts w:ascii="Calibri" w:hAnsi="Calibri"/>
                <w:bCs/>
                <w:lang w:eastAsia="ja-JP"/>
              </w:rPr>
            </w:pPr>
            <w:r w:rsidRPr="00912996">
              <w:rPr>
                <w:rFonts w:ascii="Calibri" w:hAnsi="Calibri"/>
                <w:bCs/>
                <w:lang w:eastAsia="ja-JP"/>
              </w:rPr>
              <w:t>774,113</w:t>
            </w:r>
          </w:p>
        </w:tc>
        <w:tc>
          <w:tcPr>
            <w:tcW w:w="380" w:type="pct"/>
            <w:shd w:val="clear" w:color="auto" w:fill="F2F2F2"/>
            <w:hideMark/>
          </w:tcPr>
          <w:p w14:paraId="376117DB" w14:textId="77777777" w:rsidR="00FE43B6" w:rsidRPr="00912996" w:rsidRDefault="00FE43B6" w:rsidP="00FE43B6">
            <w:pPr>
              <w:rPr>
                <w:rFonts w:ascii="Calibri" w:hAnsi="Calibri"/>
                <w:bCs/>
                <w:lang w:eastAsia="ja-JP"/>
              </w:rPr>
            </w:pPr>
            <w:r w:rsidRPr="00912996">
              <w:rPr>
                <w:rFonts w:ascii="Calibri" w:hAnsi="Calibri"/>
                <w:bCs/>
                <w:lang w:eastAsia="ja-JP"/>
              </w:rPr>
              <w:t>2018</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22DCF47E" w14:textId="77777777" w:rsidR="00FE43B6" w:rsidRPr="00912996" w:rsidRDefault="00FE43B6" w:rsidP="00FE43B6">
            <w:pPr>
              <w:rPr>
                <w:rFonts w:ascii="Calibri" w:hAnsi="Calibri"/>
                <w:bCs/>
                <w:lang w:eastAsia="ja-JP"/>
              </w:rPr>
            </w:pPr>
            <w:r w:rsidRPr="00912996">
              <w:rPr>
                <w:rFonts w:ascii="Calibri" w:hAnsi="Calibri"/>
                <w:bCs/>
                <w:lang w:eastAsia="ja-JP"/>
              </w:rPr>
              <w:t>POCA, Axa prioritară 2</w:t>
            </w:r>
          </w:p>
        </w:tc>
        <w:tc>
          <w:tcPr>
            <w:tcW w:w="444" w:type="pct"/>
            <w:shd w:val="clear" w:color="auto" w:fill="F2F2F2"/>
            <w:hideMark/>
          </w:tcPr>
          <w:p w14:paraId="119C47A3"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33750518"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r>
      <w:tr w:rsidR="00FE43B6" w:rsidRPr="00912996" w14:paraId="674B3696" w14:textId="77777777" w:rsidTr="00FE43B6">
        <w:trPr>
          <w:trHeight w:val="804"/>
        </w:trPr>
        <w:tc>
          <w:tcPr>
            <w:tcW w:w="219" w:type="pct"/>
            <w:shd w:val="clear" w:color="auto" w:fill="F2F2F2"/>
            <w:noWrap/>
            <w:hideMark/>
          </w:tcPr>
          <w:p w14:paraId="63F080C8"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1C8952CC" w14:textId="77777777" w:rsidR="00FE43B6" w:rsidRPr="00912996" w:rsidRDefault="00FE43B6" w:rsidP="00FE43B6">
            <w:pPr>
              <w:rPr>
                <w:rFonts w:ascii="Calibri" w:hAnsi="Calibri"/>
                <w:bCs/>
                <w:lang w:eastAsia="ja-JP"/>
              </w:rPr>
            </w:pPr>
            <w:r w:rsidRPr="00912996">
              <w:rPr>
                <w:rFonts w:ascii="Calibri" w:hAnsi="Calibri"/>
                <w:bCs/>
                <w:lang w:eastAsia="ja-JP"/>
              </w:rPr>
              <w:t>Proceduri simplificate în vederea reducerii birocrației pentru cetățenii sectorului 2 (SIPOCA/SMIS 1259/153912)</w:t>
            </w:r>
          </w:p>
        </w:tc>
        <w:tc>
          <w:tcPr>
            <w:tcW w:w="567" w:type="pct"/>
            <w:gridSpan w:val="3"/>
            <w:shd w:val="clear" w:color="auto" w:fill="F2F2F2"/>
            <w:hideMark/>
          </w:tcPr>
          <w:p w14:paraId="5B3A234A"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6068BD26" w14:textId="77777777" w:rsidR="00FE43B6" w:rsidRPr="00912996" w:rsidRDefault="00FE43B6" w:rsidP="00FE43B6">
            <w:pPr>
              <w:rPr>
                <w:rFonts w:ascii="Calibri" w:hAnsi="Calibri"/>
                <w:bCs/>
                <w:lang w:eastAsia="ja-JP"/>
              </w:rPr>
            </w:pPr>
            <w:r>
              <w:rPr>
                <w:rFonts w:ascii="Calibri" w:hAnsi="Calibri"/>
                <w:bCs/>
                <w:lang w:eastAsia="ja-JP"/>
              </w:rPr>
              <w:t>În implementare</w:t>
            </w:r>
          </w:p>
        </w:tc>
        <w:tc>
          <w:tcPr>
            <w:tcW w:w="444" w:type="pct"/>
            <w:shd w:val="clear" w:color="auto" w:fill="F2F2F2"/>
            <w:hideMark/>
          </w:tcPr>
          <w:p w14:paraId="2D2D50E5" w14:textId="77777777" w:rsidR="00FE43B6" w:rsidRPr="00912996" w:rsidRDefault="00FE43B6" w:rsidP="00FE43B6">
            <w:pPr>
              <w:rPr>
                <w:rFonts w:ascii="Calibri" w:hAnsi="Calibri"/>
                <w:bCs/>
                <w:lang w:eastAsia="ja-JP"/>
              </w:rPr>
            </w:pPr>
            <w:r w:rsidRPr="00912996">
              <w:rPr>
                <w:rFonts w:ascii="Calibri" w:hAnsi="Calibri"/>
                <w:bCs/>
                <w:lang w:eastAsia="ja-JP"/>
              </w:rPr>
              <w:t>2,896,659</w:t>
            </w:r>
          </w:p>
        </w:tc>
        <w:tc>
          <w:tcPr>
            <w:tcW w:w="444" w:type="pct"/>
            <w:shd w:val="clear" w:color="auto" w:fill="F2F2F2"/>
            <w:hideMark/>
          </w:tcPr>
          <w:p w14:paraId="3E851EDC" w14:textId="77777777" w:rsidR="00FE43B6" w:rsidRPr="00912996" w:rsidRDefault="00FE43B6" w:rsidP="00FE43B6">
            <w:pPr>
              <w:rPr>
                <w:rFonts w:ascii="Calibri" w:hAnsi="Calibri"/>
                <w:bCs/>
                <w:lang w:eastAsia="ja-JP"/>
              </w:rPr>
            </w:pPr>
            <w:r w:rsidRPr="00912996">
              <w:rPr>
                <w:rFonts w:ascii="Calibri" w:hAnsi="Calibri"/>
                <w:bCs/>
                <w:lang w:eastAsia="ja-JP"/>
              </w:rPr>
              <w:t>591,155</w:t>
            </w:r>
          </w:p>
        </w:tc>
        <w:tc>
          <w:tcPr>
            <w:tcW w:w="380" w:type="pct"/>
            <w:shd w:val="clear" w:color="auto" w:fill="F2F2F2"/>
            <w:hideMark/>
          </w:tcPr>
          <w:p w14:paraId="13FDA435" w14:textId="77777777" w:rsidR="00FE43B6" w:rsidRPr="00912996" w:rsidRDefault="00FE43B6" w:rsidP="00FE43B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04914745" w14:textId="77777777" w:rsidR="00FE43B6" w:rsidRPr="00912996" w:rsidRDefault="00FE43B6" w:rsidP="00FE43B6">
            <w:pPr>
              <w:rPr>
                <w:rFonts w:ascii="Calibri" w:hAnsi="Calibri"/>
                <w:bCs/>
                <w:lang w:eastAsia="ja-JP"/>
              </w:rPr>
            </w:pPr>
            <w:r w:rsidRPr="00912996">
              <w:rPr>
                <w:rFonts w:ascii="Calibri" w:hAnsi="Calibri"/>
                <w:bCs/>
                <w:lang w:eastAsia="ja-JP"/>
              </w:rPr>
              <w:t>POCA, Axa prioritară 2</w:t>
            </w:r>
          </w:p>
        </w:tc>
        <w:tc>
          <w:tcPr>
            <w:tcW w:w="444" w:type="pct"/>
            <w:shd w:val="clear" w:color="auto" w:fill="F2F2F2"/>
            <w:hideMark/>
          </w:tcPr>
          <w:p w14:paraId="5467D684"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2E9D657D"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r>
      <w:tr w:rsidR="00FE43B6" w:rsidRPr="00912996" w14:paraId="5A176791" w14:textId="77777777" w:rsidTr="00FE43B6">
        <w:trPr>
          <w:trHeight w:val="1332"/>
        </w:trPr>
        <w:tc>
          <w:tcPr>
            <w:tcW w:w="219" w:type="pct"/>
            <w:shd w:val="clear" w:color="auto" w:fill="F2F2F2"/>
            <w:noWrap/>
            <w:hideMark/>
          </w:tcPr>
          <w:p w14:paraId="4B7A11F3" w14:textId="77777777" w:rsidR="00FE43B6" w:rsidRPr="00912996" w:rsidRDefault="00FE43B6" w:rsidP="00FE43B6">
            <w:pPr>
              <w:rPr>
                <w:rFonts w:ascii="Calibri" w:hAnsi="Calibri"/>
                <w:bCs/>
                <w:lang w:eastAsia="ja-JP"/>
              </w:rPr>
            </w:pPr>
            <w:r w:rsidRPr="00912996">
              <w:rPr>
                <w:rFonts w:ascii="Calibri" w:hAnsi="Calibri"/>
                <w:bCs/>
                <w:lang w:eastAsia="ja-JP"/>
              </w:rPr>
              <w:t>3</w:t>
            </w:r>
          </w:p>
        </w:tc>
        <w:tc>
          <w:tcPr>
            <w:tcW w:w="790" w:type="pct"/>
            <w:shd w:val="clear" w:color="auto" w:fill="F2F2F2"/>
            <w:hideMark/>
          </w:tcPr>
          <w:p w14:paraId="250F81FA" w14:textId="77777777" w:rsidR="00FE43B6" w:rsidRPr="00912996" w:rsidRDefault="00FE43B6" w:rsidP="00FE43B6">
            <w:pPr>
              <w:rPr>
                <w:rFonts w:ascii="Calibri" w:hAnsi="Calibri"/>
                <w:bCs/>
                <w:lang w:eastAsia="ja-JP"/>
              </w:rPr>
            </w:pPr>
            <w:r w:rsidRPr="00912996">
              <w:rPr>
                <w:rFonts w:ascii="Calibri" w:hAnsi="Calibri"/>
                <w:bCs/>
                <w:lang w:eastAsia="ja-JP"/>
              </w:rPr>
              <w:t>Informatizarea Inspectoratului Școlar al Sectorului 2</w:t>
            </w:r>
          </w:p>
        </w:tc>
        <w:tc>
          <w:tcPr>
            <w:tcW w:w="567" w:type="pct"/>
            <w:gridSpan w:val="3"/>
            <w:shd w:val="clear" w:color="auto" w:fill="F2F2F2"/>
            <w:hideMark/>
          </w:tcPr>
          <w:p w14:paraId="5EFA2078" w14:textId="77777777" w:rsidR="00FE43B6" w:rsidRPr="00912996" w:rsidRDefault="00FE43B6" w:rsidP="00FE43B6">
            <w:pPr>
              <w:rPr>
                <w:rFonts w:ascii="Calibri" w:hAnsi="Calibri"/>
                <w:bCs/>
                <w:lang w:eastAsia="ja-JP"/>
              </w:rPr>
            </w:pPr>
            <w:r w:rsidRPr="00912996">
              <w:rPr>
                <w:rFonts w:ascii="Calibri" w:hAnsi="Calibri"/>
                <w:bCs/>
                <w:lang w:eastAsia="ja-JP"/>
              </w:rPr>
              <w:t xml:space="preserve">ISMB S2, </w:t>
            </w:r>
            <w:r w:rsidRPr="00EF7958">
              <w:rPr>
                <w:rFonts w:ascii="Calibri" w:hAnsi="Calibri"/>
                <w:bCs/>
                <w:lang w:eastAsia="ja-JP"/>
              </w:rPr>
              <w:t>PS2</w:t>
            </w:r>
          </w:p>
        </w:tc>
        <w:tc>
          <w:tcPr>
            <w:tcW w:w="543" w:type="pct"/>
            <w:shd w:val="clear" w:color="auto" w:fill="F2F2F2"/>
            <w:hideMark/>
          </w:tcPr>
          <w:p w14:paraId="3CBC94D4"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29A65ECF" w14:textId="77777777" w:rsidR="00FE43B6" w:rsidRPr="00912996" w:rsidRDefault="00FE43B6" w:rsidP="00FE43B6">
            <w:pPr>
              <w:rPr>
                <w:rFonts w:ascii="Calibri" w:hAnsi="Calibri"/>
                <w:bCs/>
                <w:lang w:eastAsia="ja-JP"/>
              </w:rPr>
            </w:pPr>
            <w:r w:rsidRPr="00912996">
              <w:rPr>
                <w:rFonts w:ascii="Calibri" w:hAnsi="Calibri"/>
                <w:bCs/>
                <w:lang w:eastAsia="ja-JP"/>
              </w:rPr>
              <w:t>73,500</w:t>
            </w:r>
          </w:p>
        </w:tc>
        <w:tc>
          <w:tcPr>
            <w:tcW w:w="444" w:type="pct"/>
            <w:shd w:val="clear" w:color="auto" w:fill="F2F2F2"/>
            <w:hideMark/>
          </w:tcPr>
          <w:p w14:paraId="6E900436" w14:textId="77777777" w:rsidR="00FE43B6" w:rsidRPr="00912996" w:rsidRDefault="00FE43B6" w:rsidP="00FE43B6">
            <w:pPr>
              <w:rPr>
                <w:rFonts w:ascii="Calibri" w:hAnsi="Calibri"/>
                <w:bCs/>
                <w:lang w:eastAsia="ja-JP"/>
              </w:rPr>
            </w:pPr>
            <w:r w:rsidRPr="00912996">
              <w:rPr>
                <w:rFonts w:ascii="Calibri" w:hAnsi="Calibri"/>
                <w:bCs/>
                <w:lang w:eastAsia="ja-JP"/>
              </w:rPr>
              <w:t>15,000</w:t>
            </w:r>
          </w:p>
        </w:tc>
        <w:tc>
          <w:tcPr>
            <w:tcW w:w="380" w:type="pct"/>
            <w:shd w:val="clear" w:color="auto" w:fill="F2F2F2"/>
            <w:hideMark/>
          </w:tcPr>
          <w:p w14:paraId="25FE83BB"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30105701" w14:textId="77777777" w:rsidR="00FE43B6" w:rsidRPr="00912996" w:rsidRDefault="00FE43B6" w:rsidP="00FE43B6">
            <w:pPr>
              <w:rPr>
                <w:rFonts w:ascii="Calibri" w:hAnsi="Calibri"/>
                <w:bCs/>
                <w:lang w:eastAsia="ja-JP"/>
              </w:rPr>
            </w:pPr>
            <w:r w:rsidRPr="00912996">
              <w:rPr>
                <w:rFonts w:ascii="Calibri" w:hAnsi="Calibri"/>
                <w:bCs/>
                <w:lang w:eastAsia="ja-JP"/>
              </w:rPr>
              <w:t>PNRR C7, Bugetul local, Alte surse</w:t>
            </w:r>
            <w:r>
              <w:rPr>
                <w:rFonts w:ascii="Calibri" w:hAnsi="Calibri"/>
                <w:bCs/>
                <w:lang w:eastAsia="ja-JP"/>
              </w:rPr>
              <w:t xml:space="preserve"> de finanțare</w:t>
            </w:r>
          </w:p>
        </w:tc>
        <w:tc>
          <w:tcPr>
            <w:tcW w:w="444" w:type="pct"/>
            <w:shd w:val="clear" w:color="auto" w:fill="F2F2F2"/>
            <w:hideMark/>
          </w:tcPr>
          <w:p w14:paraId="7DE6926F"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118C9AB2"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158590E2" w14:textId="77777777" w:rsidTr="00FE43B6">
        <w:trPr>
          <w:trHeight w:val="620"/>
        </w:trPr>
        <w:tc>
          <w:tcPr>
            <w:tcW w:w="219" w:type="pct"/>
            <w:shd w:val="clear" w:color="auto" w:fill="F2F2F2"/>
            <w:noWrap/>
            <w:hideMark/>
          </w:tcPr>
          <w:p w14:paraId="4EED1BC3" w14:textId="77777777" w:rsidR="00FE43B6" w:rsidRPr="00912996" w:rsidRDefault="00FE43B6" w:rsidP="00FE43B6">
            <w:pPr>
              <w:rPr>
                <w:rFonts w:ascii="Calibri" w:hAnsi="Calibri"/>
                <w:bCs/>
                <w:lang w:eastAsia="ja-JP"/>
              </w:rPr>
            </w:pPr>
            <w:r w:rsidRPr="00912996">
              <w:rPr>
                <w:rFonts w:ascii="Calibri" w:hAnsi="Calibri"/>
                <w:bCs/>
                <w:lang w:eastAsia="ja-JP"/>
              </w:rPr>
              <w:t>4</w:t>
            </w:r>
          </w:p>
        </w:tc>
        <w:tc>
          <w:tcPr>
            <w:tcW w:w="790" w:type="pct"/>
            <w:shd w:val="clear" w:color="auto" w:fill="F2F2F2"/>
            <w:hideMark/>
          </w:tcPr>
          <w:p w14:paraId="794EEBDE" w14:textId="77777777" w:rsidR="00FE43B6" w:rsidRPr="00912996" w:rsidRDefault="00FE43B6" w:rsidP="00FE43B6">
            <w:pPr>
              <w:rPr>
                <w:rFonts w:ascii="Calibri" w:hAnsi="Calibri"/>
                <w:bCs/>
                <w:lang w:eastAsia="ja-JP"/>
              </w:rPr>
            </w:pPr>
            <w:r w:rsidRPr="00912996">
              <w:rPr>
                <w:rFonts w:ascii="Calibri" w:hAnsi="Calibri"/>
                <w:bCs/>
                <w:lang w:eastAsia="ja-JP"/>
              </w:rPr>
              <w:t>Informatizarea serviciului DPEPSC Sector 2, inclusiv arhivare electronică</w:t>
            </w:r>
          </w:p>
        </w:tc>
        <w:tc>
          <w:tcPr>
            <w:tcW w:w="567" w:type="pct"/>
            <w:gridSpan w:val="3"/>
            <w:shd w:val="clear" w:color="auto" w:fill="F2F2F2"/>
            <w:hideMark/>
          </w:tcPr>
          <w:p w14:paraId="63BB904B" w14:textId="77777777" w:rsidR="00FE43B6" w:rsidRPr="00912996" w:rsidRDefault="00FE43B6" w:rsidP="00FE43B6">
            <w:pPr>
              <w:rPr>
                <w:rFonts w:ascii="Calibri" w:hAnsi="Calibri"/>
                <w:bCs/>
                <w:lang w:eastAsia="ja-JP"/>
              </w:rPr>
            </w:pPr>
            <w:r w:rsidRPr="00945899">
              <w:rPr>
                <w:rFonts w:ascii="Calibri" w:hAnsi="Calibri"/>
                <w:bCs/>
                <w:lang w:eastAsia="ja-JP"/>
              </w:rPr>
              <w:t>DEPABD, Ministerul de interne </w:t>
            </w:r>
          </w:p>
        </w:tc>
        <w:tc>
          <w:tcPr>
            <w:tcW w:w="543" w:type="pct"/>
            <w:shd w:val="clear" w:color="auto" w:fill="F2F2F2"/>
            <w:hideMark/>
          </w:tcPr>
          <w:p w14:paraId="2D9B75C6" w14:textId="77777777" w:rsidR="00FE43B6" w:rsidRPr="00912996" w:rsidRDefault="00FE43B6" w:rsidP="00FE43B6">
            <w:pPr>
              <w:rPr>
                <w:rFonts w:ascii="Calibri" w:hAnsi="Calibri"/>
                <w:bCs/>
                <w:lang w:eastAsia="ja-JP"/>
              </w:rPr>
            </w:pPr>
            <w:r w:rsidRPr="00945899">
              <w:rPr>
                <w:rFonts w:ascii="Calibri" w:hAnsi="Calibri"/>
                <w:bCs/>
                <w:lang w:eastAsia="ja-JP"/>
              </w:rPr>
              <w:t>În cursul anilor 2022-2023 se va implementa la nivel național SIIEASC – Sistem Informatic Integrat pentru Emiterea Actelor de Stare Civilă</w:t>
            </w:r>
          </w:p>
        </w:tc>
        <w:tc>
          <w:tcPr>
            <w:tcW w:w="444" w:type="pct"/>
            <w:shd w:val="clear" w:color="auto" w:fill="F2F2F2"/>
            <w:hideMark/>
          </w:tcPr>
          <w:p w14:paraId="4001EF51" w14:textId="77777777" w:rsidR="00FE43B6" w:rsidRPr="00912996" w:rsidRDefault="00FE43B6" w:rsidP="00FE43B6">
            <w:pPr>
              <w:rPr>
                <w:rFonts w:ascii="Calibri" w:hAnsi="Calibri"/>
                <w:bCs/>
                <w:lang w:eastAsia="ja-JP"/>
              </w:rPr>
            </w:pPr>
            <w:r w:rsidRPr="00912996">
              <w:rPr>
                <w:rFonts w:ascii="Calibri" w:hAnsi="Calibri"/>
                <w:bCs/>
                <w:lang w:eastAsia="ja-JP"/>
              </w:rPr>
              <w:t>73,500</w:t>
            </w:r>
          </w:p>
        </w:tc>
        <w:tc>
          <w:tcPr>
            <w:tcW w:w="444" w:type="pct"/>
            <w:shd w:val="clear" w:color="auto" w:fill="F2F2F2"/>
            <w:hideMark/>
          </w:tcPr>
          <w:p w14:paraId="2546CDB8" w14:textId="77777777" w:rsidR="00FE43B6" w:rsidRPr="00912996" w:rsidRDefault="00FE43B6" w:rsidP="00FE43B6">
            <w:pPr>
              <w:rPr>
                <w:rFonts w:ascii="Calibri" w:hAnsi="Calibri"/>
                <w:bCs/>
                <w:lang w:eastAsia="ja-JP"/>
              </w:rPr>
            </w:pPr>
            <w:r w:rsidRPr="00912996">
              <w:rPr>
                <w:rFonts w:ascii="Calibri" w:hAnsi="Calibri"/>
                <w:bCs/>
                <w:lang w:eastAsia="ja-JP"/>
              </w:rPr>
              <w:t>15,000</w:t>
            </w:r>
          </w:p>
        </w:tc>
        <w:tc>
          <w:tcPr>
            <w:tcW w:w="380" w:type="pct"/>
            <w:shd w:val="clear" w:color="auto" w:fill="F2F2F2"/>
            <w:hideMark/>
          </w:tcPr>
          <w:p w14:paraId="284ED6C6" w14:textId="77777777" w:rsidR="00FE43B6" w:rsidRPr="00912996" w:rsidRDefault="00FE43B6" w:rsidP="00FE43B6">
            <w:pPr>
              <w:rPr>
                <w:rFonts w:ascii="Calibri" w:hAnsi="Calibri"/>
                <w:bCs/>
                <w:lang w:eastAsia="ja-JP"/>
              </w:rPr>
            </w:pPr>
            <w:r w:rsidRPr="00912996">
              <w:rPr>
                <w:rFonts w:ascii="Calibri" w:hAnsi="Calibri"/>
                <w:bCs/>
                <w:lang w:eastAsia="ja-JP"/>
              </w:rPr>
              <w:t>2022</w:t>
            </w:r>
            <w:r>
              <w:rPr>
                <w:rFonts w:ascii="Calibri" w:hAnsi="Calibri"/>
                <w:bCs/>
                <w:lang w:eastAsia="ja-JP"/>
              </w:rPr>
              <w:t xml:space="preserve"> </w:t>
            </w:r>
            <w:r w:rsidRPr="00912996">
              <w:rPr>
                <w:rFonts w:ascii="Calibri" w:hAnsi="Calibri"/>
                <w:bCs/>
                <w:lang w:eastAsia="ja-JP"/>
              </w:rPr>
              <w:t>-2023</w:t>
            </w:r>
          </w:p>
        </w:tc>
        <w:tc>
          <w:tcPr>
            <w:tcW w:w="664" w:type="pct"/>
            <w:shd w:val="clear" w:color="auto" w:fill="F2F2F2"/>
            <w:hideMark/>
          </w:tcPr>
          <w:p w14:paraId="739235FB" w14:textId="77777777" w:rsidR="00FE43B6" w:rsidRPr="00912996" w:rsidRDefault="00FE43B6" w:rsidP="00FE43B6">
            <w:pPr>
              <w:rPr>
                <w:rFonts w:ascii="Calibri" w:hAnsi="Calibri"/>
                <w:bCs/>
                <w:lang w:eastAsia="ja-JP"/>
              </w:rPr>
            </w:pPr>
            <w:r w:rsidRPr="00912996">
              <w:rPr>
                <w:rFonts w:ascii="Calibri" w:hAnsi="Calibri"/>
                <w:bCs/>
                <w:lang w:eastAsia="ja-JP"/>
              </w:rPr>
              <w:t>PNRR C7, Bugetul local, Alte surse</w:t>
            </w:r>
            <w:r>
              <w:rPr>
                <w:rFonts w:ascii="Calibri" w:hAnsi="Calibri"/>
                <w:bCs/>
                <w:lang w:eastAsia="ja-JP"/>
              </w:rPr>
              <w:t xml:space="preserve"> de finanțare</w:t>
            </w:r>
          </w:p>
        </w:tc>
        <w:tc>
          <w:tcPr>
            <w:tcW w:w="444" w:type="pct"/>
            <w:shd w:val="clear" w:color="auto" w:fill="F2F2F2"/>
            <w:hideMark/>
          </w:tcPr>
          <w:p w14:paraId="4B2DC609"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361317D2" w14:textId="77777777" w:rsidR="00FE43B6" w:rsidRPr="00912996" w:rsidRDefault="00FE43B6" w:rsidP="00FE43B6">
            <w:pPr>
              <w:rPr>
                <w:rFonts w:ascii="Calibri" w:hAnsi="Calibri"/>
                <w:bCs/>
                <w:lang w:eastAsia="ja-JP"/>
              </w:rPr>
            </w:pPr>
            <w:r w:rsidRPr="00912996">
              <w:rPr>
                <w:rFonts w:ascii="Calibri" w:hAnsi="Calibri"/>
                <w:bCs/>
                <w:lang w:eastAsia="ja-JP"/>
              </w:rPr>
              <w:t>SDLID S2 2016-2025</w:t>
            </w:r>
          </w:p>
        </w:tc>
      </w:tr>
      <w:tr w:rsidR="00FE43B6" w:rsidRPr="00912996" w14:paraId="717B3B82" w14:textId="77777777" w:rsidTr="00FE43B6">
        <w:trPr>
          <w:trHeight w:val="2916"/>
        </w:trPr>
        <w:tc>
          <w:tcPr>
            <w:tcW w:w="219" w:type="pct"/>
            <w:shd w:val="clear" w:color="auto" w:fill="F2F2F2"/>
            <w:noWrap/>
            <w:hideMark/>
          </w:tcPr>
          <w:p w14:paraId="4013ED6B" w14:textId="77777777" w:rsidR="00FE43B6" w:rsidRPr="00912996" w:rsidRDefault="00FE43B6" w:rsidP="00FE43B6">
            <w:pPr>
              <w:rPr>
                <w:rFonts w:ascii="Calibri" w:hAnsi="Calibri"/>
                <w:bCs/>
                <w:lang w:eastAsia="ja-JP"/>
              </w:rPr>
            </w:pPr>
            <w:r w:rsidRPr="00912996">
              <w:rPr>
                <w:rFonts w:ascii="Calibri" w:hAnsi="Calibri"/>
                <w:bCs/>
                <w:lang w:eastAsia="ja-JP"/>
              </w:rPr>
              <w:t>5</w:t>
            </w:r>
          </w:p>
        </w:tc>
        <w:tc>
          <w:tcPr>
            <w:tcW w:w="790" w:type="pct"/>
            <w:shd w:val="clear" w:color="auto" w:fill="F2F2F2"/>
            <w:hideMark/>
          </w:tcPr>
          <w:p w14:paraId="5787E801" w14:textId="77777777" w:rsidR="00FE43B6" w:rsidRPr="00912996" w:rsidRDefault="00FE43B6" w:rsidP="00FE43B6">
            <w:pPr>
              <w:rPr>
                <w:rFonts w:ascii="Calibri" w:hAnsi="Calibri"/>
                <w:bCs/>
                <w:lang w:eastAsia="ja-JP"/>
              </w:rPr>
            </w:pPr>
            <w:r w:rsidRPr="00912996">
              <w:rPr>
                <w:rFonts w:ascii="Calibri" w:hAnsi="Calibri"/>
                <w:bCs/>
                <w:lang w:eastAsia="ja-JP"/>
              </w:rPr>
              <w:t>Evaluarea anuală a serviciilor electronice oferite de Primăria Sector 2 și ajustarea lor în funcție de feedbackul utilizatorilor</w:t>
            </w:r>
          </w:p>
        </w:tc>
        <w:tc>
          <w:tcPr>
            <w:tcW w:w="567" w:type="pct"/>
            <w:gridSpan w:val="3"/>
            <w:shd w:val="clear" w:color="auto" w:fill="F2F2F2"/>
            <w:hideMark/>
          </w:tcPr>
          <w:p w14:paraId="13DC48CE"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mediul de afaceri, Secretariatul General al Guvernului - Parteneriatul pentru Guvernare Deschisă, contractori externi.</w:t>
            </w:r>
          </w:p>
        </w:tc>
        <w:tc>
          <w:tcPr>
            <w:tcW w:w="543" w:type="pct"/>
            <w:shd w:val="clear" w:color="auto" w:fill="F2F2F2"/>
            <w:hideMark/>
          </w:tcPr>
          <w:p w14:paraId="04E1C388"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6416F0D3" w14:textId="77777777" w:rsidR="00FE43B6" w:rsidRPr="00912996" w:rsidRDefault="00FE43B6" w:rsidP="00FE43B6">
            <w:pPr>
              <w:rPr>
                <w:rFonts w:ascii="Calibri" w:hAnsi="Calibri"/>
                <w:bCs/>
                <w:lang w:eastAsia="ja-JP"/>
              </w:rPr>
            </w:pPr>
            <w:r w:rsidRPr="00912996">
              <w:rPr>
                <w:rFonts w:ascii="Calibri" w:hAnsi="Calibri"/>
                <w:bCs/>
                <w:lang w:eastAsia="ja-JP"/>
              </w:rPr>
              <w:t>122,500</w:t>
            </w:r>
          </w:p>
        </w:tc>
        <w:tc>
          <w:tcPr>
            <w:tcW w:w="444" w:type="pct"/>
            <w:shd w:val="clear" w:color="auto" w:fill="F2F2F2"/>
            <w:hideMark/>
          </w:tcPr>
          <w:p w14:paraId="5F21C63C" w14:textId="77777777" w:rsidR="00FE43B6" w:rsidRPr="00912996" w:rsidRDefault="00FE43B6" w:rsidP="00FE43B6">
            <w:pPr>
              <w:rPr>
                <w:rFonts w:ascii="Calibri" w:hAnsi="Calibri"/>
                <w:bCs/>
                <w:lang w:eastAsia="ja-JP"/>
              </w:rPr>
            </w:pPr>
            <w:r w:rsidRPr="00912996">
              <w:rPr>
                <w:rFonts w:ascii="Calibri" w:hAnsi="Calibri"/>
                <w:bCs/>
                <w:lang w:eastAsia="ja-JP"/>
              </w:rPr>
              <w:t>25,000</w:t>
            </w:r>
          </w:p>
        </w:tc>
        <w:tc>
          <w:tcPr>
            <w:tcW w:w="380" w:type="pct"/>
            <w:shd w:val="clear" w:color="auto" w:fill="F2F2F2"/>
            <w:hideMark/>
          </w:tcPr>
          <w:p w14:paraId="2DBEE81B"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0FDB1466" w14:textId="77777777" w:rsidR="00FE43B6" w:rsidRPr="00912996" w:rsidRDefault="00FE43B6" w:rsidP="00FE43B6">
            <w:pPr>
              <w:rPr>
                <w:rFonts w:ascii="Calibri" w:hAnsi="Calibri"/>
                <w:bCs/>
                <w:lang w:eastAsia="ja-JP"/>
              </w:rPr>
            </w:pPr>
            <w:r w:rsidRPr="00912996">
              <w:rPr>
                <w:rFonts w:ascii="Calibri" w:hAnsi="Calibri"/>
                <w:bCs/>
                <w:lang w:eastAsia="ja-JP"/>
              </w:rPr>
              <w:t>Bugetul local, CFM 2021-2027, PO Creștere Inteligentă, Digitalizare și Instrumente Financiare 2021-2027, PNRR C7</w:t>
            </w:r>
          </w:p>
        </w:tc>
        <w:tc>
          <w:tcPr>
            <w:tcW w:w="444" w:type="pct"/>
            <w:shd w:val="clear" w:color="auto" w:fill="F2F2F2"/>
            <w:hideMark/>
          </w:tcPr>
          <w:p w14:paraId="62AA568F"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3BC78D0F"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0C539E8D" w14:textId="77777777" w:rsidTr="00FE43B6">
        <w:trPr>
          <w:trHeight w:val="2652"/>
        </w:trPr>
        <w:tc>
          <w:tcPr>
            <w:tcW w:w="219" w:type="pct"/>
            <w:shd w:val="clear" w:color="auto" w:fill="F2F2F2"/>
            <w:noWrap/>
            <w:hideMark/>
          </w:tcPr>
          <w:p w14:paraId="1FA6D9DF" w14:textId="77777777" w:rsidR="00FE43B6" w:rsidRPr="00912996" w:rsidRDefault="00FE43B6" w:rsidP="00FE43B6">
            <w:pPr>
              <w:rPr>
                <w:rFonts w:ascii="Calibri" w:hAnsi="Calibri"/>
                <w:bCs/>
                <w:lang w:eastAsia="ja-JP"/>
              </w:rPr>
            </w:pPr>
            <w:r w:rsidRPr="00912996">
              <w:rPr>
                <w:rFonts w:ascii="Calibri" w:hAnsi="Calibri"/>
                <w:bCs/>
                <w:lang w:eastAsia="ja-JP"/>
              </w:rPr>
              <w:t>6</w:t>
            </w:r>
          </w:p>
        </w:tc>
        <w:tc>
          <w:tcPr>
            <w:tcW w:w="790" w:type="pct"/>
            <w:shd w:val="clear" w:color="auto" w:fill="F2F2F2"/>
            <w:hideMark/>
          </w:tcPr>
          <w:p w14:paraId="5F010C5D" w14:textId="77777777" w:rsidR="00FE43B6" w:rsidRPr="00912996" w:rsidRDefault="00FE43B6" w:rsidP="00FE43B6">
            <w:pPr>
              <w:rPr>
                <w:rFonts w:ascii="Calibri" w:hAnsi="Calibri"/>
                <w:bCs/>
                <w:lang w:eastAsia="ja-JP"/>
              </w:rPr>
            </w:pPr>
            <w:r w:rsidRPr="00912996">
              <w:rPr>
                <w:rFonts w:ascii="Calibri" w:hAnsi="Calibri"/>
                <w:bCs/>
                <w:lang w:eastAsia="ja-JP"/>
              </w:rPr>
              <w:t>Adoptarea unei strategii de extindere a serviciilor publice electronice disponibile. Corelarea lor cu nevoile și urgențele semnalate de cetățeni și mediul de afaceri în interacțiunile cu Primăria Sector 2</w:t>
            </w:r>
          </w:p>
        </w:tc>
        <w:tc>
          <w:tcPr>
            <w:tcW w:w="567" w:type="pct"/>
            <w:gridSpan w:val="3"/>
            <w:shd w:val="clear" w:color="auto" w:fill="F2F2F2"/>
            <w:hideMark/>
          </w:tcPr>
          <w:p w14:paraId="46442925" w14:textId="76F35D31"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mediul de afaceri, Secretariatul General al Guvernului - Parteneriatul pentru Guvernare Deschisă, contractori externi</w:t>
            </w:r>
          </w:p>
        </w:tc>
        <w:tc>
          <w:tcPr>
            <w:tcW w:w="543" w:type="pct"/>
            <w:shd w:val="clear" w:color="auto" w:fill="F2F2F2"/>
            <w:hideMark/>
          </w:tcPr>
          <w:p w14:paraId="3FEB56B8" w14:textId="77777777" w:rsidR="00FE43B6" w:rsidRPr="00912996" w:rsidRDefault="00FE43B6" w:rsidP="00FE43B6">
            <w:pPr>
              <w:rPr>
                <w:rFonts w:ascii="Calibri" w:hAnsi="Calibri"/>
                <w:bCs/>
                <w:lang w:eastAsia="ja-JP"/>
              </w:rPr>
            </w:pPr>
            <w:r>
              <w:rPr>
                <w:rFonts w:ascii="Calibri" w:hAnsi="Calibri"/>
                <w:bCs/>
                <w:lang w:eastAsia="ja-JP"/>
              </w:rPr>
              <w:t>În implementare</w:t>
            </w:r>
            <w:r w:rsidRPr="00945899">
              <w:rPr>
                <w:rFonts w:ascii="Calibri" w:hAnsi="Calibri"/>
                <w:bCs/>
                <w:lang w:eastAsia="ja-JP"/>
              </w:rPr>
              <w:t xml:space="preserve"> </w:t>
            </w:r>
          </w:p>
        </w:tc>
        <w:tc>
          <w:tcPr>
            <w:tcW w:w="444" w:type="pct"/>
            <w:shd w:val="clear" w:color="auto" w:fill="F2F2F2"/>
            <w:hideMark/>
          </w:tcPr>
          <w:p w14:paraId="426AA85C" w14:textId="77777777" w:rsidR="00FE43B6" w:rsidRPr="00912996" w:rsidRDefault="00FE43B6" w:rsidP="00FE43B6">
            <w:pPr>
              <w:rPr>
                <w:rFonts w:ascii="Calibri" w:hAnsi="Calibri"/>
                <w:bCs/>
                <w:lang w:eastAsia="ja-JP"/>
              </w:rPr>
            </w:pPr>
            <w:r w:rsidRPr="00945899">
              <w:rPr>
                <w:rFonts w:ascii="Calibri" w:hAnsi="Calibri"/>
                <w:bCs/>
                <w:lang w:eastAsia="ja-JP"/>
              </w:rPr>
              <w:t xml:space="preserve">660,000 </w:t>
            </w:r>
          </w:p>
        </w:tc>
        <w:tc>
          <w:tcPr>
            <w:tcW w:w="444" w:type="pct"/>
            <w:shd w:val="clear" w:color="auto" w:fill="F2F2F2"/>
            <w:hideMark/>
          </w:tcPr>
          <w:p w14:paraId="10C9B142" w14:textId="77777777" w:rsidR="00FE43B6" w:rsidRPr="00912996" w:rsidRDefault="00FE43B6" w:rsidP="00FE43B6">
            <w:pPr>
              <w:rPr>
                <w:rFonts w:ascii="Calibri" w:hAnsi="Calibri"/>
                <w:bCs/>
                <w:lang w:eastAsia="ja-JP"/>
              </w:rPr>
            </w:pPr>
            <w:r w:rsidRPr="00945899">
              <w:rPr>
                <w:rFonts w:ascii="Calibri" w:hAnsi="Calibri"/>
                <w:bCs/>
                <w:lang w:eastAsia="ja-JP"/>
              </w:rPr>
              <w:t xml:space="preserve">135,000 </w:t>
            </w:r>
          </w:p>
        </w:tc>
        <w:tc>
          <w:tcPr>
            <w:tcW w:w="380" w:type="pct"/>
            <w:shd w:val="clear" w:color="auto" w:fill="F2F2F2"/>
            <w:hideMark/>
          </w:tcPr>
          <w:p w14:paraId="24A1F0AB" w14:textId="77777777" w:rsidR="00FE43B6" w:rsidRPr="00912996" w:rsidRDefault="00FE43B6" w:rsidP="00FE43B6">
            <w:pPr>
              <w:rPr>
                <w:rFonts w:ascii="Calibri" w:hAnsi="Calibri"/>
                <w:bCs/>
                <w:lang w:eastAsia="ja-JP"/>
              </w:rPr>
            </w:pPr>
            <w:r w:rsidRPr="00945899">
              <w:rPr>
                <w:rFonts w:ascii="Calibri" w:hAnsi="Calibri"/>
                <w:bCs/>
                <w:lang w:eastAsia="ja-JP"/>
              </w:rPr>
              <w:t>2023</w:t>
            </w:r>
            <w:r>
              <w:rPr>
                <w:rFonts w:ascii="Calibri" w:hAnsi="Calibri"/>
                <w:bCs/>
                <w:lang w:eastAsia="ja-JP"/>
              </w:rPr>
              <w:t xml:space="preserve"> </w:t>
            </w:r>
            <w:r w:rsidRPr="00945899">
              <w:rPr>
                <w:rFonts w:ascii="Calibri" w:hAnsi="Calibri"/>
                <w:bCs/>
                <w:lang w:eastAsia="ja-JP"/>
              </w:rPr>
              <w:t xml:space="preserve">-2024 </w:t>
            </w:r>
          </w:p>
        </w:tc>
        <w:tc>
          <w:tcPr>
            <w:tcW w:w="664" w:type="pct"/>
            <w:shd w:val="clear" w:color="auto" w:fill="F2F2F2"/>
            <w:hideMark/>
          </w:tcPr>
          <w:p w14:paraId="739A92BB" w14:textId="77777777" w:rsidR="00FE43B6" w:rsidRPr="00912996" w:rsidRDefault="00FE43B6" w:rsidP="00FE43B6">
            <w:pPr>
              <w:rPr>
                <w:rFonts w:ascii="Calibri" w:hAnsi="Calibri"/>
                <w:bCs/>
                <w:lang w:eastAsia="ja-JP"/>
              </w:rPr>
            </w:pPr>
            <w:r w:rsidRPr="00945899">
              <w:rPr>
                <w:rFonts w:ascii="Calibri" w:hAnsi="Calibri"/>
                <w:bCs/>
                <w:lang w:eastAsia="ja-JP"/>
              </w:rPr>
              <w:t xml:space="preserve">Bugetul local </w:t>
            </w:r>
          </w:p>
        </w:tc>
        <w:tc>
          <w:tcPr>
            <w:tcW w:w="444" w:type="pct"/>
            <w:shd w:val="clear" w:color="auto" w:fill="F2F2F2"/>
            <w:hideMark/>
          </w:tcPr>
          <w:p w14:paraId="0BFBFC22" w14:textId="77777777" w:rsidR="00FE43B6" w:rsidRPr="00912996" w:rsidRDefault="00FE43B6" w:rsidP="00FE43B6">
            <w:pPr>
              <w:rPr>
                <w:rFonts w:ascii="Calibri" w:hAnsi="Calibri"/>
                <w:bCs/>
                <w:lang w:eastAsia="ja-JP"/>
              </w:rPr>
            </w:pPr>
            <w:r>
              <w:rPr>
                <w:rFonts w:ascii="Calibri" w:hAnsi="Calibri"/>
                <w:bCs/>
                <w:lang w:eastAsia="ja-JP"/>
              </w:rPr>
              <w:t>În implementare</w:t>
            </w:r>
            <w:r w:rsidRPr="00945899">
              <w:rPr>
                <w:rFonts w:ascii="Calibri" w:hAnsi="Calibri"/>
                <w:bCs/>
                <w:lang w:eastAsia="ja-JP"/>
              </w:rPr>
              <w:t xml:space="preserve"> </w:t>
            </w:r>
          </w:p>
        </w:tc>
        <w:tc>
          <w:tcPr>
            <w:tcW w:w="506" w:type="pct"/>
            <w:shd w:val="clear" w:color="auto" w:fill="F2F2F2"/>
            <w:hideMark/>
          </w:tcPr>
          <w:p w14:paraId="5D0462EA" w14:textId="77777777" w:rsidR="00FE43B6" w:rsidRPr="00912996" w:rsidRDefault="00FE43B6" w:rsidP="00FE43B6">
            <w:pPr>
              <w:rPr>
                <w:rFonts w:ascii="Calibri" w:hAnsi="Calibri"/>
                <w:bCs/>
                <w:lang w:eastAsia="ja-JP"/>
              </w:rPr>
            </w:pPr>
            <w:r w:rsidRPr="00945899">
              <w:rPr>
                <w:rFonts w:ascii="Calibri" w:hAnsi="Calibri"/>
                <w:bCs/>
                <w:lang w:eastAsia="ja-JP"/>
              </w:rPr>
              <w:t xml:space="preserve">660,000 </w:t>
            </w:r>
          </w:p>
        </w:tc>
      </w:tr>
      <w:tr w:rsidR="00FE43B6" w:rsidRPr="00912996" w14:paraId="785F73C9" w14:textId="77777777" w:rsidTr="00FE43B6">
        <w:trPr>
          <w:trHeight w:val="276"/>
        </w:trPr>
        <w:tc>
          <w:tcPr>
            <w:tcW w:w="219" w:type="pct"/>
            <w:shd w:val="clear" w:color="auto" w:fill="F2F2F2"/>
            <w:noWrap/>
            <w:hideMark/>
          </w:tcPr>
          <w:p w14:paraId="7EF63E24" w14:textId="77777777" w:rsidR="00FE43B6" w:rsidRPr="00912996" w:rsidRDefault="00FE43B6" w:rsidP="00FE43B6">
            <w:pPr>
              <w:rPr>
                <w:rFonts w:ascii="Calibri" w:hAnsi="Calibri"/>
                <w:bCs/>
                <w:lang w:eastAsia="ja-JP"/>
              </w:rPr>
            </w:pPr>
            <w:r w:rsidRPr="00912996">
              <w:rPr>
                <w:rFonts w:ascii="Calibri" w:hAnsi="Calibri"/>
                <w:bCs/>
                <w:lang w:eastAsia="ja-JP"/>
              </w:rPr>
              <w:t>7</w:t>
            </w:r>
          </w:p>
        </w:tc>
        <w:tc>
          <w:tcPr>
            <w:tcW w:w="790" w:type="pct"/>
            <w:shd w:val="clear" w:color="auto" w:fill="F2F2F2"/>
            <w:hideMark/>
          </w:tcPr>
          <w:p w14:paraId="47BAF0C0" w14:textId="77777777" w:rsidR="00FE43B6" w:rsidRPr="00912996" w:rsidRDefault="00FE43B6" w:rsidP="00FE43B6">
            <w:pPr>
              <w:rPr>
                <w:rFonts w:ascii="Calibri" w:hAnsi="Calibri"/>
                <w:bCs/>
                <w:lang w:eastAsia="ja-JP"/>
              </w:rPr>
            </w:pPr>
            <w:r w:rsidRPr="00912996">
              <w:rPr>
                <w:rFonts w:ascii="Calibri" w:hAnsi="Calibri"/>
                <w:bCs/>
                <w:lang w:eastAsia="ja-JP"/>
              </w:rPr>
              <w:t>Revizuire PUG</w:t>
            </w:r>
          </w:p>
        </w:tc>
        <w:tc>
          <w:tcPr>
            <w:tcW w:w="567" w:type="pct"/>
            <w:gridSpan w:val="3"/>
            <w:shd w:val="clear" w:color="auto" w:fill="F2F2F2"/>
            <w:hideMark/>
          </w:tcPr>
          <w:p w14:paraId="69B2D163"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0C17A26D" w14:textId="77777777" w:rsidR="00FE43B6" w:rsidRPr="00912996" w:rsidRDefault="00FE43B6" w:rsidP="00FE43B6">
            <w:pPr>
              <w:rPr>
                <w:rFonts w:ascii="Calibri" w:hAnsi="Calibri"/>
                <w:bCs/>
                <w:lang w:eastAsia="ja-JP"/>
              </w:rPr>
            </w:pPr>
            <w:r w:rsidRPr="00912996">
              <w:rPr>
                <w:rFonts w:ascii="Calibri" w:hAnsi="Calibri"/>
                <w:bCs/>
                <w:lang w:eastAsia="ja-JP"/>
              </w:rPr>
              <w:t>Execuție</w:t>
            </w:r>
          </w:p>
        </w:tc>
        <w:tc>
          <w:tcPr>
            <w:tcW w:w="444" w:type="pct"/>
            <w:shd w:val="clear" w:color="auto" w:fill="F2F2F2"/>
            <w:hideMark/>
          </w:tcPr>
          <w:p w14:paraId="01BEF2D0" w14:textId="77777777" w:rsidR="00FE43B6" w:rsidRPr="00912996" w:rsidRDefault="00FE43B6" w:rsidP="00FE43B6">
            <w:pPr>
              <w:rPr>
                <w:rFonts w:ascii="Calibri" w:hAnsi="Calibri"/>
                <w:bCs/>
                <w:lang w:eastAsia="ja-JP"/>
              </w:rPr>
            </w:pPr>
            <w:r w:rsidRPr="00912996">
              <w:rPr>
                <w:rFonts w:ascii="Calibri" w:hAnsi="Calibri"/>
                <w:bCs/>
                <w:lang w:eastAsia="ja-JP"/>
              </w:rPr>
              <w:t>4,979,674</w:t>
            </w:r>
          </w:p>
        </w:tc>
        <w:tc>
          <w:tcPr>
            <w:tcW w:w="444" w:type="pct"/>
            <w:shd w:val="clear" w:color="auto" w:fill="F2F2F2"/>
            <w:hideMark/>
          </w:tcPr>
          <w:p w14:paraId="1575C66B" w14:textId="77777777" w:rsidR="00FE43B6" w:rsidRPr="00912996" w:rsidRDefault="00FE43B6" w:rsidP="00FE43B6">
            <w:pPr>
              <w:rPr>
                <w:rFonts w:ascii="Calibri" w:hAnsi="Calibri"/>
                <w:bCs/>
                <w:lang w:eastAsia="ja-JP"/>
              </w:rPr>
            </w:pPr>
            <w:r w:rsidRPr="00912996">
              <w:rPr>
                <w:rFonts w:ascii="Calibri" w:hAnsi="Calibri"/>
                <w:bCs/>
                <w:lang w:eastAsia="ja-JP"/>
              </w:rPr>
              <w:t>1,016,260</w:t>
            </w:r>
          </w:p>
        </w:tc>
        <w:tc>
          <w:tcPr>
            <w:tcW w:w="380" w:type="pct"/>
            <w:shd w:val="clear" w:color="auto" w:fill="F2F2F2"/>
            <w:hideMark/>
          </w:tcPr>
          <w:p w14:paraId="6249BAD5" w14:textId="77777777" w:rsidR="00FE43B6" w:rsidRPr="00912996" w:rsidRDefault="00FE43B6" w:rsidP="00FE43B6">
            <w:pPr>
              <w:rPr>
                <w:rFonts w:ascii="Calibri" w:hAnsi="Calibri"/>
                <w:bCs/>
                <w:lang w:eastAsia="ja-JP"/>
              </w:rPr>
            </w:pPr>
            <w:r>
              <w:rPr>
                <w:rFonts w:ascii="Calibri" w:hAnsi="Calibri"/>
                <w:bCs/>
                <w:lang w:eastAsia="ja-JP"/>
              </w:rPr>
              <w:t>N/A</w:t>
            </w:r>
          </w:p>
        </w:tc>
        <w:tc>
          <w:tcPr>
            <w:tcW w:w="664" w:type="pct"/>
            <w:shd w:val="clear" w:color="auto" w:fill="F2F2F2"/>
            <w:hideMark/>
          </w:tcPr>
          <w:p w14:paraId="4191648E"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p>
        </w:tc>
        <w:tc>
          <w:tcPr>
            <w:tcW w:w="444" w:type="pct"/>
            <w:shd w:val="clear" w:color="auto" w:fill="F2F2F2"/>
            <w:hideMark/>
          </w:tcPr>
          <w:p w14:paraId="01CB7A00"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76140061" w14:textId="77777777" w:rsidR="00FE43B6" w:rsidRPr="00912996" w:rsidRDefault="00FE43B6" w:rsidP="00FE43B6">
            <w:pPr>
              <w:rPr>
                <w:rFonts w:ascii="Calibri" w:hAnsi="Calibri"/>
                <w:bCs/>
                <w:lang w:eastAsia="ja-JP"/>
              </w:rPr>
            </w:pPr>
            <w:r w:rsidRPr="00912996">
              <w:rPr>
                <w:rFonts w:ascii="Calibri" w:hAnsi="Calibri"/>
                <w:bCs/>
                <w:lang w:eastAsia="ja-JP"/>
              </w:rPr>
              <w:t>SIDU MB</w:t>
            </w:r>
          </w:p>
        </w:tc>
      </w:tr>
      <w:tr w:rsidR="00FE43B6" w:rsidRPr="00912996" w14:paraId="116A6923" w14:textId="77777777" w:rsidTr="00FE43B6">
        <w:trPr>
          <w:trHeight w:val="804"/>
        </w:trPr>
        <w:tc>
          <w:tcPr>
            <w:tcW w:w="219" w:type="pct"/>
            <w:shd w:val="clear" w:color="auto" w:fill="F2F2F2"/>
            <w:noWrap/>
            <w:hideMark/>
          </w:tcPr>
          <w:p w14:paraId="00E9E22E" w14:textId="77777777" w:rsidR="00FE43B6" w:rsidRPr="00912996" w:rsidRDefault="00FE43B6" w:rsidP="00FE43B6">
            <w:pPr>
              <w:rPr>
                <w:rFonts w:ascii="Calibri" w:hAnsi="Calibri"/>
                <w:bCs/>
                <w:lang w:eastAsia="ja-JP"/>
              </w:rPr>
            </w:pPr>
            <w:r w:rsidRPr="00912996">
              <w:rPr>
                <w:rFonts w:ascii="Calibri" w:hAnsi="Calibri"/>
                <w:bCs/>
                <w:lang w:eastAsia="ja-JP"/>
              </w:rPr>
              <w:t>8</w:t>
            </w:r>
          </w:p>
        </w:tc>
        <w:tc>
          <w:tcPr>
            <w:tcW w:w="790" w:type="pct"/>
            <w:shd w:val="clear" w:color="auto" w:fill="F2F2F2"/>
            <w:hideMark/>
          </w:tcPr>
          <w:p w14:paraId="2796B170" w14:textId="77777777" w:rsidR="00FE43B6" w:rsidRPr="00912996" w:rsidRDefault="00FE43B6" w:rsidP="00FE43B6">
            <w:pPr>
              <w:rPr>
                <w:rFonts w:ascii="Calibri" w:hAnsi="Calibri"/>
                <w:bCs/>
                <w:lang w:eastAsia="ja-JP"/>
              </w:rPr>
            </w:pPr>
            <w:r w:rsidRPr="00912996">
              <w:rPr>
                <w:rFonts w:ascii="Calibri" w:hAnsi="Calibri"/>
                <w:bCs/>
                <w:lang w:eastAsia="ja-JP"/>
              </w:rPr>
              <w:t>Informatizarea administrației publice locale/digitizarea serviciilor publice și implementarea conceptului de Smart City</w:t>
            </w:r>
          </w:p>
        </w:tc>
        <w:tc>
          <w:tcPr>
            <w:tcW w:w="567" w:type="pct"/>
            <w:gridSpan w:val="3"/>
            <w:shd w:val="clear" w:color="auto" w:fill="F2F2F2"/>
            <w:hideMark/>
          </w:tcPr>
          <w:p w14:paraId="5B21EE67"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3FC3CD28" w14:textId="77777777" w:rsidR="00FE43B6" w:rsidRPr="00912996" w:rsidRDefault="00FE43B6" w:rsidP="00FE43B6">
            <w:pPr>
              <w:rPr>
                <w:rFonts w:ascii="Calibri" w:hAnsi="Calibri"/>
                <w:bCs/>
                <w:lang w:eastAsia="ja-JP"/>
              </w:rPr>
            </w:pPr>
            <w:r w:rsidRPr="00912996">
              <w:rPr>
                <w:rFonts w:ascii="Calibri" w:hAnsi="Calibri"/>
                <w:bCs/>
                <w:lang w:eastAsia="ja-JP"/>
              </w:rPr>
              <w:t>Procedură de achiziție</w:t>
            </w:r>
          </w:p>
        </w:tc>
        <w:tc>
          <w:tcPr>
            <w:tcW w:w="444" w:type="pct"/>
            <w:shd w:val="clear" w:color="auto" w:fill="F2F2F2"/>
            <w:hideMark/>
          </w:tcPr>
          <w:p w14:paraId="55A250B2" w14:textId="77777777" w:rsidR="00FE43B6" w:rsidRPr="00912996" w:rsidRDefault="00FE43B6" w:rsidP="00FE43B6">
            <w:pPr>
              <w:rPr>
                <w:rFonts w:ascii="Calibri" w:hAnsi="Calibri"/>
                <w:bCs/>
                <w:lang w:eastAsia="ja-JP"/>
              </w:rPr>
            </w:pPr>
            <w:r w:rsidRPr="00912996">
              <w:rPr>
                <w:rFonts w:ascii="Calibri" w:hAnsi="Calibri"/>
                <w:bCs/>
                <w:lang w:eastAsia="ja-JP"/>
              </w:rPr>
              <w:t>5,577,234</w:t>
            </w:r>
          </w:p>
        </w:tc>
        <w:tc>
          <w:tcPr>
            <w:tcW w:w="444" w:type="pct"/>
            <w:shd w:val="clear" w:color="auto" w:fill="F2F2F2"/>
            <w:hideMark/>
          </w:tcPr>
          <w:p w14:paraId="4EFE9C59" w14:textId="77777777" w:rsidR="00FE43B6" w:rsidRPr="00912996" w:rsidRDefault="00FE43B6" w:rsidP="00FE43B6">
            <w:pPr>
              <w:rPr>
                <w:rFonts w:ascii="Calibri" w:hAnsi="Calibri"/>
                <w:bCs/>
                <w:lang w:eastAsia="ja-JP"/>
              </w:rPr>
            </w:pPr>
            <w:r w:rsidRPr="00912996">
              <w:rPr>
                <w:rFonts w:ascii="Calibri" w:hAnsi="Calibri"/>
                <w:bCs/>
                <w:lang w:eastAsia="ja-JP"/>
              </w:rPr>
              <w:t>1,138,211</w:t>
            </w:r>
          </w:p>
        </w:tc>
        <w:tc>
          <w:tcPr>
            <w:tcW w:w="380" w:type="pct"/>
            <w:shd w:val="clear" w:color="auto" w:fill="F2F2F2"/>
            <w:hideMark/>
          </w:tcPr>
          <w:p w14:paraId="18C0DA73" w14:textId="77777777" w:rsidR="00FE43B6" w:rsidRPr="00912996" w:rsidRDefault="00FE43B6" w:rsidP="00FE43B6">
            <w:pPr>
              <w:rPr>
                <w:rFonts w:ascii="Calibri" w:hAnsi="Calibri"/>
                <w:bCs/>
                <w:lang w:eastAsia="ja-JP"/>
              </w:rPr>
            </w:pPr>
            <w:r>
              <w:rPr>
                <w:rFonts w:ascii="Calibri" w:hAnsi="Calibri"/>
                <w:bCs/>
                <w:lang w:eastAsia="ja-JP"/>
              </w:rPr>
              <w:t>2024</w:t>
            </w:r>
          </w:p>
        </w:tc>
        <w:tc>
          <w:tcPr>
            <w:tcW w:w="664" w:type="pct"/>
            <w:shd w:val="clear" w:color="auto" w:fill="F2F2F2"/>
            <w:hideMark/>
          </w:tcPr>
          <w:p w14:paraId="398938A2"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 de finanțare</w:t>
            </w:r>
            <w:r>
              <w:rPr>
                <w:rFonts w:ascii="Calibri" w:hAnsi="Calibri"/>
                <w:bCs/>
                <w:lang w:eastAsia="ja-JP"/>
              </w:rPr>
              <w:t xml:space="preserve">, SIDU MB </w:t>
            </w:r>
          </w:p>
        </w:tc>
        <w:tc>
          <w:tcPr>
            <w:tcW w:w="444" w:type="pct"/>
            <w:shd w:val="clear" w:color="auto" w:fill="F2F2F2"/>
            <w:hideMark/>
          </w:tcPr>
          <w:p w14:paraId="604E63EF"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3A5CB3CC"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r>
      <w:tr w:rsidR="00FE43B6" w:rsidRPr="00912996" w14:paraId="0A0C9BA7" w14:textId="77777777" w:rsidTr="00FE43B6">
        <w:trPr>
          <w:trHeight w:val="804"/>
        </w:trPr>
        <w:tc>
          <w:tcPr>
            <w:tcW w:w="219" w:type="pct"/>
            <w:shd w:val="clear" w:color="auto" w:fill="F2F2F2"/>
            <w:noWrap/>
            <w:hideMark/>
          </w:tcPr>
          <w:p w14:paraId="3A5016E4" w14:textId="77777777" w:rsidR="00FE43B6" w:rsidRPr="00912996" w:rsidRDefault="00FE43B6" w:rsidP="00FE43B6">
            <w:pPr>
              <w:rPr>
                <w:rFonts w:ascii="Calibri" w:hAnsi="Calibri"/>
                <w:bCs/>
                <w:lang w:eastAsia="ja-JP"/>
              </w:rPr>
            </w:pPr>
            <w:r w:rsidRPr="00912996">
              <w:rPr>
                <w:rFonts w:ascii="Calibri" w:hAnsi="Calibri"/>
                <w:bCs/>
                <w:lang w:eastAsia="ja-JP"/>
              </w:rPr>
              <w:t>9</w:t>
            </w:r>
          </w:p>
        </w:tc>
        <w:tc>
          <w:tcPr>
            <w:tcW w:w="790" w:type="pct"/>
            <w:shd w:val="clear" w:color="auto" w:fill="F2F2F2"/>
            <w:hideMark/>
          </w:tcPr>
          <w:p w14:paraId="2D8B04FE" w14:textId="77777777" w:rsidR="00FE43B6" w:rsidRPr="00912996" w:rsidRDefault="00FE43B6" w:rsidP="00FE43B6">
            <w:pPr>
              <w:rPr>
                <w:rFonts w:ascii="Calibri" w:hAnsi="Calibri"/>
                <w:bCs/>
                <w:lang w:eastAsia="ja-JP"/>
              </w:rPr>
            </w:pPr>
            <w:r w:rsidRPr="00912996">
              <w:rPr>
                <w:rFonts w:ascii="Calibri" w:hAnsi="Calibri"/>
                <w:bCs/>
                <w:lang w:eastAsia="ja-JP"/>
              </w:rPr>
              <w:t>Informatizarea serviciului DGASPC Sector 2, bază de date unică pentru toți beneficiarii de servicii și prestații sociale</w:t>
            </w:r>
          </w:p>
        </w:tc>
        <w:tc>
          <w:tcPr>
            <w:tcW w:w="567" w:type="pct"/>
            <w:gridSpan w:val="3"/>
            <w:shd w:val="clear" w:color="auto" w:fill="F2F2F2"/>
            <w:hideMark/>
          </w:tcPr>
          <w:p w14:paraId="494B47C9"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hideMark/>
          </w:tcPr>
          <w:p w14:paraId="680DB6BE" w14:textId="77777777" w:rsidR="00FE43B6" w:rsidRPr="00912996" w:rsidRDefault="00FE43B6" w:rsidP="00FE43B6">
            <w:pPr>
              <w:rPr>
                <w:rFonts w:ascii="Calibri" w:hAnsi="Calibri"/>
                <w:bCs/>
                <w:lang w:eastAsia="ja-JP"/>
              </w:rPr>
            </w:pPr>
            <w:r>
              <w:rPr>
                <w:rFonts w:ascii="Calibri" w:hAnsi="Calibri"/>
                <w:bCs/>
                <w:lang w:eastAsia="ja-JP"/>
              </w:rPr>
              <w:t>În curs de implementare</w:t>
            </w:r>
          </w:p>
        </w:tc>
        <w:tc>
          <w:tcPr>
            <w:tcW w:w="444" w:type="pct"/>
            <w:shd w:val="clear" w:color="auto" w:fill="F2F2F2"/>
            <w:hideMark/>
          </w:tcPr>
          <w:p w14:paraId="71289739" w14:textId="77777777" w:rsidR="00FE43B6" w:rsidRPr="00912996" w:rsidRDefault="00FE43B6" w:rsidP="00FE43B6">
            <w:pPr>
              <w:rPr>
                <w:rFonts w:ascii="Calibri" w:hAnsi="Calibri"/>
                <w:bCs/>
                <w:lang w:eastAsia="ja-JP"/>
              </w:rPr>
            </w:pPr>
            <w:r>
              <w:rPr>
                <w:rFonts w:ascii="Calibri" w:hAnsi="Calibri"/>
                <w:bCs/>
                <w:lang w:eastAsia="ja-JP"/>
              </w:rPr>
              <w:t>2,896,659</w:t>
            </w:r>
          </w:p>
        </w:tc>
        <w:tc>
          <w:tcPr>
            <w:tcW w:w="444" w:type="pct"/>
            <w:shd w:val="clear" w:color="auto" w:fill="F2F2F2"/>
            <w:hideMark/>
          </w:tcPr>
          <w:p w14:paraId="3D3E5DBE" w14:textId="77777777" w:rsidR="00FE43B6" w:rsidRPr="00912996" w:rsidRDefault="00FE43B6" w:rsidP="00FE43B6">
            <w:pPr>
              <w:rPr>
                <w:rFonts w:ascii="Calibri" w:hAnsi="Calibri"/>
                <w:bCs/>
                <w:lang w:eastAsia="ja-JP"/>
              </w:rPr>
            </w:pPr>
            <w:r>
              <w:rPr>
                <w:rFonts w:ascii="Calibri" w:hAnsi="Calibri"/>
                <w:bCs/>
                <w:lang w:eastAsia="ja-JP"/>
              </w:rPr>
              <w:t>580,000</w:t>
            </w:r>
          </w:p>
        </w:tc>
        <w:tc>
          <w:tcPr>
            <w:tcW w:w="380" w:type="pct"/>
            <w:shd w:val="clear" w:color="auto" w:fill="F2F2F2"/>
            <w:hideMark/>
          </w:tcPr>
          <w:p w14:paraId="1C9F1B91" w14:textId="77777777" w:rsidR="00FE43B6" w:rsidRPr="00912996" w:rsidRDefault="00FE43B6" w:rsidP="00FE43B6">
            <w:pPr>
              <w:rPr>
                <w:rFonts w:ascii="Calibri" w:hAnsi="Calibri"/>
                <w:bCs/>
                <w:lang w:eastAsia="ja-JP"/>
              </w:rPr>
            </w:pPr>
            <w:r>
              <w:rPr>
                <w:rFonts w:ascii="Calibri" w:hAnsi="Calibri"/>
                <w:bCs/>
                <w:lang w:eastAsia="ja-JP"/>
              </w:rPr>
              <w:t>2023 -2024</w:t>
            </w:r>
          </w:p>
        </w:tc>
        <w:tc>
          <w:tcPr>
            <w:tcW w:w="664" w:type="pct"/>
            <w:shd w:val="clear" w:color="auto" w:fill="F2F2F2"/>
            <w:hideMark/>
          </w:tcPr>
          <w:p w14:paraId="1EF13F7A" w14:textId="77777777" w:rsidR="00FE43B6" w:rsidRPr="00912996" w:rsidRDefault="00FE43B6" w:rsidP="00FE43B6">
            <w:pPr>
              <w:rPr>
                <w:rFonts w:ascii="Calibri" w:hAnsi="Calibri"/>
                <w:bCs/>
                <w:lang w:eastAsia="ja-JP"/>
              </w:rPr>
            </w:pPr>
            <w:r w:rsidRPr="00912996">
              <w:rPr>
                <w:rFonts w:ascii="Calibri" w:hAnsi="Calibri"/>
                <w:bCs/>
                <w:lang w:eastAsia="ja-JP"/>
              </w:rPr>
              <w:t>Bugetul local,</w:t>
            </w:r>
            <w:r>
              <w:rPr>
                <w:rFonts w:ascii="Calibri" w:hAnsi="Calibri"/>
                <w:bCs/>
                <w:lang w:eastAsia="ja-JP"/>
              </w:rPr>
              <w:t xml:space="preserve"> POCA, SDLID S2 2016-2025</w:t>
            </w:r>
          </w:p>
        </w:tc>
        <w:tc>
          <w:tcPr>
            <w:tcW w:w="444" w:type="pct"/>
            <w:shd w:val="clear" w:color="auto" w:fill="F2F2F2"/>
            <w:hideMark/>
          </w:tcPr>
          <w:p w14:paraId="281CEED5" w14:textId="77777777" w:rsidR="00FE43B6" w:rsidRPr="00912996" w:rsidRDefault="00FE43B6" w:rsidP="00FE43B6">
            <w:pPr>
              <w:rPr>
                <w:rFonts w:ascii="Calibri" w:hAnsi="Calibri"/>
                <w:bCs/>
                <w:lang w:eastAsia="ja-JP"/>
              </w:rPr>
            </w:pPr>
            <w:r>
              <w:rPr>
                <w:rFonts w:ascii="Calibri" w:hAnsi="Calibri"/>
                <w:bCs/>
                <w:lang w:eastAsia="ja-JP"/>
              </w:rPr>
              <w:t>Proiect prioritar</w:t>
            </w:r>
          </w:p>
        </w:tc>
        <w:tc>
          <w:tcPr>
            <w:tcW w:w="506" w:type="pct"/>
            <w:shd w:val="clear" w:color="auto" w:fill="F2F2F2"/>
            <w:hideMark/>
          </w:tcPr>
          <w:p w14:paraId="79032E1A"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r>
      <w:tr w:rsidR="00FE43B6" w:rsidRPr="00912996" w14:paraId="1DBF9D5A" w14:textId="77777777" w:rsidTr="00FE15A1">
        <w:trPr>
          <w:trHeight w:val="534"/>
        </w:trPr>
        <w:tc>
          <w:tcPr>
            <w:tcW w:w="219" w:type="pct"/>
            <w:shd w:val="clear" w:color="auto" w:fill="F2F2F2"/>
            <w:noWrap/>
            <w:hideMark/>
          </w:tcPr>
          <w:p w14:paraId="20BC010E" w14:textId="77777777" w:rsidR="00FE43B6" w:rsidRPr="00912996" w:rsidRDefault="00FE43B6" w:rsidP="00FE43B6">
            <w:pPr>
              <w:rPr>
                <w:rFonts w:ascii="Calibri" w:hAnsi="Calibri"/>
                <w:bCs/>
                <w:lang w:eastAsia="ja-JP"/>
              </w:rPr>
            </w:pPr>
            <w:r w:rsidRPr="00912996">
              <w:rPr>
                <w:rFonts w:ascii="Calibri" w:hAnsi="Calibri"/>
                <w:bCs/>
                <w:lang w:eastAsia="ja-JP"/>
              </w:rPr>
              <w:t>10</w:t>
            </w:r>
          </w:p>
        </w:tc>
        <w:tc>
          <w:tcPr>
            <w:tcW w:w="790" w:type="pct"/>
            <w:shd w:val="clear" w:color="auto" w:fill="F2F2F2"/>
            <w:hideMark/>
          </w:tcPr>
          <w:p w14:paraId="67813014" w14:textId="77777777" w:rsidR="00FE43B6" w:rsidRPr="00912996" w:rsidRDefault="00FE43B6" w:rsidP="00FE43B6">
            <w:pPr>
              <w:rPr>
                <w:rFonts w:ascii="Calibri" w:hAnsi="Calibri"/>
                <w:bCs/>
                <w:lang w:eastAsia="ja-JP"/>
              </w:rPr>
            </w:pPr>
            <w:r w:rsidRPr="00912996">
              <w:rPr>
                <w:rFonts w:ascii="Calibri" w:hAnsi="Calibri"/>
                <w:bCs/>
                <w:lang w:eastAsia="ja-JP"/>
              </w:rPr>
              <w:t>Implementarea și promovarea modalităților disponibile de plată și de utilizare a serviciilor electronice de la distanță a impozitelor si taxelor locale în rândul contribuabililor - Upgrade și promovare Platforma Digitală</w:t>
            </w:r>
          </w:p>
        </w:tc>
        <w:tc>
          <w:tcPr>
            <w:tcW w:w="567" w:type="pct"/>
            <w:gridSpan w:val="3"/>
            <w:shd w:val="clear" w:color="auto" w:fill="F2F2F2"/>
            <w:hideMark/>
          </w:tcPr>
          <w:p w14:paraId="621E5FBB" w14:textId="77777777" w:rsidR="00FE43B6" w:rsidRPr="00912996" w:rsidRDefault="00FE43B6" w:rsidP="00FE43B6">
            <w:pPr>
              <w:rPr>
                <w:rFonts w:ascii="Calibri" w:hAnsi="Calibri"/>
                <w:bCs/>
                <w:lang w:eastAsia="ja-JP"/>
              </w:rPr>
            </w:pPr>
            <w:r w:rsidRPr="00912996">
              <w:rPr>
                <w:rFonts w:ascii="Calibri" w:hAnsi="Calibri"/>
                <w:bCs/>
                <w:lang w:eastAsia="ja-JP"/>
              </w:rPr>
              <w:t>DGVBL S2</w:t>
            </w:r>
          </w:p>
        </w:tc>
        <w:tc>
          <w:tcPr>
            <w:tcW w:w="543" w:type="pct"/>
            <w:shd w:val="clear" w:color="auto" w:fill="F2F2F2"/>
            <w:hideMark/>
          </w:tcPr>
          <w:p w14:paraId="424B7B6D" w14:textId="77777777" w:rsidR="00FE43B6" w:rsidRPr="00912996" w:rsidRDefault="00FE43B6" w:rsidP="00FE43B6">
            <w:pPr>
              <w:rPr>
                <w:rFonts w:ascii="Calibri" w:hAnsi="Calibri"/>
                <w:bCs/>
                <w:lang w:eastAsia="ja-JP"/>
              </w:rPr>
            </w:pPr>
            <w:r>
              <w:rPr>
                <w:rFonts w:ascii="Calibri" w:hAnsi="Calibri"/>
                <w:bCs/>
                <w:lang w:eastAsia="ja-JP"/>
              </w:rPr>
              <w:t>În implementare</w:t>
            </w:r>
            <w:r w:rsidRPr="00912996">
              <w:rPr>
                <w:rFonts w:ascii="Calibri" w:hAnsi="Calibri"/>
                <w:bCs/>
                <w:lang w:eastAsia="ja-JP"/>
              </w:rPr>
              <w:t xml:space="preserve"> </w:t>
            </w:r>
          </w:p>
        </w:tc>
        <w:tc>
          <w:tcPr>
            <w:tcW w:w="444" w:type="pct"/>
            <w:shd w:val="clear" w:color="auto" w:fill="F2F2F2"/>
            <w:hideMark/>
          </w:tcPr>
          <w:p w14:paraId="64CACD0D" w14:textId="77777777" w:rsidR="00FE43B6" w:rsidRPr="00912996" w:rsidRDefault="00FE43B6" w:rsidP="00FE43B6">
            <w:pPr>
              <w:rPr>
                <w:rFonts w:ascii="Calibri" w:hAnsi="Calibri"/>
                <w:bCs/>
                <w:lang w:eastAsia="ja-JP"/>
              </w:rPr>
            </w:pPr>
            <w:r>
              <w:rPr>
                <w:rFonts w:ascii="Calibri" w:hAnsi="Calibri"/>
                <w:bCs/>
                <w:lang w:eastAsia="ja-JP"/>
              </w:rPr>
              <w:t>135,000</w:t>
            </w:r>
          </w:p>
        </w:tc>
        <w:tc>
          <w:tcPr>
            <w:tcW w:w="444" w:type="pct"/>
            <w:shd w:val="clear" w:color="auto" w:fill="F2F2F2"/>
            <w:hideMark/>
          </w:tcPr>
          <w:p w14:paraId="53295E5D" w14:textId="77777777" w:rsidR="00FE43B6" w:rsidRPr="00912996" w:rsidRDefault="00FE43B6" w:rsidP="00FE43B6">
            <w:pPr>
              <w:rPr>
                <w:rFonts w:ascii="Calibri" w:hAnsi="Calibri"/>
                <w:bCs/>
                <w:lang w:eastAsia="ja-JP"/>
              </w:rPr>
            </w:pPr>
            <w:r>
              <w:rPr>
                <w:rFonts w:ascii="Calibri" w:hAnsi="Calibri"/>
                <w:bCs/>
                <w:lang w:eastAsia="ja-JP"/>
              </w:rPr>
              <w:t>27,595</w:t>
            </w:r>
          </w:p>
        </w:tc>
        <w:tc>
          <w:tcPr>
            <w:tcW w:w="380" w:type="pct"/>
            <w:shd w:val="clear" w:color="auto" w:fill="F2F2F2"/>
            <w:hideMark/>
          </w:tcPr>
          <w:p w14:paraId="7515EC2D" w14:textId="77777777" w:rsidR="00FE43B6" w:rsidRPr="00912996" w:rsidRDefault="00FE43B6" w:rsidP="00FE43B6">
            <w:pPr>
              <w:rPr>
                <w:rFonts w:ascii="Calibri" w:hAnsi="Calibri"/>
                <w:bCs/>
                <w:lang w:eastAsia="ja-JP"/>
              </w:rPr>
            </w:pPr>
            <w:r>
              <w:rPr>
                <w:rFonts w:ascii="Calibri" w:hAnsi="Calibri"/>
                <w:bCs/>
                <w:lang w:eastAsia="ja-JP"/>
              </w:rPr>
              <w:t>2023</w:t>
            </w:r>
          </w:p>
        </w:tc>
        <w:tc>
          <w:tcPr>
            <w:tcW w:w="664" w:type="pct"/>
            <w:shd w:val="clear" w:color="auto" w:fill="F2F2F2"/>
            <w:hideMark/>
          </w:tcPr>
          <w:p w14:paraId="651264BE" w14:textId="77777777" w:rsidR="00FE43B6" w:rsidRPr="00912996" w:rsidRDefault="00FE43B6" w:rsidP="00FE43B6">
            <w:pPr>
              <w:rPr>
                <w:rFonts w:ascii="Calibri" w:hAnsi="Calibri"/>
                <w:bCs/>
                <w:lang w:eastAsia="ja-JP"/>
              </w:rPr>
            </w:pPr>
            <w:r w:rsidRPr="00912996">
              <w:rPr>
                <w:rFonts w:ascii="Calibri" w:hAnsi="Calibri"/>
                <w:bCs/>
                <w:lang w:eastAsia="ja-JP"/>
              </w:rPr>
              <w:t>Bugetul local, Alte surse de finanțare</w:t>
            </w:r>
          </w:p>
        </w:tc>
        <w:tc>
          <w:tcPr>
            <w:tcW w:w="444" w:type="pct"/>
            <w:shd w:val="clear" w:color="auto" w:fill="F2F2F2"/>
            <w:hideMark/>
          </w:tcPr>
          <w:p w14:paraId="0DAFCA88"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2BF98066" w14:textId="77777777" w:rsidR="00FE43B6" w:rsidRPr="00912996" w:rsidRDefault="00FE43B6" w:rsidP="00FE43B6">
            <w:pPr>
              <w:rPr>
                <w:rFonts w:ascii="Calibri" w:hAnsi="Calibri"/>
                <w:bCs/>
                <w:lang w:eastAsia="ja-JP"/>
              </w:rPr>
            </w:pPr>
            <w:r w:rsidRPr="00912996">
              <w:rPr>
                <w:rFonts w:ascii="Calibri" w:hAnsi="Calibri"/>
                <w:bCs/>
                <w:lang w:eastAsia="ja-JP"/>
              </w:rPr>
              <w:t>DGVBL S2</w:t>
            </w:r>
          </w:p>
        </w:tc>
      </w:tr>
      <w:tr w:rsidR="00FE43B6" w:rsidRPr="00912996" w14:paraId="65E2FF44" w14:textId="77777777" w:rsidTr="00FE43B6">
        <w:trPr>
          <w:trHeight w:val="980"/>
        </w:trPr>
        <w:tc>
          <w:tcPr>
            <w:tcW w:w="219" w:type="pct"/>
            <w:shd w:val="clear" w:color="auto" w:fill="F2F2F2"/>
            <w:noWrap/>
          </w:tcPr>
          <w:p w14:paraId="5B04466F" w14:textId="77777777" w:rsidR="00FE43B6" w:rsidRPr="00912996" w:rsidRDefault="00FE43B6" w:rsidP="00FE43B6">
            <w:pPr>
              <w:rPr>
                <w:rFonts w:ascii="Calibri" w:hAnsi="Calibri"/>
                <w:bCs/>
                <w:lang w:eastAsia="ja-JP"/>
              </w:rPr>
            </w:pPr>
            <w:r w:rsidRPr="00912996">
              <w:rPr>
                <w:rFonts w:ascii="Calibri" w:hAnsi="Calibri"/>
                <w:bCs/>
                <w:lang w:eastAsia="ja-JP"/>
              </w:rPr>
              <w:t>11</w:t>
            </w:r>
          </w:p>
        </w:tc>
        <w:tc>
          <w:tcPr>
            <w:tcW w:w="790" w:type="pct"/>
            <w:shd w:val="clear" w:color="auto" w:fill="F2F2F2"/>
          </w:tcPr>
          <w:p w14:paraId="4E0EE7C4" w14:textId="77777777" w:rsidR="00FE43B6" w:rsidRDefault="00FE43B6" w:rsidP="00FE43B6">
            <w:pPr>
              <w:rPr>
                <w:rFonts w:ascii="Calibri" w:hAnsi="Calibri"/>
                <w:bCs/>
                <w:lang w:eastAsia="ja-JP"/>
              </w:rPr>
            </w:pPr>
            <w:r w:rsidRPr="00912996">
              <w:rPr>
                <w:rFonts w:ascii="Calibri" w:hAnsi="Calibri"/>
                <w:bCs/>
                <w:lang w:eastAsia="ja-JP"/>
              </w:rPr>
              <w:t>Administrație publică digitalizată și eficientă pentru cetățenii sectorului 2, cod SMIS 155749</w:t>
            </w:r>
          </w:p>
          <w:p w14:paraId="2CDE2312" w14:textId="77777777" w:rsidR="00FE43B6" w:rsidRPr="00912996" w:rsidRDefault="00FE43B6" w:rsidP="00FE43B6">
            <w:pPr>
              <w:rPr>
                <w:rFonts w:ascii="Calibri" w:hAnsi="Calibri"/>
                <w:bCs/>
                <w:lang w:eastAsia="ja-JP"/>
              </w:rPr>
            </w:pPr>
          </w:p>
        </w:tc>
        <w:tc>
          <w:tcPr>
            <w:tcW w:w="567" w:type="pct"/>
            <w:gridSpan w:val="3"/>
            <w:shd w:val="clear" w:color="auto" w:fill="F2F2F2"/>
          </w:tcPr>
          <w:p w14:paraId="60F42D59"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tcPr>
          <w:p w14:paraId="127C97EF" w14:textId="77777777" w:rsidR="00FE43B6" w:rsidRPr="00912996" w:rsidRDefault="00FE43B6" w:rsidP="00FE43B6">
            <w:pPr>
              <w:rPr>
                <w:rFonts w:ascii="Calibri" w:hAnsi="Calibri"/>
                <w:bCs/>
                <w:lang w:eastAsia="ja-JP"/>
              </w:rPr>
            </w:pPr>
            <w:r>
              <w:rPr>
                <w:rFonts w:ascii="Calibri" w:hAnsi="Calibri"/>
                <w:bCs/>
                <w:lang w:eastAsia="ja-JP"/>
              </w:rPr>
              <w:t>În implementare</w:t>
            </w:r>
          </w:p>
        </w:tc>
        <w:tc>
          <w:tcPr>
            <w:tcW w:w="444" w:type="pct"/>
            <w:shd w:val="clear" w:color="auto" w:fill="F2F2F2"/>
          </w:tcPr>
          <w:p w14:paraId="50DD752E" w14:textId="77777777" w:rsidR="00FE43B6" w:rsidRPr="00912996" w:rsidRDefault="00FE43B6" w:rsidP="00FE43B6">
            <w:pPr>
              <w:rPr>
                <w:rFonts w:ascii="Calibri" w:hAnsi="Calibri"/>
                <w:bCs/>
                <w:lang w:eastAsia="ja-JP"/>
              </w:rPr>
            </w:pPr>
            <w:r w:rsidRPr="00912996">
              <w:rPr>
                <w:rFonts w:ascii="Calibri" w:hAnsi="Calibri"/>
                <w:bCs/>
                <w:lang w:eastAsia="ja-JP"/>
              </w:rPr>
              <w:t>3,972,184</w:t>
            </w:r>
          </w:p>
        </w:tc>
        <w:tc>
          <w:tcPr>
            <w:tcW w:w="444" w:type="pct"/>
            <w:shd w:val="clear" w:color="auto" w:fill="F2F2F2"/>
          </w:tcPr>
          <w:p w14:paraId="5AE538E1" w14:textId="77777777" w:rsidR="00FE43B6" w:rsidRPr="00912996" w:rsidRDefault="00FE43B6" w:rsidP="00FE43B6">
            <w:pPr>
              <w:rPr>
                <w:rFonts w:ascii="Calibri" w:hAnsi="Calibri"/>
                <w:bCs/>
                <w:lang w:eastAsia="ja-JP"/>
              </w:rPr>
            </w:pPr>
            <w:r w:rsidRPr="00912996">
              <w:rPr>
                <w:rFonts w:ascii="Calibri" w:hAnsi="Calibri"/>
                <w:bCs/>
                <w:lang w:eastAsia="ja-JP"/>
              </w:rPr>
              <w:t>810,650</w:t>
            </w:r>
          </w:p>
          <w:p w14:paraId="26C40168" w14:textId="77777777" w:rsidR="00FE43B6" w:rsidRPr="00912996" w:rsidRDefault="00FE43B6" w:rsidP="00FE43B6">
            <w:pPr>
              <w:rPr>
                <w:rFonts w:ascii="Calibri" w:hAnsi="Calibri"/>
                <w:bCs/>
                <w:lang w:eastAsia="ja-JP"/>
              </w:rPr>
            </w:pPr>
          </w:p>
        </w:tc>
        <w:tc>
          <w:tcPr>
            <w:tcW w:w="380" w:type="pct"/>
            <w:shd w:val="clear" w:color="auto" w:fill="F2F2F2"/>
          </w:tcPr>
          <w:p w14:paraId="4876BB50" w14:textId="77777777" w:rsidR="00FE43B6" w:rsidRPr="00912996" w:rsidRDefault="00FE43B6" w:rsidP="00FE43B6">
            <w:pPr>
              <w:rPr>
                <w:rFonts w:ascii="Calibri" w:hAnsi="Calibri"/>
                <w:bCs/>
                <w:lang w:eastAsia="ja-JP"/>
              </w:rPr>
            </w:pPr>
            <w:r>
              <w:rPr>
                <w:rFonts w:ascii="Calibri" w:hAnsi="Calibri"/>
                <w:bCs/>
                <w:lang w:eastAsia="ja-JP"/>
              </w:rPr>
              <w:t>2022-2023</w:t>
            </w:r>
          </w:p>
        </w:tc>
        <w:tc>
          <w:tcPr>
            <w:tcW w:w="664" w:type="pct"/>
            <w:shd w:val="clear" w:color="auto" w:fill="F2F2F2"/>
          </w:tcPr>
          <w:p w14:paraId="0DFCBF50" w14:textId="77777777" w:rsidR="00FE43B6" w:rsidRPr="00912996" w:rsidRDefault="00FE43B6" w:rsidP="00FE43B6">
            <w:pPr>
              <w:rPr>
                <w:rFonts w:ascii="Calibri" w:hAnsi="Calibri"/>
                <w:bCs/>
                <w:lang w:eastAsia="ja-JP"/>
              </w:rPr>
            </w:pPr>
            <w:r w:rsidRPr="00912996">
              <w:rPr>
                <w:rFonts w:ascii="Calibri" w:hAnsi="Calibri"/>
                <w:bCs/>
                <w:lang w:eastAsia="ja-JP"/>
              </w:rPr>
              <w:t>Programul Operațional Capacitate Administrativa 2014-2020, Axa prioritara 2 - Administraţie publică şi sistem judiciar accesibile şi transparente</w:t>
            </w:r>
          </w:p>
        </w:tc>
        <w:tc>
          <w:tcPr>
            <w:tcW w:w="444" w:type="pct"/>
            <w:shd w:val="clear" w:color="auto" w:fill="F2F2F2"/>
          </w:tcPr>
          <w:p w14:paraId="34440BF9"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tcPr>
          <w:p w14:paraId="318C13DE"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r>
      <w:tr w:rsidR="00FE43B6" w:rsidRPr="00912996" w14:paraId="3221261F" w14:textId="77777777" w:rsidTr="00FE43B6">
        <w:trPr>
          <w:trHeight w:val="800"/>
        </w:trPr>
        <w:tc>
          <w:tcPr>
            <w:tcW w:w="219" w:type="pct"/>
            <w:shd w:val="clear" w:color="auto" w:fill="F2F2F2"/>
            <w:noWrap/>
          </w:tcPr>
          <w:p w14:paraId="5067C8D1" w14:textId="77777777" w:rsidR="00FE43B6" w:rsidRPr="00912996" w:rsidRDefault="00FE43B6" w:rsidP="00FE43B6">
            <w:pPr>
              <w:rPr>
                <w:rFonts w:ascii="Calibri" w:hAnsi="Calibri"/>
                <w:bCs/>
                <w:lang w:eastAsia="ja-JP"/>
              </w:rPr>
            </w:pPr>
            <w:r>
              <w:rPr>
                <w:rFonts w:ascii="Calibri" w:hAnsi="Calibri"/>
                <w:bCs/>
                <w:lang w:eastAsia="ja-JP"/>
              </w:rPr>
              <w:t>12</w:t>
            </w:r>
          </w:p>
        </w:tc>
        <w:tc>
          <w:tcPr>
            <w:tcW w:w="790" w:type="pct"/>
            <w:shd w:val="clear" w:color="auto" w:fill="F2F2F2"/>
          </w:tcPr>
          <w:p w14:paraId="388FD018" w14:textId="77777777" w:rsidR="00FE43B6" w:rsidRPr="00912996" w:rsidRDefault="00FE43B6" w:rsidP="00FE43B6">
            <w:pPr>
              <w:rPr>
                <w:rFonts w:ascii="Calibri" w:hAnsi="Calibri"/>
                <w:bCs/>
                <w:lang w:eastAsia="ja-JP"/>
              </w:rPr>
            </w:pPr>
            <w:r w:rsidRPr="000572F8">
              <w:rPr>
                <w:rFonts w:ascii="Calibri" w:hAnsi="Calibri"/>
                <w:bCs/>
                <w:lang w:eastAsia="ja-JP"/>
              </w:rPr>
              <w:t>Crearea unei platforme pentru emiterea Certificatelor de urbanism in format digital</w:t>
            </w:r>
          </w:p>
        </w:tc>
        <w:tc>
          <w:tcPr>
            <w:tcW w:w="567" w:type="pct"/>
            <w:gridSpan w:val="3"/>
            <w:shd w:val="clear" w:color="auto" w:fill="F2F2F2"/>
          </w:tcPr>
          <w:p w14:paraId="002EFE37"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tcPr>
          <w:p w14:paraId="25DB4120" w14:textId="77777777" w:rsidR="00FE43B6" w:rsidRPr="00912996" w:rsidRDefault="00FE43B6" w:rsidP="00FE43B6">
            <w:pPr>
              <w:rPr>
                <w:rFonts w:ascii="Calibri" w:hAnsi="Calibri"/>
                <w:bCs/>
                <w:lang w:eastAsia="ja-JP"/>
              </w:rPr>
            </w:pPr>
            <w:r>
              <w:rPr>
                <w:rFonts w:ascii="Calibri" w:hAnsi="Calibri"/>
                <w:bCs/>
                <w:lang w:eastAsia="ja-JP"/>
              </w:rPr>
              <w:t>idee</w:t>
            </w:r>
          </w:p>
        </w:tc>
        <w:tc>
          <w:tcPr>
            <w:tcW w:w="444" w:type="pct"/>
            <w:shd w:val="clear" w:color="auto" w:fill="F2F2F2"/>
          </w:tcPr>
          <w:p w14:paraId="675E247E" w14:textId="77777777" w:rsidR="00FE43B6" w:rsidRPr="00912996" w:rsidRDefault="00FE43B6" w:rsidP="00FE43B6">
            <w:pPr>
              <w:rPr>
                <w:rFonts w:ascii="Calibri" w:hAnsi="Calibri"/>
                <w:bCs/>
                <w:lang w:eastAsia="ja-JP"/>
              </w:rPr>
            </w:pPr>
            <w:r>
              <w:rPr>
                <w:rFonts w:ascii="Calibri" w:hAnsi="Calibri"/>
                <w:bCs/>
                <w:lang w:eastAsia="ja-JP"/>
              </w:rPr>
              <w:t>N/A</w:t>
            </w:r>
          </w:p>
        </w:tc>
        <w:tc>
          <w:tcPr>
            <w:tcW w:w="444" w:type="pct"/>
            <w:shd w:val="clear" w:color="auto" w:fill="F2F2F2"/>
          </w:tcPr>
          <w:p w14:paraId="21AAE305" w14:textId="77777777" w:rsidR="00FE43B6" w:rsidRPr="00912996" w:rsidRDefault="00FE43B6" w:rsidP="00FE43B6">
            <w:pPr>
              <w:rPr>
                <w:rFonts w:ascii="Calibri" w:hAnsi="Calibri"/>
                <w:bCs/>
                <w:lang w:eastAsia="ja-JP"/>
              </w:rPr>
            </w:pPr>
            <w:r>
              <w:rPr>
                <w:rFonts w:ascii="Calibri" w:hAnsi="Calibri"/>
                <w:bCs/>
                <w:lang w:eastAsia="ja-JP"/>
              </w:rPr>
              <w:t>N/A</w:t>
            </w:r>
          </w:p>
        </w:tc>
        <w:tc>
          <w:tcPr>
            <w:tcW w:w="380" w:type="pct"/>
            <w:shd w:val="clear" w:color="auto" w:fill="F2F2F2"/>
          </w:tcPr>
          <w:p w14:paraId="33D40A36" w14:textId="77777777" w:rsidR="00FE43B6" w:rsidRDefault="00FE43B6" w:rsidP="00FE43B6">
            <w:pPr>
              <w:rPr>
                <w:rFonts w:ascii="Calibri" w:hAnsi="Calibri"/>
                <w:bCs/>
                <w:lang w:eastAsia="ja-JP"/>
              </w:rPr>
            </w:pPr>
            <w:r>
              <w:rPr>
                <w:rFonts w:ascii="Calibri" w:hAnsi="Calibri"/>
                <w:bCs/>
                <w:lang w:eastAsia="ja-JP"/>
              </w:rPr>
              <w:t>N/A</w:t>
            </w:r>
          </w:p>
        </w:tc>
        <w:tc>
          <w:tcPr>
            <w:tcW w:w="664" w:type="pct"/>
            <w:shd w:val="clear" w:color="auto" w:fill="F2F2F2"/>
          </w:tcPr>
          <w:p w14:paraId="689899D3" w14:textId="77777777" w:rsidR="00FE43B6" w:rsidRPr="00912996" w:rsidRDefault="00FE43B6" w:rsidP="00FE43B6">
            <w:pPr>
              <w:rPr>
                <w:rFonts w:ascii="Calibri" w:hAnsi="Calibri"/>
                <w:bCs/>
                <w:lang w:eastAsia="ja-JP"/>
              </w:rPr>
            </w:pPr>
            <w:r w:rsidRPr="00912996">
              <w:rPr>
                <w:rFonts w:ascii="Calibri" w:hAnsi="Calibri"/>
                <w:bCs/>
                <w:lang w:eastAsia="ja-JP"/>
              </w:rPr>
              <w:t>Programul Operațional Capacitate Administrativa 2014-2020, Axa prioritara 2 - Administraţie publică şi sistem judiciar accesibile și transparente</w:t>
            </w:r>
          </w:p>
        </w:tc>
        <w:tc>
          <w:tcPr>
            <w:tcW w:w="444" w:type="pct"/>
            <w:shd w:val="clear" w:color="auto" w:fill="F2F2F2"/>
          </w:tcPr>
          <w:p w14:paraId="4152162F"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tcPr>
          <w:p w14:paraId="0529DD73"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r>
      <w:tr w:rsidR="00FE43B6" w:rsidRPr="00912996" w14:paraId="62503055" w14:textId="77777777" w:rsidTr="00FE43B6">
        <w:trPr>
          <w:trHeight w:val="1596"/>
        </w:trPr>
        <w:tc>
          <w:tcPr>
            <w:tcW w:w="219" w:type="pct"/>
            <w:shd w:val="clear" w:color="auto" w:fill="F2F2F2"/>
            <w:noWrap/>
          </w:tcPr>
          <w:p w14:paraId="3CC04695" w14:textId="77777777" w:rsidR="00FE43B6" w:rsidRDefault="00FE43B6" w:rsidP="00FE43B6">
            <w:pPr>
              <w:rPr>
                <w:rFonts w:ascii="Calibri" w:hAnsi="Calibri"/>
                <w:bCs/>
                <w:lang w:eastAsia="ja-JP"/>
              </w:rPr>
            </w:pPr>
            <w:r>
              <w:rPr>
                <w:rFonts w:ascii="Calibri" w:hAnsi="Calibri"/>
                <w:bCs/>
                <w:lang w:eastAsia="ja-JP"/>
              </w:rPr>
              <w:t>13</w:t>
            </w:r>
          </w:p>
        </w:tc>
        <w:tc>
          <w:tcPr>
            <w:tcW w:w="790" w:type="pct"/>
            <w:shd w:val="clear" w:color="auto" w:fill="F2F2F2"/>
          </w:tcPr>
          <w:p w14:paraId="37609B5F" w14:textId="77777777" w:rsidR="00FE43B6" w:rsidRPr="000572F8" w:rsidRDefault="00FE43B6" w:rsidP="00FE43B6">
            <w:pPr>
              <w:rPr>
                <w:rFonts w:ascii="Calibri" w:hAnsi="Calibri"/>
                <w:bCs/>
                <w:lang w:eastAsia="ja-JP"/>
              </w:rPr>
            </w:pPr>
            <w:r w:rsidRPr="00342F9B">
              <w:rPr>
                <w:rFonts w:ascii="Calibri" w:hAnsi="Calibri"/>
                <w:bCs/>
                <w:lang w:eastAsia="ja-JP"/>
              </w:rPr>
              <w:t>Construirea capacitaților pentru o administrație public</w:t>
            </w:r>
            <w:r>
              <w:rPr>
                <w:rFonts w:ascii="Calibri" w:hAnsi="Calibri"/>
                <w:bCs/>
                <w:lang w:eastAsia="ja-JP"/>
              </w:rPr>
              <w:t>ă</w:t>
            </w:r>
            <w:r w:rsidRPr="00342F9B">
              <w:rPr>
                <w:rFonts w:ascii="Calibri" w:hAnsi="Calibri"/>
                <w:bCs/>
                <w:lang w:eastAsia="ja-JP"/>
              </w:rPr>
              <w:t xml:space="preserve"> eficient</w:t>
            </w:r>
            <w:r>
              <w:rPr>
                <w:rFonts w:ascii="Calibri" w:hAnsi="Calibri"/>
                <w:bCs/>
                <w:lang w:eastAsia="ja-JP"/>
              </w:rPr>
              <w:t>ă</w:t>
            </w:r>
            <w:r w:rsidRPr="00342F9B">
              <w:rPr>
                <w:rFonts w:ascii="Calibri" w:hAnsi="Calibri"/>
                <w:bCs/>
                <w:lang w:eastAsia="ja-JP"/>
              </w:rPr>
              <w:t xml:space="preserve">, eficace </w:t>
            </w:r>
            <w:r>
              <w:rPr>
                <w:rFonts w:ascii="Calibri" w:hAnsi="Calibri"/>
                <w:bCs/>
                <w:lang w:eastAsia="ja-JP"/>
              </w:rPr>
              <w:t>ș</w:t>
            </w:r>
            <w:r w:rsidRPr="00342F9B">
              <w:rPr>
                <w:rFonts w:ascii="Calibri" w:hAnsi="Calibri"/>
                <w:bCs/>
                <w:lang w:eastAsia="ja-JP"/>
              </w:rPr>
              <w:t>i transparent</w:t>
            </w:r>
            <w:r>
              <w:rPr>
                <w:rFonts w:ascii="Calibri" w:hAnsi="Calibri"/>
                <w:bCs/>
                <w:lang w:eastAsia="ja-JP"/>
              </w:rPr>
              <w:t>ă</w:t>
            </w:r>
            <w:r w:rsidRPr="00342F9B">
              <w:rPr>
                <w:rFonts w:ascii="Calibri" w:hAnsi="Calibri"/>
                <w:bCs/>
                <w:lang w:eastAsia="ja-JP"/>
              </w:rPr>
              <w:t xml:space="preserve"> / Digitalizarea serviciilor publice</w:t>
            </w:r>
          </w:p>
        </w:tc>
        <w:tc>
          <w:tcPr>
            <w:tcW w:w="567" w:type="pct"/>
            <w:gridSpan w:val="3"/>
            <w:shd w:val="clear" w:color="auto" w:fill="F2F2F2"/>
          </w:tcPr>
          <w:p w14:paraId="10354BCE"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c>
          <w:tcPr>
            <w:tcW w:w="543" w:type="pct"/>
            <w:shd w:val="clear" w:color="auto" w:fill="F2F2F2"/>
          </w:tcPr>
          <w:p w14:paraId="67A9CB77" w14:textId="77777777" w:rsidR="00FE43B6" w:rsidRDefault="00FE43B6" w:rsidP="00FE43B6">
            <w:pPr>
              <w:rPr>
                <w:rFonts w:ascii="Calibri" w:hAnsi="Calibri"/>
                <w:bCs/>
                <w:lang w:eastAsia="ja-JP"/>
              </w:rPr>
            </w:pPr>
            <w:r w:rsidRPr="00342F9B">
              <w:rPr>
                <w:rFonts w:ascii="Calibri" w:hAnsi="Calibri"/>
                <w:bCs/>
                <w:lang w:eastAsia="ja-JP"/>
              </w:rPr>
              <w:t xml:space="preserve">Idee </w:t>
            </w:r>
          </w:p>
        </w:tc>
        <w:tc>
          <w:tcPr>
            <w:tcW w:w="444" w:type="pct"/>
            <w:shd w:val="clear" w:color="auto" w:fill="F2F2F2"/>
          </w:tcPr>
          <w:p w14:paraId="77EF85D2" w14:textId="77777777" w:rsidR="00FE43B6" w:rsidRDefault="00FE43B6" w:rsidP="00FE43B6">
            <w:pPr>
              <w:rPr>
                <w:rFonts w:ascii="Calibri" w:hAnsi="Calibri"/>
                <w:bCs/>
                <w:lang w:eastAsia="ja-JP"/>
              </w:rPr>
            </w:pPr>
            <w:r w:rsidRPr="00342F9B">
              <w:rPr>
                <w:rFonts w:ascii="Calibri" w:hAnsi="Calibri"/>
                <w:bCs/>
                <w:lang w:eastAsia="ja-JP"/>
              </w:rPr>
              <w:t>N/A</w:t>
            </w:r>
          </w:p>
        </w:tc>
        <w:tc>
          <w:tcPr>
            <w:tcW w:w="444" w:type="pct"/>
            <w:shd w:val="clear" w:color="auto" w:fill="F2F2F2"/>
          </w:tcPr>
          <w:p w14:paraId="3AEDB137" w14:textId="77777777" w:rsidR="00FE43B6" w:rsidRDefault="00FE43B6" w:rsidP="00FE43B6">
            <w:pPr>
              <w:rPr>
                <w:rFonts w:ascii="Calibri" w:hAnsi="Calibri"/>
                <w:bCs/>
                <w:lang w:eastAsia="ja-JP"/>
              </w:rPr>
            </w:pPr>
            <w:r w:rsidRPr="00342F9B">
              <w:rPr>
                <w:rFonts w:ascii="Calibri" w:hAnsi="Calibri"/>
                <w:bCs/>
                <w:lang w:eastAsia="ja-JP"/>
              </w:rPr>
              <w:t>N/A</w:t>
            </w:r>
          </w:p>
        </w:tc>
        <w:tc>
          <w:tcPr>
            <w:tcW w:w="380" w:type="pct"/>
            <w:shd w:val="clear" w:color="auto" w:fill="F2F2F2"/>
          </w:tcPr>
          <w:p w14:paraId="4BB4626C" w14:textId="77777777" w:rsidR="00FE43B6" w:rsidRDefault="00FE43B6" w:rsidP="00FE43B6">
            <w:pPr>
              <w:rPr>
                <w:rFonts w:ascii="Calibri" w:hAnsi="Calibri"/>
                <w:bCs/>
                <w:lang w:eastAsia="ja-JP"/>
              </w:rPr>
            </w:pPr>
            <w:r w:rsidRPr="00342F9B">
              <w:rPr>
                <w:rFonts w:ascii="Calibri" w:hAnsi="Calibri"/>
                <w:bCs/>
                <w:lang w:eastAsia="ja-JP"/>
              </w:rPr>
              <w:t>N/A</w:t>
            </w:r>
          </w:p>
        </w:tc>
        <w:tc>
          <w:tcPr>
            <w:tcW w:w="664" w:type="pct"/>
            <w:shd w:val="clear" w:color="auto" w:fill="F2F2F2"/>
          </w:tcPr>
          <w:p w14:paraId="6230A219" w14:textId="77777777" w:rsidR="00FE43B6" w:rsidRPr="00912996" w:rsidRDefault="00FE43B6" w:rsidP="00FE43B6">
            <w:pPr>
              <w:rPr>
                <w:rFonts w:ascii="Calibri" w:hAnsi="Calibri"/>
                <w:bCs/>
                <w:lang w:eastAsia="ja-JP"/>
              </w:rPr>
            </w:pPr>
            <w:r w:rsidRPr="00342F9B">
              <w:rPr>
                <w:rFonts w:ascii="Calibri" w:hAnsi="Calibri"/>
                <w:bCs/>
                <w:lang w:eastAsia="ja-JP"/>
              </w:rPr>
              <w:t>POR 2021-2027, Bugetul local,  Alte surse de finanțare</w:t>
            </w:r>
          </w:p>
        </w:tc>
        <w:tc>
          <w:tcPr>
            <w:tcW w:w="444" w:type="pct"/>
            <w:shd w:val="clear" w:color="auto" w:fill="F2F2F2"/>
          </w:tcPr>
          <w:p w14:paraId="7EC78340"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tcPr>
          <w:p w14:paraId="47033D37" w14:textId="77777777" w:rsidR="00FE43B6" w:rsidRPr="00912996" w:rsidRDefault="00FE43B6" w:rsidP="00FE43B6">
            <w:pPr>
              <w:rPr>
                <w:rFonts w:ascii="Calibri" w:hAnsi="Calibri"/>
                <w:bCs/>
                <w:lang w:eastAsia="ja-JP"/>
              </w:rPr>
            </w:pPr>
            <w:r w:rsidRPr="00342F9B">
              <w:rPr>
                <w:rFonts w:ascii="Calibri" w:hAnsi="Calibri"/>
                <w:bCs/>
                <w:lang w:eastAsia="ja-JP"/>
              </w:rPr>
              <w:t>PS2</w:t>
            </w:r>
          </w:p>
        </w:tc>
      </w:tr>
      <w:tr w:rsidR="00FE43B6" w:rsidRPr="00912996" w14:paraId="78DD7BCF" w14:textId="77777777" w:rsidTr="00FE43B6">
        <w:trPr>
          <w:trHeight w:val="276"/>
        </w:trPr>
        <w:tc>
          <w:tcPr>
            <w:tcW w:w="5000" w:type="pct"/>
            <w:gridSpan w:val="12"/>
            <w:shd w:val="clear" w:color="auto" w:fill="BBD9A0"/>
            <w:noWrap/>
            <w:hideMark/>
          </w:tcPr>
          <w:p w14:paraId="395B266A" w14:textId="77777777" w:rsidR="00FE43B6" w:rsidRPr="00912996" w:rsidRDefault="00FE43B6" w:rsidP="008A2E9F">
            <w:pPr>
              <w:jc w:val="center"/>
              <w:rPr>
                <w:rFonts w:ascii="Calibri" w:hAnsi="Calibri"/>
                <w:b/>
                <w:bCs/>
                <w:color w:val="FFFFFF"/>
                <w:lang w:eastAsia="ja-JP"/>
              </w:rPr>
            </w:pPr>
            <w:r w:rsidRPr="00912996">
              <w:rPr>
                <w:rFonts w:ascii="Calibri" w:hAnsi="Calibri"/>
                <w:b/>
                <w:bCs/>
                <w:color w:val="FFFFFF"/>
                <w:lang w:eastAsia="ja-JP"/>
              </w:rPr>
              <w:t>D4.3.2. Creșterea competențelor digitale și dezvoltare de noi programe de formare la nivelul personalului Primăriei Sectorului 2</w:t>
            </w:r>
          </w:p>
        </w:tc>
      </w:tr>
      <w:tr w:rsidR="00FE43B6" w:rsidRPr="00912996" w14:paraId="07FCE8D4" w14:textId="77777777" w:rsidTr="00FE43B6">
        <w:trPr>
          <w:trHeight w:val="980"/>
        </w:trPr>
        <w:tc>
          <w:tcPr>
            <w:tcW w:w="219" w:type="pct"/>
            <w:shd w:val="clear" w:color="auto" w:fill="F2F2F2"/>
            <w:noWrap/>
            <w:hideMark/>
          </w:tcPr>
          <w:p w14:paraId="63E3A317"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2EF4A2F7" w14:textId="77777777" w:rsidR="00FE43B6" w:rsidRPr="00912996" w:rsidRDefault="00FE43B6" w:rsidP="00FE43B6">
            <w:pPr>
              <w:rPr>
                <w:rFonts w:ascii="Calibri" w:hAnsi="Calibri"/>
                <w:bCs/>
                <w:lang w:eastAsia="ja-JP"/>
              </w:rPr>
            </w:pPr>
            <w:r w:rsidRPr="00912996">
              <w:rPr>
                <w:rFonts w:ascii="Calibri" w:hAnsi="Calibri"/>
                <w:bCs/>
                <w:lang w:eastAsia="ja-JP"/>
              </w:rPr>
              <w:t>Adoptarea unei strategii pe termen mediu și lung pentru creșterea competențelor digitale la nivelul întregului personal al Primăriei Sector 2 (inclusiv la nivelul instituțiilor subordonate)</w:t>
            </w:r>
          </w:p>
        </w:tc>
        <w:tc>
          <w:tcPr>
            <w:tcW w:w="567" w:type="pct"/>
            <w:gridSpan w:val="3"/>
            <w:shd w:val="clear" w:color="auto" w:fill="F2F2F2"/>
            <w:hideMark/>
          </w:tcPr>
          <w:p w14:paraId="7A1CB000"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mediul academic, Ministerul Cercetării, Inovării și Digitalizării</w:t>
            </w:r>
          </w:p>
        </w:tc>
        <w:tc>
          <w:tcPr>
            <w:tcW w:w="543" w:type="pct"/>
            <w:shd w:val="clear" w:color="auto" w:fill="F2F2F2"/>
            <w:hideMark/>
          </w:tcPr>
          <w:p w14:paraId="3998DAC6"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380DB1A0" w14:textId="77777777" w:rsidR="00FE43B6" w:rsidRPr="00912996" w:rsidRDefault="00FE43B6" w:rsidP="00FE43B6">
            <w:pPr>
              <w:rPr>
                <w:rFonts w:ascii="Calibri" w:hAnsi="Calibri"/>
                <w:bCs/>
                <w:lang w:eastAsia="ja-JP"/>
              </w:rPr>
            </w:pPr>
            <w:r w:rsidRPr="00912996">
              <w:rPr>
                <w:rFonts w:ascii="Calibri" w:hAnsi="Calibri"/>
                <w:bCs/>
                <w:lang w:eastAsia="ja-JP"/>
              </w:rPr>
              <w:t>490,000</w:t>
            </w:r>
          </w:p>
        </w:tc>
        <w:tc>
          <w:tcPr>
            <w:tcW w:w="444" w:type="pct"/>
            <w:shd w:val="clear" w:color="auto" w:fill="F2F2F2"/>
            <w:hideMark/>
          </w:tcPr>
          <w:p w14:paraId="00641CD9" w14:textId="77777777" w:rsidR="00FE43B6" w:rsidRPr="00912996" w:rsidRDefault="00FE43B6" w:rsidP="00FE43B6">
            <w:pPr>
              <w:rPr>
                <w:rFonts w:ascii="Calibri" w:hAnsi="Calibri"/>
                <w:bCs/>
                <w:lang w:eastAsia="ja-JP"/>
              </w:rPr>
            </w:pPr>
            <w:r w:rsidRPr="00912996">
              <w:rPr>
                <w:rFonts w:ascii="Calibri" w:hAnsi="Calibri"/>
                <w:bCs/>
                <w:lang w:eastAsia="ja-JP"/>
              </w:rPr>
              <w:t>100,000</w:t>
            </w:r>
          </w:p>
        </w:tc>
        <w:tc>
          <w:tcPr>
            <w:tcW w:w="380" w:type="pct"/>
            <w:shd w:val="clear" w:color="auto" w:fill="F2F2F2"/>
            <w:hideMark/>
          </w:tcPr>
          <w:p w14:paraId="1BB35C85" w14:textId="77777777" w:rsidR="00FE43B6" w:rsidRPr="00912996" w:rsidRDefault="00FE43B6" w:rsidP="00FE43B6">
            <w:pPr>
              <w:rPr>
                <w:rFonts w:ascii="Calibri" w:hAnsi="Calibri"/>
                <w:bCs/>
                <w:lang w:eastAsia="ja-JP"/>
              </w:rPr>
            </w:pPr>
            <w:r w:rsidRPr="00912996">
              <w:rPr>
                <w:rFonts w:ascii="Calibri" w:hAnsi="Calibri"/>
                <w:bCs/>
                <w:lang w:eastAsia="ja-JP"/>
              </w:rPr>
              <w:t>2024</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AF109D2" w14:textId="77777777" w:rsidR="00FE43B6" w:rsidRPr="00912996" w:rsidRDefault="00FE43B6" w:rsidP="00FE43B6">
            <w:pPr>
              <w:rPr>
                <w:rFonts w:ascii="Calibri" w:hAnsi="Calibri"/>
                <w:bCs/>
                <w:lang w:eastAsia="ja-JP"/>
              </w:rPr>
            </w:pPr>
            <w:r w:rsidRPr="00912996">
              <w:rPr>
                <w:rFonts w:ascii="Calibri" w:hAnsi="Calibri"/>
                <w:bCs/>
                <w:lang w:eastAsia="ja-JP"/>
              </w:rPr>
              <w:t>PNRR C7, Bugetul local, Alte surse de finanțare</w:t>
            </w:r>
          </w:p>
        </w:tc>
        <w:tc>
          <w:tcPr>
            <w:tcW w:w="444" w:type="pct"/>
            <w:shd w:val="clear" w:color="auto" w:fill="F2F2F2"/>
            <w:hideMark/>
          </w:tcPr>
          <w:p w14:paraId="1C12ABA9"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13503B3A"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70EBAA94" w14:textId="77777777" w:rsidTr="00FE43B6">
        <w:trPr>
          <w:trHeight w:val="804"/>
        </w:trPr>
        <w:tc>
          <w:tcPr>
            <w:tcW w:w="219" w:type="pct"/>
            <w:shd w:val="clear" w:color="auto" w:fill="F2F2F2"/>
            <w:noWrap/>
            <w:hideMark/>
          </w:tcPr>
          <w:p w14:paraId="0C7CCECE"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2B167ABF" w14:textId="77777777" w:rsidR="00FE43B6" w:rsidRPr="00912996" w:rsidRDefault="00FE43B6" w:rsidP="00FE43B6">
            <w:pPr>
              <w:rPr>
                <w:rFonts w:ascii="Calibri" w:hAnsi="Calibri"/>
                <w:bCs/>
                <w:lang w:eastAsia="ja-JP"/>
              </w:rPr>
            </w:pPr>
            <w:r w:rsidRPr="00912996">
              <w:rPr>
                <w:rFonts w:ascii="Calibri" w:hAnsi="Calibri"/>
                <w:bCs/>
                <w:lang w:eastAsia="ja-JP"/>
              </w:rPr>
              <w:t>Evaluarea anuală a competențelor digitale la nivelul întregului personal al Primăriei Sector 2 București</w:t>
            </w:r>
          </w:p>
        </w:tc>
        <w:tc>
          <w:tcPr>
            <w:tcW w:w="567" w:type="pct"/>
            <w:gridSpan w:val="3"/>
            <w:shd w:val="clear" w:color="auto" w:fill="F2F2F2"/>
            <w:hideMark/>
          </w:tcPr>
          <w:p w14:paraId="186FB6EC"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mediul ONG, contractor extern</w:t>
            </w:r>
          </w:p>
        </w:tc>
        <w:tc>
          <w:tcPr>
            <w:tcW w:w="543" w:type="pct"/>
            <w:shd w:val="clear" w:color="auto" w:fill="F2F2F2"/>
            <w:hideMark/>
          </w:tcPr>
          <w:p w14:paraId="10C944CB"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1460D70C" w14:textId="77777777" w:rsidR="00FE43B6" w:rsidRPr="00912996" w:rsidRDefault="00FE43B6" w:rsidP="00FE43B6">
            <w:pPr>
              <w:rPr>
                <w:rFonts w:ascii="Calibri" w:hAnsi="Calibri"/>
                <w:bCs/>
                <w:lang w:eastAsia="ja-JP"/>
              </w:rPr>
            </w:pPr>
            <w:r w:rsidRPr="00912996">
              <w:rPr>
                <w:rFonts w:ascii="Calibri" w:hAnsi="Calibri"/>
                <w:bCs/>
                <w:lang w:eastAsia="ja-JP"/>
              </w:rPr>
              <w:t>49,000</w:t>
            </w:r>
          </w:p>
        </w:tc>
        <w:tc>
          <w:tcPr>
            <w:tcW w:w="444" w:type="pct"/>
            <w:shd w:val="clear" w:color="auto" w:fill="F2F2F2"/>
            <w:hideMark/>
          </w:tcPr>
          <w:p w14:paraId="62269CC8" w14:textId="77777777" w:rsidR="00FE43B6" w:rsidRPr="00912996" w:rsidRDefault="00FE43B6" w:rsidP="00FE43B6">
            <w:pPr>
              <w:rPr>
                <w:rFonts w:ascii="Calibri" w:hAnsi="Calibri"/>
                <w:bCs/>
                <w:lang w:eastAsia="ja-JP"/>
              </w:rPr>
            </w:pPr>
            <w:r w:rsidRPr="00912996">
              <w:rPr>
                <w:rFonts w:ascii="Calibri" w:hAnsi="Calibri"/>
                <w:bCs/>
                <w:lang w:eastAsia="ja-JP"/>
              </w:rPr>
              <w:t>10,000</w:t>
            </w:r>
          </w:p>
        </w:tc>
        <w:tc>
          <w:tcPr>
            <w:tcW w:w="380" w:type="pct"/>
            <w:shd w:val="clear" w:color="auto" w:fill="F2F2F2"/>
            <w:hideMark/>
          </w:tcPr>
          <w:p w14:paraId="7E59920C"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4D44DE0E" w14:textId="77777777" w:rsidR="00FE43B6" w:rsidRPr="00912996" w:rsidRDefault="00FE43B6" w:rsidP="00FE43B6">
            <w:pPr>
              <w:rPr>
                <w:rFonts w:ascii="Calibri" w:hAnsi="Calibri"/>
                <w:bCs/>
                <w:lang w:eastAsia="ja-JP"/>
              </w:rPr>
            </w:pPr>
            <w:r w:rsidRPr="00912996">
              <w:rPr>
                <w:rFonts w:ascii="Calibri" w:hAnsi="Calibri"/>
                <w:bCs/>
                <w:lang w:eastAsia="ja-JP"/>
              </w:rPr>
              <w:t>PNRR C7, Bugetul local, Alte surse de finanțare</w:t>
            </w:r>
          </w:p>
        </w:tc>
        <w:tc>
          <w:tcPr>
            <w:tcW w:w="444" w:type="pct"/>
            <w:shd w:val="clear" w:color="auto" w:fill="F2F2F2"/>
            <w:hideMark/>
          </w:tcPr>
          <w:p w14:paraId="66079720" w14:textId="77777777" w:rsidR="00FE43B6" w:rsidRPr="00912996" w:rsidRDefault="00FE43B6" w:rsidP="00FE43B6">
            <w:pPr>
              <w:rPr>
                <w:rFonts w:ascii="Calibri" w:hAnsi="Calibri"/>
                <w:bCs/>
                <w:lang w:eastAsia="ja-JP"/>
              </w:rPr>
            </w:pPr>
            <w:r w:rsidRPr="00912996">
              <w:rPr>
                <w:rFonts w:ascii="Calibri" w:hAnsi="Calibri"/>
                <w:bCs/>
                <w:lang w:eastAsia="ja-JP"/>
              </w:rPr>
              <w:t>Lista lungă de proiecte</w:t>
            </w:r>
          </w:p>
        </w:tc>
        <w:tc>
          <w:tcPr>
            <w:tcW w:w="506" w:type="pct"/>
            <w:shd w:val="clear" w:color="auto" w:fill="F2F2F2"/>
            <w:hideMark/>
          </w:tcPr>
          <w:p w14:paraId="4C3D90DF"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281B5255" w14:textId="77777777" w:rsidTr="00FE43B6">
        <w:trPr>
          <w:trHeight w:val="276"/>
        </w:trPr>
        <w:tc>
          <w:tcPr>
            <w:tcW w:w="5000" w:type="pct"/>
            <w:gridSpan w:val="12"/>
            <w:shd w:val="clear" w:color="auto" w:fill="BBD9A0"/>
            <w:noWrap/>
            <w:hideMark/>
          </w:tcPr>
          <w:p w14:paraId="1BFBDB5D" w14:textId="77777777" w:rsidR="00FE43B6" w:rsidRPr="00912996" w:rsidRDefault="00FE43B6" w:rsidP="008A2E9F">
            <w:pPr>
              <w:jc w:val="center"/>
              <w:rPr>
                <w:rFonts w:ascii="Calibri" w:hAnsi="Calibri"/>
                <w:b/>
                <w:bCs/>
                <w:color w:val="FFFFFF"/>
                <w:lang w:eastAsia="ja-JP"/>
              </w:rPr>
            </w:pPr>
            <w:r w:rsidRPr="00912996">
              <w:rPr>
                <w:rFonts w:ascii="Calibri" w:hAnsi="Calibri"/>
                <w:b/>
                <w:bCs/>
                <w:color w:val="FFFFFF"/>
                <w:lang w:eastAsia="ja-JP"/>
              </w:rPr>
              <w:t>D4.3.3. Îmbunătățirea standardelor de securitate privind protecția datelor și sistemelor operate de instituție</w:t>
            </w:r>
          </w:p>
        </w:tc>
      </w:tr>
      <w:tr w:rsidR="00FE43B6" w:rsidRPr="00912996" w14:paraId="0265E430" w14:textId="77777777" w:rsidTr="00FE43B6">
        <w:trPr>
          <w:trHeight w:val="980"/>
        </w:trPr>
        <w:tc>
          <w:tcPr>
            <w:tcW w:w="219" w:type="pct"/>
            <w:shd w:val="clear" w:color="auto" w:fill="F2F2F2"/>
            <w:noWrap/>
            <w:hideMark/>
          </w:tcPr>
          <w:p w14:paraId="3B324EA9" w14:textId="77777777" w:rsidR="00FE43B6" w:rsidRPr="00912996" w:rsidRDefault="00FE43B6" w:rsidP="00FE43B6">
            <w:pPr>
              <w:rPr>
                <w:rFonts w:ascii="Calibri" w:hAnsi="Calibri"/>
                <w:bCs/>
                <w:lang w:eastAsia="ja-JP"/>
              </w:rPr>
            </w:pPr>
            <w:r w:rsidRPr="00912996">
              <w:rPr>
                <w:rFonts w:ascii="Calibri" w:hAnsi="Calibri"/>
                <w:bCs/>
                <w:lang w:eastAsia="ja-JP"/>
              </w:rPr>
              <w:t>1</w:t>
            </w:r>
          </w:p>
        </w:tc>
        <w:tc>
          <w:tcPr>
            <w:tcW w:w="790" w:type="pct"/>
            <w:shd w:val="clear" w:color="auto" w:fill="F2F2F2"/>
            <w:hideMark/>
          </w:tcPr>
          <w:p w14:paraId="140083B0" w14:textId="77777777" w:rsidR="00FE43B6" w:rsidRPr="00912996" w:rsidRDefault="00FE43B6" w:rsidP="00FE43B6">
            <w:pPr>
              <w:rPr>
                <w:rFonts w:ascii="Calibri" w:hAnsi="Calibri"/>
                <w:bCs/>
                <w:lang w:eastAsia="ja-JP"/>
              </w:rPr>
            </w:pPr>
            <w:r w:rsidRPr="00912996">
              <w:rPr>
                <w:rFonts w:ascii="Calibri" w:hAnsi="Calibri"/>
                <w:bCs/>
                <w:lang w:eastAsia="ja-JP"/>
              </w:rPr>
              <w:t>Adoptarea unei strategii de îmbunătățire a securității datelor (ghid de utilizare pentru personal, utilizare exclusivă de e-mailuri dedicate, cursuri introductive de securitate cibernetică, evaluarea securității bazelor de date, etc.)</w:t>
            </w:r>
          </w:p>
        </w:tc>
        <w:tc>
          <w:tcPr>
            <w:tcW w:w="567" w:type="pct"/>
            <w:gridSpan w:val="3"/>
            <w:shd w:val="clear" w:color="auto" w:fill="F2F2F2"/>
            <w:hideMark/>
          </w:tcPr>
          <w:p w14:paraId="72C8A5B1" w14:textId="77777777" w:rsidR="00FE43B6" w:rsidRPr="00912996" w:rsidRDefault="00FE43B6" w:rsidP="00FE43B6">
            <w:pPr>
              <w:rPr>
                <w:rFonts w:ascii="Calibri" w:hAnsi="Calibri"/>
                <w:bCs/>
                <w:lang w:eastAsia="ja-JP"/>
              </w:rPr>
            </w:pPr>
            <w:r w:rsidRPr="00342F9B">
              <w:rPr>
                <w:rFonts w:ascii="Calibri" w:hAnsi="Calibri"/>
                <w:bCs/>
                <w:lang w:eastAsia="ja-JP"/>
              </w:rPr>
              <w:t>PS2</w:t>
            </w:r>
            <w:r w:rsidRPr="00912996">
              <w:rPr>
                <w:rFonts w:ascii="Calibri" w:hAnsi="Calibri"/>
                <w:bCs/>
                <w:lang w:eastAsia="ja-JP"/>
              </w:rPr>
              <w:t>, Directoratul Național de Securitate Cibernetică, mediul ONG, contractor extern</w:t>
            </w:r>
          </w:p>
        </w:tc>
        <w:tc>
          <w:tcPr>
            <w:tcW w:w="543" w:type="pct"/>
            <w:shd w:val="clear" w:color="auto" w:fill="F2F2F2"/>
            <w:hideMark/>
          </w:tcPr>
          <w:p w14:paraId="16895E54"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2EF48D11" w14:textId="77777777" w:rsidR="00FE43B6" w:rsidRPr="00912996" w:rsidRDefault="00FE43B6" w:rsidP="00FE43B6">
            <w:pPr>
              <w:rPr>
                <w:rFonts w:ascii="Calibri" w:hAnsi="Calibri"/>
                <w:bCs/>
                <w:lang w:eastAsia="ja-JP"/>
              </w:rPr>
            </w:pPr>
            <w:r w:rsidRPr="00912996">
              <w:rPr>
                <w:rFonts w:ascii="Calibri" w:hAnsi="Calibri"/>
                <w:bCs/>
                <w:lang w:eastAsia="ja-JP"/>
              </w:rPr>
              <w:t>490,000</w:t>
            </w:r>
          </w:p>
        </w:tc>
        <w:tc>
          <w:tcPr>
            <w:tcW w:w="444" w:type="pct"/>
            <w:shd w:val="clear" w:color="auto" w:fill="F2F2F2"/>
            <w:hideMark/>
          </w:tcPr>
          <w:p w14:paraId="76D482C4" w14:textId="77777777" w:rsidR="00FE43B6" w:rsidRPr="00912996" w:rsidRDefault="00FE43B6" w:rsidP="00FE43B6">
            <w:pPr>
              <w:rPr>
                <w:rFonts w:ascii="Calibri" w:hAnsi="Calibri"/>
                <w:bCs/>
                <w:lang w:eastAsia="ja-JP"/>
              </w:rPr>
            </w:pPr>
            <w:r w:rsidRPr="00912996">
              <w:rPr>
                <w:rFonts w:ascii="Calibri" w:hAnsi="Calibri"/>
                <w:bCs/>
                <w:lang w:eastAsia="ja-JP"/>
              </w:rPr>
              <w:t>100,000</w:t>
            </w:r>
          </w:p>
        </w:tc>
        <w:tc>
          <w:tcPr>
            <w:tcW w:w="380" w:type="pct"/>
            <w:shd w:val="clear" w:color="auto" w:fill="F2F2F2"/>
            <w:hideMark/>
          </w:tcPr>
          <w:p w14:paraId="51A97EE1"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6E756A4F" w14:textId="77777777" w:rsidR="00FE43B6" w:rsidRPr="00912996" w:rsidRDefault="00FE43B6" w:rsidP="00FE43B6">
            <w:pPr>
              <w:rPr>
                <w:rFonts w:ascii="Calibri" w:hAnsi="Calibri"/>
                <w:bCs/>
                <w:lang w:eastAsia="ja-JP"/>
              </w:rPr>
            </w:pPr>
            <w:r w:rsidRPr="00912996">
              <w:rPr>
                <w:rFonts w:ascii="Calibri" w:hAnsi="Calibri"/>
                <w:bCs/>
                <w:lang w:eastAsia="ja-JP"/>
              </w:rPr>
              <w:t>PNRR C7, Bugetul local, Alte surse de finanțare</w:t>
            </w:r>
          </w:p>
        </w:tc>
        <w:tc>
          <w:tcPr>
            <w:tcW w:w="444" w:type="pct"/>
            <w:shd w:val="clear" w:color="auto" w:fill="F2F2F2"/>
            <w:hideMark/>
          </w:tcPr>
          <w:p w14:paraId="297C3A1C"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1DCDFCBF"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r w:rsidR="00FE43B6" w:rsidRPr="00912996" w14:paraId="4D42FD1C" w14:textId="77777777" w:rsidTr="00FE43B6">
        <w:trPr>
          <w:trHeight w:val="698"/>
        </w:trPr>
        <w:tc>
          <w:tcPr>
            <w:tcW w:w="219" w:type="pct"/>
            <w:shd w:val="clear" w:color="auto" w:fill="F2F2F2"/>
            <w:noWrap/>
            <w:hideMark/>
          </w:tcPr>
          <w:p w14:paraId="19EFACC7" w14:textId="77777777" w:rsidR="00FE43B6" w:rsidRPr="00912996" w:rsidRDefault="00FE43B6" w:rsidP="00FE43B6">
            <w:pPr>
              <w:rPr>
                <w:rFonts w:ascii="Calibri" w:hAnsi="Calibri"/>
                <w:bCs/>
                <w:lang w:eastAsia="ja-JP"/>
              </w:rPr>
            </w:pPr>
            <w:r w:rsidRPr="00912996">
              <w:rPr>
                <w:rFonts w:ascii="Calibri" w:hAnsi="Calibri"/>
                <w:bCs/>
                <w:lang w:eastAsia="ja-JP"/>
              </w:rPr>
              <w:t>2</w:t>
            </w:r>
          </w:p>
        </w:tc>
        <w:tc>
          <w:tcPr>
            <w:tcW w:w="790" w:type="pct"/>
            <w:shd w:val="clear" w:color="auto" w:fill="F2F2F2"/>
            <w:hideMark/>
          </w:tcPr>
          <w:p w14:paraId="1AC40FA3" w14:textId="77777777" w:rsidR="00FE43B6" w:rsidRPr="00912996" w:rsidRDefault="00FE43B6" w:rsidP="00FE43B6">
            <w:pPr>
              <w:rPr>
                <w:rFonts w:ascii="Calibri" w:hAnsi="Calibri"/>
                <w:bCs/>
                <w:lang w:eastAsia="ja-JP"/>
              </w:rPr>
            </w:pPr>
            <w:r w:rsidRPr="00912996">
              <w:rPr>
                <w:rFonts w:ascii="Calibri" w:hAnsi="Calibri"/>
                <w:bCs/>
                <w:lang w:eastAsia="ja-JP"/>
              </w:rPr>
              <w:t>Program anual de cursuri de formare dedicate personalului în domeniul reglementării datelor publice și securitatea datelor publice</w:t>
            </w:r>
          </w:p>
        </w:tc>
        <w:tc>
          <w:tcPr>
            <w:tcW w:w="567" w:type="pct"/>
            <w:gridSpan w:val="3"/>
            <w:shd w:val="clear" w:color="auto" w:fill="F2F2F2"/>
            <w:hideMark/>
          </w:tcPr>
          <w:p w14:paraId="6E989350" w14:textId="77777777" w:rsidR="00FE43B6" w:rsidRPr="00912996" w:rsidRDefault="00FE43B6" w:rsidP="00FE43B6">
            <w:pPr>
              <w:rPr>
                <w:rFonts w:ascii="Calibri" w:hAnsi="Calibri"/>
                <w:bCs/>
                <w:lang w:eastAsia="ja-JP"/>
              </w:rPr>
            </w:pPr>
            <w:r w:rsidRPr="00EF7958">
              <w:rPr>
                <w:rFonts w:ascii="Calibri" w:hAnsi="Calibri"/>
                <w:bCs/>
                <w:lang w:eastAsia="ja-JP"/>
              </w:rPr>
              <w:t>PS2</w:t>
            </w:r>
            <w:r w:rsidRPr="00912996">
              <w:rPr>
                <w:rFonts w:ascii="Calibri" w:hAnsi="Calibri"/>
                <w:bCs/>
                <w:lang w:eastAsia="ja-JP"/>
              </w:rPr>
              <w:t>, mediul ONG, Ministerul Cercetării, Inovării și Digitalizării, Directoratul Național de Securitate Cibernetică</w:t>
            </w:r>
          </w:p>
        </w:tc>
        <w:tc>
          <w:tcPr>
            <w:tcW w:w="543" w:type="pct"/>
            <w:shd w:val="clear" w:color="auto" w:fill="F2F2F2"/>
            <w:hideMark/>
          </w:tcPr>
          <w:p w14:paraId="6E585F9E" w14:textId="77777777" w:rsidR="00FE43B6" w:rsidRPr="00912996" w:rsidRDefault="00FE43B6" w:rsidP="00FE43B6">
            <w:pPr>
              <w:rPr>
                <w:rFonts w:ascii="Calibri" w:hAnsi="Calibri"/>
                <w:bCs/>
                <w:lang w:eastAsia="ja-JP"/>
              </w:rPr>
            </w:pPr>
            <w:r w:rsidRPr="00912996">
              <w:rPr>
                <w:rFonts w:ascii="Calibri" w:hAnsi="Calibri"/>
                <w:bCs/>
                <w:lang w:eastAsia="ja-JP"/>
              </w:rPr>
              <w:t>Idee</w:t>
            </w:r>
          </w:p>
        </w:tc>
        <w:tc>
          <w:tcPr>
            <w:tcW w:w="444" w:type="pct"/>
            <w:shd w:val="clear" w:color="auto" w:fill="F2F2F2"/>
            <w:hideMark/>
          </w:tcPr>
          <w:p w14:paraId="4F591E78" w14:textId="77777777" w:rsidR="00FE43B6" w:rsidRPr="00912996" w:rsidRDefault="00FE43B6" w:rsidP="00FE43B6">
            <w:pPr>
              <w:rPr>
                <w:rFonts w:ascii="Calibri" w:hAnsi="Calibri"/>
                <w:bCs/>
                <w:lang w:eastAsia="ja-JP"/>
              </w:rPr>
            </w:pPr>
            <w:r w:rsidRPr="00912996">
              <w:rPr>
                <w:rFonts w:ascii="Calibri" w:hAnsi="Calibri"/>
                <w:bCs/>
                <w:lang w:eastAsia="ja-JP"/>
              </w:rPr>
              <w:t>122,500</w:t>
            </w:r>
          </w:p>
        </w:tc>
        <w:tc>
          <w:tcPr>
            <w:tcW w:w="444" w:type="pct"/>
            <w:shd w:val="clear" w:color="auto" w:fill="F2F2F2"/>
            <w:hideMark/>
          </w:tcPr>
          <w:p w14:paraId="28F2B4FE" w14:textId="77777777" w:rsidR="00FE43B6" w:rsidRPr="00912996" w:rsidRDefault="00FE43B6" w:rsidP="00FE43B6">
            <w:pPr>
              <w:rPr>
                <w:rFonts w:ascii="Calibri" w:hAnsi="Calibri"/>
                <w:bCs/>
                <w:lang w:eastAsia="ja-JP"/>
              </w:rPr>
            </w:pPr>
            <w:r w:rsidRPr="00912996">
              <w:rPr>
                <w:rFonts w:ascii="Calibri" w:hAnsi="Calibri"/>
                <w:bCs/>
                <w:lang w:eastAsia="ja-JP"/>
              </w:rPr>
              <w:t>25,000</w:t>
            </w:r>
          </w:p>
        </w:tc>
        <w:tc>
          <w:tcPr>
            <w:tcW w:w="380" w:type="pct"/>
            <w:shd w:val="clear" w:color="auto" w:fill="F2F2F2"/>
            <w:hideMark/>
          </w:tcPr>
          <w:p w14:paraId="02162E1F" w14:textId="77777777" w:rsidR="00FE43B6" w:rsidRPr="00912996" w:rsidRDefault="00FE43B6" w:rsidP="00FE43B6">
            <w:pPr>
              <w:rPr>
                <w:rFonts w:ascii="Calibri" w:hAnsi="Calibri"/>
                <w:bCs/>
                <w:lang w:eastAsia="ja-JP"/>
              </w:rPr>
            </w:pPr>
            <w:r w:rsidRPr="00912996">
              <w:rPr>
                <w:rFonts w:ascii="Calibri" w:hAnsi="Calibri"/>
                <w:bCs/>
                <w:lang w:eastAsia="ja-JP"/>
              </w:rPr>
              <w:t>2023</w:t>
            </w:r>
            <w:r>
              <w:rPr>
                <w:rFonts w:ascii="Calibri" w:hAnsi="Calibri"/>
                <w:bCs/>
                <w:lang w:eastAsia="ja-JP"/>
              </w:rPr>
              <w:t xml:space="preserve"> </w:t>
            </w:r>
            <w:r w:rsidRPr="00912996">
              <w:rPr>
                <w:rFonts w:ascii="Calibri" w:hAnsi="Calibri"/>
                <w:bCs/>
                <w:lang w:eastAsia="ja-JP"/>
              </w:rPr>
              <w:t>-2025</w:t>
            </w:r>
          </w:p>
        </w:tc>
        <w:tc>
          <w:tcPr>
            <w:tcW w:w="664" w:type="pct"/>
            <w:shd w:val="clear" w:color="auto" w:fill="F2F2F2"/>
            <w:hideMark/>
          </w:tcPr>
          <w:p w14:paraId="27F4176E" w14:textId="77777777" w:rsidR="00FE43B6" w:rsidRPr="00912996" w:rsidRDefault="00FE43B6" w:rsidP="00FE43B6">
            <w:pPr>
              <w:rPr>
                <w:rFonts w:ascii="Calibri" w:hAnsi="Calibri"/>
                <w:bCs/>
                <w:lang w:eastAsia="ja-JP"/>
              </w:rPr>
            </w:pPr>
            <w:r w:rsidRPr="00912996">
              <w:rPr>
                <w:rFonts w:ascii="Calibri" w:hAnsi="Calibri"/>
                <w:bCs/>
                <w:lang w:eastAsia="ja-JP"/>
              </w:rPr>
              <w:t>PNRR C7, Bugetul local, Alte surse de finanțare</w:t>
            </w:r>
          </w:p>
        </w:tc>
        <w:tc>
          <w:tcPr>
            <w:tcW w:w="444" w:type="pct"/>
            <w:shd w:val="clear" w:color="auto" w:fill="F2F2F2"/>
            <w:hideMark/>
          </w:tcPr>
          <w:p w14:paraId="5A33AB55" w14:textId="77777777" w:rsidR="00FE43B6" w:rsidRPr="00912996" w:rsidRDefault="00FE43B6" w:rsidP="00FE43B6">
            <w:pPr>
              <w:rPr>
                <w:rFonts w:ascii="Calibri" w:hAnsi="Calibri"/>
                <w:bCs/>
                <w:lang w:eastAsia="ja-JP"/>
              </w:rPr>
            </w:pPr>
            <w:r w:rsidRPr="00912996">
              <w:rPr>
                <w:rFonts w:ascii="Calibri" w:hAnsi="Calibri"/>
                <w:bCs/>
                <w:lang w:eastAsia="ja-JP"/>
              </w:rPr>
              <w:t>Proiect prioritar</w:t>
            </w:r>
          </w:p>
        </w:tc>
        <w:tc>
          <w:tcPr>
            <w:tcW w:w="506" w:type="pct"/>
            <w:shd w:val="clear" w:color="auto" w:fill="F2F2F2"/>
            <w:hideMark/>
          </w:tcPr>
          <w:p w14:paraId="0B40BA98" w14:textId="77777777" w:rsidR="00FE43B6" w:rsidRPr="00912996" w:rsidRDefault="00FE43B6" w:rsidP="00FE43B6">
            <w:pPr>
              <w:rPr>
                <w:rFonts w:ascii="Calibri" w:hAnsi="Calibri"/>
                <w:bCs/>
                <w:lang w:eastAsia="ja-JP"/>
              </w:rPr>
            </w:pPr>
            <w:r w:rsidRPr="00912996">
              <w:rPr>
                <w:rFonts w:ascii="Calibri" w:hAnsi="Calibri"/>
                <w:bCs/>
                <w:lang w:eastAsia="ja-JP"/>
              </w:rPr>
              <w:t>Propunere consultant</w:t>
            </w:r>
          </w:p>
        </w:tc>
      </w:tr>
    </w:tbl>
    <w:p w14:paraId="2E797893" w14:textId="05137739" w:rsidR="00693955" w:rsidRPr="00F171A3" w:rsidRDefault="00693955" w:rsidP="00E305CA"/>
    <w:p w14:paraId="56D174B0" w14:textId="77777777" w:rsidR="00693955" w:rsidRPr="00F171A3" w:rsidRDefault="00693955" w:rsidP="00E305CA"/>
    <w:p w14:paraId="577C0D48" w14:textId="77777777" w:rsidR="00693955" w:rsidRPr="00F171A3" w:rsidRDefault="00693955" w:rsidP="00E305CA"/>
    <w:p w14:paraId="66C4B9D8" w14:textId="77777777" w:rsidR="008C12B3" w:rsidRPr="00F171A3" w:rsidRDefault="008C12B3" w:rsidP="008C12B3">
      <w:pPr>
        <w:rPr>
          <w:highlight w:val="yellow"/>
        </w:rPr>
      </w:pPr>
    </w:p>
    <w:p w14:paraId="0A15143C" w14:textId="7BBEEE31" w:rsidR="00693955" w:rsidRPr="00F171A3" w:rsidRDefault="00693955" w:rsidP="008C12B3">
      <w:pPr>
        <w:rPr>
          <w:highlight w:val="yellow"/>
        </w:rPr>
        <w:sectPr w:rsidR="00693955" w:rsidRPr="00F171A3" w:rsidSect="00E305CA">
          <w:pgSz w:w="16839" w:h="11907" w:orient="landscape" w:code="9"/>
          <w:pgMar w:top="1022" w:right="1152" w:bottom="1440" w:left="1440" w:header="706" w:footer="288" w:gutter="0"/>
          <w:cols w:space="708"/>
          <w:titlePg/>
          <w:docGrid w:linePitch="360"/>
        </w:sectPr>
      </w:pPr>
    </w:p>
    <w:p w14:paraId="01ECE26D" w14:textId="77777777" w:rsidR="009E58CB" w:rsidRPr="00F171A3" w:rsidRDefault="009E58CB" w:rsidP="009E58CB">
      <w:pPr>
        <w:pStyle w:val="Heading2"/>
        <w:rPr>
          <w:caps w:val="0"/>
          <w:lang w:val="ro-RO"/>
        </w:rPr>
      </w:pPr>
      <w:bookmarkStart w:id="457" w:name="_Toc106107004"/>
      <w:bookmarkStart w:id="458" w:name="_Toc116556840"/>
      <w:bookmarkStart w:id="459" w:name="_Toc127199319"/>
      <w:r w:rsidRPr="00F171A3">
        <w:rPr>
          <w:caps w:val="0"/>
          <w:lang w:val="ro-RO"/>
        </w:rPr>
        <w:t>SISTEMUL DE IMPLEMENTARE, MONITORIZARE ȘI EVALUARE</w:t>
      </w:r>
      <w:bookmarkEnd w:id="457"/>
      <w:bookmarkEnd w:id="458"/>
      <w:bookmarkEnd w:id="459"/>
    </w:p>
    <w:p w14:paraId="77B71356" w14:textId="7DE86BB9" w:rsidR="009E58CB" w:rsidRPr="00F171A3" w:rsidRDefault="00F22459" w:rsidP="009E58CB">
      <w:pPr>
        <w:pStyle w:val="Heading3"/>
        <w:rPr>
          <w:caps w:val="0"/>
          <w:lang w:val="ro-RO"/>
        </w:rPr>
      </w:pPr>
      <w:bookmarkStart w:id="460" w:name="_Toc106107005"/>
      <w:bookmarkStart w:id="461" w:name="_Toc116556841"/>
      <w:bookmarkStart w:id="462" w:name="_Toc127199320"/>
      <w:r w:rsidRPr="00F171A3">
        <w:rPr>
          <w:caps w:val="0"/>
          <w:lang w:val="ro-RO"/>
        </w:rPr>
        <w:t>CONTEXT INSTITUȚIONAL</w:t>
      </w:r>
      <w:bookmarkEnd w:id="460"/>
      <w:bookmarkEnd w:id="461"/>
      <w:bookmarkEnd w:id="462"/>
    </w:p>
    <w:p w14:paraId="456DBCBC" w14:textId="77777777" w:rsidR="009E58CB" w:rsidRPr="00F171A3" w:rsidRDefault="009E58CB" w:rsidP="009E58CB">
      <w:pPr>
        <w:rPr>
          <w:rFonts w:cstheme="minorHAnsi"/>
        </w:rPr>
      </w:pPr>
      <w:r w:rsidRPr="00F171A3">
        <w:rPr>
          <w:rFonts w:cstheme="minorHAnsi"/>
        </w:rPr>
        <w:t xml:space="preserve">Implementarea </w:t>
      </w:r>
      <w:r w:rsidRPr="00F171A3">
        <w:rPr>
          <w:rFonts w:cstheme="minorHAnsi"/>
          <w:i/>
        </w:rPr>
        <w:t xml:space="preserve">Strategia de dezvoltare locală integrată şi durabilă a Sectorului 2 pentru perioada 2021-2027 </w:t>
      </w:r>
      <w:r w:rsidRPr="00F171A3">
        <w:rPr>
          <w:rFonts w:cstheme="minorHAnsi"/>
        </w:rPr>
        <w:t xml:space="preserve">nu stă în responsabilitatea unei singure persoane sau a unei instituții, ci necesită implicarea întregii comunități locale – instituții publice, organizații ale societății civile și mediului de afaceri, mediul universitar și cetățeni, printr-o abordare participativă și centrată pe cetățean/ utilizator. Implicarea unor astfel de parteneri este necesară atât în designul inițiativelor/ proiectelor/ serviciilor, în mobilizarea de resurse, în implementare, cât și în monitorizarea și evaluarea implementării de ansamblu a strategiei. </w:t>
      </w:r>
    </w:p>
    <w:p w14:paraId="5BAC508E" w14:textId="14E57680" w:rsidR="009E58CB" w:rsidRPr="00F171A3" w:rsidRDefault="009E58CB" w:rsidP="000D02D4">
      <w:pPr>
        <w:rPr>
          <w:rFonts w:cstheme="minorHAnsi"/>
        </w:rPr>
      </w:pPr>
      <w:r w:rsidRPr="00F171A3">
        <w:rPr>
          <w:rFonts w:cstheme="minorHAnsi"/>
        </w:rPr>
        <w:t xml:space="preserve">În acest scop, ca parte a demersului de elaborare a strategiei a fost identificată o serie de parteneri locali potențiali pentru implementarea SDLID 2021 - 2027, respectiv dezvoltarea și implementarea proiectelor din portofoliul de proiecte, din cadrul administrației publice, reprezentanți ai mediului academic, profesional, non-profit și cetățeni. Unii dintre aceștia au fost implicați încă din faza inițială, de analiză a nevoilor, fie prin solicitări de date și informații, fie prin chestionare sau implicarea în grupuri de lucru tematice. Participanții la grupurile de lucru pot constitui un grup consultativ valoros în implementarea SDLID, asigurându-se astfel dialogul cu toate categoriile de actori relevanți pentru dezvoltare urbană integrată și inovare, pe baza modelului de cvadruplu helix. </w:t>
      </w:r>
    </w:p>
    <w:p w14:paraId="7C9B510B" w14:textId="21755793" w:rsidR="009E58CB" w:rsidRPr="00F171A3" w:rsidRDefault="009D2E2C" w:rsidP="009D2E2C">
      <w:pPr>
        <w:pStyle w:val="Caption"/>
        <w:rPr>
          <w:rFonts w:cstheme="minorHAnsi"/>
        </w:rPr>
      </w:pPr>
      <w:bookmarkStart w:id="463" w:name="_Toc127198125"/>
      <w:r w:rsidRPr="00F171A3">
        <w:t xml:space="preserve">Figura </w:t>
      </w:r>
      <w:r w:rsidRPr="00F171A3">
        <w:fldChar w:fldCharType="begin"/>
      </w:r>
      <w:r w:rsidRPr="00F171A3">
        <w:instrText xml:space="preserve"> SEQ Figura \* ARABIC </w:instrText>
      </w:r>
      <w:r w:rsidRPr="00F171A3">
        <w:fldChar w:fldCharType="separate"/>
      </w:r>
      <w:r w:rsidR="005A6DD8">
        <w:rPr>
          <w:noProof/>
        </w:rPr>
        <w:t>137</w:t>
      </w:r>
      <w:r w:rsidRPr="00F171A3">
        <w:fldChar w:fldCharType="end"/>
      </w:r>
      <w:r w:rsidR="009E58CB" w:rsidRPr="00F171A3">
        <w:rPr>
          <w:rFonts w:cstheme="minorHAnsi"/>
        </w:rPr>
        <w:t xml:space="preserve"> C</w:t>
      </w:r>
      <w:r w:rsidR="00455C9D" w:rsidRPr="00F171A3">
        <w:rPr>
          <w:rFonts w:cstheme="minorHAnsi"/>
        </w:rPr>
        <w:t>ategoriile de actori din cvadruplu helix</w:t>
      </w:r>
      <w:bookmarkEnd w:id="463"/>
    </w:p>
    <w:p w14:paraId="6D80FDB1" w14:textId="77777777" w:rsidR="009E58CB" w:rsidRPr="00F171A3" w:rsidRDefault="009E58CB" w:rsidP="009E58CB">
      <w:pPr>
        <w:keepNext/>
        <w:jc w:val="center"/>
        <w:rPr>
          <w:rFonts w:cstheme="minorHAnsi"/>
        </w:rPr>
      </w:pPr>
      <w:r w:rsidRPr="00F171A3">
        <w:rPr>
          <w:rFonts w:cstheme="minorHAnsi"/>
          <w:noProof/>
        </w:rPr>
        <w:drawing>
          <wp:inline distT="0" distB="0" distL="0" distR="0" wp14:anchorId="2BD968BD" wp14:editId="4E93F6E5">
            <wp:extent cx="2398816" cy="2333885"/>
            <wp:effectExtent l="0" t="0" r="1905" b="0"/>
            <wp:docPr id="25665" name="Picture 2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22379" t="28879" r="55840" b="33428"/>
                    <a:stretch/>
                  </pic:blipFill>
                  <pic:spPr bwMode="auto">
                    <a:xfrm>
                      <a:off x="0" y="0"/>
                      <a:ext cx="2406738" cy="2341593"/>
                    </a:xfrm>
                    <a:prstGeom prst="rect">
                      <a:avLst/>
                    </a:prstGeom>
                    <a:ln>
                      <a:noFill/>
                    </a:ln>
                    <a:extLst>
                      <a:ext uri="{53640926-AAD7-44D8-BBD7-CCE9431645EC}">
                        <a14:shadowObscured xmlns:a14="http://schemas.microsoft.com/office/drawing/2010/main"/>
                      </a:ext>
                    </a:extLst>
                  </pic:spPr>
                </pic:pic>
              </a:graphicData>
            </a:graphic>
          </wp:inline>
        </w:drawing>
      </w:r>
    </w:p>
    <w:p w14:paraId="08916252" w14:textId="77777777" w:rsidR="009E58CB" w:rsidRPr="00F171A3" w:rsidRDefault="009E58CB" w:rsidP="002278A7">
      <w:pPr>
        <w:jc w:val="right"/>
        <w:rPr>
          <w:color w:val="BFBFBF" w:themeColor="background1" w:themeShade="BF"/>
        </w:rPr>
      </w:pPr>
      <w:r w:rsidRPr="00F171A3">
        <w:rPr>
          <w:color w:val="BFBFBF" w:themeColor="background1" w:themeShade="BF"/>
        </w:rPr>
        <w:t>Sursa: Prelucrare proprie</w:t>
      </w:r>
    </w:p>
    <w:p w14:paraId="4C75905F" w14:textId="3F66F751" w:rsidR="009E58CB" w:rsidRPr="00F171A3" w:rsidRDefault="009E58CB" w:rsidP="009E58CB">
      <w:pPr>
        <w:rPr>
          <w:rFonts w:cstheme="minorHAnsi"/>
        </w:rPr>
      </w:pPr>
      <w:r w:rsidRPr="00F171A3">
        <w:rPr>
          <w:rFonts w:cstheme="minorHAnsi"/>
        </w:rPr>
        <w:t xml:space="preserve">În ceea ce privește implementarea, monitorizarea și evaluarea propriu-zise ale strategiei, acestea se vor face la nivelul Primăriei Sectorului 2, București. Totodată, pe tot parcursul etapelor ce decurg după actualizarea SDLID 2021 - 2027: prioritizarea și selecția proiectelor pentru finanțare, pregătirea, implementarea, monitorizarea și evaluarea proiectelor, Primăria Sectorului 2 va consulta Agenția pentru Dezvoltare Regională București - Ilfov, în calitate de autoritate de management a Programului Operațional Regional (POR) București - Ilfov. În scopul implementării SDLID 2021 - 2027, la nivelul Primăriei Sectorului 2 se va constitui Unitatea de Implementare și Monitorizare a SDLID 2021 – 2027 (UIM SDLID), cu rolul de coordonare a implementării și de monitorizare și evaluare a SDLID. Unitatea de Implementare și Monitorizare a SDLID 2021 – 2027 va fi constituită la nivelul </w:t>
      </w:r>
      <w:r w:rsidR="00FC4119" w:rsidRPr="00F171A3">
        <w:rPr>
          <w:rFonts w:cstheme="minorHAnsi"/>
        </w:rPr>
        <w:t xml:space="preserve">Direcției Generale Programe de Dezvoltare Urbană și Fonduri Europene </w:t>
      </w:r>
      <w:r w:rsidRPr="00F171A3">
        <w:rPr>
          <w:rFonts w:cstheme="minorHAnsi"/>
        </w:rPr>
        <w:t>(incluzând, după caz, și personal din alte direcții ale primăriei). UIM ar urma să fie condusă de un responsabil SDLID 2021 – 2027 din cadrul Serviciului Management Strategic (SMS) cu experiență relevantă în domeniu și ar include o echipă mixtă, formată din reprezentanți ai direcțiilor/compartimentelor cu un rol decisiv în implementarea strategiei.</w:t>
      </w:r>
    </w:p>
    <w:p w14:paraId="44984D7E" w14:textId="77777777" w:rsidR="000D02D4" w:rsidRPr="00F171A3" w:rsidRDefault="000D02D4" w:rsidP="000D02D4">
      <w:pPr>
        <w:rPr>
          <w:rFonts w:cstheme="minorHAnsi"/>
          <w:noProof/>
        </w:rPr>
      </w:pPr>
    </w:p>
    <w:p w14:paraId="08C15674" w14:textId="0B3879FF" w:rsidR="000D02D4" w:rsidRPr="00F171A3" w:rsidRDefault="009D2E2C" w:rsidP="00963E4C">
      <w:pPr>
        <w:pStyle w:val="Caption"/>
        <w:rPr>
          <w:rFonts w:cstheme="minorHAnsi"/>
        </w:rPr>
      </w:pPr>
      <w:bookmarkStart w:id="464" w:name="_Toc127198126"/>
      <w:bookmarkStart w:id="465" w:name="_Toc77628259"/>
      <w:bookmarkStart w:id="466" w:name="_Toc106107236"/>
      <w:r w:rsidRPr="00F171A3">
        <w:t xml:space="preserve">Figura </w:t>
      </w:r>
      <w:r w:rsidRPr="00F171A3">
        <w:fldChar w:fldCharType="begin"/>
      </w:r>
      <w:r w:rsidRPr="00F171A3">
        <w:instrText xml:space="preserve"> SEQ Figura \* ARABIC </w:instrText>
      </w:r>
      <w:r w:rsidRPr="00F171A3">
        <w:fldChar w:fldCharType="separate"/>
      </w:r>
      <w:r w:rsidR="005A6DD8">
        <w:rPr>
          <w:noProof/>
        </w:rPr>
        <w:t>138</w:t>
      </w:r>
      <w:r w:rsidRPr="00F171A3">
        <w:fldChar w:fldCharType="end"/>
      </w:r>
      <w:r w:rsidRPr="00F171A3">
        <w:t xml:space="preserve"> Structura propusă pentru implementarea, monitorizarea și evaluarea SDLID 2021 - 2027</w:t>
      </w:r>
      <w:bookmarkEnd w:id="464"/>
      <w:r w:rsidRPr="00F171A3">
        <w:rPr>
          <w:rFonts w:cstheme="minorHAnsi"/>
        </w:rPr>
        <w:t xml:space="preserve"> </w:t>
      </w:r>
      <w:bookmarkEnd w:id="465"/>
      <w:bookmarkEnd w:id="466"/>
    </w:p>
    <w:p w14:paraId="202BF8C1" w14:textId="040E22D9" w:rsidR="009E58CB" w:rsidRPr="00F171A3" w:rsidRDefault="000D02D4" w:rsidP="009E58CB">
      <w:pPr>
        <w:rPr>
          <w:rFonts w:cstheme="minorHAnsi"/>
        </w:rPr>
      </w:pPr>
      <w:r w:rsidRPr="00F171A3">
        <w:rPr>
          <w:rFonts w:cstheme="minorHAnsi"/>
          <w:noProof/>
        </w:rPr>
        <w:drawing>
          <wp:anchor distT="0" distB="0" distL="114300" distR="114300" simplePos="0" relativeHeight="251665408" behindDoc="0" locked="0" layoutInCell="1" allowOverlap="1" wp14:anchorId="651F0896" wp14:editId="4C00F719">
            <wp:simplePos x="0" y="0"/>
            <wp:positionH relativeFrom="column">
              <wp:posOffset>514721</wp:posOffset>
            </wp:positionH>
            <wp:positionV relativeFrom="paragraph">
              <wp:posOffset>38735</wp:posOffset>
            </wp:positionV>
            <wp:extent cx="5295941" cy="4335145"/>
            <wp:effectExtent l="0" t="0" r="0" b="8255"/>
            <wp:wrapNone/>
            <wp:docPr id="25666" name="Picture 2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6">
                      <a:extLst>
                        <a:ext uri="{28A0092B-C50C-407E-A947-70E740481C1C}">
                          <a14:useLocalDpi xmlns:a14="http://schemas.microsoft.com/office/drawing/2010/main" val="0"/>
                        </a:ext>
                      </a:extLst>
                    </a:blip>
                    <a:srcRect l="16018" r="15295"/>
                    <a:stretch/>
                  </pic:blipFill>
                  <pic:spPr bwMode="auto">
                    <a:xfrm>
                      <a:off x="0" y="0"/>
                      <a:ext cx="5295941" cy="4335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F2D14A" w14:textId="72CA2723" w:rsidR="009E58CB" w:rsidRPr="00F171A3" w:rsidRDefault="009E58CB" w:rsidP="009E58CB">
      <w:pPr>
        <w:rPr>
          <w:rFonts w:cstheme="minorHAnsi"/>
        </w:rPr>
      </w:pPr>
    </w:p>
    <w:p w14:paraId="6B53E12B" w14:textId="77777777" w:rsidR="009E58CB" w:rsidRPr="00F171A3" w:rsidRDefault="009E58CB" w:rsidP="009E58CB">
      <w:pPr>
        <w:rPr>
          <w:rFonts w:cstheme="minorHAnsi"/>
        </w:rPr>
      </w:pPr>
    </w:p>
    <w:p w14:paraId="0BF20DEF" w14:textId="77777777" w:rsidR="009E58CB" w:rsidRPr="00F171A3" w:rsidRDefault="009E58CB" w:rsidP="009E58CB">
      <w:pPr>
        <w:rPr>
          <w:rFonts w:cstheme="minorHAnsi"/>
        </w:rPr>
      </w:pPr>
    </w:p>
    <w:p w14:paraId="600D3F19" w14:textId="77777777" w:rsidR="009E58CB" w:rsidRPr="00F171A3" w:rsidRDefault="009E58CB" w:rsidP="009E58CB">
      <w:pPr>
        <w:rPr>
          <w:rFonts w:cstheme="minorHAnsi"/>
        </w:rPr>
      </w:pPr>
    </w:p>
    <w:p w14:paraId="773A818A" w14:textId="77777777" w:rsidR="009E58CB" w:rsidRPr="00F171A3" w:rsidRDefault="009E58CB" w:rsidP="009E58CB">
      <w:pPr>
        <w:rPr>
          <w:rFonts w:cstheme="minorHAnsi"/>
        </w:rPr>
      </w:pPr>
    </w:p>
    <w:p w14:paraId="1A8874B6" w14:textId="77777777" w:rsidR="009E58CB" w:rsidRPr="00F171A3" w:rsidRDefault="009E58CB" w:rsidP="009E58CB">
      <w:pPr>
        <w:rPr>
          <w:rFonts w:cstheme="minorHAnsi"/>
        </w:rPr>
      </w:pPr>
    </w:p>
    <w:p w14:paraId="7FF21B0B" w14:textId="77777777" w:rsidR="009E58CB" w:rsidRPr="00F171A3" w:rsidRDefault="009E58CB" w:rsidP="009E58CB">
      <w:pPr>
        <w:rPr>
          <w:rFonts w:cstheme="minorHAnsi"/>
        </w:rPr>
      </w:pPr>
    </w:p>
    <w:p w14:paraId="0604664B" w14:textId="77777777" w:rsidR="009E58CB" w:rsidRPr="00F171A3" w:rsidRDefault="009E58CB" w:rsidP="009E58CB">
      <w:pPr>
        <w:rPr>
          <w:rFonts w:cstheme="minorHAnsi"/>
        </w:rPr>
      </w:pPr>
    </w:p>
    <w:p w14:paraId="71D4F0EF" w14:textId="77777777" w:rsidR="009E58CB" w:rsidRPr="00F171A3" w:rsidRDefault="009E58CB" w:rsidP="009E58CB">
      <w:pPr>
        <w:rPr>
          <w:rFonts w:cstheme="minorHAnsi"/>
        </w:rPr>
      </w:pPr>
    </w:p>
    <w:p w14:paraId="112BE8AE" w14:textId="77777777" w:rsidR="009E58CB" w:rsidRPr="00F171A3" w:rsidRDefault="009E58CB" w:rsidP="009E58CB">
      <w:pPr>
        <w:rPr>
          <w:rFonts w:cstheme="minorHAnsi"/>
        </w:rPr>
      </w:pPr>
    </w:p>
    <w:p w14:paraId="5C8A0565" w14:textId="77777777" w:rsidR="009E58CB" w:rsidRPr="00F171A3" w:rsidRDefault="009E58CB" w:rsidP="009E58CB">
      <w:pPr>
        <w:rPr>
          <w:rFonts w:cstheme="minorHAnsi"/>
        </w:rPr>
      </w:pPr>
    </w:p>
    <w:p w14:paraId="35FDD7A6" w14:textId="77777777" w:rsidR="009E58CB" w:rsidRPr="00F171A3" w:rsidRDefault="009E58CB" w:rsidP="009E58CB">
      <w:pPr>
        <w:rPr>
          <w:rFonts w:cstheme="minorHAnsi"/>
        </w:rPr>
      </w:pPr>
    </w:p>
    <w:p w14:paraId="6646BA9E" w14:textId="77777777" w:rsidR="009E58CB" w:rsidRPr="00F171A3" w:rsidRDefault="009E58CB" w:rsidP="009E58CB">
      <w:pPr>
        <w:rPr>
          <w:rFonts w:cstheme="minorHAnsi"/>
        </w:rPr>
      </w:pPr>
    </w:p>
    <w:p w14:paraId="42722BE5" w14:textId="77777777" w:rsidR="009E58CB" w:rsidRPr="00F171A3" w:rsidRDefault="009E58CB" w:rsidP="009E58CB">
      <w:pPr>
        <w:rPr>
          <w:rFonts w:cstheme="minorHAnsi"/>
        </w:rPr>
      </w:pPr>
    </w:p>
    <w:p w14:paraId="310ACAA2" w14:textId="77777777" w:rsidR="009E58CB" w:rsidRPr="00F171A3" w:rsidRDefault="009E58CB" w:rsidP="009E58CB">
      <w:pPr>
        <w:rPr>
          <w:rFonts w:cstheme="minorHAnsi"/>
        </w:rPr>
      </w:pPr>
    </w:p>
    <w:p w14:paraId="060C658C" w14:textId="77777777" w:rsidR="009E58CB" w:rsidRPr="00F171A3" w:rsidRDefault="009E58CB" w:rsidP="009E58CB">
      <w:pPr>
        <w:rPr>
          <w:rFonts w:cstheme="minorHAnsi"/>
        </w:rPr>
      </w:pPr>
    </w:p>
    <w:p w14:paraId="24A06448" w14:textId="77777777" w:rsidR="009E58CB" w:rsidRPr="00F171A3" w:rsidRDefault="009E58CB" w:rsidP="009E58CB">
      <w:pPr>
        <w:rPr>
          <w:rFonts w:cstheme="minorHAnsi"/>
          <w:i/>
          <w:iCs/>
        </w:rPr>
      </w:pPr>
    </w:p>
    <w:p w14:paraId="3833EF61" w14:textId="77777777" w:rsidR="009E58CB" w:rsidRPr="00F171A3" w:rsidRDefault="009E58CB" w:rsidP="002278A7">
      <w:pPr>
        <w:jc w:val="right"/>
        <w:rPr>
          <w:color w:val="BFBFBF" w:themeColor="background1" w:themeShade="BF"/>
        </w:rPr>
      </w:pPr>
      <w:r w:rsidRPr="00F171A3">
        <w:rPr>
          <w:color w:val="BFBFBF" w:themeColor="background1" w:themeShade="BF"/>
        </w:rPr>
        <w:t>Sursa: Prelucrare proprie</w:t>
      </w:r>
    </w:p>
    <w:p w14:paraId="3B73322E" w14:textId="77777777" w:rsidR="009E58CB" w:rsidRPr="00F171A3" w:rsidRDefault="009E58CB" w:rsidP="009E58CB">
      <w:pPr>
        <w:rPr>
          <w:rFonts w:cstheme="minorHAnsi"/>
          <w:bCs/>
          <w:lang w:eastAsia="ja-JP"/>
        </w:rPr>
      </w:pPr>
      <w:r w:rsidRPr="00F171A3">
        <w:rPr>
          <w:rFonts w:cstheme="minorHAnsi"/>
          <w:bCs/>
          <w:lang w:eastAsia="ja-JP"/>
        </w:rPr>
        <w:t>Procesul de gestionare și implementare a strategiei presupune parcurgerea următoarelor etape:</w:t>
      </w:r>
    </w:p>
    <w:p w14:paraId="4D58F5A9"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Instruirea membrilor echipelor de proiect privind procedurile și activitățile necesare implementării proiectelor (inclusiv în concordanță cu cerințele Uniunii Europene);</w:t>
      </w:r>
    </w:p>
    <w:p w14:paraId="68D54443"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Analize periodice și ad-hoc referitoare la îndeplinirea sarcinilor fiecărui membru al echipei;</w:t>
      </w:r>
    </w:p>
    <w:p w14:paraId="58A89F72"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Pregătirea și participarea la desfășurarea tuturor activităților, corespunzător nominalizării și competențelor;</w:t>
      </w:r>
    </w:p>
    <w:p w14:paraId="57F9C1D6"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Participarea în Comitetele de evaluare a ofertelor pentru adjudecarea serviciilor și lucrărilor în cadrul proiectelor subsecvente strategiei;</w:t>
      </w:r>
    </w:p>
    <w:p w14:paraId="238E1E63"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Elaborarea și transmiterea raportărilor tehnice si economice;</w:t>
      </w:r>
    </w:p>
    <w:p w14:paraId="1E30882B"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Participarea la toate ședințele privind analiza progresului strategiei, împreună cu ceilalți factori implicați;</w:t>
      </w:r>
    </w:p>
    <w:p w14:paraId="46E4A90C"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Participarea la vizitele în teren;</w:t>
      </w:r>
    </w:p>
    <w:p w14:paraId="4D35F984"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Elaborarea informărilor privind progresul strategiei sau a rapoartelor de progres;</w:t>
      </w:r>
    </w:p>
    <w:p w14:paraId="2AB213B9"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Elaborarea documentelor de solicitare a sumelor necesare efectuării plăților;</w:t>
      </w:r>
    </w:p>
    <w:p w14:paraId="0CAB60B9"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Efectuarea plăților ulterior aprobării documentelor primare;</w:t>
      </w:r>
    </w:p>
    <w:p w14:paraId="25AA5BBF"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Obținerea tuturor acordurilor, avizelor, aprobărilor necesare pentru implementarea strategiei;</w:t>
      </w:r>
    </w:p>
    <w:p w14:paraId="138E6D41"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Notificarea tuturor neregulilor către factorii implicați;</w:t>
      </w:r>
    </w:p>
    <w:p w14:paraId="5A02194C" w14:textId="77777777" w:rsidR="009E58CB" w:rsidRPr="00F171A3" w:rsidRDefault="009E58CB">
      <w:pPr>
        <w:numPr>
          <w:ilvl w:val="0"/>
          <w:numId w:val="59"/>
        </w:numPr>
        <w:autoSpaceDE w:val="0"/>
        <w:autoSpaceDN w:val="0"/>
        <w:adjustRightInd w:val="0"/>
        <w:spacing w:line="276" w:lineRule="auto"/>
        <w:contextualSpacing/>
        <w:rPr>
          <w:rFonts w:cstheme="minorHAnsi"/>
          <w:bCs/>
          <w:color w:val="134753"/>
          <w:lang w:eastAsia="ja-JP"/>
        </w:rPr>
      </w:pPr>
      <w:r w:rsidRPr="00F171A3">
        <w:rPr>
          <w:rFonts w:cstheme="minorHAnsi"/>
          <w:bCs/>
          <w:color w:val="134753"/>
          <w:lang w:eastAsia="ja-JP"/>
        </w:rPr>
        <w:t>Arhivarea documentelor strategiei.</w:t>
      </w:r>
    </w:p>
    <w:p w14:paraId="6EE06BBC" w14:textId="77777777" w:rsidR="009E58CB" w:rsidRPr="00F171A3" w:rsidRDefault="009E58CB" w:rsidP="009E58CB">
      <w:pPr>
        <w:rPr>
          <w:rFonts w:cstheme="minorHAnsi"/>
          <w:bCs/>
          <w:lang w:eastAsia="ja-JP"/>
        </w:rPr>
      </w:pPr>
      <w:r w:rsidRPr="00F171A3">
        <w:rPr>
          <w:rFonts w:cstheme="minorHAnsi"/>
          <w:bCs/>
          <w:lang w:eastAsia="ja-JP"/>
        </w:rPr>
        <w:t>Metodologia de implementare și control a strategiei va ține seama și de aspecte manageriale orizontale, cum ar fi asigurarea unui management eficient al timpului pentru activități și proiecte, monitorizarea riscurilor de natură financiară sau legate de procesele de achiziții publice și, nu în ultimul rând, utilizarea unor mijloace moderne de management al resurselor umane pentru asigurarea unui personal adecvat obiectivelor si activităților implementate.</w:t>
      </w:r>
    </w:p>
    <w:p w14:paraId="3291FF36" w14:textId="77777777" w:rsidR="009E58CB" w:rsidRPr="00F171A3" w:rsidRDefault="009E58CB" w:rsidP="009E58CB">
      <w:pPr>
        <w:rPr>
          <w:rFonts w:cstheme="minorHAnsi"/>
        </w:rPr>
      </w:pPr>
      <w:r w:rsidRPr="00F171A3">
        <w:rPr>
          <w:rFonts w:cstheme="minorHAnsi"/>
          <w:i/>
        </w:rPr>
        <w:t xml:space="preserve">Strategia de dezvoltare locală integrată şi durabilă a Sectorului 2 pentru perioada 2021-2027 </w:t>
      </w:r>
      <w:r w:rsidRPr="00F171A3">
        <w:rPr>
          <w:rFonts w:cstheme="minorHAnsi"/>
        </w:rPr>
        <w:t>este un document strategic care pornește de la un set de probleme, nevoi și elemente de potențial identificate la nivelul Sectorului, corelate cu măsurile strategice implementate în perioada 2016 – 2021 și rezultatele acestora, pentru a construi un cadru strategic de dezvoltare pentru următorii ani. În acest context, analiza situației existente s-a bazat pe o serie de domenii cheie care prin caracterul lor complex surprind caracteristicile principale ale teritoriului. Astfel, provocărilor și nevoilor identificate în etapa de analiză le sunt asociate obiective strategice și specifice, detaliate prin direcții de acțiune ce conduc la atingerea viziunii de dezvoltare. Strategia include 5 domenii cheie, interconectate, ce cuprind caracteristicile principale ale Sectorului 2. Acestor domenii le sunt asociate obiective strategice şi specifice, detaliate prin direcţii de acţiune ce conduc la atingerea viziunii de dezvoltare a sectorului.</w:t>
      </w:r>
    </w:p>
    <w:p w14:paraId="68202941" w14:textId="7D7B37D8" w:rsidR="000D02D4" w:rsidRPr="00F171A3" w:rsidRDefault="009D2E2C" w:rsidP="002278A7">
      <w:pPr>
        <w:pStyle w:val="Caption"/>
        <w:rPr>
          <w:rFonts w:cstheme="minorHAnsi"/>
        </w:rPr>
      </w:pPr>
      <w:bookmarkStart w:id="467" w:name="_Toc127198127"/>
      <w:r w:rsidRPr="00F171A3">
        <w:t xml:space="preserve">Figura </w:t>
      </w:r>
      <w:r w:rsidRPr="00F171A3">
        <w:fldChar w:fldCharType="begin"/>
      </w:r>
      <w:r w:rsidRPr="00F171A3">
        <w:instrText xml:space="preserve"> SEQ Figura \* ARABIC </w:instrText>
      </w:r>
      <w:r w:rsidRPr="00F171A3">
        <w:fldChar w:fldCharType="separate"/>
      </w:r>
      <w:r w:rsidR="005A6DD8">
        <w:rPr>
          <w:noProof/>
        </w:rPr>
        <w:t>139</w:t>
      </w:r>
      <w:r w:rsidRPr="00F171A3">
        <w:fldChar w:fldCharType="end"/>
      </w:r>
      <w:r w:rsidRPr="00F171A3">
        <w:t xml:space="preserve"> Corelarea domeniilor de analiză cu obiectivele strategice, SDLID 2021 - 2027</w:t>
      </w:r>
      <w:bookmarkEnd w:id="467"/>
    </w:p>
    <w:p w14:paraId="37E67DBD" w14:textId="693EF0C2" w:rsidR="009E58CB" w:rsidRPr="00F171A3" w:rsidRDefault="000D02D4" w:rsidP="009E58CB">
      <w:pPr>
        <w:rPr>
          <w:rFonts w:cstheme="minorHAnsi"/>
        </w:rPr>
      </w:pPr>
      <w:r w:rsidRPr="00F171A3">
        <w:rPr>
          <w:rFonts w:cstheme="minorHAnsi"/>
          <w:noProof/>
        </w:rPr>
        <w:drawing>
          <wp:anchor distT="0" distB="0" distL="114300" distR="114300" simplePos="0" relativeHeight="251664384" behindDoc="0" locked="0" layoutInCell="1" allowOverlap="1" wp14:anchorId="16821944" wp14:editId="33D47624">
            <wp:simplePos x="0" y="0"/>
            <wp:positionH relativeFrom="column">
              <wp:posOffset>443419</wp:posOffset>
            </wp:positionH>
            <wp:positionV relativeFrom="paragraph">
              <wp:posOffset>67006</wp:posOffset>
            </wp:positionV>
            <wp:extent cx="5142016" cy="4038600"/>
            <wp:effectExtent l="0" t="0" r="1905" b="0"/>
            <wp:wrapNone/>
            <wp:docPr id="25667" name="Picture 2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7">
                      <a:extLst>
                        <a:ext uri="{28A0092B-C50C-407E-A947-70E740481C1C}">
                          <a14:useLocalDpi xmlns:a14="http://schemas.microsoft.com/office/drawing/2010/main" val="0"/>
                        </a:ext>
                      </a:extLst>
                    </a:blip>
                    <a:srcRect l="17525" r="10887"/>
                    <a:stretch/>
                  </pic:blipFill>
                  <pic:spPr bwMode="auto">
                    <a:xfrm>
                      <a:off x="0" y="0"/>
                      <a:ext cx="5142016" cy="403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7289E3" w14:textId="77777777" w:rsidR="009E58CB" w:rsidRPr="00F171A3" w:rsidRDefault="009E58CB" w:rsidP="009E58CB">
      <w:pPr>
        <w:rPr>
          <w:rFonts w:cstheme="minorHAnsi"/>
        </w:rPr>
      </w:pPr>
    </w:p>
    <w:p w14:paraId="65209537" w14:textId="77777777" w:rsidR="009E58CB" w:rsidRPr="00F171A3" w:rsidRDefault="009E58CB" w:rsidP="009E58CB">
      <w:pPr>
        <w:rPr>
          <w:rFonts w:cstheme="minorHAnsi"/>
        </w:rPr>
      </w:pPr>
    </w:p>
    <w:p w14:paraId="2E095153" w14:textId="5E48FF55" w:rsidR="009E58CB" w:rsidRPr="00F171A3" w:rsidRDefault="009E58CB" w:rsidP="009E58CB">
      <w:pPr>
        <w:rPr>
          <w:rFonts w:cstheme="minorHAnsi"/>
        </w:rPr>
      </w:pPr>
    </w:p>
    <w:p w14:paraId="368197AC" w14:textId="77777777" w:rsidR="009E58CB" w:rsidRPr="00F171A3" w:rsidRDefault="009E58CB" w:rsidP="009E58CB">
      <w:pPr>
        <w:rPr>
          <w:rFonts w:cstheme="minorHAnsi"/>
        </w:rPr>
      </w:pPr>
    </w:p>
    <w:p w14:paraId="24A47601" w14:textId="77777777" w:rsidR="009E58CB" w:rsidRPr="00F171A3" w:rsidRDefault="009E58CB" w:rsidP="009E58CB">
      <w:pPr>
        <w:rPr>
          <w:rFonts w:cstheme="minorHAnsi"/>
        </w:rPr>
      </w:pPr>
    </w:p>
    <w:p w14:paraId="544FDA01" w14:textId="77777777" w:rsidR="009E58CB" w:rsidRPr="00F171A3" w:rsidRDefault="009E58CB" w:rsidP="009E58CB">
      <w:pPr>
        <w:rPr>
          <w:rFonts w:cstheme="minorHAnsi"/>
        </w:rPr>
      </w:pPr>
    </w:p>
    <w:p w14:paraId="166B49CF" w14:textId="77777777" w:rsidR="009E58CB" w:rsidRPr="00F171A3" w:rsidRDefault="009E58CB" w:rsidP="009E58CB">
      <w:pPr>
        <w:rPr>
          <w:rFonts w:cstheme="minorHAnsi"/>
        </w:rPr>
      </w:pPr>
    </w:p>
    <w:p w14:paraId="2CFB3DD4" w14:textId="77777777" w:rsidR="009E58CB" w:rsidRPr="00F171A3" w:rsidRDefault="009E58CB" w:rsidP="009E58CB">
      <w:pPr>
        <w:rPr>
          <w:rFonts w:cstheme="minorHAnsi"/>
        </w:rPr>
      </w:pPr>
    </w:p>
    <w:p w14:paraId="3D7FA743" w14:textId="77777777" w:rsidR="009E58CB" w:rsidRPr="00F171A3" w:rsidRDefault="009E58CB" w:rsidP="009E58CB">
      <w:pPr>
        <w:rPr>
          <w:rFonts w:cstheme="minorHAnsi"/>
        </w:rPr>
      </w:pPr>
    </w:p>
    <w:p w14:paraId="6540867C" w14:textId="77777777" w:rsidR="009E58CB" w:rsidRPr="00F171A3" w:rsidRDefault="009E58CB" w:rsidP="009E58CB">
      <w:pPr>
        <w:rPr>
          <w:rFonts w:cstheme="minorHAnsi"/>
        </w:rPr>
      </w:pPr>
    </w:p>
    <w:p w14:paraId="77743862" w14:textId="77777777" w:rsidR="009E58CB" w:rsidRPr="00F171A3" w:rsidRDefault="009E58CB" w:rsidP="009E58CB">
      <w:pPr>
        <w:rPr>
          <w:rFonts w:cstheme="minorHAnsi"/>
        </w:rPr>
      </w:pPr>
    </w:p>
    <w:p w14:paraId="40A3F2AD" w14:textId="77777777" w:rsidR="009E58CB" w:rsidRPr="00F171A3" w:rsidRDefault="009E58CB" w:rsidP="009E58CB">
      <w:pPr>
        <w:rPr>
          <w:rFonts w:cstheme="minorHAnsi"/>
        </w:rPr>
      </w:pPr>
    </w:p>
    <w:p w14:paraId="6CA1A00D" w14:textId="77777777" w:rsidR="009E58CB" w:rsidRPr="00F171A3" w:rsidRDefault="009E58CB" w:rsidP="009E58CB">
      <w:pPr>
        <w:rPr>
          <w:rFonts w:cstheme="minorHAnsi"/>
        </w:rPr>
      </w:pPr>
    </w:p>
    <w:p w14:paraId="0F85FE53" w14:textId="77777777" w:rsidR="009E58CB" w:rsidRPr="00F171A3" w:rsidRDefault="009E58CB" w:rsidP="009E58CB">
      <w:pPr>
        <w:rPr>
          <w:rFonts w:cstheme="minorHAnsi"/>
        </w:rPr>
      </w:pPr>
    </w:p>
    <w:p w14:paraId="227A6356" w14:textId="77777777" w:rsidR="009E58CB" w:rsidRPr="00F171A3" w:rsidRDefault="009E58CB" w:rsidP="009E58CB">
      <w:pPr>
        <w:rPr>
          <w:rFonts w:cstheme="minorHAnsi"/>
        </w:rPr>
      </w:pPr>
    </w:p>
    <w:p w14:paraId="4C41A206" w14:textId="77777777" w:rsidR="009E58CB" w:rsidRPr="00F171A3" w:rsidRDefault="009E58CB" w:rsidP="009E58CB">
      <w:pPr>
        <w:rPr>
          <w:rFonts w:cstheme="minorHAnsi"/>
        </w:rPr>
      </w:pPr>
    </w:p>
    <w:p w14:paraId="0CF19A79" w14:textId="77777777" w:rsidR="009E58CB" w:rsidRPr="00F171A3" w:rsidRDefault="009E58CB" w:rsidP="002278A7">
      <w:pPr>
        <w:jc w:val="right"/>
        <w:rPr>
          <w:color w:val="BFBFBF" w:themeColor="background1" w:themeShade="BF"/>
        </w:rPr>
      </w:pPr>
      <w:r w:rsidRPr="00F171A3">
        <w:rPr>
          <w:color w:val="BFBFBF" w:themeColor="background1" w:themeShade="BF"/>
        </w:rPr>
        <w:t>Sursa: Prelucrare proprie</w:t>
      </w:r>
    </w:p>
    <w:p w14:paraId="2BBFC2B7" w14:textId="0C709F81" w:rsidR="009E58CB" w:rsidRPr="00F171A3" w:rsidRDefault="009D2E2C" w:rsidP="009D2E2C">
      <w:pPr>
        <w:pStyle w:val="Caption"/>
        <w:rPr>
          <w:rFonts w:cstheme="minorHAnsi"/>
        </w:rPr>
      </w:pPr>
      <w:bookmarkStart w:id="468" w:name="_Toc126943316"/>
      <w:r w:rsidRPr="00F171A3">
        <w:t xml:space="preserve">Tabel </w:t>
      </w:r>
      <w:r w:rsidRPr="00F171A3">
        <w:fldChar w:fldCharType="begin"/>
      </w:r>
      <w:r w:rsidRPr="00F171A3">
        <w:instrText xml:space="preserve"> SEQ Tabel \* ARABIC </w:instrText>
      </w:r>
      <w:r w:rsidRPr="00F171A3">
        <w:fldChar w:fldCharType="separate"/>
      </w:r>
      <w:r w:rsidR="005A6DD8">
        <w:rPr>
          <w:noProof/>
        </w:rPr>
        <w:t>59</w:t>
      </w:r>
      <w:r w:rsidRPr="00F171A3">
        <w:fldChar w:fldCharType="end"/>
      </w:r>
      <w:r w:rsidR="009E58CB" w:rsidRPr="00F171A3">
        <w:rPr>
          <w:rFonts w:cstheme="minorHAnsi"/>
        </w:rPr>
        <w:t xml:space="preserve"> </w:t>
      </w:r>
      <w:r w:rsidRPr="00F171A3">
        <w:rPr>
          <w:rFonts w:cstheme="minorHAnsi"/>
        </w:rPr>
        <w:t>C</w:t>
      </w:r>
      <w:r w:rsidR="009E58CB" w:rsidRPr="00F171A3">
        <w:rPr>
          <w:rFonts w:cstheme="minorHAnsi"/>
        </w:rPr>
        <w:t>orelarea domeniilor de analiză cu obiectivele strategice, obiectivele specifice și direcțiile de acțiune, SDLID 2021 - 2027</w:t>
      </w:r>
      <w:bookmarkEnd w:id="468"/>
    </w:p>
    <w:tbl>
      <w:tblPr>
        <w:tblStyle w:val="Civittatable"/>
        <w:tblW w:w="9493" w:type="dxa"/>
        <w:tblLook w:val="04A0" w:firstRow="1" w:lastRow="0" w:firstColumn="1" w:lastColumn="0" w:noHBand="0" w:noVBand="1"/>
      </w:tblPr>
      <w:tblGrid>
        <w:gridCol w:w="2337"/>
        <w:gridCol w:w="2337"/>
        <w:gridCol w:w="2338"/>
        <w:gridCol w:w="2481"/>
      </w:tblGrid>
      <w:tr w:rsidR="009E58CB" w:rsidRPr="00F171A3" w14:paraId="7C317770" w14:textId="77777777" w:rsidTr="003A1B68">
        <w:trPr>
          <w:cnfStyle w:val="100000000000" w:firstRow="1" w:lastRow="0" w:firstColumn="0" w:lastColumn="0" w:oddVBand="0" w:evenVBand="0" w:oddHBand="0" w:evenHBand="0" w:firstRowFirstColumn="0" w:firstRowLastColumn="0" w:lastRowFirstColumn="0" w:lastRowLastColumn="0"/>
        </w:trPr>
        <w:tc>
          <w:tcPr>
            <w:tcW w:w="2337" w:type="dxa"/>
            <w:vAlign w:val="center"/>
          </w:tcPr>
          <w:p w14:paraId="769DA724" w14:textId="77777777" w:rsidR="009E58CB" w:rsidRPr="00F171A3" w:rsidRDefault="009E58CB" w:rsidP="000D02D4">
            <w:pPr>
              <w:jc w:val="center"/>
              <w:rPr>
                <w:rFonts w:cstheme="minorHAnsi"/>
                <w:b/>
                <w:bCs/>
                <w:szCs w:val="20"/>
              </w:rPr>
            </w:pPr>
            <w:r w:rsidRPr="00F171A3">
              <w:rPr>
                <w:rFonts w:cstheme="minorHAnsi"/>
                <w:b/>
                <w:bCs/>
                <w:szCs w:val="20"/>
              </w:rPr>
              <w:t>DOMENIU DE ANALIZĂ</w:t>
            </w:r>
          </w:p>
        </w:tc>
        <w:tc>
          <w:tcPr>
            <w:tcW w:w="2337" w:type="dxa"/>
            <w:vAlign w:val="center"/>
          </w:tcPr>
          <w:p w14:paraId="192206EB" w14:textId="77777777" w:rsidR="009E58CB" w:rsidRPr="00F171A3" w:rsidRDefault="009E58CB" w:rsidP="000D02D4">
            <w:pPr>
              <w:jc w:val="center"/>
              <w:rPr>
                <w:rFonts w:cstheme="minorHAnsi"/>
                <w:b/>
                <w:bCs/>
                <w:szCs w:val="20"/>
              </w:rPr>
            </w:pPr>
            <w:r w:rsidRPr="00F171A3">
              <w:rPr>
                <w:rFonts w:cstheme="minorHAnsi"/>
                <w:b/>
                <w:bCs/>
                <w:szCs w:val="20"/>
              </w:rPr>
              <w:t>OBIECTIVE STRATEGICE</w:t>
            </w:r>
          </w:p>
        </w:tc>
        <w:tc>
          <w:tcPr>
            <w:tcW w:w="2338" w:type="dxa"/>
            <w:vAlign w:val="center"/>
          </w:tcPr>
          <w:p w14:paraId="49701C25" w14:textId="77777777" w:rsidR="009E58CB" w:rsidRPr="00F171A3" w:rsidRDefault="009E58CB" w:rsidP="000D02D4">
            <w:pPr>
              <w:jc w:val="center"/>
              <w:rPr>
                <w:rFonts w:cstheme="minorHAnsi"/>
                <w:b/>
                <w:bCs/>
                <w:szCs w:val="20"/>
              </w:rPr>
            </w:pPr>
            <w:r w:rsidRPr="00F171A3">
              <w:rPr>
                <w:rFonts w:cstheme="minorHAnsi"/>
                <w:b/>
                <w:bCs/>
                <w:szCs w:val="20"/>
              </w:rPr>
              <w:t>OBIECTIVE SPECIFICE</w:t>
            </w:r>
          </w:p>
        </w:tc>
        <w:tc>
          <w:tcPr>
            <w:tcW w:w="2481" w:type="dxa"/>
            <w:vAlign w:val="center"/>
          </w:tcPr>
          <w:p w14:paraId="6CF488D0" w14:textId="77777777" w:rsidR="009E58CB" w:rsidRPr="00F171A3" w:rsidRDefault="009E58CB" w:rsidP="000D02D4">
            <w:pPr>
              <w:jc w:val="center"/>
              <w:rPr>
                <w:rFonts w:cstheme="minorHAnsi"/>
                <w:b/>
                <w:bCs/>
                <w:szCs w:val="20"/>
              </w:rPr>
            </w:pPr>
            <w:r w:rsidRPr="00F171A3">
              <w:rPr>
                <w:rFonts w:cstheme="minorHAnsi"/>
                <w:b/>
                <w:bCs/>
                <w:szCs w:val="20"/>
              </w:rPr>
              <w:t>DIRECȚII DE ACȚIUNE</w:t>
            </w:r>
          </w:p>
        </w:tc>
      </w:tr>
      <w:tr w:rsidR="009E58CB" w:rsidRPr="00F171A3" w14:paraId="035C8266"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val="restart"/>
          </w:tcPr>
          <w:p w14:paraId="10C008D7" w14:textId="77777777" w:rsidR="009E58CB" w:rsidRPr="00F171A3" w:rsidRDefault="009E58CB" w:rsidP="00F576F5">
            <w:pPr>
              <w:rPr>
                <w:rFonts w:cstheme="minorHAnsi"/>
                <w:szCs w:val="20"/>
              </w:rPr>
            </w:pPr>
            <w:r w:rsidRPr="00F171A3">
              <w:rPr>
                <w:rFonts w:cstheme="minorHAnsi"/>
                <w:szCs w:val="20"/>
              </w:rPr>
              <w:t>Profil social și dezvoltare urbană</w:t>
            </w:r>
          </w:p>
        </w:tc>
        <w:tc>
          <w:tcPr>
            <w:tcW w:w="2337" w:type="dxa"/>
            <w:vMerge w:val="restart"/>
          </w:tcPr>
          <w:p w14:paraId="321FCB0A" w14:textId="77777777" w:rsidR="009E58CB" w:rsidRPr="00F171A3" w:rsidRDefault="009E58CB" w:rsidP="00F576F5">
            <w:pPr>
              <w:rPr>
                <w:rFonts w:cstheme="minorHAnsi"/>
                <w:szCs w:val="20"/>
              </w:rPr>
            </w:pPr>
            <w:r w:rsidRPr="00F171A3">
              <w:rPr>
                <w:rFonts w:cstheme="minorHAnsi"/>
                <w:b/>
                <w:bCs/>
                <w:szCs w:val="20"/>
              </w:rPr>
              <w:t>O1: Sector pentru cetățeni, cu un cadru urban atractiv și servicii publice moderne și performante, ce susțin dezvoltarea comunității locale și asigură o calitate ridicată a locuirii</w:t>
            </w:r>
          </w:p>
          <w:p w14:paraId="08BD1B8C" w14:textId="77777777" w:rsidR="009E58CB" w:rsidRPr="00F171A3" w:rsidRDefault="009E58CB" w:rsidP="00F576F5">
            <w:pPr>
              <w:rPr>
                <w:rFonts w:cstheme="minorHAnsi"/>
                <w:szCs w:val="20"/>
              </w:rPr>
            </w:pPr>
          </w:p>
        </w:tc>
        <w:tc>
          <w:tcPr>
            <w:tcW w:w="2338" w:type="dxa"/>
          </w:tcPr>
          <w:p w14:paraId="59D68653" w14:textId="77777777" w:rsidR="009E58CB" w:rsidRPr="00F171A3" w:rsidRDefault="009E58CB" w:rsidP="00F576F5">
            <w:pPr>
              <w:pStyle w:val="TOC3"/>
              <w:rPr>
                <w:rFonts w:cstheme="minorHAnsi"/>
                <w:szCs w:val="20"/>
              </w:rPr>
            </w:pPr>
            <w:r w:rsidRPr="00F171A3">
              <w:rPr>
                <w:rFonts w:cstheme="minorHAnsi"/>
                <w:szCs w:val="20"/>
              </w:rPr>
              <w:t>1.1 - Cadru urban revitalizat cu o calitate crescută a fondului construit de interes comunitar și cu o imagine urbană reprezentativă</w:t>
            </w:r>
          </w:p>
        </w:tc>
        <w:tc>
          <w:tcPr>
            <w:tcW w:w="2481" w:type="dxa"/>
          </w:tcPr>
          <w:p w14:paraId="15EC0E66" w14:textId="77777777" w:rsidR="009E58CB" w:rsidRPr="00F171A3" w:rsidRDefault="009E58CB" w:rsidP="00F576F5">
            <w:pPr>
              <w:spacing w:before="240" w:after="100"/>
              <w:rPr>
                <w:rFonts w:eastAsia="Times New Roman" w:cstheme="minorHAnsi"/>
                <w:szCs w:val="20"/>
              </w:rPr>
            </w:pPr>
            <w:r w:rsidRPr="00F171A3">
              <w:rPr>
                <w:rFonts w:eastAsia="Times New Roman" w:cstheme="minorHAnsi"/>
                <w:szCs w:val="20"/>
              </w:rPr>
              <w:t>D1.1.1. Creșterea calității fondului construit de interes public aparținând administrației publice locale</w:t>
            </w:r>
          </w:p>
          <w:p w14:paraId="1BF11648"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D1.1.2. Asigurarea unei imagini și dezvoltări urbane unitare, coerente</w:t>
            </w:r>
          </w:p>
          <w:p w14:paraId="0AF0769E"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D1.1.3. Modernizarea și completarea sistemului de dotări comunitare</w:t>
            </w:r>
          </w:p>
          <w:p w14:paraId="46033030" w14:textId="05C8BE30" w:rsidR="009E58CB" w:rsidRPr="00F171A3" w:rsidRDefault="000B3D25" w:rsidP="000B3D25">
            <w:pPr>
              <w:spacing w:before="240" w:after="0"/>
              <w:rPr>
                <w:rFonts w:eastAsia="Times New Roman" w:cstheme="minorHAnsi"/>
                <w:szCs w:val="20"/>
              </w:rPr>
            </w:pPr>
            <w:r w:rsidRPr="00F171A3">
              <w:rPr>
                <w:rFonts w:eastAsia="Times New Roman" w:cstheme="minorHAnsi"/>
                <w:szCs w:val="20"/>
              </w:rPr>
              <w:t>D1.1.4. Dezvoltarea serviciilor de gestionare a animalelor fără stăpân</w:t>
            </w:r>
          </w:p>
        </w:tc>
      </w:tr>
      <w:tr w:rsidR="009E58CB" w:rsidRPr="00F171A3" w14:paraId="709B10DA" w14:textId="77777777" w:rsidTr="003A1B68">
        <w:trPr>
          <w:cnfStyle w:val="000000010000" w:firstRow="0" w:lastRow="0" w:firstColumn="0" w:lastColumn="0" w:oddVBand="0" w:evenVBand="0" w:oddHBand="0" w:evenHBand="1" w:firstRowFirstColumn="0" w:firstRowLastColumn="0" w:lastRowFirstColumn="0" w:lastRowLastColumn="0"/>
        </w:trPr>
        <w:tc>
          <w:tcPr>
            <w:tcW w:w="2337" w:type="dxa"/>
            <w:vMerge/>
          </w:tcPr>
          <w:p w14:paraId="0F03382F" w14:textId="77777777" w:rsidR="009E58CB" w:rsidRPr="00F171A3" w:rsidRDefault="009E58CB" w:rsidP="00F576F5">
            <w:pPr>
              <w:rPr>
                <w:rFonts w:cstheme="minorHAnsi"/>
                <w:szCs w:val="20"/>
              </w:rPr>
            </w:pPr>
          </w:p>
        </w:tc>
        <w:tc>
          <w:tcPr>
            <w:tcW w:w="2337" w:type="dxa"/>
            <w:vMerge/>
          </w:tcPr>
          <w:p w14:paraId="098F0E3D" w14:textId="77777777" w:rsidR="009E58CB" w:rsidRPr="00F171A3" w:rsidRDefault="009E58CB" w:rsidP="00F576F5">
            <w:pPr>
              <w:rPr>
                <w:rFonts w:cstheme="minorHAnsi"/>
                <w:szCs w:val="20"/>
              </w:rPr>
            </w:pPr>
          </w:p>
        </w:tc>
        <w:tc>
          <w:tcPr>
            <w:tcW w:w="2338" w:type="dxa"/>
          </w:tcPr>
          <w:p w14:paraId="5021DF40" w14:textId="77777777" w:rsidR="009E58CB" w:rsidRPr="00F171A3" w:rsidRDefault="009E58CB" w:rsidP="00F576F5">
            <w:pPr>
              <w:rPr>
                <w:rFonts w:cstheme="minorHAnsi"/>
                <w:szCs w:val="20"/>
              </w:rPr>
            </w:pPr>
            <w:r w:rsidRPr="00F171A3">
              <w:rPr>
                <w:rFonts w:cstheme="minorHAnsi"/>
                <w:szCs w:val="20"/>
              </w:rPr>
              <w:t>1.2. - Cartiere de locuințe colective regenerate, cu o calitate ridicată a spațiului public, adaptate cerințelor și nevoilor locuitorilor</w:t>
            </w:r>
            <w:r w:rsidRPr="00F171A3">
              <w:rPr>
                <w:rFonts w:eastAsia="Times New Roman" w:cstheme="minorHAnsi"/>
                <w:szCs w:val="20"/>
              </w:rPr>
              <w:t> </w:t>
            </w:r>
          </w:p>
        </w:tc>
        <w:tc>
          <w:tcPr>
            <w:tcW w:w="2481" w:type="dxa"/>
          </w:tcPr>
          <w:p w14:paraId="3E7E70B8"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D1.2.1. Regenerarea urbană a cartierelor de locuințe colective</w:t>
            </w:r>
          </w:p>
          <w:p w14:paraId="13B70DDA" w14:textId="77777777" w:rsidR="009E58CB" w:rsidRPr="00F171A3" w:rsidRDefault="009E58CB" w:rsidP="00F576F5">
            <w:pPr>
              <w:spacing w:after="0"/>
              <w:rPr>
                <w:rFonts w:eastAsia="Times New Roman" w:cstheme="minorHAnsi"/>
                <w:szCs w:val="20"/>
              </w:rPr>
            </w:pPr>
          </w:p>
        </w:tc>
      </w:tr>
      <w:tr w:rsidR="009E58CB" w:rsidRPr="00F171A3" w14:paraId="5D390165"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tcPr>
          <w:p w14:paraId="07E25EEE" w14:textId="77777777" w:rsidR="009E58CB" w:rsidRPr="00F171A3" w:rsidRDefault="009E58CB" w:rsidP="00F576F5">
            <w:pPr>
              <w:rPr>
                <w:rFonts w:cstheme="minorHAnsi"/>
                <w:szCs w:val="20"/>
              </w:rPr>
            </w:pPr>
          </w:p>
        </w:tc>
        <w:tc>
          <w:tcPr>
            <w:tcW w:w="2337" w:type="dxa"/>
            <w:vMerge/>
          </w:tcPr>
          <w:p w14:paraId="12607AF3" w14:textId="77777777" w:rsidR="009E58CB" w:rsidRPr="00F171A3" w:rsidRDefault="009E58CB" w:rsidP="00F576F5">
            <w:pPr>
              <w:rPr>
                <w:rFonts w:cstheme="minorHAnsi"/>
                <w:szCs w:val="20"/>
              </w:rPr>
            </w:pPr>
          </w:p>
        </w:tc>
        <w:tc>
          <w:tcPr>
            <w:tcW w:w="2338" w:type="dxa"/>
          </w:tcPr>
          <w:p w14:paraId="1A596F62" w14:textId="77777777" w:rsidR="009E58CB" w:rsidRPr="00F171A3" w:rsidRDefault="009E58CB" w:rsidP="00F576F5">
            <w:pPr>
              <w:rPr>
                <w:rFonts w:cstheme="minorHAnsi"/>
                <w:szCs w:val="20"/>
              </w:rPr>
            </w:pPr>
            <w:r w:rsidRPr="00F171A3">
              <w:rPr>
                <w:rFonts w:cstheme="minorHAnsi"/>
                <w:bCs/>
                <w:caps/>
                <w:szCs w:val="20"/>
              </w:rPr>
              <w:t>1.3. -</w:t>
            </w:r>
            <w:r w:rsidRPr="00F171A3">
              <w:rPr>
                <w:rFonts w:cstheme="minorHAnsi"/>
                <w:szCs w:val="20"/>
              </w:rPr>
              <w:t xml:space="preserve"> Educarea noilor generații are loc în condiții de practici și infrastructură modernă a mediului educațional, favorabile dezvoltării echilibrate a tinerilor</w:t>
            </w:r>
          </w:p>
          <w:p w14:paraId="7412B16E" w14:textId="77777777" w:rsidR="009E58CB" w:rsidRPr="00F171A3" w:rsidRDefault="009E58CB" w:rsidP="00F576F5">
            <w:pPr>
              <w:rPr>
                <w:rFonts w:cstheme="minorHAnsi"/>
                <w:szCs w:val="20"/>
              </w:rPr>
            </w:pPr>
          </w:p>
        </w:tc>
        <w:tc>
          <w:tcPr>
            <w:tcW w:w="2481" w:type="dxa"/>
          </w:tcPr>
          <w:p w14:paraId="0C2DB6F6"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D1.3.1. Extinderea, modernizarea, digitalizarea și dotarea infrastructurii educaționale existente în Sectorul 2</w:t>
            </w:r>
          </w:p>
          <w:p w14:paraId="50D0A15B"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D1.3.2. Extinderea rețelei grădinițe și creșe astfel încât să acopere cererea existentă</w:t>
            </w:r>
          </w:p>
          <w:p w14:paraId="6ECAFD6B"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D1.3.3. Realizarea în parteneriat a proiectelor și programelor cu privire la reducerea fenomenului de absenteism și abandon școlar, dezvoltarea învățământului dual, precum și promovarea excelenței elevilor și a cadrelor didactice</w:t>
            </w:r>
          </w:p>
          <w:p w14:paraId="7C68D825" w14:textId="77777777" w:rsidR="009E58CB" w:rsidRPr="00F171A3" w:rsidRDefault="009E58CB" w:rsidP="00F576F5">
            <w:pPr>
              <w:spacing w:after="0"/>
              <w:rPr>
                <w:rFonts w:eastAsia="Times New Roman" w:cstheme="minorHAnsi"/>
                <w:szCs w:val="20"/>
              </w:rPr>
            </w:pPr>
          </w:p>
        </w:tc>
      </w:tr>
      <w:tr w:rsidR="009E58CB" w:rsidRPr="00F171A3" w14:paraId="5610F15F" w14:textId="77777777" w:rsidTr="003A1B68">
        <w:trPr>
          <w:cnfStyle w:val="000000010000" w:firstRow="0" w:lastRow="0" w:firstColumn="0" w:lastColumn="0" w:oddVBand="0" w:evenVBand="0" w:oddHBand="0" w:evenHBand="1" w:firstRowFirstColumn="0" w:firstRowLastColumn="0" w:lastRowFirstColumn="0" w:lastRowLastColumn="0"/>
        </w:trPr>
        <w:tc>
          <w:tcPr>
            <w:tcW w:w="2337" w:type="dxa"/>
            <w:vMerge/>
          </w:tcPr>
          <w:p w14:paraId="6EF76691" w14:textId="77777777" w:rsidR="009E58CB" w:rsidRPr="00F171A3" w:rsidRDefault="009E58CB" w:rsidP="00F576F5">
            <w:pPr>
              <w:rPr>
                <w:rFonts w:cstheme="minorHAnsi"/>
                <w:szCs w:val="20"/>
              </w:rPr>
            </w:pPr>
          </w:p>
        </w:tc>
        <w:tc>
          <w:tcPr>
            <w:tcW w:w="2337" w:type="dxa"/>
            <w:vMerge/>
          </w:tcPr>
          <w:p w14:paraId="2426B194" w14:textId="77777777" w:rsidR="009E58CB" w:rsidRPr="00F171A3" w:rsidRDefault="009E58CB" w:rsidP="00F576F5">
            <w:pPr>
              <w:rPr>
                <w:rFonts w:cstheme="minorHAnsi"/>
                <w:szCs w:val="20"/>
              </w:rPr>
            </w:pPr>
          </w:p>
        </w:tc>
        <w:tc>
          <w:tcPr>
            <w:tcW w:w="2338" w:type="dxa"/>
          </w:tcPr>
          <w:p w14:paraId="7B7739A1" w14:textId="77777777" w:rsidR="009E58CB" w:rsidRPr="00F171A3" w:rsidRDefault="009E58CB" w:rsidP="00F576F5">
            <w:pPr>
              <w:rPr>
                <w:rFonts w:cstheme="minorHAnsi"/>
                <w:szCs w:val="20"/>
              </w:rPr>
            </w:pPr>
            <w:r w:rsidRPr="00F171A3">
              <w:rPr>
                <w:rFonts w:cstheme="minorHAnsi"/>
                <w:szCs w:val="20"/>
              </w:rPr>
              <w:t>1.4. - Infrastructură sportivă și de petrecere a timpului liber dezvoltată, ce concentrează o ofertă atractivă de activități pentru comunitatea locală</w:t>
            </w:r>
          </w:p>
          <w:p w14:paraId="27EABE8A" w14:textId="77777777" w:rsidR="009E58CB" w:rsidRPr="00F171A3" w:rsidRDefault="009E58CB" w:rsidP="00F576F5">
            <w:pPr>
              <w:rPr>
                <w:rFonts w:cstheme="minorHAnsi"/>
                <w:szCs w:val="20"/>
              </w:rPr>
            </w:pPr>
          </w:p>
        </w:tc>
        <w:tc>
          <w:tcPr>
            <w:tcW w:w="2481" w:type="dxa"/>
          </w:tcPr>
          <w:p w14:paraId="5510B653" w14:textId="77777777" w:rsidR="00707E9D" w:rsidRPr="00F171A3" w:rsidRDefault="00707E9D" w:rsidP="00707E9D">
            <w:pPr>
              <w:spacing w:before="240" w:after="0"/>
              <w:rPr>
                <w:rFonts w:eastAsia="Times New Roman" w:cstheme="minorHAnsi"/>
                <w:szCs w:val="20"/>
              </w:rPr>
            </w:pPr>
            <w:r w:rsidRPr="00F171A3">
              <w:rPr>
                <w:rFonts w:eastAsia="Times New Roman" w:cstheme="minorHAnsi"/>
                <w:szCs w:val="20"/>
              </w:rPr>
              <w:t>D1.4.1. Diversificarea infrastructurii de sport și de petrecerea timpului liber din Sector 2, prin construcția și amenajarea de noi facilități sau reabilitarea, modernizarea și dotarea infrastructurii existente</w:t>
            </w:r>
          </w:p>
          <w:p w14:paraId="6B6CD600" w14:textId="7D2F5FF8" w:rsidR="009E58CB" w:rsidRPr="00F171A3" w:rsidRDefault="00707E9D" w:rsidP="00707E9D">
            <w:pPr>
              <w:spacing w:before="240" w:after="0"/>
              <w:rPr>
                <w:rFonts w:eastAsia="Times New Roman" w:cstheme="minorHAnsi"/>
                <w:szCs w:val="20"/>
              </w:rPr>
            </w:pPr>
            <w:r w:rsidRPr="00F171A3">
              <w:rPr>
                <w:rFonts w:eastAsia="Times New Roman" w:cstheme="minorHAnsi"/>
                <w:szCs w:val="20"/>
              </w:rPr>
              <w:t>D1.4.2. Sprijinirea și promovarea ofertei de activități de sport și de petrecerea timpului liber în Sectorul 2</w:t>
            </w:r>
          </w:p>
          <w:p w14:paraId="739C8115" w14:textId="6A923541" w:rsidR="002423E0" w:rsidRPr="00F171A3" w:rsidRDefault="00707E9D" w:rsidP="00707E9D">
            <w:pPr>
              <w:spacing w:before="240" w:after="0"/>
              <w:rPr>
                <w:rFonts w:eastAsia="Times New Roman" w:cstheme="minorHAnsi"/>
                <w:szCs w:val="20"/>
              </w:rPr>
            </w:pPr>
            <w:r w:rsidRPr="00F171A3">
              <w:rPr>
                <w:rFonts w:eastAsia="Times New Roman" w:cstheme="minorHAnsi"/>
                <w:szCs w:val="20"/>
              </w:rPr>
              <w:t xml:space="preserve">D1.4.3. </w:t>
            </w:r>
            <w:r w:rsidR="002423E0" w:rsidRPr="00F171A3">
              <w:rPr>
                <w:rFonts w:eastAsia="Times New Roman" w:cstheme="minorHAnsi"/>
                <w:szCs w:val="20"/>
              </w:rPr>
              <w:t>Consolidarea rețelei de spații publice identitare din Sectorul 2 și constituirea de axe verzi între acestea prin operațiuni de reabilitare, modernizare sau amenajare</w:t>
            </w:r>
          </w:p>
        </w:tc>
      </w:tr>
      <w:tr w:rsidR="009E58CB" w:rsidRPr="00F171A3" w14:paraId="0806E13A"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tcPr>
          <w:p w14:paraId="6308B555" w14:textId="77777777" w:rsidR="009E58CB" w:rsidRPr="00F171A3" w:rsidRDefault="009E58CB" w:rsidP="00F576F5">
            <w:pPr>
              <w:rPr>
                <w:rFonts w:cstheme="minorHAnsi"/>
                <w:szCs w:val="20"/>
              </w:rPr>
            </w:pPr>
          </w:p>
        </w:tc>
        <w:tc>
          <w:tcPr>
            <w:tcW w:w="2337" w:type="dxa"/>
            <w:vMerge/>
          </w:tcPr>
          <w:p w14:paraId="60216654" w14:textId="77777777" w:rsidR="009E58CB" w:rsidRPr="00F171A3" w:rsidRDefault="009E58CB" w:rsidP="00F576F5">
            <w:pPr>
              <w:rPr>
                <w:rFonts w:cstheme="minorHAnsi"/>
                <w:szCs w:val="20"/>
              </w:rPr>
            </w:pPr>
          </w:p>
        </w:tc>
        <w:tc>
          <w:tcPr>
            <w:tcW w:w="2338" w:type="dxa"/>
          </w:tcPr>
          <w:p w14:paraId="7C5F864B" w14:textId="77777777" w:rsidR="009E58CB" w:rsidRPr="00F171A3" w:rsidRDefault="009E58CB" w:rsidP="00F576F5">
            <w:pPr>
              <w:rPr>
                <w:rFonts w:cstheme="minorHAnsi"/>
                <w:szCs w:val="20"/>
              </w:rPr>
            </w:pPr>
            <w:r w:rsidRPr="00F171A3">
              <w:rPr>
                <w:rFonts w:cstheme="minorHAnsi"/>
                <w:szCs w:val="20"/>
              </w:rPr>
              <w:t>1.5. - Infrastructură culturală modernă și diversificată, ce susține și promovează identitatea comunitară și folosește cultura ca sprijin de dezvoltare socială și urbană</w:t>
            </w:r>
          </w:p>
        </w:tc>
        <w:tc>
          <w:tcPr>
            <w:tcW w:w="2481" w:type="dxa"/>
          </w:tcPr>
          <w:p w14:paraId="77AFED05"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D1.5.1. Reabilitarea, modernizarea și dotarea infrastructurii culturale</w:t>
            </w:r>
          </w:p>
          <w:p w14:paraId="3324C9BC"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D1.5.2. Descentralizarea ofertei culturale și încurajarea sporirii consumului cultural</w:t>
            </w:r>
          </w:p>
          <w:p w14:paraId="255C00F3"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D1.5.3. Sprijinirea actorilor din domeniile cultural-artistice din Sectorul 2</w:t>
            </w:r>
          </w:p>
          <w:p w14:paraId="559D20F9" w14:textId="77777777" w:rsidR="009E58CB" w:rsidRPr="00F171A3" w:rsidRDefault="009E58CB" w:rsidP="00F576F5">
            <w:pPr>
              <w:rPr>
                <w:rFonts w:cstheme="minorHAnsi"/>
                <w:szCs w:val="20"/>
              </w:rPr>
            </w:pPr>
          </w:p>
        </w:tc>
      </w:tr>
      <w:tr w:rsidR="009E58CB" w:rsidRPr="00F171A3" w14:paraId="5C76CC5B" w14:textId="77777777" w:rsidTr="003A1B68">
        <w:trPr>
          <w:cnfStyle w:val="000000010000" w:firstRow="0" w:lastRow="0" w:firstColumn="0" w:lastColumn="0" w:oddVBand="0" w:evenVBand="0" w:oddHBand="0" w:evenHBand="1" w:firstRowFirstColumn="0" w:firstRowLastColumn="0" w:lastRowFirstColumn="0" w:lastRowLastColumn="0"/>
        </w:trPr>
        <w:tc>
          <w:tcPr>
            <w:tcW w:w="2337" w:type="dxa"/>
            <w:vMerge/>
          </w:tcPr>
          <w:p w14:paraId="0AFB2FB6" w14:textId="77777777" w:rsidR="009E58CB" w:rsidRPr="00F171A3" w:rsidRDefault="009E58CB" w:rsidP="00F576F5">
            <w:pPr>
              <w:rPr>
                <w:rFonts w:cstheme="minorHAnsi"/>
                <w:szCs w:val="20"/>
              </w:rPr>
            </w:pPr>
          </w:p>
        </w:tc>
        <w:tc>
          <w:tcPr>
            <w:tcW w:w="2337" w:type="dxa"/>
            <w:vMerge/>
          </w:tcPr>
          <w:p w14:paraId="61621116" w14:textId="77777777" w:rsidR="009E58CB" w:rsidRPr="00F171A3" w:rsidRDefault="009E58CB" w:rsidP="00F576F5">
            <w:pPr>
              <w:rPr>
                <w:rFonts w:cstheme="minorHAnsi"/>
                <w:szCs w:val="20"/>
              </w:rPr>
            </w:pPr>
          </w:p>
        </w:tc>
        <w:tc>
          <w:tcPr>
            <w:tcW w:w="2338" w:type="dxa"/>
          </w:tcPr>
          <w:p w14:paraId="0A366D22" w14:textId="77777777" w:rsidR="009E58CB" w:rsidRPr="00F171A3" w:rsidRDefault="009E58CB" w:rsidP="00F576F5">
            <w:pPr>
              <w:rPr>
                <w:rFonts w:cstheme="minorHAnsi"/>
                <w:szCs w:val="20"/>
              </w:rPr>
            </w:pPr>
            <w:r w:rsidRPr="00F171A3">
              <w:rPr>
                <w:rFonts w:cstheme="minorHAnsi"/>
                <w:szCs w:val="20"/>
              </w:rPr>
              <w:t>1.6. - Infrastructură medicală și servicii moderne, oportunități și programe de consolidare a unui mod de viață sănătos, bazat pe informare și cunoaștere, activitate și sport</w:t>
            </w:r>
          </w:p>
          <w:p w14:paraId="650579A8" w14:textId="77777777" w:rsidR="009E58CB" w:rsidRPr="00F171A3" w:rsidRDefault="009E58CB" w:rsidP="00F576F5">
            <w:pPr>
              <w:rPr>
                <w:rFonts w:cstheme="minorHAnsi"/>
                <w:szCs w:val="20"/>
              </w:rPr>
            </w:pPr>
          </w:p>
        </w:tc>
        <w:tc>
          <w:tcPr>
            <w:tcW w:w="2481" w:type="dxa"/>
          </w:tcPr>
          <w:p w14:paraId="1E1906BD"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D1.6.1. Creșterea gradului de informare a populației cu privire la beneficiile adoptării unui stil de viață sănătos bazat pe alimentație și sport</w:t>
            </w:r>
          </w:p>
          <w:p w14:paraId="412438EE"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D1.6.2. Extinderea, modernizarea și dotarea infrastructurii medico-sanitare din sector precum și a infrastructurii pentru practicarea sportului și activităților în aer liber</w:t>
            </w:r>
          </w:p>
          <w:p w14:paraId="25A8EC1D" w14:textId="77777777" w:rsidR="009E58CB" w:rsidRPr="00F171A3" w:rsidRDefault="009E58CB" w:rsidP="00F576F5">
            <w:pPr>
              <w:rPr>
                <w:rFonts w:cstheme="minorHAnsi"/>
                <w:szCs w:val="20"/>
              </w:rPr>
            </w:pPr>
          </w:p>
        </w:tc>
      </w:tr>
      <w:tr w:rsidR="009E58CB" w:rsidRPr="00F171A3" w14:paraId="0F46B130"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tcPr>
          <w:p w14:paraId="548AA543" w14:textId="77777777" w:rsidR="009E58CB" w:rsidRPr="00F171A3" w:rsidRDefault="009E58CB" w:rsidP="00F576F5">
            <w:pPr>
              <w:rPr>
                <w:rFonts w:cstheme="minorHAnsi"/>
                <w:szCs w:val="20"/>
              </w:rPr>
            </w:pPr>
          </w:p>
        </w:tc>
        <w:tc>
          <w:tcPr>
            <w:tcW w:w="2337" w:type="dxa"/>
            <w:vMerge/>
          </w:tcPr>
          <w:p w14:paraId="65F2CBE3" w14:textId="77777777" w:rsidR="009E58CB" w:rsidRPr="00F171A3" w:rsidRDefault="009E58CB" w:rsidP="00F576F5">
            <w:pPr>
              <w:rPr>
                <w:rFonts w:cstheme="minorHAnsi"/>
                <w:szCs w:val="20"/>
              </w:rPr>
            </w:pPr>
          </w:p>
        </w:tc>
        <w:tc>
          <w:tcPr>
            <w:tcW w:w="2338" w:type="dxa"/>
          </w:tcPr>
          <w:p w14:paraId="2E84A76C" w14:textId="77777777" w:rsidR="009E58CB" w:rsidRPr="00F171A3" w:rsidRDefault="009E58CB" w:rsidP="00F576F5">
            <w:pPr>
              <w:rPr>
                <w:rFonts w:cstheme="minorHAnsi"/>
                <w:szCs w:val="20"/>
              </w:rPr>
            </w:pPr>
            <w:r w:rsidRPr="00F171A3">
              <w:rPr>
                <w:rFonts w:cstheme="minorHAnsi"/>
                <w:szCs w:val="20"/>
              </w:rPr>
              <w:t>1.7. - Diversificarea serviciilor sociale și îmbunătățirea calității acestora în vederea creșterii accesului populației, în special al persoanelor vulnerabile, la măsuri și soluții pentru îmbunătățirea condițiilor de trai și oportunități pentru o viață decentă</w:t>
            </w:r>
          </w:p>
          <w:p w14:paraId="3217998D" w14:textId="77777777" w:rsidR="009E58CB" w:rsidRPr="00F171A3" w:rsidRDefault="009E58CB" w:rsidP="00F576F5">
            <w:pPr>
              <w:rPr>
                <w:rFonts w:cstheme="minorHAnsi"/>
                <w:szCs w:val="20"/>
              </w:rPr>
            </w:pPr>
          </w:p>
        </w:tc>
        <w:tc>
          <w:tcPr>
            <w:tcW w:w="2481" w:type="dxa"/>
          </w:tcPr>
          <w:p w14:paraId="4E6A7C5B"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D1.7.1. Îmbunătățirea serviciilor sociale prin modernizarea și dotarea infrastructurii, creșterea acoperirii teritoriale, îmbunătățirea competențelor personalului</w:t>
            </w:r>
          </w:p>
          <w:p w14:paraId="6631897F"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D1.7.2. Asigurarea de servicii sociale destinate copilului și/sau familiei</w:t>
            </w:r>
          </w:p>
          <w:p w14:paraId="1574B032"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D1.7.3. Asigurarea de servicii sociale destinate persoanelor vârstnice şi cu dizabilităţi</w:t>
            </w:r>
          </w:p>
          <w:p w14:paraId="38982696"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D1.7.4. Asigurarea de servicii sociale destinate persoanelor din comunitățile marginalizate</w:t>
            </w:r>
          </w:p>
          <w:p w14:paraId="400D19B7"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D1.7.5. Asigurarea de servicii sociale pentru alte categorii vulnerabile</w:t>
            </w:r>
          </w:p>
          <w:p w14:paraId="51A0576C" w14:textId="77777777" w:rsidR="009E58CB" w:rsidRPr="00F171A3" w:rsidRDefault="009E58CB" w:rsidP="00F576F5">
            <w:pPr>
              <w:spacing w:after="0"/>
              <w:rPr>
                <w:rFonts w:eastAsia="Times New Roman" w:cstheme="minorHAnsi"/>
                <w:szCs w:val="20"/>
              </w:rPr>
            </w:pPr>
          </w:p>
        </w:tc>
      </w:tr>
      <w:tr w:rsidR="009E58CB" w:rsidRPr="00F171A3" w14:paraId="6E598126" w14:textId="77777777" w:rsidTr="003A1B68">
        <w:trPr>
          <w:cnfStyle w:val="000000010000" w:firstRow="0" w:lastRow="0" w:firstColumn="0" w:lastColumn="0" w:oddVBand="0" w:evenVBand="0" w:oddHBand="0" w:evenHBand="1" w:firstRowFirstColumn="0" w:firstRowLastColumn="0" w:lastRowFirstColumn="0" w:lastRowLastColumn="0"/>
        </w:trPr>
        <w:tc>
          <w:tcPr>
            <w:tcW w:w="2337" w:type="dxa"/>
            <w:vMerge w:val="restart"/>
          </w:tcPr>
          <w:p w14:paraId="260847F2" w14:textId="77777777" w:rsidR="009E58CB" w:rsidRPr="00F171A3" w:rsidRDefault="009E58CB" w:rsidP="00F576F5">
            <w:pPr>
              <w:rPr>
                <w:rFonts w:cstheme="minorHAnsi"/>
                <w:szCs w:val="20"/>
              </w:rPr>
            </w:pPr>
            <w:r w:rsidRPr="00F171A3">
              <w:rPr>
                <w:rFonts w:cstheme="minorHAnsi"/>
                <w:szCs w:val="20"/>
              </w:rPr>
              <w:t>Profil economic</w:t>
            </w:r>
          </w:p>
        </w:tc>
        <w:tc>
          <w:tcPr>
            <w:tcW w:w="2337" w:type="dxa"/>
            <w:vMerge w:val="restart"/>
          </w:tcPr>
          <w:p w14:paraId="26BCC9A9" w14:textId="77777777" w:rsidR="009E58CB" w:rsidRPr="00F171A3" w:rsidRDefault="009E58CB" w:rsidP="00F576F5">
            <w:pPr>
              <w:rPr>
                <w:rFonts w:cstheme="minorHAnsi"/>
                <w:b/>
                <w:bCs/>
                <w:szCs w:val="20"/>
              </w:rPr>
            </w:pPr>
            <w:r w:rsidRPr="00F171A3">
              <w:rPr>
                <w:rFonts w:cstheme="minorHAnsi"/>
                <w:b/>
                <w:bCs/>
                <w:szCs w:val="20"/>
              </w:rPr>
              <w:t>O2 – Sector competitiv și inovator, atractiv pentru forța de muncă, antreprenoriat și investiții în domenii cu valoare adăugată mare</w:t>
            </w:r>
          </w:p>
          <w:p w14:paraId="33911B75" w14:textId="77777777" w:rsidR="009E58CB" w:rsidRPr="00F171A3" w:rsidRDefault="009E58CB" w:rsidP="00F576F5">
            <w:pPr>
              <w:rPr>
                <w:rFonts w:cstheme="minorHAnsi"/>
                <w:b/>
                <w:bCs/>
                <w:szCs w:val="20"/>
              </w:rPr>
            </w:pPr>
          </w:p>
        </w:tc>
        <w:tc>
          <w:tcPr>
            <w:tcW w:w="2338" w:type="dxa"/>
          </w:tcPr>
          <w:p w14:paraId="60D720C8" w14:textId="77777777" w:rsidR="009E58CB" w:rsidRPr="00F171A3" w:rsidRDefault="009E58CB" w:rsidP="00F576F5">
            <w:pPr>
              <w:rPr>
                <w:rFonts w:cstheme="minorHAnsi"/>
                <w:szCs w:val="20"/>
              </w:rPr>
            </w:pPr>
            <w:r w:rsidRPr="00F171A3">
              <w:rPr>
                <w:rFonts w:cstheme="minorHAnsi"/>
                <w:szCs w:val="20"/>
              </w:rPr>
              <w:t>2.1. - Infrastructură de afaceri atractivă pentru investitori</w:t>
            </w:r>
          </w:p>
        </w:tc>
        <w:tc>
          <w:tcPr>
            <w:tcW w:w="2481" w:type="dxa"/>
          </w:tcPr>
          <w:p w14:paraId="38118B39"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D2.1.1. Dezvoltarea, prin intermediul Parteneriatului Public-Privat, a infrastructurii de afaceri moderne din Sectorul 2 (parcuri industriale, clădiri de birouri, etc.)</w:t>
            </w:r>
          </w:p>
          <w:p w14:paraId="1416D922"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D2.1.2. Creșterea capacității administrative prin simplificarea procedurilor privind oferirea serviciilor publice pentru mediul de afaceri</w:t>
            </w:r>
          </w:p>
          <w:p w14:paraId="4B94B582"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D2.1.3. Valorificarea rezervelor de teren și promovarea coerentă ca destinație atractivă pentru investiții </w:t>
            </w:r>
          </w:p>
          <w:p w14:paraId="230412FF" w14:textId="77777777" w:rsidR="009E58CB" w:rsidRPr="00F171A3" w:rsidRDefault="009E58CB" w:rsidP="00F576F5">
            <w:pPr>
              <w:spacing w:after="0"/>
              <w:rPr>
                <w:rFonts w:eastAsia="Times New Roman" w:cstheme="minorHAnsi"/>
                <w:szCs w:val="20"/>
              </w:rPr>
            </w:pPr>
          </w:p>
        </w:tc>
      </w:tr>
      <w:tr w:rsidR="009E58CB" w:rsidRPr="00F171A3" w14:paraId="089DF295"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tcPr>
          <w:p w14:paraId="7ABC77B3" w14:textId="77777777" w:rsidR="009E58CB" w:rsidRPr="00F171A3" w:rsidRDefault="009E58CB" w:rsidP="00F576F5">
            <w:pPr>
              <w:rPr>
                <w:rFonts w:cstheme="minorHAnsi"/>
                <w:szCs w:val="20"/>
              </w:rPr>
            </w:pPr>
          </w:p>
        </w:tc>
        <w:tc>
          <w:tcPr>
            <w:tcW w:w="2337" w:type="dxa"/>
            <w:vMerge/>
          </w:tcPr>
          <w:p w14:paraId="2B49199F" w14:textId="77777777" w:rsidR="009E58CB" w:rsidRPr="00F171A3" w:rsidRDefault="009E58CB" w:rsidP="00F576F5">
            <w:pPr>
              <w:rPr>
                <w:rFonts w:cstheme="minorHAnsi"/>
                <w:szCs w:val="20"/>
              </w:rPr>
            </w:pPr>
          </w:p>
        </w:tc>
        <w:tc>
          <w:tcPr>
            <w:tcW w:w="2338" w:type="dxa"/>
          </w:tcPr>
          <w:p w14:paraId="2E68AB86" w14:textId="77777777" w:rsidR="009E58CB" w:rsidRPr="00F171A3" w:rsidRDefault="009E58CB" w:rsidP="00F576F5">
            <w:pPr>
              <w:rPr>
                <w:rFonts w:cstheme="minorHAnsi"/>
                <w:szCs w:val="20"/>
              </w:rPr>
            </w:pPr>
            <w:r w:rsidRPr="00F171A3">
              <w:rPr>
                <w:rFonts w:cstheme="minorHAnsi"/>
                <w:szCs w:val="20"/>
              </w:rPr>
              <w:t xml:space="preserve">2.2. </w:t>
            </w:r>
            <w:r w:rsidRPr="00F171A3">
              <w:rPr>
                <w:rFonts w:cstheme="minorHAnsi"/>
                <w:bCs/>
                <w:caps/>
                <w:szCs w:val="20"/>
              </w:rPr>
              <w:t>-</w:t>
            </w:r>
            <w:r w:rsidRPr="00F171A3">
              <w:rPr>
                <w:rFonts w:cstheme="minorHAnsi"/>
                <w:szCs w:val="20"/>
              </w:rPr>
              <w:t xml:space="preserve"> Sectorul 2 implicat în dezvoltarea și valorificarea resursei umane</w:t>
            </w:r>
          </w:p>
          <w:p w14:paraId="00890774" w14:textId="77777777" w:rsidR="009E58CB" w:rsidRPr="00F171A3" w:rsidRDefault="009E58CB" w:rsidP="00F576F5">
            <w:pPr>
              <w:rPr>
                <w:rFonts w:cstheme="minorHAnsi"/>
                <w:szCs w:val="20"/>
              </w:rPr>
            </w:pPr>
          </w:p>
        </w:tc>
        <w:tc>
          <w:tcPr>
            <w:tcW w:w="2481" w:type="dxa"/>
          </w:tcPr>
          <w:p w14:paraId="23EFA377"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D.2.2.1. Calificarea, recalificarea și formarea continuă a forței de muncă din Sectorul 2, pentru o mai bună corelare a pieței forței de muncă, respectiv, pentru diminuarea fenomenului de șomaj</w:t>
            </w:r>
          </w:p>
          <w:p w14:paraId="3B5EDA28"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D2.2.2. Facilitarea atragerii, retenției și integrării forței de muncă din afara Sectorului 2 / din afara Capitalei</w:t>
            </w:r>
          </w:p>
          <w:p w14:paraId="40E41247" w14:textId="77777777" w:rsidR="009E58CB" w:rsidRPr="00F171A3" w:rsidRDefault="009E58CB" w:rsidP="00F576F5">
            <w:pPr>
              <w:spacing w:after="0"/>
              <w:rPr>
                <w:rFonts w:eastAsia="Times New Roman" w:cstheme="minorHAnsi"/>
                <w:szCs w:val="20"/>
              </w:rPr>
            </w:pPr>
          </w:p>
        </w:tc>
      </w:tr>
      <w:tr w:rsidR="009E58CB" w:rsidRPr="00F171A3" w14:paraId="5ED87BBD" w14:textId="77777777" w:rsidTr="003A1B68">
        <w:trPr>
          <w:cnfStyle w:val="000000010000" w:firstRow="0" w:lastRow="0" w:firstColumn="0" w:lastColumn="0" w:oddVBand="0" w:evenVBand="0" w:oddHBand="0" w:evenHBand="1" w:firstRowFirstColumn="0" w:firstRowLastColumn="0" w:lastRowFirstColumn="0" w:lastRowLastColumn="0"/>
        </w:trPr>
        <w:tc>
          <w:tcPr>
            <w:tcW w:w="2337" w:type="dxa"/>
            <w:vMerge/>
          </w:tcPr>
          <w:p w14:paraId="2E6FE7DE" w14:textId="77777777" w:rsidR="009E58CB" w:rsidRPr="00F171A3" w:rsidRDefault="009E58CB" w:rsidP="00F576F5">
            <w:pPr>
              <w:rPr>
                <w:rFonts w:cstheme="minorHAnsi"/>
                <w:szCs w:val="20"/>
              </w:rPr>
            </w:pPr>
          </w:p>
        </w:tc>
        <w:tc>
          <w:tcPr>
            <w:tcW w:w="2337" w:type="dxa"/>
            <w:vMerge/>
          </w:tcPr>
          <w:p w14:paraId="161EE9CC" w14:textId="77777777" w:rsidR="009E58CB" w:rsidRPr="00F171A3" w:rsidRDefault="009E58CB" w:rsidP="00F576F5">
            <w:pPr>
              <w:rPr>
                <w:rFonts w:cstheme="minorHAnsi"/>
                <w:szCs w:val="20"/>
              </w:rPr>
            </w:pPr>
          </w:p>
        </w:tc>
        <w:tc>
          <w:tcPr>
            <w:tcW w:w="2338" w:type="dxa"/>
          </w:tcPr>
          <w:p w14:paraId="3AFBE8CA" w14:textId="77777777" w:rsidR="009E58CB" w:rsidRPr="00F171A3" w:rsidRDefault="009E58CB" w:rsidP="00F576F5">
            <w:pPr>
              <w:rPr>
                <w:rFonts w:cstheme="minorHAnsi"/>
                <w:szCs w:val="20"/>
              </w:rPr>
            </w:pPr>
            <w:r w:rsidRPr="00F171A3">
              <w:rPr>
                <w:rFonts w:cstheme="minorHAnsi"/>
                <w:szCs w:val="20"/>
              </w:rPr>
              <w:t xml:space="preserve">2.3. </w:t>
            </w:r>
            <w:r w:rsidRPr="00F171A3">
              <w:rPr>
                <w:rFonts w:cstheme="minorHAnsi"/>
                <w:bCs/>
                <w:caps/>
                <w:szCs w:val="20"/>
              </w:rPr>
              <w:t>-</w:t>
            </w:r>
            <w:r w:rsidRPr="00F171A3">
              <w:rPr>
                <w:rFonts w:cstheme="minorHAnsi"/>
                <w:szCs w:val="20"/>
              </w:rPr>
              <w:t xml:space="preserve"> Sectorul 2 – implicat în dezvoltarea și creșterea economică bazată pe cercetare, inovare și parteneriate</w:t>
            </w:r>
          </w:p>
        </w:tc>
        <w:tc>
          <w:tcPr>
            <w:tcW w:w="2481" w:type="dxa"/>
          </w:tcPr>
          <w:p w14:paraId="6D1E5144"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D2.3.1. Creșterea potențialului de Cercetare-Dezvoltare-Inovare și transfer tehnologic, prin dezvoltarea serviciilor și a infrastructurii favorabile aferente, respectiv prin promovarea colaborării cu universitățile din sector și Capitală</w:t>
            </w:r>
          </w:p>
          <w:p w14:paraId="3F208D46" w14:textId="77777777" w:rsidR="009E58CB" w:rsidRPr="00F171A3" w:rsidRDefault="009E58CB" w:rsidP="00F576F5">
            <w:pPr>
              <w:rPr>
                <w:rFonts w:cstheme="minorHAnsi"/>
                <w:szCs w:val="20"/>
              </w:rPr>
            </w:pPr>
          </w:p>
        </w:tc>
      </w:tr>
      <w:tr w:rsidR="009E58CB" w:rsidRPr="00F171A3" w14:paraId="23D0F55D"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val="restart"/>
          </w:tcPr>
          <w:p w14:paraId="320FDC2D" w14:textId="77777777" w:rsidR="009E58CB" w:rsidRPr="00F171A3" w:rsidRDefault="009E58CB" w:rsidP="00F576F5">
            <w:pPr>
              <w:rPr>
                <w:rFonts w:cstheme="minorHAnsi"/>
                <w:szCs w:val="20"/>
              </w:rPr>
            </w:pPr>
            <w:r w:rsidRPr="00F171A3">
              <w:rPr>
                <w:rFonts w:cstheme="minorHAnsi"/>
                <w:szCs w:val="20"/>
              </w:rPr>
              <w:t>Mediu și mobilitate</w:t>
            </w:r>
          </w:p>
        </w:tc>
        <w:tc>
          <w:tcPr>
            <w:tcW w:w="2337" w:type="dxa"/>
            <w:vMerge w:val="restart"/>
          </w:tcPr>
          <w:p w14:paraId="257E6E03" w14:textId="77777777" w:rsidR="009E58CB" w:rsidRPr="00F171A3" w:rsidRDefault="009E58CB" w:rsidP="00F576F5">
            <w:pPr>
              <w:rPr>
                <w:rFonts w:cstheme="minorHAnsi"/>
                <w:b/>
                <w:bCs/>
                <w:szCs w:val="20"/>
              </w:rPr>
            </w:pPr>
            <w:r w:rsidRPr="00F171A3">
              <w:rPr>
                <w:rFonts w:cstheme="minorHAnsi"/>
                <w:b/>
                <w:bCs/>
                <w:szCs w:val="20"/>
              </w:rPr>
              <w:t>O3 -  Sector neutru din punct de vedere climatic, cu o infrastructură eficientă și modernă</w:t>
            </w:r>
          </w:p>
          <w:p w14:paraId="7E4F1D63" w14:textId="77777777" w:rsidR="009E58CB" w:rsidRPr="00F171A3" w:rsidRDefault="009E58CB" w:rsidP="00F576F5">
            <w:pPr>
              <w:rPr>
                <w:rFonts w:cstheme="minorHAnsi"/>
                <w:szCs w:val="20"/>
              </w:rPr>
            </w:pPr>
          </w:p>
        </w:tc>
        <w:tc>
          <w:tcPr>
            <w:tcW w:w="2338" w:type="dxa"/>
          </w:tcPr>
          <w:p w14:paraId="3C2756ED" w14:textId="77777777" w:rsidR="009E58CB" w:rsidRPr="00F171A3" w:rsidRDefault="009E58CB" w:rsidP="00F576F5">
            <w:pPr>
              <w:rPr>
                <w:rFonts w:cstheme="minorHAnsi"/>
                <w:szCs w:val="20"/>
              </w:rPr>
            </w:pPr>
            <w:r w:rsidRPr="00F171A3">
              <w:rPr>
                <w:rFonts w:cstheme="minorHAnsi"/>
                <w:szCs w:val="20"/>
              </w:rPr>
              <w:t xml:space="preserve">3.1. </w:t>
            </w:r>
            <w:r w:rsidRPr="00F171A3">
              <w:rPr>
                <w:rFonts w:cstheme="minorHAnsi"/>
                <w:bCs/>
                <w:caps/>
                <w:szCs w:val="20"/>
              </w:rPr>
              <w:t>-</w:t>
            </w:r>
            <w:r w:rsidRPr="00F171A3">
              <w:rPr>
                <w:rFonts w:cstheme="minorHAnsi"/>
                <w:szCs w:val="20"/>
              </w:rPr>
              <w:t xml:space="preserve"> Sector sigur, cu emisii scăzute de gaze cu efect de seră datorită sistemului energetic performant</w:t>
            </w:r>
          </w:p>
          <w:p w14:paraId="4C3E9498" w14:textId="77777777" w:rsidR="009E58CB" w:rsidRPr="00F171A3" w:rsidRDefault="009E58CB" w:rsidP="00F576F5">
            <w:pPr>
              <w:rPr>
                <w:rFonts w:cstheme="minorHAnsi"/>
                <w:szCs w:val="20"/>
              </w:rPr>
            </w:pPr>
          </w:p>
        </w:tc>
        <w:tc>
          <w:tcPr>
            <w:tcW w:w="2481" w:type="dxa"/>
          </w:tcPr>
          <w:p w14:paraId="17D76489"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D3.1.1.</w:t>
            </w:r>
            <w:r w:rsidRPr="00F171A3">
              <w:rPr>
                <w:rFonts w:eastAsia="Times New Roman" w:cstheme="minorHAnsi"/>
                <w:szCs w:val="20"/>
              </w:rPr>
              <w:tab/>
              <w:t xml:space="preserve"> Consolidarea și eficientizarea energetică a fondului construit</w:t>
            </w:r>
          </w:p>
          <w:p w14:paraId="3D38A307"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D3.1.2.</w:t>
            </w:r>
            <w:r w:rsidRPr="00F171A3">
              <w:rPr>
                <w:rFonts w:eastAsia="Times New Roman" w:cstheme="minorHAnsi"/>
                <w:szCs w:val="20"/>
              </w:rPr>
              <w:tab/>
              <w:t xml:space="preserve"> Modernizarea infrastructurii energetice</w:t>
            </w:r>
          </w:p>
          <w:p w14:paraId="40D3136B"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D3.1.3.</w:t>
            </w:r>
            <w:r w:rsidRPr="00F171A3">
              <w:rPr>
                <w:rFonts w:eastAsia="Times New Roman" w:cstheme="minorHAnsi"/>
                <w:szCs w:val="20"/>
              </w:rPr>
              <w:tab/>
              <w:t xml:space="preserve"> Promovarea utilizării energiei regenerabile</w:t>
            </w:r>
          </w:p>
          <w:p w14:paraId="7C9CBB78" w14:textId="77777777" w:rsidR="009E58CB" w:rsidRPr="00F171A3" w:rsidRDefault="009E58CB" w:rsidP="00F576F5">
            <w:pPr>
              <w:spacing w:after="0"/>
              <w:rPr>
                <w:rFonts w:eastAsia="Times New Roman" w:cstheme="minorHAnsi"/>
                <w:szCs w:val="20"/>
              </w:rPr>
            </w:pPr>
          </w:p>
        </w:tc>
      </w:tr>
      <w:tr w:rsidR="009E58CB" w:rsidRPr="00F171A3" w14:paraId="68E78A1A" w14:textId="77777777" w:rsidTr="003A1B68">
        <w:trPr>
          <w:cnfStyle w:val="000000010000" w:firstRow="0" w:lastRow="0" w:firstColumn="0" w:lastColumn="0" w:oddVBand="0" w:evenVBand="0" w:oddHBand="0" w:evenHBand="1" w:firstRowFirstColumn="0" w:firstRowLastColumn="0" w:lastRowFirstColumn="0" w:lastRowLastColumn="0"/>
        </w:trPr>
        <w:tc>
          <w:tcPr>
            <w:tcW w:w="2337" w:type="dxa"/>
            <w:vMerge/>
          </w:tcPr>
          <w:p w14:paraId="2261B38C" w14:textId="77777777" w:rsidR="009E58CB" w:rsidRPr="00F171A3" w:rsidRDefault="009E58CB" w:rsidP="00F576F5">
            <w:pPr>
              <w:rPr>
                <w:rFonts w:cstheme="minorHAnsi"/>
                <w:szCs w:val="20"/>
              </w:rPr>
            </w:pPr>
          </w:p>
        </w:tc>
        <w:tc>
          <w:tcPr>
            <w:tcW w:w="2337" w:type="dxa"/>
            <w:vMerge/>
          </w:tcPr>
          <w:p w14:paraId="1931D5A2" w14:textId="77777777" w:rsidR="009E58CB" w:rsidRPr="00F171A3" w:rsidRDefault="009E58CB" w:rsidP="00F576F5">
            <w:pPr>
              <w:rPr>
                <w:rFonts w:cstheme="minorHAnsi"/>
                <w:szCs w:val="20"/>
              </w:rPr>
            </w:pPr>
          </w:p>
        </w:tc>
        <w:tc>
          <w:tcPr>
            <w:tcW w:w="2338" w:type="dxa"/>
          </w:tcPr>
          <w:p w14:paraId="27DD5E2D" w14:textId="77777777" w:rsidR="009E58CB" w:rsidRPr="00F171A3" w:rsidRDefault="009E58CB" w:rsidP="00F576F5">
            <w:pPr>
              <w:rPr>
                <w:rFonts w:cstheme="minorHAnsi"/>
                <w:szCs w:val="20"/>
              </w:rPr>
            </w:pPr>
            <w:r w:rsidRPr="00F171A3">
              <w:rPr>
                <w:rFonts w:cstheme="minorHAnsi"/>
                <w:szCs w:val="20"/>
              </w:rPr>
              <w:t xml:space="preserve">3.2. </w:t>
            </w:r>
            <w:r w:rsidRPr="00F171A3">
              <w:rPr>
                <w:rFonts w:cstheme="minorHAnsi"/>
                <w:bCs/>
                <w:caps/>
                <w:szCs w:val="20"/>
              </w:rPr>
              <w:t>-</w:t>
            </w:r>
            <w:r w:rsidRPr="00F171A3">
              <w:rPr>
                <w:rFonts w:cstheme="minorHAnsi"/>
                <w:szCs w:val="20"/>
              </w:rPr>
              <w:t xml:space="preserve"> Rețea albastră-verde consolidată, extinsă și valorificată</w:t>
            </w:r>
          </w:p>
          <w:p w14:paraId="7272B245" w14:textId="77777777" w:rsidR="009E58CB" w:rsidRPr="00F171A3" w:rsidRDefault="009E58CB" w:rsidP="00F576F5">
            <w:pPr>
              <w:rPr>
                <w:rFonts w:cstheme="minorHAnsi"/>
                <w:szCs w:val="20"/>
              </w:rPr>
            </w:pPr>
          </w:p>
        </w:tc>
        <w:tc>
          <w:tcPr>
            <w:tcW w:w="2481" w:type="dxa"/>
          </w:tcPr>
          <w:p w14:paraId="352DFDAC"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D3.2.1. Ameliorarea calității apei și a peisajului în zona salbei de lacuri</w:t>
            </w:r>
          </w:p>
          <w:p w14:paraId="40698C05"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D3.1.2.</w:t>
            </w:r>
            <w:r w:rsidRPr="00F171A3">
              <w:rPr>
                <w:rFonts w:eastAsia="Times New Roman" w:cstheme="minorHAnsi"/>
                <w:szCs w:val="20"/>
              </w:rPr>
              <w:tab/>
              <w:t xml:space="preserve"> Reabilitarea spațiilor verzi majore din sector și constituirea de axe verzi secundare între acestea</w:t>
            </w:r>
          </w:p>
          <w:p w14:paraId="2C2D822C" w14:textId="77777777" w:rsidR="009E58CB" w:rsidRPr="00F171A3" w:rsidRDefault="009E58CB" w:rsidP="00F576F5">
            <w:pPr>
              <w:rPr>
                <w:rFonts w:cstheme="minorHAnsi"/>
                <w:szCs w:val="20"/>
              </w:rPr>
            </w:pPr>
          </w:p>
        </w:tc>
      </w:tr>
      <w:tr w:rsidR="009E58CB" w:rsidRPr="00F171A3" w14:paraId="35E976C8"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tcPr>
          <w:p w14:paraId="15AA0986" w14:textId="77777777" w:rsidR="009E58CB" w:rsidRPr="00F171A3" w:rsidRDefault="009E58CB" w:rsidP="00F576F5">
            <w:pPr>
              <w:rPr>
                <w:rFonts w:cstheme="minorHAnsi"/>
                <w:szCs w:val="20"/>
              </w:rPr>
            </w:pPr>
          </w:p>
        </w:tc>
        <w:tc>
          <w:tcPr>
            <w:tcW w:w="2337" w:type="dxa"/>
            <w:vMerge/>
          </w:tcPr>
          <w:p w14:paraId="373C19BF" w14:textId="77777777" w:rsidR="009E58CB" w:rsidRPr="00F171A3" w:rsidRDefault="009E58CB" w:rsidP="00F576F5">
            <w:pPr>
              <w:rPr>
                <w:rFonts w:cstheme="minorHAnsi"/>
                <w:szCs w:val="20"/>
              </w:rPr>
            </w:pPr>
          </w:p>
        </w:tc>
        <w:tc>
          <w:tcPr>
            <w:tcW w:w="2338" w:type="dxa"/>
          </w:tcPr>
          <w:p w14:paraId="17B4737B" w14:textId="77777777" w:rsidR="009E58CB" w:rsidRPr="00F171A3" w:rsidRDefault="009E58CB" w:rsidP="00F576F5">
            <w:pPr>
              <w:rPr>
                <w:rFonts w:cstheme="minorHAnsi"/>
                <w:szCs w:val="20"/>
              </w:rPr>
            </w:pPr>
            <w:r w:rsidRPr="00F171A3">
              <w:rPr>
                <w:rFonts w:cstheme="minorHAnsi"/>
                <w:szCs w:val="20"/>
              </w:rPr>
              <w:t xml:space="preserve">3.3. </w:t>
            </w:r>
            <w:r w:rsidRPr="00F171A3">
              <w:rPr>
                <w:rFonts w:cstheme="minorHAnsi"/>
                <w:bCs/>
                <w:caps/>
                <w:szCs w:val="20"/>
              </w:rPr>
              <w:t>-</w:t>
            </w:r>
            <w:r w:rsidRPr="00F171A3">
              <w:rPr>
                <w:rFonts w:cstheme="minorHAnsi"/>
                <w:szCs w:val="20"/>
              </w:rPr>
              <w:t xml:space="preserve"> Infrastructură de mediu modernă</w:t>
            </w:r>
          </w:p>
        </w:tc>
        <w:tc>
          <w:tcPr>
            <w:tcW w:w="2481" w:type="dxa"/>
          </w:tcPr>
          <w:p w14:paraId="00BEE6EA"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D3.3.1. Modernizarea infrastructurii de alimentare cu apă și canalizare</w:t>
            </w:r>
          </w:p>
          <w:p w14:paraId="36AD5F72" w14:textId="77777777" w:rsidR="009E58CB" w:rsidRPr="00F171A3" w:rsidRDefault="009E58CB" w:rsidP="00F576F5">
            <w:pPr>
              <w:spacing w:before="240" w:after="0"/>
              <w:rPr>
                <w:rFonts w:eastAsia="Times New Roman" w:cstheme="minorHAnsi"/>
                <w:szCs w:val="20"/>
              </w:rPr>
            </w:pPr>
            <w:r w:rsidRPr="00F171A3">
              <w:rPr>
                <w:rFonts w:eastAsia="Times New Roman" w:cstheme="minorHAnsi"/>
                <w:szCs w:val="20"/>
              </w:rPr>
              <w:t>D3.3.2. Dezvoltarea economiei circulare printr-un sistem eficient și inteligent de gestiune a deșeurilor menajere la nivelul Sectorului.</w:t>
            </w:r>
          </w:p>
          <w:p w14:paraId="34337A59" w14:textId="77777777" w:rsidR="009E58CB" w:rsidRPr="00F171A3" w:rsidRDefault="009E58CB" w:rsidP="00F576F5">
            <w:pPr>
              <w:spacing w:after="0"/>
              <w:rPr>
                <w:rFonts w:eastAsia="Times New Roman" w:cstheme="minorHAnsi"/>
                <w:szCs w:val="20"/>
              </w:rPr>
            </w:pPr>
          </w:p>
        </w:tc>
      </w:tr>
      <w:tr w:rsidR="009E58CB" w:rsidRPr="00F171A3" w14:paraId="7B886490" w14:textId="77777777" w:rsidTr="003A1B68">
        <w:trPr>
          <w:cnfStyle w:val="000000010000" w:firstRow="0" w:lastRow="0" w:firstColumn="0" w:lastColumn="0" w:oddVBand="0" w:evenVBand="0" w:oddHBand="0" w:evenHBand="1" w:firstRowFirstColumn="0" w:firstRowLastColumn="0" w:lastRowFirstColumn="0" w:lastRowLastColumn="0"/>
        </w:trPr>
        <w:tc>
          <w:tcPr>
            <w:tcW w:w="2337" w:type="dxa"/>
            <w:vMerge/>
          </w:tcPr>
          <w:p w14:paraId="587EB750" w14:textId="77777777" w:rsidR="009E58CB" w:rsidRPr="00F171A3" w:rsidRDefault="009E58CB" w:rsidP="00F576F5">
            <w:pPr>
              <w:rPr>
                <w:rFonts w:cstheme="minorHAnsi"/>
                <w:szCs w:val="20"/>
              </w:rPr>
            </w:pPr>
          </w:p>
        </w:tc>
        <w:tc>
          <w:tcPr>
            <w:tcW w:w="2337" w:type="dxa"/>
            <w:vMerge/>
          </w:tcPr>
          <w:p w14:paraId="104B5E0B" w14:textId="77777777" w:rsidR="009E58CB" w:rsidRPr="00F171A3" w:rsidRDefault="009E58CB" w:rsidP="00F576F5">
            <w:pPr>
              <w:rPr>
                <w:rFonts w:cstheme="minorHAnsi"/>
                <w:szCs w:val="20"/>
              </w:rPr>
            </w:pPr>
          </w:p>
        </w:tc>
        <w:tc>
          <w:tcPr>
            <w:tcW w:w="2338" w:type="dxa"/>
          </w:tcPr>
          <w:p w14:paraId="366387A4" w14:textId="77777777" w:rsidR="009E58CB" w:rsidRPr="00F171A3" w:rsidRDefault="009E58CB" w:rsidP="00F576F5">
            <w:pPr>
              <w:rPr>
                <w:rFonts w:cstheme="minorHAnsi"/>
                <w:szCs w:val="20"/>
              </w:rPr>
            </w:pPr>
            <w:r w:rsidRPr="00F171A3">
              <w:rPr>
                <w:rFonts w:cstheme="minorHAnsi"/>
                <w:szCs w:val="20"/>
              </w:rPr>
              <w:t xml:space="preserve">3.4 </w:t>
            </w:r>
            <w:r w:rsidRPr="00F171A3">
              <w:rPr>
                <w:rFonts w:cstheme="minorHAnsi"/>
                <w:bCs/>
                <w:caps/>
                <w:szCs w:val="20"/>
              </w:rPr>
              <w:t>-</w:t>
            </w:r>
            <w:r w:rsidRPr="00F171A3">
              <w:rPr>
                <w:rFonts w:cstheme="minorHAnsi"/>
                <w:szCs w:val="20"/>
              </w:rPr>
              <w:t xml:space="preserve"> Sistem de transport orientat în jurul deplasărilor nemotorizate și a transportului public</w:t>
            </w:r>
          </w:p>
          <w:p w14:paraId="23576889" w14:textId="77777777" w:rsidR="009E58CB" w:rsidRPr="00F171A3" w:rsidRDefault="009E58CB" w:rsidP="00F576F5">
            <w:pPr>
              <w:rPr>
                <w:rFonts w:cstheme="minorHAnsi"/>
                <w:szCs w:val="20"/>
              </w:rPr>
            </w:pPr>
          </w:p>
        </w:tc>
        <w:tc>
          <w:tcPr>
            <w:tcW w:w="2481" w:type="dxa"/>
          </w:tcPr>
          <w:p w14:paraId="59BF795C" w14:textId="77777777" w:rsidR="009F5012" w:rsidRPr="00F171A3" w:rsidRDefault="009F5012" w:rsidP="009F5012">
            <w:pPr>
              <w:spacing w:before="240" w:after="0"/>
              <w:rPr>
                <w:rFonts w:eastAsia="Times New Roman" w:cstheme="minorHAnsi"/>
                <w:szCs w:val="20"/>
              </w:rPr>
            </w:pPr>
            <w:r w:rsidRPr="00F171A3">
              <w:rPr>
                <w:rFonts w:eastAsia="Times New Roman" w:cstheme="minorHAnsi"/>
                <w:szCs w:val="20"/>
              </w:rPr>
              <w:t>D3.4.1 Dezvoltarea infrastructurii și serviciilor pentru mersul cu bicicleta</w:t>
            </w:r>
          </w:p>
          <w:p w14:paraId="219F9FE8" w14:textId="77777777" w:rsidR="009F5012" w:rsidRPr="00F171A3" w:rsidRDefault="009F5012" w:rsidP="009F5012">
            <w:pPr>
              <w:spacing w:before="240" w:after="0"/>
              <w:rPr>
                <w:rFonts w:eastAsia="Times New Roman" w:cstheme="minorHAnsi"/>
                <w:szCs w:val="20"/>
              </w:rPr>
            </w:pPr>
            <w:r w:rsidRPr="00F171A3">
              <w:rPr>
                <w:rFonts w:eastAsia="Times New Roman" w:cstheme="minorHAnsi"/>
                <w:szCs w:val="20"/>
              </w:rPr>
              <w:t>D3.4.2 Extinderea și revitalizarea zonelor și circulațiilor pietonale</w:t>
            </w:r>
          </w:p>
          <w:p w14:paraId="03C65DD4" w14:textId="77777777" w:rsidR="009F5012" w:rsidRPr="00F171A3" w:rsidRDefault="009F5012" w:rsidP="009F5012">
            <w:pPr>
              <w:spacing w:before="240" w:after="0"/>
              <w:rPr>
                <w:rFonts w:eastAsia="Times New Roman" w:cstheme="minorHAnsi"/>
                <w:szCs w:val="20"/>
              </w:rPr>
            </w:pPr>
            <w:r w:rsidRPr="00F171A3">
              <w:rPr>
                <w:rFonts w:eastAsia="Times New Roman" w:cstheme="minorHAnsi"/>
                <w:szCs w:val="20"/>
              </w:rPr>
              <w:t>D3.4.3 Optimizarea modului de gestiune a parcării </w:t>
            </w:r>
          </w:p>
          <w:p w14:paraId="6C0A399F" w14:textId="77777777" w:rsidR="009F5012" w:rsidRPr="00F171A3" w:rsidRDefault="009F5012" w:rsidP="009F5012">
            <w:pPr>
              <w:spacing w:before="240" w:after="0"/>
              <w:rPr>
                <w:rFonts w:eastAsia="Times New Roman" w:cstheme="minorHAnsi"/>
                <w:szCs w:val="20"/>
              </w:rPr>
            </w:pPr>
            <w:r w:rsidRPr="00F171A3">
              <w:rPr>
                <w:rFonts w:eastAsia="Times New Roman" w:cstheme="minorHAnsi"/>
                <w:szCs w:val="20"/>
              </w:rPr>
              <w:t>D3.4.4 Creșterea conectivității în zonele de dezvoltare și restructurare urbană</w:t>
            </w:r>
          </w:p>
          <w:p w14:paraId="5F517E06" w14:textId="77777777" w:rsidR="009F5012" w:rsidRPr="00F171A3" w:rsidRDefault="009F5012" w:rsidP="009F5012">
            <w:pPr>
              <w:spacing w:before="240" w:after="0"/>
              <w:rPr>
                <w:rFonts w:eastAsia="Times New Roman" w:cstheme="minorHAnsi"/>
                <w:szCs w:val="20"/>
              </w:rPr>
            </w:pPr>
            <w:r w:rsidRPr="00F171A3">
              <w:rPr>
                <w:rFonts w:eastAsia="Times New Roman" w:cstheme="minorHAnsi"/>
                <w:szCs w:val="20"/>
              </w:rPr>
              <w:t>D3.4.5 Dezvoltarea facilităților pentru autovehicule nepoluante</w:t>
            </w:r>
          </w:p>
          <w:p w14:paraId="545C905C" w14:textId="77777777" w:rsidR="009F5012" w:rsidRPr="00F171A3" w:rsidRDefault="009F5012" w:rsidP="009F5012">
            <w:pPr>
              <w:spacing w:before="240" w:after="0"/>
              <w:rPr>
                <w:rFonts w:eastAsia="Times New Roman" w:cstheme="minorHAnsi"/>
                <w:szCs w:val="20"/>
              </w:rPr>
            </w:pPr>
            <w:r w:rsidRPr="00F171A3">
              <w:rPr>
                <w:rFonts w:eastAsia="Times New Roman" w:cstheme="minorHAnsi"/>
                <w:szCs w:val="20"/>
              </w:rPr>
              <w:t>D3.4.6 Creșterea atractivității și performanței sistemului de transport public (PMB)</w:t>
            </w:r>
          </w:p>
          <w:p w14:paraId="7E1AEDA3" w14:textId="140C2F1A" w:rsidR="009F5012" w:rsidRPr="00F171A3" w:rsidRDefault="009F5012" w:rsidP="009F5012">
            <w:pPr>
              <w:spacing w:before="240" w:after="0"/>
              <w:rPr>
                <w:rFonts w:eastAsia="Times New Roman" w:cstheme="minorHAnsi"/>
                <w:szCs w:val="20"/>
              </w:rPr>
            </w:pPr>
            <w:r w:rsidRPr="00F171A3">
              <w:rPr>
                <w:rFonts w:eastAsia="Times New Roman" w:cstheme="minorHAnsi"/>
                <w:szCs w:val="20"/>
              </w:rPr>
              <w:t xml:space="preserve">D34.7 Dezvoltarea </w:t>
            </w:r>
            <w:r w:rsidR="00482049" w:rsidRPr="00F171A3">
              <w:rPr>
                <w:rFonts w:eastAsia="Times New Roman" w:cstheme="minorHAnsi"/>
                <w:szCs w:val="20"/>
              </w:rPr>
              <w:t>transportului</w:t>
            </w:r>
            <w:r w:rsidRPr="00F171A3">
              <w:rPr>
                <w:rFonts w:eastAsia="Times New Roman" w:cstheme="minorHAnsi"/>
                <w:szCs w:val="20"/>
              </w:rPr>
              <w:t xml:space="preserve"> inter și multimodal (PMB)</w:t>
            </w:r>
          </w:p>
          <w:p w14:paraId="6A1B8CB5" w14:textId="327EA041" w:rsidR="009F5012" w:rsidRPr="00F171A3" w:rsidRDefault="009F5012" w:rsidP="009F5012">
            <w:pPr>
              <w:spacing w:before="240" w:after="0"/>
              <w:rPr>
                <w:rFonts w:eastAsia="Times New Roman" w:cstheme="minorHAnsi"/>
                <w:szCs w:val="20"/>
              </w:rPr>
            </w:pPr>
            <w:r w:rsidRPr="00F171A3">
              <w:rPr>
                <w:rFonts w:eastAsia="Times New Roman" w:cstheme="minorHAnsi"/>
                <w:szCs w:val="20"/>
              </w:rPr>
              <w:t xml:space="preserve">D3.4.8 Promovarea </w:t>
            </w:r>
            <w:r w:rsidR="00482049" w:rsidRPr="00F171A3">
              <w:rPr>
                <w:rFonts w:eastAsia="Times New Roman" w:cstheme="minorHAnsi"/>
                <w:szCs w:val="20"/>
              </w:rPr>
              <w:t>mobilității</w:t>
            </w:r>
            <w:r w:rsidRPr="00F171A3">
              <w:rPr>
                <w:rFonts w:eastAsia="Times New Roman" w:cstheme="minorHAnsi"/>
                <w:szCs w:val="20"/>
              </w:rPr>
              <w:t xml:space="preserve"> urbane durabile și a măsurilor de siguranță în trafic</w:t>
            </w:r>
          </w:p>
          <w:p w14:paraId="51992760" w14:textId="031F1043" w:rsidR="009E58CB" w:rsidRPr="00F171A3" w:rsidRDefault="009E58CB" w:rsidP="009F5012">
            <w:pPr>
              <w:spacing w:before="240" w:after="0"/>
              <w:rPr>
                <w:rFonts w:eastAsia="Times New Roman" w:cstheme="minorHAnsi"/>
                <w:szCs w:val="20"/>
              </w:rPr>
            </w:pPr>
          </w:p>
        </w:tc>
      </w:tr>
      <w:tr w:rsidR="00083BCA" w:rsidRPr="00F171A3" w14:paraId="7C95FFA7"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val="restart"/>
          </w:tcPr>
          <w:p w14:paraId="3A86EE96" w14:textId="77777777" w:rsidR="00083BCA" w:rsidRPr="00F171A3" w:rsidRDefault="00083BCA" w:rsidP="00F576F5">
            <w:pPr>
              <w:rPr>
                <w:rFonts w:cstheme="minorHAnsi"/>
                <w:szCs w:val="20"/>
              </w:rPr>
            </w:pPr>
            <w:r w:rsidRPr="00F171A3">
              <w:rPr>
                <w:rFonts w:cstheme="minorHAnsi"/>
                <w:szCs w:val="20"/>
              </w:rPr>
              <w:t>Capacitate administrativă</w:t>
            </w:r>
          </w:p>
        </w:tc>
        <w:tc>
          <w:tcPr>
            <w:tcW w:w="2337" w:type="dxa"/>
            <w:vMerge w:val="restart"/>
          </w:tcPr>
          <w:p w14:paraId="657BB726" w14:textId="77777777" w:rsidR="00083BCA" w:rsidRPr="00F171A3" w:rsidRDefault="00083BCA" w:rsidP="00F576F5">
            <w:pPr>
              <w:rPr>
                <w:rFonts w:cstheme="minorHAnsi"/>
                <w:b/>
                <w:bCs/>
                <w:szCs w:val="20"/>
              </w:rPr>
            </w:pPr>
            <w:r w:rsidRPr="00F171A3">
              <w:rPr>
                <w:rFonts w:cstheme="minorHAnsi"/>
                <w:b/>
                <w:bCs/>
                <w:szCs w:val="20"/>
              </w:rPr>
              <w:t>O4 -  Administrație publică locală performantă ce sprijină dezvoltarea durabilă prin deschidere și transparență, încurajarea participării tuturor cetățenilor în procesele de decizie și folosirea noilor tehnologii</w:t>
            </w:r>
          </w:p>
          <w:p w14:paraId="562E11A8" w14:textId="77777777" w:rsidR="00083BCA" w:rsidRPr="00F171A3" w:rsidRDefault="00083BCA" w:rsidP="00F576F5">
            <w:pPr>
              <w:rPr>
                <w:rFonts w:cstheme="minorHAnsi"/>
                <w:b/>
                <w:bCs/>
                <w:szCs w:val="20"/>
              </w:rPr>
            </w:pPr>
          </w:p>
        </w:tc>
        <w:tc>
          <w:tcPr>
            <w:tcW w:w="2338" w:type="dxa"/>
          </w:tcPr>
          <w:p w14:paraId="4068469A" w14:textId="10CEE956" w:rsidR="00083BCA" w:rsidRPr="00F171A3" w:rsidRDefault="00083BCA" w:rsidP="00F576F5">
            <w:pPr>
              <w:rPr>
                <w:rFonts w:cstheme="minorHAnsi"/>
                <w:szCs w:val="20"/>
              </w:rPr>
            </w:pPr>
            <w:r w:rsidRPr="00F171A3">
              <w:rPr>
                <w:rFonts w:cstheme="minorHAnsi"/>
                <w:szCs w:val="20"/>
              </w:rPr>
              <w:t xml:space="preserve">4.1. </w:t>
            </w:r>
            <w:r w:rsidRPr="00F171A3">
              <w:rPr>
                <w:rFonts w:cstheme="minorHAnsi"/>
                <w:bCs/>
                <w:caps/>
                <w:szCs w:val="20"/>
              </w:rPr>
              <w:t>-</w:t>
            </w:r>
            <w:r w:rsidRPr="00F171A3">
              <w:rPr>
                <w:rFonts w:cstheme="minorHAnsi"/>
                <w:szCs w:val="20"/>
              </w:rPr>
              <w:t xml:space="preserve"> Creșterea capacității administrative pentru a îmbunătăți și eficientiza mediul intern de lucru și a susține potențialul de dezvoltare al </w:t>
            </w:r>
            <w:r w:rsidR="00F53B80" w:rsidRPr="00F171A3">
              <w:rPr>
                <w:rFonts w:cstheme="minorHAnsi"/>
                <w:szCs w:val="20"/>
              </w:rPr>
              <w:t>S</w:t>
            </w:r>
            <w:r w:rsidRPr="00F171A3">
              <w:rPr>
                <w:rFonts w:cstheme="minorHAnsi"/>
                <w:szCs w:val="20"/>
              </w:rPr>
              <w:t>ector</w:t>
            </w:r>
            <w:r w:rsidR="00F171A3" w:rsidRPr="00F171A3">
              <w:rPr>
                <w:rFonts w:cstheme="minorHAnsi"/>
                <w:szCs w:val="20"/>
              </w:rPr>
              <w:t>ului</w:t>
            </w:r>
            <w:r w:rsidRPr="00F171A3">
              <w:rPr>
                <w:rFonts w:cstheme="minorHAnsi"/>
                <w:szCs w:val="20"/>
              </w:rPr>
              <w:t xml:space="preserve"> 2</w:t>
            </w:r>
          </w:p>
        </w:tc>
        <w:tc>
          <w:tcPr>
            <w:tcW w:w="2481" w:type="dxa"/>
          </w:tcPr>
          <w:p w14:paraId="7B696359" w14:textId="38BCBE7F" w:rsidR="00083BCA" w:rsidRPr="00F171A3" w:rsidRDefault="00083BCA" w:rsidP="00F576F5">
            <w:pPr>
              <w:spacing w:before="240" w:after="0"/>
              <w:rPr>
                <w:rFonts w:eastAsia="Times New Roman" w:cstheme="minorHAnsi"/>
                <w:szCs w:val="20"/>
              </w:rPr>
            </w:pPr>
            <w:r w:rsidRPr="00F171A3">
              <w:rPr>
                <w:rFonts w:eastAsia="Times New Roman" w:cstheme="minorHAnsi"/>
                <w:szCs w:val="20"/>
              </w:rPr>
              <w:t>D4.1.1. Managementul eficient al resursei umane, dezvoltarea competențelor și politicii de formare.  Corelarea cu nevoile raportate de personalul instituției și prioritățile strategice, dar și de modificările survenite ca urmare a reorganizării administrative și nevoilor de dezvoltare ale Primăriei Sector</w:t>
            </w:r>
            <w:r w:rsidR="00F53B80" w:rsidRPr="00F171A3">
              <w:rPr>
                <w:rFonts w:eastAsia="Times New Roman" w:cstheme="minorHAnsi"/>
                <w:szCs w:val="20"/>
              </w:rPr>
              <w:t>ului</w:t>
            </w:r>
            <w:r w:rsidRPr="00F171A3">
              <w:rPr>
                <w:rFonts w:eastAsia="Times New Roman" w:cstheme="minorHAnsi"/>
                <w:szCs w:val="20"/>
              </w:rPr>
              <w:t xml:space="preserve"> 2 </w:t>
            </w:r>
          </w:p>
          <w:p w14:paraId="151552A2" w14:textId="77777777" w:rsidR="00083BCA" w:rsidRPr="00F171A3" w:rsidRDefault="00083BCA" w:rsidP="00F576F5">
            <w:pPr>
              <w:spacing w:before="240" w:after="0"/>
              <w:rPr>
                <w:rFonts w:eastAsia="Times New Roman" w:cstheme="minorHAnsi"/>
                <w:szCs w:val="20"/>
              </w:rPr>
            </w:pPr>
            <w:r w:rsidRPr="00F171A3">
              <w:rPr>
                <w:rFonts w:eastAsia="Times New Roman" w:cstheme="minorHAnsi"/>
                <w:szCs w:val="20"/>
              </w:rPr>
              <w:t>D4.1.2.  Asigurarea coerenței procesului decizional intern, extinderea proceselor de debirocratizare și îmbunătățirea proceselor de lucru</w:t>
            </w:r>
          </w:p>
          <w:p w14:paraId="6E0FC9B8" w14:textId="77777777" w:rsidR="00083BCA" w:rsidRPr="00F171A3" w:rsidRDefault="00083BCA" w:rsidP="00F576F5">
            <w:pPr>
              <w:spacing w:before="240" w:after="0"/>
              <w:rPr>
                <w:rFonts w:eastAsia="Times New Roman" w:cstheme="minorHAnsi"/>
                <w:szCs w:val="20"/>
              </w:rPr>
            </w:pPr>
            <w:r w:rsidRPr="00F171A3">
              <w:rPr>
                <w:rFonts w:eastAsia="Times New Roman" w:cstheme="minorHAnsi"/>
                <w:szCs w:val="20"/>
              </w:rPr>
              <w:t>D4.1.3. Îmbunătățirea managementului financiar, a predictibilității și capacității de planificare strategică și de programare a resurselor financiare </w:t>
            </w:r>
          </w:p>
          <w:p w14:paraId="6EBA92E0" w14:textId="77777777" w:rsidR="00083BCA" w:rsidRPr="00F171A3" w:rsidRDefault="00083BCA" w:rsidP="00F576F5">
            <w:pPr>
              <w:spacing w:before="240" w:after="0"/>
              <w:rPr>
                <w:rFonts w:eastAsia="Times New Roman" w:cstheme="minorHAnsi"/>
                <w:szCs w:val="20"/>
              </w:rPr>
            </w:pPr>
            <w:r w:rsidRPr="00F171A3">
              <w:rPr>
                <w:rFonts w:eastAsia="Times New Roman" w:cstheme="minorHAnsi"/>
                <w:szCs w:val="20"/>
              </w:rPr>
              <w:t>D4.1.4. Capacitate crescută pentru implementarea unei politici de investiții fundamentată pe absorbția de fonduri externe nerambursabile în perioada 2021-2027, urmărindu-se oportunitățile și prioritățile aferente noilor exerciții financiare</w:t>
            </w:r>
          </w:p>
          <w:p w14:paraId="06A17F1C" w14:textId="77777777" w:rsidR="00083BCA" w:rsidRPr="00F171A3" w:rsidRDefault="00083BCA" w:rsidP="00F576F5">
            <w:pPr>
              <w:spacing w:after="0"/>
              <w:rPr>
                <w:rFonts w:eastAsia="Times New Roman" w:cstheme="minorHAnsi"/>
                <w:szCs w:val="20"/>
              </w:rPr>
            </w:pPr>
          </w:p>
        </w:tc>
      </w:tr>
      <w:tr w:rsidR="00083BCA" w:rsidRPr="00F171A3" w14:paraId="6FD49E4C" w14:textId="77777777" w:rsidTr="003A1B68">
        <w:trPr>
          <w:cnfStyle w:val="000000010000" w:firstRow="0" w:lastRow="0" w:firstColumn="0" w:lastColumn="0" w:oddVBand="0" w:evenVBand="0" w:oddHBand="0" w:evenHBand="1" w:firstRowFirstColumn="0" w:firstRowLastColumn="0" w:lastRowFirstColumn="0" w:lastRowLastColumn="0"/>
        </w:trPr>
        <w:tc>
          <w:tcPr>
            <w:tcW w:w="2337" w:type="dxa"/>
            <w:vMerge/>
          </w:tcPr>
          <w:p w14:paraId="217DA97F" w14:textId="77777777" w:rsidR="00083BCA" w:rsidRPr="00F171A3" w:rsidRDefault="00083BCA" w:rsidP="00F576F5">
            <w:pPr>
              <w:rPr>
                <w:rFonts w:cstheme="minorHAnsi"/>
                <w:szCs w:val="20"/>
              </w:rPr>
            </w:pPr>
          </w:p>
        </w:tc>
        <w:tc>
          <w:tcPr>
            <w:tcW w:w="2337" w:type="dxa"/>
            <w:vMerge/>
          </w:tcPr>
          <w:p w14:paraId="6CDC427A" w14:textId="77777777" w:rsidR="00083BCA" w:rsidRPr="00F171A3" w:rsidRDefault="00083BCA" w:rsidP="00F576F5">
            <w:pPr>
              <w:rPr>
                <w:rFonts w:cstheme="minorHAnsi"/>
                <w:szCs w:val="20"/>
              </w:rPr>
            </w:pPr>
          </w:p>
        </w:tc>
        <w:tc>
          <w:tcPr>
            <w:tcW w:w="2338" w:type="dxa"/>
          </w:tcPr>
          <w:p w14:paraId="58EF3E40" w14:textId="77777777" w:rsidR="00083BCA" w:rsidRPr="00F171A3" w:rsidRDefault="00083BCA" w:rsidP="00F576F5">
            <w:pPr>
              <w:rPr>
                <w:rFonts w:cstheme="minorHAnsi"/>
                <w:szCs w:val="20"/>
              </w:rPr>
            </w:pPr>
            <w:r w:rsidRPr="00F171A3">
              <w:rPr>
                <w:rFonts w:cstheme="minorHAnsi"/>
                <w:szCs w:val="20"/>
              </w:rPr>
              <w:t xml:space="preserve">4.2. </w:t>
            </w:r>
            <w:r w:rsidRPr="00F171A3">
              <w:rPr>
                <w:rFonts w:cstheme="minorHAnsi"/>
                <w:bCs/>
                <w:caps/>
                <w:szCs w:val="20"/>
              </w:rPr>
              <w:t>-</w:t>
            </w:r>
            <w:r w:rsidRPr="00F171A3">
              <w:rPr>
                <w:rFonts w:cstheme="minorHAnsi"/>
                <w:szCs w:val="20"/>
              </w:rPr>
              <w:t>  Orientarea administrației către cetățean și comunitate prin asumarea unei guvernări deschise, transparente, inclusive și responsabile</w:t>
            </w:r>
          </w:p>
        </w:tc>
        <w:tc>
          <w:tcPr>
            <w:tcW w:w="2481" w:type="dxa"/>
          </w:tcPr>
          <w:p w14:paraId="6D3407DF" w14:textId="77777777" w:rsidR="00083BCA" w:rsidRPr="00F171A3" w:rsidRDefault="00083BCA" w:rsidP="00F576F5">
            <w:pPr>
              <w:spacing w:before="240" w:after="0"/>
              <w:rPr>
                <w:rFonts w:eastAsia="Times New Roman" w:cstheme="minorHAnsi"/>
                <w:szCs w:val="20"/>
              </w:rPr>
            </w:pPr>
            <w:r w:rsidRPr="00F171A3">
              <w:rPr>
                <w:rFonts w:eastAsia="Times New Roman" w:cstheme="minorHAnsi"/>
                <w:szCs w:val="20"/>
              </w:rPr>
              <w:t>D4.2.1. Participare extinsă a cetățenilor, mediului de afaceri, nonguvernamental și academic în procesele de consultare și de decizie de la nivel local prin noi instrumente, mecanisme și formate asumate și promovate de administrația locală  </w:t>
            </w:r>
          </w:p>
          <w:p w14:paraId="001EE210" w14:textId="77777777" w:rsidR="00083BCA" w:rsidRPr="00F171A3" w:rsidRDefault="00083BCA" w:rsidP="00F576F5">
            <w:pPr>
              <w:spacing w:before="240" w:after="240"/>
              <w:rPr>
                <w:rFonts w:eastAsia="Times New Roman" w:cstheme="minorHAnsi"/>
                <w:szCs w:val="20"/>
              </w:rPr>
            </w:pPr>
            <w:r w:rsidRPr="00F171A3">
              <w:rPr>
                <w:rFonts w:eastAsia="Times New Roman" w:cstheme="minorHAnsi"/>
                <w:szCs w:val="20"/>
              </w:rPr>
              <w:t>D4.2.2. Creșterea transparenței administrației locale prin îmbunătățirea calității datelor publice și îmbunătățirea gradului de conformare față de standardele privind afișarea din oficiu a informațiilor de interes </w:t>
            </w:r>
          </w:p>
          <w:p w14:paraId="3BD33097" w14:textId="77777777" w:rsidR="00083BCA" w:rsidRPr="00F171A3" w:rsidRDefault="00083BCA" w:rsidP="00F576F5">
            <w:pPr>
              <w:spacing w:before="240" w:after="240"/>
              <w:rPr>
                <w:rFonts w:eastAsia="Times New Roman" w:cstheme="minorHAnsi"/>
                <w:szCs w:val="20"/>
              </w:rPr>
            </w:pPr>
            <w:r w:rsidRPr="00F171A3">
              <w:rPr>
                <w:rFonts w:eastAsia="Times New Roman" w:cstheme="minorHAnsi"/>
                <w:szCs w:val="20"/>
              </w:rPr>
              <w:t>D4.2.3. Adoptarea de noi instrumente și formate incluzive care să permite informarea, participarea și consultarea și grupurilor de cetățeni vulnerabili sau slab reprezentați  </w:t>
            </w:r>
          </w:p>
          <w:p w14:paraId="2FFBF437" w14:textId="77777777" w:rsidR="00083BCA" w:rsidRPr="00F171A3" w:rsidRDefault="00083BCA" w:rsidP="00F576F5">
            <w:pPr>
              <w:rPr>
                <w:rFonts w:eastAsia="Times New Roman" w:cstheme="minorHAnsi"/>
                <w:szCs w:val="20"/>
              </w:rPr>
            </w:pPr>
          </w:p>
        </w:tc>
      </w:tr>
      <w:tr w:rsidR="00083BCA" w:rsidRPr="00F171A3" w14:paraId="5362817B" w14:textId="77777777" w:rsidTr="003A1B68">
        <w:trPr>
          <w:cnfStyle w:val="000000100000" w:firstRow="0" w:lastRow="0" w:firstColumn="0" w:lastColumn="0" w:oddVBand="0" w:evenVBand="0" w:oddHBand="1" w:evenHBand="0" w:firstRowFirstColumn="0" w:firstRowLastColumn="0" w:lastRowFirstColumn="0" w:lastRowLastColumn="0"/>
        </w:trPr>
        <w:tc>
          <w:tcPr>
            <w:tcW w:w="2337" w:type="dxa"/>
            <w:vMerge/>
          </w:tcPr>
          <w:p w14:paraId="4AC9ABEA" w14:textId="77777777" w:rsidR="00083BCA" w:rsidRPr="00F171A3" w:rsidRDefault="00083BCA" w:rsidP="00F576F5">
            <w:pPr>
              <w:rPr>
                <w:rFonts w:cstheme="minorHAnsi"/>
                <w:szCs w:val="20"/>
              </w:rPr>
            </w:pPr>
          </w:p>
        </w:tc>
        <w:tc>
          <w:tcPr>
            <w:tcW w:w="2337" w:type="dxa"/>
            <w:vMerge/>
          </w:tcPr>
          <w:p w14:paraId="35D515D6" w14:textId="77777777" w:rsidR="00083BCA" w:rsidRPr="00F171A3" w:rsidRDefault="00083BCA" w:rsidP="00F576F5">
            <w:pPr>
              <w:rPr>
                <w:rFonts w:cstheme="minorHAnsi"/>
                <w:szCs w:val="20"/>
              </w:rPr>
            </w:pPr>
          </w:p>
        </w:tc>
        <w:tc>
          <w:tcPr>
            <w:tcW w:w="2338" w:type="dxa"/>
          </w:tcPr>
          <w:p w14:paraId="4AB386D0" w14:textId="77777777" w:rsidR="00083BCA" w:rsidRPr="00F171A3" w:rsidRDefault="00083BCA" w:rsidP="00F576F5">
            <w:pPr>
              <w:rPr>
                <w:rFonts w:cstheme="minorHAnsi"/>
                <w:szCs w:val="20"/>
              </w:rPr>
            </w:pPr>
            <w:r w:rsidRPr="00F171A3">
              <w:rPr>
                <w:rFonts w:cstheme="minorHAnsi"/>
                <w:szCs w:val="20"/>
              </w:rPr>
              <w:t xml:space="preserve">4.3. </w:t>
            </w:r>
            <w:r w:rsidRPr="00F171A3">
              <w:rPr>
                <w:rFonts w:cstheme="minorHAnsi"/>
                <w:bCs/>
                <w:caps/>
                <w:szCs w:val="20"/>
              </w:rPr>
              <w:t>-</w:t>
            </w:r>
            <w:r w:rsidRPr="00F171A3">
              <w:rPr>
                <w:rFonts w:cstheme="minorHAnsi"/>
                <w:szCs w:val="20"/>
              </w:rPr>
              <w:t xml:space="preserve"> Guvernare locală inteligentă și îmbunătățirea capacității administrației publice de a răspunde și a se adapta transformărilor digitale în desfășurare</w:t>
            </w:r>
          </w:p>
          <w:p w14:paraId="6447ABC2" w14:textId="77777777" w:rsidR="00083BCA" w:rsidRPr="00F171A3" w:rsidRDefault="00083BCA" w:rsidP="00F576F5">
            <w:pPr>
              <w:rPr>
                <w:rFonts w:cstheme="minorHAnsi"/>
                <w:szCs w:val="20"/>
              </w:rPr>
            </w:pPr>
          </w:p>
        </w:tc>
        <w:tc>
          <w:tcPr>
            <w:tcW w:w="2481" w:type="dxa"/>
          </w:tcPr>
          <w:p w14:paraId="2C951548" w14:textId="77777777" w:rsidR="00083BCA" w:rsidRPr="00F171A3" w:rsidRDefault="00083BCA" w:rsidP="00F576F5">
            <w:pPr>
              <w:spacing w:before="240" w:after="240"/>
              <w:rPr>
                <w:rFonts w:eastAsia="Times New Roman" w:cstheme="minorHAnsi"/>
                <w:szCs w:val="20"/>
              </w:rPr>
            </w:pPr>
            <w:r w:rsidRPr="00F171A3">
              <w:rPr>
                <w:rFonts w:eastAsia="Times New Roman" w:cstheme="minorHAnsi"/>
                <w:szCs w:val="20"/>
              </w:rPr>
              <w:t>D4.3.1. Digitalizarea serviciilor publice, asigurarea accesului tuturor cetățenilor la acestea și evaluare continuă </w:t>
            </w:r>
          </w:p>
          <w:p w14:paraId="6E5E42E5" w14:textId="48D243F6" w:rsidR="00083BCA" w:rsidRPr="00F171A3" w:rsidRDefault="00083BCA" w:rsidP="00F576F5">
            <w:pPr>
              <w:spacing w:before="240" w:after="240"/>
              <w:rPr>
                <w:rFonts w:eastAsia="Times New Roman" w:cstheme="minorHAnsi"/>
                <w:szCs w:val="20"/>
              </w:rPr>
            </w:pPr>
            <w:r w:rsidRPr="00F171A3">
              <w:rPr>
                <w:rFonts w:eastAsia="Times New Roman" w:cstheme="minorHAnsi"/>
                <w:szCs w:val="20"/>
              </w:rPr>
              <w:t>D4.3.2. Creșterea competențelor digitale și dezvoltare de noi programe de formare la nivelul personalului Primăriei Sector</w:t>
            </w:r>
            <w:r w:rsidR="00135D70" w:rsidRPr="00F171A3">
              <w:rPr>
                <w:rFonts w:eastAsia="Times New Roman" w:cstheme="minorHAnsi"/>
                <w:szCs w:val="20"/>
              </w:rPr>
              <w:t>ului</w:t>
            </w:r>
            <w:r w:rsidRPr="00F171A3">
              <w:rPr>
                <w:rFonts w:eastAsia="Times New Roman" w:cstheme="minorHAnsi"/>
                <w:szCs w:val="20"/>
              </w:rPr>
              <w:t xml:space="preserve"> 2 </w:t>
            </w:r>
          </w:p>
          <w:p w14:paraId="31393FEE" w14:textId="77777777" w:rsidR="00083BCA" w:rsidRPr="00F171A3" w:rsidRDefault="00083BCA" w:rsidP="00F576F5">
            <w:pPr>
              <w:spacing w:before="240" w:after="240"/>
              <w:rPr>
                <w:rFonts w:eastAsia="Times New Roman" w:cstheme="minorHAnsi"/>
                <w:szCs w:val="20"/>
              </w:rPr>
            </w:pPr>
            <w:r w:rsidRPr="00F171A3">
              <w:rPr>
                <w:rFonts w:eastAsia="Times New Roman" w:cstheme="minorHAnsi"/>
                <w:szCs w:val="20"/>
              </w:rPr>
              <w:t>D4.3.3. Îmbunătățirea standardelor de securitate privind protecția datelor și sistemelor operate de instituție</w:t>
            </w:r>
          </w:p>
          <w:p w14:paraId="7C56674C" w14:textId="77777777" w:rsidR="00083BCA" w:rsidRPr="00F171A3" w:rsidRDefault="00083BCA" w:rsidP="00F576F5">
            <w:pPr>
              <w:spacing w:after="240"/>
              <w:rPr>
                <w:rFonts w:eastAsia="Times New Roman" w:cstheme="minorHAnsi"/>
                <w:szCs w:val="20"/>
              </w:rPr>
            </w:pPr>
          </w:p>
          <w:p w14:paraId="19C5C6A6" w14:textId="77777777" w:rsidR="00083BCA" w:rsidRPr="00F171A3" w:rsidRDefault="00083BCA" w:rsidP="00F576F5">
            <w:pPr>
              <w:rPr>
                <w:rFonts w:eastAsia="Times New Roman" w:cstheme="minorHAnsi"/>
                <w:szCs w:val="20"/>
              </w:rPr>
            </w:pPr>
          </w:p>
        </w:tc>
      </w:tr>
    </w:tbl>
    <w:p w14:paraId="050E27D9" w14:textId="77777777" w:rsidR="009E58CB" w:rsidRPr="00F171A3" w:rsidRDefault="009E58CB" w:rsidP="002278A7">
      <w:pPr>
        <w:jc w:val="right"/>
        <w:rPr>
          <w:color w:val="BFBFBF" w:themeColor="background1" w:themeShade="BF"/>
        </w:rPr>
      </w:pPr>
      <w:r w:rsidRPr="00F171A3">
        <w:rPr>
          <w:color w:val="BFBFBF" w:themeColor="background1" w:themeShade="BF"/>
        </w:rPr>
        <w:t>Sursa: Prelucrare proprie</w:t>
      </w:r>
    </w:p>
    <w:p w14:paraId="0B1B7359" w14:textId="3F10919D" w:rsidR="009E58CB" w:rsidRPr="00F171A3" w:rsidRDefault="009E58CB" w:rsidP="009E58CB">
      <w:pPr>
        <w:rPr>
          <w:rFonts w:cstheme="minorHAnsi"/>
        </w:rPr>
      </w:pPr>
      <w:r w:rsidRPr="00F171A3">
        <w:rPr>
          <w:rFonts w:cstheme="minorHAnsi"/>
        </w:rPr>
        <w:t>Pentru a spori ş</w:t>
      </w:r>
      <w:r w:rsidR="00C66438">
        <w:rPr>
          <w:rFonts w:cstheme="minorHAnsi"/>
        </w:rPr>
        <w:t>an</w:t>
      </w:r>
      <w:r w:rsidRPr="00F171A3">
        <w:rPr>
          <w:rFonts w:cstheme="minorHAnsi"/>
        </w:rPr>
        <w:t xml:space="preserve">sele de succes ale măsurilor propuse în </w:t>
      </w:r>
      <w:r w:rsidRPr="00F171A3">
        <w:rPr>
          <w:rFonts w:cstheme="minorHAnsi"/>
          <w:i/>
        </w:rPr>
        <w:t>Strategia de dezvoltare locală integrată şi durabilă a Sectorului 2 pentru perioada 2021-2027</w:t>
      </w:r>
      <w:r w:rsidRPr="00F171A3">
        <w:rPr>
          <w:rFonts w:cstheme="minorHAnsi"/>
        </w:rPr>
        <w:t>, este necesar ca în special administraţia publică locală, dar şi actorii locali relevanţi să susţină adoptarea unor politici sau acţiuni integrate la nivel municipal sau metropolitan care să abordeze subiectele de interes ale Capitalei ce sunt prezente şi pe teritoriul Sectorului 2. Printre aceste subiecte se numără:</w:t>
      </w:r>
    </w:p>
    <w:p w14:paraId="3724C3B2" w14:textId="77777777" w:rsidR="009E58CB" w:rsidRPr="00F171A3" w:rsidRDefault="009E58CB" w:rsidP="009E58CB">
      <w:pPr>
        <w:pStyle w:val="Focus"/>
        <w:rPr>
          <w:rFonts w:cstheme="minorHAnsi"/>
        </w:rPr>
      </w:pPr>
      <w:r w:rsidRPr="00F171A3">
        <w:rPr>
          <w:rFonts w:cstheme="minorHAnsi"/>
        </w:rPr>
        <w:t>Profil social și dezvoltare urbană:</w:t>
      </w:r>
    </w:p>
    <w:p w14:paraId="18745D81" w14:textId="77777777" w:rsidR="009E58CB" w:rsidRPr="00F171A3" w:rsidRDefault="009E58CB">
      <w:pPr>
        <w:numPr>
          <w:ilvl w:val="0"/>
          <w:numId w:val="85"/>
        </w:numPr>
        <w:pBdr>
          <w:top w:val="nil"/>
          <w:left w:val="nil"/>
          <w:bottom w:val="nil"/>
          <w:right w:val="nil"/>
          <w:between w:val="nil"/>
        </w:pBdr>
        <w:rPr>
          <w:color w:val="134753"/>
        </w:rPr>
      </w:pPr>
      <w:r w:rsidRPr="00F171A3">
        <w:rPr>
          <w:color w:val="134753"/>
        </w:rPr>
        <w:t>Îmbunătățirea standardelor de locuire; Deservirea locuitorilor cu servicii de interes municipal şi supramunicipal (educaţionale, sanitare, de asistenţă socială); Modernizarea străzilor și a spațiilor publice; Gestionarea deşeurilor şi a salubrităţii; Modernizarea școlilor, grădinițelor și a creșelor; Creșterea accesului la servicii publice pentru toți locuitorii.</w:t>
      </w:r>
    </w:p>
    <w:p w14:paraId="4333EF89" w14:textId="77777777" w:rsidR="009E58CB" w:rsidRPr="00F171A3" w:rsidRDefault="009E58CB" w:rsidP="009E58CB">
      <w:pPr>
        <w:pStyle w:val="Focus"/>
        <w:rPr>
          <w:rFonts w:cstheme="minorHAnsi"/>
        </w:rPr>
      </w:pPr>
      <w:r w:rsidRPr="00F171A3">
        <w:rPr>
          <w:rFonts w:cstheme="minorHAnsi"/>
        </w:rPr>
        <w:t>Profil economic:</w:t>
      </w:r>
    </w:p>
    <w:p w14:paraId="3A793429" w14:textId="77777777" w:rsidR="009E58CB" w:rsidRPr="00F171A3" w:rsidRDefault="009E58CB">
      <w:pPr>
        <w:numPr>
          <w:ilvl w:val="0"/>
          <w:numId w:val="85"/>
        </w:numPr>
        <w:pBdr>
          <w:top w:val="nil"/>
          <w:left w:val="nil"/>
          <w:bottom w:val="nil"/>
          <w:right w:val="nil"/>
          <w:between w:val="nil"/>
        </w:pBdr>
        <w:rPr>
          <w:color w:val="134753"/>
        </w:rPr>
      </w:pPr>
      <w:r w:rsidRPr="00F171A3">
        <w:rPr>
          <w:color w:val="134753"/>
        </w:rPr>
        <w:t>Atragerea de investitori; Crearea de oportunități pentru dezvoltarea inițiativelor antreprenoriale și susținerea companiilor existente; Dezvoltarea sectorului de cercetare; Crearea de locuri de muncă corelate cu cerințele pieței; Îmbunătățirea resurselor umane.</w:t>
      </w:r>
    </w:p>
    <w:p w14:paraId="56D2D71E" w14:textId="77777777" w:rsidR="009E58CB" w:rsidRPr="00F171A3" w:rsidRDefault="009E58CB" w:rsidP="009E58CB">
      <w:pPr>
        <w:pStyle w:val="Focus"/>
        <w:rPr>
          <w:rFonts w:cstheme="minorHAnsi"/>
        </w:rPr>
      </w:pPr>
      <w:r w:rsidRPr="00F171A3">
        <w:rPr>
          <w:rFonts w:cstheme="minorHAnsi"/>
        </w:rPr>
        <w:t>Mediu și mobilitate:</w:t>
      </w:r>
    </w:p>
    <w:p w14:paraId="71938C03" w14:textId="77777777" w:rsidR="009E58CB" w:rsidRPr="00F171A3" w:rsidRDefault="009E58CB">
      <w:pPr>
        <w:numPr>
          <w:ilvl w:val="0"/>
          <w:numId w:val="85"/>
        </w:numPr>
        <w:pBdr>
          <w:top w:val="nil"/>
          <w:left w:val="nil"/>
          <w:bottom w:val="nil"/>
          <w:right w:val="nil"/>
          <w:between w:val="nil"/>
        </w:pBdr>
        <w:rPr>
          <w:color w:val="134753"/>
        </w:rPr>
      </w:pPr>
      <w:r w:rsidRPr="00F171A3">
        <w:rPr>
          <w:color w:val="134753"/>
        </w:rPr>
        <w:t xml:space="preserve">Amenajarea sistemului major de spaţii verzi; Valorificarea salbei de lacuri; Colectare selectivă; Reducerea poluării; Transport verde și sustenabil: piste de biciclete, stații de încărcare pentru mașini electrice; Extindere trasee tramvai; Extindere metrou. </w:t>
      </w:r>
    </w:p>
    <w:p w14:paraId="446F416E" w14:textId="77777777" w:rsidR="009E58CB" w:rsidRPr="00F171A3" w:rsidRDefault="009E58CB" w:rsidP="009E58CB">
      <w:pPr>
        <w:pStyle w:val="Focus"/>
        <w:rPr>
          <w:rFonts w:cstheme="minorHAnsi"/>
        </w:rPr>
      </w:pPr>
      <w:r w:rsidRPr="00F171A3">
        <w:rPr>
          <w:rFonts w:cstheme="minorHAnsi"/>
        </w:rPr>
        <w:t>Capacitate administrativă:</w:t>
      </w:r>
    </w:p>
    <w:p w14:paraId="7B2DF9FD" w14:textId="75267A8B" w:rsidR="009E58CB" w:rsidRPr="00F171A3" w:rsidRDefault="009E58CB">
      <w:pPr>
        <w:numPr>
          <w:ilvl w:val="0"/>
          <w:numId w:val="85"/>
        </w:numPr>
        <w:pBdr>
          <w:top w:val="nil"/>
          <w:left w:val="nil"/>
          <w:bottom w:val="nil"/>
          <w:right w:val="nil"/>
          <w:between w:val="nil"/>
        </w:pBdr>
        <w:rPr>
          <w:color w:val="134753"/>
        </w:rPr>
      </w:pPr>
      <w:r w:rsidRPr="00F171A3">
        <w:rPr>
          <w:color w:val="134753"/>
        </w:rPr>
        <w:t>Performanță îmbunătățită; Digitalizare; Transparență; Dezvoltarea parteneriatelor.</w:t>
      </w:r>
    </w:p>
    <w:p w14:paraId="60382E44" w14:textId="77777777" w:rsidR="000D02D4" w:rsidRPr="00F171A3" w:rsidRDefault="000D02D4" w:rsidP="000D02D4">
      <w:pPr>
        <w:pBdr>
          <w:top w:val="nil"/>
          <w:left w:val="nil"/>
          <w:bottom w:val="nil"/>
          <w:right w:val="nil"/>
          <w:between w:val="nil"/>
        </w:pBdr>
        <w:rPr>
          <w:color w:val="134753"/>
        </w:rPr>
      </w:pPr>
    </w:p>
    <w:p w14:paraId="2DDC67BB" w14:textId="48CAE911" w:rsidR="009E58CB" w:rsidRPr="00F171A3" w:rsidRDefault="00F22459" w:rsidP="009E58CB">
      <w:pPr>
        <w:pStyle w:val="Heading3"/>
        <w:rPr>
          <w:caps w:val="0"/>
          <w:lang w:val="ro-RO"/>
        </w:rPr>
      </w:pPr>
      <w:bookmarkStart w:id="469" w:name="_Toc106107007"/>
      <w:bookmarkStart w:id="470" w:name="_Toc116556842"/>
      <w:bookmarkStart w:id="471" w:name="_Toc127199321"/>
      <w:r w:rsidRPr="00F171A3">
        <w:rPr>
          <w:caps w:val="0"/>
          <w:lang w:val="ro-RO"/>
        </w:rPr>
        <w:t>MECANISM DE MONITORIZARE ȘI EVALUARE</w:t>
      </w:r>
      <w:bookmarkEnd w:id="469"/>
      <w:bookmarkEnd w:id="470"/>
      <w:bookmarkEnd w:id="471"/>
    </w:p>
    <w:p w14:paraId="7B843E7B" w14:textId="77777777" w:rsidR="009E58CB" w:rsidRPr="00F171A3" w:rsidRDefault="009E58CB" w:rsidP="009E58CB">
      <w:pPr>
        <w:rPr>
          <w:rFonts w:cstheme="minorHAnsi"/>
        </w:rPr>
      </w:pPr>
      <w:r w:rsidRPr="00F171A3">
        <w:rPr>
          <w:rFonts w:cstheme="minorHAnsi"/>
        </w:rPr>
        <w:t>Procesul de modificare și actualizare a Strategiei de dezvoltare locală integrată şi durabilă a Sectorului 2 pentru perioada 2016-2025 are la bază nevoia de corelare a documentului strategic cu noile necesități de dezvoltare ale Sectorului 2 și corelarea acestuia cu programele de finanțare disponibile în contextul unui nou exerciţiu financiar 2021-2027. Totodată, actualizarea Strategiei de dezvoltare locală integrată şi durabilă a Sectorului 2 pentru perioada 2016-2025  are în vedere analiza efectelor implementării strategiei în perioada 2016 - 2021 și determinarea provocărilor și necesităților de acțiune pentru perioada care urmează. Astfel, procesul de monitorizare și evaluare a strategiei ia în calcul lecțiile învățate din perioada trecută și propune acțiuni specifice, adaptate.</w:t>
      </w:r>
    </w:p>
    <w:p w14:paraId="1B5DF4D0" w14:textId="7E3483E8" w:rsidR="009E58CB" w:rsidRPr="00F171A3" w:rsidRDefault="009E58CB" w:rsidP="009E58CB">
      <w:pPr>
        <w:rPr>
          <w:rFonts w:cstheme="minorHAnsi"/>
        </w:rPr>
      </w:pPr>
      <w:r w:rsidRPr="00F171A3">
        <w:rPr>
          <w:rFonts w:cstheme="minorHAnsi"/>
        </w:rPr>
        <w:t xml:space="preserve">Având în vedere că strategia propune un portofoliu extins de proiecte, setând ambițiile pentru perioada 2021 – 2027, monitorizarea și evaluarea implementării strategiei este extrem de importantă în economia proiectului. </w:t>
      </w:r>
      <w:r w:rsidR="00FC4119" w:rsidRPr="00F171A3">
        <w:rPr>
          <w:rFonts w:cstheme="minorHAnsi"/>
        </w:rPr>
        <w:t>Acest demers va fi coordonat de Unitatea de Implementare și Monitorizare a SDLID (UIM SDLID)</w:t>
      </w:r>
      <w:r w:rsidR="00FC4119" w:rsidRPr="00F171A3">
        <w:rPr>
          <w:rFonts w:cstheme="minorHAnsi"/>
          <w:b/>
          <w:bCs/>
        </w:rPr>
        <w:t xml:space="preserve"> </w:t>
      </w:r>
      <w:r w:rsidR="00FC4119" w:rsidRPr="00F171A3">
        <w:rPr>
          <w:rFonts w:cstheme="minorHAnsi"/>
        </w:rPr>
        <w:t>și ar fi oportun să implice, pe cât posibil, membri ai personalului din aparatul de specialitate al primarului care au fost implicați în elaborarea SDLID 2021 - 2027și în procesul de structurare a portofoliului de proiecte.</w:t>
      </w:r>
      <w:r w:rsidRPr="00F171A3">
        <w:rPr>
          <w:rFonts w:cstheme="minorHAnsi"/>
          <w:b/>
          <w:bCs/>
        </w:rPr>
        <w:t xml:space="preserve"> </w:t>
      </w:r>
    </w:p>
    <w:p w14:paraId="7E859A6A" w14:textId="77777777" w:rsidR="009E58CB" w:rsidRPr="00F171A3" w:rsidRDefault="009E58CB" w:rsidP="009E58CB">
      <w:pPr>
        <w:rPr>
          <w:rFonts w:cstheme="minorHAnsi"/>
        </w:rPr>
      </w:pPr>
      <w:r w:rsidRPr="00F171A3">
        <w:rPr>
          <w:rFonts w:cstheme="minorHAnsi"/>
        </w:rPr>
        <w:t>UIM va evalua periodic implementarea SDLID 2021 - 2027, și va monitoriza, pe baza rapoartelor din cadrul compartimentelor responsabile, activitățile curente de implementare a proiectelor.</w:t>
      </w:r>
    </w:p>
    <w:p w14:paraId="6681BFF4" w14:textId="77777777" w:rsidR="009E58CB" w:rsidRPr="00F171A3" w:rsidRDefault="009E58CB" w:rsidP="009E58CB">
      <w:pPr>
        <w:rPr>
          <w:rFonts w:cstheme="minorHAnsi"/>
        </w:rPr>
      </w:pPr>
    </w:p>
    <w:p w14:paraId="1AADDFC4" w14:textId="0CB8D729" w:rsidR="009E58CB" w:rsidRPr="00F171A3" w:rsidRDefault="00F22459" w:rsidP="009E58CB">
      <w:pPr>
        <w:pStyle w:val="Heading3"/>
        <w:rPr>
          <w:rFonts w:cstheme="minorHAnsi"/>
          <w:lang w:val="ro-RO"/>
        </w:rPr>
      </w:pPr>
      <w:bookmarkStart w:id="472" w:name="_Toc106107008"/>
      <w:bookmarkStart w:id="473" w:name="_Toc116556843"/>
      <w:bookmarkStart w:id="474" w:name="_Toc127199322"/>
      <w:r w:rsidRPr="00F171A3">
        <w:rPr>
          <w:rFonts w:cstheme="minorHAnsi"/>
          <w:caps w:val="0"/>
          <w:lang w:val="ro-RO"/>
        </w:rPr>
        <w:t xml:space="preserve">EVALUAREA IMPLEMENTĂRII </w:t>
      </w:r>
      <w:bookmarkEnd w:id="472"/>
      <w:r w:rsidRPr="00F171A3">
        <w:rPr>
          <w:rFonts w:cstheme="minorHAnsi"/>
          <w:caps w:val="0"/>
          <w:lang w:val="ro-RO"/>
        </w:rPr>
        <w:t>SDLID 2021 - 2027</w:t>
      </w:r>
      <w:bookmarkEnd w:id="473"/>
      <w:bookmarkEnd w:id="474"/>
    </w:p>
    <w:p w14:paraId="1B6E19CD" w14:textId="77777777" w:rsidR="009E58CB" w:rsidRPr="00F171A3" w:rsidRDefault="009E58CB" w:rsidP="009E58CB">
      <w:pPr>
        <w:rPr>
          <w:rFonts w:cstheme="minorHAnsi"/>
        </w:rPr>
      </w:pPr>
      <w:r w:rsidRPr="00F171A3">
        <w:rPr>
          <w:rFonts w:cstheme="minorHAnsi"/>
        </w:rPr>
        <w:t>În ceea ce privește evaluarea, pentru a remedia eventuale probleme de management sau de coerenţă în derularea activităţilor, abordarea metodologică se bazează pe 4 etape:</w:t>
      </w:r>
    </w:p>
    <w:p w14:paraId="69E09EC5"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b/>
          <w:bCs/>
          <w:color w:val="134753"/>
          <w:lang w:eastAsia="zh-CN"/>
        </w:rPr>
        <w:t>Evaluarea ex-ante</w:t>
      </w:r>
      <w:r w:rsidRPr="00F171A3">
        <w:rPr>
          <w:rFonts w:cstheme="minorHAnsi"/>
          <w:color w:val="134753"/>
          <w:lang w:eastAsia="zh-CN"/>
        </w:rPr>
        <w:t xml:space="preserve"> – în etapa de prioritizare și definire a listei scurte de proiecte, cu scopul de a asigura o alocare potrivită a resurselor și un design adecvat; </w:t>
      </w:r>
    </w:p>
    <w:p w14:paraId="6937C87A"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b/>
          <w:bCs/>
          <w:color w:val="134753"/>
          <w:lang w:eastAsia="zh-CN"/>
        </w:rPr>
        <w:t>Evaluarea intermediară (1)</w:t>
      </w:r>
      <w:r w:rsidRPr="00F171A3">
        <w:rPr>
          <w:rFonts w:cstheme="minorHAnsi"/>
          <w:color w:val="134753"/>
          <w:lang w:eastAsia="zh-CN"/>
        </w:rPr>
        <w:t>, cu scopul de a afla dacă strategia își atinge obiectivele, dacă poate fi îmbunătăţit managementul acesteia - având în vedere stadiul elaborării programelor operaționale, un orizont de timp oportun ar fi anul 2025, pentru a se evalua situația proiectelor contractate/în implementare, actualitatea obiectivelor strategice și specifice și eventualele nevoi de actualizare a SDLID 2021 - 2027;</w:t>
      </w:r>
    </w:p>
    <w:p w14:paraId="1C12D327"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b/>
          <w:bCs/>
          <w:color w:val="134753"/>
          <w:lang w:eastAsia="zh-CN"/>
        </w:rPr>
        <w:t>Evaluarea intermediară (2)</w:t>
      </w:r>
      <w:r w:rsidRPr="00F171A3">
        <w:rPr>
          <w:rFonts w:cstheme="minorHAnsi"/>
          <w:color w:val="134753"/>
          <w:lang w:eastAsia="zh-CN"/>
        </w:rPr>
        <w:t>, cu scopul de a afla dacă strategia își atinge obiectivele, dacă poate fi îmbunătăţit managementul acesteia - un orizont de timp oportun ar fi 2026-2027. La finalul perioadei de programare se va evalua gradul de îndeplinire a indicatorilor propuși pentru orizontul de timp asociat anului 2027, iar, pe baza informațiilor disponibile privind următorul ciclu financiar multianual al UE, se vor propune eventuale modificări ale strategiei, țintelor și/ sau portofoliului de proiecte;</w:t>
      </w:r>
    </w:p>
    <w:p w14:paraId="193B490D"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b/>
          <w:bCs/>
          <w:color w:val="134753"/>
          <w:lang w:eastAsia="zh-CN"/>
        </w:rPr>
        <w:t>Evaluarea ex-post</w:t>
      </w:r>
      <w:r w:rsidRPr="00F171A3">
        <w:rPr>
          <w:rFonts w:cstheme="minorHAnsi"/>
          <w:color w:val="134753"/>
          <w:lang w:eastAsia="zh-CN"/>
        </w:rPr>
        <w:t>, cu scopul de a analiza, care a fost impactul implementării strategiei – post 2027.</w:t>
      </w:r>
    </w:p>
    <w:p w14:paraId="126E2EF3" w14:textId="77777777" w:rsidR="009E58CB" w:rsidRPr="00F171A3" w:rsidRDefault="009E58CB" w:rsidP="009E58CB">
      <w:pPr>
        <w:spacing w:after="0" w:line="259" w:lineRule="auto"/>
        <w:rPr>
          <w:rFonts w:cstheme="minorHAnsi"/>
          <w:color w:val="134753"/>
          <w:lang w:eastAsia="zh-CN"/>
        </w:rPr>
      </w:pPr>
    </w:p>
    <w:p w14:paraId="280BCEBC" w14:textId="1DBF025E" w:rsidR="009E58CB" w:rsidRPr="00F171A3" w:rsidRDefault="00F22459" w:rsidP="009E58CB">
      <w:pPr>
        <w:pStyle w:val="Heading3"/>
        <w:rPr>
          <w:rFonts w:cstheme="minorHAnsi"/>
          <w:lang w:val="ro-RO"/>
        </w:rPr>
      </w:pPr>
      <w:bookmarkStart w:id="475" w:name="_Toc106107009"/>
      <w:bookmarkStart w:id="476" w:name="_Toc116556844"/>
      <w:bookmarkStart w:id="477" w:name="_Toc127199323"/>
      <w:r w:rsidRPr="00F171A3">
        <w:rPr>
          <w:rFonts w:cstheme="minorHAnsi"/>
          <w:caps w:val="0"/>
          <w:lang w:val="ro-RO"/>
        </w:rPr>
        <w:t xml:space="preserve">MONITORIZAREA IMPLEMENTĂRII </w:t>
      </w:r>
      <w:bookmarkEnd w:id="475"/>
      <w:r w:rsidRPr="00F171A3">
        <w:rPr>
          <w:rFonts w:cstheme="minorHAnsi"/>
          <w:caps w:val="0"/>
          <w:lang w:val="ro-RO"/>
        </w:rPr>
        <w:t>SDLID 2021 - 2027</w:t>
      </w:r>
      <w:bookmarkEnd w:id="476"/>
      <w:bookmarkEnd w:id="477"/>
    </w:p>
    <w:p w14:paraId="6806CD73" w14:textId="169DC28B" w:rsidR="009E58CB" w:rsidRPr="00F171A3" w:rsidRDefault="009E58CB" w:rsidP="009E58CB">
      <w:pPr>
        <w:rPr>
          <w:rFonts w:cstheme="minorHAnsi"/>
        </w:rPr>
      </w:pPr>
      <w:r w:rsidRPr="00F171A3">
        <w:rPr>
          <w:rFonts w:cstheme="minorHAnsi"/>
        </w:rPr>
        <w:t xml:space="preserve">Planul de monitorizare a Strategiei de dezvoltare locală integrată şi durabilă a Sectorului 2 pentru perioada 2021-2027 va fi implementat la nivelul </w:t>
      </w:r>
      <w:r w:rsidR="00FC4119" w:rsidRPr="00F171A3">
        <w:rPr>
          <w:rFonts w:cstheme="minorHAnsi"/>
        </w:rPr>
        <w:t>Direcția Generală Programe de Dezvoltare Urbană și Fonduri Europene</w:t>
      </w:r>
      <w:r w:rsidRPr="00F171A3">
        <w:rPr>
          <w:rFonts w:cstheme="minorHAnsi"/>
        </w:rPr>
        <w:t>, serviciul Management Strategic (SMS). De asemenea, procesul de monitorizare a proiectelor va fi urmărit de către Primar, personalul de conducere din cadrul Primăriei Sectorului 2 și comisiile de specialitate ale Consiliului Local, prin intermediul rapoartelor anuale. Planul de monitorizare a SDLID 2021 – 2027 va fi integrat în Planul anual de acțiune (PAA) centralizat, realizat la nivelul  Primăriei Sectorului 2, iar indicatorii de monitorizare a proiectelor vor fi incluși în PAA și asociați cu proiectele prioritare asumate anual, în urma procesului de monitorizare a proiectelor.</w:t>
      </w:r>
    </w:p>
    <w:p w14:paraId="680495BC" w14:textId="77777777" w:rsidR="009E58CB" w:rsidRPr="00F171A3" w:rsidRDefault="009E58CB" w:rsidP="009E58CB">
      <w:pPr>
        <w:rPr>
          <w:rFonts w:cstheme="minorHAnsi"/>
        </w:rPr>
      </w:pPr>
      <w:r w:rsidRPr="00F171A3">
        <w:rPr>
          <w:rFonts w:cstheme="minorHAnsi"/>
        </w:rPr>
        <w:t xml:space="preserve">Activitatea de monitorizare presupune: </w:t>
      </w:r>
    </w:p>
    <w:p w14:paraId="12F128CA" w14:textId="77777777" w:rsidR="009E58CB" w:rsidRPr="00F171A3" w:rsidRDefault="009E58CB">
      <w:pPr>
        <w:numPr>
          <w:ilvl w:val="0"/>
          <w:numId w:val="58"/>
        </w:numPr>
        <w:spacing w:after="0" w:line="259" w:lineRule="auto"/>
        <w:rPr>
          <w:color w:val="134753"/>
        </w:rPr>
      </w:pPr>
      <w:r w:rsidRPr="00F171A3">
        <w:rPr>
          <w:color w:val="134753"/>
        </w:rPr>
        <w:t xml:space="preserve">Monitorizarea echipei UIM SDLID 2021- 2027; </w:t>
      </w:r>
    </w:p>
    <w:p w14:paraId="48B6788B" w14:textId="77777777" w:rsidR="009E58CB" w:rsidRPr="00F171A3" w:rsidRDefault="009E58CB">
      <w:pPr>
        <w:numPr>
          <w:ilvl w:val="0"/>
          <w:numId w:val="58"/>
        </w:numPr>
        <w:spacing w:after="0" w:line="259" w:lineRule="auto"/>
        <w:rPr>
          <w:color w:val="134753"/>
        </w:rPr>
      </w:pPr>
      <w:r w:rsidRPr="00F171A3">
        <w:rPr>
          <w:color w:val="134753"/>
        </w:rPr>
        <w:t xml:space="preserve">Monitorizarea activităților desfășurate în proiecte. </w:t>
      </w:r>
    </w:p>
    <w:p w14:paraId="1B3B37F4" w14:textId="77777777" w:rsidR="009E58CB" w:rsidRPr="00F171A3" w:rsidRDefault="009E58CB" w:rsidP="009E58CB">
      <w:pPr>
        <w:rPr>
          <w:rFonts w:cstheme="minorHAnsi"/>
        </w:rPr>
      </w:pPr>
      <w:r w:rsidRPr="00F171A3">
        <w:rPr>
          <w:rFonts w:cstheme="minorHAnsi"/>
        </w:rPr>
        <w:t xml:space="preserve">Activitatea SDLID 2021 - 2027  va fi auditată astfel încât procedurile interne de organizare și funcționare ale instituției să fie îndeplinite, urmărind următoarele: </w:t>
      </w:r>
    </w:p>
    <w:p w14:paraId="49DE3BBF"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Controlul intern al documentelor; </w:t>
      </w:r>
    </w:p>
    <w:p w14:paraId="6DA6D963"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Reguli de comunicare; </w:t>
      </w:r>
    </w:p>
    <w:p w14:paraId="34EEA45A"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Reguli de raportare și responsabilități;</w:t>
      </w:r>
    </w:p>
    <w:p w14:paraId="4223CE10"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Termene de rezolvare și răspuns;</w:t>
      </w:r>
    </w:p>
    <w:p w14:paraId="72A50C95"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Concordanța activităților întreprinse de membrii UIM cu responsabilitățile prevăzute de fișele postului. </w:t>
      </w:r>
    </w:p>
    <w:p w14:paraId="40E0A8FD" w14:textId="52BA0FA1" w:rsidR="009E58CB" w:rsidRPr="00F171A3" w:rsidRDefault="00FC4119" w:rsidP="009E58CB">
      <w:pPr>
        <w:rPr>
          <w:rFonts w:cstheme="minorHAnsi"/>
        </w:rPr>
      </w:pPr>
      <w:r w:rsidRPr="00F171A3">
        <w:rPr>
          <w:rFonts w:cstheme="minorHAnsi"/>
        </w:rPr>
        <w:t xml:space="preserve">Având în vedere faptul că este foarte probabil ca, în unele cazuri, managementul proiectelor individuale să fie subcontractat unor firme de consultanță, monitorizarea activităților desfășurate în proiectele individuale va intra în sarcina consultantului. Acesta va asigura, cu sprijinul unei echipe desemnată de către </w:t>
      </w:r>
      <w:r w:rsidR="00DC7D39" w:rsidRPr="00F171A3">
        <w:rPr>
          <w:rFonts w:cstheme="minorHAnsi"/>
        </w:rPr>
        <w:t>Primăria</w:t>
      </w:r>
      <w:r w:rsidRPr="00F171A3">
        <w:rPr>
          <w:rFonts w:cstheme="minorHAnsi"/>
        </w:rPr>
        <w:t xml:space="preserve"> Sectorului 2, elaborarea rapoartelor de progres privind stadiul implementării, a raportului final, întocmirea cererilor de rambursare a cheltuielilor, elaborarea previziunilor privind fluxurile financiare pentru proiectele individuale.</w:t>
      </w:r>
    </w:p>
    <w:p w14:paraId="05BFCB4E" w14:textId="77777777" w:rsidR="009E58CB" w:rsidRPr="00F171A3" w:rsidRDefault="009E58CB" w:rsidP="009E58CB">
      <w:pPr>
        <w:rPr>
          <w:rFonts w:cstheme="minorHAnsi"/>
        </w:rPr>
      </w:pPr>
      <w:r w:rsidRPr="00F171A3">
        <w:rPr>
          <w:rFonts w:cstheme="minorHAnsi"/>
        </w:rPr>
        <w:t>Monitorizarea activităţilor Strategiei porneşte de la identificarea următoarelor puncte pentru fiecare dintre activităţile principale/proiectele Strategiei:</w:t>
      </w:r>
    </w:p>
    <w:p w14:paraId="29E71733" w14:textId="5044F569"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Perioada de desfă</w:t>
      </w:r>
      <w:r w:rsidR="00DC7D39">
        <w:rPr>
          <w:rFonts w:cstheme="minorHAnsi"/>
          <w:color w:val="134753"/>
          <w:lang w:eastAsia="zh-CN"/>
        </w:rPr>
        <w:t>ș</w:t>
      </w:r>
      <w:r w:rsidRPr="00F171A3">
        <w:rPr>
          <w:rFonts w:cstheme="minorHAnsi"/>
          <w:color w:val="134753"/>
          <w:lang w:eastAsia="zh-CN"/>
        </w:rPr>
        <w:t>ura</w:t>
      </w:r>
      <w:r w:rsidR="00DC7D39">
        <w:rPr>
          <w:rFonts w:cstheme="minorHAnsi"/>
          <w:color w:val="134753"/>
          <w:lang w:eastAsia="zh-CN"/>
        </w:rPr>
        <w:t>t</w:t>
      </w:r>
      <w:r w:rsidRPr="00F171A3">
        <w:rPr>
          <w:rFonts w:cstheme="minorHAnsi"/>
          <w:color w:val="134753"/>
          <w:lang w:eastAsia="zh-CN"/>
        </w:rPr>
        <w:t>e;</w:t>
      </w:r>
    </w:p>
    <w:p w14:paraId="2171CB48"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Legăturile si constrângerile existente între unele activităţi;</w:t>
      </w:r>
    </w:p>
    <w:p w14:paraId="25905523"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Încărcarea cu resurse;</w:t>
      </w:r>
    </w:p>
    <w:p w14:paraId="2D1EDA3C"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Încadrarea în bugetul alocat.</w:t>
      </w:r>
    </w:p>
    <w:p w14:paraId="13A70452" w14:textId="77777777" w:rsidR="009E58CB" w:rsidRPr="00F171A3" w:rsidRDefault="009E58CB" w:rsidP="009E58CB">
      <w:pPr>
        <w:rPr>
          <w:rFonts w:cstheme="minorHAnsi"/>
        </w:rPr>
      </w:pPr>
      <w:r w:rsidRPr="00F171A3">
        <w:rPr>
          <w:rFonts w:cstheme="minorHAnsi"/>
        </w:rPr>
        <w:t>Mai mult, pentru monitorizarea obiectivelor principale ale Strategiei este necesară parcurgerea următoarelor etape:</w:t>
      </w:r>
    </w:p>
    <w:p w14:paraId="095D6D13"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Identificarea obiectivului/obiectivelor generale ale Strategiei (aşa cum au fost ele menţionate şi asumate prin Strategie);</w:t>
      </w:r>
    </w:p>
    <w:p w14:paraId="602E169E"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Definirea indicatorilor ce cuantifică atingerea obiectivelor (din Planul de Monitorizare);</w:t>
      </w:r>
    </w:p>
    <w:p w14:paraId="63268563"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Corelarea Planului Anual de Acțiune (PAA), realizat anual, la nivelul Primăriei Sectorului 2, cu obiectivele Strategiei, cu proiectele prioritare și cu indicatorii din Planul de Monitorizare a SDLID 2021 - 2027;</w:t>
      </w:r>
    </w:p>
    <w:p w14:paraId="57D80692"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Estimarea datei la care se consideră îndeplinite obiectivele;</w:t>
      </w:r>
    </w:p>
    <w:p w14:paraId="1581068D"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Identificarea datei la care se realizează monitorizarea;</w:t>
      </w:r>
    </w:p>
    <w:p w14:paraId="11E51E33"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Stabilirea procentului de realizare a obiectivelor la data monitorizării;</w:t>
      </w:r>
    </w:p>
    <w:p w14:paraId="1DC44F3D"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Identificarea potenţialelor variaţii faţă de reperele stabilite iniţial (dacă este cazul);</w:t>
      </w:r>
    </w:p>
    <w:p w14:paraId="0F20A04B"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Prezentarea justificărilor si a observaţiilor (dacă este cazul);</w:t>
      </w:r>
    </w:p>
    <w:p w14:paraId="71B21B82"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Redactarea raportului de monitorizare la data realizării controlului;</w:t>
      </w:r>
    </w:p>
    <w:p w14:paraId="58D64841"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Corelarea Rapoartelor de monitorizare cu Raportul privind îndeplinirea Planului de Acțiune Anual (PAA);</w:t>
      </w:r>
    </w:p>
    <w:p w14:paraId="2F9ED389"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Stabilirea strategiilor de acţiune manageriale şi de remediere a factorilor perturbatori (dacă este cazul);</w:t>
      </w:r>
    </w:p>
    <w:p w14:paraId="4A023D2C" w14:textId="406234D8"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Integrarea rezultatelor și concluziilor Raportului anual privind </w:t>
      </w:r>
      <w:r w:rsidR="00DC7D39" w:rsidRPr="00F171A3">
        <w:rPr>
          <w:rFonts w:cstheme="minorHAnsi"/>
          <w:color w:val="134753"/>
          <w:lang w:eastAsia="zh-CN"/>
        </w:rPr>
        <w:t>îndeplinirea</w:t>
      </w:r>
      <w:r w:rsidRPr="00F171A3">
        <w:rPr>
          <w:rFonts w:cstheme="minorHAnsi"/>
          <w:color w:val="134753"/>
          <w:lang w:eastAsia="zh-CN"/>
        </w:rPr>
        <w:t xml:space="preserve"> PAA în procesul de prioritizare a proiectelor pentru următoarea perioada și în PAA pentru anul următor.</w:t>
      </w:r>
    </w:p>
    <w:p w14:paraId="52F1998C" w14:textId="77777777" w:rsidR="009E58CB" w:rsidRPr="00F171A3" w:rsidRDefault="009E58CB" w:rsidP="009E58CB">
      <w:pPr>
        <w:spacing w:after="0" w:line="259" w:lineRule="auto"/>
        <w:ind w:left="1080"/>
        <w:rPr>
          <w:rFonts w:cstheme="minorHAnsi"/>
          <w:color w:val="134753"/>
          <w:lang w:eastAsia="zh-CN"/>
        </w:rPr>
      </w:pPr>
    </w:p>
    <w:p w14:paraId="199C8487" w14:textId="78BDC628" w:rsidR="009E58CB" w:rsidRPr="00F171A3" w:rsidRDefault="00F22459" w:rsidP="009E58CB">
      <w:pPr>
        <w:pStyle w:val="Heading3"/>
        <w:rPr>
          <w:rFonts w:cstheme="minorHAnsi"/>
          <w:lang w:val="ro-RO"/>
        </w:rPr>
      </w:pPr>
      <w:bookmarkStart w:id="478" w:name="_Toc106107011"/>
      <w:bookmarkStart w:id="479" w:name="_Toc116556845"/>
      <w:bookmarkStart w:id="480" w:name="_Toc127199324"/>
      <w:r w:rsidRPr="00F171A3">
        <w:rPr>
          <w:rFonts w:cstheme="minorHAnsi"/>
          <w:caps w:val="0"/>
          <w:lang w:val="ro-RO"/>
        </w:rPr>
        <w:t>INDICATORI DE MONITORIZARE</w:t>
      </w:r>
      <w:bookmarkEnd w:id="478"/>
      <w:bookmarkEnd w:id="479"/>
      <w:bookmarkEnd w:id="480"/>
    </w:p>
    <w:p w14:paraId="383A09F9" w14:textId="77777777" w:rsidR="00ED6B44" w:rsidRPr="00F171A3" w:rsidRDefault="00ED6B44" w:rsidP="00ED6B44">
      <w:r w:rsidRPr="00F171A3">
        <w:t>Pentru dezvoltarea cadrului de monitorizare și evaluare, s-au avut în vedere două tipuri de indicatori: indicatori de rezultat (output), referitori la implementarea proiectelor, respectiv indicatori de impact (outcome)</w:t>
      </w:r>
      <w:r w:rsidRPr="00F171A3">
        <w:rPr>
          <w:rStyle w:val="FootnoteReference"/>
          <w:rFonts w:cs="Times New Roman"/>
          <w:sz w:val="24"/>
          <w:szCs w:val="24"/>
        </w:rPr>
        <w:footnoteReference w:id="176"/>
      </w:r>
      <w:r w:rsidRPr="00F171A3">
        <w:t xml:space="preserve">. </w:t>
      </w:r>
    </w:p>
    <w:p w14:paraId="22C97389" w14:textId="2D9F834B" w:rsidR="00ED6B44" w:rsidRPr="00F171A3" w:rsidRDefault="00ED6B44">
      <w:pPr>
        <w:pStyle w:val="ListParagraph"/>
        <w:numPr>
          <w:ilvl w:val="0"/>
          <w:numId w:val="60"/>
        </w:numPr>
        <w:rPr>
          <w:color w:val="auto"/>
        </w:rPr>
      </w:pPr>
      <w:r w:rsidRPr="00F171A3">
        <w:rPr>
          <w:b/>
          <w:bCs/>
        </w:rPr>
        <w:t xml:space="preserve">Indicatorii de rezultat </w:t>
      </w:r>
      <w:r w:rsidRPr="00F171A3">
        <w:rPr>
          <w:color w:val="auto"/>
        </w:rPr>
        <w:t>vor fi măsurați pe baza listei de proiecte prioritare, a termenelor și bugetelor asumate pentru proiectele ce vor fi implementate în perioada de programare 2021-2027. Pe baza acestor indicatori se vor realiza</w:t>
      </w:r>
      <w:r w:rsidR="000D02D4" w:rsidRPr="00F171A3">
        <w:rPr>
          <w:color w:val="auto"/>
        </w:rPr>
        <w:t xml:space="preserve"> m</w:t>
      </w:r>
      <w:r w:rsidRPr="00F171A3">
        <w:rPr>
          <w:color w:val="auto"/>
        </w:rPr>
        <w:t xml:space="preserve">onitorizarea și evaluarea din punct de vedere cantitativ și calitativ al implementării SDLID S2, urmărind implementarea portofoliului de proiecte în conformitate cu lista de proiecte prioritare (ex. număr de proiecte per obiective etc.), cu bugetele estimate (ex. buget estimat vs. realizat) și cu etapele principale din planul de acțiune, respectiv cu orizontul de timp estimat pentru finalizarea proiectelor. </w:t>
      </w:r>
    </w:p>
    <w:p w14:paraId="3DEFD5AF" w14:textId="3D5242A9" w:rsidR="001A2431" w:rsidRPr="00F171A3" w:rsidRDefault="00ED6B44" w:rsidP="000D02D4">
      <w:pPr>
        <w:ind w:firstLine="720"/>
      </w:pPr>
      <w:r w:rsidRPr="00F171A3">
        <w:t xml:space="preserve">Pentru monitorizarea și evaluarea implementării SDLID S2, se vor utiliza următorii indicatori globali: </w:t>
      </w:r>
    </w:p>
    <w:tbl>
      <w:tblPr>
        <w:tblStyle w:val="Civitta4"/>
        <w:tblW w:w="0" w:type="auto"/>
        <w:tblLook w:val="04A0" w:firstRow="1" w:lastRow="0" w:firstColumn="1" w:lastColumn="0" w:noHBand="0" w:noVBand="1"/>
      </w:tblPr>
      <w:tblGrid>
        <w:gridCol w:w="3371"/>
        <w:gridCol w:w="1118"/>
        <w:gridCol w:w="2494"/>
        <w:gridCol w:w="2452"/>
      </w:tblGrid>
      <w:tr w:rsidR="00FC4119" w:rsidRPr="00F171A3" w14:paraId="3CE74A0F" w14:textId="77777777" w:rsidTr="00FC41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300FD94C"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Indicator</w:t>
            </w:r>
          </w:p>
        </w:tc>
        <w:tc>
          <w:tcPr>
            <w:tcW w:w="0" w:type="auto"/>
            <w:shd w:val="clear" w:color="auto" w:fill="134753" w:themeFill="text2"/>
            <w:vAlign w:val="center"/>
          </w:tcPr>
          <w:p w14:paraId="6B101644" w14:textId="77777777" w:rsidR="00FC4119" w:rsidRPr="00F171A3" w:rsidRDefault="00FC4119" w:rsidP="00FC411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rPr>
            </w:pPr>
            <w:r w:rsidRPr="00F171A3">
              <w:rPr>
                <w:rFonts w:asciiTheme="minorHAnsi" w:hAnsiTheme="minorHAnsi" w:cstheme="minorHAnsi"/>
                <w:b/>
                <w:bCs w:val="0"/>
              </w:rPr>
              <w:t>Valoare de referință</w:t>
            </w:r>
          </w:p>
        </w:tc>
        <w:tc>
          <w:tcPr>
            <w:tcW w:w="0" w:type="auto"/>
            <w:shd w:val="clear" w:color="auto" w:fill="134753" w:themeFill="text2"/>
            <w:vAlign w:val="center"/>
          </w:tcPr>
          <w:p w14:paraId="633330DA" w14:textId="77777777" w:rsidR="00FC4119" w:rsidRPr="00F171A3" w:rsidRDefault="00FC4119" w:rsidP="00FC411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rPr>
            </w:pPr>
            <w:r w:rsidRPr="00F171A3">
              <w:rPr>
                <w:rFonts w:asciiTheme="minorHAnsi" w:hAnsiTheme="minorHAnsi" w:cstheme="minorHAnsi"/>
                <w:b/>
                <w:bCs w:val="0"/>
              </w:rPr>
              <w:t>Țintă 2027 (2030)</w:t>
            </w:r>
          </w:p>
        </w:tc>
        <w:tc>
          <w:tcPr>
            <w:tcW w:w="0" w:type="auto"/>
            <w:shd w:val="clear" w:color="auto" w:fill="134753" w:themeFill="text2"/>
            <w:vAlign w:val="center"/>
          </w:tcPr>
          <w:p w14:paraId="3DE608AA" w14:textId="77777777" w:rsidR="00FC4119" w:rsidRPr="00F171A3" w:rsidRDefault="00FC4119" w:rsidP="00FC411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rPr>
            </w:pPr>
            <w:r w:rsidRPr="00F171A3">
              <w:rPr>
                <w:rFonts w:asciiTheme="minorHAnsi" w:hAnsiTheme="minorHAnsi" w:cstheme="minorHAnsi"/>
                <w:b/>
                <w:bCs w:val="0"/>
              </w:rPr>
              <w:t>Sursă de verificare</w:t>
            </w:r>
          </w:p>
        </w:tc>
      </w:tr>
      <w:tr w:rsidR="00FC4119" w:rsidRPr="00F171A3" w14:paraId="7F4BCE89" w14:textId="77777777" w:rsidTr="00FC41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2897B1" w:themeFill="accent4" w:themeFillShade="80"/>
          </w:tcPr>
          <w:p w14:paraId="1010F54C"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Ponderea proiectelor din lista de proiecte prioritare eligibile pentru fonduri nerambursabile pregătite pentru a aplica pentru finanțare</w:t>
            </w:r>
          </w:p>
        </w:tc>
        <w:tc>
          <w:tcPr>
            <w:tcW w:w="0" w:type="auto"/>
          </w:tcPr>
          <w:p w14:paraId="759F21E6"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w:t>
            </w:r>
          </w:p>
        </w:tc>
        <w:tc>
          <w:tcPr>
            <w:tcW w:w="0" w:type="auto"/>
            <w:vAlign w:val="center"/>
          </w:tcPr>
          <w:p w14:paraId="74E464B8" w14:textId="77777777" w:rsidR="00FC4119" w:rsidRPr="00F171A3" w:rsidRDefault="00FC4119" w:rsidP="00FC4119">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70-100%, în funcție de disponibilitatea fondurilor și de regulile stabilite de finanțatori</w:t>
            </w:r>
          </w:p>
        </w:tc>
        <w:tc>
          <w:tcPr>
            <w:tcW w:w="0" w:type="auto"/>
            <w:vAlign w:val="center"/>
          </w:tcPr>
          <w:p w14:paraId="78F8E3E5" w14:textId="77777777" w:rsidR="00FC4119" w:rsidRPr="00F171A3" w:rsidRDefault="00FC4119" w:rsidP="00FC4119">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Primăria Sectorului 2 (PS2), în funcție de documentațiile disponibile pentru proiecte</w:t>
            </w:r>
          </w:p>
        </w:tc>
      </w:tr>
      <w:tr w:rsidR="00FC4119" w:rsidRPr="00F171A3" w14:paraId="72033C7B" w14:textId="77777777" w:rsidTr="00FC41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2897B1" w:themeFill="accent4" w:themeFillShade="80"/>
          </w:tcPr>
          <w:p w14:paraId="1A3F51D6"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 xml:space="preserve">Ponderea proiectelor în curs de depunere/ implementare din totalul proiectelor prioritare aferente fiecărui obiectiv strategic </w:t>
            </w:r>
          </w:p>
        </w:tc>
        <w:tc>
          <w:tcPr>
            <w:tcW w:w="0" w:type="auto"/>
          </w:tcPr>
          <w:p w14:paraId="0A334028"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w:t>
            </w:r>
          </w:p>
        </w:tc>
        <w:tc>
          <w:tcPr>
            <w:tcW w:w="0" w:type="auto"/>
            <w:vAlign w:val="center"/>
          </w:tcPr>
          <w:p w14:paraId="6B3107F5" w14:textId="77777777" w:rsidR="00FC4119" w:rsidRPr="00F171A3" w:rsidRDefault="00FC4119" w:rsidP="00FC4119">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Peste 50%</w:t>
            </w:r>
          </w:p>
        </w:tc>
        <w:tc>
          <w:tcPr>
            <w:tcW w:w="0" w:type="auto"/>
            <w:vAlign w:val="center"/>
          </w:tcPr>
          <w:p w14:paraId="530B4281" w14:textId="77777777" w:rsidR="00FC4119" w:rsidRPr="00F171A3" w:rsidRDefault="00FC4119" w:rsidP="00FC4119">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PS2</w:t>
            </w:r>
          </w:p>
        </w:tc>
      </w:tr>
      <w:tr w:rsidR="00FC4119" w:rsidRPr="00F171A3" w14:paraId="4C4A3FB7" w14:textId="77777777" w:rsidTr="00FC41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2897B1" w:themeFill="accent4" w:themeFillShade="80"/>
          </w:tcPr>
          <w:p w14:paraId="013430ED"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 xml:space="preserve">Ponderea bugetelor proiectelor în curs de depunere/ implementare din bugetul total al proiectelor prioritare aferente fiecărui obiectiv strategic </w:t>
            </w:r>
          </w:p>
        </w:tc>
        <w:tc>
          <w:tcPr>
            <w:tcW w:w="0" w:type="auto"/>
          </w:tcPr>
          <w:p w14:paraId="4A45997D"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w:t>
            </w:r>
          </w:p>
        </w:tc>
        <w:tc>
          <w:tcPr>
            <w:tcW w:w="0" w:type="auto"/>
            <w:vAlign w:val="center"/>
          </w:tcPr>
          <w:p w14:paraId="6B1E1C63" w14:textId="77777777" w:rsidR="00FC4119" w:rsidRPr="00F171A3" w:rsidRDefault="00FC4119" w:rsidP="00FC4119">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Peste 50%</w:t>
            </w:r>
          </w:p>
        </w:tc>
        <w:tc>
          <w:tcPr>
            <w:tcW w:w="0" w:type="auto"/>
            <w:vAlign w:val="center"/>
          </w:tcPr>
          <w:p w14:paraId="7D33EE4F" w14:textId="77777777" w:rsidR="00FC4119" w:rsidRPr="00F171A3" w:rsidRDefault="00FC4119" w:rsidP="00FC4119">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PS2</w:t>
            </w:r>
          </w:p>
        </w:tc>
      </w:tr>
      <w:tr w:rsidR="00FC4119" w:rsidRPr="00F171A3" w14:paraId="3AF3A2B2" w14:textId="77777777" w:rsidTr="00FC41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2897B1" w:themeFill="accent4" w:themeFillShade="80"/>
          </w:tcPr>
          <w:p w14:paraId="577B226D"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Respectarea graficului de timp aferent planului de acțiune pentru implementarea SDLID S2</w:t>
            </w:r>
          </w:p>
        </w:tc>
        <w:tc>
          <w:tcPr>
            <w:tcW w:w="0" w:type="auto"/>
          </w:tcPr>
          <w:p w14:paraId="29E48C5C"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w:t>
            </w:r>
          </w:p>
        </w:tc>
        <w:tc>
          <w:tcPr>
            <w:tcW w:w="0" w:type="auto"/>
            <w:vAlign w:val="center"/>
          </w:tcPr>
          <w:p w14:paraId="3FE97A51" w14:textId="77777777" w:rsidR="00FC4119" w:rsidRPr="00F171A3" w:rsidRDefault="00FC4119" w:rsidP="00FC4119">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Da</w:t>
            </w:r>
          </w:p>
        </w:tc>
        <w:tc>
          <w:tcPr>
            <w:tcW w:w="0" w:type="auto"/>
            <w:vAlign w:val="center"/>
          </w:tcPr>
          <w:p w14:paraId="7B06478B" w14:textId="77777777" w:rsidR="00FC4119" w:rsidRPr="00F171A3" w:rsidRDefault="00FC4119" w:rsidP="00FC4119">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PS2, verificare și actualizare semestrială</w:t>
            </w:r>
          </w:p>
        </w:tc>
      </w:tr>
      <w:tr w:rsidR="00FC4119" w:rsidRPr="00F171A3" w14:paraId="2F738D59" w14:textId="77777777" w:rsidTr="00FC41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2897B1" w:themeFill="accent4" w:themeFillShade="80"/>
          </w:tcPr>
          <w:p w14:paraId="2FB5629A"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Ponderea proiectelor cu întârzieri din totalul proiectelor din lista de proiecte prioritare</w:t>
            </w:r>
          </w:p>
        </w:tc>
        <w:tc>
          <w:tcPr>
            <w:tcW w:w="0" w:type="auto"/>
          </w:tcPr>
          <w:p w14:paraId="5C9482EA"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w:t>
            </w:r>
          </w:p>
        </w:tc>
        <w:tc>
          <w:tcPr>
            <w:tcW w:w="0" w:type="auto"/>
            <w:vAlign w:val="center"/>
          </w:tcPr>
          <w:p w14:paraId="486F2419" w14:textId="77777777" w:rsidR="00FC4119" w:rsidRPr="00F171A3" w:rsidRDefault="00FC4119" w:rsidP="00FC4119">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&lt;20%</w:t>
            </w:r>
          </w:p>
        </w:tc>
        <w:tc>
          <w:tcPr>
            <w:tcW w:w="0" w:type="auto"/>
            <w:vAlign w:val="center"/>
          </w:tcPr>
          <w:p w14:paraId="6AC8ABCB" w14:textId="77777777" w:rsidR="00FC4119" w:rsidRPr="00F171A3" w:rsidRDefault="00FC4119" w:rsidP="00FC4119">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PS2</w:t>
            </w:r>
          </w:p>
        </w:tc>
      </w:tr>
    </w:tbl>
    <w:p w14:paraId="0565DEE1" w14:textId="77777777" w:rsidR="000379F0" w:rsidRPr="00F171A3" w:rsidRDefault="000379F0" w:rsidP="000379F0"/>
    <w:p w14:paraId="7DB1C645" w14:textId="74E035D3" w:rsidR="009E58CB" w:rsidRPr="00F171A3" w:rsidRDefault="00B166F8" w:rsidP="000379F0">
      <w:r w:rsidRPr="00F171A3">
        <w:t>La nivelul obiectivelor strategice, următorii indicatori de rezultat sunt esențiali pentru urmărirea contribuției la îndeplinirea viziunii propuse</w:t>
      </w:r>
      <w:r w:rsidR="00FC4119" w:rsidRPr="00F171A3">
        <w:t xml:space="preserve"> (indicatorii de monitorizare SDLID 2021-2027 (2030))</w:t>
      </w:r>
      <w:r w:rsidRPr="00F171A3">
        <w:t xml:space="preserve">: </w:t>
      </w:r>
    </w:p>
    <w:tbl>
      <w:tblPr>
        <w:tblStyle w:val="Civittatable"/>
        <w:tblW w:w="5031" w:type="pct"/>
        <w:tblLook w:val="04A0" w:firstRow="1" w:lastRow="0" w:firstColumn="1" w:lastColumn="0" w:noHBand="0" w:noVBand="1"/>
      </w:tblPr>
      <w:tblGrid>
        <w:gridCol w:w="2357"/>
        <w:gridCol w:w="2988"/>
        <w:gridCol w:w="2073"/>
        <w:gridCol w:w="2075"/>
      </w:tblGrid>
      <w:tr w:rsidR="00FC4119" w:rsidRPr="00F171A3" w14:paraId="458708CA" w14:textId="77777777" w:rsidTr="00FC4119">
        <w:trPr>
          <w:cnfStyle w:val="100000000000" w:firstRow="1" w:lastRow="0" w:firstColumn="0" w:lastColumn="0" w:oddVBand="0" w:evenVBand="0" w:oddHBand="0" w:evenHBand="0" w:firstRowFirstColumn="0" w:firstRowLastColumn="0" w:lastRowFirstColumn="0" w:lastRowLastColumn="0"/>
          <w:trHeight w:val="947"/>
        </w:trPr>
        <w:tc>
          <w:tcPr>
            <w:tcW w:w="1241" w:type="pct"/>
            <w:vAlign w:val="center"/>
          </w:tcPr>
          <w:p w14:paraId="5E47A35D" w14:textId="77777777" w:rsidR="00FC4119" w:rsidRPr="00F171A3" w:rsidRDefault="00FC4119" w:rsidP="00FC4119">
            <w:pPr>
              <w:pStyle w:val="Style2"/>
              <w:numPr>
                <w:ilvl w:val="0"/>
                <w:numId w:val="0"/>
              </w:numPr>
              <w:jc w:val="center"/>
            </w:pPr>
            <w:bookmarkStart w:id="481" w:name="_Toc127199325"/>
            <w:r w:rsidRPr="00F171A3">
              <w:rPr>
                <w:caps w:val="0"/>
              </w:rPr>
              <w:t>OBIECTIV STRATEGIC/PBIECTIV SPECIFIC</w:t>
            </w:r>
            <w:bookmarkEnd w:id="481"/>
          </w:p>
        </w:tc>
        <w:tc>
          <w:tcPr>
            <w:tcW w:w="1574" w:type="pct"/>
            <w:vAlign w:val="center"/>
          </w:tcPr>
          <w:p w14:paraId="7D52FE73" w14:textId="77777777" w:rsidR="00FC4119" w:rsidRPr="00F171A3" w:rsidRDefault="00FC4119" w:rsidP="00FC4119">
            <w:pPr>
              <w:pStyle w:val="Style2"/>
              <w:numPr>
                <w:ilvl w:val="0"/>
                <w:numId w:val="0"/>
              </w:numPr>
              <w:jc w:val="center"/>
              <w:rPr>
                <w:caps w:val="0"/>
              </w:rPr>
            </w:pPr>
            <w:bookmarkStart w:id="482" w:name="_Toc127199326"/>
            <w:r w:rsidRPr="00F171A3">
              <w:rPr>
                <w:caps w:val="0"/>
              </w:rPr>
              <w:t>INDICATOR</w:t>
            </w:r>
            <w:bookmarkEnd w:id="482"/>
          </w:p>
        </w:tc>
        <w:tc>
          <w:tcPr>
            <w:tcW w:w="1092" w:type="pct"/>
            <w:vAlign w:val="center"/>
          </w:tcPr>
          <w:p w14:paraId="73F86F8B" w14:textId="77777777" w:rsidR="00FC4119" w:rsidRPr="00F171A3" w:rsidRDefault="00FC4119" w:rsidP="00FC4119">
            <w:pPr>
              <w:spacing w:after="0"/>
              <w:jc w:val="center"/>
              <w:rPr>
                <w:rFonts w:cstheme="minorHAnsi"/>
                <w:b/>
                <w:bCs/>
                <w:szCs w:val="20"/>
              </w:rPr>
            </w:pPr>
            <w:r w:rsidRPr="00F171A3">
              <w:rPr>
                <w:rFonts w:cstheme="minorHAnsi"/>
                <w:b/>
                <w:bCs/>
                <w:szCs w:val="20"/>
              </w:rPr>
              <w:t>valoare de referință 2021</w:t>
            </w:r>
          </w:p>
        </w:tc>
        <w:tc>
          <w:tcPr>
            <w:tcW w:w="1092" w:type="pct"/>
            <w:vAlign w:val="center"/>
          </w:tcPr>
          <w:p w14:paraId="1CDC2BBF" w14:textId="77777777" w:rsidR="00FC4119" w:rsidRPr="00F171A3" w:rsidRDefault="00FC4119" w:rsidP="00FC4119">
            <w:pPr>
              <w:spacing w:after="0"/>
              <w:jc w:val="center"/>
              <w:rPr>
                <w:rFonts w:cstheme="minorHAnsi"/>
                <w:b/>
                <w:bCs/>
                <w:szCs w:val="20"/>
              </w:rPr>
            </w:pPr>
            <w:r w:rsidRPr="00F171A3">
              <w:rPr>
                <w:rFonts w:cstheme="minorHAnsi"/>
                <w:b/>
                <w:bCs/>
                <w:szCs w:val="20"/>
              </w:rPr>
              <w:t>ȚINTĂ 2027 (2030)</w:t>
            </w:r>
          </w:p>
        </w:tc>
      </w:tr>
      <w:tr w:rsidR="00FC4119" w:rsidRPr="00F171A3" w14:paraId="22662EF0" w14:textId="77777777" w:rsidTr="00FC4119">
        <w:trPr>
          <w:cnfStyle w:val="000000100000" w:firstRow="0" w:lastRow="0" w:firstColumn="0" w:lastColumn="0" w:oddVBand="0" w:evenVBand="0" w:oddHBand="1" w:evenHBand="0" w:firstRowFirstColumn="0" w:firstRowLastColumn="0" w:lastRowFirstColumn="0" w:lastRowLastColumn="0"/>
          <w:trHeight w:val="740"/>
        </w:trPr>
        <w:tc>
          <w:tcPr>
            <w:tcW w:w="5000" w:type="pct"/>
            <w:gridSpan w:val="4"/>
            <w:shd w:val="clear" w:color="auto" w:fill="134753" w:themeFill="accent2"/>
            <w:vAlign w:val="center"/>
          </w:tcPr>
          <w:p w14:paraId="68691562" w14:textId="77777777" w:rsidR="00FC4119" w:rsidRPr="00F171A3" w:rsidRDefault="00FC4119" w:rsidP="00FC4119">
            <w:pPr>
              <w:pStyle w:val="Style2"/>
              <w:numPr>
                <w:ilvl w:val="0"/>
                <w:numId w:val="0"/>
              </w:numPr>
              <w:jc w:val="center"/>
            </w:pPr>
            <w:bookmarkStart w:id="483" w:name="_Toc127199327"/>
            <w:r w:rsidRPr="00F171A3">
              <w:t>OBIECTIV STRATEGIC O1 – SECTOR PENTRU CETĂȚENI, CU UN CADRU URBAN ATRACTIV ȘI SERVICII PUBLICE MODERNE ȘI PERFORMANTE, CE SUSȚIN DEZVOLTAREA COMUNITĂȚII LOCALE ȘI ASIGURĂ O CALITATE RIDICATĂ A LOCUIRII</w:t>
            </w:r>
            <w:bookmarkEnd w:id="483"/>
          </w:p>
        </w:tc>
      </w:tr>
      <w:tr w:rsidR="00FC4119" w:rsidRPr="00F171A3" w14:paraId="3EE1EA01" w14:textId="77777777" w:rsidTr="00FC4119">
        <w:trPr>
          <w:cnfStyle w:val="000000010000" w:firstRow="0" w:lastRow="0" w:firstColumn="0" w:lastColumn="0" w:oddVBand="0" w:evenVBand="0" w:oddHBand="0" w:evenHBand="1" w:firstRowFirstColumn="0" w:firstRowLastColumn="0" w:lastRowFirstColumn="0" w:lastRowLastColumn="0"/>
          <w:trHeight w:val="431"/>
        </w:trPr>
        <w:tc>
          <w:tcPr>
            <w:tcW w:w="1241" w:type="pct"/>
            <w:vMerge w:val="restart"/>
            <w:shd w:val="clear" w:color="auto" w:fill="2897B1" w:themeFill="accent4" w:themeFillShade="80"/>
          </w:tcPr>
          <w:p w14:paraId="45237AF7" w14:textId="77777777" w:rsidR="00FC4119" w:rsidRPr="00F171A3" w:rsidRDefault="00FC4119" w:rsidP="005F06F6">
            <w:pPr>
              <w:spacing w:after="0"/>
              <w:rPr>
                <w:rFonts w:cstheme="minorHAnsi"/>
                <w:b/>
                <w:bCs/>
                <w:szCs w:val="20"/>
              </w:rPr>
            </w:pPr>
            <w:r w:rsidRPr="00F171A3">
              <w:rPr>
                <w:rFonts w:cstheme="minorHAnsi"/>
                <w:b/>
                <w:bCs/>
                <w:color w:val="FFFFFF" w:themeColor="background1"/>
                <w:szCs w:val="20"/>
              </w:rPr>
              <w:t>O1.1 -</w:t>
            </w:r>
            <w:r w:rsidRPr="00F171A3">
              <w:rPr>
                <w:rFonts w:cstheme="minorHAnsi"/>
                <w:b/>
                <w:bCs/>
                <w:color w:val="FFFFFF" w:themeColor="background1"/>
              </w:rPr>
              <w:t xml:space="preserve"> Cadru urban revitalizat și cu o imagine urbană reprezentativă</w:t>
            </w:r>
          </w:p>
        </w:tc>
        <w:tc>
          <w:tcPr>
            <w:tcW w:w="1574" w:type="pct"/>
          </w:tcPr>
          <w:p w14:paraId="7D311E08" w14:textId="77777777" w:rsidR="00FC4119" w:rsidRPr="00F171A3" w:rsidRDefault="00FC4119" w:rsidP="005F06F6">
            <w:pPr>
              <w:spacing w:after="0"/>
              <w:rPr>
                <w:rFonts w:cstheme="minorHAnsi"/>
                <w:bCs/>
                <w:szCs w:val="20"/>
              </w:rPr>
            </w:pPr>
            <w:r w:rsidRPr="00F171A3">
              <w:rPr>
                <w:rFonts w:cstheme="minorHAnsi"/>
                <w:bCs/>
                <w:szCs w:val="20"/>
              </w:rPr>
              <w:t>Nivelul de respectare a reglementărilor referitoare la amenajarea/modernizarea spațiilor verzi/publice (suprafață, amplasarea în teritoriu, calitatea lucrărilor etc)</w:t>
            </w:r>
          </w:p>
        </w:tc>
        <w:tc>
          <w:tcPr>
            <w:tcW w:w="1092" w:type="pct"/>
          </w:tcPr>
          <w:p w14:paraId="605A23F9"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7D22E617" w14:textId="77777777" w:rsidR="00FC4119" w:rsidRPr="00F171A3" w:rsidRDefault="00FC4119" w:rsidP="005F06F6">
            <w:pPr>
              <w:spacing w:after="0"/>
              <w:rPr>
                <w:rFonts w:cstheme="minorHAnsi"/>
                <w:bCs/>
                <w:szCs w:val="20"/>
              </w:rPr>
            </w:pPr>
            <w:r w:rsidRPr="00F171A3">
              <w:rPr>
                <w:rFonts w:cstheme="minorHAnsi"/>
                <w:bCs/>
                <w:szCs w:val="20"/>
              </w:rPr>
              <w:t>100%</w:t>
            </w:r>
          </w:p>
        </w:tc>
      </w:tr>
      <w:tr w:rsidR="00FC4119" w:rsidRPr="00F171A3" w14:paraId="06C35513" w14:textId="77777777" w:rsidTr="00FC4119">
        <w:trPr>
          <w:cnfStyle w:val="000000100000" w:firstRow="0" w:lastRow="0" w:firstColumn="0" w:lastColumn="0" w:oddVBand="0" w:evenVBand="0" w:oddHBand="1" w:evenHBand="0" w:firstRowFirstColumn="0" w:firstRowLastColumn="0" w:lastRowFirstColumn="0" w:lastRowLastColumn="0"/>
          <w:trHeight w:val="431"/>
        </w:trPr>
        <w:tc>
          <w:tcPr>
            <w:tcW w:w="1241" w:type="pct"/>
            <w:vMerge/>
            <w:shd w:val="clear" w:color="auto" w:fill="2897B1" w:themeFill="accent4" w:themeFillShade="80"/>
          </w:tcPr>
          <w:p w14:paraId="7BDB06B2" w14:textId="77777777" w:rsidR="00FC4119" w:rsidRPr="00F171A3" w:rsidRDefault="00FC4119" w:rsidP="005F06F6">
            <w:pPr>
              <w:spacing w:after="0"/>
              <w:rPr>
                <w:rFonts w:cstheme="minorHAnsi"/>
                <w:bCs/>
                <w:szCs w:val="20"/>
              </w:rPr>
            </w:pPr>
          </w:p>
        </w:tc>
        <w:tc>
          <w:tcPr>
            <w:tcW w:w="1574" w:type="pct"/>
          </w:tcPr>
          <w:p w14:paraId="1C9CCECE" w14:textId="77777777" w:rsidR="00FC4119" w:rsidRPr="00F171A3" w:rsidRDefault="00FC4119" w:rsidP="005F06F6">
            <w:pPr>
              <w:spacing w:after="0"/>
              <w:rPr>
                <w:rFonts w:cstheme="minorHAnsi"/>
                <w:bCs/>
                <w:szCs w:val="20"/>
              </w:rPr>
            </w:pPr>
            <w:r w:rsidRPr="00F171A3">
              <w:rPr>
                <w:rFonts w:cstheme="minorHAnsi"/>
                <w:bCs/>
                <w:szCs w:val="20"/>
              </w:rPr>
              <w:t>Nivelul de dotare a spațiilor publice de suprafață</w:t>
            </w:r>
          </w:p>
        </w:tc>
        <w:tc>
          <w:tcPr>
            <w:tcW w:w="1092" w:type="pct"/>
          </w:tcPr>
          <w:p w14:paraId="46B67D4B"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61F17285" w14:textId="77777777" w:rsidR="00FC4119" w:rsidRPr="00F171A3" w:rsidRDefault="00FC4119" w:rsidP="005F06F6">
            <w:pPr>
              <w:spacing w:after="0"/>
              <w:rPr>
                <w:rFonts w:cstheme="minorHAnsi"/>
                <w:bCs/>
                <w:szCs w:val="20"/>
              </w:rPr>
            </w:pPr>
            <w:r w:rsidRPr="00F171A3">
              <w:rPr>
                <w:rFonts w:cstheme="minorHAnsi"/>
                <w:bCs/>
                <w:szCs w:val="20"/>
              </w:rPr>
              <w:t>100%</w:t>
            </w:r>
          </w:p>
        </w:tc>
      </w:tr>
      <w:tr w:rsidR="00FC4119" w:rsidRPr="00F171A3" w14:paraId="023C8E71" w14:textId="77777777" w:rsidTr="00FC4119">
        <w:trPr>
          <w:cnfStyle w:val="000000010000" w:firstRow="0" w:lastRow="0" w:firstColumn="0" w:lastColumn="0" w:oddVBand="0" w:evenVBand="0" w:oddHBand="0" w:evenHBand="1" w:firstRowFirstColumn="0" w:firstRowLastColumn="0" w:lastRowFirstColumn="0" w:lastRowLastColumn="0"/>
          <w:trHeight w:val="431"/>
        </w:trPr>
        <w:tc>
          <w:tcPr>
            <w:tcW w:w="1241" w:type="pct"/>
            <w:vMerge/>
            <w:shd w:val="clear" w:color="auto" w:fill="2897B1" w:themeFill="accent4" w:themeFillShade="80"/>
          </w:tcPr>
          <w:p w14:paraId="0EA37DF1" w14:textId="77777777" w:rsidR="00FC4119" w:rsidRPr="00F171A3" w:rsidRDefault="00FC4119" w:rsidP="005F06F6">
            <w:pPr>
              <w:spacing w:after="0"/>
              <w:rPr>
                <w:rFonts w:cstheme="minorHAnsi"/>
                <w:bCs/>
                <w:szCs w:val="20"/>
              </w:rPr>
            </w:pPr>
          </w:p>
        </w:tc>
        <w:tc>
          <w:tcPr>
            <w:tcW w:w="1574" w:type="pct"/>
          </w:tcPr>
          <w:p w14:paraId="31233755" w14:textId="77777777" w:rsidR="00FC4119" w:rsidRPr="00F171A3" w:rsidRDefault="00FC4119" w:rsidP="005F06F6">
            <w:pPr>
              <w:spacing w:after="0"/>
              <w:rPr>
                <w:rFonts w:cstheme="minorHAnsi"/>
                <w:bCs/>
                <w:szCs w:val="20"/>
              </w:rPr>
            </w:pPr>
            <w:r w:rsidRPr="00F171A3">
              <w:rPr>
                <w:rFonts w:cstheme="minorHAnsi"/>
                <w:bCs/>
                <w:szCs w:val="20"/>
              </w:rPr>
              <w:t>Număr de piețe urbane modernizate</w:t>
            </w:r>
          </w:p>
        </w:tc>
        <w:tc>
          <w:tcPr>
            <w:tcW w:w="1092" w:type="pct"/>
          </w:tcPr>
          <w:p w14:paraId="2F0E74DF" w14:textId="77777777" w:rsidR="00FC4119" w:rsidRPr="00F171A3" w:rsidRDefault="00FC4119" w:rsidP="005F06F6">
            <w:pPr>
              <w:spacing w:after="0"/>
              <w:rPr>
                <w:rFonts w:cstheme="minorHAnsi"/>
                <w:bCs/>
                <w:szCs w:val="20"/>
              </w:rPr>
            </w:pPr>
            <w:r w:rsidRPr="00F171A3">
              <w:rPr>
                <w:rFonts w:cstheme="minorHAnsi"/>
                <w:bCs/>
                <w:szCs w:val="20"/>
              </w:rPr>
              <w:t>6 piețe în curs de modernizare</w:t>
            </w:r>
          </w:p>
        </w:tc>
        <w:tc>
          <w:tcPr>
            <w:tcW w:w="1092" w:type="pct"/>
          </w:tcPr>
          <w:p w14:paraId="58A6634E" w14:textId="77777777" w:rsidR="00FC4119" w:rsidRPr="00F171A3" w:rsidRDefault="00FC4119" w:rsidP="005F06F6">
            <w:pPr>
              <w:spacing w:after="0"/>
              <w:rPr>
                <w:rFonts w:cstheme="minorHAnsi"/>
                <w:bCs/>
                <w:szCs w:val="20"/>
              </w:rPr>
            </w:pPr>
            <w:r w:rsidRPr="00F171A3">
              <w:rPr>
                <w:rFonts w:cstheme="minorHAnsi"/>
                <w:bCs/>
                <w:szCs w:val="20"/>
              </w:rPr>
              <w:t>100%</w:t>
            </w:r>
          </w:p>
        </w:tc>
      </w:tr>
      <w:tr w:rsidR="00FC4119" w:rsidRPr="00F171A3" w14:paraId="64F7D68A" w14:textId="77777777" w:rsidTr="00FC4119">
        <w:trPr>
          <w:cnfStyle w:val="000000100000" w:firstRow="0" w:lastRow="0" w:firstColumn="0" w:lastColumn="0" w:oddVBand="0" w:evenVBand="0" w:oddHBand="1" w:evenHBand="0" w:firstRowFirstColumn="0" w:firstRowLastColumn="0" w:lastRowFirstColumn="0" w:lastRowLastColumn="0"/>
          <w:trHeight w:val="431"/>
        </w:trPr>
        <w:tc>
          <w:tcPr>
            <w:tcW w:w="1241" w:type="pct"/>
            <w:vMerge/>
            <w:shd w:val="clear" w:color="auto" w:fill="2897B1" w:themeFill="accent4" w:themeFillShade="80"/>
          </w:tcPr>
          <w:p w14:paraId="68313620" w14:textId="77777777" w:rsidR="00FC4119" w:rsidRPr="00F171A3" w:rsidRDefault="00FC4119" w:rsidP="005F06F6">
            <w:pPr>
              <w:spacing w:after="0"/>
              <w:rPr>
                <w:rFonts w:cstheme="minorHAnsi"/>
                <w:bCs/>
                <w:szCs w:val="20"/>
              </w:rPr>
            </w:pPr>
          </w:p>
        </w:tc>
        <w:tc>
          <w:tcPr>
            <w:tcW w:w="1574" w:type="pct"/>
          </w:tcPr>
          <w:p w14:paraId="42F668DB" w14:textId="77777777" w:rsidR="00FC4119" w:rsidRPr="00F171A3" w:rsidRDefault="00FC4119" w:rsidP="005F06F6">
            <w:pPr>
              <w:spacing w:after="0"/>
              <w:rPr>
                <w:rFonts w:cstheme="minorHAnsi"/>
                <w:bCs/>
                <w:szCs w:val="20"/>
              </w:rPr>
            </w:pPr>
            <w:r w:rsidRPr="00F171A3">
              <w:rPr>
                <w:rFonts w:cstheme="minorHAnsi"/>
                <w:bCs/>
                <w:szCs w:val="20"/>
              </w:rPr>
              <w:t>Număr de spații verzi/publice modernizate/reamenajate</w:t>
            </w:r>
          </w:p>
        </w:tc>
        <w:tc>
          <w:tcPr>
            <w:tcW w:w="1092" w:type="pct"/>
          </w:tcPr>
          <w:p w14:paraId="02217460" w14:textId="77777777" w:rsidR="00FC4119" w:rsidRPr="00F171A3" w:rsidRDefault="00FC4119" w:rsidP="005F06F6">
            <w:pPr>
              <w:spacing w:after="0"/>
              <w:rPr>
                <w:rFonts w:cstheme="minorHAnsi"/>
                <w:bCs/>
                <w:szCs w:val="20"/>
              </w:rPr>
            </w:pPr>
            <w:r w:rsidRPr="00F171A3">
              <w:rPr>
                <w:rFonts w:cstheme="minorHAnsi"/>
                <w:bCs/>
                <w:szCs w:val="20"/>
              </w:rPr>
              <w:t>7 proiecte finalizate, 1 proiect pilot demarat ce vizează 4 situri, 2 operațiuni de dezvoltare integrată urbană/regenerare urbană</w:t>
            </w:r>
          </w:p>
        </w:tc>
        <w:tc>
          <w:tcPr>
            <w:tcW w:w="1092" w:type="pct"/>
          </w:tcPr>
          <w:p w14:paraId="587A400B" w14:textId="77777777" w:rsidR="00FC4119" w:rsidRPr="00F171A3" w:rsidRDefault="00FC4119" w:rsidP="005F06F6">
            <w:pPr>
              <w:spacing w:after="0"/>
              <w:rPr>
                <w:rFonts w:cstheme="minorHAnsi"/>
                <w:bCs/>
                <w:szCs w:val="20"/>
              </w:rPr>
            </w:pPr>
            <w:r w:rsidRPr="00F171A3">
              <w:rPr>
                <w:rFonts w:cstheme="minorHAnsi"/>
                <w:bCs/>
                <w:szCs w:val="20"/>
              </w:rPr>
              <w:t>70% din toate spațiile verzi/publice modernizate/ reamenajate</w:t>
            </w:r>
          </w:p>
        </w:tc>
      </w:tr>
      <w:tr w:rsidR="00FC4119" w:rsidRPr="00F171A3" w14:paraId="24F92D0F" w14:textId="77777777" w:rsidTr="00FC4119">
        <w:trPr>
          <w:cnfStyle w:val="000000010000" w:firstRow="0" w:lastRow="0" w:firstColumn="0" w:lastColumn="0" w:oddVBand="0" w:evenVBand="0" w:oddHBand="0" w:evenHBand="1" w:firstRowFirstColumn="0" w:firstRowLastColumn="0" w:lastRowFirstColumn="0" w:lastRowLastColumn="0"/>
          <w:trHeight w:val="431"/>
        </w:trPr>
        <w:tc>
          <w:tcPr>
            <w:tcW w:w="1241" w:type="pct"/>
            <w:vMerge/>
            <w:shd w:val="clear" w:color="auto" w:fill="2897B1" w:themeFill="accent4" w:themeFillShade="80"/>
          </w:tcPr>
          <w:p w14:paraId="12EE563C" w14:textId="77777777" w:rsidR="00FC4119" w:rsidRPr="00F171A3" w:rsidRDefault="00FC4119" w:rsidP="005F06F6">
            <w:pPr>
              <w:spacing w:after="0"/>
              <w:rPr>
                <w:rFonts w:cstheme="minorHAnsi"/>
                <w:bCs/>
                <w:szCs w:val="20"/>
              </w:rPr>
            </w:pPr>
          </w:p>
        </w:tc>
        <w:tc>
          <w:tcPr>
            <w:tcW w:w="1574" w:type="pct"/>
          </w:tcPr>
          <w:p w14:paraId="5C6EF710" w14:textId="77777777" w:rsidR="00FC4119" w:rsidRPr="00F171A3" w:rsidRDefault="00FC4119" w:rsidP="005F06F6">
            <w:pPr>
              <w:spacing w:after="0"/>
              <w:rPr>
                <w:rFonts w:cstheme="minorHAnsi"/>
                <w:bCs/>
                <w:szCs w:val="20"/>
              </w:rPr>
            </w:pPr>
            <w:r w:rsidRPr="00F171A3">
              <w:rPr>
                <w:rFonts w:cstheme="minorHAnsi"/>
                <w:bCs/>
                <w:szCs w:val="20"/>
              </w:rPr>
              <w:t>Număr de proiecte ce vizează extinderea spațiilor verzi/publice</w:t>
            </w:r>
          </w:p>
        </w:tc>
        <w:tc>
          <w:tcPr>
            <w:tcW w:w="1092" w:type="pct"/>
          </w:tcPr>
          <w:p w14:paraId="280914A7" w14:textId="77777777" w:rsidR="00FC4119" w:rsidRPr="00F171A3" w:rsidRDefault="00FC4119" w:rsidP="005F06F6">
            <w:pPr>
              <w:spacing w:after="0"/>
              <w:rPr>
                <w:rFonts w:cstheme="minorHAnsi"/>
                <w:bCs/>
                <w:szCs w:val="20"/>
              </w:rPr>
            </w:pPr>
            <w:r w:rsidRPr="00F171A3">
              <w:rPr>
                <w:rFonts w:cstheme="minorHAnsi"/>
                <w:bCs/>
                <w:szCs w:val="20"/>
              </w:rPr>
              <w:t>1 proiect (o serie de spații verzi de diferite dimensiuni în lungul salbei de lacuri a râului Colentina)</w:t>
            </w:r>
          </w:p>
        </w:tc>
        <w:tc>
          <w:tcPr>
            <w:tcW w:w="1092" w:type="pct"/>
          </w:tcPr>
          <w:p w14:paraId="7F6A1D76" w14:textId="77777777" w:rsidR="00FC4119" w:rsidRPr="00F171A3" w:rsidRDefault="00FC4119" w:rsidP="005F06F6">
            <w:pPr>
              <w:spacing w:after="0"/>
              <w:rPr>
                <w:rFonts w:cstheme="minorHAnsi"/>
                <w:bCs/>
                <w:szCs w:val="20"/>
              </w:rPr>
            </w:pPr>
            <w:r w:rsidRPr="00F171A3">
              <w:rPr>
                <w:rFonts w:cstheme="minorHAnsi"/>
                <w:bCs/>
                <w:szCs w:val="20"/>
              </w:rPr>
              <w:t xml:space="preserve">Minimum 10 proiecte </w:t>
            </w:r>
          </w:p>
        </w:tc>
      </w:tr>
      <w:tr w:rsidR="00FC4119" w:rsidRPr="00F171A3" w14:paraId="38C5AA6C" w14:textId="77777777" w:rsidTr="00FC4119">
        <w:trPr>
          <w:cnfStyle w:val="000000100000" w:firstRow="0" w:lastRow="0" w:firstColumn="0" w:lastColumn="0" w:oddVBand="0" w:evenVBand="0" w:oddHBand="1" w:evenHBand="0" w:firstRowFirstColumn="0" w:firstRowLastColumn="0" w:lastRowFirstColumn="0" w:lastRowLastColumn="0"/>
          <w:trHeight w:val="431"/>
        </w:trPr>
        <w:tc>
          <w:tcPr>
            <w:tcW w:w="1241" w:type="pct"/>
            <w:vMerge/>
            <w:shd w:val="clear" w:color="auto" w:fill="2897B1" w:themeFill="accent4" w:themeFillShade="80"/>
          </w:tcPr>
          <w:p w14:paraId="06424F3A" w14:textId="77777777" w:rsidR="00FC4119" w:rsidRPr="00F171A3" w:rsidRDefault="00FC4119" w:rsidP="005F06F6">
            <w:pPr>
              <w:spacing w:after="0"/>
              <w:rPr>
                <w:rFonts w:cstheme="minorHAnsi"/>
                <w:bCs/>
                <w:szCs w:val="20"/>
              </w:rPr>
            </w:pPr>
          </w:p>
        </w:tc>
        <w:tc>
          <w:tcPr>
            <w:tcW w:w="1574" w:type="pct"/>
          </w:tcPr>
          <w:p w14:paraId="38E60F14" w14:textId="77777777" w:rsidR="00FC4119" w:rsidRPr="00F171A3" w:rsidRDefault="00FC4119" w:rsidP="005F06F6">
            <w:pPr>
              <w:spacing w:after="0"/>
              <w:rPr>
                <w:rFonts w:cstheme="minorHAnsi"/>
                <w:bCs/>
                <w:szCs w:val="20"/>
              </w:rPr>
            </w:pPr>
            <w:r w:rsidRPr="00F171A3">
              <w:rPr>
                <w:rFonts w:cstheme="minorHAnsi"/>
                <w:bCs/>
                <w:szCs w:val="20"/>
              </w:rPr>
              <w:t>Proiecte de regenerare urbană a cartierelor în curs de implementare / finalizate</w:t>
            </w:r>
          </w:p>
        </w:tc>
        <w:tc>
          <w:tcPr>
            <w:tcW w:w="1092" w:type="pct"/>
          </w:tcPr>
          <w:p w14:paraId="6CDD5625" w14:textId="77777777" w:rsidR="00FC4119" w:rsidRPr="00F171A3" w:rsidRDefault="00FC4119" w:rsidP="005F06F6">
            <w:pPr>
              <w:spacing w:after="0"/>
              <w:rPr>
                <w:rFonts w:cstheme="minorHAnsi"/>
                <w:bCs/>
                <w:szCs w:val="20"/>
              </w:rPr>
            </w:pPr>
            <w:r w:rsidRPr="00F171A3">
              <w:rPr>
                <w:rFonts w:cstheme="minorHAnsi"/>
                <w:bCs/>
                <w:szCs w:val="20"/>
              </w:rPr>
              <w:t>9 zone unde au fost demarate proiecte</w:t>
            </w:r>
          </w:p>
        </w:tc>
        <w:tc>
          <w:tcPr>
            <w:tcW w:w="1092" w:type="pct"/>
          </w:tcPr>
          <w:p w14:paraId="023EA828" w14:textId="77777777" w:rsidR="00FC4119" w:rsidRPr="00F171A3" w:rsidRDefault="00FC4119" w:rsidP="005F06F6">
            <w:pPr>
              <w:spacing w:after="0"/>
              <w:rPr>
                <w:rFonts w:cstheme="minorHAnsi"/>
                <w:bCs/>
                <w:szCs w:val="20"/>
              </w:rPr>
            </w:pPr>
            <w:r w:rsidRPr="00F171A3">
              <w:rPr>
                <w:rFonts w:cstheme="minorHAnsi"/>
                <w:bCs/>
                <w:szCs w:val="20"/>
              </w:rPr>
              <w:t>Proiecte de acest tip demarate în minim 80% dintre cartierele din Sectorul 2</w:t>
            </w:r>
          </w:p>
        </w:tc>
      </w:tr>
      <w:tr w:rsidR="00FC4119" w:rsidRPr="00F171A3" w14:paraId="31CC7291" w14:textId="77777777" w:rsidTr="00FC4119">
        <w:trPr>
          <w:cnfStyle w:val="000000010000" w:firstRow="0" w:lastRow="0" w:firstColumn="0" w:lastColumn="0" w:oddVBand="0" w:evenVBand="0" w:oddHBand="0" w:evenHBand="1" w:firstRowFirstColumn="0" w:firstRowLastColumn="0" w:lastRowFirstColumn="0" w:lastRowLastColumn="0"/>
          <w:trHeight w:val="2013"/>
        </w:trPr>
        <w:tc>
          <w:tcPr>
            <w:tcW w:w="1241" w:type="pct"/>
            <w:shd w:val="clear" w:color="auto" w:fill="2897B1" w:themeFill="accent4" w:themeFillShade="80"/>
          </w:tcPr>
          <w:p w14:paraId="1227CB4E" w14:textId="77777777" w:rsidR="00FC4119" w:rsidRPr="00F171A3" w:rsidRDefault="00FC4119" w:rsidP="005F06F6">
            <w:pPr>
              <w:spacing w:after="0"/>
              <w:rPr>
                <w:rFonts w:cstheme="minorHAnsi"/>
                <w:bCs/>
                <w:szCs w:val="20"/>
              </w:rPr>
            </w:pPr>
            <w:r w:rsidRPr="00F171A3">
              <w:rPr>
                <w:rFonts w:cstheme="minorHAnsi"/>
                <w:b/>
                <w:bCs/>
                <w:color w:val="FFFFFF" w:themeColor="background1"/>
              </w:rPr>
              <w:t>O1.2. - Cartiere de locuințe colective regenerate, cu o calitate ridicată a spațiului public și A fondului locativ, adaptate cerințelor și nevoilor locuitorilor</w:t>
            </w:r>
            <w:r w:rsidRPr="00F171A3">
              <w:rPr>
                <w:rFonts w:cstheme="minorHAnsi"/>
                <w:bCs/>
                <w:szCs w:val="20"/>
              </w:rPr>
              <w:t> </w:t>
            </w:r>
          </w:p>
        </w:tc>
        <w:tc>
          <w:tcPr>
            <w:tcW w:w="1574" w:type="pct"/>
          </w:tcPr>
          <w:p w14:paraId="1BAF2031" w14:textId="77777777" w:rsidR="00FC4119" w:rsidRPr="00F171A3" w:rsidRDefault="00FC4119" w:rsidP="005F06F6">
            <w:pPr>
              <w:spacing w:after="0"/>
              <w:rPr>
                <w:rFonts w:cstheme="minorHAnsi"/>
                <w:bCs/>
                <w:color w:val="FF0000"/>
                <w:szCs w:val="20"/>
              </w:rPr>
            </w:pPr>
            <w:r w:rsidRPr="00F171A3">
              <w:rPr>
                <w:rFonts w:cstheme="minorHAnsi"/>
                <w:bCs/>
                <w:szCs w:val="20"/>
              </w:rPr>
              <w:t>Spații urbane regenerate (dotări, spații publice)</w:t>
            </w:r>
          </w:p>
        </w:tc>
        <w:tc>
          <w:tcPr>
            <w:tcW w:w="1092" w:type="pct"/>
          </w:tcPr>
          <w:p w14:paraId="2872BBC3" w14:textId="77777777" w:rsidR="00FC4119" w:rsidRPr="00F171A3" w:rsidRDefault="00FC4119" w:rsidP="005F06F6">
            <w:pPr>
              <w:spacing w:after="0"/>
              <w:rPr>
                <w:rFonts w:cstheme="minorHAnsi"/>
                <w:bCs/>
                <w:color w:val="FF0000"/>
                <w:szCs w:val="20"/>
              </w:rPr>
            </w:pPr>
            <w:r w:rsidRPr="00F171A3">
              <w:rPr>
                <w:rFonts w:cstheme="minorHAnsi"/>
                <w:bCs/>
                <w:szCs w:val="20"/>
              </w:rPr>
              <w:t>-</w:t>
            </w:r>
          </w:p>
        </w:tc>
        <w:tc>
          <w:tcPr>
            <w:tcW w:w="1092" w:type="pct"/>
          </w:tcPr>
          <w:p w14:paraId="5499F803" w14:textId="77777777" w:rsidR="00FC4119" w:rsidRPr="00F171A3" w:rsidRDefault="00FC4119" w:rsidP="005F06F6">
            <w:pPr>
              <w:spacing w:after="0"/>
              <w:rPr>
                <w:rFonts w:cstheme="minorHAnsi"/>
                <w:bCs/>
                <w:color w:val="FF0000"/>
                <w:szCs w:val="20"/>
              </w:rPr>
            </w:pPr>
            <w:r w:rsidRPr="00F171A3">
              <w:rPr>
                <w:rFonts w:cstheme="minorHAnsi"/>
                <w:bCs/>
                <w:szCs w:val="20"/>
              </w:rPr>
              <w:t>50</w:t>
            </w:r>
          </w:p>
        </w:tc>
      </w:tr>
      <w:tr w:rsidR="00FC4119" w:rsidRPr="00F171A3" w14:paraId="122BBE51" w14:textId="77777777" w:rsidTr="00FC4119">
        <w:trPr>
          <w:cnfStyle w:val="000000100000" w:firstRow="0" w:lastRow="0" w:firstColumn="0" w:lastColumn="0" w:oddVBand="0" w:evenVBand="0" w:oddHBand="1" w:evenHBand="0" w:firstRowFirstColumn="0" w:firstRowLastColumn="0" w:lastRowFirstColumn="0" w:lastRowLastColumn="0"/>
          <w:trHeight w:val="2013"/>
        </w:trPr>
        <w:tc>
          <w:tcPr>
            <w:tcW w:w="1241" w:type="pct"/>
            <w:shd w:val="clear" w:color="auto" w:fill="2897B1" w:themeFill="accent4" w:themeFillShade="80"/>
          </w:tcPr>
          <w:p w14:paraId="0B53F899" w14:textId="77777777" w:rsidR="00FC4119" w:rsidRPr="00F171A3" w:rsidRDefault="00FC4119" w:rsidP="005F06F6">
            <w:pPr>
              <w:spacing w:after="0"/>
              <w:rPr>
                <w:rFonts w:cstheme="minorHAnsi"/>
                <w:b/>
                <w:bCs/>
                <w:color w:val="FFFFFF" w:themeColor="background1"/>
              </w:rPr>
            </w:pPr>
          </w:p>
        </w:tc>
        <w:tc>
          <w:tcPr>
            <w:tcW w:w="1574" w:type="pct"/>
          </w:tcPr>
          <w:p w14:paraId="2F74C9D8" w14:textId="77777777" w:rsidR="00FC4119" w:rsidRPr="00F171A3" w:rsidRDefault="00FC4119" w:rsidP="005F06F6">
            <w:pPr>
              <w:spacing w:after="0"/>
              <w:rPr>
                <w:rFonts w:cstheme="minorHAnsi"/>
                <w:bCs/>
                <w:szCs w:val="20"/>
              </w:rPr>
            </w:pPr>
            <w:r w:rsidRPr="00F171A3">
              <w:rPr>
                <w:rFonts w:eastAsia="Calibri" w:cstheme="minorHAnsi"/>
                <w:szCs w:val="20"/>
              </w:rPr>
              <w:t>Construcție ansamblu de locuințe sociale</w:t>
            </w:r>
          </w:p>
        </w:tc>
        <w:tc>
          <w:tcPr>
            <w:tcW w:w="1092" w:type="pct"/>
          </w:tcPr>
          <w:p w14:paraId="2E702927"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1FE79429" w14:textId="77777777" w:rsidR="00FC4119" w:rsidRPr="00F171A3" w:rsidRDefault="00FC4119" w:rsidP="005F06F6">
            <w:pPr>
              <w:spacing w:after="0"/>
              <w:rPr>
                <w:rFonts w:cstheme="minorHAnsi"/>
                <w:bCs/>
                <w:szCs w:val="20"/>
              </w:rPr>
            </w:pPr>
            <w:r w:rsidRPr="00F171A3">
              <w:rPr>
                <w:rFonts w:cstheme="minorHAnsi"/>
                <w:bCs/>
                <w:szCs w:val="20"/>
              </w:rPr>
              <w:t>1</w:t>
            </w:r>
          </w:p>
        </w:tc>
      </w:tr>
      <w:tr w:rsidR="00FC4119" w:rsidRPr="00F171A3" w14:paraId="3B1AC185"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val="restart"/>
            <w:shd w:val="clear" w:color="auto" w:fill="2897B1" w:themeFill="accent4" w:themeFillShade="80"/>
          </w:tcPr>
          <w:p w14:paraId="3330DF9A"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O1.3. - Educarea noilor generații are loc în condiții de practici și infrastructură modernă a mediului educațional, favorabile dezvoltării echilibrate a tinerilor</w:t>
            </w:r>
          </w:p>
        </w:tc>
        <w:tc>
          <w:tcPr>
            <w:tcW w:w="1574" w:type="pct"/>
          </w:tcPr>
          <w:p w14:paraId="74FED6EE" w14:textId="77777777" w:rsidR="00FC4119" w:rsidRPr="00F171A3" w:rsidRDefault="00FC4119" w:rsidP="005F06F6">
            <w:pPr>
              <w:ind w:left="-60"/>
              <w:jc w:val="left"/>
              <w:rPr>
                <w:rFonts w:eastAsia="Calibri" w:cstheme="minorHAnsi"/>
                <w:szCs w:val="20"/>
              </w:rPr>
            </w:pPr>
            <w:r w:rsidRPr="00F171A3">
              <w:rPr>
                <w:rFonts w:eastAsia="Calibri" w:cstheme="minorHAnsi"/>
                <w:szCs w:val="20"/>
              </w:rPr>
              <w:t>Unități de învățământ consolidate și reabilitate</w:t>
            </w:r>
          </w:p>
        </w:tc>
        <w:tc>
          <w:tcPr>
            <w:tcW w:w="1092" w:type="pct"/>
          </w:tcPr>
          <w:p w14:paraId="6F886D4E"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5FD64B7C" w14:textId="77777777" w:rsidR="00FC4119" w:rsidRPr="00F171A3" w:rsidRDefault="00FC4119" w:rsidP="005F06F6">
            <w:pPr>
              <w:spacing w:after="0"/>
              <w:rPr>
                <w:rFonts w:cstheme="minorHAnsi"/>
                <w:bCs/>
                <w:szCs w:val="20"/>
              </w:rPr>
            </w:pPr>
            <w:r w:rsidRPr="00F171A3">
              <w:rPr>
                <w:rFonts w:cstheme="minorHAnsi"/>
                <w:bCs/>
                <w:szCs w:val="20"/>
              </w:rPr>
              <w:t>15</w:t>
            </w:r>
          </w:p>
        </w:tc>
      </w:tr>
      <w:tr w:rsidR="00FC4119" w:rsidRPr="00F171A3" w14:paraId="18B9DD63"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0C7ECD42" w14:textId="77777777" w:rsidR="00FC4119" w:rsidRPr="00F171A3" w:rsidRDefault="00FC4119" w:rsidP="005F06F6">
            <w:pPr>
              <w:spacing w:after="0"/>
              <w:rPr>
                <w:rFonts w:cstheme="minorHAnsi"/>
                <w:bCs/>
                <w:szCs w:val="20"/>
              </w:rPr>
            </w:pPr>
          </w:p>
        </w:tc>
        <w:tc>
          <w:tcPr>
            <w:tcW w:w="1574" w:type="pct"/>
          </w:tcPr>
          <w:p w14:paraId="77950A74" w14:textId="77777777" w:rsidR="00FC4119" w:rsidRPr="00F171A3" w:rsidRDefault="00FC4119" w:rsidP="005F06F6">
            <w:pPr>
              <w:ind w:left="-60"/>
              <w:jc w:val="left"/>
              <w:rPr>
                <w:rFonts w:eastAsia="Calibri" w:cstheme="minorHAnsi"/>
                <w:szCs w:val="20"/>
              </w:rPr>
            </w:pPr>
            <w:r w:rsidRPr="00F171A3">
              <w:rPr>
                <w:rFonts w:eastAsia="Calibri" w:cstheme="minorHAnsi"/>
                <w:szCs w:val="20"/>
              </w:rPr>
              <w:t>Unități de învățământ eficientizate energetic</w:t>
            </w:r>
          </w:p>
        </w:tc>
        <w:tc>
          <w:tcPr>
            <w:tcW w:w="1092" w:type="pct"/>
          </w:tcPr>
          <w:p w14:paraId="2BBF0E29"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5B8F04D9" w14:textId="77777777" w:rsidR="00FC4119" w:rsidRPr="00F171A3" w:rsidRDefault="00FC4119" w:rsidP="005F06F6">
            <w:pPr>
              <w:spacing w:after="0"/>
              <w:rPr>
                <w:rFonts w:cstheme="minorHAnsi"/>
                <w:bCs/>
                <w:szCs w:val="20"/>
              </w:rPr>
            </w:pPr>
            <w:r w:rsidRPr="00F171A3">
              <w:rPr>
                <w:rFonts w:cstheme="minorHAnsi"/>
                <w:bCs/>
                <w:szCs w:val="20"/>
              </w:rPr>
              <w:t>5</w:t>
            </w:r>
          </w:p>
        </w:tc>
      </w:tr>
      <w:tr w:rsidR="00FC4119" w:rsidRPr="00F171A3" w14:paraId="0621ADDD"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2D6EEFAA" w14:textId="77777777" w:rsidR="00FC4119" w:rsidRPr="00F171A3" w:rsidRDefault="00FC4119" w:rsidP="005F06F6">
            <w:pPr>
              <w:spacing w:after="0"/>
              <w:rPr>
                <w:rFonts w:cstheme="minorHAnsi"/>
                <w:bCs/>
                <w:szCs w:val="20"/>
              </w:rPr>
            </w:pPr>
          </w:p>
        </w:tc>
        <w:tc>
          <w:tcPr>
            <w:tcW w:w="1574" w:type="pct"/>
          </w:tcPr>
          <w:p w14:paraId="13ED184A" w14:textId="77777777" w:rsidR="00FC4119" w:rsidRPr="00F171A3" w:rsidRDefault="00FC4119" w:rsidP="005F06F6">
            <w:pPr>
              <w:spacing w:after="0"/>
              <w:rPr>
                <w:rFonts w:cstheme="minorHAnsi"/>
                <w:bCs/>
                <w:color w:val="FF0000"/>
                <w:szCs w:val="20"/>
              </w:rPr>
            </w:pPr>
            <w:r w:rsidRPr="00F171A3">
              <w:rPr>
                <w:rFonts w:eastAsia="Calibri" w:cstheme="minorHAnsi"/>
                <w:szCs w:val="20"/>
              </w:rPr>
              <w:t>Unități de învățământ extinse/modernizate</w:t>
            </w:r>
          </w:p>
        </w:tc>
        <w:tc>
          <w:tcPr>
            <w:tcW w:w="1092" w:type="pct"/>
          </w:tcPr>
          <w:p w14:paraId="09C985F5" w14:textId="77777777" w:rsidR="00FC4119" w:rsidRPr="00F171A3" w:rsidRDefault="00FC4119" w:rsidP="005F06F6">
            <w:pPr>
              <w:spacing w:after="0"/>
              <w:rPr>
                <w:rFonts w:cstheme="minorHAnsi"/>
                <w:bCs/>
                <w:color w:val="FF0000"/>
                <w:szCs w:val="20"/>
              </w:rPr>
            </w:pPr>
            <w:r w:rsidRPr="00F171A3">
              <w:rPr>
                <w:rFonts w:cstheme="minorHAnsi"/>
                <w:bCs/>
                <w:color w:val="FF0000"/>
                <w:szCs w:val="20"/>
              </w:rPr>
              <w:t>-</w:t>
            </w:r>
          </w:p>
        </w:tc>
        <w:tc>
          <w:tcPr>
            <w:tcW w:w="1092" w:type="pct"/>
          </w:tcPr>
          <w:p w14:paraId="1324CEE4" w14:textId="77777777" w:rsidR="00FC4119" w:rsidRPr="00F171A3" w:rsidRDefault="00FC4119" w:rsidP="005F06F6">
            <w:pPr>
              <w:spacing w:after="0"/>
              <w:rPr>
                <w:rFonts w:cstheme="minorHAnsi"/>
                <w:bCs/>
                <w:color w:val="FF0000"/>
                <w:szCs w:val="20"/>
              </w:rPr>
            </w:pPr>
            <w:r w:rsidRPr="00F171A3">
              <w:rPr>
                <w:rFonts w:cstheme="minorHAnsi"/>
                <w:bCs/>
                <w:szCs w:val="20"/>
              </w:rPr>
              <w:t>10</w:t>
            </w:r>
          </w:p>
        </w:tc>
      </w:tr>
      <w:tr w:rsidR="00FC4119" w:rsidRPr="00F171A3" w14:paraId="53A2AF56"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5517B121" w14:textId="77777777" w:rsidR="00FC4119" w:rsidRPr="00F171A3" w:rsidRDefault="00FC4119" w:rsidP="005F06F6">
            <w:pPr>
              <w:spacing w:after="0"/>
              <w:rPr>
                <w:rFonts w:cstheme="minorHAnsi"/>
                <w:bCs/>
                <w:szCs w:val="20"/>
              </w:rPr>
            </w:pPr>
          </w:p>
        </w:tc>
        <w:tc>
          <w:tcPr>
            <w:tcW w:w="1574" w:type="pct"/>
          </w:tcPr>
          <w:p w14:paraId="08F32186" w14:textId="77777777" w:rsidR="00FC4119" w:rsidRPr="00F171A3" w:rsidRDefault="00FC4119" w:rsidP="005F06F6">
            <w:pPr>
              <w:ind w:left="-60"/>
              <w:jc w:val="left"/>
              <w:rPr>
                <w:rFonts w:eastAsia="Calibri" w:cstheme="minorHAnsi"/>
                <w:color w:val="000000" w:themeColor="text1"/>
                <w:szCs w:val="20"/>
              </w:rPr>
            </w:pPr>
            <w:r w:rsidRPr="00F171A3">
              <w:rPr>
                <w:rFonts w:eastAsia="Calibri" w:cstheme="minorHAnsi"/>
                <w:color w:val="000000" w:themeColor="text1"/>
                <w:szCs w:val="20"/>
              </w:rPr>
              <w:t>Noi grădiniţe construite</w:t>
            </w:r>
          </w:p>
        </w:tc>
        <w:tc>
          <w:tcPr>
            <w:tcW w:w="1092" w:type="pct"/>
          </w:tcPr>
          <w:p w14:paraId="7259BFAF"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781B8AA4"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8</w:t>
            </w:r>
          </w:p>
        </w:tc>
      </w:tr>
      <w:tr w:rsidR="00FC4119" w:rsidRPr="00F171A3" w14:paraId="52B37C93" w14:textId="77777777" w:rsidTr="00FC4119">
        <w:trPr>
          <w:cnfStyle w:val="000000010000" w:firstRow="0" w:lastRow="0" w:firstColumn="0" w:lastColumn="0" w:oddVBand="0" w:evenVBand="0" w:oddHBand="0" w:evenHBand="1" w:firstRowFirstColumn="0" w:firstRowLastColumn="0" w:lastRowFirstColumn="0" w:lastRowLastColumn="0"/>
          <w:trHeight w:val="683"/>
        </w:trPr>
        <w:tc>
          <w:tcPr>
            <w:tcW w:w="1241" w:type="pct"/>
            <w:vMerge/>
            <w:shd w:val="clear" w:color="auto" w:fill="2897B1" w:themeFill="accent4" w:themeFillShade="80"/>
          </w:tcPr>
          <w:p w14:paraId="232D5687" w14:textId="77777777" w:rsidR="00FC4119" w:rsidRPr="00F171A3" w:rsidRDefault="00FC4119" w:rsidP="005F06F6">
            <w:pPr>
              <w:spacing w:after="0"/>
              <w:rPr>
                <w:rFonts w:cstheme="minorHAnsi"/>
                <w:bCs/>
                <w:szCs w:val="20"/>
              </w:rPr>
            </w:pPr>
          </w:p>
        </w:tc>
        <w:tc>
          <w:tcPr>
            <w:tcW w:w="1574" w:type="pct"/>
          </w:tcPr>
          <w:p w14:paraId="1D5D3C2E" w14:textId="77777777" w:rsidR="00FC4119" w:rsidRPr="00F171A3" w:rsidRDefault="00FC4119" w:rsidP="005F06F6">
            <w:pPr>
              <w:jc w:val="left"/>
              <w:rPr>
                <w:rFonts w:eastAsia="Calibri" w:cstheme="minorHAnsi"/>
                <w:color w:val="000000" w:themeColor="text1"/>
                <w:szCs w:val="20"/>
              </w:rPr>
            </w:pPr>
            <w:r w:rsidRPr="00F171A3">
              <w:rPr>
                <w:rFonts w:eastAsia="Calibri" w:cstheme="minorHAnsi"/>
                <w:color w:val="000000" w:themeColor="text1"/>
                <w:szCs w:val="20"/>
              </w:rPr>
              <w:t>Noi creşe construite</w:t>
            </w:r>
          </w:p>
        </w:tc>
        <w:tc>
          <w:tcPr>
            <w:tcW w:w="1092" w:type="pct"/>
          </w:tcPr>
          <w:p w14:paraId="1CDA80F6"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05922574"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6</w:t>
            </w:r>
          </w:p>
        </w:tc>
      </w:tr>
      <w:tr w:rsidR="00FC4119" w:rsidRPr="00F171A3" w14:paraId="7C4897D0"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4ABEFE66" w14:textId="77777777" w:rsidR="00FC4119" w:rsidRPr="00F171A3" w:rsidRDefault="00FC4119" w:rsidP="005F06F6">
            <w:pPr>
              <w:spacing w:after="0"/>
              <w:rPr>
                <w:rFonts w:cstheme="minorHAnsi"/>
                <w:bCs/>
                <w:szCs w:val="20"/>
              </w:rPr>
            </w:pPr>
          </w:p>
        </w:tc>
        <w:tc>
          <w:tcPr>
            <w:tcW w:w="1574" w:type="pct"/>
          </w:tcPr>
          <w:p w14:paraId="1C327795" w14:textId="77777777" w:rsidR="00FC4119" w:rsidRPr="00F171A3" w:rsidRDefault="00FC4119" w:rsidP="005F06F6">
            <w:pPr>
              <w:ind w:left="-60"/>
              <w:jc w:val="left"/>
              <w:rPr>
                <w:rFonts w:eastAsia="Calibri" w:cstheme="minorHAnsi"/>
                <w:color w:val="000000" w:themeColor="text1"/>
                <w:szCs w:val="20"/>
              </w:rPr>
            </w:pPr>
            <w:r w:rsidRPr="00F171A3">
              <w:rPr>
                <w:rFonts w:eastAsia="Calibri" w:cstheme="minorHAnsi"/>
                <w:color w:val="000000" w:themeColor="text1"/>
                <w:szCs w:val="20"/>
              </w:rPr>
              <w:t>Noi săli de sport construite</w:t>
            </w:r>
          </w:p>
        </w:tc>
        <w:tc>
          <w:tcPr>
            <w:tcW w:w="1092" w:type="pct"/>
          </w:tcPr>
          <w:p w14:paraId="57225184"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5A9E0C3E"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14</w:t>
            </w:r>
          </w:p>
        </w:tc>
      </w:tr>
      <w:tr w:rsidR="00FC4119" w:rsidRPr="00F171A3" w14:paraId="0F493506"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07F4F8FB" w14:textId="77777777" w:rsidR="00FC4119" w:rsidRPr="00F171A3" w:rsidRDefault="00FC4119" w:rsidP="005F06F6">
            <w:pPr>
              <w:spacing w:after="0"/>
              <w:rPr>
                <w:rFonts w:cstheme="minorHAnsi"/>
                <w:bCs/>
                <w:szCs w:val="20"/>
              </w:rPr>
            </w:pPr>
          </w:p>
        </w:tc>
        <w:tc>
          <w:tcPr>
            <w:tcW w:w="1574" w:type="pct"/>
          </w:tcPr>
          <w:p w14:paraId="5C0076BF" w14:textId="77777777" w:rsidR="00FC4119" w:rsidRPr="00F171A3" w:rsidRDefault="00FC4119" w:rsidP="005F06F6">
            <w:pPr>
              <w:ind w:left="-60"/>
              <w:jc w:val="left"/>
              <w:rPr>
                <w:rFonts w:eastAsia="Calibri" w:cstheme="minorHAnsi"/>
                <w:color w:val="000000" w:themeColor="text1"/>
                <w:szCs w:val="20"/>
              </w:rPr>
            </w:pPr>
            <w:r w:rsidRPr="00F171A3">
              <w:rPr>
                <w:rFonts w:eastAsia="Calibri" w:cstheme="minorHAnsi"/>
                <w:color w:val="000000" w:themeColor="text1"/>
                <w:szCs w:val="20"/>
              </w:rPr>
              <w:t>Proiecte de îmbunătăţire a performanţelor în cadrul liceelor teoretice</w:t>
            </w:r>
          </w:p>
        </w:tc>
        <w:tc>
          <w:tcPr>
            <w:tcW w:w="1092" w:type="pct"/>
          </w:tcPr>
          <w:p w14:paraId="18D854C1"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3E384203"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6</w:t>
            </w:r>
          </w:p>
        </w:tc>
      </w:tr>
      <w:tr w:rsidR="00FC4119" w:rsidRPr="00F171A3" w14:paraId="6094F0B3"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0683E90C" w14:textId="77777777" w:rsidR="00FC4119" w:rsidRPr="00F171A3" w:rsidRDefault="00FC4119" w:rsidP="005F06F6">
            <w:pPr>
              <w:spacing w:after="0"/>
              <w:rPr>
                <w:rFonts w:cstheme="minorHAnsi"/>
                <w:bCs/>
                <w:szCs w:val="20"/>
              </w:rPr>
            </w:pPr>
          </w:p>
        </w:tc>
        <w:tc>
          <w:tcPr>
            <w:tcW w:w="1574" w:type="pct"/>
          </w:tcPr>
          <w:p w14:paraId="0D9017E0" w14:textId="77777777" w:rsidR="00FC4119" w:rsidRPr="00F171A3" w:rsidRDefault="00FC4119" w:rsidP="005F06F6">
            <w:pPr>
              <w:ind w:left="-60"/>
              <w:jc w:val="left"/>
              <w:rPr>
                <w:rFonts w:eastAsia="Calibri" w:cstheme="minorHAnsi"/>
                <w:color w:val="000000" w:themeColor="text1"/>
                <w:szCs w:val="20"/>
              </w:rPr>
            </w:pPr>
            <w:r w:rsidRPr="00F171A3">
              <w:rPr>
                <w:rFonts w:eastAsia="Calibri" w:cstheme="minorHAnsi"/>
                <w:color w:val="000000" w:themeColor="text1"/>
                <w:szCs w:val="20"/>
              </w:rPr>
              <w:t>Proiecte de îmbunătăţire a performanţelor în cadrul liceelor tehnice</w:t>
            </w:r>
          </w:p>
        </w:tc>
        <w:tc>
          <w:tcPr>
            <w:tcW w:w="1092" w:type="pct"/>
          </w:tcPr>
          <w:p w14:paraId="6BF0ADC9"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0B47E7D1"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7</w:t>
            </w:r>
          </w:p>
        </w:tc>
      </w:tr>
      <w:tr w:rsidR="00FC4119" w:rsidRPr="00F171A3" w14:paraId="566533FC"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4CE2F092" w14:textId="77777777" w:rsidR="00FC4119" w:rsidRPr="00F171A3" w:rsidRDefault="00FC4119" w:rsidP="005F06F6">
            <w:pPr>
              <w:spacing w:after="0"/>
              <w:rPr>
                <w:rFonts w:cstheme="minorHAnsi"/>
                <w:bCs/>
                <w:szCs w:val="20"/>
              </w:rPr>
            </w:pPr>
          </w:p>
        </w:tc>
        <w:tc>
          <w:tcPr>
            <w:tcW w:w="1574" w:type="pct"/>
          </w:tcPr>
          <w:p w14:paraId="3934004F" w14:textId="77777777" w:rsidR="00FC4119" w:rsidRPr="00F171A3" w:rsidRDefault="00FC4119" w:rsidP="005F06F6">
            <w:pPr>
              <w:ind w:left="-60"/>
              <w:jc w:val="left"/>
              <w:rPr>
                <w:rFonts w:eastAsia="Calibri" w:cstheme="minorHAnsi"/>
                <w:color w:val="000000" w:themeColor="text1"/>
                <w:szCs w:val="20"/>
              </w:rPr>
            </w:pPr>
            <w:r w:rsidRPr="00F171A3">
              <w:rPr>
                <w:rFonts w:eastAsia="Calibri" w:cstheme="minorHAnsi"/>
                <w:color w:val="000000" w:themeColor="text1"/>
                <w:szCs w:val="20"/>
              </w:rPr>
              <w:t>Proiect complex de îmbunătăţire a învăţământului profesional şi tehnic</w:t>
            </w:r>
          </w:p>
        </w:tc>
        <w:tc>
          <w:tcPr>
            <w:tcW w:w="1092" w:type="pct"/>
          </w:tcPr>
          <w:p w14:paraId="1AFCA66D"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69896143"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6</w:t>
            </w:r>
          </w:p>
        </w:tc>
      </w:tr>
      <w:tr w:rsidR="00FC4119" w:rsidRPr="00F171A3" w14:paraId="54E10E1B"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038832ED" w14:textId="77777777" w:rsidR="00FC4119" w:rsidRPr="00F171A3" w:rsidRDefault="00FC4119" w:rsidP="005F06F6">
            <w:pPr>
              <w:spacing w:after="0"/>
              <w:rPr>
                <w:rFonts w:cstheme="minorHAnsi"/>
                <w:bCs/>
                <w:szCs w:val="20"/>
              </w:rPr>
            </w:pPr>
          </w:p>
        </w:tc>
        <w:tc>
          <w:tcPr>
            <w:tcW w:w="1574" w:type="pct"/>
          </w:tcPr>
          <w:p w14:paraId="1B16628D" w14:textId="77777777" w:rsidR="00FC4119" w:rsidRPr="00F171A3" w:rsidRDefault="00FC4119" w:rsidP="005F06F6">
            <w:pPr>
              <w:ind w:left="-60"/>
              <w:jc w:val="left"/>
              <w:rPr>
                <w:rFonts w:eastAsia="Calibri" w:cstheme="minorHAnsi"/>
                <w:color w:val="000000" w:themeColor="text1"/>
                <w:szCs w:val="20"/>
              </w:rPr>
            </w:pPr>
            <w:r w:rsidRPr="00F171A3">
              <w:rPr>
                <w:rFonts w:eastAsia="Calibri" w:cstheme="minorHAnsi"/>
                <w:color w:val="000000" w:themeColor="text1"/>
                <w:szCs w:val="20"/>
              </w:rPr>
              <w:t>Proiect “A doua Şansă”</w:t>
            </w:r>
          </w:p>
        </w:tc>
        <w:tc>
          <w:tcPr>
            <w:tcW w:w="1092" w:type="pct"/>
          </w:tcPr>
          <w:p w14:paraId="44CF7465"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65B110DE"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1</w:t>
            </w:r>
          </w:p>
        </w:tc>
      </w:tr>
      <w:tr w:rsidR="00FC4119" w:rsidRPr="00F171A3" w14:paraId="4F44D53F"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58E70C81" w14:textId="77777777" w:rsidR="00FC4119" w:rsidRPr="00F171A3" w:rsidRDefault="00FC4119" w:rsidP="005F06F6">
            <w:pPr>
              <w:spacing w:after="0"/>
              <w:rPr>
                <w:rFonts w:cstheme="minorHAnsi"/>
                <w:bCs/>
                <w:szCs w:val="20"/>
              </w:rPr>
            </w:pPr>
          </w:p>
        </w:tc>
        <w:tc>
          <w:tcPr>
            <w:tcW w:w="1574" w:type="pct"/>
          </w:tcPr>
          <w:p w14:paraId="32D7A3E1" w14:textId="77777777" w:rsidR="00FC4119" w:rsidRPr="00F171A3" w:rsidRDefault="00FC4119" w:rsidP="005F06F6">
            <w:pPr>
              <w:ind w:left="-60"/>
              <w:jc w:val="left"/>
              <w:rPr>
                <w:rFonts w:eastAsia="Calibri" w:cstheme="minorHAnsi"/>
                <w:color w:val="000000" w:themeColor="text1"/>
                <w:szCs w:val="20"/>
              </w:rPr>
            </w:pPr>
            <w:r w:rsidRPr="00F171A3">
              <w:rPr>
                <w:rFonts w:eastAsia="Calibri" w:cstheme="minorHAnsi"/>
                <w:color w:val="000000" w:themeColor="text1"/>
                <w:szCs w:val="20"/>
              </w:rPr>
              <w:t>Bază de date informatizată cu situaţia elevilor şi transferul acestora pe piaţa muncii</w:t>
            </w:r>
          </w:p>
        </w:tc>
        <w:tc>
          <w:tcPr>
            <w:tcW w:w="1092" w:type="pct"/>
          </w:tcPr>
          <w:p w14:paraId="15B6C19D"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1F2E5378"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1</w:t>
            </w:r>
          </w:p>
        </w:tc>
      </w:tr>
      <w:tr w:rsidR="00FC4119" w:rsidRPr="00F171A3" w14:paraId="43227BB3"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1EB5A3A3" w14:textId="77777777" w:rsidR="00FC4119" w:rsidRPr="00F171A3" w:rsidRDefault="00FC4119" w:rsidP="005F06F6">
            <w:pPr>
              <w:spacing w:after="0"/>
              <w:rPr>
                <w:rFonts w:cstheme="minorHAnsi"/>
                <w:bCs/>
                <w:szCs w:val="20"/>
              </w:rPr>
            </w:pPr>
          </w:p>
        </w:tc>
        <w:tc>
          <w:tcPr>
            <w:tcW w:w="1574" w:type="pct"/>
          </w:tcPr>
          <w:p w14:paraId="39535E36" w14:textId="73D686A3" w:rsidR="00FC4119" w:rsidRPr="00F171A3" w:rsidRDefault="00FC4119" w:rsidP="005F06F6">
            <w:pPr>
              <w:ind w:left="-60"/>
              <w:jc w:val="left"/>
              <w:rPr>
                <w:rFonts w:eastAsia="Calibri" w:cstheme="minorHAnsi"/>
                <w:color w:val="000000" w:themeColor="text1"/>
                <w:szCs w:val="20"/>
              </w:rPr>
            </w:pPr>
            <w:r w:rsidRPr="00F171A3">
              <w:rPr>
                <w:rFonts w:eastAsia="Calibri" w:cstheme="minorHAnsi"/>
                <w:color w:val="000000" w:themeColor="text1"/>
                <w:szCs w:val="20"/>
              </w:rPr>
              <w:t>Tineri beneficiari ai programelor de îmbunătăţire a ac</w:t>
            </w:r>
            <w:r w:rsidR="00DC7D39">
              <w:rPr>
                <w:rFonts w:eastAsia="Calibri" w:cstheme="minorHAnsi"/>
                <w:color w:val="000000" w:themeColor="text1"/>
                <w:szCs w:val="20"/>
              </w:rPr>
              <w:t>c</w:t>
            </w:r>
            <w:r w:rsidRPr="00F171A3">
              <w:rPr>
                <w:rFonts w:eastAsia="Calibri" w:cstheme="minorHAnsi"/>
                <w:color w:val="000000" w:themeColor="text1"/>
                <w:szCs w:val="20"/>
              </w:rPr>
              <w:t>esului la educaţie</w:t>
            </w:r>
          </w:p>
        </w:tc>
        <w:tc>
          <w:tcPr>
            <w:tcW w:w="1092" w:type="pct"/>
          </w:tcPr>
          <w:p w14:paraId="4E5207B9"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w:t>
            </w:r>
          </w:p>
        </w:tc>
        <w:tc>
          <w:tcPr>
            <w:tcW w:w="1092" w:type="pct"/>
          </w:tcPr>
          <w:p w14:paraId="3BFF1056"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300</w:t>
            </w:r>
          </w:p>
        </w:tc>
      </w:tr>
      <w:tr w:rsidR="00FC4119" w:rsidRPr="00F171A3" w14:paraId="54E3CEBB"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val="restart"/>
            <w:shd w:val="clear" w:color="auto" w:fill="2897B1" w:themeFill="accent4" w:themeFillShade="80"/>
          </w:tcPr>
          <w:p w14:paraId="1CF04E4F" w14:textId="77777777" w:rsidR="00FC4119" w:rsidRPr="00F171A3" w:rsidRDefault="00FC4119" w:rsidP="005F06F6">
            <w:pPr>
              <w:spacing w:after="0"/>
              <w:rPr>
                <w:rFonts w:cstheme="minorHAnsi"/>
                <w:bCs/>
                <w:szCs w:val="20"/>
              </w:rPr>
            </w:pPr>
            <w:r w:rsidRPr="00F171A3">
              <w:rPr>
                <w:rFonts w:cstheme="minorHAnsi"/>
                <w:b/>
                <w:bCs/>
                <w:color w:val="FFFFFF" w:themeColor="background1"/>
              </w:rPr>
              <w:t>O1.4. - Infrastructură sportivă și de petrecere a timpului liber dezvoltată, ce concentrează o ofertă atractivă de activități pentru comunitatea locală</w:t>
            </w:r>
          </w:p>
        </w:tc>
        <w:tc>
          <w:tcPr>
            <w:tcW w:w="1574" w:type="pct"/>
            <w:vAlign w:val="center"/>
          </w:tcPr>
          <w:p w14:paraId="49F8DCBA" w14:textId="77777777" w:rsidR="00FC4119" w:rsidRPr="00F171A3" w:rsidRDefault="00FC4119" w:rsidP="005F06F6">
            <w:pPr>
              <w:spacing w:after="0"/>
              <w:rPr>
                <w:rFonts w:cstheme="minorHAnsi"/>
                <w:bCs/>
                <w:color w:val="FF0000"/>
                <w:szCs w:val="20"/>
              </w:rPr>
            </w:pPr>
            <w:r w:rsidRPr="00F171A3">
              <w:rPr>
                <w:rFonts w:eastAsia="Calibri" w:cstheme="minorHAnsi"/>
                <w:szCs w:val="20"/>
              </w:rPr>
              <w:t>Număr proiecte de noi baze sportive cu acces public în Sectorul 2</w:t>
            </w:r>
          </w:p>
        </w:tc>
        <w:tc>
          <w:tcPr>
            <w:tcW w:w="1092" w:type="pct"/>
            <w:vAlign w:val="center"/>
          </w:tcPr>
          <w:p w14:paraId="6B38B5F7" w14:textId="77777777" w:rsidR="00FC4119" w:rsidRPr="00F171A3" w:rsidRDefault="00FC4119" w:rsidP="005F06F6">
            <w:pPr>
              <w:spacing w:after="0"/>
              <w:rPr>
                <w:rFonts w:cstheme="minorHAnsi"/>
                <w:bCs/>
                <w:szCs w:val="20"/>
              </w:rPr>
            </w:pPr>
            <w:r w:rsidRPr="00F171A3">
              <w:rPr>
                <w:rFonts w:eastAsia="Calibri" w:cstheme="minorHAnsi"/>
                <w:szCs w:val="20"/>
              </w:rPr>
              <w:t>1</w:t>
            </w:r>
          </w:p>
          <w:p w14:paraId="79A9C23B" w14:textId="77777777" w:rsidR="00FC4119" w:rsidRPr="00F171A3" w:rsidRDefault="00FC4119" w:rsidP="005F06F6">
            <w:pPr>
              <w:spacing w:after="0"/>
              <w:rPr>
                <w:rFonts w:cstheme="minorHAnsi"/>
                <w:bCs/>
                <w:color w:val="FF0000"/>
                <w:szCs w:val="20"/>
              </w:rPr>
            </w:pPr>
          </w:p>
        </w:tc>
        <w:tc>
          <w:tcPr>
            <w:tcW w:w="1092" w:type="pct"/>
            <w:vAlign w:val="center"/>
          </w:tcPr>
          <w:p w14:paraId="008D5B3B" w14:textId="77777777" w:rsidR="00FC4119" w:rsidRPr="00F171A3" w:rsidRDefault="00FC4119" w:rsidP="005F06F6">
            <w:pPr>
              <w:spacing w:after="0"/>
              <w:rPr>
                <w:rFonts w:cstheme="minorHAnsi"/>
                <w:bCs/>
                <w:szCs w:val="20"/>
              </w:rPr>
            </w:pPr>
            <w:r w:rsidRPr="00F171A3">
              <w:rPr>
                <w:rFonts w:eastAsia="Calibri" w:cstheme="minorHAnsi"/>
                <w:szCs w:val="20"/>
              </w:rPr>
              <w:t>3</w:t>
            </w:r>
          </w:p>
          <w:p w14:paraId="49F19B68" w14:textId="77777777" w:rsidR="00FC4119" w:rsidRPr="00F171A3" w:rsidRDefault="00FC4119" w:rsidP="005F06F6">
            <w:pPr>
              <w:spacing w:after="0"/>
              <w:rPr>
                <w:rFonts w:cstheme="minorHAnsi"/>
                <w:bCs/>
                <w:color w:val="FF0000"/>
                <w:szCs w:val="20"/>
              </w:rPr>
            </w:pPr>
          </w:p>
        </w:tc>
      </w:tr>
      <w:tr w:rsidR="00FC4119" w:rsidRPr="00F171A3" w14:paraId="67451A8B"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427EBB18" w14:textId="77777777" w:rsidR="00FC4119" w:rsidRPr="00F171A3" w:rsidRDefault="00FC4119" w:rsidP="005F06F6">
            <w:pPr>
              <w:spacing w:after="0"/>
              <w:rPr>
                <w:rFonts w:cstheme="minorHAnsi"/>
                <w:bCs/>
                <w:szCs w:val="20"/>
              </w:rPr>
            </w:pPr>
          </w:p>
        </w:tc>
        <w:tc>
          <w:tcPr>
            <w:tcW w:w="1574" w:type="pct"/>
          </w:tcPr>
          <w:p w14:paraId="12DC556C" w14:textId="77777777" w:rsidR="00FC4119" w:rsidRPr="00F171A3" w:rsidRDefault="00FC4119" w:rsidP="005F06F6">
            <w:pPr>
              <w:spacing w:after="0"/>
              <w:rPr>
                <w:rFonts w:cstheme="minorHAnsi"/>
                <w:bCs/>
                <w:szCs w:val="20"/>
              </w:rPr>
            </w:pPr>
            <w:r w:rsidRPr="00F171A3">
              <w:rPr>
                <w:rFonts w:cstheme="minorHAnsi"/>
                <w:bCs/>
                <w:szCs w:val="20"/>
              </w:rPr>
              <w:t>Bugetul anual alocat pentru domeniul sport din finanțări nerambursabile (Legea 350) acordate de PS2</w:t>
            </w:r>
          </w:p>
        </w:tc>
        <w:tc>
          <w:tcPr>
            <w:tcW w:w="1092" w:type="pct"/>
          </w:tcPr>
          <w:p w14:paraId="29C5D193" w14:textId="77777777" w:rsidR="00FC4119" w:rsidRPr="00F171A3" w:rsidRDefault="00FC4119" w:rsidP="005F06F6">
            <w:pPr>
              <w:spacing w:after="0"/>
              <w:rPr>
                <w:rFonts w:cstheme="minorHAnsi"/>
                <w:bCs/>
                <w:szCs w:val="20"/>
              </w:rPr>
            </w:pPr>
            <w:r w:rsidRPr="00F171A3">
              <w:rPr>
                <w:rFonts w:cstheme="minorHAnsi"/>
                <w:bCs/>
                <w:szCs w:val="20"/>
              </w:rPr>
              <w:t>750.000 RON (2022)</w:t>
            </w:r>
          </w:p>
        </w:tc>
        <w:tc>
          <w:tcPr>
            <w:tcW w:w="1092" w:type="pct"/>
          </w:tcPr>
          <w:p w14:paraId="2505B6DE" w14:textId="77777777" w:rsidR="00FC4119" w:rsidRPr="00F171A3" w:rsidRDefault="00FC4119" w:rsidP="005F06F6">
            <w:pPr>
              <w:spacing w:after="0"/>
              <w:rPr>
                <w:rFonts w:cstheme="minorHAnsi"/>
                <w:bCs/>
                <w:szCs w:val="20"/>
              </w:rPr>
            </w:pPr>
            <w:r w:rsidRPr="00F171A3">
              <w:rPr>
                <w:rFonts w:cstheme="minorHAnsi"/>
                <w:bCs/>
                <w:szCs w:val="20"/>
              </w:rPr>
              <w:t>minim 10% creștere anual a bugetului acordat</w:t>
            </w:r>
          </w:p>
        </w:tc>
      </w:tr>
      <w:tr w:rsidR="00FC4119" w:rsidRPr="00F171A3" w14:paraId="0DE53BFC"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val="restart"/>
            <w:shd w:val="clear" w:color="auto" w:fill="2897B1" w:themeFill="accent4" w:themeFillShade="80"/>
          </w:tcPr>
          <w:p w14:paraId="611833AA" w14:textId="77777777" w:rsidR="00FC4119" w:rsidRPr="00F171A3" w:rsidRDefault="00FC4119" w:rsidP="005F06F6">
            <w:pPr>
              <w:spacing w:after="0"/>
              <w:rPr>
                <w:rFonts w:cstheme="minorHAnsi"/>
                <w:bCs/>
                <w:szCs w:val="20"/>
              </w:rPr>
            </w:pPr>
            <w:r w:rsidRPr="00F171A3">
              <w:rPr>
                <w:rFonts w:cstheme="minorHAnsi"/>
                <w:b/>
                <w:bCs/>
                <w:color w:val="FFFFFF" w:themeColor="background1"/>
              </w:rPr>
              <w:t>O1.5. - Infrastructură culturală modernă și diversificată, ce susține și promovează identitatea comunitară și folosește cultura ca sprijin de dezvoltare socială și urbană</w:t>
            </w:r>
          </w:p>
        </w:tc>
        <w:tc>
          <w:tcPr>
            <w:tcW w:w="1574" w:type="pct"/>
          </w:tcPr>
          <w:p w14:paraId="7882F38B" w14:textId="77777777" w:rsidR="00FC4119" w:rsidRPr="00F171A3" w:rsidRDefault="00FC4119" w:rsidP="005F06F6">
            <w:pPr>
              <w:spacing w:after="0"/>
              <w:rPr>
                <w:rFonts w:cstheme="minorHAnsi"/>
                <w:bCs/>
                <w:color w:val="FF0000"/>
                <w:szCs w:val="20"/>
              </w:rPr>
            </w:pPr>
            <w:r w:rsidRPr="00F171A3">
              <w:rPr>
                <w:szCs w:val="20"/>
              </w:rPr>
              <w:t>Număr mediu de evenimente culturale organizate anual de către PS2</w:t>
            </w:r>
          </w:p>
        </w:tc>
        <w:tc>
          <w:tcPr>
            <w:tcW w:w="1092" w:type="pct"/>
          </w:tcPr>
          <w:p w14:paraId="52C62630" w14:textId="77777777" w:rsidR="00FC4119" w:rsidRPr="00F171A3" w:rsidRDefault="00FC4119" w:rsidP="005F06F6">
            <w:pPr>
              <w:spacing w:after="0"/>
              <w:rPr>
                <w:rFonts w:cstheme="minorHAnsi"/>
                <w:bCs/>
                <w:color w:val="FF0000"/>
                <w:szCs w:val="20"/>
              </w:rPr>
            </w:pPr>
            <w:r w:rsidRPr="00F171A3">
              <w:rPr>
                <w:rFonts w:cstheme="minorHAnsi"/>
                <w:bCs/>
                <w:szCs w:val="20"/>
              </w:rPr>
              <w:t>aproximativ 25</w:t>
            </w:r>
          </w:p>
        </w:tc>
        <w:tc>
          <w:tcPr>
            <w:tcW w:w="1092" w:type="pct"/>
          </w:tcPr>
          <w:p w14:paraId="16B3E1AC" w14:textId="77777777" w:rsidR="00FC4119" w:rsidRPr="00F171A3" w:rsidRDefault="00FC4119" w:rsidP="005F06F6">
            <w:pPr>
              <w:spacing w:after="0"/>
              <w:rPr>
                <w:rFonts w:cstheme="minorHAnsi"/>
                <w:bCs/>
                <w:color w:val="FF0000"/>
                <w:szCs w:val="20"/>
              </w:rPr>
            </w:pPr>
            <w:r w:rsidRPr="00F171A3">
              <w:rPr>
                <w:rFonts w:cstheme="minorHAnsi"/>
                <w:bCs/>
                <w:szCs w:val="20"/>
              </w:rPr>
              <w:t xml:space="preserve">50 anual </w:t>
            </w:r>
          </w:p>
        </w:tc>
      </w:tr>
      <w:tr w:rsidR="00FC4119" w:rsidRPr="00F171A3" w14:paraId="52E4017A"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2E3AE460" w14:textId="77777777" w:rsidR="00FC4119" w:rsidRPr="00F171A3" w:rsidRDefault="00FC4119" w:rsidP="005F06F6">
            <w:pPr>
              <w:spacing w:after="0"/>
              <w:rPr>
                <w:rFonts w:cstheme="minorHAnsi"/>
                <w:bCs/>
                <w:szCs w:val="20"/>
              </w:rPr>
            </w:pPr>
          </w:p>
        </w:tc>
        <w:tc>
          <w:tcPr>
            <w:tcW w:w="1574" w:type="pct"/>
          </w:tcPr>
          <w:p w14:paraId="245808B3" w14:textId="77777777" w:rsidR="00FC4119" w:rsidRPr="00F171A3" w:rsidRDefault="00FC4119" w:rsidP="005F06F6">
            <w:pPr>
              <w:spacing w:after="0"/>
              <w:rPr>
                <w:rFonts w:cstheme="minorHAnsi"/>
                <w:bCs/>
                <w:color w:val="FF0000"/>
                <w:szCs w:val="20"/>
              </w:rPr>
            </w:pPr>
            <w:r w:rsidRPr="00F171A3">
              <w:rPr>
                <w:szCs w:val="20"/>
              </w:rPr>
              <w:t xml:space="preserve">Număr de dotări noi sau spații reconvertite / revitalizate </w:t>
            </w:r>
          </w:p>
        </w:tc>
        <w:tc>
          <w:tcPr>
            <w:tcW w:w="1092" w:type="pct"/>
          </w:tcPr>
          <w:p w14:paraId="60527BFD" w14:textId="77777777" w:rsidR="00FC4119" w:rsidRPr="00F171A3" w:rsidRDefault="00FC4119" w:rsidP="005F06F6">
            <w:pPr>
              <w:spacing w:after="0"/>
              <w:rPr>
                <w:rFonts w:cstheme="minorHAnsi"/>
                <w:bCs/>
                <w:color w:val="FF0000"/>
                <w:szCs w:val="20"/>
              </w:rPr>
            </w:pPr>
            <w:r w:rsidRPr="00F171A3">
              <w:rPr>
                <w:rFonts w:cstheme="minorHAnsi"/>
                <w:bCs/>
                <w:szCs w:val="20"/>
              </w:rPr>
              <w:t>1 proiect în desfășurare – Consolidare Centrul Cultural Expo Arte</w:t>
            </w:r>
          </w:p>
        </w:tc>
        <w:tc>
          <w:tcPr>
            <w:tcW w:w="1092" w:type="pct"/>
          </w:tcPr>
          <w:p w14:paraId="576B8541" w14:textId="77777777" w:rsidR="00FC4119" w:rsidRPr="00F171A3" w:rsidRDefault="00FC4119" w:rsidP="005F06F6">
            <w:pPr>
              <w:spacing w:after="0"/>
              <w:rPr>
                <w:rFonts w:cstheme="minorHAnsi"/>
                <w:bCs/>
                <w:color w:val="FF0000"/>
                <w:szCs w:val="20"/>
              </w:rPr>
            </w:pPr>
            <w:r w:rsidRPr="00F171A3">
              <w:rPr>
                <w:rFonts w:cstheme="minorHAnsi"/>
                <w:bCs/>
                <w:szCs w:val="20"/>
              </w:rPr>
              <w:t>minim 5 (inclusiv centre culturale comunitare)</w:t>
            </w:r>
          </w:p>
        </w:tc>
      </w:tr>
      <w:tr w:rsidR="00FC4119" w:rsidRPr="00F171A3" w14:paraId="6152A325"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1019909F" w14:textId="77777777" w:rsidR="00FC4119" w:rsidRPr="00F171A3" w:rsidRDefault="00FC4119" w:rsidP="005F06F6">
            <w:pPr>
              <w:spacing w:after="0"/>
              <w:rPr>
                <w:rFonts w:cstheme="minorHAnsi"/>
                <w:bCs/>
                <w:szCs w:val="20"/>
              </w:rPr>
            </w:pPr>
          </w:p>
        </w:tc>
        <w:tc>
          <w:tcPr>
            <w:tcW w:w="1574" w:type="pct"/>
          </w:tcPr>
          <w:p w14:paraId="3FCDDB6F" w14:textId="77777777" w:rsidR="00FC4119" w:rsidRPr="00F171A3" w:rsidRDefault="00FC4119" w:rsidP="005F06F6">
            <w:pPr>
              <w:spacing w:after="0"/>
              <w:rPr>
                <w:rFonts w:cstheme="minorHAnsi"/>
                <w:bCs/>
                <w:color w:val="FF0000"/>
                <w:szCs w:val="20"/>
              </w:rPr>
            </w:pPr>
            <w:r w:rsidRPr="00F171A3">
              <w:rPr>
                <w:szCs w:val="20"/>
              </w:rPr>
              <w:t>Număr parteneriate public – privat în domeniul cultural</w:t>
            </w:r>
          </w:p>
        </w:tc>
        <w:tc>
          <w:tcPr>
            <w:tcW w:w="1092" w:type="pct"/>
          </w:tcPr>
          <w:p w14:paraId="57680997" w14:textId="77777777" w:rsidR="00FC4119" w:rsidRPr="00F171A3" w:rsidRDefault="00FC4119" w:rsidP="005F06F6">
            <w:pPr>
              <w:spacing w:after="0"/>
              <w:rPr>
                <w:rFonts w:cstheme="minorHAnsi"/>
                <w:bCs/>
                <w:color w:val="FF0000"/>
                <w:szCs w:val="20"/>
              </w:rPr>
            </w:pPr>
            <w:r w:rsidRPr="00F171A3">
              <w:rPr>
                <w:rFonts w:cstheme="minorHAnsi"/>
                <w:bCs/>
                <w:szCs w:val="20"/>
              </w:rPr>
              <w:t>0</w:t>
            </w:r>
          </w:p>
        </w:tc>
        <w:tc>
          <w:tcPr>
            <w:tcW w:w="1092" w:type="pct"/>
          </w:tcPr>
          <w:p w14:paraId="4D44BEA5" w14:textId="77777777" w:rsidR="00FC4119" w:rsidRPr="00F171A3" w:rsidRDefault="00FC4119" w:rsidP="005F06F6">
            <w:pPr>
              <w:spacing w:after="0"/>
              <w:rPr>
                <w:rFonts w:cstheme="minorHAnsi"/>
                <w:bCs/>
                <w:color w:val="FF0000"/>
                <w:szCs w:val="20"/>
              </w:rPr>
            </w:pPr>
            <w:r w:rsidRPr="00F171A3">
              <w:rPr>
                <w:rFonts w:cstheme="minorHAnsi"/>
                <w:bCs/>
                <w:szCs w:val="20"/>
              </w:rPr>
              <w:t>10</w:t>
            </w:r>
          </w:p>
        </w:tc>
      </w:tr>
      <w:tr w:rsidR="00FC4119" w:rsidRPr="00F171A3" w14:paraId="47A1DE78"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3A49AF2A" w14:textId="77777777" w:rsidR="00FC4119" w:rsidRPr="00F171A3" w:rsidRDefault="00FC4119" w:rsidP="005F06F6">
            <w:pPr>
              <w:spacing w:after="0"/>
              <w:rPr>
                <w:rFonts w:cstheme="minorHAnsi"/>
                <w:bCs/>
                <w:szCs w:val="20"/>
              </w:rPr>
            </w:pPr>
          </w:p>
        </w:tc>
        <w:tc>
          <w:tcPr>
            <w:tcW w:w="1574" w:type="pct"/>
          </w:tcPr>
          <w:p w14:paraId="37D1A73D" w14:textId="77777777" w:rsidR="00FC4119" w:rsidRPr="00F171A3" w:rsidRDefault="00FC4119" w:rsidP="005F06F6">
            <w:pPr>
              <w:spacing w:after="0"/>
              <w:rPr>
                <w:rFonts w:cstheme="minorHAnsi"/>
                <w:bCs/>
                <w:color w:val="FF0000"/>
                <w:szCs w:val="20"/>
              </w:rPr>
            </w:pPr>
            <w:r w:rsidRPr="00F171A3">
              <w:rPr>
                <w:szCs w:val="20"/>
              </w:rPr>
              <w:t>Număr proiecte pilot dezvoltate pentru conturarea identității cartierelor</w:t>
            </w:r>
          </w:p>
        </w:tc>
        <w:tc>
          <w:tcPr>
            <w:tcW w:w="1092" w:type="pct"/>
          </w:tcPr>
          <w:p w14:paraId="0109A5DB" w14:textId="77777777" w:rsidR="00FC4119" w:rsidRPr="00F171A3" w:rsidRDefault="00FC4119" w:rsidP="005F06F6">
            <w:pPr>
              <w:spacing w:after="0"/>
              <w:rPr>
                <w:rFonts w:cstheme="minorHAnsi"/>
                <w:bCs/>
                <w:color w:val="FF0000"/>
                <w:szCs w:val="20"/>
              </w:rPr>
            </w:pPr>
            <w:r w:rsidRPr="00F171A3">
              <w:rPr>
                <w:rFonts w:cstheme="minorHAnsi"/>
                <w:bCs/>
                <w:szCs w:val="20"/>
              </w:rPr>
              <w:t>0</w:t>
            </w:r>
          </w:p>
        </w:tc>
        <w:tc>
          <w:tcPr>
            <w:tcW w:w="1092" w:type="pct"/>
          </w:tcPr>
          <w:p w14:paraId="6A2C7C1A" w14:textId="77777777" w:rsidR="00FC4119" w:rsidRPr="00F171A3" w:rsidRDefault="00FC4119" w:rsidP="005F06F6">
            <w:pPr>
              <w:spacing w:after="0"/>
              <w:rPr>
                <w:rFonts w:cstheme="minorHAnsi"/>
                <w:bCs/>
                <w:color w:val="FF0000"/>
                <w:szCs w:val="20"/>
              </w:rPr>
            </w:pPr>
            <w:r w:rsidRPr="00F171A3">
              <w:rPr>
                <w:rFonts w:cstheme="minorHAnsi"/>
                <w:bCs/>
                <w:szCs w:val="20"/>
              </w:rPr>
              <w:t xml:space="preserve">Minim 2 </w:t>
            </w:r>
          </w:p>
        </w:tc>
      </w:tr>
      <w:tr w:rsidR="00FC4119" w:rsidRPr="00F171A3" w14:paraId="10706318"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27E06B8D" w14:textId="77777777" w:rsidR="00FC4119" w:rsidRPr="00F171A3" w:rsidRDefault="00FC4119" w:rsidP="005F06F6">
            <w:pPr>
              <w:spacing w:after="0"/>
              <w:rPr>
                <w:rFonts w:cstheme="minorHAnsi"/>
                <w:bCs/>
                <w:szCs w:val="20"/>
              </w:rPr>
            </w:pPr>
          </w:p>
        </w:tc>
        <w:tc>
          <w:tcPr>
            <w:tcW w:w="1574" w:type="pct"/>
          </w:tcPr>
          <w:p w14:paraId="678ABE69" w14:textId="77777777" w:rsidR="00FC4119" w:rsidRPr="00F171A3" w:rsidRDefault="00FC4119" w:rsidP="005F06F6">
            <w:pPr>
              <w:spacing w:after="0"/>
              <w:rPr>
                <w:rFonts w:cstheme="minorHAnsi"/>
                <w:color w:val="FF0000"/>
                <w:szCs w:val="20"/>
              </w:rPr>
            </w:pPr>
            <w:r w:rsidRPr="00F171A3">
              <w:rPr>
                <w:szCs w:val="20"/>
              </w:rPr>
              <w:t>Număr de clădiri monumente istorice consolidate (care prezintă risc seismic ridicat)</w:t>
            </w:r>
          </w:p>
        </w:tc>
        <w:tc>
          <w:tcPr>
            <w:tcW w:w="1092" w:type="pct"/>
          </w:tcPr>
          <w:p w14:paraId="50B7B934" w14:textId="77777777" w:rsidR="00FC4119" w:rsidRPr="00F171A3" w:rsidRDefault="00FC4119" w:rsidP="005F06F6">
            <w:pPr>
              <w:spacing w:after="0"/>
              <w:rPr>
                <w:rFonts w:cstheme="minorHAnsi"/>
                <w:bCs/>
                <w:color w:val="FF0000"/>
                <w:szCs w:val="20"/>
              </w:rPr>
            </w:pPr>
            <w:r w:rsidRPr="00F171A3">
              <w:rPr>
                <w:rFonts w:cstheme="minorHAnsi"/>
                <w:bCs/>
                <w:szCs w:val="20"/>
              </w:rPr>
              <w:t>2</w:t>
            </w:r>
          </w:p>
        </w:tc>
        <w:tc>
          <w:tcPr>
            <w:tcW w:w="1092" w:type="pct"/>
          </w:tcPr>
          <w:p w14:paraId="3348F1C8" w14:textId="77777777" w:rsidR="00FC4119" w:rsidRPr="00F171A3" w:rsidRDefault="00FC4119" w:rsidP="005F06F6">
            <w:pPr>
              <w:spacing w:after="0"/>
              <w:rPr>
                <w:rFonts w:cstheme="minorHAnsi"/>
                <w:bCs/>
                <w:color w:val="FF0000"/>
                <w:szCs w:val="20"/>
              </w:rPr>
            </w:pPr>
            <w:r w:rsidRPr="00F171A3">
              <w:rPr>
                <w:rFonts w:cstheme="minorHAnsi"/>
                <w:bCs/>
                <w:szCs w:val="20"/>
              </w:rPr>
              <w:t xml:space="preserve">8 </w:t>
            </w:r>
          </w:p>
        </w:tc>
      </w:tr>
      <w:tr w:rsidR="00FC4119" w:rsidRPr="00F171A3" w14:paraId="56042D16"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val="restart"/>
            <w:shd w:val="clear" w:color="auto" w:fill="2897B1" w:themeFill="accent4" w:themeFillShade="80"/>
          </w:tcPr>
          <w:p w14:paraId="4296569A" w14:textId="77777777" w:rsidR="00FC4119" w:rsidRPr="00F171A3" w:rsidRDefault="00FC4119" w:rsidP="005F06F6">
            <w:pPr>
              <w:spacing w:after="0"/>
              <w:rPr>
                <w:rFonts w:cstheme="minorHAnsi"/>
                <w:bCs/>
                <w:szCs w:val="20"/>
              </w:rPr>
            </w:pPr>
            <w:r w:rsidRPr="00F171A3">
              <w:rPr>
                <w:rFonts w:cstheme="minorHAnsi"/>
                <w:b/>
                <w:bCs/>
                <w:color w:val="FFFFFF" w:themeColor="background1"/>
              </w:rPr>
              <w:t>O1.6. - Infrastructură medicală și servicii moderne, oportunități și programe de consolidare a unui mod de viață sănătos, bazat pe informare și cunoaștere, activitate și sport</w:t>
            </w:r>
          </w:p>
        </w:tc>
        <w:tc>
          <w:tcPr>
            <w:tcW w:w="1574" w:type="pct"/>
          </w:tcPr>
          <w:p w14:paraId="1C852558" w14:textId="77777777" w:rsidR="00FC4119" w:rsidRPr="00F171A3" w:rsidRDefault="00FC4119" w:rsidP="005F06F6">
            <w:pPr>
              <w:ind w:left="-60"/>
              <w:jc w:val="left"/>
              <w:rPr>
                <w:rFonts w:eastAsia="Calibri" w:cstheme="minorHAnsi"/>
                <w:szCs w:val="20"/>
              </w:rPr>
            </w:pPr>
            <w:r w:rsidRPr="00F171A3">
              <w:rPr>
                <w:rFonts w:eastAsia="Calibri" w:cstheme="minorHAnsi"/>
                <w:szCs w:val="20"/>
              </w:rPr>
              <w:t>Dispensare reabilitate/modernizate</w:t>
            </w:r>
          </w:p>
        </w:tc>
        <w:tc>
          <w:tcPr>
            <w:tcW w:w="1092" w:type="pct"/>
          </w:tcPr>
          <w:p w14:paraId="3AF65AD0"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1806C019" w14:textId="77777777" w:rsidR="00FC4119" w:rsidRPr="00F171A3" w:rsidRDefault="00FC4119" w:rsidP="005F06F6">
            <w:pPr>
              <w:spacing w:after="0"/>
              <w:rPr>
                <w:rFonts w:cstheme="minorHAnsi"/>
                <w:bCs/>
                <w:szCs w:val="20"/>
              </w:rPr>
            </w:pPr>
            <w:r w:rsidRPr="00F171A3">
              <w:rPr>
                <w:rFonts w:cstheme="minorHAnsi"/>
                <w:bCs/>
                <w:szCs w:val="20"/>
              </w:rPr>
              <w:t>5</w:t>
            </w:r>
          </w:p>
        </w:tc>
      </w:tr>
      <w:tr w:rsidR="00FC4119" w:rsidRPr="00F171A3" w14:paraId="1B68B339"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7942930F" w14:textId="77777777" w:rsidR="00FC4119" w:rsidRPr="00F171A3" w:rsidRDefault="00FC4119" w:rsidP="005F06F6">
            <w:pPr>
              <w:spacing w:after="0"/>
              <w:rPr>
                <w:rFonts w:cstheme="minorHAnsi"/>
                <w:bCs/>
                <w:szCs w:val="20"/>
              </w:rPr>
            </w:pPr>
          </w:p>
        </w:tc>
        <w:tc>
          <w:tcPr>
            <w:tcW w:w="1574" w:type="pct"/>
          </w:tcPr>
          <w:p w14:paraId="0A10A023" w14:textId="77777777" w:rsidR="00FC4119" w:rsidRPr="00F171A3" w:rsidRDefault="00FC4119" w:rsidP="005F06F6">
            <w:pPr>
              <w:ind w:left="-60"/>
              <w:jc w:val="left"/>
              <w:rPr>
                <w:rFonts w:eastAsia="Calibri" w:cstheme="minorHAnsi"/>
                <w:szCs w:val="20"/>
              </w:rPr>
            </w:pPr>
            <w:r w:rsidRPr="00F171A3">
              <w:rPr>
                <w:rFonts w:eastAsia="Calibri" w:cstheme="minorHAnsi"/>
                <w:szCs w:val="20"/>
              </w:rPr>
              <w:t>Noi centre medicale</w:t>
            </w:r>
          </w:p>
        </w:tc>
        <w:tc>
          <w:tcPr>
            <w:tcW w:w="1092" w:type="pct"/>
          </w:tcPr>
          <w:p w14:paraId="3ADC1198"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279BB482" w14:textId="77777777" w:rsidR="00FC4119" w:rsidRPr="00F171A3" w:rsidRDefault="00FC4119" w:rsidP="005F06F6">
            <w:pPr>
              <w:spacing w:after="0"/>
              <w:rPr>
                <w:rFonts w:cstheme="minorHAnsi"/>
                <w:bCs/>
                <w:szCs w:val="20"/>
              </w:rPr>
            </w:pPr>
            <w:r w:rsidRPr="00F171A3">
              <w:rPr>
                <w:rFonts w:cstheme="minorHAnsi"/>
                <w:bCs/>
                <w:szCs w:val="20"/>
              </w:rPr>
              <w:t>1</w:t>
            </w:r>
          </w:p>
        </w:tc>
      </w:tr>
      <w:tr w:rsidR="00FC4119" w:rsidRPr="00F171A3" w14:paraId="30A322C8"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1AB05CF0" w14:textId="77777777" w:rsidR="00FC4119" w:rsidRPr="00F171A3" w:rsidRDefault="00FC4119" w:rsidP="005F06F6">
            <w:pPr>
              <w:spacing w:after="0"/>
              <w:rPr>
                <w:rFonts w:cstheme="minorHAnsi"/>
                <w:bCs/>
                <w:szCs w:val="20"/>
              </w:rPr>
            </w:pPr>
          </w:p>
        </w:tc>
        <w:tc>
          <w:tcPr>
            <w:tcW w:w="1574" w:type="pct"/>
          </w:tcPr>
          <w:p w14:paraId="7AEA24BF" w14:textId="77777777" w:rsidR="00FC4119" w:rsidRPr="00F171A3" w:rsidRDefault="00FC4119" w:rsidP="005F06F6">
            <w:pPr>
              <w:spacing w:after="0"/>
              <w:rPr>
                <w:rFonts w:cstheme="minorHAnsi"/>
                <w:bCs/>
                <w:szCs w:val="20"/>
              </w:rPr>
            </w:pPr>
            <w:r w:rsidRPr="00F171A3">
              <w:rPr>
                <w:rFonts w:eastAsia="Calibri" w:cstheme="minorHAnsi"/>
                <w:szCs w:val="20"/>
              </w:rPr>
              <w:t>Persoane beneficiare de servicii de medicină preventivă sau policlinică socială</w:t>
            </w:r>
          </w:p>
        </w:tc>
        <w:tc>
          <w:tcPr>
            <w:tcW w:w="1092" w:type="pct"/>
          </w:tcPr>
          <w:p w14:paraId="0390B11F"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60E79DF1" w14:textId="77777777" w:rsidR="00FC4119" w:rsidRPr="00F171A3" w:rsidRDefault="00FC4119" w:rsidP="005F06F6">
            <w:pPr>
              <w:spacing w:after="0"/>
              <w:rPr>
                <w:rFonts w:cstheme="minorHAnsi"/>
                <w:bCs/>
                <w:szCs w:val="20"/>
              </w:rPr>
            </w:pPr>
            <w:r w:rsidRPr="00F171A3">
              <w:rPr>
                <w:rFonts w:cstheme="minorHAnsi"/>
                <w:bCs/>
                <w:szCs w:val="20"/>
              </w:rPr>
              <w:t>1000</w:t>
            </w:r>
          </w:p>
        </w:tc>
      </w:tr>
      <w:tr w:rsidR="00FC4119" w:rsidRPr="00F171A3" w14:paraId="0FDEB7A4"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7D7A32A3" w14:textId="77777777" w:rsidR="00FC4119" w:rsidRPr="00F171A3" w:rsidRDefault="00FC4119" w:rsidP="005F06F6">
            <w:pPr>
              <w:spacing w:after="0"/>
              <w:rPr>
                <w:rFonts w:cstheme="minorHAnsi"/>
                <w:bCs/>
                <w:szCs w:val="20"/>
              </w:rPr>
            </w:pPr>
          </w:p>
        </w:tc>
        <w:tc>
          <w:tcPr>
            <w:tcW w:w="1574" w:type="pct"/>
          </w:tcPr>
          <w:p w14:paraId="53F58B34" w14:textId="2CC6F18A" w:rsidR="00FC4119" w:rsidRPr="00F171A3" w:rsidRDefault="00B1751D" w:rsidP="005F06F6">
            <w:pPr>
              <w:spacing w:after="0"/>
              <w:rPr>
                <w:rFonts w:cstheme="minorHAnsi"/>
                <w:bCs/>
                <w:szCs w:val="20"/>
              </w:rPr>
            </w:pPr>
            <w:r w:rsidRPr="00F171A3">
              <w:rPr>
                <w:rFonts w:cstheme="minorHAnsi"/>
                <w:bCs/>
                <w:szCs w:val="20"/>
              </w:rPr>
              <w:t>Număr</w:t>
            </w:r>
            <w:r w:rsidR="00FC4119" w:rsidRPr="00F171A3">
              <w:rPr>
                <w:rFonts w:cstheme="minorHAnsi"/>
                <w:bCs/>
                <w:szCs w:val="20"/>
              </w:rPr>
              <w:t xml:space="preserve"> de proiecte/campanii de medicină preventivă implementate</w:t>
            </w:r>
          </w:p>
        </w:tc>
        <w:tc>
          <w:tcPr>
            <w:tcW w:w="1092" w:type="pct"/>
          </w:tcPr>
          <w:p w14:paraId="0DEA2AA0"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6B7202B5" w14:textId="77777777" w:rsidR="00FC4119" w:rsidRPr="00F171A3" w:rsidRDefault="00FC4119" w:rsidP="005F06F6">
            <w:pPr>
              <w:spacing w:after="0"/>
              <w:rPr>
                <w:rFonts w:cstheme="minorHAnsi"/>
                <w:bCs/>
                <w:szCs w:val="20"/>
              </w:rPr>
            </w:pPr>
            <w:r w:rsidRPr="00F171A3">
              <w:rPr>
                <w:rFonts w:cstheme="minorHAnsi"/>
                <w:bCs/>
                <w:szCs w:val="20"/>
              </w:rPr>
              <w:t>3</w:t>
            </w:r>
          </w:p>
        </w:tc>
      </w:tr>
      <w:tr w:rsidR="00FC4119" w:rsidRPr="00F171A3" w14:paraId="0FF1ACEA"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val="restart"/>
            <w:shd w:val="clear" w:color="auto" w:fill="2897B1" w:themeFill="accent4" w:themeFillShade="80"/>
          </w:tcPr>
          <w:p w14:paraId="6E37D8FB"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O1.7. - Diversificarea serviciilor sociale și îmbunătățirea calității acestora în vederea creșterii accesului populației, în special al persoanelor vulnerabile, la măsuri și soluții pentru îmbunătățirea condițiilor de trai și oportunități pentru o viață decentă</w:t>
            </w:r>
          </w:p>
        </w:tc>
        <w:tc>
          <w:tcPr>
            <w:tcW w:w="1574" w:type="pct"/>
          </w:tcPr>
          <w:p w14:paraId="6F8BFD2E" w14:textId="77777777" w:rsidR="00FC4119" w:rsidRPr="00F171A3" w:rsidRDefault="00FC4119" w:rsidP="005F06F6">
            <w:pPr>
              <w:ind w:left="43"/>
              <w:jc w:val="left"/>
              <w:rPr>
                <w:rFonts w:eastAsia="Calibri" w:cstheme="minorHAnsi"/>
                <w:szCs w:val="20"/>
              </w:rPr>
            </w:pPr>
            <w:r w:rsidRPr="00F171A3">
              <w:rPr>
                <w:rFonts w:eastAsia="Calibri" w:cstheme="minorHAnsi"/>
                <w:szCs w:val="20"/>
              </w:rPr>
              <w:t>Studii pentru identificarea nevoilor persoanelor vulnerabile realizate</w:t>
            </w:r>
          </w:p>
        </w:tc>
        <w:tc>
          <w:tcPr>
            <w:tcW w:w="1092" w:type="pct"/>
          </w:tcPr>
          <w:p w14:paraId="687CD268" w14:textId="77777777" w:rsidR="00FC4119" w:rsidRPr="00F171A3" w:rsidRDefault="00FC4119" w:rsidP="005F06F6">
            <w:pPr>
              <w:spacing w:after="0"/>
              <w:rPr>
                <w:rFonts w:cstheme="minorHAnsi"/>
                <w:bCs/>
                <w:szCs w:val="20"/>
              </w:rPr>
            </w:pPr>
            <w:r w:rsidRPr="00F171A3">
              <w:rPr>
                <w:rFonts w:cstheme="minorHAnsi"/>
                <w:bCs/>
                <w:szCs w:val="20"/>
              </w:rPr>
              <w:t>0</w:t>
            </w:r>
          </w:p>
        </w:tc>
        <w:tc>
          <w:tcPr>
            <w:tcW w:w="1092" w:type="pct"/>
          </w:tcPr>
          <w:p w14:paraId="17A0D3FF" w14:textId="77777777" w:rsidR="00FC4119" w:rsidRPr="00F171A3" w:rsidRDefault="00FC4119" w:rsidP="005F06F6">
            <w:pPr>
              <w:spacing w:after="0"/>
              <w:rPr>
                <w:rFonts w:cstheme="minorHAnsi"/>
                <w:bCs/>
                <w:szCs w:val="20"/>
              </w:rPr>
            </w:pPr>
            <w:r w:rsidRPr="00F171A3">
              <w:rPr>
                <w:rFonts w:cstheme="minorHAnsi"/>
                <w:bCs/>
                <w:szCs w:val="20"/>
              </w:rPr>
              <w:t>2</w:t>
            </w:r>
          </w:p>
        </w:tc>
      </w:tr>
      <w:tr w:rsidR="00FC4119" w:rsidRPr="00F171A3" w14:paraId="71798F24"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4583473A" w14:textId="77777777" w:rsidR="00FC4119" w:rsidRPr="00F171A3" w:rsidRDefault="00FC4119" w:rsidP="005F06F6">
            <w:pPr>
              <w:spacing w:after="0"/>
              <w:rPr>
                <w:rFonts w:cstheme="minorHAnsi"/>
                <w:bCs/>
                <w:szCs w:val="20"/>
              </w:rPr>
            </w:pPr>
          </w:p>
        </w:tc>
        <w:tc>
          <w:tcPr>
            <w:tcW w:w="1574" w:type="pct"/>
          </w:tcPr>
          <w:p w14:paraId="58505B14" w14:textId="77777777" w:rsidR="00FC4119" w:rsidRPr="00F171A3" w:rsidRDefault="00FC4119" w:rsidP="005F06F6">
            <w:pPr>
              <w:ind w:left="43"/>
              <w:jc w:val="left"/>
              <w:rPr>
                <w:rFonts w:eastAsia="Calibri" w:cstheme="minorHAnsi"/>
                <w:szCs w:val="20"/>
              </w:rPr>
            </w:pPr>
            <w:r w:rsidRPr="00F171A3">
              <w:t>Intervenții Integrate în ZUM</w:t>
            </w:r>
          </w:p>
        </w:tc>
        <w:tc>
          <w:tcPr>
            <w:tcW w:w="1092" w:type="pct"/>
          </w:tcPr>
          <w:p w14:paraId="1DC2F465" w14:textId="77777777" w:rsidR="00FC4119" w:rsidRPr="00F171A3" w:rsidRDefault="00FC4119" w:rsidP="005F06F6">
            <w:pPr>
              <w:spacing w:after="0"/>
              <w:rPr>
                <w:rFonts w:cstheme="minorHAnsi"/>
                <w:bCs/>
                <w:szCs w:val="20"/>
              </w:rPr>
            </w:pPr>
            <w:r w:rsidRPr="00F171A3">
              <w:rPr>
                <w:rFonts w:cstheme="minorHAnsi"/>
                <w:bCs/>
                <w:szCs w:val="20"/>
              </w:rPr>
              <w:t>0</w:t>
            </w:r>
          </w:p>
        </w:tc>
        <w:tc>
          <w:tcPr>
            <w:tcW w:w="1092" w:type="pct"/>
          </w:tcPr>
          <w:p w14:paraId="5B269045" w14:textId="77777777" w:rsidR="00FC4119" w:rsidRPr="00F171A3" w:rsidRDefault="00FC4119" w:rsidP="005F06F6">
            <w:pPr>
              <w:spacing w:after="0"/>
              <w:rPr>
                <w:rFonts w:cstheme="minorHAnsi"/>
                <w:bCs/>
                <w:szCs w:val="20"/>
              </w:rPr>
            </w:pPr>
            <w:r w:rsidRPr="00F171A3">
              <w:rPr>
                <w:rFonts w:cstheme="minorHAnsi"/>
                <w:bCs/>
                <w:szCs w:val="20"/>
              </w:rPr>
              <w:t>5</w:t>
            </w:r>
          </w:p>
        </w:tc>
      </w:tr>
      <w:tr w:rsidR="00FC4119" w:rsidRPr="00F171A3" w14:paraId="67185402"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5F753D61" w14:textId="77777777" w:rsidR="00FC4119" w:rsidRPr="00F171A3" w:rsidRDefault="00FC4119" w:rsidP="005F06F6">
            <w:pPr>
              <w:spacing w:after="0"/>
              <w:rPr>
                <w:rFonts w:cstheme="minorHAnsi"/>
                <w:bCs/>
                <w:szCs w:val="20"/>
              </w:rPr>
            </w:pPr>
          </w:p>
        </w:tc>
        <w:tc>
          <w:tcPr>
            <w:tcW w:w="1574" w:type="pct"/>
          </w:tcPr>
          <w:p w14:paraId="2FC0A242" w14:textId="77777777" w:rsidR="00FC4119" w:rsidRPr="00F171A3" w:rsidRDefault="00FC4119" w:rsidP="005F06F6">
            <w:pPr>
              <w:ind w:left="43"/>
              <w:jc w:val="left"/>
              <w:rPr>
                <w:rFonts w:eastAsia="Calibri" w:cstheme="minorHAnsi"/>
                <w:szCs w:val="20"/>
              </w:rPr>
            </w:pPr>
            <w:r w:rsidRPr="00F171A3">
              <w:rPr>
                <w:rFonts w:eastAsia="Calibri" w:cstheme="minorHAnsi"/>
                <w:szCs w:val="20"/>
              </w:rPr>
              <w:t>Campanii de informare desfăşurate</w:t>
            </w:r>
          </w:p>
        </w:tc>
        <w:tc>
          <w:tcPr>
            <w:tcW w:w="1092" w:type="pct"/>
          </w:tcPr>
          <w:p w14:paraId="0C1D86A9" w14:textId="77777777" w:rsidR="00FC4119" w:rsidRPr="00F171A3" w:rsidRDefault="00FC4119" w:rsidP="005F06F6">
            <w:pPr>
              <w:spacing w:after="0"/>
              <w:rPr>
                <w:rFonts w:cstheme="minorHAnsi"/>
                <w:bCs/>
                <w:szCs w:val="20"/>
              </w:rPr>
            </w:pPr>
            <w:r w:rsidRPr="00F171A3">
              <w:rPr>
                <w:rFonts w:cstheme="minorHAnsi"/>
                <w:bCs/>
                <w:szCs w:val="20"/>
              </w:rPr>
              <w:t>0</w:t>
            </w:r>
          </w:p>
        </w:tc>
        <w:tc>
          <w:tcPr>
            <w:tcW w:w="1092" w:type="pct"/>
          </w:tcPr>
          <w:p w14:paraId="63C3BC36" w14:textId="77777777" w:rsidR="00FC4119" w:rsidRPr="00F171A3" w:rsidRDefault="00FC4119" w:rsidP="005F06F6">
            <w:pPr>
              <w:spacing w:after="0"/>
              <w:rPr>
                <w:rFonts w:cstheme="minorHAnsi"/>
                <w:bCs/>
                <w:szCs w:val="20"/>
              </w:rPr>
            </w:pPr>
            <w:r w:rsidRPr="00F171A3">
              <w:rPr>
                <w:rFonts w:cstheme="minorHAnsi"/>
                <w:bCs/>
                <w:szCs w:val="20"/>
              </w:rPr>
              <w:t>5</w:t>
            </w:r>
          </w:p>
        </w:tc>
      </w:tr>
      <w:tr w:rsidR="00FC4119" w:rsidRPr="00F171A3" w14:paraId="36B45108"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2B5BBC40" w14:textId="77777777" w:rsidR="00FC4119" w:rsidRPr="00F171A3" w:rsidRDefault="00FC4119" w:rsidP="005F06F6">
            <w:pPr>
              <w:spacing w:after="0"/>
              <w:rPr>
                <w:rFonts w:cstheme="minorHAnsi"/>
                <w:bCs/>
                <w:szCs w:val="20"/>
              </w:rPr>
            </w:pPr>
          </w:p>
        </w:tc>
        <w:tc>
          <w:tcPr>
            <w:tcW w:w="1574" w:type="pct"/>
          </w:tcPr>
          <w:p w14:paraId="7951AFD3" w14:textId="77777777" w:rsidR="00FC4119" w:rsidRPr="00F171A3" w:rsidRDefault="00FC4119" w:rsidP="005F06F6">
            <w:pPr>
              <w:ind w:left="43"/>
              <w:jc w:val="left"/>
              <w:rPr>
                <w:rFonts w:eastAsia="Calibri" w:cstheme="minorHAnsi"/>
                <w:szCs w:val="20"/>
              </w:rPr>
            </w:pPr>
            <w:r w:rsidRPr="00F171A3">
              <w:rPr>
                <w:rFonts w:eastAsia="Calibri" w:cstheme="minorHAnsi"/>
                <w:szCs w:val="20"/>
              </w:rPr>
              <w:t xml:space="preserve">Centre extinse/modernizate/reabilitate </w:t>
            </w:r>
          </w:p>
        </w:tc>
        <w:tc>
          <w:tcPr>
            <w:tcW w:w="1092" w:type="pct"/>
          </w:tcPr>
          <w:p w14:paraId="4DD323EB" w14:textId="77777777" w:rsidR="00FC4119" w:rsidRPr="00F171A3" w:rsidRDefault="00FC4119" w:rsidP="005F06F6">
            <w:pPr>
              <w:spacing w:after="0"/>
              <w:rPr>
                <w:rFonts w:cstheme="minorHAnsi"/>
                <w:bCs/>
                <w:szCs w:val="20"/>
              </w:rPr>
            </w:pPr>
            <w:r w:rsidRPr="00F171A3">
              <w:rPr>
                <w:rFonts w:cstheme="minorHAnsi"/>
                <w:bCs/>
                <w:szCs w:val="20"/>
              </w:rPr>
              <w:t>0</w:t>
            </w:r>
          </w:p>
        </w:tc>
        <w:tc>
          <w:tcPr>
            <w:tcW w:w="1092" w:type="pct"/>
          </w:tcPr>
          <w:p w14:paraId="3815C85C" w14:textId="77777777" w:rsidR="00FC4119" w:rsidRPr="00F171A3" w:rsidRDefault="00FC4119" w:rsidP="005F06F6">
            <w:pPr>
              <w:spacing w:after="0"/>
              <w:rPr>
                <w:rFonts w:cstheme="minorHAnsi"/>
                <w:bCs/>
                <w:szCs w:val="20"/>
              </w:rPr>
            </w:pPr>
            <w:r w:rsidRPr="00F171A3">
              <w:rPr>
                <w:rFonts w:cstheme="minorHAnsi"/>
                <w:bCs/>
                <w:szCs w:val="20"/>
              </w:rPr>
              <w:t>8</w:t>
            </w:r>
          </w:p>
        </w:tc>
      </w:tr>
      <w:tr w:rsidR="00FC4119" w:rsidRPr="00F171A3" w14:paraId="5AD6F5D4"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3E95710E" w14:textId="77777777" w:rsidR="00FC4119" w:rsidRPr="00F171A3" w:rsidRDefault="00FC4119" w:rsidP="005F06F6">
            <w:pPr>
              <w:spacing w:after="0"/>
              <w:rPr>
                <w:rFonts w:cstheme="minorHAnsi"/>
                <w:bCs/>
                <w:szCs w:val="20"/>
              </w:rPr>
            </w:pPr>
          </w:p>
        </w:tc>
        <w:tc>
          <w:tcPr>
            <w:tcW w:w="1574" w:type="pct"/>
          </w:tcPr>
          <w:p w14:paraId="061EF510" w14:textId="77777777" w:rsidR="00FC4119" w:rsidRPr="00F171A3" w:rsidRDefault="00FC4119" w:rsidP="005F06F6">
            <w:pPr>
              <w:ind w:left="43"/>
              <w:jc w:val="left"/>
              <w:rPr>
                <w:rFonts w:eastAsia="Calibri" w:cstheme="minorHAnsi"/>
                <w:szCs w:val="20"/>
              </w:rPr>
            </w:pPr>
            <w:r w:rsidRPr="00F171A3">
              <w:rPr>
                <w:rFonts w:eastAsia="Calibri" w:cstheme="minorHAnsi"/>
                <w:szCs w:val="20"/>
              </w:rPr>
              <w:t>Noi centre înființate</w:t>
            </w:r>
          </w:p>
        </w:tc>
        <w:tc>
          <w:tcPr>
            <w:tcW w:w="1092" w:type="pct"/>
          </w:tcPr>
          <w:p w14:paraId="6CAC2B85" w14:textId="77777777" w:rsidR="00FC4119" w:rsidRPr="00F171A3" w:rsidRDefault="00FC4119" w:rsidP="005F06F6">
            <w:pPr>
              <w:spacing w:after="0"/>
              <w:rPr>
                <w:rFonts w:cstheme="minorHAnsi"/>
                <w:bCs/>
                <w:szCs w:val="20"/>
              </w:rPr>
            </w:pPr>
            <w:r w:rsidRPr="00F171A3">
              <w:rPr>
                <w:rFonts w:cstheme="minorHAnsi"/>
                <w:bCs/>
                <w:szCs w:val="20"/>
              </w:rPr>
              <w:t>0</w:t>
            </w:r>
          </w:p>
        </w:tc>
        <w:tc>
          <w:tcPr>
            <w:tcW w:w="1092" w:type="pct"/>
          </w:tcPr>
          <w:p w14:paraId="240E7CD0" w14:textId="77777777" w:rsidR="00FC4119" w:rsidRPr="00F171A3" w:rsidRDefault="00FC4119" w:rsidP="005F06F6">
            <w:pPr>
              <w:spacing w:after="0"/>
              <w:rPr>
                <w:rFonts w:cstheme="minorHAnsi"/>
                <w:bCs/>
                <w:szCs w:val="20"/>
              </w:rPr>
            </w:pPr>
            <w:r w:rsidRPr="00F171A3">
              <w:rPr>
                <w:rFonts w:cstheme="minorHAnsi"/>
                <w:bCs/>
                <w:szCs w:val="20"/>
              </w:rPr>
              <w:t>6</w:t>
            </w:r>
          </w:p>
        </w:tc>
      </w:tr>
      <w:tr w:rsidR="00FC4119" w:rsidRPr="00F171A3" w14:paraId="4F4087CA" w14:textId="77777777" w:rsidTr="00FC4119">
        <w:trPr>
          <w:cnfStyle w:val="000000010000" w:firstRow="0" w:lastRow="0" w:firstColumn="0" w:lastColumn="0" w:oddVBand="0" w:evenVBand="0" w:oddHBand="0" w:evenHBand="1" w:firstRowFirstColumn="0" w:firstRowLastColumn="0" w:lastRowFirstColumn="0" w:lastRowLastColumn="0"/>
          <w:trHeight w:val="521"/>
        </w:trPr>
        <w:tc>
          <w:tcPr>
            <w:tcW w:w="1241" w:type="pct"/>
            <w:vMerge/>
            <w:shd w:val="clear" w:color="auto" w:fill="2897B1" w:themeFill="accent4" w:themeFillShade="80"/>
          </w:tcPr>
          <w:p w14:paraId="03A19DB0" w14:textId="77777777" w:rsidR="00FC4119" w:rsidRPr="00F171A3" w:rsidRDefault="00FC4119" w:rsidP="005F06F6">
            <w:pPr>
              <w:spacing w:after="0"/>
              <w:rPr>
                <w:rFonts w:cstheme="minorHAnsi"/>
                <w:bCs/>
                <w:szCs w:val="20"/>
              </w:rPr>
            </w:pPr>
          </w:p>
        </w:tc>
        <w:tc>
          <w:tcPr>
            <w:tcW w:w="1574" w:type="pct"/>
          </w:tcPr>
          <w:p w14:paraId="6A2B09FB" w14:textId="77777777" w:rsidR="00FC4119" w:rsidRPr="00F171A3" w:rsidRDefault="00FC4119" w:rsidP="005F06F6">
            <w:pPr>
              <w:ind w:left="43"/>
              <w:jc w:val="left"/>
              <w:rPr>
                <w:rFonts w:eastAsia="Calibri" w:cstheme="minorHAnsi"/>
                <w:szCs w:val="20"/>
              </w:rPr>
            </w:pPr>
            <w:r w:rsidRPr="00F171A3">
              <w:rPr>
                <w:rFonts w:eastAsia="Calibri" w:cstheme="minorHAnsi"/>
                <w:szCs w:val="20"/>
              </w:rPr>
              <w:t>Întreprinderi de economie socială înfiinţate</w:t>
            </w:r>
          </w:p>
        </w:tc>
        <w:tc>
          <w:tcPr>
            <w:tcW w:w="1092" w:type="pct"/>
          </w:tcPr>
          <w:p w14:paraId="102ABFFF" w14:textId="77777777" w:rsidR="00FC4119" w:rsidRPr="00F171A3" w:rsidRDefault="00FC4119" w:rsidP="005F06F6">
            <w:pPr>
              <w:spacing w:after="0"/>
              <w:rPr>
                <w:rFonts w:cstheme="minorHAnsi"/>
                <w:bCs/>
                <w:szCs w:val="20"/>
              </w:rPr>
            </w:pPr>
            <w:r w:rsidRPr="00F171A3">
              <w:rPr>
                <w:rFonts w:cstheme="minorHAnsi"/>
                <w:bCs/>
                <w:szCs w:val="20"/>
              </w:rPr>
              <w:t>0</w:t>
            </w:r>
          </w:p>
        </w:tc>
        <w:tc>
          <w:tcPr>
            <w:tcW w:w="1092" w:type="pct"/>
          </w:tcPr>
          <w:p w14:paraId="53145CFF" w14:textId="77777777" w:rsidR="00FC4119" w:rsidRPr="00F171A3" w:rsidRDefault="00FC4119" w:rsidP="005F06F6">
            <w:pPr>
              <w:spacing w:after="0"/>
              <w:rPr>
                <w:rFonts w:cstheme="minorHAnsi"/>
                <w:bCs/>
                <w:szCs w:val="20"/>
              </w:rPr>
            </w:pPr>
            <w:r w:rsidRPr="00F171A3">
              <w:rPr>
                <w:rFonts w:cstheme="minorHAnsi"/>
                <w:bCs/>
                <w:szCs w:val="20"/>
              </w:rPr>
              <w:t>1</w:t>
            </w:r>
          </w:p>
        </w:tc>
      </w:tr>
      <w:tr w:rsidR="00FC4119" w:rsidRPr="00F171A3" w14:paraId="60B920B1" w14:textId="77777777" w:rsidTr="00FC4119">
        <w:trPr>
          <w:cnfStyle w:val="000000100000" w:firstRow="0" w:lastRow="0" w:firstColumn="0" w:lastColumn="0" w:oddVBand="0" w:evenVBand="0" w:oddHBand="1" w:evenHBand="0" w:firstRowFirstColumn="0" w:firstRowLastColumn="0" w:lastRowFirstColumn="0" w:lastRowLastColumn="0"/>
          <w:trHeight w:val="521"/>
        </w:trPr>
        <w:tc>
          <w:tcPr>
            <w:tcW w:w="1241" w:type="pct"/>
            <w:vMerge/>
            <w:shd w:val="clear" w:color="auto" w:fill="2897B1" w:themeFill="accent4" w:themeFillShade="80"/>
          </w:tcPr>
          <w:p w14:paraId="79A63276" w14:textId="77777777" w:rsidR="00FC4119" w:rsidRPr="00F171A3" w:rsidRDefault="00FC4119" w:rsidP="005F06F6">
            <w:pPr>
              <w:spacing w:after="0"/>
              <w:rPr>
                <w:rFonts w:cstheme="minorHAnsi"/>
                <w:bCs/>
                <w:szCs w:val="20"/>
              </w:rPr>
            </w:pPr>
          </w:p>
        </w:tc>
        <w:tc>
          <w:tcPr>
            <w:tcW w:w="1574" w:type="pct"/>
          </w:tcPr>
          <w:p w14:paraId="77EAD026" w14:textId="0BB0A4BA" w:rsidR="00FC4119" w:rsidRPr="00F171A3" w:rsidRDefault="00FC4119" w:rsidP="005F06F6">
            <w:pPr>
              <w:ind w:left="43"/>
              <w:jc w:val="left"/>
              <w:rPr>
                <w:rFonts w:eastAsia="Calibri" w:cstheme="minorHAnsi"/>
                <w:szCs w:val="20"/>
              </w:rPr>
            </w:pPr>
            <w:r w:rsidRPr="00F171A3">
              <w:rPr>
                <w:rFonts w:eastAsia="Calibri" w:cstheme="minorHAnsi"/>
                <w:szCs w:val="20"/>
              </w:rPr>
              <w:t>Programe integrate de servicii sociale dedicate unor categorii specifice de populaţie dezavantajată (ex. mame minore, vârstnici imobilizaţi la domiciliu, copii care nu au posibilitatea de a continua educaţia, persoane defavorizate din punct de vedere al ocup</w:t>
            </w:r>
            <w:r w:rsidR="00DC7D39">
              <w:rPr>
                <w:rFonts w:eastAsia="Calibri" w:cstheme="minorHAnsi"/>
                <w:szCs w:val="20"/>
              </w:rPr>
              <w:t>ă</w:t>
            </w:r>
            <w:r w:rsidRPr="00F171A3">
              <w:rPr>
                <w:rFonts w:eastAsia="Calibri" w:cstheme="minorHAnsi"/>
                <w:szCs w:val="20"/>
              </w:rPr>
              <w:t>rii etc.)</w:t>
            </w:r>
          </w:p>
        </w:tc>
        <w:tc>
          <w:tcPr>
            <w:tcW w:w="1092" w:type="pct"/>
          </w:tcPr>
          <w:p w14:paraId="0640489B" w14:textId="77777777" w:rsidR="00FC4119" w:rsidRPr="00F171A3" w:rsidRDefault="00FC4119" w:rsidP="005F06F6">
            <w:pPr>
              <w:spacing w:after="0"/>
              <w:rPr>
                <w:rFonts w:cstheme="minorHAnsi"/>
                <w:bCs/>
                <w:szCs w:val="20"/>
              </w:rPr>
            </w:pPr>
            <w:r w:rsidRPr="00F171A3">
              <w:rPr>
                <w:rFonts w:cstheme="minorHAnsi"/>
                <w:bCs/>
                <w:szCs w:val="20"/>
              </w:rPr>
              <w:t>1</w:t>
            </w:r>
          </w:p>
        </w:tc>
        <w:tc>
          <w:tcPr>
            <w:tcW w:w="1092" w:type="pct"/>
          </w:tcPr>
          <w:p w14:paraId="6B2E0D17" w14:textId="77777777" w:rsidR="00FC4119" w:rsidRPr="00F171A3" w:rsidRDefault="00FC4119" w:rsidP="005F06F6">
            <w:pPr>
              <w:spacing w:after="0"/>
              <w:rPr>
                <w:rFonts w:cstheme="minorHAnsi"/>
                <w:bCs/>
                <w:szCs w:val="20"/>
              </w:rPr>
            </w:pPr>
            <w:r w:rsidRPr="00F171A3">
              <w:rPr>
                <w:rFonts w:cstheme="minorHAnsi"/>
                <w:bCs/>
                <w:szCs w:val="20"/>
              </w:rPr>
              <w:t>8</w:t>
            </w:r>
          </w:p>
        </w:tc>
      </w:tr>
      <w:tr w:rsidR="00FC4119" w:rsidRPr="00F171A3" w14:paraId="513518BF" w14:textId="77777777" w:rsidTr="00FC4119">
        <w:trPr>
          <w:cnfStyle w:val="000000010000" w:firstRow="0" w:lastRow="0" w:firstColumn="0" w:lastColumn="0" w:oddVBand="0" w:evenVBand="0" w:oddHBand="0" w:evenHBand="1" w:firstRowFirstColumn="0" w:firstRowLastColumn="0" w:lastRowFirstColumn="0" w:lastRowLastColumn="0"/>
          <w:trHeight w:val="740"/>
        </w:trPr>
        <w:tc>
          <w:tcPr>
            <w:tcW w:w="5000" w:type="pct"/>
            <w:gridSpan w:val="4"/>
            <w:shd w:val="clear" w:color="auto" w:fill="134753" w:themeFill="accent2"/>
          </w:tcPr>
          <w:p w14:paraId="39281186" w14:textId="77777777" w:rsidR="00FC4119" w:rsidRPr="00F171A3" w:rsidRDefault="00FC4119" w:rsidP="005F06F6">
            <w:pPr>
              <w:pStyle w:val="Style2"/>
              <w:numPr>
                <w:ilvl w:val="0"/>
                <w:numId w:val="0"/>
              </w:numPr>
              <w:rPr>
                <w:color w:val="FF0000"/>
              </w:rPr>
            </w:pPr>
            <w:bookmarkStart w:id="484" w:name="_Toc127199328"/>
            <w:r w:rsidRPr="00F171A3">
              <w:t>OBIECTIV STRATEGIC O2 – SECTOR COMPETITIV ȘI INOVATOR, ATRACTIV PENTRU FORȚA DE MUNCĂ, ANTREPRENORIAT ȘI INVESTIȚII ÎN DOMENII CU VALOARE ADĂUGATĂ MARE</w:t>
            </w:r>
            <w:bookmarkEnd w:id="484"/>
          </w:p>
        </w:tc>
      </w:tr>
      <w:tr w:rsidR="00FC4119" w:rsidRPr="00F171A3" w14:paraId="0E5D4F78" w14:textId="77777777" w:rsidTr="00FC4119">
        <w:trPr>
          <w:cnfStyle w:val="000000100000" w:firstRow="0" w:lastRow="0" w:firstColumn="0" w:lastColumn="0" w:oddVBand="0" w:evenVBand="0" w:oddHBand="1" w:evenHBand="0" w:firstRowFirstColumn="0" w:firstRowLastColumn="0" w:lastRowFirstColumn="0" w:lastRowLastColumn="0"/>
          <w:trHeight w:val="364"/>
        </w:trPr>
        <w:tc>
          <w:tcPr>
            <w:tcW w:w="1241" w:type="pct"/>
            <w:shd w:val="clear" w:color="auto" w:fill="2897B1" w:themeFill="accent4" w:themeFillShade="80"/>
          </w:tcPr>
          <w:p w14:paraId="7D0333C5"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O2.1. - Infrastructură de afaceri atractivă pentru investitori</w:t>
            </w:r>
          </w:p>
        </w:tc>
        <w:tc>
          <w:tcPr>
            <w:tcW w:w="1574" w:type="pct"/>
          </w:tcPr>
          <w:p w14:paraId="7EE60B57" w14:textId="77777777" w:rsidR="00FC4119" w:rsidRPr="00F171A3" w:rsidRDefault="00FC4119" w:rsidP="005F06F6">
            <w:pPr>
              <w:ind w:left="43"/>
              <w:jc w:val="left"/>
              <w:rPr>
                <w:rFonts w:eastAsia="Calibri" w:cstheme="minorHAnsi"/>
                <w:szCs w:val="20"/>
              </w:rPr>
            </w:pPr>
            <w:r w:rsidRPr="00F171A3">
              <w:rPr>
                <w:rFonts w:eastAsia="Calibri" w:cstheme="minorHAnsi"/>
                <w:szCs w:val="20"/>
              </w:rPr>
              <w:t>Reconversia fostelor zone industriale</w:t>
            </w:r>
          </w:p>
        </w:tc>
        <w:tc>
          <w:tcPr>
            <w:tcW w:w="1092" w:type="pct"/>
          </w:tcPr>
          <w:p w14:paraId="5A4E15B2" w14:textId="77777777" w:rsidR="00FC4119" w:rsidRPr="00F171A3" w:rsidRDefault="00FC4119" w:rsidP="005F06F6">
            <w:pPr>
              <w:ind w:left="43"/>
              <w:jc w:val="left"/>
              <w:rPr>
                <w:rFonts w:eastAsia="Calibri" w:cstheme="minorHAnsi"/>
                <w:szCs w:val="20"/>
              </w:rPr>
            </w:pPr>
            <w:r w:rsidRPr="00F171A3">
              <w:rPr>
                <w:rFonts w:eastAsia="Calibri" w:cstheme="minorHAnsi"/>
                <w:szCs w:val="20"/>
              </w:rPr>
              <w:t>0</w:t>
            </w:r>
          </w:p>
        </w:tc>
        <w:tc>
          <w:tcPr>
            <w:tcW w:w="1092" w:type="pct"/>
          </w:tcPr>
          <w:p w14:paraId="00A328B5" w14:textId="77777777" w:rsidR="00FC4119" w:rsidRPr="00F171A3" w:rsidRDefault="00FC4119" w:rsidP="005F06F6">
            <w:pPr>
              <w:ind w:left="43"/>
              <w:jc w:val="left"/>
              <w:rPr>
                <w:rFonts w:eastAsia="Calibri" w:cstheme="minorHAnsi"/>
                <w:szCs w:val="20"/>
              </w:rPr>
            </w:pPr>
            <w:r w:rsidRPr="00F171A3">
              <w:rPr>
                <w:rFonts w:eastAsia="Calibri" w:cstheme="minorHAnsi"/>
                <w:szCs w:val="20"/>
              </w:rPr>
              <w:t>5</w:t>
            </w:r>
          </w:p>
        </w:tc>
      </w:tr>
      <w:tr w:rsidR="00FC4119" w:rsidRPr="00F171A3" w14:paraId="096DCD7B" w14:textId="77777777" w:rsidTr="00FC4119">
        <w:trPr>
          <w:cnfStyle w:val="000000010000" w:firstRow="0" w:lastRow="0" w:firstColumn="0" w:lastColumn="0" w:oddVBand="0" w:evenVBand="0" w:oddHBand="0" w:evenHBand="1" w:firstRowFirstColumn="0" w:firstRowLastColumn="0" w:lastRowFirstColumn="0" w:lastRowLastColumn="0"/>
          <w:trHeight w:val="364"/>
        </w:trPr>
        <w:tc>
          <w:tcPr>
            <w:tcW w:w="1241" w:type="pct"/>
            <w:vMerge w:val="restart"/>
            <w:shd w:val="clear" w:color="auto" w:fill="2897B1" w:themeFill="accent4" w:themeFillShade="80"/>
          </w:tcPr>
          <w:p w14:paraId="2CBE6C6A"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O2.2. - Sectorul 2 implicat în dezvoltarea și valorificarea resursei umane</w:t>
            </w:r>
          </w:p>
        </w:tc>
        <w:tc>
          <w:tcPr>
            <w:tcW w:w="1574" w:type="pct"/>
          </w:tcPr>
          <w:p w14:paraId="2051D7DE" w14:textId="77777777" w:rsidR="00FC4119" w:rsidRPr="00F171A3" w:rsidRDefault="00FC4119" w:rsidP="005F06F6">
            <w:pPr>
              <w:spacing w:after="0"/>
              <w:rPr>
                <w:rFonts w:cstheme="minorHAnsi"/>
                <w:bCs/>
                <w:color w:val="FF0000"/>
                <w:szCs w:val="20"/>
              </w:rPr>
            </w:pPr>
            <w:r w:rsidRPr="00F171A3">
              <w:rPr>
                <w:rFonts w:cstheme="minorHAnsi"/>
                <w:bCs/>
                <w:szCs w:val="20"/>
              </w:rPr>
              <w:t>Programe de adaptare a resurselor umane la piaţa muncii</w:t>
            </w:r>
          </w:p>
        </w:tc>
        <w:tc>
          <w:tcPr>
            <w:tcW w:w="1092" w:type="pct"/>
          </w:tcPr>
          <w:p w14:paraId="7ED32810" w14:textId="77777777" w:rsidR="00FC4119" w:rsidRPr="00F171A3" w:rsidRDefault="00FC4119" w:rsidP="005F06F6">
            <w:pPr>
              <w:spacing w:after="0"/>
              <w:rPr>
                <w:rFonts w:cstheme="minorHAnsi"/>
                <w:bCs/>
                <w:color w:val="FF0000"/>
                <w:szCs w:val="20"/>
              </w:rPr>
            </w:pPr>
            <w:r w:rsidRPr="00F171A3">
              <w:rPr>
                <w:rFonts w:cstheme="minorHAnsi"/>
                <w:bCs/>
                <w:color w:val="000000" w:themeColor="text1"/>
                <w:szCs w:val="20"/>
              </w:rPr>
              <w:t>0</w:t>
            </w:r>
          </w:p>
        </w:tc>
        <w:tc>
          <w:tcPr>
            <w:tcW w:w="1092" w:type="pct"/>
          </w:tcPr>
          <w:p w14:paraId="05B4F027" w14:textId="77777777" w:rsidR="00FC4119" w:rsidRPr="00F171A3" w:rsidRDefault="00FC4119" w:rsidP="005F06F6">
            <w:pPr>
              <w:spacing w:after="0"/>
              <w:rPr>
                <w:rFonts w:cstheme="minorHAnsi"/>
                <w:bCs/>
                <w:color w:val="FF0000"/>
                <w:szCs w:val="20"/>
              </w:rPr>
            </w:pPr>
            <w:r w:rsidRPr="00F171A3">
              <w:rPr>
                <w:rFonts w:cstheme="minorHAnsi"/>
                <w:bCs/>
                <w:szCs w:val="20"/>
              </w:rPr>
              <w:t>5</w:t>
            </w:r>
          </w:p>
        </w:tc>
      </w:tr>
      <w:tr w:rsidR="00FC4119" w:rsidRPr="00F171A3" w14:paraId="6BFDCC3B" w14:textId="77777777" w:rsidTr="00FC4119">
        <w:trPr>
          <w:cnfStyle w:val="000000100000" w:firstRow="0" w:lastRow="0" w:firstColumn="0" w:lastColumn="0" w:oddVBand="0" w:evenVBand="0" w:oddHBand="1" w:evenHBand="0" w:firstRowFirstColumn="0" w:firstRowLastColumn="0" w:lastRowFirstColumn="0" w:lastRowLastColumn="0"/>
          <w:trHeight w:val="364"/>
        </w:trPr>
        <w:tc>
          <w:tcPr>
            <w:tcW w:w="1241" w:type="pct"/>
            <w:vMerge/>
            <w:shd w:val="clear" w:color="auto" w:fill="2897B1" w:themeFill="accent4" w:themeFillShade="80"/>
          </w:tcPr>
          <w:p w14:paraId="54709BD5" w14:textId="77777777" w:rsidR="00FC4119" w:rsidRPr="00F171A3" w:rsidRDefault="00FC4119" w:rsidP="005F06F6">
            <w:pPr>
              <w:spacing w:after="0"/>
              <w:rPr>
                <w:rFonts w:cstheme="minorHAnsi"/>
                <w:b/>
                <w:bCs/>
                <w:color w:val="FFFFFF" w:themeColor="background1"/>
              </w:rPr>
            </w:pPr>
          </w:p>
        </w:tc>
        <w:tc>
          <w:tcPr>
            <w:tcW w:w="1574" w:type="pct"/>
          </w:tcPr>
          <w:p w14:paraId="7F172466" w14:textId="77777777" w:rsidR="00FC4119" w:rsidRPr="00F171A3" w:rsidRDefault="00FC4119" w:rsidP="005F06F6">
            <w:pPr>
              <w:spacing w:after="0"/>
              <w:rPr>
                <w:rFonts w:cstheme="minorHAnsi"/>
                <w:bCs/>
                <w:color w:val="FF0000"/>
                <w:szCs w:val="20"/>
              </w:rPr>
            </w:pPr>
            <w:r w:rsidRPr="00F171A3">
              <w:rPr>
                <w:rFonts w:cstheme="minorHAnsi"/>
                <w:bCs/>
                <w:szCs w:val="20"/>
              </w:rPr>
              <w:t>Parteneriate între unităţile de învăţământ tehnic şi angajatori în vederea încadrării absolvenţilor pe piaţa muncii</w:t>
            </w:r>
          </w:p>
        </w:tc>
        <w:tc>
          <w:tcPr>
            <w:tcW w:w="1092" w:type="pct"/>
          </w:tcPr>
          <w:p w14:paraId="35DC5E15" w14:textId="77777777" w:rsidR="00FC4119" w:rsidRPr="00F171A3" w:rsidRDefault="00FC4119" w:rsidP="005F06F6">
            <w:pPr>
              <w:spacing w:after="0"/>
              <w:rPr>
                <w:rFonts w:cstheme="minorHAnsi"/>
                <w:bCs/>
                <w:color w:val="FF0000"/>
                <w:szCs w:val="20"/>
              </w:rPr>
            </w:pPr>
            <w:r w:rsidRPr="00F171A3">
              <w:rPr>
                <w:rFonts w:cstheme="minorHAnsi"/>
                <w:bCs/>
                <w:szCs w:val="20"/>
              </w:rPr>
              <w:t>-</w:t>
            </w:r>
          </w:p>
        </w:tc>
        <w:tc>
          <w:tcPr>
            <w:tcW w:w="1092" w:type="pct"/>
          </w:tcPr>
          <w:p w14:paraId="62121D60" w14:textId="77777777" w:rsidR="00FC4119" w:rsidRPr="00F171A3" w:rsidRDefault="00FC4119" w:rsidP="005F06F6">
            <w:pPr>
              <w:spacing w:after="0"/>
              <w:rPr>
                <w:rFonts w:cstheme="minorHAnsi"/>
                <w:bCs/>
                <w:color w:val="FF0000"/>
                <w:szCs w:val="20"/>
              </w:rPr>
            </w:pPr>
            <w:r w:rsidRPr="00F171A3">
              <w:rPr>
                <w:rFonts w:cstheme="minorHAnsi"/>
                <w:bCs/>
                <w:szCs w:val="20"/>
              </w:rPr>
              <w:t>3</w:t>
            </w:r>
          </w:p>
        </w:tc>
      </w:tr>
      <w:tr w:rsidR="00FC4119" w:rsidRPr="00F171A3" w14:paraId="2F5F8CC6" w14:textId="77777777" w:rsidTr="00FC4119">
        <w:trPr>
          <w:cnfStyle w:val="000000010000" w:firstRow="0" w:lastRow="0" w:firstColumn="0" w:lastColumn="0" w:oddVBand="0" w:evenVBand="0" w:oddHBand="0" w:evenHBand="1" w:firstRowFirstColumn="0" w:firstRowLastColumn="0" w:lastRowFirstColumn="0" w:lastRowLastColumn="0"/>
          <w:trHeight w:val="364"/>
        </w:trPr>
        <w:tc>
          <w:tcPr>
            <w:tcW w:w="1241" w:type="pct"/>
            <w:vMerge/>
            <w:shd w:val="clear" w:color="auto" w:fill="2897B1" w:themeFill="accent4" w:themeFillShade="80"/>
          </w:tcPr>
          <w:p w14:paraId="0290E3E8" w14:textId="77777777" w:rsidR="00FC4119" w:rsidRPr="00F171A3" w:rsidRDefault="00FC4119" w:rsidP="005F06F6">
            <w:pPr>
              <w:spacing w:after="0"/>
              <w:rPr>
                <w:rFonts w:cstheme="minorHAnsi"/>
                <w:b/>
                <w:bCs/>
                <w:color w:val="FFFFFF" w:themeColor="background1"/>
              </w:rPr>
            </w:pPr>
          </w:p>
        </w:tc>
        <w:tc>
          <w:tcPr>
            <w:tcW w:w="1574" w:type="pct"/>
          </w:tcPr>
          <w:p w14:paraId="0B83E120" w14:textId="77777777" w:rsidR="00FC4119" w:rsidRPr="00F171A3" w:rsidRDefault="00FC4119" w:rsidP="005F06F6">
            <w:pPr>
              <w:spacing w:after="0"/>
              <w:rPr>
                <w:rFonts w:cstheme="minorHAnsi"/>
                <w:bCs/>
                <w:szCs w:val="20"/>
              </w:rPr>
            </w:pPr>
            <w:r w:rsidRPr="00F171A3">
              <w:rPr>
                <w:rFonts w:cstheme="minorHAnsi"/>
                <w:bCs/>
                <w:szCs w:val="20"/>
              </w:rPr>
              <w:t>Programe de formare/reconversie profesională adaptată cerinţelor pieţei</w:t>
            </w:r>
          </w:p>
        </w:tc>
        <w:tc>
          <w:tcPr>
            <w:tcW w:w="1092" w:type="pct"/>
          </w:tcPr>
          <w:p w14:paraId="5D6031B0"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4E5F0C16" w14:textId="77777777" w:rsidR="00FC4119" w:rsidRPr="00F171A3" w:rsidRDefault="00FC4119" w:rsidP="005F06F6">
            <w:pPr>
              <w:spacing w:after="0"/>
              <w:rPr>
                <w:rFonts w:cstheme="minorHAnsi"/>
                <w:bCs/>
                <w:szCs w:val="20"/>
              </w:rPr>
            </w:pPr>
            <w:r w:rsidRPr="00F171A3">
              <w:rPr>
                <w:rFonts w:cstheme="minorHAnsi"/>
                <w:bCs/>
                <w:szCs w:val="20"/>
              </w:rPr>
              <w:t>3</w:t>
            </w:r>
          </w:p>
        </w:tc>
      </w:tr>
      <w:tr w:rsidR="00FC4119" w:rsidRPr="00F171A3" w14:paraId="6881054C" w14:textId="77777777" w:rsidTr="00FC4119">
        <w:trPr>
          <w:cnfStyle w:val="000000100000" w:firstRow="0" w:lastRow="0" w:firstColumn="0" w:lastColumn="0" w:oddVBand="0" w:evenVBand="0" w:oddHBand="1" w:evenHBand="0" w:firstRowFirstColumn="0" w:firstRowLastColumn="0" w:lastRowFirstColumn="0" w:lastRowLastColumn="0"/>
          <w:trHeight w:val="364"/>
        </w:trPr>
        <w:tc>
          <w:tcPr>
            <w:tcW w:w="1241" w:type="pct"/>
            <w:vMerge w:val="restart"/>
            <w:shd w:val="clear" w:color="auto" w:fill="2897B1" w:themeFill="accent4" w:themeFillShade="80"/>
          </w:tcPr>
          <w:p w14:paraId="7FA8472A"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O2.3. - Sectorul 2 – implicat în dezvoltarea și creșterea economică bazată pe cercetare, inovare și parteneriate</w:t>
            </w:r>
          </w:p>
        </w:tc>
        <w:tc>
          <w:tcPr>
            <w:tcW w:w="1574" w:type="pct"/>
          </w:tcPr>
          <w:p w14:paraId="75BF2225" w14:textId="77777777" w:rsidR="00FC4119" w:rsidRPr="00F171A3" w:rsidRDefault="00FC4119" w:rsidP="005F06F6">
            <w:pPr>
              <w:spacing w:after="0"/>
              <w:rPr>
                <w:rFonts w:cstheme="minorHAnsi"/>
                <w:b/>
                <w:bCs/>
                <w:szCs w:val="20"/>
              </w:rPr>
            </w:pPr>
            <w:r w:rsidRPr="00F171A3">
              <w:rPr>
                <w:rFonts w:eastAsia="Calibri" w:cstheme="minorHAnsi"/>
                <w:szCs w:val="20"/>
              </w:rPr>
              <w:t>Numărul de dotări (centre de excelență, parcuri științifice, etc.) înființate</w:t>
            </w:r>
          </w:p>
        </w:tc>
        <w:tc>
          <w:tcPr>
            <w:tcW w:w="1092" w:type="pct"/>
          </w:tcPr>
          <w:p w14:paraId="408DEA70" w14:textId="77777777" w:rsidR="00FC4119" w:rsidRPr="00F171A3" w:rsidRDefault="00FC4119" w:rsidP="005F06F6">
            <w:pPr>
              <w:spacing w:after="0"/>
              <w:rPr>
                <w:rFonts w:cstheme="minorHAnsi"/>
                <w:bCs/>
                <w:szCs w:val="20"/>
              </w:rPr>
            </w:pPr>
            <w:r w:rsidRPr="00F171A3">
              <w:rPr>
                <w:rFonts w:cstheme="minorHAnsi"/>
                <w:bCs/>
                <w:szCs w:val="20"/>
              </w:rPr>
              <w:t>0</w:t>
            </w:r>
          </w:p>
        </w:tc>
        <w:tc>
          <w:tcPr>
            <w:tcW w:w="1092" w:type="pct"/>
          </w:tcPr>
          <w:p w14:paraId="1F67B46A" w14:textId="77777777" w:rsidR="00FC4119" w:rsidRPr="00F171A3" w:rsidRDefault="00FC4119" w:rsidP="005F06F6">
            <w:pPr>
              <w:spacing w:after="0"/>
              <w:rPr>
                <w:rFonts w:cstheme="minorHAnsi"/>
                <w:bCs/>
                <w:szCs w:val="20"/>
              </w:rPr>
            </w:pPr>
            <w:r w:rsidRPr="00F171A3">
              <w:rPr>
                <w:rFonts w:cstheme="minorHAnsi"/>
                <w:bCs/>
                <w:szCs w:val="20"/>
              </w:rPr>
              <w:t>2</w:t>
            </w:r>
          </w:p>
        </w:tc>
      </w:tr>
      <w:tr w:rsidR="00FC4119" w:rsidRPr="00F171A3" w14:paraId="6DF1EA52" w14:textId="77777777" w:rsidTr="00FC4119">
        <w:trPr>
          <w:cnfStyle w:val="000000010000" w:firstRow="0" w:lastRow="0" w:firstColumn="0" w:lastColumn="0" w:oddVBand="0" w:evenVBand="0" w:oddHBand="0" w:evenHBand="1" w:firstRowFirstColumn="0" w:firstRowLastColumn="0" w:lastRowFirstColumn="0" w:lastRowLastColumn="0"/>
          <w:trHeight w:val="364"/>
        </w:trPr>
        <w:tc>
          <w:tcPr>
            <w:tcW w:w="1241" w:type="pct"/>
            <w:vMerge/>
            <w:shd w:val="clear" w:color="auto" w:fill="2897B1" w:themeFill="accent4" w:themeFillShade="80"/>
          </w:tcPr>
          <w:p w14:paraId="38B516B1" w14:textId="77777777" w:rsidR="00FC4119" w:rsidRPr="00F171A3" w:rsidRDefault="00FC4119" w:rsidP="005F06F6">
            <w:pPr>
              <w:spacing w:after="0"/>
              <w:rPr>
                <w:rFonts w:cstheme="minorHAnsi"/>
                <w:b/>
                <w:bCs/>
                <w:color w:val="FF0000"/>
              </w:rPr>
            </w:pPr>
          </w:p>
        </w:tc>
        <w:tc>
          <w:tcPr>
            <w:tcW w:w="1574" w:type="pct"/>
          </w:tcPr>
          <w:p w14:paraId="1634553A" w14:textId="77777777" w:rsidR="00FC4119" w:rsidRPr="00F171A3" w:rsidRDefault="00FC4119" w:rsidP="005F06F6">
            <w:pPr>
              <w:spacing w:after="0"/>
              <w:rPr>
                <w:rFonts w:cstheme="minorHAnsi"/>
                <w:b/>
                <w:bCs/>
                <w:szCs w:val="20"/>
              </w:rPr>
            </w:pPr>
            <w:r w:rsidRPr="00F171A3">
              <w:rPr>
                <w:rFonts w:eastAsia="Calibri" w:cstheme="minorHAnsi"/>
                <w:szCs w:val="20"/>
              </w:rPr>
              <w:t>Incubator de afaceri</w:t>
            </w:r>
          </w:p>
        </w:tc>
        <w:tc>
          <w:tcPr>
            <w:tcW w:w="1092" w:type="pct"/>
          </w:tcPr>
          <w:p w14:paraId="70B64C23" w14:textId="77777777" w:rsidR="00FC4119" w:rsidRPr="00F171A3" w:rsidRDefault="00FC4119" w:rsidP="005F06F6">
            <w:pPr>
              <w:spacing w:after="0"/>
              <w:rPr>
                <w:rFonts w:cstheme="minorHAnsi"/>
                <w:bCs/>
                <w:szCs w:val="20"/>
              </w:rPr>
            </w:pPr>
            <w:r w:rsidRPr="00F171A3">
              <w:rPr>
                <w:rFonts w:cstheme="minorHAnsi"/>
                <w:bCs/>
                <w:szCs w:val="20"/>
              </w:rPr>
              <w:t>0</w:t>
            </w:r>
          </w:p>
        </w:tc>
        <w:tc>
          <w:tcPr>
            <w:tcW w:w="1092" w:type="pct"/>
          </w:tcPr>
          <w:p w14:paraId="1C93D227" w14:textId="77777777" w:rsidR="00FC4119" w:rsidRPr="00F171A3" w:rsidRDefault="00FC4119" w:rsidP="005F06F6">
            <w:pPr>
              <w:spacing w:after="0"/>
              <w:rPr>
                <w:rFonts w:cstheme="minorHAnsi"/>
                <w:bCs/>
                <w:szCs w:val="20"/>
              </w:rPr>
            </w:pPr>
            <w:r w:rsidRPr="00F171A3">
              <w:rPr>
                <w:rFonts w:cstheme="minorHAnsi"/>
                <w:bCs/>
                <w:szCs w:val="20"/>
              </w:rPr>
              <w:t>2</w:t>
            </w:r>
          </w:p>
        </w:tc>
      </w:tr>
      <w:tr w:rsidR="00FC4119" w:rsidRPr="00F171A3" w14:paraId="36754666" w14:textId="77777777" w:rsidTr="00FC4119">
        <w:trPr>
          <w:cnfStyle w:val="000000100000" w:firstRow="0" w:lastRow="0" w:firstColumn="0" w:lastColumn="0" w:oddVBand="0" w:evenVBand="0" w:oddHBand="1" w:evenHBand="0" w:firstRowFirstColumn="0" w:firstRowLastColumn="0" w:lastRowFirstColumn="0" w:lastRowLastColumn="0"/>
          <w:trHeight w:val="593"/>
        </w:trPr>
        <w:tc>
          <w:tcPr>
            <w:tcW w:w="5000" w:type="pct"/>
            <w:gridSpan w:val="4"/>
            <w:shd w:val="clear" w:color="auto" w:fill="134753" w:themeFill="accent2"/>
          </w:tcPr>
          <w:p w14:paraId="74B748EB" w14:textId="77777777" w:rsidR="00FC4119" w:rsidRPr="00F171A3" w:rsidRDefault="00FC4119" w:rsidP="005F06F6">
            <w:pPr>
              <w:pStyle w:val="Style2"/>
              <w:numPr>
                <w:ilvl w:val="0"/>
                <w:numId w:val="0"/>
              </w:numPr>
            </w:pPr>
            <w:bookmarkStart w:id="485" w:name="_Toc127199329"/>
            <w:r w:rsidRPr="00F171A3">
              <w:t>OBIECTIV STRATEGIC O3 -  SECTOR NEUTRU DIN PUNCT DE VEDERE CLIMATIC, CU O INFRASTRUCTURĂ EFICIENTĂ ȘI MODERNĂ</w:t>
            </w:r>
            <w:bookmarkEnd w:id="485"/>
          </w:p>
        </w:tc>
      </w:tr>
      <w:tr w:rsidR="00FC4119" w:rsidRPr="00F171A3" w14:paraId="43886AE6"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val="restart"/>
            <w:shd w:val="clear" w:color="auto" w:fill="2897B1" w:themeFill="accent4" w:themeFillShade="80"/>
          </w:tcPr>
          <w:p w14:paraId="4C1A879A"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O3.1. - Sector sigur, cu emisii scăzute de gaze cu efect de seră datorită sistemului energetic performant</w:t>
            </w:r>
          </w:p>
        </w:tc>
        <w:tc>
          <w:tcPr>
            <w:tcW w:w="1574" w:type="pct"/>
          </w:tcPr>
          <w:p w14:paraId="30D102E7" w14:textId="77777777" w:rsidR="00FC4119" w:rsidRPr="00F171A3" w:rsidRDefault="00FC4119" w:rsidP="005F06F6">
            <w:pPr>
              <w:spacing w:after="0"/>
              <w:rPr>
                <w:rFonts w:cstheme="minorHAnsi"/>
                <w:bCs/>
                <w:szCs w:val="20"/>
              </w:rPr>
            </w:pPr>
            <w:r w:rsidRPr="00F171A3">
              <w:rPr>
                <w:rFonts w:eastAsia="Calibri" w:cstheme="minorHAnsi"/>
                <w:szCs w:val="20"/>
              </w:rPr>
              <w:t>Km străzi fără rețea de distribuție gaze naturale</w:t>
            </w:r>
          </w:p>
        </w:tc>
        <w:tc>
          <w:tcPr>
            <w:tcW w:w="1092" w:type="pct"/>
          </w:tcPr>
          <w:p w14:paraId="5D69173B" w14:textId="77777777" w:rsidR="00FC4119" w:rsidRPr="00F171A3" w:rsidRDefault="00FC4119" w:rsidP="005F06F6">
            <w:pPr>
              <w:spacing w:after="0"/>
              <w:rPr>
                <w:rFonts w:cstheme="minorHAnsi"/>
                <w:bCs/>
                <w:szCs w:val="20"/>
              </w:rPr>
            </w:pPr>
            <w:r w:rsidRPr="00F171A3">
              <w:rPr>
                <w:rFonts w:cstheme="minorHAnsi"/>
                <w:bCs/>
                <w:szCs w:val="20"/>
              </w:rPr>
              <w:t>9,18</w:t>
            </w:r>
          </w:p>
        </w:tc>
        <w:tc>
          <w:tcPr>
            <w:tcW w:w="1092" w:type="pct"/>
          </w:tcPr>
          <w:p w14:paraId="23AD1EEF" w14:textId="77777777" w:rsidR="00FC4119" w:rsidRPr="00F171A3" w:rsidRDefault="00FC4119" w:rsidP="005F06F6">
            <w:pPr>
              <w:spacing w:after="0"/>
              <w:rPr>
                <w:rFonts w:cstheme="minorHAnsi"/>
                <w:bCs/>
                <w:szCs w:val="20"/>
              </w:rPr>
            </w:pPr>
            <w:r w:rsidRPr="00F171A3">
              <w:rPr>
                <w:rFonts w:cstheme="minorHAnsi"/>
                <w:bCs/>
                <w:szCs w:val="20"/>
              </w:rPr>
              <w:t>0</w:t>
            </w:r>
          </w:p>
        </w:tc>
      </w:tr>
      <w:tr w:rsidR="00FC4119" w:rsidRPr="00F171A3" w14:paraId="213F018B"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6379DC9C" w14:textId="77777777" w:rsidR="00FC4119" w:rsidRPr="00F171A3" w:rsidRDefault="00FC4119" w:rsidP="005F06F6">
            <w:pPr>
              <w:spacing w:after="0"/>
              <w:rPr>
                <w:rFonts w:cstheme="minorHAnsi"/>
                <w:b/>
                <w:bCs/>
                <w:color w:val="FFFFFF" w:themeColor="background1"/>
              </w:rPr>
            </w:pPr>
          </w:p>
        </w:tc>
        <w:tc>
          <w:tcPr>
            <w:tcW w:w="1574" w:type="pct"/>
          </w:tcPr>
          <w:p w14:paraId="55112B75" w14:textId="77777777" w:rsidR="00FC4119" w:rsidRPr="00F171A3" w:rsidRDefault="00FC4119" w:rsidP="005F06F6">
            <w:pPr>
              <w:spacing w:after="0"/>
              <w:rPr>
                <w:rFonts w:cstheme="minorHAnsi"/>
                <w:bCs/>
                <w:szCs w:val="20"/>
              </w:rPr>
            </w:pPr>
            <w:r w:rsidRPr="00F171A3">
              <w:rPr>
                <w:rFonts w:eastAsia="Calibri" w:cstheme="minorHAnsi"/>
                <w:szCs w:val="20"/>
              </w:rPr>
              <w:t>Procent locuințe colective reabilitate termic</w:t>
            </w:r>
          </w:p>
        </w:tc>
        <w:tc>
          <w:tcPr>
            <w:tcW w:w="1092" w:type="pct"/>
          </w:tcPr>
          <w:p w14:paraId="0EBCF8BB" w14:textId="77777777" w:rsidR="00FC4119" w:rsidRPr="00F171A3" w:rsidRDefault="00FC4119" w:rsidP="005F06F6">
            <w:pPr>
              <w:spacing w:after="0"/>
              <w:rPr>
                <w:rFonts w:cstheme="minorHAnsi"/>
                <w:bCs/>
                <w:szCs w:val="20"/>
              </w:rPr>
            </w:pPr>
            <w:r w:rsidRPr="00F171A3">
              <w:rPr>
                <w:rFonts w:cstheme="minorHAnsi"/>
                <w:bCs/>
                <w:szCs w:val="20"/>
              </w:rPr>
              <w:t>40%</w:t>
            </w:r>
          </w:p>
        </w:tc>
        <w:tc>
          <w:tcPr>
            <w:tcW w:w="1092" w:type="pct"/>
          </w:tcPr>
          <w:p w14:paraId="029ECD84" w14:textId="77777777" w:rsidR="00FC4119" w:rsidRPr="00F171A3" w:rsidRDefault="00FC4119" w:rsidP="005F06F6">
            <w:pPr>
              <w:spacing w:after="0"/>
              <w:rPr>
                <w:rFonts w:cstheme="minorHAnsi"/>
                <w:bCs/>
                <w:szCs w:val="20"/>
              </w:rPr>
            </w:pPr>
            <w:r w:rsidRPr="00F171A3">
              <w:rPr>
                <w:rFonts w:cstheme="minorHAnsi"/>
                <w:bCs/>
                <w:szCs w:val="20"/>
              </w:rPr>
              <w:t>80%</w:t>
            </w:r>
          </w:p>
        </w:tc>
      </w:tr>
      <w:tr w:rsidR="00FC4119" w:rsidRPr="00F171A3" w14:paraId="6354F1B7"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092AFB02" w14:textId="77777777" w:rsidR="00FC4119" w:rsidRPr="00F171A3" w:rsidRDefault="00FC4119" w:rsidP="005F06F6">
            <w:pPr>
              <w:spacing w:after="0"/>
              <w:rPr>
                <w:rFonts w:cstheme="minorHAnsi"/>
                <w:b/>
                <w:bCs/>
                <w:color w:val="FFFFFF" w:themeColor="background1"/>
              </w:rPr>
            </w:pPr>
          </w:p>
        </w:tc>
        <w:tc>
          <w:tcPr>
            <w:tcW w:w="1574" w:type="pct"/>
          </w:tcPr>
          <w:p w14:paraId="50EC271C" w14:textId="77777777" w:rsidR="00FC4119" w:rsidRPr="00F171A3" w:rsidRDefault="00FC4119" w:rsidP="005F06F6">
            <w:pPr>
              <w:spacing w:after="0"/>
              <w:rPr>
                <w:rFonts w:cstheme="minorHAnsi"/>
                <w:bCs/>
                <w:szCs w:val="20"/>
              </w:rPr>
            </w:pPr>
            <w:r w:rsidRPr="00F171A3">
              <w:rPr>
                <w:rFonts w:cstheme="minorHAnsi"/>
                <w:bCs/>
                <w:szCs w:val="20"/>
              </w:rPr>
              <w:t>Număr clădiri publice din sector cu proiecte demarate privind eficientizarea energetică</w:t>
            </w:r>
          </w:p>
        </w:tc>
        <w:tc>
          <w:tcPr>
            <w:tcW w:w="1092" w:type="pct"/>
          </w:tcPr>
          <w:p w14:paraId="0EA53D88" w14:textId="77777777" w:rsidR="00FC4119" w:rsidRPr="00F171A3" w:rsidRDefault="00FC4119" w:rsidP="005F06F6">
            <w:pPr>
              <w:spacing w:after="0"/>
              <w:rPr>
                <w:rFonts w:cstheme="minorHAnsi"/>
                <w:bCs/>
                <w:szCs w:val="20"/>
              </w:rPr>
            </w:pPr>
            <w:r w:rsidRPr="00F171A3">
              <w:rPr>
                <w:rFonts w:cstheme="minorHAnsi"/>
                <w:bCs/>
                <w:szCs w:val="20"/>
              </w:rPr>
              <w:t>79</w:t>
            </w:r>
          </w:p>
        </w:tc>
        <w:tc>
          <w:tcPr>
            <w:tcW w:w="1092" w:type="pct"/>
          </w:tcPr>
          <w:p w14:paraId="74365482" w14:textId="77777777" w:rsidR="00FC4119" w:rsidRPr="00F171A3" w:rsidRDefault="00FC4119" w:rsidP="005F06F6">
            <w:pPr>
              <w:spacing w:after="0"/>
              <w:rPr>
                <w:rFonts w:cstheme="minorHAnsi"/>
                <w:bCs/>
                <w:szCs w:val="20"/>
              </w:rPr>
            </w:pPr>
            <w:r w:rsidRPr="00F171A3">
              <w:rPr>
                <w:rFonts w:cstheme="minorHAnsi"/>
                <w:bCs/>
                <w:szCs w:val="20"/>
              </w:rPr>
              <w:t>109</w:t>
            </w:r>
          </w:p>
        </w:tc>
      </w:tr>
      <w:tr w:rsidR="00FC4119" w:rsidRPr="00F171A3" w14:paraId="084E41D7"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4CC9E84D" w14:textId="77777777" w:rsidR="00FC4119" w:rsidRPr="00F171A3" w:rsidRDefault="00FC4119" w:rsidP="005F06F6">
            <w:pPr>
              <w:spacing w:after="0"/>
              <w:rPr>
                <w:rFonts w:cstheme="minorHAnsi"/>
                <w:b/>
                <w:bCs/>
                <w:color w:val="FFFFFF" w:themeColor="background1"/>
              </w:rPr>
            </w:pPr>
          </w:p>
        </w:tc>
        <w:tc>
          <w:tcPr>
            <w:tcW w:w="1574" w:type="pct"/>
          </w:tcPr>
          <w:p w14:paraId="78E19E3F" w14:textId="77777777" w:rsidR="00FC4119" w:rsidRPr="00F171A3" w:rsidRDefault="00FC4119" w:rsidP="005F06F6">
            <w:pPr>
              <w:spacing w:after="0"/>
              <w:rPr>
                <w:rFonts w:cstheme="minorHAnsi"/>
                <w:bCs/>
                <w:szCs w:val="20"/>
              </w:rPr>
            </w:pPr>
            <w:r w:rsidRPr="00F171A3">
              <w:rPr>
                <w:rFonts w:cstheme="minorHAnsi"/>
                <w:bCs/>
                <w:szCs w:val="20"/>
              </w:rPr>
              <w:t>Număr clădiri publice consolidate</w:t>
            </w:r>
          </w:p>
        </w:tc>
        <w:tc>
          <w:tcPr>
            <w:tcW w:w="1092" w:type="pct"/>
          </w:tcPr>
          <w:p w14:paraId="0280D3A5"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tcPr>
          <w:p w14:paraId="2344250E" w14:textId="77777777" w:rsidR="00FC4119" w:rsidRPr="00F171A3" w:rsidRDefault="00FC4119" w:rsidP="005F06F6">
            <w:pPr>
              <w:spacing w:after="0"/>
              <w:rPr>
                <w:rFonts w:cstheme="minorHAnsi"/>
                <w:bCs/>
                <w:szCs w:val="20"/>
              </w:rPr>
            </w:pPr>
            <w:r w:rsidRPr="00F171A3">
              <w:rPr>
                <w:rFonts w:cstheme="minorHAnsi"/>
                <w:bCs/>
                <w:szCs w:val="20"/>
              </w:rPr>
              <w:t>8</w:t>
            </w:r>
          </w:p>
        </w:tc>
      </w:tr>
      <w:tr w:rsidR="00FC4119" w:rsidRPr="00F171A3" w14:paraId="038D1065"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val="restart"/>
            <w:shd w:val="clear" w:color="auto" w:fill="2897B1" w:themeFill="accent4" w:themeFillShade="80"/>
          </w:tcPr>
          <w:p w14:paraId="3D407E9E"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O3.2. - Rețea albastră-verde consolidată, extinsă și valorificată</w:t>
            </w:r>
          </w:p>
          <w:p w14:paraId="6E463F00" w14:textId="77777777" w:rsidR="00FC4119" w:rsidRPr="00F171A3" w:rsidRDefault="00FC4119" w:rsidP="005F06F6">
            <w:pPr>
              <w:spacing w:after="0"/>
              <w:rPr>
                <w:rFonts w:cstheme="minorHAnsi"/>
                <w:b/>
                <w:bCs/>
                <w:color w:val="FFFFFF" w:themeColor="background1"/>
              </w:rPr>
            </w:pPr>
          </w:p>
        </w:tc>
        <w:tc>
          <w:tcPr>
            <w:tcW w:w="1574" w:type="pct"/>
            <w:vAlign w:val="center"/>
          </w:tcPr>
          <w:p w14:paraId="17EBC768" w14:textId="77777777" w:rsidR="00FC4119" w:rsidRPr="00F171A3" w:rsidRDefault="00FC4119" w:rsidP="005F06F6">
            <w:pPr>
              <w:spacing w:after="0"/>
              <w:rPr>
                <w:rFonts w:cstheme="minorHAnsi"/>
                <w:bCs/>
                <w:szCs w:val="20"/>
              </w:rPr>
            </w:pPr>
            <w:r w:rsidRPr="00F171A3">
              <w:rPr>
                <w:rFonts w:eastAsia="Calibri" w:cstheme="minorHAnsi"/>
                <w:szCs w:val="20"/>
              </w:rPr>
              <w:t>Km mal de lac amenajat – Lacuri Fundeni și Dobroești</w:t>
            </w:r>
          </w:p>
        </w:tc>
        <w:tc>
          <w:tcPr>
            <w:tcW w:w="1092" w:type="pct"/>
            <w:vAlign w:val="center"/>
          </w:tcPr>
          <w:p w14:paraId="4B4DA38B" w14:textId="77777777" w:rsidR="00FC4119" w:rsidRPr="00F171A3" w:rsidRDefault="00FC4119" w:rsidP="005F06F6">
            <w:pPr>
              <w:spacing w:after="0"/>
              <w:rPr>
                <w:rFonts w:cstheme="minorHAnsi"/>
                <w:bCs/>
                <w:szCs w:val="20"/>
              </w:rPr>
            </w:pPr>
            <w:r w:rsidRPr="00F171A3">
              <w:rPr>
                <w:rFonts w:eastAsia="Calibri" w:cstheme="minorHAnsi"/>
                <w:szCs w:val="20"/>
              </w:rPr>
              <w:t>1</w:t>
            </w:r>
          </w:p>
        </w:tc>
        <w:tc>
          <w:tcPr>
            <w:tcW w:w="1092" w:type="pct"/>
            <w:vAlign w:val="center"/>
          </w:tcPr>
          <w:p w14:paraId="7C87DF43" w14:textId="77777777" w:rsidR="00FC4119" w:rsidRPr="00F171A3" w:rsidRDefault="00FC4119" w:rsidP="005F06F6">
            <w:pPr>
              <w:spacing w:after="0"/>
              <w:rPr>
                <w:rFonts w:cstheme="minorHAnsi"/>
                <w:bCs/>
                <w:szCs w:val="20"/>
              </w:rPr>
            </w:pPr>
            <w:r w:rsidRPr="00F171A3">
              <w:rPr>
                <w:rFonts w:eastAsia="Calibri" w:cstheme="minorHAnsi"/>
                <w:szCs w:val="20"/>
              </w:rPr>
              <w:t>11</w:t>
            </w:r>
          </w:p>
        </w:tc>
      </w:tr>
      <w:tr w:rsidR="00FC4119" w:rsidRPr="00F171A3" w14:paraId="022F3860"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55BA9A54" w14:textId="77777777" w:rsidR="00FC4119" w:rsidRPr="00F171A3" w:rsidRDefault="00FC4119" w:rsidP="005F06F6">
            <w:pPr>
              <w:spacing w:after="0"/>
              <w:rPr>
                <w:rFonts w:cstheme="minorHAnsi"/>
                <w:bCs/>
                <w:color w:val="FF0000"/>
                <w:szCs w:val="20"/>
              </w:rPr>
            </w:pPr>
          </w:p>
        </w:tc>
        <w:tc>
          <w:tcPr>
            <w:tcW w:w="1574" w:type="pct"/>
            <w:vAlign w:val="center"/>
          </w:tcPr>
          <w:p w14:paraId="72BF65B9" w14:textId="77777777" w:rsidR="00FC4119" w:rsidRPr="00F171A3" w:rsidRDefault="00FC4119" w:rsidP="005F06F6">
            <w:pPr>
              <w:spacing w:after="0"/>
              <w:rPr>
                <w:rFonts w:eastAsia="Calibri" w:cstheme="minorHAnsi"/>
                <w:szCs w:val="20"/>
              </w:rPr>
            </w:pPr>
            <w:r w:rsidRPr="00F171A3">
              <w:rPr>
                <w:rFonts w:eastAsia="Calibri" w:cstheme="minorHAnsi"/>
                <w:szCs w:val="20"/>
              </w:rPr>
              <w:t>Proiecte de amenajare, reconfigurare, sistematizare a zonelor (malurilor) aferente salbei de lacuri situată pe raza sectorului</w:t>
            </w:r>
          </w:p>
        </w:tc>
        <w:tc>
          <w:tcPr>
            <w:tcW w:w="1092" w:type="pct"/>
            <w:vAlign w:val="center"/>
          </w:tcPr>
          <w:p w14:paraId="33AE68E9" w14:textId="77777777" w:rsidR="00FC4119" w:rsidRPr="00F171A3" w:rsidRDefault="00FC4119" w:rsidP="005F06F6">
            <w:pPr>
              <w:spacing w:after="0"/>
              <w:rPr>
                <w:rFonts w:eastAsia="Calibri" w:cstheme="minorHAnsi"/>
                <w:szCs w:val="20"/>
              </w:rPr>
            </w:pPr>
            <w:r w:rsidRPr="00F171A3">
              <w:rPr>
                <w:rFonts w:eastAsia="Calibri" w:cstheme="minorHAnsi"/>
                <w:szCs w:val="20"/>
              </w:rPr>
              <w:t>-</w:t>
            </w:r>
          </w:p>
        </w:tc>
        <w:tc>
          <w:tcPr>
            <w:tcW w:w="1092" w:type="pct"/>
            <w:vAlign w:val="center"/>
          </w:tcPr>
          <w:p w14:paraId="44FB927A" w14:textId="77777777" w:rsidR="00FC4119" w:rsidRPr="00F171A3" w:rsidRDefault="00FC4119" w:rsidP="005F06F6">
            <w:pPr>
              <w:spacing w:after="0"/>
              <w:rPr>
                <w:rFonts w:eastAsia="Calibri" w:cstheme="minorHAnsi"/>
                <w:szCs w:val="20"/>
              </w:rPr>
            </w:pPr>
            <w:r w:rsidRPr="00F171A3">
              <w:rPr>
                <w:rFonts w:eastAsia="Calibri" w:cstheme="minorHAnsi"/>
                <w:szCs w:val="20"/>
              </w:rPr>
              <w:t>5</w:t>
            </w:r>
          </w:p>
        </w:tc>
      </w:tr>
      <w:tr w:rsidR="00FC4119" w:rsidRPr="00F171A3" w14:paraId="4BE18925"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68927D7C" w14:textId="77777777" w:rsidR="00FC4119" w:rsidRPr="00F171A3" w:rsidRDefault="00FC4119" w:rsidP="005F06F6">
            <w:pPr>
              <w:spacing w:after="0"/>
              <w:rPr>
                <w:rFonts w:cstheme="minorHAnsi"/>
                <w:bCs/>
                <w:color w:val="FF0000"/>
                <w:szCs w:val="20"/>
              </w:rPr>
            </w:pPr>
          </w:p>
        </w:tc>
        <w:tc>
          <w:tcPr>
            <w:tcW w:w="1574" w:type="pct"/>
            <w:vAlign w:val="center"/>
          </w:tcPr>
          <w:p w14:paraId="56E4EA3F" w14:textId="77777777" w:rsidR="00FC4119" w:rsidRPr="00F171A3" w:rsidRDefault="00FC4119" w:rsidP="005F06F6">
            <w:pPr>
              <w:spacing w:after="0"/>
              <w:rPr>
                <w:rFonts w:cstheme="minorHAnsi"/>
                <w:bCs/>
                <w:szCs w:val="20"/>
              </w:rPr>
            </w:pPr>
            <w:r w:rsidRPr="00F171A3">
              <w:rPr>
                <w:rFonts w:eastAsia="Calibri" w:cstheme="minorHAnsi"/>
                <w:szCs w:val="20"/>
              </w:rPr>
              <w:t>Km axe verzi la nivelul sectorului (exceptând zona salbei de lacuri)</w:t>
            </w:r>
          </w:p>
        </w:tc>
        <w:tc>
          <w:tcPr>
            <w:tcW w:w="1092" w:type="pct"/>
            <w:vAlign w:val="center"/>
          </w:tcPr>
          <w:p w14:paraId="26FB4875" w14:textId="77777777" w:rsidR="00FC4119" w:rsidRPr="00F171A3" w:rsidRDefault="00FC4119" w:rsidP="005F06F6">
            <w:pPr>
              <w:spacing w:after="0"/>
              <w:rPr>
                <w:rFonts w:cstheme="minorHAnsi"/>
                <w:bCs/>
                <w:szCs w:val="20"/>
              </w:rPr>
            </w:pPr>
            <w:r w:rsidRPr="00F171A3">
              <w:rPr>
                <w:rFonts w:eastAsia="Calibri" w:cstheme="minorHAnsi"/>
                <w:szCs w:val="20"/>
              </w:rPr>
              <w:t>7</w:t>
            </w:r>
          </w:p>
        </w:tc>
        <w:tc>
          <w:tcPr>
            <w:tcW w:w="1092" w:type="pct"/>
            <w:vAlign w:val="center"/>
          </w:tcPr>
          <w:p w14:paraId="1117749E" w14:textId="77777777" w:rsidR="00FC4119" w:rsidRPr="00F171A3" w:rsidRDefault="00FC4119" w:rsidP="005F06F6">
            <w:pPr>
              <w:spacing w:after="0"/>
              <w:rPr>
                <w:rFonts w:cstheme="minorHAnsi"/>
                <w:bCs/>
                <w:szCs w:val="20"/>
              </w:rPr>
            </w:pPr>
            <w:r w:rsidRPr="00F171A3">
              <w:rPr>
                <w:rFonts w:eastAsia="Calibri" w:cstheme="minorHAnsi"/>
                <w:szCs w:val="20"/>
              </w:rPr>
              <w:t>35</w:t>
            </w:r>
          </w:p>
        </w:tc>
      </w:tr>
      <w:tr w:rsidR="00FC4119" w:rsidRPr="00F171A3" w14:paraId="09C03DEC"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26572FAD" w14:textId="77777777" w:rsidR="00FC4119" w:rsidRPr="00F171A3" w:rsidRDefault="00FC4119" w:rsidP="005F06F6">
            <w:pPr>
              <w:spacing w:after="0"/>
              <w:rPr>
                <w:rFonts w:cstheme="minorHAnsi"/>
                <w:bCs/>
                <w:color w:val="FF0000"/>
                <w:szCs w:val="20"/>
              </w:rPr>
            </w:pPr>
          </w:p>
        </w:tc>
        <w:tc>
          <w:tcPr>
            <w:tcW w:w="1574" w:type="pct"/>
          </w:tcPr>
          <w:p w14:paraId="79CCD483" w14:textId="77777777" w:rsidR="00FC4119" w:rsidRPr="00F171A3" w:rsidRDefault="00FC4119" w:rsidP="005F06F6">
            <w:pPr>
              <w:spacing w:after="0"/>
              <w:rPr>
                <w:rFonts w:cstheme="minorHAnsi"/>
                <w:bCs/>
                <w:szCs w:val="20"/>
              </w:rPr>
            </w:pPr>
            <w:r w:rsidRPr="00F171A3">
              <w:rPr>
                <w:rFonts w:cstheme="minorHAnsi"/>
                <w:bCs/>
                <w:szCs w:val="20"/>
              </w:rPr>
              <w:t>Suprafață spații verzi publice / locuitor (mp)</w:t>
            </w:r>
          </w:p>
        </w:tc>
        <w:tc>
          <w:tcPr>
            <w:tcW w:w="1092" w:type="pct"/>
          </w:tcPr>
          <w:p w14:paraId="4201AF88" w14:textId="77777777" w:rsidR="00FC4119" w:rsidRPr="00F171A3" w:rsidRDefault="00FC4119" w:rsidP="005F06F6">
            <w:pPr>
              <w:spacing w:after="0"/>
              <w:rPr>
                <w:rFonts w:cstheme="minorHAnsi"/>
                <w:bCs/>
                <w:szCs w:val="20"/>
              </w:rPr>
            </w:pPr>
            <w:r w:rsidRPr="00F171A3">
              <w:rPr>
                <w:rFonts w:cstheme="minorHAnsi"/>
                <w:bCs/>
                <w:szCs w:val="20"/>
              </w:rPr>
              <w:t>12,43</w:t>
            </w:r>
          </w:p>
        </w:tc>
        <w:tc>
          <w:tcPr>
            <w:tcW w:w="1092" w:type="pct"/>
          </w:tcPr>
          <w:p w14:paraId="55B7DDAE" w14:textId="77777777" w:rsidR="00FC4119" w:rsidRPr="00F171A3" w:rsidRDefault="00FC4119" w:rsidP="005F06F6">
            <w:pPr>
              <w:spacing w:after="0"/>
              <w:rPr>
                <w:rFonts w:cstheme="minorHAnsi"/>
                <w:bCs/>
                <w:szCs w:val="20"/>
              </w:rPr>
            </w:pPr>
            <w:r w:rsidRPr="00F171A3">
              <w:rPr>
                <w:rFonts w:cstheme="minorHAnsi"/>
                <w:bCs/>
                <w:szCs w:val="20"/>
              </w:rPr>
              <w:t>15</w:t>
            </w:r>
          </w:p>
        </w:tc>
      </w:tr>
      <w:tr w:rsidR="00FC4119" w:rsidRPr="00F171A3" w14:paraId="47C6FC37"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val="restart"/>
            <w:shd w:val="clear" w:color="auto" w:fill="2897B1" w:themeFill="accent4" w:themeFillShade="80"/>
          </w:tcPr>
          <w:p w14:paraId="2F1434D1"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O3.3. - Infrastructură de mediu modernă</w:t>
            </w:r>
          </w:p>
        </w:tc>
        <w:tc>
          <w:tcPr>
            <w:tcW w:w="1574" w:type="pct"/>
          </w:tcPr>
          <w:p w14:paraId="353B049A" w14:textId="77777777" w:rsidR="00FC4119" w:rsidRPr="00F171A3" w:rsidRDefault="00FC4119" w:rsidP="005F06F6">
            <w:pPr>
              <w:spacing w:after="0"/>
              <w:rPr>
                <w:rFonts w:cstheme="minorHAnsi"/>
                <w:bCs/>
                <w:szCs w:val="20"/>
              </w:rPr>
            </w:pPr>
            <w:r w:rsidRPr="00F171A3">
              <w:rPr>
                <w:rFonts w:eastAsia="Calibri" w:cstheme="minorHAnsi"/>
                <w:szCs w:val="20"/>
              </w:rPr>
              <w:t>Km străzi fără rețea de apă și canalizare</w:t>
            </w:r>
          </w:p>
        </w:tc>
        <w:tc>
          <w:tcPr>
            <w:tcW w:w="1092" w:type="pct"/>
          </w:tcPr>
          <w:p w14:paraId="342C5725" w14:textId="77777777" w:rsidR="00FC4119" w:rsidRPr="00F171A3" w:rsidRDefault="00FC4119" w:rsidP="005F06F6">
            <w:pPr>
              <w:spacing w:after="0"/>
              <w:rPr>
                <w:rFonts w:cstheme="minorHAnsi"/>
                <w:bCs/>
                <w:szCs w:val="20"/>
              </w:rPr>
            </w:pPr>
            <w:r w:rsidRPr="00F171A3">
              <w:rPr>
                <w:rFonts w:cstheme="minorHAnsi"/>
                <w:bCs/>
                <w:szCs w:val="20"/>
              </w:rPr>
              <w:t>9,1</w:t>
            </w:r>
          </w:p>
        </w:tc>
        <w:tc>
          <w:tcPr>
            <w:tcW w:w="1092" w:type="pct"/>
          </w:tcPr>
          <w:p w14:paraId="2418000F" w14:textId="77777777" w:rsidR="00FC4119" w:rsidRPr="00F171A3" w:rsidRDefault="00FC4119" w:rsidP="005F06F6">
            <w:pPr>
              <w:spacing w:after="0"/>
              <w:rPr>
                <w:rFonts w:cstheme="minorHAnsi"/>
                <w:bCs/>
                <w:szCs w:val="20"/>
              </w:rPr>
            </w:pPr>
            <w:r w:rsidRPr="00F171A3">
              <w:rPr>
                <w:rFonts w:cstheme="minorHAnsi"/>
                <w:bCs/>
                <w:szCs w:val="20"/>
              </w:rPr>
              <w:t>0</w:t>
            </w:r>
          </w:p>
        </w:tc>
      </w:tr>
      <w:tr w:rsidR="00FC4119" w:rsidRPr="00F171A3" w14:paraId="468F4ED0"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37C6AFBC" w14:textId="77777777" w:rsidR="00FC4119" w:rsidRPr="00F171A3" w:rsidRDefault="00FC4119" w:rsidP="005F06F6">
            <w:pPr>
              <w:spacing w:after="0"/>
              <w:rPr>
                <w:rFonts w:cstheme="minorHAnsi"/>
                <w:b/>
                <w:bCs/>
                <w:color w:val="FFFFFF" w:themeColor="background1"/>
              </w:rPr>
            </w:pPr>
          </w:p>
        </w:tc>
        <w:tc>
          <w:tcPr>
            <w:tcW w:w="1574" w:type="pct"/>
            <w:vAlign w:val="center"/>
          </w:tcPr>
          <w:p w14:paraId="5C508C66" w14:textId="77777777" w:rsidR="00FC4119" w:rsidRPr="00F171A3" w:rsidRDefault="00FC4119" w:rsidP="005F06F6">
            <w:pPr>
              <w:spacing w:after="0"/>
              <w:rPr>
                <w:rFonts w:cstheme="minorHAnsi"/>
                <w:bCs/>
                <w:szCs w:val="20"/>
              </w:rPr>
            </w:pPr>
            <w:r w:rsidRPr="00F171A3">
              <w:rPr>
                <w:rFonts w:eastAsia="Calibri" w:cstheme="minorHAnsi"/>
                <w:szCs w:val="20"/>
              </w:rPr>
              <w:t>Grad reciclare deșeuri menajere (%)</w:t>
            </w:r>
          </w:p>
        </w:tc>
        <w:tc>
          <w:tcPr>
            <w:tcW w:w="1092" w:type="pct"/>
            <w:vAlign w:val="center"/>
          </w:tcPr>
          <w:p w14:paraId="1926FB60" w14:textId="77777777" w:rsidR="00FC4119" w:rsidRPr="00F171A3" w:rsidRDefault="00FC4119" w:rsidP="005F06F6">
            <w:pPr>
              <w:spacing w:after="0"/>
              <w:rPr>
                <w:rFonts w:cstheme="minorHAnsi"/>
                <w:bCs/>
                <w:szCs w:val="20"/>
              </w:rPr>
            </w:pPr>
            <w:r w:rsidRPr="00F171A3">
              <w:rPr>
                <w:rFonts w:eastAsia="Calibri" w:cstheme="minorHAnsi"/>
                <w:szCs w:val="20"/>
              </w:rPr>
              <w:t>0,39 (2016)</w:t>
            </w:r>
          </w:p>
        </w:tc>
        <w:tc>
          <w:tcPr>
            <w:tcW w:w="1092" w:type="pct"/>
            <w:vAlign w:val="center"/>
          </w:tcPr>
          <w:p w14:paraId="07864EF2" w14:textId="77777777" w:rsidR="00FC4119" w:rsidRPr="00F171A3" w:rsidRDefault="00FC4119" w:rsidP="005F06F6">
            <w:pPr>
              <w:spacing w:after="0"/>
              <w:rPr>
                <w:rFonts w:cstheme="minorHAnsi"/>
                <w:bCs/>
                <w:szCs w:val="20"/>
              </w:rPr>
            </w:pPr>
            <w:r w:rsidRPr="00F171A3">
              <w:rPr>
                <w:rFonts w:eastAsia="Calibri" w:cstheme="minorHAnsi"/>
                <w:szCs w:val="20"/>
              </w:rPr>
              <w:t>50</w:t>
            </w:r>
          </w:p>
        </w:tc>
      </w:tr>
      <w:tr w:rsidR="00FC4119" w:rsidRPr="00F171A3" w14:paraId="4DDD7A1A"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val="restart"/>
            <w:shd w:val="clear" w:color="auto" w:fill="2897B1" w:themeFill="accent4" w:themeFillShade="80"/>
          </w:tcPr>
          <w:p w14:paraId="02CF648C"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O3.4 - Sistem de transport orientat în jurul deplasărilor nemotorizate și a transportului public</w:t>
            </w:r>
          </w:p>
        </w:tc>
        <w:tc>
          <w:tcPr>
            <w:tcW w:w="1574" w:type="pct"/>
            <w:vAlign w:val="center"/>
          </w:tcPr>
          <w:p w14:paraId="6951004F" w14:textId="77777777" w:rsidR="00FC4119" w:rsidRPr="00F171A3" w:rsidRDefault="00FC4119" w:rsidP="005F06F6">
            <w:pPr>
              <w:spacing w:after="0"/>
              <w:rPr>
                <w:rFonts w:cstheme="minorHAnsi"/>
                <w:bCs/>
                <w:szCs w:val="20"/>
              </w:rPr>
            </w:pPr>
            <w:r w:rsidRPr="00F171A3">
              <w:rPr>
                <w:rFonts w:eastAsia="Calibri" w:cstheme="minorHAnsi"/>
                <w:szCs w:val="20"/>
              </w:rPr>
              <w:t>Număr de legături noi peste salba de lacuri</w:t>
            </w:r>
          </w:p>
        </w:tc>
        <w:tc>
          <w:tcPr>
            <w:tcW w:w="1092" w:type="pct"/>
            <w:vAlign w:val="center"/>
          </w:tcPr>
          <w:p w14:paraId="6385D268"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1FE5CC5B" w14:textId="77777777" w:rsidR="00FC4119" w:rsidRPr="00F171A3" w:rsidRDefault="00FC4119" w:rsidP="005F06F6">
            <w:pPr>
              <w:spacing w:after="0"/>
              <w:rPr>
                <w:rFonts w:cstheme="minorHAnsi"/>
                <w:bCs/>
                <w:szCs w:val="20"/>
              </w:rPr>
            </w:pPr>
            <w:r w:rsidRPr="00F171A3">
              <w:rPr>
                <w:rFonts w:eastAsia="Calibri" w:cstheme="minorHAnsi"/>
                <w:szCs w:val="20"/>
              </w:rPr>
              <w:t>4(din care minim 1 auto)</w:t>
            </w:r>
          </w:p>
        </w:tc>
      </w:tr>
      <w:tr w:rsidR="00FC4119" w:rsidRPr="00F171A3" w14:paraId="45F1FF63"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44A21661" w14:textId="77777777" w:rsidR="00FC4119" w:rsidRPr="00F171A3" w:rsidRDefault="00FC4119" w:rsidP="005F06F6">
            <w:pPr>
              <w:spacing w:after="0"/>
              <w:rPr>
                <w:rFonts w:cstheme="minorHAnsi"/>
                <w:b/>
                <w:bCs/>
                <w:color w:val="FFFFFF" w:themeColor="background1"/>
              </w:rPr>
            </w:pPr>
          </w:p>
        </w:tc>
        <w:tc>
          <w:tcPr>
            <w:tcW w:w="1574" w:type="pct"/>
            <w:vAlign w:val="center"/>
          </w:tcPr>
          <w:p w14:paraId="19416666" w14:textId="77777777" w:rsidR="00FC4119" w:rsidRPr="00F171A3" w:rsidRDefault="00FC4119" w:rsidP="005F06F6">
            <w:pPr>
              <w:rPr>
                <w:rFonts w:eastAsia="Calibri" w:cstheme="minorHAnsi"/>
                <w:szCs w:val="20"/>
              </w:rPr>
            </w:pPr>
            <w:r w:rsidRPr="00F171A3">
              <w:rPr>
                <w:rFonts w:eastAsia="Calibri" w:cstheme="minorHAnsi"/>
                <w:szCs w:val="20"/>
              </w:rPr>
              <w:t>Lungimea reţelei velo pentru navetism și deplasări cotidiene</w:t>
            </w:r>
          </w:p>
        </w:tc>
        <w:tc>
          <w:tcPr>
            <w:tcW w:w="1092" w:type="pct"/>
            <w:vAlign w:val="center"/>
          </w:tcPr>
          <w:p w14:paraId="7D0224C0" w14:textId="77777777" w:rsidR="00FC4119" w:rsidRPr="00F171A3" w:rsidRDefault="00FC4119" w:rsidP="005F06F6">
            <w:pPr>
              <w:spacing w:after="0"/>
              <w:rPr>
                <w:rFonts w:eastAsia="Calibri" w:cstheme="minorHAnsi"/>
                <w:szCs w:val="20"/>
              </w:rPr>
            </w:pPr>
            <w:r w:rsidRPr="00F171A3">
              <w:rPr>
                <w:rFonts w:eastAsia="Calibri" w:cstheme="minorHAnsi"/>
                <w:szCs w:val="20"/>
              </w:rPr>
              <w:t>1,5 km + 4,5km</w:t>
            </w:r>
            <w:r w:rsidRPr="00F171A3">
              <w:rPr>
                <w:rStyle w:val="FootnoteReference"/>
                <w:rFonts w:eastAsia="Calibri" w:cstheme="minorHAnsi"/>
                <w:szCs w:val="20"/>
              </w:rPr>
              <w:footnoteReference w:id="177"/>
            </w:r>
          </w:p>
        </w:tc>
        <w:tc>
          <w:tcPr>
            <w:tcW w:w="1092" w:type="pct"/>
            <w:vAlign w:val="center"/>
          </w:tcPr>
          <w:p w14:paraId="5648E7D0" w14:textId="77777777" w:rsidR="00FC4119" w:rsidRPr="00F171A3" w:rsidRDefault="00FC4119" w:rsidP="005F06F6">
            <w:pPr>
              <w:spacing w:after="0"/>
              <w:rPr>
                <w:rFonts w:eastAsia="Calibri" w:cstheme="minorHAnsi"/>
                <w:szCs w:val="20"/>
              </w:rPr>
            </w:pPr>
            <w:r w:rsidRPr="00F171A3">
              <w:rPr>
                <w:rFonts w:eastAsia="Calibri" w:cstheme="minorHAnsi"/>
                <w:szCs w:val="20"/>
              </w:rPr>
              <w:t>50 km</w:t>
            </w:r>
          </w:p>
        </w:tc>
      </w:tr>
      <w:tr w:rsidR="00FC4119" w:rsidRPr="00F171A3" w14:paraId="560FD78A"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6FDF5739" w14:textId="77777777" w:rsidR="00FC4119" w:rsidRPr="00F171A3" w:rsidRDefault="00FC4119" w:rsidP="005F06F6">
            <w:pPr>
              <w:spacing w:after="0"/>
              <w:rPr>
                <w:rFonts w:cstheme="minorHAnsi"/>
                <w:b/>
                <w:bCs/>
                <w:color w:val="FFFFFF" w:themeColor="background1"/>
              </w:rPr>
            </w:pPr>
          </w:p>
        </w:tc>
        <w:tc>
          <w:tcPr>
            <w:tcW w:w="1574" w:type="pct"/>
            <w:vAlign w:val="center"/>
          </w:tcPr>
          <w:p w14:paraId="662212E0" w14:textId="77777777" w:rsidR="00FC4119" w:rsidRPr="00F171A3" w:rsidRDefault="00FC4119" w:rsidP="005F06F6">
            <w:pPr>
              <w:spacing w:after="0"/>
              <w:rPr>
                <w:rFonts w:eastAsia="Calibri" w:cstheme="minorHAnsi"/>
                <w:szCs w:val="20"/>
              </w:rPr>
            </w:pPr>
            <w:r w:rsidRPr="00F171A3">
              <w:rPr>
                <w:rFonts w:eastAsia="Calibri" w:cstheme="minorHAnsi"/>
                <w:szCs w:val="20"/>
              </w:rPr>
              <w:t>Lungime reţelei velo de agrement</w:t>
            </w:r>
          </w:p>
        </w:tc>
        <w:tc>
          <w:tcPr>
            <w:tcW w:w="1092" w:type="pct"/>
            <w:vAlign w:val="center"/>
          </w:tcPr>
          <w:p w14:paraId="443B0E3D" w14:textId="77777777" w:rsidR="00FC4119" w:rsidRPr="00F171A3" w:rsidRDefault="00FC4119" w:rsidP="005F06F6">
            <w:pPr>
              <w:spacing w:after="0"/>
              <w:rPr>
                <w:rFonts w:eastAsia="Calibri" w:cstheme="minorHAnsi"/>
                <w:szCs w:val="20"/>
              </w:rPr>
            </w:pPr>
            <w:r w:rsidRPr="00F171A3">
              <w:rPr>
                <w:rFonts w:eastAsia="Calibri" w:cstheme="minorHAnsi"/>
                <w:szCs w:val="20"/>
              </w:rPr>
              <w:t>0 km</w:t>
            </w:r>
          </w:p>
        </w:tc>
        <w:tc>
          <w:tcPr>
            <w:tcW w:w="1092" w:type="pct"/>
            <w:vAlign w:val="center"/>
          </w:tcPr>
          <w:p w14:paraId="289E2576" w14:textId="77777777" w:rsidR="00FC4119" w:rsidRPr="00F171A3" w:rsidRDefault="00FC4119" w:rsidP="005F06F6">
            <w:pPr>
              <w:spacing w:after="0"/>
              <w:rPr>
                <w:rFonts w:eastAsia="Calibri" w:cstheme="minorHAnsi"/>
                <w:szCs w:val="20"/>
              </w:rPr>
            </w:pPr>
            <w:r w:rsidRPr="00F171A3">
              <w:rPr>
                <w:rFonts w:eastAsia="Calibri" w:cstheme="minorHAnsi"/>
                <w:szCs w:val="20"/>
              </w:rPr>
              <w:t>15,4 km</w:t>
            </w:r>
          </w:p>
        </w:tc>
      </w:tr>
      <w:tr w:rsidR="00FC4119" w:rsidRPr="00F171A3" w14:paraId="7D65E04E"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38CCA166" w14:textId="77777777" w:rsidR="00FC4119" w:rsidRPr="00F171A3" w:rsidRDefault="00FC4119" w:rsidP="005F06F6">
            <w:pPr>
              <w:spacing w:after="0"/>
              <w:rPr>
                <w:rFonts w:cstheme="minorHAnsi"/>
                <w:b/>
                <w:bCs/>
                <w:color w:val="FFFFFF" w:themeColor="background1"/>
              </w:rPr>
            </w:pPr>
          </w:p>
        </w:tc>
        <w:tc>
          <w:tcPr>
            <w:tcW w:w="1574" w:type="pct"/>
            <w:vAlign w:val="center"/>
          </w:tcPr>
          <w:p w14:paraId="1D589ED9" w14:textId="77777777" w:rsidR="00FC4119" w:rsidRPr="00F171A3" w:rsidRDefault="00FC4119" w:rsidP="005F06F6">
            <w:pPr>
              <w:spacing w:after="0"/>
              <w:rPr>
                <w:rFonts w:eastAsia="Calibri" w:cstheme="minorHAnsi"/>
                <w:szCs w:val="20"/>
              </w:rPr>
            </w:pPr>
            <w:r w:rsidRPr="00F171A3">
              <w:rPr>
                <w:rFonts w:eastAsia="Calibri" w:cstheme="minorHAnsi"/>
                <w:szCs w:val="20"/>
              </w:rPr>
              <w:t>Nr. garaje securizate pentru biciclete</w:t>
            </w:r>
          </w:p>
        </w:tc>
        <w:tc>
          <w:tcPr>
            <w:tcW w:w="1092" w:type="pct"/>
            <w:vAlign w:val="center"/>
          </w:tcPr>
          <w:p w14:paraId="6BD2A7AC" w14:textId="77777777" w:rsidR="00FC4119" w:rsidRPr="00F171A3" w:rsidRDefault="00FC4119" w:rsidP="005F06F6">
            <w:pPr>
              <w:spacing w:after="0"/>
              <w:rPr>
                <w:rFonts w:eastAsia="Calibri" w:cstheme="minorHAnsi"/>
                <w:szCs w:val="20"/>
              </w:rPr>
            </w:pPr>
            <w:r w:rsidRPr="00F171A3">
              <w:rPr>
                <w:rFonts w:eastAsia="Calibri" w:cstheme="minorHAnsi"/>
                <w:szCs w:val="20"/>
              </w:rPr>
              <w:t>0</w:t>
            </w:r>
          </w:p>
        </w:tc>
        <w:tc>
          <w:tcPr>
            <w:tcW w:w="1092" w:type="pct"/>
            <w:vAlign w:val="center"/>
          </w:tcPr>
          <w:p w14:paraId="0B775E35" w14:textId="77777777" w:rsidR="00FC4119" w:rsidRPr="00F171A3" w:rsidRDefault="00FC4119" w:rsidP="005F06F6">
            <w:pPr>
              <w:spacing w:after="0"/>
              <w:rPr>
                <w:rFonts w:eastAsia="Calibri" w:cstheme="minorHAnsi"/>
                <w:szCs w:val="20"/>
              </w:rPr>
            </w:pPr>
            <w:r w:rsidRPr="00F171A3">
              <w:rPr>
                <w:rFonts w:eastAsia="Calibri" w:cstheme="minorHAnsi"/>
                <w:szCs w:val="20"/>
              </w:rPr>
              <w:t>35</w:t>
            </w:r>
          </w:p>
        </w:tc>
      </w:tr>
      <w:tr w:rsidR="00FC4119" w:rsidRPr="00F171A3" w14:paraId="7537DD95"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485B145C" w14:textId="77777777" w:rsidR="00FC4119" w:rsidRPr="00F171A3" w:rsidRDefault="00FC4119" w:rsidP="005F06F6">
            <w:pPr>
              <w:spacing w:after="0"/>
              <w:rPr>
                <w:rFonts w:cstheme="minorHAnsi"/>
                <w:b/>
                <w:bCs/>
                <w:color w:val="FFFFFF" w:themeColor="background1"/>
              </w:rPr>
            </w:pPr>
          </w:p>
        </w:tc>
        <w:tc>
          <w:tcPr>
            <w:tcW w:w="1574" w:type="pct"/>
            <w:vAlign w:val="center"/>
          </w:tcPr>
          <w:p w14:paraId="6928E95B" w14:textId="77777777" w:rsidR="00FC4119" w:rsidRPr="00F171A3" w:rsidRDefault="00FC4119" w:rsidP="005F06F6">
            <w:pPr>
              <w:spacing w:after="0"/>
              <w:rPr>
                <w:rFonts w:eastAsia="Calibri" w:cstheme="minorHAnsi"/>
                <w:szCs w:val="20"/>
              </w:rPr>
            </w:pPr>
            <w:r w:rsidRPr="00F171A3">
              <w:rPr>
                <w:rFonts w:eastAsia="Calibri" w:cstheme="minorHAnsi"/>
                <w:szCs w:val="20"/>
              </w:rPr>
              <w:t>Sistem de bike-sharing (la nivel municipal)</w:t>
            </w:r>
          </w:p>
        </w:tc>
        <w:tc>
          <w:tcPr>
            <w:tcW w:w="1092" w:type="pct"/>
            <w:vAlign w:val="center"/>
          </w:tcPr>
          <w:p w14:paraId="618D4364" w14:textId="77777777" w:rsidR="00FC4119" w:rsidRPr="00F171A3" w:rsidRDefault="00FC4119" w:rsidP="005F06F6">
            <w:pPr>
              <w:spacing w:after="0"/>
              <w:rPr>
                <w:rFonts w:eastAsia="Calibri" w:cstheme="minorHAnsi"/>
                <w:szCs w:val="20"/>
              </w:rPr>
            </w:pPr>
            <w:r w:rsidRPr="00F171A3">
              <w:rPr>
                <w:rFonts w:eastAsia="Calibri" w:cstheme="minorHAnsi"/>
                <w:szCs w:val="20"/>
              </w:rPr>
              <w:t>0</w:t>
            </w:r>
          </w:p>
        </w:tc>
        <w:tc>
          <w:tcPr>
            <w:tcW w:w="1092" w:type="pct"/>
            <w:vAlign w:val="center"/>
          </w:tcPr>
          <w:p w14:paraId="035F2C6C" w14:textId="77777777" w:rsidR="00FC4119" w:rsidRPr="00F171A3" w:rsidRDefault="00FC4119" w:rsidP="005F06F6">
            <w:pPr>
              <w:spacing w:after="0"/>
              <w:rPr>
                <w:rFonts w:eastAsia="Calibri" w:cstheme="minorHAnsi"/>
                <w:szCs w:val="20"/>
              </w:rPr>
            </w:pPr>
            <w:r w:rsidRPr="00F171A3">
              <w:rPr>
                <w:rFonts w:eastAsia="Calibri" w:cstheme="minorHAnsi"/>
                <w:szCs w:val="20"/>
              </w:rPr>
              <w:t>1</w:t>
            </w:r>
          </w:p>
        </w:tc>
      </w:tr>
      <w:tr w:rsidR="00FC4119" w:rsidRPr="00F171A3" w14:paraId="32EB99FF"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7B3C9FBA"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5FC8937C" w14:textId="77777777" w:rsidR="00FC4119" w:rsidRPr="00F171A3" w:rsidRDefault="00FC4119" w:rsidP="005F06F6">
            <w:pPr>
              <w:spacing w:after="0"/>
              <w:jc w:val="left"/>
              <w:rPr>
                <w:rFonts w:cstheme="minorHAnsi"/>
                <w:bCs/>
                <w:szCs w:val="20"/>
              </w:rPr>
            </w:pPr>
            <w:r w:rsidRPr="00F171A3">
              <w:rPr>
                <w:rFonts w:eastAsia="Calibri" w:cstheme="minorHAnsi"/>
                <w:szCs w:val="20"/>
              </w:rPr>
              <w:t>Stații de tip „self-care” pentru biciclete</w:t>
            </w:r>
          </w:p>
        </w:tc>
        <w:tc>
          <w:tcPr>
            <w:tcW w:w="1092" w:type="pct"/>
            <w:vAlign w:val="center"/>
          </w:tcPr>
          <w:p w14:paraId="2CCEF20F" w14:textId="77777777" w:rsidR="00FC4119" w:rsidRPr="00F171A3" w:rsidRDefault="00FC4119" w:rsidP="005F06F6">
            <w:pPr>
              <w:spacing w:after="0"/>
              <w:jc w:val="left"/>
              <w:rPr>
                <w:rFonts w:cstheme="minorHAnsi"/>
                <w:bCs/>
                <w:szCs w:val="20"/>
              </w:rPr>
            </w:pPr>
            <w:r w:rsidRPr="00F171A3">
              <w:rPr>
                <w:rFonts w:eastAsia="Calibri" w:cstheme="minorHAnsi"/>
                <w:szCs w:val="20"/>
              </w:rPr>
              <w:t>0</w:t>
            </w:r>
          </w:p>
        </w:tc>
        <w:tc>
          <w:tcPr>
            <w:tcW w:w="1092" w:type="pct"/>
            <w:vAlign w:val="center"/>
          </w:tcPr>
          <w:p w14:paraId="1A290683" w14:textId="77777777" w:rsidR="00FC4119" w:rsidRPr="00F171A3" w:rsidRDefault="00FC4119" w:rsidP="005F06F6">
            <w:pPr>
              <w:spacing w:after="0"/>
              <w:jc w:val="left"/>
              <w:rPr>
                <w:rFonts w:cstheme="minorHAnsi"/>
                <w:bCs/>
                <w:szCs w:val="20"/>
              </w:rPr>
            </w:pPr>
            <w:r w:rsidRPr="00F171A3">
              <w:rPr>
                <w:rFonts w:eastAsia="Calibri" w:cstheme="minorHAnsi"/>
                <w:szCs w:val="20"/>
              </w:rPr>
              <w:t>15</w:t>
            </w:r>
          </w:p>
        </w:tc>
      </w:tr>
      <w:tr w:rsidR="00FC4119" w:rsidRPr="00F171A3" w14:paraId="666EC11D"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137F8D47"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1F5B94C4" w14:textId="715469AD" w:rsidR="00FC4119" w:rsidRPr="00F171A3" w:rsidRDefault="00FC4119" w:rsidP="005F06F6">
            <w:pPr>
              <w:spacing w:after="0"/>
              <w:jc w:val="left"/>
              <w:rPr>
                <w:rFonts w:cstheme="minorHAnsi"/>
                <w:bCs/>
                <w:szCs w:val="20"/>
              </w:rPr>
            </w:pPr>
            <w:r w:rsidRPr="00F171A3">
              <w:rPr>
                <w:rFonts w:eastAsia="Calibri" w:cstheme="minorHAnsi"/>
                <w:szCs w:val="20"/>
              </w:rPr>
              <w:t>Ponderea persoanelor care declară ca se depl</w:t>
            </w:r>
            <w:r w:rsidR="00DC7D39">
              <w:rPr>
                <w:rFonts w:eastAsia="Calibri" w:cstheme="minorHAnsi"/>
                <w:szCs w:val="20"/>
              </w:rPr>
              <w:t>as</w:t>
            </w:r>
            <w:r w:rsidRPr="00F171A3">
              <w:rPr>
                <w:rFonts w:eastAsia="Calibri" w:cstheme="minorHAnsi"/>
                <w:szCs w:val="20"/>
              </w:rPr>
              <w:t>ează zilnic cu bicicleta</w:t>
            </w:r>
          </w:p>
        </w:tc>
        <w:tc>
          <w:tcPr>
            <w:tcW w:w="1092" w:type="pct"/>
            <w:vAlign w:val="center"/>
          </w:tcPr>
          <w:p w14:paraId="1766F0FB" w14:textId="77777777" w:rsidR="00FC4119" w:rsidRPr="00F171A3" w:rsidRDefault="00FC4119" w:rsidP="005F06F6">
            <w:pPr>
              <w:spacing w:after="0"/>
              <w:jc w:val="left"/>
              <w:rPr>
                <w:rFonts w:cstheme="minorHAnsi"/>
                <w:bCs/>
                <w:szCs w:val="20"/>
              </w:rPr>
            </w:pPr>
            <w:r w:rsidRPr="00F171A3">
              <w:rPr>
                <w:rFonts w:eastAsia="Calibri" w:cstheme="minorHAnsi"/>
                <w:szCs w:val="20"/>
              </w:rPr>
              <w:t>5,3%</w:t>
            </w:r>
          </w:p>
        </w:tc>
        <w:tc>
          <w:tcPr>
            <w:tcW w:w="1092" w:type="pct"/>
            <w:vAlign w:val="center"/>
          </w:tcPr>
          <w:p w14:paraId="6337957D" w14:textId="77777777" w:rsidR="00FC4119" w:rsidRPr="00F171A3" w:rsidRDefault="00FC4119" w:rsidP="005F06F6">
            <w:pPr>
              <w:spacing w:after="0"/>
              <w:jc w:val="left"/>
              <w:rPr>
                <w:rFonts w:cstheme="minorHAnsi"/>
                <w:bCs/>
                <w:szCs w:val="20"/>
              </w:rPr>
            </w:pPr>
            <w:r w:rsidRPr="00F171A3">
              <w:rPr>
                <w:rFonts w:eastAsia="Calibri" w:cstheme="minorHAnsi"/>
                <w:szCs w:val="20"/>
              </w:rPr>
              <w:t>10%</w:t>
            </w:r>
          </w:p>
        </w:tc>
      </w:tr>
      <w:tr w:rsidR="00FC4119" w:rsidRPr="00F171A3" w14:paraId="211D93B1"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41F3542B"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2EF0DF45" w14:textId="77777777" w:rsidR="00FC4119" w:rsidRPr="00F171A3" w:rsidRDefault="00FC4119" w:rsidP="005F06F6">
            <w:pPr>
              <w:spacing w:after="0"/>
              <w:jc w:val="left"/>
              <w:rPr>
                <w:rFonts w:cstheme="minorHAnsi"/>
                <w:bCs/>
                <w:szCs w:val="20"/>
              </w:rPr>
            </w:pPr>
            <w:r w:rsidRPr="00F171A3">
              <w:rPr>
                <w:rFonts w:eastAsia="Calibri" w:cstheme="minorHAnsi"/>
                <w:szCs w:val="20"/>
              </w:rPr>
              <w:t>Număr zone cu prioritate pentru pietoni</w:t>
            </w:r>
          </w:p>
        </w:tc>
        <w:tc>
          <w:tcPr>
            <w:tcW w:w="1092" w:type="pct"/>
            <w:vAlign w:val="center"/>
          </w:tcPr>
          <w:p w14:paraId="69B23840" w14:textId="77777777" w:rsidR="00FC4119" w:rsidRPr="00F171A3" w:rsidRDefault="00FC4119" w:rsidP="005F06F6">
            <w:pPr>
              <w:spacing w:after="0"/>
              <w:jc w:val="left"/>
              <w:rPr>
                <w:rFonts w:cstheme="minorHAnsi"/>
                <w:bCs/>
                <w:szCs w:val="20"/>
              </w:rPr>
            </w:pPr>
            <w:r w:rsidRPr="00F171A3">
              <w:rPr>
                <w:rFonts w:eastAsia="Calibri" w:cstheme="minorHAnsi"/>
                <w:szCs w:val="20"/>
              </w:rPr>
              <w:t>0</w:t>
            </w:r>
          </w:p>
        </w:tc>
        <w:tc>
          <w:tcPr>
            <w:tcW w:w="1092" w:type="pct"/>
            <w:vAlign w:val="center"/>
          </w:tcPr>
          <w:p w14:paraId="7524D573" w14:textId="77777777" w:rsidR="00FC4119" w:rsidRPr="00F171A3" w:rsidRDefault="00FC4119" w:rsidP="005F06F6">
            <w:pPr>
              <w:spacing w:after="0"/>
              <w:jc w:val="left"/>
              <w:rPr>
                <w:rFonts w:cstheme="minorHAnsi"/>
                <w:bCs/>
                <w:szCs w:val="20"/>
              </w:rPr>
            </w:pPr>
            <w:r w:rsidRPr="00F171A3">
              <w:rPr>
                <w:rFonts w:eastAsia="Calibri" w:cstheme="minorHAnsi"/>
                <w:szCs w:val="20"/>
              </w:rPr>
              <w:t>3 (dimensiune minima 1500mp fiecare)</w:t>
            </w:r>
            <w:r w:rsidRPr="00F171A3">
              <w:rPr>
                <w:rStyle w:val="FootnoteReference"/>
                <w:rFonts w:eastAsia="Calibri" w:cstheme="minorHAnsi"/>
                <w:szCs w:val="20"/>
              </w:rPr>
              <w:footnoteReference w:id="178"/>
            </w:r>
          </w:p>
        </w:tc>
      </w:tr>
      <w:tr w:rsidR="00FC4119" w:rsidRPr="00F171A3" w14:paraId="27C10C59"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06B7AAF8"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4F26B260"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 xml:space="preserve">Kilometri de stradă cu secțiune dedicată pentru transportul public (autobuz/tramvai) </w:t>
            </w:r>
          </w:p>
        </w:tc>
        <w:tc>
          <w:tcPr>
            <w:tcW w:w="1092" w:type="pct"/>
            <w:vAlign w:val="center"/>
          </w:tcPr>
          <w:p w14:paraId="1A95F541"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17,8 km</w:t>
            </w:r>
          </w:p>
        </w:tc>
        <w:tc>
          <w:tcPr>
            <w:tcW w:w="1092" w:type="pct"/>
            <w:vAlign w:val="center"/>
          </w:tcPr>
          <w:p w14:paraId="05EE7311"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26,6 km</w:t>
            </w:r>
          </w:p>
        </w:tc>
      </w:tr>
      <w:tr w:rsidR="00FC4119" w:rsidRPr="00F171A3" w14:paraId="56CF9E80"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34037C83"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04CC80B0"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Lungimea liniilor de tramvai modernizate</w:t>
            </w:r>
          </w:p>
        </w:tc>
        <w:tc>
          <w:tcPr>
            <w:tcW w:w="1092" w:type="pct"/>
            <w:vAlign w:val="center"/>
          </w:tcPr>
          <w:p w14:paraId="3471A446"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4</w:t>
            </w:r>
          </w:p>
        </w:tc>
        <w:tc>
          <w:tcPr>
            <w:tcW w:w="1092" w:type="pct"/>
            <w:vAlign w:val="center"/>
          </w:tcPr>
          <w:p w14:paraId="06B7DE16"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13,5 km</w:t>
            </w:r>
          </w:p>
        </w:tc>
      </w:tr>
      <w:tr w:rsidR="00FC4119" w:rsidRPr="00F171A3" w14:paraId="5B85F6CC"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76006A4A"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08FA9844"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Număr staţii de Metrou</w:t>
            </w:r>
          </w:p>
        </w:tc>
        <w:tc>
          <w:tcPr>
            <w:tcW w:w="1092" w:type="pct"/>
            <w:vAlign w:val="center"/>
          </w:tcPr>
          <w:p w14:paraId="10B01417"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3</w:t>
            </w:r>
          </w:p>
        </w:tc>
        <w:tc>
          <w:tcPr>
            <w:tcW w:w="1092" w:type="pct"/>
            <w:vAlign w:val="center"/>
          </w:tcPr>
          <w:p w14:paraId="4DFF7059"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6</w:t>
            </w:r>
          </w:p>
        </w:tc>
      </w:tr>
      <w:tr w:rsidR="00FC4119" w:rsidRPr="00F171A3" w14:paraId="5B77BB8F"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3D59E29A"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3C56F667"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Număr linii de Metrou</w:t>
            </w:r>
          </w:p>
        </w:tc>
        <w:tc>
          <w:tcPr>
            <w:tcW w:w="1092" w:type="pct"/>
            <w:vAlign w:val="center"/>
          </w:tcPr>
          <w:p w14:paraId="6F3799B1"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2</w:t>
            </w:r>
          </w:p>
        </w:tc>
        <w:tc>
          <w:tcPr>
            <w:tcW w:w="1092" w:type="pct"/>
            <w:vAlign w:val="center"/>
          </w:tcPr>
          <w:p w14:paraId="4310180E"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3</w:t>
            </w:r>
          </w:p>
        </w:tc>
      </w:tr>
      <w:tr w:rsidR="00FC4119" w:rsidRPr="00F171A3" w14:paraId="39DEB4AB"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1B633B10"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48DD8DAF"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Complexitatea sistemului integrat de„ management al mobilităţii</w:t>
            </w:r>
          </w:p>
        </w:tc>
        <w:tc>
          <w:tcPr>
            <w:tcW w:w="1092" w:type="pct"/>
            <w:vAlign w:val="center"/>
          </w:tcPr>
          <w:p w14:paraId="7691473D"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Managementul traficului – semaforizare undă verde</w:t>
            </w:r>
          </w:p>
        </w:tc>
        <w:tc>
          <w:tcPr>
            <w:tcW w:w="1092" w:type="pct"/>
            <w:vAlign w:val="center"/>
          </w:tcPr>
          <w:p w14:paraId="3E66F91B" w14:textId="77777777" w:rsidR="00FC4119" w:rsidRPr="00F171A3" w:rsidRDefault="00FC4119" w:rsidP="005F06F6">
            <w:pPr>
              <w:jc w:val="left"/>
              <w:rPr>
                <w:rFonts w:eastAsia="Calibri" w:cstheme="minorHAnsi"/>
                <w:szCs w:val="20"/>
              </w:rPr>
            </w:pPr>
            <w:r w:rsidRPr="00F171A3">
              <w:rPr>
                <w:rFonts w:eastAsia="Calibri" w:cstheme="minorHAnsi"/>
                <w:szCs w:val="20"/>
              </w:rPr>
              <w:t>Managementul traficului</w:t>
            </w:r>
          </w:p>
          <w:p w14:paraId="0F6F43B9" w14:textId="77777777" w:rsidR="00FC4119" w:rsidRPr="00F171A3" w:rsidRDefault="00FC4119" w:rsidP="005F06F6">
            <w:pPr>
              <w:jc w:val="left"/>
              <w:rPr>
                <w:rFonts w:eastAsia="Calibri" w:cstheme="minorHAnsi"/>
                <w:szCs w:val="20"/>
              </w:rPr>
            </w:pPr>
            <w:r w:rsidRPr="00F171A3">
              <w:rPr>
                <w:rFonts w:eastAsia="Calibri" w:cstheme="minorHAnsi"/>
                <w:szCs w:val="20"/>
              </w:rPr>
              <w:t>Managementul parcării</w:t>
            </w:r>
          </w:p>
          <w:p w14:paraId="3A85CB8D"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-Prioritizarea transportului public şi a bicicliştilor</w:t>
            </w:r>
          </w:p>
        </w:tc>
      </w:tr>
      <w:tr w:rsidR="00FC4119" w:rsidRPr="00F171A3" w14:paraId="2B4F248E"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2FC5D2CC"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5334AB4F"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Număr de treceri denivelate supra sau subterane la intersecția cu CF</w:t>
            </w:r>
          </w:p>
        </w:tc>
        <w:tc>
          <w:tcPr>
            <w:tcW w:w="1092" w:type="pct"/>
            <w:vAlign w:val="center"/>
          </w:tcPr>
          <w:p w14:paraId="269CCF51"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6</w:t>
            </w:r>
          </w:p>
        </w:tc>
        <w:tc>
          <w:tcPr>
            <w:tcW w:w="1092" w:type="pct"/>
            <w:vAlign w:val="center"/>
          </w:tcPr>
          <w:p w14:paraId="68CA1331"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8</w:t>
            </w:r>
          </w:p>
        </w:tc>
      </w:tr>
      <w:tr w:rsidR="00FC4119" w:rsidRPr="00F171A3" w14:paraId="66A9C2F4"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163A28B1"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5037BE41" w14:textId="77777777" w:rsidR="00FC4119" w:rsidRPr="00F171A3" w:rsidRDefault="00FC4119" w:rsidP="005F06F6">
            <w:pPr>
              <w:jc w:val="left"/>
              <w:rPr>
                <w:rFonts w:eastAsia="Calibri" w:cstheme="minorHAnsi"/>
                <w:szCs w:val="20"/>
              </w:rPr>
            </w:pPr>
            <w:r w:rsidRPr="00F171A3">
              <w:rPr>
                <w:rFonts w:eastAsia="Calibri" w:cstheme="minorHAnsi"/>
                <w:szCs w:val="20"/>
              </w:rPr>
              <w:t>Număr locuri de parcare rezidenţiale (parcări multietajate)</w:t>
            </w:r>
          </w:p>
        </w:tc>
        <w:tc>
          <w:tcPr>
            <w:tcW w:w="1092" w:type="pct"/>
            <w:vAlign w:val="center"/>
          </w:tcPr>
          <w:p w14:paraId="058AA70C"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0</w:t>
            </w:r>
          </w:p>
        </w:tc>
        <w:tc>
          <w:tcPr>
            <w:tcW w:w="1092" w:type="pct"/>
            <w:vAlign w:val="center"/>
          </w:tcPr>
          <w:p w14:paraId="33372C43"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750</w:t>
            </w:r>
          </w:p>
        </w:tc>
      </w:tr>
      <w:tr w:rsidR="00FC4119" w:rsidRPr="00F171A3" w14:paraId="6ABC5A27"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19A908D3"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04C435A3"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Indice de motorizare</w:t>
            </w:r>
          </w:p>
        </w:tc>
        <w:tc>
          <w:tcPr>
            <w:tcW w:w="1092" w:type="pct"/>
            <w:vAlign w:val="center"/>
          </w:tcPr>
          <w:p w14:paraId="764A5D6B"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713,71 auto/1.000 loc</w:t>
            </w:r>
          </w:p>
        </w:tc>
        <w:tc>
          <w:tcPr>
            <w:tcW w:w="1092" w:type="pct"/>
            <w:vAlign w:val="center"/>
          </w:tcPr>
          <w:p w14:paraId="1DEEBC59"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750 auto/1.000 loc</w:t>
            </w:r>
          </w:p>
        </w:tc>
      </w:tr>
      <w:tr w:rsidR="00FC4119" w:rsidRPr="00F171A3" w14:paraId="45989237"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56DB705E"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3B72BD0F"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Stații de încărcare pentru mașini electrice</w:t>
            </w:r>
          </w:p>
        </w:tc>
        <w:tc>
          <w:tcPr>
            <w:tcW w:w="1092" w:type="pct"/>
            <w:vAlign w:val="center"/>
          </w:tcPr>
          <w:p w14:paraId="3BCBCC67"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7</w:t>
            </w:r>
          </w:p>
        </w:tc>
        <w:tc>
          <w:tcPr>
            <w:tcW w:w="1092" w:type="pct"/>
            <w:vAlign w:val="center"/>
          </w:tcPr>
          <w:p w14:paraId="146D7119" w14:textId="4D1E22CF" w:rsidR="00FC4119" w:rsidRPr="00F171A3" w:rsidRDefault="006C5AB5" w:rsidP="005F06F6">
            <w:pPr>
              <w:spacing w:after="0"/>
              <w:jc w:val="left"/>
              <w:rPr>
                <w:rFonts w:eastAsia="Calibri" w:cstheme="minorHAnsi"/>
                <w:szCs w:val="20"/>
              </w:rPr>
            </w:pPr>
            <w:r>
              <w:rPr>
                <w:rFonts w:eastAsia="Calibri" w:cstheme="minorHAnsi"/>
                <w:szCs w:val="20"/>
              </w:rPr>
              <w:t>42</w:t>
            </w:r>
          </w:p>
        </w:tc>
      </w:tr>
      <w:tr w:rsidR="00FC4119" w:rsidRPr="00F171A3" w14:paraId="4F8EF6FD"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092E226C"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49EB45ED" w14:textId="77777777" w:rsidR="00FC4119" w:rsidRPr="00F171A3" w:rsidRDefault="00FC4119" w:rsidP="005F06F6">
            <w:pPr>
              <w:rPr>
                <w:rFonts w:eastAsia="Calibri" w:cstheme="minorHAnsi"/>
                <w:szCs w:val="20"/>
              </w:rPr>
            </w:pPr>
            <w:r w:rsidRPr="00F171A3">
              <w:rPr>
                <w:rFonts w:eastAsia="Calibri" w:cstheme="minorHAnsi"/>
                <w:szCs w:val="20"/>
              </w:rPr>
              <w:t>Număr parcări de transfer P&amp;R</w:t>
            </w:r>
          </w:p>
          <w:p w14:paraId="61E673E1" w14:textId="77777777" w:rsidR="00FC4119" w:rsidRPr="00F171A3" w:rsidRDefault="00FC4119" w:rsidP="005F06F6">
            <w:pPr>
              <w:rPr>
                <w:rFonts w:eastAsia="Calibri" w:cstheme="minorHAnsi"/>
                <w:szCs w:val="20"/>
              </w:rPr>
            </w:pPr>
          </w:p>
          <w:p w14:paraId="60F87652" w14:textId="77777777" w:rsidR="00FC4119" w:rsidRPr="00F171A3" w:rsidRDefault="00FC4119" w:rsidP="005F06F6">
            <w:pPr>
              <w:spacing w:after="0"/>
              <w:rPr>
                <w:rFonts w:eastAsia="Calibri" w:cstheme="minorHAnsi"/>
                <w:szCs w:val="20"/>
              </w:rPr>
            </w:pPr>
          </w:p>
        </w:tc>
        <w:tc>
          <w:tcPr>
            <w:tcW w:w="1092" w:type="pct"/>
            <w:vAlign w:val="center"/>
          </w:tcPr>
          <w:p w14:paraId="36E02419" w14:textId="77777777" w:rsidR="00FC4119" w:rsidRPr="00F171A3" w:rsidRDefault="00FC4119" w:rsidP="005F06F6">
            <w:pPr>
              <w:spacing w:after="0"/>
              <w:rPr>
                <w:rFonts w:eastAsia="Calibri" w:cstheme="minorHAnsi"/>
                <w:szCs w:val="20"/>
              </w:rPr>
            </w:pPr>
            <w:r w:rsidRPr="00F171A3">
              <w:rPr>
                <w:rFonts w:eastAsia="Calibri" w:cstheme="minorHAnsi"/>
                <w:szCs w:val="20"/>
              </w:rPr>
              <w:t>1 (Cora Pantelimon)</w:t>
            </w:r>
          </w:p>
        </w:tc>
        <w:tc>
          <w:tcPr>
            <w:tcW w:w="1092" w:type="pct"/>
            <w:vAlign w:val="center"/>
          </w:tcPr>
          <w:p w14:paraId="4FD593AB" w14:textId="77777777" w:rsidR="00FC4119" w:rsidRPr="00F171A3" w:rsidRDefault="00FC4119" w:rsidP="005F06F6">
            <w:pPr>
              <w:spacing w:after="0"/>
              <w:rPr>
                <w:rFonts w:eastAsia="Calibri" w:cstheme="minorHAnsi"/>
                <w:szCs w:val="20"/>
              </w:rPr>
            </w:pPr>
            <w:r w:rsidRPr="00F171A3">
              <w:rPr>
                <w:rFonts w:eastAsia="Calibri" w:cstheme="minorHAnsi"/>
                <w:szCs w:val="20"/>
              </w:rPr>
              <w:t>4 (Pantelimon, Colentina-CF, Petricani-A3, Pipera)</w:t>
            </w:r>
          </w:p>
        </w:tc>
      </w:tr>
      <w:tr w:rsidR="00FC4119" w:rsidRPr="00F171A3" w14:paraId="747BB73D"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3AA62905" w14:textId="77777777" w:rsidR="00FC4119" w:rsidRPr="00F171A3" w:rsidRDefault="00FC4119" w:rsidP="005F06F6">
            <w:pPr>
              <w:spacing w:after="0"/>
              <w:rPr>
                <w:rFonts w:cstheme="minorHAnsi"/>
                <w:bCs/>
                <w:color w:val="FFFFFF" w:themeColor="background1"/>
                <w:szCs w:val="20"/>
              </w:rPr>
            </w:pPr>
          </w:p>
        </w:tc>
        <w:tc>
          <w:tcPr>
            <w:tcW w:w="1574" w:type="pct"/>
            <w:vAlign w:val="center"/>
          </w:tcPr>
          <w:p w14:paraId="138067E1"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 xml:space="preserve">Gări multimodale conectate la trenul metropolitan și transportul public </w:t>
            </w:r>
          </w:p>
        </w:tc>
        <w:tc>
          <w:tcPr>
            <w:tcW w:w="1092" w:type="pct"/>
            <w:vAlign w:val="center"/>
          </w:tcPr>
          <w:p w14:paraId="401DEC05"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0</w:t>
            </w:r>
          </w:p>
        </w:tc>
        <w:tc>
          <w:tcPr>
            <w:tcW w:w="1092" w:type="pct"/>
            <w:vAlign w:val="center"/>
          </w:tcPr>
          <w:p w14:paraId="56F44804" w14:textId="77777777" w:rsidR="00FC4119" w:rsidRPr="00F171A3" w:rsidRDefault="00FC4119" w:rsidP="005F06F6">
            <w:pPr>
              <w:spacing w:after="0"/>
              <w:jc w:val="left"/>
              <w:rPr>
                <w:rFonts w:eastAsia="Calibri" w:cstheme="minorHAnsi"/>
                <w:szCs w:val="20"/>
              </w:rPr>
            </w:pPr>
            <w:r w:rsidRPr="00F171A3">
              <w:rPr>
                <w:rFonts w:eastAsia="Calibri" w:cstheme="minorHAnsi"/>
                <w:szCs w:val="20"/>
              </w:rPr>
              <w:t>3 (Gara Obor, Dobroiești/Fundeni, Pipera)</w:t>
            </w:r>
          </w:p>
        </w:tc>
      </w:tr>
      <w:tr w:rsidR="00FC4119" w:rsidRPr="00F171A3" w14:paraId="0D15230E" w14:textId="77777777" w:rsidTr="00FC4119">
        <w:trPr>
          <w:cnfStyle w:val="000000100000" w:firstRow="0" w:lastRow="0" w:firstColumn="0" w:lastColumn="0" w:oddVBand="0" w:evenVBand="0" w:oddHBand="1" w:evenHBand="0" w:firstRowFirstColumn="0" w:firstRowLastColumn="0" w:lastRowFirstColumn="0" w:lastRowLastColumn="0"/>
          <w:trHeight w:val="611"/>
        </w:trPr>
        <w:tc>
          <w:tcPr>
            <w:tcW w:w="5000" w:type="pct"/>
            <w:gridSpan w:val="4"/>
            <w:shd w:val="clear" w:color="auto" w:fill="134753" w:themeFill="accent2"/>
          </w:tcPr>
          <w:p w14:paraId="49318DAE" w14:textId="77777777" w:rsidR="00FC4119" w:rsidRPr="00F171A3" w:rsidRDefault="00FC4119" w:rsidP="005F06F6">
            <w:pPr>
              <w:pStyle w:val="Style2"/>
              <w:numPr>
                <w:ilvl w:val="0"/>
                <w:numId w:val="0"/>
              </w:numPr>
            </w:pPr>
            <w:bookmarkStart w:id="486" w:name="_Toc127199330"/>
            <w:r w:rsidRPr="00F171A3">
              <w:t>OBIECTIV STRATEGIC O4 -  ADMINISTRAȚIE PUBLICĂ LOCALĂ PERFORMANTĂ CE SPRIJINĂ DEZVOLTAREA DURABILĂ PRIN DESCHIDERE ȘI TRANSPARENȚĂ, ÎNCURAJAREA PARTICIPĂRII TUTUROR CETĂȚENILOR ÎN PROCESELE DE DECIZIE ȘI FOLOSIREA NOILOR TEHNOLOGII</w:t>
            </w:r>
            <w:bookmarkEnd w:id="486"/>
          </w:p>
        </w:tc>
      </w:tr>
      <w:tr w:rsidR="00FC4119" w:rsidRPr="00F171A3" w14:paraId="4A03B0AC"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val="restart"/>
            <w:shd w:val="clear" w:color="auto" w:fill="2897B1" w:themeFill="accent4" w:themeFillShade="80"/>
          </w:tcPr>
          <w:p w14:paraId="7EEE9790" w14:textId="2053B6DD"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 xml:space="preserve">O4.1. - Creșterea capacității administrative pentru a îmbunătăți și eficientiza mediul intern de lucru și a susține potențialul de dezvoltare al </w:t>
            </w:r>
            <w:r w:rsidR="00F171A3" w:rsidRPr="00F171A3">
              <w:rPr>
                <w:rFonts w:cstheme="minorHAnsi"/>
                <w:b/>
                <w:bCs/>
                <w:color w:val="FFFFFF" w:themeColor="background1"/>
              </w:rPr>
              <w:t>S</w:t>
            </w:r>
            <w:r w:rsidRPr="00F171A3">
              <w:rPr>
                <w:rFonts w:cstheme="minorHAnsi"/>
                <w:b/>
                <w:bCs/>
                <w:color w:val="FFFFFF" w:themeColor="background1"/>
              </w:rPr>
              <w:t>ector</w:t>
            </w:r>
            <w:r w:rsidR="00F171A3" w:rsidRPr="00F171A3">
              <w:rPr>
                <w:rFonts w:cstheme="minorHAnsi"/>
                <w:b/>
                <w:bCs/>
                <w:color w:val="FFFFFF" w:themeColor="background1"/>
              </w:rPr>
              <w:t>ului</w:t>
            </w:r>
            <w:r w:rsidRPr="00F171A3">
              <w:rPr>
                <w:rFonts w:cstheme="minorHAnsi"/>
                <w:b/>
                <w:bCs/>
                <w:color w:val="FFFFFF" w:themeColor="background1"/>
              </w:rPr>
              <w:t xml:space="preserve"> 2</w:t>
            </w:r>
          </w:p>
        </w:tc>
        <w:tc>
          <w:tcPr>
            <w:tcW w:w="1574" w:type="pct"/>
            <w:vAlign w:val="center"/>
          </w:tcPr>
          <w:p w14:paraId="22397A75" w14:textId="77777777" w:rsidR="00FC4119" w:rsidRPr="00F171A3" w:rsidRDefault="00FC4119" w:rsidP="005F06F6">
            <w:pPr>
              <w:spacing w:after="0"/>
              <w:rPr>
                <w:rFonts w:cstheme="minorHAnsi"/>
                <w:bCs/>
                <w:szCs w:val="20"/>
              </w:rPr>
            </w:pPr>
            <w:r w:rsidRPr="00F171A3">
              <w:rPr>
                <w:rFonts w:eastAsia="Calibri" w:cstheme="minorHAnsi"/>
                <w:szCs w:val="20"/>
              </w:rPr>
              <w:t>Grad execuție plan anual de formare (număr participanți)</w:t>
            </w:r>
          </w:p>
        </w:tc>
        <w:tc>
          <w:tcPr>
            <w:tcW w:w="1092" w:type="pct"/>
            <w:vAlign w:val="center"/>
          </w:tcPr>
          <w:p w14:paraId="121B99D2" w14:textId="77777777" w:rsidR="00FC4119" w:rsidRPr="00F171A3" w:rsidRDefault="00FC4119" w:rsidP="005F06F6">
            <w:pPr>
              <w:spacing w:after="0"/>
              <w:rPr>
                <w:rFonts w:cstheme="minorHAnsi"/>
                <w:bCs/>
                <w:szCs w:val="20"/>
              </w:rPr>
            </w:pPr>
            <w:r w:rsidRPr="00F171A3">
              <w:rPr>
                <w:rFonts w:eastAsia="Calibri" w:cstheme="minorHAnsi"/>
                <w:szCs w:val="20"/>
              </w:rPr>
              <w:t>58%</w:t>
            </w:r>
          </w:p>
        </w:tc>
        <w:tc>
          <w:tcPr>
            <w:tcW w:w="1092" w:type="pct"/>
            <w:vAlign w:val="center"/>
          </w:tcPr>
          <w:p w14:paraId="47E8D36C" w14:textId="77777777" w:rsidR="00FC4119" w:rsidRPr="00F171A3" w:rsidRDefault="00FC4119" w:rsidP="005F06F6">
            <w:pPr>
              <w:spacing w:after="0"/>
              <w:rPr>
                <w:rFonts w:cstheme="minorHAnsi"/>
                <w:bCs/>
                <w:szCs w:val="20"/>
              </w:rPr>
            </w:pPr>
            <w:r w:rsidRPr="00F171A3">
              <w:rPr>
                <w:rFonts w:eastAsia="Calibri" w:cstheme="minorHAnsi"/>
                <w:szCs w:val="20"/>
              </w:rPr>
              <w:t>90%</w:t>
            </w:r>
          </w:p>
        </w:tc>
      </w:tr>
      <w:tr w:rsidR="00FC4119" w:rsidRPr="00F171A3" w14:paraId="5B3001D8"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0A9D998B" w14:textId="77777777" w:rsidR="00FC4119" w:rsidRPr="00F171A3" w:rsidRDefault="00FC4119" w:rsidP="005F06F6">
            <w:pPr>
              <w:spacing w:after="0"/>
              <w:rPr>
                <w:rFonts w:cstheme="minorHAnsi"/>
                <w:b/>
                <w:bCs/>
                <w:color w:val="FFFFFF" w:themeColor="background1"/>
              </w:rPr>
            </w:pPr>
          </w:p>
        </w:tc>
        <w:tc>
          <w:tcPr>
            <w:tcW w:w="1574" w:type="pct"/>
            <w:vAlign w:val="center"/>
          </w:tcPr>
          <w:p w14:paraId="5B1821EA" w14:textId="77777777" w:rsidR="00FC4119" w:rsidRPr="00F171A3" w:rsidRDefault="00FC4119" w:rsidP="005F06F6">
            <w:pPr>
              <w:spacing w:after="0"/>
              <w:rPr>
                <w:rFonts w:cstheme="minorHAnsi"/>
                <w:bCs/>
                <w:szCs w:val="20"/>
              </w:rPr>
            </w:pPr>
            <w:r w:rsidRPr="00F171A3">
              <w:rPr>
                <w:rFonts w:eastAsia="Calibri" w:cstheme="minorHAnsi"/>
                <w:szCs w:val="20"/>
              </w:rPr>
              <w:t xml:space="preserve">Număr programe de schimburi de experiență </w:t>
            </w:r>
          </w:p>
        </w:tc>
        <w:tc>
          <w:tcPr>
            <w:tcW w:w="1092" w:type="pct"/>
            <w:vAlign w:val="center"/>
          </w:tcPr>
          <w:p w14:paraId="47DA0598"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12156E2A" w14:textId="77777777" w:rsidR="00FC4119" w:rsidRPr="00F171A3" w:rsidRDefault="00FC4119" w:rsidP="005F06F6">
            <w:pPr>
              <w:spacing w:after="0"/>
              <w:rPr>
                <w:rFonts w:cstheme="minorHAnsi"/>
                <w:bCs/>
                <w:szCs w:val="20"/>
              </w:rPr>
            </w:pPr>
            <w:r w:rsidRPr="00F171A3">
              <w:rPr>
                <w:rFonts w:eastAsia="Calibri" w:cstheme="minorHAnsi"/>
                <w:szCs w:val="20"/>
              </w:rPr>
              <w:t>5</w:t>
            </w:r>
          </w:p>
        </w:tc>
      </w:tr>
      <w:tr w:rsidR="00FC4119" w:rsidRPr="00F171A3" w14:paraId="122E338D"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5BC3AB56" w14:textId="77777777" w:rsidR="00FC4119" w:rsidRPr="00F171A3" w:rsidRDefault="00FC4119" w:rsidP="005F06F6">
            <w:pPr>
              <w:spacing w:after="0"/>
              <w:rPr>
                <w:rFonts w:cstheme="minorHAnsi"/>
                <w:b/>
                <w:bCs/>
                <w:color w:val="FFFFFF" w:themeColor="background1"/>
              </w:rPr>
            </w:pPr>
          </w:p>
        </w:tc>
        <w:tc>
          <w:tcPr>
            <w:tcW w:w="1574" w:type="pct"/>
            <w:vAlign w:val="center"/>
          </w:tcPr>
          <w:p w14:paraId="7C90E359" w14:textId="77777777" w:rsidR="00FC4119" w:rsidRPr="00F171A3" w:rsidRDefault="00FC4119" w:rsidP="005F06F6">
            <w:pPr>
              <w:spacing w:after="0"/>
              <w:rPr>
                <w:rFonts w:cstheme="minorHAnsi"/>
                <w:bCs/>
                <w:szCs w:val="20"/>
              </w:rPr>
            </w:pPr>
            <w:r w:rsidRPr="00F171A3">
              <w:rPr>
                <w:rFonts w:eastAsia="Calibri" w:cstheme="minorHAnsi"/>
                <w:szCs w:val="20"/>
              </w:rPr>
              <w:t>Strategie de simplificare administrativă la nivelul tuturor direcțiilor Primăriei și instituțiilor subordonate</w:t>
            </w:r>
          </w:p>
        </w:tc>
        <w:tc>
          <w:tcPr>
            <w:tcW w:w="1092" w:type="pct"/>
            <w:vAlign w:val="center"/>
          </w:tcPr>
          <w:p w14:paraId="5D6EB6C1"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7B65F9D4" w14:textId="77777777" w:rsidR="00FC4119" w:rsidRPr="00F171A3" w:rsidRDefault="00FC4119" w:rsidP="005F06F6">
            <w:pPr>
              <w:spacing w:after="0"/>
              <w:rPr>
                <w:rFonts w:cstheme="minorHAnsi"/>
                <w:bCs/>
                <w:szCs w:val="20"/>
              </w:rPr>
            </w:pPr>
            <w:r w:rsidRPr="00F171A3">
              <w:rPr>
                <w:rFonts w:eastAsia="Calibri" w:cstheme="minorHAnsi"/>
                <w:szCs w:val="20"/>
              </w:rPr>
              <w:t>1</w:t>
            </w:r>
          </w:p>
        </w:tc>
      </w:tr>
      <w:tr w:rsidR="00FC4119" w:rsidRPr="00F171A3" w14:paraId="50B046C8"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117C73AE" w14:textId="77777777" w:rsidR="00FC4119" w:rsidRPr="00F171A3" w:rsidRDefault="00FC4119" w:rsidP="005F06F6">
            <w:pPr>
              <w:spacing w:after="0"/>
              <w:rPr>
                <w:rFonts w:cstheme="minorHAnsi"/>
                <w:b/>
                <w:bCs/>
                <w:color w:val="FFFFFF" w:themeColor="background1"/>
              </w:rPr>
            </w:pPr>
          </w:p>
        </w:tc>
        <w:tc>
          <w:tcPr>
            <w:tcW w:w="1574" w:type="pct"/>
            <w:vAlign w:val="center"/>
          </w:tcPr>
          <w:p w14:paraId="6E6E8A50" w14:textId="77777777" w:rsidR="00FC4119" w:rsidRPr="00F171A3" w:rsidRDefault="00FC4119" w:rsidP="005F06F6">
            <w:pPr>
              <w:spacing w:after="0"/>
              <w:rPr>
                <w:rFonts w:cstheme="minorHAnsi"/>
                <w:bCs/>
                <w:szCs w:val="20"/>
              </w:rPr>
            </w:pPr>
            <w:r w:rsidRPr="00F171A3">
              <w:rPr>
                <w:rFonts w:eastAsia="Calibri" w:cstheme="minorHAnsi"/>
                <w:szCs w:val="20"/>
              </w:rPr>
              <w:t>Evaluare anuală a gradului de satisfacție a personalului față de mediul de lucru (implementare chestionar și indicatori grad de satisfacție)</w:t>
            </w:r>
          </w:p>
        </w:tc>
        <w:tc>
          <w:tcPr>
            <w:tcW w:w="1092" w:type="pct"/>
            <w:vAlign w:val="center"/>
          </w:tcPr>
          <w:p w14:paraId="21BD106E"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6D2C1F0E" w14:textId="77777777" w:rsidR="00FC4119" w:rsidRPr="00F171A3" w:rsidRDefault="00FC4119" w:rsidP="005F06F6">
            <w:pPr>
              <w:spacing w:after="0"/>
              <w:rPr>
                <w:rFonts w:cstheme="minorHAnsi"/>
                <w:bCs/>
                <w:szCs w:val="20"/>
              </w:rPr>
            </w:pPr>
            <w:r w:rsidRPr="00F171A3">
              <w:rPr>
                <w:rFonts w:eastAsia="Calibri" w:cstheme="minorHAnsi"/>
                <w:szCs w:val="20"/>
              </w:rPr>
              <w:t>1 (grad satisfacție 80 %)</w:t>
            </w:r>
          </w:p>
        </w:tc>
      </w:tr>
      <w:tr w:rsidR="00FC4119" w:rsidRPr="00F171A3" w14:paraId="6E0EBB5D"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159859AD" w14:textId="77777777" w:rsidR="00FC4119" w:rsidRPr="00F171A3" w:rsidRDefault="00FC4119" w:rsidP="005F06F6">
            <w:pPr>
              <w:spacing w:after="0"/>
              <w:rPr>
                <w:rFonts w:cstheme="minorHAnsi"/>
                <w:b/>
                <w:bCs/>
                <w:color w:val="FFFFFF" w:themeColor="background1"/>
              </w:rPr>
            </w:pPr>
          </w:p>
        </w:tc>
        <w:tc>
          <w:tcPr>
            <w:tcW w:w="1574" w:type="pct"/>
            <w:vAlign w:val="center"/>
          </w:tcPr>
          <w:p w14:paraId="10B4EE5C" w14:textId="77777777" w:rsidR="00FC4119" w:rsidRPr="00F171A3" w:rsidRDefault="00FC4119" w:rsidP="005F06F6">
            <w:pPr>
              <w:spacing w:after="0"/>
              <w:rPr>
                <w:rFonts w:cstheme="minorHAnsi"/>
                <w:bCs/>
                <w:szCs w:val="20"/>
              </w:rPr>
            </w:pPr>
            <w:r w:rsidRPr="00F171A3">
              <w:rPr>
                <w:rFonts w:eastAsia="Calibri" w:cstheme="minorHAnsi"/>
                <w:szCs w:val="20"/>
              </w:rPr>
              <w:t xml:space="preserve">Extinderea programelor de practică și internship (număr persoane înrolate) </w:t>
            </w:r>
          </w:p>
        </w:tc>
        <w:tc>
          <w:tcPr>
            <w:tcW w:w="1092" w:type="pct"/>
            <w:vAlign w:val="center"/>
          </w:tcPr>
          <w:p w14:paraId="0828EEDB" w14:textId="77777777" w:rsidR="00FC4119" w:rsidRPr="00F171A3" w:rsidRDefault="00FC4119" w:rsidP="005F06F6">
            <w:pPr>
              <w:spacing w:after="0"/>
              <w:rPr>
                <w:rFonts w:cstheme="minorHAnsi"/>
                <w:bCs/>
                <w:szCs w:val="20"/>
              </w:rPr>
            </w:pPr>
          </w:p>
        </w:tc>
        <w:tc>
          <w:tcPr>
            <w:tcW w:w="1092" w:type="pct"/>
            <w:vAlign w:val="center"/>
          </w:tcPr>
          <w:p w14:paraId="255FFA36" w14:textId="77777777" w:rsidR="00FC4119" w:rsidRPr="00F171A3" w:rsidRDefault="00FC4119" w:rsidP="005F06F6">
            <w:pPr>
              <w:spacing w:after="0"/>
              <w:rPr>
                <w:rFonts w:cstheme="minorHAnsi"/>
                <w:bCs/>
                <w:szCs w:val="20"/>
              </w:rPr>
            </w:pPr>
            <w:r w:rsidRPr="00F171A3">
              <w:rPr>
                <w:rFonts w:eastAsia="Calibri" w:cstheme="minorHAnsi"/>
                <w:szCs w:val="20"/>
              </w:rPr>
              <w:t>+100%</w:t>
            </w:r>
          </w:p>
        </w:tc>
      </w:tr>
      <w:tr w:rsidR="00FC4119" w:rsidRPr="00F171A3" w14:paraId="228B3AD5"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4636BF25" w14:textId="77777777" w:rsidR="00FC4119" w:rsidRPr="00F171A3" w:rsidRDefault="00FC4119" w:rsidP="005F06F6">
            <w:pPr>
              <w:spacing w:after="0"/>
              <w:rPr>
                <w:rFonts w:cstheme="minorHAnsi"/>
                <w:b/>
                <w:bCs/>
                <w:color w:val="FFFFFF" w:themeColor="background1"/>
              </w:rPr>
            </w:pPr>
          </w:p>
        </w:tc>
        <w:tc>
          <w:tcPr>
            <w:tcW w:w="1574" w:type="pct"/>
            <w:vAlign w:val="center"/>
          </w:tcPr>
          <w:p w14:paraId="3D4FB8B2" w14:textId="77777777" w:rsidR="00FC4119" w:rsidRPr="00F171A3" w:rsidRDefault="00FC4119" w:rsidP="005F06F6">
            <w:pPr>
              <w:spacing w:after="0"/>
              <w:rPr>
                <w:rFonts w:cstheme="minorHAnsi"/>
                <w:bCs/>
                <w:szCs w:val="20"/>
              </w:rPr>
            </w:pPr>
            <w:r w:rsidRPr="00F171A3">
              <w:rPr>
                <w:rFonts w:eastAsia="Calibri" w:cstheme="minorHAnsi"/>
                <w:szCs w:val="20"/>
              </w:rPr>
              <w:t>Sistem de arhivare electronică implementat la nivelul tuturor direcţiilor Primăriei</w:t>
            </w:r>
          </w:p>
        </w:tc>
        <w:tc>
          <w:tcPr>
            <w:tcW w:w="1092" w:type="pct"/>
            <w:vAlign w:val="center"/>
          </w:tcPr>
          <w:p w14:paraId="366D5EBB"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1CD7EC26" w14:textId="77777777" w:rsidR="00FC4119" w:rsidRPr="00F171A3" w:rsidRDefault="00FC4119" w:rsidP="005F06F6">
            <w:pPr>
              <w:spacing w:after="0"/>
              <w:rPr>
                <w:rFonts w:cstheme="minorHAnsi"/>
                <w:bCs/>
                <w:szCs w:val="20"/>
              </w:rPr>
            </w:pPr>
            <w:r w:rsidRPr="00F171A3">
              <w:rPr>
                <w:rFonts w:eastAsia="Calibri" w:cstheme="minorHAnsi"/>
                <w:szCs w:val="20"/>
              </w:rPr>
              <w:t>1</w:t>
            </w:r>
          </w:p>
        </w:tc>
      </w:tr>
      <w:tr w:rsidR="00FC4119" w:rsidRPr="00F171A3" w14:paraId="5BC1C3C1"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525CCCBA" w14:textId="77777777" w:rsidR="00FC4119" w:rsidRPr="00F171A3" w:rsidRDefault="00FC4119" w:rsidP="005F06F6">
            <w:pPr>
              <w:spacing w:after="0"/>
              <w:rPr>
                <w:rFonts w:cstheme="minorHAnsi"/>
                <w:b/>
                <w:bCs/>
                <w:color w:val="FFFFFF" w:themeColor="background1"/>
              </w:rPr>
            </w:pPr>
          </w:p>
        </w:tc>
        <w:tc>
          <w:tcPr>
            <w:tcW w:w="1574" w:type="pct"/>
            <w:vAlign w:val="center"/>
          </w:tcPr>
          <w:p w14:paraId="4D26E31F" w14:textId="6071CDD2" w:rsidR="00FC4119" w:rsidRPr="00F171A3" w:rsidRDefault="00FC4119" w:rsidP="005F06F6">
            <w:pPr>
              <w:spacing w:after="0"/>
              <w:rPr>
                <w:rFonts w:cstheme="minorHAnsi"/>
                <w:bCs/>
                <w:szCs w:val="20"/>
              </w:rPr>
            </w:pPr>
            <w:r w:rsidRPr="00F171A3">
              <w:rPr>
                <w:rFonts w:eastAsia="Calibri" w:cstheme="minorHAnsi"/>
                <w:szCs w:val="20"/>
              </w:rPr>
              <w:t>Evoluția planificării veniturilor în perioada 2021-2027 (planificare adoptare buget vs. execuție buge</w:t>
            </w:r>
            <w:r w:rsidR="00DC7D39">
              <w:rPr>
                <w:rFonts w:eastAsia="Calibri" w:cstheme="minorHAnsi"/>
                <w:szCs w:val="20"/>
              </w:rPr>
              <w:t>t</w:t>
            </w:r>
            <w:r w:rsidRPr="00F171A3">
              <w:rPr>
                <w:rFonts w:eastAsia="Calibri" w:cstheme="minorHAnsi"/>
                <w:szCs w:val="20"/>
              </w:rPr>
              <w:t>)</w:t>
            </w:r>
          </w:p>
        </w:tc>
        <w:tc>
          <w:tcPr>
            <w:tcW w:w="1092" w:type="pct"/>
            <w:vAlign w:val="center"/>
          </w:tcPr>
          <w:p w14:paraId="67E3F726" w14:textId="77777777" w:rsidR="00FC4119" w:rsidRPr="00F171A3" w:rsidRDefault="00FC4119" w:rsidP="005F06F6">
            <w:pPr>
              <w:spacing w:after="0"/>
              <w:rPr>
                <w:rFonts w:cstheme="minorHAnsi"/>
                <w:bCs/>
                <w:szCs w:val="20"/>
              </w:rPr>
            </w:pPr>
            <w:r w:rsidRPr="00F171A3">
              <w:rPr>
                <w:rFonts w:eastAsia="Calibri" w:cstheme="minorHAnsi"/>
                <w:szCs w:val="20"/>
              </w:rPr>
              <w:t>104.7%</w:t>
            </w:r>
          </w:p>
        </w:tc>
        <w:tc>
          <w:tcPr>
            <w:tcW w:w="1092" w:type="pct"/>
            <w:vAlign w:val="center"/>
          </w:tcPr>
          <w:p w14:paraId="2F8D534F" w14:textId="77777777" w:rsidR="00FC4119" w:rsidRPr="00F171A3" w:rsidRDefault="00FC4119" w:rsidP="005F06F6">
            <w:pPr>
              <w:spacing w:after="0"/>
              <w:rPr>
                <w:rFonts w:cstheme="minorHAnsi"/>
                <w:bCs/>
                <w:szCs w:val="20"/>
              </w:rPr>
            </w:pPr>
            <w:r w:rsidRPr="00F171A3">
              <w:rPr>
                <w:rFonts w:eastAsia="Calibri" w:cstheme="minorHAnsi"/>
                <w:szCs w:val="20"/>
              </w:rPr>
              <w:t>Min. 90%</w:t>
            </w:r>
          </w:p>
        </w:tc>
      </w:tr>
      <w:tr w:rsidR="00FC4119" w:rsidRPr="00F171A3" w14:paraId="0A70D877"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337FBCF3" w14:textId="77777777" w:rsidR="00FC4119" w:rsidRPr="00F171A3" w:rsidRDefault="00FC4119" w:rsidP="005F06F6">
            <w:pPr>
              <w:spacing w:after="0"/>
              <w:rPr>
                <w:rFonts w:cstheme="minorHAnsi"/>
                <w:b/>
                <w:bCs/>
                <w:color w:val="FFFFFF" w:themeColor="background1"/>
              </w:rPr>
            </w:pPr>
          </w:p>
        </w:tc>
        <w:tc>
          <w:tcPr>
            <w:tcW w:w="1574" w:type="pct"/>
            <w:vAlign w:val="center"/>
          </w:tcPr>
          <w:p w14:paraId="46807717" w14:textId="77777777" w:rsidR="00FC4119" w:rsidRPr="00F171A3" w:rsidRDefault="00FC4119" w:rsidP="005F06F6">
            <w:pPr>
              <w:spacing w:after="0"/>
              <w:rPr>
                <w:rFonts w:cstheme="minorHAnsi"/>
                <w:bCs/>
                <w:szCs w:val="20"/>
              </w:rPr>
            </w:pPr>
            <w:r w:rsidRPr="00F171A3">
              <w:rPr>
                <w:rFonts w:eastAsia="Calibri" w:cstheme="minorHAnsi"/>
                <w:szCs w:val="20"/>
              </w:rPr>
              <w:t>Creșterea veniturilor din fonduri europene nerambursabile (perioada 2022-2027 comparativ cu 2014-2021)</w:t>
            </w:r>
          </w:p>
        </w:tc>
        <w:tc>
          <w:tcPr>
            <w:tcW w:w="1092" w:type="pct"/>
            <w:vAlign w:val="center"/>
          </w:tcPr>
          <w:p w14:paraId="49658BC4" w14:textId="3F919C95" w:rsidR="00FC4119" w:rsidRPr="00F171A3" w:rsidRDefault="00FC4119" w:rsidP="005F06F6">
            <w:pPr>
              <w:spacing w:after="0"/>
              <w:rPr>
                <w:rFonts w:cstheme="minorHAnsi"/>
                <w:bCs/>
                <w:szCs w:val="20"/>
              </w:rPr>
            </w:pPr>
            <w:r w:rsidRPr="00F171A3">
              <w:rPr>
                <w:rFonts w:eastAsia="Calibri" w:cstheme="minorHAnsi"/>
                <w:szCs w:val="20"/>
              </w:rPr>
              <w:t xml:space="preserve">(aprox. 46.6 </w:t>
            </w:r>
            <w:r w:rsidR="00DC7D39" w:rsidRPr="00F171A3">
              <w:rPr>
                <w:rFonts w:eastAsia="Calibri" w:cstheme="minorHAnsi"/>
                <w:szCs w:val="20"/>
              </w:rPr>
              <w:t>milioane</w:t>
            </w:r>
            <w:r w:rsidRPr="00F171A3">
              <w:rPr>
                <w:rFonts w:eastAsia="Calibri" w:cstheme="minorHAnsi"/>
                <w:szCs w:val="20"/>
              </w:rPr>
              <w:t xml:space="preserve"> RON pentru perioada 2014-2021)</w:t>
            </w:r>
          </w:p>
        </w:tc>
        <w:tc>
          <w:tcPr>
            <w:tcW w:w="1092" w:type="pct"/>
            <w:vAlign w:val="center"/>
          </w:tcPr>
          <w:p w14:paraId="57AFB2F2" w14:textId="77777777" w:rsidR="00FC4119" w:rsidRPr="00F171A3" w:rsidRDefault="00FC4119" w:rsidP="005F06F6">
            <w:pPr>
              <w:spacing w:after="0"/>
              <w:rPr>
                <w:rFonts w:cstheme="minorHAnsi"/>
                <w:bCs/>
                <w:szCs w:val="20"/>
              </w:rPr>
            </w:pPr>
            <w:r w:rsidRPr="00F171A3">
              <w:rPr>
                <w:rFonts w:eastAsia="Calibri" w:cstheme="minorHAnsi"/>
                <w:szCs w:val="20"/>
              </w:rPr>
              <w:t>+300%</w:t>
            </w:r>
          </w:p>
        </w:tc>
      </w:tr>
      <w:tr w:rsidR="00FC4119" w:rsidRPr="00F171A3" w14:paraId="31B8E6D1"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262D0BF3" w14:textId="77777777" w:rsidR="00FC4119" w:rsidRPr="00F171A3" w:rsidRDefault="00FC4119" w:rsidP="005F06F6">
            <w:pPr>
              <w:spacing w:after="0"/>
              <w:rPr>
                <w:rFonts w:cstheme="minorHAnsi"/>
                <w:b/>
                <w:bCs/>
                <w:color w:val="FFFFFF" w:themeColor="background1"/>
              </w:rPr>
            </w:pPr>
          </w:p>
        </w:tc>
        <w:tc>
          <w:tcPr>
            <w:tcW w:w="1574" w:type="pct"/>
            <w:vAlign w:val="center"/>
          </w:tcPr>
          <w:p w14:paraId="29301E07" w14:textId="77777777" w:rsidR="00FC4119" w:rsidRPr="00F171A3" w:rsidRDefault="00FC4119" w:rsidP="005F06F6">
            <w:pPr>
              <w:spacing w:after="0"/>
              <w:rPr>
                <w:rFonts w:cstheme="minorHAnsi"/>
                <w:bCs/>
                <w:szCs w:val="20"/>
              </w:rPr>
            </w:pPr>
            <w:r w:rsidRPr="00F171A3">
              <w:rPr>
                <w:rFonts w:eastAsia="Calibri" w:cstheme="minorHAnsi"/>
                <w:szCs w:val="20"/>
              </w:rPr>
              <w:t>Creștere procentuală a veniturilor proprii totale ale administrației publice</w:t>
            </w:r>
          </w:p>
        </w:tc>
        <w:tc>
          <w:tcPr>
            <w:tcW w:w="1092" w:type="pct"/>
            <w:vAlign w:val="center"/>
          </w:tcPr>
          <w:p w14:paraId="35FCC796" w14:textId="77777777" w:rsidR="00FC4119" w:rsidRPr="00F171A3" w:rsidRDefault="00FC4119" w:rsidP="005F06F6">
            <w:pPr>
              <w:spacing w:after="0"/>
              <w:rPr>
                <w:rFonts w:cstheme="minorHAnsi"/>
                <w:bCs/>
                <w:szCs w:val="20"/>
              </w:rPr>
            </w:pPr>
            <w:r w:rsidRPr="00F171A3">
              <w:rPr>
                <w:rFonts w:eastAsia="Calibri" w:cstheme="minorHAnsi"/>
                <w:szCs w:val="20"/>
              </w:rPr>
              <w:t>(aprox. 963 milioane RON)</w:t>
            </w:r>
          </w:p>
        </w:tc>
        <w:tc>
          <w:tcPr>
            <w:tcW w:w="1092" w:type="pct"/>
            <w:vAlign w:val="center"/>
          </w:tcPr>
          <w:p w14:paraId="3D81A58D" w14:textId="77777777" w:rsidR="00FC4119" w:rsidRPr="00F171A3" w:rsidRDefault="00FC4119" w:rsidP="005F06F6">
            <w:pPr>
              <w:spacing w:after="0"/>
              <w:rPr>
                <w:rFonts w:cstheme="minorHAnsi"/>
                <w:bCs/>
                <w:szCs w:val="20"/>
              </w:rPr>
            </w:pPr>
            <w:r w:rsidRPr="00F171A3">
              <w:rPr>
                <w:rFonts w:eastAsia="Calibri" w:cstheme="minorHAnsi"/>
                <w:szCs w:val="20"/>
              </w:rPr>
              <w:t>+50%</w:t>
            </w:r>
          </w:p>
        </w:tc>
      </w:tr>
      <w:tr w:rsidR="00FC4119" w:rsidRPr="00F171A3" w14:paraId="69D3F45D"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1D7BBC8A" w14:textId="77777777" w:rsidR="00FC4119" w:rsidRPr="00F171A3" w:rsidRDefault="00FC4119" w:rsidP="005F06F6">
            <w:pPr>
              <w:spacing w:after="0"/>
              <w:rPr>
                <w:rFonts w:cstheme="minorHAnsi"/>
                <w:b/>
                <w:bCs/>
                <w:color w:val="FFFFFF" w:themeColor="background1"/>
              </w:rPr>
            </w:pPr>
          </w:p>
        </w:tc>
        <w:tc>
          <w:tcPr>
            <w:tcW w:w="1574" w:type="pct"/>
            <w:vAlign w:val="center"/>
          </w:tcPr>
          <w:p w14:paraId="2EFCC117" w14:textId="77777777" w:rsidR="00FC4119" w:rsidRPr="00F171A3" w:rsidRDefault="00FC4119" w:rsidP="005F06F6">
            <w:pPr>
              <w:spacing w:after="0"/>
              <w:rPr>
                <w:rFonts w:cstheme="minorHAnsi"/>
                <w:bCs/>
                <w:szCs w:val="20"/>
              </w:rPr>
            </w:pPr>
            <w:r w:rsidRPr="00F171A3">
              <w:rPr>
                <w:rFonts w:eastAsia="Calibri" w:cstheme="minorHAnsi"/>
                <w:szCs w:val="20"/>
              </w:rPr>
              <w:t>Creştere procentuală a veniturilor administraţiei publice</w:t>
            </w:r>
          </w:p>
        </w:tc>
        <w:tc>
          <w:tcPr>
            <w:tcW w:w="1092" w:type="pct"/>
            <w:vAlign w:val="center"/>
          </w:tcPr>
          <w:p w14:paraId="318869B8" w14:textId="77777777" w:rsidR="00FC4119" w:rsidRPr="00F171A3" w:rsidRDefault="00FC4119" w:rsidP="005F06F6">
            <w:pPr>
              <w:spacing w:after="0"/>
              <w:rPr>
                <w:rFonts w:cstheme="minorHAnsi"/>
                <w:bCs/>
                <w:szCs w:val="20"/>
              </w:rPr>
            </w:pPr>
            <w:r w:rsidRPr="00F171A3">
              <w:rPr>
                <w:rFonts w:eastAsia="Calibri" w:cstheme="minorHAnsi"/>
                <w:szCs w:val="20"/>
              </w:rPr>
              <w:t>(aprox. 1,159 milioane RON)</w:t>
            </w:r>
          </w:p>
        </w:tc>
        <w:tc>
          <w:tcPr>
            <w:tcW w:w="1092" w:type="pct"/>
            <w:vAlign w:val="center"/>
          </w:tcPr>
          <w:p w14:paraId="594C93EE" w14:textId="77777777" w:rsidR="00FC4119" w:rsidRPr="00F171A3" w:rsidRDefault="00FC4119" w:rsidP="005F06F6">
            <w:pPr>
              <w:spacing w:after="0"/>
              <w:rPr>
                <w:rFonts w:cstheme="minorHAnsi"/>
                <w:bCs/>
                <w:szCs w:val="20"/>
              </w:rPr>
            </w:pPr>
            <w:r w:rsidRPr="00F171A3">
              <w:rPr>
                <w:rFonts w:eastAsia="Calibri" w:cstheme="minorHAnsi"/>
                <w:szCs w:val="20"/>
              </w:rPr>
              <w:t>+30%</w:t>
            </w:r>
          </w:p>
        </w:tc>
      </w:tr>
      <w:tr w:rsidR="00FC4119" w:rsidRPr="00F171A3" w14:paraId="2E776F44"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03528B00" w14:textId="77777777" w:rsidR="00FC4119" w:rsidRPr="00F171A3" w:rsidRDefault="00FC4119" w:rsidP="005F06F6">
            <w:pPr>
              <w:spacing w:after="0"/>
              <w:rPr>
                <w:rFonts w:cstheme="minorHAnsi"/>
                <w:b/>
                <w:bCs/>
                <w:color w:val="FFFFFF" w:themeColor="background1"/>
              </w:rPr>
            </w:pPr>
          </w:p>
        </w:tc>
        <w:tc>
          <w:tcPr>
            <w:tcW w:w="1574" w:type="pct"/>
            <w:vAlign w:val="center"/>
          </w:tcPr>
          <w:p w14:paraId="10AB321B" w14:textId="09262AF3" w:rsidR="00FC4119" w:rsidRPr="00F171A3" w:rsidRDefault="00FC4119" w:rsidP="005F06F6">
            <w:pPr>
              <w:spacing w:after="0"/>
              <w:rPr>
                <w:rFonts w:cstheme="minorHAnsi"/>
                <w:bCs/>
                <w:szCs w:val="20"/>
              </w:rPr>
            </w:pPr>
          </w:p>
        </w:tc>
        <w:tc>
          <w:tcPr>
            <w:tcW w:w="1092" w:type="pct"/>
            <w:vAlign w:val="center"/>
          </w:tcPr>
          <w:p w14:paraId="12ADE4A5" w14:textId="7A0660F9" w:rsidR="00FC4119" w:rsidRPr="00F171A3" w:rsidRDefault="00FC4119" w:rsidP="005F06F6">
            <w:pPr>
              <w:spacing w:after="0"/>
              <w:rPr>
                <w:rFonts w:cstheme="minorHAnsi"/>
                <w:bCs/>
                <w:szCs w:val="20"/>
              </w:rPr>
            </w:pPr>
          </w:p>
        </w:tc>
        <w:tc>
          <w:tcPr>
            <w:tcW w:w="1092" w:type="pct"/>
            <w:vAlign w:val="center"/>
          </w:tcPr>
          <w:p w14:paraId="34294637" w14:textId="419386B0" w:rsidR="00FC4119" w:rsidRPr="00F171A3" w:rsidRDefault="00FC4119" w:rsidP="005F06F6">
            <w:pPr>
              <w:spacing w:after="0"/>
              <w:rPr>
                <w:rFonts w:cstheme="minorHAnsi"/>
                <w:bCs/>
                <w:szCs w:val="20"/>
              </w:rPr>
            </w:pPr>
          </w:p>
        </w:tc>
      </w:tr>
      <w:tr w:rsidR="00FC4119" w:rsidRPr="00F171A3" w14:paraId="4EC86594"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val="restart"/>
            <w:shd w:val="clear" w:color="auto" w:fill="2897B1" w:themeFill="accent4" w:themeFillShade="80"/>
          </w:tcPr>
          <w:p w14:paraId="36F461E4" w14:textId="77777777" w:rsidR="00FC4119" w:rsidRPr="00F171A3" w:rsidRDefault="00FC4119" w:rsidP="005F06F6">
            <w:pPr>
              <w:spacing w:after="0"/>
              <w:rPr>
                <w:rFonts w:cstheme="minorHAnsi"/>
                <w:b/>
                <w:bCs/>
                <w:color w:val="FFFFFF" w:themeColor="background1"/>
              </w:rPr>
            </w:pPr>
            <w:r w:rsidRPr="00F171A3">
              <w:rPr>
                <w:rFonts w:cstheme="minorHAnsi"/>
                <w:b/>
                <w:bCs/>
                <w:color w:val="FFFFFF" w:themeColor="background1"/>
              </w:rPr>
              <w:t>O4.2. -  Orientarea administrației către cetățean și comunitate prin asumarea unei guvernări deschise, transparente, inclusive și responsabile</w:t>
            </w:r>
          </w:p>
        </w:tc>
        <w:tc>
          <w:tcPr>
            <w:tcW w:w="1574" w:type="pct"/>
            <w:vAlign w:val="center"/>
          </w:tcPr>
          <w:p w14:paraId="585C27AA" w14:textId="77777777" w:rsidR="00FC4119" w:rsidRPr="00F171A3" w:rsidRDefault="00FC4119" w:rsidP="005F06F6">
            <w:pPr>
              <w:spacing w:after="0"/>
              <w:rPr>
                <w:rFonts w:cstheme="minorHAnsi"/>
                <w:bCs/>
                <w:szCs w:val="20"/>
              </w:rPr>
            </w:pPr>
            <w:r w:rsidRPr="00F171A3">
              <w:rPr>
                <w:rFonts w:eastAsia="Calibri" w:cstheme="minorHAnsi"/>
                <w:szCs w:val="20"/>
              </w:rPr>
              <w:t xml:space="preserve">Derularea de programe de bugetare participativă  </w:t>
            </w:r>
          </w:p>
        </w:tc>
        <w:tc>
          <w:tcPr>
            <w:tcW w:w="1092" w:type="pct"/>
            <w:vAlign w:val="center"/>
          </w:tcPr>
          <w:p w14:paraId="626A9BAB"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2EE2D314" w14:textId="77777777" w:rsidR="00FC4119" w:rsidRPr="00F171A3" w:rsidRDefault="00FC4119" w:rsidP="005F06F6">
            <w:pPr>
              <w:spacing w:after="0"/>
              <w:rPr>
                <w:rFonts w:cstheme="minorHAnsi"/>
                <w:bCs/>
                <w:szCs w:val="20"/>
              </w:rPr>
            </w:pPr>
            <w:r w:rsidRPr="00F171A3">
              <w:rPr>
                <w:rFonts w:eastAsia="Calibri" w:cstheme="minorHAnsi"/>
                <w:szCs w:val="20"/>
              </w:rPr>
              <w:t>2</w:t>
            </w:r>
          </w:p>
        </w:tc>
      </w:tr>
      <w:tr w:rsidR="00FC4119" w:rsidRPr="00F171A3" w14:paraId="49464703" w14:textId="77777777" w:rsidTr="00FC4119">
        <w:trPr>
          <w:cnfStyle w:val="000000010000" w:firstRow="0" w:lastRow="0" w:firstColumn="0" w:lastColumn="0" w:oddVBand="0" w:evenVBand="0" w:oddHBand="0" w:evenHBand="1" w:firstRowFirstColumn="0" w:firstRowLastColumn="0" w:lastRowFirstColumn="0" w:lastRowLastColumn="0"/>
          <w:trHeight w:val="269"/>
        </w:trPr>
        <w:tc>
          <w:tcPr>
            <w:tcW w:w="1241" w:type="pct"/>
            <w:vMerge/>
            <w:shd w:val="clear" w:color="auto" w:fill="2897B1" w:themeFill="accent4" w:themeFillShade="80"/>
          </w:tcPr>
          <w:p w14:paraId="78EDCB42" w14:textId="77777777" w:rsidR="00FC4119" w:rsidRPr="00F171A3" w:rsidRDefault="00FC4119" w:rsidP="005F06F6">
            <w:pPr>
              <w:spacing w:after="0"/>
              <w:rPr>
                <w:rFonts w:cstheme="minorHAnsi"/>
                <w:b/>
                <w:bCs/>
                <w:color w:val="FF0000"/>
              </w:rPr>
            </w:pPr>
          </w:p>
        </w:tc>
        <w:tc>
          <w:tcPr>
            <w:tcW w:w="1574" w:type="pct"/>
            <w:vAlign w:val="center"/>
          </w:tcPr>
          <w:p w14:paraId="559BA3C7" w14:textId="77777777" w:rsidR="00FC4119" w:rsidRPr="00F171A3" w:rsidRDefault="00FC4119" w:rsidP="005F06F6">
            <w:pPr>
              <w:spacing w:after="0"/>
              <w:rPr>
                <w:rFonts w:cstheme="minorHAnsi"/>
                <w:bCs/>
                <w:szCs w:val="20"/>
              </w:rPr>
            </w:pPr>
            <w:r w:rsidRPr="00F171A3">
              <w:rPr>
                <w:rFonts w:eastAsia="Calibri" w:cstheme="minorHAnsi"/>
                <w:szCs w:val="20"/>
              </w:rPr>
              <w:t>Număr parteneriate cu actorii resursă la nivel local (ONG, mediul academic, grupuri civice)</w:t>
            </w:r>
          </w:p>
        </w:tc>
        <w:tc>
          <w:tcPr>
            <w:tcW w:w="1092" w:type="pct"/>
            <w:vAlign w:val="center"/>
          </w:tcPr>
          <w:p w14:paraId="4EE6EC6C" w14:textId="77777777" w:rsidR="00FC4119" w:rsidRPr="00F171A3" w:rsidRDefault="00FC4119" w:rsidP="005F06F6">
            <w:pPr>
              <w:spacing w:after="0"/>
              <w:rPr>
                <w:rFonts w:cstheme="minorHAnsi"/>
                <w:bCs/>
                <w:szCs w:val="20"/>
              </w:rPr>
            </w:pPr>
            <w:r w:rsidRPr="00F171A3">
              <w:rPr>
                <w:rFonts w:cstheme="minorHAnsi"/>
                <w:bCs/>
                <w:szCs w:val="20"/>
              </w:rPr>
              <w:t>-</w:t>
            </w:r>
          </w:p>
        </w:tc>
        <w:tc>
          <w:tcPr>
            <w:tcW w:w="1092" w:type="pct"/>
            <w:vAlign w:val="center"/>
          </w:tcPr>
          <w:p w14:paraId="0C08D0FE" w14:textId="77777777" w:rsidR="00FC4119" w:rsidRPr="00F171A3" w:rsidRDefault="00FC4119" w:rsidP="005F06F6">
            <w:pPr>
              <w:spacing w:after="0"/>
              <w:rPr>
                <w:rFonts w:cstheme="minorHAnsi"/>
                <w:bCs/>
                <w:szCs w:val="20"/>
              </w:rPr>
            </w:pPr>
            <w:r w:rsidRPr="00F171A3">
              <w:rPr>
                <w:rFonts w:eastAsia="Calibri" w:cstheme="minorHAnsi"/>
                <w:szCs w:val="20"/>
              </w:rPr>
              <w:t>+15</w:t>
            </w:r>
          </w:p>
        </w:tc>
      </w:tr>
      <w:tr w:rsidR="00FC4119" w:rsidRPr="00F171A3" w14:paraId="71900FA8"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281F1469" w14:textId="77777777" w:rsidR="00FC4119" w:rsidRPr="00F171A3" w:rsidRDefault="00FC4119" w:rsidP="005F06F6">
            <w:pPr>
              <w:spacing w:after="0"/>
              <w:rPr>
                <w:rFonts w:cstheme="minorHAnsi"/>
                <w:b/>
                <w:bCs/>
                <w:color w:val="FF0000"/>
              </w:rPr>
            </w:pPr>
          </w:p>
        </w:tc>
        <w:tc>
          <w:tcPr>
            <w:tcW w:w="1574" w:type="pct"/>
            <w:vAlign w:val="center"/>
          </w:tcPr>
          <w:p w14:paraId="4B5EBD36" w14:textId="77777777" w:rsidR="00FC4119" w:rsidRPr="00F171A3" w:rsidRDefault="00FC4119" w:rsidP="005F06F6">
            <w:pPr>
              <w:spacing w:after="0"/>
              <w:rPr>
                <w:rFonts w:cstheme="minorHAnsi"/>
                <w:bCs/>
                <w:szCs w:val="20"/>
              </w:rPr>
            </w:pPr>
            <w:r w:rsidRPr="00F171A3">
              <w:rPr>
                <w:rFonts w:eastAsia="Calibri" w:cstheme="minorHAnsi"/>
                <w:szCs w:val="20"/>
              </w:rPr>
              <w:t>Extinderea finanțării aferente programelor parte a Legii nr. 350 din 2 decembrie 2005 și simplificarea procesului de depunere, implementare și raportare a proiectelor.</w:t>
            </w:r>
          </w:p>
        </w:tc>
        <w:tc>
          <w:tcPr>
            <w:tcW w:w="1092" w:type="pct"/>
            <w:vAlign w:val="center"/>
          </w:tcPr>
          <w:p w14:paraId="0C8D9BE2" w14:textId="77777777" w:rsidR="00FC4119" w:rsidRPr="00F171A3" w:rsidRDefault="00FC4119" w:rsidP="005F06F6">
            <w:pPr>
              <w:spacing w:after="0"/>
              <w:rPr>
                <w:rFonts w:cstheme="minorHAnsi"/>
                <w:bCs/>
                <w:szCs w:val="20"/>
              </w:rPr>
            </w:pPr>
            <w:r w:rsidRPr="00F171A3">
              <w:rPr>
                <w:rFonts w:eastAsia="Calibri" w:cstheme="minorHAnsi"/>
                <w:szCs w:val="20"/>
              </w:rPr>
              <w:t>3,750,000 RON (an 2022)</w:t>
            </w:r>
          </w:p>
        </w:tc>
        <w:tc>
          <w:tcPr>
            <w:tcW w:w="1092" w:type="pct"/>
            <w:vAlign w:val="center"/>
          </w:tcPr>
          <w:p w14:paraId="2FA1E9B8" w14:textId="77777777" w:rsidR="00FC4119" w:rsidRPr="00F171A3" w:rsidRDefault="00FC4119" w:rsidP="005F06F6">
            <w:pPr>
              <w:spacing w:after="0"/>
              <w:rPr>
                <w:rFonts w:cstheme="minorHAnsi"/>
                <w:bCs/>
                <w:szCs w:val="20"/>
              </w:rPr>
            </w:pPr>
            <w:r w:rsidRPr="00F171A3">
              <w:rPr>
                <w:rFonts w:eastAsia="Calibri" w:cstheme="minorHAnsi"/>
                <w:szCs w:val="20"/>
              </w:rPr>
              <w:t>5,000,000 RON</w:t>
            </w:r>
          </w:p>
        </w:tc>
      </w:tr>
      <w:tr w:rsidR="00FC4119" w:rsidRPr="00F171A3" w14:paraId="212E19BF"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3EB59BBD" w14:textId="77777777" w:rsidR="00FC4119" w:rsidRPr="00F171A3" w:rsidRDefault="00FC4119" w:rsidP="005F06F6">
            <w:pPr>
              <w:spacing w:after="0"/>
              <w:rPr>
                <w:rFonts w:cstheme="minorHAnsi"/>
                <w:b/>
                <w:bCs/>
                <w:color w:val="FF0000"/>
              </w:rPr>
            </w:pPr>
          </w:p>
        </w:tc>
        <w:tc>
          <w:tcPr>
            <w:tcW w:w="1574" w:type="pct"/>
            <w:vAlign w:val="center"/>
          </w:tcPr>
          <w:p w14:paraId="5824774D" w14:textId="77777777" w:rsidR="00FC4119" w:rsidRPr="00F171A3" w:rsidRDefault="00FC4119" w:rsidP="005F06F6">
            <w:pPr>
              <w:spacing w:after="0"/>
              <w:rPr>
                <w:rFonts w:cstheme="minorHAnsi"/>
                <w:bCs/>
                <w:szCs w:val="20"/>
              </w:rPr>
            </w:pPr>
            <w:r w:rsidRPr="00F171A3">
              <w:rPr>
                <w:rFonts w:eastAsia="Calibri" w:cstheme="minorHAnsi"/>
                <w:szCs w:val="20"/>
              </w:rPr>
              <w:t>Sesiuni anuale de evaluare a satisfacţiei cetăţenilor (barometru extern)</w:t>
            </w:r>
          </w:p>
        </w:tc>
        <w:tc>
          <w:tcPr>
            <w:tcW w:w="1092" w:type="pct"/>
            <w:vAlign w:val="center"/>
          </w:tcPr>
          <w:p w14:paraId="0A01B66B"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7EBFDA7E" w14:textId="77777777" w:rsidR="00FC4119" w:rsidRPr="00F171A3" w:rsidRDefault="00FC4119" w:rsidP="005F06F6">
            <w:pPr>
              <w:spacing w:after="0"/>
              <w:rPr>
                <w:rFonts w:cstheme="minorHAnsi"/>
                <w:bCs/>
                <w:szCs w:val="20"/>
              </w:rPr>
            </w:pPr>
            <w:r w:rsidRPr="00F171A3">
              <w:rPr>
                <w:rFonts w:eastAsia="Calibri" w:cstheme="minorHAnsi"/>
                <w:szCs w:val="20"/>
              </w:rPr>
              <w:t>2</w:t>
            </w:r>
          </w:p>
        </w:tc>
      </w:tr>
      <w:tr w:rsidR="00FC4119" w:rsidRPr="00F171A3" w14:paraId="4215F776"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009E858A" w14:textId="77777777" w:rsidR="00FC4119" w:rsidRPr="00F171A3" w:rsidRDefault="00FC4119" w:rsidP="005F06F6">
            <w:pPr>
              <w:spacing w:after="0"/>
              <w:rPr>
                <w:rFonts w:cstheme="minorHAnsi"/>
                <w:b/>
                <w:bCs/>
                <w:color w:val="FF0000"/>
              </w:rPr>
            </w:pPr>
          </w:p>
        </w:tc>
        <w:tc>
          <w:tcPr>
            <w:tcW w:w="1574" w:type="pct"/>
            <w:vAlign w:val="center"/>
          </w:tcPr>
          <w:p w14:paraId="5C75A7BE" w14:textId="77777777" w:rsidR="00FC4119" w:rsidRPr="00F171A3" w:rsidRDefault="00FC4119" w:rsidP="005F06F6">
            <w:pPr>
              <w:spacing w:after="0"/>
              <w:rPr>
                <w:rFonts w:cstheme="minorHAnsi"/>
                <w:bCs/>
                <w:szCs w:val="20"/>
              </w:rPr>
            </w:pPr>
            <w:r w:rsidRPr="00F171A3">
              <w:rPr>
                <w:rFonts w:eastAsia="Calibri" w:cstheme="minorHAnsi"/>
                <w:szCs w:val="20"/>
              </w:rPr>
              <w:t>Întâlniri anuale organizate cu reprezentanţi ai  grupurilor civice, mediului de afaceri, academic şi public pentru prezentarea bugetului local și planurilor de investiții</w:t>
            </w:r>
          </w:p>
        </w:tc>
        <w:tc>
          <w:tcPr>
            <w:tcW w:w="1092" w:type="pct"/>
            <w:vAlign w:val="center"/>
          </w:tcPr>
          <w:p w14:paraId="28B10F19"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2B9D06AD" w14:textId="77777777" w:rsidR="00FC4119" w:rsidRPr="00F171A3" w:rsidRDefault="00FC4119" w:rsidP="005F06F6">
            <w:pPr>
              <w:spacing w:after="0"/>
              <w:rPr>
                <w:rFonts w:cstheme="minorHAnsi"/>
                <w:bCs/>
                <w:szCs w:val="20"/>
              </w:rPr>
            </w:pPr>
            <w:r w:rsidRPr="00F171A3">
              <w:rPr>
                <w:rFonts w:eastAsia="Calibri" w:cstheme="minorHAnsi"/>
                <w:szCs w:val="20"/>
              </w:rPr>
              <w:t>5</w:t>
            </w:r>
          </w:p>
        </w:tc>
      </w:tr>
      <w:tr w:rsidR="00FC4119" w:rsidRPr="00F171A3" w14:paraId="21C8677C"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5FC330D3" w14:textId="77777777" w:rsidR="00FC4119" w:rsidRPr="00F171A3" w:rsidRDefault="00FC4119" w:rsidP="005F06F6">
            <w:pPr>
              <w:spacing w:after="0"/>
              <w:rPr>
                <w:rFonts w:cstheme="minorHAnsi"/>
                <w:b/>
                <w:bCs/>
                <w:color w:val="FF0000"/>
              </w:rPr>
            </w:pPr>
          </w:p>
        </w:tc>
        <w:tc>
          <w:tcPr>
            <w:tcW w:w="1574" w:type="pct"/>
            <w:vAlign w:val="center"/>
          </w:tcPr>
          <w:p w14:paraId="5E34E904" w14:textId="77777777" w:rsidR="00FC4119" w:rsidRPr="00F171A3" w:rsidRDefault="00FC4119" w:rsidP="005F06F6">
            <w:pPr>
              <w:spacing w:after="0"/>
              <w:rPr>
                <w:rFonts w:cstheme="minorHAnsi"/>
                <w:bCs/>
                <w:szCs w:val="20"/>
              </w:rPr>
            </w:pPr>
            <w:r w:rsidRPr="00F171A3">
              <w:rPr>
                <w:rFonts w:eastAsia="Calibri" w:cstheme="minorHAnsi"/>
                <w:szCs w:val="20"/>
              </w:rPr>
              <w:t>Organizarea de programe tip hackatons</w:t>
            </w:r>
          </w:p>
        </w:tc>
        <w:tc>
          <w:tcPr>
            <w:tcW w:w="1092" w:type="pct"/>
            <w:vAlign w:val="center"/>
          </w:tcPr>
          <w:p w14:paraId="2EDC1A8B"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4CF3030A" w14:textId="77777777" w:rsidR="00FC4119" w:rsidRPr="00F171A3" w:rsidRDefault="00FC4119" w:rsidP="005F06F6">
            <w:pPr>
              <w:spacing w:after="0"/>
              <w:rPr>
                <w:rFonts w:cstheme="minorHAnsi"/>
                <w:bCs/>
                <w:szCs w:val="20"/>
              </w:rPr>
            </w:pPr>
            <w:r w:rsidRPr="00F171A3">
              <w:rPr>
                <w:rFonts w:eastAsia="Calibri" w:cstheme="minorHAnsi"/>
                <w:szCs w:val="20"/>
              </w:rPr>
              <w:t>2</w:t>
            </w:r>
          </w:p>
        </w:tc>
      </w:tr>
      <w:tr w:rsidR="00FC4119" w:rsidRPr="00F171A3" w14:paraId="11D39454"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2036B326" w14:textId="77777777" w:rsidR="00FC4119" w:rsidRPr="00F171A3" w:rsidRDefault="00FC4119" w:rsidP="005F06F6">
            <w:pPr>
              <w:spacing w:after="0"/>
              <w:rPr>
                <w:rFonts w:cstheme="minorHAnsi"/>
                <w:b/>
                <w:bCs/>
                <w:color w:val="FF0000"/>
              </w:rPr>
            </w:pPr>
          </w:p>
        </w:tc>
        <w:tc>
          <w:tcPr>
            <w:tcW w:w="1574" w:type="pct"/>
            <w:vAlign w:val="center"/>
          </w:tcPr>
          <w:p w14:paraId="6D838DFF" w14:textId="77777777" w:rsidR="00FC4119" w:rsidRPr="00F171A3" w:rsidRDefault="00FC4119" w:rsidP="005F06F6">
            <w:pPr>
              <w:spacing w:after="0"/>
              <w:rPr>
                <w:rFonts w:cstheme="minorHAnsi"/>
                <w:bCs/>
                <w:szCs w:val="20"/>
              </w:rPr>
            </w:pPr>
            <w:r w:rsidRPr="00F171A3">
              <w:rPr>
                <w:rFonts w:eastAsia="Calibri" w:cstheme="minorHAnsi"/>
                <w:szCs w:val="20"/>
              </w:rPr>
              <w:t>Publicarea de date publice deschise pe pagina proprie și data.gov.ro</w:t>
            </w:r>
          </w:p>
        </w:tc>
        <w:tc>
          <w:tcPr>
            <w:tcW w:w="1092" w:type="pct"/>
            <w:vAlign w:val="center"/>
          </w:tcPr>
          <w:p w14:paraId="6AEB5DA1" w14:textId="77777777" w:rsidR="00FC4119" w:rsidRPr="00F171A3" w:rsidRDefault="00FC4119" w:rsidP="005F06F6">
            <w:pPr>
              <w:spacing w:after="0"/>
              <w:rPr>
                <w:rFonts w:cstheme="minorHAnsi"/>
                <w:bCs/>
                <w:szCs w:val="20"/>
              </w:rPr>
            </w:pPr>
          </w:p>
        </w:tc>
        <w:tc>
          <w:tcPr>
            <w:tcW w:w="1092" w:type="pct"/>
            <w:vAlign w:val="center"/>
          </w:tcPr>
          <w:p w14:paraId="6273DC34" w14:textId="77777777" w:rsidR="00FC4119" w:rsidRPr="00F171A3" w:rsidRDefault="00FC4119" w:rsidP="005F06F6">
            <w:pPr>
              <w:spacing w:after="0"/>
              <w:rPr>
                <w:rFonts w:cstheme="minorHAnsi"/>
                <w:bCs/>
                <w:szCs w:val="20"/>
              </w:rPr>
            </w:pPr>
            <w:r w:rsidRPr="00F171A3">
              <w:rPr>
                <w:rFonts w:eastAsia="Calibri" w:cstheme="minorHAnsi"/>
                <w:szCs w:val="20"/>
              </w:rPr>
              <w:t>100%</w:t>
            </w:r>
          </w:p>
        </w:tc>
      </w:tr>
      <w:tr w:rsidR="00FC4119" w:rsidRPr="00F171A3" w14:paraId="180F3B87"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7CEE2165" w14:textId="77777777" w:rsidR="00FC4119" w:rsidRPr="00F171A3" w:rsidRDefault="00FC4119" w:rsidP="005F06F6">
            <w:pPr>
              <w:spacing w:after="0"/>
              <w:rPr>
                <w:rFonts w:cstheme="minorHAnsi"/>
                <w:b/>
                <w:bCs/>
                <w:color w:val="FF0000"/>
              </w:rPr>
            </w:pPr>
          </w:p>
        </w:tc>
        <w:tc>
          <w:tcPr>
            <w:tcW w:w="1574" w:type="pct"/>
            <w:vAlign w:val="center"/>
          </w:tcPr>
          <w:p w14:paraId="56841973" w14:textId="77777777" w:rsidR="00FC4119" w:rsidRPr="00F171A3" w:rsidRDefault="00FC4119" w:rsidP="005F06F6">
            <w:pPr>
              <w:spacing w:after="0"/>
              <w:rPr>
                <w:rFonts w:cstheme="minorHAnsi"/>
                <w:bCs/>
                <w:szCs w:val="20"/>
              </w:rPr>
            </w:pPr>
            <w:r w:rsidRPr="00F171A3">
              <w:rPr>
                <w:rFonts w:eastAsia="Calibri" w:cstheme="minorHAnsi"/>
                <w:szCs w:val="20"/>
              </w:rPr>
              <w:t>Accesibilizarea paginii web la nevoile persoanelor cu dizabilități</w:t>
            </w:r>
          </w:p>
        </w:tc>
        <w:tc>
          <w:tcPr>
            <w:tcW w:w="1092" w:type="pct"/>
            <w:vAlign w:val="center"/>
          </w:tcPr>
          <w:p w14:paraId="24D13110"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0853F5F4" w14:textId="77777777" w:rsidR="00FC4119" w:rsidRPr="00F171A3" w:rsidRDefault="00FC4119" w:rsidP="005F06F6">
            <w:pPr>
              <w:spacing w:after="0"/>
              <w:rPr>
                <w:rFonts w:cstheme="minorHAnsi"/>
                <w:bCs/>
                <w:szCs w:val="20"/>
              </w:rPr>
            </w:pPr>
            <w:r w:rsidRPr="00F171A3">
              <w:rPr>
                <w:rFonts w:eastAsia="Calibri" w:cstheme="minorHAnsi"/>
                <w:szCs w:val="20"/>
              </w:rPr>
              <w:t>1</w:t>
            </w:r>
          </w:p>
        </w:tc>
      </w:tr>
      <w:tr w:rsidR="00FC4119" w:rsidRPr="00F171A3" w14:paraId="3F8385D4"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1B6B7220" w14:textId="77777777" w:rsidR="00FC4119" w:rsidRPr="00F171A3" w:rsidRDefault="00FC4119" w:rsidP="005F06F6">
            <w:pPr>
              <w:spacing w:after="0"/>
              <w:rPr>
                <w:rFonts w:cstheme="minorHAnsi"/>
                <w:b/>
                <w:bCs/>
                <w:color w:val="FF0000"/>
              </w:rPr>
            </w:pPr>
          </w:p>
        </w:tc>
        <w:tc>
          <w:tcPr>
            <w:tcW w:w="1574" w:type="pct"/>
            <w:vAlign w:val="center"/>
          </w:tcPr>
          <w:p w14:paraId="0406056D" w14:textId="77777777" w:rsidR="00FC4119" w:rsidRPr="00F171A3" w:rsidRDefault="00FC4119" w:rsidP="005F06F6">
            <w:pPr>
              <w:spacing w:after="0"/>
              <w:rPr>
                <w:rFonts w:cstheme="minorHAnsi"/>
                <w:bCs/>
                <w:szCs w:val="20"/>
              </w:rPr>
            </w:pPr>
            <w:r w:rsidRPr="00F171A3">
              <w:rPr>
                <w:rFonts w:eastAsia="Calibri" w:cstheme="minorHAnsi"/>
                <w:szCs w:val="20"/>
              </w:rPr>
              <w:t>Adoptarea și implementarea Parteneriatului pentru o Guvernare deschisă la nivel local (minim 80% dintre recomandări)</w:t>
            </w:r>
          </w:p>
        </w:tc>
        <w:tc>
          <w:tcPr>
            <w:tcW w:w="1092" w:type="pct"/>
            <w:vAlign w:val="center"/>
          </w:tcPr>
          <w:p w14:paraId="760AEB3B" w14:textId="77777777" w:rsidR="00FC4119" w:rsidRPr="00F171A3" w:rsidRDefault="00FC4119" w:rsidP="005F06F6">
            <w:pPr>
              <w:spacing w:after="0"/>
              <w:rPr>
                <w:rFonts w:cstheme="minorHAnsi"/>
                <w:bCs/>
                <w:szCs w:val="20"/>
              </w:rPr>
            </w:pPr>
            <w:r w:rsidRPr="00F171A3">
              <w:rPr>
                <w:rFonts w:eastAsia="Calibri" w:cstheme="minorHAnsi"/>
                <w:szCs w:val="20"/>
              </w:rPr>
              <w:t>0</w:t>
            </w:r>
          </w:p>
        </w:tc>
        <w:tc>
          <w:tcPr>
            <w:tcW w:w="1092" w:type="pct"/>
            <w:vAlign w:val="center"/>
          </w:tcPr>
          <w:p w14:paraId="1BEF1EF6" w14:textId="77777777" w:rsidR="00FC4119" w:rsidRPr="00F171A3" w:rsidRDefault="00FC4119" w:rsidP="005F06F6">
            <w:pPr>
              <w:spacing w:after="0"/>
              <w:rPr>
                <w:rFonts w:cstheme="minorHAnsi"/>
                <w:bCs/>
                <w:szCs w:val="20"/>
              </w:rPr>
            </w:pPr>
            <w:r w:rsidRPr="00F171A3">
              <w:rPr>
                <w:rFonts w:eastAsia="Calibri" w:cstheme="minorHAnsi"/>
                <w:szCs w:val="20"/>
              </w:rPr>
              <w:t>1</w:t>
            </w:r>
          </w:p>
        </w:tc>
      </w:tr>
      <w:tr w:rsidR="00FC4119" w:rsidRPr="00F171A3" w14:paraId="640BE056"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33B1F447" w14:textId="77777777" w:rsidR="00FC4119" w:rsidRPr="00F171A3" w:rsidRDefault="00FC4119" w:rsidP="005F06F6">
            <w:pPr>
              <w:spacing w:after="0"/>
              <w:rPr>
                <w:rFonts w:cstheme="minorHAnsi"/>
                <w:b/>
                <w:bCs/>
                <w:color w:val="FF0000"/>
              </w:rPr>
            </w:pPr>
          </w:p>
        </w:tc>
        <w:tc>
          <w:tcPr>
            <w:tcW w:w="1574" w:type="pct"/>
            <w:vAlign w:val="center"/>
          </w:tcPr>
          <w:p w14:paraId="4CF50E9A" w14:textId="13EFD77A" w:rsidR="00FC4119" w:rsidRPr="00F171A3" w:rsidRDefault="00FC4119" w:rsidP="005F06F6">
            <w:pPr>
              <w:spacing w:after="0"/>
              <w:rPr>
                <w:rFonts w:cstheme="minorHAnsi"/>
                <w:bCs/>
                <w:szCs w:val="20"/>
              </w:rPr>
            </w:pPr>
            <w:r w:rsidRPr="00F171A3">
              <w:rPr>
                <w:rFonts w:eastAsia="Calibri"/>
                <w:szCs w:val="20"/>
              </w:rPr>
              <w:t>Hub de inovare și consultare publică coordonat de Primăria Sector</w:t>
            </w:r>
            <w:r w:rsidR="00F53B80" w:rsidRPr="00F171A3">
              <w:rPr>
                <w:rFonts w:eastAsia="Calibri"/>
                <w:szCs w:val="20"/>
              </w:rPr>
              <w:t>ului</w:t>
            </w:r>
            <w:r w:rsidRPr="00F171A3">
              <w:rPr>
                <w:rFonts w:eastAsia="Calibri"/>
                <w:szCs w:val="20"/>
              </w:rPr>
              <w:t xml:space="preserve"> 2 care să reunească actorii de la nivel local</w:t>
            </w:r>
          </w:p>
        </w:tc>
        <w:tc>
          <w:tcPr>
            <w:tcW w:w="1092" w:type="pct"/>
            <w:vAlign w:val="center"/>
          </w:tcPr>
          <w:p w14:paraId="703DF65F" w14:textId="77777777" w:rsidR="00FC4119" w:rsidRPr="00F171A3" w:rsidRDefault="00FC4119" w:rsidP="005F06F6">
            <w:pPr>
              <w:spacing w:after="0"/>
              <w:rPr>
                <w:rFonts w:cstheme="minorHAnsi"/>
                <w:bCs/>
                <w:szCs w:val="20"/>
              </w:rPr>
            </w:pPr>
            <w:r w:rsidRPr="00F171A3">
              <w:rPr>
                <w:rFonts w:eastAsia="Calibri"/>
                <w:szCs w:val="20"/>
              </w:rPr>
              <w:t>0</w:t>
            </w:r>
          </w:p>
        </w:tc>
        <w:tc>
          <w:tcPr>
            <w:tcW w:w="1092" w:type="pct"/>
            <w:vAlign w:val="center"/>
          </w:tcPr>
          <w:p w14:paraId="14217ED8" w14:textId="77777777" w:rsidR="00FC4119" w:rsidRPr="00F171A3" w:rsidRDefault="00FC4119" w:rsidP="005F06F6">
            <w:pPr>
              <w:spacing w:after="0"/>
              <w:rPr>
                <w:rFonts w:cstheme="minorHAnsi"/>
                <w:bCs/>
                <w:szCs w:val="20"/>
              </w:rPr>
            </w:pPr>
            <w:r w:rsidRPr="00F171A3">
              <w:rPr>
                <w:rFonts w:eastAsia="Calibri"/>
                <w:szCs w:val="20"/>
              </w:rPr>
              <w:t>1</w:t>
            </w:r>
          </w:p>
        </w:tc>
      </w:tr>
      <w:tr w:rsidR="00FC4119" w:rsidRPr="00F171A3" w14:paraId="1421DD91"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val="restart"/>
            <w:shd w:val="clear" w:color="auto" w:fill="2897B1" w:themeFill="accent4" w:themeFillShade="80"/>
          </w:tcPr>
          <w:p w14:paraId="36AA221A" w14:textId="77777777" w:rsidR="00FC4119" w:rsidRPr="00F171A3" w:rsidRDefault="00FC4119" w:rsidP="005F06F6">
            <w:pPr>
              <w:spacing w:after="0"/>
              <w:rPr>
                <w:rFonts w:cstheme="minorHAnsi"/>
                <w:b/>
                <w:bCs/>
                <w:color w:val="FF0000"/>
              </w:rPr>
            </w:pPr>
            <w:r w:rsidRPr="00F171A3">
              <w:rPr>
                <w:rFonts w:cstheme="minorHAnsi"/>
                <w:b/>
                <w:bCs/>
                <w:color w:val="FFFFFF" w:themeColor="background1"/>
              </w:rPr>
              <w:t>O4.3. - Guvernare locală inteligentă și îmbunătățirea capacității administrației publice de a răspunde și a se adapta transformărilor digitale în desfășurare</w:t>
            </w:r>
          </w:p>
        </w:tc>
        <w:tc>
          <w:tcPr>
            <w:tcW w:w="1574" w:type="pct"/>
            <w:vAlign w:val="center"/>
          </w:tcPr>
          <w:p w14:paraId="37EB17A3" w14:textId="77777777" w:rsidR="00FC4119" w:rsidRPr="00F171A3" w:rsidRDefault="00FC4119" w:rsidP="005F06F6">
            <w:pPr>
              <w:spacing w:after="0"/>
              <w:rPr>
                <w:rFonts w:cstheme="minorHAnsi"/>
                <w:bCs/>
                <w:szCs w:val="20"/>
              </w:rPr>
            </w:pPr>
            <w:r w:rsidRPr="00F171A3">
              <w:rPr>
                <w:rFonts w:eastAsia="Calibri"/>
                <w:szCs w:val="20"/>
              </w:rPr>
              <w:t>O strategie pentru extinderea serviciilor publice electronice și simplificarea relației dintre administrație și cetățeni</w:t>
            </w:r>
          </w:p>
        </w:tc>
        <w:tc>
          <w:tcPr>
            <w:tcW w:w="1092" w:type="pct"/>
            <w:vAlign w:val="center"/>
          </w:tcPr>
          <w:p w14:paraId="50F69A09" w14:textId="77777777" w:rsidR="00FC4119" w:rsidRPr="00F171A3" w:rsidRDefault="00FC4119" w:rsidP="005F06F6">
            <w:pPr>
              <w:spacing w:after="0"/>
              <w:rPr>
                <w:rFonts w:cstheme="minorHAnsi"/>
                <w:bCs/>
                <w:szCs w:val="20"/>
              </w:rPr>
            </w:pPr>
            <w:r w:rsidRPr="00F171A3">
              <w:rPr>
                <w:rFonts w:eastAsia="Calibri"/>
                <w:szCs w:val="20"/>
              </w:rPr>
              <w:t>0</w:t>
            </w:r>
          </w:p>
        </w:tc>
        <w:tc>
          <w:tcPr>
            <w:tcW w:w="1092" w:type="pct"/>
            <w:vAlign w:val="center"/>
          </w:tcPr>
          <w:p w14:paraId="1F803299" w14:textId="77777777" w:rsidR="00FC4119" w:rsidRPr="00F171A3" w:rsidRDefault="00FC4119" w:rsidP="005F06F6">
            <w:pPr>
              <w:spacing w:after="0"/>
              <w:rPr>
                <w:rFonts w:cstheme="minorHAnsi"/>
                <w:bCs/>
                <w:szCs w:val="20"/>
              </w:rPr>
            </w:pPr>
            <w:r w:rsidRPr="00F171A3">
              <w:rPr>
                <w:rFonts w:eastAsia="Calibri"/>
                <w:szCs w:val="20"/>
              </w:rPr>
              <w:t>1</w:t>
            </w:r>
          </w:p>
        </w:tc>
      </w:tr>
      <w:tr w:rsidR="00FC4119" w:rsidRPr="00F171A3" w14:paraId="7FA083C7"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723DD02D" w14:textId="77777777" w:rsidR="00FC4119" w:rsidRPr="00F171A3" w:rsidRDefault="00FC4119" w:rsidP="005F06F6">
            <w:pPr>
              <w:spacing w:after="0"/>
              <w:rPr>
                <w:rFonts w:cstheme="minorHAnsi"/>
                <w:bCs/>
                <w:color w:val="FF0000"/>
                <w:szCs w:val="20"/>
              </w:rPr>
            </w:pPr>
          </w:p>
        </w:tc>
        <w:tc>
          <w:tcPr>
            <w:tcW w:w="1574" w:type="pct"/>
            <w:vAlign w:val="center"/>
          </w:tcPr>
          <w:p w14:paraId="486839A5" w14:textId="0E1659A0" w:rsidR="00FC4119" w:rsidRPr="00F171A3" w:rsidRDefault="00FC4119" w:rsidP="005F06F6">
            <w:pPr>
              <w:spacing w:after="0"/>
              <w:rPr>
                <w:rFonts w:cstheme="minorHAnsi"/>
                <w:bCs/>
                <w:szCs w:val="20"/>
              </w:rPr>
            </w:pPr>
            <w:r w:rsidRPr="00F171A3">
              <w:rPr>
                <w:rFonts w:eastAsia="Calibri"/>
                <w:szCs w:val="20"/>
              </w:rPr>
              <w:t>Mecanism de evaluare anuală a serviciilor electronice oferite de Primăria Sector</w:t>
            </w:r>
            <w:r w:rsidR="00135D70" w:rsidRPr="00F171A3">
              <w:rPr>
                <w:rFonts w:eastAsia="Calibri"/>
                <w:szCs w:val="20"/>
              </w:rPr>
              <w:t>ului</w:t>
            </w:r>
            <w:r w:rsidRPr="00F171A3">
              <w:rPr>
                <w:rFonts w:eastAsia="Calibri"/>
                <w:szCs w:val="20"/>
              </w:rPr>
              <w:t xml:space="preserve"> 2 și ajustarea lor în funcție de feedback-ul utilizatorilor.</w:t>
            </w:r>
          </w:p>
        </w:tc>
        <w:tc>
          <w:tcPr>
            <w:tcW w:w="1092" w:type="pct"/>
            <w:vAlign w:val="center"/>
          </w:tcPr>
          <w:p w14:paraId="61784CFA" w14:textId="77777777" w:rsidR="00FC4119" w:rsidRPr="00F171A3" w:rsidRDefault="00FC4119" w:rsidP="005F06F6">
            <w:pPr>
              <w:spacing w:after="0"/>
              <w:rPr>
                <w:rFonts w:cstheme="minorHAnsi"/>
                <w:bCs/>
                <w:szCs w:val="20"/>
              </w:rPr>
            </w:pPr>
            <w:r w:rsidRPr="00F171A3">
              <w:rPr>
                <w:rFonts w:eastAsia="Calibri"/>
                <w:szCs w:val="20"/>
              </w:rPr>
              <w:t>0</w:t>
            </w:r>
          </w:p>
        </w:tc>
        <w:tc>
          <w:tcPr>
            <w:tcW w:w="1092" w:type="pct"/>
            <w:vAlign w:val="center"/>
          </w:tcPr>
          <w:p w14:paraId="5F2DEB16" w14:textId="77777777" w:rsidR="00FC4119" w:rsidRPr="00F171A3" w:rsidRDefault="00FC4119" w:rsidP="005F06F6">
            <w:pPr>
              <w:spacing w:after="0"/>
              <w:rPr>
                <w:rFonts w:cstheme="minorHAnsi"/>
                <w:bCs/>
                <w:szCs w:val="20"/>
              </w:rPr>
            </w:pPr>
            <w:r w:rsidRPr="00F171A3">
              <w:rPr>
                <w:rFonts w:eastAsia="Calibri"/>
                <w:szCs w:val="20"/>
              </w:rPr>
              <w:t>1</w:t>
            </w:r>
          </w:p>
        </w:tc>
      </w:tr>
      <w:tr w:rsidR="00FC4119" w:rsidRPr="00F171A3" w14:paraId="4EB1B181"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4BEC72DC" w14:textId="77777777" w:rsidR="00FC4119" w:rsidRPr="00F171A3" w:rsidRDefault="00FC4119" w:rsidP="005F06F6">
            <w:pPr>
              <w:spacing w:after="0"/>
              <w:rPr>
                <w:rFonts w:cstheme="minorHAnsi"/>
                <w:bCs/>
                <w:color w:val="FF0000"/>
                <w:szCs w:val="20"/>
              </w:rPr>
            </w:pPr>
          </w:p>
        </w:tc>
        <w:tc>
          <w:tcPr>
            <w:tcW w:w="1574" w:type="pct"/>
            <w:vAlign w:val="center"/>
          </w:tcPr>
          <w:p w14:paraId="48FF4EA5" w14:textId="0C835224" w:rsidR="00FC4119" w:rsidRPr="00F171A3" w:rsidRDefault="00FC4119" w:rsidP="005F06F6">
            <w:pPr>
              <w:spacing w:after="0"/>
              <w:rPr>
                <w:rFonts w:cstheme="minorHAnsi"/>
                <w:bCs/>
                <w:szCs w:val="20"/>
              </w:rPr>
            </w:pPr>
            <w:r w:rsidRPr="00F171A3">
              <w:rPr>
                <w:rFonts w:eastAsia="Calibri"/>
                <w:szCs w:val="20"/>
              </w:rPr>
              <w:t>O strategie de creștere a competențelor digitale a personalului Primăriei Sector</w:t>
            </w:r>
            <w:r w:rsidR="00135D70" w:rsidRPr="00F171A3">
              <w:rPr>
                <w:rFonts w:eastAsia="Calibri"/>
                <w:szCs w:val="20"/>
              </w:rPr>
              <w:t>ului</w:t>
            </w:r>
            <w:r w:rsidRPr="00F171A3">
              <w:rPr>
                <w:rFonts w:eastAsia="Calibri"/>
                <w:szCs w:val="20"/>
              </w:rPr>
              <w:t xml:space="preserve"> 2</w:t>
            </w:r>
          </w:p>
        </w:tc>
        <w:tc>
          <w:tcPr>
            <w:tcW w:w="1092" w:type="pct"/>
            <w:vAlign w:val="center"/>
          </w:tcPr>
          <w:p w14:paraId="0578D8ED" w14:textId="77777777" w:rsidR="00FC4119" w:rsidRPr="00F171A3" w:rsidRDefault="00FC4119" w:rsidP="005F06F6">
            <w:pPr>
              <w:spacing w:after="0"/>
              <w:rPr>
                <w:rFonts w:cstheme="minorHAnsi"/>
                <w:bCs/>
                <w:szCs w:val="20"/>
              </w:rPr>
            </w:pPr>
            <w:r w:rsidRPr="00F171A3">
              <w:rPr>
                <w:rFonts w:eastAsia="Calibri"/>
                <w:szCs w:val="20"/>
              </w:rPr>
              <w:t>0</w:t>
            </w:r>
          </w:p>
        </w:tc>
        <w:tc>
          <w:tcPr>
            <w:tcW w:w="1092" w:type="pct"/>
            <w:vAlign w:val="center"/>
          </w:tcPr>
          <w:p w14:paraId="0826AC6E" w14:textId="77777777" w:rsidR="00FC4119" w:rsidRPr="00F171A3" w:rsidRDefault="00FC4119" w:rsidP="005F06F6">
            <w:pPr>
              <w:spacing w:after="0"/>
              <w:rPr>
                <w:rFonts w:cstheme="minorHAnsi"/>
                <w:bCs/>
                <w:szCs w:val="20"/>
              </w:rPr>
            </w:pPr>
            <w:r w:rsidRPr="00F171A3">
              <w:rPr>
                <w:rFonts w:eastAsia="Calibri"/>
                <w:szCs w:val="20"/>
              </w:rPr>
              <w:t>1</w:t>
            </w:r>
          </w:p>
        </w:tc>
      </w:tr>
      <w:tr w:rsidR="00FC4119" w:rsidRPr="00F171A3" w14:paraId="1039171E" w14:textId="77777777" w:rsidTr="00FC4119">
        <w:trPr>
          <w:cnfStyle w:val="000000010000" w:firstRow="0" w:lastRow="0" w:firstColumn="0" w:lastColumn="0" w:oddVBand="0" w:evenVBand="0" w:oddHBand="0" w:evenHBand="1" w:firstRowFirstColumn="0" w:firstRowLastColumn="0" w:lastRowFirstColumn="0" w:lastRowLastColumn="0"/>
          <w:trHeight w:val="352"/>
        </w:trPr>
        <w:tc>
          <w:tcPr>
            <w:tcW w:w="1241" w:type="pct"/>
            <w:vMerge/>
            <w:shd w:val="clear" w:color="auto" w:fill="2897B1" w:themeFill="accent4" w:themeFillShade="80"/>
          </w:tcPr>
          <w:p w14:paraId="11F38EE3" w14:textId="77777777" w:rsidR="00FC4119" w:rsidRPr="00F171A3" w:rsidRDefault="00FC4119" w:rsidP="005F06F6">
            <w:pPr>
              <w:spacing w:after="0"/>
              <w:rPr>
                <w:rFonts w:cstheme="minorHAnsi"/>
                <w:bCs/>
                <w:color w:val="FF0000"/>
                <w:szCs w:val="20"/>
              </w:rPr>
            </w:pPr>
          </w:p>
        </w:tc>
        <w:tc>
          <w:tcPr>
            <w:tcW w:w="1574" w:type="pct"/>
            <w:vAlign w:val="center"/>
          </w:tcPr>
          <w:p w14:paraId="47BD58F4" w14:textId="77777777" w:rsidR="00FC4119" w:rsidRPr="00F171A3" w:rsidRDefault="00FC4119" w:rsidP="005F06F6">
            <w:pPr>
              <w:spacing w:after="0"/>
              <w:rPr>
                <w:rFonts w:cstheme="minorHAnsi"/>
                <w:bCs/>
                <w:szCs w:val="20"/>
              </w:rPr>
            </w:pPr>
            <w:r w:rsidRPr="00F171A3">
              <w:rPr>
                <w:rFonts w:eastAsia="Calibri"/>
                <w:szCs w:val="20"/>
              </w:rPr>
              <w:t>Program anual de cursuri de formare dedicate personalului în domeniul reglementării datelor publice și securitatea datelor publice.</w:t>
            </w:r>
          </w:p>
        </w:tc>
        <w:tc>
          <w:tcPr>
            <w:tcW w:w="1092" w:type="pct"/>
            <w:vAlign w:val="center"/>
          </w:tcPr>
          <w:p w14:paraId="460A7536" w14:textId="77777777" w:rsidR="00FC4119" w:rsidRPr="00F171A3" w:rsidRDefault="00FC4119" w:rsidP="005F06F6">
            <w:pPr>
              <w:spacing w:after="0"/>
              <w:rPr>
                <w:rFonts w:cstheme="minorHAnsi"/>
                <w:bCs/>
                <w:szCs w:val="20"/>
              </w:rPr>
            </w:pPr>
            <w:r w:rsidRPr="00F171A3">
              <w:rPr>
                <w:rFonts w:eastAsia="Calibri"/>
                <w:szCs w:val="20"/>
              </w:rPr>
              <w:t>0</w:t>
            </w:r>
          </w:p>
        </w:tc>
        <w:tc>
          <w:tcPr>
            <w:tcW w:w="1092" w:type="pct"/>
            <w:vAlign w:val="center"/>
          </w:tcPr>
          <w:p w14:paraId="1A3F7A07" w14:textId="77777777" w:rsidR="00FC4119" w:rsidRPr="00F171A3" w:rsidRDefault="00FC4119" w:rsidP="005F06F6">
            <w:pPr>
              <w:spacing w:after="0"/>
              <w:rPr>
                <w:rFonts w:cstheme="minorHAnsi"/>
                <w:bCs/>
                <w:szCs w:val="20"/>
              </w:rPr>
            </w:pPr>
            <w:r w:rsidRPr="00F171A3">
              <w:rPr>
                <w:rFonts w:eastAsia="Calibri"/>
                <w:szCs w:val="20"/>
              </w:rPr>
              <w:t>1</w:t>
            </w:r>
          </w:p>
        </w:tc>
      </w:tr>
      <w:tr w:rsidR="00FC4119" w:rsidRPr="00F171A3" w14:paraId="79437F29" w14:textId="77777777" w:rsidTr="00FC4119">
        <w:trPr>
          <w:cnfStyle w:val="000000100000" w:firstRow="0" w:lastRow="0" w:firstColumn="0" w:lastColumn="0" w:oddVBand="0" w:evenVBand="0" w:oddHBand="1" w:evenHBand="0" w:firstRowFirstColumn="0" w:firstRowLastColumn="0" w:lastRowFirstColumn="0" w:lastRowLastColumn="0"/>
          <w:trHeight w:val="352"/>
        </w:trPr>
        <w:tc>
          <w:tcPr>
            <w:tcW w:w="1241" w:type="pct"/>
            <w:vMerge/>
            <w:shd w:val="clear" w:color="auto" w:fill="2897B1" w:themeFill="accent4" w:themeFillShade="80"/>
          </w:tcPr>
          <w:p w14:paraId="793892B1" w14:textId="77777777" w:rsidR="00FC4119" w:rsidRPr="00F171A3" w:rsidRDefault="00FC4119" w:rsidP="005F06F6">
            <w:pPr>
              <w:spacing w:after="0"/>
              <w:rPr>
                <w:rFonts w:cstheme="minorHAnsi"/>
                <w:bCs/>
                <w:szCs w:val="20"/>
              </w:rPr>
            </w:pPr>
          </w:p>
        </w:tc>
        <w:tc>
          <w:tcPr>
            <w:tcW w:w="1574" w:type="pct"/>
          </w:tcPr>
          <w:p w14:paraId="0A60845E" w14:textId="4C8BA96D" w:rsidR="00FC4119" w:rsidRPr="00F171A3" w:rsidRDefault="00FC4119" w:rsidP="005F06F6">
            <w:pPr>
              <w:spacing w:after="0"/>
              <w:rPr>
                <w:rFonts w:cstheme="minorHAnsi"/>
                <w:bCs/>
                <w:szCs w:val="20"/>
              </w:rPr>
            </w:pPr>
            <w:r w:rsidRPr="00F171A3">
              <w:rPr>
                <w:rFonts w:eastAsia="Calibri"/>
                <w:szCs w:val="20"/>
              </w:rPr>
              <w:t>O strategie de îmbunătățire a securității datelor la nivelul Primăriei Sector</w:t>
            </w:r>
            <w:r w:rsidR="00135D70" w:rsidRPr="00F171A3">
              <w:rPr>
                <w:rFonts w:eastAsia="Calibri"/>
                <w:szCs w:val="20"/>
              </w:rPr>
              <w:t>ului</w:t>
            </w:r>
            <w:r w:rsidRPr="00F171A3">
              <w:rPr>
                <w:rFonts w:eastAsia="Calibri"/>
                <w:szCs w:val="20"/>
              </w:rPr>
              <w:t xml:space="preserve"> 2 (inclusiv ghid de utilizare pentru personal, cursuri de securitate cibernetică, etc.)</w:t>
            </w:r>
          </w:p>
        </w:tc>
        <w:tc>
          <w:tcPr>
            <w:tcW w:w="1092" w:type="pct"/>
          </w:tcPr>
          <w:p w14:paraId="33C2CB90" w14:textId="77777777" w:rsidR="00FC4119" w:rsidRPr="00F171A3" w:rsidRDefault="00FC4119" w:rsidP="005F06F6">
            <w:pPr>
              <w:spacing w:after="0"/>
              <w:rPr>
                <w:rFonts w:cstheme="minorHAnsi"/>
                <w:bCs/>
                <w:szCs w:val="20"/>
              </w:rPr>
            </w:pPr>
            <w:r w:rsidRPr="00F171A3">
              <w:rPr>
                <w:rFonts w:eastAsia="Calibri"/>
                <w:szCs w:val="20"/>
              </w:rPr>
              <w:t>0</w:t>
            </w:r>
          </w:p>
        </w:tc>
        <w:tc>
          <w:tcPr>
            <w:tcW w:w="1092" w:type="pct"/>
          </w:tcPr>
          <w:p w14:paraId="53081CBE" w14:textId="77777777" w:rsidR="00FC4119" w:rsidRPr="00F171A3" w:rsidRDefault="00FC4119" w:rsidP="005F06F6">
            <w:pPr>
              <w:spacing w:after="0"/>
              <w:rPr>
                <w:rFonts w:cstheme="minorHAnsi"/>
                <w:bCs/>
                <w:szCs w:val="20"/>
              </w:rPr>
            </w:pPr>
            <w:r w:rsidRPr="00F171A3">
              <w:rPr>
                <w:rFonts w:eastAsia="Calibri"/>
                <w:szCs w:val="20"/>
              </w:rPr>
              <w:t>1</w:t>
            </w:r>
          </w:p>
        </w:tc>
      </w:tr>
    </w:tbl>
    <w:p w14:paraId="7EB5C7C2" w14:textId="5CC5D2C1" w:rsidR="009E58CB" w:rsidRPr="00F171A3" w:rsidRDefault="009E58CB" w:rsidP="00D465D3"/>
    <w:p w14:paraId="2436BCB0" w14:textId="72B4DF7B" w:rsidR="0043239D" w:rsidRPr="00F171A3" w:rsidRDefault="0043239D">
      <w:pPr>
        <w:pStyle w:val="ListParagraph"/>
        <w:numPr>
          <w:ilvl w:val="0"/>
          <w:numId w:val="60"/>
        </w:numPr>
        <w:rPr>
          <w:color w:val="auto"/>
        </w:rPr>
      </w:pPr>
      <w:r w:rsidRPr="00F171A3">
        <w:rPr>
          <w:b/>
          <w:bCs/>
        </w:rPr>
        <w:t>Indicatorii de impact</w:t>
      </w:r>
      <w:r w:rsidRPr="00F171A3">
        <w:t xml:space="preserve"> </w:t>
      </w:r>
      <w:r w:rsidRPr="00F171A3">
        <w:rPr>
          <w:color w:val="auto"/>
        </w:rPr>
        <w:t xml:space="preserve">vizează impactul proiectelor și strategiei propriu-zise, fiind definiți ca „schimbarea care poate fi atribuită în mod credibil unei intervenții” (Direcția Generală pentru Politică Regională și Urbană), și având deci capacitatea de a descrie/ cuantifica principalele dimensiuni ale viziunii de dezvoltare. Având în vedere </w:t>
      </w:r>
      <w:r w:rsidR="0065761C" w:rsidRPr="00F171A3">
        <w:rPr>
          <w:color w:val="auto"/>
        </w:rPr>
        <w:t>viziunea</w:t>
      </w:r>
      <w:r w:rsidRPr="00F171A3">
        <w:rPr>
          <w:color w:val="auto"/>
        </w:rPr>
        <w:t xml:space="preserve"> de dezvoltare propus</w:t>
      </w:r>
      <w:r w:rsidR="0065761C" w:rsidRPr="00F171A3">
        <w:rPr>
          <w:color w:val="auto"/>
        </w:rPr>
        <w:t>ă</w:t>
      </w:r>
      <w:r w:rsidRPr="00F171A3">
        <w:rPr>
          <w:color w:val="auto"/>
        </w:rPr>
        <w:t xml:space="preserve"> pentru Sectorul 2 al </w:t>
      </w:r>
      <w:r w:rsidR="00050FAA" w:rsidRPr="00F171A3">
        <w:rPr>
          <w:color w:val="auto"/>
        </w:rPr>
        <w:t>m</w:t>
      </w:r>
      <w:r w:rsidRPr="00F171A3">
        <w:rPr>
          <w:color w:val="auto"/>
        </w:rPr>
        <w:t>unicipiului București, se vor urmări o serie de indicatori-cheie, după cum urmează:</w:t>
      </w:r>
    </w:p>
    <w:tbl>
      <w:tblPr>
        <w:tblStyle w:val="Civitta4"/>
        <w:tblW w:w="0" w:type="auto"/>
        <w:tblLook w:val="04A0" w:firstRow="1" w:lastRow="0" w:firstColumn="1" w:lastColumn="0" w:noHBand="0" w:noVBand="1"/>
      </w:tblPr>
      <w:tblGrid>
        <w:gridCol w:w="2510"/>
        <w:gridCol w:w="2415"/>
        <w:gridCol w:w="2415"/>
        <w:gridCol w:w="2095"/>
      </w:tblGrid>
      <w:tr w:rsidR="00FC4119" w:rsidRPr="00F171A3" w14:paraId="07CC8474" w14:textId="77777777" w:rsidTr="00FC41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10" w:type="dxa"/>
          </w:tcPr>
          <w:p w14:paraId="25A2D590"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Indicator</w:t>
            </w:r>
          </w:p>
        </w:tc>
        <w:tc>
          <w:tcPr>
            <w:tcW w:w="2415" w:type="dxa"/>
            <w:shd w:val="clear" w:color="auto" w:fill="134753" w:themeFill="accent2"/>
            <w:vAlign w:val="center"/>
          </w:tcPr>
          <w:p w14:paraId="72E7BF57" w14:textId="77777777" w:rsidR="00FC4119" w:rsidRPr="00F171A3" w:rsidRDefault="00FC4119" w:rsidP="00FC411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rPr>
            </w:pPr>
            <w:r w:rsidRPr="00F171A3">
              <w:rPr>
                <w:rFonts w:asciiTheme="minorHAnsi" w:hAnsiTheme="minorHAnsi" w:cstheme="minorHAnsi"/>
                <w:b/>
                <w:bCs w:val="0"/>
              </w:rPr>
              <w:t>Valoare de referință</w:t>
            </w:r>
          </w:p>
        </w:tc>
        <w:tc>
          <w:tcPr>
            <w:tcW w:w="2415" w:type="dxa"/>
            <w:shd w:val="clear" w:color="auto" w:fill="134753" w:themeFill="accent2"/>
            <w:vAlign w:val="center"/>
          </w:tcPr>
          <w:p w14:paraId="3FA45821" w14:textId="77777777" w:rsidR="00FC4119" w:rsidRPr="00F171A3" w:rsidRDefault="00FC4119" w:rsidP="00FC411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rPr>
            </w:pPr>
            <w:r w:rsidRPr="00F171A3">
              <w:rPr>
                <w:rFonts w:asciiTheme="minorHAnsi" w:hAnsiTheme="minorHAnsi" w:cstheme="minorHAnsi"/>
                <w:b/>
                <w:bCs w:val="0"/>
              </w:rPr>
              <w:t>Țintă 2030 și post 2030</w:t>
            </w:r>
          </w:p>
        </w:tc>
        <w:tc>
          <w:tcPr>
            <w:tcW w:w="2095" w:type="dxa"/>
            <w:shd w:val="clear" w:color="auto" w:fill="134753" w:themeFill="accent2"/>
            <w:vAlign w:val="center"/>
          </w:tcPr>
          <w:p w14:paraId="1ED5B6A4" w14:textId="77777777" w:rsidR="00FC4119" w:rsidRPr="00F171A3" w:rsidRDefault="00FC4119" w:rsidP="00FC4119">
            <w:pPr>
              <w:jc w:val="center"/>
              <w:cnfStyle w:val="100000000000" w:firstRow="1" w:lastRow="0" w:firstColumn="0" w:lastColumn="0" w:oddVBand="0" w:evenVBand="0" w:oddHBand="0" w:evenHBand="0" w:firstRowFirstColumn="0" w:firstRowLastColumn="0" w:lastRowFirstColumn="0" w:lastRowLastColumn="0"/>
              <w:rPr>
                <w:rFonts w:cstheme="minorHAnsi"/>
                <w:b/>
                <w:bCs w:val="0"/>
              </w:rPr>
            </w:pPr>
            <w:r w:rsidRPr="00F171A3">
              <w:rPr>
                <w:rFonts w:asciiTheme="minorHAnsi" w:hAnsiTheme="minorHAnsi" w:cstheme="minorHAnsi"/>
                <w:b/>
                <w:bCs w:val="0"/>
              </w:rPr>
              <w:t>Sursă de verificare</w:t>
            </w:r>
          </w:p>
        </w:tc>
      </w:tr>
      <w:tr w:rsidR="00FC4119" w:rsidRPr="00F171A3" w14:paraId="6CAF4CC3" w14:textId="77777777" w:rsidTr="005F06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2897B1" w:themeFill="accent4" w:themeFillShade="80"/>
          </w:tcPr>
          <w:p w14:paraId="4C020592"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Creșterea procentuală a veniturilor totale la nivelul Primăriei Sectorului 2 (%)</w:t>
            </w:r>
          </w:p>
        </w:tc>
        <w:tc>
          <w:tcPr>
            <w:tcW w:w="2415" w:type="dxa"/>
          </w:tcPr>
          <w:p w14:paraId="049C8B0F"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35.98% (2013- 2020)</w:t>
            </w:r>
          </w:p>
        </w:tc>
        <w:tc>
          <w:tcPr>
            <w:tcW w:w="2415" w:type="dxa"/>
          </w:tcPr>
          <w:p w14:paraId="048F69D6"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70%</w:t>
            </w:r>
          </w:p>
        </w:tc>
        <w:tc>
          <w:tcPr>
            <w:tcW w:w="2095" w:type="dxa"/>
          </w:tcPr>
          <w:p w14:paraId="0CDBF0BD"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MDLPA</w:t>
            </w:r>
          </w:p>
        </w:tc>
      </w:tr>
      <w:tr w:rsidR="00FC4119" w:rsidRPr="00F171A3" w14:paraId="3EBFB53A" w14:textId="77777777" w:rsidTr="005F06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2897B1" w:themeFill="accent4" w:themeFillShade="80"/>
          </w:tcPr>
          <w:p w14:paraId="1C20C755" w14:textId="77777777" w:rsidR="00FC4119" w:rsidRPr="00F171A3" w:rsidRDefault="00FC4119" w:rsidP="005F06F6">
            <w:pPr>
              <w:rPr>
                <w:rFonts w:cstheme="minorHAnsi"/>
              </w:rPr>
            </w:pPr>
            <w:r w:rsidRPr="00F171A3">
              <w:rPr>
                <w:rFonts w:asciiTheme="minorHAnsi" w:hAnsiTheme="minorHAnsi" w:cstheme="minorHAnsi"/>
              </w:rPr>
              <w:t>Număr salariați întreprinderi active</w:t>
            </w:r>
            <w:r w:rsidRPr="00F171A3">
              <w:rPr>
                <w:rFonts w:eastAsia="Calibri" w:cstheme="minorHAnsi"/>
              </w:rPr>
              <w:t xml:space="preserve"> </w:t>
            </w:r>
          </w:p>
        </w:tc>
        <w:tc>
          <w:tcPr>
            <w:tcW w:w="2415" w:type="dxa"/>
            <w:vAlign w:val="center"/>
          </w:tcPr>
          <w:p w14:paraId="308BD056"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256.167 (2020)</w:t>
            </w:r>
          </w:p>
        </w:tc>
        <w:tc>
          <w:tcPr>
            <w:tcW w:w="2415" w:type="dxa"/>
            <w:vAlign w:val="center"/>
          </w:tcPr>
          <w:p w14:paraId="7EC43F84"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+20%</w:t>
            </w:r>
          </w:p>
        </w:tc>
        <w:tc>
          <w:tcPr>
            <w:tcW w:w="2095" w:type="dxa"/>
          </w:tcPr>
          <w:p w14:paraId="49C5A7B5"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cstheme="minorHAnsi"/>
              </w:rPr>
            </w:pPr>
            <w:r w:rsidRPr="00F171A3">
              <w:rPr>
                <w:rFonts w:asciiTheme="minorHAnsi" w:hAnsiTheme="minorHAnsi" w:cstheme="minorHAnsi"/>
              </w:rPr>
              <w:t>INS. Tempo Online</w:t>
            </w:r>
          </w:p>
        </w:tc>
      </w:tr>
      <w:tr w:rsidR="00FC4119" w:rsidRPr="00F171A3" w14:paraId="3DCBF108" w14:textId="77777777" w:rsidTr="005F06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2897B1" w:themeFill="accent4" w:themeFillShade="80"/>
          </w:tcPr>
          <w:p w14:paraId="5B98502E"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Cifra de afaceri a întreprinderilor active (lei/locuitor)</w:t>
            </w:r>
          </w:p>
        </w:tc>
        <w:tc>
          <w:tcPr>
            <w:tcW w:w="2415" w:type="dxa"/>
          </w:tcPr>
          <w:p w14:paraId="7D48D3F1"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390.278.6 (2021)</w:t>
            </w:r>
          </w:p>
          <w:p w14:paraId="6DF7BF95"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415" w:type="dxa"/>
          </w:tcPr>
          <w:p w14:paraId="547D9ADC"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+50%</w:t>
            </w:r>
          </w:p>
        </w:tc>
        <w:tc>
          <w:tcPr>
            <w:tcW w:w="2095" w:type="dxa"/>
          </w:tcPr>
          <w:p w14:paraId="71AABAC4"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cstheme="minorHAnsi"/>
                <w:highlight w:val="yellow"/>
              </w:rPr>
            </w:pPr>
            <w:r w:rsidRPr="00F171A3">
              <w:rPr>
                <w:rFonts w:asciiTheme="minorHAnsi" w:hAnsiTheme="minorHAnsi" w:cstheme="minorHAnsi"/>
              </w:rPr>
              <w:t>INS. Tempo Online</w:t>
            </w:r>
          </w:p>
        </w:tc>
      </w:tr>
      <w:tr w:rsidR="00FC4119" w:rsidRPr="00F171A3" w14:paraId="7865327D" w14:textId="77777777" w:rsidTr="005F06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2897B1" w:themeFill="accent4" w:themeFillShade="80"/>
          </w:tcPr>
          <w:p w14:paraId="53EA9540" w14:textId="77777777" w:rsidR="00FC4119" w:rsidRPr="00F171A3" w:rsidRDefault="00FC4119" w:rsidP="005F06F6">
            <w:pPr>
              <w:rPr>
                <w:rFonts w:cstheme="minorHAnsi"/>
              </w:rPr>
            </w:pPr>
            <w:r w:rsidRPr="00F171A3">
              <w:rPr>
                <w:rFonts w:asciiTheme="minorHAnsi" w:hAnsiTheme="minorHAnsi" w:cstheme="minorHAnsi"/>
              </w:rPr>
              <w:t>Numărul întreprinderilor active / 1000 locuitori</w:t>
            </w:r>
            <w:r w:rsidRPr="00F171A3">
              <w:rPr>
                <w:rFonts w:eastAsia="Calibri" w:cstheme="minorHAnsi"/>
              </w:rPr>
              <w:t xml:space="preserve"> </w:t>
            </w:r>
          </w:p>
        </w:tc>
        <w:tc>
          <w:tcPr>
            <w:tcW w:w="2415" w:type="dxa"/>
          </w:tcPr>
          <w:p w14:paraId="696C8DD1"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67.9 (2020)</w:t>
            </w:r>
          </w:p>
        </w:tc>
        <w:tc>
          <w:tcPr>
            <w:tcW w:w="2415" w:type="dxa"/>
          </w:tcPr>
          <w:p w14:paraId="04897567"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90</w:t>
            </w:r>
          </w:p>
        </w:tc>
        <w:tc>
          <w:tcPr>
            <w:tcW w:w="2095" w:type="dxa"/>
          </w:tcPr>
          <w:p w14:paraId="2869A82B"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INS. Tempo Online</w:t>
            </w:r>
          </w:p>
        </w:tc>
      </w:tr>
      <w:tr w:rsidR="00FC4119" w:rsidRPr="00F171A3" w14:paraId="037E82D3" w14:textId="77777777" w:rsidTr="005F06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2897B1" w:themeFill="accent4" w:themeFillShade="80"/>
          </w:tcPr>
          <w:p w14:paraId="5D4EE071" w14:textId="77777777" w:rsidR="00FC4119" w:rsidRPr="00F171A3" w:rsidRDefault="00FC4119" w:rsidP="005F06F6">
            <w:pPr>
              <w:rPr>
                <w:rFonts w:asciiTheme="minorHAnsi" w:hAnsiTheme="minorHAnsi" w:cstheme="minorHAnsi"/>
              </w:rPr>
            </w:pPr>
            <w:r w:rsidRPr="00F171A3">
              <w:rPr>
                <w:rFonts w:asciiTheme="minorHAnsi" w:hAnsiTheme="minorHAnsi" w:cstheme="minorHAnsi"/>
              </w:rPr>
              <w:t xml:space="preserve">Raport de dependență demografică (‰) </w:t>
            </w:r>
          </w:p>
        </w:tc>
        <w:tc>
          <w:tcPr>
            <w:tcW w:w="2415" w:type="dxa"/>
          </w:tcPr>
          <w:p w14:paraId="360532C8"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519‰ (2021)</w:t>
            </w:r>
          </w:p>
        </w:tc>
        <w:tc>
          <w:tcPr>
            <w:tcW w:w="2415" w:type="dxa"/>
          </w:tcPr>
          <w:p w14:paraId="0079F36F"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&lt; 500‰</w:t>
            </w:r>
          </w:p>
        </w:tc>
        <w:tc>
          <w:tcPr>
            <w:tcW w:w="2095" w:type="dxa"/>
          </w:tcPr>
          <w:p w14:paraId="617C9575"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highlight w:val="yellow"/>
              </w:rPr>
            </w:pPr>
            <w:r w:rsidRPr="00F171A3">
              <w:rPr>
                <w:rFonts w:asciiTheme="minorHAnsi" w:hAnsiTheme="minorHAnsi" w:cstheme="minorHAnsi"/>
              </w:rPr>
              <w:t>Calcul propriu pe baza datelor INS. Tempo Online</w:t>
            </w:r>
          </w:p>
        </w:tc>
      </w:tr>
      <w:tr w:rsidR="00FC4119" w:rsidRPr="00F171A3" w14:paraId="1B1510AA" w14:textId="77777777" w:rsidTr="005F06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2897B1" w:themeFill="accent4" w:themeFillShade="80"/>
          </w:tcPr>
          <w:p w14:paraId="276D8503" w14:textId="77777777" w:rsidR="00FC4119" w:rsidRPr="00F171A3" w:rsidRDefault="00FC4119" w:rsidP="005F06F6">
            <w:pPr>
              <w:rPr>
                <w:rFonts w:cstheme="minorHAnsi"/>
              </w:rPr>
            </w:pPr>
            <w:r w:rsidRPr="00F171A3">
              <w:rPr>
                <w:rFonts w:asciiTheme="minorHAnsi" w:hAnsiTheme="minorHAnsi" w:cstheme="minorHAnsi"/>
              </w:rPr>
              <w:t>Ponderea copiilor în total populație</w:t>
            </w:r>
            <w:r w:rsidRPr="00F171A3">
              <w:rPr>
                <w:rFonts w:cstheme="minorHAnsi"/>
              </w:rPr>
              <w:t xml:space="preserve"> (%)</w:t>
            </w:r>
          </w:p>
        </w:tc>
        <w:tc>
          <w:tcPr>
            <w:tcW w:w="2415" w:type="dxa"/>
          </w:tcPr>
          <w:p w14:paraId="2F948BF3"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13.1  (2021)</w:t>
            </w:r>
          </w:p>
        </w:tc>
        <w:tc>
          <w:tcPr>
            <w:tcW w:w="2415" w:type="dxa"/>
          </w:tcPr>
          <w:p w14:paraId="70C9A42B"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&gt;15</w:t>
            </w:r>
          </w:p>
        </w:tc>
        <w:tc>
          <w:tcPr>
            <w:tcW w:w="2095" w:type="dxa"/>
          </w:tcPr>
          <w:p w14:paraId="02ABFCFC" w14:textId="77777777" w:rsidR="00FC4119" w:rsidRPr="00F171A3" w:rsidRDefault="00FC4119" w:rsidP="005F06F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171A3">
              <w:rPr>
                <w:rFonts w:asciiTheme="minorHAnsi" w:hAnsiTheme="minorHAnsi" w:cstheme="minorHAnsi"/>
              </w:rPr>
              <w:t>Calcul propriu pe baza datelor INS. Tempo Online</w:t>
            </w:r>
          </w:p>
        </w:tc>
      </w:tr>
      <w:tr w:rsidR="00FC4119" w:rsidRPr="00F171A3" w14:paraId="5F53E8C7" w14:textId="77777777" w:rsidTr="005F06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shd w:val="clear" w:color="auto" w:fill="2897B1" w:themeFill="accent4" w:themeFillShade="80"/>
          </w:tcPr>
          <w:p w14:paraId="122CF752" w14:textId="77777777" w:rsidR="00FC4119" w:rsidRPr="00F171A3" w:rsidRDefault="00FC4119" w:rsidP="005F06F6">
            <w:pPr>
              <w:rPr>
                <w:rFonts w:cstheme="minorHAnsi"/>
              </w:rPr>
            </w:pPr>
            <w:r w:rsidRPr="00F171A3">
              <w:rPr>
                <w:rFonts w:asciiTheme="minorHAnsi" w:hAnsiTheme="minorHAnsi" w:cstheme="minorHAnsi"/>
              </w:rPr>
              <w:t>Gradul de satisfacție al locuitorilor cu privire la serviciile publice  din Sectorul 2</w:t>
            </w:r>
          </w:p>
        </w:tc>
        <w:tc>
          <w:tcPr>
            <w:tcW w:w="2415" w:type="dxa"/>
          </w:tcPr>
          <w:p w14:paraId="6218B9B0"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49.12%</w:t>
            </w:r>
            <w:r w:rsidRPr="00F171A3">
              <w:rPr>
                <w:rStyle w:val="FootnoteReference"/>
                <w:rFonts w:asciiTheme="minorHAnsi" w:hAnsiTheme="minorHAnsi" w:cstheme="minorHAnsi"/>
              </w:rPr>
              <w:footnoteReference w:id="179"/>
            </w:r>
            <w:r w:rsidRPr="00F171A3">
              <w:rPr>
                <w:rFonts w:asciiTheme="minorHAnsi" w:hAnsiTheme="minorHAnsi" w:cstheme="minorHAnsi"/>
              </w:rPr>
              <w:t xml:space="preserve"> mulțumiți de mai mult de jumătate dintre serviciile publice</w:t>
            </w:r>
          </w:p>
        </w:tc>
        <w:tc>
          <w:tcPr>
            <w:tcW w:w="2415" w:type="dxa"/>
          </w:tcPr>
          <w:p w14:paraId="699877EA"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&gt;75%</w:t>
            </w:r>
          </w:p>
        </w:tc>
        <w:tc>
          <w:tcPr>
            <w:tcW w:w="2095" w:type="dxa"/>
          </w:tcPr>
          <w:p w14:paraId="193D4A31" w14:textId="77777777" w:rsidR="00FC4119" w:rsidRPr="00F171A3" w:rsidRDefault="00FC4119" w:rsidP="005F06F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171A3">
              <w:rPr>
                <w:rFonts w:asciiTheme="minorHAnsi" w:hAnsiTheme="minorHAnsi" w:cstheme="minorHAnsi"/>
              </w:rPr>
              <w:t>Sondaj adresat cetățenilor, pornind de la sondajul aplicat în elaborarea SDLID S2, pentru rezultate comparabile</w:t>
            </w:r>
          </w:p>
        </w:tc>
      </w:tr>
    </w:tbl>
    <w:p w14:paraId="7621B294" w14:textId="77777777" w:rsidR="00FC4119" w:rsidRPr="00F171A3" w:rsidRDefault="00FC4119" w:rsidP="009E58CB">
      <w:pPr>
        <w:rPr>
          <w:rFonts w:cstheme="minorHAnsi"/>
        </w:rPr>
      </w:pPr>
    </w:p>
    <w:p w14:paraId="44E66BBC" w14:textId="3FCDB980" w:rsidR="009E58CB" w:rsidRPr="00F171A3" w:rsidRDefault="00F22459" w:rsidP="009E58CB">
      <w:pPr>
        <w:pStyle w:val="Heading3"/>
        <w:rPr>
          <w:rFonts w:cstheme="minorHAnsi"/>
          <w:lang w:val="ro-RO"/>
        </w:rPr>
      </w:pPr>
      <w:bookmarkStart w:id="487" w:name="_Toc116556846"/>
      <w:bookmarkStart w:id="488" w:name="_Toc127199331"/>
      <w:r w:rsidRPr="00F171A3">
        <w:rPr>
          <w:rFonts w:cstheme="minorHAnsi"/>
          <w:caps w:val="0"/>
          <w:lang w:val="ro-RO"/>
        </w:rPr>
        <w:t>RISCURI ȘI MĂSURI DE ATENUARIE A RISCURILOR IMPLEMENTĂRII</w:t>
      </w:r>
      <w:bookmarkEnd w:id="487"/>
      <w:bookmarkEnd w:id="488"/>
    </w:p>
    <w:p w14:paraId="56BFD4CD" w14:textId="77777777" w:rsidR="009E58CB" w:rsidRPr="00F171A3" w:rsidRDefault="009E58CB" w:rsidP="009E58CB">
      <w:pPr>
        <w:rPr>
          <w:rFonts w:cstheme="minorHAnsi"/>
        </w:rPr>
      </w:pPr>
      <w:r w:rsidRPr="00F171A3">
        <w:rPr>
          <w:rFonts w:cstheme="minorHAnsi"/>
        </w:rPr>
        <w:t xml:space="preserve">Implementarea proiectelor poate fi afectată de o serie de riscuri de natură tehnică sau financiară, ca de exemplu: </w:t>
      </w:r>
    </w:p>
    <w:p w14:paraId="18539D95" w14:textId="77777777" w:rsidR="009E58CB" w:rsidRPr="00F171A3" w:rsidRDefault="009E58CB" w:rsidP="009E58CB">
      <w:pPr>
        <w:rPr>
          <w:rFonts w:cstheme="minorHAnsi"/>
          <w:color w:val="134753" w:themeColor="text2"/>
        </w:rPr>
      </w:pPr>
      <w:r w:rsidRPr="00F171A3">
        <w:rPr>
          <w:rFonts w:cstheme="minorHAnsi"/>
          <w:b/>
          <w:bCs/>
          <w:color w:val="134753" w:themeColor="text2"/>
        </w:rPr>
        <w:t xml:space="preserve">Riscuri tehnice: </w:t>
      </w:r>
    </w:p>
    <w:p w14:paraId="5AD12030"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Întârzieri în execuția lucrărilor și depășirea graficului de lucrări; </w:t>
      </w:r>
    </w:p>
    <w:p w14:paraId="23CCC115"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Neconcordanțe între execuție și documentația tehnică care stă la baza proiectului. </w:t>
      </w:r>
    </w:p>
    <w:p w14:paraId="01180ED6" w14:textId="77777777" w:rsidR="009E58CB" w:rsidRPr="00F171A3" w:rsidRDefault="009E58CB" w:rsidP="009E58CB">
      <w:pPr>
        <w:rPr>
          <w:rFonts w:cstheme="minorHAnsi"/>
          <w:color w:val="134753" w:themeColor="text2"/>
        </w:rPr>
      </w:pPr>
      <w:r w:rsidRPr="00F171A3">
        <w:rPr>
          <w:rFonts w:cstheme="minorHAnsi"/>
          <w:b/>
          <w:bCs/>
          <w:color w:val="134753" w:themeColor="text2"/>
        </w:rPr>
        <w:t xml:space="preserve">Riscuri financiare: </w:t>
      </w:r>
    </w:p>
    <w:p w14:paraId="12FDD0CE"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Depășirea bugetelor alocate pe activități sau lucrări; </w:t>
      </w:r>
    </w:p>
    <w:p w14:paraId="2E4036FF"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Creșteri ale prețului materialelor de construcții care nu au fost previzionate, ceea ce determină insuficiența resurselor financiare comparativ cu bugetul. </w:t>
      </w:r>
    </w:p>
    <w:p w14:paraId="708A908A" w14:textId="77777777" w:rsidR="009E58CB" w:rsidRPr="00F171A3" w:rsidRDefault="009E58CB" w:rsidP="009E58CB">
      <w:pPr>
        <w:rPr>
          <w:rFonts w:cstheme="minorHAnsi"/>
          <w:b/>
          <w:bCs/>
          <w:color w:val="134753" w:themeColor="text2"/>
        </w:rPr>
      </w:pPr>
      <w:r w:rsidRPr="00F171A3">
        <w:rPr>
          <w:rFonts w:cstheme="minorHAnsi"/>
          <w:b/>
          <w:bCs/>
          <w:color w:val="134753" w:themeColor="text2"/>
        </w:rPr>
        <w:t xml:space="preserve">Riscuri privind calitatea: </w:t>
      </w:r>
    </w:p>
    <w:p w14:paraId="0ED7F3A9"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Neconcordanța între specificațiile tehnice ale materialelor și calitatea materialelor folosite la lucrări. </w:t>
      </w:r>
    </w:p>
    <w:p w14:paraId="0DAB5D75" w14:textId="77777777" w:rsidR="009E58CB" w:rsidRPr="00F171A3" w:rsidRDefault="009E58CB" w:rsidP="009E58CB">
      <w:pPr>
        <w:rPr>
          <w:rFonts w:cstheme="minorHAnsi"/>
        </w:rPr>
      </w:pPr>
      <w:r w:rsidRPr="00F171A3">
        <w:rPr>
          <w:rFonts w:cstheme="minorHAnsi"/>
        </w:rPr>
        <w:t xml:space="preserve">Preîntâmpinarea și atenuarea acestor riscuri trebuie să fie asigurată pe de-o parte, prin clauze contractuale, cum ar fi: </w:t>
      </w:r>
    </w:p>
    <w:p w14:paraId="022D1ACA"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Perceperea garanției de bună execuție, a garanției pentru plata avansului, garanții pentru rețineri etc; </w:t>
      </w:r>
    </w:p>
    <w:p w14:paraId="17695D39"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Prevederea de penalități la plata executanților/furnizorilor în caz de întârzieri în execuția contractului; </w:t>
      </w:r>
    </w:p>
    <w:p w14:paraId="402A2322"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Prezentarea certificatelor de calitate ale materialelor achiziționate (care vor fi analizate și aprobate de către Beneficiar); </w:t>
      </w:r>
    </w:p>
    <w:p w14:paraId="2B92AE83"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Asigurarea personalului și echipamentelor constructorului precum și asigurarea pentru terțe persoane; </w:t>
      </w:r>
    </w:p>
    <w:p w14:paraId="353DA54B" w14:textId="77777777" w:rsidR="009E58CB" w:rsidRPr="00F171A3" w:rsidRDefault="009E58CB" w:rsidP="009E58CB">
      <w:pPr>
        <w:rPr>
          <w:rFonts w:cstheme="minorHAnsi"/>
        </w:rPr>
      </w:pPr>
      <w:r w:rsidRPr="00F171A3">
        <w:rPr>
          <w:rFonts w:cstheme="minorHAnsi"/>
        </w:rPr>
        <w:t xml:space="preserve">precum și prin: </w:t>
      </w:r>
    </w:p>
    <w:p w14:paraId="18FAEF96"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 xml:space="preserve">Analiza și avizarea situațiilor de lucrări în vederea efectuării plăților; </w:t>
      </w:r>
    </w:p>
    <w:p w14:paraId="6DC60FF3"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Prin cunoașterea, înțelegerea și aplicarea corectă a clauzelor contractuale;</w:t>
      </w:r>
    </w:p>
    <w:p w14:paraId="625EE1E6" w14:textId="77777777" w:rsidR="009E58CB" w:rsidRPr="00F171A3" w:rsidRDefault="009E58CB">
      <w:pPr>
        <w:numPr>
          <w:ilvl w:val="0"/>
          <w:numId w:val="58"/>
        </w:numPr>
        <w:spacing w:after="0" w:line="259" w:lineRule="auto"/>
        <w:rPr>
          <w:rFonts w:cstheme="minorHAnsi"/>
          <w:color w:val="134753"/>
          <w:lang w:eastAsia="zh-CN"/>
        </w:rPr>
      </w:pPr>
      <w:r w:rsidRPr="00F171A3">
        <w:rPr>
          <w:rFonts w:cstheme="minorHAnsi"/>
          <w:color w:val="134753"/>
          <w:lang w:eastAsia="zh-CN"/>
        </w:rPr>
        <w:t>Printr-o activitate susținută a membrilor structurii responsabile de monitorizarea şi evaluarea strategiei și colaborare strânsă cu echipa de experți tehnici, consultanți, diriginți de șantier, astfel încât să se realizeze monitorizarea foarte atentă a contractelor de lucrări.</w:t>
      </w:r>
    </w:p>
    <w:p w14:paraId="6D0D21DF" w14:textId="77777777" w:rsidR="009E58CB" w:rsidRPr="00F171A3" w:rsidRDefault="009E58CB" w:rsidP="009E58CB">
      <w:pPr>
        <w:rPr>
          <w:rFonts w:cstheme="minorHAnsi"/>
        </w:rPr>
      </w:pPr>
      <w:r w:rsidRPr="00F171A3">
        <w:rPr>
          <w:rFonts w:cstheme="minorHAnsi"/>
        </w:rPr>
        <w:t xml:space="preserve">Succesul implementării </w:t>
      </w:r>
      <w:r w:rsidRPr="00F171A3">
        <w:rPr>
          <w:rFonts w:cstheme="minorHAnsi"/>
          <w:i/>
        </w:rPr>
        <w:t>Strategiei de dezvoltare locală integrată şi durabilă a Sectorului 2 pentru perioada 2021-2027</w:t>
      </w:r>
      <w:r w:rsidRPr="00F171A3">
        <w:rPr>
          <w:rFonts w:cstheme="minorHAnsi"/>
        </w:rPr>
        <w:t xml:space="preserve"> depinde nu numai de resursele financiare alocate, ci și de calitatea resursei umane care are atribuții în ceea ce privește managementul strategiei. De aceea, atât din cadrul Unității de Implementare și Monitorizare (UIM), cât și din echipele de proiect, vor face parte persoane cu experiență în implementarea proiectelor și cu pregătire în domeniile în care activează.</w:t>
      </w:r>
    </w:p>
    <w:p w14:paraId="74C86515" w14:textId="77777777" w:rsidR="008C12B3" w:rsidRPr="00F171A3" w:rsidRDefault="008C12B3" w:rsidP="007F2663">
      <w:pPr>
        <w:pStyle w:val="Normal0"/>
        <w:sectPr w:rsidR="008C12B3" w:rsidRPr="00F171A3" w:rsidSect="00C65BFA">
          <w:pgSz w:w="11907" w:h="16839" w:code="9"/>
          <w:pgMar w:top="1152" w:right="1440" w:bottom="1440" w:left="1022" w:header="706" w:footer="288" w:gutter="0"/>
          <w:cols w:space="708"/>
          <w:titlePg/>
          <w:docGrid w:linePitch="360"/>
        </w:sectPr>
      </w:pPr>
    </w:p>
    <w:p w14:paraId="005DB3CB" w14:textId="5CDBB0D6" w:rsidR="00423E88" w:rsidRPr="00F171A3" w:rsidRDefault="004F7C87" w:rsidP="00423E88">
      <w:pPr>
        <w:pStyle w:val="Heading1"/>
        <w:rPr>
          <w:caps w:val="0"/>
          <w:lang w:val="ro-RO"/>
        </w:rPr>
      </w:pPr>
      <w:bookmarkStart w:id="489" w:name="_Toc127199332"/>
      <w:r w:rsidRPr="00F171A3">
        <w:rPr>
          <w:caps w:val="0"/>
          <w:lang w:val="ro-RO"/>
        </w:rPr>
        <w:t>CADRUL PARTENERIAL PENTRU ELABORAREA SDLID S2</w:t>
      </w:r>
      <w:bookmarkEnd w:id="489"/>
    </w:p>
    <w:p w14:paraId="0EC694AD" w14:textId="525A416A" w:rsidR="0049216A" w:rsidRPr="00F171A3" w:rsidRDefault="0049216A" w:rsidP="0049216A">
      <w:r w:rsidRPr="00F171A3">
        <w:t xml:space="preserve">Prin </w:t>
      </w:r>
      <w:r w:rsidR="00336549" w:rsidRPr="00F171A3">
        <w:t xml:space="preserve">Strategia de Dezvoltare Locală Integrată şi Durabilă a Sectorului 2 pentru perioada 2021-2027 și post 2027, </w:t>
      </w:r>
      <w:r w:rsidRPr="00F171A3">
        <w:t xml:space="preserve">se stabilesc direcțiile de acțiune pe care va trebui să se concentreze dezvoltarea </w:t>
      </w:r>
      <w:r w:rsidR="00336549" w:rsidRPr="00F171A3">
        <w:t>Sectorului 2 al municipiului București</w:t>
      </w:r>
      <w:r w:rsidRPr="00F171A3">
        <w:t xml:space="preserve"> în perioada următoare. Pentru a contura o imagine de ansamblu reală a dinamicii dezvoltării </w:t>
      </w:r>
      <w:r w:rsidR="00336549" w:rsidRPr="00F171A3">
        <w:t>sectorului</w:t>
      </w:r>
      <w:r w:rsidRPr="00F171A3">
        <w:t xml:space="preserve"> și </w:t>
      </w:r>
      <w:r w:rsidR="00336549" w:rsidRPr="00F171A3">
        <w:t xml:space="preserve">pentru a </w:t>
      </w:r>
      <w:r w:rsidRPr="00F171A3">
        <w:t xml:space="preserve">identifica provocările locale relevante și actuale, procesul de elaborare a </w:t>
      </w:r>
      <w:r w:rsidR="00336549" w:rsidRPr="00F171A3">
        <w:t>SDLID S2</w:t>
      </w:r>
      <w:r w:rsidRPr="00F171A3">
        <w:t xml:space="preserve"> a fost unul participativ, bazat pe consultarea și implicarea comunității și actorilor locali. Ca instrument de planificare, strategia de dezvoltare trebuie să răspundă la nevoile locale de dezvoltare prin implementarea unui proces participativ în care buna guvernanță, colaborarea și implicarea comunității să reprezinte piloni de dezvoltare și să asigure continuitatea pe termen lung a viziunii de dezvoltare. </w:t>
      </w:r>
    </w:p>
    <w:p w14:paraId="73425FD3" w14:textId="30A103E9" w:rsidR="0049216A" w:rsidRPr="00F171A3" w:rsidRDefault="00336549" w:rsidP="0049216A">
      <w:r w:rsidRPr="00F171A3">
        <w:t>Prin m</w:t>
      </w:r>
      <w:r w:rsidR="0049216A" w:rsidRPr="00F171A3">
        <w:t xml:space="preserve">ecanismul de colaborare și consultare publică utilizat în procesul de elaborare a </w:t>
      </w:r>
      <w:r w:rsidRPr="00F171A3">
        <w:t xml:space="preserve">SDLID S2 se aduce </w:t>
      </w:r>
      <w:r w:rsidR="0049216A" w:rsidRPr="00F171A3">
        <w:t xml:space="preserve"> valoare adăugată în ceea ce privește asigurarea alinierii la ultimele tendințe și nevoi în domeniile de dezvoltare, astfel încât comunitatea locală să fie prezentă activ în procesul de elaborare a direcțiilor viitoare. În acest sens, în procesul de elaborare a </w:t>
      </w:r>
      <w:r w:rsidRPr="00F171A3">
        <w:t xml:space="preserve">Strategiei de Dezvoltare Locală Integrată şi Durabilă a Sectorului 2 perioada 2021-2027 </w:t>
      </w:r>
      <w:r w:rsidR="0049216A" w:rsidRPr="00F171A3">
        <w:t xml:space="preserve"> și post 2027, s-au desfășurat grupuri de lucru cu actorii relevanți și s-au realizat sondaje de opinie. Totodată în demersul de elaborare a Strategiei au fost identificați o serie de parteneri locali potențiali pentru implementarea </w:t>
      </w:r>
      <w:r w:rsidRPr="00F171A3">
        <w:t>SDLID S2</w:t>
      </w:r>
      <w:r w:rsidR="0049216A" w:rsidRPr="00F171A3">
        <w:t xml:space="preserve">, din cadrul administrației publice, reprezentanți ai mediului profesional, non-profit și cetățeni. Unii dintre aceștia au fost implicați încă din faza inițială, de analiză a nevoilor, fie prin solicitări de date și informații, fie prin chestionare sau implicarea în grupuri de lucru tematice. </w:t>
      </w:r>
    </w:p>
    <w:p w14:paraId="25C715E4" w14:textId="663F3793" w:rsidR="00423E88" w:rsidRPr="00F171A3" w:rsidRDefault="00F22459" w:rsidP="00423E88">
      <w:pPr>
        <w:pStyle w:val="Heading2"/>
        <w:rPr>
          <w:lang w:val="ro-RO"/>
        </w:rPr>
      </w:pPr>
      <w:bookmarkStart w:id="490" w:name="_Toc115110201"/>
      <w:bookmarkStart w:id="491" w:name="_Toc127199333"/>
      <w:r w:rsidRPr="00F171A3">
        <w:rPr>
          <w:caps w:val="0"/>
          <w:lang w:val="ro-RO"/>
        </w:rPr>
        <w:t>ÎNTÂLNIRILE DE CONSULTARE A CETĂȚENILOR</w:t>
      </w:r>
      <w:bookmarkEnd w:id="490"/>
      <w:bookmarkEnd w:id="491"/>
    </w:p>
    <w:p w14:paraId="619F8692" w14:textId="77777777" w:rsidR="00423E88" w:rsidRPr="00F171A3" w:rsidRDefault="00423E88" w:rsidP="00423E88">
      <w:r w:rsidRPr="00F171A3">
        <w:t xml:space="preserve">Procesul de consultare a cetățenilor din sectorul 2 cu privire la nevoile de dezvoltare ale sectorului a presupus organizarea a 7 întâlniri tematice, zonale. Întâlnirile au avut loc in  perioada 27.06.2020 – 18.07.2022 și s-au desfășurat în spațiile publice din Sectorul 2. </w:t>
      </w:r>
    </w:p>
    <w:p w14:paraId="09141DAF" w14:textId="504FD7D1" w:rsidR="00423E88" w:rsidRPr="00F171A3" w:rsidRDefault="00F22459" w:rsidP="00F22459">
      <w:pPr>
        <w:pStyle w:val="Heading3"/>
        <w:rPr>
          <w:lang w:val="ro-RO"/>
        </w:rPr>
      </w:pPr>
      <w:bookmarkStart w:id="492" w:name="_Toc115110202"/>
      <w:bookmarkStart w:id="493" w:name="_Toc127199334"/>
      <w:r w:rsidRPr="00F171A3">
        <w:rPr>
          <w:caps w:val="0"/>
          <w:lang w:val="ro-RO"/>
        </w:rPr>
        <w:t>ZONA 1 – PIPERA, TEI, FLOREASCA</w:t>
      </w:r>
      <w:bookmarkEnd w:id="492"/>
      <w:bookmarkEnd w:id="493"/>
    </w:p>
    <w:p w14:paraId="63C376CC" w14:textId="77777777" w:rsidR="00423E88" w:rsidRPr="00F171A3" w:rsidRDefault="00423E88" w:rsidP="00423E88">
      <w:r w:rsidRPr="00F171A3">
        <w:t>Ședința de consultare publică a cetățenilor din cartierele Pipera, Tei și Floreasca a avut loc în data de 27.06.2022. În urma discuțiilor, principalele probleme semnalate de către cetățeni vizează următoarele aspecte și domenii:</w:t>
      </w:r>
    </w:p>
    <w:p w14:paraId="5CB1611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Siguranța publică în parcuri;</w:t>
      </w:r>
    </w:p>
    <w:p w14:paraId="1BE6F8FD"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Salubritatea și deșeurile din cartiere;</w:t>
      </w:r>
    </w:p>
    <w:p w14:paraId="06EAD3E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Trotuare care necesită reparații;</w:t>
      </w:r>
    </w:p>
    <w:p w14:paraId="79CF53F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Construcția de blocuri în zone de case;</w:t>
      </w:r>
    </w:p>
    <w:p w14:paraId="21D6681B"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Probleme de infracționalitate și siguranță stradală;</w:t>
      </w:r>
    </w:p>
    <w:p w14:paraId="3964A10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Amplasarea și configurarea neadecvată a agenților economici din intersecțiile mari;</w:t>
      </w:r>
    </w:p>
    <w:p w14:paraId="6483A0B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Deșeurile din lacuri;</w:t>
      </w:r>
    </w:p>
    <w:p w14:paraId="28B8F495"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Colectarea neselectivă a deșeurilor;</w:t>
      </w:r>
    </w:p>
    <w:p w14:paraId="5A8BADC7"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Tarifarea serviciilor de salubritate;</w:t>
      </w:r>
    </w:p>
    <w:p w14:paraId="3B96873B" w14:textId="703E8772" w:rsidR="00423E88" w:rsidRPr="00F171A3" w:rsidRDefault="00423E88">
      <w:pPr>
        <w:numPr>
          <w:ilvl w:val="0"/>
          <w:numId w:val="85"/>
        </w:numPr>
        <w:pBdr>
          <w:top w:val="nil"/>
          <w:left w:val="nil"/>
          <w:bottom w:val="nil"/>
          <w:right w:val="nil"/>
          <w:between w:val="nil"/>
        </w:pBdr>
        <w:rPr>
          <w:color w:val="134753"/>
        </w:rPr>
      </w:pPr>
      <w:r w:rsidRPr="00F171A3">
        <w:rPr>
          <w:color w:val="134753"/>
        </w:rPr>
        <w:t>Poluarea și calitatea aerului</w:t>
      </w:r>
      <w:r w:rsidR="006C5FDD" w:rsidRPr="00F171A3">
        <w:rPr>
          <w:color w:val="134753"/>
        </w:rPr>
        <w:t>.</w:t>
      </w:r>
    </w:p>
    <w:p w14:paraId="18CEB768" w14:textId="77777777" w:rsidR="00423E88" w:rsidRPr="00F171A3" w:rsidRDefault="00423E88" w:rsidP="00423E88">
      <w:r w:rsidRPr="00F171A3">
        <w:t>Principalele propuneri din partea cetățenilor sunt:</w:t>
      </w:r>
    </w:p>
    <w:p w14:paraId="4D5EC38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unei parcări supraetajate în zona Pieței Colentina;</w:t>
      </w:r>
    </w:p>
    <w:p w14:paraId="477F2AF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de locuri de parcare pentru biciclete (Str. Brebu 4);</w:t>
      </w:r>
    </w:p>
    <w:p w14:paraId="749F3BC9"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Publicarea programului firmei de salubrizare pe site-ul Primăriei Sectorului 2;</w:t>
      </w:r>
    </w:p>
    <w:p w14:paraId="1BC57EDD"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Mecanism pentru cetățeni de urmărire a evoluției implementării proiectelor;</w:t>
      </w:r>
    </w:p>
    <w:p w14:paraId="02A0AD0B"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în parcuri a unor fântâni cu apă potabilă;</w:t>
      </w:r>
    </w:p>
    <w:p w14:paraId="691B40C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Repararea PT din zona Bd. Lacul Tei -Str. Păstorului;</w:t>
      </w:r>
    </w:p>
    <w:p w14:paraId="559124EE"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Realizarea unei campanii de informare a populației cu privire la modul de colectare selectivă a deșeurilor (compania de salubritate);</w:t>
      </w:r>
    </w:p>
    <w:p w14:paraId="3C429AF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Realizarea unei campanii de informare și educare a copiilor în școli cu privire la modul de colectare selectivă a deșeurilor (există o campanie derulată de Institute);</w:t>
      </w:r>
    </w:p>
    <w:p w14:paraId="62410EFD"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Campanii derulate în școli de reciclare hârtie + sticlă;</w:t>
      </w:r>
    </w:p>
    <w:p w14:paraId="74E8DE6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echipamentelor în spații publice pentru colectarea sticlei;</w:t>
      </w:r>
    </w:p>
    <w:p w14:paraId="24A8A46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Amplasarea de panouri fotovoltaice pe blocuri;</w:t>
      </w:r>
    </w:p>
    <w:p w14:paraId="74B7E9D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Realizarea unor terenuri de sport adiacente lacurilor (de ex. pe insula);</w:t>
      </w:r>
    </w:p>
    <w:p w14:paraId="4E92E8E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Elaborarea cărților tehnice pentru blocuri;</w:t>
      </w:r>
    </w:p>
    <w:p w14:paraId="74FE7D79"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Renovarea bazinului de înot din cadrul Liceului Teoretic C.A. Rosetti;</w:t>
      </w:r>
    </w:p>
    <w:p w14:paraId="62207FB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Păstrarea zonei verzi din zona Țițeica – Văcărescu;</w:t>
      </w:r>
    </w:p>
    <w:p w14:paraId="13CFA98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parcului Plumbuita;</w:t>
      </w:r>
    </w:p>
    <w:p w14:paraId="20A68B8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unei ferme de animale în cadrul Mănăstirii Plumbuita - deschisă publicului;</w:t>
      </w:r>
    </w:p>
    <w:p w14:paraId="3043E029"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Creșterea numărului de locuri din căminele pentru bătrâni;</w:t>
      </w:r>
    </w:p>
    <w:p w14:paraId="36FB531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Implementarea unui program de ajutorare a bătrânilor care nu se pot deplasa;</w:t>
      </w:r>
    </w:p>
    <w:p w14:paraId="62B0980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Modernizarea locurilor de joacă din Parcul Circului;</w:t>
      </w:r>
    </w:p>
    <w:p w14:paraId="2BC49D6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Organizarea unor cluburi și activități recreative pentru persoanele în vârstă din zona Tei-Parcul Circului.</w:t>
      </w:r>
    </w:p>
    <w:p w14:paraId="30D865D8" w14:textId="77777777" w:rsidR="00423E88" w:rsidRPr="00F171A3" w:rsidRDefault="00423E88" w:rsidP="00423E88">
      <w:pPr>
        <w:pStyle w:val="Focus"/>
      </w:pPr>
    </w:p>
    <w:p w14:paraId="78C7E3FC" w14:textId="0DA3BEEB" w:rsidR="00423E88" w:rsidRPr="00F171A3" w:rsidRDefault="00F22459" w:rsidP="00F22459">
      <w:pPr>
        <w:pStyle w:val="Heading3"/>
        <w:rPr>
          <w:lang w:val="ro-RO"/>
        </w:rPr>
      </w:pPr>
      <w:bookmarkStart w:id="494" w:name="_Toc115110203"/>
      <w:bookmarkStart w:id="495" w:name="_Toc127199335"/>
      <w:r w:rsidRPr="00F171A3">
        <w:rPr>
          <w:caps w:val="0"/>
          <w:lang w:val="ro-RO"/>
        </w:rPr>
        <w:t>ZONA 2 – VATRA LUMINOASĂ, PANTELIMON</w:t>
      </w:r>
      <w:bookmarkEnd w:id="494"/>
      <w:bookmarkEnd w:id="495"/>
    </w:p>
    <w:p w14:paraId="2782368E" w14:textId="77777777" w:rsidR="00423E88" w:rsidRPr="00F171A3" w:rsidRDefault="00423E88" w:rsidP="00423E88">
      <w:r w:rsidRPr="00F171A3">
        <w:t>Ședința de consultare publică a cetățenilor din cartierele Vatra Luminoasă și Pantelimon a avut loc în data de 28.06.2022.</w:t>
      </w:r>
    </w:p>
    <w:p w14:paraId="4973B0BD" w14:textId="77777777" w:rsidR="00423E88" w:rsidRPr="00F171A3" w:rsidRDefault="00423E88" w:rsidP="00423E88">
      <w:r w:rsidRPr="00F171A3">
        <w:t>În urma discuțiilor, principalele probleme semnalate de către cetățeni vizează următoarele aspecte și domenii:</w:t>
      </w:r>
    </w:p>
    <w:p w14:paraId="7650239D"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Salubritatea și deșeurile din cartiere (gunoi stradal);</w:t>
      </w:r>
    </w:p>
    <w:p w14:paraId="7B733FE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Colectarea problematică a deșeurilor;</w:t>
      </w:r>
    </w:p>
    <w:p w14:paraId="0F66B91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 xml:space="preserve">Probleme de infracționalitate și siguranță stradală; </w:t>
      </w:r>
    </w:p>
    <w:p w14:paraId="72D66D4E"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Vandalizarea parcurilor și a locurilor de joacă de către tineri;</w:t>
      </w:r>
    </w:p>
    <w:p w14:paraId="272C490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Existența unor blocuri nereabilitate termic;</w:t>
      </w:r>
    </w:p>
    <w:p w14:paraId="68F9E5B5" w14:textId="2E37B8A6" w:rsidR="00423E88" w:rsidRPr="00F171A3" w:rsidRDefault="00423E88">
      <w:pPr>
        <w:numPr>
          <w:ilvl w:val="0"/>
          <w:numId w:val="85"/>
        </w:numPr>
        <w:pBdr>
          <w:top w:val="nil"/>
          <w:left w:val="nil"/>
          <w:bottom w:val="nil"/>
          <w:right w:val="nil"/>
          <w:between w:val="nil"/>
        </w:pBdr>
        <w:rPr>
          <w:color w:val="134753"/>
        </w:rPr>
      </w:pPr>
      <w:r w:rsidRPr="00F171A3">
        <w:rPr>
          <w:color w:val="134753"/>
        </w:rPr>
        <w:t>Mașini parcate ilegal pe trotuare</w:t>
      </w:r>
      <w:r w:rsidR="006C5FDD" w:rsidRPr="00F171A3">
        <w:rPr>
          <w:color w:val="134753"/>
        </w:rPr>
        <w:t>.</w:t>
      </w:r>
    </w:p>
    <w:p w14:paraId="55EE46FD" w14:textId="77777777" w:rsidR="00423E88" w:rsidRPr="00F171A3" w:rsidRDefault="00423E88" w:rsidP="00423E88">
      <w:r w:rsidRPr="00F171A3">
        <w:t>Principalele propuneri din partea cetățenilor sunt:</w:t>
      </w:r>
    </w:p>
    <w:p w14:paraId="312649E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spațiilor verzi adiacente blocurilor - montarea de bănci;</w:t>
      </w:r>
    </w:p>
    <w:p w14:paraId="24ECFAC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Redeschiderea Centrului comunitar Pantelimon;</w:t>
      </w:r>
    </w:p>
    <w:p w14:paraId="325D8D6B"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Realizarea de parcări supraetajate;</w:t>
      </w:r>
    </w:p>
    <w:p w14:paraId="4A0715A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Eliberarea trotuarelor de mașinile parcate ilegal;</w:t>
      </w:r>
    </w:p>
    <w:p w14:paraId="0CD61145"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Creșterea numărului locurilor de parcare;</w:t>
      </w:r>
    </w:p>
    <w:p w14:paraId="0B612BA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Reabilitarea blocurilor de locuințe;</w:t>
      </w:r>
    </w:p>
    <w:p w14:paraId="29D395B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Acțiuni de deratizare / dezinsecție;</w:t>
      </w:r>
    </w:p>
    <w:p w14:paraId="35240365"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spațiilor verzi din jurul blocurilor prin implicarea locuitorilor;</w:t>
      </w:r>
    </w:p>
    <w:p w14:paraId="41A3191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Reabilitarea liniei de tramvai 16;</w:t>
      </w:r>
    </w:p>
    <w:p w14:paraId="2905D08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Finalizarea lucrărilor de amenajare a parcului Sf. Pantelimon;</w:t>
      </w:r>
    </w:p>
    <w:p w14:paraId="5F1CE69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Creșterea numărului de coșuri de gunoi de pe străzi;</w:t>
      </w:r>
    </w:p>
    <w:p w14:paraId="72C60C4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Îmbunătățirea modului de comunicare al autorităților publice locale cu cetățenii;</w:t>
      </w:r>
    </w:p>
    <w:p w14:paraId="32D13A09"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Aplicarea de amenzi pentru vandalizarea parcurilor;</w:t>
      </w:r>
    </w:p>
    <w:p w14:paraId="1FAC411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Construirea unei parcări etajate în zona Obor;</w:t>
      </w:r>
    </w:p>
    <w:p w14:paraId="2E48DBD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Străzi cu sensuri unice;</w:t>
      </w:r>
    </w:p>
    <w:p w14:paraId="3C2625C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Dezvoltarea unei aplicații pentru sesizări, gestionată de PS2;</w:t>
      </w:r>
    </w:p>
    <w:p w14:paraId="1E838A3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de acoperișuri verzi la blocuri;</w:t>
      </w:r>
    </w:p>
    <w:p w14:paraId="375990A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Perdele de vegetație în lungul străzilor;</w:t>
      </w:r>
    </w:p>
    <w:p w14:paraId="020E62F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Înlocuirea gardurilor metalice cu garduri vii, în zonele blocurilor;</w:t>
      </w:r>
    </w:p>
    <w:p w14:paraId="7CF7FFA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de spații verzi în cadrul parcărilor;</w:t>
      </w:r>
    </w:p>
    <w:p w14:paraId="511702DB"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de piste de biciclete;</w:t>
      </w:r>
    </w:p>
    <w:p w14:paraId="7AD57907"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Implicarea persoanelor asistate social  în procesul de reciclare sau de curățare a străzilor;</w:t>
      </w:r>
    </w:p>
    <w:p w14:paraId="6A90E9D7"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Suplimentarea echipamentelor din locurile de joacă din parcul Morarilor și amenajarea unei tiroliene;</w:t>
      </w:r>
    </w:p>
    <w:p w14:paraId="5467D75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Defrișarea copacilor bolnavi;</w:t>
      </w:r>
    </w:p>
    <w:p w14:paraId="2EBBFBB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Analizarea posibilității montării de centrale de bloc;</w:t>
      </w:r>
    </w:p>
    <w:p w14:paraId="7CB48BA5"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Reabilitarea amfiteatrului Mihai Eminescu;</w:t>
      </w:r>
    </w:p>
    <w:p w14:paraId="355E35E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 club de copii și seniori;</w:t>
      </w:r>
    </w:p>
    <w:p w14:paraId="7A4777A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Campanie de educare și informare a populației cu privire la modul de colectare selectivă a deșeurilor;</w:t>
      </w:r>
    </w:p>
    <w:p w14:paraId="22C6F2A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Realizarea de stații de compostare pentru deșeurile vegetale (cu precădere în zona blocurilor);</w:t>
      </w:r>
    </w:p>
    <w:p w14:paraId="4556C8C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Program de educare a populației privind amenajarea spațiilor verzi adiacente blocurilor;</w:t>
      </w:r>
    </w:p>
    <w:p w14:paraId="2D606BC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Accesarea infrastructurii sportive, fără perceperea de taxe, în anumite intervale orare;</w:t>
      </w:r>
    </w:p>
    <w:p w14:paraId="67139F10" w14:textId="2602A578" w:rsidR="00423E88" w:rsidRPr="00F171A3" w:rsidRDefault="00423E88">
      <w:pPr>
        <w:numPr>
          <w:ilvl w:val="0"/>
          <w:numId w:val="85"/>
        </w:numPr>
        <w:pBdr>
          <w:top w:val="nil"/>
          <w:left w:val="nil"/>
          <w:bottom w:val="nil"/>
          <w:right w:val="nil"/>
          <w:between w:val="nil"/>
        </w:pBdr>
        <w:rPr>
          <w:color w:val="134753"/>
        </w:rPr>
      </w:pPr>
      <w:r w:rsidRPr="00F171A3">
        <w:rPr>
          <w:color w:val="134753"/>
        </w:rPr>
        <w:t>Reabilitarea și modernizarea trotuarelor</w:t>
      </w:r>
      <w:r w:rsidR="006C5FDD" w:rsidRPr="00F171A3">
        <w:rPr>
          <w:color w:val="134753"/>
        </w:rPr>
        <w:t>.</w:t>
      </w:r>
    </w:p>
    <w:p w14:paraId="76CA069F" w14:textId="77777777" w:rsidR="00423E88" w:rsidRPr="00F171A3" w:rsidRDefault="00423E88" w:rsidP="00423E88"/>
    <w:p w14:paraId="3F6CEB7C" w14:textId="09298F94" w:rsidR="00423E88" w:rsidRPr="00F171A3" w:rsidRDefault="00F22459" w:rsidP="00F22459">
      <w:pPr>
        <w:pStyle w:val="Heading3"/>
        <w:rPr>
          <w:lang w:val="ro-RO"/>
        </w:rPr>
      </w:pPr>
      <w:bookmarkStart w:id="496" w:name="_Toc115110204"/>
      <w:bookmarkStart w:id="497" w:name="_Toc127199336"/>
      <w:r w:rsidRPr="00F171A3">
        <w:rPr>
          <w:caps w:val="0"/>
          <w:lang w:val="ro-RO"/>
        </w:rPr>
        <w:t>ZONA 3 – FUNDENI, PLUMBUITA, COLENTINA</w:t>
      </w:r>
      <w:bookmarkEnd w:id="496"/>
      <w:bookmarkEnd w:id="497"/>
    </w:p>
    <w:p w14:paraId="2CA63B7B" w14:textId="77777777" w:rsidR="00423E88" w:rsidRPr="00F171A3" w:rsidRDefault="00423E88" w:rsidP="00423E88">
      <w:r w:rsidRPr="00F171A3">
        <w:t>Ședința de consultare publică a cetățenilor din cartierele Fundeni, Plumbuita și Colentina a avut loc în data de 12.07.2022.</w:t>
      </w:r>
    </w:p>
    <w:p w14:paraId="0044AA7D" w14:textId="77777777" w:rsidR="00423E88" w:rsidRPr="00F171A3" w:rsidRDefault="00423E88" w:rsidP="00423E88">
      <w:r w:rsidRPr="00F171A3">
        <w:t>În urma discuțiilor, principalele probleme semnalate de către cetățeni vizează următoarele aspecte și domenii:</w:t>
      </w:r>
    </w:p>
    <w:p w14:paraId="654D37D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Defrișarea copacilor din zona Tei;</w:t>
      </w:r>
    </w:p>
    <w:p w14:paraId="5E649A1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Densificarea fondului construit în zona Floreasca;</w:t>
      </w:r>
    </w:p>
    <w:p w14:paraId="54790C5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Progrese lente în ceea ce privește proiectele de anvelopare termică a clădirilor;</w:t>
      </w:r>
    </w:p>
    <w:p w14:paraId="42DA921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Necesitatea dezvoltării infrastructurii de sănătate – policlinici;</w:t>
      </w:r>
    </w:p>
    <w:p w14:paraId="5622355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Problema zonelor industriale abandonate pentru care sunt propuse dezvoltări imobiliare: zona Electronicii, platforma Aversa;</w:t>
      </w:r>
    </w:p>
    <w:p w14:paraId="7965606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Poluarea fonică de pe marile bulevarde;</w:t>
      </w:r>
    </w:p>
    <w:p w14:paraId="412F93A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Salubritatea și procesul de colectare și reciclare în zona blocurilor;</w:t>
      </w:r>
    </w:p>
    <w:p w14:paraId="593F3D1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Calitatea amenajărilor din parcul Fabrica de Gheață;</w:t>
      </w:r>
    </w:p>
    <w:p w14:paraId="6A1663C7"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 xml:space="preserve">Dezvoltarea imobiliară haotică din zona Fabrica de Gheață (Gran Via), Tei Toboc, Andronache (realizarea de blocuri între case, număr insuficient de locuri de parcare); </w:t>
      </w:r>
    </w:p>
    <w:p w14:paraId="77FEC8BE"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Dezvoltarea imobiliară a terenului fostei fabrici Helitube;</w:t>
      </w:r>
    </w:p>
    <w:p w14:paraId="0468201B"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Lipsa coșurilor de gunoi stradale pe Șoseaua Colentina;</w:t>
      </w:r>
    </w:p>
    <w:p w14:paraId="29A461A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Starea deficitară a infrastructurii sportive din parcul Plumbuita;</w:t>
      </w:r>
    </w:p>
    <w:p w14:paraId="2F807EB1" w14:textId="282E877F" w:rsidR="00423E88" w:rsidRPr="00F171A3" w:rsidRDefault="00423E88">
      <w:pPr>
        <w:numPr>
          <w:ilvl w:val="0"/>
          <w:numId w:val="85"/>
        </w:numPr>
        <w:pBdr>
          <w:top w:val="nil"/>
          <w:left w:val="nil"/>
          <w:bottom w:val="nil"/>
          <w:right w:val="nil"/>
          <w:between w:val="nil"/>
        </w:pBdr>
      </w:pPr>
      <w:r w:rsidRPr="00F171A3">
        <w:rPr>
          <w:color w:val="134753"/>
        </w:rPr>
        <w:t>Locuri de parcări insuficiente</w:t>
      </w:r>
      <w:r w:rsidR="006C5FDD" w:rsidRPr="00F171A3">
        <w:rPr>
          <w:color w:val="134753"/>
        </w:rPr>
        <w:t>.</w:t>
      </w:r>
    </w:p>
    <w:p w14:paraId="6F892683" w14:textId="77777777" w:rsidR="00423E88" w:rsidRPr="00F171A3" w:rsidRDefault="00423E88" w:rsidP="00423E88">
      <w:r w:rsidRPr="00F171A3">
        <w:t>Principalele propuneri din partea cetățenilor sunt:</w:t>
      </w:r>
    </w:p>
    <w:p w14:paraId="7B97641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Modernizare și amenajare Parc Plumbuita II;</w:t>
      </w:r>
    </w:p>
    <w:p w14:paraId="79E824A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Deschiderea Pieței Cremenița sau transformarea în piață de gros;</w:t>
      </w:r>
    </w:p>
    <w:p w14:paraId="59D38B4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Reamenajarea spațiilor verzi din zona Colentina;</w:t>
      </w:r>
    </w:p>
    <w:p w14:paraId="23926CC6"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Reabilitarea scărilor de blocuri și realizarea de rampe de acces;</w:t>
      </w:r>
    </w:p>
    <w:p w14:paraId="43639CD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Eliminarea gardurilor care împrejmuiesc spațiile verzi;</w:t>
      </w:r>
    </w:p>
    <w:p w14:paraId="5F8453F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de noi insule artificiale pe lacuri; crearea de noi habitate;</w:t>
      </w:r>
    </w:p>
    <w:p w14:paraId="7297357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Creșterea suprafeței de spații verzi – amenajarea de alveole cu copaci pe marile bulevarde;</w:t>
      </w:r>
    </w:p>
    <w:p w14:paraId="2DEA787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Redeschiderea unităților de tip afterschool închise în timpul pandemiei;</w:t>
      </w:r>
    </w:p>
    <w:p w14:paraId="171D02B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Organizarea de școli de vară pentru elevi (este necesară implicarea părinților și a profesorilor);</w:t>
      </w:r>
    </w:p>
    <w:p w14:paraId="4EFD0B6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trecerilor de pietoni și a pistelor de biciclete cu mixturi asfaltice colorate;</w:t>
      </w:r>
    </w:p>
    <w:p w14:paraId="5CAA623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de parcări rezidențiale;</w:t>
      </w:r>
    </w:p>
    <w:p w14:paraId="0F872AA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Crearea de străzi ocazional carosabile;</w:t>
      </w:r>
    </w:p>
    <w:p w14:paraId="4F7D265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Publicarea programului firmei de salubritate pentru curățarea străzilor și interzicerea parcării în intervalul orar respectiv;</w:t>
      </w:r>
    </w:p>
    <w:p w14:paraId="0F356666"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Montarea de panouri solare pe blocuri la inițiativa asociațiilor de proprietari (iluminarea casei scării și funcționarea liftului);</w:t>
      </w:r>
    </w:p>
    <w:p w14:paraId="0EA61BC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Asigurarea accesului gratuit al copiilor la facilitățile sportive din sector – construire bazin de înot și velodrom;</w:t>
      </w:r>
    </w:p>
    <w:p w14:paraId="1583F756"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Îmbunătățirea comunicării dintre Primăria Sectorului 2 și cetățeni;</w:t>
      </w:r>
    </w:p>
    <w:p w14:paraId="02B45C8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Utilizarea serelor ADP pentru producția de fructe și legume și comercializarea acestora în piețele din Sectorul 2;</w:t>
      </w:r>
    </w:p>
    <w:p w14:paraId="5C4DBEE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Construirea și amenajarea de baze și utilități sportive în Sectorul 2;</w:t>
      </w:r>
    </w:p>
    <w:p w14:paraId="2DA11E9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Dezvoltarea învățământului dual și revitalizarea liceelor industriale;</w:t>
      </w:r>
    </w:p>
    <w:p w14:paraId="191FC866"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Reabilitarea stațiilor STB;</w:t>
      </w:r>
    </w:p>
    <w:p w14:paraId="7357AB59" w14:textId="4561C155" w:rsidR="00423E88" w:rsidRPr="00F171A3" w:rsidRDefault="00423E88">
      <w:pPr>
        <w:numPr>
          <w:ilvl w:val="0"/>
          <w:numId w:val="85"/>
        </w:numPr>
        <w:pBdr>
          <w:top w:val="nil"/>
          <w:left w:val="nil"/>
          <w:bottom w:val="nil"/>
          <w:right w:val="nil"/>
          <w:between w:val="nil"/>
        </w:pBdr>
        <w:rPr>
          <w:color w:val="134753"/>
        </w:rPr>
      </w:pPr>
      <w:r w:rsidRPr="00F171A3">
        <w:rPr>
          <w:color w:val="134753"/>
        </w:rPr>
        <w:t>Descentralizarea termoficării și integrarea tehnologiilor verzi</w:t>
      </w:r>
      <w:r w:rsidR="006C5FDD" w:rsidRPr="00F171A3">
        <w:rPr>
          <w:color w:val="134753"/>
        </w:rPr>
        <w:t>.</w:t>
      </w:r>
    </w:p>
    <w:p w14:paraId="05555B50" w14:textId="77777777" w:rsidR="00423E88" w:rsidRPr="00F171A3" w:rsidRDefault="00423E88" w:rsidP="00423E88"/>
    <w:p w14:paraId="369CC7C8" w14:textId="7FF6227B" w:rsidR="00423E88" w:rsidRPr="00F171A3" w:rsidRDefault="00F22459" w:rsidP="00F22459">
      <w:pPr>
        <w:pStyle w:val="Heading3"/>
        <w:rPr>
          <w:lang w:val="ro-RO"/>
        </w:rPr>
      </w:pPr>
      <w:bookmarkStart w:id="498" w:name="_Toc115110205"/>
      <w:bookmarkStart w:id="499" w:name="_Toc127199337"/>
      <w:r w:rsidRPr="00F171A3">
        <w:rPr>
          <w:caps w:val="0"/>
          <w:lang w:val="ro-RO"/>
        </w:rPr>
        <w:t>ZONA 4 – EMINESCU,  PIAȚA ROMANA,  UNIVERSITATE, STEFAN CEL MARE</w:t>
      </w:r>
      <w:bookmarkEnd w:id="498"/>
      <w:bookmarkEnd w:id="499"/>
    </w:p>
    <w:p w14:paraId="37A91494" w14:textId="77777777" w:rsidR="00423E88" w:rsidRPr="00F171A3" w:rsidRDefault="00423E88" w:rsidP="00423E88">
      <w:r w:rsidRPr="00F171A3">
        <w:t>Ședința de consultare publică a cetățenilor din cartierele Eminescu, Piața Romană, Universitate și Ștefan cel Mare a avut loc în data de 13.07.2022.</w:t>
      </w:r>
    </w:p>
    <w:p w14:paraId="6C875232" w14:textId="77777777" w:rsidR="00423E88" w:rsidRPr="00F171A3" w:rsidRDefault="00423E88" w:rsidP="00423E88">
      <w:r w:rsidRPr="00F171A3">
        <w:t>În urma discuțiilor, principalele probleme semnalate de către cetățeni vizează următoarele aspecte și domenii:</w:t>
      </w:r>
    </w:p>
    <w:p w14:paraId="1E693F9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Lipsa spațiului amplasarea containerelor pentru colectare selectivă;</w:t>
      </w:r>
    </w:p>
    <w:p w14:paraId="46B9BF1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În zona centrală există numeroase blocuri cu instalații electrice învechite care prezintă risc de incendiu</w:t>
      </w:r>
    </w:p>
    <w:p w14:paraId="5EE51F36"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Parcarea ilegală a mașinilor pe trotuare;</w:t>
      </w:r>
    </w:p>
    <w:p w14:paraId="16EB417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Număr mare de clădiri nereabilitate termic;</w:t>
      </w:r>
    </w:p>
    <w:p w14:paraId="5A3C67A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Locuri insuficiente în creșe și grădinițe;</w:t>
      </w:r>
    </w:p>
    <w:p w14:paraId="5A6216B6"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Grad înalt de poluare, inclusiv fonică și vizuală;</w:t>
      </w:r>
    </w:p>
    <w:p w14:paraId="000E2D2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Starea precară a unor spații verzi;</w:t>
      </w:r>
    </w:p>
    <w:p w14:paraId="3AE7976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Ambuteiaje și trafic auto îngreunat;</w:t>
      </w:r>
    </w:p>
    <w:p w14:paraId="61A8EB0B"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Infrastructura sportivă și culturală modest dezvoltată;</w:t>
      </w:r>
    </w:p>
    <w:p w14:paraId="4E9E4716" w14:textId="05AE7A2E" w:rsidR="00423E88" w:rsidRPr="00F171A3" w:rsidRDefault="00423E88">
      <w:pPr>
        <w:numPr>
          <w:ilvl w:val="0"/>
          <w:numId w:val="85"/>
        </w:numPr>
        <w:pBdr>
          <w:top w:val="nil"/>
          <w:left w:val="nil"/>
          <w:bottom w:val="nil"/>
          <w:right w:val="nil"/>
          <w:between w:val="nil"/>
        </w:pBdr>
      </w:pPr>
      <w:r w:rsidRPr="00F171A3">
        <w:rPr>
          <w:color w:val="134753"/>
        </w:rPr>
        <w:t>Infrastructura rutieră uzată</w:t>
      </w:r>
      <w:r w:rsidR="006C5FDD" w:rsidRPr="00F171A3">
        <w:rPr>
          <w:color w:val="134753"/>
        </w:rPr>
        <w:t>.</w:t>
      </w:r>
    </w:p>
    <w:p w14:paraId="2919F2EE" w14:textId="77777777" w:rsidR="00423E88" w:rsidRPr="00F171A3" w:rsidRDefault="00423E88" w:rsidP="00423E88">
      <w:bookmarkStart w:id="500" w:name="_Hlk114683708"/>
      <w:r w:rsidRPr="00F171A3">
        <w:t>Principalele propuneri din partea cetățenilor sunt:</w:t>
      </w:r>
    </w:p>
    <w:bookmarkEnd w:id="500"/>
    <w:p w14:paraId="6389696E"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Modernizarea Pieței Galați;</w:t>
      </w:r>
    </w:p>
    <w:p w14:paraId="299E7A0D"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Deschiderea curților școlilor pentru activități sportive;</w:t>
      </w:r>
    </w:p>
    <w:p w14:paraId="3FBD1D7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Reducerea poluării fonice prin finisaje stradale, utilizarea tramvaiului, plantarea de perdele de vegetație;</w:t>
      </w:r>
    </w:p>
    <w:p w14:paraId="551F2DE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Reducerea poluării vizuale – iluminat nocturn prin schimbarea corpurilor de iluminat;</w:t>
      </w:r>
    </w:p>
    <w:p w14:paraId="2831A794"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Amplasarea de panouri fotovoltaice pe blocuri;</w:t>
      </w:r>
    </w:p>
    <w:p w14:paraId="13F6A16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Realizarea de operațiuni de deratizare și dezinsecție;</w:t>
      </w:r>
    </w:p>
    <w:p w14:paraId="779993B9"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Măsuri de revitalizare a spațiilor comerciale de pe Str. Eminescu;</w:t>
      </w:r>
    </w:p>
    <w:p w14:paraId="59C514B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Montarea de indicatoare către obiectivele culturale/turistice (monumentele istorice);</w:t>
      </w:r>
    </w:p>
    <w:p w14:paraId="78B8C21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Dezvoltarea unei aplicații web care să furnizeze informații despre obiectivele turistice;</w:t>
      </w:r>
    </w:p>
    <w:p w14:paraId="62F9DD3E"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Refacerea marcajelor rutiere din zona centrală;</w:t>
      </w:r>
    </w:p>
    <w:p w14:paraId="26A9701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Montarea de coșuri de gunoi pe străzi și în parcul Ioanid;</w:t>
      </w:r>
    </w:p>
    <w:p w14:paraId="4D3CD5CD"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Montarea de toalete publice pentru copii;</w:t>
      </w:r>
    </w:p>
    <w:p w14:paraId="31E2F7F5"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Platforme de colectare a sticlei amplasate în spații publice;</w:t>
      </w:r>
    </w:p>
    <w:p w14:paraId="6B4F4DB7"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Amenajarea de locuri de parcare rezidențiale în centru (tarif diferențiat);</w:t>
      </w:r>
    </w:p>
    <w:p w14:paraId="5C654BE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Dezvoltarea unei platforme web prin intermediul căreia să se realizeze consultarea cetățenilor în procesul de implementare a investițiilor publice;</w:t>
      </w:r>
    </w:p>
    <w:p w14:paraId="351DE8C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Dezvoltarea infrastructurii sportive din zona centrală;</w:t>
      </w:r>
    </w:p>
    <w:p w14:paraId="57792BC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Dezvoltarea unui sistem de sensuri unice în zona centrală;</w:t>
      </w:r>
    </w:p>
    <w:p w14:paraId="5E90942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Dezvoltarea în cadrul Primăriei Sectorului 2 a unui serviciu de consultanță juridică pentru asociațiile de proprietari;</w:t>
      </w:r>
    </w:p>
    <w:p w14:paraId="6B90A4D6"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Modernizarea parcajului din Piața Spaniei;</w:t>
      </w:r>
    </w:p>
    <w:p w14:paraId="27108B92" w14:textId="09B724BE" w:rsidR="00423E88" w:rsidRPr="00F171A3" w:rsidRDefault="00423E88">
      <w:pPr>
        <w:numPr>
          <w:ilvl w:val="0"/>
          <w:numId w:val="85"/>
        </w:numPr>
        <w:pBdr>
          <w:top w:val="nil"/>
          <w:left w:val="nil"/>
          <w:bottom w:val="nil"/>
          <w:right w:val="nil"/>
          <w:between w:val="nil"/>
        </w:pBdr>
      </w:pPr>
      <w:r w:rsidRPr="00F171A3">
        <w:rPr>
          <w:color w:val="134753"/>
        </w:rPr>
        <w:t>Amenajarea de noi spații verzi</w:t>
      </w:r>
      <w:r w:rsidR="006C5FDD" w:rsidRPr="00F171A3">
        <w:rPr>
          <w:color w:val="134753"/>
        </w:rPr>
        <w:t>.</w:t>
      </w:r>
    </w:p>
    <w:p w14:paraId="40C7342F" w14:textId="77777777" w:rsidR="00423E88" w:rsidRPr="00F171A3" w:rsidRDefault="00423E88" w:rsidP="00423E88">
      <w:pPr>
        <w:ind w:left="360"/>
      </w:pPr>
    </w:p>
    <w:p w14:paraId="3529C83D" w14:textId="2A49BC22" w:rsidR="00423E88" w:rsidRPr="00F171A3" w:rsidRDefault="00F22459" w:rsidP="00F22459">
      <w:pPr>
        <w:pStyle w:val="Heading3"/>
        <w:rPr>
          <w:lang w:val="ro-RO"/>
        </w:rPr>
      </w:pPr>
      <w:bookmarkStart w:id="501" w:name="_Toc115110206"/>
      <w:bookmarkStart w:id="502" w:name="_Toc127199338"/>
      <w:r w:rsidRPr="00F171A3">
        <w:rPr>
          <w:caps w:val="0"/>
          <w:lang w:val="ro-RO"/>
        </w:rPr>
        <w:t>ZONA 5 – CALEA CĂLĂRAȘILOR, PACHE PROTOPOPESCU, FERDINAND</w:t>
      </w:r>
      <w:bookmarkEnd w:id="501"/>
      <w:bookmarkEnd w:id="502"/>
    </w:p>
    <w:p w14:paraId="1EF3ABD9" w14:textId="77777777" w:rsidR="00423E88" w:rsidRPr="00F171A3" w:rsidRDefault="00423E88" w:rsidP="00423E88">
      <w:r w:rsidRPr="00F171A3">
        <w:t>Ședința de consultare publică a cetățenilor din cartierele Calea Călărașilor, Pache Protopopescu, Ferdinand, a avut loc în data de 14.07.2022.</w:t>
      </w:r>
    </w:p>
    <w:p w14:paraId="05145597" w14:textId="77777777" w:rsidR="00423E88" w:rsidRPr="00F171A3" w:rsidRDefault="00423E88" w:rsidP="00423E88">
      <w:r w:rsidRPr="00F171A3">
        <w:t>În urma discuțiilor, principalele probleme semnalate de către cetățeni vizează următoarele aspecte și domenii:</w:t>
      </w:r>
    </w:p>
    <w:p w14:paraId="7824265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Bordurile înalte ale trotuarelor – accesibilitate dificilă pentru mămicile cu cărucioare;</w:t>
      </w:r>
    </w:p>
    <w:p w14:paraId="1DDFE96B"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Depozitarea deșeurilor voluminoase pe stradă în ziua în care nu se ridică gunoiul; </w:t>
      </w:r>
    </w:p>
    <w:p w14:paraId="320A73A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Lipsa unor locuri / zone pentru depozitarea deșeurilor voluminoase; </w:t>
      </w:r>
    </w:p>
    <w:p w14:paraId="5602C57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Plantarea mai multor copaci de aliniament pentru poluarea fonică; </w:t>
      </w:r>
    </w:p>
    <w:p w14:paraId="435D9E13"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Lipsa parcurilor pentru copii și a zonelor pentru animale; </w:t>
      </w:r>
    </w:p>
    <w:p w14:paraId="79861BCF" w14:textId="07F81EF1" w:rsidR="00423E88" w:rsidRPr="00F171A3" w:rsidRDefault="00423E88">
      <w:pPr>
        <w:numPr>
          <w:ilvl w:val="0"/>
          <w:numId w:val="85"/>
        </w:numPr>
        <w:pBdr>
          <w:top w:val="nil"/>
          <w:left w:val="nil"/>
          <w:bottom w:val="nil"/>
          <w:right w:val="nil"/>
          <w:between w:val="nil"/>
        </w:pBdr>
        <w:rPr>
          <w:color w:val="134753"/>
        </w:rPr>
      </w:pPr>
      <w:r w:rsidRPr="00F171A3">
        <w:rPr>
          <w:color w:val="134753"/>
        </w:rPr>
        <w:t>Poluare fonică generată de șantierele private din zonă; </w:t>
      </w:r>
    </w:p>
    <w:p w14:paraId="28E5DD65"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Construcții ilegale în zonă: supraetajări etc; </w:t>
      </w:r>
    </w:p>
    <w:p w14:paraId="156B35A6"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Lipsa comunicării între instituții – ex. ADP și cetățenii din zonă; </w:t>
      </w:r>
    </w:p>
    <w:p w14:paraId="4CF5DF7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Locurile de parcare din blocurile noi construite nu sunt folosite; </w:t>
      </w:r>
    </w:p>
    <w:p w14:paraId="037D6C46" w14:textId="5465C4E7" w:rsidR="00423E88" w:rsidRPr="00F171A3" w:rsidRDefault="00423E88">
      <w:pPr>
        <w:numPr>
          <w:ilvl w:val="0"/>
          <w:numId w:val="85"/>
        </w:numPr>
        <w:pBdr>
          <w:top w:val="nil"/>
          <w:left w:val="nil"/>
          <w:bottom w:val="nil"/>
          <w:right w:val="nil"/>
          <w:between w:val="nil"/>
        </w:pBdr>
        <w:rPr>
          <w:color w:val="134753"/>
        </w:rPr>
      </w:pPr>
      <w:r w:rsidRPr="00F171A3">
        <w:rPr>
          <w:color w:val="134753"/>
        </w:rPr>
        <w:t xml:space="preserve">La Parcul Rond nu există trecere de pietoni. </w:t>
      </w:r>
    </w:p>
    <w:p w14:paraId="7DAF7080" w14:textId="77777777" w:rsidR="00423E88" w:rsidRPr="00F171A3" w:rsidRDefault="00423E88" w:rsidP="00423E88">
      <w:pPr>
        <w:jc w:val="left"/>
      </w:pPr>
      <w:r w:rsidRPr="00F171A3">
        <w:t>Principalele propuneri din partea cetățenilor sunt:</w:t>
      </w:r>
    </w:p>
    <w:p w14:paraId="4E7BCBB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Sistematizarea străzilor secundare prin crearea unor sensuri unice;</w:t>
      </w:r>
    </w:p>
    <w:p w14:paraId="7E4431EE"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Crearea unei parcări pentru zonele rezidențiale;</w:t>
      </w:r>
    </w:p>
    <w:p w14:paraId="193C659C"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Prezența mai mare a poliției locale în stradă – în special seara;</w:t>
      </w:r>
    </w:p>
    <w:p w14:paraId="3D12C5BF"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Intervenții la borduri pentru toate persoanele cu deficiențe; </w:t>
      </w:r>
    </w:p>
    <w:p w14:paraId="1439137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Gestionarea deșeurilor la nivel municipal – selectare deșeuri, pubele îngropate etc; </w:t>
      </w:r>
    </w:p>
    <w:p w14:paraId="6CABB4D5"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Abonament de plată pentru gunoi; </w:t>
      </w:r>
    </w:p>
    <w:p w14:paraId="124546F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Igienizarea spațiilor publice – în special în zonele rezidențiale; </w:t>
      </w:r>
    </w:p>
    <w:p w14:paraId="06C047AD"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Dezinsecția ți deratizarea în proprietățile private – făcută de municipalitate; </w:t>
      </w:r>
    </w:p>
    <w:p w14:paraId="198A7870"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Toaletarea spațiului publice; </w:t>
      </w:r>
    </w:p>
    <w:p w14:paraId="703B2A31"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Stimulente financiare pentru refacerea fațadelor din proprietate privată – exemplu Oradea; </w:t>
      </w:r>
    </w:p>
    <w:p w14:paraId="28CE7AE9"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Consolidarea clădirilor monumente istorice;</w:t>
      </w:r>
    </w:p>
    <w:p w14:paraId="144DFFB5"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Campanie de conștientizare a populației despre proiectele viitoare;</w:t>
      </w:r>
    </w:p>
    <w:p w14:paraId="0F578C09"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Platformă de comunicare cu cetățeni; </w:t>
      </w:r>
    </w:p>
    <w:p w14:paraId="2CA40179"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Instituirea unor inspectori zonali; </w:t>
      </w:r>
    </w:p>
    <w:p w14:paraId="2AD94E62"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 xml:space="preserve">Aplicație de verificat autorizațiile de construire – proiect în curs de elaborare de PS2; </w:t>
      </w:r>
    </w:p>
    <w:p w14:paraId="6DA0CDC1" w14:textId="1DE723CC" w:rsidR="00423E88" w:rsidRPr="00F171A3" w:rsidRDefault="00423E88">
      <w:pPr>
        <w:numPr>
          <w:ilvl w:val="0"/>
          <w:numId w:val="85"/>
        </w:numPr>
        <w:pBdr>
          <w:top w:val="nil"/>
          <w:left w:val="nil"/>
          <w:bottom w:val="nil"/>
          <w:right w:val="nil"/>
          <w:between w:val="nil"/>
        </w:pBdr>
        <w:rPr>
          <w:color w:val="134753"/>
        </w:rPr>
      </w:pPr>
      <w:r w:rsidRPr="00F171A3">
        <w:rPr>
          <w:color w:val="134753"/>
        </w:rPr>
        <w:t>Campanii online de informare cu privire la riscurile seismice</w:t>
      </w:r>
      <w:r w:rsidR="006C5FDD" w:rsidRPr="00F171A3">
        <w:rPr>
          <w:color w:val="134753"/>
        </w:rPr>
        <w:t>.</w:t>
      </w:r>
    </w:p>
    <w:p w14:paraId="4D02623E" w14:textId="77777777" w:rsidR="00423E88" w:rsidRPr="00F171A3" w:rsidRDefault="00423E88" w:rsidP="00423E88"/>
    <w:p w14:paraId="6F7FCB8C" w14:textId="07FCBE13" w:rsidR="00423E88" w:rsidRPr="00F171A3" w:rsidRDefault="00F22459" w:rsidP="00F22459">
      <w:pPr>
        <w:pStyle w:val="Heading3"/>
        <w:rPr>
          <w:lang w:val="ro-RO"/>
        </w:rPr>
      </w:pPr>
      <w:bookmarkStart w:id="503" w:name="_Toc115110207"/>
      <w:bookmarkStart w:id="504" w:name="_Toc127199339"/>
      <w:r w:rsidRPr="00F171A3">
        <w:rPr>
          <w:caps w:val="0"/>
          <w:lang w:val="ro-RO"/>
        </w:rPr>
        <w:t>ZONA 6 – OBOR, ELECTRONICII, BAICULUI, IANCULUI</w:t>
      </w:r>
      <w:bookmarkEnd w:id="503"/>
      <w:bookmarkEnd w:id="504"/>
    </w:p>
    <w:p w14:paraId="14B0B0B3" w14:textId="77777777" w:rsidR="00423E88" w:rsidRPr="00F171A3" w:rsidRDefault="00423E88" w:rsidP="00423E88">
      <w:r w:rsidRPr="00F171A3">
        <w:t>Ședința de consultare publică a cetățenilor din cartierele Obor, Electronicii, Baicului și Iancului a avut loc în data de 15.07.2022.</w:t>
      </w:r>
    </w:p>
    <w:p w14:paraId="597779CC" w14:textId="77777777" w:rsidR="00423E88" w:rsidRPr="00F171A3" w:rsidRDefault="00423E88" w:rsidP="00423E88">
      <w:r w:rsidRPr="00F171A3">
        <w:t>În urma discuțiilor, principalele probleme semnalate de către cetățeni vizează următoarele aspecte și domenii:</w:t>
      </w:r>
    </w:p>
    <w:p w14:paraId="57887ED8"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Zona de acces din Parcul Păsărari este blocată;</w:t>
      </w:r>
    </w:p>
    <w:p w14:paraId="2A77085A" w14:textId="77777777" w:rsidR="00423E88" w:rsidRPr="00F171A3" w:rsidRDefault="00423E88">
      <w:pPr>
        <w:numPr>
          <w:ilvl w:val="0"/>
          <w:numId w:val="85"/>
        </w:numPr>
        <w:pBdr>
          <w:top w:val="nil"/>
          <w:left w:val="nil"/>
          <w:bottom w:val="nil"/>
          <w:right w:val="nil"/>
          <w:between w:val="nil"/>
        </w:pBdr>
        <w:rPr>
          <w:color w:val="134753"/>
        </w:rPr>
      </w:pPr>
      <w:r w:rsidRPr="00F171A3">
        <w:rPr>
          <w:color w:val="134753"/>
        </w:rPr>
        <w:t>Probleme de salubritate pe zona Șos. Iancului ;</w:t>
      </w:r>
    </w:p>
    <w:p w14:paraId="33881D0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Lipsa coșurilor de gunoi în zona Obor;</w:t>
      </w:r>
    </w:p>
    <w:p w14:paraId="07CEF94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Lipsă curățenie în zona Iancului;</w:t>
      </w:r>
    </w:p>
    <w:p w14:paraId="2A3CE65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Probleme cu trotinetele abandonate pe trotuare și străzi;</w:t>
      </w:r>
    </w:p>
    <w:p w14:paraId="7D5C71A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Parcările de reședință sunt ocupate tot timpul de alți utilizatori;</w:t>
      </w:r>
    </w:p>
    <w:p w14:paraId="7FF9A2A7" w14:textId="79D1D610" w:rsidR="00423E88" w:rsidRPr="00F171A3" w:rsidRDefault="00423E88">
      <w:pPr>
        <w:numPr>
          <w:ilvl w:val="0"/>
          <w:numId w:val="85"/>
        </w:numPr>
        <w:pBdr>
          <w:top w:val="nil"/>
          <w:left w:val="nil"/>
          <w:bottom w:val="nil"/>
          <w:right w:val="nil"/>
          <w:between w:val="nil"/>
        </w:pBdr>
        <w:jc w:val="left"/>
        <w:rPr>
          <w:color w:val="134753" w:themeColor="text2"/>
        </w:rPr>
      </w:pPr>
      <w:r w:rsidRPr="00F171A3">
        <w:rPr>
          <w:color w:val="134753" w:themeColor="text2"/>
        </w:rPr>
        <w:t>Pavajul din dale din zona magazinului Bucur-Obor se mișcă / este spart și reprezintă un pericol pentru pietoni</w:t>
      </w:r>
      <w:r w:rsidR="006C5FDD" w:rsidRPr="00F171A3">
        <w:rPr>
          <w:color w:val="134753" w:themeColor="text2"/>
        </w:rPr>
        <w:t>.</w:t>
      </w:r>
    </w:p>
    <w:p w14:paraId="26E1EE96" w14:textId="77777777" w:rsidR="00423E88" w:rsidRPr="00F171A3" w:rsidRDefault="00423E88" w:rsidP="00423E88">
      <w:pPr>
        <w:jc w:val="left"/>
      </w:pPr>
      <w:r w:rsidRPr="00F171A3">
        <w:t>Principalele propuneri din partea cetățenilor sunt:</w:t>
      </w:r>
    </w:p>
    <w:p w14:paraId="448AA52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Desființarea parcărilor de pe trotuare;</w:t>
      </w:r>
    </w:p>
    <w:p w14:paraId="15EF30B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Realizarea unei Strategii pentru sistemul de parcări;</w:t>
      </w:r>
    </w:p>
    <w:p w14:paraId="142C00D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Îmbunătățirea transportului în comun;</w:t>
      </w:r>
    </w:p>
    <w:p w14:paraId="772932A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Realizarea unor parcări supraetajate în zonă;</w:t>
      </w:r>
    </w:p>
    <w:p w14:paraId="028A6A1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Realizarea unui Muzeu al CFR-ului – proiect deja în elaborare și discuție;</w:t>
      </w:r>
    </w:p>
    <w:p w14:paraId="1314102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Pietonalizarea zonei Gara Obor;</w:t>
      </w:r>
    </w:p>
    <w:p w14:paraId="03BD6DD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Program de igienă sanitară – primăvara și vara în zona Cimitirul Reînvierii;</w:t>
      </w:r>
    </w:p>
    <w:p w14:paraId="152A786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Mai bună comunicare și colaborare între Primărie și Asociațiile de proprietari;</w:t>
      </w:r>
    </w:p>
    <w:p w14:paraId="195A48A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Creșterea calității managementului deșeurilor publice – inclusiv la nivel municipal (colaborare);</w:t>
      </w:r>
    </w:p>
    <w:p w14:paraId="37A2402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Instalarea de limitatoare de viteză în zonele de reședință;</w:t>
      </w:r>
    </w:p>
    <w:p w14:paraId="6684F4C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Lucrări de igienizare în zona Obor;</w:t>
      </w:r>
    </w:p>
    <w:p w14:paraId="15B089B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Amenajarea de coșuri de gunoi în zona Obor și Electronicii;</w:t>
      </w:r>
    </w:p>
    <w:p w14:paraId="309FBCC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Sistematizare accesului în zona Parcul Păsărari;</w:t>
      </w:r>
    </w:p>
    <w:p w14:paraId="7B1AA1F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Instalarea de T-uri pentru locurile de parcare de rezidență ocupate ilegal în zona Pieței Obor;</w:t>
      </w:r>
    </w:p>
    <w:p w14:paraId="47C57CD7"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Creșterea zonelor de spațiu verde din Sector;</w:t>
      </w:r>
    </w:p>
    <w:p w14:paraId="7E532FC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Refacere pavaj dale dimprejurul magazinului Bucur-Obor;</w:t>
      </w:r>
    </w:p>
    <w:p w14:paraId="585CBFC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Înființarea unei treceri de pietoni în dreptul Pieței de Pește și Fructe de Mare;</w:t>
      </w:r>
    </w:p>
    <w:p w14:paraId="79372BD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Igienizarea, amenajarea și dotarea spațiilor verzi.</w:t>
      </w:r>
    </w:p>
    <w:p w14:paraId="549A7196" w14:textId="77777777" w:rsidR="00423E88" w:rsidRPr="00F171A3" w:rsidRDefault="00423E88" w:rsidP="00423E88"/>
    <w:p w14:paraId="4404593D" w14:textId="1D00B017" w:rsidR="00423E88" w:rsidRPr="00F171A3" w:rsidRDefault="00F22459" w:rsidP="00F22459">
      <w:pPr>
        <w:pStyle w:val="Heading3"/>
        <w:rPr>
          <w:lang w:val="ro-RO"/>
        </w:rPr>
      </w:pPr>
      <w:bookmarkStart w:id="505" w:name="_Toc115110208"/>
      <w:bookmarkStart w:id="506" w:name="_Toc127199340"/>
      <w:r w:rsidRPr="00F171A3">
        <w:rPr>
          <w:caps w:val="0"/>
          <w:lang w:val="ro-RO"/>
        </w:rPr>
        <w:t>ZONA 7 – ANDRONACHE, ION CREANGĂ</w:t>
      </w:r>
      <w:bookmarkEnd w:id="505"/>
      <w:bookmarkEnd w:id="506"/>
    </w:p>
    <w:p w14:paraId="75E05984" w14:textId="77777777" w:rsidR="00423E88" w:rsidRPr="00F171A3" w:rsidRDefault="00423E88" w:rsidP="00423E88">
      <w:r w:rsidRPr="00F171A3">
        <w:t>Ședința de consultare publică a cetățenilor din cartierele Andronache și Ion Creangă a avut loc în data de 18.07.2022.</w:t>
      </w:r>
    </w:p>
    <w:p w14:paraId="3AD70D6C" w14:textId="77777777" w:rsidR="00423E88" w:rsidRPr="00F171A3" w:rsidRDefault="00423E88" w:rsidP="00423E88">
      <w:r w:rsidRPr="00F171A3">
        <w:t>În urma discuțiilor, principalele probleme semnalate de către cetățeni vizează următoarele aspecte și domenii:</w:t>
      </w:r>
    </w:p>
    <w:p w14:paraId="672AB46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Aspersoarele din parcul Motodrom nu funcționează corespunzător – mare parte din gazon fiind uscat;</w:t>
      </w:r>
    </w:p>
    <w:p w14:paraId="6C58FC1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Parcări ilegale în jurul parcului Motodrom;</w:t>
      </w:r>
    </w:p>
    <w:p w14:paraId="2CCCACB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Trotuare de 60 de cm. pe Șos. Colentina / Fundeni – lipsă acces mămici cu cărucioare sau persoane cu dizabilități;</w:t>
      </w:r>
    </w:p>
    <w:p w14:paraId="4309D92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Între blocurile de pe Șos. Fundeni există garduri care împiedică accesul pe aleile mici de acces – locuitorii cartierului trebuie să ocolească toate blocurile; </w:t>
      </w:r>
    </w:p>
    <w:p w14:paraId="6BDC27E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Copaci uscați care cad pe cablurile de curent;</w:t>
      </w:r>
    </w:p>
    <w:p w14:paraId="77F46D8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În lipsa unor semne de circulație, se petrec foarte multe accidente la intersecțiile mici; </w:t>
      </w:r>
    </w:p>
    <w:p w14:paraId="771A204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Piața Plumbuita nu are comercianți;</w:t>
      </w:r>
    </w:p>
    <w:p w14:paraId="4054BD4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Poluarea fonică pe timp de noapte de la terenurile sportive din Parcul Motodrom;</w:t>
      </w:r>
    </w:p>
    <w:p w14:paraId="0DEE07E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Există gunoi depozitat pe malul lacului Colentina;</w:t>
      </w:r>
    </w:p>
    <w:p w14:paraId="7FB25B8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Lipsa viteză pe anumite străzi;</w:t>
      </w:r>
    </w:p>
    <w:p w14:paraId="786EE4E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Coșuri de gunoi limitatoarelor de insuficiente pe Șoseaua Fundeni;</w:t>
      </w:r>
    </w:p>
    <w:p w14:paraId="515019B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zona Podul Răul Colentina șoseaua se inundă la fiecare ploaie.</w:t>
      </w:r>
    </w:p>
    <w:p w14:paraId="05D2D31B" w14:textId="77777777" w:rsidR="00423E88" w:rsidRPr="00F171A3" w:rsidRDefault="00423E88" w:rsidP="00423E88">
      <w:pPr>
        <w:jc w:val="left"/>
      </w:pPr>
      <w:r w:rsidRPr="00F171A3">
        <w:t>Principalele propuneri din partea cetățenilor sunt:</w:t>
      </w:r>
    </w:p>
    <w:p w14:paraId="03F968D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Amenajarea de sensuri unice pe străzile cartierului;</w:t>
      </w:r>
    </w:p>
    <w:p w14:paraId="12378BC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Adunarea gunoiului de pe râul Colentina; </w:t>
      </w:r>
    </w:p>
    <w:p w14:paraId="77FAD178" w14:textId="45482B55"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Menținerea și creșterea siguranței rutiere în Sector</w:t>
      </w:r>
      <w:r w:rsidR="00F171A3" w:rsidRPr="00F171A3">
        <w:rPr>
          <w:color w:val="134753" w:themeColor="text2"/>
        </w:rPr>
        <w:t>ul</w:t>
      </w:r>
      <w:r w:rsidRPr="00F171A3">
        <w:rPr>
          <w:color w:val="134753" w:themeColor="text2"/>
        </w:rPr>
        <w:t xml:space="preserve"> 2; </w:t>
      </w:r>
    </w:p>
    <w:p w14:paraId="6C42E9E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Proiect pasaj Fundeni – Colentina;</w:t>
      </w:r>
    </w:p>
    <w:p w14:paraId="5E14C9F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Vopsirea podului Colentina; </w:t>
      </w:r>
    </w:p>
    <w:p w14:paraId="5E95E538"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Piață volantă în Colentina; </w:t>
      </w:r>
    </w:p>
    <w:p w14:paraId="37878E47"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Deschiderea parcurilor și după ora 22.00; </w:t>
      </w:r>
    </w:p>
    <w:p w14:paraId="666A1A1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Montarea de limitatoare de viteză pe străzile din zona parcului – ex. strada Moroeni, aleile dintre blocurile de pe Șos. Fundeni, str. Răscoala etc; </w:t>
      </w:r>
    </w:p>
    <w:p w14:paraId="0F773468"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Crearea unor căi de acces către Complexul Comercial Europa; </w:t>
      </w:r>
    </w:p>
    <w:p w14:paraId="6B2223A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Reamenajarea stațiilor STB de pe teritoriul Sectorului 2; </w:t>
      </w:r>
    </w:p>
    <w:p w14:paraId="17BF1F3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Instalarea mai multor coșuri de gunoi pe Șos. Fundeni; </w:t>
      </w:r>
    </w:p>
    <w:p w14:paraId="1A1CDDD7"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Realizarea unor marcaje stradale pe strada Moroeni; </w:t>
      </w:r>
    </w:p>
    <w:p w14:paraId="607753A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Realizarea unui parc în zona Insula Fundeni; </w:t>
      </w:r>
    </w:p>
    <w:p w14:paraId="5CD1F42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Închiderea terenului de fotbal din parcul Motodrom după ora 22.00 – zgomot mare produs de cei ce se joacă noaptea; </w:t>
      </w:r>
    </w:p>
    <w:p w14:paraId="7D8F7F7C" w14:textId="54D6EDAC"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Instalarea unei toalete publice în zona Șos. Colentina / Fundeni</w:t>
      </w:r>
      <w:r w:rsidR="006C5FDD" w:rsidRPr="00F171A3">
        <w:rPr>
          <w:color w:val="134753" w:themeColor="text2"/>
        </w:rPr>
        <w:t>.</w:t>
      </w:r>
    </w:p>
    <w:p w14:paraId="051AAEAA" w14:textId="77777777" w:rsidR="00423E88" w:rsidRPr="00F171A3" w:rsidRDefault="00423E88" w:rsidP="00423E88"/>
    <w:p w14:paraId="6BAB518C" w14:textId="77777777" w:rsidR="00423E88" w:rsidRPr="00F171A3" w:rsidRDefault="00423E88" w:rsidP="00423E88">
      <w:r w:rsidRPr="00F171A3">
        <w:t>În comparație cu nevoile de dezvoltare semnalate de cetățeni înainte de anul 2016, nevoi incluse în Strategia de Dezvoltare Locală pentru perioada 2016-2025, în prezent se observă că principalele probleme și nemulțumiri ale locuitorilor vizează relativ aceleași domenii, precum: salubritatea, parcările ilegale și lipsa locurilor de parcare, slaba dotare și amenajare a spațiilor verzi și de agrement și necesitatea de a investi în infrastructura rutieră, de învățământ și culturală. Totuși, în prezent, s-a îmbunătățit situația în ceea ce privește reabilitarea termică a unor clădiri, reabilitarea și modernizarea unor instituții de învățământ, modernizarea unor stații de transport public precum și creșterea gradului de conștientizare a cetățenilor cu privire la problemele de salubritate, deșeuri și ecologie.</w:t>
      </w:r>
    </w:p>
    <w:p w14:paraId="266464FE" w14:textId="77777777" w:rsidR="00423E88" w:rsidRPr="00F171A3" w:rsidRDefault="00423E88" w:rsidP="00423E88"/>
    <w:p w14:paraId="36907FAC" w14:textId="77777777" w:rsidR="00423E88" w:rsidRPr="00F171A3" w:rsidRDefault="00423E88" w:rsidP="00423E88">
      <w:pPr>
        <w:pStyle w:val="Normal0"/>
        <w:rPr>
          <w:bCs/>
        </w:rPr>
      </w:pPr>
      <w:r w:rsidRPr="00F171A3">
        <w:rPr>
          <w:bCs/>
        </w:rPr>
        <w:br w:type="page"/>
      </w:r>
    </w:p>
    <w:p w14:paraId="5399817E" w14:textId="53B13464" w:rsidR="00423E88" w:rsidRPr="00F171A3" w:rsidRDefault="000379F0" w:rsidP="00423E88">
      <w:pPr>
        <w:pStyle w:val="Heading2"/>
        <w:rPr>
          <w:lang w:val="ro-RO"/>
        </w:rPr>
      </w:pPr>
      <w:bookmarkStart w:id="507" w:name="_Toc115110215"/>
      <w:bookmarkStart w:id="508" w:name="_Toc127199341"/>
      <w:r w:rsidRPr="00F171A3">
        <w:rPr>
          <w:caps w:val="0"/>
          <w:lang w:val="ro-RO"/>
        </w:rPr>
        <w:t>GRUPURI DE LUCRU PENTRU CONSULTAREA ACTORILOR RELEVANȚI</w:t>
      </w:r>
      <w:bookmarkEnd w:id="507"/>
      <w:bookmarkEnd w:id="508"/>
    </w:p>
    <w:p w14:paraId="43099C5C" w14:textId="77777777" w:rsidR="00423E88" w:rsidRPr="00F171A3" w:rsidRDefault="00423E88" w:rsidP="00423E88">
      <w:r w:rsidRPr="00F171A3">
        <w:t>Abordarea participativă a elaborării Strategiei de Dezvoltare Locală Integrate și Durabile a Sectorului 2 a presupus și organizarea unor grupuri de lucru tematice împreună cu cei mai importanți actori din fiecare domeniu. Astfel, în perioada 30.06.2022 – 05.07.2022 au fost organizate 6 grupuri de lucru:</w:t>
      </w:r>
    </w:p>
    <w:p w14:paraId="05ECF7AE" w14:textId="3E40C4BF" w:rsidR="00423E88" w:rsidRPr="00F171A3" w:rsidRDefault="00994DCA" w:rsidP="00994DCA">
      <w:pPr>
        <w:pStyle w:val="Heading3"/>
        <w:rPr>
          <w:lang w:val="ro-RO"/>
        </w:rPr>
      </w:pPr>
      <w:bookmarkStart w:id="509" w:name="_Toc115110216"/>
      <w:bookmarkStart w:id="510" w:name="_Toc127199342"/>
      <w:r w:rsidRPr="00F171A3">
        <w:rPr>
          <w:caps w:val="0"/>
          <w:lang w:val="ro-RO"/>
        </w:rPr>
        <w:t>GRUP DE LUCRU - MEDIU ȘI UTILITĂȚI PUBLICE</w:t>
      </w:r>
      <w:bookmarkEnd w:id="509"/>
      <w:bookmarkEnd w:id="510"/>
    </w:p>
    <w:p w14:paraId="6EE688CD" w14:textId="77777777" w:rsidR="00423E88" w:rsidRPr="00F171A3" w:rsidRDefault="00423E88" w:rsidP="00423E88">
      <w:pPr>
        <w:pStyle w:val="Normal0"/>
      </w:pPr>
      <w:r w:rsidRPr="00F171A3">
        <w:t>În data de 30.06.2022 a avut loc grupul de lucru pe tema “</w:t>
      </w:r>
      <w:r w:rsidRPr="00F171A3">
        <w:rPr>
          <w:rStyle w:val="BoldCIVITTALightBlueChar"/>
          <w:lang w:val="ro-RO"/>
        </w:rPr>
        <w:t>Mediu și utilități publice”</w:t>
      </w:r>
      <w:r w:rsidRPr="00F171A3">
        <w:t>, care s-a desfășurat la Primăria Sectorului 2, începând cu ora 14:00, unde au fost prezenți reprezentanții următoarelor instituții și companii:</w:t>
      </w:r>
    </w:p>
    <w:p w14:paraId="1D1B225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Serviciul Fonduri Europene;</w:t>
      </w:r>
    </w:p>
    <w:p w14:paraId="35009BC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Utilități Publice;</w:t>
      </w:r>
    </w:p>
    <w:p w14:paraId="7363E72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Urbanism;</w:t>
      </w:r>
    </w:p>
    <w:p w14:paraId="5AA8555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Poliția Locală Sector 2;</w:t>
      </w:r>
    </w:p>
    <w:p w14:paraId="06DE695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Distrigaz Sud;</w:t>
      </w:r>
    </w:p>
    <w:p w14:paraId="1D7BB85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Compania Municipală de Iluminat Public București;</w:t>
      </w:r>
    </w:p>
    <w:p w14:paraId="2E5BF95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Apa Nova București;</w:t>
      </w:r>
    </w:p>
    <w:p w14:paraId="19792B4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Supercom SA;</w:t>
      </w:r>
    </w:p>
    <w:p w14:paraId="587D8D1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NetCity SA;</w:t>
      </w:r>
    </w:p>
    <w:p w14:paraId="6399BC4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Agenția pentru Dezvoltare Regională București – Ilfov;</w:t>
      </w:r>
    </w:p>
    <w:p w14:paraId="1BDA1B9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Agenția pentru Protecția Mediului București;</w:t>
      </w:r>
    </w:p>
    <w:p w14:paraId="1960164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Sistemul de Gospodărire a Apelor Ilfov – București;</w:t>
      </w:r>
    </w:p>
    <w:p w14:paraId="1642F5F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Administrația Lacuri Parcuri și Agrement București;</w:t>
      </w:r>
    </w:p>
    <w:p w14:paraId="21E2AE3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Administrația Municipală pentru Consolidarea Clădirilor cu Risc Seismic;</w:t>
      </w:r>
    </w:p>
    <w:p w14:paraId="10434C2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Universitatea Tehnică de Construcții București;</w:t>
      </w:r>
    </w:p>
    <w:p w14:paraId="00CC4C08"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S.G.A. Ilfov-București;</w:t>
      </w:r>
    </w:p>
    <w:p w14:paraId="388D91A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Consilieri locali din cadrul Primăriei Sectorului 2.</w:t>
      </w:r>
    </w:p>
    <w:p w14:paraId="2A1A20E5" w14:textId="77777777" w:rsidR="00423E88" w:rsidRPr="00F171A3" w:rsidRDefault="00423E88" w:rsidP="00423E88">
      <w:pPr>
        <w:pStyle w:val="Normal0"/>
        <w:ind w:left="360"/>
      </w:pPr>
    </w:p>
    <w:p w14:paraId="476CB2FA" w14:textId="77777777" w:rsidR="00423E88" w:rsidRPr="00F171A3" w:rsidRDefault="00423E88" w:rsidP="00423E88">
      <w:pPr>
        <w:pStyle w:val="Normal0"/>
      </w:pPr>
      <w:r w:rsidRPr="00F171A3">
        <w:t>În cadrul grupului de lucru au fost discutate următoarele subiecte:</w:t>
      </w:r>
    </w:p>
    <w:p w14:paraId="18D21741" w14:textId="77777777" w:rsidR="00423E88" w:rsidRPr="00F171A3" w:rsidRDefault="00423E88" w:rsidP="00423E88">
      <w:pPr>
        <w:pStyle w:val="Normal0"/>
      </w:pPr>
      <w:r w:rsidRPr="00F171A3">
        <w:rPr>
          <w:b/>
          <w:bCs/>
        </w:rPr>
        <w:t>Energie.</w:t>
      </w:r>
      <w:r w:rsidRPr="00F171A3">
        <w:t xml:space="preserve"> A fost sugerată identificarea unor posibile măsuri pentru sprijinirea eficientizării energetice a locuințelor individuale din sector (nu doar pentru fondul construit reprezentat de clădiri publice și locuințe colective). S-a propus înființarea unui punct de informare unde cetățenii sectorului 2 să afle mai multe despre cum își pot reduce consumul de energie și ce oportunități de finanțare au pentru eficientizarea energetică a locuințelor sau pentru producerea de energie din surse regenerabile. O altă temă abordată a fost cea a clădirilor noi care se construiesc, unde ar fi necesare mecanisme de verificare a respectării legislației actuale cu privire la Near-Zero Energy Buildings.</w:t>
      </w:r>
    </w:p>
    <w:p w14:paraId="4ED2E1AB" w14:textId="77777777" w:rsidR="00423E88" w:rsidRPr="00F171A3" w:rsidRDefault="00423E88" w:rsidP="00423E88">
      <w:pPr>
        <w:pStyle w:val="Normal0"/>
      </w:pPr>
      <w:r w:rsidRPr="00F171A3">
        <w:rPr>
          <w:b/>
          <w:bCs/>
        </w:rPr>
        <w:t xml:space="preserve">Gestiunea deșeurilor. </w:t>
      </w:r>
      <w:r w:rsidRPr="00F171A3">
        <w:t>S-a subliniat faptul că situația colectării selective a deșeurilor la nivelul întregului municipiu București este una foarte rea. O parte din probleme ar fi reprezentate de faptul că municipalitatea nu investește în infrastructură precum: un complex de tratare energo-termică avansată a deșeurilor, stații de sortare moderne sau infrastructură pentru colectarea separată a deșeurilor. De asemenea, există probleme cu depozitarea deșeurilor, în condițiile în care singurul depozit aflat pe teritoriul municipiului București (IRIDEX) are peste 90 % din capacitate ocupată. Cu toate acestea, s-a afirmat faptul că depozitarea deșeurilor este o atribuție a Primăriei Municipiului București, iar Primăria Sectorului 2 ar trebui să se concentreze pe identificarea unor soluții pentru colectarea selectivă a deșeurilor, în special în condițiile în care ghenele comune de pe scările blocurilor vor trebui desființate. O altă problemă menționată a fost cea a lipsei digitalizării în contractarea serviciilor de salubritate. Digitalizarea ar putea fi o soluție atât pentru obținerea unor date certe cu privire la numărul de utilizatori ai serviciilor de salubritate, cât și pentru monitorizarea modului în care sunt gestionate deșeurile pe teritoriul sectorului. A fost ridicată și problema colectării separate a deșeurilor vegetale, care ar putea fi valorificate în cadrul unor instalații specifice.</w:t>
      </w:r>
    </w:p>
    <w:p w14:paraId="0B283AC9" w14:textId="77777777" w:rsidR="00423E88" w:rsidRPr="00F171A3" w:rsidRDefault="00423E88" w:rsidP="00423E88">
      <w:pPr>
        <w:pStyle w:val="Normal0"/>
      </w:pPr>
      <w:r w:rsidRPr="00F171A3">
        <w:rPr>
          <w:b/>
          <w:bCs/>
        </w:rPr>
        <w:t xml:space="preserve">Consolidarea clădirilor cu risc seismic. </w:t>
      </w:r>
      <w:r w:rsidRPr="00F171A3">
        <w:t>Există un proiect legislativ (PLX301) la care Administrația Municipală pentru Consolidarea Clădirilor cu Risc Seismic a depus amendamente ce vizează partajarea între Primăria Municipiului București și Primăriile de Sector a atribuțiilor privind reducerea riscului seismic. Reprezentantul Agenției pentru Dezvoltare Regională București-Ilfov a precizat că, în ultima sa variantă, Planul Operațional Regional București-Ilfov 2021 – 2027 va finanța și consolidarea clădirilor publice expertizate tehnic și încadrate în clasele I și II de risc seismic. De asemenea, pentru clădirile publice, se are în vedere o abordare integrată care să cuprindă, pe lângă eficientizare energetică și utilizarea energiei din surse regenerabile, și consolidarea fondului construit expertizat tehnic și încadrat în clasele III și IV de risc seismic.</w:t>
      </w:r>
    </w:p>
    <w:p w14:paraId="2163E672" w14:textId="77777777" w:rsidR="00423E88" w:rsidRPr="00F171A3" w:rsidRDefault="00423E88" w:rsidP="00423E88">
      <w:pPr>
        <w:pStyle w:val="Normal0"/>
      </w:pPr>
      <w:r w:rsidRPr="00F171A3">
        <w:rPr>
          <w:b/>
          <w:bCs/>
        </w:rPr>
        <w:t xml:space="preserve">Spații verzi. </w:t>
      </w:r>
      <w:r w:rsidRPr="00F171A3">
        <w:t>Agenția pentru Dezvoltare Regională București-Ilfov a făcut niște observații pe proiectele transmise de către Primăria Sectorului 2 cu privire la amenajarea salbei de lacuri. Pe noua perioadă de programare, s-au înăsprit condițiile pentru proiectele de amenajare a spațiilor verzi, accentul fiind pus mai mult pe serviciile ecosistemice oferite de către spațiile verzi și mult mai puțin pe componenta de agrement. De exemplu, pistele de biciclete vor putea fi finanțate în cadrul parcurilor doar dacă sunt parte a unei rețele mai mari de mobilitate urbană.</w:t>
      </w:r>
    </w:p>
    <w:p w14:paraId="108C6A73" w14:textId="77777777" w:rsidR="00423E88" w:rsidRPr="00F171A3" w:rsidRDefault="00423E88" w:rsidP="00423E88">
      <w:pPr>
        <w:pStyle w:val="BoldCIVITTALightBlue"/>
        <w:rPr>
          <w:lang w:val="ro-RO"/>
        </w:rPr>
      </w:pPr>
    </w:p>
    <w:p w14:paraId="26110F5B" w14:textId="19326E3A" w:rsidR="00423E88" w:rsidRPr="00F171A3" w:rsidRDefault="00994DCA" w:rsidP="006C5FDD">
      <w:pPr>
        <w:pStyle w:val="Heading3"/>
        <w:rPr>
          <w:lang w:val="ro-RO"/>
        </w:rPr>
      </w:pPr>
      <w:bookmarkStart w:id="511" w:name="_Toc115110217"/>
      <w:bookmarkStart w:id="512" w:name="_Toc127199343"/>
      <w:r w:rsidRPr="00F171A3">
        <w:rPr>
          <w:caps w:val="0"/>
          <w:lang w:val="ro-RO"/>
        </w:rPr>
        <w:t>GRUP DE LUCRU - CULTURĂ SPORT ȘI TIMP LIBER</w:t>
      </w:r>
      <w:bookmarkEnd w:id="511"/>
      <w:bookmarkEnd w:id="512"/>
    </w:p>
    <w:p w14:paraId="7786D31F" w14:textId="77777777" w:rsidR="00423E88" w:rsidRPr="00F171A3" w:rsidRDefault="00423E88" w:rsidP="00423E88">
      <w:pPr>
        <w:pStyle w:val="Normal0"/>
      </w:pPr>
      <w:r w:rsidRPr="00F171A3">
        <w:t>În data de 01.07.2022 s-a desfășurat grupul de lucru pe tema “</w:t>
      </w:r>
      <w:r w:rsidRPr="00F171A3">
        <w:rPr>
          <w:rStyle w:val="BoldCIVITTALightBlueChar"/>
          <w:lang w:val="ro-RO"/>
        </w:rPr>
        <w:t>Cultură, sport și timp liber”</w:t>
      </w:r>
      <w:r w:rsidRPr="00F171A3">
        <w:t>, care a avut loc la Primăria Sectorului 2, la ora 11:00, unde au fost prezenți reprezentanții următoarelor instituții și companii:</w:t>
      </w:r>
    </w:p>
    <w:p w14:paraId="0A5E4DE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Centrul Cultural “Mihai Eminescu”;</w:t>
      </w:r>
    </w:p>
    <w:p w14:paraId="5EDEE098"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DGAPI;</w:t>
      </w:r>
    </w:p>
    <w:p w14:paraId="275B0CF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ADP;</w:t>
      </w:r>
    </w:p>
    <w:p w14:paraId="6B0D798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Urbanism;</w:t>
      </w:r>
    </w:p>
    <w:p w14:paraId="7EFD394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Generala Programe de Dezvoltare Urbana;</w:t>
      </w:r>
    </w:p>
    <w:p w14:paraId="538AC92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Complexul Sportiv Ion Țiriac;</w:t>
      </w:r>
    </w:p>
    <w:p w14:paraId="0E52F8B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Complexul Cultural Studențesc Tei;</w:t>
      </w:r>
    </w:p>
    <w:p w14:paraId="201B61E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Muzeul Național al Aviației Române;</w:t>
      </w:r>
    </w:p>
    <w:p w14:paraId="5587152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Casa de Cultură Friedrich Schiller;</w:t>
      </w:r>
    </w:p>
    <w:p w14:paraId="3A439B9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Centru de Creație Artă și Tradiție al mun. București;</w:t>
      </w:r>
    </w:p>
    <w:p w14:paraId="4EB5A815" w14:textId="7023E86F"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Institutul Francez din România, Cinema Elvire Popesco</w:t>
      </w:r>
      <w:r w:rsidR="006C5FDD" w:rsidRPr="00F171A3">
        <w:rPr>
          <w:color w:val="134753" w:themeColor="text2"/>
        </w:rPr>
        <w:t>.</w:t>
      </w:r>
    </w:p>
    <w:p w14:paraId="29FE0380" w14:textId="77777777" w:rsidR="00423E88" w:rsidRPr="00F171A3" w:rsidRDefault="00423E88" w:rsidP="00423E88">
      <w:pPr>
        <w:pStyle w:val="Normal0"/>
      </w:pPr>
      <w:r w:rsidRPr="00F171A3">
        <w:t>În urma discuțiilor din cadrul grupului de lucru, au fost formulate următoarele propuneri:</w:t>
      </w:r>
    </w:p>
    <w:p w14:paraId="10D8FF2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Reabilitare parcului Ioanid;</w:t>
      </w:r>
    </w:p>
    <w:p w14:paraId="6FC015E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Programul “Străzi deschise” extins în Sectorul 2. Testarea în programului prin pietonalizarea în weekend a unor străzi. Este util ca aceste străzi sa fie aproape de parcuri, teatre în centru sau in cartiere lângă blocuri (lângă Arena Națională, de exemplu); </w:t>
      </w:r>
    </w:p>
    <w:p w14:paraId="3714863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organizarea evenimentelor culturale și sportive este necesară coordonarea între PMB, Primăriile Sectoarelor, Ministerul Sportului și actori locali din sectorul privat;</w:t>
      </w:r>
    </w:p>
    <w:p w14:paraId="296D193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Realizarea unui calendar sau a unei agende astfel încât evenimentele mari (private și publice) să nu se suprapună;</w:t>
      </w:r>
    </w:p>
    <w:p w14:paraId="596C04E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Realizarea unui proces de cartografiere și mapare al Sectorului 2 pentru identificarea tuturor tipurilor de resurse, evenimentelor și conectarea actorilor culturali care activează în sector pentru a crea o rețea a actorilor culturali, inclusiv conectarea actorilor culturali care pot derula evenimente împreună; </w:t>
      </w:r>
    </w:p>
    <w:p w14:paraId="2005E4A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Realizarea unei baze de date a actorilor relevanți din domeniul cultural;</w:t>
      </w:r>
    </w:p>
    <w:p w14:paraId="1D225588"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Digitalizarea informației din mediul cultural;</w:t>
      </w:r>
    </w:p>
    <w:p w14:paraId="4937FAF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Centralizarea și planificarea activităților și evenimentelor culturale;</w:t>
      </w:r>
    </w:p>
    <w:p w14:paraId="03A427F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Realizarea de activități culturale în limbi de circulație internațională;</w:t>
      </w:r>
    </w:p>
    <w:p w14:paraId="4B9E95E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Muzeul Aviației: proces de reabilitare, inclusiv clădiri de patrimoniu (durată 40 luni); Realizarea unei operațiuni de amenajare a parcului pentru a putea fi deschis publicului; </w:t>
      </w:r>
    </w:p>
    <w:p w14:paraId="1DE8E6C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Sprijinirea instituțiilor culturale și a muzeelor din partea autorităților publice locale: amenajare accese, monitorizare salubritate, panouri informative etc;</w:t>
      </w:r>
    </w:p>
    <w:p w14:paraId="0AEB2F4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Realizarea unui buget multianual pentru a putea planifica investiții în infrastructura și pentru a organiza evenimente; </w:t>
      </w:r>
    </w:p>
    <w:p w14:paraId="7B8254D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Corelarea și colaborarea în timpul evenimentelor culturale cu transport public (STB):  linii speciale (transport gratuit);</w:t>
      </w:r>
    </w:p>
    <w:p w14:paraId="51FEB5D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Sprijinirea evenimentelor culturale majore;  ar fi util un buget dedicat la nivel de APL pentru media, marketing, bilete metrou;</w:t>
      </w:r>
    </w:p>
    <w:p w14:paraId="339205C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Promovarea a activităților culturale din cartiere; </w:t>
      </w:r>
    </w:p>
    <w:p w14:paraId="03F501A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Amenajarea de platforme sau foișoare pentru fanfara sau trupe, piese de teatru în parcurile din Sectorul 2; </w:t>
      </w:r>
    </w:p>
    <w:p w14:paraId="694E4E3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Realizarea unei liste de mail-uri pentru a se transmite informații despre evenimente astfel încât instituțiile să se promoveze între ele; </w:t>
      </w:r>
    </w:p>
    <w:p w14:paraId="7C1C9F2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Promovarea parteneriatului între primării și actorii culturali pentru finanțarea (sprijin / consultare pentru accesarea de fonduri externe) și implementarea de proiecte culturale; </w:t>
      </w:r>
    </w:p>
    <w:p w14:paraId="711273F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Reabilitarea exterioară a Casei De Cultură Friederich Schiller;</w:t>
      </w:r>
    </w:p>
    <w:p w14:paraId="6BF76148" w14:textId="08E47AEE"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Realizarea unei aplicații  dedicată agendei culturale, sportive si turistice a S2; promovare în timp real a evenimentelor</w:t>
      </w:r>
      <w:r w:rsidR="006C5FDD" w:rsidRPr="00F171A3">
        <w:rPr>
          <w:color w:val="134753" w:themeColor="text2"/>
        </w:rPr>
        <w:t>.</w:t>
      </w:r>
    </w:p>
    <w:p w14:paraId="0C5BFAED" w14:textId="77777777" w:rsidR="00423E88" w:rsidRPr="00F171A3" w:rsidRDefault="00423E88" w:rsidP="00423E88">
      <w:pPr>
        <w:pStyle w:val="BoldCIVITTALightBlue"/>
        <w:rPr>
          <w:lang w:val="ro-RO"/>
        </w:rPr>
      </w:pPr>
    </w:p>
    <w:p w14:paraId="3FB5FBA3" w14:textId="6894B3DF" w:rsidR="00423E88" w:rsidRPr="00F171A3" w:rsidRDefault="00994DCA" w:rsidP="00994DCA">
      <w:pPr>
        <w:pStyle w:val="Heading3"/>
        <w:rPr>
          <w:lang w:val="ro-RO"/>
        </w:rPr>
      </w:pPr>
      <w:bookmarkStart w:id="513" w:name="_Toc115110218"/>
      <w:bookmarkStart w:id="514" w:name="_Toc127199344"/>
      <w:r w:rsidRPr="00F171A3">
        <w:rPr>
          <w:caps w:val="0"/>
          <w:lang w:val="ro-RO"/>
        </w:rPr>
        <w:t>GRUP DE LUCRU - ECONOMIE</w:t>
      </w:r>
      <w:bookmarkEnd w:id="513"/>
      <w:bookmarkEnd w:id="514"/>
    </w:p>
    <w:p w14:paraId="43837621" w14:textId="77777777" w:rsidR="00423E88" w:rsidRPr="00F171A3" w:rsidRDefault="00423E88" w:rsidP="00423E88">
      <w:pPr>
        <w:pStyle w:val="Normal0"/>
      </w:pPr>
      <w:r w:rsidRPr="00F171A3">
        <w:t>În data de 04.07.2022 s-a desfășurat grupul de lucru pe tema “</w:t>
      </w:r>
      <w:r w:rsidRPr="00F171A3">
        <w:rPr>
          <w:rStyle w:val="BoldCIVITTALightBlueChar"/>
          <w:lang w:val="ro-RO"/>
        </w:rPr>
        <w:t>Dezvoltare economică și competitivitate”</w:t>
      </w:r>
      <w:r w:rsidRPr="00F171A3">
        <w:t>, care a avut loc la Primăria Sectorului 2, la ora 11:00, unde au fost prezenți reprezentanții următoarelor instituții și companii:</w:t>
      </w:r>
    </w:p>
    <w:p w14:paraId="2557A8A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Economică;</w:t>
      </w:r>
    </w:p>
    <w:p w14:paraId="2EECFDC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Investiții Publice;</w:t>
      </w:r>
    </w:p>
    <w:p w14:paraId="54CFCA1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Relații Comunitare;</w:t>
      </w:r>
    </w:p>
    <w:p w14:paraId="4288297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venituri și buget local;</w:t>
      </w:r>
    </w:p>
    <w:p w14:paraId="7CACCAD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Urbanism;</w:t>
      </w:r>
    </w:p>
    <w:p w14:paraId="0BEFAFC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Academia de Studii Economice București;</w:t>
      </w:r>
    </w:p>
    <w:p w14:paraId="0536DBA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ADR București-Ilfov;</w:t>
      </w:r>
    </w:p>
    <w:p w14:paraId="6EE9E9C4" w14:textId="39116D41" w:rsidR="00423E88" w:rsidRPr="00F171A3" w:rsidRDefault="00423E88">
      <w:pPr>
        <w:numPr>
          <w:ilvl w:val="0"/>
          <w:numId w:val="85"/>
        </w:numPr>
        <w:pBdr>
          <w:top w:val="nil"/>
          <w:left w:val="nil"/>
          <w:bottom w:val="nil"/>
          <w:right w:val="nil"/>
          <w:between w:val="nil"/>
        </w:pBdr>
      </w:pPr>
      <w:r w:rsidRPr="00F171A3">
        <w:rPr>
          <w:color w:val="134753" w:themeColor="text2"/>
        </w:rPr>
        <w:t>Camera de Comerț și Industrie București</w:t>
      </w:r>
      <w:r w:rsidR="006C5FDD" w:rsidRPr="00F171A3">
        <w:rPr>
          <w:color w:val="134753" w:themeColor="text2"/>
        </w:rPr>
        <w:t>.</w:t>
      </w:r>
    </w:p>
    <w:p w14:paraId="5FB84D6E" w14:textId="77777777" w:rsidR="00423E88" w:rsidRPr="00F171A3" w:rsidRDefault="00423E88" w:rsidP="00423E88">
      <w:pPr>
        <w:pStyle w:val="BoldCIVITTALightBlue"/>
        <w:rPr>
          <w:b w:val="0"/>
          <w:bCs/>
          <w:color w:val="auto"/>
          <w:lang w:val="ro-RO"/>
        </w:rPr>
      </w:pPr>
      <w:r w:rsidRPr="00F171A3">
        <w:rPr>
          <w:b w:val="0"/>
          <w:bCs/>
          <w:color w:val="auto"/>
          <w:lang w:val="ro-RO"/>
        </w:rPr>
        <w:t>Principalele concluzii și propuneri care au reieșit în urma discuțiilor din cadrul grupului de lucru, sunt:</w:t>
      </w:r>
    </w:p>
    <w:p w14:paraId="3C7F4BB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nevoie de o corelare între calificările obținute de viitorii angajați și piața forței de muncă, pentru o mai facilă integrare pe piața muncii;</w:t>
      </w:r>
    </w:p>
    <w:p w14:paraId="7A89057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necesară dezvoltarea învățământului dual;</w:t>
      </w:r>
    </w:p>
    <w:p w14:paraId="75A2CF5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Susținerea proiectelor menite să faciliteze practica, într-un spațiu pus la dispoziție de Primăria Sectorului 2 în parteneriat cu agenții economici;</w:t>
      </w:r>
    </w:p>
    <w:p w14:paraId="01F8154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Folosirea de instrumente locale (politici locale) pentru încurajarea sau descurajarea anumitor domenii sau activități;</w:t>
      </w:r>
    </w:p>
    <w:p w14:paraId="2555A10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Încheierea de parteneriate cu universitățile, în special în domenii de cercetare și în parteneriatele sociale;</w:t>
      </w:r>
    </w:p>
    <w:p w14:paraId="610E9D7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Dezvoltarea pe teritoriul Sectorului 2 a mai multor incubatoare de afaceri;</w:t>
      </w:r>
    </w:p>
    <w:p w14:paraId="08BD04D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Înființarea unui Living Lab de testare și scalare a diferitelor soluții identificate;</w:t>
      </w:r>
    </w:p>
    <w:p w14:paraId="566EFDE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Înființarea unui centru de analiză de date la nivelul Primăriei Sectorului 2;</w:t>
      </w:r>
    </w:p>
    <w:p w14:paraId="7B0E517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Dezvoltarea campusurilor universitare, transformarea în spații de socializare și de întâlniri informale între profesori și elevi, locuri pentru dezbatere de idei și soluții;</w:t>
      </w:r>
    </w:p>
    <w:p w14:paraId="6F57386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Luarea în considerare a contextului extinderii Sectorului 2 între autostrăzi, dezvoltarea metropolitană și necesitatea legislației metropolitane;</w:t>
      </w:r>
    </w:p>
    <w:p w14:paraId="001CF92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Inventarierea spațiilor disponibile deținute de Primăria Sectorului 2 și identificarea unor posibile spații pentru a fi amenajate în calitate de infrastructură de afaceri, în parteneriat cu agenți economici;</w:t>
      </w:r>
    </w:p>
    <w:p w14:paraId="7290211D" w14:textId="618522AB" w:rsidR="00423E88" w:rsidRPr="00F171A3" w:rsidRDefault="00423E88">
      <w:pPr>
        <w:numPr>
          <w:ilvl w:val="0"/>
          <w:numId w:val="85"/>
        </w:numPr>
        <w:pBdr>
          <w:top w:val="nil"/>
          <w:left w:val="nil"/>
          <w:bottom w:val="nil"/>
          <w:right w:val="nil"/>
          <w:between w:val="nil"/>
        </w:pBdr>
        <w:rPr>
          <w:b/>
          <w:bCs/>
        </w:rPr>
      </w:pPr>
      <w:r w:rsidRPr="00F171A3">
        <w:rPr>
          <w:color w:val="134753" w:themeColor="text2"/>
        </w:rPr>
        <w:t>Sprijinirea activităților de CDI în Sectorul 2, în cadrul unor parteneriate cu entitățile de cercetare</w:t>
      </w:r>
      <w:r w:rsidR="006C5FDD" w:rsidRPr="00F171A3">
        <w:rPr>
          <w:color w:val="134753" w:themeColor="text2"/>
        </w:rPr>
        <w:t>.</w:t>
      </w:r>
    </w:p>
    <w:p w14:paraId="7EA56CDC" w14:textId="77777777" w:rsidR="00423E88" w:rsidRPr="00F171A3" w:rsidRDefault="00423E88" w:rsidP="00423E88">
      <w:pPr>
        <w:pStyle w:val="BoldCIVITTALightBlue"/>
        <w:rPr>
          <w:lang w:val="ro-RO"/>
        </w:rPr>
      </w:pPr>
    </w:p>
    <w:p w14:paraId="2B4E3AA5" w14:textId="6AA0FAFE" w:rsidR="00423E88" w:rsidRPr="00F171A3" w:rsidRDefault="00994DCA" w:rsidP="00994DCA">
      <w:pPr>
        <w:pStyle w:val="Heading3"/>
        <w:rPr>
          <w:lang w:val="ro-RO"/>
        </w:rPr>
      </w:pPr>
      <w:bookmarkStart w:id="515" w:name="_Toc115110219"/>
      <w:bookmarkStart w:id="516" w:name="_Toc127199345"/>
      <w:r w:rsidRPr="00F171A3">
        <w:rPr>
          <w:caps w:val="0"/>
          <w:lang w:val="ro-RO"/>
        </w:rPr>
        <w:t>GRUP DE LUCRU - TINERET ȘI EDUCAȚIE</w:t>
      </w:r>
      <w:bookmarkEnd w:id="515"/>
      <w:bookmarkEnd w:id="516"/>
    </w:p>
    <w:p w14:paraId="732C9631" w14:textId="77777777" w:rsidR="00423E88" w:rsidRPr="00F171A3" w:rsidRDefault="00423E88" w:rsidP="00423E88">
      <w:pPr>
        <w:pStyle w:val="Normal0"/>
      </w:pPr>
      <w:r w:rsidRPr="00F171A3">
        <w:t>În data de 04.07.2022 s-a desfășurat grupul de lucru pe tema “</w:t>
      </w:r>
      <w:r w:rsidRPr="00F171A3">
        <w:rPr>
          <w:rStyle w:val="BoldCIVITTALightBlueChar"/>
          <w:lang w:val="ro-RO"/>
        </w:rPr>
        <w:t>Tineret și Educație”</w:t>
      </w:r>
      <w:r w:rsidRPr="00F171A3">
        <w:t>, care a avut loc la Primăria Sectorului 2, la ora 11:00, unde au fost prezenți reprezentanții următoarelor instituții și companii:</w:t>
      </w:r>
    </w:p>
    <w:p w14:paraId="108AD63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DGAPI;</w:t>
      </w:r>
    </w:p>
    <w:p w14:paraId="394955C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Generală Programe de Dezvoltare Urbană și Fonduri Europene;</w:t>
      </w:r>
    </w:p>
    <w:p w14:paraId="4D6D4E1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Relații Comunitare;</w:t>
      </w:r>
    </w:p>
    <w:p w14:paraId="7558F60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DGASPC;</w:t>
      </w:r>
    </w:p>
    <w:p w14:paraId="70E2930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Centru Cultural “Mihai Eminescu”;</w:t>
      </w:r>
    </w:p>
    <w:p w14:paraId="3F2F476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Consiliul Tineretului din România, Fundația pentru Tineret a mun. București;</w:t>
      </w:r>
    </w:p>
    <w:p w14:paraId="13D284B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Asociația Elevilor București-Ilfov;</w:t>
      </w:r>
    </w:p>
    <w:p w14:paraId="0E39717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Ministerul Educației;</w:t>
      </w:r>
    </w:p>
    <w:p w14:paraId="4CC1A82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Inspectoratul Școlar al mun. București;</w:t>
      </w:r>
    </w:p>
    <w:p w14:paraId="3C5DEC6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Casa Corpului Didactic București;</w:t>
      </w:r>
    </w:p>
    <w:p w14:paraId="7A427F9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ADR București-Ilfov;</w:t>
      </w:r>
    </w:p>
    <w:p w14:paraId="0AE17AE8" w14:textId="7C60CE4F" w:rsidR="00423E88" w:rsidRPr="00F171A3" w:rsidRDefault="00423E88">
      <w:pPr>
        <w:numPr>
          <w:ilvl w:val="0"/>
          <w:numId w:val="85"/>
        </w:numPr>
        <w:pBdr>
          <w:top w:val="nil"/>
          <w:left w:val="nil"/>
          <w:bottom w:val="nil"/>
          <w:right w:val="nil"/>
          <w:between w:val="nil"/>
        </w:pBdr>
      </w:pPr>
      <w:r w:rsidRPr="00F171A3">
        <w:rPr>
          <w:color w:val="134753" w:themeColor="text2"/>
        </w:rPr>
        <w:t>Asociația “Olimpic”</w:t>
      </w:r>
      <w:r w:rsidR="006C5FDD" w:rsidRPr="00F171A3">
        <w:rPr>
          <w:color w:val="134753" w:themeColor="text2"/>
        </w:rPr>
        <w:t>.</w:t>
      </w:r>
    </w:p>
    <w:p w14:paraId="0D192114" w14:textId="77777777" w:rsidR="00423E88" w:rsidRPr="00F171A3" w:rsidRDefault="00423E88" w:rsidP="00423E88">
      <w:pPr>
        <w:pStyle w:val="BoldCIVITTALightBlue"/>
        <w:rPr>
          <w:b w:val="0"/>
          <w:bCs/>
          <w:color w:val="auto"/>
          <w:lang w:val="ro-RO"/>
        </w:rPr>
      </w:pPr>
      <w:r w:rsidRPr="00F171A3">
        <w:rPr>
          <w:b w:val="0"/>
          <w:bCs/>
          <w:color w:val="auto"/>
          <w:lang w:val="ro-RO"/>
        </w:rPr>
        <w:t>Principalele concluzii care au reieșit în urma discuțiilor din cadrul grupului de lucru, sunt:</w:t>
      </w:r>
    </w:p>
    <w:p w14:paraId="3894C6E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multe școli nu există laboratoare sau acestea au devenit săli de clase, elevii fiind lipsiți de instrumente practice în cazul materiilor care necesită astfel de abordare;</w:t>
      </w:r>
    </w:p>
    <w:p w14:paraId="3E9E70D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 nevoie de creșterea numărului de locuri din creșe;</w:t>
      </w:r>
    </w:p>
    <w:p w14:paraId="5F5ADBE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Implementarea conceptului de școli verzi este o propunere pentru o abordare și educare eco-friendly;</w:t>
      </w:r>
    </w:p>
    <w:p w14:paraId="3BB37F9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necesară dotare fiecărei unități de învățământ cu un cabinet de informatică;</w:t>
      </w:r>
    </w:p>
    <w:p w14:paraId="7033A18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necesară dotarea tuturor școlilor cu dulapuri în care elevii să-și țină lucrurile necesare pentru școală pentru a nu mai transporta zilnic acasă manuale, caiete și echipament;</w:t>
      </w:r>
    </w:p>
    <w:p w14:paraId="07C946D6" w14:textId="62FAA5A4"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Se propune încheierea unui parteneriat între Primăria Sectorului 2, Asociația Elevilor și Centrul Cultural “Mihai Eminescu”</w:t>
      </w:r>
      <w:r w:rsidR="00B1751D">
        <w:rPr>
          <w:color w:val="134753" w:themeColor="text2"/>
        </w:rPr>
        <w:t xml:space="preserve"> </w:t>
      </w:r>
      <w:r w:rsidRPr="00F171A3">
        <w:rPr>
          <w:color w:val="134753" w:themeColor="text2"/>
        </w:rPr>
        <w:t>pentru desfășurarea de proiecte culturale (teatru, concerte etc.);</w:t>
      </w:r>
    </w:p>
    <w:p w14:paraId="4FAF449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Pentru fiecare școală și liceu să fie e nevoie să fie amenajată câte o sală de festivități pentru evenimentele interne (festivități premiere, spectacole de teatru, concerte etc.);</w:t>
      </w:r>
    </w:p>
    <w:p w14:paraId="11E79F0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nevoie de intensificarea colaborării între școli, licee, Asociația Elevilor și Primăria Sectorului 2;</w:t>
      </w:r>
    </w:p>
    <w:p w14:paraId="7DCC127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necesară construirea sau amenajarea mai multor centre de activități pentru elevi;</w:t>
      </w:r>
    </w:p>
    <w:p w14:paraId="18EDAAB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La elaborarea strategiilor și planurilor mai ales pentru copii, tineri, și pentru elevi este nevoie să fie consultați și tinerii, copiii, elevii;</w:t>
      </w:r>
    </w:p>
    <w:p w14:paraId="70BBD50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Consiliul Consultativ al Tinerilor de la nivelul Sectorului 2 nu este funcțional în prezent;</w:t>
      </w:r>
    </w:p>
    <w:p w14:paraId="70E8222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Se propune constituirea unui fond la nivel local special pentru tineret și înființarea unui Centru pentru Tineret în Sectorul 2;</w:t>
      </w:r>
    </w:p>
    <w:p w14:paraId="1472ACB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necesară corelarea strategiilor de la nivel național, european, municipal pentru sport și tineret cu strategiile Sectorului 2;</w:t>
      </w:r>
    </w:p>
    <w:p w14:paraId="0E581EF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cadrul Bugetării Participative este necesar să se regăsească pentru finanțare și domeniul Sport și Tineret;</w:t>
      </w:r>
    </w:p>
    <w:p w14:paraId="65A92F6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 necesară modernizarea sălilor de sport din cadrul școlilor și liceelor;</w:t>
      </w:r>
    </w:p>
    <w:p w14:paraId="268BEF9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Manualele și programa școlară trebuie actualizate și îmbunătățite;</w:t>
      </w:r>
    </w:p>
    <w:p w14:paraId="61741D2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Ar fi utilă desfășurarea unor programe de educație politică, administrativă fi financiară în școli;</w:t>
      </w:r>
    </w:p>
    <w:p w14:paraId="3E8FF13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S-a propus ca orele de clasă să se desfășoare interactiv, elevii să fie implicați în predarea lecțiilor, proiecte etc.;</w:t>
      </w:r>
    </w:p>
    <w:p w14:paraId="332652E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Identificarea nevoilor cadrelor didactice din Sectorul 2 și alocarea de bugete de la Primăria Sectorului 2  pentru formare profesională în funcție de nevoile actuale impuse și de nevoile identificate;</w:t>
      </w:r>
    </w:p>
    <w:p w14:paraId="6046518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Implementarea unui program pentru accesul copiilor la spectacolele de teatru finanțat de Primăria Sectorului 2;</w:t>
      </w:r>
    </w:p>
    <w:p w14:paraId="04B2DFC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Dotarea sălilor de clasă din Sectorul 2 cu echipamente moderne;</w:t>
      </w:r>
    </w:p>
    <w:p w14:paraId="5D3F4AB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Finanțarea de către Primăria Sectorului 2 a unor programe de formare pentru crearea de conținut digital la clasă;</w:t>
      </w:r>
    </w:p>
    <w:p w14:paraId="6022AA5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Construirea unei baze sportive în Sectorul 2;</w:t>
      </w:r>
    </w:p>
    <w:p w14:paraId="2CECE315" w14:textId="45E1E930"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Reabilitarea Grupului Școlar Sportiv nr. 2 și a bazei sportive</w:t>
      </w:r>
      <w:r w:rsidR="006C5FDD" w:rsidRPr="00F171A3">
        <w:rPr>
          <w:color w:val="134753" w:themeColor="text2"/>
        </w:rPr>
        <w:t>.</w:t>
      </w:r>
    </w:p>
    <w:p w14:paraId="16D0678F" w14:textId="77777777" w:rsidR="00423E88" w:rsidRPr="00F171A3" w:rsidRDefault="00423E88" w:rsidP="00423E88">
      <w:pPr>
        <w:pStyle w:val="BoldCIVITTALightBlue"/>
        <w:rPr>
          <w:lang w:val="ro-RO"/>
        </w:rPr>
      </w:pPr>
    </w:p>
    <w:p w14:paraId="5421A500" w14:textId="7013070D" w:rsidR="00423E88" w:rsidRPr="00F171A3" w:rsidRDefault="00994DCA" w:rsidP="00994DCA">
      <w:pPr>
        <w:pStyle w:val="Heading3"/>
        <w:rPr>
          <w:lang w:val="ro-RO"/>
        </w:rPr>
      </w:pPr>
      <w:bookmarkStart w:id="517" w:name="_Toc115110220"/>
      <w:bookmarkStart w:id="518" w:name="_Toc127199346"/>
      <w:r w:rsidRPr="00F171A3">
        <w:rPr>
          <w:caps w:val="0"/>
          <w:lang w:val="ro-RO"/>
        </w:rPr>
        <w:t>GRUP DE LUCRU - SĂNĂTATE ȘI SERVICII SOCIALE</w:t>
      </w:r>
      <w:bookmarkEnd w:id="517"/>
      <w:bookmarkEnd w:id="518"/>
    </w:p>
    <w:p w14:paraId="29C3D8DA" w14:textId="77777777" w:rsidR="00423E88" w:rsidRPr="00F171A3" w:rsidRDefault="00423E88" w:rsidP="00423E88">
      <w:pPr>
        <w:pStyle w:val="Normal0"/>
      </w:pPr>
      <w:r w:rsidRPr="00F171A3">
        <w:t>În data de 06.07.2022 s-a desfășurat grupul de lucru pe tema “</w:t>
      </w:r>
      <w:r w:rsidRPr="00F171A3">
        <w:rPr>
          <w:rStyle w:val="BoldCIVITTALightBlueChar"/>
          <w:lang w:val="ro-RO"/>
        </w:rPr>
        <w:t>Sănătate și servicii sociale”</w:t>
      </w:r>
      <w:r w:rsidRPr="00F171A3">
        <w:t>, care a avut loc la Primăria Sectorului 2, la ora 10:00, unde au fost prezenți reprezentanții următoarelor instituții și companii:</w:t>
      </w:r>
    </w:p>
    <w:p w14:paraId="5962F398"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DGASPC;</w:t>
      </w:r>
    </w:p>
    <w:p w14:paraId="4427E43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Relații Comunitare;</w:t>
      </w:r>
    </w:p>
    <w:p w14:paraId="496BBFB7"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Generală Programe de Dezvoltare Urbană și Fonduri Europene;</w:t>
      </w:r>
    </w:p>
    <w:p w14:paraId="45A6BB3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Direcția Sănătate Publică București;</w:t>
      </w:r>
    </w:p>
    <w:p w14:paraId="729BE41F" w14:textId="21895A3F" w:rsidR="00423E88" w:rsidRPr="00F171A3" w:rsidRDefault="00423E88">
      <w:pPr>
        <w:numPr>
          <w:ilvl w:val="0"/>
          <w:numId w:val="85"/>
        </w:numPr>
        <w:pBdr>
          <w:top w:val="nil"/>
          <w:left w:val="nil"/>
          <w:bottom w:val="nil"/>
          <w:right w:val="nil"/>
          <w:between w:val="nil"/>
        </w:pBdr>
      </w:pPr>
      <w:r w:rsidRPr="00F171A3">
        <w:rPr>
          <w:color w:val="134753" w:themeColor="text2"/>
        </w:rPr>
        <w:t>Asociația Medicilor de Familie București-Ilfo</w:t>
      </w:r>
      <w:r w:rsidR="006C5FDD" w:rsidRPr="00F171A3">
        <w:rPr>
          <w:color w:val="134753" w:themeColor="text2"/>
        </w:rPr>
        <w:t>v.</w:t>
      </w:r>
    </w:p>
    <w:p w14:paraId="618B7AA9" w14:textId="77777777" w:rsidR="00423E88" w:rsidRPr="00F171A3" w:rsidRDefault="00423E88" w:rsidP="00423E88">
      <w:pPr>
        <w:pStyle w:val="BoldCIVITTALightBlue"/>
        <w:rPr>
          <w:b w:val="0"/>
          <w:bCs/>
          <w:color w:val="auto"/>
          <w:lang w:val="ro-RO"/>
        </w:rPr>
      </w:pPr>
      <w:r w:rsidRPr="00F171A3">
        <w:rPr>
          <w:b w:val="0"/>
          <w:bCs/>
          <w:color w:val="auto"/>
          <w:lang w:val="ro-RO"/>
        </w:rPr>
        <w:t>Principalele concluzii care au reieșit în urma discuțiilor din cadrul grupului de lucru, sunt:</w:t>
      </w:r>
    </w:p>
    <w:p w14:paraId="3EED99E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cadrul DGASPC Sectorul 2 este înregistrată o insuficiență a resursei umane;</w:t>
      </w:r>
    </w:p>
    <w:p w14:paraId="3C36446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Nu există magazin un social dedicat locuitorilor cu venituri mici din sector;</w:t>
      </w:r>
    </w:p>
    <w:p w14:paraId="08EC0010"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nevoie de creșterea accesului grupurilor vulnerabile la servicii medicale;</w:t>
      </w:r>
    </w:p>
    <w:p w14:paraId="60CB1FF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nevoie de implementarea unui mecanism de identificare și prevenire (caravană) a cazurilor de excluziune socială;</w:t>
      </w:r>
    </w:p>
    <w:p w14:paraId="6B95D20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Există un proiect prin care persoanelor vulnerabile le sunt oferite servicii stomatologice la prețuri reduse;</w:t>
      </w:r>
    </w:p>
    <w:p w14:paraId="6DA7DA3E"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Numărul de centre rezidențiale de vârstnici este mic în comparație cu cererea, în special în contextul îmbătrânirii demografice; </w:t>
      </w:r>
    </w:p>
    <w:p w14:paraId="5B6C6C3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În cazul persoanelor vârstnice este nevoie să fie stimulată îngrijirea informală; </w:t>
      </w:r>
    </w:p>
    <w:p w14:paraId="698159C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necesară o intervenție integrată în Zonele Urbane Marginalizate din Sectorul 2;</w:t>
      </w:r>
    </w:p>
    <w:p w14:paraId="225DACD7"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Este înregistrată o ofertă mai mică a locuințelor sociale, comparativ cu cererea existentă; </w:t>
      </w:r>
    </w:p>
    <w:p w14:paraId="7EBC788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 nevoie de colaborare și conlucrare între DGASPC și direcția Fond locativ din cadrul Primăriei Sectorului 2, în special pe tema locuințelor sociale (au fost identificate cazuri în care se depun dosare de locuință socială și de ajutoare sociale pentru chirie de către aceiași beneficiari);</w:t>
      </w:r>
    </w:p>
    <w:p w14:paraId="1F68339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Inserția persoanelor din ZUM în ADP sau alte instituții subordonate, pentru a obține loc de muncă poate fi o soluție pentru șomajul în cadrul ZUM;</w:t>
      </w:r>
    </w:p>
    <w:p w14:paraId="7B8F5D2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Sectorul 2 e nevoie de un centru pentru copiii cu sindromul DOWN;</w:t>
      </w:r>
    </w:p>
    <w:p w14:paraId="45F57756" w14:textId="7CCDB4C5"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 xml:space="preserve">Nevoia de colaborare și conlucrare între Poliția Locală și DGASPC </w:t>
      </w:r>
      <w:r w:rsidR="00DC7D39" w:rsidRPr="00F171A3">
        <w:rPr>
          <w:color w:val="134753" w:themeColor="text2"/>
        </w:rPr>
        <w:t>pentru</w:t>
      </w:r>
      <w:r w:rsidRPr="00F171A3">
        <w:rPr>
          <w:color w:val="134753" w:themeColor="text2"/>
        </w:rPr>
        <w:t xml:space="preserve"> reducerea cazurilor de violență domestică;</w:t>
      </w:r>
    </w:p>
    <w:p w14:paraId="74EFF3E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Sectorul 2 este nevoie de o nouă policlinică, modernă și bine dotată;</w:t>
      </w:r>
    </w:p>
    <w:p w14:paraId="346C168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Pe raza sectorului există clădiri și policlinici vechi pentru care există posibilitatea de a fi renovate, restabilite și modernizate (Policlinica fostă cu plată 2,  șoseaua Pantelimon, Policlinica Sucului);</w:t>
      </w:r>
    </w:p>
    <w:p w14:paraId="31A9ACA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Municipiul București și implicit Sectorul 2 are suficiente cadre medicale;</w:t>
      </w:r>
    </w:p>
    <w:p w14:paraId="5550B06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Promovarea unui stil sănătos de viață bazat pe prevenție este o prioritate (realizarea de campanii de informare, screening medical (prevenire și identificare în faze incipiente), caravane de sănătate, în special în Zonele Urbane Marginalizate, filmulețe de informare și promovare a modului sănătos de viață, etc.</w:t>
      </w:r>
    </w:p>
    <w:p w14:paraId="7D340A16" w14:textId="4B616934"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La nivel de sector există proiect de Clinică Medico-Socială</w:t>
      </w:r>
      <w:r w:rsidR="006C5FDD" w:rsidRPr="00F171A3">
        <w:rPr>
          <w:color w:val="134753" w:themeColor="text2"/>
        </w:rPr>
        <w:t>.</w:t>
      </w:r>
    </w:p>
    <w:p w14:paraId="5073F862" w14:textId="77777777" w:rsidR="00423E88" w:rsidRPr="00F171A3" w:rsidRDefault="00423E88" w:rsidP="00423E88">
      <w:pPr>
        <w:pStyle w:val="BoldCIVITTALightBlue"/>
        <w:rPr>
          <w:lang w:val="ro-RO"/>
        </w:rPr>
      </w:pPr>
    </w:p>
    <w:p w14:paraId="0C0CB453" w14:textId="67181E35" w:rsidR="00423E88" w:rsidRPr="00F171A3" w:rsidRDefault="00994DCA" w:rsidP="00994DCA">
      <w:pPr>
        <w:pStyle w:val="Heading3"/>
        <w:rPr>
          <w:lang w:val="ro-RO"/>
        </w:rPr>
      </w:pPr>
      <w:bookmarkStart w:id="519" w:name="_Toc115110221"/>
      <w:bookmarkStart w:id="520" w:name="_Toc127199347"/>
      <w:r w:rsidRPr="00F171A3">
        <w:rPr>
          <w:caps w:val="0"/>
          <w:lang w:val="ro-RO"/>
        </w:rPr>
        <w:t>GRUP DE LUCRU - MOBILITATE ȘI DEZVOLTARE URBANĂ</w:t>
      </w:r>
      <w:bookmarkEnd w:id="519"/>
      <w:bookmarkEnd w:id="520"/>
    </w:p>
    <w:p w14:paraId="5E6E9D22" w14:textId="77777777" w:rsidR="00423E88" w:rsidRPr="00F171A3" w:rsidRDefault="00423E88" w:rsidP="00423E88">
      <w:pPr>
        <w:pStyle w:val="Normal0"/>
      </w:pPr>
      <w:r w:rsidRPr="00F171A3">
        <w:t>În data de 05.07.2022 s-a desfășurat grupul de lucru pe tema “</w:t>
      </w:r>
      <w:r w:rsidRPr="00F171A3">
        <w:rPr>
          <w:rStyle w:val="BoldCIVITTALightBlueChar"/>
          <w:lang w:val="ro-RO"/>
        </w:rPr>
        <w:t>Mobilitate și dezvoltare urbană”</w:t>
      </w:r>
      <w:r w:rsidRPr="00F171A3">
        <w:t>, care a avut loc la Primăria Sectorului 2, la ora 14:00, unde au fost prezenți reprezentanții următoarelor instituții și companii:</w:t>
      </w:r>
    </w:p>
    <w:p w14:paraId="548EF80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Urbanism;</w:t>
      </w:r>
    </w:p>
    <w:p w14:paraId="0BCE9DE8"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Investiții;</w:t>
      </w:r>
    </w:p>
    <w:p w14:paraId="108C93F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ADP;</w:t>
      </w:r>
    </w:p>
    <w:p w14:paraId="7C14430A"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Utilități Publice și Mediu;</w:t>
      </w:r>
    </w:p>
    <w:p w14:paraId="305CC33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Primăria Sectorului 2 – Direcția Generală Programe de Dezvoltare Urbană și Fonduri Europene;</w:t>
      </w:r>
    </w:p>
    <w:p w14:paraId="71B9835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Administrația Piețelor Sector 2;</w:t>
      </w:r>
    </w:p>
    <w:p w14:paraId="74F1B96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Ordinul Arhitecților București;</w:t>
      </w:r>
    </w:p>
    <w:p w14:paraId="7862F28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Banca Mondială;</w:t>
      </w:r>
    </w:p>
    <w:p w14:paraId="06FFB303"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Poliția Locală Sector 2;</w:t>
      </w:r>
    </w:p>
    <w:p w14:paraId="1A833EF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Brigada Rutieră București;</w:t>
      </w:r>
    </w:p>
    <w:p w14:paraId="3812C758"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Compania Parking București – PMB;</w:t>
      </w:r>
    </w:p>
    <w:p w14:paraId="4376575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ADI TPBI;</w:t>
      </w:r>
    </w:p>
    <w:p w14:paraId="212506B0" w14:textId="7CA664AF" w:rsidR="00423E88" w:rsidRPr="00F171A3" w:rsidRDefault="00423E88">
      <w:pPr>
        <w:numPr>
          <w:ilvl w:val="0"/>
          <w:numId w:val="85"/>
        </w:numPr>
        <w:pBdr>
          <w:top w:val="nil"/>
          <w:left w:val="nil"/>
          <w:bottom w:val="nil"/>
          <w:right w:val="nil"/>
          <w:between w:val="nil"/>
        </w:pBdr>
      </w:pPr>
      <w:r w:rsidRPr="00F171A3">
        <w:rPr>
          <w:color w:val="134753" w:themeColor="text2"/>
        </w:rPr>
        <w:t>ADR București-Ilfov</w:t>
      </w:r>
      <w:r w:rsidR="006C5FDD" w:rsidRPr="00F171A3">
        <w:rPr>
          <w:color w:val="134753" w:themeColor="text2"/>
        </w:rPr>
        <w:t>.</w:t>
      </w:r>
    </w:p>
    <w:p w14:paraId="1ACB6F3E" w14:textId="167199C5" w:rsidR="00423E88" w:rsidRPr="00F171A3" w:rsidRDefault="00423E88" w:rsidP="00423E88">
      <w:pPr>
        <w:pStyle w:val="BoldCIVITTALightBlue"/>
        <w:rPr>
          <w:b w:val="0"/>
          <w:bCs/>
          <w:color w:val="auto"/>
          <w:lang w:val="ro-RO"/>
        </w:rPr>
      </w:pPr>
      <w:r w:rsidRPr="00F171A3">
        <w:rPr>
          <w:b w:val="0"/>
          <w:bCs/>
          <w:color w:val="auto"/>
          <w:lang w:val="ro-RO"/>
        </w:rPr>
        <w:t>Principalele concluzii care au reieșit în urma discuțiilor din cadrul grupului de lucru, sunt:</w:t>
      </w:r>
    </w:p>
    <w:p w14:paraId="09775F77"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Pentru obiective de impact sunt necesare concursuri de soluții pentru a asigura o calitate ridicată a spațiilor publice și a serviciilor: parcuri, centre comunitare, piațete; un tip de concurs de interes/unicat pentru S2 ar putea fi parcările supraetajate;</w:t>
      </w:r>
    </w:p>
    <w:p w14:paraId="439605B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OAR și Primăria Sectorului 2 pot asigura sprijin comunitar pentru lucrări de amenajare a intrărilor în blocuri, casei scărilor (lucruri minore); se poate realiza un proiect tip de intrare de bloc (kit);</w:t>
      </w:r>
    </w:p>
    <w:p w14:paraId="6D65FAC5"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Se recomandă realizarea unui ghid de intervenții pe fațade pentru lucrările de eficientizare energetică; realizarea unui parteneriat între PMB, OAR, Primăriile de Sector; model: ghidul orașului Paris pentru clădiri cu valoare estetică;</w:t>
      </w:r>
    </w:p>
    <w:p w14:paraId="7C5247BB"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Proiectele de intervenții asupra blocurilor trebuie să asigure accese pentru persoane cu dificultăți locomotorii iar spațiile verzi trebuie să includă zone de socializare pentru persoane vârstnice; </w:t>
      </w:r>
    </w:p>
    <w:p w14:paraId="7B96CDF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Proiectele de intervenții asupra spațiilor verzi din cartierele de locuit trebuie realizate de echipe multidisciplinare; este necesară o abordare de tip bottom-up;</w:t>
      </w:r>
    </w:p>
    <w:p w14:paraId="636942E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 ca locuitorii să își însușească și să îngrijească spațiile publice si verzi din jurul blocurilor; se propune ca APL să asigure accesul locuitorilor la specialiști (peisagiști/horticultori) pentru a se asigura amenajarea durabilă a spațiilor verzi;</w:t>
      </w:r>
    </w:p>
    <w:p w14:paraId="583818E4"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Se poate lua în considerare cooptarea unor facilitatori comunitari pentru a facilita comunicarea dintre APL și comunitățile locale/asociațiile de proprietari;</w:t>
      </w:r>
    </w:p>
    <w:p w14:paraId="7B1FCA87"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Sunt identificate probleme de mentenanță a spațiilor publice; multe spații sunt vandalizate; </w:t>
      </w:r>
    </w:p>
    <w:p w14:paraId="0DA985DF"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Sunt necesare măsuri de educație comunitară;</w:t>
      </w:r>
    </w:p>
    <w:p w14:paraId="3B8173FC"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 să se propună măsuri care să sprijine colaborări între ADP si locuitori astfel încât locuitorii să poată amenaja spațiile publice; Este necesar să se realizeze un protocol de asociere/colaborare între ADP și asociațiile de proprietari pentru realizarea proiectelor de investiții în spații publice adiacente blocurilor; </w:t>
      </w:r>
    </w:p>
    <w:p w14:paraId="704B585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Trebuie să se clarifice regimul juridic al spațiilor publice; este necesară cartarea acestor spații; se pot realiza parteneriate între ADP, PS2 și asociațiile de proprietari;</w:t>
      </w:r>
    </w:p>
    <w:p w14:paraId="15883076"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Se propunere realizarea de proiecte de incluziune socială în zonele defavorizate pentru amenajarea spațiilor publice și însușirea acestora de către comunitățile locale; </w:t>
      </w:r>
    </w:p>
    <w:p w14:paraId="24B7DD49"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 să se realizeze planuri de management/ mentenanță pentru spațiile verzi;</w:t>
      </w:r>
    </w:p>
    <w:p w14:paraId="3CB0F8C2"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strategie trebuie incluse masuri pentru a sprijini operațiunile de dezactivare a ghenelor de gunoi din blocuri;</w:t>
      </w:r>
    </w:p>
    <w:p w14:paraId="6C44100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Este necesară includerea în strategie a unor modalități de valorificare a fostelor platforme industriale;</w:t>
      </w:r>
    </w:p>
    <w:p w14:paraId="0A26D4E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procesul de valorificare a spațiilor publice din centrul istoric trebuie să se țină cont de specificul locului / identitatea locală;</w:t>
      </w:r>
    </w:p>
    <w:p w14:paraId="0EC34491"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Sunt necesare investiții pentru infrastructura existentă: puncte noi de oprire, stații, peroane, parcări de transfer, parcări biciclete, achiziție materiale rulante;</w:t>
      </w:r>
    </w:p>
    <w:p w14:paraId="742A388D" w14:textId="77777777"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În procesul de revitalizare a zonei Obor o atenție deosebită trebuie acordată Gării Obor (monument istoric); viitoarea gară de tranzit trebuie încadrată în stilul zonei;</w:t>
      </w:r>
    </w:p>
    <w:p w14:paraId="12C87D2D" w14:textId="5A586E03" w:rsidR="00423E88" w:rsidRPr="00F171A3" w:rsidRDefault="00423E88">
      <w:pPr>
        <w:numPr>
          <w:ilvl w:val="0"/>
          <w:numId w:val="85"/>
        </w:numPr>
        <w:pBdr>
          <w:top w:val="nil"/>
          <w:left w:val="nil"/>
          <w:bottom w:val="nil"/>
          <w:right w:val="nil"/>
          <w:between w:val="nil"/>
        </w:pBdr>
        <w:rPr>
          <w:color w:val="134753" w:themeColor="text2"/>
        </w:rPr>
      </w:pPr>
      <w:r w:rsidRPr="00F171A3">
        <w:rPr>
          <w:color w:val="134753" w:themeColor="text2"/>
        </w:rPr>
        <w:t>Proiect extindere tramvai Petricani-Pantelimon</w:t>
      </w:r>
      <w:r w:rsidR="006C5FDD" w:rsidRPr="00F171A3">
        <w:rPr>
          <w:color w:val="134753" w:themeColor="text2"/>
        </w:rPr>
        <w:t>.</w:t>
      </w:r>
    </w:p>
    <w:p w14:paraId="3076D5E1" w14:textId="66EAD1A7" w:rsidR="00423E88" w:rsidRPr="00F171A3" w:rsidRDefault="00423E88" w:rsidP="00423E88">
      <w:pPr>
        <w:pStyle w:val="Normal0"/>
      </w:pPr>
    </w:p>
    <w:p w14:paraId="61D2EC42" w14:textId="6E5C7FE1" w:rsidR="00994DCA" w:rsidRPr="00F171A3" w:rsidRDefault="00994DCA" w:rsidP="00994DCA">
      <w:pPr>
        <w:pStyle w:val="Heading2"/>
        <w:rPr>
          <w:lang w:val="ro-RO"/>
        </w:rPr>
      </w:pPr>
      <w:bookmarkStart w:id="521" w:name="_Toc127199348"/>
      <w:bookmarkStart w:id="522" w:name="_Toc115110209"/>
      <w:r w:rsidRPr="00F171A3">
        <w:rPr>
          <w:lang w:val="ro-RO"/>
        </w:rPr>
        <w:t>CHESTIONARE APLICATE</w:t>
      </w:r>
      <w:r w:rsidR="00FE3332" w:rsidRPr="00F171A3">
        <w:rPr>
          <w:lang w:val="ro-RO"/>
        </w:rPr>
        <w:t xml:space="preserve"> </w:t>
      </w:r>
      <w:r w:rsidR="00283F1A" w:rsidRPr="00F171A3">
        <w:rPr>
          <w:lang w:val="ro-RO"/>
        </w:rPr>
        <w:t>–</w:t>
      </w:r>
      <w:r w:rsidR="00FE3332" w:rsidRPr="00F171A3">
        <w:rPr>
          <w:lang w:val="ro-RO"/>
        </w:rPr>
        <w:t xml:space="preserve"> CONCLUZII</w:t>
      </w:r>
      <w:bookmarkEnd w:id="521"/>
    </w:p>
    <w:p w14:paraId="6DA2D52B" w14:textId="77777777" w:rsidR="00283F1A" w:rsidRPr="00F171A3" w:rsidRDefault="00283F1A" w:rsidP="00283F1A">
      <w:r w:rsidRPr="00F171A3">
        <w:t xml:space="preserve">În cadrul proiectului de actualizare a „Strategiei de Dezvoltare Locală Integrată și Durabilă a Sectorului 2 pentru perioada 2016 – 2025” se stabilesc direcțiile de acțiune pentru dezvoltarea sectorului în perioada următoare. Pentru ca acest proces să contureze o imagine de ansamblu reală a dinamicii dezvoltării sectorului și să identifice provocările de dezvoltare relevante și actuale, este extrem de importantă implicarea mecanismului de consultare publică. Sondajul de opinie reprezintă o metodă cantitativă eficientă și practică și se realizează pe baza unui chestionar aplicat unui public-țintă stabilit anterior. În acest sens, în procesul de elaborare a Strategiei de Dezvoltare Locală Integrată și Durabilă a Sectorului 2 pentru perioada 2016 – 2025, </w:t>
      </w:r>
      <w:r w:rsidRPr="00F171A3">
        <w:rPr>
          <w:szCs w:val="24"/>
        </w:rPr>
        <w:t>s-au aplicat o serie de sondaje de opinie:</w:t>
      </w:r>
    </w:p>
    <w:p w14:paraId="1AD8CB55" w14:textId="5DEFAA4A" w:rsidR="00283F1A" w:rsidRPr="00F171A3" w:rsidRDefault="00283F1A" w:rsidP="00283F1A">
      <w:pPr>
        <w:pStyle w:val="Bullet"/>
        <w:numPr>
          <w:ilvl w:val="0"/>
          <w:numId w:val="38"/>
        </w:numPr>
      </w:pPr>
      <w:r w:rsidRPr="00F171A3">
        <w:t xml:space="preserve">Chestionar dedicat </w:t>
      </w:r>
      <w:r w:rsidR="00FC4217" w:rsidRPr="00F171A3">
        <w:t>locuitorilor</w:t>
      </w:r>
      <w:r w:rsidRPr="00F171A3">
        <w:t xml:space="preserve"> din Sectorul 2;</w:t>
      </w:r>
    </w:p>
    <w:p w14:paraId="09FD4756" w14:textId="77777777" w:rsidR="00283F1A" w:rsidRPr="00F171A3" w:rsidRDefault="00283F1A" w:rsidP="00283F1A">
      <w:pPr>
        <w:pStyle w:val="Bullet"/>
        <w:numPr>
          <w:ilvl w:val="0"/>
          <w:numId w:val="38"/>
        </w:numPr>
      </w:pPr>
      <w:r w:rsidRPr="00F171A3">
        <w:t>Chestionar dedicat administrației publice de la nivelul Primăriei Sectorului 2;</w:t>
      </w:r>
    </w:p>
    <w:p w14:paraId="54A65E58" w14:textId="77777777" w:rsidR="00283F1A" w:rsidRPr="00F171A3" w:rsidRDefault="00283F1A" w:rsidP="00283F1A">
      <w:pPr>
        <w:pStyle w:val="Bullet"/>
        <w:numPr>
          <w:ilvl w:val="0"/>
          <w:numId w:val="38"/>
        </w:numPr>
      </w:pPr>
      <w:r w:rsidRPr="00F171A3">
        <w:t>Chestionar dedicat mediului de afaceri din Sectorul 2;</w:t>
      </w:r>
    </w:p>
    <w:p w14:paraId="0D7E4757" w14:textId="454BEB03" w:rsidR="00283F1A" w:rsidRPr="00F171A3" w:rsidRDefault="00283F1A" w:rsidP="00283F1A">
      <w:pPr>
        <w:pStyle w:val="Bullet"/>
        <w:numPr>
          <w:ilvl w:val="0"/>
          <w:numId w:val="38"/>
        </w:numPr>
      </w:pPr>
      <w:r w:rsidRPr="00F171A3">
        <w:t>Chestionar dedicat organizațiilor non-guvernamentale din Sectorul 2.</w:t>
      </w:r>
    </w:p>
    <w:p w14:paraId="0C839F58" w14:textId="77777777" w:rsidR="00C412A7" w:rsidRPr="00F171A3" w:rsidRDefault="00C412A7" w:rsidP="00C412A7">
      <w:pPr>
        <w:pStyle w:val="Bullet"/>
        <w:numPr>
          <w:ilvl w:val="0"/>
          <w:numId w:val="0"/>
        </w:numPr>
      </w:pPr>
    </w:p>
    <w:p w14:paraId="4BD1F91B" w14:textId="0B22D3E2" w:rsidR="0011345A" w:rsidRPr="00F171A3" w:rsidRDefault="0011345A" w:rsidP="00994DCA">
      <w:pPr>
        <w:pStyle w:val="Heading3"/>
        <w:rPr>
          <w:lang w:val="ro-RO"/>
        </w:rPr>
      </w:pPr>
      <w:bookmarkStart w:id="523" w:name="_Toc127199349"/>
      <w:r w:rsidRPr="00F171A3">
        <w:rPr>
          <w:lang w:val="ro-RO"/>
        </w:rPr>
        <w:t xml:space="preserve">CHESTIONAR </w:t>
      </w:r>
      <w:r w:rsidR="00FE3332" w:rsidRPr="00F171A3">
        <w:rPr>
          <w:lang w:val="ro-RO"/>
        </w:rPr>
        <w:t>DEDICAT</w:t>
      </w:r>
      <w:r w:rsidRPr="00F171A3">
        <w:rPr>
          <w:lang w:val="ro-RO"/>
        </w:rPr>
        <w:t xml:space="preserve"> LOCUITORILOR SECTORULUI 2</w:t>
      </w:r>
      <w:bookmarkEnd w:id="522"/>
      <w:bookmarkEnd w:id="523"/>
    </w:p>
    <w:p w14:paraId="317C1478" w14:textId="77777777" w:rsidR="00C412A7" w:rsidRPr="00F171A3" w:rsidRDefault="00C412A7" w:rsidP="00C412A7">
      <w:r w:rsidRPr="00F171A3">
        <w:t>Răspunsurile din cadrul chestionarului dedicat cetățenilor, ca parte a procesului consultativ-participativ, au scopul de a asigura suport pentru întregul proces de elaborare a documentului strategic. Opiniile exprimate de locuitori au rolul de a contribui la identificarea competențelor distinctive, a măsurilor dorite de către cetățeni și la identificarea priorităților de dezvoltare ale sectorului pentru următoarea perioadă de programare. Chestionarul a fost structurat în mai  multe secțiuni principale, după cum urmează:</w:t>
      </w:r>
    </w:p>
    <w:p w14:paraId="0029FB77" w14:textId="77777777" w:rsidR="00C412A7" w:rsidRPr="00F171A3" w:rsidRDefault="00C412A7" w:rsidP="00C412A7">
      <w:pPr>
        <w:pStyle w:val="Bullet"/>
        <w:numPr>
          <w:ilvl w:val="0"/>
          <w:numId w:val="38"/>
        </w:numPr>
      </w:pPr>
      <w:r w:rsidRPr="00F171A3">
        <w:rPr>
          <w:b/>
        </w:rPr>
        <w:t>Informații generale</w:t>
      </w:r>
      <w:r w:rsidRPr="00F171A3">
        <w:t>, secțiune în cadrul căreia respondenții au fost rugați să ofere informații referitoare la zona în care aceștia locuiesc, nivelul de educație, vârsta, alți indicatori demografic și principalele avantaje pe care aceștia le au în zona în care aceștia locuiesc. Scopul acestei secțiuni este de a contura un profil al respondenților;</w:t>
      </w:r>
    </w:p>
    <w:p w14:paraId="65A0BCB9" w14:textId="77777777" w:rsidR="00C412A7" w:rsidRPr="00F171A3" w:rsidRDefault="00C412A7" w:rsidP="00C412A7">
      <w:pPr>
        <w:pStyle w:val="Bullet"/>
        <w:numPr>
          <w:ilvl w:val="0"/>
          <w:numId w:val="38"/>
        </w:numPr>
      </w:pPr>
      <w:r w:rsidRPr="00F171A3">
        <w:rPr>
          <w:b/>
        </w:rPr>
        <w:t>Accesul la dotări și servicii publice</w:t>
      </w:r>
      <w:r w:rsidRPr="00F171A3">
        <w:t xml:space="preserve"> și dezvoltarea durabilă a sectorului, secțiune în cadrul căreia s-a urmărit:</w:t>
      </w:r>
    </w:p>
    <w:p w14:paraId="627503C3" w14:textId="6C2D000E" w:rsidR="00C412A7" w:rsidRPr="00F171A3" w:rsidRDefault="00C412A7">
      <w:pPr>
        <w:pStyle w:val="Bullet"/>
        <w:numPr>
          <w:ilvl w:val="0"/>
          <w:numId w:val="119"/>
        </w:numPr>
        <w:ind w:left="1440"/>
        <w:rPr>
          <w:rFonts w:eastAsia="SimSun"/>
          <w:bCs w:val="0"/>
          <w:color w:val="134753"/>
          <w:lang w:eastAsia="en-US"/>
        </w:rPr>
      </w:pPr>
      <w:r w:rsidRPr="00F171A3">
        <w:rPr>
          <w:rFonts w:eastAsia="SimSun"/>
          <w:bCs w:val="0"/>
          <w:color w:val="134753"/>
          <w:lang w:eastAsia="en-US"/>
        </w:rPr>
        <w:t>Gradul de deservire și calitatea serviciilor socio-culturale (sănătate, asistență socială, educație, cultură, sport și petrecerea timpului liber), a infrastructurii tehnico-edilitare și a infrastructurii de transport, gradul de mulțumire raportat la aspecte referitoare la dezvoltare;</w:t>
      </w:r>
    </w:p>
    <w:p w14:paraId="3E1E300C" w14:textId="55823EEC" w:rsidR="00C412A7" w:rsidRPr="00F171A3" w:rsidRDefault="00C412A7">
      <w:pPr>
        <w:pStyle w:val="Bullet"/>
        <w:numPr>
          <w:ilvl w:val="0"/>
          <w:numId w:val="119"/>
        </w:numPr>
        <w:ind w:left="1440"/>
        <w:rPr>
          <w:color w:val="000000" w:themeColor="text1"/>
        </w:rPr>
      </w:pPr>
      <w:r w:rsidRPr="00F171A3">
        <w:rPr>
          <w:rFonts w:eastAsia="SimSun"/>
          <w:bCs w:val="0"/>
          <w:color w:val="134753"/>
          <w:lang w:eastAsia="en-US"/>
        </w:rPr>
        <w:t>Opinia și gradul de mulțumire a cetățenilor față de serviciile oferite de administrația publică locală și măsurile de inovare și digitalizare întreprinse;</w:t>
      </w:r>
    </w:p>
    <w:p w14:paraId="27261EE4" w14:textId="3240D1E9" w:rsidR="00C412A7" w:rsidRPr="00F171A3" w:rsidRDefault="00C412A7">
      <w:pPr>
        <w:pStyle w:val="Bullet"/>
        <w:numPr>
          <w:ilvl w:val="0"/>
          <w:numId w:val="119"/>
        </w:numPr>
        <w:ind w:left="1440"/>
        <w:rPr>
          <w:color w:val="000000" w:themeColor="text1"/>
        </w:rPr>
      </w:pPr>
      <w:r w:rsidRPr="00F171A3">
        <w:rPr>
          <w:rFonts w:eastAsia="SimSun"/>
          <w:bCs w:val="0"/>
          <w:color w:val="134753"/>
          <w:lang w:eastAsia="en-US"/>
        </w:rPr>
        <w:t>Opinia privind principalele aspecte pozitive și principalele aspecte negative ale Sectorului 2;</w:t>
      </w:r>
    </w:p>
    <w:p w14:paraId="7C7BE532" w14:textId="68CF224C" w:rsidR="00C412A7" w:rsidRPr="00F171A3" w:rsidRDefault="00C412A7">
      <w:pPr>
        <w:pStyle w:val="Bullet"/>
        <w:numPr>
          <w:ilvl w:val="0"/>
          <w:numId w:val="119"/>
        </w:numPr>
        <w:ind w:left="1440"/>
        <w:rPr>
          <w:color w:val="000000" w:themeColor="text1"/>
        </w:rPr>
      </w:pPr>
      <w:r w:rsidRPr="00F171A3">
        <w:rPr>
          <w:rFonts w:eastAsia="SimSun"/>
          <w:bCs w:val="0"/>
          <w:color w:val="134753"/>
          <w:lang w:eastAsia="en-US"/>
        </w:rPr>
        <w:t>Potențialele măsuri pentru o dezvoltare durabilă a comunității;</w:t>
      </w:r>
    </w:p>
    <w:p w14:paraId="38149D3C" w14:textId="6D639BCB" w:rsidR="00C412A7" w:rsidRPr="00F171A3" w:rsidRDefault="00C412A7" w:rsidP="00C412A7">
      <w:pPr>
        <w:pStyle w:val="Bullet"/>
        <w:numPr>
          <w:ilvl w:val="0"/>
          <w:numId w:val="38"/>
        </w:numPr>
        <w:rPr>
          <w:b/>
        </w:rPr>
      </w:pPr>
      <w:r w:rsidRPr="00F171A3">
        <w:rPr>
          <w:b/>
        </w:rPr>
        <w:t>Informații privind contextul pandemiei de COVID-19.</w:t>
      </w:r>
    </w:p>
    <w:p w14:paraId="09E0DA32" w14:textId="77777777" w:rsidR="00C412A7" w:rsidRPr="00F171A3" w:rsidRDefault="00C412A7" w:rsidP="00C412A7">
      <w:pPr>
        <w:pStyle w:val="Bullet"/>
        <w:numPr>
          <w:ilvl w:val="0"/>
          <w:numId w:val="0"/>
        </w:numPr>
        <w:ind w:left="360"/>
      </w:pPr>
    </w:p>
    <w:p w14:paraId="7D1E6A62" w14:textId="77777777" w:rsidR="00C412A7" w:rsidRPr="00F171A3" w:rsidRDefault="00C412A7" w:rsidP="00C412A7">
      <w:r w:rsidRPr="00F171A3">
        <w:t>Principalele probleme ale Sectorului 2, punctate de către respondenți, sunt curățenia și salubrizarea deficitară a spațiilor publice, locurile de parcare insuficiente, fapt ce influențează tendința șoferilor de a parca pe trotuarele ce devin astfel indisponibile pietonilor, dar și spațiile verzi insuficiente. Alte probleme identificate de către aceștia au la bază aspecte precum traficul foarte aglomerat, infrastructura de utilități deficitară prin problemele raportate la sistemele de apa caldă și căldură, nivelul ridicat de poluare, urbanismul haotic, precum și transportul în comun nesatisfăcător. Pe lângă acestea, alți respondenți mai menționează și lipsa unor piste pentru biciclete sigure și eficiente, nevoia implicării mai active a poliției locale în spațiul public, nevoia de reabilitare  a clădirilor publice și nevoia de reabilitare termică a clădirilor publice și private.</w:t>
      </w:r>
    </w:p>
    <w:p w14:paraId="121F6A03" w14:textId="12E4230C" w:rsidR="00C412A7" w:rsidRPr="00F171A3" w:rsidRDefault="00C412A7" w:rsidP="00C412A7">
      <w:pPr>
        <w:pStyle w:val="Bullet"/>
        <w:numPr>
          <w:ilvl w:val="0"/>
          <w:numId w:val="0"/>
        </w:numPr>
        <w:rPr>
          <w:color w:val="auto"/>
          <w:highlight w:val="yellow"/>
        </w:rPr>
      </w:pPr>
      <w:r w:rsidRPr="00F171A3">
        <w:rPr>
          <w:noProof/>
        </w:rPr>
        <w:drawing>
          <wp:inline distT="0" distB="0" distL="0" distR="0" wp14:anchorId="55213722" wp14:editId="6F8A9FEE">
            <wp:extent cx="5985163" cy="27557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ativ.png"/>
                    <pic:cNvPicPr/>
                  </pic:nvPicPr>
                  <pic:blipFill rotWithShape="1">
                    <a:blip r:embed="rId218">
                      <a:extLst>
                        <a:ext uri="{28A0092B-C50C-407E-A947-70E740481C1C}">
                          <a14:useLocalDpi xmlns:a14="http://schemas.microsoft.com/office/drawing/2010/main" val="0"/>
                        </a:ext>
                      </a:extLst>
                    </a:blip>
                    <a:srcRect b="21132"/>
                    <a:stretch/>
                  </pic:blipFill>
                  <pic:spPr bwMode="auto">
                    <a:xfrm>
                      <a:off x="0" y="0"/>
                      <a:ext cx="6014956" cy="2769477"/>
                    </a:xfrm>
                    <a:prstGeom prst="rect">
                      <a:avLst/>
                    </a:prstGeom>
                    <a:ln>
                      <a:noFill/>
                    </a:ln>
                    <a:extLst>
                      <a:ext uri="{53640926-AAD7-44D8-BBD7-CCE9431645EC}">
                        <a14:shadowObscured xmlns:a14="http://schemas.microsoft.com/office/drawing/2010/main"/>
                      </a:ext>
                    </a:extLst>
                  </pic:spPr>
                </pic:pic>
              </a:graphicData>
            </a:graphic>
          </wp:inline>
        </w:drawing>
      </w:r>
      <w:r w:rsidRPr="00F171A3">
        <w:rPr>
          <w:color w:val="auto"/>
        </w:rPr>
        <w:t xml:space="preserve">  </w:t>
      </w:r>
    </w:p>
    <w:p w14:paraId="1F24EF0A" w14:textId="1534A7E0" w:rsidR="00C412A7" w:rsidRPr="00F171A3" w:rsidRDefault="00C412A7" w:rsidP="00C412A7">
      <w:r w:rsidRPr="00F171A3">
        <w:t>Principalele aspecte pozitive ale Sectorului 2, punctate de către respondenți, au la bază existența parcurilor și a locurilor de joacă variate la nivelul Sectorului 2, existența spațiilor verzi și a legăturilor de transport variate. De asemenea, respondenții mai indică faptul că printre aspectele pozitive ale Sectorului 2 se remarcă curățenia și întreținerea spațiilor publice, procesele de digitalizare în continuă creștere, accesul la un sistem de învățământ variat, procesele de reabilitare și anvelopare ale blocurilor, precum și proximitatea față de zone de interes. Alte aspecte pozitive amintite de către locuitorii Sectorului 2 sunt deschiderea și comunicarea administrației cu cetățenii, transparența decizională de la nivelul acesteia, posibilitățile de a realiza diverse activități și inițiativele și procesele de dezvoltare demarate în cadrul Sectorului.</w:t>
      </w:r>
    </w:p>
    <w:p w14:paraId="2018F03A" w14:textId="2E8F7C11" w:rsidR="00C412A7" w:rsidRPr="00F171A3" w:rsidRDefault="00C412A7" w:rsidP="00C412A7">
      <w:pPr>
        <w:pStyle w:val="Bullet"/>
        <w:numPr>
          <w:ilvl w:val="0"/>
          <w:numId w:val="0"/>
        </w:numPr>
        <w:rPr>
          <w:color w:val="auto"/>
        </w:rPr>
      </w:pPr>
      <w:r w:rsidRPr="00F171A3">
        <w:rPr>
          <w:noProof/>
        </w:rPr>
        <w:drawing>
          <wp:inline distT="0" distB="0" distL="0" distR="0" wp14:anchorId="569ACA42" wp14:editId="6A896E2A">
            <wp:extent cx="6032665" cy="352570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itiv.png"/>
                    <pic:cNvPicPr/>
                  </pic:nvPicPr>
                  <pic:blipFill>
                    <a:blip r:embed="rId219">
                      <a:extLst>
                        <a:ext uri="{28A0092B-C50C-407E-A947-70E740481C1C}">
                          <a14:useLocalDpi xmlns:a14="http://schemas.microsoft.com/office/drawing/2010/main" val="0"/>
                        </a:ext>
                      </a:extLst>
                    </a:blip>
                    <a:stretch>
                      <a:fillRect/>
                    </a:stretch>
                  </pic:blipFill>
                  <pic:spPr>
                    <a:xfrm>
                      <a:off x="0" y="0"/>
                      <a:ext cx="6053298" cy="3537767"/>
                    </a:xfrm>
                    <a:prstGeom prst="rect">
                      <a:avLst/>
                    </a:prstGeom>
                  </pic:spPr>
                </pic:pic>
              </a:graphicData>
            </a:graphic>
          </wp:inline>
        </w:drawing>
      </w:r>
    </w:p>
    <w:p w14:paraId="0319727A" w14:textId="77777777" w:rsidR="00C412A7" w:rsidRPr="00F171A3" w:rsidRDefault="00C412A7" w:rsidP="00C412A7">
      <w:r w:rsidRPr="00F171A3">
        <w:t>Raportat media notelor acordate de către cetățeni cu referire la măsurile pentru dezvoltarea durabilă a comunității, de la cele mai importante, la cele mai puțin importante potențiale măsuri, acestea au fost ierarhizate în următorul fel:</w:t>
      </w:r>
    </w:p>
    <w:p w14:paraId="024955D7" w14:textId="77777777" w:rsidR="00C412A7" w:rsidRPr="00F171A3" w:rsidRDefault="00C412A7">
      <w:pPr>
        <w:pStyle w:val="ListParagraph"/>
        <w:numPr>
          <w:ilvl w:val="0"/>
          <w:numId w:val="49"/>
        </w:numPr>
        <w:rPr>
          <w:color w:val="134753" w:themeColor="text2"/>
        </w:rPr>
      </w:pPr>
      <w:r w:rsidRPr="00F171A3">
        <w:rPr>
          <w:color w:val="134753" w:themeColor="text2"/>
        </w:rPr>
        <w:t>Modernizarea infrastructurii de sănătate (spitale, policlinici) (4,44/5);</w:t>
      </w:r>
    </w:p>
    <w:p w14:paraId="526ED054" w14:textId="77777777" w:rsidR="00C412A7" w:rsidRPr="00F171A3" w:rsidRDefault="00C412A7">
      <w:pPr>
        <w:pStyle w:val="ListParagraph"/>
        <w:numPr>
          <w:ilvl w:val="0"/>
          <w:numId w:val="49"/>
        </w:numPr>
        <w:rPr>
          <w:color w:val="134753" w:themeColor="text2"/>
        </w:rPr>
      </w:pPr>
      <w:r w:rsidRPr="00F171A3">
        <w:rPr>
          <w:color w:val="134753" w:themeColor="text2"/>
        </w:rPr>
        <w:t>Reabilitarea și modernizarea spațiilor publice, spațiilor verzi, spațiilor dintre blocuri, iluminatului public (4,44/5);</w:t>
      </w:r>
    </w:p>
    <w:p w14:paraId="003B1256" w14:textId="77777777" w:rsidR="00C412A7" w:rsidRPr="00F171A3" w:rsidRDefault="00C412A7">
      <w:pPr>
        <w:pStyle w:val="ListParagraph"/>
        <w:numPr>
          <w:ilvl w:val="0"/>
          <w:numId w:val="49"/>
        </w:numPr>
        <w:rPr>
          <w:color w:val="134753" w:themeColor="text2"/>
        </w:rPr>
      </w:pPr>
      <w:r w:rsidRPr="00F171A3">
        <w:rPr>
          <w:color w:val="134753" w:themeColor="text2"/>
        </w:rPr>
        <w:t>Îmbunătățirea planificării și controlului noilor dezvoltări imobiliare  (4,25/5);</w:t>
      </w:r>
    </w:p>
    <w:p w14:paraId="753B27AF" w14:textId="77777777" w:rsidR="00C412A7" w:rsidRPr="00F171A3" w:rsidRDefault="00C412A7">
      <w:pPr>
        <w:pStyle w:val="ListParagraph"/>
        <w:numPr>
          <w:ilvl w:val="0"/>
          <w:numId w:val="49"/>
        </w:numPr>
        <w:rPr>
          <w:color w:val="134753" w:themeColor="text2"/>
        </w:rPr>
      </w:pPr>
      <w:r w:rsidRPr="00F171A3">
        <w:rPr>
          <w:color w:val="134753" w:themeColor="text2"/>
        </w:rPr>
        <w:t>Modernizarea unităților de învățământ existente (creșe, grădinițe, școli, licee) (4,09/5);</w:t>
      </w:r>
    </w:p>
    <w:p w14:paraId="796E587D" w14:textId="77777777" w:rsidR="00C412A7" w:rsidRPr="00F171A3" w:rsidRDefault="00C412A7">
      <w:pPr>
        <w:pStyle w:val="ListParagraph"/>
        <w:numPr>
          <w:ilvl w:val="0"/>
          <w:numId w:val="49"/>
        </w:numPr>
        <w:rPr>
          <w:color w:val="134753" w:themeColor="text2"/>
        </w:rPr>
      </w:pPr>
      <w:r w:rsidRPr="00F171A3">
        <w:rPr>
          <w:color w:val="134753" w:themeColor="text2"/>
        </w:rPr>
        <w:t>Îmbunătățirea sistemului de transport public (4/5);</w:t>
      </w:r>
    </w:p>
    <w:p w14:paraId="19459BA3" w14:textId="77777777" w:rsidR="00C412A7" w:rsidRPr="00F171A3" w:rsidRDefault="00C412A7">
      <w:pPr>
        <w:pStyle w:val="ListParagraph"/>
        <w:numPr>
          <w:ilvl w:val="0"/>
          <w:numId w:val="49"/>
        </w:numPr>
        <w:rPr>
          <w:color w:val="134753" w:themeColor="text2"/>
        </w:rPr>
      </w:pPr>
      <w:r w:rsidRPr="00F171A3">
        <w:rPr>
          <w:color w:val="134753" w:themeColor="text2"/>
        </w:rPr>
        <w:t>Modernizarea infrastructurii de servicii sociale (centre pentru îngrijirea copiilor, bătrânilor, persoanelor defavorizate etc) (4/5);</w:t>
      </w:r>
    </w:p>
    <w:p w14:paraId="1E70892B" w14:textId="77777777" w:rsidR="00C412A7" w:rsidRPr="00F171A3" w:rsidRDefault="00C412A7">
      <w:pPr>
        <w:pStyle w:val="ListParagraph"/>
        <w:numPr>
          <w:ilvl w:val="0"/>
          <w:numId w:val="49"/>
        </w:numPr>
        <w:rPr>
          <w:color w:val="134753" w:themeColor="text2"/>
        </w:rPr>
      </w:pPr>
      <w:r w:rsidRPr="00F171A3">
        <w:rPr>
          <w:color w:val="134753" w:themeColor="text2"/>
        </w:rPr>
        <w:t>Extinderea rețelelor de utilități publice (apă-canal, gaz, rețele electrice) (3,76/5);</w:t>
      </w:r>
    </w:p>
    <w:p w14:paraId="5E4AFF00" w14:textId="77777777" w:rsidR="00C412A7" w:rsidRPr="00F171A3" w:rsidRDefault="00C412A7">
      <w:pPr>
        <w:pStyle w:val="ListParagraph"/>
        <w:numPr>
          <w:ilvl w:val="0"/>
          <w:numId w:val="49"/>
        </w:numPr>
        <w:rPr>
          <w:color w:val="134753" w:themeColor="text2"/>
        </w:rPr>
      </w:pPr>
      <w:r w:rsidRPr="00F171A3">
        <w:rPr>
          <w:color w:val="134753" w:themeColor="text2"/>
        </w:rPr>
        <w:t>Construcția de noi unități de învățământ (creșe, grădinițe, școli, licee) (3,65/5);</w:t>
      </w:r>
    </w:p>
    <w:p w14:paraId="7E258EAB" w14:textId="77777777" w:rsidR="00C412A7" w:rsidRPr="00F171A3" w:rsidRDefault="00C412A7">
      <w:pPr>
        <w:pStyle w:val="ListParagraph"/>
        <w:numPr>
          <w:ilvl w:val="0"/>
          <w:numId w:val="49"/>
        </w:numPr>
        <w:rPr>
          <w:color w:val="134753" w:themeColor="text2"/>
        </w:rPr>
      </w:pPr>
      <w:r w:rsidRPr="00F171A3">
        <w:rPr>
          <w:color w:val="134753" w:themeColor="text2"/>
        </w:rPr>
        <w:t>Crearea de locuri de muncă (3,63/5);</w:t>
      </w:r>
    </w:p>
    <w:p w14:paraId="01DF3700" w14:textId="77777777" w:rsidR="00C412A7" w:rsidRPr="00F171A3" w:rsidRDefault="00C412A7">
      <w:pPr>
        <w:pStyle w:val="ListParagraph"/>
        <w:numPr>
          <w:ilvl w:val="0"/>
          <w:numId w:val="49"/>
        </w:numPr>
        <w:rPr>
          <w:color w:val="134753" w:themeColor="text2"/>
        </w:rPr>
      </w:pPr>
      <w:r w:rsidRPr="00F171A3">
        <w:rPr>
          <w:color w:val="134753" w:themeColor="text2"/>
        </w:rPr>
        <w:t>Construcția de noi trasee de piste pentru bicicliști și alei pietonale</w:t>
      </w:r>
      <w:r w:rsidRPr="00F171A3">
        <w:rPr>
          <w:color w:val="134753" w:themeColor="text2"/>
        </w:rPr>
        <w:tab/>
        <w:t>(3,62/5);</w:t>
      </w:r>
    </w:p>
    <w:p w14:paraId="555A284C" w14:textId="77777777" w:rsidR="00C412A7" w:rsidRPr="00F171A3" w:rsidRDefault="00C412A7">
      <w:pPr>
        <w:pStyle w:val="ListParagraph"/>
        <w:numPr>
          <w:ilvl w:val="0"/>
          <w:numId w:val="49"/>
        </w:numPr>
        <w:rPr>
          <w:color w:val="134753" w:themeColor="text2"/>
        </w:rPr>
      </w:pPr>
      <w:r w:rsidRPr="00F171A3">
        <w:rPr>
          <w:color w:val="134753" w:themeColor="text2"/>
        </w:rPr>
        <w:t>Modernizarea pistelor pentru bicicliști și a aleilor pietonale existente (3,52/5);</w:t>
      </w:r>
    </w:p>
    <w:p w14:paraId="519765FD" w14:textId="0451E8BC" w:rsidR="00C412A7" w:rsidRPr="00F171A3" w:rsidRDefault="00C412A7">
      <w:pPr>
        <w:pStyle w:val="ListParagraph"/>
        <w:numPr>
          <w:ilvl w:val="0"/>
          <w:numId w:val="49"/>
        </w:numPr>
        <w:rPr>
          <w:color w:val="134753" w:themeColor="text2"/>
        </w:rPr>
      </w:pPr>
      <w:r w:rsidRPr="00F171A3">
        <w:rPr>
          <w:color w:val="134753" w:themeColor="text2"/>
        </w:rPr>
        <w:t>Organizarea de evenimente culturale și sportive (2,9/5).</w:t>
      </w:r>
    </w:p>
    <w:p w14:paraId="66F325F3" w14:textId="1AAA6014" w:rsidR="00C412A7" w:rsidRPr="00F171A3" w:rsidRDefault="00C412A7" w:rsidP="00C412A7">
      <w:pPr>
        <w:pStyle w:val="Bullet"/>
        <w:numPr>
          <w:ilvl w:val="0"/>
          <w:numId w:val="0"/>
        </w:numPr>
        <w:ind w:left="720"/>
      </w:pPr>
    </w:p>
    <w:p w14:paraId="16F9D6C3" w14:textId="5CC30797" w:rsidR="00423E88" w:rsidRPr="00F171A3" w:rsidRDefault="00994DCA" w:rsidP="00994DCA">
      <w:pPr>
        <w:pStyle w:val="Heading3"/>
        <w:rPr>
          <w:lang w:val="ro-RO"/>
        </w:rPr>
      </w:pPr>
      <w:bookmarkStart w:id="524" w:name="_Toc127199350"/>
      <w:r w:rsidRPr="00F171A3">
        <w:rPr>
          <w:caps w:val="0"/>
          <w:lang w:val="ro-RO"/>
        </w:rPr>
        <w:t>CHESTIONAR DEDICAT ADMINISTRAȚIEI PUBLICE DE LA NIVELUL PRIMĂRIEI SECTORULUI 2</w:t>
      </w:r>
      <w:bookmarkEnd w:id="524"/>
    </w:p>
    <w:p w14:paraId="09B0AC58" w14:textId="77777777" w:rsidR="00423E88" w:rsidRPr="00F171A3" w:rsidRDefault="00423E88" w:rsidP="00423E88">
      <w:r w:rsidRPr="00F171A3">
        <w:t xml:space="preserve">Procesul de elaborare a Strategiei de Dezvoltare Locală Integrată și Durabilă a Sectorului 2 pentru perioada 2016 – 2025 include și  demersul de consultare a personalului care își desfășoară activitatea în cadrul Primăriei Sectorului 2. Astfel, a fost consultat personalul atât din funcții de execuție, cât și din funcții de conducere, pentru a identifica principalele provocări de dezvoltare și coerență organizațională care trebuie abordate prin procesul de planificare strategică. Chestionarul a fost creat pe baza unei analize preliminare a literaturii și a datelor disponibile și a fost completat de către </w:t>
      </w:r>
      <w:r w:rsidRPr="00F171A3">
        <w:rPr>
          <w:rStyle w:val="BoldCIVITTALightBlueChar"/>
          <w:b w:val="0"/>
          <w:bCs/>
          <w:color w:val="auto"/>
          <w:lang w:val="ro-RO"/>
        </w:rPr>
        <w:t>319</w:t>
      </w:r>
      <w:r w:rsidRPr="00F171A3">
        <w:t xml:space="preserve"> persoane, structura acestuia fiind împărțită în următoarele categorii:</w:t>
      </w:r>
    </w:p>
    <w:p w14:paraId="59D0539B" w14:textId="77777777" w:rsidR="00423E88" w:rsidRPr="00F171A3" w:rsidRDefault="00423E88">
      <w:pPr>
        <w:pStyle w:val="Bullet"/>
        <w:numPr>
          <w:ilvl w:val="0"/>
          <w:numId w:val="38"/>
        </w:numPr>
      </w:pPr>
      <w:r w:rsidRPr="00F171A3">
        <w:rPr>
          <w:b/>
        </w:rPr>
        <w:t>Informații generale</w:t>
      </w:r>
      <w:r w:rsidRPr="00F171A3">
        <w:t xml:space="preserve"> în cadrul căreia respondenții au fost rugați să ofere informații legate de vârstă, gen și funcția ocupată;</w:t>
      </w:r>
    </w:p>
    <w:p w14:paraId="28243E85" w14:textId="77777777" w:rsidR="00423E88" w:rsidRPr="00F171A3" w:rsidRDefault="00423E88">
      <w:pPr>
        <w:pStyle w:val="Bullet"/>
        <w:numPr>
          <w:ilvl w:val="0"/>
          <w:numId w:val="38"/>
        </w:numPr>
      </w:pPr>
      <w:r w:rsidRPr="00F171A3">
        <w:rPr>
          <w:b/>
        </w:rPr>
        <w:t>Contextul strategic instituțional</w:t>
      </w:r>
      <w:r w:rsidRPr="00F171A3">
        <w:t>, în cadrul căreia se urmărea gradul de cunoaștere și implicare a respondenților în obiectivele consiliului, gradul de cunoaștere, implicare și participare în strategiile și obiectivele strategice la care se raportează munca acestora;</w:t>
      </w:r>
    </w:p>
    <w:p w14:paraId="117F4CA9" w14:textId="77777777" w:rsidR="00423E88" w:rsidRPr="00F171A3" w:rsidRDefault="00423E88">
      <w:pPr>
        <w:pStyle w:val="Bullet"/>
        <w:numPr>
          <w:ilvl w:val="0"/>
          <w:numId w:val="38"/>
        </w:numPr>
      </w:pPr>
      <w:r w:rsidRPr="00F171A3">
        <w:rPr>
          <w:b/>
        </w:rPr>
        <w:t>Contextul instituțional operațional</w:t>
      </w:r>
      <w:r w:rsidRPr="00F171A3">
        <w:t>, în cadrul căreia se urmăresc modalități de comunicare în cadrul instituției, vechimea echipamentelor cu care se lucrează, soluțiile informatice disponibile și nivelul de competențe în domeniu utilizării echipamentelor digitale;</w:t>
      </w:r>
    </w:p>
    <w:p w14:paraId="5BACA8CA" w14:textId="77777777" w:rsidR="00423E88" w:rsidRPr="00F171A3" w:rsidRDefault="00423E88">
      <w:pPr>
        <w:pStyle w:val="Bullet"/>
        <w:numPr>
          <w:ilvl w:val="0"/>
          <w:numId w:val="38"/>
        </w:numPr>
      </w:pPr>
      <w:r w:rsidRPr="00F171A3">
        <w:rPr>
          <w:b/>
        </w:rPr>
        <w:t>Formare profesională</w:t>
      </w:r>
      <w:r w:rsidRPr="00F171A3">
        <w:t>, în cadrul căreia se urmărește  măsura în care unele  programe / domenii de formare ar contribui la îndeplinirea obiectivelor departamentale și atribuțiilor structurii funcționale, domeniile de formare preferate de respondenți și tipurile de formare preferată.</w:t>
      </w:r>
    </w:p>
    <w:p w14:paraId="09D42C78" w14:textId="77777777" w:rsidR="00423E88" w:rsidRPr="00F171A3" w:rsidRDefault="00423E88" w:rsidP="00423E88">
      <w:r w:rsidRPr="00F171A3">
        <w:t xml:space="preserve">Astfel, în ceea ce privește </w:t>
      </w:r>
      <w:r w:rsidRPr="00F171A3">
        <w:rPr>
          <w:rStyle w:val="FocusChar"/>
          <w:lang w:val="ro-RO"/>
        </w:rPr>
        <w:t>contextul strategic instituțional</w:t>
      </w:r>
      <w:r w:rsidRPr="00F171A3">
        <w:t>, și abordarea strategică a planificării, la întrebarea: „</w:t>
      </w:r>
      <w:r w:rsidRPr="00F171A3">
        <w:rPr>
          <w:rStyle w:val="BoldCIVITTALightBlueChar"/>
          <w:lang w:val="ro-RO"/>
        </w:rPr>
        <w:t xml:space="preserve">Sunteți informat/ă cu privire la rolul strategiilor și/sau planurilor strategice sectoriale ce se pot implementa la nivelul unei primării?” </w:t>
      </w:r>
      <w:r w:rsidRPr="00F171A3">
        <w:t>se poate observa că</w:t>
      </w:r>
      <w:r w:rsidRPr="00F171A3">
        <w:rPr>
          <w:rStyle w:val="BoldCIVITTALightBlueChar"/>
          <w:lang w:val="ro-RO"/>
        </w:rPr>
        <w:t xml:space="preserve"> </w:t>
      </w:r>
      <w:r w:rsidRPr="00F171A3">
        <w:t xml:space="preserve">majoritatea respondenților (64,4%) dețin informații în legătură cu rolul strategiilor și planurilor strategice sectoriale ce se pot implementa la nivelul unei primării. </w:t>
      </w:r>
    </w:p>
    <w:p w14:paraId="2BBABE54" w14:textId="77777777" w:rsidR="00423E88" w:rsidRPr="00F171A3" w:rsidRDefault="00423E88" w:rsidP="00423E88">
      <w:r w:rsidRPr="00F171A3">
        <w:t>Totuși, puțin peste o treime  din totalul respondenților nu sunt informați deloc, iar cei mai mulți, 46,4% din numărul acestora sunt informați, dar nu în totalitate. Astfel, ponderea respondenților care sunt în totalitate informați cu privire la rolul strategiilor și al planurilor strategice sectoriale ce se pot implementa la nivelul unei primării este de 18,0%, restul fiind informați într-o doar oarecare măsură sau neinformați.</w:t>
      </w:r>
    </w:p>
    <w:p w14:paraId="362461FA" w14:textId="77777777" w:rsidR="00423E88" w:rsidRPr="00F171A3" w:rsidRDefault="00423E88" w:rsidP="00423E88">
      <w:r w:rsidRPr="00F171A3">
        <w:rPr>
          <w:noProof/>
        </w:rPr>
        <w:drawing>
          <wp:inline distT="0" distB="0" distL="0" distR="0" wp14:anchorId="22FB1C68" wp14:editId="167D89F1">
            <wp:extent cx="5732145" cy="2579180"/>
            <wp:effectExtent l="0" t="0" r="1905" b="0"/>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2CCF75E9" w14:textId="128368E8" w:rsidR="00423E88" w:rsidRPr="00F171A3" w:rsidRDefault="00423E88" w:rsidP="00423E88">
      <w:r w:rsidRPr="00F171A3">
        <w:t xml:space="preserve">Analiza </w:t>
      </w:r>
      <w:r w:rsidRPr="00F171A3">
        <w:rPr>
          <w:rStyle w:val="FocusChar"/>
          <w:lang w:val="ro-RO"/>
        </w:rPr>
        <w:t xml:space="preserve">Contextului instituțional operațional </w:t>
      </w:r>
      <w:r w:rsidRPr="00F171A3">
        <w:t xml:space="preserve">scoate în evidență faptul că nivelul de digitalizare al proceselor interne în cadrul primăriei este încă destul de mic. Astfel, la întrebarea: </w:t>
      </w:r>
      <w:r w:rsidRPr="00F171A3">
        <w:rPr>
          <w:rStyle w:val="BoldCIVITTALightBlueChar"/>
          <w:lang w:val="ro-RO"/>
        </w:rPr>
        <w:t>“Când comunicați cu compartimentele din Primăria Sector</w:t>
      </w:r>
      <w:r w:rsidR="00F53B80" w:rsidRPr="00F171A3">
        <w:rPr>
          <w:rStyle w:val="BoldCIVITTALightBlueChar"/>
          <w:lang w:val="ro-RO"/>
        </w:rPr>
        <w:t>ului</w:t>
      </w:r>
      <w:r w:rsidRPr="00F171A3">
        <w:rPr>
          <w:rStyle w:val="BoldCIVITTALightBlueChar"/>
          <w:lang w:val="ro-RO"/>
        </w:rPr>
        <w:t xml:space="preserve"> 2, o faceți preponderent prin:” </w:t>
      </w:r>
      <w:r w:rsidRPr="00F171A3">
        <w:t>cei mai mulți dintre reprezentanții administrației publice locale au indicat o comunicare cu compartimentele de la nivelul Primăriei Sectorului 2 prin documente oficiale în format imprimat, precum adrese și notificări. După această modalitate, cel mai utilizat mijloc de comunicare între departamentele din cadrul primăriei este corespondența electronică prin instrumente de tipul email-ului și chat-ului. Așadar:</w:t>
      </w:r>
    </w:p>
    <w:p w14:paraId="2DEB2710" w14:textId="77777777" w:rsidR="00423E88" w:rsidRPr="00F171A3" w:rsidRDefault="00423E88">
      <w:pPr>
        <w:pStyle w:val="Bullet"/>
        <w:numPr>
          <w:ilvl w:val="0"/>
          <w:numId w:val="38"/>
        </w:numPr>
      </w:pPr>
      <w:r w:rsidRPr="00F171A3">
        <w:t>Documentele oficiale în format imprimat (adrese, notificări etc.) sunt utilizate de către 63,6% dintre chestionați;</w:t>
      </w:r>
    </w:p>
    <w:p w14:paraId="31466C3A" w14:textId="77777777" w:rsidR="00423E88" w:rsidRPr="00F171A3" w:rsidRDefault="00423E88">
      <w:pPr>
        <w:pStyle w:val="Bullet"/>
        <w:numPr>
          <w:ilvl w:val="0"/>
          <w:numId w:val="38"/>
        </w:numPr>
      </w:pPr>
      <w:r w:rsidRPr="00F171A3">
        <w:t>Corespondența electronică (email, chat etc.) este utilizată de către 24,2% dintre chestionați;</w:t>
      </w:r>
    </w:p>
    <w:p w14:paraId="75B2B79F" w14:textId="77777777" w:rsidR="00423E88" w:rsidRPr="00F171A3" w:rsidRDefault="00423E88">
      <w:pPr>
        <w:pStyle w:val="Bullet"/>
        <w:numPr>
          <w:ilvl w:val="0"/>
          <w:numId w:val="38"/>
        </w:numPr>
      </w:pPr>
      <w:r w:rsidRPr="00F171A3">
        <w:t xml:space="preserve">Sistemul electronic de comunicare este modalitatea utilizată de către 7,6% dintre chestionați; </w:t>
      </w:r>
    </w:p>
    <w:p w14:paraId="643B44B2" w14:textId="168DD72A" w:rsidR="00423E88" w:rsidRPr="00F171A3" w:rsidRDefault="00423E88">
      <w:pPr>
        <w:pStyle w:val="Bullet"/>
        <w:numPr>
          <w:ilvl w:val="0"/>
          <w:numId w:val="38"/>
        </w:numPr>
      </w:pPr>
      <w:r w:rsidRPr="00F171A3">
        <w:t>Organizarea de reuniuni (ședințe, consultări etc.) este modalitatea utilizată de către 1,3% dintre chestionați</w:t>
      </w:r>
      <w:r w:rsidR="006C5FDD" w:rsidRPr="00F171A3">
        <w:t>;</w:t>
      </w:r>
    </w:p>
    <w:p w14:paraId="50C75D45" w14:textId="77777777" w:rsidR="00423E88" w:rsidRPr="00F171A3" w:rsidRDefault="00423E88">
      <w:pPr>
        <w:pStyle w:val="Bullet"/>
        <w:numPr>
          <w:ilvl w:val="0"/>
          <w:numId w:val="38"/>
        </w:numPr>
      </w:pPr>
      <w:r w:rsidRPr="00F171A3">
        <w:t>Comunicarea prin telefonul mobil este amintită de asemenea ca fiind una dintre modalitățile utilizate în prezent în cadrul departamentelor Primăriei Sectorului 2.</w:t>
      </w:r>
    </w:p>
    <w:p w14:paraId="0B51FC88" w14:textId="77777777" w:rsidR="00423E88" w:rsidRPr="00F171A3" w:rsidRDefault="00423E88" w:rsidP="00423E88">
      <w:r w:rsidRPr="00F171A3">
        <w:rPr>
          <w:noProof/>
        </w:rPr>
        <w:drawing>
          <wp:inline distT="0" distB="0" distL="0" distR="0" wp14:anchorId="692192F4" wp14:editId="480F8184">
            <wp:extent cx="5732145" cy="2471261"/>
            <wp:effectExtent l="0" t="0" r="1905" b="5715"/>
            <wp:docPr id="25628" name="Chart 256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6351A66D" w14:textId="77777777" w:rsidR="00423E88" w:rsidRPr="00F171A3" w:rsidRDefault="00423E88" w:rsidP="00423E88">
      <w:pPr>
        <w:rPr>
          <w:rStyle w:val="NormalWhiteChar"/>
          <w:color w:val="auto"/>
          <w:lang w:val="ro-RO"/>
        </w:rPr>
      </w:pPr>
      <w:r w:rsidRPr="00F171A3">
        <w:t xml:space="preserve">Cu privire la </w:t>
      </w:r>
      <w:r w:rsidRPr="00F171A3">
        <w:rPr>
          <w:rStyle w:val="FocusChar"/>
          <w:lang w:val="ro-RO"/>
        </w:rPr>
        <w:t>Formarea Profesională</w:t>
      </w:r>
      <w:r w:rsidRPr="00F171A3">
        <w:t xml:space="preserve"> a cadrelor din Primăria Sectorului 2, la întrebarea: </w:t>
      </w:r>
      <w:r w:rsidRPr="00F171A3">
        <w:rPr>
          <w:rStyle w:val="BoldCIVITTALightBlueChar"/>
          <w:lang w:val="ro-RO"/>
        </w:rPr>
        <w:t xml:space="preserve">“Vă rugăm să selectați un singur domeniu de formare în care ați dori să vă dezvoltați abilitățile și/sau competențele profesionale:” </w:t>
      </w:r>
      <w:r w:rsidRPr="00F171A3">
        <w:t xml:space="preserve"> </w:t>
      </w:r>
      <w:r w:rsidRPr="00F171A3">
        <w:rPr>
          <w:rStyle w:val="NormalWhiteChar"/>
          <w:lang w:val="ro-RO"/>
        </w:rPr>
        <w:t xml:space="preserve">cei mai mulți dintre reprezentanții administrației publice care participă cu informații în acest proces prezintă un interes ridicat pentru formare în domeniul legislației, norme și proceduri. După acestea, următoarele favorizate sunt comunicarea publică, informarea, transparența și relația cu cetățenii. </w:t>
      </w:r>
      <w:r w:rsidRPr="00F171A3">
        <w:rPr>
          <w:rStyle w:val="NormalWhiteChar"/>
          <w:color w:val="auto"/>
          <w:lang w:val="ro-RO"/>
        </w:rPr>
        <w:t>Managementul funcției publice și al resurselor umane reprezintă domeniul asupra căruia se manifestă cel mai scăzut interes. Prin urmare:</w:t>
      </w:r>
    </w:p>
    <w:p w14:paraId="4E6A8634" w14:textId="77777777" w:rsidR="00423E88" w:rsidRPr="00F171A3" w:rsidRDefault="00423E88">
      <w:pPr>
        <w:pStyle w:val="Bullet"/>
        <w:numPr>
          <w:ilvl w:val="0"/>
          <w:numId w:val="38"/>
        </w:numPr>
      </w:pPr>
      <w:r w:rsidRPr="00F171A3">
        <w:t>Ar dori să își dezvolte abilitățile și competențele profesionale în cadrul legislației, normelor și procedurilor 24,3% dintre respondenți;</w:t>
      </w:r>
    </w:p>
    <w:p w14:paraId="67AB543A" w14:textId="77777777" w:rsidR="00423E88" w:rsidRPr="00F171A3" w:rsidRDefault="00423E88">
      <w:pPr>
        <w:pStyle w:val="Bullet"/>
        <w:numPr>
          <w:ilvl w:val="0"/>
          <w:numId w:val="38"/>
        </w:numPr>
      </w:pPr>
      <w:r w:rsidRPr="00F171A3">
        <w:t>Ar dori să își dezvolte abilitățile și competențele profesionale în cadrul comunicării, informării, transparenței și promovării 21,9% dintre respondenți;</w:t>
      </w:r>
    </w:p>
    <w:p w14:paraId="32CB1F05" w14:textId="77777777" w:rsidR="00423E88" w:rsidRPr="00F171A3" w:rsidRDefault="00423E88">
      <w:pPr>
        <w:pStyle w:val="Bullet"/>
        <w:numPr>
          <w:ilvl w:val="0"/>
          <w:numId w:val="38"/>
        </w:numPr>
      </w:pPr>
      <w:r w:rsidRPr="00F171A3">
        <w:t>Ar dori să își dezvolte abilitățile și competențele profesionale în cadrul auditului, controlului și calității 15,2% dintre respondenți;</w:t>
      </w:r>
    </w:p>
    <w:p w14:paraId="3571D683" w14:textId="77777777" w:rsidR="00423E88" w:rsidRPr="00F171A3" w:rsidRDefault="00423E88">
      <w:pPr>
        <w:pStyle w:val="Bullet"/>
        <w:numPr>
          <w:ilvl w:val="0"/>
          <w:numId w:val="38"/>
        </w:numPr>
      </w:pPr>
      <w:r w:rsidRPr="00F171A3">
        <w:t>Ar dori să își dezvolte abilitățile și competențele profesionale în cadrul managementului, proiectelor și politicilor 11,4% dintre respondenți;</w:t>
      </w:r>
    </w:p>
    <w:p w14:paraId="6B3F354E" w14:textId="77777777" w:rsidR="00423E88" w:rsidRPr="00F171A3" w:rsidRDefault="00423E88">
      <w:pPr>
        <w:pStyle w:val="Bullet"/>
        <w:numPr>
          <w:ilvl w:val="0"/>
          <w:numId w:val="38"/>
        </w:numPr>
      </w:pPr>
      <w:r w:rsidRPr="00F171A3">
        <w:t>Ar dori să își dezvolte abilitățile și competențele profesionale în cadrul TIC 11,0% dintre respondenți;</w:t>
      </w:r>
    </w:p>
    <w:p w14:paraId="72ECE9BE" w14:textId="0AC565FB" w:rsidR="00423E88" w:rsidRPr="00F171A3" w:rsidRDefault="00423E88">
      <w:pPr>
        <w:pStyle w:val="Bullet"/>
        <w:numPr>
          <w:ilvl w:val="0"/>
          <w:numId w:val="38"/>
        </w:numPr>
      </w:pPr>
      <w:r w:rsidRPr="00F171A3">
        <w:t xml:space="preserve">Ar dori să își dezvolte abilitățile și competențele profesionale în cadrul eticii, integrității și </w:t>
      </w:r>
      <w:r w:rsidR="00B1751D" w:rsidRPr="00F171A3">
        <w:t>anticorupție</w:t>
      </w:r>
      <w:r w:rsidR="00B1751D">
        <w:t>i</w:t>
      </w:r>
      <w:r w:rsidRPr="00F171A3">
        <w:t xml:space="preserve"> 8,6% dintre respondenți;</w:t>
      </w:r>
    </w:p>
    <w:p w14:paraId="05D01A55" w14:textId="2F2EA229" w:rsidR="00423E88" w:rsidRPr="00F171A3" w:rsidRDefault="00423E88">
      <w:pPr>
        <w:pStyle w:val="Bullet"/>
        <w:numPr>
          <w:ilvl w:val="0"/>
          <w:numId w:val="38"/>
        </w:numPr>
      </w:pPr>
      <w:r w:rsidRPr="00F171A3">
        <w:t>Ar dori să își dezvolte abilitățile și competențele profesionale în cadrul managementului funcției publice și al resurselor umane 7,6% dintre respondenți.</w:t>
      </w:r>
    </w:p>
    <w:p w14:paraId="2B0FC9C0" w14:textId="77777777" w:rsidR="006C5FDD" w:rsidRPr="00F171A3" w:rsidRDefault="006C5FDD" w:rsidP="006C5FDD">
      <w:pPr>
        <w:pStyle w:val="Bullet"/>
        <w:numPr>
          <w:ilvl w:val="0"/>
          <w:numId w:val="0"/>
        </w:numPr>
      </w:pPr>
    </w:p>
    <w:p w14:paraId="1B8EEF8B" w14:textId="3970AB74" w:rsidR="00423E88" w:rsidRPr="00F171A3" w:rsidRDefault="00994DCA" w:rsidP="00994DCA">
      <w:pPr>
        <w:pStyle w:val="Heading3"/>
        <w:rPr>
          <w:lang w:val="ro-RO"/>
        </w:rPr>
      </w:pPr>
      <w:bookmarkStart w:id="525" w:name="_Toc127199351"/>
      <w:r w:rsidRPr="00F171A3">
        <w:rPr>
          <w:caps w:val="0"/>
          <w:lang w:val="ro-RO"/>
        </w:rPr>
        <w:t>CHESTIONAR DEDICAT MEDIULUI DE AFACERI DIN SECTORUL 2</w:t>
      </w:r>
      <w:bookmarkEnd w:id="525"/>
    </w:p>
    <w:p w14:paraId="558877F8" w14:textId="77777777" w:rsidR="00423E88" w:rsidRPr="00F171A3" w:rsidRDefault="00423E88" w:rsidP="00423E88">
      <w:pPr>
        <w:rPr>
          <w:highlight w:val="yellow"/>
        </w:rPr>
      </w:pPr>
      <w:r w:rsidRPr="00F171A3">
        <w:t xml:space="preserve">Prin aplicarea chestionarului se urmărește o mai bună înțelegere a contextului antreprenorial local și a nevoilor companiilor și ale oamenilor de afaceri. Opiniile exprimate au rolul de a contribui la identificarea competențelor distinctive, a măsurilor dorite de către mediul de afaceri și la identificarea priorităților de dezvoltare pentru următoarea perioadă. Chestionarul a fost creat pe baza unei analize preliminare a literaturii și a datelor disponibile și a fost completat de către </w:t>
      </w:r>
      <w:r w:rsidRPr="00F171A3">
        <w:rPr>
          <w:rStyle w:val="BoldCIVITTALightBlueChar"/>
          <w:b w:val="0"/>
          <w:bCs/>
          <w:color w:val="auto"/>
          <w:lang w:val="ro-RO"/>
        </w:rPr>
        <w:t>116</w:t>
      </w:r>
      <w:r w:rsidRPr="00F171A3">
        <w:t xml:space="preserve"> respondenți, structura acestuia fiind împărțită în mai multe categorii:</w:t>
      </w:r>
    </w:p>
    <w:p w14:paraId="6F6F4214" w14:textId="77777777" w:rsidR="00423E88" w:rsidRPr="00F171A3" w:rsidRDefault="00423E88">
      <w:pPr>
        <w:pStyle w:val="Bullet"/>
        <w:numPr>
          <w:ilvl w:val="0"/>
          <w:numId w:val="87"/>
        </w:numPr>
      </w:pPr>
      <w:r w:rsidRPr="00F171A3">
        <w:rPr>
          <w:b/>
        </w:rPr>
        <w:t>Date generale și aportul la dezvoltarea locală</w:t>
      </w:r>
      <w:r w:rsidRPr="00F171A3">
        <w:t>,  în cadrul căreia respondenții au fost rugați să ofere informații despre aspecte precum data înființării companiei, numărul de angajați, cifra de afaceri, sectorul de activitate și estimări generale asupra perioadei următoare;</w:t>
      </w:r>
    </w:p>
    <w:p w14:paraId="1A46E311" w14:textId="77777777" w:rsidR="00423E88" w:rsidRPr="00F171A3" w:rsidRDefault="00423E88">
      <w:pPr>
        <w:pStyle w:val="Bullet"/>
        <w:numPr>
          <w:ilvl w:val="0"/>
          <w:numId w:val="87"/>
        </w:numPr>
        <w:rPr>
          <w:b/>
        </w:rPr>
      </w:pPr>
      <w:r w:rsidRPr="00F171A3">
        <w:rPr>
          <w:b/>
        </w:rPr>
        <w:t xml:space="preserve">Mediul de afaceri local și perspective de dezvoltare, </w:t>
      </w:r>
      <w:r w:rsidRPr="00F171A3">
        <w:t>în cadrul căreia respondenții:</w:t>
      </w:r>
    </w:p>
    <w:p w14:paraId="2C81C8EF" w14:textId="49B89055" w:rsidR="00423E88" w:rsidRPr="00F171A3" w:rsidRDefault="006C5FDD">
      <w:pPr>
        <w:pStyle w:val="Bullet"/>
        <w:numPr>
          <w:ilvl w:val="4"/>
          <w:numId w:val="86"/>
        </w:numPr>
        <w:rPr>
          <w:b/>
        </w:rPr>
      </w:pPr>
      <w:r w:rsidRPr="00F171A3">
        <w:t>A</w:t>
      </w:r>
      <w:r w:rsidR="00423E88" w:rsidRPr="00F171A3">
        <w:t>u fost rugați să identifice principalele beneficii și dezavantaje privind desfășurarea activității economice în Sectorul 2 și privind oferta forței de muncă;</w:t>
      </w:r>
    </w:p>
    <w:p w14:paraId="0A0656CA" w14:textId="56ED901D" w:rsidR="00423E88" w:rsidRPr="00F171A3" w:rsidRDefault="006C5FDD">
      <w:pPr>
        <w:pStyle w:val="Bullet"/>
        <w:numPr>
          <w:ilvl w:val="4"/>
          <w:numId w:val="86"/>
        </w:numPr>
        <w:rPr>
          <w:b/>
        </w:rPr>
      </w:pPr>
      <w:r w:rsidRPr="00F171A3">
        <w:t>A</w:t>
      </w:r>
      <w:r w:rsidR="00423E88" w:rsidRPr="00F171A3">
        <w:t>u fost rugați să își exprime părerea în legătură cu prioritățile de dezvoltare, direcții de acțiune, potențiale măsuri de sprijinire a activității/dezvoltării agenților economici existenți și/sau atragerea de noi agenți economici și alte aspecte relevante;</w:t>
      </w:r>
    </w:p>
    <w:p w14:paraId="303C2E51" w14:textId="13FDD322" w:rsidR="00423E88" w:rsidRPr="00F171A3" w:rsidRDefault="006C5FDD">
      <w:pPr>
        <w:pStyle w:val="Bullet"/>
        <w:numPr>
          <w:ilvl w:val="4"/>
          <w:numId w:val="86"/>
        </w:numPr>
        <w:rPr>
          <w:b/>
        </w:rPr>
      </w:pPr>
      <w:r w:rsidRPr="00F171A3">
        <w:t>A</w:t>
      </w:r>
      <w:r w:rsidR="00423E88" w:rsidRPr="00F171A3">
        <w:t>u fost rugați să își exprime interesul în legătură cu activități de consultare și dezbateri cu autorități publice locale;</w:t>
      </w:r>
    </w:p>
    <w:p w14:paraId="0FC9B657" w14:textId="1A18F235" w:rsidR="00423E88" w:rsidRPr="00F171A3" w:rsidRDefault="006C5FDD">
      <w:pPr>
        <w:pStyle w:val="Bullet"/>
        <w:numPr>
          <w:ilvl w:val="4"/>
          <w:numId w:val="86"/>
        </w:numPr>
        <w:rPr>
          <w:b/>
        </w:rPr>
      </w:pPr>
      <w:r w:rsidRPr="00F171A3">
        <w:t>A</w:t>
      </w:r>
      <w:r w:rsidR="00423E88" w:rsidRPr="00F171A3">
        <w:t>u fost rugați să aprecieze colaborarea cu Primăria Sectorului 2;</w:t>
      </w:r>
    </w:p>
    <w:p w14:paraId="4864E413" w14:textId="6D74B58B" w:rsidR="00423E88" w:rsidRPr="00F171A3" w:rsidRDefault="006C5FDD">
      <w:pPr>
        <w:pStyle w:val="Bullet"/>
        <w:numPr>
          <w:ilvl w:val="4"/>
          <w:numId w:val="86"/>
        </w:numPr>
        <w:rPr>
          <w:b/>
        </w:rPr>
      </w:pPr>
      <w:r w:rsidRPr="00F171A3">
        <w:t>A</w:t>
      </w:r>
      <w:r w:rsidR="00423E88" w:rsidRPr="00F171A3">
        <w:t xml:space="preserve">u fost rugați să menționeze cum și în ce măsură a influențat </w:t>
      </w:r>
      <w:r w:rsidR="00DC7D39" w:rsidRPr="00F171A3">
        <w:t>contextul</w:t>
      </w:r>
      <w:r w:rsidR="00423E88" w:rsidRPr="00F171A3">
        <w:t xml:space="preserve"> pandemiei de COVID-19 derularea activităților companiei. </w:t>
      </w:r>
    </w:p>
    <w:p w14:paraId="316FB43E" w14:textId="77777777" w:rsidR="00423E88" w:rsidRPr="00F171A3" w:rsidRDefault="00423E88" w:rsidP="00423E88">
      <w:r w:rsidRPr="00F171A3">
        <w:t xml:space="preserve">Mărimea firmelor în funcție de numărul de angajați a fost dedusă în urma întrebării: </w:t>
      </w:r>
      <w:r w:rsidRPr="00F171A3">
        <w:rPr>
          <w:rStyle w:val="BoldCIVITTALightBlueChar"/>
          <w:lang w:val="ro-RO"/>
        </w:rPr>
        <w:t xml:space="preserve">“Care a fost numărul de angajați al companiei în anul 2021?”. </w:t>
      </w:r>
      <w:r w:rsidRPr="00F171A3">
        <w:t>Astfel, din acest punct de vedere se poate observa  că predominant au fost chestionați  reprezentanți ai companiilor de tipul microîntreprinderilor. O majoritate a respondenților, respectiv 78,8% dintre aceștia, reprezintă microîntreprinderi,  cu un număr de angajați între 0 și 9 (46,0%) și întreprinderi mici, între 10 și 49 de angajați (32,7%). Categoria care cuprinde companii cu 50-249 de angajați reprezintă 10,6% din totalul respondenților, iar categoria care cuprinde companiile cu un număr mai mare de 250 de angajați este reprezentată de către 10,6% dintre respondenți.</w:t>
      </w:r>
    </w:p>
    <w:p w14:paraId="25628358" w14:textId="77777777" w:rsidR="00423E88" w:rsidRPr="00F171A3" w:rsidRDefault="00423E88" w:rsidP="00423E88">
      <w:r w:rsidRPr="00F171A3">
        <w:rPr>
          <w:noProof/>
        </w:rPr>
        <w:drawing>
          <wp:inline distT="0" distB="0" distL="0" distR="0" wp14:anchorId="15E88DDB" wp14:editId="1596C96D">
            <wp:extent cx="5732145" cy="2335882"/>
            <wp:effectExtent l="0" t="0" r="1905" b="7620"/>
            <wp:docPr id="25629" name="Chart 256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4F55921F" w14:textId="77777777" w:rsidR="00423E88" w:rsidRPr="00F171A3" w:rsidRDefault="00423E88" w:rsidP="00423E88">
      <w:r w:rsidRPr="00F171A3">
        <w:t xml:space="preserve">Cu privire la perspectivele de dezvoltare economică din Sectorul 2, la întrebarea: </w:t>
      </w:r>
      <w:r w:rsidRPr="00F171A3">
        <w:rPr>
          <w:rStyle w:val="BoldCIVITTALightBlueChar"/>
          <w:lang w:val="ro-RO"/>
        </w:rPr>
        <w:t xml:space="preserve">“Care considerați că sunt principalele direcții de acțiune necesare pentru creșterea competitivității mediului de afaceri la nivel local?” </w:t>
      </w:r>
      <w:r w:rsidRPr="00F171A3">
        <w:t>reprezentanții mediului de afaceri au indicat următoarele soluții:</w:t>
      </w:r>
    </w:p>
    <w:p w14:paraId="20D39039" w14:textId="77777777" w:rsidR="00423E88" w:rsidRPr="00F171A3" w:rsidRDefault="00423E88" w:rsidP="00423E88">
      <w:r w:rsidRPr="00F171A3">
        <w:rPr>
          <w:noProof/>
        </w:rPr>
        <w:drawing>
          <wp:inline distT="0" distB="0" distL="0" distR="0" wp14:anchorId="54BA1D48" wp14:editId="3E9083B9">
            <wp:extent cx="5732145" cy="1778535"/>
            <wp:effectExtent l="19050" t="0" r="40005" b="12700"/>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3" r:lo="rId224" r:qs="rId225" r:cs="rId226"/>
              </a:graphicData>
            </a:graphic>
          </wp:inline>
        </w:drawing>
      </w:r>
    </w:p>
    <w:p w14:paraId="0C6CD8CB" w14:textId="77777777" w:rsidR="006C5FDD" w:rsidRPr="00F171A3" w:rsidRDefault="006C5FDD" w:rsidP="006C5FDD"/>
    <w:p w14:paraId="6F508FD4" w14:textId="491A2E3E" w:rsidR="00423E88" w:rsidRPr="00F171A3" w:rsidRDefault="00994DCA" w:rsidP="00994DCA">
      <w:pPr>
        <w:pStyle w:val="Heading3"/>
        <w:rPr>
          <w:lang w:val="ro-RO"/>
        </w:rPr>
      </w:pPr>
      <w:bookmarkStart w:id="526" w:name="_Toc127199352"/>
      <w:r w:rsidRPr="00F171A3">
        <w:rPr>
          <w:lang w:val="ro-RO"/>
        </w:rPr>
        <w:t>CHESTIONAR DEDICAT MEDIULUI ONG DIN SECTORUL 2</w:t>
      </w:r>
      <w:bookmarkEnd w:id="526"/>
      <w:r w:rsidRPr="00F171A3">
        <w:rPr>
          <w:lang w:val="ro-RO"/>
        </w:rPr>
        <w:t xml:space="preserve"> </w:t>
      </w:r>
    </w:p>
    <w:p w14:paraId="00AAAFE8" w14:textId="77777777" w:rsidR="00423E88" w:rsidRPr="00F171A3" w:rsidRDefault="00423E88" w:rsidP="00423E88">
      <w:r w:rsidRPr="00F171A3">
        <w:t xml:space="preserve">Chestionarul dedicat mediului ONG dorește să identifice provocările actuale și să stabilească direcții de acțiune favorabile și promițătoare pentru mediul ONG din Sectorul 2. Chestionarul a fost creat pe baza unei analize preliminare a literaturii și a datelor disponibile și a fost completat de </w:t>
      </w:r>
      <w:r w:rsidRPr="00F171A3">
        <w:rPr>
          <w:rStyle w:val="BoldCIVITTALightBlueChar"/>
          <w:b w:val="0"/>
          <w:bCs/>
          <w:color w:val="auto"/>
          <w:lang w:val="ro-RO"/>
        </w:rPr>
        <w:t>38</w:t>
      </w:r>
      <w:r w:rsidRPr="00F171A3">
        <w:t xml:space="preserve"> de respondenți, structura acestuia fiind împărțită în mai multe categorii care au vizat următoarele aspecte:</w:t>
      </w:r>
    </w:p>
    <w:p w14:paraId="2F2AFC5F" w14:textId="77777777" w:rsidR="00423E88" w:rsidRPr="00F171A3" w:rsidRDefault="00423E88">
      <w:pPr>
        <w:pStyle w:val="Bullet"/>
        <w:numPr>
          <w:ilvl w:val="0"/>
          <w:numId w:val="52"/>
        </w:numPr>
        <w:rPr>
          <w:b/>
        </w:rPr>
      </w:pPr>
      <w:r w:rsidRPr="00F171A3">
        <w:rPr>
          <w:b/>
        </w:rPr>
        <w:t>Detalii despre organizație,</w:t>
      </w:r>
      <w:r w:rsidRPr="00F171A3">
        <w:t xml:space="preserve"> secțiune  în cadrul e dorește conturarea unui profil al organizațiilor din Sectorul 2</w:t>
      </w:r>
      <w:r w:rsidRPr="00F171A3">
        <w:rPr>
          <w:b/>
        </w:rPr>
        <w:t>;</w:t>
      </w:r>
    </w:p>
    <w:p w14:paraId="1F209EFC" w14:textId="77777777" w:rsidR="00423E88" w:rsidRPr="00F171A3" w:rsidRDefault="00423E88">
      <w:pPr>
        <w:pStyle w:val="Bullet"/>
        <w:numPr>
          <w:ilvl w:val="0"/>
          <w:numId w:val="52"/>
        </w:numPr>
        <w:rPr>
          <w:b/>
        </w:rPr>
      </w:pPr>
      <w:r w:rsidRPr="00F171A3">
        <w:rPr>
          <w:b/>
        </w:rPr>
        <w:t xml:space="preserve">Aportul la dezvoltarea locală și relația cu administrația publică, </w:t>
      </w:r>
      <w:r w:rsidRPr="00F171A3">
        <w:t>în cadrul căreia se dorește identificarea nivelului de satisfacție cu referire la diverse aspecte esențiale</w:t>
      </w:r>
      <w:r w:rsidRPr="00F171A3">
        <w:rPr>
          <w:b/>
        </w:rPr>
        <w:t>;</w:t>
      </w:r>
    </w:p>
    <w:p w14:paraId="417FD9B0" w14:textId="77777777" w:rsidR="00423E88" w:rsidRPr="00F171A3" w:rsidRDefault="00423E88">
      <w:pPr>
        <w:pStyle w:val="Bullet"/>
        <w:numPr>
          <w:ilvl w:val="0"/>
          <w:numId w:val="52"/>
        </w:numPr>
        <w:rPr>
          <w:b/>
        </w:rPr>
      </w:pPr>
      <w:r w:rsidRPr="00F171A3">
        <w:rPr>
          <w:b/>
        </w:rPr>
        <w:t>Perspectivele de dezvoltare,</w:t>
      </w:r>
      <w:r w:rsidRPr="00F171A3">
        <w:t xml:space="preserve"> în cadrul căreia se dorește identificarea principalelor aspecte pozitive și negative ale Sectorului 2, principalele direcții de dezvoltare și măsuri dorite de către mediul ONG și interesul privind implicarea în activități sau proiecte de dezvoltare.</w:t>
      </w:r>
    </w:p>
    <w:p w14:paraId="03A31C6B" w14:textId="77777777" w:rsidR="00423E88" w:rsidRPr="00F171A3" w:rsidRDefault="00423E88" w:rsidP="00423E88">
      <w:r w:rsidRPr="00F171A3">
        <w:t xml:space="preserve">Principalele domenii de activitate ale ONG-urilor ale căror reprezentați au completat chestionarele au fost identificate prin întrebarea: </w:t>
      </w:r>
      <w:r w:rsidRPr="00F171A3">
        <w:rPr>
          <w:rStyle w:val="BoldCIVITTALightBlueChar"/>
          <w:lang w:val="ro-RO"/>
        </w:rPr>
        <w:t>“Care sunt domeniile de activitate ale ONG-ului din care faceți parte (puteți indica mai multe opțiuni):</w:t>
      </w:r>
      <w:r w:rsidRPr="00F171A3">
        <w:t>”. Astfel, principalele domenii de activitate care stau la baza a 51% dintre ONG-uri sunt învățământ, educație, cercetare (20,9%), servicii sociale (11,6%), binefacere, caritate (10,5%) și implicare civică, politici publice (8,1%).</w:t>
      </w:r>
    </w:p>
    <w:p w14:paraId="2385DBC3" w14:textId="77777777" w:rsidR="00423E88" w:rsidRPr="00F171A3" w:rsidRDefault="00423E88" w:rsidP="00423E88">
      <w:r w:rsidRPr="00F171A3">
        <w:t>În funcție de domeniile reprezentate în cea mai mare măsură, acestea au fost ierarhizate în următorul fel:</w:t>
      </w:r>
    </w:p>
    <w:p w14:paraId="614C85BB" w14:textId="77777777" w:rsidR="00423E88" w:rsidRPr="00F171A3" w:rsidRDefault="00423E88">
      <w:pPr>
        <w:pStyle w:val="Bullet"/>
        <w:numPr>
          <w:ilvl w:val="0"/>
          <w:numId w:val="53"/>
        </w:numPr>
      </w:pPr>
      <w:r w:rsidRPr="00F171A3">
        <w:t>Învățământ, educație, cercetare (20,9% dintre organizații);</w:t>
      </w:r>
    </w:p>
    <w:p w14:paraId="4FB3321F" w14:textId="77777777" w:rsidR="00423E88" w:rsidRPr="00F171A3" w:rsidRDefault="00423E88">
      <w:pPr>
        <w:pStyle w:val="Bullet"/>
        <w:numPr>
          <w:ilvl w:val="0"/>
          <w:numId w:val="53"/>
        </w:numPr>
      </w:pPr>
      <w:r w:rsidRPr="00F171A3">
        <w:t>Servicii sociale (11,6% dintre organizații);</w:t>
      </w:r>
    </w:p>
    <w:p w14:paraId="2896AB47" w14:textId="77777777" w:rsidR="00423E88" w:rsidRPr="00F171A3" w:rsidRDefault="00423E88">
      <w:pPr>
        <w:pStyle w:val="Bullet"/>
        <w:numPr>
          <w:ilvl w:val="0"/>
          <w:numId w:val="53"/>
        </w:numPr>
      </w:pPr>
      <w:r w:rsidRPr="00F171A3">
        <w:t>Alt domeniu (11,6% dintre organizații);</w:t>
      </w:r>
    </w:p>
    <w:p w14:paraId="3735785E" w14:textId="77777777" w:rsidR="00423E88" w:rsidRPr="00F171A3" w:rsidRDefault="00423E88">
      <w:pPr>
        <w:pStyle w:val="Bullet"/>
        <w:numPr>
          <w:ilvl w:val="0"/>
          <w:numId w:val="53"/>
        </w:numPr>
      </w:pPr>
      <w:r w:rsidRPr="00F171A3">
        <w:t>Binefacere, caritate (10,5% dintre organizații);</w:t>
      </w:r>
    </w:p>
    <w:p w14:paraId="1957831F" w14:textId="77777777" w:rsidR="00423E88" w:rsidRPr="00F171A3" w:rsidRDefault="00423E88">
      <w:pPr>
        <w:pStyle w:val="Bullet"/>
        <w:numPr>
          <w:ilvl w:val="0"/>
          <w:numId w:val="53"/>
        </w:numPr>
      </w:pPr>
      <w:r w:rsidRPr="00F171A3">
        <w:t>Implicare civică, politici publice (8,1% dintre organizații);</w:t>
      </w:r>
    </w:p>
    <w:p w14:paraId="4D4DEEFD" w14:textId="77777777" w:rsidR="00423E88" w:rsidRPr="00F171A3" w:rsidRDefault="00423E88">
      <w:pPr>
        <w:pStyle w:val="Bullet"/>
        <w:numPr>
          <w:ilvl w:val="0"/>
          <w:numId w:val="53"/>
        </w:numPr>
      </w:pPr>
      <w:r w:rsidRPr="00F171A3">
        <w:t>Drepturile femeilor și egalitatea de gen (7,0% dintre organizații);</w:t>
      </w:r>
    </w:p>
    <w:p w14:paraId="41D638A0" w14:textId="77777777" w:rsidR="00423E88" w:rsidRPr="00F171A3" w:rsidRDefault="00423E88">
      <w:pPr>
        <w:pStyle w:val="Bullet"/>
        <w:numPr>
          <w:ilvl w:val="0"/>
          <w:numId w:val="53"/>
        </w:numPr>
      </w:pPr>
      <w:r w:rsidRPr="00F171A3">
        <w:t>Sport, turism, recreere (7,0% dintre organizații);</w:t>
      </w:r>
    </w:p>
    <w:p w14:paraId="52472E5C" w14:textId="77777777" w:rsidR="00423E88" w:rsidRPr="00F171A3" w:rsidRDefault="00423E88">
      <w:pPr>
        <w:pStyle w:val="Bullet"/>
        <w:numPr>
          <w:ilvl w:val="0"/>
          <w:numId w:val="53"/>
        </w:numPr>
      </w:pPr>
      <w:r w:rsidRPr="00F171A3">
        <w:t>Drepturile și protecția copilului (5,8% dintre organizații);</w:t>
      </w:r>
    </w:p>
    <w:p w14:paraId="0FCA7044" w14:textId="77777777" w:rsidR="00423E88" w:rsidRPr="00F171A3" w:rsidRDefault="00423E88">
      <w:pPr>
        <w:pStyle w:val="Bullet"/>
        <w:numPr>
          <w:ilvl w:val="0"/>
          <w:numId w:val="53"/>
        </w:numPr>
      </w:pPr>
      <w:r w:rsidRPr="00F171A3">
        <w:t>Mass-media, arta, cultură (5,8% dintre organizații);</w:t>
      </w:r>
    </w:p>
    <w:p w14:paraId="6441A94F" w14:textId="77777777" w:rsidR="00423E88" w:rsidRPr="00F171A3" w:rsidRDefault="00423E88">
      <w:pPr>
        <w:pStyle w:val="Bullet"/>
        <w:numPr>
          <w:ilvl w:val="0"/>
          <w:numId w:val="53"/>
        </w:numPr>
      </w:pPr>
      <w:r w:rsidRPr="00F171A3">
        <w:t>Ocrotirea sănătății și drepturile pacientului (3,5% dintre organizații);</w:t>
      </w:r>
    </w:p>
    <w:p w14:paraId="460915EA" w14:textId="77777777" w:rsidR="00423E88" w:rsidRPr="00F171A3" w:rsidRDefault="00423E88">
      <w:pPr>
        <w:pStyle w:val="Bullet"/>
        <w:numPr>
          <w:ilvl w:val="0"/>
          <w:numId w:val="53"/>
        </w:numPr>
      </w:pPr>
      <w:r w:rsidRPr="00F171A3">
        <w:t>Profil juridic și drepturile omului în general (3,5% dintre organizații);</w:t>
      </w:r>
    </w:p>
    <w:p w14:paraId="659A8028" w14:textId="77777777" w:rsidR="00423E88" w:rsidRPr="00F171A3" w:rsidRDefault="00423E88">
      <w:pPr>
        <w:pStyle w:val="Bullet"/>
        <w:numPr>
          <w:ilvl w:val="0"/>
          <w:numId w:val="53"/>
        </w:numPr>
      </w:pPr>
      <w:r w:rsidRPr="00F171A3">
        <w:t>Protecția mediului/Ecologie (2,3% dintre organizații);</w:t>
      </w:r>
    </w:p>
    <w:p w14:paraId="733369AD" w14:textId="77777777" w:rsidR="00423E88" w:rsidRPr="00F171A3" w:rsidRDefault="00423E88">
      <w:pPr>
        <w:pStyle w:val="Bullet"/>
        <w:numPr>
          <w:ilvl w:val="0"/>
          <w:numId w:val="53"/>
        </w:numPr>
      </w:pPr>
      <w:r w:rsidRPr="00F171A3">
        <w:t>Dezvoltare regională și comunitară (1,2% dintre organizații);</w:t>
      </w:r>
    </w:p>
    <w:p w14:paraId="166A0850" w14:textId="77777777" w:rsidR="00423E88" w:rsidRPr="00F171A3" w:rsidRDefault="00423E88">
      <w:pPr>
        <w:pStyle w:val="Bullet"/>
        <w:numPr>
          <w:ilvl w:val="0"/>
          <w:numId w:val="53"/>
        </w:numPr>
      </w:pPr>
      <w:r w:rsidRPr="00F171A3">
        <w:t>Religie</w:t>
      </w:r>
      <w:r w:rsidRPr="00F171A3">
        <w:tab/>
        <w:t>(1,2% dintre organizații).</w:t>
      </w:r>
    </w:p>
    <w:p w14:paraId="7CCD9F47" w14:textId="77777777" w:rsidR="00423E88" w:rsidRPr="00F171A3" w:rsidRDefault="00423E88" w:rsidP="00423E88">
      <w:r w:rsidRPr="00F171A3">
        <w:rPr>
          <w:noProof/>
        </w:rPr>
        <w:drawing>
          <wp:inline distT="0" distB="0" distL="0" distR="0" wp14:anchorId="0950989A" wp14:editId="73FAF322">
            <wp:extent cx="5732145" cy="4946286"/>
            <wp:effectExtent l="0" t="0" r="1905" b="698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77646C2A" w14:textId="77777777" w:rsidR="00423E88" w:rsidRPr="00F171A3" w:rsidRDefault="00423E88" w:rsidP="00423E88">
      <w:r w:rsidRPr="00F171A3">
        <w:t xml:space="preserve">În ceea ce privește colaborarea administrației locale a Sectorului 2 cu sectorul non-guvernamental, la întrebarea: </w:t>
      </w:r>
      <w:r w:rsidRPr="00F171A3">
        <w:rPr>
          <w:rStyle w:val="BoldCIVITTALightBlueChar"/>
          <w:lang w:val="ro-RO"/>
        </w:rPr>
        <w:t>„Ce măsuri credeți că ar trebui luate de către administrația Sectorului 2 pentru îmbunătățirea relației și pentru eficientizarea cooperării cu mediul ONG?”,</w:t>
      </w:r>
      <w:r w:rsidRPr="00F171A3">
        <w:t xml:space="preserve"> cei mai mulți dintre respondenți au indicat că pentru îmbunătățirea relației și pentru eficientizarea cooperării cu mediul ONG, administrația Sectorului 2 ar trebui să ia în special următoarele măsuri: </w:t>
      </w:r>
    </w:p>
    <w:p w14:paraId="62966D62" w14:textId="77777777" w:rsidR="00423E88" w:rsidRPr="00F171A3" w:rsidRDefault="00423E88">
      <w:pPr>
        <w:pStyle w:val="Bullet"/>
        <w:numPr>
          <w:ilvl w:val="0"/>
          <w:numId w:val="38"/>
        </w:numPr>
      </w:pPr>
      <w:r w:rsidRPr="00F171A3">
        <w:t>Întâlniri periodice și consultări atât online, cât și față în față;</w:t>
      </w:r>
    </w:p>
    <w:p w14:paraId="3FEF389F" w14:textId="77777777" w:rsidR="00423E88" w:rsidRPr="00F171A3" w:rsidRDefault="00423E88">
      <w:pPr>
        <w:pStyle w:val="Bullet"/>
        <w:numPr>
          <w:ilvl w:val="0"/>
          <w:numId w:val="38"/>
        </w:numPr>
      </w:pPr>
      <w:r w:rsidRPr="00F171A3">
        <w:t>Transparența decizională;</w:t>
      </w:r>
    </w:p>
    <w:p w14:paraId="575BF471" w14:textId="77777777" w:rsidR="00423E88" w:rsidRPr="00F171A3" w:rsidRDefault="00423E88">
      <w:pPr>
        <w:pStyle w:val="Bullet"/>
        <w:numPr>
          <w:ilvl w:val="0"/>
          <w:numId w:val="38"/>
        </w:numPr>
      </w:pPr>
      <w:r w:rsidRPr="00F171A3">
        <w:t>Implicarea și aprofundarea colaborării în cadrul desfășurării activităților;</w:t>
      </w:r>
    </w:p>
    <w:p w14:paraId="7DBD743B" w14:textId="77777777" w:rsidR="00423E88" w:rsidRPr="00F171A3" w:rsidRDefault="00423E88">
      <w:pPr>
        <w:pStyle w:val="Bullet"/>
        <w:numPr>
          <w:ilvl w:val="0"/>
          <w:numId w:val="38"/>
        </w:numPr>
      </w:pPr>
      <w:r w:rsidRPr="00F171A3">
        <w:t>Facilitarea accesului la politicile care ar putea ajuta ONG-urile în dezvoltare;</w:t>
      </w:r>
    </w:p>
    <w:p w14:paraId="6820EBD3" w14:textId="77777777" w:rsidR="00423E88" w:rsidRPr="00F171A3" w:rsidRDefault="00423E88">
      <w:pPr>
        <w:pStyle w:val="Bullet"/>
        <w:numPr>
          <w:ilvl w:val="0"/>
          <w:numId w:val="38"/>
        </w:numPr>
      </w:pPr>
      <w:r w:rsidRPr="00F171A3">
        <w:t>Identificarea aspectelor care ar putea fi dezvoltate la nivel de parteneriat.</w:t>
      </w:r>
    </w:p>
    <w:p w14:paraId="410CBB7F" w14:textId="77777777" w:rsidR="00994DCA" w:rsidRPr="00F171A3" w:rsidRDefault="00994DCA" w:rsidP="007F2663">
      <w:pPr>
        <w:pStyle w:val="Normal0"/>
      </w:pPr>
    </w:p>
    <w:p w14:paraId="57218215" w14:textId="78590EB6" w:rsidR="00D8683B" w:rsidRPr="00F171A3" w:rsidRDefault="00D8683B" w:rsidP="007F2663">
      <w:pPr>
        <w:pStyle w:val="Normal0"/>
        <w:sectPr w:rsidR="00D8683B" w:rsidRPr="00F171A3" w:rsidSect="00C65BFA">
          <w:pgSz w:w="11907" w:h="16839" w:code="9"/>
          <w:pgMar w:top="1152" w:right="1440" w:bottom="1440" w:left="1022" w:header="706" w:footer="288" w:gutter="0"/>
          <w:cols w:space="708"/>
          <w:titlePg/>
          <w:docGrid w:linePitch="360"/>
        </w:sectPr>
      </w:pPr>
      <w:r w:rsidRPr="00F171A3">
        <w:t xml:space="preserve">O analiză detaliată a răspunsurilor la chestionarele aplicate în cadrul procesului de consultare se regăsește în cadrul </w:t>
      </w:r>
      <w:r w:rsidRPr="00F171A3">
        <w:rPr>
          <w:i/>
          <w:iCs/>
        </w:rPr>
        <w:t>capitolului 10. ANEXE</w:t>
      </w:r>
      <w:r w:rsidRPr="00F171A3">
        <w:t>.</w:t>
      </w:r>
    </w:p>
    <w:p w14:paraId="704D0E10" w14:textId="1BBC7DFE" w:rsidR="00994DCA" w:rsidRPr="00F171A3" w:rsidRDefault="00994DCA" w:rsidP="00994DCA">
      <w:pPr>
        <w:pStyle w:val="Heading1"/>
        <w:rPr>
          <w:lang w:val="ro-RO"/>
        </w:rPr>
      </w:pPr>
      <w:bookmarkStart w:id="527" w:name="_Toc127199353"/>
      <w:r w:rsidRPr="00F171A3">
        <w:rPr>
          <w:lang w:val="ro-RO"/>
        </w:rPr>
        <w:t>ANEXE</w:t>
      </w:r>
      <w:bookmarkEnd w:id="527"/>
    </w:p>
    <w:p w14:paraId="293A4062" w14:textId="0A58B259" w:rsidR="000255FA" w:rsidRPr="00F171A3" w:rsidRDefault="000255FA" w:rsidP="000255FA">
      <w:pPr>
        <w:pStyle w:val="Heading2"/>
        <w:rPr>
          <w:lang w:val="ro-RO"/>
        </w:rPr>
      </w:pPr>
      <w:bookmarkStart w:id="528" w:name="_Toc127199354"/>
      <w:r w:rsidRPr="00F171A3">
        <w:rPr>
          <w:lang w:val="ro-RO"/>
        </w:rPr>
        <w:t>ANALIZA RĂSPUNSURILOR DIN CADRUL CHESTIONELOR APLICATE</w:t>
      </w:r>
      <w:bookmarkEnd w:id="528"/>
    </w:p>
    <w:p w14:paraId="07BEB503" w14:textId="301F620E" w:rsidR="000255FA" w:rsidRPr="00F171A3" w:rsidRDefault="000255FA" w:rsidP="00FE3332">
      <w:pPr>
        <w:pStyle w:val="Heading3"/>
        <w:rPr>
          <w:lang w:val="ro-RO"/>
        </w:rPr>
      </w:pPr>
      <w:bookmarkStart w:id="529" w:name="_Toc127199355"/>
      <w:r w:rsidRPr="00F171A3">
        <w:rPr>
          <w:lang w:val="ro-RO"/>
        </w:rPr>
        <w:t xml:space="preserve">CHESTIONAR </w:t>
      </w:r>
      <w:r w:rsidR="00FE3332" w:rsidRPr="00F171A3">
        <w:rPr>
          <w:lang w:val="ro-RO"/>
        </w:rPr>
        <w:t>DEDICAT LOCUITORILOR SECTORULUI 2</w:t>
      </w:r>
      <w:bookmarkEnd w:id="529"/>
    </w:p>
    <w:p w14:paraId="6DF7AAF6" w14:textId="77777777" w:rsidR="00FE3332" w:rsidRPr="00F171A3" w:rsidRDefault="00FE3332" w:rsidP="00FE3332">
      <w:r w:rsidRPr="00F171A3">
        <w:t>Răspunsurile din cadrul chestionarului dedicat cetățenilor, ca parte a procesului consultativ-participativ, au scopul de a asigura suport pentru întregul proces de elaborare a documentului strategic. Opiniile exprimate de locuitori au rolul de a contribui la identificarea competențelor distinctive, a măsurilor dorite de către cetățeni și la identificarea priorităților de dezvoltare ale sectorului pentru următoarea perioadă de programare. Chestionarul a fost structurat în mai  multe secțiuni principale, după cum urmează:</w:t>
      </w:r>
    </w:p>
    <w:p w14:paraId="51668B6A" w14:textId="77777777" w:rsidR="00FE3332" w:rsidRPr="00F171A3" w:rsidRDefault="00FE3332">
      <w:pPr>
        <w:pStyle w:val="Bullet"/>
        <w:numPr>
          <w:ilvl w:val="0"/>
          <w:numId w:val="38"/>
        </w:numPr>
      </w:pPr>
      <w:r w:rsidRPr="00F171A3">
        <w:rPr>
          <w:b/>
        </w:rPr>
        <w:t>Informații generale</w:t>
      </w:r>
      <w:r w:rsidRPr="00F171A3">
        <w:t>, secțiune în cadrul căreia respondenții au fost rugați să ofere informații referitoare la zona în care aceștia locuiesc, nivelul de educație, vârsta, alți indicatori demografic și principalele avantaje pe care aceștia le au în zona în care aceștia locuiesc. Scopul acestei secțiuni este de a contura un profil al respondenților;</w:t>
      </w:r>
    </w:p>
    <w:p w14:paraId="65FF38A6" w14:textId="77777777" w:rsidR="00FE3332" w:rsidRPr="00F171A3" w:rsidRDefault="00FE3332">
      <w:pPr>
        <w:pStyle w:val="Bullet"/>
        <w:numPr>
          <w:ilvl w:val="0"/>
          <w:numId w:val="38"/>
        </w:numPr>
      </w:pPr>
      <w:r w:rsidRPr="00F171A3">
        <w:rPr>
          <w:b/>
        </w:rPr>
        <w:t>Accesul la dotări și servicii publice</w:t>
      </w:r>
      <w:r w:rsidRPr="00F171A3">
        <w:t xml:space="preserve"> și dezvoltarea durabilă a sectorului, secțiune în cadrul căreia s-a urmărit:</w:t>
      </w:r>
    </w:p>
    <w:p w14:paraId="0B2D1BAA" w14:textId="2B388A2A" w:rsidR="00FE3332" w:rsidRPr="00F171A3" w:rsidRDefault="00FC4217">
      <w:pPr>
        <w:pStyle w:val="Bullet"/>
        <w:numPr>
          <w:ilvl w:val="1"/>
          <w:numId w:val="100"/>
        </w:numPr>
        <w:rPr>
          <w:rFonts w:eastAsia="SimSun"/>
          <w:bCs w:val="0"/>
          <w:color w:val="134753"/>
          <w:lang w:eastAsia="en-US"/>
        </w:rPr>
      </w:pPr>
      <w:r w:rsidRPr="00F171A3">
        <w:rPr>
          <w:rFonts w:eastAsia="SimSun"/>
          <w:bCs w:val="0"/>
          <w:color w:val="134753"/>
          <w:lang w:eastAsia="en-US"/>
        </w:rPr>
        <w:t>G</w:t>
      </w:r>
      <w:r w:rsidR="00FE3332" w:rsidRPr="00F171A3">
        <w:rPr>
          <w:rFonts w:eastAsia="SimSun"/>
          <w:bCs w:val="0"/>
          <w:color w:val="134753"/>
          <w:lang w:eastAsia="en-US"/>
        </w:rPr>
        <w:t>radul de deservire și calitatea serviciilor socio-culturale (sănătate, asistență socială, educație, cultură, sport și petrecerea timpului liber), a infrastructurii tehnico-edilitare și a infrastructurii de transport, gradul de mulțumire raportat la aspecte referitoare la dezvoltare;</w:t>
      </w:r>
    </w:p>
    <w:p w14:paraId="5C8AF6B0" w14:textId="662213D3" w:rsidR="00FE3332" w:rsidRPr="00F171A3" w:rsidRDefault="00FC4217">
      <w:pPr>
        <w:pStyle w:val="Bullet"/>
        <w:numPr>
          <w:ilvl w:val="1"/>
          <w:numId w:val="100"/>
        </w:numPr>
        <w:rPr>
          <w:color w:val="000000" w:themeColor="text1"/>
        </w:rPr>
      </w:pPr>
      <w:r w:rsidRPr="00F171A3">
        <w:rPr>
          <w:rFonts w:eastAsia="SimSun"/>
          <w:bCs w:val="0"/>
          <w:color w:val="134753"/>
          <w:lang w:eastAsia="en-US"/>
        </w:rPr>
        <w:t>O</w:t>
      </w:r>
      <w:r w:rsidR="00FE3332" w:rsidRPr="00F171A3">
        <w:rPr>
          <w:rFonts w:eastAsia="SimSun"/>
          <w:bCs w:val="0"/>
          <w:color w:val="134753"/>
          <w:lang w:eastAsia="en-US"/>
        </w:rPr>
        <w:t>pinia și gradul de mulțumire a cetățenilor față de serviciile oferite de administrația publică locală și măsurile de inovare și digitalizare întreprinse;</w:t>
      </w:r>
    </w:p>
    <w:p w14:paraId="5A26A50A" w14:textId="1EAD7F19" w:rsidR="00FE3332" w:rsidRPr="00F171A3" w:rsidRDefault="00FC4217">
      <w:pPr>
        <w:pStyle w:val="Bullet"/>
        <w:numPr>
          <w:ilvl w:val="1"/>
          <w:numId w:val="100"/>
        </w:numPr>
        <w:rPr>
          <w:color w:val="000000" w:themeColor="text1"/>
        </w:rPr>
      </w:pPr>
      <w:r w:rsidRPr="00F171A3">
        <w:rPr>
          <w:rFonts w:eastAsia="SimSun"/>
          <w:bCs w:val="0"/>
          <w:color w:val="134753"/>
          <w:lang w:eastAsia="en-US"/>
        </w:rPr>
        <w:t>O</w:t>
      </w:r>
      <w:r w:rsidR="00FE3332" w:rsidRPr="00F171A3">
        <w:rPr>
          <w:rFonts w:eastAsia="SimSun"/>
          <w:bCs w:val="0"/>
          <w:color w:val="134753"/>
          <w:lang w:eastAsia="en-US"/>
        </w:rPr>
        <w:t>pinia privind principalele aspecte pozitive și principalele aspecte negative ale Sectorului 2;</w:t>
      </w:r>
    </w:p>
    <w:p w14:paraId="17964814" w14:textId="4F149FD8" w:rsidR="00FE3332" w:rsidRPr="00F171A3" w:rsidRDefault="00FC4217">
      <w:pPr>
        <w:pStyle w:val="Bullet"/>
        <w:numPr>
          <w:ilvl w:val="1"/>
          <w:numId w:val="100"/>
        </w:numPr>
        <w:rPr>
          <w:color w:val="000000" w:themeColor="text1"/>
        </w:rPr>
      </w:pPr>
      <w:r w:rsidRPr="00F171A3">
        <w:rPr>
          <w:rFonts w:eastAsia="SimSun"/>
          <w:bCs w:val="0"/>
          <w:color w:val="134753"/>
          <w:lang w:eastAsia="en-US"/>
        </w:rPr>
        <w:t>P</w:t>
      </w:r>
      <w:r w:rsidR="00FE3332" w:rsidRPr="00F171A3">
        <w:rPr>
          <w:rFonts w:eastAsia="SimSun"/>
          <w:bCs w:val="0"/>
          <w:color w:val="134753"/>
          <w:lang w:eastAsia="en-US"/>
        </w:rPr>
        <w:t>otențialele măsuri pentru o dezvoltare durabilă a comunității;</w:t>
      </w:r>
    </w:p>
    <w:p w14:paraId="7B57D9C4" w14:textId="77777777" w:rsidR="00FE3332" w:rsidRPr="00F171A3" w:rsidRDefault="00FE3332">
      <w:pPr>
        <w:pStyle w:val="Bullet"/>
        <w:numPr>
          <w:ilvl w:val="0"/>
          <w:numId w:val="38"/>
        </w:numPr>
        <w:rPr>
          <w:b/>
        </w:rPr>
      </w:pPr>
      <w:r w:rsidRPr="00F171A3">
        <w:rPr>
          <w:b/>
        </w:rPr>
        <w:t>Informații privind contextul pandemiei de COVID-19.</w:t>
      </w:r>
    </w:p>
    <w:p w14:paraId="744A1E60" w14:textId="1D26EED7" w:rsidR="00FE3332" w:rsidRPr="00F171A3" w:rsidRDefault="00FE3332" w:rsidP="00FE3332">
      <w:r w:rsidRPr="00F171A3">
        <w:t>Chestionarul a fost disponibil pentru completare timp de</w:t>
      </w:r>
      <w:r w:rsidR="00906AEC" w:rsidRPr="00F171A3">
        <w:t xml:space="preserve"> aproximativ 2 luni și jumătate în </w:t>
      </w:r>
      <w:r w:rsidR="00DC7D39" w:rsidRPr="00F171A3">
        <w:t>perioada</w:t>
      </w:r>
      <w:r w:rsidR="00906AEC" w:rsidRPr="00F171A3">
        <w:t xml:space="preserve"> aprilie-iulie 2022</w:t>
      </w:r>
      <w:r w:rsidRPr="00F171A3">
        <w:t xml:space="preserve">. În acest interval de timp chestionarul a fost completat de către 1031 de persoane, iar rezultatele centralizate în urma acestui proces sunt prezentate în cele ce urmează.  </w:t>
      </w:r>
    </w:p>
    <w:p w14:paraId="5A7C318C" w14:textId="77777777" w:rsidR="00FE3332" w:rsidRPr="00F171A3" w:rsidRDefault="00FE3332" w:rsidP="00FE3332">
      <w:pPr>
        <w:pStyle w:val="ActionTitle0"/>
      </w:pPr>
      <w:r w:rsidRPr="00F171A3">
        <w:t>DATE GENERALE</w:t>
      </w:r>
    </w:p>
    <w:p w14:paraId="6985BE9E" w14:textId="3785491A" w:rsidR="00FE3332" w:rsidRPr="00F171A3" w:rsidRDefault="00FE3332" w:rsidP="00FE3332">
      <w:pPr>
        <w:pStyle w:val="BoldCIVITTALightBlue"/>
        <w:rPr>
          <w:lang w:val="ro-RO"/>
        </w:rPr>
      </w:pPr>
      <w:r w:rsidRPr="00F171A3">
        <w:rPr>
          <w:lang w:val="ro-RO"/>
        </w:rPr>
        <w:t xml:space="preserve">1. Vârsta </w:t>
      </w:r>
      <w:r w:rsidR="00FC4217" w:rsidRPr="00F171A3">
        <w:rPr>
          <w:lang w:val="ro-RO"/>
        </w:rPr>
        <w:t>dumneavoastră:</w:t>
      </w:r>
      <w:r w:rsidRPr="00F171A3">
        <w:rPr>
          <w:lang w:val="ro-RO"/>
        </w:rPr>
        <w:cr/>
        <w:t xml:space="preserve"> </w:t>
      </w:r>
      <w:r w:rsidRPr="00F171A3">
        <w:rPr>
          <w:b w:val="0"/>
          <w:color w:val="auto"/>
          <w:lang w:val="ro-RO" w:eastAsia="en-US"/>
        </w:rPr>
        <w:t>Se observă faptul că o mare parte dintre  respondenți se încadrează în grupele de vârstă între 35-44 de ani (31,8%)  și între 45-54 de ani (23,6%). Aceștia reprezintă puțin peste jumătate, respectiv  55,4% din totalul acestora. Persoanele cu vârste cuprinse între 25-34 de ani reprezintă o pondere de 13,5% dintre respondenți, iar cele cu vârste cuprinse între 55-64, 13,3%. Un număr mediu dintre respondenți, și anume 16,0% din total au vârste de peste 65 de ani și 1,8% între 15 și 24 de ani. Tinerii sub 15 ani reprezintă doar 0,1% din respondenții acestui chestionar.</w:t>
      </w:r>
    </w:p>
    <w:p w14:paraId="4AEEAFC7" w14:textId="77777777" w:rsidR="00FE3332" w:rsidRPr="00F171A3" w:rsidRDefault="00FE3332" w:rsidP="00FE3332">
      <w:r w:rsidRPr="00F171A3">
        <w:rPr>
          <w:noProof/>
        </w:rPr>
        <w:drawing>
          <wp:inline distT="0" distB="0" distL="0" distR="0" wp14:anchorId="32DDDF12" wp14:editId="04C3765B">
            <wp:extent cx="5865962" cy="3243532"/>
            <wp:effectExtent l="0" t="0" r="1905"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41DA5337" w14:textId="77777777" w:rsidR="00FE3332" w:rsidRPr="00F171A3" w:rsidRDefault="00FE3332" w:rsidP="00FE3332">
      <w:pPr>
        <w:pStyle w:val="BoldCIVITTALightBlue"/>
        <w:rPr>
          <w:lang w:val="ro-RO"/>
        </w:rPr>
      </w:pPr>
      <w:r w:rsidRPr="00F171A3">
        <w:rPr>
          <w:lang w:val="ro-RO"/>
        </w:rPr>
        <w:t>2. Genul dumneavoastră:</w:t>
      </w:r>
    </w:p>
    <w:p w14:paraId="6FB72A5D" w14:textId="77777777" w:rsidR="00FE3332" w:rsidRPr="00F171A3" w:rsidRDefault="00FE3332" w:rsidP="00FE3332">
      <w:r w:rsidRPr="00F171A3">
        <w:t>Raportat la genul respondenților 49,8% dintre aceștia sunt de gen masculin, iar 49,2% de gen feminin.</w:t>
      </w:r>
    </w:p>
    <w:p w14:paraId="60E11344" w14:textId="77777777" w:rsidR="00FE3332" w:rsidRPr="00F171A3" w:rsidRDefault="00FE3332" w:rsidP="00FE3332">
      <w:r w:rsidRPr="00F171A3">
        <w:rPr>
          <w:noProof/>
        </w:rPr>
        <w:drawing>
          <wp:inline distT="0" distB="0" distL="0" distR="0" wp14:anchorId="59A0391B" wp14:editId="72BB958D">
            <wp:extent cx="5865962" cy="2337759"/>
            <wp:effectExtent l="0" t="0" r="1905" b="571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35ACFDAE" w14:textId="77777777" w:rsidR="00FE3332" w:rsidRPr="00F171A3" w:rsidRDefault="00FE3332" w:rsidP="00FE3332">
      <w:pPr>
        <w:pStyle w:val="BoldCIVITTALightBlue"/>
        <w:rPr>
          <w:lang w:val="ro-RO"/>
        </w:rPr>
      </w:pPr>
      <w:r w:rsidRPr="00F171A3">
        <w:rPr>
          <w:lang w:val="ro-RO"/>
        </w:rPr>
        <w:t>3. Care este ultima formă de învățământ pe care ați absolvit-o?</w:t>
      </w:r>
    </w:p>
    <w:p w14:paraId="488CDE38" w14:textId="77777777" w:rsidR="00FE3332" w:rsidRPr="00F171A3" w:rsidRDefault="00FE3332" w:rsidP="00FE3332">
      <w:r w:rsidRPr="00F171A3">
        <w:t xml:space="preserve">Din perspectiva nivelului de educație al respondenților, o mare parte au beneficiat de studii superioare: studii universitare (45,6%)  și studii postuniversitare  (35,8%). Liceul este ultima formă de învățământ absolvită de către aproape 17,5 din respondenți, iar un număr mai redus de persoane au absolvit ultima formă de învățământ școala gimnazială (0,7%) sau școala primară (0,3%). </w:t>
      </w:r>
    </w:p>
    <w:p w14:paraId="5F35D44C" w14:textId="77777777" w:rsidR="00FE3332" w:rsidRPr="00F171A3" w:rsidRDefault="00FE3332" w:rsidP="00FE3332">
      <w:r w:rsidRPr="00F171A3">
        <w:rPr>
          <w:noProof/>
        </w:rPr>
        <w:drawing>
          <wp:inline distT="0" distB="0" distL="0" distR="0" wp14:anchorId="21652CC6" wp14:editId="417366CB">
            <wp:extent cx="5865962" cy="2613804"/>
            <wp:effectExtent l="0" t="0" r="190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14:paraId="2F1E4C2A" w14:textId="77777777" w:rsidR="00FE3332" w:rsidRPr="00F171A3" w:rsidRDefault="00FE3332" w:rsidP="00FE3332">
      <w:pPr>
        <w:pStyle w:val="BoldCIVITTALightBlue"/>
        <w:rPr>
          <w:lang w:val="ro-RO"/>
        </w:rPr>
      </w:pPr>
      <w:r w:rsidRPr="00F171A3">
        <w:rPr>
          <w:lang w:val="ro-RO"/>
        </w:rPr>
        <w:t>4. Care este ocupația dumneavoastră în prezent?</w:t>
      </w:r>
    </w:p>
    <w:p w14:paraId="385CB7F5" w14:textId="77777777" w:rsidR="00FE3332" w:rsidRPr="00F171A3" w:rsidRDefault="00FE3332" w:rsidP="00FE3332">
      <w:r w:rsidRPr="00F171A3">
        <w:t>În ceea ce privește locul de muncă al respondenților, 42,3% dintre aceștia sunt angajați în sistemul privat. Aceștia sunt urmați de respondenții care sunt pensionari – 20,2%, dar și de cei care sunt angajați în sistemul bugetar – 18,0%. Patronii, directorii sau antreprenorii reprezintă, de asemenea,8,9% din total, iar lucrătorilor pe cont propriu (PFA, II, freelancer, etc.) reprezintă 6,3%. Restul categoriilor reprezintă o pondere mai scăzută, respectiv 1,2% studenți sau elevi și 1,8% șomeri.</w:t>
      </w:r>
    </w:p>
    <w:p w14:paraId="5809FD88" w14:textId="77777777" w:rsidR="00FE3332" w:rsidRPr="00F171A3" w:rsidRDefault="00FE3332" w:rsidP="00FE3332">
      <w:r w:rsidRPr="00F171A3">
        <w:rPr>
          <w:noProof/>
        </w:rPr>
        <w:drawing>
          <wp:inline distT="0" distB="0" distL="0" distR="0" wp14:anchorId="033B62CD" wp14:editId="1849F8EA">
            <wp:extent cx="5796951" cy="3252159"/>
            <wp:effectExtent l="0" t="0" r="0" b="571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14:paraId="125027D8" w14:textId="77777777" w:rsidR="00FE3332" w:rsidRPr="00F171A3" w:rsidRDefault="00FE3332" w:rsidP="00FE3332">
      <w:pPr>
        <w:pStyle w:val="BoldCIVITTALightBlue"/>
        <w:rPr>
          <w:lang w:val="ro-RO"/>
        </w:rPr>
      </w:pPr>
      <w:r w:rsidRPr="00F171A3">
        <w:rPr>
          <w:lang w:val="ro-RO"/>
        </w:rPr>
        <w:t>5. Unde locuiți în prezent? Alegeți dintre următoarele cartiere:</w:t>
      </w:r>
      <w:r w:rsidRPr="00F171A3">
        <w:rPr>
          <w:lang w:val="ro-RO"/>
        </w:rPr>
        <w:cr/>
      </w:r>
      <w:r w:rsidRPr="00F171A3">
        <w:rPr>
          <w:noProof/>
          <w:lang w:val="ro-RO"/>
        </w:rPr>
        <w:t xml:space="preserve"> </w:t>
      </w:r>
      <w:r w:rsidRPr="00F171A3">
        <w:rPr>
          <w:noProof/>
          <w:lang w:val="ro-RO" w:eastAsia="en-US"/>
        </w:rPr>
        <w:drawing>
          <wp:inline distT="0" distB="0" distL="0" distR="0" wp14:anchorId="68DEE374" wp14:editId="49C8BDB2">
            <wp:extent cx="5831456" cy="4149306"/>
            <wp:effectExtent l="0" t="0" r="0" b="381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2815505A" w14:textId="585234AD" w:rsidR="00FE3332" w:rsidRPr="00F171A3" w:rsidRDefault="00FE3332" w:rsidP="00FE3332">
      <w:r w:rsidRPr="00F171A3">
        <w:t xml:space="preserve">Pe lângă cele prezentate în figura anterioară, respondenții au mai punctat următoarele cartiere/zone în care locuiesc în prezent: Aleea Circului, Arena </w:t>
      </w:r>
      <w:r w:rsidR="00B1751D" w:rsidRPr="00F171A3">
        <w:t>Națională</w:t>
      </w:r>
      <w:r w:rsidRPr="00F171A3">
        <w:t xml:space="preserve">, Armenesc, Avrig, Baicului, Barbu </w:t>
      </w:r>
      <w:r w:rsidR="00B1751D" w:rsidRPr="00F171A3">
        <w:t>Văcărescu</w:t>
      </w:r>
      <w:r w:rsidRPr="00F171A3">
        <w:t xml:space="preserve">, Basarabia , Berceni, Calea </w:t>
      </w:r>
      <w:r w:rsidR="00B1751D" w:rsidRPr="00F171A3">
        <w:t>Moșilor</w:t>
      </w:r>
      <w:r w:rsidRPr="00F171A3">
        <w:t xml:space="preserve">, </w:t>
      </w:r>
      <w:r w:rsidR="00B1751D" w:rsidRPr="00F171A3">
        <w:t>Chișinău</w:t>
      </w:r>
      <w:r w:rsidRPr="00F171A3">
        <w:t xml:space="preserve">, </w:t>
      </w:r>
      <w:r w:rsidR="00B1751D" w:rsidRPr="00F171A3">
        <w:t>Cișmigiu</w:t>
      </w:r>
      <w:r w:rsidRPr="00F171A3">
        <w:t xml:space="preserve">, Corbeni, Dacia, Delfinului, Doamna Ghica, Doamna Ghica , </w:t>
      </w:r>
      <w:r w:rsidR="00B1751D" w:rsidRPr="00F171A3">
        <w:t>Dobroești</w:t>
      </w:r>
      <w:r w:rsidRPr="00F171A3">
        <w:t xml:space="preserve"> , Fabrica de gheata, </w:t>
      </w:r>
      <w:r w:rsidR="00B1751D" w:rsidRPr="00F171A3">
        <w:t>Foișorul</w:t>
      </w:r>
      <w:r w:rsidRPr="00F171A3">
        <w:t xml:space="preserve"> de foc, Gara de est, Iancului, Icoanei, Ilfov, </w:t>
      </w:r>
      <w:r w:rsidR="00B1751D" w:rsidRPr="00F171A3">
        <w:t>Mântuleasa</w:t>
      </w:r>
      <w:r w:rsidRPr="00F171A3">
        <w:t xml:space="preserve">, Maria Rosetti, Mihai </w:t>
      </w:r>
      <w:r w:rsidR="00B1751D" w:rsidRPr="00F171A3">
        <w:t>Bravu</w:t>
      </w:r>
      <w:r w:rsidRPr="00F171A3">
        <w:t xml:space="preserve">, Morarilor, </w:t>
      </w:r>
      <w:r w:rsidR="00B1751D" w:rsidRPr="00F171A3">
        <w:t>Moșilor</w:t>
      </w:r>
      <w:r w:rsidRPr="00F171A3">
        <w:t xml:space="preserve">, </w:t>
      </w:r>
      <w:r w:rsidR="00B1751D" w:rsidRPr="00F171A3">
        <w:t>Piața</w:t>
      </w:r>
      <w:r w:rsidRPr="00F171A3">
        <w:t xml:space="preserve"> </w:t>
      </w:r>
      <w:r w:rsidR="00DC7D39">
        <w:t>G</w:t>
      </w:r>
      <w:r w:rsidRPr="00F171A3">
        <w:t xml:space="preserve">emeni, </w:t>
      </w:r>
      <w:r w:rsidR="00B1751D" w:rsidRPr="00F171A3">
        <w:t>Piața</w:t>
      </w:r>
      <w:r w:rsidRPr="00F171A3">
        <w:t xml:space="preserve"> Muncii, Piața Delfinului, Piața Iancului, Plumbuita, Popa Petre, Ștefan cel Mare , </w:t>
      </w:r>
      <w:r w:rsidR="00B1751D" w:rsidRPr="00F171A3">
        <w:t>Tâmp</w:t>
      </w:r>
      <w:r w:rsidR="00B1751D">
        <w:t>a</w:t>
      </w:r>
      <w:r w:rsidRPr="00F171A3">
        <w:t xml:space="preserve">, Titan, Vergului  și Voluntari. </w:t>
      </w:r>
    </w:p>
    <w:p w14:paraId="75821939" w14:textId="77777777" w:rsidR="00FC4217" w:rsidRPr="00F171A3" w:rsidRDefault="00FC4217" w:rsidP="00FE3332"/>
    <w:p w14:paraId="54B86017" w14:textId="77777777" w:rsidR="00FE3332" w:rsidRPr="00F171A3" w:rsidRDefault="00FE3332" w:rsidP="00FE3332">
      <w:r w:rsidRPr="00F171A3">
        <w:rPr>
          <w:rStyle w:val="BoldCIVITTALightBlueChar"/>
          <w:lang w:val="ro-RO"/>
        </w:rPr>
        <w:t>6. În care dintre următoarele categorii se încadrează venitul dumneavoastră total lunar?</w:t>
      </w:r>
      <w:r w:rsidRPr="00F171A3">
        <w:cr/>
        <w:t>Categoriile de venit în cadrul cărora se încadrează majoritatea respondenților este de peste 4.000 de RON. 44,5% dintre respondenți susțin acest lucru. O pondere de 22,2% din totalul respondenților preferă să nu ofere această informație. Un număr mediu dintre respondenți, respectiv 17,8% se încadrează în categoria de venit cuprins între 2.500 și 4.000 de RON, iar alții se încadrează în categoria de venit între 1.500 și 2.500 de RON. Cei mai puțini, 4,0% se încadrează în categoriile de venit cuprins între 800 și 1.500 de RON (2,6%) și de sub 800 de RON (1,4%).</w:t>
      </w:r>
    </w:p>
    <w:p w14:paraId="404B3290" w14:textId="77777777" w:rsidR="00FE3332" w:rsidRPr="00F171A3" w:rsidRDefault="00FE3332" w:rsidP="00FE3332">
      <w:r w:rsidRPr="00F171A3">
        <w:rPr>
          <w:noProof/>
        </w:rPr>
        <w:t xml:space="preserve"> </w:t>
      </w:r>
      <w:r w:rsidRPr="00F171A3">
        <w:rPr>
          <w:noProof/>
        </w:rPr>
        <w:drawing>
          <wp:inline distT="0" distB="0" distL="0" distR="0" wp14:anchorId="3522265D" wp14:editId="7A26894F">
            <wp:extent cx="5831456" cy="2691441"/>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14:paraId="1FDFA0D8" w14:textId="77777777" w:rsidR="00FE3332" w:rsidRPr="00F171A3" w:rsidRDefault="00FE3332" w:rsidP="00FE3332">
      <w:pPr>
        <w:pStyle w:val="BoldCIVITTALightBlue"/>
        <w:rPr>
          <w:lang w:val="ro-RO"/>
        </w:rPr>
      </w:pPr>
      <w:r w:rsidRPr="00F171A3">
        <w:rPr>
          <w:lang w:val="ro-RO"/>
        </w:rPr>
        <w:t>7. În cazul în care sunteți de acord să fiți contactat și în alte etape ale procesului de realizare a strategiei, vă rugăm să ne transmiteți adresa dumneavoastră de e-mail și/sau numărul de telefon:</w:t>
      </w:r>
    </w:p>
    <w:p w14:paraId="612A52D6" w14:textId="1B0E92E0" w:rsidR="00FE3332" w:rsidRPr="00F171A3" w:rsidRDefault="00FE3332" w:rsidP="00FE3332">
      <w:r w:rsidRPr="00F171A3">
        <w:t>Mai mult de jumătate dintre respondenți, respectiv 56,7% au furnizat date de contact precum adresa de email sau numărul de telefon pentru eventuala consultare în alte etape ale procesului de realizare a strategiei.</w:t>
      </w:r>
    </w:p>
    <w:p w14:paraId="192555E6" w14:textId="77777777" w:rsidR="00FC4217" w:rsidRPr="00F171A3" w:rsidRDefault="00FC4217" w:rsidP="00FE3332"/>
    <w:p w14:paraId="2FB8C9D0" w14:textId="77777777" w:rsidR="00FE3332" w:rsidRPr="00F171A3" w:rsidRDefault="00FE3332" w:rsidP="00FE3332">
      <w:pPr>
        <w:pStyle w:val="ActionTitle0"/>
      </w:pPr>
      <w:r w:rsidRPr="00F171A3">
        <w:t>PERCEPȚIA GENERALĂ ASUPRA SECTORULUI 2</w:t>
      </w:r>
    </w:p>
    <w:p w14:paraId="5F2303E2" w14:textId="77777777" w:rsidR="00FE3332" w:rsidRPr="00F171A3" w:rsidRDefault="00FE3332" w:rsidP="00FE3332">
      <w:pPr>
        <w:pStyle w:val="BoldCIVITTALightBlue"/>
        <w:rPr>
          <w:lang w:val="ro-RO"/>
        </w:rPr>
      </w:pPr>
      <w:r w:rsidRPr="00F171A3">
        <w:rPr>
          <w:lang w:val="ro-RO"/>
        </w:rPr>
        <w:t>8. Care considerați că sunt cele mai importante 3 probleme ale Sectorului 2?</w:t>
      </w:r>
    </w:p>
    <w:p w14:paraId="5D58CE57" w14:textId="77777777" w:rsidR="00FE3332" w:rsidRPr="00F171A3" w:rsidRDefault="00FE3332" w:rsidP="00FE3332">
      <w:pPr>
        <w:rPr>
          <w:highlight w:val="yellow"/>
        </w:rPr>
      </w:pPr>
      <w:r w:rsidRPr="00F171A3">
        <w:t xml:space="preserve">Principalele probleme punctate de către respondenți sunt curățenia și salubrizarea deficitară a spațiilor publice, locurile de parcare insuficiente, fapt ce influențează tendința șoferilor de a parca pe trotuarele ce devin astfel indisponibile pietonilor, dar și spațiile verzi insuficiente. Alte probleme identificate de către aceștia au la bază aspecte precum traficul foarte aglomerat, infrastructura de utilități deficitară prin problemele raportate la sistemele de apa caldă și căldură, nivelul ridicat de poluare, urbanismul haotic, precum și transportul în comun nesatisfăcător. Pe lângă acestea, alți respondenți mai menționează și lipsa unor piste pentru biciclete sigure și eficiente, nevoia implicării mai active a poliției locale în spațiul public, nevoia de reabilitare  a clădirilor publice și nevoia de reabilitare termică a clădirilor publice și private.  </w:t>
      </w:r>
    </w:p>
    <w:p w14:paraId="32F0C642" w14:textId="77777777" w:rsidR="00FE3332" w:rsidRPr="00F171A3" w:rsidRDefault="00FE3332" w:rsidP="00FE3332">
      <w:pPr>
        <w:rPr>
          <w:highlight w:val="yellow"/>
        </w:rPr>
      </w:pPr>
      <w:r w:rsidRPr="00F171A3">
        <w:rPr>
          <w:noProof/>
        </w:rPr>
        <w:drawing>
          <wp:inline distT="0" distB="0" distL="0" distR="0" wp14:anchorId="336E9F80" wp14:editId="35E9B875">
            <wp:extent cx="5995358" cy="276045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ativ.png"/>
                    <pic:cNvPicPr/>
                  </pic:nvPicPr>
                  <pic:blipFill rotWithShape="1">
                    <a:blip r:embed="rId218">
                      <a:extLst>
                        <a:ext uri="{28A0092B-C50C-407E-A947-70E740481C1C}">
                          <a14:useLocalDpi xmlns:a14="http://schemas.microsoft.com/office/drawing/2010/main" val="0"/>
                        </a:ext>
                      </a:extLst>
                    </a:blip>
                    <a:srcRect b="21132"/>
                    <a:stretch/>
                  </pic:blipFill>
                  <pic:spPr bwMode="auto">
                    <a:xfrm>
                      <a:off x="0" y="0"/>
                      <a:ext cx="5997575" cy="2761474"/>
                    </a:xfrm>
                    <a:prstGeom prst="rect">
                      <a:avLst/>
                    </a:prstGeom>
                    <a:ln>
                      <a:noFill/>
                    </a:ln>
                    <a:extLst>
                      <a:ext uri="{53640926-AAD7-44D8-BBD7-CCE9431645EC}">
                        <a14:shadowObscured xmlns:a14="http://schemas.microsoft.com/office/drawing/2010/main"/>
                      </a:ext>
                    </a:extLst>
                  </pic:spPr>
                </pic:pic>
              </a:graphicData>
            </a:graphic>
          </wp:inline>
        </w:drawing>
      </w:r>
    </w:p>
    <w:p w14:paraId="33D749C3" w14:textId="77777777" w:rsidR="00FC4217" w:rsidRPr="00F171A3" w:rsidRDefault="00FC4217" w:rsidP="00FE3332">
      <w:pPr>
        <w:pStyle w:val="BoldCIVITTALightBlue"/>
        <w:rPr>
          <w:lang w:val="ro-RO"/>
        </w:rPr>
      </w:pPr>
    </w:p>
    <w:p w14:paraId="59F2A5F8" w14:textId="485D06B6" w:rsidR="00FE3332" w:rsidRPr="00F171A3" w:rsidRDefault="00FE3332" w:rsidP="00FE3332">
      <w:pPr>
        <w:pStyle w:val="BoldCIVITTALightBlue"/>
        <w:rPr>
          <w:lang w:val="ro-RO"/>
        </w:rPr>
      </w:pPr>
      <w:r w:rsidRPr="00F171A3">
        <w:rPr>
          <w:lang w:val="ro-RO"/>
        </w:rPr>
        <w:t>9. Dar cele mai importante aspecte pozitive?</w:t>
      </w:r>
    </w:p>
    <w:p w14:paraId="4CD60CAF" w14:textId="77777777" w:rsidR="00FE3332" w:rsidRPr="00F171A3" w:rsidRDefault="00FE3332" w:rsidP="00FE3332">
      <w:r w:rsidRPr="00F171A3">
        <w:t>Principalele aspecte pozitive punctate de către respondenți au la bază existența parcurilor și a locurilor de joacă variate la nivelul Sectorului 2, existența spațiilor verzi și a legăturilor de transport variate. De asemenea, respondenții mai indică faptul că printre aspectele pozitive ale Sectorului 2 se remarcă curățenia și întreținerea spațiilor publice, procesele de digitalizare în continuă creștere, accesul la un sistem de învățământ variat, procesele de reabilitare și anvelopare ale blocurilor, precum și proximitatea față de zone de interes. Alte aspecte pozitive amintite de către locuitorii Sectorului 2 sunt deschiderea și comunicarea administrației cu cetățenii, transparența decizională de la nivelul acesteia, posibilitățile de a realiza diverse activități și inițiativele și procesele de dezvoltare demarate în cadrul Sectorului.</w:t>
      </w:r>
    </w:p>
    <w:p w14:paraId="4AB17D80" w14:textId="77777777" w:rsidR="00FE3332" w:rsidRPr="00F171A3" w:rsidRDefault="00FE3332" w:rsidP="00FE3332">
      <w:r w:rsidRPr="00F171A3">
        <w:rPr>
          <w:noProof/>
        </w:rPr>
        <w:drawing>
          <wp:inline distT="0" distB="0" distL="0" distR="0" wp14:anchorId="62563ADE" wp14:editId="211D32BD">
            <wp:extent cx="5997575" cy="350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itiv.png"/>
                    <pic:cNvPicPr/>
                  </pic:nvPicPr>
                  <pic:blipFill>
                    <a:blip r:embed="rId219">
                      <a:extLst>
                        <a:ext uri="{28A0092B-C50C-407E-A947-70E740481C1C}">
                          <a14:useLocalDpi xmlns:a14="http://schemas.microsoft.com/office/drawing/2010/main" val="0"/>
                        </a:ext>
                      </a:extLst>
                    </a:blip>
                    <a:stretch>
                      <a:fillRect/>
                    </a:stretch>
                  </pic:blipFill>
                  <pic:spPr>
                    <a:xfrm>
                      <a:off x="0" y="0"/>
                      <a:ext cx="5997575" cy="3505200"/>
                    </a:xfrm>
                    <a:prstGeom prst="rect">
                      <a:avLst/>
                    </a:prstGeom>
                  </pic:spPr>
                </pic:pic>
              </a:graphicData>
            </a:graphic>
          </wp:inline>
        </w:drawing>
      </w:r>
    </w:p>
    <w:p w14:paraId="16286EDF" w14:textId="77777777" w:rsidR="00FE3332" w:rsidRPr="00F171A3" w:rsidRDefault="00FE3332" w:rsidP="00FE3332">
      <w:r w:rsidRPr="00F171A3">
        <w:t xml:space="preserve">Ce se remarcă la nivelul acestei întrebări este faptul că în timp ce la întrebarea anterioară, o parte dintre respondenți au caracterizat spațiile verzi, situația curățeniei și a proceselor de reabilitare ca fiind aspecte negative, în cadrul acestei întrebări, alți respondenți le caracterizează ca fiind aspecte pozitive. Acest fapt indică subiectivitatea perceperii acestora care poate fi influențată de către diferențele raportate la diferitele zone ale Sectorului 2. Astfel, dacă în anumite zone curățenia nu este o problemă, în alte zone ale Sectorului 2, aceasta este percepută ca fiind una. Acest lucru este valabil și la nivelul zonelor verzi, iar raportat la procesele de reabilitare a blocurilor, aceasta este percepută ca o nevoie generala la nivelul Sectorului 2, iar pentru zonele sau blocurile în care acest proces nu a fost încă demarat, situația nevoii de reabilitare este văzută ca fiind una problematică, spre deosebire de acele situații în care reabilitarea blocurilor a fost deja realizată și reprezintă un aspect pozitiv.  </w:t>
      </w:r>
    </w:p>
    <w:p w14:paraId="51D2795C" w14:textId="77777777" w:rsidR="00FC4217" w:rsidRPr="00F171A3" w:rsidRDefault="00FC4217" w:rsidP="00FE3332">
      <w:pPr>
        <w:pStyle w:val="BoldCIVITTALightBlue"/>
        <w:rPr>
          <w:lang w:val="ro-RO"/>
        </w:rPr>
      </w:pPr>
    </w:p>
    <w:p w14:paraId="28320C8C" w14:textId="653588EB" w:rsidR="00FE3332" w:rsidRPr="00F171A3" w:rsidRDefault="00FE3332" w:rsidP="00FE3332">
      <w:pPr>
        <w:pStyle w:val="BoldCIVITTALightBlue"/>
        <w:rPr>
          <w:lang w:val="ro-RO"/>
        </w:rPr>
      </w:pPr>
      <w:r w:rsidRPr="00F171A3">
        <w:rPr>
          <w:lang w:val="ro-RO"/>
        </w:rPr>
        <w:t>10. Care considerați că sunt cele mai importante măsuri pentru dezvoltarea comunității dumneavoastră? Vă rugăm să acordați o notă de la 1 (cel mai puțin important) la 5 (cel mai important), pentru următoarele criterii:</w:t>
      </w:r>
    </w:p>
    <w:p w14:paraId="23181ECB" w14:textId="77777777" w:rsidR="00FE3332" w:rsidRPr="00F171A3" w:rsidRDefault="00FE3332" w:rsidP="00FE3332">
      <w:r w:rsidRPr="00F171A3">
        <w:t>Raportat media notelor acordate de către cetățeni cu referire la măsurile pentru dezvoltarea durabilă a comunității, de la cele mai importante, la cele mai puțin importante potențiale măsuri, acestea au fost ierarhizate în următorul fel:</w:t>
      </w:r>
    </w:p>
    <w:p w14:paraId="6F62139B" w14:textId="77777777" w:rsidR="00FE3332" w:rsidRPr="00F171A3" w:rsidRDefault="00FE3332">
      <w:pPr>
        <w:pStyle w:val="ListParagraph"/>
        <w:numPr>
          <w:ilvl w:val="0"/>
          <w:numId w:val="49"/>
        </w:numPr>
        <w:rPr>
          <w:color w:val="134753" w:themeColor="text2"/>
        </w:rPr>
      </w:pPr>
      <w:r w:rsidRPr="00F171A3">
        <w:rPr>
          <w:color w:val="134753" w:themeColor="text2"/>
        </w:rPr>
        <w:t>Modernizarea infrastructurii de sănătate (spitale, policlinici) (4,44/5);</w:t>
      </w:r>
    </w:p>
    <w:p w14:paraId="2097148D" w14:textId="77777777" w:rsidR="00FE3332" w:rsidRPr="00F171A3" w:rsidRDefault="00FE3332">
      <w:pPr>
        <w:pStyle w:val="ListParagraph"/>
        <w:numPr>
          <w:ilvl w:val="0"/>
          <w:numId w:val="49"/>
        </w:numPr>
        <w:rPr>
          <w:color w:val="134753" w:themeColor="text2"/>
        </w:rPr>
      </w:pPr>
      <w:r w:rsidRPr="00F171A3">
        <w:rPr>
          <w:color w:val="134753" w:themeColor="text2"/>
        </w:rPr>
        <w:t>Reabilitarea și modernizarea spațiilor publice, spațiilor verzi, spațiilor dintre blocuri, iluminatului public (4,44/5);</w:t>
      </w:r>
    </w:p>
    <w:p w14:paraId="5EFC26C9" w14:textId="77777777" w:rsidR="00FE3332" w:rsidRPr="00F171A3" w:rsidRDefault="00FE3332">
      <w:pPr>
        <w:pStyle w:val="ListParagraph"/>
        <w:numPr>
          <w:ilvl w:val="0"/>
          <w:numId w:val="49"/>
        </w:numPr>
        <w:rPr>
          <w:color w:val="134753" w:themeColor="text2"/>
        </w:rPr>
      </w:pPr>
      <w:r w:rsidRPr="00F171A3">
        <w:rPr>
          <w:color w:val="134753" w:themeColor="text2"/>
        </w:rPr>
        <w:t>Îmbunătățirea planificării și controlului noilor dezvoltări imobiliare  (4,25/5);</w:t>
      </w:r>
    </w:p>
    <w:p w14:paraId="0A68C464" w14:textId="77777777" w:rsidR="00FE3332" w:rsidRPr="00F171A3" w:rsidRDefault="00FE3332">
      <w:pPr>
        <w:pStyle w:val="ListParagraph"/>
        <w:numPr>
          <w:ilvl w:val="0"/>
          <w:numId w:val="49"/>
        </w:numPr>
        <w:rPr>
          <w:color w:val="134753" w:themeColor="text2"/>
        </w:rPr>
      </w:pPr>
      <w:r w:rsidRPr="00F171A3">
        <w:rPr>
          <w:color w:val="134753" w:themeColor="text2"/>
        </w:rPr>
        <w:t>Modernizarea unităților de învățământ existente (creșe, grădinițe, școli, licee) (4,09/5);</w:t>
      </w:r>
    </w:p>
    <w:p w14:paraId="7042DBDC" w14:textId="77777777" w:rsidR="00FE3332" w:rsidRPr="00F171A3" w:rsidRDefault="00FE3332">
      <w:pPr>
        <w:pStyle w:val="ListParagraph"/>
        <w:numPr>
          <w:ilvl w:val="0"/>
          <w:numId w:val="49"/>
        </w:numPr>
        <w:rPr>
          <w:color w:val="134753" w:themeColor="text2"/>
        </w:rPr>
      </w:pPr>
      <w:r w:rsidRPr="00F171A3">
        <w:rPr>
          <w:color w:val="134753" w:themeColor="text2"/>
        </w:rPr>
        <w:t>Îmbunătățirea sistemului de transport public (4/5);</w:t>
      </w:r>
    </w:p>
    <w:p w14:paraId="4FF97537" w14:textId="77777777" w:rsidR="00FE3332" w:rsidRPr="00F171A3" w:rsidRDefault="00FE3332">
      <w:pPr>
        <w:pStyle w:val="ListParagraph"/>
        <w:numPr>
          <w:ilvl w:val="0"/>
          <w:numId w:val="49"/>
        </w:numPr>
        <w:rPr>
          <w:color w:val="134753" w:themeColor="text2"/>
        </w:rPr>
      </w:pPr>
      <w:r w:rsidRPr="00F171A3">
        <w:rPr>
          <w:color w:val="134753" w:themeColor="text2"/>
        </w:rPr>
        <w:t>Modernizarea infrastructurii de servicii sociale (centre pentru îngrijirea copiilor, bătrânilor, persoanelor defavorizate etc) (4/5);</w:t>
      </w:r>
    </w:p>
    <w:p w14:paraId="3012A735" w14:textId="77777777" w:rsidR="00FE3332" w:rsidRPr="00F171A3" w:rsidRDefault="00FE3332">
      <w:pPr>
        <w:pStyle w:val="ListParagraph"/>
        <w:numPr>
          <w:ilvl w:val="0"/>
          <w:numId w:val="49"/>
        </w:numPr>
        <w:rPr>
          <w:color w:val="134753" w:themeColor="text2"/>
        </w:rPr>
      </w:pPr>
      <w:r w:rsidRPr="00F171A3">
        <w:rPr>
          <w:color w:val="134753" w:themeColor="text2"/>
        </w:rPr>
        <w:t>Extinderea rețelelor de utilități publice (apă-canal, gaz, rețele electrice) (3,76/5);</w:t>
      </w:r>
    </w:p>
    <w:p w14:paraId="56A56921" w14:textId="77777777" w:rsidR="00FE3332" w:rsidRPr="00F171A3" w:rsidRDefault="00FE3332">
      <w:pPr>
        <w:pStyle w:val="ListParagraph"/>
        <w:numPr>
          <w:ilvl w:val="0"/>
          <w:numId w:val="49"/>
        </w:numPr>
        <w:rPr>
          <w:color w:val="134753" w:themeColor="text2"/>
        </w:rPr>
      </w:pPr>
      <w:r w:rsidRPr="00F171A3">
        <w:rPr>
          <w:color w:val="134753" w:themeColor="text2"/>
        </w:rPr>
        <w:t>Construcția de noi unități de învățământ (creșe, grădinițe, școli, licee) (3,65/5);</w:t>
      </w:r>
    </w:p>
    <w:p w14:paraId="22BEFEC4" w14:textId="77777777" w:rsidR="00FE3332" w:rsidRPr="00F171A3" w:rsidRDefault="00FE3332">
      <w:pPr>
        <w:pStyle w:val="ListParagraph"/>
        <w:numPr>
          <w:ilvl w:val="0"/>
          <w:numId w:val="49"/>
        </w:numPr>
        <w:rPr>
          <w:color w:val="134753" w:themeColor="text2"/>
        </w:rPr>
      </w:pPr>
      <w:r w:rsidRPr="00F171A3">
        <w:rPr>
          <w:color w:val="134753" w:themeColor="text2"/>
        </w:rPr>
        <w:t>Crearea de locuri de muncă (3,63/5);</w:t>
      </w:r>
    </w:p>
    <w:p w14:paraId="14406EA3" w14:textId="77777777" w:rsidR="00FE3332" w:rsidRPr="00F171A3" w:rsidRDefault="00FE3332">
      <w:pPr>
        <w:pStyle w:val="ListParagraph"/>
        <w:numPr>
          <w:ilvl w:val="0"/>
          <w:numId w:val="49"/>
        </w:numPr>
        <w:rPr>
          <w:color w:val="134753" w:themeColor="text2"/>
        </w:rPr>
      </w:pPr>
      <w:r w:rsidRPr="00F171A3">
        <w:rPr>
          <w:color w:val="134753" w:themeColor="text2"/>
        </w:rPr>
        <w:t>Construcția de noi trasee de piste pentru bicicliști și alei pietonale</w:t>
      </w:r>
      <w:r w:rsidRPr="00F171A3">
        <w:rPr>
          <w:color w:val="134753" w:themeColor="text2"/>
        </w:rPr>
        <w:tab/>
        <w:t>(3,62/5);</w:t>
      </w:r>
    </w:p>
    <w:p w14:paraId="06E116FE" w14:textId="77777777" w:rsidR="00FE3332" w:rsidRPr="00F171A3" w:rsidRDefault="00FE3332">
      <w:pPr>
        <w:pStyle w:val="ListParagraph"/>
        <w:numPr>
          <w:ilvl w:val="0"/>
          <w:numId w:val="49"/>
        </w:numPr>
        <w:rPr>
          <w:color w:val="134753" w:themeColor="text2"/>
        </w:rPr>
      </w:pPr>
      <w:r w:rsidRPr="00F171A3">
        <w:rPr>
          <w:color w:val="134753" w:themeColor="text2"/>
        </w:rPr>
        <w:t>Modernizarea pistelor pentru bicicliști și a aleilor pietonale existente (3,52/5);</w:t>
      </w:r>
    </w:p>
    <w:p w14:paraId="6B0CC341" w14:textId="50D10367" w:rsidR="00FC4217" w:rsidRPr="00F171A3" w:rsidRDefault="00FE3332">
      <w:pPr>
        <w:pStyle w:val="ListParagraph"/>
        <w:numPr>
          <w:ilvl w:val="0"/>
          <w:numId w:val="49"/>
        </w:numPr>
        <w:rPr>
          <w:color w:val="134753" w:themeColor="text2"/>
        </w:rPr>
      </w:pPr>
      <w:r w:rsidRPr="00F171A3">
        <w:rPr>
          <w:color w:val="134753" w:themeColor="text2"/>
        </w:rPr>
        <w:t>Organizarea de evenimente culturale și sportive (2,9/5).</w:t>
      </w:r>
    </w:p>
    <w:p w14:paraId="5F6135DE" w14:textId="509479AD" w:rsidR="00FE3332" w:rsidRPr="00F171A3" w:rsidRDefault="00FE3332" w:rsidP="00FE3332">
      <w:r w:rsidRPr="00F171A3">
        <w:rPr>
          <w:noProof/>
        </w:rPr>
        <w:drawing>
          <wp:inline distT="0" distB="0" distL="0" distR="0" wp14:anchorId="78303933" wp14:editId="6D0F50BC">
            <wp:extent cx="5848709" cy="5676182"/>
            <wp:effectExtent l="0" t="0" r="0" b="127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14:paraId="2754B7D9" w14:textId="77777777" w:rsidR="00FC4217" w:rsidRPr="00F171A3" w:rsidRDefault="00FC4217" w:rsidP="00FE3332">
      <w:pPr>
        <w:pStyle w:val="BoldCIVITTALightBlue"/>
        <w:rPr>
          <w:lang w:val="ro-RO"/>
        </w:rPr>
      </w:pPr>
    </w:p>
    <w:p w14:paraId="2B263950" w14:textId="77777777" w:rsidR="00FC4217" w:rsidRPr="00F171A3" w:rsidRDefault="00FC4217" w:rsidP="00FE3332">
      <w:pPr>
        <w:pStyle w:val="BoldCIVITTALightBlue"/>
        <w:rPr>
          <w:lang w:val="ro-RO"/>
        </w:rPr>
      </w:pPr>
    </w:p>
    <w:p w14:paraId="2F5C69AE" w14:textId="781DD2A0" w:rsidR="00FE3332" w:rsidRPr="00F171A3" w:rsidRDefault="00FE3332" w:rsidP="00FE3332">
      <w:pPr>
        <w:pStyle w:val="BoldCIVITTALightBlue"/>
        <w:rPr>
          <w:lang w:val="ro-RO"/>
        </w:rPr>
      </w:pPr>
      <w:r w:rsidRPr="00F171A3">
        <w:rPr>
          <w:lang w:val="ro-RO"/>
        </w:rPr>
        <w:t>11. Alte măsuri, în afară de cele menționate la întrebarea precedentă, necesare pentru dezvoltarea comunității dumneavoastră:</w:t>
      </w:r>
    </w:p>
    <w:p w14:paraId="074EFE7F" w14:textId="77777777" w:rsidR="00FE3332" w:rsidRPr="00F171A3" w:rsidRDefault="00FE3332" w:rsidP="00FE3332">
      <w:r w:rsidRPr="00F171A3">
        <w:t>Pe lângă măsurile indicate anterior, respondenții mai menționează următoarele măsuri punctuale și potențiale pentru dezvoltarea comunității:</w:t>
      </w:r>
    </w:p>
    <w:p w14:paraId="7C861025" w14:textId="77777777" w:rsidR="00FE3332" w:rsidRPr="00F171A3" w:rsidRDefault="00FE3332">
      <w:pPr>
        <w:pStyle w:val="Bullet"/>
        <w:numPr>
          <w:ilvl w:val="0"/>
          <w:numId w:val="38"/>
        </w:numPr>
      </w:pPr>
      <w:r w:rsidRPr="00F171A3">
        <w:t>Reabilitarea străzilor din cartierul Tei-Maica Domnului  si Lizeanu;</w:t>
      </w:r>
    </w:p>
    <w:p w14:paraId="3E265C9E" w14:textId="77777777" w:rsidR="00FE3332" w:rsidRPr="00F171A3" w:rsidRDefault="00FE3332">
      <w:pPr>
        <w:pStyle w:val="Bullet"/>
        <w:numPr>
          <w:ilvl w:val="0"/>
          <w:numId w:val="38"/>
        </w:numPr>
      </w:pPr>
      <w:r w:rsidRPr="00F171A3">
        <w:t>Dotarea și utilizarea unor surse de energie alternative și ecologice;</w:t>
      </w:r>
    </w:p>
    <w:p w14:paraId="60BBF8EE" w14:textId="77777777" w:rsidR="00FE3332" w:rsidRPr="00F171A3" w:rsidRDefault="00FE3332">
      <w:pPr>
        <w:pStyle w:val="Bullet"/>
        <w:numPr>
          <w:ilvl w:val="0"/>
          <w:numId w:val="38"/>
        </w:numPr>
      </w:pPr>
      <w:r w:rsidRPr="00F171A3">
        <w:t>Implementarea unor soluții pentru problemele referitoare la lipsa parcărilor;</w:t>
      </w:r>
    </w:p>
    <w:p w14:paraId="2649B301" w14:textId="77777777" w:rsidR="00FE3332" w:rsidRPr="00F171A3" w:rsidRDefault="00FE3332">
      <w:pPr>
        <w:pStyle w:val="Bullet"/>
        <w:numPr>
          <w:ilvl w:val="0"/>
          <w:numId w:val="38"/>
        </w:numPr>
      </w:pPr>
      <w:r w:rsidRPr="00F171A3">
        <w:t>Reabilitarea clădirilor istorice / vechi;</w:t>
      </w:r>
    </w:p>
    <w:p w14:paraId="74650075" w14:textId="77777777" w:rsidR="00FE3332" w:rsidRPr="00F171A3" w:rsidRDefault="00FE3332">
      <w:pPr>
        <w:pStyle w:val="Bullet"/>
        <w:numPr>
          <w:ilvl w:val="0"/>
          <w:numId w:val="38"/>
        </w:numPr>
      </w:pPr>
      <w:r w:rsidRPr="00F171A3">
        <w:t>Reorganizarea traficului rutier prin implementarea străzilor cu sens unic, prin limitarea accesului pentru nerezidenți;</w:t>
      </w:r>
    </w:p>
    <w:p w14:paraId="61CF7333" w14:textId="77777777" w:rsidR="00FE3332" w:rsidRPr="00F171A3" w:rsidRDefault="00FE3332">
      <w:pPr>
        <w:pStyle w:val="Bullet"/>
        <w:numPr>
          <w:ilvl w:val="0"/>
          <w:numId w:val="38"/>
        </w:numPr>
      </w:pPr>
      <w:r w:rsidRPr="00F171A3">
        <w:t>Realizarea activităților de educare a cetățenilor cu privire la protecția mediului;</w:t>
      </w:r>
    </w:p>
    <w:p w14:paraId="6E835E8A" w14:textId="77777777" w:rsidR="00FE3332" w:rsidRPr="00F171A3" w:rsidRDefault="00FE3332">
      <w:pPr>
        <w:pStyle w:val="Bullet"/>
        <w:numPr>
          <w:ilvl w:val="0"/>
          <w:numId w:val="38"/>
        </w:numPr>
      </w:pPr>
      <w:r w:rsidRPr="00F171A3">
        <w:t>Implementarea de măsuri pentru reducerea poluării;</w:t>
      </w:r>
    </w:p>
    <w:p w14:paraId="40CECD5E" w14:textId="77777777" w:rsidR="00FE3332" w:rsidRPr="00F171A3" w:rsidRDefault="00FE3332">
      <w:pPr>
        <w:pStyle w:val="Bullet"/>
        <w:numPr>
          <w:ilvl w:val="0"/>
          <w:numId w:val="38"/>
        </w:numPr>
      </w:pPr>
      <w:r w:rsidRPr="00F171A3">
        <w:t>Îmbunătățirea procesului de colectare selectivă;</w:t>
      </w:r>
    </w:p>
    <w:p w14:paraId="58A96517" w14:textId="77777777" w:rsidR="00FE3332" w:rsidRPr="00F171A3" w:rsidRDefault="00FE3332">
      <w:pPr>
        <w:pStyle w:val="Bullet"/>
        <w:numPr>
          <w:ilvl w:val="0"/>
          <w:numId w:val="38"/>
        </w:numPr>
      </w:pPr>
      <w:r w:rsidRPr="00F171A3">
        <w:t>Amenajarea lacurilor și spațiilor adiacente ca zone de agrement;</w:t>
      </w:r>
    </w:p>
    <w:p w14:paraId="75980A4E" w14:textId="77777777" w:rsidR="00FE3332" w:rsidRPr="00F171A3" w:rsidRDefault="00FE3332">
      <w:pPr>
        <w:pStyle w:val="Bullet"/>
        <w:numPr>
          <w:ilvl w:val="0"/>
          <w:numId w:val="38"/>
        </w:numPr>
      </w:pPr>
      <w:r w:rsidRPr="00F171A3">
        <w:t>Reabilitarea sistemelor de utilități cu apă caldă și căldură;</w:t>
      </w:r>
    </w:p>
    <w:p w14:paraId="64D04234" w14:textId="77777777" w:rsidR="00FE3332" w:rsidRPr="00F171A3" w:rsidRDefault="00FE3332">
      <w:pPr>
        <w:pStyle w:val="Bullet"/>
        <w:numPr>
          <w:ilvl w:val="0"/>
          <w:numId w:val="38"/>
        </w:numPr>
      </w:pPr>
      <w:r w:rsidRPr="00F171A3">
        <w:t>Consolidarea comunicării cu cetățenii și menținerea unui proces constant de consultare;</w:t>
      </w:r>
    </w:p>
    <w:p w14:paraId="2488A613" w14:textId="77777777" w:rsidR="00FE3332" w:rsidRPr="00F171A3" w:rsidRDefault="00FE3332">
      <w:pPr>
        <w:pStyle w:val="Bullet"/>
        <w:numPr>
          <w:ilvl w:val="0"/>
          <w:numId w:val="38"/>
        </w:numPr>
      </w:pPr>
      <w:r w:rsidRPr="00F171A3">
        <w:t>Îmbunătățirea proceselor de curățenie în toate zonele Sectorului 2;</w:t>
      </w:r>
    </w:p>
    <w:p w14:paraId="2957F0EF" w14:textId="77777777" w:rsidR="00FE3332" w:rsidRPr="00F171A3" w:rsidRDefault="00FE3332">
      <w:pPr>
        <w:pStyle w:val="Bullet"/>
        <w:numPr>
          <w:ilvl w:val="0"/>
          <w:numId w:val="38"/>
        </w:numPr>
      </w:pPr>
      <w:r w:rsidRPr="00F171A3">
        <w:t>Implementarea de soluții viabile pentru gestionarea materialelor reciclabile;</w:t>
      </w:r>
    </w:p>
    <w:p w14:paraId="2DC2C5FC" w14:textId="77777777" w:rsidR="00FE3332" w:rsidRPr="00F171A3" w:rsidRDefault="00FE3332">
      <w:pPr>
        <w:pStyle w:val="Bullet"/>
        <w:numPr>
          <w:ilvl w:val="0"/>
          <w:numId w:val="38"/>
        </w:numPr>
      </w:pPr>
      <w:r w:rsidRPr="00F171A3">
        <w:t>Susținerea parteneriatelor public-privat;</w:t>
      </w:r>
    </w:p>
    <w:p w14:paraId="24322120" w14:textId="77777777" w:rsidR="00FE3332" w:rsidRPr="00F171A3" w:rsidRDefault="00FE3332">
      <w:pPr>
        <w:pStyle w:val="Bullet"/>
        <w:numPr>
          <w:ilvl w:val="0"/>
          <w:numId w:val="38"/>
        </w:numPr>
      </w:pPr>
      <w:r w:rsidRPr="00F171A3">
        <w:t>Implementarea programelor de susținere a comunităților defavorizate;</w:t>
      </w:r>
    </w:p>
    <w:p w14:paraId="322D9487" w14:textId="77777777" w:rsidR="00FE3332" w:rsidRPr="00F171A3" w:rsidRDefault="00FE3332">
      <w:pPr>
        <w:pStyle w:val="Bullet"/>
        <w:numPr>
          <w:ilvl w:val="0"/>
          <w:numId w:val="38"/>
        </w:numPr>
      </w:pPr>
      <w:r w:rsidRPr="00F171A3">
        <w:t>Dezvoltarea de noi spații verzi;</w:t>
      </w:r>
    </w:p>
    <w:p w14:paraId="19A7D8F6" w14:textId="77777777" w:rsidR="00FE3332" w:rsidRPr="00F171A3" w:rsidRDefault="00FE3332">
      <w:pPr>
        <w:pStyle w:val="Bullet"/>
        <w:numPr>
          <w:ilvl w:val="0"/>
          <w:numId w:val="38"/>
        </w:numPr>
      </w:pPr>
      <w:r w:rsidRPr="00F171A3">
        <w:t>Implementarea măsurilor de sporire a siguranței publice;</w:t>
      </w:r>
    </w:p>
    <w:p w14:paraId="573B07A5" w14:textId="77777777" w:rsidR="00FE3332" w:rsidRPr="00F171A3" w:rsidRDefault="00FE3332">
      <w:pPr>
        <w:pStyle w:val="Bullet"/>
        <w:numPr>
          <w:ilvl w:val="0"/>
          <w:numId w:val="38"/>
        </w:numPr>
      </w:pPr>
      <w:r w:rsidRPr="00F171A3">
        <w:t>Implementarea sistemelor Smart City de monitorizare a traficului;</w:t>
      </w:r>
    </w:p>
    <w:p w14:paraId="0EA11A37" w14:textId="77777777" w:rsidR="00FE3332" w:rsidRPr="00F171A3" w:rsidRDefault="00FE3332">
      <w:pPr>
        <w:pStyle w:val="Bullet"/>
        <w:numPr>
          <w:ilvl w:val="0"/>
          <w:numId w:val="38"/>
        </w:numPr>
      </w:pPr>
      <w:r w:rsidRPr="00F171A3">
        <w:t>Dezvoltarea spațiilor culturale;</w:t>
      </w:r>
    </w:p>
    <w:p w14:paraId="55775837" w14:textId="77777777" w:rsidR="00FE3332" w:rsidRPr="00F171A3" w:rsidRDefault="00FE3332">
      <w:pPr>
        <w:pStyle w:val="Bullet"/>
        <w:numPr>
          <w:ilvl w:val="0"/>
          <w:numId w:val="38"/>
        </w:numPr>
      </w:pPr>
      <w:r w:rsidRPr="00F171A3">
        <w:t>Reabilitarea marcajelor rutiere;</w:t>
      </w:r>
    </w:p>
    <w:p w14:paraId="5E802493" w14:textId="77777777" w:rsidR="00FE3332" w:rsidRPr="00F171A3" w:rsidRDefault="00FE3332">
      <w:pPr>
        <w:pStyle w:val="Bullet"/>
        <w:numPr>
          <w:ilvl w:val="0"/>
          <w:numId w:val="38"/>
        </w:numPr>
      </w:pPr>
      <w:r w:rsidRPr="00F171A3">
        <w:t>Măsuri de fluidizare a traficului.</w:t>
      </w:r>
    </w:p>
    <w:p w14:paraId="7507F922" w14:textId="77777777" w:rsidR="00FE3332" w:rsidRPr="00F171A3" w:rsidRDefault="00FE3332" w:rsidP="00FE3332">
      <w:pPr>
        <w:pStyle w:val="BoldCIVITTALightBlue"/>
        <w:rPr>
          <w:highlight w:val="yellow"/>
          <w:lang w:val="ro-RO"/>
        </w:rPr>
      </w:pPr>
    </w:p>
    <w:p w14:paraId="4DED9678" w14:textId="77777777" w:rsidR="00FE3332" w:rsidRPr="00F171A3" w:rsidRDefault="00FE3332" w:rsidP="00FE3332">
      <w:pPr>
        <w:pStyle w:val="BoldCIVITTALightBlue"/>
        <w:rPr>
          <w:lang w:val="ro-RO"/>
        </w:rPr>
      </w:pPr>
      <w:r w:rsidRPr="00F171A3">
        <w:rPr>
          <w:lang w:val="ro-RO"/>
        </w:rPr>
        <w:t>12. Care sunt cele mai importante 3 avantaje sau resurse, pe care le oferă Sectorul 2 si care pot fi valorificate pentru dezvoltarea sectorului?</w:t>
      </w:r>
    </w:p>
    <w:p w14:paraId="2EB26305" w14:textId="77777777" w:rsidR="00FE3332" w:rsidRPr="00F171A3" w:rsidRDefault="00FE3332" w:rsidP="00FE3332">
      <w:r w:rsidRPr="00F171A3">
        <w:t>Raportat la informațiile furnizate de către respondenți, următoarele aspecte reprezintă principalele avantaje sau resurse pe care le oferă Sectorul 2 și pot fi valorificate pentru dezvoltarea acestuia:</w:t>
      </w:r>
    </w:p>
    <w:p w14:paraId="0C8D801A"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7F993C32" wp14:editId="4B5E5954">
            <wp:extent cx="5917721" cy="4744529"/>
            <wp:effectExtent l="38100" t="0" r="45085" b="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6" r:lo="rId237" r:qs="rId238" r:cs="rId239"/>
              </a:graphicData>
            </a:graphic>
          </wp:inline>
        </w:drawing>
      </w:r>
    </w:p>
    <w:p w14:paraId="7692DC49" w14:textId="77777777" w:rsidR="00FC4217" w:rsidRPr="00F171A3" w:rsidRDefault="00FC4217" w:rsidP="00FE3332">
      <w:pPr>
        <w:pStyle w:val="BoldCIVITTALightBlue"/>
        <w:rPr>
          <w:lang w:val="ro-RO"/>
        </w:rPr>
      </w:pPr>
    </w:p>
    <w:p w14:paraId="2B780B49" w14:textId="7D95CAD2" w:rsidR="00FE3332" w:rsidRPr="00F171A3" w:rsidRDefault="00FE3332" w:rsidP="00FE3332">
      <w:pPr>
        <w:pStyle w:val="BoldCIVITTALightBlue"/>
        <w:rPr>
          <w:lang w:val="ro-RO"/>
        </w:rPr>
      </w:pPr>
      <w:r w:rsidRPr="00F171A3">
        <w:rPr>
          <w:lang w:val="ro-RO"/>
        </w:rPr>
        <w:t>13. Care sunt principalele motive pentru care locuiți în Sectorul 2 sau alegeți să locuiți aici în continuare? Vă rugăm să acordați o notă de la 1 (cel mai puțin important) la 5 (cel mai important) pentru următoarele criterii:</w:t>
      </w:r>
    </w:p>
    <w:p w14:paraId="3755BEF2" w14:textId="77777777" w:rsidR="00FE3332" w:rsidRPr="00F171A3" w:rsidRDefault="00FE3332" w:rsidP="00FE3332">
      <w:r w:rsidRPr="00F171A3">
        <w:t>In ierarhia principalelor motive pentru care respondenții locuiesc în Sectorul 2 sau aleg să locuiască aici, aceștia au poziționat pe primele locuri calitatea locuirii (locuință individuală, curte, garaj etc) (3,11/5) și accesul la servicii de recreere și agrement (3,01/5). Costul mai redus al vieții (utilități, taxe și impozite locale) este cel mai nesemnificativ motiv pentru care respondenții locuiesc în Sectorul 2, cu cea mai mică medie a notelor acordate de 2,28/5. Prin urmare, raportat la media notelor acordate motivelor pentru a locui în Sectorul 2, acestea au fost ierarhizate de la cele mai importante, la cele mai puțin importante după cum urmează:</w:t>
      </w:r>
    </w:p>
    <w:p w14:paraId="6F8B1211" w14:textId="77777777" w:rsidR="00FE3332" w:rsidRPr="00F171A3" w:rsidRDefault="00FE3332">
      <w:pPr>
        <w:pStyle w:val="Bullet"/>
        <w:numPr>
          <w:ilvl w:val="0"/>
          <w:numId w:val="38"/>
        </w:numPr>
      </w:pPr>
      <w:r w:rsidRPr="00F171A3">
        <w:t>Calitatea locuirii (locuință individuală, curte, garaj etc) (3,11/5);</w:t>
      </w:r>
    </w:p>
    <w:p w14:paraId="4541134E" w14:textId="77777777" w:rsidR="00FE3332" w:rsidRPr="00F171A3" w:rsidRDefault="00FE3332">
      <w:pPr>
        <w:pStyle w:val="Bullet"/>
        <w:numPr>
          <w:ilvl w:val="0"/>
          <w:numId w:val="38"/>
        </w:numPr>
      </w:pPr>
      <w:r w:rsidRPr="00F171A3">
        <w:t>Accesul la servicii de recreere și agrement (3,01/5);</w:t>
      </w:r>
    </w:p>
    <w:p w14:paraId="6C8E7E5C" w14:textId="77777777" w:rsidR="00FE3332" w:rsidRPr="00F171A3" w:rsidRDefault="00FE3332">
      <w:pPr>
        <w:pStyle w:val="Bullet"/>
        <w:numPr>
          <w:ilvl w:val="0"/>
          <w:numId w:val="38"/>
        </w:numPr>
      </w:pPr>
      <w:r w:rsidRPr="00F171A3">
        <w:t>Apropierea de locul de muncă (2,93/5);</w:t>
      </w:r>
    </w:p>
    <w:p w14:paraId="31928642" w14:textId="77777777" w:rsidR="00FE3332" w:rsidRPr="00F171A3" w:rsidRDefault="00FE3332">
      <w:pPr>
        <w:pStyle w:val="Bullet"/>
        <w:numPr>
          <w:ilvl w:val="0"/>
          <w:numId w:val="38"/>
        </w:numPr>
      </w:pPr>
      <w:r w:rsidRPr="00F171A3">
        <w:t>Accesul la servicii de sănătate (2,89/5);</w:t>
      </w:r>
    </w:p>
    <w:p w14:paraId="5D356F1C" w14:textId="77777777" w:rsidR="00FE3332" w:rsidRPr="00F171A3" w:rsidRDefault="00FE3332">
      <w:pPr>
        <w:pStyle w:val="Bullet"/>
        <w:numPr>
          <w:ilvl w:val="0"/>
          <w:numId w:val="38"/>
        </w:numPr>
      </w:pPr>
      <w:r w:rsidRPr="00F171A3">
        <w:t>Prețul locuinței (2,83/5);</w:t>
      </w:r>
    </w:p>
    <w:p w14:paraId="65F47CE8" w14:textId="77777777" w:rsidR="00FE3332" w:rsidRPr="00F171A3" w:rsidRDefault="00FE3332">
      <w:pPr>
        <w:pStyle w:val="Bullet"/>
        <w:numPr>
          <w:ilvl w:val="0"/>
          <w:numId w:val="38"/>
        </w:numPr>
      </w:pPr>
      <w:r w:rsidRPr="00F171A3">
        <w:t>Accesul la servicii de educație (2,77/5);</w:t>
      </w:r>
    </w:p>
    <w:p w14:paraId="6F68B428" w14:textId="77777777" w:rsidR="00FE3332" w:rsidRPr="00F171A3" w:rsidRDefault="00FE3332">
      <w:pPr>
        <w:pStyle w:val="Bullet"/>
        <w:numPr>
          <w:ilvl w:val="0"/>
          <w:numId w:val="38"/>
        </w:numPr>
      </w:pPr>
      <w:r w:rsidRPr="00F171A3">
        <w:t>Infrastructura de transport (auto, biciclete, transport public) (2,72/5);</w:t>
      </w:r>
    </w:p>
    <w:p w14:paraId="1ED4679B" w14:textId="77777777" w:rsidR="00FE3332" w:rsidRPr="00F171A3" w:rsidRDefault="00FE3332">
      <w:pPr>
        <w:pStyle w:val="Bullet"/>
        <w:numPr>
          <w:ilvl w:val="0"/>
          <w:numId w:val="38"/>
        </w:numPr>
      </w:pPr>
      <w:r w:rsidRPr="00F171A3">
        <w:t>Mediul curat (spații verzi, lacuri, calitatea aerului, curățenie) (2,68/5);</w:t>
      </w:r>
    </w:p>
    <w:p w14:paraId="55976F90" w14:textId="77777777" w:rsidR="00FE3332" w:rsidRPr="00F171A3" w:rsidRDefault="00FE3332">
      <w:pPr>
        <w:pStyle w:val="Bullet"/>
        <w:numPr>
          <w:ilvl w:val="0"/>
          <w:numId w:val="38"/>
        </w:numPr>
      </w:pPr>
      <w:r w:rsidRPr="00F171A3">
        <w:t>Viața socială a comunității (de ex. oportunitățile de socializare cu vecinii, modul de organizare al proprietarilor)</w:t>
      </w:r>
      <w:r w:rsidRPr="00F171A3">
        <w:tab/>
        <w:t>(2,52/5);</w:t>
      </w:r>
    </w:p>
    <w:p w14:paraId="2D9FC161" w14:textId="77777777" w:rsidR="00FE3332" w:rsidRPr="00F171A3" w:rsidRDefault="00FE3332">
      <w:pPr>
        <w:pStyle w:val="Bullet"/>
        <w:numPr>
          <w:ilvl w:val="0"/>
          <w:numId w:val="38"/>
        </w:numPr>
      </w:pPr>
      <w:r w:rsidRPr="00F171A3">
        <w:t>Accesul la evenimente culturale (2,44/5);</w:t>
      </w:r>
    </w:p>
    <w:p w14:paraId="64CA6673" w14:textId="77777777" w:rsidR="00FE3332" w:rsidRPr="00F171A3" w:rsidRDefault="00FE3332">
      <w:pPr>
        <w:pStyle w:val="Bullet"/>
        <w:numPr>
          <w:ilvl w:val="0"/>
          <w:numId w:val="38"/>
        </w:numPr>
      </w:pPr>
      <w:r w:rsidRPr="00F171A3">
        <w:t>Costul mai redus al vieții (utilități, taxe și impozite locale) (2,28/5).</w:t>
      </w:r>
    </w:p>
    <w:p w14:paraId="43C93D2B" w14:textId="77777777" w:rsidR="00FE3332" w:rsidRPr="00F171A3" w:rsidRDefault="00FE3332" w:rsidP="00FE3332">
      <w:r w:rsidRPr="00F171A3">
        <w:rPr>
          <w:noProof/>
        </w:rPr>
        <w:drawing>
          <wp:inline distT="0" distB="0" distL="0" distR="0" wp14:anchorId="1138C5C3" wp14:editId="4A07730D">
            <wp:extent cx="5869782" cy="4919662"/>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2B0FED20" w14:textId="77777777" w:rsidR="00FC4217" w:rsidRPr="00F171A3" w:rsidRDefault="00FC4217" w:rsidP="00FE3332">
      <w:pPr>
        <w:pStyle w:val="BoldCIVITTALightBlue"/>
        <w:rPr>
          <w:lang w:val="ro-RO"/>
        </w:rPr>
      </w:pPr>
    </w:p>
    <w:p w14:paraId="1A3C69F9" w14:textId="7B19E26A" w:rsidR="00FE3332" w:rsidRPr="00F171A3" w:rsidRDefault="00FE3332" w:rsidP="00FE3332">
      <w:pPr>
        <w:pStyle w:val="BoldCIVITTALightBlue"/>
        <w:rPr>
          <w:lang w:val="ro-RO"/>
        </w:rPr>
      </w:pPr>
      <w:r w:rsidRPr="00F171A3">
        <w:rPr>
          <w:lang w:val="ro-RO"/>
        </w:rPr>
        <w:t>14. Aveți și alte motive pentru care locuiți aici sau alegeți să locuiți în continuare? Vă rugăm să detaliați:</w:t>
      </w:r>
    </w:p>
    <w:p w14:paraId="1ABA36A6" w14:textId="77777777" w:rsidR="00FE3332" w:rsidRPr="00F171A3" w:rsidRDefault="00FE3332" w:rsidP="00FE3332">
      <w:r w:rsidRPr="00F171A3">
        <w:t>Alte motive pentru care respondenții locuiesc în zonă sau aleg să locuiască în continuare în zonă sunt următoarele:</w:t>
      </w:r>
    </w:p>
    <w:p w14:paraId="74CF32D4" w14:textId="77777777" w:rsidR="00FE3332" w:rsidRPr="00F171A3" w:rsidRDefault="00FE3332" w:rsidP="00FE3332">
      <w:r w:rsidRPr="00F171A3">
        <w:rPr>
          <w:noProof/>
        </w:rPr>
        <w:drawing>
          <wp:inline distT="0" distB="0" distL="0" distR="0" wp14:anchorId="1AD58FD1" wp14:editId="596C2CCF">
            <wp:extent cx="5486400" cy="2216989"/>
            <wp:effectExtent l="0" t="0" r="38100" b="12065"/>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2" r:lo="rId243" r:qs="rId244" r:cs="rId245"/>
              </a:graphicData>
            </a:graphic>
          </wp:inline>
        </w:drawing>
      </w:r>
    </w:p>
    <w:p w14:paraId="4BDDD584" w14:textId="77777777" w:rsidR="00FE3332" w:rsidRPr="00F171A3" w:rsidRDefault="00FE3332" w:rsidP="00FE3332"/>
    <w:p w14:paraId="18551561" w14:textId="77777777" w:rsidR="00FE3332" w:rsidRPr="00F171A3" w:rsidRDefault="00FE3332" w:rsidP="00FE3332"/>
    <w:p w14:paraId="1321D759" w14:textId="77777777" w:rsidR="00FE3332" w:rsidRPr="00F171A3" w:rsidRDefault="00FE3332" w:rsidP="00FE3332">
      <w:pPr>
        <w:pStyle w:val="ActionTitle0"/>
      </w:pPr>
      <w:r w:rsidRPr="00F171A3">
        <w:t>ACCESUL LA DOTĂRI ȘI SERVICII PUBLICE</w:t>
      </w:r>
    </w:p>
    <w:p w14:paraId="144F3226" w14:textId="77777777" w:rsidR="00FE3332" w:rsidRPr="00F171A3" w:rsidRDefault="00FE3332" w:rsidP="00FE3332">
      <w:pPr>
        <w:pStyle w:val="BoldCIVITTALightBlue"/>
        <w:rPr>
          <w:lang w:val="ro-RO"/>
        </w:rPr>
      </w:pPr>
      <w:r w:rsidRPr="00F171A3">
        <w:rPr>
          <w:lang w:val="ro-RO"/>
        </w:rPr>
        <w:t>15. Aveți acces la următoarele categorii de dotări în zona în care aveți reședința?</w:t>
      </w:r>
    </w:p>
    <w:p w14:paraId="3D4393DA" w14:textId="77777777" w:rsidR="00FE3332" w:rsidRPr="00F171A3" w:rsidRDefault="00FE3332" w:rsidP="00FE3332">
      <w:r w:rsidRPr="00F171A3">
        <w:t>Farmaciile, magazinele de cartier și magazinele de tip supermarket sau hypermarket sunt cele mai accesibile dotări din zonele de reședință ale Sectorului 2.</w:t>
      </w:r>
    </w:p>
    <w:p w14:paraId="648BE6F0" w14:textId="77777777" w:rsidR="00FE3332" w:rsidRPr="00F171A3" w:rsidRDefault="00FE3332" w:rsidP="00FE3332">
      <w:r w:rsidRPr="00F171A3">
        <w:t>Prin comparație, grădinițele, creșele și liceele sunt dotările cele mai puțin facile. În funcție de datele furnizate de către respondenți, de la cele mai accesibile dotări, la cele mai puțin accesibile, aceștia au evidențiat următoarea ierarhizare:</w:t>
      </w:r>
    </w:p>
    <w:p w14:paraId="66276FBC" w14:textId="77777777" w:rsidR="00FE3332" w:rsidRPr="00F171A3" w:rsidRDefault="00FE3332">
      <w:pPr>
        <w:pStyle w:val="Bullet"/>
        <w:numPr>
          <w:ilvl w:val="0"/>
          <w:numId w:val="38"/>
        </w:numPr>
      </w:pPr>
      <w:r w:rsidRPr="00F171A3">
        <w:t>Farmacie (93,8% confirmă accesul facil);</w:t>
      </w:r>
    </w:p>
    <w:p w14:paraId="11F66461" w14:textId="77777777" w:rsidR="00FE3332" w:rsidRPr="00F171A3" w:rsidRDefault="00FE3332">
      <w:pPr>
        <w:pStyle w:val="Bullet"/>
        <w:numPr>
          <w:ilvl w:val="0"/>
          <w:numId w:val="38"/>
        </w:numPr>
      </w:pPr>
      <w:r w:rsidRPr="00F171A3">
        <w:t>Magazin de cartier (92,6% confirmă accesul facil);</w:t>
      </w:r>
    </w:p>
    <w:p w14:paraId="347591FD" w14:textId="77777777" w:rsidR="00FE3332" w:rsidRPr="00F171A3" w:rsidRDefault="00FE3332">
      <w:pPr>
        <w:pStyle w:val="Bullet"/>
        <w:numPr>
          <w:ilvl w:val="0"/>
          <w:numId w:val="38"/>
        </w:numPr>
      </w:pPr>
      <w:r w:rsidRPr="00F171A3">
        <w:t>Magazine de tip supermarket și/sau hypermarket (83,6% confirmă accesul facil);</w:t>
      </w:r>
    </w:p>
    <w:p w14:paraId="1D6E6BF5" w14:textId="77777777" w:rsidR="00FE3332" w:rsidRPr="00F171A3" w:rsidRDefault="00FE3332">
      <w:pPr>
        <w:pStyle w:val="Bullet"/>
        <w:numPr>
          <w:ilvl w:val="0"/>
          <w:numId w:val="38"/>
        </w:numPr>
      </w:pPr>
      <w:r w:rsidRPr="00F171A3">
        <w:t>Stații de transport în comun (78,6% confirmă accesul facil);</w:t>
      </w:r>
    </w:p>
    <w:p w14:paraId="30304FB3" w14:textId="77777777" w:rsidR="00FE3332" w:rsidRPr="00F171A3" w:rsidRDefault="00FE3332">
      <w:pPr>
        <w:pStyle w:val="Bullet"/>
        <w:numPr>
          <w:ilvl w:val="0"/>
          <w:numId w:val="38"/>
        </w:numPr>
      </w:pPr>
      <w:r w:rsidRPr="00F171A3">
        <w:t>Alimentație publică (restaurant, bar, cafenea, patiserie etc)</w:t>
      </w:r>
      <w:r w:rsidRPr="00F171A3">
        <w:tab/>
        <w:t xml:space="preserve"> (62,2% confirmă accesul facil);</w:t>
      </w:r>
    </w:p>
    <w:p w14:paraId="486E5A9F" w14:textId="77777777" w:rsidR="00FE3332" w:rsidRPr="00F171A3" w:rsidRDefault="00FE3332">
      <w:pPr>
        <w:pStyle w:val="Bullet"/>
        <w:numPr>
          <w:ilvl w:val="0"/>
          <w:numId w:val="38"/>
        </w:numPr>
      </w:pPr>
      <w:r w:rsidRPr="00F171A3">
        <w:t>Piață agroalimentară</w:t>
      </w:r>
      <w:r w:rsidRPr="00F171A3">
        <w:tab/>
        <w:t>(57,1% confirmă accesul facil);</w:t>
      </w:r>
    </w:p>
    <w:p w14:paraId="4C97625F" w14:textId="77777777" w:rsidR="00FE3332" w:rsidRPr="00F171A3" w:rsidRDefault="00FE3332">
      <w:pPr>
        <w:pStyle w:val="Bullet"/>
        <w:numPr>
          <w:ilvl w:val="0"/>
          <w:numId w:val="38"/>
        </w:numPr>
      </w:pPr>
      <w:r w:rsidRPr="00F171A3">
        <w:t>Cabinet medical (53,5% confirmă accesul facil);</w:t>
      </w:r>
    </w:p>
    <w:p w14:paraId="66A5C3D4" w14:textId="77777777" w:rsidR="00FE3332" w:rsidRPr="00F171A3" w:rsidRDefault="00FE3332">
      <w:pPr>
        <w:pStyle w:val="Bullet"/>
        <w:numPr>
          <w:ilvl w:val="0"/>
          <w:numId w:val="38"/>
        </w:numPr>
      </w:pPr>
      <w:r w:rsidRPr="00F171A3">
        <w:t>Școală</w:t>
      </w:r>
      <w:r w:rsidRPr="00F171A3">
        <w:tab/>
        <w:t>(45,8% confirmă accesul facil);</w:t>
      </w:r>
    </w:p>
    <w:p w14:paraId="00569CBF" w14:textId="77777777" w:rsidR="00FE3332" w:rsidRPr="00F171A3" w:rsidRDefault="00FE3332">
      <w:pPr>
        <w:pStyle w:val="Bullet"/>
        <w:numPr>
          <w:ilvl w:val="0"/>
          <w:numId w:val="38"/>
        </w:numPr>
      </w:pPr>
      <w:r w:rsidRPr="00F171A3">
        <w:t>Grădiniță/creșă (34,6% confirmă accesul facil);</w:t>
      </w:r>
    </w:p>
    <w:p w14:paraId="15C8011D" w14:textId="77777777" w:rsidR="00FE3332" w:rsidRPr="00F171A3" w:rsidRDefault="00FE3332">
      <w:pPr>
        <w:pStyle w:val="Bullet"/>
        <w:numPr>
          <w:ilvl w:val="0"/>
          <w:numId w:val="38"/>
        </w:numPr>
      </w:pPr>
      <w:r w:rsidRPr="00F171A3">
        <w:t>Liceu (34,1% confirmă accesul facil).</w:t>
      </w:r>
    </w:p>
    <w:p w14:paraId="34DF7214" w14:textId="77777777" w:rsidR="00FE3332" w:rsidRPr="00F171A3" w:rsidRDefault="00FE3332" w:rsidP="00FE3332">
      <w:r w:rsidRPr="00F171A3">
        <w:rPr>
          <w:noProof/>
        </w:rPr>
        <w:drawing>
          <wp:inline distT="0" distB="0" distL="0" distR="0" wp14:anchorId="74260A66" wp14:editId="7269F346">
            <wp:extent cx="5952226" cy="2631056"/>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661522B0" w14:textId="77777777" w:rsidR="00FC4217" w:rsidRPr="00F171A3" w:rsidRDefault="00FC4217" w:rsidP="00FE3332">
      <w:pPr>
        <w:pStyle w:val="BoldCIVITTALightBlue"/>
        <w:rPr>
          <w:lang w:val="ro-RO"/>
        </w:rPr>
      </w:pPr>
    </w:p>
    <w:p w14:paraId="7B28487A" w14:textId="25FFEC33" w:rsidR="00FE3332" w:rsidRPr="00F171A3" w:rsidRDefault="00FE3332" w:rsidP="00FE3332">
      <w:pPr>
        <w:pStyle w:val="BoldCIVITTALightBlue"/>
        <w:rPr>
          <w:lang w:val="ro-RO"/>
        </w:rPr>
      </w:pPr>
      <w:r w:rsidRPr="00F171A3">
        <w:rPr>
          <w:lang w:val="ro-RO"/>
        </w:rPr>
        <w:t>16. Dacă există și alte dotări la care aveți/nu aveți acces, vă rugăm să detaliați:</w:t>
      </w:r>
    </w:p>
    <w:p w14:paraId="53717338" w14:textId="77777777" w:rsidR="00FE3332" w:rsidRPr="00F171A3" w:rsidRDefault="00FE3332" w:rsidP="00FE3332">
      <w:r w:rsidRPr="00F171A3">
        <w:t>Respondenți, pe lângă cele anterior punctate, mai menționează următoarele dotări cu dificil accesibile:</w:t>
      </w:r>
    </w:p>
    <w:p w14:paraId="425E11C5" w14:textId="77777777" w:rsidR="00FE3332" w:rsidRPr="00F171A3" w:rsidRDefault="00FE3332">
      <w:pPr>
        <w:pStyle w:val="Bullet"/>
        <w:numPr>
          <w:ilvl w:val="0"/>
          <w:numId w:val="38"/>
        </w:numPr>
      </w:pPr>
      <w:r w:rsidRPr="00F171A3">
        <w:t>Acces dificil la metrou (ex. din zona Obor; lipsa ascensor pentru persoane cu deficiențe locomotorii);</w:t>
      </w:r>
    </w:p>
    <w:p w14:paraId="2DDC9805" w14:textId="77777777" w:rsidR="00FE3332" w:rsidRPr="00F171A3" w:rsidRDefault="00FE3332">
      <w:pPr>
        <w:pStyle w:val="Bullet"/>
        <w:numPr>
          <w:ilvl w:val="0"/>
          <w:numId w:val="38"/>
        </w:numPr>
      </w:pPr>
      <w:r w:rsidRPr="00F171A3">
        <w:t>Acces dificil la locuri de parcare de reședință;</w:t>
      </w:r>
    </w:p>
    <w:p w14:paraId="02C0CF69" w14:textId="77777777" w:rsidR="00FE3332" w:rsidRPr="00F171A3" w:rsidRDefault="00FE3332">
      <w:pPr>
        <w:pStyle w:val="Bullet"/>
        <w:numPr>
          <w:ilvl w:val="0"/>
          <w:numId w:val="38"/>
        </w:numPr>
      </w:pPr>
      <w:r w:rsidRPr="00F171A3">
        <w:t>Acces dificil la piste pentru biciclete;</w:t>
      </w:r>
    </w:p>
    <w:p w14:paraId="39E1AF95" w14:textId="77777777" w:rsidR="00FE3332" w:rsidRPr="00F171A3" w:rsidRDefault="00FE3332">
      <w:pPr>
        <w:pStyle w:val="Bullet"/>
        <w:numPr>
          <w:ilvl w:val="0"/>
          <w:numId w:val="38"/>
        </w:numPr>
      </w:pPr>
      <w:r w:rsidRPr="00F171A3">
        <w:t>Acces dificil la procesul de colectare selectivă a deșeurilor;</w:t>
      </w:r>
    </w:p>
    <w:p w14:paraId="2219C911" w14:textId="77777777" w:rsidR="00FE3332" w:rsidRPr="00F171A3" w:rsidRDefault="00FE3332">
      <w:pPr>
        <w:pStyle w:val="Bullet"/>
        <w:numPr>
          <w:ilvl w:val="0"/>
          <w:numId w:val="38"/>
        </w:numPr>
      </w:pPr>
      <w:r w:rsidRPr="00F171A3">
        <w:t>Acces dificil trotuare din cauza autoturismelor parcate pe spațiul acestora;</w:t>
      </w:r>
    </w:p>
    <w:p w14:paraId="524344CD" w14:textId="77777777" w:rsidR="00FE3332" w:rsidRPr="00F171A3" w:rsidRDefault="00FE3332">
      <w:pPr>
        <w:pStyle w:val="Bullet"/>
        <w:numPr>
          <w:ilvl w:val="0"/>
          <w:numId w:val="38"/>
        </w:numPr>
      </w:pPr>
      <w:r w:rsidRPr="00F171A3">
        <w:t>Lipsă acces rampe de acces pentru persoane cu dizabilități în zonele de intersecții, trotuare;</w:t>
      </w:r>
    </w:p>
    <w:p w14:paraId="79B34C14" w14:textId="77777777" w:rsidR="00FE3332" w:rsidRPr="00F171A3" w:rsidRDefault="00FE3332">
      <w:pPr>
        <w:pStyle w:val="Bullet"/>
        <w:numPr>
          <w:ilvl w:val="0"/>
          <w:numId w:val="38"/>
        </w:numPr>
      </w:pPr>
      <w:r w:rsidRPr="00F171A3">
        <w:t>Acces dificil evenimente culturale variate.</w:t>
      </w:r>
    </w:p>
    <w:p w14:paraId="6E7A92C6" w14:textId="77777777" w:rsidR="00FE3332" w:rsidRPr="00F171A3" w:rsidRDefault="00FE3332" w:rsidP="00FE3332">
      <w:r w:rsidRPr="00F171A3">
        <w:t>Respondenți, pe lângă cele de mai sus, mai menționează următoarele dotări cu acces facil:</w:t>
      </w:r>
    </w:p>
    <w:p w14:paraId="6F5DAB57" w14:textId="77777777" w:rsidR="00FE3332" w:rsidRPr="00F171A3" w:rsidRDefault="00FE3332">
      <w:pPr>
        <w:pStyle w:val="Bullet"/>
        <w:numPr>
          <w:ilvl w:val="0"/>
          <w:numId w:val="38"/>
        </w:numPr>
        <w:rPr>
          <w:noProof/>
        </w:rPr>
      </w:pPr>
      <w:r w:rsidRPr="00F171A3">
        <w:rPr>
          <w:noProof/>
        </w:rPr>
        <w:t>Acces facil la sediile Bibliotecii Metropolitane;</w:t>
      </w:r>
    </w:p>
    <w:p w14:paraId="77831AB8" w14:textId="77777777" w:rsidR="00FE3332" w:rsidRPr="00F171A3" w:rsidRDefault="00FE3332">
      <w:pPr>
        <w:pStyle w:val="Bullet"/>
        <w:numPr>
          <w:ilvl w:val="0"/>
          <w:numId w:val="38"/>
        </w:numPr>
        <w:rPr>
          <w:noProof/>
        </w:rPr>
      </w:pPr>
      <w:r w:rsidRPr="00F171A3">
        <w:rPr>
          <w:noProof/>
        </w:rPr>
        <w:t>Acces facil la metrou;</w:t>
      </w:r>
    </w:p>
    <w:p w14:paraId="7BA4F742" w14:textId="77777777" w:rsidR="00FE3332" w:rsidRPr="00F171A3" w:rsidRDefault="00FE3332">
      <w:pPr>
        <w:pStyle w:val="Bullet"/>
        <w:numPr>
          <w:ilvl w:val="0"/>
          <w:numId w:val="38"/>
        </w:numPr>
        <w:rPr>
          <w:noProof/>
        </w:rPr>
      </w:pPr>
      <w:r w:rsidRPr="00F171A3">
        <w:rPr>
          <w:noProof/>
        </w:rPr>
        <w:t>Acces facil la parc;</w:t>
      </w:r>
    </w:p>
    <w:p w14:paraId="02AE86E8" w14:textId="77777777" w:rsidR="00FE3332" w:rsidRPr="00F171A3" w:rsidRDefault="00FE3332">
      <w:pPr>
        <w:pStyle w:val="Bullet"/>
        <w:numPr>
          <w:ilvl w:val="0"/>
          <w:numId w:val="38"/>
        </w:numPr>
        <w:rPr>
          <w:noProof/>
        </w:rPr>
      </w:pPr>
      <w:r w:rsidRPr="00F171A3">
        <w:rPr>
          <w:noProof/>
        </w:rPr>
        <w:t>Acces facil la spații verzi;</w:t>
      </w:r>
    </w:p>
    <w:p w14:paraId="7C7A235B" w14:textId="77777777" w:rsidR="00FE3332" w:rsidRPr="00F171A3" w:rsidRDefault="00FE3332">
      <w:pPr>
        <w:pStyle w:val="Bullet"/>
        <w:numPr>
          <w:ilvl w:val="0"/>
          <w:numId w:val="38"/>
        </w:numPr>
        <w:rPr>
          <w:noProof/>
        </w:rPr>
      </w:pPr>
      <w:r w:rsidRPr="00F171A3">
        <w:rPr>
          <w:noProof/>
        </w:rPr>
        <w:t>Acces facil la bazin de înot;</w:t>
      </w:r>
    </w:p>
    <w:p w14:paraId="74AB5949" w14:textId="77777777" w:rsidR="00FE3332" w:rsidRPr="00F171A3" w:rsidRDefault="00FE3332">
      <w:pPr>
        <w:pStyle w:val="Bullet"/>
        <w:numPr>
          <w:ilvl w:val="0"/>
          <w:numId w:val="38"/>
        </w:numPr>
        <w:rPr>
          <w:noProof/>
        </w:rPr>
      </w:pPr>
      <w:r w:rsidRPr="00F171A3">
        <w:rPr>
          <w:noProof/>
        </w:rPr>
        <w:t>Acces facil la servicii medicale;</w:t>
      </w:r>
    </w:p>
    <w:p w14:paraId="6C8D46C5" w14:textId="77777777" w:rsidR="00FE3332" w:rsidRPr="00F171A3" w:rsidRDefault="00FE3332">
      <w:pPr>
        <w:pStyle w:val="Bullet"/>
        <w:numPr>
          <w:ilvl w:val="0"/>
          <w:numId w:val="38"/>
        </w:numPr>
        <w:rPr>
          <w:noProof/>
        </w:rPr>
      </w:pPr>
      <w:r w:rsidRPr="00F171A3">
        <w:rPr>
          <w:noProof/>
        </w:rPr>
        <w:t>Acces facil la servicii bancare;</w:t>
      </w:r>
    </w:p>
    <w:p w14:paraId="02E0DA26" w14:textId="77777777" w:rsidR="00FE3332" w:rsidRPr="00F171A3" w:rsidRDefault="00FE3332">
      <w:pPr>
        <w:pStyle w:val="Bullet"/>
        <w:numPr>
          <w:ilvl w:val="0"/>
          <w:numId w:val="38"/>
        </w:numPr>
        <w:rPr>
          <w:noProof/>
        </w:rPr>
      </w:pPr>
      <w:r w:rsidRPr="00F171A3">
        <w:rPr>
          <w:noProof/>
        </w:rPr>
        <w:t>Acces facil sală de sport.</w:t>
      </w:r>
    </w:p>
    <w:p w14:paraId="6BCE113A" w14:textId="77777777" w:rsidR="00FC4217" w:rsidRPr="00F171A3" w:rsidRDefault="00FC4217" w:rsidP="00FE3332">
      <w:pPr>
        <w:pStyle w:val="BoldCIVITTALightBlue"/>
        <w:rPr>
          <w:lang w:val="ro-RO"/>
        </w:rPr>
      </w:pPr>
    </w:p>
    <w:p w14:paraId="071D8A8C" w14:textId="53E0A2B0" w:rsidR="00FE3332" w:rsidRPr="00F171A3" w:rsidRDefault="00FE3332" w:rsidP="00FE3332">
      <w:pPr>
        <w:pStyle w:val="BoldCIVITTALightBlue"/>
        <w:rPr>
          <w:lang w:val="ro-RO"/>
        </w:rPr>
      </w:pPr>
      <w:r w:rsidRPr="00F171A3">
        <w:rPr>
          <w:lang w:val="ro-RO"/>
        </w:rPr>
        <w:t>17. Cât de mulțumit/ă sunteți de următoarele servicii publice?</w:t>
      </w:r>
    </w:p>
    <w:p w14:paraId="1358CCD2" w14:textId="77777777" w:rsidR="00FE3332" w:rsidRPr="00F171A3" w:rsidRDefault="00FE3332" w:rsidP="00FE3332">
      <w:r w:rsidRPr="00F171A3">
        <w:t>Respondenții acestui sondaj  tind să fie în cea mai mare măsură mai mulțumiți de serviciile de telecomunicații, de serviciile de alimentare cu energie electrică și de serviciile de alimentare cu apă potabilă. Cel mai scăzut nivel de mulțumire este exprimat în raport cu curățenia și managementul deșeurilor. În funcție de nivelul de mulțumire al respondenților, aspectele abordate au fost ierarhizate în următorul fel, de la cele mai satisfăcătoare la cele mai puțin satisfăcătoare:</w:t>
      </w:r>
    </w:p>
    <w:p w14:paraId="50B641FC" w14:textId="77777777" w:rsidR="00FE3332" w:rsidRPr="00F171A3" w:rsidRDefault="00FE3332">
      <w:pPr>
        <w:pStyle w:val="Bullet"/>
        <w:numPr>
          <w:ilvl w:val="0"/>
          <w:numId w:val="50"/>
        </w:numPr>
      </w:pPr>
      <w:r w:rsidRPr="00F171A3">
        <w:t>Telecomunicațiile (86,6% dintre respondenți se declară mulțumiți și foarte mulțumiți);</w:t>
      </w:r>
    </w:p>
    <w:p w14:paraId="7B0E49DB" w14:textId="77777777" w:rsidR="00FE3332" w:rsidRPr="00F171A3" w:rsidRDefault="00FE3332">
      <w:pPr>
        <w:pStyle w:val="Bullet"/>
        <w:numPr>
          <w:ilvl w:val="0"/>
          <w:numId w:val="50"/>
        </w:numPr>
      </w:pPr>
      <w:r w:rsidRPr="00F171A3">
        <w:t>Alimentarea cu energie electrică (85,0% dintre respondenți se declară mulțumiți și foarte mulțumiți);</w:t>
      </w:r>
    </w:p>
    <w:p w14:paraId="6E344EE4" w14:textId="77777777" w:rsidR="00FE3332" w:rsidRPr="00F171A3" w:rsidRDefault="00FE3332">
      <w:pPr>
        <w:pStyle w:val="Bullet"/>
        <w:numPr>
          <w:ilvl w:val="0"/>
          <w:numId w:val="50"/>
        </w:numPr>
      </w:pPr>
      <w:r w:rsidRPr="00F171A3">
        <w:t>Alimentarea cu apă potabilă</w:t>
      </w:r>
      <w:r w:rsidRPr="00F171A3">
        <w:tab/>
        <w:t>(76,2% dintre respondenți se declară mulțumiți și foarte mulțumiți);</w:t>
      </w:r>
    </w:p>
    <w:p w14:paraId="67C3763D" w14:textId="77777777" w:rsidR="00FE3332" w:rsidRPr="00F171A3" w:rsidRDefault="00FE3332">
      <w:pPr>
        <w:pStyle w:val="Bullet"/>
        <w:numPr>
          <w:ilvl w:val="0"/>
          <w:numId w:val="50"/>
        </w:numPr>
      </w:pPr>
      <w:r w:rsidRPr="00F171A3">
        <w:t>Canalizarea (68,4% dintre respondenți se declară mulțumiți și foarte mulțumiți);</w:t>
      </w:r>
    </w:p>
    <w:p w14:paraId="509BF446" w14:textId="77777777" w:rsidR="00FE3332" w:rsidRPr="00F171A3" w:rsidRDefault="00FE3332">
      <w:pPr>
        <w:pStyle w:val="Bullet"/>
        <w:numPr>
          <w:ilvl w:val="0"/>
          <w:numId w:val="50"/>
        </w:numPr>
      </w:pPr>
      <w:r w:rsidRPr="00F171A3">
        <w:t>Serviciile de urgență (salvare, pompieri, poliție) (62,4% dintre respondenți se declară mulțumiți și foarte mulțumiți);</w:t>
      </w:r>
    </w:p>
    <w:p w14:paraId="09F713C6" w14:textId="77777777" w:rsidR="00FE3332" w:rsidRPr="00F171A3" w:rsidRDefault="00FE3332">
      <w:pPr>
        <w:pStyle w:val="Bullet"/>
        <w:numPr>
          <w:ilvl w:val="0"/>
          <w:numId w:val="50"/>
        </w:numPr>
      </w:pPr>
      <w:r w:rsidRPr="00F171A3">
        <w:t>Iluminatul public (49,3% dintre respondenți se declară mulțumiți și foarte mulțumiți);</w:t>
      </w:r>
    </w:p>
    <w:p w14:paraId="66BE4D72" w14:textId="77777777" w:rsidR="00FE3332" w:rsidRPr="00F171A3" w:rsidRDefault="00FE3332">
      <w:pPr>
        <w:pStyle w:val="Bullet"/>
        <w:numPr>
          <w:ilvl w:val="0"/>
          <w:numId w:val="50"/>
        </w:numPr>
      </w:pPr>
      <w:r w:rsidRPr="00F171A3">
        <w:t>Transportul în comun</w:t>
      </w:r>
      <w:r w:rsidRPr="00F171A3">
        <w:tab/>
        <w:t>(36,6% dintre respondenți se declară mulțumiți și foarte mulțumiți);</w:t>
      </w:r>
    </w:p>
    <w:p w14:paraId="2DAE094C" w14:textId="77777777" w:rsidR="00FE3332" w:rsidRPr="00F171A3" w:rsidRDefault="00FE3332">
      <w:pPr>
        <w:pStyle w:val="Bullet"/>
        <w:numPr>
          <w:ilvl w:val="0"/>
          <w:numId w:val="50"/>
        </w:numPr>
      </w:pPr>
      <w:r w:rsidRPr="00F171A3">
        <w:t>Administrarea parcurilor/spațiilor verzi (28,5% dintre respondenți se declară mulțumiți și foarte mulțumiți);</w:t>
      </w:r>
    </w:p>
    <w:p w14:paraId="08A77E42" w14:textId="77777777" w:rsidR="00FE3332" w:rsidRPr="00F171A3" w:rsidRDefault="00FE3332">
      <w:pPr>
        <w:pStyle w:val="Bullet"/>
        <w:numPr>
          <w:ilvl w:val="0"/>
          <w:numId w:val="50"/>
        </w:numPr>
      </w:pPr>
      <w:r w:rsidRPr="00F171A3">
        <w:t>Siguranța și ordinea publică (22,6% dintre respondenți se declară mulțumiți și foarte mulțumiți);</w:t>
      </w:r>
    </w:p>
    <w:p w14:paraId="1CA34EB2" w14:textId="77777777" w:rsidR="00FE3332" w:rsidRPr="00F171A3" w:rsidRDefault="00FE3332">
      <w:pPr>
        <w:pStyle w:val="Bullet"/>
        <w:numPr>
          <w:ilvl w:val="0"/>
          <w:numId w:val="50"/>
        </w:numPr>
      </w:pPr>
      <w:r w:rsidRPr="00F171A3">
        <w:t>Curățenia și managementul deșeurilor (17,1% dintre respondenți se declară mulțumiți și foarte mulțumiți).</w:t>
      </w:r>
    </w:p>
    <w:p w14:paraId="400EB64A"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65A6A6F5" wp14:editId="455FFFD0">
            <wp:extent cx="5943600" cy="4149305"/>
            <wp:effectExtent l="0" t="0" r="0" b="38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0F74147F" w14:textId="77777777" w:rsidR="00FE3332" w:rsidRPr="00F171A3" w:rsidRDefault="00FE3332" w:rsidP="00FE3332">
      <w:pPr>
        <w:pStyle w:val="BoldCIVITTALightBlue"/>
        <w:rPr>
          <w:lang w:val="ro-RO"/>
        </w:rPr>
      </w:pPr>
    </w:p>
    <w:p w14:paraId="1E5AEED7" w14:textId="77777777" w:rsidR="00FC4217" w:rsidRPr="00F171A3" w:rsidRDefault="00FC4217" w:rsidP="00FE3332">
      <w:pPr>
        <w:pStyle w:val="BoldCIVITTALightBlue"/>
        <w:rPr>
          <w:lang w:val="ro-RO"/>
        </w:rPr>
      </w:pPr>
    </w:p>
    <w:p w14:paraId="7342F6EB" w14:textId="5B77CF5C" w:rsidR="00FE3332" w:rsidRPr="00F171A3" w:rsidRDefault="00FE3332" w:rsidP="00FE3332">
      <w:pPr>
        <w:pStyle w:val="BoldCIVITTALightBlue"/>
        <w:rPr>
          <w:lang w:val="ro-RO"/>
        </w:rPr>
      </w:pPr>
      <w:r w:rsidRPr="00F171A3">
        <w:rPr>
          <w:lang w:val="ro-RO"/>
        </w:rPr>
        <w:t>18. Cât de mulțumit/ă sunteți de infrastructura de transport din Sectorul2? Vă rugăm să acordați o notă de la 1 (min.) la 5 (max.) pentru următoarele criterii:</w:t>
      </w:r>
    </w:p>
    <w:p w14:paraId="6B078AB5" w14:textId="7A325661" w:rsidR="00FE3332" w:rsidRPr="00F171A3" w:rsidRDefault="00FE3332" w:rsidP="00FE3332">
      <w:r w:rsidRPr="00F171A3">
        <w:t>În ceea ce privește infrastructura de transport, media notelor acordate este cuprinsă între 1,66 și 3,3. Elementele cele mai satisfăcătoare, cărora respondenții le-au acordat cele mai mari note (peste 2,5/5) sunt iluminatul public cu media notelor acordate de 3,3/5 și elementele de siguranță rutieră, inclusiv semafoarele, cu o medie a notelor acordate de 2,54/5. Opus acestora, elementele notate cu cele mai nefavorabile note sunt locurile de parcare cu o medie a notelor acordate de 1,66/5 și trotuarele și pistele pentru bicicliști, cu o medie a notelor acordate de 1,87/5. Prin urmare, de la cele mai satisfăcătoare aspecte de infrastructura de transport, la cele mai puțin satisfăcătoare, aceste au fost ierarhizate de către respondenți în următorul fel:</w:t>
      </w:r>
    </w:p>
    <w:p w14:paraId="1B612CFB" w14:textId="77777777" w:rsidR="00FE3332" w:rsidRPr="00F171A3" w:rsidRDefault="00FE3332">
      <w:pPr>
        <w:pStyle w:val="Bullet"/>
        <w:numPr>
          <w:ilvl w:val="0"/>
          <w:numId w:val="51"/>
        </w:numPr>
      </w:pPr>
      <w:r w:rsidRPr="00F171A3">
        <w:t>Iluminat public (media 3,3/5);</w:t>
      </w:r>
    </w:p>
    <w:p w14:paraId="7A0749F5" w14:textId="77777777" w:rsidR="00FE3332" w:rsidRPr="00F171A3" w:rsidRDefault="00FE3332">
      <w:pPr>
        <w:pStyle w:val="Bullet"/>
        <w:numPr>
          <w:ilvl w:val="0"/>
          <w:numId w:val="51"/>
        </w:numPr>
      </w:pPr>
      <w:r w:rsidRPr="00F171A3">
        <w:t>Elemente de siguranță rutieră, inclusiv semafoare (media 2,54/5);</w:t>
      </w:r>
    </w:p>
    <w:p w14:paraId="04AD45BA" w14:textId="77777777" w:rsidR="00FE3332" w:rsidRPr="00F171A3" w:rsidRDefault="00FE3332">
      <w:pPr>
        <w:pStyle w:val="Bullet"/>
        <w:numPr>
          <w:ilvl w:val="0"/>
          <w:numId w:val="51"/>
        </w:numPr>
      </w:pPr>
      <w:r w:rsidRPr="00F171A3">
        <w:t>Străzi/carosabil (media 2,45/5);</w:t>
      </w:r>
    </w:p>
    <w:p w14:paraId="06589EA8" w14:textId="77777777" w:rsidR="00FE3332" w:rsidRPr="00F171A3" w:rsidRDefault="00FE3332">
      <w:pPr>
        <w:pStyle w:val="Bullet"/>
        <w:numPr>
          <w:ilvl w:val="0"/>
          <w:numId w:val="51"/>
        </w:numPr>
      </w:pPr>
      <w:r w:rsidRPr="00F171A3">
        <w:t>Mobilier urban (media 2,42/5);</w:t>
      </w:r>
    </w:p>
    <w:p w14:paraId="10CB3B59" w14:textId="77777777" w:rsidR="00FE3332" w:rsidRPr="00F171A3" w:rsidRDefault="00FE3332">
      <w:pPr>
        <w:pStyle w:val="Bullet"/>
        <w:numPr>
          <w:ilvl w:val="0"/>
          <w:numId w:val="51"/>
        </w:numPr>
      </w:pPr>
      <w:r w:rsidRPr="00F171A3">
        <w:t>Trotuare și piste pentru bicicliști (media 1,87/5);</w:t>
      </w:r>
    </w:p>
    <w:p w14:paraId="5FB06E2B" w14:textId="77777777" w:rsidR="00FE3332" w:rsidRPr="00F171A3" w:rsidRDefault="00FE3332">
      <w:pPr>
        <w:pStyle w:val="Bullet"/>
        <w:numPr>
          <w:ilvl w:val="0"/>
          <w:numId w:val="51"/>
        </w:numPr>
      </w:pPr>
      <w:r w:rsidRPr="00F171A3">
        <w:t>Locuri de parcare (media 1,66/5).</w:t>
      </w:r>
    </w:p>
    <w:p w14:paraId="0E7F413D"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0EE59D3E" wp14:editId="19CDFC5D">
            <wp:extent cx="5865962" cy="3295290"/>
            <wp:effectExtent l="0" t="0" r="1905" b="63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308AEA9E" w14:textId="77777777" w:rsidR="00FC4217" w:rsidRPr="00F171A3" w:rsidRDefault="00FC4217" w:rsidP="00FE3332">
      <w:pPr>
        <w:pStyle w:val="BoldCIVITTALightBlue"/>
        <w:rPr>
          <w:lang w:val="ro-RO"/>
        </w:rPr>
      </w:pPr>
    </w:p>
    <w:p w14:paraId="42F67DED" w14:textId="21896F98" w:rsidR="00FE3332" w:rsidRPr="00F171A3" w:rsidRDefault="00FE3332" w:rsidP="00FE3332">
      <w:pPr>
        <w:pStyle w:val="BoldCIVITTALightBlue"/>
        <w:rPr>
          <w:lang w:val="ro-RO"/>
        </w:rPr>
      </w:pPr>
      <w:r w:rsidRPr="00F171A3">
        <w:rPr>
          <w:lang w:val="ro-RO"/>
        </w:rPr>
        <w:t>19. Cât de frecvent utilizați, pentru deplasările curente, următoarele mijloace de transport?</w:t>
      </w:r>
    </w:p>
    <w:p w14:paraId="0549D2DB" w14:textId="77777777" w:rsidR="00FE3332" w:rsidRPr="00F171A3" w:rsidRDefault="00FE3332" w:rsidP="00FE3332">
      <w:r w:rsidRPr="00F171A3">
        <w:t xml:space="preserve">Autoturismul personal este folosit cel mai adesea zilnic, de către 36,0% dintre respondenți și săptămânal, de către 32,9% dintre respondenți. O pondere de 19,3% dintre respondenți nu utilizează autoturismul niciodată, în timp ce 7,8% îl utilizează lunar, iar 4,1% îl utilizează când plouă. </w:t>
      </w:r>
    </w:p>
    <w:p w14:paraId="7C2AC24B" w14:textId="77777777" w:rsidR="00FE3332" w:rsidRPr="00F171A3" w:rsidRDefault="00FE3332" w:rsidP="00FE3332">
      <w:r w:rsidRPr="00F171A3">
        <w:t xml:space="preserve">Transportul în comun este utilizat zilnic, în proporții de 30,0%, săptămânal în proporții de 28,5%, lunar în proporții de 17,5%, doar când plouă în proporții de 8,3%, iar acesta nu este utilizat niciodată de către 15,7% dintre respondenți.  </w:t>
      </w:r>
    </w:p>
    <w:p w14:paraId="0F6CB3EE" w14:textId="77777777" w:rsidR="00FE3332" w:rsidRPr="00F171A3" w:rsidRDefault="00FE3332" w:rsidP="00FE3332">
      <w:r w:rsidRPr="00F171A3">
        <w:t>Cei mai mulți dintre respondenți utilizează bicicleta săptămânal, respectiv 15,9%, în timp ce 65,4% dintre respondenți nu o utilizează niciodată. Zilnic aceasta este utilizată de către doar 5,3% dintre respondenți, lunar de către 13,3% dintre aceștia, iar când plouă de către doar 0,2%.</w:t>
      </w:r>
    </w:p>
    <w:p w14:paraId="583F6E87" w14:textId="77777777" w:rsidR="00FE3332" w:rsidRPr="00F171A3" w:rsidRDefault="00FE3332" w:rsidP="00FE3332">
      <w:r w:rsidRPr="00F171A3">
        <w:t>Mersul pe jos este utilizat ca modalitate de deplasare zilnică de către 56,0% dintre respondenți, în timp ce săptămânal merg pe jos doar 28,5% dintre aceștia, lunar 8,8%, când plouă 0,7%, iar această modalitate de deplasare nu este utilizată niciodată de către circa 6,0% dintre respondenți.</w:t>
      </w:r>
    </w:p>
    <w:p w14:paraId="14800C4F" w14:textId="77777777" w:rsidR="00FE3332" w:rsidRPr="00F171A3" w:rsidRDefault="00FE3332" w:rsidP="00FE3332">
      <w:r w:rsidRPr="00F171A3">
        <w:t>Trotineta electrică sau altele este modalitatea de deplasară utilizată de către cel mai scăzut număr de respondenți. Prin urmare, circa 83,8% dintre respondenți nu utilizează niciodată trotineta electrică sau alte mijloace de acest gen. Opus acestora, doar 2,1% dintre respondenți utilizează zilnic acest mijloc de deplasare, 6,5% îl utilizează săptămânal, 7,4% îl utilizează lunar, iar când plouă doar 0,2%.</w:t>
      </w:r>
    </w:p>
    <w:p w14:paraId="0F64EF52" w14:textId="77777777" w:rsidR="00FE3332" w:rsidRPr="00F171A3" w:rsidRDefault="00FE3332" w:rsidP="00FE3332">
      <w:r w:rsidRPr="00F171A3">
        <w:t xml:space="preserve">Car sharing-ul de tipul Uber, Bolt, etc. este mai degrabă o opțiune lunară sau pentru perioadele ploioase, prin urmare 32,9% dintre respondenți utilizează această metodă pentru deplasare lunar, 14,8% o utilizează când plouă, iar zilnic este utilizată de către doar 1,8% dintre respondenți și săptămânal de către 13,8% dintre aceștia. Din totalul respondenților, 36,8% nu utilizează car sharing-ul niciodată. </w:t>
      </w:r>
    </w:p>
    <w:p w14:paraId="2E3DCE3E" w14:textId="77777777" w:rsidR="00FE3332" w:rsidRPr="00F171A3" w:rsidRDefault="00FE3332" w:rsidP="00FE3332">
      <w:r w:rsidRPr="00F171A3">
        <w:rPr>
          <w:noProof/>
        </w:rPr>
        <w:drawing>
          <wp:inline distT="0" distB="0" distL="0" distR="0" wp14:anchorId="0E572F0A" wp14:editId="41B44F66">
            <wp:extent cx="5693434" cy="2501660"/>
            <wp:effectExtent l="0" t="0" r="254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141DF5DF" w14:textId="77777777" w:rsidR="00FE3332" w:rsidRPr="00F171A3" w:rsidRDefault="00FE3332" w:rsidP="00FE3332"/>
    <w:p w14:paraId="5C6E1B37" w14:textId="77777777" w:rsidR="00FE3332" w:rsidRPr="00F171A3" w:rsidRDefault="00FE3332" w:rsidP="00FE3332">
      <w:pPr>
        <w:pStyle w:val="BoldCIVITTALightBlue"/>
        <w:rPr>
          <w:lang w:val="ro-RO"/>
        </w:rPr>
      </w:pPr>
      <w:r w:rsidRPr="00F171A3">
        <w:rPr>
          <w:lang w:val="ro-RO"/>
        </w:rPr>
        <w:t>20. Dacă utilizați și alte mijloace de deplasare, vă rugăm să detaliați:</w:t>
      </w:r>
    </w:p>
    <w:p w14:paraId="0716F775" w14:textId="77777777" w:rsidR="00FE3332" w:rsidRPr="00F171A3" w:rsidRDefault="00FE3332" w:rsidP="00FE3332">
      <w:r w:rsidRPr="00F171A3">
        <w:t xml:space="preserve">Pe lângă cele anterior menționate, respondenții mai utilizează ca mijloace de deplasare metroul, motocicleta, rolele și trotineta clasică. </w:t>
      </w:r>
    </w:p>
    <w:p w14:paraId="24A6216E" w14:textId="77777777" w:rsidR="00FC4217" w:rsidRPr="00F171A3" w:rsidRDefault="00FC4217" w:rsidP="00FE3332">
      <w:pPr>
        <w:pStyle w:val="BoldCIVITTALightBlue"/>
        <w:rPr>
          <w:lang w:val="ro-RO"/>
        </w:rPr>
      </w:pPr>
    </w:p>
    <w:p w14:paraId="40F6A57C" w14:textId="145D3E59" w:rsidR="00FE3332" w:rsidRPr="00F171A3" w:rsidRDefault="00FE3332" w:rsidP="00FE3332">
      <w:pPr>
        <w:pStyle w:val="BoldCIVITTALightBlue"/>
        <w:rPr>
          <w:b w:val="0"/>
          <w:color w:val="auto"/>
          <w:lang w:val="ro-RO" w:eastAsia="en-US"/>
        </w:rPr>
      </w:pPr>
      <w:r w:rsidRPr="00F171A3">
        <w:rPr>
          <w:lang w:val="ro-RO"/>
        </w:rPr>
        <w:t>21. Presupunând că infrastructura de transport ar permite utilizarea eficientă a oricărui mijloc de transport, ați prefera să folosiți pentru deplasările zilnice:</w:t>
      </w:r>
      <w:r w:rsidRPr="00F171A3">
        <w:rPr>
          <w:lang w:val="ro-RO"/>
        </w:rPr>
        <w:cr/>
      </w:r>
      <w:r w:rsidRPr="00F171A3">
        <w:rPr>
          <w:b w:val="0"/>
          <w:color w:val="auto"/>
          <w:lang w:val="ro-RO" w:eastAsia="en-US"/>
        </w:rPr>
        <w:t>În condițiile în care infrastructura de transport ar permite utilizarea eficientă a oricărui mijloc de transport, cel mai probabil și probabil ca respondenții să utilizeze transportul în comun (80,7% susțin acest lucru) și bicicleta (42,1% susțin acest lucru), dar o pondere ridicată dintre aceștia, respectiv 73,0% ar prefera să meargă pe jos. În condițiile în care infrastructura de transport ar permite utilizarea eficientă a oricărui mijloc de transport, cel mai puțin  probabile și improbabil să fie utilizate pentru deplasările zilnice sunt trotineta electrică (71,6% susțin acest lucru), car sharing-ul de tipul uber, bolt etc (55,0% susțin acest lucru) și automobilul personal (51,4% susțin acest lucru).</w:t>
      </w:r>
    </w:p>
    <w:p w14:paraId="51375AB7"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3D56E1CF" wp14:editId="49218F4D">
            <wp:extent cx="5995358" cy="2941608"/>
            <wp:effectExtent l="0" t="0" r="571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6817FCAD" w14:textId="77777777" w:rsidR="00FC4217" w:rsidRPr="00F171A3" w:rsidRDefault="00FC4217" w:rsidP="00FE3332">
      <w:pPr>
        <w:pStyle w:val="BoldCIVITTALightBlue"/>
        <w:rPr>
          <w:lang w:val="ro-RO"/>
        </w:rPr>
      </w:pPr>
    </w:p>
    <w:p w14:paraId="53A0020F" w14:textId="582D9773" w:rsidR="00FE3332" w:rsidRPr="00F171A3" w:rsidRDefault="00FE3332" w:rsidP="00FE3332">
      <w:pPr>
        <w:pStyle w:val="BoldCIVITTALightBlue"/>
        <w:rPr>
          <w:lang w:val="ro-RO"/>
        </w:rPr>
      </w:pPr>
      <w:r w:rsidRPr="00F171A3">
        <w:rPr>
          <w:lang w:val="ro-RO"/>
        </w:rPr>
        <w:t>22. Dacă ați vrea să utilizați și alte mijloace de deplasare, vă rugăm să detaliați care ar fi acestea:</w:t>
      </w:r>
    </w:p>
    <w:p w14:paraId="3C7BE2A6" w14:textId="77777777" w:rsidR="00FE3332" w:rsidRPr="00F171A3" w:rsidRDefault="00FE3332" w:rsidP="00FE3332">
      <w:r w:rsidRPr="00F171A3">
        <w:t>Alte mijloace de deplasare pe care o parte dintre respondenți ar dori să le utilizez sunt metroul, scuterul, rolele, tramvaiul și trenul urban.</w:t>
      </w:r>
    </w:p>
    <w:p w14:paraId="336FB754" w14:textId="77777777" w:rsidR="00FC4217" w:rsidRPr="00F171A3" w:rsidRDefault="00FC4217" w:rsidP="00FE3332">
      <w:pPr>
        <w:pStyle w:val="BoldCIVITTALightBlue"/>
        <w:rPr>
          <w:lang w:val="ro-RO"/>
        </w:rPr>
      </w:pPr>
    </w:p>
    <w:p w14:paraId="77B2D50A" w14:textId="7B457A3F" w:rsidR="00FE3332" w:rsidRPr="00F171A3" w:rsidRDefault="00FE3332" w:rsidP="00FE3332">
      <w:pPr>
        <w:pStyle w:val="BoldCIVITTALightBlue"/>
        <w:rPr>
          <w:lang w:val="ro-RO"/>
        </w:rPr>
      </w:pPr>
      <w:r w:rsidRPr="00F171A3">
        <w:rPr>
          <w:lang w:val="ro-RO"/>
        </w:rPr>
        <w:t>23. Utilizați/ați utilizat servicii ale sistemului de învățământ în Sectorul 2?</w:t>
      </w:r>
    </w:p>
    <w:p w14:paraId="22A3DF90" w14:textId="77777777" w:rsidR="00FE3332" w:rsidRPr="00F171A3" w:rsidRDefault="00FE3332" w:rsidP="00FE3332">
      <w:r w:rsidRPr="00F171A3">
        <w:t xml:space="preserve">Respondenții care au utilizat serviciile sistemului de învățământ ale Sectorului 2 reprezintă 32,5% din totalul acestora. 22,2% nu au utilizat serviciile sistemului de învățământ, iar restul de 45,3% nu au oferit un răspuns în cadrul acestei întrebări. </w:t>
      </w:r>
    </w:p>
    <w:p w14:paraId="03C465C4" w14:textId="77777777" w:rsidR="00FE3332" w:rsidRPr="00F171A3" w:rsidRDefault="00FE3332" w:rsidP="00FE3332">
      <w:r w:rsidRPr="00F171A3">
        <w:rPr>
          <w:noProof/>
        </w:rPr>
        <w:drawing>
          <wp:inline distT="0" distB="0" distL="0" distR="0" wp14:anchorId="2783534B" wp14:editId="741F214F">
            <wp:extent cx="6038491" cy="2743200"/>
            <wp:effectExtent l="0" t="0" r="635" b="0"/>
            <wp:docPr id="25668" name="Chart 256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2080CA80" w14:textId="77777777" w:rsidR="00FE3332" w:rsidRPr="00F171A3" w:rsidRDefault="00FE3332" w:rsidP="00FE3332">
      <w:pPr>
        <w:pStyle w:val="BoldCIVITTALightBlue"/>
        <w:rPr>
          <w:b w:val="0"/>
          <w:color w:val="auto"/>
          <w:lang w:val="ro-RO" w:eastAsia="en-US"/>
        </w:rPr>
      </w:pPr>
      <w:r w:rsidRPr="00F171A3">
        <w:rPr>
          <w:lang w:val="ro-RO"/>
        </w:rPr>
        <w:t>24. Bazat pe experiența dumneavoastră directă sau ca părinte, cât de mulțumit/ă sunteți de serviciile sistemului de învățământ pe care le utilizați/le-ați utilizat:</w:t>
      </w:r>
      <w:r w:rsidRPr="00F171A3">
        <w:rPr>
          <w:lang w:val="ro-RO"/>
        </w:rPr>
        <w:cr/>
      </w:r>
      <w:r w:rsidRPr="00F171A3">
        <w:rPr>
          <w:b w:val="0"/>
          <w:color w:val="auto"/>
          <w:lang w:val="ro-RO" w:eastAsia="en-US"/>
        </w:rPr>
        <w:t xml:space="preserve">Referitor la satisfacția față de sistemul de învățământ, cel mai mare grad de mulțumire (mulțumit și foarte mulțumit) est manifestat față de calitatea actului didactic (38,9% dintre respondenți), numărul de școli/locuri în școli (34,1% dintre respondenți) și numărul de licee/locuri în licee (26,3% dintre respondenți).  </w:t>
      </w:r>
    </w:p>
    <w:p w14:paraId="07E5501E" w14:textId="77777777" w:rsidR="00FE3332" w:rsidRPr="00F171A3" w:rsidRDefault="00FE3332" w:rsidP="00FE3332">
      <w:r w:rsidRPr="00F171A3">
        <w:t>În funcție de opțiunile respondenților, de la cele mai satisfăcătoare aspecte ale sistemului de învățământ, la cele mai puțin satisfăcătoare, acestea sunt ierarhizate după cum urmează:</w:t>
      </w:r>
    </w:p>
    <w:p w14:paraId="033F4A8C" w14:textId="77777777" w:rsidR="00FE3332" w:rsidRPr="00F171A3" w:rsidRDefault="00FE3332">
      <w:pPr>
        <w:pStyle w:val="Bullet"/>
        <w:numPr>
          <w:ilvl w:val="0"/>
          <w:numId w:val="38"/>
        </w:numPr>
      </w:pPr>
      <w:r w:rsidRPr="00F171A3">
        <w:t>Calitatea actului didactic (38,9% dintre respondenți se declară mulțumiți și foarte mulțumiți);</w:t>
      </w:r>
    </w:p>
    <w:p w14:paraId="2E1B8074" w14:textId="77777777" w:rsidR="00FE3332" w:rsidRPr="00F171A3" w:rsidRDefault="00FE3332">
      <w:pPr>
        <w:pStyle w:val="Bullet"/>
        <w:numPr>
          <w:ilvl w:val="0"/>
          <w:numId w:val="38"/>
        </w:numPr>
      </w:pPr>
      <w:r w:rsidRPr="00F171A3">
        <w:t>Numărul de școli/locuri în școli (34,1% dintre respondenți se declară mulțumiți și foarte mulțumiți);</w:t>
      </w:r>
    </w:p>
    <w:p w14:paraId="701BA055" w14:textId="77777777" w:rsidR="00FE3332" w:rsidRPr="00F171A3" w:rsidRDefault="00FE3332">
      <w:pPr>
        <w:pStyle w:val="Bullet"/>
        <w:numPr>
          <w:ilvl w:val="0"/>
          <w:numId w:val="38"/>
        </w:numPr>
      </w:pPr>
      <w:r w:rsidRPr="00F171A3">
        <w:t>Numărul de licee/locuri în licee (26,3% dintre respondenți se declară mulțumiți și foarte mulțumiți);</w:t>
      </w:r>
    </w:p>
    <w:p w14:paraId="6EE2C494" w14:textId="77777777" w:rsidR="00FE3332" w:rsidRPr="00F171A3" w:rsidRDefault="00FE3332">
      <w:pPr>
        <w:pStyle w:val="Bullet"/>
        <w:numPr>
          <w:ilvl w:val="0"/>
          <w:numId w:val="38"/>
        </w:numPr>
      </w:pPr>
      <w:r w:rsidRPr="00F171A3">
        <w:t>Infrastructura și dotările din cadrul școlilor (22,3% dintre respondenți se declară mulțumiți și foarte mulțumiți);</w:t>
      </w:r>
    </w:p>
    <w:p w14:paraId="0C9C4A98" w14:textId="77777777" w:rsidR="00FE3332" w:rsidRPr="00F171A3" w:rsidRDefault="00FE3332">
      <w:pPr>
        <w:pStyle w:val="Bullet"/>
        <w:numPr>
          <w:ilvl w:val="0"/>
          <w:numId w:val="38"/>
        </w:numPr>
      </w:pPr>
      <w:r w:rsidRPr="00F171A3">
        <w:t>Numărul de grădinițe/locuri în grădinițe (19,1% dintre respondenți se declară mulțumiți și foarte mulțumiți);</w:t>
      </w:r>
    </w:p>
    <w:p w14:paraId="62E66130" w14:textId="77777777" w:rsidR="00FE3332" w:rsidRPr="00F171A3" w:rsidRDefault="00FE3332">
      <w:pPr>
        <w:pStyle w:val="Bullet"/>
        <w:numPr>
          <w:ilvl w:val="0"/>
          <w:numId w:val="38"/>
        </w:numPr>
      </w:pPr>
      <w:r w:rsidRPr="00F171A3">
        <w:t>Infrastructura și dotările din cadrul liceelor</w:t>
      </w:r>
      <w:r w:rsidRPr="00F171A3">
        <w:tab/>
        <w:t>(17,0% dintre respondenți se declară mulțumiți și foarte mulțumiți);</w:t>
      </w:r>
    </w:p>
    <w:p w14:paraId="3B2B6294" w14:textId="1B9C83D8" w:rsidR="00FE3332" w:rsidRPr="00F171A3" w:rsidRDefault="00FE3332">
      <w:pPr>
        <w:pStyle w:val="Bullet"/>
        <w:numPr>
          <w:ilvl w:val="0"/>
          <w:numId w:val="38"/>
        </w:numPr>
      </w:pPr>
      <w:r w:rsidRPr="00F171A3">
        <w:t>Infrastructura și dotările din cadrul grădinițelor (17,0% dintre respondenți se declară mulțumiți și foarte mulțumiți)</w:t>
      </w:r>
      <w:r w:rsidR="00FC4217" w:rsidRPr="00F171A3">
        <w:t>.</w:t>
      </w:r>
    </w:p>
    <w:p w14:paraId="0A719013" w14:textId="77777777" w:rsidR="00FE3332" w:rsidRPr="00F171A3" w:rsidRDefault="00FE3332" w:rsidP="00FE3332">
      <w:r w:rsidRPr="00F171A3">
        <w:t>De asemenea, o pondere ridicată dintre respondenți, între 29 și 46% dintre aceștia nu cunosc informații referitoare la infrastructura de învățământ și 16-24% sunt neutri în raport cu acestea.</w:t>
      </w:r>
    </w:p>
    <w:p w14:paraId="41B0E73E" w14:textId="77777777" w:rsidR="00FE3332" w:rsidRPr="00F171A3" w:rsidRDefault="00FE3332" w:rsidP="00FE3332">
      <w:r w:rsidRPr="00F171A3">
        <w:rPr>
          <w:noProof/>
        </w:rPr>
        <w:drawing>
          <wp:inline distT="0" distB="0" distL="0" distR="0" wp14:anchorId="694DD553" wp14:editId="69FDB448">
            <wp:extent cx="5995358" cy="3562709"/>
            <wp:effectExtent l="0" t="0" r="5715" b="0"/>
            <wp:docPr id="25669" name="Chart 256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226560F3" w14:textId="77777777" w:rsidR="00FC4217" w:rsidRPr="00F171A3" w:rsidRDefault="00FC4217" w:rsidP="00FE3332">
      <w:pPr>
        <w:pStyle w:val="BoldCIVITTALightBlue"/>
        <w:rPr>
          <w:lang w:val="ro-RO"/>
        </w:rPr>
      </w:pPr>
    </w:p>
    <w:p w14:paraId="3AA41429" w14:textId="5E7AA6FF" w:rsidR="00FE3332" w:rsidRPr="00F171A3" w:rsidRDefault="00FE3332" w:rsidP="00FE3332">
      <w:pPr>
        <w:pStyle w:val="BoldCIVITTALightBlue"/>
        <w:rPr>
          <w:lang w:val="ro-RO"/>
        </w:rPr>
      </w:pPr>
      <w:r w:rsidRPr="00F171A3">
        <w:rPr>
          <w:lang w:val="ro-RO"/>
        </w:rPr>
        <w:t>25. Utilizați/ați utilizat servicii ale sistemului de sănătate în Sectorul 2?</w:t>
      </w:r>
    </w:p>
    <w:p w14:paraId="43A62C2E" w14:textId="77777777" w:rsidR="00FE3332" w:rsidRPr="00F171A3" w:rsidRDefault="00FE3332" w:rsidP="00FE3332">
      <w:r w:rsidRPr="00F171A3">
        <w:t>Cei mai mulți dintre respondenți, 78,0% dintre aceștia utilizează serviciile sistemului de sănătate ale Sectorului 2.</w:t>
      </w:r>
    </w:p>
    <w:p w14:paraId="58F9BEE5" w14:textId="77777777" w:rsidR="00FE3332" w:rsidRPr="00F171A3" w:rsidRDefault="00FE3332" w:rsidP="00FE3332">
      <w:r w:rsidRPr="00F171A3">
        <w:rPr>
          <w:noProof/>
        </w:rPr>
        <w:drawing>
          <wp:inline distT="0" distB="0" distL="0" distR="0" wp14:anchorId="44FA13E9" wp14:editId="48DA9EBF">
            <wp:extent cx="5865962" cy="2769079"/>
            <wp:effectExtent l="0" t="0" r="1905" b="0"/>
            <wp:docPr id="25670" name="Chart 256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14:paraId="001D3D66" w14:textId="26451BBA" w:rsidR="00FE3332" w:rsidRPr="00F171A3" w:rsidRDefault="00FE3332" w:rsidP="00FE3332">
      <w:pPr>
        <w:pStyle w:val="BoldCIVITTALightBlue"/>
        <w:rPr>
          <w:lang w:val="ro-RO"/>
        </w:rPr>
      </w:pPr>
      <w:r w:rsidRPr="00F171A3">
        <w:rPr>
          <w:lang w:val="ro-RO"/>
        </w:rPr>
        <w:t>26. Bazat pe experiența dumneavoastră directă, cât de mulțumit/ă sunteți de serviciile sistemului de sănătate pe care le utilizați/le-ați utilizat:</w:t>
      </w:r>
    </w:p>
    <w:p w14:paraId="7CC91C3C" w14:textId="77777777" w:rsidR="00FE3332" w:rsidRPr="00F171A3" w:rsidRDefault="00FE3332" w:rsidP="00FE3332">
      <w:r w:rsidRPr="00F171A3">
        <w:t xml:space="preserve">În urma rezultatelor prezente în figura de mai jos, se observă un grad general de mulțumire față de infrastructura privată de sănătate puțin mai ridicat (media de 52,3% pentru cele 3 elemente private), comparativ cu gradul de mulțumire al respondenților în raport cu infrastructura publică de sănătate (media de 25,7% pentru cele 3 elemente publice).  </w:t>
      </w:r>
    </w:p>
    <w:p w14:paraId="4A4D341E" w14:textId="77777777" w:rsidR="00FE3332" w:rsidRPr="00F171A3" w:rsidRDefault="00FE3332" w:rsidP="00FE3332">
      <w:r w:rsidRPr="00F171A3">
        <w:t xml:space="preserve">Cele mai apreciate componente ale sistemului de sănătate sunt calitatea serviciilor și dotărilor PRIVATE de sănătate (53,7% dintre respondenți se declară mulțumiți și foarte mulțumiți), disponibilitatea cadrelor medicale specializate din cadrul dotărilor private (51,8% dintre respondenți se declară mulțumiți și foarte mulțumiți) și oferta serviciilor PRIVATE de sănătate (51,4% dintre respondenți se declară mulțumiți și foarte mulțumiți).  </w:t>
      </w:r>
    </w:p>
    <w:p w14:paraId="0ED5309A" w14:textId="77777777" w:rsidR="00FE3332" w:rsidRPr="00F171A3" w:rsidRDefault="00FE3332" w:rsidP="00FE3332">
      <w:r w:rsidRPr="00F171A3">
        <w:t xml:space="preserve">Elementul asupra căruia este manifestat cel mai scăzut nivel de mulțumire este calitatea serviciilor și dotărilor publice de sănătate(doar 19,6% dintre respondenți se declară mulțumiți și foarte mulțumiți).  </w:t>
      </w:r>
    </w:p>
    <w:p w14:paraId="23B64549" w14:textId="77777777" w:rsidR="00FE3332" w:rsidRPr="00F171A3" w:rsidRDefault="00FE3332" w:rsidP="00FE3332">
      <w:r w:rsidRPr="00F171A3">
        <w:rPr>
          <w:noProof/>
        </w:rPr>
        <w:drawing>
          <wp:inline distT="0" distB="0" distL="0" distR="0" wp14:anchorId="0608DBB5" wp14:editId="1CE16BD3">
            <wp:extent cx="5865962" cy="3933645"/>
            <wp:effectExtent l="0" t="0" r="1905" b="0"/>
            <wp:docPr id="25671" name="Chart 256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14:paraId="5515497A" w14:textId="77777777" w:rsidR="00FC4217" w:rsidRPr="00F171A3" w:rsidRDefault="00FC4217" w:rsidP="00FE3332">
      <w:pPr>
        <w:pStyle w:val="BoldCIVITTALightBlue"/>
        <w:rPr>
          <w:lang w:val="ro-RO"/>
        </w:rPr>
      </w:pPr>
    </w:p>
    <w:p w14:paraId="228CC3FC" w14:textId="375BBAAD" w:rsidR="00FE3332" w:rsidRPr="00F171A3" w:rsidRDefault="00FE3332" w:rsidP="00FE3332">
      <w:pPr>
        <w:pStyle w:val="BoldCIVITTALightBlue"/>
        <w:rPr>
          <w:lang w:val="ro-RO"/>
        </w:rPr>
      </w:pPr>
      <w:r w:rsidRPr="00F171A3">
        <w:rPr>
          <w:lang w:val="ro-RO"/>
        </w:rPr>
        <w:t>27. Cât de necesară considerați că este oferirea următoarelor servicii/beneficii de asistență</w:t>
      </w:r>
    </w:p>
    <w:p w14:paraId="0D475272" w14:textId="77777777" w:rsidR="00FE3332" w:rsidRPr="00F171A3" w:rsidRDefault="00FE3332" w:rsidP="00FE3332">
      <w:pPr>
        <w:pStyle w:val="BoldCIVITTALightBlue"/>
        <w:rPr>
          <w:lang w:val="ro-RO"/>
        </w:rPr>
      </w:pPr>
      <w:r w:rsidRPr="00F171A3">
        <w:rPr>
          <w:lang w:val="ro-RO"/>
        </w:rPr>
        <w:t>socială în Sectorul 2?</w:t>
      </w:r>
    </w:p>
    <w:p w14:paraId="0432A63A" w14:textId="77777777" w:rsidR="00FE3332" w:rsidRPr="00F171A3" w:rsidRDefault="00FE3332" w:rsidP="00FE3332">
      <w:pPr>
        <w:pStyle w:val="BoldCIVITTALightBlue"/>
        <w:rPr>
          <w:b w:val="0"/>
          <w:color w:val="auto"/>
          <w:lang w:val="ro-RO" w:eastAsia="en-US"/>
        </w:rPr>
      </w:pPr>
      <w:r w:rsidRPr="00F171A3">
        <w:rPr>
          <w:b w:val="0"/>
          <w:color w:val="auto"/>
          <w:lang w:val="ro-RO" w:eastAsia="en-US"/>
        </w:rPr>
        <w:t>În general serviciile de asistență socială sunt considerate necesare și foarte necesare, toate serviciile depășind pragul de 55,7% dintre respondenți care consideră acest lucru. Din datele furnizate de către respondenți și raportat la nivelul de necesitate al acestora, serviciile sociale au fost ierarhizate în următorul fel în funcție de nivelul de necesitate:</w:t>
      </w:r>
    </w:p>
    <w:p w14:paraId="261FA523"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0EF2328E" wp14:editId="7C8A2E33">
            <wp:extent cx="5848709" cy="7349706"/>
            <wp:effectExtent l="19050" t="0" r="19050" b="22860"/>
            <wp:docPr id="25672" name="Diagram 256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6" r:lo="rId257" r:qs="rId258" r:cs="rId259"/>
              </a:graphicData>
            </a:graphic>
          </wp:inline>
        </w:drawing>
      </w:r>
    </w:p>
    <w:p w14:paraId="270EEDAF"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5C1B58B5" wp14:editId="2026ED19">
            <wp:extent cx="6047117" cy="4123426"/>
            <wp:effectExtent l="0" t="0" r="0" b="0"/>
            <wp:docPr id="25673" name="Chart 25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14:paraId="0F8B2743" w14:textId="77777777" w:rsidR="00FC4217" w:rsidRPr="00F171A3" w:rsidRDefault="00FC4217" w:rsidP="00FE3332">
      <w:pPr>
        <w:pStyle w:val="BoldCIVITTALightBlue"/>
        <w:rPr>
          <w:lang w:val="ro-RO"/>
        </w:rPr>
      </w:pPr>
    </w:p>
    <w:p w14:paraId="02C10E5F" w14:textId="2CB0A3DD" w:rsidR="00FE3332" w:rsidRPr="00F171A3" w:rsidRDefault="00FE3332" w:rsidP="00FE3332">
      <w:pPr>
        <w:pStyle w:val="BoldCIVITTALightBlue"/>
        <w:rPr>
          <w:lang w:val="ro-RO"/>
        </w:rPr>
      </w:pPr>
      <w:r w:rsidRPr="00F171A3">
        <w:rPr>
          <w:lang w:val="ro-RO"/>
        </w:rPr>
        <w:t>28. În cazul în care considerați că sunt necesare și alte tipuri de servicii sociale, vă rugăm să detaliați:</w:t>
      </w:r>
    </w:p>
    <w:p w14:paraId="4351040A" w14:textId="77777777" w:rsidR="00FE3332" w:rsidRPr="00F171A3" w:rsidRDefault="00FE3332" w:rsidP="00FE3332">
      <w:r w:rsidRPr="00F171A3">
        <w:t>Alte tipuri de servicii sociale pe care respondenții le consideră necesare sunt în special următoarele:</w:t>
      </w:r>
    </w:p>
    <w:p w14:paraId="1614CFF3" w14:textId="77777777" w:rsidR="00FE3332" w:rsidRPr="00F171A3" w:rsidRDefault="00FE3332">
      <w:pPr>
        <w:pStyle w:val="Bullet"/>
        <w:numPr>
          <w:ilvl w:val="0"/>
          <w:numId w:val="38"/>
        </w:numPr>
      </w:pPr>
      <w:r w:rsidRPr="00F171A3">
        <w:t>Servicii suport de tipul cursurilor de recalificare profesională;</w:t>
      </w:r>
    </w:p>
    <w:p w14:paraId="377A5F5D" w14:textId="77777777" w:rsidR="00FE3332" w:rsidRPr="00F171A3" w:rsidRDefault="00FE3332">
      <w:pPr>
        <w:pStyle w:val="Bullet"/>
        <w:numPr>
          <w:ilvl w:val="0"/>
          <w:numId w:val="38"/>
        </w:numPr>
      </w:pPr>
      <w:r w:rsidRPr="00F171A3">
        <w:t>Programe de sprijin pentru comunitățile și familiile dezavantajate;</w:t>
      </w:r>
    </w:p>
    <w:p w14:paraId="6CA95490" w14:textId="77777777" w:rsidR="00FE3332" w:rsidRPr="00F171A3" w:rsidRDefault="00FE3332">
      <w:pPr>
        <w:pStyle w:val="Bullet"/>
        <w:numPr>
          <w:ilvl w:val="0"/>
          <w:numId w:val="38"/>
        </w:numPr>
      </w:pPr>
      <w:r w:rsidRPr="00F171A3">
        <w:t>Asistență juridică pentru personale în nevoie;</w:t>
      </w:r>
    </w:p>
    <w:p w14:paraId="371E1A17" w14:textId="77777777" w:rsidR="00FE3332" w:rsidRPr="00F171A3" w:rsidRDefault="00FE3332">
      <w:pPr>
        <w:pStyle w:val="Bullet"/>
        <w:numPr>
          <w:ilvl w:val="0"/>
          <w:numId w:val="38"/>
        </w:numPr>
      </w:pPr>
      <w:r w:rsidRPr="00F171A3">
        <w:t>Asistență pentru persoanele străzii;</w:t>
      </w:r>
    </w:p>
    <w:p w14:paraId="18DBAEE9" w14:textId="77777777" w:rsidR="00FE3332" w:rsidRPr="00F171A3" w:rsidRDefault="00FE3332">
      <w:pPr>
        <w:pStyle w:val="Bullet"/>
        <w:numPr>
          <w:ilvl w:val="0"/>
          <w:numId w:val="38"/>
        </w:numPr>
      </w:pPr>
      <w:r w:rsidRPr="00F171A3">
        <w:t>Centre de zi pentru diverși beneficiari;</w:t>
      </w:r>
    </w:p>
    <w:p w14:paraId="3ED1F038" w14:textId="77777777" w:rsidR="00FE3332" w:rsidRPr="00F171A3" w:rsidRDefault="00FE3332">
      <w:pPr>
        <w:pStyle w:val="Bullet"/>
        <w:numPr>
          <w:ilvl w:val="0"/>
          <w:numId w:val="38"/>
        </w:numPr>
      </w:pPr>
      <w:r w:rsidRPr="00F171A3">
        <w:t>Centru comunitar cu desfășurarea de activități pentru timpul liber;</w:t>
      </w:r>
    </w:p>
    <w:p w14:paraId="16F96A70" w14:textId="77777777" w:rsidR="00FE3332" w:rsidRPr="00F171A3" w:rsidRDefault="00FE3332">
      <w:pPr>
        <w:pStyle w:val="Bullet"/>
        <w:numPr>
          <w:ilvl w:val="0"/>
          <w:numId w:val="38"/>
        </w:numPr>
      </w:pPr>
      <w:r w:rsidRPr="00F171A3">
        <w:t>Centru de sprijin și consiliere pentru persoanele cu adicții;</w:t>
      </w:r>
    </w:p>
    <w:p w14:paraId="79751936" w14:textId="77777777" w:rsidR="00FE3332" w:rsidRPr="00F171A3" w:rsidRDefault="00FE3332">
      <w:pPr>
        <w:pStyle w:val="Bullet"/>
        <w:numPr>
          <w:ilvl w:val="0"/>
          <w:numId w:val="38"/>
        </w:numPr>
      </w:pPr>
      <w:r w:rsidRPr="00F171A3">
        <w:t>Consiliere psihologică gratuită pentru diverse tipuri de beneficiari;</w:t>
      </w:r>
    </w:p>
    <w:p w14:paraId="1C55143F" w14:textId="77777777" w:rsidR="00FE3332" w:rsidRPr="00F171A3" w:rsidRDefault="00FE3332">
      <w:pPr>
        <w:pStyle w:val="Bullet"/>
        <w:numPr>
          <w:ilvl w:val="0"/>
          <w:numId w:val="38"/>
        </w:numPr>
      </w:pPr>
      <w:r w:rsidRPr="00F171A3">
        <w:t>Servicii de îngrijire la domiciliu;</w:t>
      </w:r>
    </w:p>
    <w:p w14:paraId="06F67075" w14:textId="77777777" w:rsidR="00FE3332" w:rsidRPr="00F171A3" w:rsidRDefault="00FE3332">
      <w:pPr>
        <w:pStyle w:val="Bullet"/>
        <w:numPr>
          <w:ilvl w:val="0"/>
          <w:numId w:val="38"/>
        </w:numPr>
      </w:pPr>
      <w:r w:rsidRPr="00F171A3">
        <w:t>Servicii de cazare temporară pentru bolnavi cronici și vârstnici.</w:t>
      </w:r>
    </w:p>
    <w:p w14:paraId="3744FB7E" w14:textId="77777777" w:rsidR="00FE3332" w:rsidRPr="00F171A3" w:rsidRDefault="00FE3332" w:rsidP="00FE3332">
      <w:pPr>
        <w:pStyle w:val="Bullet"/>
        <w:numPr>
          <w:ilvl w:val="0"/>
          <w:numId w:val="0"/>
        </w:numPr>
        <w:ind w:left="720" w:hanging="360"/>
      </w:pPr>
    </w:p>
    <w:p w14:paraId="6C70D315" w14:textId="77777777" w:rsidR="00FE3332" w:rsidRPr="00F171A3" w:rsidRDefault="00FE3332" w:rsidP="00FE3332">
      <w:pPr>
        <w:pStyle w:val="BoldCIVITTALightBlue"/>
        <w:rPr>
          <w:lang w:val="ro-RO"/>
        </w:rPr>
      </w:pPr>
      <w:r w:rsidRPr="00F171A3">
        <w:rPr>
          <w:lang w:val="ro-RO"/>
        </w:rPr>
        <w:t>29. Din câte știți, oferta privind petrecerea timpului liber în SECTORUL 2 cuprinde:</w:t>
      </w:r>
    </w:p>
    <w:p w14:paraId="3F5EC351" w14:textId="77777777" w:rsidR="00FE3332" w:rsidRPr="00F171A3" w:rsidRDefault="00FE3332" w:rsidP="00FE3332">
      <w:r w:rsidRPr="00F171A3">
        <w:t>Referitor la oferta de petrecere a timpului liber, mai mult de jumătate dintre respondenți indică faptul că oferta Sectorului 2 cuprinde parcuri și grădini publice (91,2%), locuri de joacă pentru copii (85,9%),  săli și terenurile de sport (60,1%) și cinematografele (53,4%). Restul aspectelor prezentate în figura de mai jos sunt cunoscute de către mai puțin de jumătate dintre respondenți. Prin urmare:</w:t>
      </w:r>
    </w:p>
    <w:p w14:paraId="3177C97A" w14:textId="77777777" w:rsidR="00FE3332" w:rsidRPr="00F171A3" w:rsidRDefault="00FE3332">
      <w:pPr>
        <w:pStyle w:val="Bullet"/>
        <w:numPr>
          <w:ilvl w:val="0"/>
          <w:numId w:val="38"/>
        </w:numPr>
      </w:pPr>
      <w:r w:rsidRPr="00F171A3">
        <w:t>Parcuri și grădini publice (91,2% indică faptul că sunt cuprinse în oferta privind petrecerea timpului liber din Sectorul 2);</w:t>
      </w:r>
    </w:p>
    <w:p w14:paraId="5B7918FF" w14:textId="77777777" w:rsidR="00FE3332" w:rsidRPr="00F171A3" w:rsidRDefault="00FE3332">
      <w:pPr>
        <w:pStyle w:val="Bullet"/>
        <w:numPr>
          <w:ilvl w:val="0"/>
          <w:numId w:val="38"/>
        </w:numPr>
      </w:pPr>
      <w:r w:rsidRPr="00F171A3">
        <w:t>Locuri de joacă pentru copii</w:t>
      </w:r>
      <w:r w:rsidRPr="00F171A3">
        <w:tab/>
        <w:t>(85,9% indică faptul că sunt cuprinse în oferta privind petrecerea timpului liber din Sectorul 2);</w:t>
      </w:r>
    </w:p>
    <w:p w14:paraId="4FC0DA02" w14:textId="77777777" w:rsidR="00FE3332" w:rsidRPr="00F171A3" w:rsidRDefault="00FE3332">
      <w:pPr>
        <w:pStyle w:val="Bullet"/>
        <w:numPr>
          <w:ilvl w:val="0"/>
          <w:numId w:val="38"/>
        </w:numPr>
      </w:pPr>
      <w:r w:rsidRPr="00F171A3">
        <w:t>Săli și terenuri de sport (60,1% indică faptul că sunt cuprinse în oferta privind petrecerea timpului liber din Sectorul 2);</w:t>
      </w:r>
    </w:p>
    <w:p w14:paraId="347863BB" w14:textId="77777777" w:rsidR="00FE3332" w:rsidRPr="00F171A3" w:rsidRDefault="00FE3332">
      <w:pPr>
        <w:pStyle w:val="Bullet"/>
        <w:numPr>
          <w:ilvl w:val="0"/>
          <w:numId w:val="38"/>
        </w:numPr>
      </w:pPr>
      <w:r w:rsidRPr="00F171A3">
        <w:t>Cinematografe (53,4% indică faptul că sunt cuprinse în oferta privind petrecerea timpului liber din Sectorul 2);</w:t>
      </w:r>
    </w:p>
    <w:p w14:paraId="0996D115" w14:textId="77777777" w:rsidR="00FE3332" w:rsidRPr="00F171A3" w:rsidRDefault="00FE3332">
      <w:pPr>
        <w:pStyle w:val="Bullet"/>
        <w:numPr>
          <w:ilvl w:val="0"/>
          <w:numId w:val="38"/>
        </w:numPr>
      </w:pPr>
      <w:r w:rsidRPr="00F171A3">
        <w:t>Ștranduri/bazine de înot (48,8% indică faptul că sunt cuprinse în oferta privind petrecerea timpului liber din Sectorul 2);</w:t>
      </w:r>
    </w:p>
    <w:p w14:paraId="79DFC56D" w14:textId="77777777" w:rsidR="00FE3332" w:rsidRPr="00F171A3" w:rsidRDefault="00FE3332">
      <w:pPr>
        <w:pStyle w:val="Bullet"/>
        <w:numPr>
          <w:ilvl w:val="0"/>
          <w:numId w:val="38"/>
        </w:numPr>
      </w:pPr>
      <w:r w:rsidRPr="00F171A3">
        <w:t>Teatre</w:t>
      </w:r>
      <w:r w:rsidRPr="00F171A3">
        <w:tab/>
        <w:t>(42,8% indică faptul că sunt cuprinse în oferta privind petrecerea timpului liber din Sectorul 2);</w:t>
      </w:r>
    </w:p>
    <w:p w14:paraId="18A5ECA6" w14:textId="77777777" w:rsidR="00FE3332" w:rsidRPr="00F171A3" w:rsidRDefault="00FE3332">
      <w:pPr>
        <w:pStyle w:val="Bullet"/>
        <w:numPr>
          <w:ilvl w:val="0"/>
          <w:numId w:val="38"/>
        </w:numPr>
      </w:pPr>
      <w:r w:rsidRPr="00F171A3">
        <w:t>Biblioteci (38,0% indică faptul că sunt cuprinse în oferta privind petrecerea timpului liber din Sectorul 2);</w:t>
      </w:r>
    </w:p>
    <w:p w14:paraId="30744E22" w14:textId="77777777" w:rsidR="00FE3332" w:rsidRPr="00F171A3" w:rsidRDefault="00FE3332">
      <w:pPr>
        <w:pStyle w:val="Bullet"/>
        <w:numPr>
          <w:ilvl w:val="0"/>
          <w:numId w:val="38"/>
        </w:numPr>
      </w:pPr>
      <w:r w:rsidRPr="00F171A3">
        <w:t>Muzee</w:t>
      </w:r>
      <w:r w:rsidRPr="00F171A3">
        <w:tab/>
        <w:t>(34,5% indică faptul că sunt cuprinse în oferta privind petrecerea timpului liber din Sectorul 2);</w:t>
      </w:r>
    </w:p>
    <w:p w14:paraId="78E6402C" w14:textId="77777777" w:rsidR="00FE3332" w:rsidRPr="00F171A3" w:rsidRDefault="00FE3332">
      <w:pPr>
        <w:pStyle w:val="Bullet"/>
        <w:numPr>
          <w:ilvl w:val="0"/>
          <w:numId w:val="38"/>
        </w:numPr>
      </w:pPr>
      <w:r w:rsidRPr="00F171A3">
        <w:t>Evenimente culturale și artistice (32,2% indică faptul că sunt cuprinse în oferta privind petrecerea timpului liber din Sectorul 2);</w:t>
      </w:r>
    </w:p>
    <w:p w14:paraId="3438BF50" w14:textId="77777777" w:rsidR="00FE3332" w:rsidRPr="00F171A3" w:rsidRDefault="00FE3332">
      <w:pPr>
        <w:pStyle w:val="Bullet"/>
        <w:numPr>
          <w:ilvl w:val="0"/>
          <w:numId w:val="38"/>
        </w:numPr>
      </w:pPr>
      <w:r w:rsidRPr="00F171A3">
        <w:t>Zone de agrement și picnic (29,3% indică faptul că sunt cuprinse în oferta privind petrecerea timpului liber din Sectorul 2);</w:t>
      </w:r>
    </w:p>
    <w:p w14:paraId="00102620" w14:textId="77777777" w:rsidR="00FE3332" w:rsidRPr="00F171A3" w:rsidRDefault="00FE3332">
      <w:pPr>
        <w:pStyle w:val="Bullet"/>
        <w:numPr>
          <w:ilvl w:val="0"/>
          <w:numId w:val="38"/>
        </w:numPr>
      </w:pPr>
      <w:r w:rsidRPr="00F171A3">
        <w:t>Concerte (28,5% indică faptul că sunt cuprinse în oferta privind petrecerea timpului liber din Sectorul 2);</w:t>
      </w:r>
    </w:p>
    <w:p w14:paraId="069346BC" w14:textId="77777777" w:rsidR="00FE3332" w:rsidRPr="00F171A3" w:rsidRDefault="00FE3332">
      <w:pPr>
        <w:pStyle w:val="Bullet"/>
        <w:numPr>
          <w:ilvl w:val="0"/>
          <w:numId w:val="38"/>
        </w:numPr>
        <w:rPr>
          <w:b/>
        </w:rPr>
      </w:pPr>
      <w:r w:rsidRPr="00F171A3">
        <w:t>Patinoare (21,9% indică faptul că sunt cuprinse în oferta privind petrecerea timpului liber din Sectorul 2).</w:t>
      </w:r>
    </w:p>
    <w:p w14:paraId="5B0D5B1C"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1062ADA7" wp14:editId="34ACA3C7">
            <wp:extent cx="5943600" cy="3644265"/>
            <wp:effectExtent l="0" t="0" r="0" b="0"/>
            <wp:docPr id="25674" name="Chart 25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14:paraId="59E5BE7A" w14:textId="77777777" w:rsidR="00FC4217" w:rsidRPr="00F171A3" w:rsidRDefault="00FC4217" w:rsidP="00FE3332">
      <w:pPr>
        <w:pStyle w:val="BoldCIVITTALightBlue"/>
        <w:rPr>
          <w:lang w:val="ro-RO"/>
        </w:rPr>
      </w:pPr>
    </w:p>
    <w:p w14:paraId="2A6D2D3D" w14:textId="686DDDE0" w:rsidR="00FE3332" w:rsidRPr="00F171A3" w:rsidRDefault="00FE3332" w:rsidP="00FE3332">
      <w:pPr>
        <w:pStyle w:val="BoldCIVITTALightBlue"/>
        <w:rPr>
          <w:lang w:val="ro-RO"/>
        </w:rPr>
      </w:pPr>
      <w:r w:rsidRPr="00F171A3">
        <w:rPr>
          <w:lang w:val="ro-RO"/>
        </w:rPr>
        <w:t>30. Cât de mulțumit/ă sunteți de oferta privind activitățile de petrecere a timpului liber din Sectorul 2?</w:t>
      </w:r>
    </w:p>
    <w:p w14:paraId="396D4C49" w14:textId="77777777" w:rsidR="00FE3332" w:rsidRPr="00F171A3" w:rsidRDefault="00FE3332" w:rsidP="00FE3332">
      <w:r w:rsidRPr="00F171A3">
        <w:t xml:space="preserve">Parcurile și grădinile publice și locurile de joacă pentru copii reprezintă cele mai satisfăcătoare repere de petrecere a timpului liber în Sectorul 2. Din această perspectivă, respondenții, sunt în cea mai mare măsură mulțumiți și foarte mulțumiți  (proporții de peste 45%) în privința acestora. </w:t>
      </w:r>
    </w:p>
    <w:p w14:paraId="31145F2B" w14:textId="77777777" w:rsidR="00FE3332" w:rsidRPr="00F171A3" w:rsidRDefault="00FE3332" w:rsidP="00FE3332">
      <w:r w:rsidRPr="00F171A3">
        <w:t xml:space="preserve">Opus acestora, aspectele cele mai puțin satisfăcătoare din perspectiva activităților de petrecere a timpului liber din Sectorul 2, referitor la care cei mai puțini respondenți se declară mulțumiți sau foarte mulțumiți (sub 15%) sunt patinoarele, concertele și zonele de agrement și picnic. </w:t>
      </w:r>
    </w:p>
    <w:p w14:paraId="7593B582" w14:textId="77777777" w:rsidR="00FE3332" w:rsidRPr="00F171A3" w:rsidRDefault="00FE3332" w:rsidP="00FE3332">
      <w:r w:rsidRPr="00F171A3">
        <w:t>În funcție de opțiunile respondenților, de la cele mai mulțumitoare aspecte referitoare la oferta privind activitățile de petrecere a timpului liber din Sectorul 2, la cele mai puțin satisfăcătoare, acestea sunt ierarhizate după cum urmează:</w:t>
      </w:r>
    </w:p>
    <w:p w14:paraId="3EA7219B" w14:textId="77777777" w:rsidR="00FE3332" w:rsidRPr="00F171A3" w:rsidRDefault="00FE3332" w:rsidP="00FE3332"/>
    <w:p w14:paraId="2CC10802" w14:textId="77777777" w:rsidR="00FE3332" w:rsidRPr="00F171A3" w:rsidRDefault="00FE3332" w:rsidP="00FE3332">
      <w:r w:rsidRPr="00F171A3">
        <w:rPr>
          <w:noProof/>
          <w:sz w:val="20"/>
          <w:szCs w:val="20"/>
        </w:rPr>
        <w:drawing>
          <wp:inline distT="0" distB="0" distL="0" distR="0" wp14:anchorId="5E13E767" wp14:editId="3CA139A7">
            <wp:extent cx="5796951" cy="5011947"/>
            <wp:effectExtent l="0" t="0" r="0" b="17780"/>
            <wp:docPr id="25675"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3" r:lo="rId264" r:qs="rId265" r:cs="rId266"/>
              </a:graphicData>
            </a:graphic>
          </wp:inline>
        </w:drawing>
      </w:r>
    </w:p>
    <w:p w14:paraId="045D0042"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102D9057" wp14:editId="3F0716D3">
            <wp:extent cx="5943600" cy="3597215"/>
            <wp:effectExtent l="0" t="0" r="0" b="3810"/>
            <wp:docPr id="25676" name="Chart 25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0CF35215" w14:textId="77777777" w:rsidR="00FC4217" w:rsidRPr="00F171A3" w:rsidRDefault="00FC4217" w:rsidP="00FE3332">
      <w:pPr>
        <w:pStyle w:val="BoldCIVITTALightBlue"/>
        <w:rPr>
          <w:lang w:val="ro-RO"/>
        </w:rPr>
      </w:pPr>
    </w:p>
    <w:p w14:paraId="7EDF9B0C" w14:textId="5DC941EF" w:rsidR="00FE3332" w:rsidRPr="00F171A3" w:rsidRDefault="00FE3332" w:rsidP="00FE3332">
      <w:pPr>
        <w:pStyle w:val="BoldCIVITTALightBlue"/>
        <w:rPr>
          <w:lang w:val="ro-RO"/>
        </w:rPr>
      </w:pPr>
      <w:r w:rsidRPr="00F171A3">
        <w:rPr>
          <w:lang w:val="ro-RO"/>
        </w:rPr>
        <w:t>31. Ce alte activități de petrecere a timpului liber credeți că ar trebui să fie disponibile pentru locuitorii Sectorului 2?</w:t>
      </w:r>
    </w:p>
    <w:p w14:paraId="634C089A" w14:textId="77777777" w:rsidR="00FE3332" w:rsidRPr="00F171A3" w:rsidRDefault="00FE3332" w:rsidP="00FE3332">
      <w:r w:rsidRPr="00F171A3">
        <w:t>Alte activități de petrecere a timpului liber pe care respondenții, locuitori ai Sectorului 2 le consideră necesare sunt următoarele:</w:t>
      </w:r>
    </w:p>
    <w:p w14:paraId="76F2F5DA"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0E035F7E" wp14:editId="6DA0A473">
            <wp:extent cx="5865962" cy="3114136"/>
            <wp:effectExtent l="0" t="0" r="20955" b="0"/>
            <wp:docPr id="25677" name="Diagram 256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9" r:lo="rId270" r:qs="rId271" r:cs="rId272"/>
              </a:graphicData>
            </a:graphic>
          </wp:inline>
        </w:drawing>
      </w:r>
    </w:p>
    <w:p w14:paraId="7A77FE1A" w14:textId="77777777" w:rsidR="00FC4217" w:rsidRPr="00F171A3" w:rsidRDefault="00FC4217" w:rsidP="00FE3332">
      <w:pPr>
        <w:pStyle w:val="BoldCIVITTALightBlue"/>
        <w:rPr>
          <w:lang w:val="ro-RO"/>
        </w:rPr>
      </w:pPr>
    </w:p>
    <w:p w14:paraId="61CE9A57" w14:textId="46D1D227" w:rsidR="00FE3332" w:rsidRPr="00F171A3" w:rsidRDefault="00FE3332" w:rsidP="00FE3332">
      <w:pPr>
        <w:pStyle w:val="BoldCIVITTALightBlue"/>
        <w:rPr>
          <w:lang w:val="ro-RO"/>
        </w:rPr>
      </w:pPr>
      <w:r w:rsidRPr="00F171A3">
        <w:rPr>
          <w:lang w:val="ro-RO"/>
        </w:rPr>
        <w:t>32. Cum apreciați viața culturală din Sectorul 2?</w:t>
      </w:r>
    </w:p>
    <w:p w14:paraId="4E03D60B" w14:textId="77777777" w:rsidR="00FE3332" w:rsidRPr="00F171A3" w:rsidRDefault="00FE3332" w:rsidP="00FE3332">
      <w:r w:rsidRPr="00F171A3">
        <w:t xml:space="preserve">Respondenții descriu viața culturală din Sectorul 2 ca fiind în cea mai mare măsură moderată – 41,5% considerând acest lucru sau puțin activă – 33,4% considerând acest lucru. Viața culturală din Sectorul 2 este caracterizată ca fiind activă și foarte activă de către doar 8,0% dintre respondenți. </w:t>
      </w:r>
    </w:p>
    <w:p w14:paraId="0437470E"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04989F60" wp14:editId="6E26CDCF">
            <wp:extent cx="5779698" cy="2631056"/>
            <wp:effectExtent l="0" t="0" r="0" b="0"/>
            <wp:docPr id="25678" name="Chart 25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14:paraId="57AD9C81" w14:textId="77777777" w:rsidR="00FE3332" w:rsidRPr="00F171A3" w:rsidRDefault="00FE3332" w:rsidP="00FE3332">
      <w:pPr>
        <w:pStyle w:val="BoldCIVITTALightBlue"/>
        <w:rPr>
          <w:lang w:val="ro-RO"/>
        </w:rPr>
      </w:pPr>
      <w:r w:rsidRPr="00F171A3">
        <w:rPr>
          <w:lang w:val="ro-RO"/>
        </w:rPr>
        <w:t>33. Cum apreciați activitatea sportivă din Sectorul 2?</w:t>
      </w:r>
    </w:p>
    <w:p w14:paraId="3A59F873" w14:textId="77777777" w:rsidR="00FE3332" w:rsidRPr="00F171A3" w:rsidRDefault="00FE3332" w:rsidP="00FE3332">
      <w:r w:rsidRPr="00F171A3">
        <w:t xml:space="preserve">Activitatea sportivă din Sectorul 2 este descrisă de către cei mai mulți dintre respondenți ca fiind moderată – 37,1% consideră acest lucru și puțin activă – 32,9% consideră acest lucru. O pondere de doar 14,7% dintre respondenți caracterizează activitatea sportivă din Sectorul 2 ca fiind activă și foarte activă. </w:t>
      </w:r>
    </w:p>
    <w:p w14:paraId="289D29B9"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61B27748" wp14:editId="1696F361">
            <wp:extent cx="5779698" cy="2700068"/>
            <wp:effectExtent l="0" t="0" r="0" b="5080"/>
            <wp:docPr id="25679" name="Chart 25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32487989" w14:textId="77777777" w:rsidR="00FC4217" w:rsidRPr="00F171A3" w:rsidRDefault="00FC4217" w:rsidP="00FE3332">
      <w:pPr>
        <w:pStyle w:val="BoldCIVITTALightBlue"/>
        <w:rPr>
          <w:lang w:val="ro-RO"/>
        </w:rPr>
      </w:pPr>
    </w:p>
    <w:p w14:paraId="30565ECC" w14:textId="685C26C6" w:rsidR="00FE3332" w:rsidRPr="00F171A3" w:rsidRDefault="00FE3332" w:rsidP="00FE3332">
      <w:pPr>
        <w:pStyle w:val="BoldCIVITTALightBlue"/>
        <w:rPr>
          <w:lang w:val="ro-RO"/>
        </w:rPr>
      </w:pPr>
      <w:r w:rsidRPr="00F171A3">
        <w:rPr>
          <w:lang w:val="ro-RO"/>
        </w:rPr>
        <w:t>34. Ce activități sportive considerați că ar trebui promovate în Sectorul 2?</w:t>
      </w:r>
    </w:p>
    <w:p w14:paraId="7C7F819C" w14:textId="77777777" w:rsidR="00FE3332" w:rsidRPr="00F171A3" w:rsidRDefault="00FE3332" w:rsidP="00FE3332">
      <w:r w:rsidRPr="00F171A3">
        <w:t>O mare parte dintre respondenți consideră faptul că toate activitățile sportive ar trebui promovate în Sectorul 2. Totuși, activitățile sportive cel mai adesea menționate de către aceștia sunt următoarele:</w:t>
      </w:r>
    </w:p>
    <w:p w14:paraId="429C4524" w14:textId="77777777" w:rsidR="00FE3332" w:rsidRPr="00F171A3" w:rsidRDefault="00FE3332" w:rsidP="00FE3332">
      <w:r w:rsidRPr="00F171A3">
        <w:rPr>
          <w:noProof/>
        </w:rPr>
        <w:drawing>
          <wp:inline distT="0" distB="0" distL="0" distR="0" wp14:anchorId="38038B22" wp14:editId="216B3D0F">
            <wp:extent cx="5865962" cy="1604513"/>
            <wp:effectExtent l="0" t="0" r="20955" b="0"/>
            <wp:docPr id="25680" name="Diagram 256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6" r:lo="rId277" r:qs="rId278" r:cs="rId279"/>
              </a:graphicData>
            </a:graphic>
          </wp:inline>
        </w:drawing>
      </w:r>
    </w:p>
    <w:p w14:paraId="18A5ACA5" w14:textId="77777777" w:rsidR="00FC4217" w:rsidRPr="00F171A3" w:rsidRDefault="00FC4217" w:rsidP="00FE3332">
      <w:pPr>
        <w:pStyle w:val="BoldCIVITTALightBlue"/>
        <w:rPr>
          <w:lang w:val="ro-RO"/>
        </w:rPr>
      </w:pPr>
    </w:p>
    <w:p w14:paraId="060FE73C" w14:textId="77777777" w:rsidR="00FC4217" w:rsidRPr="00F171A3" w:rsidRDefault="00FC4217" w:rsidP="00FE3332">
      <w:pPr>
        <w:pStyle w:val="BoldCIVITTALightBlue"/>
        <w:rPr>
          <w:lang w:val="ro-RO"/>
        </w:rPr>
      </w:pPr>
    </w:p>
    <w:p w14:paraId="021548D0" w14:textId="77777777" w:rsidR="00FC4217" w:rsidRPr="00F171A3" w:rsidRDefault="00FC4217" w:rsidP="00FE3332">
      <w:pPr>
        <w:pStyle w:val="BoldCIVITTALightBlue"/>
        <w:rPr>
          <w:lang w:val="ro-RO"/>
        </w:rPr>
      </w:pPr>
    </w:p>
    <w:p w14:paraId="00155F82" w14:textId="2B269455" w:rsidR="00FE3332" w:rsidRPr="00F171A3" w:rsidRDefault="00FE3332" w:rsidP="00FE3332">
      <w:pPr>
        <w:pStyle w:val="BoldCIVITTALightBlue"/>
        <w:rPr>
          <w:lang w:val="ro-RO"/>
        </w:rPr>
      </w:pPr>
      <w:r w:rsidRPr="00F171A3">
        <w:rPr>
          <w:lang w:val="ro-RO"/>
        </w:rPr>
        <w:t>35. Pentru ce categorii de dotări/servicii publice sunteți nevoit/ă să vă deplasați în alt Sector al</w:t>
      </w:r>
    </w:p>
    <w:p w14:paraId="4EFDA124" w14:textId="77777777" w:rsidR="00FE3332" w:rsidRPr="00F171A3" w:rsidRDefault="00FE3332" w:rsidP="00FE3332">
      <w:pPr>
        <w:pStyle w:val="BoldCIVITTALightBlue"/>
        <w:rPr>
          <w:lang w:val="ro-RO"/>
        </w:rPr>
      </w:pPr>
      <w:r w:rsidRPr="00F171A3">
        <w:rPr>
          <w:lang w:val="ro-RO"/>
        </w:rPr>
        <w:t>municipiul București sau în alte localități pentru a avea acces la acestea (dacă este cazul)?</w:t>
      </w:r>
    </w:p>
    <w:p w14:paraId="731BD4A4" w14:textId="77777777" w:rsidR="00FE3332" w:rsidRPr="00F171A3" w:rsidRDefault="00FE3332" w:rsidP="00FE3332">
      <w:r w:rsidRPr="00F171A3">
        <w:t>Respondenții se deplasează în alt sector al municipiului București sau în altă localitate pentru următoarele categorii de dotări:</w:t>
      </w:r>
    </w:p>
    <w:p w14:paraId="0DB99B01" w14:textId="77777777" w:rsidR="00FE3332" w:rsidRPr="00F171A3" w:rsidRDefault="00FE3332">
      <w:pPr>
        <w:pStyle w:val="Bullet"/>
        <w:numPr>
          <w:ilvl w:val="0"/>
          <w:numId w:val="38"/>
        </w:numPr>
      </w:pPr>
      <w:r w:rsidRPr="00F171A3">
        <w:t>Plimbat cu barca;</w:t>
      </w:r>
    </w:p>
    <w:p w14:paraId="247C3FEB" w14:textId="77777777" w:rsidR="00FE3332" w:rsidRPr="00F171A3" w:rsidRDefault="00FE3332">
      <w:pPr>
        <w:pStyle w:val="Bullet"/>
        <w:numPr>
          <w:ilvl w:val="0"/>
          <w:numId w:val="38"/>
        </w:numPr>
      </w:pPr>
      <w:r w:rsidRPr="00F171A3">
        <w:t>Carusel pentru copii;</w:t>
      </w:r>
    </w:p>
    <w:p w14:paraId="4DACE9F2" w14:textId="77777777" w:rsidR="00FE3332" w:rsidRPr="00F171A3" w:rsidRDefault="00FE3332">
      <w:pPr>
        <w:pStyle w:val="Bullet"/>
        <w:numPr>
          <w:ilvl w:val="0"/>
          <w:numId w:val="38"/>
        </w:numPr>
      </w:pPr>
      <w:r w:rsidRPr="00F171A3">
        <w:t>Școala privată;</w:t>
      </w:r>
    </w:p>
    <w:p w14:paraId="7D97BF01" w14:textId="77777777" w:rsidR="00FE3332" w:rsidRPr="00F171A3" w:rsidRDefault="00FE3332">
      <w:pPr>
        <w:pStyle w:val="Bullet"/>
        <w:numPr>
          <w:ilvl w:val="0"/>
          <w:numId w:val="38"/>
        </w:numPr>
      </w:pPr>
      <w:r w:rsidRPr="00F171A3">
        <w:t>Puncte de reciclare a deșeurilor;</w:t>
      </w:r>
    </w:p>
    <w:p w14:paraId="41877E40" w14:textId="77777777" w:rsidR="00FE3332" w:rsidRPr="00F171A3" w:rsidRDefault="00FE3332">
      <w:pPr>
        <w:pStyle w:val="Bullet"/>
        <w:numPr>
          <w:ilvl w:val="0"/>
          <w:numId w:val="38"/>
        </w:numPr>
      </w:pPr>
      <w:r w:rsidRPr="00F171A3">
        <w:t>Patinoar;</w:t>
      </w:r>
    </w:p>
    <w:p w14:paraId="060344E1" w14:textId="77777777" w:rsidR="00FE3332" w:rsidRPr="00F171A3" w:rsidRDefault="00FE3332">
      <w:pPr>
        <w:pStyle w:val="Bullet"/>
        <w:numPr>
          <w:ilvl w:val="0"/>
          <w:numId w:val="38"/>
        </w:numPr>
      </w:pPr>
      <w:r w:rsidRPr="00F171A3">
        <w:t>Înot;</w:t>
      </w:r>
    </w:p>
    <w:p w14:paraId="4676273B" w14:textId="77777777" w:rsidR="00FE3332" w:rsidRPr="00F171A3" w:rsidRDefault="00FE3332">
      <w:pPr>
        <w:pStyle w:val="Bullet"/>
        <w:numPr>
          <w:ilvl w:val="0"/>
          <w:numId w:val="38"/>
        </w:numPr>
      </w:pPr>
      <w:r w:rsidRPr="00F171A3">
        <w:t>Pistă de alergat cu tartan;</w:t>
      </w:r>
    </w:p>
    <w:p w14:paraId="3DCBE4D1" w14:textId="77777777" w:rsidR="00FE3332" w:rsidRPr="00F171A3" w:rsidRDefault="00FE3332">
      <w:pPr>
        <w:pStyle w:val="Bullet"/>
        <w:numPr>
          <w:ilvl w:val="0"/>
          <w:numId w:val="38"/>
        </w:numPr>
      </w:pPr>
      <w:r w:rsidRPr="00F171A3">
        <w:t>Teatre;</w:t>
      </w:r>
    </w:p>
    <w:p w14:paraId="5215EC5C" w14:textId="77777777" w:rsidR="00FE3332" w:rsidRPr="00F171A3" w:rsidRDefault="00FE3332">
      <w:pPr>
        <w:pStyle w:val="Bullet"/>
        <w:numPr>
          <w:ilvl w:val="0"/>
          <w:numId w:val="38"/>
        </w:numPr>
      </w:pPr>
      <w:r w:rsidRPr="00F171A3">
        <w:t>Muzee;</w:t>
      </w:r>
    </w:p>
    <w:p w14:paraId="2E19555F" w14:textId="77777777" w:rsidR="00FE3332" w:rsidRPr="00F171A3" w:rsidRDefault="00FE3332">
      <w:pPr>
        <w:pStyle w:val="Bullet"/>
        <w:numPr>
          <w:ilvl w:val="0"/>
          <w:numId w:val="38"/>
        </w:numPr>
      </w:pPr>
      <w:r w:rsidRPr="00F171A3">
        <w:t>Clinici medicale;</w:t>
      </w:r>
    </w:p>
    <w:p w14:paraId="1CECF016" w14:textId="77777777" w:rsidR="00FE3332" w:rsidRPr="00F171A3" w:rsidRDefault="00FE3332">
      <w:pPr>
        <w:pStyle w:val="Bullet"/>
        <w:numPr>
          <w:ilvl w:val="0"/>
          <w:numId w:val="38"/>
        </w:numPr>
      </w:pPr>
      <w:r w:rsidRPr="00F171A3">
        <w:t>Plimbări (nocturne) în parcuri (ex. IOR);</w:t>
      </w:r>
    </w:p>
    <w:p w14:paraId="48C335E9" w14:textId="77777777" w:rsidR="00FE3332" w:rsidRPr="00F171A3" w:rsidRDefault="00FE3332">
      <w:pPr>
        <w:pStyle w:val="Bullet"/>
        <w:numPr>
          <w:ilvl w:val="0"/>
          <w:numId w:val="38"/>
        </w:numPr>
      </w:pPr>
      <w:r w:rsidRPr="00F171A3">
        <w:t>Zona de Promenadă;</w:t>
      </w:r>
    </w:p>
    <w:p w14:paraId="03F81526" w14:textId="77777777" w:rsidR="00FE3332" w:rsidRPr="00F171A3" w:rsidRDefault="00FE3332">
      <w:pPr>
        <w:pStyle w:val="Bullet"/>
        <w:numPr>
          <w:ilvl w:val="0"/>
          <w:numId w:val="38"/>
        </w:numPr>
      </w:pPr>
      <w:r w:rsidRPr="00F171A3">
        <w:t>Activități culturale diverse;</w:t>
      </w:r>
    </w:p>
    <w:p w14:paraId="5F4FFCB0" w14:textId="77777777" w:rsidR="00FE3332" w:rsidRPr="00F171A3" w:rsidRDefault="00FE3332">
      <w:pPr>
        <w:pStyle w:val="Bullet"/>
        <w:numPr>
          <w:ilvl w:val="0"/>
          <w:numId w:val="38"/>
        </w:numPr>
      </w:pPr>
      <w:r w:rsidRPr="00F171A3">
        <w:t>Gimnastică medicală și de recuperare;</w:t>
      </w:r>
    </w:p>
    <w:p w14:paraId="1A9DDA62" w14:textId="77777777" w:rsidR="00FE3332" w:rsidRPr="00F171A3" w:rsidRDefault="00FE3332">
      <w:pPr>
        <w:pStyle w:val="Bullet"/>
        <w:numPr>
          <w:ilvl w:val="0"/>
          <w:numId w:val="38"/>
        </w:numPr>
      </w:pPr>
      <w:r w:rsidRPr="00F171A3">
        <w:t>Service auto;</w:t>
      </w:r>
    </w:p>
    <w:p w14:paraId="34CFB167" w14:textId="77777777" w:rsidR="00FE3332" w:rsidRPr="00F171A3" w:rsidRDefault="00FE3332">
      <w:pPr>
        <w:pStyle w:val="Bullet"/>
        <w:numPr>
          <w:ilvl w:val="0"/>
          <w:numId w:val="38"/>
        </w:numPr>
      </w:pPr>
      <w:r w:rsidRPr="00F171A3">
        <w:t>Plimbări cu bicicleta în natură.</w:t>
      </w:r>
    </w:p>
    <w:p w14:paraId="101DC37B" w14:textId="77777777" w:rsidR="00FC4217" w:rsidRPr="00F171A3" w:rsidRDefault="00FC4217" w:rsidP="00FE3332">
      <w:pPr>
        <w:pStyle w:val="ActionTitle0"/>
      </w:pPr>
    </w:p>
    <w:p w14:paraId="1ED5810E" w14:textId="0597156E" w:rsidR="00FE3332" w:rsidRPr="00F171A3" w:rsidRDefault="00FE3332" w:rsidP="00FE3332">
      <w:pPr>
        <w:pStyle w:val="ActionTitle0"/>
      </w:pPr>
      <w:r w:rsidRPr="00F171A3">
        <w:t>INFORMAȚII PRIVIND CONTEXTUL PANDEMIEI DE COVID-19</w:t>
      </w:r>
    </w:p>
    <w:p w14:paraId="7FC4B83E" w14:textId="77777777" w:rsidR="00FE3332" w:rsidRPr="00F171A3" w:rsidRDefault="00FE3332" w:rsidP="00FE3332">
      <w:pPr>
        <w:pStyle w:val="BoldCIVITTALightBlue"/>
        <w:rPr>
          <w:lang w:val="ro-RO"/>
        </w:rPr>
      </w:pPr>
      <w:r w:rsidRPr="00F171A3">
        <w:rPr>
          <w:lang w:val="ro-RO"/>
        </w:rPr>
        <w:t>36. Vă rugăm să menționați cum v-a afectat/influențat contextul pandemiei de COVID-19 în</w:t>
      </w:r>
    </w:p>
    <w:p w14:paraId="38DD31A3" w14:textId="77777777" w:rsidR="00FE3332" w:rsidRPr="00F171A3" w:rsidRDefault="00FE3332" w:rsidP="00FE3332">
      <w:pPr>
        <w:pStyle w:val="BoldCIVITTALightBlue"/>
        <w:rPr>
          <w:lang w:val="ro-RO"/>
        </w:rPr>
      </w:pPr>
      <w:r w:rsidRPr="00F171A3">
        <w:rPr>
          <w:lang w:val="ro-RO"/>
        </w:rPr>
        <w:t>ceea ce privește accesul la servicii publice, interacțiunea cu autoritățile locale/instituțiile și</w:t>
      </w:r>
    </w:p>
    <w:p w14:paraId="18C611A9" w14:textId="77777777" w:rsidR="00FE3332" w:rsidRPr="00F171A3" w:rsidRDefault="00FE3332" w:rsidP="00FE3332">
      <w:pPr>
        <w:pStyle w:val="BoldCIVITTALightBlue"/>
        <w:rPr>
          <w:lang w:val="ro-RO"/>
        </w:rPr>
      </w:pPr>
      <w:r w:rsidRPr="00F171A3">
        <w:rPr>
          <w:lang w:val="ro-RO"/>
        </w:rPr>
        <w:t>modul de a vă desfășura activitățile zilnice:</w:t>
      </w:r>
    </w:p>
    <w:p w14:paraId="01A032E6" w14:textId="77777777" w:rsidR="00FE3332" w:rsidRPr="00F171A3" w:rsidRDefault="00FE3332" w:rsidP="00FE3332">
      <w:r w:rsidRPr="00F171A3">
        <w:t>În timp ce circa 1/3 dintre respondenți indică faptul că perioada pandemiei de COVID-19 nu i-a afectat deloc, restul  susțin faptul că această perioadă i-a afectat moderat sau destul de mult. Contextul și perioada pandemiei de COVID-19, în ceea ce privește accesul la servicii publice, interacțiunea cu autoritățile locale/instituțiile și modul de desfășurare a activităților zilnice a afectat o parte dintre locuitorii Sectorului 2 prin următoarele:</w:t>
      </w:r>
    </w:p>
    <w:p w14:paraId="79CD655D" w14:textId="77777777" w:rsidR="00FE3332" w:rsidRPr="00F171A3" w:rsidRDefault="00FE3332">
      <w:pPr>
        <w:pStyle w:val="Bullet"/>
        <w:numPr>
          <w:ilvl w:val="0"/>
          <w:numId w:val="38"/>
        </w:numPr>
      </w:pPr>
      <w:r w:rsidRPr="00F171A3">
        <w:t>Renunțarea la transportul în comun în favoarea mașinii personale;</w:t>
      </w:r>
    </w:p>
    <w:p w14:paraId="57B68963" w14:textId="77777777" w:rsidR="00FE3332" w:rsidRPr="00F171A3" w:rsidRDefault="00FE3332">
      <w:pPr>
        <w:pStyle w:val="Bullet"/>
        <w:numPr>
          <w:ilvl w:val="0"/>
          <w:numId w:val="38"/>
        </w:numPr>
      </w:pPr>
      <w:r w:rsidRPr="00F171A3">
        <w:t>Acces restricționat la serviciile publice;</w:t>
      </w:r>
    </w:p>
    <w:p w14:paraId="10C16FDD" w14:textId="77777777" w:rsidR="00FE3332" w:rsidRPr="00F171A3" w:rsidRDefault="00FE3332">
      <w:pPr>
        <w:pStyle w:val="Bullet"/>
        <w:numPr>
          <w:ilvl w:val="0"/>
          <w:numId w:val="38"/>
        </w:numPr>
      </w:pPr>
      <w:r w:rsidRPr="00F171A3">
        <w:t>Interacțiunea redusă cu autoritățile;</w:t>
      </w:r>
    </w:p>
    <w:p w14:paraId="67ED1D0B" w14:textId="77777777" w:rsidR="00FE3332" w:rsidRPr="00F171A3" w:rsidRDefault="00FE3332">
      <w:pPr>
        <w:pStyle w:val="Bullet"/>
        <w:numPr>
          <w:ilvl w:val="0"/>
          <w:numId w:val="38"/>
        </w:numPr>
      </w:pPr>
      <w:r w:rsidRPr="00F171A3">
        <w:t>Pierderea locului de muncă;</w:t>
      </w:r>
    </w:p>
    <w:p w14:paraId="0E800BD6" w14:textId="77777777" w:rsidR="00FE3332" w:rsidRPr="00F171A3" w:rsidRDefault="00FE3332">
      <w:pPr>
        <w:pStyle w:val="Bullet"/>
        <w:numPr>
          <w:ilvl w:val="0"/>
          <w:numId w:val="38"/>
        </w:numPr>
      </w:pPr>
      <w:r w:rsidRPr="00F171A3">
        <w:t>Schimbarea regimului de muncă la munca remote;</w:t>
      </w:r>
    </w:p>
    <w:p w14:paraId="6152C63D" w14:textId="7AF1E0B4" w:rsidR="00FE3332" w:rsidRPr="00F171A3" w:rsidRDefault="00B1751D">
      <w:pPr>
        <w:pStyle w:val="Bullet"/>
        <w:numPr>
          <w:ilvl w:val="0"/>
          <w:numId w:val="38"/>
        </w:numPr>
      </w:pPr>
      <w:r w:rsidRPr="00F171A3">
        <w:t>Îmbunătățirea</w:t>
      </w:r>
      <w:r w:rsidR="00FE3332" w:rsidRPr="00F171A3">
        <w:t xml:space="preserve"> interacțiunii digitale;</w:t>
      </w:r>
    </w:p>
    <w:p w14:paraId="3F8C0686" w14:textId="792A23F1" w:rsidR="00FE3332" w:rsidRPr="00F171A3" w:rsidRDefault="00FE3332">
      <w:pPr>
        <w:pStyle w:val="Bullet"/>
        <w:numPr>
          <w:ilvl w:val="0"/>
          <w:numId w:val="38"/>
        </w:numPr>
      </w:pPr>
      <w:r w:rsidRPr="00F171A3">
        <w:t xml:space="preserve">Dezvoltarea favorabilă a procesului de </w:t>
      </w:r>
      <w:r w:rsidR="00B1751D" w:rsidRPr="00F171A3">
        <w:t>digitalizare</w:t>
      </w:r>
      <w:r w:rsidRPr="00F171A3">
        <w:t>;</w:t>
      </w:r>
    </w:p>
    <w:p w14:paraId="79E31FE3" w14:textId="77777777" w:rsidR="00FE3332" w:rsidRPr="00F171A3" w:rsidRDefault="00FE3332">
      <w:pPr>
        <w:pStyle w:val="Bullet"/>
        <w:numPr>
          <w:ilvl w:val="0"/>
          <w:numId w:val="38"/>
        </w:numPr>
      </w:pPr>
      <w:r w:rsidRPr="00F171A3">
        <w:t>Accesul la servicii de sănătate restricționat;</w:t>
      </w:r>
    </w:p>
    <w:p w14:paraId="194B462C" w14:textId="77777777" w:rsidR="00FE3332" w:rsidRPr="00F171A3" w:rsidRDefault="00FE3332">
      <w:pPr>
        <w:pStyle w:val="Bullet"/>
        <w:numPr>
          <w:ilvl w:val="0"/>
          <w:numId w:val="38"/>
        </w:numPr>
      </w:pPr>
      <w:r w:rsidRPr="00F171A3">
        <w:t>Reducerea frecvenței deplasărilor;</w:t>
      </w:r>
    </w:p>
    <w:p w14:paraId="77CFBF74" w14:textId="77777777" w:rsidR="00FE3332" w:rsidRPr="00F171A3" w:rsidRDefault="00FE3332">
      <w:pPr>
        <w:pStyle w:val="Bullet"/>
        <w:numPr>
          <w:ilvl w:val="0"/>
          <w:numId w:val="38"/>
        </w:numPr>
      </w:pPr>
      <w:r w:rsidRPr="00F171A3">
        <w:t>Accesul redus la zonele comercial;</w:t>
      </w:r>
    </w:p>
    <w:p w14:paraId="77F0AB31" w14:textId="77777777" w:rsidR="00FE3332" w:rsidRPr="00F171A3" w:rsidRDefault="00FE3332">
      <w:pPr>
        <w:pStyle w:val="Bullet"/>
        <w:numPr>
          <w:ilvl w:val="0"/>
          <w:numId w:val="38"/>
        </w:numPr>
      </w:pPr>
      <w:r w:rsidRPr="00F171A3">
        <w:t>Accesul restricționat în desfășurarea diverselor activități.</w:t>
      </w:r>
    </w:p>
    <w:p w14:paraId="66E45FEC" w14:textId="77777777" w:rsidR="00FE3332" w:rsidRPr="00F171A3" w:rsidRDefault="00FE3332" w:rsidP="00FE3332">
      <w:pPr>
        <w:pStyle w:val="BoldCIVITTALightBlue"/>
        <w:rPr>
          <w:lang w:val="ro-RO"/>
        </w:rPr>
      </w:pPr>
      <w:r w:rsidRPr="00F171A3">
        <w:rPr>
          <w:lang w:val="ro-RO"/>
        </w:rPr>
        <w:t>37. În cazul apariției unei noi pandemii sau a unei situații de criză, care sunt măsurile pe care considerați că ar trebui să le adopte Primăria Sectorului 2 în ceea ce privește accesul la servicii publice și modul de a vă desfășura activitățile zilnice?</w:t>
      </w:r>
    </w:p>
    <w:p w14:paraId="6240DAF1" w14:textId="77777777" w:rsidR="00FE3332" w:rsidRPr="00F171A3" w:rsidRDefault="00FE3332" w:rsidP="00FE3332">
      <w:r w:rsidRPr="00F171A3">
        <w:t>În cazul apariției unei noi pandemii sau a unei situații de criză, respondenții consideră necesar ca Primăria Sectorului 2 să adopte în ceea ce privește accesul la servicii publice și modul de desfășurare a activităților zilnice, în linii generale, măsuri precum:</w:t>
      </w:r>
    </w:p>
    <w:p w14:paraId="6D1C3334" w14:textId="77777777" w:rsidR="00FE3332" w:rsidRPr="00F171A3" w:rsidRDefault="00FE3332">
      <w:pPr>
        <w:pStyle w:val="Bullet"/>
        <w:numPr>
          <w:ilvl w:val="0"/>
          <w:numId w:val="38"/>
        </w:numPr>
      </w:pPr>
      <w:r w:rsidRPr="00F171A3">
        <w:t>Facilitarea accesului la alimentație și servicii de igienă și sănătate;</w:t>
      </w:r>
    </w:p>
    <w:p w14:paraId="6DE5420E" w14:textId="77777777" w:rsidR="00FE3332" w:rsidRPr="00F171A3" w:rsidRDefault="00FE3332">
      <w:pPr>
        <w:pStyle w:val="Bullet"/>
        <w:numPr>
          <w:ilvl w:val="0"/>
          <w:numId w:val="38"/>
        </w:numPr>
      </w:pPr>
      <w:r w:rsidRPr="00F171A3">
        <w:t>Îmbunătățirea accesului la servicii și informații publice;</w:t>
      </w:r>
    </w:p>
    <w:p w14:paraId="0F241025" w14:textId="77777777" w:rsidR="00FE3332" w:rsidRPr="00F171A3" w:rsidRDefault="00FE3332">
      <w:pPr>
        <w:pStyle w:val="Bullet"/>
        <w:numPr>
          <w:ilvl w:val="0"/>
          <w:numId w:val="38"/>
        </w:numPr>
      </w:pPr>
      <w:r w:rsidRPr="00F171A3">
        <w:t>Dezvoltarea și exploatarea digitalizării;</w:t>
      </w:r>
    </w:p>
    <w:p w14:paraId="758C150F" w14:textId="77777777" w:rsidR="00FE3332" w:rsidRPr="00F171A3" w:rsidRDefault="00FE3332">
      <w:pPr>
        <w:pStyle w:val="Bullet"/>
        <w:numPr>
          <w:ilvl w:val="0"/>
          <w:numId w:val="38"/>
        </w:numPr>
      </w:pPr>
      <w:r w:rsidRPr="00F171A3">
        <w:t>Digitalizarea tuturor serviciilor;</w:t>
      </w:r>
    </w:p>
    <w:p w14:paraId="1A10D471" w14:textId="77777777" w:rsidR="00FE3332" w:rsidRPr="00F171A3" w:rsidRDefault="00FE3332">
      <w:pPr>
        <w:pStyle w:val="Bullet"/>
        <w:numPr>
          <w:ilvl w:val="0"/>
          <w:numId w:val="38"/>
        </w:numPr>
      </w:pPr>
      <w:r w:rsidRPr="00F171A3">
        <w:t>Eficientizarea departamentelor de call center;</w:t>
      </w:r>
    </w:p>
    <w:p w14:paraId="12B2AD6C" w14:textId="77777777" w:rsidR="00FE3332" w:rsidRPr="00F171A3" w:rsidRDefault="00FE3332">
      <w:pPr>
        <w:pStyle w:val="Bullet"/>
        <w:numPr>
          <w:ilvl w:val="0"/>
          <w:numId w:val="38"/>
        </w:numPr>
      </w:pPr>
      <w:r w:rsidRPr="00F171A3">
        <w:t>Aprofundarea comunicării și consultanței telefonice și digitale;</w:t>
      </w:r>
    </w:p>
    <w:p w14:paraId="6BB3CED1" w14:textId="77777777" w:rsidR="00FE3332" w:rsidRPr="00F171A3" w:rsidRDefault="00FE3332">
      <w:pPr>
        <w:pStyle w:val="Bullet"/>
        <w:numPr>
          <w:ilvl w:val="0"/>
          <w:numId w:val="38"/>
        </w:numPr>
      </w:pPr>
      <w:r w:rsidRPr="00F171A3">
        <w:t>Măsuri de reducere a birocrației;</w:t>
      </w:r>
    </w:p>
    <w:p w14:paraId="6C1205CF" w14:textId="77777777" w:rsidR="00FE3332" w:rsidRPr="00F171A3" w:rsidRDefault="00FE3332">
      <w:pPr>
        <w:pStyle w:val="Bullet"/>
        <w:numPr>
          <w:ilvl w:val="0"/>
          <w:numId w:val="38"/>
        </w:numPr>
      </w:pPr>
      <w:r w:rsidRPr="00F171A3">
        <w:t>Îmbunătățirea platformelor online;</w:t>
      </w:r>
    </w:p>
    <w:p w14:paraId="0A75C6F8" w14:textId="77777777" w:rsidR="00FE3332" w:rsidRPr="00F171A3" w:rsidRDefault="00FE3332">
      <w:pPr>
        <w:pStyle w:val="Bullet"/>
        <w:numPr>
          <w:ilvl w:val="0"/>
          <w:numId w:val="38"/>
        </w:numPr>
      </w:pPr>
      <w:r w:rsidRPr="00F171A3">
        <w:t>Sprijin sanitar.</w:t>
      </w:r>
    </w:p>
    <w:p w14:paraId="318C720D" w14:textId="77777777" w:rsidR="00FC4217" w:rsidRPr="00F171A3" w:rsidRDefault="00FC4217" w:rsidP="00FE3332">
      <w:pPr>
        <w:pStyle w:val="BoldCIVITTALightBlue"/>
        <w:rPr>
          <w:lang w:val="ro-RO"/>
        </w:rPr>
      </w:pPr>
    </w:p>
    <w:p w14:paraId="635ED9CE" w14:textId="60E0F7BA" w:rsidR="00FE3332" w:rsidRPr="00F171A3" w:rsidRDefault="00FE3332" w:rsidP="00FE3332">
      <w:pPr>
        <w:pStyle w:val="BoldCIVITTALightBlue"/>
        <w:rPr>
          <w:lang w:val="ro-RO"/>
        </w:rPr>
      </w:pPr>
      <w:r w:rsidRPr="00F171A3">
        <w:rPr>
          <w:lang w:val="ro-RO"/>
        </w:rPr>
        <w:t>38. Vă rugăm să menționați orice alte aspecte pe care le considerați relevante pentru Strategia de Dezvoltare Locală a Sectorului 2:</w:t>
      </w:r>
    </w:p>
    <w:p w14:paraId="48D69924" w14:textId="77777777" w:rsidR="00FE3332" w:rsidRPr="00F171A3" w:rsidRDefault="00FE3332" w:rsidP="00FE3332">
      <w:r w:rsidRPr="00F171A3">
        <w:t>În cadrul acestei întrebări finale, respondenții mai aprofundează sau aduc în discuție alte aspecte pe care le consideră relevante pentru Strategia de Dezvoltare Locală a Sectorului 2. Aceștia se referă în special la următoarele:</w:t>
      </w:r>
    </w:p>
    <w:tbl>
      <w:tblPr>
        <w:tblStyle w:val="ColorfulGrid-Accent1"/>
        <w:tblW w:w="0" w:type="auto"/>
        <w:tblBorders>
          <w:insideH w:val="none" w:sz="0" w:space="0" w:color="auto"/>
        </w:tblBorders>
        <w:tblLook w:val="0400" w:firstRow="0" w:lastRow="0" w:firstColumn="0" w:lastColumn="0" w:noHBand="0" w:noVBand="1"/>
      </w:tblPr>
      <w:tblGrid>
        <w:gridCol w:w="9445"/>
      </w:tblGrid>
      <w:tr w:rsidR="00FE3332" w:rsidRPr="00F171A3" w14:paraId="6A0ACBFA"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6BBDC3BB" w14:textId="77777777" w:rsidR="00FE3332" w:rsidRPr="00F171A3" w:rsidRDefault="00FE3332">
            <w:pPr>
              <w:pStyle w:val="Bullet"/>
              <w:numPr>
                <w:ilvl w:val="0"/>
                <w:numId w:val="38"/>
              </w:numPr>
            </w:pPr>
            <w:r w:rsidRPr="00F171A3">
              <w:t>Implementarea de soluții pentru problema parcărilor insuficiente</w:t>
            </w:r>
          </w:p>
        </w:tc>
      </w:tr>
      <w:tr w:rsidR="00FE3332" w:rsidRPr="00F171A3" w14:paraId="24C50B23" w14:textId="77777777" w:rsidTr="009D2E2C">
        <w:tc>
          <w:tcPr>
            <w:tcW w:w="9553" w:type="dxa"/>
          </w:tcPr>
          <w:p w14:paraId="3B401727" w14:textId="77777777" w:rsidR="00FE3332" w:rsidRPr="00F171A3" w:rsidRDefault="00FE3332">
            <w:pPr>
              <w:pStyle w:val="Bullet"/>
              <w:numPr>
                <w:ilvl w:val="0"/>
                <w:numId w:val="38"/>
              </w:numPr>
              <w:rPr>
                <w:rFonts w:ascii="Avenir Next Demi Bold" w:hAnsi="Avenir Next Demi Bold" w:cs="Arial"/>
                <w:bCs w:val="0"/>
                <w:szCs w:val="20"/>
              </w:rPr>
            </w:pPr>
            <w:r w:rsidRPr="00F171A3">
              <w:t>Eficientizarea planului urbanistic</w:t>
            </w:r>
          </w:p>
        </w:tc>
      </w:tr>
      <w:tr w:rsidR="00FE3332" w:rsidRPr="00F171A3" w14:paraId="28C3E62E"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3648FAA2" w14:textId="77777777" w:rsidR="00FE3332" w:rsidRPr="00F171A3" w:rsidRDefault="00FE3332">
            <w:pPr>
              <w:pStyle w:val="Bullet"/>
              <w:numPr>
                <w:ilvl w:val="0"/>
                <w:numId w:val="38"/>
              </w:numPr>
            </w:pPr>
            <w:r w:rsidRPr="00F171A3">
              <w:t>Implementarea măsurilor de eficientizare a menținerii curățeniei stradale</w:t>
            </w:r>
          </w:p>
        </w:tc>
      </w:tr>
      <w:tr w:rsidR="00FE3332" w:rsidRPr="00F171A3" w14:paraId="18FAB31C" w14:textId="77777777" w:rsidTr="009D2E2C">
        <w:tc>
          <w:tcPr>
            <w:tcW w:w="9553" w:type="dxa"/>
          </w:tcPr>
          <w:p w14:paraId="7E623791" w14:textId="77777777" w:rsidR="00FE3332" w:rsidRPr="00F171A3" w:rsidRDefault="00FE3332">
            <w:pPr>
              <w:pStyle w:val="Bullet"/>
              <w:numPr>
                <w:ilvl w:val="0"/>
                <w:numId w:val="38"/>
              </w:numPr>
            </w:pPr>
            <w:r w:rsidRPr="00F171A3">
              <w:t>Implicarea locuitorilor în procesele de dezvoltare și îmbunătățire a Sectorului 2; Sporirea numărului de consultări publice</w:t>
            </w:r>
          </w:p>
        </w:tc>
      </w:tr>
      <w:tr w:rsidR="00FE3332" w:rsidRPr="00F171A3" w14:paraId="32ABE952"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64B5EF58" w14:textId="77777777" w:rsidR="00FE3332" w:rsidRPr="00F171A3" w:rsidRDefault="00FE3332">
            <w:pPr>
              <w:pStyle w:val="Bullet"/>
              <w:numPr>
                <w:ilvl w:val="0"/>
                <w:numId w:val="38"/>
              </w:numPr>
            </w:pPr>
            <w:r w:rsidRPr="00F171A3">
              <w:t>Creșterea continuă a spațiilor verzi</w:t>
            </w:r>
          </w:p>
        </w:tc>
      </w:tr>
      <w:tr w:rsidR="00FE3332" w:rsidRPr="00F171A3" w14:paraId="3A29D225" w14:textId="77777777" w:rsidTr="009D2E2C">
        <w:tc>
          <w:tcPr>
            <w:tcW w:w="9553" w:type="dxa"/>
          </w:tcPr>
          <w:p w14:paraId="0822CD47" w14:textId="77777777" w:rsidR="00FE3332" w:rsidRPr="00F171A3" w:rsidRDefault="00FE3332">
            <w:pPr>
              <w:pStyle w:val="Bullet"/>
              <w:numPr>
                <w:ilvl w:val="0"/>
                <w:numId w:val="38"/>
              </w:numPr>
            </w:pPr>
            <w:r w:rsidRPr="00F171A3">
              <w:t>Măsuri de eliberare și păstrare a trotuarelor libere pentru pieton</w:t>
            </w:r>
          </w:p>
        </w:tc>
      </w:tr>
      <w:tr w:rsidR="00FE3332" w:rsidRPr="00F171A3" w14:paraId="60C75B51"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716F9581" w14:textId="77777777" w:rsidR="00FE3332" w:rsidRPr="00F171A3" w:rsidRDefault="00FE3332">
            <w:pPr>
              <w:pStyle w:val="Bullet"/>
              <w:numPr>
                <w:ilvl w:val="0"/>
                <w:numId w:val="38"/>
              </w:numPr>
            </w:pPr>
            <w:r w:rsidRPr="00F171A3">
              <w:t>Implementarea și exploatarea măsurilor de utilizare a energiei verzi și a măsurilor verzi</w:t>
            </w:r>
          </w:p>
        </w:tc>
      </w:tr>
      <w:tr w:rsidR="00FE3332" w:rsidRPr="00F171A3" w14:paraId="381DE1FF" w14:textId="77777777" w:rsidTr="009D2E2C">
        <w:tc>
          <w:tcPr>
            <w:tcW w:w="9553" w:type="dxa"/>
          </w:tcPr>
          <w:p w14:paraId="5B070A2A" w14:textId="77777777" w:rsidR="00FE3332" w:rsidRPr="00F171A3" w:rsidRDefault="00FE3332">
            <w:pPr>
              <w:pStyle w:val="Bullet"/>
              <w:numPr>
                <w:ilvl w:val="0"/>
                <w:numId w:val="38"/>
              </w:numPr>
            </w:pPr>
            <w:r w:rsidRPr="00F171A3">
              <w:t>Amenajarea de noi spații de joacă pentru copii</w:t>
            </w:r>
          </w:p>
        </w:tc>
      </w:tr>
      <w:tr w:rsidR="00FE3332" w:rsidRPr="00F171A3" w14:paraId="0E98D341"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6D73CD53" w14:textId="77777777" w:rsidR="00FE3332" w:rsidRPr="00F171A3" w:rsidRDefault="00FE3332">
            <w:pPr>
              <w:pStyle w:val="Bullet"/>
              <w:numPr>
                <w:ilvl w:val="0"/>
                <w:numId w:val="38"/>
              </w:numPr>
            </w:pPr>
            <w:r w:rsidRPr="00F171A3">
              <w:t>Crearea unui mecanism de sesizare a problemelor</w:t>
            </w:r>
          </w:p>
        </w:tc>
      </w:tr>
      <w:tr w:rsidR="00FE3332" w:rsidRPr="00F171A3" w14:paraId="7EECEE93" w14:textId="77777777" w:rsidTr="009D2E2C">
        <w:tc>
          <w:tcPr>
            <w:tcW w:w="9553" w:type="dxa"/>
          </w:tcPr>
          <w:p w14:paraId="17ED1FE2" w14:textId="77777777" w:rsidR="00FE3332" w:rsidRPr="00F171A3" w:rsidRDefault="00FE3332">
            <w:pPr>
              <w:pStyle w:val="Bullet"/>
              <w:numPr>
                <w:ilvl w:val="0"/>
                <w:numId w:val="38"/>
              </w:numPr>
            </w:pPr>
            <w:r w:rsidRPr="00F171A3">
              <w:t>Măsuri de eficientizare a procesului de colectare selectivă</w:t>
            </w:r>
          </w:p>
        </w:tc>
      </w:tr>
      <w:tr w:rsidR="00FE3332" w:rsidRPr="00F171A3" w14:paraId="4E964136"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6289768F" w14:textId="77777777" w:rsidR="00FE3332" w:rsidRPr="00F171A3" w:rsidRDefault="00FE3332">
            <w:pPr>
              <w:pStyle w:val="Bullet"/>
              <w:numPr>
                <w:ilvl w:val="0"/>
                <w:numId w:val="38"/>
              </w:numPr>
            </w:pPr>
            <w:r w:rsidRPr="00F171A3">
              <w:t>Dotarea și modernizarea spitalelor</w:t>
            </w:r>
          </w:p>
        </w:tc>
      </w:tr>
      <w:tr w:rsidR="00FE3332" w:rsidRPr="00F171A3" w14:paraId="2FFFBE76" w14:textId="77777777" w:rsidTr="009D2E2C">
        <w:tc>
          <w:tcPr>
            <w:tcW w:w="9553" w:type="dxa"/>
          </w:tcPr>
          <w:p w14:paraId="755098B8" w14:textId="77777777" w:rsidR="00FE3332" w:rsidRPr="00F171A3" w:rsidRDefault="00FE3332">
            <w:pPr>
              <w:pStyle w:val="Bullet"/>
              <w:numPr>
                <w:ilvl w:val="0"/>
                <w:numId w:val="38"/>
              </w:numPr>
            </w:pPr>
            <w:r w:rsidRPr="00F171A3">
              <w:t>Îmbunătățirea infrastructurii rutiere (calitatea străzilor)</w:t>
            </w:r>
          </w:p>
        </w:tc>
      </w:tr>
      <w:tr w:rsidR="00FE3332" w:rsidRPr="00F171A3" w14:paraId="3A543789"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013A72D6" w14:textId="77777777" w:rsidR="00FE3332" w:rsidRPr="00F171A3" w:rsidRDefault="00FE3332">
            <w:pPr>
              <w:pStyle w:val="Bullet"/>
              <w:numPr>
                <w:ilvl w:val="0"/>
                <w:numId w:val="38"/>
              </w:numPr>
            </w:pPr>
            <w:r w:rsidRPr="00F171A3">
              <w:t>Elaborarea unei strategii economice</w:t>
            </w:r>
          </w:p>
        </w:tc>
      </w:tr>
      <w:tr w:rsidR="00FE3332" w:rsidRPr="00F171A3" w14:paraId="6C19ED2B" w14:textId="77777777" w:rsidTr="009D2E2C">
        <w:tc>
          <w:tcPr>
            <w:tcW w:w="9553" w:type="dxa"/>
          </w:tcPr>
          <w:p w14:paraId="4BE35AA9" w14:textId="77777777" w:rsidR="00FE3332" w:rsidRPr="00F171A3" w:rsidRDefault="00FE3332">
            <w:pPr>
              <w:pStyle w:val="Bullet"/>
              <w:numPr>
                <w:ilvl w:val="0"/>
                <w:numId w:val="38"/>
              </w:numPr>
            </w:pPr>
            <w:r w:rsidRPr="00F171A3">
              <w:t>Valorificarea monumentelor istorice</w:t>
            </w:r>
          </w:p>
        </w:tc>
      </w:tr>
      <w:tr w:rsidR="00FE3332" w:rsidRPr="00F171A3" w14:paraId="28E10EA6"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39AC7A6A" w14:textId="77777777" w:rsidR="00FE3332" w:rsidRPr="00F171A3" w:rsidRDefault="00FE3332">
            <w:pPr>
              <w:pStyle w:val="Bullet"/>
              <w:numPr>
                <w:ilvl w:val="0"/>
                <w:numId w:val="38"/>
              </w:numPr>
            </w:pPr>
            <w:r w:rsidRPr="00F171A3">
              <w:t>Măsuri de fluidizare a traficului</w:t>
            </w:r>
          </w:p>
        </w:tc>
      </w:tr>
      <w:tr w:rsidR="00FE3332" w:rsidRPr="00F171A3" w14:paraId="40A12D51" w14:textId="77777777" w:rsidTr="009D2E2C">
        <w:tc>
          <w:tcPr>
            <w:tcW w:w="9553" w:type="dxa"/>
          </w:tcPr>
          <w:p w14:paraId="5CFBBD7C" w14:textId="77777777" w:rsidR="00FE3332" w:rsidRPr="00F171A3" w:rsidRDefault="00FE3332">
            <w:pPr>
              <w:pStyle w:val="Bullet"/>
              <w:numPr>
                <w:ilvl w:val="0"/>
                <w:numId w:val="38"/>
              </w:numPr>
            </w:pPr>
            <w:r w:rsidRPr="00F171A3">
              <w:t>Identificarea unor soluții de îmbunătățire a calității aerului</w:t>
            </w:r>
          </w:p>
        </w:tc>
      </w:tr>
      <w:tr w:rsidR="00FE3332" w:rsidRPr="00F171A3" w14:paraId="76FA31D5"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02544C27" w14:textId="77777777" w:rsidR="00FE3332" w:rsidRPr="00F171A3" w:rsidRDefault="00FE3332">
            <w:pPr>
              <w:pStyle w:val="Bullet"/>
              <w:numPr>
                <w:ilvl w:val="0"/>
                <w:numId w:val="38"/>
              </w:numPr>
            </w:pPr>
            <w:r w:rsidRPr="00F171A3">
              <w:t>Îmbunătățirea colaborării cu asociațiile de proprietari</w:t>
            </w:r>
          </w:p>
        </w:tc>
      </w:tr>
      <w:tr w:rsidR="00FE3332" w:rsidRPr="00F171A3" w14:paraId="5205D6A2" w14:textId="77777777" w:rsidTr="009D2E2C">
        <w:tc>
          <w:tcPr>
            <w:tcW w:w="9553" w:type="dxa"/>
          </w:tcPr>
          <w:p w14:paraId="7756A506" w14:textId="77777777" w:rsidR="00FE3332" w:rsidRPr="00F171A3" w:rsidRDefault="00FE3332">
            <w:pPr>
              <w:pStyle w:val="Bullet"/>
              <w:numPr>
                <w:ilvl w:val="0"/>
                <w:numId w:val="38"/>
              </w:numPr>
            </w:pPr>
            <w:r w:rsidRPr="00F171A3">
              <w:t>Continuarea proceselor de anvelopare a blocurilor</w:t>
            </w:r>
          </w:p>
        </w:tc>
      </w:tr>
      <w:tr w:rsidR="00FE3332" w:rsidRPr="00F171A3" w14:paraId="59CEBFC8"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4507DDA4" w14:textId="77777777" w:rsidR="00FE3332" w:rsidRPr="00F171A3" w:rsidRDefault="00FE3332">
            <w:pPr>
              <w:pStyle w:val="Bullet"/>
              <w:numPr>
                <w:ilvl w:val="0"/>
                <w:numId w:val="38"/>
              </w:numPr>
            </w:pPr>
            <w:r w:rsidRPr="00F171A3">
              <w:t>Îmbunătățirea rețelei de termoficare</w:t>
            </w:r>
          </w:p>
        </w:tc>
      </w:tr>
      <w:tr w:rsidR="00FE3332" w:rsidRPr="00F171A3" w14:paraId="7F057A37" w14:textId="77777777" w:rsidTr="009D2E2C">
        <w:tc>
          <w:tcPr>
            <w:tcW w:w="9553" w:type="dxa"/>
          </w:tcPr>
          <w:p w14:paraId="6BA04860" w14:textId="77777777" w:rsidR="00FE3332" w:rsidRPr="00F171A3" w:rsidRDefault="00FE3332">
            <w:pPr>
              <w:pStyle w:val="Bullet"/>
              <w:numPr>
                <w:ilvl w:val="0"/>
                <w:numId w:val="38"/>
              </w:numPr>
            </w:pPr>
            <w:r w:rsidRPr="00F171A3">
              <w:t>Amplificarea activității poliției locale</w:t>
            </w:r>
          </w:p>
        </w:tc>
      </w:tr>
      <w:tr w:rsidR="00FE3332" w:rsidRPr="00F171A3" w14:paraId="64EB31FE"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102E8D30" w14:textId="77777777" w:rsidR="00FE3332" w:rsidRPr="00F171A3" w:rsidRDefault="00FE3332">
            <w:pPr>
              <w:pStyle w:val="Bullet"/>
              <w:numPr>
                <w:ilvl w:val="0"/>
                <w:numId w:val="38"/>
              </w:numPr>
            </w:pPr>
            <w:r w:rsidRPr="00F171A3">
              <w:t xml:space="preserve">Punerea în valoare a lacurilor </w:t>
            </w:r>
          </w:p>
        </w:tc>
      </w:tr>
      <w:tr w:rsidR="00FE3332" w:rsidRPr="00F171A3" w14:paraId="7CD1A64B" w14:textId="77777777" w:rsidTr="009D2E2C">
        <w:tc>
          <w:tcPr>
            <w:tcW w:w="9553" w:type="dxa"/>
          </w:tcPr>
          <w:p w14:paraId="2DE9C906" w14:textId="77777777" w:rsidR="00FE3332" w:rsidRPr="00F171A3" w:rsidRDefault="00FE3332">
            <w:pPr>
              <w:pStyle w:val="Bullet"/>
              <w:numPr>
                <w:ilvl w:val="0"/>
                <w:numId w:val="38"/>
              </w:numPr>
            </w:pPr>
            <w:r w:rsidRPr="00F171A3">
              <w:t>Crearea rastelurilor pentru biciclete la zonele de reședințe</w:t>
            </w:r>
          </w:p>
        </w:tc>
      </w:tr>
      <w:tr w:rsidR="00FE3332" w:rsidRPr="00F171A3" w14:paraId="2FF257A1" w14:textId="77777777" w:rsidTr="009D2E2C">
        <w:trPr>
          <w:cnfStyle w:val="000000100000" w:firstRow="0" w:lastRow="0" w:firstColumn="0" w:lastColumn="0" w:oddVBand="0" w:evenVBand="0" w:oddHBand="1" w:evenHBand="0" w:firstRowFirstColumn="0" w:firstRowLastColumn="0" w:lastRowFirstColumn="0" w:lastRowLastColumn="0"/>
        </w:trPr>
        <w:tc>
          <w:tcPr>
            <w:tcW w:w="9553" w:type="dxa"/>
          </w:tcPr>
          <w:p w14:paraId="11E59784" w14:textId="77777777" w:rsidR="00FE3332" w:rsidRPr="00F171A3" w:rsidRDefault="00FE3332">
            <w:pPr>
              <w:pStyle w:val="Bullet"/>
              <w:numPr>
                <w:ilvl w:val="0"/>
                <w:numId w:val="38"/>
              </w:numPr>
            </w:pPr>
            <w:r w:rsidRPr="00F171A3">
              <w:t>Refacerea marcajelor rutiere</w:t>
            </w:r>
          </w:p>
        </w:tc>
      </w:tr>
      <w:tr w:rsidR="00FE3332" w:rsidRPr="00F171A3" w14:paraId="6B623D7D" w14:textId="77777777" w:rsidTr="009D2E2C">
        <w:tc>
          <w:tcPr>
            <w:tcW w:w="9553" w:type="dxa"/>
          </w:tcPr>
          <w:p w14:paraId="7F18898F" w14:textId="77777777" w:rsidR="00FE3332" w:rsidRPr="00F171A3" w:rsidRDefault="00FE3332">
            <w:pPr>
              <w:pStyle w:val="Bullet"/>
              <w:numPr>
                <w:ilvl w:val="0"/>
                <w:numId w:val="38"/>
              </w:numPr>
            </w:pPr>
            <w:r w:rsidRPr="00F171A3">
              <w:t xml:space="preserve">Măsuri de eficientizare și dezvoltare al transportului în comun în toate zonele </w:t>
            </w:r>
          </w:p>
        </w:tc>
      </w:tr>
    </w:tbl>
    <w:p w14:paraId="57BA0DF6" w14:textId="77777777" w:rsidR="00FE3332" w:rsidRPr="00F171A3" w:rsidRDefault="00FE3332" w:rsidP="00FE3332"/>
    <w:p w14:paraId="36736165" w14:textId="4E669CD7" w:rsidR="00FE3332" w:rsidRPr="00F171A3" w:rsidRDefault="00FE3332" w:rsidP="00FE3332">
      <w:pPr>
        <w:pStyle w:val="Heading3"/>
        <w:rPr>
          <w:lang w:val="ro-RO"/>
        </w:rPr>
      </w:pPr>
      <w:bookmarkStart w:id="530" w:name="_Toc127199356"/>
      <w:r w:rsidRPr="00F171A3">
        <w:rPr>
          <w:lang w:val="ro-RO"/>
        </w:rPr>
        <w:t>CHESTIONAR DEDICAT ADMINISTRAȚIEI PUBLICE DE LA NIVELUL PRIMĂRIEI SECTORULUI 2</w:t>
      </w:r>
      <w:bookmarkEnd w:id="530"/>
    </w:p>
    <w:p w14:paraId="731FEC8C" w14:textId="77777777" w:rsidR="00FE3332" w:rsidRPr="00F171A3" w:rsidRDefault="00FE3332" w:rsidP="00FE3332">
      <w:r w:rsidRPr="00F171A3">
        <w:t>Procesul de elaborare a Strategiei de Dezvoltare Locală Integrată și Durabilă a Sectorului 2 pentru perioada 2016 – 2025 include și  demersul de consultare a personalului care își desfășoară activitatea în cadrul Primăriei, atât cel de execuție, cât și de conducere, pentru a identifica principalele provocări de dezvoltare și coerență organizațională care trebuie abordate prin procesul de planificare strategică. Chestionarul a fost creat pe baza unei analize preliminare a literaturii și a datelor disponibile, structura acestuia fiind împărțită în mai multe categorii:</w:t>
      </w:r>
    </w:p>
    <w:p w14:paraId="2AC2B830" w14:textId="77777777" w:rsidR="00FE3332" w:rsidRPr="00F171A3" w:rsidRDefault="00FE3332">
      <w:pPr>
        <w:pStyle w:val="Bullet"/>
        <w:numPr>
          <w:ilvl w:val="0"/>
          <w:numId w:val="38"/>
        </w:numPr>
      </w:pPr>
      <w:r w:rsidRPr="00F171A3">
        <w:rPr>
          <w:b/>
        </w:rPr>
        <w:t>Informații generale</w:t>
      </w:r>
      <w:r w:rsidRPr="00F171A3">
        <w:t xml:space="preserve"> în cadrul căreia respondenții au fost rugați să ofere informații legate de vârstă, gen și funcția ocupată;</w:t>
      </w:r>
    </w:p>
    <w:p w14:paraId="0B20D0B3" w14:textId="77777777" w:rsidR="00FE3332" w:rsidRPr="00F171A3" w:rsidRDefault="00FE3332">
      <w:pPr>
        <w:pStyle w:val="Bullet"/>
        <w:numPr>
          <w:ilvl w:val="0"/>
          <w:numId w:val="38"/>
        </w:numPr>
      </w:pPr>
      <w:r w:rsidRPr="00F171A3">
        <w:rPr>
          <w:b/>
        </w:rPr>
        <w:t>Contextul strategic instituțional</w:t>
      </w:r>
      <w:r w:rsidRPr="00F171A3">
        <w:t>, în cadrul căreia se urmărea gradul de cunoaștere și implicare a respondenților în obiectivele consiliului, gradul de cunoaștere, implicare și participare în strategiile și obiectivele strategice la care se raportează munca acestora;</w:t>
      </w:r>
    </w:p>
    <w:p w14:paraId="04F30C8B" w14:textId="77777777" w:rsidR="00FE3332" w:rsidRPr="00F171A3" w:rsidRDefault="00FE3332">
      <w:pPr>
        <w:pStyle w:val="Bullet"/>
        <w:numPr>
          <w:ilvl w:val="0"/>
          <w:numId w:val="38"/>
        </w:numPr>
      </w:pPr>
      <w:r w:rsidRPr="00F171A3">
        <w:rPr>
          <w:b/>
        </w:rPr>
        <w:t>Contextul instituțional operațional</w:t>
      </w:r>
      <w:r w:rsidRPr="00F171A3">
        <w:t>, în cadrul căreia se urmăresc modalități de comunicare în cadrul instituției, vechimea echipamentelor cu care se lucrează, soluțiile informatice disponibile și nivelul de competențe în domeniu utilizării echipamentelor digitale;</w:t>
      </w:r>
    </w:p>
    <w:p w14:paraId="7B34D5BB" w14:textId="77777777" w:rsidR="00FE3332" w:rsidRPr="00F171A3" w:rsidRDefault="00FE3332">
      <w:pPr>
        <w:pStyle w:val="Bullet"/>
        <w:numPr>
          <w:ilvl w:val="0"/>
          <w:numId w:val="38"/>
        </w:numPr>
      </w:pPr>
      <w:r w:rsidRPr="00F171A3">
        <w:rPr>
          <w:b/>
        </w:rPr>
        <w:t>Formare profesională</w:t>
      </w:r>
      <w:r w:rsidRPr="00F171A3">
        <w:t>, în cadrul căreia se urmărește  măsura în care unele  programe / domenii de formare ar contribui la îndeplinirea obiectivelor departamentale și atribuțiilor structurii funcționale, domeniile de formare preferate de respondenți și tipurile de formare preferată.</w:t>
      </w:r>
    </w:p>
    <w:p w14:paraId="34F871B4" w14:textId="0344BB2E" w:rsidR="00FE3332" w:rsidRPr="00F171A3" w:rsidRDefault="00FE3332" w:rsidP="00FE3332">
      <w:r w:rsidRPr="00F171A3">
        <w:t xml:space="preserve">Chestionarul a fost disponibil pentru completare timp </w:t>
      </w:r>
      <w:r w:rsidR="00906AEC" w:rsidRPr="00F171A3">
        <w:t xml:space="preserve">aproximativ 2 luni și jumătate în </w:t>
      </w:r>
      <w:r w:rsidR="00B1751D" w:rsidRPr="00F171A3">
        <w:t>perioada</w:t>
      </w:r>
      <w:r w:rsidR="00906AEC" w:rsidRPr="00F171A3">
        <w:t xml:space="preserve"> aprilie-iulie 2022</w:t>
      </w:r>
      <w:r w:rsidRPr="00F171A3">
        <w:t xml:space="preserve">. În acest interval de timp chestionarul a fost completat de către  319 persoane, iar rezultatele centralizate în urma acestui proces sunt prezentate în cele ce urmează.   </w:t>
      </w:r>
    </w:p>
    <w:p w14:paraId="3A2EC927" w14:textId="375EF9A6" w:rsidR="00FE3332" w:rsidRPr="00F171A3" w:rsidRDefault="00FE3332" w:rsidP="00FE3332">
      <w:pPr>
        <w:pStyle w:val="ActionTitle0"/>
      </w:pPr>
      <w:r w:rsidRPr="00F171A3">
        <w:t>INFORMAȚII GENERALE</w:t>
      </w:r>
    </w:p>
    <w:p w14:paraId="2FE7B0F0" w14:textId="77777777" w:rsidR="00FE3332" w:rsidRPr="00F171A3" w:rsidRDefault="00FE3332" w:rsidP="00FE3332">
      <w:pPr>
        <w:pStyle w:val="BoldCIVITTALightBlue"/>
        <w:rPr>
          <w:lang w:val="ro-RO"/>
        </w:rPr>
      </w:pPr>
      <w:r w:rsidRPr="00F171A3">
        <w:rPr>
          <w:lang w:val="ro-RO"/>
        </w:rPr>
        <w:t>1. Vârsta dumneavoastră:</w:t>
      </w:r>
    </w:p>
    <w:p w14:paraId="667BC3DF" w14:textId="77777777" w:rsidR="00FE3332" w:rsidRPr="00F171A3" w:rsidRDefault="00FE3332" w:rsidP="00FE3332">
      <w:r w:rsidRPr="00F171A3">
        <w:t>Majoritatea respondenților, peste 70% se încadrează în grupele de vârstă 45-54 ani și 35-44 ani. Un număr mediu dintre persoanele care au oferit un răspuns în cadrul  acestei întrebări reprezintă grupele de vârsta de peste 55 de ani, iar un număr mai redus de respondenți reprezintă grupele de vârstă de sub 35 de ani.</w:t>
      </w:r>
    </w:p>
    <w:p w14:paraId="3516364D" w14:textId="77777777" w:rsidR="00FE3332" w:rsidRPr="00F171A3" w:rsidRDefault="00FE3332" w:rsidP="00FC4217">
      <w:pPr>
        <w:jc w:val="center"/>
      </w:pPr>
      <w:r w:rsidRPr="00F171A3">
        <w:rPr>
          <w:noProof/>
        </w:rPr>
        <w:drawing>
          <wp:inline distT="0" distB="0" distL="0" distR="0" wp14:anchorId="7729C04F" wp14:editId="145813D6">
            <wp:extent cx="5913912" cy="2517569"/>
            <wp:effectExtent l="0" t="0" r="0" b="0"/>
            <wp:docPr id="25681" name="Chart 25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14:paraId="302DFE37" w14:textId="77777777" w:rsidR="00FE3332" w:rsidRPr="00F171A3" w:rsidRDefault="00FE3332" w:rsidP="00FE3332">
      <w:pPr>
        <w:pStyle w:val="BoldCIVITTALightBlue"/>
        <w:rPr>
          <w:lang w:val="ro-RO"/>
        </w:rPr>
      </w:pPr>
      <w:r w:rsidRPr="00F171A3">
        <w:rPr>
          <w:lang w:val="ro-RO"/>
        </w:rPr>
        <w:t>2. Genul dumneavoastră:</w:t>
      </w:r>
    </w:p>
    <w:p w14:paraId="6F7E6070" w14:textId="77777777" w:rsidR="00FE3332" w:rsidRPr="00F171A3" w:rsidRDefault="00FE3332" w:rsidP="00FE3332">
      <w:r w:rsidRPr="00F171A3">
        <w:t>Genul respondenților este predominant feminin, iar genul masculin este reprezentativ pentru  circa 1/3 dintre respondenți.</w:t>
      </w:r>
    </w:p>
    <w:p w14:paraId="5E46AE6F" w14:textId="77777777" w:rsidR="00FE3332" w:rsidRPr="00F171A3" w:rsidRDefault="00FE3332" w:rsidP="00FE3332">
      <w:r w:rsidRPr="00F171A3">
        <w:rPr>
          <w:noProof/>
        </w:rPr>
        <w:drawing>
          <wp:inline distT="0" distB="0" distL="0" distR="0" wp14:anchorId="43088A1E" wp14:editId="39A7732C">
            <wp:extent cx="5975498" cy="2615609"/>
            <wp:effectExtent l="0" t="0" r="6350" b="0"/>
            <wp:docPr id="25682" name="Chart 25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14:paraId="589EBB01" w14:textId="77777777" w:rsidR="00FE3332" w:rsidRPr="00F171A3" w:rsidRDefault="00FE3332" w:rsidP="00FE3332">
      <w:pPr>
        <w:pStyle w:val="BoldCIVITTALightBlue"/>
        <w:rPr>
          <w:lang w:val="ro-RO"/>
        </w:rPr>
      </w:pPr>
      <w:r w:rsidRPr="00F171A3">
        <w:rPr>
          <w:lang w:val="ro-RO"/>
        </w:rPr>
        <w:t>3. În prezent ocupați o funcție de:</w:t>
      </w:r>
    </w:p>
    <w:p w14:paraId="5C78F7AB" w14:textId="77777777" w:rsidR="00FE3332" w:rsidRPr="00F171A3" w:rsidRDefault="00FE3332" w:rsidP="00FE3332">
      <w:r w:rsidRPr="00F171A3">
        <w:t>Atât personalul din conducerea primăriei, cât și personalul din funcțiile de execuție au furnizat informații prin intermediul prezentului chestionar. 80,9% dintre respondenți ocupă funcții de execuție, iar restul de 19,1% ocupă funcții de conducere.</w:t>
      </w:r>
    </w:p>
    <w:p w14:paraId="27C240F3" w14:textId="77777777" w:rsidR="00FE3332" w:rsidRPr="00F171A3" w:rsidRDefault="00FE3332" w:rsidP="00FE3332">
      <w:r w:rsidRPr="00F171A3">
        <w:rPr>
          <w:noProof/>
        </w:rPr>
        <w:drawing>
          <wp:inline distT="0" distB="0" distL="0" distR="0" wp14:anchorId="67FA2364" wp14:editId="022CAD51">
            <wp:extent cx="5947576" cy="1781092"/>
            <wp:effectExtent l="0" t="0" r="0" b="0"/>
            <wp:docPr id="25683" name="Chart 256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4C5A2B4A" w14:textId="77777777" w:rsidR="00FC4217" w:rsidRPr="00F171A3" w:rsidRDefault="00FC4217" w:rsidP="00FE3332">
      <w:pPr>
        <w:pStyle w:val="ActionTitle0"/>
      </w:pPr>
    </w:p>
    <w:p w14:paraId="62427E58" w14:textId="11FDB01E" w:rsidR="00FE3332" w:rsidRPr="00F171A3" w:rsidRDefault="00FE3332" w:rsidP="00FE3332">
      <w:pPr>
        <w:pStyle w:val="ActionTitle0"/>
      </w:pPr>
      <w:r w:rsidRPr="00F171A3">
        <w:t>CONTEXTUL STRATEGIC INSTITUȚIONAL</w:t>
      </w:r>
    </w:p>
    <w:p w14:paraId="2BF5EE88" w14:textId="77777777" w:rsidR="00FE3332" w:rsidRPr="00F171A3" w:rsidRDefault="00FE3332" w:rsidP="00FE3332">
      <w:pPr>
        <w:pStyle w:val="BoldCIVITTALightBlue"/>
        <w:rPr>
          <w:lang w:val="ro-RO"/>
        </w:rPr>
      </w:pPr>
      <w:r w:rsidRPr="00F171A3">
        <w:rPr>
          <w:lang w:val="ro-RO"/>
        </w:rPr>
        <w:t>4. Vă rugăm să acordați o notă de la 1 (min.) la 5 (max.) în ceea ce privește gradul dumneavoastră de cunoaștere a obiectivelor strategice și prioritare ale Primăriei Sector 2:</w:t>
      </w:r>
    </w:p>
    <w:p w14:paraId="14CC94DA" w14:textId="77777777" w:rsidR="00FE3332" w:rsidRPr="00F171A3" w:rsidRDefault="00FE3332" w:rsidP="00FE3332">
      <w:r w:rsidRPr="00F171A3">
        <w:t>Respondenții consideră nivelul personal de cunoaștere a obiectivelor strategice și prioritare ale Primăriei Sectorului 2 ca fiind unul mediu spre ridicat. Astfel, Nota 3 descrie în cea mai mare măsură gradul de cunoaștere al respondenților raportat la  obiectivele generale ale Primăriei Sectorului 2, urmată de nota 4.  Nota 5 este opțiunea unui număr mediu de respondenți, dar cei mai puțini dintre aceștia notează aspectele date cu note de 1 și 2.</w:t>
      </w:r>
    </w:p>
    <w:p w14:paraId="07772094" w14:textId="77777777" w:rsidR="00FE3332" w:rsidRPr="00F171A3" w:rsidRDefault="00FE3332" w:rsidP="00FE3332">
      <w:r w:rsidRPr="00F171A3">
        <w:rPr>
          <w:noProof/>
        </w:rPr>
        <w:drawing>
          <wp:inline distT="0" distB="0" distL="0" distR="0" wp14:anchorId="0701A4D1" wp14:editId="6C614DD5">
            <wp:extent cx="5859780" cy="807522"/>
            <wp:effectExtent l="0" t="0" r="7620" b="0"/>
            <wp:docPr id="25684" name="Chart 256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002975C8" w14:textId="77777777" w:rsidR="00FE3332" w:rsidRPr="00F171A3" w:rsidRDefault="00FE3332" w:rsidP="00FE3332">
      <w:pPr>
        <w:pStyle w:val="BoldCIVITTALightBlue"/>
        <w:rPr>
          <w:lang w:val="ro-RO"/>
        </w:rPr>
      </w:pPr>
      <w:r w:rsidRPr="00F171A3">
        <w:rPr>
          <w:lang w:val="ro-RO"/>
        </w:rPr>
        <w:t>5. Din perspectiva activității zilnice, în ce măsură vă regăsiți în efortul de îndeplinire a obiectivelor strategice și prioritare ale Primăriei Sector 2:</w:t>
      </w:r>
    </w:p>
    <w:p w14:paraId="51982CFB" w14:textId="77777777" w:rsidR="00FE3332" w:rsidRPr="00F171A3" w:rsidRDefault="00FE3332" w:rsidP="00FE3332">
      <w:r w:rsidRPr="00F171A3">
        <w:t>Din perspectiva activităților zilnice, se regăsesc și contribuie efectiv la îndeplinirea obiectivelor strategice și prioritare ale primăriei mult și foarte mult 56,4% dintre respondenți, iar 67,5% consideră că ar trebui să se regăsească și să fie valorizați în îndeplinirea obiectivelor generale ale primăriei mult și foarte mult. Acest fapt evidențiază o pondere de 11,1% respondenți care nu se regăsesc și nu contribuie la efortul de îndeplinire a obiectivelor primăriei, dar consideră că ar fi necesar acest lucru.</w:t>
      </w:r>
    </w:p>
    <w:p w14:paraId="56028348" w14:textId="77777777" w:rsidR="00FE3332" w:rsidRPr="00F171A3" w:rsidRDefault="00FE3332" w:rsidP="00FE3332">
      <w:r w:rsidRPr="00F171A3">
        <w:rPr>
          <w:noProof/>
        </w:rPr>
        <w:drawing>
          <wp:inline distT="0" distB="0" distL="0" distR="0" wp14:anchorId="14A9136C" wp14:editId="355AE163">
            <wp:extent cx="5996763" cy="2615609"/>
            <wp:effectExtent l="0" t="0" r="4445" b="0"/>
            <wp:docPr id="25685" name="Chart 256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14:paraId="02538AD2" w14:textId="77777777" w:rsidR="00FC4217" w:rsidRPr="00F171A3" w:rsidRDefault="00FC4217" w:rsidP="00FE3332">
      <w:pPr>
        <w:pStyle w:val="BoldCIVITTALightBlue"/>
        <w:rPr>
          <w:lang w:val="ro-RO"/>
        </w:rPr>
      </w:pPr>
    </w:p>
    <w:p w14:paraId="3973512D" w14:textId="6BF3C82E" w:rsidR="00FE3332" w:rsidRPr="00F171A3" w:rsidRDefault="00FE3332" w:rsidP="00FE3332">
      <w:pPr>
        <w:pStyle w:val="BoldCIVITTALightBlue"/>
        <w:rPr>
          <w:lang w:val="ro-RO"/>
        </w:rPr>
      </w:pPr>
      <w:r w:rsidRPr="00F171A3">
        <w:rPr>
          <w:lang w:val="ro-RO"/>
        </w:rPr>
        <w:t>6. Din perspectiva activității zilnice, în ce măsură vă regăsiți, respectiv ar trebui să vă regăsiți/să fiți valorizați, în efortul de îndeplinire a obiectivelor specifice ale structurii funcționale din care faceți parte?</w:t>
      </w:r>
    </w:p>
    <w:p w14:paraId="17FDF408" w14:textId="77777777" w:rsidR="00FE3332" w:rsidRPr="00F171A3" w:rsidRDefault="00FE3332" w:rsidP="00FE3332">
      <w:r w:rsidRPr="00F171A3">
        <w:t>În efortul de îndeplinire a obiectivelor specifice ale structurii funcționale din care fac parte, cei mai mulți, respectiv 72,0% se regăsesc și contribuie efectiv mult și foarte mult, iar 79,7% dintre respondenți consideră că ar trebui să se regăsească și să fie valorizați mult și foarte mult. Astfel, o diferență de 7,6% dintre aceștia în momentul actual nu se regăsesc și nu contribuie în efortul de îndeplinire a obiectivelor specifice ale structurii funcționale din care fac parte, dar ar trebui să se regăsească.</w:t>
      </w:r>
    </w:p>
    <w:p w14:paraId="048791BB" w14:textId="77777777" w:rsidR="00FE3332" w:rsidRPr="00F171A3" w:rsidRDefault="00FE3332" w:rsidP="00FE3332">
      <w:r w:rsidRPr="00F171A3">
        <w:rPr>
          <w:noProof/>
        </w:rPr>
        <w:drawing>
          <wp:inline distT="0" distB="0" distL="0" distR="0" wp14:anchorId="7A8573EB" wp14:editId="6CBD0038">
            <wp:extent cx="5943600" cy="2073349"/>
            <wp:effectExtent l="0" t="0" r="0" b="3175"/>
            <wp:docPr id="25686" name="Chart 256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14:paraId="7D5C3D88" w14:textId="77777777" w:rsidR="00FC4217" w:rsidRPr="00F171A3" w:rsidRDefault="00FC4217" w:rsidP="00FE3332">
      <w:pPr>
        <w:pStyle w:val="BoldCIVITTALightBlue"/>
        <w:rPr>
          <w:lang w:val="ro-RO"/>
        </w:rPr>
      </w:pPr>
    </w:p>
    <w:p w14:paraId="5FEE5699" w14:textId="5A014260" w:rsidR="00FE3332" w:rsidRPr="00F171A3" w:rsidRDefault="00FE3332" w:rsidP="00FE3332">
      <w:pPr>
        <w:pStyle w:val="BoldCIVITTALightBlue"/>
        <w:rPr>
          <w:lang w:val="ro-RO"/>
        </w:rPr>
      </w:pPr>
      <w:r w:rsidRPr="00F171A3">
        <w:rPr>
          <w:lang w:val="ro-RO"/>
        </w:rPr>
        <w:t>7. Sunteți informat/ă cu privire la rolul strategiilor și/sau planurilor strategice sectoriale ce se pot implementa la nivelul unei primării?</w:t>
      </w:r>
    </w:p>
    <w:p w14:paraId="557D171A" w14:textId="77777777" w:rsidR="00FE3332" w:rsidRPr="00F171A3" w:rsidRDefault="00FE3332" w:rsidP="00FE3332">
      <w:r w:rsidRPr="00F171A3">
        <w:t xml:space="preserve">Majoritatea respondenților (64,4%) dețin informații în legătură cu rolul strategiilor și planurilor strategice sectoriale ce se pot implementa la nivelul unei primării. </w:t>
      </w:r>
    </w:p>
    <w:p w14:paraId="3AEC3363" w14:textId="77777777" w:rsidR="00FE3332" w:rsidRPr="00F171A3" w:rsidRDefault="00FE3332" w:rsidP="00FE3332">
      <w:r w:rsidRPr="00F171A3">
        <w:t>Totuși, puțin peste o treime  din totalul respondenților nu sunt informați deloc, iar cei mai mulți, 46,4 din numărul acestora sunt informați, dar nu în totalitate. Astfel, ponderea respondenților care sunt în totalitate informați cu privire la rolul strategiilor și al planurilor strategice sectoriale ce se pot implementa la nivelul unei primării este de 18,0%, restul fiind informați într-o doar oarecare măsură sau neinformați.</w:t>
      </w:r>
    </w:p>
    <w:p w14:paraId="127C28DF" w14:textId="77777777" w:rsidR="00FE3332" w:rsidRPr="00F171A3" w:rsidRDefault="00FE3332" w:rsidP="00FE3332">
      <w:r w:rsidRPr="00F171A3">
        <w:rPr>
          <w:noProof/>
        </w:rPr>
        <w:drawing>
          <wp:inline distT="0" distB="0" distL="0" distR="0" wp14:anchorId="29BE5C4E" wp14:editId="06E7EED6">
            <wp:extent cx="5741581" cy="2583711"/>
            <wp:effectExtent l="0" t="0" r="0" b="7620"/>
            <wp:docPr id="25687" name="Chart 256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4038A690" w14:textId="77777777" w:rsidR="00FE3332" w:rsidRPr="00F171A3" w:rsidRDefault="00FE3332" w:rsidP="00FE3332"/>
    <w:p w14:paraId="585ABAF4" w14:textId="77777777" w:rsidR="00FE3332" w:rsidRPr="00F171A3" w:rsidRDefault="00FE3332" w:rsidP="00FE3332">
      <w:pPr>
        <w:pStyle w:val="BoldCIVITTALightBlue"/>
        <w:rPr>
          <w:lang w:val="ro-RO"/>
        </w:rPr>
      </w:pPr>
      <w:r w:rsidRPr="00F171A3">
        <w:rPr>
          <w:lang w:val="ro-RO"/>
        </w:rPr>
        <w:t>8. Dacă da, cunoașteți cum vă pot ajuta astfel de strategii în domeniul dumneavoastră de activitate/în cadrul compartimentului dumneavoastră?</w:t>
      </w:r>
    </w:p>
    <w:p w14:paraId="2BC2F7E9" w14:textId="77777777" w:rsidR="00FE3332" w:rsidRPr="00F171A3" w:rsidRDefault="00FE3332" w:rsidP="00FE3332">
      <w:r w:rsidRPr="00F171A3">
        <w:t xml:space="preserve">În direcții generale, aceste strategii în cadrul domeniilor de activitate și în cadrul compartimentelor sunt considerate de ajutor pentru următoarele: </w:t>
      </w:r>
    </w:p>
    <w:p w14:paraId="71AD743E" w14:textId="77777777" w:rsidR="00FE3332" w:rsidRPr="00F171A3" w:rsidRDefault="00FE3332">
      <w:pPr>
        <w:pStyle w:val="Bullet"/>
        <w:numPr>
          <w:ilvl w:val="0"/>
          <w:numId w:val="38"/>
        </w:numPr>
      </w:pPr>
      <w:r w:rsidRPr="00F171A3">
        <w:t>Coordonarea, planificarea și prioritizarea activităților în concordanță cu obiectivele strategice;</w:t>
      </w:r>
    </w:p>
    <w:p w14:paraId="26515D1F" w14:textId="77777777" w:rsidR="00FE3332" w:rsidRPr="00F171A3" w:rsidRDefault="00FE3332">
      <w:pPr>
        <w:pStyle w:val="Bullet"/>
        <w:numPr>
          <w:ilvl w:val="0"/>
          <w:numId w:val="38"/>
        </w:numPr>
      </w:pPr>
      <w:r w:rsidRPr="00F171A3">
        <w:t>Prioritizarea proiectelor în strânsă coordonare cu direcțiile de dezvoltare stabilite;</w:t>
      </w:r>
    </w:p>
    <w:p w14:paraId="1A6E25A3" w14:textId="77777777" w:rsidR="00FE3332" w:rsidRPr="00F171A3" w:rsidRDefault="00FE3332">
      <w:pPr>
        <w:pStyle w:val="Bullet"/>
        <w:numPr>
          <w:ilvl w:val="0"/>
          <w:numId w:val="38"/>
        </w:numPr>
      </w:pPr>
      <w:r w:rsidRPr="00F171A3">
        <w:t>Eficientizarea planificării;</w:t>
      </w:r>
    </w:p>
    <w:p w14:paraId="0EA69A9C" w14:textId="77777777" w:rsidR="00FE3332" w:rsidRPr="00F171A3" w:rsidRDefault="00FE3332">
      <w:pPr>
        <w:pStyle w:val="Bullet"/>
        <w:numPr>
          <w:ilvl w:val="0"/>
          <w:numId w:val="38"/>
        </w:numPr>
      </w:pPr>
      <w:r w:rsidRPr="00F171A3">
        <w:t>Punerea în practică a măsurilor raportate la analiza concretă a nevoilor existente;</w:t>
      </w:r>
    </w:p>
    <w:p w14:paraId="28861596" w14:textId="77777777" w:rsidR="00FE3332" w:rsidRPr="00F171A3" w:rsidRDefault="00FE3332">
      <w:pPr>
        <w:pStyle w:val="Bullet"/>
        <w:numPr>
          <w:ilvl w:val="0"/>
          <w:numId w:val="38"/>
        </w:numPr>
      </w:pPr>
      <w:r w:rsidRPr="00F171A3">
        <w:t>Identificarea și fundamentarea proiectelor finanțabile prin fonduri nerambursabile;</w:t>
      </w:r>
    </w:p>
    <w:p w14:paraId="3AF6D6D6" w14:textId="77777777" w:rsidR="00FE3332" w:rsidRPr="00F171A3" w:rsidRDefault="00FE3332">
      <w:pPr>
        <w:pStyle w:val="Bullet"/>
        <w:numPr>
          <w:ilvl w:val="0"/>
          <w:numId w:val="38"/>
        </w:numPr>
      </w:pPr>
      <w:r w:rsidRPr="00F171A3">
        <w:t>Dezvoltarea serviciilor;</w:t>
      </w:r>
    </w:p>
    <w:p w14:paraId="2A9CA430" w14:textId="77777777" w:rsidR="00FE3332" w:rsidRPr="00F171A3" w:rsidRDefault="00FE3332">
      <w:pPr>
        <w:pStyle w:val="Bullet"/>
        <w:numPr>
          <w:ilvl w:val="0"/>
          <w:numId w:val="38"/>
        </w:numPr>
      </w:pPr>
      <w:r w:rsidRPr="00F171A3">
        <w:t>Îmbunătățirea comunicării.</w:t>
      </w:r>
    </w:p>
    <w:p w14:paraId="73A3B9E7" w14:textId="77777777" w:rsidR="00FC4217" w:rsidRPr="00F171A3" w:rsidRDefault="00FC4217" w:rsidP="00FE3332">
      <w:pPr>
        <w:pStyle w:val="BoldCIVITTALightBlue"/>
        <w:rPr>
          <w:lang w:val="ro-RO"/>
        </w:rPr>
      </w:pPr>
    </w:p>
    <w:p w14:paraId="5653941C" w14:textId="56B18763" w:rsidR="00FE3332" w:rsidRPr="00F171A3" w:rsidRDefault="00FE3332" w:rsidP="00FE3332">
      <w:pPr>
        <w:pStyle w:val="BoldCIVITTALightBlue"/>
        <w:rPr>
          <w:lang w:val="ro-RO"/>
        </w:rPr>
      </w:pPr>
      <w:r w:rsidRPr="00F171A3">
        <w:rPr>
          <w:lang w:val="ro-RO"/>
        </w:rPr>
        <w:t>9. Ați participat direct sau cu informații la elaborarea unor documente strategice ale Primăriei Sector 2?</w:t>
      </w:r>
    </w:p>
    <w:p w14:paraId="5F65EBBC" w14:textId="77777777" w:rsidR="00FE3332" w:rsidRPr="00F171A3" w:rsidRDefault="00FE3332" w:rsidP="00FE3332">
      <w:r w:rsidRPr="00F171A3">
        <w:t>Peste jumătate dintre respondenți nu participă cu informații sau cu date la elaborarea unor documente strategice ale Primăriei Sectorului 2, în această etapă fiind implicați restul de aproape 33% dintre reprezentanții administrației publice. Dintre aceștia 23,1% sunt implicați prin activități de furnizare a informațiilor către cei care elaborează documentele de planificare strategică, iar restul de 9,8% participă direct prin grupuri de lucru sau evenimente de consultare la elaborarea unor documente strategice.</w:t>
      </w:r>
    </w:p>
    <w:p w14:paraId="641164E9" w14:textId="77777777" w:rsidR="00FE3332" w:rsidRPr="00F171A3" w:rsidRDefault="00FE3332" w:rsidP="00FE3332">
      <w:r w:rsidRPr="00F171A3">
        <w:rPr>
          <w:noProof/>
        </w:rPr>
        <w:drawing>
          <wp:inline distT="0" distB="0" distL="0" distR="0" wp14:anchorId="0AC23AB2" wp14:editId="585285EB">
            <wp:extent cx="5899868" cy="1940118"/>
            <wp:effectExtent l="0" t="0" r="5715" b="3175"/>
            <wp:docPr id="25688" name="Chart 256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0A5921C7" w14:textId="77777777" w:rsidR="00FE3332" w:rsidRPr="00F171A3" w:rsidRDefault="00FE3332" w:rsidP="00FE3332">
      <w:pPr>
        <w:pStyle w:val="ActionTitle0"/>
      </w:pPr>
      <w:r w:rsidRPr="00F171A3">
        <w:t>CONTEXTUL INSTITUȚIONAL OPERAȚIONAL</w:t>
      </w:r>
    </w:p>
    <w:p w14:paraId="18718EAF" w14:textId="4C8D637F" w:rsidR="00FE3332" w:rsidRPr="00F171A3" w:rsidRDefault="00FE3332" w:rsidP="00FE3332">
      <w:pPr>
        <w:pStyle w:val="BoldCIVITTALightBlue"/>
        <w:rPr>
          <w:lang w:val="ro-RO"/>
        </w:rPr>
      </w:pPr>
      <w:r w:rsidRPr="00F171A3">
        <w:rPr>
          <w:lang w:val="ro-RO"/>
        </w:rPr>
        <w:t>10. Când comunicați cu compartimentele din Primăria Sector</w:t>
      </w:r>
      <w:r w:rsidR="00F53B80" w:rsidRPr="00F171A3">
        <w:rPr>
          <w:lang w:val="ro-RO"/>
        </w:rPr>
        <w:t>ului</w:t>
      </w:r>
      <w:r w:rsidRPr="00F171A3">
        <w:rPr>
          <w:lang w:val="ro-RO"/>
        </w:rPr>
        <w:t xml:space="preserve"> 2, o faceți preponderent prin:</w:t>
      </w:r>
    </w:p>
    <w:p w14:paraId="577B9CAD" w14:textId="77777777" w:rsidR="00FE3332" w:rsidRPr="00F171A3" w:rsidRDefault="00FE3332" w:rsidP="00FE3332">
      <w:r w:rsidRPr="00F171A3">
        <w:t>Cei mai mulți dintre reprezentanții administrației publice locale comunică cu compartimentele de la nivelul Primăriei Sectorului 2 prin documente oficiale în format imprimat, precum adrese și notificări. După această modalitate, cel mai utilizat mijloc de comunicare între departamentele din cadrul primăriei este corespondența electronică prin instrumente de tipul email-ului și chat-ului. Așadar:</w:t>
      </w:r>
    </w:p>
    <w:p w14:paraId="3C366F2A" w14:textId="77777777" w:rsidR="00FE3332" w:rsidRPr="00F171A3" w:rsidRDefault="00FE3332">
      <w:pPr>
        <w:pStyle w:val="Bullet"/>
        <w:numPr>
          <w:ilvl w:val="0"/>
          <w:numId w:val="38"/>
        </w:numPr>
      </w:pPr>
      <w:r w:rsidRPr="00F171A3">
        <w:t>Documentele oficiale în format imprimat (adrese, notificări etc.) sunt utilizate de către 63,6% dintre chestionați;</w:t>
      </w:r>
    </w:p>
    <w:p w14:paraId="0F5381B1" w14:textId="77777777" w:rsidR="00FE3332" w:rsidRPr="00F171A3" w:rsidRDefault="00FE3332">
      <w:pPr>
        <w:pStyle w:val="Bullet"/>
        <w:numPr>
          <w:ilvl w:val="0"/>
          <w:numId w:val="38"/>
        </w:numPr>
      </w:pPr>
      <w:r w:rsidRPr="00F171A3">
        <w:t>Corespondența electronică (email, chat etc.) este utilizată de către 24,2% dintre chestionați;</w:t>
      </w:r>
    </w:p>
    <w:p w14:paraId="11A31834" w14:textId="77777777" w:rsidR="00FE3332" w:rsidRPr="00F171A3" w:rsidRDefault="00FE3332">
      <w:pPr>
        <w:pStyle w:val="Bullet"/>
        <w:numPr>
          <w:ilvl w:val="0"/>
          <w:numId w:val="38"/>
        </w:numPr>
      </w:pPr>
      <w:r w:rsidRPr="00F171A3">
        <w:t xml:space="preserve">Sistemul electronic de comunicare este modalitatea utilizată de către 7,6% dintre chestionați; </w:t>
      </w:r>
    </w:p>
    <w:p w14:paraId="38E43F82" w14:textId="77777777" w:rsidR="00FE3332" w:rsidRPr="00F171A3" w:rsidRDefault="00FE3332">
      <w:pPr>
        <w:pStyle w:val="Bullet"/>
        <w:numPr>
          <w:ilvl w:val="0"/>
          <w:numId w:val="38"/>
        </w:numPr>
      </w:pPr>
      <w:r w:rsidRPr="00F171A3">
        <w:t>Organizarea de reuniuni (ședințe, consultări etc.) este modalitatea utilizată de către 1,3% dintre chestionați</w:t>
      </w:r>
    </w:p>
    <w:p w14:paraId="2765360B" w14:textId="77777777" w:rsidR="00FE3332" w:rsidRPr="00F171A3" w:rsidRDefault="00FE3332">
      <w:pPr>
        <w:pStyle w:val="Bullet"/>
        <w:numPr>
          <w:ilvl w:val="0"/>
          <w:numId w:val="38"/>
        </w:numPr>
      </w:pPr>
      <w:r w:rsidRPr="00F171A3">
        <w:t>Comunicarea prin telefonul mobil este amintită de asemenea ca fiind una dintre modalitățile utilizate în prezent în cadrul departamentelor Primăriei Sectorului 2.</w:t>
      </w:r>
    </w:p>
    <w:p w14:paraId="70D71956" w14:textId="77777777" w:rsidR="00FE3332" w:rsidRPr="00F171A3" w:rsidRDefault="00FE3332" w:rsidP="00FE3332">
      <w:r w:rsidRPr="00F171A3">
        <w:rPr>
          <w:noProof/>
        </w:rPr>
        <w:drawing>
          <wp:inline distT="0" distB="0" distL="0" distR="0" wp14:anchorId="70E87E9B" wp14:editId="224DF247">
            <wp:extent cx="5794744" cy="2498651"/>
            <wp:effectExtent l="0" t="0" r="0" b="0"/>
            <wp:docPr id="25689" name="Chart 256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3CB15814" w14:textId="77777777" w:rsidR="00FC4217" w:rsidRPr="00F171A3" w:rsidRDefault="00FC4217" w:rsidP="00FE3332">
      <w:pPr>
        <w:pStyle w:val="BoldCIVITTALightBlue"/>
        <w:rPr>
          <w:lang w:val="ro-RO"/>
        </w:rPr>
      </w:pPr>
    </w:p>
    <w:p w14:paraId="06F3F42D" w14:textId="6B1FC40F" w:rsidR="00FE3332" w:rsidRPr="00F171A3" w:rsidRDefault="00FE3332" w:rsidP="00FE3332">
      <w:pPr>
        <w:pStyle w:val="BoldCIVITTALightBlue"/>
        <w:rPr>
          <w:lang w:val="ro-RO"/>
        </w:rPr>
      </w:pPr>
      <w:r w:rsidRPr="00F171A3">
        <w:rPr>
          <w:lang w:val="ro-RO"/>
        </w:rPr>
        <w:t>11. Dispuneți de o arhivă digitală a documentelor din cadrul primăriei?</w:t>
      </w:r>
    </w:p>
    <w:p w14:paraId="57EB269B" w14:textId="77777777" w:rsidR="00FE3332" w:rsidRPr="00F171A3" w:rsidRDefault="00FE3332" w:rsidP="00FE3332">
      <w:r w:rsidRPr="00F171A3">
        <w:t>Există un număr ridicat de respondenți - aproape jumătate din numărul total al acestora - care nu știu dacă Primăria Sectorului 2 dispune de o arhivă digitală a documentelor. După aceștia, circa un sfert susțin faptul că un asemenea proiect este luat în considerare pentru implementare până în anul 2027. Un număr mai redus dintre respondenți confirmă existența unei arhive digitale, iar tot atâția faptul că nu este necesară sau prioritară.</w:t>
      </w:r>
    </w:p>
    <w:p w14:paraId="7334F45A" w14:textId="77777777" w:rsidR="00FE3332" w:rsidRPr="00F171A3" w:rsidRDefault="00FE3332" w:rsidP="00FE3332">
      <w:r w:rsidRPr="00F171A3">
        <w:rPr>
          <w:noProof/>
        </w:rPr>
        <w:drawing>
          <wp:inline distT="0" distB="0" distL="0" distR="0" wp14:anchorId="23544BE9" wp14:editId="3C3AC4DD">
            <wp:extent cx="6139543" cy="2125683"/>
            <wp:effectExtent l="0" t="0" r="0" b="8255"/>
            <wp:docPr id="25690" name="Chart 25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14:paraId="518F1E0D" w14:textId="77777777" w:rsidR="00FE3332" w:rsidRPr="00F171A3" w:rsidRDefault="00FE3332" w:rsidP="00FE3332">
      <w:pPr>
        <w:pStyle w:val="BoldCIVITTALightBlue"/>
        <w:rPr>
          <w:lang w:val="ro-RO"/>
        </w:rPr>
      </w:pPr>
      <w:r w:rsidRPr="00F171A3">
        <w:rPr>
          <w:lang w:val="ro-RO"/>
        </w:rPr>
        <w:t>12. Cum apreciați vechimea următoarelor tipuri de echipamente aflate în inventarul Primăriei Sector 2?</w:t>
      </w:r>
    </w:p>
    <w:p w14:paraId="7A80AE36" w14:textId="77777777" w:rsidR="00FE3332" w:rsidRPr="00F171A3" w:rsidRDefault="00FE3332" w:rsidP="00FE3332">
      <w:r w:rsidRPr="00F171A3">
        <w:t xml:space="preserve">Se remarcă o stare satisfăcătoare a echipamentelor aflate în inventarul Primăriei Sectorului 2. Echipamentele care sunt considerate ca fiind cele mai vechi sunt calculatoarele de tip desktop, urmate de imprimante, dar totuși, acest lucru este confirmat de către mai puțin de 30% dintre respondenți. Echipamentele cele mai noi din inventarul primăriei sunt sistemele de operare și multifuncționalele de copiere/imprimare. Mai mult de jumătate dintre respondenți nu cunosc informații în legătură cu serverele sau unitățile de stocare și înregistrare date și în legătură cu calculatoarele portabile, fapt ce afirmă o utilizare mai scăzută a echipamentelor de acest tip. </w:t>
      </w:r>
    </w:p>
    <w:p w14:paraId="35A8577C" w14:textId="77777777" w:rsidR="00FE3332" w:rsidRPr="00F171A3" w:rsidRDefault="00FE3332" w:rsidP="00FE3332">
      <w:r w:rsidRPr="00F171A3">
        <w:rPr>
          <w:noProof/>
        </w:rPr>
        <w:drawing>
          <wp:inline distT="0" distB="0" distL="0" distR="0" wp14:anchorId="7DB57985" wp14:editId="3603E6D1">
            <wp:extent cx="5947576" cy="2743200"/>
            <wp:effectExtent l="0" t="0" r="0" b="0"/>
            <wp:docPr id="25691" name="Chart 25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16311248" w14:textId="77777777" w:rsidR="00FE3332" w:rsidRPr="00F171A3" w:rsidRDefault="00FE3332" w:rsidP="00FE3332">
      <w:r w:rsidRPr="00F171A3">
        <w:rPr>
          <w:rStyle w:val="BoldCIVITTALightBlueChar"/>
          <w:lang w:val="ro-RO"/>
        </w:rPr>
        <w:t>13. Cum evaluați experiența dumneavoastră în domeniul utilizării echipamentelor și programelor digitale?</w:t>
      </w:r>
      <w:r w:rsidRPr="00F171A3">
        <w:cr/>
        <w:t xml:space="preserve"> Experiența personalului din administrația publică a Primăriei Sectorului 2 este evaluată ca fiind una bună și foarte bună în proporții de peste 80% dintre respondenți, în raport cu aproape toate echipamentele și programele digitale: sisteme de operare Windows, sisteme de editare text (Word, Excel, Power Point, etc.), servicii de navigare pe Internet. Singura excepție de la acest caz sunt  aplicațiile pentru telefoane inteligente care sunt considerate astfel de către 73,3% dintre respondenți.</w:t>
      </w:r>
    </w:p>
    <w:p w14:paraId="73970CA6" w14:textId="77777777" w:rsidR="00FE3332" w:rsidRPr="00F171A3" w:rsidRDefault="00FE3332" w:rsidP="00FE3332">
      <w:r w:rsidRPr="00F171A3">
        <w:t xml:space="preserve"> </w:t>
      </w:r>
      <w:r w:rsidRPr="00F171A3">
        <w:rPr>
          <w:noProof/>
        </w:rPr>
        <w:drawing>
          <wp:inline distT="0" distB="0" distL="0" distR="0" wp14:anchorId="4EBAB15F" wp14:editId="6B33745B">
            <wp:extent cx="5943600" cy="3317358"/>
            <wp:effectExtent l="0" t="0" r="0" b="0"/>
            <wp:docPr id="25692" name="Chart 25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04CD3ADD" w14:textId="68B1EF56" w:rsidR="00FE3332" w:rsidRPr="00F171A3" w:rsidRDefault="00FE3332" w:rsidP="00FE3332">
      <w:pPr>
        <w:pStyle w:val="BoldCIVITTALightBlue"/>
        <w:rPr>
          <w:lang w:val="ro-RO"/>
        </w:rPr>
      </w:pPr>
      <w:r w:rsidRPr="00F171A3">
        <w:rPr>
          <w:lang w:val="ro-RO"/>
        </w:rPr>
        <w:t>14. Din cunoștințele dumneavoastră, Primăria Sector</w:t>
      </w:r>
      <w:r w:rsidR="00F53B80" w:rsidRPr="00F171A3">
        <w:rPr>
          <w:lang w:val="ro-RO"/>
        </w:rPr>
        <w:t>ului</w:t>
      </w:r>
      <w:r w:rsidRPr="00F171A3">
        <w:rPr>
          <w:lang w:val="ro-RO"/>
        </w:rPr>
        <w:t xml:space="preserve"> 2 dispune de un ghid dedicat personalului privind regulile de securitate informatică în privința utilizării echipamentelor de lucru?</w:t>
      </w:r>
    </w:p>
    <w:p w14:paraId="5057DBD1" w14:textId="77777777" w:rsidR="00FE3332" w:rsidRPr="00F171A3" w:rsidRDefault="00FE3332" w:rsidP="00FE3332">
      <w:r w:rsidRPr="00F171A3">
        <w:t>O mare parte a respondenților nu știu dacă Primăria Sectorului 2 dispune de un ghid dedicat personalului privind regulile de securitate informatică în privința utilizării echipamentelor de lucru.  Astfel, 60,9% nu cunosc acest aspect, 3,1% afirmă faptul că nu există un astfel de ghid, iar opus acestora, 36,0% dintre respondenți afirmă faptul că există un astfel de ghid dedicat personalului privind regulile de securitate informatică în privința utilizării echipamentelor de lucru.</w:t>
      </w:r>
    </w:p>
    <w:p w14:paraId="5598CF38" w14:textId="77777777" w:rsidR="00FE3332" w:rsidRPr="00F171A3" w:rsidRDefault="00FE3332" w:rsidP="00FE3332">
      <w:r w:rsidRPr="00F171A3">
        <w:rPr>
          <w:noProof/>
        </w:rPr>
        <w:drawing>
          <wp:inline distT="0" distB="0" distL="0" distR="0" wp14:anchorId="3003C803" wp14:editId="1C1CE5CC">
            <wp:extent cx="5947576" cy="2488758"/>
            <wp:effectExtent l="0" t="0" r="0" b="6985"/>
            <wp:docPr id="25693" name="Chart 256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14:paraId="62527F91" w14:textId="77777777" w:rsidR="00FE3332" w:rsidRPr="00F171A3" w:rsidRDefault="00FE3332" w:rsidP="00FE3332">
      <w:pPr>
        <w:pStyle w:val="BoldCIVITTALightBlue"/>
        <w:rPr>
          <w:lang w:val="ro-RO"/>
        </w:rPr>
      </w:pPr>
      <w:r w:rsidRPr="00F171A3">
        <w:rPr>
          <w:lang w:val="ro-RO"/>
        </w:rPr>
        <w:t>15. Cum evaluați nivelul dumneavoastră de cunoștințe privind securitatea informatică (utilizarea sigură a echipamentului de lucru, navigare online și aplicații online, autentificarea e-mail în doi pași, identificarea amenințărilor cibernetice, inclusiv mailuri tip spam sau ransomware, programe tip firewall, etc.)?</w:t>
      </w:r>
    </w:p>
    <w:p w14:paraId="11F4D0EB" w14:textId="77777777" w:rsidR="00FE3332" w:rsidRPr="00F171A3" w:rsidRDefault="00FE3332" w:rsidP="00FE3332">
      <w:r w:rsidRPr="00F171A3">
        <w:t xml:space="preserve">Autoevaluarea respondenților privind securitatea informatică evidențiază un nivel mare spre mic de cunoștințe în utilizarea sigură a echipamentului de lucru, în navigarea online și utilizarea aplicațiilor online, în autentificarea pe e-mail în doi pași, în identificarea amenințărilor cibernetice, inclusiv a mail-urilor de tip spam sau ransomware, precum și a programelor de tip firewall sau a altor instrumente informatice. </w:t>
      </w:r>
    </w:p>
    <w:p w14:paraId="77FF88C8" w14:textId="77777777" w:rsidR="00FE3332" w:rsidRPr="00F171A3" w:rsidRDefault="00FE3332">
      <w:pPr>
        <w:pStyle w:val="Bullet"/>
        <w:numPr>
          <w:ilvl w:val="0"/>
          <w:numId w:val="38"/>
        </w:numPr>
      </w:pPr>
      <w:r w:rsidRPr="00F171A3">
        <w:t>Cei mai mulți, 44,6% dintre respondenți evaluează nivelul propriu de cunoștințe privind securitatea informatică ca fiind unul mare;</w:t>
      </w:r>
    </w:p>
    <w:p w14:paraId="212F5074" w14:textId="77777777" w:rsidR="00FE3332" w:rsidRPr="00F171A3" w:rsidRDefault="00FE3332">
      <w:pPr>
        <w:pStyle w:val="Bullet"/>
        <w:numPr>
          <w:ilvl w:val="0"/>
          <w:numId w:val="38"/>
        </w:numPr>
      </w:pPr>
      <w:r w:rsidRPr="00F171A3">
        <w:t>20,5% dintre respondenți evaluează nivelul propriu de cunoștințe privind securitatea informatică ca fiind unul mic;</w:t>
      </w:r>
    </w:p>
    <w:p w14:paraId="2F2E25EB" w14:textId="77777777" w:rsidR="00FE3332" w:rsidRPr="00F171A3" w:rsidRDefault="00FE3332">
      <w:pPr>
        <w:pStyle w:val="Bullet"/>
        <w:numPr>
          <w:ilvl w:val="0"/>
          <w:numId w:val="38"/>
        </w:numPr>
      </w:pPr>
      <w:r w:rsidRPr="00F171A3">
        <w:t>14,3% dintre respondenți evaluează nivelul propriu de cunoștințe privind securitatea informatică ca fiind unul foarte mare;</w:t>
      </w:r>
    </w:p>
    <w:p w14:paraId="18716F8E" w14:textId="77777777" w:rsidR="00FE3332" w:rsidRPr="00F171A3" w:rsidRDefault="00FE3332">
      <w:pPr>
        <w:pStyle w:val="Bullet"/>
        <w:numPr>
          <w:ilvl w:val="0"/>
          <w:numId w:val="38"/>
        </w:numPr>
      </w:pPr>
      <w:r w:rsidRPr="00F171A3">
        <w:t xml:space="preserve">2,7% evaluează nivelul propriu de cunoștințe privind securitatea informatică ca fiind unul foarte mic; </w:t>
      </w:r>
    </w:p>
    <w:p w14:paraId="52D1637E" w14:textId="77777777" w:rsidR="00FE3332" w:rsidRPr="00F171A3" w:rsidRDefault="00FE3332">
      <w:pPr>
        <w:pStyle w:val="Bullet"/>
        <w:numPr>
          <w:ilvl w:val="0"/>
          <w:numId w:val="38"/>
        </w:numPr>
      </w:pPr>
      <w:r w:rsidRPr="00F171A3">
        <w:t>1,3% dintre aceștia consideră că nu au cunoștințe privind securitatea informatică;</w:t>
      </w:r>
    </w:p>
    <w:p w14:paraId="45E2A87F" w14:textId="77777777" w:rsidR="00FE3332" w:rsidRPr="00F171A3" w:rsidRDefault="00FE3332">
      <w:pPr>
        <w:pStyle w:val="Bullet"/>
        <w:numPr>
          <w:ilvl w:val="0"/>
          <w:numId w:val="38"/>
        </w:numPr>
      </w:pPr>
      <w:r w:rsidRPr="00F171A3">
        <w:t>16,5% preferă să nu ofere un răspuns.</w:t>
      </w:r>
    </w:p>
    <w:p w14:paraId="2366F42B" w14:textId="77777777" w:rsidR="00FE3332" w:rsidRPr="00F171A3" w:rsidRDefault="00FE3332" w:rsidP="00FE3332">
      <w:r w:rsidRPr="00F171A3">
        <w:rPr>
          <w:noProof/>
        </w:rPr>
        <w:drawing>
          <wp:inline distT="0" distB="0" distL="0" distR="0" wp14:anchorId="1BA87A42" wp14:editId="296703D4">
            <wp:extent cx="5964865" cy="2711302"/>
            <wp:effectExtent l="0" t="0" r="0" b="0"/>
            <wp:docPr id="25694" name="Chart 256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14:paraId="385B1171" w14:textId="77777777" w:rsidR="00FC4217" w:rsidRPr="00F171A3" w:rsidRDefault="00FC4217" w:rsidP="00FE3332">
      <w:pPr>
        <w:pStyle w:val="BoldCIVITTALightBlue"/>
        <w:rPr>
          <w:lang w:val="ro-RO"/>
        </w:rPr>
      </w:pPr>
    </w:p>
    <w:p w14:paraId="3FB1DBE7" w14:textId="359F3904" w:rsidR="00FE3332" w:rsidRPr="00F171A3" w:rsidRDefault="00FE3332" w:rsidP="00FE3332">
      <w:pPr>
        <w:pStyle w:val="BoldCIVITTALightBlue"/>
        <w:rPr>
          <w:lang w:val="ro-RO"/>
        </w:rPr>
      </w:pPr>
      <w:r w:rsidRPr="00F171A3">
        <w:rPr>
          <w:lang w:val="ro-RO"/>
        </w:rPr>
        <w:t>16. Cum evaluați nivelul dumneavoastră de cunoștințe privind reglementările naționale și europene ce țin de protecția datelor cu caracter personal?</w:t>
      </w:r>
    </w:p>
    <w:p w14:paraId="254E154C" w14:textId="77777777" w:rsidR="00FE3332" w:rsidRPr="00F171A3" w:rsidRDefault="00FE3332" w:rsidP="00FE3332">
      <w:r w:rsidRPr="00F171A3">
        <w:t>Cei mai mulți dintre respondenți, peste jumătate, dețin un nivel ridicat de cunoștințe în cadrul reglementărilor naționale și europene ce țin de protecția datelor cu caracter personal, dar se remarcă de asemenea un număr de respondenți care caracterizează nivelul de cunoștințe cu privire la reglementările ce țin de protecția datelor cu caracter personal ca fiind unul scăzut.</w:t>
      </w:r>
    </w:p>
    <w:p w14:paraId="3F93B90F" w14:textId="77777777" w:rsidR="00FE3332" w:rsidRPr="00F171A3" w:rsidRDefault="00FE3332">
      <w:pPr>
        <w:pStyle w:val="Bullet"/>
        <w:numPr>
          <w:ilvl w:val="0"/>
          <w:numId w:val="38"/>
        </w:numPr>
      </w:pPr>
      <w:r w:rsidRPr="00F171A3">
        <w:t>50,7% evaluează nivelul de cunoștințe privind reglementările naționale și europene ce țin de protecția datelor cu caracter personal ca fiind unul mare;</w:t>
      </w:r>
    </w:p>
    <w:p w14:paraId="212F53FC" w14:textId="77777777" w:rsidR="00FE3332" w:rsidRPr="00F171A3" w:rsidRDefault="00FE3332">
      <w:pPr>
        <w:pStyle w:val="Bullet"/>
        <w:numPr>
          <w:ilvl w:val="0"/>
          <w:numId w:val="38"/>
        </w:numPr>
      </w:pPr>
      <w:r w:rsidRPr="00F171A3">
        <w:t>17,0% evaluează nivelul de cunoștințe privind reglementările naționale și europene ce țin de protecția datelor cu caracter personal ca fiind unul foarte mare;</w:t>
      </w:r>
    </w:p>
    <w:p w14:paraId="2FB5B4BA" w14:textId="77777777" w:rsidR="00FE3332" w:rsidRPr="00F171A3" w:rsidRDefault="00FE3332">
      <w:pPr>
        <w:pStyle w:val="Bullet"/>
        <w:numPr>
          <w:ilvl w:val="0"/>
          <w:numId w:val="38"/>
        </w:numPr>
      </w:pPr>
      <w:r w:rsidRPr="00F171A3">
        <w:t>15,3% evaluează nivelul de cunoștințe privind reglementările naționale și europene ce țin de protecția datelor cu caracter personal ca fiind unul mic;</w:t>
      </w:r>
    </w:p>
    <w:p w14:paraId="68E316AA" w14:textId="77777777" w:rsidR="00FE3332" w:rsidRPr="00F171A3" w:rsidRDefault="00FE3332">
      <w:pPr>
        <w:pStyle w:val="Bullet"/>
        <w:numPr>
          <w:ilvl w:val="0"/>
          <w:numId w:val="38"/>
        </w:numPr>
      </w:pPr>
      <w:r w:rsidRPr="00F171A3">
        <w:t>12,1% preferă să nu ofere informații în cadrul prezentei întrebări;</w:t>
      </w:r>
    </w:p>
    <w:p w14:paraId="6AE96274" w14:textId="77777777" w:rsidR="00FE3332" w:rsidRPr="00F171A3" w:rsidRDefault="00FE3332">
      <w:pPr>
        <w:pStyle w:val="Bullet"/>
        <w:numPr>
          <w:ilvl w:val="0"/>
          <w:numId w:val="38"/>
        </w:numPr>
      </w:pPr>
      <w:r w:rsidRPr="00F171A3">
        <w:t>4,5% evaluează nivelul de cunoștințe privind reglementările naționale și europene ce țin de protecția datelor cu caracter personal ca fiind unul foarte mic;</w:t>
      </w:r>
    </w:p>
    <w:p w14:paraId="1672EF29" w14:textId="77777777" w:rsidR="00FE3332" w:rsidRPr="00F171A3" w:rsidRDefault="00FE3332">
      <w:pPr>
        <w:pStyle w:val="Bullet"/>
        <w:numPr>
          <w:ilvl w:val="0"/>
          <w:numId w:val="38"/>
        </w:numPr>
      </w:pPr>
      <w:r w:rsidRPr="00F171A3">
        <w:t>O singură persoană evaluează cunoștințele în cadrul reglementărilor GDPR ca fiind inexistente.</w:t>
      </w:r>
    </w:p>
    <w:p w14:paraId="524DA47A" w14:textId="77777777" w:rsidR="00FE3332" w:rsidRPr="00F171A3" w:rsidRDefault="00FE3332" w:rsidP="00FE3332">
      <w:r w:rsidRPr="00F171A3">
        <w:rPr>
          <w:noProof/>
        </w:rPr>
        <w:drawing>
          <wp:inline distT="0" distB="0" distL="0" distR="0" wp14:anchorId="700AAB4A" wp14:editId="6DB410CF">
            <wp:extent cx="5963285" cy="2743200"/>
            <wp:effectExtent l="0" t="0" r="0" b="0"/>
            <wp:docPr id="25695" name="Chart 256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14:paraId="0737661D" w14:textId="77777777" w:rsidR="00FC4217" w:rsidRPr="00F171A3" w:rsidRDefault="00FC4217" w:rsidP="00FE3332">
      <w:pPr>
        <w:pStyle w:val="BoldCIVITTALightBlue"/>
        <w:rPr>
          <w:lang w:val="ro-RO"/>
        </w:rPr>
      </w:pPr>
    </w:p>
    <w:p w14:paraId="07ABB916" w14:textId="32396ECB" w:rsidR="00FE3332" w:rsidRPr="00F171A3" w:rsidRDefault="00FE3332" w:rsidP="00FE3332">
      <w:pPr>
        <w:pStyle w:val="BoldCIVITTALightBlue"/>
        <w:rPr>
          <w:lang w:val="ro-RO"/>
        </w:rPr>
      </w:pPr>
      <w:r w:rsidRPr="00F171A3">
        <w:rPr>
          <w:lang w:val="ro-RO"/>
        </w:rPr>
        <w:t>17. Cum evaluați nivelul dumneavoastră de cunoștințe privind reglementările naționale privind transparența datelor publice?</w:t>
      </w:r>
    </w:p>
    <w:p w14:paraId="61E82F85" w14:textId="77777777" w:rsidR="00FE3332" w:rsidRPr="00F171A3" w:rsidRDefault="00FE3332" w:rsidP="00FE3332">
      <w:r w:rsidRPr="00F171A3">
        <w:t>Jumătate dintre reprezentanții administrației publice, participanți în cadrul prezentului proces au un nivel mare de cunoștințe privind transparența datelor publice și a datelor publice deschise. În funcție de informațiile furnizate de către aceștia, rezultatele detaliate sunt următoarele:</w:t>
      </w:r>
    </w:p>
    <w:p w14:paraId="2373F9CE" w14:textId="77777777" w:rsidR="00FE3332" w:rsidRPr="00F171A3" w:rsidRDefault="00FE3332">
      <w:pPr>
        <w:pStyle w:val="Bullet"/>
        <w:numPr>
          <w:ilvl w:val="0"/>
          <w:numId w:val="38"/>
        </w:numPr>
      </w:pPr>
      <w:r w:rsidRPr="00F171A3">
        <w:t>50,7% dintre respondenți dețin un nivel mare de cunoștințe privind reglementările raportate la transparența datelor publice și a datelor publice deschise;</w:t>
      </w:r>
    </w:p>
    <w:p w14:paraId="33430A4F" w14:textId="77777777" w:rsidR="00FE3332" w:rsidRPr="00F171A3" w:rsidRDefault="00FE3332">
      <w:pPr>
        <w:pStyle w:val="Bullet"/>
        <w:numPr>
          <w:ilvl w:val="0"/>
          <w:numId w:val="38"/>
        </w:numPr>
      </w:pPr>
      <w:r w:rsidRPr="00F171A3">
        <w:t>17,0% dintre respondenți dețin un nivel foarte mare de cunoștințe privind reglementările raportate la transparența datelor publice și a datelor publice deschise;</w:t>
      </w:r>
    </w:p>
    <w:p w14:paraId="2DEF5490" w14:textId="77777777" w:rsidR="00FE3332" w:rsidRPr="00F171A3" w:rsidRDefault="00FE3332">
      <w:pPr>
        <w:pStyle w:val="Bullet"/>
        <w:numPr>
          <w:ilvl w:val="0"/>
          <w:numId w:val="38"/>
        </w:numPr>
      </w:pPr>
      <w:r w:rsidRPr="00F171A3">
        <w:t>15,2% dintre respondenți dețin un nivel mic de cunoștințe privind reglementările raportate la transparența datelor publice și a datelor publice deschise;</w:t>
      </w:r>
    </w:p>
    <w:p w14:paraId="518BE650" w14:textId="77777777" w:rsidR="00FE3332" w:rsidRPr="00F171A3" w:rsidRDefault="00FE3332">
      <w:pPr>
        <w:pStyle w:val="Bullet"/>
        <w:numPr>
          <w:ilvl w:val="0"/>
          <w:numId w:val="38"/>
        </w:numPr>
      </w:pPr>
      <w:r w:rsidRPr="00F171A3">
        <w:t xml:space="preserve">12,1% preferă să nu ofere un răspuns în cadrul prezentei întrebări; </w:t>
      </w:r>
    </w:p>
    <w:p w14:paraId="7F0F6845" w14:textId="77777777" w:rsidR="00FE3332" w:rsidRPr="00F171A3" w:rsidRDefault="00FE3332">
      <w:pPr>
        <w:pStyle w:val="Bullet"/>
        <w:numPr>
          <w:ilvl w:val="0"/>
          <w:numId w:val="38"/>
        </w:numPr>
      </w:pPr>
      <w:r w:rsidRPr="00F171A3">
        <w:t>4,5% dintre respondenți dețin un nivel foarte mic de cunoștințe privind reglementările raportate la transparența datelor publice și a datelor publice deschise;</w:t>
      </w:r>
    </w:p>
    <w:p w14:paraId="0D201DC6" w14:textId="77777777" w:rsidR="00FE3332" w:rsidRPr="00F171A3" w:rsidRDefault="00FE3332">
      <w:pPr>
        <w:pStyle w:val="Bullet"/>
        <w:numPr>
          <w:ilvl w:val="0"/>
          <w:numId w:val="38"/>
        </w:numPr>
      </w:pPr>
      <w:r w:rsidRPr="00F171A3">
        <w:t xml:space="preserve">0,5% consideră că nu dețin cunoștințe raportate la astfel de reglementări. </w:t>
      </w:r>
    </w:p>
    <w:p w14:paraId="2422EE67" w14:textId="77777777" w:rsidR="00FE3332" w:rsidRPr="00F171A3" w:rsidRDefault="00FE3332" w:rsidP="00FE3332">
      <w:r w:rsidRPr="00F171A3">
        <w:rPr>
          <w:noProof/>
        </w:rPr>
        <w:drawing>
          <wp:inline distT="0" distB="0" distL="0" distR="0" wp14:anchorId="6F1CB250" wp14:editId="3AF19429">
            <wp:extent cx="5947576" cy="2059387"/>
            <wp:effectExtent l="0" t="0" r="0" b="0"/>
            <wp:docPr id="25698" name="Chart 256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14:paraId="04F49A14" w14:textId="77777777" w:rsidR="00FC4217" w:rsidRPr="00F171A3" w:rsidRDefault="00FC4217" w:rsidP="00FE3332">
      <w:pPr>
        <w:pStyle w:val="ActionTitle0"/>
      </w:pPr>
    </w:p>
    <w:p w14:paraId="6B20A51B" w14:textId="2FF5D4E1" w:rsidR="00FE3332" w:rsidRPr="00F171A3" w:rsidRDefault="00FE3332" w:rsidP="00FE3332">
      <w:pPr>
        <w:pStyle w:val="ActionTitle0"/>
        <w:rPr>
          <w:highlight w:val="yellow"/>
        </w:rPr>
      </w:pPr>
      <w:r w:rsidRPr="00F171A3">
        <w:t>FORMARE PROFESIONALĂ</w:t>
      </w:r>
      <w:r w:rsidRPr="00F171A3">
        <w:rPr>
          <w:highlight w:val="yellow"/>
        </w:rPr>
        <w:t xml:space="preserve"> </w:t>
      </w:r>
    </w:p>
    <w:p w14:paraId="5E6AE5C8" w14:textId="77777777" w:rsidR="00FE3332" w:rsidRPr="00F171A3" w:rsidRDefault="00FE3332" w:rsidP="00FE3332">
      <w:pPr>
        <w:pStyle w:val="BoldCIVITTALightBlue"/>
        <w:rPr>
          <w:lang w:val="ro-RO"/>
        </w:rPr>
      </w:pPr>
      <w:r w:rsidRPr="00F171A3">
        <w:rPr>
          <w:lang w:val="ro-RO"/>
        </w:rPr>
        <w:t>18. Evaluați următoarele programe/domenii de formare acordând o notă de la 1 (min.) la 5 (max.) în funcție de gradul în care considerați că acestea vă ajută în îndeplinirea sarcinilor de Serviciu</w:t>
      </w:r>
    </w:p>
    <w:p w14:paraId="45FE15ED" w14:textId="77777777" w:rsidR="00FE3332" w:rsidRPr="00F171A3" w:rsidRDefault="00FE3332" w:rsidP="00FE3332">
      <w:r w:rsidRPr="00F171A3">
        <w:t xml:space="preserve">Evaluarea fiecărui program și domeniu de formare plasează controlul, legalitatea și conformitatea, dezvoltarea abilităților pentru "învățare unii de la alții", dezvoltarea personală  (managementul timpului, priorităților și stresului, proiectarea rutelor de carieră, dezvoltarea abilităților și competențelor) și etica și integritatea pe primele 4 locuri cu cele mai mari note acordate de către respondenți, respectiv cu o medie de peste 3,93 din 5. </w:t>
      </w:r>
    </w:p>
    <w:p w14:paraId="3F9C10FF" w14:textId="77777777" w:rsidR="00FE3332" w:rsidRPr="00F171A3" w:rsidRDefault="00FE3332" w:rsidP="00FE3332">
      <w:r w:rsidRPr="00F171A3">
        <w:t>Cele mai mici note sunt managementului ﬁnanciar în proiecte cu ﬁnanțare externă și auditului public intern. Media notelor acordate de către respondenți ierarhizează programele și domeniile de formare după cum urmează:</w:t>
      </w:r>
    </w:p>
    <w:p w14:paraId="6144CFB1" w14:textId="77777777" w:rsidR="00FE3332" w:rsidRPr="00F171A3" w:rsidRDefault="00FE3332">
      <w:pPr>
        <w:pStyle w:val="Bullet"/>
        <w:numPr>
          <w:ilvl w:val="0"/>
          <w:numId w:val="38"/>
        </w:numPr>
      </w:pPr>
      <w:r w:rsidRPr="00F171A3">
        <w:t>Control, legalitate și conformitate (3,99/5);</w:t>
      </w:r>
    </w:p>
    <w:p w14:paraId="27E096F7" w14:textId="77777777" w:rsidR="00FE3332" w:rsidRPr="00F171A3" w:rsidRDefault="00FE3332">
      <w:pPr>
        <w:pStyle w:val="Bullet"/>
        <w:numPr>
          <w:ilvl w:val="0"/>
          <w:numId w:val="38"/>
        </w:numPr>
      </w:pPr>
      <w:r w:rsidRPr="00F171A3">
        <w:t>Dezvoltarea abilităților pentru "învățare unii de la alții (3,95/5);</w:t>
      </w:r>
    </w:p>
    <w:p w14:paraId="6E0C3727" w14:textId="77777777" w:rsidR="00FE3332" w:rsidRPr="00F171A3" w:rsidRDefault="00FE3332">
      <w:pPr>
        <w:pStyle w:val="Bullet"/>
        <w:numPr>
          <w:ilvl w:val="0"/>
          <w:numId w:val="38"/>
        </w:numPr>
      </w:pPr>
      <w:r w:rsidRPr="00F171A3">
        <w:t>Dezvoltare personală (managementul timpului, priorităților și stresului, proiectarea rutelor de carieră, dezvoltarea abilităților și competențelor) (3,93/5);</w:t>
      </w:r>
    </w:p>
    <w:p w14:paraId="65ACC090" w14:textId="77777777" w:rsidR="00FE3332" w:rsidRPr="00F171A3" w:rsidRDefault="00FE3332">
      <w:pPr>
        <w:pStyle w:val="Bullet"/>
        <w:numPr>
          <w:ilvl w:val="0"/>
          <w:numId w:val="38"/>
        </w:numPr>
      </w:pPr>
      <w:r w:rsidRPr="00F171A3">
        <w:t>Etică și integritate (3,93/5);</w:t>
      </w:r>
    </w:p>
    <w:p w14:paraId="2F6435A5" w14:textId="77777777" w:rsidR="00FE3332" w:rsidRPr="00F171A3" w:rsidRDefault="00FE3332">
      <w:pPr>
        <w:pStyle w:val="Bullet"/>
        <w:numPr>
          <w:ilvl w:val="0"/>
          <w:numId w:val="38"/>
        </w:numPr>
      </w:pPr>
      <w:r w:rsidRPr="00F171A3">
        <w:t>Legislație speciﬁcă (funcție publică și alte categorii de personal din sectorul public) (3,91/5);</w:t>
      </w:r>
    </w:p>
    <w:p w14:paraId="326AD2E9" w14:textId="77777777" w:rsidR="00FE3332" w:rsidRPr="00F171A3" w:rsidRDefault="00FE3332">
      <w:pPr>
        <w:pStyle w:val="Bullet"/>
        <w:numPr>
          <w:ilvl w:val="0"/>
          <w:numId w:val="38"/>
        </w:numPr>
      </w:pPr>
      <w:r w:rsidRPr="00F171A3">
        <w:t>Comunicare internă (interdepartamentală) și interpersonală (3,88/5);</w:t>
      </w:r>
    </w:p>
    <w:p w14:paraId="4729F190" w14:textId="77777777" w:rsidR="00FE3332" w:rsidRPr="00F171A3" w:rsidRDefault="00FE3332">
      <w:pPr>
        <w:pStyle w:val="Bullet"/>
        <w:numPr>
          <w:ilvl w:val="0"/>
          <w:numId w:val="38"/>
        </w:numPr>
      </w:pPr>
      <w:r w:rsidRPr="00F171A3">
        <w:t>Comunicare și relații cu publicul (3,86/5);</w:t>
      </w:r>
    </w:p>
    <w:p w14:paraId="2F24EEA4" w14:textId="77777777" w:rsidR="00FE3332" w:rsidRPr="00F171A3" w:rsidRDefault="00FE3332">
      <w:pPr>
        <w:pStyle w:val="Bullet"/>
        <w:numPr>
          <w:ilvl w:val="0"/>
          <w:numId w:val="38"/>
        </w:numPr>
      </w:pPr>
      <w:r w:rsidRPr="00F171A3">
        <w:t>Inovare în administrație și promovarea bunelor practici (3,79/5);</w:t>
      </w:r>
    </w:p>
    <w:p w14:paraId="36E3CE70" w14:textId="77777777" w:rsidR="00FE3332" w:rsidRPr="00F171A3" w:rsidRDefault="00FE3332">
      <w:pPr>
        <w:pStyle w:val="Bullet"/>
        <w:numPr>
          <w:ilvl w:val="0"/>
          <w:numId w:val="38"/>
        </w:numPr>
      </w:pPr>
      <w:r w:rsidRPr="00F171A3">
        <w:t>Legislație generală (ex. Drept administrativ, Codul administrativ, Cod și procedură penală, Contencios) (3,78/5);</w:t>
      </w:r>
    </w:p>
    <w:p w14:paraId="5C7375C1" w14:textId="77777777" w:rsidR="00FE3332" w:rsidRPr="00F171A3" w:rsidRDefault="00FE3332">
      <w:pPr>
        <w:pStyle w:val="Bullet"/>
        <w:numPr>
          <w:ilvl w:val="0"/>
          <w:numId w:val="38"/>
        </w:numPr>
      </w:pPr>
      <w:r w:rsidRPr="00F171A3">
        <w:t>Leadership și managementul echipei (coaching, gestionarea conﬂictelor, mediere și negociere, bune practici în stabilirea și evaluarea performanțelor)(3,78/5);</w:t>
      </w:r>
    </w:p>
    <w:p w14:paraId="54794980" w14:textId="77777777" w:rsidR="00FE3332" w:rsidRPr="00F171A3" w:rsidRDefault="00FE3332">
      <w:pPr>
        <w:pStyle w:val="Bullet"/>
        <w:numPr>
          <w:ilvl w:val="0"/>
          <w:numId w:val="38"/>
        </w:numPr>
      </w:pPr>
      <w:r w:rsidRPr="00F171A3">
        <w:t>Comunicare publică și imagine instituțională</w:t>
      </w:r>
      <w:r w:rsidRPr="00F171A3">
        <w:tab/>
        <w:t>(3,73/5);</w:t>
      </w:r>
    </w:p>
    <w:p w14:paraId="4C058BEA" w14:textId="77777777" w:rsidR="00FE3332" w:rsidRPr="00F171A3" w:rsidRDefault="00FE3332">
      <w:pPr>
        <w:pStyle w:val="Bullet"/>
        <w:numPr>
          <w:ilvl w:val="0"/>
          <w:numId w:val="38"/>
        </w:numPr>
      </w:pPr>
      <w:r w:rsidRPr="00F171A3">
        <w:t>Norme, reglementări și proceduri interne (3,71/5);</w:t>
      </w:r>
    </w:p>
    <w:p w14:paraId="0BD576BD" w14:textId="77777777" w:rsidR="00FE3332" w:rsidRPr="00F171A3" w:rsidRDefault="00FE3332">
      <w:pPr>
        <w:pStyle w:val="Bullet"/>
        <w:numPr>
          <w:ilvl w:val="0"/>
          <w:numId w:val="38"/>
        </w:numPr>
      </w:pPr>
      <w:r w:rsidRPr="00F171A3">
        <w:t>Managementul funcției publice (3,67/5);</w:t>
      </w:r>
    </w:p>
    <w:p w14:paraId="1738E543" w14:textId="77777777" w:rsidR="00FE3332" w:rsidRPr="00F171A3" w:rsidRDefault="00FE3332">
      <w:pPr>
        <w:pStyle w:val="Bullet"/>
        <w:numPr>
          <w:ilvl w:val="0"/>
          <w:numId w:val="38"/>
        </w:numPr>
      </w:pPr>
      <w:r w:rsidRPr="00F171A3">
        <w:t>Managementul documentelor și arhivarea (3,65/5);</w:t>
      </w:r>
    </w:p>
    <w:p w14:paraId="7CC00272" w14:textId="77777777" w:rsidR="00FE3332" w:rsidRPr="00F171A3" w:rsidRDefault="00FE3332">
      <w:pPr>
        <w:pStyle w:val="Bullet"/>
        <w:numPr>
          <w:ilvl w:val="0"/>
          <w:numId w:val="38"/>
        </w:numPr>
      </w:pPr>
      <w:r w:rsidRPr="00F171A3">
        <w:t>Managementul performanței (de la obiective și indicatori, la evaluare și impact) (3,65/5);</w:t>
      </w:r>
    </w:p>
    <w:p w14:paraId="6D2AB7B6" w14:textId="77777777" w:rsidR="00FE3332" w:rsidRPr="00F171A3" w:rsidRDefault="00FE3332">
      <w:pPr>
        <w:pStyle w:val="Bullet"/>
        <w:numPr>
          <w:ilvl w:val="0"/>
          <w:numId w:val="38"/>
        </w:numPr>
      </w:pPr>
      <w:r w:rsidRPr="00F171A3">
        <w:t>Tehnologia informației și comunicațiilor (TIC) - Formarea abilităților pentru asigurarea resurselor, dezvoltarea de soluții și servicii informatice (3,6/5);</w:t>
      </w:r>
    </w:p>
    <w:p w14:paraId="1AD6BB54" w14:textId="77777777" w:rsidR="00FE3332" w:rsidRPr="00F171A3" w:rsidRDefault="00FE3332">
      <w:pPr>
        <w:pStyle w:val="Bullet"/>
        <w:numPr>
          <w:ilvl w:val="0"/>
          <w:numId w:val="38"/>
        </w:numPr>
      </w:pPr>
      <w:r w:rsidRPr="00F171A3">
        <w:t>Sistemul de control managerial intern (3,58/5);</w:t>
      </w:r>
    </w:p>
    <w:p w14:paraId="3ADD42E2" w14:textId="77777777" w:rsidR="00FE3332" w:rsidRPr="00F171A3" w:rsidRDefault="00FE3332">
      <w:pPr>
        <w:pStyle w:val="Bullet"/>
        <w:numPr>
          <w:ilvl w:val="0"/>
          <w:numId w:val="38"/>
        </w:numPr>
      </w:pPr>
      <w:r w:rsidRPr="00F171A3">
        <w:t>Utilizarea TIC în construirea și promovarea imaginii instituționale (social media, consultare online, help desk)</w:t>
      </w:r>
      <w:r w:rsidRPr="00F171A3">
        <w:tab/>
        <w:t>(3,5/5);</w:t>
      </w:r>
    </w:p>
    <w:p w14:paraId="555BA8E0" w14:textId="77777777" w:rsidR="00FE3332" w:rsidRPr="00F171A3" w:rsidRDefault="00FE3332">
      <w:pPr>
        <w:pStyle w:val="Bullet"/>
        <w:numPr>
          <w:ilvl w:val="0"/>
          <w:numId w:val="38"/>
        </w:numPr>
      </w:pPr>
      <w:r w:rsidRPr="00F171A3">
        <w:t>Managementul riscurilor și crizelor (3,46/5);</w:t>
      </w:r>
    </w:p>
    <w:p w14:paraId="386A6BDF" w14:textId="77777777" w:rsidR="00FE3332" w:rsidRPr="00F171A3" w:rsidRDefault="00FE3332">
      <w:pPr>
        <w:pStyle w:val="Bullet"/>
        <w:numPr>
          <w:ilvl w:val="0"/>
          <w:numId w:val="38"/>
        </w:numPr>
      </w:pPr>
      <w:r w:rsidRPr="00F171A3">
        <w:t>Managementul resurselor umane (3,4/5);</w:t>
      </w:r>
    </w:p>
    <w:p w14:paraId="65B92353" w14:textId="77777777" w:rsidR="00FE3332" w:rsidRPr="00F171A3" w:rsidRDefault="00FE3332">
      <w:pPr>
        <w:pStyle w:val="Bullet"/>
        <w:numPr>
          <w:ilvl w:val="0"/>
          <w:numId w:val="38"/>
        </w:numPr>
      </w:pPr>
      <w:r w:rsidRPr="00F171A3">
        <w:t>Metode și instrumente utilizate în managementul operațional (3,39/5);</w:t>
      </w:r>
    </w:p>
    <w:p w14:paraId="0A8D14C7" w14:textId="77777777" w:rsidR="00FE3332" w:rsidRPr="00F171A3" w:rsidRDefault="00FE3332">
      <w:pPr>
        <w:pStyle w:val="Bullet"/>
        <w:numPr>
          <w:ilvl w:val="0"/>
          <w:numId w:val="38"/>
        </w:numPr>
      </w:pPr>
      <w:r w:rsidRPr="00F171A3">
        <w:t>Management și comportament organizațional (3,33/5);</w:t>
      </w:r>
    </w:p>
    <w:p w14:paraId="6162BFCD" w14:textId="77777777" w:rsidR="00FE3332" w:rsidRPr="00F171A3" w:rsidRDefault="00FE3332">
      <w:pPr>
        <w:pStyle w:val="Bullet"/>
        <w:numPr>
          <w:ilvl w:val="0"/>
          <w:numId w:val="38"/>
        </w:numPr>
      </w:pPr>
      <w:r w:rsidRPr="00F171A3">
        <w:t>Management strategic și politici publice (3,32/5);</w:t>
      </w:r>
    </w:p>
    <w:p w14:paraId="24650D71" w14:textId="77777777" w:rsidR="00FE3332" w:rsidRPr="00F171A3" w:rsidRDefault="00FE3332">
      <w:pPr>
        <w:pStyle w:val="Bullet"/>
        <w:numPr>
          <w:ilvl w:val="0"/>
          <w:numId w:val="38"/>
        </w:numPr>
      </w:pPr>
      <w:r w:rsidRPr="00F171A3">
        <w:t>Management de proiect (scriere, implementare, monitorizare, evaluare)</w:t>
      </w:r>
      <w:r w:rsidRPr="00F171A3">
        <w:tab/>
        <w:t>(3,29/5);</w:t>
      </w:r>
    </w:p>
    <w:p w14:paraId="53C16617" w14:textId="77777777" w:rsidR="00FE3332" w:rsidRPr="00F171A3" w:rsidRDefault="00FE3332">
      <w:pPr>
        <w:pStyle w:val="Bullet"/>
        <w:numPr>
          <w:ilvl w:val="0"/>
          <w:numId w:val="38"/>
        </w:numPr>
      </w:pPr>
      <w:r w:rsidRPr="00F171A3">
        <w:t>Managementul calității (standarde de calitate, TQM, CAF)</w:t>
      </w:r>
      <w:r w:rsidRPr="00F171A3">
        <w:tab/>
        <w:t>(3,29/5);</w:t>
      </w:r>
    </w:p>
    <w:p w14:paraId="3D76697B" w14:textId="77777777" w:rsidR="00FE3332" w:rsidRPr="00F171A3" w:rsidRDefault="00FE3332">
      <w:pPr>
        <w:pStyle w:val="Bullet"/>
        <w:numPr>
          <w:ilvl w:val="0"/>
          <w:numId w:val="38"/>
        </w:numPr>
      </w:pPr>
      <w:r w:rsidRPr="00F171A3">
        <w:t>Achiziții, contracte și investiții publice (3,22/5);</w:t>
      </w:r>
    </w:p>
    <w:p w14:paraId="02B96775" w14:textId="77777777" w:rsidR="00FE3332" w:rsidRPr="00F171A3" w:rsidRDefault="00FE3332">
      <w:pPr>
        <w:pStyle w:val="Bullet"/>
        <w:numPr>
          <w:ilvl w:val="0"/>
          <w:numId w:val="38"/>
        </w:numPr>
      </w:pPr>
      <w:r w:rsidRPr="00F171A3">
        <w:t>Drept comunitar, instituții europene și relații internaționale (3,2/5);</w:t>
      </w:r>
    </w:p>
    <w:p w14:paraId="1DC2A9D4" w14:textId="77777777" w:rsidR="00FE3332" w:rsidRPr="00F171A3" w:rsidRDefault="00FE3332">
      <w:pPr>
        <w:pStyle w:val="Bullet"/>
        <w:numPr>
          <w:ilvl w:val="0"/>
          <w:numId w:val="38"/>
        </w:numPr>
      </w:pPr>
      <w:r w:rsidRPr="00F171A3">
        <w:t>Contabilitate, ﬁnanțe și control ﬁnanciar-preventiv</w:t>
      </w:r>
      <w:r w:rsidRPr="00F171A3">
        <w:tab/>
        <w:t>(3,12/5);</w:t>
      </w:r>
    </w:p>
    <w:p w14:paraId="4FF9F7F1" w14:textId="77777777" w:rsidR="00FE3332" w:rsidRPr="00F171A3" w:rsidRDefault="00FE3332">
      <w:pPr>
        <w:pStyle w:val="Bullet"/>
        <w:numPr>
          <w:ilvl w:val="0"/>
          <w:numId w:val="38"/>
        </w:numPr>
      </w:pPr>
      <w:r w:rsidRPr="00F171A3">
        <w:t>Audit public intern (2,98/5);</w:t>
      </w:r>
    </w:p>
    <w:p w14:paraId="43A9C5CC" w14:textId="77777777" w:rsidR="00FE3332" w:rsidRPr="00F171A3" w:rsidRDefault="00FE3332">
      <w:pPr>
        <w:pStyle w:val="Bullet"/>
        <w:numPr>
          <w:ilvl w:val="0"/>
          <w:numId w:val="38"/>
        </w:numPr>
      </w:pPr>
      <w:r w:rsidRPr="00F171A3">
        <w:t>Management ﬁnanciar în proiecte cu ﬁnanțare externă (2,98/5).</w:t>
      </w:r>
    </w:p>
    <w:p w14:paraId="6315F681" w14:textId="77777777" w:rsidR="00FE3332" w:rsidRPr="00F171A3" w:rsidRDefault="00FE3332" w:rsidP="00FE3332">
      <w:pPr>
        <w:rPr>
          <w:highlight w:val="yellow"/>
        </w:rPr>
      </w:pPr>
      <w:r w:rsidRPr="00F171A3">
        <w:rPr>
          <w:noProof/>
        </w:rPr>
        <w:drawing>
          <wp:inline distT="0" distB="0" distL="0" distR="0" wp14:anchorId="60CDAE5A" wp14:editId="4DA69B25">
            <wp:extent cx="5943600" cy="8718697"/>
            <wp:effectExtent l="0" t="0" r="0" b="6350"/>
            <wp:docPr id="25699" name="Chart 256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14:paraId="5C9E9312" w14:textId="77777777" w:rsidR="00FE3332" w:rsidRPr="00F171A3" w:rsidRDefault="00FE3332" w:rsidP="00FE3332">
      <w:pPr>
        <w:rPr>
          <w:highlight w:val="yellow"/>
        </w:rPr>
      </w:pPr>
    </w:p>
    <w:p w14:paraId="4A7CFC12" w14:textId="77777777" w:rsidR="00FE3332" w:rsidRPr="00F171A3" w:rsidRDefault="00FE3332" w:rsidP="00FE3332">
      <w:pPr>
        <w:pStyle w:val="BoldCIVITTALightBlue"/>
        <w:rPr>
          <w:lang w:val="ro-RO"/>
        </w:rPr>
      </w:pPr>
      <w:r w:rsidRPr="00F171A3">
        <w:rPr>
          <w:lang w:val="ro-RO"/>
        </w:rPr>
        <w:t>19. Vă rugăm să selectați un singur domeniu de formare în care ați dori să vă dezvoltați abilitățile și/sau competențele profesionale:</w:t>
      </w:r>
    </w:p>
    <w:p w14:paraId="37DF12E9" w14:textId="77777777" w:rsidR="00FE3332" w:rsidRPr="00F171A3" w:rsidRDefault="00FE3332" w:rsidP="00FE3332">
      <w:r w:rsidRPr="00F171A3">
        <w:t>Pentru dezvoltarea abilităților și competențelor profesionale, cei mai mulți dintre reprezentanții administrației publice care participă cu informații în acest proces prezintă un interes ridicat pentru domeniul de formare legislație, norme și proceduri. După acestea, următoarele favorizate sunt comunicarea publică, informarea, transparența și relația cu cetățenii. Managementul funcției publice și al resurselor umane reprezintă domeniul asupra căruia se manifestă cel mai scăzut interes. Prin urmare:</w:t>
      </w:r>
    </w:p>
    <w:p w14:paraId="03E53C5B" w14:textId="77777777" w:rsidR="00FE3332" w:rsidRPr="00F171A3" w:rsidRDefault="00FE3332">
      <w:pPr>
        <w:pStyle w:val="Bullet"/>
        <w:numPr>
          <w:ilvl w:val="0"/>
          <w:numId w:val="38"/>
        </w:numPr>
      </w:pPr>
      <w:r w:rsidRPr="00F171A3">
        <w:t>Ar dori să își dezvolte abilitățile și competențele profesionale în cadrul legislației, normelor și procedurilor 24,3% dintre respondenți;</w:t>
      </w:r>
    </w:p>
    <w:p w14:paraId="0C491C05" w14:textId="77777777" w:rsidR="00FE3332" w:rsidRPr="00F171A3" w:rsidRDefault="00FE3332">
      <w:pPr>
        <w:pStyle w:val="Bullet"/>
        <w:numPr>
          <w:ilvl w:val="0"/>
          <w:numId w:val="38"/>
        </w:numPr>
      </w:pPr>
      <w:r w:rsidRPr="00F171A3">
        <w:t>Ar dori să își dezvolte abilitățile și competențele profesionale în cadrul comunicării, informării, transparenței și promovării 21,9% dintre respondenți;</w:t>
      </w:r>
    </w:p>
    <w:p w14:paraId="6BC49EB1" w14:textId="77777777" w:rsidR="00FE3332" w:rsidRPr="00F171A3" w:rsidRDefault="00FE3332">
      <w:pPr>
        <w:pStyle w:val="Bullet"/>
        <w:numPr>
          <w:ilvl w:val="0"/>
          <w:numId w:val="38"/>
        </w:numPr>
      </w:pPr>
      <w:r w:rsidRPr="00F171A3">
        <w:t>Ar dori să își dezvolte abilitățile și competențele profesionale în cadrul auditului, controlului și calității 15,2% dintre respondenți;</w:t>
      </w:r>
    </w:p>
    <w:p w14:paraId="7108D2F3" w14:textId="77777777" w:rsidR="00FE3332" w:rsidRPr="00F171A3" w:rsidRDefault="00FE3332">
      <w:pPr>
        <w:pStyle w:val="Bullet"/>
        <w:numPr>
          <w:ilvl w:val="0"/>
          <w:numId w:val="38"/>
        </w:numPr>
      </w:pPr>
      <w:r w:rsidRPr="00F171A3">
        <w:t>Ar dori să își dezvolte abilitățile și competențele profesionale în cadrul managementului, proiectelor și politicilor 11,4% dintre respondenți;</w:t>
      </w:r>
    </w:p>
    <w:p w14:paraId="7A91AEC8" w14:textId="77777777" w:rsidR="00FE3332" w:rsidRPr="00F171A3" w:rsidRDefault="00FE3332">
      <w:pPr>
        <w:pStyle w:val="Bullet"/>
        <w:numPr>
          <w:ilvl w:val="0"/>
          <w:numId w:val="38"/>
        </w:numPr>
      </w:pPr>
      <w:r w:rsidRPr="00F171A3">
        <w:t>Ar dori să își dezvolte abilitățile și competențele profesionale în cadrul TIC 11,0% dintre respondenți;</w:t>
      </w:r>
    </w:p>
    <w:p w14:paraId="41EB2E42" w14:textId="77777777" w:rsidR="00FE3332" w:rsidRPr="00F171A3" w:rsidRDefault="00FE3332">
      <w:pPr>
        <w:pStyle w:val="Bullet"/>
        <w:numPr>
          <w:ilvl w:val="0"/>
          <w:numId w:val="38"/>
        </w:numPr>
      </w:pPr>
      <w:r w:rsidRPr="00F171A3">
        <w:t>Ar dori să își dezvolte abilitățile și competențele profesionale în cadrul eticii, integrității și anticorpuției 8,6% dintre respondenți;</w:t>
      </w:r>
    </w:p>
    <w:p w14:paraId="765A80B3" w14:textId="77777777" w:rsidR="00FE3332" w:rsidRPr="00F171A3" w:rsidRDefault="00FE3332">
      <w:pPr>
        <w:pStyle w:val="Bullet"/>
        <w:numPr>
          <w:ilvl w:val="0"/>
          <w:numId w:val="38"/>
        </w:numPr>
      </w:pPr>
      <w:r w:rsidRPr="00F171A3">
        <w:t>Ar dori să își dezvolte abilitățile și competențele profesionale în cadrul managementului funcției publice și al resurselor umane 7,6% dintre respondenți.</w:t>
      </w:r>
    </w:p>
    <w:p w14:paraId="0908545B" w14:textId="77777777" w:rsidR="00FE3332" w:rsidRPr="00F171A3" w:rsidRDefault="00FE3332" w:rsidP="00FE3332">
      <w:pPr>
        <w:rPr>
          <w:highlight w:val="yellow"/>
        </w:rPr>
      </w:pPr>
      <w:r w:rsidRPr="00F171A3">
        <w:rPr>
          <w:noProof/>
        </w:rPr>
        <w:drawing>
          <wp:inline distT="0" distB="0" distL="0" distR="0" wp14:anchorId="0B9ABC3A" wp14:editId="4A33B21F">
            <wp:extent cx="5971430" cy="3522428"/>
            <wp:effectExtent l="0" t="0" r="0" b="1905"/>
            <wp:docPr id="25700" name="Chart 257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14:paraId="22391385" w14:textId="77777777" w:rsidR="00FC4217" w:rsidRPr="00F171A3" w:rsidRDefault="00FC4217" w:rsidP="00FE3332">
      <w:pPr>
        <w:pStyle w:val="BoldCIVITTALightBlue"/>
        <w:rPr>
          <w:lang w:val="ro-RO"/>
        </w:rPr>
      </w:pPr>
    </w:p>
    <w:p w14:paraId="1F98EE51" w14:textId="36C798AE" w:rsidR="00FE3332" w:rsidRPr="00F171A3" w:rsidRDefault="00FE3332" w:rsidP="00FE3332">
      <w:pPr>
        <w:pStyle w:val="BoldCIVITTALightBlue"/>
        <w:rPr>
          <w:highlight w:val="yellow"/>
          <w:lang w:val="ro-RO"/>
        </w:rPr>
      </w:pPr>
      <w:r w:rsidRPr="00F171A3">
        <w:rPr>
          <w:lang w:val="ro-RO"/>
        </w:rPr>
        <w:t>20. Domeniile/programele de formare pe care ați dori să le parcurgeți se regăsesc în cele menționate în raportul de evaluare a performanțelor profesionale individuale?</w:t>
      </w:r>
    </w:p>
    <w:p w14:paraId="48FB694D" w14:textId="77777777" w:rsidR="00FE3332" w:rsidRPr="00F171A3" w:rsidRDefault="00FE3332" w:rsidP="00FE3332">
      <w:r w:rsidRPr="00F171A3">
        <w:t xml:space="preserve">Majoritatea domeniilor de formare  pe care reprezentanții administrației publice din Primăria Sectorului 2 doresc să le parcurgă se regăsesc în cele menționate în raportul de evaluare a performanțelor. </w:t>
      </w:r>
    </w:p>
    <w:p w14:paraId="70037A93" w14:textId="77777777" w:rsidR="00FE3332" w:rsidRPr="00F171A3" w:rsidRDefault="00FE3332" w:rsidP="00FE3332">
      <w:pPr>
        <w:rPr>
          <w:highlight w:val="yellow"/>
        </w:rPr>
      </w:pPr>
      <w:r w:rsidRPr="00F171A3">
        <w:t>Ca urmare, 81,4% dintre respondenți consideră că acestea sunt regăsite în raportul de evaluare, dintre care 33,3% consideră că sunt regăsite în totalitate, iar restul de 48,1% consideră că sunt regăsite, dar parțial. De asemenea,  o pondere de 8,6% dintre respondenți afirmă faptul că domeniile sau programele de formare pe care ar dori să le parcurgă nu se regăsesc în raportul de evaluare a performanțelor profesionale individuale.</w:t>
      </w:r>
    </w:p>
    <w:p w14:paraId="50823DCE" w14:textId="77777777" w:rsidR="00FE3332" w:rsidRPr="00F171A3" w:rsidRDefault="00FE3332" w:rsidP="00FE3332">
      <w:pPr>
        <w:rPr>
          <w:highlight w:val="yellow"/>
        </w:rPr>
      </w:pPr>
      <w:r w:rsidRPr="00F171A3">
        <w:rPr>
          <w:noProof/>
        </w:rPr>
        <w:drawing>
          <wp:inline distT="0" distB="0" distL="0" distR="0" wp14:anchorId="3C4519D1" wp14:editId="41FC3680">
            <wp:extent cx="5858540" cy="2838893"/>
            <wp:effectExtent l="0" t="0" r="8890" b="0"/>
            <wp:docPr id="25701" name="Chart 257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p w14:paraId="2F89F0F6" w14:textId="77777777" w:rsidR="00FE3332" w:rsidRPr="00F171A3" w:rsidRDefault="00FE3332" w:rsidP="00FE3332">
      <w:pPr>
        <w:pStyle w:val="BoldCIVITTALightBlue"/>
        <w:rPr>
          <w:highlight w:val="yellow"/>
          <w:lang w:val="ro-RO"/>
        </w:rPr>
      </w:pPr>
      <w:r w:rsidRPr="00F171A3">
        <w:rPr>
          <w:lang w:val="ro-RO"/>
        </w:rPr>
        <w:t>21. Vă rugăm să selectați tipurile de formare preferate:</w:t>
      </w:r>
    </w:p>
    <w:p w14:paraId="59EDE123" w14:textId="77777777" w:rsidR="00FE3332" w:rsidRPr="00F171A3" w:rsidRDefault="00FE3332" w:rsidP="00FE3332">
      <w:r w:rsidRPr="00F171A3">
        <w:t>După cum se poate observa în figura de mai jos, reprezentanții administrației publice din Primăria Sectorului 2 preferă în special formările de durată scurtă sau medie, formările cu participarea față în față, precum și formările care au la bază programe ﬁnanțate din bugetul alocat instituției, organizate de furnizori de formare recunoscuți. Învățarea de  la alții (persoană resursă-intern) și formarea on-line sau blended-learning reprezintă preferințele celor mai puțini respondenți. Așadar, de la cele mai frecvent alese, până la cele mai puțin alese tipuri de formare, preferințele respondenților sunt următoarele:</w:t>
      </w:r>
    </w:p>
    <w:p w14:paraId="15E2D867" w14:textId="77777777" w:rsidR="00FE3332" w:rsidRPr="00F171A3" w:rsidRDefault="00FE3332">
      <w:pPr>
        <w:pStyle w:val="ListParagraph"/>
        <w:numPr>
          <w:ilvl w:val="0"/>
          <w:numId w:val="88"/>
        </w:numPr>
        <w:rPr>
          <w:rFonts w:eastAsia="MS Gothic"/>
          <w:bCs/>
          <w:color w:val="134753" w:themeColor="text2"/>
          <w:lang w:eastAsia="en-GB"/>
        </w:rPr>
      </w:pPr>
      <w:r w:rsidRPr="00F171A3">
        <w:rPr>
          <w:rFonts w:eastAsia="MS Gothic"/>
          <w:bCs/>
          <w:color w:val="134753" w:themeColor="text2"/>
          <w:lang w:eastAsia="en-GB"/>
        </w:rPr>
        <w:t>De durată scurtă sau medie (23,9% dintre respondenți);</w:t>
      </w:r>
    </w:p>
    <w:p w14:paraId="3A94B558" w14:textId="77777777" w:rsidR="00FE3332" w:rsidRPr="00F171A3" w:rsidRDefault="00FE3332">
      <w:pPr>
        <w:pStyle w:val="ListParagraph"/>
        <w:numPr>
          <w:ilvl w:val="0"/>
          <w:numId w:val="88"/>
        </w:numPr>
        <w:rPr>
          <w:rFonts w:eastAsia="MS Gothic"/>
          <w:bCs/>
          <w:color w:val="134753" w:themeColor="text2"/>
          <w:lang w:eastAsia="en-GB"/>
        </w:rPr>
      </w:pPr>
      <w:r w:rsidRPr="00F171A3">
        <w:rPr>
          <w:rFonts w:eastAsia="MS Gothic"/>
          <w:bCs/>
          <w:color w:val="134753" w:themeColor="text2"/>
          <w:lang w:eastAsia="en-GB"/>
        </w:rPr>
        <w:t>Cu participare față în față (clasic) (21,5% dintre respondenți);</w:t>
      </w:r>
    </w:p>
    <w:p w14:paraId="75FDC735" w14:textId="77777777" w:rsidR="00FE3332" w:rsidRPr="00F171A3" w:rsidRDefault="00FE3332">
      <w:pPr>
        <w:pStyle w:val="ListParagraph"/>
        <w:numPr>
          <w:ilvl w:val="0"/>
          <w:numId w:val="88"/>
        </w:numPr>
        <w:rPr>
          <w:rFonts w:eastAsia="MS Gothic"/>
          <w:bCs/>
          <w:color w:val="134753" w:themeColor="text2"/>
          <w:lang w:eastAsia="en-GB"/>
        </w:rPr>
      </w:pPr>
      <w:r w:rsidRPr="00F171A3">
        <w:rPr>
          <w:rFonts w:eastAsia="MS Gothic"/>
          <w:bCs/>
          <w:color w:val="134753" w:themeColor="text2"/>
          <w:lang w:eastAsia="en-GB"/>
        </w:rPr>
        <w:t>Programe ﬁnanțate din bugetul alocat instituției, organizate de furnizori de formare recunoscuți (20,6% dintre respondenți);</w:t>
      </w:r>
    </w:p>
    <w:p w14:paraId="23D03F15" w14:textId="77777777" w:rsidR="00FE3332" w:rsidRPr="00F171A3" w:rsidRDefault="00FE3332">
      <w:pPr>
        <w:pStyle w:val="ListParagraph"/>
        <w:numPr>
          <w:ilvl w:val="0"/>
          <w:numId w:val="88"/>
        </w:numPr>
        <w:rPr>
          <w:rFonts w:eastAsia="MS Gothic"/>
          <w:bCs/>
          <w:color w:val="134753" w:themeColor="text2"/>
          <w:lang w:eastAsia="en-GB"/>
        </w:rPr>
      </w:pPr>
      <w:r w:rsidRPr="00F171A3">
        <w:rPr>
          <w:rFonts w:eastAsia="MS Gothic"/>
          <w:bCs/>
          <w:color w:val="134753" w:themeColor="text2"/>
          <w:lang w:eastAsia="en-GB"/>
        </w:rPr>
        <w:t>Formare specializată de lungă durată (10,5% dintre respondenți);</w:t>
      </w:r>
    </w:p>
    <w:p w14:paraId="0710C1CE" w14:textId="77777777" w:rsidR="00FE3332" w:rsidRPr="00F171A3" w:rsidRDefault="00FE3332">
      <w:pPr>
        <w:pStyle w:val="ListParagraph"/>
        <w:numPr>
          <w:ilvl w:val="0"/>
          <w:numId w:val="88"/>
        </w:numPr>
        <w:rPr>
          <w:rFonts w:eastAsia="MS Gothic"/>
          <w:bCs/>
          <w:color w:val="134753" w:themeColor="text2"/>
          <w:lang w:eastAsia="en-GB"/>
        </w:rPr>
      </w:pPr>
      <w:r w:rsidRPr="00F171A3">
        <w:rPr>
          <w:rFonts w:eastAsia="MS Gothic"/>
          <w:bCs/>
          <w:color w:val="134753" w:themeColor="text2"/>
          <w:lang w:eastAsia="en-GB"/>
        </w:rPr>
        <w:t>Formare externalizată (furnizor extern) (10,5% dintre respondenți);</w:t>
      </w:r>
    </w:p>
    <w:p w14:paraId="28E79FA7" w14:textId="77777777" w:rsidR="00FE3332" w:rsidRPr="00F171A3" w:rsidRDefault="00FE3332">
      <w:pPr>
        <w:pStyle w:val="ListParagraph"/>
        <w:numPr>
          <w:ilvl w:val="0"/>
          <w:numId w:val="88"/>
        </w:numPr>
        <w:rPr>
          <w:rFonts w:eastAsia="MS Gothic"/>
          <w:bCs/>
          <w:color w:val="134753" w:themeColor="text2"/>
          <w:lang w:eastAsia="en-GB"/>
        </w:rPr>
      </w:pPr>
      <w:r w:rsidRPr="00F171A3">
        <w:rPr>
          <w:rFonts w:eastAsia="MS Gothic"/>
          <w:bCs/>
          <w:color w:val="134753" w:themeColor="text2"/>
          <w:lang w:eastAsia="en-GB"/>
        </w:rPr>
        <w:t>Programe organizate și ﬁnanțate în cadrul implementării de proiecte cu ﬁnanțare externă (4,8% dintre respondenți);</w:t>
      </w:r>
    </w:p>
    <w:p w14:paraId="58E49CC3" w14:textId="77777777" w:rsidR="00FE3332" w:rsidRPr="00F171A3" w:rsidRDefault="00FE3332">
      <w:pPr>
        <w:pStyle w:val="ListParagraph"/>
        <w:numPr>
          <w:ilvl w:val="0"/>
          <w:numId w:val="88"/>
        </w:numPr>
        <w:rPr>
          <w:rFonts w:eastAsia="MS Gothic"/>
          <w:bCs/>
          <w:color w:val="134753" w:themeColor="text2"/>
          <w:lang w:eastAsia="en-GB"/>
        </w:rPr>
      </w:pPr>
      <w:r w:rsidRPr="00F171A3">
        <w:rPr>
          <w:rFonts w:eastAsia="MS Gothic"/>
          <w:bCs/>
          <w:color w:val="134753" w:themeColor="text2"/>
          <w:lang w:eastAsia="en-GB"/>
        </w:rPr>
        <w:t>On-line sau blended-learning (4,3% dintre respondenți);</w:t>
      </w:r>
    </w:p>
    <w:p w14:paraId="555ECF89" w14:textId="77777777" w:rsidR="00FE3332" w:rsidRPr="00F171A3" w:rsidRDefault="00FE3332">
      <w:pPr>
        <w:pStyle w:val="ListParagraph"/>
        <w:numPr>
          <w:ilvl w:val="0"/>
          <w:numId w:val="88"/>
        </w:numPr>
      </w:pPr>
      <w:r w:rsidRPr="00F171A3">
        <w:rPr>
          <w:rFonts w:eastAsia="MS Gothic"/>
          <w:bCs/>
          <w:color w:val="134753" w:themeColor="text2"/>
          <w:lang w:eastAsia="en-GB"/>
        </w:rPr>
        <w:t>Învățare unii de la alții (persoană resursă – intern (3,8% dintre respondenți).</w:t>
      </w:r>
    </w:p>
    <w:p w14:paraId="314CADC9" w14:textId="77777777" w:rsidR="00FE3332" w:rsidRPr="00F171A3" w:rsidRDefault="00FE3332" w:rsidP="00FE3332">
      <w:pPr>
        <w:rPr>
          <w:highlight w:val="yellow"/>
        </w:rPr>
      </w:pPr>
      <w:r w:rsidRPr="00F171A3">
        <w:rPr>
          <w:noProof/>
        </w:rPr>
        <w:drawing>
          <wp:inline distT="0" distB="0" distL="0" distR="0" wp14:anchorId="03C3A299" wp14:editId="03416FBF">
            <wp:extent cx="5868063" cy="2806810"/>
            <wp:effectExtent l="0" t="0" r="0" b="0"/>
            <wp:docPr id="25702" name="Chart 257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14:paraId="7E6372AA" w14:textId="77777777" w:rsidR="00FC4217" w:rsidRPr="00F171A3" w:rsidRDefault="00FC4217" w:rsidP="00FE3332">
      <w:pPr>
        <w:pStyle w:val="BoldCIVITTALightBlue"/>
        <w:rPr>
          <w:lang w:val="ro-RO"/>
        </w:rPr>
      </w:pPr>
    </w:p>
    <w:p w14:paraId="65B3CAE3" w14:textId="02AE93A9" w:rsidR="00FE3332" w:rsidRPr="00F171A3" w:rsidRDefault="00FE3332" w:rsidP="00FE3332">
      <w:pPr>
        <w:pStyle w:val="BoldCIVITTALightBlue"/>
        <w:rPr>
          <w:highlight w:val="yellow"/>
          <w:lang w:val="ro-RO"/>
        </w:rPr>
      </w:pPr>
      <w:r w:rsidRPr="00F171A3">
        <w:rPr>
          <w:lang w:val="ro-RO"/>
        </w:rPr>
        <w:t>22. Vă rugăm să evaluați următoarele 3 programe în funcție de următoarele criterii</w:t>
      </w:r>
    </w:p>
    <w:p w14:paraId="3D7B629F" w14:textId="77777777" w:rsidR="00FE3332" w:rsidRPr="00F171A3" w:rsidRDefault="00FE3332" w:rsidP="00FE3332">
      <w:r w:rsidRPr="00F171A3">
        <w:t xml:space="preserve">Dintre cele 3 tipuri de programe, programele de formare sunt considerate cele mai utile (contribuie la îndeplinirea sarcinilor de serviciu). Mai mult, raportat la relevanță, respectiv la contribuția la dezvoltarea personală, programele de coaching sunt catalogate astfel în cea mai mare măsură, situație asemănătoare și raportat la disponibilitatea participanților de participare. Astfel, cea mai mare disponibilitate de participare a respondenților se referă la programele de coaching. </w:t>
      </w:r>
    </w:p>
    <w:p w14:paraId="418346C7" w14:textId="77777777" w:rsidR="00FE3332" w:rsidRPr="00F171A3" w:rsidRDefault="00FE3332" w:rsidP="00FE3332">
      <w:pPr>
        <w:rPr>
          <w:highlight w:val="yellow"/>
        </w:rPr>
      </w:pPr>
      <w:r w:rsidRPr="00F171A3">
        <w:rPr>
          <w:noProof/>
        </w:rPr>
        <w:drawing>
          <wp:inline distT="0" distB="0" distL="0" distR="0" wp14:anchorId="0068B3A7" wp14:editId="4BC0C92A">
            <wp:extent cx="5947576" cy="2504661"/>
            <wp:effectExtent l="0" t="0" r="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14:paraId="643F120A" w14:textId="20CE1645" w:rsidR="00FE3332" w:rsidRPr="00F171A3" w:rsidRDefault="00FE3332" w:rsidP="00FE3332">
      <w:pPr>
        <w:pStyle w:val="BoldCIVITTALightBlue"/>
        <w:rPr>
          <w:highlight w:val="yellow"/>
          <w:lang w:val="ro-RO"/>
        </w:rPr>
      </w:pPr>
      <w:r w:rsidRPr="00F171A3">
        <w:rPr>
          <w:lang w:val="ro-RO"/>
        </w:rPr>
        <w:t xml:space="preserve">23. Ce considerați </w:t>
      </w:r>
      <w:r w:rsidR="00B1751D" w:rsidRPr="00F171A3">
        <w:rPr>
          <w:lang w:val="ro-RO"/>
        </w:rPr>
        <w:t>dumneavoastră</w:t>
      </w:r>
      <w:r w:rsidRPr="00F171A3">
        <w:rPr>
          <w:lang w:val="ro-RO"/>
        </w:rPr>
        <w:t xml:space="preserve"> ca prioritate în ceea ce ține de procesele interne și mediul de lucru din cadrul Primăriei Sector 2? Ce ar trebui îmbunătățit?</w:t>
      </w:r>
    </w:p>
    <w:p w14:paraId="62A3E9FD" w14:textId="77777777" w:rsidR="00FE3332" w:rsidRPr="00F171A3" w:rsidRDefault="00FE3332" w:rsidP="00FE3332">
      <w:r w:rsidRPr="00F171A3">
        <w:t>Referitor la  priorități, în ceea ce ține de procesele interne și mediul de lucru din cadrul Primăriei Sector 2, respondenții consideră că ar putea fi îmbunătățite următoarele aspecte:</w:t>
      </w:r>
    </w:p>
    <w:p w14:paraId="45547F61" w14:textId="77777777" w:rsidR="00FE3332" w:rsidRPr="00F171A3" w:rsidRDefault="00FE3332">
      <w:pPr>
        <w:pStyle w:val="Bullet"/>
        <w:numPr>
          <w:ilvl w:val="0"/>
          <w:numId w:val="38"/>
        </w:numPr>
      </w:pPr>
      <w:r w:rsidRPr="00F171A3">
        <w:t>Comunicarea internă și transparența;</w:t>
      </w:r>
    </w:p>
    <w:p w14:paraId="55A7785D" w14:textId="77777777" w:rsidR="00FE3332" w:rsidRPr="00F171A3" w:rsidRDefault="00FE3332">
      <w:pPr>
        <w:pStyle w:val="Bullet"/>
        <w:numPr>
          <w:ilvl w:val="0"/>
          <w:numId w:val="38"/>
        </w:numPr>
      </w:pPr>
      <w:r w:rsidRPr="00F171A3">
        <w:t>Procesele de digitalizare;</w:t>
      </w:r>
    </w:p>
    <w:p w14:paraId="14C1769B" w14:textId="77777777" w:rsidR="00FE3332" w:rsidRPr="00F171A3" w:rsidRDefault="00FE3332">
      <w:pPr>
        <w:pStyle w:val="Bullet"/>
        <w:numPr>
          <w:ilvl w:val="0"/>
          <w:numId w:val="38"/>
        </w:numPr>
      </w:pPr>
      <w:r w:rsidRPr="00F171A3">
        <w:t>Reducerea birocrației și scriptologiei;</w:t>
      </w:r>
    </w:p>
    <w:p w14:paraId="5CEFE496" w14:textId="77777777" w:rsidR="00FE3332" w:rsidRPr="00F171A3" w:rsidRDefault="00FE3332">
      <w:pPr>
        <w:pStyle w:val="Bullet"/>
        <w:numPr>
          <w:ilvl w:val="0"/>
          <w:numId w:val="38"/>
        </w:numPr>
      </w:pPr>
      <w:r w:rsidRPr="00F171A3">
        <w:t>Îmbunătățirea dezvoltării profesionale și motivaționale a angajaților;</w:t>
      </w:r>
    </w:p>
    <w:p w14:paraId="7A2124E2" w14:textId="77777777" w:rsidR="00FE3332" w:rsidRPr="00F171A3" w:rsidRDefault="00FE3332">
      <w:pPr>
        <w:pStyle w:val="Bullet"/>
        <w:numPr>
          <w:ilvl w:val="0"/>
          <w:numId w:val="38"/>
        </w:numPr>
      </w:pPr>
      <w:r w:rsidRPr="00F171A3">
        <w:t>Cultura organizațională;</w:t>
      </w:r>
    </w:p>
    <w:p w14:paraId="6490DC7F" w14:textId="77777777" w:rsidR="00FE3332" w:rsidRPr="00F171A3" w:rsidRDefault="00FE3332">
      <w:pPr>
        <w:pStyle w:val="Bullet"/>
        <w:numPr>
          <w:ilvl w:val="0"/>
          <w:numId w:val="38"/>
        </w:numPr>
      </w:pPr>
      <w:r w:rsidRPr="00F171A3">
        <w:t>Platformele digitale.</w:t>
      </w:r>
    </w:p>
    <w:p w14:paraId="2467F1A5" w14:textId="6B18817E" w:rsidR="00FE3332" w:rsidRPr="00F171A3" w:rsidRDefault="00FE3332" w:rsidP="00FE3332">
      <w:pPr>
        <w:pStyle w:val="BoldCIVITTALightBlue"/>
        <w:rPr>
          <w:lang w:val="ro-RO"/>
        </w:rPr>
      </w:pPr>
      <w:r w:rsidRPr="00F171A3">
        <w:rPr>
          <w:lang w:val="ro-RO"/>
        </w:rPr>
        <w:t xml:space="preserve">24. Ce considerați </w:t>
      </w:r>
      <w:r w:rsidR="00B1751D" w:rsidRPr="00F171A3">
        <w:rPr>
          <w:lang w:val="ro-RO"/>
        </w:rPr>
        <w:t>dumneavoastră</w:t>
      </w:r>
      <w:r w:rsidRPr="00F171A3">
        <w:rPr>
          <w:lang w:val="ro-RO"/>
        </w:rPr>
        <w:t xml:space="preserve"> ca prioritate în ceea ce ține de relația dintre Primăria Sector</w:t>
      </w:r>
      <w:r w:rsidR="00F53B80" w:rsidRPr="00F171A3">
        <w:rPr>
          <w:lang w:val="ro-RO"/>
        </w:rPr>
        <w:t>ului</w:t>
      </w:r>
      <w:r w:rsidRPr="00F171A3">
        <w:rPr>
          <w:lang w:val="ro-RO"/>
        </w:rPr>
        <w:t xml:space="preserve"> 2 și cetățeni? Ce ar trebui îmbunătățit?</w:t>
      </w:r>
    </w:p>
    <w:p w14:paraId="42AE03EF" w14:textId="371DD60F" w:rsidR="00FE3332" w:rsidRPr="00F171A3" w:rsidRDefault="00FE3332" w:rsidP="00FE3332">
      <w:r w:rsidRPr="00F171A3">
        <w:t>În raport cu relația dintre Primăria Sector</w:t>
      </w:r>
      <w:r w:rsidR="00F53B80" w:rsidRPr="00F171A3">
        <w:t>ului</w:t>
      </w:r>
      <w:r w:rsidRPr="00F171A3">
        <w:t xml:space="preserve"> 2 și cetățeni, respondenții consideră prioritare următoarele aspecte:</w:t>
      </w:r>
    </w:p>
    <w:p w14:paraId="28D9BC1F" w14:textId="77777777" w:rsidR="00FE3332" w:rsidRPr="00F171A3" w:rsidRDefault="00FE3332">
      <w:pPr>
        <w:pStyle w:val="Bullet"/>
        <w:numPr>
          <w:ilvl w:val="0"/>
          <w:numId w:val="38"/>
        </w:numPr>
      </w:pPr>
      <w:r w:rsidRPr="00F171A3">
        <w:t>Procesele de informare și comunicare cu cetățenii, simplificarea accesului la informații;</w:t>
      </w:r>
    </w:p>
    <w:p w14:paraId="4412B200" w14:textId="77777777" w:rsidR="00FE3332" w:rsidRPr="00F171A3" w:rsidRDefault="00FE3332">
      <w:pPr>
        <w:pStyle w:val="Bullet"/>
        <w:numPr>
          <w:ilvl w:val="0"/>
          <w:numId w:val="38"/>
        </w:numPr>
      </w:pPr>
      <w:r w:rsidRPr="00F171A3">
        <w:t>Îmbunătățirea instrumentelor digitale;</w:t>
      </w:r>
    </w:p>
    <w:p w14:paraId="1C438172" w14:textId="77777777" w:rsidR="00FE3332" w:rsidRPr="00F171A3" w:rsidRDefault="00FE3332">
      <w:pPr>
        <w:pStyle w:val="Bullet"/>
        <w:numPr>
          <w:ilvl w:val="0"/>
          <w:numId w:val="38"/>
        </w:numPr>
      </w:pPr>
      <w:r w:rsidRPr="00F171A3">
        <w:t>Procesele de relaționare cu cetățenii;</w:t>
      </w:r>
    </w:p>
    <w:p w14:paraId="36AF3DB3" w14:textId="77777777" w:rsidR="00FE3332" w:rsidRPr="00F171A3" w:rsidRDefault="00FE3332">
      <w:pPr>
        <w:pStyle w:val="Bullet"/>
        <w:numPr>
          <w:ilvl w:val="0"/>
          <w:numId w:val="38"/>
        </w:numPr>
      </w:pPr>
      <w:r w:rsidRPr="00F171A3">
        <w:t>Eficientizarea procedurilor, optimizarea fluxului de informații și documente;</w:t>
      </w:r>
    </w:p>
    <w:p w14:paraId="64563FC0" w14:textId="2B6E047F" w:rsidR="00FE3332" w:rsidRPr="00F171A3" w:rsidRDefault="00FE3332">
      <w:pPr>
        <w:pStyle w:val="Bullet"/>
        <w:numPr>
          <w:ilvl w:val="0"/>
          <w:numId w:val="38"/>
        </w:numPr>
      </w:pPr>
      <w:r w:rsidRPr="00F171A3">
        <w:t>Implicarea cetățenilor în conturarea direcțiilor viitoare.</w:t>
      </w:r>
    </w:p>
    <w:p w14:paraId="751C89A4" w14:textId="77777777" w:rsidR="00FE3332" w:rsidRPr="00F171A3" w:rsidRDefault="00FE3332" w:rsidP="00FE3332"/>
    <w:p w14:paraId="071E9A23" w14:textId="45AB3CD4" w:rsidR="00FE3332" w:rsidRPr="00F171A3" w:rsidRDefault="00FE3332" w:rsidP="00FE3332">
      <w:pPr>
        <w:pStyle w:val="Heading3"/>
        <w:rPr>
          <w:lang w:val="ro-RO"/>
        </w:rPr>
      </w:pPr>
      <w:bookmarkStart w:id="531" w:name="_Toc127199357"/>
      <w:r w:rsidRPr="00F171A3">
        <w:rPr>
          <w:lang w:val="ro-RO"/>
        </w:rPr>
        <w:t>CHESTIONAR DEDICAT MEDIULUI DE AFACERI DIN SECTORUL 2</w:t>
      </w:r>
      <w:bookmarkEnd w:id="531"/>
    </w:p>
    <w:p w14:paraId="24674DBB" w14:textId="77777777" w:rsidR="00FE3332" w:rsidRPr="00F171A3" w:rsidRDefault="00FE3332" w:rsidP="00FE3332">
      <w:pPr>
        <w:rPr>
          <w:highlight w:val="yellow"/>
        </w:rPr>
      </w:pPr>
      <w:r w:rsidRPr="00F171A3">
        <w:t>Prin aplicarea chestionarului se urmărește o mai bună înțelegere a contextului antreprenorial local și a nevoilor companiilor și ale oamenilor de afaceri. Opiniile exprimate au rolul de a contribui la identificarea competențelor distinctive, a măsurilor dorite de către mediul de afaceri și la identificarea priorităților de dezvoltare pentru următoarea perioadă. Chestionarul a fost creat pe baza unei analize preliminare a literaturii și a datelor disponibile, structura acestuia fiind împărțită în mai multe categorii:</w:t>
      </w:r>
    </w:p>
    <w:p w14:paraId="2A1DB7CE" w14:textId="77777777" w:rsidR="00FE3332" w:rsidRPr="00F171A3" w:rsidRDefault="00FE3332">
      <w:pPr>
        <w:pStyle w:val="ListParagraph"/>
        <w:numPr>
          <w:ilvl w:val="0"/>
          <w:numId w:val="89"/>
        </w:numPr>
        <w:spacing w:beforeLines="60" w:before="144" w:afterLines="60" w:after="144"/>
        <w:contextualSpacing/>
        <w:rPr>
          <w:color w:val="134753" w:themeColor="text2"/>
        </w:rPr>
      </w:pPr>
      <w:r w:rsidRPr="00F171A3">
        <w:rPr>
          <w:b/>
          <w:color w:val="134753" w:themeColor="text2"/>
        </w:rPr>
        <w:t>Date generale și aportul la dezvoltarea locală</w:t>
      </w:r>
      <w:r w:rsidRPr="00F171A3">
        <w:rPr>
          <w:color w:val="134753" w:themeColor="text2"/>
        </w:rPr>
        <w:t>,  în cadrul căreia respondenții au fost rugați să ofere informații despre aspecte precum data înființării companiei, numărul de angajați, cifra de afaceri, sectorul de activitate și estimări generale asupra perioadei următoare;</w:t>
      </w:r>
    </w:p>
    <w:p w14:paraId="51212E81" w14:textId="77777777" w:rsidR="00FE3332" w:rsidRPr="00F171A3" w:rsidRDefault="00FE3332">
      <w:pPr>
        <w:pStyle w:val="ListParagraph"/>
        <w:numPr>
          <w:ilvl w:val="0"/>
          <w:numId w:val="89"/>
        </w:numPr>
        <w:spacing w:beforeLines="60" w:before="144" w:afterLines="60" w:after="144"/>
        <w:contextualSpacing/>
        <w:rPr>
          <w:b/>
          <w:color w:val="134753" w:themeColor="text2"/>
        </w:rPr>
      </w:pPr>
      <w:r w:rsidRPr="00F171A3">
        <w:rPr>
          <w:b/>
          <w:color w:val="134753" w:themeColor="text2"/>
        </w:rPr>
        <w:t xml:space="preserve">Mediul de afaceri local și perspective de dezvoltare, </w:t>
      </w:r>
      <w:r w:rsidRPr="00F171A3">
        <w:rPr>
          <w:color w:val="134753" w:themeColor="text2"/>
        </w:rPr>
        <w:t>în cadrul căreia respondenții:</w:t>
      </w:r>
    </w:p>
    <w:p w14:paraId="0101EE72" w14:textId="14566AB1" w:rsidR="00FE3332" w:rsidRPr="00F171A3" w:rsidRDefault="00FC4217">
      <w:pPr>
        <w:pStyle w:val="ListParagraph"/>
        <w:numPr>
          <w:ilvl w:val="1"/>
          <w:numId w:val="101"/>
        </w:numPr>
        <w:spacing w:beforeLines="60" w:before="144" w:afterLines="60" w:after="144"/>
        <w:contextualSpacing/>
        <w:rPr>
          <w:b/>
          <w:color w:val="134753" w:themeColor="text2"/>
        </w:rPr>
      </w:pPr>
      <w:r w:rsidRPr="00F171A3">
        <w:rPr>
          <w:color w:val="134753" w:themeColor="text2"/>
        </w:rPr>
        <w:t>A</w:t>
      </w:r>
      <w:r w:rsidR="00FE3332" w:rsidRPr="00F171A3">
        <w:rPr>
          <w:color w:val="134753" w:themeColor="text2"/>
        </w:rPr>
        <w:t>u fost rugați să identifice principalele beneficii și dezavantaje privind desfășurarea activității economice în Sectorul 2 și privind oferta forței de muncă;</w:t>
      </w:r>
    </w:p>
    <w:p w14:paraId="42254E40" w14:textId="243AFBA2" w:rsidR="00FE3332" w:rsidRPr="00F171A3" w:rsidRDefault="00FC4217">
      <w:pPr>
        <w:pStyle w:val="ListParagraph"/>
        <w:numPr>
          <w:ilvl w:val="1"/>
          <w:numId w:val="101"/>
        </w:numPr>
        <w:spacing w:beforeLines="60" w:before="144" w:afterLines="60" w:after="144"/>
        <w:contextualSpacing/>
        <w:rPr>
          <w:b/>
          <w:color w:val="134753" w:themeColor="text2"/>
        </w:rPr>
      </w:pPr>
      <w:r w:rsidRPr="00F171A3">
        <w:rPr>
          <w:color w:val="134753" w:themeColor="text2"/>
        </w:rPr>
        <w:t>A</w:t>
      </w:r>
      <w:r w:rsidR="00FE3332" w:rsidRPr="00F171A3">
        <w:rPr>
          <w:color w:val="134753" w:themeColor="text2"/>
        </w:rPr>
        <w:t>u fost rugați să își exprime părerea în legătură cu prioritățile de dezvoltare, direcții de acțiune, potențiale măsuri de sprijinire a activității/dezvoltării agenților economici existenți și/sau atragerea de noi agenți economici și alte aspecte relevante;</w:t>
      </w:r>
    </w:p>
    <w:p w14:paraId="2C37C7FE" w14:textId="385360E7" w:rsidR="00FE3332" w:rsidRPr="00F171A3" w:rsidRDefault="00FC4217">
      <w:pPr>
        <w:pStyle w:val="ListParagraph"/>
        <w:numPr>
          <w:ilvl w:val="1"/>
          <w:numId w:val="101"/>
        </w:numPr>
        <w:spacing w:beforeLines="60" w:before="144" w:afterLines="60" w:after="144"/>
        <w:contextualSpacing/>
        <w:rPr>
          <w:b/>
          <w:color w:val="134753" w:themeColor="text2"/>
        </w:rPr>
      </w:pPr>
      <w:r w:rsidRPr="00F171A3">
        <w:rPr>
          <w:color w:val="134753" w:themeColor="text2"/>
        </w:rPr>
        <w:t>A</w:t>
      </w:r>
      <w:r w:rsidR="00FE3332" w:rsidRPr="00F171A3">
        <w:rPr>
          <w:color w:val="134753" w:themeColor="text2"/>
        </w:rPr>
        <w:t>u fost rugați să își exprime interesul în legătură cu activități de consultare și dezbateri cu autorități publice locale;</w:t>
      </w:r>
    </w:p>
    <w:p w14:paraId="730018F0" w14:textId="6D296D80" w:rsidR="00FE3332" w:rsidRPr="00F171A3" w:rsidRDefault="00FC4217">
      <w:pPr>
        <w:pStyle w:val="ListParagraph"/>
        <w:numPr>
          <w:ilvl w:val="1"/>
          <w:numId w:val="101"/>
        </w:numPr>
        <w:spacing w:beforeLines="60" w:before="144" w:afterLines="60" w:after="144"/>
        <w:contextualSpacing/>
        <w:rPr>
          <w:b/>
          <w:color w:val="134753" w:themeColor="text2"/>
        </w:rPr>
      </w:pPr>
      <w:r w:rsidRPr="00F171A3">
        <w:rPr>
          <w:color w:val="134753" w:themeColor="text2"/>
        </w:rPr>
        <w:t>A</w:t>
      </w:r>
      <w:r w:rsidR="00FE3332" w:rsidRPr="00F171A3">
        <w:rPr>
          <w:color w:val="134753" w:themeColor="text2"/>
        </w:rPr>
        <w:t>u fost rugați să aprecieze colaborarea cu Primăria Sectorului 2;</w:t>
      </w:r>
    </w:p>
    <w:p w14:paraId="65C99BD5" w14:textId="1485ABC8" w:rsidR="00FE3332" w:rsidRPr="00F171A3" w:rsidRDefault="00FC4217">
      <w:pPr>
        <w:pStyle w:val="ListParagraph"/>
        <w:numPr>
          <w:ilvl w:val="1"/>
          <w:numId w:val="101"/>
        </w:numPr>
        <w:spacing w:beforeLines="60" w:before="144" w:afterLines="60" w:after="144"/>
        <w:contextualSpacing/>
        <w:rPr>
          <w:b/>
          <w:color w:val="134753" w:themeColor="text2"/>
        </w:rPr>
      </w:pPr>
      <w:r w:rsidRPr="00F171A3">
        <w:rPr>
          <w:color w:val="134753" w:themeColor="text2"/>
        </w:rPr>
        <w:t>A</w:t>
      </w:r>
      <w:r w:rsidR="00FE3332" w:rsidRPr="00F171A3">
        <w:rPr>
          <w:color w:val="134753" w:themeColor="text2"/>
        </w:rPr>
        <w:t xml:space="preserve">u fost rugați să menționeze cum și în ce măsură a influențat </w:t>
      </w:r>
      <w:r w:rsidR="00B1751D" w:rsidRPr="00F171A3">
        <w:rPr>
          <w:color w:val="134753" w:themeColor="text2"/>
        </w:rPr>
        <w:t>contextul</w:t>
      </w:r>
      <w:r w:rsidR="00FE3332" w:rsidRPr="00F171A3">
        <w:rPr>
          <w:color w:val="134753" w:themeColor="text2"/>
        </w:rPr>
        <w:t xml:space="preserve"> pandemiei de COVID-19 derularea activităților companiei. </w:t>
      </w:r>
    </w:p>
    <w:p w14:paraId="026C22E8" w14:textId="7994E228" w:rsidR="00FE3332" w:rsidRPr="00F171A3" w:rsidRDefault="00FE3332" w:rsidP="00FE3332">
      <w:pPr>
        <w:rPr>
          <w:highlight w:val="yellow"/>
          <w:lang w:eastAsia="ja-JP"/>
        </w:rPr>
      </w:pPr>
      <w:r w:rsidRPr="00F171A3">
        <w:t xml:space="preserve">Chestionarul a fost disponibil pentru completare timp de </w:t>
      </w:r>
      <w:r w:rsidR="00906AEC" w:rsidRPr="00F171A3">
        <w:t xml:space="preserve">aproximativ 2 luni și jumătate în </w:t>
      </w:r>
      <w:r w:rsidR="00B1751D" w:rsidRPr="00F171A3">
        <w:t>perioada</w:t>
      </w:r>
      <w:r w:rsidR="00906AEC" w:rsidRPr="00F171A3">
        <w:t xml:space="preserve"> aprilie-iulie 2022</w:t>
      </w:r>
      <w:r w:rsidR="00F1715B" w:rsidRPr="00F171A3">
        <w:t xml:space="preserve">. </w:t>
      </w:r>
      <w:r w:rsidRPr="00F171A3">
        <w:t>În acest interval de timp chestionarul a fost completat de către 116 persoane, iar rezultatele centralizate</w:t>
      </w:r>
      <w:r w:rsidR="00F1715B" w:rsidRPr="00F171A3">
        <w:t>.</w:t>
      </w:r>
      <w:r w:rsidRPr="00F171A3">
        <w:t xml:space="preserve"> în urma acestui proces sunt prezentate în cele ce urmează.</w:t>
      </w:r>
      <w:r w:rsidRPr="00F171A3">
        <w:rPr>
          <w:highlight w:val="yellow"/>
          <w:lang w:eastAsia="ja-JP"/>
        </w:rPr>
        <w:t xml:space="preserve"> </w:t>
      </w:r>
    </w:p>
    <w:p w14:paraId="0983E0AC" w14:textId="77777777" w:rsidR="00FE3332" w:rsidRPr="00F171A3" w:rsidRDefault="00FE3332" w:rsidP="00FE3332">
      <w:pPr>
        <w:pStyle w:val="ActionTitle0"/>
      </w:pPr>
      <w:r w:rsidRPr="00F171A3">
        <w:t>DETALII DESPRE COMPANIE (OPȚIONAL)</w:t>
      </w:r>
    </w:p>
    <w:p w14:paraId="234ED76B" w14:textId="77777777" w:rsidR="00FE3332" w:rsidRPr="00F171A3" w:rsidRDefault="00FE3332" w:rsidP="00FE3332">
      <w:pPr>
        <w:pStyle w:val="BoldCIVITTALightBlue"/>
        <w:rPr>
          <w:lang w:val="ro-RO"/>
        </w:rPr>
      </w:pPr>
      <w:r w:rsidRPr="00F171A3">
        <w:rPr>
          <w:lang w:val="ro-RO"/>
        </w:rPr>
        <w:t>1. Care este anul înființării companiei pe care o reprezentați:</w:t>
      </w:r>
    </w:p>
    <w:p w14:paraId="22AADF6F" w14:textId="39F2109E" w:rsidR="00FE3332" w:rsidRPr="00F171A3" w:rsidRDefault="00FE3332" w:rsidP="00FE3332">
      <w:pPr>
        <w:rPr>
          <w:highlight w:val="yellow"/>
        </w:rPr>
      </w:pPr>
      <w:r w:rsidRPr="00F171A3">
        <w:t>Atât nevoile companiilor noi,  la început de drum, cât și ale companiilor cu experiență în domeniu sunt expuse în cadrul prezentului proces. Cele mai multe dintre companiile reprezentate în cadrul acestui proces și-au început activitatea în perioada 2000-2009, respective 43, urmate apoi de companiile care și-au început activitatea după de anul 2010, respective 38, dar sunt prezente de asemenea și 28 de companii înființate înainte de anul 2000. Prezentele date pun în evidență în cadrul chestionarului o manifestare a nevoilor și opiniilor atât de către companii vechi pe piață, cu experiență, cât și a celor nou deschise și la început de drum.</w:t>
      </w:r>
    </w:p>
    <w:p w14:paraId="104A5911" w14:textId="77777777" w:rsidR="00FE3332" w:rsidRPr="00F171A3" w:rsidRDefault="00FE3332" w:rsidP="00FE3332">
      <w:pPr>
        <w:rPr>
          <w:highlight w:val="yellow"/>
          <w:lang w:eastAsia="ja-JP"/>
        </w:rPr>
      </w:pPr>
      <w:r w:rsidRPr="00F171A3">
        <w:rPr>
          <w:noProof/>
        </w:rPr>
        <w:drawing>
          <wp:inline distT="0" distB="0" distL="0" distR="0" wp14:anchorId="6E623389" wp14:editId="729E7D62">
            <wp:extent cx="5909094" cy="2001328"/>
            <wp:effectExtent l="0" t="0" r="0" b="18415"/>
            <wp:docPr id="25703" name="Diagram 257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2" r:lo="rId303" r:qs="rId304" r:cs="rId305"/>
              </a:graphicData>
            </a:graphic>
          </wp:inline>
        </w:drawing>
      </w:r>
    </w:p>
    <w:p w14:paraId="52D974FF" w14:textId="77777777" w:rsidR="00FC4217" w:rsidRPr="00F171A3" w:rsidRDefault="00FC4217" w:rsidP="00FE3332">
      <w:pPr>
        <w:pStyle w:val="BoldCIVITTALightBlue"/>
        <w:rPr>
          <w:lang w:val="ro-RO"/>
        </w:rPr>
      </w:pPr>
    </w:p>
    <w:p w14:paraId="0F4791B2" w14:textId="453D119C" w:rsidR="00FE3332" w:rsidRPr="00F171A3" w:rsidRDefault="00FE3332" w:rsidP="00FE3332">
      <w:pPr>
        <w:pStyle w:val="BoldCIVITTALightBlue"/>
        <w:rPr>
          <w:lang w:val="ro-RO"/>
        </w:rPr>
      </w:pPr>
      <w:r w:rsidRPr="00F171A3">
        <w:rPr>
          <w:lang w:val="ro-RO"/>
        </w:rPr>
        <w:t>2. Care a fost numărul de angajați al companiei în anul 2021?</w:t>
      </w:r>
    </w:p>
    <w:p w14:paraId="47AD1173" w14:textId="77777777" w:rsidR="00FE3332" w:rsidRPr="00F171A3" w:rsidRDefault="00FE3332" w:rsidP="00FE3332">
      <w:pPr>
        <w:rPr>
          <w:highlight w:val="yellow"/>
        </w:rPr>
      </w:pPr>
      <w:r w:rsidRPr="00F171A3">
        <w:t xml:space="preserve">În cadrul  sondajului predomină respondenți ce reprezintă companii de tipul microîntreprinderilor. O majoritate a respondenților, respectiv 78,8% dintre aceștia, reprezintă microîntreprinderi,  cu un număr de angajați între 0 și 9 (46,0%) și întreprinderi mici, între 10 și 49 de angajați (32,7%). Categoria care cuprinde companii cu 50-249 de angajați reprezintă 10,6% din totalul respondenților, iar categoria care cuprinde companiile cu un număr mai mare de 250 de angajați este reprezentată de către 10,6% dintre respondenți. </w:t>
      </w:r>
    </w:p>
    <w:p w14:paraId="55833850" w14:textId="77777777" w:rsidR="00FE3332" w:rsidRPr="00F171A3" w:rsidRDefault="00FE3332" w:rsidP="00FE3332">
      <w:pPr>
        <w:rPr>
          <w:highlight w:val="yellow"/>
        </w:rPr>
      </w:pPr>
      <w:r w:rsidRPr="00F171A3">
        <w:rPr>
          <w:noProof/>
        </w:rPr>
        <w:drawing>
          <wp:inline distT="0" distB="0" distL="0" distR="0" wp14:anchorId="275961B9" wp14:editId="2B06B11A">
            <wp:extent cx="5736566" cy="2337759"/>
            <wp:effectExtent l="0" t="0" r="0" b="5715"/>
            <wp:docPr id="25704" name="Chart 257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14:paraId="3731FE0D" w14:textId="77777777" w:rsidR="00FC4217" w:rsidRPr="00F171A3" w:rsidRDefault="00FC4217" w:rsidP="00FE3332">
      <w:pPr>
        <w:pStyle w:val="BoldCIVITTALightBlue"/>
        <w:rPr>
          <w:lang w:val="ro-RO"/>
        </w:rPr>
      </w:pPr>
    </w:p>
    <w:p w14:paraId="26143AD1" w14:textId="7B6A46FB" w:rsidR="00FE3332" w:rsidRPr="00F171A3" w:rsidRDefault="00FE3332" w:rsidP="00FE3332">
      <w:pPr>
        <w:pStyle w:val="BoldCIVITTALightBlue"/>
        <w:rPr>
          <w:lang w:val="ro-RO"/>
        </w:rPr>
      </w:pPr>
      <w:r w:rsidRPr="00F171A3">
        <w:rPr>
          <w:lang w:val="ro-RO"/>
        </w:rPr>
        <w:t>3. Care a fost cifra de afaceri a companiei în anul 2021?</w:t>
      </w:r>
    </w:p>
    <w:p w14:paraId="71213106" w14:textId="77777777" w:rsidR="00FE3332" w:rsidRPr="00F171A3" w:rsidRDefault="00FE3332" w:rsidP="00FE3332">
      <w:pPr>
        <w:rPr>
          <w:highlight w:val="yellow"/>
        </w:rPr>
      </w:pPr>
      <w:r w:rsidRPr="00F171A3">
        <w:t>O pondere mai ridicată dintre respondenți, 61,5% dintre respondenți au avut în anul 2021 o cifra de afaceri de sub 1 milion de Euro, în timp ce restul de 38,5% au avut o cifra de afaceri de peste un milion de euro.</w:t>
      </w:r>
    </w:p>
    <w:p w14:paraId="2162AFDD" w14:textId="77777777" w:rsidR="00FE3332" w:rsidRPr="00F171A3" w:rsidRDefault="00FE3332" w:rsidP="00FE3332">
      <w:pPr>
        <w:rPr>
          <w:highlight w:val="yellow"/>
        </w:rPr>
      </w:pPr>
      <w:r w:rsidRPr="00F171A3">
        <w:rPr>
          <w:noProof/>
        </w:rPr>
        <w:drawing>
          <wp:inline distT="0" distB="0" distL="0" distR="0" wp14:anchorId="3AC50372" wp14:editId="14026084">
            <wp:extent cx="6115792" cy="2280062"/>
            <wp:effectExtent l="0" t="0" r="0" b="6350"/>
            <wp:docPr id="25705" name="Chart 257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14:paraId="62016E5A" w14:textId="77777777" w:rsidR="00FE3332" w:rsidRPr="00F171A3" w:rsidRDefault="00FE3332" w:rsidP="00FE3332">
      <w:pPr>
        <w:pStyle w:val="BoldCIVITTALightBlue"/>
        <w:rPr>
          <w:lang w:val="ro-RO"/>
        </w:rPr>
      </w:pPr>
      <w:r w:rsidRPr="00F171A3">
        <w:rPr>
          <w:lang w:val="ro-RO"/>
        </w:rPr>
        <w:t>4. Care este sectorul de activitate al companiei? Vă rugăm să alegeți din următoarele variante:</w:t>
      </w:r>
    </w:p>
    <w:p w14:paraId="6BF34DF5" w14:textId="77777777" w:rsidR="00FE3332" w:rsidRPr="00F171A3" w:rsidRDefault="00FE3332" w:rsidP="00FE3332">
      <w:r w:rsidRPr="00F171A3">
        <w:t>IT&amp;C, construcțiile și cercetarea-dezvoltarea, consultanța, serviciile de marketing, publicitatea, managementul sunt domeniile reprezentate de către cei mai mulți  dintre respondenți. Conform graficului, circa 53% dintre companiile respondente își desfășoară activitatea în cele 3  domenii majoritare:</w:t>
      </w:r>
    </w:p>
    <w:p w14:paraId="700292FB" w14:textId="77777777" w:rsidR="00FE3332" w:rsidRPr="00F171A3" w:rsidRDefault="00FE3332">
      <w:pPr>
        <w:pStyle w:val="Bullet"/>
        <w:numPr>
          <w:ilvl w:val="0"/>
          <w:numId w:val="38"/>
        </w:numPr>
      </w:pPr>
      <w:r w:rsidRPr="00F171A3">
        <w:t>IT&amp;C (24,7% dintre respondenți);</w:t>
      </w:r>
    </w:p>
    <w:p w14:paraId="2DCDA570" w14:textId="77777777" w:rsidR="00FE3332" w:rsidRPr="00F171A3" w:rsidRDefault="00FE3332">
      <w:pPr>
        <w:pStyle w:val="Bullet"/>
        <w:numPr>
          <w:ilvl w:val="0"/>
          <w:numId w:val="38"/>
        </w:numPr>
      </w:pPr>
      <w:r w:rsidRPr="00F171A3">
        <w:t>Construcții (14,6% dintre respondenți);</w:t>
      </w:r>
    </w:p>
    <w:p w14:paraId="45509613" w14:textId="77777777" w:rsidR="00FE3332" w:rsidRPr="00F171A3" w:rsidRDefault="00FE3332">
      <w:pPr>
        <w:pStyle w:val="Bullet"/>
        <w:numPr>
          <w:ilvl w:val="0"/>
          <w:numId w:val="38"/>
        </w:numPr>
      </w:pPr>
      <w:r w:rsidRPr="00F171A3">
        <w:t>Cercetare-dezvoltare, consultanță, servicii de marketing, publicitate, management, etc (14,6% dintre respondenți).</w:t>
      </w:r>
    </w:p>
    <w:p w14:paraId="3F9A2F51" w14:textId="77777777" w:rsidR="00FE3332" w:rsidRPr="00F171A3" w:rsidRDefault="00FE3332" w:rsidP="00FE3332">
      <w:r w:rsidRPr="00F171A3">
        <w:t>Restul domeniilor sunt reprezentate de către sub 13% dintre respondenți fiecare:</w:t>
      </w:r>
    </w:p>
    <w:p w14:paraId="19161D28" w14:textId="77777777" w:rsidR="00FE3332" w:rsidRPr="00F171A3" w:rsidRDefault="00FE3332">
      <w:pPr>
        <w:pStyle w:val="Bullet"/>
        <w:numPr>
          <w:ilvl w:val="0"/>
          <w:numId w:val="38"/>
        </w:numPr>
      </w:pPr>
      <w:r w:rsidRPr="00F171A3">
        <w:t>Intermediere, transport, depozitare (12,4% dintre respondenți);</w:t>
      </w:r>
    </w:p>
    <w:p w14:paraId="00693C23" w14:textId="77777777" w:rsidR="00FE3332" w:rsidRPr="00F171A3" w:rsidRDefault="00FE3332">
      <w:pPr>
        <w:pStyle w:val="Bullet"/>
        <w:numPr>
          <w:ilvl w:val="0"/>
          <w:numId w:val="38"/>
        </w:numPr>
      </w:pPr>
      <w:r w:rsidRPr="00F171A3">
        <w:t>Servicii financiare (9,0% dintre respondenți);</w:t>
      </w:r>
    </w:p>
    <w:p w14:paraId="6034AB75" w14:textId="77777777" w:rsidR="00FE3332" w:rsidRPr="00F171A3" w:rsidRDefault="00FE3332">
      <w:pPr>
        <w:pStyle w:val="Bullet"/>
        <w:numPr>
          <w:ilvl w:val="0"/>
          <w:numId w:val="38"/>
        </w:numPr>
      </w:pPr>
      <w:r w:rsidRPr="00F171A3">
        <w:t>Industria constructoare de mașini, utilaje, echipamente și a mijloacelor de transport (6,7% dintre respondenți);</w:t>
      </w:r>
    </w:p>
    <w:p w14:paraId="5FA28FCE" w14:textId="77777777" w:rsidR="00FE3332" w:rsidRPr="00F171A3" w:rsidRDefault="00FE3332">
      <w:pPr>
        <w:pStyle w:val="Bullet"/>
        <w:numPr>
          <w:ilvl w:val="0"/>
          <w:numId w:val="38"/>
        </w:numPr>
      </w:pPr>
      <w:r w:rsidRPr="00F171A3">
        <w:t>Activități de recreere, artistice, culturale, divertisment (6,7% dintre respondenți);</w:t>
      </w:r>
    </w:p>
    <w:p w14:paraId="7A73B410" w14:textId="77777777" w:rsidR="00FE3332" w:rsidRPr="00F171A3" w:rsidRDefault="00FE3332">
      <w:pPr>
        <w:pStyle w:val="Bullet"/>
        <w:numPr>
          <w:ilvl w:val="0"/>
          <w:numId w:val="38"/>
        </w:numPr>
      </w:pPr>
      <w:r w:rsidRPr="00F171A3">
        <w:t>Industria textilă (3,4% dintre respondenți);</w:t>
      </w:r>
    </w:p>
    <w:p w14:paraId="43CFCF09" w14:textId="77777777" w:rsidR="00FE3332" w:rsidRPr="00F171A3" w:rsidRDefault="00FE3332">
      <w:pPr>
        <w:pStyle w:val="Bullet"/>
        <w:numPr>
          <w:ilvl w:val="0"/>
          <w:numId w:val="38"/>
        </w:numPr>
      </w:pPr>
      <w:r w:rsidRPr="00F171A3">
        <w:t>Fabricarea calculatoarelor, a produselor electronice, optice etc (3,4% dintre respondenți);</w:t>
      </w:r>
    </w:p>
    <w:p w14:paraId="1646649D" w14:textId="77777777" w:rsidR="00FE3332" w:rsidRPr="00F171A3" w:rsidRDefault="00FE3332">
      <w:pPr>
        <w:pStyle w:val="Bullet"/>
        <w:numPr>
          <w:ilvl w:val="0"/>
          <w:numId w:val="38"/>
        </w:numPr>
      </w:pPr>
      <w:r w:rsidRPr="00F171A3">
        <w:t>Hoteluri, restaurante – turism (3,4% dintre respondenți);</w:t>
      </w:r>
    </w:p>
    <w:p w14:paraId="258E946F" w14:textId="77777777" w:rsidR="00FE3332" w:rsidRPr="00F171A3" w:rsidRDefault="00FE3332">
      <w:pPr>
        <w:pStyle w:val="Bullet"/>
        <w:numPr>
          <w:ilvl w:val="0"/>
          <w:numId w:val="38"/>
        </w:numPr>
      </w:pPr>
      <w:r w:rsidRPr="00F171A3">
        <w:t>Industria alimentară</w:t>
      </w:r>
      <w:r w:rsidRPr="00F171A3">
        <w:tab/>
        <w:t>(2,3% dintre respondenți);</w:t>
      </w:r>
    </w:p>
    <w:p w14:paraId="69E11F0B" w14:textId="77777777" w:rsidR="00FE3332" w:rsidRPr="00F171A3" w:rsidRDefault="00FE3332">
      <w:pPr>
        <w:pStyle w:val="Bullet"/>
        <w:numPr>
          <w:ilvl w:val="0"/>
          <w:numId w:val="38"/>
        </w:numPr>
      </w:pPr>
      <w:r w:rsidRPr="00F171A3">
        <w:t>Industria metalurgică</w:t>
      </w:r>
      <w:r w:rsidRPr="00F171A3">
        <w:tab/>
        <w:t>2,3% dintre respondenți);</w:t>
      </w:r>
    </w:p>
    <w:p w14:paraId="7C70D617" w14:textId="77777777" w:rsidR="00FE3332" w:rsidRPr="00F171A3" w:rsidRDefault="00FE3332">
      <w:pPr>
        <w:pStyle w:val="Bullet"/>
        <w:numPr>
          <w:ilvl w:val="0"/>
          <w:numId w:val="38"/>
        </w:numPr>
      </w:pPr>
      <w:r w:rsidRPr="00F171A3">
        <w:t>Servicii private de sănătate și asistență socială (2,3% dintre respondenți);</w:t>
      </w:r>
    </w:p>
    <w:p w14:paraId="0FD21C2E" w14:textId="77777777" w:rsidR="00FE3332" w:rsidRPr="00F171A3" w:rsidRDefault="00FE3332">
      <w:pPr>
        <w:pStyle w:val="Bullet"/>
        <w:numPr>
          <w:ilvl w:val="0"/>
          <w:numId w:val="38"/>
        </w:numPr>
      </w:pPr>
      <w:r w:rsidRPr="00F171A3">
        <w:t>Servicii private de educație și formare (2,3% dintre respondenți);</w:t>
      </w:r>
    </w:p>
    <w:p w14:paraId="0A8FD2E0" w14:textId="77777777" w:rsidR="00FE3332" w:rsidRPr="00F171A3" w:rsidRDefault="00FE3332">
      <w:pPr>
        <w:pStyle w:val="Bullet"/>
        <w:numPr>
          <w:ilvl w:val="0"/>
          <w:numId w:val="38"/>
        </w:numPr>
      </w:pPr>
      <w:r w:rsidRPr="00F171A3">
        <w:t>Industria lemnului și hârtiei (1,1% dintre respondenți);</w:t>
      </w:r>
    </w:p>
    <w:p w14:paraId="4A999DC3" w14:textId="77777777" w:rsidR="00FE3332" w:rsidRPr="00F171A3" w:rsidRDefault="00FE3332">
      <w:pPr>
        <w:pStyle w:val="Bullet"/>
        <w:numPr>
          <w:ilvl w:val="0"/>
          <w:numId w:val="38"/>
        </w:numPr>
      </w:pPr>
      <w:r w:rsidRPr="00F171A3">
        <w:t>Industria chimică/petrochimică (1,1% dintre respondenți);</w:t>
      </w:r>
    </w:p>
    <w:p w14:paraId="02461923" w14:textId="77777777" w:rsidR="00FE3332" w:rsidRPr="00F171A3" w:rsidRDefault="00FE3332">
      <w:pPr>
        <w:pStyle w:val="Bullet"/>
        <w:numPr>
          <w:ilvl w:val="0"/>
          <w:numId w:val="38"/>
        </w:numPr>
      </w:pPr>
      <w:r w:rsidRPr="00F171A3">
        <w:t>Producția de energie (1,1% dintre respondenți).</w:t>
      </w:r>
    </w:p>
    <w:p w14:paraId="563EF847" w14:textId="77777777" w:rsidR="00FE3332" w:rsidRPr="00F171A3" w:rsidRDefault="00FE3332" w:rsidP="00FE3332">
      <w:pPr>
        <w:rPr>
          <w:highlight w:val="yellow"/>
          <w:lang w:eastAsia="ja-JP"/>
        </w:rPr>
      </w:pPr>
      <w:r w:rsidRPr="00F171A3">
        <w:rPr>
          <w:noProof/>
        </w:rPr>
        <w:drawing>
          <wp:inline distT="0" distB="0" distL="0" distR="0" wp14:anchorId="379F4818" wp14:editId="749D8919">
            <wp:extent cx="5960853" cy="5175849"/>
            <wp:effectExtent l="0" t="0" r="1905" b="6350"/>
            <wp:docPr id="25706" name="Chart 257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48C7AE36" w14:textId="77777777" w:rsidR="00FE3332" w:rsidRPr="00F171A3" w:rsidRDefault="00FE3332" w:rsidP="00FE3332">
      <w:pPr>
        <w:rPr>
          <w:highlight w:val="yellow"/>
          <w:lang w:eastAsia="ja-JP"/>
        </w:rPr>
      </w:pPr>
    </w:p>
    <w:p w14:paraId="2F73261C" w14:textId="77777777" w:rsidR="00FE3332" w:rsidRPr="00F171A3" w:rsidRDefault="00FE3332" w:rsidP="00FE3332">
      <w:pPr>
        <w:pStyle w:val="ActionTitle0"/>
        <w:rPr>
          <w:highlight w:val="yellow"/>
        </w:rPr>
      </w:pPr>
      <w:r w:rsidRPr="00F171A3">
        <w:t>APORT LA DEZVOLTAREA LOCALĂ</w:t>
      </w:r>
    </w:p>
    <w:p w14:paraId="6F89C780" w14:textId="77777777" w:rsidR="00FE3332" w:rsidRPr="00F171A3" w:rsidRDefault="00FE3332" w:rsidP="00FE3332">
      <w:pPr>
        <w:pStyle w:val="BoldCIVITTALightBlue"/>
        <w:rPr>
          <w:lang w:val="ro-RO"/>
        </w:rPr>
      </w:pPr>
      <w:r w:rsidRPr="00F171A3">
        <w:rPr>
          <w:lang w:val="ro-RO"/>
        </w:rPr>
        <w:t>5. În următorii ani, estimați că:</w:t>
      </w:r>
    </w:p>
    <w:p w14:paraId="13B776B5" w14:textId="77777777" w:rsidR="00FE3332" w:rsidRPr="00F171A3" w:rsidRDefault="00FE3332" w:rsidP="00FE3332">
      <w:r w:rsidRPr="00F171A3">
        <w:t xml:space="preserve">Răspunsurile furnizate de către mediul de afaceri surprind o viziune relativ pozitivă asupra următorilor 5 ani. Toate cele 4 elemente, respectiv numărul de angajați, volumul producției, cifra de afaceri și profitul prezintă estimări ce caracterizează o tendință ascendentă. Astfel, acestea sunt considerate în proporții cuprinse între 44,7% și 57,3% dintre respondenți că vor urma o creștere în următorii 5 ani. Totuși, cifra de afaceri (57,3%) este elementul estimat de către cele mai multe persoane ca fiind caracterizat de o viitoare creștere (cu până la 20% și cu peste 20%) în următorii ani, urmat apoi de: </w:t>
      </w:r>
    </w:p>
    <w:p w14:paraId="0051C551" w14:textId="618FBE1C" w:rsidR="00FE3332" w:rsidRPr="00F171A3" w:rsidRDefault="00FC4217">
      <w:pPr>
        <w:pStyle w:val="Bullet"/>
        <w:numPr>
          <w:ilvl w:val="0"/>
          <w:numId w:val="38"/>
        </w:numPr>
      </w:pPr>
      <w:r w:rsidRPr="00F171A3">
        <w:t>V</w:t>
      </w:r>
      <w:r w:rsidR="00FE3332" w:rsidRPr="00F171A3">
        <w:t>olumul producției (57,3% dintre respondenți);</w:t>
      </w:r>
    </w:p>
    <w:p w14:paraId="5C0B5372" w14:textId="76D1E499" w:rsidR="00FE3332" w:rsidRPr="00F171A3" w:rsidRDefault="00FC4217">
      <w:pPr>
        <w:pStyle w:val="Bullet"/>
        <w:numPr>
          <w:ilvl w:val="0"/>
          <w:numId w:val="38"/>
        </w:numPr>
      </w:pPr>
      <w:r w:rsidRPr="00F171A3">
        <w:t>P</w:t>
      </w:r>
      <w:r w:rsidR="00FE3332" w:rsidRPr="00F171A3">
        <w:t>rofitul (48,5% dintre respondenți);</w:t>
      </w:r>
    </w:p>
    <w:p w14:paraId="398D1DE6" w14:textId="28580FD6" w:rsidR="00FE3332" w:rsidRPr="00F171A3" w:rsidRDefault="00FC4217">
      <w:pPr>
        <w:pStyle w:val="Bullet"/>
        <w:numPr>
          <w:ilvl w:val="0"/>
          <w:numId w:val="38"/>
        </w:numPr>
      </w:pPr>
      <w:r w:rsidRPr="00F171A3">
        <w:t>N</w:t>
      </w:r>
      <w:r w:rsidR="00FE3332" w:rsidRPr="00F171A3">
        <w:t>umărul de angajați (44,7% dintre respondenți).</w:t>
      </w:r>
    </w:p>
    <w:p w14:paraId="75C0CE7A" w14:textId="77777777" w:rsidR="00FE3332" w:rsidRPr="00F171A3" w:rsidRDefault="00FE3332" w:rsidP="00FE3332">
      <w:r w:rsidRPr="00F171A3">
        <w:t xml:space="preserve">Sub 20% dintre respondenți consideră posibilitatea unei potențiale scăderi (cu până la 20% și cu peste 20%) în cadrul acestora. Elementul cu cel mai mare potențial de a rămâne constant este numărul de angajați, aproape jumătate dintre respondenți susținând acest lucru. </w:t>
      </w:r>
    </w:p>
    <w:p w14:paraId="00BE1AEE" w14:textId="77777777" w:rsidR="00FE3332" w:rsidRPr="00F171A3" w:rsidRDefault="00FE3332" w:rsidP="00FE3332">
      <w:pPr>
        <w:rPr>
          <w:lang w:eastAsia="ja-JP"/>
        </w:rPr>
      </w:pPr>
      <w:r w:rsidRPr="00F171A3">
        <w:rPr>
          <w:noProof/>
        </w:rPr>
        <w:drawing>
          <wp:inline distT="0" distB="0" distL="0" distR="0" wp14:anchorId="5AA16FC1" wp14:editId="7E4919B3">
            <wp:extent cx="5822830" cy="2458528"/>
            <wp:effectExtent l="0" t="0" r="6985" b="0"/>
            <wp:docPr id="25707" name="Chart 25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05EC530C" w14:textId="77777777" w:rsidR="00FC4217" w:rsidRPr="00F171A3" w:rsidRDefault="00FC4217" w:rsidP="00FE3332">
      <w:pPr>
        <w:pStyle w:val="BoldCIVITTALightBlue"/>
        <w:rPr>
          <w:lang w:val="ro-RO"/>
        </w:rPr>
      </w:pPr>
    </w:p>
    <w:p w14:paraId="181BD2A3" w14:textId="55645A62" w:rsidR="00FE3332" w:rsidRPr="00F171A3" w:rsidRDefault="00FE3332" w:rsidP="00FE3332">
      <w:pPr>
        <w:pStyle w:val="BoldCIVITTALightBlue"/>
        <w:rPr>
          <w:lang w:val="ro-RO"/>
        </w:rPr>
      </w:pPr>
      <w:r w:rsidRPr="00F171A3">
        <w:rPr>
          <w:lang w:val="ro-RO"/>
        </w:rPr>
        <w:t>6. Ce investiții în creșterea capacității de producție estimați/planificați în următoarele 24 de luni:</w:t>
      </w:r>
      <w:r w:rsidRPr="00F171A3">
        <w:rPr>
          <w:lang w:val="ro-RO"/>
        </w:rPr>
        <w:cr/>
      </w:r>
      <w:r w:rsidRPr="00F171A3">
        <w:rPr>
          <w:b w:val="0"/>
          <w:color w:val="auto"/>
          <w:lang w:val="ro-RO" w:eastAsia="en-US"/>
        </w:rPr>
        <w:t>În timp ce 34,4% dintre respondenți susțin faptul că nu vor investi în creșterea capacității de producție în următoarele 24 de luni, o pondere de 33,6% a respondenților susțin faptul că estimează sau planifică o extindere a capacității în următoarele 24 de luni. 20,6% estimează o diversificare a producției, iar doar 11,5% o internaționalizare.</w:t>
      </w:r>
    </w:p>
    <w:p w14:paraId="7E6C7734" w14:textId="77777777" w:rsidR="00FE3332" w:rsidRPr="00F171A3" w:rsidRDefault="00FE3332" w:rsidP="00FE3332">
      <w:pPr>
        <w:rPr>
          <w:highlight w:val="yellow"/>
          <w:lang w:eastAsia="ja-JP"/>
        </w:rPr>
      </w:pPr>
      <w:r w:rsidRPr="00F171A3">
        <w:rPr>
          <w:noProof/>
        </w:rPr>
        <w:drawing>
          <wp:inline distT="0" distB="0" distL="0" distR="0" wp14:anchorId="556BD905" wp14:editId="25716B5C">
            <wp:extent cx="5943600" cy="1777041"/>
            <wp:effectExtent l="0" t="0" r="0" b="0"/>
            <wp:docPr id="25708" name="Chart 25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2324F128" w14:textId="77777777" w:rsidR="00FC4217" w:rsidRPr="00F171A3" w:rsidRDefault="00FC4217" w:rsidP="00FE3332">
      <w:pPr>
        <w:pStyle w:val="BoldCIVITTALightBlue"/>
        <w:rPr>
          <w:lang w:val="ro-RO"/>
        </w:rPr>
      </w:pPr>
    </w:p>
    <w:p w14:paraId="2225EFE1" w14:textId="563AA6FC" w:rsidR="00FE3332" w:rsidRPr="00F171A3" w:rsidRDefault="00FE3332" w:rsidP="00FE3332">
      <w:pPr>
        <w:pStyle w:val="BoldCIVITTALightBlue"/>
        <w:rPr>
          <w:lang w:val="ro-RO"/>
        </w:rPr>
      </w:pPr>
      <w:r w:rsidRPr="00F171A3">
        <w:rPr>
          <w:lang w:val="ro-RO"/>
        </w:rPr>
        <w:t>7. Dacă estimați/planificați și alte investiții, vă rugăm să detaliați:</w:t>
      </w:r>
    </w:p>
    <w:p w14:paraId="24704EDA" w14:textId="77777777" w:rsidR="00FE3332" w:rsidRPr="00F171A3" w:rsidRDefault="00FE3332" w:rsidP="00FE3332">
      <w:pPr>
        <w:rPr>
          <w:lang w:eastAsia="ja-JP"/>
        </w:rPr>
      </w:pPr>
      <w:r w:rsidRPr="00F171A3">
        <w:rPr>
          <w:lang w:eastAsia="ja-JP"/>
        </w:rPr>
        <w:t>Alte investiții estimate sau planificate în cadrul mediului de afaceri din Sectorul 2, din perspectiva respondenților sunt creșterea capacității de digitalizare, investiții în proiecte cu finanțare europeană și investiții în echipamente noi.</w:t>
      </w:r>
    </w:p>
    <w:p w14:paraId="68A44E2F" w14:textId="77777777" w:rsidR="00FC4217" w:rsidRPr="00F171A3" w:rsidRDefault="00FC4217" w:rsidP="00FE3332">
      <w:pPr>
        <w:pStyle w:val="ActionTitle0"/>
      </w:pPr>
    </w:p>
    <w:p w14:paraId="038DB8F2" w14:textId="5B445CAD" w:rsidR="00FE3332" w:rsidRPr="00F171A3" w:rsidRDefault="00FE3332" w:rsidP="00FE3332">
      <w:pPr>
        <w:pStyle w:val="ActionTitle0"/>
        <w:rPr>
          <w:highlight w:val="yellow"/>
        </w:rPr>
      </w:pPr>
      <w:r w:rsidRPr="00F171A3">
        <w:t>MEDIUL DE AFACERI LOCAL</w:t>
      </w:r>
    </w:p>
    <w:p w14:paraId="6EFCD4C8" w14:textId="77777777" w:rsidR="00FE3332" w:rsidRPr="00F171A3" w:rsidRDefault="00FE3332" w:rsidP="00FE3332">
      <w:pPr>
        <w:pStyle w:val="BoldCIVITTALightBlue"/>
        <w:rPr>
          <w:lang w:val="ro-RO"/>
        </w:rPr>
      </w:pPr>
      <w:r w:rsidRPr="00F171A3">
        <w:rPr>
          <w:lang w:val="ro-RO"/>
        </w:rPr>
        <w:t>8. Cum apreciați colaborarea companiei dumneavoastră cu Primăria Sectorului 2?</w:t>
      </w:r>
    </w:p>
    <w:p w14:paraId="747BF7B0" w14:textId="77777777" w:rsidR="00FE3332" w:rsidRPr="00F171A3" w:rsidRDefault="00FE3332" w:rsidP="00FE3332">
      <w:pPr>
        <w:rPr>
          <w:lang w:eastAsia="ja-JP"/>
        </w:rPr>
      </w:pPr>
      <w:r w:rsidRPr="00F171A3">
        <w:rPr>
          <w:lang w:eastAsia="ja-JP"/>
        </w:rPr>
        <w:t>30,0%  dintre respondenți consideră colaborarea dintre mediul de afaceri și Primăria Sectorului 2 ca fiind una bună și foarte bună. Doar 12,9% dintre respondenți caracterizează colaborarea companiei cu Primăria Sectorului 2 ca fiind nesatisfăcătoare (7,1%) sau deloc satisfăcătoare (5,7%), în timp ce 57,1% sunt neutri în raport cu acest aspect.</w:t>
      </w:r>
    </w:p>
    <w:p w14:paraId="52D9FEAB" w14:textId="77777777" w:rsidR="00FE3332" w:rsidRPr="00F171A3" w:rsidRDefault="00FE3332" w:rsidP="00FE3332">
      <w:pPr>
        <w:rPr>
          <w:lang w:eastAsia="ja-JP"/>
        </w:rPr>
      </w:pPr>
      <w:r w:rsidRPr="00F171A3">
        <w:rPr>
          <w:noProof/>
        </w:rPr>
        <w:drawing>
          <wp:inline distT="0" distB="0" distL="0" distR="0" wp14:anchorId="0B307A66" wp14:editId="5DD44397">
            <wp:extent cx="5814204" cy="2363638"/>
            <wp:effectExtent l="0" t="0" r="0" b="0"/>
            <wp:docPr id="25709" name="Chart 257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14:paraId="100BB6F9" w14:textId="77777777" w:rsidR="00FE3332" w:rsidRPr="00F171A3" w:rsidRDefault="00FE3332" w:rsidP="00FE3332">
      <w:pPr>
        <w:pStyle w:val="BoldCIVITTALightBlue"/>
        <w:rPr>
          <w:highlight w:val="yellow"/>
          <w:lang w:val="ro-RO"/>
        </w:rPr>
      </w:pPr>
      <w:r w:rsidRPr="00F171A3">
        <w:rPr>
          <w:lang w:val="ro-RO"/>
        </w:rPr>
        <w:t>9. Vă rugăm să detaliați principalele aspecte pozitive/negative în acest sens:</w:t>
      </w:r>
    </w:p>
    <w:p w14:paraId="2C77218F" w14:textId="77777777" w:rsidR="00FE3332" w:rsidRPr="00F171A3" w:rsidRDefault="00FE3332" w:rsidP="00FE3332">
      <w:pPr>
        <w:rPr>
          <w:lang w:eastAsia="ja-JP"/>
        </w:rPr>
      </w:pPr>
      <w:r w:rsidRPr="00F171A3">
        <w:rPr>
          <w:lang w:eastAsia="ja-JP"/>
        </w:rPr>
        <w:t>Cei mai mulți dintre respondenți menționează următoarele aspecte:</w:t>
      </w:r>
    </w:p>
    <w:p w14:paraId="714F4024" w14:textId="02584C27" w:rsidR="00FE3332" w:rsidRPr="00F171A3" w:rsidRDefault="00FE3332">
      <w:pPr>
        <w:pStyle w:val="Bullet"/>
        <w:numPr>
          <w:ilvl w:val="0"/>
          <w:numId w:val="38"/>
        </w:numPr>
      </w:pPr>
      <w:r w:rsidRPr="00F171A3">
        <w:t>NEGATIV</w:t>
      </w:r>
      <w:r w:rsidR="00FC4217" w:rsidRPr="00F171A3">
        <w:t>:</w:t>
      </w:r>
    </w:p>
    <w:p w14:paraId="085C9314" w14:textId="6A72B374" w:rsidR="00FE3332" w:rsidRPr="00F171A3" w:rsidRDefault="00FC4217">
      <w:pPr>
        <w:pStyle w:val="Bullet"/>
        <w:numPr>
          <w:ilvl w:val="1"/>
          <w:numId w:val="38"/>
        </w:numPr>
      </w:pPr>
      <w:r w:rsidRPr="00F171A3">
        <w:t>N</w:t>
      </w:r>
      <w:r w:rsidR="00FE3332" w:rsidRPr="00F171A3">
        <w:t>ivelul scăzut de digitalizare;</w:t>
      </w:r>
    </w:p>
    <w:p w14:paraId="62830C41" w14:textId="444484E7" w:rsidR="00FE3332" w:rsidRPr="00F171A3" w:rsidRDefault="00FC4217">
      <w:pPr>
        <w:pStyle w:val="Bullet"/>
        <w:numPr>
          <w:ilvl w:val="1"/>
          <w:numId w:val="38"/>
        </w:numPr>
      </w:pPr>
      <w:r w:rsidRPr="00F171A3">
        <w:t>D</w:t>
      </w:r>
      <w:r w:rsidR="00FE3332" w:rsidRPr="00F171A3">
        <w:t>urata medie de răspuns la solicitări este ridicată;</w:t>
      </w:r>
    </w:p>
    <w:p w14:paraId="5879F6F9" w14:textId="3309BADF" w:rsidR="00FE3332" w:rsidRPr="00F171A3" w:rsidRDefault="00FC4217">
      <w:pPr>
        <w:pStyle w:val="Bullet"/>
        <w:numPr>
          <w:ilvl w:val="1"/>
          <w:numId w:val="38"/>
        </w:numPr>
      </w:pPr>
      <w:r w:rsidRPr="00F171A3">
        <w:t>P</w:t>
      </w:r>
      <w:r w:rsidR="00FE3332" w:rsidRPr="00F171A3">
        <w:t>latformă online greoaie;</w:t>
      </w:r>
    </w:p>
    <w:p w14:paraId="5A0494BC" w14:textId="60AFF35D" w:rsidR="00FE3332" w:rsidRPr="00F171A3" w:rsidRDefault="00FC4217">
      <w:pPr>
        <w:pStyle w:val="Bullet"/>
        <w:numPr>
          <w:ilvl w:val="1"/>
          <w:numId w:val="38"/>
        </w:numPr>
      </w:pPr>
      <w:r w:rsidRPr="00F171A3">
        <w:t>N</w:t>
      </w:r>
      <w:r w:rsidR="00FE3332" w:rsidRPr="00F171A3">
        <w:t>evoia de digitalizare a comunicării;</w:t>
      </w:r>
    </w:p>
    <w:p w14:paraId="7CCAC7CF" w14:textId="0F9DE99F" w:rsidR="00FE3332" w:rsidRPr="00F171A3" w:rsidRDefault="00FC4217">
      <w:pPr>
        <w:pStyle w:val="Bullet"/>
        <w:numPr>
          <w:ilvl w:val="1"/>
          <w:numId w:val="38"/>
        </w:numPr>
      </w:pPr>
      <w:r w:rsidRPr="00F171A3">
        <w:t>L</w:t>
      </w:r>
      <w:r w:rsidR="00FE3332" w:rsidRPr="00F171A3">
        <w:t>ipsa programelor de stimulare a mediului de afaceri;</w:t>
      </w:r>
    </w:p>
    <w:p w14:paraId="0A605666" w14:textId="38183814" w:rsidR="00FE3332" w:rsidRPr="00F171A3" w:rsidRDefault="00FE3332">
      <w:pPr>
        <w:pStyle w:val="Bullet"/>
        <w:numPr>
          <w:ilvl w:val="0"/>
          <w:numId w:val="38"/>
        </w:numPr>
      </w:pPr>
      <w:r w:rsidRPr="00F171A3">
        <w:t>POZITIV</w:t>
      </w:r>
      <w:r w:rsidR="00FC4217" w:rsidRPr="00F171A3">
        <w:t>:</w:t>
      </w:r>
    </w:p>
    <w:p w14:paraId="2CDF46D2" w14:textId="7B70AC7D" w:rsidR="00FE3332" w:rsidRPr="00F171A3" w:rsidRDefault="00FC4217">
      <w:pPr>
        <w:pStyle w:val="Bullet"/>
        <w:numPr>
          <w:ilvl w:val="1"/>
          <w:numId w:val="38"/>
        </w:numPr>
      </w:pPr>
      <w:r w:rsidRPr="00F171A3">
        <w:t>P</w:t>
      </w:r>
      <w:r w:rsidR="00FE3332" w:rsidRPr="00F171A3">
        <w:t>romptitudine, comunicare bună;</w:t>
      </w:r>
    </w:p>
    <w:p w14:paraId="0CACAFDF" w14:textId="1B41E3F4" w:rsidR="00FE3332" w:rsidRPr="00F171A3" w:rsidRDefault="00FC4217">
      <w:pPr>
        <w:pStyle w:val="Bullet"/>
        <w:numPr>
          <w:ilvl w:val="1"/>
          <w:numId w:val="38"/>
        </w:numPr>
      </w:pPr>
      <w:r w:rsidRPr="00F171A3">
        <w:t>D</w:t>
      </w:r>
      <w:r w:rsidR="00FE3332" w:rsidRPr="00F171A3">
        <w:t>ialog constant raportat la subiecte de interes comun;</w:t>
      </w:r>
    </w:p>
    <w:p w14:paraId="57E3BFB9" w14:textId="352D5664" w:rsidR="00FE3332" w:rsidRPr="00F171A3" w:rsidRDefault="00FC4217">
      <w:pPr>
        <w:pStyle w:val="Bullet"/>
        <w:numPr>
          <w:ilvl w:val="1"/>
          <w:numId w:val="38"/>
        </w:numPr>
      </w:pPr>
      <w:r w:rsidRPr="00F171A3">
        <w:t>P</w:t>
      </w:r>
      <w:r w:rsidR="00FE3332" w:rsidRPr="00F171A3">
        <w:t>ersonal serviabil și expeditiv;</w:t>
      </w:r>
    </w:p>
    <w:p w14:paraId="573F0182" w14:textId="7ADD922F" w:rsidR="00FE3332" w:rsidRPr="00F171A3" w:rsidRDefault="00FC4217">
      <w:pPr>
        <w:pStyle w:val="Bullet"/>
        <w:numPr>
          <w:ilvl w:val="1"/>
          <w:numId w:val="38"/>
        </w:numPr>
      </w:pPr>
      <w:r w:rsidRPr="00F171A3">
        <w:t>D</w:t>
      </w:r>
      <w:r w:rsidR="00FE3332" w:rsidRPr="00F171A3">
        <w:t>igitalizarea taxelor și impozitelor.</w:t>
      </w:r>
    </w:p>
    <w:p w14:paraId="671EE6D0" w14:textId="77777777" w:rsidR="00FC4217" w:rsidRPr="00F171A3" w:rsidRDefault="00FC4217" w:rsidP="00FE3332">
      <w:pPr>
        <w:pStyle w:val="BoldCIVITTALightBlue"/>
        <w:rPr>
          <w:lang w:val="ro-RO"/>
        </w:rPr>
      </w:pPr>
    </w:p>
    <w:p w14:paraId="2729C83F" w14:textId="213E1E58" w:rsidR="00FE3332" w:rsidRPr="00F171A3" w:rsidRDefault="00FE3332" w:rsidP="00FE3332">
      <w:pPr>
        <w:pStyle w:val="BoldCIVITTALightBlue"/>
        <w:rPr>
          <w:lang w:val="ro-RO"/>
        </w:rPr>
      </w:pPr>
      <w:r w:rsidRPr="00F171A3">
        <w:rPr>
          <w:lang w:val="ro-RO"/>
        </w:rPr>
        <w:t>10. Ce nevoi de sprijin ați mai avea din partea autorităților publice locale? Vă rugăm să menționați atât modalități de sprijin cât și exemple de proiecte:</w:t>
      </w:r>
    </w:p>
    <w:p w14:paraId="08F3E192" w14:textId="77777777" w:rsidR="00FE3332" w:rsidRPr="00F171A3" w:rsidRDefault="00FE3332" w:rsidP="00FE3332">
      <w:r w:rsidRPr="00F171A3">
        <w:t>Următoarele nevoi de sprijin din partea autorităților publice locale stau la baza mediului de afaceri din Sectorul 2 :</w:t>
      </w:r>
    </w:p>
    <w:p w14:paraId="0F2158DC" w14:textId="77777777" w:rsidR="00FE3332" w:rsidRPr="00F171A3" w:rsidRDefault="00FE3332" w:rsidP="00FE3332">
      <w:pPr>
        <w:rPr>
          <w:highlight w:val="yellow"/>
          <w:lang w:eastAsia="ja-JP"/>
        </w:rPr>
      </w:pPr>
      <w:r w:rsidRPr="00F171A3">
        <w:rPr>
          <w:noProof/>
        </w:rPr>
        <w:drawing>
          <wp:inline distT="0" distB="0" distL="0" distR="0" wp14:anchorId="3331DBF6" wp14:editId="54F90A4F">
            <wp:extent cx="5486400" cy="1871932"/>
            <wp:effectExtent l="0" t="0" r="57150" b="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3" r:lo="rId314" r:qs="rId315" r:cs="rId316"/>
              </a:graphicData>
            </a:graphic>
          </wp:inline>
        </w:drawing>
      </w:r>
    </w:p>
    <w:p w14:paraId="076DBA22" w14:textId="77777777" w:rsidR="00D64CC5" w:rsidRPr="00F171A3" w:rsidRDefault="00D64CC5" w:rsidP="00FE3332">
      <w:pPr>
        <w:pStyle w:val="BoldCIVITTALightBlue"/>
        <w:rPr>
          <w:lang w:val="ro-RO"/>
        </w:rPr>
      </w:pPr>
    </w:p>
    <w:p w14:paraId="0D5AB9F4" w14:textId="78058935" w:rsidR="00FE3332" w:rsidRPr="00F171A3" w:rsidRDefault="00FE3332" w:rsidP="00FE3332">
      <w:pPr>
        <w:pStyle w:val="BoldCIVITTALightBlue"/>
        <w:rPr>
          <w:lang w:val="ro-RO"/>
        </w:rPr>
      </w:pPr>
      <w:r w:rsidRPr="00F171A3">
        <w:rPr>
          <w:lang w:val="ro-RO"/>
        </w:rPr>
        <w:t>11. Care sunt principalele beneficii pe care le aveți desfășurând activități economice în Sectorul 2, București? Vă rugăm să acordați o notă de la 1 (min.) până la 5 (max.) pentru următoarele criterii</w:t>
      </w:r>
    </w:p>
    <w:p w14:paraId="6C9C8ACC" w14:textId="77777777" w:rsidR="00FE3332" w:rsidRPr="00F171A3" w:rsidRDefault="00FE3332" w:rsidP="00FE3332">
      <w:r w:rsidRPr="00F171A3">
        <w:t>Infrastructura IT, acoperirea broadband adecvată și accesul către legături de transport sunt principalele avantaje pe care reprezentanții mediului de afaceri le au desfășurând activități economice în Sectorul 2, București. Avantajele mai puțin semnificative din acest punct de vedere sunt costul terenurilor, facilitățile oferite investitorilor și asistența financiară .Prin urmare, în urma răspunsurilor acordate, beneficiile pe care reprezentanții mediului de afaceri le au desfășurând activități economice în Sectorul 2 sunt ierarhizate, de la cele mai importante, la cele mai puțin importante, următoarele:</w:t>
      </w:r>
    </w:p>
    <w:p w14:paraId="4C85A70D" w14:textId="77777777" w:rsidR="00FE3332" w:rsidRPr="00F171A3" w:rsidRDefault="00FE3332">
      <w:pPr>
        <w:pStyle w:val="Bullet"/>
        <w:numPr>
          <w:ilvl w:val="0"/>
          <w:numId w:val="90"/>
        </w:numPr>
      </w:pPr>
      <w:r w:rsidRPr="00F171A3">
        <w:t>Infrastructura IT (3,36/5);</w:t>
      </w:r>
    </w:p>
    <w:p w14:paraId="3E6669C6" w14:textId="77777777" w:rsidR="00FE3332" w:rsidRPr="00F171A3" w:rsidRDefault="00FE3332">
      <w:pPr>
        <w:pStyle w:val="Bullet"/>
        <w:numPr>
          <w:ilvl w:val="0"/>
          <w:numId w:val="90"/>
        </w:numPr>
      </w:pPr>
      <w:r w:rsidRPr="00F171A3">
        <w:t>Acoperirea broadband adecvată (3,26/5);</w:t>
      </w:r>
    </w:p>
    <w:p w14:paraId="79F4B8C7" w14:textId="77777777" w:rsidR="00FE3332" w:rsidRPr="00F171A3" w:rsidRDefault="00FE3332">
      <w:pPr>
        <w:pStyle w:val="Bullet"/>
        <w:numPr>
          <w:ilvl w:val="0"/>
          <w:numId w:val="90"/>
        </w:numPr>
      </w:pPr>
      <w:r w:rsidRPr="00F171A3">
        <w:t>Acces către legături de transport (3,14/5);</w:t>
      </w:r>
    </w:p>
    <w:p w14:paraId="3C61A10E" w14:textId="77777777" w:rsidR="00FE3332" w:rsidRPr="00F171A3" w:rsidRDefault="00FE3332">
      <w:pPr>
        <w:pStyle w:val="Bullet"/>
        <w:numPr>
          <w:ilvl w:val="0"/>
          <w:numId w:val="90"/>
        </w:numPr>
      </w:pPr>
      <w:r w:rsidRPr="00F171A3">
        <w:t>Proximitatea față de alte firme/organizații din același sector economic (2,89/5);</w:t>
      </w:r>
    </w:p>
    <w:p w14:paraId="086C6C2F" w14:textId="77777777" w:rsidR="00FE3332" w:rsidRPr="00F171A3" w:rsidRDefault="00FE3332">
      <w:pPr>
        <w:pStyle w:val="Bullet"/>
        <w:numPr>
          <w:ilvl w:val="0"/>
          <w:numId w:val="90"/>
        </w:numPr>
      </w:pPr>
      <w:r w:rsidRPr="00F171A3">
        <w:t>Acces către piețe/zone învecinate (2,81/5);</w:t>
      </w:r>
    </w:p>
    <w:p w14:paraId="427EEF3C" w14:textId="77777777" w:rsidR="00FE3332" w:rsidRPr="00F171A3" w:rsidRDefault="00FE3332">
      <w:pPr>
        <w:pStyle w:val="Bullet"/>
        <w:numPr>
          <w:ilvl w:val="0"/>
          <w:numId w:val="90"/>
        </w:numPr>
      </w:pPr>
      <w:r w:rsidRPr="00F171A3">
        <w:t>Proximitatea față de furnizori</w:t>
      </w:r>
      <w:r w:rsidRPr="00F171A3">
        <w:tab/>
        <w:t xml:space="preserve"> (2,8/5);</w:t>
      </w:r>
    </w:p>
    <w:p w14:paraId="1AACB86D" w14:textId="77777777" w:rsidR="00FE3332" w:rsidRPr="00F171A3" w:rsidRDefault="00FE3332">
      <w:pPr>
        <w:pStyle w:val="Bullet"/>
        <w:numPr>
          <w:ilvl w:val="0"/>
          <w:numId w:val="90"/>
        </w:numPr>
      </w:pPr>
      <w:r w:rsidRPr="00F171A3">
        <w:t>Atractivitatea generală a zonei (2,71/5);</w:t>
      </w:r>
    </w:p>
    <w:p w14:paraId="6F2BE917" w14:textId="77777777" w:rsidR="00FE3332" w:rsidRPr="00F171A3" w:rsidRDefault="00FE3332">
      <w:pPr>
        <w:pStyle w:val="Bullet"/>
        <w:numPr>
          <w:ilvl w:val="0"/>
          <w:numId w:val="90"/>
        </w:numPr>
      </w:pPr>
      <w:r w:rsidRPr="00F171A3">
        <w:t>Apropierea față de piața de desfacere (2,67/5);</w:t>
      </w:r>
    </w:p>
    <w:p w14:paraId="0299F9BE" w14:textId="77777777" w:rsidR="00FE3332" w:rsidRPr="00F171A3" w:rsidRDefault="00FE3332">
      <w:pPr>
        <w:pStyle w:val="Bullet"/>
        <w:numPr>
          <w:ilvl w:val="0"/>
          <w:numId w:val="90"/>
        </w:numPr>
      </w:pPr>
      <w:r w:rsidRPr="00F171A3">
        <w:t>Acces la forță de muncă bine pregătită (2,56/5);</w:t>
      </w:r>
    </w:p>
    <w:p w14:paraId="680E8E2A" w14:textId="77777777" w:rsidR="00FE3332" w:rsidRPr="00F171A3" w:rsidRDefault="00FE3332">
      <w:pPr>
        <w:pStyle w:val="Bullet"/>
        <w:numPr>
          <w:ilvl w:val="0"/>
          <w:numId w:val="90"/>
        </w:numPr>
      </w:pPr>
      <w:r w:rsidRPr="00F171A3">
        <w:t>Accesul la forța de muncă (2,43/5);</w:t>
      </w:r>
    </w:p>
    <w:p w14:paraId="1170DE8B" w14:textId="77777777" w:rsidR="00FE3332" w:rsidRPr="00F171A3" w:rsidRDefault="00FE3332">
      <w:pPr>
        <w:pStyle w:val="Bullet"/>
        <w:numPr>
          <w:ilvl w:val="0"/>
          <w:numId w:val="90"/>
        </w:numPr>
      </w:pPr>
      <w:r w:rsidRPr="00F171A3">
        <w:t>Disponibilitatea terenurilor/spațiilor pentru desfășurarea activității (2,37/5);</w:t>
      </w:r>
    </w:p>
    <w:p w14:paraId="32163996" w14:textId="77777777" w:rsidR="00FE3332" w:rsidRPr="00F171A3" w:rsidRDefault="00FE3332">
      <w:pPr>
        <w:pStyle w:val="Bullet"/>
        <w:numPr>
          <w:ilvl w:val="0"/>
          <w:numId w:val="90"/>
        </w:numPr>
      </w:pPr>
      <w:r w:rsidRPr="00F171A3">
        <w:t>Costul forței de muncă (2,31/5);</w:t>
      </w:r>
    </w:p>
    <w:p w14:paraId="19AC0716" w14:textId="77777777" w:rsidR="00FE3332" w:rsidRPr="00F171A3" w:rsidRDefault="00FE3332">
      <w:pPr>
        <w:pStyle w:val="Bullet"/>
        <w:numPr>
          <w:ilvl w:val="0"/>
          <w:numId w:val="90"/>
        </w:numPr>
      </w:pPr>
      <w:r w:rsidRPr="00F171A3">
        <w:t>Costul factorilor de producție (materie primă), în afară de forța de muncă</w:t>
      </w:r>
      <w:r w:rsidRPr="00F171A3">
        <w:tab/>
        <w:t>(2,21/5);</w:t>
      </w:r>
    </w:p>
    <w:p w14:paraId="7798976D" w14:textId="77777777" w:rsidR="00FE3332" w:rsidRPr="00F171A3" w:rsidRDefault="00FE3332">
      <w:pPr>
        <w:pStyle w:val="Bullet"/>
        <w:numPr>
          <w:ilvl w:val="0"/>
          <w:numId w:val="90"/>
        </w:numPr>
      </w:pPr>
      <w:r w:rsidRPr="00F171A3">
        <w:t>Asistență financiară (2,19/5);</w:t>
      </w:r>
    </w:p>
    <w:p w14:paraId="33F638E5" w14:textId="77777777" w:rsidR="00FE3332" w:rsidRPr="00F171A3" w:rsidRDefault="00FE3332">
      <w:pPr>
        <w:pStyle w:val="Bullet"/>
        <w:numPr>
          <w:ilvl w:val="0"/>
          <w:numId w:val="90"/>
        </w:numPr>
      </w:pPr>
      <w:r w:rsidRPr="00F171A3">
        <w:t>Facilitățile oferite investitorilor (2,04/5);</w:t>
      </w:r>
    </w:p>
    <w:p w14:paraId="07F16C42" w14:textId="77777777" w:rsidR="00FE3332" w:rsidRPr="00F171A3" w:rsidRDefault="00FE3332">
      <w:pPr>
        <w:pStyle w:val="Bullet"/>
        <w:numPr>
          <w:ilvl w:val="0"/>
          <w:numId w:val="90"/>
        </w:numPr>
      </w:pPr>
      <w:r w:rsidRPr="00F171A3">
        <w:t>Costul terenurilor (2/5).</w:t>
      </w:r>
    </w:p>
    <w:p w14:paraId="53D2C2E4" w14:textId="77777777" w:rsidR="00FE3332" w:rsidRPr="00F171A3" w:rsidRDefault="00FE3332" w:rsidP="00FE3332"/>
    <w:p w14:paraId="578B9764" w14:textId="77777777" w:rsidR="00FE3332" w:rsidRPr="00F171A3" w:rsidRDefault="00FE3332" w:rsidP="00FE3332">
      <w:r w:rsidRPr="00F171A3">
        <w:rPr>
          <w:noProof/>
        </w:rPr>
        <w:drawing>
          <wp:inline distT="0" distB="0" distL="0" distR="0" wp14:anchorId="413F46A7" wp14:editId="33864FDB">
            <wp:extent cx="5865962" cy="5546785"/>
            <wp:effectExtent l="0" t="0" r="1905" b="0"/>
            <wp:docPr id="25710" name="Chart 257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14:paraId="213BCD1E" w14:textId="77777777" w:rsidR="00FE3332" w:rsidRPr="00F171A3" w:rsidRDefault="00FE3332" w:rsidP="00FE3332">
      <w:pPr>
        <w:pStyle w:val="BoldCIVITTALightBlue"/>
        <w:rPr>
          <w:lang w:val="ro-RO"/>
        </w:rPr>
      </w:pPr>
      <w:r w:rsidRPr="00F171A3">
        <w:rPr>
          <w:lang w:val="ro-RO"/>
        </w:rPr>
        <w:t>12. Considerați că există și alte beneficii pe care le aveți desfășurând activități economice în Sectorul 2, București? Vă rugăm detaliați:</w:t>
      </w:r>
    </w:p>
    <w:p w14:paraId="0E38C00F" w14:textId="77777777" w:rsidR="00FE3332" w:rsidRPr="00F171A3" w:rsidRDefault="00FE3332" w:rsidP="00FE3332">
      <w:pPr>
        <w:rPr>
          <w:lang w:eastAsia="ja-JP"/>
        </w:rPr>
      </w:pPr>
      <w:r w:rsidRPr="00F171A3">
        <w:rPr>
          <w:lang w:eastAsia="ja-JP"/>
        </w:rPr>
        <w:t>Alte beneficii pe care respondenții le punctează se referă la deschiderea conducerii Primăriei în raport cu mediul de afaceri, apropierea față de principalii clienți, accesul către furnizori externi prin proximitatea față de aeroport și locurile de cazare variate disponibile, poziționarea aproape de zona de business a Bucureștiului, accesul la infrastructura de utilități și transport și interesul autorităților locale de a susține investițiile.</w:t>
      </w:r>
    </w:p>
    <w:p w14:paraId="30727462" w14:textId="77777777" w:rsidR="00D64CC5" w:rsidRPr="00F171A3" w:rsidRDefault="00D64CC5" w:rsidP="00FE3332">
      <w:pPr>
        <w:pStyle w:val="BoldCIVITTALightBlue"/>
        <w:rPr>
          <w:lang w:val="ro-RO"/>
        </w:rPr>
      </w:pPr>
    </w:p>
    <w:p w14:paraId="322CAFDB" w14:textId="178A51D7" w:rsidR="00FE3332" w:rsidRPr="00F171A3" w:rsidRDefault="00FE3332" w:rsidP="00FE3332">
      <w:pPr>
        <w:pStyle w:val="BoldCIVITTALightBlue"/>
        <w:rPr>
          <w:lang w:val="ro-RO"/>
        </w:rPr>
      </w:pPr>
      <w:r w:rsidRPr="00F171A3">
        <w:rPr>
          <w:lang w:val="ro-RO"/>
        </w:rPr>
        <w:t>13. Cum apreciați forța de muncă la care aveți acces?</w:t>
      </w:r>
    </w:p>
    <w:p w14:paraId="77632512" w14:textId="77777777" w:rsidR="00FE3332" w:rsidRPr="00F171A3" w:rsidRDefault="00FE3332" w:rsidP="00FE3332">
      <w:pPr>
        <w:rPr>
          <w:noProof/>
        </w:rPr>
      </w:pPr>
      <w:r w:rsidRPr="00F171A3">
        <w:rPr>
          <w:noProof/>
        </w:rPr>
        <w:t xml:space="preserve">Capacitatea de păstrare a angajaților reprezintă aspectul cel mai satisfăcător din perspectiva forței de muncă, astfel, angajatorii sunt mulțumiți și foarte mulțumiți de acest aspect în proporție de 41,4%. Tot aceștia sunt în cea mai mare măsură  nemulțumiți și foarte nemulțumiți  de numărul de candidați la care compania are acces (34,3%). </w:t>
      </w:r>
    </w:p>
    <w:p w14:paraId="31920C71" w14:textId="77777777" w:rsidR="00FE3332" w:rsidRPr="00F171A3" w:rsidRDefault="00FE3332" w:rsidP="00FE3332">
      <w:pPr>
        <w:rPr>
          <w:lang w:eastAsia="ja-JP"/>
        </w:rPr>
      </w:pPr>
      <w:r w:rsidRPr="00F171A3">
        <w:rPr>
          <w:noProof/>
        </w:rPr>
        <w:drawing>
          <wp:inline distT="0" distB="0" distL="0" distR="0" wp14:anchorId="42B26092" wp14:editId="502F9CFA">
            <wp:extent cx="5943600" cy="2424023"/>
            <wp:effectExtent l="0" t="0" r="0" b="0"/>
            <wp:docPr id="25711" name="Chart 257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14:paraId="1B38904D" w14:textId="77777777" w:rsidR="00D64CC5" w:rsidRPr="00F171A3" w:rsidRDefault="00D64CC5" w:rsidP="00FE3332">
      <w:pPr>
        <w:pStyle w:val="BoldCIVITTALightBlue"/>
        <w:rPr>
          <w:lang w:val="ro-RO"/>
        </w:rPr>
      </w:pPr>
    </w:p>
    <w:p w14:paraId="4AF409EA" w14:textId="31E78DD2" w:rsidR="00FE3332" w:rsidRPr="00F171A3" w:rsidRDefault="00FE3332" w:rsidP="00FE3332">
      <w:pPr>
        <w:pStyle w:val="BoldCIVITTALightBlue"/>
        <w:rPr>
          <w:lang w:val="ro-RO"/>
        </w:rPr>
      </w:pPr>
      <w:r w:rsidRPr="00F171A3">
        <w:rPr>
          <w:lang w:val="ro-RO"/>
        </w:rPr>
        <w:t>14. Vă rugăm să menționați cum v-a afectat/influențat contextul pandemiei de COVID-19 în ceea ce privește derularea activităților curente ale companiei:</w:t>
      </w:r>
    </w:p>
    <w:p w14:paraId="0F2D3F10" w14:textId="77777777" w:rsidR="00FE3332" w:rsidRPr="00F171A3" w:rsidRDefault="00FE3332" w:rsidP="00FE3332">
      <w:pPr>
        <w:rPr>
          <w:noProof/>
        </w:rPr>
      </w:pPr>
      <w:r w:rsidRPr="00F171A3">
        <w:rPr>
          <w:noProof/>
        </w:rPr>
        <w:t>În timp ce unii reprezentanți ai mediului de afaceri susțin faptul că perioada pandemiei de COVID19 nu i-a afectat sau influențat într-o măsură ridicată din perspectiva derulării activităților curente ale companiei, o serie de alți respondenți punctează modalitățile în care a fost afectată derularea activităților companiei în această perioadă:</w:t>
      </w:r>
    </w:p>
    <w:p w14:paraId="55D8EF40" w14:textId="77777777" w:rsidR="00FE3332" w:rsidRPr="00F171A3" w:rsidRDefault="00FE3332">
      <w:pPr>
        <w:pStyle w:val="Bullet"/>
        <w:numPr>
          <w:ilvl w:val="0"/>
          <w:numId w:val="38"/>
        </w:numPr>
        <w:rPr>
          <w:noProof/>
        </w:rPr>
      </w:pPr>
      <w:r w:rsidRPr="00F171A3">
        <w:rPr>
          <w:noProof/>
        </w:rPr>
        <w:t>Întreruperea activității;</w:t>
      </w:r>
    </w:p>
    <w:p w14:paraId="7E5F4B0E" w14:textId="77777777" w:rsidR="00FE3332" w:rsidRPr="00F171A3" w:rsidRDefault="00FE3332">
      <w:pPr>
        <w:pStyle w:val="Bullet"/>
        <w:numPr>
          <w:ilvl w:val="0"/>
          <w:numId w:val="38"/>
        </w:numPr>
        <w:rPr>
          <w:noProof/>
        </w:rPr>
      </w:pPr>
      <w:r w:rsidRPr="00F171A3">
        <w:rPr>
          <w:noProof/>
        </w:rPr>
        <w:t>Cereri scăzute, scăderea comenzilor, a veniturilor și a cifrei de afaceri;</w:t>
      </w:r>
    </w:p>
    <w:p w14:paraId="28CF4C00" w14:textId="77777777" w:rsidR="00FE3332" w:rsidRPr="00F171A3" w:rsidRDefault="00FE3332">
      <w:pPr>
        <w:pStyle w:val="Bullet"/>
        <w:numPr>
          <w:ilvl w:val="0"/>
          <w:numId w:val="38"/>
        </w:numPr>
        <w:rPr>
          <w:noProof/>
        </w:rPr>
      </w:pPr>
      <w:r w:rsidRPr="00F171A3">
        <w:rPr>
          <w:noProof/>
        </w:rPr>
        <w:t>Generarea costurilor suplimentare prin măsurile sanitare necesare;</w:t>
      </w:r>
    </w:p>
    <w:p w14:paraId="33A375D7" w14:textId="77777777" w:rsidR="00FE3332" w:rsidRPr="00F171A3" w:rsidRDefault="00FE3332">
      <w:pPr>
        <w:pStyle w:val="Bullet"/>
        <w:numPr>
          <w:ilvl w:val="0"/>
          <w:numId w:val="38"/>
        </w:numPr>
        <w:rPr>
          <w:noProof/>
        </w:rPr>
      </w:pPr>
      <w:r w:rsidRPr="00F171A3">
        <w:rPr>
          <w:noProof/>
        </w:rPr>
        <w:t>Implementarea de noi proceduri și măsuri;</w:t>
      </w:r>
    </w:p>
    <w:p w14:paraId="20EC8AC8" w14:textId="77777777" w:rsidR="00FE3332" w:rsidRPr="00F171A3" w:rsidRDefault="00FE3332">
      <w:pPr>
        <w:pStyle w:val="Bullet"/>
        <w:numPr>
          <w:ilvl w:val="0"/>
          <w:numId w:val="38"/>
        </w:numPr>
        <w:rPr>
          <w:noProof/>
        </w:rPr>
      </w:pPr>
      <w:r w:rsidRPr="00F171A3">
        <w:rPr>
          <w:noProof/>
        </w:rPr>
        <w:t>Blocarea contractelor;</w:t>
      </w:r>
    </w:p>
    <w:p w14:paraId="2D94CDAF" w14:textId="77777777" w:rsidR="00FE3332" w:rsidRPr="00F171A3" w:rsidRDefault="00FE3332">
      <w:pPr>
        <w:pStyle w:val="Bullet"/>
        <w:numPr>
          <w:ilvl w:val="0"/>
          <w:numId w:val="38"/>
        </w:numPr>
        <w:rPr>
          <w:noProof/>
        </w:rPr>
      </w:pPr>
      <w:r w:rsidRPr="00F171A3">
        <w:rPr>
          <w:noProof/>
        </w:rPr>
        <w:t>Diminuarea numărului de proiecte contractate;</w:t>
      </w:r>
    </w:p>
    <w:p w14:paraId="40A380CD" w14:textId="77777777" w:rsidR="00FE3332" w:rsidRPr="00F171A3" w:rsidRDefault="00FE3332">
      <w:pPr>
        <w:pStyle w:val="Bullet"/>
        <w:numPr>
          <w:ilvl w:val="0"/>
          <w:numId w:val="38"/>
        </w:numPr>
        <w:rPr>
          <w:noProof/>
        </w:rPr>
      </w:pPr>
      <w:r w:rsidRPr="00F171A3">
        <w:rPr>
          <w:noProof/>
        </w:rPr>
        <w:t>Închiderea activităților.</w:t>
      </w:r>
    </w:p>
    <w:p w14:paraId="1F8AB13E" w14:textId="77777777" w:rsidR="00D64CC5" w:rsidRPr="00F171A3" w:rsidRDefault="00D64CC5" w:rsidP="00FE3332">
      <w:pPr>
        <w:pStyle w:val="ActionTitle0"/>
      </w:pPr>
    </w:p>
    <w:p w14:paraId="5B910439" w14:textId="640499BC" w:rsidR="00FE3332" w:rsidRPr="00F171A3" w:rsidRDefault="00FE3332" w:rsidP="00FE3332">
      <w:pPr>
        <w:pStyle w:val="ActionTitle0"/>
      </w:pPr>
      <w:r w:rsidRPr="00F171A3">
        <w:t>PERSPECTIVE DE DEZVOLTARE</w:t>
      </w:r>
    </w:p>
    <w:p w14:paraId="655BF10C" w14:textId="77777777" w:rsidR="00FE3332" w:rsidRPr="00F171A3" w:rsidRDefault="00FE3332" w:rsidP="00FE3332">
      <w:pPr>
        <w:pStyle w:val="BoldCIVITTALightBlue"/>
        <w:rPr>
          <w:lang w:val="ro-RO"/>
        </w:rPr>
      </w:pPr>
      <w:r w:rsidRPr="00F171A3">
        <w:rPr>
          <w:lang w:val="ro-RO"/>
        </w:rPr>
        <w:t>15. Care ar fi, din perspectiva dvs., cele mai importante 3 măsuri pe care administrația din Sectorul 2, București le-ar putea implementa pentru a face sectorul mai atractiv pentru afaceri?</w:t>
      </w:r>
    </w:p>
    <w:p w14:paraId="133B3A3F" w14:textId="77777777" w:rsidR="00FE3332" w:rsidRPr="00F171A3" w:rsidRDefault="00FE3332" w:rsidP="00FE3332">
      <w:pPr>
        <w:rPr>
          <w:noProof/>
        </w:rPr>
      </w:pPr>
      <w:r w:rsidRPr="00F171A3">
        <w:rPr>
          <w:noProof/>
        </w:rPr>
        <w:t>Reglementările fiscale care să favorizeze dezvoltarea de afaceri și investițiile în educație și formarea forței de muncă reprezintă, din perspectiva reprezentanților, principalele măsuri pe care administrația din Sectorul 2 le-ar putea implementa pentru a face sectorul mai atractiv pentru mediul de afaceri.</w:t>
      </w:r>
    </w:p>
    <w:p w14:paraId="6236310A" w14:textId="77777777" w:rsidR="00FE3332" w:rsidRPr="00F171A3" w:rsidRDefault="00FE3332" w:rsidP="00FE3332">
      <w:pPr>
        <w:rPr>
          <w:noProof/>
        </w:rPr>
      </w:pPr>
      <w:r w:rsidRPr="00F171A3">
        <w:rPr>
          <w:noProof/>
        </w:rPr>
        <w:t>De la cele la importante măsuri subliniate de către respondenții acestui chestionar,  la cele cu o importanță mai scăzută, acestea sunt următoarele:</w:t>
      </w:r>
    </w:p>
    <w:p w14:paraId="540448A3" w14:textId="77777777" w:rsidR="00FE3332" w:rsidRPr="005328C9" w:rsidRDefault="00FE3332">
      <w:pPr>
        <w:pStyle w:val="ListParagraph"/>
        <w:numPr>
          <w:ilvl w:val="0"/>
          <w:numId w:val="91"/>
        </w:numPr>
        <w:rPr>
          <w:noProof/>
          <w:color w:val="134753" w:themeColor="text2"/>
        </w:rPr>
      </w:pPr>
      <w:r w:rsidRPr="005328C9">
        <w:rPr>
          <w:noProof/>
          <w:color w:val="134753" w:themeColor="text2"/>
        </w:rPr>
        <w:t>Reglementări fiscale care să favorizeze dezvoltarea de afaceri (26,2% dintre respondenți);</w:t>
      </w:r>
    </w:p>
    <w:p w14:paraId="436386A8" w14:textId="77777777" w:rsidR="00FE3332" w:rsidRPr="005328C9" w:rsidRDefault="00FE3332">
      <w:pPr>
        <w:pStyle w:val="ListParagraph"/>
        <w:numPr>
          <w:ilvl w:val="0"/>
          <w:numId w:val="91"/>
        </w:numPr>
        <w:rPr>
          <w:noProof/>
          <w:color w:val="134753" w:themeColor="text2"/>
        </w:rPr>
      </w:pPr>
      <w:r w:rsidRPr="005328C9">
        <w:rPr>
          <w:noProof/>
          <w:color w:val="134753" w:themeColor="text2"/>
        </w:rPr>
        <w:t>Investiții în educație și formarea forței de muncă (18,8% dintre respondenți);</w:t>
      </w:r>
    </w:p>
    <w:p w14:paraId="5C31B505" w14:textId="77777777" w:rsidR="00FE3332" w:rsidRPr="005328C9" w:rsidRDefault="00FE3332">
      <w:pPr>
        <w:pStyle w:val="ListParagraph"/>
        <w:numPr>
          <w:ilvl w:val="0"/>
          <w:numId w:val="91"/>
        </w:numPr>
        <w:rPr>
          <w:noProof/>
          <w:color w:val="134753" w:themeColor="text2"/>
        </w:rPr>
      </w:pPr>
      <w:r w:rsidRPr="005328C9">
        <w:rPr>
          <w:noProof/>
          <w:color w:val="134753" w:themeColor="text2"/>
        </w:rPr>
        <w:t>Promovarea antreprenoriatului și furnizarea de servicii de consultanță pentru întreprinzătorii locali (14,9% dintre respondenți);</w:t>
      </w:r>
    </w:p>
    <w:p w14:paraId="79FA606C" w14:textId="77777777" w:rsidR="00FE3332" w:rsidRPr="005328C9" w:rsidRDefault="00FE3332">
      <w:pPr>
        <w:pStyle w:val="ListParagraph"/>
        <w:numPr>
          <w:ilvl w:val="0"/>
          <w:numId w:val="91"/>
        </w:numPr>
        <w:rPr>
          <w:noProof/>
          <w:color w:val="134753" w:themeColor="text2"/>
        </w:rPr>
      </w:pPr>
      <w:r w:rsidRPr="005328C9">
        <w:rPr>
          <w:noProof/>
          <w:color w:val="134753" w:themeColor="text2"/>
        </w:rPr>
        <w:t>Investiții pentru îmbunătățirea mobilității angajaților (13,9% dintre respondenți);</w:t>
      </w:r>
    </w:p>
    <w:p w14:paraId="155206BF" w14:textId="77777777" w:rsidR="00FE3332" w:rsidRPr="005328C9" w:rsidRDefault="00FE3332">
      <w:pPr>
        <w:pStyle w:val="ListParagraph"/>
        <w:numPr>
          <w:ilvl w:val="0"/>
          <w:numId w:val="91"/>
        </w:numPr>
        <w:rPr>
          <w:noProof/>
          <w:color w:val="134753" w:themeColor="text2"/>
        </w:rPr>
      </w:pPr>
      <w:r w:rsidRPr="005328C9">
        <w:rPr>
          <w:noProof/>
          <w:color w:val="134753" w:themeColor="text2"/>
        </w:rPr>
        <w:t>Reglementări urbanistice care să favorizeze construcția de spatii de birouri, parcuri industriale, logistice (12,9% dintre respondenți);</w:t>
      </w:r>
    </w:p>
    <w:p w14:paraId="06D99C71" w14:textId="77777777" w:rsidR="00FE3332" w:rsidRPr="005328C9" w:rsidRDefault="00FE3332">
      <w:pPr>
        <w:pStyle w:val="ListParagraph"/>
        <w:numPr>
          <w:ilvl w:val="0"/>
          <w:numId w:val="91"/>
        </w:numPr>
        <w:rPr>
          <w:noProof/>
          <w:color w:val="134753" w:themeColor="text2"/>
        </w:rPr>
      </w:pPr>
      <w:r w:rsidRPr="005328C9">
        <w:rPr>
          <w:noProof/>
          <w:color w:val="134753" w:themeColor="text2"/>
        </w:rPr>
        <w:t>Investiții pentru creșterea mobilității mărfurilor (transport mărfuri) (9,4% dintre respondenți);</w:t>
      </w:r>
    </w:p>
    <w:p w14:paraId="6553405D" w14:textId="77777777" w:rsidR="00FE3332" w:rsidRPr="005328C9" w:rsidRDefault="00FE3332">
      <w:pPr>
        <w:pStyle w:val="ListParagraph"/>
        <w:numPr>
          <w:ilvl w:val="0"/>
          <w:numId w:val="91"/>
        </w:numPr>
        <w:rPr>
          <w:noProof/>
          <w:color w:val="134753" w:themeColor="text2"/>
        </w:rPr>
      </w:pPr>
      <w:r w:rsidRPr="005328C9">
        <w:rPr>
          <w:noProof/>
          <w:color w:val="134753" w:themeColor="text2"/>
        </w:rPr>
        <w:t>Altele (4,0% dintre respondenți).</w:t>
      </w:r>
    </w:p>
    <w:p w14:paraId="45D91B28" w14:textId="77777777" w:rsidR="00FE3332" w:rsidRPr="00F171A3" w:rsidRDefault="00FE3332" w:rsidP="00FE3332">
      <w:pPr>
        <w:rPr>
          <w:highlight w:val="yellow"/>
          <w:lang w:eastAsia="ja-JP"/>
        </w:rPr>
      </w:pPr>
      <w:r w:rsidRPr="00F171A3">
        <w:rPr>
          <w:noProof/>
        </w:rPr>
        <w:drawing>
          <wp:inline distT="0" distB="0" distL="0" distR="0" wp14:anchorId="4DA5F7CA" wp14:editId="731FD978">
            <wp:extent cx="5943600" cy="2689225"/>
            <wp:effectExtent l="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14:paraId="29FABB34" w14:textId="77777777" w:rsidR="00D64CC5" w:rsidRPr="00F171A3" w:rsidRDefault="00D64CC5" w:rsidP="00FE3332">
      <w:pPr>
        <w:pStyle w:val="BoldCIVITTALightBlue"/>
        <w:rPr>
          <w:lang w:val="ro-RO"/>
        </w:rPr>
      </w:pPr>
    </w:p>
    <w:p w14:paraId="34F3B289" w14:textId="4037711A" w:rsidR="00FE3332" w:rsidRPr="00F171A3" w:rsidRDefault="00FE3332" w:rsidP="00FE3332">
      <w:pPr>
        <w:pStyle w:val="BoldCIVITTALightBlue"/>
        <w:rPr>
          <w:lang w:val="ro-RO"/>
        </w:rPr>
      </w:pPr>
      <w:r w:rsidRPr="00F171A3">
        <w:rPr>
          <w:lang w:val="ro-RO"/>
        </w:rPr>
        <w:t>16. Compania dumneavoastră ar fi interesată să se implice în activități de consultare/dezbateri cu reprezentanți ai autorităților publice locale?</w:t>
      </w:r>
    </w:p>
    <w:p w14:paraId="041505EB" w14:textId="77777777" w:rsidR="00FE3332" w:rsidRPr="00F171A3" w:rsidRDefault="00FE3332" w:rsidP="00FE3332">
      <w:pPr>
        <w:rPr>
          <w:highlight w:val="yellow"/>
          <w:lang w:eastAsia="ja-JP"/>
        </w:rPr>
      </w:pPr>
      <w:r w:rsidRPr="00F171A3">
        <w:rPr>
          <w:lang w:eastAsia="ja-JP"/>
        </w:rPr>
        <w:t>42,4% dintre reprezentanții mediului de afaceri, participanți în cadrul acestui proces de consultare publică, sunt interesați să se implice în dezbateri cu reprezentanții autorităților publice locale pe tema dezvoltării durabile.</w:t>
      </w:r>
    </w:p>
    <w:p w14:paraId="3590BB2C" w14:textId="77777777" w:rsidR="00FE3332" w:rsidRPr="00F171A3" w:rsidRDefault="00FE3332" w:rsidP="00FE3332">
      <w:pPr>
        <w:rPr>
          <w:highlight w:val="yellow"/>
          <w:lang w:eastAsia="ja-JP"/>
        </w:rPr>
      </w:pPr>
      <w:r w:rsidRPr="00F171A3">
        <w:rPr>
          <w:noProof/>
        </w:rPr>
        <w:drawing>
          <wp:inline distT="0" distB="0" distL="0" distR="0" wp14:anchorId="27E6CFAD" wp14:editId="5CB9D5B8">
            <wp:extent cx="5917721" cy="2493034"/>
            <wp:effectExtent l="0" t="0" r="6985" b="2540"/>
            <wp:docPr id="25712" name="Chart 257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14:paraId="0C6966AC" w14:textId="77777777" w:rsidR="00FE3332" w:rsidRPr="00F171A3" w:rsidRDefault="00FE3332" w:rsidP="00FE3332">
      <w:pPr>
        <w:pStyle w:val="BoldCIVITTALightBlue"/>
        <w:rPr>
          <w:lang w:val="ro-RO"/>
        </w:rPr>
      </w:pPr>
      <w:r w:rsidRPr="00F171A3">
        <w:rPr>
          <w:lang w:val="ro-RO"/>
        </w:rPr>
        <w:t>17. Care considerați că sunt principalele direcții de acțiune necesare pentru creșterea competitivității mediului de afaceri la nivel local?</w:t>
      </w:r>
    </w:p>
    <w:p w14:paraId="4294863D" w14:textId="77777777" w:rsidR="00FE3332" w:rsidRPr="00F171A3" w:rsidRDefault="00FE3332" w:rsidP="00FE3332">
      <w:pPr>
        <w:rPr>
          <w:lang w:eastAsia="ja-JP"/>
        </w:rPr>
      </w:pPr>
      <w:r w:rsidRPr="00F171A3">
        <w:rPr>
          <w:lang w:eastAsia="ja-JP"/>
        </w:rPr>
        <w:t>Principalele direcții de acțiune necesare pentru creșterea competitivității mediului de afaceri la nivelul sectorului punctate de către respondenți sunt următoarele:</w:t>
      </w:r>
    </w:p>
    <w:p w14:paraId="56EE9D03" w14:textId="77777777" w:rsidR="00FE3332" w:rsidRPr="00F171A3" w:rsidRDefault="00FE3332" w:rsidP="00FE3332">
      <w:pPr>
        <w:rPr>
          <w:highlight w:val="yellow"/>
          <w:lang w:eastAsia="ja-JP"/>
        </w:rPr>
      </w:pPr>
      <w:r w:rsidRPr="00F171A3">
        <w:rPr>
          <w:noProof/>
        </w:rPr>
        <w:drawing>
          <wp:inline distT="0" distB="0" distL="0" distR="0" wp14:anchorId="6048E4AF" wp14:editId="12EC7BAE">
            <wp:extent cx="5865962" cy="1820174"/>
            <wp:effectExtent l="0" t="0" r="20955" b="8890"/>
            <wp:docPr id="25713" name="Diagram 257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2" r:lo="rId323" r:qs="rId324" r:cs="rId325"/>
              </a:graphicData>
            </a:graphic>
          </wp:inline>
        </w:drawing>
      </w:r>
    </w:p>
    <w:p w14:paraId="1B0A678A" w14:textId="77777777" w:rsidR="00FE3332" w:rsidRPr="00F171A3" w:rsidRDefault="00FE3332" w:rsidP="00FE3332">
      <w:pPr>
        <w:pStyle w:val="BoldCIVITTALightBlue"/>
        <w:rPr>
          <w:lang w:val="ro-RO"/>
        </w:rPr>
      </w:pPr>
      <w:r w:rsidRPr="00F171A3">
        <w:rPr>
          <w:lang w:val="ro-RO"/>
        </w:rPr>
        <w:t>18. Care sunt principalele puncte tari, din punct de vedere economic, pe care Sectorul 2 ar trebui să mizeze în demersurile viitoare de dezvoltare?</w:t>
      </w:r>
    </w:p>
    <w:p w14:paraId="7932DEBD" w14:textId="77777777" w:rsidR="00FE3332" w:rsidRPr="00F171A3" w:rsidRDefault="00FE3332" w:rsidP="00FE3332">
      <w:pPr>
        <w:rPr>
          <w:lang w:eastAsia="ja-JP"/>
        </w:rPr>
      </w:pPr>
      <w:r w:rsidRPr="00F171A3">
        <w:rPr>
          <w:lang w:eastAsia="ja-JP"/>
        </w:rPr>
        <w:t>Principalele puncte tari pe care Sectorul 2 ar trebui să mizeze în demersurile viitoare de dezvoltare, din punct de vedere economic, din perspectiva respondenților sunt următoarele:</w:t>
      </w:r>
    </w:p>
    <w:p w14:paraId="2F97EF0C" w14:textId="77777777" w:rsidR="00FE3332" w:rsidRPr="00F171A3" w:rsidRDefault="00FE3332" w:rsidP="00FE3332">
      <w:pPr>
        <w:rPr>
          <w:lang w:eastAsia="ja-JP"/>
        </w:rPr>
      </w:pPr>
      <w:r w:rsidRPr="00F171A3">
        <w:rPr>
          <w:noProof/>
        </w:rPr>
        <w:drawing>
          <wp:inline distT="0" distB="0" distL="0" distR="0" wp14:anchorId="4DDA3AB6" wp14:editId="1551881F">
            <wp:extent cx="5865962" cy="3700732"/>
            <wp:effectExtent l="38100" t="0" r="78105" b="14605"/>
            <wp:docPr id="25714" name="Diagram 257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7" r:lo="rId328" r:qs="rId329" r:cs="rId330"/>
              </a:graphicData>
            </a:graphic>
          </wp:inline>
        </w:drawing>
      </w:r>
    </w:p>
    <w:p w14:paraId="6CA6A529" w14:textId="77777777" w:rsidR="00D64CC5" w:rsidRPr="00F171A3" w:rsidRDefault="00D64CC5" w:rsidP="00FE3332">
      <w:pPr>
        <w:pStyle w:val="BoldCIVITTALightBlue"/>
        <w:rPr>
          <w:lang w:val="ro-RO"/>
        </w:rPr>
      </w:pPr>
    </w:p>
    <w:p w14:paraId="72BA78E5" w14:textId="73DFD2CB" w:rsidR="00FE3332" w:rsidRPr="00F171A3" w:rsidRDefault="00FE3332" w:rsidP="00FE3332">
      <w:pPr>
        <w:pStyle w:val="BoldCIVITTALightBlue"/>
        <w:rPr>
          <w:lang w:val="ro-RO"/>
        </w:rPr>
      </w:pPr>
      <w:r w:rsidRPr="00F171A3">
        <w:rPr>
          <w:lang w:val="ro-RO"/>
        </w:rPr>
        <w:t>19. Ce priorități credeți că ar trebui să își asume autoritățile publice la nivelul Sectorului 2 în privința transformării digitale? Vă rugăm să selectați dintre măsurile din lista următoare sau să menționați alte măsuri pe care le considerați relevante.</w:t>
      </w:r>
    </w:p>
    <w:p w14:paraId="76BCEBB7" w14:textId="77777777" w:rsidR="00FE3332" w:rsidRPr="00F171A3" w:rsidRDefault="00FE3332" w:rsidP="00FE3332">
      <w:r w:rsidRPr="00F171A3">
        <w:t>Raportat la transformarea digitală, principala prioritate pe care autoritățile publice la nivelul Sectorului 2 ar trebui să și-o asume, din perspectiva respondenților este simplificarea interacțiunii cu mediul privat prin reducerea birocrației. În funcție de importanța și prioritatea măsurilor, acestea  sunt ierarhizate în funcție de opțiunile respondenților în următorul fel:</w:t>
      </w:r>
    </w:p>
    <w:p w14:paraId="48ABB581" w14:textId="77777777" w:rsidR="00FE3332" w:rsidRPr="00F171A3" w:rsidRDefault="00FE3332">
      <w:pPr>
        <w:pStyle w:val="ListParagraph"/>
        <w:numPr>
          <w:ilvl w:val="0"/>
          <w:numId w:val="92"/>
        </w:numPr>
        <w:rPr>
          <w:color w:val="134753" w:themeColor="text2"/>
        </w:rPr>
      </w:pPr>
      <w:r w:rsidRPr="00F171A3">
        <w:rPr>
          <w:color w:val="134753" w:themeColor="text2"/>
        </w:rPr>
        <w:t>Simplificarea interacțiunii cu mediul privat prin reducerea birocrației (30,3% dintre respondenți);</w:t>
      </w:r>
    </w:p>
    <w:p w14:paraId="7E5EF099" w14:textId="77777777" w:rsidR="00FE3332" w:rsidRPr="00F171A3" w:rsidRDefault="00FE3332">
      <w:pPr>
        <w:pStyle w:val="ListParagraph"/>
        <w:numPr>
          <w:ilvl w:val="0"/>
          <w:numId w:val="92"/>
        </w:numPr>
        <w:rPr>
          <w:color w:val="134753" w:themeColor="text2"/>
        </w:rPr>
      </w:pPr>
      <w:r w:rsidRPr="00F171A3">
        <w:rPr>
          <w:color w:val="134753" w:themeColor="text2"/>
        </w:rPr>
        <w:t>Implementarea unui sistem online pentru înregistrare și emitere documente (26,0% dintre respondenți);</w:t>
      </w:r>
    </w:p>
    <w:p w14:paraId="1B411C83" w14:textId="77777777" w:rsidR="00FE3332" w:rsidRPr="00F171A3" w:rsidRDefault="00FE3332">
      <w:pPr>
        <w:pStyle w:val="ListParagraph"/>
        <w:numPr>
          <w:ilvl w:val="0"/>
          <w:numId w:val="92"/>
        </w:numPr>
        <w:rPr>
          <w:color w:val="134753" w:themeColor="text2"/>
        </w:rPr>
      </w:pPr>
      <w:r w:rsidRPr="00F171A3">
        <w:rPr>
          <w:color w:val="134753" w:themeColor="text2"/>
        </w:rPr>
        <w:t>Creșterea transparenței și facilitarea accesului mediului de afaceri la informațiile de interes public</w:t>
      </w:r>
      <w:r w:rsidRPr="00F171A3">
        <w:rPr>
          <w:color w:val="134753" w:themeColor="text2"/>
        </w:rPr>
        <w:tab/>
        <w:t>(22,1% dintre respondenți);</w:t>
      </w:r>
    </w:p>
    <w:p w14:paraId="2BEF9C0B" w14:textId="77777777" w:rsidR="00FE3332" w:rsidRPr="00F171A3" w:rsidRDefault="00FE3332">
      <w:pPr>
        <w:pStyle w:val="ListParagraph"/>
        <w:numPr>
          <w:ilvl w:val="0"/>
          <w:numId w:val="92"/>
        </w:numPr>
        <w:rPr>
          <w:color w:val="134753" w:themeColor="text2"/>
        </w:rPr>
      </w:pPr>
      <w:r w:rsidRPr="00F171A3">
        <w:rPr>
          <w:color w:val="134753" w:themeColor="text2"/>
        </w:rPr>
        <w:t>Dezvoltarea unei platforme de atragere și informare a investitorilor (20,2% dintre respondenți);</w:t>
      </w:r>
    </w:p>
    <w:p w14:paraId="22420C4B" w14:textId="77777777" w:rsidR="00FE3332" w:rsidRPr="00F171A3" w:rsidRDefault="00FE3332">
      <w:pPr>
        <w:pStyle w:val="ListParagraph"/>
        <w:numPr>
          <w:ilvl w:val="0"/>
          <w:numId w:val="92"/>
        </w:numPr>
        <w:rPr>
          <w:color w:val="134753" w:themeColor="text2"/>
        </w:rPr>
      </w:pPr>
      <w:r w:rsidRPr="00F171A3">
        <w:rPr>
          <w:color w:val="134753" w:themeColor="text2"/>
        </w:rPr>
        <w:t>Altele (1,4% dintre respondenți).</w:t>
      </w:r>
    </w:p>
    <w:p w14:paraId="5ADE58DC" w14:textId="77777777" w:rsidR="00FE3332" w:rsidRPr="00F171A3" w:rsidRDefault="00FE3332" w:rsidP="00FE3332">
      <w:pPr>
        <w:rPr>
          <w:highlight w:val="yellow"/>
          <w:lang w:eastAsia="ja-JP"/>
        </w:rPr>
      </w:pPr>
      <w:r w:rsidRPr="00F171A3">
        <w:rPr>
          <w:noProof/>
        </w:rPr>
        <w:drawing>
          <wp:inline distT="0" distB="0" distL="0" distR="0" wp14:anchorId="6EC7E9D9" wp14:editId="0663204C">
            <wp:extent cx="5978106" cy="2639683"/>
            <wp:effectExtent l="0" t="0" r="3810" b="8890"/>
            <wp:docPr id="25715" name="Chart 257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14:paraId="1F03D1EE" w14:textId="77777777" w:rsidR="00FE3332" w:rsidRPr="00F171A3" w:rsidRDefault="00FE3332" w:rsidP="00FE3332">
      <w:pPr>
        <w:pStyle w:val="BoldCIVITTALightBlue"/>
        <w:rPr>
          <w:lang w:val="ro-RO"/>
        </w:rPr>
      </w:pPr>
      <w:r w:rsidRPr="00F171A3">
        <w:rPr>
          <w:lang w:val="ro-RO"/>
        </w:rPr>
        <w:t>20. Vă rugăm să menționați orice alte aspecte pe care le considerați relevante pentru Strategia de Dezvoltare Locală Integrată și Durabilă a Sectorului 2, București:</w:t>
      </w:r>
    </w:p>
    <w:p w14:paraId="7099616A" w14:textId="77777777" w:rsidR="00FE3332" w:rsidRPr="00F171A3" w:rsidRDefault="00FE3332" w:rsidP="00FE3332">
      <w:pPr>
        <w:rPr>
          <w:lang w:eastAsia="ja-JP"/>
        </w:rPr>
      </w:pPr>
      <w:r w:rsidRPr="00F171A3">
        <w:rPr>
          <w:lang w:eastAsia="ja-JP"/>
        </w:rPr>
        <w:t>Alte aspecte relevante pentru Strategia de Dezvoltare Locală Integrată și Durabilă a Sectorului 2, București pe care respondenții le punctează, fac referire în special la următoarele aspecte:</w:t>
      </w:r>
    </w:p>
    <w:p w14:paraId="473B0410" w14:textId="77777777" w:rsidR="00FE3332" w:rsidRPr="00F171A3" w:rsidRDefault="00FE3332">
      <w:pPr>
        <w:pStyle w:val="Bullet"/>
        <w:numPr>
          <w:ilvl w:val="0"/>
          <w:numId w:val="38"/>
        </w:numPr>
      </w:pPr>
      <w:r w:rsidRPr="00F171A3">
        <w:t>Promovarea parteneriatului public-privat;</w:t>
      </w:r>
    </w:p>
    <w:p w14:paraId="3E17AAA9" w14:textId="77777777" w:rsidR="00FE3332" w:rsidRPr="00F171A3" w:rsidRDefault="00FE3332">
      <w:pPr>
        <w:pStyle w:val="Bullet"/>
        <w:numPr>
          <w:ilvl w:val="0"/>
          <w:numId w:val="38"/>
        </w:numPr>
      </w:pPr>
      <w:r w:rsidRPr="00F171A3">
        <w:t>Dezvoltarea unor zone hub de transport;</w:t>
      </w:r>
    </w:p>
    <w:p w14:paraId="2CFAEEDC" w14:textId="77777777" w:rsidR="00FE3332" w:rsidRPr="00F171A3" w:rsidRDefault="00FE3332">
      <w:pPr>
        <w:pStyle w:val="Bullet"/>
        <w:numPr>
          <w:ilvl w:val="0"/>
          <w:numId w:val="38"/>
        </w:numPr>
      </w:pPr>
      <w:r w:rsidRPr="00F171A3">
        <w:t>Dezvoltarea durabilă a platformelor industriale;</w:t>
      </w:r>
    </w:p>
    <w:p w14:paraId="31AA431E" w14:textId="77777777" w:rsidR="00FE3332" w:rsidRPr="00F171A3" w:rsidRDefault="00FE3332">
      <w:pPr>
        <w:pStyle w:val="Bullet"/>
        <w:numPr>
          <w:ilvl w:val="0"/>
          <w:numId w:val="38"/>
        </w:numPr>
      </w:pPr>
      <w:r w:rsidRPr="00F171A3">
        <w:t>Controlul asupra construcțiilor noi;</w:t>
      </w:r>
    </w:p>
    <w:p w14:paraId="6BDD9D87" w14:textId="77777777" w:rsidR="00FE3332" w:rsidRPr="00F171A3" w:rsidRDefault="00FE3332">
      <w:pPr>
        <w:pStyle w:val="Bullet"/>
        <w:numPr>
          <w:ilvl w:val="0"/>
          <w:numId w:val="38"/>
        </w:numPr>
      </w:pPr>
      <w:r w:rsidRPr="00F171A3">
        <w:t>Dezvoltarea zonelor verzi;</w:t>
      </w:r>
    </w:p>
    <w:p w14:paraId="2FF136C2" w14:textId="77777777" w:rsidR="00FE3332" w:rsidRPr="00F171A3" w:rsidRDefault="00FE3332">
      <w:pPr>
        <w:pStyle w:val="Bullet"/>
        <w:numPr>
          <w:ilvl w:val="0"/>
          <w:numId w:val="38"/>
        </w:numPr>
      </w:pPr>
      <w:r w:rsidRPr="00F171A3">
        <w:t>Informare aprofundată;</w:t>
      </w:r>
    </w:p>
    <w:p w14:paraId="53CE8DE9" w14:textId="77777777" w:rsidR="00FE3332" w:rsidRPr="00F171A3" w:rsidRDefault="00FE3332">
      <w:pPr>
        <w:pStyle w:val="Bullet"/>
        <w:numPr>
          <w:ilvl w:val="0"/>
          <w:numId w:val="38"/>
        </w:numPr>
      </w:pPr>
      <w:r w:rsidRPr="00F171A3">
        <w:t>Eficientizarea procedurilor și timpilor de așteptare;</w:t>
      </w:r>
    </w:p>
    <w:p w14:paraId="362710E4" w14:textId="77777777" w:rsidR="00FE3332" w:rsidRPr="00F171A3" w:rsidRDefault="00FE3332">
      <w:pPr>
        <w:pStyle w:val="Bullet"/>
        <w:numPr>
          <w:ilvl w:val="0"/>
          <w:numId w:val="38"/>
        </w:numPr>
      </w:pPr>
      <w:r w:rsidRPr="00F171A3">
        <w:t>Corelarea cu alte strategii și planuri relevante;</w:t>
      </w:r>
    </w:p>
    <w:p w14:paraId="55E5A8E0" w14:textId="77777777" w:rsidR="00FE3332" w:rsidRPr="00F171A3" w:rsidRDefault="00FE3332">
      <w:pPr>
        <w:pStyle w:val="Bullet"/>
        <w:numPr>
          <w:ilvl w:val="0"/>
          <w:numId w:val="38"/>
        </w:numPr>
      </w:pPr>
      <w:r w:rsidRPr="00F171A3">
        <w:t>Uniformizarea publicității stradale;</w:t>
      </w:r>
    </w:p>
    <w:p w14:paraId="55497472" w14:textId="3D969BD9" w:rsidR="00FE3332" w:rsidRPr="00F171A3" w:rsidRDefault="00FE3332">
      <w:pPr>
        <w:pStyle w:val="Bullet"/>
        <w:numPr>
          <w:ilvl w:val="0"/>
          <w:numId w:val="38"/>
        </w:numPr>
      </w:pPr>
      <w:r w:rsidRPr="00F171A3">
        <w:t>Eficientizarea și dezvoltarea de programe de gestionare a deșeurilor și de educare a cetățenilor în acest sens.</w:t>
      </w:r>
    </w:p>
    <w:p w14:paraId="7FA45D58" w14:textId="77777777" w:rsidR="00FE3332" w:rsidRPr="00F171A3" w:rsidRDefault="00FE3332" w:rsidP="00FE3332"/>
    <w:p w14:paraId="623C77F7" w14:textId="3188B429" w:rsidR="00FE3332" w:rsidRPr="00F171A3" w:rsidRDefault="00FE3332" w:rsidP="00FE3332">
      <w:pPr>
        <w:pStyle w:val="Heading3"/>
        <w:rPr>
          <w:lang w:val="ro-RO"/>
        </w:rPr>
      </w:pPr>
      <w:bookmarkStart w:id="532" w:name="_Toc127199358"/>
      <w:r w:rsidRPr="00F171A3">
        <w:rPr>
          <w:lang w:val="ro-RO"/>
        </w:rPr>
        <w:t>CHESTIONAR DEDICAT MEDIULUI ONG DIN SECTORUL 2</w:t>
      </w:r>
      <w:bookmarkEnd w:id="532"/>
    </w:p>
    <w:p w14:paraId="2CD2925A" w14:textId="77777777" w:rsidR="00FE3332" w:rsidRPr="00F171A3" w:rsidRDefault="00FE3332" w:rsidP="00FE3332">
      <w:r w:rsidRPr="00F171A3">
        <w:t>Chestionarul dedicat mediului ONG dorește să identifice provocările actuale și să stabilească direcții de acțiune favorabile și promițătoare pentru mediul ONG din Sectorul 2. Chestionarul a fost creat pe baza unei analize preliminare a literaturii și a datelor disponibile, structura acestuia fiind împărțită în mai multe categorii care au vizat următoarele aspecte:</w:t>
      </w:r>
    </w:p>
    <w:p w14:paraId="2545628F" w14:textId="77777777" w:rsidR="00FE3332" w:rsidRPr="00F171A3" w:rsidRDefault="00FE3332">
      <w:pPr>
        <w:pStyle w:val="ListParagraph"/>
        <w:numPr>
          <w:ilvl w:val="0"/>
          <w:numId w:val="93"/>
        </w:numPr>
        <w:rPr>
          <w:b/>
          <w:color w:val="134753" w:themeColor="text2"/>
        </w:rPr>
      </w:pPr>
      <w:r w:rsidRPr="00F171A3">
        <w:rPr>
          <w:b/>
          <w:color w:val="134753" w:themeColor="text2"/>
        </w:rPr>
        <w:t>Detalii despre organizație,</w:t>
      </w:r>
      <w:r w:rsidRPr="00F171A3">
        <w:rPr>
          <w:color w:val="134753" w:themeColor="text2"/>
        </w:rPr>
        <w:t xml:space="preserve"> secțiune  în cadrul e dorește conturarea unui profil al organizațiilor din Sectorul 2</w:t>
      </w:r>
      <w:r w:rsidRPr="00F171A3">
        <w:rPr>
          <w:b/>
          <w:color w:val="134753" w:themeColor="text2"/>
        </w:rPr>
        <w:t>;</w:t>
      </w:r>
    </w:p>
    <w:p w14:paraId="71E2D5F2" w14:textId="77777777" w:rsidR="00FE3332" w:rsidRPr="00F171A3" w:rsidRDefault="00FE3332">
      <w:pPr>
        <w:pStyle w:val="ListParagraph"/>
        <w:numPr>
          <w:ilvl w:val="0"/>
          <w:numId w:val="93"/>
        </w:numPr>
        <w:rPr>
          <w:b/>
          <w:color w:val="134753" w:themeColor="text2"/>
        </w:rPr>
      </w:pPr>
      <w:r w:rsidRPr="00F171A3">
        <w:rPr>
          <w:b/>
          <w:color w:val="134753" w:themeColor="text2"/>
        </w:rPr>
        <w:t xml:space="preserve">Aportul la dezvoltarea locală și relația cu administrația publică, </w:t>
      </w:r>
      <w:r w:rsidRPr="00F171A3">
        <w:rPr>
          <w:color w:val="134753" w:themeColor="text2"/>
        </w:rPr>
        <w:t>în cadrul căreia se dorește identificarea nivelului de satisfacție cu referire la diverse aspecte esențiale</w:t>
      </w:r>
      <w:r w:rsidRPr="00F171A3">
        <w:rPr>
          <w:b/>
          <w:color w:val="134753" w:themeColor="text2"/>
        </w:rPr>
        <w:t>;</w:t>
      </w:r>
    </w:p>
    <w:p w14:paraId="2636A87D" w14:textId="77777777" w:rsidR="00FE3332" w:rsidRPr="00F171A3" w:rsidRDefault="00FE3332">
      <w:pPr>
        <w:pStyle w:val="ListParagraph"/>
        <w:numPr>
          <w:ilvl w:val="0"/>
          <w:numId w:val="93"/>
        </w:numPr>
        <w:rPr>
          <w:b/>
          <w:color w:val="134753" w:themeColor="text2"/>
        </w:rPr>
      </w:pPr>
      <w:r w:rsidRPr="00F171A3">
        <w:rPr>
          <w:b/>
          <w:color w:val="134753" w:themeColor="text2"/>
        </w:rPr>
        <w:t>Perspectivele de dezvoltare,</w:t>
      </w:r>
      <w:r w:rsidRPr="00F171A3">
        <w:rPr>
          <w:color w:val="134753" w:themeColor="text2"/>
        </w:rPr>
        <w:t xml:space="preserve"> în cadrul căreia se dorește identificarea principalelor aspecte pozitive și negative ale Sectorului 2, principalele direcții de dezvoltare și măsuri dorite de către mediul ONG și interesul privind implicarea în activități sau proiecte de dezvoltare.</w:t>
      </w:r>
    </w:p>
    <w:p w14:paraId="19EA9BC1" w14:textId="049CF0ED" w:rsidR="00FE3332" w:rsidRPr="00F171A3" w:rsidRDefault="00FE3332" w:rsidP="00FE3332">
      <w:pPr>
        <w:rPr>
          <w:highlight w:val="yellow"/>
        </w:rPr>
      </w:pPr>
      <w:r w:rsidRPr="00F171A3">
        <w:t xml:space="preserve">Chestionarul a fost disponibil pentru completare timp de </w:t>
      </w:r>
      <w:r w:rsidR="00906AEC" w:rsidRPr="00F171A3">
        <w:t xml:space="preserve">aproximativ 2 luni și jumătate în </w:t>
      </w:r>
      <w:r w:rsidR="00B1751D" w:rsidRPr="00F171A3">
        <w:t>perioada</w:t>
      </w:r>
      <w:r w:rsidR="00906AEC" w:rsidRPr="00F171A3">
        <w:t xml:space="preserve"> aprilie-iulie 2022</w:t>
      </w:r>
      <w:r w:rsidRPr="00F171A3">
        <w:t>. În acest interval de timp chestionarul a fost completat de către 38 de persoane, iar rezultatele centralizate în urma acestui proces sunt prezentate în cele ce urmează.</w:t>
      </w:r>
    </w:p>
    <w:p w14:paraId="50FFA5E0" w14:textId="77777777" w:rsidR="00D64CC5" w:rsidRPr="00F171A3" w:rsidRDefault="00D64CC5" w:rsidP="00FE3332">
      <w:pPr>
        <w:pStyle w:val="ActionTitle0"/>
      </w:pPr>
    </w:p>
    <w:p w14:paraId="5865F482" w14:textId="0C7DCBC9" w:rsidR="00FE3332" w:rsidRPr="00F171A3" w:rsidRDefault="00FE3332" w:rsidP="00FE3332">
      <w:pPr>
        <w:pStyle w:val="ActionTitle0"/>
      </w:pPr>
      <w:r w:rsidRPr="00F171A3">
        <w:t>DETALII DESPRE ORGANIZAȚIE</w:t>
      </w:r>
    </w:p>
    <w:p w14:paraId="5A61FE4F" w14:textId="32782A36" w:rsidR="00FE3332" w:rsidRPr="00F171A3" w:rsidRDefault="00FE3332" w:rsidP="00FE3332">
      <w:pPr>
        <w:pStyle w:val="BoldCIVITTALightBlue"/>
        <w:rPr>
          <w:lang w:val="ro-RO"/>
        </w:rPr>
      </w:pPr>
      <w:r w:rsidRPr="00F171A3">
        <w:rPr>
          <w:lang w:val="ro-RO"/>
        </w:rPr>
        <w:t xml:space="preserve"> 1. Vă rugăm </w:t>
      </w:r>
      <w:r w:rsidR="00B1751D" w:rsidRPr="00F171A3">
        <w:rPr>
          <w:lang w:val="ro-RO"/>
        </w:rPr>
        <w:t>menționați</w:t>
      </w:r>
      <w:r w:rsidRPr="00F171A3">
        <w:rPr>
          <w:lang w:val="ro-RO"/>
        </w:rPr>
        <w:t xml:space="preserve"> poziţia pe care o deţineţi în cadrul ONG-ului:</w:t>
      </w:r>
    </w:p>
    <w:p w14:paraId="7C6609CB" w14:textId="77777777" w:rsidR="00FE3332" w:rsidRPr="00F171A3" w:rsidRDefault="00FE3332" w:rsidP="00FE3332">
      <w:r w:rsidRPr="00F171A3">
        <w:t xml:space="preserve">Pozițiile deținute de către respondenți, reprezentanți ai mediului ONG sunt următoarele: </w:t>
      </w:r>
    </w:p>
    <w:p w14:paraId="71929C91" w14:textId="77777777" w:rsidR="00FE3332" w:rsidRPr="00F171A3" w:rsidRDefault="00FE3332" w:rsidP="00FE3332">
      <w:r w:rsidRPr="00F171A3">
        <w:t>Reprezentanții ONG-urilor care participă în cadrul prezentului proces de consultare dețin următoarele poziții în cadrul acestora: administrator, director, președinte, secretar general și vicepreședinte. Totuși, cei mai mulți dintre aceștia sunt președinți sau directori generali/administrativi/executivi.</w:t>
      </w:r>
    </w:p>
    <w:p w14:paraId="507A0ED9" w14:textId="77777777" w:rsidR="00D64CC5" w:rsidRPr="00F171A3" w:rsidRDefault="00D64CC5" w:rsidP="00FE3332">
      <w:pPr>
        <w:pStyle w:val="BoldCIVITTALightBlue"/>
        <w:rPr>
          <w:lang w:val="ro-RO"/>
        </w:rPr>
      </w:pPr>
    </w:p>
    <w:p w14:paraId="208D4F34" w14:textId="7A8B63A1" w:rsidR="00FE3332" w:rsidRPr="00F171A3" w:rsidRDefault="00FE3332" w:rsidP="00FE3332">
      <w:pPr>
        <w:pStyle w:val="BoldCIVITTALightBlue"/>
        <w:rPr>
          <w:lang w:val="ro-RO"/>
        </w:rPr>
      </w:pPr>
      <w:r w:rsidRPr="00F171A3">
        <w:rPr>
          <w:lang w:val="ro-RO"/>
        </w:rPr>
        <w:t>2. Care este anul înființării organizației pe care o reprezentați?</w:t>
      </w:r>
    </w:p>
    <w:p w14:paraId="6824405A" w14:textId="77777777" w:rsidR="00FE3332" w:rsidRPr="00F171A3" w:rsidRDefault="00FE3332" w:rsidP="00FE3332">
      <w:r w:rsidRPr="00F171A3">
        <w:t xml:space="preserve">Atât ONG-uri cu experiență, cât și ONG-uri noi înființate sunt reprezentate în cadrul prezentului proces. Acestea au fost înființate în anii prezentați în figura de mai jos. </w:t>
      </w:r>
    </w:p>
    <w:p w14:paraId="51C59AF4" w14:textId="77777777" w:rsidR="00FE3332" w:rsidRPr="00F171A3" w:rsidRDefault="00FE3332" w:rsidP="00FE3332">
      <w:r w:rsidRPr="00F171A3">
        <w:rPr>
          <w:noProof/>
        </w:rPr>
        <w:drawing>
          <wp:inline distT="0" distB="0" distL="0" distR="0" wp14:anchorId="5065537D" wp14:editId="4DFF365B">
            <wp:extent cx="5814204" cy="1854679"/>
            <wp:effectExtent l="0" t="0" r="0" b="12700"/>
            <wp:docPr id="25716" name="Diagram 257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3" r:lo="rId334" r:qs="rId335" r:cs="rId336"/>
              </a:graphicData>
            </a:graphic>
          </wp:inline>
        </w:drawing>
      </w:r>
    </w:p>
    <w:p w14:paraId="24D66FD0" w14:textId="77777777" w:rsidR="00FE3332" w:rsidRPr="00F171A3" w:rsidRDefault="00FE3332" w:rsidP="00FE3332">
      <w:pPr>
        <w:pStyle w:val="BoldCIVITTALightBlue"/>
        <w:rPr>
          <w:lang w:val="ro-RO"/>
        </w:rPr>
      </w:pPr>
      <w:r w:rsidRPr="00F171A3">
        <w:rPr>
          <w:lang w:val="ro-RO"/>
        </w:rPr>
        <w:t>3. Care a fost numărul de persoane implicate (angajați și voluntari) în activitatea organizației în anul 2021?</w:t>
      </w:r>
    </w:p>
    <w:p w14:paraId="518C4AFD" w14:textId="77777777" w:rsidR="00FE3332" w:rsidRPr="00F171A3" w:rsidRDefault="00FE3332" w:rsidP="00FE3332">
      <w:r w:rsidRPr="00F171A3">
        <w:t xml:space="preserve">Jumătate dintre organizațiile reprezentate în sondaj au avut în anul 2021 un număr cuprins între 0 și 9 persoane implicate în cadrul activității organizației. 26,3% dintre organizații au avut în anul 2021 între 10 și 49 de persoane implicate, 15,8% dintre acestea aveau între 50-249 de persoane implicate, iar 7,9% au avut în anul 2021 peste 250 de persoane implicate în activitatea organizației. </w:t>
      </w:r>
    </w:p>
    <w:p w14:paraId="0E25B03E"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014A7BFA" wp14:editId="2182CA76">
            <wp:extent cx="5865962" cy="2122098"/>
            <wp:effectExtent l="0" t="0" r="1905" b="0"/>
            <wp:docPr id="25717" name="Chart 257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p>
    <w:p w14:paraId="563BE6CB" w14:textId="77777777" w:rsidR="00D64CC5" w:rsidRPr="00F171A3" w:rsidRDefault="00D64CC5" w:rsidP="00FE3332">
      <w:pPr>
        <w:pStyle w:val="BoldCIVITTALightBlue"/>
        <w:rPr>
          <w:lang w:val="ro-RO"/>
        </w:rPr>
      </w:pPr>
    </w:p>
    <w:p w14:paraId="56E6F651" w14:textId="52D526BC" w:rsidR="00FE3332" w:rsidRPr="00F171A3" w:rsidRDefault="00FE3332" w:rsidP="00FE3332">
      <w:pPr>
        <w:pStyle w:val="BoldCIVITTALightBlue"/>
        <w:rPr>
          <w:lang w:val="ro-RO"/>
        </w:rPr>
      </w:pPr>
      <w:r w:rsidRPr="00F171A3">
        <w:rPr>
          <w:lang w:val="ro-RO"/>
        </w:rPr>
        <w:t>4. Bugetul anual al organizației dumneavoastră pentru anul 2021 a fost</w:t>
      </w:r>
    </w:p>
    <w:p w14:paraId="75845950" w14:textId="77777777" w:rsidR="00FE3332" w:rsidRPr="00F171A3" w:rsidRDefault="00FE3332" w:rsidP="00FE3332">
      <w:r w:rsidRPr="00F171A3">
        <w:t xml:space="preserve">Bugetul organizațiilor pentru anul 2021 a fost de sub 10.000 de Euro pentru 29,0% dintre acestea, între 10.000 și 50.000 de euro pentru 26,3% dintre acestea, peste 100.000 de euro pentru 26,3% dintre organizații, iar un buget cuprins între 50.000-100.000 de euro este specific a 18,4% dintre organizațiile respondente. </w:t>
      </w:r>
    </w:p>
    <w:p w14:paraId="716354BC"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319DE3E4" wp14:editId="113C6AB3">
            <wp:extent cx="5676181" cy="2337759"/>
            <wp:effectExtent l="0" t="0" r="1270" b="5715"/>
            <wp:docPr id="25718" name="Chart 257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p w14:paraId="0AB6A81C" w14:textId="77777777" w:rsidR="00FE3332" w:rsidRPr="00F171A3" w:rsidRDefault="00FE3332" w:rsidP="00FE3332">
      <w:pPr>
        <w:pStyle w:val="BoldCIVITTALightBlue"/>
        <w:rPr>
          <w:lang w:val="ro-RO"/>
        </w:rPr>
      </w:pPr>
    </w:p>
    <w:p w14:paraId="1C5BFEBC" w14:textId="77777777" w:rsidR="00FE3332" w:rsidRPr="00F171A3" w:rsidRDefault="00FE3332" w:rsidP="00FE3332">
      <w:pPr>
        <w:pStyle w:val="BoldCIVITTALightBlue"/>
        <w:rPr>
          <w:lang w:val="ro-RO"/>
        </w:rPr>
      </w:pPr>
      <w:r w:rsidRPr="00F171A3">
        <w:rPr>
          <w:lang w:val="ro-RO"/>
        </w:rPr>
        <w:t>5. Care sunt domeniile de activitate ale ONG-ului din care faceţi parte (puteţi indica mai multe opţiuni):</w:t>
      </w:r>
    </w:p>
    <w:p w14:paraId="10482D7E" w14:textId="77777777" w:rsidR="00FE3332" w:rsidRPr="00F171A3" w:rsidRDefault="00FE3332" w:rsidP="00FE3332">
      <w:r w:rsidRPr="00F171A3">
        <w:t>Principalele domenii de activitate care stau la baza a 51% dintre ONG-uri sunt învăţământ, educaţie, cercetare (20,9%), servicii sociale (11,6%), binefacere, caritate (10,5%) și implicare civică, politici publice (8,1%).</w:t>
      </w:r>
    </w:p>
    <w:p w14:paraId="3C060148" w14:textId="77777777" w:rsidR="00FE3332" w:rsidRPr="00F171A3" w:rsidRDefault="00FE3332" w:rsidP="00FE3332">
      <w:r w:rsidRPr="00F171A3">
        <w:t>În funcție de domeniile reprezentate în cea mai mare măsură, acestea au fost ierarhizate în următorul fel:</w:t>
      </w:r>
    </w:p>
    <w:p w14:paraId="4D6BFE13" w14:textId="77777777" w:rsidR="00FE3332" w:rsidRPr="00F171A3" w:rsidRDefault="00FE3332">
      <w:pPr>
        <w:pStyle w:val="Bullet"/>
        <w:numPr>
          <w:ilvl w:val="0"/>
          <w:numId w:val="102"/>
        </w:numPr>
      </w:pPr>
      <w:r w:rsidRPr="00F171A3">
        <w:t>Învăţământ, educaţie, cercetare (20,9% dintre organizații);</w:t>
      </w:r>
    </w:p>
    <w:p w14:paraId="42FEED5A" w14:textId="77777777" w:rsidR="00FE3332" w:rsidRPr="00F171A3" w:rsidRDefault="00FE3332">
      <w:pPr>
        <w:pStyle w:val="Bullet"/>
        <w:numPr>
          <w:ilvl w:val="0"/>
          <w:numId w:val="102"/>
        </w:numPr>
      </w:pPr>
      <w:r w:rsidRPr="00F171A3">
        <w:t>Servicii sociale</w:t>
      </w:r>
      <w:r w:rsidRPr="00F171A3">
        <w:tab/>
        <w:t xml:space="preserve"> (11,6% dintre organizații);</w:t>
      </w:r>
    </w:p>
    <w:p w14:paraId="48E4765A" w14:textId="77777777" w:rsidR="00FE3332" w:rsidRPr="00F171A3" w:rsidRDefault="00FE3332">
      <w:pPr>
        <w:pStyle w:val="Bullet"/>
        <w:numPr>
          <w:ilvl w:val="0"/>
          <w:numId w:val="102"/>
        </w:numPr>
      </w:pPr>
      <w:r w:rsidRPr="00F171A3">
        <w:t>Alt domeniu</w:t>
      </w:r>
      <w:r w:rsidRPr="00F171A3">
        <w:tab/>
        <w:t>(11,6% dintre organizații);</w:t>
      </w:r>
    </w:p>
    <w:p w14:paraId="7F9D40AB" w14:textId="77777777" w:rsidR="00FE3332" w:rsidRPr="00F171A3" w:rsidRDefault="00FE3332">
      <w:pPr>
        <w:pStyle w:val="Bullet"/>
        <w:numPr>
          <w:ilvl w:val="0"/>
          <w:numId w:val="102"/>
        </w:numPr>
      </w:pPr>
      <w:r w:rsidRPr="00F171A3">
        <w:t>Binefacere, caritate</w:t>
      </w:r>
      <w:r w:rsidRPr="00F171A3">
        <w:tab/>
        <w:t>(10,5% dintre organizații);</w:t>
      </w:r>
    </w:p>
    <w:p w14:paraId="4EC6E87D" w14:textId="77777777" w:rsidR="00FE3332" w:rsidRPr="00F171A3" w:rsidRDefault="00FE3332">
      <w:pPr>
        <w:pStyle w:val="Bullet"/>
        <w:numPr>
          <w:ilvl w:val="0"/>
          <w:numId w:val="102"/>
        </w:numPr>
      </w:pPr>
      <w:r w:rsidRPr="00F171A3">
        <w:t>Implicare civică, politici publice (8,1% dintre organizații);</w:t>
      </w:r>
    </w:p>
    <w:p w14:paraId="3FD1F3BA" w14:textId="77777777" w:rsidR="00FE3332" w:rsidRPr="00F171A3" w:rsidRDefault="00FE3332">
      <w:pPr>
        <w:pStyle w:val="Bullet"/>
        <w:numPr>
          <w:ilvl w:val="0"/>
          <w:numId w:val="102"/>
        </w:numPr>
      </w:pPr>
      <w:r w:rsidRPr="00F171A3">
        <w:t>Drepturile femeilor şi egalitatea de gen (7,0% dintre organizații);</w:t>
      </w:r>
    </w:p>
    <w:p w14:paraId="74800B1F" w14:textId="77777777" w:rsidR="00FE3332" w:rsidRPr="00F171A3" w:rsidRDefault="00FE3332">
      <w:pPr>
        <w:pStyle w:val="Bullet"/>
        <w:numPr>
          <w:ilvl w:val="0"/>
          <w:numId w:val="102"/>
        </w:numPr>
      </w:pPr>
      <w:r w:rsidRPr="00F171A3">
        <w:t>Sport, turism, recreere (7,0% dintre organizații);</w:t>
      </w:r>
    </w:p>
    <w:p w14:paraId="6F379B52" w14:textId="77777777" w:rsidR="00FE3332" w:rsidRPr="00F171A3" w:rsidRDefault="00FE3332">
      <w:pPr>
        <w:pStyle w:val="Bullet"/>
        <w:numPr>
          <w:ilvl w:val="0"/>
          <w:numId w:val="102"/>
        </w:numPr>
      </w:pPr>
      <w:r w:rsidRPr="00F171A3">
        <w:t>Drepturile și protecția copilului (5,8% dintre organizații);</w:t>
      </w:r>
    </w:p>
    <w:p w14:paraId="434E8AC1" w14:textId="77777777" w:rsidR="00FE3332" w:rsidRPr="00F171A3" w:rsidRDefault="00FE3332">
      <w:pPr>
        <w:pStyle w:val="Bullet"/>
        <w:numPr>
          <w:ilvl w:val="0"/>
          <w:numId w:val="102"/>
        </w:numPr>
      </w:pPr>
      <w:r w:rsidRPr="00F171A3">
        <w:t>Mass-media, arta, cultură (5,8% dintre organizații);</w:t>
      </w:r>
    </w:p>
    <w:p w14:paraId="372DF298" w14:textId="77777777" w:rsidR="00FE3332" w:rsidRPr="00F171A3" w:rsidRDefault="00FE3332">
      <w:pPr>
        <w:pStyle w:val="Bullet"/>
        <w:numPr>
          <w:ilvl w:val="0"/>
          <w:numId w:val="102"/>
        </w:numPr>
      </w:pPr>
      <w:r w:rsidRPr="00F171A3">
        <w:t>Ocrotirea sănătăţii şi drepturile pacientului</w:t>
      </w:r>
      <w:r w:rsidRPr="00F171A3">
        <w:tab/>
        <w:t>(3,5% dintre organizații);</w:t>
      </w:r>
    </w:p>
    <w:p w14:paraId="78C07AF2" w14:textId="77777777" w:rsidR="00FE3332" w:rsidRPr="00F171A3" w:rsidRDefault="00FE3332">
      <w:pPr>
        <w:pStyle w:val="Bullet"/>
        <w:numPr>
          <w:ilvl w:val="0"/>
          <w:numId w:val="102"/>
        </w:numPr>
      </w:pPr>
      <w:r w:rsidRPr="00F171A3">
        <w:t>Profil juridic şi drepturile omului în general</w:t>
      </w:r>
      <w:r w:rsidRPr="00F171A3">
        <w:tab/>
        <w:t>(3,5% dintre organizații);</w:t>
      </w:r>
    </w:p>
    <w:p w14:paraId="0B398BEE" w14:textId="77777777" w:rsidR="00FE3332" w:rsidRPr="00F171A3" w:rsidRDefault="00FE3332">
      <w:pPr>
        <w:pStyle w:val="Bullet"/>
        <w:numPr>
          <w:ilvl w:val="0"/>
          <w:numId w:val="102"/>
        </w:numPr>
      </w:pPr>
      <w:r w:rsidRPr="00F171A3">
        <w:t>Protecția mediului/Ecologie</w:t>
      </w:r>
      <w:r w:rsidRPr="00F171A3">
        <w:tab/>
        <w:t>(2,3% dintre organizații);</w:t>
      </w:r>
    </w:p>
    <w:p w14:paraId="39B9E03C" w14:textId="77777777" w:rsidR="00FE3332" w:rsidRPr="00F171A3" w:rsidRDefault="00FE3332">
      <w:pPr>
        <w:pStyle w:val="Bullet"/>
        <w:numPr>
          <w:ilvl w:val="0"/>
          <w:numId w:val="102"/>
        </w:numPr>
      </w:pPr>
      <w:r w:rsidRPr="00F171A3">
        <w:t>Dezvoltare regională şi comunitară</w:t>
      </w:r>
      <w:r w:rsidRPr="00F171A3">
        <w:tab/>
        <w:t>(1,2% dintre organizații);</w:t>
      </w:r>
    </w:p>
    <w:p w14:paraId="2ADC2F2C" w14:textId="77777777" w:rsidR="00FE3332" w:rsidRPr="00F171A3" w:rsidRDefault="00FE3332">
      <w:pPr>
        <w:pStyle w:val="Bullet"/>
        <w:numPr>
          <w:ilvl w:val="0"/>
          <w:numId w:val="102"/>
        </w:numPr>
      </w:pPr>
      <w:r w:rsidRPr="00F171A3">
        <w:t>Religie</w:t>
      </w:r>
      <w:r w:rsidRPr="00F171A3">
        <w:tab/>
        <w:t>(1,2% dintre organizații).</w:t>
      </w:r>
    </w:p>
    <w:p w14:paraId="5C0A6880" w14:textId="77777777" w:rsidR="00FE3332" w:rsidRPr="00F171A3" w:rsidRDefault="00FE3332" w:rsidP="00FE3332">
      <w:r w:rsidRPr="00F171A3">
        <w:rPr>
          <w:noProof/>
        </w:rPr>
        <w:drawing>
          <wp:inline distT="0" distB="0" distL="0" distR="0" wp14:anchorId="55D60E16" wp14:editId="0FE734E7">
            <wp:extent cx="5905500" cy="5095875"/>
            <wp:effectExtent l="0" t="0" r="0" b="0"/>
            <wp:docPr id="25719" name="Chart 257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14:paraId="1657D536" w14:textId="77777777" w:rsidR="00FE3332" w:rsidRPr="00F171A3" w:rsidRDefault="00FE3332" w:rsidP="00FE3332">
      <w:r w:rsidRPr="00F171A3">
        <w:t>Respondenții mai menționează și următoarele domenii: servicii medicale spitalicești de îngrijire paliative, domeniul preventiv HIV, cultură și știință, geotehnie, formare profesională, antreprenoriat, stagii de practică, industria IT, publicitate online, energie și mediu, drepturi conexe ale dreptului de autor, servicii asistate de animale.</w:t>
      </w:r>
    </w:p>
    <w:p w14:paraId="53E97B59" w14:textId="77777777" w:rsidR="00D64CC5" w:rsidRPr="00F171A3" w:rsidRDefault="00D64CC5" w:rsidP="00FE3332">
      <w:pPr>
        <w:pStyle w:val="BoldCIVITTALightBlue"/>
        <w:rPr>
          <w:lang w:val="ro-RO"/>
        </w:rPr>
      </w:pPr>
    </w:p>
    <w:p w14:paraId="429B42DF" w14:textId="11E3315D" w:rsidR="00FE3332" w:rsidRPr="00F171A3" w:rsidRDefault="00FE3332" w:rsidP="00FE3332">
      <w:pPr>
        <w:pStyle w:val="BoldCIVITTALightBlue"/>
        <w:rPr>
          <w:lang w:val="ro-RO"/>
        </w:rPr>
      </w:pPr>
      <w:r w:rsidRPr="00F171A3">
        <w:rPr>
          <w:lang w:val="ro-RO"/>
        </w:rPr>
        <w:t>6. Care sunt grupurile/categoriile de beneficiari cărora vă adresați?</w:t>
      </w:r>
    </w:p>
    <w:p w14:paraId="59613F13" w14:textId="77777777" w:rsidR="00FE3332" w:rsidRPr="00F171A3" w:rsidRDefault="00FE3332" w:rsidP="00FE3332">
      <w:r w:rsidRPr="00F171A3">
        <w:t>Organizațiile reprezentate se adresează tuturor categoriilor de beneficiari. Totuși, cele mai multe  (44,6%), abordează beneficiar precum copii (16,5%), elevi (14,9%) și studenți (13,2%), iar cele mai puține (15,7%) abordează șomeri (3,3%), persoane vârstnice (5,8%) și persoane cu dizabilități (6,6%).</w:t>
      </w:r>
    </w:p>
    <w:p w14:paraId="02BDA27C" w14:textId="77777777" w:rsidR="00FE3332" w:rsidRPr="00F171A3" w:rsidRDefault="00FE3332" w:rsidP="00FE3332">
      <w:r w:rsidRPr="00F171A3">
        <w:rPr>
          <w:noProof/>
        </w:rPr>
        <w:drawing>
          <wp:inline distT="0" distB="0" distL="0" distR="0" wp14:anchorId="33E5480D" wp14:editId="7E09F528">
            <wp:extent cx="5865962" cy="2484408"/>
            <wp:effectExtent l="0" t="0" r="1905" b="0"/>
            <wp:docPr id="25720" name="Chart 257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14:paraId="400F15B6" w14:textId="77777777" w:rsidR="00FE3332" w:rsidRPr="00F171A3" w:rsidRDefault="00FE3332" w:rsidP="00FE3332">
      <w:r w:rsidRPr="00F171A3">
        <w:t xml:space="preserve">Alți beneficiari cărora li se adresează ONG-urile sunt autoritățile, imigranții, auditorii, diverse comunități, persoanele instituționalizate, antreprenorii, companiile, experții, asociațiile profesionale, artiștii, executanții și  persoanele cu diverse sindromuri. </w:t>
      </w:r>
    </w:p>
    <w:p w14:paraId="61B1604C" w14:textId="77777777" w:rsidR="00D64CC5" w:rsidRPr="00F171A3" w:rsidRDefault="00D64CC5" w:rsidP="00FE3332">
      <w:pPr>
        <w:rPr>
          <w:rStyle w:val="BoldCIVITTALightBlueChar"/>
          <w:lang w:val="ro-RO"/>
        </w:rPr>
      </w:pPr>
    </w:p>
    <w:p w14:paraId="1DC0B679" w14:textId="3F2DF8DF" w:rsidR="00FE3332" w:rsidRPr="00F171A3" w:rsidRDefault="00FE3332" w:rsidP="00FE3332">
      <w:r w:rsidRPr="00F171A3">
        <w:rPr>
          <w:rStyle w:val="BoldCIVITTALightBlueChar"/>
          <w:lang w:val="ro-RO"/>
        </w:rPr>
        <w:t>7. Care a fost numărul total de beneficiari în cadrul organizației pe care o reprezentați, în ultimul an de activitate?</w:t>
      </w:r>
      <w:r w:rsidRPr="00F171A3">
        <w:cr/>
        <w:t xml:space="preserve">Analizând datele furnizate, numărul beneficiarilor din cadrul organizațiilor reprezentate, în ultimul an de activitate pornește de la numărul minim de 8 beneficiari din cadrul anumitor organizații, până la numărul de 200.000 de mii de beneficiari, în cadrul altor organizații. </w:t>
      </w:r>
    </w:p>
    <w:p w14:paraId="54F06D02" w14:textId="77777777" w:rsidR="00D64CC5" w:rsidRPr="00F171A3" w:rsidRDefault="00D64CC5" w:rsidP="00FE3332">
      <w:pPr>
        <w:pStyle w:val="ActionTitle0"/>
      </w:pPr>
    </w:p>
    <w:p w14:paraId="0524F1CA" w14:textId="6CC822EA" w:rsidR="00FE3332" w:rsidRPr="00F171A3" w:rsidRDefault="00FE3332" w:rsidP="00FE3332">
      <w:pPr>
        <w:pStyle w:val="ActionTitle0"/>
      </w:pPr>
      <w:r w:rsidRPr="00F171A3">
        <w:t>APORT LA DEZVOLTAREA LOCALĂ ȘI RELAȚIA CU ADMINISTRAȚIA PUBLICĂ</w:t>
      </w:r>
    </w:p>
    <w:p w14:paraId="755C7DD7" w14:textId="77777777" w:rsidR="00FE3332" w:rsidRPr="00F171A3" w:rsidRDefault="00FE3332" w:rsidP="00FE3332">
      <w:pPr>
        <w:pStyle w:val="BoldCIVITTALightBlue"/>
        <w:rPr>
          <w:lang w:val="ro-RO"/>
        </w:rPr>
      </w:pPr>
      <w:r w:rsidRPr="00F171A3">
        <w:rPr>
          <w:lang w:val="ro-RO"/>
        </w:rPr>
        <w:t>8. Cât de importantă consideraţi că este implicarea ONG-urilor în propunerea de măsuri pentru elaborarea/îmbunătățirea strategiilor de dezvoltare locală în Sectorul 2:</w:t>
      </w:r>
    </w:p>
    <w:p w14:paraId="7854886E" w14:textId="77777777" w:rsidR="00FE3332" w:rsidRPr="00F171A3" w:rsidRDefault="00FE3332" w:rsidP="00FE3332">
      <w:r w:rsidRPr="00F171A3">
        <w:t>96,9% dintre respondenți consideră implicarea ONG-urilor în propunerea de măsuri pentru elaborarea și îmbunătățirea strategiilor de dezvoltare locală în Sectorul 2 ca fiind importantă (37,5%) și foarte importantă (59,4%).</w:t>
      </w:r>
    </w:p>
    <w:p w14:paraId="5E02D061"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5F0F08F3" wp14:editId="5ED73136">
            <wp:extent cx="5865962" cy="2579298"/>
            <wp:effectExtent l="0" t="0" r="1905" b="0"/>
            <wp:docPr id="25721" name="Chart 257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14:paraId="67A66584" w14:textId="77777777" w:rsidR="00D64CC5" w:rsidRPr="00F171A3" w:rsidRDefault="00D64CC5" w:rsidP="00FE3332">
      <w:pPr>
        <w:pStyle w:val="BoldCIVITTALightBlue"/>
        <w:rPr>
          <w:lang w:val="ro-RO"/>
        </w:rPr>
      </w:pPr>
    </w:p>
    <w:p w14:paraId="67DF10D7" w14:textId="77777777" w:rsidR="00D64CC5" w:rsidRPr="00F171A3" w:rsidRDefault="00D64CC5" w:rsidP="00FE3332">
      <w:pPr>
        <w:pStyle w:val="BoldCIVITTALightBlue"/>
        <w:rPr>
          <w:lang w:val="ro-RO"/>
        </w:rPr>
      </w:pPr>
    </w:p>
    <w:p w14:paraId="2D011326" w14:textId="75917269" w:rsidR="00FE3332" w:rsidRPr="00F171A3" w:rsidRDefault="00FE3332" w:rsidP="00FE3332">
      <w:pPr>
        <w:pStyle w:val="BoldCIVITTALightBlue"/>
        <w:rPr>
          <w:lang w:val="ro-RO"/>
        </w:rPr>
      </w:pPr>
      <w:r w:rsidRPr="00F171A3">
        <w:rPr>
          <w:lang w:val="ro-RO"/>
        </w:rPr>
        <w:t>9. Urmăriți, în mod regulat, activitatea Primăriei Sectorului 2, în ceea ce privește adoptarea/implementarea de măsuri care influențează dezvoltarea locală sectorului?</w:t>
      </w:r>
    </w:p>
    <w:p w14:paraId="1D486097" w14:textId="77777777" w:rsidR="00FE3332" w:rsidRPr="00F171A3" w:rsidRDefault="00FE3332" w:rsidP="00FE3332">
      <w:r w:rsidRPr="00F171A3">
        <w:t xml:space="preserve">Mai mult de jumătate dintre respondenți, 56,3% urmăresc în mod regulat activitatea Primăriei Sectorului 2 în ceea ce privește adoptarea/implementarea de măsuri care influențează dezvoltarea locală a sectorului. </w:t>
      </w:r>
    </w:p>
    <w:p w14:paraId="7CAE34C7" w14:textId="77777777" w:rsidR="00FE3332" w:rsidRPr="00F171A3" w:rsidRDefault="00FE3332" w:rsidP="00FE3332">
      <w:r w:rsidRPr="00F171A3">
        <w:rPr>
          <w:noProof/>
        </w:rPr>
        <w:drawing>
          <wp:inline distT="0" distB="0" distL="0" distR="0" wp14:anchorId="0087C3C8" wp14:editId="736E76FE">
            <wp:extent cx="5934974" cy="2441275"/>
            <wp:effectExtent l="0" t="0" r="8890" b="0"/>
            <wp:docPr id="25722" name="Chart 257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14:paraId="422BB1C6" w14:textId="77777777" w:rsidR="00FE3332" w:rsidRPr="00F171A3" w:rsidRDefault="00FE3332" w:rsidP="00FE3332">
      <w:pPr>
        <w:pStyle w:val="BoldCIVITTALightBlue"/>
        <w:rPr>
          <w:lang w:val="ro-RO"/>
        </w:rPr>
      </w:pPr>
      <w:r w:rsidRPr="00F171A3">
        <w:rPr>
          <w:lang w:val="ro-RO"/>
        </w:rPr>
        <w:t>10. Cât de satisfăcut/ă sunteți de gradul de transparență, la nivelul Primăriei Sectorului 2, în ceea ce privește procesul de luare a deciziilor și implementarea măsurilor care contribuie la dezvoltarea locală a sectorului?</w:t>
      </w:r>
    </w:p>
    <w:p w14:paraId="214FDFF5" w14:textId="77777777" w:rsidR="00FE3332" w:rsidRPr="00F171A3" w:rsidRDefault="00FE3332" w:rsidP="00FE3332">
      <w:r w:rsidRPr="00F171A3">
        <w:t>În ceea ce privește nivelul de mulțumire raportat la procesul de luare a deciziilor și implementare a măsurilor care contribuie la dezvoltarea locală a sectorului, 28,1% dintre respondenți se declară satisfăcuți (21,9%) și foarte satisfăcuți (6,3%). O mare parte dintre respondenți sunt neutri referitor la acest aspect, mai exact 50,0%, iar ponderea respondenților care manifestă un nivel de nemulțumire este de 12,5%, dintre aceștia declarându-se nesatisfăcuți (3,1%) sau deloc satisfăcuți (9,4%).</w:t>
      </w:r>
    </w:p>
    <w:p w14:paraId="104F8A7B"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6FD7D5F9" wp14:editId="4638A5D2">
            <wp:extent cx="5865962" cy="2432649"/>
            <wp:effectExtent l="0" t="0" r="1905" b="6350"/>
            <wp:docPr id="25723" name="Chart 257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14:paraId="5680474E" w14:textId="77777777" w:rsidR="00FE3332" w:rsidRPr="00F171A3" w:rsidRDefault="00FE3332" w:rsidP="00FE3332">
      <w:pPr>
        <w:pStyle w:val="BoldCIVITTALightBlue"/>
        <w:rPr>
          <w:lang w:val="ro-RO"/>
        </w:rPr>
      </w:pPr>
      <w:r w:rsidRPr="00F171A3">
        <w:rPr>
          <w:lang w:val="ro-RO"/>
        </w:rPr>
        <w:t>11. Vă rugăm să motivați răspunsul selectat la întrebarea precedentă:</w:t>
      </w:r>
    </w:p>
    <w:p w14:paraId="123C6523" w14:textId="77777777" w:rsidR="00FE3332" w:rsidRPr="00F171A3" w:rsidRDefault="00FE3332" w:rsidP="00FE3332">
      <w:r w:rsidRPr="00F171A3">
        <w:t>Respondenții motivează opțiunile date prin următoarele argumente și aspecte:</w:t>
      </w:r>
    </w:p>
    <w:p w14:paraId="3200B579" w14:textId="77777777" w:rsidR="00FE3332" w:rsidRPr="00F171A3" w:rsidRDefault="00FE3332">
      <w:pPr>
        <w:pStyle w:val="Bullet"/>
        <w:numPr>
          <w:ilvl w:val="0"/>
          <w:numId w:val="38"/>
        </w:numPr>
      </w:pPr>
      <w:r w:rsidRPr="00F171A3">
        <w:t>Nevoia ONG-urilor ca Primăria să furnizeze către aceștia necesitățile sectorului;</w:t>
      </w:r>
    </w:p>
    <w:p w14:paraId="603EC0EA" w14:textId="77777777" w:rsidR="00FE3332" w:rsidRPr="00F171A3" w:rsidRDefault="00FE3332">
      <w:pPr>
        <w:pStyle w:val="Bullet"/>
        <w:numPr>
          <w:ilvl w:val="0"/>
          <w:numId w:val="38"/>
        </w:numPr>
      </w:pPr>
      <w:r w:rsidRPr="00F171A3">
        <w:t>Lipsa unor mecanisme aprofundate de consultare și implicare a mediului ONG;</w:t>
      </w:r>
    </w:p>
    <w:p w14:paraId="627BC8AB" w14:textId="77777777" w:rsidR="00FE3332" w:rsidRPr="00F171A3" w:rsidRDefault="00FE3332">
      <w:pPr>
        <w:pStyle w:val="Bullet"/>
        <w:numPr>
          <w:ilvl w:val="0"/>
          <w:numId w:val="38"/>
        </w:numPr>
      </w:pPr>
      <w:r w:rsidRPr="00F171A3">
        <w:t>Lipsa consultării mediului ONG, până la acest moment;</w:t>
      </w:r>
    </w:p>
    <w:p w14:paraId="41CE2508" w14:textId="77777777" w:rsidR="00FE3332" w:rsidRPr="00F171A3" w:rsidRDefault="00FE3332">
      <w:pPr>
        <w:pStyle w:val="Bullet"/>
        <w:numPr>
          <w:ilvl w:val="0"/>
          <w:numId w:val="38"/>
        </w:numPr>
      </w:pPr>
      <w:r w:rsidRPr="00F171A3">
        <w:t>Lipsa informării aprofundate a mediului ONG;</w:t>
      </w:r>
    </w:p>
    <w:p w14:paraId="1C6F86BD" w14:textId="77777777" w:rsidR="00FE3332" w:rsidRPr="00F171A3" w:rsidRDefault="00FE3332">
      <w:pPr>
        <w:pStyle w:val="Bullet"/>
        <w:numPr>
          <w:ilvl w:val="0"/>
          <w:numId w:val="38"/>
        </w:numPr>
      </w:pPr>
      <w:r w:rsidRPr="00F171A3">
        <w:t>În ultimii 2 ani este remarcată o îmbunătățire la nivelul dialogului.</w:t>
      </w:r>
    </w:p>
    <w:p w14:paraId="5BCFA722" w14:textId="77777777" w:rsidR="00D64CC5" w:rsidRPr="00F171A3" w:rsidRDefault="00D64CC5" w:rsidP="00FE3332">
      <w:pPr>
        <w:pStyle w:val="BoldCIVITTALightBlue"/>
        <w:rPr>
          <w:lang w:val="ro-RO"/>
        </w:rPr>
      </w:pPr>
    </w:p>
    <w:p w14:paraId="7D90CA89" w14:textId="7395FB1E" w:rsidR="00FE3332" w:rsidRPr="00F171A3" w:rsidRDefault="00FE3332" w:rsidP="00FE3332">
      <w:pPr>
        <w:pStyle w:val="BoldCIVITTALightBlue"/>
        <w:rPr>
          <w:lang w:val="ro-RO"/>
        </w:rPr>
      </w:pPr>
      <w:r w:rsidRPr="00F171A3">
        <w:rPr>
          <w:lang w:val="ro-RO"/>
        </w:rPr>
        <w:t>12. Cât de satisfăcut/ă sunteți de deschiderea Primăriei Sectorului 2 în ceea ce privește implicarea ONG-urilor și a altor organizații sau grupuri civice în procesul de consultare pentru luarea deciziilor?</w:t>
      </w:r>
    </w:p>
    <w:p w14:paraId="36B6EDB8" w14:textId="77777777" w:rsidR="00FE3332" w:rsidRPr="00F171A3" w:rsidRDefault="00FE3332" w:rsidP="00FE3332">
      <w:r w:rsidRPr="00F171A3">
        <w:t>În ceea ce privește nivelul de mulțumire raportat la deschiderea Primăriei Sectorului 2 în ceea ce privește implicarea ONG-urilor și a altor organizații sau grupuri civice în procesul de consultare pentru luarea deciziilor, respondenții adoptă în proporție de 38,7% o atitudine neutră, iar în proporție de 41,9% o atitudine de satisfacție (satisfăcut – 19,4%  și foarte satisfăcut – 22,6%). Sub 10% dintre respondenți se raportează cu nemulțumire raportat la deschiderea Primăriei Sectorului 2 în ceea ce privește implicarea ONG-urilor și a altor organizații sau grupuri civice în procesul de consultare pentru luarea deciziilor.</w:t>
      </w:r>
    </w:p>
    <w:p w14:paraId="22CA80BD"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063E4694" wp14:editId="1E2654B7">
            <wp:extent cx="6064370" cy="2743200"/>
            <wp:effectExtent l="0" t="0" r="0" b="0"/>
            <wp:docPr id="25724" name="Chart 257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p w14:paraId="4DB9A4C8" w14:textId="77777777" w:rsidR="00FE3332" w:rsidRPr="00F171A3" w:rsidRDefault="00FE3332" w:rsidP="00FE3332">
      <w:pPr>
        <w:pStyle w:val="BoldCIVITTALightBlue"/>
        <w:rPr>
          <w:lang w:val="ro-RO"/>
        </w:rPr>
      </w:pPr>
      <w:r w:rsidRPr="00F171A3">
        <w:rPr>
          <w:lang w:val="ro-RO"/>
        </w:rPr>
        <w:t>13. Vă rugăm să motivați răspunsul selectat la întrebarea precedent</w:t>
      </w:r>
    </w:p>
    <w:p w14:paraId="65F3697E" w14:textId="77777777" w:rsidR="00FE3332" w:rsidRPr="00F171A3" w:rsidRDefault="00FE3332" w:rsidP="00FE3332">
      <w:r w:rsidRPr="00F171A3">
        <w:t>Respondenții indică faptul că dialogul este într-o creștere continuă, fiind organizate ședințe și consultări, nivelul de transparență fiind satisfăcător. Pe de altă parte, o altă parte dintre respondenți indică faptul că procesele de implicare sunt insuficiente și că mecanismul consultărilor publice nu are o eficiență favorabilă. Totodată, se consideră un aspect extrem de benefic implicarea și consultarea mediului ONG în etapele de luare a deciziilor.</w:t>
      </w:r>
    </w:p>
    <w:p w14:paraId="1744B933" w14:textId="77777777" w:rsidR="00D64CC5" w:rsidRPr="00F171A3" w:rsidRDefault="00D64CC5" w:rsidP="00FE3332">
      <w:pPr>
        <w:pStyle w:val="BoldCIVITTALightBlue"/>
        <w:rPr>
          <w:lang w:val="ro-RO"/>
        </w:rPr>
      </w:pPr>
    </w:p>
    <w:p w14:paraId="4622E2A3" w14:textId="484B994B" w:rsidR="00FE3332" w:rsidRPr="00F171A3" w:rsidRDefault="00FE3332" w:rsidP="00FE3332">
      <w:pPr>
        <w:pStyle w:val="BoldCIVITTALightBlue"/>
        <w:rPr>
          <w:lang w:val="ro-RO"/>
        </w:rPr>
      </w:pPr>
      <w:r w:rsidRPr="00F171A3">
        <w:rPr>
          <w:lang w:val="ro-RO"/>
        </w:rPr>
        <w:t>14. Cât de satisfăcut/ă sunteți de deschiderea Primăriei Sectorului 2 în ceea ce privește implicarea ONG-urilor și a altor organizații sau grupuri civice în procesul de implementare a măsurilor care influențează dezvoltarea locală sectorului?</w:t>
      </w:r>
    </w:p>
    <w:p w14:paraId="6E9AFC30" w14:textId="1E69559D" w:rsidR="00FE3332" w:rsidRPr="00F171A3" w:rsidRDefault="00FE3332" w:rsidP="00FE3332">
      <w:r w:rsidRPr="00F171A3">
        <w:t xml:space="preserve">Raportat la nivelul de mulțumire față de deschiderea Primăriei Sectorului 2 în ceea ce privește implicarea ONG-urilor și a altor organizații sau grupuri civice în procesul de implementare a măsurilor care influențează dezvoltarea locală sectorului, respondenții adoptă în proporție de 43,8% o atitudine neutră, iar în proporție de 37,5% o atitudine de satisfacție (satisfăcut – 18,8%  și foarte satisfăcut – 18,8%). Sub 10% dintre respondenți se raportează cu nemulțumire raportat la deschiderea Primăriei Sectorului 2 în ceea ce privește implicarea ONG-urilor și a altor organizații sau grupuri civice în procesul de implementare a măsurilor care influențează dezvoltarea locală sectorului. </w:t>
      </w:r>
    </w:p>
    <w:p w14:paraId="4AC9BC24"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3F8CA5C1" wp14:editId="1D6EBDE7">
            <wp:extent cx="6064250" cy="1805049"/>
            <wp:effectExtent l="0" t="0" r="0" b="5080"/>
            <wp:docPr id="25725" name="Chart 257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14:paraId="384390EA" w14:textId="77777777" w:rsidR="00FE3332" w:rsidRPr="00F171A3" w:rsidRDefault="00FE3332" w:rsidP="00FE3332">
      <w:pPr>
        <w:pStyle w:val="BoldCIVITTALightBlue"/>
        <w:rPr>
          <w:lang w:val="ro-RO"/>
        </w:rPr>
      </w:pPr>
      <w:r w:rsidRPr="00F171A3">
        <w:rPr>
          <w:lang w:val="ro-RO"/>
        </w:rPr>
        <w:t>15. Vă rugăm să motivați răspunsul selectat la întrebarea precedentă:</w:t>
      </w:r>
    </w:p>
    <w:p w14:paraId="131B20B3" w14:textId="77777777" w:rsidR="00FE3332" w:rsidRPr="00F171A3" w:rsidRDefault="00FE3332" w:rsidP="00FE3332">
      <w:r w:rsidRPr="00F171A3">
        <w:t xml:space="preserve">În timp ce unii respondenți nu cunosc aspecte referitoare la implicarea ONG-urilor și a altor organizații sau grupuri civice în procesul de implementare a măsurilor care influențează dezvoltarea locală sectorului, alți respondenți consideră faptul că se caută implicarea acestora, iar alții faptul că colaborarea dintre cele două părți trebuie încurajată într-o mare măsură. </w:t>
      </w:r>
    </w:p>
    <w:p w14:paraId="64057CD2" w14:textId="77777777" w:rsidR="00D64CC5" w:rsidRPr="00F171A3" w:rsidRDefault="00D64CC5" w:rsidP="00FE3332">
      <w:pPr>
        <w:pStyle w:val="BoldCIVITTALightBlue"/>
        <w:rPr>
          <w:lang w:val="ro-RO"/>
        </w:rPr>
      </w:pPr>
    </w:p>
    <w:p w14:paraId="12C235A4" w14:textId="3C780931" w:rsidR="00FE3332" w:rsidRPr="00F171A3" w:rsidRDefault="00FE3332" w:rsidP="00FE3332">
      <w:pPr>
        <w:pStyle w:val="BoldCIVITTALightBlue"/>
        <w:rPr>
          <w:lang w:val="ro-RO"/>
        </w:rPr>
      </w:pPr>
      <w:r w:rsidRPr="00F171A3">
        <w:rPr>
          <w:lang w:val="ro-RO"/>
        </w:rPr>
        <w:t>16. Cât de satisfăcut/ă sunteți, în general, de colaborarea organizației pe care o reprezentați cu Primăria Sectorului 2?</w:t>
      </w:r>
    </w:p>
    <w:p w14:paraId="3F909A69" w14:textId="77777777" w:rsidR="00FE3332" w:rsidRPr="00F171A3" w:rsidRDefault="00FE3332" w:rsidP="00FE3332">
      <w:r w:rsidRPr="00F171A3">
        <w:t>16,7% dintre organizațiile reprezentate în cadrul sondajului nu au colaborat până acum cu Primăria Sectorului 2.  43,3% au colaborat și manifestă un nivel de satisfacție referitor la aceasta (satisfăcut – 23,3%  și foarte satisfăcut – 20,0%), iar alți 16,7% manifestă opusul, respectiv 6,7% nu sunt deloc satisfăcuți, iar 10,0% sunt nesatisfăcuți cu referire la colaborarea organizației reprezentate cu Primăria Sectorului 2.</w:t>
      </w:r>
    </w:p>
    <w:p w14:paraId="29809313"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03B2169E" wp14:editId="621A5C40">
            <wp:extent cx="5969479" cy="2562045"/>
            <wp:effectExtent l="0" t="0" r="0" b="0"/>
            <wp:docPr id="25727" name="Chart 257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14:paraId="28C177B0" w14:textId="77777777" w:rsidR="00D64CC5" w:rsidRPr="00F171A3" w:rsidRDefault="00D64CC5" w:rsidP="00FE3332">
      <w:pPr>
        <w:pStyle w:val="BoldCIVITTALightBlue"/>
        <w:rPr>
          <w:lang w:val="ro-RO"/>
        </w:rPr>
      </w:pPr>
    </w:p>
    <w:p w14:paraId="44970D14" w14:textId="4192688B" w:rsidR="00FE3332" w:rsidRPr="00F171A3" w:rsidRDefault="00FE3332" w:rsidP="00FE3332">
      <w:pPr>
        <w:pStyle w:val="BoldCIVITTALightBlue"/>
        <w:rPr>
          <w:lang w:val="ro-RO"/>
        </w:rPr>
      </w:pPr>
      <w:r w:rsidRPr="00F171A3">
        <w:rPr>
          <w:lang w:val="ro-RO"/>
        </w:rPr>
        <w:t>17. Ce măsuri credeți că ar trebui luate de către administrația Sectorului 2 pentru îmbunătățirea relației și pentru eficientizarea cooperării cu mediul ONG?</w:t>
      </w:r>
    </w:p>
    <w:p w14:paraId="71DD958C" w14:textId="77777777" w:rsidR="00FE3332" w:rsidRPr="00F171A3" w:rsidRDefault="00FE3332" w:rsidP="00FE3332">
      <w:r w:rsidRPr="00F171A3">
        <w:t xml:space="preserve">În opinia acestora, pentru îmbunătățirea relației și pentru eficientizarea cooperării cu mediul ONG, administrația Sectorului 2 ar trebui să ia în special următoarele măsuri: </w:t>
      </w:r>
    </w:p>
    <w:p w14:paraId="5CBF2188" w14:textId="77777777" w:rsidR="00FE3332" w:rsidRPr="00F171A3" w:rsidRDefault="00FE3332">
      <w:pPr>
        <w:pStyle w:val="Bullet"/>
        <w:numPr>
          <w:ilvl w:val="0"/>
          <w:numId w:val="38"/>
        </w:numPr>
      </w:pPr>
      <w:r w:rsidRPr="00F171A3">
        <w:t>Întâlniri periodice și consultări atât online, cât și față în față;</w:t>
      </w:r>
    </w:p>
    <w:p w14:paraId="2B763A0C" w14:textId="77777777" w:rsidR="00FE3332" w:rsidRPr="00F171A3" w:rsidRDefault="00FE3332">
      <w:pPr>
        <w:pStyle w:val="Bullet"/>
        <w:numPr>
          <w:ilvl w:val="0"/>
          <w:numId w:val="38"/>
        </w:numPr>
      </w:pPr>
      <w:r w:rsidRPr="00F171A3">
        <w:t>Transparența decizională;</w:t>
      </w:r>
    </w:p>
    <w:p w14:paraId="719D9774" w14:textId="77777777" w:rsidR="00FE3332" w:rsidRPr="00F171A3" w:rsidRDefault="00FE3332">
      <w:pPr>
        <w:pStyle w:val="Bullet"/>
        <w:numPr>
          <w:ilvl w:val="0"/>
          <w:numId w:val="38"/>
        </w:numPr>
      </w:pPr>
      <w:r w:rsidRPr="00F171A3">
        <w:t>Implicarea și aprofundarea colaborării în cadrul desfășurării activităților;</w:t>
      </w:r>
    </w:p>
    <w:p w14:paraId="45C826B7" w14:textId="77777777" w:rsidR="00FE3332" w:rsidRPr="00F171A3" w:rsidRDefault="00FE3332">
      <w:pPr>
        <w:pStyle w:val="Bullet"/>
        <w:numPr>
          <w:ilvl w:val="0"/>
          <w:numId w:val="38"/>
        </w:numPr>
      </w:pPr>
      <w:r w:rsidRPr="00F171A3">
        <w:t>Facilitarea accesului la politicile care ar putea ajuta ONG-urile în dezvoltare;</w:t>
      </w:r>
    </w:p>
    <w:p w14:paraId="2A8211C6" w14:textId="77777777" w:rsidR="00FE3332" w:rsidRPr="00F171A3" w:rsidRDefault="00FE3332">
      <w:pPr>
        <w:pStyle w:val="Bullet"/>
        <w:numPr>
          <w:ilvl w:val="0"/>
          <w:numId w:val="38"/>
        </w:numPr>
      </w:pPr>
      <w:r w:rsidRPr="00F171A3">
        <w:t>Identificarea aspectelor care ar putea fi dezvoltate la nivel de parteneriat.</w:t>
      </w:r>
    </w:p>
    <w:p w14:paraId="6335666D" w14:textId="77777777" w:rsidR="00D64CC5" w:rsidRPr="00F171A3" w:rsidRDefault="00D64CC5" w:rsidP="00FE3332">
      <w:pPr>
        <w:pStyle w:val="BoldCIVITTALightBlue"/>
        <w:rPr>
          <w:lang w:val="ro-RO"/>
        </w:rPr>
      </w:pPr>
    </w:p>
    <w:p w14:paraId="5AF0A3DB" w14:textId="21195097" w:rsidR="00FE3332" w:rsidRPr="00F171A3" w:rsidRDefault="00FE3332" w:rsidP="00FE3332">
      <w:pPr>
        <w:pStyle w:val="BoldCIVITTALightBlue"/>
        <w:rPr>
          <w:lang w:val="ro-RO"/>
        </w:rPr>
      </w:pPr>
      <w:r w:rsidRPr="00F171A3">
        <w:rPr>
          <w:lang w:val="ro-RO"/>
        </w:rPr>
        <w:t>18. Ce nevoi de sprijin ați avea din partea autorităților publice locale, pentru îmbunătățirea activității organizației dumneavoastră? Vă rugăm să menționați atât modalități de sprijin cât și exemple de proiecte:</w:t>
      </w:r>
    </w:p>
    <w:p w14:paraId="5CCAFAF9" w14:textId="77777777" w:rsidR="00FE3332" w:rsidRPr="00F171A3" w:rsidRDefault="00FE3332" w:rsidP="00FE3332">
      <w:r w:rsidRPr="00F171A3">
        <w:t>Pentru îmbunătățirea activității organizațiilor, ca nevoi de sprijin din partea autorităților publice locale, respondenții menționează următoarele modalități de sprijin sau proiecte:</w:t>
      </w:r>
    </w:p>
    <w:p w14:paraId="720B0A4E" w14:textId="77777777" w:rsidR="00FE3332" w:rsidRPr="00F171A3" w:rsidRDefault="00FE3332">
      <w:pPr>
        <w:pStyle w:val="Bullet"/>
        <w:numPr>
          <w:ilvl w:val="0"/>
          <w:numId w:val="38"/>
        </w:numPr>
      </w:pPr>
      <w:r w:rsidRPr="00F171A3">
        <w:t>Măsuri de creștere a vizibilității și notorietății organizațiilor;</w:t>
      </w:r>
    </w:p>
    <w:p w14:paraId="2C974919" w14:textId="77777777" w:rsidR="00FE3332" w:rsidRPr="00F171A3" w:rsidRDefault="00FE3332">
      <w:pPr>
        <w:pStyle w:val="Bullet"/>
        <w:numPr>
          <w:ilvl w:val="0"/>
          <w:numId w:val="38"/>
        </w:numPr>
      </w:pPr>
      <w:r w:rsidRPr="00F171A3">
        <w:t>Măsuri de sprijin financiar al cauzelor acestora, în beneficiul beneficiarilor;</w:t>
      </w:r>
    </w:p>
    <w:p w14:paraId="42DC1A2D" w14:textId="77777777" w:rsidR="00FE3332" w:rsidRPr="00F171A3" w:rsidRDefault="00FE3332">
      <w:pPr>
        <w:pStyle w:val="Bullet"/>
        <w:numPr>
          <w:ilvl w:val="0"/>
          <w:numId w:val="38"/>
        </w:numPr>
      </w:pPr>
      <w:r w:rsidRPr="00F171A3">
        <w:t>Crearea unor conexiuni între instituțiile și persoanele care au nevoie de sprijin și ONG-urile care ar putea oferi acest sprijin;</w:t>
      </w:r>
    </w:p>
    <w:p w14:paraId="10E4FEE0" w14:textId="77777777" w:rsidR="00FE3332" w:rsidRPr="00F171A3" w:rsidRDefault="00FE3332">
      <w:pPr>
        <w:pStyle w:val="Bullet"/>
        <w:numPr>
          <w:ilvl w:val="0"/>
          <w:numId w:val="38"/>
        </w:numPr>
      </w:pPr>
      <w:r w:rsidRPr="00F171A3">
        <w:t>Punerea la dispoziție a spațiilor pentru organizarea unor evenimente pentru comunitate și pentru grupurile țintă;</w:t>
      </w:r>
    </w:p>
    <w:p w14:paraId="3C1298A3" w14:textId="77777777" w:rsidR="00FE3332" w:rsidRPr="00F171A3" w:rsidRDefault="00FE3332">
      <w:pPr>
        <w:pStyle w:val="Bullet"/>
        <w:numPr>
          <w:ilvl w:val="0"/>
          <w:numId w:val="38"/>
        </w:numPr>
      </w:pPr>
      <w:r w:rsidRPr="00F171A3">
        <w:t>Măsuri de umplere a golurilor legislative;</w:t>
      </w:r>
    </w:p>
    <w:p w14:paraId="30768713" w14:textId="77777777" w:rsidR="00FE3332" w:rsidRPr="00F171A3" w:rsidRDefault="00FE3332">
      <w:pPr>
        <w:pStyle w:val="Bullet"/>
        <w:numPr>
          <w:ilvl w:val="0"/>
          <w:numId w:val="38"/>
        </w:numPr>
      </w:pPr>
      <w:r w:rsidRPr="00F171A3">
        <w:t>Demararea proiectelor de formare profesională;</w:t>
      </w:r>
    </w:p>
    <w:p w14:paraId="4E289FEB" w14:textId="77777777" w:rsidR="00FE3332" w:rsidRPr="00F171A3" w:rsidRDefault="00FE3332">
      <w:pPr>
        <w:pStyle w:val="Bullet"/>
        <w:numPr>
          <w:ilvl w:val="0"/>
          <w:numId w:val="38"/>
        </w:numPr>
      </w:pPr>
      <w:r w:rsidRPr="00F171A3">
        <w:t>Susținere administrativă;</w:t>
      </w:r>
    </w:p>
    <w:p w14:paraId="078BE72C" w14:textId="77777777" w:rsidR="00FE3332" w:rsidRPr="00F171A3" w:rsidRDefault="00FE3332">
      <w:pPr>
        <w:pStyle w:val="Bullet"/>
        <w:numPr>
          <w:ilvl w:val="0"/>
          <w:numId w:val="38"/>
        </w:numPr>
      </w:pPr>
      <w:r w:rsidRPr="00F171A3">
        <w:t>Implicarea societății civile în elaborarea politicilor publice;</w:t>
      </w:r>
    </w:p>
    <w:p w14:paraId="1D302C92" w14:textId="77777777" w:rsidR="00FE3332" w:rsidRPr="00F171A3" w:rsidRDefault="00FE3332">
      <w:pPr>
        <w:pStyle w:val="Bullet"/>
        <w:numPr>
          <w:ilvl w:val="0"/>
          <w:numId w:val="38"/>
        </w:numPr>
      </w:pPr>
      <w:r w:rsidRPr="00F171A3">
        <w:t>Facilități de ordin fiscal;</w:t>
      </w:r>
    </w:p>
    <w:p w14:paraId="5C2AAF9C" w14:textId="77777777" w:rsidR="00FE3332" w:rsidRPr="00F171A3" w:rsidRDefault="00FE3332">
      <w:pPr>
        <w:pStyle w:val="Bullet"/>
        <w:numPr>
          <w:ilvl w:val="0"/>
          <w:numId w:val="38"/>
        </w:numPr>
      </w:pPr>
      <w:r w:rsidRPr="00F171A3">
        <w:t>Prezența la activitățile organizate de către mediul ONG;</w:t>
      </w:r>
    </w:p>
    <w:p w14:paraId="6C9FD3F4" w14:textId="77777777" w:rsidR="00FE3332" w:rsidRPr="00F171A3" w:rsidRDefault="00FE3332">
      <w:pPr>
        <w:pStyle w:val="Bullet"/>
        <w:numPr>
          <w:ilvl w:val="0"/>
          <w:numId w:val="38"/>
        </w:numPr>
      </w:pPr>
      <w:r w:rsidRPr="00F171A3">
        <w:t>Implementarea de proiecte în parteneriat;</w:t>
      </w:r>
    </w:p>
    <w:p w14:paraId="4A932124" w14:textId="77777777" w:rsidR="00FE3332" w:rsidRPr="00F171A3" w:rsidRDefault="00FE3332">
      <w:pPr>
        <w:pStyle w:val="Bullet"/>
        <w:numPr>
          <w:ilvl w:val="0"/>
          <w:numId w:val="38"/>
        </w:numPr>
      </w:pPr>
      <w:r w:rsidRPr="00F171A3">
        <w:t>Suport în soluționarea cazurilor comune;</w:t>
      </w:r>
    </w:p>
    <w:p w14:paraId="096B3254" w14:textId="77777777" w:rsidR="00FE3332" w:rsidRPr="00F171A3" w:rsidRDefault="00FE3332">
      <w:pPr>
        <w:pStyle w:val="Bullet"/>
        <w:numPr>
          <w:ilvl w:val="0"/>
          <w:numId w:val="38"/>
        </w:numPr>
      </w:pPr>
      <w:r w:rsidRPr="00F171A3">
        <w:t>Digitalizarea proceselor de interacțiune primărie-cetățeni-companii-organizații.</w:t>
      </w:r>
    </w:p>
    <w:p w14:paraId="39F1A98D" w14:textId="77777777" w:rsidR="00D64CC5" w:rsidRPr="00F171A3" w:rsidRDefault="00D64CC5" w:rsidP="00FE3332">
      <w:pPr>
        <w:pStyle w:val="ActionTitle0"/>
      </w:pPr>
    </w:p>
    <w:p w14:paraId="70768898" w14:textId="12A75EEF" w:rsidR="00FE3332" w:rsidRPr="00F171A3" w:rsidRDefault="00FE3332" w:rsidP="00FE3332">
      <w:pPr>
        <w:pStyle w:val="ActionTitle0"/>
      </w:pPr>
      <w:r w:rsidRPr="00F171A3">
        <w:t>PERSPECTIVE DE DEZVOLTARE</w:t>
      </w:r>
    </w:p>
    <w:p w14:paraId="0E632562" w14:textId="77777777" w:rsidR="00FE3332" w:rsidRPr="00F171A3" w:rsidRDefault="00FE3332" w:rsidP="00FE3332">
      <w:pPr>
        <w:pStyle w:val="BoldCIVITTALightBlue"/>
        <w:rPr>
          <w:lang w:val="ro-RO"/>
        </w:rPr>
      </w:pPr>
      <w:r w:rsidRPr="00F171A3">
        <w:rPr>
          <w:lang w:val="ro-RO"/>
        </w:rPr>
        <w:t>19. Care considerați că sunt cele mai importante 3 probleme ale Sectorului 2, din perspectiva organizației pe care o reprezentați?</w:t>
      </w:r>
    </w:p>
    <w:p w14:paraId="0C9DE550" w14:textId="77777777" w:rsidR="00FE3332" w:rsidRPr="00F171A3" w:rsidRDefault="00FE3332" w:rsidP="00FE3332">
      <w:pPr>
        <w:rPr>
          <w:lang w:eastAsia="ja-JP"/>
        </w:rPr>
      </w:pPr>
      <w:r w:rsidRPr="00F171A3">
        <w:rPr>
          <w:lang w:eastAsia="ja-JP"/>
        </w:rPr>
        <w:t>Cele mai importante probleme ale Sectorului 2, din perspectiva organizațiilor respondente sunt în special următoarele:</w:t>
      </w:r>
    </w:p>
    <w:p w14:paraId="2072F732" w14:textId="77777777" w:rsidR="00FE3332" w:rsidRPr="00F171A3" w:rsidRDefault="00FE3332" w:rsidP="00FE3332">
      <w:pPr>
        <w:pStyle w:val="Bullet"/>
        <w:numPr>
          <w:ilvl w:val="0"/>
          <w:numId w:val="0"/>
        </w:numPr>
      </w:pPr>
    </w:p>
    <w:p w14:paraId="7581F76D" w14:textId="77777777" w:rsidR="00FE3332" w:rsidRPr="00F171A3" w:rsidRDefault="00FE3332" w:rsidP="00FE3332">
      <w:pPr>
        <w:pStyle w:val="Bullet"/>
        <w:numPr>
          <w:ilvl w:val="0"/>
          <w:numId w:val="0"/>
        </w:numPr>
      </w:pPr>
      <w:r w:rsidRPr="00F171A3">
        <w:rPr>
          <w:noProof/>
          <w:lang w:eastAsia="en-US"/>
        </w:rPr>
        <w:drawing>
          <wp:inline distT="0" distB="0" distL="0" distR="0" wp14:anchorId="2851ED93" wp14:editId="6A13F093">
            <wp:extent cx="5909094" cy="8695426"/>
            <wp:effectExtent l="0" t="0" r="0" b="10795"/>
            <wp:docPr id="153" name="Diagram 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8" r:lo="rId349" r:qs="rId350" r:cs="rId351"/>
              </a:graphicData>
            </a:graphic>
          </wp:inline>
        </w:drawing>
      </w:r>
    </w:p>
    <w:p w14:paraId="0100F96E" w14:textId="77777777" w:rsidR="00D64CC5" w:rsidRPr="00F171A3" w:rsidRDefault="00D64CC5" w:rsidP="00FE3332">
      <w:pPr>
        <w:pStyle w:val="BoldCIVITTALightBlue"/>
        <w:rPr>
          <w:lang w:val="ro-RO"/>
        </w:rPr>
      </w:pPr>
    </w:p>
    <w:p w14:paraId="15FE0EA1" w14:textId="07025EF1" w:rsidR="00FE3332" w:rsidRPr="00F171A3" w:rsidRDefault="00FE3332" w:rsidP="00FE3332">
      <w:pPr>
        <w:pStyle w:val="BoldCIVITTALightBlue"/>
        <w:rPr>
          <w:lang w:val="ro-RO"/>
        </w:rPr>
      </w:pPr>
      <w:r w:rsidRPr="00F171A3">
        <w:rPr>
          <w:lang w:val="ro-RO"/>
        </w:rPr>
        <w:t>20. Dar cele mai importante aspecte pozitive?</w:t>
      </w:r>
    </w:p>
    <w:p w14:paraId="4E83FE0B" w14:textId="77777777" w:rsidR="00FE3332" w:rsidRPr="00F171A3" w:rsidRDefault="00FE3332" w:rsidP="00FE3332">
      <w:pPr>
        <w:rPr>
          <w:lang w:eastAsia="ja-JP"/>
        </w:rPr>
      </w:pPr>
      <w:r w:rsidRPr="00F171A3">
        <w:rPr>
          <w:lang w:eastAsia="ja-JP"/>
        </w:rPr>
        <w:t>Cele mai importante aspecte pozitive ale Sectorului 2, din perspectiva organizațiilor respondente sunt în special următoarele:</w:t>
      </w:r>
    </w:p>
    <w:p w14:paraId="38B5D7BE" w14:textId="77777777" w:rsidR="00FE3332" w:rsidRPr="00F171A3" w:rsidRDefault="00FE3332" w:rsidP="00FE3332">
      <w:r w:rsidRPr="00F171A3">
        <w:rPr>
          <w:noProof/>
        </w:rPr>
        <w:drawing>
          <wp:inline distT="0" distB="0" distL="0" distR="0" wp14:anchorId="1A011EE2" wp14:editId="380A71A9">
            <wp:extent cx="5986732" cy="7944929"/>
            <wp:effectExtent l="0" t="0" r="14605" b="18415"/>
            <wp:docPr id="154" name="Diagram 1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3" r:lo="rId354" r:qs="rId355" r:cs="rId356"/>
              </a:graphicData>
            </a:graphic>
          </wp:inline>
        </w:drawing>
      </w:r>
    </w:p>
    <w:p w14:paraId="0FFCE8E0" w14:textId="77777777" w:rsidR="00D64CC5" w:rsidRPr="00F171A3" w:rsidRDefault="00D64CC5" w:rsidP="00FE3332">
      <w:pPr>
        <w:pStyle w:val="BoldCIVITTALightBlue"/>
        <w:rPr>
          <w:lang w:val="ro-RO"/>
        </w:rPr>
      </w:pPr>
    </w:p>
    <w:p w14:paraId="33227582" w14:textId="1D6D9514" w:rsidR="00FE3332" w:rsidRPr="00F171A3" w:rsidRDefault="00FE3332" w:rsidP="00FE3332">
      <w:pPr>
        <w:pStyle w:val="BoldCIVITTALightBlue"/>
        <w:rPr>
          <w:lang w:val="ro-RO"/>
        </w:rPr>
      </w:pPr>
      <w:r w:rsidRPr="00F171A3">
        <w:rPr>
          <w:lang w:val="ro-RO"/>
        </w:rPr>
        <w:t>21. Care sunt principalele direcții pe care Sectorul 2 ar trebui să mizeze în demersurile viitoare de dezvoltare, pentru a asigura o calitate mai bună a vieții pentru cetățeni?</w:t>
      </w:r>
    </w:p>
    <w:p w14:paraId="4C02BBC4" w14:textId="77777777" w:rsidR="00FE3332" w:rsidRPr="00F171A3" w:rsidRDefault="00FE3332" w:rsidP="00FE3332">
      <w:r w:rsidRPr="00F171A3">
        <w:t>Principalele direcții pe care Sectorul 2 ar trebui să mizeze în demersurile viitoare de dezvoltare, pentru a asigura o calitate mai bună a vieții pentru cetățeni sunt menționate de către respondenți după cum urmează:</w:t>
      </w:r>
    </w:p>
    <w:p w14:paraId="1FEA293E" w14:textId="77777777" w:rsidR="00FE3332" w:rsidRPr="00F171A3" w:rsidRDefault="00FE3332">
      <w:pPr>
        <w:pStyle w:val="Bullet"/>
        <w:numPr>
          <w:ilvl w:val="0"/>
          <w:numId w:val="38"/>
        </w:numPr>
      </w:pPr>
      <w:r w:rsidRPr="00F171A3">
        <w:t>Susținerea ONG-urilor;</w:t>
      </w:r>
    </w:p>
    <w:p w14:paraId="753CFD99" w14:textId="77777777" w:rsidR="00FE3332" w:rsidRPr="00F171A3" w:rsidRDefault="00FE3332">
      <w:pPr>
        <w:pStyle w:val="Bullet"/>
        <w:numPr>
          <w:ilvl w:val="0"/>
          <w:numId w:val="38"/>
        </w:numPr>
      </w:pPr>
      <w:r w:rsidRPr="00F171A3">
        <w:t>Coordonarea unor parteneriate între tineri, seniori și companii care au nevoie de valori umane;</w:t>
      </w:r>
    </w:p>
    <w:p w14:paraId="3FD9BAC3" w14:textId="77777777" w:rsidR="00FE3332" w:rsidRPr="00F171A3" w:rsidRDefault="00FE3332">
      <w:pPr>
        <w:pStyle w:val="Bullet"/>
        <w:numPr>
          <w:ilvl w:val="0"/>
          <w:numId w:val="38"/>
        </w:numPr>
      </w:pPr>
      <w:r w:rsidRPr="00F171A3">
        <w:t>Dezvoltarea continuă a serviciilor de sănătate, sociale, culturale și de învățământ;</w:t>
      </w:r>
    </w:p>
    <w:p w14:paraId="1EDE9F23" w14:textId="77777777" w:rsidR="00FE3332" w:rsidRPr="00F171A3" w:rsidRDefault="00FE3332">
      <w:pPr>
        <w:pStyle w:val="Bullet"/>
        <w:numPr>
          <w:ilvl w:val="0"/>
          <w:numId w:val="38"/>
        </w:numPr>
      </w:pPr>
      <w:r w:rsidRPr="00F171A3">
        <w:t>Dezvoltarea oportunităților de practicare a sporturilor;</w:t>
      </w:r>
    </w:p>
    <w:p w14:paraId="5D8BC274" w14:textId="77777777" w:rsidR="00FE3332" w:rsidRPr="00F171A3" w:rsidRDefault="00FE3332">
      <w:pPr>
        <w:pStyle w:val="Bullet"/>
        <w:numPr>
          <w:ilvl w:val="0"/>
          <w:numId w:val="38"/>
        </w:numPr>
      </w:pPr>
      <w:r w:rsidRPr="00F171A3">
        <w:t>Diversificarea competițiilor pentru copii, în natură, sportive;</w:t>
      </w:r>
    </w:p>
    <w:p w14:paraId="55AFB395" w14:textId="77777777" w:rsidR="00FE3332" w:rsidRPr="00F171A3" w:rsidRDefault="00FE3332">
      <w:pPr>
        <w:pStyle w:val="Bullet"/>
        <w:numPr>
          <w:ilvl w:val="0"/>
          <w:numId w:val="38"/>
        </w:numPr>
      </w:pPr>
      <w:r w:rsidRPr="00F171A3">
        <w:t>Aprofundarea mecanismelor de consultare a cetățenilor;</w:t>
      </w:r>
    </w:p>
    <w:p w14:paraId="508933FE" w14:textId="77777777" w:rsidR="00FE3332" w:rsidRPr="00F171A3" w:rsidRDefault="00FE3332">
      <w:pPr>
        <w:pStyle w:val="Bullet"/>
        <w:numPr>
          <w:ilvl w:val="0"/>
          <w:numId w:val="38"/>
        </w:numPr>
      </w:pPr>
      <w:r w:rsidRPr="00F171A3">
        <w:t>Dezvoltarea zonelor verzi;</w:t>
      </w:r>
    </w:p>
    <w:p w14:paraId="3A9C8173" w14:textId="77777777" w:rsidR="00FE3332" w:rsidRPr="00F171A3" w:rsidRDefault="00FE3332">
      <w:pPr>
        <w:pStyle w:val="Bullet"/>
        <w:numPr>
          <w:ilvl w:val="0"/>
          <w:numId w:val="38"/>
        </w:numPr>
      </w:pPr>
      <w:r w:rsidRPr="00F171A3">
        <w:t>Facilitarea accesului la spații culturale;</w:t>
      </w:r>
    </w:p>
    <w:p w14:paraId="211EDB04" w14:textId="77777777" w:rsidR="00FE3332" w:rsidRPr="00F171A3" w:rsidRDefault="00FE3332">
      <w:pPr>
        <w:pStyle w:val="Bullet"/>
        <w:numPr>
          <w:ilvl w:val="0"/>
          <w:numId w:val="38"/>
        </w:numPr>
      </w:pPr>
      <w:r w:rsidRPr="00F171A3">
        <w:t>Implicarea cetățenilor din medii defavorizate în diverse activități;</w:t>
      </w:r>
    </w:p>
    <w:p w14:paraId="37C4F1CF" w14:textId="77777777" w:rsidR="00FE3332" w:rsidRPr="00F171A3" w:rsidRDefault="00FE3332">
      <w:pPr>
        <w:pStyle w:val="Bullet"/>
        <w:numPr>
          <w:ilvl w:val="0"/>
          <w:numId w:val="38"/>
        </w:numPr>
      </w:pPr>
      <w:r w:rsidRPr="00F171A3">
        <w:t>Reducerea birocrației;</w:t>
      </w:r>
    </w:p>
    <w:p w14:paraId="197D655F" w14:textId="77777777" w:rsidR="00FE3332" w:rsidRPr="00F171A3" w:rsidRDefault="00FE3332">
      <w:pPr>
        <w:pStyle w:val="Bullet"/>
        <w:numPr>
          <w:ilvl w:val="0"/>
          <w:numId w:val="38"/>
        </w:numPr>
      </w:pPr>
      <w:r w:rsidRPr="00F171A3">
        <w:t>Dezvoltarea comunitară.</w:t>
      </w:r>
    </w:p>
    <w:p w14:paraId="37B5F45F" w14:textId="77777777" w:rsidR="00D64CC5" w:rsidRPr="00F171A3" w:rsidRDefault="00D64CC5" w:rsidP="00FE3332">
      <w:pPr>
        <w:pStyle w:val="BoldCIVITTALightBlue"/>
        <w:rPr>
          <w:lang w:val="ro-RO"/>
        </w:rPr>
      </w:pPr>
    </w:p>
    <w:p w14:paraId="7AA6B8D0" w14:textId="747E98B9" w:rsidR="00FE3332" w:rsidRPr="00F171A3" w:rsidRDefault="00FE3332" w:rsidP="00FE3332">
      <w:pPr>
        <w:pStyle w:val="BoldCIVITTALightBlue"/>
        <w:rPr>
          <w:lang w:val="ro-RO"/>
        </w:rPr>
      </w:pPr>
      <w:r w:rsidRPr="00F171A3">
        <w:rPr>
          <w:lang w:val="ro-RO"/>
        </w:rPr>
        <w:t>22. Care ar fi, din perspectiva dvs., cele mai importante 3 măsuri pe care administrația din Sectorul 2, București le-ar putea implementa pentru a face sectorul mai atractiv pentru cetățeni?</w:t>
      </w:r>
    </w:p>
    <w:p w14:paraId="690CF274" w14:textId="77777777" w:rsidR="00FE3332" w:rsidRPr="00F171A3" w:rsidRDefault="00FE3332" w:rsidP="00FE3332">
      <w:r w:rsidRPr="00F171A3">
        <w:t>Toate măsurile prezentate pe care administrația din Sectorul 2, București le-ar putea implementa pentru a face sectorul mai atractiv pentru cetățeni sunt considerate importante, din perspectiva anumitor respondenți. Totuși, măsurile considerate astfel de către cel mai ridicat număr de respondenți sunt investițiile în educație și formarea forței de muncă și investițiile în infrastructura de transport. Prin urmare, raportat la opțiunile respondenților, măsurile pentru crearea unui mediu mai atractiv pentru cetățeni, de la cele mai importante, la cele mai puțin importante sunt ierarhizate după cum urmează :</w:t>
      </w:r>
    </w:p>
    <w:p w14:paraId="30BE45C0" w14:textId="77777777" w:rsidR="00FE3332" w:rsidRPr="00F171A3" w:rsidRDefault="00FE3332">
      <w:pPr>
        <w:pStyle w:val="Bullet"/>
        <w:numPr>
          <w:ilvl w:val="0"/>
          <w:numId w:val="94"/>
        </w:numPr>
      </w:pPr>
      <w:r w:rsidRPr="00F171A3">
        <w:t>Investiții în educație și formarea forței de muncă (20,6% dintre respondenți);</w:t>
      </w:r>
    </w:p>
    <w:p w14:paraId="0E86A906" w14:textId="77777777" w:rsidR="00FE3332" w:rsidRPr="00F171A3" w:rsidRDefault="00FE3332">
      <w:pPr>
        <w:pStyle w:val="Bullet"/>
        <w:numPr>
          <w:ilvl w:val="0"/>
          <w:numId w:val="94"/>
        </w:numPr>
      </w:pPr>
      <w:r w:rsidRPr="00F171A3">
        <w:t>Investiții în infrastructura de transport (16,7% dintre respondenți);</w:t>
      </w:r>
    </w:p>
    <w:p w14:paraId="5F0F0F96" w14:textId="5E8FF97F" w:rsidR="00FE3332" w:rsidRPr="00F171A3" w:rsidRDefault="00FE3332">
      <w:pPr>
        <w:pStyle w:val="Bullet"/>
        <w:numPr>
          <w:ilvl w:val="0"/>
          <w:numId w:val="94"/>
        </w:numPr>
      </w:pPr>
      <w:r w:rsidRPr="00F171A3">
        <w:t>Dezvoltarea serviciilor de sănătate și servicii sociale (16,7% dintre respondenți);</w:t>
      </w:r>
    </w:p>
    <w:p w14:paraId="5FD5E779" w14:textId="77777777" w:rsidR="00FE3332" w:rsidRPr="00F171A3" w:rsidRDefault="00FE3332">
      <w:pPr>
        <w:pStyle w:val="Bullet"/>
        <w:numPr>
          <w:ilvl w:val="0"/>
          <w:numId w:val="94"/>
        </w:numPr>
      </w:pPr>
      <w:r w:rsidRPr="00F171A3">
        <w:t>Creșterea numărului de parcuri și spații verzi (15,7% dintre respondenți);</w:t>
      </w:r>
    </w:p>
    <w:p w14:paraId="2C1E0212" w14:textId="77777777" w:rsidR="00FE3332" w:rsidRPr="00F171A3" w:rsidRDefault="00FE3332">
      <w:pPr>
        <w:pStyle w:val="Bullet"/>
        <w:numPr>
          <w:ilvl w:val="0"/>
          <w:numId w:val="94"/>
        </w:numPr>
      </w:pPr>
      <w:r w:rsidRPr="00F171A3">
        <w:t>Creșterea calității mediului înconjurător (12,7% dintre respondenți);</w:t>
      </w:r>
    </w:p>
    <w:p w14:paraId="164242B6" w14:textId="77777777" w:rsidR="00FE3332" w:rsidRPr="00F171A3" w:rsidRDefault="00FE3332">
      <w:pPr>
        <w:pStyle w:val="Bullet"/>
        <w:numPr>
          <w:ilvl w:val="0"/>
          <w:numId w:val="94"/>
        </w:numPr>
      </w:pPr>
      <w:r w:rsidRPr="00F171A3">
        <w:t>Dezvoltarea infrastructurii de mobilitate a pietonilor (8,8% dintre respondenți);</w:t>
      </w:r>
    </w:p>
    <w:p w14:paraId="0705EF40" w14:textId="152243CE" w:rsidR="00FE3332" w:rsidRPr="00F171A3" w:rsidRDefault="00FE3332">
      <w:pPr>
        <w:pStyle w:val="Bullet"/>
        <w:numPr>
          <w:ilvl w:val="0"/>
          <w:numId w:val="94"/>
        </w:numPr>
      </w:pPr>
      <w:r w:rsidRPr="00F171A3">
        <w:t>Îmbunătățirea condițiilor de locuire</w:t>
      </w:r>
      <w:r w:rsidR="00D64CC5" w:rsidRPr="00F171A3">
        <w:t xml:space="preserve"> </w:t>
      </w:r>
      <w:r w:rsidRPr="00F171A3">
        <w:t>(4,9% dintre respondenți);</w:t>
      </w:r>
    </w:p>
    <w:p w14:paraId="09B82765" w14:textId="77777777" w:rsidR="00FE3332" w:rsidRPr="00F171A3" w:rsidRDefault="00FE3332">
      <w:pPr>
        <w:pStyle w:val="Bullet"/>
        <w:numPr>
          <w:ilvl w:val="0"/>
          <w:numId w:val="94"/>
        </w:numPr>
      </w:pPr>
      <w:r w:rsidRPr="00F171A3">
        <w:t>Altele:</w:t>
      </w:r>
      <w:r w:rsidRPr="00F171A3">
        <w:tab/>
        <w:t>(3,9% dintre respondenți).</w:t>
      </w:r>
    </w:p>
    <w:p w14:paraId="78CC098E"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03B724A9" wp14:editId="240606B7">
            <wp:extent cx="5926347" cy="3122762"/>
            <wp:effectExtent l="0" t="0" r="0" b="1905"/>
            <wp:docPr id="155" name="Chart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14:paraId="022C2513" w14:textId="77777777" w:rsidR="00D64CC5" w:rsidRPr="00F171A3" w:rsidRDefault="00D64CC5" w:rsidP="00FE3332">
      <w:pPr>
        <w:pStyle w:val="BoldCIVITTALightBlue"/>
        <w:rPr>
          <w:lang w:val="ro-RO"/>
        </w:rPr>
      </w:pPr>
    </w:p>
    <w:p w14:paraId="469791CF" w14:textId="546357CD" w:rsidR="00FE3332" w:rsidRPr="00F171A3" w:rsidRDefault="00FE3332" w:rsidP="00FE3332">
      <w:pPr>
        <w:pStyle w:val="BoldCIVITTALightBlue"/>
        <w:rPr>
          <w:lang w:val="ro-RO"/>
        </w:rPr>
      </w:pPr>
      <w:r w:rsidRPr="00F171A3">
        <w:rPr>
          <w:lang w:val="ro-RO"/>
        </w:rPr>
        <w:t>23. Cunoașteți exemple de bune practici în dezvoltarea locală care considerați ca ar putea fi aplicate în Sectorul 2? Va rugam sa menționați exemple de proiecte:</w:t>
      </w:r>
    </w:p>
    <w:p w14:paraId="3FC18A8A" w14:textId="77777777" w:rsidR="00FE3332" w:rsidRPr="00F171A3" w:rsidRDefault="00FE3332" w:rsidP="00FE3332">
      <w:r w:rsidRPr="00F171A3">
        <w:t>Sunt menționate următoarele aspecte referitor la modele de bune practici în dezvoltare locală care ar putea fi aplicate și în Sectorul 2:</w:t>
      </w:r>
    </w:p>
    <w:p w14:paraId="7EECAFE3" w14:textId="77777777" w:rsidR="00FE3332" w:rsidRPr="00F171A3" w:rsidRDefault="00FE3332">
      <w:pPr>
        <w:pStyle w:val="Bullet"/>
        <w:numPr>
          <w:ilvl w:val="0"/>
          <w:numId w:val="38"/>
        </w:numPr>
      </w:pPr>
      <w:r w:rsidRPr="00F171A3">
        <w:t>Activitatea Asociației Tineri de Succes;</w:t>
      </w:r>
    </w:p>
    <w:p w14:paraId="59249CE9" w14:textId="77777777" w:rsidR="00FE3332" w:rsidRPr="00F171A3" w:rsidRDefault="00FE3332">
      <w:pPr>
        <w:pStyle w:val="Bullet"/>
        <w:numPr>
          <w:ilvl w:val="0"/>
          <w:numId w:val="38"/>
        </w:numPr>
      </w:pPr>
      <w:r w:rsidRPr="00F171A3">
        <w:t>Activitatea Centrului de Îngrijiri Paliative Sfântul Nectarie;</w:t>
      </w:r>
    </w:p>
    <w:p w14:paraId="6CA483D0" w14:textId="77777777" w:rsidR="00FE3332" w:rsidRPr="00F171A3" w:rsidRDefault="00FE3332">
      <w:pPr>
        <w:pStyle w:val="Bullet"/>
        <w:numPr>
          <w:ilvl w:val="0"/>
          <w:numId w:val="38"/>
        </w:numPr>
      </w:pPr>
      <w:r w:rsidRPr="00F171A3">
        <w:t>Modelul de dezvoltare al comunei Ciugud;</w:t>
      </w:r>
    </w:p>
    <w:p w14:paraId="7E61B559" w14:textId="77777777" w:rsidR="00FE3332" w:rsidRPr="00F171A3" w:rsidRDefault="00FE3332">
      <w:pPr>
        <w:pStyle w:val="Bullet"/>
        <w:numPr>
          <w:ilvl w:val="0"/>
          <w:numId w:val="38"/>
        </w:numPr>
      </w:pPr>
      <w:r w:rsidRPr="00F171A3">
        <w:t>Activitatea Primăriei orașului Moinești;</w:t>
      </w:r>
    </w:p>
    <w:p w14:paraId="05772207" w14:textId="77777777" w:rsidR="00FE3332" w:rsidRPr="00F171A3" w:rsidRDefault="00FE3332">
      <w:pPr>
        <w:pStyle w:val="Bullet"/>
        <w:numPr>
          <w:ilvl w:val="0"/>
          <w:numId w:val="38"/>
        </w:numPr>
      </w:pPr>
      <w:r w:rsidRPr="00F171A3">
        <w:t>Strategia energetică a Sectorului 3.</w:t>
      </w:r>
    </w:p>
    <w:p w14:paraId="46612269" w14:textId="77777777" w:rsidR="00FE3332" w:rsidRPr="00F171A3" w:rsidRDefault="00FE3332" w:rsidP="00FE3332">
      <w:pPr>
        <w:pStyle w:val="BoldCIVITTALightBlue"/>
        <w:rPr>
          <w:lang w:val="ro-RO"/>
        </w:rPr>
      </w:pPr>
    </w:p>
    <w:p w14:paraId="1771F502" w14:textId="77777777" w:rsidR="00FE3332" w:rsidRPr="00F171A3" w:rsidRDefault="00FE3332" w:rsidP="00FE3332">
      <w:pPr>
        <w:pStyle w:val="BoldCIVITTALightBlue"/>
        <w:rPr>
          <w:lang w:val="ro-RO"/>
        </w:rPr>
      </w:pPr>
      <w:r w:rsidRPr="00F171A3">
        <w:rPr>
          <w:lang w:val="ro-RO"/>
        </w:rPr>
        <w:t>24. Organizația dumneavoastră ar fi interesată să se implice în activități de consultare/dezbateri cu reprezentanți ai autorităților publice locale?</w:t>
      </w:r>
    </w:p>
    <w:p w14:paraId="09D0FF8F" w14:textId="77777777" w:rsidR="00FE3332" w:rsidRPr="00F171A3" w:rsidRDefault="00FE3332" w:rsidP="00FE3332">
      <w:r w:rsidRPr="00F171A3">
        <w:t>Interesul în ceea ce privește implicarea în activități de consultare sau dezbateri cu reprezentanți ai autorităților publice este exprimat în proporție de 86,2%.</w:t>
      </w:r>
    </w:p>
    <w:p w14:paraId="31E8BC69"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163C717A" wp14:editId="27DA0461">
            <wp:extent cx="5865962" cy="2441276"/>
            <wp:effectExtent l="0" t="0" r="1905" b="0"/>
            <wp:docPr id="156" name="Chart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14:paraId="4890C91B" w14:textId="77777777" w:rsidR="00FE3332" w:rsidRPr="00F171A3" w:rsidRDefault="00FE3332" w:rsidP="00FE3332">
      <w:pPr>
        <w:pStyle w:val="BoldCIVITTALightBlue"/>
        <w:rPr>
          <w:lang w:val="ro-RO"/>
        </w:rPr>
      </w:pPr>
    </w:p>
    <w:p w14:paraId="2466B0B8" w14:textId="77777777" w:rsidR="00D64CC5" w:rsidRPr="00F171A3" w:rsidRDefault="00D64CC5" w:rsidP="00FE3332">
      <w:pPr>
        <w:pStyle w:val="BoldCIVITTALightBlue"/>
        <w:rPr>
          <w:lang w:val="ro-RO"/>
        </w:rPr>
      </w:pPr>
    </w:p>
    <w:p w14:paraId="757FFD27" w14:textId="7296F5F5" w:rsidR="00FE3332" w:rsidRPr="00F171A3" w:rsidRDefault="00FE3332" w:rsidP="00FE3332">
      <w:pPr>
        <w:pStyle w:val="BoldCIVITTALightBlue"/>
        <w:rPr>
          <w:lang w:val="ro-RO"/>
        </w:rPr>
      </w:pPr>
      <w:r w:rsidRPr="00F171A3">
        <w:rPr>
          <w:lang w:val="ro-RO"/>
        </w:rPr>
        <w:t>25. Organizația dumneavoastră ar fi interesată să se implice în activități sau proiecte necesare pentru dezvoltarea locală a sectorului?</w:t>
      </w:r>
    </w:p>
    <w:p w14:paraId="4A1FB408" w14:textId="77777777" w:rsidR="00FE3332" w:rsidRPr="00F171A3" w:rsidRDefault="00FE3332" w:rsidP="00FE3332">
      <w:r w:rsidRPr="00F171A3">
        <w:t>Interesul raportat la implicarea în activități sau proiecte necesare pentru dezvoltarea sectorului este manifestat în proporție de 86,2%.</w:t>
      </w:r>
    </w:p>
    <w:p w14:paraId="3D4A8247" w14:textId="77777777" w:rsidR="00FE3332" w:rsidRPr="00F171A3" w:rsidRDefault="00FE3332" w:rsidP="00FE3332">
      <w:pPr>
        <w:pStyle w:val="BoldCIVITTALightBlue"/>
        <w:rPr>
          <w:lang w:val="ro-RO"/>
        </w:rPr>
      </w:pPr>
      <w:r w:rsidRPr="00F171A3">
        <w:rPr>
          <w:noProof/>
          <w:lang w:val="ro-RO" w:eastAsia="en-US"/>
        </w:rPr>
        <w:drawing>
          <wp:inline distT="0" distB="0" distL="0" distR="0" wp14:anchorId="71E6B369" wp14:editId="3A7DA97F">
            <wp:extent cx="5865962" cy="2458528"/>
            <wp:effectExtent l="0" t="0" r="1905" b="0"/>
            <wp:docPr id="157" name="Chart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14:paraId="6E74C2CB" w14:textId="77777777" w:rsidR="00FE3332" w:rsidRPr="00F171A3" w:rsidRDefault="00FE3332" w:rsidP="00FE3332">
      <w:pPr>
        <w:pStyle w:val="BoldCIVITTALightBlue"/>
        <w:rPr>
          <w:lang w:val="ro-RO"/>
        </w:rPr>
      </w:pPr>
      <w:r w:rsidRPr="00F171A3">
        <w:rPr>
          <w:lang w:val="ro-RO"/>
        </w:rPr>
        <w:t>26. Dacă ați răspuns ”Da” la întrebarea anterioară, vă rugam să precizați exemple de activități sau proiecte în care doriți să vă implicați:</w:t>
      </w:r>
    </w:p>
    <w:p w14:paraId="1061E042" w14:textId="77777777" w:rsidR="00FE3332" w:rsidRPr="00F171A3" w:rsidRDefault="00FE3332" w:rsidP="00FE3332">
      <w:r w:rsidRPr="00F171A3">
        <w:t>Respondenții, reprezentanții mediului ONG din Sectorul 2 confirmă interesul privind implicarea în activități și proiecte pentru dezvoltarea locală, iar exemple de astfel de activități și proiecte în care aceștia ar dori să se implice sunt următoarele:</w:t>
      </w:r>
    </w:p>
    <w:p w14:paraId="15E4F6DB" w14:textId="77777777" w:rsidR="00FE3332" w:rsidRPr="00F171A3" w:rsidRDefault="00FE3332">
      <w:pPr>
        <w:pStyle w:val="Bullet"/>
        <w:numPr>
          <w:ilvl w:val="0"/>
          <w:numId w:val="38"/>
        </w:numPr>
      </w:pPr>
      <w:r w:rsidRPr="00F171A3">
        <w:t>Evenimente publice;</w:t>
      </w:r>
    </w:p>
    <w:p w14:paraId="0BDEEFDA" w14:textId="77777777" w:rsidR="00FE3332" w:rsidRPr="00F171A3" w:rsidRDefault="00FE3332">
      <w:pPr>
        <w:pStyle w:val="Bullet"/>
        <w:numPr>
          <w:ilvl w:val="0"/>
          <w:numId w:val="38"/>
        </w:numPr>
      </w:pPr>
      <w:r w:rsidRPr="00F171A3">
        <w:t>Activități sau proiecte de educare continuă pentru cadrele medicale;</w:t>
      </w:r>
    </w:p>
    <w:p w14:paraId="02A42BD5" w14:textId="77777777" w:rsidR="00FE3332" w:rsidRPr="00F171A3" w:rsidRDefault="00FE3332">
      <w:pPr>
        <w:pStyle w:val="Bullet"/>
        <w:numPr>
          <w:ilvl w:val="0"/>
          <w:numId w:val="38"/>
        </w:numPr>
      </w:pPr>
      <w:r w:rsidRPr="00F171A3">
        <w:t>Activități sau proiecte de orientare profesională, de formare de competențe necesare pe piața muncii, parteneriate dintre companii și instituții educaționale, activități de acreditare, traininguri, educație antreprenorială, educație privind mediul digital;</w:t>
      </w:r>
    </w:p>
    <w:p w14:paraId="6F322F3E" w14:textId="77777777" w:rsidR="00FE3332" w:rsidRPr="00F171A3" w:rsidRDefault="00FE3332">
      <w:pPr>
        <w:pStyle w:val="Bullet"/>
        <w:numPr>
          <w:ilvl w:val="0"/>
          <w:numId w:val="38"/>
        </w:numPr>
      </w:pPr>
      <w:r w:rsidRPr="00F171A3">
        <w:t>Activități sau proiecte pentru copii și seniori;</w:t>
      </w:r>
    </w:p>
    <w:p w14:paraId="734B4573" w14:textId="77777777" w:rsidR="00FE3332" w:rsidRPr="00F171A3" w:rsidRDefault="00FE3332">
      <w:pPr>
        <w:pStyle w:val="Bullet"/>
        <w:numPr>
          <w:ilvl w:val="0"/>
          <w:numId w:val="38"/>
        </w:numPr>
      </w:pPr>
      <w:r w:rsidRPr="00F171A3">
        <w:t>Activități sau proiecte de sănătate și sociale;</w:t>
      </w:r>
    </w:p>
    <w:p w14:paraId="29B43B26" w14:textId="77777777" w:rsidR="00FE3332" w:rsidRPr="00F171A3" w:rsidRDefault="00FE3332">
      <w:pPr>
        <w:pStyle w:val="Bullet"/>
        <w:numPr>
          <w:ilvl w:val="0"/>
          <w:numId w:val="38"/>
        </w:numPr>
      </w:pPr>
      <w:r w:rsidRPr="00F171A3">
        <w:t>Activități sau proiecte în domenii extracurriculare;</w:t>
      </w:r>
    </w:p>
    <w:p w14:paraId="024DE9B7" w14:textId="77777777" w:rsidR="00FE3332" w:rsidRPr="00F171A3" w:rsidRDefault="00FE3332">
      <w:pPr>
        <w:pStyle w:val="Bullet"/>
        <w:numPr>
          <w:ilvl w:val="0"/>
          <w:numId w:val="38"/>
        </w:numPr>
      </w:pPr>
      <w:r w:rsidRPr="00F171A3">
        <w:t>Activități sau proiecte de creștere a randamentului școlar prin metode nonformale;</w:t>
      </w:r>
    </w:p>
    <w:p w14:paraId="020BBAD8" w14:textId="77777777" w:rsidR="00FE3332" w:rsidRPr="00F171A3" w:rsidRDefault="00FE3332">
      <w:pPr>
        <w:pStyle w:val="Bullet"/>
        <w:numPr>
          <w:ilvl w:val="0"/>
          <w:numId w:val="38"/>
        </w:numPr>
      </w:pPr>
      <w:r w:rsidRPr="00F171A3">
        <w:t>Activități sau proiecte culturale, activități sau proiecte open-air, de educație culturală în școli și licee;</w:t>
      </w:r>
    </w:p>
    <w:p w14:paraId="170BAE24" w14:textId="77777777" w:rsidR="00FE3332" w:rsidRPr="00F171A3" w:rsidRDefault="00FE3332">
      <w:pPr>
        <w:pStyle w:val="Bullet"/>
        <w:numPr>
          <w:ilvl w:val="0"/>
          <w:numId w:val="38"/>
        </w:numPr>
      </w:pPr>
      <w:r w:rsidRPr="00F171A3">
        <w:t>Evenimente de implicare a scriitorilor;</w:t>
      </w:r>
    </w:p>
    <w:p w14:paraId="362451FF" w14:textId="77777777" w:rsidR="00FE3332" w:rsidRPr="00F171A3" w:rsidRDefault="00FE3332">
      <w:pPr>
        <w:pStyle w:val="Bullet"/>
        <w:numPr>
          <w:ilvl w:val="0"/>
          <w:numId w:val="38"/>
        </w:numPr>
      </w:pPr>
      <w:r w:rsidRPr="00F171A3">
        <w:t>Activități sau proiecte de organizare a bibliotecilor mobile în parcuri;</w:t>
      </w:r>
    </w:p>
    <w:p w14:paraId="2A6A7B53" w14:textId="77777777" w:rsidR="00FE3332" w:rsidRPr="00F171A3" w:rsidRDefault="00FE3332">
      <w:pPr>
        <w:pStyle w:val="Bullet"/>
        <w:numPr>
          <w:ilvl w:val="0"/>
          <w:numId w:val="38"/>
        </w:numPr>
      </w:pPr>
      <w:r w:rsidRPr="00F171A3">
        <w:t>Activități sau proiecte de dezvoltare a sportului și a activităților și competițiilor sportive;</w:t>
      </w:r>
    </w:p>
    <w:p w14:paraId="5209DEB1" w14:textId="77777777" w:rsidR="00FE3332" w:rsidRPr="00F171A3" w:rsidRDefault="00FE3332">
      <w:pPr>
        <w:pStyle w:val="Bullet"/>
        <w:numPr>
          <w:ilvl w:val="0"/>
          <w:numId w:val="38"/>
        </w:numPr>
      </w:pPr>
      <w:r w:rsidRPr="00F171A3">
        <w:t>Activități sau proiecte de educare și susținere a copiilor defavorizați;</w:t>
      </w:r>
    </w:p>
    <w:p w14:paraId="5FB10756" w14:textId="77777777" w:rsidR="00FE3332" w:rsidRPr="00F171A3" w:rsidRDefault="00FE3332">
      <w:pPr>
        <w:pStyle w:val="Bullet"/>
        <w:numPr>
          <w:ilvl w:val="0"/>
          <w:numId w:val="38"/>
        </w:numPr>
      </w:pPr>
      <w:r w:rsidRPr="00F171A3">
        <w:t>Activități sau proiecte privind prevenirea și combaterea violenței domestice;</w:t>
      </w:r>
    </w:p>
    <w:p w14:paraId="257362AF" w14:textId="77777777" w:rsidR="00FE3332" w:rsidRPr="00F171A3" w:rsidRDefault="00FE3332">
      <w:pPr>
        <w:pStyle w:val="Bullet"/>
        <w:numPr>
          <w:ilvl w:val="0"/>
          <w:numId w:val="38"/>
        </w:numPr>
      </w:pPr>
      <w:r w:rsidRPr="00F171A3">
        <w:t>Activități sau proiecte de artă;</w:t>
      </w:r>
    </w:p>
    <w:p w14:paraId="569D9164" w14:textId="77777777" w:rsidR="00FE3332" w:rsidRPr="00F171A3" w:rsidRDefault="00FE3332">
      <w:pPr>
        <w:pStyle w:val="Bullet"/>
        <w:numPr>
          <w:ilvl w:val="0"/>
          <w:numId w:val="38"/>
        </w:numPr>
      </w:pPr>
      <w:r w:rsidRPr="00F171A3">
        <w:t>Activități sau proiecte privind strategia energetică;</w:t>
      </w:r>
    </w:p>
    <w:p w14:paraId="75DF7D8B" w14:textId="77777777" w:rsidR="00FE3332" w:rsidRPr="00F171A3" w:rsidRDefault="00FE3332">
      <w:pPr>
        <w:pStyle w:val="Bullet"/>
        <w:numPr>
          <w:ilvl w:val="0"/>
          <w:numId w:val="38"/>
        </w:numPr>
      </w:pPr>
      <w:r w:rsidRPr="00F171A3">
        <w:t>Activități sau proiecte în privința animalelor de companie;</w:t>
      </w:r>
    </w:p>
    <w:p w14:paraId="19E043FF" w14:textId="231E1252" w:rsidR="00FE3332" w:rsidRPr="00F171A3" w:rsidRDefault="00FE3332">
      <w:pPr>
        <w:pStyle w:val="Bullet"/>
        <w:numPr>
          <w:ilvl w:val="0"/>
          <w:numId w:val="38"/>
        </w:numPr>
      </w:pPr>
      <w:r w:rsidRPr="00F171A3">
        <w:t>Activități sau proiecte de protecție a mediului</w:t>
      </w:r>
      <w:r w:rsidR="00D64CC5" w:rsidRPr="00F171A3">
        <w:t>.</w:t>
      </w:r>
    </w:p>
    <w:p w14:paraId="28F66AB8" w14:textId="77777777" w:rsidR="00D64CC5" w:rsidRPr="00F171A3" w:rsidRDefault="00D64CC5" w:rsidP="00FE3332">
      <w:pPr>
        <w:pStyle w:val="BoldCIVITTALightBlue"/>
        <w:rPr>
          <w:lang w:val="ro-RO"/>
        </w:rPr>
      </w:pPr>
    </w:p>
    <w:p w14:paraId="5D964240" w14:textId="77777777" w:rsidR="00D64CC5" w:rsidRPr="00F171A3" w:rsidRDefault="00D64CC5" w:rsidP="00FE3332">
      <w:pPr>
        <w:pStyle w:val="BoldCIVITTALightBlue"/>
        <w:rPr>
          <w:lang w:val="ro-RO"/>
        </w:rPr>
      </w:pPr>
    </w:p>
    <w:p w14:paraId="7300F15D" w14:textId="77777777" w:rsidR="00D64CC5" w:rsidRPr="00F171A3" w:rsidRDefault="00D64CC5" w:rsidP="00FE3332">
      <w:pPr>
        <w:pStyle w:val="BoldCIVITTALightBlue"/>
        <w:rPr>
          <w:lang w:val="ro-RO"/>
        </w:rPr>
      </w:pPr>
    </w:p>
    <w:p w14:paraId="4B9D42E9" w14:textId="687887DC" w:rsidR="00FE3332" w:rsidRPr="00F171A3" w:rsidRDefault="00FE3332" w:rsidP="00FE3332">
      <w:pPr>
        <w:pStyle w:val="BoldCIVITTALightBlue"/>
        <w:rPr>
          <w:lang w:val="ro-RO"/>
        </w:rPr>
      </w:pPr>
      <w:r w:rsidRPr="00F171A3">
        <w:rPr>
          <w:lang w:val="ro-RO"/>
        </w:rPr>
        <w:t>27. Vă rugăm să menționați orice alte aspecte pe care le considerați relevante pentru Strategia de Dezvoltare Locală Integrată și Durabilă a Sectorului 2, București:</w:t>
      </w:r>
    </w:p>
    <w:p w14:paraId="6B1CC41A" w14:textId="77777777" w:rsidR="00FE3332" w:rsidRPr="00F171A3" w:rsidRDefault="00FE3332" w:rsidP="00FE3332">
      <w:r w:rsidRPr="00F171A3">
        <w:t>Respondenții mai consideră relevante pentru Strategia de Dezvoltare Locală Integrată și Durabilă a Sectorului 2, București aspecte precum:</w:t>
      </w:r>
    </w:p>
    <w:p w14:paraId="499C0305" w14:textId="77777777" w:rsidR="00FE3332" w:rsidRPr="00F171A3" w:rsidRDefault="00FE3332">
      <w:pPr>
        <w:pStyle w:val="Bullet"/>
        <w:numPr>
          <w:ilvl w:val="0"/>
          <w:numId w:val="38"/>
        </w:numPr>
      </w:pPr>
      <w:r w:rsidRPr="00F171A3">
        <w:t>Dezvoltarea infrastructurii de transport prin piste pentru biciclete și trotinete;</w:t>
      </w:r>
    </w:p>
    <w:p w14:paraId="012CAE1D" w14:textId="77777777" w:rsidR="00FE3332" w:rsidRPr="00F171A3" w:rsidRDefault="00FE3332">
      <w:pPr>
        <w:pStyle w:val="Bullet"/>
        <w:numPr>
          <w:ilvl w:val="0"/>
          <w:numId w:val="38"/>
        </w:numPr>
      </w:pPr>
      <w:r w:rsidRPr="00F171A3">
        <w:t>Sporirea nivelului de comunicare și relaționare între tineri, părinți, instituții de învățământ și companii;</w:t>
      </w:r>
    </w:p>
    <w:p w14:paraId="2A20331A" w14:textId="77777777" w:rsidR="00FE3332" w:rsidRPr="00F171A3" w:rsidRDefault="00FE3332">
      <w:pPr>
        <w:pStyle w:val="Bullet"/>
        <w:numPr>
          <w:ilvl w:val="0"/>
          <w:numId w:val="38"/>
        </w:numPr>
      </w:pPr>
      <w:r w:rsidRPr="00F171A3">
        <w:t>Implicarea cetățenilor în diverse programe;</w:t>
      </w:r>
    </w:p>
    <w:p w14:paraId="30553880" w14:textId="77777777" w:rsidR="00FE3332" w:rsidRPr="00F171A3" w:rsidRDefault="00FE3332">
      <w:pPr>
        <w:pStyle w:val="Bullet"/>
        <w:numPr>
          <w:ilvl w:val="0"/>
          <w:numId w:val="38"/>
        </w:numPr>
      </w:pPr>
      <w:r w:rsidRPr="00F171A3">
        <w:t>Fundamentarea strategiei prin analiza nevoilor cetățenilor în strânsă coordonare cu recomandările la nivel național și internațional, aplicabile în domeniu.</w:t>
      </w:r>
    </w:p>
    <w:p w14:paraId="6474456F" w14:textId="77777777" w:rsidR="00FE3332" w:rsidRPr="00F171A3" w:rsidRDefault="00FE3332" w:rsidP="00FE3332"/>
    <w:p w14:paraId="0C27206A" w14:textId="54134857" w:rsidR="00FE3332" w:rsidRPr="00F171A3" w:rsidRDefault="00FE3332" w:rsidP="00FE3332"/>
    <w:p w14:paraId="442C52F2" w14:textId="77777777" w:rsidR="00FE3332" w:rsidRPr="00F171A3" w:rsidRDefault="00FE3332" w:rsidP="00FE3332">
      <w:pPr>
        <w:sectPr w:rsidR="00FE3332" w:rsidRPr="00F171A3" w:rsidSect="00C65BFA">
          <w:pgSz w:w="11907" w:h="16839" w:code="9"/>
          <w:pgMar w:top="1152" w:right="1440" w:bottom="1440" w:left="1022" w:header="706" w:footer="288" w:gutter="0"/>
          <w:cols w:space="708"/>
          <w:titlePg/>
          <w:docGrid w:linePitch="360"/>
        </w:sectPr>
      </w:pPr>
    </w:p>
    <w:p w14:paraId="02CB168A" w14:textId="7376EB33" w:rsidR="00FE3332" w:rsidRPr="00F171A3" w:rsidRDefault="00FE3332" w:rsidP="00FE3332"/>
    <w:p w14:paraId="3429F9D7" w14:textId="49627FC0" w:rsidR="00FE3332" w:rsidRPr="00F171A3" w:rsidRDefault="00FE3332" w:rsidP="00FE3332"/>
    <w:p w14:paraId="53F9FC26" w14:textId="58DA43B5" w:rsidR="00496A2A" w:rsidRPr="00496A2A" w:rsidRDefault="00496A2A" w:rsidP="00496A2A">
      <w:pPr>
        <w:pStyle w:val="Heading2"/>
        <w:rPr>
          <w:lang w:val="ro-RO"/>
        </w:rPr>
      </w:pPr>
      <w:bookmarkStart w:id="533" w:name="_Toc127199359"/>
      <w:r w:rsidRPr="00496A2A">
        <w:rPr>
          <w:caps w:val="0"/>
          <w:lang w:val="ro-RO"/>
        </w:rPr>
        <w:t>CORELAREA STRATEGIEI CU SIDU BUCUREȘTI</w:t>
      </w:r>
      <w:bookmarkEnd w:id="533"/>
    </w:p>
    <w:p w14:paraId="384B159F" w14:textId="77777777" w:rsidR="00496A2A" w:rsidRPr="00E23578" w:rsidRDefault="00496A2A" w:rsidP="00496A2A">
      <w:pPr>
        <w:rPr>
          <w:rFonts w:cstheme="minorHAnsi"/>
        </w:rPr>
      </w:pPr>
      <w:r w:rsidRPr="00E23578">
        <w:rPr>
          <w:rFonts w:cstheme="minorHAnsi"/>
        </w:rPr>
        <w:t>Rezultatele obținute în urma implementării proiectelor din cadrul obiectivelor strategice/obiectivelor specifice/direcțiilor de acțiune propuse prin Strategia de Dezvoltare Locală Integrată și Durabilă a Sectorului 2 (SDLID S2) pentru perioada 2021 – 2027, se aliniază cu obiectivele specifice ale Strategiei Integrate de Dezvoltare Urbană a municipiului București (SIDU), cu politicile și programele sectoriale aferente, așa cum rezultă din tabelul următor:</w:t>
      </w:r>
    </w:p>
    <w:p w14:paraId="33894A1B" w14:textId="77777777" w:rsidR="00496A2A" w:rsidRPr="00E23578" w:rsidRDefault="00496A2A" w:rsidP="00496A2A">
      <w:pPr>
        <w:rPr>
          <w:rFonts w:cstheme="minorHAnsi"/>
          <w:b/>
          <w:bCs/>
        </w:rPr>
      </w:pPr>
      <w:r w:rsidRPr="00E23578">
        <w:rPr>
          <w:rFonts w:cstheme="minorHAnsi"/>
          <w:b/>
          <w:bCs/>
        </w:rPr>
        <w:t>TABEL 1: Coordonarea obiectivelor strategice și specifice ale SDLID S2 2021 - 2027 cu obiectivele SIDU București</w:t>
      </w:r>
    </w:p>
    <w:tbl>
      <w:tblPr>
        <w:tblStyle w:val="Civittatable9"/>
        <w:tblW w:w="14035" w:type="dxa"/>
        <w:tblInd w:w="0" w:type="dxa"/>
        <w:tblLook w:val="04A0" w:firstRow="1" w:lastRow="0" w:firstColumn="1" w:lastColumn="0" w:noHBand="0" w:noVBand="1"/>
      </w:tblPr>
      <w:tblGrid>
        <w:gridCol w:w="1666"/>
        <w:gridCol w:w="2109"/>
        <w:gridCol w:w="3330"/>
        <w:gridCol w:w="2340"/>
        <w:gridCol w:w="4590"/>
      </w:tblGrid>
      <w:tr w:rsidR="00496A2A" w:rsidRPr="00E23578" w14:paraId="793DCC2A" w14:textId="77777777" w:rsidTr="00C6421E">
        <w:trPr>
          <w:cnfStyle w:val="100000000000" w:firstRow="1" w:lastRow="0" w:firstColumn="0" w:lastColumn="0" w:oddVBand="0" w:evenVBand="0" w:oddHBand="0" w:evenHBand="0" w:firstRowFirstColumn="0" w:firstRowLastColumn="0" w:lastRowFirstColumn="0" w:lastRowLastColumn="0"/>
        </w:trPr>
        <w:tc>
          <w:tcPr>
            <w:tcW w:w="1666" w:type="dxa"/>
          </w:tcPr>
          <w:p w14:paraId="34ECC361" w14:textId="77777777" w:rsidR="00496A2A" w:rsidRPr="00E23578" w:rsidRDefault="00496A2A" w:rsidP="00C6421E">
            <w:pPr>
              <w:rPr>
                <w:rFonts w:cstheme="minorHAnsi"/>
                <w:b/>
                <w:bCs/>
              </w:rPr>
            </w:pPr>
            <w:r w:rsidRPr="00E23578">
              <w:rPr>
                <w:rFonts w:cstheme="minorHAnsi"/>
                <w:b/>
                <w:bCs/>
              </w:rPr>
              <w:t>Obiectiv strategic  SDLID S2</w:t>
            </w:r>
          </w:p>
        </w:tc>
        <w:tc>
          <w:tcPr>
            <w:tcW w:w="2109" w:type="dxa"/>
          </w:tcPr>
          <w:p w14:paraId="7A102458" w14:textId="77777777" w:rsidR="00496A2A" w:rsidRPr="00E23578" w:rsidRDefault="00496A2A" w:rsidP="00C6421E">
            <w:pPr>
              <w:rPr>
                <w:rFonts w:cstheme="minorHAnsi"/>
                <w:b/>
                <w:bCs/>
              </w:rPr>
            </w:pPr>
            <w:r w:rsidRPr="00E23578">
              <w:rPr>
                <w:rFonts w:cstheme="minorHAnsi"/>
                <w:b/>
                <w:bCs/>
              </w:rPr>
              <w:t>Obiectiv specific SDLID S2</w:t>
            </w:r>
          </w:p>
        </w:tc>
        <w:tc>
          <w:tcPr>
            <w:tcW w:w="3330" w:type="dxa"/>
          </w:tcPr>
          <w:p w14:paraId="584F4871" w14:textId="77777777" w:rsidR="00496A2A" w:rsidRPr="00E23578" w:rsidRDefault="00496A2A" w:rsidP="00C6421E">
            <w:pPr>
              <w:rPr>
                <w:rFonts w:cstheme="minorHAnsi"/>
                <w:b/>
                <w:bCs/>
              </w:rPr>
            </w:pPr>
            <w:r w:rsidRPr="00E23578">
              <w:rPr>
                <w:rFonts w:cstheme="minorHAnsi"/>
                <w:b/>
                <w:bCs/>
              </w:rPr>
              <w:t>Direcții de acțiune SDLID S2</w:t>
            </w:r>
          </w:p>
        </w:tc>
        <w:tc>
          <w:tcPr>
            <w:tcW w:w="2340" w:type="dxa"/>
          </w:tcPr>
          <w:p w14:paraId="749AF648" w14:textId="77777777" w:rsidR="00496A2A" w:rsidRPr="00E23578" w:rsidRDefault="00496A2A" w:rsidP="00C6421E">
            <w:pPr>
              <w:rPr>
                <w:rFonts w:cstheme="minorHAnsi"/>
                <w:b/>
                <w:bCs/>
              </w:rPr>
            </w:pPr>
            <w:r w:rsidRPr="00E23578">
              <w:rPr>
                <w:rFonts w:cstheme="minorHAnsi"/>
                <w:b/>
                <w:bCs/>
              </w:rPr>
              <w:t>Obiectiv specific SIDU București</w:t>
            </w:r>
          </w:p>
        </w:tc>
        <w:tc>
          <w:tcPr>
            <w:tcW w:w="4590" w:type="dxa"/>
          </w:tcPr>
          <w:p w14:paraId="77E7232F" w14:textId="77777777" w:rsidR="00496A2A" w:rsidRPr="00E23578" w:rsidRDefault="00496A2A" w:rsidP="00C6421E">
            <w:pPr>
              <w:rPr>
                <w:rFonts w:cstheme="minorHAnsi"/>
                <w:b/>
                <w:bCs/>
              </w:rPr>
            </w:pPr>
            <w:r w:rsidRPr="00E23578">
              <w:rPr>
                <w:rFonts w:cstheme="minorHAnsi"/>
                <w:b/>
                <w:bCs/>
              </w:rPr>
              <w:t>Politici și programe sectoriale SIDU București</w:t>
            </w:r>
          </w:p>
        </w:tc>
      </w:tr>
      <w:tr w:rsidR="00496A2A" w:rsidRPr="00E23578" w14:paraId="5B1E6652" w14:textId="77777777" w:rsidTr="00C6421E">
        <w:trPr>
          <w:cnfStyle w:val="000000100000" w:firstRow="0" w:lastRow="0" w:firstColumn="0" w:lastColumn="0" w:oddVBand="0" w:evenVBand="0" w:oddHBand="1" w:evenHBand="0" w:firstRowFirstColumn="0" w:firstRowLastColumn="0" w:lastRowFirstColumn="0" w:lastRowLastColumn="0"/>
          <w:trHeight w:val="1997"/>
        </w:trPr>
        <w:tc>
          <w:tcPr>
            <w:tcW w:w="1666" w:type="dxa"/>
            <w:vMerge w:val="restart"/>
          </w:tcPr>
          <w:p w14:paraId="52CE5E78" w14:textId="77777777" w:rsidR="00496A2A" w:rsidRPr="00E23578" w:rsidRDefault="00496A2A" w:rsidP="00C6421E">
            <w:pPr>
              <w:jc w:val="left"/>
              <w:rPr>
                <w:rFonts w:cstheme="minorHAnsi"/>
              </w:rPr>
            </w:pPr>
            <w:r w:rsidRPr="00E23578">
              <w:rPr>
                <w:rFonts w:cstheme="minorHAnsi"/>
              </w:rPr>
              <w:t>O1 – Sector pentru cetățeni, cu un cadru urban atractiv și servicii publice moderne și performante, ce susțin dezvoltarea comunității locale și asigură o calitate ridicată a locuirii</w:t>
            </w:r>
          </w:p>
        </w:tc>
        <w:tc>
          <w:tcPr>
            <w:tcW w:w="2109" w:type="dxa"/>
          </w:tcPr>
          <w:p w14:paraId="520AFB22" w14:textId="77777777" w:rsidR="00496A2A" w:rsidRPr="00E23578" w:rsidRDefault="00496A2A" w:rsidP="00C6421E">
            <w:pPr>
              <w:jc w:val="left"/>
              <w:rPr>
                <w:rFonts w:cstheme="minorHAnsi"/>
              </w:rPr>
            </w:pPr>
            <w:r w:rsidRPr="00E23578">
              <w:rPr>
                <w:rFonts w:cstheme="minorHAnsi"/>
              </w:rPr>
              <w:t>O1.1 - Cadru urban revitalizat și cu o imagine urbană reprezentativă</w:t>
            </w:r>
          </w:p>
        </w:tc>
        <w:tc>
          <w:tcPr>
            <w:tcW w:w="3330" w:type="dxa"/>
          </w:tcPr>
          <w:p w14:paraId="0A512384" w14:textId="77777777" w:rsidR="00496A2A" w:rsidRPr="00E23578" w:rsidRDefault="00496A2A" w:rsidP="00C6421E">
            <w:pPr>
              <w:spacing w:before="0"/>
              <w:jc w:val="left"/>
              <w:rPr>
                <w:rFonts w:cstheme="minorHAnsi"/>
              </w:rPr>
            </w:pPr>
            <w:r w:rsidRPr="00E23578">
              <w:rPr>
                <w:rFonts w:cstheme="minorHAnsi"/>
              </w:rPr>
              <w:t>D1.1.1. Creșterea calității fondului construit aparținând administrației publice locale</w:t>
            </w:r>
          </w:p>
          <w:p w14:paraId="65CC4276" w14:textId="77777777" w:rsidR="00496A2A" w:rsidRPr="00E23578" w:rsidRDefault="00496A2A" w:rsidP="00C6421E">
            <w:pPr>
              <w:spacing w:before="0"/>
              <w:jc w:val="left"/>
              <w:rPr>
                <w:rFonts w:cstheme="minorHAnsi"/>
                <w:szCs w:val="20"/>
              </w:rPr>
            </w:pPr>
            <w:r w:rsidRPr="00E23578">
              <w:rPr>
                <w:rFonts w:cstheme="minorHAnsi"/>
              </w:rPr>
              <w:t>D1.1.2. Dezvoltarea cadrului operațional pentru asigurarea unei imagini și dezvoltări urbane unitare, coerente</w:t>
            </w:r>
          </w:p>
          <w:p w14:paraId="681E9BF4" w14:textId="77777777" w:rsidR="00496A2A" w:rsidRPr="00E23578" w:rsidRDefault="00496A2A" w:rsidP="00C6421E">
            <w:pPr>
              <w:spacing w:before="0"/>
              <w:jc w:val="left"/>
              <w:rPr>
                <w:rFonts w:cstheme="minorHAnsi"/>
              </w:rPr>
            </w:pPr>
            <w:r w:rsidRPr="00E23578">
              <w:rPr>
                <w:rFonts w:cstheme="minorHAnsi"/>
              </w:rPr>
              <w:t>D1.1.3. Modernizarea și completarea sistemului de dotări comunitare</w:t>
            </w:r>
          </w:p>
          <w:p w14:paraId="7951DFD7" w14:textId="77777777" w:rsidR="00496A2A" w:rsidRPr="00E23578" w:rsidRDefault="00496A2A" w:rsidP="00C6421E">
            <w:pPr>
              <w:jc w:val="left"/>
              <w:rPr>
                <w:rFonts w:cstheme="minorHAnsi"/>
              </w:rPr>
            </w:pPr>
            <w:r w:rsidRPr="00E23578">
              <w:rPr>
                <w:rFonts w:cstheme="minorHAnsi"/>
              </w:rPr>
              <w:t>D1.1.4. Dezvoltarea serviciilor de gestionare a animalelor fără stăpân</w:t>
            </w:r>
          </w:p>
        </w:tc>
        <w:tc>
          <w:tcPr>
            <w:tcW w:w="2340" w:type="dxa"/>
          </w:tcPr>
          <w:p w14:paraId="55053324" w14:textId="77777777" w:rsidR="00496A2A" w:rsidRPr="00E23578" w:rsidRDefault="00496A2A" w:rsidP="00C6421E">
            <w:pPr>
              <w:jc w:val="left"/>
              <w:rPr>
                <w:rFonts w:cstheme="minorHAnsi"/>
              </w:rPr>
            </w:pPr>
            <w:r w:rsidRPr="00E23578">
              <w:rPr>
                <w:rFonts w:cstheme="minorHAnsi"/>
              </w:rPr>
              <w:t>OS 5 Orașul atractiv Utilizarea eficientă a terenurilor și a fondului construit, punerea în valoare a patrimoniului istoric și a peisajului urban</w:t>
            </w:r>
          </w:p>
        </w:tc>
        <w:tc>
          <w:tcPr>
            <w:tcW w:w="4590" w:type="dxa"/>
          </w:tcPr>
          <w:p w14:paraId="4387C59E" w14:textId="507E303D" w:rsidR="00496A2A" w:rsidRPr="00E23578" w:rsidRDefault="00496A2A" w:rsidP="00C6421E">
            <w:pPr>
              <w:jc w:val="left"/>
              <w:rPr>
                <w:rFonts w:cstheme="minorHAnsi"/>
              </w:rPr>
            </w:pPr>
            <w:r w:rsidRPr="00E23578">
              <w:rPr>
                <w:rFonts w:cstheme="minorHAnsi"/>
              </w:rPr>
              <w:t xml:space="preserve">5.2. </w:t>
            </w:r>
            <w:r w:rsidR="00614C44" w:rsidRPr="00E23578">
              <w:rPr>
                <w:rFonts w:cstheme="minorHAnsi"/>
              </w:rPr>
              <w:t xml:space="preserve">Îmbunătăţirea fondului locativ și a calității locuirii </w:t>
            </w:r>
          </w:p>
          <w:p w14:paraId="4AB51A8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calității locuirii în vechile ansambluri de locuințe colective și de locuințe individuale </w:t>
            </w:r>
          </w:p>
          <w:p w14:paraId="20C8C9D3"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calității locuirii în noile zone rezidențiale</w:t>
            </w:r>
          </w:p>
          <w:p w14:paraId="51F37061"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sectorului de locuire socială și de necesitate de la nivelul Capitalei </w:t>
            </w:r>
          </w:p>
          <w:p w14:paraId="032B1315"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Asigurarea unei dezvoltări sustenabile a pieței de locuințe</w:t>
            </w:r>
          </w:p>
          <w:p w14:paraId="2687B7F0" w14:textId="77777777" w:rsidR="00496A2A" w:rsidRPr="00E23578" w:rsidRDefault="00496A2A" w:rsidP="00C6421E">
            <w:pPr>
              <w:jc w:val="left"/>
              <w:rPr>
                <w:rFonts w:cstheme="minorHAnsi"/>
              </w:rPr>
            </w:pPr>
            <w:r w:rsidRPr="00E23578">
              <w:rPr>
                <w:rFonts w:cstheme="minorHAnsi"/>
              </w:rPr>
              <w:t xml:space="preserve">5.4. Folosirea eficientă a terenului urban </w:t>
            </w:r>
          </w:p>
          <w:p w14:paraId="3FA84B94"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Regenerarea și extinderea spațiilor publice </w:t>
            </w:r>
          </w:p>
          <w:p w14:paraId="366851F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Reducerea expansiunii urbane necontrolate</w:t>
            </w:r>
          </w:p>
        </w:tc>
      </w:tr>
      <w:tr w:rsidR="00496A2A" w:rsidRPr="00E23578" w14:paraId="76CECA9B" w14:textId="77777777" w:rsidTr="00C6421E">
        <w:trPr>
          <w:cnfStyle w:val="000000010000" w:firstRow="0" w:lastRow="0" w:firstColumn="0" w:lastColumn="0" w:oddVBand="0" w:evenVBand="0" w:oddHBand="0" w:evenHBand="1" w:firstRowFirstColumn="0" w:firstRowLastColumn="0" w:lastRowFirstColumn="0" w:lastRowLastColumn="0"/>
        </w:trPr>
        <w:tc>
          <w:tcPr>
            <w:tcW w:w="1666" w:type="dxa"/>
            <w:vMerge/>
          </w:tcPr>
          <w:p w14:paraId="38484AF4" w14:textId="77777777" w:rsidR="00496A2A" w:rsidRPr="00E23578" w:rsidRDefault="00496A2A" w:rsidP="00C6421E">
            <w:pPr>
              <w:jc w:val="left"/>
              <w:rPr>
                <w:rFonts w:cstheme="minorHAnsi"/>
              </w:rPr>
            </w:pPr>
          </w:p>
        </w:tc>
        <w:tc>
          <w:tcPr>
            <w:tcW w:w="2109" w:type="dxa"/>
          </w:tcPr>
          <w:p w14:paraId="48705373" w14:textId="77777777" w:rsidR="00496A2A" w:rsidRPr="00E23578" w:rsidRDefault="00496A2A" w:rsidP="00C6421E">
            <w:pPr>
              <w:jc w:val="left"/>
              <w:rPr>
                <w:rFonts w:cstheme="minorHAnsi"/>
              </w:rPr>
            </w:pPr>
            <w:r w:rsidRPr="00E23578">
              <w:rPr>
                <w:rFonts w:cstheme="minorHAnsi"/>
              </w:rPr>
              <w:t>O1.2. - Cartiere de locuințe colective regenerate, cu o calitate ridicată a spațiului public și a fondului locativ, adaptate cerințelor și nevoilor locuitorilor </w:t>
            </w:r>
          </w:p>
          <w:p w14:paraId="183E3055" w14:textId="77777777" w:rsidR="00496A2A" w:rsidRPr="00E23578" w:rsidRDefault="00496A2A" w:rsidP="00C6421E">
            <w:pPr>
              <w:jc w:val="left"/>
              <w:rPr>
                <w:rFonts w:cstheme="minorHAnsi"/>
              </w:rPr>
            </w:pPr>
          </w:p>
        </w:tc>
        <w:tc>
          <w:tcPr>
            <w:tcW w:w="3330" w:type="dxa"/>
          </w:tcPr>
          <w:p w14:paraId="24D0E048" w14:textId="77777777" w:rsidR="00496A2A" w:rsidRPr="00E23578" w:rsidRDefault="00496A2A" w:rsidP="00C6421E">
            <w:pPr>
              <w:spacing w:before="0"/>
              <w:jc w:val="left"/>
              <w:rPr>
                <w:rFonts w:cstheme="minorHAnsi"/>
              </w:rPr>
            </w:pPr>
            <w:r w:rsidRPr="00E23578">
              <w:rPr>
                <w:rFonts w:cstheme="minorHAnsi"/>
              </w:rPr>
              <w:t>D1.2.1. Regenerarea urbană a spațiilor publice din cadrul ansamblurilor de locuințe colective și parcelări</w:t>
            </w:r>
          </w:p>
          <w:p w14:paraId="7C38F4DB" w14:textId="77777777" w:rsidR="00496A2A" w:rsidRPr="00E23578" w:rsidRDefault="00496A2A" w:rsidP="00C6421E">
            <w:pPr>
              <w:spacing w:before="0"/>
              <w:jc w:val="left"/>
              <w:rPr>
                <w:rFonts w:cstheme="minorHAnsi"/>
              </w:rPr>
            </w:pPr>
            <w:r w:rsidRPr="00E23578">
              <w:rPr>
                <w:rFonts w:cstheme="minorHAnsi"/>
              </w:rPr>
              <w:t>D1.2.2. Revitalizarea fondului locativ din cadrul ansamblurilor de locuințe colective</w:t>
            </w:r>
          </w:p>
          <w:p w14:paraId="3016796F" w14:textId="77777777" w:rsidR="00496A2A" w:rsidRPr="00E23578" w:rsidRDefault="00496A2A" w:rsidP="00C6421E">
            <w:pPr>
              <w:jc w:val="left"/>
              <w:rPr>
                <w:rFonts w:cstheme="minorHAnsi"/>
              </w:rPr>
            </w:pPr>
          </w:p>
        </w:tc>
        <w:tc>
          <w:tcPr>
            <w:tcW w:w="2340" w:type="dxa"/>
          </w:tcPr>
          <w:p w14:paraId="693D652C" w14:textId="77777777" w:rsidR="00496A2A" w:rsidRPr="00E23578" w:rsidRDefault="00496A2A" w:rsidP="00C6421E">
            <w:pPr>
              <w:jc w:val="left"/>
              <w:rPr>
                <w:rFonts w:cstheme="minorHAnsi"/>
              </w:rPr>
            </w:pPr>
            <w:r w:rsidRPr="00E23578">
              <w:rPr>
                <w:rFonts w:cstheme="minorHAnsi"/>
              </w:rPr>
              <w:t>OS 3 Orașul durabil Conservarea patrimoniului natural, reducerea poluării, a emisiilor de gaze cu efect de seră, și limitarea efectelor riscurilor</w:t>
            </w:r>
          </w:p>
          <w:p w14:paraId="735F3E9E" w14:textId="77777777" w:rsidR="00496A2A" w:rsidRPr="00E23578" w:rsidRDefault="00496A2A" w:rsidP="00C6421E">
            <w:pPr>
              <w:jc w:val="left"/>
              <w:rPr>
                <w:rFonts w:cstheme="minorHAnsi"/>
              </w:rPr>
            </w:pPr>
            <w:r w:rsidRPr="00E23578">
              <w:rPr>
                <w:rFonts w:cstheme="minorHAnsi"/>
              </w:rPr>
              <w:t>OS 5 Orașul atractiv Utilizarea eficientă a terenurilor și a fondului construit, punerea în valoare a patrimoniului istoric și a peisajului urban</w:t>
            </w:r>
          </w:p>
        </w:tc>
        <w:tc>
          <w:tcPr>
            <w:tcW w:w="4590" w:type="dxa"/>
          </w:tcPr>
          <w:p w14:paraId="27F23A59" w14:textId="121A376B" w:rsidR="00496A2A" w:rsidRPr="00E23578" w:rsidRDefault="00496A2A" w:rsidP="00C6421E">
            <w:pPr>
              <w:jc w:val="left"/>
              <w:rPr>
                <w:rFonts w:cstheme="minorHAnsi"/>
              </w:rPr>
            </w:pPr>
            <w:r w:rsidRPr="00E23578">
              <w:rPr>
                <w:rFonts w:cstheme="minorHAnsi"/>
              </w:rPr>
              <w:t>3.7. Îmbunătățirea capacității de adaptare a capitalei la schimbările climatice, de prevenție a riscurilor și de gestionare a situațiilor de urgen</w:t>
            </w:r>
            <w:r>
              <w:rPr>
                <w:rFonts w:cstheme="minorHAnsi"/>
              </w:rPr>
              <w:t>ță</w:t>
            </w:r>
            <w:r w:rsidRPr="00E23578">
              <w:rPr>
                <w:rFonts w:cstheme="minorHAnsi"/>
              </w:rPr>
              <w:t xml:space="preserve"> </w:t>
            </w:r>
          </w:p>
          <w:p w14:paraId="12B5210E"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Creșterea rezilienței la fenomenele meteo extreme asociate schimbărilor climatice. </w:t>
            </w:r>
          </w:p>
          <w:p w14:paraId="49C1DCD1"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Prevenirea riscului de inundații. </w:t>
            </w:r>
          </w:p>
          <w:p w14:paraId="2D4129C0"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capacității de răspuns în situații de urgență.</w:t>
            </w:r>
          </w:p>
          <w:p w14:paraId="37EB6CD6" w14:textId="77777777" w:rsidR="00496A2A" w:rsidRPr="00E23578" w:rsidRDefault="00496A2A" w:rsidP="00C6421E">
            <w:pPr>
              <w:jc w:val="left"/>
              <w:rPr>
                <w:rFonts w:cstheme="minorHAnsi"/>
              </w:rPr>
            </w:pPr>
            <w:r w:rsidRPr="00E23578">
              <w:rPr>
                <w:rFonts w:cstheme="minorHAnsi"/>
              </w:rPr>
              <w:t xml:space="preserve">5.1. Creșterea rezilienței fondului construit la hazarde </w:t>
            </w:r>
          </w:p>
          <w:p w14:paraId="5DBB2F8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Reducerea riscului seismic al clădirilor </w:t>
            </w:r>
          </w:p>
          <w:p w14:paraId="711B0317"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Reabilitarea clădirilor publice și a infrastructurii aflate în risc seismic </w:t>
            </w:r>
          </w:p>
          <w:p w14:paraId="34527A4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Reabilitarea seismică a locuințelor</w:t>
            </w:r>
          </w:p>
          <w:p w14:paraId="5B299F14" w14:textId="77777777" w:rsidR="00496A2A" w:rsidRPr="00E23578" w:rsidRDefault="00496A2A" w:rsidP="00C6421E">
            <w:pPr>
              <w:jc w:val="left"/>
              <w:rPr>
                <w:rFonts w:cstheme="minorHAnsi"/>
              </w:rPr>
            </w:pPr>
            <w:r w:rsidRPr="00E23578">
              <w:rPr>
                <w:rFonts w:cstheme="minorHAnsi"/>
              </w:rPr>
              <w:t xml:space="preserve">5.2. Îmbunătăţirea fondului locativ și a calității locuirii </w:t>
            </w:r>
          </w:p>
          <w:p w14:paraId="66C89F53"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calității locuirii în vechile ansambluri de locuințe colective și de locuințe individuale </w:t>
            </w:r>
          </w:p>
          <w:p w14:paraId="58503854" w14:textId="77777777" w:rsidR="00614C44"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calității locuirii în noile zone rezidențiale </w:t>
            </w:r>
          </w:p>
          <w:p w14:paraId="298FD660" w14:textId="571EEBFD"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Dezvoltarea sectorului de locuire socială și de necesitate de la nivelul Capitalei </w:t>
            </w:r>
          </w:p>
          <w:p w14:paraId="0E1FD8D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Asigurarea unei dezvoltări sustenabile a pieței de locuințe</w:t>
            </w:r>
          </w:p>
        </w:tc>
      </w:tr>
      <w:tr w:rsidR="00496A2A" w:rsidRPr="00E23578" w14:paraId="28E1CED7" w14:textId="77777777" w:rsidTr="00C6421E">
        <w:trPr>
          <w:cnfStyle w:val="000000100000" w:firstRow="0" w:lastRow="0" w:firstColumn="0" w:lastColumn="0" w:oddVBand="0" w:evenVBand="0" w:oddHBand="1" w:evenHBand="0" w:firstRowFirstColumn="0" w:firstRowLastColumn="0" w:lastRowFirstColumn="0" w:lastRowLastColumn="0"/>
        </w:trPr>
        <w:tc>
          <w:tcPr>
            <w:tcW w:w="1666" w:type="dxa"/>
            <w:vMerge/>
          </w:tcPr>
          <w:p w14:paraId="763F8AFA" w14:textId="77777777" w:rsidR="00496A2A" w:rsidRPr="00E23578" w:rsidRDefault="00496A2A" w:rsidP="00C6421E">
            <w:pPr>
              <w:jc w:val="left"/>
              <w:rPr>
                <w:rFonts w:cstheme="minorHAnsi"/>
              </w:rPr>
            </w:pPr>
          </w:p>
        </w:tc>
        <w:tc>
          <w:tcPr>
            <w:tcW w:w="2109" w:type="dxa"/>
          </w:tcPr>
          <w:p w14:paraId="7EC37D98" w14:textId="77777777" w:rsidR="00496A2A" w:rsidRPr="00E23578" w:rsidRDefault="00496A2A" w:rsidP="00C6421E">
            <w:pPr>
              <w:jc w:val="left"/>
              <w:rPr>
                <w:rFonts w:cstheme="minorHAnsi"/>
              </w:rPr>
            </w:pPr>
            <w:r w:rsidRPr="00E23578">
              <w:rPr>
                <w:rFonts w:cstheme="minorHAnsi"/>
              </w:rPr>
              <w:t>O1.3. - Educarea noilor generații are loc în condiții de practici și infrastructură modernă a mediului educațional, favorabile dezvoltării echilibrate a tinerilor</w:t>
            </w:r>
          </w:p>
        </w:tc>
        <w:tc>
          <w:tcPr>
            <w:tcW w:w="3330" w:type="dxa"/>
          </w:tcPr>
          <w:p w14:paraId="2CB63C43" w14:textId="77777777" w:rsidR="00496A2A" w:rsidRPr="00E23578" w:rsidRDefault="00496A2A" w:rsidP="00C6421E">
            <w:pPr>
              <w:spacing w:before="0"/>
              <w:jc w:val="left"/>
              <w:rPr>
                <w:rFonts w:cstheme="minorHAnsi"/>
                <w:szCs w:val="20"/>
              </w:rPr>
            </w:pPr>
            <w:r w:rsidRPr="00E23578">
              <w:rPr>
                <w:rFonts w:cstheme="minorHAnsi"/>
              </w:rPr>
              <w:t>D1.3.1. Extinderea, modernizarea, digitalizarea și dotarea infrastructurii educaționale existente în Sectorul 2</w:t>
            </w:r>
          </w:p>
          <w:p w14:paraId="66329C8C" w14:textId="77777777" w:rsidR="00496A2A" w:rsidRPr="00E23578" w:rsidRDefault="00496A2A" w:rsidP="00C6421E">
            <w:pPr>
              <w:spacing w:before="0"/>
              <w:jc w:val="left"/>
              <w:rPr>
                <w:rFonts w:cstheme="minorHAnsi"/>
                <w:szCs w:val="20"/>
              </w:rPr>
            </w:pPr>
            <w:r w:rsidRPr="00E23578">
              <w:rPr>
                <w:rFonts w:cstheme="minorHAnsi"/>
              </w:rPr>
              <w:t>D1.3.2. Extinderea rețelei grădinițe și creșe astfel încât să acopere cererea existentă</w:t>
            </w:r>
          </w:p>
          <w:p w14:paraId="3EAC8844" w14:textId="77777777" w:rsidR="00496A2A" w:rsidRPr="00E23578" w:rsidRDefault="00496A2A" w:rsidP="00C6421E">
            <w:pPr>
              <w:jc w:val="left"/>
              <w:rPr>
                <w:rFonts w:cstheme="minorHAnsi"/>
              </w:rPr>
            </w:pPr>
            <w:r w:rsidRPr="00E23578">
              <w:rPr>
                <w:rFonts w:cstheme="minorHAnsi"/>
              </w:rPr>
              <w:t>D1.3.3. Realizarea în parteneriat a proiectelor și programelor cu privire la reducerea fenomenului de absenteism și abandon școlar, dezvoltarea învățământului dual, precum și promovarea excelenței elevilor și a cadrelor didactice</w:t>
            </w:r>
          </w:p>
        </w:tc>
        <w:tc>
          <w:tcPr>
            <w:tcW w:w="2340" w:type="dxa"/>
          </w:tcPr>
          <w:p w14:paraId="7BF477A2" w14:textId="77777777" w:rsidR="00496A2A" w:rsidRPr="00E23578" w:rsidRDefault="00496A2A" w:rsidP="00C6421E">
            <w:pPr>
              <w:jc w:val="left"/>
              <w:rPr>
                <w:rFonts w:cstheme="minorHAnsi"/>
              </w:rPr>
            </w:pPr>
            <w:r w:rsidRPr="00E23578">
              <w:rPr>
                <w:rFonts w:cstheme="minorHAnsi"/>
              </w:rPr>
              <w:t>OS 4 Orașul incluziv Promovarea incluziunii sociale și a diversității, asigurarea accesului nediscriminatoriu la infrastructură și servicii publice</w:t>
            </w:r>
          </w:p>
        </w:tc>
        <w:tc>
          <w:tcPr>
            <w:tcW w:w="4590" w:type="dxa"/>
          </w:tcPr>
          <w:p w14:paraId="6C9E875F" w14:textId="77777777" w:rsidR="00496A2A" w:rsidRPr="00E23578" w:rsidRDefault="00496A2A" w:rsidP="00C6421E">
            <w:pPr>
              <w:jc w:val="left"/>
              <w:rPr>
                <w:rFonts w:cstheme="minorHAnsi"/>
              </w:rPr>
            </w:pPr>
            <w:r w:rsidRPr="00E23578">
              <w:rPr>
                <w:rFonts w:cstheme="minorHAnsi"/>
              </w:rPr>
              <w:t xml:space="preserve">4.1. Dezvoltarea infrastructurii si serviciilor de educație </w:t>
            </w:r>
          </w:p>
          <w:p w14:paraId="18BC3BB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sistemului de educație timpurie </w:t>
            </w:r>
          </w:p>
          <w:p w14:paraId="084C1DEC"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sistemului de învățământ primar și secundar/liceal </w:t>
            </w:r>
          </w:p>
          <w:p w14:paraId="6B24A7EB"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Consolidarea învățământului profesional și tehnic </w:t>
            </w:r>
          </w:p>
          <w:p w14:paraId="784AE39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infrastructurii și a serviciilor educaționale pentru copii / tineri cu dizabilități și / sau cu cerințe educaționale speciale (CES) </w:t>
            </w:r>
          </w:p>
          <w:p w14:paraId="6C0B315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Prevenirea părăsirii timpurii a școlii, a segregării în rândul elevilor și promovarea educației remediale </w:t>
            </w:r>
          </w:p>
          <w:p w14:paraId="0470A3B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Creșterea participării adulților (peste 25 de ani) la programe de formare și învățare pe tot parcursul vieții </w:t>
            </w:r>
          </w:p>
          <w:p w14:paraId="70452D25"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Consolidarea Capitalei ca centru universitar de importanță europeană, cu rol esențial în menținerea atractivității orașului pentru noi talente</w:t>
            </w:r>
          </w:p>
        </w:tc>
      </w:tr>
      <w:tr w:rsidR="00496A2A" w:rsidRPr="00E23578" w14:paraId="490BDE92" w14:textId="77777777" w:rsidTr="00C6421E">
        <w:trPr>
          <w:cnfStyle w:val="000000010000" w:firstRow="0" w:lastRow="0" w:firstColumn="0" w:lastColumn="0" w:oddVBand="0" w:evenVBand="0" w:oddHBand="0" w:evenHBand="1" w:firstRowFirstColumn="0" w:firstRowLastColumn="0" w:lastRowFirstColumn="0" w:lastRowLastColumn="0"/>
        </w:trPr>
        <w:tc>
          <w:tcPr>
            <w:tcW w:w="1666" w:type="dxa"/>
            <w:vMerge/>
          </w:tcPr>
          <w:p w14:paraId="79C8E53E" w14:textId="77777777" w:rsidR="00496A2A" w:rsidRPr="00E23578" w:rsidRDefault="00496A2A" w:rsidP="00C6421E">
            <w:pPr>
              <w:jc w:val="left"/>
              <w:rPr>
                <w:rFonts w:cstheme="minorHAnsi"/>
              </w:rPr>
            </w:pPr>
          </w:p>
        </w:tc>
        <w:tc>
          <w:tcPr>
            <w:tcW w:w="2109" w:type="dxa"/>
          </w:tcPr>
          <w:p w14:paraId="2B0F853E" w14:textId="77777777" w:rsidR="00496A2A" w:rsidRPr="00E23578" w:rsidRDefault="00496A2A" w:rsidP="00C6421E">
            <w:pPr>
              <w:jc w:val="left"/>
              <w:rPr>
                <w:rFonts w:cstheme="minorHAnsi"/>
              </w:rPr>
            </w:pPr>
            <w:r w:rsidRPr="00E23578">
              <w:rPr>
                <w:rFonts w:cstheme="minorHAnsi"/>
              </w:rPr>
              <w:t>O1.4. - infrastructură sportivă și de petrecere a timpului liber dezvoltată, ce concentrează o ofertă atractivă de activități pentru comunitatea locală</w:t>
            </w:r>
          </w:p>
        </w:tc>
        <w:tc>
          <w:tcPr>
            <w:tcW w:w="3330" w:type="dxa"/>
          </w:tcPr>
          <w:p w14:paraId="0D776FF9" w14:textId="77777777" w:rsidR="00496A2A" w:rsidRPr="00E23578" w:rsidRDefault="00496A2A" w:rsidP="00C6421E">
            <w:pPr>
              <w:spacing w:before="0"/>
              <w:jc w:val="left"/>
              <w:rPr>
                <w:rFonts w:cstheme="minorHAnsi"/>
                <w:szCs w:val="20"/>
              </w:rPr>
            </w:pPr>
            <w:r w:rsidRPr="00E23578">
              <w:rPr>
                <w:rFonts w:cstheme="minorHAnsi"/>
              </w:rPr>
              <w:t>D1.4.1. Diversificarea infrastructurii de sport și de petrecerea timpului liber din Sector 2, prin construcția și amenajarea de noi facilități sau reabilitarea, modernizarea și dotarea infrastructurii existente</w:t>
            </w:r>
          </w:p>
          <w:p w14:paraId="3A0F4BC5" w14:textId="77777777" w:rsidR="00496A2A" w:rsidRPr="00E23578" w:rsidRDefault="00496A2A" w:rsidP="00C6421E">
            <w:pPr>
              <w:spacing w:before="0"/>
              <w:jc w:val="left"/>
              <w:rPr>
                <w:rFonts w:cstheme="minorHAnsi"/>
                <w:szCs w:val="20"/>
              </w:rPr>
            </w:pPr>
            <w:r w:rsidRPr="00E23578">
              <w:rPr>
                <w:rFonts w:cstheme="minorHAnsi"/>
              </w:rPr>
              <w:t>D1.4.2. Sprijinirea și promovarea ofertei de activități de sport și de petrecerea timpului liber în Sectorul 2</w:t>
            </w:r>
          </w:p>
          <w:p w14:paraId="77DA93C3" w14:textId="77777777" w:rsidR="00496A2A" w:rsidRPr="00E23578" w:rsidRDefault="00496A2A" w:rsidP="00C6421E">
            <w:pPr>
              <w:spacing w:before="240" w:after="240"/>
              <w:rPr>
                <w:rFonts w:cstheme="minorHAnsi"/>
              </w:rPr>
            </w:pPr>
            <w:r w:rsidRPr="00E23578">
              <w:rPr>
                <w:rFonts w:cstheme="minorHAnsi"/>
              </w:rPr>
              <w:t>D1.4.3. Consolidarea rețelei de spații publice identitare din Sectorul 2 și constituirea de axe verzi între acestea prin operațiuni de reabilitare, modernizare sau amenajare</w:t>
            </w:r>
          </w:p>
        </w:tc>
        <w:tc>
          <w:tcPr>
            <w:tcW w:w="2340" w:type="dxa"/>
          </w:tcPr>
          <w:p w14:paraId="17639FD2" w14:textId="77777777" w:rsidR="00496A2A" w:rsidRPr="00E23578" w:rsidRDefault="00496A2A" w:rsidP="00C6421E">
            <w:pPr>
              <w:spacing w:before="240" w:after="240"/>
              <w:rPr>
                <w:rFonts w:cstheme="minorHAnsi"/>
              </w:rPr>
            </w:pPr>
            <w:r w:rsidRPr="00E23578">
              <w:rPr>
                <w:rFonts w:cstheme="minorHAnsi"/>
              </w:rPr>
              <w:t>OS 4 Orașul incluziv Promovarea incluziunii sociale și a diversității, asigurarea accesului nediscriminatoriu la infrastructură și servicii publice</w:t>
            </w:r>
          </w:p>
        </w:tc>
        <w:tc>
          <w:tcPr>
            <w:tcW w:w="4590" w:type="dxa"/>
          </w:tcPr>
          <w:p w14:paraId="63F6F80E" w14:textId="77777777" w:rsidR="00496A2A" w:rsidRPr="00E23578" w:rsidRDefault="00496A2A" w:rsidP="00C6421E">
            <w:pPr>
              <w:spacing w:before="240" w:after="240"/>
              <w:rPr>
                <w:rFonts w:cstheme="minorHAnsi"/>
              </w:rPr>
            </w:pPr>
            <w:r w:rsidRPr="00E23578">
              <w:rPr>
                <w:rFonts w:cstheme="minorHAnsi"/>
              </w:rPr>
              <w:t xml:space="preserve">4.5. Dezvoltarea infrastructurii și serviciilor sportive și de tineret </w:t>
            </w:r>
          </w:p>
          <w:p w14:paraId="149716D7" w14:textId="77777777" w:rsidR="00496A2A" w:rsidRPr="00E23578" w:rsidRDefault="00496A2A" w:rsidP="00C6421E">
            <w:pPr>
              <w:spacing w:before="240" w:after="240"/>
              <w:rPr>
                <w:rFonts w:cstheme="minorHAnsi"/>
              </w:rPr>
            </w:pPr>
            <w:r w:rsidRPr="00E23578">
              <w:rPr>
                <w:rFonts w:cstheme="minorHAnsi"/>
              </w:rPr>
              <w:sym w:font="Symbol" w:char="F0B7"/>
            </w:r>
            <w:r w:rsidRPr="00E23578">
              <w:rPr>
                <w:rFonts w:cstheme="minorHAnsi"/>
              </w:rPr>
              <w:t xml:space="preserve"> Dezvoltarea infrastructurii, serviciilor și activităților pentru tineri </w:t>
            </w:r>
          </w:p>
          <w:p w14:paraId="03540336" w14:textId="77777777" w:rsidR="00496A2A" w:rsidRPr="00E23578" w:rsidRDefault="00496A2A" w:rsidP="00C6421E">
            <w:pPr>
              <w:spacing w:before="240" w:after="240"/>
              <w:rPr>
                <w:rFonts w:cstheme="minorHAnsi"/>
              </w:rPr>
            </w:pPr>
            <w:r w:rsidRPr="00E23578">
              <w:rPr>
                <w:rFonts w:cstheme="minorHAnsi"/>
              </w:rPr>
              <w:sym w:font="Symbol" w:char="F0B7"/>
            </w:r>
            <w:r w:rsidRPr="00E23578">
              <w:rPr>
                <w:rFonts w:cstheme="minorHAnsi"/>
              </w:rPr>
              <w:t xml:space="preserve"> Promovarea sportului de masă și a celui de performanță</w:t>
            </w:r>
          </w:p>
        </w:tc>
      </w:tr>
      <w:tr w:rsidR="00496A2A" w:rsidRPr="00E23578" w14:paraId="54169876" w14:textId="77777777" w:rsidTr="00C6421E">
        <w:trPr>
          <w:cnfStyle w:val="000000100000" w:firstRow="0" w:lastRow="0" w:firstColumn="0" w:lastColumn="0" w:oddVBand="0" w:evenVBand="0" w:oddHBand="1" w:evenHBand="0" w:firstRowFirstColumn="0" w:firstRowLastColumn="0" w:lastRowFirstColumn="0" w:lastRowLastColumn="0"/>
        </w:trPr>
        <w:tc>
          <w:tcPr>
            <w:tcW w:w="1666" w:type="dxa"/>
            <w:vMerge/>
          </w:tcPr>
          <w:p w14:paraId="67666A78" w14:textId="77777777" w:rsidR="00496A2A" w:rsidRPr="00E23578" w:rsidRDefault="00496A2A" w:rsidP="00C6421E">
            <w:pPr>
              <w:jc w:val="left"/>
              <w:rPr>
                <w:rFonts w:cstheme="minorHAnsi"/>
              </w:rPr>
            </w:pPr>
          </w:p>
        </w:tc>
        <w:tc>
          <w:tcPr>
            <w:tcW w:w="2109" w:type="dxa"/>
          </w:tcPr>
          <w:p w14:paraId="5F0F6FDC" w14:textId="77777777" w:rsidR="00496A2A" w:rsidRPr="00E23578" w:rsidRDefault="00496A2A" w:rsidP="00C6421E">
            <w:pPr>
              <w:jc w:val="left"/>
              <w:rPr>
                <w:rFonts w:cstheme="minorHAnsi"/>
              </w:rPr>
            </w:pPr>
            <w:r w:rsidRPr="00E23578">
              <w:rPr>
                <w:rFonts w:cstheme="minorHAnsi"/>
              </w:rPr>
              <w:t>O1.5. - Infrastructură culturală modernă și diversificată, ce susține și promovează identitatea comunitară și folosește cultura ca sprijin de dezvoltare socială și urbană</w:t>
            </w:r>
          </w:p>
        </w:tc>
        <w:tc>
          <w:tcPr>
            <w:tcW w:w="3330" w:type="dxa"/>
          </w:tcPr>
          <w:p w14:paraId="6E4324D5" w14:textId="77777777" w:rsidR="00496A2A" w:rsidRPr="00E23578" w:rsidRDefault="00496A2A" w:rsidP="00C6421E">
            <w:pPr>
              <w:spacing w:before="0"/>
              <w:jc w:val="left"/>
              <w:rPr>
                <w:rFonts w:cstheme="minorHAnsi"/>
                <w:szCs w:val="20"/>
              </w:rPr>
            </w:pPr>
            <w:r w:rsidRPr="00E23578">
              <w:rPr>
                <w:rFonts w:cstheme="minorHAnsi"/>
              </w:rPr>
              <w:t>D1.5.1. Reabilitarea, modernizarea și dotarea infrastructurii și patrimoniului cultural</w:t>
            </w:r>
          </w:p>
          <w:p w14:paraId="20E8FE62" w14:textId="77777777" w:rsidR="00496A2A" w:rsidRPr="00E23578" w:rsidRDefault="00496A2A" w:rsidP="00C6421E">
            <w:pPr>
              <w:spacing w:before="0"/>
              <w:jc w:val="left"/>
              <w:rPr>
                <w:rFonts w:cstheme="minorHAnsi"/>
                <w:szCs w:val="20"/>
              </w:rPr>
            </w:pPr>
            <w:r w:rsidRPr="00E23578">
              <w:rPr>
                <w:rFonts w:cstheme="minorHAnsi"/>
              </w:rPr>
              <w:t>D1.5.2. Descentralizarea ofertei culturale și încurajarea sporirii consumului cultural</w:t>
            </w:r>
          </w:p>
          <w:p w14:paraId="2573CAF2" w14:textId="77777777" w:rsidR="00496A2A" w:rsidRPr="00E23578" w:rsidRDefault="00496A2A" w:rsidP="00C6421E">
            <w:pPr>
              <w:spacing w:before="0"/>
              <w:jc w:val="left"/>
              <w:rPr>
                <w:rFonts w:cstheme="minorHAnsi"/>
                <w:szCs w:val="20"/>
              </w:rPr>
            </w:pPr>
            <w:r w:rsidRPr="00E23578">
              <w:rPr>
                <w:rFonts w:cstheme="minorHAnsi"/>
              </w:rPr>
              <w:t>D1.5.3. Sprijinirea actorilor din domeniile cultural-artistice din Sectorul 2</w:t>
            </w:r>
          </w:p>
          <w:p w14:paraId="663D7B7B" w14:textId="77777777" w:rsidR="00496A2A" w:rsidRPr="00E23578" w:rsidRDefault="00496A2A" w:rsidP="00C6421E">
            <w:pPr>
              <w:jc w:val="left"/>
              <w:rPr>
                <w:rFonts w:cstheme="minorHAnsi"/>
              </w:rPr>
            </w:pPr>
          </w:p>
        </w:tc>
        <w:tc>
          <w:tcPr>
            <w:tcW w:w="2340" w:type="dxa"/>
          </w:tcPr>
          <w:p w14:paraId="5FB70828" w14:textId="77777777" w:rsidR="00496A2A" w:rsidRPr="00E23578" w:rsidRDefault="00496A2A" w:rsidP="00C6421E">
            <w:pPr>
              <w:jc w:val="left"/>
              <w:rPr>
                <w:rFonts w:cstheme="minorHAnsi"/>
              </w:rPr>
            </w:pPr>
            <w:r w:rsidRPr="00E23578">
              <w:rPr>
                <w:rFonts w:cstheme="minorHAnsi"/>
              </w:rPr>
              <w:t>OS 4 Orașul incluziv Promovarea incluziunii sociale și a diversității, asigurarea accesului nediscriminatoriu la infrastructură și servicii publice</w:t>
            </w:r>
          </w:p>
          <w:p w14:paraId="0BC0C4A5" w14:textId="77777777" w:rsidR="00496A2A" w:rsidRPr="00E23578" w:rsidRDefault="00496A2A" w:rsidP="00C6421E">
            <w:pPr>
              <w:jc w:val="left"/>
              <w:rPr>
                <w:rFonts w:cstheme="minorHAnsi"/>
              </w:rPr>
            </w:pPr>
            <w:r w:rsidRPr="00E23578">
              <w:rPr>
                <w:rFonts w:cstheme="minorHAnsi"/>
              </w:rPr>
              <w:t>OS 5 Orașul atractiv Utilizarea eficientă a terenurilor și a fondului construit, punerea în valoare a patrimoniului istoric și a peisajului urban</w:t>
            </w:r>
          </w:p>
        </w:tc>
        <w:tc>
          <w:tcPr>
            <w:tcW w:w="4590" w:type="dxa"/>
          </w:tcPr>
          <w:p w14:paraId="7D44A6CF" w14:textId="77777777" w:rsidR="00496A2A" w:rsidRPr="00E23578" w:rsidRDefault="00496A2A" w:rsidP="00C6421E">
            <w:pPr>
              <w:jc w:val="left"/>
              <w:rPr>
                <w:rFonts w:cstheme="minorHAnsi"/>
              </w:rPr>
            </w:pPr>
            <w:r w:rsidRPr="00E23578">
              <w:rPr>
                <w:rFonts w:cstheme="minorHAnsi"/>
              </w:rPr>
              <w:t xml:space="preserve">4.4. Îmbunătățirea ofertei culturale și a oportunităților de creație artistică </w:t>
            </w:r>
          </w:p>
          <w:p w14:paraId="4DC04E3B"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infrastructurii, echipamentelor și dotărilor pentru producție și consum cultural </w:t>
            </w:r>
          </w:p>
          <w:p w14:paraId="65861129"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unei ofertei culturale identitare pe scena europeană și asigurarea accesului echitabil al locuitorilor Capitalei la aceasta </w:t>
            </w:r>
          </w:p>
          <w:p w14:paraId="634D4907"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sectorului de industrii culturale și creative ca element central al specializării inteligente a economiei Capitalei</w:t>
            </w:r>
          </w:p>
          <w:p w14:paraId="26F78A67" w14:textId="77777777" w:rsidR="00496A2A" w:rsidRPr="00E23578" w:rsidRDefault="00496A2A" w:rsidP="00C6421E">
            <w:pPr>
              <w:jc w:val="left"/>
              <w:rPr>
                <w:rFonts w:cstheme="minorHAnsi"/>
              </w:rPr>
            </w:pPr>
            <w:r w:rsidRPr="00E23578">
              <w:rPr>
                <w:rFonts w:cstheme="minorHAnsi"/>
              </w:rPr>
              <w:t xml:space="preserve">5.3. Conservarea, protejarea și valorificarea durabilă a patrimoniului cultural </w:t>
            </w:r>
          </w:p>
          <w:p w14:paraId="01856ABD"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Conservarea monumentelor istorice și a zonelor de protecție a acestora </w:t>
            </w:r>
          </w:p>
          <w:p w14:paraId="765C758D"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Conservarea și promovarea patrimoniului cultural imaterial</w:t>
            </w:r>
          </w:p>
        </w:tc>
      </w:tr>
      <w:tr w:rsidR="00496A2A" w:rsidRPr="00E23578" w14:paraId="68EB52F0" w14:textId="77777777" w:rsidTr="00C6421E">
        <w:trPr>
          <w:cnfStyle w:val="000000010000" w:firstRow="0" w:lastRow="0" w:firstColumn="0" w:lastColumn="0" w:oddVBand="0" w:evenVBand="0" w:oddHBand="0" w:evenHBand="1" w:firstRowFirstColumn="0" w:firstRowLastColumn="0" w:lastRowFirstColumn="0" w:lastRowLastColumn="0"/>
        </w:trPr>
        <w:tc>
          <w:tcPr>
            <w:tcW w:w="1666" w:type="dxa"/>
            <w:vMerge/>
          </w:tcPr>
          <w:p w14:paraId="01E3BE03" w14:textId="77777777" w:rsidR="00496A2A" w:rsidRPr="00E23578" w:rsidRDefault="00496A2A" w:rsidP="00C6421E">
            <w:pPr>
              <w:jc w:val="left"/>
              <w:rPr>
                <w:rFonts w:cstheme="minorHAnsi"/>
              </w:rPr>
            </w:pPr>
          </w:p>
        </w:tc>
        <w:tc>
          <w:tcPr>
            <w:tcW w:w="2109" w:type="dxa"/>
          </w:tcPr>
          <w:p w14:paraId="18FD3616" w14:textId="77777777" w:rsidR="00496A2A" w:rsidRPr="00E23578" w:rsidRDefault="00496A2A" w:rsidP="00C6421E">
            <w:pPr>
              <w:jc w:val="left"/>
              <w:rPr>
                <w:rFonts w:cstheme="minorHAnsi"/>
              </w:rPr>
            </w:pPr>
            <w:r w:rsidRPr="00E23578">
              <w:rPr>
                <w:rFonts w:cstheme="minorHAnsi"/>
              </w:rPr>
              <w:t>O1.6. - Infrastructură medicală și servicii moderne, oportunități și programe de consolidare a unui mod de viață sănătos, bazat pe informare și cunoaștere, activitate și sport</w:t>
            </w:r>
          </w:p>
        </w:tc>
        <w:tc>
          <w:tcPr>
            <w:tcW w:w="3330" w:type="dxa"/>
          </w:tcPr>
          <w:p w14:paraId="451097ED" w14:textId="77777777" w:rsidR="00496A2A" w:rsidRPr="00E23578" w:rsidRDefault="00496A2A" w:rsidP="00C6421E">
            <w:pPr>
              <w:spacing w:before="0"/>
              <w:jc w:val="left"/>
              <w:rPr>
                <w:rFonts w:cstheme="minorHAnsi"/>
                <w:szCs w:val="20"/>
              </w:rPr>
            </w:pPr>
            <w:r w:rsidRPr="00E23578">
              <w:rPr>
                <w:rFonts w:cstheme="minorHAnsi"/>
              </w:rPr>
              <w:t>D 1.6.1. Creșterea gradului de informare a populației cu privire la beneficiile adoptării unui stil de viață sănătos bazat pe alimentație și sport</w:t>
            </w:r>
          </w:p>
          <w:p w14:paraId="28A136D7" w14:textId="77777777" w:rsidR="00496A2A" w:rsidRPr="00E23578" w:rsidRDefault="00496A2A" w:rsidP="00C6421E">
            <w:pPr>
              <w:spacing w:before="0"/>
              <w:jc w:val="left"/>
              <w:rPr>
                <w:rFonts w:cstheme="minorHAnsi"/>
              </w:rPr>
            </w:pPr>
            <w:r w:rsidRPr="00E23578">
              <w:rPr>
                <w:rFonts w:cstheme="minorHAnsi"/>
              </w:rPr>
              <w:t>D 1.6.2. Extinderea, modernizarea și dotarea infrastructurii medico-sanitare din sector precum și a infrastructurii pentru practicarea sportului și activităților în aer liber</w:t>
            </w:r>
          </w:p>
          <w:p w14:paraId="4BC1A47B" w14:textId="77777777" w:rsidR="00496A2A" w:rsidRPr="00E23578" w:rsidRDefault="00496A2A" w:rsidP="00C6421E">
            <w:pPr>
              <w:jc w:val="left"/>
              <w:rPr>
                <w:rFonts w:cstheme="minorHAnsi"/>
              </w:rPr>
            </w:pPr>
          </w:p>
        </w:tc>
        <w:tc>
          <w:tcPr>
            <w:tcW w:w="2340" w:type="dxa"/>
          </w:tcPr>
          <w:p w14:paraId="5ECFDC5F" w14:textId="77777777" w:rsidR="00496A2A" w:rsidRPr="00E23578" w:rsidRDefault="00496A2A" w:rsidP="00C6421E">
            <w:pPr>
              <w:jc w:val="left"/>
              <w:rPr>
                <w:rFonts w:cstheme="minorHAnsi"/>
              </w:rPr>
            </w:pPr>
            <w:r w:rsidRPr="00E23578">
              <w:rPr>
                <w:rFonts w:cstheme="minorHAnsi"/>
              </w:rPr>
              <w:t>OS 4 Orașul incluziv Promovarea incluziunii sociale și a diversității, asigurarea accesului nediscriminatoriu la infrastructură și servicii publice</w:t>
            </w:r>
          </w:p>
        </w:tc>
        <w:tc>
          <w:tcPr>
            <w:tcW w:w="4590" w:type="dxa"/>
          </w:tcPr>
          <w:p w14:paraId="6746129C" w14:textId="77777777" w:rsidR="00496A2A" w:rsidRPr="00E23578" w:rsidRDefault="00496A2A" w:rsidP="00C6421E">
            <w:pPr>
              <w:jc w:val="left"/>
              <w:rPr>
                <w:rFonts w:cstheme="minorHAnsi"/>
              </w:rPr>
            </w:pPr>
            <w:r w:rsidRPr="00E23578">
              <w:rPr>
                <w:rFonts w:cstheme="minorHAnsi"/>
              </w:rPr>
              <w:t xml:space="preserve">4.3. Îmbunătățirea accesului la infrastructură sanitară modernă și servicii medicale de calitate </w:t>
            </w:r>
          </w:p>
          <w:p w14:paraId="0644CC4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infrastructurii spitalicești cu rol de deservire națională, regională și metropolitană </w:t>
            </w:r>
          </w:p>
          <w:p w14:paraId="185E99D1"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serviciilor de prevenție, screening, asistență medicală primară, comunitară și în regim ambulatoriu </w:t>
            </w:r>
          </w:p>
          <w:p w14:paraId="003F935D"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serviciilor de reabilitare, paliație și îngrijire pe termen lung </w:t>
            </w:r>
          </w:p>
          <w:p w14:paraId="2204FF40"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cercetării în domeniul medical, cu accent pe metode moderne de investigare, intervenție și tratament </w:t>
            </w:r>
          </w:p>
          <w:p w14:paraId="34C0F10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Informatizarea sistemului medical și digitalizarea serviciilor medicale</w:t>
            </w:r>
          </w:p>
        </w:tc>
      </w:tr>
      <w:tr w:rsidR="00496A2A" w:rsidRPr="00E23578" w14:paraId="34F07206" w14:textId="77777777" w:rsidTr="00C6421E">
        <w:trPr>
          <w:cnfStyle w:val="000000100000" w:firstRow="0" w:lastRow="0" w:firstColumn="0" w:lastColumn="0" w:oddVBand="0" w:evenVBand="0" w:oddHBand="1" w:evenHBand="0" w:firstRowFirstColumn="0" w:firstRowLastColumn="0" w:lastRowFirstColumn="0" w:lastRowLastColumn="0"/>
        </w:trPr>
        <w:tc>
          <w:tcPr>
            <w:tcW w:w="1666" w:type="dxa"/>
            <w:vMerge/>
          </w:tcPr>
          <w:p w14:paraId="26D9A046" w14:textId="77777777" w:rsidR="00496A2A" w:rsidRPr="00E23578" w:rsidRDefault="00496A2A" w:rsidP="00C6421E">
            <w:pPr>
              <w:jc w:val="left"/>
              <w:rPr>
                <w:rFonts w:cstheme="minorHAnsi"/>
              </w:rPr>
            </w:pPr>
          </w:p>
        </w:tc>
        <w:tc>
          <w:tcPr>
            <w:tcW w:w="2109" w:type="dxa"/>
          </w:tcPr>
          <w:p w14:paraId="05E6642A" w14:textId="77777777" w:rsidR="00496A2A" w:rsidRPr="00E23578" w:rsidRDefault="00496A2A" w:rsidP="00C6421E">
            <w:pPr>
              <w:jc w:val="left"/>
              <w:rPr>
                <w:rFonts w:cstheme="minorHAnsi"/>
              </w:rPr>
            </w:pPr>
            <w:r w:rsidRPr="00E23578">
              <w:rPr>
                <w:rFonts w:cstheme="minorHAnsi"/>
              </w:rPr>
              <w:t>O1.7. - Diversificarea serviciilor sociale și îmbunătățirea calității acestora în vederea creșterii accesului populației, în special al persoanelor vulnerabile, la măsuri și soluții pentru îmbunătățirea condițiilor de trai și oportunități pentru o viață decentă</w:t>
            </w:r>
          </w:p>
        </w:tc>
        <w:tc>
          <w:tcPr>
            <w:tcW w:w="3330" w:type="dxa"/>
          </w:tcPr>
          <w:p w14:paraId="729D64B7" w14:textId="77777777" w:rsidR="00496A2A" w:rsidRPr="00E23578" w:rsidRDefault="00496A2A" w:rsidP="00C6421E">
            <w:pPr>
              <w:spacing w:before="0"/>
              <w:jc w:val="left"/>
              <w:rPr>
                <w:rFonts w:cstheme="minorHAnsi"/>
                <w:szCs w:val="20"/>
              </w:rPr>
            </w:pPr>
            <w:r w:rsidRPr="00E23578">
              <w:rPr>
                <w:rFonts w:cstheme="minorHAnsi"/>
              </w:rPr>
              <w:t>D1.7.1. Îmbunătățirea serviciilor sociale prin modernizarea și dotarea infrastructurii, creșterea acoperirii teritoriale, îmbunătățirea competențelor personalului</w:t>
            </w:r>
          </w:p>
          <w:p w14:paraId="1B2DA8EF" w14:textId="77777777" w:rsidR="00496A2A" w:rsidRPr="00E23578" w:rsidRDefault="00496A2A" w:rsidP="00C6421E">
            <w:pPr>
              <w:spacing w:before="0"/>
              <w:jc w:val="left"/>
              <w:rPr>
                <w:rFonts w:cstheme="minorHAnsi"/>
                <w:szCs w:val="20"/>
              </w:rPr>
            </w:pPr>
            <w:r w:rsidRPr="00E23578">
              <w:rPr>
                <w:rFonts w:cstheme="minorHAnsi"/>
              </w:rPr>
              <w:t>D1.7.2. Asigurarea de servicii sociale destinate copilului și/sau familiei</w:t>
            </w:r>
          </w:p>
          <w:p w14:paraId="41B69464" w14:textId="77777777" w:rsidR="00496A2A" w:rsidRPr="00E23578" w:rsidRDefault="00496A2A" w:rsidP="00C6421E">
            <w:pPr>
              <w:spacing w:before="0"/>
              <w:jc w:val="left"/>
              <w:rPr>
                <w:rFonts w:cstheme="minorHAnsi"/>
              </w:rPr>
            </w:pPr>
            <w:r w:rsidRPr="00E23578">
              <w:rPr>
                <w:rFonts w:cstheme="minorHAnsi"/>
              </w:rPr>
              <w:t>D1.7.3. Asigurarea de servicii sociale destinate persoanelor vârstnice şi cu dizabilități</w:t>
            </w:r>
          </w:p>
          <w:p w14:paraId="1467A9AE" w14:textId="77777777" w:rsidR="00496A2A" w:rsidRPr="00E23578" w:rsidRDefault="00496A2A" w:rsidP="00C6421E">
            <w:pPr>
              <w:spacing w:before="0"/>
              <w:jc w:val="left"/>
              <w:rPr>
                <w:rFonts w:cstheme="minorHAnsi"/>
                <w:szCs w:val="20"/>
              </w:rPr>
            </w:pPr>
            <w:r w:rsidRPr="00E23578">
              <w:rPr>
                <w:rFonts w:cstheme="minorHAnsi"/>
              </w:rPr>
              <w:t>D1.7.4. Asigurarea de servicii sociale destinate persoanelor din comunitățile marginalizate</w:t>
            </w:r>
          </w:p>
          <w:p w14:paraId="67E53A85" w14:textId="77777777" w:rsidR="00496A2A" w:rsidRPr="00E23578" w:rsidRDefault="00496A2A" w:rsidP="00C6421E">
            <w:pPr>
              <w:jc w:val="left"/>
              <w:rPr>
                <w:rFonts w:cstheme="minorHAnsi"/>
              </w:rPr>
            </w:pPr>
            <w:r w:rsidRPr="00E23578">
              <w:rPr>
                <w:rFonts w:cstheme="minorHAnsi"/>
              </w:rPr>
              <w:t>D1.7.5. Asigurarea de servicii sociale pentru alte categorii vulnerabile</w:t>
            </w:r>
          </w:p>
        </w:tc>
        <w:tc>
          <w:tcPr>
            <w:tcW w:w="2340" w:type="dxa"/>
          </w:tcPr>
          <w:p w14:paraId="6002F700" w14:textId="77777777" w:rsidR="00496A2A" w:rsidRPr="00E23578" w:rsidRDefault="00496A2A" w:rsidP="00C6421E">
            <w:pPr>
              <w:jc w:val="left"/>
              <w:rPr>
                <w:rFonts w:cstheme="minorHAnsi"/>
              </w:rPr>
            </w:pPr>
            <w:r w:rsidRPr="00E23578">
              <w:rPr>
                <w:rFonts w:cstheme="minorHAnsi"/>
              </w:rPr>
              <w:t>OS 4 Orașul incluziv Promovarea incluziunii sociale și a diversității, asigurarea accesului nediscriminatoriu la infrastructură și servicii publice</w:t>
            </w:r>
          </w:p>
        </w:tc>
        <w:tc>
          <w:tcPr>
            <w:tcW w:w="4590" w:type="dxa"/>
          </w:tcPr>
          <w:p w14:paraId="6CCAB069" w14:textId="77777777" w:rsidR="00496A2A" w:rsidRPr="00E23578" w:rsidRDefault="00496A2A" w:rsidP="00C6421E">
            <w:pPr>
              <w:jc w:val="left"/>
              <w:rPr>
                <w:rFonts w:cstheme="minorHAnsi"/>
              </w:rPr>
            </w:pPr>
            <w:r w:rsidRPr="00E23578">
              <w:rPr>
                <w:rFonts w:cstheme="minorHAnsi"/>
              </w:rPr>
              <w:t xml:space="preserve">4.2. Promovarea incluziunii sociale a grupurilor defavorizate, și a persoanelor expuse riscului de sărăcie </w:t>
            </w:r>
          </w:p>
          <w:p w14:paraId="36DE9E30" w14:textId="477205B9"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accesului nediscriminatoriu pe piața muncii pentru locuitorii Capitalei și navetiștii atrași de oraș </w:t>
            </w:r>
          </w:p>
          <w:p w14:paraId="15675C99"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Promovarea incluziunii sociale a copiilor și a tinerilor </w:t>
            </w:r>
          </w:p>
          <w:p w14:paraId="39582629"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Promovarea incluziunii sociale a vârstnicilor </w:t>
            </w:r>
            <w:r w:rsidRPr="00E23578">
              <w:rPr>
                <w:rFonts w:cstheme="minorHAnsi"/>
              </w:rPr>
              <w:sym w:font="Symbol" w:char="F0B7"/>
            </w:r>
            <w:r w:rsidRPr="00E23578">
              <w:rPr>
                <w:rFonts w:cstheme="minorHAnsi"/>
              </w:rPr>
              <w:t xml:space="preserve"> Promovarea incluziunii sociale a persoanelor cu dizabilități </w:t>
            </w:r>
          </w:p>
          <w:p w14:paraId="05BCBECD"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Promovarea incluziunii sociale a altor grupuri defavorizate, inclusiv migranți</w:t>
            </w:r>
          </w:p>
        </w:tc>
      </w:tr>
      <w:tr w:rsidR="00496A2A" w:rsidRPr="00E23578" w14:paraId="03443005" w14:textId="77777777" w:rsidTr="00C6421E">
        <w:trPr>
          <w:cnfStyle w:val="000000010000" w:firstRow="0" w:lastRow="0" w:firstColumn="0" w:lastColumn="0" w:oddVBand="0" w:evenVBand="0" w:oddHBand="0" w:evenHBand="1" w:firstRowFirstColumn="0" w:firstRowLastColumn="0" w:lastRowFirstColumn="0" w:lastRowLastColumn="0"/>
          <w:trHeight w:val="692"/>
        </w:trPr>
        <w:tc>
          <w:tcPr>
            <w:tcW w:w="1666" w:type="dxa"/>
            <w:vMerge w:val="restart"/>
          </w:tcPr>
          <w:p w14:paraId="075328D3" w14:textId="77777777" w:rsidR="00496A2A" w:rsidRPr="00E23578" w:rsidRDefault="00496A2A" w:rsidP="00C6421E">
            <w:pPr>
              <w:jc w:val="left"/>
              <w:rPr>
                <w:rFonts w:cstheme="minorHAnsi"/>
              </w:rPr>
            </w:pPr>
            <w:r w:rsidRPr="00E23578">
              <w:rPr>
                <w:rFonts w:cstheme="minorHAnsi"/>
              </w:rPr>
              <w:t>O2 – Sector competitiv și inovator, atractiv pentru forța de muncă, antreprenoriat și investiții în domenii cu valoare adăugată mare</w:t>
            </w:r>
          </w:p>
          <w:p w14:paraId="1C51D58F" w14:textId="77777777" w:rsidR="00496A2A" w:rsidRPr="00E23578" w:rsidRDefault="00496A2A" w:rsidP="00C6421E">
            <w:pPr>
              <w:jc w:val="left"/>
              <w:rPr>
                <w:rFonts w:cstheme="minorHAnsi"/>
              </w:rPr>
            </w:pPr>
          </w:p>
        </w:tc>
        <w:tc>
          <w:tcPr>
            <w:tcW w:w="2109" w:type="dxa"/>
          </w:tcPr>
          <w:p w14:paraId="0A7A9D8D" w14:textId="77777777" w:rsidR="00496A2A" w:rsidRPr="00E23578" w:rsidRDefault="00496A2A" w:rsidP="00C6421E">
            <w:pPr>
              <w:jc w:val="left"/>
              <w:rPr>
                <w:rFonts w:cstheme="minorHAnsi"/>
              </w:rPr>
            </w:pPr>
            <w:r w:rsidRPr="00E23578">
              <w:rPr>
                <w:rFonts w:cstheme="minorHAnsi"/>
              </w:rPr>
              <w:t>O2.1.-Infrastructură de afaceri atractivă pentru investitori</w:t>
            </w:r>
          </w:p>
        </w:tc>
        <w:tc>
          <w:tcPr>
            <w:tcW w:w="3330" w:type="dxa"/>
          </w:tcPr>
          <w:p w14:paraId="1CFAF275" w14:textId="77777777" w:rsidR="00496A2A" w:rsidRPr="00E23578" w:rsidRDefault="00496A2A" w:rsidP="00C6421E">
            <w:pPr>
              <w:spacing w:before="0"/>
              <w:jc w:val="left"/>
              <w:rPr>
                <w:rFonts w:cstheme="minorHAnsi"/>
                <w:szCs w:val="20"/>
              </w:rPr>
            </w:pPr>
            <w:r w:rsidRPr="00E23578">
              <w:rPr>
                <w:rFonts w:cstheme="minorHAnsi"/>
              </w:rPr>
              <w:t>D2.1.1. Dezvoltarea, prin intermediul Parteneriatului Public-Privat, a infrastructurii de afaceri moderne din Sectorul 2 (parcuri industriale, clădiri de birouri, etc.)</w:t>
            </w:r>
          </w:p>
          <w:p w14:paraId="623429E0" w14:textId="77777777" w:rsidR="00496A2A" w:rsidRPr="00E23578" w:rsidRDefault="00496A2A" w:rsidP="00C6421E">
            <w:pPr>
              <w:spacing w:before="0"/>
              <w:jc w:val="left"/>
              <w:rPr>
                <w:rFonts w:cstheme="minorHAnsi"/>
                <w:szCs w:val="20"/>
              </w:rPr>
            </w:pPr>
            <w:r w:rsidRPr="00E23578">
              <w:rPr>
                <w:rFonts w:cstheme="minorHAnsi"/>
              </w:rPr>
              <w:t>D2.1.2. Creșterea capacității administrative prin simplificarea procedurilor privind oferirea serviciilor publice pentru mediul de afaceri</w:t>
            </w:r>
          </w:p>
          <w:p w14:paraId="06375922" w14:textId="77777777" w:rsidR="00496A2A" w:rsidRPr="00E23578" w:rsidRDefault="00496A2A" w:rsidP="00C6421E">
            <w:pPr>
              <w:jc w:val="left"/>
              <w:rPr>
                <w:rFonts w:cstheme="minorHAnsi"/>
              </w:rPr>
            </w:pPr>
            <w:r w:rsidRPr="00E23578">
              <w:rPr>
                <w:rFonts w:cstheme="minorHAnsi"/>
              </w:rPr>
              <w:t>D2.1.3. Valorificarea rezervelor de teren și promovarea coerentă ca destinație atractivă pentru investiții </w:t>
            </w:r>
          </w:p>
        </w:tc>
        <w:tc>
          <w:tcPr>
            <w:tcW w:w="2340" w:type="dxa"/>
          </w:tcPr>
          <w:p w14:paraId="14633044" w14:textId="77777777" w:rsidR="00496A2A" w:rsidRPr="00E23578" w:rsidRDefault="00496A2A" w:rsidP="00C6421E">
            <w:pPr>
              <w:jc w:val="left"/>
              <w:rPr>
                <w:rFonts w:cstheme="minorHAnsi"/>
              </w:rPr>
            </w:pPr>
            <w:r w:rsidRPr="00E23578">
              <w:rPr>
                <w:rFonts w:cstheme="minorHAnsi"/>
              </w:rPr>
              <w:t>OS 2 Orașul inovativ Susținerea tranziției la o economie inteligentă și competitivă în context global, bazată pe talente</w:t>
            </w:r>
          </w:p>
        </w:tc>
        <w:tc>
          <w:tcPr>
            <w:tcW w:w="4590" w:type="dxa"/>
          </w:tcPr>
          <w:p w14:paraId="3C3F5C0C" w14:textId="77777777" w:rsidR="00496A2A" w:rsidRPr="00E23578" w:rsidRDefault="00496A2A" w:rsidP="00C6421E">
            <w:pPr>
              <w:jc w:val="left"/>
              <w:rPr>
                <w:rFonts w:cstheme="minorHAnsi"/>
              </w:rPr>
            </w:pPr>
            <w:r w:rsidRPr="00E23578">
              <w:rPr>
                <w:rFonts w:cstheme="minorHAnsi"/>
              </w:rPr>
              <w:t xml:space="preserve">2.2. Încurajarea antreprenoriatului și sprijinirea imm-urilor active </w:t>
            </w:r>
          </w:p>
          <w:p w14:paraId="65BB0CCD"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infrastructurii și a serviciilor suport pentru antreprenori </w:t>
            </w:r>
          </w:p>
          <w:p w14:paraId="53E70982"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Stimularea antreprenoriatului prin măsuri locale </w:t>
            </w:r>
          </w:p>
          <w:p w14:paraId="6164B5C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Sprijinirea financiară a IMM-urilor în vederea dezvoltării și internaționalizării, precum și a depășirii efectelor crizei provocate de Covid 19 </w:t>
            </w:r>
          </w:p>
          <w:p w14:paraId="6F9EDFF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Digitalizarea sectorului IMM în vederea alinierii la trendurile globale</w:t>
            </w:r>
          </w:p>
          <w:p w14:paraId="3D041CC4" w14:textId="77777777" w:rsidR="00496A2A" w:rsidRPr="00E23578" w:rsidRDefault="00496A2A" w:rsidP="00C6421E">
            <w:pPr>
              <w:jc w:val="left"/>
              <w:rPr>
                <w:rFonts w:cstheme="minorHAnsi"/>
              </w:rPr>
            </w:pPr>
            <w:r w:rsidRPr="00E23578">
              <w:rPr>
                <w:rFonts w:cstheme="minorHAnsi"/>
              </w:rPr>
              <w:t xml:space="preserve">2.5. Consolidarea cooperării dintre mediul de afaceri și administrația publică locală </w:t>
            </w:r>
          </w:p>
          <w:p w14:paraId="61D07107"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Întărirea dialogului dintre mediul de afaceri și administrația locală </w:t>
            </w:r>
          </w:p>
          <w:p w14:paraId="148D13FB"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Încurajarea activităților de responsabilitate socială corporativă ale companiilor locale</w:t>
            </w:r>
          </w:p>
        </w:tc>
      </w:tr>
      <w:tr w:rsidR="00496A2A" w:rsidRPr="00E23578" w14:paraId="5BCEB0FE" w14:textId="77777777" w:rsidTr="00C6421E">
        <w:trPr>
          <w:cnfStyle w:val="000000100000" w:firstRow="0" w:lastRow="0" w:firstColumn="0" w:lastColumn="0" w:oddVBand="0" w:evenVBand="0" w:oddHBand="1" w:evenHBand="0" w:firstRowFirstColumn="0" w:firstRowLastColumn="0" w:lastRowFirstColumn="0" w:lastRowLastColumn="0"/>
          <w:trHeight w:val="1403"/>
        </w:trPr>
        <w:tc>
          <w:tcPr>
            <w:tcW w:w="1666" w:type="dxa"/>
            <w:vMerge/>
          </w:tcPr>
          <w:p w14:paraId="69F2ED41" w14:textId="77777777" w:rsidR="00496A2A" w:rsidRPr="00E23578" w:rsidRDefault="00496A2A" w:rsidP="00C6421E">
            <w:pPr>
              <w:jc w:val="left"/>
              <w:rPr>
                <w:rFonts w:cstheme="minorHAnsi"/>
              </w:rPr>
            </w:pPr>
          </w:p>
        </w:tc>
        <w:tc>
          <w:tcPr>
            <w:tcW w:w="2109" w:type="dxa"/>
          </w:tcPr>
          <w:p w14:paraId="2784D4B9" w14:textId="77777777" w:rsidR="00496A2A" w:rsidRPr="00E23578" w:rsidRDefault="00496A2A" w:rsidP="00C6421E">
            <w:pPr>
              <w:jc w:val="left"/>
              <w:rPr>
                <w:rFonts w:cstheme="minorHAnsi"/>
              </w:rPr>
            </w:pPr>
            <w:r w:rsidRPr="00E23578">
              <w:rPr>
                <w:rFonts w:cstheme="minorHAnsi"/>
              </w:rPr>
              <w:t>O2.2. - Sectorul 2 implicat în dezvoltarea și valorificarea resursei umane</w:t>
            </w:r>
          </w:p>
        </w:tc>
        <w:tc>
          <w:tcPr>
            <w:tcW w:w="3330" w:type="dxa"/>
          </w:tcPr>
          <w:p w14:paraId="2DE17C39" w14:textId="77777777" w:rsidR="00496A2A" w:rsidRPr="00E23578" w:rsidRDefault="00496A2A" w:rsidP="00C6421E">
            <w:pPr>
              <w:spacing w:before="0"/>
              <w:jc w:val="left"/>
              <w:rPr>
                <w:rFonts w:cstheme="minorHAnsi"/>
                <w:szCs w:val="20"/>
              </w:rPr>
            </w:pPr>
            <w:r w:rsidRPr="00E23578">
              <w:rPr>
                <w:rFonts w:cstheme="minorHAnsi"/>
              </w:rPr>
              <w:t>D.2.2.1. Calificarea, recalificarea și formarea continuă a forței de muncă din Sectorul 2, pentru o mai bună corelare a pieței forței de muncă, respectiv, pentru diminuarea fenomenului de șomaj</w:t>
            </w:r>
          </w:p>
          <w:p w14:paraId="3E676755" w14:textId="77777777" w:rsidR="00496A2A" w:rsidRPr="00E23578" w:rsidRDefault="00496A2A" w:rsidP="00C6421E">
            <w:pPr>
              <w:jc w:val="left"/>
              <w:rPr>
                <w:rFonts w:cstheme="minorHAnsi"/>
              </w:rPr>
            </w:pPr>
            <w:r w:rsidRPr="00E23578">
              <w:rPr>
                <w:rFonts w:cstheme="minorHAnsi"/>
              </w:rPr>
              <w:t>D2.2.2. Facilitarea atragerii, retenției și integrării forței de muncă din afara Sectorului 2 / din afara Capitalei</w:t>
            </w:r>
          </w:p>
        </w:tc>
        <w:tc>
          <w:tcPr>
            <w:tcW w:w="2340" w:type="dxa"/>
          </w:tcPr>
          <w:p w14:paraId="1FF3EC71" w14:textId="77777777" w:rsidR="00496A2A" w:rsidRPr="00E23578" w:rsidRDefault="00496A2A" w:rsidP="00C6421E">
            <w:pPr>
              <w:jc w:val="left"/>
              <w:rPr>
                <w:rFonts w:cstheme="minorHAnsi"/>
              </w:rPr>
            </w:pPr>
            <w:r w:rsidRPr="00E23578">
              <w:rPr>
                <w:rFonts w:cstheme="minorHAnsi"/>
              </w:rPr>
              <w:t>OS 2 Orașul inovativ Susținerea tranziției la o economie inteligentă și competitivă în context global, bazată pe talente</w:t>
            </w:r>
          </w:p>
        </w:tc>
        <w:tc>
          <w:tcPr>
            <w:tcW w:w="4590" w:type="dxa"/>
          </w:tcPr>
          <w:p w14:paraId="6BC2663E" w14:textId="77777777" w:rsidR="00496A2A" w:rsidRPr="00E23578" w:rsidRDefault="00496A2A" w:rsidP="00C6421E">
            <w:pPr>
              <w:jc w:val="left"/>
              <w:rPr>
                <w:rFonts w:cstheme="minorHAnsi"/>
              </w:rPr>
            </w:pPr>
            <w:r w:rsidRPr="00E23578">
              <w:rPr>
                <w:rFonts w:cstheme="minorHAnsi"/>
              </w:rPr>
              <w:t xml:space="preserve">2.3. Asigurarea necesarului de competente pe piața muncii </w:t>
            </w:r>
          </w:p>
          <w:p w14:paraId="1BD9456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Încurajarea atragerii de forță de muncă calificată din țară și din străinătate </w:t>
            </w:r>
          </w:p>
          <w:p w14:paraId="79480AAE"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Adaptarea ofertei de educație și de formare continuă la noile dinamici ale pieței muncii</w:t>
            </w:r>
          </w:p>
        </w:tc>
      </w:tr>
      <w:tr w:rsidR="00496A2A" w:rsidRPr="00E23578" w14:paraId="2426D735" w14:textId="77777777" w:rsidTr="00C6421E">
        <w:trPr>
          <w:cnfStyle w:val="000000010000" w:firstRow="0" w:lastRow="0" w:firstColumn="0" w:lastColumn="0" w:oddVBand="0" w:evenVBand="0" w:oddHBand="0" w:evenHBand="1" w:firstRowFirstColumn="0" w:firstRowLastColumn="0" w:lastRowFirstColumn="0" w:lastRowLastColumn="0"/>
        </w:trPr>
        <w:tc>
          <w:tcPr>
            <w:tcW w:w="1666" w:type="dxa"/>
            <w:vMerge/>
          </w:tcPr>
          <w:p w14:paraId="2368DCD0" w14:textId="77777777" w:rsidR="00496A2A" w:rsidRPr="00E23578" w:rsidRDefault="00496A2A" w:rsidP="00C6421E">
            <w:pPr>
              <w:jc w:val="left"/>
              <w:rPr>
                <w:rFonts w:cstheme="minorHAnsi"/>
              </w:rPr>
            </w:pPr>
          </w:p>
        </w:tc>
        <w:tc>
          <w:tcPr>
            <w:tcW w:w="2109" w:type="dxa"/>
          </w:tcPr>
          <w:p w14:paraId="08EBD78E" w14:textId="77777777" w:rsidR="00496A2A" w:rsidRPr="00E23578" w:rsidRDefault="00496A2A" w:rsidP="00C6421E">
            <w:pPr>
              <w:jc w:val="left"/>
              <w:rPr>
                <w:rFonts w:cstheme="minorHAnsi"/>
              </w:rPr>
            </w:pPr>
            <w:r w:rsidRPr="00E23578">
              <w:rPr>
                <w:rFonts w:cstheme="minorHAnsi"/>
              </w:rPr>
              <w:t>O2.3. - Sectorul 2 – implicat în dezvoltarea și creșterea economică bazată pe cercetare, inovare și parteneriate</w:t>
            </w:r>
          </w:p>
        </w:tc>
        <w:tc>
          <w:tcPr>
            <w:tcW w:w="3330" w:type="dxa"/>
          </w:tcPr>
          <w:p w14:paraId="5AB91AB5" w14:textId="77777777" w:rsidR="00496A2A" w:rsidRPr="00E23578" w:rsidRDefault="00496A2A" w:rsidP="00C6421E">
            <w:pPr>
              <w:jc w:val="left"/>
              <w:rPr>
                <w:rFonts w:cstheme="minorHAnsi"/>
              </w:rPr>
            </w:pPr>
            <w:r w:rsidRPr="00E23578">
              <w:rPr>
                <w:rFonts w:cstheme="minorHAnsi"/>
              </w:rPr>
              <w:t>D2.3.1. Creșterea potențialului de Cercetare-Dezvoltare-Inovare și transfer tehnologic, prin dezvoltarea serviciilor și a infrastructurii favorabile aferente, respectiv prin promovarea colaborării cu universitățile din sector și Capitală</w:t>
            </w:r>
          </w:p>
        </w:tc>
        <w:tc>
          <w:tcPr>
            <w:tcW w:w="2340" w:type="dxa"/>
          </w:tcPr>
          <w:p w14:paraId="0A426D78" w14:textId="77777777" w:rsidR="00496A2A" w:rsidRPr="00E23578" w:rsidRDefault="00496A2A" w:rsidP="00C6421E">
            <w:pPr>
              <w:jc w:val="left"/>
              <w:rPr>
                <w:rFonts w:cstheme="minorHAnsi"/>
              </w:rPr>
            </w:pPr>
            <w:r w:rsidRPr="00E23578">
              <w:rPr>
                <w:rFonts w:cstheme="minorHAnsi"/>
              </w:rPr>
              <w:t>OS 2 Orașul inovativ Susținerea tranziției la o economie inteligentă și competitivă în context global, bazată pe talente</w:t>
            </w:r>
          </w:p>
        </w:tc>
        <w:tc>
          <w:tcPr>
            <w:tcW w:w="4590" w:type="dxa"/>
          </w:tcPr>
          <w:p w14:paraId="316E54A9" w14:textId="77777777" w:rsidR="00496A2A" w:rsidRPr="00E23578" w:rsidRDefault="00496A2A" w:rsidP="00C6421E">
            <w:pPr>
              <w:jc w:val="left"/>
              <w:rPr>
                <w:rFonts w:cstheme="minorHAnsi"/>
              </w:rPr>
            </w:pPr>
            <w:r w:rsidRPr="00E23578">
              <w:rPr>
                <w:rFonts w:cstheme="minorHAnsi"/>
              </w:rPr>
              <w:t xml:space="preserve">2.1. Atragerea de investițiii în domenii de specializare inteligentă </w:t>
            </w:r>
          </w:p>
          <w:p w14:paraId="70B2967B"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de noi poli de afaceri la nivel local și metropolitan </w:t>
            </w:r>
          </w:p>
          <w:p w14:paraId="0E43EAA4"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Promovarea imaginii Capitalei și a zonei sale urbane funcționale ca hub economic de importanță europeană</w:t>
            </w:r>
          </w:p>
          <w:p w14:paraId="5E8D5617" w14:textId="77777777" w:rsidR="00496A2A" w:rsidRPr="00E23578" w:rsidRDefault="00496A2A" w:rsidP="00C6421E">
            <w:pPr>
              <w:jc w:val="left"/>
              <w:rPr>
                <w:rFonts w:cstheme="minorHAnsi"/>
              </w:rPr>
            </w:pPr>
            <w:r w:rsidRPr="00E23578">
              <w:rPr>
                <w:rFonts w:cstheme="minorHAnsi"/>
              </w:rPr>
              <w:t xml:space="preserve">2.4. Susținerea dezvoltării sectorului cdi, a transferului de know-how și tehnologie avansată </w:t>
            </w:r>
          </w:p>
          <w:p w14:paraId="6F2C9941"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Sprijinirea creării și dezvoltării infrastructurii publice și private de CDI </w:t>
            </w:r>
          </w:p>
          <w:p w14:paraId="1D0037D8"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Sprijinirea transferului tehnologic, în scopul comercializării rezultatelor activității de CDI </w:t>
            </w:r>
          </w:p>
          <w:p w14:paraId="2C6B1C3B"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Sprijinirea funcționării și a dezvoltării clusterelor din domeniile de specializare inteligentă</w:t>
            </w:r>
          </w:p>
        </w:tc>
      </w:tr>
      <w:tr w:rsidR="00496A2A" w:rsidRPr="00E23578" w14:paraId="4CFA1E75" w14:textId="77777777" w:rsidTr="00C6421E">
        <w:trPr>
          <w:cnfStyle w:val="000000100000" w:firstRow="0" w:lastRow="0" w:firstColumn="0" w:lastColumn="0" w:oddVBand="0" w:evenVBand="0" w:oddHBand="1" w:evenHBand="0" w:firstRowFirstColumn="0" w:firstRowLastColumn="0" w:lastRowFirstColumn="0" w:lastRowLastColumn="0"/>
        </w:trPr>
        <w:tc>
          <w:tcPr>
            <w:tcW w:w="1666" w:type="dxa"/>
            <w:vMerge w:val="restart"/>
          </w:tcPr>
          <w:p w14:paraId="011AC295" w14:textId="77777777" w:rsidR="00496A2A" w:rsidRPr="00E23578" w:rsidRDefault="00496A2A" w:rsidP="00C6421E">
            <w:pPr>
              <w:jc w:val="left"/>
              <w:rPr>
                <w:rFonts w:cstheme="minorHAnsi"/>
              </w:rPr>
            </w:pPr>
            <w:r w:rsidRPr="00E23578">
              <w:rPr>
                <w:rFonts w:cstheme="minorHAnsi"/>
              </w:rPr>
              <w:t>O3 -  Sector neutru din punct de vedere climatic, cu o infrastructură eficientă și modernă</w:t>
            </w:r>
          </w:p>
          <w:p w14:paraId="7AA775B0" w14:textId="77777777" w:rsidR="00496A2A" w:rsidRPr="00E23578" w:rsidRDefault="00496A2A" w:rsidP="00C6421E">
            <w:pPr>
              <w:jc w:val="left"/>
              <w:rPr>
                <w:rFonts w:cstheme="minorHAnsi"/>
              </w:rPr>
            </w:pPr>
          </w:p>
        </w:tc>
        <w:tc>
          <w:tcPr>
            <w:tcW w:w="2109" w:type="dxa"/>
          </w:tcPr>
          <w:p w14:paraId="055ADD8C" w14:textId="77777777" w:rsidR="00496A2A" w:rsidRPr="00E23578" w:rsidRDefault="00496A2A" w:rsidP="00C6421E">
            <w:pPr>
              <w:jc w:val="left"/>
              <w:rPr>
                <w:rFonts w:cstheme="minorHAnsi"/>
              </w:rPr>
            </w:pPr>
            <w:r w:rsidRPr="00E23578">
              <w:rPr>
                <w:rFonts w:cstheme="minorHAnsi"/>
              </w:rPr>
              <w:t>O3.1. - Sector sigur, cu emisii scăzute de gaze cu efect de seră datorită sistemului energetic performant</w:t>
            </w:r>
          </w:p>
          <w:p w14:paraId="09F20593" w14:textId="77777777" w:rsidR="00496A2A" w:rsidRPr="00E23578" w:rsidRDefault="00496A2A" w:rsidP="00C6421E">
            <w:pPr>
              <w:jc w:val="left"/>
              <w:rPr>
                <w:rFonts w:cstheme="minorHAnsi"/>
              </w:rPr>
            </w:pPr>
          </w:p>
        </w:tc>
        <w:tc>
          <w:tcPr>
            <w:tcW w:w="3330" w:type="dxa"/>
          </w:tcPr>
          <w:p w14:paraId="24CC9758" w14:textId="77777777" w:rsidR="00496A2A" w:rsidRPr="00E23578" w:rsidRDefault="00496A2A" w:rsidP="00C6421E">
            <w:pPr>
              <w:jc w:val="left"/>
              <w:rPr>
                <w:rFonts w:cstheme="minorHAnsi"/>
              </w:rPr>
            </w:pPr>
            <w:r w:rsidRPr="00E23578">
              <w:rPr>
                <w:rFonts w:cstheme="minorHAnsi"/>
              </w:rPr>
              <w:t>D3.1.1.</w:t>
            </w:r>
            <w:r w:rsidRPr="00E23578">
              <w:rPr>
                <w:rFonts w:cstheme="minorHAnsi"/>
              </w:rPr>
              <w:tab/>
              <w:t xml:space="preserve"> Consolidarea și eficientizarea energetică a fondului construit</w:t>
            </w:r>
          </w:p>
          <w:p w14:paraId="57D6D49F" w14:textId="77777777" w:rsidR="00496A2A" w:rsidRPr="00E23578" w:rsidRDefault="00496A2A" w:rsidP="00C6421E">
            <w:pPr>
              <w:spacing w:before="0"/>
              <w:jc w:val="left"/>
              <w:rPr>
                <w:rFonts w:cstheme="minorHAnsi"/>
                <w:szCs w:val="20"/>
              </w:rPr>
            </w:pPr>
            <w:r w:rsidRPr="00E23578">
              <w:rPr>
                <w:rFonts w:cstheme="minorHAnsi"/>
              </w:rPr>
              <w:t>D3.1.2.</w:t>
            </w:r>
            <w:r w:rsidRPr="00E23578">
              <w:rPr>
                <w:rFonts w:cstheme="minorHAnsi"/>
              </w:rPr>
              <w:tab/>
              <w:t xml:space="preserve"> Modernizarea infrastructurii energetice</w:t>
            </w:r>
          </w:p>
          <w:p w14:paraId="67A7C6CE" w14:textId="77777777" w:rsidR="00496A2A" w:rsidRPr="00E23578" w:rsidRDefault="00496A2A" w:rsidP="00C6421E">
            <w:pPr>
              <w:jc w:val="left"/>
              <w:rPr>
                <w:rFonts w:cstheme="minorHAnsi"/>
              </w:rPr>
            </w:pPr>
            <w:r w:rsidRPr="00E23578">
              <w:rPr>
                <w:rFonts w:cstheme="minorHAnsi"/>
              </w:rPr>
              <w:t>D3.1.3.</w:t>
            </w:r>
            <w:r w:rsidRPr="00E23578">
              <w:rPr>
                <w:rFonts w:cstheme="minorHAnsi"/>
              </w:rPr>
              <w:tab/>
              <w:t xml:space="preserve"> Promovarea utilizării energiei regenerabile</w:t>
            </w:r>
          </w:p>
        </w:tc>
        <w:tc>
          <w:tcPr>
            <w:tcW w:w="2340" w:type="dxa"/>
          </w:tcPr>
          <w:p w14:paraId="2A82AE05" w14:textId="77777777" w:rsidR="00496A2A" w:rsidRPr="00E23578" w:rsidRDefault="00496A2A" w:rsidP="00C6421E">
            <w:pPr>
              <w:jc w:val="left"/>
              <w:rPr>
                <w:rFonts w:cstheme="minorHAnsi"/>
              </w:rPr>
            </w:pPr>
            <w:r w:rsidRPr="00E23578">
              <w:rPr>
                <w:rFonts w:cstheme="minorHAnsi"/>
              </w:rPr>
              <w:t>OS 3 Orașul durabil Conservarea patrimoniului natural, reducerea poluării, a emisiilor de gaze cu efect de seră, și limitarea efectelor riscurilor</w:t>
            </w:r>
          </w:p>
          <w:p w14:paraId="725ABFD8" w14:textId="77777777" w:rsidR="00496A2A" w:rsidRPr="00E23578" w:rsidRDefault="00496A2A" w:rsidP="00C6421E">
            <w:pPr>
              <w:jc w:val="left"/>
              <w:rPr>
                <w:rFonts w:cstheme="minorHAnsi"/>
              </w:rPr>
            </w:pPr>
            <w:r w:rsidRPr="00E23578">
              <w:rPr>
                <w:rFonts w:cstheme="minorHAnsi"/>
              </w:rPr>
              <w:t>OS 1 Orașul conectat Promovarea mobilității urbane durabile și creșterea accesibilității la rețele de transport, energie, comunicații</w:t>
            </w:r>
          </w:p>
        </w:tc>
        <w:tc>
          <w:tcPr>
            <w:tcW w:w="4590" w:type="dxa"/>
          </w:tcPr>
          <w:p w14:paraId="1E7EACFE" w14:textId="77777777" w:rsidR="00496A2A" w:rsidRPr="00E23578" w:rsidRDefault="00496A2A" w:rsidP="00C6421E">
            <w:pPr>
              <w:jc w:val="left"/>
              <w:rPr>
                <w:rFonts w:cstheme="minorHAnsi"/>
              </w:rPr>
            </w:pPr>
            <w:r w:rsidRPr="00E23578">
              <w:rPr>
                <w:rFonts w:cstheme="minorHAnsi"/>
              </w:rPr>
              <w:t xml:space="preserve">3.1. Îmbunătățirea performanței energetice a clădirilor publice și private </w:t>
            </w:r>
          </w:p>
          <w:p w14:paraId="7CBF58EC"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Creșterea eficienței energetice a clădirilor rezidențiale </w:t>
            </w:r>
          </w:p>
          <w:p w14:paraId="53C34EF8"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Creșterea eficienței energetice a clădirilor publice</w:t>
            </w:r>
          </w:p>
          <w:p w14:paraId="06B9560A" w14:textId="77777777" w:rsidR="00496A2A" w:rsidRPr="00E23578" w:rsidRDefault="00496A2A" w:rsidP="00C6421E">
            <w:pPr>
              <w:jc w:val="left"/>
              <w:rPr>
                <w:rFonts w:cstheme="minorHAnsi"/>
              </w:rPr>
            </w:pPr>
            <w:r w:rsidRPr="00E23578">
              <w:rPr>
                <w:rFonts w:cstheme="minorHAnsi"/>
              </w:rPr>
              <w:t xml:space="preserve">1.6. Extinderea și modernizarea infrastructurii de energie electrica si asigurarea accesului la telecomunicații </w:t>
            </w:r>
          </w:p>
          <w:p w14:paraId="0F267E39"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Asigurarea aprovizionării din SEN cu necesarul de energie electrică a Capitalei și a zonei sale urbane funcționale </w:t>
            </w:r>
          </w:p>
          <w:p w14:paraId="52C51A36" w14:textId="7D624E39"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Îmbunătăţirea sistemului de distribuție a energiei electrice la consumatori </w:t>
            </w:r>
          </w:p>
          <w:p w14:paraId="6E8B6AB9"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infrastructurii de internet în bandă largă</w:t>
            </w:r>
          </w:p>
          <w:p w14:paraId="758A24A1" w14:textId="77777777" w:rsidR="00496A2A" w:rsidRPr="00E23578" w:rsidRDefault="00496A2A" w:rsidP="00C6421E">
            <w:pPr>
              <w:jc w:val="left"/>
              <w:rPr>
                <w:rFonts w:cstheme="minorHAnsi"/>
              </w:rPr>
            </w:pPr>
            <w:r w:rsidRPr="00E23578">
              <w:rPr>
                <w:rFonts w:cstheme="minorHAnsi"/>
              </w:rPr>
              <w:t xml:space="preserve">3.2. Reabilitarea și creșterea eficienței energetice a sistemului centralizat de energie termica </w:t>
            </w:r>
          </w:p>
          <w:p w14:paraId="4FAC2435"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capacităților de producție a energiei termice prin cogenerare sau trigenerare de înaltă eficiență și/sau pe bază de combustibili alternativi </w:t>
            </w:r>
          </w:p>
          <w:p w14:paraId="19F5D880"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Modernizarea / retehnologizarea centralelor termo-electrice existente în vederea conformării la cerințele de mediu și asigurării vârfurilor de consum </w:t>
            </w:r>
          </w:p>
          <w:p w14:paraId="077F78C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Reorganizarea modului de administrare a sistemului de alimentare centralizată cu energie termică</w:t>
            </w:r>
          </w:p>
          <w:p w14:paraId="40490857" w14:textId="77777777" w:rsidR="00496A2A" w:rsidRPr="00E23578" w:rsidRDefault="00496A2A" w:rsidP="00C6421E">
            <w:pPr>
              <w:jc w:val="left"/>
              <w:rPr>
                <w:rFonts w:cstheme="minorHAnsi"/>
              </w:rPr>
            </w:pPr>
            <w:r w:rsidRPr="00E23578">
              <w:rPr>
                <w:rFonts w:cstheme="minorHAnsi"/>
              </w:rPr>
              <w:t xml:space="preserve">3.3. Modernizarea și creșterea eficienței energetice a sistemului de iluminat public </w:t>
            </w:r>
          </w:p>
          <w:p w14:paraId="4CD1C53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Modernizarea infrastructurii de iluminat public în vederea reducerii consumului de energie și creșterii calității serviciului </w:t>
            </w:r>
          </w:p>
          <w:p w14:paraId="268810D2"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Extinderea și modernizarea infrastructurii de iluminat arhitectural</w:t>
            </w:r>
          </w:p>
        </w:tc>
      </w:tr>
      <w:tr w:rsidR="00496A2A" w:rsidRPr="00E23578" w14:paraId="53AA59BA" w14:textId="77777777" w:rsidTr="00C6421E">
        <w:trPr>
          <w:cnfStyle w:val="000000010000" w:firstRow="0" w:lastRow="0" w:firstColumn="0" w:lastColumn="0" w:oddVBand="0" w:evenVBand="0" w:oddHBand="0" w:evenHBand="1" w:firstRowFirstColumn="0" w:firstRowLastColumn="0" w:lastRowFirstColumn="0" w:lastRowLastColumn="0"/>
        </w:trPr>
        <w:tc>
          <w:tcPr>
            <w:tcW w:w="1666" w:type="dxa"/>
            <w:vMerge/>
          </w:tcPr>
          <w:p w14:paraId="326F4400" w14:textId="77777777" w:rsidR="00496A2A" w:rsidRPr="00E23578" w:rsidRDefault="00496A2A" w:rsidP="00C6421E">
            <w:pPr>
              <w:jc w:val="left"/>
              <w:rPr>
                <w:rFonts w:cstheme="minorHAnsi"/>
              </w:rPr>
            </w:pPr>
          </w:p>
        </w:tc>
        <w:tc>
          <w:tcPr>
            <w:tcW w:w="2109" w:type="dxa"/>
          </w:tcPr>
          <w:p w14:paraId="71907124" w14:textId="77777777" w:rsidR="00496A2A" w:rsidRPr="00E23578" w:rsidRDefault="00496A2A" w:rsidP="00C6421E">
            <w:pPr>
              <w:jc w:val="left"/>
              <w:rPr>
                <w:rFonts w:cstheme="minorHAnsi"/>
              </w:rPr>
            </w:pPr>
            <w:r w:rsidRPr="00E23578">
              <w:rPr>
                <w:rFonts w:cstheme="minorHAnsi"/>
              </w:rPr>
              <w:t>O3.2. - Rețea albastră-verde consolidată, extinsă și valorificată</w:t>
            </w:r>
          </w:p>
        </w:tc>
        <w:tc>
          <w:tcPr>
            <w:tcW w:w="3330" w:type="dxa"/>
          </w:tcPr>
          <w:p w14:paraId="4D51544F" w14:textId="77777777" w:rsidR="00496A2A" w:rsidRPr="00E23578" w:rsidRDefault="00496A2A" w:rsidP="00C6421E">
            <w:pPr>
              <w:spacing w:before="0"/>
              <w:jc w:val="left"/>
              <w:rPr>
                <w:rFonts w:cstheme="minorHAnsi"/>
                <w:szCs w:val="20"/>
              </w:rPr>
            </w:pPr>
            <w:r w:rsidRPr="00E23578">
              <w:rPr>
                <w:rFonts w:cstheme="minorHAnsi"/>
              </w:rPr>
              <w:t>D3.2.1. Ameliorarea calității apei și a peisajului în zona salbei de lacuri</w:t>
            </w:r>
          </w:p>
          <w:p w14:paraId="441C39A2" w14:textId="77777777" w:rsidR="00496A2A" w:rsidRPr="00E23578" w:rsidRDefault="00496A2A" w:rsidP="00C6421E">
            <w:pPr>
              <w:jc w:val="left"/>
              <w:rPr>
                <w:rFonts w:cstheme="minorHAnsi"/>
              </w:rPr>
            </w:pPr>
            <w:r w:rsidRPr="00E23578">
              <w:rPr>
                <w:rFonts w:cstheme="minorHAnsi"/>
              </w:rPr>
              <w:t>D3.1.2.</w:t>
            </w:r>
            <w:r w:rsidRPr="00E23578">
              <w:rPr>
                <w:rFonts w:cstheme="minorHAnsi"/>
              </w:rPr>
              <w:tab/>
              <w:t xml:space="preserve"> Reabilitarea spațiilor verzi majore din sector și constituirea de axe verzi secundare între acestea</w:t>
            </w:r>
          </w:p>
        </w:tc>
        <w:tc>
          <w:tcPr>
            <w:tcW w:w="2340" w:type="dxa"/>
          </w:tcPr>
          <w:p w14:paraId="09DBDB04" w14:textId="77777777" w:rsidR="00496A2A" w:rsidRPr="00E23578" w:rsidRDefault="00496A2A" w:rsidP="00C6421E">
            <w:pPr>
              <w:jc w:val="left"/>
              <w:rPr>
                <w:rFonts w:cstheme="minorHAnsi"/>
              </w:rPr>
            </w:pPr>
            <w:r w:rsidRPr="00E23578">
              <w:rPr>
                <w:rFonts w:cstheme="minorHAnsi"/>
              </w:rPr>
              <w:t>OS 3 Orașul durabil Conservarea patrimoniului natural, reducerea poluării, a emisiilor de gaze cu efect de seră, și limitarea efectelor riscurilor</w:t>
            </w:r>
          </w:p>
        </w:tc>
        <w:tc>
          <w:tcPr>
            <w:tcW w:w="4590" w:type="dxa"/>
          </w:tcPr>
          <w:p w14:paraId="526DCFCA" w14:textId="77777777" w:rsidR="00496A2A" w:rsidRPr="00E23578" w:rsidRDefault="00496A2A" w:rsidP="00C6421E">
            <w:pPr>
              <w:jc w:val="left"/>
              <w:rPr>
                <w:rFonts w:cstheme="minorHAnsi"/>
              </w:rPr>
            </w:pPr>
            <w:r w:rsidRPr="00E23578">
              <w:rPr>
                <w:rFonts w:cstheme="minorHAnsi"/>
              </w:rPr>
              <w:t xml:space="preserve">3.5. Reducerea poluării, și îmbunătățirea calității aerului, apelor și solului </w:t>
            </w:r>
          </w:p>
          <w:p w14:paraId="59C96015"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calității aerului, inclusiv în spațiile interioare, prin actualizarea și implementarea planurilor de îmbunătățire și menținere a calității aerului. </w:t>
            </w:r>
          </w:p>
          <w:p w14:paraId="1D77EE75"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calității apelor de suprafață și subterane. </w:t>
            </w:r>
          </w:p>
          <w:p w14:paraId="1D03B667"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Prevenirea și reducerea poluării fonice, prin actualizarea și implementarea Planului de Acțiune pentru prevenirea și reducerea zgomotului ambiental. </w:t>
            </w:r>
          </w:p>
          <w:p w14:paraId="3279543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serviciilor de alimentare cu apă potabilă, canalizare și tratare a apelor uzate.</w:t>
            </w:r>
          </w:p>
          <w:p w14:paraId="73A1017F" w14:textId="77777777" w:rsidR="00496A2A" w:rsidRPr="00E23578" w:rsidRDefault="00496A2A" w:rsidP="00C6421E">
            <w:pPr>
              <w:jc w:val="left"/>
              <w:rPr>
                <w:rFonts w:cstheme="minorHAnsi"/>
              </w:rPr>
            </w:pPr>
            <w:r w:rsidRPr="00E23578">
              <w:rPr>
                <w:rFonts w:cstheme="minorHAnsi"/>
              </w:rPr>
              <w:t xml:space="preserve">3.6. Conservarea patrimoniului natural și dezvoltarea infrastructurii verzi </w:t>
            </w:r>
          </w:p>
          <w:p w14:paraId="02C34978"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Protecția și valorificarea durabilă a ariilor naturale protejate și a ecosistemelor degradate. </w:t>
            </w:r>
          </w:p>
          <w:p w14:paraId="18E63C77"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Extinderea rețelei de spații verzi, inclusiv prin reconversia unor terenuri degradate / abandonate.</w:t>
            </w:r>
          </w:p>
        </w:tc>
      </w:tr>
      <w:tr w:rsidR="00496A2A" w:rsidRPr="00E23578" w14:paraId="6596B5CE" w14:textId="77777777" w:rsidTr="00C6421E">
        <w:trPr>
          <w:cnfStyle w:val="000000100000" w:firstRow="0" w:lastRow="0" w:firstColumn="0" w:lastColumn="0" w:oddVBand="0" w:evenVBand="0" w:oddHBand="1" w:evenHBand="0" w:firstRowFirstColumn="0" w:firstRowLastColumn="0" w:lastRowFirstColumn="0" w:lastRowLastColumn="0"/>
          <w:trHeight w:val="1637"/>
        </w:trPr>
        <w:tc>
          <w:tcPr>
            <w:tcW w:w="1666" w:type="dxa"/>
            <w:vMerge/>
          </w:tcPr>
          <w:p w14:paraId="494123C3" w14:textId="77777777" w:rsidR="00496A2A" w:rsidRPr="00E23578" w:rsidRDefault="00496A2A" w:rsidP="00C6421E">
            <w:pPr>
              <w:jc w:val="left"/>
              <w:rPr>
                <w:rFonts w:cstheme="minorHAnsi"/>
              </w:rPr>
            </w:pPr>
          </w:p>
        </w:tc>
        <w:tc>
          <w:tcPr>
            <w:tcW w:w="2109" w:type="dxa"/>
          </w:tcPr>
          <w:p w14:paraId="6305DEF5" w14:textId="77777777" w:rsidR="00496A2A" w:rsidRPr="00E23578" w:rsidRDefault="00496A2A" w:rsidP="00C6421E">
            <w:pPr>
              <w:jc w:val="left"/>
              <w:rPr>
                <w:rFonts w:cstheme="minorHAnsi"/>
              </w:rPr>
            </w:pPr>
            <w:r w:rsidRPr="00E23578">
              <w:rPr>
                <w:rFonts w:cstheme="minorHAnsi"/>
              </w:rPr>
              <w:t>O3.3. - Infrastructură de mediu modernă</w:t>
            </w:r>
          </w:p>
        </w:tc>
        <w:tc>
          <w:tcPr>
            <w:tcW w:w="3330" w:type="dxa"/>
          </w:tcPr>
          <w:p w14:paraId="73474527" w14:textId="77777777" w:rsidR="00496A2A" w:rsidRPr="00E23578" w:rsidRDefault="00496A2A" w:rsidP="00C6421E">
            <w:pPr>
              <w:spacing w:before="0"/>
              <w:jc w:val="left"/>
              <w:rPr>
                <w:rFonts w:cstheme="minorHAnsi"/>
                <w:szCs w:val="20"/>
              </w:rPr>
            </w:pPr>
            <w:r w:rsidRPr="00E23578">
              <w:rPr>
                <w:rFonts w:cstheme="minorHAnsi"/>
              </w:rPr>
              <w:t>D3.3.1. Modernizarea infrastructurii de alimentare cu apă și canalizare</w:t>
            </w:r>
          </w:p>
          <w:p w14:paraId="1034D571" w14:textId="77777777" w:rsidR="00496A2A" w:rsidRPr="00E23578" w:rsidRDefault="00496A2A" w:rsidP="00C6421E">
            <w:pPr>
              <w:jc w:val="left"/>
              <w:rPr>
                <w:rFonts w:cstheme="minorHAnsi"/>
              </w:rPr>
            </w:pPr>
            <w:r w:rsidRPr="00E23578">
              <w:rPr>
                <w:rFonts w:cstheme="minorHAnsi"/>
              </w:rPr>
              <w:t>D3.3.2. Dezvoltarea economiei circulare printr-un sistem eficient și inteligent de gestiune a deșeurilor menajere la nivelul Sectorului.</w:t>
            </w:r>
          </w:p>
        </w:tc>
        <w:tc>
          <w:tcPr>
            <w:tcW w:w="2340" w:type="dxa"/>
          </w:tcPr>
          <w:p w14:paraId="55ED15A8" w14:textId="77777777" w:rsidR="00496A2A" w:rsidRPr="00E23578" w:rsidRDefault="00496A2A" w:rsidP="00C6421E">
            <w:pPr>
              <w:jc w:val="left"/>
              <w:rPr>
                <w:rFonts w:cstheme="minorHAnsi"/>
              </w:rPr>
            </w:pPr>
            <w:r w:rsidRPr="00E23578">
              <w:rPr>
                <w:rFonts w:cstheme="minorHAnsi"/>
              </w:rPr>
              <w:t>OS 3 Orașul durabil Conservarea patrimoniului natural, reducerea poluării, a emisiilor de gaze cu efect de seră, și limitarea efectelor riscurilor</w:t>
            </w:r>
          </w:p>
          <w:p w14:paraId="0364C46C" w14:textId="77777777" w:rsidR="00496A2A" w:rsidRPr="00E23578" w:rsidRDefault="00496A2A" w:rsidP="00C6421E">
            <w:pPr>
              <w:jc w:val="left"/>
              <w:rPr>
                <w:rFonts w:cstheme="minorHAnsi"/>
              </w:rPr>
            </w:pPr>
            <w:r w:rsidRPr="00E23578">
              <w:rPr>
                <w:rFonts w:cstheme="minorHAnsi"/>
              </w:rPr>
              <w:t>OS 1 Orașul conectat Promovarea mobilității urbane durabile și creșterea accesibilității la rețele de transport, energie, comunicații</w:t>
            </w:r>
          </w:p>
        </w:tc>
        <w:tc>
          <w:tcPr>
            <w:tcW w:w="4590" w:type="dxa"/>
          </w:tcPr>
          <w:p w14:paraId="4BD01669" w14:textId="77777777" w:rsidR="00496A2A" w:rsidRPr="00E23578" w:rsidRDefault="00496A2A" w:rsidP="00C6421E">
            <w:pPr>
              <w:jc w:val="left"/>
              <w:rPr>
                <w:rFonts w:cstheme="minorHAnsi"/>
              </w:rPr>
            </w:pPr>
            <w:r w:rsidRPr="00E23578">
              <w:rPr>
                <w:rFonts w:cstheme="minorHAnsi"/>
              </w:rPr>
              <w:t xml:space="preserve">3.4. Asigurarea unei gestionări eficiente a deșeurilor și promovarea tranziției la o economie circulară </w:t>
            </w:r>
          </w:p>
          <w:p w14:paraId="08F8964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pregătirii pentru reutilizarea și reciclarea deșeurilor municipale colectate </w:t>
            </w:r>
          </w:p>
          <w:p w14:paraId="43AB183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capacităților de tratare a deșeurilor municipale </w:t>
            </w:r>
          </w:p>
          <w:p w14:paraId="15CC9C59"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w:t>
            </w:r>
          </w:p>
        </w:tc>
      </w:tr>
      <w:tr w:rsidR="00496A2A" w:rsidRPr="00E23578" w14:paraId="1410B500" w14:textId="77777777" w:rsidTr="00C6421E">
        <w:trPr>
          <w:cnfStyle w:val="000000010000" w:firstRow="0" w:lastRow="0" w:firstColumn="0" w:lastColumn="0" w:oddVBand="0" w:evenVBand="0" w:oddHBand="0" w:evenHBand="1" w:firstRowFirstColumn="0" w:firstRowLastColumn="0" w:lastRowFirstColumn="0" w:lastRowLastColumn="0"/>
        </w:trPr>
        <w:tc>
          <w:tcPr>
            <w:tcW w:w="1666" w:type="dxa"/>
            <w:vMerge/>
          </w:tcPr>
          <w:p w14:paraId="61C997DF" w14:textId="77777777" w:rsidR="00496A2A" w:rsidRPr="00E23578" w:rsidRDefault="00496A2A" w:rsidP="00C6421E">
            <w:pPr>
              <w:jc w:val="left"/>
              <w:rPr>
                <w:rFonts w:cstheme="minorHAnsi"/>
              </w:rPr>
            </w:pPr>
          </w:p>
        </w:tc>
        <w:tc>
          <w:tcPr>
            <w:tcW w:w="2109" w:type="dxa"/>
          </w:tcPr>
          <w:p w14:paraId="0DD41F68" w14:textId="77777777" w:rsidR="00496A2A" w:rsidRPr="00E23578" w:rsidRDefault="00496A2A" w:rsidP="00C6421E">
            <w:pPr>
              <w:jc w:val="left"/>
              <w:rPr>
                <w:rFonts w:cstheme="minorHAnsi"/>
              </w:rPr>
            </w:pPr>
            <w:r w:rsidRPr="00E23578">
              <w:rPr>
                <w:rFonts w:cstheme="minorHAnsi"/>
              </w:rPr>
              <w:t>O3.4 - Sistem de transport orientat în jurul deplasărilor nemotorizate și a transportului public</w:t>
            </w:r>
          </w:p>
        </w:tc>
        <w:tc>
          <w:tcPr>
            <w:tcW w:w="3330" w:type="dxa"/>
          </w:tcPr>
          <w:p w14:paraId="1DC580A5" w14:textId="77777777" w:rsidR="00496A2A" w:rsidRPr="00E23578" w:rsidRDefault="00496A2A" w:rsidP="00C6421E">
            <w:pPr>
              <w:spacing w:before="0"/>
              <w:jc w:val="left"/>
              <w:rPr>
                <w:rFonts w:cstheme="minorHAnsi"/>
                <w:szCs w:val="20"/>
              </w:rPr>
            </w:pPr>
            <w:r w:rsidRPr="00E23578">
              <w:rPr>
                <w:rFonts w:cstheme="minorHAnsi"/>
              </w:rPr>
              <w:t>D3.4.1 Dezvoltarea infrastructurii și serviciilor pentru mersul cu bicicleta</w:t>
            </w:r>
          </w:p>
          <w:p w14:paraId="3CE505B2" w14:textId="77777777" w:rsidR="00496A2A" w:rsidRPr="00E23578" w:rsidRDefault="00496A2A" w:rsidP="00C6421E">
            <w:pPr>
              <w:spacing w:before="0"/>
              <w:jc w:val="left"/>
              <w:rPr>
                <w:rFonts w:cstheme="minorHAnsi"/>
                <w:szCs w:val="20"/>
              </w:rPr>
            </w:pPr>
            <w:r w:rsidRPr="00E23578">
              <w:rPr>
                <w:rFonts w:cstheme="minorHAnsi"/>
              </w:rPr>
              <w:t>D3.4.2 Extinderea și revitalizarea zonelor și circulațiilor pietonale</w:t>
            </w:r>
          </w:p>
          <w:p w14:paraId="391849A4" w14:textId="77777777" w:rsidR="00496A2A" w:rsidRPr="00E23578" w:rsidRDefault="00496A2A" w:rsidP="00C6421E">
            <w:pPr>
              <w:spacing w:before="0"/>
              <w:jc w:val="left"/>
              <w:rPr>
                <w:rFonts w:cstheme="minorHAnsi"/>
                <w:szCs w:val="20"/>
              </w:rPr>
            </w:pPr>
            <w:r w:rsidRPr="00E23578">
              <w:rPr>
                <w:rFonts w:cstheme="minorHAnsi"/>
              </w:rPr>
              <w:t>D3.4.3 Optimizarea modului de gestiune a parcării </w:t>
            </w:r>
          </w:p>
          <w:p w14:paraId="73CDF975" w14:textId="77777777" w:rsidR="00496A2A" w:rsidRPr="00E23578" w:rsidRDefault="00496A2A" w:rsidP="00C6421E">
            <w:pPr>
              <w:spacing w:before="0"/>
              <w:jc w:val="left"/>
              <w:rPr>
                <w:rFonts w:cstheme="minorHAnsi"/>
                <w:szCs w:val="20"/>
              </w:rPr>
            </w:pPr>
            <w:r w:rsidRPr="00E23578">
              <w:rPr>
                <w:rFonts w:cstheme="minorHAnsi"/>
              </w:rPr>
              <w:t>D3.4.4 Creșterea conectivității în zonele de dezvoltare și restructurare urbană</w:t>
            </w:r>
          </w:p>
          <w:p w14:paraId="3FE7F863" w14:textId="77777777" w:rsidR="00496A2A" w:rsidRPr="00E23578" w:rsidRDefault="00496A2A" w:rsidP="00C6421E">
            <w:pPr>
              <w:spacing w:before="0"/>
              <w:jc w:val="left"/>
              <w:rPr>
                <w:rFonts w:cstheme="minorHAnsi"/>
                <w:szCs w:val="20"/>
              </w:rPr>
            </w:pPr>
            <w:r w:rsidRPr="00E23578">
              <w:rPr>
                <w:rFonts w:cstheme="minorHAnsi"/>
              </w:rPr>
              <w:t>D3.4.5 Dezvoltarea facilităților pentru autovehicule nepoluante</w:t>
            </w:r>
          </w:p>
          <w:p w14:paraId="4130C39C" w14:textId="77777777" w:rsidR="00496A2A" w:rsidRPr="00E23578" w:rsidRDefault="00496A2A" w:rsidP="00C6421E">
            <w:pPr>
              <w:spacing w:before="0"/>
              <w:jc w:val="left"/>
              <w:rPr>
                <w:rFonts w:cstheme="minorHAnsi"/>
                <w:szCs w:val="20"/>
              </w:rPr>
            </w:pPr>
            <w:r w:rsidRPr="00E23578">
              <w:rPr>
                <w:rFonts w:cstheme="minorHAnsi"/>
              </w:rPr>
              <w:t>D3.4.6 Creșterea atractivității și performanței sistemului de transport public (PMB)</w:t>
            </w:r>
          </w:p>
          <w:p w14:paraId="06CD02C1" w14:textId="77777777" w:rsidR="00496A2A" w:rsidRPr="00E23578" w:rsidRDefault="00496A2A" w:rsidP="00C6421E">
            <w:pPr>
              <w:spacing w:before="0"/>
              <w:jc w:val="left"/>
              <w:rPr>
                <w:rFonts w:cstheme="minorHAnsi"/>
              </w:rPr>
            </w:pPr>
            <w:r w:rsidRPr="00E23578">
              <w:rPr>
                <w:rFonts w:cstheme="minorHAnsi"/>
              </w:rPr>
              <w:t>D34.7 Dezvoltarea transportului inter și multimodal (PMB)</w:t>
            </w:r>
          </w:p>
          <w:p w14:paraId="01EF59BE" w14:textId="77777777" w:rsidR="00496A2A" w:rsidRPr="00E23578" w:rsidRDefault="00496A2A" w:rsidP="00C6421E">
            <w:pPr>
              <w:jc w:val="left"/>
              <w:rPr>
                <w:rFonts w:cstheme="minorHAnsi"/>
              </w:rPr>
            </w:pPr>
            <w:r w:rsidRPr="00E23578">
              <w:rPr>
                <w:rFonts w:cstheme="minorHAnsi"/>
              </w:rPr>
              <w:t>D3.4.8 Promovarea mobilitățiii urbane durabile și a măsurilor de siguranță în trafic</w:t>
            </w:r>
          </w:p>
        </w:tc>
        <w:tc>
          <w:tcPr>
            <w:tcW w:w="2340" w:type="dxa"/>
          </w:tcPr>
          <w:p w14:paraId="56528745" w14:textId="77777777" w:rsidR="00496A2A" w:rsidRPr="00E23578" w:rsidRDefault="00496A2A" w:rsidP="00C6421E">
            <w:pPr>
              <w:jc w:val="left"/>
              <w:rPr>
                <w:rFonts w:cstheme="minorHAnsi"/>
              </w:rPr>
            </w:pPr>
            <w:r w:rsidRPr="00E23578">
              <w:rPr>
                <w:rFonts w:cstheme="minorHAnsi"/>
              </w:rPr>
              <w:t>OS 1 Orașul conectat Promovarea mobilității urbane durabile și creșterea accesibilității la rețele de transport, energie, comunicații</w:t>
            </w:r>
          </w:p>
        </w:tc>
        <w:tc>
          <w:tcPr>
            <w:tcW w:w="4590" w:type="dxa"/>
          </w:tcPr>
          <w:p w14:paraId="371C3338" w14:textId="77777777" w:rsidR="00496A2A" w:rsidRPr="00E23578" w:rsidRDefault="00496A2A" w:rsidP="00C6421E">
            <w:pPr>
              <w:jc w:val="left"/>
              <w:rPr>
                <w:rFonts w:cstheme="minorHAnsi"/>
              </w:rPr>
            </w:pPr>
            <w:r w:rsidRPr="00E23578">
              <w:rPr>
                <w:rFonts w:cstheme="minorHAnsi"/>
              </w:rPr>
              <w:t xml:space="preserve">1.1. Creşterea accesibilității rutiere </w:t>
            </w:r>
          </w:p>
          <w:p w14:paraId="4FE5AAF5"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rețelei de variante de ocolire și noi legături rutiere, penetrații și coridoare majore. </w:t>
            </w:r>
          </w:p>
          <w:p w14:paraId="38DC5B03"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Reconfigurarea, reabilitarea și modernizarea rețelei de străzi existente. </w:t>
            </w:r>
          </w:p>
          <w:p w14:paraId="789C4C0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Reconfigurarea/ consolidarea circulației rutiere în zonele de expansiune. </w:t>
            </w:r>
          </w:p>
          <w:p w14:paraId="1F1E268D"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Modernizarea podurilor și pasajelor</w:t>
            </w:r>
          </w:p>
          <w:p w14:paraId="62B9C012" w14:textId="77777777" w:rsidR="00496A2A" w:rsidRPr="00E23578" w:rsidRDefault="00496A2A" w:rsidP="00C6421E">
            <w:pPr>
              <w:jc w:val="left"/>
              <w:rPr>
                <w:rFonts w:cstheme="minorHAnsi"/>
              </w:rPr>
            </w:pPr>
            <w:r w:rsidRPr="00E23578">
              <w:rPr>
                <w:rFonts w:cstheme="minorHAnsi"/>
              </w:rPr>
              <w:t xml:space="preserve">1.2. Creşterea accesibilității feroviare și aeriane </w:t>
            </w:r>
          </w:p>
          <w:p w14:paraId="0B0A4C02"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Modernizarea gărilor existente și transformarea lor în noduri intermodale. </w:t>
            </w:r>
          </w:p>
          <w:p w14:paraId="2512978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Revitalizarea transportului feroviar regional și metropolitan. </w:t>
            </w:r>
            <w:r w:rsidRPr="00E23578">
              <w:rPr>
                <w:rFonts w:cstheme="minorHAnsi"/>
              </w:rPr>
              <w:sym w:font="Symbol" w:char="F0B7"/>
            </w:r>
            <w:r w:rsidRPr="00E23578">
              <w:rPr>
                <w:rFonts w:cstheme="minorHAnsi"/>
              </w:rPr>
              <w:t xml:space="preserve"> Creșterea capacității de operare a aeroporturilor Capitalei. </w:t>
            </w:r>
          </w:p>
          <w:p w14:paraId="554D1094"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conexiunilor între Capitală și Aeroportul Internațional ”Henri Coandă”.</w:t>
            </w:r>
          </w:p>
          <w:p w14:paraId="0881F07C" w14:textId="77777777" w:rsidR="00496A2A" w:rsidRPr="00E23578" w:rsidRDefault="00496A2A" w:rsidP="00C6421E">
            <w:pPr>
              <w:jc w:val="left"/>
              <w:rPr>
                <w:rFonts w:cstheme="minorHAnsi"/>
              </w:rPr>
            </w:pPr>
            <w:r w:rsidRPr="00E23578">
              <w:rPr>
                <w:rFonts w:cstheme="minorHAnsi"/>
              </w:rPr>
              <w:t xml:space="preserve">1.3. Îmbunătăţirea transportului public </w:t>
            </w:r>
          </w:p>
          <w:p w14:paraId="7BF37C0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Extinderea, reabilitarea și modernizarea rețelei de metrou și a parcului de material rulant. </w:t>
            </w:r>
          </w:p>
          <w:p w14:paraId="46EA984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Extinderea și reabilitarea rețelei de transport public electric (tramvai, troleibuz). </w:t>
            </w:r>
          </w:p>
          <w:p w14:paraId="30E08D0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Extinderea și modernizarea flotei de transport public. </w:t>
            </w:r>
          </w:p>
          <w:p w14:paraId="318EDF9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Modernizarea stațiilor de transport public și a depourilor.</w:t>
            </w:r>
          </w:p>
          <w:p w14:paraId="51259254" w14:textId="77777777" w:rsidR="00496A2A" w:rsidRPr="00E23578" w:rsidRDefault="00496A2A" w:rsidP="00C6421E">
            <w:pPr>
              <w:jc w:val="left"/>
              <w:rPr>
                <w:rFonts w:cstheme="minorHAnsi"/>
              </w:rPr>
            </w:pPr>
            <w:r w:rsidRPr="00E23578">
              <w:rPr>
                <w:rFonts w:cstheme="minorHAnsi"/>
              </w:rPr>
              <w:t xml:space="preserve">1.5. IMBUNATATIREA MANAGEMENTULUI DE TRAFIC </w:t>
            </w:r>
          </w:p>
          <w:p w14:paraId="296B89DE"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rețelei de centre / noduri intermodale și de parcări de transfer </w:t>
            </w:r>
          </w:p>
          <w:p w14:paraId="1D94CBF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Imbunătățirea sistemului de parcare </w:t>
            </w:r>
            <w:r w:rsidRPr="00E23578">
              <w:rPr>
                <w:rFonts w:cstheme="minorHAnsi"/>
              </w:rPr>
              <w:sym w:font="Symbol" w:char="F0B7"/>
            </w:r>
          </w:p>
          <w:p w14:paraId="70616CB0" w14:textId="77777777" w:rsidR="00496A2A" w:rsidRPr="00E23578" w:rsidRDefault="00496A2A" w:rsidP="00C6421E">
            <w:pPr>
              <w:jc w:val="left"/>
              <w:rPr>
                <w:rFonts w:cstheme="minorHAnsi"/>
              </w:rPr>
            </w:pPr>
            <w:r w:rsidRPr="00E23578">
              <w:rPr>
                <w:rFonts w:cstheme="minorHAnsi"/>
              </w:rPr>
              <w:t xml:space="preserve"> Creșterea accesului persoanelor cu dizabilități la infrastructura și serviciile de mobilitate urbană </w:t>
            </w:r>
          </w:p>
          <w:p w14:paraId="64939159"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Creșterea siguranței în trafic </w:t>
            </w:r>
          </w:p>
          <w:p w14:paraId="0C3BF574"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Integrarea tarifară a serviciilor de transport public și operaționalizarea sistemului de monitorizare GPS a flotei și de e-ticketing </w:t>
            </w:r>
          </w:p>
          <w:p w14:paraId="734408C0"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cadrului de reglementare și de planificare în domeniul infrastructurii și a serviciilor de transport</w:t>
            </w:r>
          </w:p>
        </w:tc>
      </w:tr>
      <w:tr w:rsidR="00496A2A" w:rsidRPr="00E23578" w14:paraId="59675731" w14:textId="77777777" w:rsidTr="00C6421E">
        <w:trPr>
          <w:cnfStyle w:val="000000100000" w:firstRow="0" w:lastRow="0" w:firstColumn="0" w:lastColumn="0" w:oddVBand="0" w:evenVBand="0" w:oddHBand="1" w:evenHBand="0" w:firstRowFirstColumn="0" w:firstRowLastColumn="0" w:lastRowFirstColumn="0" w:lastRowLastColumn="0"/>
        </w:trPr>
        <w:tc>
          <w:tcPr>
            <w:tcW w:w="1666" w:type="dxa"/>
            <w:vMerge w:val="restart"/>
          </w:tcPr>
          <w:p w14:paraId="5FFC6F3B" w14:textId="77777777" w:rsidR="00496A2A" w:rsidRPr="00E23578" w:rsidRDefault="00496A2A" w:rsidP="00C6421E">
            <w:pPr>
              <w:jc w:val="left"/>
              <w:rPr>
                <w:rFonts w:cstheme="minorHAnsi"/>
              </w:rPr>
            </w:pPr>
            <w:r w:rsidRPr="00E23578">
              <w:rPr>
                <w:rFonts w:cstheme="minorHAnsi"/>
              </w:rPr>
              <w:t>O4 -  Administrație publică locală performantă ce sprijină dezvoltarea durabilă prin deschidere și transparență, încurajarea participării tuturor cetățenilor în procesele de decizie și folosirea noilor tehnologii</w:t>
            </w:r>
          </w:p>
        </w:tc>
        <w:tc>
          <w:tcPr>
            <w:tcW w:w="2109" w:type="dxa"/>
          </w:tcPr>
          <w:p w14:paraId="7244070B" w14:textId="77777777" w:rsidR="00496A2A" w:rsidRPr="00E23578" w:rsidRDefault="00496A2A" w:rsidP="00C6421E">
            <w:pPr>
              <w:jc w:val="left"/>
              <w:rPr>
                <w:rFonts w:cstheme="minorHAnsi"/>
              </w:rPr>
            </w:pPr>
            <w:r w:rsidRPr="00E23578">
              <w:rPr>
                <w:rFonts w:cstheme="minorHAnsi"/>
              </w:rPr>
              <w:t>O4.1. - Creșterea capacității administrative pentru a îmbunătăți și eficientiza mediul intern de lucru și a susține potențialul de dezvoltare al sector 2</w:t>
            </w:r>
          </w:p>
        </w:tc>
        <w:tc>
          <w:tcPr>
            <w:tcW w:w="3330" w:type="dxa"/>
          </w:tcPr>
          <w:p w14:paraId="36CF1E51" w14:textId="77777777" w:rsidR="00496A2A" w:rsidRPr="00E23578" w:rsidRDefault="00496A2A" w:rsidP="00C6421E">
            <w:pPr>
              <w:spacing w:before="0"/>
              <w:jc w:val="left"/>
              <w:rPr>
                <w:rFonts w:cstheme="minorHAnsi"/>
                <w:szCs w:val="20"/>
              </w:rPr>
            </w:pPr>
            <w:r w:rsidRPr="00E23578">
              <w:rPr>
                <w:rFonts w:cstheme="minorHAnsi"/>
              </w:rPr>
              <w:t>D4.1.1. Managementul eficient al resursei umane, dezvoltarea competențelor și politicii de formare.  Corelarea cu nevoile raportate de personalul instituției și prioritățile strategice, dar și de modificările survenite ca urmare a reorganizării administrative și nevoilor de dezvoltare ale Primăriei Sectorului 2 </w:t>
            </w:r>
          </w:p>
          <w:p w14:paraId="42CAE3DD" w14:textId="77777777" w:rsidR="00496A2A" w:rsidRPr="00E23578" w:rsidRDefault="00496A2A" w:rsidP="00C6421E">
            <w:pPr>
              <w:spacing w:before="0"/>
              <w:jc w:val="left"/>
              <w:rPr>
                <w:rFonts w:cstheme="minorHAnsi"/>
                <w:szCs w:val="20"/>
              </w:rPr>
            </w:pPr>
            <w:r w:rsidRPr="00E23578">
              <w:rPr>
                <w:rFonts w:cstheme="minorHAnsi"/>
              </w:rPr>
              <w:t>D4.1.2.  Asigurarea coerenței procesului decizional intern, extinderea proceselor de debirocratizare și îmbunătățirea proceselor de lucru</w:t>
            </w:r>
          </w:p>
          <w:p w14:paraId="7C947856" w14:textId="77777777" w:rsidR="00496A2A" w:rsidRPr="00E23578" w:rsidRDefault="00496A2A" w:rsidP="00C6421E">
            <w:pPr>
              <w:spacing w:before="0"/>
              <w:jc w:val="left"/>
              <w:rPr>
                <w:rFonts w:cstheme="minorHAnsi"/>
                <w:szCs w:val="20"/>
              </w:rPr>
            </w:pPr>
            <w:r w:rsidRPr="00E23578">
              <w:rPr>
                <w:rFonts w:cstheme="minorHAnsi"/>
              </w:rPr>
              <w:t>D4.1.3. Îmbunătățirea managementului financiar, a predictibilității și capacității de planificare strategică și de programare a resurselor financiare </w:t>
            </w:r>
          </w:p>
          <w:p w14:paraId="66D98063" w14:textId="77777777" w:rsidR="00496A2A" w:rsidRPr="00E23578" w:rsidRDefault="00496A2A" w:rsidP="00C6421E">
            <w:pPr>
              <w:jc w:val="left"/>
              <w:rPr>
                <w:rFonts w:cstheme="minorHAnsi"/>
              </w:rPr>
            </w:pPr>
            <w:r w:rsidRPr="00E23578">
              <w:rPr>
                <w:rFonts w:cstheme="minorHAnsi"/>
              </w:rPr>
              <w:t>D4.1.4. Capacitate crescută pentru implementarea unei politici de investiții fundamentată pe absorbția de fonduri externe nerambursabile în perioada 2021-2027, urmărindu-se oportunitățile și prioritățile aferente noilor exerciții financiare</w:t>
            </w:r>
          </w:p>
        </w:tc>
        <w:tc>
          <w:tcPr>
            <w:tcW w:w="2340" w:type="dxa"/>
          </w:tcPr>
          <w:p w14:paraId="411F4DA0" w14:textId="77777777" w:rsidR="00496A2A" w:rsidRPr="00E23578" w:rsidRDefault="00496A2A" w:rsidP="00C6421E">
            <w:pPr>
              <w:jc w:val="left"/>
              <w:rPr>
                <w:rFonts w:cstheme="minorHAnsi"/>
              </w:rPr>
            </w:pPr>
            <w:r w:rsidRPr="00E23578">
              <w:rPr>
                <w:rFonts w:cstheme="minorHAnsi"/>
              </w:rPr>
              <w:t>OT 6. Orașul bine administrat: Consolidarea capacității administrative pentru o dezvoltare integrată</w:t>
            </w:r>
          </w:p>
        </w:tc>
        <w:tc>
          <w:tcPr>
            <w:tcW w:w="4590" w:type="dxa"/>
          </w:tcPr>
          <w:p w14:paraId="68F1D009" w14:textId="77777777" w:rsidR="00496A2A" w:rsidRPr="00E23578" w:rsidRDefault="00496A2A" w:rsidP="00C6421E">
            <w:pPr>
              <w:jc w:val="left"/>
              <w:rPr>
                <w:rFonts w:cstheme="minorHAnsi"/>
              </w:rPr>
            </w:pPr>
            <w:r w:rsidRPr="00E23578">
              <w:rPr>
                <w:rFonts w:cstheme="minorHAnsi"/>
              </w:rPr>
              <w:t xml:space="preserve">6.1. Consolidarea capacității de planificare și control al dezvoltării urbane </w:t>
            </w:r>
          </w:p>
          <w:p w14:paraId="1FC6CC1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cadrului de planificare spațială </w:t>
            </w:r>
          </w:p>
          <w:p w14:paraId="2890CB54"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Întărirea cadrului de planificare strategică la nivelul domeniilor gestionate de administrația locală </w:t>
            </w:r>
          </w:p>
          <w:p w14:paraId="55D50CBD" w14:textId="77777777" w:rsidR="00496A2A" w:rsidRPr="00E23578" w:rsidRDefault="00496A2A" w:rsidP="00C6421E">
            <w:pPr>
              <w:jc w:val="left"/>
              <w:rPr>
                <w:rFonts w:cstheme="minorHAnsi"/>
              </w:rPr>
            </w:pPr>
            <w:r w:rsidRPr="00E23578">
              <w:rPr>
                <w:rFonts w:cstheme="minorHAnsi"/>
              </w:rPr>
              <w:t xml:space="preserve">6.2. Întărirea cooperării teritoriale la nivel local, metropolitan, european și global </w:t>
            </w:r>
          </w:p>
          <w:p w14:paraId="6956837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coordonării și cooperării între PMB și Primăriile de Sector </w:t>
            </w:r>
          </w:p>
          <w:p w14:paraId="36FED0D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cooperării teritoriale la nivel metropolitan / al zonei urbane funcționale </w:t>
            </w:r>
          </w:p>
          <w:p w14:paraId="689E82B2"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cooperării teritoriale la nivel european și global</w:t>
            </w:r>
          </w:p>
          <w:p w14:paraId="2408E884" w14:textId="77777777" w:rsidR="00496A2A" w:rsidRPr="00E23578" w:rsidRDefault="00496A2A" w:rsidP="00C6421E">
            <w:pPr>
              <w:jc w:val="left"/>
              <w:rPr>
                <w:rFonts w:cstheme="minorHAnsi"/>
              </w:rPr>
            </w:pPr>
            <w:r w:rsidRPr="00E23578">
              <w:rPr>
                <w:rFonts w:cstheme="minorHAnsi"/>
              </w:rPr>
              <w:t xml:space="preserve">6.3. Dezvoltarea capacității de implementare a programelor de investiții și de furnizare a serviciilor publice, inclusiv în mediul digital </w:t>
            </w:r>
          </w:p>
          <w:p w14:paraId="04CCE17B"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competențelor și managementul eficient al resurselor umane din administrația locală </w:t>
            </w:r>
          </w:p>
          <w:p w14:paraId="42F2D0C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calității serviciilor publice, inclusiv în ceea ce privește etica, integritatea și transparența </w:t>
            </w:r>
          </w:p>
          <w:p w14:paraId="78401265"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bazei logistice pentru furnizarea de servicii publice </w:t>
            </w:r>
          </w:p>
          <w:p w14:paraId="4D0E9E0F"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Asigurarea necesarului de resurse financiare pentru implementarea politicilor de investiții</w:t>
            </w:r>
          </w:p>
          <w:p w14:paraId="44D2788B" w14:textId="77777777" w:rsidR="00496A2A" w:rsidRPr="00E23578" w:rsidRDefault="00496A2A" w:rsidP="00C6421E">
            <w:pPr>
              <w:jc w:val="left"/>
              <w:rPr>
                <w:rFonts w:cstheme="minorHAnsi"/>
              </w:rPr>
            </w:pPr>
          </w:p>
        </w:tc>
      </w:tr>
      <w:tr w:rsidR="00496A2A" w:rsidRPr="00E23578" w14:paraId="0DD8F3F3" w14:textId="77777777" w:rsidTr="00C6421E">
        <w:trPr>
          <w:cnfStyle w:val="000000010000" w:firstRow="0" w:lastRow="0" w:firstColumn="0" w:lastColumn="0" w:oddVBand="0" w:evenVBand="0" w:oddHBand="0" w:evenHBand="1" w:firstRowFirstColumn="0" w:firstRowLastColumn="0" w:lastRowFirstColumn="0" w:lastRowLastColumn="0"/>
        </w:trPr>
        <w:tc>
          <w:tcPr>
            <w:tcW w:w="1666" w:type="dxa"/>
            <w:vMerge/>
          </w:tcPr>
          <w:p w14:paraId="6C88E5D0" w14:textId="77777777" w:rsidR="00496A2A" w:rsidRPr="00E23578" w:rsidRDefault="00496A2A" w:rsidP="00C6421E">
            <w:pPr>
              <w:jc w:val="left"/>
              <w:rPr>
                <w:rFonts w:cstheme="minorHAnsi"/>
              </w:rPr>
            </w:pPr>
          </w:p>
        </w:tc>
        <w:tc>
          <w:tcPr>
            <w:tcW w:w="2109" w:type="dxa"/>
          </w:tcPr>
          <w:p w14:paraId="5AE555CC" w14:textId="77777777" w:rsidR="00496A2A" w:rsidRPr="00E23578" w:rsidRDefault="00496A2A" w:rsidP="00C6421E">
            <w:pPr>
              <w:jc w:val="left"/>
              <w:rPr>
                <w:rFonts w:cstheme="minorHAnsi"/>
              </w:rPr>
            </w:pPr>
            <w:r w:rsidRPr="00E23578">
              <w:rPr>
                <w:rFonts w:cstheme="minorHAnsi"/>
              </w:rPr>
              <w:t>O4.2. -  Orientarea administrației către cetățean și comunitate prin asumarea unei guvernări deschise, transparente, inclusive și responsabile</w:t>
            </w:r>
          </w:p>
        </w:tc>
        <w:tc>
          <w:tcPr>
            <w:tcW w:w="3330" w:type="dxa"/>
          </w:tcPr>
          <w:p w14:paraId="2B19490E" w14:textId="77777777" w:rsidR="00496A2A" w:rsidRPr="00E23578" w:rsidRDefault="00496A2A" w:rsidP="00C6421E">
            <w:pPr>
              <w:spacing w:before="0"/>
              <w:jc w:val="left"/>
              <w:rPr>
                <w:rFonts w:cstheme="minorHAnsi"/>
                <w:szCs w:val="20"/>
              </w:rPr>
            </w:pPr>
            <w:r w:rsidRPr="00E23578">
              <w:rPr>
                <w:rFonts w:cstheme="minorHAnsi"/>
              </w:rPr>
              <w:t>D4.2.1. Participare extinsă a cetățenilor, mediului de afaceri, non-guvernamental și academic în procesele de consultare și de decizie de la nivel local prin noi instrumente, mecanisme și formate asumate și promovate de administrația locală  </w:t>
            </w:r>
          </w:p>
          <w:p w14:paraId="04145EAE" w14:textId="77777777" w:rsidR="00496A2A" w:rsidRPr="00E23578" w:rsidRDefault="00496A2A" w:rsidP="00C6421E">
            <w:pPr>
              <w:spacing w:before="0"/>
              <w:jc w:val="left"/>
              <w:rPr>
                <w:rFonts w:cstheme="minorHAnsi"/>
                <w:szCs w:val="20"/>
              </w:rPr>
            </w:pPr>
            <w:r w:rsidRPr="00E23578">
              <w:rPr>
                <w:rFonts w:cstheme="minorHAnsi"/>
              </w:rPr>
              <w:t>D4.2.2. Creșterea transparenței administrației locale prin îmbunătățirea calității datelor publice și îmbunătățirea gradului de conformare față de standardele privind afișarea din oficiu a informațiilor de interes </w:t>
            </w:r>
          </w:p>
          <w:p w14:paraId="1C80DC5B" w14:textId="77777777" w:rsidR="00496A2A" w:rsidRPr="00E23578" w:rsidRDefault="00496A2A" w:rsidP="00C6421E">
            <w:pPr>
              <w:jc w:val="left"/>
              <w:rPr>
                <w:rFonts w:cstheme="minorHAnsi"/>
              </w:rPr>
            </w:pPr>
            <w:r w:rsidRPr="00E23578">
              <w:rPr>
                <w:rFonts w:cstheme="minorHAnsi"/>
              </w:rPr>
              <w:t>D4.2.3. Adoptarea de noi instrumente și formate incluzive care să permită informarea, participarea și consultarea și grupurilor de cetățeni vulnerabili sau slab reprezentați  </w:t>
            </w:r>
          </w:p>
        </w:tc>
        <w:tc>
          <w:tcPr>
            <w:tcW w:w="2340" w:type="dxa"/>
          </w:tcPr>
          <w:p w14:paraId="169249CE" w14:textId="77777777" w:rsidR="00496A2A" w:rsidRPr="00E23578" w:rsidRDefault="00496A2A" w:rsidP="00C6421E">
            <w:pPr>
              <w:jc w:val="left"/>
              <w:rPr>
                <w:rFonts w:cstheme="minorHAnsi"/>
              </w:rPr>
            </w:pPr>
            <w:r w:rsidRPr="00E23578">
              <w:rPr>
                <w:rFonts w:cstheme="minorHAnsi"/>
              </w:rPr>
              <w:t>OT 6. Orașul bine administrat: Consolidarea capacității administrative pentru o dezvoltare integrată</w:t>
            </w:r>
          </w:p>
        </w:tc>
        <w:tc>
          <w:tcPr>
            <w:tcW w:w="4590" w:type="dxa"/>
          </w:tcPr>
          <w:p w14:paraId="052626E7" w14:textId="77777777" w:rsidR="00496A2A" w:rsidRPr="00E23578" w:rsidRDefault="00496A2A" w:rsidP="00C6421E">
            <w:pPr>
              <w:jc w:val="left"/>
              <w:rPr>
                <w:rFonts w:cstheme="minorHAnsi"/>
              </w:rPr>
            </w:pPr>
            <w:r w:rsidRPr="00E23578">
              <w:rPr>
                <w:rFonts w:cstheme="minorHAnsi"/>
              </w:rPr>
              <w:t xml:space="preserve">6.1. Consolidarea capacității de planificare și control al dezvoltării urbane </w:t>
            </w:r>
          </w:p>
          <w:p w14:paraId="23AF0ED6"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Creșterea gradului de implicare al cetățenilor, a mediului de afaceri și a celui neguvernamental în procesul de co-decizie și de co-implementare</w:t>
            </w:r>
          </w:p>
        </w:tc>
      </w:tr>
      <w:tr w:rsidR="00496A2A" w:rsidRPr="00E23578" w14:paraId="08E9888B" w14:textId="77777777" w:rsidTr="00C6421E">
        <w:trPr>
          <w:cnfStyle w:val="000000100000" w:firstRow="0" w:lastRow="0" w:firstColumn="0" w:lastColumn="0" w:oddVBand="0" w:evenVBand="0" w:oddHBand="1" w:evenHBand="0" w:firstRowFirstColumn="0" w:firstRowLastColumn="0" w:lastRowFirstColumn="0" w:lastRowLastColumn="0"/>
        </w:trPr>
        <w:tc>
          <w:tcPr>
            <w:tcW w:w="1666" w:type="dxa"/>
            <w:vMerge/>
          </w:tcPr>
          <w:p w14:paraId="57135A56" w14:textId="77777777" w:rsidR="00496A2A" w:rsidRPr="00E23578" w:rsidRDefault="00496A2A" w:rsidP="00C6421E">
            <w:pPr>
              <w:jc w:val="left"/>
              <w:rPr>
                <w:rFonts w:cstheme="minorHAnsi"/>
              </w:rPr>
            </w:pPr>
          </w:p>
        </w:tc>
        <w:tc>
          <w:tcPr>
            <w:tcW w:w="2109" w:type="dxa"/>
          </w:tcPr>
          <w:p w14:paraId="1C7D83C4" w14:textId="77777777" w:rsidR="00496A2A" w:rsidRPr="00E23578" w:rsidRDefault="00496A2A" w:rsidP="00C6421E">
            <w:pPr>
              <w:jc w:val="left"/>
              <w:rPr>
                <w:rFonts w:cstheme="minorHAnsi"/>
              </w:rPr>
            </w:pPr>
            <w:r w:rsidRPr="00E23578">
              <w:rPr>
                <w:rFonts w:cstheme="minorHAnsi"/>
              </w:rPr>
              <w:t>O4.3. - Guvernare locală inteligentă și îmbunătățirea capacității administrației publice de a răspunde și a se adapta transformărilor digitale în desfășurare</w:t>
            </w:r>
          </w:p>
        </w:tc>
        <w:tc>
          <w:tcPr>
            <w:tcW w:w="3330" w:type="dxa"/>
          </w:tcPr>
          <w:p w14:paraId="1634A69C" w14:textId="77777777" w:rsidR="00496A2A" w:rsidRPr="00E23578" w:rsidRDefault="00496A2A" w:rsidP="00C6421E">
            <w:pPr>
              <w:spacing w:before="0"/>
              <w:jc w:val="left"/>
              <w:rPr>
                <w:rFonts w:cstheme="minorHAnsi"/>
                <w:szCs w:val="20"/>
              </w:rPr>
            </w:pPr>
            <w:r w:rsidRPr="00E23578">
              <w:rPr>
                <w:rFonts w:cstheme="minorHAnsi"/>
              </w:rPr>
              <w:t>D4.3.1. Digitalizarea serviciilor publice, asigurarea accesului tuturor cetățenilor la acestea și evaluare continuă </w:t>
            </w:r>
          </w:p>
          <w:p w14:paraId="7CE86F2F" w14:textId="77777777" w:rsidR="00496A2A" w:rsidRPr="00E23578" w:rsidRDefault="00496A2A" w:rsidP="00C6421E">
            <w:pPr>
              <w:spacing w:before="0"/>
              <w:jc w:val="left"/>
              <w:rPr>
                <w:rFonts w:cstheme="minorHAnsi"/>
                <w:szCs w:val="20"/>
              </w:rPr>
            </w:pPr>
            <w:r w:rsidRPr="00E23578">
              <w:rPr>
                <w:rFonts w:cstheme="minorHAnsi"/>
              </w:rPr>
              <w:t>D4.3.2. Creșterea competențelor digitale și dezvoltare de noi programe de formare la nivelul personalului Primăriei Sectorului 2 </w:t>
            </w:r>
          </w:p>
          <w:p w14:paraId="7BFE46F8" w14:textId="77777777" w:rsidR="00496A2A" w:rsidRPr="00E23578" w:rsidRDefault="00496A2A" w:rsidP="00C6421E">
            <w:pPr>
              <w:jc w:val="left"/>
              <w:rPr>
                <w:rFonts w:cstheme="minorHAnsi"/>
              </w:rPr>
            </w:pPr>
            <w:r w:rsidRPr="00E23578">
              <w:rPr>
                <w:rFonts w:cstheme="minorHAnsi"/>
              </w:rPr>
              <w:t>D4.3.3. Îmbunătățirea standardelor de securitate privind protecția datelor și sistemelor operate de instituție</w:t>
            </w:r>
          </w:p>
        </w:tc>
        <w:tc>
          <w:tcPr>
            <w:tcW w:w="2340" w:type="dxa"/>
          </w:tcPr>
          <w:p w14:paraId="64F5A3AF" w14:textId="77777777" w:rsidR="00496A2A" w:rsidRPr="00E23578" w:rsidRDefault="00496A2A" w:rsidP="00C6421E">
            <w:pPr>
              <w:jc w:val="left"/>
              <w:rPr>
                <w:rFonts w:cstheme="minorHAnsi"/>
              </w:rPr>
            </w:pPr>
            <w:r w:rsidRPr="00E23578">
              <w:rPr>
                <w:rFonts w:cstheme="minorHAnsi"/>
              </w:rPr>
              <w:t>OT 6. Orașul bine administrat: Consolidarea capacității administrative pentru o dezvoltare integrată</w:t>
            </w:r>
          </w:p>
        </w:tc>
        <w:tc>
          <w:tcPr>
            <w:tcW w:w="4590" w:type="dxa"/>
          </w:tcPr>
          <w:p w14:paraId="3E9559B3" w14:textId="77777777" w:rsidR="00496A2A" w:rsidRPr="00E23578" w:rsidRDefault="00496A2A" w:rsidP="00C6421E">
            <w:pPr>
              <w:jc w:val="left"/>
              <w:rPr>
                <w:rFonts w:cstheme="minorHAnsi"/>
              </w:rPr>
            </w:pPr>
            <w:r w:rsidRPr="00E23578">
              <w:rPr>
                <w:rFonts w:cstheme="minorHAnsi"/>
              </w:rPr>
              <w:t xml:space="preserve">6.3. Dezvoltarea capacității de implementare a programelor de investiții și de furnizare a serviciilor publice, inclusiv în mediul digital </w:t>
            </w:r>
          </w:p>
          <w:p w14:paraId="029EFBCD"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competențelor și managementul eficient al resurselor umane din administrația locală </w:t>
            </w:r>
          </w:p>
          <w:p w14:paraId="282E9DCC"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Informatizarea administrației publice locale, digitizarea serviciilor publice și implementarea conceptului de Smart City </w:t>
            </w:r>
          </w:p>
          <w:p w14:paraId="1F68690A"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Îmbunătățirea calității serviciilor publice, inclusiv în ceea ce privește etica, integritatea și transparența </w:t>
            </w:r>
          </w:p>
          <w:p w14:paraId="03926B85" w14:textId="77777777" w:rsidR="00496A2A" w:rsidRPr="00E23578" w:rsidRDefault="00496A2A" w:rsidP="00C6421E">
            <w:pPr>
              <w:jc w:val="left"/>
              <w:rPr>
                <w:rFonts w:cstheme="minorHAnsi"/>
              </w:rPr>
            </w:pPr>
            <w:r w:rsidRPr="00E23578">
              <w:rPr>
                <w:rFonts w:cstheme="minorHAnsi"/>
              </w:rPr>
              <w:sym w:font="Symbol" w:char="F0B7"/>
            </w:r>
            <w:r w:rsidRPr="00E23578">
              <w:rPr>
                <w:rFonts w:cstheme="minorHAnsi"/>
              </w:rPr>
              <w:t xml:space="preserve"> Dezvoltarea bazei logistice pentru furnizarea de servicii publice </w:t>
            </w:r>
          </w:p>
          <w:p w14:paraId="23337A5A" w14:textId="77777777" w:rsidR="00496A2A" w:rsidRPr="00E23578" w:rsidRDefault="00496A2A" w:rsidP="00C6421E">
            <w:pPr>
              <w:ind w:right="-12"/>
              <w:jc w:val="left"/>
              <w:rPr>
                <w:rFonts w:cstheme="minorHAnsi"/>
              </w:rPr>
            </w:pPr>
          </w:p>
        </w:tc>
      </w:tr>
    </w:tbl>
    <w:p w14:paraId="3FF77561" w14:textId="77777777" w:rsidR="00FE3332" w:rsidRPr="00F171A3" w:rsidRDefault="00FE3332" w:rsidP="00FE3332">
      <w:pPr>
        <w:sectPr w:rsidR="00FE3332" w:rsidRPr="00F171A3" w:rsidSect="00496A2A">
          <w:pgSz w:w="16839" w:h="11907" w:orient="landscape" w:code="9"/>
          <w:pgMar w:top="1440" w:right="1440" w:bottom="1022" w:left="1152" w:header="706" w:footer="288" w:gutter="0"/>
          <w:cols w:space="708"/>
          <w:titlePg/>
          <w:docGrid w:linePitch="360"/>
        </w:sectPr>
      </w:pPr>
    </w:p>
    <w:p w14:paraId="62CBD000" w14:textId="6160F935" w:rsidR="00FE3332" w:rsidRPr="00F171A3" w:rsidRDefault="00534EC6" w:rsidP="00FE3332">
      <w:r>
        <w:rPr>
          <w:noProof/>
        </w:rPr>
        <w:drawing>
          <wp:anchor distT="0" distB="0" distL="114300" distR="114300" simplePos="0" relativeHeight="251673600" behindDoc="0" locked="0" layoutInCell="1" allowOverlap="1" wp14:anchorId="3E5179EA" wp14:editId="17C50CF8">
            <wp:simplePos x="0" y="0"/>
            <wp:positionH relativeFrom="column">
              <wp:posOffset>-648970</wp:posOffset>
            </wp:positionH>
            <wp:positionV relativeFrom="paragraph">
              <wp:posOffset>-716280</wp:posOffset>
            </wp:positionV>
            <wp:extent cx="7543165" cy="10667781"/>
            <wp:effectExtent l="0" t="0" r="635" b="63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544434" cy="10669576"/>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FE3332" w:rsidRPr="00F171A3" w:rsidSect="00C65BFA">
      <w:pgSz w:w="11907" w:h="16839" w:code="9"/>
      <w:pgMar w:top="1152" w:right="1440" w:bottom="1440" w:left="1022" w:header="706" w:footer="2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BB6229" w14:textId="77777777" w:rsidR="009C37F0" w:rsidRDefault="009C37F0" w:rsidP="00534500">
      <w:r>
        <w:separator/>
      </w:r>
    </w:p>
    <w:p w14:paraId="0EB1A626" w14:textId="77777777" w:rsidR="009C37F0" w:rsidRDefault="009C37F0" w:rsidP="00534500"/>
    <w:p w14:paraId="503FBEF8" w14:textId="77777777" w:rsidR="009C37F0" w:rsidRDefault="009C37F0" w:rsidP="00534500"/>
    <w:p w14:paraId="388E0EA7" w14:textId="77777777" w:rsidR="009C37F0" w:rsidRDefault="009C37F0" w:rsidP="00534500"/>
    <w:p w14:paraId="3CD4FF59" w14:textId="77777777" w:rsidR="009C37F0" w:rsidRDefault="009C37F0" w:rsidP="00534500"/>
  </w:endnote>
  <w:endnote w:type="continuationSeparator" w:id="0">
    <w:p w14:paraId="1C7AE20B" w14:textId="77777777" w:rsidR="009C37F0" w:rsidRDefault="009C37F0" w:rsidP="00534500">
      <w:r>
        <w:continuationSeparator/>
      </w:r>
    </w:p>
    <w:p w14:paraId="313E9411" w14:textId="77777777" w:rsidR="009C37F0" w:rsidRDefault="009C37F0" w:rsidP="00534500"/>
    <w:p w14:paraId="48C3225F" w14:textId="77777777" w:rsidR="009C37F0" w:rsidRDefault="009C37F0" w:rsidP="00534500"/>
    <w:p w14:paraId="010A7A52" w14:textId="77777777" w:rsidR="009C37F0" w:rsidRDefault="009C37F0" w:rsidP="00534500"/>
    <w:p w14:paraId="0A034D2C" w14:textId="77777777" w:rsidR="009C37F0" w:rsidRDefault="009C37F0" w:rsidP="005345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venir Next Regular">
    <w:altName w:val="Times New Roman"/>
    <w:charset w:val="00"/>
    <w:family w:val="auto"/>
    <w:pitch w:val="variable"/>
    <w:sig w:usb0="00000001" w:usb1="5000204A" w:usb2="00000000" w:usb3="00000000" w:csb0="0000009B" w:csb1="00000000"/>
  </w:font>
  <w:font w:name="Avenir Next Demi Bold">
    <w:altName w:val="Trebuchet MS"/>
    <w:charset w:val="00"/>
    <w:family w:val="auto"/>
    <w:pitch w:val="variable"/>
    <w:sig w:usb0="00000001"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Andes">
    <w:altName w:val="Calibri"/>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sans-serif">
    <w:altName w:val="Arial"/>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9451483"/>
      <w:docPartObj>
        <w:docPartGallery w:val="Page Numbers (Bottom of Page)"/>
        <w:docPartUnique/>
      </w:docPartObj>
    </w:sdtPr>
    <w:sdtEndPr>
      <w:rPr>
        <w:noProof/>
      </w:rPr>
    </w:sdtEndPr>
    <w:sdtContent>
      <w:p w14:paraId="7E5BF7A4" w14:textId="27EBAB09" w:rsidR="002F0114" w:rsidRDefault="002F0114">
        <w:pPr>
          <w:pStyle w:val="Footer"/>
          <w:jc w:val="center"/>
        </w:pPr>
        <w:r>
          <w:fldChar w:fldCharType="begin"/>
        </w:r>
        <w:r>
          <w:instrText xml:space="preserve"> PAGE   \* MERGEFORMAT </w:instrText>
        </w:r>
        <w:r>
          <w:fldChar w:fldCharType="separate"/>
        </w:r>
        <w:r w:rsidR="00505F14">
          <w:rPr>
            <w:noProof/>
          </w:rPr>
          <w:t>212</w:t>
        </w:r>
        <w:r>
          <w:rPr>
            <w:noProof/>
          </w:rPr>
          <w:fldChar w:fldCharType="end"/>
        </w:r>
      </w:p>
    </w:sdtContent>
  </w:sdt>
  <w:p w14:paraId="36CD55A9" w14:textId="77777777" w:rsidR="002F0114" w:rsidRDefault="002F01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FFF0B" w14:textId="01978F9D" w:rsidR="002F0114" w:rsidRDefault="002F0114">
    <w:pPr>
      <w:pStyle w:val="Footer"/>
      <w:tabs>
        <w:tab w:val="clear" w:pos="4680"/>
        <w:tab w:val="clear" w:pos="9360"/>
      </w:tabs>
      <w:jc w:val="center"/>
      <w:rPr>
        <w:caps/>
        <w:noProof/>
        <w:color w:val="7F7F7F" w:themeColor="accent1"/>
      </w:rPr>
    </w:pPr>
    <w:r>
      <w:rPr>
        <w:caps/>
        <w:color w:val="7F7F7F" w:themeColor="accent1"/>
      </w:rPr>
      <w:fldChar w:fldCharType="begin"/>
    </w:r>
    <w:r>
      <w:rPr>
        <w:caps/>
        <w:color w:val="7F7F7F" w:themeColor="accent1"/>
      </w:rPr>
      <w:instrText xml:space="preserve"> PAGE   \* MERGEFORMAT </w:instrText>
    </w:r>
    <w:r>
      <w:rPr>
        <w:caps/>
        <w:color w:val="7F7F7F" w:themeColor="accent1"/>
      </w:rPr>
      <w:fldChar w:fldCharType="separate"/>
    </w:r>
    <w:r w:rsidR="00AD0F41">
      <w:rPr>
        <w:caps/>
        <w:noProof/>
        <w:color w:val="7F7F7F" w:themeColor="accent1"/>
      </w:rPr>
      <w:t>1</w:t>
    </w:r>
    <w:r>
      <w:rPr>
        <w:caps/>
        <w:noProof/>
        <w:color w:val="7F7F7F" w:themeColor="accent1"/>
      </w:rPr>
      <w:fldChar w:fldCharType="end"/>
    </w:r>
  </w:p>
  <w:p w14:paraId="5EB51B81" w14:textId="77777777" w:rsidR="002F0114" w:rsidRDefault="002F011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1640E" w14:textId="77777777" w:rsidR="00E747A2" w:rsidRDefault="00E747A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2218765"/>
      <w:docPartObj>
        <w:docPartGallery w:val="Page Numbers (Bottom of Page)"/>
        <w:docPartUnique/>
      </w:docPartObj>
    </w:sdtPr>
    <w:sdtEndPr>
      <w:rPr>
        <w:noProof/>
      </w:rPr>
    </w:sdtEndPr>
    <w:sdtContent>
      <w:p w14:paraId="17C5117B" w14:textId="77777777" w:rsidR="00E747A2" w:rsidRDefault="00E747A2">
        <w:pPr>
          <w:pStyle w:val="Footer"/>
          <w:jc w:val="center"/>
        </w:pPr>
        <w:r>
          <w:fldChar w:fldCharType="begin"/>
        </w:r>
        <w:r>
          <w:instrText xml:space="preserve"> PAGE   \* MERGEFORMAT </w:instrText>
        </w:r>
        <w:r>
          <w:fldChar w:fldCharType="separate"/>
        </w:r>
        <w:r>
          <w:rPr>
            <w:noProof/>
          </w:rPr>
          <w:t>212</w:t>
        </w:r>
        <w:r>
          <w:rPr>
            <w:noProof/>
          </w:rPr>
          <w:fldChar w:fldCharType="end"/>
        </w:r>
      </w:p>
    </w:sdtContent>
  </w:sdt>
  <w:p w14:paraId="7E3C5D8B" w14:textId="77777777" w:rsidR="00E747A2" w:rsidRDefault="00E747A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BA8AC" w14:textId="77777777" w:rsidR="00E747A2" w:rsidRDefault="00E747A2">
    <w:pPr>
      <w:pStyle w:val="Footer"/>
      <w:tabs>
        <w:tab w:val="clear" w:pos="4680"/>
        <w:tab w:val="clear" w:pos="9360"/>
      </w:tabs>
      <w:jc w:val="center"/>
      <w:rPr>
        <w:caps/>
        <w:noProof/>
        <w:color w:val="7F7F7F" w:themeColor="accent1"/>
      </w:rPr>
    </w:pPr>
    <w:r>
      <w:rPr>
        <w:caps/>
        <w:color w:val="7F7F7F" w:themeColor="accent1"/>
      </w:rPr>
      <w:fldChar w:fldCharType="begin"/>
    </w:r>
    <w:r>
      <w:rPr>
        <w:caps/>
        <w:color w:val="7F7F7F" w:themeColor="accent1"/>
      </w:rPr>
      <w:instrText xml:space="preserve"> PAGE   \* MERGEFORMAT </w:instrText>
    </w:r>
    <w:r>
      <w:rPr>
        <w:caps/>
        <w:color w:val="7F7F7F" w:themeColor="accent1"/>
      </w:rPr>
      <w:fldChar w:fldCharType="separate"/>
    </w:r>
    <w:r>
      <w:rPr>
        <w:caps/>
        <w:noProof/>
        <w:color w:val="7F7F7F" w:themeColor="accent1"/>
      </w:rPr>
      <w:t>1</w:t>
    </w:r>
    <w:r>
      <w:rPr>
        <w:caps/>
        <w:noProof/>
        <w:color w:val="7F7F7F" w:themeColor="accent1"/>
      </w:rPr>
      <w:fldChar w:fldCharType="end"/>
    </w:r>
  </w:p>
  <w:p w14:paraId="7DC2924B" w14:textId="77777777" w:rsidR="00E747A2" w:rsidRDefault="00E747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6B7370" w14:textId="77777777" w:rsidR="009C37F0" w:rsidRDefault="009C37F0" w:rsidP="00534500">
      <w:r>
        <w:separator/>
      </w:r>
    </w:p>
  </w:footnote>
  <w:footnote w:type="continuationSeparator" w:id="0">
    <w:p w14:paraId="0E557E56" w14:textId="77777777" w:rsidR="009C37F0" w:rsidRDefault="009C37F0" w:rsidP="00534500">
      <w:r>
        <w:continuationSeparator/>
      </w:r>
    </w:p>
    <w:p w14:paraId="00DC5E98" w14:textId="77777777" w:rsidR="009C37F0" w:rsidRDefault="009C37F0" w:rsidP="00534500"/>
    <w:p w14:paraId="2125AD49" w14:textId="77777777" w:rsidR="009C37F0" w:rsidRDefault="009C37F0" w:rsidP="00534500"/>
    <w:p w14:paraId="3D75889C" w14:textId="77777777" w:rsidR="009C37F0" w:rsidRDefault="009C37F0" w:rsidP="00534500"/>
    <w:p w14:paraId="6106ABC3" w14:textId="77777777" w:rsidR="009C37F0" w:rsidRDefault="009C37F0" w:rsidP="00534500"/>
  </w:footnote>
  <w:footnote w:id="1">
    <w:p w14:paraId="32921783" w14:textId="77777777" w:rsidR="00CA19AC" w:rsidRPr="00837917" w:rsidRDefault="00CA19AC" w:rsidP="00CA19AC">
      <w:pPr>
        <w:pStyle w:val="FootnoteText"/>
        <w:rPr>
          <w:rFonts w:cstheme="minorHAnsi"/>
          <w:szCs w:val="18"/>
        </w:rPr>
      </w:pPr>
      <w:r w:rsidRPr="00837917">
        <w:rPr>
          <w:rStyle w:val="FootnoteReference"/>
          <w:rFonts w:cstheme="minorHAnsi"/>
          <w:szCs w:val="18"/>
        </w:rPr>
        <w:footnoteRef/>
      </w:r>
      <w:r w:rsidRPr="00837917">
        <w:rPr>
          <w:rFonts w:cstheme="minorHAnsi"/>
          <w:szCs w:val="18"/>
        </w:rPr>
        <w:t xml:space="preserve"> </w:t>
      </w:r>
      <w:r w:rsidRPr="00837917">
        <w:rPr>
          <w:rFonts w:cstheme="minorHAnsi"/>
          <w:szCs w:val="18"/>
          <w:lang w:val="et-EE"/>
        </w:rPr>
        <w:t>Propunerea de regulament de stabilire a dispozițiilor comune privind fondurile pentru perioada de programare 2021-2027 (</w:t>
      </w:r>
      <w:r w:rsidRPr="00837917">
        <w:rPr>
          <w:rFonts w:cstheme="minorHAnsi"/>
          <w:szCs w:val="18"/>
          <w:lang w:val="pt-BR"/>
        </w:rPr>
        <w:t>COM/2018/375 final - 2018/0196 (COD)</w:t>
      </w:r>
      <w:r w:rsidRPr="00837917">
        <w:rPr>
          <w:rFonts w:cstheme="minorHAnsi"/>
          <w:szCs w:val="18"/>
          <w:lang w:val="et-EE"/>
        </w:rPr>
        <w:t>)</w:t>
      </w:r>
    </w:p>
  </w:footnote>
  <w:footnote w:id="2">
    <w:p w14:paraId="299CC738" w14:textId="77777777" w:rsidR="00CA19AC" w:rsidRPr="00837917" w:rsidRDefault="00CA19AC" w:rsidP="00CA19AC">
      <w:pPr>
        <w:pStyle w:val="FootnoteText"/>
        <w:rPr>
          <w:szCs w:val="18"/>
        </w:rPr>
      </w:pPr>
      <w:r w:rsidRPr="00837917">
        <w:rPr>
          <w:rStyle w:val="FootnoteReference"/>
          <w:szCs w:val="18"/>
        </w:rPr>
        <w:footnoteRef/>
      </w:r>
      <w:r w:rsidRPr="00837917">
        <w:rPr>
          <w:szCs w:val="18"/>
        </w:rPr>
        <w:t xml:space="preserve"> https://ec.europa.eu/info/publications/100-climate-neutral-cities-2030-and-citizens_en</w:t>
      </w:r>
    </w:p>
  </w:footnote>
  <w:footnote w:id="3">
    <w:p w14:paraId="572C2FBD" w14:textId="04AADC87" w:rsidR="00CA19AC" w:rsidRPr="00606787" w:rsidRDefault="00CA19AC" w:rsidP="00CA19AC">
      <w:pPr>
        <w:pStyle w:val="FootnoteText"/>
        <w:rPr>
          <w:rFonts w:cstheme="minorHAnsi"/>
          <w:szCs w:val="18"/>
        </w:rPr>
      </w:pPr>
      <w:r w:rsidRPr="00606787">
        <w:rPr>
          <w:rStyle w:val="FootnoteReference"/>
          <w:rFonts w:cstheme="minorHAnsi"/>
          <w:szCs w:val="18"/>
        </w:rPr>
        <w:footnoteRef/>
      </w:r>
      <w:r w:rsidRPr="00606787">
        <w:rPr>
          <w:rFonts w:cstheme="minorHAnsi"/>
          <w:szCs w:val="18"/>
        </w:rPr>
        <w:t xml:space="preserve"> MDRAP, Strategia de Dezvoltare Teritorială a României, 2016</w:t>
      </w:r>
    </w:p>
  </w:footnote>
  <w:footnote w:id="4">
    <w:p w14:paraId="55303A54" w14:textId="3E30C031" w:rsidR="00CA19AC" w:rsidRDefault="00CA19AC" w:rsidP="00CA19AC">
      <w:pPr>
        <w:pStyle w:val="FootnoteText"/>
      </w:pPr>
      <w:r>
        <w:rPr>
          <w:rStyle w:val="FootnoteReference"/>
        </w:rPr>
        <w:footnoteRef/>
      </w:r>
      <w:r>
        <w:t xml:space="preserve"> Date provizorii pentru anul 2019 conform Eurostat - baza de date: NAMA_10R_2GDP</w:t>
      </w:r>
    </w:p>
  </w:footnote>
  <w:footnote w:id="5">
    <w:p w14:paraId="35423F06" w14:textId="77777777" w:rsidR="009A59EB" w:rsidRDefault="009A59EB" w:rsidP="009A59EB">
      <w:pPr>
        <w:pStyle w:val="FootnoteText"/>
      </w:pPr>
      <w:r>
        <w:rPr>
          <w:rStyle w:val="FootnoteReference"/>
        </w:rPr>
        <w:footnoteRef/>
      </w:r>
      <w:r>
        <w:t xml:space="preserve"> </w:t>
      </w:r>
      <w:r w:rsidRPr="008A0F45">
        <w:t>https://www.adrbi.ro/media/2450/ris3bi_anexa1ahotcribi_14oct2021.pdf</w:t>
      </w:r>
    </w:p>
  </w:footnote>
  <w:footnote w:id="6">
    <w:p w14:paraId="22C46258" w14:textId="13C59663" w:rsidR="0088124F" w:rsidRDefault="0088124F">
      <w:pPr>
        <w:pStyle w:val="FootnoteText"/>
      </w:pPr>
      <w:r>
        <w:rPr>
          <w:rStyle w:val="FootnoteReference"/>
        </w:rPr>
        <w:footnoteRef/>
      </w:r>
      <w:r>
        <w:t xml:space="preserve"> </w:t>
      </w:r>
      <w:r w:rsidRPr="0088124F">
        <w:t>https://www3.pmb.ro/storage/proiecte/1566996955PH_%20privind_aprobarea_master_planului_2019_20149.pdf</w:t>
      </w:r>
    </w:p>
  </w:footnote>
  <w:footnote w:id="7">
    <w:p w14:paraId="657B505C" w14:textId="77777777" w:rsidR="0090099C" w:rsidRPr="00885071" w:rsidRDefault="0090099C" w:rsidP="0090099C">
      <w:pPr>
        <w:pStyle w:val="FootnoteText"/>
      </w:pPr>
      <w:r>
        <w:rPr>
          <w:rStyle w:val="FootnoteReference"/>
        </w:rPr>
        <w:footnoteRef/>
      </w:r>
      <w:r>
        <w:t xml:space="preserve"> </w:t>
      </w:r>
      <w:r w:rsidRPr="00823692">
        <w:t>Rata de schimb RON/EUR utilizată este de 4.43 RON/EURO, în concordanţă cu rata de schimb utilizată pentru proiectele finanţate prin Programul Operaţional Regional 2014-2020 (conform Ghidului Solicitantului)</w:t>
      </w:r>
    </w:p>
  </w:footnote>
  <w:footnote w:id="8">
    <w:p w14:paraId="471FCE44" w14:textId="77777777" w:rsidR="00617090" w:rsidRDefault="00617090" w:rsidP="00617090">
      <w:pPr>
        <w:pStyle w:val="FootnoteText"/>
      </w:pPr>
      <w:r>
        <w:rPr>
          <w:rStyle w:val="FootnoteReference"/>
        </w:rPr>
        <w:footnoteRef/>
      </w:r>
      <w:r>
        <w:t xml:space="preserve"> </w:t>
      </w:r>
      <w:r w:rsidRPr="002540E2">
        <w:t>https://social2.ro/despre-noi/prezentare-generala/</w:t>
      </w:r>
    </w:p>
  </w:footnote>
  <w:footnote w:id="9">
    <w:p w14:paraId="2A38DFB8" w14:textId="77777777" w:rsidR="00617090" w:rsidRDefault="00617090" w:rsidP="00617090">
      <w:pPr>
        <w:pStyle w:val="FootnoteText"/>
      </w:pPr>
      <w:r>
        <w:rPr>
          <w:rStyle w:val="FootnoteReference"/>
        </w:rPr>
        <w:footnoteRef/>
      </w:r>
      <w:r>
        <w:t xml:space="preserve"> Cartografierea serviciilor sociale în Sectorul 2 București</w:t>
      </w:r>
    </w:p>
  </w:footnote>
  <w:footnote w:id="10">
    <w:p w14:paraId="62EB6797" w14:textId="77777777" w:rsidR="00617090" w:rsidRDefault="00617090" w:rsidP="00617090">
      <w:pPr>
        <w:pStyle w:val="FootnoteText"/>
      </w:pPr>
      <w:r>
        <w:rPr>
          <w:rStyle w:val="FootnoteReference"/>
        </w:rPr>
        <w:footnoteRef/>
      </w:r>
      <w:r>
        <w:t xml:space="preserve"> Strategia Locală d</w:t>
      </w:r>
      <w:r w:rsidRPr="009912B8">
        <w:t>e De</w:t>
      </w:r>
      <w:r>
        <w:t>zvoltare a</w:t>
      </w:r>
      <w:r w:rsidRPr="009912B8">
        <w:t xml:space="preserve"> Serviciilor Sociale Sector 2</w:t>
      </w:r>
      <w:r>
        <w:t xml:space="preserve"> 2021-2027</w:t>
      </w:r>
    </w:p>
  </w:footnote>
  <w:footnote w:id="11">
    <w:p w14:paraId="7BF1EC36" w14:textId="77777777" w:rsidR="00617090" w:rsidRDefault="00617090" w:rsidP="00617090">
      <w:pPr>
        <w:pStyle w:val="FootnoteText"/>
      </w:pPr>
      <w:r>
        <w:rPr>
          <w:rStyle w:val="FootnoteReference"/>
        </w:rPr>
        <w:footnoteRef/>
      </w:r>
      <w:r>
        <w:t xml:space="preserve"> Cartografierea serviciilor sociale în Sectorul 2 București</w:t>
      </w:r>
    </w:p>
  </w:footnote>
  <w:footnote w:id="12">
    <w:p w14:paraId="0AFFC417" w14:textId="77777777" w:rsidR="00617090" w:rsidRDefault="00617090" w:rsidP="00617090">
      <w:pPr>
        <w:pStyle w:val="FootnoteText"/>
      </w:pPr>
      <w:r>
        <w:rPr>
          <w:rStyle w:val="FootnoteReference"/>
        </w:rPr>
        <w:footnoteRef/>
      </w:r>
      <w:r>
        <w:t xml:space="preserve"> Pagina web a DGASPC Sector 2, </w:t>
      </w:r>
      <w:r w:rsidRPr="00CA46BE">
        <w:t>https://social2.ro/directii-si-servicii/directia-asistenta-sociala/serviciul-interventie-si-urgente-sociale/#1596003597908-ef739bfe-51f5</w:t>
      </w:r>
    </w:p>
  </w:footnote>
  <w:footnote w:id="13">
    <w:p w14:paraId="11124C33" w14:textId="77777777" w:rsidR="00617090" w:rsidRDefault="00617090" w:rsidP="00617090">
      <w:pPr>
        <w:pStyle w:val="FootnoteText"/>
      </w:pPr>
      <w:r>
        <w:rPr>
          <w:rStyle w:val="FootnoteReference"/>
        </w:rPr>
        <w:footnoteRef/>
      </w:r>
      <w:r>
        <w:t xml:space="preserve"> Strategia Locală d</w:t>
      </w:r>
      <w:r w:rsidRPr="009912B8">
        <w:t>e De</w:t>
      </w:r>
      <w:r>
        <w:t>zvoltare a</w:t>
      </w:r>
      <w:r w:rsidRPr="009912B8">
        <w:t xml:space="preserve"> Serviciilor Sociale Sector 2</w:t>
      </w:r>
      <w:r>
        <w:t xml:space="preserve"> 2021-2027</w:t>
      </w:r>
    </w:p>
  </w:footnote>
  <w:footnote w:id="14">
    <w:p w14:paraId="12B93880"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de Dezvoltare Locală a Sectorului 2 pentru perioada 2016 – 2025</w:t>
      </w:r>
    </w:p>
  </w:footnote>
  <w:footnote w:id="15">
    <w:p w14:paraId="66B94ECE"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Integrată de Dezvoltare Urbană a Municipiului București 2021 – 2030</w:t>
      </w:r>
    </w:p>
  </w:footnote>
  <w:footnote w:id="16">
    <w:p w14:paraId="6E111989"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Culturală a Municipiului București 2016 – 2026</w:t>
      </w:r>
    </w:p>
  </w:footnote>
  <w:footnote w:id="17">
    <w:p w14:paraId="210DA1C5" w14:textId="77777777" w:rsidR="00303644" w:rsidRDefault="00303644" w:rsidP="00303644">
      <w:pPr>
        <w:pBdr>
          <w:top w:val="nil"/>
          <w:left w:val="nil"/>
          <w:bottom w:val="nil"/>
          <w:right w:val="nil"/>
          <w:between w:val="nil"/>
        </w:pBdr>
        <w:spacing w:after="0"/>
        <w:rPr>
          <w:color w:val="000000"/>
          <w:sz w:val="20"/>
          <w:szCs w:val="20"/>
        </w:rPr>
      </w:pPr>
      <w:r w:rsidRPr="00D44B8A">
        <w:rPr>
          <w:rStyle w:val="FootnoteReference"/>
          <w:sz w:val="18"/>
          <w:szCs w:val="18"/>
        </w:rPr>
        <w:footnoteRef/>
      </w:r>
      <w:r w:rsidRPr="00D44B8A">
        <w:rPr>
          <w:color w:val="000000"/>
          <w:sz w:val="18"/>
          <w:szCs w:val="18"/>
        </w:rPr>
        <w:t xml:space="preserve"> Strategia Integrată de Dezvoltare Urbană a Municipiului București 2021 – 2030</w:t>
      </w:r>
    </w:p>
  </w:footnote>
  <w:footnote w:id="18">
    <w:p w14:paraId="2303C5EE"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de Dezvoltare Locală a Sectorului 2 pentru perioada 2016 – 2025</w:t>
      </w:r>
    </w:p>
  </w:footnote>
  <w:footnote w:id="19">
    <w:p w14:paraId="62CCFA40" w14:textId="77777777" w:rsidR="00303644" w:rsidRDefault="00303644" w:rsidP="00303644">
      <w:pPr>
        <w:pBdr>
          <w:top w:val="nil"/>
          <w:left w:val="nil"/>
          <w:bottom w:val="nil"/>
          <w:right w:val="nil"/>
          <w:between w:val="nil"/>
        </w:pBdr>
        <w:spacing w:after="0"/>
        <w:rPr>
          <w:color w:val="000000"/>
          <w:sz w:val="20"/>
          <w:szCs w:val="20"/>
        </w:rPr>
      </w:pPr>
      <w:r w:rsidRPr="00D44B8A">
        <w:rPr>
          <w:rStyle w:val="FootnoteReference"/>
          <w:sz w:val="18"/>
          <w:szCs w:val="18"/>
        </w:rPr>
        <w:footnoteRef/>
      </w:r>
      <w:r w:rsidRPr="00D44B8A">
        <w:rPr>
          <w:color w:val="000000"/>
          <w:sz w:val="18"/>
          <w:szCs w:val="18"/>
        </w:rPr>
        <w:t xml:space="preserve"> Cercetare proprie</w:t>
      </w:r>
    </w:p>
  </w:footnote>
  <w:footnote w:id="20">
    <w:p w14:paraId="6CA94B54" w14:textId="77777777" w:rsidR="00303644" w:rsidRDefault="00303644" w:rsidP="00303644">
      <w:pPr>
        <w:pStyle w:val="FootnoteText"/>
      </w:pPr>
      <w:r>
        <w:rPr>
          <w:rStyle w:val="FootnoteReference"/>
        </w:rPr>
        <w:footnoteRef/>
      </w:r>
      <w:r>
        <w:t xml:space="preserve"> Conform discuțiilor purtate în cadrul Grupului de Lucru dedicat domeniului Cultural, Patrimoniu și Sport din data de 01.07.2022</w:t>
      </w:r>
    </w:p>
  </w:footnote>
  <w:footnote w:id="21">
    <w:p w14:paraId="35BBCCCD"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Culturală a Municipiului București 2016 – 2026</w:t>
      </w:r>
    </w:p>
  </w:footnote>
  <w:footnote w:id="22">
    <w:p w14:paraId="00ACB4E9"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Integrată de Dezvoltare Urbană a Municipiului București 2021 – 2030</w:t>
      </w:r>
    </w:p>
  </w:footnote>
  <w:footnote w:id="23">
    <w:p w14:paraId="7CA4F95A" w14:textId="77777777" w:rsidR="00303644" w:rsidRDefault="00303644" w:rsidP="00303644">
      <w:pPr>
        <w:pBdr>
          <w:top w:val="nil"/>
          <w:left w:val="nil"/>
          <w:bottom w:val="nil"/>
          <w:right w:val="nil"/>
          <w:between w:val="nil"/>
        </w:pBdr>
        <w:spacing w:after="0"/>
        <w:rPr>
          <w:color w:val="000000"/>
          <w:sz w:val="20"/>
          <w:szCs w:val="20"/>
        </w:rPr>
      </w:pPr>
      <w:r w:rsidRPr="00D44B8A">
        <w:rPr>
          <w:rStyle w:val="FootnoteReference"/>
          <w:sz w:val="18"/>
          <w:szCs w:val="18"/>
        </w:rPr>
        <w:footnoteRef/>
      </w:r>
      <w:r w:rsidRPr="00D44B8A">
        <w:rPr>
          <w:color w:val="000000"/>
          <w:sz w:val="18"/>
          <w:szCs w:val="18"/>
        </w:rPr>
        <w:t xml:space="preserve"> Strategia Integrată de Dezvoltare Urbană a Municipiului București 2021 – 2030</w:t>
      </w:r>
    </w:p>
  </w:footnote>
  <w:footnote w:id="24">
    <w:p w14:paraId="5FFEE010" w14:textId="77777777" w:rsidR="00303644" w:rsidRDefault="00303644" w:rsidP="00303644">
      <w:pPr>
        <w:pStyle w:val="FootnoteText"/>
      </w:pPr>
      <w:r>
        <w:rPr>
          <w:rStyle w:val="FootnoteReference"/>
        </w:rPr>
        <w:footnoteRef/>
      </w:r>
      <w:r>
        <w:t xml:space="preserve"> </w:t>
      </w:r>
      <w:r w:rsidRPr="00FA0931">
        <w:t xml:space="preserve">În cadrul proiectului de actualizare a „Strategiei de Dezvoltare Locală Integrată și Durabilă a Sectorului 2 pentru perioada 2016 – 2025” s-au demarat o serie de sondaje de opinie în care au fost înregistrate aproximativ 1.031 de răspunsuri în cadrul Chestionarului dedicat cetățenilor din Sectorul 2.  </w:t>
      </w:r>
    </w:p>
  </w:footnote>
  <w:footnote w:id="25">
    <w:p w14:paraId="4FE6C09F" w14:textId="77777777" w:rsidR="00303644" w:rsidRDefault="00303644" w:rsidP="00303644">
      <w:pPr>
        <w:pStyle w:val="FootnoteText"/>
      </w:pPr>
      <w:r>
        <w:rPr>
          <w:rStyle w:val="FootnoteReference"/>
        </w:rPr>
        <w:footnoteRef/>
      </w:r>
      <w:r>
        <w:t xml:space="preserve"> Conform discuțiilor purtate în cadrul Grupului de Lucru dedicat domeniului Cultural, Patrimoniu și Sport din data de 01.07.2022</w:t>
      </w:r>
    </w:p>
  </w:footnote>
  <w:footnote w:id="26">
    <w:p w14:paraId="6278626F" w14:textId="77777777" w:rsidR="00303644" w:rsidRDefault="00303644" w:rsidP="00303644">
      <w:pPr>
        <w:pStyle w:val="FootnoteText"/>
      </w:pPr>
      <w:r>
        <w:rPr>
          <w:rStyle w:val="FootnoteReference"/>
        </w:rPr>
        <w:footnoteRef/>
      </w:r>
      <w:r>
        <w:t xml:space="preserve"> </w:t>
      </w:r>
      <w:r w:rsidRPr="001671E2">
        <w:t>Conform discuțiilor purtate în cadrul Grupului de Lucru dedicat domeniului Cultural, Patrimoniu și Sport din data de 01.07.2022</w:t>
      </w:r>
    </w:p>
  </w:footnote>
  <w:footnote w:id="27">
    <w:p w14:paraId="3F6531E3"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https://centruleminescu.ro/istoric/ </w:t>
      </w:r>
    </w:p>
  </w:footnote>
  <w:footnote w:id="28">
    <w:p w14:paraId="2837AB15"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Luke Jerram</w:t>
      </w:r>
    </w:p>
  </w:footnote>
  <w:footnote w:id="29">
    <w:p w14:paraId="7AAB0164"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Silviu Ciora</w:t>
      </w:r>
    </w:p>
  </w:footnote>
  <w:footnote w:id="30">
    <w:p w14:paraId="0D616573"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Studio Toer</w:t>
      </w:r>
    </w:p>
  </w:footnote>
  <w:footnote w:id="31">
    <w:p w14:paraId="6C7D93AA"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Studio Toer</w:t>
      </w:r>
    </w:p>
  </w:footnote>
  <w:footnote w:id="32">
    <w:p w14:paraId="2896C503"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Markus Anders &amp; Circus Lumineszenz</w:t>
      </w:r>
    </w:p>
  </w:footnote>
  <w:footnote w:id="33">
    <w:p w14:paraId="3B10DF6E"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Leonid Tishkov</w:t>
      </w:r>
    </w:p>
  </w:footnote>
  <w:footnote w:id="34">
    <w:p w14:paraId="1158428D"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Circus Lumineszenz   </w:t>
      </w:r>
    </w:p>
  </w:footnote>
  <w:footnote w:id="35">
    <w:p w14:paraId="01FDC88F"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6th Sense Design &amp; Adi Bălan </w:t>
      </w:r>
    </w:p>
  </w:footnote>
  <w:footnote w:id="36">
    <w:p w14:paraId="0003C54F" w14:textId="77777777" w:rsidR="00303644" w:rsidRPr="00B1751D" w:rsidRDefault="00303644" w:rsidP="00303644">
      <w:pPr>
        <w:pBdr>
          <w:top w:val="nil"/>
          <w:left w:val="nil"/>
          <w:bottom w:val="nil"/>
          <w:right w:val="nil"/>
          <w:between w:val="nil"/>
        </w:pBdr>
        <w:spacing w:after="0"/>
        <w:rPr>
          <w:color w:val="000000"/>
          <w:sz w:val="18"/>
          <w:szCs w:val="18"/>
        </w:rPr>
      </w:pPr>
      <w:r w:rsidRPr="00B1751D">
        <w:rPr>
          <w:rStyle w:val="FootnoteReference"/>
          <w:sz w:val="18"/>
          <w:szCs w:val="18"/>
        </w:rPr>
        <w:footnoteRef/>
      </w:r>
      <w:r w:rsidRPr="00B1751D">
        <w:rPr>
          <w:color w:val="000000"/>
          <w:sz w:val="18"/>
          <w:szCs w:val="18"/>
        </w:rPr>
        <w:t xml:space="preserve"> Lucrare creată de Silviu Ciora</w:t>
      </w:r>
    </w:p>
  </w:footnote>
  <w:footnote w:id="37">
    <w:p w14:paraId="2BB51363" w14:textId="0C89559B" w:rsidR="00303644" w:rsidRDefault="00303644" w:rsidP="00303644">
      <w:pPr>
        <w:pBdr>
          <w:top w:val="nil"/>
          <w:left w:val="nil"/>
          <w:bottom w:val="nil"/>
          <w:right w:val="nil"/>
          <w:between w:val="nil"/>
        </w:pBdr>
        <w:spacing w:after="0"/>
        <w:rPr>
          <w:color w:val="000000"/>
          <w:sz w:val="20"/>
          <w:szCs w:val="20"/>
        </w:rPr>
      </w:pPr>
      <w:r w:rsidRPr="00B1751D">
        <w:rPr>
          <w:rStyle w:val="FootnoteReference"/>
          <w:sz w:val="18"/>
          <w:szCs w:val="18"/>
        </w:rPr>
        <w:footnoteRef/>
      </w:r>
      <w:r w:rsidRPr="00B1751D">
        <w:rPr>
          <w:color w:val="000000"/>
          <w:sz w:val="18"/>
          <w:szCs w:val="18"/>
        </w:rPr>
        <w:t xml:space="preserve"> Cf. Centralizatorul Planurilor de Acțiune pentru anul 2021 din partea Direcției Management Proiecte – Serviciul Strategii și Programe de Dezvoltare Durabilă, Primăria Sector</w:t>
      </w:r>
      <w:r w:rsidR="00F53B80" w:rsidRPr="00B1751D">
        <w:rPr>
          <w:color w:val="000000"/>
          <w:sz w:val="18"/>
          <w:szCs w:val="18"/>
        </w:rPr>
        <w:t>ului</w:t>
      </w:r>
      <w:r w:rsidRPr="00B1751D">
        <w:rPr>
          <w:color w:val="000000"/>
          <w:sz w:val="18"/>
          <w:szCs w:val="18"/>
        </w:rPr>
        <w:t xml:space="preserve"> 2</w:t>
      </w:r>
    </w:p>
  </w:footnote>
  <w:footnote w:id="38">
    <w:p w14:paraId="5CB58377" w14:textId="77777777" w:rsidR="00303644" w:rsidRPr="00D44B8A" w:rsidRDefault="00303644" w:rsidP="00303644">
      <w:pPr>
        <w:pBdr>
          <w:top w:val="nil"/>
          <w:left w:val="nil"/>
          <w:bottom w:val="nil"/>
          <w:right w:val="nil"/>
          <w:between w:val="nil"/>
        </w:pBdr>
        <w:spacing w:after="0"/>
        <w:jc w:val="left"/>
        <w:rPr>
          <w:color w:val="000000"/>
          <w:sz w:val="18"/>
          <w:szCs w:val="18"/>
        </w:rPr>
      </w:pPr>
      <w:r w:rsidRPr="00D44B8A">
        <w:rPr>
          <w:rStyle w:val="FootnoteReference"/>
          <w:sz w:val="18"/>
          <w:szCs w:val="18"/>
        </w:rPr>
        <w:footnoteRef/>
      </w:r>
      <w:r w:rsidRPr="00D44B8A">
        <w:rPr>
          <w:color w:val="000000"/>
          <w:sz w:val="18"/>
          <w:szCs w:val="18"/>
        </w:rPr>
        <w:t xml:space="preserve"> https://b365.ro/festivalul-american-independent-film-se-tine-anul-acesta-la-bucuresti-editia-din-2022-va-avea-formatul-de-dinainte-de-restrictii-455385/ </w:t>
      </w:r>
    </w:p>
  </w:footnote>
  <w:footnote w:id="39">
    <w:p w14:paraId="3A8158BA" w14:textId="77777777" w:rsidR="00303644" w:rsidRDefault="00303644" w:rsidP="00303644">
      <w:pPr>
        <w:pStyle w:val="FootnoteText"/>
      </w:pPr>
      <w:r>
        <w:rPr>
          <w:rStyle w:val="FootnoteReference"/>
        </w:rPr>
        <w:footnoteRef/>
      </w:r>
      <w:r>
        <w:t xml:space="preserve"> Conform discuțiilor purtate în cadrul Grupului de Lucru cu locuitorii zonelor Vatra Luminoasă și Pantelimon, în Parcul Morarilor în data de 28.06.2022 </w:t>
      </w:r>
    </w:p>
  </w:footnote>
  <w:footnote w:id="40">
    <w:p w14:paraId="0F35B203"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Integrată de Dezvoltare Urbană a Municipiului București 2021 – 2030</w:t>
      </w:r>
    </w:p>
  </w:footnote>
  <w:footnote w:id="41">
    <w:p w14:paraId="19FAD9C9" w14:textId="77777777" w:rsidR="00303644" w:rsidRDefault="00303644" w:rsidP="00303644">
      <w:pPr>
        <w:pBdr>
          <w:top w:val="nil"/>
          <w:left w:val="nil"/>
          <w:bottom w:val="nil"/>
          <w:right w:val="nil"/>
          <w:between w:val="nil"/>
        </w:pBdr>
        <w:spacing w:after="0"/>
        <w:rPr>
          <w:color w:val="000000"/>
          <w:sz w:val="20"/>
          <w:szCs w:val="20"/>
        </w:rPr>
      </w:pPr>
      <w:r w:rsidRPr="00D44B8A">
        <w:rPr>
          <w:rStyle w:val="FootnoteReference"/>
          <w:sz w:val="18"/>
          <w:szCs w:val="18"/>
        </w:rPr>
        <w:footnoteRef/>
      </w:r>
      <w:r w:rsidRPr="00D44B8A">
        <w:rPr>
          <w:color w:val="000000"/>
          <w:sz w:val="18"/>
          <w:szCs w:val="18"/>
        </w:rPr>
        <w:t xml:space="preserve"> https://www.administratie.ro/concurs-de-proiecte-culturale-cu-fonduri-nerambursabile-in-sectorul-2/</w:t>
      </w:r>
      <w:r>
        <w:rPr>
          <w:color w:val="000000"/>
          <w:sz w:val="20"/>
          <w:szCs w:val="20"/>
        </w:rPr>
        <w:t xml:space="preserve"> </w:t>
      </w:r>
    </w:p>
  </w:footnote>
  <w:footnote w:id="42">
    <w:p w14:paraId="4781AC71" w14:textId="77777777" w:rsidR="00303644" w:rsidRDefault="00303644" w:rsidP="00303644">
      <w:pPr>
        <w:pStyle w:val="FootnoteText"/>
      </w:pPr>
      <w:r>
        <w:rPr>
          <w:rStyle w:val="FootnoteReference"/>
        </w:rPr>
        <w:footnoteRef/>
      </w:r>
      <w:r>
        <w:t xml:space="preserve"> Conform discuțiilor purtate în cadrul Grupului de Lucru dedicat domeniului Cultural, Patrimoniu și Sport din data de 01.07.2022</w:t>
      </w:r>
    </w:p>
  </w:footnote>
  <w:footnote w:id="43">
    <w:p w14:paraId="54C13C46"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https://visitbucharest.today/ </w:t>
      </w:r>
    </w:p>
  </w:footnote>
  <w:footnote w:id="44">
    <w:p w14:paraId="14321F60"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https://www.facebook.com/EvenimenteBucurestiZilnic/ </w:t>
      </w:r>
    </w:p>
  </w:footnote>
  <w:footnote w:id="45">
    <w:p w14:paraId="61EA6676"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https://bucuresti.fest.ro/evenimente </w:t>
      </w:r>
    </w:p>
  </w:footnote>
  <w:footnote w:id="46">
    <w:p w14:paraId="7869ACBB"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https://www.bucuresteni.ro/info/index/t--evenimente/ </w:t>
      </w:r>
    </w:p>
  </w:footnote>
  <w:footnote w:id="47">
    <w:p w14:paraId="09148968"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https://www.vinsieu.ro/evenimente/bucuresti/data/toate/lsd.html </w:t>
      </w:r>
    </w:p>
  </w:footnote>
  <w:footnote w:id="48">
    <w:p w14:paraId="73E81DD7" w14:textId="77777777" w:rsidR="00303644" w:rsidRDefault="00303644" w:rsidP="00303644">
      <w:pPr>
        <w:pStyle w:val="FootnoteText"/>
      </w:pPr>
      <w:r>
        <w:rPr>
          <w:rStyle w:val="FootnoteReference"/>
        </w:rPr>
        <w:footnoteRef/>
      </w:r>
      <w:r>
        <w:t xml:space="preserve"> Conform discuțiilor purtate în cadrul Grupului de Lucru dedicat domeniului Cultural, Patrimoniu și Sport din data de 01.07.2022</w:t>
      </w:r>
    </w:p>
  </w:footnote>
  <w:footnote w:id="49">
    <w:p w14:paraId="2ACDB0C0"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de Dezvoltare Locală a Sectorului 2 pentru perioada 2016 – 2025 </w:t>
      </w:r>
    </w:p>
  </w:footnote>
  <w:footnote w:id="50">
    <w:p w14:paraId="3002821A" w14:textId="77777777" w:rsidR="00303644" w:rsidRDefault="00303644" w:rsidP="00303644">
      <w:pPr>
        <w:pBdr>
          <w:top w:val="nil"/>
          <w:left w:val="nil"/>
          <w:bottom w:val="nil"/>
          <w:right w:val="nil"/>
          <w:between w:val="nil"/>
        </w:pBdr>
        <w:spacing w:after="0"/>
        <w:rPr>
          <w:color w:val="000000"/>
          <w:sz w:val="20"/>
          <w:szCs w:val="20"/>
        </w:rPr>
      </w:pPr>
      <w:r w:rsidRPr="00D44B8A">
        <w:rPr>
          <w:rStyle w:val="FootnoteReference"/>
          <w:sz w:val="18"/>
          <w:szCs w:val="18"/>
        </w:rPr>
        <w:footnoteRef/>
      </w:r>
      <w:r w:rsidRPr="00D44B8A">
        <w:rPr>
          <w:color w:val="000000"/>
          <w:sz w:val="18"/>
          <w:szCs w:val="18"/>
        </w:rPr>
        <w:t xml:space="preserve"> Strategia de Dezvoltare Locală a Sectorului 2 pentru perioada 2016 – 2025</w:t>
      </w:r>
    </w:p>
  </w:footnote>
  <w:footnote w:id="51">
    <w:p w14:paraId="7700511C"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Conform World Travel Organisation</w:t>
      </w:r>
    </w:p>
  </w:footnote>
  <w:footnote w:id="52">
    <w:p w14:paraId="62349D20"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Date actualizate pe data de 15.04. 2022</w:t>
      </w:r>
    </w:p>
  </w:footnote>
  <w:footnote w:id="53">
    <w:p w14:paraId="177CBB81"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Datele înregistrate pentru ambele platforme sunt pentru perioada de vară iulie 2022, fiind excluse proprietățile care au fost deja rezervate </w:t>
      </w:r>
    </w:p>
  </w:footnote>
  <w:footnote w:id="54">
    <w:p w14:paraId="27320667"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PUZ Sector 2</w:t>
      </w:r>
    </w:p>
  </w:footnote>
  <w:footnote w:id="55">
    <w:p w14:paraId="452C5C48"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Culturală a Municipiului București 2016 – 2026 </w:t>
      </w:r>
    </w:p>
  </w:footnote>
  <w:footnote w:id="56">
    <w:p w14:paraId="51DD1F34" w14:textId="77777777"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Strategia Culturală a Municipiului București 2016 – 2026</w:t>
      </w:r>
    </w:p>
  </w:footnote>
  <w:footnote w:id="57">
    <w:p w14:paraId="2B03010F" w14:textId="77777777" w:rsidR="00303644" w:rsidRDefault="00303644" w:rsidP="00303644">
      <w:pPr>
        <w:pStyle w:val="FootnoteText"/>
      </w:pPr>
      <w:r w:rsidRPr="00D44B8A">
        <w:rPr>
          <w:rStyle w:val="FootnoteReference"/>
          <w:szCs w:val="18"/>
        </w:rPr>
        <w:footnoteRef/>
      </w:r>
      <w:r w:rsidRPr="00D44B8A">
        <w:rPr>
          <w:szCs w:val="18"/>
        </w:rPr>
        <w:t xml:space="preserve"> Conform discuțiilor purtate în cadrul Grupului de Lucru cu locuitorii zonelor Eminescu, Romană, Universitate și Ștefan cel Mare, în Parcul Grădina Icoanei în data de 13.07.2022</w:t>
      </w:r>
    </w:p>
  </w:footnote>
  <w:footnote w:id="58">
    <w:p w14:paraId="2D4C56E5" w14:textId="77B77CEC" w:rsidR="00303644" w:rsidRPr="00D44B8A" w:rsidRDefault="00303644" w:rsidP="00303644">
      <w:pPr>
        <w:pBdr>
          <w:top w:val="nil"/>
          <w:left w:val="nil"/>
          <w:bottom w:val="nil"/>
          <w:right w:val="nil"/>
          <w:between w:val="nil"/>
        </w:pBdr>
        <w:spacing w:after="0"/>
        <w:rPr>
          <w:color w:val="000000"/>
          <w:sz w:val="18"/>
          <w:szCs w:val="18"/>
        </w:rPr>
      </w:pPr>
      <w:r w:rsidRPr="00D44B8A">
        <w:rPr>
          <w:rStyle w:val="FootnoteReference"/>
          <w:sz w:val="18"/>
          <w:szCs w:val="18"/>
        </w:rPr>
        <w:footnoteRef/>
      </w:r>
      <w:r w:rsidRPr="00D44B8A">
        <w:rPr>
          <w:color w:val="000000"/>
          <w:sz w:val="18"/>
          <w:szCs w:val="18"/>
        </w:rPr>
        <w:t xml:space="preserve"> Conform Legii</w:t>
      </w:r>
      <w:r w:rsidR="00D44B8A">
        <w:rPr>
          <w:color w:val="000000"/>
          <w:sz w:val="18"/>
          <w:szCs w:val="18"/>
        </w:rPr>
        <w:t xml:space="preserve"> nr.</w:t>
      </w:r>
      <w:r w:rsidRPr="00D44B8A">
        <w:rPr>
          <w:color w:val="000000"/>
          <w:sz w:val="18"/>
          <w:szCs w:val="18"/>
        </w:rPr>
        <w:t xml:space="preserve"> 69/2000</w:t>
      </w:r>
    </w:p>
  </w:footnote>
  <w:footnote w:id="59">
    <w:p w14:paraId="64AE5CBE" w14:textId="77777777" w:rsidR="00303644" w:rsidRDefault="00303644" w:rsidP="00303644">
      <w:pPr>
        <w:pBdr>
          <w:top w:val="nil"/>
          <w:left w:val="nil"/>
          <w:bottom w:val="nil"/>
          <w:right w:val="nil"/>
          <w:between w:val="nil"/>
        </w:pBdr>
        <w:spacing w:after="0"/>
        <w:jc w:val="left"/>
        <w:rPr>
          <w:color w:val="000000"/>
          <w:sz w:val="20"/>
          <w:szCs w:val="20"/>
        </w:rPr>
      </w:pPr>
      <w:r>
        <w:rPr>
          <w:rStyle w:val="FootnoteReference"/>
        </w:rPr>
        <w:footnoteRef/>
      </w:r>
      <w:r>
        <w:rPr>
          <w:color w:val="000000"/>
          <w:sz w:val="20"/>
          <w:szCs w:val="20"/>
        </w:rPr>
        <w:t xml:space="preserve"> https://www.edupedu.ro/curtile-scolilor-din-sectorul-2-bucuresti-se-deschid-pentru-copii-si-in-afara-orelor-de-curs-viceprimar-proiectul-a-fost-votat-in-unanimitate/ </w:t>
      </w:r>
    </w:p>
  </w:footnote>
  <w:footnote w:id="60">
    <w:p w14:paraId="1028BECA"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Proiect promovat pe pagina de Facebook a Primăriei Sectorului 2 în data de 4 aprilie 2022 </w:t>
      </w:r>
    </w:p>
  </w:footnote>
  <w:footnote w:id="61">
    <w:p w14:paraId="062C1617"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Strategia Integrată de Dezvoltare Urbană a Municipiului București 2021 – 2030 </w:t>
      </w:r>
    </w:p>
  </w:footnote>
  <w:footnote w:id="62">
    <w:p w14:paraId="64582780"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Strategia Integrată de Dezvoltare Urbană a Municipiului București 2021 – 2030</w:t>
      </w:r>
    </w:p>
  </w:footnote>
  <w:footnote w:id="63">
    <w:p w14:paraId="24F04DB7"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Strategia Integrată de Dezvoltare Urbană a Municipiului București 2021 – 2030</w:t>
      </w:r>
    </w:p>
  </w:footnote>
  <w:footnote w:id="64">
    <w:p w14:paraId="31E234C1" w14:textId="77777777" w:rsidR="00303644" w:rsidRDefault="00303644" w:rsidP="0030364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https://b365.ro/concurs-de-proiecte-sportive-cu-fonduri-nerambursabile-in-sectorul-2-417390/ </w:t>
      </w:r>
    </w:p>
  </w:footnote>
  <w:footnote w:id="65">
    <w:p w14:paraId="4E0EB0B2" w14:textId="77777777" w:rsidR="00303644" w:rsidRPr="00C65A9E" w:rsidRDefault="00303644" w:rsidP="00303644">
      <w:pPr>
        <w:pBdr>
          <w:top w:val="nil"/>
          <w:left w:val="nil"/>
          <w:bottom w:val="nil"/>
          <w:right w:val="nil"/>
          <w:between w:val="nil"/>
        </w:pBdr>
        <w:spacing w:after="0"/>
        <w:rPr>
          <w:color w:val="000000"/>
          <w:sz w:val="18"/>
          <w:szCs w:val="18"/>
        </w:rPr>
      </w:pPr>
      <w:r w:rsidRPr="00C65A9E">
        <w:rPr>
          <w:rStyle w:val="FootnoteReference"/>
          <w:sz w:val="18"/>
          <w:szCs w:val="18"/>
        </w:rPr>
        <w:footnoteRef/>
      </w:r>
      <w:r w:rsidRPr="00C65A9E">
        <w:rPr>
          <w:color w:val="000000"/>
          <w:sz w:val="18"/>
          <w:szCs w:val="18"/>
        </w:rPr>
        <w:t xml:space="preserve"> Anunț făcut public pe pagina de Facebook a Sectorului 2 în data de 12 mai 2022 </w:t>
      </w:r>
    </w:p>
  </w:footnote>
  <w:footnote w:id="66">
    <w:p w14:paraId="249D7BAD" w14:textId="77777777" w:rsidR="00303644" w:rsidRDefault="00303644" w:rsidP="00303644">
      <w:pPr>
        <w:pStyle w:val="FootnoteText"/>
      </w:pPr>
      <w:r w:rsidRPr="00C65A9E">
        <w:rPr>
          <w:rStyle w:val="FootnoteReference"/>
          <w:szCs w:val="18"/>
        </w:rPr>
        <w:footnoteRef/>
      </w:r>
      <w:r w:rsidRPr="00C65A9E">
        <w:rPr>
          <w:szCs w:val="18"/>
        </w:rPr>
        <w:t xml:space="preserve"> În cadrul proiectului de actualizare a „Strategiei de Dezvoltare Locală Integrată și Durabilă a Sectorului 2 pentru perioada 2016 – 2025” s-au demarat o serie de sondaje de opinie în care au fost înregistrate aproximativ 1.031 de răspunsuri în cadrul Chestionarului dedicat cetățenilor din Sectorul 2.</w:t>
      </w:r>
      <w:r w:rsidRPr="00C254F9">
        <w:t xml:space="preserve">  </w:t>
      </w:r>
    </w:p>
  </w:footnote>
  <w:footnote w:id="67">
    <w:p w14:paraId="489E5B9D" w14:textId="77777777" w:rsidR="00303644" w:rsidRPr="00C65A9E" w:rsidRDefault="00303644" w:rsidP="00303644">
      <w:pPr>
        <w:pBdr>
          <w:top w:val="nil"/>
          <w:left w:val="nil"/>
          <w:bottom w:val="nil"/>
          <w:right w:val="nil"/>
          <w:between w:val="nil"/>
        </w:pBdr>
        <w:spacing w:after="0"/>
        <w:rPr>
          <w:color w:val="000000"/>
          <w:sz w:val="18"/>
          <w:szCs w:val="18"/>
        </w:rPr>
      </w:pPr>
      <w:r w:rsidRPr="00C65A9E">
        <w:rPr>
          <w:rStyle w:val="FootnoteReference"/>
          <w:sz w:val="18"/>
          <w:szCs w:val="18"/>
        </w:rPr>
        <w:footnoteRef/>
      </w:r>
      <w:r w:rsidRPr="00C65A9E">
        <w:rPr>
          <w:color w:val="000000"/>
          <w:sz w:val="18"/>
          <w:szCs w:val="18"/>
        </w:rPr>
        <w:t xml:space="preserve"> Strategia Integrată de Dezvoltare Urbană a Municipiului București 2021 – 2030 </w:t>
      </w:r>
    </w:p>
  </w:footnote>
  <w:footnote w:id="68">
    <w:p w14:paraId="7E2D5F9C" w14:textId="1AB2BD37" w:rsidR="00303644" w:rsidRDefault="00303644" w:rsidP="00303644">
      <w:pPr>
        <w:pStyle w:val="FootnoteText"/>
      </w:pPr>
      <w:r w:rsidRPr="00C65A9E">
        <w:rPr>
          <w:rStyle w:val="FootnoteReference"/>
          <w:szCs w:val="18"/>
        </w:rPr>
        <w:footnoteRef/>
      </w:r>
      <w:r w:rsidRPr="00C65A9E">
        <w:rPr>
          <w:szCs w:val="18"/>
        </w:rPr>
        <w:t xml:space="preserve"> În cadrul proiectului de actualizare a „Strategiei de Dezvoltare Locală Integrată și Durabilă a Sectorului 2 pentru perioada 2016 – 2025” s-au demarat o serie de sondaje de opinie în care au fost înregistrate aproximativ 1.031 de răspunsuri în cadrul Chestionarului dedicat cetățenilor din Sectorul 2</w:t>
      </w:r>
    </w:p>
  </w:footnote>
  <w:footnote w:id="69">
    <w:p w14:paraId="2DB9F21D" w14:textId="77777777" w:rsidR="00303644" w:rsidRPr="00C65A9E" w:rsidRDefault="00303644" w:rsidP="00303644">
      <w:pPr>
        <w:pBdr>
          <w:top w:val="nil"/>
          <w:left w:val="nil"/>
          <w:bottom w:val="nil"/>
          <w:right w:val="nil"/>
          <w:between w:val="nil"/>
        </w:pBdr>
        <w:spacing w:after="0"/>
        <w:rPr>
          <w:color w:val="000000"/>
          <w:sz w:val="18"/>
          <w:szCs w:val="18"/>
        </w:rPr>
      </w:pPr>
      <w:r w:rsidRPr="00C65A9E">
        <w:rPr>
          <w:rStyle w:val="FootnoteReference"/>
          <w:sz w:val="18"/>
          <w:szCs w:val="18"/>
        </w:rPr>
        <w:footnoteRef/>
      </w:r>
      <w:r w:rsidRPr="00C65A9E">
        <w:rPr>
          <w:color w:val="000000"/>
          <w:sz w:val="18"/>
          <w:szCs w:val="18"/>
        </w:rPr>
        <w:t xml:space="preserve"> Conform informațiilor primite din partea Primăriei Sectorului 2</w:t>
      </w:r>
    </w:p>
  </w:footnote>
  <w:footnote w:id="70">
    <w:p w14:paraId="518A018D" w14:textId="77777777" w:rsidR="00303644" w:rsidRPr="00C65A9E" w:rsidRDefault="00303644" w:rsidP="00303644">
      <w:pPr>
        <w:pBdr>
          <w:top w:val="nil"/>
          <w:left w:val="nil"/>
          <w:bottom w:val="nil"/>
          <w:right w:val="nil"/>
          <w:between w:val="nil"/>
        </w:pBdr>
        <w:spacing w:after="0"/>
        <w:rPr>
          <w:color w:val="000000"/>
          <w:sz w:val="18"/>
          <w:szCs w:val="18"/>
        </w:rPr>
      </w:pPr>
      <w:r w:rsidRPr="00C65A9E">
        <w:rPr>
          <w:rStyle w:val="FootnoteReference"/>
          <w:sz w:val="18"/>
          <w:szCs w:val="18"/>
        </w:rPr>
        <w:footnoteRef/>
      </w:r>
      <w:r w:rsidRPr="00C65A9E">
        <w:rPr>
          <w:color w:val="000000"/>
          <w:sz w:val="18"/>
          <w:szCs w:val="18"/>
        </w:rPr>
        <w:t xml:space="preserve"> https://recorder.ro/investitii/bucuresti/sector-2/ </w:t>
      </w:r>
    </w:p>
  </w:footnote>
  <w:footnote w:id="71">
    <w:p w14:paraId="366A4ED9" w14:textId="77777777" w:rsidR="00303644" w:rsidRDefault="00303644" w:rsidP="00303644">
      <w:pPr>
        <w:pBdr>
          <w:top w:val="nil"/>
          <w:left w:val="nil"/>
          <w:bottom w:val="nil"/>
          <w:right w:val="nil"/>
          <w:between w:val="nil"/>
        </w:pBdr>
        <w:spacing w:after="0"/>
        <w:rPr>
          <w:color w:val="000000"/>
          <w:sz w:val="20"/>
          <w:szCs w:val="20"/>
        </w:rPr>
      </w:pPr>
      <w:r w:rsidRPr="00C65A9E">
        <w:rPr>
          <w:rStyle w:val="FootnoteReference"/>
          <w:sz w:val="18"/>
          <w:szCs w:val="18"/>
        </w:rPr>
        <w:footnoteRef/>
      </w:r>
      <w:r w:rsidRPr="00C65A9E">
        <w:rPr>
          <w:color w:val="000000"/>
          <w:sz w:val="18"/>
          <w:szCs w:val="18"/>
        </w:rPr>
        <w:t xml:space="preserve"> Anunț preluat de pe pagina de Facebook a domnului Primar Radu Mihaiu în data de 4 iunie 2021</w:t>
      </w:r>
      <w:r>
        <w:rPr>
          <w:color w:val="000000"/>
          <w:sz w:val="20"/>
          <w:szCs w:val="20"/>
        </w:rPr>
        <w:t xml:space="preserve"> </w:t>
      </w:r>
    </w:p>
  </w:footnote>
  <w:footnote w:id="72">
    <w:p w14:paraId="275F9F65" w14:textId="77777777" w:rsidR="00303644" w:rsidRPr="00C65A9E" w:rsidRDefault="00303644" w:rsidP="00303644">
      <w:pPr>
        <w:pBdr>
          <w:top w:val="nil"/>
          <w:left w:val="nil"/>
          <w:bottom w:val="nil"/>
          <w:right w:val="nil"/>
          <w:between w:val="nil"/>
        </w:pBdr>
        <w:spacing w:after="0"/>
        <w:rPr>
          <w:color w:val="000000"/>
          <w:sz w:val="18"/>
          <w:szCs w:val="18"/>
        </w:rPr>
      </w:pPr>
      <w:r w:rsidRPr="00C65A9E">
        <w:rPr>
          <w:rStyle w:val="FootnoteReference"/>
          <w:sz w:val="18"/>
          <w:szCs w:val="18"/>
        </w:rPr>
        <w:footnoteRef/>
      </w:r>
      <w:r w:rsidRPr="00C65A9E">
        <w:rPr>
          <w:color w:val="000000"/>
          <w:sz w:val="18"/>
          <w:szCs w:val="18"/>
        </w:rPr>
        <w:t xml:space="preserve"> Conform informațiilor primite din partea Primăriei Sectorului 2 </w:t>
      </w:r>
    </w:p>
  </w:footnote>
  <w:footnote w:id="73">
    <w:p w14:paraId="1A72A0E3" w14:textId="77777777" w:rsidR="00303644" w:rsidRPr="00C65A9E" w:rsidRDefault="00303644" w:rsidP="00303644">
      <w:pPr>
        <w:pStyle w:val="FootnoteText"/>
        <w:rPr>
          <w:szCs w:val="18"/>
        </w:rPr>
      </w:pPr>
      <w:r w:rsidRPr="00C65A9E">
        <w:rPr>
          <w:rStyle w:val="FootnoteReference"/>
          <w:szCs w:val="18"/>
        </w:rPr>
        <w:footnoteRef/>
      </w:r>
      <w:r w:rsidRPr="00C65A9E">
        <w:rPr>
          <w:szCs w:val="18"/>
        </w:rPr>
        <w:t xml:space="preserve"> În cadrul proiectului de actualizare a „Strategiei de Dezvoltare Locală Integrată și Durabilă a Sectorului 2 pentru perioada 2016 – 2025” s-au demarat o serie de sondaje de opinie în care au fost înregistrate aproximativ 1.031 de răspunsuri în cadrul Chestionarului dedicat cetățenilor din Sectorul 2.  </w:t>
      </w:r>
    </w:p>
  </w:footnote>
  <w:footnote w:id="74">
    <w:p w14:paraId="3A92EAF9" w14:textId="77777777" w:rsidR="00303644" w:rsidRPr="00C65A9E" w:rsidRDefault="00303644" w:rsidP="00303644">
      <w:pPr>
        <w:pBdr>
          <w:top w:val="nil"/>
          <w:left w:val="nil"/>
          <w:bottom w:val="nil"/>
          <w:right w:val="nil"/>
          <w:between w:val="nil"/>
        </w:pBdr>
        <w:spacing w:after="0"/>
        <w:rPr>
          <w:color w:val="000000"/>
          <w:sz w:val="18"/>
          <w:szCs w:val="18"/>
        </w:rPr>
      </w:pPr>
      <w:r w:rsidRPr="00C65A9E">
        <w:rPr>
          <w:rStyle w:val="FootnoteReference"/>
          <w:sz w:val="18"/>
          <w:szCs w:val="18"/>
        </w:rPr>
        <w:footnoteRef/>
      </w:r>
      <w:r w:rsidRPr="00C65A9E">
        <w:rPr>
          <w:color w:val="000000"/>
          <w:sz w:val="18"/>
          <w:szCs w:val="18"/>
        </w:rPr>
        <w:t xml:space="preserve"> Strategia Integrată de Dezvoltare Urbană a Municipiului București 2021 – 2030</w:t>
      </w:r>
    </w:p>
  </w:footnote>
  <w:footnote w:id="75">
    <w:p w14:paraId="314D2960" w14:textId="77777777" w:rsidR="00303644" w:rsidRDefault="00303644" w:rsidP="00303644">
      <w:pPr>
        <w:pBdr>
          <w:top w:val="nil"/>
          <w:left w:val="nil"/>
          <w:bottom w:val="nil"/>
          <w:right w:val="nil"/>
          <w:between w:val="nil"/>
        </w:pBdr>
        <w:spacing w:after="0"/>
        <w:jc w:val="left"/>
        <w:rPr>
          <w:color w:val="000000"/>
          <w:sz w:val="20"/>
          <w:szCs w:val="20"/>
        </w:rPr>
      </w:pPr>
      <w:r w:rsidRPr="00C65A9E">
        <w:rPr>
          <w:rStyle w:val="FootnoteReference"/>
          <w:sz w:val="18"/>
          <w:szCs w:val="18"/>
        </w:rPr>
        <w:footnoteRef/>
      </w:r>
      <w:r w:rsidRPr="00C65A9E">
        <w:rPr>
          <w:color w:val="000000"/>
          <w:sz w:val="18"/>
          <w:szCs w:val="18"/>
        </w:rPr>
        <w:t xml:space="preserve"> https://buletin.de/bucuresti/strazi-deschise-2022-in-weekend-cinci-zone-din-centrul-capitalei-devin-pietonale-proiectul-a-fost-extins-in-toate-sectoarele/</w:t>
      </w:r>
      <w:r>
        <w:rPr>
          <w:color w:val="000000"/>
          <w:sz w:val="20"/>
          <w:szCs w:val="20"/>
        </w:rPr>
        <w:t xml:space="preserve"> </w:t>
      </w:r>
    </w:p>
  </w:footnote>
  <w:footnote w:id="76">
    <w:p w14:paraId="78391652" w14:textId="77777777" w:rsidR="00303644" w:rsidRPr="00C65A9E" w:rsidRDefault="00303644" w:rsidP="00303644">
      <w:pPr>
        <w:pBdr>
          <w:top w:val="nil"/>
          <w:left w:val="nil"/>
          <w:bottom w:val="nil"/>
          <w:right w:val="nil"/>
          <w:between w:val="nil"/>
        </w:pBdr>
        <w:spacing w:after="0"/>
        <w:rPr>
          <w:color w:val="000000"/>
          <w:sz w:val="18"/>
          <w:szCs w:val="18"/>
        </w:rPr>
      </w:pPr>
      <w:r w:rsidRPr="00C65A9E">
        <w:rPr>
          <w:rStyle w:val="FootnoteReference"/>
          <w:sz w:val="18"/>
          <w:szCs w:val="18"/>
        </w:rPr>
        <w:footnoteRef/>
      </w:r>
      <w:r w:rsidRPr="00C65A9E">
        <w:rPr>
          <w:color w:val="000000"/>
          <w:sz w:val="18"/>
          <w:szCs w:val="18"/>
        </w:rPr>
        <w:t xml:space="preserve"> https://www.arcen.info/lansarea-studiului-strazi-deschise-raport-2020-2021/ </w:t>
      </w:r>
    </w:p>
  </w:footnote>
  <w:footnote w:id="77">
    <w:p w14:paraId="411A4ECF" w14:textId="3AB08C87" w:rsidR="00303644" w:rsidRPr="00C65A9E" w:rsidRDefault="00303644" w:rsidP="00303644">
      <w:pPr>
        <w:pStyle w:val="FootnoteText"/>
        <w:rPr>
          <w:szCs w:val="18"/>
        </w:rPr>
      </w:pPr>
      <w:r w:rsidRPr="00C65A9E">
        <w:rPr>
          <w:rStyle w:val="FootnoteReference"/>
          <w:szCs w:val="18"/>
        </w:rPr>
        <w:footnoteRef/>
      </w:r>
      <w:r w:rsidRPr="00C65A9E">
        <w:rPr>
          <w:szCs w:val="18"/>
        </w:rPr>
        <w:t xml:space="preserve"> În cadrul proiectului de actualizare a „Strategiei de Dezvoltare Locală Integrată și Durabilă a Sectorului 2 pentru perioada 2016 – 2025” s-au demarat o serie de sondaje de opinie în care au fost înregistrate aproximativ 1.031 de răspunsuri în cadrul Chestionarului dedicat cetățenilor din Sectorul 2</w:t>
      </w:r>
    </w:p>
  </w:footnote>
  <w:footnote w:id="78">
    <w:p w14:paraId="294E4154" w14:textId="20923839" w:rsidR="00303644" w:rsidRDefault="00303644" w:rsidP="00303644">
      <w:pPr>
        <w:pStyle w:val="FootnoteText"/>
      </w:pPr>
      <w:r w:rsidRPr="00C65A9E">
        <w:rPr>
          <w:rStyle w:val="FootnoteReference"/>
          <w:szCs w:val="18"/>
        </w:rPr>
        <w:footnoteRef/>
      </w:r>
      <w:r w:rsidRPr="00C65A9E">
        <w:rPr>
          <w:szCs w:val="18"/>
        </w:rPr>
        <w:t xml:space="preserve"> În cadrul proiectului de actualizare a „Strategiei de Dezvoltare Locală Integrată și Durabilă a Sectorului 2 pentru perioada 2016 – 2025” s-au demarat o serie de sondaje de opinie în care au fost înregistrate aproximativ 40 de răspunsuri în cadrul Chestionarului dedicat ONG-urilor din Sectorul 2</w:t>
      </w:r>
    </w:p>
  </w:footnote>
  <w:footnote w:id="79">
    <w:p w14:paraId="55F1774D"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Conform LMI 215, Ordin nr. 2.186 din 17 martie 2016, ORDIN nr. 2.428 din 17 mai 2019, ORDIN nr. 3.168 din 18 iunie 2021, ORDIN nr. 2.668 din 8 iulie 2019, Ordin nr. 3.824 din 10 octombrie 2016, </w:t>
      </w:r>
    </w:p>
  </w:footnote>
  <w:footnote w:id="80">
    <w:p w14:paraId="2B7AAE53"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Conform LMI 2015, </w:t>
      </w:r>
      <w:hyperlink r:id="rId1">
        <w:r>
          <w:rPr>
            <w:color w:val="000000"/>
            <w:sz w:val="18"/>
            <w:szCs w:val="18"/>
            <w:u w:val="single"/>
          </w:rPr>
          <w:t>http://www.cultura.ro/lista-monumentelor-istorice</w:t>
        </w:r>
      </w:hyperlink>
      <w:r>
        <w:rPr>
          <w:color w:val="000000"/>
          <w:sz w:val="18"/>
          <w:szCs w:val="18"/>
        </w:rPr>
        <w:t xml:space="preserve"> - lista clădirilor clasate în LMI și declasate din LMI în perioada 2015-2022</w:t>
      </w:r>
    </w:p>
  </w:footnote>
  <w:footnote w:id="81">
    <w:p w14:paraId="1C7E6877"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w:t>
      </w:r>
      <w:hyperlink r:id="rId2">
        <w:r>
          <w:rPr>
            <w:color w:val="000000"/>
            <w:sz w:val="18"/>
            <w:szCs w:val="18"/>
            <w:u w:val="single"/>
          </w:rPr>
          <w:t>http://www.cultura.ro/lista-monumentelor-istorice</w:t>
        </w:r>
      </w:hyperlink>
    </w:p>
  </w:footnote>
  <w:footnote w:id="82">
    <w:p w14:paraId="387A6D8E" w14:textId="77777777" w:rsidR="007B5564" w:rsidRDefault="007B5564" w:rsidP="007B5564">
      <w:pPr>
        <w:pStyle w:val="FootnoteText"/>
      </w:pPr>
      <w:r>
        <w:rPr>
          <w:rStyle w:val="FootnoteReference"/>
        </w:rPr>
        <w:footnoteRef/>
      </w:r>
      <w:r>
        <w:t xml:space="preserve"> Conform Ordinului nr.2.795 din 14 noiembrie 2017 al ministrului culturii si identităţii naţionale privind declasarea imobilului clasat ca monument istoric Casă, str. Avrig nr. 78, municipiul Bucureşti, având cod LMI B-ll-m-B-18051 din Lista monumentelor istorice</w:t>
      </w:r>
    </w:p>
  </w:footnote>
  <w:footnote w:id="83">
    <w:p w14:paraId="4BC9AFA3" w14:textId="77777777" w:rsidR="007B5564" w:rsidRDefault="007B5564" w:rsidP="007B5564">
      <w:pPr>
        <w:pStyle w:val="FootnoteText"/>
      </w:pPr>
      <w:r>
        <w:rPr>
          <w:rStyle w:val="FootnoteReference"/>
        </w:rPr>
        <w:footnoteRef/>
      </w:r>
      <w:r>
        <w:t xml:space="preserve"> Adresa Direcției pentru Cultură a Municipiului București nr. 1675/1762/11.05.2022</w:t>
      </w:r>
    </w:p>
  </w:footnote>
  <w:footnote w:id="84">
    <w:p w14:paraId="1363CBE5"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Conform PUZ Sector 2</w:t>
      </w:r>
    </w:p>
  </w:footnote>
  <w:footnote w:id="85">
    <w:p w14:paraId="7691D533"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SIDU București, planificarea și gestionarea investițiilor de capital, Capitolul 8. Patrimoniul Construit, 2020</w:t>
      </w:r>
    </w:p>
  </w:footnote>
  <w:footnote w:id="86">
    <w:p w14:paraId="53ACEA88" w14:textId="77777777" w:rsidR="007B5564" w:rsidRDefault="007B5564" w:rsidP="007B5564">
      <w:pPr>
        <w:pStyle w:val="FootnoteText"/>
      </w:pPr>
      <w:r>
        <w:rPr>
          <w:rStyle w:val="FootnoteReference"/>
        </w:rPr>
        <w:footnoteRef/>
      </w:r>
      <w:r>
        <w:t xml:space="preserve"> Adresa Direcției pentru Cultură a Municipiului București nr. 1675/1762/11.05.2022</w:t>
      </w:r>
    </w:p>
  </w:footnote>
  <w:footnote w:id="87">
    <w:p w14:paraId="2BAE378D"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w:t>
      </w:r>
      <w:hyperlink r:id="rId3">
        <w:r>
          <w:rPr>
            <w:color w:val="000000"/>
            <w:sz w:val="18"/>
            <w:szCs w:val="18"/>
            <w:u w:val="single"/>
          </w:rPr>
          <w:t>https://amccrs-pmb.ro/cladiri</w:t>
        </w:r>
      </w:hyperlink>
      <w:r>
        <w:rPr>
          <w:color w:val="000000"/>
          <w:sz w:val="18"/>
          <w:szCs w:val="18"/>
        </w:rPr>
        <w:t>, SIDU București, planificarea și gestionarea investițiilor de capital, Capitolul 8. Patrimoniul Construit, 2020</w:t>
      </w:r>
    </w:p>
  </w:footnote>
  <w:footnote w:id="88">
    <w:p w14:paraId="5595F563"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http://urbanism.pmb.ro/Informatii/Start_zpc.aspx?id=37</w:t>
      </w:r>
    </w:p>
  </w:footnote>
  <w:footnote w:id="89">
    <w:p w14:paraId="74F3B6A5"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Deși străzile sunt considerate ca spații publice, analiza ia în considerare doar străzile cu fluxuri mai mari de pietoni și activități orientate către spațiul public (comerț, alimentație publică etc.)</w:t>
      </w:r>
    </w:p>
  </w:footnote>
  <w:footnote w:id="90">
    <w:p w14:paraId="44B2D66C"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Conform </w:t>
      </w:r>
      <w:r>
        <w:rPr>
          <w:color w:val="000000"/>
          <w:sz w:val="18"/>
          <w:szCs w:val="18"/>
          <w:highlight w:val="white"/>
        </w:rPr>
        <w:t>Inventarului bunurilor ce alcătuiesc domeniului public al unității administrativ - teritoriale de pe raza Sectorului 2 Municipiului București</w:t>
      </w:r>
    </w:p>
  </w:footnote>
  <w:footnote w:id="91">
    <w:p w14:paraId="1BD8B817" w14:textId="77777777" w:rsidR="007B5564" w:rsidRDefault="007B5564" w:rsidP="007B5564">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w:t>
      </w:r>
      <w:r>
        <w:rPr>
          <w:color w:val="000000"/>
          <w:sz w:val="18"/>
          <w:szCs w:val="18"/>
        </w:rPr>
        <w:t>SIDU București, planificarea și gestionarea investițiilor de capital, Capitolul 3. Profilul spațial și funcțional, 2020</w:t>
      </w:r>
    </w:p>
  </w:footnote>
  <w:footnote w:id="92">
    <w:p w14:paraId="641B0F70" w14:textId="77777777" w:rsidR="007B5564" w:rsidRDefault="007B5564" w:rsidP="007B5564">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https://www.arcen.info/strazi-deschise-2021/</w:t>
      </w:r>
    </w:p>
  </w:footnote>
  <w:footnote w:id="93">
    <w:p w14:paraId="7D2C27A8" w14:textId="06915E18" w:rsidR="007B5564" w:rsidRPr="00983F17" w:rsidRDefault="007B5564" w:rsidP="007B5564">
      <w:pPr>
        <w:pBdr>
          <w:top w:val="nil"/>
          <w:left w:val="nil"/>
          <w:bottom w:val="nil"/>
          <w:right w:val="nil"/>
          <w:between w:val="nil"/>
        </w:pBdr>
        <w:spacing w:after="0"/>
        <w:rPr>
          <w:color w:val="000000"/>
          <w:sz w:val="18"/>
          <w:szCs w:val="18"/>
        </w:rPr>
      </w:pPr>
      <w:r w:rsidRPr="00983F17">
        <w:rPr>
          <w:rStyle w:val="FootnoteReference"/>
          <w:sz w:val="18"/>
          <w:szCs w:val="18"/>
        </w:rPr>
        <w:footnoteRef/>
      </w:r>
      <w:r w:rsidRPr="00983F17">
        <w:rPr>
          <w:color w:val="000000"/>
          <w:sz w:val="18"/>
          <w:szCs w:val="18"/>
        </w:rPr>
        <w:t xml:space="preserve"> Spațiile abandonate sunt spații de diferite dimensiuni, asupra cărora nu se remarcă niciun tip de intervenție recentă, dar care au potențial de a se transforma în atractori pentru locuitorii unei anumite zone. Ele pot fi atât suprafețe minerale, cât și suprafețe plantate, dezvoltate spontan</w:t>
      </w:r>
    </w:p>
  </w:footnote>
  <w:footnote w:id="94">
    <w:p w14:paraId="21FA4E6C" w14:textId="77777777" w:rsidR="007B5564" w:rsidRDefault="007B5564" w:rsidP="007B5564">
      <w:pPr>
        <w:pStyle w:val="FootnoteText"/>
      </w:pPr>
      <w:r>
        <w:rPr>
          <w:rStyle w:val="FootnoteReference"/>
        </w:rPr>
        <w:footnoteRef/>
      </w:r>
      <w:r>
        <w:t xml:space="preserve"> Conform Paginii de Facebook a Primăriei Sectorului 2 București, 02.09.2022</w:t>
      </w:r>
    </w:p>
  </w:footnote>
  <w:footnote w:id="95">
    <w:p w14:paraId="1A9F386A" w14:textId="77777777" w:rsidR="007B5564" w:rsidRDefault="007B5564" w:rsidP="007B5564">
      <w:pPr>
        <w:pStyle w:val="FootnoteText"/>
      </w:pPr>
      <w:r>
        <w:rPr>
          <w:rStyle w:val="FootnoteReference"/>
        </w:rPr>
        <w:footnoteRef/>
      </w:r>
      <w:r>
        <w:t xml:space="preserve"> Conform Paginii de Facebook a Primăriei Sectorului 2 București, 30.06.2022</w:t>
      </w:r>
    </w:p>
  </w:footnote>
  <w:footnote w:id="96">
    <w:p w14:paraId="6943F04E" w14:textId="7E24D624" w:rsidR="007B5564" w:rsidRPr="00983F17" w:rsidRDefault="007B5564" w:rsidP="007B5564">
      <w:pPr>
        <w:pBdr>
          <w:top w:val="nil"/>
          <w:left w:val="nil"/>
          <w:bottom w:val="nil"/>
          <w:right w:val="nil"/>
          <w:between w:val="nil"/>
        </w:pBdr>
        <w:spacing w:after="0"/>
        <w:rPr>
          <w:color w:val="000000"/>
          <w:sz w:val="18"/>
          <w:szCs w:val="18"/>
        </w:rPr>
      </w:pPr>
      <w:r w:rsidRPr="00983F17">
        <w:rPr>
          <w:rStyle w:val="FootnoteReference"/>
          <w:sz w:val="18"/>
          <w:szCs w:val="18"/>
        </w:rPr>
        <w:footnoteRef/>
      </w:r>
      <w:r w:rsidRPr="00983F17">
        <w:rPr>
          <w:color w:val="000000"/>
          <w:sz w:val="18"/>
          <w:szCs w:val="18"/>
        </w:rPr>
        <w:t xml:space="preserve"> În anul 2021 în Sectorul 1 a fost finalizat un tronson al proiectului Promenada Verde care a inclus amenajarea unei porțiuni a malului Lacului Băneasa</w:t>
      </w:r>
    </w:p>
  </w:footnote>
  <w:footnote w:id="97">
    <w:p w14:paraId="6E66CA35" w14:textId="77777777" w:rsidR="007B5564" w:rsidRDefault="007B5564" w:rsidP="007B5564">
      <w:pPr>
        <w:pStyle w:val="FootnoteText"/>
      </w:pPr>
      <w:r>
        <w:rPr>
          <w:rStyle w:val="FootnoteReference"/>
        </w:rPr>
        <w:footnoteRef/>
      </w:r>
      <w:r>
        <w:t xml:space="preserve"> Conform Adresei nr. 16827/07.06.2022</w:t>
      </w:r>
    </w:p>
  </w:footnote>
  <w:footnote w:id="98">
    <w:p w14:paraId="78684657" w14:textId="34374A34" w:rsidR="007B5564" w:rsidRPr="00983F17" w:rsidRDefault="007B5564" w:rsidP="007B5564">
      <w:pPr>
        <w:pBdr>
          <w:top w:val="nil"/>
          <w:left w:val="nil"/>
          <w:bottom w:val="nil"/>
          <w:right w:val="nil"/>
          <w:between w:val="nil"/>
        </w:pBdr>
        <w:spacing w:after="0"/>
        <w:rPr>
          <w:color w:val="000000"/>
          <w:sz w:val="18"/>
          <w:szCs w:val="18"/>
        </w:rPr>
      </w:pPr>
      <w:r w:rsidRPr="00983F17">
        <w:rPr>
          <w:rStyle w:val="FootnoteReference"/>
          <w:sz w:val="18"/>
          <w:szCs w:val="18"/>
        </w:rPr>
        <w:footnoteRef/>
      </w:r>
      <w:r w:rsidRPr="00983F17">
        <w:rPr>
          <w:color w:val="000000"/>
          <w:sz w:val="18"/>
          <w:szCs w:val="18"/>
        </w:rPr>
        <w:t>Mod de administrare indirect prin parteneriat public – privat, concesiune sau asociere în participațiune</w:t>
      </w:r>
    </w:p>
  </w:footnote>
  <w:footnote w:id="99">
    <w:p w14:paraId="2F67B11D" w14:textId="77777777" w:rsidR="00161769" w:rsidRDefault="00161769" w:rsidP="00161769">
      <w:pPr>
        <w:pStyle w:val="FootnoteText"/>
      </w:pPr>
      <w:r>
        <w:rPr>
          <w:rStyle w:val="FootnoteReference"/>
        </w:rPr>
        <w:footnoteRef/>
      </w:r>
      <w:r>
        <w:t xml:space="preserve"> Sporul natural al întreprinderilor este calculat ca raport dintre soldul firmelor (nou înființate minus închise) și populația totală de firme</w:t>
      </w:r>
    </w:p>
  </w:footnote>
  <w:footnote w:id="100">
    <w:p w14:paraId="3802703D" w14:textId="77777777" w:rsidR="00161769" w:rsidRDefault="00161769" w:rsidP="00161769">
      <w:pPr>
        <w:pStyle w:val="FootnoteText"/>
      </w:pPr>
      <w:r>
        <w:rPr>
          <w:rStyle w:val="FootnoteReference"/>
        </w:rPr>
        <w:footnoteRef/>
      </w:r>
      <w:r>
        <w:t xml:space="preserve"> </w:t>
      </w:r>
      <w:r w:rsidRPr="003B63F7">
        <w:t>https://market360.imobiliare.ro/raport-t4-2021.pdf</w:t>
      </w:r>
    </w:p>
  </w:footnote>
  <w:footnote w:id="101">
    <w:p w14:paraId="5098B1AC" w14:textId="77777777" w:rsidR="00161769" w:rsidRDefault="00161769" w:rsidP="00161769">
      <w:pPr>
        <w:pStyle w:val="FootnoteText"/>
      </w:pPr>
      <w:r>
        <w:rPr>
          <w:rStyle w:val="FootnoteReference"/>
        </w:rPr>
        <w:footnoteRef/>
      </w:r>
      <w:r>
        <w:t xml:space="preserve"> </w:t>
      </w:r>
      <w:r w:rsidRPr="00764C73">
        <w:t>https://www.cautabirouri.ro/birouri-de-inchiriat.html</w:t>
      </w:r>
    </w:p>
  </w:footnote>
  <w:footnote w:id="102">
    <w:p w14:paraId="0CE4E157" w14:textId="77777777" w:rsidR="00161769" w:rsidRDefault="00161769" w:rsidP="00161769">
      <w:pPr>
        <w:pStyle w:val="FootnoteText"/>
      </w:pPr>
      <w:r>
        <w:rPr>
          <w:rStyle w:val="FootnoteReference"/>
        </w:rPr>
        <w:footnoteRef/>
      </w:r>
      <w:r>
        <w:t xml:space="preserve"> SIDU București. Secțiunea 2 Dezvoltare Economică</w:t>
      </w:r>
    </w:p>
  </w:footnote>
  <w:footnote w:id="103">
    <w:p w14:paraId="2438AF0F" w14:textId="77777777" w:rsidR="00013122" w:rsidRDefault="00013122" w:rsidP="00013122">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Totuși și în zonele de locuințe colective se păstrează câteva parcelări protejate.</w:t>
      </w:r>
    </w:p>
  </w:footnote>
  <w:footnote w:id="104">
    <w:p w14:paraId="2DA0925D" w14:textId="77777777" w:rsidR="00013122" w:rsidRDefault="00013122" w:rsidP="00013122">
      <w:pPr>
        <w:pStyle w:val="FootnoteText"/>
      </w:pPr>
      <w:r>
        <w:rPr>
          <w:rStyle w:val="FootnoteReference"/>
        </w:rPr>
        <w:footnoteRef/>
      </w:r>
      <w:r>
        <w:t xml:space="preserve"> Conform Adresei Direcției Venituri Buget Local Sector 2 nr. 91798/21.04.2022</w:t>
      </w:r>
    </w:p>
  </w:footnote>
  <w:footnote w:id="105">
    <w:p w14:paraId="041BD14E" w14:textId="77777777" w:rsidR="00013122" w:rsidRDefault="00013122" w:rsidP="00013122">
      <w:pPr>
        <w:pStyle w:val="FootnoteText"/>
      </w:pPr>
      <w:r>
        <w:rPr>
          <w:rStyle w:val="FootnoteReference"/>
        </w:rPr>
        <w:footnoteRef/>
      </w:r>
      <w:r>
        <w:t xml:space="preserve"> </w:t>
      </w:r>
      <w:r w:rsidRPr="00CC6C62">
        <w:t>http://urbanism.pmb.ro/index.aspx#zoom=1.3499321764258043&amp;lat=327079.4725&amp;lon=587265.0555&amp;layers=BFFFFFFFFFFFFTFTTFTTTT</w:t>
      </w:r>
    </w:p>
  </w:footnote>
  <w:footnote w:id="106">
    <w:p w14:paraId="3A3956CE" w14:textId="77777777" w:rsidR="00013122" w:rsidRDefault="00013122" w:rsidP="00013122">
      <w:pPr>
        <w:pStyle w:val="FootnoteText"/>
      </w:pPr>
      <w:r>
        <w:rPr>
          <w:rStyle w:val="FootnoteReference"/>
        </w:rPr>
        <w:footnoteRef/>
      </w:r>
      <w:r>
        <w:t xml:space="preserve"> Conform Paginii de Facebook a Primăriei Sectorului 2 București, 21.06.2022</w:t>
      </w:r>
    </w:p>
  </w:footnote>
  <w:footnote w:id="107">
    <w:p w14:paraId="44C402E3" w14:textId="77777777" w:rsidR="00013122" w:rsidRDefault="00013122" w:rsidP="00013122">
      <w:pPr>
        <w:pBdr>
          <w:top w:val="nil"/>
          <w:left w:val="nil"/>
          <w:bottom w:val="nil"/>
          <w:right w:val="nil"/>
          <w:between w:val="nil"/>
        </w:pBdr>
        <w:spacing w:after="0"/>
        <w:rPr>
          <w:color w:val="000000"/>
          <w:sz w:val="18"/>
          <w:szCs w:val="18"/>
        </w:rPr>
      </w:pPr>
      <w:r>
        <w:rPr>
          <w:rStyle w:val="FootnoteReference"/>
        </w:rPr>
        <w:footnoteRef/>
      </w:r>
      <w:r>
        <w:rPr>
          <w:color w:val="000000"/>
          <w:sz w:val="18"/>
          <w:szCs w:val="18"/>
        </w:rPr>
        <w:t xml:space="preserve"> Deși concentrarea birourilor în zona de nord produce un dezechilibru în ceea ce privește distribuția locurilor de muncă în relația cu zonele rezidențiale.</w:t>
      </w:r>
    </w:p>
  </w:footnote>
  <w:footnote w:id="108">
    <w:p w14:paraId="606038A3" w14:textId="77777777" w:rsidR="00AC6922" w:rsidRDefault="00AC6922" w:rsidP="00AC6922">
      <w:pPr>
        <w:pStyle w:val="FootnoteText"/>
      </w:pPr>
      <w:r>
        <w:rPr>
          <w:rStyle w:val="FootnoteReference"/>
        </w:rPr>
        <w:footnoteRef/>
      </w:r>
      <w:r>
        <w:t xml:space="preserve"> Cf. Memoriu de prezentare Plan Urbanistic Zonal Sector 2, Municipiul București.</w:t>
      </w:r>
    </w:p>
  </w:footnote>
  <w:footnote w:id="109">
    <w:p w14:paraId="6669BEE5" w14:textId="77777777" w:rsidR="00AC6922" w:rsidRDefault="00AC6922" w:rsidP="00AC6922">
      <w:pPr>
        <w:pStyle w:val="FootnoteText"/>
      </w:pPr>
      <w:r>
        <w:rPr>
          <w:rStyle w:val="FootnoteReference"/>
        </w:rPr>
        <w:footnoteRef/>
      </w:r>
      <w:r>
        <w:t xml:space="preserve"> Cf. studiu Utilități publice, SIDU București 2035.</w:t>
      </w:r>
    </w:p>
  </w:footnote>
  <w:footnote w:id="110">
    <w:p w14:paraId="01CD56CC" w14:textId="6584F46F" w:rsidR="00AC6922" w:rsidRDefault="00AC6922" w:rsidP="00AC6922">
      <w:pPr>
        <w:pStyle w:val="FootnoteText"/>
      </w:pPr>
      <w:r>
        <w:rPr>
          <w:rStyle w:val="FootnoteReference"/>
        </w:rPr>
        <w:footnoteRef/>
      </w:r>
      <w:r>
        <w:t xml:space="preserve"> Cf. Memoriu de prezentare Plan Urbanistic Zonal Sector 2, </w:t>
      </w:r>
      <w:r w:rsidR="00050FAA">
        <w:t>m</w:t>
      </w:r>
      <w:r>
        <w:t>unicipiul București</w:t>
      </w:r>
    </w:p>
  </w:footnote>
  <w:footnote w:id="111">
    <w:p w14:paraId="3D879066" w14:textId="77777777" w:rsidR="00AC6922" w:rsidRDefault="00AC6922" w:rsidP="00AC6922">
      <w:pPr>
        <w:pStyle w:val="FootnoteText"/>
      </w:pPr>
      <w:r>
        <w:rPr>
          <w:rStyle w:val="FootnoteReference"/>
        </w:rPr>
        <w:footnoteRef/>
      </w:r>
      <w:r>
        <w:t xml:space="preserve"> Cf. studiu Utilități publice, SIDU București 2035.</w:t>
      </w:r>
    </w:p>
  </w:footnote>
  <w:footnote w:id="112">
    <w:p w14:paraId="14BB6D0E" w14:textId="27FAF2A7" w:rsidR="00AC6922" w:rsidRDefault="00AC6922" w:rsidP="00AC6922">
      <w:pPr>
        <w:pStyle w:val="FootnoteText"/>
      </w:pPr>
      <w:r>
        <w:rPr>
          <w:rStyle w:val="FootnoteReference"/>
        </w:rPr>
        <w:footnoteRef/>
      </w:r>
      <w:r>
        <w:t xml:space="preserve"> Cf. Memoriu de prezentare Plan Urbanistic Zonal Sector 2, </w:t>
      </w:r>
      <w:r w:rsidR="00050FAA">
        <w:t>m</w:t>
      </w:r>
      <w:r>
        <w:t>unicipiul București</w:t>
      </w:r>
    </w:p>
  </w:footnote>
  <w:footnote w:id="113">
    <w:p w14:paraId="75536DF3" w14:textId="77777777" w:rsidR="00AC6922" w:rsidRDefault="00AC6922" w:rsidP="00AC6922">
      <w:pPr>
        <w:pStyle w:val="FootnoteText"/>
      </w:pPr>
      <w:r>
        <w:rPr>
          <w:rStyle w:val="FootnoteReference"/>
        </w:rPr>
        <w:footnoteRef/>
      </w:r>
      <w:r>
        <w:t xml:space="preserve"> Cf. studiu Utilități publice, SIDU București 2035.</w:t>
      </w:r>
    </w:p>
  </w:footnote>
  <w:footnote w:id="114">
    <w:p w14:paraId="1CAE0881" w14:textId="7BF9A48E" w:rsidR="00AC6922" w:rsidRDefault="00AC6922" w:rsidP="00AC6922">
      <w:pPr>
        <w:pStyle w:val="FootnoteText"/>
      </w:pPr>
      <w:r>
        <w:rPr>
          <w:rStyle w:val="FootnoteReference"/>
        </w:rPr>
        <w:footnoteRef/>
      </w:r>
      <w:r>
        <w:t xml:space="preserve"> Cf. Memoriu de prezentare Plan Urbanistic Zonal Sector 2, </w:t>
      </w:r>
      <w:r w:rsidR="00050FAA">
        <w:t>m</w:t>
      </w:r>
      <w:r>
        <w:t>unicipiul București</w:t>
      </w:r>
    </w:p>
  </w:footnote>
  <w:footnote w:id="115">
    <w:p w14:paraId="5B88EED7" w14:textId="102D0FE4" w:rsidR="00AC6922" w:rsidRPr="00A162DF" w:rsidRDefault="00AC6922" w:rsidP="00AC6922">
      <w:pPr>
        <w:pStyle w:val="FootnoteText"/>
      </w:pPr>
      <w:r>
        <w:rPr>
          <w:rStyle w:val="FootnoteReference"/>
        </w:rPr>
        <w:footnoteRef/>
      </w:r>
      <w:r>
        <w:t xml:space="preserve"> Cf. Memoriu de prezentare Plan Urbanistic Zonal Sector 2, </w:t>
      </w:r>
      <w:r w:rsidR="00050FAA">
        <w:t>m</w:t>
      </w:r>
      <w:r>
        <w:t>unicipiul București</w:t>
      </w:r>
    </w:p>
  </w:footnote>
  <w:footnote w:id="116">
    <w:p w14:paraId="2F3F8DDD" w14:textId="5F69A2C2" w:rsidR="00AC6922" w:rsidRDefault="00AC6922" w:rsidP="00AC6922">
      <w:pPr>
        <w:pStyle w:val="FootnoteText"/>
      </w:pPr>
      <w:r>
        <w:rPr>
          <w:rStyle w:val="FootnoteReference"/>
        </w:rPr>
        <w:footnoteRef/>
      </w:r>
      <w:r>
        <w:t xml:space="preserve"> Cf. studiu Utilități publice, SIDU București 203</w:t>
      </w:r>
      <w:r w:rsidR="00050FAA">
        <w:t>5</w:t>
      </w:r>
    </w:p>
  </w:footnote>
  <w:footnote w:id="117">
    <w:p w14:paraId="3432365F" w14:textId="6EE479E7" w:rsidR="00AC6922" w:rsidRDefault="00AC6922" w:rsidP="00AC6922">
      <w:pPr>
        <w:pStyle w:val="FootnoteText"/>
      </w:pPr>
      <w:r>
        <w:rPr>
          <w:rStyle w:val="FootnoteReference"/>
        </w:rPr>
        <w:footnoteRef/>
      </w:r>
      <w:r>
        <w:t xml:space="preserve"> Caseta de Ape Uzate transportă apele uzate la Stația de Epurare Ape Uzate Glina, amplasată în comuna Glina</w:t>
      </w:r>
    </w:p>
  </w:footnote>
  <w:footnote w:id="118">
    <w:p w14:paraId="055CA13F" w14:textId="6A5D0848" w:rsidR="00AC6922" w:rsidRDefault="00AC6922" w:rsidP="00AC6922">
      <w:pPr>
        <w:pStyle w:val="FootnoteText"/>
      </w:pPr>
      <w:r>
        <w:rPr>
          <w:rStyle w:val="FootnoteReference"/>
        </w:rPr>
        <w:footnoteRef/>
      </w:r>
      <w:r>
        <w:t xml:space="preserve"> Cf. Memoriu de prezentare Plan Urbanistic Zonal Sector 2, </w:t>
      </w:r>
      <w:r w:rsidR="00050FAA">
        <w:t>m</w:t>
      </w:r>
      <w:r>
        <w:t>unicipiul București</w:t>
      </w:r>
    </w:p>
  </w:footnote>
  <w:footnote w:id="119">
    <w:p w14:paraId="4DA2B358" w14:textId="0E13924B" w:rsidR="00AC6922" w:rsidRDefault="00AC6922" w:rsidP="00AC6922">
      <w:pPr>
        <w:pStyle w:val="FootnoteText"/>
      </w:pPr>
      <w:r>
        <w:rPr>
          <w:rStyle w:val="FootnoteReference"/>
        </w:rPr>
        <w:footnoteRef/>
      </w:r>
      <w:r>
        <w:t xml:space="preserve"> Cf. studiu Utilități publice, SIDU București 2035</w:t>
      </w:r>
    </w:p>
  </w:footnote>
  <w:footnote w:id="120">
    <w:p w14:paraId="75C71F6A" w14:textId="1FDFFC73" w:rsidR="00AC6922" w:rsidRDefault="00AC6922" w:rsidP="00AC6922">
      <w:pPr>
        <w:pStyle w:val="FootnoteText"/>
      </w:pPr>
      <w:r>
        <w:rPr>
          <w:rStyle w:val="FootnoteReference"/>
        </w:rPr>
        <w:footnoteRef/>
      </w:r>
      <w:r>
        <w:t xml:space="preserve"> Cf. studiu Utilități publice, SIDU București 2035</w:t>
      </w:r>
    </w:p>
  </w:footnote>
  <w:footnote w:id="121">
    <w:p w14:paraId="730D2DA6" w14:textId="77777777" w:rsidR="00AC6922" w:rsidRDefault="00AC6922" w:rsidP="00AC6922">
      <w:pPr>
        <w:pStyle w:val="FootnoteText"/>
      </w:pPr>
      <w:r>
        <w:rPr>
          <w:rStyle w:val="FootnoteReference"/>
        </w:rPr>
        <w:footnoteRef/>
      </w:r>
      <w:r>
        <w:t xml:space="preserve"> Cf. </w:t>
      </w:r>
      <w:hyperlink r:id="rId4" w:history="1">
        <w:r w:rsidRPr="008452A4">
          <w:rPr>
            <w:rStyle w:val="Hyperlink"/>
          </w:rPr>
          <w:t>https://net-city.ro/acoperirea-netcity/</w:t>
        </w:r>
      </w:hyperlink>
      <w:r>
        <w:t xml:space="preserve"> consultat la data de 13.05.2022.</w:t>
      </w:r>
    </w:p>
  </w:footnote>
  <w:footnote w:id="122">
    <w:p w14:paraId="5B9D3B27" w14:textId="77777777" w:rsidR="00AC6922" w:rsidRDefault="00AC6922" w:rsidP="00AC6922">
      <w:pPr>
        <w:pStyle w:val="FootnoteText"/>
      </w:pPr>
      <w:r>
        <w:rPr>
          <w:rStyle w:val="FootnoteReference"/>
        </w:rPr>
        <w:footnoteRef/>
      </w:r>
      <w:r>
        <w:t xml:space="preserve"> Cf. </w:t>
      </w:r>
      <w:hyperlink r:id="rId5" w:history="1">
        <w:r w:rsidRPr="0049430A">
          <w:rPr>
            <w:rStyle w:val="Hyperlink"/>
          </w:rPr>
          <w:t>https://www.speedtest.net/ookla-5g-map</w:t>
        </w:r>
      </w:hyperlink>
      <w:r>
        <w:t xml:space="preserve"> consultat la data de 13.05.2022.</w:t>
      </w:r>
    </w:p>
  </w:footnote>
  <w:footnote w:id="123">
    <w:p w14:paraId="39F33F21" w14:textId="77777777" w:rsidR="00AC6922" w:rsidRDefault="00AC6922" w:rsidP="00AC6922">
      <w:pPr>
        <w:pStyle w:val="FootnoteText"/>
      </w:pPr>
      <w:r>
        <w:rPr>
          <w:rStyle w:val="FootnoteReference"/>
        </w:rPr>
        <w:footnoteRef/>
      </w:r>
      <w:r>
        <w:t xml:space="preserve"> Cf. Studiu Utilități publice, SIDU București 2035.</w:t>
      </w:r>
    </w:p>
  </w:footnote>
  <w:footnote w:id="124">
    <w:p w14:paraId="43C9A769" w14:textId="77777777" w:rsidR="00AC6922" w:rsidRDefault="00AC6922" w:rsidP="00AC6922">
      <w:pPr>
        <w:pStyle w:val="FootnoteText"/>
      </w:pPr>
      <w:r>
        <w:rPr>
          <w:rStyle w:val="FootnoteReference"/>
        </w:rPr>
        <w:footnoteRef/>
      </w:r>
      <w:r>
        <w:t xml:space="preserve"> Ordonanță de Urgență nr. 74 din 17 iulie 2018 pentru modificarea și completarea Legii nr. 211/2011 privind regimul deșeurilor, a Legii nr. 249/2015 privind modalitatea de gestionare a ambalajelor și a deșeurilor de ambalaje și a Ordonanței de urgență a Guvernului nr. 196/2005 privind Fondul pentru mediu.</w:t>
      </w:r>
    </w:p>
  </w:footnote>
  <w:footnote w:id="125">
    <w:p w14:paraId="2A28397E" w14:textId="77777777" w:rsidR="00AC6922" w:rsidRDefault="00AC6922" w:rsidP="00AC6922">
      <w:pPr>
        <w:pStyle w:val="FootnoteText"/>
      </w:pPr>
      <w:r>
        <w:rPr>
          <w:rStyle w:val="FootnoteReference"/>
        </w:rPr>
        <w:footnoteRef/>
      </w:r>
      <w:r>
        <w:t xml:space="preserve"> Cf. Plan de Gestionare al Deșeurilor din Municipiul București 2020 – 2025.</w:t>
      </w:r>
    </w:p>
  </w:footnote>
  <w:footnote w:id="126">
    <w:p w14:paraId="64326226" w14:textId="77777777" w:rsidR="00AC6922" w:rsidRDefault="00AC6922" w:rsidP="00AC6922">
      <w:pPr>
        <w:pStyle w:val="FootnoteText"/>
      </w:pPr>
      <w:r>
        <w:rPr>
          <w:rStyle w:val="FootnoteReference"/>
        </w:rPr>
        <w:footnoteRef/>
      </w:r>
      <w:r>
        <w:t xml:space="preserve"> </w:t>
      </w:r>
      <w:hyperlink r:id="rId6" w:history="1">
        <w:r w:rsidRPr="0049430A">
          <w:rPr>
            <w:rStyle w:val="Hyperlink"/>
          </w:rPr>
          <w:t>https://salubrizare.ps2.ro/utilizatori-casnici-persoane-fizice/</w:t>
        </w:r>
      </w:hyperlink>
      <w:r>
        <w:t xml:space="preserve"> consultat la 13.05.2022.</w:t>
      </w:r>
    </w:p>
  </w:footnote>
  <w:footnote w:id="127">
    <w:p w14:paraId="7BEC41AA" w14:textId="77777777" w:rsidR="00AC6922" w:rsidRDefault="00AC6922" w:rsidP="00AC6922">
      <w:pPr>
        <w:pStyle w:val="FootnoteText"/>
      </w:pPr>
      <w:r>
        <w:rPr>
          <w:rStyle w:val="FootnoteReference"/>
        </w:rPr>
        <w:footnoteRef/>
      </w:r>
      <w:r>
        <w:t xml:space="preserve"> Cf. minută întâlnire Direcția Servicii Publice – Primăria Sectorului 2.</w:t>
      </w:r>
    </w:p>
  </w:footnote>
  <w:footnote w:id="128">
    <w:p w14:paraId="7E1A925C" w14:textId="77777777" w:rsidR="00644677" w:rsidRDefault="00644677" w:rsidP="00644677">
      <w:pPr>
        <w:pStyle w:val="FootnoteText"/>
      </w:pPr>
      <w:r>
        <w:rPr>
          <w:rStyle w:val="FootnoteReference"/>
        </w:rPr>
        <w:footnoteRef/>
      </w:r>
      <w:r w:rsidRPr="003F5400">
        <w:t xml:space="preserve"> </w:t>
      </w:r>
      <w:r>
        <w:t xml:space="preserve">Atribuțiile privind arterele principale, străzile (în mare parte) pe care circulă transportul public local și transportul public local de suprafață de află în gestiunea Primăriei Municipiului București. De asemenea, metroul este gestionat de Ministerul Transporturilor. </w:t>
      </w:r>
    </w:p>
  </w:footnote>
  <w:footnote w:id="129">
    <w:p w14:paraId="76E3B67F" w14:textId="77777777" w:rsidR="00644677" w:rsidRDefault="00644677" w:rsidP="00644677">
      <w:pPr>
        <w:pStyle w:val="FootnoteText"/>
      </w:pPr>
      <w:r>
        <w:rPr>
          <w:rStyle w:val="FootnoteReference"/>
        </w:rPr>
        <w:footnoteRef/>
      </w:r>
      <w:r>
        <w:t xml:space="preserve"> Rețeaua TEN-T se află în curs de revizuire. Cea mai recentă variantă 27 iulie 2022 include un nou coridor Baltic – Black – Aegian Seas care leagă Bucureștiul de Marea Baltică (Gdansk-Gdynia) și de Marea Mediteraneeană (Salonic – Pireu)</w:t>
      </w:r>
    </w:p>
  </w:footnote>
  <w:footnote w:id="130">
    <w:p w14:paraId="6408072C" w14:textId="77777777" w:rsidR="00644677" w:rsidRDefault="00644677" w:rsidP="00644677">
      <w:pPr>
        <w:pStyle w:val="FootnoteText"/>
      </w:pPr>
      <w:r>
        <w:rPr>
          <w:rStyle w:val="FootnoteReference"/>
        </w:rPr>
        <w:footnoteRef/>
      </w:r>
      <w:r>
        <w:t xml:space="preserve"> Cf. ITM 2021</w:t>
      </w:r>
    </w:p>
  </w:footnote>
  <w:footnote w:id="131">
    <w:p w14:paraId="68CA92D4" w14:textId="77777777" w:rsidR="00644677" w:rsidRDefault="00644677" w:rsidP="00644677">
      <w:pPr>
        <w:pStyle w:val="FootnoteText"/>
        <w:rPr>
          <w:lang w:val="fr-FR"/>
        </w:rPr>
      </w:pPr>
      <w:r>
        <w:rPr>
          <w:rStyle w:val="FootnoteReference"/>
        </w:rPr>
        <w:footnoteRef/>
      </w:r>
      <w:r>
        <w:rPr>
          <w:lang w:val="fr-FR"/>
        </w:rPr>
        <w:t xml:space="preserve"> </w:t>
      </w:r>
      <w:r>
        <w:t>Primăria Sectorului 2, Studiu de trafic și circulații pentru fundamentarea Planului Urbanistic Zonal al Sectorului 2, 2018.</w:t>
      </w:r>
      <w:r>
        <w:rPr>
          <w:lang w:val="fr-FR"/>
        </w:rPr>
        <w:t xml:space="preserve"> </w:t>
      </w:r>
    </w:p>
  </w:footnote>
  <w:footnote w:id="132">
    <w:p w14:paraId="3E6FB7D7" w14:textId="77777777" w:rsidR="00644677" w:rsidRPr="0012366B" w:rsidRDefault="00644677" w:rsidP="00644677">
      <w:pPr>
        <w:pStyle w:val="FootnoteText"/>
        <w:rPr>
          <w:lang w:val="fr-FR"/>
        </w:rPr>
      </w:pPr>
      <w:r>
        <w:rPr>
          <w:rStyle w:val="FootnoteReference"/>
        </w:rPr>
        <w:footnoteRef/>
      </w:r>
      <w:r>
        <w:t xml:space="preserve"> Cf. ADP Sector 2: adresă 16827 / 07.06.2022</w:t>
      </w:r>
    </w:p>
  </w:footnote>
  <w:footnote w:id="133">
    <w:p w14:paraId="3CA73951" w14:textId="499715C2" w:rsidR="00DC632A" w:rsidRPr="006667C8" w:rsidRDefault="00DC632A">
      <w:pPr>
        <w:pStyle w:val="FootnoteText"/>
        <w:rPr>
          <w:lang w:val="fr-FR"/>
        </w:rPr>
      </w:pPr>
      <w:r>
        <w:rPr>
          <w:rStyle w:val="FootnoteReference"/>
        </w:rPr>
        <w:footnoteRef/>
      </w:r>
      <w:r>
        <w:t xml:space="preserve"> </w:t>
      </w:r>
      <w:r w:rsidRPr="00DC632A">
        <w:t>Indicele de motorizare a fost calculat de către consultant pe baza datelor furnizate de DRPCIV (nr. autoturisme) și de Direcția Regională de Statistică a Municipiului București (populație)</w:t>
      </w:r>
    </w:p>
  </w:footnote>
  <w:footnote w:id="134">
    <w:p w14:paraId="04490489" w14:textId="455643A7" w:rsidR="00644677" w:rsidRDefault="00644677" w:rsidP="00644677">
      <w:pPr>
        <w:pStyle w:val="FootnoteText"/>
      </w:pPr>
      <w:r>
        <w:rPr>
          <w:rStyle w:val="FootnoteReference"/>
        </w:rPr>
        <w:footnoteRef/>
      </w:r>
      <w:r>
        <w:t xml:space="preserve"> Calculul consultantului pe baza datelor furnizate de DRPCIV (drpciv.ro) și baza de date INS Tempo Online</w:t>
      </w:r>
    </w:p>
  </w:footnote>
  <w:footnote w:id="135">
    <w:p w14:paraId="003FA6C8" w14:textId="4C8E3366" w:rsidR="00644677" w:rsidRDefault="00644677" w:rsidP="00644677">
      <w:pPr>
        <w:pStyle w:val="FootnoteText"/>
      </w:pPr>
      <w:r>
        <w:rPr>
          <w:rStyle w:val="FootnoteReference"/>
        </w:rPr>
        <w:footnoteRef/>
      </w:r>
      <w:r>
        <w:rPr>
          <w:lang w:val="fr-FR"/>
        </w:rPr>
        <w:t xml:space="preserve"> </w:t>
      </w:r>
      <w:r>
        <w:t xml:space="preserve">Taxele au fost modificate prin HCGMB nr. 105/27.04.2021 </w:t>
      </w:r>
    </w:p>
  </w:footnote>
  <w:footnote w:id="136">
    <w:p w14:paraId="24EE042D" w14:textId="04C7109F" w:rsidR="00644677" w:rsidRDefault="00644677" w:rsidP="00644677">
      <w:pPr>
        <w:pStyle w:val="FootnoteText"/>
      </w:pPr>
      <w:r>
        <w:rPr>
          <w:rStyle w:val="FootnoteReference"/>
        </w:rPr>
        <w:footnoteRef/>
      </w:r>
      <w:r>
        <w:t xml:space="preserve"> Conform adresei nr. 91798/21.04.2022</w:t>
      </w:r>
    </w:p>
  </w:footnote>
  <w:footnote w:id="137">
    <w:p w14:paraId="577F279B" w14:textId="32C1DA01" w:rsidR="00644677" w:rsidRDefault="00644677" w:rsidP="00644677">
      <w:pPr>
        <w:pStyle w:val="FootnoteText"/>
      </w:pPr>
      <w:r>
        <w:rPr>
          <w:rStyle w:val="FootnoteReference"/>
        </w:rPr>
        <w:footnoteRef/>
      </w:r>
      <w:r>
        <w:t xml:space="preserve"> European Transport Safety Council (ETSC), Ranking EU progress on road safety – 15th Road Safety Performance Index Report, 2021</w:t>
      </w:r>
    </w:p>
  </w:footnote>
  <w:footnote w:id="138">
    <w:p w14:paraId="5CB53739" w14:textId="7B1C04C0" w:rsidR="00644677" w:rsidRDefault="00644677" w:rsidP="00644677">
      <w:pPr>
        <w:pStyle w:val="FootnoteText"/>
      </w:pPr>
      <w:r>
        <w:rPr>
          <w:rStyle w:val="FootnoteReference"/>
        </w:rPr>
        <w:footnoteRef/>
      </w:r>
      <w:r>
        <w:t xml:space="preserve"> Planul a fost aprobat la finalul anului 2021 și reprezintă o actualizare a Masterplanului General de Transport al României (MPGT)</w:t>
      </w:r>
    </w:p>
  </w:footnote>
  <w:footnote w:id="139">
    <w:p w14:paraId="4BDB080B" w14:textId="381397D4" w:rsidR="00644677" w:rsidRDefault="00644677" w:rsidP="00644677">
      <w:pPr>
        <w:pStyle w:val="FootnoteText"/>
      </w:pPr>
      <w:r>
        <w:rPr>
          <w:rStyle w:val="FootnoteReference"/>
        </w:rPr>
        <w:footnoteRef/>
      </w:r>
      <w:r>
        <w:t xml:space="preserve"> </w:t>
      </w:r>
      <w:r w:rsidRPr="007C1C82">
        <w:t>Deși au fost amenajate recent, noile stații prezintă adesea probleme de accesibilizare sau sunt localizate deficitar (ex. str. Fabrica de Glucoză – stație amenajată pe pista pentru biciclete)</w:t>
      </w:r>
    </w:p>
  </w:footnote>
  <w:footnote w:id="140">
    <w:p w14:paraId="2CD06E6E" w14:textId="77777777" w:rsidR="00644677" w:rsidRDefault="00644677" w:rsidP="00644677">
      <w:pPr>
        <w:pStyle w:val="FootnoteText"/>
      </w:pPr>
      <w:r>
        <w:rPr>
          <w:rStyle w:val="FootnoteReference"/>
        </w:rPr>
        <w:footnoteRef/>
      </w:r>
      <w:r>
        <w:rPr>
          <w:lang w:val="fr-FR"/>
        </w:rPr>
        <w:t xml:space="preserve"> </w:t>
      </w:r>
      <w:r>
        <w:t xml:space="preserve">MTI, Planul investițional pentru dezvoltarea infrastructurii de transport </w:t>
      </w:r>
    </w:p>
  </w:footnote>
  <w:footnote w:id="141">
    <w:p w14:paraId="540D478E" w14:textId="77777777" w:rsidR="00644677" w:rsidRDefault="00644677" w:rsidP="00644677">
      <w:pPr>
        <w:pStyle w:val="FootnoteText"/>
      </w:pPr>
      <w:r>
        <w:rPr>
          <w:rStyle w:val="FootnoteReference"/>
        </w:rPr>
        <w:footnoteRef/>
      </w:r>
      <w:r>
        <w:t xml:space="preserve"> </w:t>
      </w:r>
      <w:hyperlink r:id="rId7" w:history="1">
        <w:r>
          <w:rPr>
            <w:rStyle w:val="Hyperlink"/>
          </w:rPr>
          <w:t>https://b365.ro/exclusiv-strazi-pietonale-in-sectoarele-bucurestiului-din-vara-lui-2022-promenada-extinsa-in-cartiere-in-proiectul-strazi-deschise-in-weekenduri-459973/</w:t>
        </w:r>
      </w:hyperlink>
      <w:r>
        <w:t xml:space="preserve"> </w:t>
      </w:r>
    </w:p>
  </w:footnote>
  <w:footnote w:id="142">
    <w:p w14:paraId="6C4E4374" w14:textId="77777777" w:rsidR="00644677" w:rsidRDefault="00644677" w:rsidP="00644677">
      <w:pPr>
        <w:pStyle w:val="FootnoteText"/>
      </w:pPr>
      <w:r>
        <w:rPr>
          <w:rStyle w:val="FootnoteReference"/>
        </w:rPr>
        <w:footnoteRef/>
      </w:r>
      <w:r>
        <w:rPr>
          <w:lang w:val="fr-FR"/>
        </w:rPr>
        <w:t xml:space="preserve"> </w:t>
      </w:r>
      <w:r>
        <w:t xml:space="preserve">Brigada Rutieră București, Piste pentru biciclete - </w:t>
      </w:r>
      <w:hyperlink r:id="rId8" w:history="1">
        <w:r>
          <w:rPr>
            <w:rStyle w:val="Hyperlink"/>
          </w:rPr>
          <w:t>https://bpr.politiaromana.ro/ro/sistematizare/piste-pentru-biciclete</w:t>
        </w:r>
      </w:hyperlink>
      <w:r>
        <w:t xml:space="preserve"> </w:t>
      </w:r>
    </w:p>
  </w:footnote>
  <w:footnote w:id="143">
    <w:p w14:paraId="117EB54D" w14:textId="2737EBBA" w:rsidR="00644677" w:rsidRDefault="00644677" w:rsidP="00644677">
      <w:pPr>
        <w:pStyle w:val="FootnoteText"/>
      </w:pPr>
      <w:r>
        <w:rPr>
          <w:rStyle w:val="FootnoteReference"/>
        </w:rPr>
        <w:footnoteRef/>
      </w:r>
      <w:r>
        <w:rPr>
          <w:lang w:val="fr-FR"/>
        </w:rPr>
        <w:t xml:space="preserve"> </w:t>
      </w:r>
      <w:r>
        <w:t>Șos. Fabrica de Glucoză dispune de piste de biciclete amenajate pe ambele sensuri</w:t>
      </w:r>
    </w:p>
  </w:footnote>
  <w:footnote w:id="144">
    <w:p w14:paraId="44FDFDB3" w14:textId="6CCCE56D" w:rsidR="00644677" w:rsidRDefault="00644677" w:rsidP="00644677">
      <w:pPr>
        <w:pStyle w:val="FootnoteText"/>
      </w:pPr>
      <w:r>
        <w:rPr>
          <w:rStyle w:val="FootnoteReference"/>
        </w:rPr>
        <w:footnoteRef/>
      </w:r>
      <w:r>
        <w:t xml:space="preserve"> Pentru analiza cererii a fost consultată platforma Strava (https://www.strava.com/heatmap), ce înregistrează deplasările utilizatorilor pe teritoriul municipiului București</w:t>
      </w:r>
    </w:p>
  </w:footnote>
  <w:footnote w:id="145">
    <w:p w14:paraId="5EFA94BE" w14:textId="77777777" w:rsidR="00644677" w:rsidRDefault="00644677" w:rsidP="00644677">
      <w:pPr>
        <w:pStyle w:val="FootnoteText"/>
      </w:pPr>
      <w:r>
        <w:rPr>
          <w:rStyle w:val="FootnoteReference"/>
        </w:rPr>
        <w:footnoteRef/>
      </w:r>
      <w:r>
        <w:t xml:space="preserve"> I’Velo by Green Revolution - </w:t>
      </w:r>
      <w:hyperlink r:id="rId9" w:history="1">
        <w:r>
          <w:rPr>
            <w:rStyle w:val="Hyperlink"/>
          </w:rPr>
          <w:t>https://ivelo.ro/</w:t>
        </w:r>
      </w:hyperlink>
      <w:r>
        <w:t xml:space="preserve"> </w:t>
      </w:r>
    </w:p>
  </w:footnote>
  <w:footnote w:id="146">
    <w:p w14:paraId="4E291942" w14:textId="3F662DEC" w:rsidR="00644677" w:rsidRDefault="00644677" w:rsidP="00644677">
      <w:pPr>
        <w:pStyle w:val="FootnoteText"/>
      </w:pPr>
      <w:r>
        <w:rPr>
          <w:rStyle w:val="FootnoteReference"/>
        </w:rPr>
        <w:footnoteRef/>
      </w:r>
      <w:r>
        <w:t xml:space="preserve"> În blocurile cu un regim de înălțime de P+4 nu sunt în general amenajate lifturi, astfel că depozitarea în locuință ar presupune urcarea bicicletei pe scări. În blocurile de P+10, chiar dacă există lift, acesta nu este întotdeauna încăpător. Totodată, multe dintre apartamente nu dispun de spații suplimentare de depozitare (ex. magazie, debara etc.), iar suprafața utilă a apartamentelor este redusă, nefiind astfel o opțiune viabilă pentru depozitarea bicicletelor</w:t>
      </w:r>
    </w:p>
  </w:footnote>
  <w:footnote w:id="147">
    <w:p w14:paraId="50146C71" w14:textId="0FC3DDE1" w:rsidR="00096600" w:rsidRDefault="00096600" w:rsidP="00096600">
      <w:pPr>
        <w:pStyle w:val="FootnoteText"/>
      </w:pPr>
      <w:r>
        <w:rPr>
          <w:rStyle w:val="FootnoteReference"/>
        </w:rPr>
        <w:footnoteRef/>
      </w:r>
      <w:r>
        <w:t xml:space="preserve"> Cf. Studiu geotehnic și hidro-geotehnic pentru fundamentarea Planului Urbanistic Zonal al Sectorului 2, </w:t>
      </w:r>
      <w:r w:rsidR="00050FAA">
        <w:t>m</w:t>
      </w:r>
      <w:r>
        <w:t>unicipiul București (2018)</w:t>
      </w:r>
    </w:p>
  </w:footnote>
  <w:footnote w:id="148">
    <w:p w14:paraId="3A911081" w14:textId="77777777" w:rsidR="00096600" w:rsidRDefault="00096600" w:rsidP="00096600">
      <w:pPr>
        <w:pStyle w:val="FootnoteText"/>
      </w:pPr>
      <w:r>
        <w:rPr>
          <w:rStyle w:val="FootnoteReference"/>
        </w:rPr>
        <w:footnoteRef/>
      </w:r>
      <w:r>
        <w:t xml:space="preserve"> Clasa R(s) I, din care fac parte construcțiile cu risc ridicat de prăbușire la cutremurul de proiectare corespunzător stării limită ultime</w:t>
      </w:r>
    </w:p>
  </w:footnote>
  <w:footnote w:id="149">
    <w:p w14:paraId="6A32FC74" w14:textId="21E3C98C" w:rsidR="00096600" w:rsidRDefault="00096600" w:rsidP="00096600">
      <w:pPr>
        <w:pStyle w:val="FootnoteText"/>
      </w:pPr>
      <w:r>
        <w:rPr>
          <w:rStyle w:val="FootnoteReference"/>
        </w:rPr>
        <w:footnoteRef/>
      </w:r>
      <w:r>
        <w:t xml:space="preserve"> Cf. listei publicate de către Administrația Municipală pentru Consolidarea Clădirilor cu Risc Seismic (martie 2021)</w:t>
      </w:r>
    </w:p>
  </w:footnote>
  <w:footnote w:id="150">
    <w:p w14:paraId="410BD4F1" w14:textId="3AB7CF22" w:rsidR="00096600" w:rsidRDefault="00096600" w:rsidP="00096600">
      <w:pPr>
        <w:pStyle w:val="FootnoteText"/>
      </w:pPr>
      <w:r>
        <w:rPr>
          <w:rStyle w:val="FootnoteReference"/>
        </w:rPr>
        <w:footnoteRef/>
      </w:r>
      <w:r>
        <w:t xml:space="preserve"> Cf. Raport de mediu – Plan Urbanistic Zonal Sector 2, Municipiul București (2019)</w:t>
      </w:r>
    </w:p>
  </w:footnote>
  <w:footnote w:id="151">
    <w:p w14:paraId="7DF5037B" w14:textId="3FC4F11F" w:rsidR="00096600" w:rsidRDefault="00096600" w:rsidP="00096600">
      <w:pPr>
        <w:pStyle w:val="FootnoteText"/>
      </w:pPr>
      <w:r>
        <w:rPr>
          <w:rStyle w:val="FootnoteReference"/>
        </w:rPr>
        <w:footnoteRef/>
      </w:r>
      <w:r>
        <w:t xml:space="preserve"> Cf. Studiu geotehnic și hidro-geotehnic pentru fundamentarea Planului Urbanistic Zonal al Sectorului 2, </w:t>
      </w:r>
      <w:r w:rsidR="00050FAA">
        <w:t>m</w:t>
      </w:r>
      <w:r>
        <w:t>unicipiul București (2018)</w:t>
      </w:r>
    </w:p>
  </w:footnote>
  <w:footnote w:id="152">
    <w:p w14:paraId="3B936F09" w14:textId="5AAC4ED5" w:rsidR="00096600" w:rsidRDefault="00096600" w:rsidP="00096600">
      <w:pPr>
        <w:pStyle w:val="FootnoteText"/>
      </w:pPr>
      <w:r>
        <w:rPr>
          <w:rStyle w:val="FootnoteReference"/>
        </w:rPr>
        <w:footnoteRef/>
      </w:r>
      <w:r>
        <w:t xml:space="preserve"> Cf. Planul de Analiză și Acoperire a Riscurilor al Municipiului București</w:t>
      </w:r>
    </w:p>
  </w:footnote>
  <w:footnote w:id="153">
    <w:p w14:paraId="22176EBC" w14:textId="371D3020" w:rsidR="00096600" w:rsidRDefault="00096600" w:rsidP="00096600">
      <w:pPr>
        <w:pStyle w:val="FootnoteText"/>
      </w:pPr>
      <w:r>
        <w:rPr>
          <w:rStyle w:val="FootnoteReference"/>
        </w:rPr>
        <w:footnoteRef/>
      </w:r>
      <w:r>
        <w:t xml:space="preserve"> Cf. Raport de mediu – Plan Urbanistic Zonal Sector 2, </w:t>
      </w:r>
      <w:r w:rsidR="00050FAA">
        <w:t>m</w:t>
      </w:r>
      <w:r>
        <w:t>unicipiul București (2019)</w:t>
      </w:r>
    </w:p>
  </w:footnote>
  <w:footnote w:id="154">
    <w:p w14:paraId="77FFDA31" w14:textId="056992BD" w:rsidR="00096600" w:rsidRDefault="00096600" w:rsidP="00096600">
      <w:pPr>
        <w:pStyle w:val="FootnoteText"/>
      </w:pPr>
      <w:r>
        <w:rPr>
          <w:rStyle w:val="FootnoteReference"/>
        </w:rPr>
        <w:footnoteRef/>
      </w:r>
      <w:r>
        <w:t xml:space="preserve"> Cf. Raport de mediu – Plan Urbanistic Zonal Sector 2, </w:t>
      </w:r>
      <w:r w:rsidR="00050FAA">
        <w:t>m</w:t>
      </w:r>
      <w:r>
        <w:t>unicipiul București (2019)</w:t>
      </w:r>
    </w:p>
  </w:footnote>
  <w:footnote w:id="155">
    <w:p w14:paraId="2D6276F9" w14:textId="3E2EFDEE" w:rsidR="00096600" w:rsidRDefault="00096600" w:rsidP="00096600">
      <w:pPr>
        <w:pStyle w:val="FootnoteText"/>
      </w:pPr>
      <w:r>
        <w:rPr>
          <w:rStyle w:val="FootnoteReference"/>
        </w:rPr>
        <w:footnoteRef/>
      </w:r>
      <w:r>
        <w:t xml:space="preserve"> </w:t>
      </w:r>
      <w:r w:rsidRPr="00E62459">
        <w:t>Bănuță (Iojă), A.D., (2009), ”Calitatea mediului în spațiile rezidențiale din municipiul București”, Teză de doctorat, Universitatea din București – Facultatea de Geografie</w:t>
      </w:r>
    </w:p>
  </w:footnote>
  <w:footnote w:id="156">
    <w:p w14:paraId="357AFAF6" w14:textId="1F592782" w:rsidR="00096600" w:rsidRPr="00E62459" w:rsidRDefault="00096600" w:rsidP="00096600">
      <w:pPr>
        <w:pStyle w:val="FootnoteText"/>
        <w:rPr>
          <w:i/>
          <w:iCs/>
        </w:rPr>
      </w:pPr>
      <w:r>
        <w:rPr>
          <w:rStyle w:val="FootnoteReference"/>
        </w:rPr>
        <w:footnoteRef/>
      </w:r>
      <w:r>
        <w:t xml:space="preserve"> </w:t>
      </w:r>
      <w:r w:rsidRPr="00E62459">
        <w:t>Bănuță (Iojă), A.D., (2009), ”Calitatea mediului în spațiile rezidențiale din municipiul București”, Teză de doctorat, Universitatea din București – Facultatea de Geografie</w:t>
      </w:r>
    </w:p>
  </w:footnote>
  <w:footnote w:id="157">
    <w:p w14:paraId="49FA744D" w14:textId="77777777" w:rsidR="00096600" w:rsidRDefault="00096600" w:rsidP="00096600">
      <w:pPr>
        <w:pStyle w:val="FootnoteText"/>
      </w:pPr>
      <w:r>
        <w:rPr>
          <w:rStyle w:val="FootnoteReference"/>
        </w:rPr>
        <w:footnoteRef/>
      </w:r>
      <w:r>
        <w:t xml:space="preserve"> Iojă, I.C., (2022), </w:t>
      </w:r>
      <w:r>
        <w:rPr>
          <w:i/>
          <w:iCs/>
        </w:rPr>
        <w:t>Raportul de Cercetare privind Starea Mediului în București</w:t>
      </w:r>
      <w:r>
        <w:t>, Platforma de Mediu pentru București.</w:t>
      </w:r>
    </w:p>
  </w:footnote>
  <w:footnote w:id="158">
    <w:p w14:paraId="5B40785E" w14:textId="2802C958" w:rsidR="003E054F" w:rsidRDefault="003E054F" w:rsidP="003E054F">
      <w:pPr>
        <w:pStyle w:val="FootnoteText"/>
      </w:pPr>
      <w:r>
        <w:rPr>
          <w:rStyle w:val="FootnoteReference"/>
        </w:rPr>
        <w:footnoteRef/>
      </w:r>
      <w:r>
        <w:t xml:space="preserve"> Conform website-ului calitateaer.ro al Rețelei Naționale de Monitorizare a Calității Aerului</w:t>
      </w:r>
    </w:p>
  </w:footnote>
  <w:footnote w:id="159">
    <w:p w14:paraId="53568F1B" w14:textId="73F88BEC" w:rsidR="003E054F" w:rsidRDefault="003E054F" w:rsidP="003E054F">
      <w:pPr>
        <w:pStyle w:val="FootnoteText"/>
      </w:pPr>
      <w:r>
        <w:rPr>
          <w:rStyle w:val="FootnoteReference"/>
        </w:rPr>
        <w:footnoteRef/>
      </w:r>
      <w:r>
        <w:t xml:space="preserve"> Cf. Plan de Acțiune pentru aglomerarea București – Realizarea Hărții strategice de zgomot și a Planului de acțiune pentru diminuarea zgomotului în </w:t>
      </w:r>
      <w:r w:rsidR="00050FAA">
        <w:t>m</w:t>
      </w:r>
      <w:r>
        <w:t>unicipiul București, ACCON Environmental Consultants SRL.</w:t>
      </w:r>
    </w:p>
  </w:footnote>
  <w:footnote w:id="160">
    <w:p w14:paraId="1BA400FF" w14:textId="77777777" w:rsidR="00096600" w:rsidRDefault="00096600" w:rsidP="00096600">
      <w:pPr>
        <w:pStyle w:val="FootnoteText"/>
      </w:pPr>
      <w:r>
        <w:rPr>
          <w:rStyle w:val="FootnoteReference"/>
        </w:rPr>
        <w:footnoteRef/>
      </w:r>
      <w:r>
        <w:t xml:space="preserve"> Iojă, I.C., (2022), </w:t>
      </w:r>
      <w:r>
        <w:rPr>
          <w:i/>
          <w:iCs/>
        </w:rPr>
        <w:t>Raportul de Cercetare privind Starea Mediului în București</w:t>
      </w:r>
      <w:r>
        <w:t>, Platforma de Mediu pentru București.</w:t>
      </w:r>
    </w:p>
  </w:footnote>
  <w:footnote w:id="161">
    <w:p w14:paraId="7DC6E90F" w14:textId="77777777" w:rsidR="00096600" w:rsidRDefault="00096600" w:rsidP="00096600">
      <w:pPr>
        <w:pStyle w:val="FootnoteText"/>
      </w:pPr>
      <w:r>
        <w:rPr>
          <w:rStyle w:val="FootnoteReference"/>
        </w:rPr>
        <w:footnoteRef/>
      </w:r>
      <w:r>
        <w:t xml:space="preserve"> Cf. Studiu Utilități publice, SIDU București 2035.</w:t>
      </w:r>
    </w:p>
  </w:footnote>
  <w:footnote w:id="162">
    <w:p w14:paraId="52E7EE04" w14:textId="77777777" w:rsidR="00096600" w:rsidRDefault="00096600" w:rsidP="00096600">
      <w:pPr>
        <w:pStyle w:val="FootnoteText"/>
      </w:pPr>
      <w:r>
        <w:rPr>
          <w:rStyle w:val="FootnoteReference"/>
        </w:rPr>
        <w:footnoteRef/>
      </w:r>
      <w:r>
        <w:t xml:space="preserve"> Iojă, I.C., (2022), </w:t>
      </w:r>
      <w:r>
        <w:rPr>
          <w:i/>
          <w:iCs/>
        </w:rPr>
        <w:t>Raportul de Cercetare privind Starea Mediului în București</w:t>
      </w:r>
      <w:r>
        <w:t>, Platforma de Mediu pentru București.</w:t>
      </w:r>
    </w:p>
  </w:footnote>
  <w:footnote w:id="163">
    <w:p w14:paraId="26A2FC2D" w14:textId="77777777" w:rsidR="00096600" w:rsidRPr="003828AF" w:rsidRDefault="00096600" w:rsidP="00096600">
      <w:pPr>
        <w:pStyle w:val="FootnoteText"/>
      </w:pPr>
      <w:r>
        <w:rPr>
          <w:rStyle w:val="FootnoteReference"/>
        </w:rPr>
        <w:footnoteRef/>
      </w:r>
      <w:r>
        <w:t xml:space="preserve"> Iojă, I.C., (2022), </w:t>
      </w:r>
      <w:r>
        <w:rPr>
          <w:i/>
          <w:iCs/>
        </w:rPr>
        <w:t>Raportul de Cercetare privind Starea Mediului în București</w:t>
      </w:r>
      <w:r>
        <w:t>, Platforma de Mediu pentru București.</w:t>
      </w:r>
    </w:p>
  </w:footnote>
  <w:footnote w:id="164">
    <w:p w14:paraId="55B11354" w14:textId="47C719E9" w:rsidR="00096600" w:rsidRDefault="00096600" w:rsidP="00096600">
      <w:pPr>
        <w:pStyle w:val="FootnoteText"/>
      </w:pPr>
      <w:r>
        <w:rPr>
          <w:rStyle w:val="FootnoteReference"/>
        </w:rPr>
        <w:footnoteRef/>
      </w:r>
      <w:r>
        <w:t xml:space="preserve"> Cf. Minuta întâlnirii cu reprezentanții ADP Sector 2, din data de 20.04.2022</w:t>
      </w:r>
    </w:p>
  </w:footnote>
  <w:footnote w:id="165">
    <w:p w14:paraId="11F32EB9" w14:textId="77777777" w:rsidR="0006359E" w:rsidRDefault="0006359E" w:rsidP="0006359E">
      <w:pPr>
        <w:pStyle w:val="FootnoteText"/>
        <w:rPr>
          <w:color w:val="000000"/>
        </w:rPr>
      </w:pPr>
      <w:r>
        <w:rPr>
          <w:rStyle w:val="FootnoteReference"/>
        </w:rPr>
        <w:footnoteRef/>
      </w:r>
      <w:r>
        <w:t xml:space="preserve"> </w:t>
      </w:r>
      <w:r>
        <w:rPr>
          <w:color w:val="000000"/>
        </w:rPr>
        <w:t xml:space="preserve">Procesul de elaborare a Strategiei de Dezvoltare Locală Integrată și Durabilă a Sectorului 2 pentru perioada 2016 – 2025 include și  demersul de consultare a personalului care își desfășoară activitatea în cadrul Primăriei, atât cel de execuție, cât și de conducere, pentru a identifica principalele provocări de dezvoltare și coerență organizațională care trebuie abordate prin procesul de planificare strategică. Chestionarul a fost creat pe baza unei analize preliminare a literaturii și a datelor disponibile și s-a axat pe întrebări privind (i) contextul strategic instituțional, (ii) contextul instituțional operațional, (iii) formare profesională. </w:t>
      </w:r>
    </w:p>
    <w:p w14:paraId="39543BC9" w14:textId="7DD7955B" w:rsidR="0006359E" w:rsidRPr="00E3249A" w:rsidRDefault="0006359E" w:rsidP="007868BC">
      <w:pPr>
        <w:pStyle w:val="FootnoteText"/>
      </w:pPr>
      <w:r w:rsidRPr="007868BC">
        <w:rPr>
          <w:color w:val="000000"/>
        </w:rPr>
        <w:t>Chestionarul a fost completat de către  319 persoane, iar rezultatele centralizate în urma acestui proces sunt prezentate în cele ce urmează.</w:t>
      </w:r>
      <w:r w:rsidRPr="00244806">
        <w:rPr>
          <w:color w:val="FFFF00"/>
        </w:rPr>
        <w:t xml:space="preserve">  </w:t>
      </w:r>
    </w:p>
  </w:footnote>
  <w:footnote w:id="166">
    <w:p w14:paraId="6F8659EB" w14:textId="77777777" w:rsidR="0006359E" w:rsidRDefault="0006359E" w:rsidP="0006359E">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w:t>
      </w:r>
      <w:r>
        <w:rPr>
          <w:color w:val="000000"/>
          <w:sz w:val="18"/>
          <w:szCs w:val="18"/>
        </w:rPr>
        <w:t>Aparatul de specialitate și Direcția de Evidență Persoane și Stare Civilă Sector 2</w:t>
      </w:r>
    </w:p>
  </w:footnote>
  <w:footnote w:id="167">
    <w:p w14:paraId="10348CA7" w14:textId="77777777" w:rsidR="0006359E" w:rsidRDefault="0006359E" w:rsidP="0006359E">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w:t>
      </w:r>
      <w:r>
        <w:rPr>
          <w:color w:val="000000"/>
          <w:sz w:val="18"/>
          <w:szCs w:val="18"/>
        </w:rPr>
        <w:t>Raportat la anul 2020, venituri per locuitor au fost următoarele: Sectorul 1 – 4565 RON, Sectorul 2 – 2800 RON, Sectorul 3 – 2359 RON, Sectorul 4 – 2550 RON, Sectorul 5 – 2057 RON, Sectorul 6 – 2469 RON.</w:t>
      </w:r>
    </w:p>
  </w:footnote>
  <w:footnote w:id="168">
    <w:p w14:paraId="4B0494F2" w14:textId="77777777" w:rsidR="0006359E" w:rsidRDefault="0006359E" w:rsidP="0006359E">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w:t>
      </w:r>
      <w:r>
        <w:rPr>
          <w:color w:val="000000"/>
          <w:sz w:val="18"/>
          <w:szCs w:val="18"/>
        </w:rPr>
        <w:t xml:space="preserve">Scăderea veniturilor începând cu anul 2018 se datorează parțial unei modificări de responsabilități cheie la nivelul autorității publice locale. Anvelopa salarială a personalului din domeniului educațional a fost preluată la nivel central, ceea ce a redus alocările specifice de TVA pentru plata acestora. </w:t>
      </w:r>
    </w:p>
  </w:footnote>
  <w:footnote w:id="169">
    <w:p w14:paraId="09D2DD30" w14:textId="77777777" w:rsidR="0006359E" w:rsidRDefault="0006359E" w:rsidP="0006359E">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w:t>
      </w:r>
      <w:r>
        <w:rPr>
          <w:color w:val="000000"/>
          <w:sz w:val="18"/>
          <w:szCs w:val="18"/>
        </w:rPr>
        <w:t>Pentru vehiculele înmatriculate, cu  o capacitate cilindrică de până la 1.600 cm3, impozitul este de 8 RON per 200 cm3. Pentru autoturismele între 1.601 și 2.000 cm3, impozitul este de 21 RON per 200 m3. Pentru autoturismele între 2.001 și 2.600 cm3, impozitul este de 81 RON pentru 200 m3.</w:t>
      </w:r>
    </w:p>
  </w:footnote>
  <w:footnote w:id="170">
    <w:p w14:paraId="797C22AC" w14:textId="77777777" w:rsidR="0006359E" w:rsidRDefault="0006359E" w:rsidP="0006359E">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w:t>
      </w:r>
      <w:r>
        <w:rPr>
          <w:color w:val="000000"/>
          <w:sz w:val="18"/>
          <w:szCs w:val="18"/>
        </w:rPr>
        <w:t>http://ogp.gov.ro/nou/wp-content/uploads/2019/07/Recomandari-Parteneriatul-pentru-Guvernare-Deschisa-la-nivel-local_mai19.pdf</w:t>
      </w:r>
    </w:p>
  </w:footnote>
  <w:footnote w:id="171">
    <w:p w14:paraId="2A4B0F15" w14:textId="77777777" w:rsidR="0006359E" w:rsidRDefault="0006359E" w:rsidP="0006359E">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w:t>
      </w:r>
      <w:r>
        <w:rPr>
          <w:color w:val="000000"/>
          <w:sz w:val="18"/>
          <w:szCs w:val="18"/>
        </w:rPr>
        <w:t>Include solicitări verbale</w:t>
      </w:r>
    </w:p>
  </w:footnote>
  <w:footnote w:id="172">
    <w:p w14:paraId="3BB383BF" w14:textId="77777777" w:rsidR="00E747A2" w:rsidRPr="000A071B" w:rsidRDefault="00E747A2" w:rsidP="00E747A2">
      <w:pPr>
        <w:pStyle w:val="FootnoteText"/>
        <w:rPr>
          <w:szCs w:val="18"/>
        </w:rPr>
      </w:pPr>
      <w:r w:rsidRPr="00BB7F63">
        <w:rPr>
          <w:rStyle w:val="FootnoteReference"/>
          <w:szCs w:val="18"/>
        </w:rPr>
        <w:footnoteRef/>
      </w:r>
      <w:r w:rsidRPr="00BB7F63">
        <w:rPr>
          <w:szCs w:val="18"/>
        </w:rPr>
        <w:t xml:space="preserve"> Activitățile acestei etape sunt condiționate de publicarea versiunilor finale și a ghidurilor de finanțare aferente Programelor Operaționale pentru perioada de programare 2021-2027</w:t>
      </w:r>
    </w:p>
  </w:footnote>
  <w:footnote w:id="173">
    <w:p w14:paraId="1C68B53F" w14:textId="555DBA25" w:rsidR="00943643" w:rsidRPr="006667C8" w:rsidRDefault="00943643">
      <w:pPr>
        <w:pStyle w:val="FootnoteText"/>
        <w:rPr>
          <w:lang w:val="fr-FR"/>
        </w:rPr>
      </w:pPr>
      <w:r>
        <w:rPr>
          <w:rStyle w:val="FootnoteReference"/>
        </w:rPr>
        <w:footnoteRef/>
      </w:r>
      <w:r>
        <w:t xml:space="preserve"> </w:t>
      </w:r>
      <w:r w:rsidRPr="00693955">
        <w:t xml:space="preserve">Idee /  </w:t>
      </w:r>
      <w:r>
        <w:t>Î</w:t>
      </w:r>
      <w:r w:rsidRPr="00693955">
        <w:t xml:space="preserve">n implementare / SF / PT / Licitație / Evaluare </w:t>
      </w:r>
      <w:r>
        <w:t>p</w:t>
      </w:r>
      <w:r w:rsidRPr="00693955">
        <w:t xml:space="preserve">roiect / Cerere </w:t>
      </w:r>
      <w:r>
        <w:t>d</w:t>
      </w:r>
      <w:r w:rsidRPr="00693955">
        <w:t xml:space="preserve">e </w:t>
      </w:r>
      <w:r>
        <w:t>f</w:t>
      </w:r>
      <w:r w:rsidRPr="00693955">
        <w:t xml:space="preserve">inanțare / Procedură </w:t>
      </w:r>
      <w:r>
        <w:t>s</w:t>
      </w:r>
      <w:r w:rsidRPr="00693955">
        <w:t>implificată / DALI</w:t>
      </w:r>
    </w:p>
  </w:footnote>
  <w:footnote w:id="174">
    <w:p w14:paraId="7FD07C7C" w14:textId="2D1D1AC4" w:rsidR="00943643" w:rsidRPr="006667C8" w:rsidRDefault="00943643">
      <w:pPr>
        <w:pStyle w:val="FootnoteText"/>
        <w:rPr>
          <w:lang w:val="fr-FR"/>
        </w:rPr>
      </w:pPr>
      <w:r>
        <w:rPr>
          <w:rStyle w:val="FootnoteReference"/>
        </w:rPr>
        <w:footnoteRef/>
      </w:r>
      <w:r>
        <w:t xml:space="preserve"> </w:t>
      </w:r>
      <w:r w:rsidRPr="00693955">
        <w:t xml:space="preserve">Proiect </w:t>
      </w:r>
      <w:r>
        <w:t>p</w:t>
      </w:r>
      <w:r w:rsidRPr="00693955">
        <w:t xml:space="preserve">rioritar / Lista </w:t>
      </w:r>
      <w:r>
        <w:t>l</w:t>
      </w:r>
      <w:r w:rsidRPr="00693955">
        <w:t xml:space="preserve">ungă </w:t>
      </w:r>
      <w:r>
        <w:t>d</w:t>
      </w:r>
      <w:r w:rsidRPr="00693955">
        <w:t xml:space="preserve">e </w:t>
      </w:r>
      <w:r>
        <w:t>p</w:t>
      </w:r>
      <w:r w:rsidRPr="00693955">
        <w:t>roiecte</w:t>
      </w:r>
    </w:p>
  </w:footnote>
  <w:footnote w:id="175">
    <w:p w14:paraId="642263F3" w14:textId="52FDFD14" w:rsidR="00943643" w:rsidRPr="006667C8" w:rsidRDefault="00943643">
      <w:pPr>
        <w:pStyle w:val="FootnoteText"/>
        <w:rPr>
          <w:lang w:val="fr-FR"/>
        </w:rPr>
      </w:pPr>
      <w:r>
        <w:rPr>
          <w:rStyle w:val="FootnoteReference"/>
        </w:rPr>
        <w:footnoteRef/>
      </w:r>
      <w:r>
        <w:t xml:space="preserve"> De </w:t>
      </w:r>
      <w:r w:rsidRPr="00693955">
        <w:t>Ex</w:t>
      </w:r>
      <w:r>
        <w:t>emplu</w:t>
      </w:r>
      <w:r w:rsidRPr="00693955">
        <w:t>: PS2, Propunere Consultant, Altele - Specificați</w:t>
      </w:r>
    </w:p>
  </w:footnote>
  <w:footnote w:id="176">
    <w:p w14:paraId="3DE88672" w14:textId="77777777" w:rsidR="00ED6B44" w:rsidRDefault="00ED6B44" w:rsidP="00ED6B44">
      <w:pPr>
        <w:pStyle w:val="FootnoteText"/>
        <w:rPr>
          <w:rFonts w:cstheme="minorHAnsi"/>
          <w:szCs w:val="18"/>
        </w:rPr>
      </w:pPr>
      <w:r>
        <w:rPr>
          <w:rStyle w:val="FootnoteReference"/>
          <w:rFonts w:cstheme="minorHAnsi"/>
          <w:szCs w:val="18"/>
        </w:rPr>
        <w:footnoteRef/>
      </w:r>
      <w:r>
        <w:rPr>
          <w:rFonts w:cstheme="minorHAnsi"/>
          <w:szCs w:val="18"/>
        </w:rPr>
        <w:t xml:space="preserve"> Cf. Banca Mondială. 2021, Metodologie privind planificarea strategică, prioritizarea, implementarea și monitorizarea proiectelor de investiții publice în zonele urbane</w:t>
      </w:r>
    </w:p>
  </w:footnote>
  <w:footnote w:id="177">
    <w:p w14:paraId="2D723571" w14:textId="77777777" w:rsidR="00FC4119" w:rsidRDefault="00FC4119" w:rsidP="00FC4119">
      <w:pPr>
        <w:pStyle w:val="FootnoteText"/>
      </w:pPr>
      <w:r>
        <w:rPr>
          <w:rStyle w:val="FootnoteReference"/>
        </w:rPr>
        <w:footnoteRef/>
      </w:r>
      <w:r>
        <w:t xml:space="preserve"> 1,5km reprezintă pistele recunoscute de Brigada Poliției Rutiere (Str. Fabrica de Glucoză), iar 4,5km reprezintă piste recepționate, dar care au nevoie de îmbunătățiri.</w:t>
      </w:r>
    </w:p>
  </w:footnote>
  <w:footnote w:id="178">
    <w:p w14:paraId="1178F91C" w14:textId="77777777" w:rsidR="00FC4119" w:rsidRDefault="00FC4119" w:rsidP="00FC4119">
      <w:pPr>
        <w:pStyle w:val="FootnoteText"/>
      </w:pPr>
      <w:r>
        <w:rPr>
          <w:rStyle w:val="FootnoteReference"/>
        </w:rPr>
        <w:footnoteRef/>
      </w:r>
      <w:r>
        <w:t xml:space="preserve"> În cazul în care există mai multe zone/străzi/piațete în același țesut urban și care sunt încadrate în același proiect (de regenerare urbană) și tratate din punct de vedere urbanistic și peisagistic ca un tot unitar, suprafețele se pot aduna pentru a atinge valoarea minimă impusă. În cazul în care străzile/piațetele sunt adiacente fizic, vor fi calculate unitar, și nu pot împărțite în proiecte diferite pentru atingerea indicatorului. </w:t>
      </w:r>
    </w:p>
  </w:footnote>
  <w:footnote w:id="179">
    <w:p w14:paraId="3116163A" w14:textId="77777777" w:rsidR="00FC4119" w:rsidRPr="00C75C9A" w:rsidRDefault="00FC4119" w:rsidP="00FC4119">
      <w:pPr>
        <w:pStyle w:val="FootnoteText"/>
        <w:rPr>
          <w:highlight w:val="yellow"/>
        </w:rPr>
      </w:pPr>
      <w:r w:rsidRPr="0050656F">
        <w:rPr>
          <w:rStyle w:val="FootnoteReference"/>
        </w:rPr>
        <w:footnoteRef/>
      </w:r>
      <w:r w:rsidRPr="0050656F">
        <w:t xml:space="preserve"> </w:t>
      </w:r>
      <w:r w:rsidRPr="0050656F">
        <w:rPr>
          <w:szCs w:val="18"/>
        </w:rPr>
        <w:t>Indicator calculat ca media răspunsurilor la sondajul adresat cetățenilor (Anexa 10.1.1.) cu referire la gradul de mulțumire privind</w:t>
      </w:r>
      <w:r w:rsidRPr="0050656F">
        <w:t xml:space="preserve"> </w:t>
      </w:r>
      <w:r w:rsidRPr="0050656F">
        <w:rPr>
          <w:szCs w:val="18"/>
        </w:rPr>
        <w:t xml:space="preserve">serviciile </w:t>
      </w:r>
      <w:r>
        <w:rPr>
          <w:szCs w:val="18"/>
        </w:rPr>
        <w:t>publice.</w:t>
      </w:r>
      <w:r w:rsidRPr="0050656F">
        <w:rPr>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F87FF" w14:textId="2054269D" w:rsidR="002F0114" w:rsidRDefault="002F0114">
    <w:pPr>
      <w:pStyle w:val="Header"/>
    </w:pPr>
    <w:r>
      <w:rPr>
        <w:noProof/>
        <w:lang w:val="en-US"/>
      </w:rPr>
      <w:drawing>
        <wp:anchor distT="0" distB="0" distL="114300" distR="114300" simplePos="0" relativeHeight="251657216" behindDoc="1" locked="0" layoutInCell="1" allowOverlap="1" wp14:anchorId="46DDA9A8" wp14:editId="40C27204">
          <wp:simplePos x="0" y="0"/>
          <wp:positionH relativeFrom="column">
            <wp:posOffset>5128895</wp:posOffset>
          </wp:positionH>
          <wp:positionV relativeFrom="paragraph">
            <wp:posOffset>-66784</wp:posOffset>
          </wp:positionV>
          <wp:extent cx="863468" cy="238125"/>
          <wp:effectExtent l="0" t="0" r="0" b="0"/>
          <wp:wrapNone/>
          <wp:docPr id="25648" name="Picture 25648" descr="C:\Users\pc\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Word\logo.png"/>
                  <pic:cNvPicPr>
                    <a:picLocks noChangeAspect="1" noChangeArrowheads="1"/>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863468" cy="238125"/>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5AC53" w14:textId="77777777" w:rsidR="00E747A2" w:rsidRDefault="00E747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869A5" w14:textId="77777777" w:rsidR="00E747A2" w:rsidRDefault="00E747A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6643A" w14:textId="2C185BB9" w:rsidR="00E747A2" w:rsidRDefault="00E747A2">
    <w:pPr>
      <w:pStyle w:val="Header"/>
    </w:pPr>
    <w:r>
      <w:rPr>
        <w:noProof/>
        <w:lang w:val="en-US"/>
      </w:rPr>
      <w:drawing>
        <wp:anchor distT="0" distB="0" distL="114300" distR="114300" simplePos="0" relativeHeight="251660288" behindDoc="1" locked="0" layoutInCell="1" allowOverlap="1" wp14:anchorId="59FF6130" wp14:editId="3540419C">
          <wp:simplePos x="0" y="0"/>
          <wp:positionH relativeFrom="column">
            <wp:posOffset>5128895</wp:posOffset>
          </wp:positionH>
          <wp:positionV relativeFrom="paragraph">
            <wp:posOffset>-66784</wp:posOffset>
          </wp:positionV>
          <wp:extent cx="863468" cy="238125"/>
          <wp:effectExtent l="0" t="0" r="0" b="0"/>
          <wp:wrapNone/>
          <wp:docPr id="18" name="Picture 18" descr="C:\Users\pc\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Word\logo.png"/>
                  <pic:cNvPicPr>
                    <a:picLocks noChangeAspect="1" noChangeArrowheads="1"/>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863468" cy="23812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styleLink w:val="Stil11"/>
    <w:lvl w:ilvl="0">
      <w:start w:val="1"/>
      <w:numFmt w:val="decimal"/>
      <w:lvlText w:val="%1"/>
      <w:lvlJc w:val="left"/>
      <w:pPr>
        <w:tabs>
          <w:tab w:val="num" w:pos="0"/>
        </w:tabs>
        <w:ind w:left="0" w:firstLine="0"/>
      </w:pPr>
    </w:lvl>
  </w:abstractNum>
  <w:abstractNum w:abstractNumId="1" w15:restartNumberingAfterBreak="0">
    <w:nsid w:val="005E3930"/>
    <w:multiLevelType w:val="hybridMultilevel"/>
    <w:tmpl w:val="541C0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BE1465"/>
    <w:multiLevelType w:val="multilevel"/>
    <w:tmpl w:val="539C12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2B9226F"/>
    <w:multiLevelType w:val="hybridMultilevel"/>
    <w:tmpl w:val="56C8A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7072C1"/>
    <w:multiLevelType w:val="hybridMultilevel"/>
    <w:tmpl w:val="3C58739A"/>
    <w:lvl w:ilvl="0" w:tplc="0409000F">
      <w:start w:val="1"/>
      <w:numFmt w:val="decimal"/>
      <w:lvlText w:val="%1."/>
      <w:lvlJc w:val="left"/>
      <w:pPr>
        <w:ind w:left="720" w:hanging="360"/>
      </w:pPr>
      <w:rPr>
        <w:rFont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4805F27"/>
    <w:multiLevelType w:val="hybridMultilevel"/>
    <w:tmpl w:val="3A202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B5345F"/>
    <w:multiLevelType w:val="hybridMultilevel"/>
    <w:tmpl w:val="CDFCB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5374E6"/>
    <w:multiLevelType w:val="multilevel"/>
    <w:tmpl w:val="AB7EB6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5873805"/>
    <w:multiLevelType w:val="hybridMultilevel"/>
    <w:tmpl w:val="BD120D8C"/>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 w15:restartNumberingAfterBreak="0">
    <w:nsid w:val="06175D96"/>
    <w:multiLevelType w:val="multilevel"/>
    <w:tmpl w:val="4580B9DE"/>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69A643F"/>
    <w:multiLevelType w:val="hybridMultilevel"/>
    <w:tmpl w:val="87DEE1A8"/>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0752006D"/>
    <w:multiLevelType w:val="multilevel"/>
    <w:tmpl w:val="DB865A38"/>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8683AF2"/>
    <w:multiLevelType w:val="multilevel"/>
    <w:tmpl w:val="838E433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86F419B"/>
    <w:multiLevelType w:val="multilevel"/>
    <w:tmpl w:val="80E2BD34"/>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8A83EDD"/>
    <w:multiLevelType w:val="multilevel"/>
    <w:tmpl w:val="39DC2A3A"/>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8E619AD"/>
    <w:multiLevelType w:val="hybridMultilevel"/>
    <w:tmpl w:val="6F00DD6C"/>
    <w:lvl w:ilvl="0" w:tplc="667ABC08">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094C6098"/>
    <w:multiLevelType w:val="hybridMultilevel"/>
    <w:tmpl w:val="91EC91F8"/>
    <w:lvl w:ilvl="0" w:tplc="4F305BC8">
      <w:start w:val="1"/>
      <w:numFmt w:val="bullet"/>
      <w:pStyle w:val="Bulleted1"/>
      <w:lvlText w:val=""/>
      <w:lvlJc w:val="left"/>
      <w:pPr>
        <w:tabs>
          <w:tab w:val="num" w:pos="425"/>
        </w:tabs>
        <w:ind w:left="425" w:hanging="255"/>
      </w:pPr>
      <w:rPr>
        <w:rFonts w:ascii="Wingdings" w:hAnsi="Wingdings" w:hint="default"/>
        <w:color w:val="00338D"/>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D78670E"/>
    <w:multiLevelType w:val="hybridMultilevel"/>
    <w:tmpl w:val="8A9859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00544DD"/>
    <w:multiLevelType w:val="hybridMultilevel"/>
    <w:tmpl w:val="32C05FF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03913D2"/>
    <w:multiLevelType w:val="hybridMultilevel"/>
    <w:tmpl w:val="3AE83E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0CE6281"/>
    <w:multiLevelType w:val="hybridMultilevel"/>
    <w:tmpl w:val="67E2CB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8D5740"/>
    <w:multiLevelType w:val="multilevel"/>
    <w:tmpl w:val="2D22B70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2C07557"/>
    <w:multiLevelType w:val="multilevel"/>
    <w:tmpl w:val="CAEAFC1E"/>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3264072"/>
    <w:multiLevelType w:val="multilevel"/>
    <w:tmpl w:val="225C99B8"/>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62F4601"/>
    <w:multiLevelType w:val="hybridMultilevel"/>
    <w:tmpl w:val="A7DE88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6BE229A"/>
    <w:multiLevelType w:val="hybridMultilevel"/>
    <w:tmpl w:val="C49AE7CC"/>
    <w:lvl w:ilvl="0" w:tplc="166221CA">
      <w:start w:val="1"/>
      <w:numFmt w:val="bullet"/>
      <w:pStyle w:val="CVRelevantXPPre-Civitta"/>
      <w:lvlText w:val=""/>
      <w:lvlJc w:val="left"/>
      <w:pPr>
        <w:ind w:left="720" w:hanging="360"/>
      </w:pPr>
      <w:rPr>
        <w:rFonts w:ascii="Wingdings" w:hAnsi="Wingdings" w:hint="default"/>
        <w:color w:val="134753"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6CC3233"/>
    <w:multiLevelType w:val="multilevel"/>
    <w:tmpl w:val="A0DC8D68"/>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9F90E1F"/>
    <w:multiLevelType w:val="hybridMultilevel"/>
    <w:tmpl w:val="D9621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B170296"/>
    <w:multiLevelType w:val="multilevel"/>
    <w:tmpl w:val="E976DE2C"/>
    <w:lvl w:ilvl="0">
      <w:start w:val="1"/>
      <w:numFmt w:val="bullet"/>
      <w:lvlText w:val=""/>
      <w:lvlJc w:val="left"/>
      <w:pPr>
        <w:ind w:left="720" w:hanging="360"/>
      </w:pPr>
      <w:rPr>
        <w:rFonts w:ascii="Symbol" w:hAnsi="Symbol" w:hint="default"/>
        <w:color w:val="134753" w:themeColor="text2"/>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
      <w:lvlJc w:val="left"/>
      <w:pPr>
        <w:ind w:left="3856" w:hanging="616"/>
      </w:pPr>
      <w:rPr>
        <w:rFonts w:ascii="Times New Roman" w:hAnsi="Times New Roman" w:cs="Times New Roman" w:hint="default"/>
        <w:color w:val="134753"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1B34607C"/>
    <w:multiLevelType w:val="multilevel"/>
    <w:tmpl w:val="F65A6D3C"/>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1DFA2AA2"/>
    <w:multiLevelType w:val="multilevel"/>
    <w:tmpl w:val="80F48CF6"/>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1322ADB"/>
    <w:multiLevelType w:val="hybridMultilevel"/>
    <w:tmpl w:val="B7A23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24A18DA"/>
    <w:multiLevelType w:val="multilevel"/>
    <w:tmpl w:val="10086BC0"/>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3890941"/>
    <w:multiLevelType w:val="hybridMultilevel"/>
    <w:tmpl w:val="8714B5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23AE75A6"/>
    <w:multiLevelType w:val="multilevel"/>
    <w:tmpl w:val="493E2C0C"/>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5DB6E6A"/>
    <w:multiLevelType w:val="hybridMultilevel"/>
    <w:tmpl w:val="59023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6CA4F15"/>
    <w:multiLevelType w:val="hybridMultilevel"/>
    <w:tmpl w:val="62D863A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27952903"/>
    <w:multiLevelType w:val="multilevel"/>
    <w:tmpl w:val="FD787E10"/>
    <w:styleLink w:val="Headings"/>
    <w:lvl w:ilvl="0">
      <w:start w:val="1"/>
      <w:numFmt w:val="decimal"/>
      <w:pStyle w:val="Heading1"/>
      <w:lvlText w:val="%1."/>
      <w:lvlJc w:val="left"/>
      <w:pPr>
        <w:ind w:left="357" w:hanging="357"/>
      </w:pPr>
      <w:rPr>
        <w:rFonts w:hint="default"/>
      </w:rPr>
    </w:lvl>
    <w:lvl w:ilvl="1">
      <w:start w:val="1"/>
      <w:numFmt w:val="decimal"/>
      <w:pStyle w:val="Heading2"/>
      <w:lvlText w:val="%1.%2."/>
      <w:lvlJc w:val="left"/>
      <w:pPr>
        <w:ind w:left="357" w:hanging="357"/>
      </w:pPr>
      <w:rPr>
        <w:rFonts w:hint="default"/>
      </w:rPr>
    </w:lvl>
    <w:lvl w:ilvl="2">
      <w:start w:val="1"/>
      <w:numFmt w:val="decimal"/>
      <w:pStyle w:val="Heading3"/>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38" w15:restartNumberingAfterBreak="0">
    <w:nsid w:val="2D9E3AFE"/>
    <w:multiLevelType w:val="hybridMultilevel"/>
    <w:tmpl w:val="CDE8ECB4"/>
    <w:lvl w:ilvl="0" w:tplc="0409000F">
      <w:start w:val="1"/>
      <w:numFmt w:val="decimal"/>
      <w:lvlText w:val="%1."/>
      <w:lvlJc w:val="left"/>
      <w:pPr>
        <w:ind w:left="720" w:hanging="360"/>
      </w:pPr>
      <w:rPr>
        <w:rFont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2F7D7996"/>
    <w:multiLevelType w:val="multilevel"/>
    <w:tmpl w:val="28CECB24"/>
    <w:lvl w:ilvl="0">
      <w:start w:val="1"/>
      <w:numFmt w:val="bullet"/>
      <w:lvlText w:val=""/>
      <w:lvlJc w:val="left"/>
      <w:pPr>
        <w:ind w:left="720" w:hanging="360"/>
      </w:pPr>
      <w:rPr>
        <w:rFonts w:ascii="Symbol" w:hAnsi="Symbol" w:hint="default"/>
        <w:color w:val="134753" w:themeColor="text2"/>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
      <w:lvlJc w:val="left"/>
      <w:pPr>
        <w:ind w:left="3856" w:hanging="616"/>
      </w:pPr>
      <w:rPr>
        <w:rFonts w:ascii="Times New Roman" w:hAnsi="Times New Roman" w:cs="Times New Roman" w:hint="default"/>
        <w:color w:val="134753"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2FD83971"/>
    <w:multiLevelType w:val="multilevel"/>
    <w:tmpl w:val="E48C50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22E5B22"/>
    <w:multiLevelType w:val="hybridMultilevel"/>
    <w:tmpl w:val="F1D29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58C702C"/>
    <w:multiLevelType w:val="hybridMultilevel"/>
    <w:tmpl w:val="1FB25C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62A15D0"/>
    <w:multiLevelType w:val="multilevel"/>
    <w:tmpl w:val="04F6913A"/>
    <w:lvl w:ilvl="0">
      <w:start w:val="1"/>
      <w:numFmt w:val="bullet"/>
      <w:lvlText w:val=""/>
      <w:lvlJc w:val="left"/>
      <w:pPr>
        <w:ind w:left="924" w:hanging="357"/>
      </w:pPr>
      <w:rPr>
        <w:rFonts w:ascii="Symbol" w:hAnsi="Symbol" w:hint="default"/>
      </w:rPr>
    </w:lvl>
    <w:lvl w:ilvl="1">
      <w:start w:val="1"/>
      <w:numFmt w:val="decimal"/>
      <w:lvlText w:val="%1.%2."/>
      <w:lvlJc w:val="left"/>
      <w:pPr>
        <w:ind w:left="924" w:hanging="357"/>
      </w:pPr>
    </w:lvl>
    <w:lvl w:ilvl="2">
      <w:start w:val="1"/>
      <w:numFmt w:val="bullet"/>
      <w:lvlText w:val="-"/>
      <w:lvlJc w:val="left"/>
      <w:pPr>
        <w:ind w:left="927" w:hanging="360"/>
      </w:pPr>
      <w:rPr>
        <w:rFonts w:ascii="Calibri" w:eastAsia="SimSun" w:hAnsi="Calibri" w:cs="Calibri" w:hint="default"/>
      </w:rPr>
    </w:lvl>
    <w:lvl w:ilvl="3">
      <w:start w:val="1"/>
      <w:numFmt w:val="bullet"/>
      <w:lvlText w:val="-"/>
      <w:lvlJc w:val="left"/>
      <w:pPr>
        <w:ind w:left="927" w:hanging="360"/>
      </w:pPr>
      <w:rPr>
        <w:rFonts w:ascii="Calibri" w:eastAsia="SimSun" w:hAnsi="Calibri" w:cs="Calibri" w:hint="default"/>
      </w:rPr>
    </w:lvl>
    <w:lvl w:ilvl="4">
      <w:start w:val="1"/>
      <w:numFmt w:val="bullet"/>
      <w:lvlText w:val=""/>
      <w:lvlJc w:val="left"/>
      <w:pPr>
        <w:ind w:left="1287" w:hanging="360"/>
      </w:pPr>
      <w:rPr>
        <w:rFonts w:ascii="Symbol" w:hAnsi="Symbol" w:hint="default"/>
      </w:rPr>
    </w:lvl>
    <w:lvl w:ilvl="5">
      <w:start w:val="1"/>
      <w:numFmt w:val="decimal"/>
      <w:lvlText w:val="%1.%2.%3.%4.%5.%6."/>
      <w:lvlJc w:val="left"/>
      <w:pPr>
        <w:ind w:left="924" w:hanging="357"/>
      </w:pPr>
    </w:lvl>
    <w:lvl w:ilvl="6">
      <w:start w:val="1"/>
      <w:numFmt w:val="decimal"/>
      <w:lvlText w:val="%1.%2.%3.%4.%5.%6.%7."/>
      <w:lvlJc w:val="left"/>
      <w:pPr>
        <w:ind w:left="924" w:hanging="357"/>
      </w:pPr>
    </w:lvl>
    <w:lvl w:ilvl="7">
      <w:start w:val="1"/>
      <w:numFmt w:val="decimal"/>
      <w:lvlText w:val="%1.%2.%3.%4.%5.%6.%7.%8."/>
      <w:lvlJc w:val="left"/>
      <w:pPr>
        <w:ind w:left="924" w:hanging="357"/>
      </w:pPr>
    </w:lvl>
    <w:lvl w:ilvl="8">
      <w:start w:val="1"/>
      <w:numFmt w:val="decimal"/>
      <w:lvlText w:val="%1.%2.%3.%4.%5.%6.%7.%8.%9."/>
      <w:lvlJc w:val="left"/>
      <w:pPr>
        <w:ind w:left="924" w:hanging="357"/>
      </w:pPr>
    </w:lvl>
  </w:abstractNum>
  <w:abstractNum w:abstractNumId="44" w15:restartNumberingAfterBreak="0">
    <w:nsid w:val="37B37F39"/>
    <w:multiLevelType w:val="multilevel"/>
    <w:tmpl w:val="9F9814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89F7E19"/>
    <w:multiLevelType w:val="hybridMultilevel"/>
    <w:tmpl w:val="9724D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92D42F4"/>
    <w:multiLevelType w:val="multilevel"/>
    <w:tmpl w:val="B6A44A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3AE065AF"/>
    <w:multiLevelType w:val="hybridMultilevel"/>
    <w:tmpl w:val="876233E8"/>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BB260E4"/>
    <w:multiLevelType w:val="hybridMultilevel"/>
    <w:tmpl w:val="CAC0BD1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9" w15:restartNumberingAfterBreak="0">
    <w:nsid w:val="3CC74D2B"/>
    <w:multiLevelType w:val="multilevel"/>
    <w:tmpl w:val="9BDCB38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D5D4FE6"/>
    <w:multiLevelType w:val="hybridMultilevel"/>
    <w:tmpl w:val="BF7A3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DEA0499"/>
    <w:multiLevelType w:val="multilevel"/>
    <w:tmpl w:val="B274905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3E725EB7"/>
    <w:multiLevelType w:val="hybridMultilevel"/>
    <w:tmpl w:val="5C4A0ED2"/>
    <w:lvl w:ilvl="0" w:tplc="04090001">
      <w:start w:val="1"/>
      <w:numFmt w:val="bullet"/>
      <w:lvlText w:val=""/>
      <w:lvlJc w:val="left"/>
      <w:pPr>
        <w:ind w:left="720" w:hanging="360"/>
      </w:pPr>
      <w:rPr>
        <w:rFonts w:ascii="Symbol" w:hAnsi="Symbol" w:hint="default"/>
      </w:rPr>
    </w:lvl>
    <w:lvl w:ilvl="1" w:tplc="0E6EDE50">
      <w:start w:val="1"/>
      <w:numFmt w:val="bullet"/>
      <w:lvlText w:val=""/>
      <w:lvlJc w:val="left"/>
      <w:pPr>
        <w:ind w:left="1440" w:hanging="360"/>
      </w:pPr>
      <w:rPr>
        <w:rFonts w:ascii="Symbol" w:hAnsi="Symbol" w:hint="default"/>
        <w:color w:val="auto"/>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15:restartNumberingAfterBreak="0">
    <w:nsid w:val="3FDD42E1"/>
    <w:multiLevelType w:val="hybridMultilevel"/>
    <w:tmpl w:val="35520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27C3EF3"/>
    <w:multiLevelType w:val="multilevel"/>
    <w:tmpl w:val="2B8C15F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29B7077"/>
    <w:multiLevelType w:val="hybridMultilevel"/>
    <w:tmpl w:val="B0E02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30C7507"/>
    <w:multiLevelType w:val="hybridMultilevel"/>
    <w:tmpl w:val="C90A4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6FB29496">
      <w:start w:val="1"/>
      <w:numFmt w:val="lowerRoman"/>
      <w:lvlText w:val="%3."/>
      <w:lvlJc w:val="right"/>
      <w:pPr>
        <w:ind w:left="2160" w:hanging="180"/>
      </w:pPr>
      <w:rPr>
        <w:b w:val="0"/>
        <w:bCs w:val="0"/>
        <w:color w:val="auto"/>
      </w:r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7" w15:restartNumberingAfterBreak="0">
    <w:nsid w:val="43C479D8"/>
    <w:multiLevelType w:val="hybridMultilevel"/>
    <w:tmpl w:val="4226F6B0"/>
    <w:lvl w:ilvl="0" w:tplc="6D6AE19A">
      <w:start w:val="1"/>
      <w:numFmt w:val="bullet"/>
      <w:pStyle w:val="Bulet"/>
      <w:lvlText w:val=""/>
      <w:lvlJc w:val="left"/>
      <w:pPr>
        <w:ind w:left="1800" w:hanging="360"/>
      </w:pPr>
      <w:rPr>
        <w:rFonts w:ascii="Symbol" w:hAnsi="Symbol" w:hint="default"/>
        <w:color w:val="134753" w:themeColor="text2"/>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8" w15:restartNumberingAfterBreak="0">
    <w:nsid w:val="447F11C7"/>
    <w:multiLevelType w:val="hybridMultilevel"/>
    <w:tmpl w:val="945CF916"/>
    <w:lvl w:ilvl="0" w:tplc="FFFFFFFF">
      <w:start w:val="1"/>
      <w:numFmt w:val="bullet"/>
      <w:pStyle w:val="Z-Liniute"/>
      <w:lvlText w:val="­"/>
      <w:lvlJc w:val="left"/>
      <w:pPr>
        <w:tabs>
          <w:tab w:val="num" w:pos="720"/>
        </w:tabs>
        <w:ind w:left="720" w:hanging="360"/>
      </w:pPr>
      <w:rPr>
        <w:rFonts w:ascii="Garamond" w:hAnsi="Garamond" w:hint="default"/>
      </w:rPr>
    </w:lvl>
    <w:lvl w:ilvl="1" w:tplc="FFFFFFFF">
      <w:start w:val="1"/>
      <w:numFmt w:val="decimal"/>
      <w:lvlText w:val="%2."/>
      <w:lvlJc w:val="left"/>
      <w:pPr>
        <w:tabs>
          <w:tab w:val="num" w:pos="1440"/>
        </w:tabs>
        <w:ind w:left="1440" w:hanging="360"/>
      </w:pPr>
      <w:rPr>
        <w:b/>
        <w:i w:val="0"/>
        <w:sz w:val="20"/>
      </w:rPr>
    </w:lvl>
    <w:lvl w:ilvl="2" w:tplc="FFFFFFFF">
      <w:start w:val="1"/>
      <w:numFmt w:val="lowerLetter"/>
      <w:lvlText w:val="(%3)"/>
      <w:lvlJc w:val="left"/>
      <w:pPr>
        <w:tabs>
          <w:tab w:val="num" w:pos="2160"/>
        </w:tabs>
        <w:ind w:left="2160" w:hanging="360"/>
      </w:pPr>
    </w:lvl>
    <w:lvl w:ilvl="3" w:tplc="47B420E6">
      <w:start w:val="1"/>
      <w:numFmt w:val="bullet"/>
      <w:lvlText w:val="-"/>
      <w:lvlJc w:val="left"/>
      <w:pPr>
        <w:tabs>
          <w:tab w:val="num" w:pos="2880"/>
        </w:tabs>
        <w:ind w:left="2880" w:hanging="360"/>
      </w:pPr>
      <w:rPr>
        <w:rFonts w:ascii="Times New Roman" w:eastAsia="Times New Roman" w:hAnsi="Times New Roman" w:cs="Times New Roman" w:hint="default"/>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9" w15:restartNumberingAfterBreak="0">
    <w:nsid w:val="450A4868"/>
    <w:multiLevelType w:val="multilevel"/>
    <w:tmpl w:val="1EFC25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5FC0BA2"/>
    <w:multiLevelType w:val="hybridMultilevel"/>
    <w:tmpl w:val="CFC408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7280A1E"/>
    <w:multiLevelType w:val="multilevel"/>
    <w:tmpl w:val="D24C62E2"/>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73F716A"/>
    <w:multiLevelType w:val="multilevel"/>
    <w:tmpl w:val="A4D2A8B8"/>
    <w:lvl w:ilvl="0">
      <w:start w:val="1"/>
      <w:numFmt w:val="bullet"/>
      <w:lvlText w:val=""/>
      <w:lvlJc w:val="left"/>
      <w:pPr>
        <w:ind w:left="720" w:hanging="360"/>
      </w:pPr>
      <w:rPr>
        <w:rFonts w:ascii="Symbol" w:hAnsi="Symbol" w:hint="default"/>
        <w:color w:val="134753" w:themeColor="text2"/>
        <w:sz w:val="22"/>
      </w:rPr>
    </w:lvl>
    <w:lvl w:ilvl="1">
      <w:start w:val="1"/>
      <w:numFmt w:val="bullet"/>
      <w:lvlText w:val="‒"/>
      <w:lvlJc w:val="left"/>
      <w:pPr>
        <w:ind w:left="1418" w:hanging="338"/>
      </w:pPr>
      <w:rPr>
        <w:rFonts w:ascii="Times New Roman" w:hAnsi="Times New Roman" w:cs="Times New Roman" w:hint="default"/>
        <w:color w:val="134753" w:themeColor="text2"/>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
      <w:lvlJc w:val="left"/>
      <w:pPr>
        <w:ind w:left="3856" w:hanging="616"/>
      </w:pPr>
      <w:rPr>
        <w:rFonts w:ascii="Times New Roman" w:hAnsi="Times New Roman" w:cs="Times New Roman" w:hint="default"/>
        <w:color w:val="134753"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485247E0"/>
    <w:multiLevelType w:val="hybridMultilevel"/>
    <w:tmpl w:val="02CE1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9FF712C"/>
    <w:multiLevelType w:val="multilevel"/>
    <w:tmpl w:val="DCD69F74"/>
    <w:lvl w:ilvl="0">
      <w:start w:val="1"/>
      <w:numFmt w:val="bullet"/>
      <w:lvlText w:val=""/>
      <w:lvlJc w:val="left"/>
      <w:pPr>
        <w:ind w:left="720" w:hanging="360"/>
      </w:pPr>
      <w:rPr>
        <w:rFonts w:ascii="Symbol" w:hAnsi="Symbol" w:hint="default"/>
        <w:color w:val="134753" w:themeColor="text2"/>
        <w:sz w:val="22"/>
      </w:rPr>
    </w:lvl>
    <w:lvl w:ilvl="1">
      <w:start w:val="1"/>
      <w:numFmt w:val="bullet"/>
      <w:lvlText w:val="‒"/>
      <w:lvlJc w:val="left"/>
      <w:pPr>
        <w:ind w:left="1418" w:hanging="338"/>
      </w:pPr>
      <w:rPr>
        <w:rFonts w:ascii="Times New Roman" w:hAnsi="Times New Roman" w:cs="Times New Roman" w:hint="default"/>
        <w:color w:val="134753" w:themeColor="text2"/>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
      <w:lvlJc w:val="left"/>
      <w:pPr>
        <w:ind w:left="3856" w:hanging="616"/>
      </w:pPr>
      <w:rPr>
        <w:rFonts w:ascii="Times New Roman" w:hAnsi="Times New Roman" w:cs="Times New Roman" w:hint="default"/>
        <w:color w:val="134753"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4B8B65DD"/>
    <w:multiLevelType w:val="hybridMultilevel"/>
    <w:tmpl w:val="4F607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6" w15:restartNumberingAfterBreak="0">
    <w:nsid w:val="4CB457FD"/>
    <w:multiLevelType w:val="hybridMultilevel"/>
    <w:tmpl w:val="94D2AA1C"/>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0807E0B"/>
    <w:multiLevelType w:val="hybridMultilevel"/>
    <w:tmpl w:val="7C94C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13A53CB"/>
    <w:multiLevelType w:val="hybridMultilevel"/>
    <w:tmpl w:val="A7B42B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18B75CB"/>
    <w:multiLevelType w:val="hybridMultilevel"/>
    <w:tmpl w:val="8AE4B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32749C6"/>
    <w:multiLevelType w:val="hybridMultilevel"/>
    <w:tmpl w:val="08B6A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52D5D44"/>
    <w:multiLevelType w:val="hybridMultilevel"/>
    <w:tmpl w:val="BA886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5DC1B09"/>
    <w:multiLevelType w:val="multilevel"/>
    <w:tmpl w:val="FD787E10"/>
    <w:numStyleLink w:val="Headings"/>
  </w:abstractNum>
  <w:abstractNum w:abstractNumId="73" w15:restartNumberingAfterBreak="0">
    <w:nsid w:val="563B4EC7"/>
    <w:multiLevelType w:val="hybridMultilevel"/>
    <w:tmpl w:val="7C48627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58690435"/>
    <w:multiLevelType w:val="multilevel"/>
    <w:tmpl w:val="31E2F8A0"/>
    <w:lvl w:ilvl="0">
      <w:start w:val="1"/>
      <w:numFmt w:val="bullet"/>
      <w:lvlText w:val=""/>
      <w:lvlJc w:val="left"/>
      <w:pPr>
        <w:ind w:left="720" w:hanging="360"/>
      </w:pPr>
      <w:rPr>
        <w:rFonts w:ascii="Symbol" w:hAnsi="Symbol" w:hint="default"/>
        <w:color w:val="134753" w:themeColor="text2"/>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
      <w:lvlJc w:val="left"/>
      <w:pPr>
        <w:ind w:left="3856" w:hanging="616"/>
      </w:pPr>
      <w:rPr>
        <w:rFonts w:ascii="Times New Roman" w:hAnsi="Times New Roman" w:cs="Times New Roman" w:hint="default"/>
        <w:color w:val="134753"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588D7384"/>
    <w:multiLevelType w:val="multilevel"/>
    <w:tmpl w:val="B4C46140"/>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58C8313B"/>
    <w:multiLevelType w:val="multilevel"/>
    <w:tmpl w:val="0ECE77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59335127"/>
    <w:multiLevelType w:val="multilevel"/>
    <w:tmpl w:val="C3B0CCC2"/>
    <w:styleLink w:val="Style1"/>
    <w:lvl w:ilvl="0">
      <w:start w:val="1"/>
      <w:numFmt w:val="bullet"/>
      <w:lvlText w:val=""/>
      <w:lvlJc w:val="left"/>
      <w:pPr>
        <w:ind w:left="720" w:hanging="360"/>
      </w:pPr>
      <w:rPr>
        <w:rFonts w:ascii="Symbol" w:hAnsi="Symbol" w:hint="default"/>
        <w:color w:val="134753" w:themeColor="text2"/>
        <w:sz w:val="22"/>
      </w:rPr>
    </w:lvl>
    <w:lvl w:ilvl="1">
      <w:start w:val="1"/>
      <w:numFmt w:val="bullet"/>
      <w:lvlText w:val="‒"/>
      <w:lvlJc w:val="left"/>
      <w:pPr>
        <w:ind w:left="1418" w:hanging="338"/>
      </w:pPr>
      <w:rPr>
        <w:rFonts w:ascii="Times New Roman" w:hAnsi="Times New Roman" w:cs="Times New Roman" w:hint="default"/>
        <w:color w:val="134753" w:themeColor="text2"/>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8" w15:restartNumberingAfterBreak="0">
    <w:nsid w:val="5A5B2563"/>
    <w:multiLevelType w:val="hybridMultilevel"/>
    <w:tmpl w:val="23085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AA664E5"/>
    <w:multiLevelType w:val="hybridMultilevel"/>
    <w:tmpl w:val="40C4338C"/>
    <w:lvl w:ilvl="0" w:tplc="0409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80" w15:restartNumberingAfterBreak="0">
    <w:nsid w:val="5B5C262B"/>
    <w:multiLevelType w:val="multilevel"/>
    <w:tmpl w:val="FE1AF476"/>
    <w:lvl w:ilvl="0">
      <w:start w:val="1"/>
      <w:numFmt w:val="bullet"/>
      <w:lvlText w:val=""/>
      <w:lvlJc w:val="left"/>
      <w:pPr>
        <w:ind w:left="783" w:hanging="357"/>
      </w:pPr>
      <w:rPr>
        <w:rFonts w:ascii="Symbol" w:hAnsi="Symbol" w:hint="default"/>
      </w:rPr>
    </w:lvl>
    <w:lvl w:ilvl="1">
      <w:start w:val="1"/>
      <w:numFmt w:val="decimal"/>
      <w:lvlText w:val="%1.%2."/>
      <w:lvlJc w:val="left"/>
      <w:pPr>
        <w:ind w:left="783" w:hanging="357"/>
      </w:pPr>
    </w:lvl>
    <w:lvl w:ilvl="2">
      <w:start w:val="1"/>
      <w:numFmt w:val="decimal"/>
      <w:lvlText w:val="%1.%2.%3."/>
      <w:lvlJc w:val="left"/>
      <w:pPr>
        <w:ind w:left="783" w:hanging="357"/>
      </w:pPr>
    </w:lvl>
    <w:lvl w:ilvl="3">
      <w:start w:val="1"/>
      <w:numFmt w:val="decimal"/>
      <w:lvlText w:val="%1.%2.%3.%4."/>
      <w:lvlJc w:val="left"/>
      <w:pPr>
        <w:ind w:left="783" w:hanging="357"/>
      </w:pPr>
    </w:lvl>
    <w:lvl w:ilvl="4">
      <w:start w:val="1"/>
      <w:numFmt w:val="decimal"/>
      <w:lvlText w:val="%1.%2.%3.%4.%5."/>
      <w:lvlJc w:val="left"/>
      <w:pPr>
        <w:ind w:left="783" w:hanging="357"/>
      </w:pPr>
    </w:lvl>
    <w:lvl w:ilvl="5">
      <w:start w:val="1"/>
      <w:numFmt w:val="decimal"/>
      <w:lvlText w:val="%1.%2.%3.%4.%5.%6."/>
      <w:lvlJc w:val="left"/>
      <w:pPr>
        <w:ind w:left="783" w:hanging="357"/>
      </w:pPr>
    </w:lvl>
    <w:lvl w:ilvl="6">
      <w:start w:val="1"/>
      <w:numFmt w:val="decimal"/>
      <w:lvlText w:val="%1.%2.%3.%4.%5.%6.%7."/>
      <w:lvlJc w:val="left"/>
      <w:pPr>
        <w:ind w:left="783" w:hanging="357"/>
      </w:pPr>
    </w:lvl>
    <w:lvl w:ilvl="7">
      <w:start w:val="1"/>
      <w:numFmt w:val="decimal"/>
      <w:lvlText w:val="%1.%2.%3.%4.%5.%6.%7.%8."/>
      <w:lvlJc w:val="left"/>
      <w:pPr>
        <w:ind w:left="783" w:hanging="357"/>
      </w:pPr>
    </w:lvl>
    <w:lvl w:ilvl="8">
      <w:start w:val="1"/>
      <w:numFmt w:val="decimal"/>
      <w:lvlText w:val="%1.%2.%3.%4.%5.%6.%7.%8.%9."/>
      <w:lvlJc w:val="left"/>
      <w:pPr>
        <w:ind w:left="783" w:hanging="357"/>
      </w:pPr>
    </w:lvl>
  </w:abstractNum>
  <w:abstractNum w:abstractNumId="81" w15:restartNumberingAfterBreak="0">
    <w:nsid w:val="5C086E55"/>
    <w:multiLevelType w:val="hybridMultilevel"/>
    <w:tmpl w:val="29B8E9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2" w15:restartNumberingAfterBreak="0">
    <w:nsid w:val="5C5875E0"/>
    <w:multiLevelType w:val="multilevel"/>
    <w:tmpl w:val="5A665A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5D6533D1"/>
    <w:multiLevelType w:val="hybridMultilevel"/>
    <w:tmpl w:val="0BA871C2"/>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5D804942"/>
    <w:multiLevelType w:val="multilevel"/>
    <w:tmpl w:val="B85E77E6"/>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5F894726"/>
    <w:multiLevelType w:val="multilevel"/>
    <w:tmpl w:val="ED06A34E"/>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609B624E"/>
    <w:multiLevelType w:val="multilevel"/>
    <w:tmpl w:val="0A0606CE"/>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6176272A"/>
    <w:multiLevelType w:val="hybridMultilevel"/>
    <w:tmpl w:val="3A6CABA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618F7557"/>
    <w:multiLevelType w:val="hybridMultilevel"/>
    <w:tmpl w:val="CB725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1E132E1"/>
    <w:multiLevelType w:val="multilevel"/>
    <w:tmpl w:val="D848C1A8"/>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62325E74"/>
    <w:multiLevelType w:val="hybridMultilevel"/>
    <w:tmpl w:val="A3AC7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418348C"/>
    <w:multiLevelType w:val="multilevel"/>
    <w:tmpl w:val="34947D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64682E31"/>
    <w:multiLevelType w:val="multilevel"/>
    <w:tmpl w:val="3A727AB6"/>
    <w:lvl w:ilvl="0">
      <w:start w:val="1"/>
      <w:numFmt w:val="bullet"/>
      <w:lvlText w:val=""/>
      <w:lvlJc w:val="left"/>
      <w:pPr>
        <w:ind w:left="357" w:hanging="357"/>
      </w:pPr>
      <w:rPr>
        <w:rFonts w:ascii="Symbol" w:hAnsi="Symbol" w:hint="default"/>
      </w:rPr>
    </w:lvl>
    <w:lvl w:ilvl="1">
      <w:start w:val="1"/>
      <w:numFmt w:val="decimal"/>
      <w:lvlText w:val="%1.%2."/>
      <w:lvlJc w:val="left"/>
      <w:pPr>
        <w:ind w:left="357" w:hanging="357"/>
      </w:pPr>
    </w:lvl>
    <w:lvl w:ilvl="2">
      <w:start w:val="1"/>
      <w:numFmt w:val="bullet"/>
      <w:lvlText w:val="-"/>
      <w:lvlJc w:val="left"/>
      <w:pPr>
        <w:ind w:left="360" w:hanging="360"/>
      </w:pPr>
      <w:rPr>
        <w:rFonts w:ascii="Calibri" w:eastAsia="SimSun" w:hAnsi="Calibri" w:cs="Calibri" w:hint="default"/>
      </w:rPr>
    </w:lvl>
    <w:lvl w:ilvl="3">
      <w:start w:val="1"/>
      <w:numFmt w:val="bullet"/>
      <w:lvlText w:val="-"/>
      <w:lvlJc w:val="left"/>
      <w:pPr>
        <w:ind w:left="360" w:hanging="360"/>
      </w:pPr>
      <w:rPr>
        <w:rFonts w:ascii="Calibri" w:eastAsia="SimSun" w:hAnsi="Calibri" w:cs="Calibri" w:hint="default"/>
      </w:rPr>
    </w:lvl>
    <w:lvl w:ilvl="4">
      <w:start w:val="1"/>
      <w:numFmt w:val="bullet"/>
      <w:lvlText w:val="o"/>
      <w:lvlJc w:val="left"/>
      <w:pPr>
        <w:ind w:left="1440" w:hanging="360"/>
      </w:pPr>
      <w:rPr>
        <w:rFonts w:ascii="Courier New" w:hAnsi="Courier New" w:cs="Courier New" w:hint="default"/>
      </w:rPr>
    </w:lvl>
    <w:lvl w:ilvl="5">
      <w:start w:val="1"/>
      <w:numFmt w:val="decimal"/>
      <w:lvlText w:val="%1.%2.%3.%4.%5.%6."/>
      <w:lvlJc w:val="left"/>
      <w:pPr>
        <w:ind w:left="357" w:hanging="357"/>
      </w:pPr>
    </w:lvl>
    <w:lvl w:ilvl="6">
      <w:start w:val="1"/>
      <w:numFmt w:val="decimal"/>
      <w:lvlText w:val="%1.%2.%3.%4.%5.%6.%7."/>
      <w:lvlJc w:val="left"/>
      <w:pPr>
        <w:ind w:left="357" w:hanging="357"/>
      </w:pPr>
    </w:lvl>
    <w:lvl w:ilvl="7">
      <w:start w:val="1"/>
      <w:numFmt w:val="decimal"/>
      <w:lvlText w:val="%1.%2.%3.%4.%5.%6.%7.%8."/>
      <w:lvlJc w:val="left"/>
      <w:pPr>
        <w:ind w:left="357" w:hanging="357"/>
      </w:pPr>
    </w:lvl>
    <w:lvl w:ilvl="8">
      <w:start w:val="1"/>
      <w:numFmt w:val="decimal"/>
      <w:lvlText w:val="%1.%2.%3.%4.%5.%6.%7.%8.%9."/>
      <w:lvlJc w:val="left"/>
      <w:pPr>
        <w:ind w:left="357" w:hanging="357"/>
      </w:pPr>
    </w:lvl>
  </w:abstractNum>
  <w:abstractNum w:abstractNumId="93" w15:restartNumberingAfterBreak="0">
    <w:nsid w:val="656818AF"/>
    <w:multiLevelType w:val="multilevel"/>
    <w:tmpl w:val="421C8060"/>
    <w:styleLink w:val="WWOutlineListStyle"/>
    <w:lvl w:ilvl="0">
      <w:start w:val="1"/>
      <w:numFmt w:val="decimal"/>
      <w:lvlText w:val="%1."/>
      <w:lvlJc w:val="left"/>
      <w:pPr>
        <w:ind w:left="357" w:hanging="357"/>
      </w:pPr>
    </w:lvl>
    <w:lvl w:ilvl="1">
      <w:start w:val="1"/>
      <w:numFmt w:val="decimal"/>
      <w:lvlText w:val="%1.%2."/>
      <w:lvlJc w:val="left"/>
      <w:pPr>
        <w:ind w:left="357" w:hanging="357"/>
      </w:pPr>
    </w:lvl>
    <w:lvl w:ilvl="2">
      <w:start w:val="1"/>
      <w:numFmt w:val="decimal"/>
      <w:lvlText w:val="%1.%2.%3."/>
      <w:lvlJc w:val="left"/>
      <w:pPr>
        <w:ind w:left="357" w:hanging="357"/>
      </w:pPr>
    </w:lvl>
    <w:lvl w:ilvl="3">
      <w:start w:val="1"/>
      <w:numFmt w:val="none"/>
      <w:lvlText w:val=""/>
      <w:lvlJc w:val="left"/>
      <w:pPr>
        <w:ind w:left="0" w:firstLine="0"/>
      </w:pPr>
    </w:lvl>
    <w:lvl w:ilvl="4">
      <w:start w:val="1"/>
      <w:numFmt w:val="none"/>
      <w:lvlText w:val=""/>
      <w:lvlJc w:val="left"/>
      <w:pPr>
        <w:ind w:left="0" w:firstLine="0"/>
      </w:pPr>
    </w:lvl>
    <w:lvl w:ilvl="5">
      <w:start w:val="1"/>
      <w:numFmt w:val="none"/>
      <w:lvlText w:val=""/>
      <w:lvlJc w:val="left"/>
      <w:pPr>
        <w:ind w:left="0" w:firstLine="0"/>
      </w:pPr>
    </w:lvl>
    <w:lvl w:ilvl="6">
      <w:start w:val="1"/>
      <w:numFmt w:val="none"/>
      <w:lvlText w:val=""/>
      <w:lvlJc w:val="left"/>
      <w:pPr>
        <w:ind w:left="0" w:firstLine="0"/>
      </w:pPr>
    </w:lvl>
    <w:lvl w:ilvl="7">
      <w:start w:val="1"/>
      <w:numFmt w:val="none"/>
      <w:lvlText w:val=""/>
      <w:lvlJc w:val="left"/>
      <w:pPr>
        <w:ind w:left="0" w:firstLine="0"/>
      </w:pPr>
    </w:lvl>
    <w:lvl w:ilvl="8">
      <w:start w:val="1"/>
      <w:numFmt w:val="none"/>
      <w:lvlText w:val=""/>
      <w:lvlJc w:val="left"/>
      <w:pPr>
        <w:ind w:left="0" w:firstLine="0"/>
      </w:pPr>
    </w:lvl>
  </w:abstractNum>
  <w:abstractNum w:abstractNumId="94" w15:restartNumberingAfterBreak="0">
    <w:nsid w:val="65AB3070"/>
    <w:multiLevelType w:val="hybridMultilevel"/>
    <w:tmpl w:val="0BF87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5D15786"/>
    <w:multiLevelType w:val="multilevel"/>
    <w:tmpl w:val="C3B0CCC2"/>
    <w:lvl w:ilvl="0">
      <w:start w:val="1"/>
      <w:numFmt w:val="bullet"/>
      <w:pStyle w:val="Bullet"/>
      <w:lvlText w:val=""/>
      <w:lvlJc w:val="left"/>
      <w:pPr>
        <w:ind w:left="720" w:hanging="360"/>
      </w:pPr>
      <w:rPr>
        <w:rFonts w:ascii="Symbol" w:hAnsi="Symbol" w:hint="default"/>
        <w:color w:val="134753" w:themeColor="text2"/>
        <w:sz w:val="22"/>
      </w:rPr>
    </w:lvl>
    <w:lvl w:ilvl="1">
      <w:start w:val="1"/>
      <w:numFmt w:val="bullet"/>
      <w:lvlText w:val="‒"/>
      <w:lvlJc w:val="left"/>
      <w:pPr>
        <w:ind w:left="1418" w:hanging="338"/>
      </w:pPr>
      <w:rPr>
        <w:rFonts w:ascii="Times New Roman" w:hAnsi="Times New Roman" w:cs="Times New Roman" w:hint="default"/>
        <w:color w:val="134753" w:themeColor="text2"/>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
      <w:lvlJc w:val="left"/>
      <w:pPr>
        <w:ind w:left="3856" w:hanging="616"/>
      </w:pPr>
      <w:rPr>
        <w:rFonts w:ascii="Times New Roman" w:hAnsi="Times New Roman" w:cs="Times New Roman" w:hint="default"/>
        <w:color w:val="134753"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6" w15:restartNumberingAfterBreak="0">
    <w:nsid w:val="67AA2B3C"/>
    <w:multiLevelType w:val="multilevel"/>
    <w:tmpl w:val="265CFF2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67E32AB5"/>
    <w:multiLevelType w:val="multilevel"/>
    <w:tmpl w:val="2C28660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680A1195"/>
    <w:multiLevelType w:val="multilevel"/>
    <w:tmpl w:val="DD102D4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696C2C2F"/>
    <w:multiLevelType w:val="hybridMultilevel"/>
    <w:tmpl w:val="AA56357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B7E19B4"/>
    <w:multiLevelType w:val="hybridMultilevel"/>
    <w:tmpl w:val="96E42D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B822BF5"/>
    <w:multiLevelType w:val="multilevel"/>
    <w:tmpl w:val="7D3AA31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6C4E3FCC"/>
    <w:multiLevelType w:val="multilevel"/>
    <w:tmpl w:val="AE00E716"/>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15:restartNumberingAfterBreak="0">
    <w:nsid w:val="6DD551AE"/>
    <w:multiLevelType w:val="hybridMultilevel"/>
    <w:tmpl w:val="97CCDA88"/>
    <w:lvl w:ilvl="0" w:tplc="0409000F">
      <w:start w:val="1"/>
      <w:numFmt w:val="decimal"/>
      <w:lvlText w:val="%1."/>
      <w:lvlJc w:val="left"/>
      <w:pPr>
        <w:ind w:left="720" w:hanging="360"/>
      </w:pPr>
      <w:rPr>
        <w:rFont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4" w15:restartNumberingAfterBreak="0">
    <w:nsid w:val="6ED94C36"/>
    <w:multiLevelType w:val="hybridMultilevel"/>
    <w:tmpl w:val="E8F0E9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F7B19D0"/>
    <w:multiLevelType w:val="hybridMultilevel"/>
    <w:tmpl w:val="FC82B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3455EC9"/>
    <w:multiLevelType w:val="hybridMultilevel"/>
    <w:tmpl w:val="FBACB1EA"/>
    <w:lvl w:ilvl="0" w:tplc="98D0F9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4B10A0E"/>
    <w:multiLevelType w:val="hybridMultilevel"/>
    <w:tmpl w:val="DD54685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8" w15:restartNumberingAfterBreak="0">
    <w:nsid w:val="755C19B0"/>
    <w:multiLevelType w:val="hybridMultilevel"/>
    <w:tmpl w:val="4AEEE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71369A4"/>
    <w:multiLevelType w:val="hybridMultilevel"/>
    <w:tmpl w:val="FFFAB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88A0BD8"/>
    <w:multiLevelType w:val="hybridMultilevel"/>
    <w:tmpl w:val="FDD0B2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1" w15:restartNumberingAfterBreak="0">
    <w:nsid w:val="78AD55F8"/>
    <w:multiLevelType w:val="hybridMultilevel"/>
    <w:tmpl w:val="997A867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7A45052E"/>
    <w:multiLevelType w:val="hybridMultilevel"/>
    <w:tmpl w:val="E2768CD0"/>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13" w15:restartNumberingAfterBreak="0">
    <w:nsid w:val="7A625CF0"/>
    <w:multiLevelType w:val="hybridMultilevel"/>
    <w:tmpl w:val="809A083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C924743"/>
    <w:multiLevelType w:val="hybridMultilevel"/>
    <w:tmpl w:val="26C6CC3A"/>
    <w:lvl w:ilvl="0" w:tplc="0409000F">
      <w:start w:val="1"/>
      <w:numFmt w:val="decimal"/>
      <w:lvlText w:val="%1."/>
      <w:lvlJc w:val="left"/>
      <w:pPr>
        <w:ind w:left="720" w:hanging="360"/>
      </w:pPr>
      <w:rPr>
        <w:rFont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5" w15:restartNumberingAfterBreak="0">
    <w:nsid w:val="7DF33091"/>
    <w:multiLevelType w:val="hybridMultilevel"/>
    <w:tmpl w:val="AE4ACFD0"/>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116" w15:restartNumberingAfterBreak="0">
    <w:nsid w:val="7EC81249"/>
    <w:multiLevelType w:val="multilevel"/>
    <w:tmpl w:val="51A206AE"/>
    <w:lvl w:ilvl="0">
      <w:start w:val="1"/>
      <w:numFmt w:val="bullet"/>
      <w:lvlText w:val="o"/>
      <w:lvlJc w:val="left"/>
      <w:pPr>
        <w:ind w:left="720" w:hanging="360"/>
      </w:pPr>
      <w:rPr>
        <w:rFonts w:ascii="Courier New" w:hAnsi="Courier New" w:cs="Courier New" w:hint="default"/>
        <w:color w:val="134753" w:themeColor="text2"/>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
      <w:lvlJc w:val="left"/>
      <w:pPr>
        <w:ind w:left="3856" w:hanging="616"/>
      </w:pPr>
      <w:rPr>
        <w:rFonts w:ascii="Times New Roman" w:hAnsi="Times New Roman" w:cs="Times New Roman" w:hint="default"/>
        <w:color w:val="134753"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7" w15:restartNumberingAfterBreak="0">
    <w:nsid w:val="7EDD4A06"/>
    <w:multiLevelType w:val="hybridMultilevel"/>
    <w:tmpl w:val="FFCE3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7EF8520D"/>
    <w:multiLevelType w:val="multilevel"/>
    <w:tmpl w:val="BF0849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9" w15:restartNumberingAfterBreak="0">
    <w:nsid w:val="7F1E7B96"/>
    <w:multiLevelType w:val="multilevel"/>
    <w:tmpl w:val="893AFC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0" w15:restartNumberingAfterBreak="0">
    <w:nsid w:val="7F897686"/>
    <w:multiLevelType w:val="hybridMultilevel"/>
    <w:tmpl w:val="6570E036"/>
    <w:lvl w:ilvl="0" w:tplc="14BA88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08864428">
    <w:abstractNumId w:val="95"/>
  </w:num>
  <w:num w:numId="2" w16cid:durableId="617953072">
    <w:abstractNumId w:val="77"/>
  </w:num>
  <w:num w:numId="3" w16cid:durableId="1133518470">
    <w:abstractNumId w:val="37"/>
  </w:num>
  <w:num w:numId="4" w16cid:durableId="877355786">
    <w:abstractNumId w:val="72"/>
  </w:num>
  <w:num w:numId="5" w16cid:durableId="2017804916">
    <w:abstractNumId w:val="16"/>
  </w:num>
  <w:num w:numId="6" w16cid:durableId="2008627773">
    <w:abstractNumId w:val="58"/>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08919605">
    <w:abstractNumId w:val="5"/>
  </w:num>
  <w:num w:numId="8" w16cid:durableId="208610787">
    <w:abstractNumId w:val="120"/>
  </w:num>
  <w:num w:numId="9" w16cid:durableId="905452495">
    <w:abstractNumId w:val="62"/>
  </w:num>
  <w:num w:numId="10" w16cid:durableId="1215238451">
    <w:abstractNumId w:val="63"/>
  </w:num>
  <w:num w:numId="11" w16cid:durableId="1986467744">
    <w:abstractNumId w:val="64"/>
  </w:num>
  <w:num w:numId="12" w16cid:durableId="2035113127">
    <w:abstractNumId w:val="45"/>
  </w:num>
  <w:num w:numId="13" w16cid:durableId="1406612480">
    <w:abstractNumId w:val="0"/>
  </w:num>
  <w:num w:numId="14" w16cid:durableId="306253224">
    <w:abstractNumId w:val="93"/>
  </w:num>
  <w:num w:numId="15" w16cid:durableId="108624874">
    <w:abstractNumId w:val="25"/>
  </w:num>
  <w:num w:numId="16" w16cid:durableId="43995094">
    <w:abstractNumId w:val="10"/>
  </w:num>
  <w:num w:numId="17" w16cid:durableId="1874884095">
    <w:abstractNumId w:val="1"/>
  </w:num>
  <w:num w:numId="18" w16cid:durableId="1869827643">
    <w:abstractNumId w:val="3"/>
  </w:num>
  <w:num w:numId="19" w16cid:durableId="665977615">
    <w:abstractNumId w:val="117"/>
  </w:num>
  <w:num w:numId="20" w16cid:durableId="597174641">
    <w:abstractNumId w:val="6"/>
  </w:num>
  <w:num w:numId="21" w16cid:durableId="1786652693">
    <w:abstractNumId w:val="90"/>
  </w:num>
  <w:num w:numId="22" w16cid:durableId="1620182148">
    <w:abstractNumId w:val="105"/>
  </w:num>
  <w:num w:numId="23" w16cid:durableId="1219585330">
    <w:abstractNumId w:val="113"/>
  </w:num>
  <w:num w:numId="24" w16cid:durableId="1805925159">
    <w:abstractNumId w:val="18"/>
  </w:num>
  <w:num w:numId="25" w16cid:durableId="1220748045">
    <w:abstractNumId w:val="94"/>
  </w:num>
  <w:num w:numId="26" w16cid:durableId="1490904582">
    <w:abstractNumId w:val="67"/>
  </w:num>
  <w:num w:numId="27" w16cid:durableId="189494842">
    <w:abstractNumId w:val="69"/>
  </w:num>
  <w:num w:numId="28" w16cid:durableId="1356539285">
    <w:abstractNumId w:val="17"/>
  </w:num>
  <w:num w:numId="29" w16cid:durableId="399061032">
    <w:abstractNumId w:val="50"/>
  </w:num>
  <w:num w:numId="30" w16cid:durableId="1436512087">
    <w:abstractNumId w:val="35"/>
  </w:num>
  <w:num w:numId="31" w16cid:durableId="639530630">
    <w:abstractNumId w:val="31"/>
  </w:num>
  <w:num w:numId="32" w16cid:durableId="930889736">
    <w:abstractNumId w:val="55"/>
  </w:num>
  <w:num w:numId="33" w16cid:durableId="641275583">
    <w:abstractNumId w:val="66"/>
  </w:num>
  <w:num w:numId="34" w16cid:durableId="1180193957">
    <w:abstractNumId w:val="57"/>
  </w:num>
  <w:num w:numId="35" w16cid:durableId="2111779029">
    <w:abstractNumId w:val="53"/>
  </w:num>
  <w:num w:numId="36" w16cid:durableId="103499100">
    <w:abstractNumId w:val="112"/>
  </w:num>
  <w:num w:numId="37" w16cid:durableId="743383162">
    <w:abstractNumId w:val="27"/>
  </w:num>
  <w:num w:numId="38" w16cid:durableId="441846704">
    <w:abstractNumId w:val="15"/>
  </w:num>
  <w:num w:numId="39" w16cid:durableId="848372756">
    <w:abstractNumId w:val="59"/>
  </w:num>
  <w:num w:numId="40" w16cid:durableId="1103763838">
    <w:abstractNumId w:val="40"/>
  </w:num>
  <w:num w:numId="41" w16cid:durableId="1091197319">
    <w:abstractNumId w:val="91"/>
  </w:num>
  <w:num w:numId="42" w16cid:durableId="1437558943">
    <w:abstractNumId w:val="34"/>
  </w:num>
  <w:num w:numId="43" w16cid:durableId="2056544386">
    <w:abstractNumId w:val="107"/>
  </w:num>
  <w:num w:numId="44" w16cid:durableId="556278558">
    <w:abstractNumId w:val="7"/>
  </w:num>
  <w:num w:numId="45" w16cid:durableId="1323315973">
    <w:abstractNumId w:val="87"/>
  </w:num>
  <w:num w:numId="46" w16cid:durableId="808863684">
    <w:abstractNumId w:val="2"/>
  </w:num>
  <w:num w:numId="47" w16cid:durableId="1490058002">
    <w:abstractNumId w:val="46"/>
  </w:num>
  <w:num w:numId="48" w16cid:durableId="1981378481">
    <w:abstractNumId w:val="71"/>
  </w:num>
  <w:num w:numId="49" w16cid:durableId="850221106">
    <w:abstractNumId w:val="88"/>
  </w:num>
  <w:num w:numId="50" w16cid:durableId="1030957471">
    <w:abstractNumId w:val="103"/>
  </w:num>
  <w:num w:numId="51" w16cid:durableId="1928346636">
    <w:abstractNumId w:val="4"/>
  </w:num>
  <w:num w:numId="52" w16cid:durableId="1288663202">
    <w:abstractNumId w:val="43"/>
  </w:num>
  <w:num w:numId="53" w16cid:durableId="1344895420">
    <w:abstractNumId w:val="60"/>
  </w:num>
  <w:num w:numId="54" w16cid:durableId="606234794">
    <w:abstractNumId w:val="100"/>
  </w:num>
  <w:num w:numId="55" w16cid:durableId="66419784">
    <w:abstractNumId w:val="83"/>
  </w:num>
  <w:num w:numId="56" w16cid:durableId="1005209414">
    <w:abstractNumId w:val="104"/>
  </w:num>
  <w:num w:numId="57" w16cid:durableId="60910215">
    <w:abstractNumId w:val="73"/>
  </w:num>
  <w:num w:numId="58" w16cid:durableId="1202087232">
    <w:abstractNumId w:val="79"/>
  </w:num>
  <w:num w:numId="59" w16cid:durableId="623970883">
    <w:abstractNumId w:val="81"/>
  </w:num>
  <w:num w:numId="60" w16cid:durableId="7964072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4968494">
    <w:abstractNumId w:val="108"/>
  </w:num>
  <w:num w:numId="62" w16cid:durableId="337855850">
    <w:abstractNumId w:val="36"/>
  </w:num>
  <w:num w:numId="63" w16cid:durableId="1124690310">
    <w:abstractNumId w:val="39"/>
  </w:num>
  <w:num w:numId="64" w16cid:durableId="149833009">
    <w:abstractNumId w:val="74"/>
  </w:num>
  <w:num w:numId="65" w16cid:durableId="1238400300">
    <w:abstractNumId w:val="47"/>
  </w:num>
  <w:num w:numId="66" w16cid:durableId="1398279657">
    <w:abstractNumId w:val="111"/>
  </w:num>
  <w:num w:numId="67" w16cid:durableId="4209530">
    <w:abstractNumId w:val="99"/>
  </w:num>
  <w:num w:numId="68" w16cid:durableId="1771242348">
    <w:abstractNumId w:val="28"/>
  </w:num>
  <w:num w:numId="69" w16cid:durableId="354893214">
    <w:abstractNumId w:val="23"/>
  </w:num>
  <w:num w:numId="70" w16cid:durableId="1122919733">
    <w:abstractNumId w:val="85"/>
  </w:num>
  <w:num w:numId="71" w16cid:durableId="428890754">
    <w:abstractNumId w:val="89"/>
  </w:num>
  <w:num w:numId="72" w16cid:durableId="201752280">
    <w:abstractNumId w:val="32"/>
  </w:num>
  <w:num w:numId="73" w16cid:durableId="1035349810">
    <w:abstractNumId w:val="102"/>
  </w:num>
  <w:num w:numId="74" w16cid:durableId="1100221598">
    <w:abstractNumId w:val="30"/>
  </w:num>
  <w:num w:numId="75" w16cid:durableId="1251937446">
    <w:abstractNumId w:val="29"/>
  </w:num>
  <w:num w:numId="76" w16cid:durableId="978220547">
    <w:abstractNumId w:val="41"/>
  </w:num>
  <w:num w:numId="77" w16cid:durableId="220017223">
    <w:abstractNumId w:val="86"/>
  </w:num>
  <w:num w:numId="78" w16cid:durableId="401832292">
    <w:abstractNumId w:val="13"/>
  </w:num>
  <w:num w:numId="79" w16cid:durableId="1258295936">
    <w:abstractNumId w:val="61"/>
  </w:num>
  <w:num w:numId="80" w16cid:durableId="1918132157">
    <w:abstractNumId w:val="14"/>
  </w:num>
  <w:num w:numId="81" w16cid:durableId="2069062470">
    <w:abstractNumId w:val="26"/>
  </w:num>
  <w:num w:numId="82" w16cid:durableId="284428926">
    <w:abstractNumId w:val="9"/>
  </w:num>
  <w:num w:numId="83" w16cid:durableId="9841509">
    <w:abstractNumId w:val="11"/>
  </w:num>
  <w:num w:numId="84" w16cid:durableId="1691225981">
    <w:abstractNumId w:val="48"/>
  </w:num>
  <w:num w:numId="85" w16cid:durableId="1002704825">
    <w:abstractNumId w:val="49"/>
  </w:num>
  <w:num w:numId="86" w16cid:durableId="1021051010">
    <w:abstractNumId w:val="92"/>
  </w:num>
  <w:num w:numId="87" w16cid:durableId="3172258">
    <w:abstractNumId w:val="80"/>
  </w:num>
  <w:num w:numId="88" w16cid:durableId="1987539954">
    <w:abstractNumId w:val="42"/>
  </w:num>
  <w:num w:numId="89" w16cid:durableId="732193973">
    <w:abstractNumId w:val="52"/>
  </w:num>
  <w:num w:numId="90" w16cid:durableId="901986446">
    <w:abstractNumId w:val="114"/>
  </w:num>
  <w:num w:numId="91" w16cid:durableId="1326055875">
    <w:abstractNumId w:val="70"/>
  </w:num>
  <w:num w:numId="92" w16cid:durableId="833885563">
    <w:abstractNumId w:val="78"/>
  </w:num>
  <w:num w:numId="93" w16cid:durableId="2047875750">
    <w:abstractNumId w:val="109"/>
  </w:num>
  <w:num w:numId="94" w16cid:durableId="297536452">
    <w:abstractNumId w:val="38"/>
  </w:num>
  <w:num w:numId="95" w16cid:durableId="432631275">
    <w:abstractNumId w:val="33"/>
  </w:num>
  <w:num w:numId="96" w16cid:durableId="1454055771">
    <w:abstractNumId w:val="115"/>
  </w:num>
  <w:num w:numId="97" w16cid:durableId="1517960247">
    <w:abstractNumId w:val="19"/>
  </w:num>
  <w:num w:numId="98" w16cid:durableId="1504735101">
    <w:abstractNumId w:val="110"/>
  </w:num>
  <w:num w:numId="99" w16cid:durableId="1239093386">
    <w:abstractNumId w:val="65"/>
  </w:num>
  <w:num w:numId="100" w16cid:durableId="598683291">
    <w:abstractNumId w:val="116"/>
  </w:num>
  <w:num w:numId="101" w16cid:durableId="1385760093">
    <w:abstractNumId w:val="8"/>
  </w:num>
  <w:num w:numId="102" w16cid:durableId="567959240">
    <w:abstractNumId w:val="106"/>
  </w:num>
  <w:num w:numId="103" w16cid:durableId="737826922">
    <w:abstractNumId w:val="54"/>
  </w:num>
  <w:num w:numId="104" w16cid:durableId="2029677331">
    <w:abstractNumId w:val="20"/>
  </w:num>
  <w:num w:numId="105" w16cid:durableId="1968269580">
    <w:abstractNumId w:val="119"/>
  </w:num>
  <w:num w:numId="106" w16cid:durableId="1968729921">
    <w:abstractNumId w:val="68"/>
  </w:num>
  <w:num w:numId="107" w16cid:durableId="1762795558">
    <w:abstractNumId w:val="21"/>
  </w:num>
  <w:num w:numId="108" w16cid:durableId="51388115">
    <w:abstractNumId w:val="12"/>
  </w:num>
  <w:num w:numId="109" w16cid:durableId="1769472303">
    <w:abstractNumId w:val="76"/>
  </w:num>
  <w:num w:numId="110" w16cid:durableId="661279008">
    <w:abstractNumId w:val="98"/>
  </w:num>
  <w:num w:numId="111" w16cid:durableId="30039279">
    <w:abstractNumId w:val="24"/>
  </w:num>
  <w:num w:numId="112" w16cid:durableId="270016642">
    <w:abstractNumId w:val="51"/>
  </w:num>
  <w:num w:numId="113" w16cid:durableId="100689522">
    <w:abstractNumId w:val="118"/>
  </w:num>
  <w:num w:numId="114" w16cid:durableId="316810263">
    <w:abstractNumId w:val="101"/>
  </w:num>
  <w:num w:numId="115" w16cid:durableId="1919971837">
    <w:abstractNumId w:val="44"/>
  </w:num>
  <w:num w:numId="116" w16cid:durableId="1623612953">
    <w:abstractNumId w:val="82"/>
  </w:num>
  <w:num w:numId="117" w16cid:durableId="653921404">
    <w:abstractNumId w:val="97"/>
  </w:num>
  <w:num w:numId="118" w16cid:durableId="1621957904">
    <w:abstractNumId w:val="96"/>
  </w:num>
  <w:num w:numId="119" w16cid:durableId="1662274815">
    <w:abstractNumId w:val="95"/>
    <w:lvlOverride w:ilvl="0">
      <w:startOverride w:val="1"/>
    </w:lvlOverride>
    <w:lvlOverride w:ilvl="1"/>
    <w:lvlOverride w:ilvl="2"/>
    <w:lvlOverride w:ilvl="3"/>
    <w:lvlOverride w:ilvl="4"/>
    <w:lvlOverride w:ilvl="5"/>
    <w:lvlOverride w:ilvl="6"/>
    <w:lvlOverride w:ilvl="7"/>
    <w:lvlOverride w:ilvl="8"/>
  </w:num>
  <w:num w:numId="120" w16cid:durableId="1225070081">
    <w:abstractNumId w:val="22"/>
  </w:num>
  <w:num w:numId="121" w16cid:durableId="1380396230">
    <w:abstractNumId w:val="75"/>
  </w:num>
  <w:num w:numId="122" w16cid:durableId="1076248675">
    <w:abstractNumId w:val="84"/>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396"/>
  <w:defaultTableStyle w:val="bodytext"/>
  <w:characterSpacingControl w:val="doNotCompress"/>
  <w:savePreviewPicture/>
  <w:hdrShapeDefaults>
    <o:shapedefaults v:ext="edit" spidmax="206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2DA"/>
    <w:rsid w:val="000007C9"/>
    <w:rsid w:val="0000091B"/>
    <w:rsid w:val="00001106"/>
    <w:rsid w:val="00003629"/>
    <w:rsid w:val="000053EC"/>
    <w:rsid w:val="000078F4"/>
    <w:rsid w:val="000100BC"/>
    <w:rsid w:val="000101F1"/>
    <w:rsid w:val="0001059F"/>
    <w:rsid w:val="000116CE"/>
    <w:rsid w:val="0001208A"/>
    <w:rsid w:val="00012A22"/>
    <w:rsid w:val="00013122"/>
    <w:rsid w:val="000139C0"/>
    <w:rsid w:val="0001589B"/>
    <w:rsid w:val="00015B98"/>
    <w:rsid w:val="000164E5"/>
    <w:rsid w:val="00016CC3"/>
    <w:rsid w:val="00016E2A"/>
    <w:rsid w:val="00016E9C"/>
    <w:rsid w:val="00017CE4"/>
    <w:rsid w:val="00020E03"/>
    <w:rsid w:val="00023025"/>
    <w:rsid w:val="00023842"/>
    <w:rsid w:val="00024C22"/>
    <w:rsid w:val="0002512C"/>
    <w:rsid w:val="000255FA"/>
    <w:rsid w:val="00025F4C"/>
    <w:rsid w:val="0002619A"/>
    <w:rsid w:val="000266F0"/>
    <w:rsid w:val="00027C0F"/>
    <w:rsid w:val="00027DD5"/>
    <w:rsid w:val="00030358"/>
    <w:rsid w:val="000311F2"/>
    <w:rsid w:val="0003239E"/>
    <w:rsid w:val="00032E1C"/>
    <w:rsid w:val="00033BE0"/>
    <w:rsid w:val="00035127"/>
    <w:rsid w:val="00036015"/>
    <w:rsid w:val="00036FF9"/>
    <w:rsid w:val="000379F0"/>
    <w:rsid w:val="00037CE8"/>
    <w:rsid w:val="00037F12"/>
    <w:rsid w:val="00040BF9"/>
    <w:rsid w:val="0004134D"/>
    <w:rsid w:val="00041E3E"/>
    <w:rsid w:val="00042289"/>
    <w:rsid w:val="00042B1F"/>
    <w:rsid w:val="00044954"/>
    <w:rsid w:val="00045968"/>
    <w:rsid w:val="00045B5C"/>
    <w:rsid w:val="00050C5A"/>
    <w:rsid w:val="00050FAA"/>
    <w:rsid w:val="000525D6"/>
    <w:rsid w:val="000533C6"/>
    <w:rsid w:val="00053486"/>
    <w:rsid w:val="00053688"/>
    <w:rsid w:val="000549B0"/>
    <w:rsid w:val="000569BE"/>
    <w:rsid w:val="00056D14"/>
    <w:rsid w:val="0005757F"/>
    <w:rsid w:val="000576EF"/>
    <w:rsid w:val="00057C9B"/>
    <w:rsid w:val="00057E17"/>
    <w:rsid w:val="00062E79"/>
    <w:rsid w:val="00063343"/>
    <w:rsid w:val="0006359E"/>
    <w:rsid w:val="00063A48"/>
    <w:rsid w:val="00063F7C"/>
    <w:rsid w:val="00063F8E"/>
    <w:rsid w:val="00064833"/>
    <w:rsid w:val="00064E5D"/>
    <w:rsid w:val="000664FF"/>
    <w:rsid w:val="00066ECF"/>
    <w:rsid w:val="00070F23"/>
    <w:rsid w:val="00071820"/>
    <w:rsid w:val="0007404E"/>
    <w:rsid w:val="00075DA7"/>
    <w:rsid w:val="00076D9B"/>
    <w:rsid w:val="0007726B"/>
    <w:rsid w:val="00081DE2"/>
    <w:rsid w:val="0008206D"/>
    <w:rsid w:val="0008241E"/>
    <w:rsid w:val="000835ED"/>
    <w:rsid w:val="00083BCA"/>
    <w:rsid w:val="00083FD6"/>
    <w:rsid w:val="0008441C"/>
    <w:rsid w:val="0008664C"/>
    <w:rsid w:val="00087380"/>
    <w:rsid w:val="00087D73"/>
    <w:rsid w:val="00090933"/>
    <w:rsid w:val="0009093B"/>
    <w:rsid w:val="000910A9"/>
    <w:rsid w:val="0009387D"/>
    <w:rsid w:val="0009392F"/>
    <w:rsid w:val="00095F85"/>
    <w:rsid w:val="00096600"/>
    <w:rsid w:val="0009751D"/>
    <w:rsid w:val="000A2299"/>
    <w:rsid w:val="000A26C3"/>
    <w:rsid w:val="000A3464"/>
    <w:rsid w:val="000A43A3"/>
    <w:rsid w:val="000A4C03"/>
    <w:rsid w:val="000A4EFE"/>
    <w:rsid w:val="000A51D0"/>
    <w:rsid w:val="000A58EE"/>
    <w:rsid w:val="000A7D8D"/>
    <w:rsid w:val="000A7DA9"/>
    <w:rsid w:val="000B078A"/>
    <w:rsid w:val="000B0BCE"/>
    <w:rsid w:val="000B1D25"/>
    <w:rsid w:val="000B20A2"/>
    <w:rsid w:val="000B25F9"/>
    <w:rsid w:val="000B2A9B"/>
    <w:rsid w:val="000B2FE5"/>
    <w:rsid w:val="000B3D25"/>
    <w:rsid w:val="000B5986"/>
    <w:rsid w:val="000B6AB9"/>
    <w:rsid w:val="000B6C6E"/>
    <w:rsid w:val="000C0CDB"/>
    <w:rsid w:val="000C0E5E"/>
    <w:rsid w:val="000C10FC"/>
    <w:rsid w:val="000C27C6"/>
    <w:rsid w:val="000C317A"/>
    <w:rsid w:val="000C356E"/>
    <w:rsid w:val="000C3669"/>
    <w:rsid w:val="000C3B25"/>
    <w:rsid w:val="000C4448"/>
    <w:rsid w:val="000C59B5"/>
    <w:rsid w:val="000C5C00"/>
    <w:rsid w:val="000C614A"/>
    <w:rsid w:val="000C66F7"/>
    <w:rsid w:val="000C6812"/>
    <w:rsid w:val="000C7C3E"/>
    <w:rsid w:val="000D02D4"/>
    <w:rsid w:val="000D27BE"/>
    <w:rsid w:val="000D2E0C"/>
    <w:rsid w:val="000D2F48"/>
    <w:rsid w:val="000D3F46"/>
    <w:rsid w:val="000D47F3"/>
    <w:rsid w:val="000D67C8"/>
    <w:rsid w:val="000D68D0"/>
    <w:rsid w:val="000D718F"/>
    <w:rsid w:val="000D7365"/>
    <w:rsid w:val="000E13B6"/>
    <w:rsid w:val="000E26BF"/>
    <w:rsid w:val="000E2E26"/>
    <w:rsid w:val="000E3D9B"/>
    <w:rsid w:val="000E43F8"/>
    <w:rsid w:val="000E5D02"/>
    <w:rsid w:val="000E5E06"/>
    <w:rsid w:val="000E61A0"/>
    <w:rsid w:val="000E6EBE"/>
    <w:rsid w:val="000E710D"/>
    <w:rsid w:val="000E7FF3"/>
    <w:rsid w:val="000F16E0"/>
    <w:rsid w:val="000F3292"/>
    <w:rsid w:val="000F32A0"/>
    <w:rsid w:val="000F32B7"/>
    <w:rsid w:val="000F5163"/>
    <w:rsid w:val="000F582E"/>
    <w:rsid w:val="000F6745"/>
    <w:rsid w:val="001002FC"/>
    <w:rsid w:val="00101104"/>
    <w:rsid w:val="00101A9F"/>
    <w:rsid w:val="00102F14"/>
    <w:rsid w:val="00103BED"/>
    <w:rsid w:val="00104B97"/>
    <w:rsid w:val="0010505A"/>
    <w:rsid w:val="00105D93"/>
    <w:rsid w:val="001060A4"/>
    <w:rsid w:val="0010754F"/>
    <w:rsid w:val="00107EB4"/>
    <w:rsid w:val="0011063B"/>
    <w:rsid w:val="00112111"/>
    <w:rsid w:val="0011330B"/>
    <w:rsid w:val="0011345A"/>
    <w:rsid w:val="00114370"/>
    <w:rsid w:val="001146D9"/>
    <w:rsid w:val="001148AB"/>
    <w:rsid w:val="00120CDD"/>
    <w:rsid w:val="00121705"/>
    <w:rsid w:val="001222AA"/>
    <w:rsid w:val="00124708"/>
    <w:rsid w:val="001257E7"/>
    <w:rsid w:val="00125A6D"/>
    <w:rsid w:val="00125C87"/>
    <w:rsid w:val="00126BA3"/>
    <w:rsid w:val="00127527"/>
    <w:rsid w:val="00130CC2"/>
    <w:rsid w:val="00131665"/>
    <w:rsid w:val="00131E0E"/>
    <w:rsid w:val="0013259C"/>
    <w:rsid w:val="001337D6"/>
    <w:rsid w:val="00135952"/>
    <w:rsid w:val="00135D3F"/>
    <w:rsid w:val="00135D70"/>
    <w:rsid w:val="00137C19"/>
    <w:rsid w:val="0014063E"/>
    <w:rsid w:val="001406CB"/>
    <w:rsid w:val="00140F2F"/>
    <w:rsid w:val="0014120C"/>
    <w:rsid w:val="001415B4"/>
    <w:rsid w:val="00142E74"/>
    <w:rsid w:val="001432A5"/>
    <w:rsid w:val="00143368"/>
    <w:rsid w:val="00143444"/>
    <w:rsid w:val="00144ABF"/>
    <w:rsid w:val="0014568C"/>
    <w:rsid w:val="00145FC8"/>
    <w:rsid w:val="0014775B"/>
    <w:rsid w:val="001503DF"/>
    <w:rsid w:val="00150754"/>
    <w:rsid w:val="00151F01"/>
    <w:rsid w:val="00151F0B"/>
    <w:rsid w:val="001520A2"/>
    <w:rsid w:val="001528C3"/>
    <w:rsid w:val="001542F7"/>
    <w:rsid w:val="00156211"/>
    <w:rsid w:val="00156694"/>
    <w:rsid w:val="00156BBB"/>
    <w:rsid w:val="00157069"/>
    <w:rsid w:val="00160146"/>
    <w:rsid w:val="0016044A"/>
    <w:rsid w:val="00161192"/>
    <w:rsid w:val="00161769"/>
    <w:rsid w:val="00161BF9"/>
    <w:rsid w:val="0016386A"/>
    <w:rsid w:val="00165213"/>
    <w:rsid w:val="00165D80"/>
    <w:rsid w:val="001670E7"/>
    <w:rsid w:val="00167A70"/>
    <w:rsid w:val="001709F6"/>
    <w:rsid w:val="00170E12"/>
    <w:rsid w:val="00172A14"/>
    <w:rsid w:val="00173134"/>
    <w:rsid w:val="001737FB"/>
    <w:rsid w:val="00174274"/>
    <w:rsid w:val="00174908"/>
    <w:rsid w:val="001760C0"/>
    <w:rsid w:val="00176335"/>
    <w:rsid w:val="0017695D"/>
    <w:rsid w:val="0017725E"/>
    <w:rsid w:val="00180651"/>
    <w:rsid w:val="001808C5"/>
    <w:rsid w:val="00180B38"/>
    <w:rsid w:val="0018150C"/>
    <w:rsid w:val="0018193F"/>
    <w:rsid w:val="001822D9"/>
    <w:rsid w:val="00183B11"/>
    <w:rsid w:val="0018421B"/>
    <w:rsid w:val="00184391"/>
    <w:rsid w:val="0018495D"/>
    <w:rsid w:val="0018607F"/>
    <w:rsid w:val="0018654A"/>
    <w:rsid w:val="00187305"/>
    <w:rsid w:val="0019080D"/>
    <w:rsid w:val="0019172C"/>
    <w:rsid w:val="00191AD6"/>
    <w:rsid w:val="00192711"/>
    <w:rsid w:val="0019454F"/>
    <w:rsid w:val="001949BF"/>
    <w:rsid w:val="00195359"/>
    <w:rsid w:val="00195F91"/>
    <w:rsid w:val="00196058"/>
    <w:rsid w:val="00197070"/>
    <w:rsid w:val="00197142"/>
    <w:rsid w:val="00197BC2"/>
    <w:rsid w:val="001A1368"/>
    <w:rsid w:val="001A2431"/>
    <w:rsid w:val="001A2695"/>
    <w:rsid w:val="001A4582"/>
    <w:rsid w:val="001A496E"/>
    <w:rsid w:val="001A54E6"/>
    <w:rsid w:val="001A68F3"/>
    <w:rsid w:val="001A6F5F"/>
    <w:rsid w:val="001A75CA"/>
    <w:rsid w:val="001B035F"/>
    <w:rsid w:val="001B039D"/>
    <w:rsid w:val="001B1249"/>
    <w:rsid w:val="001B219B"/>
    <w:rsid w:val="001B2ACD"/>
    <w:rsid w:val="001B496A"/>
    <w:rsid w:val="001B662A"/>
    <w:rsid w:val="001C233E"/>
    <w:rsid w:val="001C2725"/>
    <w:rsid w:val="001C2EBD"/>
    <w:rsid w:val="001C49FD"/>
    <w:rsid w:val="001C57BC"/>
    <w:rsid w:val="001C652D"/>
    <w:rsid w:val="001C6F0A"/>
    <w:rsid w:val="001C7307"/>
    <w:rsid w:val="001C765E"/>
    <w:rsid w:val="001D2AC1"/>
    <w:rsid w:val="001D5AD5"/>
    <w:rsid w:val="001D6DF1"/>
    <w:rsid w:val="001D77BE"/>
    <w:rsid w:val="001E0A0F"/>
    <w:rsid w:val="001E4FE6"/>
    <w:rsid w:val="001F0900"/>
    <w:rsid w:val="001F1524"/>
    <w:rsid w:val="001F16DE"/>
    <w:rsid w:val="001F1863"/>
    <w:rsid w:val="001F252F"/>
    <w:rsid w:val="001F278E"/>
    <w:rsid w:val="001F2E70"/>
    <w:rsid w:val="001F346A"/>
    <w:rsid w:val="001F4627"/>
    <w:rsid w:val="001F5C65"/>
    <w:rsid w:val="001F63AB"/>
    <w:rsid w:val="001F755E"/>
    <w:rsid w:val="00200041"/>
    <w:rsid w:val="00200A91"/>
    <w:rsid w:val="00200F5C"/>
    <w:rsid w:val="0020143F"/>
    <w:rsid w:val="002040C2"/>
    <w:rsid w:val="00204E6D"/>
    <w:rsid w:val="0020581E"/>
    <w:rsid w:val="002058DA"/>
    <w:rsid w:val="00210A98"/>
    <w:rsid w:val="002110AB"/>
    <w:rsid w:val="00211384"/>
    <w:rsid w:val="00211522"/>
    <w:rsid w:val="00211647"/>
    <w:rsid w:val="00213A2E"/>
    <w:rsid w:val="002143C6"/>
    <w:rsid w:val="002158EA"/>
    <w:rsid w:val="00215F56"/>
    <w:rsid w:val="00216383"/>
    <w:rsid w:val="00217095"/>
    <w:rsid w:val="00220D8E"/>
    <w:rsid w:val="002228C5"/>
    <w:rsid w:val="00222A0C"/>
    <w:rsid w:val="00222EA0"/>
    <w:rsid w:val="002245FA"/>
    <w:rsid w:val="0022466E"/>
    <w:rsid w:val="00225876"/>
    <w:rsid w:val="00225EFC"/>
    <w:rsid w:val="00226163"/>
    <w:rsid w:val="00226CE6"/>
    <w:rsid w:val="002278A7"/>
    <w:rsid w:val="002310E7"/>
    <w:rsid w:val="0023113A"/>
    <w:rsid w:val="00231A91"/>
    <w:rsid w:val="00231BCE"/>
    <w:rsid w:val="002328C6"/>
    <w:rsid w:val="002329E2"/>
    <w:rsid w:val="00232B93"/>
    <w:rsid w:val="0023304E"/>
    <w:rsid w:val="00234C2A"/>
    <w:rsid w:val="0023783F"/>
    <w:rsid w:val="002423E0"/>
    <w:rsid w:val="00242F85"/>
    <w:rsid w:val="00243BEF"/>
    <w:rsid w:val="00244480"/>
    <w:rsid w:val="00244CAC"/>
    <w:rsid w:val="00245316"/>
    <w:rsid w:val="002457A3"/>
    <w:rsid w:val="00246DF5"/>
    <w:rsid w:val="00247BB5"/>
    <w:rsid w:val="00247E8D"/>
    <w:rsid w:val="002502EC"/>
    <w:rsid w:val="0025074A"/>
    <w:rsid w:val="00250A7B"/>
    <w:rsid w:val="0025214B"/>
    <w:rsid w:val="002532B8"/>
    <w:rsid w:val="00253578"/>
    <w:rsid w:val="002539F5"/>
    <w:rsid w:val="00254C9A"/>
    <w:rsid w:val="00255BBA"/>
    <w:rsid w:val="00256551"/>
    <w:rsid w:val="002568E8"/>
    <w:rsid w:val="00257700"/>
    <w:rsid w:val="00257703"/>
    <w:rsid w:val="00257924"/>
    <w:rsid w:val="0026051D"/>
    <w:rsid w:val="00261A47"/>
    <w:rsid w:val="00261E8A"/>
    <w:rsid w:val="00262046"/>
    <w:rsid w:val="0026222B"/>
    <w:rsid w:val="00262D1F"/>
    <w:rsid w:val="00263C2A"/>
    <w:rsid w:val="00263E63"/>
    <w:rsid w:val="00264166"/>
    <w:rsid w:val="00264946"/>
    <w:rsid w:val="00266036"/>
    <w:rsid w:val="00270409"/>
    <w:rsid w:val="00270E58"/>
    <w:rsid w:val="00270E84"/>
    <w:rsid w:val="002727AC"/>
    <w:rsid w:val="00272842"/>
    <w:rsid w:val="00272975"/>
    <w:rsid w:val="0027479E"/>
    <w:rsid w:val="00275718"/>
    <w:rsid w:val="00275750"/>
    <w:rsid w:val="00275E00"/>
    <w:rsid w:val="002768EB"/>
    <w:rsid w:val="00283B16"/>
    <w:rsid w:val="00283F1A"/>
    <w:rsid w:val="00284D9C"/>
    <w:rsid w:val="00285C50"/>
    <w:rsid w:val="00285D3B"/>
    <w:rsid w:val="00285FC5"/>
    <w:rsid w:val="00286827"/>
    <w:rsid w:val="00286E98"/>
    <w:rsid w:val="00292295"/>
    <w:rsid w:val="00292396"/>
    <w:rsid w:val="00293081"/>
    <w:rsid w:val="002938E7"/>
    <w:rsid w:val="00295A1B"/>
    <w:rsid w:val="00295D39"/>
    <w:rsid w:val="002968B7"/>
    <w:rsid w:val="00297AE9"/>
    <w:rsid w:val="002A066A"/>
    <w:rsid w:val="002A18EB"/>
    <w:rsid w:val="002A2A32"/>
    <w:rsid w:val="002A2D71"/>
    <w:rsid w:val="002A3658"/>
    <w:rsid w:val="002A4956"/>
    <w:rsid w:val="002A4AC5"/>
    <w:rsid w:val="002A5D16"/>
    <w:rsid w:val="002A727F"/>
    <w:rsid w:val="002A7B82"/>
    <w:rsid w:val="002B0612"/>
    <w:rsid w:val="002B1093"/>
    <w:rsid w:val="002B3352"/>
    <w:rsid w:val="002B586E"/>
    <w:rsid w:val="002B5FE6"/>
    <w:rsid w:val="002B693D"/>
    <w:rsid w:val="002B6E4E"/>
    <w:rsid w:val="002B7712"/>
    <w:rsid w:val="002B7E54"/>
    <w:rsid w:val="002C0707"/>
    <w:rsid w:val="002C1207"/>
    <w:rsid w:val="002C168A"/>
    <w:rsid w:val="002C2665"/>
    <w:rsid w:val="002C3644"/>
    <w:rsid w:val="002C36BB"/>
    <w:rsid w:val="002C45E3"/>
    <w:rsid w:val="002C4736"/>
    <w:rsid w:val="002C47F7"/>
    <w:rsid w:val="002C4C82"/>
    <w:rsid w:val="002C4F4E"/>
    <w:rsid w:val="002C4FEC"/>
    <w:rsid w:val="002C5892"/>
    <w:rsid w:val="002C58EE"/>
    <w:rsid w:val="002C5975"/>
    <w:rsid w:val="002C6BF9"/>
    <w:rsid w:val="002D00F0"/>
    <w:rsid w:val="002D062B"/>
    <w:rsid w:val="002D0A01"/>
    <w:rsid w:val="002D15BA"/>
    <w:rsid w:val="002D213F"/>
    <w:rsid w:val="002D4335"/>
    <w:rsid w:val="002D4E1D"/>
    <w:rsid w:val="002D5581"/>
    <w:rsid w:val="002D57EC"/>
    <w:rsid w:val="002D69DF"/>
    <w:rsid w:val="002D7E3F"/>
    <w:rsid w:val="002D7F11"/>
    <w:rsid w:val="002E0CA1"/>
    <w:rsid w:val="002E2E8D"/>
    <w:rsid w:val="002E2ECF"/>
    <w:rsid w:val="002E3197"/>
    <w:rsid w:val="002E345E"/>
    <w:rsid w:val="002E48BB"/>
    <w:rsid w:val="002E4FA2"/>
    <w:rsid w:val="002E5AB0"/>
    <w:rsid w:val="002E655B"/>
    <w:rsid w:val="002E684B"/>
    <w:rsid w:val="002E6BBB"/>
    <w:rsid w:val="002E76CB"/>
    <w:rsid w:val="002F0114"/>
    <w:rsid w:val="002F12BD"/>
    <w:rsid w:val="002F271E"/>
    <w:rsid w:val="002F5F8B"/>
    <w:rsid w:val="002F6971"/>
    <w:rsid w:val="002F7446"/>
    <w:rsid w:val="002F7589"/>
    <w:rsid w:val="00300445"/>
    <w:rsid w:val="00301961"/>
    <w:rsid w:val="00301E7B"/>
    <w:rsid w:val="00303644"/>
    <w:rsid w:val="003045C9"/>
    <w:rsid w:val="003051BC"/>
    <w:rsid w:val="00306C27"/>
    <w:rsid w:val="003076F9"/>
    <w:rsid w:val="00310719"/>
    <w:rsid w:val="003107F5"/>
    <w:rsid w:val="00312284"/>
    <w:rsid w:val="00312913"/>
    <w:rsid w:val="00312CB0"/>
    <w:rsid w:val="0031418A"/>
    <w:rsid w:val="003147AD"/>
    <w:rsid w:val="003164F7"/>
    <w:rsid w:val="0032056F"/>
    <w:rsid w:val="00320CD9"/>
    <w:rsid w:val="00321139"/>
    <w:rsid w:val="00321864"/>
    <w:rsid w:val="00321A84"/>
    <w:rsid w:val="00321F71"/>
    <w:rsid w:val="0032299C"/>
    <w:rsid w:val="00322B62"/>
    <w:rsid w:val="00322D9F"/>
    <w:rsid w:val="00323376"/>
    <w:rsid w:val="003233A5"/>
    <w:rsid w:val="00325407"/>
    <w:rsid w:val="003260D5"/>
    <w:rsid w:val="00326B7C"/>
    <w:rsid w:val="0033067E"/>
    <w:rsid w:val="00333FEF"/>
    <w:rsid w:val="00336549"/>
    <w:rsid w:val="00337785"/>
    <w:rsid w:val="00337E46"/>
    <w:rsid w:val="00340995"/>
    <w:rsid w:val="00341582"/>
    <w:rsid w:val="00343BAC"/>
    <w:rsid w:val="003440F0"/>
    <w:rsid w:val="0034456A"/>
    <w:rsid w:val="00344622"/>
    <w:rsid w:val="00345161"/>
    <w:rsid w:val="00346412"/>
    <w:rsid w:val="00347327"/>
    <w:rsid w:val="00347812"/>
    <w:rsid w:val="003509DA"/>
    <w:rsid w:val="00351D18"/>
    <w:rsid w:val="00352AA2"/>
    <w:rsid w:val="00352DFA"/>
    <w:rsid w:val="003537DB"/>
    <w:rsid w:val="00354145"/>
    <w:rsid w:val="00354ADB"/>
    <w:rsid w:val="0035598F"/>
    <w:rsid w:val="0035661B"/>
    <w:rsid w:val="00356C0E"/>
    <w:rsid w:val="00360898"/>
    <w:rsid w:val="00360DA0"/>
    <w:rsid w:val="0036128D"/>
    <w:rsid w:val="0036279F"/>
    <w:rsid w:val="003627BD"/>
    <w:rsid w:val="00362E70"/>
    <w:rsid w:val="003653A4"/>
    <w:rsid w:val="00365B8F"/>
    <w:rsid w:val="00365BFC"/>
    <w:rsid w:val="00366CB9"/>
    <w:rsid w:val="00366F80"/>
    <w:rsid w:val="0036722C"/>
    <w:rsid w:val="003679A8"/>
    <w:rsid w:val="0037043D"/>
    <w:rsid w:val="00370E7D"/>
    <w:rsid w:val="00371CE9"/>
    <w:rsid w:val="0037214D"/>
    <w:rsid w:val="003727D1"/>
    <w:rsid w:val="00373F6E"/>
    <w:rsid w:val="003748B9"/>
    <w:rsid w:val="00374D14"/>
    <w:rsid w:val="00374E5C"/>
    <w:rsid w:val="0037653D"/>
    <w:rsid w:val="00376629"/>
    <w:rsid w:val="00376B93"/>
    <w:rsid w:val="0037726C"/>
    <w:rsid w:val="00377F20"/>
    <w:rsid w:val="00380869"/>
    <w:rsid w:val="00381845"/>
    <w:rsid w:val="00382044"/>
    <w:rsid w:val="0038230D"/>
    <w:rsid w:val="00383743"/>
    <w:rsid w:val="00384E18"/>
    <w:rsid w:val="00385715"/>
    <w:rsid w:val="0038793E"/>
    <w:rsid w:val="003904B3"/>
    <w:rsid w:val="00391683"/>
    <w:rsid w:val="003925EE"/>
    <w:rsid w:val="003937F5"/>
    <w:rsid w:val="00393A52"/>
    <w:rsid w:val="003942D7"/>
    <w:rsid w:val="00394372"/>
    <w:rsid w:val="003946BF"/>
    <w:rsid w:val="003951C9"/>
    <w:rsid w:val="00395D01"/>
    <w:rsid w:val="00395D0B"/>
    <w:rsid w:val="003964C0"/>
    <w:rsid w:val="00396D75"/>
    <w:rsid w:val="003A0383"/>
    <w:rsid w:val="003A06EA"/>
    <w:rsid w:val="003A0718"/>
    <w:rsid w:val="003A0862"/>
    <w:rsid w:val="003A0AF0"/>
    <w:rsid w:val="003A1B68"/>
    <w:rsid w:val="003A2375"/>
    <w:rsid w:val="003A2FF0"/>
    <w:rsid w:val="003A4E2A"/>
    <w:rsid w:val="003A6017"/>
    <w:rsid w:val="003A755B"/>
    <w:rsid w:val="003B0872"/>
    <w:rsid w:val="003B0D50"/>
    <w:rsid w:val="003B165C"/>
    <w:rsid w:val="003B2B3B"/>
    <w:rsid w:val="003B3075"/>
    <w:rsid w:val="003B31CD"/>
    <w:rsid w:val="003B3422"/>
    <w:rsid w:val="003B3F69"/>
    <w:rsid w:val="003B5766"/>
    <w:rsid w:val="003B607E"/>
    <w:rsid w:val="003B6311"/>
    <w:rsid w:val="003B6634"/>
    <w:rsid w:val="003B66D7"/>
    <w:rsid w:val="003B6A1E"/>
    <w:rsid w:val="003B7637"/>
    <w:rsid w:val="003C0590"/>
    <w:rsid w:val="003C1451"/>
    <w:rsid w:val="003C17F8"/>
    <w:rsid w:val="003C2288"/>
    <w:rsid w:val="003C2C2A"/>
    <w:rsid w:val="003C3803"/>
    <w:rsid w:val="003C3918"/>
    <w:rsid w:val="003C3BE0"/>
    <w:rsid w:val="003C3CAB"/>
    <w:rsid w:val="003C42F1"/>
    <w:rsid w:val="003C5B50"/>
    <w:rsid w:val="003C7D33"/>
    <w:rsid w:val="003C7F88"/>
    <w:rsid w:val="003D0769"/>
    <w:rsid w:val="003D09E9"/>
    <w:rsid w:val="003D1919"/>
    <w:rsid w:val="003D210F"/>
    <w:rsid w:val="003D2404"/>
    <w:rsid w:val="003D3575"/>
    <w:rsid w:val="003D3F8F"/>
    <w:rsid w:val="003D4238"/>
    <w:rsid w:val="003D50D0"/>
    <w:rsid w:val="003D593A"/>
    <w:rsid w:val="003D64D4"/>
    <w:rsid w:val="003D6668"/>
    <w:rsid w:val="003D702A"/>
    <w:rsid w:val="003E054F"/>
    <w:rsid w:val="003E1282"/>
    <w:rsid w:val="003E1417"/>
    <w:rsid w:val="003E1724"/>
    <w:rsid w:val="003E18E9"/>
    <w:rsid w:val="003E1FD7"/>
    <w:rsid w:val="003E2BC8"/>
    <w:rsid w:val="003E3A92"/>
    <w:rsid w:val="003E42CD"/>
    <w:rsid w:val="003E44FF"/>
    <w:rsid w:val="003E47F7"/>
    <w:rsid w:val="003E5A6F"/>
    <w:rsid w:val="003E6F65"/>
    <w:rsid w:val="003E71AC"/>
    <w:rsid w:val="003F1725"/>
    <w:rsid w:val="003F2481"/>
    <w:rsid w:val="003F27F5"/>
    <w:rsid w:val="003F311E"/>
    <w:rsid w:val="003F4066"/>
    <w:rsid w:val="003F423E"/>
    <w:rsid w:val="003F4733"/>
    <w:rsid w:val="003F4A6D"/>
    <w:rsid w:val="003F5400"/>
    <w:rsid w:val="003F5EA3"/>
    <w:rsid w:val="003F7226"/>
    <w:rsid w:val="003F7293"/>
    <w:rsid w:val="003F7A59"/>
    <w:rsid w:val="00400311"/>
    <w:rsid w:val="00401980"/>
    <w:rsid w:val="00402819"/>
    <w:rsid w:val="00403050"/>
    <w:rsid w:val="00404420"/>
    <w:rsid w:val="004046BE"/>
    <w:rsid w:val="0040477D"/>
    <w:rsid w:val="004101E8"/>
    <w:rsid w:val="004131E6"/>
    <w:rsid w:val="004134DD"/>
    <w:rsid w:val="00413C1A"/>
    <w:rsid w:val="00414DE2"/>
    <w:rsid w:val="004157F1"/>
    <w:rsid w:val="00415F38"/>
    <w:rsid w:val="004166A1"/>
    <w:rsid w:val="00416B58"/>
    <w:rsid w:val="00416D0D"/>
    <w:rsid w:val="00416FCE"/>
    <w:rsid w:val="00417673"/>
    <w:rsid w:val="004179BD"/>
    <w:rsid w:val="00421D5C"/>
    <w:rsid w:val="004233CE"/>
    <w:rsid w:val="00423E88"/>
    <w:rsid w:val="0043001A"/>
    <w:rsid w:val="004314F8"/>
    <w:rsid w:val="0043168F"/>
    <w:rsid w:val="0043239D"/>
    <w:rsid w:val="00432992"/>
    <w:rsid w:val="00433E80"/>
    <w:rsid w:val="004362FD"/>
    <w:rsid w:val="0043675B"/>
    <w:rsid w:val="0043682E"/>
    <w:rsid w:val="00441EDA"/>
    <w:rsid w:val="004440B2"/>
    <w:rsid w:val="00447A84"/>
    <w:rsid w:val="00450110"/>
    <w:rsid w:val="004507EB"/>
    <w:rsid w:val="00450F28"/>
    <w:rsid w:val="004524CE"/>
    <w:rsid w:val="004525BA"/>
    <w:rsid w:val="004528F3"/>
    <w:rsid w:val="00452ADB"/>
    <w:rsid w:val="00453547"/>
    <w:rsid w:val="0045489F"/>
    <w:rsid w:val="0045521E"/>
    <w:rsid w:val="004552C9"/>
    <w:rsid w:val="0045594A"/>
    <w:rsid w:val="00455C9D"/>
    <w:rsid w:val="00456395"/>
    <w:rsid w:val="00456CC2"/>
    <w:rsid w:val="00457117"/>
    <w:rsid w:val="00461039"/>
    <w:rsid w:val="00461A7C"/>
    <w:rsid w:val="00462136"/>
    <w:rsid w:val="00462F32"/>
    <w:rsid w:val="0046316D"/>
    <w:rsid w:val="00463863"/>
    <w:rsid w:val="0046391E"/>
    <w:rsid w:val="004643E6"/>
    <w:rsid w:val="00464471"/>
    <w:rsid w:val="004657C3"/>
    <w:rsid w:val="00465934"/>
    <w:rsid w:val="004663C1"/>
    <w:rsid w:val="004670B7"/>
    <w:rsid w:val="0046783C"/>
    <w:rsid w:val="00467CD3"/>
    <w:rsid w:val="0047226F"/>
    <w:rsid w:val="0047230D"/>
    <w:rsid w:val="0047352B"/>
    <w:rsid w:val="00473AE7"/>
    <w:rsid w:val="00474271"/>
    <w:rsid w:val="00475A9B"/>
    <w:rsid w:val="004767E8"/>
    <w:rsid w:val="00476A39"/>
    <w:rsid w:val="00477427"/>
    <w:rsid w:val="00477D50"/>
    <w:rsid w:val="00477D72"/>
    <w:rsid w:val="00481271"/>
    <w:rsid w:val="00482049"/>
    <w:rsid w:val="004847C0"/>
    <w:rsid w:val="0048603F"/>
    <w:rsid w:val="00486785"/>
    <w:rsid w:val="0048705B"/>
    <w:rsid w:val="0048736D"/>
    <w:rsid w:val="00487A58"/>
    <w:rsid w:val="00490255"/>
    <w:rsid w:val="00491BA3"/>
    <w:rsid w:val="00491F36"/>
    <w:rsid w:val="0049216A"/>
    <w:rsid w:val="00492694"/>
    <w:rsid w:val="00492854"/>
    <w:rsid w:val="004935BA"/>
    <w:rsid w:val="0049414E"/>
    <w:rsid w:val="00495499"/>
    <w:rsid w:val="004954C0"/>
    <w:rsid w:val="004961A5"/>
    <w:rsid w:val="00496710"/>
    <w:rsid w:val="00496A2A"/>
    <w:rsid w:val="004970C2"/>
    <w:rsid w:val="004A2215"/>
    <w:rsid w:val="004A3440"/>
    <w:rsid w:val="004A40C9"/>
    <w:rsid w:val="004A4B66"/>
    <w:rsid w:val="004A52DD"/>
    <w:rsid w:val="004A72ED"/>
    <w:rsid w:val="004B0350"/>
    <w:rsid w:val="004B0CBE"/>
    <w:rsid w:val="004B0DA0"/>
    <w:rsid w:val="004B2371"/>
    <w:rsid w:val="004B28D8"/>
    <w:rsid w:val="004B36B2"/>
    <w:rsid w:val="004B39FC"/>
    <w:rsid w:val="004B3F63"/>
    <w:rsid w:val="004B4320"/>
    <w:rsid w:val="004B5636"/>
    <w:rsid w:val="004B57B3"/>
    <w:rsid w:val="004B5B9B"/>
    <w:rsid w:val="004B6F61"/>
    <w:rsid w:val="004B7AC4"/>
    <w:rsid w:val="004C2BEE"/>
    <w:rsid w:val="004C3242"/>
    <w:rsid w:val="004C3518"/>
    <w:rsid w:val="004C395E"/>
    <w:rsid w:val="004C4239"/>
    <w:rsid w:val="004C5181"/>
    <w:rsid w:val="004C54D5"/>
    <w:rsid w:val="004C6C72"/>
    <w:rsid w:val="004C704F"/>
    <w:rsid w:val="004C7612"/>
    <w:rsid w:val="004C790A"/>
    <w:rsid w:val="004D0A27"/>
    <w:rsid w:val="004D1375"/>
    <w:rsid w:val="004D1860"/>
    <w:rsid w:val="004D1DDB"/>
    <w:rsid w:val="004D2C2E"/>
    <w:rsid w:val="004D3D7C"/>
    <w:rsid w:val="004D3F1A"/>
    <w:rsid w:val="004D415D"/>
    <w:rsid w:val="004D4C36"/>
    <w:rsid w:val="004D4CD3"/>
    <w:rsid w:val="004D4E63"/>
    <w:rsid w:val="004D5B60"/>
    <w:rsid w:val="004D5CF7"/>
    <w:rsid w:val="004D5D58"/>
    <w:rsid w:val="004D67E5"/>
    <w:rsid w:val="004D69B9"/>
    <w:rsid w:val="004E08B4"/>
    <w:rsid w:val="004E0AD5"/>
    <w:rsid w:val="004E135E"/>
    <w:rsid w:val="004E1D3A"/>
    <w:rsid w:val="004E2863"/>
    <w:rsid w:val="004E28E7"/>
    <w:rsid w:val="004E3576"/>
    <w:rsid w:val="004E3DF8"/>
    <w:rsid w:val="004E4E65"/>
    <w:rsid w:val="004E5553"/>
    <w:rsid w:val="004E5BD4"/>
    <w:rsid w:val="004E5E15"/>
    <w:rsid w:val="004E70B0"/>
    <w:rsid w:val="004F0702"/>
    <w:rsid w:val="004F13C5"/>
    <w:rsid w:val="004F1DB4"/>
    <w:rsid w:val="004F336A"/>
    <w:rsid w:val="004F3EFB"/>
    <w:rsid w:val="004F40C0"/>
    <w:rsid w:val="004F5586"/>
    <w:rsid w:val="004F65A1"/>
    <w:rsid w:val="004F78C8"/>
    <w:rsid w:val="004F7C87"/>
    <w:rsid w:val="005010EF"/>
    <w:rsid w:val="00501591"/>
    <w:rsid w:val="00501FFB"/>
    <w:rsid w:val="00502482"/>
    <w:rsid w:val="00502F50"/>
    <w:rsid w:val="00504174"/>
    <w:rsid w:val="005041B4"/>
    <w:rsid w:val="005041C9"/>
    <w:rsid w:val="0050540B"/>
    <w:rsid w:val="00505790"/>
    <w:rsid w:val="00505F14"/>
    <w:rsid w:val="00506C22"/>
    <w:rsid w:val="00506D1D"/>
    <w:rsid w:val="00507C46"/>
    <w:rsid w:val="005109AC"/>
    <w:rsid w:val="00511360"/>
    <w:rsid w:val="005145D4"/>
    <w:rsid w:val="005211F4"/>
    <w:rsid w:val="00523089"/>
    <w:rsid w:val="005239EA"/>
    <w:rsid w:val="0052551A"/>
    <w:rsid w:val="005307B0"/>
    <w:rsid w:val="00530B16"/>
    <w:rsid w:val="00531254"/>
    <w:rsid w:val="005325EC"/>
    <w:rsid w:val="005328C9"/>
    <w:rsid w:val="00534500"/>
    <w:rsid w:val="00534EC6"/>
    <w:rsid w:val="00535154"/>
    <w:rsid w:val="005409BA"/>
    <w:rsid w:val="00540D54"/>
    <w:rsid w:val="00543FA9"/>
    <w:rsid w:val="005444C8"/>
    <w:rsid w:val="00544DBF"/>
    <w:rsid w:val="00545301"/>
    <w:rsid w:val="00547278"/>
    <w:rsid w:val="00547F57"/>
    <w:rsid w:val="005512EE"/>
    <w:rsid w:val="005521D7"/>
    <w:rsid w:val="0055242E"/>
    <w:rsid w:val="00552850"/>
    <w:rsid w:val="00554E6F"/>
    <w:rsid w:val="00555F91"/>
    <w:rsid w:val="0055659A"/>
    <w:rsid w:val="00556731"/>
    <w:rsid w:val="005569BE"/>
    <w:rsid w:val="00556BA6"/>
    <w:rsid w:val="00557B1B"/>
    <w:rsid w:val="00560026"/>
    <w:rsid w:val="005604C7"/>
    <w:rsid w:val="0056129C"/>
    <w:rsid w:val="00561417"/>
    <w:rsid w:val="005633F5"/>
    <w:rsid w:val="0056389E"/>
    <w:rsid w:val="00563F8D"/>
    <w:rsid w:val="005646E2"/>
    <w:rsid w:val="005656BD"/>
    <w:rsid w:val="00570651"/>
    <w:rsid w:val="00570DDE"/>
    <w:rsid w:val="00572156"/>
    <w:rsid w:val="00572295"/>
    <w:rsid w:val="00572B4D"/>
    <w:rsid w:val="00573217"/>
    <w:rsid w:val="00573743"/>
    <w:rsid w:val="0057391B"/>
    <w:rsid w:val="00573D3B"/>
    <w:rsid w:val="0057405C"/>
    <w:rsid w:val="005744D6"/>
    <w:rsid w:val="00574B50"/>
    <w:rsid w:val="00574D29"/>
    <w:rsid w:val="005761CE"/>
    <w:rsid w:val="0057624C"/>
    <w:rsid w:val="00576A11"/>
    <w:rsid w:val="0057702C"/>
    <w:rsid w:val="005776FC"/>
    <w:rsid w:val="0058111C"/>
    <w:rsid w:val="005826DB"/>
    <w:rsid w:val="005831AA"/>
    <w:rsid w:val="005832D3"/>
    <w:rsid w:val="00583396"/>
    <w:rsid w:val="005833C7"/>
    <w:rsid w:val="00584169"/>
    <w:rsid w:val="005844FC"/>
    <w:rsid w:val="00584F7F"/>
    <w:rsid w:val="005858F6"/>
    <w:rsid w:val="005867CD"/>
    <w:rsid w:val="00586B11"/>
    <w:rsid w:val="0058719C"/>
    <w:rsid w:val="005879AF"/>
    <w:rsid w:val="00587E94"/>
    <w:rsid w:val="00590095"/>
    <w:rsid w:val="005905E4"/>
    <w:rsid w:val="00590739"/>
    <w:rsid w:val="00590954"/>
    <w:rsid w:val="00591C70"/>
    <w:rsid w:val="00592430"/>
    <w:rsid w:val="005931DB"/>
    <w:rsid w:val="00593437"/>
    <w:rsid w:val="005936EB"/>
    <w:rsid w:val="005962FB"/>
    <w:rsid w:val="00596553"/>
    <w:rsid w:val="00596AF3"/>
    <w:rsid w:val="005A0E2E"/>
    <w:rsid w:val="005A1633"/>
    <w:rsid w:val="005A1FE4"/>
    <w:rsid w:val="005A1FEF"/>
    <w:rsid w:val="005A2C3B"/>
    <w:rsid w:val="005A2D43"/>
    <w:rsid w:val="005A3603"/>
    <w:rsid w:val="005A37BD"/>
    <w:rsid w:val="005A453F"/>
    <w:rsid w:val="005A4E48"/>
    <w:rsid w:val="005A6278"/>
    <w:rsid w:val="005A6DD8"/>
    <w:rsid w:val="005A794C"/>
    <w:rsid w:val="005B0C13"/>
    <w:rsid w:val="005B0C22"/>
    <w:rsid w:val="005B0F92"/>
    <w:rsid w:val="005B31E4"/>
    <w:rsid w:val="005B5CA5"/>
    <w:rsid w:val="005B5D9A"/>
    <w:rsid w:val="005B5F33"/>
    <w:rsid w:val="005C1189"/>
    <w:rsid w:val="005C3282"/>
    <w:rsid w:val="005C5693"/>
    <w:rsid w:val="005C56DF"/>
    <w:rsid w:val="005C61EA"/>
    <w:rsid w:val="005C634E"/>
    <w:rsid w:val="005C762C"/>
    <w:rsid w:val="005D0A81"/>
    <w:rsid w:val="005D0D7A"/>
    <w:rsid w:val="005D1051"/>
    <w:rsid w:val="005D2AA4"/>
    <w:rsid w:val="005D2E66"/>
    <w:rsid w:val="005D34A1"/>
    <w:rsid w:val="005D483B"/>
    <w:rsid w:val="005D4993"/>
    <w:rsid w:val="005D4F84"/>
    <w:rsid w:val="005D52AA"/>
    <w:rsid w:val="005D5869"/>
    <w:rsid w:val="005D5A30"/>
    <w:rsid w:val="005D5EF1"/>
    <w:rsid w:val="005D64AB"/>
    <w:rsid w:val="005D6685"/>
    <w:rsid w:val="005D671B"/>
    <w:rsid w:val="005D728A"/>
    <w:rsid w:val="005E0427"/>
    <w:rsid w:val="005E08CC"/>
    <w:rsid w:val="005E0B03"/>
    <w:rsid w:val="005E0BAE"/>
    <w:rsid w:val="005E0EF1"/>
    <w:rsid w:val="005E14FD"/>
    <w:rsid w:val="005E158B"/>
    <w:rsid w:val="005E1983"/>
    <w:rsid w:val="005E1F63"/>
    <w:rsid w:val="005E2F1E"/>
    <w:rsid w:val="005E31D4"/>
    <w:rsid w:val="005E323E"/>
    <w:rsid w:val="005E3A83"/>
    <w:rsid w:val="005E3ADA"/>
    <w:rsid w:val="005E4F91"/>
    <w:rsid w:val="005E530E"/>
    <w:rsid w:val="005E5DA3"/>
    <w:rsid w:val="005E742E"/>
    <w:rsid w:val="005F040B"/>
    <w:rsid w:val="005F09FF"/>
    <w:rsid w:val="005F0F9D"/>
    <w:rsid w:val="005F1D89"/>
    <w:rsid w:val="005F1E4E"/>
    <w:rsid w:val="005F1E6B"/>
    <w:rsid w:val="005F2070"/>
    <w:rsid w:val="005F2346"/>
    <w:rsid w:val="005F3CA1"/>
    <w:rsid w:val="005F5E64"/>
    <w:rsid w:val="005F6A4E"/>
    <w:rsid w:val="00600C84"/>
    <w:rsid w:val="00600F1D"/>
    <w:rsid w:val="00600F55"/>
    <w:rsid w:val="00601056"/>
    <w:rsid w:val="0060419C"/>
    <w:rsid w:val="00604F71"/>
    <w:rsid w:val="00605BF3"/>
    <w:rsid w:val="0060613A"/>
    <w:rsid w:val="00607AEC"/>
    <w:rsid w:val="00611655"/>
    <w:rsid w:val="00611CEB"/>
    <w:rsid w:val="006121F2"/>
    <w:rsid w:val="00612F70"/>
    <w:rsid w:val="00614226"/>
    <w:rsid w:val="00614C44"/>
    <w:rsid w:val="00617090"/>
    <w:rsid w:val="0061712E"/>
    <w:rsid w:val="00617377"/>
    <w:rsid w:val="00617FA9"/>
    <w:rsid w:val="00622A02"/>
    <w:rsid w:val="00622F43"/>
    <w:rsid w:val="00625D93"/>
    <w:rsid w:val="00625DF1"/>
    <w:rsid w:val="00627232"/>
    <w:rsid w:val="0062732F"/>
    <w:rsid w:val="00627888"/>
    <w:rsid w:val="0063047F"/>
    <w:rsid w:val="00630714"/>
    <w:rsid w:val="00631096"/>
    <w:rsid w:val="0063120C"/>
    <w:rsid w:val="0063334A"/>
    <w:rsid w:val="00633A2D"/>
    <w:rsid w:val="006406E0"/>
    <w:rsid w:val="00641EE6"/>
    <w:rsid w:val="00643059"/>
    <w:rsid w:val="006439C9"/>
    <w:rsid w:val="00644677"/>
    <w:rsid w:val="00645440"/>
    <w:rsid w:val="00647426"/>
    <w:rsid w:val="00647EDE"/>
    <w:rsid w:val="00650362"/>
    <w:rsid w:val="006504B4"/>
    <w:rsid w:val="00651514"/>
    <w:rsid w:val="00651B4D"/>
    <w:rsid w:val="00651EE2"/>
    <w:rsid w:val="00651F7C"/>
    <w:rsid w:val="006520E3"/>
    <w:rsid w:val="00653651"/>
    <w:rsid w:val="00653732"/>
    <w:rsid w:val="00654B3A"/>
    <w:rsid w:val="006560A5"/>
    <w:rsid w:val="00656F4B"/>
    <w:rsid w:val="00656FC0"/>
    <w:rsid w:val="006574C6"/>
    <w:rsid w:val="0065761C"/>
    <w:rsid w:val="006579FB"/>
    <w:rsid w:val="00657CF7"/>
    <w:rsid w:val="00660358"/>
    <w:rsid w:val="006616F0"/>
    <w:rsid w:val="006619C5"/>
    <w:rsid w:val="00662018"/>
    <w:rsid w:val="00662302"/>
    <w:rsid w:val="006629DE"/>
    <w:rsid w:val="00663FCC"/>
    <w:rsid w:val="00664319"/>
    <w:rsid w:val="00665085"/>
    <w:rsid w:val="00665EC1"/>
    <w:rsid w:val="006667C8"/>
    <w:rsid w:val="00667DD0"/>
    <w:rsid w:val="00673B42"/>
    <w:rsid w:val="00674ABA"/>
    <w:rsid w:val="00674CB5"/>
    <w:rsid w:val="00674FC6"/>
    <w:rsid w:val="0067518D"/>
    <w:rsid w:val="0067562C"/>
    <w:rsid w:val="0067610B"/>
    <w:rsid w:val="006779E7"/>
    <w:rsid w:val="00677CD0"/>
    <w:rsid w:val="00677F7F"/>
    <w:rsid w:val="00680A11"/>
    <w:rsid w:val="00680BA6"/>
    <w:rsid w:val="00681C17"/>
    <w:rsid w:val="00681C24"/>
    <w:rsid w:val="00683C16"/>
    <w:rsid w:val="00683C64"/>
    <w:rsid w:val="00685D60"/>
    <w:rsid w:val="00686ECF"/>
    <w:rsid w:val="0068730E"/>
    <w:rsid w:val="0068736A"/>
    <w:rsid w:val="00687A96"/>
    <w:rsid w:val="006906B0"/>
    <w:rsid w:val="00690C70"/>
    <w:rsid w:val="0069254D"/>
    <w:rsid w:val="0069391D"/>
    <w:rsid w:val="00693955"/>
    <w:rsid w:val="00693D6B"/>
    <w:rsid w:val="00694830"/>
    <w:rsid w:val="00694EF0"/>
    <w:rsid w:val="00695D7C"/>
    <w:rsid w:val="00696DB6"/>
    <w:rsid w:val="006A0CAC"/>
    <w:rsid w:val="006A13A3"/>
    <w:rsid w:val="006A2A9A"/>
    <w:rsid w:val="006A380B"/>
    <w:rsid w:val="006A3BAA"/>
    <w:rsid w:val="006A54E6"/>
    <w:rsid w:val="006A7848"/>
    <w:rsid w:val="006B01EB"/>
    <w:rsid w:val="006B1FE6"/>
    <w:rsid w:val="006B30B6"/>
    <w:rsid w:val="006B36A9"/>
    <w:rsid w:val="006B37D7"/>
    <w:rsid w:val="006B3928"/>
    <w:rsid w:val="006B3CB7"/>
    <w:rsid w:val="006B48AF"/>
    <w:rsid w:val="006B7F78"/>
    <w:rsid w:val="006C0DD0"/>
    <w:rsid w:val="006C1C95"/>
    <w:rsid w:val="006C2299"/>
    <w:rsid w:val="006C29EA"/>
    <w:rsid w:val="006C3800"/>
    <w:rsid w:val="006C4477"/>
    <w:rsid w:val="006C4915"/>
    <w:rsid w:val="006C5836"/>
    <w:rsid w:val="006C5AB5"/>
    <w:rsid w:val="006C5FDD"/>
    <w:rsid w:val="006C7395"/>
    <w:rsid w:val="006C78E3"/>
    <w:rsid w:val="006C7A94"/>
    <w:rsid w:val="006D01F4"/>
    <w:rsid w:val="006D102C"/>
    <w:rsid w:val="006D2D77"/>
    <w:rsid w:val="006D3A76"/>
    <w:rsid w:val="006D3C1A"/>
    <w:rsid w:val="006D4945"/>
    <w:rsid w:val="006D4C38"/>
    <w:rsid w:val="006D4C64"/>
    <w:rsid w:val="006D51A8"/>
    <w:rsid w:val="006D59C7"/>
    <w:rsid w:val="006E0D66"/>
    <w:rsid w:val="006E1A8F"/>
    <w:rsid w:val="006E1A93"/>
    <w:rsid w:val="006E1E86"/>
    <w:rsid w:val="006E2655"/>
    <w:rsid w:val="006E35E8"/>
    <w:rsid w:val="006E51E2"/>
    <w:rsid w:val="006E5490"/>
    <w:rsid w:val="006E5620"/>
    <w:rsid w:val="006E5A74"/>
    <w:rsid w:val="006E5DEB"/>
    <w:rsid w:val="006E5E18"/>
    <w:rsid w:val="006E6A55"/>
    <w:rsid w:val="006E7296"/>
    <w:rsid w:val="006E7C7D"/>
    <w:rsid w:val="006F0B9F"/>
    <w:rsid w:val="006F0F68"/>
    <w:rsid w:val="006F1F6A"/>
    <w:rsid w:val="006F1F7F"/>
    <w:rsid w:val="006F26FB"/>
    <w:rsid w:val="006F3256"/>
    <w:rsid w:val="006F5FFB"/>
    <w:rsid w:val="006F7526"/>
    <w:rsid w:val="006F7EAF"/>
    <w:rsid w:val="00701A68"/>
    <w:rsid w:val="00701C22"/>
    <w:rsid w:val="0070220B"/>
    <w:rsid w:val="00702985"/>
    <w:rsid w:val="007030C3"/>
    <w:rsid w:val="00703503"/>
    <w:rsid w:val="00703746"/>
    <w:rsid w:val="00703BC8"/>
    <w:rsid w:val="0070402A"/>
    <w:rsid w:val="007045AF"/>
    <w:rsid w:val="007050AA"/>
    <w:rsid w:val="007057A4"/>
    <w:rsid w:val="00707E21"/>
    <w:rsid w:val="00707E9D"/>
    <w:rsid w:val="0071045D"/>
    <w:rsid w:val="00710A94"/>
    <w:rsid w:val="00711240"/>
    <w:rsid w:val="00711BC0"/>
    <w:rsid w:val="00713F35"/>
    <w:rsid w:val="00714668"/>
    <w:rsid w:val="00715654"/>
    <w:rsid w:val="0071768E"/>
    <w:rsid w:val="00717DAD"/>
    <w:rsid w:val="00720623"/>
    <w:rsid w:val="007216A8"/>
    <w:rsid w:val="0072216E"/>
    <w:rsid w:val="0072224F"/>
    <w:rsid w:val="00722A1F"/>
    <w:rsid w:val="007256AA"/>
    <w:rsid w:val="00725EEA"/>
    <w:rsid w:val="007310AB"/>
    <w:rsid w:val="00732AD5"/>
    <w:rsid w:val="00733750"/>
    <w:rsid w:val="00735451"/>
    <w:rsid w:val="0073751F"/>
    <w:rsid w:val="007376BD"/>
    <w:rsid w:val="007404B2"/>
    <w:rsid w:val="0074141C"/>
    <w:rsid w:val="00741E4F"/>
    <w:rsid w:val="007420E4"/>
    <w:rsid w:val="00743A44"/>
    <w:rsid w:val="007443E7"/>
    <w:rsid w:val="00744893"/>
    <w:rsid w:val="00744E0F"/>
    <w:rsid w:val="0074503A"/>
    <w:rsid w:val="007457DB"/>
    <w:rsid w:val="00746BE1"/>
    <w:rsid w:val="00746EA4"/>
    <w:rsid w:val="007478A9"/>
    <w:rsid w:val="00747B33"/>
    <w:rsid w:val="007518F3"/>
    <w:rsid w:val="00753096"/>
    <w:rsid w:val="007531D4"/>
    <w:rsid w:val="007531EA"/>
    <w:rsid w:val="0075330D"/>
    <w:rsid w:val="00754366"/>
    <w:rsid w:val="007550E8"/>
    <w:rsid w:val="00755DC2"/>
    <w:rsid w:val="00755FC6"/>
    <w:rsid w:val="007563A4"/>
    <w:rsid w:val="00756DFC"/>
    <w:rsid w:val="0075720E"/>
    <w:rsid w:val="00757C6E"/>
    <w:rsid w:val="00760DBA"/>
    <w:rsid w:val="0076101B"/>
    <w:rsid w:val="007618DF"/>
    <w:rsid w:val="00763305"/>
    <w:rsid w:val="0076380C"/>
    <w:rsid w:val="00765B18"/>
    <w:rsid w:val="00765DF6"/>
    <w:rsid w:val="00766A0C"/>
    <w:rsid w:val="00767BDD"/>
    <w:rsid w:val="00767C20"/>
    <w:rsid w:val="00767E19"/>
    <w:rsid w:val="0077040F"/>
    <w:rsid w:val="007722B5"/>
    <w:rsid w:val="00775395"/>
    <w:rsid w:val="00775862"/>
    <w:rsid w:val="00776F56"/>
    <w:rsid w:val="0077744F"/>
    <w:rsid w:val="0078067E"/>
    <w:rsid w:val="0078089D"/>
    <w:rsid w:val="00780F66"/>
    <w:rsid w:val="00781215"/>
    <w:rsid w:val="0078126D"/>
    <w:rsid w:val="0078191C"/>
    <w:rsid w:val="00781E4A"/>
    <w:rsid w:val="00782022"/>
    <w:rsid w:val="0078224F"/>
    <w:rsid w:val="00782665"/>
    <w:rsid w:val="00784BFA"/>
    <w:rsid w:val="00784D65"/>
    <w:rsid w:val="007854B0"/>
    <w:rsid w:val="007860F1"/>
    <w:rsid w:val="007862FE"/>
    <w:rsid w:val="007868BC"/>
    <w:rsid w:val="00787043"/>
    <w:rsid w:val="00787160"/>
    <w:rsid w:val="007877F7"/>
    <w:rsid w:val="00790A83"/>
    <w:rsid w:val="00790B7A"/>
    <w:rsid w:val="00792DBD"/>
    <w:rsid w:val="00792F28"/>
    <w:rsid w:val="0079314F"/>
    <w:rsid w:val="007936AE"/>
    <w:rsid w:val="007936F4"/>
    <w:rsid w:val="0079454E"/>
    <w:rsid w:val="00796306"/>
    <w:rsid w:val="00796813"/>
    <w:rsid w:val="00797640"/>
    <w:rsid w:val="007A0339"/>
    <w:rsid w:val="007A155A"/>
    <w:rsid w:val="007A1655"/>
    <w:rsid w:val="007A1DA6"/>
    <w:rsid w:val="007A342C"/>
    <w:rsid w:val="007A5B0C"/>
    <w:rsid w:val="007A6193"/>
    <w:rsid w:val="007A65ED"/>
    <w:rsid w:val="007A6FC8"/>
    <w:rsid w:val="007A7B93"/>
    <w:rsid w:val="007A7C82"/>
    <w:rsid w:val="007A7F27"/>
    <w:rsid w:val="007B0C70"/>
    <w:rsid w:val="007B133E"/>
    <w:rsid w:val="007B14BE"/>
    <w:rsid w:val="007B186E"/>
    <w:rsid w:val="007B19B0"/>
    <w:rsid w:val="007B2901"/>
    <w:rsid w:val="007B2A4E"/>
    <w:rsid w:val="007B43EA"/>
    <w:rsid w:val="007B5564"/>
    <w:rsid w:val="007B5D9F"/>
    <w:rsid w:val="007B69CA"/>
    <w:rsid w:val="007B7062"/>
    <w:rsid w:val="007B7F31"/>
    <w:rsid w:val="007C07C5"/>
    <w:rsid w:val="007C0D72"/>
    <w:rsid w:val="007C19B1"/>
    <w:rsid w:val="007C293C"/>
    <w:rsid w:val="007C2FE3"/>
    <w:rsid w:val="007C3715"/>
    <w:rsid w:val="007C3B5B"/>
    <w:rsid w:val="007C3D8B"/>
    <w:rsid w:val="007C4EE2"/>
    <w:rsid w:val="007C60E4"/>
    <w:rsid w:val="007C6F96"/>
    <w:rsid w:val="007C726D"/>
    <w:rsid w:val="007C78FE"/>
    <w:rsid w:val="007D04DB"/>
    <w:rsid w:val="007D06C1"/>
    <w:rsid w:val="007D0D63"/>
    <w:rsid w:val="007D240E"/>
    <w:rsid w:val="007D2562"/>
    <w:rsid w:val="007D2871"/>
    <w:rsid w:val="007D3EDE"/>
    <w:rsid w:val="007D404F"/>
    <w:rsid w:val="007D4174"/>
    <w:rsid w:val="007D52DA"/>
    <w:rsid w:val="007D5E9D"/>
    <w:rsid w:val="007D6A02"/>
    <w:rsid w:val="007D6AF8"/>
    <w:rsid w:val="007D7030"/>
    <w:rsid w:val="007E1ACB"/>
    <w:rsid w:val="007E34F5"/>
    <w:rsid w:val="007E3776"/>
    <w:rsid w:val="007E54AD"/>
    <w:rsid w:val="007E619A"/>
    <w:rsid w:val="007E6EF0"/>
    <w:rsid w:val="007F08BE"/>
    <w:rsid w:val="007F0C10"/>
    <w:rsid w:val="007F21E0"/>
    <w:rsid w:val="007F2663"/>
    <w:rsid w:val="007F3337"/>
    <w:rsid w:val="007F4ACA"/>
    <w:rsid w:val="007F5B45"/>
    <w:rsid w:val="007F6A1B"/>
    <w:rsid w:val="007F73AB"/>
    <w:rsid w:val="007F76AE"/>
    <w:rsid w:val="007F79DF"/>
    <w:rsid w:val="007F7A8A"/>
    <w:rsid w:val="00800CD7"/>
    <w:rsid w:val="00801ECB"/>
    <w:rsid w:val="00802B93"/>
    <w:rsid w:val="008047F3"/>
    <w:rsid w:val="00804FC5"/>
    <w:rsid w:val="00805136"/>
    <w:rsid w:val="0080730E"/>
    <w:rsid w:val="0080789C"/>
    <w:rsid w:val="00807A12"/>
    <w:rsid w:val="00807B12"/>
    <w:rsid w:val="0081016D"/>
    <w:rsid w:val="0081061C"/>
    <w:rsid w:val="0081126B"/>
    <w:rsid w:val="008115F6"/>
    <w:rsid w:val="0081165D"/>
    <w:rsid w:val="00811E58"/>
    <w:rsid w:val="00812DCE"/>
    <w:rsid w:val="00815295"/>
    <w:rsid w:val="008158CC"/>
    <w:rsid w:val="00815B8C"/>
    <w:rsid w:val="00815E6A"/>
    <w:rsid w:val="008162C9"/>
    <w:rsid w:val="008163D0"/>
    <w:rsid w:val="00816BBA"/>
    <w:rsid w:val="00816D08"/>
    <w:rsid w:val="0081746F"/>
    <w:rsid w:val="00820F56"/>
    <w:rsid w:val="00821428"/>
    <w:rsid w:val="00821861"/>
    <w:rsid w:val="00821BCD"/>
    <w:rsid w:val="00822F5B"/>
    <w:rsid w:val="00824465"/>
    <w:rsid w:val="00824DF5"/>
    <w:rsid w:val="00825416"/>
    <w:rsid w:val="00825C35"/>
    <w:rsid w:val="008260A5"/>
    <w:rsid w:val="008322BE"/>
    <w:rsid w:val="00833D23"/>
    <w:rsid w:val="00834352"/>
    <w:rsid w:val="008354C5"/>
    <w:rsid w:val="008354F8"/>
    <w:rsid w:val="00835AC3"/>
    <w:rsid w:val="0083628C"/>
    <w:rsid w:val="00837917"/>
    <w:rsid w:val="008400EF"/>
    <w:rsid w:val="008406E5"/>
    <w:rsid w:val="00843191"/>
    <w:rsid w:val="0084367C"/>
    <w:rsid w:val="00843B45"/>
    <w:rsid w:val="0084420A"/>
    <w:rsid w:val="00844A99"/>
    <w:rsid w:val="00846C13"/>
    <w:rsid w:val="008475F0"/>
    <w:rsid w:val="00850224"/>
    <w:rsid w:val="00852B8F"/>
    <w:rsid w:val="008539DB"/>
    <w:rsid w:val="0085514A"/>
    <w:rsid w:val="00856CED"/>
    <w:rsid w:val="00856D3E"/>
    <w:rsid w:val="00857761"/>
    <w:rsid w:val="00857E04"/>
    <w:rsid w:val="0086048D"/>
    <w:rsid w:val="00861104"/>
    <w:rsid w:val="008617DB"/>
    <w:rsid w:val="00863179"/>
    <w:rsid w:val="00864375"/>
    <w:rsid w:val="00864492"/>
    <w:rsid w:val="00866110"/>
    <w:rsid w:val="00866FB9"/>
    <w:rsid w:val="008673DA"/>
    <w:rsid w:val="00867DA6"/>
    <w:rsid w:val="008717A6"/>
    <w:rsid w:val="008727CA"/>
    <w:rsid w:val="008732AD"/>
    <w:rsid w:val="00873461"/>
    <w:rsid w:val="0087364B"/>
    <w:rsid w:val="00873E24"/>
    <w:rsid w:val="008743C1"/>
    <w:rsid w:val="008744AE"/>
    <w:rsid w:val="0087478A"/>
    <w:rsid w:val="0087552E"/>
    <w:rsid w:val="00875D18"/>
    <w:rsid w:val="00875EE5"/>
    <w:rsid w:val="00876150"/>
    <w:rsid w:val="00876604"/>
    <w:rsid w:val="0087665B"/>
    <w:rsid w:val="008767B4"/>
    <w:rsid w:val="008801BE"/>
    <w:rsid w:val="0088124F"/>
    <w:rsid w:val="0088385A"/>
    <w:rsid w:val="00883EC8"/>
    <w:rsid w:val="00883F19"/>
    <w:rsid w:val="0088457B"/>
    <w:rsid w:val="00884EC6"/>
    <w:rsid w:val="0088555D"/>
    <w:rsid w:val="00885ACB"/>
    <w:rsid w:val="00885CC0"/>
    <w:rsid w:val="0088619B"/>
    <w:rsid w:val="00887130"/>
    <w:rsid w:val="008875A0"/>
    <w:rsid w:val="00887785"/>
    <w:rsid w:val="00887A64"/>
    <w:rsid w:val="00890FE0"/>
    <w:rsid w:val="008927C2"/>
    <w:rsid w:val="00892CCB"/>
    <w:rsid w:val="0089350E"/>
    <w:rsid w:val="00894563"/>
    <w:rsid w:val="0089466F"/>
    <w:rsid w:val="00894F5C"/>
    <w:rsid w:val="00895DBA"/>
    <w:rsid w:val="00895EB8"/>
    <w:rsid w:val="00896B79"/>
    <w:rsid w:val="008A0F45"/>
    <w:rsid w:val="008A10B3"/>
    <w:rsid w:val="008A1349"/>
    <w:rsid w:val="008A1AFD"/>
    <w:rsid w:val="008A2E9F"/>
    <w:rsid w:val="008A3C5F"/>
    <w:rsid w:val="008A3F3C"/>
    <w:rsid w:val="008A62CA"/>
    <w:rsid w:val="008A6FAE"/>
    <w:rsid w:val="008A76C3"/>
    <w:rsid w:val="008A7816"/>
    <w:rsid w:val="008B054C"/>
    <w:rsid w:val="008B06A8"/>
    <w:rsid w:val="008B12B6"/>
    <w:rsid w:val="008B142B"/>
    <w:rsid w:val="008B171D"/>
    <w:rsid w:val="008B1B69"/>
    <w:rsid w:val="008B238C"/>
    <w:rsid w:val="008B2D44"/>
    <w:rsid w:val="008B3192"/>
    <w:rsid w:val="008B4153"/>
    <w:rsid w:val="008B4385"/>
    <w:rsid w:val="008B60C9"/>
    <w:rsid w:val="008B6610"/>
    <w:rsid w:val="008B7A7B"/>
    <w:rsid w:val="008B7F9D"/>
    <w:rsid w:val="008C058A"/>
    <w:rsid w:val="008C12B3"/>
    <w:rsid w:val="008C1D07"/>
    <w:rsid w:val="008C36C4"/>
    <w:rsid w:val="008C4927"/>
    <w:rsid w:val="008C58C8"/>
    <w:rsid w:val="008C6B24"/>
    <w:rsid w:val="008C7842"/>
    <w:rsid w:val="008D06CA"/>
    <w:rsid w:val="008D1315"/>
    <w:rsid w:val="008D1A97"/>
    <w:rsid w:val="008D2255"/>
    <w:rsid w:val="008D2400"/>
    <w:rsid w:val="008D24A2"/>
    <w:rsid w:val="008D3374"/>
    <w:rsid w:val="008D438B"/>
    <w:rsid w:val="008D441C"/>
    <w:rsid w:val="008D5A2E"/>
    <w:rsid w:val="008D63DB"/>
    <w:rsid w:val="008D70C8"/>
    <w:rsid w:val="008E04F5"/>
    <w:rsid w:val="008E2BA0"/>
    <w:rsid w:val="008E2DBE"/>
    <w:rsid w:val="008E3F0D"/>
    <w:rsid w:val="008E47FC"/>
    <w:rsid w:val="008E48A2"/>
    <w:rsid w:val="008E5172"/>
    <w:rsid w:val="008E527F"/>
    <w:rsid w:val="008E549F"/>
    <w:rsid w:val="008E6422"/>
    <w:rsid w:val="008E6EFC"/>
    <w:rsid w:val="008F1403"/>
    <w:rsid w:val="008F14AA"/>
    <w:rsid w:val="008F1E07"/>
    <w:rsid w:val="008F226E"/>
    <w:rsid w:val="008F34B0"/>
    <w:rsid w:val="008F3ECC"/>
    <w:rsid w:val="008F42C9"/>
    <w:rsid w:val="008F531A"/>
    <w:rsid w:val="008F5872"/>
    <w:rsid w:val="008F5EF2"/>
    <w:rsid w:val="008F6253"/>
    <w:rsid w:val="0090099C"/>
    <w:rsid w:val="00900FEB"/>
    <w:rsid w:val="009034C7"/>
    <w:rsid w:val="0090375A"/>
    <w:rsid w:val="00903FB3"/>
    <w:rsid w:val="0090471F"/>
    <w:rsid w:val="00904F24"/>
    <w:rsid w:val="00906AEC"/>
    <w:rsid w:val="00906ED1"/>
    <w:rsid w:val="009078FF"/>
    <w:rsid w:val="009107CF"/>
    <w:rsid w:val="009111AD"/>
    <w:rsid w:val="00913047"/>
    <w:rsid w:val="009135D0"/>
    <w:rsid w:val="00913C8B"/>
    <w:rsid w:val="00913FD1"/>
    <w:rsid w:val="0091759B"/>
    <w:rsid w:val="00920B71"/>
    <w:rsid w:val="00920CBC"/>
    <w:rsid w:val="0092148A"/>
    <w:rsid w:val="0092182F"/>
    <w:rsid w:val="009220E4"/>
    <w:rsid w:val="00923878"/>
    <w:rsid w:val="009267A9"/>
    <w:rsid w:val="0092699A"/>
    <w:rsid w:val="0092746D"/>
    <w:rsid w:val="00927CA2"/>
    <w:rsid w:val="009303A9"/>
    <w:rsid w:val="00930539"/>
    <w:rsid w:val="0093081E"/>
    <w:rsid w:val="00930A74"/>
    <w:rsid w:val="009312D4"/>
    <w:rsid w:val="0093139E"/>
    <w:rsid w:val="00931715"/>
    <w:rsid w:val="009317D8"/>
    <w:rsid w:val="00931A3B"/>
    <w:rsid w:val="00931F66"/>
    <w:rsid w:val="00932C1A"/>
    <w:rsid w:val="009330C0"/>
    <w:rsid w:val="00933792"/>
    <w:rsid w:val="00935C99"/>
    <w:rsid w:val="00935CE4"/>
    <w:rsid w:val="0093607D"/>
    <w:rsid w:val="00936EAC"/>
    <w:rsid w:val="00936EFF"/>
    <w:rsid w:val="00937918"/>
    <w:rsid w:val="009400C2"/>
    <w:rsid w:val="0094082E"/>
    <w:rsid w:val="009423DA"/>
    <w:rsid w:val="00943643"/>
    <w:rsid w:val="009437F9"/>
    <w:rsid w:val="00943801"/>
    <w:rsid w:val="00943FF6"/>
    <w:rsid w:val="00946D6F"/>
    <w:rsid w:val="00947080"/>
    <w:rsid w:val="0094766E"/>
    <w:rsid w:val="00950859"/>
    <w:rsid w:val="0095089B"/>
    <w:rsid w:val="00951935"/>
    <w:rsid w:val="00951ACB"/>
    <w:rsid w:val="00952229"/>
    <w:rsid w:val="00952766"/>
    <w:rsid w:val="00954C28"/>
    <w:rsid w:val="0095753D"/>
    <w:rsid w:val="00957FCF"/>
    <w:rsid w:val="00961864"/>
    <w:rsid w:val="0096206D"/>
    <w:rsid w:val="00963931"/>
    <w:rsid w:val="00963C3C"/>
    <w:rsid w:val="00963E4C"/>
    <w:rsid w:val="0096424B"/>
    <w:rsid w:val="00964A5C"/>
    <w:rsid w:val="00964C79"/>
    <w:rsid w:val="00965713"/>
    <w:rsid w:val="0096596A"/>
    <w:rsid w:val="00965CA7"/>
    <w:rsid w:val="00966CAA"/>
    <w:rsid w:val="00967597"/>
    <w:rsid w:val="00967BB9"/>
    <w:rsid w:val="00970E22"/>
    <w:rsid w:val="009715F2"/>
    <w:rsid w:val="00972D6E"/>
    <w:rsid w:val="00973114"/>
    <w:rsid w:val="00975C10"/>
    <w:rsid w:val="00975C2E"/>
    <w:rsid w:val="0097610F"/>
    <w:rsid w:val="00976191"/>
    <w:rsid w:val="00977C74"/>
    <w:rsid w:val="00977D53"/>
    <w:rsid w:val="009806A6"/>
    <w:rsid w:val="0098109E"/>
    <w:rsid w:val="0098142B"/>
    <w:rsid w:val="009816FB"/>
    <w:rsid w:val="009825EB"/>
    <w:rsid w:val="009829AC"/>
    <w:rsid w:val="00983319"/>
    <w:rsid w:val="00983F17"/>
    <w:rsid w:val="00986D0D"/>
    <w:rsid w:val="00987C15"/>
    <w:rsid w:val="00990A83"/>
    <w:rsid w:val="00990CF2"/>
    <w:rsid w:val="00991248"/>
    <w:rsid w:val="009927A9"/>
    <w:rsid w:val="00993655"/>
    <w:rsid w:val="00994DCA"/>
    <w:rsid w:val="009962B6"/>
    <w:rsid w:val="009A085C"/>
    <w:rsid w:val="009A0F2B"/>
    <w:rsid w:val="009A1CDB"/>
    <w:rsid w:val="009A24A3"/>
    <w:rsid w:val="009A2770"/>
    <w:rsid w:val="009A4302"/>
    <w:rsid w:val="009A59EB"/>
    <w:rsid w:val="009A6FE2"/>
    <w:rsid w:val="009A7280"/>
    <w:rsid w:val="009B2469"/>
    <w:rsid w:val="009B26ED"/>
    <w:rsid w:val="009B2868"/>
    <w:rsid w:val="009B3FD5"/>
    <w:rsid w:val="009B582C"/>
    <w:rsid w:val="009B7503"/>
    <w:rsid w:val="009B7865"/>
    <w:rsid w:val="009C0F47"/>
    <w:rsid w:val="009C2622"/>
    <w:rsid w:val="009C2B5F"/>
    <w:rsid w:val="009C2C61"/>
    <w:rsid w:val="009C37F0"/>
    <w:rsid w:val="009C4088"/>
    <w:rsid w:val="009C419B"/>
    <w:rsid w:val="009C4447"/>
    <w:rsid w:val="009C4C1F"/>
    <w:rsid w:val="009C52C8"/>
    <w:rsid w:val="009C6F70"/>
    <w:rsid w:val="009C7419"/>
    <w:rsid w:val="009D065B"/>
    <w:rsid w:val="009D06B1"/>
    <w:rsid w:val="009D1356"/>
    <w:rsid w:val="009D15D3"/>
    <w:rsid w:val="009D21E2"/>
    <w:rsid w:val="009D2E2C"/>
    <w:rsid w:val="009D2FF5"/>
    <w:rsid w:val="009D3D2A"/>
    <w:rsid w:val="009D4CB3"/>
    <w:rsid w:val="009D67A0"/>
    <w:rsid w:val="009D6BF3"/>
    <w:rsid w:val="009D701E"/>
    <w:rsid w:val="009D7550"/>
    <w:rsid w:val="009E04BA"/>
    <w:rsid w:val="009E0D37"/>
    <w:rsid w:val="009E2536"/>
    <w:rsid w:val="009E3133"/>
    <w:rsid w:val="009E4E0A"/>
    <w:rsid w:val="009E55CB"/>
    <w:rsid w:val="009E58CB"/>
    <w:rsid w:val="009E6028"/>
    <w:rsid w:val="009E6977"/>
    <w:rsid w:val="009E6D2F"/>
    <w:rsid w:val="009E77DC"/>
    <w:rsid w:val="009E7FB9"/>
    <w:rsid w:val="009F066A"/>
    <w:rsid w:val="009F0813"/>
    <w:rsid w:val="009F12E0"/>
    <w:rsid w:val="009F1A15"/>
    <w:rsid w:val="009F263A"/>
    <w:rsid w:val="009F322C"/>
    <w:rsid w:val="009F4A93"/>
    <w:rsid w:val="009F5012"/>
    <w:rsid w:val="009F590F"/>
    <w:rsid w:val="009F61ED"/>
    <w:rsid w:val="009F6DD4"/>
    <w:rsid w:val="00A0018B"/>
    <w:rsid w:val="00A00B21"/>
    <w:rsid w:val="00A015D4"/>
    <w:rsid w:val="00A02130"/>
    <w:rsid w:val="00A03161"/>
    <w:rsid w:val="00A03205"/>
    <w:rsid w:val="00A03369"/>
    <w:rsid w:val="00A03D7D"/>
    <w:rsid w:val="00A03E2F"/>
    <w:rsid w:val="00A04916"/>
    <w:rsid w:val="00A049AF"/>
    <w:rsid w:val="00A0567A"/>
    <w:rsid w:val="00A06EAE"/>
    <w:rsid w:val="00A07947"/>
    <w:rsid w:val="00A07F4D"/>
    <w:rsid w:val="00A1066A"/>
    <w:rsid w:val="00A1234C"/>
    <w:rsid w:val="00A151C1"/>
    <w:rsid w:val="00A16EB8"/>
    <w:rsid w:val="00A17250"/>
    <w:rsid w:val="00A173B0"/>
    <w:rsid w:val="00A20B0B"/>
    <w:rsid w:val="00A2360A"/>
    <w:rsid w:val="00A242A2"/>
    <w:rsid w:val="00A24C89"/>
    <w:rsid w:val="00A26919"/>
    <w:rsid w:val="00A304A7"/>
    <w:rsid w:val="00A30D0F"/>
    <w:rsid w:val="00A317F0"/>
    <w:rsid w:val="00A32C08"/>
    <w:rsid w:val="00A332C8"/>
    <w:rsid w:val="00A36613"/>
    <w:rsid w:val="00A373C6"/>
    <w:rsid w:val="00A37D80"/>
    <w:rsid w:val="00A40F0E"/>
    <w:rsid w:val="00A43CB7"/>
    <w:rsid w:val="00A445CB"/>
    <w:rsid w:val="00A46230"/>
    <w:rsid w:val="00A468EA"/>
    <w:rsid w:val="00A46C9B"/>
    <w:rsid w:val="00A470D5"/>
    <w:rsid w:val="00A47245"/>
    <w:rsid w:val="00A5049C"/>
    <w:rsid w:val="00A51E9E"/>
    <w:rsid w:val="00A527B1"/>
    <w:rsid w:val="00A5317C"/>
    <w:rsid w:val="00A539DD"/>
    <w:rsid w:val="00A53C94"/>
    <w:rsid w:val="00A53DCA"/>
    <w:rsid w:val="00A53FD5"/>
    <w:rsid w:val="00A5429A"/>
    <w:rsid w:val="00A54983"/>
    <w:rsid w:val="00A55241"/>
    <w:rsid w:val="00A56C6C"/>
    <w:rsid w:val="00A57140"/>
    <w:rsid w:val="00A57DD1"/>
    <w:rsid w:val="00A6017C"/>
    <w:rsid w:val="00A60FB7"/>
    <w:rsid w:val="00A62ACF"/>
    <w:rsid w:val="00A62B56"/>
    <w:rsid w:val="00A632C5"/>
    <w:rsid w:val="00A641C0"/>
    <w:rsid w:val="00A655D4"/>
    <w:rsid w:val="00A659AF"/>
    <w:rsid w:val="00A65F3F"/>
    <w:rsid w:val="00A66BAB"/>
    <w:rsid w:val="00A66D2A"/>
    <w:rsid w:val="00A7048F"/>
    <w:rsid w:val="00A70B4F"/>
    <w:rsid w:val="00A71C5F"/>
    <w:rsid w:val="00A72366"/>
    <w:rsid w:val="00A72C3C"/>
    <w:rsid w:val="00A73876"/>
    <w:rsid w:val="00A73C71"/>
    <w:rsid w:val="00A741BF"/>
    <w:rsid w:val="00A74635"/>
    <w:rsid w:val="00A747AF"/>
    <w:rsid w:val="00A74883"/>
    <w:rsid w:val="00A75400"/>
    <w:rsid w:val="00A764F1"/>
    <w:rsid w:val="00A76F3D"/>
    <w:rsid w:val="00A8035E"/>
    <w:rsid w:val="00A803E3"/>
    <w:rsid w:val="00A8137A"/>
    <w:rsid w:val="00A81580"/>
    <w:rsid w:val="00A817B0"/>
    <w:rsid w:val="00A82C2A"/>
    <w:rsid w:val="00A83889"/>
    <w:rsid w:val="00A86240"/>
    <w:rsid w:val="00A87594"/>
    <w:rsid w:val="00A91247"/>
    <w:rsid w:val="00A92F2C"/>
    <w:rsid w:val="00A93478"/>
    <w:rsid w:val="00A94580"/>
    <w:rsid w:val="00A94DCA"/>
    <w:rsid w:val="00A952B9"/>
    <w:rsid w:val="00A9563F"/>
    <w:rsid w:val="00A95E83"/>
    <w:rsid w:val="00A97277"/>
    <w:rsid w:val="00A97C3D"/>
    <w:rsid w:val="00AA0035"/>
    <w:rsid w:val="00AA00C6"/>
    <w:rsid w:val="00AA11C3"/>
    <w:rsid w:val="00AA121E"/>
    <w:rsid w:val="00AA1234"/>
    <w:rsid w:val="00AA16C4"/>
    <w:rsid w:val="00AA1ED9"/>
    <w:rsid w:val="00AA2842"/>
    <w:rsid w:val="00AA3F23"/>
    <w:rsid w:val="00AA488B"/>
    <w:rsid w:val="00AA582D"/>
    <w:rsid w:val="00AA5A5F"/>
    <w:rsid w:val="00AA6259"/>
    <w:rsid w:val="00AA6D59"/>
    <w:rsid w:val="00AA7073"/>
    <w:rsid w:val="00AB0696"/>
    <w:rsid w:val="00AB18B3"/>
    <w:rsid w:val="00AB2250"/>
    <w:rsid w:val="00AB22AF"/>
    <w:rsid w:val="00AB26D0"/>
    <w:rsid w:val="00AB2754"/>
    <w:rsid w:val="00AB47B8"/>
    <w:rsid w:val="00AB4EAB"/>
    <w:rsid w:val="00AB5F06"/>
    <w:rsid w:val="00AB6145"/>
    <w:rsid w:val="00AB68B5"/>
    <w:rsid w:val="00AB7340"/>
    <w:rsid w:val="00AB7532"/>
    <w:rsid w:val="00AC098A"/>
    <w:rsid w:val="00AC0A8A"/>
    <w:rsid w:val="00AC0D42"/>
    <w:rsid w:val="00AC2FD0"/>
    <w:rsid w:val="00AC2FFA"/>
    <w:rsid w:val="00AC3B83"/>
    <w:rsid w:val="00AC4409"/>
    <w:rsid w:val="00AC50F6"/>
    <w:rsid w:val="00AC5BC0"/>
    <w:rsid w:val="00AC5F23"/>
    <w:rsid w:val="00AC6922"/>
    <w:rsid w:val="00AC6B46"/>
    <w:rsid w:val="00AC713E"/>
    <w:rsid w:val="00AD0F41"/>
    <w:rsid w:val="00AD1082"/>
    <w:rsid w:val="00AD1F90"/>
    <w:rsid w:val="00AD309D"/>
    <w:rsid w:val="00AD364E"/>
    <w:rsid w:val="00AD3A5E"/>
    <w:rsid w:val="00AD3C45"/>
    <w:rsid w:val="00AD4828"/>
    <w:rsid w:val="00AD4FEF"/>
    <w:rsid w:val="00AD56E7"/>
    <w:rsid w:val="00AD6249"/>
    <w:rsid w:val="00AD63C4"/>
    <w:rsid w:val="00AD6A81"/>
    <w:rsid w:val="00AD6EC8"/>
    <w:rsid w:val="00AD75C3"/>
    <w:rsid w:val="00AD76AD"/>
    <w:rsid w:val="00AD7E6B"/>
    <w:rsid w:val="00AE00AE"/>
    <w:rsid w:val="00AE0518"/>
    <w:rsid w:val="00AE0A69"/>
    <w:rsid w:val="00AE1E88"/>
    <w:rsid w:val="00AE321F"/>
    <w:rsid w:val="00AE3314"/>
    <w:rsid w:val="00AE3585"/>
    <w:rsid w:val="00AE3F8D"/>
    <w:rsid w:val="00AE4037"/>
    <w:rsid w:val="00AE5A3F"/>
    <w:rsid w:val="00AE7066"/>
    <w:rsid w:val="00AE7E6F"/>
    <w:rsid w:val="00AF0762"/>
    <w:rsid w:val="00AF11C1"/>
    <w:rsid w:val="00AF11F0"/>
    <w:rsid w:val="00AF2C45"/>
    <w:rsid w:val="00AF7BFD"/>
    <w:rsid w:val="00B016D8"/>
    <w:rsid w:val="00B0207B"/>
    <w:rsid w:val="00B021B4"/>
    <w:rsid w:val="00B0247C"/>
    <w:rsid w:val="00B027A7"/>
    <w:rsid w:val="00B0334A"/>
    <w:rsid w:val="00B038B7"/>
    <w:rsid w:val="00B05E1C"/>
    <w:rsid w:val="00B0625D"/>
    <w:rsid w:val="00B06D32"/>
    <w:rsid w:val="00B07FE2"/>
    <w:rsid w:val="00B10A2F"/>
    <w:rsid w:val="00B111EA"/>
    <w:rsid w:val="00B113F2"/>
    <w:rsid w:val="00B1179D"/>
    <w:rsid w:val="00B1180D"/>
    <w:rsid w:val="00B11F02"/>
    <w:rsid w:val="00B121AC"/>
    <w:rsid w:val="00B125E0"/>
    <w:rsid w:val="00B12890"/>
    <w:rsid w:val="00B1544D"/>
    <w:rsid w:val="00B154DB"/>
    <w:rsid w:val="00B15F11"/>
    <w:rsid w:val="00B16106"/>
    <w:rsid w:val="00B166F8"/>
    <w:rsid w:val="00B1684D"/>
    <w:rsid w:val="00B16DBF"/>
    <w:rsid w:val="00B1751D"/>
    <w:rsid w:val="00B20BE7"/>
    <w:rsid w:val="00B20E73"/>
    <w:rsid w:val="00B216BE"/>
    <w:rsid w:val="00B21A97"/>
    <w:rsid w:val="00B21C1F"/>
    <w:rsid w:val="00B23050"/>
    <w:rsid w:val="00B258D2"/>
    <w:rsid w:val="00B26203"/>
    <w:rsid w:val="00B274DD"/>
    <w:rsid w:val="00B27802"/>
    <w:rsid w:val="00B30596"/>
    <w:rsid w:val="00B310A3"/>
    <w:rsid w:val="00B31233"/>
    <w:rsid w:val="00B31AEE"/>
    <w:rsid w:val="00B31E04"/>
    <w:rsid w:val="00B32A96"/>
    <w:rsid w:val="00B32AE6"/>
    <w:rsid w:val="00B336FF"/>
    <w:rsid w:val="00B34A4C"/>
    <w:rsid w:val="00B34C9D"/>
    <w:rsid w:val="00B3624C"/>
    <w:rsid w:val="00B37D97"/>
    <w:rsid w:val="00B40B33"/>
    <w:rsid w:val="00B425DE"/>
    <w:rsid w:val="00B4357B"/>
    <w:rsid w:val="00B4496C"/>
    <w:rsid w:val="00B45B4A"/>
    <w:rsid w:val="00B4630B"/>
    <w:rsid w:val="00B464DC"/>
    <w:rsid w:val="00B46EEE"/>
    <w:rsid w:val="00B475E4"/>
    <w:rsid w:val="00B505A9"/>
    <w:rsid w:val="00B51703"/>
    <w:rsid w:val="00B5183B"/>
    <w:rsid w:val="00B51BCA"/>
    <w:rsid w:val="00B52E67"/>
    <w:rsid w:val="00B541F6"/>
    <w:rsid w:val="00B54EC2"/>
    <w:rsid w:val="00B6370C"/>
    <w:rsid w:val="00B645D0"/>
    <w:rsid w:val="00B6482A"/>
    <w:rsid w:val="00B6531C"/>
    <w:rsid w:val="00B669F2"/>
    <w:rsid w:val="00B66C75"/>
    <w:rsid w:val="00B66EEF"/>
    <w:rsid w:val="00B71DFE"/>
    <w:rsid w:val="00B71EE3"/>
    <w:rsid w:val="00B7262B"/>
    <w:rsid w:val="00B73D54"/>
    <w:rsid w:val="00B74364"/>
    <w:rsid w:val="00B749C5"/>
    <w:rsid w:val="00B75584"/>
    <w:rsid w:val="00B75DA1"/>
    <w:rsid w:val="00B75EBC"/>
    <w:rsid w:val="00B80947"/>
    <w:rsid w:val="00B8159C"/>
    <w:rsid w:val="00B826C4"/>
    <w:rsid w:val="00B82E24"/>
    <w:rsid w:val="00B833BB"/>
    <w:rsid w:val="00B84C74"/>
    <w:rsid w:val="00B851FC"/>
    <w:rsid w:val="00B855DF"/>
    <w:rsid w:val="00B85B07"/>
    <w:rsid w:val="00B863EA"/>
    <w:rsid w:val="00B87B36"/>
    <w:rsid w:val="00B907DC"/>
    <w:rsid w:val="00B90993"/>
    <w:rsid w:val="00B90EE5"/>
    <w:rsid w:val="00B915E4"/>
    <w:rsid w:val="00B92AFA"/>
    <w:rsid w:val="00B93AD8"/>
    <w:rsid w:val="00B93B5C"/>
    <w:rsid w:val="00B9487E"/>
    <w:rsid w:val="00B95140"/>
    <w:rsid w:val="00B96684"/>
    <w:rsid w:val="00BA0C37"/>
    <w:rsid w:val="00BA1C61"/>
    <w:rsid w:val="00BA1DAB"/>
    <w:rsid w:val="00BA20C2"/>
    <w:rsid w:val="00BA2CBE"/>
    <w:rsid w:val="00BA314F"/>
    <w:rsid w:val="00BA37AD"/>
    <w:rsid w:val="00BA40C7"/>
    <w:rsid w:val="00BA5F54"/>
    <w:rsid w:val="00BA6300"/>
    <w:rsid w:val="00BB132C"/>
    <w:rsid w:val="00BB14F2"/>
    <w:rsid w:val="00BB1682"/>
    <w:rsid w:val="00BB1A9B"/>
    <w:rsid w:val="00BB249D"/>
    <w:rsid w:val="00BB326C"/>
    <w:rsid w:val="00BB34A3"/>
    <w:rsid w:val="00BB3B2F"/>
    <w:rsid w:val="00BB3EA9"/>
    <w:rsid w:val="00BB4A39"/>
    <w:rsid w:val="00BB7831"/>
    <w:rsid w:val="00BB7A0B"/>
    <w:rsid w:val="00BB7F86"/>
    <w:rsid w:val="00BC0E23"/>
    <w:rsid w:val="00BC15D4"/>
    <w:rsid w:val="00BC162A"/>
    <w:rsid w:val="00BC1CDF"/>
    <w:rsid w:val="00BC29F7"/>
    <w:rsid w:val="00BC5234"/>
    <w:rsid w:val="00BC6825"/>
    <w:rsid w:val="00BC6DD3"/>
    <w:rsid w:val="00BC71BD"/>
    <w:rsid w:val="00BC7C73"/>
    <w:rsid w:val="00BD00D5"/>
    <w:rsid w:val="00BD1E76"/>
    <w:rsid w:val="00BD3A6E"/>
    <w:rsid w:val="00BD4EAB"/>
    <w:rsid w:val="00BD62C7"/>
    <w:rsid w:val="00BD6329"/>
    <w:rsid w:val="00BD6875"/>
    <w:rsid w:val="00BD7FDB"/>
    <w:rsid w:val="00BE052E"/>
    <w:rsid w:val="00BE291E"/>
    <w:rsid w:val="00BE2F6C"/>
    <w:rsid w:val="00BE4C9B"/>
    <w:rsid w:val="00BE583F"/>
    <w:rsid w:val="00BE705B"/>
    <w:rsid w:val="00BF1B98"/>
    <w:rsid w:val="00BF20BF"/>
    <w:rsid w:val="00BF2102"/>
    <w:rsid w:val="00BF29C2"/>
    <w:rsid w:val="00BF32B1"/>
    <w:rsid w:val="00BF4CA8"/>
    <w:rsid w:val="00BF51CE"/>
    <w:rsid w:val="00BF598A"/>
    <w:rsid w:val="00BF6542"/>
    <w:rsid w:val="00BF71E1"/>
    <w:rsid w:val="00BF7FBF"/>
    <w:rsid w:val="00C04028"/>
    <w:rsid w:val="00C05AE9"/>
    <w:rsid w:val="00C10494"/>
    <w:rsid w:val="00C10618"/>
    <w:rsid w:val="00C10FC6"/>
    <w:rsid w:val="00C110E7"/>
    <w:rsid w:val="00C116E9"/>
    <w:rsid w:val="00C13FA3"/>
    <w:rsid w:val="00C14094"/>
    <w:rsid w:val="00C168BC"/>
    <w:rsid w:val="00C17196"/>
    <w:rsid w:val="00C208F7"/>
    <w:rsid w:val="00C216BA"/>
    <w:rsid w:val="00C222C3"/>
    <w:rsid w:val="00C239BC"/>
    <w:rsid w:val="00C23CA0"/>
    <w:rsid w:val="00C2639C"/>
    <w:rsid w:val="00C265BD"/>
    <w:rsid w:val="00C27492"/>
    <w:rsid w:val="00C27574"/>
    <w:rsid w:val="00C30EDD"/>
    <w:rsid w:val="00C312E6"/>
    <w:rsid w:val="00C31472"/>
    <w:rsid w:val="00C3148B"/>
    <w:rsid w:val="00C31659"/>
    <w:rsid w:val="00C3177A"/>
    <w:rsid w:val="00C321A1"/>
    <w:rsid w:val="00C32EFA"/>
    <w:rsid w:val="00C33131"/>
    <w:rsid w:val="00C3527F"/>
    <w:rsid w:val="00C35AD3"/>
    <w:rsid w:val="00C3691B"/>
    <w:rsid w:val="00C36F20"/>
    <w:rsid w:val="00C37E0D"/>
    <w:rsid w:val="00C407A0"/>
    <w:rsid w:val="00C40FB4"/>
    <w:rsid w:val="00C412A7"/>
    <w:rsid w:val="00C41E28"/>
    <w:rsid w:val="00C430F5"/>
    <w:rsid w:val="00C4316E"/>
    <w:rsid w:val="00C43A89"/>
    <w:rsid w:val="00C45B09"/>
    <w:rsid w:val="00C45CC1"/>
    <w:rsid w:val="00C45CCD"/>
    <w:rsid w:val="00C45D22"/>
    <w:rsid w:val="00C45FE4"/>
    <w:rsid w:val="00C4630C"/>
    <w:rsid w:val="00C476B2"/>
    <w:rsid w:val="00C5108F"/>
    <w:rsid w:val="00C514A4"/>
    <w:rsid w:val="00C5150F"/>
    <w:rsid w:val="00C522C9"/>
    <w:rsid w:val="00C5315D"/>
    <w:rsid w:val="00C53647"/>
    <w:rsid w:val="00C53E92"/>
    <w:rsid w:val="00C5427A"/>
    <w:rsid w:val="00C572AB"/>
    <w:rsid w:val="00C578A5"/>
    <w:rsid w:val="00C57D55"/>
    <w:rsid w:val="00C60272"/>
    <w:rsid w:val="00C6064C"/>
    <w:rsid w:val="00C606A9"/>
    <w:rsid w:val="00C614C3"/>
    <w:rsid w:val="00C62583"/>
    <w:rsid w:val="00C626EF"/>
    <w:rsid w:val="00C63BCD"/>
    <w:rsid w:val="00C65250"/>
    <w:rsid w:val="00C65A9E"/>
    <w:rsid w:val="00C65BFA"/>
    <w:rsid w:val="00C65CCC"/>
    <w:rsid w:val="00C66438"/>
    <w:rsid w:val="00C66BAD"/>
    <w:rsid w:val="00C711C0"/>
    <w:rsid w:val="00C7193A"/>
    <w:rsid w:val="00C71ABF"/>
    <w:rsid w:val="00C72724"/>
    <w:rsid w:val="00C72F9B"/>
    <w:rsid w:val="00C73534"/>
    <w:rsid w:val="00C73A46"/>
    <w:rsid w:val="00C745CC"/>
    <w:rsid w:val="00C74896"/>
    <w:rsid w:val="00C74ABB"/>
    <w:rsid w:val="00C75325"/>
    <w:rsid w:val="00C75C9A"/>
    <w:rsid w:val="00C7614F"/>
    <w:rsid w:val="00C7628C"/>
    <w:rsid w:val="00C7761E"/>
    <w:rsid w:val="00C8176E"/>
    <w:rsid w:val="00C81A1A"/>
    <w:rsid w:val="00C83F66"/>
    <w:rsid w:val="00C86FE7"/>
    <w:rsid w:val="00C90F86"/>
    <w:rsid w:val="00C9139D"/>
    <w:rsid w:val="00C91518"/>
    <w:rsid w:val="00C91938"/>
    <w:rsid w:val="00C929EE"/>
    <w:rsid w:val="00C937B2"/>
    <w:rsid w:val="00C94DB8"/>
    <w:rsid w:val="00C96028"/>
    <w:rsid w:val="00C965A6"/>
    <w:rsid w:val="00C96F8B"/>
    <w:rsid w:val="00C9719D"/>
    <w:rsid w:val="00CA17A2"/>
    <w:rsid w:val="00CA19AC"/>
    <w:rsid w:val="00CA307E"/>
    <w:rsid w:val="00CA30D7"/>
    <w:rsid w:val="00CA3C8D"/>
    <w:rsid w:val="00CA3F46"/>
    <w:rsid w:val="00CA4805"/>
    <w:rsid w:val="00CA52CD"/>
    <w:rsid w:val="00CA7994"/>
    <w:rsid w:val="00CA7FBC"/>
    <w:rsid w:val="00CB02AE"/>
    <w:rsid w:val="00CB0F39"/>
    <w:rsid w:val="00CB122C"/>
    <w:rsid w:val="00CB1DF1"/>
    <w:rsid w:val="00CB1F75"/>
    <w:rsid w:val="00CB240B"/>
    <w:rsid w:val="00CB26BF"/>
    <w:rsid w:val="00CB26C7"/>
    <w:rsid w:val="00CB2DEE"/>
    <w:rsid w:val="00CB327E"/>
    <w:rsid w:val="00CB3EF9"/>
    <w:rsid w:val="00CB4265"/>
    <w:rsid w:val="00CB49B4"/>
    <w:rsid w:val="00CB6354"/>
    <w:rsid w:val="00CB693D"/>
    <w:rsid w:val="00CB78C8"/>
    <w:rsid w:val="00CC0B72"/>
    <w:rsid w:val="00CC17B2"/>
    <w:rsid w:val="00CC48C0"/>
    <w:rsid w:val="00CC4FD3"/>
    <w:rsid w:val="00CC59D4"/>
    <w:rsid w:val="00CC6182"/>
    <w:rsid w:val="00CC6E39"/>
    <w:rsid w:val="00CC7F1E"/>
    <w:rsid w:val="00CD15A7"/>
    <w:rsid w:val="00CD2E2F"/>
    <w:rsid w:val="00CD4AF1"/>
    <w:rsid w:val="00CD524E"/>
    <w:rsid w:val="00CD5E64"/>
    <w:rsid w:val="00CD7E5C"/>
    <w:rsid w:val="00CE116A"/>
    <w:rsid w:val="00CE1CEC"/>
    <w:rsid w:val="00CE2319"/>
    <w:rsid w:val="00CE232A"/>
    <w:rsid w:val="00CE3BC0"/>
    <w:rsid w:val="00CE3F4A"/>
    <w:rsid w:val="00CE6CEA"/>
    <w:rsid w:val="00CE7620"/>
    <w:rsid w:val="00CE7688"/>
    <w:rsid w:val="00CF168C"/>
    <w:rsid w:val="00CF1FE6"/>
    <w:rsid w:val="00CF23F8"/>
    <w:rsid w:val="00CF29D5"/>
    <w:rsid w:val="00CF3581"/>
    <w:rsid w:val="00CF3ABE"/>
    <w:rsid w:val="00CF4C05"/>
    <w:rsid w:val="00CF571A"/>
    <w:rsid w:val="00CF5810"/>
    <w:rsid w:val="00CF5BA1"/>
    <w:rsid w:val="00CF7640"/>
    <w:rsid w:val="00D00967"/>
    <w:rsid w:val="00D01A70"/>
    <w:rsid w:val="00D03084"/>
    <w:rsid w:val="00D030DB"/>
    <w:rsid w:val="00D0337E"/>
    <w:rsid w:val="00D0382E"/>
    <w:rsid w:val="00D04738"/>
    <w:rsid w:val="00D04C5E"/>
    <w:rsid w:val="00D06E51"/>
    <w:rsid w:val="00D07C88"/>
    <w:rsid w:val="00D1045C"/>
    <w:rsid w:val="00D1158E"/>
    <w:rsid w:val="00D11990"/>
    <w:rsid w:val="00D11F2C"/>
    <w:rsid w:val="00D13E45"/>
    <w:rsid w:val="00D14C76"/>
    <w:rsid w:val="00D1507C"/>
    <w:rsid w:val="00D17216"/>
    <w:rsid w:val="00D17E2B"/>
    <w:rsid w:val="00D17F0D"/>
    <w:rsid w:val="00D20874"/>
    <w:rsid w:val="00D21613"/>
    <w:rsid w:val="00D21977"/>
    <w:rsid w:val="00D22447"/>
    <w:rsid w:val="00D23F66"/>
    <w:rsid w:val="00D241A1"/>
    <w:rsid w:val="00D243FC"/>
    <w:rsid w:val="00D258E9"/>
    <w:rsid w:val="00D26410"/>
    <w:rsid w:val="00D31A29"/>
    <w:rsid w:val="00D31FF3"/>
    <w:rsid w:val="00D32384"/>
    <w:rsid w:val="00D34888"/>
    <w:rsid w:val="00D35649"/>
    <w:rsid w:val="00D35F42"/>
    <w:rsid w:val="00D35FEE"/>
    <w:rsid w:val="00D3723B"/>
    <w:rsid w:val="00D40209"/>
    <w:rsid w:val="00D405F2"/>
    <w:rsid w:val="00D41A80"/>
    <w:rsid w:val="00D4233F"/>
    <w:rsid w:val="00D425D7"/>
    <w:rsid w:val="00D449F5"/>
    <w:rsid w:val="00D44B8A"/>
    <w:rsid w:val="00D4534F"/>
    <w:rsid w:val="00D465D3"/>
    <w:rsid w:val="00D478BE"/>
    <w:rsid w:val="00D504F5"/>
    <w:rsid w:val="00D525CD"/>
    <w:rsid w:val="00D52C42"/>
    <w:rsid w:val="00D52DBC"/>
    <w:rsid w:val="00D52FFA"/>
    <w:rsid w:val="00D5354D"/>
    <w:rsid w:val="00D53A97"/>
    <w:rsid w:val="00D55306"/>
    <w:rsid w:val="00D557CA"/>
    <w:rsid w:val="00D627B0"/>
    <w:rsid w:val="00D62EE1"/>
    <w:rsid w:val="00D637DE"/>
    <w:rsid w:val="00D64CC5"/>
    <w:rsid w:val="00D654E7"/>
    <w:rsid w:val="00D66266"/>
    <w:rsid w:val="00D665F3"/>
    <w:rsid w:val="00D6663C"/>
    <w:rsid w:val="00D677BF"/>
    <w:rsid w:val="00D67A82"/>
    <w:rsid w:val="00D67E6C"/>
    <w:rsid w:val="00D71229"/>
    <w:rsid w:val="00D71399"/>
    <w:rsid w:val="00D7147C"/>
    <w:rsid w:val="00D719F3"/>
    <w:rsid w:val="00D721A0"/>
    <w:rsid w:val="00D7429B"/>
    <w:rsid w:val="00D74D00"/>
    <w:rsid w:val="00D756BC"/>
    <w:rsid w:val="00D7662E"/>
    <w:rsid w:val="00D77961"/>
    <w:rsid w:val="00D77E99"/>
    <w:rsid w:val="00D80371"/>
    <w:rsid w:val="00D80381"/>
    <w:rsid w:val="00D80782"/>
    <w:rsid w:val="00D81F2A"/>
    <w:rsid w:val="00D827D7"/>
    <w:rsid w:val="00D8408C"/>
    <w:rsid w:val="00D8500B"/>
    <w:rsid w:val="00D86056"/>
    <w:rsid w:val="00D8683B"/>
    <w:rsid w:val="00D871B9"/>
    <w:rsid w:val="00D90371"/>
    <w:rsid w:val="00D91ADA"/>
    <w:rsid w:val="00D92038"/>
    <w:rsid w:val="00D93202"/>
    <w:rsid w:val="00D936D8"/>
    <w:rsid w:val="00D9409D"/>
    <w:rsid w:val="00D95107"/>
    <w:rsid w:val="00D95451"/>
    <w:rsid w:val="00D96AE1"/>
    <w:rsid w:val="00D97A85"/>
    <w:rsid w:val="00DA0466"/>
    <w:rsid w:val="00DA0D63"/>
    <w:rsid w:val="00DA30C7"/>
    <w:rsid w:val="00DA31C7"/>
    <w:rsid w:val="00DA3450"/>
    <w:rsid w:val="00DA35AF"/>
    <w:rsid w:val="00DA44C3"/>
    <w:rsid w:val="00DA7E1E"/>
    <w:rsid w:val="00DB02BC"/>
    <w:rsid w:val="00DB0858"/>
    <w:rsid w:val="00DB0D76"/>
    <w:rsid w:val="00DB0D79"/>
    <w:rsid w:val="00DB2834"/>
    <w:rsid w:val="00DB2DC7"/>
    <w:rsid w:val="00DB327D"/>
    <w:rsid w:val="00DB363A"/>
    <w:rsid w:val="00DB3B8D"/>
    <w:rsid w:val="00DB3C8E"/>
    <w:rsid w:val="00DB45AA"/>
    <w:rsid w:val="00DB46EC"/>
    <w:rsid w:val="00DB582B"/>
    <w:rsid w:val="00DB7637"/>
    <w:rsid w:val="00DC0A2B"/>
    <w:rsid w:val="00DC2EE3"/>
    <w:rsid w:val="00DC33D3"/>
    <w:rsid w:val="00DC3D7A"/>
    <w:rsid w:val="00DC55EA"/>
    <w:rsid w:val="00DC632A"/>
    <w:rsid w:val="00DC7245"/>
    <w:rsid w:val="00DC7A47"/>
    <w:rsid w:val="00DC7B0F"/>
    <w:rsid w:val="00DC7D39"/>
    <w:rsid w:val="00DD0460"/>
    <w:rsid w:val="00DD26B6"/>
    <w:rsid w:val="00DD2812"/>
    <w:rsid w:val="00DD2CEF"/>
    <w:rsid w:val="00DD3587"/>
    <w:rsid w:val="00DD4115"/>
    <w:rsid w:val="00DD4F6A"/>
    <w:rsid w:val="00DD56E8"/>
    <w:rsid w:val="00DD62AB"/>
    <w:rsid w:val="00DD7182"/>
    <w:rsid w:val="00DE080A"/>
    <w:rsid w:val="00DE1A2F"/>
    <w:rsid w:val="00DE1F0D"/>
    <w:rsid w:val="00DE2EE6"/>
    <w:rsid w:val="00DE36DE"/>
    <w:rsid w:val="00DE681C"/>
    <w:rsid w:val="00DE6ABA"/>
    <w:rsid w:val="00DE73AF"/>
    <w:rsid w:val="00DE77E3"/>
    <w:rsid w:val="00DF0755"/>
    <w:rsid w:val="00DF0CA4"/>
    <w:rsid w:val="00DF10B4"/>
    <w:rsid w:val="00DF15EA"/>
    <w:rsid w:val="00DF2187"/>
    <w:rsid w:val="00DF388A"/>
    <w:rsid w:val="00DF5A4F"/>
    <w:rsid w:val="00DF6033"/>
    <w:rsid w:val="00DF6DA2"/>
    <w:rsid w:val="00E03B26"/>
    <w:rsid w:val="00E044DE"/>
    <w:rsid w:val="00E04C60"/>
    <w:rsid w:val="00E04DF3"/>
    <w:rsid w:val="00E05319"/>
    <w:rsid w:val="00E055B4"/>
    <w:rsid w:val="00E069C0"/>
    <w:rsid w:val="00E077DE"/>
    <w:rsid w:val="00E11772"/>
    <w:rsid w:val="00E122B8"/>
    <w:rsid w:val="00E12DBD"/>
    <w:rsid w:val="00E1361B"/>
    <w:rsid w:val="00E13690"/>
    <w:rsid w:val="00E156E9"/>
    <w:rsid w:val="00E15711"/>
    <w:rsid w:val="00E16711"/>
    <w:rsid w:val="00E205BC"/>
    <w:rsid w:val="00E21637"/>
    <w:rsid w:val="00E21721"/>
    <w:rsid w:val="00E2310C"/>
    <w:rsid w:val="00E234EA"/>
    <w:rsid w:val="00E24072"/>
    <w:rsid w:val="00E2442E"/>
    <w:rsid w:val="00E25A35"/>
    <w:rsid w:val="00E26A11"/>
    <w:rsid w:val="00E27F5A"/>
    <w:rsid w:val="00E27F97"/>
    <w:rsid w:val="00E303A1"/>
    <w:rsid w:val="00E304B7"/>
    <w:rsid w:val="00E305CA"/>
    <w:rsid w:val="00E318DC"/>
    <w:rsid w:val="00E31B5F"/>
    <w:rsid w:val="00E31C92"/>
    <w:rsid w:val="00E31E8B"/>
    <w:rsid w:val="00E333F6"/>
    <w:rsid w:val="00E34846"/>
    <w:rsid w:val="00E35741"/>
    <w:rsid w:val="00E36029"/>
    <w:rsid w:val="00E3686D"/>
    <w:rsid w:val="00E36E64"/>
    <w:rsid w:val="00E37E39"/>
    <w:rsid w:val="00E37EBC"/>
    <w:rsid w:val="00E37F2D"/>
    <w:rsid w:val="00E42EA3"/>
    <w:rsid w:val="00E43738"/>
    <w:rsid w:val="00E4384E"/>
    <w:rsid w:val="00E438C6"/>
    <w:rsid w:val="00E44101"/>
    <w:rsid w:val="00E4582F"/>
    <w:rsid w:val="00E473AE"/>
    <w:rsid w:val="00E4791D"/>
    <w:rsid w:val="00E5011C"/>
    <w:rsid w:val="00E51154"/>
    <w:rsid w:val="00E51F8D"/>
    <w:rsid w:val="00E52D75"/>
    <w:rsid w:val="00E530C6"/>
    <w:rsid w:val="00E5357D"/>
    <w:rsid w:val="00E53E93"/>
    <w:rsid w:val="00E5492F"/>
    <w:rsid w:val="00E54CB6"/>
    <w:rsid w:val="00E55105"/>
    <w:rsid w:val="00E55D09"/>
    <w:rsid w:val="00E5650D"/>
    <w:rsid w:val="00E573A1"/>
    <w:rsid w:val="00E60A96"/>
    <w:rsid w:val="00E62F9A"/>
    <w:rsid w:val="00E63916"/>
    <w:rsid w:val="00E6405C"/>
    <w:rsid w:val="00E64F19"/>
    <w:rsid w:val="00E66FCE"/>
    <w:rsid w:val="00E67ECC"/>
    <w:rsid w:val="00E71332"/>
    <w:rsid w:val="00E713AA"/>
    <w:rsid w:val="00E738A1"/>
    <w:rsid w:val="00E740B7"/>
    <w:rsid w:val="00E747A2"/>
    <w:rsid w:val="00E750E0"/>
    <w:rsid w:val="00E75225"/>
    <w:rsid w:val="00E754F6"/>
    <w:rsid w:val="00E758C3"/>
    <w:rsid w:val="00E77526"/>
    <w:rsid w:val="00E778D1"/>
    <w:rsid w:val="00E77A8E"/>
    <w:rsid w:val="00E77CD1"/>
    <w:rsid w:val="00E77D8D"/>
    <w:rsid w:val="00E77FEC"/>
    <w:rsid w:val="00E80104"/>
    <w:rsid w:val="00E81CE3"/>
    <w:rsid w:val="00E84813"/>
    <w:rsid w:val="00E84BA0"/>
    <w:rsid w:val="00E84D0F"/>
    <w:rsid w:val="00E84DC9"/>
    <w:rsid w:val="00E856C1"/>
    <w:rsid w:val="00E86BA6"/>
    <w:rsid w:val="00E87FC4"/>
    <w:rsid w:val="00E90EDD"/>
    <w:rsid w:val="00E92256"/>
    <w:rsid w:val="00E92963"/>
    <w:rsid w:val="00E9298E"/>
    <w:rsid w:val="00E92F05"/>
    <w:rsid w:val="00E93FFE"/>
    <w:rsid w:val="00E943C7"/>
    <w:rsid w:val="00E94E0F"/>
    <w:rsid w:val="00E95742"/>
    <w:rsid w:val="00E95A7D"/>
    <w:rsid w:val="00E97937"/>
    <w:rsid w:val="00EA080E"/>
    <w:rsid w:val="00EA15FF"/>
    <w:rsid w:val="00EA1D53"/>
    <w:rsid w:val="00EA234E"/>
    <w:rsid w:val="00EA26D6"/>
    <w:rsid w:val="00EA3715"/>
    <w:rsid w:val="00EA495E"/>
    <w:rsid w:val="00EA6209"/>
    <w:rsid w:val="00EA71F5"/>
    <w:rsid w:val="00EA7E0A"/>
    <w:rsid w:val="00EB085C"/>
    <w:rsid w:val="00EB3244"/>
    <w:rsid w:val="00EB3CC9"/>
    <w:rsid w:val="00EB415B"/>
    <w:rsid w:val="00EB424D"/>
    <w:rsid w:val="00EB42E0"/>
    <w:rsid w:val="00EB48EF"/>
    <w:rsid w:val="00EB4E8F"/>
    <w:rsid w:val="00EB698D"/>
    <w:rsid w:val="00EB6B10"/>
    <w:rsid w:val="00EB7197"/>
    <w:rsid w:val="00EB72EA"/>
    <w:rsid w:val="00EB7FFE"/>
    <w:rsid w:val="00EC208C"/>
    <w:rsid w:val="00EC31D7"/>
    <w:rsid w:val="00EC4F42"/>
    <w:rsid w:val="00EC5323"/>
    <w:rsid w:val="00EC6BDC"/>
    <w:rsid w:val="00EC6EDC"/>
    <w:rsid w:val="00EC7317"/>
    <w:rsid w:val="00EC74C0"/>
    <w:rsid w:val="00EC7CF6"/>
    <w:rsid w:val="00ED18C2"/>
    <w:rsid w:val="00ED26A4"/>
    <w:rsid w:val="00ED4358"/>
    <w:rsid w:val="00ED44C9"/>
    <w:rsid w:val="00ED53E0"/>
    <w:rsid w:val="00ED6381"/>
    <w:rsid w:val="00ED6B44"/>
    <w:rsid w:val="00ED72F5"/>
    <w:rsid w:val="00EE1C13"/>
    <w:rsid w:val="00EE207F"/>
    <w:rsid w:val="00EE3A54"/>
    <w:rsid w:val="00EE409A"/>
    <w:rsid w:val="00EE4695"/>
    <w:rsid w:val="00EE6101"/>
    <w:rsid w:val="00EE6342"/>
    <w:rsid w:val="00EE76D5"/>
    <w:rsid w:val="00EF188F"/>
    <w:rsid w:val="00EF30AE"/>
    <w:rsid w:val="00EF316C"/>
    <w:rsid w:val="00EF3AC9"/>
    <w:rsid w:val="00EF3D33"/>
    <w:rsid w:val="00EF3EC9"/>
    <w:rsid w:val="00EF585B"/>
    <w:rsid w:val="00EF5DBA"/>
    <w:rsid w:val="00EF5EAD"/>
    <w:rsid w:val="00EF6538"/>
    <w:rsid w:val="00EF6CF7"/>
    <w:rsid w:val="00EF707F"/>
    <w:rsid w:val="00F01C36"/>
    <w:rsid w:val="00F02A9B"/>
    <w:rsid w:val="00F02E03"/>
    <w:rsid w:val="00F03861"/>
    <w:rsid w:val="00F03996"/>
    <w:rsid w:val="00F04B62"/>
    <w:rsid w:val="00F07964"/>
    <w:rsid w:val="00F07F43"/>
    <w:rsid w:val="00F1032E"/>
    <w:rsid w:val="00F10B2B"/>
    <w:rsid w:val="00F12180"/>
    <w:rsid w:val="00F129F8"/>
    <w:rsid w:val="00F13EBD"/>
    <w:rsid w:val="00F1715B"/>
    <w:rsid w:val="00F171A3"/>
    <w:rsid w:val="00F171C4"/>
    <w:rsid w:val="00F175E7"/>
    <w:rsid w:val="00F17B11"/>
    <w:rsid w:val="00F17F55"/>
    <w:rsid w:val="00F216C1"/>
    <w:rsid w:val="00F22459"/>
    <w:rsid w:val="00F22910"/>
    <w:rsid w:val="00F243AD"/>
    <w:rsid w:val="00F2478F"/>
    <w:rsid w:val="00F24C79"/>
    <w:rsid w:val="00F24FC4"/>
    <w:rsid w:val="00F26235"/>
    <w:rsid w:val="00F272A3"/>
    <w:rsid w:val="00F278E8"/>
    <w:rsid w:val="00F27F07"/>
    <w:rsid w:val="00F3034E"/>
    <w:rsid w:val="00F3144E"/>
    <w:rsid w:val="00F316AD"/>
    <w:rsid w:val="00F317A3"/>
    <w:rsid w:val="00F32516"/>
    <w:rsid w:val="00F3337F"/>
    <w:rsid w:val="00F337A2"/>
    <w:rsid w:val="00F349F9"/>
    <w:rsid w:val="00F35DEE"/>
    <w:rsid w:val="00F36591"/>
    <w:rsid w:val="00F36FC2"/>
    <w:rsid w:val="00F40184"/>
    <w:rsid w:val="00F408BB"/>
    <w:rsid w:val="00F4157C"/>
    <w:rsid w:val="00F4421F"/>
    <w:rsid w:val="00F45052"/>
    <w:rsid w:val="00F451F4"/>
    <w:rsid w:val="00F458E9"/>
    <w:rsid w:val="00F45A10"/>
    <w:rsid w:val="00F46752"/>
    <w:rsid w:val="00F46E0A"/>
    <w:rsid w:val="00F47106"/>
    <w:rsid w:val="00F527E5"/>
    <w:rsid w:val="00F536B1"/>
    <w:rsid w:val="00F53B80"/>
    <w:rsid w:val="00F53BBF"/>
    <w:rsid w:val="00F53C79"/>
    <w:rsid w:val="00F54D42"/>
    <w:rsid w:val="00F55416"/>
    <w:rsid w:val="00F555EE"/>
    <w:rsid w:val="00F5684B"/>
    <w:rsid w:val="00F60B28"/>
    <w:rsid w:val="00F61CA0"/>
    <w:rsid w:val="00F621F0"/>
    <w:rsid w:val="00F632CC"/>
    <w:rsid w:val="00F6338C"/>
    <w:rsid w:val="00F639AA"/>
    <w:rsid w:val="00F63EB5"/>
    <w:rsid w:val="00F6513D"/>
    <w:rsid w:val="00F652CF"/>
    <w:rsid w:val="00F65A85"/>
    <w:rsid w:val="00F66046"/>
    <w:rsid w:val="00F6634A"/>
    <w:rsid w:val="00F6689B"/>
    <w:rsid w:val="00F66BFD"/>
    <w:rsid w:val="00F67AC9"/>
    <w:rsid w:val="00F67D47"/>
    <w:rsid w:val="00F67E5B"/>
    <w:rsid w:val="00F72511"/>
    <w:rsid w:val="00F72FA9"/>
    <w:rsid w:val="00F742B3"/>
    <w:rsid w:val="00F749AC"/>
    <w:rsid w:val="00F74C58"/>
    <w:rsid w:val="00F74CCA"/>
    <w:rsid w:val="00F7730B"/>
    <w:rsid w:val="00F77F1E"/>
    <w:rsid w:val="00F80980"/>
    <w:rsid w:val="00F81469"/>
    <w:rsid w:val="00F81E0D"/>
    <w:rsid w:val="00F862AA"/>
    <w:rsid w:val="00F86E94"/>
    <w:rsid w:val="00F871F3"/>
    <w:rsid w:val="00F91291"/>
    <w:rsid w:val="00F9243A"/>
    <w:rsid w:val="00F9464F"/>
    <w:rsid w:val="00F949EA"/>
    <w:rsid w:val="00F95487"/>
    <w:rsid w:val="00F96B9D"/>
    <w:rsid w:val="00F96F4C"/>
    <w:rsid w:val="00F970C1"/>
    <w:rsid w:val="00F97800"/>
    <w:rsid w:val="00FA08AF"/>
    <w:rsid w:val="00FA0986"/>
    <w:rsid w:val="00FA2029"/>
    <w:rsid w:val="00FA2EA0"/>
    <w:rsid w:val="00FA36E1"/>
    <w:rsid w:val="00FA56C9"/>
    <w:rsid w:val="00FA6B21"/>
    <w:rsid w:val="00FB0E98"/>
    <w:rsid w:val="00FB104C"/>
    <w:rsid w:val="00FB2A04"/>
    <w:rsid w:val="00FB4803"/>
    <w:rsid w:val="00FB6B0F"/>
    <w:rsid w:val="00FB6D69"/>
    <w:rsid w:val="00FB7315"/>
    <w:rsid w:val="00FB752E"/>
    <w:rsid w:val="00FC08D5"/>
    <w:rsid w:val="00FC112A"/>
    <w:rsid w:val="00FC152A"/>
    <w:rsid w:val="00FC29C3"/>
    <w:rsid w:val="00FC2CC0"/>
    <w:rsid w:val="00FC4119"/>
    <w:rsid w:val="00FC4217"/>
    <w:rsid w:val="00FC5E89"/>
    <w:rsid w:val="00FD09AF"/>
    <w:rsid w:val="00FD0E15"/>
    <w:rsid w:val="00FD2556"/>
    <w:rsid w:val="00FD3116"/>
    <w:rsid w:val="00FD3364"/>
    <w:rsid w:val="00FD4399"/>
    <w:rsid w:val="00FD5122"/>
    <w:rsid w:val="00FD58CF"/>
    <w:rsid w:val="00FD5A0E"/>
    <w:rsid w:val="00FD62FD"/>
    <w:rsid w:val="00FD6F89"/>
    <w:rsid w:val="00FD6F8A"/>
    <w:rsid w:val="00FD79F5"/>
    <w:rsid w:val="00FD7D22"/>
    <w:rsid w:val="00FE0A99"/>
    <w:rsid w:val="00FE0AFA"/>
    <w:rsid w:val="00FE15A1"/>
    <w:rsid w:val="00FE1CD2"/>
    <w:rsid w:val="00FE249D"/>
    <w:rsid w:val="00FE24DF"/>
    <w:rsid w:val="00FE3098"/>
    <w:rsid w:val="00FE3332"/>
    <w:rsid w:val="00FE3E1F"/>
    <w:rsid w:val="00FE3E69"/>
    <w:rsid w:val="00FE43B6"/>
    <w:rsid w:val="00FE4962"/>
    <w:rsid w:val="00FE49E9"/>
    <w:rsid w:val="00FE568D"/>
    <w:rsid w:val="00FE58B9"/>
    <w:rsid w:val="00FE69D6"/>
    <w:rsid w:val="00FE6D4D"/>
    <w:rsid w:val="00FF0E99"/>
    <w:rsid w:val="00FF12E6"/>
    <w:rsid w:val="00FF1A55"/>
    <w:rsid w:val="00FF2330"/>
    <w:rsid w:val="00FF3101"/>
    <w:rsid w:val="00FF3B2A"/>
    <w:rsid w:val="00FF3B79"/>
    <w:rsid w:val="00FF5624"/>
    <w:rsid w:val="00FF5CE0"/>
    <w:rsid w:val="00FF68F8"/>
    <w:rsid w:val="00FF6C80"/>
    <w:rsid w:val="00FF6D6C"/>
    <w:rsid w:val="00FF73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0"/>
    <o:shapelayout v:ext="edit">
      <o:idmap v:ext="edit" data="2"/>
    </o:shapelayout>
  </w:shapeDefaults>
  <w:decimalSymbol w:val="."/>
  <w:listSeparator w:val=","/>
  <w14:docId w14:val="610DCCFF"/>
  <w15:docId w15:val="{065BECFE-FD10-4997-BD38-97EF77C18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Cambria"/>
        <w:sz w:val="22"/>
        <w:szCs w:val="22"/>
        <w:lang w:val="lt-LT"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qFormat="1"/>
    <w:lsdException w:name="toc 2" w:locked="1" w:uiPriority="39" w:unhideWhenUsed="1" w:qFormat="1"/>
    <w:lsdException w:name="toc 3" w:locked="1" w:uiPriority="39" w:unhideWhenUsed="1" w:qFormat="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78C8"/>
    <w:pPr>
      <w:spacing w:after="120"/>
      <w:jc w:val="both"/>
    </w:pPr>
    <w:rPr>
      <w:lang w:val="ro-RO"/>
    </w:rPr>
  </w:style>
  <w:style w:type="paragraph" w:styleId="Heading1">
    <w:name w:val="heading 1"/>
    <w:next w:val="Normal"/>
    <w:link w:val="Heading1Char1"/>
    <w:uiPriority w:val="9"/>
    <w:qFormat/>
    <w:rsid w:val="002F5F8B"/>
    <w:pPr>
      <w:keepNext/>
      <w:numPr>
        <w:numId w:val="4"/>
      </w:numPr>
      <w:spacing w:after="600"/>
      <w:jc w:val="both"/>
      <w:outlineLvl w:val="0"/>
    </w:pPr>
    <w:rPr>
      <w:b/>
      <w:bCs/>
      <w:caps/>
      <w:color w:val="134753" w:themeColor="text2"/>
      <w:sz w:val="40"/>
      <w:szCs w:val="40"/>
    </w:rPr>
  </w:style>
  <w:style w:type="paragraph" w:styleId="Heading2">
    <w:name w:val="heading 2"/>
    <w:aliases w:val="Heading 2 Char1,Heading 2 Char Char,H2,heading 2,Heading 2 Hidden,HD2,heading2,palacs csunyan beszel,Attribute Heading 2,Alfejezet,PLS 2,PLS 21,PLS 22,PLS 23,num,afsnit,H21,H22,H23,PLS 24,H24,PLS 25,H25,PLS 26,H26,PLS 27,H27,PLS 28,H28,PLS 29"/>
    <w:basedOn w:val="Heading1"/>
    <w:next w:val="Normal"/>
    <w:link w:val="Heading2Char2"/>
    <w:uiPriority w:val="9"/>
    <w:qFormat/>
    <w:rsid w:val="002F5F8B"/>
    <w:pPr>
      <w:numPr>
        <w:ilvl w:val="1"/>
      </w:numPr>
      <w:spacing w:before="360" w:after="240"/>
      <w:outlineLvl w:val="1"/>
    </w:pPr>
    <w:rPr>
      <w:b w:val="0"/>
      <w:bCs w:val="0"/>
      <w:color w:val="3CA1BC" w:themeColor="background2"/>
      <w:sz w:val="32"/>
      <w:szCs w:val="32"/>
    </w:rPr>
  </w:style>
  <w:style w:type="paragraph" w:styleId="Heading3">
    <w:name w:val="heading 3"/>
    <w:basedOn w:val="Heading2"/>
    <w:next w:val="Normal"/>
    <w:link w:val="Heading3Char"/>
    <w:uiPriority w:val="9"/>
    <w:qFormat/>
    <w:rsid w:val="008A6FAE"/>
    <w:pPr>
      <w:numPr>
        <w:ilvl w:val="2"/>
      </w:numPr>
      <w:spacing w:before="180" w:after="180"/>
      <w:outlineLvl w:val="2"/>
    </w:pPr>
    <w:rPr>
      <w:bCs/>
      <w:sz w:val="28"/>
    </w:rPr>
  </w:style>
  <w:style w:type="paragraph" w:styleId="Heading4">
    <w:name w:val="heading 4"/>
    <w:basedOn w:val="ListParagraph"/>
    <w:next w:val="Normal"/>
    <w:link w:val="Heading4Char"/>
    <w:uiPriority w:val="9"/>
    <w:unhideWhenUsed/>
    <w:qFormat/>
    <w:locked/>
    <w:rsid w:val="002F5F8B"/>
    <w:pPr>
      <w:keepNext/>
      <w:keepLines/>
      <w:spacing w:before="40" w:after="0"/>
      <w:outlineLvl w:val="3"/>
    </w:pPr>
    <w:rPr>
      <w:rFonts w:eastAsiaTheme="majorEastAsia" w:cstheme="majorBidi"/>
      <w:iCs/>
      <w:sz w:val="24"/>
      <w:szCs w:val="24"/>
    </w:rPr>
  </w:style>
  <w:style w:type="paragraph" w:styleId="Heading5">
    <w:name w:val="heading 5"/>
    <w:basedOn w:val="Normal"/>
    <w:next w:val="Normal"/>
    <w:link w:val="Heading5Char"/>
    <w:uiPriority w:val="9"/>
    <w:unhideWhenUsed/>
    <w:qFormat/>
    <w:locked/>
    <w:rsid w:val="001E0A0F"/>
    <w:pPr>
      <w:keepNext/>
      <w:keepLines/>
      <w:spacing w:before="40" w:after="0"/>
      <w:outlineLvl w:val="4"/>
    </w:pPr>
    <w:rPr>
      <w:rFonts w:eastAsiaTheme="majorEastAsia" w:cstheme="majorBidi"/>
      <w:b/>
      <w:color w:val="A5DEE9"/>
      <w:lang w:val="lt-LT"/>
    </w:rPr>
  </w:style>
  <w:style w:type="paragraph" w:styleId="Heading6">
    <w:name w:val="heading 6"/>
    <w:basedOn w:val="Normal"/>
    <w:next w:val="Normal"/>
    <w:link w:val="Heading6Char"/>
    <w:uiPriority w:val="9"/>
    <w:unhideWhenUsed/>
    <w:qFormat/>
    <w:locked/>
    <w:rsid w:val="00BB1A9B"/>
    <w:pPr>
      <w:keepNext/>
      <w:keepLines/>
      <w:spacing w:before="40" w:after="0"/>
      <w:outlineLvl w:val="5"/>
    </w:pPr>
    <w:rPr>
      <w:rFonts w:eastAsiaTheme="majorEastAsia" w:cstheme="majorBidi"/>
      <w:color w:val="3F3F3F" w:themeColor="accent1" w:themeShade="7F"/>
      <w:lang w:val="en-US" w:eastAsia="ja-JP"/>
    </w:rPr>
  </w:style>
  <w:style w:type="paragraph" w:styleId="Heading7">
    <w:name w:val="heading 7"/>
    <w:basedOn w:val="Normal"/>
    <w:next w:val="Normal"/>
    <w:link w:val="Heading7Char"/>
    <w:semiHidden/>
    <w:unhideWhenUsed/>
    <w:qFormat/>
    <w:locked/>
    <w:rsid w:val="00BB1A9B"/>
    <w:pPr>
      <w:keepNext/>
      <w:keepLines/>
      <w:spacing w:before="40" w:after="0"/>
      <w:outlineLvl w:val="6"/>
    </w:pPr>
    <w:rPr>
      <w:rFonts w:eastAsiaTheme="majorEastAsia" w:cstheme="majorBidi"/>
      <w:i/>
      <w:iCs/>
      <w:color w:val="3F3F3F" w:themeColor="accent1" w:themeShade="7F"/>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9"/>
    <w:locked/>
    <w:rsid w:val="002F5F8B"/>
    <w:rPr>
      <w:b/>
      <w:bCs/>
      <w:caps/>
      <w:color w:val="134753" w:themeColor="text2"/>
      <w:sz w:val="40"/>
      <w:szCs w:val="40"/>
    </w:rPr>
  </w:style>
  <w:style w:type="paragraph" w:styleId="ListParagraph">
    <w:name w:val="List Paragraph"/>
    <w:aliases w:val="ERP-List Paragraph,List Paragraph11,Bullet EY,List Paragraph1,Akapit z listą BS,Outlines a.b.c.,List_Paragraph,Multilevel para_II,Akapit z lista BS,body 2,Listă colorată - Accentuare 11,References,Normal bullet 2,Header bold,lp1,Bullets"/>
    <w:basedOn w:val="Normal"/>
    <w:link w:val="ListParagraphChar1"/>
    <w:uiPriority w:val="34"/>
    <w:qFormat/>
    <w:rsid w:val="00C45FE4"/>
    <w:pPr>
      <w:ind w:left="720"/>
    </w:pPr>
    <w:rPr>
      <w:color w:val="3CA1BC" w:themeColor="accent3"/>
    </w:rPr>
  </w:style>
  <w:style w:type="character" w:customStyle="1" w:styleId="ListParagraphChar1">
    <w:name w:val="List Paragraph Char1"/>
    <w:aliases w:val="ERP-List Paragraph Char1,List Paragraph11 Char1,Bullet EY Char1,List Paragraph1 Char1,Akapit z listą BS Char1,Outlines a.b.c. Char1,List_Paragraph Char1,Multilevel para_II Char1,Akapit z lista BS Char1,body 2 Char1,References Char1"/>
    <w:basedOn w:val="DefaultParagraphFont"/>
    <w:link w:val="ListParagraph"/>
    <w:uiPriority w:val="34"/>
    <w:qFormat/>
    <w:locked/>
    <w:rsid w:val="00C45FE4"/>
    <w:rPr>
      <w:color w:val="3CA1BC" w:themeColor="accent3"/>
    </w:rPr>
  </w:style>
  <w:style w:type="character" w:customStyle="1" w:styleId="Heading2Char2">
    <w:name w:val="Heading 2 Char2"/>
    <w:aliases w:val="Heading 2 Char1 Char1,Heading 2 Char Char Char1,H2 Char1,heading 2 Char1,Heading 2 Hidden Char1,HD2 Char1,heading2 Char1,palacs csunyan beszel Char1,Attribute Heading 2 Char1,Alfejezet Char1,PLS 2 Char1,PLS 21 Char1,PLS 22 Char1,H21 Char"/>
    <w:basedOn w:val="DefaultParagraphFont"/>
    <w:link w:val="Heading2"/>
    <w:uiPriority w:val="9"/>
    <w:locked/>
    <w:rsid w:val="002F5F8B"/>
    <w:rPr>
      <w:caps/>
      <w:color w:val="3CA1BC" w:themeColor="background2"/>
      <w:sz w:val="32"/>
      <w:szCs w:val="32"/>
    </w:rPr>
  </w:style>
  <w:style w:type="character" w:customStyle="1" w:styleId="Heading3Char">
    <w:name w:val="Heading 3 Char"/>
    <w:basedOn w:val="DefaultParagraphFont"/>
    <w:link w:val="Heading3"/>
    <w:uiPriority w:val="9"/>
    <w:qFormat/>
    <w:locked/>
    <w:rsid w:val="008A6FAE"/>
    <w:rPr>
      <w:bCs/>
      <w:caps/>
      <w:color w:val="3CA1BC" w:themeColor="background2"/>
      <w:sz w:val="28"/>
      <w:szCs w:val="32"/>
    </w:rPr>
  </w:style>
  <w:style w:type="character" w:customStyle="1" w:styleId="Heading4Char">
    <w:name w:val="Heading 4 Char"/>
    <w:basedOn w:val="DefaultParagraphFont"/>
    <w:link w:val="Heading4"/>
    <w:uiPriority w:val="9"/>
    <w:rsid w:val="002F5F8B"/>
    <w:rPr>
      <w:rFonts w:eastAsiaTheme="majorEastAsia" w:cstheme="majorBidi"/>
      <w:iCs/>
      <w:color w:val="3CA1BC" w:themeColor="accent3"/>
      <w:sz w:val="24"/>
      <w:szCs w:val="24"/>
      <w:lang w:val="ro-RO"/>
    </w:rPr>
  </w:style>
  <w:style w:type="paragraph" w:styleId="Header">
    <w:name w:val="header"/>
    <w:basedOn w:val="Normal"/>
    <w:link w:val="HeaderChar1"/>
    <w:uiPriority w:val="99"/>
    <w:rsid w:val="003D3F8F"/>
    <w:pPr>
      <w:tabs>
        <w:tab w:val="center" w:pos="4680"/>
        <w:tab w:val="right" w:pos="9360"/>
      </w:tabs>
      <w:spacing w:after="0"/>
    </w:pPr>
  </w:style>
  <w:style w:type="character" w:customStyle="1" w:styleId="HeaderChar1">
    <w:name w:val="Header Char1"/>
    <w:basedOn w:val="DefaultParagraphFont"/>
    <w:link w:val="Header"/>
    <w:uiPriority w:val="99"/>
    <w:qFormat/>
    <w:locked/>
    <w:rsid w:val="003D3F8F"/>
  </w:style>
  <w:style w:type="paragraph" w:styleId="Footer">
    <w:name w:val="footer"/>
    <w:basedOn w:val="Normal"/>
    <w:link w:val="FooterChar1"/>
    <w:uiPriority w:val="99"/>
    <w:rsid w:val="003D3F8F"/>
    <w:pPr>
      <w:tabs>
        <w:tab w:val="center" w:pos="4680"/>
        <w:tab w:val="right" w:pos="9360"/>
      </w:tabs>
      <w:spacing w:after="0"/>
    </w:pPr>
  </w:style>
  <w:style w:type="character" w:customStyle="1" w:styleId="FooterChar1">
    <w:name w:val="Footer Char1"/>
    <w:basedOn w:val="DefaultParagraphFont"/>
    <w:link w:val="Footer"/>
    <w:uiPriority w:val="99"/>
    <w:qFormat/>
    <w:locked/>
    <w:rsid w:val="003D3F8F"/>
  </w:style>
  <w:style w:type="paragraph" w:styleId="BalloonText">
    <w:name w:val="Balloon Text"/>
    <w:basedOn w:val="Normal"/>
    <w:link w:val="BalloonTextChar"/>
    <w:uiPriority w:val="99"/>
    <w:semiHidden/>
    <w:rsid w:val="003D3F8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3F8F"/>
    <w:rPr>
      <w:rFonts w:ascii="Tahoma" w:hAnsi="Tahoma" w:cs="Tahoma"/>
      <w:sz w:val="16"/>
      <w:szCs w:val="16"/>
    </w:rPr>
  </w:style>
  <w:style w:type="character" w:styleId="Hyperlink">
    <w:name w:val="Hyperlink"/>
    <w:basedOn w:val="DefaultParagraphFont"/>
    <w:uiPriority w:val="99"/>
    <w:rsid w:val="00AD4FEF"/>
    <w:rPr>
      <w:color w:val="0000FF"/>
      <w:u w:val="single"/>
    </w:rPr>
  </w:style>
  <w:style w:type="paragraph" w:styleId="FootnoteText">
    <w:name w:val="footnote text"/>
    <w:aliases w:val="Podrozdział,Footnote Text Char Char,Fußnote,Fußnotentextf,single space,footnote text,FOOTNOTES,fn,stile 1,Footnote,Footnote1,Footnote2,Footnote3,Footnote4,Footnote5,Footnote6,Footnote7,Footnote8,Footnote9,Footnote10,Footnote11,ft,f"/>
    <w:basedOn w:val="Normal"/>
    <w:link w:val="FootnoteTextChar1"/>
    <w:uiPriority w:val="99"/>
    <w:qFormat/>
    <w:rsid w:val="007D0D63"/>
    <w:pPr>
      <w:spacing w:after="0"/>
    </w:pPr>
    <w:rPr>
      <w:sz w:val="18"/>
      <w:szCs w:val="20"/>
    </w:rPr>
  </w:style>
  <w:style w:type="character" w:customStyle="1" w:styleId="FootnoteTextChar1">
    <w:name w:val="Footnote Text Char1"/>
    <w:aliases w:val="Podrozdział Char2,Footnote Text Char Char Char2,Fußnote Char2,Fußnotentextf Char1,single space Char2,footnote text Char2,FOOTNOTES Char2,fn Char2,stile 1 Char2,Footnote Char2,Footnote1 Char2,Footnote2 Char2,Footnote3 Char2,ft Char1"/>
    <w:basedOn w:val="DefaultParagraphFont"/>
    <w:link w:val="FootnoteText"/>
    <w:uiPriority w:val="99"/>
    <w:qFormat/>
    <w:locked/>
    <w:rsid w:val="007D0D63"/>
    <w:rPr>
      <w:sz w:val="18"/>
      <w:szCs w:val="20"/>
      <w:lang w:val="ro-RO"/>
    </w:rPr>
  </w:style>
  <w:style w:type="character" w:styleId="FootnoteReference">
    <w:name w:val="footnote reference"/>
    <w:aliases w:val=" BVI fnr,BVI fnr,Footnote symbol,16 Point,Superscript 6 Point,ftref,BVI fnr Char1 Char Char,Footnote Reference Number Char Char Char,Times 10 Point Char Char Char,Exposant 3 Point Char Char Char,Footnote symbol Char1 Char Char,o"/>
    <w:basedOn w:val="DefaultParagraphFont"/>
    <w:link w:val="BVIfnrChar1Char"/>
    <w:uiPriority w:val="99"/>
    <w:qFormat/>
    <w:rsid w:val="00AD4FEF"/>
    <w:rPr>
      <w:vertAlign w:val="superscript"/>
    </w:rPr>
  </w:style>
  <w:style w:type="character" w:customStyle="1" w:styleId="apple-style-span">
    <w:name w:val="apple-style-span"/>
    <w:basedOn w:val="DefaultParagraphFont"/>
    <w:uiPriority w:val="99"/>
    <w:rsid w:val="00AD4FEF"/>
  </w:style>
  <w:style w:type="paragraph" w:styleId="Caption">
    <w:name w:val="caption"/>
    <w:aliases w:val="Top caption,JR|Beschriftung,Table legend,Tab_Überschrift,Figure reference,Tab_†berschrift,Beschriftung Char2,Beschriftung Char1 Char1,Beschriftung Char Char Char1,Beschriftung Char1 Char Char,Beschriftung Char Char Char Char,Table title"/>
    <w:basedOn w:val="Normal"/>
    <w:next w:val="Normal"/>
    <w:link w:val="CaptionChar1"/>
    <w:uiPriority w:val="35"/>
    <w:qFormat/>
    <w:rsid w:val="002F5F8B"/>
    <w:pPr>
      <w:keepNext/>
      <w:spacing w:before="240"/>
    </w:pPr>
    <w:rPr>
      <w:b/>
      <w:bCs/>
      <w:caps/>
      <w:color w:val="134753" w:themeColor="text2"/>
      <w:szCs w:val="20"/>
    </w:rPr>
  </w:style>
  <w:style w:type="paragraph" w:styleId="TOC1">
    <w:name w:val="toc 1"/>
    <w:basedOn w:val="Normal"/>
    <w:next w:val="Normal"/>
    <w:autoRedefine/>
    <w:uiPriority w:val="39"/>
    <w:qFormat/>
    <w:rsid w:val="00CB49B4"/>
    <w:pPr>
      <w:tabs>
        <w:tab w:val="left" w:pos="390"/>
        <w:tab w:val="right" w:leader="dot" w:pos="9435"/>
      </w:tabs>
      <w:jc w:val="left"/>
    </w:pPr>
    <w:rPr>
      <w:b/>
      <w:bCs/>
      <w:smallCaps/>
      <w:noProof/>
      <w:color w:val="3CA1BC" w:themeColor="background2"/>
    </w:rPr>
  </w:style>
  <w:style w:type="paragraph" w:styleId="TOC2">
    <w:name w:val="toc 2"/>
    <w:basedOn w:val="Normal"/>
    <w:next w:val="Normal"/>
    <w:autoRedefine/>
    <w:uiPriority w:val="39"/>
    <w:qFormat/>
    <w:rsid w:val="00042B1F"/>
    <w:pPr>
      <w:jc w:val="left"/>
    </w:pPr>
  </w:style>
  <w:style w:type="character" w:styleId="CommentReference">
    <w:name w:val="annotation reference"/>
    <w:basedOn w:val="DefaultParagraphFont"/>
    <w:uiPriority w:val="99"/>
    <w:semiHidden/>
    <w:qFormat/>
    <w:rsid w:val="00C45CCD"/>
    <w:rPr>
      <w:sz w:val="16"/>
      <w:szCs w:val="16"/>
    </w:rPr>
  </w:style>
  <w:style w:type="paragraph" w:styleId="CommentText">
    <w:name w:val="annotation text"/>
    <w:basedOn w:val="Normal"/>
    <w:link w:val="CommentTextChar1"/>
    <w:uiPriority w:val="99"/>
    <w:semiHidden/>
    <w:rsid w:val="00C45CCD"/>
    <w:rPr>
      <w:sz w:val="20"/>
      <w:szCs w:val="20"/>
    </w:rPr>
  </w:style>
  <w:style w:type="character" w:customStyle="1" w:styleId="CommentTextChar1">
    <w:name w:val="Comment Text Char1"/>
    <w:basedOn w:val="DefaultParagraphFont"/>
    <w:link w:val="CommentText"/>
    <w:uiPriority w:val="99"/>
    <w:locked/>
    <w:rsid w:val="00C45CCD"/>
    <w:rPr>
      <w:rFonts w:eastAsia="SimSun"/>
      <w:sz w:val="20"/>
      <w:szCs w:val="20"/>
      <w:lang w:val="lt-LT" w:eastAsia="zh-CN"/>
    </w:rPr>
  </w:style>
  <w:style w:type="paragraph" w:styleId="CommentSubject">
    <w:name w:val="annotation subject"/>
    <w:basedOn w:val="CommentText"/>
    <w:next w:val="CommentText"/>
    <w:link w:val="CommentSubjectChar"/>
    <w:uiPriority w:val="99"/>
    <w:semiHidden/>
    <w:rsid w:val="006A13A3"/>
    <w:rPr>
      <w:b/>
      <w:bCs/>
    </w:rPr>
  </w:style>
  <w:style w:type="character" w:customStyle="1" w:styleId="CommentSubjectChar">
    <w:name w:val="Comment Subject Char"/>
    <w:basedOn w:val="CommentTextChar1"/>
    <w:link w:val="CommentSubject"/>
    <w:uiPriority w:val="99"/>
    <w:semiHidden/>
    <w:locked/>
    <w:rsid w:val="006A13A3"/>
    <w:rPr>
      <w:rFonts w:eastAsia="SimSun"/>
      <w:b/>
      <w:bCs/>
      <w:sz w:val="20"/>
      <w:szCs w:val="20"/>
      <w:lang w:val="lt-LT" w:eastAsia="zh-CN"/>
    </w:rPr>
  </w:style>
  <w:style w:type="paragraph" w:customStyle="1" w:styleId="MediumGrid21">
    <w:name w:val="Medium Grid 21"/>
    <w:link w:val="MediumGrid2Char"/>
    <w:uiPriority w:val="99"/>
    <w:rsid w:val="002D4335"/>
    <w:rPr>
      <w:rFonts w:eastAsia="MS Mincho" w:cs="Calibri"/>
      <w:lang w:eastAsia="en-GB"/>
    </w:rPr>
  </w:style>
  <w:style w:type="character" w:customStyle="1" w:styleId="MediumGrid2Char">
    <w:name w:val="Medium Grid 2 Char"/>
    <w:link w:val="MediumGrid21"/>
    <w:uiPriority w:val="99"/>
    <w:locked/>
    <w:rsid w:val="002D4335"/>
    <w:rPr>
      <w:rFonts w:eastAsia="MS Mincho"/>
      <w:sz w:val="22"/>
      <w:szCs w:val="22"/>
      <w:lang w:eastAsia="en-GB"/>
    </w:rPr>
  </w:style>
  <w:style w:type="paragraph" w:styleId="TOC3">
    <w:name w:val="toc 3"/>
    <w:basedOn w:val="Normal"/>
    <w:next w:val="Normal"/>
    <w:link w:val="TOC3Char1"/>
    <w:autoRedefine/>
    <w:uiPriority w:val="39"/>
    <w:qFormat/>
    <w:rsid w:val="007A0339"/>
    <w:pPr>
      <w:ind w:left="144"/>
      <w:jc w:val="left"/>
    </w:pPr>
  </w:style>
  <w:style w:type="character" w:customStyle="1" w:styleId="TOC3Char1">
    <w:name w:val="TOC 3 Char1"/>
    <w:basedOn w:val="DefaultParagraphFont"/>
    <w:link w:val="TOC3"/>
    <w:uiPriority w:val="39"/>
    <w:locked/>
    <w:rsid w:val="007A0339"/>
    <w:rPr>
      <w:rFonts w:ascii="Avenir Next Regular" w:hAnsi="Avenir Next Regular" w:cs="Cambria"/>
      <w:lang w:eastAsia="ja-JP"/>
    </w:rPr>
  </w:style>
  <w:style w:type="paragraph" w:styleId="TOCHeading">
    <w:name w:val="TOC Heading"/>
    <w:aliases w:val="Table of Contents"/>
    <w:basedOn w:val="Heading1"/>
    <w:next w:val="Normal"/>
    <w:uiPriority w:val="39"/>
    <w:qFormat/>
    <w:rsid w:val="00D0337E"/>
    <w:pPr>
      <w:keepLines/>
      <w:numPr>
        <w:numId w:val="0"/>
      </w:numPr>
      <w:outlineLvl w:val="9"/>
    </w:pPr>
    <w:rPr>
      <w:szCs w:val="28"/>
    </w:rPr>
  </w:style>
  <w:style w:type="table" w:styleId="TableGrid">
    <w:name w:val="Table Grid"/>
    <w:basedOn w:val="TableNormal"/>
    <w:uiPriority w:val="39"/>
    <w:qFormat/>
    <w:rsid w:val="007C60E4"/>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aliases w:val="FIGURA"/>
    <w:basedOn w:val="MediumGrid21"/>
    <w:next w:val="Normal"/>
    <w:link w:val="TitleChar"/>
    <w:uiPriority w:val="10"/>
    <w:qFormat/>
    <w:rsid w:val="00165213"/>
    <w:pPr>
      <w:ind w:right="558"/>
    </w:pPr>
    <w:rPr>
      <w:rFonts w:eastAsia="MS Gothic" w:cs="Cambria"/>
      <w:bCs/>
      <w:color w:val="FFFFFF" w:themeColor="background1"/>
      <w:sz w:val="40"/>
      <w:szCs w:val="56"/>
    </w:rPr>
  </w:style>
  <w:style w:type="character" w:customStyle="1" w:styleId="TitleChar">
    <w:name w:val="Title Char"/>
    <w:aliases w:val="FIGURA Char"/>
    <w:basedOn w:val="DefaultParagraphFont"/>
    <w:link w:val="Title"/>
    <w:uiPriority w:val="10"/>
    <w:locked/>
    <w:rsid w:val="00165213"/>
    <w:rPr>
      <w:rFonts w:asciiTheme="minorHAnsi" w:eastAsia="MS Gothic" w:hAnsiTheme="minorHAnsi" w:cs="Cambria"/>
      <w:bCs/>
      <w:color w:val="FFFFFF" w:themeColor="background1"/>
      <w:sz w:val="40"/>
      <w:szCs w:val="56"/>
      <w:lang w:eastAsia="en-GB"/>
    </w:rPr>
  </w:style>
  <w:style w:type="paragraph" w:styleId="Subtitle">
    <w:name w:val="Subtitle"/>
    <w:basedOn w:val="Normal"/>
    <w:next w:val="Normal"/>
    <w:link w:val="SubtitleChar"/>
    <w:uiPriority w:val="11"/>
    <w:qFormat/>
    <w:rsid w:val="007B7F31"/>
    <w:pPr>
      <w:ind w:right="556"/>
      <w:jc w:val="center"/>
    </w:pPr>
    <w:rPr>
      <w:color w:val="FFFFFF" w:themeColor="background1"/>
      <w:sz w:val="36"/>
      <w:szCs w:val="36"/>
    </w:rPr>
  </w:style>
  <w:style w:type="character" w:customStyle="1" w:styleId="SubtitleChar">
    <w:name w:val="Subtitle Char"/>
    <w:basedOn w:val="DefaultParagraphFont"/>
    <w:link w:val="Subtitle"/>
    <w:uiPriority w:val="11"/>
    <w:locked/>
    <w:rsid w:val="007B7F31"/>
    <w:rPr>
      <w:rFonts w:asciiTheme="minorHAnsi" w:hAnsiTheme="minorHAnsi" w:cs="Cambria"/>
      <w:bCs/>
      <w:color w:val="FFFFFF" w:themeColor="background1"/>
      <w:sz w:val="36"/>
      <w:szCs w:val="36"/>
      <w:lang w:val="en-US" w:eastAsia="ja-JP"/>
    </w:rPr>
  </w:style>
  <w:style w:type="character" w:styleId="Emphasis">
    <w:name w:val="Emphasis"/>
    <w:aliases w:val="Keywords"/>
    <w:basedOn w:val="DefaultParagraphFont"/>
    <w:uiPriority w:val="20"/>
    <w:qFormat/>
    <w:rsid w:val="002E655B"/>
    <w:rPr>
      <w:rFonts w:asciiTheme="minorHAnsi" w:hAnsiTheme="minorHAnsi"/>
      <w:color w:val="808080" w:themeColor="background1" w:themeShade="80"/>
      <w:sz w:val="22"/>
    </w:rPr>
  </w:style>
  <w:style w:type="paragraph" w:styleId="Quote">
    <w:name w:val="Quote"/>
    <w:aliases w:val="Contact information"/>
    <w:basedOn w:val="Normal"/>
    <w:next w:val="Normal"/>
    <w:link w:val="QuoteChar"/>
    <w:uiPriority w:val="99"/>
    <w:qFormat/>
    <w:rsid w:val="00C31659"/>
    <w:pPr>
      <w:spacing w:after="0"/>
      <w:jc w:val="left"/>
    </w:pPr>
    <w:rPr>
      <w:iCs/>
      <w:color w:val="FFFFFF" w:themeColor="background1"/>
    </w:rPr>
  </w:style>
  <w:style w:type="character" w:customStyle="1" w:styleId="QuoteChar">
    <w:name w:val="Quote Char"/>
    <w:aliases w:val="Contact information Char"/>
    <w:basedOn w:val="DefaultParagraphFont"/>
    <w:link w:val="Quote"/>
    <w:uiPriority w:val="99"/>
    <w:locked/>
    <w:rsid w:val="00C31659"/>
    <w:rPr>
      <w:rFonts w:ascii="Avenir Next Regular" w:hAnsi="Avenir Next Regular" w:cs="Cambria"/>
      <w:iCs/>
      <w:color w:val="FFFFFF" w:themeColor="background1"/>
      <w:lang w:eastAsia="ja-JP"/>
    </w:rPr>
  </w:style>
  <w:style w:type="table" w:customStyle="1" w:styleId="TableGridLight1">
    <w:name w:val="Table Grid Light1"/>
    <w:basedOn w:val="TableNormal"/>
    <w:uiPriority w:val="40"/>
    <w:rsid w:val="0095085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ibliography">
    <w:name w:val="Bibliography"/>
    <w:basedOn w:val="Normal"/>
    <w:next w:val="Normal"/>
    <w:uiPriority w:val="99"/>
    <w:rsid w:val="00023842"/>
  </w:style>
  <w:style w:type="paragraph" w:customStyle="1" w:styleId="bodytext">
    <w:name w:val="bodytext"/>
    <w:basedOn w:val="Normal"/>
    <w:uiPriority w:val="99"/>
    <w:rsid w:val="005C762C"/>
    <w:pPr>
      <w:spacing w:before="100" w:beforeAutospacing="1" w:after="100" w:afterAutospacing="1"/>
      <w:jc w:val="left"/>
    </w:pPr>
    <w:rPr>
      <w:rFonts w:ascii="Times New Roman" w:hAnsi="Times New Roman" w:cs="Times New Roman"/>
      <w:sz w:val="24"/>
      <w:szCs w:val="24"/>
      <w:lang w:eastAsia="lt-LT"/>
    </w:rPr>
  </w:style>
  <w:style w:type="paragraph" w:styleId="NormalWeb">
    <w:name w:val="Normal (Web)"/>
    <w:basedOn w:val="Normal"/>
    <w:uiPriority w:val="99"/>
    <w:rsid w:val="003E42CD"/>
    <w:pPr>
      <w:spacing w:before="100" w:beforeAutospacing="1" w:after="100" w:afterAutospacing="1"/>
      <w:jc w:val="left"/>
    </w:pPr>
    <w:rPr>
      <w:rFonts w:ascii="Times New Roman" w:hAnsi="Times New Roman" w:cs="Times New Roman"/>
      <w:sz w:val="24"/>
      <w:szCs w:val="24"/>
      <w:lang w:val="et-EE" w:eastAsia="et-EE"/>
    </w:rPr>
  </w:style>
  <w:style w:type="character" w:styleId="Strong">
    <w:name w:val="Strong"/>
    <w:basedOn w:val="DefaultParagraphFont"/>
    <w:uiPriority w:val="99"/>
    <w:qFormat/>
    <w:rsid w:val="00F55416"/>
    <w:rPr>
      <w:b/>
      <w:bCs/>
      <w:color w:val="134753"/>
    </w:rPr>
  </w:style>
  <w:style w:type="table" w:customStyle="1" w:styleId="Civittatable">
    <w:name w:val="Civitta table"/>
    <w:basedOn w:val="TableNormal"/>
    <w:uiPriority w:val="99"/>
    <w:rsid w:val="00FE4962"/>
    <w:pPr>
      <w:spacing w:before="60" w:after="60"/>
    </w:pPr>
    <w:rPr>
      <w:sz w:val="20"/>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Autospacing="0" w:afterLines="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character" w:customStyle="1" w:styleId="TOC3Char">
    <w:name w:val="TOC 3 Char"/>
    <w:basedOn w:val="DefaultParagraphFont"/>
    <w:uiPriority w:val="39"/>
    <w:rsid w:val="007A0339"/>
    <w:rPr>
      <w:rFonts w:ascii="Cambria" w:hAnsi="Cambria" w:cs="Cambria"/>
      <w:lang w:eastAsia="ja-JP"/>
    </w:rPr>
  </w:style>
  <w:style w:type="paragraph" w:styleId="TOC4">
    <w:name w:val="toc 4"/>
    <w:basedOn w:val="Normal"/>
    <w:next w:val="Normal"/>
    <w:autoRedefine/>
    <w:uiPriority w:val="39"/>
    <w:rsid w:val="008B12B6"/>
    <w:pPr>
      <w:spacing w:after="0"/>
      <w:jc w:val="left"/>
    </w:pPr>
    <w:rPr>
      <w:rFonts w:ascii="Calibri" w:hAnsi="Calibri" w:cs="Calibri"/>
    </w:rPr>
  </w:style>
  <w:style w:type="paragraph" w:styleId="TOC5">
    <w:name w:val="toc 5"/>
    <w:basedOn w:val="Normal"/>
    <w:next w:val="Normal"/>
    <w:autoRedefine/>
    <w:uiPriority w:val="39"/>
    <w:rsid w:val="00042B1F"/>
    <w:pPr>
      <w:spacing w:after="0"/>
      <w:jc w:val="left"/>
    </w:pPr>
    <w:rPr>
      <w:rFonts w:ascii="Calibri" w:hAnsi="Calibri" w:cs="Calibri"/>
    </w:rPr>
  </w:style>
  <w:style w:type="paragraph" w:styleId="TOC6">
    <w:name w:val="toc 6"/>
    <w:basedOn w:val="Normal"/>
    <w:next w:val="Normal"/>
    <w:autoRedefine/>
    <w:uiPriority w:val="39"/>
    <w:rsid w:val="00042B1F"/>
    <w:pPr>
      <w:spacing w:after="0"/>
      <w:jc w:val="left"/>
    </w:pPr>
    <w:rPr>
      <w:rFonts w:ascii="Calibri" w:hAnsi="Calibri" w:cs="Calibri"/>
    </w:rPr>
  </w:style>
  <w:style w:type="paragraph" w:styleId="TOC7">
    <w:name w:val="toc 7"/>
    <w:basedOn w:val="Normal"/>
    <w:next w:val="Normal"/>
    <w:autoRedefine/>
    <w:uiPriority w:val="39"/>
    <w:rsid w:val="00042B1F"/>
    <w:pPr>
      <w:spacing w:after="0"/>
      <w:jc w:val="left"/>
    </w:pPr>
    <w:rPr>
      <w:rFonts w:ascii="Calibri" w:hAnsi="Calibri" w:cs="Calibri"/>
    </w:rPr>
  </w:style>
  <w:style w:type="paragraph" w:styleId="TOC8">
    <w:name w:val="toc 8"/>
    <w:basedOn w:val="Normal"/>
    <w:next w:val="Normal"/>
    <w:autoRedefine/>
    <w:uiPriority w:val="39"/>
    <w:rsid w:val="00042B1F"/>
    <w:pPr>
      <w:spacing w:after="0"/>
      <w:jc w:val="left"/>
    </w:pPr>
    <w:rPr>
      <w:rFonts w:ascii="Calibri" w:hAnsi="Calibri" w:cs="Calibri"/>
    </w:rPr>
  </w:style>
  <w:style w:type="paragraph" w:styleId="TOC9">
    <w:name w:val="toc 9"/>
    <w:basedOn w:val="Normal"/>
    <w:next w:val="Normal"/>
    <w:autoRedefine/>
    <w:uiPriority w:val="39"/>
    <w:rsid w:val="00042B1F"/>
    <w:pPr>
      <w:spacing w:after="0"/>
      <w:jc w:val="left"/>
    </w:pPr>
    <w:rPr>
      <w:rFonts w:ascii="Calibri" w:hAnsi="Calibri" w:cs="Calibri"/>
    </w:rPr>
  </w:style>
  <w:style w:type="paragraph" w:styleId="TableofFigures">
    <w:name w:val="table of figures"/>
    <w:basedOn w:val="Normal"/>
    <w:next w:val="Normal"/>
    <w:uiPriority w:val="99"/>
    <w:rsid w:val="006B36A9"/>
  </w:style>
  <w:style w:type="character" w:customStyle="1" w:styleId="apple-converted-space">
    <w:name w:val="apple-converted-space"/>
    <w:basedOn w:val="DefaultParagraphFont"/>
    <w:uiPriority w:val="99"/>
    <w:rsid w:val="00E077DE"/>
  </w:style>
  <w:style w:type="paragraph" w:customStyle="1" w:styleId="Default">
    <w:name w:val="Default"/>
    <w:uiPriority w:val="99"/>
    <w:rsid w:val="00E077DE"/>
    <w:pPr>
      <w:autoSpaceDE w:val="0"/>
      <w:autoSpaceDN w:val="0"/>
      <w:adjustRightInd w:val="0"/>
    </w:pPr>
    <w:rPr>
      <w:rFonts w:cs="Calibri"/>
      <w:color w:val="000000"/>
      <w:sz w:val="24"/>
      <w:szCs w:val="24"/>
      <w:lang w:eastAsia="zh-CN"/>
    </w:rPr>
  </w:style>
  <w:style w:type="character" w:styleId="PlaceholderText">
    <w:name w:val="Placeholder Text"/>
    <w:basedOn w:val="DefaultParagraphFont"/>
    <w:uiPriority w:val="99"/>
    <w:semiHidden/>
    <w:rsid w:val="00D86056"/>
    <w:rPr>
      <w:color w:val="808080"/>
    </w:rPr>
  </w:style>
  <w:style w:type="paragraph" w:customStyle="1" w:styleId="Bullet">
    <w:name w:val="Bullet"/>
    <w:basedOn w:val="ListParagraph"/>
    <w:link w:val="BulletChar"/>
    <w:qFormat/>
    <w:rsid w:val="00E03B26"/>
    <w:pPr>
      <w:numPr>
        <w:numId w:val="1"/>
      </w:numPr>
      <w:spacing w:after="60"/>
    </w:pPr>
    <w:rPr>
      <w:rFonts w:eastAsia="MS Gothic"/>
      <w:bCs/>
      <w:color w:val="134753" w:themeColor="accent2"/>
      <w:lang w:eastAsia="en-GB"/>
    </w:rPr>
  </w:style>
  <w:style w:type="character" w:customStyle="1" w:styleId="BulletChar">
    <w:name w:val="Bullet Char"/>
    <w:basedOn w:val="ListParagraphChar1"/>
    <w:link w:val="Bullet"/>
    <w:qFormat/>
    <w:rsid w:val="00E03B26"/>
    <w:rPr>
      <w:rFonts w:eastAsia="MS Gothic"/>
      <w:bCs/>
      <w:color w:val="134753" w:themeColor="accent2"/>
      <w:lang w:val="ro-RO" w:eastAsia="en-GB"/>
    </w:rPr>
  </w:style>
  <w:style w:type="paragraph" w:customStyle="1" w:styleId="Bottomcaption">
    <w:name w:val="Bottom caption"/>
    <w:basedOn w:val="Caption"/>
    <w:link w:val="BottomcaptionChar"/>
    <w:qFormat/>
    <w:rsid w:val="00837917"/>
    <w:pPr>
      <w:keepNext w:val="0"/>
      <w:spacing w:before="120" w:after="360"/>
      <w:jc w:val="right"/>
    </w:pPr>
    <w:rPr>
      <w:b w:val="0"/>
      <w:caps w:val="0"/>
      <w:color w:val="808080" w:themeColor="background1" w:themeShade="80"/>
    </w:rPr>
  </w:style>
  <w:style w:type="character" w:customStyle="1" w:styleId="BottomcaptionChar">
    <w:name w:val="Bottom caption Char"/>
    <w:basedOn w:val="DefaultParagraphFont"/>
    <w:link w:val="Bottomcaption"/>
    <w:qFormat/>
    <w:rsid w:val="00837917"/>
    <w:rPr>
      <w:bCs/>
      <w:color w:val="808080" w:themeColor="background1" w:themeShade="80"/>
      <w:szCs w:val="20"/>
      <w:lang w:val="ro-RO"/>
    </w:rPr>
  </w:style>
  <w:style w:type="character" w:styleId="SubtleEmphasis">
    <w:name w:val="Subtle Emphasis"/>
    <w:basedOn w:val="DefaultParagraphFont"/>
    <w:uiPriority w:val="19"/>
    <w:qFormat/>
    <w:rsid w:val="009078FF"/>
    <w:rPr>
      <w:i/>
      <w:iCs/>
    </w:rPr>
  </w:style>
  <w:style w:type="character" w:styleId="BookTitle">
    <w:name w:val="Book Title"/>
    <w:basedOn w:val="DefaultParagraphFont"/>
    <w:uiPriority w:val="33"/>
    <w:qFormat/>
    <w:rsid w:val="0055242E"/>
    <w:rPr>
      <w:rFonts w:ascii="Avenir Next Regular" w:hAnsi="Avenir Next Regular"/>
      <w:b/>
      <w:bCs/>
      <w:i/>
      <w:iCs/>
      <w:color w:val="134753"/>
      <w:spacing w:val="5"/>
    </w:rPr>
  </w:style>
  <w:style w:type="table" w:styleId="TableTheme">
    <w:name w:val="Table Theme"/>
    <w:basedOn w:val="TableNormal"/>
    <w:uiPriority w:val="99"/>
    <w:semiHidden/>
    <w:unhideWhenUsed/>
    <w:rsid w:val="00534500"/>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rsid w:val="00547F57"/>
    <w:pPr>
      <w:autoSpaceDE w:val="0"/>
      <w:autoSpaceDN w:val="0"/>
      <w:adjustRightInd w:val="0"/>
      <w:spacing w:after="0" w:line="288" w:lineRule="auto"/>
      <w:jc w:val="left"/>
      <w:textAlignment w:val="center"/>
    </w:pPr>
    <w:rPr>
      <w:rFonts w:ascii="Minion Pro" w:eastAsiaTheme="minorHAnsi" w:hAnsi="Minion Pro" w:cs="Minion Pro"/>
      <w:bCs/>
      <w:color w:val="000000"/>
      <w:sz w:val="24"/>
      <w:szCs w:val="24"/>
      <w:lang w:val="en-GB"/>
    </w:rPr>
  </w:style>
  <w:style w:type="table" w:customStyle="1" w:styleId="GridTable1Light1">
    <w:name w:val="Grid Table 1 Light1"/>
    <w:basedOn w:val="TableNormal"/>
    <w:uiPriority w:val="46"/>
    <w:rsid w:val="005C328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ummary">
    <w:name w:val="Summary"/>
    <w:basedOn w:val="Normal"/>
    <w:link w:val="SummaryChar"/>
    <w:rsid w:val="004C6C72"/>
    <w:pPr>
      <w:pBdr>
        <w:top w:val="single" w:sz="2" w:space="1" w:color="BFBFBF" w:themeColor="background1" w:themeShade="BF"/>
        <w:bottom w:val="single" w:sz="2" w:space="1" w:color="BFBFBF" w:themeColor="background1" w:themeShade="BF"/>
      </w:pBdr>
      <w:spacing w:before="360" w:after="360"/>
    </w:pPr>
    <w:rPr>
      <w:color w:val="000000" w:themeColor="text1"/>
    </w:rPr>
  </w:style>
  <w:style w:type="character" w:customStyle="1" w:styleId="SummaryChar">
    <w:name w:val="Summary Char"/>
    <w:basedOn w:val="DefaultParagraphFont"/>
    <w:link w:val="Summary"/>
    <w:rsid w:val="004C6C72"/>
    <w:rPr>
      <w:rFonts w:asciiTheme="minorHAnsi" w:hAnsiTheme="minorHAnsi" w:cs="Cambria"/>
      <w:bCs/>
      <w:color w:val="000000" w:themeColor="text1"/>
      <w:lang w:val="en-US" w:eastAsia="ja-JP"/>
    </w:rPr>
  </w:style>
  <w:style w:type="paragraph" w:customStyle="1" w:styleId="Focus">
    <w:name w:val="Focus"/>
    <w:basedOn w:val="Normal"/>
    <w:link w:val="FocusChar"/>
    <w:qFormat/>
    <w:rsid w:val="00F03996"/>
    <w:pPr>
      <w:keepNext/>
    </w:pPr>
    <w:rPr>
      <w:b/>
      <w:caps/>
      <w:color w:val="134753" w:themeColor="text2"/>
    </w:rPr>
  </w:style>
  <w:style w:type="character" w:customStyle="1" w:styleId="FocusChar">
    <w:name w:val="Focus Char"/>
    <w:basedOn w:val="DefaultParagraphFont"/>
    <w:link w:val="Focus"/>
    <w:rsid w:val="00F03996"/>
    <w:rPr>
      <w:rFonts w:asciiTheme="minorHAnsi" w:hAnsiTheme="minorHAnsi" w:cs="Cambria"/>
      <w:b/>
      <w:bCs/>
      <w:caps/>
      <w:color w:val="134753" w:themeColor="text2"/>
      <w:lang w:val="en-US" w:eastAsia="ja-JP"/>
    </w:rPr>
  </w:style>
  <w:style w:type="paragraph" w:customStyle="1" w:styleId="Body">
    <w:name w:val="Body"/>
    <w:rsid w:val="00AD7E6B"/>
    <w:pPr>
      <w:pBdr>
        <w:top w:val="nil"/>
        <w:left w:val="nil"/>
        <w:bottom w:val="nil"/>
        <w:right w:val="nil"/>
        <w:between w:val="nil"/>
        <w:bar w:val="nil"/>
      </w:pBdr>
      <w:spacing w:after="160" w:line="259" w:lineRule="auto"/>
    </w:pPr>
    <w:rPr>
      <w:rFonts w:eastAsia="Arial Unicode MS" w:cs="Arial Unicode MS"/>
      <w:color w:val="000000"/>
      <w:u w:color="000000"/>
      <w:bdr w:val="nil"/>
      <w:lang w:val="en-US" w:eastAsia="lv-LV"/>
    </w:rPr>
  </w:style>
  <w:style w:type="numbering" w:customStyle="1" w:styleId="Style1">
    <w:name w:val="Style1"/>
    <w:uiPriority w:val="99"/>
    <w:rsid w:val="009D701E"/>
    <w:pPr>
      <w:numPr>
        <w:numId w:val="2"/>
      </w:numPr>
    </w:pPr>
  </w:style>
  <w:style w:type="numbering" w:customStyle="1" w:styleId="Headings">
    <w:name w:val="Headings"/>
    <w:uiPriority w:val="99"/>
    <w:rsid w:val="00F36FC2"/>
    <w:pPr>
      <w:numPr>
        <w:numId w:val="3"/>
      </w:numPr>
    </w:pPr>
  </w:style>
  <w:style w:type="table" w:customStyle="1" w:styleId="PlainTable51">
    <w:name w:val="Plain Table 51"/>
    <w:basedOn w:val="TableNormal"/>
    <w:uiPriority w:val="45"/>
    <w:rsid w:val="00FE496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ivittasummary">
    <w:name w:val="Civitta summary"/>
    <w:basedOn w:val="TableGridLight1"/>
    <w:uiPriority w:val="99"/>
    <w:rsid w:val="006B3CB7"/>
    <w:pPr>
      <w:spacing w:before="60" w:after="60"/>
    </w:pPr>
    <w:tblPr>
      <w:tblBorders>
        <w:top w:val="single" w:sz="4" w:space="0" w:color="808080" w:themeColor="background1" w:themeShade="80"/>
        <w:left w:val="none" w:sz="0" w:space="0" w:color="auto"/>
        <w:bottom w:val="single" w:sz="4" w:space="0" w:color="808080" w:themeColor="background1" w:themeShade="80"/>
        <w:right w:val="none" w:sz="0" w:space="0" w:color="auto"/>
        <w:insideH w:val="none" w:sz="0" w:space="0" w:color="auto"/>
        <w:insideV w:val="none" w:sz="0" w:space="0" w:color="auto"/>
      </w:tblBorders>
    </w:tblPr>
    <w:tcPr>
      <w:shd w:val="clear" w:color="auto" w:fill="auto"/>
    </w:tcPr>
  </w:style>
  <w:style w:type="character" w:styleId="FollowedHyperlink">
    <w:name w:val="FollowedHyperlink"/>
    <w:basedOn w:val="DefaultParagraphFont"/>
    <w:uiPriority w:val="99"/>
    <w:semiHidden/>
    <w:unhideWhenUsed/>
    <w:rsid w:val="00E66FCE"/>
    <w:rPr>
      <w:color w:val="134753" w:themeColor="followedHyperlink"/>
      <w:u w:val="single"/>
    </w:rPr>
  </w:style>
  <w:style w:type="paragraph" w:customStyle="1" w:styleId="Actiontitle">
    <w:name w:val="Action title"/>
    <w:basedOn w:val="Focus"/>
    <w:link w:val="ActiontitleChar"/>
    <w:qFormat/>
    <w:rsid w:val="006E1E86"/>
    <w:rPr>
      <w:caps w:val="0"/>
    </w:rPr>
  </w:style>
  <w:style w:type="character" w:customStyle="1" w:styleId="ActiontitleChar">
    <w:name w:val="Action title Char"/>
    <w:basedOn w:val="FocusChar"/>
    <w:link w:val="Actiontitle"/>
    <w:rsid w:val="006E1E86"/>
    <w:rPr>
      <w:rFonts w:asciiTheme="minorHAnsi" w:hAnsiTheme="minorHAnsi" w:cs="Cambria"/>
      <w:b/>
      <w:bCs w:val="0"/>
      <w:caps w:val="0"/>
      <w:color w:val="134753" w:themeColor="text2"/>
      <w:lang w:val="en-US" w:eastAsia="ja-JP"/>
    </w:rPr>
  </w:style>
  <w:style w:type="character" w:customStyle="1" w:styleId="UnresolvedMention1">
    <w:name w:val="Unresolved Mention1"/>
    <w:basedOn w:val="DefaultParagraphFont"/>
    <w:uiPriority w:val="99"/>
    <w:semiHidden/>
    <w:unhideWhenUsed/>
    <w:rsid w:val="00135D3F"/>
    <w:rPr>
      <w:color w:val="605E5C"/>
      <w:shd w:val="clear" w:color="auto" w:fill="E1DFDD"/>
    </w:rPr>
  </w:style>
  <w:style w:type="paragraph" w:customStyle="1" w:styleId="BVIfnrChar1Char">
    <w:name w:val="BVI fnr Char1 Char"/>
    <w:aliases w:val="Footnote Reference Number Char Char,Times 10 Point Char Char,Exposant 3 Point Char Char,Footnote symbol Char1 Char,Footnote reference number Char Char,fr"/>
    <w:basedOn w:val="Normal"/>
    <w:next w:val="Normal"/>
    <w:link w:val="FootnoteReference"/>
    <w:uiPriority w:val="99"/>
    <w:qFormat/>
    <w:rsid w:val="006C5836"/>
    <w:pPr>
      <w:spacing w:after="160" w:line="240" w:lineRule="exact"/>
      <w:jc w:val="left"/>
    </w:pPr>
    <w:rPr>
      <w:vertAlign w:val="superscript"/>
    </w:rPr>
  </w:style>
  <w:style w:type="table" w:styleId="GridTable5Dark-Accent1">
    <w:name w:val="Grid Table 5 Dark Accent 1"/>
    <w:basedOn w:val="TableNormal"/>
    <w:uiPriority w:val="50"/>
    <w:rsid w:val="00467CD3"/>
    <w:rPr>
      <w:rFonts w:eastAsiaTheme="minorHAnsi" w:cstheme="minorBidi"/>
      <w:bCs/>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5E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7F7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7F7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7F7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7F7F" w:themeFill="accent1"/>
      </w:tcPr>
    </w:tblStylePr>
    <w:tblStylePr w:type="band1Vert">
      <w:tblPr/>
      <w:tcPr>
        <w:shd w:val="clear" w:color="auto" w:fill="CBCBCB" w:themeFill="accent1" w:themeFillTint="66"/>
      </w:tcPr>
    </w:tblStylePr>
    <w:tblStylePr w:type="band1Horz">
      <w:tblPr/>
      <w:tcPr>
        <w:shd w:val="clear" w:color="auto" w:fill="CBCBCB" w:themeFill="accent1" w:themeFillTint="66"/>
      </w:tcPr>
    </w:tblStylePr>
  </w:style>
  <w:style w:type="table" w:styleId="GridTable5Dark-Accent3">
    <w:name w:val="Grid Table 5 Dark Accent 3"/>
    <w:basedOn w:val="TableNormal"/>
    <w:uiPriority w:val="50"/>
    <w:rsid w:val="00467CD3"/>
    <w:rPr>
      <w:rFonts w:eastAsiaTheme="minorHAnsi" w:cstheme="minorBidi"/>
      <w:bCs/>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ECF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CA1B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CA1B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CA1B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CA1BC" w:themeFill="accent3"/>
      </w:tcPr>
    </w:tblStylePr>
    <w:tblStylePr w:type="band1Vert">
      <w:tblPr/>
      <w:tcPr>
        <w:shd w:val="clear" w:color="auto" w:fill="AFDAE5" w:themeFill="accent3" w:themeFillTint="66"/>
      </w:tcPr>
    </w:tblStylePr>
    <w:tblStylePr w:type="band1Horz">
      <w:tblPr/>
      <w:tcPr>
        <w:shd w:val="clear" w:color="auto" w:fill="AFDAE5" w:themeFill="accent3" w:themeFillTint="66"/>
      </w:tcPr>
    </w:tblStylePr>
  </w:style>
  <w:style w:type="table" w:styleId="GridTable5Dark-Accent4">
    <w:name w:val="Grid Table 5 Dark Accent 4"/>
    <w:basedOn w:val="TableNormal"/>
    <w:uiPriority w:val="50"/>
    <w:rsid w:val="00467CD3"/>
    <w:rPr>
      <w:rFonts w:eastAsiaTheme="minorHAnsi" w:cstheme="minorBidi"/>
      <w:bCs/>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AF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2E8F1"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2E8F1"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2E8F1"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2E8F1" w:themeFill="accent4"/>
      </w:tcPr>
    </w:tblStylePr>
    <w:tblStylePr w:type="band1Vert">
      <w:tblPr/>
      <w:tcPr>
        <w:shd w:val="clear" w:color="auto" w:fill="E6F5F9" w:themeFill="accent4" w:themeFillTint="66"/>
      </w:tcPr>
    </w:tblStylePr>
    <w:tblStylePr w:type="band1Horz">
      <w:tblPr/>
      <w:tcPr>
        <w:shd w:val="clear" w:color="auto" w:fill="E6F5F9" w:themeFill="accent4" w:themeFillTint="66"/>
      </w:tcPr>
    </w:tblStylePr>
  </w:style>
  <w:style w:type="table" w:styleId="GridTable4-Accent6">
    <w:name w:val="Grid Table 4 Accent 6"/>
    <w:basedOn w:val="TableNormal"/>
    <w:uiPriority w:val="49"/>
    <w:rsid w:val="00467CD3"/>
    <w:rPr>
      <w:rFonts w:eastAsiaTheme="minorHAnsi" w:cstheme="minorBidi"/>
      <w:bCs/>
      <w:sz w:val="24"/>
      <w:szCs w:val="24"/>
      <w:lang w:val="en-US"/>
    </w:rPr>
    <w:tblPr>
      <w:tblStyleRowBandSize w:val="1"/>
      <w:tblStyleColBandSize w:val="1"/>
      <w:tblBorders>
        <w:top w:val="single" w:sz="4" w:space="0" w:color="99C771" w:themeColor="accent6" w:themeTint="99"/>
        <w:left w:val="single" w:sz="4" w:space="0" w:color="99C771" w:themeColor="accent6" w:themeTint="99"/>
        <w:bottom w:val="single" w:sz="4" w:space="0" w:color="99C771" w:themeColor="accent6" w:themeTint="99"/>
        <w:right w:val="single" w:sz="4" w:space="0" w:color="99C771" w:themeColor="accent6" w:themeTint="99"/>
        <w:insideH w:val="single" w:sz="4" w:space="0" w:color="99C771" w:themeColor="accent6" w:themeTint="99"/>
        <w:insideV w:val="single" w:sz="4" w:space="0" w:color="99C771" w:themeColor="accent6" w:themeTint="99"/>
      </w:tblBorders>
    </w:tblPr>
    <w:tblStylePr w:type="firstRow">
      <w:rPr>
        <w:b/>
        <w:bCs/>
        <w:color w:val="FFFFFF" w:themeColor="background1"/>
      </w:rPr>
      <w:tblPr/>
      <w:tcPr>
        <w:tcBorders>
          <w:top w:val="single" w:sz="4" w:space="0" w:color="588133" w:themeColor="accent6"/>
          <w:left w:val="single" w:sz="4" w:space="0" w:color="588133" w:themeColor="accent6"/>
          <w:bottom w:val="single" w:sz="4" w:space="0" w:color="588133" w:themeColor="accent6"/>
          <w:right w:val="single" w:sz="4" w:space="0" w:color="588133" w:themeColor="accent6"/>
          <w:insideH w:val="nil"/>
          <w:insideV w:val="nil"/>
        </w:tcBorders>
        <w:shd w:val="clear" w:color="auto" w:fill="588133" w:themeFill="accent6"/>
      </w:tcPr>
    </w:tblStylePr>
    <w:tblStylePr w:type="lastRow">
      <w:rPr>
        <w:b/>
        <w:bCs/>
      </w:rPr>
      <w:tblPr/>
      <w:tcPr>
        <w:tcBorders>
          <w:top w:val="double" w:sz="4" w:space="0" w:color="588133" w:themeColor="accent6"/>
        </w:tcBorders>
      </w:tcPr>
    </w:tblStylePr>
    <w:tblStylePr w:type="firstCol">
      <w:rPr>
        <w:b/>
        <w:bCs/>
      </w:rPr>
    </w:tblStylePr>
    <w:tblStylePr w:type="lastCol">
      <w:rPr>
        <w:b/>
        <w:bCs/>
      </w:rPr>
    </w:tblStylePr>
    <w:tblStylePr w:type="band1Vert">
      <w:tblPr/>
      <w:tcPr>
        <w:shd w:val="clear" w:color="auto" w:fill="DDECCF" w:themeFill="accent6" w:themeFillTint="33"/>
      </w:tcPr>
    </w:tblStylePr>
    <w:tblStylePr w:type="band1Horz">
      <w:tblPr/>
      <w:tcPr>
        <w:shd w:val="clear" w:color="auto" w:fill="DDECCF" w:themeFill="accent6" w:themeFillTint="33"/>
      </w:tcPr>
    </w:tblStylePr>
  </w:style>
  <w:style w:type="paragraph" w:styleId="Revision">
    <w:name w:val="Revision"/>
    <w:hidden/>
    <w:uiPriority w:val="99"/>
    <w:semiHidden/>
    <w:rsid w:val="00467CD3"/>
    <w:rPr>
      <w:rFonts w:ascii="Times New Roman" w:eastAsia="Times New Roman" w:hAnsi="Times New Roman" w:cs="Times New Roman"/>
      <w:bCs/>
      <w:sz w:val="24"/>
      <w:szCs w:val="24"/>
      <w:lang w:val="en-US"/>
    </w:rPr>
  </w:style>
  <w:style w:type="table" w:styleId="GridTable5Dark-Accent2">
    <w:name w:val="Grid Table 5 Dark Accent 2"/>
    <w:basedOn w:val="TableNormal"/>
    <w:uiPriority w:val="50"/>
    <w:rsid w:val="00766A0C"/>
    <w:rPr>
      <w:bC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E6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3475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3475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3475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34753" w:themeFill="accent2"/>
      </w:tcPr>
    </w:tblStylePr>
    <w:tblStylePr w:type="band1Vert">
      <w:tblPr/>
      <w:tcPr>
        <w:shd w:val="clear" w:color="auto" w:fill="7ACDE0" w:themeFill="accent2" w:themeFillTint="66"/>
      </w:tcPr>
    </w:tblStylePr>
    <w:tblStylePr w:type="band1Horz">
      <w:tblPr/>
      <w:tcPr>
        <w:shd w:val="clear" w:color="auto" w:fill="7ACDE0" w:themeFill="accent2" w:themeFillTint="66"/>
      </w:tcPr>
    </w:tblStylePr>
  </w:style>
  <w:style w:type="character" w:customStyle="1" w:styleId="CaptionChar1">
    <w:name w:val="Caption Char1"/>
    <w:aliases w:val="Top caption Char1,JR|Beschriftung Char1,Table legend Char1,Tab_Überschrift Char1,Figure reference Char1,Tab_†berschrift Char1,Beschriftung Char2 Char1,Beschriftung Char1 Char1 Char1,Beschriftung Char Char Char1 Char1,Table title Char1"/>
    <w:link w:val="Caption"/>
    <w:uiPriority w:val="35"/>
    <w:locked/>
    <w:rsid w:val="002F5F8B"/>
    <w:rPr>
      <w:b/>
      <w:bCs/>
      <w:caps/>
      <w:color w:val="134753" w:themeColor="text2"/>
      <w:szCs w:val="20"/>
      <w:lang w:val="ro-RO"/>
    </w:rPr>
  </w:style>
  <w:style w:type="paragraph" w:customStyle="1" w:styleId="Normal0">
    <w:name w:val="*Normal"/>
    <w:basedOn w:val="Normal"/>
    <w:link w:val="NormalChar"/>
    <w:qFormat/>
    <w:rsid w:val="004F78C8"/>
    <w:rPr>
      <w:rFonts w:ascii="Calibri" w:eastAsia="Times New Roman" w:hAnsi="Calibri" w:cs="Times New Roman"/>
    </w:rPr>
  </w:style>
  <w:style w:type="character" w:customStyle="1" w:styleId="NormalChar">
    <w:name w:val="*Normal Char"/>
    <w:link w:val="Normal0"/>
    <w:qFormat/>
    <w:locked/>
    <w:rsid w:val="004F78C8"/>
    <w:rPr>
      <w:rFonts w:ascii="Calibri" w:eastAsia="Times New Roman" w:hAnsi="Calibri" w:cs="Times New Roman"/>
      <w:lang w:val="ro-RO"/>
    </w:rPr>
  </w:style>
  <w:style w:type="paragraph" w:customStyle="1" w:styleId="msonormal0">
    <w:name w:val="msonormal"/>
    <w:basedOn w:val="Normal"/>
    <w:rsid w:val="00B80947"/>
    <w:pPr>
      <w:spacing w:before="100" w:beforeAutospacing="1" w:after="100" w:afterAutospacing="1"/>
      <w:jc w:val="left"/>
    </w:pPr>
    <w:rPr>
      <w:rFonts w:ascii="Times New Roman" w:eastAsia="Times New Roman" w:hAnsi="Times New Roman" w:cs="Times New Roman"/>
      <w:bCs/>
      <w:sz w:val="24"/>
      <w:szCs w:val="24"/>
      <w:lang w:val="en-US"/>
    </w:rPr>
  </w:style>
  <w:style w:type="paragraph" w:customStyle="1" w:styleId="font5">
    <w:name w:val="font5"/>
    <w:basedOn w:val="Normal"/>
    <w:rsid w:val="00B80947"/>
    <w:pPr>
      <w:spacing w:before="100" w:beforeAutospacing="1" w:after="100" w:afterAutospacing="1"/>
      <w:jc w:val="left"/>
    </w:pPr>
    <w:rPr>
      <w:rFonts w:ascii="Calibri" w:eastAsia="Times New Roman" w:hAnsi="Calibri" w:cs="Calibri"/>
      <w:bCs/>
      <w:i/>
      <w:iCs/>
      <w:color w:val="000000"/>
      <w:lang w:val="en-US"/>
    </w:rPr>
  </w:style>
  <w:style w:type="paragraph" w:customStyle="1" w:styleId="xl63">
    <w:name w:val="xl63"/>
    <w:basedOn w:val="Normal"/>
    <w:rsid w:val="00B80947"/>
    <w:pPr>
      <w:spacing w:before="100" w:beforeAutospacing="1" w:after="100" w:afterAutospacing="1"/>
      <w:jc w:val="left"/>
    </w:pPr>
    <w:rPr>
      <w:rFonts w:ascii="Times New Roman" w:eastAsia="Times New Roman" w:hAnsi="Times New Roman" w:cs="Times New Roman"/>
      <w:bCs/>
      <w:sz w:val="24"/>
      <w:szCs w:val="24"/>
      <w:lang w:val="en-US"/>
    </w:rPr>
  </w:style>
  <w:style w:type="paragraph" w:customStyle="1" w:styleId="xl64">
    <w:name w:val="xl64"/>
    <w:basedOn w:val="Normal"/>
    <w:rsid w:val="00B80947"/>
    <w:pPr>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65">
    <w:name w:val="xl65"/>
    <w:basedOn w:val="Normal"/>
    <w:rsid w:val="00B80947"/>
    <w:pPr>
      <w:spacing w:before="100" w:beforeAutospacing="1" w:after="100" w:afterAutospacing="1"/>
      <w:jc w:val="left"/>
      <w:textAlignment w:val="center"/>
    </w:pPr>
    <w:rPr>
      <w:rFonts w:ascii="Times New Roman" w:eastAsia="Times New Roman" w:hAnsi="Times New Roman" w:cs="Times New Roman"/>
      <w:bCs/>
      <w:color w:val="FFFFFF"/>
      <w:sz w:val="24"/>
      <w:szCs w:val="24"/>
      <w:lang w:val="en-US"/>
    </w:rPr>
  </w:style>
  <w:style w:type="paragraph" w:customStyle="1" w:styleId="xl66">
    <w:name w:val="xl66"/>
    <w:basedOn w:val="Normal"/>
    <w:rsid w:val="00B80947"/>
    <w:pPr>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67">
    <w:name w:val="xl67"/>
    <w:basedOn w:val="Normal"/>
    <w:rsid w:val="00B80947"/>
    <w:pPr>
      <w:pBdr>
        <w:top w:val="single" w:sz="4" w:space="0" w:color="auto"/>
        <w:left w:val="single" w:sz="4" w:space="0" w:color="auto"/>
        <w:bottom w:val="single" w:sz="4" w:space="0" w:color="auto"/>
        <w:right w:val="single" w:sz="4" w:space="0" w:color="auto"/>
      </w:pBdr>
      <w:shd w:val="clear" w:color="000000" w:fill="2D788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68">
    <w:name w:val="xl68"/>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69">
    <w:name w:val="xl69"/>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0">
    <w:name w:val="xl70"/>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1">
    <w:name w:val="xl71"/>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2">
    <w:name w:val="xl72"/>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3">
    <w:name w:val="xl73"/>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4">
    <w:name w:val="xl74"/>
    <w:basedOn w:val="Normal"/>
    <w:rsid w:val="00B80947"/>
    <w:pPr>
      <w:pBdr>
        <w:top w:val="single" w:sz="4" w:space="0" w:color="auto"/>
        <w:left w:val="single" w:sz="4" w:space="0" w:color="auto"/>
        <w:bottom w:val="single" w:sz="4" w:space="0" w:color="auto"/>
        <w:right w:val="single" w:sz="4" w:space="0" w:color="auto"/>
      </w:pBdr>
      <w:shd w:val="clear" w:color="000000" w:fill="C2E8F1"/>
      <w:spacing w:before="100" w:beforeAutospacing="1" w:after="100" w:afterAutospacing="1"/>
      <w:jc w:val="left"/>
    </w:pPr>
    <w:rPr>
      <w:rFonts w:ascii="Times New Roman" w:eastAsia="Times New Roman" w:hAnsi="Times New Roman" w:cs="Times New Roman"/>
      <w:b/>
      <w:sz w:val="24"/>
      <w:szCs w:val="24"/>
      <w:lang w:val="en-US"/>
    </w:rPr>
  </w:style>
  <w:style w:type="paragraph" w:customStyle="1" w:styleId="xl75">
    <w:name w:val="xl75"/>
    <w:basedOn w:val="Normal"/>
    <w:rsid w:val="00B80947"/>
    <w:pPr>
      <w:pBdr>
        <w:top w:val="single" w:sz="4" w:space="0" w:color="auto"/>
        <w:left w:val="single" w:sz="4" w:space="0" w:color="auto"/>
        <w:bottom w:val="single" w:sz="4" w:space="0" w:color="auto"/>
        <w:right w:val="single" w:sz="4" w:space="0" w:color="auto"/>
      </w:pBdr>
      <w:shd w:val="clear" w:color="000000" w:fill="3CA1B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76">
    <w:name w:val="xl76"/>
    <w:basedOn w:val="Normal"/>
    <w:rsid w:val="00B80947"/>
    <w:pPr>
      <w:pBdr>
        <w:top w:val="single" w:sz="4" w:space="0" w:color="auto"/>
        <w:left w:val="single" w:sz="4" w:space="0" w:color="auto"/>
        <w:bottom w:val="single" w:sz="4" w:space="0" w:color="auto"/>
      </w:pBdr>
      <w:shd w:val="clear" w:color="000000" w:fill="134753"/>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77">
    <w:name w:val="xl77"/>
    <w:basedOn w:val="Normal"/>
    <w:rsid w:val="00B80947"/>
    <w:pPr>
      <w:pBdr>
        <w:top w:val="single" w:sz="4" w:space="0" w:color="auto"/>
        <w:bottom w:val="single" w:sz="4" w:space="0" w:color="auto"/>
      </w:pBdr>
      <w:shd w:val="clear" w:color="000000" w:fill="134753"/>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78">
    <w:name w:val="xl78"/>
    <w:basedOn w:val="Normal"/>
    <w:rsid w:val="00B80947"/>
    <w:pPr>
      <w:pBdr>
        <w:top w:val="single" w:sz="4" w:space="0" w:color="auto"/>
        <w:bottom w:val="single" w:sz="4" w:space="0" w:color="auto"/>
        <w:right w:val="single" w:sz="4" w:space="0" w:color="auto"/>
      </w:pBdr>
      <w:shd w:val="clear" w:color="000000" w:fill="134753"/>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79">
    <w:name w:val="xl79"/>
    <w:basedOn w:val="Normal"/>
    <w:rsid w:val="00B80947"/>
    <w:pPr>
      <w:pBdr>
        <w:top w:val="single" w:sz="4" w:space="0" w:color="auto"/>
        <w:left w:val="single" w:sz="4" w:space="0" w:color="auto"/>
        <w:bottom w:val="single" w:sz="4" w:space="0" w:color="auto"/>
        <w:right w:val="single" w:sz="4" w:space="0" w:color="auto"/>
      </w:pBdr>
      <w:shd w:val="clear" w:color="000000" w:fill="C2E8F1"/>
      <w:spacing w:before="100" w:beforeAutospacing="1" w:after="100" w:afterAutospacing="1"/>
      <w:jc w:val="left"/>
      <w:textAlignment w:val="center"/>
    </w:pPr>
    <w:rPr>
      <w:rFonts w:ascii="Times New Roman" w:eastAsia="Times New Roman" w:hAnsi="Times New Roman" w:cs="Times New Roman"/>
      <w:b/>
      <w:sz w:val="24"/>
      <w:szCs w:val="24"/>
      <w:lang w:val="en-US"/>
    </w:rPr>
  </w:style>
  <w:style w:type="paragraph" w:customStyle="1" w:styleId="xl80">
    <w:name w:val="xl80"/>
    <w:basedOn w:val="Normal"/>
    <w:rsid w:val="00B80947"/>
    <w:pPr>
      <w:pBdr>
        <w:top w:val="single" w:sz="4" w:space="0" w:color="auto"/>
        <w:left w:val="single" w:sz="4" w:space="0" w:color="auto"/>
        <w:bottom w:val="single" w:sz="4" w:space="0" w:color="auto"/>
      </w:pBdr>
      <w:shd w:val="clear" w:color="000000" w:fill="3CA1B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81">
    <w:name w:val="xl81"/>
    <w:basedOn w:val="Normal"/>
    <w:rsid w:val="00B80947"/>
    <w:pPr>
      <w:pBdr>
        <w:top w:val="single" w:sz="4" w:space="0" w:color="auto"/>
        <w:bottom w:val="single" w:sz="4" w:space="0" w:color="auto"/>
      </w:pBdr>
      <w:shd w:val="clear" w:color="000000" w:fill="3CA1B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82">
    <w:name w:val="xl82"/>
    <w:basedOn w:val="Normal"/>
    <w:rsid w:val="00B80947"/>
    <w:pPr>
      <w:pBdr>
        <w:top w:val="single" w:sz="4" w:space="0" w:color="auto"/>
        <w:bottom w:val="single" w:sz="4" w:space="0" w:color="auto"/>
        <w:right w:val="single" w:sz="4" w:space="0" w:color="auto"/>
      </w:pBdr>
      <w:shd w:val="clear" w:color="000000" w:fill="3CA1B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character" w:styleId="UnresolvedMention">
    <w:name w:val="Unresolved Mention"/>
    <w:basedOn w:val="DefaultParagraphFont"/>
    <w:uiPriority w:val="99"/>
    <w:semiHidden/>
    <w:unhideWhenUsed/>
    <w:rsid w:val="00E92963"/>
    <w:rPr>
      <w:color w:val="605E5C"/>
      <w:shd w:val="clear" w:color="auto" w:fill="E1DFDD"/>
    </w:rPr>
  </w:style>
  <w:style w:type="paragraph" w:customStyle="1" w:styleId="xl83">
    <w:name w:val="xl83"/>
    <w:basedOn w:val="Normal"/>
    <w:rsid w:val="00895DBA"/>
    <w:pPr>
      <w:pBdr>
        <w:top w:val="single" w:sz="4" w:space="0" w:color="auto"/>
        <w:left w:val="single" w:sz="4" w:space="0" w:color="auto"/>
        <w:bottom w:val="single" w:sz="4" w:space="0" w:color="auto"/>
        <w:right w:val="single" w:sz="4" w:space="0" w:color="auto"/>
      </w:pBdr>
      <w:shd w:val="clear" w:color="000000" w:fill="C2E8F1"/>
      <w:spacing w:before="100" w:beforeAutospacing="1" w:after="100" w:afterAutospacing="1"/>
      <w:jc w:val="left"/>
    </w:pPr>
    <w:rPr>
      <w:rFonts w:ascii="Times New Roman" w:eastAsia="Times New Roman" w:hAnsi="Times New Roman" w:cs="Times New Roman"/>
      <w:b/>
      <w:sz w:val="20"/>
      <w:szCs w:val="20"/>
      <w:lang w:val="en-US"/>
    </w:rPr>
  </w:style>
  <w:style w:type="paragraph" w:customStyle="1" w:styleId="Bulleted1">
    <w:name w:val="Bulleted 1"/>
    <w:basedOn w:val="BodyText0"/>
    <w:rsid w:val="007F2663"/>
    <w:pPr>
      <w:numPr>
        <w:numId w:val="5"/>
      </w:numPr>
      <w:tabs>
        <w:tab w:val="clear" w:pos="425"/>
        <w:tab w:val="left" w:pos="1790"/>
      </w:tabs>
      <w:spacing w:before="80" w:after="80" w:line="276" w:lineRule="auto"/>
      <w:ind w:left="360" w:hanging="360"/>
    </w:pPr>
    <w:rPr>
      <w:rFonts w:ascii="Arial" w:eastAsia="Times New Roman" w:hAnsi="Arial" w:cs="Arial"/>
      <w:iCs/>
      <w:sz w:val="24"/>
      <w:szCs w:val="24"/>
      <w:lang w:val="en-GB"/>
    </w:rPr>
  </w:style>
  <w:style w:type="paragraph" w:styleId="BodyText0">
    <w:name w:val="Body Text"/>
    <w:basedOn w:val="Normal"/>
    <w:link w:val="BodyTextChar1"/>
    <w:uiPriority w:val="99"/>
    <w:semiHidden/>
    <w:unhideWhenUsed/>
    <w:qFormat/>
    <w:rsid w:val="007F2663"/>
  </w:style>
  <w:style w:type="character" w:customStyle="1" w:styleId="BodyTextChar1">
    <w:name w:val="Body Text Char1"/>
    <w:basedOn w:val="DefaultParagraphFont"/>
    <w:link w:val="BodyText0"/>
    <w:uiPriority w:val="99"/>
    <w:semiHidden/>
    <w:rsid w:val="007F2663"/>
    <w:rPr>
      <w:lang w:val="ro-RO"/>
    </w:rPr>
  </w:style>
  <w:style w:type="paragraph" w:customStyle="1" w:styleId="Z-Liniute">
    <w:name w:val="Z-Liniute"/>
    <w:basedOn w:val="Normal"/>
    <w:uiPriority w:val="99"/>
    <w:rsid w:val="0072216E"/>
    <w:pPr>
      <w:numPr>
        <w:numId w:val="6"/>
      </w:numPr>
      <w:tabs>
        <w:tab w:val="clear" w:pos="720"/>
        <w:tab w:val="num" w:pos="709"/>
      </w:tabs>
      <w:autoSpaceDE w:val="0"/>
      <w:autoSpaceDN w:val="0"/>
      <w:adjustRightInd w:val="0"/>
      <w:snapToGrid w:val="0"/>
      <w:spacing w:after="0" w:line="276" w:lineRule="auto"/>
      <w:ind w:left="709" w:hanging="283"/>
      <w:jc w:val="left"/>
    </w:pPr>
    <w:rPr>
      <w:rFonts w:ascii="Times New Roman" w:eastAsia="Times New Roman" w:hAnsi="Times New Roman" w:cs="Times New Roman"/>
      <w:sz w:val="24"/>
      <w:szCs w:val="20"/>
    </w:rPr>
  </w:style>
  <w:style w:type="character" w:customStyle="1" w:styleId="FootnoteTextChar2">
    <w:name w:val="Footnote Text Char2"/>
    <w:aliases w:val="Footnote Text Char Char Char1,Fußnote Char1,single space Char1,footnote text Char1,FOOTNOTES Char1,fn Char1,Podrozdział Char1,Footnote Char1,stile 1 Char1,Footnote1 Char1,Footnote2 Char1,Footnote3 Char1,Footnote4 Char1,Footnote5 Char"/>
    <w:basedOn w:val="DefaultParagraphFont"/>
    <w:rsid w:val="00F17B11"/>
    <w:rPr>
      <w:rFonts w:ascii="Arial" w:hAnsi="Arial"/>
      <w:sz w:val="20"/>
      <w:szCs w:val="20"/>
      <w:lang w:val="ro-RO"/>
    </w:rPr>
  </w:style>
  <w:style w:type="paragraph" w:customStyle="1" w:styleId="BVIfnrCharChar">
    <w:name w:val="BVI fnr Char Char"/>
    <w:aliases w:val="Footnote symbol Char Char,Footnote Reference Arial Char Char,Footnote Reference Arial1 Char Char,Footnote Reference Arial2 Char Char,Footnote Reference Arial11 Char Char,Footnote Reference Arial3 Char Char"/>
    <w:basedOn w:val="Normal"/>
    <w:next w:val="Normal"/>
    <w:uiPriority w:val="99"/>
    <w:rsid w:val="00BF32B1"/>
    <w:pPr>
      <w:spacing w:before="120" w:after="160" w:line="240" w:lineRule="exact"/>
    </w:pPr>
    <w:rPr>
      <w:vertAlign w:val="superscript"/>
    </w:rPr>
  </w:style>
  <w:style w:type="paragraph" w:customStyle="1" w:styleId="Sursa">
    <w:name w:val="Sursa"/>
    <w:basedOn w:val="Normal"/>
    <w:link w:val="SursaCaracter"/>
    <w:qFormat/>
    <w:rsid w:val="00211384"/>
    <w:pPr>
      <w:autoSpaceDE w:val="0"/>
      <w:autoSpaceDN w:val="0"/>
      <w:adjustRightInd w:val="0"/>
      <w:spacing w:before="240" w:after="240"/>
      <w:jc w:val="center"/>
    </w:pPr>
    <w:rPr>
      <w:rFonts w:ascii="Andes" w:eastAsiaTheme="minorEastAsia" w:hAnsi="Andes" w:cs="Calibri"/>
      <w:bCs/>
      <w:noProof/>
      <w:color w:val="808080" w:themeColor="background1" w:themeShade="80"/>
      <w:sz w:val="20"/>
      <w:lang w:eastAsia="ro-RO"/>
    </w:rPr>
  </w:style>
  <w:style w:type="character" w:customStyle="1" w:styleId="SursaCaracter">
    <w:name w:val="Sursa Caracter"/>
    <w:basedOn w:val="DefaultParagraphFont"/>
    <w:link w:val="Sursa"/>
    <w:rsid w:val="00211384"/>
    <w:rPr>
      <w:rFonts w:ascii="Andes" w:eastAsiaTheme="minorEastAsia" w:hAnsi="Andes" w:cs="Calibri"/>
      <w:bCs/>
      <w:noProof/>
      <w:color w:val="808080" w:themeColor="background1" w:themeShade="80"/>
      <w:sz w:val="20"/>
      <w:lang w:val="ro-RO" w:eastAsia="ro-RO"/>
    </w:rPr>
  </w:style>
  <w:style w:type="character" w:customStyle="1" w:styleId="Heading5Char">
    <w:name w:val="Heading 5 Char"/>
    <w:basedOn w:val="DefaultParagraphFont"/>
    <w:link w:val="Heading5"/>
    <w:uiPriority w:val="9"/>
    <w:rsid w:val="001E0A0F"/>
    <w:rPr>
      <w:rFonts w:eastAsiaTheme="majorEastAsia" w:cstheme="majorBidi"/>
      <w:b/>
      <w:color w:val="A5DEE9"/>
    </w:rPr>
  </w:style>
  <w:style w:type="character" w:customStyle="1" w:styleId="Heading6Char">
    <w:name w:val="Heading 6 Char"/>
    <w:basedOn w:val="DefaultParagraphFont"/>
    <w:link w:val="Heading6"/>
    <w:uiPriority w:val="9"/>
    <w:rsid w:val="00BB1A9B"/>
    <w:rPr>
      <w:rFonts w:eastAsiaTheme="majorEastAsia" w:cstheme="majorBidi"/>
      <w:color w:val="3F3F3F" w:themeColor="accent1" w:themeShade="7F"/>
      <w:lang w:val="en-US" w:eastAsia="ja-JP"/>
    </w:rPr>
  </w:style>
  <w:style w:type="character" w:customStyle="1" w:styleId="Heading7Char">
    <w:name w:val="Heading 7 Char"/>
    <w:basedOn w:val="DefaultParagraphFont"/>
    <w:link w:val="Heading7"/>
    <w:semiHidden/>
    <w:rsid w:val="00BB1A9B"/>
    <w:rPr>
      <w:rFonts w:eastAsiaTheme="majorEastAsia" w:cstheme="majorBidi"/>
      <w:i/>
      <w:iCs/>
      <w:color w:val="3F3F3F" w:themeColor="accent1" w:themeShade="7F"/>
      <w:lang w:val="en-US" w:eastAsia="ja-JP"/>
    </w:rPr>
  </w:style>
  <w:style w:type="table" w:styleId="TableGridLight">
    <w:name w:val="Grid Table Light"/>
    <w:basedOn w:val="TableNormal"/>
    <w:uiPriority w:val="40"/>
    <w:rsid w:val="00BB1A9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BB1A9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
    <w:name w:val="Grid Table 4"/>
    <w:basedOn w:val="TableNormal"/>
    <w:uiPriority w:val="49"/>
    <w:rsid w:val="00BB1A9B"/>
    <w:rPr>
      <w:rFonts w:eastAsiaTheme="minorHAnsi" w:cstheme="minorBidi"/>
      <w:bCs/>
      <w:lang w:val="ro-R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Stil11">
    <w:name w:val="Stil11"/>
    <w:basedOn w:val="NoList"/>
    <w:rsid w:val="00BB1A9B"/>
    <w:pPr>
      <w:numPr>
        <w:numId w:val="13"/>
      </w:numPr>
    </w:pPr>
  </w:style>
  <w:style w:type="paragraph" w:customStyle="1" w:styleId="NormalIndent1">
    <w:name w:val="Normal Indent 1"/>
    <w:basedOn w:val="NormalIndent"/>
    <w:autoRedefine/>
    <w:rsid w:val="00BB1A9B"/>
    <w:pPr>
      <w:spacing w:line="240" w:lineRule="auto"/>
      <w:ind w:left="1440" w:hanging="1440"/>
    </w:pPr>
    <w:rPr>
      <w:rFonts w:ascii="Times New Roman" w:hAnsi="Times New Roman"/>
      <w:b/>
      <w:lang w:eastAsia="en-GB"/>
    </w:rPr>
  </w:style>
  <w:style w:type="paragraph" w:styleId="NormalIndent">
    <w:name w:val="Normal Indent"/>
    <w:basedOn w:val="Normal"/>
    <w:uiPriority w:val="99"/>
    <w:semiHidden/>
    <w:unhideWhenUsed/>
    <w:rsid w:val="00BB1A9B"/>
    <w:pPr>
      <w:tabs>
        <w:tab w:val="left" w:pos="1790"/>
      </w:tabs>
      <w:spacing w:after="0" w:line="276" w:lineRule="auto"/>
      <w:ind w:left="720"/>
    </w:pPr>
    <w:rPr>
      <w:rFonts w:ascii="Arial" w:eastAsia="Times New Roman" w:hAnsi="Arial" w:cs="Arial"/>
      <w:iCs/>
      <w:sz w:val="24"/>
    </w:rPr>
  </w:style>
  <w:style w:type="paragraph" w:styleId="NoSpacing">
    <w:name w:val="No Spacing"/>
    <w:basedOn w:val="Normal"/>
    <w:link w:val="NoSpacingChar"/>
    <w:uiPriority w:val="1"/>
    <w:qFormat/>
    <w:rsid w:val="00BB1A9B"/>
    <w:pPr>
      <w:tabs>
        <w:tab w:val="left" w:pos="1790"/>
      </w:tabs>
      <w:spacing w:after="0" w:line="276" w:lineRule="auto"/>
    </w:pPr>
    <w:rPr>
      <w:rFonts w:ascii="Arial" w:eastAsia="Times New Roman" w:hAnsi="Arial" w:cs="Arial"/>
      <w:b/>
      <w:iCs/>
      <w:color w:val="00B0F0"/>
      <w:sz w:val="24"/>
    </w:rPr>
  </w:style>
  <w:style w:type="character" w:customStyle="1" w:styleId="NoSpacingChar">
    <w:name w:val="No Spacing Char"/>
    <w:basedOn w:val="DefaultParagraphFont"/>
    <w:link w:val="NoSpacing"/>
    <w:uiPriority w:val="1"/>
    <w:rsid w:val="00BB1A9B"/>
    <w:rPr>
      <w:rFonts w:ascii="Arial" w:eastAsia="Times New Roman" w:hAnsi="Arial" w:cs="Arial"/>
      <w:b/>
      <w:iCs/>
      <w:color w:val="00B0F0"/>
      <w:sz w:val="24"/>
      <w:lang w:val="ro-RO"/>
    </w:rPr>
  </w:style>
  <w:style w:type="table" w:customStyle="1" w:styleId="Tabelgril3-Accentuare61">
    <w:name w:val="Tabel grilă 3 - Accentuare 61"/>
    <w:basedOn w:val="TableNormal"/>
    <w:uiPriority w:val="48"/>
    <w:rsid w:val="00BB1A9B"/>
    <w:rPr>
      <w:rFonts w:eastAsiaTheme="minorHAnsi" w:cstheme="minorBidi"/>
      <w:lang w:val="en-US"/>
    </w:rPr>
    <w:tblPr>
      <w:tblStyleRowBandSize w:val="1"/>
      <w:tblStyleColBandSize w:val="1"/>
      <w:tblBorders>
        <w:top w:val="single" w:sz="4" w:space="0" w:color="99C771" w:themeColor="accent6" w:themeTint="99"/>
        <w:left w:val="single" w:sz="4" w:space="0" w:color="99C771" w:themeColor="accent6" w:themeTint="99"/>
        <w:bottom w:val="single" w:sz="4" w:space="0" w:color="99C771" w:themeColor="accent6" w:themeTint="99"/>
        <w:right w:val="single" w:sz="4" w:space="0" w:color="99C771" w:themeColor="accent6" w:themeTint="99"/>
        <w:insideH w:val="single" w:sz="4" w:space="0" w:color="99C771" w:themeColor="accent6" w:themeTint="99"/>
        <w:insideV w:val="single" w:sz="4" w:space="0" w:color="99C77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ECCF" w:themeFill="accent6" w:themeFillTint="33"/>
      </w:tcPr>
    </w:tblStylePr>
    <w:tblStylePr w:type="band1Horz">
      <w:tblPr/>
      <w:tcPr>
        <w:shd w:val="clear" w:color="auto" w:fill="DDECCF" w:themeFill="accent6" w:themeFillTint="33"/>
      </w:tcPr>
    </w:tblStylePr>
    <w:tblStylePr w:type="neCell">
      <w:tblPr/>
      <w:tcPr>
        <w:tcBorders>
          <w:bottom w:val="single" w:sz="4" w:space="0" w:color="99C771" w:themeColor="accent6" w:themeTint="99"/>
        </w:tcBorders>
      </w:tcPr>
    </w:tblStylePr>
    <w:tblStylePr w:type="nwCell">
      <w:tblPr/>
      <w:tcPr>
        <w:tcBorders>
          <w:bottom w:val="single" w:sz="4" w:space="0" w:color="99C771" w:themeColor="accent6" w:themeTint="99"/>
        </w:tcBorders>
      </w:tcPr>
    </w:tblStylePr>
    <w:tblStylePr w:type="seCell">
      <w:tblPr/>
      <w:tcPr>
        <w:tcBorders>
          <w:top w:val="single" w:sz="4" w:space="0" w:color="99C771" w:themeColor="accent6" w:themeTint="99"/>
        </w:tcBorders>
      </w:tcPr>
    </w:tblStylePr>
    <w:tblStylePr w:type="swCell">
      <w:tblPr/>
      <w:tcPr>
        <w:tcBorders>
          <w:top w:val="single" w:sz="4" w:space="0" w:color="99C771" w:themeColor="accent6" w:themeTint="99"/>
        </w:tcBorders>
      </w:tcPr>
    </w:tblStylePr>
  </w:style>
  <w:style w:type="table" w:customStyle="1" w:styleId="Tabelgril2-Accentuare61">
    <w:name w:val="Tabel grilă 2 - Accentuare 61"/>
    <w:basedOn w:val="TableNormal"/>
    <w:uiPriority w:val="47"/>
    <w:rsid w:val="00BB1A9B"/>
    <w:rPr>
      <w:rFonts w:eastAsiaTheme="minorHAnsi" w:cstheme="minorBidi"/>
      <w:lang w:val="en-US"/>
    </w:rPr>
    <w:tblPr>
      <w:tblStyleRowBandSize w:val="1"/>
      <w:tblStyleColBandSize w:val="1"/>
      <w:tblBorders>
        <w:top w:val="single" w:sz="2" w:space="0" w:color="99C771" w:themeColor="accent6" w:themeTint="99"/>
        <w:bottom w:val="single" w:sz="2" w:space="0" w:color="99C771" w:themeColor="accent6" w:themeTint="99"/>
        <w:insideH w:val="single" w:sz="2" w:space="0" w:color="99C771" w:themeColor="accent6" w:themeTint="99"/>
        <w:insideV w:val="single" w:sz="2" w:space="0" w:color="99C771" w:themeColor="accent6" w:themeTint="99"/>
      </w:tblBorders>
    </w:tblPr>
    <w:tblStylePr w:type="firstRow">
      <w:rPr>
        <w:b/>
        <w:bCs/>
      </w:rPr>
      <w:tblPr/>
      <w:tcPr>
        <w:tcBorders>
          <w:top w:val="nil"/>
          <w:bottom w:val="single" w:sz="12" w:space="0" w:color="99C771" w:themeColor="accent6" w:themeTint="99"/>
          <w:insideH w:val="nil"/>
          <w:insideV w:val="nil"/>
        </w:tcBorders>
        <w:shd w:val="clear" w:color="auto" w:fill="FFFFFF" w:themeFill="background1"/>
      </w:tcPr>
    </w:tblStylePr>
    <w:tblStylePr w:type="lastRow">
      <w:rPr>
        <w:b/>
        <w:bCs/>
      </w:rPr>
      <w:tblPr/>
      <w:tcPr>
        <w:tcBorders>
          <w:top w:val="double" w:sz="2" w:space="0" w:color="99C771"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ECCF" w:themeFill="accent6" w:themeFillTint="33"/>
      </w:tcPr>
    </w:tblStylePr>
    <w:tblStylePr w:type="band1Horz">
      <w:tblPr/>
      <w:tcPr>
        <w:shd w:val="clear" w:color="auto" w:fill="DDECCF" w:themeFill="accent6" w:themeFillTint="33"/>
      </w:tcPr>
    </w:tblStylePr>
  </w:style>
  <w:style w:type="paragraph" w:customStyle="1" w:styleId="didascalia">
    <w:name w:val="didascalia"/>
    <w:basedOn w:val="Normal"/>
    <w:link w:val="didascaliaCarattere"/>
    <w:qFormat/>
    <w:rsid w:val="00BB1A9B"/>
    <w:pPr>
      <w:tabs>
        <w:tab w:val="left" w:pos="1790"/>
      </w:tabs>
      <w:spacing w:before="240" w:line="360" w:lineRule="auto"/>
    </w:pPr>
    <w:rPr>
      <w:rFonts w:ascii="Georgia" w:eastAsiaTheme="minorHAnsi" w:hAnsi="Georgia" w:cstheme="minorBidi"/>
      <w:b/>
      <w:i/>
      <w:sz w:val="24"/>
      <w:lang w:val="it-IT"/>
    </w:rPr>
  </w:style>
  <w:style w:type="character" w:customStyle="1" w:styleId="didascaliaCarattere">
    <w:name w:val="didascalia Carattere"/>
    <w:basedOn w:val="DefaultParagraphFont"/>
    <w:link w:val="didascalia"/>
    <w:rsid w:val="00BB1A9B"/>
    <w:rPr>
      <w:rFonts w:ascii="Georgia" w:eastAsiaTheme="minorHAnsi" w:hAnsi="Georgia" w:cstheme="minorBidi"/>
      <w:b/>
      <w:i/>
      <w:sz w:val="24"/>
      <w:lang w:val="it-IT"/>
    </w:rPr>
  </w:style>
  <w:style w:type="table" w:customStyle="1" w:styleId="Tabelgril2-Accentuare611">
    <w:name w:val="Tabel grilă 2 - Accentuare 611"/>
    <w:basedOn w:val="TableNormal"/>
    <w:uiPriority w:val="47"/>
    <w:rsid w:val="00BB1A9B"/>
    <w:rPr>
      <w:rFonts w:eastAsiaTheme="minorHAnsi" w:cstheme="minorBidi"/>
      <w:lang w:val="en-US"/>
    </w:rPr>
    <w:tblPr>
      <w:tblStyleRowBandSize w:val="1"/>
      <w:tblStyleColBandSize w:val="1"/>
      <w:tblBorders>
        <w:top w:val="single" w:sz="2" w:space="0" w:color="99C771" w:themeColor="accent6" w:themeTint="99"/>
        <w:bottom w:val="single" w:sz="2" w:space="0" w:color="99C771" w:themeColor="accent6" w:themeTint="99"/>
        <w:insideH w:val="single" w:sz="2" w:space="0" w:color="99C771" w:themeColor="accent6" w:themeTint="99"/>
        <w:insideV w:val="single" w:sz="2" w:space="0" w:color="99C771" w:themeColor="accent6" w:themeTint="99"/>
      </w:tblBorders>
    </w:tblPr>
    <w:tblStylePr w:type="firstRow">
      <w:rPr>
        <w:b/>
        <w:bCs/>
      </w:rPr>
      <w:tblPr/>
      <w:tcPr>
        <w:tcBorders>
          <w:top w:val="nil"/>
          <w:bottom w:val="single" w:sz="12" w:space="0" w:color="99C771" w:themeColor="accent6" w:themeTint="99"/>
          <w:insideH w:val="nil"/>
          <w:insideV w:val="nil"/>
        </w:tcBorders>
        <w:shd w:val="clear" w:color="auto" w:fill="FFFFFF" w:themeFill="background1"/>
      </w:tcPr>
    </w:tblStylePr>
    <w:tblStylePr w:type="lastRow">
      <w:rPr>
        <w:b/>
        <w:bCs/>
      </w:rPr>
      <w:tblPr/>
      <w:tcPr>
        <w:tcBorders>
          <w:top w:val="double" w:sz="2" w:space="0" w:color="99C771"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ECCF" w:themeFill="accent6" w:themeFillTint="33"/>
      </w:tcPr>
    </w:tblStylePr>
    <w:tblStylePr w:type="band1Horz">
      <w:tblPr/>
      <w:tcPr>
        <w:shd w:val="clear" w:color="auto" w:fill="DDECCF" w:themeFill="accent6" w:themeFillTint="33"/>
      </w:tcPr>
    </w:tblStylePr>
  </w:style>
  <w:style w:type="table" w:customStyle="1" w:styleId="Tabelgril2-Accentuare51">
    <w:name w:val="Tabel grilă 2 - Accentuare 51"/>
    <w:basedOn w:val="TableNormal"/>
    <w:uiPriority w:val="47"/>
    <w:rsid w:val="00BB1A9B"/>
    <w:rPr>
      <w:rFonts w:eastAsiaTheme="minorHAnsi" w:cstheme="minorBidi"/>
      <w:lang w:val="en-US"/>
    </w:rPr>
    <w:tblPr>
      <w:tblStyleRowBandSize w:val="1"/>
      <w:tblStyleColBandSize w:val="1"/>
      <w:tblBorders>
        <w:top w:val="single" w:sz="2" w:space="0" w:color="CCE188" w:themeColor="accent5" w:themeTint="99"/>
        <w:bottom w:val="single" w:sz="2" w:space="0" w:color="CCE188" w:themeColor="accent5" w:themeTint="99"/>
        <w:insideH w:val="single" w:sz="2" w:space="0" w:color="CCE188" w:themeColor="accent5" w:themeTint="99"/>
        <w:insideV w:val="single" w:sz="2" w:space="0" w:color="CCE188" w:themeColor="accent5" w:themeTint="99"/>
      </w:tblBorders>
    </w:tblPr>
    <w:tblStylePr w:type="firstRow">
      <w:rPr>
        <w:b/>
        <w:bCs/>
      </w:rPr>
      <w:tblPr/>
      <w:tcPr>
        <w:tcBorders>
          <w:top w:val="nil"/>
          <w:bottom w:val="single" w:sz="12" w:space="0" w:color="CCE188" w:themeColor="accent5" w:themeTint="99"/>
          <w:insideH w:val="nil"/>
          <w:insideV w:val="nil"/>
        </w:tcBorders>
        <w:shd w:val="clear" w:color="auto" w:fill="FFFFFF" w:themeFill="background1"/>
      </w:tcPr>
    </w:tblStylePr>
    <w:tblStylePr w:type="lastRow">
      <w:rPr>
        <w:b/>
        <w:bCs/>
      </w:rPr>
      <w:tblPr/>
      <w:tcPr>
        <w:tcBorders>
          <w:top w:val="double" w:sz="2" w:space="0" w:color="CCE1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5D7" w:themeFill="accent5" w:themeFillTint="33"/>
      </w:tcPr>
    </w:tblStylePr>
    <w:tblStylePr w:type="band1Horz">
      <w:tblPr/>
      <w:tcPr>
        <w:shd w:val="clear" w:color="auto" w:fill="EEF5D7" w:themeFill="accent5" w:themeFillTint="33"/>
      </w:tcPr>
    </w:tblStylePr>
  </w:style>
  <w:style w:type="character" w:customStyle="1" w:styleId="TitluCaracter1">
    <w:name w:val="Titlu Caracter1"/>
    <w:basedOn w:val="DefaultParagraphFont"/>
    <w:uiPriority w:val="10"/>
    <w:rsid w:val="00BB1A9B"/>
    <w:rPr>
      <w:rFonts w:asciiTheme="majorHAnsi" w:eastAsiaTheme="majorEastAsia" w:hAnsiTheme="majorHAnsi" w:cstheme="majorBidi"/>
      <w:iCs/>
      <w:spacing w:val="-10"/>
      <w:kern w:val="28"/>
      <w:sz w:val="56"/>
      <w:szCs w:val="56"/>
      <w:lang w:val="ro-RO"/>
    </w:rPr>
  </w:style>
  <w:style w:type="table" w:customStyle="1" w:styleId="Tabelgril4-Accentuare12">
    <w:name w:val="Tabel grilă 4 - Accentuare 12"/>
    <w:basedOn w:val="TableNormal"/>
    <w:uiPriority w:val="49"/>
    <w:rsid w:val="00BB1A9B"/>
    <w:rPr>
      <w:rFonts w:eastAsiaTheme="minorEastAsia" w:cstheme="minorBidi"/>
      <w:lang w:val="en-US" w:eastAsia="ja-JP"/>
    </w:rPr>
    <w:tblPr>
      <w:tblStyleRowBandSize w:val="1"/>
      <w:tblStyleColBandSize w:val="1"/>
      <w:tblBorders>
        <w:top w:val="single" w:sz="4" w:space="0" w:color="B2B2B2" w:themeColor="accent1" w:themeTint="99"/>
        <w:left w:val="single" w:sz="4" w:space="0" w:color="B2B2B2" w:themeColor="accent1" w:themeTint="99"/>
        <w:bottom w:val="single" w:sz="4" w:space="0" w:color="B2B2B2" w:themeColor="accent1" w:themeTint="99"/>
        <w:right w:val="single" w:sz="4" w:space="0" w:color="B2B2B2" w:themeColor="accent1" w:themeTint="99"/>
        <w:insideH w:val="single" w:sz="4" w:space="0" w:color="B2B2B2" w:themeColor="accent1" w:themeTint="99"/>
        <w:insideV w:val="single" w:sz="4" w:space="0" w:color="B2B2B2" w:themeColor="accent1" w:themeTint="99"/>
      </w:tblBorders>
    </w:tblPr>
    <w:tblStylePr w:type="firstRow">
      <w:rPr>
        <w:b/>
        <w:bCs/>
        <w:color w:val="FFFFFF" w:themeColor="background1"/>
      </w:rPr>
      <w:tblPr/>
      <w:tcPr>
        <w:tcBorders>
          <w:top w:val="single" w:sz="4" w:space="0" w:color="7F7F7F" w:themeColor="accent1"/>
          <w:left w:val="single" w:sz="4" w:space="0" w:color="7F7F7F" w:themeColor="accent1"/>
          <w:bottom w:val="single" w:sz="4" w:space="0" w:color="7F7F7F" w:themeColor="accent1"/>
          <w:right w:val="single" w:sz="4" w:space="0" w:color="7F7F7F" w:themeColor="accent1"/>
          <w:insideH w:val="nil"/>
          <w:insideV w:val="nil"/>
        </w:tcBorders>
        <w:shd w:val="clear" w:color="auto" w:fill="7F7F7F" w:themeFill="accent1"/>
      </w:tcPr>
    </w:tblStylePr>
    <w:tblStylePr w:type="lastRow">
      <w:rPr>
        <w:b/>
        <w:bCs/>
      </w:rPr>
      <w:tblPr/>
      <w:tcPr>
        <w:tcBorders>
          <w:top w:val="double" w:sz="4" w:space="0" w:color="7F7F7F" w:themeColor="accent1"/>
        </w:tcBorders>
      </w:tcPr>
    </w:tblStylePr>
    <w:tblStylePr w:type="firstCol">
      <w:rPr>
        <w:b/>
        <w:bCs/>
      </w:rPr>
    </w:tblStylePr>
    <w:tblStylePr w:type="lastCol">
      <w:rPr>
        <w:b/>
        <w:bCs/>
      </w:rPr>
    </w:tblStylePr>
    <w:tblStylePr w:type="band1Vert">
      <w:tblPr/>
      <w:tcPr>
        <w:shd w:val="clear" w:color="auto" w:fill="E5E5E5" w:themeFill="accent1" w:themeFillTint="33"/>
      </w:tcPr>
    </w:tblStylePr>
    <w:tblStylePr w:type="band1Horz">
      <w:tblPr/>
      <w:tcPr>
        <w:shd w:val="clear" w:color="auto" w:fill="E5E5E5" w:themeFill="accent1" w:themeFillTint="33"/>
      </w:tcPr>
    </w:tblStylePr>
  </w:style>
  <w:style w:type="paragraph" w:customStyle="1" w:styleId="ElenaH1">
    <w:name w:val="Elena H1"/>
    <w:basedOn w:val="Heading1"/>
    <w:link w:val="ElenaH1Char"/>
    <w:qFormat/>
    <w:rsid w:val="00BB1A9B"/>
    <w:pPr>
      <w:keepNext w:val="0"/>
      <w:numPr>
        <w:numId w:val="0"/>
      </w:numPr>
      <w:spacing w:before="400" w:after="200" w:line="276" w:lineRule="auto"/>
    </w:pPr>
    <w:rPr>
      <w:rFonts w:ascii="Arial" w:eastAsia="Times New Roman" w:hAnsi="Arial" w:cs="Times New Roman"/>
      <w:bCs w:val="0"/>
      <w:i/>
      <w:color w:val="632423"/>
      <w:spacing w:val="20"/>
      <w:sz w:val="22"/>
      <w:szCs w:val="22"/>
      <w:u w:val="single"/>
      <w:lang w:val="ro-RO"/>
    </w:rPr>
  </w:style>
  <w:style w:type="character" w:customStyle="1" w:styleId="ElenaH1Char">
    <w:name w:val="Elena H1 Char"/>
    <w:link w:val="ElenaH1"/>
    <w:rsid w:val="00BB1A9B"/>
    <w:rPr>
      <w:rFonts w:ascii="Arial" w:eastAsia="Times New Roman" w:hAnsi="Arial" w:cs="Times New Roman"/>
      <w:b/>
      <w:i/>
      <w:caps/>
      <w:color w:val="632423"/>
      <w:spacing w:val="20"/>
      <w:u w:val="single"/>
      <w:lang w:val="ro-RO"/>
    </w:rPr>
  </w:style>
  <w:style w:type="table" w:customStyle="1" w:styleId="PlainTable41">
    <w:name w:val="Plain Table 41"/>
    <w:basedOn w:val="TableNormal"/>
    <w:uiPriority w:val="44"/>
    <w:rsid w:val="00BB1A9B"/>
    <w:rPr>
      <w:rFonts w:eastAsiaTheme="minorHAnsi" w:cstheme="minorBidi"/>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
    <w:name w:val="Plain Table 11"/>
    <w:basedOn w:val="TableNormal"/>
    <w:uiPriority w:val="41"/>
    <w:rsid w:val="00BB1A9B"/>
    <w:rPr>
      <w:rFonts w:eastAsiaTheme="minorHAnsi" w:cstheme="minorBidi"/>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61">
    <w:name w:val="Grid Table 5 Dark - Accent 61"/>
    <w:basedOn w:val="TableNormal"/>
    <w:uiPriority w:val="50"/>
    <w:rsid w:val="00BB1A9B"/>
    <w:rPr>
      <w:rFonts w:eastAsiaTheme="minorHAnsi" w:cstheme="minorBidi"/>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ECC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88133"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88133"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88133"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88133" w:themeFill="accent6"/>
      </w:tcPr>
    </w:tblStylePr>
    <w:tblStylePr w:type="band1Vert">
      <w:tblPr/>
      <w:tcPr>
        <w:shd w:val="clear" w:color="auto" w:fill="BBD9A0" w:themeFill="accent6" w:themeFillTint="66"/>
      </w:tcPr>
    </w:tblStylePr>
    <w:tblStylePr w:type="band1Horz">
      <w:tblPr/>
      <w:tcPr>
        <w:shd w:val="clear" w:color="auto" w:fill="BBD9A0" w:themeFill="accent6" w:themeFillTint="66"/>
      </w:tcPr>
    </w:tblStylePr>
  </w:style>
  <w:style w:type="table" w:customStyle="1" w:styleId="GridTable6Colorful-Accent61">
    <w:name w:val="Grid Table 6 Colorful - Accent 61"/>
    <w:basedOn w:val="TableNormal"/>
    <w:uiPriority w:val="51"/>
    <w:rsid w:val="00BB1A9B"/>
    <w:rPr>
      <w:rFonts w:eastAsiaTheme="minorHAnsi" w:cstheme="minorBidi"/>
      <w:color w:val="416026" w:themeColor="accent6" w:themeShade="BF"/>
      <w:lang w:val="en-US"/>
    </w:rPr>
    <w:tblPr>
      <w:tblStyleRowBandSize w:val="1"/>
      <w:tblStyleColBandSize w:val="1"/>
      <w:tblBorders>
        <w:top w:val="single" w:sz="4" w:space="0" w:color="99C771" w:themeColor="accent6" w:themeTint="99"/>
        <w:left w:val="single" w:sz="4" w:space="0" w:color="99C771" w:themeColor="accent6" w:themeTint="99"/>
        <w:bottom w:val="single" w:sz="4" w:space="0" w:color="99C771" w:themeColor="accent6" w:themeTint="99"/>
        <w:right w:val="single" w:sz="4" w:space="0" w:color="99C771" w:themeColor="accent6" w:themeTint="99"/>
        <w:insideH w:val="single" w:sz="4" w:space="0" w:color="99C771" w:themeColor="accent6" w:themeTint="99"/>
        <w:insideV w:val="single" w:sz="4" w:space="0" w:color="99C771" w:themeColor="accent6" w:themeTint="99"/>
      </w:tblBorders>
    </w:tblPr>
    <w:tblStylePr w:type="firstRow">
      <w:rPr>
        <w:b/>
        <w:bCs/>
      </w:rPr>
      <w:tblPr/>
      <w:tcPr>
        <w:tcBorders>
          <w:bottom w:val="single" w:sz="12" w:space="0" w:color="99C771" w:themeColor="accent6" w:themeTint="99"/>
        </w:tcBorders>
      </w:tcPr>
    </w:tblStylePr>
    <w:tblStylePr w:type="lastRow">
      <w:rPr>
        <w:b/>
        <w:bCs/>
      </w:rPr>
      <w:tblPr/>
      <w:tcPr>
        <w:tcBorders>
          <w:top w:val="double" w:sz="4" w:space="0" w:color="99C771" w:themeColor="accent6" w:themeTint="99"/>
        </w:tcBorders>
      </w:tcPr>
    </w:tblStylePr>
    <w:tblStylePr w:type="firstCol">
      <w:rPr>
        <w:b/>
        <w:bCs/>
      </w:rPr>
    </w:tblStylePr>
    <w:tblStylePr w:type="lastCol">
      <w:rPr>
        <w:b/>
        <w:bCs/>
      </w:rPr>
    </w:tblStylePr>
    <w:tblStylePr w:type="band1Vert">
      <w:tblPr/>
      <w:tcPr>
        <w:shd w:val="clear" w:color="auto" w:fill="DDECCF" w:themeFill="accent6" w:themeFillTint="33"/>
      </w:tcPr>
    </w:tblStylePr>
    <w:tblStylePr w:type="band1Horz">
      <w:tblPr/>
      <w:tcPr>
        <w:shd w:val="clear" w:color="auto" w:fill="DDECCF" w:themeFill="accent6" w:themeFillTint="33"/>
      </w:tcPr>
    </w:tblStylePr>
  </w:style>
  <w:style w:type="paragraph" w:styleId="BodyTextIndent">
    <w:name w:val="Body Text Indent"/>
    <w:basedOn w:val="Normal"/>
    <w:link w:val="BodyTextIndentChar"/>
    <w:uiPriority w:val="99"/>
    <w:semiHidden/>
    <w:unhideWhenUsed/>
    <w:rsid w:val="00BB1A9B"/>
    <w:pPr>
      <w:tabs>
        <w:tab w:val="left" w:pos="1790"/>
      </w:tabs>
      <w:spacing w:line="276" w:lineRule="auto"/>
      <w:ind w:left="283"/>
    </w:pPr>
    <w:rPr>
      <w:rFonts w:ascii="Arial" w:eastAsia="Times New Roman" w:hAnsi="Arial" w:cs="Arial"/>
      <w:iCs/>
      <w:sz w:val="24"/>
    </w:rPr>
  </w:style>
  <w:style w:type="character" w:customStyle="1" w:styleId="BodyTextIndentChar">
    <w:name w:val="Body Text Indent Char"/>
    <w:basedOn w:val="DefaultParagraphFont"/>
    <w:link w:val="BodyTextIndent"/>
    <w:uiPriority w:val="99"/>
    <w:semiHidden/>
    <w:rsid w:val="00BB1A9B"/>
    <w:rPr>
      <w:rFonts w:ascii="Arial" w:eastAsia="Times New Roman" w:hAnsi="Arial" w:cs="Arial"/>
      <w:iCs/>
      <w:sz w:val="24"/>
      <w:lang w:val="ro-RO"/>
    </w:rPr>
  </w:style>
  <w:style w:type="paragraph" w:styleId="BodyTextFirstIndent2">
    <w:name w:val="Body Text First Indent 2"/>
    <w:basedOn w:val="BodyTextIndent"/>
    <w:link w:val="BodyTextFirstIndent2Char"/>
    <w:semiHidden/>
    <w:unhideWhenUsed/>
    <w:rsid w:val="00BB1A9B"/>
    <w:pPr>
      <w:spacing w:after="0"/>
      <w:ind w:left="360" w:firstLine="360"/>
    </w:pPr>
  </w:style>
  <w:style w:type="character" w:customStyle="1" w:styleId="BodyTextFirstIndent2Char">
    <w:name w:val="Body Text First Indent 2 Char"/>
    <w:basedOn w:val="BodyTextIndentChar"/>
    <w:link w:val="BodyTextFirstIndent2"/>
    <w:semiHidden/>
    <w:rsid w:val="00BB1A9B"/>
    <w:rPr>
      <w:rFonts w:ascii="Arial" w:eastAsia="Times New Roman" w:hAnsi="Arial" w:cs="Arial"/>
      <w:iCs/>
      <w:sz w:val="24"/>
      <w:lang w:val="ro-RO"/>
    </w:rPr>
  </w:style>
  <w:style w:type="paragraph" w:styleId="PlainText">
    <w:name w:val="Plain Text"/>
    <w:basedOn w:val="Normal"/>
    <w:link w:val="PlainTextChar"/>
    <w:rsid w:val="00BB1A9B"/>
    <w:pPr>
      <w:spacing w:after="0"/>
      <w:jc w:val="left"/>
    </w:pPr>
    <w:rPr>
      <w:rFonts w:ascii="Courier New" w:eastAsia="Times New Roman" w:hAnsi="Courier New" w:cs="Courier New"/>
      <w:sz w:val="20"/>
      <w:szCs w:val="20"/>
      <w:lang w:val="en-GB"/>
    </w:rPr>
  </w:style>
  <w:style w:type="character" w:customStyle="1" w:styleId="PlainTextChar">
    <w:name w:val="Plain Text Char"/>
    <w:basedOn w:val="DefaultParagraphFont"/>
    <w:link w:val="PlainText"/>
    <w:rsid w:val="00BB1A9B"/>
    <w:rPr>
      <w:rFonts w:ascii="Courier New" w:eastAsia="Times New Roman" w:hAnsi="Courier New" w:cs="Courier New"/>
      <w:sz w:val="20"/>
      <w:szCs w:val="20"/>
      <w:lang w:val="en-GB"/>
    </w:rPr>
  </w:style>
  <w:style w:type="paragraph" w:customStyle="1" w:styleId="Adresscurtdereturnare">
    <w:name w:val="Adresă scurtă de returnare"/>
    <w:basedOn w:val="Normal"/>
    <w:rsid w:val="00BB1A9B"/>
    <w:pPr>
      <w:suppressAutoHyphens/>
      <w:spacing w:after="0"/>
      <w:jc w:val="left"/>
    </w:pPr>
    <w:rPr>
      <w:rFonts w:ascii="Times New Roman" w:eastAsia="Calibri" w:hAnsi="Times New Roman" w:cs="Times New Roman"/>
      <w:sz w:val="24"/>
      <w:szCs w:val="24"/>
      <w:lang w:val="en-GB" w:eastAsia="ar-SA"/>
    </w:rPr>
  </w:style>
  <w:style w:type="paragraph" w:customStyle="1" w:styleId="DefaultText">
    <w:name w:val="Default Text"/>
    <w:basedOn w:val="Normal"/>
    <w:link w:val="DefaultTextChar"/>
    <w:rsid w:val="00BB1A9B"/>
    <w:pPr>
      <w:overflowPunct w:val="0"/>
      <w:autoSpaceDE w:val="0"/>
      <w:autoSpaceDN w:val="0"/>
      <w:adjustRightInd w:val="0"/>
      <w:spacing w:after="0"/>
      <w:jc w:val="left"/>
      <w:textAlignment w:val="baseline"/>
    </w:pPr>
    <w:rPr>
      <w:rFonts w:ascii="Times New Roman" w:eastAsia="Times New Roman" w:hAnsi="Times New Roman" w:cs="Times New Roman"/>
      <w:sz w:val="24"/>
      <w:szCs w:val="24"/>
    </w:rPr>
  </w:style>
  <w:style w:type="character" w:customStyle="1" w:styleId="DefaultTextChar">
    <w:name w:val="Default Text Char"/>
    <w:link w:val="DefaultText"/>
    <w:rsid w:val="00BB1A9B"/>
    <w:rPr>
      <w:rFonts w:ascii="Times New Roman" w:eastAsia="Times New Roman" w:hAnsi="Times New Roman" w:cs="Times New Roman"/>
      <w:sz w:val="24"/>
      <w:szCs w:val="24"/>
      <w:lang w:val="ro-RO"/>
    </w:rPr>
  </w:style>
  <w:style w:type="table" w:customStyle="1" w:styleId="GridTable5Dark-Accent21">
    <w:name w:val="Grid Table 5 Dark - Accent 21"/>
    <w:basedOn w:val="TableNormal"/>
    <w:uiPriority w:val="50"/>
    <w:rsid w:val="00BB1A9B"/>
    <w:rPr>
      <w:bC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E6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3475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3475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3475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34753" w:themeFill="accent2"/>
      </w:tcPr>
    </w:tblStylePr>
    <w:tblStylePr w:type="band1Vert">
      <w:tblPr/>
      <w:tcPr>
        <w:shd w:val="clear" w:color="auto" w:fill="7ACDE0" w:themeFill="accent2" w:themeFillTint="66"/>
      </w:tcPr>
    </w:tblStylePr>
    <w:tblStylePr w:type="band1Horz">
      <w:tblPr/>
      <w:tcPr>
        <w:shd w:val="clear" w:color="auto" w:fill="7ACDE0" w:themeFill="accent2" w:themeFillTint="66"/>
      </w:tcPr>
    </w:tblStylePr>
  </w:style>
  <w:style w:type="table" w:customStyle="1" w:styleId="ListTable3-Accent31">
    <w:name w:val="List Table 3 - Accent 31"/>
    <w:basedOn w:val="TableNormal"/>
    <w:uiPriority w:val="48"/>
    <w:rsid w:val="00BB1A9B"/>
    <w:rPr>
      <w:bCs/>
    </w:rPr>
    <w:tblPr>
      <w:tblStyleRowBandSize w:val="1"/>
      <w:tblStyleColBandSize w:val="1"/>
      <w:tblBorders>
        <w:top w:val="single" w:sz="4" w:space="0" w:color="3CA1BC" w:themeColor="accent3"/>
        <w:left w:val="single" w:sz="4" w:space="0" w:color="3CA1BC" w:themeColor="accent3"/>
        <w:bottom w:val="single" w:sz="4" w:space="0" w:color="3CA1BC" w:themeColor="accent3"/>
        <w:right w:val="single" w:sz="4" w:space="0" w:color="3CA1BC" w:themeColor="accent3"/>
      </w:tblBorders>
    </w:tblPr>
    <w:tblStylePr w:type="firstRow">
      <w:rPr>
        <w:b/>
        <w:bCs/>
        <w:color w:val="FFFFFF" w:themeColor="background1"/>
      </w:rPr>
      <w:tblPr/>
      <w:tcPr>
        <w:shd w:val="clear" w:color="auto" w:fill="3CA1BC" w:themeFill="accent3"/>
      </w:tcPr>
    </w:tblStylePr>
    <w:tblStylePr w:type="lastRow">
      <w:rPr>
        <w:b/>
        <w:bCs/>
      </w:rPr>
      <w:tblPr/>
      <w:tcPr>
        <w:tcBorders>
          <w:top w:val="double" w:sz="4" w:space="0" w:color="3CA1B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CA1BC" w:themeColor="accent3"/>
          <w:right w:val="single" w:sz="4" w:space="0" w:color="3CA1BC" w:themeColor="accent3"/>
        </w:tcBorders>
      </w:tcPr>
    </w:tblStylePr>
    <w:tblStylePr w:type="band1Horz">
      <w:tblPr/>
      <w:tcPr>
        <w:tcBorders>
          <w:top w:val="single" w:sz="4" w:space="0" w:color="3CA1BC" w:themeColor="accent3"/>
          <w:bottom w:val="single" w:sz="4" w:space="0" w:color="3CA1B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CA1BC" w:themeColor="accent3"/>
          <w:left w:val="nil"/>
        </w:tcBorders>
      </w:tcPr>
    </w:tblStylePr>
    <w:tblStylePr w:type="swCell">
      <w:tblPr/>
      <w:tcPr>
        <w:tcBorders>
          <w:top w:val="double" w:sz="4" w:space="0" w:color="3CA1BC" w:themeColor="accent3"/>
          <w:right w:val="nil"/>
        </w:tcBorders>
      </w:tcPr>
    </w:tblStylePr>
  </w:style>
  <w:style w:type="table" w:customStyle="1" w:styleId="GridTable4-Accent21">
    <w:name w:val="Grid Table 4 - Accent 21"/>
    <w:basedOn w:val="TableNormal"/>
    <w:uiPriority w:val="49"/>
    <w:rsid w:val="00BB1A9B"/>
    <w:rPr>
      <w:bCs/>
    </w:rPr>
    <w:tblPr>
      <w:tblStyleRowBandSize w:val="1"/>
      <w:tblStyleColBandSize w:val="1"/>
      <w:tblBorders>
        <w:top w:val="single" w:sz="4" w:space="0" w:color="37B4D1" w:themeColor="accent2" w:themeTint="99"/>
        <w:left w:val="single" w:sz="4" w:space="0" w:color="37B4D1" w:themeColor="accent2" w:themeTint="99"/>
        <w:bottom w:val="single" w:sz="4" w:space="0" w:color="37B4D1" w:themeColor="accent2" w:themeTint="99"/>
        <w:right w:val="single" w:sz="4" w:space="0" w:color="37B4D1" w:themeColor="accent2" w:themeTint="99"/>
        <w:insideH w:val="single" w:sz="4" w:space="0" w:color="37B4D1" w:themeColor="accent2" w:themeTint="99"/>
        <w:insideV w:val="single" w:sz="4" w:space="0" w:color="37B4D1" w:themeColor="accent2" w:themeTint="99"/>
      </w:tblBorders>
    </w:tblPr>
    <w:tblStylePr w:type="firstRow">
      <w:rPr>
        <w:b/>
        <w:bCs/>
        <w:color w:val="FFFFFF" w:themeColor="background1"/>
      </w:rPr>
      <w:tblPr/>
      <w:tcPr>
        <w:tcBorders>
          <w:top w:val="single" w:sz="4" w:space="0" w:color="134753" w:themeColor="accent2"/>
          <w:left w:val="single" w:sz="4" w:space="0" w:color="134753" w:themeColor="accent2"/>
          <w:bottom w:val="single" w:sz="4" w:space="0" w:color="134753" w:themeColor="accent2"/>
          <w:right w:val="single" w:sz="4" w:space="0" w:color="134753" w:themeColor="accent2"/>
          <w:insideH w:val="nil"/>
          <w:insideV w:val="nil"/>
        </w:tcBorders>
        <w:shd w:val="clear" w:color="auto" w:fill="134753" w:themeFill="accent2"/>
      </w:tcPr>
    </w:tblStylePr>
    <w:tblStylePr w:type="lastRow">
      <w:rPr>
        <w:b/>
        <w:bCs/>
      </w:rPr>
      <w:tblPr/>
      <w:tcPr>
        <w:tcBorders>
          <w:top w:val="double" w:sz="4" w:space="0" w:color="134753" w:themeColor="accent2"/>
        </w:tcBorders>
      </w:tcPr>
    </w:tblStylePr>
    <w:tblStylePr w:type="firstCol">
      <w:rPr>
        <w:b/>
        <w:bCs/>
      </w:rPr>
    </w:tblStylePr>
    <w:tblStylePr w:type="lastCol">
      <w:rPr>
        <w:b/>
        <w:bCs/>
      </w:rPr>
    </w:tblStylePr>
    <w:tblStylePr w:type="band1Vert">
      <w:tblPr/>
      <w:tcPr>
        <w:shd w:val="clear" w:color="auto" w:fill="BCE6EF" w:themeFill="accent2" w:themeFillTint="33"/>
      </w:tcPr>
    </w:tblStylePr>
    <w:tblStylePr w:type="band1Horz">
      <w:tblPr/>
      <w:tcPr>
        <w:shd w:val="clear" w:color="auto" w:fill="BCE6EF" w:themeFill="accent2" w:themeFillTint="33"/>
      </w:tcPr>
    </w:tblStylePr>
  </w:style>
  <w:style w:type="paragraph" w:customStyle="1" w:styleId="Header0">
    <w:name w:val="*Header"/>
    <w:basedOn w:val="Header"/>
    <w:rsid w:val="00BB1A9B"/>
    <w:pPr>
      <w:tabs>
        <w:tab w:val="clear" w:pos="4680"/>
        <w:tab w:val="clear" w:pos="9360"/>
        <w:tab w:val="center" w:pos="4320"/>
        <w:tab w:val="right" w:pos="8640"/>
      </w:tabs>
    </w:pPr>
    <w:rPr>
      <w:rFonts w:ascii="Arial" w:eastAsia="Times New Roman" w:hAnsi="Arial" w:cs="Times New Roman"/>
      <w:sz w:val="18"/>
      <w:szCs w:val="18"/>
      <w:lang w:val="en-AU" w:eastAsia="ro-RO"/>
    </w:rPr>
  </w:style>
  <w:style w:type="table" w:styleId="LightList-Accent1">
    <w:name w:val="Light List Accent 1"/>
    <w:basedOn w:val="TableNormal"/>
    <w:uiPriority w:val="61"/>
    <w:rsid w:val="00BB1A9B"/>
    <w:rPr>
      <w:rFonts w:eastAsiaTheme="minorEastAsia" w:cstheme="minorBidi"/>
      <w:lang w:val="ro-RO" w:eastAsia="ro-RO"/>
    </w:rPr>
    <w:tblPr>
      <w:tblStyleRowBandSize w:val="1"/>
      <w:tblStyleColBandSize w:val="1"/>
      <w:tblBorders>
        <w:top w:val="single" w:sz="8" w:space="0" w:color="7F7F7F" w:themeColor="accent1"/>
        <w:left w:val="single" w:sz="8" w:space="0" w:color="7F7F7F" w:themeColor="accent1"/>
        <w:bottom w:val="single" w:sz="8" w:space="0" w:color="7F7F7F" w:themeColor="accent1"/>
        <w:right w:val="single" w:sz="8" w:space="0" w:color="7F7F7F" w:themeColor="accent1"/>
      </w:tblBorders>
    </w:tblPr>
    <w:tblStylePr w:type="firstRow">
      <w:pPr>
        <w:spacing w:before="0" w:after="0" w:line="240" w:lineRule="auto"/>
      </w:pPr>
      <w:rPr>
        <w:b/>
        <w:bCs/>
        <w:color w:val="FFFFFF" w:themeColor="background1"/>
      </w:rPr>
      <w:tblPr/>
      <w:tcPr>
        <w:shd w:val="clear" w:color="auto" w:fill="7F7F7F" w:themeFill="accent1"/>
      </w:tcPr>
    </w:tblStylePr>
    <w:tblStylePr w:type="lastRow">
      <w:pPr>
        <w:spacing w:before="0" w:after="0" w:line="240" w:lineRule="auto"/>
      </w:pPr>
      <w:rPr>
        <w:b/>
        <w:bCs/>
      </w:rPr>
      <w:tblPr/>
      <w:tcPr>
        <w:tcBorders>
          <w:top w:val="double" w:sz="6" w:space="0" w:color="7F7F7F" w:themeColor="accent1"/>
          <w:left w:val="single" w:sz="8" w:space="0" w:color="7F7F7F" w:themeColor="accent1"/>
          <w:bottom w:val="single" w:sz="8" w:space="0" w:color="7F7F7F" w:themeColor="accent1"/>
          <w:right w:val="single" w:sz="8" w:space="0" w:color="7F7F7F" w:themeColor="accent1"/>
        </w:tcBorders>
      </w:tcPr>
    </w:tblStylePr>
    <w:tblStylePr w:type="firstCol">
      <w:rPr>
        <w:b/>
        <w:bCs/>
      </w:rPr>
    </w:tblStylePr>
    <w:tblStylePr w:type="lastCol">
      <w:rPr>
        <w:b/>
        <w:bCs/>
      </w:rPr>
    </w:tblStylePr>
    <w:tblStylePr w:type="band1Vert">
      <w:tblPr/>
      <w:tcPr>
        <w:tcBorders>
          <w:top w:val="single" w:sz="8" w:space="0" w:color="7F7F7F" w:themeColor="accent1"/>
          <w:left w:val="single" w:sz="8" w:space="0" w:color="7F7F7F" w:themeColor="accent1"/>
          <w:bottom w:val="single" w:sz="8" w:space="0" w:color="7F7F7F" w:themeColor="accent1"/>
          <w:right w:val="single" w:sz="8" w:space="0" w:color="7F7F7F" w:themeColor="accent1"/>
        </w:tcBorders>
      </w:tcPr>
    </w:tblStylePr>
    <w:tblStylePr w:type="band1Horz">
      <w:tblPr/>
      <w:tcPr>
        <w:tcBorders>
          <w:top w:val="single" w:sz="8" w:space="0" w:color="7F7F7F" w:themeColor="accent1"/>
          <w:left w:val="single" w:sz="8" w:space="0" w:color="7F7F7F" w:themeColor="accent1"/>
          <w:bottom w:val="single" w:sz="8" w:space="0" w:color="7F7F7F" w:themeColor="accent1"/>
          <w:right w:val="single" w:sz="8" w:space="0" w:color="7F7F7F" w:themeColor="accent1"/>
        </w:tcBorders>
      </w:tcPr>
    </w:tblStylePr>
  </w:style>
  <w:style w:type="character" w:styleId="SubtleReference">
    <w:name w:val="Subtle Reference"/>
    <w:basedOn w:val="DefaultParagraphFont"/>
    <w:uiPriority w:val="31"/>
    <w:qFormat/>
    <w:rsid w:val="00BB1A9B"/>
    <w:rPr>
      <w:rFonts w:asciiTheme="minorHAnsi" w:eastAsiaTheme="minorEastAsia" w:hAnsiTheme="minorHAnsi" w:cstheme="minorBidi"/>
      <w:i/>
      <w:iCs/>
      <w:color w:val="092329" w:themeColor="accent2" w:themeShade="7F"/>
    </w:rPr>
  </w:style>
  <w:style w:type="table" w:customStyle="1" w:styleId="ListTable3-Accent21">
    <w:name w:val="List Table 3 - Accent 21"/>
    <w:basedOn w:val="TableNormal"/>
    <w:uiPriority w:val="48"/>
    <w:rsid w:val="00BB1A9B"/>
    <w:rPr>
      <w:bCs/>
    </w:rPr>
    <w:tblPr>
      <w:tblStyleRowBandSize w:val="1"/>
      <w:tblStyleColBandSize w:val="1"/>
      <w:tblBorders>
        <w:top w:val="single" w:sz="4" w:space="0" w:color="134753" w:themeColor="accent2"/>
        <w:left w:val="single" w:sz="4" w:space="0" w:color="134753" w:themeColor="accent2"/>
        <w:bottom w:val="single" w:sz="4" w:space="0" w:color="134753" w:themeColor="accent2"/>
        <w:right w:val="single" w:sz="4" w:space="0" w:color="134753" w:themeColor="accent2"/>
      </w:tblBorders>
    </w:tblPr>
    <w:tblStylePr w:type="firstRow">
      <w:rPr>
        <w:b/>
        <w:bCs/>
        <w:color w:val="FFFFFF" w:themeColor="background1"/>
      </w:rPr>
      <w:tblPr/>
      <w:tcPr>
        <w:shd w:val="clear" w:color="auto" w:fill="134753" w:themeFill="accent2"/>
      </w:tcPr>
    </w:tblStylePr>
    <w:tblStylePr w:type="lastRow">
      <w:rPr>
        <w:b/>
        <w:bCs/>
      </w:rPr>
      <w:tblPr/>
      <w:tcPr>
        <w:tcBorders>
          <w:top w:val="double" w:sz="4" w:space="0" w:color="13475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34753" w:themeColor="accent2"/>
          <w:right w:val="single" w:sz="4" w:space="0" w:color="134753" w:themeColor="accent2"/>
        </w:tcBorders>
      </w:tcPr>
    </w:tblStylePr>
    <w:tblStylePr w:type="band1Horz">
      <w:tblPr/>
      <w:tcPr>
        <w:tcBorders>
          <w:top w:val="single" w:sz="4" w:space="0" w:color="134753" w:themeColor="accent2"/>
          <w:bottom w:val="single" w:sz="4" w:space="0" w:color="13475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34753" w:themeColor="accent2"/>
          <w:left w:val="nil"/>
        </w:tcBorders>
      </w:tcPr>
    </w:tblStylePr>
    <w:tblStylePr w:type="swCell">
      <w:tblPr/>
      <w:tcPr>
        <w:tcBorders>
          <w:top w:val="double" w:sz="4" w:space="0" w:color="134753" w:themeColor="accent2"/>
          <w:right w:val="nil"/>
        </w:tcBorders>
      </w:tcPr>
    </w:tblStylePr>
  </w:style>
  <w:style w:type="table" w:customStyle="1" w:styleId="GridTable4-Accent11">
    <w:name w:val="Grid Table 4 - Accent 11"/>
    <w:basedOn w:val="TableNormal"/>
    <w:uiPriority w:val="49"/>
    <w:rsid w:val="00BB1A9B"/>
    <w:rPr>
      <w:rFonts w:eastAsiaTheme="minorHAnsi" w:cstheme="minorBidi"/>
      <w:lang w:val="en-GB"/>
    </w:rPr>
    <w:tblPr>
      <w:tblStyleRowBandSize w:val="1"/>
      <w:tblStyleColBandSize w:val="1"/>
      <w:tblBorders>
        <w:top w:val="single" w:sz="4" w:space="0" w:color="B2B2B2" w:themeColor="accent1" w:themeTint="99"/>
        <w:left w:val="single" w:sz="4" w:space="0" w:color="B2B2B2" w:themeColor="accent1" w:themeTint="99"/>
        <w:bottom w:val="single" w:sz="4" w:space="0" w:color="B2B2B2" w:themeColor="accent1" w:themeTint="99"/>
        <w:right w:val="single" w:sz="4" w:space="0" w:color="B2B2B2" w:themeColor="accent1" w:themeTint="99"/>
        <w:insideH w:val="single" w:sz="4" w:space="0" w:color="B2B2B2" w:themeColor="accent1" w:themeTint="99"/>
        <w:insideV w:val="single" w:sz="4" w:space="0" w:color="B2B2B2" w:themeColor="accent1" w:themeTint="99"/>
      </w:tblBorders>
    </w:tblPr>
    <w:tblStylePr w:type="firstRow">
      <w:rPr>
        <w:b/>
        <w:bCs/>
        <w:color w:val="FFFFFF" w:themeColor="background1"/>
      </w:rPr>
      <w:tblPr/>
      <w:tcPr>
        <w:tcBorders>
          <w:top w:val="single" w:sz="4" w:space="0" w:color="7F7F7F" w:themeColor="accent1"/>
          <w:left w:val="single" w:sz="4" w:space="0" w:color="7F7F7F" w:themeColor="accent1"/>
          <w:bottom w:val="single" w:sz="4" w:space="0" w:color="7F7F7F" w:themeColor="accent1"/>
          <w:right w:val="single" w:sz="4" w:space="0" w:color="7F7F7F" w:themeColor="accent1"/>
          <w:insideH w:val="nil"/>
          <w:insideV w:val="nil"/>
        </w:tcBorders>
        <w:shd w:val="clear" w:color="auto" w:fill="7F7F7F" w:themeFill="accent1"/>
      </w:tcPr>
    </w:tblStylePr>
    <w:tblStylePr w:type="lastRow">
      <w:rPr>
        <w:b/>
        <w:bCs/>
      </w:rPr>
      <w:tblPr/>
      <w:tcPr>
        <w:tcBorders>
          <w:top w:val="double" w:sz="4" w:space="0" w:color="7F7F7F" w:themeColor="accent1"/>
        </w:tcBorders>
      </w:tcPr>
    </w:tblStylePr>
    <w:tblStylePr w:type="firstCol">
      <w:rPr>
        <w:b/>
        <w:bCs/>
      </w:rPr>
    </w:tblStylePr>
    <w:tblStylePr w:type="lastCol">
      <w:rPr>
        <w:b/>
        <w:bCs/>
      </w:rPr>
    </w:tblStylePr>
    <w:tblStylePr w:type="band1Vert">
      <w:tblPr/>
      <w:tcPr>
        <w:shd w:val="clear" w:color="auto" w:fill="E5E5E5" w:themeFill="accent1" w:themeFillTint="33"/>
      </w:tcPr>
    </w:tblStylePr>
    <w:tblStylePr w:type="band1Horz">
      <w:tblPr/>
      <w:tcPr>
        <w:shd w:val="clear" w:color="auto" w:fill="E5E5E5" w:themeFill="accent1" w:themeFillTint="33"/>
      </w:tcPr>
    </w:tblStylePr>
  </w:style>
  <w:style w:type="character" w:customStyle="1" w:styleId="Bodytext2">
    <w:name w:val="Body text (2)"/>
    <w:basedOn w:val="DefaultParagraphFont"/>
    <w:rsid w:val="00BB1A9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o-RO" w:eastAsia="ro-RO" w:bidi="ro-RO"/>
    </w:rPr>
  </w:style>
  <w:style w:type="character" w:customStyle="1" w:styleId="Bodytext3">
    <w:name w:val="Body text (3)_"/>
    <w:basedOn w:val="DefaultParagraphFont"/>
    <w:link w:val="Bodytext30"/>
    <w:rsid w:val="00BB1A9B"/>
    <w:rPr>
      <w:rFonts w:ascii="Times New Roman" w:eastAsia="Times New Roman" w:hAnsi="Times New Roman" w:cs="Times New Roman"/>
      <w:b/>
      <w:bCs/>
      <w:shd w:val="clear" w:color="auto" w:fill="FFFFFF"/>
    </w:rPr>
  </w:style>
  <w:style w:type="paragraph" w:customStyle="1" w:styleId="Bodytext30">
    <w:name w:val="Body text (3)"/>
    <w:basedOn w:val="Normal"/>
    <w:link w:val="Bodytext3"/>
    <w:rsid w:val="00BB1A9B"/>
    <w:pPr>
      <w:widowControl w:val="0"/>
      <w:shd w:val="clear" w:color="auto" w:fill="FFFFFF"/>
      <w:spacing w:before="720" w:after="240" w:line="0" w:lineRule="atLeast"/>
      <w:ind w:hanging="360"/>
      <w:jc w:val="center"/>
    </w:pPr>
    <w:rPr>
      <w:rFonts w:ascii="Times New Roman" w:eastAsia="Times New Roman" w:hAnsi="Times New Roman" w:cs="Times New Roman"/>
      <w:b/>
      <w:bCs/>
      <w:lang w:val="lt-LT"/>
    </w:rPr>
  </w:style>
  <w:style w:type="character" w:customStyle="1" w:styleId="Bodytext6">
    <w:name w:val="Body text (6)_"/>
    <w:basedOn w:val="DefaultParagraphFont"/>
    <w:link w:val="Bodytext60"/>
    <w:rsid w:val="00BB1A9B"/>
    <w:rPr>
      <w:rFonts w:ascii="Times New Roman" w:eastAsia="Times New Roman" w:hAnsi="Times New Roman" w:cs="Times New Roman"/>
      <w:b/>
      <w:bCs/>
      <w:sz w:val="24"/>
      <w:szCs w:val="24"/>
      <w:shd w:val="clear" w:color="auto" w:fill="FFFFFF"/>
    </w:rPr>
  </w:style>
  <w:style w:type="paragraph" w:customStyle="1" w:styleId="Bodytext60">
    <w:name w:val="Body text (6)"/>
    <w:basedOn w:val="Normal"/>
    <w:link w:val="Bodytext6"/>
    <w:rsid w:val="00BB1A9B"/>
    <w:pPr>
      <w:widowControl w:val="0"/>
      <w:shd w:val="clear" w:color="auto" w:fill="FFFFFF"/>
      <w:spacing w:before="360" w:line="298" w:lineRule="exact"/>
      <w:ind w:hanging="360"/>
    </w:pPr>
    <w:rPr>
      <w:rFonts w:ascii="Times New Roman" w:eastAsia="Times New Roman" w:hAnsi="Times New Roman" w:cs="Times New Roman"/>
      <w:b/>
      <w:bCs/>
      <w:sz w:val="24"/>
      <w:szCs w:val="24"/>
      <w:lang w:val="lt-LT"/>
    </w:rPr>
  </w:style>
  <w:style w:type="paragraph" w:customStyle="1" w:styleId="CM18">
    <w:name w:val="CM18"/>
    <w:basedOn w:val="Normal"/>
    <w:next w:val="Normal"/>
    <w:rsid w:val="00BB1A9B"/>
    <w:pPr>
      <w:widowControl w:val="0"/>
      <w:autoSpaceDE w:val="0"/>
      <w:autoSpaceDN w:val="0"/>
      <w:adjustRightInd w:val="0"/>
      <w:spacing w:after="313"/>
      <w:jc w:val="left"/>
    </w:pPr>
    <w:rPr>
      <w:rFonts w:ascii="Palatino Linotype" w:eastAsia="Times New Roman" w:hAnsi="Palatino Linotype" w:cs="Times New Roman"/>
      <w:sz w:val="24"/>
      <w:szCs w:val="24"/>
      <w:lang w:val="en-US"/>
    </w:rPr>
  </w:style>
  <w:style w:type="character" w:customStyle="1" w:styleId="Bodytext20">
    <w:name w:val="Body text (2)_"/>
    <w:basedOn w:val="DefaultParagraphFont"/>
    <w:rsid w:val="00BB1A9B"/>
    <w:rPr>
      <w:rFonts w:ascii="Times New Roman" w:eastAsia="Times New Roman" w:hAnsi="Times New Roman" w:cs="Times New Roman"/>
      <w:b w:val="0"/>
      <w:bCs w:val="0"/>
      <w:i w:val="0"/>
      <w:iCs w:val="0"/>
      <w:smallCaps w:val="0"/>
      <w:strike w:val="0"/>
      <w:u w:val="none"/>
    </w:rPr>
  </w:style>
  <w:style w:type="character" w:customStyle="1" w:styleId="Bodytext2Italic">
    <w:name w:val="Body text (2) + Italic"/>
    <w:basedOn w:val="Bodytext20"/>
    <w:rsid w:val="00BB1A9B"/>
    <w:rPr>
      <w:rFonts w:ascii="Times New Roman" w:eastAsia="Times New Roman" w:hAnsi="Times New Roman" w:cs="Times New Roman"/>
      <w:b w:val="0"/>
      <w:bCs w:val="0"/>
      <w:i/>
      <w:iCs/>
      <w:smallCaps w:val="0"/>
      <w:strike w:val="0"/>
      <w:color w:val="000000"/>
      <w:spacing w:val="0"/>
      <w:w w:val="100"/>
      <w:position w:val="0"/>
      <w:sz w:val="24"/>
      <w:szCs w:val="24"/>
      <w:u w:val="none"/>
      <w:lang w:val="ro-RO" w:eastAsia="ro-RO" w:bidi="ro-RO"/>
    </w:rPr>
  </w:style>
  <w:style w:type="table" w:customStyle="1" w:styleId="PlainTable31">
    <w:name w:val="Plain Table 31"/>
    <w:basedOn w:val="TableNormal"/>
    <w:uiPriority w:val="43"/>
    <w:rsid w:val="00BB1A9B"/>
    <w:rPr>
      <w:rFonts w:eastAsia="Times New Roman" w:cs="Times New Roman"/>
      <w:lang w:val="en-US"/>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GridTable2-Accent31">
    <w:name w:val="Grid Table 2 - Accent 31"/>
    <w:basedOn w:val="TableNormal"/>
    <w:uiPriority w:val="47"/>
    <w:rsid w:val="00BB1A9B"/>
    <w:tblPr>
      <w:tblStyleRowBandSize w:val="1"/>
      <w:tblStyleColBandSize w:val="1"/>
      <w:tblBorders>
        <w:top w:val="single" w:sz="2" w:space="0" w:color="87C7D9" w:themeColor="accent3" w:themeTint="99"/>
        <w:bottom w:val="single" w:sz="2" w:space="0" w:color="87C7D9" w:themeColor="accent3" w:themeTint="99"/>
        <w:insideH w:val="single" w:sz="2" w:space="0" w:color="87C7D9" w:themeColor="accent3" w:themeTint="99"/>
        <w:insideV w:val="single" w:sz="2" w:space="0" w:color="87C7D9" w:themeColor="accent3" w:themeTint="99"/>
      </w:tblBorders>
    </w:tblPr>
    <w:tblStylePr w:type="firstRow">
      <w:rPr>
        <w:b/>
        <w:bCs/>
      </w:rPr>
      <w:tblPr/>
      <w:tcPr>
        <w:tcBorders>
          <w:top w:val="nil"/>
          <w:bottom w:val="single" w:sz="12" w:space="0" w:color="87C7D9" w:themeColor="accent3" w:themeTint="99"/>
          <w:insideH w:val="nil"/>
          <w:insideV w:val="nil"/>
        </w:tcBorders>
        <w:shd w:val="clear" w:color="auto" w:fill="FFFFFF" w:themeFill="background1"/>
      </w:tcPr>
    </w:tblStylePr>
    <w:tblStylePr w:type="lastRow">
      <w:rPr>
        <w:b/>
        <w:bCs/>
      </w:rPr>
      <w:tblPr/>
      <w:tcPr>
        <w:tcBorders>
          <w:top w:val="double" w:sz="2" w:space="0" w:color="87C7D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ECF2" w:themeFill="accent3" w:themeFillTint="33"/>
      </w:tcPr>
    </w:tblStylePr>
    <w:tblStylePr w:type="band1Horz">
      <w:tblPr/>
      <w:tcPr>
        <w:shd w:val="clear" w:color="auto" w:fill="D7ECF2" w:themeFill="accent3" w:themeFillTint="33"/>
      </w:tcPr>
    </w:tblStylePr>
  </w:style>
  <w:style w:type="table" w:customStyle="1" w:styleId="GridTable2-Accent21">
    <w:name w:val="Grid Table 2 - Accent 21"/>
    <w:basedOn w:val="TableNormal"/>
    <w:uiPriority w:val="47"/>
    <w:rsid w:val="00BB1A9B"/>
    <w:tblPr>
      <w:tblStyleRowBandSize w:val="1"/>
      <w:tblStyleColBandSize w:val="1"/>
      <w:tblBorders>
        <w:top w:val="single" w:sz="2" w:space="0" w:color="37B4D1" w:themeColor="accent2" w:themeTint="99"/>
        <w:bottom w:val="single" w:sz="2" w:space="0" w:color="37B4D1" w:themeColor="accent2" w:themeTint="99"/>
        <w:insideH w:val="single" w:sz="2" w:space="0" w:color="37B4D1" w:themeColor="accent2" w:themeTint="99"/>
        <w:insideV w:val="single" w:sz="2" w:space="0" w:color="37B4D1" w:themeColor="accent2" w:themeTint="99"/>
      </w:tblBorders>
    </w:tblPr>
    <w:tblStylePr w:type="firstRow">
      <w:rPr>
        <w:b/>
        <w:bCs/>
      </w:rPr>
      <w:tblPr/>
      <w:tcPr>
        <w:tcBorders>
          <w:top w:val="nil"/>
          <w:bottom w:val="single" w:sz="12" w:space="0" w:color="37B4D1" w:themeColor="accent2" w:themeTint="99"/>
          <w:insideH w:val="nil"/>
          <w:insideV w:val="nil"/>
        </w:tcBorders>
        <w:shd w:val="clear" w:color="auto" w:fill="FFFFFF" w:themeFill="background1"/>
      </w:tcPr>
    </w:tblStylePr>
    <w:tblStylePr w:type="lastRow">
      <w:rPr>
        <w:b/>
        <w:bCs/>
      </w:rPr>
      <w:tblPr/>
      <w:tcPr>
        <w:tcBorders>
          <w:top w:val="double" w:sz="2" w:space="0" w:color="37B4D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E6EF" w:themeFill="accent2" w:themeFillTint="33"/>
      </w:tcPr>
    </w:tblStylePr>
    <w:tblStylePr w:type="band1Horz">
      <w:tblPr/>
      <w:tcPr>
        <w:shd w:val="clear" w:color="auto" w:fill="BCE6EF" w:themeFill="accent2" w:themeFillTint="33"/>
      </w:tcPr>
    </w:tblStylePr>
  </w:style>
  <w:style w:type="table" w:customStyle="1" w:styleId="GridTable4-Accent51">
    <w:name w:val="Grid Table 4 - Accent 51"/>
    <w:basedOn w:val="TableNormal"/>
    <w:uiPriority w:val="49"/>
    <w:rsid w:val="00BB1A9B"/>
    <w:tblPr>
      <w:tblStyleRowBandSize w:val="1"/>
      <w:tblStyleColBandSize w:val="1"/>
      <w:tblBorders>
        <w:top w:val="single" w:sz="4" w:space="0" w:color="CCE188" w:themeColor="accent5" w:themeTint="99"/>
        <w:left w:val="single" w:sz="4" w:space="0" w:color="CCE188" w:themeColor="accent5" w:themeTint="99"/>
        <w:bottom w:val="single" w:sz="4" w:space="0" w:color="CCE188" w:themeColor="accent5" w:themeTint="99"/>
        <w:right w:val="single" w:sz="4" w:space="0" w:color="CCE188" w:themeColor="accent5" w:themeTint="99"/>
        <w:insideH w:val="single" w:sz="4" w:space="0" w:color="CCE188" w:themeColor="accent5" w:themeTint="99"/>
        <w:insideV w:val="single" w:sz="4" w:space="0" w:color="CCE188" w:themeColor="accent5" w:themeTint="99"/>
      </w:tblBorders>
    </w:tblPr>
    <w:tblStylePr w:type="firstRow">
      <w:rPr>
        <w:b/>
        <w:bCs/>
        <w:color w:val="FFFFFF" w:themeColor="background1"/>
      </w:rPr>
      <w:tblPr/>
      <w:tcPr>
        <w:tcBorders>
          <w:top w:val="single" w:sz="4" w:space="0" w:color="ABCD3A" w:themeColor="accent5"/>
          <w:left w:val="single" w:sz="4" w:space="0" w:color="ABCD3A" w:themeColor="accent5"/>
          <w:bottom w:val="single" w:sz="4" w:space="0" w:color="ABCD3A" w:themeColor="accent5"/>
          <w:right w:val="single" w:sz="4" w:space="0" w:color="ABCD3A" w:themeColor="accent5"/>
          <w:insideH w:val="nil"/>
          <w:insideV w:val="nil"/>
        </w:tcBorders>
        <w:shd w:val="clear" w:color="auto" w:fill="ABCD3A" w:themeFill="accent5"/>
      </w:tcPr>
    </w:tblStylePr>
    <w:tblStylePr w:type="lastRow">
      <w:rPr>
        <w:b/>
        <w:bCs/>
      </w:rPr>
      <w:tblPr/>
      <w:tcPr>
        <w:tcBorders>
          <w:top w:val="double" w:sz="4" w:space="0" w:color="ABCD3A" w:themeColor="accent5"/>
        </w:tcBorders>
      </w:tcPr>
    </w:tblStylePr>
    <w:tblStylePr w:type="firstCol">
      <w:rPr>
        <w:b/>
        <w:bCs/>
      </w:rPr>
    </w:tblStylePr>
    <w:tblStylePr w:type="lastCol">
      <w:rPr>
        <w:b/>
        <w:bCs/>
      </w:rPr>
    </w:tblStylePr>
    <w:tblStylePr w:type="band1Vert">
      <w:tblPr/>
      <w:tcPr>
        <w:shd w:val="clear" w:color="auto" w:fill="EEF5D7" w:themeFill="accent5" w:themeFillTint="33"/>
      </w:tcPr>
    </w:tblStylePr>
    <w:tblStylePr w:type="band1Horz">
      <w:tblPr/>
      <w:tcPr>
        <w:shd w:val="clear" w:color="auto" w:fill="EEF5D7" w:themeFill="accent5" w:themeFillTint="33"/>
      </w:tcPr>
    </w:tblStylePr>
  </w:style>
  <w:style w:type="table" w:customStyle="1" w:styleId="GridTable4-Accent31">
    <w:name w:val="Grid Table 4 - Accent 31"/>
    <w:basedOn w:val="TableNormal"/>
    <w:uiPriority w:val="49"/>
    <w:rsid w:val="00BB1A9B"/>
    <w:tblPr>
      <w:tblStyleRowBandSize w:val="1"/>
      <w:tblStyleColBandSize w:val="1"/>
      <w:tblBorders>
        <w:top w:val="single" w:sz="4" w:space="0" w:color="87C7D9" w:themeColor="accent3" w:themeTint="99"/>
        <w:left w:val="single" w:sz="4" w:space="0" w:color="87C7D9" w:themeColor="accent3" w:themeTint="99"/>
        <w:bottom w:val="single" w:sz="4" w:space="0" w:color="87C7D9" w:themeColor="accent3" w:themeTint="99"/>
        <w:right w:val="single" w:sz="4" w:space="0" w:color="87C7D9" w:themeColor="accent3" w:themeTint="99"/>
        <w:insideH w:val="single" w:sz="4" w:space="0" w:color="87C7D9" w:themeColor="accent3" w:themeTint="99"/>
        <w:insideV w:val="single" w:sz="4" w:space="0" w:color="87C7D9" w:themeColor="accent3" w:themeTint="99"/>
      </w:tblBorders>
    </w:tblPr>
    <w:tblStylePr w:type="firstRow">
      <w:rPr>
        <w:b/>
        <w:bCs/>
        <w:color w:val="FFFFFF" w:themeColor="background1"/>
      </w:rPr>
      <w:tblPr/>
      <w:tcPr>
        <w:tcBorders>
          <w:top w:val="single" w:sz="4" w:space="0" w:color="3CA1BC" w:themeColor="accent3"/>
          <w:left w:val="single" w:sz="4" w:space="0" w:color="3CA1BC" w:themeColor="accent3"/>
          <w:bottom w:val="single" w:sz="4" w:space="0" w:color="3CA1BC" w:themeColor="accent3"/>
          <w:right w:val="single" w:sz="4" w:space="0" w:color="3CA1BC" w:themeColor="accent3"/>
          <w:insideH w:val="nil"/>
          <w:insideV w:val="nil"/>
        </w:tcBorders>
        <w:shd w:val="clear" w:color="auto" w:fill="3CA1BC" w:themeFill="accent3"/>
      </w:tcPr>
    </w:tblStylePr>
    <w:tblStylePr w:type="lastRow">
      <w:rPr>
        <w:b/>
        <w:bCs/>
      </w:rPr>
      <w:tblPr/>
      <w:tcPr>
        <w:tcBorders>
          <w:top w:val="double" w:sz="4" w:space="0" w:color="3CA1BC" w:themeColor="accent3"/>
        </w:tcBorders>
      </w:tcPr>
    </w:tblStylePr>
    <w:tblStylePr w:type="firstCol">
      <w:rPr>
        <w:b/>
        <w:bCs/>
      </w:rPr>
    </w:tblStylePr>
    <w:tblStylePr w:type="lastCol">
      <w:rPr>
        <w:b/>
        <w:bCs/>
      </w:rPr>
    </w:tblStylePr>
    <w:tblStylePr w:type="band1Vert">
      <w:tblPr/>
      <w:tcPr>
        <w:shd w:val="clear" w:color="auto" w:fill="D7ECF2" w:themeFill="accent3" w:themeFillTint="33"/>
      </w:tcPr>
    </w:tblStylePr>
    <w:tblStylePr w:type="band1Horz">
      <w:tblPr/>
      <w:tcPr>
        <w:shd w:val="clear" w:color="auto" w:fill="D7ECF2" w:themeFill="accent3" w:themeFillTint="33"/>
      </w:tcPr>
    </w:tblStylePr>
  </w:style>
  <w:style w:type="character" w:customStyle="1" w:styleId="company">
    <w:name w:val="company"/>
    <w:basedOn w:val="DefaultParagraphFont"/>
    <w:rsid w:val="00BB1A9B"/>
  </w:style>
  <w:style w:type="table" w:customStyle="1" w:styleId="GridTable5Dark-Accent51">
    <w:name w:val="Grid Table 5 Dark - Accent 51"/>
    <w:basedOn w:val="TableNormal"/>
    <w:uiPriority w:val="50"/>
    <w:rsid w:val="00BB1A9B"/>
    <w:rPr>
      <w:bC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BCD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BCD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BCD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BCD3A" w:themeFill="accent5"/>
      </w:tcPr>
    </w:tblStylePr>
    <w:tblStylePr w:type="band1Vert">
      <w:tblPr/>
      <w:tcPr>
        <w:shd w:val="clear" w:color="auto" w:fill="DDEBB0" w:themeFill="accent5" w:themeFillTint="66"/>
      </w:tcPr>
    </w:tblStylePr>
    <w:tblStylePr w:type="band1Horz">
      <w:tblPr/>
      <w:tcPr>
        <w:shd w:val="clear" w:color="auto" w:fill="DDEBB0" w:themeFill="accent5" w:themeFillTint="66"/>
      </w:tcPr>
    </w:tblStylePr>
  </w:style>
  <w:style w:type="table" w:customStyle="1" w:styleId="ListTable3-Accent51">
    <w:name w:val="List Table 3 - Accent 51"/>
    <w:basedOn w:val="TableNormal"/>
    <w:uiPriority w:val="48"/>
    <w:rsid w:val="00BB1A9B"/>
    <w:tblPr>
      <w:tblStyleRowBandSize w:val="1"/>
      <w:tblStyleColBandSize w:val="1"/>
      <w:tblBorders>
        <w:top w:val="single" w:sz="4" w:space="0" w:color="ABCD3A" w:themeColor="accent5"/>
        <w:left w:val="single" w:sz="4" w:space="0" w:color="ABCD3A" w:themeColor="accent5"/>
        <w:bottom w:val="single" w:sz="4" w:space="0" w:color="ABCD3A" w:themeColor="accent5"/>
        <w:right w:val="single" w:sz="4" w:space="0" w:color="ABCD3A" w:themeColor="accent5"/>
      </w:tblBorders>
    </w:tblPr>
    <w:tblStylePr w:type="firstRow">
      <w:rPr>
        <w:b/>
        <w:bCs/>
        <w:color w:val="FFFFFF" w:themeColor="background1"/>
      </w:rPr>
      <w:tblPr/>
      <w:tcPr>
        <w:shd w:val="clear" w:color="auto" w:fill="ABCD3A" w:themeFill="accent5"/>
      </w:tcPr>
    </w:tblStylePr>
    <w:tblStylePr w:type="lastRow">
      <w:rPr>
        <w:b/>
        <w:bCs/>
      </w:rPr>
      <w:tblPr/>
      <w:tcPr>
        <w:tcBorders>
          <w:top w:val="double" w:sz="4" w:space="0" w:color="ABCD3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CD3A" w:themeColor="accent5"/>
          <w:right w:val="single" w:sz="4" w:space="0" w:color="ABCD3A" w:themeColor="accent5"/>
        </w:tcBorders>
      </w:tcPr>
    </w:tblStylePr>
    <w:tblStylePr w:type="band1Horz">
      <w:tblPr/>
      <w:tcPr>
        <w:tcBorders>
          <w:top w:val="single" w:sz="4" w:space="0" w:color="ABCD3A" w:themeColor="accent5"/>
          <w:bottom w:val="single" w:sz="4" w:space="0" w:color="ABCD3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CD3A" w:themeColor="accent5"/>
          <w:left w:val="nil"/>
        </w:tcBorders>
      </w:tcPr>
    </w:tblStylePr>
    <w:tblStylePr w:type="swCell">
      <w:tblPr/>
      <w:tcPr>
        <w:tcBorders>
          <w:top w:val="double" w:sz="4" w:space="0" w:color="ABCD3A" w:themeColor="accent5"/>
          <w:right w:val="nil"/>
        </w:tcBorders>
      </w:tcPr>
    </w:tblStylePr>
  </w:style>
  <w:style w:type="table" w:customStyle="1" w:styleId="GridTable4-Accent61">
    <w:name w:val="Grid Table 4 - Accent 61"/>
    <w:basedOn w:val="TableNormal"/>
    <w:uiPriority w:val="49"/>
    <w:rsid w:val="00BB1A9B"/>
    <w:tblPr>
      <w:tblStyleRowBandSize w:val="1"/>
      <w:tblStyleColBandSize w:val="1"/>
      <w:tblBorders>
        <w:top w:val="single" w:sz="4" w:space="0" w:color="99C771" w:themeColor="accent6" w:themeTint="99"/>
        <w:left w:val="single" w:sz="4" w:space="0" w:color="99C771" w:themeColor="accent6" w:themeTint="99"/>
        <w:bottom w:val="single" w:sz="4" w:space="0" w:color="99C771" w:themeColor="accent6" w:themeTint="99"/>
        <w:right w:val="single" w:sz="4" w:space="0" w:color="99C771" w:themeColor="accent6" w:themeTint="99"/>
        <w:insideH w:val="single" w:sz="4" w:space="0" w:color="99C771" w:themeColor="accent6" w:themeTint="99"/>
        <w:insideV w:val="single" w:sz="4" w:space="0" w:color="99C771" w:themeColor="accent6" w:themeTint="99"/>
      </w:tblBorders>
    </w:tblPr>
    <w:tblStylePr w:type="firstRow">
      <w:rPr>
        <w:b/>
        <w:bCs/>
        <w:color w:val="FFFFFF" w:themeColor="background1"/>
      </w:rPr>
      <w:tblPr/>
      <w:tcPr>
        <w:tcBorders>
          <w:top w:val="single" w:sz="4" w:space="0" w:color="588133" w:themeColor="accent6"/>
          <w:left w:val="single" w:sz="4" w:space="0" w:color="588133" w:themeColor="accent6"/>
          <w:bottom w:val="single" w:sz="4" w:space="0" w:color="588133" w:themeColor="accent6"/>
          <w:right w:val="single" w:sz="4" w:space="0" w:color="588133" w:themeColor="accent6"/>
          <w:insideH w:val="nil"/>
          <w:insideV w:val="nil"/>
        </w:tcBorders>
        <w:shd w:val="clear" w:color="auto" w:fill="588133" w:themeFill="accent6"/>
      </w:tcPr>
    </w:tblStylePr>
    <w:tblStylePr w:type="lastRow">
      <w:rPr>
        <w:b/>
        <w:bCs/>
      </w:rPr>
      <w:tblPr/>
      <w:tcPr>
        <w:tcBorders>
          <w:top w:val="double" w:sz="4" w:space="0" w:color="588133" w:themeColor="accent6"/>
        </w:tcBorders>
      </w:tcPr>
    </w:tblStylePr>
    <w:tblStylePr w:type="firstCol">
      <w:rPr>
        <w:b/>
        <w:bCs/>
      </w:rPr>
    </w:tblStylePr>
    <w:tblStylePr w:type="lastCol">
      <w:rPr>
        <w:b/>
        <w:bCs/>
      </w:rPr>
    </w:tblStylePr>
    <w:tblStylePr w:type="band1Vert">
      <w:tblPr/>
      <w:tcPr>
        <w:shd w:val="clear" w:color="auto" w:fill="DDECCF" w:themeFill="accent6" w:themeFillTint="33"/>
      </w:tcPr>
    </w:tblStylePr>
    <w:tblStylePr w:type="band1Horz">
      <w:tblPr/>
      <w:tcPr>
        <w:shd w:val="clear" w:color="auto" w:fill="DDECCF" w:themeFill="accent6" w:themeFillTint="33"/>
      </w:tcPr>
    </w:tblStylePr>
  </w:style>
  <w:style w:type="table" w:customStyle="1" w:styleId="Civitta4">
    <w:name w:val="Civitta4"/>
    <w:basedOn w:val="TableNormal"/>
    <w:uiPriority w:val="99"/>
    <w:rsid w:val="00BB1A9B"/>
    <w:rPr>
      <w:rFonts w:ascii="Avenir Next Demi Bold" w:hAnsi="Avenir Next Demi Bold" w:cs="Arial"/>
      <w:bCs/>
      <w:sz w:val="20"/>
      <w:szCs w:val="20"/>
      <w:lang w:val="ro-RO" w:eastAsia="ro-RO"/>
    </w:r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502523"/>
    </w:tcPr>
    <w:tblStylePr w:type="firstRow">
      <w:rPr>
        <w:color w:val="FFFFFF"/>
      </w:rPr>
      <w:tblPr/>
      <w:tcPr>
        <w:shd w:val="clear" w:color="auto" w:fill="3CA1BC"/>
      </w:tcPr>
    </w:tblStylePr>
    <w:tblStylePr w:type="firstCol">
      <w:rPr>
        <w:color w:val="FFFFFF"/>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cPr>
    </w:tblStylePr>
  </w:style>
  <w:style w:type="table" w:customStyle="1" w:styleId="GridTable4-Accent41">
    <w:name w:val="Grid Table 4 - Accent 41"/>
    <w:basedOn w:val="TableTheme"/>
    <w:uiPriority w:val="49"/>
    <w:rsid w:val="00BB1A9B"/>
    <w:pPr>
      <w:spacing w:after="60"/>
    </w:pPr>
    <w:rPr>
      <w:rFonts w:ascii="Calibri" w:hAnsi="Calibri" w:cs="Arial"/>
      <w:bCs/>
      <w:sz w:val="20"/>
      <w:szCs w:val="20"/>
      <w:lang w:val="ro-RO" w:eastAsia="ro-RO"/>
    </w:rPr>
    <w:tblPr>
      <w:tblStyleRowBandSize w:val="1"/>
      <w:tblStyleColBandSize w:val="1"/>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Pr>
    <w:tblStylePr w:type="firstRow">
      <w:rPr>
        <w:b/>
        <w:bCs/>
        <w:color w:val="FFFFFF"/>
      </w:rPr>
      <w:tblPr/>
      <w:tcPr>
        <w:tcBorders>
          <w:top w:val="single" w:sz="4" w:space="0" w:color="3CA1BC"/>
          <w:left w:val="single" w:sz="4" w:space="0" w:color="3CA1BC"/>
          <w:bottom w:val="single" w:sz="4" w:space="0" w:color="3CA1BC"/>
          <w:right w:val="single" w:sz="4" w:space="0" w:color="3CA1BC"/>
          <w:insideH w:val="nil"/>
          <w:insideV w:val="nil"/>
        </w:tcBorders>
        <w:shd w:val="clear" w:color="auto" w:fill="3CA1BC"/>
      </w:tcPr>
    </w:tblStylePr>
    <w:tblStylePr w:type="lastRow">
      <w:rPr>
        <w:b/>
        <w:bCs/>
      </w:rPr>
      <w:tblPr/>
      <w:tcPr>
        <w:tcBorders>
          <w:top w:val="double" w:sz="4" w:space="0" w:color="3CA1BC"/>
        </w:tcBorders>
      </w:tcPr>
    </w:tblStylePr>
    <w:tblStylePr w:type="firstCol">
      <w:rPr>
        <w:b/>
        <w:bCs/>
      </w:rPr>
    </w:tblStylePr>
    <w:tblStylePr w:type="lastCol">
      <w:rPr>
        <w:b/>
        <w:bCs/>
      </w:rPr>
    </w:tblStylePr>
    <w:tblStylePr w:type="band1Vert">
      <w:tblPr/>
      <w:tcPr>
        <w:shd w:val="clear" w:color="auto" w:fill="D9D9D9"/>
      </w:tcPr>
    </w:tblStylePr>
    <w:tblStylePr w:type="band1Horz">
      <w:tblPr/>
      <w:tcPr>
        <w:shd w:val="clear" w:color="auto" w:fill="D9D9D9"/>
      </w:tcPr>
    </w:tblStylePr>
    <w:tblStylePr w:type="band2Horz">
      <w:tblPr/>
      <w:tcPr>
        <w:shd w:val="clear" w:color="auto" w:fill="F2F2F2"/>
      </w:tcPr>
    </w:tblStylePr>
  </w:style>
  <w:style w:type="paragraph" w:customStyle="1" w:styleId="Els-body-text">
    <w:name w:val="Els-body-text"/>
    <w:rsid w:val="00BB1A9B"/>
    <w:pPr>
      <w:jc w:val="both"/>
    </w:pPr>
    <w:rPr>
      <w:rFonts w:ascii="Times New Roman" w:eastAsia="Times New Roman" w:hAnsi="Times New Roman" w:cs="Times New Roman"/>
      <w:bCs/>
      <w:sz w:val="20"/>
      <w:szCs w:val="20"/>
      <w:lang w:val="en-US"/>
    </w:rPr>
  </w:style>
  <w:style w:type="character" w:customStyle="1" w:styleId="Bodytext285pt">
    <w:name w:val="Body text (2) + 8.5 pt"/>
    <w:aliases w:val="Bold"/>
    <w:basedOn w:val="Bodytext20"/>
    <w:rsid w:val="00BB1A9B"/>
    <w:rPr>
      <w:rFonts w:ascii="Trebuchet MS" w:eastAsia="Trebuchet MS" w:hAnsi="Trebuchet MS" w:cs="Trebuchet MS"/>
      <w:b/>
      <w:bCs/>
      <w:i w:val="0"/>
      <w:iCs w:val="0"/>
      <w:smallCaps w:val="0"/>
      <w:strike w:val="0"/>
      <w:color w:val="000000"/>
      <w:spacing w:val="0"/>
      <w:w w:val="100"/>
      <w:position w:val="0"/>
      <w:sz w:val="17"/>
      <w:szCs w:val="17"/>
      <w:u w:val="none"/>
      <w:shd w:val="clear" w:color="auto" w:fill="FFFFFF"/>
      <w:lang w:val="ro-RO" w:eastAsia="ro-RO" w:bidi="ro-RO"/>
    </w:rPr>
  </w:style>
  <w:style w:type="character" w:customStyle="1" w:styleId="page-title">
    <w:name w:val="page-title"/>
    <w:basedOn w:val="DefaultParagraphFont"/>
    <w:rsid w:val="00BB1A9B"/>
  </w:style>
  <w:style w:type="character" w:customStyle="1" w:styleId="cssliteratitlu">
    <w:name w:val="cssliteratitlu"/>
    <w:basedOn w:val="DefaultParagraphFont"/>
    <w:rsid w:val="00BB1A9B"/>
  </w:style>
  <w:style w:type="paragraph" w:styleId="z-TopofForm">
    <w:name w:val="HTML Top of Form"/>
    <w:basedOn w:val="Normal"/>
    <w:next w:val="Normal"/>
    <w:link w:val="z-TopofFormChar"/>
    <w:hidden/>
    <w:uiPriority w:val="99"/>
    <w:semiHidden/>
    <w:unhideWhenUsed/>
    <w:rsid w:val="00BB1A9B"/>
    <w:pPr>
      <w:pBdr>
        <w:bottom w:val="single" w:sz="6" w:space="1" w:color="auto"/>
      </w:pBdr>
      <w:spacing w:after="0" w:line="259" w:lineRule="auto"/>
      <w:jc w:val="center"/>
    </w:pPr>
    <w:rPr>
      <w:rFonts w:ascii="Arial" w:eastAsiaTheme="minorHAnsi" w:hAnsi="Arial" w:cs="Arial"/>
      <w:bCs/>
      <w:vanish/>
      <w:sz w:val="16"/>
      <w:szCs w:val="16"/>
    </w:rPr>
  </w:style>
  <w:style w:type="character" w:customStyle="1" w:styleId="z-TopofFormChar">
    <w:name w:val="z-Top of Form Char"/>
    <w:basedOn w:val="DefaultParagraphFont"/>
    <w:link w:val="z-TopofForm"/>
    <w:uiPriority w:val="99"/>
    <w:semiHidden/>
    <w:rsid w:val="00BB1A9B"/>
    <w:rPr>
      <w:rFonts w:ascii="Arial" w:eastAsiaTheme="minorHAnsi" w:hAnsi="Arial" w:cs="Arial"/>
      <w:bCs/>
      <w:vanish/>
      <w:sz w:val="16"/>
      <w:szCs w:val="16"/>
      <w:lang w:val="ro-RO"/>
    </w:rPr>
  </w:style>
  <w:style w:type="paragraph" w:styleId="z-BottomofForm">
    <w:name w:val="HTML Bottom of Form"/>
    <w:basedOn w:val="Normal"/>
    <w:next w:val="Normal"/>
    <w:link w:val="z-BottomofFormChar"/>
    <w:hidden/>
    <w:uiPriority w:val="99"/>
    <w:semiHidden/>
    <w:unhideWhenUsed/>
    <w:rsid w:val="00BB1A9B"/>
    <w:pPr>
      <w:pBdr>
        <w:top w:val="single" w:sz="6" w:space="1" w:color="auto"/>
      </w:pBdr>
      <w:spacing w:after="0" w:line="259" w:lineRule="auto"/>
      <w:jc w:val="center"/>
    </w:pPr>
    <w:rPr>
      <w:rFonts w:ascii="Arial" w:eastAsiaTheme="minorHAnsi" w:hAnsi="Arial" w:cs="Arial"/>
      <w:bCs/>
      <w:vanish/>
      <w:sz w:val="16"/>
      <w:szCs w:val="16"/>
    </w:rPr>
  </w:style>
  <w:style w:type="character" w:customStyle="1" w:styleId="z-BottomofFormChar">
    <w:name w:val="z-Bottom of Form Char"/>
    <w:basedOn w:val="DefaultParagraphFont"/>
    <w:link w:val="z-BottomofForm"/>
    <w:uiPriority w:val="99"/>
    <w:semiHidden/>
    <w:rsid w:val="00BB1A9B"/>
    <w:rPr>
      <w:rFonts w:ascii="Arial" w:eastAsiaTheme="minorHAnsi" w:hAnsi="Arial" w:cs="Arial"/>
      <w:bCs/>
      <w:vanish/>
      <w:sz w:val="16"/>
      <w:szCs w:val="16"/>
      <w:lang w:val="ro-RO"/>
    </w:rPr>
  </w:style>
  <w:style w:type="character" w:customStyle="1" w:styleId="sartttl">
    <w:name w:val="s_art_ttl"/>
    <w:basedOn w:val="DefaultParagraphFont"/>
    <w:rsid w:val="00BB1A9B"/>
  </w:style>
  <w:style w:type="character" w:customStyle="1" w:styleId="sartden">
    <w:name w:val="s_art_den"/>
    <w:basedOn w:val="DefaultParagraphFont"/>
    <w:rsid w:val="00BB1A9B"/>
  </w:style>
  <w:style w:type="character" w:customStyle="1" w:styleId="sttlttl">
    <w:name w:val="s_ttl_ttl"/>
    <w:basedOn w:val="DefaultParagraphFont"/>
    <w:rsid w:val="00BB1A9B"/>
  </w:style>
  <w:style w:type="character" w:customStyle="1" w:styleId="sttlden">
    <w:name w:val="s_ttl_den"/>
    <w:basedOn w:val="DefaultParagraphFont"/>
    <w:rsid w:val="00BB1A9B"/>
  </w:style>
  <w:style w:type="character" w:customStyle="1" w:styleId="sden">
    <w:name w:val="s_den"/>
    <w:basedOn w:val="DefaultParagraphFont"/>
    <w:rsid w:val="00BB1A9B"/>
  </w:style>
  <w:style w:type="character" w:customStyle="1" w:styleId="shdr">
    <w:name w:val="s_hdr"/>
    <w:basedOn w:val="DefaultParagraphFont"/>
    <w:rsid w:val="00BB1A9B"/>
  </w:style>
  <w:style w:type="table" w:customStyle="1" w:styleId="Civittatable1">
    <w:name w:val="Civitta table1"/>
    <w:basedOn w:val="TableNormal"/>
    <w:uiPriority w:val="99"/>
    <w:rsid w:val="00BB1A9B"/>
    <w:pPr>
      <w:spacing w:before="60" w:after="60"/>
    </w:pPr>
    <w:rPr>
      <w:bCs/>
      <w:sz w:val="20"/>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character" w:customStyle="1" w:styleId="UnresolvedMention2">
    <w:name w:val="Unresolved Mention2"/>
    <w:basedOn w:val="DefaultParagraphFont"/>
    <w:uiPriority w:val="99"/>
    <w:semiHidden/>
    <w:unhideWhenUsed/>
    <w:rsid w:val="00BB1A9B"/>
    <w:rPr>
      <w:color w:val="605E5C"/>
      <w:shd w:val="clear" w:color="auto" w:fill="E1DFDD"/>
    </w:rPr>
  </w:style>
  <w:style w:type="character" w:customStyle="1" w:styleId="TextnotdesubsolCaracter1">
    <w:name w:val="Text notă de subsol Caracter1"/>
    <w:aliases w:val="Fußnotentextf Caracter1,single space Caracter1,Fußnote Caracter1,-E Fußnotentext Caracter1,Fußnotentext Ursprung Caracter1,Podrozdział Caracter1,Footnote Text Char Char Caracter1,FOOTNOTES Caracter1,fn Caracter1"/>
    <w:basedOn w:val="DefaultParagraphFont"/>
    <w:uiPriority w:val="99"/>
    <w:semiHidden/>
    <w:rsid w:val="00BB1A9B"/>
    <w:rPr>
      <w:bCs/>
      <w:sz w:val="20"/>
      <w:szCs w:val="20"/>
    </w:rPr>
  </w:style>
  <w:style w:type="character" w:customStyle="1" w:styleId="CitatCaracter1">
    <w:name w:val="Citat Caracter1"/>
    <w:aliases w:val="Contact information Caracter1"/>
    <w:basedOn w:val="DefaultParagraphFont"/>
    <w:uiPriority w:val="99"/>
    <w:rsid w:val="00BB1A9B"/>
    <w:rPr>
      <w:bCs/>
      <w:i/>
      <w:iCs/>
      <w:color w:val="404040" w:themeColor="text1" w:themeTint="BF"/>
    </w:rPr>
  </w:style>
  <w:style w:type="table" w:styleId="GridTable4-Accent3">
    <w:name w:val="Grid Table 4 Accent 3"/>
    <w:basedOn w:val="TableNormal"/>
    <w:uiPriority w:val="49"/>
    <w:rsid w:val="00BB1A9B"/>
    <w:tblPr>
      <w:tblStyleRowBandSize w:val="1"/>
      <w:tblStyleColBandSize w:val="1"/>
      <w:tblBorders>
        <w:top w:val="single" w:sz="4" w:space="0" w:color="87C7D9" w:themeColor="accent3" w:themeTint="99"/>
        <w:left w:val="single" w:sz="4" w:space="0" w:color="87C7D9" w:themeColor="accent3" w:themeTint="99"/>
        <w:bottom w:val="single" w:sz="4" w:space="0" w:color="87C7D9" w:themeColor="accent3" w:themeTint="99"/>
        <w:right w:val="single" w:sz="4" w:space="0" w:color="87C7D9" w:themeColor="accent3" w:themeTint="99"/>
        <w:insideH w:val="single" w:sz="4" w:space="0" w:color="87C7D9" w:themeColor="accent3" w:themeTint="99"/>
        <w:insideV w:val="single" w:sz="4" w:space="0" w:color="87C7D9" w:themeColor="accent3" w:themeTint="99"/>
      </w:tblBorders>
    </w:tblPr>
    <w:tblStylePr w:type="firstRow">
      <w:rPr>
        <w:b/>
        <w:bCs/>
        <w:color w:val="FFFFFF" w:themeColor="background1"/>
      </w:rPr>
      <w:tblPr/>
      <w:tcPr>
        <w:tcBorders>
          <w:top w:val="single" w:sz="4" w:space="0" w:color="3CA1BC" w:themeColor="accent3"/>
          <w:left w:val="single" w:sz="4" w:space="0" w:color="3CA1BC" w:themeColor="accent3"/>
          <w:bottom w:val="single" w:sz="4" w:space="0" w:color="3CA1BC" w:themeColor="accent3"/>
          <w:right w:val="single" w:sz="4" w:space="0" w:color="3CA1BC" w:themeColor="accent3"/>
          <w:insideH w:val="nil"/>
          <w:insideV w:val="nil"/>
        </w:tcBorders>
        <w:shd w:val="clear" w:color="auto" w:fill="3CA1BC" w:themeFill="accent3"/>
      </w:tcPr>
    </w:tblStylePr>
    <w:tblStylePr w:type="lastRow">
      <w:rPr>
        <w:b/>
        <w:bCs/>
      </w:rPr>
      <w:tblPr/>
      <w:tcPr>
        <w:tcBorders>
          <w:top w:val="double" w:sz="4" w:space="0" w:color="3CA1BC" w:themeColor="accent3"/>
        </w:tcBorders>
      </w:tcPr>
    </w:tblStylePr>
    <w:tblStylePr w:type="firstCol">
      <w:rPr>
        <w:b/>
        <w:bCs/>
      </w:rPr>
    </w:tblStylePr>
    <w:tblStylePr w:type="lastCol">
      <w:rPr>
        <w:b/>
        <w:bCs/>
      </w:rPr>
    </w:tblStylePr>
    <w:tblStylePr w:type="band1Vert">
      <w:tblPr/>
      <w:tcPr>
        <w:shd w:val="clear" w:color="auto" w:fill="D7ECF2" w:themeFill="accent3" w:themeFillTint="33"/>
      </w:tcPr>
    </w:tblStylePr>
    <w:tblStylePr w:type="band1Horz">
      <w:tblPr/>
      <w:tcPr>
        <w:shd w:val="clear" w:color="auto" w:fill="D7ECF2" w:themeFill="accent3" w:themeFillTint="33"/>
      </w:tcPr>
    </w:tblStylePr>
  </w:style>
  <w:style w:type="table" w:styleId="ListTable3-Accent3">
    <w:name w:val="List Table 3 Accent 3"/>
    <w:basedOn w:val="TableNormal"/>
    <w:uiPriority w:val="48"/>
    <w:rsid w:val="00BB1A9B"/>
    <w:rPr>
      <w:bCs/>
    </w:rPr>
    <w:tblPr>
      <w:tblStyleRowBandSize w:val="1"/>
      <w:tblStyleColBandSize w:val="1"/>
      <w:tblBorders>
        <w:top w:val="single" w:sz="4" w:space="0" w:color="3CA1BC" w:themeColor="accent3"/>
        <w:left w:val="single" w:sz="4" w:space="0" w:color="3CA1BC" w:themeColor="accent3"/>
        <w:bottom w:val="single" w:sz="4" w:space="0" w:color="3CA1BC" w:themeColor="accent3"/>
        <w:right w:val="single" w:sz="4" w:space="0" w:color="3CA1BC" w:themeColor="accent3"/>
      </w:tblBorders>
    </w:tblPr>
    <w:tblStylePr w:type="firstRow">
      <w:rPr>
        <w:b/>
        <w:bCs/>
        <w:color w:val="FFFFFF" w:themeColor="background1"/>
      </w:rPr>
      <w:tblPr/>
      <w:tcPr>
        <w:shd w:val="clear" w:color="auto" w:fill="3CA1BC" w:themeFill="accent3"/>
      </w:tcPr>
    </w:tblStylePr>
    <w:tblStylePr w:type="lastRow">
      <w:rPr>
        <w:b/>
        <w:bCs/>
      </w:rPr>
      <w:tblPr/>
      <w:tcPr>
        <w:tcBorders>
          <w:top w:val="double" w:sz="4" w:space="0" w:color="3CA1B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CA1BC" w:themeColor="accent3"/>
          <w:right w:val="single" w:sz="4" w:space="0" w:color="3CA1BC" w:themeColor="accent3"/>
        </w:tcBorders>
      </w:tcPr>
    </w:tblStylePr>
    <w:tblStylePr w:type="band1Horz">
      <w:tblPr/>
      <w:tcPr>
        <w:tcBorders>
          <w:top w:val="single" w:sz="4" w:space="0" w:color="3CA1BC" w:themeColor="accent3"/>
          <w:bottom w:val="single" w:sz="4" w:space="0" w:color="3CA1B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CA1BC" w:themeColor="accent3"/>
          <w:left w:val="nil"/>
        </w:tcBorders>
      </w:tcPr>
    </w:tblStylePr>
    <w:tblStylePr w:type="swCell">
      <w:tblPr/>
      <w:tcPr>
        <w:tcBorders>
          <w:top w:val="double" w:sz="4" w:space="0" w:color="3CA1BC" w:themeColor="accent3"/>
          <w:right w:val="nil"/>
        </w:tcBorders>
      </w:tcPr>
    </w:tblStylePr>
  </w:style>
  <w:style w:type="table" w:customStyle="1" w:styleId="ListTable3-Accent32">
    <w:name w:val="List Table 3 - Accent 32"/>
    <w:basedOn w:val="TableNormal"/>
    <w:uiPriority w:val="48"/>
    <w:rsid w:val="00BB1A9B"/>
    <w:rPr>
      <w:bCs/>
      <w:sz w:val="20"/>
      <w:szCs w:val="20"/>
    </w:rPr>
    <w:tblPr/>
    <w:tblStylePr w:type="band1Horz">
      <w:tblPr/>
      <w:tcPr>
        <w:tcBorders>
          <w:top w:val="single" w:sz="4" w:space="0" w:color="3CA1BC" w:themeColor="accent3"/>
          <w:bottom w:val="single" w:sz="4" w:space="0" w:color="3CA1BC" w:themeColor="accent3"/>
          <w:insideH w:val="nil"/>
        </w:tcBorders>
      </w:tcPr>
    </w:tblStylePr>
  </w:style>
  <w:style w:type="table" w:customStyle="1" w:styleId="ListTable3-Accent33">
    <w:name w:val="List Table 3 - Accent 33"/>
    <w:basedOn w:val="TableNormal"/>
    <w:uiPriority w:val="48"/>
    <w:rsid w:val="00BB1A9B"/>
    <w:rPr>
      <w:bCs/>
      <w:sz w:val="20"/>
      <w:szCs w:val="20"/>
    </w:rPr>
    <w:tbl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CA1BC" w:themeColor="accent3"/>
          <w:left w:val="nil"/>
        </w:tcBorders>
      </w:tcPr>
    </w:tblStylePr>
    <w:tblStylePr w:type="swCell">
      <w:tblPr/>
      <w:tcPr>
        <w:tcBorders>
          <w:top w:val="double" w:sz="4" w:space="0" w:color="3CA1BC" w:themeColor="accent3"/>
          <w:right w:val="nil"/>
        </w:tcBorders>
      </w:tcPr>
    </w:tblStylePr>
  </w:style>
  <w:style w:type="paragraph" w:customStyle="1" w:styleId="ActionTitle0">
    <w:name w:val="Action Title"/>
    <w:basedOn w:val="Normal"/>
    <w:next w:val="Normal"/>
    <w:link w:val="ActionTitleCaracter"/>
    <w:autoRedefine/>
    <w:qFormat/>
    <w:rsid w:val="00BB1A9B"/>
    <w:pPr>
      <w:spacing w:before="200" w:after="200"/>
    </w:pPr>
    <w:rPr>
      <w:b/>
      <w:color w:val="3CA1BC" w:themeColor="background2"/>
      <w:sz w:val="24"/>
      <w:lang w:eastAsia="ja-JP"/>
    </w:rPr>
  </w:style>
  <w:style w:type="character" w:customStyle="1" w:styleId="ActionTitleCaracter">
    <w:name w:val="Action Title Caracter"/>
    <w:basedOn w:val="DefaultParagraphFont"/>
    <w:link w:val="ActionTitle0"/>
    <w:rsid w:val="00BB1A9B"/>
    <w:rPr>
      <w:b/>
      <w:color w:val="3CA1BC" w:themeColor="background2"/>
      <w:sz w:val="24"/>
      <w:lang w:val="ro-RO" w:eastAsia="ja-JP"/>
    </w:rPr>
  </w:style>
  <w:style w:type="character" w:customStyle="1" w:styleId="bold">
    <w:name w:val="bold"/>
    <w:basedOn w:val="DefaultParagraphFont"/>
    <w:rsid w:val="00BB1A9B"/>
  </w:style>
  <w:style w:type="table" w:styleId="PlainTable5">
    <w:name w:val="Plain Table 5"/>
    <w:basedOn w:val="TableNormal"/>
    <w:uiPriority w:val="45"/>
    <w:rsid w:val="00BB1A9B"/>
    <w:rPr>
      <w:bC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BB1A9B"/>
    <w:rPr>
      <w:rFonts w:eastAsiaTheme="minorHAnsi" w:cstheme="minorBidi"/>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BB1A9B"/>
    <w:rPr>
      <w:rFonts w:eastAsiaTheme="minorHAnsi" w:cstheme="minorBidi"/>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6">
    <w:name w:val="Grid Table 5 Dark Accent 6"/>
    <w:basedOn w:val="TableNormal"/>
    <w:uiPriority w:val="50"/>
    <w:rsid w:val="00BB1A9B"/>
    <w:rPr>
      <w:rFonts w:eastAsiaTheme="minorHAnsi" w:cstheme="minorBidi"/>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ECC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88133"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88133"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88133"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88133" w:themeFill="accent6"/>
      </w:tcPr>
    </w:tblStylePr>
    <w:tblStylePr w:type="band1Vert">
      <w:tblPr/>
      <w:tcPr>
        <w:shd w:val="clear" w:color="auto" w:fill="BBD9A0" w:themeFill="accent6" w:themeFillTint="66"/>
      </w:tcPr>
    </w:tblStylePr>
    <w:tblStylePr w:type="band1Horz">
      <w:tblPr/>
      <w:tcPr>
        <w:shd w:val="clear" w:color="auto" w:fill="BBD9A0" w:themeFill="accent6" w:themeFillTint="66"/>
      </w:tcPr>
    </w:tblStylePr>
  </w:style>
  <w:style w:type="table" w:styleId="GridTable6Colorful-Accent6">
    <w:name w:val="Grid Table 6 Colorful Accent 6"/>
    <w:basedOn w:val="TableNormal"/>
    <w:uiPriority w:val="51"/>
    <w:rsid w:val="00BB1A9B"/>
    <w:rPr>
      <w:rFonts w:eastAsiaTheme="minorHAnsi" w:cstheme="minorBidi"/>
      <w:color w:val="416026" w:themeColor="accent6" w:themeShade="BF"/>
      <w:lang w:val="en-US"/>
    </w:rPr>
    <w:tblPr>
      <w:tblStyleRowBandSize w:val="1"/>
      <w:tblStyleColBandSize w:val="1"/>
      <w:tblBorders>
        <w:top w:val="single" w:sz="4" w:space="0" w:color="99C771" w:themeColor="accent6" w:themeTint="99"/>
        <w:left w:val="single" w:sz="4" w:space="0" w:color="99C771" w:themeColor="accent6" w:themeTint="99"/>
        <w:bottom w:val="single" w:sz="4" w:space="0" w:color="99C771" w:themeColor="accent6" w:themeTint="99"/>
        <w:right w:val="single" w:sz="4" w:space="0" w:color="99C771" w:themeColor="accent6" w:themeTint="99"/>
        <w:insideH w:val="single" w:sz="4" w:space="0" w:color="99C771" w:themeColor="accent6" w:themeTint="99"/>
        <w:insideV w:val="single" w:sz="4" w:space="0" w:color="99C771" w:themeColor="accent6" w:themeTint="99"/>
      </w:tblBorders>
    </w:tblPr>
    <w:tblStylePr w:type="firstRow">
      <w:rPr>
        <w:b/>
        <w:bCs/>
      </w:rPr>
      <w:tblPr/>
      <w:tcPr>
        <w:tcBorders>
          <w:bottom w:val="single" w:sz="12" w:space="0" w:color="99C771" w:themeColor="accent6" w:themeTint="99"/>
        </w:tcBorders>
      </w:tcPr>
    </w:tblStylePr>
    <w:tblStylePr w:type="lastRow">
      <w:rPr>
        <w:b/>
        <w:bCs/>
      </w:rPr>
      <w:tblPr/>
      <w:tcPr>
        <w:tcBorders>
          <w:top w:val="double" w:sz="4" w:space="0" w:color="99C771" w:themeColor="accent6" w:themeTint="99"/>
        </w:tcBorders>
      </w:tcPr>
    </w:tblStylePr>
    <w:tblStylePr w:type="firstCol">
      <w:rPr>
        <w:b/>
        <w:bCs/>
      </w:rPr>
    </w:tblStylePr>
    <w:tblStylePr w:type="lastCol">
      <w:rPr>
        <w:b/>
        <w:bCs/>
      </w:rPr>
    </w:tblStylePr>
    <w:tblStylePr w:type="band1Vert">
      <w:tblPr/>
      <w:tcPr>
        <w:shd w:val="clear" w:color="auto" w:fill="DDECCF" w:themeFill="accent6" w:themeFillTint="33"/>
      </w:tcPr>
    </w:tblStylePr>
    <w:tblStylePr w:type="band1Horz">
      <w:tblPr/>
      <w:tcPr>
        <w:shd w:val="clear" w:color="auto" w:fill="DDECCF" w:themeFill="accent6" w:themeFillTint="33"/>
      </w:tcPr>
    </w:tblStylePr>
  </w:style>
  <w:style w:type="table" w:styleId="GridTable4-Accent2">
    <w:name w:val="Grid Table 4 Accent 2"/>
    <w:basedOn w:val="TableNormal"/>
    <w:uiPriority w:val="49"/>
    <w:rsid w:val="00BB1A9B"/>
    <w:rPr>
      <w:bCs/>
    </w:rPr>
    <w:tblPr>
      <w:tblStyleRowBandSize w:val="1"/>
      <w:tblStyleColBandSize w:val="1"/>
      <w:tblBorders>
        <w:top w:val="single" w:sz="4" w:space="0" w:color="37B4D1" w:themeColor="accent2" w:themeTint="99"/>
        <w:left w:val="single" w:sz="4" w:space="0" w:color="37B4D1" w:themeColor="accent2" w:themeTint="99"/>
        <w:bottom w:val="single" w:sz="4" w:space="0" w:color="37B4D1" w:themeColor="accent2" w:themeTint="99"/>
        <w:right w:val="single" w:sz="4" w:space="0" w:color="37B4D1" w:themeColor="accent2" w:themeTint="99"/>
        <w:insideH w:val="single" w:sz="4" w:space="0" w:color="37B4D1" w:themeColor="accent2" w:themeTint="99"/>
        <w:insideV w:val="single" w:sz="4" w:space="0" w:color="37B4D1" w:themeColor="accent2" w:themeTint="99"/>
      </w:tblBorders>
    </w:tblPr>
    <w:tblStylePr w:type="firstRow">
      <w:rPr>
        <w:b/>
        <w:bCs/>
        <w:color w:val="FFFFFF" w:themeColor="background1"/>
      </w:rPr>
      <w:tblPr/>
      <w:tcPr>
        <w:tcBorders>
          <w:top w:val="single" w:sz="4" w:space="0" w:color="134753" w:themeColor="accent2"/>
          <w:left w:val="single" w:sz="4" w:space="0" w:color="134753" w:themeColor="accent2"/>
          <w:bottom w:val="single" w:sz="4" w:space="0" w:color="134753" w:themeColor="accent2"/>
          <w:right w:val="single" w:sz="4" w:space="0" w:color="134753" w:themeColor="accent2"/>
          <w:insideH w:val="nil"/>
          <w:insideV w:val="nil"/>
        </w:tcBorders>
        <w:shd w:val="clear" w:color="auto" w:fill="134753" w:themeFill="accent2"/>
      </w:tcPr>
    </w:tblStylePr>
    <w:tblStylePr w:type="lastRow">
      <w:rPr>
        <w:b/>
        <w:bCs/>
      </w:rPr>
      <w:tblPr/>
      <w:tcPr>
        <w:tcBorders>
          <w:top w:val="double" w:sz="4" w:space="0" w:color="134753" w:themeColor="accent2"/>
        </w:tcBorders>
      </w:tcPr>
    </w:tblStylePr>
    <w:tblStylePr w:type="firstCol">
      <w:rPr>
        <w:b/>
        <w:bCs/>
      </w:rPr>
    </w:tblStylePr>
    <w:tblStylePr w:type="lastCol">
      <w:rPr>
        <w:b/>
        <w:bCs/>
      </w:rPr>
    </w:tblStylePr>
    <w:tblStylePr w:type="band1Vert">
      <w:tblPr/>
      <w:tcPr>
        <w:shd w:val="clear" w:color="auto" w:fill="BCE6EF" w:themeFill="accent2" w:themeFillTint="33"/>
      </w:tcPr>
    </w:tblStylePr>
    <w:tblStylePr w:type="band1Horz">
      <w:tblPr/>
      <w:tcPr>
        <w:shd w:val="clear" w:color="auto" w:fill="BCE6EF" w:themeFill="accent2" w:themeFillTint="33"/>
      </w:tcPr>
    </w:tblStylePr>
  </w:style>
  <w:style w:type="table" w:styleId="ListTable3-Accent2">
    <w:name w:val="List Table 3 Accent 2"/>
    <w:basedOn w:val="TableNormal"/>
    <w:uiPriority w:val="48"/>
    <w:rsid w:val="00BB1A9B"/>
    <w:rPr>
      <w:bCs/>
    </w:rPr>
    <w:tblPr>
      <w:tblStyleRowBandSize w:val="1"/>
      <w:tblStyleColBandSize w:val="1"/>
      <w:tblBorders>
        <w:top w:val="single" w:sz="4" w:space="0" w:color="134753" w:themeColor="accent2"/>
        <w:left w:val="single" w:sz="4" w:space="0" w:color="134753" w:themeColor="accent2"/>
        <w:bottom w:val="single" w:sz="4" w:space="0" w:color="134753" w:themeColor="accent2"/>
        <w:right w:val="single" w:sz="4" w:space="0" w:color="134753" w:themeColor="accent2"/>
      </w:tblBorders>
    </w:tblPr>
    <w:tblStylePr w:type="firstRow">
      <w:rPr>
        <w:b/>
        <w:bCs/>
        <w:color w:val="FFFFFF" w:themeColor="background1"/>
      </w:rPr>
      <w:tblPr/>
      <w:tcPr>
        <w:shd w:val="clear" w:color="auto" w:fill="134753" w:themeFill="accent2"/>
      </w:tcPr>
    </w:tblStylePr>
    <w:tblStylePr w:type="lastRow">
      <w:rPr>
        <w:b/>
        <w:bCs/>
      </w:rPr>
      <w:tblPr/>
      <w:tcPr>
        <w:tcBorders>
          <w:top w:val="double" w:sz="4" w:space="0" w:color="13475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34753" w:themeColor="accent2"/>
          <w:right w:val="single" w:sz="4" w:space="0" w:color="134753" w:themeColor="accent2"/>
        </w:tcBorders>
      </w:tcPr>
    </w:tblStylePr>
    <w:tblStylePr w:type="band1Horz">
      <w:tblPr/>
      <w:tcPr>
        <w:tcBorders>
          <w:top w:val="single" w:sz="4" w:space="0" w:color="134753" w:themeColor="accent2"/>
          <w:bottom w:val="single" w:sz="4" w:space="0" w:color="13475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34753" w:themeColor="accent2"/>
          <w:left w:val="nil"/>
        </w:tcBorders>
      </w:tcPr>
    </w:tblStylePr>
    <w:tblStylePr w:type="swCell">
      <w:tblPr/>
      <w:tcPr>
        <w:tcBorders>
          <w:top w:val="double" w:sz="4" w:space="0" w:color="134753" w:themeColor="accent2"/>
          <w:right w:val="nil"/>
        </w:tcBorders>
      </w:tcPr>
    </w:tblStylePr>
  </w:style>
  <w:style w:type="table" w:styleId="GridTable4-Accent1">
    <w:name w:val="Grid Table 4 Accent 1"/>
    <w:basedOn w:val="TableNormal"/>
    <w:uiPriority w:val="49"/>
    <w:rsid w:val="00BB1A9B"/>
    <w:rPr>
      <w:rFonts w:eastAsiaTheme="minorHAnsi" w:cstheme="minorBidi"/>
      <w:lang w:val="en-GB"/>
    </w:rPr>
    <w:tblPr>
      <w:tblStyleRowBandSize w:val="1"/>
      <w:tblStyleColBandSize w:val="1"/>
      <w:tblBorders>
        <w:top w:val="single" w:sz="4" w:space="0" w:color="B2B2B2" w:themeColor="accent1" w:themeTint="99"/>
        <w:left w:val="single" w:sz="4" w:space="0" w:color="B2B2B2" w:themeColor="accent1" w:themeTint="99"/>
        <w:bottom w:val="single" w:sz="4" w:space="0" w:color="B2B2B2" w:themeColor="accent1" w:themeTint="99"/>
        <w:right w:val="single" w:sz="4" w:space="0" w:color="B2B2B2" w:themeColor="accent1" w:themeTint="99"/>
        <w:insideH w:val="single" w:sz="4" w:space="0" w:color="B2B2B2" w:themeColor="accent1" w:themeTint="99"/>
        <w:insideV w:val="single" w:sz="4" w:space="0" w:color="B2B2B2" w:themeColor="accent1" w:themeTint="99"/>
      </w:tblBorders>
    </w:tblPr>
    <w:tblStylePr w:type="firstRow">
      <w:rPr>
        <w:b/>
        <w:bCs/>
        <w:color w:val="FFFFFF" w:themeColor="background1"/>
      </w:rPr>
      <w:tblPr/>
      <w:tcPr>
        <w:tcBorders>
          <w:top w:val="single" w:sz="4" w:space="0" w:color="7F7F7F" w:themeColor="accent1"/>
          <w:left w:val="single" w:sz="4" w:space="0" w:color="7F7F7F" w:themeColor="accent1"/>
          <w:bottom w:val="single" w:sz="4" w:space="0" w:color="7F7F7F" w:themeColor="accent1"/>
          <w:right w:val="single" w:sz="4" w:space="0" w:color="7F7F7F" w:themeColor="accent1"/>
          <w:insideH w:val="nil"/>
          <w:insideV w:val="nil"/>
        </w:tcBorders>
        <w:shd w:val="clear" w:color="auto" w:fill="7F7F7F" w:themeFill="accent1"/>
      </w:tcPr>
    </w:tblStylePr>
    <w:tblStylePr w:type="lastRow">
      <w:rPr>
        <w:b/>
        <w:bCs/>
      </w:rPr>
      <w:tblPr/>
      <w:tcPr>
        <w:tcBorders>
          <w:top w:val="double" w:sz="4" w:space="0" w:color="7F7F7F" w:themeColor="accent1"/>
        </w:tcBorders>
      </w:tcPr>
    </w:tblStylePr>
    <w:tblStylePr w:type="firstCol">
      <w:rPr>
        <w:b/>
        <w:bCs/>
      </w:rPr>
    </w:tblStylePr>
    <w:tblStylePr w:type="lastCol">
      <w:rPr>
        <w:b/>
        <w:bCs/>
      </w:rPr>
    </w:tblStylePr>
    <w:tblStylePr w:type="band1Vert">
      <w:tblPr/>
      <w:tcPr>
        <w:shd w:val="clear" w:color="auto" w:fill="E5E5E5" w:themeFill="accent1" w:themeFillTint="33"/>
      </w:tcPr>
    </w:tblStylePr>
    <w:tblStylePr w:type="band1Horz">
      <w:tblPr/>
      <w:tcPr>
        <w:shd w:val="clear" w:color="auto" w:fill="E5E5E5" w:themeFill="accent1" w:themeFillTint="33"/>
      </w:tcPr>
    </w:tblStylePr>
  </w:style>
  <w:style w:type="table" w:styleId="PlainTable3">
    <w:name w:val="Plain Table 3"/>
    <w:basedOn w:val="TableNormal"/>
    <w:uiPriority w:val="43"/>
    <w:rsid w:val="00BB1A9B"/>
    <w:rPr>
      <w:rFonts w:eastAsia="Times New Roman" w:cs="Times New Roman"/>
      <w:lang w:val="en-US"/>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styleId="GridTable2-Accent3">
    <w:name w:val="Grid Table 2 Accent 3"/>
    <w:basedOn w:val="TableNormal"/>
    <w:uiPriority w:val="47"/>
    <w:rsid w:val="00BB1A9B"/>
    <w:tblPr>
      <w:tblStyleRowBandSize w:val="1"/>
      <w:tblStyleColBandSize w:val="1"/>
      <w:tblBorders>
        <w:top w:val="single" w:sz="2" w:space="0" w:color="87C7D9" w:themeColor="accent3" w:themeTint="99"/>
        <w:bottom w:val="single" w:sz="2" w:space="0" w:color="87C7D9" w:themeColor="accent3" w:themeTint="99"/>
        <w:insideH w:val="single" w:sz="2" w:space="0" w:color="87C7D9" w:themeColor="accent3" w:themeTint="99"/>
        <w:insideV w:val="single" w:sz="2" w:space="0" w:color="87C7D9" w:themeColor="accent3" w:themeTint="99"/>
      </w:tblBorders>
    </w:tblPr>
    <w:tblStylePr w:type="firstRow">
      <w:rPr>
        <w:b/>
        <w:bCs/>
      </w:rPr>
      <w:tblPr/>
      <w:tcPr>
        <w:tcBorders>
          <w:top w:val="nil"/>
          <w:bottom w:val="single" w:sz="12" w:space="0" w:color="87C7D9" w:themeColor="accent3" w:themeTint="99"/>
          <w:insideH w:val="nil"/>
          <w:insideV w:val="nil"/>
        </w:tcBorders>
        <w:shd w:val="clear" w:color="auto" w:fill="FFFFFF" w:themeFill="background1"/>
      </w:tcPr>
    </w:tblStylePr>
    <w:tblStylePr w:type="lastRow">
      <w:rPr>
        <w:b/>
        <w:bCs/>
      </w:rPr>
      <w:tblPr/>
      <w:tcPr>
        <w:tcBorders>
          <w:top w:val="double" w:sz="2" w:space="0" w:color="87C7D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ECF2" w:themeFill="accent3" w:themeFillTint="33"/>
      </w:tcPr>
    </w:tblStylePr>
    <w:tblStylePr w:type="band1Horz">
      <w:tblPr/>
      <w:tcPr>
        <w:shd w:val="clear" w:color="auto" w:fill="D7ECF2" w:themeFill="accent3" w:themeFillTint="33"/>
      </w:tcPr>
    </w:tblStylePr>
  </w:style>
  <w:style w:type="table" w:styleId="GridTable2-Accent2">
    <w:name w:val="Grid Table 2 Accent 2"/>
    <w:basedOn w:val="TableNormal"/>
    <w:uiPriority w:val="47"/>
    <w:rsid w:val="00BB1A9B"/>
    <w:tblPr>
      <w:tblStyleRowBandSize w:val="1"/>
      <w:tblStyleColBandSize w:val="1"/>
      <w:tblBorders>
        <w:top w:val="single" w:sz="2" w:space="0" w:color="37B4D1" w:themeColor="accent2" w:themeTint="99"/>
        <w:bottom w:val="single" w:sz="2" w:space="0" w:color="37B4D1" w:themeColor="accent2" w:themeTint="99"/>
        <w:insideH w:val="single" w:sz="2" w:space="0" w:color="37B4D1" w:themeColor="accent2" w:themeTint="99"/>
        <w:insideV w:val="single" w:sz="2" w:space="0" w:color="37B4D1" w:themeColor="accent2" w:themeTint="99"/>
      </w:tblBorders>
    </w:tblPr>
    <w:tblStylePr w:type="firstRow">
      <w:rPr>
        <w:b/>
        <w:bCs/>
      </w:rPr>
      <w:tblPr/>
      <w:tcPr>
        <w:tcBorders>
          <w:top w:val="nil"/>
          <w:bottom w:val="single" w:sz="12" w:space="0" w:color="37B4D1" w:themeColor="accent2" w:themeTint="99"/>
          <w:insideH w:val="nil"/>
          <w:insideV w:val="nil"/>
        </w:tcBorders>
        <w:shd w:val="clear" w:color="auto" w:fill="FFFFFF" w:themeFill="background1"/>
      </w:tcPr>
    </w:tblStylePr>
    <w:tblStylePr w:type="lastRow">
      <w:rPr>
        <w:b/>
        <w:bCs/>
      </w:rPr>
      <w:tblPr/>
      <w:tcPr>
        <w:tcBorders>
          <w:top w:val="double" w:sz="2" w:space="0" w:color="37B4D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E6EF" w:themeFill="accent2" w:themeFillTint="33"/>
      </w:tcPr>
    </w:tblStylePr>
    <w:tblStylePr w:type="band1Horz">
      <w:tblPr/>
      <w:tcPr>
        <w:shd w:val="clear" w:color="auto" w:fill="BCE6EF" w:themeFill="accent2" w:themeFillTint="33"/>
      </w:tcPr>
    </w:tblStylePr>
  </w:style>
  <w:style w:type="table" w:styleId="GridTable4-Accent5">
    <w:name w:val="Grid Table 4 Accent 5"/>
    <w:basedOn w:val="TableNormal"/>
    <w:uiPriority w:val="49"/>
    <w:rsid w:val="00BB1A9B"/>
    <w:tblPr>
      <w:tblStyleRowBandSize w:val="1"/>
      <w:tblStyleColBandSize w:val="1"/>
      <w:tblBorders>
        <w:top w:val="single" w:sz="4" w:space="0" w:color="CCE188" w:themeColor="accent5" w:themeTint="99"/>
        <w:left w:val="single" w:sz="4" w:space="0" w:color="CCE188" w:themeColor="accent5" w:themeTint="99"/>
        <w:bottom w:val="single" w:sz="4" w:space="0" w:color="CCE188" w:themeColor="accent5" w:themeTint="99"/>
        <w:right w:val="single" w:sz="4" w:space="0" w:color="CCE188" w:themeColor="accent5" w:themeTint="99"/>
        <w:insideH w:val="single" w:sz="4" w:space="0" w:color="CCE188" w:themeColor="accent5" w:themeTint="99"/>
        <w:insideV w:val="single" w:sz="4" w:space="0" w:color="CCE188" w:themeColor="accent5" w:themeTint="99"/>
      </w:tblBorders>
    </w:tblPr>
    <w:tblStylePr w:type="firstRow">
      <w:rPr>
        <w:b/>
        <w:bCs/>
        <w:color w:val="FFFFFF" w:themeColor="background1"/>
      </w:rPr>
      <w:tblPr/>
      <w:tcPr>
        <w:tcBorders>
          <w:top w:val="single" w:sz="4" w:space="0" w:color="ABCD3A" w:themeColor="accent5"/>
          <w:left w:val="single" w:sz="4" w:space="0" w:color="ABCD3A" w:themeColor="accent5"/>
          <w:bottom w:val="single" w:sz="4" w:space="0" w:color="ABCD3A" w:themeColor="accent5"/>
          <w:right w:val="single" w:sz="4" w:space="0" w:color="ABCD3A" w:themeColor="accent5"/>
          <w:insideH w:val="nil"/>
          <w:insideV w:val="nil"/>
        </w:tcBorders>
        <w:shd w:val="clear" w:color="auto" w:fill="ABCD3A" w:themeFill="accent5"/>
      </w:tcPr>
    </w:tblStylePr>
    <w:tblStylePr w:type="lastRow">
      <w:rPr>
        <w:b/>
        <w:bCs/>
      </w:rPr>
      <w:tblPr/>
      <w:tcPr>
        <w:tcBorders>
          <w:top w:val="double" w:sz="4" w:space="0" w:color="ABCD3A" w:themeColor="accent5"/>
        </w:tcBorders>
      </w:tcPr>
    </w:tblStylePr>
    <w:tblStylePr w:type="firstCol">
      <w:rPr>
        <w:b/>
        <w:bCs/>
      </w:rPr>
    </w:tblStylePr>
    <w:tblStylePr w:type="lastCol">
      <w:rPr>
        <w:b/>
        <w:bCs/>
      </w:rPr>
    </w:tblStylePr>
    <w:tblStylePr w:type="band1Vert">
      <w:tblPr/>
      <w:tcPr>
        <w:shd w:val="clear" w:color="auto" w:fill="EEF5D7" w:themeFill="accent5" w:themeFillTint="33"/>
      </w:tcPr>
    </w:tblStylePr>
    <w:tblStylePr w:type="band1Horz">
      <w:tblPr/>
      <w:tcPr>
        <w:shd w:val="clear" w:color="auto" w:fill="EEF5D7" w:themeFill="accent5" w:themeFillTint="33"/>
      </w:tcPr>
    </w:tblStylePr>
  </w:style>
  <w:style w:type="table" w:styleId="GridTable5Dark-Accent5">
    <w:name w:val="Grid Table 5 Dark Accent 5"/>
    <w:basedOn w:val="TableNormal"/>
    <w:uiPriority w:val="50"/>
    <w:rsid w:val="00BB1A9B"/>
    <w:rPr>
      <w:bC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BCD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BCD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BCD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BCD3A" w:themeFill="accent5"/>
      </w:tcPr>
    </w:tblStylePr>
    <w:tblStylePr w:type="band1Vert">
      <w:tblPr/>
      <w:tcPr>
        <w:shd w:val="clear" w:color="auto" w:fill="DDEBB0" w:themeFill="accent5" w:themeFillTint="66"/>
      </w:tcPr>
    </w:tblStylePr>
    <w:tblStylePr w:type="band1Horz">
      <w:tblPr/>
      <w:tcPr>
        <w:shd w:val="clear" w:color="auto" w:fill="DDEBB0" w:themeFill="accent5" w:themeFillTint="66"/>
      </w:tcPr>
    </w:tblStylePr>
  </w:style>
  <w:style w:type="table" w:styleId="ListTable3-Accent5">
    <w:name w:val="List Table 3 Accent 5"/>
    <w:basedOn w:val="TableNormal"/>
    <w:uiPriority w:val="48"/>
    <w:rsid w:val="00BB1A9B"/>
    <w:tblPr>
      <w:tblStyleRowBandSize w:val="1"/>
      <w:tblStyleColBandSize w:val="1"/>
      <w:tblBorders>
        <w:top w:val="single" w:sz="4" w:space="0" w:color="ABCD3A" w:themeColor="accent5"/>
        <w:left w:val="single" w:sz="4" w:space="0" w:color="ABCD3A" w:themeColor="accent5"/>
        <w:bottom w:val="single" w:sz="4" w:space="0" w:color="ABCD3A" w:themeColor="accent5"/>
        <w:right w:val="single" w:sz="4" w:space="0" w:color="ABCD3A" w:themeColor="accent5"/>
      </w:tblBorders>
    </w:tblPr>
    <w:tblStylePr w:type="firstRow">
      <w:rPr>
        <w:b/>
        <w:bCs/>
        <w:color w:val="FFFFFF" w:themeColor="background1"/>
      </w:rPr>
      <w:tblPr/>
      <w:tcPr>
        <w:shd w:val="clear" w:color="auto" w:fill="ABCD3A" w:themeFill="accent5"/>
      </w:tcPr>
    </w:tblStylePr>
    <w:tblStylePr w:type="lastRow">
      <w:rPr>
        <w:b/>
        <w:bCs/>
      </w:rPr>
      <w:tblPr/>
      <w:tcPr>
        <w:tcBorders>
          <w:top w:val="double" w:sz="4" w:space="0" w:color="ABCD3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CD3A" w:themeColor="accent5"/>
          <w:right w:val="single" w:sz="4" w:space="0" w:color="ABCD3A" w:themeColor="accent5"/>
        </w:tcBorders>
      </w:tcPr>
    </w:tblStylePr>
    <w:tblStylePr w:type="band1Horz">
      <w:tblPr/>
      <w:tcPr>
        <w:tcBorders>
          <w:top w:val="single" w:sz="4" w:space="0" w:color="ABCD3A" w:themeColor="accent5"/>
          <w:bottom w:val="single" w:sz="4" w:space="0" w:color="ABCD3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CD3A" w:themeColor="accent5"/>
          <w:left w:val="nil"/>
        </w:tcBorders>
      </w:tcPr>
    </w:tblStylePr>
    <w:tblStylePr w:type="swCell">
      <w:tblPr/>
      <w:tcPr>
        <w:tcBorders>
          <w:top w:val="double" w:sz="4" w:space="0" w:color="ABCD3A" w:themeColor="accent5"/>
          <w:right w:val="nil"/>
        </w:tcBorders>
      </w:tcPr>
    </w:tblStylePr>
  </w:style>
  <w:style w:type="table" w:customStyle="1" w:styleId="Civittatable11">
    <w:name w:val="Civitta table11"/>
    <w:basedOn w:val="TableNormal"/>
    <w:uiPriority w:val="99"/>
    <w:rsid w:val="00BB1A9B"/>
    <w:pPr>
      <w:spacing w:before="60" w:after="60"/>
    </w:pPr>
    <w:rPr>
      <w:bCs/>
      <w:sz w:val="20"/>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Civittatable2">
    <w:name w:val="Civitta table2"/>
    <w:basedOn w:val="TableNormal"/>
    <w:uiPriority w:val="99"/>
    <w:rsid w:val="00BB1A9B"/>
    <w:pPr>
      <w:spacing w:before="60" w:after="60"/>
    </w:pPr>
    <w:rPr>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Civittatable3">
    <w:name w:val="Civitta table3"/>
    <w:basedOn w:val="TableNormal"/>
    <w:uiPriority w:val="99"/>
    <w:rsid w:val="00BB1A9B"/>
    <w:pPr>
      <w:spacing w:before="60" w:after="60"/>
    </w:pPr>
    <w:rPr>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character" w:customStyle="1" w:styleId="UnresolvedMention3">
    <w:name w:val="Unresolved Mention3"/>
    <w:basedOn w:val="DefaultParagraphFont"/>
    <w:uiPriority w:val="99"/>
    <w:semiHidden/>
    <w:unhideWhenUsed/>
    <w:rsid w:val="00BB1A9B"/>
    <w:rPr>
      <w:color w:val="605E5C"/>
      <w:shd w:val="clear" w:color="auto" w:fill="E1DFDD"/>
    </w:rPr>
  </w:style>
  <w:style w:type="paragraph" w:customStyle="1" w:styleId="1">
    <w:name w:val="1"/>
    <w:basedOn w:val="Normal"/>
    <w:uiPriority w:val="99"/>
    <w:rsid w:val="00BB1A9B"/>
    <w:pPr>
      <w:spacing w:after="160" w:line="240" w:lineRule="exact"/>
      <w:jc w:val="left"/>
    </w:pPr>
    <w:rPr>
      <w:sz w:val="20"/>
      <w:szCs w:val="20"/>
      <w:vertAlign w:val="superscript"/>
      <w:lang w:val="en-GB"/>
    </w:rPr>
  </w:style>
  <w:style w:type="paragraph" w:styleId="EndnoteText">
    <w:name w:val="endnote text"/>
    <w:basedOn w:val="Normal"/>
    <w:link w:val="EndnoteTextChar1"/>
    <w:uiPriority w:val="99"/>
    <w:semiHidden/>
    <w:unhideWhenUsed/>
    <w:rsid w:val="00BB1A9B"/>
    <w:pPr>
      <w:spacing w:after="0"/>
    </w:pPr>
    <w:rPr>
      <w:sz w:val="20"/>
      <w:szCs w:val="20"/>
      <w:lang w:val="lt-LT"/>
    </w:rPr>
  </w:style>
  <w:style w:type="character" w:customStyle="1" w:styleId="EndnoteTextChar1">
    <w:name w:val="Endnote Text Char1"/>
    <w:basedOn w:val="DefaultParagraphFont"/>
    <w:link w:val="EndnoteText"/>
    <w:uiPriority w:val="99"/>
    <w:semiHidden/>
    <w:rsid w:val="00BB1A9B"/>
    <w:rPr>
      <w:sz w:val="20"/>
      <w:szCs w:val="20"/>
    </w:rPr>
  </w:style>
  <w:style w:type="character" w:styleId="EndnoteReference">
    <w:name w:val="endnote reference"/>
    <w:basedOn w:val="DefaultParagraphFont"/>
    <w:uiPriority w:val="99"/>
    <w:semiHidden/>
    <w:unhideWhenUsed/>
    <w:rsid w:val="00BB1A9B"/>
    <w:rPr>
      <w:vertAlign w:val="superscript"/>
    </w:rPr>
  </w:style>
  <w:style w:type="table" w:customStyle="1" w:styleId="Civittatable4">
    <w:name w:val="Civitta table4"/>
    <w:basedOn w:val="TableNormal"/>
    <w:uiPriority w:val="99"/>
    <w:rsid w:val="00BB1A9B"/>
    <w:pPr>
      <w:spacing w:before="60" w:after="60"/>
    </w:pPr>
    <w:rPr>
      <w:bCs/>
      <w:sz w:val="20"/>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100" w:beforeAutospacing="1" w:afterLines="0" w:after="100" w:afterAutospacing="1"/>
        <w:jc w:val="left"/>
      </w:pPr>
      <w:rPr>
        <w:rFonts w:asciiTheme="minorHAnsi" w:hAnsiTheme="minorHAnsi" w:cs="Calibri" w:hint="default"/>
        <w:caps/>
        <w:smallCaps w:val="0"/>
        <w:color w:val="FFFFFF" w:themeColor="background1"/>
        <w:sz w:val="20"/>
        <w:szCs w:val="20"/>
      </w:rPr>
      <w:tblPr/>
      <w:tcPr>
        <w:shd w:val="clear" w:color="auto" w:fill="134753" w:themeFill="text2"/>
      </w:tcPr>
    </w:tblStylePr>
  </w:style>
  <w:style w:type="numbering" w:customStyle="1" w:styleId="WWOutlineListStyle">
    <w:name w:val="WW_OutlineListStyle"/>
    <w:rsid w:val="00BB1A9B"/>
    <w:pPr>
      <w:numPr>
        <w:numId w:val="14"/>
      </w:numPr>
    </w:pPr>
  </w:style>
  <w:style w:type="character" w:customStyle="1" w:styleId="UnresolvedMention4">
    <w:name w:val="Unresolved Mention4"/>
    <w:basedOn w:val="DefaultParagraphFont"/>
    <w:uiPriority w:val="99"/>
    <w:semiHidden/>
    <w:unhideWhenUsed/>
    <w:rsid w:val="00BB1A9B"/>
    <w:rPr>
      <w:color w:val="605E5C"/>
      <w:shd w:val="clear" w:color="auto" w:fill="E1DFDD"/>
    </w:rPr>
  </w:style>
  <w:style w:type="table" w:customStyle="1" w:styleId="TableGrid1">
    <w:name w:val="Table Grid1"/>
    <w:basedOn w:val="TableNormal"/>
    <w:next w:val="TableGrid"/>
    <w:uiPriority w:val="39"/>
    <w:rsid w:val="00BB1A9B"/>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Normal"/>
    <w:rsid w:val="00BB1A9B"/>
    <w:pPr>
      <w:spacing w:before="100" w:beforeAutospacing="1" w:after="100" w:afterAutospacing="1"/>
      <w:jc w:val="left"/>
    </w:pPr>
    <w:rPr>
      <w:rFonts w:ascii="Times New Roman" w:eastAsia="Times New Roman" w:hAnsi="Times New Roman" w:cs="Times New Roman"/>
      <w:sz w:val="24"/>
      <w:szCs w:val="24"/>
      <w:lang w:val="en-GB" w:eastAsia="en-GB"/>
    </w:rPr>
  </w:style>
  <w:style w:type="character" w:styleId="IntenseEmphasis">
    <w:name w:val="Intense Emphasis"/>
    <w:basedOn w:val="DefaultParagraphFont"/>
    <w:uiPriority w:val="21"/>
    <w:qFormat/>
    <w:rsid w:val="00BB1A9B"/>
    <w:rPr>
      <w:i/>
      <w:iCs/>
      <w:color w:val="7F7F7F" w:themeColor="accent1"/>
    </w:rPr>
  </w:style>
  <w:style w:type="character" w:styleId="IntenseReference">
    <w:name w:val="Intense Reference"/>
    <w:basedOn w:val="DefaultParagraphFont"/>
    <w:uiPriority w:val="32"/>
    <w:qFormat/>
    <w:rsid w:val="00BB1A9B"/>
    <w:rPr>
      <w:b/>
      <w:bCs/>
      <w:smallCaps/>
      <w:color w:val="7F7F7F" w:themeColor="accent1"/>
      <w:spacing w:val="5"/>
    </w:rPr>
  </w:style>
  <w:style w:type="table" w:styleId="ListTable6Colorful">
    <w:name w:val="List Table 6 Colorful"/>
    <w:basedOn w:val="TableNormal"/>
    <w:uiPriority w:val="51"/>
    <w:rsid w:val="00BB1A9B"/>
    <w:rPr>
      <w:bCs/>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BB1A9B"/>
    <w:rPr>
      <w:rFonts w:ascii="Calibri" w:hAnsi="Calibri" w:cs="Arial"/>
      <w:bC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SingleCell">
    <w:name w:val="Single Cell"/>
    <w:basedOn w:val="Focus"/>
    <w:link w:val="SingleCellChar"/>
    <w:qFormat/>
    <w:rsid w:val="00BB1A9B"/>
    <w:rPr>
      <w:color w:val="7F7F7F" w:themeColor="accent1"/>
      <w:lang w:val="en-US" w:eastAsia="ja-JP"/>
    </w:rPr>
  </w:style>
  <w:style w:type="table" w:customStyle="1" w:styleId="CivittaSingleCell">
    <w:name w:val="Civitta Single Cell"/>
    <w:basedOn w:val="TableNormal"/>
    <w:uiPriority w:val="99"/>
    <w:rsid w:val="00BB1A9B"/>
    <w:pPr>
      <w:spacing w:before="60" w:after="60"/>
    </w:pPr>
    <w:rPr>
      <w:rFonts w:ascii="Calibri" w:hAnsi="Calibri" w:cs="Arial"/>
      <w:bCs/>
    </w:rPr>
    <w:tblPr>
      <w:tblBorders>
        <w:top w:val="single" w:sz="4" w:space="0" w:color="7F7F7F" w:themeColor="accent1"/>
        <w:bottom w:val="single" w:sz="4" w:space="0" w:color="7F7F7F" w:themeColor="accent1"/>
      </w:tblBorders>
    </w:tblPr>
  </w:style>
  <w:style w:type="character" w:customStyle="1" w:styleId="SingleCellChar">
    <w:name w:val="Single Cell Char"/>
    <w:basedOn w:val="FocusChar"/>
    <w:link w:val="SingleCell"/>
    <w:rsid w:val="00BB1A9B"/>
    <w:rPr>
      <w:rFonts w:asciiTheme="minorHAnsi" w:hAnsiTheme="minorHAnsi" w:cs="Cambria"/>
      <w:b/>
      <w:bCs w:val="0"/>
      <w:caps/>
      <w:color w:val="7F7F7F" w:themeColor="accent1"/>
      <w:lang w:val="en-US" w:eastAsia="ja-JP"/>
    </w:rPr>
  </w:style>
  <w:style w:type="character" w:customStyle="1" w:styleId="MeniuneNerezolvat1">
    <w:name w:val="Mențiune Nerezolvat1"/>
    <w:basedOn w:val="DefaultParagraphFont"/>
    <w:uiPriority w:val="99"/>
    <w:semiHidden/>
    <w:unhideWhenUsed/>
    <w:rsid w:val="00BB1A9B"/>
    <w:rPr>
      <w:color w:val="605E5C"/>
      <w:shd w:val="clear" w:color="auto" w:fill="E1DFDD"/>
    </w:rPr>
  </w:style>
  <w:style w:type="paragraph" w:customStyle="1" w:styleId="BoldCIVITTABlue">
    <w:name w:val="Bold_CIVITTA Blue"/>
    <w:basedOn w:val="Normal"/>
    <w:link w:val="BoldCIVITTABlueChar"/>
    <w:qFormat/>
    <w:rsid w:val="00BB1A9B"/>
    <w:pPr>
      <w:jc w:val="left"/>
    </w:pPr>
    <w:rPr>
      <w:rFonts w:cstheme="minorHAnsi"/>
      <w:b/>
      <w:color w:val="7F7F7F" w:themeColor="accent1"/>
      <w:lang w:val="en-US" w:eastAsia="ja-JP"/>
    </w:rPr>
  </w:style>
  <w:style w:type="paragraph" w:styleId="IntenseQuote">
    <w:name w:val="Intense Quote"/>
    <w:basedOn w:val="Normal"/>
    <w:next w:val="Normal"/>
    <w:link w:val="IntenseQuoteChar"/>
    <w:uiPriority w:val="30"/>
    <w:qFormat/>
    <w:rsid w:val="00BB1A9B"/>
    <w:pPr>
      <w:pBdr>
        <w:top w:val="single" w:sz="4" w:space="10" w:color="3CA1BC" w:themeColor="accent3"/>
        <w:bottom w:val="single" w:sz="4" w:space="10" w:color="3CA1BC" w:themeColor="accent3"/>
      </w:pBdr>
      <w:spacing w:before="360" w:after="360"/>
      <w:ind w:left="864" w:right="864"/>
      <w:jc w:val="center"/>
    </w:pPr>
    <w:rPr>
      <w:i/>
      <w:iCs/>
      <w:color w:val="3CA1BC" w:themeColor="accent3"/>
      <w:lang w:val="en-US" w:eastAsia="ja-JP"/>
    </w:rPr>
  </w:style>
  <w:style w:type="character" w:customStyle="1" w:styleId="IntenseQuoteChar">
    <w:name w:val="Intense Quote Char"/>
    <w:basedOn w:val="DefaultParagraphFont"/>
    <w:link w:val="IntenseQuote"/>
    <w:uiPriority w:val="30"/>
    <w:rsid w:val="00BB1A9B"/>
    <w:rPr>
      <w:i/>
      <w:iCs/>
      <w:color w:val="3CA1BC" w:themeColor="accent3"/>
      <w:lang w:val="en-US" w:eastAsia="ja-JP"/>
    </w:rPr>
  </w:style>
  <w:style w:type="paragraph" w:customStyle="1" w:styleId="TitleSection">
    <w:name w:val="Title_Section"/>
    <w:basedOn w:val="Normal"/>
    <w:link w:val="TitleSectionChar"/>
    <w:qFormat/>
    <w:rsid w:val="00BB1A9B"/>
    <w:pPr>
      <w:spacing w:after="600"/>
    </w:pPr>
    <w:rPr>
      <w:b/>
      <w:caps/>
      <w:color w:val="7F7F7F" w:themeColor="accent1"/>
      <w:sz w:val="40"/>
      <w:szCs w:val="40"/>
      <w:lang w:val="en-US" w:eastAsia="ja-JP"/>
    </w:rPr>
  </w:style>
  <w:style w:type="character" w:customStyle="1" w:styleId="BoldCIVITTABlueChar">
    <w:name w:val="Bold_CIVITTA Blue Char"/>
    <w:basedOn w:val="DefaultParagraphFont"/>
    <w:link w:val="BoldCIVITTABlue"/>
    <w:rsid w:val="00BB1A9B"/>
    <w:rPr>
      <w:rFonts w:cstheme="minorHAnsi"/>
      <w:b/>
      <w:color w:val="7F7F7F" w:themeColor="accent1"/>
      <w:lang w:val="en-US" w:eastAsia="ja-JP"/>
    </w:rPr>
  </w:style>
  <w:style w:type="character" w:customStyle="1" w:styleId="TitleSectionChar">
    <w:name w:val="Title_Section Char"/>
    <w:basedOn w:val="DefaultParagraphFont"/>
    <w:link w:val="TitleSection"/>
    <w:rsid w:val="00BB1A9B"/>
    <w:rPr>
      <w:b/>
      <w:caps/>
      <w:color w:val="7F7F7F" w:themeColor="accent1"/>
      <w:sz w:val="40"/>
      <w:szCs w:val="40"/>
      <w:lang w:val="en-US" w:eastAsia="ja-JP"/>
    </w:rPr>
  </w:style>
  <w:style w:type="paragraph" w:customStyle="1" w:styleId="TitleCoverPage">
    <w:name w:val="Title_CoverPage"/>
    <w:basedOn w:val="Normal"/>
    <w:link w:val="TitleCoverPageChar"/>
    <w:qFormat/>
    <w:rsid w:val="00BB1A9B"/>
    <w:pPr>
      <w:jc w:val="left"/>
    </w:pPr>
    <w:rPr>
      <w:rFonts w:cstheme="minorHAnsi"/>
      <w:b/>
      <w:color w:val="FFFFFF" w:themeColor="background1"/>
      <w:sz w:val="44"/>
      <w:szCs w:val="44"/>
      <w:lang w:val="en-US" w:eastAsia="ja-JP"/>
    </w:rPr>
  </w:style>
  <w:style w:type="paragraph" w:customStyle="1" w:styleId="BoldCIVITTAWhite">
    <w:name w:val="Bold_CIVITTA White"/>
    <w:basedOn w:val="Normal"/>
    <w:link w:val="BoldCIVITTAWhiteChar"/>
    <w:rsid w:val="00BB1A9B"/>
    <w:pPr>
      <w:spacing w:after="0"/>
      <w:jc w:val="left"/>
    </w:pPr>
    <w:rPr>
      <w:rFonts w:cstheme="minorHAnsi"/>
      <w:b/>
      <w:color w:val="FFFFFF" w:themeColor="background1"/>
      <w:lang w:val="en-US" w:eastAsia="ja-JP"/>
    </w:rPr>
  </w:style>
  <w:style w:type="character" w:customStyle="1" w:styleId="TitleCoverPageChar">
    <w:name w:val="Title_CoverPage Char"/>
    <w:basedOn w:val="DefaultParagraphFont"/>
    <w:link w:val="TitleCoverPage"/>
    <w:qFormat/>
    <w:rsid w:val="00BB1A9B"/>
    <w:rPr>
      <w:rFonts w:cstheme="minorHAnsi"/>
      <w:b/>
      <w:color w:val="FFFFFF" w:themeColor="background1"/>
      <w:sz w:val="44"/>
      <w:szCs w:val="44"/>
      <w:lang w:val="en-US" w:eastAsia="ja-JP"/>
    </w:rPr>
  </w:style>
  <w:style w:type="character" w:customStyle="1" w:styleId="BoldCIVITTAWhiteChar">
    <w:name w:val="Bold_CIVITTA White Char"/>
    <w:basedOn w:val="DefaultParagraphFont"/>
    <w:link w:val="BoldCIVITTAWhite"/>
    <w:rsid w:val="00BB1A9B"/>
    <w:rPr>
      <w:rFonts w:cstheme="minorHAnsi"/>
      <w:b/>
      <w:color w:val="FFFFFF" w:themeColor="background1"/>
      <w:lang w:val="en-US" w:eastAsia="ja-JP"/>
    </w:rPr>
  </w:style>
  <w:style w:type="paragraph" w:customStyle="1" w:styleId="NormalBackCover">
    <w:name w:val="Normal_BackCover"/>
    <w:basedOn w:val="Normal"/>
    <w:link w:val="NormalBackCoverChar"/>
    <w:rsid w:val="00BB1A9B"/>
    <w:pPr>
      <w:spacing w:after="0"/>
      <w:contextualSpacing/>
      <w:jc w:val="left"/>
    </w:pPr>
    <w:rPr>
      <w:bCs/>
      <w:color w:val="FFFFFF" w:themeColor="background1"/>
      <w:lang w:val="en-US" w:eastAsia="ja-JP"/>
    </w:rPr>
  </w:style>
  <w:style w:type="paragraph" w:customStyle="1" w:styleId="BoldCIVITTALightBlue">
    <w:name w:val="Bold_CIVITTA Light Blue"/>
    <w:basedOn w:val="NormalBackCover"/>
    <w:link w:val="BoldCIVITTALightBlueChar"/>
    <w:qFormat/>
    <w:rsid w:val="00BB1A9B"/>
    <w:rPr>
      <w:b/>
      <w:bCs w:val="0"/>
      <w:color w:val="134753" w:themeColor="accent2"/>
    </w:rPr>
  </w:style>
  <w:style w:type="character" w:customStyle="1" w:styleId="NormalBackCoverChar">
    <w:name w:val="Normal_BackCover Char"/>
    <w:basedOn w:val="DefaultParagraphFont"/>
    <w:link w:val="NormalBackCover"/>
    <w:rsid w:val="00BB1A9B"/>
    <w:rPr>
      <w:bCs/>
      <w:color w:val="FFFFFF" w:themeColor="background1"/>
      <w:lang w:val="en-US" w:eastAsia="ja-JP"/>
    </w:rPr>
  </w:style>
  <w:style w:type="character" w:customStyle="1" w:styleId="BoldCIVITTALightBlueChar">
    <w:name w:val="Bold_CIVITTA Light Blue Char"/>
    <w:basedOn w:val="NormalBackCoverChar"/>
    <w:link w:val="BoldCIVITTALightBlue"/>
    <w:rsid w:val="00BB1A9B"/>
    <w:rPr>
      <w:b/>
      <w:bCs w:val="0"/>
      <w:color w:val="134753" w:themeColor="accent2"/>
      <w:lang w:val="en-US" w:eastAsia="ja-JP"/>
    </w:rPr>
  </w:style>
  <w:style w:type="paragraph" w:customStyle="1" w:styleId="FooterInvoice">
    <w:name w:val="Footer_Invoice"/>
    <w:basedOn w:val="Normal"/>
    <w:link w:val="FooterInvoiceChar"/>
    <w:rsid w:val="00BB1A9B"/>
    <w:pPr>
      <w:spacing w:after="0"/>
    </w:pPr>
    <w:rPr>
      <w:color w:val="3CA1BC" w:themeColor="accent3"/>
      <w:sz w:val="16"/>
      <w:szCs w:val="20"/>
      <w:lang w:val="en-US" w:eastAsia="ja-JP"/>
    </w:rPr>
  </w:style>
  <w:style w:type="character" w:customStyle="1" w:styleId="FooterInvoiceChar">
    <w:name w:val="Footer_Invoice Char"/>
    <w:basedOn w:val="DefaultParagraphFont"/>
    <w:link w:val="FooterInvoice"/>
    <w:rsid w:val="00BB1A9B"/>
    <w:rPr>
      <w:color w:val="3CA1BC" w:themeColor="accent3"/>
      <w:sz w:val="16"/>
      <w:szCs w:val="20"/>
      <w:lang w:val="en-US" w:eastAsia="ja-JP"/>
    </w:rPr>
  </w:style>
  <w:style w:type="paragraph" w:customStyle="1" w:styleId="CVRelevantXPPre-Civitta">
    <w:name w:val="CV_Relevant XP Pre-Civitta"/>
    <w:basedOn w:val="ListParagraph"/>
    <w:link w:val="CVRelevantXPPre-CivittaChar"/>
    <w:rsid w:val="00BB1A9B"/>
    <w:pPr>
      <w:numPr>
        <w:numId w:val="15"/>
      </w:numPr>
      <w:spacing w:after="0" w:line="276" w:lineRule="auto"/>
      <w:ind w:left="714" w:hanging="357"/>
      <w:contextualSpacing/>
      <w:jc w:val="left"/>
    </w:pPr>
    <w:rPr>
      <w:rFonts w:eastAsiaTheme="minorHAnsi" w:cstheme="minorBidi"/>
      <w:bCs/>
      <w:color w:val="auto"/>
      <w:sz w:val="20"/>
      <w:szCs w:val="20"/>
      <w:lang w:val="en-US"/>
    </w:rPr>
  </w:style>
  <w:style w:type="paragraph" w:customStyle="1" w:styleId="CVDescription">
    <w:name w:val="CV_Description"/>
    <w:basedOn w:val="CVRelevantXPPre-Civitta"/>
    <w:link w:val="CVDescriptionChar"/>
    <w:rsid w:val="00BB1A9B"/>
    <w:pPr>
      <w:numPr>
        <w:numId w:val="0"/>
      </w:numPr>
      <w:spacing w:after="200"/>
      <w:ind w:left="714"/>
    </w:pPr>
  </w:style>
  <w:style w:type="character" w:customStyle="1" w:styleId="CVRelevantXPPre-CivittaChar">
    <w:name w:val="CV_Relevant XP Pre-Civitta Char"/>
    <w:basedOn w:val="DefaultParagraphFont"/>
    <w:link w:val="CVRelevantXPPre-Civitta"/>
    <w:rsid w:val="00BB1A9B"/>
    <w:rPr>
      <w:rFonts w:eastAsiaTheme="minorHAnsi" w:cstheme="minorBidi"/>
      <w:bCs/>
      <w:sz w:val="20"/>
      <w:szCs w:val="20"/>
      <w:lang w:val="en-US"/>
    </w:rPr>
  </w:style>
  <w:style w:type="character" w:customStyle="1" w:styleId="CVDescriptionChar">
    <w:name w:val="CV_Description Char"/>
    <w:basedOn w:val="CVRelevantXPPre-CivittaChar"/>
    <w:link w:val="CVDescription"/>
    <w:rsid w:val="00BB1A9B"/>
    <w:rPr>
      <w:rFonts w:eastAsiaTheme="minorHAnsi" w:cstheme="minorBidi"/>
      <w:bCs/>
      <w:sz w:val="20"/>
      <w:szCs w:val="20"/>
      <w:lang w:val="en-US"/>
    </w:rPr>
  </w:style>
  <w:style w:type="paragraph" w:customStyle="1" w:styleId="CVEducationCivitta">
    <w:name w:val="CV_Education_Civitta"/>
    <w:basedOn w:val="CVDescription"/>
    <w:link w:val="CVEducationCivittaChar"/>
    <w:rsid w:val="00BB1A9B"/>
    <w:pPr>
      <w:spacing w:after="0"/>
    </w:pPr>
  </w:style>
  <w:style w:type="paragraph" w:customStyle="1" w:styleId="CVSectionCivitta">
    <w:name w:val="CV_Section_Civitta"/>
    <w:basedOn w:val="Normal"/>
    <w:link w:val="CVSectionCivittaChar"/>
    <w:rsid w:val="00BB1A9B"/>
    <w:pPr>
      <w:pBdr>
        <w:bottom w:val="single" w:sz="2" w:space="1" w:color="BFBFBF" w:themeColor="background1" w:themeShade="BF"/>
      </w:pBdr>
      <w:spacing w:before="240" w:after="200" w:line="276" w:lineRule="auto"/>
      <w:jc w:val="left"/>
    </w:pPr>
    <w:rPr>
      <w:rFonts w:eastAsiaTheme="minorHAnsi" w:cstheme="minorBidi"/>
      <w:b/>
      <w:color w:val="7F7F7F" w:themeColor="accent1"/>
      <w:lang w:val="en-US"/>
    </w:rPr>
  </w:style>
  <w:style w:type="character" w:customStyle="1" w:styleId="CVEducationCivittaChar">
    <w:name w:val="CV_Education_Civitta Char"/>
    <w:basedOn w:val="CVDescriptionChar"/>
    <w:link w:val="CVEducationCivitta"/>
    <w:rsid w:val="00BB1A9B"/>
    <w:rPr>
      <w:rFonts w:eastAsiaTheme="minorHAnsi" w:cstheme="minorBidi"/>
      <w:bCs/>
      <w:sz w:val="20"/>
      <w:szCs w:val="20"/>
      <w:lang w:val="en-US"/>
    </w:rPr>
  </w:style>
  <w:style w:type="character" w:customStyle="1" w:styleId="CVSectionCivittaChar">
    <w:name w:val="CV_Section_Civitta Char"/>
    <w:basedOn w:val="DefaultParagraphFont"/>
    <w:link w:val="CVSectionCivitta"/>
    <w:rsid w:val="00BB1A9B"/>
    <w:rPr>
      <w:rFonts w:eastAsiaTheme="minorHAnsi" w:cstheme="minorBidi"/>
      <w:b/>
      <w:color w:val="7F7F7F" w:themeColor="accent1"/>
      <w:lang w:val="en-US"/>
    </w:rPr>
  </w:style>
  <w:style w:type="paragraph" w:customStyle="1" w:styleId="NormalLeftAligned">
    <w:name w:val="Normal_LeftAligned"/>
    <w:basedOn w:val="Normal"/>
    <w:link w:val="NormalLeftAlignedChar"/>
    <w:qFormat/>
    <w:rsid w:val="00BB1A9B"/>
    <w:pPr>
      <w:spacing w:after="240"/>
      <w:jc w:val="left"/>
    </w:pPr>
    <w:rPr>
      <w:rFonts w:cstheme="minorHAnsi"/>
      <w:color w:val="FFFFFF" w:themeColor="background1"/>
      <w:lang w:val="en-US" w:eastAsia="ja-JP"/>
    </w:rPr>
  </w:style>
  <w:style w:type="paragraph" w:customStyle="1" w:styleId="NormalBold">
    <w:name w:val="Normal_Bold"/>
    <w:basedOn w:val="NormalLeftAligned"/>
    <w:link w:val="NormalBoldChar"/>
    <w:qFormat/>
    <w:rsid w:val="00BB1A9B"/>
    <w:pPr>
      <w:spacing w:after="0"/>
    </w:pPr>
    <w:rPr>
      <w:b/>
    </w:rPr>
  </w:style>
  <w:style w:type="character" w:customStyle="1" w:styleId="NormalLeftAlignedChar">
    <w:name w:val="Normal_LeftAligned Char"/>
    <w:basedOn w:val="DefaultParagraphFont"/>
    <w:link w:val="NormalLeftAligned"/>
    <w:qFormat/>
    <w:rsid w:val="00BB1A9B"/>
    <w:rPr>
      <w:rFonts w:cstheme="minorHAnsi"/>
      <w:color w:val="FFFFFF" w:themeColor="background1"/>
      <w:lang w:val="en-US" w:eastAsia="ja-JP"/>
    </w:rPr>
  </w:style>
  <w:style w:type="paragraph" w:customStyle="1" w:styleId="NormalWhite">
    <w:name w:val="Normal_White"/>
    <w:basedOn w:val="Normal"/>
    <w:link w:val="NormalWhiteChar"/>
    <w:qFormat/>
    <w:rsid w:val="00BB1A9B"/>
    <w:rPr>
      <w:color w:val="FFFFFF" w:themeColor="background1"/>
      <w:lang w:val="en-US" w:eastAsia="ja-JP"/>
    </w:rPr>
  </w:style>
  <w:style w:type="character" w:customStyle="1" w:styleId="NormalBoldChar">
    <w:name w:val="Normal_Bold Char"/>
    <w:basedOn w:val="NormalLeftAlignedChar"/>
    <w:link w:val="NormalBold"/>
    <w:qFormat/>
    <w:rsid w:val="00BB1A9B"/>
    <w:rPr>
      <w:rFonts w:cstheme="minorHAnsi"/>
      <w:b/>
      <w:color w:val="FFFFFF" w:themeColor="background1"/>
      <w:lang w:val="en-US" w:eastAsia="ja-JP"/>
    </w:rPr>
  </w:style>
  <w:style w:type="character" w:customStyle="1" w:styleId="NormalWhiteChar">
    <w:name w:val="Normal_White Char"/>
    <w:basedOn w:val="DefaultParagraphFont"/>
    <w:link w:val="NormalWhite"/>
    <w:qFormat/>
    <w:rsid w:val="00BB1A9B"/>
    <w:rPr>
      <w:color w:val="FFFFFF" w:themeColor="background1"/>
      <w:lang w:val="en-US" w:eastAsia="ja-JP"/>
    </w:rPr>
  </w:style>
  <w:style w:type="paragraph" w:customStyle="1" w:styleId="NormalBackCoverBig">
    <w:name w:val="Normal_BackCover_Big"/>
    <w:basedOn w:val="NormalBackCover"/>
    <w:link w:val="NormalBackCoverBigChar"/>
    <w:rsid w:val="00BB1A9B"/>
    <w:rPr>
      <w:b/>
      <w:bCs w:val="0"/>
      <w:sz w:val="42"/>
      <w:szCs w:val="42"/>
    </w:rPr>
  </w:style>
  <w:style w:type="character" w:customStyle="1" w:styleId="NormalBackCoverBigChar">
    <w:name w:val="Normal_BackCover_Big Char"/>
    <w:basedOn w:val="NormalBackCoverChar"/>
    <w:link w:val="NormalBackCoverBig"/>
    <w:rsid w:val="00BB1A9B"/>
    <w:rPr>
      <w:b/>
      <w:bCs w:val="0"/>
      <w:color w:val="FFFFFF" w:themeColor="background1"/>
      <w:sz w:val="42"/>
      <w:szCs w:val="42"/>
      <w:lang w:val="en-US" w:eastAsia="ja-JP"/>
    </w:rPr>
  </w:style>
  <w:style w:type="table" w:customStyle="1" w:styleId="GridTable6Colorful-Accent11">
    <w:name w:val="Grid Table 6 Colorful - Accent 11"/>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styleId="GridTable6Colorful-Accent1">
    <w:name w:val="Grid Table 6 Colorful Accent 1"/>
    <w:basedOn w:val="TableNormal"/>
    <w:uiPriority w:val="51"/>
    <w:rsid w:val="00BB1A9B"/>
    <w:rPr>
      <w:rFonts w:ascii="Calibri" w:hAnsi="Calibri" w:cs="Arial"/>
      <w:bCs/>
      <w:color w:val="5F5F5F" w:themeColor="accent1" w:themeShade="BF"/>
    </w:rPr>
    <w:tblPr>
      <w:tblStyleRowBandSize w:val="1"/>
      <w:tblStyleColBandSize w:val="1"/>
      <w:tblBorders>
        <w:top w:val="single" w:sz="4" w:space="0" w:color="B2B2B2" w:themeColor="accent1" w:themeTint="99"/>
        <w:left w:val="single" w:sz="4" w:space="0" w:color="B2B2B2" w:themeColor="accent1" w:themeTint="99"/>
        <w:bottom w:val="single" w:sz="4" w:space="0" w:color="B2B2B2" w:themeColor="accent1" w:themeTint="99"/>
        <w:right w:val="single" w:sz="4" w:space="0" w:color="B2B2B2" w:themeColor="accent1" w:themeTint="99"/>
        <w:insideH w:val="single" w:sz="4" w:space="0" w:color="B2B2B2" w:themeColor="accent1" w:themeTint="99"/>
        <w:insideV w:val="single" w:sz="4" w:space="0" w:color="B2B2B2" w:themeColor="accent1" w:themeTint="99"/>
      </w:tblBorders>
    </w:tblPr>
    <w:tblStylePr w:type="firstRow">
      <w:rPr>
        <w:b/>
        <w:bCs/>
      </w:rPr>
      <w:tblPr/>
      <w:tcPr>
        <w:tcBorders>
          <w:bottom w:val="single" w:sz="12" w:space="0" w:color="B2B2B2" w:themeColor="accent1" w:themeTint="99"/>
        </w:tcBorders>
      </w:tcPr>
    </w:tblStylePr>
    <w:tblStylePr w:type="lastRow">
      <w:rPr>
        <w:b/>
        <w:bCs/>
      </w:rPr>
      <w:tblPr/>
      <w:tcPr>
        <w:tcBorders>
          <w:top w:val="double" w:sz="4" w:space="0" w:color="B2B2B2" w:themeColor="accent1" w:themeTint="99"/>
        </w:tcBorders>
      </w:tcPr>
    </w:tblStylePr>
    <w:tblStylePr w:type="firstCol">
      <w:rPr>
        <w:b/>
        <w:bCs/>
      </w:rPr>
    </w:tblStylePr>
    <w:tblStylePr w:type="lastCol">
      <w:rPr>
        <w:b/>
        <w:bCs/>
      </w:rPr>
    </w:tblStylePr>
    <w:tblStylePr w:type="band1Vert">
      <w:tblPr/>
      <w:tcPr>
        <w:shd w:val="clear" w:color="auto" w:fill="E5E5E5" w:themeFill="accent1" w:themeFillTint="33"/>
      </w:tcPr>
    </w:tblStylePr>
    <w:tblStylePr w:type="band1Horz">
      <w:tblPr/>
      <w:tcPr>
        <w:shd w:val="clear" w:color="auto" w:fill="E5E5E5" w:themeFill="accent1" w:themeFillTint="33"/>
      </w:tcPr>
    </w:tblStylePr>
  </w:style>
  <w:style w:type="table" w:customStyle="1" w:styleId="GridTable6Colorful-Accent12">
    <w:name w:val="Grid Table 6 Colorful - Accent 12"/>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
    <w:name w:val="Grid Table 6 Colorful - Accent 13"/>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
    <w:name w:val="Grid Table 6 Colorful - Accent 14"/>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5">
    <w:name w:val="Grid Table 6 Colorful - Accent 15"/>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6">
    <w:name w:val="Grid Table 6 Colorful - Accent 16"/>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7">
    <w:name w:val="Grid Table 6 Colorful - Accent 17"/>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8">
    <w:name w:val="Grid Table 6 Colorful - Accent 18"/>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9">
    <w:name w:val="Grid Table 6 Colorful - Accent 19"/>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0">
    <w:name w:val="Grid Table 6 Colorful - Accent 110"/>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1">
    <w:name w:val="Grid Table 6 Colorful - Accent 111"/>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2">
    <w:name w:val="Grid Table 6 Colorful - Accent 112"/>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3">
    <w:name w:val="Grid Table 6 Colorful - Accent 113"/>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4">
    <w:name w:val="Grid Table 6 Colorful - Accent 114"/>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5">
    <w:name w:val="Grid Table 6 Colorful - Accent 115"/>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6">
    <w:name w:val="Grid Table 6 Colorful - Accent 116"/>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7">
    <w:name w:val="Grid Table 6 Colorful - Accent 117"/>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8">
    <w:name w:val="Grid Table 6 Colorful - Accent 118"/>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19">
    <w:name w:val="Grid Table 6 Colorful - Accent 119"/>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0">
    <w:name w:val="Grid Table 6 Colorful - Accent 120"/>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1">
    <w:name w:val="Grid Table 6 Colorful - Accent 121"/>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2">
    <w:name w:val="Grid Table 6 Colorful - Accent 122"/>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3">
    <w:name w:val="Grid Table 6 Colorful - Accent 123"/>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4">
    <w:name w:val="Grid Table 6 Colorful - Accent 124"/>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5">
    <w:name w:val="Grid Table 6 Colorful - Accent 125"/>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6">
    <w:name w:val="Grid Table 6 Colorful - Accent 126"/>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7">
    <w:name w:val="Grid Table 6 Colorful - Accent 127"/>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8">
    <w:name w:val="Grid Table 6 Colorful - Accent 128"/>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29">
    <w:name w:val="Grid Table 6 Colorful - Accent 129"/>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0">
    <w:name w:val="Grid Table 6 Colorful - Accent 130"/>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1">
    <w:name w:val="Grid Table 6 Colorful - Accent 131"/>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2">
    <w:name w:val="Grid Table 6 Colorful - Accent 132"/>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3">
    <w:name w:val="Grid Table 6 Colorful - Accent 133"/>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4">
    <w:name w:val="Grid Table 6 Colorful - Accent 134"/>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5">
    <w:name w:val="Grid Table 6 Colorful - Accent 135"/>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6">
    <w:name w:val="Grid Table 6 Colorful - Accent 136"/>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7">
    <w:name w:val="Grid Table 6 Colorful - Accent 137"/>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8">
    <w:name w:val="Grid Table 6 Colorful - Accent 138"/>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39">
    <w:name w:val="Grid Table 6 Colorful - Accent 139"/>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0">
    <w:name w:val="Grid Table 6 Colorful - Accent 140"/>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1">
    <w:name w:val="Grid Table 6 Colorful - Accent 141"/>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2">
    <w:name w:val="Grid Table 6 Colorful - Accent 142"/>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3">
    <w:name w:val="Grid Table 6 Colorful - Accent 143"/>
    <w:basedOn w:val="TableNormal"/>
    <w:next w:val="GridTable6Colorful-Accent1"/>
    <w:uiPriority w:val="51"/>
    <w:rsid w:val="00BB1A9B"/>
    <w:rPr>
      <w:rFonts w:ascii="Calibri" w:hAnsi="Calibri"/>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4">
    <w:name w:val="Grid Table 6 Colorful - Accent 144"/>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5">
    <w:name w:val="Grid Table 6 Colorful - Accent 145"/>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6">
    <w:name w:val="Grid Table 6 Colorful - Accent 146"/>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GridTable6Colorful-Accent147">
    <w:name w:val="Grid Table 6 Colorful - Accent 147"/>
    <w:basedOn w:val="TableNormal"/>
    <w:next w:val="GridTable6Colorful-Accent1"/>
    <w:uiPriority w:val="51"/>
    <w:rsid w:val="00BB1A9B"/>
    <w:rPr>
      <w:rFonts w:ascii="Calibri" w:hAnsi="Calibri"/>
      <w:bCs/>
      <w:color w:val="5F5F5F"/>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rPr>
      <w:tblPr/>
      <w:tcPr>
        <w:tcBorders>
          <w:bottom w:val="single" w:sz="12" w:space="0" w:color="B2B2B2"/>
        </w:tcBorders>
      </w:tcPr>
    </w:tblStylePr>
    <w:tblStylePr w:type="lastRow">
      <w:rPr>
        <w:b/>
        <w:bCs/>
      </w:rPr>
      <w:tblPr/>
      <w:tcPr>
        <w:tcBorders>
          <w:top w:val="double" w:sz="4" w:space="0" w:color="B2B2B2"/>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styleId="ListTable2">
    <w:name w:val="List Table 2"/>
    <w:basedOn w:val="TableNormal"/>
    <w:uiPriority w:val="47"/>
    <w:rsid w:val="00BB1A9B"/>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
    <w:name w:val="5"/>
    <w:basedOn w:val="TableNormal"/>
    <w:rsid w:val="00BB1A9B"/>
    <w:pPr>
      <w:spacing w:after="120"/>
      <w:jc w:val="both"/>
    </w:pPr>
    <w:rPr>
      <w:rFonts w:ascii="Calibri" w:eastAsia="Calibri" w:hAnsi="Calibri" w:cs="Calibri"/>
      <w:lang w:val="en-GB" w:eastAsia="en-GB"/>
    </w:rPr>
    <w:tblPr>
      <w:tblStyleRowBandSize w:val="1"/>
      <w:tblStyleColBandSize w:val="1"/>
      <w:tblCellMar>
        <w:top w:w="100" w:type="dxa"/>
        <w:left w:w="100" w:type="dxa"/>
        <w:bottom w:w="100" w:type="dxa"/>
        <w:right w:w="100" w:type="dxa"/>
      </w:tblCellMar>
    </w:tblPr>
  </w:style>
  <w:style w:type="table" w:customStyle="1" w:styleId="Civittatable21">
    <w:name w:val="Civitta table21"/>
    <w:basedOn w:val="TableNormal"/>
    <w:uiPriority w:val="99"/>
    <w:rsid w:val="00BB1A9B"/>
    <w:pPr>
      <w:spacing w:before="60" w:after="60"/>
    </w:pPr>
    <w:rPr>
      <w:sz w:val="20"/>
    </w:rPr>
    <w:tblPr>
      <w:tblStyleRowBandSize w:val="1"/>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pPr>
        <w:wordWrap/>
        <w:spacing w:beforeLines="0" w:before="60" w:beforeAutospacing="0" w:afterLines="0" w:after="60" w:afterAutospacing="0"/>
        <w:jc w:val="left"/>
      </w:pPr>
      <w:rPr>
        <w:rFonts w:ascii="Calibri" w:hAnsi="Calibri"/>
        <w:caps/>
        <w:smallCaps w:val="0"/>
        <w:color w:val="FFFFFF"/>
        <w:sz w:val="20"/>
      </w:rPr>
      <w:tblPr/>
      <w:trPr>
        <w:tblHeader/>
      </w:trPr>
      <w:tcPr>
        <w:shd w:val="clear" w:color="auto" w:fill="134753"/>
      </w:tcPr>
    </w:tblStylePr>
    <w:tblStylePr w:type="band1Horz">
      <w:tblPr/>
      <w:tcPr>
        <w:shd w:val="clear" w:color="auto" w:fill="F2F2F2"/>
      </w:tcPr>
    </w:tblStylePr>
    <w:tblStylePr w:type="band2Horz">
      <w:tblPr/>
      <w:tcPr>
        <w:shd w:val="clear" w:color="auto" w:fill="F2F2F2"/>
      </w:tcPr>
    </w:tblStylePr>
  </w:style>
  <w:style w:type="character" w:customStyle="1" w:styleId="fontstyle01">
    <w:name w:val="fontstyle01"/>
    <w:basedOn w:val="DefaultParagraphFont"/>
    <w:rsid w:val="00BB1A9B"/>
    <w:rPr>
      <w:rFonts w:ascii="Calibri" w:hAnsi="Calibri" w:cs="Calibri" w:hint="default"/>
      <w:b w:val="0"/>
      <w:bCs w:val="0"/>
      <w:i w:val="0"/>
      <w:iCs w:val="0"/>
      <w:color w:val="000000"/>
      <w:sz w:val="22"/>
      <w:szCs w:val="22"/>
    </w:rPr>
  </w:style>
  <w:style w:type="table" w:customStyle="1" w:styleId="Civittatable112">
    <w:name w:val="Civitta table112"/>
    <w:basedOn w:val="TableNormal"/>
    <w:uiPriority w:val="99"/>
    <w:rsid w:val="00BB1A9B"/>
    <w:pPr>
      <w:spacing w:before="60" w:after="60"/>
    </w:pPr>
    <w:rPr>
      <w:bCs/>
      <w:sz w:val="20"/>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character" w:customStyle="1" w:styleId="BulletCaracter">
    <w:name w:val="Bullet Caracter"/>
    <w:basedOn w:val="ListParagraphChar1"/>
    <w:rsid w:val="00BB1A9B"/>
    <w:rPr>
      <w:rFonts w:ascii="Avenir Next Regular" w:eastAsia="MS Gothic" w:hAnsi="Avenir Next Regular" w:cs="Cambria"/>
      <w:bCs/>
      <w:color w:val="134753" w:themeColor="text2"/>
      <w:sz w:val="24"/>
      <w:lang w:eastAsia="en-GB"/>
    </w:rPr>
  </w:style>
  <w:style w:type="table" w:customStyle="1" w:styleId="Civittatable5">
    <w:name w:val="Civitta table5"/>
    <w:basedOn w:val="TableNormal"/>
    <w:uiPriority w:val="99"/>
    <w:rsid w:val="00913FD1"/>
    <w:pPr>
      <w:spacing w:before="60" w:after="60"/>
    </w:pPr>
    <w:rPr>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Tabelgril6Colorat-Accentuare21">
    <w:name w:val="Tabel grilă 6 Colorat - Accentuare 21"/>
    <w:basedOn w:val="TableNormal"/>
    <w:uiPriority w:val="51"/>
    <w:rsid w:val="00C321A1"/>
    <w:rPr>
      <w:rFonts w:eastAsiaTheme="minorEastAsia" w:cstheme="minorBidi"/>
      <w:color w:val="0E353E" w:themeColor="accent2" w:themeShade="BF"/>
      <w:lang w:val="en-US" w:eastAsia="ja-JP"/>
    </w:rPr>
    <w:tblPr>
      <w:tblStyleRowBandSize w:val="1"/>
      <w:tblStyleColBandSize w:val="1"/>
      <w:tblBorders>
        <w:top w:val="single" w:sz="4" w:space="0" w:color="37B4D1" w:themeColor="accent2" w:themeTint="99"/>
        <w:left w:val="single" w:sz="4" w:space="0" w:color="37B4D1" w:themeColor="accent2" w:themeTint="99"/>
        <w:bottom w:val="single" w:sz="4" w:space="0" w:color="37B4D1" w:themeColor="accent2" w:themeTint="99"/>
        <w:right w:val="single" w:sz="4" w:space="0" w:color="37B4D1" w:themeColor="accent2" w:themeTint="99"/>
        <w:insideH w:val="single" w:sz="4" w:space="0" w:color="37B4D1" w:themeColor="accent2" w:themeTint="99"/>
        <w:insideV w:val="single" w:sz="4" w:space="0" w:color="37B4D1" w:themeColor="accent2" w:themeTint="99"/>
      </w:tblBorders>
    </w:tblPr>
    <w:tblStylePr w:type="firstRow">
      <w:rPr>
        <w:b/>
        <w:bCs/>
      </w:rPr>
      <w:tblPr/>
      <w:tcPr>
        <w:tcBorders>
          <w:bottom w:val="single" w:sz="12" w:space="0" w:color="37B4D1" w:themeColor="accent2" w:themeTint="99"/>
        </w:tcBorders>
      </w:tcPr>
    </w:tblStylePr>
    <w:tblStylePr w:type="lastRow">
      <w:rPr>
        <w:b/>
        <w:bCs/>
      </w:rPr>
      <w:tblPr/>
      <w:tcPr>
        <w:tcBorders>
          <w:top w:val="double" w:sz="4" w:space="0" w:color="37B4D1" w:themeColor="accent2" w:themeTint="99"/>
        </w:tcBorders>
      </w:tcPr>
    </w:tblStylePr>
    <w:tblStylePr w:type="firstCol">
      <w:rPr>
        <w:b/>
        <w:bCs/>
      </w:rPr>
    </w:tblStylePr>
    <w:tblStylePr w:type="lastCol">
      <w:rPr>
        <w:b/>
        <w:bCs/>
      </w:rPr>
    </w:tblStylePr>
    <w:tblStylePr w:type="band1Vert">
      <w:tblPr/>
      <w:tcPr>
        <w:shd w:val="clear" w:color="auto" w:fill="BCE6EF" w:themeFill="accent2" w:themeFillTint="33"/>
      </w:tcPr>
    </w:tblStylePr>
    <w:tblStylePr w:type="band1Horz">
      <w:tblPr/>
      <w:tcPr>
        <w:shd w:val="clear" w:color="auto" w:fill="BCE6EF" w:themeFill="accent2" w:themeFillTint="33"/>
      </w:tcPr>
    </w:tblStylePr>
  </w:style>
  <w:style w:type="paragraph" w:customStyle="1" w:styleId="TableParagraph">
    <w:name w:val="Table Paragraph"/>
    <w:basedOn w:val="Normal"/>
    <w:uiPriority w:val="1"/>
    <w:qFormat/>
    <w:rsid w:val="00CA4805"/>
    <w:pPr>
      <w:widowControl w:val="0"/>
      <w:autoSpaceDE w:val="0"/>
      <w:autoSpaceDN w:val="0"/>
      <w:spacing w:before="5" w:after="0"/>
      <w:ind w:left="100"/>
      <w:jc w:val="left"/>
    </w:pPr>
    <w:rPr>
      <w:rFonts w:ascii="Times New Roman" w:eastAsia="Times New Roman" w:hAnsi="Times New Roman" w:cs="Times New Roman"/>
    </w:rPr>
  </w:style>
  <w:style w:type="table" w:customStyle="1" w:styleId="TableGrid2">
    <w:name w:val="Table Grid2"/>
    <w:basedOn w:val="TableNormal"/>
    <w:next w:val="TableGrid"/>
    <w:uiPriority w:val="59"/>
    <w:qFormat/>
    <w:rsid w:val="0090099C"/>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ivittatable9">
    <w:name w:val="Civitta table9"/>
    <w:basedOn w:val="TableNormal"/>
    <w:uiPriority w:val="99"/>
    <w:rsid w:val="0090099C"/>
    <w:pPr>
      <w:spacing w:before="60" w:after="60"/>
    </w:pPr>
    <w:rPr>
      <w:sz w:val="20"/>
    </w:rPr>
    <w:tblPr>
      <w:tblStyleRow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100" w:beforeAutospacing="1" w:afterLines="0" w:after="100" w:afterAutospacing="1"/>
        <w:jc w:val="left"/>
      </w:pPr>
      <w:rPr>
        <w:rFonts w:asciiTheme="minorHAnsi" w:hAnsiTheme="minorHAnsi" w:cs="Calibri" w:hint="default"/>
        <w:caps/>
        <w:smallCaps w:val="0"/>
        <w:color w:val="FFFFFF" w:themeColor="background1"/>
        <w:sz w:val="20"/>
        <w:szCs w:val="20"/>
      </w:rPr>
      <w:tbl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Bulet">
    <w:name w:val="!!! Bulet"/>
    <w:basedOn w:val="Normal"/>
    <w:link w:val="BuletChar"/>
    <w:qFormat/>
    <w:rsid w:val="0090099C"/>
    <w:pPr>
      <w:numPr>
        <w:numId w:val="34"/>
      </w:numPr>
      <w:spacing w:beforeLines="60" w:before="60" w:afterLines="60" w:after="60"/>
      <w:jc w:val="left"/>
    </w:pPr>
    <w:rPr>
      <w:rFonts w:eastAsia="MS Gothic"/>
      <w:bCs/>
      <w:color w:val="134753" w:themeColor="text2"/>
      <w:sz w:val="24"/>
      <w:lang w:eastAsia="en-GB"/>
    </w:rPr>
  </w:style>
  <w:style w:type="table" w:styleId="ColorfulGrid-Accent1">
    <w:name w:val="Colorful Grid Accent 1"/>
    <w:basedOn w:val="TableNormal"/>
    <w:uiPriority w:val="73"/>
    <w:unhideWhenUsed/>
    <w:rsid w:val="00423E88"/>
    <w:pPr>
      <w:jc w:val="both"/>
    </w:pPr>
    <w:rPr>
      <w:rFonts w:ascii="Calibri" w:eastAsia="Calibri" w:hAnsi="Calibri" w:cs="Calibri"/>
      <w:color w:val="000000" w:themeColor="text1"/>
      <w:lang w:val="ro-RO" w:eastAsia="ro-RO"/>
    </w:rPr>
    <w:tblPr>
      <w:tblStyleRowBandSize w:val="1"/>
      <w:tblStyleColBandSize w:val="1"/>
      <w:tblBorders>
        <w:insideH w:val="single" w:sz="4" w:space="0" w:color="FFFFFF" w:themeColor="background1"/>
      </w:tblBorders>
    </w:tblPr>
    <w:tcPr>
      <w:shd w:val="clear" w:color="auto" w:fill="E5E5E5" w:themeFill="accent1" w:themeFillTint="33"/>
    </w:tcPr>
    <w:tblStylePr w:type="firstRow">
      <w:rPr>
        <w:b/>
        <w:bCs/>
      </w:rPr>
      <w:tblPr/>
      <w:tcPr>
        <w:shd w:val="clear" w:color="auto" w:fill="CBCBCB" w:themeFill="accent1" w:themeFillTint="66"/>
      </w:tcPr>
    </w:tblStylePr>
    <w:tblStylePr w:type="lastRow">
      <w:rPr>
        <w:b/>
        <w:bCs/>
        <w:color w:val="000000" w:themeColor="text1"/>
      </w:rPr>
      <w:tblPr/>
      <w:tcPr>
        <w:shd w:val="clear" w:color="auto" w:fill="CBCBCB" w:themeFill="accent1" w:themeFillTint="66"/>
      </w:tcPr>
    </w:tblStylePr>
    <w:tblStylePr w:type="firstCol">
      <w:rPr>
        <w:color w:val="FFFFFF" w:themeColor="background1"/>
      </w:rPr>
      <w:tblPr/>
      <w:tcPr>
        <w:shd w:val="clear" w:color="auto" w:fill="5F5F5F" w:themeFill="accent1" w:themeFillShade="BF"/>
      </w:tcPr>
    </w:tblStylePr>
    <w:tblStylePr w:type="lastCol">
      <w:rPr>
        <w:color w:val="FFFFFF" w:themeColor="background1"/>
      </w:rPr>
      <w:tblPr/>
      <w:tcPr>
        <w:shd w:val="clear" w:color="auto" w:fill="5F5F5F" w:themeFill="accent1" w:themeFillShade="BF"/>
      </w:tcPr>
    </w:tblStylePr>
    <w:tblStylePr w:type="band1Vert">
      <w:tblPr/>
      <w:tcPr>
        <w:shd w:val="clear" w:color="auto" w:fill="BFBFBF" w:themeFill="accent1" w:themeFillTint="7F"/>
      </w:tcPr>
    </w:tblStylePr>
    <w:tblStylePr w:type="band1Horz">
      <w:tblPr/>
      <w:tcPr>
        <w:shd w:val="clear" w:color="auto" w:fill="BFBFBF" w:themeFill="accent1" w:themeFillTint="7F"/>
      </w:tcPr>
    </w:tblStylePr>
  </w:style>
  <w:style w:type="table" w:customStyle="1" w:styleId="Civittatable7">
    <w:name w:val="Civitta table7"/>
    <w:basedOn w:val="TableNormal"/>
    <w:uiPriority w:val="99"/>
    <w:rsid w:val="00E747A2"/>
    <w:pPr>
      <w:spacing w:before="60" w:after="60"/>
    </w:pPr>
    <w:rPr>
      <w:rFonts w:ascii="Calibri" w:hAnsi="Calibri" w:cs="Arial"/>
      <w:sz w:val="20"/>
    </w:rPr>
    <w:tblPr>
      <w:tblStyleRowBandSize w:val="1"/>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pPr>
        <w:wordWrap/>
        <w:spacing w:beforeLines="0" w:before="60" w:beforeAutospacing="0" w:afterLines="0" w:after="60" w:afterAutospacing="0"/>
        <w:jc w:val="left"/>
      </w:pPr>
      <w:rPr>
        <w:rFonts w:ascii="Calibri" w:hAnsi="Calibri"/>
        <w:caps/>
        <w:smallCaps w:val="0"/>
        <w:color w:val="FFFFFF"/>
        <w:sz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paragraph" w:customStyle="1" w:styleId="Style2">
    <w:name w:val="Style2"/>
    <w:basedOn w:val="Heading3"/>
    <w:link w:val="Style2Char"/>
    <w:qFormat/>
    <w:rsid w:val="009E58CB"/>
    <w:pPr>
      <w:spacing w:before="0" w:after="0"/>
    </w:pPr>
    <w:rPr>
      <w:rFonts w:cstheme="minorHAnsi"/>
      <w:b/>
      <w:bCs w:val="0"/>
      <w:caps w:val="0"/>
      <w:color w:val="FFFFFF" w:themeColor="background1"/>
      <w:sz w:val="20"/>
      <w:szCs w:val="20"/>
      <w:lang w:val="ro-RO" w:eastAsia="ja-JP"/>
    </w:rPr>
  </w:style>
  <w:style w:type="character" w:customStyle="1" w:styleId="Style2Char">
    <w:name w:val="Style2 Char"/>
    <w:basedOn w:val="Heading3Char"/>
    <w:link w:val="Style2"/>
    <w:rsid w:val="009E58CB"/>
    <w:rPr>
      <w:rFonts w:cstheme="minorHAnsi"/>
      <w:b/>
      <w:bCs w:val="0"/>
      <w:caps w:val="0"/>
      <w:color w:val="FFFFFF" w:themeColor="background1"/>
      <w:sz w:val="20"/>
      <w:szCs w:val="20"/>
      <w:lang w:val="ro-RO" w:eastAsia="ja-JP"/>
    </w:rPr>
  </w:style>
  <w:style w:type="character" w:customStyle="1" w:styleId="BuletChar">
    <w:name w:val="!!! Bulet Char"/>
    <w:basedOn w:val="DefaultParagraphFont"/>
    <w:link w:val="Bulet"/>
    <w:rsid w:val="00A8137A"/>
    <w:rPr>
      <w:rFonts w:eastAsia="MS Gothic"/>
      <w:bCs/>
      <w:color w:val="134753" w:themeColor="text2"/>
      <w:sz w:val="24"/>
      <w:lang w:val="ro-RO" w:eastAsia="en-GB"/>
    </w:rPr>
  </w:style>
  <w:style w:type="numbering" w:customStyle="1" w:styleId="NoList1">
    <w:name w:val="No List1"/>
    <w:next w:val="NoList"/>
    <w:uiPriority w:val="99"/>
    <w:semiHidden/>
    <w:unhideWhenUsed/>
    <w:rsid w:val="00E305CA"/>
  </w:style>
  <w:style w:type="table" w:customStyle="1" w:styleId="TableGrid3">
    <w:name w:val="Table Grid3"/>
    <w:basedOn w:val="TableNormal"/>
    <w:next w:val="TableGrid"/>
    <w:uiPriority w:val="59"/>
    <w:rsid w:val="00E305CA"/>
    <w:pPr>
      <w:spacing w:after="120"/>
      <w:jc w:val="both"/>
    </w:pPr>
    <w:rPr>
      <w:rFonts w:ascii="Avenir Next Demi Bold" w:eastAsia="Calibri" w:hAnsi="Avenir Next Demi Bold" w:cs="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
    <w:name w:val="Table Grid Light2"/>
    <w:basedOn w:val="TableNormal"/>
    <w:next w:val="TableGridLight"/>
    <w:uiPriority w:val="40"/>
    <w:rsid w:val="00E305CA"/>
    <w:pPr>
      <w:spacing w:after="120"/>
      <w:jc w:val="both"/>
    </w:pPr>
    <w:rPr>
      <w:rFonts w:ascii="Calibri" w:eastAsia="Calibri" w:hAnsi="Calibri" w:cs="Calibri"/>
      <w:lang w:val="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ivittatable6">
    <w:name w:val="Civitta table6"/>
    <w:basedOn w:val="TableNormal"/>
    <w:uiPriority w:val="99"/>
    <w:rsid w:val="00E305CA"/>
    <w:pPr>
      <w:spacing w:before="60" w:after="60"/>
      <w:jc w:val="both"/>
    </w:pPr>
    <w:rPr>
      <w:rFonts w:ascii="Calibri" w:eastAsia="Calibri" w:hAnsi="Calibri" w:cs="Calibri"/>
      <w:sz w:val="20"/>
      <w:lang w:val="en-GB"/>
    </w:rPr>
    <w:tblPr>
      <w:tblStyleRowBandSize w:val="1"/>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pPr>
        <w:wordWrap/>
        <w:spacing w:beforeLines="0" w:before="60" w:beforeAutospacing="0" w:afterLines="0" w:after="60" w:afterAutospacing="0"/>
        <w:jc w:val="left"/>
      </w:pPr>
      <w:rPr>
        <w:rFonts w:ascii="Calibri" w:hAnsi="Calibri"/>
        <w:caps/>
        <w:smallCaps w:val="0"/>
        <w:color w:val="FFFFFF"/>
        <w:sz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TableTheme1">
    <w:name w:val="Table Theme1"/>
    <w:basedOn w:val="TableNormal"/>
    <w:next w:val="TableTheme"/>
    <w:uiPriority w:val="99"/>
    <w:semiHidden/>
    <w:unhideWhenUsed/>
    <w:rsid w:val="00E305CA"/>
    <w:pPr>
      <w:spacing w:before="120" w:after="120"/>
      <w:jc w:val="both"/>
    </w:pPr>
    <w:rPr>
      <w:rFonts w:ascii="Calibri" w:eastAsia="Calibri" w:hAnsi="Calibri" w:cs="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
    <w:name w:val="Grid Table 1 Light2"/>
    <w:basedOn w:val="TableNormal"/>
    <w:next w:val="GridTable1Light"/>
    <w:uiPriority w:val="46"/>
    <w:rsid w:val="00E305CA"/>
    <w:pPr>
      <w:spacing w:after="120"/>
      <w:jc w:val="both"/>
    </w:pPr>
    <w:rPr>
      <w:rFonts w:ascii="Calibri" w:eastAsia="Calibri" w:hAnsi="Calibri" w:cs="Calibri"/>
      <w:lang w:val="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PlainTable21">
    <w:name w:val="Plain Table 21"/>
    <w:basedOn w:val="TableNormal"/>
    <w:next w:val="PlainTable2"/>
    <w:uiPriority w:val="42"/>
    <w:rsid w:val="00E305CA"/>
    <w:pPr>
      <w:spacing w:after="120"/>
      <w:jc w:val="both"/>
    </w:pPr>
    <w:rPr>
      <w:rFonts w:ascii="Calibri" w:eastAsia="Calibri" w:hAnsi="Calibri" w:cs="Calibri"/>
      <w:lang w:val="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CivittaSingleCell1">
    <w:name w:val="Civitta Single Cell1"/>
    <w:basedOn w:val="TableNormal"/>
    <w:uiPriority w:val="99"/>
    <w:rsid w:val="00E305CA"/>
    <w:pPr>
      <w:spacing w:before="60" w:after="60"/>
      <w:jc w:val="both"/>
    </w:pPr>
    <w:rPr>
      <w:rFonts w:ascii="Calibri" w:eastAsia="Calibri" w:hAnsi="Calibri" w:cs="Calibri"/>
      <w:lang w:val="en-GB"/>
    </w:rPr>
    <w:tblPr>
      <w:tblBorders>
        <w:top w:val="single" w:sz="4" w:space="0" w:color="134753"/>
        <w:bottom w:val="single" w:sz="4" w:space="0" w:color="134753"/>
      </w:tblBorders>
    </w:tblPr>
  </w:style>
  <w:style w:type="table" w:customStyle="1" w:styleId="PlainTable12">
    <w:name w:val="Plain Table 12"/>
    <w:basedOn w:val="TableNormal"/>
    <w:next w:val="PlainTable1"/>
    <w:uiPriority w:val="41"/>
    <w:rsid w:val="00E305CA"/>
    <w:pPr>
      <w:spacing w:after="120"/>
      <w:jc w:val="both"/>
    </w:pPr>
    <w:rPr>
      <w:rFonts w:ascii="Calibri" w:eastAsia="Calibri" w:hAnsi="Calibri" w:cs="Calibri"/>
      <w:lang w:val="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font6">
    <w:name w:val="font6"/>
    <w:basedOn w:val="Normal"/>
    <w:rsid w:val="00E305CA"/>
    <w:pPr>
      <w:spacing w:before="100" w:beforeAutospacing="1" w:after="100" w:afterAutospacing="1"/>
      <w:jc w:val="left"/>
    </w:pPr>
    <w:rPr>
      <w:rFonts w:ascii="Arial" w:eastAsia="Times New Roman" w:hAnsi="Arial" w:cs="Arial"/>
      <w:i/>
      <w:iCs/>
      <w:color w:val="000000"/>
      <w:sz w:val="20"/>
      <w:szCs w:val="20"/>
      <w:lang w:val="en-US"/>
    </w:rPr>
  </w:style>
  <w:style w:type="paragraph" w:customStyle="1" w:styleId="font7">
    <w:name w:val="font7"/>
    <w:basedOn w:val="Normal"/>
    <w:rsid w:val="00E305CA"/>
    <w:pPr>
      <w:spacing w:before="100" w:beforeAutospacing="1" w:after="100" w:afterAutospacing="1"/>
      <w:jc w:val="left"/>
    </w:pPr>
    <w:rPr>
      <w:rFonts w:ascii="Arial" w:eastAsia="Times New Roman" w:hAnsi="Arial" w:cs="Arial"/>
      <w:b/>
      <w:bCs/>
      <w:i/>
      <w:iCs/>
      <w:color w:val="FFFFFF"/>
      <w:sz w:val="20"/>
      <w:szCs w:val="20"/>
      <w:lang w:val="en-US"/>
    </w:rPr>
  </w:style>
  <w:style w:type="paragraph" w:customStyle="1" w:styleId="font8">
    <w:name w:val="font8"/>
    <w:basedOn w:val="Normal"/>
    <w:rsid w:val="00E305CA"/>
    <w:pPr>
      <w:spacing w:before="100" w:beforeAutospacing="1" w:after="100" w:afterAutospacing="1"/>
      <w:jc w:val="left"/>
    </w:pPr>
    <w:rPr>
      <w:rFonts w:ascii="Arial, sans-serif" w:eastAsia="Times New Roman" w:hAnsi="Arial, sans-serif" w:cs="Times New Roman"/>
      <w:color w:val="000000"/>
      <w:sz w:val="20"/>
      <w:szCs w:val="20"/>
      <w:lang w:val="en-US"/>
    </w:rPr>
  </w:style>
  <w:style w:type="paragraph" w:customStyle="1" w:styleId="font9">
    <w:name w:val="font9"/>
    <w:basedOn w:val="Normal"/>
    <w:rsid w:val="00E305CA"/>
    <w:pPr>
      <w:spacing w:before="100" w:beforeAutospacing="1" w:after="100" w:afterAutospacing="1"/>
      <w:jc w:val="left"/>
    </w:pPr>
    <w:rPr>
      <w:rFonts w:ascii="Arial, sans-serif" w:eastAsia="Times New Roman" w:hAnsi="Arial, sans-serif" w:cs="Times New Roman"/>
      <w:i/>
      <w:iCs/>
      <w:color w:val="000000"/>
      <w:sz w:val="20"/>
      <w:szCs w:val="20"/>
      <w:lang w:val="en-US"/>
    </w:rPr>
  </w:style>
  <w:style w:type="paragraph" w:customStyle="1" w:styleId="font10">
    <w:name w:val="font10"/>
    <w:basedOn w:val="Normal"/>
    <w:rsid w:val="00E305CA"/>
    <w:pPr>
      <w:spacing w:before="100" w:beforeAutospacing="1" w:after="100" w:afterAutospacing="1"/>
      <w:jc w:val="left"/>
    </w:pPr>
    <w:rPr>
      <w:rFonts w:ascii="Arial" w:eastAsia="Times New Roman" w:hAnsi="Arial" w:cs="Arial"/>
      <w:i/>
      <w:iCs/>
      <w:color w:val="000000"/>
      <w:sz w:val="20"/>
      <w:szCs w:val="20"/>
      <w:lang w:val="en-US"/>
    </w:rPr>
  </w:style>
  <w:style w:type="paragraph" w:customStyle="1" w:styleId="font11">
    <w:name w:val="font11"/>
    <w:basedOn w:val="Normal"/>
    <w:rsid w:val="00E305CA"/>
    <w:pPr>
      <w:spacing w:before="100" w:beforeAutospacing="1" w:after="100" w:afterAutospacing="1"/>
      <w:jc w:val="left"/>
    </w:pPr>
    <w:rPr>
      <w:rFonts w:ascii="Arial" w:eastAsia="Times New Roman" w:hAnsi="Arial" w:cs="Arial"/>
      <w:i/>
      <w:iCs/>
      <w:color w:val="000000"/>
      <w:sz w:val="20"/>
      <w:szCs w:val="20"/>
      <w:lang w:val="en-US"/>
    </w:rPr>
  </w:style>
  <w:style w:type="paragraph" w:customStyle="1" w:styleId="font12">
    <w:name w:val="font12"/>
    <w:basedOn w:val="Normal"/>
    <w:rsid w:val="00E305CA"/>
    <w:pPr>
      <w:spacing w:before="100" w:beforeAutospacing="1" w:after="100" w:afterAutospacing="1"/>
      <w:jc w:val="left"/>
    </w:pPr>
    <w:rPr>
      <w:rFonts w:ascii="Arial" w:eastAsia="Times New Roman" w:hAnsi="Arial" w:cs="Arial"/>
      <w:i/>
      <w:iCs/>
      <w:color w:val="000000"/>
      <w:sz w:val="20"/>
      <w:szCs w:val="20"/>
      <w:lang w:val="en-US"/>
    </w:rPr>
  </w:style>
  <w:style w:type="paragraph" w:customStyle="1" w:styleId="xl84">
    <w:name w:val="xl84"/>
    <w:basedOn w:val="Normal"/>
    <w:rsid w:val="00E305CA"/>
    <w:pPr>
      <w:spacing w:before="100" w:beforeAutospacing="1" w:after="100" w:afterAutospacing="1"/>
      <w:jc w:val="left"/>
    </w:pPr>
    <w:rPr>
      <w:rFonts w:ascii="Arial" w:eastAsia="Times New Roman" w:hAnsi="Arial" w:cs="Arial"/>
      <w:color w:val="000000"/>
      <w:sz w:val="24"/>
      <w:szCs w:val="24"/>
      <w:lang w:val="en-US"/>
    </w:rPr>
  </w:style>
  <w:style w:type="paragraph" w:customStyle="1" w:styleId="xl85">
    <w:name w:val="xl85"/>
    <w:basedOn w:val="Normal"/>
    <w:rsid w:val="00E305CA"/>
    <w:pPr>
      <w:shd w:val="clear" w:color="FFFFFF" w:fill="FFFFFF"/>
      <w:spacing w:before="100" w:beforeAutospacing="1" w:after="100" w:afterAutospacing="1"/>
      <w:jc w:val="left"/>
    </w:pPr>
    <w:rPr>
      <w:rFonts w:ascii="Arial" w:eastAsia="Times New Roman" w:hAnsi="Arial" w:cs="Arial"/>
      <w:sz w:val="24"/>
      <w:szCs w:val="24"/>
      <w:lang w:val="en-US"/>
    </w:rPr>
  </w:style>
  <w:style w:type="paragraph" w:customStyle="1" w:styleId="xl86">
    <w:name w:val="xl86"/>
    <w:basedOn w:val="Normal"/>
    <w:rsid w:val="00E305CA"/>
    <w:pPr>
      <w:spacing w:before="100" w:beforeAutospacing="1" w:after="100" w:afterAutospacing="1"/>
      <w:jc w:val="left"/>
    </w:pPr>
    <w:rPr>
      <w:rFonts w:ascii="Arial" w:eastAsia="Times New Roman" w:hAnsi="Arial" w:cs="Arial"/>
      <w:sz w:val="24"/>
      <w:szCs w:val="24"/>
      <w:lang w:val="en-US"/>
    </w:rPr>
  </w:style>
  <w:style w:type="paragraph" w:customStyle="1" w:styleId="xl87">
    <w:name w:val="xl87"/>
    <w:basedOn w:val="Normal"/>
    <w:rsid w:val="00E305CA"/>
    <w:pPr>
      <w:spacing w:before="100" w:beforeAutospacing="1" w:after="100" w:afterAutospacing="1"/>
      <w:jc w:val="left"/>
    </w:pPr>
    <w:rPr>
      <w:rFonts w:ascii="Arial" w:eastAsia="Times New Roman" w:hAnsi="Arial" w:cs="Arial"/>
      <w:sz w:val="24"/>
      <w:szCs w:val="24"/>
      <w:lang w:val="en-US"/>
    </w:rPr>
  </w:style>
  <w:style w:type="paragraph" w:customStyle="1" w:styleId="xl88">
    <w:name w:val="xl88"/>
    <w:basedOn w:val="Normal"/>
    <w:rsid w:val="00E305CA"/>
    <w:pPr>
      <w:spacing w:before="100" w:beforeAutospacing="1" w:after="100" w:afterAutospacing="1"/>
      <w:jc w:val="left"/>
    </w:pPr>
    <w:rPr>
      <w:rFonts w:ascii="Arial" w:eastAsia="Times New Roman" w:hAnsi="Arial" w:cs="Arial"/>
      <w:sz w:val="24"/>
      <w:szCs w:val="24"/>
      <w:lang w:val="en-US"/>
    </w:rPr>
  </w:style>
  <w:style w:type="paragraph" w:customStyle="1" w:styleId="xl89">
    <w:name w:val="xl89"/>
    <w:basedOn w:val="Normal"/>
    <w:rsid w:val="00E305CA"/>
    <w:pPr>
      <w:shd w:val="clear" w:color="FFFFFF" w:fill="FFFFFF"/>
      <w:spacing w:before="100" w:beforeAutospacing="1" w:after="100" w:afterAutospacing="1"/>
      <w:jc w:val="left"/>
    </w:pPr>
    <w:rPr>
      <w:rFonts w:ascii="Arial" w:eastAsia="Times New Roman" w:hAnsi="Arial" w:cs="Arial"/>
      <w:sz w:val="24"/>
      <w:szCs w:val="24"/>
      <w:lang w:val="en-US"/>
    </w:rPr>
  </w:style>
  <w:style w:type="paragraph" w:customStyle="1" w:styleId="xl90">
    <w:name w:val="xl90"/>
    <w:basedOn w:val="Normal"/>
    <w:rsid w:val="00E305CA"/>
    <w:pPr>
      <w:spacing w:before="100" w:beforeAutospacing="1" w:after="100" w:afterAutospacing="1"/>
      <w:jc w:val="left"/>
    </w:pPr>
    <w:rPr>
      <w:rFonts w:ascii="Arial" w:eastAsia="Times New Roman" w:hAnsi="Arial" w:cs="Arial"/>
      <w:color w:val="000000"/>
      <w:sz w:val="24"/>
      <w:szCs w:val="24"/>
      <w:lang w:val="en-US"/>
    </w:rPr>
  </w:style>
  <w:style w:type="paragraph" w:customStyle="1" w:styleId="xl91">
    <w:name w:val="xl91"/>
    <w:basedOn w:val="Normal"/>
    <w:rsid w:val="00E305CA"/>
    <w:pPr>
      <w:spacing w:before="100" w:beforeAutospacing="1" w:after="100" w:afterAutospacing="1"/>
      <w:jc w:val="left"/>
    </w:pPr>
    <w:rPr>
      <w:rFonts w:ascii="Arial" w:eastAsia="Times New Roman" w:hAnsi="Arial" w:cs="Arial"/>
      <w:sz w:val="24"/>
      <w:szCs w:val="24"/>
      <w:lang w:val="en-US"/>
    </w:rPr>
  </w:style>
  <w:style w:type="paragraph" w:customStyle="1" w:styleId="xl92">
    <w:name w:val="xl92"/>
    <w:basedOn w:val="Normal"/>
    <w:rsid w:val="00E305CA"/>
    <w:pPr>
      <w:shd w:val="clear" w:color="FFFFFF" w:fill="FFFFFF"/>
      <w:spacing w:before="100" w:beforeAutospacing="1" w:after="100" w:afterAutospacing="1"/>
      <w:jc w:val="left"/>
      <w:textAlignment w:val="center"/>
    </w:pPr>
    <w:rPr>
      <w:rFonts w:ascii="Arial" w:eastAsia="Times New Roman" w:hAnsi="Arial" w:cs="Arial"/>
      <w:sz w:val="24"/>
      <w:szCs w:val="24"/>
      <w:lang w:val="en-US"/>
    </w:rPr>
  </w:style>
  <w:style w:type="paragraph" w:customStyle="1" w:styleId="xl93">
    <w:name w:val="xl93"/>
    <w:basedOn w:val="Normal"/>
    <w:rsid w:val="00E305CA"/>
    <w:pPr>
      <w:spacing w:before="100" w:beforeAutospacing="1" w:after="100" w:afterAutospacing="1"/>
      <w:jc w:val="left"/>
      <w:textAlignment w:val="center"/>
    </w:pPr>
    <w:rPr>
      <w:rFonts w:ascii="Arial" w:eastAsia="Times New Roman" w:hAnsi="Arial" w:cs="Arial"/>
      <w:color w:val="000000"/>
      <w:sz w:val="24"/>
      <w:szCs w:val="24"/>
      <w:lang w:val="en-US"/>
    </w:rPr>
  </w:style>
  <w:style w:type="paragraph" w:customStyle="1" w:styleId="xl94">
    <w:name w:val="xl94"/>
    <w:basedOn w:val="Normal"/>
    <w:rsid w:val="00E305CA"/>
    <w:pPr>
      <w:shd w:val="clear" w:color="FFFFFF" w:fill="FFFFFF"/>
      <w:spacing w:before="100" w:beforeAutospacing="1" w:after="100" w:afterAutospacing="1"/>
      <w:jc w:val="left"/>
    </w:pPr>
    <w:rPr>
      <w:rFonts w:ascii="Arial" w:eastAsia="Times New Roman" w:hAnsi="Arial" w:cs="Arial"/>
      <w:color w:val="000000"/>
      <w:sz w:val="24"/>
      <w:szCs w:val="24"/>
      <w:lang w:val="en-US"/>
    </w:rPr>
  </w:style>
  <w:style w:type="paragraph" w:customStyle="1" w:styleId="xl95">
    <w:name w:val="xl95"/>
    <w:basedOn w:val="Normal"/>
    <w:rsid w:val="00E305CA"/>
    <w:pPr>
      <w:shd w:val="clear" w:color="FFFFFF" w:fill="FFFFFF"/>
      <w:spacing w:before="100" w:beforeAutospacing="1" w:after="100" w:afterAutospacing="1"/>
      <w:jc w:val="left"/>
    </w:pPr>
    <w:rPr>
      <w:rFonts w:ascii="Arial" w:eastAsia="Times New Roman" w:hAnsi="Arial" w:cs="Arial"/>
      <w:color w:val="000000"/>
      <w:sz w:val="24"/>
      <w:szCs w:val="24"/>
      <w:lang w:val="en-US"/>
    </w:rPr>
  </w:style>
  <w:style w:type="paragraph" w:customStyle="1" w:styleId="xl96">
    <w:name w:val="xl96"/>
    <w:basedOn w:val="Normal"/>
    <w:rsid w:val="00E305CA"/>
    <w:pPr>
      <w:shd w:val="clear" w:color="FFFFFF" w:fill="FFFFFF"/>
      <w:spacing w:before="100" w:beforeAutospacing="1" w:after="100" w:afterAutospacing="1"/>
      <w:jc w:val="left"/>
    </w:pPr>
    <w:rPr>
      <w:rFonts w:ascii="Arial" w:eastAsia="Times New Roman" w:hAnsi="Arial" w:cs="Arial"/>
      <w:color w:val="000000"/>
      <w:sz w:val="24"/>
      <w:szCs w:val="24"/>
      <w:lang w:val="en-US"/>
    </w:rPr>
  </w:style>
  <w:style w:type="paragraph" w:customStyle="1" w:styleId="xl97">
    <w:name w:val="xl97"/>
    <w:basedOn w:val="Normal"/>
    <w:rsid w:val="00E305CA"/>
    <w:pPr>
      <w:shd w:val="clear" w:color="FFFFFF" w:fill="FFFFFF"/>
      <w:spacing w:before="100" w:beforeAutospacing="1" w:after="100" w:afterAutospacing="1"/>
      <w:jc w:val="left"/>
    </w:pPr>
    <w:rPr>
      <w:rFonts w:ascii="Arial" w:eastAsia="Times New Roman" w:hAnsi="Arial" w:cs="Arial"/>
      <w:color w:val="000000"/>
      <w:sz w:val="24"/>
      <w:szCs w:val="24"/>
      <w:lang w:val="en-US"/>
    </w:rPr>
  </w:style>
  <w:style w:type="paragraph" w:customStyle="1" w:styleId="xl98">
    <w:name w:val="xl98"/>
    <w:basedOn w:val="Normal"/>
    <w:rsid w:val="00E305CA"/>
    <w:pPr>
      <w:spacing w:before="100" w:beforeAutospacing="1" w:after="100" w:afterAutospacing="1"/>
      <w:jc w:val="left"/>
    </w:pPr>
    <w:rPr>
      <w:rFonts w:ascii="Arial" w:eastAsia="Times New Roman" w:hAnsi="Arial" w:cs="Arial"/>
      <w:color w:val="134753"/>
      <w:sz w:val="24"/>
      <w:szCs w:val="24"/>
      <w:lang w:val="en-US"/>
    </w:rPr>
  </w:style>
  <w:style w:type="paragraph" w:customStyle="1" w:styleId="xl99">
    <w:name w:val="xl99"/>
    <w:basedOn w:val="Normal"/>
    <w:rsid w:val="00E305CA"/>
    <w:pPr>
      <w:shd w:val="clear" w:color="FFFFFF" w:fill="FFFFFF"/>
      <w:spacing w:before="100" w:beforeAutospacing="1" w:after="100" w:afterAutospacing="1"/>
      <w:jc w:val="left"/>
      <w:textAlignment w:val="center"/>
    </w:pPr>
    <w:rPr>
      <w:rFonts w:ascii="Arial" w:eastAsia="Times New Roman" w:hAnsi="Arial" w:cs="Arial"/>
      <w:color w:val="000000"/>
      <w:sz w:val="24"/>
      <w:szCs w:val="24"/>
      <w:lang w:val="en-US"/>
    </w:rPr>
  </w:style>
  <w:style w:type="paragraph" w:customStyle="1" w:styleId="xl100">
    <w:name w:val="xl100"/>
    <w:basedOn w:val="Normal"/>
    <w:rsid w:val="00E305CA"/>
    <w:pPr>
      <w:spacing w:before="100" w:beforeAutospacing="1" w:after="100" w:afterAutospacing="1"/>
      <w:jc w:val="left"/>
      <w:textAlignment w:val="center"/>
    </w:pPr>
    <w:rPr>
      <w:rFonts w:ascii="Arial" w:eastAsia="Times New Roman" w:hAnsi="Arial" w:cs="Arial"/>
      <w:color w:val="000000"/>
      <w:sz w:val="24"/>
      <w:szCs w:val="24"/>
      <w:lang w:val="en-US"/>
    </w:rPr>
  </w:style>
  <w:style w:type="paragraph" w:customStyle="1" w:styleId="xl101">
    <w:name w:val="xl101"/>
    <w:basedOn w:val="Normal"/>
    <w:rsid w:val="00E305CA"/>
    <w:pPr>
      <w:spacing w:before="100" w:beforeAutospacing="1" w:after="100" w:afterAutospacing="1"/>
      <w:jc w:val="left"/>
    </w:pPr>
    <w:rPr>
      <w:rFonts w:ascii="Arial" w:eastAsia="Times New Roman" w:hAnsi="Arial" w:cs="Arial"/>
      <w:sz w:val="24"/>
      <w:szCs w:val="24"/>
      <w:lang w:val="en-US"/>
    </w:rPr>
  </w:style>
  <w:style w:type="paragraph" w:customStyle="1" w:styleId="xl102">
    <w:name w:val="xl102"/>
    <w:basedOn w:val="Normal"/>
    <w:rsid w:val="00E305CA"/>
    <w:pPr>
      <w:shd w:val="clear" w:color="FFFFFF" w:fill="FFFFFF"/>
      <w:spacing w:before="100" w:beforeAutospacing="1" w:after="100" w:afterAutospacing="1"/>
      <w:jc w:val="left"/>
      <w:textAlignment w:val="center"/>
    </w:pPr>
    <w:rPr>
      <w:rFonts w:ascii="Arial" w:eastAsia="Times New Roman" w:hAnsi="Arial" w:cs="Arial"/>
      <w:sz w:val="24"/>
      <w:szCs w:val="24"/>
      <w:lang w:val="en-US"/>
    </w:rPr>
  </w:style>
  <w:style w:type="paragraph" w:customStyle="1" w:styleId="xl103">
    <w:name w:val="xl103"/>
    <w:basedOn w:val="Normal"/>
    <w:rsid w:val="00E305CA"/>
    <w:pPr>
      <w:spacing w:before="100" w:beforeAutospacing="1" w:after="100" w:afterAutospacing="1"/>
      <w:jc w:val="left"/>
      <w:textAlignment w:val="center"/>
    </w:pPr>
    <w:rPr>
      <w:rFonts w:ascii="Arial" w:eastAsia="Times New Roman" w:hAnsi="Arial" w:cs="Arial"/>
      <w:sz w:val="24"/>
      <w:szCs w:val="24"/>
      <w:lang w:val="en-US"/>
    </w:rPr>
  </w:style>
  <w:style w:type="paragraph" w:customStyle="1" w:styleId="xl104">
    <w:name w:val="xl104"/>
    <w:basedOn w:val="Normal"/>
    <w:rsid w:val="00E305CA"/>
    <w:pPr>
      <w:shd w:val="clear" w:color="FFFFFF" w:fill="FFFFFF"/>
      <w:spacing w:before="100" w:beforeAutospacing="1" w:after="100" w:afterAutospacing="1"/>
      <w:jc w:val="left"/>
      <w:textAlignment w:val="center"/>
    </w:pPr>
    <w:rPr>
      <w:rFonts w:ascii="Arial" w:eastAsia="Times New Roman" w:hAnsi="Arial" w:cs="Arial"/>
      <w:color w:val="000000"/>
      <w:sz w:val="24"/>
      <w:szCs w:val="24"/>
      <w:lang w:val="en-US"/>
    </w:rPr>
  </w:style>
  <w:style w:type="paragraph" w:customStyle="1" w:styleId="xl105">
    <w:name w:val="xl105"/>
    <w:basedOn w:val="Normal"/>
    <w:rsid w:val="00E305CA"/>
    <w:pPr>
      <w:spacing w:before="100" w:beforeAutospacing="1" w:after="100" w:afterAutospacing="1"/>
      <w:jc w:val="left"/>
      <w:textAlignment w:val="center"/>
    </w:pPr>
    <w:rPr>
      <w:rFonts w:ascii="Arial" w:eastAsia="Times New Roman" w:hAnsi="Arial" w:cs="Arial"/>
      <w:sz w:val="24"/>
      <w:szCs w:val="24"/>
      <w:lang w:val="en-US"/>
    </w:rPr>
  </w:style>
  <w:style w:type="paragraph" w:customStyle="1" w:styleId="xl106">
    <w:name w:val="xl106"/>
    <w:basedOn w:val="Normal"/>
    <w:rsid w:val="00E305CA"/>
    <w:pPr>
      <w:spacing w:before="100" w:beforeAutospacing="1" w:after="100" w:afterAutospacing="1"/>
      <w:jc w:val="left"/>
      <w:textAlignment w:val="center"/>
    </w:pPr>
    <w:rPr>
      <w:rFonts w:ascii="Arial" w:eastAsia="Times New Roman" w:hAnsi="Arial" w:cs="Arial"/>
      <w:sz w:val="24"/>
      <w:szCs w:val="24"/>
      <w:lang w:val="en-US"/>
    </w:rPr>
  </w:style>
  <w:style w:type="paragraph" w:customStyle="1" w:styleId="xl107">
    <w:name w:val="xl107"/>
    <w:basedOn w:val="Normal"/>
    <w:rsid w:val="00E305CA"/>
    <w:pPr>
      <w:shd w:val="clear" w:color="FFFFFF" w:fill="FFFFFF"/>
      <w:spacing w:before="100" w:beforeAutospacing="1" w:after="100" w:afterAutospacing="1"/>
      <w:jc w:val="left"/>
      <w:textAlignment w:val="center"/>
    </w:pPr>
    <w:rPr>
      <w:rFonts w:ascii="Arial" w:eastAsia="Times New Roman" w:hAnsi="Arial" w:cs="Arial"/>
      <w:color w:val="000000"/>
      <w:sz w:val="24"/>
      <w:szCs w:val="24"/>
      <w:lang w:val="en-US"/>
    </w:rPr>
  </w:style>
  <w:style w:type="paragraph" w:customStyle="1" w:styleId="xl108">
    <w:name w:val="xl108"/>
    <w:basedOn w:val="Normal"/>
    <w:rsid w:val="00E305CA"/>
    <w:pPr>
      <w:spacing w:before="100" w:beforeAutospacing="1" w:after="100" w:afterAutospacing="1"/>
      <w:jc w:val="left"/>
    </w:pPr>
    <w:rPr>
      <w:rFonts w:ascii="Arial" w:eastAsia="Times New Roman" w:hAnsi="Arial" w:cs="Arial"/>
      <w:color w:val="000000"/>
      <w:sz w:val="24"/>
      <w:szCs w:val="24"/>
      <w:lang w:val="en-US"/>
    </w:rPr>
  </w:style>
  <w:style w:type="paragraph" w:customStyle="1" w:styleId="xl109">
    <w:name w:val="xl109"/>
    <w:basedOn w:val="Normal"/>
    <w:rsid w:val="00E305CA"/>
    <w:pPr>
      <w:shd w:val="clear" w:color="00FF00" w:fill="00FF00"/>
      <w:spacing w:before="100" w:beforeAutospacing="1" w:after="100" w:afterAutospacing="1"/>
      <w:jc w:val="center"/>
      <w:textAlignment w:val="center"/>
    </w:pPr>
    <w:rPr>
      <w:rFonts w:ascii="Arial" w:eastAsia="Times New Roman" w:hAnsi="Arial" w:cs="Arial"/>
      <w:b/>
      <w:bCs/>
      <w:color w:val="1C4587"/>
      <w:sz w:val="18"/>
      <w:szCs w:val="18"/>
      <w:lang w:val="en-US"/>
    </w:rPr>
  </w:style>
  <w:style w:type="paragraph" w:customStyle="1" w:styleId="xl110">
    <w:name w:val="xl110"/>
    <w:basedOn w:val="Normal"/>
    <w:rsid w:val="00E305CA"/>
    <w:pPr>
      <w:shd w:val="clear" w:color="FFFF00" w:fill="FFFF00"/>
      <w:spacing w:before="100" w:beforeAutospacing="1" w:after="100" w:afterAutospacing="1"/>
      <w:jc w:val="center"/>
      <w:textAlignment w:val="center"/>
    </w:pPr>
    <w:rPr>
      <w:rFonts w:ascii="Arial" w:eastAsia="Times New Roman" w:hAnsi="Arial" w:cs="Arial"/>
      <w:b/>
      <w:bCs/>
      <w:sz w:val="18"/>
      <w:szCs w:val="18"/>
      <w:lang w:val="en-US"/>
    </w:rPr>
  </w:style>
  <w:style w:type="paragraph" w:customStyle="1" w:styleId="xl111">
    <w:name w:val="xl111"/>
    <w:basedOn w:val="Normal"/>
    <w:rsid w:val="00E305CA"/>
    <w:pPr>
      <w:shd w:val="clear" w:color="D9EAD3" w:fill="D9EAD3"/>
      <w:spacing w:before="100" w:beforeAutospacing="1" w:after="100" w:afterAutospacing="1"/>
      <w:jc w:val="center"/>
      <w:textAlignment w:val="center"/>
    </w:pPr>
    <w:rPr>
      <w:rFonts w:ascii="Arial" w:eastAsia="Times New Roman" w:hAnsi="Arial" w:cs="Arial"/>
      <w:b/>
      <w:bCs/>
      <w:i/>
      <w:iCs/>
      <w:color w:val="000000"/>
      <w:sz w:val="18"/>
      <w:szCs w:val="18"/>
      <w:lang w:val="en-US"/>
    </w:rPr>
  </w:style>
  <w:style w:type="paragraph" w:customStyle="1" w:styleId="xl112">
    <w:name w:val="xl112"/>
    <w:basedOn w:val="Normal"/>
    <w:rsid w:val="00E305CA"/>
    <w:pPr>
      <w:shd w:val="clear" w:color="D9EAD3" w:fill="D9EAD3"/>
      <w:spacing w:before="100" w:beforeAutospacing="1" w:after="100" w:afterAutospacing="1"/>
      <w:jc w:val="center"/>
    </w:pPr>
    <w:rPr>
      <w:rFonts w:ascii="Arial" w:eastAsia="Times New Roman" w:hAnsi="Arial" w:cs="Arial"/>
      <w:b/>
      <w:bCs/>
      <w:i/>
      <w:iCs/>
      <w:color w:val="000000"/>
      <w:sz w:val="18"/>
      <w:szCs w:val="18"/>
      <w:lang w:val="en-US"/>
    </w:rPr>
  </w:style>
  <w:style w:type="paragraph" w:customStyle="1" w:styleId="xl113">
    <w:name w:val="xl113"/>
    <w:basedOn w:val="Normal"/>
    <w:rsid w:val="00E305CA"/>
    <w:pPr>
      <w:shd w:val="clear" w:color="D9EAD3" w:fill="D9EAD3"/>
      <w:spacing w:before="100" w:beforeAutospacing="1" w:after="100" w:afterAutospacing="1"/>
      <w:jc w:val="center"/>
    </w:pPr>
    <w:rPr>
      <w:rFonts w:ascii="Arial" w:eastAsia="Times New Roman" w:hAnsi="Arial" w:cs="Arial"/>
      <w:b/>
      <w:bCs/>
      <w:i/>
      <w:iCs/>
      <w:color w:val="000000"/>
      <w:sz w:val="18"/>
      <w:szCs w:val="18"/>
      <w:lang w:val="en-US"/>
    </w:rPr>
  </w:style>
  <w:style w:type="paragraph" w:customStyle="1" w:styleId="xl114">
    <w:name w:val="xl114"/>
    <w:basedOn w:val="Normal"/>
    <w:rsid w:val="00E305CA"/>
    <w:pPr>
      <w:shd w:val="clear" w:color="FFFF00" w:fill="FFFF00"/>
      <w:spacing w:before="100" w:beforeAutospacing="1" w:after="100" w:afterAutospacing="1"/>
      <w:jc w:val="center"/>
    </w:pPr>
    <w:rPr>
      <w:rFonts w:ascii="Arial" w:eastAsia="Times New Roman" w:hAnsi="Arial" w:cs="Arial"/>
      <w:b/>
      <w:bCs/>
      <w:sz w:val="18"/>
      <w:szCs w:val="18"/>
      <w:lang w:val="en-US"/>
    </w:rPr>
  </w:style>
  <w:style w:type="paragraph" w:customStyle="1" w:styleId="xl115">
    <w:name w:val="xl115"/>
    <w:basedOn w:val="Normal"/>
    <w:rsid w:val="00E305CA"/>
    <w:pPr>
      <w:shd w:val="clear" w:color="FFFF00" w:fill="FFFF00"/>
      <w:spacing w:before="100" w:beforeAutospacing="1" w:after="100" w:afterAutospacing="1"/>
      <w:jc w:val="center"/>
    </w:pPr>
    <w:rPr>
      <w:rFonts w:ascii="Arial" w:eastAsia="Times New Roman" w:hAnsi="Arial" w:cs="Arial"/>
      <w:b/>
      <w:bCs/>
      <w:color w:val="000000"/>
      <w:sz w:val="18"/>
      <w:szCs w:val="18"/>
      <w:lang w:val="en-US"/>
    </w:rPr>
  </w:style>
  <w:style w:type="paragraph" w:customStyle="1" w:styleId="xl116">
    <w:name w:val="xl116"/>
    <w:basedOn w:val="Normal"/>
    <w:rsid w:val="00E305CA"/>
    <w:pPr>
      <w:shd w:val="clear" w:color="B6D7A8" w:fill="B6D7A8"/>
      <w:spacing w:before="100" w:beforeAutospacing="1" w:after="100" w:afterAutospacing="1"/>
      <w:jc w:val="center"/>
    </w:pPr>
    <w:rPr>
      <w:rFonts w:ascii="Arial" w:eastAsia="Times New Roman" w:hAnsi="Arial" w:cs="Arial"/>
      <w:b/>
      <w:bCs/>
      <w:i/>
      <w:iCs/>
      <w:color w:val="000000"/>
      <w:sz w:val="18"/>
      <w:szCs w:val="18"/>
      <w:lang w:val="en-US"/>
    </w:rPr>
  </w:style>
  <w:style w:type="paragraph" w:customStyle="1" w:styleId="xl117">
    <w:name w:val="xl117"/>
    <w:basedOn w:val="Normal"/>
    <w:rsid w:val="00E305CA"/>
    <w:pPr>
      <w:shd w:val="clear" w:color="B6D7A8" w:fill="B6D7A8"/>
      <w:spacing w:before="100" w:beforeAutospacing="1" w:after="100" w:afterAutospacing="1"/>
      <w:jc w:val="center"/>
      <w:textAlignment w:val="center"/>
    </w:pPr>
    <w:rPr>
      <w:rFonts w:ascii="Arial" w:eastAsia="Times New Roman" w:hAnsi="Arial" w:cs="Arial"/>
      <w:b/>
      <w:bCs/>
      <w:i/>
      <w:iCs/>
      <w:color w:val="000000"/>
      <w:sz w:val="18"/>
      <w:szCs w:val="18"/>
      <w:lang w:val="en-US"/>
    </w:rPr>
  </w:style>
  <w:style w:type="paragraph" w:customStyle="1" w:styleId="xl118">
    <w:name w:val="xl118"/>
    <w:basedOn w:val="Normal"/>
    <w:rsid w:val="00E305CA"/>
    <w:pPr>
      <w:shd w:val="clear" w:color="FFFF00" w:fill="FFFF00"/>
      <w:spacing w:before="100" w:beforeAutospacing="1" w:after="100" w:afterAutospacing="1"/>
      <w:jc w:val="center"/>
    </w:pPr>
    <w:rPr>
      <w:rFonts w:ascii="Arial" w:eastAsia="Times New Roman" w:hAnsi="Arial" w:cs="Arial"/>
      <w:b/>
      <w:bCs/>
      <w:i/>
      <w:iCs/>
      <w:color w:val="000000"/>
      <w:sz w:val="18"/>
      <w:szCs w:val="18"/>
      <w:lang w:val="en-US"/>
    </w:rPr>
  </w:style>
  <w:style w:type="table" w:customStyle="1" w:styleId="TableGrid4">
    <w:name w:val="Table Grid4"/>
    <w:basedOn w:val="TableNormal"/>
    <w:next w:val="TableGrid"/>
    <w:uiPriority w:val="59"/>
    <w:rsid w:val="00693955"/>
    <w:pPr>
      <w:spacing w:after="120"/>
      <w:jc w:val="both"/>
    </w:pPr>
    <w:rPr>
      <w:rFonts w:ascii="Avenir Next Demi Bold" w:eastAsia="Calibri" w:hAnsi="Avenir Next Demi Bold" w:cs="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693955"/>
  </w:style>
  <w:style w:type="table" w:customStyle="1" w:styleId="TableGrid5">
    <w:name w:val="Table Grid5"/>
    <w:basedOn w:val="TableNormal"/>
    <w:next w:val="TableGrid"/>
    <w:uiPriority w:val="59"/>
    <w:rsid w:val="00693955"/>
    <w:pPr>
      <w:spacing w:after="120"/>
      <w:jc w:val="both"/>
    </w:pPr>
    <w:rPr>
      <w:rFonts w:ascii="Avenir Next Demi Bold" w:eastAsia="Calibri" w:hAnsi="Avenir Next Demi Bold" w:cs="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3">
    <w:name w:val="Table Grid Light3"/>
    <w:basedOn w:val="TableNormal"/>
    <w:next w:val="TableGridLight"/>
    <w:uiPriority w:val="40"/>
    <w:rsid w:val="00693955"/>
    <w:pPr>
      <w:spacing w:after="120"/>
      <w:jc w:val="both"/>
    </w:pPr>
    <w:rPr>
      <w:rFonts w:ascii="Calibri" w:eastAsia="Calibri" w:hAnsi="Calibri" w:cs="Calibri"/>
      <w:lang w:val="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ivittatable8">
    <w:name w:val="Civitta table8"/>
    <w:basedOn w:val="TableNormal"/>
    <w:uiPriority w:val="99"/>
    <w:rsid w:val="00693955"/>
    <w:pPr>
      <w:spacing w:before="60" w:after="60"/>
      <w:jc w:val="both"/>
    </w:pPr>
    <w:rPr>
      <w:rFonts w:ascii="Calibri" w:eastAsia="Calibri" w:hAnsi="Calibri" w:cs="Calibri"/>
      <w:sz w:val="20"/>
      <w:lang w:val="en-GB"/>
    </w:rPr>
    <w:tblPr>
      <w:tblStyleRowBandSize w:val="1"/>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pPr>
        <w:wordWrap/>
        <w:spacing w:beforeLines="0" w:before="60" w:beforeAutospacing="0" w:afterLines="0" w:after="60" w:afterAutospacing="0"/>
        <w:jc w:val="left"/>
      </w:pPr>
      <w:rPr>
        <w:rFonts w:ascii="Calibri" w:hAnsi="Calibri"/>
        <w:caps/>
        <w:smallCaps w:val="0"/>
        <w:color w:val="FFFFFF"/>
        <w:sz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TableTheme2">
    <w:name w:val="Table Theme2"/>
    <w:basedOn w:val="TableNormal"/>
    <w:next w:val="TableTheme"/>
    <w:uiPriority w:val="99"/>
    <w:semiHidden/>
    <w:unhideWhenUsed/>
    <w:rsid w:val="00693955"/>
    <w:pPr>
      <w:spacing w:before="120" w:after="120"/>
      <w:jc w:val="both"/>
    </w:pPr>
    <w:rPr>
      <w:rFonts w:ascii="Calibri" w:eastAsia="Calibri" w:hAnsi="Calibri" w:cs="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3">
    <w:name w:val="Grid Table 1 Light3"/>
    <w:basedOn w:val="TableNormal"/>
    <w:next w:val="GridTable1Light"/>
    <w:uiPriority w:val="46"/>
    <w:rsid w:val="00693955"/>
    <w:pPr>
      <w:spacing w:after="120"/>
      <w:jc w:val="both"/>
    </w:pPr>
    <w:rPr>
      <w:rFonts w:ascii="Calibri" w:eastAsia="Calibri" w:hAnsi="Calibri" w:cs="Calibri"/>
      <w:lang w:val="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PlainTable22">
    <w:name w:val="Plain Table 22"/>
    <w:basedOn w:val="TableNormal"/>
    <w:next w:val="PlainTable2"/>
    <w:uiPriority w:val="42"/>
    <w:rsid w:val="00693955"/>
    <w:pPr>
      <w:spacing w:after="120"/>
      <w:jc w:val="both"/>
    </w:pPr>
    <w:rPr>
      <w:rFonts w:ascii="Calibri" w:eastAsia="Calibri" w:hAnsi="Calibri" w:cs="Calibri"/>
      <w:lang w:val="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CivittaSingleCell2">
    <w:name w:val="Civitta Single Cell2"/>
    <w:basedOn w:val="TableNormal"/>
    <w:uiPriority w:val="99"/>
    <w:rsid w:val="00693955"/>
    <w:pPr>
      <w:spacing w:before="60" w:after="60"/>
      <w:jc w:val="both"/>
    </w:pPr>
    <w:rPr>
      <w:rFonts w:ascii="Calibri" w:eastAsia="Calibri" w:hAnsi="Calibri" w:cs="Calibri"/>
      <w:lang w:val="en-GB"/>
    </w:rPr>
    <w:tblPr>
      <w:tblBorders>
        <w:top w:val="single" w:sz="4" w:space="0" w:color="134753"/>
        <w:bottom w:val="single" w:sz="4" w:space="0" w:color="134753"/>
      </w:tblBorders>
    </w:tblPr>
  </w:style>
  <w:style w:type="table" w:customStyle="1" w:styleId="PlainTable13">
    <w:name w:val="Plain Table 13"/>
    <w:basedOn w:val="TableNormal"/>
    <w:next w:val="PlainTable1"/>
    <w:uiPriority w:val="41"/>
    <w:rsid w:val="00693955"/>
    <w:pPr>
      <w:spacing w:after="120"/>
      <w:jc w:val="both"/>
    </w:pPr>
    <w:rPr>
      <w:rFonts w:ascii="Calibri" w:eastAsia="Calibri" w:hAnsi="Calibri" w:cs="Calibri"/>
      <w:lang w:val="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xl119">
    <w:name w:val="xl119"/>
    <w:basedOn w:val="Normal"/>
    <w:rsid w:val="00693955"/>
    <w:pPr>
      <w:spacing w:before="100" w:beforeAutospacing="1" w:after="100" w:afterAutospacing="1"/>
      <w:jc w:val="left"/>
      <w:textAlignment w:val="top"/>
    </w:pPr>
    <w:rPr>
      <w:rFonts w:ascii="Arial" w:eastAsia="Times New Roman" w:hAnsi="Arial" w:cs="Arial"/>
      <w:sz w:val="20"/>
      <w:szCs w:val="20"/>
      <w:lang w:val="en-US"/>
    </w:rPr>
  </w:style>
  <w:style w:type="paragraph" w:customStyle="1" w:styleId="xl120">
    <w:name w:val="xl120"/>
    <w:basedOn w:val="Normal"/>
    <w:rsid w:val="00693955"/>
    <w:pPr>
      <w:shd w:val="clear" w:color="FFFFFF" w:fill="FFFFFF"/>
      <w:spacing w:before="100" w:beforeAutospacing="1" w:after="100" w:afterAutospacing="1"/>
      <w:jc w:val="left"/>
    </w:pPr>
    <w:rPr>
      <w:rFonts w:ascii="Arial" w:eastAsia="Times New Roman" w:hAnsi="Arial" w:cs="Arial"/>
      <w:sz w:val="20"/>
      <w:szCs w:val="20"/>
      <w:lang w:val="en-US"/>
    </w:rPr>
  </w:style>
  <w:style w:type="paragraph" w:customStyle="1" w:styleId="xl121">
    <w:name w:val="xl121"/>
    <w:basedOn w:val="Normal"/>
    <w:rsid w:val="00693955"/>
    <w:pPr>
      <w:shd w:val="clear" w:color="FFFFFF" w:fill="FFFFFF"/>
      <w:spacing w:before="100" w:beforeAutospacing="1" w:after="100" w:afterAutospacing="1"/>
      <w:jc w:val="left"/>
    </w:pPr>
    <w:rPr>
      <w:rFonts w:ascii="Arial" w:eastAsia="Times New Roman" w:hAnsi="Arial" w:cs="Arial"/>
      <w:sz w:val="20"/>
      <w:szCs w:val="20"/>
      <w:lang w:val="en-US"/>
    </w:rPr>
  </w:style>
  <w:style w:type="paragraph" w:customStyle="1" w:styleId="xl122">
    <w:name w:val="xl122"/>
    <w:basedOn w:val="Normal"/>
    <w:rsid w:val="00693955"/>
    <w:pPr>
      <w:shd w:val="clear" w:color="FFFFFF" w:fill="FFFFFF"/>
      <w:spacing w:before="100" w:beforeAutospacing="1" w:after="100" w:afterAutospacing="1"/>
      <w:jc w:val="left"/>
    </w:pPr>
    <w:rPr>
      <w:rFonts w:ascii="Arial" w:eastAsia="Times New Roman" w:hAnsi="Arial" w:cs="Arial"/>
      <w:sz w:val="20"/>
      <w:szCs w:val="20"/>
      <w:lang w:val="en-US"/>
    </w:rPr>
  </w:style>
  <w:style w:type="paragraph" w:customStyle="1" w:styleId="xl123">
    <w:name w:val="xl123"/>
    <w:basedOn w:val="Normal"/>
    <w:rsid w:val="00693955"/>
    <w:pPr>
      <w:shd w:val="clear" w:color="FFFFFF" w:fill="FFFFFF"/>
      <w:spacing w:before="100" w:beforeAutospacing="1" w:after="100" w:afterAutospacing="1"/>
      <w:jc w:val="left"/>
    </w:pPr>
    <w:rPr>
      <w:rFonts w:ascii="Arial" w:eastAsia="Times New Roman" w:hAnsi="Arial" w:cs="Arial"/>
      <w:sz w:val="20"/>
      <w:szCs w:val="20"/>
      <w:lang w:val="en-US"/>
    </w:rPr>
  </w:style>
  <w:style w:type="paragraph" w:customStyle="1" w:styleId="xl124">
    <w:name w:val="xl124"/>
    <w:basedOn w:val="Normal"/>
    <w:rsid w:val="00693955"/>
    <w:pPr>
      <w:shd w:val="clear" w:color="FFFFFF" w:fill="FFFFFF"/>
      <w:spacing w:before="100" w:beforeAutospacing="1" w:after="100" w:afterAutospacing="1"/>
      <w:jc w:val="left"/>
    </w:pPr>
    <w:rPr>
      <w:rFonts w:ascii="Arial" w:eastAsia="Times New Roman" w:hAnsi="Arial" w:cs="Arial"/>
      <w:sz w:val="20"/>
      <w:szCs w:val="20"/>
      <w:lang w:val="en-US"/>
    </w:rPr>
  </w:style>
  <w:style w:type="paragraph" w:customStyle="1" w:styleId="xl125">
    <w:name w:val="xl125"/>
    <w:basedOn w:val="Normal"/>
    <w:rsid w:val="00693955"/>
    <w:pPr>
      <w:shd w:val="clear" w:color="FFFFFF" w:fill="FFFFFF"/>
      <w:spacing w:before="100" w:beforeAutospacing="1" w:after="100" w:afterAutospacing="1"/>
      <w:jc w:val="left"/>
    </w:pPr>
    <w:rPr>
      <w:rFonts w:ascii="Arial" w:eastAsia="Times New Roman" w:hAnsi="Arial" w:cs="Arial"/>
      <w:sz w:val="20"/>
      <w:szCs w:val="20"/>
      <w:lang w:val="en-US"/>
    </w:rPr>
  </w:style>
  <w:style w:type="paragraph" w:customStyle="1" w:styleId="xl126">
    <w:name w:val="xl126"/>
    <w:basedOn w:val="Normal"/>
    <w:rsid w:val="00693955"/>
    <w:pPr>
      <w:spacing w:before="100" w:beforeAutospacing="1" w:after="100" w:afterAutospacing="1"/>
      <w:jc w:val="left"/>
      <w:textAlignment w:val="center"/>
    </w:pPr>
    <w:rPr>
      <w:rFonts w:ascii="Arial" w:eastAsia="Times New Roman" w:hAnsi="Arial" w:cs="Arial"/>
      <w:sz w:val="20"/>
      <w:szCs w:val="20"/>
      <w:lang w:val="en-US"/>
    </w:rPr>
  </w:style>
  <w:style w:type="paragraph" w:customStyle="1" w:styleId="xl127">
    <w:name w:val="xl127"/>
    <w:basedOn w:val="Normal"/>
    <w:rsid w:val="00693955"/>
    <w:pPr>
      <w:shd w:val="clear" w:color="B6D7A8" w:fill="B6D7A8"/>
      <w:spacing w:before="100" w:beforeAutospacing="1" w:after="100" w:afterAutospacing="1"/>
      <w:jc w:val="center"/>
    </w:pPr>
    <w:rPr>
      <w:rFonts w:ascii="Arial" w:eastAsia="Times New Roman" w:hAnsi="Arial" w:cs="Arial"/>
      <w:b/>
      <w:bCs/>
      <w:i/>
      <w:iCs/>
      <w:sz w:val="18"/>
      <w:szCs w:val="18"/>
      <w:lang w:val="en-US"/>
    </w:rPr>
  </w:style>
  <w:style w:type="paragraph" w:customStyle="1" w:styleId="xl128">
    <w:name w:val="xl128"/>
    <w:basedOn w:val="Normal"/>
    <w:rsid w:val="00693955"/>
    <w:pPr>
      <w:shd w:val="clear" w:color="00FF00" w:fill="00FF00"/>
      <w:spacing w:before="100" w:beforeAutospacing="1" w:after="100" w:afterAutospacing="1"/>
      <w:jc w:val="center"/>
    </w:pPr>
    <w:rPr>
      <w:rFonts w:ascii="Arial" w:eastAsia="Times New Roman" w:hAnsi="Arial" w:cs="Arial"/>
      <w:b/>
      <w:bCs/>
      <w:color w:val="1C4587"/>
      <w:sz w:val="18"/>
      <w:szCs w:val="18"/>
      <w:lang w:val="en-US"/>
    </w:rPr>
  </w:style>
  <w:style w:type="paragraph" w:customStyle="1" w:styleId="xl129">
    <w:name w:val="xl129"/>
    <w:basedOn w:val="Normal"/>
    <w:rsid w:val="00693955"/>
    <w:pPr>
      <w:shd w:val="clear" w:color="FFFF00" w:fill="FFFF00"/>
      <w:spacing w:before="100" w:beforeAutospacing="1" w:after="100" w:afterAutospacing="1"/>
      <w:jc w:val="center"/>
    </w:pPr>
    <w:rPr>
      <w:rFonts w:ascii="Arial" w:eastAsia="Times New Roman" w:hAnsi="Arial" w:cs="Arial"/>
      <w:b/>
      <w:bCs/>
      <w:sz w:val="18"/>
      <w:szCs w:val="18"/>
      <w:lang w:val="en-US"/>
    </w:rPr>
  </w:style>
  <w:style w:type="numbering" w:customStyle="1" w:styleId="NoList3">
    <w:name w:val="No List3"/>
    <w:next w:val="NoList"/>
    <w:uiPriority w:val="99"/>
    <w:semiHidden/>
    <w:unhideWhenUsed/>
    <w:rsid w:val="0045521E"/>
  </w:style>
  <w:style w:type="table" w:customStyle="1" w:styleId="TableGrid6">
    <w:name w:val="Table Grid6"/>
    <w:basedOn w:val="TableNormal"/>
    <w:next w:val="TableGrid"/>
    <w:uiPriority w:val="59"/>
    <w:rsid w:val="0045521E"/>
    <w:pPr>
      <w:spacing w:after="120"/>
      <w:jc w:val="both"/>
    </w:pPr>
    <w:rPr>
      <w:rFonts w:ascii="Avenir Next Demi Bold" w:eastAsia="Calibri" w:hAnsi="Avenir Next Demi Bold" w:cs="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4">
    <w:name w:val="Table Grid Light4"/>
    <w:basedOn w:val="TableNormal"/>
    <w:next w:val="TableGridLight"/>
    <w:uiPriority w:val="40"/>
    <w:rsid w:val="0045521E"/>
    <w:pPr>
      <w:spacing w:after="120"/>
      <w:jc w:val="both"/>
    </w:pPr>
    <w:rPr>
      <w:rFonts w:ascii="Calibri" w:eastAsia="Calibri" w:hAnsi="Calibri" w:cs="Calibri"/>
      <w:lang w:val="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ivittatable10">
    <w:name w:val="Civitta table10"/>
    <w:basedOn w:val="TableNormal"/>
    <w:uiPriority w:val="99"/>
    <w:rsid w:val="0045521E"/>
    <w:pPr>
      <w:spacing w:before="60" w:after="60"/>
      <w:jc w:val="both"/>
    </w:pPr>
    <w:rPr>
      <w:rFonts w:ascii="Calibri" w:eastAsia="Calibri" w:hAnsi="Calibri" w:cs="Calibri"/>
      <w:sz w:val="20"/>
      <w:lang w:val="en-GB"/>
    </w:rPr>
    <w:tblPr>
      <w:tblStyleRowBandSize w:val="1"/>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pPr>
        <w:wordWrap/>
        <w:spacing w:beforeLines="0" w:before="60" w:beforeAutospacing="0" w:afterLines="0" w:after="60" w:afterAutospacing="0"/>
        <w:jc w:val="left"/>
      </w:pPr>
      <w:rPr>
        <w:rFonts w:ascii="Calibri" w:hAnsi="Calibri"/>
        <w:caps/>
        <w:smallCaps w:val="0"/>
        <w:color w:val="FFFFFF"/>
        <w:sz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TableTheme3">
    <w:name w:val="Table Theme3"/>
    <w:basedOn w:val="TableNormal"/>
    <w:next w:val="TableTheme"/>
    <w:uiPriority w:val="99"/>
    <w:semiHidden/>
    <w:unhideWhenUsed/>
    <w:rsid w:val="0045521E"/>
    <w:pPr>
      <w:spacing w:before="120" w:after="120"/>
      <w:jc w:val="both"/>
    </w:pPr>
    <w:rPr>
      <w:rFonts w:ascii="Calibri" w:eastAsia="Calibri" w:hAnsi="Calibri" w:cs="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4">
    <w:name w:val="Grid Table 1 Light4"/>
    <w:basedOn w:val="TableNormal"/>
    <w:next w:val="GridTable1Light"/>
    <w:uiPriority w:val="46"/>
    <w:rsid w:val="0045521E"/>
    <w:pPr>
      <w:spacing w:after="120"/>
      <w:jc w:val="both"/>
    </w:pPr>
    <w:rPr>
      <w:rFonts w:ascii="Calibri" w:eastAsia="Calibri" w:hAnsi="Calibri" w:cs="Calibri"/>
      <w:lang w:val="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PlainTable23">
    <w:name w:val="Plain Table 23"/>
    <w:basedOn w:val="TableNormal"/>
    <w:next w:val="PlainTable2"/>
    <w:uiPriority w:val="42"/>
    <w:rsid w:val="0045521E"/>
    <w:pPr>
      <w:spacing w:after="120"/>
      <w:jc w:val="both"/>
    </w:pPr>
    <w:rPr>
      <w:rFonts w:ascii="Calibri" w:eastAsia="Calibri" w:hAnsi="Calibri" w:cs="Calibri"/>
      <w:lang w:val="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CivittaSingleCell3">
    <w:name w:val="Civitta Single Cell3"/>
    <w:basedOn w:val="TableNormal"/>
    <w:uiPriority w:val="99"/>
    <w:rsid w:val="0045521E"/>
    <w:pPr>
      <w:spacing w:before="60" w:after="60"/>
      <w:jc w:val="both"/>
    </w:pPr>
    <w:rPr>
      <w:rFonts w:ascii="Calibri" w:eastAsia="Calibri" w:hAnsi="Calibri" w:cs="Calibri"/>
      <w:lang w:val="en-GB"/>
    </w:rPr>
    <w:tblPr>
      <w:tblBorders>
        <w:top w:val="single" w:sz="4" w:space="0" w:color="134753"/>
        <w:bottom w:val="single" w:sz="4" w:space="0" w:color="134753"/>
      </w:tblBorders>
    </w:tblPr>
  </w:style>
  <w:style w:type="table" w:customStyle="1" w:styleId="PlainTable14">
    <w:name w:val="Plain Table 14"/>
    <w:basedOn w:val="TableNormal"/>
    <w:next w:val="PlainTable1"/>
    <w:uiPriority w:val="41"/>
    <w:rsid w:val="0045521E"/>
    <w:pPr>
      <w:spacing w:after="120"/>
      <w:jc w:val="both"/>
    </w:pPr>
    <w:rPr>
      <w:rFonts w:ascii="Calibri" w:eastAsia="Calibri" w:hAnsi="Calibri" w:cs="Calibri"/>
      <w:lang w:val="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Heading11">
    <w:name w:val="Heading 11"/>
    <w:next w:val="Normal"/>
    <w:link w:val="Heading1Char"/>
    <w:uiPriority w:val="9"/>
    <w:qFormat/>
    <w:rsid w:val="001A54E6"/>
    <w:pPr>
      <w:keepNext/>
      <w:spacing w:after="600"/>
      <w:ind w:left="357" w:hanging="357"/>
      <w:jc w:val="both"/>
      <w:outlineLvl w:val="0"/>
    </w:pPr>
    <w:rPr>
      <w:rFonts w:eastAsiaTheme="minorHAnsi" w:cstheme="minorBidi"/>
      <w:b/>
      <w:bCs/>
      <w:caps/>
      <w:color w:val="134753"/>
      <w:sz w:val="40"/>
      <w:szCs w:val="40"/>
      <w:lang w:val="en-US"/>
    </w:rPr>
  </w:style>
  <w:style w:type="paragraph" w:customStyle="1" w:styleId="PLS291">
    <w:name w:val="PLS 291"/>
    <w:basedOn w:val="Heading1"/>
    <w:next w:val="Normal"/>
    <w:link w:val="Heading2Char"/>
    <w:uiPriority w:val="9"/>
    <w:qFormat/>
    <w:rsid w:val="001A54E6"/>
    <w:pPr>
      <w:numPr>
        <w:numId w:val="0"/>
      </w:numPr>
      <w:spacing w:before="360" w:after="240"/>
      <w:ind w:left="357" w:hanging="357"/>
      <w:outlineLvl w:val="1"/>
    </w:pPr>
    <w:rPr>
      <w:rFonts w:eastAsiaTheme="minorHAnsi" w:cstheme="minorBidi"/>
      <w:b w:val="0"/>
      <w:bCs w:val="0"/>
      <w:color w:val="3CA1BC"/>
      <w:sz w:val="32"/>
      <w:szCs w:val="32"/>
      <w:lang w:val="en-US"/>
    </w:rPr>
  </w:style>
  <w:style w:type="paragraph" w:customStyle="1" w:styleId="Heading31">
    <w:name w:val="Heading 31"/>
    <w:basedOn w:val="Heading2"/>
    <w:next w:val="Normal"/>
    <w:uiPriority w:val="9"/>
    <w:qFormat/>
    <w:rsid w:val="001A54E6"/>
    <w:pPr>
      <w:numPr>
        <w:ilvl w:val="0"/>
        <w:numId w:val="0"/>
      </w:numPr>
      <w:tabs>
        <w:tab w:val="num" w:pos="360"/>
      </w:tabs>
      <w:spacing w:before="180" w:after="180"/>
      <w:outlineLvl w:val="2"/>
    </w:pPr>
    <w:rPr>
      <w:rFonts w:ascii="Calibri" w:hAnsi="Calibri"/>
      <w:bCs/>
      <w:color w:val="3CA1BC"/>
      <w:sz w:val="28"/>
    </w:rPr>
  </w:style>
  <w:style w:type="paragraph" w:customStyle="1" w:styleId="Heading41">
    <w:name w:val="Heading 41"/>
    <w:basedOn w:val="ListParagraph"/>
    <w:next w:val="Normal"/>
    <w:uiPriority w:val="9"/>
    <w:unhideWhenUsed/>
    <w:qFormat/>
    <w:rsid w:val="001A54E6"/>
    <w:pPr>
      <w:keepNext/>
      <w:keepLines/>
      <w:spacing w:before="40" w:after="0"/>
      <w:outlineLvl w:val="3"/>
    </w:pPr>
    <w:rPr>
      <w:rFonts w:eastAsia="Times New Roman" w:cs="Times New Roman"/>
      <w:iCs/>
      <w:color w:val="3CA1BC"/>
      <w:sz w:val="24"/>
      <w:szCs w:val="24"/>
    </w:rPr>
  </w:style>
  <w:style w:type="paragraph" w:customStyle="1" w:styleId="Heading51">
    <w:name w:val="Heading 51"/>
    <w:basedOn w:val="Normal"/>
    <w:next w:val="Normal"/>
    <w:uiPriority w:val="9"/>
    <w:unhideWhenUsed/>
    <w:qFormat/>
    <w:rsid w:val="001A54E6"/>
    <w:pPr>
      <w:keepNext/>
      <w:keepLines/>
      <w:spacing w:before="40" w:after="0"/>
      <w:outlineLvl w:val="4"/>
    </w:pPr>
    <w:rPr>
      <w:rFonts w:eastAsia="Times New Roman" w:cs="Times New Roman"/>
      <w:b/>
      <w:color w:val="A5DEE9"/>
      <w:lang w:val="lt-LT"/>
    </w:rPr>
  </w:style>
  <w:style w:type="paragraph" w:customStyle="1" w:styleId="Heading61">
    <w:name w:val="Heading 61"/>
    <w:basedOn w:val="Normal"/>
    <w:next w:val="Normal"/>
    <w:uiPriority w:val="9"/>
    <w:unhideWhenUsed/>
    <w:qFormat/>
    <w:rsid w:val="001A54E6"/>
    <w:pPr>
      <w:keepNext/>
      <w:keepLines/>
      <w:spacing w:before="40" w:after="0"/>
      <w:outlineLvl w:val="5"/>
    </w:pPr>
    <w:rPr>
      <w:rFonts w:eastAsia="Times New Roman" w:cs="Times New Roman"/>
      <w:color w:val="3F3F3F"/>
      <w:lang w:val="en-US" w:eastAsia="ja-JP"/>
    </w:rPr>
  </w:style>
  <w:style w:type="paragraph" w:customStyle="1" w:styleId="Heading71">
    <w:name w:val="Heading 71"/>
    <w:basedOn w:val="Normal"/>
    <w:next w:val="Normal"/>
    <w:semiHidden/>
    <w:unhideWhenUsed/>
    <w:rsid w:val="001A54E6"/>
    <w:pPr>
      <w:keepNext/>
      <w:keepLines/>
      <w:spacing w:before="40" w:after="0"/>
      <w:outlineLvl w:val="6"/>
    </w:pPr>
    <w:rPr>
      <w:rFonts w:eastAsia="Times New Roman" w:cs="Times New Roman"/>
      <w:i/>
      <w:iCs/>
      <w:color w:val="3F3F3F"/>
      <w:lang w:val="en-US" w:eastAsia="ja-JP"/>
    </w:rPr>
  </w:style>
  <w:style w:type="character" w:customStyle="1" w:styleId="Heading1Char">
    <w:name w:val="Heading 1 Char"/>
    <w:basedOn w:val="DefaultParagraphFont"/>
    <w:link w:val="Heading11"/>
    <w:uiPriority w:val="9"/>
    <w:rsid w:val="001A54E6"/>
    <w:rPr>
      <w:rFonts w:eastAsiaTheme="minorHAnsi" w:cstheme="minorBidi"/>
      <w:b/>
      <w:bCs/>
      <w:caps/>
      <w:color w:val="134753"/>
      <w:sz w:val="40"/>
      <w:szCs w:val="40"/>
      <w:lang w:val="en-US"/>
    </w:rPr>
  </w:style>
  <w:style w:type="character" w:customStyle="1" w:styleId="Heading2Char">
    <w:name w:val="Heading 2 Char"/>
    <w:aliases w:val="Heading 2 Char1 Char,Heading 2 Char Char Char,H2 Char,heading 2 Char,Heading 2 Hidden Char,HD2 Char,heading2 Char,palacs csunyan beszel Char,Attribute Heading 2 Char,Alfejezet Char,PLS 2 Char,PLS 21 Char,PLS 22 Char,PLS 23 Char,num Char"/>
    <w:basedOn w:val="DefaultParagraphFont"/>
    <w:link w:val="PLS291"/>
    <w:uiPriority w:val="9"/>
    <w:rsid w:val="001A54E6"/>
    <w:rPr>
      <w:rFonts w:eastAsiaTheme="minorHAnsi" w:cstheme="minorBidi"/>
      <w:caps/>
      <w:color w:val="3CA1BC"/>
      <w:sz w:val="32"/>
      <w:szCs w:val="32"/>
      <w:lang w:val="en-US"/>
    </w:rPr>
  </w:style>
  <w:style w:type="paragraph" w:customStyle="1" w:styleId="Bullets1">
    <w:name w:val="Bullets1"/>
    <w:basedOn w:val="Normal"/>
    <w:next w:val="ListParagraph"/>
    <w:link w:val="ListParagraphChar"/>
    <w:uiPriority w:val="34"/>
    <w:qFormat/>
    <w:rsid w:val="001A54E6"/>
    <w:pPr>
      <w:ind w:left="720"/>
    </w:pPr>
    <w:rPr>
      <w:color w:val="3CA1BC"/>
    </w:rPr>
  </w:style>
  <w:style w:type="character" w:customStyle="1" w:styleId="ListParagraphChar">
    <w:name w:val="List Paragraph Char"/>
    <w:aliases w:val="ERP-List Paragraph Char,List Paragraph11 Char,Bullet EY Char,List Paragraph1 Char,Akapit z listą BS Char,Outlines a.b.c. Char,List_Paragraph Char,Multilevel para_II Char,Akapit z lista BS Char,body 2 Char,References Char,lp1 Char"/>
    <w:basedOn w:val="DefaultParagraphFont"/>
    <w:link w:val="Bullets1"/>
    <w:uiPriority w:val="34"/>
    <w:qFormat/>
    <w:locked/>
    <w:rsid w:val="001A54E6"/>
    <w:rPr>
      <w:color w:val="3CA1BC"/>
      <w:lang w:val="ro-RO"/>
    </w:rPr>
  </w:style>
  <w:style w:type="paragraph" w:customStyle="1" w:styleId="Header1">
    <w:name w:val="Header1"/>
    <w:basedOn w:val="Normal"/>
    <w:next w:val="Header"/>
    <w:link w:val="HeaderChar"/>
    <w:uiPriority w:val="99"/>
    <w:rsid w:val="001A54E6"/>
    <w:pPr>
      <w:tabs>
        <w:tab w:val="center" w:pos="4680"/>
        <w:tab w:val="right" w:pos="9360"/>
      </w:tabs>
      <w:spacing w:after="0"/>
    </w:pPr>
    <w:rPr>
      <w:rFonts w:eastAsiaTheme="minorHAnsi" w:cstheme="minorBidi"/>
    </w:rPr>
  </w:style>
  <w:style w:type="character" w:customStyle="1" w:styleId="HeaderChar">
    <w:name w:val="Header Char"/>
    <w:basedOn w:val="DefaultParagraphFont"/>
    <w:link w:val="Header1"/>
    <w:uiPriority w:val="99"/>
    <w:qFormat/>
    <w:rsid w:val="001A54E6"/>
    <w:rPr>
      <w:rFonts w:eastAsiaTheme="minorHAnsi" w:cstheme="minorBidi"/>
      <w:lang w:val="ro-RO"/>
    </w:rPr>
  </w:style>
  <w:style w:type="paragraph" w:customStyle="1" w:styleId="Footer1">
    <w:name w:val="Footer1"/>
    <w:basedOn w:val="Normal"/>
    <w:next w:val="Footer"/>
    <w:link w:val="FooterChar"/>
    <w:uiPriority w:val="99"/>
    <w:rsid w:val="001A54E6"/>
    <w:pPr>
      <w:tabs>
        <w:tab w:val="center" w:pos="4680"/>
        <w:tab w:val="right" w:pos="9360"/>
      </w:tabs>
      <w:spacing w:after="0"/>
    </w:pPr>
    <w:rPr>
      <w:rFonts w:eastAsiaTheme="minorHAnsi" w:cstheme="minorBidi"/>
    </w:rPr>
  </w:style>
  <w:style w:type="character" w:customStyle="1" w:styleId="FooterChar">
    <w:name w:val="Footer Char"/>
    <w:basedOn w:val="DefaultParagraphFont"/>
    <w:link w:val="Footer1"/>
    <w:uiPriority w:val="99"/>
    <w:qFormat/>
    <w:rsid w:val="001A54E6"/>
    <w:rPr>
      <w:rFonts w:eastAsiaTheme="minorHAnsi" w:cstheme="minorBidi"/>
      <w:lang w:val="ro-RO"/>
    </w:rPr>
  </w:style>
  <w:style w:type="paragraph" w:customStyle="1" w:styleId="Footnot1">
    <w:name w:val="Footnot1"/>
    <w:basedOn w:val="Normal"/>
    <w:next w:val="FootnoteText"/>
    <w:link w:val="FootnoteTextChar"/>
    <w:uiPriority w:val="99"/>
    <w:qFormat/>
    <w:rsid w:val="001A54E6"/>
    <w:pPr>
      <w:spacing w:after="0"/>
    </w:pPr>
    <w:rPr>
      <w:rFonts w:eastAsiaTheme="minorHAnsi" w:cstheme="minorBidi"/>
      <w:sz w:val="18"/>
      <w:szCs w:val="20"/>
    </w:rPr>
  </w:style>
  <w:style w:type="character" w:customStyle="1" w:styleId="FootnoteTextChar">
    <w:name w:val="Footnote Text Char"/>
    <w:aliases w:val="Podrozdział Char,Footnote Text Char Char Char,Fußnote Char,Fußnotentextf Char,single space Char,footnote text Char,FOOTNOTES Char,fn Char,stile 1 Char,Footnote Char,Footnote1 Char,Footnote2 Char,Footnote3 Char,Footnote4 Char,ft Char"/>
    <w:basedOn w:val="DefaultParagraphFont"/>
    <w:link w:val="Footnot1"/>
    <w:uiPriority w:val="99"/>
    <w:qFormat/>
    <w:rsid w:val="001A54E6"/>
    <w:rPr>
      <w:rFonts w:eastAsiaTheme="minorHAnsi" w:cstheme="minorBidi"/>
      <w:sz w:val="18"/>
      <w:szCs w:val="20"/>
      <w:lang w:val="ro-RO"/>
    </w:rPr>
  </w:style>
  <w:style w:type="paragraph" w:customStyle="1" w:styleId="Tabletitle1">
    <w:name w:val="Table title1"/>
    <w:basedOn w:val="Normal"/>
    <w:next w:val="Normal"/>
    <w:link w:val="CaptionChar"/>
    <w:uiPriority w:val="35"/>
    <w:qFormat/>
    <w:rsid w:val="001A54E6"/>
    <w:pPr>
      <w:keepNext/>
      <w:spacing w:before="240"/>
    </w:pPr>
    <w:rPr>
      <w:b/>
      <w:bCs/>
      <w:caps/>
      <w:color w:val="134753"/>
      <w:szCs w:val="20"/>
    </w:rPr>
  </w:style>
  <w:style w:type="paragraph" w:customStyle="1" w:styleId="TOC11">
    <w:name w:val="TOC 11"/>
    <w:basedOn w:val="Normal"/>
    <w:next w:val="Normal"/>
    <w:autoRedefine/>
    <w:uiPriority w:val="39"/>
    <w:qFormat/>
    <w:rsid w:val="001A54E6"/>
    <w:pPr>
      <w:tabs>
        <w:tab w:val="left" w:pos="390"/>
        <w:tab w:val="right" w:leader="dot" w:pos="9435"/>
      </w:tabs>
      <w:jc w:val="left"/>
    </w:pPr>
    <w:rPr>
      <w:b/>
      <w:bCs/>
      <w:smallCaps/>
      <w:noProof/>
      <w:color w:val="3CA1BC"/>
    </w:rPr>
  </w:style>
  <w:style w:type="paragraph" w:customStyle="1" w:styleId="TOC21">
    <w:name w:val="TOC 21"/>
    <w:basedOn w:val="Normal"/>
    <w:next w:val="Normal"/>
    <w:autoRedefine/>
    <w:uiPriority w:val="39"/>
    <w:qFormat/>
    <w:rsid w:val="001A54E6"/>
    <w:pPr>
      <w:jc w:val="left"/>
    </w:pPr>
  </w:style>
  <w:style w:type="paragraph" w:customStyle="1" w:styleId="CommentText1">
    <w:name w:val="Comment Text1"/>
    <w:basedOn w:val="Normal"/>
    <w:next w:val="CommentText"/>
    <w:link w:val="CommentTextChar"/>
    <w:uiPriority w:val="99"/>
    <w:semiHidden/>
    <w:rsid w:val="001A54E6"/>
    <w:rPr>
      <w:rFonts w:eastAsiaTheme="minorHAnsi" w:cstheme="minorBidi"/>
      <w:sz w:val="20"/>
      <w:szCs w:val="20"/>
    </w:rPr>
  </w:style>
  <w:style w:type="character" w:customStyle="1" w:styleId="CommentTextChar">
    <w:name w:val="Comment Text Char"/>
    <w:basedOn w:val="DefaultParagraphFont"/>
    <w:link w:val="CommentText1"/>
    <w:uiPriority w:val="99"/>
    <w:semiHidden/>
    <w:rsid w:val="001A54E6"/>
    <w:rPr>
      <w:rFonts w:eastAsiaTheme="minorHAnsi" w:cstheme="minorBidi"/>
      <w:sz w:val="20"/>
      <w:szCs w:val="20"/>
      <w:lang w:val="ro-RO"/>
    </w:rPr>
  </w:style>
  <w:style w:type="paragraph" w:customStyle="1" w:styleId="CommentSubject1">
    <w:name w:val="Comment Subject1"/>
    <w:basedOn w:val="CommentText"/>
    <w:next w:val="CommentText"/>
    <w:uiPriority w:val="99"/>
    <w:semiHidden/>
    <w:rsid w:val="001A54E6"/>
    <w:rPr>
      <w:b/>
      <w:bCs/>
    </w:rPr>
  </w:style>
  <w:style w:type="paragraph" w:customStyle="1" w:styleId="TOC31">
    <w:name w:val="TOC 31"/>
    <w:basedOn w:val="Normal"/>
    <w:next w:val="Normal"/>
    <w:autoRedefine/>
    <w:uiPriority w:val="39"/>
    <w:qFormat/>
    <w:rsid w:val="001A54E6"/>
    <w:pPr>
      <w:ind w:left="144"/>
      <w:jc w:val="left"/>
    </w:pPr>
  </w:style>
  <w:style w:type="paragraph" w:customStyle="1" w:styleId="TableofContents1">
    <w:name w:val="Table of Contents1"/>
    <w:basedOn w:val="Heading1"/>
    <w:next w:val="Normal"/>
    <w:uiPriority w:val="39"/>
    <w:qFormat/>
    <w:rsid w:val="001A54E6"/>
    <w:pPr>
      <w:keepLines/>
      <w:numPr>
        <w:numId w:val="0"/>
      </w:numPr>
      <w:outlineLvl w:val="9"/>
    </w:pPr>
    <w:rPr>
      <w:rFonts w:ascii="Calibri" w:hAnsi="Calibri"/>
      <w:color w:val="134753"/>
      <w:szCs w:val="28"/>
    </w:rPr>
  </w:style>
  <w:style w:type="paragraph" w:customStyle="1" w:styleId="FIGURA1">
    <w:name w:val="FIGURA1"/>
    <w:basedOn w:val="MediumGrid21"/>
    <w:next w:val="Normal"/>
    <w:uiPriority w:val="10"/>
    <w:qFormat/>
    <w:rsid w:val="001A54E6"/>
    <w:pPr>
      <w:ind w:right="558"/>
    </w:pPr>
    <w:rPr>
      <w:rFonts w:eastAsia="MS Gothic" w:cs="Cambria"/>
      <w:bCs/>
      <w:color w:val="FFFFFF"/>
      <w:sz w:val="40"/>
      <w:szCs w:val="56"/>
    </w:rPr>
  </w:style>
  <w:style w:type="paragraph" w:customStyle="1" w:styleId="Subtitle1">
    <w:name w:val="Subtitle1"/>
    <w:basedOn w:val="Normal"/>
    <w:next w:val="Normal"/>
    <w:uiPriority w:val="11"/>
    <w:qFormat/>
    <w:rsid w:val="001A54E6"/>
    <w:pPr>
      <w:ind w:right="556"/>
      <w:jc w:val="center"/>
    </w:pPr>
    <w:rPr>
      <w:color w:val="FFFFFF"/>
      <w:sz w:val="36"/>
      <w:szCs w:val="36"/>
    </w:rPr>
  </w:style>
  <w:style w:type="character" w:customStyle="1" w:styleId="Keywords1">
    <w:name w:val="Keywords1"/>
    <w:basedOn w:val="DefaultParagraphFont"/>
    <w:uiPriority w:val="99"/>
    <w:qFormat/>
    <w:rsid w:val="001A54E6"/>
    <w:rPr>
      <w:rFonts w:ascii="Calibri" w:hAnsi="Calibri"/>
      <w:color w:val="808080"/>
      <w:sz w:val="22"/>
    </w:rPr>
  </w:style>
  <w:style w:type="paragraph" w:customStyle="1" w:styleId="Contactinformation1">
    <w:name w:val="Contact information1"/>
    <w:basedOn w:val="Normal"/>
    <w:next w:val="Normal"/>
    <w:uiPriority w:val="99"/>
    <w:qFormat/>
    <w:rsid w:val="001A54E6"/>
    <w:pPr>
      <w:spacing w:after="0"/>
      <w:jc w:val="left"/>
    </w:pPr>
    <w:rPr>
      <w:iCs/>
      <w:color w:val="FFFFFF"/>
    </w:rPr>
  </w:style>
  <w:style w:type="paragraph" w:customStyle="1" w:styleId="Bibliography1">
    <w:name w:val="Bibliography1"/>
    <w:basedOn w:val="Normal"/>
    <w:next w:val="Normal"/>
    <w:uiPriority w:val="99"/>
    <w:rsid w:val="001A54E6"/>
  </w:style>
  <w:style w:type="paragraph" w:customStyle="1" w:styleId="TableofFigures1">
    <w:name w:val="Table of Figures1"/>
    <w:basedOn w:val="Normal"/>
    <w:next w:val="Normal"/>
    <w:uiPriority w:val="99"/>
    <w:rsid w:val="001A54E6"/>
  </w:style>
  <w:style w:type="character" w:customStyle="1" w:styleId="FollowedHyperlink1">
    <w:name w:val="FollowedHyperlink1"/>
    <w:basedOn w:val="DefaultParagraphFont"/>
    <w:uiPriority w:val="99"/>
    <w:semiHidden/>
    <w:unhideWhenUsed/>
    <w:rsid w:val="001A54E6"/>
    <w:rPr>
      <w:color w:val="134753"/>
      <w:u w:val="single"/>
    </w:rPr>
  </w:style>
  <w:style w:type="table" w:customStyle="1" w:styleId="GridTable5Dark-Accent11">
    <w:name w:val="Grid Table 5 Dark - Accent 11"/>
    <w:basedOn w:val="TableNormal"/>
    <w:next w:val="GridTable5Dark-Accent1"/>
    <w:uiPriority w:val="50"/>
    <w:rsid w:val="001A54E6"/>
    <w:rPr>
      <w:rFonts w:eastAsiaTheme="minorHAnsi" w:cstheme="minorBidi"/>
      <w:bCs/>
      <w:sz w:val="24"/>
      <w:szCs w:val="24"/>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E5E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F7F7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F7F7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F7F7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F7F7F"/>
      </w:tcPr>
    </w:tblStylePr>
    <w:tblStylePr w:type="band1Vert">
      <w:tblPr/>
      <w:tcPr>
        <w:shd w:val="clear" w:color="auto" w:fill="CBCBCB"/>
      </w:tcPr>
    </w:tblStylePr>
    <w:tblStylePr w:type="band1Horz">
      <w:tblPr/>
      <w:tcPr>
        <w:shd w:val="clear" w:color="auto" w:fill="CBCBCB"/>
      </w:tcPr>
    </w:tblStylePr>
  </w:style>
  <w:style w:type="table" w:customStyle="1" w:styleId="GridTable5Dark-Accent31">
    <w:name w:val="Grid Table 5 Dark - Accent 31"/>
    <w:basedOn w:val="TableNormal"/>
    <w:next w:val="GridTable5Dark-Accent3"/>
    <w:uiPriority w:val="50"/>
    <w:rsid w:val="001A54E6"/>
    <w:rPr>
      <w:rFonts w:eastAsiaTheme="minorHAnsi" w:cstheme="minorBidi"/>
      <w:bCs/>
      <w:sz w:val="24"/>
      <w:szCs w:val="24"/>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7ECF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CA1BC"/>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CA1BC"/>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CA1BC"/>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CA1BC"/>
      </w:tcPr>
    </w:tblStylePr>
    <w:tblStylePr w:type="band1Vert">
      <w:tblPr/>
      <w:tcPr>
        <w:shd w:val="clear" w:color="auto" w:fill="AFDAE5"/>
      </w:tcPr>
    </w:tblStylePr>
    <w:tblStylePr w:type="band1Horz">
      <w:tblPr/>
      <w:tcPr>
        <w:shd w:val="clear" w:color="auto" w:fill="AFDAE5"/>
      </w:tcPr>
    </w:tblStylePr>
  </w:style>
  <w:style w:type="table" w:customStyle="1" w:styleId="GridTable5Dark-Accent41">
    <w:name w:val="Grid Table 5 Dark - Accent 41"/>
    <w:basedOn w:val="TableNormal"/>
    <w:next w:val="GridTable5Dark-Accent4"/>
    <w:uiPriority w:val="50"/>
    <w:rsid w:val="001A54E6"/>
    <w:rPr>
      <w:rFonts w:eastAsiaTheme="minorHAnsi" w:cstheme="minorBidi"/>
      <w:bCs/>
      <w:sz w:val="24"/>
      <w:szCs w:val="24"/>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A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2E8F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2E8F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2E8F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2E8F1"/>
      </w:tcPr>
    </w:tblStylePr>
    <w:tblStylePr w:type="band1Vert">
      <w:tblPr/>
      <w:tcPr>
        <w:shd w:val="clear" w:color="auto" w:fill="E6F5F9"/>
      </w:tcPr>
    </w:tblStylePr>
    <w:tblStylePr w:type="band1Horz">
      <w:tblPr/>
      <w:tcPr>
        <w:shd w:val="clear" w:color="auto" w:fill="E6F5F9"/>
      </w:tcPr>
    </w:tblStylePr>
  </w:style>
  <w:style w:type="character" w:customStyle="1" w:styleId="CaptionChar">
    <w:name w:val="Caption Char"/>
    <w:aliases w:val="Top caption Char,JR|Beschriftung Char,Table legend Char,Tab_Überschrift Char,Figure reference Char,Tab_†berschrift Char,Beschriftung Char2 Char,Beschriftung Char1 Char1 Char,Beschriftung Char Char Char1 Char,Table title Char"/>
    <w:link w:val="Tabletitle1"/>
    <w:uiPriority w:val="35"/>
    <w:locked/>
    <w:rsid w:val="001A54E6"/>
    <w:rPr>
      <w:b/>
      <w:bCs/>
      <w:caps/>
      <w:color w:val="134753"/>
      <w:szCs w:val="20"/>
      <w:lang w:val="ro-RO"/>
    </w:rPr>
  </w:style>
  <w:style w:type="paragraph" w:customStyle="1" w:styleId="BodyText1">
    <w:name w:val="Body Text1"/>
    <w:basedOn w:val="Normal"/>
    <w:next w:val="BodyText0"/>
    <w:link w:val="BodyTextChar"/>
    <w:uiPriority w:val="1"/>
    <w:semiHidden/>
    <w:unhideWhenUsed/>
    <w:qFormat/>
    <w:rsid w:val="001A54E6"/>
    <w:rPr>
      <w:rFonts w:eastAsiaTheme="minorHAnsi" w:cstheme="minorBidi"/>
    </w:rPr>
  </w:style>
  <w:style w:type="character" w:customStyle="1" w:styleId="BodyTextChar">
    <w:name w:val="Body Text Char"/>
    <w:basedOn w:val="DefaultParagraphFont"/>
    <w:link w:val="BodyText1"/>
    <w:uiPriority w:val="1"/>
    <w:semiHidden/>
    <w:rsid w:val="001A54E6"/>
    <w:rPr>
      <w:rFonts w:eastAsiaTheme="minorHAnsi" w:cstheme="minorBidi"/>
      <w:lang w:val="ro-RO"/>
    </w:rPr>
  </w:style>
  <w:style w:type="table" w:customStyle="1" w:styleId="GridTable41">
    <w:name w:val="Grid Table 41"/>
    <w:basedOn w:val="TableNormal"/>
    <w:next w:val="GridTable4"/>
    <w:uiPriority w:val="49"/>
    <w:rsid w:val="001A54E6"/>
    <w:rPr>
      <w:rFonts w:eastAsiaTheme="minorHAnsi" w:cstheme="minorBidi"/>
      <w:bCs/>
      <w:lang w:val="ro-R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List-Accent11">
    <w:name w:val="Light List - Accent 11"/>
    <w:basedOn w:val="TableNormal"/>
    <w:next w:val="LightList-Accent1"/>
    <w:uiPriority w:val="61"/>
    <w:rsid w:val="001A54E6"/>
    <w:rPr>
      <w:rFonts w:eastAsia="Times New Roman" w:cstheme="minorBidi"/>
      <w:lang w:val="ro-RO" w:eastAsia="ro-RO"/>
    </w:rPr>
    <w:tblPr>
      <w:tblStyleRowBandSize w:val="1"/>
      <w:tblStyleColBandSize w:val="1"/>
      <w:tblBorders>
        <w:top w:val="single" w:sz="8" w:space="0" w:color="7F7F7F"/>
        <w:left w:val="single" w:sz="8" w:space="0" w:color="7F7F7F"/>
        <w:bottom w:val="single" w:sz="8" w:space="0" w:color="7F7F7F"/>
        <w:right w:val="single" w:sz="8" w:space="0" w:color="7F7F7F"/>
      </w:tblBorders>
    </w:tblPr>
    <w:tblStylePr w:type="firstRow">
      <w:pPr>
        <w:spacing w:before="0" w:after="0" w:line="240" w:lineRule="auto"/>
      </w:pPr>
      <w:rPr>
        <w:b/>
        <w:bCs/>
        <w:color w:val="FFFFFF"/>
      </w:rPr>
      <w:tblPr/>
      <w:tcPr>
        <w:shd w:val="clear" w:color="auto" w:fill="7F7F7F"/>
      </w:tcPr>
    </w:tblStylePr>
    <w:tblStylePr w:type="lastRow">
      <w:pPr>
        <w:spacing w:before="0" w:after="0" w:line="240" w:lineRule="auto"/>
      </w:pPr>
      <w:rPr>
        <w:b/>
        <w:bCs/>
      </w:rPr>
      <w:tblPr/>
      <w:tcPr>
        <w:tcBorders>
          <w:top w:val="double" w:sz="6" w:space="0" w:color="7F7F7F"/>
          <w:left w:val="single" w:sz="8" w:space="0" w:color="7F7F7F"/>
          <w:bottom w:val="single" w:sz="8" w:space="0" w:color="7F7F7F"/>
          <w:right w:val="single" w:sz="8" w:space="0" w:color="7F7F7F"/>
        </w:tcBorders>
      </w:tcPr>
    </w:tblStylePr>
    <w:tblStylePr w:type="firstCol">
      <w:rPr>
        <w:b/>
        <w:bCs/>
      </w:rPr>
    </w:tblStylePr>
    <w:tblStylePr w:type="lastCol">
      <w:rPr>
        <w:b/>
        <w:bCs/>
      </w:rPr>
    </w:tblStylePr>
    <w:tblStylePr w:type="band1Vert">
      <w:tblPr/>
      <w:tcPr>
        <w:tcBorders>
          <w:top w:val="single" w:sz="8" w:space="0" w:color="7F7F7F"/>
          <w:left w:val="single" w:sz="8" w:space="0" w:color="7F7F7F"/>
          <w:bottom w:val="single" w:sz="8" w:space="0" w:color="7F7F7F"/>
          <w:right w:val="single" w:sz="8" w:space="0" w:color="7F7F7F"/>
        </w:tcBorders>
      </w:tcPr>
    </w:tblStylePr>
    <w:tblStylePr w:type="band1Horz">
      <w:tblPr/>
      <w:tcPr>
        <w:tcBorders>
          <w:top w:val="single" w:sz="8" w:space="0" w:color="7F7F7F"/>
          <w:left w:val="single" w:sz="8" w:space="0" w:color="7F7F7F"/>
          <w:bottom w:val="single" w:sz="8" w:space="0" w:color="7F7F7F"/>
          <w:right w:val="single" w:sz="8" w:space="0" w:color="7F7F7F"/>
        </w:tcBorders>
      </w:tcPr>
    </w:tblStylePr>
  </w:style>
  <w:style w:type="character" w:customStyle="1" w:styleId="SubtleReference1">
    <w:name w:val="Subtle Reference1"/>
    <w:basedOn w:val="DefaultParagraphFont"/>
    <w:uiPriority w:val="31"/>
    <w:qFormat/>
    <w:rsid w:val="001A54E6"/>
    <w:rPr>
      <w:rFonts w:ascii="Calibri" w:eastAsia="Times New Roman" w:hAnsi="Calibri" w:cs="Times New Roman"/>
      <w:i/>
      <w:iCs/>
      <w:color w:val="092329"/>
    </w:rPr>
  </w:style>
  <w:style w:type="table" w:customStyle="1" w:styleId="GridTable4-Accent611">
    <w:name w:val="Grid Table 4 - Accent 611"/>
    <w:basedOn w:val="TableNormal"/>
    <w:uiPriority w:val="49"/>
    <w:rsid w:val="001A54E6"/>
    <w:tblPr>
      <w:tblStyleRowBandSize w:val="1"/>
      <w:tblStyleColBandSize w:val="1"/>
      <w:tblBorders>
        <w:top w:val="single" w:sz="4" w:space="0" w:color="99C771"/>
        <w:left w:val="single" w:sz="4" w:space="0" w:color="99C771"/>
        <w:bottom w:val="single" w:sz="4" w:space="0" w:color="99C771"/>
        <w:right w:val="single" w:sz="4" w:space="0" w:color="99C771"/>
        <w:insideH w:val="single" w:sz="4" w:space="0" w:color="99C771"/>
        <w:insideV w:val="single" w:sz="4" w:space="0" w:color="99C771"/>
      </w:tblBorders>
    </w:tblPr>
    <w:tblStylePr w:type="firstRow">
      <w:rPr>
        <w:b/>
        <w:bCs/>
        <w:color w:val="FFFFFF"/>
      </w:rPr>
      <w:tblPr/>
      <w:tcPr>
        <w:tcBorders>
          <w:top w:val="single" w:sz="4" w:space="0" w:color="588133"/>
          <w:left w:val="single" w:sz="4" w:space="0" w:color="588133"/>
          <w:bottom w:val="single" w:sz="4" w:space="0" w:color="588133"/>
          <w:right w:val="single" w:sz="4" w:space="0" w:color="588133"/>
          <w:insideH w:val="nil"/>
          <w:insideV w:val="nil"/>
        </w:tcBorders>
        <w:shd w:val="clear" w:color="auto" w:fill="588133"/>
      </w:tcPr>
    </w:tblStylePr>
    <w:tblStylePr w:type="lastRow">
      <w:rPr>
        <w:b/>
        <w:bCs/>
      </w:rPr>
      <w:tblPr/>
      <w:tcPr>
        <w:tcBorders>
          <w:top w:val="double" w:sz="4" w:space="0" w:color="588133"/>
        </w:tcBorders>
      </w:tcPr>
    </w:tblStylePr>
    <w:tblStylePr w:type="firstCol">
      <w:rPr>
        <w:b/>
        <w:bCs/>
      </w:rPr>
    </w:tblStylePr>
    <w:tblStylePr w:type="lastCol">
      <w:rPr>
        <w:b/>
        <w:bCs/>
      </w:rPr>
    </w:tblStylePr>
    <w:tblStylePr w:type="band1Vert">
      <w:tblPr/>
      <w:tcPr>
        <w:shd w:val="clear" w:color="auto" w:fill="DDECCF"/>
      </w:tcPr>
    </w:tblStylePr>
    <w:tblStylePr w:type="band1Horz">
      <w:tblPr/>
      <w:tcPr>
        <w:shd w:val="clear" w:color="auto" w:fill="DDECCF"/>
      </w:tcPr>
    </w:tblStylePr>
  </w:style>
  <w:style w:type="paragraph" w:customStyle="1" w:styleId="z-TopofForm1">
    <w:name w:val="z-Top of Form1"/>
    <w:basedOn w:val="Normal"/>
    <w:next w:val="Normal"/>
    <w:hidden/>
    <w:uiPriority w:val="99"/>
    <w:semiHidden/>
    <w:unhideWhenUsed/>
    <w:rsid w:val="001A54E6"/>
    <w:pPr>
      <w:pBdr>
        <w:bottom w:val="single" w:sz="6" w:space="1" w:color="auto"/>
      </w:pBdr>
      <w:spacing w:after="0" w:line="259" w:lineRule="auto"/>
      <w:jc w:val="center"/>
    </w:pPr>
    <w:rPr>
      <w:rFonts w:ascii="Arial" w:eastAsiaTheme="minorHAnsi" w:hAnsi="Arial" w:cs="Arial"/>
      <w:bCs/>
      <w:vanish/>
      <w:sz w:val="16"/>
      <w:szCs w:val="16"/>
    </w:rPr>
  </w:style>
  <w:style w:type="paragraph" w:customStyle="1" w:styleId="z-BottomofForm1">
    <w:name w:val="z-Bottom of Form1"/>
    <w:basedOn w:val="Normal"/>
    <w:next w:val="Normal"/>
    <w:hidden/>
    <w:uiPriority w:val="99"/>
    <w:semiHidden/>
    <w:unhideWhenUsed/>
    <w:rsid w:val="001A54E6"/>
    <w:pPr>
      <w:pBdr>
        <w:top w:val="single" w:sz="6" w:space="1" w:color="auto"/>
      </w:pBdr>
      <w:spacing w:after="0" w:line="259" w:lineRule="auto"/>
      <w:jc w:val="center"/>
    </w:pPr>
    <w:rPr>
      <w:rFonts w:ascii="Arial" w:eastAsiaTheme="minorHAnsi" w:hAnsi="Arial" w:cs="Arial"/>
      <w:bCs/>
      <w:vanish/>
      <w:sz w:val="16"/>
      <w:szCs w:val="16"/>
    </w:rPr>
  </w:style>
  <w:style w:type="table" w:customStyle="1" w:styleId="GridTable4-Accent32">
    <w:name w:val="Grid Table 4 - Accent 32"/>
    <w:basedOn w:val="TableNormal"/>
    <w:next w:val="GridTable4-Accent3"/>
    <w:uiPriority w:val="49"/>
    <w:rsid w:val="001A54E6"/>
    <w:tblPr>
      <w:tblStyleRowBandSize w:val="1"/>
      <w:tblStyleColBandSize w:val="1"/>
      <w:tblBorders>
        <w:top w:val="single" w:sz="4" w:space="0" w:color="87C7D9"/>
        <w:left w:val="single" w:sz="4" w:space="0" w:color="87C7D9"/>
        <w:bottom w:val="single" w:sz="4" w:space="0" w:color="87C7D9"/>
        <w:right w:val="single" w:sz="4" w:space="0" w:color="87C7D9"/>
        <w:insideH w:val="single" w:sz="4" w:space="0" w:color="87C7D9"/>
        <w:insideV w:val="single" w:sz="4" w:space="0" w:color="87C7D9"/>
      </w:tblBorders>
    </w:tblPr>
    <w:tblStylePr w:type="firstRow">
      <w:rPr>
        <w:b/>
        <w:bCs/>
        <w:color w:val="FFFFFF"/>
      </w:rPr>
      <w:tblPr/>
      <w:tcPr>
        <w:tcBorders>
          <w:top w:val="single" w:sz="4" w:space="0" w:color="3CA1BC"/>
          <w:left w:val="single" w:sz="4" w:space="0" w:color="3CA1BC"/>
          <w:bottom w:val="single" w:sz="4" w:space="0" w:color="3CA1BC"/>
          <w:right w:val="single" w:sz="4" w:space="0" w:color="3CA1BC"/>
          <w:insideH w:val="nil"/>
          <w:insideV w:val="nil"/>
        </w:tcBorders>
        <w:shd w:val="clear" w:color="auto" w:fill="3CA1BC"/>
      </w:tcPr>
    </w:tblStylePr>
    <w:tblStylePr w:type="lastRow">
      <w:rPr>
        <w:b/>
        <w:bCs/>
      </w:rPr>
      <w:tblPr/>
      <w:tcPr>
        <w:tcBorders>
          <w:top w:val="double" w:sz="4" w:space="0" w:color="3CA1BC"/>
        </w:tcBorders>
      </w:tcPr>
    </w:tblStylePr>
    <w:tblStylePr w:type="firstCol">
      <w:rPr>
        <w:b/>
        <w:bCs/>
      </w:rPr>
    </w:tblStylePr>
    <w:tblStylePr w:type="lastCol">
      <w:rPr>
        <w:b/>
        <w:bCs/>
      </w:rPr>
    </w:tblStylePr>
    <w:tblStylePr w:type="band1Vert">
      <w:tblPr/>
      <w:tcPr>
        <w:shd w:val="clear" w:color="auto" w:fill="D7ECF2"/>
      </w:tcPr>
    </w:tblStylePr>
    <w:tblStylePr w:type="band1Horz">
      <w:tblPr/>
      <w:tcPr>
        <w:shd w:val="clear" w:color="auto" w:fill="D7ECF2"/>
      </w:tcPr>
    </w:tblStylePr>
  </w:style>
  <w:style w:type="table" w:customStyle="1" w:styleId="ListTable3-Accent321">
    <w:name w:val="List Table 3 - Accent 321"/>
    <w:basedOn w:val="TableNormal"/>
    <w:uiPriority w:val="48"/>
    <w:rsid w:val="001A54E6"/>
    <w:rPr>
      <w:bCs/>
      <w:sz w:val="20"/>
      <w:szCs w:val="20"/>
    </w:rPr>
    <w:tblPr/>
    <w:tblStylePr w:type="band1Horz">
      <w:tblPr/>
      <w:tcPr>
        <w:tcBorders>
          <w:top w:val="single" w:sz="4" w:space="0" w:color="3CA1BC"/>
          <w:bottom w:val="single" w:sz="4" w:space="0" w:color="3CA1BC"/>
          <w:insideH w:val="nil"/>
        </w:tcBorders>
      </w:tcPr>
    </w:tblStylePr>
  </w:style>
  <w:style w:type="table" w:customStyle="1" w:styleId="PlainTable52">
    <w:name w:val="Plain Table 52"/>
    <w:basedOn w:val="TableNormal"/>
    <w:next w:val="PlainTable5"/>
    <w:uiPriority w:val="45"/>
    <w:rsid w:val="001A54E6"/>
    <w:rPr>
      <w:bCs/>
    </w:r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2">
    <w:name w:val="Plain Table 42"/>
    <w:basedOn w:val="TableNormal"/>
    <w:next w:val="PlainTable4"/>
    <w:uiPriority w:val="44"/>
    <w:rsid w:val="001A54E6"/>
    <w:rPr>
      <w:rFonts w:eastAsiaTheme="minorHAnsi" w:cstheme="minorBidi"/>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62">
    <w:name w:val="Grid Table 5 Dark - Accent 62"/>
    <w:basedOn w:val="TableNormal"/>
    <w:next w:val="GridTable5Dark-Accent6"/>
    <w:uiPriority w:val="50"/>
    <w:rsid w:val="001A54E6"/>
    <w:rPr>
      <w:rFonts w:eastAsiaTheme="minorHAnsi" w:cstheme="minorBidi"/>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DECC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881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881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881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88133"/>
      </w:tcPr>
    </w:tblStylePr>
    <w:tblStylePr w:type="band1Vert">
      <w:tblPr/>
      <w:tcPr>
        <w:shd w:val="clear" w:color="auto" w:fill="BBD9A0"/>
      </w:tcPr>
    </w:tblStylePr>
    <w:tblStylePr w:type="band1Horz">
      <w:tblPr/>
      <w:tcPr>
        <w:shd w:val="clear" w:color="auto" w:fill="BBD9A0"/>
      </w:tcPr>
    </w:tblStylePr>
  </w:style>
  <w:style w:type="table" w:customStyle="1" w:styleId="GridTable6Colorful-Accent62">
    <w:name w:val="Grid Table 6 Colorful - Accent 62"/>
    <w:basedOn w:val="TableNormal"/>
    <w:next w:val="GridTable6Colorful-Accent6"/>
    <w:uiPriority w:val="51"/>
    <w:rsid w:val="001A54E6"/>
    <w:rPr>
      <w:rFonts w:eastAsiaTheme="minorHAnsi" w:cstheme="minorBidi"/>
      <w:color w:val="416026"/>
      <w:lang w:val="en-US"/>
    </w:rPr>
    <w:tblPr>
      <w:tblStyleRowBandSize w:val="1"/>
      <w:tblStyleColBandSize w:val="1"/>
      <w:tblBorders>
        <w:top w:val="single" w:sz="4" w:space="0" w:color="99C771"/>
        <w:left w:val="single" w:sz="4" w:space="0" w:color="99C771"/>
        <w:bottom w:val="single" w:sz="4" w:space="0" w:color="99C771"/>
        <w:right w:val="single" w:sz="4" w:space="0" w:color="99C771"/>
        <w:insideH w:val="single" w:sz="4" w:space="0" w:color="99C771"/>
        <w:insideV w:val="single" w:sz="4" w:space="0" w:color="99C771"/>
      </w:tblBorders>
    </w:tblPr>
    <w:tblStylePr w:type="firstRow">
      <w:rPr>
        <w:b/>
        <w:bCs/>
      </w:rPr>
      <w:tblPr/>
      <w:tcPr>
        <w:tcBorders>
          <w:bottom w:val="single" w:sz="12" w:space="0" w:color="99C771"/>
        </w:tcBorders>
      </w:tcPr>
    </w:tblStylePr>
    <w:tblStylePr w:type="lastRow">
      <w:rPr>
        <w:b/>
        <w:bCs/>
      </w:rPr>
      <w:tblPr/>
      <w:tcPr>
        <w:tcBorders>
          <w:top w:val="double" w:sz="4" w:space="0" w:color="99C771"/>
        </w:tcBorders>
      </w:tcPr>
    </w:tblStylePr>
    <w:tblStylePr w:type="firstCol">
      <w:rPr>
        <w:b/>
        <w:bCs/>
      </w:rPr>
    </w:tblStylePr>
    <w:tblStylePr w:type="lastCol">
      <w:rPr>
        <w:b/>
        <w:bCs/>
      </w:rPr>
    </w:tblStylePr>
    <w:tblStylePr w:type="band1Vert">
      <w:tblPr/>
      <w:tcPr>
        <w:shd w:val="clear" w:color="auto" w:fill="DDECCF"/>
      </w:tcPr>
    </w:tblStylePr>
    <w:tblStylePr w:type="band1Horz">
      <w:tblPr/>
      <w:tcPr>
        <w:shd w:val="clear" w:color="auto" w:fill="DDECCF"/>
      </w:tcPr>
    </w:tblStylePr>
  </w:style>
  <w:style w:type="table" w:customStyle="1" w:styleId="GridTable4-Accent22">
    <w:name w:val="Grid Table 4 - Accent 22"/>
    <w:basedOn w:val="TableNormal"/>
    <w:next w:val="GridTable4-Accent2"/>
    <w:uiPriority w:val="49"/>
    <w:rsid w:val="001A54E6"/>
    <w:rPr>
      <w:bCs/>
    </w:rPr>
    <w:tblPr>
      <w:tblStyleRowBandSize w:val="1"/>
      <w:tblStyleColBandSize w:val="1"/>
      <w:tblBorders>
        <w:top w:val="single" w:sz="4" w:space="0" w:color="37B4D1"/>
        <w:left w:val="single" w:sz="4" w:space="0" w:color="37B4D1"/>
        <w:bottom w:val="single" w:sz="4" w:space="0" w:color="37B4D1"/>
        <w:right w:val="single" w:sz="4" w:space="0" w:color="37B4D1"/>
        <w:insideH w:val="single" w:sz="4" w:space="0" w:color="37B4D1"/>
        <w:insideV w:val="single" w:sz="4" w:space="0" w:color="37B4D1"/>
      </w:tblBorders>
    </w:tblPr>
    <w:tblStylePr w:type="firstRow">
      <w:rPr>
        <w:b/>
        <w:bCs/>
        <w:color w:val="FFFFFF"/>
      </w:rPr>
      <w:tblPr/>
      <w:tcPr>
        <w:tcBorders>
          <w:top w:val="single" w:sz="4" w:space="0" w:color="134753"/>
          <w:left w:val="single" w:sz="4" w:space="0" w:color="134753"/>
          <w:bottom w:val="single" w:sz="4" w:space="0" w:color="134753"/>
          <w:right w:val="single" w:sz="4" w:space="0" w:color="134753"/>
          <w:insideH w:val="nil"/>
          <w:insideV w:val="nil"/>
        </w:tcBorders>
        <w:shd w:val="clear" w:color="auto" w:fill="134753"/>
      </w:tcPr>
    </w:tblStylePr>
    <w:tblStylePr w:type="lastRow">
      <w:rPr>
        <w:b/>
        <w:bCs/>
      </w:rPr>
      <w:tblPr/>
      <w:tcPr>
        <w:tcBorders>
          <w:top w:val="double" w:sz="4" w:space="0" w:color="134753"/>
        </w:tcBorders>
      </w:tcPr>
    </w:tblStylePr>
    <w:tblStylePr w:type="firstCol">
      <w:rPr>
        <w:b/>
        <w:bCs/>
      </w:rPr>
    </w:tblStylePr>
    <w:tblStylePr w:type="lastCol">
      <w:rPr>
        <w:b/>
        <w:bCs/>
      </w:rPr>
    </w:tblStylePr>
    <w:tblStylePr w:type="band1Vert">
      <w:tblPr/>
      <w:tcPr>
        <w:shd w:val="clear" w:color="auto" w:fill="BCE6EF"/>
      </w:tcPr>
    </w:tblStylePr>
    <w:tblStylePr w:type="band1Horz">
      <w:tblPr/>
      <w:tcPr>
        <w:shd w:val="clear" w:color="auto" w:fill="BCE6EF"/>
      </w:tcPr>
    </w:tblStylePr>
  </w:style>
  <w:style w:type="table" w:customStyle="1" w:styleId="ListTable3-Accent22">
    <w:name w:val="List Table 3 - Accent 22"/>
    <w:basedOn w:val="TableNormal"/>
    <w:next w:val="ListTable3-Accent2"/>
    <w:uiPriority w:val="48"/>
    <w:rsid w:val="001A54E6"/>
    <w:rPr>
      <w:bCs/>
    </w:rPr>
    <w:tblPr>
      <w:tblStyleRowBandSize w:val="1"/>
      <w:tblStyleColBandSize w:val="1"/>
      <w:tblBorders>
        <w:top w:val="single" w:sz="4" w:space="0" w:color="134753"/>
        <w:left w:val="single" w:sz="4" w:space="0" w:color="134753"/>
        <w:bottom w:val="single" w:sz="4" w:space="0" w:color="134753"/>
        <w:right w:val="single" w:sz="4" w:space="0" w:color="134753"/>
      </w:tblBorders>
    </w:tblPr>
    <w:tblStylePr w:type="firstRow">
      <w:rPr>
        <w:b/>
        <w:bCs/>
        <w:color w:val="FFFFFF"/>
      </w:rPr>
      <w:tblPr/>
      <w:tcPr>
        <w:shd w:val="clear" w:color="auto" w:fill="134753"/>
      </w:tcPr>
    </w:tblStylePr>
    <w:tblStylePr w:type="lastRow">
      <w:rPr>
        <w:b/>
        <w:bCs/>
      </w:rPr>
      <w:tblPr/>
      <w:tcPr>
        <w:tcBorders>
          <w:top w:val="double" w:sz="4" w:space="0" w:color="13475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134753"/>
          <w:right w:val="single" w:sz="4" w:space="0" w:color="134753"/>
        </w:tcBorders>
      </w:tcPr>
    </w:tblStylePr>
    <w:tblStylePr w:type="band1Horz">
      <w:tblPr/>
      <w:tcPr>
        <w:tcBorders>
          <w:top w:val="single" w:sz="4" w:space="0" w:color="134753"/>
          <w:bottom w:val="single" w:sz="4" w:space="0" w:color="13475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34753"/>
          <w:left w:val="nil"/>
        </w:tcBorders>
      </w:tcPr>
    </w:tblStylePr>
    <w:tblStylePr w:type="swCell">
      <w:tblPr/>
      <w:tcPr>
        <w:tcBorders>
          <w:top w:val="double" w:sz="4" w:space="0" w:color="134753"/>
          <w:right w:val="nil"/>
        </w:tcBorders>
      </w:tcPr>
    </w:tblStylePr>
  </w:style>
  <w:style w:type="table" w:customStyle="1" w:styleId="GridTable4-Accent12">
    <w:name w:val="Grid Table 4 - Accent 12"/>
    <w:basedOn w:val="TableNormal"/>
    <w:next w:val="GridTable4-Accent1"/>
    <w:uiPriority w:val="49"/>
    <w:rsid w:val="001A54E6"/>
    <w:rPr>
      <w:rFonts w:eastAsiaTheme="minorHAnsi" w:cstheme="minorBidi"/>
      <w:lang w:val="en-GB"/>
    </w:rPr>
    <w:tblPr>
      <w:tblStyleRowBandSize w:val="1"/>
      <w:tblStyleColBandSize w:val="1"/>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Pr>
    <w:tblStylePr w:type="firstRow">
      <w:rPr>
        <w:b/>
        <w:bCs/>
        <w:color w:val="FFFFFF"/>
      </w:rPr>
      <w:tblPr/>
      <w:tcPr>
        <w:tcBorders>
          <w:top w:val="single" w:sz="4" w:space="0" w:color="7F7F7F"/>
          <w:left w:val="single" w:sz="4" w:space="0" w:color="7F7F7F"/>
          <w:bottom w:val="single" w:sz="4" w:space="0" w:color="7F7F7F"/>
          <w:right w:val="single" w:sz="4" w:space="0" w:color="7F7F7F"/>
          <w:insideH w:val="nil"/>
          <w:insideV w:val="nil"/>
        </w:tcBorders>
        <w:shd w:val="clear" w:color="auto" w:fill="7F7F7F"/>
      </w:tcPr>
    </w:tblStylePr>
    <w:tblStylePr w:type="lastRow">
      <w:rPr>
        <w:b/>
        <w:bCs/>
      </w:rPr>
      <w:tblPr/>
      <w:tcPr>
        <w:tcBorders>
          <w:top w:val="double" w:sz="4" w:space="0" w:color="7F7F7F"/>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PlainTable32">
    <w:name w:val="Plain Table 32"/>
    <w:basedOn w:val="TableNormal"/>
    <w:next w:val="PlainTable3"/>
    <w:uiPriority w:val="43"/>
    <w:rsid w:val="001A54E6"/>
    <w:rPr>
      <w:rFonts w:eastAsia="Times New Roman" w:cs="Times New Roman"/>
      <w:lang w:val="en-US"/>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GridTable2-Accent32">
    <w:name w:val="Grid Table 2 - Accent 32"/>
    <w:basedOn w:val="TableNormal"/>
    <w:next w:val="GridTable2-Accent3"/>
    <w:uiPriority w:val="47"/>
    <w:rsid w:val="001A54E6"/>
    <w:tblPr>
      <w:tblStyleRowBandSize w:val="1"/>
      <w:tblStyleColBandSize w:val="1"/>
      <w:tblBorders>
        <w:top w:val="single" w:sz="2" w:space="0" w:color="87C7D9"/>
        <w:bottom w:val="single" w:sz="2" w:space="0" w:color="87C7D9"/>
        <w:insideH w:val="single" w:sz="2" w:space="0" w:color="87C7D9"/>
        <w:insideV w:val="single" w:sz="2" w:space="0" w:color="87C7D9"/>
      </w:tblBorders>
    </w:tblPr>
    <w:tblStylePr w:type="firstRow">
      <w:rPr>
        <w:b/>
        <w:bCs/>
      </w:rPr>
      <w:tblPr/>
      <w:tcPr>
        <w:tcBorders>
          <w:top w:val="nil"/>
          <w:bottom w:val="single" w:sz="12" w:space="0" w:color="87C7D9"/>
          <w:insideH w:val="nil"/>
          <w:insideV w:val="nil"/>
        </w:tcBorders>
        <w:shd w:val="clear" w:color="auto" w:fill="FFFFFF"/>
      </w:tcPr>
    </w:tblStylePr>
    <w:tblStylePr w:type="lastRow">
      <w:rPr>
        <w:b/>
        <w:bCs/>
      </w:rPr>
      <w:tblPr/>
      <w:tcPr>
        <w:tcBorders>
          <w:top w:val="double" w:sz="2" w:space="0" w:color="87C7D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7ECF2"/>
      </w:tcPr>
    </w:tblStylePr>
    <w:tblStylePr w:type="band1Horz">
      <w:tblPr/>
      <w:tcPr>
        <w:shd w:val="clear" w:color="auto" w:fill="D7ECF2"/>
      </w:tcPr>
    </w:tblStylePr>
  </w:style>
  <w:style w:type="table" w:customStyle="1" w:styleId="GridTable2-Accent22">
    <w:name w:val="Grid Table 2 - Accent 22"/>
    <w:basedOn w:val="TableNormal"/>
    <w:next w:val="GridTable2-Accent2"/>
    <w:uiPriority w:val="47"/>
    <w:rsid w:val="001A54E6"/>
    <w:tblPr>
      <w:tblStyleRowBandSize w:val="1"/>
      <w:tblStyleColBandSize w:val="1"/>
      <w:tblBorders>
        <w:top w:val="single" w:sz="2" w:space="0" w:color="37B4D1"/>
        <w:bottom w:val="single" w:sz="2" w:space="0" w:color="37B4D1"/>
        <w:insideH w:val="single" w:sz="2" w:space="0" w:color="37B4D1"/>
        <w:insideV w:val="single" w:sz="2" w:space="0" w:color="37B4D1"/>
      </w:tblBorders>
    </w:tblPr>
    <w:tblStylePr w:type="firstRow">
      <w:rPr>
        <w:b/>
        <w:bCs/>
      </w:rPr>
      <w:tblPr/>
      <w:tcPr>
        <w:tcBorders>
          <w:top w:val="nil"/>
          <w:bottom w:val="single" w:sz="12" w:space="0" w:color="37B4D1"/>
          <w:insideH w:val="nil"/>
          <w:insideV w:val="nil"/>
        </w:tcBorders>
        <w:shd w:val="clear" w:color="auto" w:fill="FFFFFF"/>
      </w:tcPr>
    </w:tblStylePr>
    <w:tblStylePr w:type="lastRow">
      <w:rPr>
        <w:b/>
        <w:bCs/>
      </w:rPr>
      <w:tblPr/>
      <w:tcPr>
        <w:tcBorders>
          <w:top w:val="double" w:sz="2" w:space="0" w:color="37B4D1"/>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CE6EF"/>
      </w:tcPr>
    </w:tblStylePr>
    <w:tblStylePr w:type="band1Horz">
      <w:tblPr/>
      <w:tcPr>
        <w:shd w:val="clear" w:color="auto" w:fill="BCE6EF"/>
      </w:tcPr>
    </w:tblStylePr>
  </w:style>
  <w:style w:type="table" w:customStyle="1" w:styleId="GridTable4-Accent52">
    <w:name w:val="Grid Table 4 - Accent 52"/>
    <w:basedOn w:val="TableNormal"/>
    <w:next w:val="GridTable4-Accent5"/>
    <w:uiPriority w:val="49"/>
    <w:rsid w:val="001A54E6"/>
    <w:tblPr>
      <w:tblStyleRowBandSize w:val="1"/>
      <w:tblStyleColBandSize w:val="1"/>
      <w:tblBorders>
        <w:top w:val="single" w:sz="4" w:space="0" w:color="CCE188"/>
        <w:left w:val="single" w:sz="4" w:space="0" w:color="CCE188"/>
        <w:bottom w:val="single" w:sz="4" w:space="0" w:color="CCE188"/>
        <w:right w:val="single" w:sz="4" w:space="0" w:color="CCE188"/>
        <w:insideH w:val="single" w:sz="4" w:space="0" w:color="CCE188"/>
        <w:insideV w:val="single" w:sz="4" w:space="0" w:color="CCE188"/>
      </w:tblBorders>
    </w:tblPr>
    <w:tblStylePr w:type="firstRow">
      <w:rPr>
        <w:b/>
        <w:bCs/>
        <w:color w:val="FFFFFF"/>
      </w:rPr>
      <w:tblPr/>
      <w:tcPr>
        <w:tcBorders>
          <w:top w:val="single" w:sz="4" w:space="0" w:color="ABCD3A"/>
          <w:left w:val="single" w:sz="4" w:space="0" w:color="ABCD3A"/>
          <w:bottom w:val="single" w:sz="4" w:space="0" w:color="ABCD3A"/>
          <w:right w:val="single" w:sz="4" w:space="0" w:color="ABCD3A"/>
          <w:insideH w:val="nil"/>
          <w:insideV w:val="nil"/>
        </w:tcBorders>
        <w:shd w:val="clear" w:color="auto" w:fill="ABCD3A"/>
      </w:tcPr>
    </w:tblStylePr>
    <w:tblStylePr w:type="lastRow">
      <w:rPr>
        <w:b/>
        <w:bCs/>
      </w:rPr>
      <w:tblPr/>
      <w:tcPr>
        <w:tcBorders>
          <w:top w:val="double" w:sz="4" w:space="0" w:color="ABCD3A"/>
        </w:tcBorders>
      </w:tcPr>
    </w:tblStylePr>
    <w:tblStylePr w:type="firstCol">
      <w:rPr>
        <w:b/>
        <w:bCs/>
      </w:rPr>
    </w:tblStylePr>
    <w:tblStylePr w:type="lastCol">
      <w:rPr>
        <w:b/>
        <w:bCs/>
      </w:rPr>
    </w:tblStylePr>
    <w:tblStylePr w:type="band1Vert">
      <w:tblPr/>
      <w:tcPr>
        <w:shd w:val="clear" w:color="auto" w:fill="EEF5D7"/>
      </w:tcPr>
    </w:tblStylePr>
    <w:tblStylePr w:type="band1Horz">
      <w:tblPr/>
      <w:tcPr>
        <w:shd w:val="clear" w:color="auto" w:fill="EEF5D7"/>
      </w:tcPr>
    </w:tblStylePr>
  </w:style>
  <w:style w:type="table" w:customStyle="1" w:styleId="GridTable5Dark-Accent52">
    <w:name w:val="Grid Table 5 Dark - Accent 52"/>
    <w:basedOn w:val="TableNormal"/>
    <w:next w:val="GridTable5Dark-Accent5"/>
    <w:uiPriority w:val="50"/>
    <w:rsid w:val="001A54E6"/>
    <w:rPr>
      <w:bC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E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BCD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BCD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BCD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BCD3A"/>
      </w:tcPr>
    </w:tblStylePr>
    <w:tblStylePr w:type="band1Vert">
      <w:tblPr/>
      <w:tcPr>
        <w:shd w:val="clear" w:color="auto" w:fill="DDEBB0"/>
      </w:tcPr>
    </w:tblStylePr>
    <w:tblStylePr w:type="band1Horz">
      <w:tblPr/>
      <w:tcPr>
        <w:shd w:val="clear" w:color="auto" w:fill="DDEBB0"/>
      </w:tcPr>
    </w:tblStylePr>
  </w:style>
  <w:style w:type="table" w:customStyle="1" w:styleId="ListTable3-Accent52">
    <w:name w:val="List Table 3 - Accent 52"/>
    <w:basedOn w:val="TableNormal"/>
    <w:next w:val="ListTable3-Accent5"/>
    <w:uiPriority w:val="48"/>
    <w:rsid w:val="001A54E6"/>
    <w:tblPr>
      <w:tblStyleRowBandSize w:val="1"/>
      <w:tblStyleColBandSize w:val="1"/>
      <w:tblBorders>
        <w:top w:val="single" w:sz="4" w:space="0" w:color="ABCD3A"/>
        <w:left w:val="single" w:sz="4" w:space="0" w:color="ABCD3A"/>
        <w:bottom w:val="single" w:sz="4" w:space="0" w:color="ABCD3A"/>
        <w:right w:val="single" w:sz="4" w:space="0" w:color="ABCD3A"/>
      </w:tblBorders>
    </w:tblPr>
    <w:tblStylePr w:type="firstRow">
      <w:rPr>
        <w:b/>
        <w:bCs/>
        <w:color w:val="FFFFFF"/>
      </w:rPr>
      <w:tblPr/>
      <w:tcPr>
        <w:shd w:val="clear" w:color="auto" w:fill="ABCD3A"/>
      </w:tcPr>
    </w:tblStylePr>
    <w:tblStylePr w:type="lastRow">
      <w:rPr>
        <w:b/>
        <w:bCs/>
      </w:rPr>
      <w:tblPr/>
      <w:tcPr>
        <w:tcBorders>
          <w:top w:val="double" w:sz="4" w:space="0" w:color="ABCD3A"/>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BCD3A"/>
          <w:right w:val="single" w:sz="4" w:space="0" w:color="ABCD3A"/>
        </w:tcBorders>
      </w:tcPr>
    </w:tblStylePr>
    <w:tblStylePr w:type="band1Horz">
      <w:tblPr/>
      <w:tcPr>
        <w:tcBorders>
          <w:top w:val="single" w:sz="4" w:space="0" w:color="ABCD3A"/>
          <w:bottom w:val="single" w:sz="4" w:space="0" w:color="ABCD3A"/>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CD3A"/>
          <w:left w:val="nil"/>
        </w:tcBorders>
      </w:tcPr>
    </w:tblStylePr>
    <w:tblStylePr w:type="swCell">
      <w:tblPr/>
      <w:tcPr>
        <w:tcBorders>
          <w:top w:val="double" w:sz="4" w:space="0" w:color="ABCD3A"/>
          <w:right w:val="nil"/>
        </w:tcBorders>
      </w:tcPr>
    </w:tblStylePr>
  </w:style>
  <w:style w:type="paragraph" w:customStyle="1" w:styleId="EndnoteText1">
    <w:name w:val="Endnote Text1"/>
    <w:basedOn w:val="Normal"/>
    <w:next w:val="EndnoteText"/>
    <w:link w:val="EndnoteTextChar"/>
    <w:uiPriority w:val="99"/>
    <w:semiHidden/>
    <w:unhideWhenUsed/>
    <w:rsid w:val="001A54E6"/>
    <w:pPr>
      <w:spacing w:after="0"/>
    </w:pPr>
    <w:rPr>
      <w:rFonts w:eastAsiaTheme="minorHAnsi" w:cstheme="minorBidi"/>
      <w:sz w:val="20"/>
      <w:szCs w:val="20"/>
      <w:lang w:val="en-US"/>
    </w:rPr>
  </w:style>
  <w:style w:type="character" w:customStyle="1" w:styleId="EndnoteTextChar">
    <w:name w:val="Endnote Text Char"/>
    <w:basedOn w:val="DefaultParagraphFont"/>
    <w:link w:val="EndnoteText1"/>
    <w:uiPriority w:val="99"/>
    <w:semiHidden/>
    <w:rsid w:val="001A54E6"/>
    <w:rPr>
      <w:rFonts w:eastAsiaTheme="minorHAnsi" w:cstheme="minorBidi"/>
      <w:sz w:val="20"/>
      <w:szCs w:val="20"/>
      <w:lang w:val="en-US"/>
    </w:rPr>
  </w:style>
  <w:style w:type="character" w:customStyle="1" w:styleId="IntenseEmphasis1">
    <w:name w:val="Intense Emphasis1"/>
    <w:basedOn w:val="DefaultParagraphFont"/>
    <w:uiPriority w:val="21"/>
    <w:qFormat/>
    <w:rsid w:val="001A54E6"/>
    <w:rPr>
      <w:i/>
      <w:iCs/>
      <w:color w:val="7F7F7F"/>
    </w:rPr>
  </w:style>
  <w:style w:type="character" w:customStyle="1" w:styleId="IntenseReference1">
    <w:name w:val="Intense Reference1"/>
    <w:basedOn w:val="DefaultParagraphFont"/>
    <w:uiPriority w:val="32"/>
    <w:qFormat/>
    <w:rsid w:val="001A54E6"/>
    <w:rPr>
      <w:b/>
      <w:bCs/>
      <w:smallCaps/>
      <w:color w:val="7F7F7F"/>
      <w:spacing w:val="5"/>
    </w:rPr>
  </w:style>
  <w:style w:type="table" w:customStyle="1" w:styleId="ListTable6Colorful1">
    <w:name w:val="List Table 6 Colorful1"/>
    <w:basedOn w:val="TableNormal"/>
    <w:next w:val="ListTable6Colorful"/>
    <w:uiPriority w:val="51"/>
    <w:rsid w:val="001A54E6"/>
    <w:rPr>
      <w:bCs/>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IntenseQuote1">
    <w:name w:val="Intense Quote1"/>
    <w:basedOn w:val="Normal"/>
    <w:next w:val="Normal"/>
    <w:uiPriority w:val="30"/>
    <w:rsid w:val="001A54E6"/>
    <w:pPr>
      <w:pBdr>
        <w:top w:val="single" w:sz="4" w:space="10" w:color="3CA1BC"/>
        <w:bottom w:val="single" w:sz="4" w:space="10" w:color="3CA1BC"/>
      </w:pBdr>
      <w:spacing w:before="360" w:after="360"/>
      <w:ind w:left="864" w:right="864"/>
      <w:jc w:val="center"/>
    </w:pPr>
    <w:rPr>
      <w:i/>
      <w:iCs/>
      <w:color w:val="3CA1BC"/>
      <w:lang w:val="en-US" w:eastAsia="ja-JP"/>
    </w:rPr>
  </w:style>
  <w:style w:type="table" w:customStyle="1" w:styleId="ListTable21">
    <w:name w:val="List Table 21"/>
    <w:basedOn w:val="TableNormal"/>
    <w:next w:val="ListTable2"/>
    <w:uiPriority w:val="47"/>
    <w:rsid w:val="001A54E6"/>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ColorfulGrid-Accent11">
    <w:name w:val="Colorful Grid - Accent 11"/>
    <w:basedOn w:val="TableNormal"/>
    <w:next w:val="ColorfulGrid-Accent1"/>
    <w:uiPriority w:val="73"/>
    <w:unhideWhenUsed/>
    <w:rsid w:val="001A54E6"/>
    <w:pPr>
      <w:jc w:val="both"/>
    </w:pPr>
    <w:rPr>
      <w:rFonts w:ascii="Calibri" w:eastAsia="Calibri" w:hAnsi="Calibri" w:cs="Calibri"/>
      <w:color w:val="000000"/>
      <w:lang w:val="ro-RO" w:eastAsia="ro-RO"/>
    </w:rPr>
    <w:tblPr>
      <w:tblStyleRowBandSize w:val="1"/>
      <w:tblStyleColBandSize w:val="1"/>
      <w:tblBorders>
        <w:insideH w:val="single" w:sz="4" w:space="0" w:color="FFFFFF"/>
      </w:tblBorders>
    </w:tblPr>
    <w:tcPr>
      <w:shd w:val="clear" w:color="auto" w:fill="E5E5E5"/>
    </w:tcPr>
    <w:tblStylePr w:type="firstRow">
      <w:rPr>
        <w:b/>
        <w:bCs/>
      </w:rPr>
      <w:tblPr/>
      <w:tcPr>
        <w:shd w:val="clear" w:color="auto" w:fill="CBCBCB"/>
      </w:tcPr>
    </w:tblStylePr>
    <w:tblStylePr w:type="lastRow">
      <w:rPr>
        <w:b/>
        <w:bCs/>
        <w:color w:val="000000"/>
      </w:rPr>
      <w:tblPr/>
      <w:tcPr>
        <w:shd w:val="clear" w:color="auto" w:fill="CBCBCB"/>
      </w:tcPr>
    </w:tblStylePr>
    <w:tblStylePr w:type="firstCol">
      <w:rPr>
        <w:color w:val="FFFFFF"/>
      </w:rPr>
      <w:tblPr/>
      <w:tcPr>
        <w:shd w:val="clear" w:color="auto" w:fill="5F5F5F"/>
      </w:tcPr>
    </w:tblStylePr>
    <w:tblStylePr w:type="lastCol">
      <w:rPr>
        <w:color w:val="FFFFFF"/>
      </w:rPr>
      <w:tblPr/>
      <w:tcPr>
        <w:shd w:val="clear" w:color="auto" w:fill="5F5F5F"/>
      </w:tcPr>
    </w:tblStylePr>
    <w:tblStylePr w:type="band1Vert">
      <w:tblPr/>
      <w:tcPr>
        <w:shd w:val="clear" w:color="auto" w:fill="BFBFBF"/>
      </w:tcPr>
    </w:tblStylePr>
    <w:tblStylePr w:type="band1Horz">
      <w:tblPr/>
      <w:tcPr>
        <w:shd w:val="clear" w:color="auto" w:fill="BFBFBF"/>
      </w:tcPr>
    </w:tblStylePr>
  </w:style>
  <w:style w:type="numbering" w:customStyle="1" w:styleId="NoList11">
    <w:name w:val="No List11"/>
    <w:next w:val="NoList"/>
    <w:uiPriority w:val="99"/>
    <w:semiHidden/>
    <w:unhideWhenUsed/>
    <w:rsid w:val="001A54E6"/>
  </w:style>
  <w:style w:type="table" w:customStyle="1" w:styleId="TableGridLight21">
    <w:name w:val="Table Grid Light21"/>
    <w:basedOn w:val="TableNormal"/>
    <w:next w:val="TableGridLight"/>
    <w:uiPriority w:val="40"/>
    <w:rsid w:val="001A54E6"/>
    <w:pPr>
      <w:spacing w:after="120"/>
      <w:jc w:val="both"/>
    </w:pPr>
    <w:rPr>
      <w:rFonts w:ascii="Calibri" w:eastAsia="Calibri" w:hAnsi="Calibri" w:cs="Calibri"/>
      <w:lang w:val="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Theme11">
    <w:name w:val="Table Theme11"/>
    <w:basedOn w:val="TableNormal"/>
    <w:next w:val="TableTheme"/>
    <w:uiPriority w:val="99"/>
    <w:semiHidden/>
    <w:unhideWhenUsed/>
    <w:rsid w:val="001A54E6"/>
    <w:pPr>
      <w:spacing w:before="120" w:after="120"/>
      <w:jc w:val="both"/>
    </w:pPr>
    <w:rPr>
      <w:rFonts w:ascii="Calibri" w:eastAsia="Calibri" w:hAnsi="Calibri" w:cs="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TableNormal"/>
    <w:next w:val="GridTable1Light"/>
    <w:uiPriority w:val="46"/>
    <w:rsid w:val="001A54E6"/>
    <w:pPr>
      <w:spacing w:after="120"/>
      <w:jc w:val="both"/>
    </w:pPr>
    <w:rPr>
      <w:rFonts w:ascii="Calibri" w:eastAsia="Calibri" w:hAnsi="Calibri" w:cs="Calibri"/>
      <w:lang w:val="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PlainTable211">
    <w:name w:val="Plain Table 211"/>
    <w:basedOn w:val="TableNormal"/>
    <w:next w:val="PlainTable2"/>
    <w:uiPriority w:val="42"/>
    <w:rsid w:val="001A54E6"/>
    <w:pPr>
      <w:spacing w:after="120"/>
      <w:jc w:val="both"/>
    </w:pPr>
    <w:rPr>
      <w:rFonts w:ascii="Calibri" w:eastAsia="Calibri" w:hAnsi="Calibri" w:cs="Calibri"/>
      <w:lang w:val="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21">
    <w:name w:val="Plain Table 121"/>
    <w:basedOn w:val="TableNormal"/>
    <w:next w:val="PlainTable1"/>
    <w:uiPriority w:val="41"/>
    <w:rsid w:val="001A54E6"/>
    <w:pPr>
      <w:spacing w:after="120"/>
      <w:jc w:val="both"/>
    </w:pPr>
    <w:rPr>
      <w:rFonts w:ascii="Calibri" w:eastAsia="Calibri" w:hAnsi="Calibri" w:cs="Calibri"/>
      <w:lang w:val="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Heading3Char1">
    <w:name w:val="Heading 3 Char1"/>
    <w:basedOn w:val="DefaultParagraphFont"/>
    <w:uiPriority w:val="9"/>
    <w:semiHidden/>
    <w:rsid w:val="001A54E6"/>
    <w:rPr>
      <w:rFonts w:asciiTheme="majorHAnsi" w:eastAsiaTheme="majorEastAsia" w:hAnsiTheme="majorHAnsi" w:cstheme="majorBidi"/>
      <w:color w:val="3F3F3F" w:themeColor="accent1" w:themeShade="7F"/>
      <w:sz w:val="24"/>
      <w:szCs w:val="24"/>
      <w:lang w:val="ro-RO"/>
    </w:rPr>
  </w:style>
  <w:style w:type="character" w:customStyle="1" w:styleId="Heading4Char1">
    <w:name w:val="Heading 4 Char1"/>
    <w:basedOn w:val="DefaultParagraphFont"/>
    <w:uiPriority w:val="9"/>
    <w:semiHidden/>
    <w:rsid w:val="001A54E6"/>
    <w:rPr>
      <w:rFonts w:asciiTheme="majorHAnsi" w:eastAsiaTheme="majorEastAsia" w:hAnsiTheme="majorHAnsi" w:cstheme="majorBidi"/>
      <w:i/>
      <w:iCs/>
      <w:color w:val="5F5F5F" w:themeColor="accent1" w:themeShade="BF"/>
      <w:lang w:val="ro-RO"/>
    </w:rPr>
  </w:style>
  <w:style w:type="character" w:customStyle="1" w:styleId="Heading5Char1">
    <w:name w:val="Heading 5 Char1"/>
    <w:basedOn w:val="DefaultParagraphFont"/>
    <w:uiPriority w:val="9"/>
    <w:semiHidden/>
    <w:rsid w:val="001A54E6"/>
    <w:rPr>
      <w:rFonts w:asciiTheme="majorHAnsi" w:eastAsiaTheme="majorEastAsia" w:hAnsiTheme="majorHAnsi" w:cstheme="majorBidi"/>
      <w:color w:val="5F5F5F" w:themeColor="accent1" w:themeShade="BF"/>
      <w:lang w:val="ro-RO"/>
    </w:rPr>
  </w:style>
  <w:style w:type="character" w:customStyle="1" w:styleId="Heading6Char1">
    <w:name w:val="Heading 6 Char1"/>
    <w:basedOn w:val="DefaultParagraphFont"/>
    <w:uiPriority w:val="9"/>
    <w:semiHidden/>
    <w:rsid w:val="001A54E6"/>
    <w:rPr>
      <w:rFonts w:asciiTheme="majorHAnsi" w:eastAsiaTheme="majorEastAsia" w:hAnsiTheme="majorHAnsi" w:cstheme="majorBidi"/>
      <w:color w:val="3F3F3F" w:themeColor="accent1" w:themeShade="7F"/>
      <w:lang w:val="ro-RO"/>
    </w:rPr>
  </w:style>
  <w:style w:type="character" w:customStyle="1" w:styleId="Heading7Char1">
    <w:name w:val="Heading 7 Char1"/>
    <w:basedOn w:val="DefaultParagraphFont"/>
    <w:uiPriority w:val="9"/>
    <w:semiHidden/>
    <w:rsid w:val="001A54E6"/>
    <w:rPr>
      <w:rFonts w:asciiTheme="majorHAnsi" w:eastAsiaTheme="majorEastAsia" w:hAnsiTheme="majorHAnsi" w:cstheme="majorBidi"/>
      <w:i/>
      <w:iCs/>
      <w:color w:val="3F3F3F" w:themeColor="accent1" w:themeShade="7F"/>
      <w:lang w:val="ro-RO"/>
    </w:rPr>
  </w:style>
  <w:style w:type="character" w:customStyle="1" w:styleId="SubiectComentariuCaracter1">
    <w:name w:val="Subiect Comentariu Caracter1"/>
    <w:basedOn w:val="CommentTextChar1"/>
    <w:uiPriority w:val="99"/>
    <w:semiHidden/>
    <w:rsid w:val="001A54E6"/>
    <w:rPr>
      <w:rFonts w:eastAsia="SimSun"/>
      <w:b/>
      <w:bCs/>
      <w:sz w:val="20"/>
      <w:szCs w:val="20"/>
      <w:lang w:val="ro-RO" w:eastAsia="zh-CN"/>
    </w:rPr>
  </w:style>
  <w:style w:type="character" w:customStyle="1" w:styleId="CommentSubjectChar1">
    <w:name w:val="Comment Subject Char1"/>
    <w:basedOn w:val="CommentTextChar1"/>
    <w:uiPriority w:val="99"/>
    <w:semiHidden/>
    <w:rsid w:val="001A54E6"/>
    <w:rPr>
      <w:rFonts w:eastAsia="SimSun"/>
      <w:b/>
      <w:bCs/>
      <w:sz w:val="20"/>
      <w:szCs w:val="20"/>
      <w:lang w:val="ro-RO" w:eastAsia="zh-CN"/>
    </w:rPr>
  </w:style>
  <w:style w:type="character" w:customStyle="1" w:styleId="TitluCaracter2">
    <w:name w:val="Titlu Caracter2"/>
    <w:basedOn w:val="DefaultParagraphFont"/>
    <w:uiPriority w:val="10"/>
    <w:rsid w:val="001A54E6"/>
    <w:rPr>
      <w:rFonts w:asciiTheme="majorHAnsi" w:eastAsiaTheme="majorEastAsia" w:hAnsiTheme="majorHAnsi" w:cstheme="majorBidi"/>
      <w:spacing w:val="-10"/>
      <w:kern w:val="28"/>
      <w:sz w:val="56"/>
      <w:szCs w:val="56"/>
      <w:lang w:val="ro-RO"/>
    </w:rPr>
  </w:style>
  <w:style w:type="character" w:customStyle="1" w:styleId="TitleChar1">
    <w:name w:val="Title Char1"/>
    <w:basedOn w:val="DefaultParagraphFont"/>
    <w:uiPriority w:val="10"/>
    <w:rsid w:val="001A54E6"/>
    <w:rPr>
      <w:rFonts w:asciiTheme="majorHAnsi" w:eastAsiaTheme="majorEastAsia" w:hAnsiTheme="majorHAnsi" w:cstheme="majorBidi"/>
      <w:spacing w:val="-10"/>
      <w:kern w:val="28"/>
      <w:sz w:val="56"/>
      <w:szCs w:val="56"/>
      <w:lang w:val="ro-RO"/>
    </w:rPr>
  </w:style>
  <w:style w:type="character" w:customStyle="1" w:styleId="SubtitluCaracter1">
    <w:name w:val="Subtitlu Caracter1"/>
    <w:basedOn w:val="DefaultParagraphFont"/>
    <w:uiPriority w:val="11"/>
    <w:rsid w:val="001A54E6"/>
    <w:rPr>
      <w:rFonts w:eastAsiaTheme="minorEastAsia"/>
      <w:color w:val="5A5A5A" w:themeColor="text1" w:themeTint="A5"/>
      <w:spacing w:val="15"/>
      <w:lang w:val="ro-RO"/>
    </w:rPr>
  </w:style>
  <w:style w:type="character" w:customStyle="1" w:styleId="SubtitleChar1">
    <w:name w:val="Subtitle Char1"/>
    <w:basedOn w:val="DefaultParagraphFont"/>
    <w:uiPriority w:val="11"/>
    <w:rsid w:val="001A54E6"/>
    <w:rPr>
      <w:rFonts w:eastAsiaTheme="minorEastAsia"/>
      <w:color w:val="5A5A5A" w:themeColor="text1" w:themeTint="A5"/>
      <w:spacing w:val="15"/>
      <w:lang w:val="ro-RO"/>
    </w:rPr>
  </w:style>
  <w:style w:type="character" w:customStyle="1" w:styleId="CitatCaracter2">
    <w:name w:val="Citat Caracter2"/>
    <w:basedOn w:val="DefaultParagraphFont"/>
    <w:uiPriority w:val="99"/>
    <w:rsid w:val="001A54E6"/>
    <w:rPr>
      <w:i/>
      <w:iCs/>
      <w:color w:val="404040" w:themeColor="text1" w:themeTint="BF"/>
      <w:lang w:val="ro-RO"/>
    </w:rPr>
  </w:style>
  <w:style w:type="character" w:customStyle="1" w:styleId="QuoteChar1">
    <w:name w:val="Quote Char1"/>
    <w:basedOn w:val="DefaultParagraphFont"/>
    <w:uiPriority w:val="29"/>
    <w:rsid w:val="001A54E6"/>
    <w:rPr>
      <w:i/>
      <w:iCs/>
      <w:color w:val="404040" w:themeColor="text1" w:themeTint="BF"/>
      <w:lang w:val="ro-RO"/>
    </w:rPr>
  </w:style>
  <w:style w:type="character" w:customStyle="1" w:styleId="Parteasuperioaraformularului-zCaracter1">
    <w:name w:val="Partea superioară a formularului-z Caracter1"/>
    <w:basedOn w:val="DefaultParagraphFont"/>
    <w:uiPriority w:val="99"/>
    <w:semiHidden/>
    <w:rsid w:val="001A54E6"/>
    <w:rPr>
      <w:rFonts w:ascii="Arial" w:hAnsi="Arial" w:cs="Arial"/>
      <w:vanish/>
      <w:sz w:val="16"/>
      <w:szCs w:val="16"/>
      <w:lang w:val="ro-RO"/>
    </w:rPr>
  </w:style>
  <w:style w:type="character" w:customStyle="1" w:styleId="z-TopofFormChar1">
    <w:name w:val="z-Top of Form Char1"/>
    <w:basedOn w:val="DefaultParagraphFont"/>
    <w:uiPriority w:val="99"/>
    <w:semiHidden/>
    <w:rsid w:val="001A54E6"/>
    <w:rPr>
      <w:rFonts w:ascii="Arial" w:hAnsi="Arial" w:cs="Arial"/>
      <w:vanish/>
      <w:sz w:val="16"/>
      <w:szCs w:val="16"/>
      <w:lang w:val="ro-RO"/>
    </w:rPr>
  </w:style>
  <w:style w:type="character" w:customStyle="1" w:styleId="Parteainferioaraformularului-zCaracter1">
    <w:name w:val="Partea inferioară a formularului-z Caracter1"/>
    <w:basedOn w:val="DefaultParagraphFont"/>
    <w:uiPriority w:val="99"/>
    <w:semiHidden/>
    <w:rsid w:val="001A54E6"/>
    <w:rPr>
      <w:rFonts w:ascii="Arial" w:hAnsi="Arial" w:cs="Arial"/>
      <w:vanish/>
      <w:sz w:val="16"/>
      <w:szCs w:val="16"/>
      <w:lang w:val="ro-RO"/>
    </w:rPr>
  </w:style>
  <w:style w:type="character" w:customStyle="1" w:styleId="z-BottomofFormChar1">
    <w:name w:val="z-Bottom of Form Char1"/>
    <w:basedOn w:val="DefaultParagraphFont"/>
    <w:uiPriority w:val="99"/>
    <w:semiHidden/>
    <w:rsid w:val="001A54E6"/>
    <w:rPr>
      <w:rFonts w:ascii="Arial" w:hAnsi="Arial" w:cs="Arial"/>
      <w:vanish/>
      <w:sz w:val="16"/>
      <w:szCs w:val="16"/>
      <w:lang w:val="ro-RO"/>
    </w:rPr>
  </w:style>
  <w:style w:type="character" w:customStyle="1" w:styleId="CitatintensCaracter1">
    <w:name w:val="Citat intens Caracter1"/>
    <w:basedOn w:val="DefaultParagraphFont"/>
    <w:uiPriority w:val="30"/>
    <w:rsid w:val="001A54E6"/>
    <w:rPr>
      <w:i/>
      <w:iCs/>
      <w:color w:val="7F7F7F" w:themeColor="accent1"/>
      <w:lang w:val="ro-RO"/>
    </w:rPr>
  </w:style>
  <w:style w:type="character" w:customStyle="1" w:styleId="IntenseQuoteChar1">
    <w:name w:val="Intense Quote Char1"/>
    <w:basedOn w:val="DefaultParagraphFont"/>
    <w:uiPriority w:val="30"/>
    <w:rsid w:val="001A54E6"/>
    <w:rPr>
      <w:i/>
      <w:iCs/>
      <w:color w:val="7F7F7F" w:themeColor="accent1"/>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76848">
      <w:bodyDiv w:val="1"/>
      <w:marLeft w:val="0"/>
      <w:marRight w:val="0"/>
      <w:marTop w:val="0"/>
      <w:marBottom w:val="0"/>
      <w:divBdr>
        <w:top w:val="none" w:sz="0" w:space="0" w:color="auto"/>
        <w:left w:val="none" w:sz="0" w:space="0" w:color="auto"/>
        <w:bottom w:val="none" w:sz="0" w:space="0" w:color="auto"/>
        <w:right w:val="none" w:sz="0" w:space="0" w:color="auto"/>
      </w:divBdr>
    </w:div>
    <w:div w:id="101852062">
      <w:bodyDiv w:val="1"/>
      <w:marLeft w:val="0"/>
      <w:marRight w:val="0"/>
      <w:marTop w:val="0"/>
      <w:marBottom w:val="0"/>
      <w:divBdr>
        <w:top w:val="none" w:sz="0" w:space="0" w:color="auto"/>
        <w:left w:val="none" w:sz="0" w:space="0" w:color="auto"/>
        <w:bottom w:val="none" w:sz="0" w:space="0" w:color="auto"/>
        <w:right w:val="none" w:sz="0" w:space="0" w:color="auto"/>
      </w:divBdr>
    </w:div>
    <w:div w:id="102919796">
      <w:bodyDiv w:val="1"/>
      <w:marLeft w:val="0"/>
      <w:marRight w:val="0"/>
      <w:marTop w:val="0"/>
      <w:marBottom w:val="0"/>
      <w:divBdr>
        <w:top w:val="none" w:sz="0" w:space="0" w:color="auto"/>
        <w:left w:val="none" w:sz="0" w:space="0" w:color="auto"/>
        <w:bottom w:val="none" w:sz="0" w:space="0" w:color="auto"/>
        <w:right w:val="none" w:sz="0" w:space="0" w:color="auto"/>
      </w:divBdr>
    </w:div>
    <w:div w:id="114566808">
      <w:bodyDiv w:val="1"/>
      <w:marLeft w:val="0"/>
      <w:marRight w:val="0"/>
      <w:marTop w:val="0"/>
      <w:marBottom w:val="0"/>
      <w:divBdr>
        <w:top w:val="none" w:sz="0" w:space="0" w:color="auto"/>
        <w:left w:val="none" w:sz="0" w:space="0" w:color="auto"/>
        <w:bottom w:val="none" w:sz="0" w:space="0" w:color="auto"/>
        <w:right w:val="none" w:sz="0" w:space="0" w:color="auto"/>
      </w:divBdr>
    </w:div>
    <w:div w:id="159006693">
      <w:bodyDiv w:val="1"/>
      <w:marLeft w:val="0"/>
      <w:marRight w:val="0"/>
      <w:marTop w:val="0"/>
      <w:marBottom w:val="0"/>
      <w:divBdr>
        <w:top w:val="none" w:sz="0" w:space="0" w:color="auto"/>
        <w:left w:val="none" w:sz="0" w:space="0" w:color="auto"/>
        <w:bottom w:val="none" w:sz="0" w:space="0" w:color="auto"/>
        <w:right w:val="none" w:sz="0" w:space="0" w:color="auto"/>
      </w:divBdr>
    </w:div>
    <w:div w:id="202910391">
      <w:bodyDiv w:val="1"/>
      <w:marLeft w:val="0"/>
      <w:marRight w:val="0"/>
      <w:marTop w:val="0"/>
      <w:marBottom w:val="0"/>
      <w:divBdr>
        <w:top w:val="none" w:sz="0" w:space="0" w:color="auto"/>
        <w:left w:val="none" w:sz="0" w:space="0" w:color="auto"/>
        <w:bottom w:val="none" w:sz="0" w:space="0" w:color="auto"/>
        <w:right w:val="none" w:sz="0" w:space="0" w:color="auto"/>
      </w:divBdr>
    </w:div>
    <w:div w:id="207761427">
      <w:bodyDiv w:val="1"/>
      <w:marLeft w:val="0"/>
      <w:marRight w:val="0"/>
      <w:marTop w:val="0"/>
      <w:marBottom w:val="0"/>
      <w:divBdr>
        <w:top w:val="none" w:sz="0" w:space="0" w:color="auto"/>
        <w:left w:val="none" w:sz="0" w:space="0" w:color="auto"/>
        <w:bottom w:val="none" w:sz="0" w:space="0" w:color="auto"/>
        <w:right w:val="none" w:sz="0" w:space="0" w:color="auto"/>
      </w:divBdr>
      <w:divsChild>
        <w:div w:id="1646469181">
          <w:marLeft w:val="0"/>
          <w:marRight w:val="0"/>
          <w:marTop w:val="0"/>
          <w:marBottom w:val="0"/>
          <w:divBdr>
            <w:top w:val="none" w:sz="0" w:space="0" w:color="auto"/>
            <w:left w:val="none" w:sz="0" w:space="0" w:color="auto"/>
            <w:bottom w:val="none" w:sz="0" w:space="0" w:color="auto"/>
            <w:right w:val="none" w:sz="0" w:space="0" w:color="auto"/>
          </w:divBdr>
        </w:div>
        <w:div w:id="1627615126">
          <w:marLeft w:val="0"/>
          <w:marRight w:val="0"/>
          <w:marTop w:val="0"/>
          <w:marBottom w:val="0"/>
          <w:divBdr>
            <w:top w:val="none" w:sz="0" w:space="0" w:color="auto"/>
            <w:left w:val="none" w:sz="0" w:space="0" w:color="auto"/>
            <w:bottom w:val="none" w:sz="0" w:space="0" w:color="auto"/>
            <w:right w:val="none" w:sz="0" w:space="0" w:color="auto"/>
          </w:divBdr>
        </w:div>
        <w:div w:id="1940094307">
          <w:marLeft w:val="0"/>
          <w:marRight w:val="0"/>
          <w:marTop w:val="0"/>
          <w:marBottom w:val="0"/>
          <w:divBdr>
            <w:top w:val="none" w:sz="0" w:space="0" w:color="auto"/>
            <w:left w:val="none" w:sz="0" w:space="0" w:color="auto"/>
            <w:bottom w:val="none" w:sz="0" w:space="0" w:color="auto"/>
            <w:right w:val="none" w:sz="0" w:space="0" w:color="auto"/>
          </w:divBdr>
        </w:div>
        <w:div w:id="1807118270">
          <w:marLeft w:val="0"/>
          <w:marRight w:val="0"/>
          <w:marTop w:val="0"/>
          <w:marBottom w:val="0"/>
          <w:divBdr>
            <w:top w:val="none" w:sz="0" w:space="0" w:color="auto"/>
            <w:left w:val="none" w:sz="0" w:space="0" w:color="auto"/>
            <w:bottom w:val="none" w:sz="0" w:space="0" w:color="auto"/>
            <w:right w:val="none" w:sz="0" w:space="0" w:color="auto"/>
          </w:divBdr>
        </w:div>
        <w:div w:id="2027824234">
          <w:marLeft w:val="0"/>
          <w:marRight w:val="0"/>
          <w:marTop w:val="0"/>
          <w:marBottom w:val="0"/>
          <w:divBdr>
            <w:top w:val="none" w:sz="0" w:space="0" w:color="auto"/>
            <w:left w:val="none" w:sz="0" w:space="0" w:color="auto"/>
            <w:bottom w:val="none" w:sz="0" w:space="0" w:color="auto"/>
            <w:right w:val="none" w:sz="0" w:space="0" w:color="auto"/>
          </w:divBdr>
        </w:div>
        <w:div w:id="2083405772">
          <w:marLeft w:val="0"/>
          <w:marRight w:val="0"/>
          <w:marTop w:val="0"/>
          <w:marBottom w:val="0"/>
          <w:divBdr>
            <w:top w:val="none" w:sz="0" w:space="0" w:color="auto"/>
            <w:left w:val="none" w:sz="0" w:space="0" w:color="auto"/>
            <w:bottom w:val="none" w:sz="0" w:space="0" w:color="auto"/>
            <w:right w:val="none" w:sz="0" w:space="0" w:color="auto"/>
          </w:divBdr>
        </w:div>
        <w:div w:id="524750407">
          <w:marLeft w:val="0"/>
          <w:marRight w:val="0"/>
          <w:marTop w:val="0"/>
          <w:marBottom w:val="0"/>
          <w:divBdr>
            <w:top w:val="none" w:sz="0" w:space="0" w:color="auto"/>
            <w:left w:val="none" w:sz="0" w:space="0" w:color="auto"/>
            <w:bottom w:val="none" w:sz="0" w:space="0" w:color="auto"/>
            <w:right w:val="none" w:sz="0" w:space="0" w:color="auto"/>
          </w:divBdr>
        </w:div>
        <w:div w:id="1392266785">
          <w:marLeft w:val="0"/>
          <w:marRight w:val="0"/>
          <w:marTop w:val="0"/>
          <w:marBottom w:val="0"/>
          <w:divBdr>
            <w:top w:val="none" w:sz="0" w:space="0" w:color="auto"/>
            <w:left w:val="none" w:sz="0" w:space="0" w:color="auto"/>
            <w:bottom w:val="none" w:sz="0" w:space="0" w:color="auto"/>
            <w:right w:val="none" w:sz="0" w:space="0" w:color="auto"/>
          </w:divBdr>
        </w:div>
        <w:div w:id="1499424868">
          <w:marLeft w:val="0"/>
          <w:marRight w:val="0"/>
          <w:marTop w:val="0"/>
          <w:marBottom w:val="0"/>
          <w:divBdr>
            <w:top w:val="none" w:sz="0" w:space="0" w:color="auto"/>
            <w:left w:val="none" w:sz="0" w:space="0" w:color="auto"/>
            <w:bottom w:val="none" w:sz="0" w:space="0" w:color="auto"/>
            <w:right w:val="none" w:sz="0" w:space="0" w:color="auto"/>
          </w:divBdr>
        </w:div>
        <w:div w:id="2088918784">
          <w:marLeft w:val="0"/>
          <w:marRight w:val="0"/>
          <w:marTop w:val="0"/>
          <w:marBottom w:val="0"/>
          <w:divBdr>
            <w:top w:val="none" w:sz="0" w:space="0" w:color="auto"/>
            <w:left w:val="none" w:sz="0" w:space="0" w:color="auto"/>
            <w:bottom w:val="none" w:sz="0" w:space="0" w:color="auto"/>
            <w:right w:val="none" w:sz="0" w:space="0" w:color="auto"/>
          </w:divBdr>
        </w:div>
        <w:div w:id="429395443">
          <w:marLeft w:val="0"/>
          <w:marRight w:val="0"/>
          <w:marTop w:val="0"/>
          <w:marBottom w:val="0"/>
          <w:divBdr>
            <w:top w:val="none" w:sz="0" w:space="0" w:color="auto"/>
            <w:left w:val="none" w:sz="0" w:space="0" w:color="auto"/>
            <w:bottom w:val="none" w:sz="0" w:space="0" w:color="auto"/>
            <w:right w:val="none" w:sz="0" w:space="0" w:color="auto"/>
          </w:divBdr>
        </w:div>
      </w:divsChild>
    </w:div>
    <w:div w:id="213782981">
      <w:bodyDiv w:val="1"/>
      <w:marLeft w:val="0"/>
      <w:marRight w:val="0"/>
      <w:marTop w:val="0"/>
      <w:marBottom w:val="0"/>
      <w:divBdr>
        <w:top w:val="none" w:sz="0" w:space="0" w:color="auto"/>
        <w:left w:val="none" w:sz="0" w:space="0" w:color="auto"/>
        <w:bottom w:val="none" w:sz="0" w:space="0" w:color="auto"/>
        <w:right w:val="none" w:sz="0" w:space="0" w:color="auto"/>
      </w:divBdr>
    </w:div>
    <w:div w:id="236936219">
      <w:bodyDiv w:val="1"/>
      <w:marLeft w:val="0"/>
      <w:marRight w:val="0"/>
      <w:marTop w:val="0"/>
      <w:marBottom w:val="0"/>
      <w:divBdr>
        <w:top w:val="none" w:sz="0" w:space="0" w:color="auto"/>
        <w:left w:val="none" w:sz="0" w:space="0" w:color="auto"/>
        <w:bottom w:val="none" w:sz="0" w:space="0" w:color="auto"/>
        <w:right w:val="none" w:sz="0" w:space="0" w:color="auto"/>
      </w:divBdr>
    </w:div>
    <w:div w:id="281546454">
      <w:bodyDiv w:val="1"/>
      <w:marLeft w:val="0"/>
      <w:marRight w:val="0"/>
      <w:marTop w:val="0"/>
      <w:marBottom w:val="0"/>
      <w:divBdr>
        <w:top w:val="none" w:sz="0" w:space="0" w:color="auto"/>
        <w:left w:val="none" w:sz="0" w:space="0" w:color="auto"/>
        <w:bottom w:val="none" w:sz="0" w:space="0" w:color="auto"/>
        <w:right w:val="none" w:sz="0" w:space="0" w:color="auto"/>
      </w:divBdr>
    </w:div>
    <w:div w:id="289633862">
      <w:bodyDiv w:val="1"/>
      <w:marLeft w:val="0"/>
      <w:marRight w:val="0"/>
      <w:marTop w:val="0"/>
      <w:marBottom w:val="0"/>
      <w:divBdr>
        <w:top w:val="none" w:sz="0" w:space="0" w:color="auto"/>
        <w:left w:val="none" w:sz="0" w:space="0" w:color="auto"/>
        <w:bottom w:val="none" w:sz="0" w:space="0" w:color="auto"/>
        <w:right w:val="none" w:sz="0" w:space="0" w:color="auto"/>
      </w:divBdr>
    </w:div>
    <w:div w:id="316109869">
      <w:bodyDiv w:val="1"/>
      <w:marLeft w:val="0"/>
      <w:marRight w:val="0"/>
      <w:marTop w:val="0"/>
      <w:marBottom w:val="0"/>
      <w:divBdr>
        <w:top w:val="none" w:sz="0" w:space="0" w:color="auto"/>
        <w:left w:val="none" w:sz="0" w:space="0" w:color="auto"/>
        <w:bottom w:val="none" w:sz="0" w:space="0" w:color="auto"/>
        <w:right w:val="none" w:sz="0" w:space="0" w:color="auto"/>
      </w:divBdr>
    </w:div>
    <w:div w:id="358505312">
      <w:bodyDiv w:val="1"/>
      <w:marLeft w:val="0"/>
      <w:marRight w:val="0"/>
      <w:marTop w:val="0"/>
      <w:marBottom w:val="0"/>
      <w:divBdr>
        <w:top w:val="none" w:sz="0" w:space="0" w:color="auto"/>
        <w:left w:val="none" w:sz="0" w:space="0" w:color="auto"/>
        <w:bottom w:val="none" w:sz="0" w:space="0" w:color="auto"/>
        <w:right w:val="none" w:sz="0" w:space="0" w:color="auto"/>
      </w:divBdr>
    </w:div>
    <w:div w:id="469252982">
      <w:bodyDiv w:val="1"/>
      <w:marLeft w:val="0"/>
      <w:marRight w:val="0"/>
      <w:marTop w:val="0"/>
      <w:marBottom w:val="0"/>
      <w:divBdr>
        <w:top w:val="none" w:sz="0" w:space="0" w:color="auto"/>
        <w:left w:val="none" w:sz="0" w:space="0" w:color="auto"/>
        <w:bottom w:val="none" w:sz="0" w:space="0" w:color="auto"/>
        <w:right w:val="none" w:sz="0" w:space="0" w:color="auto"/>
      </w:divBdr>
    </w:div>
    <w:div w:id="479543076">
      <w:bodyDiv w:val="1"/>
      <w:marLeft w:val="0"/>
      <w:marRight w:val="0"/>
      <w:marTop w:val="0"/>
      <w:marBottom w:val="0"/>
      <w:divBdr>
        <w:top w:val="none" w:sz="0" w:space="0" w:color="auto"/>
        <w:left w:val="none" w:sz="0" w:space="0" w:color="auto"/>
        <w:bottom w:val="none" w:sz="0" w:space="0" w:color="auto"/>
        <w:right w:val="none" w:sz="0" w:space="0" w:color="auto"/>
      </w:divBdr>
    </w:div>
    <w:div w:id="560025570">
      <w:bodyDiv w:val="1"/>
      <w:marLeft w:val="0"/>
      <w:marRight w:val="0"/>
      <w:marTop w:val="0"/>
      <w:marBottom w:val="0"/>
      <w:divBdr>
        <w:top w:val="none" w:sz="0" w:space="0" w:color="auto"/>
        <w:left w:val="none" w:sz="0" w:space="0" w:color="auto"/>
        <w:bottom w:val="none" w:sz="0" w:space="0" w:color="auto"/>
        <w:right w:val="none" w:sz="0" w:space="0" w:color="auto"/>
      </w:divBdr>
    </w:div>
    <w:div w:id="595747777">
      <w:bodyDiv w:val="1"/>
      <w:marLeft w:val="0"/>
      <w:marRight w:val="0"/>
      <w:marTop w:val="0"/>
      <w:marBottom w:val="0"/>
      <w:divBdr>
        <w:top w:val="none" w:sz="0" w:space="0" w:color="auto"/>
        <w:left w:val="none" w:sz="0" w:space="0" w:color="auto"/>
        <w:bottom w:val="none" w:sz="0" w:space="0" w:color="auto"/>
        <w:right w:val="none" w:sz="0" w:space="0" w:color="auto"/>
      </w:divBdr>
    </w:div>
    <w:div w:id="597981061">
      <w:bodyDiv w:val="1"/>
      <w:marLeft w:val="0"/>
      <w:marRight w:val="0"/>
      <w:marTop w:val="0"/>
      <w:marBottom w:val="0"/>
      <w:divBdr>
        <w:top w:val="none" w:sz="0" w:space="0" w:color="auto"/>
        <w:left w:val="none" w:sz="0" w:space="0" w:color="auto"/>
        <w:bottom w:val="none" w:sz="0" w:space="0" w:color="auto"/>
        <w:right w:val="none" w:sz="0" w:space="0" w:color="auto"/>
      </w:divBdr>
    </w:div>
    <w:div w:id="673217397">
      <w:bodyDiv w:val="1"/>
      <w:marLeft w:val="0"/>
      <w:marRight w:val="0"/>
      <w:marTop w:val="0"/>
      <w:marBottom w:val="0"/>
      <w:divBdr>
        <w:top w:val="none" w:sz="0" w:space="0" w:color="auto"/>
        <w:left w:val="none" w:sz="0" w:space="0" w:color="auto"/>
        <w:bottom w:val="none" w:sz="0" w:space="0" w:color="auto"/>
        <w:right w:val="none" w:sz="0" w:space="0" w:color="auto"/>
      </w:divBdr>
    </w:div>
    <w:div w:id="704720044">
      <w:bodyDiv w:val="1"/>
      <w:marLeft w:val="0"/>
      <w:marRight w:val="0"/>
      <w:marTop w:val="0"/>
      <w:marBottom w:val="0"/>
      <w:divBdr>
        <w:top w:val="none" w:sz="0" w:space="0" w:color="auto"/>
        <w:left w:val="none" w:sz="0" w:space="0" w:color="auto"/>
        <w:bottom w:val="none" w:sz="0" w:space="0" w:color="auto"/>
        <w:right w:val="none" w:sz="0" w:space="0" w:color="auto"/>
      </w:divBdr>
    </w:div>
    <w:div w:id="704721282">
      <w:bodyDiv w:val="1"/>
      <w:marLeft w:val="0"/>
      <w:marRight w:val="0"/>
      <w:marTop w:val="0"/>
      <w:marBottom w:val="0"/>
      <w:divBdr>
        <w:top w:val="none" w:sz="0" w:space="0" w:color="auto"/>
        <w:left w:val="none" w:sz="0" w:space="0" w:color="auto"/>
        <w:bottom w:val="none" w:sz="0" w:space="0" w:color="auto"/>
        <w:right w:val="none" w:sz="0" w:space="0" w:color="auto"/>
      </w:divBdr>
    </w:div>
    <w:div w:id="716467908">
      <w:bodyDiv w:val="1"/>
      <w:marLeft w:val="0"/>
      <w:marRight w:val="0"/>
      <w:marTop w:val="0"/>
      <w:marBottom w:val="0"/>
      <w:divBdr>
        <w:top w:val="none" w:sz="0" w:space="0" w:color="auto"/>
        <w:left w:val="none" w:sz="0" w:space="0" w:color="auto"/>
        <w:bottom w:val="none" w:sz="0" w:space="0" w:color="auto"/>
        <w:right w:val="none" w:sz="0" w:space="0" w:color="auto"/>
      </w:divBdr>
    </w:div>
    <w:div w:id="776218801">
      <w:bodyDiv w:val="1"/>
      <w:marLeft w:val="0"/>
      <w:marRight w:val="0"/>
      <w:marTop w:val="0"/>
      <w:marBottom w:val="0"/>
      <w:divBdr>
        <w:top w:val="none" w:sz="0" w:space="0" w:color="auto"/>
        <w:left w:val="none" w:sz="0" w:space="0" w:color="auto"/>
        <w:bottom w:val="none" w:sz="0" w:space="0" w:color="auto"/>
        <w:right w:val="none" w:sz="0" w:space="0" w:color="auto"/>
      </w:divBdr>
    </w:div>
    <w:div w:id="780539923">
      <w:bodyDiv w:val="1"/>
      <w:marLeft w:val="0"/>
      <w:marRight w:val="0"/>
      <w:marTop w:val="0"/>
      <w:marBottom w:val="0"/>
      <w:divBdr>
        <w:top w:val="none" w:sz="0" w:space="0" w:color="auto"/>
        <w:left w:val="none" w:sz="0" w:space="0" w:color="auto"/>
        <w:bottom w:val="none" w:sz="0" w:space="0" w:color="auto"/>
        <w:right w:val="none" w:sz="0" w:space="0" w:color="auto"/>
      </w:divBdr>
    </w:div>
    <w:div w:id="824862805">
      <w:bodyDiv w:val="1"/>
      <w:marLeft w:val="0"/>
      <w:marRight w:val="0"/>
      <w:marTop w:val="0"/>
      <w:marBottom w:val="0"/>
      <w:divBdr>
        <w:top w:val="none" w:sz="0" w:space="0" w:color="auto"/>
        <w:left w:val="none" w:sz="0" w:space="0" w:color="auto"/>
        <w:bottom w:val="none" w:sz="0" w:space="0" w:color="auto"/>
        <w:right w:val="none" w:sz="0" w:space="0" w:color="auto"/>
      </w:divBdr>
    </w:div>
    <w:div w:id="837424008">
      <w:bodyDiv w:val="1"/>
      <w:marLeft w:val="0"/>
      <w:marRight w:val="0"/>
      <w:marTop w:val="0"/>
      <w:marBottom w:val="0"/>
      <w:divBdr>
        <w:top w:val="none" w:sz="0" w:space="0" w:color="auto"/>
        <w:left w:val="none" w:sz="0" w:space="0" w:color="auto"/>
        <w:bottom w:val="none" w:sz="0" w:space="0" w:color="auto"/>
        <w:right w:val="none" w:sz="0" w:space="0" w:color="auto"/>
      </w:divBdr>
    </w:div>
    <w:div w:id="927151591">
      <w:bodyDiv w:val="1"/>
      <w:marLeft w:val="0"/>
      <w:marRight w:val="0"/>
      <w:marTop w:val="0"/>
      <w:marBottom w:val="0"/>
      <w:divBdr>
        <w:top w:val="none" w:sz="0" w:space="0" w:color="auto"/>
        <w:left w:val="none" w:sz="0" w:space="0" w:color="auto"/>
        <w:bottom w:val="none" w:sz="0" w:space="0" w:color="auto"/>
        <w:right w:val="none" w:sz="0" w:space="0" w:color="auto"/>
      </w:divBdr>
    </w:div>
    <w:div w:id="937640677">
      <w:bodyDiv w:val="1"/>
      <w:marLeft w:val="0"/>
      <w:marRight w:val="0"/>
      <w:marTop w:val="0"/>
      <w:marBottom w:val="0"/>
      <w:divBdr>
        <w:top w:val="none" w:sz="0" w:space="0" w:color="auto"/>
        <w:left w:val="none" w:sz="0" w:space="0" w:color="auto"/>
        <w:bottom w:val="none" w:sz="0" w:space="0" w:color="auto"/>
        <w:right w:val="none" w:sz="0" w:space="0" w:color="auto"/>
      </w:divBdr>
    </w:div>
    <w:div w:id="944076681">
      <w:bodyDiv w:val="1"/>
      <w:marLeft w:val="0"/>
      <w:marRight w:val="0"/>
      <w:marTop w:val="0"/>
      <w:marBottom w:val="0"/>
      <w:divBdr>
        <w:top w:val="none" w:sz="0" w:space="0" w:color="auto"/>
        <w:left w:val="none" w:sz="0" w:space="0" w:color="auto"/>
        <w:bottom w:val="none" w:sz="0" w:space="0" w:color="auto"/>
        <w:right w:val="none" w:sz="0" w:space="0" w:color="auto"/>
      </w:divBdr>
    </w:div>
    <w:div w:id="989285466">
      <w:bodyDiv w:val="1"/>
      <w:marLeft w:val="0"/>
      <w:marRight w:val="0"/>
      <w:marTop w:val="0"/>
      <w:marBottom w:val="0"/>
      <w:divBdr>
        <w:top w:val="none" w:sz="0" w:space="0" w:color="auto"/>
        <w:left w:val="none" w:sz="0" w:space="0" w:color="auto"/>
        <w:bottom w:val="none" w:sz="0" w:space="0" w:color="auto"/>
        <w:right w:val="none" w:sz="0" w:space="0" w:color="auto"/>
      </w:divBdr>
    </w:div>
    <w:div w:id="1000155068">
      <w:bodyDiv w:val="1"/>
      <w:marLeft w:val="0"/>
      <w:marRight w:val="0"/>
      <w:marTop w:val="0"/>
      <w:marBottom w:val="0"/>
      <w:divBdr>
        <w:top w:val="none" w:sz="0" w:space="0" w:color="auto"/>
        <w:left w:val="none" w:sz="0" w:space="0" w:color="auto"/>
        <w:bottom w:val="none" w:sz="0" w:space="0" w:color="auto"/>
        <w:right w:val="none" w:sz="0" w:space="0" w:color="auto"/>
      </w:divBdr>
    </w:div>
    <w:div w:id="1010645973">
      <w:bodyDiv w:val="1"/>
      <w:marLeft w:val="0"/>
      <w:marRight w:val="0"/>
      <w:marTop w:val="0"/>
      <w:marBottom w:val="0"/>
      <w:divBdr>
        <w:top w:val="none" w:sz="0" w:space="0" w:color="auto"/>
        <w:left w:val="none" w:sz="0" w:space="0" w:color="auto"/>
        <w:bottom w:val="none" w:sz="0" w:space="0" w:color="auto"/>
        <w:right w:val="none" w:sz="0" w:space="0" w:color="auto"/>
      </w:divBdr>
    </w:div>
    <w:div w:id="1011837227">
      <w:bodyDiv w:val="1"/>
      <w:marLeft w:val="0"/>
      <w:marRight w:val="0"/>
      <w:marTop w:val="0"/>
      <w:marBottom w:val="0"/>
      <w:divBdr>
        <w:top w:val="none" w:sz="0" w:space="0" w:color="auto"/>
        <w:left w:val="none" w:sz="0" w:space="0" w:color="auto"/>
        <w:bottom w:val="none" w:sz="0" w:space="0" w:color="auto"/>
        <w:right w:val="none" w:sz="0" w:space="0" w:color="auto"/>
      </w:divBdr>
    </w:div>
    <w:div w:id="1040201726">
      <w:bodyDiv w:val="1"/>
      <w:marLeft w:val="0"/>
      <w:marRight w:val="0"/>
      <w:marTop w:val="0"/>
      <w:marBottom w:val="0"/>
      <w:divBdr>
        <w:top w:val="none" w:sz="0" w:space="0" w:color="auto"/>
        <w:left w:val="none" w:sz="0" w:space="0" w:color="auto"/>
        <w:bottom w:val="none" w:sz="0" w:space="0" w:color="auto"/>
        <w:right w:val="none" w:sz="0" w:space="0" w:color="auto"/>
      </w:divBdr>
    </w:div>
    <w:div w:id="1052734039">
      <w:bodyDiv w:val="1"/>
      <w:marLeft w:val="0"/>
      <w:marRight w:val="0"/>
      <w:marTop w:val="0"/>
      <w:marBottom w:val="0"/>
      <w:divBdr>
        <w:top w:val="none" w:sz="0" w:space="0" w:color="auto"/>
        <w:left w:val="none" w:sz="0" w:space="0" w:color="auto"/>
        <w:bottom w:val="none" w:sz="0" w:space="0" w:color="auto"/>
        <w:right w:val="none" w:sz="0" w:space="0" w:color="auto"/>
      </w:divBdr>
    </w:div>
    <w:div w:id="1061831843">
      <w:bodyDiv w:val="1"/>
      <w:marLeft w:val="0"/>
      <w:marRight w:val="0"/>
      <w:marTop w:val="0"/>
      <w:marBottom w:val="0"/>
      <w:divBdr>
        <w:top w:val="none" w:sz="0" w:space="0" w:color="auto"/>
        <w:left w:val="none" w:sz="0" w:space="0" w:color="auto"/>
        <w:bottom w:val="none" w:sz="0" w:space="0" w:color="auto"/>
        <w:right w:val="none" w:sz="0" w:space="0" w:color="auto"/>
      </w:divBdr>
    </w:div>
    <w:div w:id="1096557173">
      <w:bodyDiv w:val="1"/>
      <w:marLeft w:val="0"/>
      <w:marRight w:val="0"/>
      <w:marTop w:val="0"/>
      <w:marBottom w:val="0"/>
      <w:divBdr>
        <w:top w:val="none" w:sz="0" w:space="0" w:color="auto"/>
        <w:left w:val="none" w:sz="0" w:space="0" w:color="auto"/>
        <w:bottom w:val="none" w:sz="0" w:space="0" w:color="auto"/>
        <w:right w:val="none" w:sz="0" w:space="0" w:color="auto"/>
      </w:divBdr>
    </w:div>
    <w:div w:id="1098255366">
      <w:bodyDiv w:val="1"/>
      <w:marLeft w:val="0"/>
      <w:marRight w:val="0"/>
      <w:marTop w:val="0"/>
      <w:marBottom w:val="0"/>
      <w:divBdr>
        <w:top w:val="none" w:sz="0" w:space="0" w:color="auto"/>
        <w:left w:val="none" w:sz="0" w:space="0" w:color="auto"/>
        <w:bottom w:val="none" w:sz="0" w:space="0" w:color="auto"/>
        <w:right w:val="none" w:sz="0" w:space="0" w:color="auto"/>
      </w:divBdr>
    </w:div>
    <w:div w:id="1110588704">
      <w:bodyDiv w:val="1"/>
      <w:marLeft w:val="0"/>
      <w:marRight w:val="0"/>
      <w:marTop w:val="0"/>
      <w:marBottom w:val="0"/>
      <w:divBdr>
        <w:top w:val="none" w:sz="0" w:space="0" w:color="auto"/>
        <w:left w:val="none" w:sz="0" w:space="0" w:color="auto"/>
        <w:bottom w:val="none" w:sz="0" w:space="0" w:color="auto"/>
        <w:right w:val="none" w:sz="0" w:space="0" w:color="auto"/>
      </w:divBdr>
    </w:div>
    <w:div w:id="1122504724">
      <w:bodyDiv w:val="1"/>
      <w:marLeft w:val="0"/>
      <w:marRight w:val="0"/>
      <w:marTop w:val="0"/>
      <w:marBottom w:val="0"/>
      <w:divBdr>
        <w:top w:val="none" w:sz="0" w:space="0" w:color="auto"/>
        <w:left w:val="none" w:sz="0" w:space="0" w:color="auto"/>
        <w:bottom w:val="none" w:sz="0" w:space="0" w:color="auto"/>
        <w:right w:val="none" w:sz="0" w:space="0" w:color="auto"/>
      </w:divBdr>
    </w:div>
    <w:div w:id="1152794617">
      <w:bodyDiv w:val="1"/>
      <w:marLeft w:val="0"/>
      <w:marRight w:val="0"/>
      <w:marTop w:val="0"/>
      <w:marBottom w:val="0"/>
      <w:divBdr>
        <w:top w:val="none" w:sz="0" w:space="0" w:color="auto"/>
        <w:left w:val="none" w:sz="0" w:space="0" w:color="auto"/>
        <w:bottom w:val="none" w:sz="0" w:space="0" w:color="auto"/>
        <w:right w:val="none" w:sz="0" w:space="0" w:color="auto"/>
      </w:divBdr>
    </w:div>
    <w:div w:id="1300646192">
      <w:bodyDiv w:val="1"/>
      <w:marLeft w:val="0"/>
      <w:marRight w:val="0"/>
      <w:marTop w:val="0"/>
      <w:marBottom w:val="0"/>
      <w:divBdr>
        <w:top w:val="none" w:sz="0" w:space="0" w:color="auto"/>
        <w:left w:val="none" w:sz="0" w:space="0" w:color="auto"/>
        <w:bottom w:val="none" w:sz="0" w:space="0" w:color="auto"/>
        <w:right w:val="none" w:sz="0" w:space="0" w:color="auto"/>
      </w:divBdr>
    </w:div>
    <w:div w:id="1309283865">
      <w:bodyDiv w:val="1"/>
      <w:marLeft w:val="0"/>
      <w:marRight w:val="0"/>
      <w:marTop w:val="0"/>
      <w:marBottom w:val="0"/>
      <w:divBdr>
        <w:top w:val="none" w:sz="0" w:space="0" w:color="auto"/>
        <w:left w:val="none" w:sz="0" w:space="0" w:color="auto"/>
        <w:bottom w:val="none" w:sz="0" w:space="0" w:color="auto"/>
        <w:right w:val="none" w:sz="0" w:space="0" w:color="auto"/>
      </w:divBdr>
    </w:div>
    <w:div w:id="1342703657">
      <w:bodyDiv w:val="1"/>
      <w:marLeft w:val="0"/>
      <w:marRight w:val="0"/>
      <w:marTop w:val="0"/>
      <w:marBottom w:val="0"/>
      <w:divBdr>
        <w:top w:val="none" w:sz="0" w:space="0" w:color="auto"/>
        <w:left w:val="none" w:sz="0" w:space="0" w:color="auto"/>
        <w:bottom w:val="none" w:sz="0" w:space="0" w:color="auto"/>
        <w:right w:val="none" w:sz="0" w:space="0" w:color="auto"/>
      </w:divBdr>
    </w:div>
    <w:div w:id="1416392909">
      <w:bodyDiv w:val="1"/>
      <w:marLeft w:val="0"/>
      <w:marRight w:val="0"/>
      <w:marTop w:val="0"/>
      <w:marBottom w:val="0"/>
      <w:divBdr>
        <w:top w:val="none" w:sz="0" w:space="0" w:color="auto"/>
        <w:left w:val="none" w:sz="0" w:space="0" w:color="auto"/>
        <w:bottom w:val="none" w:sz="0" w:space="0" w:color="auto"/>
        <w:right w:val="none" w:sz="0" w:space="0" w:color="auto"/>
      </w:divBdr>
    </w:div>
    <w:div w:id="1424642395">
      <w:bodyDiv w:val="1"/>
      <w:marLeft w:val="0"/>
      <w:marRight w:val="0"/>
      <w:marTop w:val="0"/>
      <w:marBottom w:val="0"/>
      <w:divBdr>
        <w:top w:val="none" w:sz="0" w:space="0" w:color="auto"/>
        <w:left w:val="none" w:sz="0" w:space="0" w:color="auto"/>
        <w:bottom w:val="none" w:sz="0" w:space="0" w:color="auto"/>
        <w:right w:val="none" w:sz="0" w:space="0" w:color="auto"/>
      </w:divBdr>
    </w:div>
    <w:div w:id="1565603031">
      <w:bodyDiv w:val="1"/>
      <w:marLeft w:val="0"/>
      <w:marRight w:val="0"/>
      <w:marTop w:val="0"/>
      <w:marBottom w:val="0"/>
      <w:divBdr>
        <w:top w:val="none" w:sz="0" w:space="0" w:color="auto"/>
        <w:left w:val="none" w:sz="0" w:space="0" w:color="auto"/>
        <w:bottom w:val="none" w:sz="0" w:space="0" w:color="auto"/>
        <w:right w:val="none" w:sz="0" w:space="0" w:color="auto"/>
      </w:divBdr>
    </w:div>
    <w:div w:id="1582301282">
      <w:bodyDiv w:val="1"/>
      <w:marLeft w:val="0"/>
      <w:marRight w:val="0"/>
      <w:marTop w:val="0"/>
      <w:marBottom w:val="0"/>
      <w:divBdr>
        <w:top w:val="none" w:sz="0" w:space="0" w:color="auto"/>
        <w:left w:val="none" w:sz="0" w:space="0" w:color="auto"/>
        <w:bottom w:val="none" w:sz="0" w:space="0" w:color="auto"/>
        <w:right w:val="none" w:sz="0" w:space="0" w:color="auto"/>
      </w:divBdr>
    </w:div>
    <w:div w:id="1630285833">
      <w:bodyDiv w:val="1"/>
      <w:marLeft w:val="0"/>
      <w:marRight w:val="0"/>
      <w:marTop w:val="0"/>
      <w:marBottom w:val="0"/>
      <w:divBdr>
        <w:top w:val="none" w:sz="0" w:space="0" w:color="auto"/>
        <w:left w:val="none" w:sz="0" w:space="0" w:color="auto"/>
        <w:bottom w:val="none" w:sz="0" w:space="0" w:color="auto"/>
        <w:right w:val="none" w:sz="0" w:space="0" w:color="auto"/>
      </w:divBdr>
    </w:div>
    <w:div w:id="1663311516">
      <w:bodyDiv w:val="1"/>
      <w:marLeft w:val="0"/>
      <w:marRight w:val="0"/>
      <w:marTop w:val="0"/>
      <w:marBottom w:val="0"/>
      <w:divBdr>
        <w:top w:val="none" w:sz="0" w:space="0" w:color="auto"/>
        <w:left w:val="none" w:sz="0" w:space="0" w:color="auto"/>
        <w:bottom w:val="none" w:sz="0" w:space="0" w:color="auto"/>
        <w:right w:val="none" w:sz="0" w:space="0" w:color="auto"/>
      </w:divBdr>
    </w:div>
    <w:div w:id="1771899501">
      <w:bodyDiv w:val="1"/>
      <w:marLeft w:val="0"/>
      <w:marRight w:val="0"/>
      <w:marTop w:val="0"/>
      <w:marBottom w:val="0"/>
      <w:divBdr>
        <w:top w:val="none" w:sz="0" w:space="0" w:color="auto"/>
        <w:left w:val="none" w:sz="0" w:space="0" w:color="auto"/>
        <w:bottom w:val="none" w:sz="0" w:space="0" w:color="auto"/>
        <w:right w:val="none" w:sz="0" w:space="0" w:color="auto"/>
      </w:divBdr>
    </w:div>
    <w:div w:id="1874880882">
      <w:bodyDiv w:val="1"/>
      <w:marLeft w:val="0"/>
      <w:marRight w:val="0"/>
      <w:marTop w:val="0"/>
      <w:marBottom w:val="0"/>
      <w:divBdr>
        <w:top w:val="none" w:sz="0" w:space="0" w:color="auto"/>
        <w:left w:val="none" w:sz="0" w:space="0" w:color="auto"/>
        <w:bottom w:val="none" w:sz="0" w:space="0" w:color="auto"/>
        <w:right w:val="none" w:sz="0" w:space="0" w:color="auto"/>
      </w:divBdr>
    </w:div>
    <w:div w:id="1886526398">
      <w:bodyDiv w:val="1"/>
      <w:marLeft w:val="0"/>
      <w:marRight w:val="0"/>
      <w:marTop w:val="0"/>
      <w:marBottom w:val="0"/>
      <w:divBdr>
        <w:top w:val="none" w:sz="0" w:space="0" w:color="auto"/>
        <w:left w:val="none" w:sz="0" w:space="0" w:color="auto"/>
        <w:bottom w:val="none" w:sz="0" w:space="0" w:color="auto"/>
        <w:right w:val="none" w:sz="0" w:space="0" w:color="auto"/>
      </w:divBdr>
    </w:div>
    <w:div w:id="1899365675">
      <w:bodyDiv w:val="1"/>
      <w:marLeft w:val="0"/>
      <w:marRight w:val="0"/>
      <w:marTop w:val="0"/>
      <w:marBottom w:val="0"/>
      <w:divBdr>
        <w:top w:val="none" w:sz="0" w:space="0" w:color="auto"/>
        <w:left w:val="none" w:sz="0" w:space="0" w:color="auto"/>
        <w:bottom w:val="none" w:sz="0" w:space="0" w:color="auto"/>
        <w:right w:val="none" w:sz="0" w:space="0" w:color="auto"/>
      </w:divBdr>
    </w:div>
    <w:div w:id="1954969899">
      <w:bodyDiv w:val="1"/>
      <w:marLeft w:val="0"/>
      <w:marRight w:val="0"/>
      <w:marTop w:val="0"/>
      <w:marBottom w:val="0"/>
      <w:divBdr>
        <w:top w:val="none" w:sz="0" w:space="0" w:color="auto"/>
        <w:left w:val="none" w:sz="0" w:space="0" w:color="auto"/>
        <w:bottom w:val="none" w:sz="0" w:space="0" w:color="auto"/>
        <w:right w:val="none" w:sz="0" w:space="0" w:color="auto"/>
      </w:divBdr>
    </w:div>
    <w:div w:id="1977879661">
      <w:bodyDiv w:val="1"/>
      <w:marLeft w:val="0"/>
      <w:marRight w:val="0"/>
      <w:marTop w:val="0"/>
      <w:marBottom w:val="0"/>
      <w:divBdr>
        <w:top w:val="none" w:sz="0" w:space="0" w:color="auto"/>
        <w:left w:val="none" w:sz="0" w:space="0" w:color="auto"/>
        <w:bottom w:val="none" w:sz="0" w:space="0" w:color="auto"/>
        <w:right w:val="none" w:sz="0" w:space="0" w:color="auto"/>
      </w:divBdr>
    </w:div>
    <w:div w:id="1987007490">
      <w:bodyDiv w:val="1"/>
      <w:marLeft w:val="0"/>
      <w:marRight w:val="0"/>
      <w:marTop w:val="0"/>
      <w:marBottom w:val="0"/>
      <w:divBdr>
        <w:top w:val="none" w:sz="0" w:space="0" w:color="auto"/>
        <w:left w:val="none" w:sz="0" w:space="0" w:color="auto"/>
        <w:bottom w:val="none" w:sz="0" w:space="0" w:color="auto"/>
        <w:right w:val="none" w:sz="0" w:space="0" w:color="auto"/>
      </w:divBdr>
    </w:div>
    <w:div w:id="2037920053">
      <w:marLeft w:val="0"/>
      <w:marRight w:val="0"/>
      <w:marTop w:val="0"/>
      <w:marBottom w:val="0"/>
      <w:divBdr>
        <w:top w:val="none" w:sz="0" w:space="0" w:color="auto"/>
        <w:left w:val="none" w:sz="0" w:space="0" w:color="auto"/>
        <w:bottom w:val="none" w:sz="0" w:space="0" w:color="auto"/>
        <w:right w:val="none" w:sz="0" w:space="0" w:color="auto"/>
      </w:divBdr>
      <w:divsChild>
        <w:div w:id="2037920113">
          <w:marLeft w:val="432"/>
          <w:marRight w:val="0"/>
          <w:marTop w:val="0"/>
          <w:marBottom w:val="0"/>
          <w:divBdr>
            <w:top w:val="none" w:sz="0" w:space="0" w:color="auto"/>
            <w:left w:val="none" w:sz="0" w:space="0" w:color="auto"/>
            <w:bottom w:val="none" w:sz="0" w:space="0" w:color="auto"/>
            <w:right w:val="none" w:sz="0" w:space="0" w:color="auto"/>
          </w:divBdr>
        </w:div>
        <w:div w:id="2037920143">
          <w:marLeft w:val="432"/>
          <w:marRight w:val="0"/>
          <w:marTop w:val="0"/>
          <w:marBottom w:val="0"/>
          <w:divBdr>
            <w:top w:val="none" w:sz="0" w:space="0" w:color="auto"/>
            <w:left w:val="none" w:sz="0" w:space="0" w:color="auto"/>
            <w:bottom w:val="none" w:sz="0" w:space="0" w:color="auto"/>
            <w:right w:val="none" w:sz="0" w:space="0" w:color="auto"/>
          </w:divBdr>
        </w:div>
      </w:divsChild>
    </w:div>
    <w:div w:id="2037920055">
      <w:marLeft w:val="0"/>
      <w:marRight w:val="0"/>
      <w:marTop w:val="0"/>
      <w:marBottom w:val="0"/>
      <w:divBdr>
        <w:top w:val="none" w:sz="0" w:space="0" w:color="auto"/>
        <w:left w:val="none" w:sz="0" w:space="0" w:color="auto"/>
        <w:bottom w:val="none" w:sz="0" w:space="0" w:color="auto"/>
        <w:right w:val="none" w:sz="0" w:space="0" w:color="auto"/>
      </w:divBdr>
      <w:divsChild>
        <w:div w:id="2037920083">
          <w:marLeft w:val="274"/>
          <w:marRight w:val="0"/>
          <w:marTop w:val="0"/>
          <w:marBottom w:val="0"/>
          <w:divBdr>
            <w:top w:val="none" w:sz="0" w:space="0" w:color="auto"/>
            <w:left w:val="none" w:sz="0" w:space="0" w:color="auto"/>
            <w:bottom w:val="none" w:sz="0" w:space="0" w:color="auto"/>
            <w:right w:val="none" w:sz="0" w:space="0" w:color="auto"/>
          </w:divBdr>
        </w:div>
      </w:divsChild>
    </w:div>
    <w:div w:id="2037920058">
      <w:marLeft w:val="0"/>
      <w:marRight w:val="0"/>
      <w:marTop w:val="0"/>
      <w:marBottom w:val="0"/>
      <w:divBdr>
        <w:top w:val="none" w:sz="0" w:space="0" w:color="auto"/>
        <w:left w:val="none" w:sz="0" w:space="0" w:color="auto"/>
        <w:bottom w:val="none" w:sz="0" w:space="0" w:color="auto"/>
        <w:right w:val="none" w:sz="0" w:space="0" w:color="auto"/>
      </w:divBdr>
    </w:div>
    <w:div w:id="2037920060">
      <w:marLeft w:val="0"/>
      <w:marRight w:val="0"/>
      <w:marTop w:val="0"/>
      <w:marBottom w:val="0"/>
      <w:divBdr>
        <w:top w:val="none" w:sz="0" w:space="0" w:color="auto"/>
        <w:left w:val="none" w:sz="0" w:space="0" w:color="auto"/>
        <w:bottom w:val="none" w:sz="0" w:space="0" w:color="auto"/>
        <w:right w:val="none" w:sz="0" w:space="0" w:color="auto"/>
      </w:divBdr>
      <w:divsChild>
        <w:div w:id="2037920054">
          <w:marLeft w:val="432"/>
          <w:marRight w:val="0"/>
          <w:marTop w:val="0"/>
          <w:marBottom w:val="120"/>
          <w:divBdr>
            <w:top w:val="none" w:sz="0" w:space="0" w:color="auto"/>
            <w:left w:val="none" w:sz="0" w:space="0" w:color="auto"/>
            <w:bottom w:val="none" w:sz="0" w:space="0" w:color="auto"/>
            <w:right w:val="none" w:sz="0" w:space="0" w:color="auto"/>
          </w:divBdr>
        </w:div>
        <w:div w:id="2037920074">
          <w:marLeft w:val="432"/>
          <w:marRight w:val="0"/>
          <w:marTop w:val="0"/>
          <w:marBottom w:val="120"/>
          <w:divBdr>
            <w:top w:val="none" w:sz="0" w:space="0" w:color="auto"/>
            <w:left w:val="none" w:sz="0" w:space="0" w:color="auto"/>
            <w:bottom w:val="none" w:sz="0" w:space="0" w:color="auto"/>
            <w:right w:val="none" w:sz="0" w:space="0" w:color="auto"/>
          </w:divBdr>
        </w:div>
        <w:div w:id="2037920131">
          <w:marLeft w:val="432"/>
          <w:marRight w:val="0"/>
          <w:marTop w:val="0"/>
          <w:marBottom w:val="120"/>
          <w:divBdr>
            <w:top w:val="none" w:sz="0" w:space="0" w:color="auto"/>
            <w:left w:val="none" w:sz="0" w:space="0" w:color="auto"/>
            <w:bottom w:val="none" w:sz="0" w:space="0" w:color="auto"/>
            <w:right w:val="none" w:sz="0" w:space="0" w:color="auto"/>
          </w:divBdr>
        </w:div>
      </w:divsChild>
    </w:div>
    <w:div w:id="2037920062">
      <w:marLeft w:val="0"/>
      <w:marRight w:val="0"/>
      <w:marTop w:val="0"/>
      <w:marBottom w:val="0"/>
      <w:divBdr>
        <w:top w:val="none" w:sz="0" w:space="0" w:color="auto"/>
        <w:left w:val="none" w:sz="0" w:space="0" w:color="auto"/>
        <w:bottom w:val="none" w:sz="0" w:space="0" w:color="auto"/>
        <w:right w:val="none" w:sz="0" w:space="0" w:color="auto"/>
      </w:divBdr>
    </w:div>
    <w:div w:id="2037920063">
      <w:marLeft w:val="0"/>
      <w:marRight w:val="0"/>
      <w:marTop w:val="0"/>
      <w:marBottom w:val="0"/>
      <w:divBdr>
        <w:top w:val="none" w:sz="0" w:space="0" w:color="auto"/>
        <w:left w:val="none" w:sz="0" w:space="0" w:color="auto"/>
        <w:bottom w:val="none" w:sz="0" w:space="0" w:color="auto"/>
        <w:right w:val="none" w:sz="0" w:space="0" w:color="auto"/>
      </w:divBdr>
      <w:divsChild>
        <w:div w:id="2037920112">
          <w:marLeft w:val="432"/>
          <w:marRight w:val="0"/>
          <w:marTop w:val="0"/>
          <w:marBottom w:val="0"/>
          <w:divBdr>
            <w:top w:val="none" w:sz="0" w:space="0" w:color="auto"/>
            <w:left w:val="none" w:sz="0" w:space="0" w:color="auto"/>
            <w:bottom w:val="none" w:sz="0" w:space="0" w:color="auto"/>
            <w:right w:val="none" w:sz="0" w:space="0" w:color="auto"/>
          </w:divBdr>
        </w:div>
        <w:div w:id="2037920162">
          <w:marLeft w:val="432"/>
          <w:marRight w:val="0"/>
          <w:marTop w:val="0"/>
          <w:marBottom w:val="0"/>
          <w:divBdr>
            <w:top w:val="none" w:sz="0" w:space="0" w:color="auto"/>
            <w:left w:val="none" w:sz="0" w:space="0" w:color="auto"/>
            <w:bottom w:val="none" w:sz="0" w:space="0" w:color="auto"/>
            <w:right w:val="none" w:sz="0" w:space="0" w:color="auto"/>
          </w:divBdr>
        </w:div>
      </w:divsChild>
    </w:div>
    <w:div w:id="2037920064">
      <w:marLeft w:val="0"/>
      <w:marRight w:val="0"/>
      <w:marTop w:val="0"/>
      <w:marBottom w:val="0"/>
      <w:divBdr>
        <w:top w:val="none" w:sz="0" w:space="0" w:color="auto"/>
        <w:left w:val="none" w:sz="0" w:space="0" w:color="auto"/>
        <w:bottom w:val="none" w:sz="0" w:space="0" w:color="auto"/>
        <w:right w:val="none" w:sz="0" w:space="0" w:color="auto"/>
      </w:divBdr>
      <w:divsChild>
        <w:div w:id="2037920155">
          <w:marLeft w:val="446"/>
          <w:marRight w:val="0"/>
          <w:marTop w:val="0"/>
          <w:marBottom w:val="120"/>
          <w:divBdr>
            <w:top w:val="none" w:sz="0" w:space="0" w:color="auto"/>
            <w:left w:val="none" w:sz="0" w:space="0" w:color="auto"/>
            <w:bottom w:val="none" w:sz="0" w:space="0" w:color="auto"/>
            <w:right w:val="none" w:sz="0" w:space="0" w:color="auto"/>
          </w:divBdr>
        </w:div>
      </w:divsChild>
    </w:div>
    <w:div w:id="2037920065">
      <w:marLeft w:val="0"/>
      <w:marRight w:val="0"/>
      <w:marTop w:val="0"/>
      <w:marBottom w:val="0"/>
      <w:divBdr>
        <w:top w:val="none" w:sz="0" w:space="0" w:color="auto"/>
        <w:left w:val="none" w:sz="0" w:space="0" w:color="auto"/>
        <w:bottom w:val="none" w:sz="0" w:space="0" w:color="auto"/>
        <w:right w:val="none" w:sz="0" w:space="0" w:color="auto"/>
      </w:divBdr>
    </w:div>
    <w:div w:id="2037920067">
      <w:marLeft w:val="0"/>
      <w:marRight w:val="0"/>
      <w:marTop w:val="0"/>
      <w:marBottom w:val="0"/>
      <w:divBdr>
        <w:top w:val="none" w:sz="0" w:space="0" w:color="auto"/>
        <w:left w:val="none" w:sz="0" w:space="0" w:color="auto"/>
        <w:bottom w:val="none" w:sz="0" w:space="0" w:color="auto"/>
        <w:right w:val="none" w:sz="0" w:space="0" w:color="auto"/>
      </w:divBdr>
      <w:divsChild>
        <w:div w:id="2037920079">
          <w:marLeft w:val="446"/>
          <w:marRight w:val="0"/>
          <w:marTop w:val="0"/>
          <w:marBottom w:val="120"/>
          <w:divBdr>
            <w:top w:val="none" w:sz="0" w:space="0" w:color="auto"/>
            <w:left w:val="none" w:sz="0" w:space="0" w:color="auto"/>
            <w:bottom w:val="none" w:sz="0" w:space="0" w:color="auto"/>
            <w:right w:val="none" w:sz="0" w:space="0" w:color="auto"/>
          </w:divBdr>
        </w:div>
        <w:div w:id="2037920090">
          <w:marLeft w:val="446"/>
          <w:marRight w:val="0"/>
          <w:marTop w:val="0"/>
          <w:marBottom w:val="120"/>
          <w:divBdr>
            <w:top w:val="none" w:sz="0" w:space="0" w:color="auto"/>
            <w:left w:val="none" w:sz="0" w:space="0" w:color="auto"/>
            <w:bottom w:val="none" w:sz="0" w:space="0" w:color="auto"/>
            <w:right w:val="none" w:sz="0" w:space="0" w:color="auto"/>
          </w:divBdr>
        </w:div>
      </w:divsChild>
    </w:div>
    <w:div w:id="2037920068">
      <w:marLeft w:val="0"/>
      <w:marRight w:val="0"/>
      <w:marTop w:val="0"/>
      <w:marBottom w:val="0"/>
      <w:divBdr>
        <w:top w:val="none" w:sz="0" w:space="0" w:color="auto"/>
        <w:left w:val="none" w:sz="0" w:space="0" w:color="auto"/>
        <w:bottom w:val="none" w:sz="0" w:space="0" w:color="auto"/>
        <w:right w:val="none" w:sz="0" w:space="0" w:color="auto"/>
      </w:divBdr>
      <w:divsChild>
        <w:div w:id="2037920069">
          <w:marLeft w:val="446"/>
          <w:marRight w:val="0"/>
          <w:marTop w:val="0"/>
          <w:marBottom w:val="120"/>
          <w:divBdr>
            <w:top w:val="none" w:sz="0" w:space="0" w:color="auto"/>
            <w:left w:val="none" w:sz="0" w:space="0" w:color="auto"/>
            <w:bottom w:val="none" w:sz="0" w:space="0" w:color="auto"/>
            <w:right w:val="none" w:sz="0" w:space="0" w:color="auto"/>
          </w:divBdr>
        </w:div>
        <w:div w:id="2037920104">
          <w:marLeft w:val="446"/>
          <w:marRight w:val="0"/>
          <w:marTop w:val="0"/>
          <w:marBottom w:val="120"/>
          <w:divBdr>
            <w:top w:val="none" w:sz="0" w:space="0" w:color="auto"/>
            <w:left w:val="none" w:sz="0" w:space="0" w:color="auto"/>
            <w:bottom w:val="none" w:sz="0" w:space="0" w:color="auto"/>
            <w:right w:val="none" w:sz="0" w:space="0" w:color="auto"/>
          </w:divBdr>
        </w:div>
      </w:divsChild>
    </w:div>
    <w:div w:id="2037920070">
      <w:marLeft w:val="0"/>
      <w:marRight w:val="0"/>
      <w:marTop w:val="0"/>
      <w:marBottom w:val="0"/>
      <w:divBdr>
        <w:top w:val="none" w:sz="0" w:space="0" w:color="auto"/>
        <w:left w:val="none" w:sz="0" w:space="0" w:color="auto"/>
        <w:bottom w:val="none" w:sz="0" w:space="0" w:color="auto"/>
        <w:right w:val="none" w:sz="0" w:space="0" w:color="auto"/>
      </w:divBdr>
      <w:divsChild>
        <w:div w:id="2037920122">
          <w:marLeft w:val="432"/>
          <w:marRight w:val="0"/>
          <w:marTop w:val="0"/>
          <w:marBottom w:val="120"/>
          <w:divBdr>
            <w:top w:val="none" w:sz="0" w:space="0" w:color="auto"/>
            <w:left w:val="none" w:sz="0" w:space="0" w:color="auto"/>
            <w:bottom w:val="none" w:sz="0" w:space="0" w:color="auto"/>
            <w:right w:val="none" w:sz="0" w:space="0" w:color="auto"/>
          </w:divBdr>
        </w:div>
        <w:div w:id="2037920168">
          <w:marLeft w:val="432"/>
          <w:marRight w:val="0"/>
          <w:marTop w:val="0"/>
          <w:marBottom w:val="120"/>
          <w:divBdr>
            <w:top w:val="none" w:sz="0" w:space="0" w:color="auto"/>
            <w:left w:val="none" w:sz="0" w:space="0" w:color="auto"/>
            <w:bottom w:val="none" w:sz="0" w:space="0" w:color="auto"/>
            <w:right w:val="none" w:sz="0" w:space="0" w:color="auto"/>
          </w:divBdr>
        </w:div>
        <w:div w:id="2037920178">
          <w:marLeft w:val="432"/>
          <w:marRight w:val="0"/>
          <w:marTop w:val="0"/>
          <w:marBottom w:val="120"/>
          <w:divBdr>
            <w:top w:val="none" w:sz="0" w:space="0" w:color="auto"/>
            <w:left w:val="none" w:sz="0" w:space="0" w:color="auto"/>
            <w:bottom w:val="none" w:sz="0" w:space="0" w:color="auto"/>
            <w:right w:val="none" w:sz="0" w:space="0" w:color="auto"/>
          </w:divBdr>
        </w:div>
      </w:divsChild>
    </w:div>
    <w:div w:id="2037920075">
      <w:marLeft w:val="0"/>
      <w:marRight w:val="0"/>
      <w:marTop w:val="0"/>
      <w:marBottom w:val="0"/>
      <w:divBdr>
        <w:top w:val="none" w:sz="0" w:space="0" w:color="auto"/>
        <w:left w:val="none" w:sz="0" w:space="0" w:color="auto"/>
        <w:bottom w:val="none" w:sz="0" w:space="0" w:color="auto"/>
        <w:right w:val="none" w:sz="0" w:space="0" w:color="auto"/>
      </w:divBdr>
    </w:div>
    <w:div w:id="2037920076">
      <w:marLeft w:val="0"/>
      <w:marRight w:val="0"/>
      <w:marTop w:val="0"/>
      <w:marBottom w:val="0"/>
      <w:divBdr>
        <w:top w:val="none" w:sz="0" w:space="0" w:color="auto"/>
        <w:left w:val="none" w:sz="0" w:space="0" w:color="auto"/>
        <w:bottom w:val="none" w:sz="0" w:space="0" w:color="auto"/>
        <w:right w:val="none" w:sz="0" w:space="0" w:color="auto"/>
      </w:divBdr>
    </w:div>
    <w:div w:id="2037920080">
      <w:marLeft w:val="0"/>
      <w:marRight w:val="0"/>
      <w:marTop w:val="0"/>
      <w:marBottom w:val="0"/>
      <w:divBdr>
        <w:top w:val="none" w:sz="0" w:space="0" w:color="auto"/>
        <w:left w:val="none" w:sz="0" w:space="0" w:color="auto"/>
        <w:bottom w:val="none" w:sz="0" w:space="0" w:color="auto"/>
        <w:right w:val="none" w:sz="0" w:space="0" w:color="auto"/>
      </w:divBdr>
      <w:divsChild>
        <w:div w:id="2037920061">
          <w:marLeft w:val="274"/>
          <w:marRight w:val="0"/>
          <w:marTop w:val="0"/>
          <w:marBottom w:val="120"/>
          <w:divBdr>
            <w:top w:val="none" w:sz="0" w:space="0" w:color="auto"/>
            <w:left w:val="none" w:sz="0" w:space="0" w:color="auto"/>
            <w:bottom w:val="none" w:sz="0" w:space="0" w:color="auto"/>
            <w:right w:val="none" w:sz="0" w:space="0" w:color="auto"/>
          </w:divBdr>
        </w:div>
        <w:div w:id="2037920161">
          <w:marLeft w:val="274"/>
          <w:marRight w:val="0"/>
          <w:marTop w:val="0"/>
          <w:marBottom w:val="120"/>
          <w:divBdr>
            <w:top w:val="none" w:sz="0" w:space="0" w:color="auto"/>
            <w:left w:val="none" w:sz="0" w:space="0" w:color="auto"/>
            <w:bottom w:val="none" w:sz="0" w:space="0" w:color="auto"/>
            <w:right w:val="none" w:sz="0" w:space="0" w:color="auto"/>
          </w:divBdr>
        </w:div>
        <w:div w:id="203792018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1">
      <w:marLeft w:val="0"/>
      <w:marRight w:val="0"/>
      <w:marTop w:val="0"/>
      <w:marBottom w:val="0"/>
      <w:divBdr>
        <w:top w:val="none" w:sz="0" w:space="0" w:color="auto"/>
        <w:left w:val="none" w:sz="0" w:space="0" w:color="auto"/>
        <w:bottom w:val="none" w:sz="0" w:space="0" w:color="auto"/>
        <w:right w:val="none" w:sz="0" w:space="0" w:color="auto"/>
      </w:divBdr>
    </w:div>
    <w:div w:id="2037920082">
      <w:marLeft w:val="0"/>
      <w:marRight w:val="0"/>
      <w:marTop w:val="0"/>
      <w:marBottom w:val="0"/>
      <w:divBdr>
        <w:top w:val="none" w:sz="0" w:space="0" w:color="auto"/>
        <w:left w:val="none" w:sz="0" w:space="0" w:color="auto"/>
        <w:bottom w:val="none" w:sz="0" w:space="0" w:color="auto"/>
        <w:right w:val="none" w:sz="0" w:space="0" w:color="auto"/>
      </w:divBdr>
    </w:div>
    <w:div w:id="2037920084">
      <w:marLeft w:val="0"/>
      <w:marRight w:val="0"/>
      <w:marTop w:val="0"/>
      <w:marBottom w:val="0"/>
      <w:divBdr>
        <w:top w:val="none" w:sz="0" w:space="0" w:color="auto"/>
        <w:left w:val="none" w:sz="0" w:space="0" w:color="auto"/>
        <w:bottom w:val="none" w:sz="0" w:space="0" w:color="auto"/>
        <w:right w:val="none" w:sz="0" w:space="0" w:color="auto"/>
      </w:divBdr>
    </w:div>
    <w:div w:id="2037920085">
      <w:marLeft w:val="0"/>
      <w:marRight w:val="0"/>
      <w:marTop w:val="0"/>
      <w:marBottom w:val="0"/>
      <w:divBdr>
        <w:top w:val="none" w:sz="0" w:space="0" w:color="auto"/>
        <w:left w:val="none" w:sz="0" w:space="0" w:color="auto"/>
        <w:bottom w:val="none" w:sz="0" w:space="0" w:color="auto"/>
        <w:right w:val="none" w:sz="0" w:space="0" w:color="auto"/>
      </w:divBdr>
    </w:div>
    <w:div w:id="2037920086">
      <w:marLeft w:val="0"/>
      <w:marRight w:val="0"/>
      <w:marTop w:val="0"/>
      <w:marBottom w:val="0"/>
      <w:divBdr>
        <w:top w:val="none" w:sz="0" w:space="0" w:color="auto"/>
        <w:left w:val="none" w:sz="0" w:space="0" w:color="auto"/>
        <w:bottom w:val="none" w:sz="0" w:space="0" w:color="auto"/>
        <w:right w:val="none" w:sz="0" w:space="0" w:color="auto"/>
      </w:divBdr>
      <w:divsChild>
        <w:div w:id="203792007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7">
      <w:marLeft w:val="0"/>
      <w:marRight w:val="0"/>
      <w:marTop w:val="0"/>
      <w:marBottom w:val="0"/>
      <w:divBdr>
        <w:top w:val="none" w:sz="0" w:space="0" w:color="auto"/>
        <w:left w:val="none" w:sz="0" w:space="0" w:color="auto"/>
        <w:bottom w:val="none" w:sz="0" w:space="0" w:color="auto"/>
        <w:right w:val="none" w:sz="0" w:space="0" w:color="auto"/>
      </w:divBdr>
      <w:divsChild>
        <w:div w:id="2037920118">
          <w:marLeft w:val="274"/>
          <w:marRight w:val="0"/>
          <w:marTop w:val="0"/>
          <w:marBottom w:val="0"/>
          <w:divBdr>
            <w:top w:val="none" w:sz="0" w:space="0" w:color="auto"/>
            <w:left w:val="none" w:sz="0" w:space="0" w:color="auto"/>
            <w:bottom w:val="none" w:sz="0" w:space="0" w:color="auto"/>
            <w:right w:val="none" w:sz="0" w:space="0" w:color="auto"/>
          </w:divBdr>
        </w:div>
      </w:divsChild>
    </w:div>
    <w:div w:id="2037920093">
      <w:marLeft w:val="0"/>
      <w:marRight w:val="0"/>
      <w:marTop w:val="0"/>
      <w:marBottom w:val="0"/>
      <w:divBdr>
        <w:top w:val="none" w:sz="0" w:space="0" w:color="auto"/>
        <w:left w:val="none" w:sz="0" w:space="0" w:color="auto"/>
        <w:bottom w:val="none" w:sz="0" w:space="0" w:color="auto"/>
        <w:right w:val="none" w:sz="0" w:space="0" w:color="auto"/>
      </w:divBdr>
      <w:divsChild>
        <w:div w:id="2037920056">
          <w:marLeft w:val="432"/>
          <w:marRight w:val="0"/>
          <w:marTop w:val="0"/>
          <w:marBottom w:val="120"/>
          <w:divBdr>
            <w:top w:val="none" w:sz="0" w:space="0" w:color="auto"/>
            <w:left w:val="none" w:sz="0" w:space="0" w:color="auto"/>
            <w:bottom w:val="none" w:sz="0" w:space="0" w:color="auto"/>
            <w:right w:val="none" w:sz="0" w:space="0" w:color="auto"/>
          </w:divBdr>
        </w:div>
        <w:div w:id="2037920078">
          <w:marLeft w:val="432"/>
          <w:marRight w:val="0"/>
          <w:marTop w:val="0"/>
          <w:marBottom w:val="120"/>
          <w:divBdr>
            <w:top w:val="none" w:sz="0" w:space="0" w:color="auto"/>
            <w:left w:val="none" w:sz="0" w:space="0" w:color="auto"/>
            <w:bottom w:val="none" w:sz="0" w:space="0" w:color="auto"/>
            <w:right w:val="none" w:sz="0" w:space="0" w:color="auto"/>
          </w:divBdr>
        </w:div>
        <w:div w:id="2037920142">
          <w:marLeft w:val="432"/>
          <w:marRight w:val="0"/>
          <w:marTop w:val="0"/>
          <w:marBottom w:val="120"/>
          <w:divBdr>
            <w:top w:val="none" w:sz="0" w:space="0" w:color="auto"/>
            <w:left w:val="none" w:sz="0" w:space="0" w:color="auto"/>
            <w:bottom w:val="none" w:sz="0" w:space="0" w:color="auto"/>
            <w:right w:val="none" w:sz="0" w:space="0" w:color="auto"/>
          </w:divBdr>
        </w:div>
        <w:div w:id="2037920145">
          <w:marLeft w:val="432"/>
          <w:marRight w:val="0"/>
          <w:marTop w:val="0"/>
          <w:marBottom w:val="120"/>
          <w:divBdr>
            <w:top w:val="none" w:sz="0" w:space="0" w:color="auto"/>
            <w:left w:val="none" w:sz="0" w:space="0" w:color="auto"/>
            <w:bottom w:val="none" w:sz="0" w:space="0" w:color="auto"/>
            <w:right w:val="none" w:sz="0" w:space="0" w:color="auto"/>
          </w:divBdr>
        </w:div>
      </w:divsChild>
    </w:div>
    <w:div w:id="2037920094">
      <w:marLeft w:val="0"/>
      <w:marRight w:val="0"/>
      <w:marTop w:val="0"/>
      <w:marBottom w:val="0"/>
      <w:divBdr>
        <w:top w:val="none" w:sz="0" w:space="0" w:color="auto"/>
        <w:left w:val="none" w:sz="0" w:space="0" w:color="auto"/>
        <w:bottom w:val="none" w:sz="0" w:space="0" w:color="auto"/>
        <w:right w:val="none" w:sz="0" w:space="0" w:color="auto"/>
      </w:divBdr>
      <w:divsChild>
        <w:div w:id="2037920092">
          <w:marLeft w:val="274"/>
          <w:marRight w:val="0"/>
          <w:marTop w:val="0"/>
          <w:marBottom w:val="120"/>
          <w:divBdr>
            <w:top w:val="none" w:sz="0" w:space="0" w:color="auto"/>
            <w:left w:val="none" w:sz="0" w:space="0" w:color="auto"/>
            <w:bottom w:val="none" w:sz="0" w:space="0" w:color="auto"/>
            <w:right w:val="none" w:sz="0" w:space="0" w:color="auto"/>
          </w:divBdr>
        </w:div>
      </w:divsChild>
    </w:div>
    <w:div w:id="2037920096">
      <w:marLeft w:val="0"/>
      <w:marRight w:val="0"/>
      <w:marTop w:val="0"/>
      <w:marBottom w:val="0"/>
      <w:divBdr>
        <w:top w:val="none" w:sz="0" w:space="0" w:color="auto"/>
        <w:left w:val="none" w:sz="0" w:space="0" w:color="auto"/>
        <w:bottom w:val="none" w:sz="0" w:space="0" w:color="auto"/>
        <w:right w:val="none" w:sz="0" w:space="0" w:color="auto"/>
      </w:divBdr>
    </w:div>
    <w:div w:id="2037920097">
      <w:marLeft w:val="0"/>
      <w:marRight w:val="0"/>
      <w:marTop w:val="0"/>
      <w:marBottom w:val="0"/>
      <w:divBdr>
        <w:top w:val="none" w:sz="0" w:space="0" w:color="auto"/>
        <w:left w:val="none" w:sz="0" w:space="0" w:color="auto"/>
        <w:bottom w:val="none" w:sz="0" w:space="0" w:color="auto"/>
        <w:right w:val="none" w:sz="0" w:space="0" w:color="auto"/>
      </w:divBdr>
    </w:div>
    <w:div w:id="2037920099">
      <w:marLeft w:val="0"/>
      <w:marRight w:val="0"/>
      <w:marTop w:val="0"/>
      <w:marBottom w:val="0"/>
      <w:divBdr>
        <w:top w:val="none" w:sz="0" w:space="0" w:color="auto"/>
        <w:left w:val="none" w:sz="0" w:space="0" w:color="auto"/>
        <w:bottom w:val="none" w:sz="0" w:space="0" w:color="auto"/>
        <w:right w:val="none" w:sz="0" w:space="0" w:color="auto"/>
      </w:divBdr>
    </w:div>
    <w:div w:id="2037920100">
      <w:marLeft w:val="0"/>
      <w:marRight w:val="0"/>
      <w:marTop w:val="0"/>
      <w:marBottom w:val="0"/>
      <w:divBdr>
        <w:top w:val="none" w:sz="0" w:space="0" w:color="auto"/>
        <w:left w:val="none" w:sz="0" w:space="0" w:color="auto"/>
        <w:bottom w:val="none" w:sz="0" w:space="0" w:color="auto"/>
        <w:right w:val="none" w:sz="0" w:space="0" w:color="auto"/>
      </w:divBdr>
      <w:divsChild>
        <w:div w:id="2037920052">
          <w:marLeft w:val="274"/>
          <w:marRight w:val="0"/>
          <w:marTop w:val="0"/>
          <w:marBottom w:val="0"/>
          <w:divBdr>
            <w:top w:val="none" w:sz="0" w:space="0" w:color="auto"/>
            <w:left w:val="none" w:sz="0" w:space="0" w:color="auto"/>
            <w:bottom w:val="none" w:sz="0" w:space="0" w:color="auto"/>
            <w:right w:val="none" w:sz="0" w:space="0" w:color="auto"/>
          </w:divBdr>
        </w:div>
        <w:div w:id="2037920111">
          <w:marLeft w:val="274"/>
          <w:marRight w:val="0"/>
          <w:marTop w:val="0"/>
          <w:marBottom w:val="0"/>
          <w:divBdr>
            <w:top w:val="none" w:sz="0" w:space="0" w:color="auto"/>
            <w:left w:val="none" w:sz="0" w:space="0" w:color="auto"/>
            <w:bottom w:val="none" w:sz="0" w:space="0" w:color="auto"/>
            <w:right w:val="none" w:sz="0" w:space="0" w:color="auto"/>
          </w:divBdr>
        </w:div>
      </w:divsChild>
    </w:div>
    <w:div w:id="2037920101">
      <w:marLeft w:val="0"/>
      <w:marRight w:val="0"/>
      <w:marTop w:val="0"/>
      <w:marBottom w:val="0"/>
      <w:divBdr>
        <w:top w:val="none" w:sz="0" w:space="0" w:color="auto"/>
        <w:left w:val="none" w:sz="0" w:space="0" w:color="auto"/>
        <w:bottom w:val="none" w:sz="0" w:space="0" w:color="auto"/>
        <w:right w:val="none" w:sz="0" w:space="0" w:color="auto"/>
      </w:divBdr>
      <w:divsChild>
        <w:div w:id="2037920103">
          <w:marLeft w:val="274"/>
          <w:marRight w:val="0"/>
          <w:marTop w:val="0"/>
          <w:marBottom w:val="0"/>
          <w:divBdr>
            <w:top w:val="none" w:sz="0" w:space="0" w:color="auto"/>
            <w:left w:val="none" w:sz="0" w:space="0" w:color="auto"/>
            <w:bottom w:val="none" w:sz="0" w:space="0" w:color="auto"/>
            <w:right w:val="none" w:sz="0" w:space="0" w:color="auto"/>
          </w:divBdr>
        </w:div>
        <w:div w:id="2037920115">
          <w:marLeft w:val="274"/>
          <w:marRight w:val="0"/>
          <w:marTop w:val="0"/>
          <w:marBottom w:val="0"/>
          <w:divBdr>
            <w:top w:val="none" w:sz="0" w:space="0" w:color="auto"/>
            <w:left w:val="none" w:sz="0" w:space="0" w:color="auto"/>
            <w:bottom w:val="none" w:sz="0" w:space="0" w:color="auto"/>
            <w:right w:val="none" w:sz="0" w:space="0" w:color="auto"/>
          </w:divBdr>
        </w:div>
        <w:div w:id="2037920158">
          <w:marLeft w:val="274"/>
          <w:marRight w:val="0"/>
          <w:marTop w:val="0"/>
          <w:marBottom w:val="0"/>
          <w:divBdr>
            <w:top w:val="none" w:sz="0" w:space="0" w:color="auto"/>
            <w:left w:val="none" w:sz="0" w:space="0" w:color="auto"/>
            <w:bottom w:val="none" w:sz="0" w:space="0" w:color="auto"/>
            <w:right w:val="none" w:sz="0" w:space="0" w:color="auto"/>
          </w:divBdr>
        </w:div>
        <w:div w:id="2037920181">
          <w:marLeft w:val="274"/>
          <w:marRight w:val="0"/>
          <w:marTop w:val="0"/>
          <w:marBottom w:val="0"/>
          <w:divBdr>
            <w:top w:val="none" w:sz="0" w:space="0" w:color="auto"/>
            <w:left w:val="none" w:sz="0" w:space="0" w:color="auto"/>
            <w:bottom w:val="none" w:sz="0" w:space="0" w:color="auto"/>
            <w:right w:val="none" w:sz="0" w:space="0" w:color="auto"/>
          </w:divBdr>
        </w:div>
      </w:divsChild>
    </w:div>
    <w:div w:id="2037920102">
      <w:marLeft w:val="0"/>
      <w:marRight w:val="0"/>
      <w:marTop w:val="0"/>
      <w:marBottom w:val="0"/>
      <w:divBdr>
        <w:top w:val="none" w:sz="0" w:space="0" w:color="auto"/>
        <w:left w:val="none" w:sz="0" w:space="0" w:color="auto"/>
        <w:bottom w:val="none" w:sz="0" w:space="0" w:color="auto"/>
        <w:right w:val="none" w:sz="0" w:space="0" w:color="auto"/>
      </w:divBdr>
      <w:divsChild>
        <w:div w:id="2037920057">
          <w:marLeft w:val="446"/>
          <w:marRight w:val="0"/>
          <w:marTop w:val="0"/>
          <w:marBottom w:val="120"/>
          <w:divBdr>
            <w:top w:val="none" w:sz="0" w:space="0" w:color="auto"/>
            <w:left w:val="none" w:sz="0" w:space="0" w:color="auto"/>
            <w:bottom w:val="none" w:sz="0" w:space="0" w:color="auto"/>
            <w:right w:val="none" w:sz="0" w:space="0" w:color="auto"/>
          </w:divBdr>
        </w:div>
      </w:divsChild>
    </w:div>
    <w:div w:id="2037920105">
      <w:marLeft w:val="0"/>
      <w:marRight w:val="0"/>
      <w:marTop w:val="0"/>
      <w:marBottom w:val="0"/>
      <w:divBdr>
        <w:top w:val="none" w:sz="0" w:space="0" w:color="auto"/>
        <w:left w:val="none" w:sz="0" w:space="0" w:color="auto"/>
        <w:bottom w:val="none" w:sz="0" w:space="0" w:color="auto"/>
        <w:right w:val="none" w:sz="0" w:space="0" w:color="auto"/>
      </w:divBdr>
      <w:divsChild>
        <w:div w:id="2037920119">
          <w:marLeft w:val="446"/>
          <w:marRight w:val="0"/>
          <w:marTop w:val="0"/>
          <w:marBottom w:val="120"/>
          <w:divBdr>
            <w:top w:val="none" w:sz="0" w:space="0" w:color="auto"/>
            <w:left w:val="none" w:sz="0" w:space="0" w:color="auto"/>
            <w:bottom w:val="none" w:sz="0" w:space="0" w:color="auto"/>
            <w:right w:val="none" w:sz="0" w:space="0" w:color="auto"/>
          </w:divBdr>
        </w:div>
        <w:div w:id="2037920127">
          <w:marLeft w:val="446"/>
          <w:marRight w:val="0"/>
          <w:marTop w:val="0"/>
          <w:marBottom w:val="120"/>
          <w:divBdr>
            <w:top w:val="none" w:sz="0" w:space="0" w:color="auto"/>
            <w:left w:val="none" w:sz="0" w:space="0" w:color="auto"/>
            <w:bottom w:val="none" w:sz="0" w:space="0" w:color="auto"/>
            <w:right w:val="none" w:sz="0" w:space="0" w:color="auto"/>
          </w:divBdr>
        </w:div>
        <w:div w:id="2037920172">
          <w:marLeft w:val="446"/>
          <w:marRight w:val="0"/>
          <w:marTop w:val="0"/>
          <w:marBottom w:val="120"/>
          <w:divBdr>
            <w:top w:val="none" w:sz="0" w:space="0" w:color="auto"/>
            <w:left w:val="none" w:sz="0" w:space="0" w:color="auto"/>
            <w:bottom w:val="none" w:sz="0" w:space="0" w:color="auto"/>
            <w:right w:val="none" w:sz="0" w:space="0" w:color="auto"/>
          </w:divBdr>
        </w:div>
      </w:divsChild>
    </w:div>
    <w:div w:id="2037920106">
      <w:marLeft w:val="0"/>
      <w:marRight w:val="0"/>
      <w:marTop w:val="0"/>
      <w:marBottom w:val="0"/>
      <w:divBdr>
        <w:top w:val="none" w:sz="0" w:space="0" w:color="auto"/>
        <w:left w:val="none" w:sz="0" w:space="0" w:color="auto"/>
        <w:bottom w:val="none" w:sz="0" w:space="0" w:color="auto"/>
        <w:right w:val="none" w:sz="0" w:space="0" w:color="auto"/>
      </w:divBdr>
    </w:div>
    <w:div w:id="2037920107">
      <w:marLeft w:val="0"/>
      <w:marRight w:val="0"/>
      <w:marTop w:val="0"/>
      <w:marBottom w:val="0"/>
      <w:divBdr>
        <w:top w:val="none" w:sz="0" w:space="0" w:color="auto"/>
        <w:left w:val="none" w:sz="0" w:space="0" w:color="auto"/>
        <w:bottom w:val="none" w:sz="0" w:space="0" w:color="auto"/>
        <w:right w:val="none" w:sz="0" w:space="0" w:color="auto"/>
      </w:divBdr>
    </w:div>
    <w:div w:id="2037920108">
      <w:marLeft w:val="0"/>
      <w:marRight w:val="0"/>
      <w:marTop w:val="0"/>
      <w:marBottom w:val="0"/>
      <w:divBdr>
        <w:top w:val="none" w:sz="0" w:space="0" w:color="auto"/>
        <w:left w:val="none" w:sz="0" w:space="0" w:color="auto"/>
        <w:bottom w:val="none" w:sz="0" w:space="0" w:color="auto"/>
        <w:right w:val="none" w:sz="0" w:space="0" w:color="auto"/>
      </w:divBdr>
      <w:divsChild>
        <w:div w:id="2037920134">
          <w:marLeft w:val="274"/>
          <w:marRight w:val="0"/>
          <w:marTop w:val="0"/>
          <w:marBottom w:val="0"/>
          <w:divBdr>
            <w:top w:val="none" w:sz="0" w:space="0" w:color="auto"/>
            <w:left w:val="none" w:sz="0" w:space="0" w:color="auto"/>
            <w:bottom w:val="none" w:sz="0" w:space="0" w:color="auto"/>
            <w:right w:val="none" w:sz="0" w:space="0" w:color="auto"/>
          </w:divBdr>
        </w:div>
      </w:divsChild>
    </w:div>
    <w:div w:id="2037920109">
      <w:marLeft w:val="0"/>
      <w:marRight w:val="0"/>
      <w:marTop w:val="0"/>
      <w:marBottom w:val="0"/>
      <w:divBdr>
        <w:top w:val="none" w:sz="0" w:space="0" w:color="auto"/>
        <w:left w:val="none" w:sz="0" w:space="0" w:color="auto"/>
        <w:bottom w:val="none" w:sz="0" w:space="0" w:color="auto"/>
        <w:right w:val="none" w:sz="0" w:space="0" w:color="auto"/>
      </w:divBdr>
      <w:divsChild>
        <w:div w:id="2037920089">
          <w:marLeft w:val="274"/>
          <w:marRight w:val="0"/>
          <w:marTop w:val="0"/>
          <w:marBottom w:val="120"/>
          <w:divBdr>
            <w:top w:val="none" w:sz="0" w:space="0" w:color="auto"/>
            <w:left w:val="none" w:sz="0" w:space="0" w:color="auto"/>
            <w:bottom w:val="none" w:sz="0" w:space="0" w:color="auto"/>
            <w:right w:val="none" w:sz="0" w:space="0" w:color="auto"/>
          </w:divBdr>
        </w:div>
        <w:div w:id="2037920157">
          <w:marLeft w:val="274"/>
          <w:marRight w:val="0"/>
          <w:marTop w:val="0"/>
          <w:marBottom w:val="120"/>
          <w:divBdr>
            <w:top w:val="none" w:sz="0" w:space="0" w:color="auto"/>
            <w:left w:val="none" w:sz="0" w:space="0" w:color="auto"/>
            <w:bottom w:val="none" w:sz="0" w:space="0" w:color="auto"/>
            <w:right w:val="none" w:sz="0" w:space="0" w:color="auto"/>
          </w:divBdr>
        </w:div>
      </w:divsChild>
    </w:div>
    <w:div w:id="2037920110">
      <w:marLeft w:val="0"/>
      <w:marRight w:val="0"/>
      <w:marTop w:val="0"/>
      <w:marBottom w:val="0"/>
      <w:divBdr>
        <w:top w:val="none" w:sz="0" w:space="0" w:color="auto"/>
        <w:left w:val="none" w:sz="0" w:space="0" w:color="auto"/>
        <w:bottom w:val="none" w:sz="0" w:space="0" w:color="auto"/>
        <w:right w:val="none" w:sz="0" w:space="0" w:color="auto"/>
      </w:divBdr>
      <w:divsChild>
        <w:div w:id="2037920071">
          <w:marLeft w:val="446"/>
          <w:marRight w:val="0"/>
          <w:marTop w:val="0"/>
          <w:marBottom w:val="120"/>
          <w:divBdr>
            <w:top w:val="none" w:sz="0" w:space="0" w:color="auto"/>
            <w:left w:val="none" w:sz="0" w:space="0" w:color="auto"/>
            <w:bottom w:val="none" w:sz="0" w:space="0" w:color="auto"/>
            <w:right w:val="none" w:sz="0" w:space="0" w:color="auto"/>
          </w:divBdr>
        </w:div>
        <w:div w:id="2037920072">
          <w:marLeft w:val="446"/>
          <w:marRight w:val="0"/>
          <w:marTop w:val="0"/>
          <w:marBottom w:val="120"/>
          <w:divBdr>
            <w:top w:val="none" w:sz="0" w:space="0" w:color="auto"/>
            <w:left w:val="none" w:sz="0" w:space="0" w:color="auto"/>
            <w:bottom w:val="none" w:sz="0" w:space="0" w:color="auto"/>
            <w:right w:val="none" w:sz="0" w:space="0" w:color="auto"/>
          </w:divBdr>
        </w:div>
        <w:div w:id="2037920117">
          <w:marLeft w:val="446"/>
          <w:marRight w:val="0"/>
          <w:marTop w:val="0"/>
          <w:marBottom w:val="120"/>
          <w:divBdr>
            <w:top w:val="none" w:sz="0" w:space="0" w:color="auto"/>
            <w:left w:val="none" w:sz="0" w:space="0" w:color="auto"/>
            <w:bottom w:val="none" w:sz="0" w:space="0" w:color="auto"/>
            <w:right w:val="none" w:sz="0" w:space="0" w:color="auto"/>
          </w:divBdr>
        </w:div>
      </w:divsChild>
    </w:div>
    <w:div w:id="2037920114">
      <w:marLeft w:val="0"/>
      <w:marRight w:val="0"/>
      <w:marTop w:val="0"/>
      <w:marBottom w:val="0"/>
      <w:divBdr>
        <w:top w:val="none" w:sz="0" w:space="0" w:color="auto"/>
        <w:left w:val="none" w:sz="0" w:space="0" w:color="auto"/>
        <w:bottom w:val="none" w:sz="0" w:space="0" w:color="auto"/>
        <w:right w:val="none" w:sz="0" w:space="0" w:color="auto"/>
      </w:divBdr>
    </w:div>
    <w:div w:id="2037920125">
      <w:marLeft w:val="0"/>
      <w:marRight w:val="0"/>
      <w:marTop w:val="0"/>
      <w:marBottom w:val="0"/>
      <w:divBdr>
        <w:top w:val="none" w:sz="0" w:space="0" w:color="auto"/>
        <w:left w:val="none" w:sz="0" w:space="0" w:color="auto"/>
        <w:bottom w:val="none" w:sz="0" w:space="0" w:color="auto"/>
        <w:right w:val="none" w:sz="0" w:space="0" w:color="auto"/>
      </w:divBdr>
    </w:div>
    <w:div w:id="2037920128">
      <w:marLeft w:val="0"/>
      <w:marRight w:val="0"/>
      <w:marTop w:val="0"/>
      <w:marBottom w:val="0"/>
      <w:divBdr>
        <w:top w:val="none" w:sz="0" w:space="0" w:color="auto"/>
        <w:left w:val="none" w:sz="0" w:space="0" w:color="auto"/>
        <w:bottom w:val="none" w:sz="0" w:space="0" w:color="auto"/>
        <w:right w:val="none" w:sz="0" w:space="0" w:color="auto"/>
      </w:divBdr>
    </w:div>
    <w:div w:id="2037920129">
      <w:marLeft w:val="0"/>
      <w:marRight w:val="0"/>
      <w:marTop w:val="0"/>
      <w:marBottom w:val="0"/>
      <w:divBdr>
        <w:top w:val="none" w:sz="0" w:space="0" w:color="auto"/>
        <w:left w:val="none" w:sz="0" w:space="0" w:color="auto"/>
        <w:bottom w:val="none" w:sz="0" w:space="0" w:color="auto"/>
        <w:right w:val="none" w:sz="0" w:space="0" w:color="auto"/>
      </w:divBdr>
    </w:div>
    <w:div w:id="2037920130">
      <w:marLeft w:val="0"/>
      <w:marRight w:val="0"/>
      <w:marTop w:val="0"/>
      <w:marBottom w:val="0"/>
      <w:divBdr>
        <w:top w:val="none" w:sz="0" w:space="0" w:color="auto"/>
        <w:left w:val="none" w:sz="0" w:space="0" w:color="auto"/>
        <w:bottom w:val="none" w:sz="0" w:space="0" w:color="auto"/>
        <w:right w:val="none" w:sz="0" w:space="0" w:color="auto"/>
      </w:divBdr>
      <w:divsChild>
        <w:div w:id="2037920095">
          <w:marLeft w:val="432"/>
          <w:marRight w:val="0"/>
          <w:marTop w:val="0"/>
          <w:marBottom w:val="120"/>
          <w:divBdr>
            <w:top w:val="none" w:sz="0" w:space="0" w:color="auto"/>
            <w:left w:val="none" w:sz="0" w:space="0" w:color="auto"/>
            <w:bottom w:val="none" w:sz="0" w:space="0" w:color="auto"/>
            <w:right w:val="none" w:sz="0" w:space="0" w:color="auto"/>
          </w:divBdr>
        </w:div>
        <w:div w:id="2037920135">
          <w:marLeft w:val="432"/>
          <w:marRight w:val="0"/>
          <w:marTop w:val="0"/>
          <w:marBottom w:val="120"/>
          <w:divBdr>
            <w:top w:val="none" w:sz="0" w:space="0" w:color="auto"/>
            <w:left w:val="none" w:sz="0" w:space="0" w:color="auto"/>
            <w:bottom w:val="none" w:sz="0" w:space="0" w:color="auto"/>
            <w:right w:val="none" w:sz="0" w:space="0" w:color="auto"/>
          </w:divBdr>
        </w:div>
        <w:div w:id="2037920174">
          <w:marLeft w:val="432"/>
          <w:marRight w:val="0"/>
          <w:marTop w:val="0"/>
          <w:marBottom w:val="120"/>
          <w:divBdr>
            <w:top w:val="none" w:sz="0" w:space="0" w:color="auto"/>
            <w:left w:val="none" w:sz="0" w:space="0" w:color="auto"/>
            <w:bottom w:val="none" w:sz="0" w:space="0" w:color="auto"/>
            <w:right w:val="none" w:sz="0" w:space="0" w:color="auto"/>
          </w:divBdr>
        </w:div>
      </w:divsChild>
    </w:div>
    <w:div w:id="2037920132">
      <w:marLeft w:val="0"/>
      <w:marRight w:val="0"/>
      <w:marTop w:val="0"/>
      <w:marBottom w:val="0"/>
      <w:divBdr>
        <w:top w:val="none" w:sz="0" w:space="0" w:color="auto"/>
        <w:left w:val="none" w:sz="0" w:space="0" w:color="auto"/>
        <w:bottom w:val="none" w:sz="0" w:space="0" w:color="auto"/>
        <w:right w:val="none" w:sz="0" w:space="0" w:color="auto"/>
      </w:divBdr>
      <w:divsChild>
        <w:div w:id="2037920120">
          <w:marLeft w:val="446"/>
          <w:marRight w:val="0"/>
          <w:marTop w:val="0"/>
          <w:marBottom w:val="120"/>
          <w:divBdr>
            <w:top w:val="none" w:sz="0" w:space="0" w:color="auto"/>
            <w:left w:val="none" w:sz="0" w:space="0" w:color="auto"/>
            <w:bottom w:val="none" w:sz="0" w:space="0" w:color="auto"/>
            <w:right w:val="none" w:sz="0" w:space="0" w:color="auto"/>
          </w:divBdr>
        </w:div>
      </w:divsChild>
    </w:div>
    <w:div w:id="2037920133">
      <w:marLeft w:val="0"/>
      <w:marRight w:val="0"/>
      <w:marTop w:val="0"/>
      <w:marBottom w:val="0"/>
      <w:divBdr>
        <w:top w:val="none" w:sz="0" w:space="0" w:color="auto"/>
        <w:left w:val="none" w:sz="0" w:space="0" w:color="auto"/>
        <w:bottom w:val="none" w:sz="0" w:space="0" w:color="auto"/>
        <w:right w:val="none" w:sz="0" w:space="0" w:color="auto"/>
      </w:divBdr>
      <w:divsChild>
        <w:div w:id="2037920098">
          <w:marLeft w:val="446"/>
          <w:marRight w:val="0"/>
          <w:marTop w:val="0"/>
          <w:marBottom w:val="120"/>
          <w:divBdr>
            <w:top w:val="none" w:sz="0" w:space="0" w:color="auto"/>
            <w:left w:val="none" w:sz="0" w:space="0" w:color="auto"/>
            <w:bottom w:val="none" w:sz="0" w:space="0" w:color="auto"/>
            <w:right w:val="none" w:sz="0" w:space="0" w:color="auto"/>
          </w:divBdr>
        </w:div>
        <w:div w:id="2037920139">
          <w:marLeft w:val="446"/>
          <w:marRight w:val="0"/>
          <w:marTop w:val="0"/>
          <w:marBottom w:val="120"/>
          <w:divBdr>
            <w:top w:val="none" w:sz="0" w:space="0" w:color="auto"/>
            <w:left w:val="none" w:sz="0" w:space="0" w:color="auto"/>
            <w:bottom w:val="none" w:sz="0" w:space="0" w:color="auto"/>
            <w:right w:val="none" w:sz="0" w:space="0" w:color="auto"/>
          </w:divBdr>
        </w:div>
      </w:divsChild>
    </w:div>
    <w:div w:id="2037920136">
      <w:marLeft w:val="0"/>
      <w:marRight w:val="0"/>
      <w:marTop w:val="0"/>
      <w:marBottom w:val="0"/>
      <w:divBdr>
        <w:top w:val="none" w:sz="0" w:space="0" w:color="auto"/>
        <w:left w:val="none" w:sz="0" w:space="0" w:color="auto"/>
        <w:bottom w:val="none" w:sz="0" w:space="0" w:color="auto"/>
        <w:right w:val="none" w:sz="0" w:space="0" w:color="auto"/>
      </w:divBdr>
      <w:divsChild>
        <w:div w:id="2037920077">
          <w:marLeft w:val="446"/>
          <w:marRight w:val="0"/>
          <w:marTop w:val="0"/>
          <w:marBottom w:val="120"/>
          <w:divBdr>
            <w:top w:val="none" w:sz="0" w:space="0" w:color="auto"/>
            <w:left w:val="none" w:sz="0" w:space="0" w:color="auto"/>
            <w:bottom w:val="none" w:sz="0" w:space="0" w:color="auto"/>
            <w:right w:val="none" w:sz="0" w:space="0" w:color="auto"/>
          </w:divBdr>
        </w:div>
        <w:div w:id="2037920123">
          <w:marLeft w:val="446"/>
          <w:marRight w:val="0"/>
          <w:marTop w:val="0"/>
          <w:marBottom w:val="120"/>
          <w:divBdr>
            <w:top w:val="none" w:sz="0" w:space="0" w:color="auto"/>
            <w:left w:val="none" w:sz="0" w:space="0" w:color="auto"/>
            <w:bottom w:val="none" w:sz="0" w:space="0" w:color="auto"/>
            <w:right w:val="none" w:sz="0" w:space="0" w:color="auto"/>
          </w:divBdr>
        </w:div>
      </w:divsChild>
    </w:div>
    <w:div w:id="2037920140">
      <w:marLeft w:val="0"/>
      <w:marRight w:val="0"/>
      <w:marTop w:val="0"/>
      <w:marBottom w:val="0"/>
      <w:divBdr>
        <w:top w:val="none" w:sz="0" w:space="0" w:color="auto"/>
        <w:left w:val="none" w:sz="0" w:space="0" w:color="auto"/>
        <w:bottom w:val="none" w:sz="0" w:space="0" w:color="auto"/>
        <w:right w:val="none" w:sz="0" w:space="0" w:color="auto"/>
      </w:divBdr>
      <w:divsChild>
        <w:div w:id="2037920141">
          <w:marLeft w:val="432"/>
          <w:marRight w:val="0"/>
          <w:marTop w:val="0"/>
          <w:marBottom w:val="120"/>
          <w:divBdr>
            <w:top w:val="none" w:sz="0" w:space="0" w:color="auto"/>
            <w:left w:val="none" w:sz="0" w:space="0" w:color="auto"/>
            <w:bottom w:val="none" w:sz="0" w:space="0" w:color="auto"/>
            <w:right w:val="none" w:sz="0" w:space="0" w:color="auto"/>
          </w:divBdr>
        </w:div>
        <w:div w:id="2037920156">
          <w:marLeft w:val="432"/>
          <w:marRight w:val="0"/>
          <w:marTop w:val="0"/>
          <w:marBottom w:val="0"/>
          <w:divBdr>
            <w:top w:val="none" w:sz="0" w:space="0" w:color="auto"/>
            <w:left w:val="none" w:sz="0" w:space="0" w:color="auto"/>
            <w:bottom w:val="none" w:sz="0" w:space="0" w:color="auto"/>
            <w:right w:val="none" w:sz="0" w:space="0" w:color="auto"/>
          </w:divBdr>
        </w:div>
      </w:divsChild>
    </w:div>
    <w:div w:id="2037920144">
      <w:marLeft w:val="0"/>
      <w:marRight w:val="0"/>
      <w:marTop w:val="0"/>
      <w:marBottom w:val="0"/>
      <w:divBdr>
        <w:top w:val="none" w:sz="0" w:space="0" w:color="auto"/>
        <w:left w:val="none" w:sz="0" w:space="0" w:color="auto"/>
        <w:bottom w:val="none" w:sz="0" w:space="0" w:color="auto"/>
        <w:right w:val="none" w:sz="0" w:space="0" w:color="auto"/>
      </w:divBdr>
      <w:divsChild>
        <w:div w:id="2037920126">
          <w:marLeft w:val="274"/>
          <w:marRight w:val="0"/>
          <w:marTop w:val="0"/>
          <w:marBottom w:val="0"/>
          <w:divBdr>
            <w:top w:val="none" w:sz="0" w:space="0" w:color="auto"/>
            <w:left w:val="none" w:sz="0" w:space="0" w:color="auto"/>
            <w:bottom w:val="none" w:sz="0" w:space="0" w:color="auto"/>
            <w:right w:val="none" w:sz="0" w:space="0" w:color="auto"/>
          </w:divBdr>
        </w:div>
        <w:div w:id="2037920137">
          <w:marLeft w:val="274"/>
          <w:marRight w:val="0"/>
          <w:marTop w:val="0"/>
          <w:marBottom w:val="0"/>
          <w:divBdr>
            <w:top w:val="none" w:sz="0" w:space="0" w:color="auto"/>
            <w:left w:val="none" w:sz="0" w:space="0" w:color="auto"/>
            <w:bottom w:val="none" w:sz="0" w:space="0" w:color="auto"/>
            <w:right w:val="none" w:sz="0" w:space="0" w:color="auto"/>
          </w:divBdr>
        </w:div>
      </w:divsChild>
    </w:div>
    <w:div w:id="2037920146">
      <w:marLeft w:val="0"/>
      <w:marRight w:val="0"/>
      <w:marTop w:val="0"/>
      <w:marBottom w:val="0"/>
      <w:divBdr>
        <w:top w:val="none" w:sz="0" w:space="0" w:color="auto"/>
        <w:left w:val="none" w:sz="0" w:space="0" w:color="auto"/>
        <w:bottom w:val="none" w:sz="0" w:space="0" w:color="auto"/>
        <w:right w:val="none" w:sz="0" w:space="0" w:color="auto"/>
      </w:divBdr>
      <w:divsChild>
        <w:div w:id="2037920066">
          <w:marLeft w:val="274"/>
          <w:marRight w:val="0"/>
          <w:marTop w:val="0"/>
          <w:marBottom w:val="120"/>
          <w:divBdr>
            <w:top w:val="none" w:sz="0" w:space="0" w:color="auto"/>
            <w:left w:val="none" w:sz="0" w:space="0" w:color="auto"/>
            <w:bottom w:val="none" w:sz="0" w:space="0" w:color="auto"/>
            <w:right w:val="none" w:sz="0" w:space="0" w:color="auto"/>
          </w:divBdr>
        </w:div>
        <w:div w:id="2037920088">
          <w:marLeft w:val="274"/>
          <w:marRight w:val="0"/>
          <w:marTop w:val="0"/>
          <w:marBottom w:val="120"/>
          <w:divBdr>
            <w:top w:val="none" w:sz="0" w:space="0" w:color="auto"/>
            <w:left w:val="none" w:sz="0" w:space="0" w:color="auto"/>
            <w:bottom w:val="none" w:sz="0" w:space="0" w:color="auto"/>
            <w:right w:val="none" w:sz="0" w:space="0" w:color="auto"/>
          </w:divBdr>
        </w:div>
      </w:divsChild>
    </w:div>
    <w:div w:id="2037920147">
      <w:marLeft w:val="0"/>
      <w:marRight w:val="0"/>
      <w:marTop w:val="0"/>
      <w:marBottom w:val="0"/>
      <w:divBdr>
        <w:top w:val="none" w:sz="0" w:space="0" w:color="auto"/>
        <w:left w:val="none" w:sz="0" w:space="0" w:color="auto"/>
        <w:bottom w:val="none" w:sz="0" w:space="0" w:color="auto"/>
        <w:right w:val="none" w:sz="0" w:space="0" w:color="auto"/>
      </w:divBdr>
    </w:div>
    <w:div w:id="2037920148">
      <w:marLeft w:val="0"/>
      <w:marRight w:val="0"/>
      <w:marTop w:val="0"/>
      <w:marBottom w:val="0"/>
      <w:divBdr>
        <w:top w:val="none" w:sz="0" w:space="0" w:color="auto"/>
        <w:left w:val="none" w:sz="0" w:space="0" w:color="auto"/>
        <w:bottom w:val="none" w:sz="0" w:space="0" w:color="auto"/>
        <w:right w:val="none" w:sz="0" w:space="0" w:color="auto"/>
      </w:divBdr>
    </w:div>
    <w:div w:id="2037920149">
      <w:marLeft w:val="0"/>
      <w:marRight w:val="0"/>
      <w:marTop w:val="0"/>
      <w:marBottom w:val="0"/>
      <w:divBdr>
        <w:top w:val="none" w:sz="0" w:space="0" w:color="auto"/>
        <w:left w:val="none" w:sz="0" w:space="0" w:color="auto"/>
        <w:bottom w:val="none" w:sz="0" w:space="0" w:color="auto"/>
        <w:right w:val="none" w:sz="0" w:space="0" w:color="auto"/>
      </w:divBdr>
      <w:divsChild>
        <w:div w:id="2037920138">
          <w:marLeft w:val="446"/>
          <w:marRight w:val="0"/>
          <w:marTop w:val="0"/>
          <w:marBottom w:val="120"/>
          <w:divBdr>
            <w:top w:val="none" w:sz="0" w:space="0" w:color="auto"/>
            <w:left w:val="none" w:sz="0" w:space="0" w:color="auto"/>
            <w:bottom w:val="none" w:sz="0" w:space="0" w:color="auto"/>
            <w:right w:val="none" w:sz="0" w:space="0" w:color="auto"/>
          </w:divBdr>
        </w:div>
      </w:divsChild>
    </w:div>
    <w:div w:id="2037920152">
      <w:marLeft w:val="0"/>
      <w:marRight w:val="0"/>
      <w:marTop w:val="0"/>
      <w:marBottom w:val="0"/>
      <w:divBdr>
        <w:top w:val="none" w:sz="0" w:space="0" w:color="auto"/>
        <w:left w:val="none" w:sz="0" w:space="0" w:color="auto"/>
        <w:bottom w:val="none" w:sz="0" w:space="0" w:color="auto"/>
        <w:right w:val="none" w:sz="0" w:space="0" w:color="auto"/>
      </w:divBdr>
      <w:divsChild>
        <w:div w:id="2037920171">
          <w:marLeft w:val="547"/>
          <w:marRight w:val="0"/>
          <w:marTop w:val="120"/>
          <w:marBottom w:val="0"/>
          <w:divBdr>
            <w:top w:val="none" w:sz="0" w:space="0" w:color="auto"/>
            <w:left w:val="none" w:sz="0" w:space="0" w:color="auto"/>
            <w:bottom w:val="none" w:sz="0" w:space="0" w:color="auto"/>
            <w:right w:val="none" w:sz="0" w:space="0" w:color="auto"/>
          </w:divBdr>
        </w:div>
      </w:divsChild>
    </w:div>
    <w:div w:id="2037920153">
      <w:marLeft w:val="0"/>
      <w:marRight w:val="0"/>
      <w:marTop w:val="0"/>
      <w:marBottom w:val="0"/>
      <w:divBdr>
        <w:top w:val="none" w:sz="0" w:space="0" w:color="auto"/>
        <w:left w:val="none" w:sz="0" w:space="0" w:color="auto"/>
        <w:bottom w:val="none" w:sz="0" w:space="0" w:color="auto"/>
        <w:right w:val="none" w:sz="0" w:space="0" w:color="auto"/>
      </w:divBdr>
    </w:div>
    <w:div w:id="2037920154">
      <w:marLeft w:val="0"/>
      <w:marRight w:val="0"/>
      <w:marTop w:val="0"/>
      <w:marBottom w:val="0"/>
      <w:divBdr>
        <w:top w:val="none" w:sz="0" w:space="0" w:color="auto"/>
        <w:left w:val="none" w:sz="0" w:space="0" w:color="auto"/>
        <w:bottom w:val="none" w:sz="0" w:space="0" w:color="auto"/>
        <w:right w:val="none" w:sz="0" w:space="0" w:color="auto"/>
      </w:divBdr>
      <w:divsChild>
        <w:div w:id="2037920150">
          <w:marLeft w:val="432"/>
          <w:marRight w:val="0"/>
          <w:marTop w:val="0"/>
          <w:marBottom w:val="120"/>
          <w:divBdr>
            <w:top w:val="none" w:sz="0" w:space="0" w:color="auto"/>
            <w:left w:val="none" w:sz="0" w:space="0" w:color="auto"/>
            <w:bottom w:val="none" w:sz="0" w:space="0" w:color="auto"/>
            <w:right w:val="none" w:sz="0" w:space="0" w:color="auto"/>
          </w:divBdr>
        </w:div>
        <w:div w:id="2037920173">
          <w:marLeft w:val="432"/>
          <w:marRight w:val="0"/>
          <w:marTop w:val="0"/>
          <w:marBottom w:val="120"/>
          <w:divBdr>
            <w:top w:val="none" w:sz="0" w:space="0" w:color="auto"/>
            <w:left w:val="none" w:sz="0" w:space="0" w:color="auto"/>
            <w:bottom w:val="none" w:sz="0" w:space="0" w:color="auto"/>
            <w:right w:val="none" w:sz="0" w:space="0" w:color="auto"/>
          </w:divBdr>
        </w:div>
        <w:div w:id="2037920175">
          <w:marLeft w:val="432"/>
          <w:marRight w:val="0"/>
          <w:marTop w:val="0"/>
          <w:marBottom w:val="120"/>
          <w:divBdr>
            <w:top w:val="none" w:sz="0" w:space="0" w:color="auto"/>
            <w:left w:val="none" w:sz="0" w:space="0" w:color="auto"/>
            <w:bottom w:val="none" w:sz="0" w:space="0" w:color="auto"/>
            <w:right w:val="none" w:sz="0" w:space="0" w:color="auto"/>
          </w:divBdr>
        </w:div>
        <w:div w:id="2037920176">
          <w:marLeft w:val="432"/>
          <w:marRight w:val="0"/>
          <w:marTop w:val="0"/>
          <w:marBottom w:val="120"/>
          <w:divBdr>
            <w:top w:val="none" w:sz="0" w:space="0" w:color="auto"/>
            <w:left w:val="none" w:sz="0" w:space="0" w:color="auto"/>
            <w:bottom w:val="none" w:sz="0" w:space="0" w:color="auto"/>
            <w:right w:val="none" w:sz="0" w:space="0" w:color="auto"/>
          </w:divBdr>
        </w:div>
      </w:divsChild>
    </w:div>
    <w:div w:id="2037920159">
      <w:marLeft w:val="0"/>
      <w:marRight w:val="0"/>
      <w:marTop w:val="0"/>
      <w:marBottom w:val="0"/>
      <w:divBdr>
        <w:top w:val="none" w:sz="0" w:space="0" w:color="auto"/>
        <w:left w:val="none" w:sz="0" w:space="0" w:color="auto"/>
        <w:bottom w:val="none" w:sz="0" w:space="0" w:color="auto"/>
        <w:right w:val="none" w:sz="0" w:space="0" w:color="auto"/>
      </w:divBdr>
      <w:divsChild>
        <w:div w:id="2037920124">
          <w:marLeft w:val="274"/>
          <w:marRight w:val="0"/>
          <w:marTop w:val="0"/>
          <w:marBottom w:val="120"/>
          <w:divBdr>
            <w:top w:val="none" w:sz="0" w:space="0" w:color="auto"/>
            <w:left w:val="none" w:sz="0" w:space="0" w:color="auto"/>
            <w:bottom w:val="none" w:sz="0" w:space="0" w:color="auto"/>
            <w:right w:val="none" w:sz="0" w:space="0" w:color="auto"/>
          </w:divBdr>
        </w:div>
      </w:divsChild>
    </w:div>
    <w:div w:id="2037920160">
      <w:marLeft w:val="0"/>
      <w:marRight w:val="0"/>
      <w:marTop w:val="0"/>
      <w:marBottom w:val="0"/>
      <w:divBdr>
        <w:top w:val="none" w:sz="0" w:space="0" w:color="auto"/>
        <w:left w:val="none" w:sz="0" w:space="0" w:color="auto"/>
        <w:bottom w:val="none" w:sz="0" w:space="0" w:color="auto"/>
        <w:right w:val="none" w:sz="0" w:space="0" w:color="auto"/>
      </w:divBdr>
    </w:div>
    <w:div w:id="2037920163">
      <w:marLeft w:val="0"/>
      <w:marRight w:val="0"/>
      <w:marTop w:val="0"/>
      <w:marBottom w:val="0"/>
      <w:divBdr>
        <w:top w:val="none" w:sz="0" w:space="0" w:color="auto"/>
        <w:left w:val="none" w:sz="0" w:space="0" w:color="auto"/>
        <w:bottom w:val="none" w:sz="0" w:space="0" w:color="auto"/>
        <w:right w:val="none" w:sz="0" w:space="0" w:color="auto"/>
      </w:divBdr>
      <w:divsChild>
        <w:div w:id="2037920121">
          <w:marLeft w:val="274"/>
          <w:marRight w:val="0"/>
          <w:marTop w:val="0"/>
          <w:marBottom w:val="0"/>
          <w:divBdr>
            <w:top w:val="none" w:sz="0" w:space="0" w:color="auto"/>
            <w:left w:val="none" w:sz="0" w:space="0" w:color="auto"/>
            <w:bottom w:val="none" w:sz="0" w:space="0" w:color="auto"/>
            <w:right w:val="none" w:sz="0" w:space="0" w:color="auto"/>
          </w:divBdr>
        </w:div>
      </w:divsChild>
    </w:div>
    <w:div w:id="2037920164">
      <w:marLeft w:val="0"/>
      <w:marRight w:val="0"/>
      <w:marTop w:val="0"/>
      <w:marBottom w:val="0"/>
      <w:divBdr>
        <w:top w:val="none" w:sz="0" w:space="0" w:color="auto"/>
        <w:left w:val="none" w:sz="0" w:space="0" w:color="auto"/>
        <w:bottom w:val="none" w:sz="0" w:space="0" w:color="auto"/>
        <w:right w:val="none" w:sz="0" w:space="0" w:color="auto"/>
      </w:divBdr>
    </w:div>
    <w:div w:id="2037920165">
      <w:marLeft w:val="0"/>
      <w:marRight w:val="0"/>
      <w:marTop w:val="0"/>
      <w:marBottom w:val="0"/>
      <w:divBdr>
        <w:top w:val="none" w:sz="0" w:space="0" w:color="auto"/>
        <w:left w:val="none" w:sz="0" w:space="0" w:color="auto"/>
        <w:bottom w:val="none" w:sz="0" w:space="0" w:color="auto"/>
        <w:right w:val="none" w:sz="0" w:space="0" w:color="auto"/>
      </w:divBdr>
    </w:div>
    <w:div w:id="2037920166">
      <w:marLeft w:val="0"/>
      <w:marRight w:val="0"/>
      <w:marTop w:val="0"/>
      <w:marBottom w:val="0"/>
      <w:divBdr>
        <w:top w:val="none" w:sz="0" w:space="0" w:color="auto"/>
        <w:left w:val="none" w:sz="0" w:space="0" w:color="auto"/>
        <w:bottom w:val="none" w:sz="0" w:space="0" w:color="auto"/>
        <w:right w:val="none" w:sz="0" w:space="0" w:color="auto"/>
      </w:divBdr>
    </w:div>
    <w:div w:id="2037920167">
      <w:marLeft w:val="0"/>
      <w:marRight w:val="0"/>
      <w:marTop w:val="0"/>
      <w:marBottom w:val="0"/>
      <w:divBdr>
        <w:top w:val="none" w:sz="0" w:space="0" w:color="auto"/>
        <w:left w:val="none" w:sz="0" w:space="0" w:color="auto"/>
        <w:bottom w:val="none" w:sz="0" w:space="0" w:color="auto"/>
        <w:right w:val="none" w:sz="0" w:space="0" w:color="auto"/>
      </w:divBdr>
      <w:divsChild>
        <w:div w:id="203792015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0">
      <w:marLeft w:val="0"/>
      <w:marRight w:val="0"/>
      <w:marTop w:val="0"/>
      <w:marBottom w:val="0"/>
      <w:divBdr>
        <w:top w:val="none" w:sz="0" w:space="0" w:color="auto"/>
        <w:left w:val="none" w:sz="0" w:space="0" w:color="auto"/>
        <w:bottom w:val="none" w:sz="0" w:space="0" w:color="auto"/>
        <w:right w:val="none" w:sz="0" w:space="0" w:color="auto"/>
      </w:divBdr>
    </w:div>
    <w:div w:id="2037920177">
      <w:marLeft w:val="0"/>
      <w:marRight w:val="0"/>
      <w:marTop w:val="0"/>
      <w:marBottom w:val="0"/>
      <w:divBdr>
        <w:top w:val="none" w:sz="0" w:space="0" w:color="auto"/>
        <w:left w:val="none" w:sz="0" w:space="0" w:color="auto"/>
        <w:bottom w:val="none" w:sz="0" w:space="0" w:color="auto"/>
        <w:right w:val="none" w:sz="0" w:space="0" w:color="auto"/>
      </w:divBdr>
      <w:divsChild>
        <w:div w:id="2037920059">
          <w:marLeft w:val="274"/>
          <w:marRight w:val="0"/>
          <w:marTop w:val="0"/>
          <w:marBottom w:val="120"/>
          <w:divBdr>
            <w:top w:val="none" w:sz="0" w:space="0" w:color="auto"/>
            <w:left w:val="none" w:sz="0" w:space="0" w:color="auto"/>
            <w:bottom w:val="none" w:sz="0" w:space="0" w:color="auto"/>
            <w:right w:val="none" w:sz="0" w:space="0" w:color="auto"/>
          </w:divBdr>
        </w:div>
        <w:div w:id="203792009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9">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446"/>
          <w:marRight w:val="0"/>
          <w:marTop w:val="0"/>
          <w:marBottom w:val="120"/>
          <w:divBdr>
            <w:top w:val="none" w:sz="0" w:space="0" w:color="auto"/>
            <w:left w:val="none" w:sz="0" w:space="0" w:color="auto"/>
            <w:bottom w:val="none" w:sz="0" w:space="0" w:color="auto"/>
            <w:right w:val="none" w:sz="0" w:space="0" w:color="auto"/>
          </w:divBdr>
        </w:div>
        <w:div w:id="2037920169">
          <w:marLeft w:val="446"/>
          <w:marRight w:val="0"/>
          <w:marTop w:val="0"/>
          <w:marBottom w:val="120"/>
          <w:divBdr>
            <w:top w:val="none" w:sz="0" w:space="0" w:color="auto"/>
            <w:left w:val="none" w:sz="0" w:space="0" w:color="auto"/>
            <w:bottom w:val="none" w:sz="0" w:space="0" w:color="auto"/>
            <w:right w:val="none" w:sz="0" w:space="0" w:color="auto"/>
          </w:divBdr>
        </w:div>
      </w:divsChild>
    </w:div>
    <w:div w:id="2037920180">
      <w:marLeft w:val="0"/>
      <w:marRight w:val="0"/>
      <w:marTop w:val="0"/>
      <w:marBottom w:val="0"/>
      <w:divBdr>
        <w:top w:val="none" w:sz="0" w:space="0" w:color="auto"/>
        <w:left w:val="none" w:sz="0" w:space="0" w:color="auto"/>
        <w:bottom w:val="none" w:sz="0" w:space="0" w:color="auto"/>
        <w:right w:val="none" w:sz="0" w:space="0" w:color="auto"/>
      </w:divBdr>
    </w:div>
    <w:div w:id="2037920182">
      <w:marLeft w:val="0"/>
      <w:marRight w:val="0"/>
      <w:marTop w:val="0"/>
      <w:marBottom w:val="0"/>
      <w:divBdr>
        <w:top w:val="none" w:sz="0" w:space="0" w:color="auto"/>
        <w:left w:val="none" w:sz="0" w:space="0" w:color="auto"/>
        <w:bottom w:val="none" w:sz="0" w:space="0" w:color="auto"/>
        <w:right w:val="none" w:sz="0" w:space="0" w:color="auto"/>
      </w:divBdr>
    </w:div>
    <w:div w:id="2088189325">
      <w:bodyDiv w:val="1"/>
      <w:marLeft w:val="0"/>
      <w:marRight w:val="0"/>
      <w:marTop w:val="0"/>
      <w:marBottom w:val="0"/>
      <w:divBdr>
        <w:top w:val="none" w:sz="0" w:space="0" w:color="auto"/>
        <w:left w:val="none" w:sz="0" w:space="0" w:color="auto"/>
        <w:bottom w:val="none" w:sz="0" w:space="0" w:color="auto"/>
        <w:right w:val="none" w:sz="0" w:space="0" w:color="auto"/>
      </w:divBdr>
    </w:div>
    <w:div w:id="2117406859">
      <w:bodyDiv w:val="1"/>
      <w:marLeft w:val="0"/>
      <w:marRight w:val="0"/>
      <w:marTop w:val="0"/>
      <w:marBottom w:val="0"/>
      <w:divBdr>
        <w:top w:val="none" w:sz="0" w:space="0" w:color="auto"/>
        <w:left w:val="none" w:sz="0" w:space="0" w:color="auto"/>
        <w:bottom w:val="none" w:sz="0" w:space="0" w:color="auto"/>
        <w:right w:val="none" w:sz="0" w:space="0" w:color="auto"/>
      </w:divBdr>
    </w:div>
    <w:div w:id="2129657884">
      <w:bodyDiv w:val="1"/>
      <w:marLeft w:val="0"/>
      <w:marRight w:val="0"/>
      <w:marTop w:val="0"/>
      <w:marBottom w:val="0"/>
      <w:divBdr>
        <w:top w:val="none" w:sz="0" w:space="0" w:color="auto"/>
        <w:left w:val="none" w:sz="0" w:space="0" w:color="auto"/>
        <w:bottom w:val="none" w:sz="0" w:space="0" w:color="auto"/>
        <w:right w:val="none" w:sz="0" w:space="0" w:color="auto"/>
      </w:divBdr>
    </w:div>
    <w:div w:id="21397640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5.xml"/><Relationship Id="rId299" Type="http://schemas.openxmlformats.org/officeDocument/2006/relationships/chart" Target="charts/chart118.xml"/><Relationship Id="rId21" Type="http://schemas.openxmlformats.org/officeDocument/2006/relationships/diagramData" Target="diagrams/data2.xml"/><Relationship Id="rId63" Type="http://schemas.openxmlformats.org/officeDocument/2006/relationships/chart" Target="charts/chart17.xml"/><Relationship Id="rId159" Type="http://schemas.openxmlformats.org/officeDocument/2006/relationships/hyperlink" Target="https://estibucuresti.org/sidu" TargetMode="External"/><Relationship Id="rId324" Type="http://schemas.openxmlformats.org/officeDocument/2006/relationships/diagramQuickStyle" Target="diagrams/quickStyle16.xml"/><Relationship Id="rId170" Type="http://schemas.openxmlformats.org/officeDocument/2006/relationships/image" Target="media/image56.jpeg"/><Relationship Id="rId226" Type="http://schemas.openxmlformats.org/officeDocument/2006/relationships/diagramColors" Target="diagrams/colors7.xml"/><Relationship Id="rId268" Type="http://schemas.openxmlformats.org/officeDocument/2006/relationships/chart" Target="charts/chart97.xml"/><Relationship Id="rId32" Type="http://schemas.openxmlformats.org/officeDocument/2006/relationships/image" Target="media/image15.jpeg"/><Relationship Id="rId74" Type="http://schemas.openxmlformats.org/officeDocument/2006/relationships/chart" Target="charts/chart25.xml"/><Relationship Id="rId128" Type="http://schemas.openxmlformats.org/officeDocument/2006/relationships/chart" Target="charts/chart55.xml"/><Relationship Id="rId335" Type="http://schemas.openxmlformats.org/officeDocument/2006/relationships/diagramQuickStyle" Target="diagrams/quickStyle18.xml"/><Relationship Id="rId5" Type="http://schemas.openxmlformats.org/officeDocument/2006/relationships/webSettings" Target="webSettings.xml"/><Relationship Id="rId181" Type="http://schemas.openxmlformats.org/officeDocument/2006/relationships/image" Target="media/image63.emf"/><Relationship Id="rId237" Type="http://schemas.openxmlformats.org/officeDocument/2006/relationships/diagramLayout" Target="diagrams/layout8.xml"/><Relationship Id="rId279" Type="http://schemas.openxmlformats.org/officeDocument/2006/relationships/diagramColors" Target="diagrams/colors13.xml"/><Relationship Id="rId43" Type="http://schemas.openxmlformats.org/officeDocument/2006/relationships/diagramColors" Target="diagrams/colors4.xml"/><Relationship Id="rId139" Type="http://schemas.openxmlformats.org/officeDocument/2006/relationships/diagramQuickStyle" Target="diagrams/quickStyle6.xml"/><Relationship Id="rId290" Type="http://schemas.openxmlformats.org/officeDocument/2006/relationships/chart" Target="charts/chart109.xml"/><Relationship Id="rId304" Type="http://schemas.openxmlformats.org/officeDocument/2006/relationships/diagramQuickStyle" Target="diagrams/quickStyle14.xml"/><Relationship Id="rId346" Type="http://schemas.openxmlformats.org/officeDocument/2006/relationships/chart" Target="charts/chart140.xml"/><Relationship Id="rId85" Type="http://schemas.openxmlformats.org/officeDocument/2006/relationships/image" Target="media/image23.png"/><Relationship Id="rId150" Type="http://schemas.openxmlformats.org/officeDocument/2006/relationships/chart" Target="charts/chart63.xml"/><Relationship Id="rId192" Type="http://schemas.openxmlformats.org/officeDocument/2006/relationships/image" Target="media/image68.emf"/><Relationship Id="rId206" Type="http://schemas.openxmlformats.org/officeDocument/2006/relationships/footer" Target="footer4.xml"/><Relationship Id="rId248" Type="http://schemas.openxmlformats.org/officeDocument/2006/relationships/chart" Target="charts/chart87.xml"/><Relationship Id="rId12" Type="http://schemas.openxmlformats.org/officeDocument/2006/relationships/image" Target="media/image3.png"/><Relationship Id="rId108" Type="http://schemas.openxmlformats.org/officeDocument/2006/relationships/chart" Target="charts/chart36.xml"/><Relationship Id="rId315" Type="http://schemas.openxmlformats.org/officeDocument/2006/relationships/diagramQuickStyle" Target="diagrams/quickStyle15.xml"/><Relationship Id="rId357" Type="http://schemas.microsoft.com/office/2007/relationships/diagramDrawing" Target="diagrams/drawing20.xml"/><Relationship Id="rId54" Type="http://schemas.openxmlformats.org/officeDocument/2006/relationships/chart" Target="charts/chart10.xml"/><Relationship Id="rId96" Type="http://schemas.openxmlformats.org/officeDocument/2006/relationships/image" Target="media/image26.jpg"/><Relationship Id="rId161" Type="http://schemas.openxmlformats.org/officeDocument/2006/relationships/hyperlink" Target="https://estibucuresti.org/sidu" TargetMode="External"/><Relationship Id="rId217" Type="http://schemas.openxmlformats.org/officeDocument/2006/relationships/image" Target="media/image82.png"/><Relationship Id="rId259" Type="http://schemas.openxmlformats.org/officeDocument/2006/relationships/diagramColors" Target="diagrams/colors10.xml"/><Relationship Id="rId23" Type="http://schemas.openxmlformats.org/officeDocument/2006/relationships/diagramQuickStyle" Target="diagrams/quickStyle2.xml"/><Relationship Id="rId119" Type="http://schemas.openxmlformats.org/officeDocument/2006/relationships/chart" Target="charts/chart47.xml"/><Relationship Id="rId270" Type="http://schemas.openxmlformats.org/officeDocument/2006/relationships/diagramLayout" Target="diagrams/layout12.xml"/><Relationship Id="rId326" Type="http://schemas.microsoft.com/office/2007/relationships/diagramDrawing" Target="diagrams/drawing16.xml"/><Relationship Id="rId65" Type="http://schemas.openxmlformats.org/officeDocument/2006/relationships/chart" Target="charts/chart19.xml"/><Relationship Id="rId130" Type="http://schemas.openxmlformats.org/officeDocument/2006/relationships/chart" Target="charts/chart57.xml"/><Relationship Id="rId172" Type="http://schemas.openxmlformats.org/officeDocument/2006/relationships/image" Target="media/image57.png"/><Relationship Id="rId228" Type="http://schemas.openxmlformats.org/officeDocument/2006/relationships/chart" Target="charts/chart77.xml"/><Relationship Id="rId281" Type="http://schemas.openxmlformats.org/officeDocument/2006/relationships/chart" Target="charts/chart100.xml"/><Relationship Id="rId337" Type="http://schemas.microsoft.com/office/2007/relationships/diagramDrawing" Target="diagrams/drawing18.xml"/><Relationship Id="rId34" Type="http://schemas.openxmlformats.org/officeDocument/2006/relationships/hyperlink" Target="https://www.adrbi.ro/media/2581/prioritatea2_porbi.pdf" TargetMode="External"/><Relationship Id="rId76" Type="http://schemas.openxmlformats.org/officeDocument/2006/relationships/image" Target="media/image21.jpg"/><Relationship Id="rId141" Type="http://schemas.microsoft.com/office/2007/relationships/diagramDrawing" Target="diagrams/drawing6.xml"/><Relationship Id="rId7" Type="http://schemas.openxmlformats.org/officeDocument/2006/relationships/endnotes" Target="endnotes.xml"/><Relationship Id="rId183" Type="http://schemas.openxmlformats.org/officeDocument/2006/relationships/chart" Target="charts/chart69.xml"/><Relationship Id="rId239" Type="http://schemas.openxmlformats.org/officeDocument/2006/relationships/diagramColors" Target="diagrams/colors8.xml"/><Relationship Id="rId250" Type="http://schemas.openxmlformats.org/officeDocument/2006/relationships/chart" Target="charts/chart89.xml"/><Relationship Id="rId292" Type="http://schemas.openxmlformats.org/officeDocument/2006/relationships/chart" Target="charts/chart111.xml"/><Relationship Id="rId306" Type="http://schemas.microsoft.com/office/2007/relationships/diagramDrawing" Target="diagrams/drawing14.xml"/><Relationship Id="rId45" Type="http://schemas.openxmlformats.org/officeDocument/2006/relationships/chart" Target="charts/chart1.xml"/><Relationship Id="rId87" Type="http://schemas.openxmlformats.org/officeDocument/2006/relationships/chart" Target="charts/chart33.xml"/><Relationship Id="rId110" Type="http://schemas.openxmlformats.org/officeDocument/2006/relationships/chart" Target="charts/chart38.xml"/><Relationship Id="rId348" Type="http://schemas.openxmlformats.org/officeDocument/2006/relationships/diagramData" Target="diagrams/data19.xml"/><Relationship Id="rId152" Type="http://schemas.openxmlformats.org/officeDocument/2006/relationships/chart" Target="charts/chart65.xml"/><Relationship Id="rId194" Type="http://schemas.openxmlformats.org/officeDocument/2006/relationships/image" Target="media/image69.emf"/><Relationship Id="rId208" Type="http://schemas.openxmlformats.org/officeDocument/2006/relationships/footer" Target="footer5.xml"/><Relationship Id="rId261" Type="http://schemas.openxmlformats.org/officeDocument/2006/relationships/chart" Target="charts/chart95.xml"/><Relationship Id="rId14" Type="http://schemas.openxmlformats.org/officeDocument/2006/relationships/image" Target="media/image4.jpg"/><Relationship Id="rId56" Type="http://schemas.openxmlformats.org/officeDocument/2006/relationships/chart" Target="charts/chart12.xml"/><Relationship Id="rId317" Type="http://schemas.microsoft.com/office/2007/relationships/diagramDrawing" Target="diagrams/drawing15.xml"/><Relationship Id="rId359" Type="http://schemas.openxmlformats.org/officeDocument/2006/relationships/chart" Target="charts/chart143.xml"/><Relationship Id="rId98" Type="http://schemas.openxmlformats.org/officeDocument/2006/relationships/image" Target="media/image28.jpg"/><Relationship Id="rId121" Type="http://schemas.openxmlformats.org/officeDocument/2006/relationships/chart" Target="charts/chart48.xml"/><Relationship Id="rId163" Type="http://schemas.openxmlformats.org/officeDocument/2006/relationships/image" Target="media/image50.png"/><Relationship Id="rId219" Type="http://schemas.openxmlformats.org/officeDocument/2006/relationships/image" Target="media/image84.png"/><Relationship Id="rId230" Type="http://schemas.openxmlformats.org/officeDocument/2006/relationships/chart" Target="charts/chart79.xml"/><Relationship Id="rId25" Type="http://schemas.microsoft.com/office/2007/relationships/diagramDrawing" Target="diagrams/drawing2.xml"/><Relationship Id="rId67" Type="http://schemas.openxmlformats.org/officeDocument/2006/relationships/chart" Target="charts/chart21.xml"/><Relationship Id="rId272" Type="http://schemas.openxmlformats.org/officeDocument/2006/relationships/diagramColors" Target="diagrams/colors12.xml"/><Relationship Id="rId328" Type="http://schemas.openxmlformats.org/officeDocument/2006/relationships/diagramLayout" Target="diagrams/layout17.xml"/><Relationship Id="rId88" Type="http://schemas.openxmlformats.org/officeDocument/2006/relationships/chart" Target="charts/chart34.xml"/><Relationship Id="rId111" Type="http://schemas.openxmlformats.org/officeDocument/2006/relationships/chart" Target="charts/chart39.xml"/><Relationship Id="rId132" Type="http://schemas.openxmlformats.org/officeDocument/2006/relationships/chart" Target="charts/chart58.xml"/><Relationship Id="rId153" Type="http://schemas.openxmlformats.org/officeDocument/2006/relationships/image" Target="media/image45.emf"/><Relationship Id="rId174" Type="http://schemas.openxmlformats.org/officeDocument/2006/relationships/image" Target="media/image59.png"/><Relationship Id="rId195" Type="http://schemas.openxmlformats.org/officeDocument/2006/relationships/package" Target="embeddings/Microsoft_Excel_Worksheet31.xlsx"/><Relationship Id="rId209" Type="http://schemas.openxmlformats.org/officeDocument/2006/relationships/image" Target="media/image74.jpeg"/><Relationship Id="rId360" Type="http://schemas.openxmlformats.org/officeDocument/2006/relationships/chart" Target="charts/chart144.xml"/><Relationship Id="rId220" Type="http://schemas.openxmlformats.org/officeDocument/2006/relationships/chart" Target="charts/chart74.xml"/><Relationship Id="rId241" Type="http://schemas.openxmlformats.org/officeDocument/2006/relationships/chart" Target="charts/chart85.xml"/><Relationship Id="rId15" Type="http://schemas.openxmlformats.org/officeDocument/2006/relationships/image" Target="media/image5.png"/><Relationship Id="rId36" Type="http://schemas.openxmlformats.org/officeDocument/2006/relationships/hyperlink" Target="https://www.adrbi.ro/media/2583/prioritatea4_porbi.pdf" TargetMode="External"/><Relationship Id="rId57" Type="http://schemas.openxmlformats.org/officeDocument/2006/relationships/chart" Target="charts/chart13.xml"/><Relationship Id="rId262" Type="http://schemas.openxmlformats.org/officeDocument/2006/relationships/chart" Target="charts/chart96.xml"/><Relationship Id="rId283" Type="http://schemas.openxmlformats.org/officeDocument/2006/relationships/chart" Target="charts/chart102.xml"/><Relationship Id="rId318" Type="http://schemas.openxmlformats.org/officeDocument/2006/relationships/chart" Target="charts/chart127.xml"/><Relationship Id="rId339" Type="http://schemas.openxmlformats.org/officeDocument/2006/relationships/chart" Target="charts/chart133.xml"/><Relationship Id="rId78" Type="http://schemas.openxmlformats.org/officeDocument/2006/relationships/chart" Target="charts/chart27.xml"/><Relationship Id="rId99" Type="http://schemas.openxmlformats.org/officeDocument/2006/relationships/image" Target="media/image29.png"/><Relationship Id="rId101" Type="http://schemas.openxmlformats.org/officeDocument/2006/relationships/image" Target="media/image31.jpg"/><Relationship Id="rId122" Type="http://schemas.openxmlformats.org/officeDocument/2006/relationships/chart" Target="charts/chart49.xml"/><Relationship Id="rId143" Type="http://schemas.openxmlformats.org/officeDocument/2006/relationships/image" Target="media/image41.jpg"/><Relationship Id="rId164" Type="http://schemas.openxmlformats.org/officeDocument/2006/relationships/image" Target="media/image51.png"/><Relationship Id="rId185" Type="http://schemas.openxmlformats.org/officeDocument/2006/relationships/chart" Target="charts/chart70.xml"/><Relationship Id="rId350" Type="http://schemas.openxmlformats.org/officeDocument/2006/relationships/diagramQuickStyle" Target="diagrams/quickStyle19.xml"/><Relationship Id="rId9" Type="http://schemas.openxmlformats.org/officeDocument/2006/relationships/header" Target="header1.xml"/><Relationship Id="rId210" Type="http://schemas.openxmlformats.org/officeDocument/2006/relationships/image" Target="media/image75.jpeg"/><Relationship Id="rId26" Type="http://schemas.openxmlformats.org/officeDocument/2006/relationships/image" Target="media/image6.png"/><Relationship Id="rId231" Type="http://schemas.openxmlformats.org/officeDocument/2006/relationships/chart" Target="charts/chart80.xml"/><Relationship Id="rId252" Type="http://schemas.openxmlformats.org/officeDocument/2006/relationships/chart" Target="charts/chart91.xml"/><Relationship Id="rId273" Type="http://schemas.microsoft.com/office/2007/relationships/diagramDrawing" Target="diagrams/drawing12.xml"/><Relationship Id="rId294" Type="http://schemas.openxmlformats.org/officeDocument/2006/relationships/chart" Target="charts/chart113.xml"/><Relationship Id="rId308" Type="http://schemas.openxmlformats.org/officeDocument/2006/relationships/chart" Target="charts/chart122.xml"/><Relationship Id="rId329" Type="http://schemas.openxmlformats.org/officeDocument/2006/relationships/diagramQuickStyle" Target="diagrams/quickStyle17.xml"/><Relationship Id="rId47" Type="http://schemas.openxmlformats.org/officeDocument/2006/relationships/chart" Target="charts/chart3.xml"/><Relationship Id="rId68" Type="http://schemas.openxmlformats.org/officeDocument/2006/relationships/chart" Target="charts/chart22.xml"/><Relationship Id="rId89" Type="http://schemas.openxmlformats.org/officeDocument/2006/relationships/image" Target="media/image24.jpg"/><Relationship Id="rId112" Type="http://schemas.openxmlformats.org/officeDocument/2006/relationships/chart" Target="charts/chart40.xml"/><Relationship Id="rId133" Type="http://schemas.openxmlformats.org/officeDocument/2006/relationships/chart" Target="charts/chart59.xml"/><Relationship Id="rId154" Type="http://schemas.openxmlformats.org/officeDocument/2006/relationships/hyperlink" Target="https://net-city.ro/acoperirea-netcity/" TargetMode="External"/><Relationship Id="rId175" Type="http://schemas.openxmlformats.org/officeDocument/2006/relationships/hyperlink" Target="https://www.strava.com/heatmap" TargetMode="External"/><Relationship Id="rId340" Type="http://schemas.openxmlformats.org/officeDocument/2006/relationships/chart" Target="charts/chart134.xml"/><Relationship Id="rId361" Type="http://schemas.openxmlformats.org/officeDocument/2006/relationships/image" Target="media/image97.jpeg"/><Relationship Id="rId196" Type="http://schemas.openxmlformats.org/officeDocument/2006/relationships/image" Target="media/image70.emf"/><Relationship Id="rId200" Type="http://schemas.openxmlformats.org/officeDocument/2006/relationships/image" Target="media/image72.png"/><Relationship Id="rId16" Type="http://schemas.openxmlformats.org/officeDocument/2006/relationships/diagramData" Target="diagrams/data1.xml"/><Relationship Id="rId221" Type="http://schemas.openxmlformats.org/officeDocument/2006/relationships/chart" Target="charts/chart75.xml"/><Relationship Id="rId242" Type="http://schemas.openxmlformats.org/officeDocument/2006/relationships/diagramData" Target="diagrams/data9.xml"/><Relationship Id="rId263" Type="http://schemas.openxmlformats.org/officeDocument/2006/relationships/diagramData" Target="diagrams/data11.xml"/><Relationship Id="rId284" Type="http://schemas.openxmlformats.org/officeDocument/2006/relationships/chart" Target="charts/chart103.xml"/><Relationship Id="rId319" Type="http://schemas.openxmlformats.org/officeDocument/2006/relationships/chart" Target="charts/chart128.xml"/><Relationship Id="rId37" Type="http://schemas.openxmlformats.org/officeDocument/2006/relationships/hyperlink" Target="https://www.adrbi.ro/media/2584/prioritatea5_porbi.pdf" TargetMode="External"/><Relationship Id="rId58" Type="http://schemas.openxmlformats.org/officeDocument/2006/relationships/chart" Target="charts/chart14.xml"/><Relationship Id="rId79" Type="http://schemas.openxmlformats.org/officeDocument/2006/relationships/hyperlink" Target="https://centruleminescu.ro/" TargetMode="External"/><Relationship Id="rId102" Type="http://schemas.openxmlformats.org/officeDocument/2006/relationships/image" Target="media/image32.jpeg"/><Relationship Id="rId123" Type="http://schemas.openxmlformats.org/officeDocument/2006/relationships/chart" Target="charts/chart50.xml"/><Relationship Id="rId144" Type="http://schemas.openxmlformats.org/officeDocument/2006/relationships/image" Target="media/image42.jpg"/><Relationship Id="rId330" Type="http://schemas.openxmlformats.org/officeDocument/2006/relationships/diagramColors" Target="diagrams/colors17.xml"/><Relationship Id="rId90" Type="http://schemas.openxmlformats.org/officeDocument/2006/relationships/image" Target="media/image25.jpg"/><Relationship Id="rId165" Type="http://schemas.openxmlformats.org/officeDocument/2006/relationships/image" Target="media/image52.jpeg"/><Relationship Id="rId186" Type="http://schemas.openxmlformats.org/officeDocument/2006/relationships/chart" Target="charts/chart71.xml"/><Relationship Id="rId351" Type="http://schemas.openxmlformats.org/officeDocument/2006/relationships/diagramColors" Target="diagrams/colors19.xml"/><Relationship Id="rId211" Type="http://schemas.openxmlformats.org/officeDocument/2006/relationships/image" Target="media/image76.jpeg"/><Relationship Id="rId232" Type="http://schemas.openxmlformats.org/officeDocument/2006/relationships/chart" Target="charts/chart81.xml"/><Relationship Id="rId253" Type="http://schemas.openxmlformats.org/officeDocument/2006/relationships/chart" Target="charts/chart92.xml"/><Relationship Id="rId274" Type="http://schemas.openxmlformats.org/officeDocument/2006/relationships/chart" Target="charts/chart98.xml"/><Relationship Id="rId295" Type="http://schemas.openxmlformats.org/officeDocument/2006/relationships/chart" Target="charts/chart114.xml"/><Relationship Id="rId309" Type="http://schemas.openxmlformats.org/officeDocument/2006/relationships/chart" Target="charts/chart123.xml"/><Relationship Id="rId27" Type="http://schemas.openxmlformats.org/officeDocument/2006/relationships/diagramData" Target="diagrams/data3.xml"/><Relationship Id="rId48" Type="http://schemas.openxmlformats.org/officeDocument/2006/relationships/chart" Target="charts/chart4.xml"/><Relationship Id="rId69" Type="http://schemas.openxmlformats.org/officeDocument/2006/relationships/chart" Target="charts/chart23.xml"/><Relationship Id="rId113" Type="http://schemas.openxmlformats.org/officeDocument/2006/relationships/chart" Target="charts/chart41.xml"/><Relationship Id="rId134" Type="http://schemas.openxmlformats.org/officeDocument/2006/relationships/image" Target="media/image37.png"/><Relationship Id="rId320" Type="http://schemas.openxmlformats.org/officeDocument/2006/relationships/chart" Target="charts/chart129.xml"/><Relationship Id="rId80" Type="http://schemas.openxmlformats.org/officeDocument/2006/relationships/hyperlink" Target="https://www.facebook.com/centrulculturalmihaieminescu/" TargetMode="External"/><Relationship Id="rId155" Type="http://schemas.openxmlformats.org/officeDocument/2006/relationships/chart" Target="charts/chart66.xml"/><Relationship Id="rId176" Type="http://schemas.openxmlformats.org/officeDocument/2006/relationships/image" Target="media/image60.png"/><Relationship Id="rId197" Type="http://schemas.openxmlformats.org/officeDocument/2006/relationships/package" Target="embeddings/Microsoft_Excel_Worksheet32.xlsx"/><Relationship Id="rId341" Type="http://schemas.openxmlformats.org/officeDocument/2006/relationships/chart" Target="charts/chart135.xml"/><Relationship Id="rId362" Type="http://schemas.openxmlformats.org/officeDocument/2006/relationships/fontTable" Target="fontTable.xml"/><Relationship Id="rId201" Type="http://schemas.openxmlformats.org/officeDocument/2006/relationships/image" Target="media/image73.png"/><Relationship Id="rId222" Type="http://schemas.openxmlformats.org/officeDocument/2006/relationships/chart" Target="charts/chart76.xml"/><Relationship Id="rId243" Type="http://schemas.openxmlformats.org/officeDocument/2006/relationships/diagramLayout" Target="diagrams/layout9.xml"/><Relationship Id="rId264" Type="http://schemas.openxmlformats.org/officeDocument/2006/relationships/diagramLayout" Target="diagrams/layout11.xml"/><Relationship Id="rId285" Type="http://schemas.openxmlformats.org/officeDocument/2006/relationships/chart" Target="charts/chart104.xml"/><Relationship Id="rId17" Type="http://schemas.openxmlformats.org/officeDocument/2006/relationships/diagramLayout" Target="diagrams/layout1.xml"/><Relationship Id="rId38" Type="http://schemas.openxmlformats.org/officeDocument/2006/relationships/hyperlink" Target="https://www.adrbi.ro/media/2585/prioritatea6_porbi.pdf" TargetMode="External"/><Relationship Id="rId59" Type="http://schemas.openxmlformats.org/officeDocument/2006/relationships/chart" Target="charts/chart15.xml"/><Relationship Id="rId103" Type="http://schemas.openxmlformats.org/officeDocument/2006/relationships/image" Target="media/image33.jpeg"/><Relationship Id="rId124" Type="http://schemas.openxmlformats.org/officeDocument/2006/relationships/chart" Target="charts/chart51.xml"/><Relationship Id="rId310" Type="http://schemas.openxmlformats.org/officeDocument/2006/relationships/chart" Target="charts/chart124.xml"/><Relationship Id="rId70" Type="http://schemas.openxmlformats.org/officeDocument/2006/relationships/image" Target="media/image18.png"/><Relationship Id="rId91" Type="http://schemas.openxmlformats.org/officeDocument/2006/relationships/diagramData" Target="diagrams/data5.xml"/><Relationship Id="rId145" Type="http://schemas.openxmlformats.org/officeDocument/2006/relationships/image" Target="media/image43.jpg"/><Relationship Id="rId166" Type="http://schemas.openxmlformats.org/officeDocument/2006/relationships/image" Target="media/image53.png"/><Relationship Id="rId187" Type="http://schemas.openxmlformats.org/officeDocument/2006/relationships/image" Target="media/image65.png"/><Relationship Id="rId331" Type="http://schemas.microsoft.com/office/2007/relationships/diagramDrawing" Target="diagrams/drawing17.xml"/><Relationship Id="rId352" Type="http://schemas.microsoft.com/office/2007/relationships/diagramDrawing" Target="diagrams/drawing19.xml"/><Relationship Id="rId1" Type="http://schemas.openxmlformats.org/officeDocument/2006/relationships/customXml" Target="../customXml/item1.xml"/><Relationship Id="rId212" Type="http://schemas.openxmlformats.org/officeDocument/2006/relationships/image" Target="media/image77.jpeg"/><Relationship Id="rId233" Type="http://schemas.openxmlformats.org/officeDocument/2006/relationships/chart" Target="charts/chart82.xml"/><Relationship Id="rId254" Type="http://schemas.openxmlformats.org/officeDocument/2006/relationships/chart" Target="charts/chart93.xml"/><Relationship Id="rId28" Type="http://schemas.openxmlformats.org/officeDocument/2006/relationships/diagramLayout" Target="diagrams/layout3.xml"/><Relationship Id="rId49" Type="http://schemas.openxmlformats.org/officeDocument/2006/relationships/chart" Target="charts/chart5.xml"/><Relationship Id="rId114" Type="http://schemas.openxmlformats.org/officeDocument/2006/relationships/chart" Target="charts/chart42.xml"/><Relationship Id="rId275" Type="http://schemas.openxmlformats.org/officeDocument/2006/relationships/chart" Target="charts/chart99.xml"/><Relationship Id="rId296" Type="http://schemas.openxmlformats.org/officeDocument/2006/relationships/chart" Target="charts/chart115.xml"/><Relationship Id="rId300" Type="http://schemas.openxmlformats.org/officeDocument/2006/relationships/chart" Target="charts/chart119.xml"/><Relationship Id="rId60" Type="http://schemas.openxmlformats.org/officeDocument/2006/relationships/image" Target="media/image16.jpeg"/><Relationship Id="rId81" Type="http://schemas.openxmlformats.org/officeDocument/2006/relationships/chart" Target="charts/chart28.xml"/><Relationship Id="rId135" Type="http://schemas.openxmlformats.org/officeDocument/2006/relationships/image" Target="media/image38.png"/><Relationship Id="rId156" Type="http://schemas.openxmlformats.org/officeDocument/2006/relationships/chart" Target="charts/chart67.xml"/><Relationship Id="rId177" Type="http://schemas.openxmlformats.org/officeDocument/2006/relationships/hyperlink" Target="https://ivelo.ro/" TargetMode="External"/><Relationship Id="rId198" Type="http://schemas.openxmlformats.org/officeDocument/2006/relationships/image" Target="media/image71.emf"/><Relationship Id="rId321" Type="http://schemas.openxmlformats.org/officeDocument/2006/relationships/chart" Target="charts/chart130.xml"/><Relationship Id="rId342" Type="http://schemas.openxmlformats.org/officeDocument/2006/relationships/chart" Target="charts/chart136.xml"/><Relationship Id="rId363" Type="http://schemas.openxmlformats.org/officeDocument/2006/relationships/theme" Target="theme/theme1.xml"/><Relationship Id="rId202" Type="http://schemas.openxmlformats.org/officeDocument/2006/relationships/hyperlink" Target="http://www.data.gov.ro" TargetMode="External"/><Relationship Id="rId223" Type="http://schemas.openxmlformats.org/officeDocument/2006/relationships/diagramData" Target="diagrams/data7.xml"/><Relationship Id="rId244" Type="http://schemas.openxmlformats.org/officeDocument/2006/relationships/diagramQuickStyle" Target="diagrams/quickStyle9.xml"/><Relationship Id="rId18" Type="http://schemas.openxmlformats.org/officeDocument/2006/relationships/diagramQuickStyle" Target="diagrams/quickStyle1.xml"/><Relationship Id="rId39" Type="http://schemas.openxmlformats.org/officeDocument/2006/relationships/hyperlink" Target="https://www.adrbi.ro/media/2586/prioritatea7_porbi.pdf" TargetMode="External"/><Relationship Id="rId265" Type="http://schemas.openxmlformats.org/officeDocument/2006/relationships/diagramQuickStyle" Target="diagrams/quickStyle11.xml"/><Relationship Id="rId286" Type="http://schemas.openxmlformats.org/officeDocument/2006/relationships/chart" Target="charts/chart105.xml"/><Relationship Id="rId50" Type="http://schemas.openxmlformats.org/officeDocument/2006/relationships/chart" Target="charts/chart6.xml"/><Relationship Id="rId104" Type="http://schemas.openxmlformats.org/officeDocument/2006/relationships/image" Target="media/image34.jpeg"/><Relationship Id="rId125" Type="http://schemas.openxmlformats.org/officeDocument/2006/relationships/chart" Target="charts/chart52.xml"/><Relationship Id="rId146" Type="http://schemas.openxmlformats.org/officeDocument/2006/relationships/image" Target="media/image44.jpeg"/><Relationship Id="rId167" Type="http://schemas.openxmlformats.org/officeDocument/2006/relationships/image" Target="media/image54.jpeg"/><Relationship Id="rId188" Type="http://schemas.openxmlformats.org/officeDocument/2006/relationships/image" Target="media/image66.png"/><Relationship Id="rId311" Type="http://schemas.openxmlformats.org/officeDocument/2006/relationships/chart" Target="charts/chart125.xml"/><Relationship Id="rId332" Type="http://schemas.openxmlformats.org/officeDocument/2006/relationships/chart" Target="charts/chart131.xml"/><Relationship Id="rId353" Type="http://schemas.openxmlformats.org/officeDocument/2006/relationships/diagramData" Target="diagrams/data20.xml"/><Relationship Id="rId71" Type="http://schemas.openxmlformats.org/officeDocument/2006/relationships/image" Target="media/image19.png"/><Relationship Id="rId92" Type="http://schemas.openxmlformats.org/officeDocument/2006/relationships/diagramLayout" Target="diagrams/layout5.xml"/><Relationship Id="rId213" Type="http://schemas.openxmlformats.org/officeDocument/2006/relationships/image" Target="media/image78.jpeg"/><Relationship Id="rId234" Type="http://schemas.openxmlformats.org/officeDocument/2006/relationships/chart" Target="charts/chart83.xml"/><Relationship Id="rId2" Type="http://schemas.openxmlformats.org/officeDocument/2006/relationships/numbering" Target="numbering.xml"/><Relationship Id="rId29" Type="http://schemas.openxmlformats.org/officeDocument/2006/relationships/diagramQuickStyle" Target="diagrams/quickStyle3.xml"/><Relationship Id="rId255" Type="http://schemas.openxmlformats.org/officeDocument/2006/relationships/chart" Target="charts/chart94.xml"/><Relationship Id="rId276" Type="http://schemas.openxmlformats.org/officeDocument/2006/relationships/diagramData" Target="diagrams/data13.xml"/><Relationship Id="rId297" Type="http://schemas.openxmlformats.org/officeDocument/2006/relationships/chart" Target="charts/chart116.xml"/><Relationship Id="rId40" Type="http://schemas.openxmlformats.org/officeDocument/2006/relationships/diagramData" Target="diagrams/data4.xml"/><Relationship Id="rId115" Type="http://schemas.openxmlformats.org/officeDocument/2006/relationships/chart" Target="charts/chart43.xml"/><Relationship Id="rId136" Type="http://schemas.openxmlformats.org/officeDocument/2006/relationships/image" Target="media/image39.png"/><Relationship Id="rId157" Type="http://schemas.openxmlformats.org/officeDocument/2006/relationships/image" Target="media/image46.png"/><Relationship Id="rId178" Type="http://schemas.openxmlformats.org/officeDocument/2006/relationships/image" Target="media/image61.jpeg"/><Relationship Id="rId301" Type="http://schemas.openxmlformats.org/officeDocument/2006/relationships/chart" Target="charts/chart120.xml"/><Relationship Id="rId322" Type="http://schemas.openxmlformats.org/officeDocument/2006/relationships/diagramData" Target="diagrams/data16.xml"/><Relationship Id="rId343" Type="http://schemas.openxmlformats.org/officeDocument/2006/relationships/chart" Target="charts/chart137.xml"/><Relationship Id="rId61" Type="http://schemas.openxmlformats.org/officeDocument/2006/relationships/image" Target="media/image17.jpeg"/><Relationship Id="rId82" Type="http://schemas.openxmlformats.org/officeDocument/2006/relationships/chart" Target="charts/chart29.xml"/><Relationship Id="rId199" Type="http://schemas.openxmlformats.org/officeDocument/2006/relationships/package" Target="embeddings/Microsoft_Excel_Worksheet33.xlsx"/><Relationship Id="rId203" Type="http://schemas.openxmlformats.org/officeDocument/2006/relationships/header" Target="header2.xml"/><Relationship Id="rId19" Type="http://schemas.openxmlformats.org/officeDocument/2006/relationships/diagramColors" Target="diagrams/colors1.xml"/><Relationship Id="rId224" Type="http://schemas.openxmlformats.org/officeDocument/2006/relationships/diagramLayout" Target="diagrams/layout7.xml"/><Relationship Id="rId245" Type="http://schemas.openxmlformats.org/officeDocument/2006/relationships/diagramColors" Target="diagrams/colors9.xml"/><Relationship Id="rId266" Type="http://schemas.openxmlformats.org/officeDocument/2006/relationships/diagramColors" Target="diagrams/colors11.xml"/><Relationship Id="rId287" Type="http://schemas.openxmlformats.org/officeDocument/2006/relationships/chart" Target="charts/chart106.xml"/><Relationship Id="rId30" Type="http://schemas.openxmlformats.org/officeDocument/2006/relationships/diagramColors" Target="diagrams/colors3.xml"/><Relationship Id="rId105" Type="http://schemas.openxmlformats.org/officeDocument/2006/relationships/image" Target="media/image35.jpg"/><Relationship Id="rId126" Type="http://schemas.openxmlformats.org/officeDocument/2006/relationships/chart" Target="charts/chart53.xml"/><Relationship Id="rId147" Type="http://schemas.openxmlformats.org/officeDocument/2006/relationships/chart" Target="charts/chart60.xml"/><Relationship Id="rId168" Type="http://schemas.openxmlformats.org/officeDocument/2006/relationships/hyperlink" Target="https://estibucuresti.org/sidu" TargetMode="External"/><Relationship Id="rId312" Type="http://schemas.openxmlformats.org/officeDocument/2006/relationships/chart" Target="charts/chart126.xml"/><Relationship Id="rId333" Type="http://schemas.openxmlformats.org/officeDocument/2006/relationships/diagramData" Target="diagrams/data18.xml"/><Relationship Id="rId354" Type="http://schemas.openxmlformats.org/officeDocument/2006/relationships/diagramLayout" Target="diagrams/layout20.xml"/><Relationship Id="rId51" Type="http://schemas.openxmlformats.org/officeDocument/2006/relationships/chart" Target="charts/chart7.xml"/><Relationship Id="rId72" Type="http://schemas.openxmlformats.org/officeDocument/2006/relationships/image" Target="media/image20.png"/><Relationship Id="rId93" Type="http://schemas.openxmlformats.org/officeDocument/2006/relationships/diagramQuickStyle" Target="diagrams/quickStyle5.xml"/><Relationship Id="rId189" Type="http://schemas.openxmlformats.org/officeDocument/2006/relationships/image" Target="media/image67.png"/><Relationship Id="rId3" Type="http://schemas.openxmlformats.org/officeDocument/2006/relationships/styles" Target="styles.xml"/><Relationship Id="rId214" Type="http://schemas.openxmlformats.org/officeDocument/2006/relationships/image" Target="media/image79.jpeg"/><Relationship Id="rId235" Type="http://schemas.openxmlformats.org/officeDocument/2006/relationships/chart" Target="charts/chart84.xml"/><Relationship Id="rId256" Type="http://schemas.openxmlformats.org/officeDocument/2006/relationships/diagramData" Target="diagrams/data10.xml"/><Relationship Id="rId277" Type="http://schemas.openxmlformats.org/officeDocument/2006/relationships/diagramLayout" Target="diagrams/layout13.xml"/><Relationship Id="rId298" Type="http://schemas.openxmlformats.org/officeDocument/2006/relationships/chart" Target="charts/chart117.xml"/><Relationship Id="rId116" Type="http://schemas.openxmlformats.org/officeDocument/2006/relationships/chart" Target="charts/chart44.xml"/><Relationship Id="rId137" Type="http://schemas.openxmlformats.org/officeDocument/2006/relationships/diagramData" Target="diagrams/data6.xml"/><Relationship Id="rId158" Type="http://schemas.openxmlformats.org/officeDocument/2006/relationships/image" Target="media/image47.jpeg"/><Relationship Id="rId302" Type="http://schemas.openxmlformats.org/officeDocument/2006/relationships/diagramData" Target="diagrams/data14.xml"/><Relationship Id="rId323" Type="http://schemas.openxmlformats.org/officeDocument/2006/relationships/diagramLayout" Target="diagrams/layout16.xml"/><Relationship Id="rId344" Type="http://schemas.openxmlformats.org/officeDocument/2006/relationships/chart" Target="charts/chart138.xml"/><Relationship Id="rId20" Type="http://schemas.microsoft.com/office/2007/relationships/diagramDrawing" Target="diagrams/drawing1.xml"/><Relationship Id="rId41" Type="http://schemas.openxmlformats.org/officeDocument/2006/relationships/diagramLayout" Target="diagrams/layout4.xml"/><Relationship Id="rId62" Type="http://schemas.openxmlformats.org/officeDocument/2006/relationships/chart" Target="charts/chart16.xml"/><Relationship Id="rId83" Type="http://schemas.openxmlformats.org/officeDocument/2006/relationships/chart" Target="charts/chart30.xml"/><Relationship Id="rId179" Type="http://schemas.openxmlformats.org/officeDocument/2006/relationships/image" Target="media/image62.emf"/><Relationship Id="rId190" Type="http://schemas.openxmlformats.org/officeDocument/2006/relationships/chart" Target="charts/chart72.xml"/><Relationship Id="rId204" Type="http://schemas.openxmlformats.org/officeDocument/2006/relationships/header" Target="header3.xml"/><Relationship Id="rId225" Type="http://schemas.openxmlformats.org/officeDocument/2006/relationships/diagramQuickStyle" Target="diagrams/quickStyle7.xml"/><Relationship Id="rId246" Type="http://schemas.microsoft.com/office/2007/relationships/diagramDrawing" Target="diagrams/drawing9.xml"/><Relationship Id="rId267" Type="http://schemas.microsoft.com/office/2007/relationships/diagramDrawing" Target="diagrams/drawing11.xml"/><Relationship Id="rId288" Type="http://schemas.openxmlformats.org/officeDocument/2006/relationships/chart" Target="charts/chart107.xml"/><Relationship Id="rId106" Type="http://schemas.openxmlformats.org/officeDocument/2006/relationships/image" Target="media/image36.jpg"/><Relationship Id="rId127" Type="http://schemas.openxmlformats.org/officeDocument/2006/relationships/chart" Target="charts/chart54.xml"/><Relationship Id="rId313" Type="http://schemas.openxmlformats.org/officeDocument/2006/relationships/diagramData" Target="diagrams/data15.xml"/><Relationship Id="rId10" Type="http://schemas.openxmlformats.org/officeDocument/2006/relationships/footer" Target="footer2.xml"/><Relationship Id="rId31" Type="http://schemas.microsoft.com/office/2007/relationships/diagramDrawing" Target="diagrams/drawing3.xml"/><Relationship Id="rId52" Type="http://schemas.openxmlformats.org/officeDocument/2006/relationships/chart" Target="charts/chart8.xml"/><Relationship Id="rId73" Type="http://schemas.openxmlformats.org/officeDocument/2006/relationships/chart" Target="charts/chart24.xml"/><Relationship Id="rId94" Type="http://schemas.openxmlformats.org/officeDocument/2006/relationships/diagramColors" Target="diagrams/colors5.xml"/><Relationship Id="rId148" Type="http://schemas.openxmlformats.org/officeDocument/2006/relationships/chart" Target="charts/chart61.xml"/><Relationship Id="rId169" Type="http://schemas.openxmlformats.org/officeDocument/2006/relationships/image" Target="media/image55.png"/><Relationship Id="rId334" Type="http://schemas.openxmlformats.org/officeDocument/2006/relationships/diagramLayout" Target="diagrams/layout18.xml"/><Relationship Id="rId355" Type="http://schemas.openxmlformats.org/officeDocument/2006/relationships/diagramQuickStyle" Target="diagrams/quickStyle20.xml"/><Relationship Id="rId4" Type="http://schemas.openxmlformats.org/officeDocument/2006/relationships/settings" Target="settings.xml"/><Relationship Id="rId180" Type="http://schemas.openxmlformats.org/officeDocument/2006/relationships/hyperlink" Target="http://seismic-alert.ro/" TargetMode="External"/><Relationship Id="rId215" Type="http://schemas.openxmlformats.org/officeDocument/2006/relationships/image" Target="media/image80.png"/><Relationship Id="rId236" Type="http://schemas.openxmlformats.org/officeDocument/2006/relationships/diagramData" Target="diagrams/data8.xml"/><Relationship Id="rId257" Type="http://schemas.openxmlformats.org/officeDocument/2006/relationships/diagramLayout" Target="diagrams/layout10.xml"/><Relationship Id="rId278" Type="http://schemas.openxmlformats.org/officeDocument/2006/relationships/diagramQuickStyle" Target="diagrams/quickStyle13.xml"/><Relationship Id="rId303" Type="http://schemas.openxmlformats.org/officeDocument/2006/relationships/diagramLayout" Target="diagrams/layout14.xml"/><Relationship Id="rId42" Type="http://schemas.openxmlformats.org/officeDocument/2006/relationships/diagramQuickStyle" Target="diagrams/quickStyle4.xml"/><Relationship Id="rId84" Type="http://schemas.openxmlformats.org/officeDocument/2006/relationships/chart" Target="charts/chart31.xml"/><Relationship Id="rId138" Type="http://schemas.openxmlformats.org/officeDocument/2006/relationships/diagramLayout" Target="diagrams/layout6.xml"/><Relationship Id="rId345" Type="http://schemas.openxmlformats.org/officeDocument/2006/relationships/chart" Target="charts/chart139.xml"/><Relationship Id="rId191" Type="http://schemas.openxmlformats.org/officeDocument/2006/relationships/chart" Target="charts/chart73.xml"/><Relationship Id="rId205" Type="http://schemas.openxmlformats.org/officeDocument/2006/relationships/footer" Target="footer3.xml"/><Relationship Id="rId247" Type="http://schemas.openxmlformats.org/officeDocument/2006/relationships/chart" Target="charts/chart86.xml"/><Relationship Id="rId107" Type="http://schemas.openxmlformats.org/officeDocument/2006/relationships/chart" Target="charts/chart35.xml"/><Relationship Id="rId289" Type="http://schemas.openxmlformats.org/officeDocument/2006/relationships/chart" Target="charts/chart108.xml"/><Relationship Id="rId11" Type="http://schemas.openxmlformats.org/officeDocument/2006/relationships/image" Target="media/image2.jpeg"/><Relationship Id="rId53" Type="http://schemas.openxmlformats.org/officeDocument/2006/relationships/chart" Target="charts/chart9.xml"/><Relationship Id="rId149" Type="http://schemas.openxmlformats.org/officeDocument/2006/relationships/chart" Target="charts/chart62.xml"/><Relationship Id="rId314" Type="http://schemas.openxmlformats.org/officeDocument/2006/relationships/diagramLayout" Target="diagrams/layout15.xml"/><Relationship Id="rId356" Type="http://schemas.openxmlformats.org/officeDocument/2006/relationships/diagramColors" Target="diagrams/colors20.xml"/><Relationship Id="rId95" Type="http://schemas.microsoft.com/office/2007/relationships/diagramDrawing" Target="diagrams/drawing5.xml"/><Relationship Id="rId160" Type="http://schemas.openxmlformats.org/officeDocument/2006/relationships/image" Target="media/image48.jpeg"/><Relationship Id="rId216" Type="http://schemas.openxmlformats.org/officeDocument/2006/relationships/image" Target="media/image81.png"/><Relationship Id="rId258" Type="http://schemas.openxmlformats.org/officeDocument/2006/relationships/diagramQuickStyle" Target="diagrams/quickStyle10.xml"/><Relationship Id="rId22" Type="http://schemas.openxmlformats.org/officeDocument/2006/relationships/diagramLayout" Target="diagrams/layout2.xml"/><Relationship Id="rId64" Type="http://schemas.openxmlformats.org/officeDocument/2006/relationships/chart" Target="charts/chart18.xml"/><Relationship Id="rId118" Type="http://schemas.openxmlformats.org/officeDocument/2006/relationships/chart" Target="charts/chart46.xml"/><Relationship Id="rId325" Type="http://schemas.openxmlformats.org/officeDocument/2006/relationships/diagramColors" Target="diagrams/colors16.xml"/><Relationship Id="rId171" Type="http://schemas.openxmlformats.org/officeDocument/2006/relationships/hyperlink" Target="https://estibucuresti.org/sidu" TargetMode="External"/><Relationship Id="rId227" Type="http://schemas.microsoft.com/office/2007/relationships/diagramDrawing" Target="diagrams/drawing7.xml"/><Relationship Id="rId269" Type="http://schemas.openxmlformats.org/officeDocument/2006/relationships/diagramData" Target="diagrams/data12.xml"/><Relationship Id="rId33" Type="http://schemas.openxmlformats.org/officeDocument/2006/relationships/hyperlink" Target="https://www.adrbi.ro/media/2580/prioritatea1_porbi.pdf" TargetMode="External"/><Relationship Id="rId129" Type="http://schemas.openxmlformats.org/officeDocument/2006/relationships/chart" Target="charts/chart56.xml"/><Relationship Id="rId280" Type="http://schemas.microsoft.com/office/2007/relationships/diagramDrawing" Target="diagrams/drawing13.xml"/><Relationship Id="rId336" Type="http://schemas.openxmlformats.org/officeDocument/2006/relationships/diagramColors" Target="diagrams/colors18.xml"/><Relationship Id="rId75" Type="http://schemas.openxmlformats.org/officeDocument/2006/relationships/chart" Target="charts/chart26.xml"/><Relationship Id="rId140" Type="http://schemas.openxmlformats.org/officeDocument/2006/relationships/diagramColors" Target="diagrams/colors6.xml"/><Relationship Id="rId182" Type="http://schemas.openxmlformats.org/officeDocument/2006/relationships/chart" Target="charts/chart68.xml"/><Relationship Id="rId6" Type="http://schemas.openxmlformats.org/officeDocument/2006/relationships/footnotes" Target="footnotes.xml"/><Relationship Id="rId238" Type="http://schemas.openxmlformats.org/officeDocument/2006/relationships/diagramQuickStyle" Target="diagrams/quickStyle8.xml"/><Relationship Id="rId291" Type="http://schemas.openxmlformats.org/officeDocument/2006/relationships/chart" Target="charts/chart110.xml"/><Relationship Id="rId305" Type="http://schemas.openxmlformats.org/officeDocument/2006/relationships/diagramColors" Target="diagrams/colors14.xml"/><Relationship Id="rId347" Type="http://schemas.openxmlformats.org/officeDocument/2006/relationships/chart" Target="charts/chart141.xml"/><Relationship Id="rId44" Type="http://schemas.microsoft.com/office/2007/relationships/diagramDrawing" Target="diagrams/drawing4.xml"/><Relationship Id="rId86" Type="http://schemas.openxmlformats.org/officeDocument/2006/relationships/chart" Target="charts/chart32.xml"/><Relationship Id="rId151" Type="http://schemas.openxmlformats.org/officeDocument/2006/relationships/chart" Target="charts/chart64.xml"/><Relationship Id="rId193" Type="http://schemas.openxmlformats.org/officeDocument/2006/relationships/package" Target="embeddings/Microsoft_Excel_Worksheet30.xlsx"/><Relationship Id="rId207" Type="http://schemas.openxmlformats.org/officeDocument/2006/relationships/header" Target="header4.xml"/><Relationship Id="rId249" Type="http://schemas.openxmlformats.org/officeDocument/2006/relationships/chart" Target="charts/chart88.xml"/><Relationship Id="rId13" Type="http://schemas.openxmlformats.org/officeDocument/2006/relationships/image" Target="media/image1.png"/><Relationship Id="rId109" Type="http://schemas.openxmlformats.org/officeDocument/2006/relationships/chart" Target="charts/chart37.xml"/><Relationship Id="rId260" Type="http://schemas.microsoft.com/office/2007/relationships/diagramDrawing" Target="diagrams/drawing10.xml"/><Relationship Id="rId316" Type="http://schemas.openxmlformats.org/officeDocument/2006/relationships/diagramColors" Target="diagrams/colors15.xml"/><Relationship Id="rId55" Type="http://schemas.openxmlformats.org/officeDocument/2006/relationships/chart" Target="charts/chart11.xml"/><Relationship Id="rId97" Type="http://schemas.openxmlformats.org/officeDocument/2006/relationships/image" Target="media/image27.jpg"/><Relationship Id="rId120" Type="http://schemas.openxmlformats.org/officeDocument/2006/relationships/hyperlink" Target="http://www.listafirme.ro" TargetMode="External"/><Relationship Id="rId358" Type="http://schemas.openxmlformats.org/officeDocument/2006/relationships/chart" Target="charts/chart142.xml"/><Relationship Id="rId162" Type="http://schemas.openxmlformats.org/officeDocument/2006/relationships/image" Target="media/image49.png"/><Relationship Id="rId218" Type="http://schemas.openxmlformats.org/officeDocument/2006/relationships/image" Target="media/image83.png"/><Relationship Id="rId271" Type="http://schemas.openxmlformats.org/officeDocument/2006/relationships/diagramQuickStyle" Target="diagrams/quickStyle12.xml"/><Relationship Id="rId24" Type="http://schemas.openxmlformats.org/officeDocument/2006/relationships/diagramColors" Target="diagrams/colors2.xml"/><Relationship Id="rId66" Type="http://schemas.openxmlformats.org/officeDocument/2006/relationships/chart" Target="charts/chart20.xml"/><Relationship Id="rId131" Type="http://schemas.openxmlformats.org/officeDocument/2006/relationships/hyperlink" Target="http://www.cautabirouri.ro" TargetMode="External"/><Relationship Id="rId327" Type="http://schemas.openxmlformats.org/officeDocument/2006/relationships/diagramData" Target="diagrams/data17.xml"/><Relationship Id="rId173" Type="http://schemas.openxmlformats.org/officeDocument/2006/relationships/image" Target="media/image58.png"/><Relationship Id="rId229" Type="http://schemas.openxmlformats.org/officeDocument/2006/relationships/chart" Target="charts/chart78.xml"/><Relationship Id="rId240" Type="http://schemas.microsoft.com/office/2007/relationships/diagramDrawing" Target="diagrams/drawing8.xml"/><Relationship Id="rId35" Type="http://schemas.openxmlformats.org/officeDocument/2006/relationships/hyperlink" Target="https://www.adrbi.ro/media/2582/prioritatea3_porbi.pdf" TargetMode="External"/><Relationship Id="rId77" Type="http://schemas.openxmlformats.org/officeDocument/2006/relationships/image" Target="media/image22.png"/><Relationship Id="rId100" Type="http://schemas.openxmlformats.org/officeDocument/2006/relationships/image" Target="media/image30.jpg"/><Relationship Id="rId282" Type="http://schemas.openxmlformats.org/officeDocument/2006/relationships/chart" Target="charts/chart101.xml"/><Relationship Id="rId338" Type="http://schemas.openxmlformats.org/officeDocument/2006/relationships/chart" Target="charts/chart132.xml"/><Relationship Id="rId8" Type="http://schemas.openxmlformats.org/officeDocument/2006/relationships/footer" Target="footer1.xml"/><Relationship Id="rId142" Type="http://schemas.openxmlformats.org/officeDocument/2006/relationships/image" Target="media/image40.jpg"/><Relationship Id="rId184" Type="http://schemas.openxmlformats.org/officeDocument/2006/relationships/image" Target="media/image64.png"/><Relationship Id="rId251" Type="http://schemas.openxmlformats.org/officeDocument/2006/relationships/chart" Target="charts/chart90.xml"/><Relationship Id="rId46" Type="http://schemas.openxmlformats.org/officeDocument/2006/relationships/chart" Target="charts/chart2.xml"/><Relationship Id="rId293" Type="http://schemas.openxmlformats.org/officeDocument/2006/relationships/chart" Target="charts/chart112.xml"/><Relationship Id="rId307" Type="http://schemas.openxmlformats.org/officeDocument/2006/relationships/chart" Target="charts/chart121.xml"/><Relationship Id="rId349" Type="http://schemas.openxmlformats.org/officeDocument/2006/relationships/diagramLayout" Target="diagrams/layout19.xml"/></Relationships>
</file>

<file path=word/_rels/footnotes.xml.rels><?xml version="1.0" encoding="UTF-8" standalone="yes"?>
<Relationships xmlns="http://schemas.openxmlformats.org/package/2006/relationships"><Relationship Id="rId8" Type="http://schemas.openxmlformats.org/officeDocument/2006/relationships/hyperlink" Target="https://bpr.politiaromana.ro/ro/sistematizare/piste-pentru-biciclete" TargetMode="External"/><Relationship Id="rId3" Type="http://schemas.openxmlformats.org/officeDocument/2006/relationships/hyperlink" Target="https://amccrs-pmb.ro/cladiri" TargetMode="External"/><Relationship Id="rId7" Type="http://schemas.openxmlformats.org/officeDocument/2006/relationships/hyperlink" Target="https://b365.ro/exclusiv-strazi-pietonale-in-sectoarele-bucurestiului-din-vara-lui-2022-promenada-extinsa-in-cartiere-in-proiectul-strazi-deschise-in-weekenduri-459973/" TargetMode="External"/><Relationship Id="rId2" Type="http://schemas.openxmlformats.org/officeDocument/2006/relationships/hyperlink" Target="http://www.cultura.ro/lista-monumentelor-istorice" TargetMode="External"/><Relationship Id="rId1" Type="http://schemas.openxmlformats.org/officeDocument/2006/relationships/hyperlink" Target="http://www.cultura.ro/lista-monumentelor-istorice" TargetMode="External"/><Relationship Id="rId6" Type="http://schemas.openxmlformats.org/officeDocument/2006/relationships/hyperlink" Target="https://salubrizare.ps2.ro/utilizatori-casnici-persoane-fizice/" TargetMode="External"/><Relationship Id="rId5" Type="http://schemas.openxmlformats.org/officeDocument/2006/relationships/hyperlink" Target="https://www.speedtest.net/ookla-5g-map" TargetMode="External"/><Relationship Id="rId4" Type="http://schemas.openxmlformats.org/officeDocument/2006/relationships/hyperlink" Target="https://net-city.ro/acoperirea-netcity/" TargetMode="External"/><Relationship Id="rId9" Type="http://schemas.openxmlformats.org/officeDocument/2006/relationships/hyperlink" Target="https://ivelo.r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D:\Alina%202\46.%20Sectorul%202\Documente\Vechi.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Alina%202\46.%20Sectorul%202\Portofoliu%20de%20proiecte_Strategie%20S2.xlsx" TargetMode="External"/><Relationship Id="rId1" Type="http://schemas.openxmlformats.org/officeDocument/2006/relationships/themeOverride" Target="../theme/themeOverride10.xml"/></Relationships>
</file>

<file path=word/charts/_rels/chart100.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1.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2.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3.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4.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5.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6.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7.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8.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09.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file:///D:\Alina%202\46.%20Sectorul%202\Portofoliu%20de%20proiecte_Strategie%20S2.xlsx" TargetMode="External"/><Relationship Id="rId1" Type="http://schemas.openxmlformats.org/officeDocument/2006/relationships/themeOverride" Target="../theme/themeOverride11.xml"/></Relationships>
</file>

<file path=word/charts/_rels/chart110.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1.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2.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3.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4.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5.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6.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7.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8.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19.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D:\Alina%202\46.%20Sectorul%202\Portofoliu%20de%20proiecte_Strategie%20S2.xlsx" TargetMode="External"/><Relationship Id="rId1" Type="http://schemas.openxmlformats.org/officeDocument/2006/relationships/themeOverride" Target="../theme/themeOverride12.xml"/></Relationships>
</file>

<file path=word/charts/_rels/chart120.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121.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22.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23.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24.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25.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26.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27.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28.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29.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30.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31.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132.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33.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34.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35.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36.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37.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38.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39.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140.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41.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42.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43.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44.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16.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2" Type="http://schemas.openxmlformats.org/officeDocument/2006/relationships/oleObject" Target="file:///D:\Alina%202\46.%20Sectorul%202\Documente\Vechi.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22.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24.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27.xml.rels><?xml version="1.0" encoding="UTF-8" standalone="yes"?>
<Relationships xmlns="http://schemas.openxmlformats.org/package/2006/relationships"><Relationship Id="rId3" Type="http://schemas.openxmlformats.org/officeDocument/2006/relationships/oleObject" Target="file:///D:\Civitta_2\Sector%202\Sector%202_Centralizator%20date%20turism%20si%20cultura.xlsx" TargetMode="External"/><Relationship Id="rId2" Type="http://schemas.microsoft.com/office/2011/relationships/chartColorStyle" Target="colors12.xml"/><Relationship Id="rId1" Type="http://schemas.microsoft.com/office/2011/relationships/chartStyle" Target="style12.xml"/></Relationships>
</file>

<file path=word/charts/_rels/chart28.xml.rels><?xml version="1.0" encoding="UTF-8" standalone="yes"?>
<Relationships xmlns="http://schemas.openxmlformats.org/package/2006/relationships"><Relationship Id="rId3" Type="http://schemas.openxmlformats.org/officeDocument/2006/relationships/oleObject" Target="file:///D:\Civitta_2\Sector%202\Sector%202_Centralizator%20date%20turism%20si%20cultura.xlsx" TargetMode="External"/><Relationship Id="rId2" Type="http://schemas.microsoft.com/office/2011/relationships/chartColorStyle" Target="colors13.xml"/><Relationship Id="rId1" Type="http://schemas.microsoft.com/office/2011/relationships/chartStyle" Target="style13.xml"/></Relationships>
</file>

<file path=word/charts/_rels/chart29.xml.rels><?xml version="1.0" encoding="UTF-8" standalone="yes"?>
<Relationships xmlns="http://schemas.openxmlformats.org/package/2006/relationships"><Relationship Id="rId3" Type="http://schemas.openxmlformats.org/officeDocument/2006/relationships/oleObject" Target="file:///D:\Civitta_2\Sector%202\Sector%202_Centralizator%20date%20turism%20si%20cultura.xlsx" TargetMode="External"/><Relationship Id="rId2" Type="http://schemas.microsoft.com/office/2011/relationships/chartColorStyle" Target="colors14.xml"/><Relationship Id="rId1" Type="http://schemas.microsoft.com/office/2011/relationships/chartStyle" Target="style14.xml"/></Relationships>
</file>

<file path=word/charts/_rels/chart3.xml.rels><?xml version="1.0" encoding="UTF-8" standalone="yes"?>
<Relationships xmlns="http://schemas.openxmlformats.org/package/2006/relationships"><Relationship Id="rId2" Type="http://schemas.openxmlformats.org/officeDocument/2006/relationships/oleObject" Target="file:///D:\Alina%202\46.%20Sectorul%202\Portofoliu%20de%20proiecte_Strategie%20S2.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oleObject" Target="file:///D:\Civitta_2\Sector%202\Sector%202_Centralizator%20date%20turism%20si%20cultura.xlsx" TargetMode="External"/><Relationship Id="rId2" Type="http://schemas.microsoft.com/office/2011/relationships/chartColorStyle" Target="colors15.xml"/><Relationship Id="rId1" Type="http://schemas.microsoft.com/office/2011/relationships/chartStyle" Target="style15.xml"/></Relationships>
</file>

<file path=word/charts/_rels/chart31.xml.rels><?xml version="1.0" encoding="UTF-8" standalone="yes"?>
<Relationships xmlns="http://schemas.openxmlformats.org/package/2006/relationships"><Relationship Id="rId3" Type="http://schemas.openxmlformats.org/officeDocument/2006/relationships/oleObject" Target="file:///D:\Civitta_2\Sector%202\Sector%202_Centralizator%20date%20turism%20si%20cultura.xlsx" TargetMode="External"/><Relationship Id="rId2" Type="http://schemas.microsoft.com/office/2011/relationships/chartColorStyle" Target="colors16.xml"/><Relationship Id="rId1" Type="http://schemas.microsoft.com/office/2011/relationships/chartStyle" Target="style16.xml"/></Relationships>
</file>

<file path=word/charts/_rels/chart32.xml.rels><?xml version="1.0" encoding="UTF-8" standalone="yes"?>
<Relationships xmlns="http://schemas.openxmlformats.org/package/2006/relationships"><Relationship Id="rId3" Type="http://schemas.openxmlformats.org/officeDocument/2006/relationships/oleObject" Target="file:///D:\Civitta_2\Sector%202\Sector%202_Centralizator%20date%20turism%20si%20cultura.xlsx" TargetMode="External"/><Relationship Id="rId2" Type="http://schemas.microsoft.com/office/2011/relationships/chartColorStyle" Target="colors17.xml"/><Relationship Id="rId1" Type="http://schemas.microsoft.com/office/2011/relationships/chartStyle" Target="style17.xml"/></Relationships>
</file>

<file path=word/charts/_rels/chart33.xml.rels><?xml version="1.0" encoding="UTF-8" standalone="yes"?>
<Relationships xmlns="http://schemas.openxmlformats.org/package/2006/relationships"><Relationship Id="rId3" Type="http://schemas.openxmlformats.org/officeDocument/2006/relationships/oleObject" Target="file:///D:\Civitta_2\Sector%202\Sector%202_Centralizator%20date%20turism%20si%20cultura.xlsx" TargetMode="External"/><Relationship Id="rId2" Type="http://schemas.microsoft.com/office/2011/relationships/chartColorStyle" Target="colors18.xml"/><Relationship Id="rId1" Type="http://schemas.microsoft.com/office/2011/relationships/chartStyle" Target="style18.xml"/></Relationships>
</file>

<file path=word/charts/_rels/chart34.xml.rels><?xml version="1.0" encoding="UTF-8" standalone="yes"?>
<Relationships xmlns="http://schemas.openxmlformats.org/package/2006/relationships"><Relationship Id="rId3" Type="http://schemas.openxmlformats.org/officeDocument/2006/relationships/oleObject" Target="file:///D:\Civitta_2\Sector%202\Sector%202_Centralizator%20date%20turism%20si%20cultura.xlsx" TargetMode="External"/><Relationship Id="rId2" Type="http://schemas.microsoft.com/office/2011/relationships/chartColorStyle" Target="colors19.xml"/><Relationship Id="rId1" Type="http://schemas.microsoft.com/office/2011/relationships/chartStyle" Target="style19.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0.xml"/><Relationship Id="rId1" Type="http://schemas.microsoft.com/office/2011/relationships/chartStyle" Target="style20.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1.xml"/><Relationship Id="rId1" Type="http://schemas.microsoft.com/office/2011/relationships/chartStyle" Target="style21.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2.xml"/><Relationship Id="rId1" Type="http://schemas.microsoft.com/office/2011/relationships/chartStyle" Target="style22.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3.xml"/><Relationship Id="rId1" Type="http://schemas.microsoft.com/office/2011/relationships/chartStyle" Target="style23.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4.xml"/><Relationship Id="rId1" Type="http://schemas.microsoft.com/office/2011/relationships/chartStyle" Target="style24.xml"/></Relationships>
</file>

<file path=word/charts/_rels/chart4.xml.rels><?xml version="1.0" encoding="UTF-8" standalone="yes"?>
<Relationships xmlns="http://schemas.openxmlformats.org/package/2006/relationships"><Relationship Id="rId2" Type="http://schemas.openxmlformats.org/officeDocument/2006/relationships/oleObject" Target="file:///D:\Alina%202\46.%20Sectorul%202\Documente\Vechi.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5.xml"/><Relationship Id="rId1" Type="http://schemas.microsoft.com/office/2011/relationships/chartStyle" Target="style25.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6.xml"/><Relationship Id="rId1" Type="http://schemas.microsoft.com/office/2011/relationships/chartStyle" Target="style26.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7.xml"/><Relationship Id="rId1" Type="http://schemas.microsoft.com/office/2011/relationships/chartStyle" Target="style27.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Rodica\Rodica\SIDU%20Sector%202\excel-uri%20ps2\calcule.xlsx" TargetMode="External"/><Relationship Id="rId2" Type="http://schemas.microsoft.com/office/2011/relationships/chartColorStyle" Target="colors28.xml"/><Relationship Id="rId1" Type="http://schemas.microsoft.com/office/2011/relationships/chartStyle" Target="style28.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9.xml"/><Relationship Id="rId1" Type="http://schemas.microsoft.com/office/2011/relationships/chartStyle" Target="style29.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0.xml"/><Relationship Id="rId1" Type="http://schemas.microsoft.com/office/2011/relationships/chartStyle" Target="style30.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Rodica\Rodica\SIDU%20Sector%202\excel-uri%20ps2\calcule.xlsx" TargetMode="External"/><Relationship Id="rId2" Type="http://schemas.microsoft.com/office/2011/relationships/chartColorStyle" Target="colors31.xml"/><Relationship Id="rId1" Type="http://schemas.microsoft.com/office/2011/relationships/chartStyle" Target="style31.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Rodica\Rodica\SIDU%20Sector%202\excel-uri%20ps2\calcule.xlsx" TargetMode="External"/><Relationship Id="rId2" Type="http://schemas.microsoft.com/office/2011/relationships/chartColorStyle" Target="colors32.xml"/><Relationship Id="rId1" Type="http://schemas.microsoft.com/office/2011/relationships/chartStyle" Target="style32.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3.xml"/><Relationship Id="rId1" Type="http://schemas.microsoft.com/office/2011/relationships/chartStyle" Target="style33.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Rodica\Rodica\SIDU%20Sector%202\excel-uri%20ps2\calcule.xlsx" TargetMode="External"/><Relationship Id="rId2" Type="http://schemas.microsoft.com/office/2011/relationships/chartColorStyle" Target="colors34.xml"/><Relationship Id="rId1" Type="http://schemas.microsoft.com/office/2011/relationships/chartStyle" Target="style34.xml"/></Relationships>
</file>

<file path=word/charts/_rels/chart5.xml.rels><?xml version="1.0" encoding="UTF-8" standalone="yes"?>
<Relationships xmlns="http://schemas.openxmlformats.org/package/2006/relationships"><Relationship Id="rId2" Type="http://schemas.openxmlformats.org/officeDocument/2006/relationships/oleObject" Target="file:///D:\Alina%202\46.%20Sectorul%202\Portofoliu%20de%20proiecte_Strategie%20S2.xlsx" TargetMode="External"/><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Rodica\Rodica\SIDU%20Sector%202\excel-uri%20ps2\calcule.xlsx" TargetMode="External"/><Relationship Id="rId2" Type="http://schemas.microsoft.com/office/2011/relationships/chartColorStyle" Target="colors35.xml"/><Relationship Id="rId1" Type="http://schemas.microsoft.com/office/2011/relationships/chartStyle" Target="style35.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6.xml"/><Relationship Id="rId1" Type="http://schemas.microsoft.com/office/2011/relationships/chartStyle" Target="style36.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7.xml"/><Relationship Id="rId1" Type="http://schemas.microsoft.com/office/2011/relationships/chartStyle" Target="style37.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8.xml"/><Relationship Id="rId1" Type="http://schemas.microsoft.com/office/2011/relationships/chartStyle" Target="style38.xml"/></Relationships>
</file>

<file path=word/charts/_rels/chart54.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9.xml"/><Relationship Id="rId1" Type="http://schemas.microsoft.com/office/2011/relationships/chartStyle" Target="style39.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40.xml"/><Relationship Id="rId1" Type="http://schemas.microsoft.com/office/2011/relationships/chartStyle" Target="style40.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41.xml"/><Relationship Id="rId1" Type="http://schemas.microsoft.com/office/2011/relationships/chartStyle" Target="style41.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42.xml"/><Relationship Id="rId1" Type="http://schemas.microsoft.com/office/2011/relationships/chartStyle" Target="style42.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43.xml"/><Relationship Id="rId1" Type="http://schemas.microsoft.com/office/2011/relationships/chartStyle" Target="style43.xml"/></Relationships>
</file>

<file path=word/charts/_rels/chart6.xml.rels><?xml version="1.0" encoding="UTF-8" standalone="yes"?>
<Relationships xmlns="http://schemas.openxmlformats.org/package/2006/relationships"><Relationship Id="rId2" Type="http://schemas.openxmlformats.org/officeDocument/2006/relationships/oleObject" Target="file:///D:\Alina%202\46.%20Sectorul%202\Documente\Vechi.xlsx" TargetMode="External"/><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matei\Dropbox\ARHECO\2020_7_11_Strategie_Sector%202\raspunsuri%20solicitari\E-Distributie\Consum%20energie%20electrica%202015-2021.xlsx" TargetMode="External"/><Relationship Id="rId2" Type="http://schemas.microsoft.com/office/2011/relationships/chartColorStyle" Target="colors44.xml"/><Relationship Id="rId1" Type="http://schemas.microsoft.com/office/2011/relationships/chartStyle" Target="style44.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matei\Dropbox\ARHECO\2020_7_11_Strategie_Sector%202\raspunsuri%20solicitari\E-Distributie\Consum%20energie%20electrica%202015-2021.xlsx" TargetMode="External"/><Relationship Id="rId2" Type="http://schemas.microsoft.com/office/2011/relationships/chartColorStyle" Target="colors45.xml"/><Relationship Id="rId1" Type="http://schemas.microsoft.com/office/2011/relationships/chartStyle" Target="style45.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ARHECO\Dropbox\ARHECO\2020_7_11_Strategie_Sector%202\220809%20Baza%20de%20date.xlsx" TargetMode="External"/><Relationship Id="rId2" Type="http://schemas.microsoft.com/office/2011/relationships/chartColorStyle" Target="colors46.xml"/><Relationship Id="rId1" Type="http://schemas.microsoft.com/office/2011/relationships/chartStyle" Target="style46.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ARHECO\Dropbox\ARHECO\2020_7_11_Strategie_Sector%202\220809%20Baza%20de%20date.xlsx" TargetMode="External"/><Relationship Id="rId2" Type="http://schemas.microsoft.com/office/2011/relationships/chartColorStyle" Target="colors47.xml"/><Relationship Id="rId1" Type="http://schemas.microsoft.com/office/2011/relationships/chartStyle" Target="style47.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ARHECO\Dropbox\ARHECO\2020_7_11_Strategie_Sector%202\220516%20Baza%20de%20date.xlsx" TargetMode="External"/><Relationship Id="rId2" Type="http://schemas.microsoft.com/office/2011/relationships/chartColorStyle" Target="colors48.xml"/><Relationship Id="rId1" Type="http://schemas.microsoft.com/office/2011/relationships/chartStyle" Target="style48.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ARHECO\Dropbox\ARHECO\2020_7_11_Strategie_Sector%202\220516%20Baza%20de%20date.xlsx" TargetMode="External"/><Relationship Id="rId2" Type="http://schemas.microsoft.com/office/2011/relationships/chartColorStyle" Target="colors49.xml"/><Relationship Id="rId1" Type="http://schemas.microsoft.com/office/2011/relationships/chartStyle" Target="style49.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ARHECO\Dropbox\ARHECO\2020_7_11_Strategie_Sector%202\220516%20Baza%20de%20date.xlsx" TargetMode="External"/><Relationship Id="rId2" Type="http://schemas.microsoft.com/office/2011/relationships/chartColorStyle" Target="colors50.xml"/><Relationship Id="rId1" Type="http://schemas.microsoft.com/office/2011/relationships/chartStyle" Target="style50.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ARHECO\Dropbox\ARHECO\2020_7_11_Strategie_Sector%202\220516%20Baza%20de%20date.xlsx" TargetMode="External"/><Relationship Id="rId2" Type="http://schemas.microsoft.com/office/2011/relationships/chartColorStyle" Target="colors51.xml"/><Relationship Id="rId1" Type="http://schemas.microsoft.com/office/2011/relationships/chartStyle" Target="style51.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ARHECO\Dropbox\ARHECO\2020_7_11_Strategie_Sector%202\220516%20Baza%20de%20date.xlsx" TargetMode="External"/><Relationship Id="rId2" Type="http://schemas.microsoft.com/office/2011/relationships/chartColorStyle" Target="colors52.xml"/><Relationship Id="rId1" Type="http://schemas.microsoft.com/office/2011/relationships/chartStyle" Target="style52.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ARHECO\Dropbox\ARHECO\2020_7_11_Strategie_Sector%202\220516%20Baza%20de%20date.xlsx" TargetMode="External"/><Relationship Id="rId2" Type="http://schemas.microsoft.com/office/2011/relationships/chartColorStyle" Target="colors53.xml"/><Relationship Id="rId1" Type="http://schemas.microsoft.com/office/2011/relationships/chartStyle" Target="style53.xml"/></Relationships>
</file>

<file path=word/charts/_rels/chart7.xml.rels><?xml version="1.0" encoding="UTF-8" standalone="yes"?>
<Relationships xmlns="http://schemas.openxmlformats.org/package/2006/relationships"><Relationship Id="rId2" Type="http://schemas.openxmlformats.org/officeDocument/2006/relationships/oleObject" Target="file:///D:\Alina%202\46.%20Sectorul%202\Documente\Vechi.xlsx" TargetMode="External"/><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ARHECO\Dropbox\ARHECO\2020_7_11_Strategie_Sector%202\220516%20Baza%20de%20date.xlsx" TargetMode="External"/><Relationship Id="rId2" Type="http://schemas.microsoft.com/office/2011/relationships/chartColorStyle" Target="colors54.xml"/><Relationship Id="rId1" Type="http://schemas.microsoft.com/office/2011/relationships/chartStyle" Target="style54.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ARHECO\Dropbox\ARHECO\2020_7_11_Strategie_Sector%202\220809%20Baza%20de%20date.xlsx" TargetMode="External"/><Relationship Id="rId2" Type="http://schemas.microsoft.com/office/2011/relationships/chartColorStyle" Target="colors55.xml"/><Relationship Id="rId1" Type="http://schemas.microsoft.com/office/2011/relationships/chartStyle" Target="style55.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Lenovo\Desktop\CIVITTA\PS2\template%20excel%20CIV.xlsx" TargetMode="External"/><Relationship Id="rId2" Type="http://schemas.microsoft.com/office/2011/relationships/chartColorStyle" Target="colors56.xml"/><Relationship Id="rId1" Type="http://schemas.microsoft.com/office/2011/relationships/chartStyle" Target="style56.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Lenovo\Desktop\CIVITTA\PS2\template%20excel%20CIV.xlsx" TargetMode="External"/><Relationship Id="rId2" Type="http://schemas.microsoft.com/office/2011/relationships/chartColorStyle" Target="colors57.xml"/><Relationship Id="rId1" Type="http://schemas.microsoft.com/office/2011/relationships/chartStyle" Target="style57.xml"/></Relationships>
</file>

<file path=word/charts/_rels/chart74.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D:\Alina%202\46.%20Sectorul%202\2.%20Chestionare\3.%20Administra&#539;ie\STABILIREA%20PRINCIPALELOR%20OBIECTIVE%20DE%20DEZVOLTARE%20ALE%20SECTORULUI%202%20PENTRU%20PERIOADA%202021%20-%202027.%20Consultarea%20Prim&#259;riei%20Sectorului%202%20Bucure&#537;ti..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D:\Alina%202\46.%20Sectorul%202\2.%20Chestionare\2.%20Mediul%20de%20afaceri\Chestionar%20privind%20consultarea%20mediului%20de%20afaceri%20din%20Sectorul%202%20Bucure&#537;ti.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D:\Alina%202\46.%20Sectorul%202\2.%20Chestionare\4.%20ONG\Chestionar%20privind%20consultarea%20mediului%20ONG%20din%20Sectorul%202%20Bucure&#537;ti.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D:\Alina%202\46.%20Sectorul%202\Portofoliu%20de%20proiecte_Strategie%20S2.xlsx" TargetMode="External"/><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D:\Alina%202\46.%20Sectorul%202\Portofoliu%20de%20proiecte_Strategie%20S2.xlsx" TargetMode="External"/><Relationship Id="rId1" Type="http://schemas.openxmlformats.org/officeDocument/2006/relationships/themeOverride" Target="../theme/themeOverride9.xml"/></Relationships>
</file>

<file path=word/charts/_rels/chart90.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5.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6.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7.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8.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file:///D:\Alina%202\46.%20Sectorul%202\2.%20Chestionare\1.%20Cet&#259;&#539;eni\ACTUALIZAREA%20STRATEGIEI%20DE%20DEZVOLTARE%20LOCAL&#258;%20INTEGRAT&#258;%20&#350;I%20DURABIL&#258;%20A%20SECTORULUI%202%20&#160;PENTRU%20PERIOADA%202016%20-%202025.%20Chestionar%20dedicat%20locuitorilor%20Sectorului%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479776566390739"/>
          <c:y val="7.5058707700424679E-2"/>
          <c:w val="0.31019553049142395"/>
          <c:h val="0.86906710696460565"/>
        </c:manualLayout>
      </c:layout>
      <c:pieChart>
        <c:varyColors val="1"/>
        <c:ser>
          <c:idx val="0"/>
          <c:order val="0"/>
          <c:dLbls>
            <c:dLbl>
              <c:idx val="1"/>
              <c:spPr/>
              <c:txPr>
                <a:bodyPr/>
                <a:lstStyle/>
                <a:p>
                  <a:pPr>
                    <a:defRPr>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0-51A9-49D1-ACC9-545287F9B7EB}"/>
                </c:ext>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'TOATE!'!$A$15:$A$19</c:f>
              <c:strCache>
                <c:ptCount val="5"/>
                <c:pt idx="0">
                  <c:v>O1. Locuire, servicii şi cultură adaptate unei comunităţi active şi implicate</c:v>
                </c:pt>
                <c:pt idx="1">
                  <c:v>O2. Sector cu atractivitate crescută pentru forța de muncă și companii</c:v>
                </c:pt>
                <c:pt idx="2">
                  <c:v>O3. Infrastructură urbană adaptată la nevoile actuale și viitoare</c:v>
                </c:pt>
                <c:pt idx="3">
                  <c:v>O4. Sector 2 - model de dezvoltare sistem albastru-verde</c:v>
                </c:pt>
                <c:pt idx="4">
                  <c:v>O5. Administrație publică performantă</c:v>
                </c:pt>
              </c:strCache>
            </c:strRef>
          </c:cat>
          <c:val>
            <c:numRef>
              <c:f>'TOATE!'!$B$15:$B$19</c:f>
              <c:numCache>
                <c:formatCode>0.0%</c:formatCode>
                <c:ptCount val="5"/>
                <c:pt idx="0">
                  <c:v>0.47588424437299037</c:v>
                </c:pt>
                <c:pt idx="1">
                  <c:v>6.1093247588424437E-2</c:v>
                </c:pt>
                <c:pt idx="2">
                  <c:v>0.19935691318327975</c:v>
                </c:pt>
                <c:pt idx="3">
                  <c:v>0.11897106109324759</c:v>
                </c:pt>
                <c:pt idx="4">
                  <c:v>0.14469453376205788</c:v>
                </c:pt>
              </c:numCache>
            </c:numRef>
          </c:val>
          <c:extLst>
            <c:ext xmlns:c16="http://schemas.microsoft.com/office/drawing/2014/chart" uri="{C3380CC4-5D6E-409C-BE32-E72D297353CC}">
              <c16:uniqueId val="{00000001-51A9-49D1-ACC9-545287F9B7EB}"/>
            </c:ext>
          </c:extLst>
        </c:ser>
        <c:dLbls>
          <c:dLblPos val="bestFit"/>
          <c:showLegendKey val="0"/>
          <c:showVal val="1"/>
          <c:showCatName val="0"/>
          <c:showSerName val="0"/>
          <c:showPercent val="0"/>
          <c:showBubbleSize val="0"/>
          <c:showLeaderLines val="1"/>
        </c:dLbls>
        <c:firstSliceAng val="0"/>
      </c:pieChart>
    </c:plotArea>
    <c:legend>
      <c:legendPos val="r"/>
      <c:layout>
        <c:manualLayout>
          <c:xMode val="edge"/>
          <c:yMode val="edge"/>
          <c:x val="0.55011890558439269"/>
          <c:y val="9.1026437443072039E-2"/>
          <c:w val="0.43736153173161058"/>
          <c:h val="0.81794712511385592"/>
        </c:manualLayout>
      </c:layout>
      <c:overlay val="0"/>
    </c:legend>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'TOATE!'!$A$134:$A$138</c:f>
              <c:strCache>
                <c:ptCount val="5"/>
                <c:pt idx="0">
                  <c:v>O1. Locuire, servicii şi cultură adaptate unei comunităţi active şi implicate</c:v>
                </c:pt>
                <c:pt idx="1">
                  <c:v>O2. Sector cu atractivitate crescută pentru forța de muncă și companii</c:v>
                </c:pt>
                <c:pt idx="2">
                  <c:v>O3. Infrastructură urbană adaptată la nevoile actuale și viitoare</c:v>
                </c:pt>
                <c:pt idx="3">
                  <c:v>O4. Sector 2 - model de dezvoltare sistem albastru-verde</c:v>
                </c:pt>
                <c:pt idx="4">
                  <c:v>O5. Administrație publică performantă</c:v>
                </c:pt>
              </c:strCache>
            </c:strRef>
          </c:cat>
          <c:val>
            <c:numRef>
              <c:f>'TOATE!'!$D$134:$D$138</c:f>
              <c:numCache>
                <c:formatCode>0.0%</c:formatCode>
                <c:ptCount val="5"/>
                <c:pt idx="0">
                  <c:v>3.3737859708306263E-2</c:v>
                </c:pt>
                <c:pt idx="1">
                  <c:v>7.6365024818633069E-3</c:v>
                </c:pt>
                <c:pt idx="2">
                  <c:v>2.0139077323764007E-2</c:v>
                </c:pt>
                <c:pt idx="3">
                  <c:v>4.6336881653099564E-2</c:v>
                </c:pt>
                <c:pt idx="4" formatCode="0.00%">
                  <c:v>7.0883553806722552E-2</c:v>
                </c:pt>
              </c:numCache>
            </c:numRef>
          </c:val>
          <c:extLst>
            <c:ext xmlns:c16="http://schemas.microsoft.com/office/drawing/2014/chart" uri="{C3380CC4-5D6E-409C-BE32-E72D297353CC}">
              <c16:uniqueId val="{00000000-E5DC-4C34-9896-6C53A34C2EF2}"/>
            </c:ext>
          </c:extLst>
        </c:ser>
        <c:dLbls>
          <c:dLblPos val="outEnd"/>
          <c:showLegendKey val="0"/>
          <c:showVal val="1"/>
          <c:showCatName val="0"/>
          <c:showSerName val="0"/>
          <c:showPercent val="0"/>
          <c:showBubbleSize val="0"/>
        </c:dLbls>
        <c:gapWidth val="126"/>
        <c:axId val="225269760"/>
        <c:axId val="228104960"/>
      </c:barChart>
      <c:catAx>
        <c:axId val="225269760"/>
        <c:scaling>
          <c:orientation val="maxMin"/>
        </c:scaling>
        <c:delete val="0"/>
        <c:axPos val="l"/>
        <c:numFmt formatCode="General" sourceLinked="0"/>
        <c:majorTickMark val="none"/>
        <c:minorTickMark val="none"/>
        <c:tickLblPos val="nextTo"/>
        <c:crossAx val="228104960"/>
        <c:crosses val="autoZero"/>
        <c:auto val="1"/>
        <c:lblAlgn val="ctr"/>
        <c:lblOffset val="100"/>
        <c:noMultiLvlLbl val="0"/>
      </c:catAx>
      <c:valAx>
        <c:axId val="228104960"/>
        <c:scaling>
          <c:orientation val="minMax"/>
        </c:scaling>
        <c:delete val="1"/>
        <c:axPos val="t"/>
        <c:numFmt formatCode="0.0%" sourceLinked="1"/>
        <c:majorTickMark val="out"/>
        <c:minorTickMark val="none"/>
        <c:tickLblPos val="nextTo"/>
        <c:crossAx val="225269760"/>
        <c:crosses val="autoZero"/>
        <c:crossBetween val="between"/>
      </c:valAx>
    </c:plotArea>
    <c:plotVisOnly val="1"/>
    <c:dispBlanksAs val="gap"/>
    <c:showDLblsOverMax val="0"/>
  </c:chart>
  <c:spPr>
    <a:ln>
      <a:noFill/>
    </a:ln>
  </c:spPr>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76456847947606"/>
          <c:y val="9.6933634262627355E-2"/>
          <c:w val="0.39775537811321376"/>
          <c:h val="0.78054123789760665"/>
        </c:manualLayout>
      </c:layout>
      <c:pieChart>
        <c:varyColors val="1"/>
        <c:ser>
          <c:idx val="0"/>
          <c:order val="0"/>
          <c:tx>
            <c:strRef>
              <c:f>'[STABILIREA PRINCIPALELOR OBIECTIVE DE DEZVOLTARE ALE SECTORULUI 2 PENTRU PERIOADA 2021 - 2027. Consultarea Primăriei Sectorului 2 București..xlsx]Question 1'!$B$3</c:f>
              <c:strCache>
                <c:ptCount val="1"/>
                <c:pt idx="0">
                  <c:v>Responses</c:v>
                </c:pt>
              </c:strCache>
            </c:strRef>
          </c:tx>
          <c:dLbls>
            <c:dLbl>
              <c:idx val="5"/>
              <c:delete val="1"/>
              <c:extLst>
                <c:ext xmlns:c15="http://schemas.microsoft.com/office/drawing/2012/chart" uri="{CE6537A1-D6FC-4f65-9D91-7224C49458BB}"/>
                <c:ext xmlns:c16="http://schemas.microsoft.com/office/drawing/2014/chart" uri="{C3380CC4-5D6E-409C-BE32-E72D297353CC}">
                  <c16:uniqueId val="{00000000-A18E-4632-856B-E9DA19DDCE86}"/>
                </c:ext>
              </c:extLst>
            </c:dLbl>
            <c:numFmt formatCode="0.0%" sourceLinked="0"/>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'[STABILIREA PRINCIPALELOR OBIECTIVE DE DEZVOLTARE ALE SECTORULUI 2 PENTRU PERIOADA 2021 - 2027. Consultarea Primăriei Sectorului 2 București..xlsx]Question 1'!$A$4:$A$9</c:f>
              <c:strCache>
                <c:ptCount val="6"/>
                <c:pt idx="0">
                  <c:v>Între 18 și 24 de ani</c:v>
                </c:pt>
                <c:pt idx="1">
                  <c:v>Între 25 și 34 de ani</c:v>
                </c:pt>
                <c:pt idx="2">
                  <c:v>Între 35 și 44 de ani</c:v>
                </c:pt>
                <c:pt idx="3">
                  <c:v>Între 45 și 54 de ani</c:v>
                </c:pt>
                <c:pt idx="4">
                  <c:v>Între 55 și 64 de ani</c:v>
                </c:pt>
                <c:pt idx="5">
                  <c:v>Peste 64 de ani</c:v>
                </c:pt>
              </c:strCache>
            </c:strRef>
          </c:cat>
          <c:val>
            <c:numRef>
              <c:f>'[STABILIREA PRINCIPALELOR OBIECTIVE DE DEZVOLTARE ALE SECTORULUI 2 PENTRU PERIOADA 2021 - 2027. Consultarea Primăriei Sectorului 2 București..xlsx]Question 1'!$B$4:$B$9</c:f>
              <c:numCache>
                <c:formatCode>0.00%</c:formatCode>
                <c:ptCount val="6"/>
                <c:pt idx="0">
                  <c:v>6.3E-3</c:v>
                </c:pt>
                <c:pt idx="1">
                  <c:v>0.1191</c:v>
                </c:pt>
                <c:pt idx="2">
                  <c:v>0.29149999999999998</c:v>
                </c:pt>
                <c:pt idx="3">
                  <c:v>0.42949999999999999</c:v>
                </c:pt>
                <c:pt idx="4">
                  <c:v>0.14729999999999999</c:v>
                </c:pt>
                <c:pt idx="5">
                  <c:v>6.3E-3</c:v>
                </c:pt>
              </c:numCache>
            </c:numRef>
          </c:val>
          <c:extLst>
            <c:ext xmlns:c16="http://schemas.microsoft.com/office/drawing/2014/chart" uri="{C3380CC4-5D6E-409C-BE32-E72D297353CC}">
              <c16:uniqueId val="{00000001-A18E-4632-856B-E9DA19DDCE86}"/>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1"/>
    </c:legend>
    <c:plotVisOnly val="0"/>
    <c:dispBlanksAs val="gap"/>
    <c:showDLblsOverMax val="0"/>
  </c:chart>
  <c:spPr>
    <a:ln>
      <a:noFill/>
    </a:ln>
  </c:sp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1"/>
              <c:spPr/>
              <c:txPr>
                <a:bodyPr/>
                <a:lstStyle/>
                <a:p>
                  <a:pPr>
                    <a:defRPr>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0-B3E8-4826-82FD-79D4169343E0}"/>
                </c:ext>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'[STABILIREA PRINCIPALELOR OBIECTIVE DE DEZVOLTARE ALE SECTORULUI 2 PENTRU PERIOADA 2021 - 2027. Consultarea Primăriei Sectorului 2 București..xlsx]Question 2'!$A$4:$A$7</c:f>
              <c:strCache>
                <c:ptCount val="4"/>
                <c:pt idx="0">
                  <c:v>Feminin</c:v>
                </c:pt>
                <c:pt idx="1">
                  <c:v>Masculin</c:v>
                </c:pt>
                <c:pt idx="2">
                  <c:v>Altul</c:v>
                </c:pt>
                <c:pt idx="3">
                  <c:v>Prefer să nu răspund</c:v>
                </c:pt>
              </c:strCache>
            </c:strRef>
          </c:cat>
          <c:val>
            <c:numRef>
              <c:f>'[STABILIREA PRINCIPALELOR OBIECTIVE DE DEZVOLTARE ALE SECTORULUI 2 PENTRU PERIOADA 2021 - 2027. Consultarea Primăriei Sectorului 2 București..xlsx]Question 2'!$B$4:$B$7</c:f>
              <c:numCache>
                <c:formatCode>0.0%</c:formatCode>
                <c:ptCount val="4"/>
                <c:pt idx="0">
                  <c:v>0.66139999999999999</c:v>
                </c:pt>
                <c:pt idx="1">
                  <c:v>0.31030000000000002</c:v>
                </c:pt>
                <c:pt idx="2">
                  <c:v>6.3E-3</c:v>
                </c:pt>
                <c:pt idx="3">
                  <c:v>2.1899999999999999E-2</c:v>
                </c:pt>
              </c:numCache>
            </c:numRef>
          </c:val>
          <c:extLst>
            <c:ext xmlns:c16="http://schemas.microsoft.com/office/drawing/2014/chart" uri="{C3380CC4-5D6E-409C-BE32-E72D297353CC}">
              <c16:uniqueId val="{00000001-B3E8-4826-82FD-79D4169343E0}"/>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pPr>
              <a:noFill/>
              <a:ln>
                <a:noFill/>
              </a:ln>
              <a:effectLst/>
            </c:spPr>
            <c:txPr>
              <a:bodyPr/>
              <a:lstStyle/>
              <a:p>
                <a:pPr>
                  <a:defRPr>
                    <a:solidFill>
                      <a:schemeClr val="bg1"/>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3'!$A$4:$A$5</c:f>
              <c:strCache>
                <c:ptCount val="2"/>
                <c:pt idx="0">
                  <c:v>Execuție</c:v>
                </c:pt>
                <c:pt idx="1">
                  <c:v>Conducere</c:v>
                </c:pt>
              </c:strCache>
            </c:strRef>
          </c:cat>
          <c:val>
            <c:numRef>
              <c:f>'[STABILIREA PRINCIPALELOR OBIECTIVE DE DEZVOLTARE ALE SECTORULUI 2 PENTRU PERIOADA 2021 - 2027. Consultarea Primăriei Sectorului 2 București..xlsx]Question 3'!$B$4:$B$5</c:f>
              <c:numCache>
                <c:formatCode>0.0%</c:formatCode>
                <c:ptCount val="2"/>
                <c:pt idx="0">
                  <c:v>0.80879999999999996</c:v>
                </c:pt>
                <c:pt idx="1">
                  <c:v>0.19120000000000001</c:v>
                </c:pt>
              </c:numCache>
            </c:numRef>
          </c:val>
          <c:extLst>
            <c:ext xmlns:c16="http://schemas.microsoft.com/office/drawing/2014/chart" uri="{C3380CC4-5D6E-409C-BE32-E72D297353CC}">
              <c16:uniqueId val="{00000000-3817-42B2-838E-CBBD9DF98AE3}"/>
            </c:ext>
          </c:extLst>
        </c:ser>
        <c:dLbls>
          <c:dLblPos val="outEnd"/>
          <c:showLegendKey val="0"/>
          <c:showVal val="1"/>
          <c:showCatName val="0"/>
          <c:showSerName val="0"/>
          <c:showPercent val="0"/>
          <c:showBubbleSize val="0"/>
        </c:dLbls>
        <c:gapWidth val="100"/>
        <c:axId val="237080576"/>
        <c:axId val="214334208"/>
      </c:barChart>
      <c:catAx>
        <c:axId val="237080576"/>
        <c:scaling>
          <c:orientation val="minMax"/>
        </c:scaling>
        <c:delete val="0"/>
        <c:axPos val="l"/>
        <c:numFmt formatCode="General" sourceLinked="0"/>
        <c:majorTickMark val="none"/>
        <c:minorTickMark val="none"/>
        <c:tickLblPos val="nextTo"/>
        <c:crossAx val="214334208"/>
        <c:crosses val="autoZero"/>
        <c:auto val="1"/>
        <c:lblAlgn val="ctr"/>
        <c:lblOffset val="100"/>
        <c:noMultiLvlLbl val="0"/>
      </c:catAx>
      <c:valAx>
        <c:axId val="214334208"/>
        <c:scaling>
          <c:orientation val="minMax"/>
        </c:scaling>
        <c:delete val="1"/>
        <c:axPos val="b"/>
        <c:numFmt formatCode="0.0%" sourceLinked="1"/>
        <c:majorTickMark val="out"/>
        <c:minorTickMark val="none"/>
        <c:tickLblPos val="nextTo"/>
        <c:crossAx val="237080576"/>
        <c:crosses val="autoZero"/>
        <c:crossBetween val="between"/>
      </c:valAx>
    </c:plotArea>
    <c:plotVisOnly val="1"/>
    <c:dispBlanksAs val="gap"/>
    <c:showDLblsOverMax val="0"/>
  </c:chart>
  <c:spPr>
    <a:ln>
      <a:noFill/>
    </a:ln>
  </c:sp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'[STABILIREA PRINCIPALELOR OBIECTIVE DE DEZVOLTARE ALE SECTORULUI 2 PENTRU PERIOADA 2021 - 2027. Consultarea Primăriei Sectorului 2 București..xlsx]Question 4'!$B$3</c:f>
              <c:strCache>
                <c:ptCount val="1"/>
                <c:pt idx="0">
                  <c:v>Responses</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4'!$A$4:$A$8</c:f>
              <c:strCache>
                <c:ptCount val="5"/>
                <c:pt idx="0">
                  <c:v>1</c:v>
                </c:pt>
                <c:pt idx="1">
                  <c:v>2</c:v>
                </c:pt>
                <c:pt idx="2">
                  <c:v>3</c:v>
                </c:pt>
                <c:pt idx="3">
                  <c:v>4</c:v>
                </c:pt>
                <c:pt idx="4">
                  <c:v>5</c:v>
                </c:pt>
              </c:strCache>
            </c:strRef>
          </c:cat>
          <c:val>
            <c:numRef>
              <c:f>'[STABILIREA PRINCIPALELOR OBIECTIVE DE DEZVOLTARE ALE SECTORULUI 2 PENTRU PERIOADA 2021 - 2027. Consultarea Primăriei Sectorului 2 București..xlsx]Question 4'!$B$4:$B$8</c:f>
              <c:numCache>
                <c:formatCode>0.0%</c:formatCode>
                <c:ptCount val="5"/>
                <c:pt idx="0">
                  <c:v>8.900000000000001E-2</c:v>
                </c:pt>
                <c:pt idx="1">
                  <c:v>0.10589999999999999</c:v>
                </c:pt>
                <c:pt idx="2">
                  <c:v>0.33050000000000002</c:v>
                </c:pt>
                <c:pt idx="3">
                  <c:v>0.29659999999999997</c:v>
                </c:pt>
                <c:pt idx="4">
                  <c:v>0.17799999999999999</c:v>
                </c:pt>
              </c:numCache>
            </c:numRef>
          </c:val>
          <c:extLst>
            <c:ext xmlns:c16="http://schemas.microsoft.com/office/drawing/2014/chart" uri="{C3380CC4-5D6E-409C-BE32-E72D297353CC}">
              <c16:uniqueId val="{00000000-A9AB-4556-BEBD-884F19755EDC}"/>
            </c:ext>
          </c:extLst>
        </c:ser>
        <c:dLbls>
          <c:dLblPos val="outEnd"/>
          <c:showLegendKey val="0"/>
          <c:showVal val="1"/>
          <c:showCatName val="0"/>
          <c:showSerName val="0"/>
          <c:showPercent val="0"/>
          <c:showBubbleSize val="0"/>
        </c:dLbls>
        <c:gapWidth val="150"/>
        <c:axId val="237082112"/>
        <c:axId val="237274240"/>
      </c:barChart>
      <c:valAx>
        <c:axId val="237274240"/>
        <c:scaling>
          <c:orientation val="minMax"/>
        </c:scaling>
        <c:delete val="1"/>
        <c:axPos val="l"/>
        <c:numFmt formatCode="0.0%" sourceLinked="1"/>
        <c:majorTickMark val="out"/>
        <c:minorTickMark val="none"/>
        <c:tickLblPos val="nextTo"/>
        <c:crossAx val="237082112"/>
        <c:crosses val="autoZero"/>
        <c:crossBetween val="between"/>
      </c:valAx>
      <c:catAx>
        <c:axId val="237082112"/>
        <c:scaling>
          <c:orientation val="minMax"/>
        </c:scaling>
        <c:delete val="0"/>
        <c:axPos val="b"/>
        <c:numFmt formatCode="General" sourceLinked="0"/>
        <c:majorTickMark val="none"/>
        <c:minorTickMark val="none"/>
        <c:tickLblPos val="nextTo"/>
        <c:crossAx val="237274240"/>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748973742996728"/>
          <c:y val="0"/>
          <c:w val="0.74251025094705259"/>
          <c:h val="0.75769620000542892"/>
        </c:manualLayout>
      </c:layout>
      <c:barChart>
        <c:barDir val="bar"/>
        <c:grouping val="percentStacked"/>
        <c:varyColors val="0"/>
        <c:ser>
          <c:idx val="0"/>
          <c:order val="0"/>
          <c:tx>
            <c:strRef>
              <c:f>'[STABILIREA PRINCIPALELOR OBIECTIVE DE DEZVOLTARE ALE SECTORULUI 2 PENTRU PERIOADA 2021 - 2027. Consultarea Primăriei Sectorului 2 București..xlsx]Question 5'!$B$38</c:f>
              <c:strCache>
                <c:ptCount val="1"/>
                <c:pt idx="0">
                  <c:v>Deloc</c:v>
                </c:pt>
              </c:strCache>
            </c:strRef>
          </c:tx>
          <c:invertIfNegative val="0"/>
          <c:dLbls>
            <c:dLbl>
              <c:idx val="0"/>
              <c:layout>
                <c:manualLayout>
                  <c:x val="2.6040715632750537E-3"/>
                  <c:y val="9.710931565077284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57-4191-B872-23B5CDB43207}"/>
                </c:ext>
              </c:extLst>
            </c:dLbl>
            <c:spPr>
              <a:noFill/>
              <a:ln>
                <a:noFill/>
              </a:ln>
              <a:effectLst/>
            </c:spPr>
            <c:txPr>
              <a:bodyPr/>
              <a:lstStyle/>
              <a:p>
                <a:pPr>
                  <a:defRPr>
                    <a:solidFill>
                      <a:schemeClr val="bg1"/>
                    </a:solidFill>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5'!$A$39:$A$40</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5'!$B$39:$B$40</c:f>
              <c:numCache>
                <c:formatCode>0.0%</c:formatCode>
                <c:ptCount val="2"/>
                <c:pt idx="0">
                  <c:v>6.6100000000000006E-2</c:v>
                </c:pt>
                <c:pt idx="1">
                  <c:v>4.8499999999999988E-2</c:v>
                </c:pt>
              </c:numCache>
            </c:numRef>
          </c:val>
          <c:extLst>
            <c:ext xmlns:c16="http://schemas.microsoft.com/office/drawing/2014/chart" uri="{C3380CC4-5D6E-409C-BE32-E72D297353CC}">
              <c16:uniqueId val="{00000001-3857-4191-B872-23B5CDB43207}"/>
            </c:ext>
          </c:extLst>
        </c:ser>
        <c:ser>
          <c:idx val="1"/>
          <c:order val="1"/>
          <c:tx>
            <c:strRef>
              <c:f>'[STABILIREA PRINCIPALELOR OBIECTIVE DE DEZVOLTARE ALE SECTORULUI 2 PENTRU PERIOADA 2021 - 2027. Consultarea Primăriei Sectorului 2 București..xlsx]Question 5'!$C$38</c:f>
              <c:strCache>
                <c:ptCount val="1"/>
                <c:pt idx="0">
                  <c:v>Foarte puțin</c:v>
                </c:pt>
              </c:strCache>
            </c:strRef>
          </c:tx>
          <c:invertIfNegative val="0"/>
          <c:dLbls>
            <c:dLbl>
              <c:idx val="1"/>
              <c:layout>
                <c:manualLayout>
                  <c:x val="2.145190663696397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857-4191-B872-23B5CDB43207}"/>
                </c:ext>
              </c:extLst>
            </c:dLbl>
            <c:spPr>
              <a:noFill/>
              <a:ln>
                <a:noFill/>
              </a:ln>
              <a:effectLst/>
            </c:spPr>
            <c:txPr>
              <a:bodyPr/>
              <a:lstStyle/>
              <a:p>
                <a:pPr>
                  <a:defRPr>
                    <a:solidFill>
                      <a:schemeClr val="bg1"/>
                    </a:solidFill>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5'!$A$39:$A$40</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5'!$C$39:$C$40</c:f>
              <c:numCache>
                <c:formatCode>0.0%</c:formatCode>
                <c:ptCount val="2"/>
                <c:pt idx="0">
                  <c:v>0.1057</c:v>
                </c:pt>
                <c:pt idx="1">
                  <c:v>7.2800000000000004E-2</c:v>
                </c:pt>
              </c:numCache>
            </c:numRef>
          </c:val>
          <c:extLst>
            <c:ext xmlns:c16="http://schemas.microsoft.com/office/drawing/2014/chart" uri="{C3380CC4-5D6E-409C-BE32-E72D297353CC}">
              <c16:uniqueId val="{00000003-3857-4191-B872-23B5CDB43207}"/>
            </c:ext>
          </c:extLst>
        </c:ser>
        <c:ser>
          <c:idx val="2"/>
          <c:order val="2"/>
          <c:tx>
            <c:strRef>
              <c:f>'[STABILIREA PRINCIPALELOR OBIECTIVE DE DEZVOLTARE ALE SECTORULUI 2 PENTRU PERIOADA 2021 - 2027. Consultarea Primăriei Sectorului 2 București..xlsx]Question 5'!$D$38</c:f>
              <c:strCache>
                <c:ptCount val="1"/>
                <c:pt idx="0">
                  <c:v>Puțin</c:v>
                </c:pt>
              </c:strCache>
            </c:strRef>
          </c:tx>
          <c:invertIfNegative val="0"/>
          <c:dLbls>
            <c:dLbl>
              <c:idx val="1"/>
              <c:layout>
                <c:manualLayout>
                  <c:x val="-1.548750909673488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857-4191-B872-23B5CDB43207}"/>
                </c:ext>
              </c:extLst>
            </c:dLbl>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5'!$A$39:$A$40</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5'!$D$39:$D$40</c:f>
              <c:numCache>
                <c:formatCode>0.0%</c:formatCode>
                <c:ptCount val="2"/>
                <c:pt idx="0">
                  <c:v>0.26429999999999998</c:v>
                </c:pt>
                <c:pt idx="1">
                  <c:v>0.2039</c:v>
                </c:pt>
              </c:numCache>
            </c:numRef>
          </c:val>
          <c:extLst>
            <c:ext xmlns:c16="http://schemas.microsoft.com/office/drawing/2014/chart" uri="{C3380CC4-5D6E-409C-BE32-E72D297353CC}">
              <c16:uniqueId val="{00000005-3857-4191-B872-23B5CDB43207}"/>
            </c:ext>
          </c:extLst>
        </c:ser>
        <c:ser>
          <c:idx val="3"/>
          <c:order val="3"/>
          <c:tx>
            <c:strRef>
              <c:f>'[STABILIREA PRINCIPALELOR OBIECTIVE DE DEZVOLTARE ALE SECTORULUI 2 PENTRU PERIOADA 2021 - 2027. Consultarea Primăriei Sectorului 2 București..xlsx]Question 5'!$E$38</c:f>
              <c:strCache>
                <c:ptCount val="1"/>
                <c:pt idx="0">
                  <c:v>Mult</c:v>
                </c:pt>
              </c:strCache>
            </c:strRef>
          </c:tx>
          <c:invertIfNegative val="0"/>
          <c:dLbls>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5'!$A$39:$A$40</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5'!$E$39:$E$40</c:f>
              <c:numCache>
                <c:formatCode>0.0%</c:formatCode>
                <c:ptCount val="2"/>
                <c:pt idx="0">
                  <c:v>0.37440000000000001</c:v>
                </c:pt>
                <c:pt idx="1">
                  <c:v>0.45629999999999998</c:v>
                </c:pt>
              </c:numCache>
            </c:numRef>
          </c:val>
          <c:extLst>
            <c:ext xmlns:c16="http://schemas.microsoft.com/office/drawing/2014/chart" uri="{C3380CC4-5D6E-409C-BE32-E72D297353CC}">
              <c16:uniqueId val="{00000006-3857-4191-B872-23B5CDB43207}"/>
            </c:ext>
          </c:extLst>
        </c:ser>
        <c:ser>
          <c:idx val="4"/>
          <c:order val="4"/>
          <c:tx>
            <c:strRef>
              <c:f>'[STABILIREA PRINCIPALELOR OBIECTIVE DE DEZVOLTARE ALE SECTORULUI 2 PENTRU PERIOADA 2021 - 2027. Consultarea Primăriei Sectorului 2 București..xlsx]Question 5'!$F$38</c:f>
              <c:strCache>
                <c:ptCount val="1"/>
                <c:pt idx="0">
                  <c:v>Foarte mult</c:v>
                </c:pt>
              </c:strCache>
            </c:strRef>
          </c:tx>
          <c:invertIfNegative val="0"/>
          <c:dLbls>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5'!$A$39:$A$40</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5'!$F$39:$F$40</c:f>
              <c:numCache>
                <c:formatCode>0.0%</c:formatCode>
                <c:ptCount val="2"/>
                <c:pt idx="0">
                  <c:v>0.18940000000000001</c:v>
                </c:pt>
                <c:pt idx="1">
                  <c:v>0.21840000000000001</c:v>
                </c:pt>
              </c:numCache>
            </c:numRef>
          </c:val>
          <c:extLst>
            <c:ext xmlns:c16="http://schemas.microsoft.com/office/drawing/2014/chart" uri="{C3380CC4-5D6E-409C-BE32-E72D297353CC}">
              <c16:uniqueId val="{00000007-3857-4191-B872-23B5CDB43207}"/>
            </c:ext>
          </c:extLst>
        </c:ser>
        <c:dLbls>
          <c:dLblPos val="inBase"/>
          <c:showLegendKey val="0"/>
          <c:showVal val="1"/>
          <c:showCatName val="0"/>
          <c:showSerName val="0"/>
          <c:showPercent val="0"/>
          <c:showBubbleSize val="0"/>
        </c:dLbls>
        <c:gapWidth val="150"/>
        <c:overlap val="100"/>
        <c:axId val="237083136"/>
        <c:axId val="237275392"/>
      </c:barChart>
      <c:catAx>
        <c:axId val="237083136"/>
        <c:scaling>
          <c:orientation val="minMax"/>
        </c:scaling>
        <c:delete val="0"/>
        <c:axPos val="l"/>
        <c:numFmt formatCode="General" sourceLinked="0"/>
        <c:majorTickMark val="none"/>
        <c:minorTickMark val="none"/>
        <c:tickLblPos val="nextTo"/>
        <c:crossAx val="237275392"/>
        <c:crosses val="autoZero"/>
        <c:auto val="1"/>
        <c:lblAlgn val="ctr"/>
        <c:lblOffset val="100"/>
        <c:noMultiLvlLbl val="0"/>
      </c:catAx>
      <c:valAx>
        <c:axId val="237275392"/>
        <c:scaling>
          <c:orientation val="minMax"/>
        </c:scaling>
        <c:delete val="1"/>
        <c:axPos val="b"/>
        <c:numFmt formatCode="0%" sourceLinked="1"/>
        <c:majorTickMark val="out"/>
        <c:minorTickMark val="none"/>
        <c:tickLblPos val="nextTo"/>
        <c:crossAx val="23708313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'[STABILIREA PRINCIPALELOR OBIECTIVE DE DEZVOLTARE ALE SECTORULUI 2 PENTRU PERIOADA 2021 - 2027. Consultarea Primăriei Sectorului 2 București..xlsx]Question 6'!$B$29</c:f>
              <c:strCache>
                <c:ptCount val="1"/>
                <c:pt idx="0">
                  <c:v>Deloc</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6'!$A$30:$A$31</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6'!$B$30:$B$31</c:f>
              <c:numCache>
                <c:formatCode>0.0%</c:formatCode>
                <c:ptCount val="2"/>
                <c:pt idx="0">
                  <c:v>3.8100000000000002E-2</c:v>
                </c:pt>
                <c:pt idx="1">
                  <c:v>2.5399999999999999E-2</c:v>
                </c:pt>
              </c:numCache>
            </c:numRef>
          </c:val>
          <c:extLst>
            <c:ext xmlns:c16="http://schemas.microsoft.com/office/drawing/2014/chart" uri="{C3380CC4-5D6E-409C-BE32-E72D297353CC}">
              <c16:uniqueId val="{00000000-DF36-4030-A50C-104E809E9378}"/>
            </c:ext>
          </c:extLst>
        </c:ser>
        <c:ser>
          <c:idx val="1"/>
          <c:order val="1"/>
          <c:tx>
            <c:strRef>
              <c:f>'[STABILIREA PRINCIPALELOR OBIECTIVE DE DEZVOLTARE ALE SECTORULUI 2 PENTRU PERIOADA 2021 - 2027. Consultarea Primăriei Sectorului 2 București..xlsx]Question 6'!$C$29</c:f>
              <c:strCache>
                <c:ptCount val="1"/>
                <c:pt idx="0">
                  <c:v>Foarte puțin</c:v>
                </c:pt>
              </c:strCache>
            </c:strRef>
          </c:tx>
          <c:invertIfNegative val="0"/>
          <c:dLbls>
            <c:dLbl>
              <c:idx val="0"/>
              <c:layout>
                <c:manualLayout>
                  <c:x val="2.136752136752136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F36-4030-A50C-104E809E9378}"/>
                </c:ext>
              </c:extLst>
            </c:dLbl>
            <c:dLbl>
              <c:idx val="1"/>
              <c:layout>
                <c:manualLayout>
                  <c:x val="2.1367521367521368E-2"/>
                  <c:y val="-2.807422238777331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F36-4030-A50C-104E809E9378}"/>
                </c:ext>
              </c:extLst>
            </c:dLbl>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6'!$A$30:$A$31</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6'!$C$30:$C$31</c:f>
              <c:numCache>
                <c:formatCode>0.0%</c:formatCode>
                <c:ptCount val="2"/>
                <c:pt idx="0">
                  <c:v>6.7799999999999999E-2</c:v>
                </c:pt>
                <c:pt idx="1">
                  <c:v>3.39E-2</c:v>
                </c:pt>
              </c:numCache>
            </c:numRef>
          </c:val>
          <c:extLst>
            <c:ext xmlns:c16="http://schemas.microsoft.com/office/drawing/2014/chart" uri="{C3380CC4-5D6E-409C-BE32-E72D297353CC}">
              <c16:uniqueId val="{00000003-DF36-4030-A50C-104E809E9378}"/>
            </c:ext>
          </c:extLst>
        </c:ser>
        <c:ser>
          <c:idx val="2"/>
          <c:order val="2"/>
          <c:tx>
            <c:strRef>
              <c:f>'[STABILIREA PRINCIPALELOR OBIECTIVE DE DEZVOLTARE ALE SECTORULUI 2 PENTRU PERIOADA 2021 - 2027. Consultarea Primăriei Sectorului 2 București..xlsx]Question 6'!$D$29</c:f>
              <c:strCache>
                <c:ptCount val="1"/>
                <c:pt idx="0">
                  <c:v>Puțin</c:v>
                </c:pt>
              </c:strCache>
            </c:strRef>
          </c:tx>
          <c:invertIfNegative val="0"/>
          <c:dLbls>
            <c:dLbl>
              <c:idx val="0"/>
              <c:layout>
                <c:manualLayout>
                  <c:x val="2.777777777777777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F36-4030-A50C-104E809E9378}"/>
                </c:ext>
              </c:extLst>
            </c:dLbl>
            <c:dLbl>
              <c:idx val="1"/>
              <c:layout>
                <c:manualLayout>
                  <c:x val="1.0683760683760684E-2"/>
                  <c:y val="-2.807422238777331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F36-4030-A50C-104E809E9378}"/>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6'!$A$30:$A$31</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6'!$D$30:$D$31</c:f>
              <c:numCache>
                <c:formatCode>0.0%</c:formatCode>
                <c:ptCount val="2"/>
                <c:pt idx="0">
                  <c:v>0.17369999999999999</c:v>
                </c:pt>
                <c:pt idx="1">
                  <c:v>0.14410000000000001</c:v>
                </c:pt>
              </c:numCache>
            </c:numRef>
          </c:val>
          <c:extLst>
            <c:ext xmlns:c16="http://schemas.microsoft.com/office/drawing/2014/chart" uri="{C3380CC4-5D6E-409C-BE32-E72D297353CC}">
              <c16:uniqueId val="{00000006-DF36-4030-A50C-104E809E9378}"/>
            </c:ext>
          </c:extLst>
        </c:ser>
        <c:ser>
          <c:idx val="3"/>
          <c:order val="3"/>
          <c:tx>
            <c:strRef>
              <c:f>'[STABILIREA PRINCIPALELOR OBIECTIVE DE DEZVOLTARE ALE SECTORULUI 2 PENTRU PERIOADA 2021 - 2027. Consultarea Primăriei Sectorului 2 București..xlsx]Question 6'!$E$29</c:f>
              <c:strCache>
                <c:ptCount val="1"/>
                <c:pt idx="0">
                  <c:v>Mult</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6'!$A$30:$A$31</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6'!$E$30:$E$31</c:f>
              <c:numCache>
                <c:formatCode>0.0%</c:formatCode>
                <c:ptCount val="2"/>
                <c:pt idx="0">
                  <c:v>0.46189999999999998</c:v>
                </c:pt>
                <c:pt idx="1">
                  <c:v>0.52539999999999998</c:v>
                </c:pt>
              </c:numCache>
            </c:numRef>
          </c:val>
          <c:extLst>
            <c:ext xmlns:c16="http://schemas.microsoft.com/office/drawing/2014/chart" uri="{C3380CC4-5D6E-409C-BE32-E72D297353CC}">
              <c16:uniqueId val="{00000007-DF36-4030-A50C-104E809E9378}"/>
            </c:ext>
          </c:extLst>
        </c:ser>
        <c:ser>
          <c:idx val="4"/>
          <c:order val="4"/>
          <c:tx>
            <c:strRef>
              <c:f>'[STABILIREA PRINCIPALELOR OBIECTIVE DE DEZVOLTARE ALE SECTORULUI 2 PENTRU PERIOADA 2021 - 2027. Consultarea Primăriei Sectorului 2 București..xlsx]Question 6'!$F$29</c:f>
              <c:strCache>
                <c:ptCount val="1"/>
                <c:pt idx="0">
                  <c:v>Foarte mult</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6'!$A$30:$A$31</c:f>
              <c:strCache>
                <c:ptCount val="2"/>
                <c:pt idx="0">
                  <c:v>Mă regăsesc / contribui efectiv</c:v>
                </c:pt>
                <c:pt idx="1">
                  <c:v>Ar trebui să mă regăsesc / să fiu valorizat(ă)</c:v>
                </c:pt>
              </c:strCache>
            </c:strRef>
          </c:cat>
          <c:val>
            <c:numRef>
              <c:f>'[STABILIREA PRINCIPALELOR OBIECTIVE DE DEZVOLTARE ALE SECTORULUI 2 PENTRU PERIOADA 2021 - 2027. Consultarea Primăriei Sectorului 2 București..xlsx]Question 6'!$F$30:$F$31</c:f>
              <c:numCache>
                <c:formatCode>0.0%</c:formatCode>
                <c:ptCount val="2"/>
                <c:pt idx="0">
                  <c:v>0.25850000000000001</c:v>
                </c:pt>
                <c:pt idx="1">
                  <c:v>0.2712</c:v>
                </c:pt>
              </c:numCache>
            </c:numRef>
          </c:val>
          <c:extLst>
            <c:ext xmlns:c16="http://schemas.microsoft.com/office/drawing/2014/chart" uri="{C3380CC4-5D6E-409C-BE32-E72D297353CC}">
              <c16:uniqueId val="{00000008-DF36-4030-A50C-104E809E9378}"/>
            </c:ext>
          </c:extLst>
        </c:ser>
        <c:dLbls>
          <c:dLblPos val="ctr"/>
          <c:showLegendKey val="0"/>
          <c:showVal val="1"/>
          <c:showCatName val="0"/>
          <c:showSerName val="0"/>
          <c:showPercent val="0"/>
          <c:showBubbleSize val="0"/>
        </c:dLbls>
        <c:gapWidth val="150"/>
        <c:overlap val="100"/>
        <c:axId val="237084160"/>
        <c:axId val="237277120"/>
      </c:barChart>
      <c:catAx>
        <c:axId val="237084160"/>
        <c:scaling>
          <c:orientation val="minMax"/>
        </c:scaling>
        <c:delete val="0"/>
        <c:axPos val="l"/>
        <c:numFmt formatCode="General" sourceLinked="0"/>
        <c:majorTickMark val="none"/>
        <c:minorTickMark val="none"/>
        <c:tickLblPos val="nextTo"/>
        <c:crossAx val="237277120"/>
        <c:crosses val="autoZero"/>
        <c:auto val="1"/>
        <c:lblAlgn val="ctr"/>
        <c:lblOffset val="100"/>
        <c:noMultiLvlLbl val="0"/>
      </c:catAx>
      <c:valAx>
        <c:axId val="237277120"/>
        <c:scaling>
          <c:orientation val="minMax"/>
        </c:scaling>
        <c:delete val="1"/>
        <c:axPos val="b"/>
        <c:numFmt formatCode="0%" sourceLinked="1"/>
        <c:majorTickMark val="out"/>
        <c:minorTickMark val="none"/>
        <c:tickLblPos val="nextTo"/>
        <c:crossAx val="23708416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txPr>
              <a:bodyPr/>
              <a:lstStyle/>
              <a:p>
                <a:pPr>
                  <a:defRPr>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'[STABILIREA PRINCIPALELOR OBIECTIVE DE DEZVOLTARE ALE SECTORULUI 2 PENTRU PERIOADA 2021 - 2027. Consultarea Primăriei Sectorului 2 București..xlsx]Question 7'!$A$4:$A$6</c:f>
              <c:strCache>
                <c:ptCount val="3"/>
                <c:pt idx="0">
                  <c:v>Da</c:v>
                </c:pt>
                <c:pt idx="1">
                  <c:v>Da, dar nu în totalitate</c:v>
                </c:pt>
                <c:pt idx="2">
                  <c:v>Nu</c:v>
                </c:pt>
              </c:strCache>
            </c:strRef>
          </c:cat>
          <c:val>
            <c:numRef>
              <c:f>'[STABILIREA PRINCIPALELOR OBIECTIVE DE DEZVOLTARE ALE SECTORULUI 2 PENTRU PERIOADA 2021 - 2027. Consultarea Primăriei Sectorului 2 București..xlsx]Question 7'!$B$4:$B$6</c:f>
              <c:numCache>
                <c:formatCode>0.0%</c:formatCode>
                <c:ptCount val="3"/>
                <c:pt idx="0">
                  <c:v>0.18029999999999999</c:v>
                </c:pt>
                <c:pt idx="1">
                  <c:v>0.46350000000000002</c:v>
                </c:pt>
                <c:pt idx="2">
                  <c:v>0.35620000000000002</c:v>
                </c:pt>
              </c:numCache>
            </c:numRef>
          </c:val>
          <c:extLst>
            <c:ext xmlns:c16="http://schemas.microsoft.com/office/drawing/2014/chart" uri="{C3380CC4-5D6E-409C-BE32-E72D297353CC}">
              <c16:uniqueId val="{00000000-8C0A-43AA-A4C9-37E14AC6AAF4}"/>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9'!$A$4:$A$6</c:f>
              <c:strCache>
                <c:ptCount val="3"/>
                <c:pt idx="0">
                  <c:v>Da, am participat direct, prin grupuri de lucru sau evenimente de consultare</c:v>
                </c:pt>
                <c:pt idx="1">
                  <c:v>Da, am participat prin furnizarea de informații celor care au elaborat strategia/documentul de planiﬁcare strategică</c:v>
                </c:pt>
                <c:pt idx="2">
                  <c:v>Nu am participat în nici o calitate</c:v>
                </c:pt>
              </c:strCache>
            </c:strRef>
          </c:cat>
          <c:val>
            <c:numRef>
              <c:f>'[STABILIREA PRINCIPALELOR OBIECTIVE DE DEZVOLTARE ALE SECTORULUI 2 PENTRU PERIOADA 2021 - 2027. Consultarea Primăriei Sectorului 2 București..xlsx]Question 9'!$B$4:$B$6</c:f>
              <c:numCache>
                <c:formatCode>0.0%</c:formatCode>
                <c:ptCount val="3"/>
                <c:pt idx="0">
                  <c:v>9.8299999999999998E-2</c:v>
                </c:pt>
                <c:pt idx="1">
                  <c:v>0.23080000000000001</c:v>
                </c:pt>
                <c:pt idx="2">
                  <c:v>0.67090000000000005</c:v>
                </c:pt>
              </c:numCache>
            </c:numRef>
          </c:val>
          <c:extLst>
            <c:ext xmlns:c16="http://schemas.microsoft.com/office/drawing/2014/chart" uri="{C3380CC4-5D6E-409C-BE32-E72D297353CC}">
              <c16:uniqueId val="{00000000-ADDD-487E-957D-AEF1D19BDB66}"/>
            </c:ext>
          </c:extLst>
        </c:ser>
        <c:dLbls>
          <c:dLblPos val="outEnd"/>
          <c:showLegendKey val="0"/>
          <c:showVal val="1"/>
          <c:showCatName val="0"/>
          <c:showSerName val="0"/>
          <c:showPercent val="0"/>
          <c:showBubbleSize val="0"/>
        </c:dLbls>
        <c:gapWidth val="150"/>
        <c:axId val="237079040"/>
        <c:axId val="237280000"/>
      </c:barChart>
      <c:catAx>
        <c:axId val="237079040"/>
        <c:scaling>
          <c:orientation val="minMax"/>
        </c:scaling>
        <c:delete val="0"/>
        <c:axPos val="l"/>
        <c:numFmt formatCode="General" sourceLinked="0"/>
        <c:majorTickMark val="none"/>
        <c:minorTickMark val="none"/>
        <c:tickLblPos val="nextTo"/>
        <c:crossAx val="237280000"/>
        <c:crosses val="autoZero"/>
        <c:auto val="1"/>
        <c:lblAlgn val="ctr"/>
        <c:lblOffset val="100"/>
        <c:noMultiLvlLbl val="0"/>
      </c:catAx>
      <c:valAx>
        <c:axId val="237280000"/>
        <c:scaling>
          <c:orientation val="minMax"/>
        </c:scaling>
        <c:delete val="1"/>
        <c:axPos val="b"/>
        <c:numFmt formatCode="0.0%" sourceLinked="1"/>
        <c:majorTickMark val="out"/>
        <c:minorTickMark val="none"/>
        <c:tickLblPos val="nextTo"/>
        <c:crossAx val="237079040"/>
        <c:crosses val="autoZero"/>
        <c:crossBetween val="between"/>
      </c:valAx>
    </c:plotArea>
    <c:plotVisOnly val="1"/>
    <c:dispBlanksAs val="gap"/>
    <c:showDLblsOverMax val="0"/>
  </c:chart>
  <c:spPr>
    <a:ln>
      <a:noFill/>
    </a:ln>
  </c:spPr>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10'!$A$4:$A$8</c:f>
              <c:strCache>
                <c:ptCount val="5"/>
                <c:pt idx="0">
                  <c:v>Documente oﬁciale în format imprimat (adrese, notiﬁcări, etc.)</c:v>
                </c:pt>
                <c:pt idx="1">
                  <c:v>Corespondență electronică (email, chat, etc.)</c:v>
                </c:pt>
                <c:pt idx="2">
                  <c:v>Sistem electronic de comunicare</c:v>
                </c:pt>
                <c:pt idx="3">
                  <c:v>Altele (vă rugăm speciﬁcați):</c:v>
                </c:pt>
                <c:pt idx="4">
                  <c:v>Prin organizarea de reuniuni (ședințe, consultări etc.)</c:v>
                </c:pt>
              </c:strCache>
            </c:strRef>
          </c:cat>
          <c:val>
            <c:numRef>
              <c:f>'[STABILIREA PRINCIPALELOR OBIECTIVE DE DEZVOLTARE ALE SECTORULUI 2 PENTRU PERIOADA 2021 - 2027. Consultarea Primăriei Sectorului 2 București..xlsx]Question 10'!$B$4:$B$8</c:f>
              <c:numCache>
                <c:formatCode>0.0%</c:formatCode>
                <c:ptCount val="5"/>
                <c:pt idx="0">
                  <c:v>0.63560000000000005</c:v>
                </c:pt>
                <c:pt idx="1">
                  <c:v>0.24440000000000001</c:v>
                </c:pt>
                <c:pt idx="2">
                  <c:v>7.5600000000000001E-2</c:v>
                </c:pt>
                <c:pt idx="3">
                  <c:v>3.1099999999999999E-2</c:v>
                </c:pt>
                <c:pt idx="4">
                  <c:v>1.3299999999999999E-2</c:v>
                </c:pt>
              </c:numCache>
            </c:numRef>
          </c:val>
          <c:extLst>
            <c:ext xmlns:c16="http://schemas.microsoft.com/office/drawing/2014/chart" uri="{C3380CC4-5D6E-409C-BE32-E72D297353CC}">
              <c16:uniqueId val="{00000000-5558-41CC-B4E8-5DA8531F2BF4}"/>
            </c:ext>
          </c:extLst>
        </c:ser>
        <c:dLbls>
          <c:dLblPos val="outEnd"/>
          <c:showLegendKey val="0"/>
          <c:showVal val="1"/>
          <c:showCatName val="0"/>
          <c:showSerName val="0"/>
          <c:showPercent val="0"/>
          <c:showBubbleSize val="0"/>
        </c:dLbls>
        <c:gapWidth val="150"/>
        <c:axId val="237080064"/>
        <c:axId val="237888064"/>
      </c:barChart>
      <c:catAx>
        <c:axId val="237080064"/>
        <c:scaling>
          <c:orientation val="minMax"/>
        </c:scaling>
        <c:delete val="0"/>
        <c:axPos val="l"/>
        <c:numFmt formatCode="General" sourceLinked="0"/>
        <c:majorTickMark val="none"/>
        <c:minorTickMark val="none"/>
        <c:tickLblPos val="nextTo"/>
        <c:crossAx val="237888064"/>
        <c:crosses val="autoZero"/>
        <c:auto val="1"/>
        <c:lblAlgn val="ctr"/>
        <c:lblOffset val="100"/>
        <c:noMultiLvlLbl val="0"/>
      </c:catAx>
      <c:valAx>
        <c:axId val="237888064"/>
        <c:scaling>
          <c:orientation val="minMax"/>
        </c:scaling>
        <c:delete val="1"/>
        <c:axPos val="b"/>
        <c:numFmt formatCode="0.0%" sourceLinked="1"/>
        <c:majorTickMark val="out"/>
        <c:minorTickMark val="none"/>
        <c:tickLblPos val="nextTo"/>
        <c:crossAx val="237080064"/>
        <c:crosses val="autoZero"/>
        <c:crossBetween val="between"/>
      </c:valAx>
    </c:plotArea>
    <c:plotVisOnly val="1"/>
    <c:dispBlanksAs val="gap"/>
    <c:showDLblsOverMax val="0"/>
  </c:chart>
  <c:spPr>
    <a:ln>
      <a:noFill/>
    </a:ln>
  </c:spPr>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'[STABILIREA PRINCIPALELOR OBIECTIVE DE DEZVOLTARE ALE SECTORULUI 2 PENTRU PERIOADA 2021 - 2027. Consultarea Primăriei Sectorului 2 București..xlsx]Question 11'!$A$4:$A$8</c:f>
              <c:strCache>
                <c:ptCount val="5"/>
                <c:pt idx="0">
                  <c:v>Da</c:v>
                </c:pt>
                <c:pt idx="1">
                  <c:v>Da, în curs de implementare</c:v>
                </c:pt>
                <c:pt idx="2">
                  <c:v>Nu, dar intenționăm să implementăm un asemenea proiect până în 2027</c:v>
                </c:pt>
                <c:pt idx="3">
                  <c:v>Nu, considerăm că nu este prioritar/necesar</c:v>
                </c:pt>
                <c:pt idx="4">
                  <c:v>Nu știu</c:v>
                </c:pt>
              </c:strCache>
            </c:strRef>
          </c:cat>
          <c:val>
            <c:numRef>
              <c:f>'[STABILIREA PRINCIPALELOR OBIECTIVE DE DEZVOLTARE ALE SECTORULUI 2 PENTRU PERIOADA 2021 - 2027. Consultarea Primăriei Sectorului 2 București..xlsx]Question 11'!$B$4:$B$8</c:f>
              <c:numCache>
                <c:formatCode>0.0%</c:formatCode>
                <c:ptCount val="5"/>
                <c:pt idx="0">
                  <c:v>0.1176</c:v>
                </c:pt>
                <c:pt idx="1">
                  <c:v>4.07E-2</c:v>
                </c:pt>
                <c:pt idx="2">
                  <c:v>0.23980000000000001</c:v>
                </c:pt>
                <c:pt idx="3">
                  <c:v>0.1176</c:v>
                </c:pt>
                <c:pt idx="4">
                  <c:v>0.48420000000000002</c:v>
                </c:pt>
              </c:numCache>
            </c:numRef>
          </c:val>
          <c:extLst>
            <c:ext xmlns:c16="http://schemas.microsoft.com/office/drawing/2014/chart" uri="{C3380CC4-5D6E-409C-BE32-E72D297353CC}">
              <c16:uniqueId val="{00000000-AE63-43BA-90DA-AF72414D8F49}"/>
            </c:ext>
          </c:extLst>
        </c:ser>
        <c:dLbls>
          <c:dLblPos val="bestFit"/>
          <c:showLegendKey val="0"/>
          <c:showVal val="1"/>
          <c:showCatName val="0"/>
          <c:showSerName val="0"/>
          <c:showPercent val="0"/>
          <c:showBubbleSize val="0"/>
          <c:showLeaderLines val="1"/>
        </c:dLbls>
        <c:firstSliceAng val="0"/>
      </c:pieChart>
    </c:plotArea>
    <c:legend>
      <c:legendPos val="r"/>
      <c:layout>
        <c:manualLayout>
          <c:xMode val="edge"/>
          <c:yMode val="edge"/>
          <c:x val="0.58949818298509349"/>
          <c:y val="4.7574669853088197E-2"/>
          <c:w val="0.39749509687616807"/>
          <c:h val="0.90485066029382366"/>
        </c:manualLayout>
      </c:layout>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o-RO">
                <a:solidFill>
                  <a:schemeClr val="tx2"/>
                </a:solidFill>
              </a:rPr>
              <a:t>1.</a:t>
            </a:r>
            <a:endParaRPr lang="en-US">
              <a:solidFill>
                <a:schemeClr val="tx2"/>
              </a:solidFill>
            </a:endParaRPr>
          </a:p>
        </c:rich>
      </c:tx>
      <c:layout>
        <c:manualLayout>
          <c:xMode val="edge"/>
          <c:yMode val="edge"/>
          <c:x val="2.0095667096275494E-3"/>
          <c:y val="0"/>
        </c:manualLayout>
      </c:layout>
      <c:overlay val="1"/>
    </c:title>
    <c:autoTitleDeleted val="0"/>
    <c:plotArea>
      <c:layout>
        <c:manualLayout>
          <c:layoutTarget val="inner"/>
          <c:xMode val="edge"/>
          <c:yMode val="edge"/>
          <c:x val="2.489745396594043E-3"/>
          <c:y val="0.26211765266578091"/>
          <c:w val="0.83901040731253129"/>
          <c:h val="0.45002940714187933"/>
        </c:manualLayout>
      </c:layout>
      <c:pieChart>
        <c:varyColors val="1"/>
        <c:ser>
          <c:idx val="0"/>
          <c:order val="0"/>
          <c:dLbls>
            <c:numFmt formatCode="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'TOATE!'!$A$164:$A$168</c:f>
              <c:strCache>
                <c:ptCount val="5"/>
                <c:pt idx="0">
                  <c:v>O1. Locuire, servicii şi cultură adaptate unei comunităţi active şi implicate</c:v>
                </c:pt>
                <c:pt idx="1">
                  <c:v>O2. Sector cu atractivitate crescută pentru forța de muncă și companii</c:v>
                </c:pt>
                <c:pt idx="2">
                  <c:v>O3. Infrastructură urbană adaptată la nevoile actuale și viitoare</c:v>
                </c:pt>
                <c:pt idx="3">
                  <c:v>O4. Sector 2 - model de dezvoltare sistem albastru-verde</c:v>
                </c:pt>
                <c:pt idx="4">
                  <c:v>O5. Administrație publică performantă</c:v>
                </c:pt>
              </c:strCache>
            </c:strRef>
          </c:cat>
          <c:val>
            <c:numRef>
              <c:f>'TOATE!'!$B$164:$B$168</c:f>
              <c:numCache>
                <c:formatCode>General</c:formatCode>
                <c:ptCount val="5"/>
                <c:pt idx="0">
                  <c:v>148</c:v>
                </c:pt>
                <c:pt idx="1">
                  <c:v>19</c:v>
                </c:pt>
                <c:pt idx="2">
                  <c:v>62</c:v>
                </c:pt>
                <c:pt idx="3">
                  <c:v>37</c:v>
                </c:pt>
                <c:pt idx="4">
                  <c:v>45</c:v>
                </c:pt>
              </c:numCache>
            </c:numRef>
          </c:val>
          <c:extLst>
            <c:ext xmlns:c16="http://schemas.microsoft.com/office/drawing/2014/chart" uri="{C3380CC4-5D6E-409C-BE32-E72D297353CC}">
              <c16:uniqueId val="{00000000-724D-4F0A-B1DE-3DF2300DA725}"/>
            </c:ext>
          </c:extLst>
        </c:ser>
        <c:dLbls>
          <c:showLegendKey val="0"/>
          <c:showVal val="1"/>
          <c:showCatName val="0"/>
          <c:showSerName val="0"/>
          <c:showPercent val="0"/>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7163319831657813"/>
          <c:y val="5.0925925925925923E-2"/>
          <c:w val="0.50487758536909344"/>
          <c:h val="0.72338546223388744"/>
        </c:manualLayout>
      </c:layout>
      <c:barChart>
        <c:barDir val="bar"/>
        <c:grouping val="percentStacked"/>
        <c:varyColors val="0"/>
        <c:ser>
          <c:idx val="0"/>
          <c:order val="0"/>
          <c:tx>
            <c:strRef>
              <c:f>'[STABILIREA PRINCIPALELOR OBIECTIVE DE DEZVOLTARE ALE SECTORULUI 2 PENTRU PERIOADA 2021 - 2027. Consultarea Primăriei Sectorului 2 București..xlsx]Question 12'!$B$38</c:f>
              <c:strCache>
                <c:ptCount val="1"/>
                <c:pt idx="0">
                  <c:v>Foarte vechi (peste 10 ani vechime)</c:v>
                </c:pt>
              </c:strCache>
            </c:strRef>
          </c:tx>
          <c:invertIfNegative val="0"/>
          <c:dLbls>
            <c:delete val="1"/>
          </c:dLbls>
          <c:cat>
            <c:strRef>
              <c:f>'[STABILIREA PRINCIPALELOR OBIECTIVE DE DEZVOLTARE ALE SECTORULUI 2 PENTRU PERIOADA 2021 - 2027. Consultarea Primăriei Sectorului 2 București..xlsx]Question 12'!$A$39:$A$44</c:f>
              <c:strCache>
                <c:ptCount val="6"/>
                <c:pt idx="0">
                  <c:v>Calculatoare tip desktop</c:v>
                </c:pt>
                <c:pt idx="1">
                  <c:v>Calculatoare portabile (laptop)</c:v>
                </c:pt>
                <c:pt idx="2">
                  <c:v>Imprimante</c:v>
                </c:pt>
                <c:pt idx="3">
                  <c:v>Multifuncționale copiere/imprimare</c:v>
                </c:pt>
                <c:pt idx="4">
                  <c:v>Servere sau unități de stocare date/înregistrări</c:v>
                </c:pt>
                <c:pt idx="5">
                  <c:v>Sisteme de operare (de ex. Windows)</c:v>
                </c:pt>
              </c:strCache>
            </c:strRef>
          </c:cat>
          <c:val>
            <c:numRef>
              <c:f>'[STABILIREA PRINCIPALELOR OBIECTIVE DE DEZVOLTARE ALE SECTORULUI 2 PENTRU PERIOADA 2021 - 2027. Consultarea Primăriei Sectorului 2 București..xlsx]Question 12'!$B$39:$B$44</c:f>
              <c:numCache>
                <c:formatCode>0.0%</c:formatCode>
                <c:ptCount val="6"/>
                <c:pt idx="0">
                  <c:v>7.1099999999999997E-2</c:v>
                </c:pt>
                <c:pt idx="1">
                  <c:v>4.5900000000000003E-2</c:v>
                </c:pt>
                <c:pt idx="2">
                  <c:v>5.91E-2</c:v>
                </c:pt>
                <c:pt idx="3">
                  <c:v>4.9500000000000002E-2</c:v>
                </c:pt>
                <c:pt idx="4">
                  <c:v>4.0399999999999998E-2</c:v>
                </c:pt>
                <c:pt idx="5">
                  <c:v>4.07E-2</c:v>
                </c:pt>
              </c:numCache>
            </c:numRef>
          </c:val>
          <c:extLst>
            <c:ext xmlns:c16="http://schemas.microsoft.com/office/drawing/2014/chart" uri="{C3380CC4-5D6E-409C-BE32-E72D297353CC}">
              <c16:uniqueId val="{00000000-6B00-47C7-BC10-9218C4D6A9ED}"/>
            </c:ext>
          </c:extLst>
        </c:ser>
        <c:ser>
          <c:idx val="1"/>
          <c:order val="1"/>
          <c:tx>
            <c:strRef>
              <c:f>'[STABILIREA PRINCIPALELOR OBIECTIVE DE DEZVOLTARE ALE SECTORULUI 2 PENTRU PERIOADA 2021 - 2027. Consultarea Primăriei Sectorului 2 București..xlsx]Question 12'!$C$38</c:f>
              <c:strCache>
                <c:ptCount val="1"/>
                <c:pt idx="0">
                  <c:v>Vechi (între 6 și 10 ani)</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12'!$A$39:$A$44</c:f>
              <c:strCache>
                <c:ptCount val="6"/>
                <c:pt idx="0">
                  <c:v>Calculatoare tip desktop</c:v>
                </c:pt>
                <c:pt idx="1">
                  <c:v>Calculatoare portabile (laptop)</c:v>
                </c:pt>
                <c:pt idx="2">
                  <c:v>Imprimante</c:v>
                </c:pt>
                <c:pt idx="3">
                  <c:v>Multifuncționale copiere/imprimare</c:v>
                </c:pt>
                <c:pt idx="4">
                  <c:v>Servere sau unități de stocare date/înregistrări</c:v>
                </c:pt>
                <c:pt idx="5">
                  <c:v>Sisteme de operare (de ex. Windows)</c:v>
                </c:pt>
              </c:strCache>
            </c:strRef>
          </c:cat>
          <c:val>
            <c:numRef>
              <c:f>'[STABILIREA PRINCIPALELOR OBIECTIVE DE DEZVOLTARE ALE SECTORULUI 2 PENTRU PERIOADA 2021 - 2027. Consultarea Primăriei Sectorului 2 București..xlsx]Question 12'!$C$39:$C$44</c:f>
              <c:numCache>
                <c:formatCode>0.0%</c:formatCode>
                <c:ptCount val="6"/>
                <c:pt idx="0">
                  <c:v>0.2044</c:v>
                </c:pt>
                <c:pt idx="1">
                  <c:v>4.1300000000000003E-2</c:v>
                </c:pt>
                <c:pt idx="2">
                  <c:v>0.19550000000000001</c:v>
                </c:pt>
                <c:pt idx="3">
                  <c:v>0.15770000000000001</c:v>
                </c:pt>
                <c:pt idx="4">
                  <c:v>8.9700000000000002E-2</c:v>
                </c:pt>
                <c:pt idx="5">
                  <c:v>9.5000000000000001E-2</c:v>
                </c:pt>
              </c:numCache>
            </c:numRef>
          </c:val>
          <c:extLst>
            <c:ext xmlns:c16="http://schemas.microsoft.com/office/drawing/2014/chart" uri="{C3380CC4-5D6E-409C-BE32-E72D297353CC}">
              <c16:uniqueId val="{00000001-6B00-47C7-BC10-9218C4D6A9ED}"/>
            </c:ext>
          </c:extLst>
        </c:ser>
        <c:ser>
          <c:idx val="2"/>
          <c:order val="2"/>
          <c:tx>
            <c:strRef>
              <c:f>'[STABILIREA PRINCIPALELOR OBIECTIVE DE DEZVOLTARE ALE SECTORULUI 2 PENTRU PERIOADA 2021 - 2027. Consultarea Primăriei Sectorului 2 București..xlsx]Question 12'!$D$38</c:f>
              <c:strCache>
                <c:ptCount val="1"/>
                <c:pt idx="0">
                  <c:v>Relativ noi (între 3 și 6 ani)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12'!$A$39:$A$44</c:f>
              <c:strCache>
                <c:ptCount val="6"/>
                <c:pt idx="0">
                  <c:v>Calculatoare tip desktop</c:v>
                </c:pt>
                <c:pt idx="1">
                  <c:v>Calculatoare portabile (laptop)</c:v>
                </c:pt>
                <c:pt idx="2">
                  <c:v>Imprimante</c:v>
                </c:pt>
                <c:pt idx="3">
                  <c:v>Multifuncționale copiere/imprimare</c:v>
                </c:pt>
                <c:pt idx="4">
                  <c:v>Servere sau unități de stocare date/înregistrări</c:v>
                </c:pt>
                <c:pt idx="5">
                  <c:v>Sisteme de operare (de ex. Windows)</c:v>
                </c:pt>
              </c:strCache>
            </c:strRef>
          </c:cat>
          <c:val>
            <c:numRef>
              <c:f>'[STABILIREA PRINCIPALELOR OBIECTIVE DE DEZVOLTARE ALE SECTORULUI 2 PENTRU PERIOADA 2021 - 2027. Consultarea Primăriei Sectorului 2 București..xlsx]Question 12'!$D$39:$D$44</c:f>
              <c:numCache>
                <c:formatCode>0.0%</c:formatCode>
                <c:ptCount val="6"/>
                <c:pt idx="0">
                  <c:v>0.2089</c:v>
                </c:pt>
                <c:pt idx="1">
                  <c:v>0.1055</c:v>
                </c:pt>
                <c:pt idx="2">
                  <c:v>0.2</c:v>
                </c:pt>
                <c:pt idx="3">
                  <c:v>0.23419999999999999</c:v>
                </c:pt>
                <c:pt idx="4">
                  <c:v>9.4200000000000006E-2</c:v>
                </c:pt>
                <c:pt idx="5">
                  <c:v>0.1855</c:v>
                </c:pt>
              </c:numCache>
            </c:numRef>
          </c:val>
          <c:extLst>
            <c:ext xmlns:c16="http://schemas.microsoft.com/office/drawing/2014/chart" uri="{C3380CC4-5D6E-409C-BE32-E72D297353CC}">
              <c16:uniqueId val="{00000002-6B00-47C7-BC10-9218C4D6A9ED}"/>
            </c:ext>
          </c:extLst>
        </c:ser>
        <c:ser>
          <c:idx val="3"/>
          <c:order val="3"/>
          <c:tx>
            <c:strRef>
              <c:f>'[STABILIREA PRINCIPALELOR OBIECTIVE DE DEZVOLTARE ALE SECTORULUI 2 PENTRU PERIOADA 2021 - 2027. Consultarea Primăriei Sectorului 2 București..xlsx]Question 12'!$E$38</c:f>
              <c:strCache>
                <c:ptCount val="1"/>
                <c:pt idx="0">
                  <c:v>Noi (mai puțin de 3 ani)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12'!$A$39:$A$44</c:f>
              <c:strCache>
                <c:ptCount val="6"/>
                <c:pt idx="0">
                  <c:v>Calculatoare tip desktop</c:v>
                </c:pt>
                <c:pt idx="1">
                  <c:v>Calculatoare portabile (laptop)</c:v>
                </c:pt>
                <c:pt idx="2">
                  <c:v>Imprimante</c:v>
                </c:pt>
                <c:pt idx="3">
                  <c:v>Multifuncționale copiere/imprimare</c:v>
                </c:pt>
                <c:pt idx="4">
                  <c:v>Servere sau unități de stocare date/înregistrări</c:v>
                </c:pt>
                <c:pt idx="5">
                  <c:v>Sisteme de operare (de ex. Windows)</c:v>
                </c:pt>
              </c:strCache>
            </c:strRef>
          </c:cat>
          <c:val>
            <c:numRef>
              <c:f>'[STABILIREA PRINCIPALELOR OBIECTIVE DE DEZVOLTARE ALE SECTORULUI 2 PENTRU PERIOADA 2021 - 2027. Consultarea Primăriei Sectorului 2 București..xlsx]Question 12'!$E$39:$E$44</c:f>
              <c:numCache>
                <c:formatCode>0.0%</c:formatCode>
                <c:ptCount val="6"/>
                <c:pt idx="0">
                  <c:v>0.12</c:v>
                </c:pt>
                <c:pt idx="1">
                  <c:v>8.72E-2</c:v>
                </c:pt>
                <c:pt idx="2">
                  <c:v>0.1182</c:v>
                </c:pt>
                <c:pt idx="3">
                  <c:v>0.14410000000000001</c:v>
                </c:pt>
                <c:pt idx="4">
                  <c:v>0.1031</c:v>
                </c:pt>
                <c:pt idx="5">
                  <c:v>0.1855</c:v>
                </c:pt>
              </c:numCache>
            </c:numRef>
          </c:val>
          <c:extLst>
            <c:ext xmlns:c16="http://schemas.microsoft.com/office/drawing/2014/chart" uri="{C3380CC4-5D6E-409C-BE32-E72D297353CC}">
              <c16:uniqueId val="{00000003-6B00-47C7-BC10-9218C4D6A9ED}"/>
            </c:ext>
          </c:extLst>
        </c:ser>
        <c:ser>
          <c:idx val="4"/>
          <c:order val="4"/>
          <c:tx>
            <c:strRef>
              <c:f>'[STABILIREA PRINCIPALELOR OBIECTIVE DE DEZVOLTARE ALE SECTORULUI 2 PENTRU PERIOADA 2021 - 2027. Consultarea Primăriei Sectorului 2 București..xlsx]Question 12'!$F$38</c:f>
              <c:strCache>
                <c:ptCount val="1"/>
                <c:pt idx="0">
                  <c:v>Nu este cazul</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12'!$A$39:$A$44</c:f>
              <c:strCache>
                <c:ptCount val="6"/>
                <c:pt idx="0">
                  <c:v>Calculatoare tip desktop</c:v>
                </c:pt>
                <c:pt idx="1">
                  <c:v>Calculatoare portabile (laptop)</c:v>
                </c:pt>
                <c:pt idx="2">
                  <c:v>Imprimante</c:v>
                </c:pt>
                <c:pt idx="3">
                  <c:v>Multifuncționale copiere/imprimare</c:v>
                </c:pt>
                <c:pt idx="4">
                  <c:v>Servere sau unități de stocare date/înregistrări</c:v>
                </c:pt>
                <c:pt idx="5">
                  <c:v>Sisteme de operare (de ex. Windows)</c:v>
                </c:pt>
              </c:strCache>
            </c:strRef>
          </c:cat>
          <c:val>
            <c:numRef>
              <c:f>'[STABILIREA PRINCIPALELOR OBIECTIVE DE DEZVOLTARE ALE SECTORULUI 2 PENTRU PERIOADA 2021 - 2027. Consultarea Primăriei Sectorului 2 București..xlsx]Question 12'!$F$39:$F$44</c:f>
              <c:numCache>
                <c:formatCode>0.0%</c:formatCode>
                <c:ptCount val="6"/>
                <c:pt idx="0">
                  <c:v>4.4400000000000002E-2</c:v>
                </c:pt>
                <c:pt idx="1">
                  <c:v>0.21099999999999999</c:v>
                </c:pt>
                <c:pt idx="2">
                  <c:v>5.91E-2</c:v>
                </c:pt>
                <c:pt idx="3">
                  <c:v>4.0500000000000001E-2</c:v>
                </c:pt>
                <c:pt idx="4">
                  <c:v>0.1031</c:v>
                </c:pt>
                <c:pt idx="5">
                  <c:v>4.9799999999999997E-2</c:v>
                </c:pt>
              </c:numCache>
            </c:numRef>
          </c:val>
          <c:extLst>
            <c:ext xmlns:c16="http://schemas.microsoft.com/office/drawing/2014/chart" uri="{C3380CC4-5D6E-409C-BE32-E72D297353CC}">
              <c16:uniqueId val="{00000004-6B00-47C7-BC10-9218C4D6A9ED}"/>
            </c:ext>
          </c:extLst>
        </c:ser>
        <c:ser>
          <c:idx val="5"/>
          <c:order val="5"/>
          <c:tx>
            <c:strRef>
              <c:f>'[STABILIREA PRINCIPALELOR OBIECTIVE DE DEZVOLTARE ALE SECTORULUI 2 PENTRU PERIOADA 2021 - 2027. Consultarea Primăriei Sectorului 2 București..xlsx]Question 12'!$G$38</c:f>
              <c:strCache>
                <c:ptCount val="1"/>
                <c:pt idx="0">
                  <c:v>Nu știu</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12'!$A$39:$A$44</c:f>
              <c:strCache>
                <c:ptCount val="6"/>
                <c:pt idx="0">
                  <c:v>Calculatoare tip desktop</c:v>
                </c:pt>
                <c:pt idx="1">
                  <c:v>Calculatoare portabile (laptop)</c:v>
                </c:pt>
                <c:pt idx="2">
                  <c:v>Imprimante</c:v>
                </c:pt>
                <c:pt idx="3">
                  <c:v>Multifuncționale copiere/imprimare</c:v>
                </c:pt>
                <c:pt idx="4">
                  <c:v>Servere sau unități de stocare date/înregistrări</c:v>
                </c:pt>
                <c:pt idx="5">
                  <c:v>Sisteme de operare (de ex. Windows)</c:v>
                </c:pt>
              </c:strCache>
            </c:strRef>
          </c:cat>
          <c:val>
            <c:numRef>
              <c:f>'[STABILIREA PRINCIPALELOR OBIECTIVE DE DEZVOLTARE ALE SECTORULUI 2 PENTRU PERIOADA 2021 - 2027. Consultarea Primăriei Sectorului 2 București..xlsx]Question 12'!$G$39:$G$44</c:f>
              <c:numCache>
                <c:formatCode>0.0%</c:formatCode>
                <c:ptCount val="6"/>
                <c:pt idx="0">
                  <c:v>0.35110000000000002</c:v>
                </c:pt>
                <c:pt idx="1">
                  <c:v>0.50919999999999999</c:v>
                </c:pt>
                <c:pt idx="2">
                  <c:v>0.36820000000000003</c:v>
                </c:pt>
                <c:pt idx="3">
                  <c:v>0.37390000000000001</c:v>
                </c:pt>
                <c:pt idx="4">
                  <c:v>0.56950000000000001</c:v>
                </c:pt>
                <c:pt idx="5">
                  <c:v>0.44340000000000002</c:v>
                </c:pt>
              </c:numCache>
            </c:numRef>
          </c:val>
          <c:extLst>
            <c:ext xmlns:c16="http://schemas.microsoft.com/office/drawing/2014/chart" uri="{C3380CC4-5D6E-409C-BE32-E72D297353CC}">
              <c16:uniqueId val="{00000005-6B00-47C7-BC10-9218C4D6A9ED}"/>
            </c:ext>
          </c:extLst>
        </c:ser>
        <c:dLbls>
          <c:dLblPos val="ctr"/>
          <c:showLegendKey val="0"/>
          <c:showVal val="1"/>
          <c:showCatName val="0"/>
          <c:showSerName val="0"/>
          <c:showPercent val="0"/>
          <c:showBubbleSize val="0"/>
        </c:dLbls>
        <c:gapWidth val="100"/>
        <c:overlap val="100"/>
        <c:axId val="237934080"/>
        <c:axId val="237890944"/>
      </c:barChart>
      <c:catAx>
        <c:axId val="237934080"/>
        <c:scaling>
          <c:orientation val="minMax"/>
        </c:scaling>
        <c:delete val="0"/>
        <c:axPos val="l"/>
        <c:numFmt formatCode="General" sourceLinked="0"/>
        <c:majorTickMark val="none"/>
        <c:minorTickMark val="none"/>
        <c:tickLblPos val="nextTo"/>
        <c:crossAx val="237890944"/>
        <c:crosses val="autoZero"/>
        <c:auto val="1"/>
        <c:lblAlgn val="ctr"/>
        <c:lblOffset val="100"/>
        <c:noMultiLvlLbl val="0"/>
      </c:catAx>
      <c:valAx>
        <c:axId val="237890944"/>
        <c:scaling>
          <c:orientation val="minMax"/>
        </c:scaling>
        <c:delete val="1"/>
        <c:axPos val="b"/>
        <c:numFmt formatCode="0%" sourceLinked="1"/>
        <c:majorTickMark val="out"/>
        <c:minorTickMark val="none"/>
        <c:tickLblPos val="nextTo"/>
        <c:crossAx val="237934080"/>
        <c:crosses val="autoZero"/>
        <c:crossBetween val="between"/>
      </c:valAx>
    </c:plotArea>
    <c:legend>
      <c:legendPos val="b"/>
      <c:layout>
        <c:manualLayout>
          <c:xMode val="edge"/>
          <c:yMode val="edge"/>
          <c:x val="0"/>
          <c:y val="0.81147309711286086"/>
          <c:w val="0.99892376322723742"/>
          <c:h val="0.12086151073152106"/>
        </c:manualLayout>
      </c:layout>
      <c:overlay val="0"/>
    </c:legend>
    <c:plotVisOnly val="1"/>
    <c:dispBlanksAs val="gap"/>
    <c:showDLblsOverMax val="0"/>
  </c:chart>
  <c:spPr>
    <a:ln>
      <a:noFill/>
    </a:ln>
  </c:spPr>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'[STABILIREA PRINCIPALELOR OBIECTIVE DE DEZVOLTARE ALE SECTORULUI 2 PENTRU PERIOADA 2021 - 2027. Consultarea Primăriei Sectorului 2 București..xlsx]Question 13'!$B$32</c:f>
              <c:strCache>
                <c:ptCount val="1"/>
                <c:pt idx="0">
                  <c:v>Foarte bună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13'!$A$33:$A$37</c:f>
              <c:strCache>
                <c:ptCount val="5"/>
                <c:pt idx="0">
                  <c:v>Sisteme de operare Windows</c:v>
                </c:pt>
                <c:pt idx="1">
                  <c:v>Sisteme de editare text (Word, Excel, Power Point, etc.)</c:v>
                </c:pt>
                <c:pt idx="2">
                  <c:v>Servicii de navigare pe Internet</c:v>
                </c:pt>
                <c:pt idx="3">
                  <c:v>Aplicații pentru telefoane inteligente</c:v>
                </c:pt>
                <c:pt idx="4">
                  <c:v>Utilizarea echipamentelor de copiere/imprimare/scanare documente</c:v>
                </c:pt>
              </c:strCache>
            </c:strRef>
          </c:cat>
          <c:val>
            <c:numRef>
              <c:f>'[STABILIREA PRINCIPALELOR OBIECTIVE DE DEZVOLTARE ALE SECTORULUI 2 PENTRU PERIOADA 2021 - 2027. Consultarea Primăriei Sectorului 2 București..xlsx]Question 13'!$B$33:$B$37</c:f>
              <c:numCache>
                <c:formatCode>0.0%</c:formatCode>
                <c:ptCount val="5"/>
                <c:pt idx="0">
                  <c:v>0.31109999999999999</c:v>
                </c:pt>
                <c:pt idx="1">
                  <c:v>0.31559999999999999</c:v>
                </c:pt>
                <c:pt idx="2">
                  <c:v>0.4178</c:v>
                </c:pt>
                <c:pt idx="3">
                  <c:v>0.29780000000000001</c:v>
                </c:pt>
                <c:pt idx="4">
                  <c:v>0.36890000000000001</c:v>
                </c:pt>
              </c:numCache>
            </c:numRef>
          </c:val>
          <c:extLst>
            <c:ext xmlns:c16="http://schemas.microsoft.com/office/drawing/2014/chart" uri="{C3380CC4-5D6E-409C-BE32-E72D297353CC}">
              <c16:uniqueId val="{00000000-C8AE-486C-B8B1-0DC53C4B3F40}"/>
            </c:ext>
          </c:extLst>
        </c:ser>
        <c:ser>
          <c:idx val="1"/>
          <c:order val="1"/>
          <c:tx>
            <c:strRef>
              <c:f>'[STABILIREA PRINCIPALELOR OBIECTIVE DE DEZVOLTARE ALE SECTORULUI 2 PENTRU PERIOADA 2021 - 2027. Consultarea Primăriei Sectorului 2 București..xlsx]Question 13'!$C$32</c:f>
              <c:strCache>
                <c:ptCount val="1"/>
                <c:pt idx="0">
                  <c:v>Bună</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13'!$A$33:$A$37</c:f>
              <c:strCache>
                <c:ptCount val="5"/>
                <c:pt idx="0">
                  <c:v>Sisteme de operare Windows</c:v>
                </c:pt>
                <c:pt idx="1">
                  <c:v>Sisteme de editare text (Word, Excel, Power Point, etc.)</c:v>
                </c:pt>
                <c:pt idx="2">
                  <c:v>Servicii de navigare pe Internet</c:v>
                </c:pt>
                <c:pt idx="3">
                  <c:v>Aplicații pentru telefoane inteligente</c:v>
                </c:pt>
                <c:pt idx="4">
                  <c:v>Utilizarea echipamentelor de copiere/imprimare/scanare documente</c:v>
                </c:pt>
              </c:strCache>
            </c:strRef>
          </c:cat>
          <c:val>
            <c:numRef>
              <c:f>'[STABILIREA PRINCIPALELOR OBIECTIVE DE DEZVOLTARE ALE SECTORULUI 2 PENTRU PERIOADA 2021 - 2027. Consultarea Primăriei Sectorului 2 București..xlsx]Question 13'!$C$33:$C$37</c:f>
              <c:numCache>
                <c:formatCode>0.0%</c:formatCode>
                <c:ptCount val="5"/>
                <c:pt idx="0">
                  <c:v>0.5867</c:v>
                </c:pt>
                <c:pt idx="1">
                  <c:v>0.55559999999999998</c:v>
                </c:pt>
                <c:pt idx="2">
                  <c:v>0.48</c:v>
                </c:pt>
                <c:pt idx="3">
                  <c:v>0.43559999999999999</c:v>
                </c:pt>
                <c:pt idx="4">
                  <c:v>0.49780000000000002</c:v>
                </c:pt>
              </c:numCache>
            </c:numRef>
          </c:val>
          <c:extLst>
            <c:ext xmlns:c16="http://schemas.microsoft.com/office/drawing/2014/chart" uri="{C3380CC4-5D6E-409C-BE32-E72D297353CC}">
              <c16:uniqueId val="{00000001-C8AE-486C-B8B1-0DC53C4B3F40}"/>
            </c:ext>
          </c:extLst>
        </c:ser>
        <c:ser>
          <c:idx val="2"/>
          <c:order val="2"/>
          <c:tx>
            <c:strRef>
              <c:f>'[STABILIREA PRINCIPALELOR OBIECTIVE DE DEZVOLTARE ALE SECTORULUI 2 PENTRU PERIOADA 2021 - 2027. Consultarea Primăriei Sectorului 2 București..xlsx]Question 13'!$D$32</c:f>
              <c:strCache>
                <c:ptCount val="1"/>
                <c:pt idx="0">
                  <c:v>Mai puțin bună</c:v>
                </c:pt>
              </c:strCache>
            </c:strRef>
          </c:tx>
          <c:invertIfNegative val="0"/>
          <c:dLbls>
            <c:delete val="1"/>
          </c:dLbls>
          <c:cat>
            <c:strRef>
              <c:f>'[STABILIREA PRINCIPALELOR OBIECTIVE DE DEZVOLTARE ALE SECTORULUI 2 PENTRU PERIOADA 2021 - 2027. Consultarea Primăriei Sectorului 2 București..xlsx]Question 13'!$A$33:$A$37</c:f>
              <c:strCache>
                <c:ptCount val="5"/>
                <c:pt idx="0">
                  <c:v>Sisteme de operare Windows</c:v>
                </c:pt>
                <c:pt idx="1">
                  <c:v>Sisteme de editare text (Word, Excel, Power Point, etc.)</c:v>
                </c:pt>
                <c:pt idx="2">
                  <c:v>Servicii de navigare pe Internet</c:v>
                </c:pt>
                <c:pt idx="3">
                  <c:v>Aplicații pentru telefoane inteligente</c:v>
                </c:pt>
                <c:pt idx="4">
                  <c:v>Utilizarea echipamentelor de copiere/imprimare/scanare documente</c:v>
                </c:pt>
              </c:strCache>
            </c:strRef>
          </c:cat>
          <c:val>
            <c:numRef>
              <c:f>'[STABILIREA PRINCIPALELOR OBIECTIVE DE DEZVOLTARE ALE SECTORULUI 2 PENTRU PERIOADA 2021 - 2027. Consultarea Primăriei Sectorului 2 București..xlsx]Question 13'!$D$33:$D$37</c:f>
              <c:numCache>
                <c:formatCode>0.0%</c:formatCode>
                <c:ptCount val="5"/>
                <c:pt idx="0">
                  <c:v>2.2200000000000001E-2</c:v>
                </c:pt>
                <c:pt idx="1">
                  <c:v>0.04</c:v>
                </c:pt>
                <c:pt idx="2">
                  <c:v>1.78E-2</c:v>
                </c:pt>
                <c:pt idx="3">
                  <c:v>6.6699999999999995E-2</c:v>
                </c:pt>
                <c:pt idx="4">
                  <c:v>4.8899999999999999E-2</c:v>
                </c:pt>
              </c:numCache>
            </c:numRef>
          </c:val>
          <c:extLst>
            <c:ext xmlns:c16="http://schemas.microsoft.com/office/drawing/2014/chart" uri="{C3380CC4-5D6E-409C-BE32-E72D297353CC}">
              <c16:uniqueId val="{00000002-C8AE-486C-B8B1-0DC53C4B3F40}"/>
            </c:ext>
          </c:extLst>
        </c:ser>
        <c:ser>
          <c:idx val="3"/>
          <c:order val="3"/>
          <c:tx>
            <c:strRef>
              <c:f>'[STABILIREA PRINCIPALELOR OBIECTIVE DE DEZVOLTARE ALE SECTORULUI 2 PENTRU PERIOADA 2021 - 2027. Consultarea Primăriei Sectorului 2 București..xlsx]Question 13'!$E$32</c:f>
              <c:strCache>
                <c:ptCount val="1"/>
                <c:pt idx="0">
                  <c:v>Deloc bună</c:v>
                </c:pt>
              </c:strCache>
            </c:strRef>
          </c:tx>
          <c:invertIfNegative val="0"/>
          <c:dLbls>
            <c:delete val="1"/>
          </c:dLbls>
          <c:cat>
            <c:strRef>
              <c:f>'[STABILIREA PRINCIPALELOR OBIECTIVE DE DEZVOLTARE ALE SECTORULUI 2 PENTRU PERIOADA 2021 - 2027. Consultarea Primăriei Sectorului 2 București..xlsx]Question 13'!$A$33:$A$37</c:f>
              <c:strCache>
                <c:ptCount val="5"/>
                <c:pt idx="0">
                  <c:v>Sisteme de operare Windows</c:v>
                </c:pt>
                <c:pt idx="1">
                  <c:v>Sisteme de editare text (Word, Excel, Power Point, etc.)</c:v>
                </c:pt>
                <c:pt idx="2">
                  <c:v>Servicii de navigare pe Internet</c:v>
                </c:pt>
                <c:pt idx="3">
                  <c:v>Aplicații pentru telefoane inteligente</c:v>
                </c:pt>
                <c:pt idx="4">
                  <c:v>Utilizarea echipamentelor de copiere/imprimare/scanare documente</c:v>
                </c:pt>
              </c:strCache>
            </c:strRef>
          </c:cat>
          <c:val>
            <c:numRef>
              <c:f>'[STABILIREA PRINCIPALELOR OBIECTIVE DE DEZVOLTARE ALE SECTORULUI 2 PENTRU PERIOADA 2021 - 2027. Consultarea Primăriei Sectorului 2 București..xlsx]Question 13'!$E$33:$E$37</c:f>
              <c:numCache>
                <c:formatCode>0.0%</c:formatCode>
                <c:ptCount val="5"/>
                <c:pt idx="0">
                  <c:v>8.8999999999999999E-3</c:v>
                </c:pt>
                <c:pt idx="1">
                  <c:v>1.78E-2</c:v>
                </c:pt>
                <c:pt idx="2">
                  <c:v>4.4000000000000003E-3</c:v>
                </c:pt>
                <c:pt idx="3">
                  <c:v>4.4000000000000003E-3</c:v>
                </c:pt>
                <c:pt idx="4">
                  <c:v>8.8999999999999999E-3</c:v>
                </c:pt>
              </c:numCache>
            </c:numRef>
          </c:val>
          <c:extLst>
            <c:ext xmlns:c16="http://schemas.microsoft.com/office/drawing/2014/chart" uri="{C3380CC4-5D6E-409C-BE32-E72D297353CC}">
              <c16:uniqueId val="{00000003-C8AE-486C-B8B1-0DC53C4B3F40}"/>
            </c:ext>
          </c:extLst>
        </c:ser>
        <c:ser>
          <c:idx val="4"/>
          <c:order val="4"/>
          <c:tx>
            <c:strRef>
              <c:f>'[STABILIREA PRINCIPALELOR OBIECTIVE DE DEZVOLTARE ALE SECTORULUI 2 PENTRU PERIOADA 2021 - 2027. Consultarea Primăriei Sectorului 2 București..xlsx]Question 13'!$F$32</c:f>
              <c:strCache>
                <c:ptCount val="1"/>
                <c:pt idx="0">
                  <c:v>Nu este cazul</c:v>
                </c:pt>
              </c:strCache>
            </c:strRef>
          </c:tx>
          <c:invertIfNegative val="0"/>
          <c:dLbls>
            <c:delete val="1"/>
          </c:dLbls>
          <c:cat>
            <c:strRef>
              <c:f>'[STABILIREA PRINCIPALELOR OBIECTIVE DE DEZVOLTARE ALE SECTORULUI 2 PENTRU PERIOADA 2021 - 2027. Consultarea Primăriei Sectorului 2 București..xlsx]Question 13'!$A$33:$A$37</c:f>
              <c:strCache>
                <c:ptCount val="5"/>
                <c:pt idx="0">
                  <c:v>Sisteme de operare Windows</c:v>
                </c:pt>
                <c:pt idx="1">
                  <c:v>Sisteme de editare text (Word, Excel, Power Point, etc.)</c:v>
                </c:pt>
                <c:pt idx="2">
                  <c:v>Servicii de navigare pe Internet</c:v>
                </c:pt>
                <c:pt idx="3">
                  <c:v>Aplicații pentru telefoane inteligente</c:v>
                </c:pt>
                <c:pt idx="4">
                  <c:v>Utilizarea echipamentelor de copiere/imprimare/scanare documente</c:v>
                </c:pt>
              </c:strCache>
            </c:strRef>
          </c:cat>
          <c:val>
            <c:numRef>
              <c:f>'[STABILIREA PRINCIPALELOR OBIECTIVE DE DEZVOLTARE ALE SECTORULUI 2 PENTRU PERIOADA 2021 - 2027. Consultarea Primăriei Sectorului 2 București..xlsx]Question 13'!$F$33:$F$37</c:f>
              <c:numCache>
                <c:formatCode>0.0%</c:formatCode>
                <c:ptCount val="5"/>
                <c:pt idx="0">
                  <c:v>2.6700000000000002E-2</c:v>
                </c:pt>
                <c:pt idx="1">
                  <c:v>3.1099999999999999E-2</c:v>
                </c:pt>
                <c:pt idx="2">
                  <c:v>0.04</c:v>
                </c:pt>
                <c:pt idx="3">
                  <c:v>0.11559999999999999</c:v>
                </c:pt>
                <c:pt idx="4">
                  <c:v>3.1099999999999999E-2</c:v>
                </c:pt>
              </c:numCache>
            </c:numRef>
          </c:val>
          <c:extLst>
            <c:ext xmlns:c16="http://schemas.microsoft.com/office/drawing/2014/chart" uri="{C3380CC4-5D6E-409C-BE32-E72D297353CC}">
              <c16:uniqueId val="{00000004-C8AE-486C-B8B1-0DC53C4B3F40}"/>
            </c:ext>
          </c:extLst>
        </c:ser>
        <c:ser>
          <c:idx val="5"/>
          <c:order val="5"/>
          <c:tx>
            <c:strRef>
              <c:f>'[STABILIREA PRINCIPALELOR OBIECTIVE DE DEZVOLTARE ALE SECTORULUI 2 PENTRU PERIOADA 2021 - 2027. Consultarea Primăriei Sectorului 2 București..xlsx]Question 13'!$G$32</c:f>
              <c:strCache>
                <c:ptCount val="1"/>
                <c:pt idx="0">
                  <c:v>Nu știu</c:v>
                </c:pt>
              </c:strCache>
            </c:strRef>
          </c:tx>
          <c:invertIfNegative val="0"/>
          <c:dLbls>
            <c:delete val="1"/>
          </c:dLbls>
          <c:cat>
            <c:strRef>
              <c:f>'[STABILIREA PRINCIPALELOR OBIECTIVE DE DEZVOLTARE ALE SECTORULUI 2 PENTRU PERIOADA 2021 - 2027. Consultarea Primăriei Sectorului 2 București..xlsx]Question 13'!$A$33:$A$37</c:f>
              <c:strCache>
                <c:ptCount val="5"/>
                <c:pt idx="0">
                  <c:v>Sisteme de operare Windows</c:v>
                </c:pt>
                <c:pt idx="1">
                  <c:v>Sisteme de editare text (Word, Excel, Power Point, etc.)</c:v>
                </c:pt>
                <c:pt idx="2">
                  <c:v>Servicii de navigare pe Internet</c:v>
                </c:pt>
                <c:pt idx="3">
                  <c:v>Aplicații pentru telefoane inteligente</c:v>
                </c:pt>
                <c:pt idx="4">
                  <c:v>Utilizarea echipamentelor de copiere/imprimare/scanare documente</c:v>
                </c:pt>
              </c:strCache>
            </c:strRef>
          </c:cat>
          <c:val>
            <c:numRef>
              <c:f>'[STABILIREA PRINCIPALELOR OBIECTIVE DE DEZVOLTARE ALE SECTORULUI 2 PENTRU PERIOADA 2021 - 2027. Consultarea Primăriei Sectorului 2 București..xlsx]Question 13'!$G$33:$G$37</c:f>
              <c:numCache>
                <c:formatCode>0.0%</c:formatCode>
                <c:ptCount val="5"/>
                <c:pt idx="0">
                  <c:v>4.4400000000000002E-2</c:v>
                </c:pt>
                <c:pt idx="1">
                  <c:v>0.04</c:v>
                </c:pt>
                <c:pt idx="2">
                  <c:v>0.04</c:v>
                </c:pt>
                <c:pt idx="3">
                  <c:v>0.08</c:v>
                </c:pt>
                <c:pt idx="4">
                  <c:v>4.4400000000000002E-2</c:v>
                </c:pt>
              </c:numCache>
            </c:numRef>
          </c:val>
          <c:extLst>
            <c:ext xmlns:c16="http://schemas.microsoft.com/office/drawing/2014/chart" uri="{C3380CC4-5D6E-409C-BE32-E72D297353CC}">
              <c16:uniqueId val="{00000005-C8AE-486C-B8B1-0DC53C4B3F40}"/>
            </c:ext>
          </c:extLst>
        </c:ser>
        <c:dLbls>
          <c:dLblPos val="ctr"/>
          <c:showLegendKey val="0"/>
          <c:showVal val="1"/>
          <c:showCatName val="0"/>
          <c:showSerName val="0"/>
          <c:showPercent val="0"/>
          <c:showBubbleSize val="0"/>
        </c:dLbls>
        <c:gapWidth val="150"/>
        <c:overlap val="100"/>
        <c:axId val="237935104"/>
        <c:axId val="237892672"/>
      </c:barChart>
      <c:catAx>
        <c:axId val="237935104"/>
        <c:scaling>
          <c:orientation val="minMax"/>
        </c:scaling>
        <c:delete val="0"/>
        <c:axPos val="l"/>
        <c:numFmt formatCode="General" sourceLinked="0"/>
        <c:majorTickMark val="none"/>
        <c:minorTickMark val="none"/>
        <c:tickLblPos val="nextTo"/>
        <c:crossAx val="237892672"/>
        <c:crosses val="autoZero"/>
        <c:auto val="1"/>
        <c:lblAlgn val="ctr"/>
        <c:lblOffset val="100"/>
        <c:noMultiLvlLbl val="0"/>
      </c:catAx>
      <c:valAx>
        <c:axId val="237892672"/>
        <c:scaling>
          <c:orientation val="minMax"/>
        </c:scaling>
        <c:delete val="1"/>
        <c:axPos val="b"/>
        <c:numFmt formatCode="0%" sourceLinked="1"/>
        <c:majorTickMark val="out"/>
        <c:minorTickMark val="none"/>
        <c:tickLblPos val="nextTo"/>
        <c:crossAx val="23793510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'[STABILIREA PRINCIPALELOR OBIECTIVE DE DEZVOLTARE ALE SECTORULUI 2 PENTRU PERIOADA 2021 - 2027. Consultarea Primăriei Sectorului 2 București..xlsx]Question 14'!$A$4:$A$6</c:f>
              <c:strCache>
                <c:ptCount val="3"/>
                <c:pt idx="0">
                  <c:v>Da</c:v>
                </c:pt>
                <c:pt idx="1">
                  <c:v>Nu</c:v>
                </c:pt>
                <c:pt idx="2">
                  <c:v>Nu știu</c:v>
                </c:pt>
              </c:strCache>
            </c:strRef>
          </c:cat>
          <c:val>
            <c:numRef>
              <c:f>'[STABILIREA PRINCIPALELOR OBIECTIVE DE DEZVOLTARE ALE SECTORULUI 2 PENTRU PERIOADA 2021 - 2027. Consultarea Primăriei Sectorului 2 București..xlsx]Question 14'!$B$4:$B$6</c:f>
              <c:numCache>
                <c:formatCode>0.0%</c:formatCode>
                <c:ptCount val="3"/>
                <c:pt idx="0">
                  <c:v>0.36</c:v>
                </c:pt>
                <c:pt idx="1">
                  <c:v>3.1099999999999999E-2</c:v>
                </c:pt>
                <c:pt idx="2">
                  <c:v>0.6089</c:v>
                </c:pt>
              </c:numCache>
            </c:numRef>
          </c:val>
          <c:extLst>
            <c:ext xmlns:c16="http://schemas.microsoft.com/office/drawing/2014/chart" uri="{C3380CC4-5D6E-409C-BE32-E72D297353CC}">
              <c16:uniqueId val="{00000000-6A18-4695-A4E5-CF835636F114}"/>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'[STABILIREA PRINCIPALELOR OBIECTIVE DE DEZVOLTARE ALE SECTORULUI 2 PENTRU PERIOADA 2021 - 2027. Consultarea Primăriei Sectorului 2 București..xlsx]Question 15'!$B$3</c:f>
              <c:strCache>
                <c:ptCount val="1"/>
                <c:pt idx="0">
                  <c:v>Responses</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15'!$A$4:$A$9</c:f>
              <c:strCache>
                <c:ptCount val="6"/>
                <c:pt idx="0">
                  <c:v>Mare</c:v>
                </c:pt>
                <c:pt idx="1">
                  <c:v>Mic</c:v>
                </c:pt>
                <c:pt idx="2">
                  <c:v>Prefer să nu răspund</c:v>
                </c:pt>
                <c:pt idx="3">
                  <c:v>Foarte Mare</c:v>
                </c:pt>
                <c:pt idx="4">
                  <c:v>Foarte mic</c:v>
                </c:pt>
                <c:pt idx="5">
                  <c:v>Inexistent</c:v>
                </c:pt>
              </c:strCache>
            </c:strRef>
          </c:cat>
          <c:val>
            <c:numRef>
              <c:f>'[STABILIREA PRINCIPALELOR OBIECTIVE DE DEZVOLTARE ALE SECTORULUI 2 PENTRU PERIOADA 2021 - 2027. Consultarea Primăriei Sectorului 2 București..xlsx]Question 15'!$B$4:$B$9</c:f>
              <c:numCache>
                <c:formatCode>0.0%</c:formatCode>
                <c:ptCount val="6"/>
                <c:pt idx="0">
                  <c:v>0.44640000000000002</c:v>
                </c:pt>
                <c:pt idx="1">
                  <c:v>0.2054</c:v>
                </c:pt>
                <c:pt idx="2">
                  <c:v>0.16520000000000001</c:v>
                </c:pt>
                <c:pt idx="3">
                  <c:v>0.1429</c:v>
                </c:pt>
                <c:pt idx="4">
                  <c:v>2.6800000000000001E-2</c:v>
                </c:pt>
                <c:pt idx="5">
                  <c:v>1.34E-2</c:v>
                </c:pt>
              </c:numCache>
            </c:numRef>
          </c:val>
          <c:extLst>
            <c:ext xmlns:c16="http://schemas.microsoft.com/office/drawing/2014/chart" uri="{C3380CC4-5D6E-409C-BE32-E72D297353CC}">
              <c16:uniqueId val="{00000000-57AB-4E09-8BF7-5301D782EFE9}"/>
            </c:ext>
          </c:extLst>
        </c:ser>
        <c:dLbls>
          <c:dLblPos val="outEnd"/>
          <c:showLegendKey val="0"/>
          <c:showVal val="1"/>
          <c:showCatName val="0"/>
          <c:showSerName val="0"/>
          <c:showPercent val="0"/>
          <c:showBubbleSize val="0"/>
        </c:dLbls>
        <c:gapWidth val="150"/>
        <c:axId val="237933568"/>
        <c:axId val="238469120"/>
      </c:barChart>
      <c:valAx>
        <c:axId val="238469120"/>
        <c:scaling>
          <c:orientation val="minMax"/>
        </c:scaling>
        <c:delete val="1"/>
        <c:axPos val="b"/>
        <c:numFmt formatCode="0.0%" sourceLinked="1"/>
        <c:majorTickMark val="out"/>
        <c:minorTickMark val="none"/>
        <c:tickLblPos val="nextTo"/>
        <c:crossAx val="237933568"/>
        <c:crosses val="autoZero"/>
        <c:crossBetween val="between"/>
      </c:valAx>
      <c:catAx>
        <c:axId val="237933568"/>
        <c:scaling>
          <c:orientation val="minMax"/>
        </c:scaling>
        <c:delete val="0"/>
        <c:axPos val="l"/>
        <c:numFmt formatCode="General" sourceLinked="0"/>
        <c:majorTickMark val="none"/>
        <c:minorTickMark val="none"/>
        <c:tickLblPos val="nextTo"/>
        <c:crossAx val="238469120"/>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'[STABILIREA PRINCIPALELOR OBIECTIVE DE DEZVOLTARE ALE SECTORULUI 2 PENTRU PERIOADA 2021 - 2027. Consultarea Primăriei Sectorului 2 București..xlsx]Question 16'!$B$3</c:f>
              <c:strCache>
                <c:ptCount val="1"/>
                <c:pt idx="0">
                  <c:v>Responses</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16'!$A$4:$A$9</c:f>
              <c:strCache>
                <c:ptCount val="6"/>
                <c:pt idx="0">
                  <c:v>Mare</c:v>
                </c:pt>
                <c:pt idx="1">
                  <c:v>Foarte Mare</c:v>
                </c:pt>
                <c:pt idx="2">
                  <c:v>Mic</c:v>
                </c:pt>
                <c:pt idx="3">
                  <c:v>Prefer să nu răspund</c:v>
                </c:pt>
                <c:pt idx="4">
                  <c:v>Foarte mic</c:v>
                </c:pt>
                <c:pt idx="5">
                  <c:v>Inexistent</c:v>
                </c:pt>
              </c:strCache>
            </c:strRef>
          </c:cat>
          <c:val>
            <c:numRef>
              <c:f>'[STABILIREA PRINCIPALELOR OBIECTIVE DE DEZVOLTARE ALE SECTORULUI 2 PENTRU PERIOADA 2021 - 2027. Consultarea Primăriei Sectorului 2 București..xlsx]Question 16'!$B$4:$B$9</c:f>
              <c:numCache>
                <c:formatCode>0.0%</c:formatCode>
                <c:ptCount val="6"/>
                <c:pt idx="0">
                  <c:v>0.50670000000000004</c:v>
                </c:pt>
                <c:pt idx="1">
                  <c:v>0.1704</c:v>
                </c:pt>
                <c:pt idx="2">
                  <c:v>0.1525</c:v>
                </c:pt>
                <c:pt idx="3">
                  <c:v>0.1211</c:v>
                </c:pt>
                <c:pt idx="4">
                  <c:v>4.4800000000000013E-2</c:v>
                </c:pt>
                <c:pt idx="5">
                  <c:v>4.5000000000000014E-3</c:v>
                </c:pt>
              </c:numCache>
            </c:numRef>
          </c:val>
          <c:extLst>
            <c:ext xmlns:c16="http://schemas.microsoft.com/office/drawing/2014/chart" uri="{C3380CC4-5D6E-409C-BE32-E72D297353CC}">
              <c16:uniqueId val="{00000000-CCAA-49A6-9C13-DF33677C1E6E}"/>
            </c:ext>
          </c:extLst>
        </c:ser>
        <c:dLbls>
          <c:dLblPos val="outEnd"/>
          <c:showLegendKey val="0"/>
          <c:showVal val="1"/>
          <c:showCatName val="0"/>
          <c:showSerName val="0"/>
          <c:showPercent val="0"/>
          <c:showBubbleSize val="0"/>
        </c:dLbls>
        <c:gapWidth val="93"/>
        <c:axId val="237936128"/>
        <c:axId val="238470848"/>
      </c:barChart>
      <c:valAx>
        <c:axId val="238470848"/>
        <c:scaling>
          <c:orientation val="minMax"/>
        </c:scaling>
        <c:delete val="1"/>
        <c:axPos val="b"/>
        <c:numFmt formatCode="0.0%" sourceLinked="1"/>
        <c:majorTickMark val="out"/>
        <c:minorTickMark val="none"/>
        <c:tickLblPos val="nextTo"/>
        <c:crossAx val="237936128"/>
        <c:crosses val="autoZero"/>
        <c:crossBetween val="between"/>
      </c:valAx>
      <c:catAx>
        <c:axId val="237936128"/>
        <c:scaling>
          <c:orientation val="minMax"/>
        </c:scaling>
        <c:delete val="0"/>
        <c:axPos val="l"/>
        <c:numFmt formatCode="General" sourceLinked="0"/>
        <c:majorTickMark val="none"/>
        <c:minorTickMark val="none"/>
        <c:tickLblPos val="nextTo"/>
        <c:crossAx val="238470848"/>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'[STABILIREA PRINCIPALELOR OBIECTIVE DE DEZVOLTARE ALE SECTORULUI 2 PENTRU PERIOADA 2021 - 2027. Consultarea Primăriei Sectorului 2 București..xlsx]Question 17'!$B$3</c:f>
              <c:strCache>
                <c:ptCount val="1"/>
                <c:pt idx="0">
                  <c:v>Responses</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17'!$A$4:$A$9</c:f>
              <c:strCache>
                <c:ptCount val="6"/>
                <c:pt idx="0">
                  <c:v>Mare</c:v>
                </c:pt>
                <c:pt idx="1">
                  <c:v>Foarte Mare</c:v>
                </c:pt>
                <c:pt idx="2">
                  <c:v>Mic</c:v>
                </c:pt>
                <c:pt idx="3">
                  <c:v>Prefer să nu răspund</c:v>
                </c:pt>
                <c:pt idx="4">
                  <c:v>Foarte mic</c:v>
                </c:pt>
                <c:pt idx="5">
                  <c:v>Inexistent</c:v>
                </c:pt>
              </c:strCache>
            </c:strRef>
          </c:cat>
          <c:val>
            <c:numRef>
              <c:f>'[STABILIREA PRINCIPALELOR OBIECTIVE DE DEZVOLTARE ALE SECTORULUI 2 PENTRU PERIOADA 2021 - 2027. Consultarea Primăriei Sectorului 2 București..xlsx]Question 17'!$B$4:$B$9</c:f>
              <c:numCache>
                <c:formatCode>0.00%</c:formatCode>
                <c:ptCount val="6"/>
                <c:pt idx="0">
                  <c:v>0.50219999999999998</c:v>
                </c:pt>
                <c:pt idx="1">
                  <c:v>0.18390000000000001</c:v>
                </c:pt>
                <c:pt idx="2">
                  <c:v>0.1704</c:v>
                </c:pt>
                <c:pt idx="3">
                  <c:v>9.8699999999999996E-2</c:v>
                </c:pt>
                <c:pt idx="4">
                  <c:v>4.0399999999999998E-2</c:v>
                </c:pt>
                <c:pt idx="5">
                  <c:v>4.5000000000000014E-3</c:v>
                </c:pt>
              </c:numCache>
            </c:numRef>
          </c:val>
          <c:extLst>
            <c:ext xmlns:c16="http://schemas.microsoft.com/office/drawing/2014/chart" uri="{C3380CC4-5D6E-409C-BE32-E72D297353CC}">
              <c16:uniqueId val="{00000000-9850-44F7-8C71-EE091FF02ABC}"/>
            </c:ext>
          </c:extLst>
        </c:ser>
        <c:dLbls>
          <c:dLblPos val="outEnd"/>
          <c:showLegendKey val="0"/>
          <c:showVal val="1"/>
          <c:showCatName val="0"/>
          <c:showSerName val="0"/>
          <c:showPercent val="0"/>
          <c:showBubbleSize val="0"/>
        </c:dLbls>
        <c:gapWidth val="82"/>
        <c:axId val="237081600"/>
        <c:axId val="238472576"/>
      </c:barChart>
      <c:valAx>
        <c:axId val="238472576"/>
        <c:scaling>
          <c:orientation val="minMax"/>
        </c:scaling>
        <c:delete val="1"/>
        <c:axPos val="b"/>
        <c:numFmt formatCode="0.00%" sourceLinked="1"/>
        <c:majorTickMark val="out"/>
        <c:minorTickMark val="none"/>
        <c:tickLblPos val="nextTo"/>
        <c:crossAx val="237081600"/>
        <c:crosses val="autoZero"/>
        <c:crossBetween val="between"/>
      </c:valAx>
      <c:catAx>
        <c:axId val="237081600"/>
        <c:scaling>
          <c:orientation val="minMax"/>
        </c:scaling>
        <c:delete val="0"/>
        <c:axPos val="l"/>
        <c:numFmt formatCode="General" sourceLinked="0"/>
        <c:majorTickMark val="none"/>
        <c:minorTickMark val="none"/>
        <c:tickLblPos val="nextTo"/>
        <c:crossAx val="238472576"/>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18'!$A$58:$A$87</c:f>
              <c:strCache>
                <c:ptCount val="30"/>
                <c:pt idx="0">
                  <c:v>Control, legalitate și conformitate</c:v>
                </c:pt>
                <c:pt idx="1">
                  <c:v>Dezvoltarea abilităților pentru "învățare unii de la alții</c:v>
                </c:pt>
                <c:pt idx="2">
                  <c:v>Dezvoltare personală (managementul timpului, priorităților și stresului, proiectarea rutelor de carieră, dezvoltarea abilităților și competențelor)</c:v>
                </c:pt>
                <c:pt idx="3">
                  <c:v>Etică și integritate</c:v>
                </c:pt>
                <c:pt idx="4">
                  <c:v>Legislație speciﬁcă (funcție publică și alte categorii de personal din sectorul public)</c:v>
                </c:pt>
                <c:pt idx="5">
                  <c:v>Comunicare internă (interdepartamentală) și interpersonală</c:v>
                </c:pt>
                <c:pt idx="6">
                  <c:v>Comunicare și relații cu publicul</c:v>
                </c:pt>
                <c:pt idx="7">
                  <c:v>Inovare în administrație și promovarea bunelor practici</c:v>
                </c:pt>
                <c:pt idx="8">
                  <c:v>Legislație generală (ex. Drept administrativ, Codul administrativ, Cod și procedură penală, Contencios)</c:v>
                </c:pt>
                <c:pt idx="9">
                  <c:v>Leadership și managementul echipei (coaching, gestionarea conﬂictelor, mediere și negociere, bune practici în stabilirea și evaluarea performanțelor)</c:v>
                </c:pt>
                <c:pt idx="10">
                  <c:v>Comunicare publică și imagine instituțională</c:v>
                </c:pt>
                <c:pt idx="11">
                  <c:v>Norme, reglementări și proceduri interne</c:v>
                </c:pt>
                <c:pt idx="12">
                  <c:v>Managementul funcției publice</c:v>
                </c:pt>
                <c:pt idx="13">
                  <c:v>Managementul documentelor și arhivarea</c:v>
                </c:pt>
                <c:pt idx="14">
                  <c:v>Managementul performanței (de la obiective și indicatori, la evaluare și impact)</c:v>
                </c:pt>
                <c:pt idx="15">
                  <c:v>Tehnologia informației și comunicațiilor (TIC) - Formarea abilităților pentru asigurarea resurselor, dezvoltarea de soluții și servicii informatice</c:v>
                </c:pt>
                <c:pt idx="16">
                  <c:v>Sistemul de control managerial intern</c:v>
                </c:pt>
                <c:pt idx="17">
                  <c:v>Utilizarea TIC în construirea și promovarea imaginii instituționale (social media, consultare online, help desk)</c:v>
                </c:pt>
                <c:pt idx="18">
                  <c:v>Managementul riscurilor și crizelor</c:v>
                </c:pt>
                <c:pt idx="19">
                  <c:v>Managementul resurselor umane</c:v>
                </c:pt>
                <c:pt idx="20">
                  <c:v>Metode și instrumente utilizate în managementul operațional</c:v>
                </c:pt>
                <c:pt idx="21">
                  <c:v>Management și comportament organizațional</c:v>
                </c:pt>
                <c:pt idx="22">
                  <c:v>Management strategic și politici publice</c:v>
                </c:pt>
                <c:pt idx="23">
                  <c:v>Management de proiect (scriere, implementare, monitorizare, evaluare)</c:v>
                </c:pt>
                <c:pt idx="24">
                  <c:v>Managementul calității (standarde de calitate, TQM, CAF)</c:v>
                </c:pt>
                <c:pt idx="25">
                  <c:v>Achiziții, contracte și investiții publice</c:v>
                </c:pt>
                <c:pt idx="26">
                  <c:v>Drept comunitar, instituții europene și relații internaționale</c:v>
                </c:pt>
                <c:pt idx="27">
                  <c:v>Contabilitate, ﬁnanțe și control ﬁnanciar-preventiv</c:v>
                </c:pt>
                <c:pt idx="28">
                  <c:v>Audit public intern</c:v>
                </c:pt>
                <c:pt idx="29">
                  <c:v>Management ﬁnanciar în proiecte cu ﬁnanțare externă</c:v>
                </c:pt>
              </c:strCache>
            </c:strRef>
          </c:cat>
          <c:val>
            <c:numRef>
              <c:f>'[STABILIREA PRINCIPALELOR OBIECTIVE DE DEZVOLTARE ALE SECTORULUI 2 PENTRU PERIOADA 2021 - 2027. Consultarea Primăriei Sectorului 2 București..xlsx]Question 18'!$B$58:$B$87</c:f>
              <c:numCache>
                <c:formatCode>General</c:formatCode>
                <c:ptCount val="30"/>
                <c:pt idx="0">
                  <c:v>3.99</c:v>
                </c:pt>
                <c:pt idx="1">
                  <c:v>3.95</c:v>
                </c:pt>
                <c:pt idx="2">
                  <c:v>3.93</c:v>
                </c:pt>
                <c:pt idx="3">
                  <c:v>3.93</c:v>
                </c:pt>
                <c:pt idx="4">
                  <c:v>3.91</c:v>
                </c:pt>
                <c:pt idx="5">
                  <c:v>3.88</c:v>
                </c:pt>
                <c:pt idx="6">
                  <c:v>3.86</c:v>
                </c:pt>
                <c:pt idx="7">
                  <c:v>3.79</c:v>
                </c:pt>
                <c:pt idx="8">
                  <c:v>3.78</c:v>
                </c:pt>
                <c:pt idx="9">
                  <c:v>3.78</c:v>
                </c:pt>
                <c:pt idx="10">
                  <c:v>3.73</c:v>
                </c:pt>
                <c:pt idx="11">
                  <c:v>3.71</c:v>
                </c:pt>
                <c:pt idx="12">
                  <c:v>3.67</c:v>
                </c:pt>
                <c:pt idx="13">
                  <c:v>3.65</c:v>
                </c:pt>
                <c:pt idx="14">
                  <c:v>3.65</c:v>
                </c:pt>
                <c:pt idx="15">
                  <c:v>3.6</c:v>
                </c:pt>
                <c:pt idx="16">
                  <c:v>3.58</c:v>
                </c:pt>
                <c:pt idx="17">
                  <c:v>3.5</c:v>
                </c:pt>
                <c:pt idx="18">
                  <c:v>3.46</c:v>
                </c:pt>
                <c:pt idx="19">
                  <c:v>3.4</c:v>
                </c:pt>
                <c:pt idx="20">
                  <c:v>3.39</c:v>
                </c:pt>
                <c:pt idx="21">
                  <c:v>3.33</c:v>
                </c:pt>
                <c:pt idx="22">
                  <c:v>3.32</c:v>
                </c:pt>
                <c:pt idx="23">
                  <c:v>3.29</c:v>
                </c:pt>
                <c:pt idx="24">
                  <c:v>3.29</c:v>
                </c:pt>
                <c:pt idx="25">
                  <c:v>3.22</c:v>
                </c:pt>
                <c:pt idx="26">
                  <c:v>3.2</c:v>
                </c:pt>
                <c:pt idx="27">
                  <c:v>3.12</c:v>
                </c:pt>
                <c:pt idx="28">
                  <c:v>2.98</c:v>
                </c:pt>
                <c:pt idx="29">
                  <c:v>2.98</c:v>
                </c:pt>
              </c:numCache>
            </c:numRef>
          </c:val>
          <c:extLst>
            <c:ext xmlns:c16="http://schemas.microsoft.com/office/drawing/2014/chart" uri="{C3380CC4-5D6E-409C-BE32-E72D297353CC}">
              <c16:uniqueId val="{00000000-4B20-4803-ACB8-13F009F0015B}"/>
            </c:ext>
          </c:extLst>
        </c:ser>
        <c:dLbls>
          <c:dLblPos val="outEnd"/>
          <c:showLegendKey val="0"/>
          <c:showVal val="1"/>
          <c:showCatName val="0"/>
          <c:showSerName val="0"/>
          <c:showPercent val="0"/>
          <c:showBubbleSize val="0"/>
        </c:dLbls>
        <c:gapWidth val="150"/>
        <c:axId val="238563328"/>
        <c:axId val="238474880"/>
      </c:barChart>
      <c:catAx>
        <c:axId val="238563328"/>
        <c:scaling>
          <c:orientation val="minMax"/>
        </c:scaling>
        <c:delete val="0"/>
        <c:axPos val="l"/>
        <c:numFmt formatCode="General" sourceLinked="0"/>
        <c:majorTickMark val="none"/>
        <c:minorTickMark val="none"/>
        <c:tickLblPos val="nextTo"/>
        <c:txPr>
          <a:bodyPr/>
          <a:lstStyle/>
          <a:p>
            <a:pPr>
              <a:defRPr sz="900"/>
            </a:pPr>
            <a:endParaRPr lang="en-US"/>
          </a:p>
        </c:txPr>
        <c:crossAx val="238474880"/>
        <c:crosses val="autoZero"/>
        <c:auto val="1"/>
        <c:lblAlgn val="ctr"/>
        <c:lblOffset val="100"/>
        <c:noMultiLvlLbl val="0"/>
      </c:catAx>
      <c:valAx>
        <c:axId val="238474880"/>
        <c:scaling>
          <c:orientation val="minMax"/>
        </c:scaling>
        <c:delete val="1"/>
        <c:axPos val="b"/>
        <c:numFmt formatCode="General" sourceLinked="1"/>
        <c:majorTickMark val="out"/>
        <c:minorTickMark val="none"/>
        <c:tickLblPos val="nextTo"/>
        <c:crossAx val="238563328"/>
        <c:crosses val="autoZero"/>
        <c:crossBetween val="between"/>
      </c:valAx>
    </c:plotArea>
    <c:plotVisOnly val="1"/>
    <c:dispBlanksAs val="gap"/>
    <c:showDLblsOverMax val="0"/>
  </c:chart>
  <c:spPr>
    <a:ln>
      <a:noFill/>
    </a:ln>
  </c:spPr>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19'!$A$4:$A$10</c:f>
              <c:strCache>
                <c:ptCount val="7"/>
                <c:pt idx="0">
                  <c:v>Legislație, norme și proceduri</c:v>
                </c:pt>
                <c:pt idx="1">
                  <c:v>Comunicare publică, informare, transparență, relația cu cetățenii</c:v>
                </c:pt>
                <c:pt idx="2">
                  <c:v>Audit, control, calitate</c:v>
                </c:pt>
                <c:pt idx="3">
                  <c:v>Management, proiecte și politici publice</c:v>
                </c:pt>
                <c:pt idx="4">
                  <c:v>T.I.C. (Tehnologia informației și comunicațiilor), competențe digitale, securitate cibernetică</c:v>
                </c:pt>
                <c:pt idx="5">
                  <c:v>Etică, integritate și politici anticorupție</c:v>
                </c:pt>
                <c:pt idx="6">
                  <c:v>Managementul funcției publice și al resurselor umane</c:v>
                </c:pt>
              </c:strCache>
            </c:strRef>
          </c:cat>
          <c:val>
            <c:numRef>
              <c:f>'[STABILIREA PRINCIPALELOR OBIECTIVE DE DEZVOLTARE ALE SECTORULUI 2 PENTRU PERIOADA 2021 - 2027. Consultarea Primăriei Sectorului 2 București..xlsx]Question 19'!$B$4:$B$10</c:f>
              <c:numCache>
                <c:formatCode>0.0%</c:formatCode>
                <c:ptCount val="7"/>
                <c:pt idx="0">
                  <c:v>0.2429</c:v>
                </c:pt>
                <c:pt idx="1">
                  <c:v>0.219</c:v>
                </c:pt>
                <c:pt idx="2">
                  <c:v>0.15240000000000001</c:v>
                </c:pt>
                <c:pt idx="3">
                  <c:v>0.1143</c:v>
                </c:pt>
                <c:pt idx="4">
                  <c:v>0.1095</c:v>
                </c:pt>
                <c:pt idx="5">
                  <c:v>8.5699999999999998E-2</c:v>
                </c:pt>
                <c:pt idx="6">
                  <c:v>7.6200000000000004E-2</c:v>
                </c:pt>
              </c:numCache>
            </c:numRef>
          </c:val>
          <c:extLst>
            <c:ext xmlns:c16="http://schemas.microsoft.com/office/drawing/2014/chart" uri="{C3380CC4-5D6E-409C-BE32-E72D297353CC}">
              <c16:uniqueId val="{00000000-A69B-43DE-8217-AFEF11AEAD55}"/>
            </c:ext>
          </c:extLst>
        </c:ser>
        <c:dLbls>
          <c:dLblPos val="outEnd"/>
          <c:showLegendKey val="0"/>
          <c:showVal val="1"/>
          <c:showCatName val="0"/>
          <c:showSerName val="0"/>
          <c:showPercent val="0"/>
          <c:showBubbleSize val="0"/>
        </c:dLbls>
        <c:gapWidth val="150"/>
        <c:axId val="238564864"/>
        <c:axId val="238476032"/>
      </c:barChart>
      <c:catAx>
        <c:axId val="238564864"/>
        <c:scaling>
          <c:orientation val="minMax"/>
        </c:scaling>
        <c:delete val="0"/>
        <c:axPos val="l"/>
        <c:numFmt formatCode="General" sourceLinked="0"/>
        <c:majorTickMark val="none"/>
        <c:minorTickMark val="none"/>
        <c:tickLblPos val="nextTo"/>
        <c:crossAx val="238476032"/>
        <c:crosses val="autoZero"/>
        <c:auto val="1"/>
        <c:lblAlgn val="ctr"/>
        <c:lblOffset val="100"/>
        <c:noMultiLvlLbl val="0"/>
      </c:catAx>
      <c:valAx>
        <c:axId val="238476032"/>
        <c:scaling>
          <c:orientation val="minMax"/>
        </c:scaling>
        <c:delete val="1"/>
        <c:axPos val="b"/>
        <c:numFmt formatCode="0.0%" sourceLinked="1"/>
        <c:majorTickMark val="out"/>
        <c:minorTickMark val="none"/>
        <c:tickLblPos val="nextTo"/>
        <c:crossAx val="238564864"/>
        <c:crosses val="autoZero"/>
        <c:crossBetween val="between"/>
      </c:valAx>
    </c:plotArea>
    <c:plotVisOnly val="1"/>
    <c:dispBlanksAs val="gap"/>
    <c:showDLblsOverMax val="0"/>
  </c:chart>
  <c:spPr>
    <a:ln>
      <a:noFill/>
    </a:ln>
  </c:spPr>
  <c:externalData r:id="rId1">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numFmt formatCode="0.0%" sourceLinked="0"/>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'[STABILIREA PRINCIPALELOR OBIECTIVE DE DEZVOLTARE ALE SECTORULUI 2 PENTRU PERIOADA 2021 - 2027. Consultarea Primăriei Sectorului 2 București..xlsx]Question 20'!$A$4:$A$7</c:f>
              <c:strCache>
                <c:ptCount val="4"/>
                <c:pt idx="0">
                  <c:v>Da, în totalitate</c:v>
                </c:pt>
                <c:pt idx="1">
                  <c:v>Da, parțial</c:v>
                </c:pt>
                <c:pt idx="2">
                  <c:v>Nu</c:v>
                </c:pt>
                <c:pt idx="3">
                  <c:v>Nu știu</c:v>
                </c:pt>
              </c:strCache>
            </c:strRef>
          </c:cat>
          <c:val>
            <c:numRef>
              <c:f>'[STABILIREA PRINCIPALELOR OBIECTIVE DE DEZVOLTARE ALE SECTORULUI 2 PENTRU PERIOADA 2021 - 2027. Consultarea Primăriei Sectorului 2 București..xlsx]Question 20'!$B$4:$B$7</c:f>
              <c:numCache>
                <c:formatCode>0.00%</c:formatCode>
                <c:ptCount val="4"/>
                <c:pt idx="0">
                  <c:v>0.33329999999999999</c:v>
                </c:pt>
                <c:pt idx="1">
                  <c:v>0.48099999999999998</c:v>
                </c:pt>
                <c:pt idx="2">
                  <c:v>8.5699999999999998E-2</c:v>
                </c:pt>
                <c:pt idx="3">
                  <c:v>0.1</c:v>
                </c:pt>
              </c:numCache>
            </c:numRef>
          </c:val>
          <c:extLst>
            <c:ext xmlns:c16="http://schemas.microsoft.com/office/drawing/2014/chart" uri="{C3380CC4-5D6E-409C-BE32-E72D297353CC}">
              <c16:uniqueId val="{00000000-EA02-46CF-B714-DB9DDCD89A03}"/>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'[STABILIREA PRINCIPALELOR OBIECTIVE DE DEZVOLTARE ALE SECTORULUI 2 PENTRU PERIOADA 2021 - 2027. Consultarea Primăriei Sectorului 2 București..xlsx]Question 21'!$B$3</c:f>
              <c:strCache>
                <c:ptCount val="1"/>
                <c:pt idx="0">
                  <c:v>Responses</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21'!$A$4:$A$11</c:f>
              <c:strCache>
                <c:ptCount val="8"/>
                <c:pt idx="0">
                  <c:v>De durată scurtă sau medie</c:v>
                </c:pt>
                <c:pt idx="1">
                  <c:v>Cu participare față în față (clasic)</c:v>
                </c:pt>
                <c:pt idx="2">
                  <c:v>Programe ﬁnanțate din bugetul alocat instituției, organizate de furnizori de formare recunoscuți</c:v>
                </c:pt>
                <c:pt idx="3">
                  <c:v>Formare specializată de lungă durată</c:v>
                </c:pt>
                <c:pt idx="4">
                  <c:v>Formare externalizată (furnizor extern)</c:v>
                </c:pt>
                <c:pt idx="5">
                  <c:v>Programe organizate și ﬁnanțate în cadrul implementării de proiecte cu ﬁnanțare externă</c:v>
                </c:pt>
                <c:pt idx="6">
                  <c:v>On-line sau blended-learning</c:v>
                </c:pt>
                <c:pt idx="7">
                  <c:v>Învățare unii de la alții (persoană resursă - intern</c:v>
                </c:pt>
              </c:strCache>
            </c:strRef>
          </c:cat>
          <c:val>
            <c:numRef>
              <c:f>'[STABILIREA PRINCIPALELOR OBIECTIVE DE DEZVOLTARE ALE SECTORULUI 2 PENTRU PERIOADA 2021 - 2027. Consultarea Primăriei Sectorului 2 București..xlsx]Question 21'!$B$4:$B$11</c:f>
              <c:numCache>
                <c:formatCode>0.0%</c:formatCode>
                <c:ptCount val="8"/>
                <c:pt idx="0">
                  <c:v>0.2392</c:v>
                </c:pt>
                <c:pt idx="1">
                  <c:v>0.21529999999999999</c:v>
                </c:pt>
                <c:pt idx="2">
                  <c:v>0.20569999999999999</c:v>
                </c:pt>
                <c:pt idx="3">
                  <c:v>0.1053</c:v>
                </c:pt>
                <c:pt idx="4">
                  <c:v>0.1053</c:v>
                </c:pt>
                <c:pt idx="5">
                  <c:v>4.7800000000000002E-2</c:v>
                </c:pt>
                <c:pt idx="6">
                  <c:v>4.3099999999999999E-2</c:v>
                </c:pt>
                <c:pt idx="7">
                  <c:v>3.8300000000000001E-2</c:v>
                </c:pt>
              </c:numCache>
            </c:numRef>
          </c:val>
          <c:extLst>
            <c:ext xmlns:c16="http://schemas.microsoft.com/office/drawing/2014/chart" uri="{C3380CC4-5D6E-409C-BE32-E72D297353CC}">
              <c16:uniqueId val="{00000000-6631-4B49-B0C3-4202DF488CB3}"/>
            </c:ext>
          </c:extLst>
        </c:ser>
        <c:dLbls>
          <c:dLblPos val="outEnd"/>
          <c:showLegendKey val="0"/>
          <c:showVal val="1"/>
          <c:showCatName val="0"/>
          <c:showSerName val="0"/>
          <c:showPercent val="0"/>
          <c:showBubbleSize val="0"/>
        </c:dLbls>
        <c:gapWidth val="150"/>
        <c:axId val="237083648"/>
        <c:axId val="238536960"/>
      </c:barChart>
      <c:valAx>
        <c:axId val="238536960"/>
        <c:scaling>
          <c:orientation val="minMax"/>
        </c:scaling>
        <c:delete val="1"/>
        <c:axPos val="b"/>
        <c:numFmt formatCode="0.0%" sourceLinked="1"/>
        <c:majorTickMark val="out"/>
        <c:minorTickMark val="none"/>
        <c:tickLblPos val="nextTo"/>
        <c:crossAx val="237083648"/>
        <c:crosses val="autoZero"/>
        <c:crossBetween val="between"/>
      </c:valAx>
      <c:catAx>
        <c:axId val="237083648"/>
        <c:scaling>
          <c:orientation val="minMax"/>
        </c:scaling>
        <c:delete val="0"/>
        <c:axPos val="l"/>
        <c:numFmt formatCode="General" sourceLinked="0"/>
        <c:majorTickMark val="none"/>
        <c:minorTickMark val="none"/>
        <c:tickLblPos val="nextTo"/>
        <c:crossAx val="238536960"/>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o-RO">
                <a:solidFill>
                  <a:schemeClr val="tx2"/>
                </a:solidFill>
              </a:rPr>
              <a:t>2.</a:t>
            </a:r>
            <a:endParaRPr lang="en-US">
              <a:solidFill>
                <a:schemeClr val="tx2"/>
              </a:solidFill>
            </a:endParaRPr>
          </a:p>
        </c:rich>
      </c:tx>
      <c:layout>
        <c:manualLayout>
          <c:xMode val="edge"/>
          <c:yMode val="edge"/>
          <c:x val="0.92969432134278074"/>
          <c:y val="0"/>
        </c:manualLayout>
      </c:layout>
      <c:overlay val="1"/>
    </c:title>
    <c:autoTitleDeleted val="0"/>
    <c:plotArea>
      <c:layout>
        <c:manualLayout>
          <c:layoutTarget val="inner"/>
          <c:xMode val="edge"/>
          <c:yMode val="edge"/>
          <c:x val="0.50782451093368819"/>
          <c:y val="0.2740902799255695"/>
          <c:w val="0.49014048485631823"/>
          <c:h val="0.45182763920714464"/>
        </c:manualLayout>
      </c:layout>
      <c:pieChart>
        <c:varyColors val="1"/>
        <c:ser>
          <c:idx val="0"/>
          <c:order val="0"/>
          <c:dLbls>
            <c:numFmt formatCode="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'TOATE!'!$A$164:$A$168</c:f>
              <c:strCache>
                <c:ptCount val="5"/>
                <c:pt idx="0">
                  <c:v>O1. Locuire, servicii şi cultură adaptate unei comunităţi active şi implicate</c:v>
                </c:pt>
                <c:pt idx="1">
                  <c:v>O2. Sector cu atractivitate crescută pentru forța de muncă și companii</c:v>
                </c:pt>
                <c:pt idx="2">
                  <c:v>O3. Infrastructură urbană adaptată la nevoile actuale și viitoare</c:v>
                </c:pt>
                <c:pt idx="3">
                  <c:v>O4. Sector 2 - model de dezvoltare sistem albastru-verde</c:v>
                </c:pt>
                <c:pt idx="4">
                  <c:v>O5. Administrație publică performantă</c:v>
                </c:pt>
              </c:strCache>
            </c:strRef>
          </c:cat>
          <c:val>
            <c:numRef>
              <c:f>'TOATE!'!$C$164:$C$168</c:f>
              <c:numCache>
                <c:formatCode>General</c:formatCode>
                <c:ptCount val="5"/>
                <c:pt idx="0">
                  <c:v>47</c:v>
                </c:pt>
                <c:pt idx="1">
                  <c:v>2</c:v>
                </c:pt>
                <c:pt idx="2">
                  <c:v>18</c:v>
                </c:pt>
                <c:pt idx="3">
                  <c:v>14</c:v>
                </c:pt>
                <c:pt idx="4">
                  <c:v>17</c:v>
                </c:pt>
              </c:numCache>
            </c:numRef>
          </c:val>
          <c:extLst>
            <c:ext xmlns:c16="http://schemas.microsoft.com/office/drawing/2014/chart" uri="{C3380CC4-5D6E-409C-BE32-E72D297353CC}">
              <c16:uniqueId val="{00000000-4945-491B-B422-FFB865A2B602}"/>
            </c:ext>
          </c:extLst>
        </c:ser>
        <c:dLbls>
          <c:showLegendKey val="0"/>
          <c:showVal val="1"/>
          <c:showCatName val="0"/>
          <c:showSerName val="0"/>
          <c:showPercent val="0"/>
          <c:showBubbleSize val="0"/>
          <c:showLeaderLines val="1"/>
        </c:dLbls>
        <c:firstSliceAng val="0"/>
      </c:pieChart>
    </c:plotArea>
    <c:legend>
      <c:legendPos val="l"/>
      <c:layout>
        <c:manualLayout>
          <c:xMode val="edge"/>
          <c:yMode val="edge"/>
          <c:x val="0"/>
          <c:y val="4.6464044698855664E-2"/>
          <c:w val="0.37104463409066529"/>
          <c:h val="0.95215990386906724"/>
        </c:manualLayout>
      </c:layout>
      <c:overlay val="0"/>
    </c:legend>
    <c:plotVisOnly val="1"/>
    <c:dispBlanksAs val="gap"/>
    <c:showDLblsOverMax val="0"/>
  </c:chart>
  <c:spPr>
    <a:ln>
      <a:noFill/>
    </a:ln>
  </c:spPr>
  <c:externalData r:id="rId2">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'Question 22'!$B$33</c:f>
              <c:strCache>
                <c:ptCount val="1"/>
                <c:pt idx="0">
                  <c:v>Relevantă (contribuie la dezvoltarea personală</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22'!$A$34:$A$36</c:f>
              <c:strCache>
                <c:ptCount val="3"/>
                <c:pt idx="0">
                  <c:v>Program de formare</c:v>
                </c:pt>
                <c:pt idx="1">
                  <c:v>Program de mentorat</c:v>
                </c:pt>
                <c:pt idx="2">
                  <c:v>Program coaching</c:v>
                </c:pt>
              </c:strCache>
            </c:strRef>
          </c:cat>
          <c:val>
            <c:numRef>
              <c:f>'Question 22'!$B$34:$B$36</c:f>
              <c:numCache>
                <c:formatCode>0.0%</c:formatCode>
                <c:ptCount val="3"/>
                <c:pt idx="0">
                  <c:v>0.26700000000000002</c:v>
                </c:pt>
                <c:pt idx="1">
                  <c:v>0.3387</c:v>
                </c:pt>
                <c:pt idx="2">
                  <c:v>0.34039999999999998</c:v>
                </c:pt>
              </c:numCache>
            </c:numRef>
          </c:val>
          <c:extLst>
            <c:ext xmlns:c16="http://schemas.microsoft.com/office/drawing/2014/chart" uri="{C3380CC4-5D6E-409C-BE32-E72D297353CC}">
              <c16:uniqueId val="{00000000-FB60-435E-A537-2296D59CD1DC}"/>
            </c:ext>
          </c:extLst>
        </c:ser>
        <c:ser>
          <c:idx val="1"/>
          <c:order val="1"/>
          <c:tx>
            <c:strRef>
              <c:f>'Question 22'!$C$33</c:f>
              <c:strCache>
                <c:ptCount val="1"/>
                <c:pt idx="0">
                  <c:v>Utilitate (contribuie la îndeplinirea sarcinilor de serviciu)</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22'!$A$34:$A$36</c:f>
              <c:strCache>
                <c:ptCount val="3"/>
                <c:pt idx="0">
                  <c:v>Program de formare</c:v>
                </c:pt>
                <c:pt idx="1">
                  <c:v>Program de mentorat</c:v>
                </c:pt>
                <c:pt idx="2">
                  <c:v>Program coaching</c:v>
                </c:pt>
              </c:strCache>
            </c:strRef>
          </c:cat>
          <c:val>
            <c:numRef>
              <c:f>'Question 22'!$C$34:$C$36</c:f>
              <c:numCache>
                <c:formatCode>0.0%</c:formatCode>
                <c:ptCount val="3"/>
                <c:pt idx="0">
                  <c:v>0.57769999999999999</c:v>
                </c:pt>
                <c:pt idx="1">
                  <c:v>0.41399999999999998</c:v>
                </c:pt>
                <c:pt idx="2">
                  <c:v>0.38300000000000001</c:v>
                </c:pt>
              </c:numCache>
            </c:numRef>
          </c:val>
          <c:extLst>
            <c:ext xmlns:c16="http://schemas.microsoft.com/office/drawing/2014/chart" uri="{C3380CC4-5D6E-409C-BE32-E72D297353CC}">
              <c16:uniqueId val="{00000001-FB60-435E-A537-2296D59CD1DC}"/>
            </c:ext>
          </c:extLst>
        </c:ser>
        <c:ser>
          <c:idx val="2"/>
          <c:order val="2"/>
          <c:tx>
            <c:strRef>
              <c:f>'Question 22'!$D$33</c:f>
              <c:strCache>
                <c:ptCount val="1"/>
                <c:pt idx="0">
                  <c:v>Disponibilitate de participare</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22'!$A$34:$A$36</c:f>
              <c:strCache>
                <c:ptCount val="3"/>
                <c:pt idx="0">
                  <c:v>Program de formare</c:v>
                </c:pt>
                <c:pt idx="1">
                  <c:v>Program de mentorat</c:v>
                </c:pt>
                <c:pt idx="2">
                  <c:v>Program coaching</c:v>
                </c:pt>
              </c:strCache>
            </c:strRef>
          </c:cat>
          <c:val>
            <c:numRef>
              <c:f>'Question 22'!$D$34:$D$36</c:f>
              <c:numCache>
                <c:formatCode>0.0%</c:formatCode>
                <c:ptCount val="3"/>
                <c:pt idx="0">
                  <c:v>0.15529999999999999</c:v>
                </c:pt>
                <c:pt idx="1">
                  <c:v>0.24729999999999999</c:v>
                </c:pt>
                <c:pt idx="2">
                  <c:v>0.27660000000000001</c:v>
                </c:pt>
              </c:numCache>
            </c:numRef>
          </c:val>
          <c:extLst>
            <c:ext xmlns:c16="http://schemas.microsoft.com/office/drawing/2014/chart" uri="{C3380CC4-5D6E-409C-BE32-E72D297353CC}">
              <c16:uniqueId val="{00000002-FB60-435E-A537-2296D59CD1DC}"/>
            </c:ext>
          </c:extLst>
        </c:ser>
        <c:dLbls>
          <c:dLblPos val="outEnd"/>
          <c:showLegendKey val="0"/>
          <c:showVal val="1"/>
          <c:showCatName val="0"/>
          <c:showSerName val="0"/>
          <c:showPercent val="0"/>
          <c:showBubbleSize val="0"/>
        </c:dLbls>
        <c:gapWidth val="150"/>
        <c:axId val="237933056"/>
        <c:axId val="238538112"/>
      </c:barChart>
      <c:catAx>
        <c:axId val="237933056"/>
        <c:scaling>
          <c:orientation val="minMax"/>
        </c:scaling>
        <c:delete val="0"/>
        <c:axPos val="b"/>
        <c:numFmt formatCode="General" sourceLinked="0"/>
        <c:majorTickMark val="none"/>
        <c:minorTickMark val="none"/>
        <c:tickLblPos val="nextTo"/>
        <c:crossAx val="238538112"/>
        <c:crosses val="autoZero"/>
        <c:auto val="1"/>
        <c:lblAlgn val="ctr"/>
        <c:lblOffset val="100"/>
        <c:noMultiLvlLbl val="0"/>
      </c:catAx>
      <c:valAx>
        <c:axId val="238538112"/>
        <c:scaling>
          <c:orientation val="minMax"/>
        </c:scaling>
        <c:delete val="1"/>
        <c:axPos val="l"/>
        <c:numFmt formatCode="0.0%" sourceLinked="1"/>
        <c:majorTickMark val="out"/>
        <c:minorTickMark val="none"/>
        <c:tickLblPos val="nextTo"/>
        <c:crossAx val="237933056"/>
        <c:crosses val="autoZero"/>
        <c:crossBetween val="between"/>
      </c:valAx>
    </c:plotArea>
    <c:legend>
      <c:legendPos val="b"/>
      <c:layout>
        <c:manualLayout>
          <c:xMode val="edge"/>
          <c:yMode val="edge"/>
          <c:x val="0.15256921475236299"/>
          <c:y val="0.74265344747728035"/>
          <c:w val="0.68206644185799392"/>
          <c:h val="0.25734655252271965"/>
        </c:manualLayout>
      </c:layout>
      <c:overlay val="0"/>
    </c:legend>
    <c:plotVisOnly val="1"/>
    <c:dispBlanksAs val="gap"/>
    <c:showDLblsOverMax val="0"/>
  </c:chart>
  <c:spPr>
    <a:ln>
      <a:noFill/>
    </a:ln>
  </c:spPr>
  <c:externalData r:id="rId1">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'[Chestionar privind consultarea mediului de afaceri din Sectorul 2 București.xlsx]Question 2'!$B$3</c:f>
              <c:strCache>
                <c:ptCount val="1"/>
                <c:pt idx="0">
                  <c:v>Responses</c:v>
                </c:pt>
              </c:strCache>
            </c:strRef>
          </c:tx>
          <c:spPr>
            <a:solidFill>
              <a:schemeClr val="accent2"/>
            </a:solidFill>
          </c:spPr>
          <c:invertIfNegative val="0"/>
          <c:cat>
            <c:strRef>
              <c:f>'[Chestionar privind consultarea mediului de afaceri din Sectorul 2 București.xlsx]Question 2'!$A$4:$A$7</c:f>
              <c:strCache>
                <c:ptCount val="4"/>
                <c:pt idx="0">
                  <c:v>Între 0-9 angajați</c:v>
                </c:pt>
                <c:pt idx="1">
                  <c:v>Între 10-49 angajați</c:v>
                </c:pt>
                <c:pt idx="2">
                  <c:v>Între 50-249 angajați</c:v>
                </c:pt>
                <c:pt idx="3">
                  <c:v>Peste 250 angajați</c:v>
                </c:pt>
              </c:strCache>
            </c:strRef>
          </c:cat>
          <c:val>
            <c:numRef>
              <c:f>'[Chestionar privind consultarea mediului de afaceri din Sectorul 2 București.xlsx]Question 2'!$B$4:$B$7</c:f>
              <c:numCache>
                <c:formatCode>0.0%</c:formatCode>
                <c:ptCount val="4"/>
                <c:pt idx="0">
                  <c:v>0.46020000000000011</c:v>
                </c:pt>
                <c:pt idx="1">
                  <c:v>0.32740000000000002</c:v>
                </c:pt>
                <c:pt idx="2">
                  <c:v>0.1062</c:v>
                </c:pt>
                <c:pt idx="3">
                  <c:v>0.1062</c:v>
                </c:pt>
              </c:numCache>
            </c:numRef>
          </c:val>
          <c:extLst>
            <c:ext xmlns:c16="http://schemas.microsoft.com/office/drawing/2014/chart" uri="{C3380CC4-5D6E-409C-BE32-E72D297353CC}">
              <c16:uniqueId val="{00000000-2C84-4803-B956-F4468BB522A1}"/>
            </c:ext>
          </c:extLst>
        </c:ser>
        <c:dLbls>
          <c:showLegendKey val="0"/>
          <c:showVal val="0"/>
          <c:showCatName val="0"/>
          <c:showSerName val="0"/>
          <c:showPercent val="0"/>
          <c:showBubbleSize val="0"/>
        </c:dLbls>
        <c:gapWidth val="150"/>
        <c:axId val="239721984"/>
        <c:axId val="238539264"/>
      </c:barChart>
      <c:valAx>
        <c:axId val="238539264"/>
        <c:scaling>
          <c:orientation val="minMax"/>
        </c:scaling>
        <c:delete val="1"/>
        <c:axPos val="b"/>
        <c:numFmt formatCode="0.0%" sourceLinked="1"/>
        <c:majorTickMark val="out"/>
        <c:minorTickMark val="none"/>
        <c:tickLblPos val="nextTo"/>
        <c:crossAx val="239721984"/>
        <c:crosses val="autoZero"/>
        <c:crossBetween val="between"/>
      </c:valAx>
      <c:catAx>
        <c:axId val="239721984"/>
        <c:scaling>
          <c:orientation val="minMax"/>
        </c:scaling>
        <c:delete val="0"/>
        <c:axPos val="l"/>
        <c:numFmt formatCode="General" sourceLinked="0"/>
        <c:majorTickMark val="none"/>
        <c:minorTickMark val="none"/>
        <c:tickLblPos val="nextTo"/>
        <c:crossAx val="238539264"/>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txPr>
              <a:bodyPr/>
              <a:lstStyle/>
              <a:p>
                <a:pPr>
                  <a:defRPr>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de afaceri din Sectorul 2 București.xlsx]Question 3'!$A$4:$A$5</c:f>
              <c:strCache>
                <c:ptCount val="2"/>
                <c:pt idx="0">
                  <c:v>Sub 1 milion de Euro</c:v>
                </c:pt>
                <c:pt idx="1">
                  <c:v>Peste 1 milion de Euro</c:v>
                </c:pt>
              </c:strCache>
            </c:strRef>
          </c:cat>
          <c:val>
            <c:numRef>
              <c:f>'[Chestionar privind consultarea mediului de afaceri din Sectorul 2 București.xlsx]Question 3'!$B$4:$B$5</c:f>
              <c:numCache>
                <c:formatCode>0.0%</c:formatCode>
                <c:ptCount val="2"/>
                <c:pt idx="0">
                  <c:v>0.61470000000000002</c:v>
                </c:pt>
                <c:pt idx="1">
                  <c:v>0.38529999999999998</c:v>
                </c:pt>
              </c:numCache>
            </c:numRef>
          </c:val>
          <c:extLst>
            <c:ext xmlns:c16="http://schemas.microsoft.com/office/drawing/2014/chart" uri="{C3380CC4-5D6E-409C-BE32-E72D297353CC}">
              <c16:uniqueId val="{00000000-A743-4708-9F37-E2662003485A}"/>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de afaceri din Sectorul 2 București.xlsx]Question 4'!$A$45:$A$63</c:f>
              <c:strCache>
                <c:ptCount val="19"/>
                <c:pt idx="0">
                  <c:v>IT&amp;C</c:v>
                </c:pt>
                <c:pt idx="1">
                  <c:v>Construcții</c:v>
                </c:pt>
                <c:pt idx="2">
                  <c:v>Cercetare-dezvoltare, consultanță, servicii de marketing, publicitate, management, etc</c:v>
                </c:pt>
                <c:pt idx="3">
                  <c:v>Intermediere, transport, depozitare</c:v>
                </c:pt>
                <c:pt idx="4">
                  <c:v>Servicii financiare</c:v>
                </c:pt>
                <c:pt idx="5">
                  <c:v>Industria constructoare de mașini, utilaje, echipamente și a mijloacelor de transport</c:v>
                </c:pt>
                <c:pt idx="6">
                  <c:v>Activități de recreere, artistice, culturale, divertisment</c:v>
                </c:pt>
                <c:pt idx="7">
                  <c:v>Industria textilă</c:v>
                </c:pt>
                <c:pt idx="8">
                  <c:v>Fabricarea calculatoarelor, a produselor electronice, optice etc</c:v>
                </c:pt>
                <c:pt idx="9">
                  <c:v>Hoteluri, restaurante – turism</c:v>
                </c:pt>
                <c:pt idx="10">
                  <c:v>Industria alimentară</c:v>
                </c:pt>
                <c:pt idx="11">
                  <c:v>Industria metalurgică</c:v>
                </c:pt>
                <c:pt idx="12">
                  <c:v>Servicii private de sănătate și asistență socială</c:v>
                </c:pt>
                <c:pt idx="13">
                  <c:v>Servicii private de educație și formare</c:v>
                </c:pt>
                <c:pt idx="14">
                  <c:v>Industria lemnului și hârtiei</c:v>
                </c:pt>
                <c:pt idx="15">
                  <c:v>Industria chimică/petrochimică</c:v>
                </c:pt>
                <c:pt idx="16">
                  <c:v>Producția de energie</c:v>
                </c:pt>
                <c:pt idx="17">
                  <c:v>Agricultură, silvicultură, pescuit</c:v>
                </c:pt>
                <c:pt idx="18">
                  <c:v>Industria extractivă</c:v>
                </c:pt>
              </c:strCache>
            </c:strRef>
          </c:cat>
          <c:val>
            <c:numRef>
              <c:f>'[Chestionar privind consultarea mediului de afaceri din Sectorul 2 București.xlsx]Question 4'!$B$45:$B$63</c:f>
              <c:numCache>
                <c:formatCode>0.0%</c:formatCode>
                <c:ptCount val="19"/>
                <c:pt idx="0">
                  <c:v>0.2472</c:v>
                </c:pt>
                <c:pt idx="1">
                  <c:v>0.14610000000000001</c:v>
                </c:pt>
                <c:pt idx="2">
                  <c:v>0.14610000000000001</c:v>
                </c:pt>
                <c:pt idx="3">
                  <c:v>0.1236</c:v>
                </c:pt>
                <c:pt idx="4">
                  <c:v>8.9900000000000008E-2</c:v>
                </c:pt>
                <c:pt idx="5">
                  <c:v>6.7400000000000002E-2</c:v>
                </c:pt>
                <c:pt idx="6">
                  <c:v>6.7400000000000002E-2</c:v>
                </c:pt>
                <c:pt idx="7">
                  <c:v>3.3700000000000001E-2</c:v>
                </c:pt>
                <c:pt idx="8">
                  <c:v>3.3700000000000001E-2</c:v>
                </c:pt>
                <c:pt idx="9">
                  <c:v>3.3700000000000001E-2</c:v>
                </c:pt>
                <c:pt idx="10">
                  <c:v>2.2499999999999999E-2</c:v>
                </c:pt>
                <c:pt idx="11">
                  <c:v>2.2499999999999999E-2</c:v>
                </c:pt>
                <c:pt idx="12">
                  <c:v>2.2499999999999999E-2</c:v>
                </c:pt>
                <c:pt idx="13">
                  <c:v>2.2499999999999999E-2</c:v>
                </c:pt>
                <c:pt idx="14">
                  <c:v>1.12E-2</c:v>
                </c:pt>
                <c:pt idx="15">
                  <c:v>1.12E-2</c:v>
                </c:pt>
                <c:pt idx="16">
                  <c:v>1.12E-2</c:v>
                </c:pt>
                <c:pt idx="17">
                  <c:v>0</c:v>
                </c:pt>
                <c:pt idx="18">
                  <c:v>0</c:v>
                </c:pt>
              </c:numCache>
            </c:numRef>
          </c:val>
          <c:extLst>
            <c:ext xmlns:c16="http://schemas.microsoft.com/office/drawing/2014/chart" uri="{C3380CC4-5D6E-409C-BE32-E72D297353CC}">
              <c16:uniqueId val="{00000000-2283-4B41-9A93-5DE866961C36}"/>
            </c:ext>
          </c:extLst>
        </c:ser>
        <c:dLbls>
          <c:dLblPos val="outEnd"/>
          <c:showLegendKey val="0"/>
          <c:showVal val="1"/>
          <c:showCatName val="0"/>
          <c:showSerName val="0"/>
          <c:showPercent val="0"/>
          <c:showBubbleSize val="0"/>
        </c:dLbls>
        <c:gapWidth val="79"/>
        <c:axId val="239720960"/>
        <c:axId val="238542144"/>
      </c:barChart>
      <c:catAx>
        <c:axId val="239720960"/>
        <c:scaling>
          <c:orientation val="minMax"/>
        </c:scaling>
        <c:delete val="0"/>
        <c:axPos val="l"/>
        <c:numFmt formatCode="General" sourceLinked="0"/>
        <c:majorTickMark val="none"/>
        <c:minorTickMark val="none"/>
        <c:tickLblPos val="nextTo"/>
        <c:crossAx val="238542144"/>
        <c:crosses val="autoZero"/>
        <c:auto val="1"/>
        <c:lblAlgn val="ctr"/>
        <c:lblOffset val="100"/>
        <c:noMultiLvlLbl val="0"/>
      </c:catAx>
      <c:valAx>
        <c:axId val="238542144"/>
        <c:scaling>
          <c:orientation val="minMax"/>
        </c:scaling>
        <c:delete val="1"/>
        <c:axPos val="b"/>
        <c:numFmt formatCode="0.0%" sourceLinked="1"/>
        <c:majorTickMark val="out"/>
        <c:minorTickMark val="none"/>
        <c:tickLblPos val="nextTo"/>
        <c:crossAx val="239720960"/>
        <c:crosses val="autoZero"/>
        <c:crossBetween val="between"/>
      </c:valAx>
    </c:plotArea>
    <c:plotVisOnly val="1"/>
    <c:dispBlanksAs val="gap"/>
    <c:showDLblsOverMax val="0"/>
  </c:chart>
  <c:spPr>
    <a:ln>
      <a:noFill/>
    </a:ln>
  </c:spPr>
  <c:externalData r:id="rId1">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'[Chestionar privind consultarea mediului de afaceri din Sectorul 2 București.xlsx]Question 5'!$A$32</c:f>
              <c:strCache>
                <c:ptCount val="1"/>
                <c:pt idx="0">
                  <c:v>Numărul de angajați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de afaceri din Sectorul 2 București.xlsx]Question 5'!$B$31:$F$31</c:f>
              <c:strCache>
                <c:ptCount val="5"/>
                <c:pt idx="0">
                  <c:v>Va crește cu până la 20%</c:v>
                </c:pt>
                <c:pt idx="1">
                  <c:v>Va crește cu peste 20%</c:v>
                </c:pt>
                <c:pt idx="2">
                  <c:v>Va rămâne aproximativ la fel</c:v>
                </c:pt>
                <c:pt idx="3">
                  <c:v>Va scădea cu până la 20%</c:v>
                </c:pt>
                <c:pt idx="4">
                  <c:v>Va scădea cu peste 20%</c:v>
                </c:pt>
              </c:strCache>
            </c:strRef>
          </c:cat>
          <c:val>
            <c:numRef>
              <c:f>'[Chestionar privind consultarea mediului de afaceri din Sectorul 2 București.xlsx]Question 5'!$B$32:$F$32</c:f>
              <c:numCache>
                <c:formatCode>0.0%</c:formatCode>
                <c:ptCount val="5"/>
                <c:pt idx="0">
                  <c:v>0.25240000000000001</c:v>
                </c:pt>
                <c:pt idx="1">
                  <c:v>0.19420000000000001</c:v>
                </c:pt>
                <c:pt idx="2">
                  <c:v>0.49509999999999998</c:v>
                </c:pt>
                <c:pt idx="3">
                  <c:v>4.8499999999999988E-2</c:v>
                </c:pt>
                <c:pt idx="4">
                  <c:v>9.7000000000000003E-3</c:v>
                </c:pt>
              </c:numCache>
            </c:numRef>
          </c:val>
          <c:extLst>
            <c:ext xmlns:c16="http://schemas.microsoft.com/office/drawing/2014/chart" uri="{C3380CC4-5D6E-409C-BE32-E72D297353CC}">
              <c16:uniqueId val="{00000000-692E-4193-94F0-3A210D9EC5CE}"/>
            </c:ext>
          </c:extLst>
        </c:ser>
        <c:ser>
          <c:idx val="1"/>
          <c:order val="1"/>
          <c:tx>
            <c:strRef>
              <c:f>'[Chestionar privind consultarea mediului de afaceri din Sectorul 2 București.xlsx]Question 5'!$A$33</c:f>
              <c:strCache>
                <c:ptCount val="1"/>
                <c:pt idx="0">
                  <c:v>Volumul producției</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de afaceri din Sectorul 2 București.xlsx]Question 5'!$B$31:$F$31</c:f>
              <c:strCache>
                <c:ptCount val="5"/>
                <c:pt idx="0">
                  <c:v>Va crește cu până la 20%</c:v>
                </c:pt>
                <c:pt idx="1">
                  <c:v>Va crește cu peste 20%</c:v>
                </c:pt>
                <c:pt idx="2">
                  <c:v>Va rămâne aproximativ la fel</c:v>
                </c:pt>
                <c:pt idx="3">
                  <c:v>Va scădea cu până la 20%</c:v>
                </c:pt>
                <c:pt idx="4">
                  <c:v>Va scădea cu peste 20%</c:v>
                </c:pt>
              </c:strCache>
            </c:strRef>
          </c:cat>
          <c:val>
            <c:numRef>
              <c:f>'[Chestionar privind consultarea mediului de afaceri din Sectorul 2 București.xlsx]Question 5'!$B$33:$F$33</c:f>
              <c:numCache>
                <c:formatCode>0.0%</c:formatCode>
                <c:ptCount val="5"/>
                <c:pt idx="0">
                  <c:v>0.17480000000000001</c:v>
                </c:pt>
                <c:pt idx="1">
                  <c:v>0.34949999999999998</c:v>
                </c:pt>
                <c:pt idx="2">
                  <c:v>0.38829999999999998</c:v>
                </c:pt>
                <c:pt idx="3">
                  <c:v>6.8000000000000005E-2</c:v>
                </c:pt>
                <c:pt idx="4">
                  <c:v>1.9400000000000001E-2</c:v>
                </c:pt>
              </c:numCache>
            </c:numRef>
          </c:val>
          <c:extLst>
            <c:ext xmlns:c16="http://schemas.microsoft.com/office/drawing/2014/chart" uri="{C3380CC4-5D6E-409C-BE32-E72D297353CC}">
              <c16:uniqueId val="{00000001-692E-4193-94F0-3A210D9EC5CE}"/>
            </c:ext>
          </c:extLst>
        </c:ser>
        <c:ser>
          <c:idx val="2"/>
          <c:order val="2"/>
          <c:tx>
            <c:strRef>
              <c:f>'[Chestionar privind consultarea mediului de afaceri din Sectorul 2 București.xlsx]Question 5'!$A$34</c:f>
              <c:strCache>
                <c:ptCount val="1"/>
                <c:pt idx="0">
                  <c:v>Cifra de afaceri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de afaceri din Sectorul 2 București.xlsx]Question 5'!$B$31:$F$31</c:f>
              <c:strCache>
                <c:ptCount val="5"/>
                <c:pt idx="0">
                  <c:v>Va crește cu până la 20%</c:v>
                </c:pt>
                <c:pt idx="1">
                  <c:v>Va crește cu peste 20%</c:v>
                </c:pt>
                <c:pt idx="2">
                  <c:v>Va rămâne aproximativ la fel</c:v>
                </c:pt>
                <c:pt idx="3">
                  <c:v>Va scădea cu până la 20%</c:v>
                </c:pt>
                <c:pt idx="4">
                  <c:v>Va scădea cu peste 20%</c:v>
                </c:pt>
              </c:strCache>
            </c:strRef>
          </c:cat>
          <c:val>
            <c:numRef>
              <c:f>'[Chestionar privind consultarea mediului de afaceri din Sectorul 2 București.xlsx]Question 5'!$B$34:$F$34</c:f>
              <c:numCache>
                <c:formatCode>0.0%</c:formatCode>
                <c:ptCount val="5"/>
                <c:pt idx="0">
                  <c:v>0.17480000000000001</c:v>
                </c:pt>
                <c:pt idx="1">
                  <c:v>0.39810000000000001</c:v>
                </c:pt>
                <c:pt idx="2">
                  <c:v>0.3301</c:v>
                </c:pt>
                <c:pt idx="3">
                  <c:v>6.8000000000000005E-2</c:v>
                </c:pt>
                <c:pt idx="4">
                  <c:v>2.9100000000000001E-2</c:v>
                </c:pt>
              </c:numCache>
            </c:numRef>
          </c:val>
          <c:extLst>
            <c:ext xmlns:c16="http://schemas.microsoft.com/office/drawing/2014/chart" uri="{C3380CC4-5D6E-409C-BE32-E72D297353CC}">
              <c16:uniqueId val="{00000002-692E-4193-94F0-3A210D9EC5CE}"/>
            </c:ext>
          </c:extLst>
        </c:ser>
        <c:ser>
          <c:idx val="3"/>
          <c:order val="3"/>
          <c:tx>
            <c:strRef>
              <c:f>'[Chestionar privind consultarea mediului de afaceri din Sectorul 2 București.xlsx]Question 5'!$A$35</c:f>
              <c:strCache>
                <c:ptCount val="1"/>
                <c:pt idx="0">
                  <c:v>Profitul</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de afaceri din Sectorul 2 București.xlsx]Question 5'!$B$31:$F$31</c:f>
              <c:strCache>
                <c:ptCount val="5"/>
                <c:pt idx="0">
                  <c:v>Va crește cu până la 20%</c:v>
                </c:pt>
                <c:pt idx="1">
                  <c:v>Va crește cu peste 20%</c:v>
                </c:pt>
                <c:pt idx="2">
                  <c:v>Va rămâne aproximativ la fel</c:v>
                </c:pt>
                <c:pt idx="3">
                  <c:v>Va scădea cu până la 20%</c:v>
                </c:pt>
                <c:pt idx="4">
                  <c:v>Va scădea cu peste 20%</c:v>
                </c:pt>
              </c:strCache>
            </c:strRef>
          </c:cat>
          <c:val>
            <c:numRef>
              <c:f>'[Chestionar privind consultarea mediului de afaceri din Sectorul 2 București.xlsx]Question 5'!$B$35:$F$35</c:f>
              <c:numCache>
                <c:formatCode>0.0%</c:formatCode>
                <c:ptCount val="5"/>
                <c:pt idx="0">
                  <c:v>0.15529999999999999</c:v>
                </c:pt>
                <c:pt idx="1">
                  <c:v>0.3301</c:v>
                </c:pt>
                <c:pt idx="2">
                  <c:v>0.31069999999999998</c:v>
                </c:pt>
                <c:pt idx="3">
                  <c:v>0.15529999999999999</c:v>
                </c:pt>
                <c:pt idx="4">
                  <c:v>4.8499999999999988E-2</c:v>
                </c:pt>
              </c:numCache>
            </c:numRef>
          </c:val>
          <c:extLst>
            <c:ext xmlns:c16="http://schemas.microsoft.com/office/drawing/2014/chart" uri="{C3380CC4-5D6E-409C-BE32-E72D297353CC}">
              <c16:uniqueId val="{00000003-692E-4193-94F0-3A210D9EC5CE}"/>
            </c:ext>
          </c:extLst>
        </c:ser>
        <c:dLbls>
          <c:dLblPos val="ctr"/>
          <c:showLegendKey val="0"/>
          <c:showVal val="1"/>
          <c:showCatName val="0"/>
          <c:showSerName val="0"/>
          <c:showPercent val="0"/>
          <c:showBubbleSize val="0"/>
        </c:dLbls>
        <c:gapWidth val="150"/>
        <c:overlap val="100"/>
        <c:axId val="240280576"/>
        <c:axId val="240075904"/>
      </c:barChart>
      <c:catAx>
        <c:axId val="240280576"/>
        <c:scaling>
          <c:orientation val="minMax"/>
        </c:scaling>
        <c:delete val="0"/>
        <c:axPos val="l"/>
        <c:numFmt formatCode="General" sourceLinked="0"/>
        <c:majorTickMark val="none"/>
        <c:minorTickMark val="none"/>
        <c:tickLblPos val="nextTo"/>
        <c:crossAx val="240075904"/>
        <c:crosses val="autoZero"/>
        <c:auto val="1"/>
        <c:lblAlgn val="ctr"/>
        <c:lblOffset val="100"/>
        <c:noMultiLvlLbl val="0"/>
      </c:catAx>
      <c:valAx>
        <c:axId val="240075904"/>
        <c:scaling>
          <c:orientation val="minMax"/>
        </c:scaling>
        <c:delete val="1"/>
        <c:axPos val="b"/>
        <c:numFmt formatCode="0%" sourceLinked="1"/>
        <c:majorTickMark val="out"/>
        <c:minorTickMark val="none"/>
        <c:tickLblPos val="nextTo"/>
        <c:crossAx val="24028057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6'!$D$3</c:f>
              <c:strCache>
                <c:ptCount val="1"/>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6'!$A$4:$A$7</c:f>
              <c:strCache>
                <c:ptCount val="4"/>
                <c:pt idx="0">
                  <c:v>Nu vom investi în extinderea capacității în următoarele 24 de luni</c:v>
                </c:pt>
                <c:pt idx="1">
                  <c:v>Extinderea capacității</c:v>
                </c:pt>
                <c:pt idx="2">
                  <c:v>Diversificarea producției</c:v>
                </c:pt>
                <c:pt idx="3">
                  <c:v>Internaționalizare</c:v>
                </c:pt>
              </c:strCache>
            </c:strRef>
          </c:cat>
          <c:val>
            <c:numRef>
              <c:f>'Question 6'!$D$4:$D$7</c:f>
              <c:numCache>
                <c:formatCode>0.0%</c:formatCode>
                <c:ptCount val="4"/>
                <c:pt idx="0">
                  <c:v>0.34351145038167941</c:v>
                </c:pt>
                <c:pt idx="1">
                  <c:v>0.33587786259541985</c:v>
                </c:pt>
                <c:pt idx="2">
                  <c:v>0.20610687022900764</c:v>
                </c:pt>
                <c:pt idx="3">
                  <c:v>0.11450381679389313</c:v>
                </c:pt>
              </c:numCache>
            </c:numRef>
          </c:val>
          <c:extLst>
            <c:ext xmlns:c16="http://schemas.microsoft.com/office/drawing/2014/chart" uri="{C3380CC4-5D6E-409C-BE32-E72D297353CC}">
              <c16:uniqueId val="{00000000-E54E-4588-BAB0-8E350CF122EB}"/>
            </c:ext>
          </c:extLst>
        </c:ser>
        <c:dLbls>
          <c:dLblPos val="outEnd"/>
          <c:showLegendKey val="0"/>
          <c:showVal val="1"/>
          <c:showCatName val="0"/>
          <c:showSerName val="0"/>
          <c:showPercent val="0"/>
          <c:showBubbleSize val="0"/>
        </c:dLbls>
        <c:gapWidth val="150"/>
        <c:axId val="240281088"/>
        <c:axId val="240077632"/>
      </c:barChart>
      <c:valAx>
        <c:axId val="240077632"/>
        <c:scaling>
          <c:orientation val="minMax"/>
        </c:scaling>
        <c:delete val="1"/>
        <c:axPos val="b"/>
        <c:numFmt formatCode="0.0%" sourceLinked="1"/>
        <c:majorTickMark val="out"/>
        <c:minorTickMark val="none"/>
        <c:tickLblPos val="nextTo"/>
        <c:crossAx val="240281088"/>
        <c:crosses val="autoZero"/>
        <c:crossBetween val="between"/>
      </c:valAx>
      <c:catAx>
        <c:axId val="240281088"/>
        <c:scaling>
          <c:orientation val="minMax"/>
        </c:scaling>
        <c:delete val="0"/>
        <c:axPos val="l"/>
        <c:numFmt formatCode="General" sourceLinked="0"/>
        <c:majorTickMark val="none"/>
        <c:minorTickMark val="none"/>
        <c:tickLblPos val="nextTo"/>
        <c:crossAx val="240077632"/>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de afaceri din Sectorul 2 București.xlsx]Question 8'!$B$25:$F$25</c:f>
              <c:strCache>
                <c:ptCount val="5"/>
                <c:pt idx="0">
                  <c:v>Deloc satisfăcut</c:v>
                </c:pt>
                <c:pt idx="1">
                  <c:v>Nesatisfăcut</c:v>
                </c:pt>
                <c:pt idx="2">
                  <c:v>Neutru</c:v>
                </c:pt>
                <c:pt idx="3">
                  <c:v>Satisfăcut</c:v>
                </c:pt>
                <c:pt idx="4">
                  <c:v>Foarte satisfăcut</c:v>
                </c:pt>
              </c:strCache>
            </c:strRef>
          </c:cat>
          <c:val>
            <c:numRef>
              <c:f>'[Chestionar privind consultarea mediului de afaceri din Sectorul 2 București.xlsx]Question 8'!$B$26:$F$26</c:f>
              <c:numCache>
                <c:formatCode>0.0%</c:formatCode>
                <c:ptCount val="5"/>
                <c:pt idx="0">
                  <c:v>5.7099999999999998E-2</c:v>
                </c:pt>
                <c:pt idx="1">
                  <c:v>7.1399999999999991E-2</c:v>
                </c:pt>
                <c:pt idx="2">
                  <c:v>0.57140000000000002</c:v>
                </c:pt>
                <c:pt idx="3">
                  <c:v>0.1714</c:v>
                </c:pt>
                <c:pt idx="4">
                  <c:v>0.12859999999999999</c:v>
                </c:pt>
              </c:numCache>
            </c:numRef>
          </c:val>
          <c:extLst>
            <c:ext xmlns:c16="http://schemas.microsoft.com/office/drawing/2014/chart" uri="{C3380CC4-5D6E-409C-BE32-E72D297353CC}">
              <c16:uniqueId val="{00000000-B637-499D-96A5-7CAC60AE4093}"/>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de afaceri din Sectorul 2 București.xlsx]Question 11'!$A$43:$A$58</c:f>
              <c:strCache>
                <c:ptCount val="16"/>
                <c:pt idx="0">
                  <c:v>Infrastructura IT</c:v>
                </c:pt>
                <c:pt idx="1">
                  <c:v>Acoperirea broadband adecvată</c:v>
                </c:pt>
                <c:pt idx="2">
                  <c:v>Acces către legături de transport</c:v>
                </c:pt>
                <c:pt idx="3">
                  <c:v>Proximitatea față de alte firme/organizații din același sector economic</c:v>
                </c:pt>
                <c:pt idx="4">
                  <c:v>Acces către piețe/zone învecinate</c:v>
                </c:pt>
                <c:pt idx="5">
                  <c:v>Proximitatea față de furnizori</c:v>
                </c:pt>
                <c:pt idx="6">
                  <c:v>Atractivitatea generală a zonei</c:v>
                </c:pt>
                <c:pt idx="7">
                  <c:v>Apropierea față de piața de desfacere</c:v>
                </c:pt>
                <c:pt idx="8">
                  <c:v>Acces la forță de muncă bine pregătită</c:v>
                </c:pt>
                <c:pt idx="9">
                  <c:v>Accesul la forța de muncă</c:v>
                </c:pt>
                <c:pt idx="10">
                  <c:v>Disponibilitatea terenurilor/spațiilor pentru desfășurarea activității</c:v>
                </c:pt>
                <c:pt idx="11">
                  <c:v>Costul forței de muncă</c:v>
                </c:pt>
                <c:pt idx="12">
                  <c:v>Costul factorilor de producție (materie primă), în afară de forța de muncă</c:v>
                </c:pt>
                <c:pt idx="13">
                  <c:v>Asistență financiară</c:v>
                </c:pt>
                <c:pt idx="14">
                  <c:v>Facilitățile oferite investitorilor</c:v>
                </c:pt>
                <c:pt idx="15">
                  <c:v>Costul terenurilor</c:v>
                </c:pt>
              </c:strCache>
            </c:strRef>
          </c:cat>
          <c:val>
            <c:numRef>
              <c:f>'[Chestionar privind consultarea mediului de afaceri din Sectorul 2 București.xlsx]Question 11'!$B$43:$B$58</c:f>
              <c:numCache>
                <c:formatCode>General</c:formatCode>
                <c:ptCount val="16"/>
                <c:pt idx="0">
                  <c:v>3.36</c:v>
                </c:pt>
                <c:pt idx="1">
                  <c:v>3.26</c:v>
                </c:pt>
                <c:pt idx="2">
                  <c:v>3.14</c:v>
                </c:pt>
                <c:pt idx="3">
                  <c:v>2.89</c:v>
                </c:pt>
                <c:pt idx="4">
                  <c:v>2.81</c:v>
                </c:pt>
                <c:pt idx="5">
                  <c:v>2.8</c:v>
                </c:pt>
                <c:pt idx="6">
                  <c:v>2.71</c:v>
                </c:pt>
                <c:pt idx="7">
                  <c:v>2.67</c:v>
                </c:pt>
                <c:pt idx="8">
                  <c:v>2.56</c:v>
                </c:pt>
                <c:pt idx="9">
                  <c:v>2.4300000000000002</c:v>
                </c:pt>
                <c:pt idx="10">
                  <c:v>2.37</c:v>
                </c:pt>
                <c:pt idx="11">
                  <c:v>2.31</c:v>
                </c:pt>
                <c:pt idx="12">
                  <c:v>2.21</c:v>
                </c:pt>
                <c:pt idx="13">
                  <c:v>2.19</c:v>
                </c:pt>
                <c:pt idx="14">
                  <c:v>2.04</c:v>
                </c:pt>
                <c:pt idx="15">
                  <c:v>2</c:v>
                </c:pt>
              </c:numCache>
            </c:numRef>
          </c:val>
          <c:extLst>
            <c:ext xmlns:c16="http://schemas.microsoft.com/office/drawing/2014/chart" uri="{C3380CC4-5D6E-409C-BE32-E72D297353CC}">
              <c16:uniqueId val="{00000000-9BF7-40BA-9BE2-D312A9FC0782}"/>
            </c:ext>
          </c:extLst>
        </c:ser>
        <c:dLbls>
          <c:dLblPos val="outEnd"/>
          <c:showLegendKey val="0"/>
          <c:showVal val="1"/>
          <c:showCatName val="0"/>
          <c:showSerName val="0"/>
          <c:showPercent val="0"/>
          <c:showBubbleSize val="0"/>
        </c:dLbls>
        <c:gapWidth val="150"/>
        <c:axId val="239848960"/>
        <c:axId val="240080512"/>
      </c:barChart>
      <c:catAx>
        <c:axId val="239848960"/>
        <c:scaling>
          <c:orientation val="minMax"/>
        </c:scaling>
        <c:delete val="0"/>
        <c:axPos val="l"/>
        <c:numFmt formatCode="General" sourceLinked="0"/>
        <c:majorTickMark val="none"/>
        <c:minorTickMark val="none"/>
        <c:tickLblPos val="nextTo"/>
        <c:crossAx val="240080512"/>
        <c:crosses val="autoZero"/>
        <c:auto val="1"/>
        <c:lblAlgn val="ctr"/>
        <c:lblOffset val="100"/>
        <c:noMultiLvlLbl val="0"/>
      </c:catAx>
      <c:valAx>
        <c:axId val="240080512"/>
        <c:scaling>
          <c:orientation val="minMax"/>
        </c:scaling>
        <c:delete val="1"/>
        <c:axPos val="b"/>
        <c:numFmt formatCode="General" sourceLinked="1"/>
        <c:majorTickMark val="out"/>
        <c:minorTickMark val="none"/>
        <c:tickLblPos val="nextTo"/>
        <c:crossAx val="239848960"/>
        <c:crosses val="autoZero"/>
        <c:crossBetween val="between"/>
      </c:valAx>
    </c:plotArea>
    <c:plotVisOnly val="1"/>
    <c:dispBlanksAs val="gap"/>
    <c:showDLblsOverMax val="0"/>
  </c:chart>
  <c:spPr>
    <a:ln>
      <a:noFill/>
    </a:ln>
  </c:spPr>
  <c:externalData r:id="rId1">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'Question 13'!$B$35</c:f>
              <c:strCache>
                <c:ptCount val="1"/>
                <c:pt idx="0">
                  <c:v>Foarte nemulțumitor</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13'!$B$36:$B$39</c:f>
              <c:numCache>
                <c:formatCode>0.0%</c:formatCode>
                <c:ptCount val="4"/>
                <c:pt idx="0">
                  <c:v>0.1429</c:v>
                </c:pt>
                <c:pt idx="1">
                  <c:v>0.12859999999999999</c:v>
                </c:pt>
                <c:pt idx="2">
                  <c:v>0.15709999999999999</c:v>
                </c:pt>
                <c:pt idx="3">
                  <c:v>8.5699999999999998E-2</c:v>
                </c:pt>
              </c:numCache>
            </c:numRef>
          </c:val>
          <c:extLst>
            <c:ext xmlns:c16="http://schemas.microsoft.com/office/drawing/2014/chart" uri="{C3380CC4-5D6E-409C-BE32-E72D297353CC}">
              <c16:uniqueId val="{00000000-FAFF-493B-A12D-8AB8D100800C}"/>
            </c:ext>
          </c:extLst>
        </c:ser>
        <c:ser>
          <c:idx val="1"/>
          <c:order val="1"/>
          <c:tx>
            <c:strRef>
              <c:f>'Question 13'!$C$35</c:f>
              <c:strCache>
                <c:ptCount val="1"/>
                <c:pt idx="0">
                  <c:v>Nemulțumitor</c:v>
                </c:pt>
              </c:strCache>
            </c:strRef>
          </c:tx>
          <c:invertIfNegative val="0"/>
          <c:dLbls>
            <c:spPr>
              <a:noFill/>
              <a:ln>
                <a:noFill/>
              </a:ln>
              <a:effectLst/>
            </c:spPr>
            <c:txPr>
              <a:bodyPr/>
              <a:lstStyle/>
              <a:p>
                <a:pPr>
                  <a:defRPr>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13'!$C$36:$C$39</c:f>
              <c:numCache>
                <c:formatCode>0.0%</c:formatCode>
                <c:ptCount val="4"/>
                <c:pt idx="0">
                  <c:v>0.1857</c:v>
                </c:pt>
                <c:pt idx="1">
                  <c:v>0.2</c:v>
                </c:pt>
                <c:pt idx="2">
                  <c:v>0.1857</c:v>
                </c:pt>
                <c:pt idx="3">
                  <c:v>0.12859999999999999</c:v>
                </c:pt>
              </c:numCache>
            </c:numRef>
          </c:val>
          <c:extLst>
            <c:ext xmlns:c16="http://schemas.microsoft.com/office/drawing/2014/chart" uri="{C3380CC4-5D6E-409C-BE32-E72D297353CC}">
              <c16:uniqueId val="{00000001-FAFF-493B-A12D-8AB8D100800C}"/>
            </c:ext>
          </c:extLst>
        </c:ser>
        <c:ser>
          <c:idx val="2"/>
          <c:order val="2"/>
          <c:tx>
            <c:strRef>
              <c:f>'Question 13'!$D$35</c:f>
              <c:strCache>
                <c:ptCount val="1"/>
                <c:pt idx="0">
                  <c:v>Neutru</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13'!$D$36:$D$39</c:f>
              <c:numCache>
                <c:formatCode>0.0%</c:formatCode>
                <c:ptCount val="4"/>
                <c:pt idx="0">
                  <c:v>0.27139999999999997</c:v>
                </c:pt>
                <c:pt idx="1">
                  <c:v>0.28570000000000001</c:v>
                </c:pt>
                <c:pt idx="2">
                  <c:v>0.4</c:v>
                </c:pt>
                <c:pt idx="3">
                  <c:v>0.37140000000000001</c:v>
                </c:pt>
              </c:numCache>
            </c:numRef>
          </c:val>
          <c:extLst>
            <c:ext xmlns:c16="http://schemas.microsoft.com/office/drawing/2014/chart" uri="{C3380CC4-5D6E-409C-BE32-E72D297353CC}">
              <c16:uniqueId val="{00000002-FAFF-493B-A12D-8AB8D100800C}"/>
            </c:ext>
          </c:extLst>
        </c:ser>
        <c:ser>
          <c:idx val="3"/>
          <c:order val="3"/>
          <c:tx>
            <c:strRef>
              <c:f>'Question 13'!$E$35</c:f>
              <c:strCache>
                <c:ptCount val="1"/>
                <c:pt idx="0">
                  <c:v>Mulțumitor</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13'!$E$36:$E$39</c:f>
              <c:numCache>
                <c:formatCode>0.0%</c:formatCode>
                <c:ptCount val="4"/>
                <c:pt idx="0">
                  <c:v>0.3</c:v>
                </c:pt>
                <c:pt idx="1">
                  <c:v>0.28570000000000001</c:v>
                </c:pt>
                <c:pt idx="2">
                  <c:v>0.1857</c:v>
                </c:pt>
                <c:pt idx="3">
                  <c:v>0.31430000000000002</c:v>
                </c:pt>
              </c:numCache>
            </c:numRef>
          </c:val>
          <c:extLst>
            <c:ext xmlns:c16="http://schemas.microsoft.com/office/drawing/2014/chart" uri="{C3380CC4-5D6E-409C-BE32-E72D297353CC}">
              <c16:uniqueId val="{00000003-FAFF-493B-A12D-8AB8D100800C}"/>
            </c:ext>
          </c:extLst>
        </c:ser>
        <c:ser>
          <c:idx val="4"/>
          <c:order val="4"/>
          <c:tx>
            <c:strRef>
              <c:f>'Question 13'!$F$35</c:f>
              <c:strCache>
                <c:ptCount val="1"/>
                <c:pt idx="0">
                  <c:v>Foarte mulțumitor</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13'!$F$36:$F$39</c:f>
              <c:numCache>
                <c:formatCode>0.0%</c:formatCode>
                <c:ptCount val="4"/>
                <c:pt idx="0">
                  <c:v>0.1</c:v>
                </c:pt>
                <c:pt idx="1">
                  <c:v>0.1</c:v>
                </c:pt>
                <c:pt idx="2">
                  <c:v>7.1399999999999991E-2</c:v>
                </c:pt>
                <c:pt idx="3">
                  <c:v>0.1</c:v>
                </c:pt>
              </c:numCache>
            </c:numRef>
          </c:val>
          <c:extLst>
            <c:ext xmlns:c16="http://schemas.microsoft.com/office/drawing/2014/chart" uri="{C3380CC4-5D6E-409C-BE32-E72D297353CC}">
              <c16:uniqueId val="{00000004-FAFF-493B-A12D-8AB8D100800C}"/>
            </c:ext>
          </c:extLst>
        </c:ser>
        <c:dLbls>
          <c:dLblPos val="inEnd"/>
          <c:showLegendKey val="0"/>
          <c:showVal val="1"/>
          <c:showCatName val="0"/>
          <c:showSerName val="0"/>
          <c:showPercent val="0"/>
          <c:showBubbleSize val="0"/>
        </c:dLbls>
        <c:gapWidth val="150"/>
        <c:overlap val="100"/>
        <c:axId val="240415744"/>
        <c:axId val="240082240"/>
      </c:barChart>
      <c:catAx>
        <c:axId val="240415744"/>
        <c:scaling>
          <c:orientation val="minMax"/>
        </c:scaling>
        <c:delete val="0"/>
        <c:axPos val="l"/>
        <c:numFmt formatCode="General" sourceLinked="0"/>
        <c:majorTickMark val="none"/>
        <c:minorTickMark val="none"/>
        <c:tickLblPos val="nextTo"/>
        <c:crossAx val="240082240"/>
        <c:crosses val="autoZero"/>
        <c:auto val="1"/>
        <c:lblAlgn val="ctr"/>
        <c:lblOffset val="100"/>
        <c:noMultiLvlLbl val="0"/>
      </c:catAx>
      <c:valAx>
        <c:axId val="240082240"/>
        <c:scaling>
          <c:orientation val="minMax"/>
        </c:scaling>
        <c:delete val="1"/>
        <c:axPos val="b"/>
        <c:numFmt formatCode="0%" sourceLinked="1"/>
        <c:majorTickMark val="out"/>
        <c:minorTickMark val="none"/>
        <c:tickLblPos val="nextTo"/>
        <c:crossAx val="24041574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15'!$D$3</c:f>
              <c:strCache>
                <c:ptCount val="1"/>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15'!$A$4:$A$10</c:f>
              <c:strCache>
                <c:ptCount val="7"/>
                <c:pt idx="0">
                  <c:v>Reglementări fiscale care să favorizeze dezvoltarea de afaceri</c:v>
                </c:pt>
                <c:pt idx="1">
                  <c:v>Investiții în educație și formarea forței de muncă</c:v>
                </c:pt>
                <c:pt idx="2">
                  <c:v>Promovarea antreprenoriatului și furnizarea de servicii de consultanță pentru întreprinzătorii locali</c:v>
                </c:pt>
                <c:pt idx="3">
                  <c:v>Investiții pentru îmbunătățirea mobilității angajaților</c:v>
                </c:pt>
                <c:pt idx="4">
                  <c:v>Reglementări urbanistice care să favorizeze construcția de spatii de birouri, parcuri industriale, logistice</c:v>
                </c:pt>
                <c:pt idx="5">
                  <c:v>Investiții pentru creșterea mobilității mărfurilor (transport mărfuri)</c:v>
                </c:pt>
                <c:pt idx="6">
                  <c:v>Altele:</c:v>
                </c:pt>
              </c:strCache>
            </c:strRef>
          </c:cat>
          <c:val>
            <c:numRef>
              <c:f>'Question 15'!$D$4:$D$10</c:f>
              <c:numCache>
                <c:formatCode>0.0%</c:formatCode>
                <c:ptCount val="7"/>
                <c:pt idx="0">
                  <c:v>0.26237623762376239</c:v>
                </c:pt>
                <c:pt idx="1">
                  <c:v>0.18811881188118812</c:v>
                </c:pt>
                <c:pt idx="2">
                  <c:v>0.14851485148514851</c:v>
                </c:pt>
                <c:pt idx="3">
                  <c:v>0.13861386138613863</c:v>
                </c:pt>
                <c:pt idx="4">
                  <c:v>0.12871287128712872</c:v>
                </c:pt>
                <c:pt idx="5">
                  <c:v>9.405940594059406E-2</c:v>
                </c:pt>
                <c:pt idx="6">
                  <c:v>3.9603960396039604E-2</c:v>
                </c:pt>
              </c:numCache>
            </c:numRef>
          </c:val>
          <c:extLst>
            <c:ext xmlns:c16="http://schemas.microsoft.com/office/drawing/2014/chart" uri="{C3380CC4-5D6E-409C-BE32-E72D297353CC}">
              <c16:uniqueId val="{00000000-EDEE-4D6D-8DE2-2682C3147EC2}"/>
            </c:ext>
          </c:extLst>
        </c:ser>
        <c:dLbls>
          <c:showLegendKey val="0"/>
          <c:showVal val="0"/>
          <c:showCatName val="0"/>
          <c:showSerName val="0"/>
          <c:showPercent val="0"/>
          <c:showBubbleSize val="0"/>
        </c:dLbls>
        <c:gapWidth val="150"/>
        <c:axId val="239846912"/>
        <c:axId val="240559232"/>
      </c:barChart>
      <c:valAx>
        <c:axId val="240559232"/>
        <c:scaling>
          <c:orientation val="minMax"/>
        </c:scaling>
        <c:delete val="1"/>
        <c:axPos val="b"/>
        <c:numFmt formatCode="0.0%" sourceLinked="1"/>
        <c:majorTickMark val="out"/>
        <c:minorTickMark val="none"/>
        <c:tickLblPos val="nextTo"/>
        <c:crossAx val="239846912"/>
        <c:crosses val="autoZero"/>
        <c:crossBetween val="between"/>
      </c:valAx>
      <c:catAx>
        <c:axId val="239846912"/>
        <c:scaling>
          <c:orientation val="minMax"/>
        </c:scaling>
        <c:delete val="0"/>
        <c:axPos val="l"/>
        <c:numFmt formatCode="General" sourceLinked="0"/>
        <c:majorTickMark val="none"/>
        <c:minorTickMark val="none"/>
        <c:tickLblPos val="nextTo"/>
        <c:crossAx val="240559232"/>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0"/>
          <c:order val="0"/>
          <c:tx>
            <c:strRef>
              <c:f>Sheet1!$B$1</c:f>
              <c:strCache>
                <c:ptCount val="1"/>
                <c:pt idx="0">
                  <c:v>populație</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Sheet1!$B$2:$B$8</c:f>
              <c:numCache>
                <c:formatCode>General</c:formatCode>
                <c:ptCount val="7"/>
                <c:pt idx="0">
                  <c:v>375645</c:v>
                </c:pt>
                <c:pt idx="1">
                  <c:v>373045</c:v>
                </c:pt>
                <c:pt idx="2">
                  <c:v>371348</c:v>
                </c:pt>
                <c:pt idx="3">
                  <c:v>371936</c:v>
                </c:pt>
                <c:pt idx="4">
                  <c:v>372218</c:v>
                </c:pt>
                <c:pt idx="5">
                  <c:v>371332</c:v>
                </c:pt>
                <c:pt idx="6">
                  <c:v>368601</c:v>
                </c:pt>
              </c:numCache>
            </c:numRef>
          </c:val>
          <c:smooth val="0"/>
          <c:extLst>
            <c:ext xmlns:c16="http://schemas.microsoft.com/office/drawing/2014/chart" uri="{C3380CC4-5D6E-409C-BE32-E72D297353CC}">
              <c16:uniqueId val="{00000000-6383-4CFD-B420-D44724D47578}"/>
            </c:ext>
          </c:extLst>
        </c:ser>
        <c:dLbls>
          <c:dLblPos val="t"/>
          <c:showLegendKey val="0"/>
          <c:showVal val="1"/>
          <c:showCatName val="0"/>
          <c:showSerName val="0"/>
          <c:showPercent val="0"/>
          <c:showBubbleSize val="0"/>
        </c:dLbls>
        <c:marker val="1"/>
        <c:smooth val="0"/>
        <c:axId val="519849040"/>
        <c:axId val="519847080"/>
      </c:lineChart>
      <c:catAx>
        <c:axId val="51984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847080"/>
        <c:crosses val="autoZero"/>
        <c:auto val="1"/>
        <c:lblAlgn val="ctr"/>
        <c:lblOffset val="100"/>
        <c:noMultiLvlLbl val="0"/>
      </c:catAx>
      <c:valAx>
        <c:axId val="519847080"/>
        <c:scaling>
          <c:orientation val="minMax"/>
        </c:scaling>
        <c:delete val="1"/>
        <c:axPos val="l"/>
        <c:numFmt formatCode="General" sourceLinked="1"/>
        <c:majorTickMark val="none"/>
        <c:minorTickMark val="none"/>
        <c:tickLblPos val="nextTo"/>
        <c:crossAx val="5198490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txPr>
              <a:bodyPr/>
              <a:lstStyle/>
              <a:p>
                <a:pPr>
                  <a:defRPr>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de afaceri din Sectorul 2 București.xlsx]Question 16'!$A$4:$A$6</c:f>
              <c:strCache>
                <c:ptCount val="3"/>
                <c:pt idx="0">
                  <c:v>Da</c:v>
                </c:pt>
                <c:pt idx="1">
                  <c:v>Nu</c:v>
                </c:pt>
                <c:pt idx="2">
                  <c:v>Prefer să nu răspund</c:v>
                </c:pt>
              </c:strCache>
            </c:strRef>
          </c:cat>
          <c:val>
            <c:numRef>
              <c:f>'[Chestionar privind consultarea mediului de afaceri din Sectorul 2 București.xlsx]Question 16'!$B$4:$B$6</c:f>
              <c:numCache>
                <c:formatCode>0.0%</c:formatCode>
                <c:ptCount val="3"/>
                <c:pt idx="0">
                  <c:v>0.42420000000000002</c:v>
                </c:pt>
                <c:pt idx="1">
                  <c:v>0.30299999999999999</c:v>
                </c:pt>
                <c:pt idx="2">
                  <c:v>0.2727</c:v>
                </c:pt>
              </c:numCache>
            </c:numRef>
          </c:val>
          <c:extLst>
            <c:ext xmlns:c16="http://schemas.microsoft.com/office/drawing/2014/chart" uri="{C3380CC4-5D6E-409C-BE32-E72D297353CC}">
              <c16:uniqueId val="{00000000-38E7-4E07-AE75-F39001999105}"/>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19'!$D$3</c:f>
              <c:strCache>
                <c:ptCount val="1"/>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19'!$A$4:$A$8</c:f>
              <c:strCache>
                <c:ptCount val="5"/>
                <c:pt idx="0">
                  <c:v>Simplificarea interacțiunii cu mediul privat prin reducerea birocrației</c:v>
                </c:pt>
                <c:pt idx="1">
                  <c:v>Implementarea unui sistem online pentru înregistrare și emitere documente</c:v>
                </c:pt>
                <c:pt idx="2">
                  <c:v>Creșterea transparenței și facilitarea accesului mediului de afaceri la informațiile de interes public</c:v>
                </c:pt>
                <c:pt idx="3">
                  <c:v>Dezvoltarea unei platforme de atragere și informare a investitorilor</c:v>
                </c:pt>
                <c:pt idx="4">
                  <c:v>Altele:</c:v>
                </c:pt>
              </c:strCache>
            </c:strRef>
          </c:cat>
          <c:val>
            <c:numRef>
              <c:f>'Question 19'!$D$4:$D$8</c:f>
              <c:numCache>
                <c:formatCode>0.0%</c:formatCode>
                <c:ptCount val="5"/>
                <c:pt idx="0">
                  <c:v>0.30288461538461536</c:v>
                </c:pt>
                <c:pt idx="1">
                  <c:v>0.25961538461538464</c:v>
                </c:pt>
                <c:pt idx="2">
                  <c:v>0.22115384615384615</c:v>
                </c:pt>
                <c:pt idx="3">
                  <c:v>0.20192307692307693</c:v>
                </c:pt>
                <c:pt idx="4">
                  <c:v>1.4423076923076924E-2</c:v>
                </c:pt>
              </c:numCache>
            </c:numRef>
          </c:val>
          <c:extLst>
            <c:ext xmlns:c16="http://schemas.microsoft.com/office/drawing/2014/chart" uri="{C3380CC4-5D6E-409C-BE32-E72D297353CC}">
              <c16:uniqueId val="{00000000-A678-4C35-B41B-802F970F8509}"/>
            </c:ext>
          </c:extLst>
        </c:ser>
        <c:dLbls>
          <c:dLblPos val="outEnd"/>
          <c:showLegendKey val="0"/>
          <c:showVal val="1"/>
          <c:showCatName val="0"/>
          <c:showSerName val="0"/>
          <c:showPercent val="0"/>
          <c:showBubbleSize val="0"/>
        </c:dLbls>
        <c:gapWidth val="150"/>
        <c:axId val="240005632"/>
        <c:axId val="240562112"/>
      </c:barChart>
      <c:valAx>
        <c:axId val="240562112"/>
        <c:scaling>
          <c:orientation val="minMax"/>
        </c:scaling>
        <c:delete val="1"/>
        <c:axPos val="b"/>
        <c:numFmt formatCode="0.0%" sourceLinked="1"/>
        <c:majorTickMark val="out"/>
        <c:minorTickMark val="none"/>
        <c:tickLblPos val="nextTo"/>
        <c:crossAx val="240005632"/>
        <c:crosses val="autoZero"/>
        <c:crossBetween val="between"/>
      </c:valAx>
      <c:catAx>
        <c:axId val="240005632"/>
        <c:scaling>
          <c:orientation val="minMax"/>
        </c:scaling>
        <c:delete val="0"/>
        <c:axPos val="l"/>
        <c:numFmt formatCode="General" sourceLinked="0"/>
        <c:majorTickMark val="none"/>
        <c:minorTickMark val="none"/>
        <c:tickLblPos val="nextTo"/>
        <c:crossAx val="240562112"/>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'[Chestionar privind consultarea mediului ONG din Sectorul 2 București.xlsx]Question 3'!$B$3</c:f>
              <c:strCache>
                <c:ptCount val="1"/>
                <c:pt idx="0">
                  <c:v>Responses</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ONG din Sectorul 2 București.xlsx]Question 3'!$A$4:$A$7</c:f>
              <c:strCache>
                <c:ptCount val="4"/>
                <c:pt idx="0">
                  <c:v>Între 0-9</c:v>
                </c:pt>
                <c:pt idx="1">
                  <c:v>Între 10-49</c:v>
                </c:pt>
                <c:pt idx="2">
                  <c:v>Între 50-249</c:v>
                </c:pt>
                <c:pt idx="3">
                  <c:v>Peste 250</c:v>
                </c:pt>
              </c:strCache>
            </c:strRef>
          </c:cat>
          <c:val>
            <c:numRef>
              <c:f>'[Chestionar privind consultarea mediului ONG din Sectorul 2 București.xlsx]Question 3'!$B$4:$B$7</c:f>
              <c:numCache>
                <c:formatCode>0.0%</c:formatCode>
                <c:ptCount val="4"/>
                <c:pt idx="0">
                  <c:v>0.5</c:v>
                </c:pt>
                <c:pt idx="1">
                  <c:v>0.26319999999999999</c:v>
                </c:pt>
                <c:pt idx="2">
                  <c:v>0.15790000000000001</c:v>
                </c:pt>
                <c:pt idx="3">
                  <c:v>7.8899999999999998E-2</c:v>
                </c:pt>
              </c:numCache>
            </c:numRef>
          </c:val>
          <c:extLst>
            <c:ext xmlns:c16="http://schemas.microsoft.com/office/drawing/2014/chart" uri="{C3380CC4-5D6E-409C-BE32-E72D297353CC}">
              <c16:uniqueId val="{00000000-21BC-472F-AA04-6197B842D295}"/>
            </c:ext>
          </c:extLst>
        </c:ser>
        <c:dLbls>
          <c:dLblPos val="outEnd"/>
          <c:showLegendKey val="0"/>
          <c:showVal val="1"/>
          <c:showCatName val="0"/>
          <c:showSerName val="0"/>
          <c:showPercent val="0"/>
          <c:showBubbleSize val="0"/>
        </c:dLbls>
        <c:gapWidth val="150"/>
        <c:axId val="242584576"/>
        <c:axId val="240564416"/>
      </c:barChart>
      <c:valAx>
        <c:axId val="240564416"/>
        <c:scaling>
          <c:orientation val="minMax"/>
        </c:scaling>
        <c:delete val="1"/>
        <c:axPos val="b"/>
        <c:numFmt formatCode="0.0%" sourceLinked="1"/>
        <c:majorTickMark val="out"/>
        <c:minorTickMark val="none"/>
        <c:tickLblPos val="nextTo"/>
        <c:crossAx val="242584576"/>
        <c:crosses val="autoZero"/>
        <c:crossBetween val="between"/>
      </c:valAx>
      <c:catAx>
        <c:axId val="242584576"/>
        <c:scaling>
          <c:orientation val="minMax"/>
        </c:scaling>
        <c:delete val="0"/>
        <c:axPos val="l"/>
        <c:numFmt formatCode="General" sourceLinked="0"/>
        <c:majorTickMark val="none"/>
        <c:minorTickMark val="none"/>
        <c:tickLblPos val="nextTo"/>
        <c:crossAx val="240564416"/>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txPr>
              <a:bodyPr/>
              <a:lstStyle/>
              <a:p>
                <a:pPr>
                  <a:defRPr>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4'!$A$4:$A$7</c:f>
              <c:strCache>
                <c:ptCount val="4"/>
                <c:pt idx="0">
                  <c:v>Sub 10.000 EUR</c:v>
                </c:pt>
                <c:pt idx="1">
                  <c:v>10.000 - 50.000 EUR</c:v>
                </c:pt>
                <c:pt idx="2">
                  <c:v>50.000 - 100.000 EUR</c:v>
                </c:pt>
                <c:pt idx="3">
                  <c:v>Peste 100.000 EUR</c:v>
                </c:pt>
              </c:strCache>
            </c:strRef>
          </c:cat>
          <c:val>
            <c:numRef>
              <c:f>'[Chestionar privind consultarea mediului ONG din Sectorul 2 București.xlsx]Question 4'!$B$4:$B$7</c:f>
              <c:numCache>
                <c:formatCode>0.0%</c:formatCode>
                <c:ptCount val="4"/>
                <c:pt idx="0">
                  <c:v>0.28949999999999998</c:v>
                </c:pt>
                <c:pt idx="1">
                  <c:v>0.26319999999999999</c:v>
                </c:pt>
                <c:pt idx="2">
                  <c:v>0.1842</c:v>
                </c:pt>
                <c:pt idx="3">
                  <c:v>0.26319999999999999</c:v>
                </c:pt>
              </c:numCache>
            </c:numRef>
          </c:val>
          <c:extLst>
            <c:ext xmlns:c16="http://schemas.microsoft.com/office/drawing/2014/chart" uri="{C3380CC4-5D6E-409C-BE32-E72D297353CC}">
              <c16:uniqueId val="{00000000-D3A5-4A34-BD66-058A0D801889}"/>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'[Chestionar privind consultarea mediului ONG din Sectorul 2 București.xlsx]Question 5'!$B$3</c:f>
              <c:strCache>
                <c:ptCount val="1"/>
                <c:pt idx="0">
                  <c:v>Responses</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ONG din Sectorul 2 București.xlsx]Question 5'!$A$4:$A$17</c:f>
              <c:strCache>
                <c:ptCount val="14"/>
                <c:pt idx="0">
                  <c:v>Învăţământ, educaţie, cercetare</c:v>
                </c:pt>
                <c:pt idx="1">
                  <c:v>Servicii sociale</c:v>
                </c:pt>
                <c:pt idx="2">
                  <c:v>Alt domeniu</c:v>
                </c:pt>
                <c:pt idx="3">
                  <c:v>Binefacere, caritate</c:v>
                </c:pt>
                <c:pt idx="4">
                  <c:v>Implicare civică, politici publice</c:v>
                </c:pt>
                <c:pt idx="5">
                  <c:v>Drepturile femeilor şi egalitatea de gen</c:v>
                </c:pt>
                <c:pt idx="6">
                  <c:v>Sport, turism, recreere</c:v>
                </c:pt>
                <c:pt idx="7">
                  <c:v>Drepturile și protecția copilului</c:v>
                </c:pt>
                <c:pt idx="8">
                  <c:v>Mass-media, arta, cultură</c:v>
                </c:pt>
                <c:pt idx="9">
                  <c:v>Ocrotirea sănătăţii şi drepturile pacientului</c:v>
                </c:pt>
                <c:pt idx="10">
                  <c:v>Profil juridic şi drepturile omului în general</c:v>
                </c:pt>
                <c:pt idx="11">
                  <c:v>Protecția mediului/Ecologie</c:v>
                </c:pt>
                <c:pt idx="12">
                  <c:v>Dezvoltare regională şi comunitară</c:v>
                </c:pt>
                <c:pt idx="13">
                  <c:v>Religie</c:v>
                </c:pt>
              </c:strCache>
            </c:strRef>
          </c:cat>
          <c:val>
            <c:numRef>
              <c:f>'[Chestionar privind consultarea mediului ONG din Sectorul 2 București.xlsx]Question 5'!$D$4:$D$17</c:f>
              <c:numCache>
                <c:formatCode>0.0%</c:formatCode>
                <c:ptCount val="14"/>
                <c:pt idx="0">
                  <c:v>0.20930232558139536</c:v>
                </c:pt>
                <c:pt idx="1">
                  <c:v>0.11627906976744186</c:v>
                </c:pt>
                <c:pt idx="2">
                  <c:v>0.11627906976744186</c:v>
                </c:pt>
                <c:pt idx="3">
                  <c:v>0.10465116279069768</c:v>
                </c:pt>
                <c:pt idx="4">
                  <c:v>8.1395348837209308E-2</c:v>
                </c:pt>
                <c:pt idx="5">
                  <c:v>6.9767441860465115E-2</c:v>
                </c:pt>
                <c:pt idx="6">
                  <c:v>6.9767441860465115E-2</c:v>
                </c:pt>
                <c:pt idx="7">
                  <c:v>5.8139534883720929E-2</c:v>
                </c:pt>
                <c:pt idx="8">
                  <c:v>5.8139534883720929E-2</c:v>
                </c:pt>
                <c:pt idx="9">
                  <c:v>3.4883720930232558E-2</c:v>
                </c:pt>
                <c:pt idx="10">
                  <c:v>3.4883720930232558E-2</c:v>
                </c:pt>
                <c:pt idx="11">
                  <c:v>2.3255813953488372E-2</c:v>
                </c:pt>
                <c:pt idx="12">
                  <c:v>1.1627906976744186E-2</c:v>
                </c:pt>
                <c:pt idx="13">
                  <c:v>1.1627906976744186E-2</c:v>
                </c:pt>
              </c:numCache>
            </c:numRef>
          </c:val>
          <c:extLst>
            <c:ext xmlns:c16="http://schemas.microsoft.com/office/drawing/2014/chart" uri="{C3380CC4-5D6E-409C-BE32-E72D297353CC}">
              <c16:uniqueId val="{00000000-3C8D-42F6-ABBE-8C2A06109FB3}"/>
            </c:ext>
          </c:extLst>
        </c:ser>
        <c:dLbls>
          <c:dLblPos val="outEnd"/>
          <c:showLegendKey val="0"/>
          <c:showVal val="1"/>
          <c:showCatName val="0"/>
          <c:showSerName val="0"/>
          <c:showPercent val="0"/>
          <c:showBubbleSize val="0"/>
        </c:dLbls>
        <c:gapWidth val="150"/>
        <c:axId val="242582528"/>
        <c:axId val="242639424"/>
      </c:barChart>
      <c:valAx>
        <c:axId val="242639424"/>
        <c:scaling>
          <c:orientation val="minMax"/>
        </c:scaling>
        <c:delete val="1"/>
        <c:axPos val="b"/>
        <c:numFmt formatCode="0.0%" sourceLinked="1"/>
        <c:majorTickMark val="out"/>
        <c:minorTickMark val="none"/>
        <c:tickLblPos val="nextTo"/>
        <c:crossAx val="242582528"/>
        <c:crosses val="autoZero"/>
        <c:crossBetween val="between"/>
      </c:valAx>
      <c:catAx>
        <c:axId val="242582528"/>
        <c:scaling>
          <c:orientation val="minMax"/>
        </c:scaling>
        <c:delete val="0"/>
        <c:axPos val="l"/>
        <c:numFmt formatCode="General" sourceLinked="0"/>
        <c:majorTickMark val="none"/>
        <c:minorTickMark val="none"/>
        <c:tickLblPos val="nextTo"/>
        <c:crossAx val="242639424"/>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'[Chestionar privind consultarea mediului ONG din Sectorul 2 București.xlsx]Question 6'!$D$3</c:f>
              <c:strCache>
                <c:ptCount val="1"/>
              </c:strCache>
            </c:strRef>
          </c:tx>
          <c:dLbls>
            <c:dLbl>
              <c:idx val="1"/>
              <c:spPr/>
              <c:txPr>
                <a:bodyPr/>
                <a:lstStyle/>
                <a:p>
                  <a:pPr>
                    <a:defRPr>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0-0366-4F85-8E7B-DDE039AC54E6}"/>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6'!$A$4:$A$13</c:f>
              <c:strCache>
                <c:ptCount val="10"/>
                <c:pt idx="0">
                  <c:v>Copii</c:v>
                </c:pt>
                <c:pt idx="1">
                  <c:v>Elevi</c:v>
                </c:pt>
                <c:pt idx="2">
                  <c:v>Studenți</c:v>
                </c:pt>
                <c:pt idx="3">
                  <c:v>Familii</c:v>
                </c:pt>
                <c:pt idx="4">
                  <c:v>Femei</c:v>
                </c:pt>
                <c:pt idx="5">
                  <c:v>Persoane vârstnice</c:v>
                </c:pt>
                <c:pt idx="6">
                  <c:v>Persoane cu dizabilități</c:v>
                </c:pt>
                <c:pt idx="7">
                  <c:v>Grupuri minoritare</c:v>
                </c:pt>
                <c:pt idx="8">
                  <c:v>Șomeri</c:v>
                </c:pt>
                <c:pt idx="9">
                  <c:v>Altă categorie (care?)</c:v>
                </c:pt>
              </c:strCache>
            </c:strRef>
          </c:cat>
          <c:val>
            <c:numRef>
              <c:f>'[Chestionar privind consultarea mediului ONG din Sectorul 2 București.xlsx]Question 6'!$D$4:$D$13</c:f>
              <c:numCache>
                <c:formatCode>0.0%</c:formatCode>
                <c:ptCount val="10"/>
                <c:pt idx="0">
                  <c:v>0.16528925619834711</c:v>
                </c:pt>
                <c:pt idx="1">
                  <c:v>0.1487603305785124</c:v>
                </c:pt>
                <c:pt idx="2">
                  <c:v>0.13223140495867769</c:v>
                </c:pt>
                <c:pt idx="3">
                  <c:v>9.9173553719008267E-2</c:v>
                </c:pt>
                <c:pt idx="4">
                  <c:v>9.0909090909090912E-2</c:v>
                </c:pt>
                <c:pt idx="5">
                  <c:v>5.7851239669421489E-2</c:v>
                </c:pt>
                <c:pt idx="6">
                  <c:v>6.6115702479338845E-2</c:v>
                </c:pt>
                <c:pt idx="7">
                  <c:v>7.43801652892562E-2</c:v>
                </c:pt>
                <c:pt idx="8">
                  <c:v>3.3057851239669422E-2</c:v>
                </c:pt>
                <c:pt idx="9">
                  <c:v>0.13223140495867769</c:v>
                </c:pt>
              </c:numCache>
            </c:numRef>
          </c:val>
          <c:extLst>
            <c:ext xmlns:c16="http://schemas.microsoft.com/office/drawing/2014/chart" uri="{C3380CC4-5D6E-409C-BE32-E72D297353CC}">
              <c16:uniqueId val="{00000001-0366-4F85-8E7B-DDE039AC54E6}"/>
            </c:ext>
          </c:extLst>
        </c:ser>
        <c:dLbls>
          <c:showLegendKey val="0"/>
          <c:showVal val="1"/>
          <c:showCatName val="0"/>
          <c:showSerName val="0"/>
          <c:showPercent val="0"/>
          <c:showBubbleSize val="0"/>
          <c:showLeaderLines val="1"/>
        </c:dLbls>
        <c:firstSliceAng val="0"/>
        <c:holeSize val="50"/>
      </c:doughnutChart>
    </c:plotArea>
    <c:legend>
      <c:legendPos val="r"/>
      <c:overlay val="0"/>
    </c:legend>
    <c:plotVisOnly val="0"/>
    <c:dispBlanksAs val="gap"/>
    <c:showDLblsOverMax val="0"/>
  </c:chart>
  <c:spPr>
    <a:ln>
      <a:noFill/>
    </a:ln>
  </c:spPr>
  <c:externalData r:id="rId1">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8'!$B$27:$F$27</c:f>
              <c:strCache>
                <c:ptCount val="5"/>
                <c:pt idx="0">
                  <c:v>Deloc importantă</c:v>
                </c:pt>
                <c:pt idx="1">
                  <c:v>Puțin importantă</c:v>
                </c:pt>
                <c:pt idx="2">
                  <c:v>Neutru</c:v>
                </c:pt>
                <c:pt idx="3">
                  <c:v>Importantă</c:v>
                </c:pt>
                <c:pt idx="4">
                  <c:v>Foarte importantă</c:v>
                </c:pt>
              </c:strCache>
            </c:strRef>
          </c:cat>
          <c:val>
            <c:numRef>
              <c:f>'[Chestionar privind consultarea mediului ONG din Sectorul 2 București.xlsx]Question 8'!$B$28:$F$28</c:f>
              <c:numCache>
                <c:formatCode>0.0%</c:formatCode>
                <c:ptCount val="5"/>
                <c:pt idx="0">
                  <c:v>0</c:v>
                </c:pt>
                <c:pt idx="1">
                  <c:v>3.1300000000000001E-2</c:v>
                </c:pt>
                <c:pt idx="2">
                  <c:v>0</c:v>
                </c:pt>
                <c:pt idx="3">
                  <c:v>0.375</c:v>
                </c:pt>
                <c:pt idx="4">
                  <c:v>0.59379999999999999</c:v>
                </c:pt>
              </c:numCache>
            </c:numRef>
          </c:val>
          <c:extLst>
            <c:ext xmlns:c16="http://schemas.microsoft.com/office/drawing/2014/chart" uri="{C3380CC4-5D6E-409C-BE32-E72D297353CC}">
              <c16:uniqueId val="{00000000-9AB1-4A46-90CC-C08933FF35F1}"/>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txPr>
              <a:bodyPr/>
              <a:lstStyle/>
              <a:p>
                <a:pPr>
                  <a:defRPr>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9'!$A$4:$A$5</c:f>
              <c:strCache>
                <c:ptCount val="2"/>
                <c:pt idx="0">
                  <c:v>Da</c:v>
                </c:pt>
                <c:pt idx="1">
                  <c:v>Nu</c:v>
                </c:pt>
              </c:strCache>
            </c:strRef>
          </c:cat>
          <c:val>
            <c:numRef>
              <c:f>'[Chestionar privind consultarea mediului ONG din Sectorul 2 București.xlsx]Question 9'!$B$4:$B$5</c:f>
              <c:numCache>
                <c:formatCode>0.0%</c:formatCode>
                <c:ptCount val="2"/>
                <c:pt idx="0">
                  <c:v>0.5625</c:v>
                </c:pt>
                <c:pt idx="1">
                  <c:v>0.4375</c:v>
                </c:pt>
              </c:numCache>
            </c:numRef>
          </c:val>
          <c:extLst>
            <c:ext xmlns:c16="http://schemas.microsoft.com/office/drawing/2014/chart" uri="{C3380CC4-5D6E-409C-BE32-E72D297353CC}">
              <c16:uniqueId val="{00000000-57C5-45EA-90FE-721963DEB31C}"/>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1"/>
          <c:order val="1"/>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10'!$B$25:$G$25</c:f>
              <c:strCache>
                <c:ptCount val="6"/>
                <c:pt idx="0">
                  <c:v>Deloc satisfăcut</c:v>
                </c:pt>
                <c:pt idx="1">
                  <c:v>Nesatisfăcut</c:v>
                </c:pt>
                <c:pt idx="2">
                  <c:v>Neutru</c:v>
                </c:pt>
                <c:pt idx="3">
                  <c:v>Satisfăcut</c:v>
                </c:pt>
                <c:pt idx="4">
                  <c:v>Foarte satisfăcut</c:v>
                </c:pt>
                <c:pt idx="5">
                  <c:v>Nu știu</c:v>
                </c:pt>
              </c:strCache>
            </c:strRef>
          </c:cat>
          <c:val>
            <c:numRef>
              <c:f>'[Chestionar privind consultarea mediului ONG din Sectorul 2 București.xlsx]Question 10'!$B$26:$G$26</c:f>
              <c:numCache>
                <c:formatCode>0.0%</c:formatCode>
                <c:ptCount val="6"/>
                <c:pt idx="0">
                  <c:v>9.3800000000000008E-2</c:v>
                </c:pt>
                <c:pt idx="1">
                  <c:v>3.1300000000000001E-2</c:v>
                </c:pt>
                <c:pt idx="2">
                  <c:v>0.5</c:v>
                </c:pt>
                <c:pt idx="3">
                  <c:v>0.21879999999999999</c:v>
                </c:pt>
                <c:pt idx="4">
                  <c:v>6.25E-2</c:v>
                </c:pt>
                <c:pt idx="5">
                  <c:v>9.3800000000000008E-2</c:v>
                </c:pt>
              </c:numCache>
            </c:numRef>
          </c:val>
          <c:extLst>
            <c:ext xmlns:c16="http://schemas.microsoft.com/office/drawing/2014/chart" uri="{C3380CC4-5D6E-409C-BE32-E72D297353CC}">
              <c16:uniqueId val="{00000000-B694-4B91-9D3C-09FE5DD72179}"/>
            </c:ext>
          </c:extLst>
        </c:ser>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10'!$B$25:$G$25</c:f>
              <c:strCache>
                <c:ptCount val="6"/>
                <c:pt idx="0">
                  <c:v>Deloc satisfăcut</c:v>
                </c:pt>
                <c:pt idx="1">
                  <c:v>Nesatisfăcut</c:v>
                </c:pt>
                <c:pt idx="2">
                  <c:v>Neutru</c:v>
                </c:pt>
                <c:pt idx="3">
                  <c:v>Satisfăcut</c:v>
                </c:pt>
                <c:pt idx="4">
                  <c:v>Foarte satisfăcut</c:v>
                </c:pt>
                <c:pt idx="5">
                  <c:v>Nu știu</c:v>
                </c:pt>
              </c:strCache>
            </c:strRef>
          </c:cat>
          <c:val>
            <c:numRef>
              <c:f>'[Chestionar privind consultarea mediului ONG din Sectorul 2 București.xlsx]Question 10'!$B$26:$G$26</c:f>
              <c:numCache>
                <c:formatCode>0.0%</c:formatCode>
                <c:ptCount val="6"/>
                <c:pt idx="0">
                  <c:v>9.3800000000000008E-2</c:v>
                </c:pt>
                <c:pt idx="1">
                  <c:v>3.1300000000000001E-2</c:v>
                </c:pt>
                <c:pt idx="2">
                  <c:v>0.5</c:v>
                </c:pt>
                <c:pt idx="3">
                  <c:v>0.21879999999999999</c:v>
                </c:pt>
                <c:pt idx="4">
                  <c:v>6.25E-2</c:v>
                </c:pt>
                <c:pt idx="5">
                  <c:v>9.3800000000000008E-2</c:v>
                </c:pt>
              </c:numCache>
            </c:numRef>
          </c:val>
          <c:extLst>
            <c:ext xmlns:c16="http://schemas.microsoft.com/office/drawing/2014/chart" uri="{C3380CC4-5D6E-409C-BE32-E72D297353CC}">
              <c16:uniqueId val="{00000001-B694-4B91-9D3C-09FE5DD72179}"/>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12'!$B$26:$G$26</c:f>
              <c:strCache>
                <c:ptCount val="6"/>
                <c:pt idx="0">
                  <c:v>Deloc satisfăcut</c:v>
                </c:pt>
                <c:pt idx="1">
                  <c:v>Nesatisfăcut</c:v>
                </c:pt>
                <c:pt idx="2">
                  <c:v>Neutru</c:v>
                </c:pt>
                <c:pt idx="3">
                  <c:v>Satisfăcut</c:v>
                </c:pt>
                <c:pt idx="4">
                  <c:v>Foarte satisfăcut</c:v>
                </c:pt>
                <c:pt idx="5">
                  <c:v>Nu știu</c:v>
                </c:pt>
              </c:strCache>
            </c:strRef>
          </c:cat>
          <c:val>
            <c:numRef>
              <c:f>'[Chestionar privind consultarea mediului ONG din Sectorul 2 București.xlsx]Question 12'!$B$27:$G$27</c:f>
              <c:numCache>
                <c:formatCode>0.0%</c:formatCode>
                <c:ptCount val="6"/>
                <c:pt idx="0">
                  <c:v>3.2300000000000002E-2</c:v>
                </c:pt>
                <c:pt idx="1">
                  <c:v>6.4500000000000002E-2</c:v>
                </c:pt>
                <c:pt idx="2">
                  <c:v>0.3871</c:v>
                </c:pt>
                <c:pt idx="3">
                  <c:v>0.19350000000000001</c:v>
                </c:pt>
                <c:pt idx="4">
                  <c:v>0.2258</c:v>
                </c:pt>
                <c:pt idx="5">
                  <c:v>9.6799999999999997E-2</c:v>
                </c:pt>
              </c:numCache>
            </c:numRef>
          </c:val>
          <c:extLst>
            <c:ext xmlns:c16="http://schemas.microsoft.com/office/drawing/2014/chart" uri="{C3380CC4-5D6E-409C-BE32-E72D297353CC}">
              <c16:uniqueId val="{00000000-BB73-467A-AE5E-907898624A91}"/>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Sheet1!$B$1</c:f>
              <c:strCache>
                <c:ptCount val="1"/>
                <c:pt idx="0">
                  <c:v>% Masculin</c:v>
                </c:pt>
              </c:strCache>
            </c:strRef>
          </c:tx>
          <c:spPr>
            <a:solidFill>
              <a:schemeClr val="accent2"/>
            </a:solidFill>
            <a:ln>
              <a:noFill/>
            </a:ln>
            <a:effectLst/>
          </c:spPr>
          <c:invertIfNegative val="0"/>
          <c:cat>
            <c:strRef>
              <c:f>Sheet1!$A$2:$A$19</c:f>
              <c:strCache>
                <c:ptCount val="18"/>
                <c:pt idx="0">
                  <c:v>0 - 4 ani</c:v>
                </c:pt>
                <c:pt idx="1">
                  <c:v>5 - 9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Sheet1!$B$2:$B$19</c:f>
              <c:numCache>
                <c:formatCode>0.0</c:formatCode>
                <c:ptCount val="18"/>
                <c:pt idx="0">
                  <c:v>2.5010329206740054</c:v>
                </c:pt>
                <c:pt idx="1">
                  <c:v>2.3160556819427884</c:v>
                </c:pt>
                <c:pt idx="2">
                  <c:v>2.391934289126179</c:v>
                </c:pt>
                <c:pt idx="3">
                  <c:v>1.9827450196567233</c:v>
                </c:pt>
                <c:pt idx="4">
                  <c:v>1.882067062808517</c:v>
                </c:pt>
                <c:pt idx="5">
                  <c:v>2.422794673876985</c:v>
                </c:pt>
                <c:pt idx="6">
                  <c:v>4.1912751631274388</c:v>
                </c:pt>
                <c:pt idx="7">
                  <c:v>4.4639292071101959</c:v>
                </c:pt>
                <c:pt idx="8">
                  <c:v>4.8231959051461892</c:v>
                </c:pt>
                <c:pt idx="9">
                  <c:v>3.8068389758793937</c:v>
                </c:pt>
                <c:pt idx="10">
                  <c:v>3.9437443409133284</c:v>
                </c:pt>
                <c:pt idx="11">
                  <c:v>2.1646223396798385</c:v>
                </c:pt>
                <c:pt idx="12">
                  <c:v>2.6348383669998383</c:v>
                </c:pt>
                <c:pt idx="13">
                  <c:v>2.7692915575333346</c:v>
                </c:pt>
                <c:pt idx="14">
                  <c:v>1.9593799607374476</c:v>
                </c:pt>
                <c:pt idx="15">
                  <c:v>1.0133958128889067</c:v>
                </c:pt>
                <c:pt idx="16">
                  <c:v>0.73819705951890191</c:v>
                </c:pt>
                <c:pt idx="17">
                  <c:v>0.78344661916850922</c:v>
                </c:pt>
              </c:numCache>
            </c:numRef>
          </c:val>
          <c:extLst>
            <c:ext xmlns:c16="http://schemas.microsoft.com/office/drawing/2014/chart" uri="{C3380CC4-5D6E-409C-BE32-E72D297353CC}">
              <c16:uniqueId val="{00000000-5EDC-4EE7-8ABD-0D12782D3BEA}"/>
            </c:ext>
          </c:extLst>
        </c:ser>
        <c:ser>
          <c:idx val="1"/>
          <c:order val="1"/>
          <c:tx>
            <c:strRef>
              <c:f>Sheet1!$C$1</c:f>
              <c:strCache>
                <c:ptCount val="1"/>
                <c:pt idx="0">
                  <c:v>% Feminin</c:v>
                </c:pt>
              </c:strCache>
            </c:strRef>
          </c:tx>
          <c:spPr>
            <a:solidFill>
              <a:schemeClr val="accent5"/>
            </a:solidFill>
            <a:ln>
              <a:noFill/>
            </a:ln>
            <a:effectLst/>
          </c:spPr>
          <c:invertIfNegative val="0"/>
          <c:cat>
            <c:strRef>
              <c:f>Sheet1!$A$2:$A$19</c:f>
              <c:strCache>
                <c:ptCount val="18"/>
                <c:pt idx="0">
                  <c:v>0 - 4 ani</c:v>
                </c:pt>
                <c:pt idx="1">
                  <c:v>5 - 9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Sheet1!$C$2:$C$19</c:f>
              <c:numCache>
                <c:formatCode>0.00</c:formatCode>
                <c:ptCount val="18"/>
                <c:pt idx="0">
                  <c:v>-2.3558919507140685</c:v>
                </c:pt>
                <c:pt idx="1">
                  <c:v>-2.1674909211709181</c:v>
                </c:pt>
                <c:pt idx="2">
                  <c:v>-2.2673360640378433</c:v>
                </c:pt>
                <c:pt idx="3">
                  <c:v>-1.8541215269921951</c:v>
                </c:pt>
                <c:pt idx="4">
                  <c:v>-1.8252969097511875</c:v>
                </c:pt>
                <c:pt idx="5">
                  <c:v>-2.6019884821826387</c:v>
                </c:pt>
                <c:pt idx="6">
                  <c:v>-4.5182471856670867</c:v>
                </c:pt>
                <c:pt idx="7">
                  <c:v>-4.629751724271947</c:v>
                </c:pt>
                <c:pt idx="8">
                  <c:v>-4.9764336777019142</c:v>
                </c:pt>
                <c:pt idx="9">
                  <c:v>-4.0787527407676789</c:v>
                </c:pt>
                <c:pt idx="10">
                  <c:v>-4.5677996175533124</c:v>
                </c:pt>
                <c:pt idx="11">
                  <c:v>-2.6357174484245243</c:v>
                </c:pt>
                <c:pt idx="12">
                  <c:v>-3.5702272703087474</c:v>
                </c:pt>
                <c:pt idx="13">
                  <c:v>-3.7875454519797147</c:v>
                </c:pt>
                <c:pt idx="14">
                  <c:v>-2.7606395456166917</c:v>
                </c:pt>
                <c:pt idx="15">
                  <c:v>-1.6534596249468503</c:v>
                </c:pt>
                <c:pt idx="16">
                  <c:v>-1.4285535825575439</c:v>
                </c:pt>
                <c:pt idx="17">
                  <c:v>-1.5319613185666161</c:v>
                </c:pt>
              </c:numCache>
            </c:numRef>
          </c:val>
          <c:extLst>
            <c:ext xmlns:c16="http://schemas.microsoft.com/office/drawing/2014/chart" uri="{C3380CC4-5D6E-409C-BE32-E72D297353CC}">
              <c16:uniqueId val="{00000001-5EDC-4EE7-8ABD-0D12782D3BEA}"/>
            </c:ext>
          </c:extLst>
        </c:ser>
        <c:dLbls>
          <c:showLegendKey val="0"/>
          <c:showVal val="0"/>
          <c:showCatName val="0"/>
          <c:showSerName val="0"/>
          <c:showPercent val="0"/>
          <c:showBubbleSize val="0"/>
        </c:dLbls>
        <c:gapWidth val="150"/>
        <c:overlap val="100"/>
        <c:axId val="519850608"/>
        <c:axId val="519847864"/>
      </c:barChart>
      <c:catAx>
        <c:axId val="519850608"/>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19847864"/>
        <c:crosses val="autoZero"/>
        <c:auto val="1"/>
        <c:lblAlgn val="ctr"/>
        <c:lblOffset val="100"/>
        <c:noMultiLvlLbl val="0"/>
      </c:catAx>
      <c:valAx>
        <c:axId val="519847864"/>
        <c:scaling>
          <c:orientation val="minMax"/>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1985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14'!$C$27:$H$27</c:f>
              <c:strCache>
                <c:ptCount val="6"/>
                <c:pt idx="0">
                  <c:v>Deloc satisfăcut</c:v>
                </c:pt>
                <c:pt idx="1">
                  <c:v>Nesatisfăcut</c:v>
                </c:pt>
                <c:pt idx="2">
                  <c:v>Neutru</c:v>
                </c:pt>
                <c:pt idx="3">
                  <c:v>Satisfăcut</c:v>
                </c:pt>
                <c:pt idx="4">
                  <c:v>Foarte satisfăcut</c:v>
                </c:pt>
                <c:pt idx="5">
                  <c:v>Nu știu</c:v>
                </c:pt>
              </c:strCache>
            </c:strRef>
          </c:cat>
          <c:val>
            <c:numRef>
              <c:f>'[Chestionar privind consultarea mediului ONG din Sectorul 2 București.xlsx]Question 14'!$C$28:$H$28</c:f>
              <c:numCache>
                <c:formatCode>0.0%</c:formatCode>
                <c:ptCount val="6"/>
                <c:pt idx="0">
                  <c:v>3.1300000000000001E-2</c:v>
                </c:pt>
                <c:pt idx="1">
                  <c:v>6.25E-2</c:v>
                </c:pt>
                <c:pt idx="2">
                  <c:v>0.4375</c:v>
                </c:pt>
                <c:pt idx="3">
                  <c:v>0.1875</c:v>
                </c:pt>
                <c:pt idx="4">
                  <c:v>0.1875</c:v>
                </c:pt>
                <c:pt idx="5">
                  <c:v>9.3800000000000008E-2</c:v>
                </c:pt>
              </c:numCache>
            </c:numRef>
          </c:val>
          <c:extLst>
            <c:ext xmlns:c16="http://schemas.microsoft.com/office/drawing/2014/chart" uri="{C3380CC4-5D6E-409C-BE32-E72D297353CC}">
              <c16:uniqueId val="{00000000-0653-4A4F-A4A8-22E8479654B7}"/>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16'!$B$27:$G$27</c:f>
              <c:strCache>
                <c:ptCount val="6"/>
                <c:pt idx="0">
                  <c:v>Deloc satisfăcut</c:v>
                </c:pt>
                <c:pt idx="1">
                  <c:v>Nesatisfăcut</c:v>
                </c:pt>
                <c:pt idx="2">
                  <c:v>Neutru</c:v>
                </c:pt>
                <c:pt idx="3">
                  <c:v>Satisfăcut</c:v>
                </c:pt>
                <c:pt idx="4">
                  <c:v>Foarte satisfăcut</c:v>
                </c:pt>
                <c:pt idx="5">
                  <c:v>Nu am colaborat cu primăria</c:v>
                </c:pt>
              </c:strCache>
            </c:strRef>
          </c:cat>
          <c:val>
            <c:numRef>
              <c:f>'[Chestionar privind consultarea mediului ONG din Sectorul 2 București.xlsx]Question 16'!$B$28:$G$28</c:f>
              <c:numCache>
                <c:formatCode>0.0%</c:formatCode>
                <c:ptCount val="6"/>
                <c:pt idx="0">
                  <c:v>6.6699999999999995E-2</c:v>
                </c:pt>
                <c:pt idx="1">
                  <c:v>0.1</c:v>
                </c:pt>
                <c:pt idx="2">
                  <c:v>0.23330000000000001</c:v>
                </c:pt>
                <c:pt idx="3">
                  <c:v>0.23330000000000001</c:v>
                </c:pt>
                <c:pt idx="4">
                  <c:v>0.2</c:v>
                </c:pt>
                <c:pt idx="5">
                  <c:v>0.16669999999999999</c:v>
                </c:pt>
              </c:numCache>
            </c:numRef>
          </c:val>
          <c:extLst>
            <c:ext xmlns:c16="http://schemas.microsoft.com/office/drawing/2014/chart" uri="{C3380CC4-5D6E-409C-BE32-E72D297353CC}">
              <c16:uniqueId val="{00000000-8618-4EDF-A292-A01F5A7F5993}"/>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'[Chestionar privind consultarea mediului ONG din Sectorul 2 București.xlsx]Question 22'!$B$3</c:f>
              <c:strCache>
                <c:ptCount val="1"/>
                <c:pt idx="0">
                  <c:v>Responses</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ONG din Sectorul 2 București.xlsx]Question 22'!$A$4:$A$11</c:f>
              <c:strCache>
                <c:ptCount val="8"/>
                <c:pt idx="0">
                  <c:v>Investiții în educație și formarea forței de muncă</c:v>
                </c:pt>
                <c:pt idx="1">
                  <c:v>Investiții în infrastructura de transport</c:v>
                </c:pt>
                <c:pt idx="2">
                  <c:v>Dezvoltarea serviciilor de sănătate și servicii sociale</c:v>
                </c:pt>
                <c:pt idx="3">
                  <c:v>Creșterea numărului de parcuri și spații verzi</c:v>
                </c:pt>
                <c:pt idx="4">
                  <c:v>Creșterea calității mediului inconjurător</c:v>
                </c:pt>
                <c:pt idx="5">
                  <c:v>Dezvoltarea infrastructurii de mobilitate a pietonilor</c:v>
                </c:pt>
                <c:pt idx="6">
                  <c:v>Îmbunătățirea condițiilor de locuire</c:v>
                </c:pt>
                <c:pt idx="7">
                  <c:v>Altele:</c:v>
                </c:pt>
              </c:strCache>
            </c:strRef>
          </c:cat>
          <c:val>
            <c:numRef>
              <c:f>'[Chestionar privind consultarea mediului ONG din Sectorul 2 București.xlsx]Question 22'!$D$4:$D$11</c:f>
              <c:numCache>
                <c:formatCode>0.0%</c:formatCode>
                <c:ptCount val="8"/>
                <c:pt idx="0">
                  <c:v>0.20588235294117646</c:v>
                </c:pt>
                <c:pt idx="1">
                  <c:v>0.16666666666666666</c:v>
                </c:pt>
                <c:pt idx="2">
                  <c:v>0.16666666666666666</c:v>
                </c:pt>
                <c:pt idx="3">
                  <c:v>0.15686274509803921</c:v>
                </c:pt>
                <c:pt idx="4">
                  <c:v>0.12745098039215685</c:v>
                </c:pt>
                <c:pt idx="5">
                  <c:v>8.8235294117647065E-2</c:v>
                </c:pt>
                <c:pt idx="6">
                  <c:v>4.9019607843137254E-2</c:v>
                </c:pt>
                <c:pt idx="7">
                  <c:v>3.9215686274509803E-2</c:v>
                </c:pt>
              </c:numCache>
            </c:numRef>
          </c:val>
          <c:extLst>
            <c:ext xmlns:c16="http://schemas.microsoft.com/office/drawing/2014/chart" uri="{C3380CC4-5D6E-409C-BE32-E72D297353CC}">
              <c16:uniqueId val="{00000000-BC52-48EA-8719-833DD1C05F83}"/>
            </c:ext>
          </c:extLst>
        </c:ser>
        <c:dLbls>
          <c:showLegendKey val="0"/>
          <c:showVal val="0"/>
          <c:showCatName val="0"/>
          <c:showSerName val="0"/>
          <c:showPercent val="0"/>
          <c:showBubbleSize val="0"/>
        </c:dLbls>
        <c:gapWidth val="150"/>
        <c:axId val="245202432"/>
        <c:axId val="243315200"/>
      </c:barChart>
      <c:valAx>
        <c:axId val="243315200"/>
        <c:scaling>
          <c:orientation val="minMax"/>
        </c:scaling>
        <c:delete val="1"/>
        <c:axPos val="b"/>
        <c:numFmt formatCode="0.0%" sourceLinked="1"/>
        <c:majorTickMark val="out"/>
        <c:minorTickMark val="none"/>
        <c:tickLblPos val="nextTo"/>
        <c:crossAx val="245202432"/>
        <c:crosses val="autoZero"/>
        <c:crossBetween val="between"/>
      </c:valAx>
      <c:catAx>
        <c:axId val="245202432"/>
        <c:scaling>
          <c:orientation val="minMax"/>
        </c:scaling>
        <c:delete val="0"/>
        <c:axPos val="l"/>
        <c:numFmt formatCode="General" sourceLinked="0"/>
        <c:majorTickMark val="none"/>
        <c:minorTickMark val="none"/>
        <c:tickLblPos val="nextTo"/>
        <c:crossAx val="243315200"/>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txPr>
              <a:bodyPr/>
              <a:lstStyle/>
              <a:p>
                <a:pPr>
                  <a:defRPr>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24'!$A$4:$A$5</c:f>
              <c:strCache>
                <c:ptCount val="2"/>
                <c:pt idx="0">
                  <c:v>Da</c:v>
                </c:pt>
                <c:pt idx="1">
                  <c:v>Nu</c:v>
                </c:pt>
              </c:strCache>
            </c:strRef>
          </c:cat>
          <c:val>
            <c:numRef>
              <c:f>'[Chestionar privind consultarea mediului ONG din Sectorul 2 București.xlsx]Question 24'!$B$4:$B$5</c:f>
              <c:numCache>
                <c:formatCode>0.0%</c:formatCode>
                <c:ptCount val="2"/>
                <c:pt idx="0">
                  <c:v>0.86209999999999998</c:v>
                </c:pt>
                <c:pt idx="1">
                  <c:v>0.13789999999999999</c:v>
                </c:pt>
              </c:numCache>
            </c:numRef>
          </c:val>
          <c:extLst>
            <c:ext xmlns:c16="http://schemas.microsoft.com/office/drawing/2014/chart" uri="{C3380CC4-5D6E-409C-BE32-E72D297353CC}">
              <c16:uniqueId val="{00000000-43AC-4EC6-8F7D-FE02778F334B}"/>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txPr>
              <a:bodyPr/>
              <a:lstStyle/>
              <a:p>
                <a:pPr>
                  <a:defRPr>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'[Chestionar privind consultarea mediului ONG din Sectorul 2 București.xlsx]Question 25'!$A$4:$A$5</c:f>
              <c:strCache>
                <c:ptCount val="2"/>
                <c:pt idx="0">
                  <c:v>Da</c:v>
                </c:pt>
                <c:pt idx="1">
                  <c:v>Nu</c:v>
                </c:pt>
              </c:strCache>
            </c:strRef>
          </c:cat>
          <c:val>
            <c:numRef>
              <c:f>'[Chestionar privind consultarea mediului ONG din Sectorul 2 București.xlsx]Question 25'!$B$4:$B$5</c:f>
              <c:numCache>
                <c:formatCode>0.0%</c:formatCode>
                <c:ptCount val="2"/>
                <c:pt idx="0">
                  <c:v>0.86209999999999998</c:v>
                </c:pt>
                <c:pt idx="1">
                  <c:v>0.13789999999999999</c:v>
                </c:pt>
              </c:numCache>
            </c:numRef>
          </c:val>
          <c:extLst>
            <c:ext xmlns:c16="http://schemas.microsoft.com/office/drawing/2014/chart" uri="{C3380CC4-5D6E-409C-BE32-E72D297353CC}">
              <c16:uniqueId val="{00000000-809C-4431-BFDE-8D78C2EB02AD}"/>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53816516455225E-2"/>
          <c:y val="1.9873232863100526E-2"/>
          <c:w val="0.90896416593759111"/>
          <c:h val="0.8517449300672979"/>
        </c:manualLayout>
      </c:layout>
      <c:barChart>
        <c:barDir val="bar"/>
        <c:grouping val="stacked"/>
        <c:varyColors val="0"/>
        <c:ser>
          <c:idx val="0"/>
          <c:order val="0"/>
          <c:tx>
            <c:strRef>
              <c:f>Sheet1!$B$1</c:f>
              <c:strCache>
                <c:ptCount val="1"/>
                <c:pt idx="0">
                  <c:v>% Masculin</c:v>
                </c:pt>
              </c:strCache>
            </c:strRef>
          </c:tx>
          <c:spPr>
            <a:solidFill>
              <a:schemeClr val="accent2"/>
            </a:solidFill>
            <a:ln>
              <a:noFill/>
            </a:ln>
            <a:effectLst/>
          </c:spPr>
          <c:invertIfNegative val="0"/>
          <c:cat>
            <c:strRef>
              <c:f>Sheet1!$A$2:$A$19</c:f>
              <c:strCache>
                <c:ptCount val="18"/>
                <c:pt idx="0">
                  <c:v>0 - 4 ani</c:v>
                </c:pt>
                <c:pt idx="1">
                  <c:v>5 - 9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Sheet1!$B$2:$B$19</c:f>
              <c:numCache>
                <c:formatCode>0.00</c:formatCode>
                <c:ptCount val="18"/>
                <c:pt idx="0">
                  <c:v>2.1475796321767984</c:v>
                </c:pt>
                <c:pt idx="1">
                  <c:v>2.1934286667697593</c:v>
                </c:pt>
                <c:pt idx="2">
                  <c:v>2.3741118445148004</c:v>
                </c:pt>
                <c:pt idx="3">
                  <c:v>1.8966307741975741</c:v>
                </c:pt>
                <c:pt idx="4">
                  <c:v>1.8575641411716193</c:v>
                </c:pt>
                <c:pt idx="5">
                  <c:v>2.2354795564851968</c:v>
                </c:pt>
                <c:pt idx="6">
                  <c:v>3.7862078507654617</c:v>
                </c:pt>
                <c:pt idx="7">
                  <c:v>4.2593481840798049</c:v>
                </c:pt>
                <c:pt idx="8">
                  <c:v>4.7791514401751485</c:v>
                </c:pt>
                <c:pt idx="9">
                  <c:v>3.7189264272207616</c:v>
                </c:pt>
                <c:pt idx="10">
                  <c:v>3.7780689688850546</c:v>
                </c:pt>
                <c:pt idx="11">
                  <c:v>2.0659195173100451</c:v>
                </c:pt>
                <c:pt idx="12">
                  <c:v>2.6899004614746027</c:v>
                </c:pt>
                <c:pt idx="13">
                  <c:v>3.1193621286974262</c:v>
                </c:pt>
                <c:pt idx="14">
                  <c:v>2.3073730130954608</c:v>
                </c:pt>
                <c:pt idx="15">
                  <c:v>1.123979587684244</c:v>
                </c:pt>
                <c:pt idx="16">
                  <c:v>0.80710578647372089</c:v>
                </c:pt>
                <c:pt idx="17">
                  <c:v>0.910198290292213</c:v>
                </c:pt>
              </c:numCache>
            </c:numRef>
          </c:val>
          <c:extLst>
            <c:ext xmlns:c16="http://schemas.microsoft.com/office/drawing/2014/chart" uri="{C3380CC4-5D6E-409C-BE32-E72D297353CC}">
              <c16:uniqueId val="{00000000-3B45-44C0-BDF2-431C4B336EBC}"/>
            </c:ext>
          </c:extLst>
        </c:ser>
        <c:ser>
          <c:idx val="1"/>
          <c:order val="1"/>
          <c:tx>
            <c:strRef>
              <c:f>Sheet1!$C$1</c:f>
              <c:strCache>
                <c:ptCount val="1"/>
                <c:pt idx="0">
                  <c:v>% Feminin</c:v>
                </c:pt>
              </c:strCache>
            </c:strRef>
          </c:tx>
          <c:spPr>
            <a:solidFill>
              <a:schemeClr val="accent5"/>
            </a:solidFill>
            <a:ln>
              <a:noFill/>
            </a:ln>
            <a:effectLst/>
          </c:spPr>
          <c:invertIfNegative val="0"/>
          <c:cat>
            <c:strRef>
              <c:f>Sheet1!$A$2:$A$19</c:f>
              <c:strCache>
                <c:ptCount val="18"/>
                <c:pt idx="0">
                  <c:v>0 - 4 ani</c:v>
                </c:pt>
                <c:pt idx="1">
                  <c:v>5 - 9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Sheet1!$C$2:$C$19</c:f>
              <c:numCache>
                <c:formatCode>0.00</c:formatCode>
                <c:ptCount val="18"/>
                <c:pt idx="0">
                  <c:v>-2.057780635429638</c:v>
                </c:pt>
                <c:pt idx="1">
                  <c:v>-2.0765000637545747</c:v>
                </c:pt>
                <c:pt idx="2">
                  <c:v>-2.231410115544993</c:v>
                </c:pt>
                <c:pt idx="3">
                  <c:v>-1.8402011931600837</c:v>
                </c:pt>
                <c:pt idx="4">
                  <c:v>-1.7832290199972327</c:v>
                </c:pt>
                <c:pt idx="5">
                  <c:v>-2.3442692776199738</c:v>
                </c:pt>
                <c:pt idx="6">
                  <c:v>-4.208344524295919</c:v>
                </c:pt>
                <c:pt idx="7">
                  <c:v>-4.5181646278767555</c:v>
                </c:pt>
                <c:pt idx="8">
                  <c:v>-5.1171863342747308</c:v>
                </c:pt>
                <c:pt idx="9">
                  <c:v>-4.0306456032403606</c:v>
                </c:pt>
                <c:pt idx="10">
                  <c:v>-4.5512627475237455</c:v>
                </c:pt>
                <c:pt idx="11">
                  <c:v>-2.570530193895296</c:v>
                </c:pt>
                <c:pt idx="12">
                  <c:v>-3.8220189310392536</c:v>
                </c:pt>
                <c:pt idx="13">
                  <c:v>-4.4538674610215381</c:v>
                </c:pt>
                <c:pt idx="14">
                  <c:v>-3.1581574656607008</c:v>
                </c:pt>
                <c:pt idx="15">
                  <c:v>-1.814970659330821</c:v>
                </c:pt>
                <c:pt idx="16">
                  <c:v>-1.5762301241722079</c:v>
                </c:pt>
                <c:pt idx="17">
                  <c:v>-1.7948947506924833</c:v>
                </c:pt>
              </c:numCache>
            </c:numRef>
          </c:val>
          <c:extLst>
            <c:ext xmlns:c16="http://schemas.microsoft.com/office/drawing/2014/chart" uri="{C3380CC4-5D6E-409C-BE32-E72D297353CC}">
              <c16:uniqueId val="{00000001-3B45-44C0-BDF2-431C4B336EBC}"/>
            </c:ext>
          </c:extLst>
        </c:ser>
        <c:dLbls>
          <c:showLegendKey val="0"/>
          <c:showVal val="0"/>
          <c:showCatName val="0"/>
          <c:showSerName val="0"/>
          <c:showPercent val="0"/>
          <c:showBubbleSize val="0"/>
        </c:dLbls>
        <c:gapWidth val="150"/>
        <c:overlap val="100"/>
        <c:axId val="519850216"/>
        <c:axId val="519851000"/>
      </c:barChart>
      <c:catAx>
        <c:axId val="51985021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851000"/>
        <c:crosses val="autoZero"/>
        <c:auto val="1"/>
        <c:lblAlgn val="ctr"/>
        <c:lblOffset val="100"/>
        <c:noMultiLvlLbl val="0"/>
      </c:catAx>
      <c:valAx>
        <c:axId val="519851000"/>
        <c:scaling>
          <c:orientation val="minMax"/>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850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27'!$B$37</c:f>
              <c:strCache>
                <c:ptCount val="1"/>
                <c:pt idx="0">
                  <c:v>Inutilă</c:v>
                </c:pt>
              </c:strCache>
            </c:strRef>
          </c:tx>
          <c:invertIfNegative val="0"/>
          <c:dLbls>
            <c:delete val="1"/>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27'!$B$38:$B$46</c:f>
              <c:numCache>
                <c:formatCode>0.00%</c:formatCode>
                <c:ptCount val="9"/>
                <c:pt idx="0">
                  <c:v>4.5900000000000003E-2</c:v>
                </c:pt>
                <c:pt idx="1">
                  <c:v>6.7099999999999993E-2</c:v>
                </c:pt>
                <c:pt idx="2">
                  <c:v>1.9400000000000001E-2</c:v>
                </c:pt>
                <c:pt idx="3">
                  <c:v>3.5000000000000001E-3</c:v>
                </c:pt>
                <c:pt idx="4">
                  <c:v>3.5000000000000001E-3</c:v>
                </c:pt>
                <c:pt idx="5">
                  <c:v>1.8E-3</c:v>
                </c:pt>
                <c:pt idx="6">
                  <c:v>1.8E-3</c:v>
                </c:pt>
                <c:pt idx="7">
                  <c:v>8.8000000000000005E-3</c:v>
                </c:pt>
                <c:pt idx="8">
                  <c:v>7.7699999999999991E-2</c:v>
                </c:pt>
              </c:numCache>
            </c:numRef>
          </c:val>
          <c:extLst>
            <c:ext xmlns:c16="http://schemas.microsoft.com/office/drawing/2014/chart" uri="{C3380CC4-5D6E-409C-BE32-E72D297353CC}">
              <c16:uniqueId val="{00000000-CCAE-4D69-91E9-95218B5A1CC9}"/>
            </c:ext>
          </c:extLst>
        </c:ser>
        <c:ser>
          <c:idx val="1"/>
          <c:order val="1"/>
          <c:tx>
            <c:strRef>
              <c:f>'[ACTUALIZAREA STRATEGIEI DE DEZVOLTARE LOCALĂ INTEGRATĂ ŞI DURABILĂ A SECTORULUI 2  PENTRU PERIOADA 2016 - 2025. Chestionar dedicat locuitorilor Sectorului 2..xlsx]Question 27'!$C$37</c:f>
              <c:strCache>
                <c:ptCount val="1"/>
                <c:pt idx="0">
                  <c:v>Puțin necesară</c:v>
                </c:pt>
              </c:strCache>
            </c:strRef>
          </c:tx>
          <c:invertIfNegative val="0"/>
          <c:dLbls>
            <c:delete val="1"/>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27'!$C$38:$C$46</c:f>
              <c:numCache>
                <c:formatCode>0.00%</c:formatCode>
                <c:ptCount val="9"/>
                <c:pt idx="0">
                  <c:v>9.3599999999999989E-2</c:v>
                </c:pt>
                <c:pt idx="1">
                  <c:v>0.1042</c:v>
                </c:pt>
                <c:pt idx="2">
                  <c:v>4.0599999999999997E-2</c:v>
                </c:pt>
                <c:pt idx="3">
                  <c:v>2.12E-2</c:v>
                </c:pt>
                <c:pt idx="4">
                  <c:v>2.3E-2</c:v>
                </c:pt>
                <c:pt idx="5">
                  <c:v>1.5900000000000001E-2</c:v>
                </c:pt>
                <c:pt idx="6">
                  <c:v>1.41E-2</c:v>
                </c:pt>
                <c:pt idx="7">
                  <c:v>1.77E-2</c:v>
                </c:pt>
                <c:pt idx="8">
                  <c:v>6.8900000000000003E-2</c:v>
                </c:pt>
              </c:numCache>
            </c:numRef>
          </c:val>
          <c:extLst>
            <c:ext xmlns:c16="http://schemas.microsoft.com/office/drawing/2014/chart" uri="{C3380CC4-5D6E-409C-BE32-E72D297353CC}">
              <c16:uniqueId val="{00000001-CCAE-4D69-91E9-95218B5A1CC9}"/>
            </c:ext>
          </c:extLst>
        </c:ser>
        <c:ser>
          <c:idx val="2"/>
          <c:order val="2"/>
          <c:tx>
            <c:strRef>
              <c:f>'[ACTUALIZAREA STRATEGIEI DE DEZVOLTARE LOCALĂ INTEGRATĂ ŞI DURABILĂ A SECTORULUI 2  PENTRU PERIOADA 2016 - 2025. Chestionar dedicat locuitorilor Sectorului 2..xlsx]Question 27'!$D$37</c:f>
              <c:strCache>
                <c:ptCount val="1"/>
                <c:pt idx="0">
                  <c:v>Mediu</c:v>
                </c:pt>
              </c:strCache>
            </c:strRef>
          </c:tx>
          <c:invertIfNegative val="0"/>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CAE-4D69-91E9-95218B5A1CC9}"/>
                </c:ext>
              </c:extLst>
            </c:dLbl>
            <c:dLbl>
              <c:idx val="1"/>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AE-4D69-91E9-95218B5A1CC9}"/>
                </c:ext>
              </c:extLst>
            </c:dLbl>
            <c:dLbl>
              <c:idx val="8"/>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CAE-4D69-91E9-95218B5A1CC9}"/>
                </c:ext>
              </c:extLst>
            </c:dLbl>
            <c:numFmt formatCode="0.0%" sourceLinked="0"/>
            <c:spPr>
              <a:noFill/>
              <a:ln>
                <a:noFill/>
              </a:ln>
              <a:effectLst/>
            </c:spPr>
            <c:dLblPos val="inBase"/>
            <c:showLegendKey val="0"/>
            <c:showVal val="0"/>
            <c:showCatName val="0"/>
            <c:showSerName val="0"/>
            <c:showPercent val="0"/>
            <c:showBubbleSize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27'!$D$38:$D$46</c:f>
              <c:numCache>
                <c:formatCode>0.00%</c:formatCode>
                <c:ptCount val="9"/>
                <c:pt idx="0">
                  <c:v>0.1661</c:v>
                </c:pt>
                <c:pt idx="1">
                  <c:v>0.1555</c:v>
                </c:pt>
                <c:pt idx="2">
                  <c:v>0.106</c:v>
                </c:pt>
                <c:pt idx="3">
                  <c:v>4.9500000000000002E-2</c:v>
                </c:pt>
                <c:pt idx="4">
                  <c:v>6.7099999999999993E-2</c:v>
                </c:pt>
                <c:pt idx="5">
                  <c:v>4.24E-2</c:v>
                </c:pt>
                <c:pt idx="6">
                  <c:v>6.54E-2</c:v>
                </c:pt>
                <c:pt idx="7">
                  <c:v>8.1300000000000011E-2</c:v>
                </c:pt>
                <c:pt idx="8">
                  <c:v>0.1502</c:v>
                </c:pt>
              </c:numCache>
            </c:numRef>
          </c:val>
          <c:extLst>
            <c:ext xmlns:c16="http://schemas.microsoft.com/office/drawing/2014/chart" uri="{C3380CC4-5D6E-409C-BE32-E72D297353CC}">
              <c16:uniqueId val="{00000005-CCAE-4D69-91E9-95218B5A1CC9}"/>
            </c:ext>
          </c:extLst>
        </c:ser>
        <c:ser>
          <c:idx val="3"/>
          <c:order val="3"/>
          <c:tx>
            <c:strRef>
              <c:f>'[ACTUALIZAREA STRATEGIEI DE DEZVOLTARE LOCALĂ INTEGRATĂ ŞI DURABILĂ A SECTORULUI 2  PENTRU PERIOADA 2016 - 2025. Chestionar dedicat locuitorilor Sectorului 2..xlsx]Question 27'!$E$37</c:f>
              <c:strCache>
                <c:ptCount val="1"/>
                <c:pt idx="0">
                  <c:v>Necesară</c:v>
                </c:pt>
              </c:strCache>
            </c:strRef>
          </c:tx>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27'!$E$38:$E$46</c:f>
              <c:numCache>
                <c:formatCode>0.00%</c:formatCode>
                <c:ptCount val="9"/>
                <c:pt idx="0">
                  <c:v>0.36220000000000002</c:v>
                </c:pt>
                <c:pt idx="1">
                  <c:v>0.32329999999999998</c:v>
                </c:pt>
                <c:pt idx="2">
                  <c:v>0.35870000000000002</c:v>
                </c:pt>
                <c:pt idx="3">
                  <c:v>0.34810000000000002</c:v>
                </c:pt>
                <c:pt idx="4">
                  <c:v>0.3039</c:v>
                </c:pt>
                <c:pt idx="5">
                  <c:v>0.29330000000000001</c:v>
                </c:pt>
                <c:pt idx="6">
                  <c:v>0.3251</c:v>
                </c:pt>
                <c:pt idx="7">
                  <c:v>0.29859999999999998</c:v>
                </c:pt>
                <c:pt idx="8">
                  <c:v>0.3039</c:v>
                </c:pt>
              </c:numCache>
            </c:numRef>
          </c:val>
          <c:extLst>
            <c:ext xmlns:c16="http://schemas.microsoft.com/office/drawing/2014/chart" uri="{C3380CC4-5D6E-409C-BE32-E72D297353CC}">
              <c16:uniqueId val="{00000006-CCAE-4D69-91E9-95218B5A1CC9}"/>
            </c:ext>
          </c:extLst>
        </c:ser>
        <c:ser>
          <c:idx val="4"/>
          <c:order val="4"/>
          <c:tx>
            <c:strRef>
              <c:f>'[ACTUALIZAREA STRATEGIEI DE DEZVOLTARE LOCALĂ INTEGRATĂ ŞI DURABILĂ A SECTORULUI 2  PENTRU PERIOADA 2016 - 2025. Chestionar dedicat locuitorilor Sectorului 2..xlsx]Question 27'!$F$37</c:f>
              <c:strCache>
                <c:ptCount val="1"/>
                <c:pt idx="0">
                  <c:v>Foarte necesară</c:v>
                </c:pt>
              </c:strCache>
            </c:strRef>
          </c:tx>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27'!$F$38:$F$46</c:f>
              <c:numCache>
                <c:formatCode>0.00%</c:formatCode>
                <c:ptCount val="9"/>
                <c:pt idx="0">
                  <c:v>0.1943</c:v>
                </c:pt>
                <c:pt idx="1">
                  <c:v>0.23669999999999999</c:v>
                </c:pt>
                <c:pt idx="2">
                  <c:v>0.37990000000000002</c:v>
                </c:pt>
                <c:pt idx="3">
                  <c:v>0.52829999999999999</c:v>
                </c:pt>
                <c:pt idx="4">
                  <c:v>0.51939999999999997</c:v>
                </c:pt>
                <c:pt idx="5">
                  <c:v>0.56889999999999996</c:v>
                </c:pt>
                <c:pt idx="6">
                  <c:v>0.52300000000000002</c:v>
                </c:pt>
                <c:pt idx="7">
                  <c:v>0.51939999999999997</c:v>
                </c:pt>
                <c:pt idx="8">
                  <c:v>0.27389999999999998</c:v>
                </c:pt>
              </c:numCache>
            </c:numRef>
          </c:val>
          <c:extLst>
            <c:ext xmlns:c16="http://schemas.microsoft.com/office/drawing/2014/chart" uri="{C3380CC4-5D6E-409C-BE32-E72D297353CC}">
              <c16:uniqueId val="{00000007-CCAE-4D69-91E9-95218B5A1CC9}"/>
            </c:ext>
          </c:extLst>
        </c:ser>
        <c:dLbls>
          <c:dLblPos val="inBase"/>
          <c:showLegendKey val="0"/>
          <c:showVal val="1"/>
          <c:showCatName val="0"/>
          <c:showSerName val="0"/>
          <c:showPercent val="0"/>
          <c:showBubbleSize val="0"/>
        </c:dLbls>
        <c:gapWidth val="71"/>
        <c:overlap val="100"/>
        <c:axId val="225909248"/>
        <c:axId val="184972928"/>
      </c:barChart>
      <c:catAx>
        <c:axId val="225909248"/>
        <c:scaling>
          <c:orientation val="minMax"/>
        </c:scaling>
        <c:delete val="0"/>
        <c:axPos val="l"/>
        <c:numFmt formatCode="General" sourceLinked="0"/>
        <c:majorTickMark val="none"/>
        <c:minorTickMark val="none"/>
        <c:tickLblPos val="nextTo"/>
        <c:crossAx val="184972928"/>
        <c:crosses val="autoZero"/>
        <c:auto val="1"/>
        <c:lblAlgn val="ctr"/>
        <c:lblOffset val="100"/>
        <c:noMultiLvlLbl val="0"/>
      </c:catAx>
      <c:valAx>
        <c:axId val="184972928"/>
        <c:scaling>
          <c:orientation val="minMax"/>
        </c:scaling>
        <c:delete val="1"/>
        <c:axPos val="b"/>
        <c:numFmt formatCode="0%" sourceLinked="1"/>
        <c:majorTickMark val="out"/>
        <c:minorTickMark val="none"/>
        <c:tickLblPos val="nextTo"/>
        <c:crossAx val="22590924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Copii</c:v>
                </c:pt>
              </c:strCache>
            </c:strRef>
          </c:tx>
          <c:spPr>
            <a:ln w="19050"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Sheet1!$B$2:$B$8</c:f>
              <c:numCache>
                <c:formatCode>General</c:formatCode>
                <c:ptCount val="7"/>
                <c:pt idx="0">
                  <c:v>857</c:v>
                </c:pt>
                <c:pt idx="1">
                  <c:v>917</c:v>
                </c:pt>
                <c:pt idx="2">
                  <c:v>927</c:v>
                </c:pt>
                <c:pt idx="3">
                  <c:v>1023</c:v>
                </c:pt>
                <c:pt idx="4">
                  <c:v>1090</c:v>
                </c:pt>
                <c:pt idx="5">
                  <c:v>1203</c:v>
                </c:pt>
                <c:pt idx="6">
                  <c:v>1350</c:v>
                </c:pt>
              </c:numCache>
            </c:numRef>
          </c:val>
          <c:smooth val="0"/>
          <c:extLst>
            <c:ext xmlns:c16="http://schemas.microsoft.com/office/drawing/2014/chart" uri="{C3380CC4-5D6E-409C-BE32-E72D297353CC}">
              <c16:uniqueId val="{00000000-1A2E-48E3-ACE9-2217FC8DD4EF}"/>
            </c:ext>
          </c:extLst>
        </c:ser>
        <c:ser>
          <c:idx val="1"/>
          <c:order val="1"/>
          <c:tx>
            <c:strRef>
              <c:f>Sheet1!$C$1</c:f>
              <c:strCache>
                <c:ptCount val="1"/>
                <c:pt idx="0">
                  <c:v>Adulți</c:v>
                </c:pt>
              </c:strCache>
            </c:strRef>
          </c:tx>
          <c:spPr>
            <a:ln w="19050" cap="rnd">
              <a:solidFill>
                <a:schemeClr val="accent2"/>
              </a:solidFill>
              <a:round/>
            </a:ln>
            <a:effectLst/>
          </c:spPr>
          <c:marker>
            <c:symbol val="circle"/>
            <c:size val="7"/>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Sheet1!$C$2:$C$8</c:f>
              <c:numCache>
                <c:formatCode>General</c:formatCode>
                <c:ptCount val="7"/>
                <c:pt idx="0">
                  <c:v>15465</c:v>
                </c:pt>
                <c:pt idx="1">
                  <c:v>13430</c:v>
                </c:pt>
                <c:pt idx="2">
                  <c:v>13131</c:v>
                </c:pt>
                <c:pt idx="3">
                  <c:v>13421</c:v>
                </c:pt>
                <c:pt idx="4">
                  <c:v>13886</c:v>
                </c:pt>
                <c:pt idx="5">
                  <c:v>13836</c:v>
                </c:pt>
                <c:pt idx="6">
                  <c:v>13572</c:v>
                </c:pt>
              </c:numCache>
            </c:numRef>
          </c:val>
          <c:smooth val="0"/>
          <c:extLst>
            <c:ext xmlns:c16="http://schemas.microsoft.com/office/drawing/2014/chart" uri="{C3380CC4-5D6E-409C-BE32-E72D297353CC}">
              <c16:uniqueId val="{00000001-1A2E-48E3-ACE9-2217FC8DD4EF}"/>
            </c:ext>
          </c:extLst>
        </c:ser>
        <c:dLbls>
          <c:dLblPos val="t"/>
          <c:showLegendKey val="0"/>
          <c:showVal val="1"/>
          <c:showCatName val="0"/>
          <c:showSerName val="0"/>
          <c:showPercent val="0"/>
          <c:showBubbleSize val="0"/>
        </c:dLbls>
        <c:marker val="1"/>
        <c:smooth val="0"/>
        <c:axId val="874694168"/>
        <c:axId val="874683584"/>
      </c:lineChart>
      <c:catAx>
        <c:axId val="874694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683584"/>
        <c:crosses val="autoZero"/>
        <c:auto val="1"/>
        <c:lblAlgn val="ctr"/>
        <c:lblOffset val="100"/>
        <c:noMultiLvlLbl val="0"/>
      </c:catAx>
      <c:valAx>
        <c:axId val="874683584"/>
        <c:scaling>
          <c:orientation val="minMax"/>
        </c:scaling>
        <c:delete val="1"/>
        <c:axPos val="l"/>
        <c:numFmt formatCode="General" sourceLinked="1"/>
        <c:majorTickMark val="none"/>
        <c:minorTickMark val="none"/>
        <c:tickLblPos val="nextTo"/>
        <c:crossAx val="874694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Copii aflați în plasament la asistenți maternali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Sheet1!$B$2:$B$8</c:f>
              <c:numCache>
                <c:formatCode>General</c:formatCode>
                <c:ptCount val="7"/>
                <c:pt idx="0">
                  <c:v>101</c:v>
                </c:pt>
                <c:pt idx="1">
                  <c:v>102</c:v>
                </c:pt>
                <c:pt idx="2">
                  <c:v>125</c:v>
                </c:pt>
                <c:pt idx="3">
                  <c:v>80</c:v>
                </c:pt>
                <c:pt idx="4">
                  <c:v>86</c:v>
                </c:pt>
                <c:pt idx="5">
                  <c:v>86</c:v>
                </c:pt>
                <c:pt idx="6">
                  <c:v>95</c:v>
                </c:pt>
              </c:numCache>
            </c:numRef>
          </c:val>
          <c:extLst>
            <c:ext xmlns:c16="http://schemas.microsoft.com/office/drawing/2014/chart" uri="{C3380CC4-5D6E-409C-BE32-E72D297353CC}">
              <c16:uniqueId val="{00000000-12AB-4FFB-A4E7-DE3616DFBA55}"/>
            </c:ext>
          </c:extLst>
        </c:ser>
        <c:ser>
          <c:idx val="1"/>
          <c:order val="1"/>
          <c:tx>
            <c:strRef>
              <c:f>Sheet1!$C$1</c:f>
              <c:strCache>
                <c:ptCount val="1"/>
                <c:pt idx="0">
                  <c:v>Asistenți maternali atestați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Sheet1!$C$2:$C$8</c:f>
              <c:numCache>
                <c:formatCode>General</c:formatCode>
                <c:ptCount val="7"/>
                <c:pt idx="0">
                  <c:v>92</c:v>
                </c:pt>
                <c:pt idx="1">
                  <c:v>84</c:v>
                </c:pt>
                <c:pt idx="2">
                  <c:v>77</c:v>
                </c:pt>
                <c:pt idx="3">
                  <c:v>64</c:v>
                </c:pt>
                <c:pt idx="4">
                  <c:v>70</c:v>
                </c:pt>
                <c:pt idx="5">
                  <c:v>75</c:v>
                </c:pt>
                <c:pt idx="6">
                  <c:v>77</c:v>
                </c:pt>
              </c:numCache>
            </c:numRef>
          </c:val>
          <c:extLst>
            <c:ext xmlns:c16="http://schemas.microsoft.com/office/drawing/2014/chart" uri="{C3380CC4-5D6E-409C-BE32-E72D297353CC}">
              <c16:uniqueId val="{00000001-12AB-4FFB-A4E7-DE3616DFBA55}"/>
            </c:ext>
          </c:extLst>
        </c:ser>
        <c:ser>
          <c:idx val="2"/>
          <c:order val="2"/>
          <c:tx>
            <c:strRef>
              <c:f>Sheet1!$D$1</c:f>
              <c:strCache>
                <c:ptCount val="1"/>
                <c:pt idx="0">
                  <c:v>Copii aflați în plasament la rude/familii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Sheet1!$D$2:$D$8</c:f>
              <c:numCache>
                <c:formatCode>General</c:formatCode>
                <c:ptCount val="7"/>
                <c:pt idx="0">
                  <c:v>168</c:v>
                </c:pt>
                <c:pt idx="1">
                  <c:v>165</c:v>
                </c:pt>
                <c:pt idx="2">
                  <c:v>154</c:v>
                </c:pt>
                <c:pt idx="3">
                  <c:v>154</c:v>
                </c:pt>
                <c:pt idx="4">
                  <c:v>162</c:v>
                </c:pt>
                <c:pt idx="5">
                  <c:v>148</c:v>
                </c:pt>
                <c:pt idx="6">
                  <c:v>126</c:v>
                </c:pt>
              </c:numCache>
            </c:numRef>
          </c:val>
          <c:extLst>
            <c:ext xmlns:c16="http://schemas.microsoft.com/office/drawing/2014/chart" uri="{C3380CC4-5D6E-409C-BE32-E72D297353CC}">
              <c16:uniqueId val="{00000002-12AB-4FFB-A4E7-DE3616DFBA55}"/>
            </c:ext>
          </c:extLst>
        </c:ser>
        <c:dLbls>
          <c:dLblPos val="outEnd"/>
          <c:showLegendKey val="0"/>
          <c:showVal val="1"/>
          <c:showCatName val="0"/>
          <c:showSerName val="0"/>
          <c:showPercent val="0"/>
          <c:showBubbleSize val="0"/>
        </c:dLbls>
        <c:gapWidth val="219"/>
        <c:overlap val="-27"/>
        <c:axId val="874691816"/>
        <c:axId val="874689072"/>
      </c:barChart>
      <c:catAx>
        <c:axId val="874691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689072"/>
        <c:crosses val="autoZero"/>
        <c:auto val="1"/>
        <c:lblAlgn val="ctr"/>
        <c:lblOffset val="100"/>
        <c:noMultiLvlLbl val="0"/>
      </c:catAx>
      <c:valAx>
        <c:axId val="874689072"/>
        <c:scaling>
          <c:orientation val="minMax"/>
        </c:scaling>
        <c:delete val="1"/>
        <c:axPos val="l"/>
        <c:numFmt formatCode="General" sourceLinked="1"/>
        <c:majorTickMark val="none"/>
        <c:minorTickMark val="none"/>
        <c:tickLblPos val="nextTo"/>
        <c:crossAx val="874691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beneficiari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B86-4E35-8628-1A6C95FCBDFF}"/>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BB86-4E35-8628-1A6C95FCBDFF}"/>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BB86-4E35-8628-1A6C95FCBDFF}"/>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BB86-4E35-8628-1A6C95FCBDFF}"/>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BB86-4E35-8628-1A6C95FCBDFF}"/>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BB86-4E35-8628-1A6C95FCBDFF}"/>
              </c:ext>
            </c:extLst>
          </c:dPt>
          <c:dPt>
            <c:idx val="6"/>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0D-BB86-4E35-8628-1A6C95FCBDFF}"/>
              </c:ext>
            </c:extLst>
          </c:dPt>
          <c:dPt>
            <c:idx val="7"/>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0F-BB86-4E35-8628-1A6C95FCBDFF}"/>
              </c:ext>
            </c:extLst>
          </c:dPt>
          <c:dPt>
            <c:idx val="8"/>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11-BB86-4E35-8628-1A6C95FCBDFF}"/>
              </c:ext>
            </c:extLst>
          </c:dPt>
          <c:dLbls>
            <c:dLbl>
              <c:idx val="7"/>
              <c:delete val="1"/>
              <c:extLst>
                <c:ext xmlns:c15="http://schemas.microsoft.com/office/drawing/2012/chart" uri="{CE6537A1-D6FC-4f65-9D91-7224C49458BB}"/>
                <c:ext xmlns:c16="http://schemas.microsoft.com/office/drawing/2014/chart" uri="{C3380CC4-5D6E-409C-BE32-E72D297353CC}">
                  <c16:uniqueId val="{0000000F-BB86-4E35-8628-1A6C95FCBD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Sheet1!$A$2:$A$10</c:f>
              <c:strCache>
                <c:ptCount val="9"/>
                <c:pt idx="0">
                  <c:v>Gratuități transport urban </c:v>
                </c:pt>
                <c:pt idx="1">
                  <c:v>Indemnizații însoțitor adult cu handicap</c:v>
                </c:pt>
                <c:pt idx="2">
                  <c:v>Tichete alimente</c:v>
                </c:pt>
                <c:pt idx="3">
                  <c:v>Tichete sociale de sănătate</c:v>
                </c:pt>
                <c:pt idx="4">
                  <c:v>Indemnizații însoțitor copil cu handicap</c:v>
                </c:pt>
                <c:pt idx="5">
                  <c:v>Ajutoare de urgență și alte tipuri de prestații (ajutoare de urgență pentru plata chiriei) </c:v>
                </c:pt>
                <c:pt idx="6">
                  <c:v>Ajutoare de urgență pentru prevenirea abandonului </c:v>
                </c:pt>
                <c:pt idx="7">
                  <c:v>Ajutoare de înmormântare </c:v>
                </c:pt>
                <c:pt idx="8">
                  <c:v>Ajutoare financiare de urgență</c:v>
                </c:pt>
              </c:strCache>
            </c:strRef>
          </c:cat>
          <c:val>
            <c:numRef>
              <c:f>Sheet1!$B$2:$B$10</c:f>
              <c:numCache>
                <c:formatCode>General</c:formatCode>
                <c:ptCount val="9"/>
                <c:pt idx="0">
                  <c:v>3233</c:v>
                </c:pt>
                <c:pt idx="1">
                  <c:v>2757</c:v>
                </c:pt>
                <c:pt idx="2">
                  <c:v>1116</c:v>
                </c:pt>
                <c:pt idx="3">
                  <c:v>1107</c:v>
                </c:pt>
                <c:pt idx="4">
                  <c:v>646</c:v>
                </c:pt>
                <c:pt idx="5">
                  <c:v>505</c:v>
                </c:pt>
                <c:pt idx="6">
                  <c:v>118</c:v>
                </c:pt>
                <c:pt idx="7">
                  <c:v>74</c:v>
                </c:pt>
                <c:pt idx="8">
                  <c:v>16</c:v>
                </c:pt>
              </c:numCache>
            </c:numRef>
          </c:val>
          <c:extLst>
            <c:ext xmlns:c16="http://schemas.microsoft.com/office/drawing/2014/chart" uri="{C3380CC4-5D6E-409C-BE32-E72D297353CC}">
              <c16:uniqueId val="{00000012-BB86-4E35-8628-1A6C95FCBDFF}"/>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1.2674271229404309E-2"/>
          <c:y val="3.5174918899160815E-2"/>
          <c:w val="0.33967046894803549"/>
          <c:h val="0.92965016220167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546167306009821E-2"/>
          <c:y val="0.11364795841327811"/>
          <c:w val="0.52195639006662631"/>
          <c:h val="0.76251543947965528"/>
        </c:manualLayout>
      </c:layout>
      <c:ofPieChart>
        <c:ofPieType val="bar"/>
        <c:varyColors val="1"/>
        <c:ser>
          <c:idx val="0"/>
          <c:order val="0"/>
          <c:dLbls>
            <c:dLbl>
              <c:idx val="0"/>
              <c:spPr>
                <a:solidFill>
                  <a:schemeClr val="accent1"/>
                </a:solidFill>
              </c:spPr>
              <c:txPr>
                <a:bodyPr/>
                <a:lstStyle/>
                <a:p>
                  <a:pPr>
                    <a:defRPr>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0-E004-45D4-A8DC-1BBC5253E89A}"/>
                </c:ext>
              </c:extLst>
            </c:dLbl>
            <c:dLbl>
              <c:idx val="1"/>
              <c:layout>
                <c:manualLayout>
                  <c:x val="-9.0061578841106396E-3"/>
                  <c:y val="2.7063576033096448E-2"/>
                </c:manualLayout>
              </c:layout>
              <c:spPr>
                <a:solidFill>
                  <a:schemeClr val="accent2"/>
                </a:solidFill>
              </c:spPr>
              <c:txPr>
                <a:bodyPr/>
                <a:lstStyle/>
                <a:p>
                  <a:pPr>
                    <a:defRPr>
                      <a:solidFill>
                        <a:schemeClr val="bg1"/>
                      </a:solidFill>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04-45D4-A8DC-1BBC5253E89A}"/>
                </c:ext>
              </c:extLst>
            </c:dLbl>
            <c:dLbl>
              <c:idx val="2"/>
              <c:spPr/>
              <c:txPr>
                <a:bodyPr/>
                <a:lstStyle/>
                <a:p>
                  <a:pPr>
                    <a:defRPr>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2-E004-45D4-A8DC-1BBC5253E89A}"/>
                </c:ext>
              </c:extLst>
            </c:dLbl>
            <c:dLbl>
              <c:idx val="5"/>
              <c:layout>
                <c:manualLayout>
                  <c:x val="-1.1343377750858067E-2"/>
                  <c:y val="-2.1415584896605812E-2"/>
                </c:manualLayout>
              </c:layout>
              <c:spPr>
                <a:solidFill>
                  <a:schemeClr val="accent6"/>
                </a:solidFill>
              </c:spPr>
              <c:txPr>
                <a:bodyPr/>
                <a:lstStyle/>
                <a:p>
                  <a:pPr>
                    <a:defRPr>
                      <a:solidFill>
                        <a:schemeClr val="bg1"/>
                      </a:solidFill>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004-45D4-A8DC-1BBC5253E89A}"/>
                </c:ext>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'TOATE!'!$A$15:$A$19</c:f>
              <c:strCache>
                <c:ptCount val="5"/>
                <c:pt idx="0">
                  <c:v>O1. Locuire, servicii şi cultură adaptate unei comunităţi active şi implicate</c:v>
                </c:pt>
                <c:pt idx="1">
                  <c:v>O2. Sector cu atractivitate crescută pentru forța de muncă și companii</c:v>
                </c:pt>
                <c:pt idx="2">
                  <c:v>O3. Infrastructură urbană adaptată la nevoile actuale și viitoare</c:v>
                </c:pt>
                <c:pt idx="3">
                  <c:v>O4. Sector 2 - model de dezvoltare sistem albastru-verde</c:v>
                </c:pt>
                <c:pt idx="4">
                  <c:v>O5. Administrație publică performantă</c:v>
                </c:pt>
              </c:strCache>
            </c:strRef>
          </c:cat>
          <c:val>
            <c:numRef>
              <c:f>'TOATE!'!$C$15:$C$19</c:f>
              <c:numCache>
                <c:formatCode>0.0%</c:formatCode>
                <c:ptCount val="5"/>
                <c:pt idx="0">
                  <c:v>3.1859943866157155E-2</c:v>
                </c:pt>
                <c:pt idx="1">
                  <c:v>3.7211995442516911E-3</c:v>
                </c:pt>
                <c:pt idx="2">
                  <c:v>0.95174332800024342</c:v>
                </c:pt>
                <c:pt idx="3">
                  <c:v>1.1345467109908268E-2</c:v>
                </c:pt>
                <c:pt idx="4">
                  <c:v>1.3300614794394935E-3</c:v>
                </c:pt>
              </c:numCache>
            </c:numRef>
          </c:val>
          <c:extLst>
            <c:ext xmlns:c16="http://schemas.microsoft.com/office/drawing/2014/chart" uri="{C3380CC4-5D6E-409C-BE32-E72D297353CC}">
              <c16:uniqueId val="{00000004-E004-45D4-A8DC-1BBC5253E89A}"/>
            </c:ext>
          </c:extLst>
        </c:ser>
        <c:dLbls>
          <c:dLblPos val="bestFit"/>
          <c:showLegendKey val="0"/>
          <c:showVal val="1"/>
          <c:showCatName val="0"/>
          <c:showSerName val="0"/>
          <c:showPercent val="0"/>
          <c:showBubbleSize val="0"/>
          <c:showLeaderLines val="1"/>
        </c:dLbls>
        <c:gapWidth val="100"/>
        <c:secondPieSize val="75"/>
        <c:serLines/>
      </c:ofPieChart>
    </c:plotArea>
    <c:legend>
      <c:legendPos val="r"/>
      <c:layout>
        <c:manualLayout>
          <c:xMode val="edge"/>
          <c:yMode val="edge"/>
          <c:x val="0.64169829732821848"/>
          <c:y val="2.1963917915915825E-2"/>
          <c:w val="0.35616495053502928"/>
          <c:h val="0.97803610651966888"/>
        </c:manualLayout>
      </c:layout>
      <c:overlay val="0"/>
    </c:legend>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Public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Medici</c:v>
                </c:pt>
                <c:pt idx="1">
                  <c:v>Stomatologi</c:v>
                </c:pt>
                <c:pt idx="2">
                  <c:v>Farmaciști</c:v>
                </c:pt>
                <c:pt idx="3">
                  <c:v>Personal sanitar mediu</c:v>
                </c:pt>
                <c:pt idx="4">
                  <c:v>Personal sanitar auxiliar</c:v>
                </c:pt>
                <c:pt idx="5">
                  <c:v>Alte tipuri de personal cu studii superioare</c:v>
                </c:pt>
              </c:strCache>
            </c:strRef>
          </c:cat>
          <c:val>
            <c:numRef>
              <c:f>Sheet1!$B$2:$B$7</c:f>
              <c:numCache>
                <c:formatCode>General</c:formatCode>
                <c:ptCount val="6"/>
                <c:pt idx="0">
                  <c:v>10114</c:v>
                </c:pt>
                <c:pt idx="1">
                  <c:v>697</c:v>
                </c:pt>
                <c:pt idx="2">
                  <c:v>441</c:v>
                </c:pt>
                <c:pt idx="3">
                  <c:v>16139</c:v>
                </c:pt>
                <c:pt idx="4">
                  <c:v>9608</c:v>
                </c:pt>
                <c:pt idx="5">
                  <c:v>3447</c:v>
                </c:pt>
              </c:numCache>
            </c:numRef>
          </c:val>
          <c:extLst>
            <c:ext xmlns:c16="http://schemas.microsoft.com/office/drawing/2014/chart" uri="{C3380CC4-5D6E-409C-BE32-E72D297353CC}">
              <c16:uniqueId val="{00000000-1DCF-463A-A3B2-FC4EF5547AD1}"/>
            </c:ext>
          </c:extLst>
        </c:ser>
        <c:ser>
          <c:idx val="1"/>
          <c:order val="1"/>
          <c:tx>
            <c:strRef>
              <c:f>Sheet1!$C$1</c:f>
              <c:strCache>
                <c:ptCount val="1"/>
                <c:pt idx="0">
                  <c:v>Privat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Medici</c:v>
                </c:pt>
                <c:pt idx="1">
                  <c:v>Stomatologi</c:v>
                </c:pt>
                <c:pt idx="2">
                  <c:v>Farmaciști</c:v>
                </c:pt>
                <c:pt idx="3">
                  <c:v>Personal sanitar mediu</c:v>
                </c:pt>
                <c:pt idx="4">
                  <c:v>Personal sanitar auxiliar</c:v>
                </c:pt>
                <c:pt idx="5">
                  <c:v>Alte tipuri de personal cu studii superioare</c:v>
                </c:pt>
              </c:strCache>
            </c:strRef>
          </c:cat>
          <c:val>
            <c:numRef>
              <c:f>Sheet1!$C$2:$C$7</c:f>
              <c:numCache>
                <c:formatCode>General</c:formatCode>
                <c:ptCount val="6"/>
                <c:pt idx="0">
                  <c:v>4800</c:v>
                </c:pt>
                <c:pt idx="1">
                  <c:v>2984</c:v>
                </c:pt>
                <c:pt idx="2">
                  <c:v>3724</c:v>
                </c:pt>
                <c:pt idx="3">
                  <c:v>7008</c:v>
                </c:pt>
                <c:pt idx="4">
                  <c:v>983</c:v>
                </c:pt>
                <c:pt idx="5">
                  <c:v>1160</c:v>
                </c:pt>
              </c:numCache>
            </c:numRef>
          </c:val>
          <c:extLst>
            <c:ext xmlns:c16="http://schemas.microsoft.com/office/drawing/2014/chart" uri="{C3380CC4-5D6E-409C-BE32-E72D297353CC}">
              <c16:uniqueId val="{00000001-1DCF-463A-A3B2-FC4EF5547AD1}"/>
            </c:ext>
          </c:extLst>
        </c:ser>
        <c:dLbls>
          <c:dLblPos val="outEnd"/>
          <c:showLegendKey val="0"/>
          <c:showVal val="1"/>
          <c:showCatName val="0"/>
          <c:showSerName val="0"/>
          <c:showPercent val="0"/>
          <c:showBubbleSize val="0"/>
        </c:dLbls>
        <c:gapWidth val="219"/>
        <c:overlap val="-27"/>
        <c:axId val="519839240"/>
        <c:axId val="519840024"/>
      </c:barChart>
      <c:catAx>
        <c:axId val="519839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840024"/>
        <c:crosses val="autoZero"/>
        <c:auto val="1"/>
        <c:lblAlgn val="ctr"/>
        <c:lblOffset val="100"/>
        <c:noMultiLvlLbl val="0"/>
      </c:catAx>
      <c:valAx>
        <c:axId val="519840024"/>
        <c:scaling>
          <c:orientation val="minMax"/>
        </c:scaling>
        <c:delete val="1"/>
        <c:axPos val="l"/>
        <c:numFmt formatCode="General" sourceLinked="1"/>
        <c:majorTickMark val="none"/>
        <c:minorTickMark val="none"/>
        <c:tickLblPos val="nextTo"/>
        <c:crossAx val="519839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Medici</c:v>
                </c:pt>
                <c:pt idx="1">
                  <c:v>Stomatologi</c:v>
                </c:pt>
                <c:pt idx="2">
                  <c:v>Farmaciști</c:v>
                </c:pt>
                <c:pt idx="3">
                  <c:v>Personal sanitar mediu</c:v>
                </c:pt>
                <c:pt idx="4">
                  <c:v>Personal sanitar auxiliar</c:v>
                </c:pt>
                <c:pt idx="5">
                  <c:v>Alte tipuri de personal cu studii superioare</c:v>
                </c:pt>
              </c:strCache>
            </c:strRef>
          </c:cat>
          <c:val>
            <c:numRef>
              <c:f>Sheet1!$B$2:$B$7</c:f>
              <c:numCache>
                <c:formatCode>0</c:formatCode>
                <c:ptCount val="6"/>
                <c:pt idx="0">
                  <c:v>174.4276381078399</c:v>
                </c:pt>
                <c:pt idx="1">
                  <c:v>787.00708955223877</c:v>
                </c:pt>
                <c:pt idx="2">
                  <c:v>463.04698133918771</c:v>
                </c:pt>
                <c:pt idx="3">
                  <c:v>108.8889519876097</c:v>
                </c:pt>
                <c:pt idx="4">
                  <c:v>230.91515217867308</c:v>
                </c:pt>
                <c:pt idx="5">
                  <c:v>563.49959925193696</c:v>
                </c:pt>
              </c:numCache>
            </c:numRef>
          </c:val>
          <c:extLst>
            <c:ext xmlns:c16="http://schemas.microsoft.com/office/drawing/2014/chart" uri="{C3380CC4-5D6E-409C-BE32-E72D297353CC}">
              <c16:uniqueId val="{00000000-8AC3-44E2-A1E4-E1BB88E4CFD0}"/>
            </c:ext>
          </c:extLst>
        </c:ser>
        <c:ser>
          <c:idx val="1"/>
          <c:order val="1"/>
          <c:tx>
            <c:strRef>
              <c:f>Sheet1!$C$1</c:f>
              <c:strCache>
                <c:ptCount val="1"/>
                <c:pt idx="0">
                  <c:v>2020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Medici</c:v>
                </c:pt>
                <c:pt idx="1">
                  <c:v>Stomatologi</c:v>
                </c:pt>
                <c:pt idx="2">
                  <c:v>Farmaciști</c:v>
                </c:pt>
                <c:pt idx="3">
                  <c:v>Personal sanitar mediu</c:v>
                </c:pt>
                <c:pt idx="4">
                  <c:v>Personal sanitar auxiliar</c:v>
                </c:pt>
                <c:pt idx="5">
                  <c:v>Alte tipuri de personal cu studii superioare</c:v>
                </c:pt>
              </c:strCache>
            </c:strRef>
          </c:cat>
          <c:val>
            <c:numRef>
              <c:f>Sheet1!$C$2:$C$7</c:f>
              <c:numCache>
                <c:formatCode>0</c:formatCode>
                <c:ptCount val="6"/>
                <c:pt idx="0">
                  <c:v>144.92067855706048</c:v>
                </c:pt>
                <c:pt idx="1">
                  <c:v>587.16299918500408</c:v>
                </c:pt>
                <c:pt idx="2">
                  <c:v>518</c:v>
                </c:pt>
                <c:pt idx="3">
                  <c:v>93.374821791160841</c:v>
                </c:pt>
                <c:pt idx="4">
                  <c:v>204.07393069587386</c:v>
                </c:pt>
                <c:pt idx="5">
                  <c:v>469.14412850010854</c:v>
                </c:pt>
              </c:numCache>
            </c:numRef>
          </c:val>
          <c:extLst>
            <c:ext xmlns:c16="http://schemas.microsoft.com/office/drawing/2014/chart" uri="{C3380CC4-5D6E-409C-BE32-E72D297353CC}">
              <c16:uniqueId val="{00000001-8AC3-44E2-A1E4-E1BB88E4CFD0}"/>
            </c:ext>
          </c:extLst>
        </c:ser>
        <c:dLbls>
          <c:dLblPos val="outEnd"/>
          <c:showLegendKey val="0"/>
          <c:showVal val="1"/>
          <c:showCatName val="0"/>
          <c:showSerName val="0"/>
          <c:showPercent val="0"/>
          <c:showBubbleSize val="0"/>
        </c:dLbls>
        <c:gapWidth val="219"/>
        <c:overlap val="-27"/>
        <c:axId val="874687112"/>
        <c:axId val="874683976"/>
      </c:barChart>
      <c:catAx>
        <c:axId val="874687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683976"/>
        <c:crosses val="autoZero"/>
        <c:auto val="1"/>
        <c:lblAlgn val="ctr"/>
        <c:lblOffset val="100"/>
        <c:noMultiLvlLbl val="0"/>
      </c:catAx>
      <c:valAx>
        <c:axId val="874683976"/>
        <c:scaling>
          <c:orientation val="minMax"/>
        </c:scaling>
        <c:delete val="1"/>
        <c:axPos val="l"/>
        <c:numFmt formatCode="0" sourceLinked="1"/>
        <c:majorTickMark val="none"/>
        <c:minorTickMark val="none"/>
        <c:tickLblPos val="nextTo"/>
        <c:crossAx val="874687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26'!$B$34</c:f>
              <c:strCache>
                <c:ptCount val="1"/>
                <c:pt idx="0">
                  <c:v>Foarte mulțumit/ă</c:v>
                </c:pt>
              </c:strCache>
            </c:strRef>
          </c:tx>
          <c:invertIfNegative val="0"/>
          <c:dLbls>
            <c:delete val="1"/>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26'!$B$35:$B$40</c:f>
              <c:numCache>
                <c:formatCode>0.0%</c:formatCode>
                <c:ptCount val="6"/>
                <c:pt idx="0">
                  <c:v>2.47E-2</c:v>
                </c:pt>
                <c:pt idx="1">
                  <c:v>7.2400000000000006E-2</c:v>
                </c:pt>
                <c:pt idx="2">
                  <c:v>1.24E-2</c:v>
                </c:pt>
                <c:pt idx="3">
                  <c:v>9.3599999999999989E-2</c:v>
                </c:pt>
                <c:pt idx="4">
                  <c:v>4.5900000000000003E-2</c:v>
                </c:pt>
                <c:pt idx="5">
                  <c:v>9.3599999999999989E-2</c:v>
                </c:pt>
              </c:numCache>
            </c:numRef>
          </c:val>
          <c:extLst>
            <c:ext xmlns:c16="http://schemas.microsoft.com/office/drawing/2014/chart" uri="{C3380CC4-5D6E-409C-BE32-E72D297353CC}">
              <c16:uniqueId val="{00000000-4B91-4B8D-AF62-39E1B83D0165}"/>
            </c:ext>
          </c:extLst>
        </c:ser>
        <c:ser>
          <c:idx val="1"/>
          <c:order val="1"/>
          <c:tx>
            <c:strRef>
              <c:f>'[ACTUALIZAREA STRATEGIEI DE DEZVOLTARE LOCALĂ INTEGRATĂ ŞI DURABILĂ A SECTORULUI 2  PENTRU PERIOADA 2016 - 2025. Chestionar dedicat locuitorilor Sectorului 2..xlsx]Question 26'!$C$34</c:f>
              <c:strCache>
                <c:ptCount val="1"/>
                <c:pt idx="0">
                  <c:v>Mulțumit/ă</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26'!$C$35:$C$40</c:f>
              <c:numCache>
                <c:formatCode>0.0%</c:formatCode>
                <c:ptCount val="6"/>
                <c:pt idx="0">
                  <c:v>0.29859999999999998</c:v>
                </c:pt>
                <c:pt idx="1">
                  <c:v>0.44169999999999998</c:v>
                </c:pt>
                <c:pt idx="2">
                  <c:v>0.1837</c:v>
                </c:pt>
                <c:pt idx="3">
                  <c:v>0.44350000000000001</c:v>
                </c:pt>
                <c:pt idx="4">
                  <c:v>0.20669999999999999</c:v>
                </c:pt>
                <c:pt idx="5">
                  <c:v>0.42399999999999999</c:v>
                </c:pt>
              </c:numCache>
            </c:numRef>
          </c:val>
          <c:extLst>
            <c:ext xmlns:c16="http://schemas.microsoft.com/office/drawing/2014/chart" uri="{C3380CC4-5D6E-409C-BE32-E72D297353CC}">
              <c16:uniqueId val="{00000001-4B91-4B8D-AF62-39E1B83D0165}"/>
            </c:ext>
          </c:extLst>
        </c:ser>
        <c:ser>
          <c:idx val="2"/>
          <c:order val="2"/>
          <c:tx>
            <c:strRef>
              <c:f>'[ACTUALIZAREA STRATEGIEI DE DEZVOLTARE LOCALĂ INTEGRATĂ ŞI DURABILĂ A SECTORULUI 2  PENTRU PERIOADA 2016 - 2025. Chestionar dedicat locuitorilor Sectorului 2..xlsx]Question 26'!$D$34</c:f>
              <c:strCache>
                <c:ptCount val="1"/>
                <c:pt idx="0">
                  <c:v>Neutru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26'!$D$35:$D$40</c:f>
              <c:numCache>
                <c:formatCode>0.0%</c:formatCode>
                <c:ptCount val="6"/>
                <c:pt idx="0">
                  <c:v>0.25440000000000002</c:v>
                </c:pt>
                <c:pt idx="1">
                  <c:v>0.27029999999999998</c:v>
                </c:pt>
                <c:pt idx="2">
                  <c:v>0.25619999999999998</c:v>
                </c:pt>
                <c:pt idx="3">
                  <c:v>0.26679999999999998</c:v>
                </c:pt>
                <c:pt idx="4">
                  <c:v>0.24199999999999999</c:v>
                </c:pt>
                <c:pt idx="5">
                  <c:v>0.28799999999999998</c:v>
                </c:pt>
              </c:numCache>
            </c:numRef>
          </c:val>
          <c:extLst>
            <c:ext xmlns:c16="http://schemas.microsoft.com/office/drawing/2014/chart" uri="{C3380CC4-5D6E-409C-BE32-E72D297353CC}">
              <c16:uniqueId val="{00000002-4B91-4B8D-AF62-39E1B83D0165}"/>
            </c:ext>
          </c:extLst>
        </c:ser>
        <c:ser>
          <c:idx val="3"/>
          <c:order val="3"/>
          <c:tx>
            <c:strRef>
              <c:f>'[ACTUALIZAREA STRATEGIEI DE DEZVOLTARE LOCALĂ INTEGRATĂ ŞI DURABILĂ A SECTORULUI 2  PENTRU PERIOADA 2016 - 2025. Chestionar dedicat locuitorilor Sectorului 2..xlsx]Question 26'!$E$34</c:f>
              <c:strCache>
                <c:ptCount val="1"/>
                <c:pt idx="0">
                  <c:v>Nemulțumit/ă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26'!$E$35:$E$40</c:f>
              <c:numCache>
                <c:formatCode>0.0%</c:formatCode>
                <c:ptCount val="6"/>
                <c:pt idx="0">
                  <c:v>0.19789999999999999</c:v>
                </c:pt>
                <c:pt idx="1">
                  <c:v>7.4200000000000002E-2</c:v>
                </c:pt>
                <c:pt idx="2">
                  <c:v>0.27389999999999998</c:v>
                </c:pt>
                <c:pt idx="3">
                  <c:v>5.6500000000000002E-2</c:v>
                </c:pt>
                <c:pt idx="4">
                  <c:v>0.24560000000000001</c:v>
                </c:pt>
                <c:pt idx="5">
                  <c:v>4.4200000000000003E-2</c:v>
                </c:pt>
              </c:numCache>
            </c:numRef>
          </c:val>
          <c:extLst>
            <c:ext xmlns:c16="http://schemas.microsoft.com/office/drawing/2014/chart" uri="{C3380CC4-5D6E-409C-BE32-E72D297353CC}">
              <c16:uniqueId val="{00000003-4B91-4B8D-AF62-39E1B83D0165}"/>
            </c:ext>
          </c:extLst>
        </c:ser>
        <c:ser>
          <c:idx val="4"/>
          <c:order val="4"/>
          <c:tx>
            <c:strRef>
              <c:f>'[ACTUALIZAREA STRATEGIEI DE DEZVOLTARE LOCALĂ INTEGRATĂ ŞI DURABILĂ A SECTORULUI 2  PENTRU PERIOADA 2016 - 2025. Chestionar dedicat locuitorilor Sectorului 2..xlsx]Question 26'!$F$34</c:f>
              <c:strCache>
                <c:ptCount val="1"/>
                <c:pt idx="0">
                  <c:v>Foarte nemulțumit/ă</c:v>
                </c:pt>
              </c:strCache>
            </c:strRef>
          </c:tx>
          <c:invertIfNegative val="0"/>
          <c:dLbls>
            <c:delete val="1"/>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26'!$F$35:$F$40</c:f>
              <c:numCache>
                <c:formatCode>0.0%</c:formatCode>
                <c:ptCount val="6"/>
                <c:pt idx="0">
                  <c:v>8.8300000000000003E-2</c:v>
                </c:pt>
                <c:pt idx="1">
                  <c:v>1.41E-2</c:v>
                </c:pt>
                <c:pt idx="2">
                  <c:v>0.1396</c:v>
                </c:pt>
                <c:pt idx="3">
                  <c:v>1.06E-2</c:v>
                </c:pt>
                <c:pt idx="4">
                  <c:v>0.1113</c:v>
                </c:pt>
                <c:pt idx="5">
                  <c:v>1.06E-2</c:v>
                </c:pt>
              </c:numCache>
            </c:numRef>
          </c:val>
          <c:extLst>
            <c:ext xmlns:c16="http://schemas.microsoft.com/office/drawing/2014/chart" uri="{C3380CC4-5D6E-409C-BE32-E72D297353CC}">
              <c16:uniqueId val="{00000004-4B91-4B8D-AF62-39E1B83D0165}"/>
            </c:ext>
          </c:extLst>
        </c:ser>
        <c:ser>
          <c:idx val="5"/>
          <c:order val="5"/>
          <c:tx>
            <c:strRef>
              <c:f>'[ACTUALIZAREA STRATEGIEI DE DEZVOLTARE LOCALĂ INTEGRATĂ ŞI DURABILĂ A SECTORULUI 2  PENTRU PERIOADA 2016 - 2025. Chestionar dedicat locuitorilor Sectorului 2..xlsx]Question 26'!$G$34</c:f>
              <c:strCache>
                <c:ptCount val="1"/>
                <c:pt idx="0">
                  <c:v>Nu știu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26'!$G$35:$G$40</c:f>
              <c:numCache>
                <c:formatCode>0.0%</c:formatCode>
                <c:ptCount val="6"/>
                <c:pt idx="0">
                  <c:v>0.13600000000000001</c:v>
                </c:pt>
                <c:pt idx="1">
                  <c:v>0.12720000000000001</c:v>
                </c:pt>
                <c:pt idx="2">
                  <c:v>0.1343</c:v>
                </c:pt>
                <c:pt idx="3">
                  <c:v>0.129</c:v>
                </c:pt>
                <c:pt idx="4">
                  <c:v>0.1484</c:v>
                </c:pt>
                <c:pt idx="5">
                  <c:v>0.1396</c:v>
                </c:pt>
              </c:numCache>
            </c:numRef>
          </c:val>
          <c:extLst>
            <c:ext xmlns:c16="http://schemas.microsoft.com/office/drawing/2014/chart" uri="{C3380CC4-5D6E-409C-BE32-E72D297353CC}">
              <c16:uniqueId val="{00000005-4B91-4B8D-AF62-39E1B83D0165}"/>
            </c:ext>
          </c:extLst>
        </c:ser>
        <c:dLbls>
          <c:dLblPos val="ctr"/>
          <c:showLegendKey val="0"/>
          <c:showVal val="1"/>
          <c:showCatName val="0"/>
          <c:showSerName val="0"/>
          <c:showPercent val="0"/>
          <c:showBubbleSize val="0"/>
        </c:dLbls>
        <c:gapWidth val="150"/>
        <c:overlap val="100"/>
        <c:axId val="185021440"/>
        <c:axId val="154032320"/>
      </c:barChart>
      <c:catAx>
        <c:axId val="185021440"/>
        <c:scaling>
          <c:orientation val="minMax"/>
        </c:scaling>
        <c:delete val="0"/>
        <c:axPos val="l"/>
        <c:numFmt formatCode="General" sourceLinked="0"/>
        <c:majorTickMark val="none"/>
        <c:minorTickMark val="none"/>
        <c:tickLblPos val="nextTo"/>
        <c:crossAx val="154032320"/>
        <c:crosses val="autoZero"/>
        <c:auto val="1"/>
        <c:lblAlgn val="ctr"/>
        <c:lblOffset val="100"/>
        <c:noMultiLvlLbl val="0"/>
      </c:catAx>
      <c:valAx>
        <c:axId val="154032320"/>
        <c:scaling>
          <c:orientation val="minMax"/>
        </c:scaling>
        <c:delete val="1"/>
        <c:axPos val="b"/>
        <c:numFmt formatCode="0%" sourceLinked="1"/>
        <c:majorTickMark val="out"/>
        <c:minorTickMark val="none"/>
        <c:tickLblPos val="nextTo"/>
        <c:crossAx val="18502144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9A6-4B9D-BF5C-1DD4FCCE2DE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9A6-4B9D-BF5C-1DD4FCCE2DE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9A6-4B9D-BF5C-1DD4FCCE2DE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9A6-4B9D-BF5C-1DD4FCCE2DE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9A6-4B9D-BF5C-1DD4FCCE2DE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9A6-4B9D-BF5C-1DD4FCCE2DE8}"/>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69A6-4B9D-BF5C-1DD4FCCE2DE8}"/>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69A6-4B9D-BF5C-1DD4FCCE2DE8}"/>
                </c:ext>
              </c:extLst>
            </c:dLbl>
            <c:dLbl>
              <c:idx val="4"/>
              <c:layout>
                <c:manualLayout>
                  <c:x val="0.1236204618717963"/>
                  <c:y val="-5.0925925925926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9A6-4B9D-BF5C-1DD4FCCE2DE8}"/>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B-69A6-4B9D-BF5C-1DD4FCCE2D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'Efective solare'!$W$3:$W$8</c:f>
              <c:strCache>
                <c:ptCount val="6"/>
                <c:pt idx="0">
                  <c:v>Prescolar</c:v>
                </c:pt>
                <c:pt idx="1">
                  <c:v>Primar</c:v>
                </c:pt>
                <c:pt idx="2">
                  <c:v>Gimnazial</c:v>
                </c:pt>
                <c:pt idx="3">
                  <c:v>Liceal</c:v>
                </c:pt>
                <c:pt idx="4">
                  <c:v>Profesional</c:v>
                </c:pt>
                <c:pt idx="5">
                  <c:v>Postliceal</c:v>
                </c:pt>
              </c:strCache>
            </c:strRef>
          </c:cat>
          <c:val>
            <c:numRef>
              <c:f>'Efective solare'!$X$3:$X$8</c:f>
              <c:numCache>
                <c:formatCode>0.0%</c:formatCode>
                <c:ptCount val="6"/>
                <c:pt idx="0">
                  <c:v>0.1458959006829007</c:v>
                </c:pt>
                <c:pt idx="1">
                  <c:v>0.28259081431604721</c:v>
                </c:pt>
                <c:pt idx="2">
                  <c:v>0.21749526560437668</c:v>
                </c:pt>
                <c:pt idx="3">
                  <c:v>0.28111789123323833</c:v>
                </c:pt>
                <c:pt idx="4">
                  <c:v>6.7333626642691819E-3</c:v>
                </c:pt>
                <c:pt idx="5">
                  <c:v>6.616676549916789E-2</c:v>
                </c:pt>
              </c:numCache>
            </c:numRef>
          </c:val>
          <c:extLst>
            <c:ext xmlns:c16="http://schemas.microsoft.com/office/drawing/2014/chart" uri="{C3380CC4-5D6E-409C-BE32-E72D297353CC}">
              <c16:uniqueId val="{0000000C-69A6-4B9D-BF5C-1DD4FCCE2DE8}"/>
            </c:ext>
          </c:extLst>
        </c:ser>
        <c:dLbls>
          <c:showLegendKey val="0"/>
          <c:showVal val="1"/>
          <c:showCatName val="0"/>
          <c:showSerName val="0"/>
          <c:showPercent val="0"/>
          <c:showBubbleSize val="0"/>
          <c:showLeaderLines val="1"/>
        </c:dLbls>
        <c:firstSliceAng val="10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24'!$B$34</c:f>
              <c:strCache>
                <c:ptCount val="1"/>
                <c:pt idx="0">
                  <c:v>Foarte mulțumit/ă</c:v>
                </c:pt>
              </c:strCache>
            </c:strRef>
          </c:tx>
          <c:invertIfNegative val="0"/>
          <c:dLbls>
            <c:delete val="1"/>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24'!$B$35:$B$41</c:f>
              <c:numCache>
                <c:formatCode>0.0%</c:formatCode>
                <c:ptCount val="7"/>
                <c:pt idx="0">
                  <c:v>8.8300000000000003E-2</c:v>
                </c:pt>
                <c:pt idx="1">
                  <c:v>4.5900000000000003E-2</c:v>
                </c:pt>
                <c:pt idx="2">
                  <c:v>3.8899999999999997E-2</c:v>
                </c:pt>
                <c:pt idx="3">
                  <c:v>0.03</c:v>
                </c:pt>
                <c:pt idx="4">
                  <c:v>2.3E-2</c:v>
                </c:pt>
                <c:pt idx="5">
                  <c:v>1.9400000000000001E-2</c:v>
                </c:pt>
                <c:pt idx="6">
                  <c:v>2.12E-2</c:v>
                </c:pt>
              </c:numCache>
            </c:numRef>
          </c:val>
          <c:extLst>
            <c:ext xmlns:c16="http://schemas.microsoft.com/office/drawing/2014/chart" uri="{C3380CC4-5D6E-409C-BE32-E72D297353CC}">
              <c16:uniqueId val="{00000000-66DA-40CB-BD96-F12B9147A7D6}"/>
            </c:ext>
          </c:extLst>
        </c:ser>
        <c:ser>
          <c:idx val="1"/>
          <c:order val="1"/>
          <c:tx>
            <c:strRef>
              <c:f>'[ACTUALIZAREA STRATEGIEI DE DEZVOLTARE LOCALĂ INTEGRATĂ ŞI DURABILĂ A SECTORULUI 2  PENTRU PERIOADA 2016 - 2025. Chestionar dedicat locuitorilor Sectorului 2..xlsx]Question 24'!$C$34</c:f>
              <c:strCache>
                <c:ptCount val="1"/>
                <c:pt idx="0">
                  <c:v>Mulțumit/ă</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24'!$C$35:$C$41</c:f>
              <c:numCache>
                <c:formatCode>0.0%</c:formatCode>
                <c:ptCount val="7"/>
                <c:pt idx="0">
                  <c:v>0.3004</c:v>
                </c:pt>
                <c:pt idx="1">
                  <c:v>0.29509999999999997</c:v>
                </c:pt>
                <c:pt idx="2">
                  <c:v>0.1837</c:v>
                </c:pt>
                <c:pt idx="3">
                  <c:v>0.23319999999999999</c:v>
                </c:pt>
                <c:pt idx="4">
                  <c:v>0.14660000000000001</c:v>
                </c:pt>
                <c:pt idx="5">
                  <c:v>0.1714</c:v>
                </c:pt>
                <c:pt idx="6">
                  <c:v>0.1484</c:v>
                </c:pt>
              </c:numCache>
            </c:numRef>
          </c:val>
          <c:extLst>
            <c:ext xmlns:c16="http://schemas.microsoft.com/office/drawing/2014/chart" uri="{C3380CC4-5D6E-409C-BE32-E72D297353CC}">
              <c16:uniqueId val="{00000001-66DA-40CB-BD96-F12B9147A7D6}"/>
            </c:ext>
          </c:extLst>
        </c:ser>
        <c:ser>
          <c:idx val="2"/>
          <c:order val="2"/>
          <c:tx>
            <c:strRef>
              <c:f>'[ACTUALIZAREA STRATEGIEI DE DEZVOLTARE LOCALĂ INTEGRATĂ ŞI DURABILĂ A SECTORULUI 2  PENTRU PERIOADA 2016 - 2025. Chestionar dedicat locuitorilor Sectorului 2..xlsx]Question 24'!$D$34</c:f>
              <c:strCache>
                <c:ptCount val="1"/>
                <c:pt idx="0">
                  <c:v>Neutru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24'!$D$35:$D$41</c:f>
              <c:numCache>
                <c:formatCode>0.0%</c:formatCode>
                <c:ptCount val="7"/>
                <c:pt idx="0">
                  <c:v>0.1661</c:v>
                </c:pt>
                <c:pt idx="1">
                  <c:v>0.21729999999999999</c:v>
                </c:pt>
                <c:pt idx="2">
                  <c:v>0.24560000000000001</c:v>
                </c:pt>
                <c:pt idx="3">
                  <c:v>0.26500000000000001</c:v>
                </c:pt>
                <c:pt idx="4">
                  <c:v>0.27210000000000001</c:v>
                </c:pt>
                <c:pt idx="5">
                  <c:v>0.22789999999999999</c:v>
                </c:pt>
                <c:pt idx="6">
                  <c:v>0.24729999999999999</c:v>
                </c:pt>
              </c:numCache>
            </c:numRef>
          </c:val>
          <c:extLst>
            <c:ext xmlns:c16="http://schemas.microsoft.com/office/drawing/2014/chart" uri="{C3380CC4-5D6E-409C-BE32-E72D297353CC}">
              <c16:uniqueId val="{00000002-66DA-40CB-BD96-F12B9147A7D6}"/>
            </c:ext>
          </c:extLst>
        </c:ser>
        <c:ser>
          <c:idx val="3"/>
          <c:order val="3"/>
          <c:tx>
            <c:strRef>
              <c:f>'[ACTUALIZAREA STRATEGIEI DE DEZVOLTARE LOCALĂ INTEGRATĂ ŞI DURABILĂ A SECTORULUI 2  PENTRU PERIOADA 2016 - 2025. Chestionar dedicat locuitorilor Sectorului 2..xlsx]Question 24'!$E$34</c:f>
              <c:strCache>
                <c:ptCount val="1"/>
                <c:pt idx="0">
                  <c:v>Nemulțumit/ă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24'!$E$35:$E$41</c:f>
              <c:numCache>
                <c:formatCode>0.0%</c:formatCode>
                <c:ptCount val="7"/>
                <c:pt idx="0">
                  <c:v>0.1113</c:v>
                </c:pt>
                <c:pt idx="1">
                  <c:v>9.01E-2</c:v>
                </c:pt>
                <c:pt idx="2">
                  <c:v>0.1431</c:v>
                </c:pt>
                <c:pt idx="3">
                  <c:v>5.8299999999999998E-2</c:v>
                </c:pt>
                <c:pt idx="4">
                  <c:v>0.106</c:v>
                </c:pt>
                <c:pt idx="5">
                  <c:v>0.1148</c:v>
                </c:pt>
                <c:pt idx="6">
                  <c:v>8.3000000000000004E-2</c:v>
                </c:pt>
              </c:numCache>
            </c:numRef>
          </c:val>
          <c:extLst>
            <c:ext xmlns:c16="http://schemas.microsoft.com/office/drawing/2014/chart" uri="{C3380CC4-5D6E-409C-BE32-E72D297353CC}">
              <c16:uniqueId val="{00000003-66DA-40CB-BD96-F12B9147A7D6}"/>
            </c:ext>
          </c:extLst>
        </c:ser>
        <c:ser>
          <c:idx val="4"/>
          <c:order val="4"/>
          <c:tx>
            <c:strRef>
              <c:f>'[ACTUALIZAREA STRATEGIEI DE DEZVOLTARE LOCALĂ INTEGRATĂ ŞI DURABILĂ A SECTORULUI 2  PENTRU PERIOADA 2016 - 2025. Chestionar dedicat locuitorilor Sectorului 2..xlsx]Question 24'!$F$34</c:f>
              <c:strCache>
                <c:ptCount val="1"/>
                <c:pt idx="0">
                  <c:v>Foarte nemulțumit/ă</c:v>
                </c:pt>
              </c:strCache>
            </c:strRef>
          </c:tx>
          <c:invertIfNegative val="0"/>
          <c:dLbls>
            <c:delete val="1"/>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24'!$F$35:$F$41</c:f>
              <c:numCache>
                <c:formatCode>0.0%</c:formatCode>
                <c:ptCount val="7"/>
                <c:pt idx="0">
                  <c:v>4.24E-2</c:v>
                </c:pt>
                <c:pt idx="1">
                  <c:v>3.3599999999999998E-2</c:v>
                </c:pt>
                <c:pt idx="2">
                  <c:v>4.0599999999999997E-2</c:v>
                </c:pt>
                <c:pt idx="3">
                  <c:v>1.41E-2</c:v>
                </c:pt>
                <c:pt idx="4">
                  <c:v>2.8299999999999999E-2</c:v>
                </c:pt>
                <c:pt idx="5">
                  <c:v>5.6500000000000002E-2</c:v>
                </c:pt>
                <c:pt idx="6">
                  <c:v>3.7100000000000001E-2</c:v>
                </c:pt>
              </c:numCache>
            </c:numRef>
          </c:val>
          <c:extLst>
            <c:ext xmlns:c16="http://schemas.microsoft.com/office/drawing/2014/chart" uri="{C3380CC4-5D6E-409C-BE32-E72D297353CC}">
              <c16:uniqueId val="{00000004-66DA-40CB-BD96-F12B9147A7D6}"/>
            </c:ext>
          </c:extLst>
        </c:ser>
        <c:ser>
          <c:idx val="5"/>
          <c:order val="5"/>
          <c:tx>
            <c:strRef>
              <c:f>'[ACTUALIZAREA STRATEGIEI DE DEZVOLTARE LOCALĂ INTEGRATĂ ŞI DURABILĂ A SECTORULUI 2  PENTRU PERIOADA 2016 - 2025. Chestionar dedicat locuitorilor Sectorului 2..xlsx]Question 24'!$G$34</c:f>
              <c:strCache>
                <c:ptCount val="1"/>
                <c:pt idx="0">
                  <c:v>Nu știu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24'!$G$35:$G$41</c:f>
              <c:numCache>
                <c:formatCode>0.0%</c:formatCode>
                <c:ptCount val="7"/>
                <c:pt idx="0">
                  <c:v>0.29149999999999998</c:v>
                </c:pt>
                <c:pt idx="1">
                  <c:v>0.318</c:v>
                </c:pt>
                <c:pt idx="2">
                  <c:v>0.34810000000000002</c:v>
                </c:pt>
                <c:pt idx="3">
                  <c:v>0.39929999999999999</c:v>
                </c:pt>
                <c:pt idx="4">
                  <c:v>0.42399999999999999</c:v>
                </c:pt>
                <c:pt idx="5">
                  <c:v>0.40989999999999999</c:v>
                </c:pt>
                <c:pt idx="6">
                  <c:v>0.46289999999999998</c:v>
                </c:pt>
              </c:numCache>
            </c:numRef>
          </c:val>
          <c:extLst>
            <c:ext xmlns:c16="http://schemas.microsoft.com/office/drawing/2014/chart" uri="{C3380CC4-5D6E-409C-BE32-E72D297353CC}">
              <c16:uniqueId val="{00000005-66DA-40CB-BD96-F12B9147A7D6}"/>
            </c:ext>
          </c:extLst>
        </c:ser>
        <c:dLbls>
          <c:dLblPos val="ctr"/>
          <c:showLegendKey val="0"/>
          <c:showVal val="1"/>
          <c:showCatName val="0"/>
          <c:showSerName val="0"/>
          <c:showPercent val="0"/>
          <c:showBubbleSize val="0"/>
        </c:dLbls>
        <c:gapWidth val="94"/>
        <c:overlap val="100"/>
        <c:axId val="185020928"/>
        <c:axId val="51346176"/>
      </c:barChart>
      <c:catAx>
        <c:axId val="185020928"/>
        <c:scaling>
          <c:orientation val="minMax"/>
        </c:scaling>
        <c:delete val="0"/>
        <c:axPos val="l"/>
        <c:numFmt formatCode="General" sourceLinked="0"/>
        <c:majorTickMark val="none"/>
        <c:minorTickMark val="none"/>
        <c:tickLblPos val="nextTo"/>
        <c:crossAx val="51346176"/>
        <c:crosses val="autoZero"/>
        <c:auto val="1"/>
        <c:lblAlgn val="ctr"/>
        <c:lblOffset val="100"/>
        <c:noMultiLvlLbl val="0"/>
      </c:catAx>
      <c:valAx>
        <c:axId val="51346176"/>
        <c:scaling>
          <c:orientation val="minMax"/>
        </c:scaling>
        <c:delete val="1"/>
        <c:axPos val="b"/>
        <c:numFmt formatCode="0%" sourceLinked="1"/>
        <c:majorTickMark val="out"/>
        <c:minorTickMark val="none"/>
        <c:tickLblPos val="nextTo"/>
        <c:crossAx val="18502092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3C8-4AE3-9C13-A4CD988A3F91}"/>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03C8-4AE3-9C13-A4CD988A3F91}"/>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03C8-4AE3-9C13-A4CD988A3F91}"/>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03C8-4AE3-9C13-A4CD988A3F91}"/>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03C8-4AE3-9C13-A4CD988A3F91}"/>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03C8-4AE3-9C13-A4CD988A3F91}"/>
              </c:ext>
            </c:extLst>
          </c:dPt>
          <c:dPt>
            <c:idx val="6"/>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0D-03C8-4AE3-9C13-A4CD988A3F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București</c:v>
                </c:pt>
                <c:pt idx="1">
                  <c:v>Cluj-Napoca</c:v>
                </c:pt>
                <c:pt idx="2">
                  <c:v>Iași</c:v>
                </c:pt>
                <c:pt idx="3">
                  <c:v>Timișoara</c:v>
                </c:pt>
                <c:pt idx="4">
                  <c:v>Craiova</c:v>
                </c:pt>
                <c:pt idx="5">
                  <c:v>Brașov</c:v>
                </c:pt>
                <c:pt idx="6">
                  <c:v>Constanța</c:v>
                </c:pt>
              </c:strCache>
            </c:strRef>
          </c:cat>
          <c:val>
            <c:numRef>
              <c:f>Sheet1!$B$2:$B$8</c:f>
              <c:numCache>
                <c:formatCode>#,##0.0</c:formatCode>
                <c:ptCount val="7"/>
                <c:pt idx="0">
                  <c:v>42.372323685088929</c:v>
                </c:pt>
                <c:pt idx="1">
                  <c:v>17.353964999284727</c:v>
                </c:pt>
                <c:pt idx="2">
                  <c:v>13.5637308664346</c:v>
                </c:pt>
                <c:pt idx="3">
                  <c:v>10.495684516713556</c:v>
                </c:pt>
                <c:pt idx="4">
                  <c:v>5.5629202231653236</c:v>
                </c:pt>
                <c:pt idx="5">
                  <c:v>5.3721806303943538</c:v>
                </c:pt>
                <c:pt idx="6">
                  <c:v>5.2791950789185069</c:v>
                </c:pt>
              </c:numCache>
            </c:numRef>
          </c:val>
          <c:extLst>
            <c:ext xmlns:c16="http://schemas.microsoft.com/office/drawing/2014/chart" uri="{C3380CC4-5D6E-409C-BE32-E72D297353CC}">
              <c16:uniqueId val="{0000000E-03C8-4AE3-9C13-A4CD988A3F91}"/>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Sheet1!$B$1</c:f>
              <c:strCache>
                <c:ptCount val="1"/>
                <c:pt idx="0">
                  <c:v>2015</c:v>
                </c:pt>
              </c:strCache>
            </c:strRef>
          </c:tx>
          <c:spPr>
            <a:solidFill>
              <a:schemeClr val="accent3">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București</c:v>
                </c:pt>
                <c:pt idx="1">
                  <c:v>Cluj-Napoca</c:v>
                </c:pt>
                <c:pt idx="2">
                  <c:v>Iași</c:v>
                </c:pt>
              </c:strCache>
            </c:strRef>
          </c:cat>
          <c:val>
            <c:numRef>
              <c:f>Sheet1!$B$2:$B$4</c:f>
              <c:numCache>
                <c:formatCode>0.0</c:formatCode>
                <c:ptCount val="3"/>
                <c:pt idx="0">
                  <c:v>8.0767445532124107</c:v>
                </c:pt>
                <c:pt idx="1">
                  <c:v>20.677952405963396</c:v>
                </c:pt>
                <c:pt idx="2">
                  <c:v>15.116806532093401</c:v>
                </c:pt>
              </c:numCache>
            </c:numRef>
          </c:val>
          <c:extLst>
            <c:ext xmlns:c16="http://schemas.microsoft.com/office/drawing/2014/chart" uri="{C3380CC4-5D6E-409C-BE32-E72D297353CC}">
              <c16:uniqueId val="{00000000-32AF-44F7-8AF6-A15C7EE959F9}"/>
            </c:ext>
          </c:extLst>
        </c:ser>
        <c:ser>
          <c:idx val="1"/>
          <c:order val="1"/>
          <c:tx>
            <c:strRef>
              <c:f>Sheet1!$C$1</c:f>
              <c:strCache>
                <c:ptCount val="1"/>
                <c:pt idx="0">
                  <c:v>2016</c:v>
                </c:pt>
              </c:strCache>
            </c:strRef>
          </c:tx>
          <c:spPr>
            <a:solidFill>
              <a:schemeClr val="accent3">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București</c:v>
                </c:pt>
                <c:pt idx="1">
                  <c:v>Cluj-Napoca</c:v>
                </c:pt>
                <c:pt idx="2">
                  <c:v>Iași</c:v>
                </c:pt>
              </c:strCache>
            </c:strRef>
          </c:cat>
          <c:val>
            <c:numRef>
              <c:f>Sheet1!$C$2:$C$4</c:f>
              <c:numCache>
                <c:formatCode>0.0</c:formatCode>
                <c:ptCount val="3"/>
                <c:pt idx="0">
                  <c:v>8.1812060238419964</c:v>
                </c:pt>
                <c:pt idx="1">
                  <c:v>20.88920911569781</c:v>
                </c:pt>
                <c:pt idx="2">
                  <c:v>14.522661786996954</c:v>
                </c:pt>
              </c:numCache>
            </c:numRef>
          </c:val>
          <c:extLst>
            <c:ext xmlns:c16="http://schemas.microsoft.com/office/drawing/2014/chart" uri="{C3380CC4-5D6E-409C-BE32-E72D297353CC}">
              <c16:uniqueId val="{00000001-32AF-44F7-8AF6-A15C7EE959F9}"/>
            </c:ext>
          </c:extLst>
        </c:ser>
        <c:ser>
          <c:idx val="2"/>
          <c:order val="2"/>
          <c:tx>
            <c:strRef>
              <c:f>Sheet1!$D$1</c:f>
              <c:strCache>
                <c:ptCount val="1"/>
                <c:pt idx="0">
                  <c:v>2017</c:v>
                </c:pt>
              </c:strCache>
            </c:strRef>
          </c:tx>
          <c:spPr>
            <a:solidFill>
              <a:schemeClr val="accent3">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București</c:v>
                </c:pt>
                <c:pt idx="1">
                  <c:v>Cluj-Napoca</c:v>
                </c:pt>
                <c:pt idx="2">
                  <c:v>Iași</c:v>
                </c:pt>
              </c:strCache>
            </c:strRef>
          </c:cat>
          <c:val>
            <c:numRef>
              <c:f>Sheet1!$D$2:$D$4</c:f>
              <c:numCache>
                <c:formatCode>0.0</c:formatCode>
                <c:ptCount val="3"/>
                <c:pt idx="0">
                  <c:v>8.3679109216104663</c:v>
                </c:pt>
                <c:pt idx="1">
                  <c:v>21.163397357940568</c:v>
                </c:pt>
                <c:pt idx="2">
                  <c:v>14.328383843534221</c:v>
                </c:pt>
              </c:numCache>
            </c:numRef>
          </c:val>
          <c:extLst>
            <c:ext xmlns:c16="http://schemas.microsoft.com/office/drawing/2014/chart" uri="{C3380CC4-5D6E-409C-BE32-E72D297353CC}">
              <c16:uniqueId val="{00000002-32AF-44F7-8AF6-A15C7EE959F9}"/>
            </c:ext>
          </c:extLst>
        </c:ser>
        <c:ser>
          <c:idx val="3"/>
          <c:order val="3"/>
          <c:tx>
            <c:strRef>
              <c:f>Sheet1!$E$1</c:f>
              <c:strCache>
                <c:ptCount val="1"/>
                <c:pt idx="0">
                  <c:v>2018</c:v>
                </c:pt>
              </c:strCache>
            </c:strRef>
          </c:tx>
          <c:spPr>
            <a:solidFill>
              <a:schemeClr val="accent3">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București</c:v>
                </c:pt>
                <c:pt idx="1">
                  <c:v>Cluj-Napoca</c:v>
                </c:pt>
                <c:pt idx="2">
                  <c:v>Iași</c:v>
                </c:pt>
              </c:strCache>
            </c:strRef>
          </c:cat>
          <c:val>
            <c:numRef>
              <c:f>Sheet1!$E$2:$E$4</c:f>
              <c:numCache>
                <c:formatCode>0.0</c:formatCode>
                <c:ptCount val="3"/>
                <c:pt idx="0">
                  <c:v>8.1187316505267386</c:v>
                </c:pt>
                <c:pt idx="1">
                  <c:v>21.328073230494212</c:v>
                </c:pt>
                <c:pt idx="2">
                  <c:v>13.995793678892829</c:v>
                </c:pt>
              </c:numCache>
            </c:numRef>
          </c:val>
          <c:extLst>
            <c:ext xmlns:c16="http://schemas.microsoft.com/office/drawing/2014/chart" uri="{C3380CC4-5D6E-409C-BE32-E72D297353CC}">
              <c16:uniqueId val="{00000003-32AF-44F7-8AF6-A15C7EE959F9}"/>
            </c:ext>
          </c:extLst>
        </c:ser>
        <c:ser>
          <c:idx val="4"/>
          <c:order val="4"/>
          <c:tx>
            <c:strRef>
              <c:f>Sheet1!$F$1</c:f>
              <c:strCache>
                <c:ptCount val="1"/>
                <c:pt idx="0">
                  <c:v>2019</c:v>
                </c:pt>
              </c:strCache>
            </c:strRef>
          </c:tx>
          <c:spPr>
            <a:solidFill>
              <a:schemeClr val="accent3">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București</c:v>
                </c:pt>
                <c:pt idx="1">
                  <c:v>Cluj-Napoca</c:v>
                </c:pt>
                <c:pt idx="2">
                  <c:v>Iași</c:v>
                </c:pt>
              </c:strCache>
            </c:strRef>
          </c:cat>
          <c:val>
            <c:numRef>
              <c:f>Sheet1!$F$2:$F$4</c:f>
              <c:numCache>
                <c:formatCode>0.0</c:formatCode>
                <c:ptCount val="3"/>
                <c:pt idx="0">
                  <c:v>8.1763979073617499</c:v>
                </c:pt>
                <c:pt idx="1">
                  <c:v>21.442228145969299</c:v>
                </c:pt>
                <c:pt idx="2">
                  <c:v>14.189466359959082</c:v>
                </c:pt>
              </c:numCache>
            </c:numRef>
          </c:val>
          <c:extLst>
            <c:ext xmlns:c16="http://schemas.microsoft.com/office/drawing/2014/chart" uri="{C3380CC4-5D6E-409C-BE32-E72D297353CC}">
              <c16:uniqueId val="{00000004-32AF-44F7-8AF6-A15C7EE959F9}"/>
            </c:ext>
          </c:extLst>
        </c:ser>
        <c:ser>
          <c:idx val="5"/>
          <c:order val="5"/>
          <c:tx>
            <c:strRef>
              <c:f>Sheet1!$G$1</c:f>
              <c:strCache>
                <c:ptCount val="1"/>
                <c:pt idx="0">
                  <c:v>2020</c:v>
                </c:pt>
              </c:strCache>
            </c:strRef>
          </c:tx>
          <c:spPr>
            <a:solidFill>
              <a:schemeClr val="accent3">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București</c:v>
                </c:pt>
                <c:pt idx="1">
                  <c:v>Cluj-Napoca</c:v>
                </c:pt>
                <c:pt idx="2">
                  <c:v>Iași</c:v>
                </c:pt>
              </c:strCache>
            </c:strRef>
          </c:cat>
          <c:val>
            <c:numRef>
              <c:f>Sheet1!$G$2:$G$4</c:f>
              <c:numCache>
                <c:formatCode>0.0</c:formatCode>
                <c:ptCount val="3"/>
                <c:pt idx="0">
                  <c:v>8.2304439080506615</c:v>
                </c:pt>
                <c:pt idx="1">
                  <c:v>22.172736910085661</c:v>
                </c:pt>
                <c:pt idx="2">
                  <c:v>14.596916350424522</c:v>
                </c:pt>
              </c:numCache>
            </c:numRef>
          </c:val>
          <c:extLst>
            <c:ext xmlns:c16="http://schemas.microsoft.com/office/drawing/2014/chart" uri="{C3380CC4-5D6E-409C-BE32-E72D297353CC}">
              <c16:uniqueId val="{00000005-32AF-44F7-8AF6-A15C7EE959F9}"/>
            </c:ext>
          </c:extLst>
        </c:ser>
        <c:dLbls>
          <c:dLblPos val="outEnd"/>
          <c:showLegendKey val="0"/>
          <c:showVal val="1"/>
          <c:showCatName val="0"/>
          <c:showSerName val="0"/>
          <c:showPercent val="0"/>
          <c:showBubbleSize val="0"/>
        </c:dLbls>
        <c:gapWidth val="219"/>
        <c:overlap val="-27"/>
        <c:axId val="519832968"/>
        <c:axId val="519825520"/>
      </c:barChart>
      <c:catAx>
        <c:axId val="519832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825520"/>
        <c:crosses val="autoZero"/>
        <c:auto val="1"/>
        <c:lblAlgn val="ctr"/>
        <c:lblOffset val="100"/>
        <c:noMultiLvlLbl val="0"/>
      </c:catAx>
      <c:valAx>
        <c:axId val="519825520"/>
        <c:scaling>
          <c:orientation val="minMax"/>
        </c:scaling>
        <c:delete val="1"/>
        <c:axPos val="l"/>
        <c:numFmt formatCode="0.0" sourceLinked="1"/>
        <c:majorTickMark val="none"/>
        <c:minorTickMark val="none"/>
        <c:tickLblPos val="nextTo"/>
        <c:crossAx val="519832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Foaie1!$B$33</c:f>
              <c:strCache>
                <c:ptCount val="1"/>
                <c:pt idx="0">
                  <c:v>Cititori activi la biblioteci</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Foaie1!$C$32:$G$32</c:f>
              <c:strCache>
                <c:ptCount val="5"/>
                <c:pt idx="0">
                  <c:v>Anul 2016</c:v>
                </c:pt>
                <c:pt idx="1">
                  <c:v>Anul 2017</c:v>
                </c:pt>
                <c:pt idx="2">
                  <c:v>Anul 2018</c:v>
                </c:pt>
                <c:pt idx="3">
                  <c:v>Anul 2019</c:v>
                </c:pt>
                <c:pt idx="4">
                  <c:v>Anul 2020</c:v>
                </c:pt>
              </c:strCache>
            </c:strRef>
          </c:cat>
          <c:val>
            <c:numRef>
              <c:f>Foaie1!$C$33:$G$33</c:f>
              <c:numCache>
                <c:formatCode>#,##0</c:formatCode>
                <c:ptCount val="5"/>
                <c:pt idx="0">
                  <c:v>295511</c:v>
                </c:pt>
                <c:pt idx="1">
                  <c:v>285529</c:v>
                </c:pt>
                <c:pt idx="2">
                  <c:v>278028</c:v>
                </c:pt>
                <c:pt idx="3">
                  <c:v>349593</c:v>
                </c:pt>
                <c:pt idx="4">
                  <c:v>280551</c:v>
                </c:pt>
              </c:numCache>
            </c:numRef>
          </c:val>
          <c:extLst>
            <c:ext xmlns:c16="http://schemas.microsoft.com/office/drawing/2014/chart" uri="{C3380CC4-5D6E-409C-BE32-E72D297353CC}">
              <c16:uniqueId val="{00000000-9EF1-4D43-8326-CEEE640BF0C4}"/>
            </c:ext>
          </c:extLst>
        </c:ser>
        <c:ser>
          <c:idx val="1"/>
          <c:order val="1"/>
          <c:tx>
            <c:strRef>
              <c:f>Foaie1!$B$34</c:f>
              <c:strCache>
                <c:ptCount val="1"/>
                <c:pt idx="0">
                  <c:v>Vizitatori în muzee și colecții publice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Foaie1!$C$32:$G$32</c:f>
              <c:strCache>
                <c:ptCount val="5"/>
                <c:pt idx="0">
                  <c:v>Anul 2016</c:v>
                </c:pt>
                <c:pt idx="1">
                  <c:v>Anul 2017</c:v>
                </c:pt>
                <c:pt idx="2">
                  <c:v>Anul 2018</c:v>
                </c:pt>
                <c:pt idx="3">
                  <c:v>Anul 2019</c:v>
                </c:pt>
                <c:pt idx="4">
                  <c:v>Anul 2020</c:v>
                </c:pt>
              </c:strCache>
            </c:strRef>
          </c:cat>
          <c:val>
            <c:numRef>
              <c:f>Foaie1!$C$34:$G$34</c:f>
              <c:numCache>
                <c:formatCode>#,##0</c:formatCode>
                <c:ptCount val="5"/>
                <c:pt idx="0">
                  <c:v>1692842</c:v>
                </c:pt>
                <c:pt idx="1">
                  <c:v>2093284</c:v>
                </c:pt>
                <c:pt idx="2">
                  <c:v>2318465</c:v>
                </c:pt>
                <c:pt idx="3">
                  <c:v>2288251</c:v>
                </c:pt>
                <c:pt idx="4">
                  <c:v>837791</c:v>
                </c:pt>
              </c:numCache>
            </c:numRef>
          </c:val>
          <c:extLst>
            <c:ext xmlns:c16="http://schemas.microsoft.com/office/drawing/2014/chart" uri="{C3380CC4-5D6E-409C-BE32-E72D297353CC}">
              <c16:uniqueId val="{00000001-9EF1-4D43-8326-CEEE640BF0C4}"/>
            </c:ext>
          </c:extLst>
        </c:ser>
        <c:ser>
          <c:idx val="2"/>
          <c:order val="2"/>
          <c:tx>
            <c:strRef>
              <c:f>Foaie1!$B$35</c:f>
              <c:strCache>
                <c:ptCount val="1"/>
                <c:pt idx="0">
                  <c:v>Spectatori și auditori la reprezentații artistice</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Foaie1!$C$32:$G$32</c:f>
              <c:strCache>
                <c:ptCount val="5"/>
                <c:pt idx="0">
                  <c:v>Anul 2016</c:v>
                </c:pt>
                <c:pt idx="1">
                  <c:v>Anul 2017</c:v>
                </c:pt>
                <c:pt idx="2">
                  <c:v>Anul 2018</c:v>
                </c:pt>
                <c:pt idx="3">
                  <c:v>Anul 2019</c:v>
                </c:pt>
                <c:pt idx="4">
                  <c:v>Anul 2020</c:v>
                </c:pt>
              </c:strCache>
            </c:strRef>
          </c:cat>
          <c:val>
            <c:numRef>
              <c:f>Foaie1!$C$35:$G$35</c:f>
              <c:numCache>
                <c:formatCode>#,##0</c:formatCode>
                <c:ptCount val="5"/>
                <c:pt idx="0">
                  <c:v>1414778</c:v>
                </c:pt>
                <c:pt idx="1">
                  <c:v>1387053</c:v>
                </c:pt>
                <c:pt idx="2">
                  <c:v>1724451</c:v>
                </c:pt>
                <c:pt idx="3">
                  <c:v>1800441</c:v>
                </c:pt>
                <c:pt idx="4">
                  <c:v>479794</c:v>
                </c:pt>
              </c:numCache>
            </c:numRef>
          </c:val>
          <c:extLst>
            <c:ext xmlns:c16="http://schemas.microsoft.com/office/drawing/2014/chart" uri="{C3380CC4-5D6E-409C-BE32-E72D297353CC}">
              <c16:uniqueId val="{00000002-9EF1-4D43-8326-CEEE640BF0C4}"/>
            </c:ext>
          </c:extLst>
        </c:ser>
        <c:dLbls>
          <c:dLblPos val="inBase"/>
          <c:showLegendKey val="0"/>
          <c:showVal val="1"/>
          <c:showCatName val="0"/>
          <c:showSerName val="0"/>
          <c:showPercent val="0"/>
          <c:showBubbleSize val="0"/>
        </c:dLbls>
        <c:gapWidth val="219"/>
        <c:overlap val="-27"/>
        <c:axId val="72217167"/>
        <c:axId val="72217999"/>
      </c:barChart>
      <c:catAx>
        <c:axId val="72217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217999"/>
        <c:crosses val="autoZero"/>
        <c:auto val="1"/>
        <c:lblAlgn val="ctr"/>
        <c:lblOffset val="100"/>
        <c:noMultiLvlLbl val="0"/>
      </c:catAx>
      <c:valAx>
        <c:axId val="72217999"/>
        <c:scaling>
          <c:orientation val="minMax"/>
        </c:scaling>
        <c:delete val="1"/>
        <c:axPos val="l"/>
        <c:numFmt formatCode="#,##0" sourceLinked="1"/>
        <c:majorTickMark val="none"/>
        <c:minorTickMark val="none"/>
        <c:tickLblPos val="nextTo"/>
        <c:crossAx val="72217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'Infr. turistică '!$A$31:$A$37</c:f>
              <c:strCache>
                <c:ptCount val="7"/>
                <c:pt idx="0">
                  <c:v>Apartamente de închiriat</c:v>
                </c:pt>
                <c:pt idx="1">
                  <c:v>Camere de închiriat</c:v>
                </c:pt>
                <c:pt idx="2">
                  <c:v>Hostel</c:v>
                </c:pt>
                <c:pt idx="3">
                  <c:v>Hotel</c:v>
                </c:pt>
                <c:pt idx="4">
                  <c:v>Hotel - Apartament </c:v>
                </c:pt>
                <c:pt idx="5">
                  <c:v>Pensiune turistică</c:v>
                </c:pt>
                <c:pt idx="6">
                  <c:v>Vilă turistică</c:v>
                </c:pt>
              </c:strCache>
            </c:strRef>
          </c:cat>
          <c:val>
            <c:numRef>
              <c:f>'Infr. turistică '!$B$31:$B$37</c:f>
              <c:numCache>
                <c:formatCode>_-* #,##0\ _l_e_i_-;\-* #,##0\ _l_e_i_-;_-* "-"??\ _l_e_i_-;_-@_-</c:formatCode>
                <c:ptCount val="7"/>
                <c:pt idx="0">
                  <c:v>57</c:v>
                </c:pt>
                <c:pt idx="1">
                  <c:v>26</c:v>
                </c:pt>
                <c:pt idx="2">
                  <c:v>9</c:v>
                </c:pt>
                <c:pt idx="3">
                  <c:v>23</c:v>
                </c:pt>
                <c:pt idx="4">
                  <c:v>1</c:v>
                </c:pt>
                <c:pt idx="5">
                  <c:v>3</c:v>
                </c:pt>
                <c:pt idx="6">
                  <c:v>5</c:v>
                </c:pt>
              </c:numCache>
            </c:numRef>
          </c:val>
          <c:extLst>
            <c:ext xmlns:c16="http://schemas.microsoft.com/office/drawing/2014/chart" uri="{C3380CC4-5D6E-409C-BE32-E72D297353CC}">
              <c16:uniqueId val="{00000000-0C30-41D2-98F5-DE9AFA4EBA5E}"/>
            </c:ext>
          </c:extLst>
        </c:ser>
        <c:dLbls>
          <c:dLblPos val="outEnd"/>
          <c:showLegendKey val="0"/>
          <c:showVal val="1"/>
          <c:showCatName val="0"/>
          <c:showSerName val="0"/>
          <c:showPercent val="0"/>
          <c:showBubbleSize val="0"/>
        </c:dLbls>
        <c:gapWidth val="182"/>
        <c:axId val="74337792"/>
        <c:axId val="74588160"/>
      </c:barChart>
      <c:catAx>
        <c:axId val="7433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88160"/>
        <c:crosses val="autoZero"/>
        <c:auto val="1"/>
        <c:lblAlgn val="ctr"/>
        <c:lblOffset val="100"/>
        <c:noMultiLvlLbl val="0"/>
      </c:catAx>
      <c:valAx>
        <c:axId val="74588160"/>
        <c:scaling>
          <c:orientation val="minMax"/>
        </c:scaling>
        <c:delete val="1"/>
        <c:axPos val="l"/>
        <c:numFmt formatCode="_-* #,##0\ _l_e_i_-;\-* #,##0\ _l_e_i_-;_-* &quot;-&quot;??\ _l_e_i_-;_-@_-" sourceLinked="1"/>
        <c:majorTickMark val="none"/>
        <c:minorTickMark val="none"/>
        <c:tickLblPos val="nextTo"/>
        <c:crossAx val="74337792"/>
        <c:crosses val="autoZero"/>
        <c:crossBetween val="between"/>
      </c:valAx>
      <c:spPr>
        <a:noFill/>
        <a:ln>
          <a:noFill/>
        </a:ln>
        <a:effectLst/>
      </c:spPr>
    </c:plotArea>
    <c:plotVisOnly val="1"/>
    <c:dispBlanksAs val="gap"/>
    <c:showDLblsOverMax val="0"/>
  </c:chart>
  <c:spPr>
    <a:noFill/>
    <a:ln w="9525" cap="flat" cmpd="sng" algn="ctr">
      <a:noFill/>
      <a:prstDash val="solid"/>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'Infr. turistică '!$A$44:$A$49</c:f>
              <c:strCache>
                <c:ptCount val="6"/>
                <c:pt idx="0">
                  <c:v>1 Stea</c:v>
                </c:pt>
                <c:pt idx="1">
                  <c:v>2 Flori</c:v>
                </c:pt>
                <c:pt idx="2">
                  <c:v>2 Stele</c:v>
                </c:pt>
                <c:pt idx="3">
                  <c:v>3 Stele</c:v>
                </c:pt>
                <c:pt idx="4">
                  <c:v>4 Stele</c:v>
                </c:pt>
                <c:pt idx="5">
                  <c:v>5 Stele</c:v>
                </c:pt>
              </c:strCache>
            </c:strRef>
          </c:cat>
          <c:val>
            <c:numRef>
              <c:f>'Infr. turistică '!$B$44:$B$49</c:f>
              <c:numCache>
                <c:formatCode>General</c:formatCode>
                <c:ptCount val="6"/>
                <c:pt idx="0">
                  <c:v>2</c:v>
                </c:pt>
                <c:pt idx="1">
                  <c:v>1</c:v>
                </c:pt>
                <c:pt idx="2">
                  <c:v>10</c:v>
                </c:pt>
                <c:pt idx="3">
                  <c:v>99</c:v>
                </c:pt>
                <c:pt idx="4">
                  <c:v>11</c:v>
                </c:pt>
                <c:pt idx="5">
                  <c:v>1</c:v>
                </c:pt>
              </c:numCache>
            </c:numRef>
          </c:val>
          <c:extLst>
            <c:ext xmlns:c16="http://schemas.microsoft.com/office/drawing/2014/chart" uri="{C3380CC4-5D6E-409C-BE32-E72D297353CC}">
              <c16:uniqueId val="{00000000-2541-44A3-8D7B-0087082E2F56}"/>
            </c:ext>
          </c:extLst>
        </c:ser>
        <c:dLbls>
          <c:dLblPos val="outEnd"/>
          <c:showLegendKey val="0"/>
          <c:showVal val="1"/>
          <c:showCatName val="0"/>
          <c:showSerName val="0"/>
          <c:showPercent val="0"/>
          <c:showBubbleSize val="0"/>
        </c:dLbls>
        <c:gapWidth val="219"/>
        <c:overlap val="-27"/>
        <c:axId val="74441216"/>
        <c:axId val="74589888"/>
      </c:barChart>
      <c:catAx>
        <c:axId val="7444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89888"/>
        <c:crosses val="autoZero"/>
        <c:auto val="1"/>
        <c:lblAlgn val="ctr"/>
        <c:lblOffset val="100"/>
        <c:noMultiLvlLbl val="0"/>
      </c:catAx>
      <c:valAx>
        <c:axId val="74589888"/>
        <c:scaling>
          <c:orientation val="minMax"/>
        </c:scaling>
        <c:delete val="1"/>
        <c:axPos val="l"/>
        <c:numFmt formatCode="General" sourceLinked="1"/>
        <c:majorTickMark val="none"/>
        <c:minorTickMark val="none"/>
        <c:tickLblPos val="nextTo"/>
        <c:crossAx val="74441216"/>
        <c:crosses val="autoZero"/>
        <c:crossBetween val="between"/>
      </c:valAx>
      <c:spPr>
        <a:noFill/>
        <a:ln w="25400">
          <a:noFill/>
        </a:ln>
        <a:effectLst/>
      </c:spPr>
    </c:plotArea>
    <c:plotVisOnly val="1"/>
    <c:dispBlanksAs val="gap"/>
    <c:showDLblsOverMax val="0"/>
  </c:chart>
  <c:spPr>
    <a:noFill/>
    <a:ln w="9525" cap="flat" cmpd="sng" algn="ctr">
      <a:noFill/>
      <a:prstDash val="solid"/>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dLbls>
            <c:dLbl>
              <c:idx val="1"/>
              <c:spPr/>
              <c:txPr>
                <a:bodyPr/>
                <a:lstStyle/>
                <a:p>
                  <a:pPr>
                    <a:defRPr>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0-826A-4A03-A144-401F2A31F348}"/>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'TOATE!'!$B$48:$D$48</c:f>
              <c:strCache>
                <c:ptCount val="3"/>
                <c:pt idx="0">
                  <c:v>Proiecte implementate</c:v>
                </c:pt>
                <c:pt idx="1">
                  <c:v>Proiecte în curs de implementare</c:v>
                </c:pt>
                <c:pt idx="2">
                  <c:v>Proiecte neimplementate/ situație nespecificată</c:v>
                </c:pt>
              </c:strCache>
            </c:strRef>
          </c:cat>
          <c:val>
            <c:numRef>
              <c:f>'TOATE!'!$B$50:$D$50</c:f>
              <c:numCache>
                <c:formatCode>0.0%</c:formatCode>
                <c:ptCount val="3"/>
                <c:pt idx="0">
                  <c:v>8.1081081081081086E-2</c:v>
                </c:pt>
                <c:pt idx="1">
                  <c:v>0.23648648648648649</c:v>
                </c:pt>
                <c:pt idx="2">
                  <c:v>0.68243243243243246</c:v>
                </c:pt>
              </c:numCache>
            </c:numRef>
          </c:val>
          <c:extLst>
            <c:ext xmlns:c16="http://schemas.microsoft.com/office/drawing/2014/chart" uri="{C3380CC4-5D6E-409C-BE32-E72D297353CC}">
              <c16:uniqueId val="{00000001-826A-4A03-A144-401F2A31F348}"/>
            </c:ext>
          </c:extLst>
        </c:ser>
        <c:dLbls>
          <c:showLegendKey val="0"/>
          <c:showVal val="1"/>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0"/>
          <c:order val="0"/>
          <c:spPr>
            <a:ln w="19050"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'Infr. turistică '!$D$16:$I$16</c:f>
              <c:strCache>
                <c:ptCount val="6"/>
                <c:pt idx="0">
                  <c:v>Anul 2016</c:v>
                </c:pt>
                <c:pt idx="1">
                  <c:v>Anul 2017</c:v>
                </c:pt>
                <c:pt idx="2">
                  <c:v>Anul 2018</c:v>
                </c:pt>
                <c:pt idx="3">
                  <c:v>Anul 2019</c:v>
                </c:pt>
                <c:pt idx="4">
                  <c:v>Anul 2020</c:v>
                </c:pt>
                <c:pt idx="5">
                  <c:v>Anul 2021</c:v>
                </c:pt>
              </c:strCache>
            </c:strRef>
          </c:cat>
          <c:val>
            <c:numRef>
              <c:f>'Infr. turistică '!$D$25:$I$25</c:f>
              <c:numCache>
                <c:formatCode>_-* #,##0\ _l_e_i_-;\-* #,##0\ _l_e_i_-;_-* "-"??\ _l_e_i_-;_-@_-</c:formatCode>
                <c:ptCount val="6"/>
                <c:pt idx="0">
                  <c:v>20247</c:v>
                </c:pt>
                <c:pt idx="1">
                  <c:v>20886</c:v>
                </c:pt>
                <c:pt idx="2">
                  <c:v>21624</c:v>
                </c:pt>
                <c:pt idx="3">
                  <c:v>21929</c:v>
                </c:pt>
                <c:pt idx="4">
                  <c:v>21809</c:v>
                </c:pt>
                <c:pt idx="5">
                  <c:v>22626</c:v>
                </c:pt>
              </c:numCache>
            </c:numRef>
          </c:val>
          <c:smooth val="0"/>
          <c:extLst>
            <c:ext xmlns:c16="http://schemas.microsoft.com/office/drawing/2014/chart" uri="{C3380CC4-5D6E-409C-BE32-E72D297353CC}">
              <c16:uniqueId val="{00000000-D03D-4568-9B44-56B481FB71B6}"/>
            </c:ext>
          </c:extLst>
        </c:ser>
        <c:dLbls>
          <c:dLblPos val="t"/>
          <c:showLegendKey val="0"/>
          <c:showVal val="1"/>
          <c:showCatName val="0"/>
          <c:showSerName val="0"/>
          <c:showPercent val="0"/>
          <c:showBubbleSize val="0"/>
        </c:dLbls>
        <c:marker val="1"/>
        <c:smooth val="0"/>
        <c:axId val="304726911"/>
        <c:axId val="304707359"/>
      </c:lineChart>
      <c:catAx>
        <c:axId val="304726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4707359"/>
        <c:crosses val="autoZero"/>
        <c:auto val="1"/>
        <c:lblAlgn val="ctr"/>
        <c:lblOffset val="100"/>
        <c:noMultiLvlLbl val="0"/>
      </c:catAx>
      <c:valAx>
        <c:axId val="304707359"/>
        <c:scaling>
          <c:orientation val="minMax"/>
        </c:scaling>
        <c:delete val="1"/>
        <c:axPos val="l"/>
        <c:numFmt formatCode="_-* #,##0\ _l_e_i_-;\-* #,##0\ _l_e_i_-;_-* &quot;-&quot;??\ _l_e_i_-;_-@_-" sourceLinked="1"/>
        <c:majorTickMark val="none"/>
        <c:minorTickMark val="none"/>
        <c:tickLblPos val="nextTo"/>
        <c:crossAx val="304726911"/>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'Infr. turistică '!$A$52:$A$54</c:f>
              <c:strCache>
                <c:ptCount val="3"/>
                <c:pt idx="0">
                  <c:v>Ministerul Antreprenoriatului și Turismului</c:v>
                </c:pt>
                <c:pt idx="1">
                  <c:v>Airbnb</c:v>
                </c:pt>
                <c:pt idx="2">
                  <c:v>Booking</c:v>
                </c:pt>
              </c:strCache>
            </c:strRef>
          </c:cat>
          <c:val>
            <c:numRef>
              <c:f>'Infr. turistică '!$B$52:$B$54</c:f>
              <c:numCache>
                <c:formatCode>#,##0</c:formatCode>
                <c:ptCount val="3"/>
                <c:pt idx="0">
                  <c:v>124</c:v>
                </c:pt>
                <c:pt idx="1">
                  <c:v>300</c:v>
                </c:pt>
                <c:pt idx="2">
                  <c:v>261</c:v>
                </c:pt>
              </c:numCache>
            </c:numRef>
          </c:val>
          <c:extLst>
            <c:ext xmlns:c16="http://schemas.microsoft.com/office/drawing/2014/chart" uri="{C3380CC4-5D6E-409C-BE32-E72D297353CC}">
              <c16:uniqueId val="{00000000-B8D3-44A5-8E07-52683D0E23BC}"/>
            </c:ext>
          </c:extLst>
        </c:ser>
        <c:dLbls>
          <c:dLblPos val="outEnd"/>
          <c:showLegendKey val="0"/>
          <c:showVal val="1"/>
          <c:showCatName val="0"/>
          <c:showSerName val="0"/>
          <c:showPercent val="0"/>
          <c:showBubbleSize val="0"/>
        </c:dLbls>
        <c:gapWidth val="219"/>
        <c:axId val="74334720"/>
        <c:axId val="159691264"/>
      </c:barChart>
      <c:catAx>
        <c:axId val="7433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691264"/>
        <c:crosses val="autoZero"/>
        <c:auto val="1"/>
        <c:lblAlgn val="ctr"/>
        <c:lblOffset val="100"/>
        <c:noMultiLvlLbl val="0"/>
      </c:catAx>
      <c:valAx>
        <c:axId val="159691264"/>
        <c:scaling>
          <c:orientation val="minMax"/>
        </c:scaling>
        <c:delete val="1"/>
        <c:axPos val="l"/>
        <c:numFmt formatCode="#,##0" sourceLinked="1"/>
        <c:majorTickMark val="none"/>
        <c:minorTickMark val="none"/>
        <c:tickLblPos val="nextTo"/>
        <c:crossAx val="74334720"/>
        <c:crosses val="autoZero"/>
        <c:crossBetween val="between"/>
      </c:valAx>
      <c:spPr>
        <a:noFill/>
        <a:ln>
          <a:noFill/>
        </a:ln>
        <a:effectLst/>
      </c:spPr>
    </c:plotArea>
    <c:plotVisOnly val="1"/>
    <c:dispBlanksAs val="gap"/>
    <c:showDLblsOverMax val="0"/>
  </c:chart>
  <c:spPr>
    <a:noFill/>
    <a:ln w="9525" cap="flat" cmpd="sng" algn="ctr">
      <a:noFill/>
      <a:prstDash val="solid"/>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'Circulația și performanța'!$C$50</c:f>
              <c:strCache>
                <c:ptCount val="1"/>
                <c:pt idx="0">
                  <c:v>Români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4"/>
              <c:layout>
                <c:manualLayout>
                  <c:x val="-5.1519203228963306E-2"/>
                  <c:y val="-0.1345255886923483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D2-40B9-8097-3F4A4B250B58}"/>
                </c:ext>
              </c:extLst>
            </c:dLbl>
            <c:dLbl>
              <c:idx val="5"/>
              <c:layout>
                <c:manualLayout>
                  <c:x val="-5.1519203228963306E-2"/>
                  <c:y val="-8.73112355289865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D2-40B9-8097-3F4A4B250B5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'Circulația și performanța'!$D$49:$I$49</c:f>
              <c:strCache>
                <c:ptCount val="6"/>
                <c:pt idx="0">
                  <c:v> Sosiri ale turiștilor 2016 </c:v>
                </c:pt>
                <c:pt idx="1">
                  <c:v> Sosiri ale turiștilor 2017 </c:v>
                </c:pt>
                <c:pt idx="2">
                  <c:v> Sosiri ale turiștilor 2018 </c:v>
                </c:pt>
                <c:pt idx="3">
                  <c:v> Sosiri ale turiștilor 2019 </c:v>
                </c:pt>
                <c:pt idx="4">
                  <c:v> Sosiri ale turiștilor 2020 </c:v>
                </c:pt>
                <c:pt idx="5">
                  <c:v> Sosiri ale turiștilor 2021 </c:v>
                </c:pt>
              </c:strCache>
            </c:strRef>
          </c:cat>
          <c:val>
            <c:numRef>
              <c:f>'Circulația și performanța'!$D$50:$I$50</c:f>
              <c:numCache>
                <c:formatCode>_-* #,##0\ _l_e_i_-;\-* #,##0\ _l_e_i_-;_-* "-"??\ _l_e_i_-;_-@_-</c:formatCode>
                <c:ptCount val="6"/>
                <c:pt idx="0">
                  <c:v>1280150</c:v>
                </c:pt>
                <c:pt idx="1">
                  <c:v>1314217</c:v>
                </c:pt>
                <c:pt idx="2">
                  <c:v>1337633</c:v>
                </c:pt>
                <c:pt idx="3">
                  <c:v>1398052</c:v>
                </c:pt>
                <c:pt idx="4">
                  <c:v>563881</c:v>
                </c:pt>
                <c:pt idx="5">
                  <c:v>920825</c:v>
                </c:pt>
              </c:numCache>
            </c:numRef>
          </c:val>
          <c:smooth val="0"/>
          <c:extLst>
            <c:ext xmlns:c16="http://schemas.microsoft.com/office/drawing/2014/chart" uri="{C3380CC4-5D6E-409C-BE32-E72D297353CC}">
              <c16:uniqueId val="{00000002-0DD2-40B9-8097-3F4A4B250B58}"/>
            </c:ext>
          </c:extLst>
        </c:ser>
        <c:ser>
          <c:idx val="1"/>
          <c:order val="1"/>
          <c:tx>
            <c:strRef>
              <c:f>'Circulația și performanța'!$C$51</c:f>
              <c:strCache>
                <c:ptCount val="1"/>
                <c:pt idx="0">
                  <c:v>Străini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dLbl>
              <c:idx val="4"/>
              <c:layout>
                <c:manualLayout>
                  <c:x val="-5.1519203228963306E-2"/>
                  <c:y val="6.84961299101067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D2-40B9-8097-3F4A4B250B58}"/>
                </c:ext>
              </c:extLst>
            </c:dLbl>
            <c:dLbl>
              <c:idx val="5"/>
              <c:layout>
                <c:manualLayout>
                  <c:x val="-5.1519203228963306E-2"/>
                  <c:y val="0.1440390949714855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D2-40B9-8097-3F4A4B250B5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'Circulația și performanța'!$D$49:$I$49</c:f>
              <c:strCache>
                <c:ptCount val="6"/>
                <c:pt idx="0">
                  <c:v> Sosiri ale turiștilor 2016 </c:v>
                </c:pt>
                <c:pt idx="1">
                  <c:v> Sosiri ale turiștilor 2017 </c:v>
                </c:pt>
                <c:pt idx="2">
                  <c:v> Sosiri ale turiștilor 2018 </c:v>
                </c:pt>
                <c:pt idx="3">
                  <c:v> Sosiri ale turiștilor 2019 </c:v>
                </c:pt>
                <c:pt idx="4">
                  <c:v> Sosiri ale turiștilor 2020 </c:v>
                </c:pt>
                <c:pt idx="5">
                  <c:v> Sosiri ale turiștilor 2021 </c:v>
                </c:pt>
              </c:strCache>
            </c:strRef>
          </c:cat>
          <c:val>
            <c:numRef>
              <c:f>'Circulația și performanța'!$D$51:$I$51</c:f>
              <c:numCache>
                <c:formatCode>_-* #,##0\ _l_e_i_-;\-* #,##0\ _l_e_i_-;_-* "-"??\ _l_e_i_-;_-@_-</c:formatCode>
                <c:ptCount val="6"/>
                <c:pt idx="0">
                  <c:v>1869820</c:v>
                </c:pt>
                <c:pt idx="1">
                  <c:v>2046028</c:v>
                </c:pt>
                <c:pt idx="2">
                  <c:v>2061184</c:v>
                </c:pt>
                <c:pt idx="3">
                  <c:v>2151656</c:v>
                </c:pt>
                <c:pt idx="4">
                  <c:v>406669</c:v>
                </c:pt>
                <c:pt idx="5">
                  <c:v>738148</c:v>
                </c:pt>
              </c:numCache>
            </c:numRef>
          </c:val>
          <c:smooth val="0"/>
          <c:extLst>
            <c:ext xmlns:c16="http://schemas.microsoft.com/office/drawing/2014/chart" uri="{C3380CC4-5D6E-409C-BE32-E72D297353CC}">
              <c16:uniqueId val="{00000005-0DD2-40B9-8097-3F4A4B250B58}"/>
            </c:ext>
          </c:extLst>
        </c:ser>
        <c:dLbls>
          <c:dLblPos val="t"/>
          <c:showLegendKey val="0"/>
          <c:showVal val="1"/>
          <c:showCatName val="0"/>
          <c:showSerName val="0"/>
          <c:showPercent val="0"/>
          <c:showBubbleSize val="0"/>
        </c:dLbls>
        <c:marker val="1"/>
        <c:smooth val="0"/>
        <c:axId val="74337280"/>
        <c:axId val="79094336"/>
      </c:lineChart>
      <c:catAx>
        <c:axId val="74337280"/>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4336"/>
        <c:crosses val="autoZero"/>
        <c:auto val="1"/>
        <c:lblAlgn val="ctr"/>
        <c:lblOffset val="100"/>
        <c:noMultiLvlLbl val="0"/>
      </c:catAx>
      <c:valAx>
        <c:axId val="79094336"/>
        <c:scaling>
          <c:orientation val="minMax"/>
        </c:scaling>
        <c:delete val="1"/>
        <c:axPos val="l"/>
        <c:numFmt formatCode="_-* #,##0\ _l_e_i_-;\-* #,##0\ _l_e_i_-;_-* &quot;-&quot;??\ _l_e_i_-;_-@_-" sourceLinked="1"/>
        <c:majorTickMark val="none"/>
        <c:minorTickMark val="none"/>
        <c:tickLblPos val="nextTo"/>
        <c:crossAx val="74337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0"/>
          <c:order val="0"/>
          <c:spPr>
            <a:ln w="19050"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Foaie1!$B$67:$F$67</c:f>
              <c:strCache>
                <c:ptCount val="5"/>
                <c:pt idx="0">
                  <c:v>Anul 2016</c:v>
                </c:pt>
                <c:pt idx="1">
                  <c:v>Anul 2017</c:v>
                </c:pt>
                <c:pt idx="2">
                  <c:v>Anul 2018</c:v>
                </c:pt>
                <c:pt idx="3">
                  <c:v>Anul 2019</c:v>
                </c:pt>
                <c:pt idx="4">
                  <c:v>Anul 2020</c:v>
                </c:pt>
              </c:strCache>
            </c:strRef>
          </c:cat>
          <c:val>
            <c:numRef>
              <c:f>Foaie1!$B$70:$F$70</c:f>
              <c:numCache>
                <c:formatCode>#,##0</c:formatCode>
                <c:ptCount val="5"/>
                <c:pt idx="0">
                  <c:v>928</c:v>
                </c:pt>
                <c:pt idx="1">
                  <c:v>952</c:v>
                </c:pt>
                <c:pt idx="2">
                  <c:v>944</c:v>
                </c:pt>
                <c:pt idx="3">
                  <c:v>1047</c:v>
                </c:pt>
                <c:pt idx="4">
                  <c:v>1103</c:v>
                </c:pt>
              </c:numCache>
            </c:numRef>
          </c:val>
          <c:smooth val="0"/>
          <c:extLst>
            <c:ext xmlns:c16="http://schemas.microsoft.com/office/drawing/2014/chart" uri="{C3380CC4-5D6E-409C-BE32-E72D297353CC}">
              <c16:uniqueId val="{00000000-78A0-4BF4-9F08-CF3FBA00E967}"/>
            </c:ext>
          </c:extLst>
        </c:ser>
        <c:dLbls>
          <c:showLegendKey val="0"/>
          <c:showVal val="0"/>
          <c:showCatName val="0"/>
          <c:showSerName val="0"/>
          <c:showPercent val="0"/>
          <c:showBubbleSize val="0"/>
        </c:dLbls>
        <c:marker val="1"/>
        <c:smooth val="0"/>
        <c:axId val="1410314607"/>
        <c:axId val="1410319183"/>
      </c:lineChart>
      <c:catAx>
        <c:axId val="1410314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0319183"/>
        <c:crosses val="autoZero"/>
        <c:auto val="1"/>
        <c:lblAlgn val="ctr"/>
        <c:lblOffset val="100"/>
        <c:noMultiLvlLbl val="0"/>
      </c:catAx>
      <c:valAx>
        <c:axId val="1410319183"/>
        <c:scaling>
          <c:orientation val="minMax"/>
        </c:scaling>
        <c:delete val="1"/>
        <c:axPos val="l"/>
        <c:numFmt formatCode="#,##0" sourceLinked="1"/>
        <c:majorTickMark val="none"/>
        <c:minorTickMark val="none"/>
        <c:tickLblPos val="nextTo"/>
        <c:crossAx val="1410314607"/>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0"/>
          <c:order val="0"/>
          <c:spPr>
            <a:ln w="19050"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Foaie1!$B$59:$F$59</c:f>
              <c:strCache>
                <c:ptCount val="5"/>
                <c:pt idx="0">
                  <c:v>Anul 2016</c:v>
                </c:pt>
                <c:pt idx="1">
                  <c:v>Anul 2017</c:v>
                </c:pt>
                <c:pt idx="2">
                  <c:v>Anul 2018</c:v>
                </c:pt>
                <c:pt idx="3">
                  <c:v>Anul 2019</c:v>
                </c:pt>
                <c:pt idx="4">
                  <c:v>Anul 2020</c:v>
                </c:pt>
              </c:strCache>
            </c:strRef>
          </c:cat>
          <c:val>
            <c:numRef>
              <c:f>Foaie1!$B$62:$F$62</c:f>
              <c:numCache>
                <c:formatCode>#,##0</c:formatCode>
                <c:ptCount val="5"/>
                <c:pt idx="0">
                  <c:v>35019</c:v>
                </c:pt>
                <c:pt idx="1">
                  <c:v>40359</c:v>
                </c:pt>
                <c:pt idx="2">
                  <c:v>41962</c:v>
                </c:pt>
                <c:pt idx="3">
                  <c:v>47489</c:v>
                </c:pt>
                <c:pt idx="4">
                  <c:v>48398</c:v>
                </c:pt>
              </c:numCache>
            </c:numRef>
          </c:val>
          <c:smooth val="0"/>
          <c:extLst>
            <c:ext xmlns:c16="http://schemas.microsoft.com/office/drawing/2014/chart" uri="{C3380CC4-5D6E-409C-BE32-E72D297353CC}">
              <c16:uniqueId val="{00000000-C5E1-4397-B0AF-521613ACEC16}"/>
            </c:ext>
          </c:extLst>
        </c:ser>
        <c:dLbls>
          <c:showLegendKey val="0"/>
          <c:showVal val="0"/>
          <c:showCatName val="0"/>
          <c:showSerName val="0"/>
          <c:showPercent val="0"/>
          <c:showBubbleSize val="0"/>
        </c:dLbls>
        <c:marker val="1"/>
        <c:smooth val="0"/>
        <c:axId val="1403700767"/>
        <c:axId val="1403701599"/>
      </c:lineChart>
      <c:catAx>
        <c:axId val="1403700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3701599"/>
        <c:crosses val="autoZero"/>
        <c:auto val="1"/>
        <c:lblAlgn val="ctr"/>
        <c:lblOffset val="100"/>
        <c:noMultiLvlLbl val="0"/>
      </c:catAx>
      <c:valAx>
        <c:axId val="1403701599"/>
        <c:scaling>
          <c:orientation val="minMax"/>
        </c:scaling>
        <c:delete val="1"/>
        <c:axPos val="l"/>
        <c:numFmt formatCode="#,##0" sourceLinked="1"/>
        <c:majorTickMark val="none"/>
        <c:minorTickMark val="none"/>
        <c:tickLblPos val="nextTo"/>
        <c:crossAx val="1403700767"/>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UE-27</c:v>
                </c:pt>
              </c:strCache>
            </c:strRef>
          </c:tx>
          <c:spPr>
            <a:ln w="19050"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2014</c:v>
                </c:pt>
                <c:pt idx="1">
                  <c:v>2015</c:v>
                </c:pt>
                <c:pt idx="2">
                  <c:v>2016</c:v>
                </c:pt>
                <c:pt idx="3">
                  <c:v>2017</c:v>
                </c:pt>
                <c:pt idx="4">
                  <c:v>2018</c:v>
                </c:pt>
                <c:pt idx="5">
                  <c:v>2019</c:v>
                </c:pt>
              </c:numCache>
            </c:numRef>
          </c:cat>
          <c:val>
            <c:numRef>
              <c:f>Sheet1!$B$2:$B$7</c:f>
              <c:numCache>
                <c:formatCode>General</c:formatCode>
                <c:ptCount val="6"/>
                <c:pt idx="0">
                  <c:v>26600</c:v>
                </c:pt>
                <c:pt idx="1">
                  <c:v>27500</c:v>
                </c:pt>
                <c:pt idx="2">
                  <c:v>28200</c:v>
                </c:pt>
                <c:pt idx="3">
                  <c:v>29300</c:v>
                </c:pt>
                <c:pt idx="4">
                  <c:v>30300</c:v>
                </c:pt>
                <c:pt idx="5">
                  <c:v>31300</c:v>
                </c:pt>
              </c:numCache>
            </c:numRef>
          </c:val>
          <c:smooth val="0"/>
          <c:extLst>
            <c:ext xmlns:c16="http://schemas.microsoft.com/office/drawing/2014/chart" uri="{C3380CC4-5D6E-409C-BE32-E72D297353CC}">
              <c16:uniqueId val="{00000000-373A-4C6D-A5B1-C5A24D1037A3}"/>
            </c:ext>
          </c:extLst>
        </c:ser>
        <c:ser>
          <c:idx val="1"/>
          <c:order val="1"/>
          <c:tx>
            <c:strRef>
              <c:f>Sheet1!$C$1</c:f>
              <c:strCache>
                <c:ptCount val="1"/>
                <c:pt idx="0">
                  <c:v>România</c:v>
                </c:pt>
              </c:strCache>
            </c:strRef>
          </c:tx>
          <c:spPr>
            <a:ln w="19050" cap="rnd">
              <a:solidFill>
                <a:schemeClr val="accent2"/>
              </a:solidFill>
              <a:round/>
            </a:ln>
            <a:effectLst/>
          </c:spPr>
          <c:marker>
            <c:symbol val="circle"/>
            <c:size val="7"/>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2014</c:v>
                </c:pt>
                <c:pt idx="1">
                  <c:v>2015</c:v>
                </c:pt>
                <c:pt idx="2">
                  <c:v>2016</c:v>
                </c:pt>
                <c:pt idx="3">
                  <c:v>2017</c:v>
                </c:pt>
                <c:pt idx="4">
                  <c:v>2018</c:v>
                </c:pt>
                <c:pt idx="5">
                  <c:v>2019</c:v>
                </c:pt>
              </c:numCache>
            </c:numRef>
          </c:cat>
          <c:val>
            <c:numRef>
              <c:f>Sheet1!$C$2:$C$7</c:f>
              <c:numCache>
                <c:formatCode>#,##0</c:formatCode>
                <c:ptCount val="6"/>
                <c:pt idx="0">
                  <c:v>14800</c:v>
                </c:pt>
                <c:pt idx="1">
                  <c:v>15500</c:v>
                </c:pt>
                <c:pt idx="2">
                  <c:v>16800</c:v>
                </c:pt>
                <c:pt idx="3">
                  <c:v>18600</c:v>
                </c:pt>
                <c:pt idx="4">
                  <c:v>19900</c:v>
                </c:pt>
                <c:pt idx="5">
                  <c:v>21700</c:v>
                </c:pt>
              </c:numCache>
            </c:numRef>
          </c:val>
          <c:smooth val="0"/>
          <c:extLst>
            <c:ext xmlns:c16="http://schemas.microsoft.com/office/drawing/2014/chart" uri="{C3380CC4-5D6E-409C-BE32-E72D297353CC}">
              <c16:uniqueId val="{00000001-373A-4C6D-A5B1-C5A24D1037A3}"/>
            </c:ext>
          </c:extLst>
        </c:ser>
        <c:ser>
          <c:idx val="2"/>
          <c:order val="2"/>
          <c:tx>
            <c:strRef>
              <c:f>Sheet1!$D$1</c:f>
              <c:strCache>
                <c:ptCount val="1"/>
                <c:pt idx="0">
                  <c:v>Regiunea București-Ilfov</c:v>
                </c:pt>
              </c:strCache>
            </c:strRef>
          </c:tx>
          <c:spPr>
            <a:ln w="19050" cap="rnd">
              <a:solidFill>
                <a:schemeClr val="accent3"/>
              </a:solidFill>
              <a:round/>
            </a:ln>
            <a:effectLst/>
          </c:spPr>
          <c:marker>
            <c:symbol val="circle"/>
            <c:size val="7"/>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2014</c:v>
                </c:pt>
                <c:pt idx="1">
                  <c:v>2015</c:v>
                </c:pt>
                <c:pt idx="2">
                  <c:v>2016</c:v>
                </c:pt>
                <c:pt idx="3">
                  <c:v>2017</c:v>
                </c:pt>
                <c:pt idx="4">
                  <c:v>2018</c:v>
                </c:pt>
                <c:pt idx="5">
                  <c:v>2019</c:v>
                </c:pt>
              </c:numCache>
            </c:numRef>
          </c:cat>
          <c:val>
            <c:numRef>
              <c:f>Sheet1!$D$2:$D$7</c:f>
              <c:numCache>
                <c:formatCode>#,##0</c:formatCode>
                <c:ptCount val="6"/>
                <c:pt idx="0">
                  <c:v>34200</c:v>
                </c:pt>
                <c:pt idx="1">
                  <c:v>37300</c:v>
                </c:pt>
                <c:pt idx="2">
                  <c:v>39400</c:v>
                </c:pt>
                <c:pt idx="3">
                  <c:v>43200</c:v>
                </c:pt>
                <c:pt idx="4">
                  <c:v>45300</c:v>
                </c:pt>
                <c:pt idx="5">
                  <c:v>50100</c:v>
                </c:pt>
              </c:numCache>
            </c:numRef>
          </c:val>
          <c:smooth val="0"/>
          <c:extLst>
            <c:ext xmlns:c16="http://schemas.microsoft.com/office/drawing/2014/chart" uri="{C3380CC4-5D6E-409C-BE32-E72D297353CC}">
              <c16:uniqueId val="{00000002-373A-4C6D-A5B1-C5A24D1037A3}"/>
            </c:ext>
          </c:extLst>
        </c:ser>
        <c:ser>
          <c:idx val="3"/>
          <c:order val="3"/>
          <c:tx>
            <c:strRef>
              <c:f>Sheet1!$E$1</c:f>
              <c:strCache>
                <c:ptCount val="1"/>
                <c:pt idx="0">
                  <c:v>Municipiul București</c:v>
                </c:pt>
              </c:strCache>
            </c:strRef>
          </c:tx>
          <c:spPr>
            <a:ln w="19050" cap="rnd">
              <a:solidFill>
                <a:schemeClr val="accent4"/>
              </a:solidFill>
              <a:round/>
            </a:ln>
            <a:effectLst/>
          </c:spPr>
          <c:marker>
            <c:symbol val="circle"/>
            <c:size val="7"/>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2014</c:v>
                </c:pt>
                <c:pt idx="1">
                  <c:v>2015</c:v>
                </c:pt>
                <c:pt idx="2">
                  <c:v>2016</c:v>
                </c:pt>
                <c:pt idx="3">
                  <c:v>2017</c:v>
                </c:pt>
                <c:pt idx="4">
                  <c:v>2018</c:v>
                </c:pt>
                <c:pt idx="5">
                  <c:v>2019</c:v>
                </c:pt>
              </c:numCache>
            </c:numRef>
          </c:cat>
          <c:val>
            <c:numRef>
              <c:f>Sheet1!$E$2:$E$7</c:f>
              <c:numCache>
                <c:formatCode>#,##0</c:formatCode>
                <c:ptCount val="6"/>
                <c:pt idx="0">
                  <c:v>37900</c:v>
                </c:pt>
                <c:pt idx="1">
                  <c:v>41600</c:v>
                </c:pt>
                <c:pt idx="2">
                  <c:v>44300</c:v>
                </c:pt>
                <c:pt idx="3">
                  <c:v>48600</c:v>
                </c:pt>
                <c:pt idx="4">
                  <c:v>51100</c:v>
                </c:pt>
                <c:pt idx="5">
                  <c:v>57000</c:v>
                </c:pt>
              </c:numCache>
            </c:numRef>
          </c:val>
          <c:smooth val="0"/>
          <c:extLst>
            <c:ext xmlns:c16="http://schemas.microsoft.com/office/drawing/2014/chart" uri="{C3380CC4-5D6E-409C-BE32-E72D297353CC}">
              <c16:uniqueId val="{00000003-373A-4C6D-A5B1-C5A24D1037A3}"/>
            </c:ext>
          </c:extLst>
        </c:ser>
        <c:ser>
          <c:idx val="4"/>
          <c:order val="4"/>
          <c:tx>
            <c:strRef>
              <c:f>Sheet1!$F$1</c:f>
              <c:strCache>
                <c:ptCount val="1"/>
                <c:pt idx="0">
                  <c:v>Județul Ilfov</c:v>
                </c:pt>
              </c:strCache>
            </c:strRef>
          </c:tx>
          <c:spPr>
            <a:ln w="19050" cap="rnd">
              <a:solidFill>
                <a:schemeClr val="accent5"/>
              </a:solidFill>
              <a:round/>
            </a:ln>
            <a:effectLst/>
          </c:spPr>
          <c:marker>
            <c:symbol val="circle"/>
            <c:size val="7"/>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2014</c:v>
                </c:pt>
                <c:pt idx="1">
                  <c:v>2015</c:v>
                </c:pt>
                <c:pt idx="2">
                  <c:v>2016</c:v>
                </c:pt>
                <c:pt idx="3">
                  <c:v>2017</c:v>
                </c:pt>
                <c:pt idx="4">
                  <c:v>2018</c:v>
                </c:pt>
                <c:pt idx="5">
                  <c:v>2019</c:v>
                </c:pt>
              </c:numCache>
            </c:numRef>
          </c:cat>
          <c:val>
            <c:numRef>
              <c:f>Sheet1!$F$2:$F$7</c:f>
              <c:numCache>
                <c:formatCode>#,##0</c:formatCode>
                <c:ptCount val="6"/>
                <c:pt idx="0">
                  <c:v>17800</c:v>
                </c:pt>
                <c:pt idx="1">
                  <c:v>18800</c:v>
                </c:pt>
                <c:pt idx="2">
                  <c:v>19700</c:v>
                </c:pt>
                <c:pt idx="3">
                  <c:v>22000</c:v>
                </c:pt>
                <c:pt idx="4">
                  <c:v>23000</c:v>
                </c:pt>
                <c:pt idx="5">
                  <c:v>24200</c:v>
                </c:pt>
              </c:numCache>
            </c:numRef>
          </c:val>
          <c:smooth val="0"/>
          <c:extLst>
            <c:ext xmlns:c16="http://schemas.microsoft.com/office/drawing/2014/chart" uri="{C3380CC4-5D6E-409C-BE32-E72D297353CC}">
              <c16:uniqueId val="{00000004-373A-4C6D-A5B1-C5A24D1037A3}"/>
            </c:ext>
          </c:extLst>
        </c:ser>
        <c:dLbls>
          <c:dLblPos val="t"/>
          <c:showLegendKey val="0"/>
          <c:showVal val="1"/>
          <c:showCatName val="0"/>
          <c:showSerName val="0"/>
          <c:showPercent val="0"/>
          <c:showBubbleSize val="0"/>
        </c:dLbls>
        <c:marker val="1"/>
        <c:smooth val="0"/>
        <c:axId val="533241520"/>
        <c:axId val="533241912"/>
      </c:lineChart>
      <c:catAx>
        <c:axId val="53324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41912"/>
        <c:crosses val="autoZero"/>
        <c:auto val="1"/>
        <c:lblAlgn val="ctr"/>
        <c:lblOffset val="100"/>
        <c:noMultiLvlLbl val="0"/>
      </c:catAx>
      <c:valAx>
        <c:axId val="533241912"/>
        <c:scaling>
          <c:orientation val="minMax"/>
        </c:scaling>
        <c:delete val="1"/>
        <c:axPos val="l"/>
        <c:numFmt formatCode="General" sourceLinked="1"/>
        <c:majorTickMark val="none"/>
        <c:minorTickMark val="none"/>
        <c:tickLblPos val="nextTo"/>
        <c:crossAx val="533241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525-44BB-A02F-536A33F3A72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525-44BB-A02F-536A33F3A72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525-44BB-A02F-536A33F3A72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525-44BB-A02F-536A33F3A72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525-44BB-A02F-536A33F3A72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525-44BB-A02F-536A33F3A72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A525-44BB-A02F-536A33F3A72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A525-44BB-A02F-536A33F3A72A}"/>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A525-44BB-A02F-536A33F3A7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Sheet1!$A$2:$A$10</c:f>
              <c:strCache>
                <c:ptCount val="9"/>
                <c:pt idx="0">
                  <c:v>Intermedieri financiare și asigurări, Tranzacții imobiliare, Activități științifice, profesionale, tehnice; servicii administrative și suport.</c:v>
                </c:pt>
                <c:pt idx="1">
                  <c:v>Comerț, transporturi, HORECA</c:v>
                </c:pt>
                <c:pt idx="2">
                  <c:v>IT&amp;C</c:v>
                </c:pt>
                <c:pt idx="3">
                  <c:v>Administrație publică, apărare, sănătate, educație, servicii sociale</c:v>
                </c:pt>
                <c:pt idx="4">
                  <c:v>Industrie prelucrătoare</c:v>
                </c:pt>
                <c:pt idx="5">
                  <c:v>Construcții</c:v>
                </c:pt>
                <c:pt idx="6">
                  <c:v>Industrie extractivă, energetică, apă-canal, salubritate</c:v>
                </c:pt>
                <c:pt idx="7">
                  <c:v>Activități culturale, sportive, recreative; alte servicii; gospodării; activități extrateritoriale</c:v>
                </c:pt>
                <c:pt idx="8">
                  <c:v>Agricultură, silvicultură, pescuit</c:v>
                </c:pt>
              </c:strCache>
            </c:strRef>
          </c:cat>
          <c:val>
            <c:numRef>
              <c:f>Sheet1!$B$2:$B$10</c:f>
              <c:numCache>
                <c:formatCode>#,##0.00</c:formatCode>
                <c:ptCount val="9"/>
                <c:pt idx="0">
                  <c:v>14988.28</c:v>
                </c:pt>
                <c:pt idx="1">
                  <c:v>9492.07</c:v>
                </c:pt>
                <c:pt idx="2">
                  <c:v>7070.09</c:v>
                </c:pt>
                <c:pt idx="3">
                  <c:v>6325.16</c:v>
                </c:pt>
                <c:pt idx="4">
                  <c:v>3578.99</c:v>
                </c:pt>
                <c:pt idx="5">
                  <c:v>3194.17</c:v>
                </c:pt>
                <c:pt idx="6" formatCode="General">
                  <c:v>2912.74</c:v>
                </c:pt>
                <c:pt idx="7">
                  <c:v>2316.88</c:v>
                </c:pt>
                <c:pt idx="8">
                  <c:v>271.55</c:v>
                </c:pt>
              </c:numCache>
            </c:numRef>
          </c:val>
          <c:extLst>
            <c:ext xmlns:c16="http://schemas.microsoft.com/office/drawing/2014/chart" uri="{C3380CC4-5D6E-409C-BE32-E72D297353CC}">
              <c16:uniqueId val="{00000012-A525-44BB-A02F-536A33F3A72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1.3888888888888888E-2"/>
          <c:y val="9.3943880916467163E-3"/>
          <c:w val="0.33231846019247596"/>
          <c:h val="0.986819441945855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2014</c:v>
                </c:pt>
              </c:strCache>
            </c:strRef>
          </c:tx>
          <c:spPr>
            <a:solidFill>
              <a:schemeClr val="accent1"/>
            </a:solidFill>
            <a:ln>
              <a:noFill/>
            </a:ln>
            <a:effectLst/>
          </c:spPr>
          <c:invertIfNegative val="0"/>
          <c:cat>
            <c:strRef>
              <c:f>Sheet1!$A$2:$A$10</c:f>
              <c:strCache>
                <c:ptCount val="9"/>
                <c:pt idx="0">
                  <c:v>Bucuresti - Ilfov</c:v>
                </c:pt>
                <c:pt idx="1">
                  <c:v>Bucuresti</c:v>
                </c:pt>
                <c:pt idx="2">
                  <c:v>Cluj</c:v>
                </c:pt>
                <c:pt idx="3">
                  <c:v>Timis</c:v>
                </c:pt>
                <c:pt idx="4">
                  <c:v>Constanta</c:v>
                </c:pt>
                <c:pt idx="5">
                  <c:v>Prahova</c:v>
                </c:pt>
                <c:pt idx="6">
                  <c:v>Brasov</c:v>
                </c:pt>
                <c:pt idx="7">
                  <c:v>Iasi</c:v>
                </c:pt>
                <c:pt idx="8">
                  <c:v>Ilfov</c:v>
                </c:pt>
              </c:strCache>
            </c:strRef>
          </c:cat>
          <c:val>
            <c:numRef>
              <c:f>Sheet1!$B$2:$B$10</c:f>
              <c:numCache>
                <c:formatCode>#,##0.00</c:formatCode>
                <c:ptCount val="9"/>
                <c:pt idx="0">
                  <c:v>35316.83</c:v>
                </c:pt>
                <c:pt idx="1">
                  <c:v>31894.57</c:v>
                </c:pt>
                <c:pt idx="2">
                  <c:v>5954.65</c:v>
                </c:pt>
                <c:pt idx="3">
                  <c:v>5956.16</c:v>
                </c:pt>
                <c:pt idx="4">
                  <c:v>6800.55</c:v>
                </c:pt>
                <c:pt idx="5">
                  <c:v>6953.28</c:v>
                </c:pt>
                <c:pt idx="6">
                  <c:v>4417.71</c:v>
                </c:pt>
                <c:pt idx="7">
                  <c:v>4137.72</c:v>
                </c:pt>
                <c:pt idx="8">
                  <c:v>3422.26</c:v>
                </c:pt>
              </c:numCache>
            </c:numRef>
          </c:val>
          <c:extLst>
            <c:ext xmlns:c16="http://schemas.microsoft.com/office/drawing/2014/chart" uri="{C3380CC4-5D6E-409C-BE32-E72D297353CC}">
              <c16:uniqueId val="{00000000-4EEB-4A6B-8E30-5724B505A033}"/>
            </c:ext>
          </c:extLst>
        </c:ser>
        <c:ser>
          <c:idx val="1"/>
          <c:order val="1"/>
          <c:tx>
            <c:strRef>
              <c:f>Sheet1!$C$1</c:f>
              <c:strCache>
                <c:ptCount val="1"/>
                <c:pt idx="0">
                  <c:v>2015</c:v>
                </c:pt>
              </c:strCache>
            </c:strRef>
          </c:tx>
          <c:spPr>
            <a:solidFill>
              <a:schemeClr val="accent2"/>
            </a:solidFill>
            <a:ln>
              <a:noFill/>
            </a:ln>
            <a:effectLst/>
          </c:spPr>
          <c:invertIfNegative val="0"/>
          <c:cat>
            <c:strRef>
              <c:f>Sheet1!$A$2:$A$10</c:f>
              <c:strCache>
                <c:ptCount val="9"/>
                <c:pt idx="0">
                  <c:v>Bucuresti - Ilfov</c:v>
                </c:pt>
                <c:pt idx="1">
                  <c:v>Bucuresti</c:v>
                </c:pt>
                <c:pt idx="2">
                  <c:v>Cluj</c:v>
                </c:pt>
                <c:pt idx="3">
                  <c:v>Timis</c:v>
                </c:pt>
                <c:pt idx="4">
                  <c:v>Constanta</c:v>
                </c:pt>
                <c:pt idx="5">
                  <c:v>Prahova</c:v>
                </c:pt>
                <c:pt idx="6">
                  <c:v>Brasov</c:v>
                </c:pt>
                <c:pt idx="7">
                  <c:v>Iasi</c:v>
                </c:pt>
                <c:pt idx="8">
                  <c:v>Ilfov</c:v>
                </c:pt>
              </c:strCache>
            </c:strRef>
          </c:cat>
          <c:val>
            <c:numRef>
              <c:f>Sheet1!$C$2:$C$10</c:f>
              <c:numCache>
                <c:formatCode>#,##0.00</c:formatCode>
                <c:ptCount val="9"/>
                <c:pt idx="0">
                  <c:v>38930.58</c:v>
                </c:pt>
                <c:pt idx="1">
                  <c:v>35166.33</c:v>
                </c:pt>
                <c:pt idx="2">
                  <c:v>6156.86</c:v>
                </c:pt>
                <c:pt idx="3">
                  <c:v>6647.75</c:v>
                </c:pt>
                <c:pt idx="4">
                  <c:v>6497.03</c:v>
                </c:pt>
                <c:pt idx="5">
                  <c:v>6024.52</c:v>
                </c:pt>
                <c:pt idx="6">
                  <c:v>4629.57</c:v>
                </c:pt>
                <c:pt idx="7" formatCode="#,##0.0">
                  <c:v>4308.8999999999996</c:v>
                </c:pt>
                <c:pt idx="8">
                  <c:v>3764.25</c:v>
                </c:pt>
              </c:numCache>
            </c:numRef>
          </c:val>
          <c:extLst>
            <c:ext xmlns:c16="http://schemas.microsoft.com/office/drawing/2014/chart" uri="{C3380CC4-5D6E-409C-BE32-E72D297353CC}">
              <c16:uniqueId val="{00000001-4EEB-4A6B-8E30-5724B505A033}"/>
            </c:ext>
          </c:extLst>
        </c:ser>
        <c:ser>
          <c:idx val="2"/>
          <c:order val="2"/>
          <c:tx>
            <c:strRef>
              <c:f>Sheet1!$D$1</c:f>
              <c:strCache>
                <c:ptCount val="1"/>
                <c:pt idx="0">
                  <c:v>2016</c:v>
                </c:pt>
              </c:strCache>
            </c:strRef>
          </c:tx>
          <c:spPr>
            <a:solidFill>
              <a:schemeClr val="accent3"/>
            </a:solidFill>
            <a:ln>
              <a:noFill/>
            </a:ln>
            <a:effectLst/>
          </c:spPr>
          <c:invertIfNegative val="0"/>
          <c:cat>
            <c:strRef>
              <c:f>Sheet1!$A$2:$A$10</c:f>
              <c:strCache>
                <c:ptCount val="9"/>
                <c:pt idx="0">
                  <c:v>Bucuresti - Ilfov</c:v>
                </c:pt>
                <c:pt idx="1">
                  <c:v>Bucuresti</c:v>
                </c:pt>
                <c:pt idx="2">
                  <c:v>Cluj</c:v>
                </c:pt>
                <c:pt idx="3">
                  <c:v>Timis</c:v>
                </c:pt>
                <c:pt idx="4">
                  <c:v>Constanta</c:v>
                </c:pt>
                <c:pt idx="5">
                  <c:v>Prahova</c:v>
                </c:pt>
                <c:pt idx="6">
                  <c:v>Brasov</c:v>
                </c:pt>
                <c:pt idx="7">
                  <c:v>Iasi</c:v>
                </c:pt>
                <c:pt idx="8">
                  <c:v>Ilfov</c:v>
                </c:pt>
              </c:strCache>
            </c:strRef>
          </c:cat>
          <c:val>
            <c:numRef>
              <c:f>Sheet1!$D$2:$D$10</c:f>
              <c:numCache>
                <c:formatCode>#,##0.00</c:formatCode>
                <c:ptCount val="9"/>
                <c:pt idx="0">
                  <c:v>41453.919999999998</c:v>
                </c:pt>
                <c:pt idx="1">
                  <c:v>37358.28</c:v>
                </c:pt>
                <c:pt idx="2">
                  <c:v>7158.65</c:v>
                </c:pt>
                <c:pt idx="3">
                  <c:v>7303.63</c:v>
                </c:pt>
                <c:pt idx="4">
                  <c:v>6873.55</c:v>
                </c:pt>
                <c:pt idx="5">
                  <c:v>6829.28</c:v>
                </c:pt>
                <c:pt idx="6">
                  <c:v>5234.08</c:v>
                </c:pt>
                <c:pt idx="7">
                  <c:v>4698.78</c:v>
                </c:pt>
                <c:pt idx="8">
                  <c:v>4095.65</c:v>
                </c:pt>
              </c:numCache>
            </c:numRef>
          </c:val>
          <c:extLst>
            <c:ext xmlns:c16="http://schemas.microsoft.com/office/drawing/2014/chart" uri="{C3380CC4-5D6E-409C-BE32-E72D297353CC}">
              <c16:uniqueId val="{00000002-4EEB-4A6B-8E30-5724B505A033}"/>
            </c:ext>
          </c:extLst>
        </c:ser>
        <c:ser>
          <c:idx val="3"/>
          <c:order val="3"/>
          <c:tx>
            <c:strRef>
              <c:f>Sheet1!$E$1</c:f>
              <c:strCache>
                <c:ptCount val="1"/>
                <c:pt idx="0">
                  <c:v>2017</c:v>
                </c:pt>
              </c:strCache>
            </c:strRef>
          </c:tx>
          <c:spPr>
            <a:solidFill>
              <a:schemeClr val="accent4"/>
            </a:solidFill>
            <a:ln>
              <a:noFill/>
            </a:ln>
            <a:effectLst/>
          </c:spPr>
          <c:invertIfNegative val="0"/>
          <c:cat>
            <c:strRef>
              <c:f>Sheet1!$A$2:$A$10</c:f>
              <c:strCache>
                <c:ptCount val="9"/>
                <c:pt idx="0">
                  <c:v>Bucuresti - Ilfov</c:v>
                </c:pt>
                <c:pt idx="1">
                  <c:v>Bucuresti</c:v>
                </c:pt>
                <c:pt idx="2">
                  <c:v>Cluj</c:v>
                </c:pt>
                <c:pt idx="3">
                  <c:v>Timis</c:v>
                </c:pt>
                <c:pt idx="4">
                  <c:v>Constanta</c:v>
                </c:pt>
                <c:pt idx="5">
                  <c:v>Prahova</c:v>
                </c:pt>
                <c:pt idx="6">
                  <c:v>Brasov</c:v>
                </c:pt>
                <c:pt idx="7">
                  <c:v>Iasi</c:v>
                </c:pt>
                <c:pt idx="8">
                  <c:v>Ilfov</c:v>
                </c:pt>
              </c:strCache>
            </c:strRef>
          </c:cat>
          <c:val>
            <c:numRef>
              <c:f>Sheet1!$E$2:$E$10</c:f>
              <c:numCache>
                <c:formatCode>#,##0.00</c:formatCode>
                <c:ptCount val="9"/>
                <c:pt idx="0">
                  <c:v>46188.19</c:v>
                </c:pt>
                <c:pt idx="1">
                  <c:v>41396.410000000003</c:v>
                </c:pt>
                <c:pt idx="2">
                  <c:v>8528.2800000000007</c:v>
                </c:pt>
                <c:pt idx="3">
                  <c:v>7726.93</c:v>
                </c:pt>
                <c:pt idx="4">
                  <c:v>7220.93</c:v>
                </c:pt>
                <c:pt idx="5">
                  <c:v>6622.86</c:v>
                </c:pt>
                <c:pt idx="6">
                  <c:v>5734.48</c:v>
                </c:pt>
                <c:pt idx="7">
                  <c:v>5647.54</c:v>
                </c:pt>
                <c:pt idx="8">
                  <c:v>4791.78</c:v>
                </c:pt>
              </c:numCache>
            </c:numRef>
          </c:val>
          <c:extLst>
            <c:ext xmlns:c16="http://schemas.microsoft.com/office/drawing/2014/chart" uri="{C3380CC4-5D6E-409C-BE32-E72D297353CC}">
              <c16:uniqueId val="{00000003-4EEB-4A6B-8E30-5724B505A033}"/>
            </c:ext>
          </c:extLst>
        </c:ser>
        <c:ser>
          <c:idx val="4"/>
          <c:order val="4"/>
          <c:tx>
            <c:strRef>
              <c:f>Sheet1!$F$1</c:f>
              <c:strCache>
                <c:ptCount val="1"/>
                <c:pt idx="0">
                  <c:v>2018</c:v>
                </c:pt>
              </c:strCache>
            </c:strRef>
          </c:tx>
          <c:spPr>
            <a:solidFill>
              <a:schemeClr val="accent5"/>
            </a:solidFill>
            <a:ln>
              <a:noFill/>
            </a:ln>
            <a:effectLst/>
          </c:spPr>
          <c:invertIfNegative val="0"/>
          <c:cat>
            <c:strRef>
              <c:f>Sheet1!$A$2:$A$10</c:f>
              <c:strCache>
                <c:ptCount val="9"/>
                <c:pt idx="0">
                  <c:v>Bucuresti - Ilfov</c:v>
                </c:pt>
                <c:pt idx="1">
                  <c:v>Bucuresti</c:v>
                </c:pt>
                <c:pt idx="2">
                  <c:v>Cluj</c:v>
                </c:pt>
                <c:pt idx="3">
                  <c:v>Timis</c:v>
                </c:pt>
                <c:pt idx="4">
                  <c:v>Constanta</c:v>
                </c:pt>
                <c:pt idx="5">
                  <c:v>Prahova</c:v>
                </c:pt>
                <c:pt idx="6">
                  <c:v>Brasov</c:v>
                </c:pt>
                <c:pt idx="7">
                  <c:v>Iasi</c:v>
                </c:pt>
                <c:pt idx="8">
                  <c:v>Ilfov</c:v>
                </c:pt>
              </c:strCache>
            </c:strRef>
          </c:cat>
          <c:val>
            <c:numRef>
              <c:f>Sheet1!$F$2:$F$10</c:f>
              <c:numCache>
                <c:formatCode>#,##0.00</c:formatCode>
                <c:ptCount val="9"/>
                <c:pt idx="0">
                  <c:v>49866.76</c:v>
                </c:pt>
                <c:pt idx="1">
                  <c:v>44618.59</c:v>
                </c:pt>
                <c:pt idx="2">
                  <c:v>9139.58</c:v>
                </c:pt>
                <c:pt idx="3">
                  <c:v>8535.69</c:v>
                </c:pt>
                <c:pt idx="4">
                  <c:v>7664.68</c:v>
                </c:pt>
                <c:pt idx="5">
                  <c:v>7119.49</c:v>
                </c:pt>
                <c:pt idx="6">
                  <c:v>6259.84</c:v>
                </c:pt>
                <c:pt idx="7">
                  <c:v>6070.5</c:v>
                </c:pt>
                <c:pt idx="8">
                  <c:v>5248.17</c:v>
                </c:pt>
              </c:numCache>
            </c:numRef>
          </c:val>
          <c:extLst>
            <c:ext xmlns:c16="http://schemas.microsoft.com/office/drawing/2014/chart" uri="{C3380CC4-5D6E-409C-BE32-E72D297353CC}">
              <c16:uniqueId val="{00000004-4EEB-4A6B-8E30-5724B505A033}"/>
            </c:ext>
          </c:extLst>
        </c:ser>
        <c:ser>
          <c:idx val="5"/>
          <c:order val="5"/>
          <c:tx>
            <c:strRef>
              <c:f>Sheet1!$G$1</c:f>
              <c:strCache>
                <c:ptCount val="1"/>
                <c:pt idx="0">
                  <c:v>2019</c:v>
                </c:pt>
              </c:strCache>
            </c:strRef>
          </c:tx>
          <c:spPr>
            <a:solidFill>
              <a:schemeClr val="accent6"/>
            </a:solidFill>
            <a:ln>
              <a:noFill/>
            </a:ln>
            <a:effectLst/>
          </c:spPr>
          <c:invertIfNegative val="0"/>
          <c:cat>
            <c:strRef>
              <c:f>Sheet1!$A$2:$A$10</c:f>
              <c:strCache>
                <c:ptCount val="9"/>
                <c:pt idx="0">
                  <c:v>Bucuresti - Ilfov</c:v>
                </c:pt>
                <c:pt idx="1">
                  <c:v>Bucuresti</c:v>
                </c:pt>
                <c:pt idx="2">
                  <c:v>Cluj</c:v>
                </c:pt>
                <c:pt idx="3">
                  <c:v>Timis</c:v>
                </c:pt>
                <c:pt idx="4">
                  <c:v>Constanta</c:v>
                </c:pt>
                <c:pt idx="5">
                  <c:v>Prahova</c:v>
                </c:pt>
                <c:pt idx="6">
                  <c:v>Brasov</c:v>
                </c:pt>
                <c:pt idx="7">
                  <c:v>Iasi</c:v>
                </c:pt>
                <c:pt idx="8">
                  <c:v>Ilfov</c:v>
                </c:pt>
              </c:strCache>
            </c:strRef>
          </c:cat>
          <c:val>
            <c:numRef>
              <c:f>Sheet1!$G$2:$G$10</c:f>
              <c:numCache>
                <c:formatCode>#,##0.00</c:formatCode>
                <c:ptCount val="9"/>
                <c:pt idx="0">
                  <c:v>55806.21</c:v>
                </c:pt>
                <c:pt idx="1">
                  <c:v>50149.94</c:v>
                </c:pt>
                <c:pt idx="2">
                  <c:v>10130.26</c:v>
                </c:pt>
                <c:pt idx="3">
                  <c:v>9430.7199999999993</c:v>
                </c:pt>
                <c:pt idx="4">
                  <c:v>7587.32</c:v>
                </c:pt>
                <c:pt idx="5">
                  <c:v>7003.27</c:v>
                </c:pt>
                <c:pt idx="6">
                  <c:v>6701.96</c:v>
                </c:pt>
                <c:pt idx="7">
                  <c:v>6520.28</c:v>
                </c:pt>
                <c:pt idx="8">
                  <c:v>5656.27</c:v>
                </c:pt>
              </c:numCache>
            </c:numRef>
          </c:val>
          <c:extLst>
            <c:ext xmlns:c16="http://schemas.microsoft.com/office/drawing/2014/chart" uri="{C3380CC4-5D6E-409C-BE32-E72D297353CC}">
              <c16:uniqueId val="{00000005-4EEB-4A6B-8E30-5724B505A033}"/>
            </c:ext>
          </c:extLst>
        </c:ser>
        <c:dLbls>
          <c:showLegendKey val="0"/>
          <c:showVal val="0"/>
          <c:showCatName val="0"/>
          <c:showSerName val="0"/>
          <c:showPercent val="0"/>
          <c:showBubbleSize val="0"/>
        </c:dLbls>
        <c:gapWidth val="150"/>
        <c:axId val="533252888"/>
        <c:axId val="533256808"/>
      </c:barChart>
      <c:catAx>
        <c:axId val="533252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56808"/>
        <c:crosses val="autoZero"/>
        <c:auto val="1"/>
        <c:lblAlgn val="ctr"/>
        <c:lblOffset val="100"/>
        <c:noMultiLvlLbl val="0"/>
      </c:catAx>
      <c:valAx>
        <c:axId val="53325680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52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Cifra de afaceri (mld. EUR)</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2014</c:v>
                </c:pt>
                <c:pt idx="1">
                  <c:v>2015</c:v>
                </c:pt>
                <c:pt idx="2">
                  <c:v>2016</c:v>
                </c:pt>
                <c:pt idx="3">
                  <c:v>2017</c:v>
                </c:pt>
                <c:pt idx="4">
                  <c:v>2018</c:v>
                </c:pt>
                <c:pt idx="5">
                  <c:v>2019</c:v>
                </c:pt>
                <c:pt idx="6">
                  <c:v>2020</c:v>
                </c:pt>
              </c:numCache>
            </c:numRef>
          </c:cat>
          <c:val>
            <c:numRef>
              <c:f>Sheet1!$B$2:$B$8</c:f>
              <c:numCache>
                <c:formatCode>General</c:formatCode>
                <c:ptCount val="7"/>
                <c:pt idx="0">
                  <c:v>19.243058992935246</c:v>
                </c:pt>
                <c:pt idx="1">
                  <c:v>21.86906636670416</c:v>
                </c:pt>
                <c:pt idx="2">
                  <c:v>24.150129152934884</c:v>
                </c:pt>
                <c:pt idx="3">
                  <c:v>25.362010463869002</c:v>
                </c:pt>
                <c:pt idx="4">
                  <c:v>25.405200386805632</c:v>
                </c:pt>
                <c:pt idx="5">
                  <c:v>29.420024445755711</c:v>
                </c:pt>
                <c:pt idx="6">
                  <c:v>29.960699592731181</c:v>
                </c:pt>
              </c:numCache>
            </c:numRef>
          </c:val>
          <c:extLst>
            <c:ext xmlns:c16="http://schemas.microsoft.com/office/drawing/2014/chart" uri="{C3380CC4-5D6E-409C-BE32-E72D297353CC}">
              <c16:uniqueId val="{00000000-AB17-48D5-99D9-F72B4366736B}"/>
            </c:ext>
          </c:extLst>
        </c:ser>
        <c:ser>
          <c:idx val="1"/>
          <c:order val="1"/>
          <c:tx>
            <c:strRef>
              <c:f>Sheet1!$C$1</c:f>
              <c:strCache>
                <c:ptCount val="1"/>
                <c:pt idx="0">
                  <c:v>Număr salariați (zeci de mii)</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2014</c:v>
                </c:pt>
                <c:pt idx="1">
                  <c:v>2015</c:v>
                </c:pt>
                <c:pt idx="2">
                  <c:v>2016</c:v>
                </c:pt>
                <c:pt idx="3">
                  <c:v>2017</c:v>
                </c:pt>
                <c:pt idx="4">
                  <c:v>2018</c:v>
                </c:pt>
                <c:pt idx="5">
                  <c:v>2019</c:v>
                </c:pt>
                <c:pt idx="6">
                  <c:v>2020</c:v>
                </c:pt>
              </c:numCache>
            </c:numRef>
          </c:cat>
          <c:val>
            <c:numRef>
              <c:f>Sheet1!$C$2:$C$8</c:f>
              <c:numCache>
                <c:formatCode>General</c:formatCode>
                <c:ptCount val="7"/>
                <c:pt idx="0">
                  <c:v>22.438399999999998</c:v>
                </c:pt>
                <c:pt idx="1">
                  <c:v>24.069300000000002</c:v>
                </c:pt>
                <c:pt idx="2">
                  <c:v>25.404900000000001</c:v>
                </c:pt>
                <c:pt idx="3">
                  <c:v>26.023500000000002</c:v>
                </c:pt>
                <c:pt idx="4">
                  <c:v>25.976100000000002</c:v>
                </c:pt>
                <c:pt idx="5">
                  <c:v>26.067</c:v>
                </c:pt>
                <c:pt idx="6">
                  <c:v>25.616699999999998</c:v>
                </c:pt>
              </c:numCache>
            </c:numRef>
          </c:val>
          <c:extLst>
            <c:ext xmlns:c16="http://schemas.microsoft.com/office/drawing/2014/chart" uri="{C3380CC4-5D6E-409C-BE32-E72D297353CC}">
              <c16:uniqueId val="{00000001-AB17-48D5-99D9-F72B4366736B}"/>
            </c:ext>
          </c:extLst>
        </c:ser>
        <c:ser>
          <c:idx val="2"/>
          <c:order val="2"/>
          <c:tx>
            <c:strRef>
              <c:f>Sheet1!$D$1</c:f>
              <c:strCache>
                <c:ptCount val="1"/>
                <c:pt idx="0">
                  <c:v>Nr. întreprinderi active (mii)</c:v>
                </c:pt>
              </c:strCache>
            </c:strRef>
          </c:tx>
          <c:spPr>
            <a:solidFill>
              <a:schemeClr val="accent3"/>
            </a:solidFill>
            <a:ln>
              <a:noFill/>
            </a:ln>
            <a:effectLst/>
          </c:spPr>
          <c:invertIfNegative val="0"/>
          <c:dLbls>
            <c:dLbl>
              <c:idx val="6"/>
              <c:layout>
                <c:manualLayout>
                  <c:x val="2.7689030883919063E-2"/>
                  <c:y val="-8.15494393476052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17-48D5-99D9-F72B4366736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2014</c:v>
                </c:pt>
                <c:pt idx="1">
                  <c:v>2015</c:v>
                </c:pt>
                <c:pt idx="2">
                  <c:v>2016</c:v>
                </c:pt>
                <c:pt idx="3">
                  <c:v>2017</c:v>
                </c:pt>
                <c:pt idx="4">
                  <c:v>2018</c:v>
                </c:pt>
                <c:pt idx="5">
                  <c:v>2019</c:v>
                </c:pt>
                <c:pt idx="6">
                  <c:v>2020</c:v>
                </c:pt>
              </c:numCache>
            </c:numRef>
          </c:cat>
          <c:val>
            <c:numRef>
              <c:f>Sheet1!$D$2:$D$8</c:f>
              <c:numCache>
                <c:formatCode>General</c:formatCode>
                <c:ptCount val="7"/>
                <c:pt idx="0">
                  <c:v>22.542999999999999</c:v>
                </c:pt>
                <c:pt idx="1">
                  <c:v>22.855</c:v>
                </c:pt>
                <c:pt idx="2">
                  <c:v>23.074999999999999</c:v>
                </c:pt>
                <c:pt idx="3">
                  <c:v>23.768000000000001</c:v>
                </c:pt>
                <c:pt idx="4">
                  <c:v>24.643000000000001</c:v>
                </c:pt>
                <c:pt idx="5">
                  <c:v>24.582000000000001</c:v>
                </c:pt>
                <c:pt idx="6">
                  <c:v>25.195</c:v>
                </c:pt>
              </c:numCache>
            </c:numRef>
          </c:val>
          <c:extLst>
            <c:ext xmlns:c16="http://schemas.microsoft.com/office/drawing/2014/chart" uri="{C3380CC4-5D6E-409C-BE32-E72D297353CC}">
              <c16:uniqueId val="{00000003-AB17-48D5-99D9-F72B4366736B}"/>
            </c:ext>
          </c:extLst>
        </c:ser>
        <c:dLbls>
          <c:showLegendKey val="0"/>
          <c:showVal val="0"/>
          <c:showCatName val="0"/>
          <c:showSerName val="0"/>
          <c:showPercent val="0"/>
          <c:showBubbleSize val="0"/>
        </c:dLbls>
        <c:gapWidth val="219"/>
        <c:overlap val="-27"/>
        <c:axId val="533249360"/>
        <c:axId val="533252496"/>
      </c:barChart>
      <c:catAx>
        <c:axId val="53324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52496"/>
        <c:crosses val="autoZero"/>
        <c:auto val="1"/>
        <c:lblAlgn val="ctr"/>
        <c:lblOffset val="100"/>
        <c:noMultiLvlLbl val="0"/>
      </c:catAx>
      <c:valAx>
        <c:axId val="533252496"/>
        <c:scaling>
          <c:orientation val="minMax"/>
        </c:scaling>
        <c:delete val="1"/>
        <c:axPos val="l"/>
        <c:numFmt formatCode="General" sourceLinked="1"/>
        <c:majorTickMark val="none"/>
        <c:minorTickMark val="none"/>
        <c:tickLblPos val="nextTo"/>
        <c:crossAx val="53324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2014</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09C-461D-B0F2-5FB8537D6AB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09C-461D-B0F2-5FB8537D6AB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09C-461D-B0F2-5FB8537D6AB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09C-461D-B0F2-5FB8537D6AB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09C-461D-B0F2-5FB8537D6AB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09C-461D-B0F2-5FB8537D6AB5}"/>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Sectorul 1</c:v>
                </c:pt>
                <c:pt idx="1">
                  <c:v>Sectorul 2</c:v>
                </c:pt>
                <c:pt idx="2">
                  <c:v>Sectorul 3</c:v>
                </c:pt>
                <c:pt idx="3">
                  <c:v>Sectorul 4</c:v>
                </c:pt>
                <c:pt idx="4">
                  <c:v>Sectorul 5</c:v>
                </c:pt>
                <c:pt idx="5">
                  <c:v>Sectorul 6</c:v>
                </c:pt>
              </c:strCache>
            </c:strRef>
          </c:cat>
          <c:val>
            <c:numRef>
              <c:f>Sheet1!$B$2:$B$7</c:f>
              <c:numCache>
                <c:formatCode>General</c:formatCode>
                <c:ptCount val="6"/>
                <c:pt idx="0">
                  <c:v>22025</c:v>
                </c:pt>
                <c:pt idx="1">
                  <c:v>22543</c:v>
                </c:pt>
                <c:pt idx="2">
                  <c:v>21734</c:v>
                </c:pt>
                <c:pt idx="3">
                  <c:v>14552</c:v>
                </c:pt>
                <c:pt idx="4">
                  <c:v>11352</c:v>
                </c:pt>
                <c:pt idx="5">
                  <c:v>16942</c:v>
                </c:pt>
              </c:numCache>
            </c:numRef>
          </c:val>
          <c:extLst>
            <c:ext xmlns:c16="http://schemas.microsoft.com/office/drawing/2014/chart" uri="{C3380CC4-5D6E-409C-BE32-E72D297353CC}">
              <c16:uniqueId val="{0000000C-709C-461D-B0F2-5FB8537D6AB5}"/>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180634992180311"/>
          <c:y val="0.13644719813041073"/>
          <c:w val="0.25356648349916111"/>
          <c:h val="0.70092966617282315"/>
        </c:manualLayout>
      </c:layout>
      <c:doughnutChart>
        <c:varyColors val="1"/>
        <c:ser>
          <c:idx val="0"/>
          <c:order val="0"/>
          <c:dLbls>
            <c:dLbl>
              <c:idx val="1"/>
              <c:layout>
                <c:manualLayout>
                  <c:x val="4.5449626663780898E-2"/>
                  <c:y val="-0.10768770565360457"/>
                </c:manualLayout>
              </c:layout>
              <c:tx>
                <c:rich>
                  <a:bodyPr/>
                  <a:lstStyle/>
                  <a:p>
                    <a:pPr>
                      <a:defRPr/>
                    </a:pPr>
                    <a:r>
                      <a:rPr lang="en-US">
                        <a:solidFill>
                          <a:schemeClr val="bg1"/>
                        </a:solidFill>
                      </a:rPr>
                      <a:t>0,0%</a:t>
                    </a:r>
                  </a:p>
                </c:rich>
              </c:tx>
              <c:spPr>
                <a:solidFill>
                  <a:schemeClr val="tx2"/>
                </a:solidFill>
              </c:sp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6E6-4544-872E-694C80FEDA6F}"/>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'TOATE!'!$B$48:$D$48</c:f>
              <c:strCache>
                <c:ptCount val="3"/>
                <c:pt idx="0">
                  <c:v>Proiecte implementate</c:v>
                </c:pt>
                <c:pt idx="1">
                  <c:v>Proiecte în curs de implementare</c:v>
                </c:pt>
                <c:pt idx="2">
                  <c:v>Proiecte neimplementate/ situație nespecificată</c:v>
                </c:pt>
              </c:strCache>
            </c:strRef>
          </c:cat>
          <c:val>
            <c:numRef>
              <c:f>'TOATE!'!$B$68:$D$68</c:f>
              <c:numCache>
                <c:formatCode>0.0%</c:formatCode>
                <c:ptCount val="3"/>
                <c:pt idx="0">
                  <c:v>0.10526315789473684</c:v>
                </c:pt>
                <c:pt idx="1">
                  <c:v>0</c:v>
                </c:pt>
                <c:pt idx="2">
                  <c:v>0.89473684210526316</c:v>
                </c:pt>
              </c:numCache>
            </c:numRef>
          </c:val>
          <c:extLst>
            <c:ext xmlns:c16="http://schemas.microsoft.com/office/drawing/2014/chart" uri="{C3380CC4-5D6E-409C-BE32-E72D297353CC}">
              <c16:uniqueId val="{00000001-86E6-4544-872E-694C80FEDA6F}"/>
            </c:ext>
          </c:extLst>
        </c:ser>
        <c:dLbls>
          <c:showLegendKey val="0"/>
          <c:showVal val="1"/>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2020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015-40D9-8880-E4B5C21E5BD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015-40D9-8880-E4B5C21E5BD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015-40D9-8880-E4B5C21E5BD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015-40D9-8880-E4B5C21E5BD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015-40D9-8880-E4B5C21E5BD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015-40D9-8880-E4B5C21E5BDE}"/>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Sectorul 1</c:v>
                </c:pt>
                <c:pt idx="1">
                  <c:v>Sectorul 2</c:v>
                </c:pt>
                <c:pt idx="2">
                  <c:v>Sectorul 3</c:v>
                </c:pt>
                <c:pt idx="3">
                  <c:v>Sectorul 4</c:v>
                </c:pt>
                <c:pt idx="4">
                  <c:v>Sectorul 5</c:v>
                </c:pt>
                <c:pt idx="5">
                  <c:v>Sectorul 6</c:v>
                </c:pt>
              </c:strCache>
            </c:strRef>
          </c:cat>
          <c:val>
            <c:numRef>
              <c:f>Sheet1!$B$2:$B$7</c:f>
              <c:numCache>
                <c:formatCode>General</c:formatCode>
                <c:ptCount val="6"/>
                <c:pt idx="0">
                  <c:v>24995</c:v>
                </c:pt>
                <c:pt idx="1">
                  <c:v>25195</c:v>
                </c:pt>
                <c:pt idx="2">
                  <c:v>23714</c:v>
                </c:pt>
                <c:pt idx="3">
                  <c:v>15373</c:v>
                </c:pt>
                <c:pt idx="4">
                  <c:v>12317</c:v>
                </c:pt>
                <c:pt idx="5">
                  <c:v>18287</c:v>
                </c:pt>
              </c:numCache>
            </c:numRef>
          </c:val>
          <c:extLst>
            <c:ext xmlns:c16="http://schemas.microsoft.com/office/drawing/2014/chart" uri="{C3380CC4-5D6E-409C-BE32-E72D297353CC}">
              <c16:uniqueId val="{0000000C-5015-40D9-8880-E4B5C21E5BDE}"/>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2014</c:v>
                </c:pt>
              </c:strCache>
            </c:strRef>
          </c:tx>
          <c:spPr>
            <a:solidFill>
              <a:schemeClr val="accent1"/>
            </a:solidFill>
            <a:ln>
              <a:noFill/>
            </a:ln>
            <a:effectLst/>
          </c:spPr>
          <c:invertIfNegative val="0"/>
          <c:cat>
            <c:strRef>
              <c:f>Sheet1!$A$2:$A$7</c:f>
              <c:strCache>
                <c:ptCount val="6"/>
                <c:pt idx="0">
                  <c:v>Sector 1</c:v>
                </c:pt>
                <c:pt idx="1">
                  <c:v>Sector 2</c:v>
                </c:pt>
                <c:pt idx="2">
                  <c:v>Sector 3</c:v>
                </c:pt>
                <c:pt idx="3">
                  <c:v>Sector 4</c:v>
                </c:pt>
                <c:pt idx="4">
                  <c:v>Sector 5</c:v>
                </c:pt>
                <c:pt idx="5">
                  <c:v>Sector 6</c:v>
                </c:pt>
              </c:strCache>
            </c:strRef>
          </c:cat>
          <c:val>
            <c:numRef>
              <c:f>Sheet1!$B$2:$B$7</c:f>
              <c:numCache>
                <c:formatCode>General</c:formatCode>
                <c:ptCount val="6"/>
                <c:pt idx="0">
                  <c:v>89.49</c:v>
                </c:pt>
                <c:pt idx="1">
                  <c:v>59.78</c:v>
                </c:pt>
                <c:pt idx="2">
                  <c:v>45.8</c:v>
                </c:pt>
                <c:pt idx="3">
                  <c:v>45.19</c:v>
                </c:pt>
                <c:pt idx="4">
                  <c:v>37.96</c:v>
                </c:pt>
                <c:pt idx="5">
                  <c:v>43.23</c:v>
                </c:pt>
              </c:numCache>
            </c:numRef>
          </c:val>
          <c:extLst>
            <c:ext xmlns:c16="http://schemas.microsoft.com/office/drawing/2014/chart" uri="{C3380CC4-5D6E-409C-BE32-E72D297353CC}">
              <c16:uniqueId val="{00000000-F934-4EBB-87B8-3DD56155C389}"/>
            </c:ext>
          </c:extLst>
        </c:ser>
        <c:ser>
          <c:idx val="1"/>
          <c:order val="1"/>
          <c:tx>
            <c:strRef>
              <c:f>Sheet1!$C$1</c:f>
              <c:strCache>
                <c:ptCount val="1"/>
                <c:pt idx="0">
                  <c:v>2015</c:v>
                </c:pt>
              </c:strCache>
            </c:strRef>
          </c:tx>
          <c:spPr>
            <a:solidFill>
              <a:schemeClr val="accent2"/>
            </a:solidFill>
            <a:ln>
              <a:noFill/>
            </a:ln>
            <a:effectLst/>
          </c:spPr>
          <c:invertIfNegative val="0"/>
          <c:cat>
            <c:strRef>
              <c:f>Sheet1!$A$2:$A$7</c:f>
              <c:strCache>
                <c:ptCount val="6"/>
                <c:pt idx="0">
                  <c:v>Sector 1</c:v>
                </c:pt>
                <c:pt idx="1">
                  <c:v>Sector 2</c:v>
                </c:pt>
                <c:pt idx="2">
                  <c:v>Sector 3</c:v>
                </c:pt>
                <c:pt idx="3">
                  <c:v>Sector 4</c:v>
                </c:pt>
                <c:pt idx="4">
                  <c:v>Sector 5</c:v>
                </c:pt>
                <c:pt idx="5">
                  <c:v>Sector 6</c:v>
                </c:pt>
              </c:strCache>
            </c:strRef>
          </c:cat>
          <c:val>
            <c:numRef>
              <c:f>Sheet1!$C$2:$C$7</c:f>
              <c:numCache>
                <c:formatCode>General</c:formatCode>
                <c:ptCount val="6"/>
                <c:pt idx="0">
                  <c:v>90.85</c:v>
                </c:pt>
                <c:pt idx="1">
                  <c:v>60.84</c:v>
                </c:pt>
                <c:pt idx="2">
                  <c:v>45.33</c:v>
                </c:pt>
                <c:pt idx="3">
                  <c:v>45.67</c:v>
                </c:pt>
                <c:pt idx="4">
                  <c:v>37.83</c:v>
                </c:pt>
                <c:pt idx="5">
                  <c:v>42.81</c:v>
                </c:pt>
              </c:numCache>
            </c:numRef>
          </c:val>
          <c:extLst>
            <c:ext xmlns:c16="http://schemas.microsoft.com/office/drawing/2014/chart" uri="{C3380CC4-5D6E-409C-BE32-E72D297353CC}">
              <c16:uniqueId val="{00000001-F934-4EBB-87B8-3DD56155C389}"/>
            </c:ext>
          </c:extLst>
        </c:ser>
        <c:ser>
          <c:idx val="2"/>
          <c:order val="2"/>
          <c:tx>
            <c:strRef>
              <c:f>Sheet1!$D$1</c:f>
              <c:strCache>
                <c:ptCount val="1"/>
                <c:pt idx="0">
                  <c:v>2016</c:v>
                </c:pt>
              </c:strCache>
            </c:strRef>
          </c:tx>
          <c:spPr>
            <a:solidFill>
              <a:schemeClr val="accent3"/>
            </a:solidFill>
            <a:ln>
              <a:noFill/>
            </a:ln>
            <a:effectLst/>
          </c:spPr>
          <c:invertIfNegative val="0"/>
          <c:cat>
            <c:strRef>
              <c:f>Sheet1!$A$2:$A$7</c:f>
              <c:strCache>
                <c:ptCount val="6"/>
                <c:pt idx="0">
                  <c:v>Sector 1</c:v>
                </c:pt>
                <c:pt idx="1">
                  <c:v>Sector 2</c:v>
                </c:pt>
                <c:pt idx="2">
                  <c:v>Sector 3</c:v>
                </c:pt>
                <c:pt idx="3">
                  <c:v>Sector 4</c:v>
                </c:pt>
                <c:pt idx="4">
                  <c:v>Sector 5</c:v>
                </c:pt>
                <c:pt idx="5">
                  <c:v>Sector 6</c:v>
                </c:pt>
              </c:strCache>
            </c:strRef>
          </c:cat>
          <c:val>
            <c:numRef>
              <c:f>Sheet1!$D$2:$D$7</c:f>
              <c:numCache>
                <c:formatCode>General</c:formatCode>
                <c:ptCount val="6"/>
                <c:pt idx="0">
                  <c:v>91.66</c:v>
                </c:pt>
                <c:pt idx="1">
                  <c:v>61.86</c:v>
                </c:pt>
                <c:pt idx="2">
                  <c:v>46.02</c:v>
                </c:pt>
                <c:pt idx="3">
                  <c:v>46.44</c:v>
                </c:pt>
                <c:pt idx="4">
                  <c:v>38.700000000000003</c:v>
                </c:pt>
                <c:pt idx="5">
                  <c:v>43.73</c:v>
                </c:pt>
              </c:numCache>
            </c:numRef>
          </c:val>
          <c:extLst>
            <c:ext xmlns:c16="http://schemas.microsoft.com/office/drawing/2014/chart" uri="{C3380CC4-5D6E-409C-BE32-E72D297353CC}">
              <c16:uniqueId val="{00000002-F934-4EBB-87B8-3DD56155C389}"/>
            </c:ext>
          </c:extLst>
        </c:ser>
        <c:ser>
          <c:idx val="3"/>
          <c:order val="3"/>
          <c:tx>
            <c:strRef>
              <c:f>Sheet1!$E$1</c:f>
              <c:strCache>
                <c:ptCount val="1"/>
                <c:pt idx="0">
                  <c:v>2017</c:v>
                </c:pt>
              </c:strCache>
            </c:strRef>
          </c:tx>
          <c:spPr>
            <a:solidFill>
              <a:schemeClr val="accent4"/>
            </a:solidFill>
            <a:ln>
              <a:noFill/>
            </a:ln>
            <a:effectLst/>
          </c:spPr>
          <c:invertIfNegative val="0"/>
          <c:cat>
            <c:strRef>
              <c:f>Sheet1!$A$2:$A$7</c:f>
              <c:strCache>
                <c:ptCount val="6"/>
                <c:pt idx="0">
                  <c:v>Sector 1</c:v>
                </c:pt>
                <c:pt idx="1">
                  <c:v>Sector 2</c:v>
                </c:pt>
                <c:pt idx="2">
                  <c:v>Sector 3</c:v>
                </c:pt>
                <c:pt idx="3">
                  <c:v>Sector 4</c:v>
                </c:pt>
                <c:pt idx="4">
                  <c:v>Sector 5</c:v>
                </c:pt>
                <c:pt idx="5">
                  <c:v>Sector 6</c:v>
                </c:pt>
              </c:strCache>
            </c:strRef>
          </c:cat>
          <c:val>
            <c:numRef>
              <c:f>Sheet1!$E$2:$E$7</c:f>
              <c:numCache>
                <c:formatCode>General</c:formatCode>
                <c:ptCount val="6"/>
                <c:pt idx="0">
                  <c:v>93.64</c:v>
                </c:pt>
                <c:pt idx="1">
                  <c:v>64</c:v>
                </c:pt>
                <c:pt idx="2">
                  <c:v>47.45</c:v>
                </c:pt>
                <c:pt idx="3">
                  <c:v>47.45</c:v>
                </c:pt>
                <c:pt idx="4">
                  <c:v>39.4</c:v>
                </c:pt>
                <c:pt idx="5">
                  <c:v>44.71</c:v>
                </c:pt>
              </c:numCache>
            </c:numRef>
          </c:val>
          <c:extLst>
            <c:ext xmlns:c16="http://schemas.microsoft.com/office/drawing/2014/chart" uri="{C3380CC4-5D6E-409C-BE32-E72D297353CC}">
              <c16:uniqueId val="{00000003-F934-4EBB-87B8-3DD56155C389}"/>
            </c:ext>
          </c:extLst>
        </c:ser>
        <c:ser>
          <c:idx val="4"/>
          <c:order val="4"/>
          <c:tx>
            <c:strRef>
              <c:f>Sheet1!$F$1</c:f>
              <c:strCache>
                <c:ptCount val="1"/>
                <c:pt idx="0">
                  <c:v>2018</c:v>
                </c:pt>
              </c:strCache>
            </c:strRef>
          </c:tx>
          <c:spPr>
            <a:solidFill>
              <a:schemeClr val="accent5"/>
            </a:solidFill>
            <a:ln>
              <a:noFill/>
            </a:ln>
            <a:effectLst/>
          </c:spPr>
          <c:invertIfNegative val="0"/>
          <c:cat>
            <c:strRef>
              <c:f>Sheet1!$A$2:$A$7</c:f>
              <c:strCache>
                <c:ptCount val="6"/>
                <c:pt idx="0">
                  <c:v>Sector 1</c:v>
                </c:pt>
                <c:pt idx="1">
                  <c:v>Sector 2</c:v>
                </c:pt>
                <c:pt idx="2">
                  <c:v>Sector 3</c:v>
                </c:pt>
                <c:pt idx="3">
                  <c:v>Sector 4</c:v>
                </c:pt>
                <c:pt idx="4">
                  <c:v>Sector 5</c:v>
                </c:pt>
                <c:pt idx="5">
                  <c:v>Sector 6</c:v>
                </c:pt>
              </c:strCache>
            </c:strRef>
          </c:cat>
          <c:val>
            <c:numRef>
              <c:f>Sheet1!$F$2:$F$7</c:f>
              <c:numCache>
                <c:formatCode>General</c:formatCode>
                <c:ptCount val="6"/>
                <c:pt idx="0">
                  <c:v>95.1</c:v>
                </c:pt>
                <c:pt idx="1">
                  <c:v>66.239999999999995</c:v>
                </c:pt>
                <c:pt idx="2">
                  <c:v>48.47</c:v>
                </c:pt>
                <c:pt idx="3">
                  <c:v>45.66</c:v>
                </c:pt>
                <c:pt idx="4">
                  <c:v>39.85</c:v>
                </c:pt>
                <c:pt idx="5">
                  <c:v>45.41</c:v>
                </c:pt>
              </c:numCache>
            </c:numRef>
          </c:val>
          <c:extLst>
            <c:ext xmlns:c16="http://schemas.microsoft.com/office/drawing/2014/chart" uri="{C3380CC4-5D6E-409C-BE32-E72D297353CC}">
              <c16:uniqueId val="{00000004-F934-4EBB-87B8-3DD56155C389}"/>
            </c:ext>
          </c:extLst>
        </c:ser>
        <c:ser>
          <c:idx val="5"/>
          <c:order val="5"/>
          <c:tx>
            <c:strRef>
              <c:f>Sheet1!$G$1</c:f>
              <c:strCache>
                <c:ptCount val="1"/>
                <c:pt idx="0">
                  <c:v>2019</c:v>
                </c:pt>
              </c:strCache>
            </c:strRef>
          </c:tx>
          <c:spPr>
            <a:solidFill>
              <a:schemeClr val="accent6"/>
            </a:solidFill>
            <a:ln>
              <a:noFill/>
            </a:ln>
            <a:effectLst/>
          </c:spPr>
          <c:invertIfNegative val="0"/>
          <c:cat>
            <c:strRef>
              <c:f>Sheet1!$A$2:$A$7</c:f>
              <c:strCache>
                <c:ptCount val="6"/>
                <c:pt idx="0">
                  <c:v>Sector 1</c:v>
                </c:pt>
                <c:pt idx="1">
                  <c:v>Sector 2</c:v>
                </c:pt>
                <c:pt idx="2">
                  <c:v>Sector 3</c:v>
                </c:pt>
                <c:pt idx="3">
                  <c:v>Sector 4</c:v>
                </c:pt>
                <c:pt idx="4">
                  <c:v>Sector 5</c:v>
                </c:pt>
                <c:pt idx="5">
                  <c:v>Sector 6</c:v>
                </c:pt>
              </c:strCache>
            </c:strRef>
          </c:cat>
          <c:val>
            <c:numRef>
              <c:f>Sheet1!$G$2:$G$7</c:f>
              <c:numCache>
                <c:formatCode>General</c:formatCode>
                <c:ptCount val="6"/>
                <c:pt idx="0">
                  <c:v>93.07</c:v>
                </c:pt>
                <c:pt idx="1">
                  <c:v>66.040000000000006</c:v>
                </c:pt>
                <c:pt idx="2">
                  <c:v>47.68</c:v>
                </c:pt>
                <c:pt idx="3">
                  <c:v>44.7</c:v>
                </c:pt>
                <c:pt idx="4">
                  <c:v>38.86</c:v>
                </c:pt>
                <c:pt idx="5">
                  <c:v>44.98</c:v>
                </c:pt>
              </c:numCache>
            </c:numRef>
          </c:val>
          <c:extLst>
            <c:ext xmlns:c16="http://schemas.microsoft.com/office/drawing/2014/chart" uri="{C3380CC4-5D6E-409C-BE32-E72D297353CC}">
              <c16:uniqueId val="{00000005-F934-4EBB-87B8-3DD56155C389}"/>
            </c:ext>
          </c:extLst>
        </c:ser>
        <c:ser>
          <c:idx val="6"/>
          <c:order val="6"/>
          <c:tx>
            <c:strRef>
              <c:f>Sheet1!$H$1</c:f>
              <c:strCache>
                <c:ptCount val="1"/>
                <c:pt idx="0">
                  <c:v>2020</c:v>
                </c:pt>
              </c:strCache>
            </c:strRef>
          </c:tx>
          <c:spPr>
            <a:solidFill>
              <a:schemeClr val="accent1">
                <a:lumMod val="60000"/>
              </a:schemeClr>
            </a:solidFill>
            <a:ln>
              <a:noFill/>
            </a:ln>
            <a:effectLst/>
          </c:spPr>
          <c:invertIfNegative val="0"/>
          <c:cat>
            <c:strRef>
              <c:f>Sheet1!$A$2:$A$7</c:f>
              <c:strCache>
                <c:ptCount val="6"/>
                <c:pt idx="0">
                  <c:v>Sector 1</c:v>
                </c:pt>
                <c:pt idx="1">
                  <c:v>Sector 2</c:v>
                </c:pt>
                <c:pt idx="2">
                  <c:v>Sector 3</c:v>
                </c:pt>
                <c:pt idx="3">
                  <c:v>Sector 4</c:v>
                </c:pt>
                <c:pt idx="4">
                  <c:v>Sector 5</c:v>
                </c:pt>
                <c:pt idx="5">
                  <c:v>Sector 6</c:v>
                </c:pt>
              </c:strCache>
            </c:strRef>
          </c:cat>
          <c:val>
            <c:numRef>
              <c:f>Sheet1!$H$2:$H$7</c:f>
              <c:numCache>
                <c:formatCode>General</c:formatCode>
                <c:ptCount val="6"/>
                <c:pt idx="0">
                  <c:v>95.69</c:v>
                </c:pt>
                <c:pt idx="1">
                  <c:v>67.819999999999993</c:v>
                </c:pt>
                <c:pt idx="2">
                  <c:v>48.59</c:v>
                </c:pt>
                <c:pt idx="3">
                  <c:v>45.9</c:v>
                </c:pt>
                <c:pt idx="4">
                  <c:v>40.25</c:v>
                </c:pt>
                <c:pt idx="5">
                  <c:v>46</c:v>
                </c:pt>
              </c:numCache>
            </c:numRef>
          </c:val>
          <c:extLst>
            <c:ext xmlns:c16="http://schemas.microsoft.com/office/drawing/2014/chart" uri="{C3380CC4-5D6E-409C-BE32-E72D297353CC}">
              <c16:uniqueId val="{00000006-F934-4EBB-87B8-3DD56155C389}"/>
            </c:ext>
          </c:extLst>
        </c:ser>
        <c:dLbls>
          <c:showLegendKey val="0"/>
          <c:showVal val="0"/>
          <c:showCatName val="0"/>
          <c:showSerName val="0"/>
          <c:showPercent val="0"/>
          <c:showBubbleSize val="0"/>
        </c:dLbls>
        <c:gapWidth val="219"/>
        <c:overlap val="-27"/>
        <c:axId val="533248184"/>
        <c:axId val="533253672"/>
      </c:barChart>
      <c:catAx>
        <c:axId val="533248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53672"/>
        <c:crosses val="autoZero"/>
        <c:auto val="1"/>
        <c:lblAlgn val="ctr"/>
        <c:lblOffset val="100"/>
        <c:noMultiLvlLbl val="0"/>
      </c:catAx>
      <c:valAx>
        <c:axId val="5332536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48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6DA-45BE-A4F5-9DABD4F7CDA2}"/>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A6DA-45BE-A4F5-9DABD4F7CDA2}"/>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A6DA-45BE-A4F5-9DABD4F7CDA2}"/>
              </c:ext>
            </c:extLst>
          </c:dPt>
          <c:dLbls>
            <c:dLbl>
              <c:idx val="0"/>
              <c:layout>
                <c:manualLayout>
                  <c:x val="-7.0175438596491224E-2"/>
                  <c:y val="-0.108049702863317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DA-45BE-A4F5-9DABD4F7CDA2}"/>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A6DA-45BE-A4F5-9DABD4F7CD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Sheet8!$D$2:$D$4</c:f>
              <c:strCache>
                <c:ptCount val="3"/>
                <c:pt idx="0">
                  <c:v>Firme mari</c:v>
                </c:pt>
                <c:pt idx="1">
                  <c:v>IMM</c:v>
                </c:pt>
                <c:pt idx="2">
                  <c:v>Microîntreprinderi</c:v>
                </c:pt>
              </c:strCache>
            </c:strRef>
          </c:cat>
          <c:val>
            <c:numRef>
              <c:f>Sheet8!$E$2:$E$4</c:f>
              <c:numCache>
                <c:formatCode>0.0%</c:formatCode>
                <c:ptCount val="3"/>
                <c:pt idx="0">
                  <c:v>6.2178967288456337E-3</c:v>
                </c:pt>
                <c:pt idx="1">
                  <c:v>9.8641524736415243E-2</c:v>
                </c:pt>
                <c:pt idx="2">
                  <c:v>0.89514057853473916</c:v>
                </c:pt>
              </c:numCache>
            </c:numRef>
          </c:val>
          <c:extLst>
            <c:ext xmlns:c16="http://schemas.microsoft.com/office/drawing/2014/chart" uri="{C3380CC4-5D6E-409C-BE32-E72D297353CC}">
              <c16:uniqueId val="{00000006-A6DA-45BE-A4F5-9DABD4F7CDA2}"/>
            </c:ext>
          </c:extLst>
        </c:ser>
        <c:dLbls>
          <c:showLegendKey val="0"/>
          <c:showVal val="1"/>
          <c:showCatName val="0"/>
          <c:showSerName val="0"/>
          <c:showPercent val="0"/>
          <c:showBubbleSize val="0"/>
          <c:showLeaderLines val="1"/>
        </c:dLbls>
        <c:firstSliceAng val="0"/>
        <c:holeSize val="64"/>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775-42E5-B6A5-C15C0ABE96F9}"/>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0775-42E5-B6A5-C15C0ABE96F9}"/>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0775-42E5-B6A5-C15C0ABE96F9}"/>
              </c:ext>
            </c:extLst>
          </c:dPt>
          <c:dLbls>
            <c:dLbl>
              <c:idx val="0"/>
              <c:layout>
                <c:manualLayout>
                  <c:x val="-5.144995322731525E-2"/>
                  <c:y val="-0.108108108108108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75-42E5-B6A5-C15C0ABE96F9}"/>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0775-42E5-B6A5-C15C0ABE96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Sheet8!$D$2:$D$4</c:f>
              <c:strCache>
                <c:ptCount val="3"/>
                <c:pt idx="0">
                  <c:v>Firme mari</c:v>
                </c:pt>
                <c:pt idx="1">
                  <c:v>IMM</c:v>
                </c:pt>
                <c:pt idx="2">
                  <c:v>Microîntreprinderi</c:v>
                </c:pt>
              </c:strCache>
            </c:strRef>
          </c:cat>
          <c:val>
            <c:numRef>
              <c:f>Sheet8!$F$2:$F$4</c:f>
              <c:numCache>
                <c:formatCode>0.0%</c:formatCode>
                <c:ptCount val="3"/>
                <c:pt idx="0">
                  <c:v>6.3005454203498212E-3</c:v>
                </c:pt>
                <c:pt idx="1">
                  <c:v>9.0872045639771803E-2</c:v>
                </c:pt>
                <c:pt idx="2">
                  <c:v>0.90282740893987834</c:v>
                </c:pt>
              </c:numCache>
            </c:numRef>
          </c:val>
          <c:extLst>
            <c:ext xmlns:c16="http://schemas.microsoft.com/office/drawing/2014/chart" uri="{C3380CC4-5D6E-409C-BE32-E72D297353CC}">
              <c16:uniqueId val="{00000006-0775-42E5-B6A5-C15C0ABE96F9}"/>
            </c:ext>
          </c:extLst>
        </c:ser>
        <c:dLbls>
          <c:showLegendKey val="0"/>
          <c:showVal val="0"/>
          <c:showCatName val="0"/>
          <c:showSerName val="0"/>
          <c:showPercent val="0"/>
          <c:showBubbleSize val="0"/>
          <c:showLeaderLines val="1"/>
        </c:dLbls>
        <c:firstSliceAng val="0"/>
        <c:holeSize val="64"/>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Întreprinderi noi create</c:v>
                </c:pt>
              </c:strCache>
            </c:strRef>
          </c:tx>
          <c:spPr>
            <a:ln w="19050"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2014</c:v>
                </c:pt>
                <c:pt idx="1">
                  <c:v>2015</c:v>
                </c:pt>
                <c:pt idx="2">
                  <c:v>2016</c:v>
                </c:pt>
                <c:pt idx="3">
                  <c:v>2017</c:v>
                </c:pt>
                <c:pt idx="4">
                  <c:v>2018</c:v>
                </c:pt>
                <c:pt idx="5">
                  <c:v>2019</c:v>
                </c:pt>
              </c:numCache>
            </c:numRef>
          </c:cat>
          <c:val>
            <c:numRef>
              <c:f>Sheet1!$B$2:$B$7</c:f>
              <c:numCache>
                <c:formatCode>General</c:formatCode>
                <c:ptCount val="6"/>
                <c:pt idx="0">
                  <c:v>3545</c:v>
                </c:pt>
                <c:pt idx="1">
                  <c:v>3383</c:v>
                </c:pt>
                <c:pt idx="2">
                  <c:v>3383</c:v>
                </c:pt>
                <c:pt idx="3">
                  <c:v>3416</c:v>
                </c:pt>
                <c:pt idx="4">
                  <c:v>3549</c:v>
                </c:pt>
                <c:pt idx="5">
                  <c:v>3303</c:v>
                </c:pt>
              </c:numCache>
            </c:numRef>
          </c:val>
          <c:smooth val="0"/>
          <c:extLst>
            <c:ext xmlns:c16="http://schemas.microsoft.com/office/drawing/2014/chart" uri="{C3380CC4-5D6E-409C-BE32-E72D297353CC}">
              <c16:uniqueId val="{00000000-595F-4D61-958F-5F4A3BB028FD}"/>
            </c:ext>
          </c:extLst>
        </c:ser>
        <c:ser>
          <c:idx val="1"/>
          <c:order val="1"/>
          <c:tx>
            <c:strRef>
              <c:f>Sheet1!$C$1</c:f>
              <c:strCache>
                <c:ptCount val="1"/>
                <c:pt idx="0">
                  <c:v>Întreprinderi închise</c:v>
                </c:pt>
              </c:strCache>
            </c:strRef>
          </c:tx>
          <c:spPr>
            <a:ln w="19050" cap="rnd">
              <a:solidFill>
                <a:schemeClr val="accent3"/>
              </a:solidFill>
              <a:round/>
            </a:ln>
            <a:effectLst/>
          </c:spPr>
          <c:marker>
            <c:symbol val="circle"/>
            <c:size val="7"/>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2014</c:v>
                </c:pt>
                <c:pt idx="1">
                  <c:v>2015</c:v>
                </c:pt>
                <c:pt idx="2">
                  <c:v>2016</c:v>
                </c:pt>
                <c:pt idx="3">
                  <c:v>2017</c:v>
                </c:pt>
                <c:pt idx="4">
                  <c:v>2018</c:v>
                </c:pt>
                <c:pt idx="5">
                  <c:v>2019</c:v>
                </c:pt>
              </c:numCache>
            </c:numRef>
          </c:cat>
          <c:val>
            <c:numRef>
              <c:f>Sheet1!$C$2:$C$7</c:f>
              <c:numCache>
                <c:formatCode>General</c:formatCode>
                <c:ptCount val="6"/>
                <c:pt idx="0">
                  <c:v>2934</c:v>
                </c:pt>
                <c:pt idx="1">
                  <c:v>2395</c:v>
                </c:pt>
                <c:pt idx="2">
                  <c:v>2645</c:v>
                </c:pt>
                <c:pt idx="3">
                  <c:v>2882</c:v>
                </c:pt>
                <c:pt idx="4">
                  <c:v>2808</c:v>
                </c:pt>
                <c:pt idx="5">
                  <c:v>2620</c:v>
                </c:pt>
              </c:numCache>
            </c:numRef>
          </c:val>
          <c:smooth val="0"/>
          <c:extLst>
            <c:ext xmlns:c16="http://schemas.microsoft.com/office/drawing/2014/chart" uri="{C3380CC4-5D6E-409C-BE32-E72D297353CC}">
              <c16:uniqueId val="{00000001-595F-4D61-958F-5F4A3BB028FD}"/>
            </c:ext>
          </c:extLst>
        </c:ser>
        <c:dLbls>
          <c:showLegendKey val="0"/>
          <c:showVal val="0"/>
          <c:showCatName val="0"/>
          <c:showSerName val="0"/>
          <c:showPercent val="0"/>
          <c:showBubbleSize val="0"/>
        </c:dLbls>
        <c:marker val="1"/>
        <c:smooth val="0"/>
        <c:axId val="533248576"/>
        <c:axId val="533250928"/>
      </c:lineChart>
      <c:catAx>
        <c:axId val="53324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50928"/>
        <c:crosses val="autoZero"/>
        <c:auto val="1"/>
        <c:lblAlgn val="ctr"/>
        <c:lblOffset val="100"/>
        <c:noMultiLvlLbl val="0"/>
      </c:catAx>
      <c:valAx>
        <c:axId val="533250928"/>
        <c:scaling>
          <c:orientation val="minMax"/>
          <c:min val="1500"/>
        </c:scaling>
        <c:delete val="1"/>
        <c:axPos val="l"/>
        <c:numFmt formatCode="General" sourceLinked="1"/>
        <c:majorTickMark val="none"/>
        <c:minorTickMark val="none"/>
        <c:tickLblPos val="nextTo"/>
        <c:crossAx val="53324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67D-46D9-9EC7-5D14EB50DA6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67D-46D9-9EC7-5D14EB50DA6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67D-46D9-9EC7-5D14EB50DA6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67D-46D9-9EC7-5D14EB50DA6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67D-46D9-9EC7-5D14EB50DA6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67D-46D9-9EC7-5D14EB50DA6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Sectorul 1</c:v>
                </c:pt>
                <c:pt idx="1">
                  <c:v>Sectorul 2</c:v>
                </c:pt>
                <c:pt idx="2">
                  <c:v>Sectorul 3</c:v>
                </c:pt>
                <c:pt idx="3">
                  <c:v>Sectorul 4</c:v>
                </c:pt>
                <c:pt idx="4">
                  <c:v>Sectorul 5</c:v>
                </c:pt>
                <c:pt idx="5">
                  <c:v>Sectorul 6</c:v>
                </c:pt>
              </c:strCache>
            </c:strRef>
          </c:cat>
          <c:val>
            <c:numRef>
              <c:f>Sheet1!$B$2:$B$7</c:f>
              <c:numCache>
                <c:formatCode>General</c:formatCode>
                <c:ptCount val="6"/>
                <c:pt idx="0">
                  <c:v>66254.786959128411</c:v>
                </c:pt>
                <c:pt idx="1">
                  <c:v>29960.703727439995</c:v>
                </c:pt>
                <c:pt idx="2">
                  <c:v>16120.241466994687</c:v>
                </c:pt>
                <c:pt idx="3">
                  <c:v>8355.3761551342741</c:v>
                </c:pt>
                <c:pt idx="4">
                  <c:v>6532.790308242541</c:v>
                </c:pt>
                <c:pt idx="5">
                  <c:v>18446.831779371936</c:v>
                </c:pt>
              </c:numCache>
            </c:numRef>
          </c:val>
          <c:extLst>
            <c:ext xmlns:c16="http://schemas.microsoft.com/office/drawing/2014/chart" uri="{C3380CC4-5D6E-409C-BE32-E72D297353CC}">
              <c16:uniqueId val="{0000000C-B67D-46D9-9EC7-5D14EB50DA66}"/>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9D3-4BA7-8E2F-DCE8B4BAF558}"/>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F9D3-4BA7-8E2F-DCE8B4BAF558}"/>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F9D3-4BA7-8E2F-DCE8B4BAF5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Sheet8!$D$20:$D$22</c:f>
              <c:strCache>
                <c:ptCount val="3"/>
                <c:pt idx="0">
                  <c:v>Firme mari</c:v>
                </c:pt>
                <c:pt idx="1">
                  <c:v>IMM</c:v>
                </c:pt>
                <c:pt idx="2">
                  <c:v>Microîntreprinderi</c:v>
                </c:pt>
              </c:strCache>
            </c:strRef>
          </c:cat>
          <c:val>
            <c:numRef>
              <c:f>Sheet8!$E$20:$E$22</c:f>
              <c:numCache>
                <c:formatCode>0.0%</c:formatCode>
                <c:ptCount val="3"/>
                <c:pt idx="0">
                  <c:v>0.50597311977832382</c:v>
                </c:pt>
                <c:pt idx="1">
                  <c:v>0.3993683176984536</c:v>
                </c:pt>
                <c:pt idx="2">
                  <c:v>9.4658562523222564E-2</c:v>
                </c:pt>
              </c:numCache>
            </c:numRef>
          </c:val>
          <c:extLst>
            <c:ext xmlns:c16="http://schemas.microsoft.com/office/drawing/2014/chart" uri="{C3380CC4-5D6E-409C-BE32-E72D297353CC}">
              <c16:uniqueId val="{00000006-F9D3-4BA7-8E2F-DCE8B4BAF558}"/>
            </c:ext>
          </c:extLst>
        </c:ser>
        <c:dLbls>
          <c:showLegendKey val="0"/>
          <c:showVal val="1"/>
          <c:showCatName val="0"/>
          <c:showSerName val="0"/>
          <c:showPercent val="0"/>
          <c:showBubbleSize val="0"/>
          <c:showLeaderLines val="1"/>
        </c:dLbls>
        <c:firstSliceAng val="0"/>
        <c:holeSize val="64"/>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1C5-47D3-A6C3-790CDBC637D7}"/>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81C5-47D3-A6C3-790CDBC637D7}"/>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81C5-47D3-A6C3-790CDBC637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Sheet8!$D$20:$D$22</c:f>
              <c:strCache>
                <c:ptCount val="3"/>
                <c:pt idx="0">
                  <c:v>Firme mari</c:v>
                </c:pt>
                <c:pt idx="1">
                  <c:v>IMM</c:v>
                </c:pt>
                <c:pt idx="2">
                  <c:v>Microîntreprinderi</c:v>
                </c:pt>
              </c:strCache>
            </c:strRef>
          </c:cat>
          <c:val>
            <c:numRef>
              <c:f>Sheet8!$F$20:$F$22</c:f>
              <c:numCache>
                <c:formatCode>0.0%</c:formatCode>
                <c:ptCount val="3"/>
                <c:pt idx="0">
                  <c:v>0.5109583827854276</c:v>
                </c:pt>
                <c:pt idx="1">
                  <c:v>0.3930363642277489</c:v>
                </c:pt>
                <c:pt idx="2">
                  <c:v>9.6005252986823511E-2</c:v>
                </c:pt>
              </c:numCache>
            </c:numRef>
          </c:val>
          <c:extLst>
            <c:ext xmlns:c16="http://schemas.microsoft.com/office/drawing/2014/chart" uri="{C3380CC4-5D6E-409C-BE32-E72D297353CC}">
              <c16:uniqueId val="{00000006-81C5-47D3-A6C3-790CDBC637D7}"/>
            </c:ext>
          </c:extLst>
        </c:ser>
        <c:dLbls>
          <c:showLegendKey val="0"/>
          <c:showVal val="0"/>
          <c:showCatName val="0"/>
          <c:showSerName val="0"/>
          <c:showPercent val="0"/>
          <c:showBubbleSize val="0"/>
          <c:showLeaderLines val="1"/>
        </c:dLbls>
        <c:firstSliceAng val="0"/>
        <c:holeSize val="64"/>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0"/>
          <c:order val="0"/>
          <c:tx>
            <c:strRef>
              <c:f>Sheet1!$B$1</c:f>
              <c:strCache>
                <c:ptCount val="1"/>
                <c:pt idx="0">
                  <c:v>Număr mediu salariați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2014</c:v>
                </c:pt>
                <c:pt idx="1">
                  <c:v>2015</c:v>
                </c:pt>
                <c:pt idx="2">
                  <c:v>2016</c:v>
                </c:pt>
                <c:pt idx="3">
                  <c:v>2017</c:v>
                </c:pt>
                <c:pt idx="4">
                  <c:v>2018</c:v>
                </c:pt>
                <c:pt idx="5">
                  <c:v>2019</c:v>
                </c:pt>
                <c:pt idx="6">
                  <c:v>2020</c:v>
                </c:pt>
              </c:numCache>
            </c:numRef>
          </c:cat>
          <c:val>
            <c:numRef>
              <c:f>Sheet1!$B$2:$B$8</c:f>
              <c:numCache>
                <c:formatCode>General</c:formatCode>
                <c:ptCount val="7"/>
                <c:pt idx="0">
                  <c:v>224384</c:v>
                </c:pt>
                <c:pt idx="1">
                  <c:v>240693</c:v>
                </c:pt>
                <c:pt idx="2">
                  <c:v>254049</c:v>
                </c:pt>
                <c:pt idx="3">
                  <c:v>260235</c:v>
                </c:pt>
                <c:pt idx="4">
                  <c:v>259761</c:v>
                </c:pt>
                <c:pt idx="5">
                  <c:v>260670</c:v>
                </c:pt>
                <c:pt idx="6">
                  <c:v>256167</c:v>
                </c:pt>
              </c:numCache>
            </c:numRef>
          </c:val>
          <c:smooth val="0"/>
          <c:extLst>
            <c:ext xmlns:c16="http://schemas.microsoft.com/office/drawing/2014/chart" uri="{C3380CC4-5D6E-409C-BE32-E72D297353CC}">
              <c16:uniqueId val="{00000000-D77E-4DEB-8CE6-DB4B684992F3}"/>
            </c:ext>
          </c:extLst>
        </c:ser>
        <c:dLbls>
          <c:dLblPos val="t"/>
          <c:showLegendKey val="0"/>
          <c:showVal val="1"/>
          <c:showCatName val="0"/>
          <c:showSerName val="0"/>
          <c:showPercent val="0"/>
          <c:showBubbleSize val="0"/>
        </c:dLbls>
        <c:marker val="1"/>
        <c:smooth val="0"/>
        <c:axId val="533254848"/>
        <c:axId val="533246616"/>
      </c:lineChart>
      <c:catAx>
        <c:axId val="53325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46616"/>
        <c:crosses val="autoZero"/>
        <c:auto val="1"/>
        <c:lblAlgn val="ctr"/>
        <c:lblOffset val="100"/>
        <c:noMultiLvlLbl val="0"/>
      </c:catAx>
      <c:valAx>
        <c:axId val="533246616"/>
        <c:scaling>
          <c:orientation val="minMax"/>
        </c:scaling>
        <c:delete val="1"/>
        <c:axPos val="l"/>
        <c:numFmt formatCode="General" sourceLinked="1"/>
        <c:majorTickMark val="none"/>
        <c:minorTickMark val="none"/>
        <c:tickLblPos val="nextTo"/>
        <c:crossAx val="5332548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Sheet8!$E$36</c:f>
              <c:strCache>
                <c:ptCount val="1"/>
                <c:pt idx="0">
                  <c:v>2014</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F4-4DA2-BC9F-BE2CA768610A}"/>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7DF4-4DA2-BC9F-BE2CA768610A}"/>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7DF4-4DA2-BC9F-BE2CA768610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Sheet8!$D$37:$D$39</c:f>
              <c:strCache>
                <c:ptCount val="3"/>
                <c:pt idx="0">
                  <c:v>Firme mari</c:v>
                </c:pt>
                <c:pt idx="1">
                  <c:v>IMM</c:v>
                </c:pt>
                <c:pt idx="2">
                  <c:v>Microîntreprinderi</c:v>
                </c:pt>
              </c:strCache>
            </c:strRef>
          </c:cat>
          <c:val>
            <c:numRef>
              <c:f>Sheet8!$E$37:$E$39</c:f>
              <c:numCache>
                <c:formatCode>0.0%</c:formatCode>
                <c:ptCount val="3"/>
                <c:pt idx="0">
                  <c:v>0.64514397057822659</c:v>
                </c:pt>
                <c:pt idx="1">
                  <c:v>0.27345461328466675</c:v>
                </c:pt>
                <c:pt idx="2">
                  <c:v>8.1401416137106677E-2</c:v>
                </c:pt>
              </c:numCache>
            </c:numRef>
          </c:val>
          <c:extLst>
            <c:ext xmlns:c16="http://schemas.microsoft.com/office/drawing/2014/chart" uri="{C3380CC4-5D6E-409C-BE32-E72D297353CC}">
              <c16:uniqueId val="{00000006-7DF4-4DA2-BC9F-BE2CA768610A}"/>
            </c:ext>
          </c:extLst>
        </c:ser>
        <c:dLbls>
          <c:showLegendKey val="0"/>
          <c:showVal val="1"/>
          <c:showCatName val="0"/>
          <c:showSerName val="0"/>
          <c:showPercent val="0"/>
          <c:showBubbleSize val="0"/>
          <c:showLeaderLines val="1"/>
        </c:dLbls>
        <c:firstSliceAng val="0"/>
        <c:holeSize val="6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dLbls>
            <c:dLbl>
              <c:idx val="1"/>
              <c:spPr/>
              <c:txPr>
                <a:bodyPr/>
                <a:lstStyle/>
                <a:p>
                  <a:pPr>
                    <a:defRPr>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0-7725-4BAD-8D31-0219C0E7336D}"/>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'TOATE!'!$B$48:$D$48</c:f>
              <c:strCache>
                <c:ptCount val="3"/>
                <c:pt idx="0">
                  <c:v>Proiecte implementate</c:v>
                </c:pt>
                <c:pt idx="1">
                  <c:v>Proiecte în curs de implementare</c:v>
                </c:pt>
                <c:pt idx="2">
                  <c:v>Proiecte neimplementate/ situație nespecificată</c:v>
                </c:pt>
              </c:strCache>
            </c:strRef>
          </c:cat>
          <c:val>
            <c:numRef>
              <c:f>'TOATE!'!$B$87:$D$87</c:f>
              <c:numCache>
                <c:formatCode>0.0%</c:formatCode>
                <c:ptCount val="3"/>
                <c:pt idx="0">
                  <c:v>6.4516129032258063E-2</c:v>
                </c:pt>
                <c:pt idx="1">
                  <c:v>0.22580645161290322</c:v>
                </c:pt>
                <c:pt idx="2">
                  <c:v>0.70967741935483875</c:v>
                </c:pt>
              </c:numCache>
            </c:numRef>
          </c:val>
          <c:extLst>
            <c:ext xmlns:c16="http://schemas.microsoft.com/office/drawing/2014/chart" uri="{C3380CC4-5D6E-409C-BE32-E72D297353CC}">
              <c16:uniqueId val="{00000001-7725-4BAD-8D31-0219C0E7336D}"/>
            </c:ext>
          </c:extLst>
        </c:ser>
        <c:dLbls>
          <c:showLegendKey val="0"/>
          <c:showVal val="1"/>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spPr>
    <a:ln>
      <a:noFill/>
    </a:ln>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530-436C-9EE8-C685D6D4DFED}"/>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5530-436C-9EE8-C685D6D4DFED}"/>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5530-436C-9EE8-C685D6D4DFE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Sheet8!$D$37:$D$39</c:f>
              <c:strCache>
                <c:ptCount val="3"/>
                <c:pt idx="0">
                  <c:v>Firme mari</c:v>
                </c:pt>
                <c:pt idx="1">
                  <c:v>IMM</c:v>
                </c:pt>
                <c:pt idx="2">
                  <c:v>Microîntreprinderi</c:v>
                </c:pt>
              </c:strCache>
            </c:strRef>
          </c:cat>
          <c:val>
            <c:numRef>
              <c:f>Sheet8!$F$37:$F$39</c:f>
              <c:numCache>
                <c:formatCode>0.0%</c:formatCode>
                <c:ptCount val="3"/>
                <c:pt idx="0">
                  <c:v>0.62209354543869566</c:v>
                </c:pt>
                <c:pt idx="1">
                  <c:v>0.28857441738827222</c:v>
                </c:pt>
                <c:pt idx="2">
                  <c:v>8.9332037173032119E-2</c:v>
                </c:pt>
              </c:numCache>
            </c:numRef>
          </c:val>
          <c:extLst>
            <c:ext xmlns:c16="http://schemas.microsoft.com/office/drawing/2014/chart" uri="{C3380CC4-5D6E-409C-BE32-E72D297353CC}">
              <c16:uniqueId val="{00000006-5530-436C-9EE8-C685D6D4DFED}"/>
            </c:ext>
          </c:extLst>
        </c:ser>
        <c:dLbls>
          <c:showLegendKey val="0"/>
          <c:showVal val="0"/>
          <c:showCatName val="0"/>
          <c:showSerName val="0"/>
          <c:showPercent val="0"/>
          <c:showBubbleSize val="0"/>
          <c:showLeaderLines val="1"/>
        </c:dLbls>
        <c:firstSliceAng val="0"/>
        <c:holeSize val="6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0"/>
          <c:order val="0"/>
          <c:tx>
            <c:strRef>
              <c:f>Sheet1!$B$1</c:f>
              <c:strCache>
                <c:ptCount val="1"/>
                <c:pt idx="0">
                  <c:v>Series 1</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2014</c:v>
                </c:pt>
                <c:pt idx="1">
                  <c:v>2015</c:v>
                </c:pt>
                <c:pt idx="2">
                  <c:v>2016</c:v>
                </c:pt>
                <c:pt idx="3">
                  <c:v>2017</c:v>
                </c:pt>
                <c:pt idx="4">
                  <c:v>2018</c:v>
                </c:pt>
                <c:pt idx="5">
                  <c:v>2019</c:v>
                </c:pt>
                <c:pt idx="6">
                  <c:v>2020</c:v>
                </c:pt>
                <c:pt idx="7">
                  <c:v>2021</c:v>
                </c:pt>
              </c:numCache>
            </c:numRef>
          </c:cat>
          <c:val>
            <c:numRef>
              <c:f>Sheet1!$B$2:$B$9</c:f>
              <c:numCache>
                <c:formatCode>General</c:formatCode>
                <c:ptCount val="8"/>
                <c:pt idx="0">
                  <c:v>21662</c:v>
                </c:pt>
                <c:pt idx="1">
                  <c:v>20847</c:v>
                </c:pt>
                <c:pt idx="2">
                  <c:v>18619</c:v>
                </c:pt>
                <c:pt idx="3">
                  <c:v>18275</c:v>
                </c:pt>
                <c:pt idx="4">
                  <c:v>15710</c:v>
                </c:pt>
                <c:pt idx="5">
                  <c:v>15248</c:v>
                </c:pt>
                <c:pt idx="6">
                  <c:v>15251</c:v>
                </c:pt>
                <c:pt idx="7">
                  <c:v>14004</c:v>
                </c:pt>
              </c:numCache>
            </c:numRef>
          </c:val>
          <c:smooth val="0"/>
          <c:extLst>
            <c:ext xmlns:c16="http://schemas.microsoft.com/office/drawing/2014/chart" uri="{C3380CC4-5D6E-409C-BE32-E72D297353CC}">
              <c16:uniqueId val="{00000000-71D6-4259-A120-6F3D3C4EFA5A}"/>
            </c:ext>
          </c:extLst>
        </c:ser>
        <c:dLbls>
          <c:showLegendKey val="0"/>
          <c:showVal val="0"/>
          <c:showCatName val="0"/>
          <c:showSerName val="0"/>
          <c:showPercent val="0"/>
          <c:showBubbleSize val="0"/>
        </c:dLbls>
        <c:marker val="1"/>
        <c:smooth val="0"/>
        <c:axId val="533247008"/>
        <c:axId val="533255632"/>
      </c:lineChart>
      <c:catAx>
        <c:axId val="53324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55632"/>
        <c:crosses val="autoZero"/>
        <c:auto val="1"/>
        <c:lblAlgn val="ctr"/>
        <c:lblOffset val="100"/>
        <c:noMultiLvlLbl val="0"/>
      </c:catAx>
      <c:valAx>
        <c:axId val="533255632"/>
        <c:scaling>
          <c:orientation val="minMax"/>
          <c:min val="10000"/>
        </c:scaling>
        <c:delete val="1"/>
        <c:axPos val="l"/>
        <c:numFmt formatCode="General" sourceLinked="1"/>
        <c:majorTickMark val="none"/>
        <c:minorTickMark val="none"/>
        <c:tickLblPos val="nextTo"/>
        <c:crossAx val="5332470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423920968212306E-2"/>
          <c:y val="4.3650793650793648E-2"/>
          <c:w val="0.91379830125400996"/>
          <c:h val="0.77351831021122364"/>
        </c:manualLayout>
      </c:layout>
      <c:lineChart>
        <c:grouping val="standard"/>
        <c:varyColors val="0"/>
        <c:ser>
          <c:idx val="0"/>
          <c:order val="0"/>
          <c:tx>
            <c:strRef>
              <c:f>Sheet1!$B$1</c:f>
              <c:strCache>
                <c:ptCount val="1"/>
                <c:pt idx="0">
                  <c:v>România</c:v>
                </c:pt>
              </c:strCache>
            </c:strRef>
          </c:tx>
          <c:spPr>
            <a:ln w="19050"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2014</c:v>
                </c:pt>
                <c:pt idx="1">
                  <c:v>2015</c:v>
                </c:pt>
                <c:pt idx="2">
                  <c:v>2016</c:v>
                </c:pt>
                <c:pt idx="3">
                  <c:v>2017</c:v>
                </c:pt>
                <c:pt idx="4">
                  <c:v>2018</c:v>
                </c:pt>
                <c:pt idx="5">
                  <c:v>2019</c:v>
                </c:pt>
                <c:pt idx="6">
                  <c:v>2020</c:v>
                </c:pt>
                <c:pt idx="7">
                  <c:v>2021</c:v>
                </c:pt>
              </c:numCache>
            </c:numRef>
          </c:cat>
          <c:val>
            <c:numRef>
              <c:f>Sheet1!$B$2:$B$9</c:f>
              <c:numCache>
                <c:formatCode>0.0</c:formatCode>
                <c:ptCount val="8"/>
                <c:pt idx="0">
                  <c:v>5.4</c:v>
                </c:pt>
                <c:pt idx="1">
                  <c:v>5</c:v>
                </c:pt>
                <c:pt idx="2">
                  <c:v>4.8</c:v>
                </c:pt>
                <c:pt idx="3">
                  <c:v>4</c:v>
                </c:pt>
                <c:pt idx="4">
                  <c:v>3.3</c:v>
                </c:pt>
                <c:pt idx="5">
                  <c:v>2.9</c:v>
                </c:pt>
                <c:pt idx="6">
                  <c:v>3.4</c:v>
                </c:pt>
                <c:pt idx="7" formatCode="General">
                  <c:v>2.7</c:v>
                </c:pt>
              </c:numCache>
            </c:numRef>
          </c:val>
          <c:smooth val="0"/>
          <c:extLst>
            <c:ext xmlns:c16="http://schemas.microsoft.com/office/drawing/2014/chart" uri="{C3380CC4-5D6E-409C-BE32-E72D297353CC}">
              <c16:uniqueId val="{00000000-77FF-4C02-8A1D-1E9CACC1468C}"/>
            </c:ext>
          </c:extLst>
        </c:ser>
        <c:ser>
          <c:idx val="1"/>
          <c:order val="1"/>
          <c:tx>
            <c:strRef>
              <c:f>Sheet1!$C$1</c:f>
              <c:strCache>
                <c:ptCount val="1"/>
                <c:pt idx="0">
                  <c:v>Municipiul București</c:v>
                </c:pt>
              </c:strCache>
            </c:strRef>
          </c:tx>
          <c:spPr>
            <a:ln w="19050" cap="rnd">
              <a:solidFill>
                <a:schemeClr val="accent3"/>
              </a:solidFill>
              <a:round/>
            </a:ln>
            <a:effectLst/>
          </c:spPr>
          <c:marker>
            <c:symbol val="circle"/>
            <c:size val="7"/>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2014</c:v>
                </c:pt>
                <c:pt idx="1">
                  <c:v>2015</c:v>
                </c:pt>
                <c:pt idx="2">
                  <c:v>2016</c:v>
                </c:pt>
                <c:pt idx="3">
                  <c:v>2017</c:v>
                </c:pt>
                <c:pt idx="4">
                  <c:v>2018</c:v>
                </c:pt>
                <c:pt idx="5">
                  <c:v>2019</c:v>
                </c:pt>
                <c:pt idx="6">
                  <c:v>2020</c:v>
                </c:pt>
                <c:pt idx="7">
                  <c:v>2021</c:v>
                </c:pt>
              </c:numCache>
            </c:numRef>
          </c:cat>
          <c:val>
            <c:numRef>
              <c:f>Sheet1!$C$2:$C$9</c:f>
              <c:numCache>
                <c:formatCode>0.0</c:formatCode>
                <c:ptCount val="8"/>
                <c:pt idx="0">
                  <c:v>2</c:v>
                </c:pt>
                <c:pt idx="1">
                  <c:v>1.9</c:v>
                </c:pt>
                <c:pt idx="2">
                  <c:v>1.6</c:v>
                </c:pt>
                <c:pt idx="3">
                  <c:v>1.5</c:v>
                </c:pt>
                <c:pt idx="4">
                  <c:v>1.3</c:v>
                </c:pt>
                <c:pt idx="5">
                  <c:v>1.2</c:v>
                </c:pt>
                <c:pt idx="6">
                  <c:v>1.2</c:v>
                </c:pt>
                <c:pt idx="7" formatCode="General">
                  <c:v>1.1000000000000001</c:v>
                </c:pt>
              </c:numCache>
            </c:numRef>
          </c:val>
          <c:smooth val="0"/>
          <c:extLst>
            <c:ext xmlns:c16="http://schemas.microsoft.com/office/drawing/2014/chart" uri="{C3380CC4-5D6E-409C-BE32-E72D297353CC}">
              <c16:uniqueId val="{00000001-77FF-4C02-8A1D-1E9CACC1468C}"/>
            </c:ext>
          </c:extLst>
        </c:ser>
        <c:dLbls>
          <c:dLblPos val="t"/>
          <c:showLegendKey val="0"/>
          <c:showVal val="1"/>
          <c:showCatName val="0"/>
          <c:showSerName val="0"/>
          <c:showPercent val="0"/>
          <c:showBubbleSize val="0"/>
        </c:dLbls>
        <c:marker val="1"/>
        <c:smooth val="0"/>
        <c:axId val="533245048"/>
        <c:axId val="533256024"/>
      </c:lineChart>
      <c:catAx>
        <c:axId val="533245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56024"/>
        <c:crosses val="autoZero"/>
        <c:auto val="1"/>
        <c:lblAlgn val="ctr"/>
        <c:lblOffset val="100"/>
        <c:noMultiLvlLbl val="0"/>
      </c:catAx>
      <c:valAx>
        <c:axId val="533256024"/>
        <c:scaling>
          <c:orientation val="minMax"/>
        </c:scaling>
        <c:delete val="1"/>
        <c:axPos val="l"/>
        <c:numFmt formatCode="0.0" sourceLinked="1"/>
        <c:majorTickMark val="none"/>
        <c:minorTickMark val="none"/>
        <c:tickLblPos val="nextTo"/>
        <c:crossAx val="533245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2014</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Municipiul București</c:v>
                </c:pt>
                <c:pt idx="1">
                  <c:v>Cluj</c:v>
                </c:pt>
                <c:pt idx="2">
                  <c:v>Timiș</c:v>
                </c:pt>
                <c:pt idx="3">
                  <c:v>Iași</c:v>
                </c:pt>
                <c:pt idx="4">
                  <c:v>România</c:v>
                </c:pt>
                <c:pt idx="5">
                  <c:v>Brașov</c:v>
                </c:pt>
                <c:pt idx="6">
                  <c:v>Prahova</c:v>
                </c:pt>
                <c:pt idx="7">
                  <c:v>Dolj</c:v>
                </c:pt>
                <c:pt idx="8">
                  <c:v>Constanța</c:v>
                </c:pt>
              </c:strCache>
            </c:strRef>
          </c:cat>
          <c:val>
            <c:numRef>
              <c:f>Sheet1!$B$2:$B$10</c:f>
              <c:numCache>
                <c:formatCode>General</c:formatCode>
                <c:ptCount val="9"/>
                <c:pt idx="0">
                  <c:v>2441</c:v>
                </c:pt>
                <c:pt idx="1">
                  <c:v>1857</c:v>
                </c:pt>
                <c:pt idx="2">
                  <c:v>1836</c:v>
                </c:pt>
                <c:pt idx="3">
                  <c:v>1649</c:v>
                </c:pt>
                <c:pt idx="4">
                  <c:v>1697</c:v>
                </c:pt>
                <c:pt idx="5">
                  <c:v>1604</c:v>
                </c:pt>
                <c:pt idx="6">
                  <c:v>1687</c:v>
                </c:pt>
                <c:pt idx="7">
                  <c:v>1541</c:v>
                </c:pt>
                <c:pt idx="8">
                  <c:v>1571</c:v>
                </c:pt>
              </c:numCache>
            </c:numRef>
          </c:val>
          <c:extLst>
            <c:ext xmlns:c16="http://schemas.microsoft.com/office/drawing/2014/chart" uri="{C3380CC4-5D6E-409C-BE32-E72D297353CC}">
              <c16:uniqueId val="{00000000-F280-497E-A35F-36AC94552252}"/>
            </c:ext>
          </c:extLst>
        </c:ser>
        <c:ser>
          <c:idx val="1"/>
          <c:order val="1"/>
          <c:tx>
            <c:strRef>
              <c:f>Sheet1!$C$1</c:f>
              <c:strCache>
                <c:ptCount val="1"/>
                <c:pt idx="0">
                  <c:v>2020</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Municipiul București</c:v>
                </c:pt>
                <c:pt idx="1">
                  <c:v>Cluj</c:v>
                </c:pt>
                <c:pt idx="2">
                  <c:v>Timiș</c:v>
                </c:pt>
                <c:pt idx="3">
                  <c:v>Iași</c:v>
                </c:pt>
                <c:pt idx="4">
                  <c:v>România</c:v>
                </c:pt>
                <c:pt idx="5">
                  <c:v>Brașov</c:v>
                </c:pt>
                <c:pt idx="6">
                  <c:v>Prahova</c:v>
                </c:pt>
                <c:pt idx="7">
                  <c:v>Dolj</c:v>
                </c:pt>
                <c:pt idx="8">
                  <c:v>Constanța</c:v>
                </c:pt>
              </c:strCache>
            </c:strRef>
          </c:cat>
          <c:val>
            <c:numRef>
              <c:f>Sheet1!$C$2:$C$10</c:f>
              <c:numCache>
                <c:formatCode>General</c:formatCode>
                <c:ptCount val="9"/>
                <c:pt idx="0">
                  <c:v>4408</c:v>
                </c:pt>
                <c:pt idx="1">
                  <c:v>3744</c:v>
                </c:pt>
                <c:pt idx="2">
                  <c:v>3536</c:v>
                </c:pt>
                <c:pt idx="3">
                  <c:v>3327</c:v>
                </c:pt>
                <c:pt idx="4">
                  <c:v>3217</c:v>
                </c:pt>
                <c:pt idx="5">
                  <c:v>3111</c:v>
                </c:pt>
                <c:pt idx="6">
                  <c:v>3021</c:v>
                </c:pt>
                <c:pt idx="7">
                  <c:v>2967</c:v>
                </c:pt>
                <c:pt idx="8">
                  <c:v>2918</c:v>
                </c:pt>
              </c:numCache>
            </c:numRef>
          </c:val>
          <c:extLst>
            <c:ext xmlns:c16="http://schemas.microsoft.com/office/drawing/2014/chart" uri="{C3380CC4-5D6E-409C-BE32-E72D297353CC}">
              <c16:uniqueId val="{00000001-F280-497E-A35F-36AC94552252}"/>
            </c:ext>
          </c:extLst>
        </c:ser>
        <c:dLbls>
          <c:dLblPos val="outEnd"/>
          <c:showLegendKey val="0"/>
          <c:showVal val="1"/>
          <c:showCatName val="0"/>
          <c:showSerName val="0"/>
          <c:showPercent val="0"/>
          <c:showBubbleSize val="0"/>
        </c:dLbls>
        <c:gapWidth val="219"/>
        <c:overlap val="-27"/>
        <c:axId val="533247400"/>
        <c:axId val="533247792"/>
      </c:barChart>
      <c:catAx>
        <c:axId val="533247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47792"/>
        <c:crosses val="autoZero"/>
        <c:auto val="1"/>
        <c:lblAlgn val="ctr"/>
        <c:lblOffset val="100"/>
        <c:noMultiLvlLbl val="0"/>
      </c:catAx>
      <c:valAx>
        <c:axId val="533247792"/>
        <c:scaling>
          <c:orientation val="minMax"/>
        </c:scaling>
        <c:delete val="1"/>
        <c:axPos val="l"/>
        <c:numFmt formatCode="General" sourceLinked="1"/>
        <c:majorTickMark val="none"/>
        <c:minorTickMark val="none"/>
        <c:tickLblPos val="nextTo"/>
        <c:crossAx val="533247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'Question 13'!$B$35</c:f>
              <c:strCache>
                <c:ptCount val="1"/>
                <c:pt idx="0">
                  <c:v>Foarte nemulțumitor</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13'!$B$36:$B$39</c:f>
              <c:numCache>
                <c:formatCode>0.0%</c:formatCode>
                <c:ptCount val="4"/>
                <c:pt idx="0">
                  <c:v>0.1429</c:v>
                </c:pt>
                <c:pt idx="1">
                  <c:v>0.12859999999999999</c:v>
                </c:pt>
                <c:pt idx="2">
                  <c:v>0.15709999999999999</c:v>
                </c:pt>
                <c:pt idx="3">
                  <c:v>8.5699999999999998E-2</c:v>
                </c:pt>
              </c:numCache>
            </c:numRef>
          </c:val>
          <c:extLst>
            <c:ext xmlns:c16="http://schemas.microsoft.com/office/drawing/2014/chart" uri="{C3380CC4-5D6E-409C-BE32-E72D297353CC}">
              <c16:uniqueId val="{00000000-B5C0-4885-9765-41BFF8B3141D}"/>
            </c:ext>
          </c:extLst>
        </c:ser>
        <c:ser>
          <c:idx val="1"/>
          <c:order val="1"/>
          <c:tx>
            <c:strRef>
              <c:f>'Question 13'!$C$35</c:f>
              <c:strCache>
                <c:ptCount val="1"/>
                <c:pt idx="0">
                  <c:v>Nemulțumitor</c:v>
                </c:pt>
              </c:strCache>
            </c:strRef>
          </c:tx>
          <c:invertIfNegative val="0"/>
          <c:dLbls>
            <c:spPr>
              <a:noFill/>
              <a:ln>
                <a:noFill/>
              </a:ln>
              <a:effectLst/>
            </c:spPr>
            <c:txPr>
              <a:bodyPr/>
              <a:lstStyle/>
              <a:p>
                <a:pPr>
                  <a:defRPr>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13'!$C$36:$C$39</c:f>
              <c:numCache>
                <c:formatCode>0.0%</c:formatCode>
                <c:ptCount val="4"/>
                <c:pt idx="0">
                  <c:v>0.1857</c:v>
                </c:pt>
                <c:pt idx="1">
                  <c:v>0.2</c:v>
                </c:pt>
                <c:pt idx="2">
                  <c:v>0.1857</c:v>
                </c:pt>
                <c:pt idx="3">
                  <c:v>0.12859999999999999</c:v>
                </c:pt>
              </c:numCache>
            </c:numRef>
          </c:val>
          <c:extLst>
            <c:ext xmlns:c16="http://schemas.microsoft.com/office/drawing/2014/chart" uri="{C3380CC4-5D6E-409C-BE32-E72D297353CC}">
              <c16:uniqueId val="{00000001-B5C0-4885-9765-41BFF8B3141D}"/>
            </c:ext>
          </c:extLst>
        </c:ser>
        <c:ser>
          <c:idx val="2"/>
          <c:order val="2"/>
          <c:tx>
            <c:strRef>
              <c:f>'Question 13'!$D$35</c:f>
              <c:strCache>
                <c:ptCount val="1"/>
                <c:pt idx="0">
                  <c:v>Neutru</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13'!$D$36:$D$39</c:f>
              <c:numCache>
                <c:formatCode>0.0%</c:formatCode>
                <c:ptCount val="4"/>
                <c:pt idx="0">
                  <c:v>0.27139999999999997</c:v>
                </c:pt>
                <c:pt idx="1">
                  <c:v>0.28570000000000001</c:v>
                </c:pt>
                <c:pt idx="2">
                  <c:v>0.4</c:v>
                </c:pt>
                <c:pt idx="3">
                  <c:v>0.37140000000000001</c:v>
                </c:pt>
              </c:numCache>
            </c:numRef>
          </c:val>
          <c:extLst>
            <c:ext xmlns:c16="http://schemas.microsoft.com/office/drawing/2014/chart" uri="{C3380CC4-5D6E-409C-BE32-E72D297353CC}">
              <c16:uniqueId val="{00000002-B5C0-4885-9765-41BFF8B3141D}"/>
            </c:ext>
          </c:extLst>
        </c:ser>
        <c:ser>
          <c:idx val="3"/>
          <c:order val="3"/>
          <c:tx>
            <c:strRef>
              <c:f>'Question 13'!$E$35</c:f>
              <c:strCache>
                <c:ptCount val="1"/>
                <c:pt idx="0">
                  <c:v>Mulțumitor</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13'!$E$36:$E$39</c:f>
              <c:numCache>
                <c:formatCode>0.0%</c:formatCode>
                <c:ptCount val="4"/>
                <c:pt idx="0">
                  <c:v>0.3</c:v>
                </c:pt>
                <c:pt idx="1">
                  <c:v>0.28570000000000001</c:v>
                </c:pt>
                <c:pt idx="2">
                  <c:v>0.1857</c:v>
                </c:pt>
                <c:pt idx="3">
                  <c:v>0.31430000000000002</c:v>
                </c:pt>
              </c:numCache>
            </c:numRef>
          </c:val>
          <c:extLst>
            <c:ext xmlns:c16="http://schemas.microsoft.com/office/drawing/2014/chart" uri="{C3380CC4-5D6E-409C-BE32-E72D297353CC}">
              <c16:uniqueId val="{00000003-B5C0-4885-9765-41BFF8B3141D}"/>
            </c:ext>
          </c:extLst>
        </c:ser>
        <c:ser>
          <c:idx val="4"/>
          <c:order val="4"/>
          <c:tx>
            <c:strRef>
              <c:f>'Question 13'!$F$35</c:f>
              <c:strCache>
                <c:ptCount val="1"/>
                <c:pt idx="0">
                  <c:v>Foarte mulțumitor</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13'!$A$36:$A$39</c:f>
              <c:strCache>
                <c:ptCount val="4"/>
                <c:pt idx="0">
                  <c:v>Nivelul de pregătire/competență al forței de muncă locală</c:v>
                </c:pt>
                <c:pt idx="1">
                  <c:v>Corelarea calificărilor disponibile cu necesitățile companiei</c:v>
                </c:pt>
                <c:pt idx="2">
                  <c:v>Numărul de candidați la care compania are acces</c:v>
                </c:pt>
                <c:pt idx="3">
                  <c:v>Păstrarea angajaților</c:v>
                </c:pt>
              </c:strCache>
            </c:strRef>
          </c:cat>
          <c:val>
            <c:numRef>
              <c:f>'Question 13'!$F$36:$F$39</c:f>
              <c:numCache>
                <c:formatCode>0.0%</c:formatCode>
                <c:ptCount val="4"/>
                <c:pt idx="0">
                  <c:v>0.1</c:v>
                </c:pt>
                <c:pt idx="1">
                  <c:v>0.1</c:v>
                </c:pt>
                <c:pt idx="2">
                  <c:v>7.1399999999999991E-2</c:v>
                </c:pt>
                <c:pt idx="3">
                  <c:v>0.1</c:v>
                </c:pt>
              </c:numCache>
            </c:numRef>
          </c:val>
          <c:extLst>
            <c:ext xmlns:c16="http://schemas.microsoft.com/office/drawing/2014/chart" uri="{C3380CC4-5D6E-409C-BE32-E72D297353CC}">
              <c16:uniqueId val="{00000004-B5C0-4885-9765-41BFF8B3141D}"/>
            </c:ext>
          </c:extLst>
        </c:ser>
        <c:dLbls>
          <c:dLblPos val="inEnd"/>
          <c:showLegendKey val="0"/>
          <c:showVal val="1"/>
          <c:showCatName val="0"/>
          <c:showSerName val="0"/>
          <c:showPercent val="0"/>
          <c:showBubbleSize val="0"/>
        </c:dLbls>
        <c:gapWidth val="150"/>
        <c:overlap val="100"/>
        <c:axId val="240415744"/>
        <c:axId val="240082240"/>
      </c:barChart>
      <c:catAx>
        <c:axId val="240415744"/>
        <c:scaling>
          <c:orientation val="minMax"/>
        </c:scaling>
        <c:delete val="0"/>
        <c:axPos val="l"/>
        <c:numFmt formatCode="General" sourceLinked="0"/>
        <c:majorTickMark val="none"/>
        <c:minorTickMark val="none"/>
        <c:tickLblPos val="nextTo"/>
        <c:crossAx val="240082240"/>
        <c:crosses val="autoZero"/>
        <c:auto val="1"/>
        <c:lblAlgn val="ctr"/>
        <c:lblOffset val="100"/>
        <c:noMultiLvlLbl val="0"/>
      </c:catAx>
      <c:valAx>
        <c:axId val="240082240"/>
        <c:scaling>
          <c:orientation val="minMax"/>
        </c:scaling>
        <c:delete val="1"/>
        <c:axPos val="b"/>
        <c:numFmt formatCode="0%" sourceLinked="1"/>
        <c:majorTickMark val="out"/>
        <c:minorTickMark val="none"/>
        <c:tickLblPos val="nextTo"/>
        <c:crossAx val="24041574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C4B-4EA0-8638-DC1DB2029F2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C4B-4EA0-8638-DC1DB2029F2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C4B-4EA0-8638-DC1DB2029F2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C4B-4EA0-8638-DC1DB2029F2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C4B-4EA0-8638-DC1DB2029F2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C4B-4EA0-8638-DC1DB2029F2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C4B-4EA0-8638-DC1DB2029F2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C4B-4EA0-8638-DC1DB2029F25}"/>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C4B-4EA0-8638-DC1DB2029F25}"/>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C4B-4EA0-8638-DC1DB2029F25}"/>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C4B-4EA0-8638-DC1DB2029F25}"/>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FC4B-4EA0-8638-DC1DB2029F25}"/>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FC4B-4EA0-8638-DC1DB2029F25}"/>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FC4B-4EA0-8638-DC1DB2029F25}"/>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FC4B-4EA0-8638-DC1DB2029F25}"/>
              </c:ext>
            </c:extLst>
          </c:dPt>
          <c:dLbls>
            <c:dLbl>
              <c:idx val="10"/>
              <c:delete val="1"/>
              <c:extLst>
                <c:ext xmlns:c15="http://schemas.microsoft.com/office/drawing/2012/chart" uri="{CE6537A1-D6FC-4f65-9D91-7224C49458BB}"/>
                <c:ext xmlns:c16="http://schemas.microsoft.com/office/drawing/2014/chart" uri="{C3380CC4-5D6E-409C-BE32-E72D297353CC}">
                  <c16:uniqueId val="{00000015-FC4B-4EA0-8638-DC1DB2029F25}"/>
                </c:ext>
              </c:extLst>
            </c:dLbl>
            <c:dLbl>
              <c:idx val="11"/>
              <c:delete val="1"/>
              <c:extLst>
                <c:ext xmlns:c15="http://schemas.microsoft.com/office/drawing/2012/chart" uri="{CE6537A1-D6FC-4f65-9D91-7224C49458BB}"/>
                <c:ext xmlns:c16="http://schemas.microsoft.com/office/drawing/2014/chart" uri="{C3380CC4-5D6E-409C-BE32-E72D297353CC}">
                  <c16:uniqueId val="{00000017-FC4B-4EA0-8638-DC1DB2029F25}"/>
                </c:ext>
              </c:extLst>
            </c:dLbl>
            <c:dLbl>
              <c:idx val="12"/>
              <c:delete val="1"/>
              <c:extLst>
                <c:ext xmlns:c15="http://schemas.microsoft.com/office/drawing/2012/chart" uri="{CE6537A1-D6FC-4f65-9D91-7224C49458BB}"/>
                <c:ext xmlns:c16="http://schemas.microsoft.com/office/drawing/2014/chart" uri="{C3380CC4-5D6E-409C-BE32-E72D297353CC}">
                  <c16:uniqueId val="{00000019-FC4B-4EA0-8638-DC1DB2029F25}"/>
                </c:ext>
              </c:extLst>
            </c:dLbl>
            <c:dLbl>
              <c:idx val="13"/>
              <c:delete val="1"/>
              <c:extLst>
                <c:ext xmlns:c15="http://schemas.microsoft.com/office/drawing/2012/chart" uri="{CE6537A1-D6FC-4f65-9D91-7224C49458BB}"/>
                <c:ext xmlns:c16="http://schemas.microsoft.com/office/drawing/2014/chart" uri="{C3380CC4-5D6E-409C-BE32-E72D297353CC}">
                  <c16:uniqueId val="{0000001B-FC4B-4EA0-8638-DC1DB2029F25}"/>
                </c:ext>
              </c:extLst>
            </c:dLbl>
            <c:dLbl>
              <c:idx val="14"/>
              <c:delete val="1"/>
              <c:extLst>
                <c:ext xmlns:c15="http://schemas.microsoft.com/office/drawing/2012/chart" uri="{CE6537A1-D6FC-4f65-9D91-7224C49458BB}"/>
                <c:ext xmlns:c16="http://schemas.microsoft.com/office/drawing/2014/chart" uri="{C3380CC4-5D6E-409C-BE32-E72D297353CC}">
                  <c16:uniqueId val="{0000001D-FC4B-4EA0-8638-DC1DB2029F2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Sheet1!$A$2:$A$16</c:f>
              <c:strCache>
                <c:ptCount val="15"/>
                <c:pt idx="0">
                  <c:v>Comerț </c:v>
                </c:pt>
                <c:pt idx="1">
                  <c:v>Informații și comunicații</c:v>
                </c:pt>
                <c:pt idx="2">
                  <c:v>Intermedieri financiare și asigurări</c:v>
                </c:pt>
                <c:pt idx="3">
                  <c:v>Construcții</c:v>
                </c:pt>
                <c:pt idx="4">
                  <c:v>Industria prelucrătoare</c:v>
                </c:pt>
                <c:pt idx="5">
                  <c:v>Activități profesionale, științifice și tehnice</c:v>
                </c:pt>
                <c:pt idx="6">
                  <c:v>Transport și depozitare</c:v>
                </c:pt>
                <c:pt idx="7">
                  <c:v>Activități de servicii administrative și suport</c:v>
                </c:pt>
                <c:pt idx="8">
                  <c:v>Agricultură, silvicultură și pescuit</c:v>
                </c:pt>
                <c:pt idx="9">
                  <c:v>Producția și furnizarea de energie electrică și termică, gaze, apă caldă și aer condiționat</c:v>
                </c:pt>
                <c:pt idx="10">
                  <c:v>Tranzacții imobiliare</c:v>
                </c:pt>
                <c:pt idx="11">
                  <c:v>Distribuția apei; salubritate, gestionarea deșeurilor, activități de decontaminare</c:v>
                </c:pt>
                <c:pt idx="12">
                  <c:v>Sănătate și asistență socială</c:v>
                </c:pt>
                <c:pt idx="13">
                  <c:v>Horeca</c:v>
                </c:pt>
                <c:pt idx="14">
                  <c:v>Alte ramuri economice</c:v>
                </c:pt>
              </c:strCache>
            </c:strRef>
          </c:cat>
          <c:val>
            <c:numRef>
              <c:f>Sheet1!$B$2:$B$16</c:f>
              <c:numCache>
                <c:formatCode>General</c:formatCode>
                <c:ptCount val="15"/>
                <c:pt idx="0">
                  <c:v>75888.990000000005</c:v>
                </c:pt>
                <c:pt idx="1">
                  <c:v>13692.47</c:v>
                </c:pt>
                <c:pt idx="2">
                  <c:v>12844.45</c:v>
                </c:pt>
                <c:pt idx="3">
                  <c:v>8482.49</c:v>
                </c:pt>
                <c:pt idx="4">
                  <c:v>8156.88</c:v>
                </c:pt>
                <c:pt idx="5">
                  <c:v>7071.54</c:v>
                </c:pt>
                <c:pt idx="6">
                  <c:v>4913.91</c:v>
                </c:pt>
                <c:pt idx="7">
                  <c:v>4790.1099999999997</c:v>
                </c:pt>
                <c:pt idx="8">
                  <c:v>2029.88</c:v>
                </c:pt>
                <c:pt idx="9">
                  <c:v>1689.914221</c:v>
                </c:pt>
                <c:pt idx="10">
                  <c:v>1563.623106</c:v>
                </c:pt>
                <c:pt idx="11">
                  <c:v>1259.18</c:v>
                </c:pt>
                <c:pt idx="12">
                  <c:v>1071.1099999999999</c:v>
                </c:pt>
                <c:pt idx="13">
                  <c:v>725.17</c:v>
                </c:pt>
                <c:pt idx="14">
                  <c:v>743.2</c:v>
                </c:pt>
              </c:numCache>
            </c:numRef>
          </c:val>
          <c:extLst>
            <c:ext xmlns:c16="http://schemas.microsoft.com/office/drawing/2014/chart" uri="{C3380CC4-5D6E-409C-BE32-E72D297353CC}">
              <c16:uniqueId val="{0000001E-FC4B-4EA0-8638-DC1DB2029F25}"/>
            </c:ext>
          </c:extLst>
        </c:ser>
        <c:dLbls>
          <c:showLegendKey val="0"/>
          <c:showVal val="0"/>
          <c:showCatName val="0"/>
          <c:showSerName val="0"/>
          <c:showPercent val="0"/>
          <c:showBubbleSize val="0"/>
          <c:showLeaderLines val="1"/>
        </c:dLbls>
        <c:firstSliceAng val="0"/>
      </c:pieChart>
      <c:spPr>
        <a:noFill/>
        <a:ln>
          <a:noFill/>
        </a:ln>
        <a:effectLst/>
      </c:spPr>
    </c:plotArea>
    <c:legend>
      <c:legendPos val="l"/>
      <c:layout>
        <c:manualLayout>
          <c:xMode val="edge"/>
          <c:yMode val="edge"/>
          <c:x val="1.5974440894568689E-2"/>
          <c:y val="1.7939728336877597E-2"/>
          <c:w val="0.31354242660561998"/>
          <c:h val="0.982060157666792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E68-4BE3-A42E-EF98998258B0}"/>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6E68-4BE3-A42E-EF98998258B0}"/>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6E68-4BE3-A42E-EF98998258B0}"/>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6E68-4BE3-A42E-EF98998258B0}"/>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6E68-4BE3-A42E-EF98998258B0}"/>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6E68-4BE3-A42E-EF98998258B0}"/>
              </c:ext>
            </c:extLst>
          </c:dPt>
          <c:dPt>
            <c:idx val="6"/>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0D-6E68-4BE3-A42E-EF98998258B0}"/>
              </c:ext>
            </c:extLst>
          </c:dPt>
          <c:dPt>
            <c:idx val="7"/>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0F-6E68-4BE3-A42E-EF98998258B0}"/>
              </c:ext>
            </c:extLst>
          </c:dPt>
          <c:dPt>
            <c:idx val="8"/>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11-6E68-4BE3-A42E-EF98998258B0}"/>
              </c:ext>
            </c:extLst>
          </c:dPt>
          <c:dPt>
            <c:idx val="9"/>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13-6E68-4BE3-A42E-EF98998258B0}"/>
              </c:ext>
            </c:extLst>
          </c:dPt>
          <c:dPt>
            <c:idx val="1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15-6E68-4BE3-A42E-EF98998258B0}"/>
              </c:ext>
            </c:extLst>
          </c:dPt>
          <c:dPt>
            <c:idx val="11"/>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17-6E68-4BE3-A42E-EF98998258B0}"/>
              </c:ext>
            </c:extLst>
          </c:dPt>
          <c:dPt>
            <c:idx val="12"/>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19-6E68-4BE3-A42E-EF98998258B0}"/>
              </c:ext>
            </c:extLst>
          </c:dPt>
          <c:dPt>
            <c:idx val="13"/>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1B-6E68-4BE3-A42E-EF98998258B0}"/>
              </c:ext>
            </c:extLst>
          </c:dPt>
          <c:dLbls>
            <c:dLbl>
              <c:idx val="1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15-6E68-4BE3-A42E-EF98998258B0}"/>
                </c:ext>
              </c:extLst>
            </c:dLbl>
            <c:dLbl>
              <c:idx val="1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17-6E68-4BE3-A42E-EF98998258B0}"/>
                </c:ext>
              </c:extLst>
            </c:dLbl>
            <c:dLbl>
              <c:idx val="1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19-6E68-4BE3-A42E-EF98998258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Sheet1!$A$2:$A$15</c:f>
              <c:strCache>
                <c:ptCount val="14"/>
                <c:pt idx="0">
                  <c:v>Comerț cu ridicata și cu amănuntul; </c:v>
                </c:pt>
                <c:pt idx="1">
                  <c:v>Transport și depozitare</c:v>
                </c:pt>
                <c:pt idx="2">
                  <c:v>Informații și comunicații</c:v>
                </c:pt>
                <c:pt idx="3">
                  <c:v>Activități de servicii administrative și activități de servicii suport</c:v>
                </c:pt>
                <c:pt idx="4">
                  <c:v>Activități profesionale, științifice și tehnice</c:v>
                </c:pt>
                <c:pt idx="5">
                  <c:v>Industria prelucrătoare</c:v>
                </c:pt>
                <c:pt idx="6">
                  <c:v>Agricultură, silvicultură și pescuit</c:v>
                </c:pt>
                <c:pt idx="7">
                  <c:v>Construcții</c:v>
                </c:pt>
                <c:pt idx="8">
                  <c:v>Intermedieri financiare și asigurări</c:v>
                </c:pt>
                <c:pt idx="9">
                  <c:v>Hoteluri și restaurante</c:v>
                </c:pt>
                <c:pt idx="10">
                  <c:v>Sănătate și asistență socială</c:v>
                </c:pt>
                <c:pt idx="11">
                  <c:v>Distribuția apei; salubritate, gestionarea deșeurilor, activități de decontaminare</c:v>
                </c:pt>
                <c:pt idx="12">
                  <c:v>Tranzacții imobiliare</c:v>
                </c:pt>
                <c:pt idx="13">
                  <c:v>Alte activități de servicii</c:v>
                </c:pt>
              </c:strCache>
            </c:strRef>
          </c:cat>
          <c:val>
            <c:numRef>
              <c:f>Sheet1!$B$2:$B$15</c:f>
              <c:numCache>
                <c:formatCode>General</c:formatCode>
                <c:ptCount val="14"/>
                <c:pt idx="0">
                  <c:v>65482</c:v>
                </c:pt>
                <c:pt idx="1">
                  <c:v>32158</c:v>
                </c:pt>
                <c:pt idx="2">
                  <c:v>31985</c:v>
                </c:pt>
                <c:pt idx="3">
                  <c:v>28283</c:v>
                </c:pt>
                <c:pt idx="4">
                  <c:v>18778</c:v>
                </c:pt>
                <c:pt idx="5">
                  <c:v>17005</c:v>
                </c:pt>
                <c:pt idx="6">
                  <c:v>16329</c:v>
                </c:pt>
                <c:pt idx="7">
                  <c:v>15989</c:v>
                </c:pt>
                <c:pt idx="8">
                  <c:v>7402</c:v>
                </c:pt>
                <c:pt idx="9">
                  <c:v>6237</c:v>
                </c:pt>
                <c:pt idx="10">
                  <c:v>4498</c:v>
                </c:pt>
                <c:pt idx="11">
                  <c:v>4087</c:v>
                </c:pt>
                <c:pt idx="12">
                  <c:v>2481</c:v>
                </c:pt>
                <c:pt idx="13">
                  <c:v>5453</c:v>
                </c:pt>
              </c:numCache>
            </c:numRef>
          </c:val>
          <c:extLst>
            <c:ext xmlns:c16="http://schemas.microsoft.com/office/drawing/2014/chart" uri="{C3380CC4-5D6E-409C-BE32-E72D297353CC}">
              <c16:uniqueId val="{0000001C-6E68-4BE3-A42E-EF98998258B0}"/>
            </c:ext>
          </c:extLst>
        </c:ser>
        <c:dLbls>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1.2515644555694618E-2"/>
          <c:y val="1.7730417995271249E-2"/>
          <c:w val="0.33959115561118064"/>
          <c:h val="0.948010238389622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Importuri</c:v>
                </c:pt>
              </c:strCache>
            </c:strRef>
          </c:tx>
          <c:spPr>
            <a:solidFill>
              <a:schemeClr val="accent1"/>
            </a:solidFill>
            <a:ln>
              <a:noFill/>
            </a:ln>
            <a:effectLst/>
          </c:spPr>
          <c:invertIfNegative val="0"/>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Sheet1!$B$2:$B$8</c:f>
              <c:numCache>
                <c:formatCode>General</c:formatCode>
                <c:ptCount val="7"/>
                <c:pt idx="0">
                  <c:v>19112.826000000001</c:v>
                </c:pt>
                <c:pt idx="1">
                  <c:v>20596.526999999998</c:v>
                </c:pt>
                <c:pt idx="2">
                  <c:v>22603.288</c:v>
                </c:pt>
                <c:pt idx="3">
                  <c:v>24526.707999999999</c:v>
                </c:pt>
                <c:pt idx="4">
                  <c:v>26810.562999999998</c:v>
                </c:pt>
                <c:pt idx="5">
                  <c:v>26103.956999999999</c:v>
                </c:pt>
                <c:pt idx="6">
                  <c:v>31121.776999999998</c:v>
                </c:pt>
              </c:numCache>
            </c:numRef>
          </c:val>
          <c:extLst>
            <c:ext xmlns:c16="http://schemas.microsoft.com/office/drawing/2014/chart" uri="{C3380CC4-5D6E-409C-BE32-E72D297353CC}">
              <c16:uniqueId val="{00000000-C727-49C1-82F3-34029724720A}"/>
            </c:ext>
          </c:extLst>
        </c:ser>
        <c:ser>
          <c:idx val="1"/>
          <c:order val="1"/>
          <c:tx>
            <c:strRef>
              <c:f>Sheet1!$C$1</c:f>
              <c:strCache>
                <c:ptCount val="1"/>
                <c:pt idx="0">
                  <c:v>Exporturi</c:v>
                </c:pt>
              </c:strCache>
            </c:strRef>
          </c:tx>
          <c:spPr>
            <a:solidFill>
              <a:schemeClr val="accent3"/>
            </a:solidFill>
            <a:ln>
              <a:noFill/>
            </a:ln>
            <a:effectLst/>
          </c:spPr>
          <c:invertIfNegative val="0"/>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Sheet1!$C$2:$C$8</c:f>
              <c:numCache>
                <c:formatCode>General</c:formatCode>
                <c:ptCount val="7"/>
                <c:pt idx="0">
                  <c:v>9438.6880000000001</c:v>
                </c:pt>
                <c:pt idx="1">
                  <c:v>9739.0930000000008</c:v>
                </c:pt>
                <c:pt idx="2">
                  <c:v>10661.828</c:v>
                </c:pt>
                <c:pt idx="3">
                  <c:v>11221.933999999999</c:v>
                </c:pt>
                <c:pt idx="4">
                  <c:v>12104.457</c:v>
                </c:pt>
                <c:pt idx="5">
                  <c:v>10833.311</c:v>
                </c:pt>
                <c:pt idx="6">
                  <c:v>13634.151</c:v>
                </c:pt>
              </c:numCache>
            </c:numRef>
          </c:val>
          <c:extLst>
            <c:ext xmlns:c16="http://schemas.microsoft.com/office/drawing/2014/chart" uri="{C3380CC4-5D6E-409C-BE32-E72D297353CC}">
              <c16:uniqueId val="{00000001-C727-49C1-82F3-34029724720A}"/>
            </c:ext>
          </c:extLst>
        </c:ser>
        <c:ser>
          <c:idx val="2"/>
          <c:order val="2"/>
          <c:tx>
            <c:strRef>
              <c:f>Sheet1!$D$1</c:f>
              <c:strCache>
                <c:ptCount val="1"/>
                <c:pt idx="0">
                  <c:v>Balanța comercială</c:v>
                </c:pt>
              </c:strCache>
            </c:strRef>
          </c:tx>
          <c:spPr>
            <a:solidFill>
              <a:schemeClr val="accent5"/>
            </a:solidFill>
            <a:ln>
              <a:noFill/>
            </a:ln>
            <a:effectLst/>
          </c:spPr>
          <c:invertIfNegative val="0"/>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Sheet1!$D$2:$D$8</c:f>
              <c:numCache>
                <c:formatCode>General</c:formatCode>
                <c:ptCount val="7"/>
                <c:pt idx="0">
                  <c:v>-9674.1380000000008</c:v>
                </c:pt>
                <c:pt idx="1">
                  <c:v>-10857.433999999997</c:v>
                </c:pt>
                <c:pt idx="2">
                  <c:v>-11941.460000000001</c:v>
                </c:pt>
                <c:pt idx="3">
                  <c:v>-13304.773999999999</c:v>
                </c:pt>
                <c:pt idx="4">
                  <c:v>-14706.105999999998</c:v>
                </c:pt>
                <c:pt idx="5">
                  <c:v>-15270.645999999999</c:v>
                </c:pt>
                <c:pt idx="6">
                  <c:v>-17487.625999999997</c:v>
                </c:pt>
              </c:numCache>
            </c:numRef>
          </c:val>
          <c:extLst>
            <c:ext xmlns:c16="http://schemas.microsoft.com/office/drawing/2014/chart" uri="{C3380CC4-5D6E-409C-BE32-E72D297353CC}">
              <c16:uniqueId val="{00000002-C727-49C1-82F3-34029724720A}"/>
            </c:ext>
          </c:extLst>
        </c:ser>
        <c:dLbls>
          <c:showLegendKey val="0"/>
          <c:showVal val="0"/>
          <c:showCatName val="0"/>
          <c:showSerName val="0"/>
          <c:showPercent val="0"/>
          <c:showBubbleSize val="0"/>
        </c:dLbls>
        <c:gapWidth val="219"/>
        <c:overlap val="-27"/>
        <c:axId val="533260336"/>
        <c:axId val="533258376"/>
      </c:barChart>
      <c:catAx>
        <c:axId val="5332603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58376"/>
        <c:crosses val="autoZero"/>
        <c:auto val="1"/>
        <c:lblAlgn val="ctr"/>
        <c:lblOffset val="100"/>
        <c:noMultiLvlLbl val="0"/>
      </c:catAx>
      <c:valAx>
        <c:axId val="5332583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260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Foaie1!$B$1</c:f>
              <c:strCache>
                <c:ptCount val="1"/>
                <c:pt idx="0">
                  <c:v>Cluj</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Foaie1!$A$2:$A$8</c:f>
              <c:numCache>
                <c:formatCode>General</c:formatCode>
                <c:ptCount val="7"/>
                <c:pt idx="0">
                  <c:v>2014</c:v>
                </c:pt>
                <c:pt idx="1">
                  <c:v>2015</c:v>
                </c:pt>
                <c:pt idx="2">
                  <c:v>2016</c:v>
                </c:pt>
                <c:pt idx="3">
                  <c:v>2017</c:v>
                </c:pt>
                <c:pt idx="4">
                  <c:v>2018</c:v>
                </c:pt>
                <c:pt idx="5">
                  <c:v>2019</c:v>
                </c:pt>
                <c:pt idx="6">
                  <c:v>2020</c:v>
                </c:pt>
              </c:numCache>
            </c:numRef>
          </c:cat>
          <c:val>
            <c:numRef>
              <c:f>Foaie1!$B$2:$B$8</c:f>
              <c:numCache>
                <c:formatCode>#,##0</c:formatCode>
                <c:ptCount val="7"/>
                <c:pt idx="0">
                  <c:v>170745</c:v>
                </c:pt>
                <c:pt idx="1">
                  <c:v>242145</c:v>
                </c:pt>
                <c:pt idx="2">
                  <c:v>213461</c:v>
                </c:pt>
                <c:pt idx="3">
                  <c:v>224182</c:v>
                </c:pt>
                <c:pt idx="4">
                  <c:v>237547</c:v>
                </c:pt>
                <c:pt idx="5">
                  <c:v>213464</c:v>
                </c:pt>
                <c:pt idx="6">
                  <c:v>246651</c:v>
                </c:pt>
              </c:numCache>
            </c:numRef>
          </c:val>
          <c:smooth val="0"/>
          <c:extLst>
            <c:ext xmlns:c16="http://schemas.microsoft.com/office/drawing/2014/chart" uri="{C3380CC4-5D6E-409C-BE32-E72D297353CC}">
              <c16:uniqueId val="{00000000-4ED5-4D9E-B34E-6FDBA5785F3F}"/>
            </c:ext>
          </c:extLst>
        </c:ser>
        <c:ser>
          <c:idx val="1"/>
          <c:order val="1"/>
          <c:tx>
            <c:strRef>
              <c:f>Foaie1!$C$1</c:f>
              <c:strCache>
                <c:ptCount val="1"/>
                <c:pt idx="0">
                  <c:v>Sibiu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Foaie1!$A$2:$A$8</c:f>
              <c:numCache>
                <c:formatCode>General</c:formatCode>
                <c:ptCount val="7"/>
                <c:pt idx="0">
                  <c:v>2014</c:v>
                </c:pt>
                <c:pt idx="1">
                  <c:v>2015</c:v>
                </c:pt>
                <c:pt idx="2">
                  <c:v>2016</c:v>
                </c:pt>
                <c:pt idx="3">
                  <c:v>2017</c:v>
                </c:pt>
                <c:pt idx="4">
                  <c:v>2018</c:v>
                </c:pt>
                <c:pt idx="5">
                  <c:v>2019</c:v>
                </c:pt>
                <c:pt idx="6">
                  <c:v>2020</c:v>
                </c:pt>
              </c:numCache>
            </c:numRef>
          </c:cat>
          <c:val>
            <c:numRef>
              <c:f>Foaie1!$C$2:$C$8</c:f>
              <c:numCache>
                <c:formatCode>#,##0</c:formatCode>
                <c:ptCount val="7"/>
                <c:pt idx="0">
                  <c:v>155169</c:v>
                </c:pt>
                <c:pt idx="1">
                  <c:v>203592</c:v>
                </c:pt>
                <c:pt idx="2">
                  <c:v>208610</c:v>
                </c:pt>
                <c:pt idx="3">
                  <c:v>203406</c:v>
                </c:pt>
                <c:pt idx="4">
                  <c:v>272641</c:v>
                </c:pt>
                <c:pt idx="5">
                  <c:v>273872</c:v>
                </c:pt>
                <c:pt idx="6">
                  <c:v>289117</c:v>
                </c:pt>
              </c:numCache>
            </c:numRef>
          </c:val>
          <c:smooth val="0"/>
          <c:extLst>
            <c:ext xmlns:c16="http://schemas.microsoft.com/office/drawing/2014/chart" uri="{C3380CC4-5D6E-409C-BE32-E72D297353CC}">
              <c16:uniqueId val="{00000001-4ED5-4D9E-B34E-6FDBA5785F3F}"/>
            </c:ext>
          </c:extLst>
        </c:ser>
        <c:ser>
          <c:idx val="2"/>
          <c:order val="2"/>
          <c:tx>
            <c:strRef>
              <c:f>Foaie1!$D$1</c:f>
              <c:strCache>
                <c:ptCount val="1"/>
                <c:pt idx="0">
                  <c:v>Iasi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Foaie1!$A$2:$A$8</c:f>
              <c:numCache>
                <c:formatCode>General</c:formatCode>
                <c:ptCount val="7"/>
                <c:pt idx="0">
                  <c:v>2014</c:v>
                </c:pt>
                <c:pt idx="1">
                  <c:v>2015</c:v>
                </c:pt>
                <c:pt idx="2">
                  <c:v>2016</c:v>
                </c:pt>
                <c:pt idx="3">
                  <c:v>2017</c:v>
                </c:pt>
                <c:pt idx="4">
                  <c:v>2018</c:v>
                </c:pt>
                <c:pt idx="5">
                  <c:v>2019</c:v>
                </c:pt>
                <c:pt idx="6">
                  <c:v>2020</c:v>
                </c:pt>
              </c:numCache>
            </c:numRef>
          </c:cat>
          <c:val>
            <c:numRef>
              <c:f>Foaie1!$D$2:$D$8</c:f>
              <c:numCache>
                <c:formatCode>#,##0</c:formatCode>
                <c:ptCount val="7"/>
                <c:pt idx="0">
                  <c:v>143568</c:v>
                </c:pt>
                <c:pt idx="1">
                  <c:v>226772</c:v>
                </c:pt>
                <c:pt idx="2">
                  <c:v>118464</c:v>
                </c:pt>
                <c:pt idx="3">
                  <c:v>115306</c:v>
                </c:pt>
                <c:pt idx="4">
                  <c:v>150866</c:v>
                </c:pt>
                <c:pt idx="5">
                  <c:v>282940</c:v>
                </c:pt>
                <c:pt idx="6">
                  <c:v>273694</c:v>
                </c:pt>
              </c:numCache>
            </c:numRef>
          </c:val>
          <c:smooth val="0"/>
          <c:extLst>
            <c:ext xmlns:c16="http://schemas.microsoft.com/office/drawing/2014/chart" uri="{C3380CC4-5D6E-409C-BE32-E72D297353CC}">
              <c16:uniqueId val="{00000002-4ED5-4D9E-B34E-6FDBA5785F3F}"/>
            </c:ext>
          </c:extLst>
        </c:ser>
        <c:ser>
          <c:idx val="3"/>
          <c:order val="3"/>
          <c:tx>
            <c:strRef>
              <c:f>Foaie1!$E$1</c:f>
              <c:strCache>
                <c:ptCount val="1"/>
                <c:pt idx="0">
                  <c:v>Arges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Foaie1!$A$2:$A$8</c:f>
              <c:numCache>
                <c:formatCode>General</c:formatCode>
                <c:ptCount val="7"/>
                <c:pt idx="0">
                  <c:v>2014</c:v>
                </c:pt>
                <c:pt idx="1">
                  <c:v>2015</c:v>
                </c:pt>
                <c:pt idx="2">
                  <c:v>2016</c:v>
                </c:pt>
                <c:pt idx="3">
                  <c:v>2017</c:v>
                </c:pt>
                <c:pt idx="4">
                  <c:v>2018</c:v>
                </c:pt>
                <c:pt idx="5">
                  <c:v>2019</c:v>
                </c:pt>
                <c:pt idx="6">
                  <c:v>2020</c:v>
                </c:pt>
              </c:numCache>
            </c:numRef>
          </c:cat>
          <c:val>
            <c:numRef>
              <c:f>Foaie1!$E$2:$E$8</c:f>
              <c:numCache>
                <c:formatCode>#,##0</c:formatCode>
                <c:ptCount val="7"/>
                <c:pt idx="0">
                  <c:v>242809</c:v>
                </c:pt>
                <c:pt idx="1">
                  <c:v>242932</c:v>
                </c:pt>
                <c:pt idx="2">
                  <c:v>315800</c:v>
                </c:pt>
                <c:pt idx="3">
                  <c:v>308857</c:v>
                </c:pt>
                <c:pt idx="4">
                  <c:v>322855</c:v>
                </c:pt>
                <c:pt idx="5">
                  <c:v>392650</c:v>
                </c:pt>
                <c:pt idx="6">
                  <c:v>340009</c:v>
                </c:pt>
              </c:numCache>
            </c:numRef>
          </c:val>
          <c:smooth val="0"/>
          <c:extLst>
            <c:ext xmlns:c16="http://schemas.microsoft.com/office/drawing/2014/chart" uri="{C3380CC4-5D6E-409C-BE32-E72D297353CC}">
              <c16:uniqueId val="{00000003-4ED5-4D9E-B34E-6FDBA5785F3F}"/>
            </c:ext>
          </c:extLst>
        </c:ser>
        <c:ser>
          <c:idx val="4"/>
          <c:order val="4"/>
          <c:tx>
            <c:strRef>
              <c:f>Foaie1!$F$1</c:f>
              <c:strCache>
                <c:ptCount val="1"/>
                <c:pt idx="0">
                  <c:v>Ilfov</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Foaie1!$A$2:$A$8</c:f>
              <c:numCache>
                <c:formatCode>General</c:formatCode>
                <c:ptCount val="7"/>
                <c:pt idx="0">
                  <c:v>2014</c:v>
                </c:pt>
                <c:pt idx="1">
                  <c:v>2015</c:v>
                </c:pt>
                <c:pt idx="2">
                  <c:v>2016</c:v>
                </c:pt>
                <c:pt idx="3">
                  <c:v>2017</c:v>
                </c:pt>
                <c:pt idx="4">
                  <c:v>2018</c:v>
                </c:pt>
                <c:pt idx="5">
                  <c:v>2019</c:v>
                </c:pt>
                <c:pt idx="6">
                  <c:v>2020</c:v>
                </c:pt>
              </c:numCache>
            </c:numRef>
          </c:cat>
          <c:val>
            <c:numRef>
              <c:f>Foaie1!$F$2:$F$8</c:f>
              <c:numCache>
                <c:formatCode>#,##0</c:formatCode>
                <c:ptCount val="7"/>
                <c:pt idx="0">
                  <c:v>429704</c:v>
                </c:pt>
                <c:pt idx="1">
                  <c:v>638531</c:v>
                </c:pt>
                <c:pt idx="2">
                  <c:v>931289</c:v>
                </c:pt>
                <c:pt idx="3">
                  <c:v>1451751</c:v>
                </c:pt>
                <c:pt idx="4">
                  <c:v>1685440</c:v>
                </c:pt>
                <c:pt idx="5">
                  <c:v>567159</c:v>
                </c:pt>
                <c:pt idx="6">
                  <c:v>540309</c:v>
                </c:pt>
              </c:numCache>
            </c:numRef>
          </c:val>
          <c:smooth val="0"/>
          <c:extLst>
            <c:ext xmlns:c16="http://schemas.microsoft.com/office/drawing/2014/chart" uri="{C3380CC4-5D6E-409C-BE32-E72D297353CC}">
              <c16:uniqueId val="{00000004-4ED5-4D9E-B34E-6FDBA5785F3F}"/>
            </c:ext>
          </c:extLst>
        </c:ser>
        <c:ser>
          <c:idx val="5"/>
          <c:order val="5"/>
          <c:tx>
            <c:strRef>
              <c:f>Foaie1!$G$1</c:f>
              <c:strCache>
                <c:ptCount val="1"/>
                <c:pt idx="0">
                  <c:v>Municipiul Bucuresti</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Foaie1!$A$2:$A$8</c:f>
              <c:numCache>
                <c:formatCode>General</c:formatCode>
                <c:ptCount val="7"/>
                <c:pt idx="0">
                  <c:v>2014</c:v>
                </c:pt>
                <c:pt idx="1">
                  <c:v>2015</c:v>
                </c:pt>
                <c:pt idx="2">
                  <c:v>2016</c:v>
                </c:pt>
                <c:pt idx="3">
                  <c:v>2017</c:v>
                </c:pt>
                <c:pt idx="4">
                  <c:v>2018</c:v>
                </c:pt>
                <c:pt idx="5">
                  <c:v>2019</c:v>
                </c:pt>
                <c:pt idx="6">
                  <c:v>2020</c:v>
                </c:pt>
              </c:numCache>
            </c:numRef>
          </c:cat>
          <c:val>
            <c:numRef>
              <c:f>Foaie1!$G$2:$G$8</c:f>
              <c:numCache>
                <c:formatCode>#,##0</c:formatCode>
                <c:ptCount val="7"/>
                <c:pt idx="0">
                  <c:v>965060</c:v>
                </c:pt>
                <c:pt idx="1">
                  <c:v>1163087</c:v>
                </c:pt>
                <c:pt idx="2">
                  <c:v>1235963</c:v>
                </c:pt>
                <c:pt idx="3">
                  <c:v>1355729</c:v>
                </c:pt>
                <c:pt idx="4">
                  <c:v>1315642</c:v>
                </c:pt>
                <c:pt idx="5">
                  <c:v>2571159</c:v>
                </c:pt>
                <c:pt idx="6">
                  <c:v>2195630</c:v>
                </c:pt>
              </c:numCache>
            </c:numRef>
          </c:val>
          <c:smooth val="0"/>
          <c:extLst>
            <c:ext xmlns:c16="http://schemas.microsoft.com/office/drawing/2014/chart" uri="{C3380CC4-5D6E-409C-BE32-E72D297353CC}">
              <c16:uniqueId val="{00000005-4ED5-4D9E-B34E-6FDBA5785F3F}"/>
            </c:ext>
          </c:extLst>
        </c:ser>
        <c:ser>
          <c:idx val="6"/>
          <c:order val="6"/>
          <c:tx>
            <c:strRef>
              <c:f>Foaie1!$H$1</c:f>
              <c:strCache>
                <c:ptCount val="1"/>
                <c:pt idx="0">
                  <c:v>Timis</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Foaie1!$A$2:$A$8</c:f>
              <c:numCache>
                <c:formatCode>General</c:formatCode>
                <c:ptCount val="7"/>
                <c:pt idx="0">
                  <c:v>2014</c:v>
                </c:pt>
                <c:pt idx="1">
                  <c:v>2015</c:v>
                </c:pt>
                <c:pt idx="2">
                  <c:v>2016</c:v>
                </c:pt>
                <c:pt idx="3">
                  <c:v>2017</c:v>
                </c:pt>
                <c:pt idx="4">
                  <c:v>2018</c:v>
                </c:pt>
                <c:pt idx="5">
                  <c:v>2019</c:v>
                </c:pt>
                <c:pt idx="6">
                  <c:v>2020</c:v>
                </c:pt>
              </c:numCache>
            </c:numRef>
          </c:cat>
          <c:val>
            <c:numRef>
              <c:f>Foaie1!$H$2:$H$8</c:f>
              <c:numCache>
                <c:formatCode>#,##0</c:formatCode>
                <c:ptCount val="7"/>
                <c:pt idx="0">
                  <c:v>77447</c:v>
                </c:pt>
                <c:pt idx="1">
                  <c:v>250026</c:v>
                </c:pt>
                <c:pt idx="2">
                  <c:v>289936</c:v>
                </c:pt>
                <c:pt idx="3">
                  <c:v>238865</c:v>
                </c:pt>
                <c:pt idx="4">
                  <c:v>297662</c:v>
                </c:pt>
                <c:pt idx="5">
                  <c:v>302618</c:v>
                </c:pt>
                <c:pt idx="6">
                  <c:v>545220</c:v>
                </c:pt>
              </c:numCache>
            </c:numRef>
          </c:val>
          <c:smooth val="0"/>
          <c:extLst>
            <c:ext xmlns:c16="http://schemas.microsoft.com/office/drawing/2014/chart" uri="{C3380CC4-5D6E-409C-BE32-E72D297353CC}">
              <c16:uniqueId val="{00000006-4ED5-4D9E-B34E-6FDBA5785F3F}"/>
            </c:ext>
          </c:extLst>
        </c:ser>
        <c:dLbls>
          <c:showLegendKey val="0"/>
          <c:showVal val="0"/>
          <c:showCatName val="0"/>
          <c:showSerName val="0"/>
          <c:showPercent val="0"/>
          <c:showBubbleSize val="0"/>
        </c:dLbls>
        <c:marker val="1"/>
        <c:smooth val="0"/>
        <c:axId val="1059338160"/>
        <c:axId val="1059330672"/>
      </c:lineChart>
      <c:catAx>
        <c:axId val="1059338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330672"/>
        <c:crosses val="autoZero"/>
        <c:auto val="1"/>
        <c:lblAlgn val="ctr"/>
        <c:lblOffset val="100"/>
        <c:noMultiLvlLbl val="0"/>
      </c:catAx>
      <c:valAx>
        <c:axId val="10593306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338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Foaie1!$B$1</c:f>
              <c:strCache>
                <c:ptCount val="1"/>
                <c:pt idx="0">
                  <c:v>Cluj</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Foaie1!$A$2:$A$7</c:f>
              <c:strCache>
                <c:ptCount val="6"/>
                <c:pt idx="0">
                  <c:v>Anul 2014</c:v>
                </c:pt>
                <c:pt idx="1">
                  <c:v>Anul 2015</c:v>
                </c:pt>
                <c:pt idx="2">
                  <c:v>Anul 2016</c:v>
                </c:pt>
                <c:pt idx="3">
                  <c:v>Anul 2017</c:v>
                </c:pt>
                <c:pt idx="4">
                  <c:v>Anul 2018</c:v>
                </c:pt>
                <c:pt idx="5">
                  <c:v>Anul 2019</c:v>
                </c:pt>
              </c:strCache>
            </c:strRef>
          </c:cat>
          <c:val>
            <c:numRef>
              <c:f>Foaie1!$B$2:$B$7</c:f>
              <c:numCache>
                <c:formatCode>#,##0.00</c:formatCode>
                <c:ptCount val="6"/>
                <c:pt idx="0">
                  <c:v>0.57096376154918793</c:v>
                </c:pt>
                <c:pt idx="1">
                  <c:v>0.77763112258661227</c:v>
                </c:pt>
                <c:pt idx="2">
                  <c:v>0.59557270523111605</c:v>
                </c:pt>
                <c:pt idx="3">
                  <c:v>0.52071047148753513</c:v>
                </c:pt>
                <c:pt idx="4">
                  <c:v>0.50450031432115128</c:v>
                </c:pt>
                <c:pt idx="5">
                  <c:v>0.40143601046354405</c:v>
                </c:pt>
              </c:numCache>
            </c:numRef>
          </c:val>
          <c:smooth val="0"/>
          <c:extLst>
            <c:ext xmlns:c16="http://schemas.microsoft.com/office/drawing/2014/chart" uri="{C3380CC4-5D6E-409C-BE32-E72D297353CC}">
              <c16:uniqueId val="{00000000-620C-4ED0-B22C-EC336C7553AF}"/>
            </c:ext>
          </c:extLst>
        </c:ser>
        <c:ser>
          <c:idx val="1"/>
          <c:order val="1"/>
          <c:tx>
            <c:strRef>
              <c:f>Foaie1!$C$1</c:f>
              <c:strCache>
                <c:ptCount val="1"/>
                <c:pt idx="0">
                  <c:v>Sibiu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Foaie1!$A$2:$A$7</c:f>
              <c:strCache>
                <c:ptCount val="6"/>
                <c:pt idx="0">
                  <c:v>Anul 2014</c:v>
                </c:pt>
                <c:pt idx="1">
                  <c:v>Anul 2015</c:v>
                </c:pt>
                <c:pt idx="2">
                  <c:v>Anul 2016</c:v>
                </c:pt>
                <c:pt idx="3">
                  <c:v>Anul 2017</c:v>
                </c:pt>
                <c:pt idx="4">
                  <c:v>Anul 2018</c:v>
                </c:pt>
                <c:pt idx="5">
                  <c:v>Anul 2019</c:v>
                </c:pt>
              </c:strCache>
            </c:strRef>
          </c:cat>
          <c:val>
            <c:numRef>
              <c:f>Foaie1!$C$2:$C$7</c:f>
              <c:numCache>
                <c:formatCode>#,##0.00</c:formatCode>
                <c:ptCount val="6"/>
                <c:pt idx="0">
                  <c:v>1.1141675462593974</c:v>
                </c:pt>
                <c:pt idx="1">
                  <c:v>1.3132934255341109</c:v>
                </c:pt>
                <c:pt idx="2">
                  <c:v>1.1835021132953223</c:v>
                </c:pt>
                <c:pt idx="3">
                  <c:v>1.0436054118117872</c:v>
                </c:pt>
                <c:pt idx="4">
                  <c:v>1.2819125176906476</c:v>
                </c:pt>
                <c:pt idx="5">
                  <c:v>1.1561585775136041</c:v>
                </c:pt>
              </c:numCache>
            </c:numRef>
          </c:val>
          <c:smooth val="0"/>
          <c:extLst>
            <c:ext xmlns:c16="http://schemas.microsoft.com/office/drawing/2014/chart" uri="{C3380CC4-5D6E-409C-BE32-E72D297353CC}">
              <c16:uniqueId val="{00000001-620C-4ED0-B22C-EC336C7553AF}"/>
            </c:ext>
          </c:extLst>
        </c:ser>
        <c:ser>
          <c:idx val="2"/>
          <c:order val="2"/>
          <c:tx>
            <c:strRef>
              <c:f>Foaie1!$D$1</c:f>
              <c:strCache>
                <c:ptCount val="1"/>
                <c:pt idx="0">
                  <c:v>Iasi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Foaie1!$A$2:$A$7</c:f>
              <c:strCache>
                <c:ptCount val="6"/>
                <c:pt idx="0">
                  <c:v>Anul 2014</c:v>
                </c:pt>
                <c:pt idx="1">
                  <c:v>Anul 2015</c:v>
                </c:pt>
                <c:pt idx="2">
                  <c:v>Anul 2016</c:v>
                </c:pt>
                <c:pt idx="3">
                  <c:v>Anul 2017</c:v>
                </c:pt>
                <c:pt idx="4">
                  <c:v>Anul 2018</c:v>
                </c:pt>
                <c:pt idx="5">
                  <c:v>Anul 2019</c:v>
                </c:pt>
              </c:strCache>
            </c:strRef>
          </c:cat>
          <c:val>
            <c:numRef>
              <c:f>Foaie1!$D$2:$D$7</c:f>
              <c:numCache>
                <c:formatCode>#,##0.00</c:formatCode>
                <c:ptCount val="6"/>
                <c:pt idx="0">
                  <c:v>0.69071559844891128</c:v>
                </c:pt>
                <c:pt idx="1">
                  <c:v>1.040291023859002</c:v>
                </c:pt>
                <c:pt idx="2">
                  <c:v>0.50346797225622197</c:v>
                </c:pt>
                <c:pt idx="3">
                  <c:v>0.40436679385029739</c:v>
                </c:pt>
                <c:pt idx="4">
                  <c:v>0.48239608880134816</c:v>
                </c:pt>
                <c:pt idx="5">
                  <c:v>0.82642069352275904</c:v>
                </c:pt>
              </c:numCache>
            </c:numRef>
          </c:val>
          <c:smooth val="0"/>
          <c:extLst>
            <c:ext xmlns:c16="http://schemas.microsoft.com/office/drawing/2014/chart" uri="{C3380CC4-5D6E-409C-BE32-E72D297353CC}">
              <c16:uniqueId val="{00000002-620C-4ED0-B22C-EC336C7553AF}"/>
            </c:ext>
          </c:extLst>
        </c:ser>
        <c:ser>
          <c:idx val="3"/>
          <c:order val="3"/>
          <c:tx>
            <c:strRef>
              <c:f>Foaie1!$E$1</c:f>
              <c:strCache>
                <c:ptCount val="1"/>
                <c:pt idx="0">
                  <c:v>Arges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Foaie1!$A$2:$A$7</c:f>
              <c:strCache>
                <c:ptCount val="6"/>
                <c:pt idx="0">
                  <c:v>Anul 2014</c:v>
                </c:pt>
                <c:pt idx="1">
                  <c:v>Anul 2015</c:v>
                </c:pt>
                <c:pt idx="2">
                  <c:v>Anul 2016</c:v>
                </c:pt>
                <c:pt idx="3">
                  <c:v>Anul 2017</c:v>
                </c:pt>
                <c:pt idx="4">
                  <c:v>Anul 2018</c:v>
                </c:pt>
                <c:pt idx="5">
                  <c:v>Anul 2019</c:v>
                </c:pt>
              </c:strCache>
            </c:strRef>
          </c:cat>
          <c:val>
            <c:numRef>
              <c:f>Foaie1!$E$2:$E$7</c:f>
              <c:numCache>
                <c:formatCode>#,##0.00</c:formatCode>
                <c:ptCount val="6"/>
                <c:pt idx="0">
                  <c:v>1.3493511906415849</c:v>
                </c:pt>
                <c:pt idx="1">
                  <c:v>1.2713960486719873</c:v>
                </c:pt>
                <c:pt idx="2">
                  <c:v>1.5232564309108185</c:v>
                </c:pt>
                <c:pt idx="3">
                  <c:v>1.2879989657875863</c:v>
                </c:pt>
                <c:pt idx="4">
                  <c:v>1.2257352969092283</c:v>
                </c:pt>
                <c:pt idx="5">
                  <c:v>1.3656441291040624</c:v>
                </c:pt>
              </c:numCache>
            </c:numRef>
          </c:val>
          <c:smooth val="0"/>
          <c:extLst>
            <c:ext xmlns:c16="http://schemas.microsoft.com/office/drawing/2014/chart" uri="{C3380CC4-5D6E-409C-BE32-E72D297353CC}">
              <c16:uniqueId val="{00000003-620C-4ED0-B22C-EC336C7553AF}"/>
            </c:ext>
          </c:extLst>
        </c:ser>
        <c:ser>
          <c:idx val="4"/>
          <c:order val="4"/>
          <c:tx>
            <c:strRef>
              <c:f>Foaie1!$F$1</c:f>
              <c:strCache>
                <c:ptCount val="1"/>
                <c:pt idx="0">
                  <c:v>Ilfov</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Foaie1!$A$2:$A$7</c:f>
              <c:strCache>
                <c:ptCount val="6"/>
                <c:pt idx="0">
                  <c:v>Anul 2014</c:v>
                </c:pt>
                <c:pt idx="1">
                  <c:v>Anul 2015</c:v>
                </c:pt>
                <c:pt idx="2">
                  <c:v>Anul 2016</c:v>
                </c:pt>
                <c:pt idx="3">
                  <c:v>Anul 2017</c:v>
                </c:pt>
                <c:pt idx="4">
                  <c:v>Anul 2018</c:v>
                </c:pt>
                <c:pt idx="5">
                  <c:v>Anul 2019</c:v>
                </c:pt>
              </c:strCache>
            </c:strRef>
          </c:cat>
          <c:val>
            <c:numRef>
              <c:f>Foaie1!$F$2:$F$7</c:f>
              <c:numCache>
                <c:formatCode>#,##0.00</c:formatCode>
                <c:ptCount val="6"/>
                <c:pt idx="0">
                  <c:v>2.496653342009854</c:v>
                </c:pt>
                <c:pt idx="1">
                  <c:v>3.3475986012592855</c:v>
                </c:pt>
                <c:pt idx="2">
                  <c:v>4.5360801141704856</c:v>
                </c:pt>
                <c:pt idx="3">
                  <c:v>5.9932749865829997</c:v>
                </c:pt>
                <c:pt idx="4">
                  <c:v>6.2272174745157152</c:v>
                </c:pt>
                <c:pt idx="5">
                  <c:v>1.9088807065253977</c:v>
                </c:pt>
              </c:numCache>
            </c:numRef>
          </c:val>
          <c:smooth val="0"/>
          <c:extLst>
            <c:ext xmlns:c16="http://schemas.microsoft.com/office/drawing/2014/chart" uri="{C3380CC4-5D6E-409C-BE32-E72D297353CC}">
              <c16:uniqueId val="{00000004-620C-4ED0-B22C-EC336C7553AF}"/>
            </c:ext>
          </c:extLst>
        </c:ser>
        <c:ser>
          <c:idx val="5"/>
          <c:order val="5"/>
          <c:tx>
            <c:strRef>
              <c:f>Foaie1!$G$1</c:f>
              <c:strCache>
                <c:ptCount val="1"/>
                <c:pt idx="0">
                  <c:v>Municipiul Bucuresti</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Foaie1!$A$2:$A$7</c:f>
              <c:strCache>
                <c:ptCount val="6"/>
                <c:pt idx="0">
                  <c:v>Anul 2014</c:v>
                </c:pt>
                <c:pt idx="1">
                  <c:v>Anul 2015</c:v>
                </c:pt>
                <c:pt idx="2">
                  <c:v>Anul 2016</c:v>
                </c:pt>
                <c:pt idx="3">
                  <c:v>Anul 2017</c:v>
                </c:pt>
                <c:pt idx="4">
                  <c:v>Anul 2018</c:v>
                </c:pt>
                <c:pt idx="5">
                  <c:v>Anul 2019</c:v>
                </c:pt>
              </c:strCache>
            </c:strRef>
          </c:cat>
          <c:val>
            <c:numRef>
              <c:f>Foaie1!$G$2:$G$7</c:f>
              <c:numCache>
                <c:formatCode>#,##0.00</c:formatCode>
                <c:ptCount val="6"/>
                <c:pt idx="0">
                  <c:v>0.60236850301696077</c:v>
                </c:pt>
                <c:pt idx="1">
                  <c:v>0.6537351452189567</c:v>
                </c:pt>
                <c:pt idx="2">
                  <c:v>0.6614418687041399</c:v>
                </c:pt>
                <c:pt idx="3">
                  <c:v>0.64975231628367069</c:v>
                </c:pt>
                <c:pt idx="4">
                  <c:v>0.57318956127739296</c:v>
                </c:pt>
                <c:pt idx="5">
                  <c:v>0.97866967012002914</c:v>
                </c:pt>
              </c:numCache>
            </c:numRef>
          </c:val>
          <c:smooth val="0"/>
          <c:extLst>
            <c:ext xmlns:c16="http://schemas.microsoft.com/office/drawing/2014/chart" uri="{C3380CC4-5D6E-409C-BE32-E72D297353CC}">
              <c16:uniqueId val="{00000005-620C-4ED0-B22C-EC336C7553AF}"/>
            </c:ext>
          </c:extLst>
        </c:ser>
        <c:ser>
          <c:idx val="6"/>
          <c:order val="6"/>
          <c:tx>
            <c:strRef>
              <c:f>Foaie1!$H$1</c:f>
              <c:strCache>
                <c:ptCount val="1"/>
                <c:pt idx="0">
                  <c:v>Timis</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Foaie1!$A$2:$A$7</c:f>
              <c:strCache>
                <c:ptCount val="6"/>
                <c:pt idx="0">
                  <c:v>Anul 2014</c:v>
                </c:pt>
                <c:pt idx="1">
                  <c:v>Anul 2015</c:v>
                </c:pt>
                <c:pt idx="2">
                  <c:v>Anul 2016</c:v>
                </c:pt>
                <c:pt idx="3">
                  <c:v>Anul 2017</c:v>
                </c:pt>
                <c:pt idx="4">
                  <c:v>Anul 2018</c:v>
                </c:pt>
                <c:pt idx="5">
                  <c:v>Anul 2019</c:v>
                </c:pt>
              </c:strCache>
            </c:strRef>
          </c:cat>
          <c:val>
            <c:numRef>
              <c:f>Foaie1!$H$2:$H$7</c:f>
              <c:numCache>
                <c:formatCode>#,##0.00</c:formatCode>
                <c:ptCount val="6"/>
                <c:pt idx="0">
                  <c:v>0.2591414040018738</c:v>
                </c:pt>
                <c:pt idx="1">
                  <c:v>0.74343466780846368</c:v>
                </c:pt>
                <c:pt idx="2">
                  <c:v>0.79403411814001623</c:v>
                </c:pt>
                <c:pt idx="3">
                  <c:v>0.6133582239021359</c:v>
                </c:pt>
                <c:pt idx="4">
                  <c:v>0.67766890384387712</c:v>
                </c:pt>
                <c:pt idx="5">
                  <c:v>0.61215085607016861</c:v>
                </c:pt>
              </c:numCache>
            </c:numRef>
          </c:val>
          <c:smooth val="0"/>
          <c:extLst>
            <c:ext xmlns:c16="http://schemas.microsoft.com/office/drawing/2014/chart" uri="{C3380CC4-5D6E-409C-BE32-E72D297353CC}">
              <c16:uniqueId val="{00000006-620C-4ED0-B22C-EC336C7553AF}"/>
            </c:ext>
          </c:extLst>
        </c:ser>
        <c:dLbls>
          <c:showLegendKey val="0"/>
          <c:showVal val="0"/>
          <c:showCatName val="0"/>
          <c:showSerName val="0"/>
          <c:showPercent val="0"/>
          <c:showBubbleSize val="0"/>
        </c:dLbls>
        <c:marker val="1"/>
        <c:smooth val="0"/>
        <c:axId val="878582288"/>
        <c:axId val="878582704"/>
      </c:lineChart>
      <c:catAx>
        <c:axId val="878582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8582704"/>
        <c:crosses val="autoZero"/>
        <c:auto val="1"/>
        <c:lblAlgn val="ctr"/>
        <c:lblOffset val="100"/>
        <c:noMultiLvlLbl val="0"/>
      </c:catAx>
      <c:valAx>
        <c:axId val="87858270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8582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dLbls>
            <c:dLbl>
              <c:idx val="1"/>
              <c:spPr/>
              <c:txPr>
                <a:bodyPr/>
                <a:lstStyle/>
                <a:p>
                  <a:pPr>
                    <a:defRPr>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0-A789-44AF-ABBE-260FF43C9569}"/>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'TOATE!'!$B$48:$D$48</c:f>
              <c:strCache>
                <c:ptCount val="3"/>
                <c:pt idx="0">
                  <c:v>Proiecte implementate</c:v>
                </c:pt>
                <c:pt idx="1">
                  <c:v>Proiecte în curs de implementare</c:v>
                </c:pt>
                <c:pt idx="2">
                  <c:v>Proiecte neimplementate/ situație nespecificată</c:v>
                </c:pt>
              </c:strCache>
            </c:strRef>
          </c:cat>
          <c:val>
            <c:numRef>
              <c:f>'TOATE!'!$B$104:$D$104</c:f>
              <c:numCache>
                <c:formatCode>0.0%</c:formatCode>
                <c:ptCount val="3"/>
                <c:pt idx="0">
                  <c:v>5.4054054054054057E-2</c:v>
                </c:pt>
                <c:pt idx="1">
                  <c:v>0.32432432432432434</c:v>
                </c:pt>
                <c:pt idx="2">
                  <c:v>0.6216216216216216</c:v>
                </c:pt>
              </c:numCache>
            </c:numRef>
          </c:val>
          <c:extLst>
            <c:ext xmlns:c16="http://schemas.microsoft.com/office/drawing/2014/chart" uri="{C3380CC4-5D6E-409C-BE32-E72D297353CC}">
              <c16:uniqueId val="{00000001-A789-44AF-ABBE-260FF43C9569}"/>
            </c:ext>
          </c:extLst>
        </c:ser>
        <c:dLbls>
          <c:showLegendKey val="0"/>
          <c:showVal val="1"/>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Sheet1!$B$16</c:f>
              <c:strCache>
                <c:ptCount val="1"/>
                <c:pt idx="0">
                  <c:v>Consum total</c:v>
                </c:pt>
              </c:strCache>
            </c:strRef>
          </c:tx>
          <c:spPr>
            <a:ln w="28575" cap="rnd">
              <a:solidFill>
                <a:schemeClr val="accent1"/>
              </a:solidFill>
              <a:round/>
            </a:ln>
            <a:effectLst/>
          </c:spPr>
          <c:marker>
            <c:symbol val="none"/>
          </c:marker>
          <c:cat>
            <c:numRef>
              <c:f>Sheet1!$A$17:$A$23</c:f>
              <c:numCache>
                <c:formatCode>General</c:formatCode>
                <c:ptCount val="7"/>
                <c:pt idx="0">
                  <c:v>2015</c:v>
                </c:pt>
                <c:pt idx="1">
                  <c:v>2016</c:v>
                </c:pt>
                <c:pt idx="2">
                  <c:v>2017</c:v>
                </c:pt>
                <c:pt idx="3">
                  <c:v>2018</c:v>
                </c:pt>
                <c:pt idx="4">
                  <c:v>2019</c:v>
                </c:pt>
                <c:pt idx="5">
                  <c:v>2020</c:v>
                </c:pt>
                <c:pt idx="6">
                  <c:v>2021</c:v>
                </c:pt>
              </c:numCache>
            </c:numRef>
          </c:cat>
          <c:val>
            <c:numRef>
              <c:f>Sheet1!$B$17:$B$23</c:f>
              <c:numCache>
                <c:formatCode>_-* #,##0_-;\-* #,##0_-;_-* "-"??_-;_-@_-</c:formatCode>
                <c:ptCount val="7"/>
                <c:pt idx="0">
                  <c:v>853181.52920600004</c:v>
                </c:pt>
                <c:pt idx="1">
                  <c:v>908211.49769799993</c:v>
                </c:pt>
                <c:pt idx="2">
                  <c:v>1035468.7118611459</c:v>
                </c:pt>
                <c:pt idx="3">
                  <c:v>945011.85417547403</c:v>
                </c:pt>
                <c:pt idx="4">
                  <c:v>954344.28928738006</c:v>
                </c:pt>
                <c:pt idx="5">
                  <c:v>873939.56252337119</c:v>
                </c:pt>
                <c:pt idx="6">
                  <c:v>908060.68605199922</c:v>
                </c:pt>
              </c:numCache>
            </c:numRef>
          </c:val>
          <c:smooth val="0"/>
          <c:extLst>
            <c:ext xmlns:c16="http://schemas.microsoft.com/office/drawing/2014/chart" uri="{C3380CC4-5D6E-409C-BE32-E72D297353CC}">
              <c16:uniqueId val="{00000000-4D00-4FD2-9A42-01A06E2712B4}"/>
            </c:ext>
          </c:extLst>
        </c:ser>
        <c:ser>
          <c:idx val="1"/>
          <c:order val="1"/>
          <c:tx>
            <c:strRef>
              <c:f>Sheet1!$C$16</c:f>
              <c:strCache>
                <c:ptCount val="1"/>
                <c:pt idx="0">
                  <c:v>Consum casnic</c:v>
                </c:pt>
              </c:strCache>
            </c:strRef>
          </c:tx>
          <c:spPr>
            <a:ln w="28575" cap="rnd">
              <a:solidFill>
                <a:schemeClr val="accent2"/>
              </a:solidFill>
              <a:round/>
            </a:ln>
            <a:effectLst/>
          </c:spPr>
          <c:marker>
            <c:symbol val="none"/>
          </c:marker>
          <c:cat>
            <c:numRef>
              <c:f>Sheet1!$A$17:$A$23</c:f>
              <c:numCache>
                <c:formatCode>General</c:formatCode>
                <c:ptCount val="7"/>
                <c:pt idx="0">
                  <c:v>2015</c:v>
                </c:pt>
                <c:pt idx="1">
                  <c:v>2016</c:v>
                </c:pt>
                <c:pt idx="2">
                  <c:v>2017</c:v>
                </c:pt>
                <c:pt idx="3">
                  <c:v>2018</c:v>
                </c:pt>
                <c:pt idx="4">
                  <c:v>2019</c:v>
                </c:pt>
                <c:pt idx="5">
                  <c:v>2020</c:v>
                </c:pt>
                <c:pt idx="6">
                  <c:v>2021</c:v>
                </c:pt>
              </c:numCache>
            </c:numRef>
          </c:cat>
          <c:val>
            <c:numRef>
              <c:f>Sheet1!$C$17:$C$23</c:f>
              <c:numCache>
                <c:formatCode>_-* #,##0_-;\-* #,##0_-;_-* "-"??_-;_-@_-</c:formatCode>
                <c:ptCount val="7"/>
                <c:pt idx="0">
                  <c:v>292175.09389000002</c:v>
                </c:pt>
                <c:pt idx="1">
                  <c:v>292879.71700999996</c:v>
                </c:pt>
                <c:pt idx="2">
                  <c:v>364600.28219399997</c:v>
                </c:pt>
                <c:pt idx="3">
                  <c:v>300484.248838</c:v>
                </c:pt>
                <c:pt idx="4">
                  <c:v>313561.46628400008</c:v>
                </c:pt>
                <c:pt idx="5">
                  <c:v>316103.218032</c:v>
                </c:pt>
                <c:pt idx="6">
                  <c:v>326945.49517159304</c:v>
                </c:pt>
              </c:numCache>
            </c:numRef>
          </c:val>
          <c:smooth val="0"/>
          <c:extLst>
            <c:ext xmlns:c16="http://schemas.microsoft.com/office/drawing/2014/chart" uri="{C3380CC4-5D6E-409C-BE32-E72D297353CC}">
              <c16:uniqueId val="{00000001-4D00-4FD2-9A42-01A06E2712B4}"/>
            </c:ext>
          </c:extLst>
        </c:ser>
        <c:dLbls>
          <c:showLegendKey val="0"/>
          <c:showVal val="0"/>
          <c:showCatName val="0"/>
          <c:showSerName val="0"/>
          <c:showPercent val="0"/>
          <c:showBubbleSize val="0"/>
        </c:dLbls>
        <c:smooth val="0"/>
        <c:axId val="988368000"/>
        <c:axId val="988368832"/>
      </c:lineChart>
      <c:catAx>
        <c:axId val="98836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8368832"/>
        <c:crosses val="autoZero"/>
        <c:auto val="1"/>
        <c:lblAlgn val="ctr"/>
        <c:lblOffset val="100"/>
        <c:noMultiLvlLbl val="0"/>
      </c:catAx>
      <c:valAx>
        <c:axId val="988368832"/>
        <c:scaling>
          <c:orientation val="minMax"/>
        </c:scaling>
        <c:delete val="0"/>
        <c:axPos val="l"/>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836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'[Consum energie electrica 2015-2021.xlsx]Sheet1'!$E$16</c:f>
              <c:strCache>
                <c:ptCount val="1"/>
                <c:pt idx="0">
                  <c:v>Publice</c:v>
                </c:pt>
              </c:strCache>
            </c:strRef>
          </c:tx>
          <c:spPr>
            <a:ln w="28575" cap="rnd">
              <a:solidFill>
                <a:schemeClr val="accent1"/>
              </a:solidFill>
              <a:round/>
            </a:ln>
            <a:effectLst/>
          </c:spPr>
          <c:marker>
            <c:symbol val="none"/>
          </c:marker>
          <c:cat>
            <c:numRef>
              <c:f>'[Consum energie electrica 2015-2021.xlsx]Sheet1'!$D$17:$D$23</c:f>
              <c:numCache>
                <c:formatCode>General</c:formatCode>
                <c:ptCount val="7"/>
                <c:pt idx="0">
                  <c:v>2015</c:v>
                </c:pt>
                <c:pt idx="1">
                  <c:v>2016</c:v>
                </c:pt>
                <c:pt idx="2">
                  <c:v>2017</c:v>
                </c:pt>
                <c:pt idx="3">
                  <c:v>2018</c:v>
                </c:pt>
                <c:pt idx="4">
                  <c:v>2019</c:v>
                </c:pt>
                <c:pt idx="5">
                  <c:v>2020</c:v>
                </c:pt>
                <c:pt idx="6">
                  <c:v>2021</c:v>
                </c:pt>
              </c:numCache>
            </c:numRef>
          </c:cat>
          <c:val>
            <c:numRef>
              <c:f>'[Consum energie electrica 2015-2021.xlsx]Sheet1'!$E$17:$E$23</c:f>
              <c:numCache>
                <c:formatCode>_-* #,##0_-;\-* #,##0_-;_-* "-"??_-;_-@_-</c:formatCode>
                <c:ptCount val="7"/>
                <c:pt idx="0">
                  <c:v>33885.902586999997</c:v>
                </c:pt>
                <c:pt idx="1">
                  <c:v>34994.032153</c:v>
                </c:pt>
                <c:pt idx="2">
                  <c:v>35195.028530000003</c:v>
                </c:pt>
                <c:pt idx="3">
                  <c:v>37225.11636</c:v>
                </c:pt>
                <c:pt idx="4">
                  <c:v>37567.694870000007</c:v>
                </c:pt>
                <c:pt idx="5">
                  <c:v>38147.309609999997</c:v>
                </c:pt>
                <c:pt idx="6">
                  <c:v>37027.815600000002</c:v>
                </c:pt>
              </c:numCache>
            </c:numRef>
          </c:val>
          <c:smooth val="0"/>
          <c:extLst>
            <c:ext xmlns:c16="http://schemas.microsoft.com/office/drawing/2014/chart" uri="{C3380CC4-5D6E-409C-BE32-E72D297353CC}">
              <c16:uniqueId val="{00000000-35DD-40AC-8E0C-033E7AF51AFF}"/>
            </c:ext>
          </c:extLst>
        </c:ser>
        <c:ser>
          <c:idx val="1"/>
          <c:order val="1"/>
          <c:tx>
            <c:strRef>
              <c:f>'[Consum energie electrica 2015-2021.xlsx]Sheet1'!$F$16</c:f>
              <c:strCache>
                <c:ptCount val="1"/>
                <c:pt idx="0">
                  <c:v>Învățământ</c:v>
                </c:pt>
              </c:strCache>
            </c:strRef>
          </c:tx>
          <c:spPr>
            <a:ln w="28575" cap="rnd">
              <a:solidFill>
                <a:schemeClr val="accent2"/>
              </a:solidFill>
              <a:round/>
            </a:ln>
            <a:effectLst/>
          </c:spPr>
          <c:marker>
            <c:symbol val="none"/>
          </c:marker>
          <c:cat>
            <c:numRef>
              <c:f>'[Consum energie electrica 2015-2021.xlsx]Sheet1'!$D$17:$D$23</c:f>
              <c:numCache>
                <c:formatCode>General</c:formatCode>
                <c:ptCount val="7"/>
                <c:pt idx="0">
                  <c:v>2015</c:v>
                </c:pt>
                <c:pt idx="1">
                  <c:v>2016</c:v>
                </c:pt>
                <c:pt idx="2">
                  <c:v>2017</c:v>
                </c:pt>
                <c:pt idx="3">
                  <c:v>2018</c:v>
                </c:pt>
                <c:pt idx="4">
                  <c:v>2019</c:v>
                </c:pt>
                <c:pt idx="5">
                  <c:v>2020</c:v>
                </c:pt>
                <c:pt idx="6">
                  <c:v>2021</c:v>
                </c:pt>
              </c:numCache>
            </c:numRef>
          </c:cat>
          <c:val>
            <c:numRef>
              <c:f>'[Consum energie electrica 2015-2021.xlsx]Sheet1'!$F$17:$F$23</c:f>
              <c:numCache>
                <c:formatCode>_-* #,##0_-;\-* #,##0_-;_-* "-"??_-;_-@_-</c:formatCode>
                <c:ptCount val="7"/>
                <c:pt idx="0">
                  <c:v>8785.8293539999995</c:v>
                </c:pt>
                <c:pt idx="1">
                  <c:v>8312.9067900000009</c:v>
                </c:pt>
                <c:pt idx="2">
                  <c:v>8294.4220399999995</c:v>
                </c:pt>
                <c:pt idx="3">
                  <c:v>8287.8580499999989</c:v>
                </c:pt>
                <c:pt idx="4">
                  <c:v>8205.1294799999996</c:v>
                </c:pt>
                <c:pt idx="5">
                  <c:v>5944.8221599999997</c:v>
                </c:pt>
                <c:pt idx="6">
                  <c:v>5887.7964900000006</c:v>
                </c:pt>
              </c:numCache>
            </c:numRef>
          </c:val>
          <c:smooth val="0"/>
          <c:extLst>
            <c:ext xmlns:c16="http://schemas.microsoft.com/office/drawing/2014/chart" uri="{C3380CC4-5D6E-409C-BE32-E72D297353CC}">
              <c16:uniqueId val="{00000001-35DD-40AC-8E0C-033E7AF51AFF}"/>
            </c:ext>
          </c:extLst>
        </c:ser>
        <c:ser>
          <c:idx val="2"/>
          <c:order val="2"/>
          <c:tx>
            <c:strRef>
              <c:f>'[Consum energie electrica 2015-2021.xlsx]Sheet1'!$G$16</c:f>
              <c:strCache>
                <c:ptCount val="1"/>
                <c:pt idx="0">
                  <c:v>Sănătate</c:v>
                </c:pt>
              </c:strCache>
            </c:strRef>
          </c:tx>
          <c:spPr>
            <a:ln w="28575" cap="rnd">
              <a:solidFill>
                <a:schemeClr val="accent3"/>
              </a:solidFill>
              <a:round/>
            </a:ln>
            <a:effectLst/>
          </c:spPr>
          <c:marker>
            <c:symbol val="none"/>
          </c:marker>
          <c:cat>
            <c:numRef>
              <c:f>'[Consum energie electrica 2015-2021.xlsx]Sheet1'!$D$17:$D$23</c:f>
              <c:numCache>
                <c:formatCode>General</c:formatCode>
                <c:ptCount val="7"/>
                <c:pt idx="0">
                  <c:v>2015</c:v>
                </c:pt>
                <c:pt idx="1">
                  <c:v>2016</c:v>
                </c:pt>
                <c:pt idx="2">
                  <c:v>2017</c:v>
                </c:pt>
                <c:pt idx="3">
                  <c:v>2018</c:v>
                </c:pt>
                <c:pt idx="4">
                  <c:v>2019</c:v>
                </c:pt>
                <c:pt idx="5">
                  <c:v>2020</c:v>
                </c:pt>
                <c:pt idx="6">
                  <c:v>2021</c:v>
                </c:pt>
              </c:numCache>
            </c:numRef>
          </c:cat>
          <c:val>
            <c:numRef>
              <c:f>'[Consum energie electrica 2015-2021.xlsx]Sheet1'!$G$17:$G$23</c:f>
              <c:numCache>
                <c:formatCode>_-* #,##0_-;\-* #,##0_-;_-* "-"??_-;_-@_-</c:formatCode>
                <c:ptCount val="7"/>
                <c:pt idx="0">
                  <c:v>34077.788524999996</c:v>
                </c:pt>
                <c:pt idx="1">
                  <c:v>34856.302295000001</c:v>
                </c:pt>
                <c:pt idx="2">
                  <c:v>36519.669299999994</c:v>
                </c:pt>
                <c:pt idx="3">
                  <c:v>37459.996450000006</c:v>
                </c:pt>
                <c:pt idx="4">
                  <c:v>37399.62313</c:v>
                </c:pt>
                <c:pt idx="5">
                  <c:v>35984.565450000002</c:v>
                </c:pt>
                <c:pt idx="6">
                  <c:v>37063.992319999998</c:v>
                </c:pt>
              </c:numCache>
            </c:numRef>
          </c:val>
          <c:smooth val="0"/>
          <c:extLst>
            <c:ext xmlns:c16="http://schemas.microsoft.com/office/drawing/2014/chart" uri="{C3380CC4-5D6E-409C-BE32-E72D297353CC}">
              <c16:uniqueId val="{00000002-35DD-40AC-8E0C-033E7AF51AFF}"/>
            </c:ext>
          </c:extLst>
        </c:ser>
        <c:dLbls>
          <c:showLegendKey val="0"/>
          <c:showVal val="0"/>
          <c:showCatName val="0"/>
          <c:showSerName val="0"/>
          <c:showPercent val="0"/>
          <c:showBubbleSize val="0"/>
        </c:dLbls>
        <c:smooth val="0"/>
        <c:axId val="1016420240"/>
        <c:axId val="988562688"/>
      </c:lineChart>
      <c:catAx>
        <c:axId val="101642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8562688"/>
        <c:crosses val="autoZero"/>
        <c:auto val="1"/>
        <c:lblAlgn val="ctr"/>
        <c:lblOffset val="100"/>
        <c:noMultiLvlLbl val="0"/>
      </c:catAx>
      <c:valAx>
        <c:axId val="988562688"/>
        <c:scaling>
          <c:orientation val="minMax"/>
        </c:scaling>
        <c:delete val="0"/>
        <c:axPos val="l"/>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6420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gaze!$B$1</c:f>
              <c:strCache>
                <c:ptCount val="1"/>
                <c:pt idx="0">
                  <c:v>Consumatori casnici</c:v>
                </c:pt>
              </c:strCache>
            </c:strRef>
          </c:tx>
          <c:spPr>
            <a:solidFill>
              <a:schemeClr val="accent1"/>
            </a:solidFill>
            <a:ln>
              <a:noFill/>
            </a:ln>
            <a:effectLst/>
          </c:spPr>
          <c:invertIfNegative val="0"/>
          <c:cat>
            <c:numRef>
              <c:f>gaze!$A$2:$A$8</c:f>
              <c:numCache>
                <c:formatCode>General</c:formatCode>
                <c:ptCount val="7"/>
                <c:pt idx="0">
                  <c:v>2015</c:v>
                </c:pt>
                <c:pt idx="1">
                  <c:v>2016</c:v>
                </c:pt>
                <c:pt idx="2">
                  <c:v>2017</c:v>
                </c:pt>
                <c:pt idx="3">
                  <c:v>2018</c:v>
                </c:pt>
                <c:pt idx="4">
                  <c:v>2019</c:v>
                </c:pt>
                <c:pt idx="5">
                  <c:v>2020</c:v>
                </c:pt>
                <c:pt idx="6">
                  <c:v>2021</c:v>
                </c:pt>
              </c:numCache>
            </c:numRef>
          </c:cat>
          <c:val>
            <c:numRef>
              <c:f>gaze!$B$2:$B$8</c:f>
              <c:numCache>
                <c:formatCode>General</c:formatCode>
                <c:ptCount val="7"/>
                <c:pt idx="0">
                  <c:v>52761</c:v>
                </c:pt>
                <c:pt idx="1">
                  <c:v>53988</c:v>
                </c:pt>
                <c:pt idx="2">
                  <c:v>55431</c:v>
                </c:pt>
                <c:pt idx="3">
                  <c:v>57151</c:v>
                </c:pt>
                <c:pt idx="4">
                  <c:v>58636</c:v>
                </c:pt>
                <c:pt idx="5">
                  <c:v>61310</c:v>
                </c:pt>
                <c:pt idx="6">
                  <c:v>64053</c:v>
                </c:pt>
              </c:numCache>
            </c:numRef>
          </c:val>
          <c:extLst>
            <c:ext xmlns:c16="http://schemas.microsoft.com/office/drawing/2014/chart" uri="{C3380CC4-5D6E-409C-BE32-E72D297353CC}">
              <c16:uniqueId val="{00000000-F32D-44B8-BDEF-8398F168AA85}"/>
            </c:ext>
          </c:extLst>
        </c:ser>
        <c:ser>
          <c:idx val="1"/>
          <c:order val="1"/>
          <c:tx>
            <c:strRef>
              <c:f>gaze!$C$1</c:f>
              <c:strCache>
                <c:ptCount val="1"/>
                <c:pt idx="0">
                  <c:v>Consumatori non-casnici</c:v>
                </c:pt>
              </c:strCache>
            </c:strRef>
          </c:tx>
          <c:spPr>
            <a:solidFill>
              <a:schemeClr val="accent2"/>
            </a:solidFill>
            <a:ln>
              <a:noFill/>
            </a:ln>
            <a:effectLst/>
          </c:spPr>
          <c:invertIfNegative val="0"/>
          <c:cat>
            <c:numRef>
              <c:f>gaze!$A$2:$A$8</c:f>
              <c:numCache>
                <c:formatCode>General</c:formatCode>
                <c:ptCount val="7"/>
                <c:pt idx="0">
                  <c:v>2015</c:v>
                </c:pt>
                <c:pt idx="1">
                  <c:v>2016</c:v>
                </c:pt>
                <c:pt idx="2">
                  <c:v>2017</c:v>
                </c:pt>
                <c:pt idx="3">
                  <c:v>2018</c:v>
                </c:pt>
                <c:pt idx="4">
                  <c:v>2019</c:v>
                </c:pt>
                <c:pt idx="5">
                  <c:v>2020</c:v>
                </c:pt>
                <c:pt idx="6">
                  <c:v>2021</c:v>
                </c:pt>
              </c:numCache>
            </c:numRef>
          </c:cat>
          <c:val>
            <c:numRef>
              <c:f>gaze!$C$2:$C$8</c:f>
              <c:numCache>
                <c:formatCode>General</c:formatCode>
                <c:ptCount val="7"/>
                <c:pt idx="0">
                  <c:v>3551</c:v>
                </c:pt>
                <c:pt idx="1">
                  <c:v>3650</c:v>
                </c:pt>
                <c:pt idx="2">
                  <c:v>3776</c:v>
                </c:pt>
                <c:pt idx="3">
                  <c:v>3982</c:v>
                </c:pt>
                <c:pt idx="4">
                  <c:v>4178</c:v>
                </c:pt>
                <c:pt idx="5">
                  <c:v>4350</c:v>
                </c:pt>
                <c:pt idx="6">
                  <c:v>5119</c:v>
                </c:pt>
              </c:numCache>
            </c:numRef>
          </c:val>
          <c:extLst>
            <c:ext xmlns:c16="http://schemas.microsoft.com/office/drawing/2014/chart" uri="{C3380CC4-5D6E-409C-BE32-E72D297353CC}">
              <c16:uniqueId val="{00000001-F32D-44B8-BDEF-8398F168AA85}"/>
            </c:ext>
          </c:extLst>
        </c:ser>
        <c:dLbls>
          <c:showLegendKey val="0"/>
          <c:showVal val="0"/>
          <c:showCatName val="0"/>
          <c:showSerName val="0"/>
          <c:showPercent val="0"/>
          <c:showBubbleSize val="0"/>
        </c:dLbls>
        <c:gapWidth val="150"/>
        <c:overlap val="100"/>
        <c:axId val="515500944"/>
        <c:axId val="267376704"/>
      </c:barChart>
      <c:catAx>
        <c:axId val="51550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7376704"/>
        <c:crosses val="autoZero"/>
        <c:auto val="1"/>
        <c:lblAlgn val="ctr"/>
        <c:lblOffset val="100"/>
        <c:noMultiLvlLbl val="0"/>
      </c:catAx>
      <c:valAx>
        <c:axId val="2673767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500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gaze!$B$11</c:f>
              <c:strCache>
                <c:ptCount val="1"/>
                <c:pt idx="0">
                  <c:v>Consumatori casnici</c:v>
                </c:pt>
              </c:strCache>
            </c:strRef>
          </c:tx>
          <c:spPr>
            <a:solidFill>
              <a:schemeClr val="accent1"/>
            </a:solidFill>
            <a:ln>
              <a:noFill/>
            </a:ln>
            <a:effectLst/>
          </c:spPr>
          <c:invertIfNegative val="0"/>
          <c:cat>
            <c:numRef>
              <c:f>gaze!$A$12:$A$18</c:f>
              <c:numCache>
                <c:formatCode>General</c:formatCode>
                <c:ptCount val="7"/>
                <c:pt idx="0">
                  <c:v>2015</c:v>
                </c:pt>
                <c:pt idx="1">
                  <c:v>2016</c:v>
                </c:pt>
                <c:pt idx="2">
                  <c:v>2017</c:v>
                </c:pt>
                <c:pt idx="3">
                  <c:v>2018</c:v>
                </c:pt>
                <c:pt idx="4">
                  <c:v>2019</c:v>
                </c:pt>
                <c:pt idx="5">
                  <c:v>2020</c:v>
                </c:pt>
                <c:pt idx="6">
                  <c:v>2021</c:v>
                </c:pt>
              </c:numCache>
            </c:numRef>
          </c:cat>
          <c:val>
            <c:numRef>
              <c:f>gaze!$B$12:$B$18</c:f>
              <c:numCache>
                <c:formatCode>General</c:formatCode>
                <c:ptCount val="7"/>
                <c:pt idx="0">
                  <c:v>841.08</c:v>
                </c:pt>
                <c:pt idx="1">
                  <c:v>820.26</c:v>
                </c:pt>
                <c:pt idx="2">
                  <c:v>885.66</c:v>
                </c:pt>
                <c:pt idx="3">
                  <c:v>838.94</c:v>
                </c:pt>
                <c:pt idx="4">
                  <c:v>822.97</c:v>
                </c:pt>
                <c:pt idx="5">
                  <c:v>837.69</c:v>
                </c:pt>
                <c:pt idx="6">
                  <c:v>882.51</c:v>
                </c:pt>
              </c:numCache>
            </c:numRef>
          </c:val>
          <c:extLst>
            <c:ext xmlns:c16="http://schemas.microsoft.com/office/drawing/2014/chart" uri="{C3380CC4-5D6E-409C-BE32-E72D297353CC}">
              <c16:uniqueId val="{00000000-02CF-4F1C-901A-9FF6B3692481}"/>
            </c:ext>
          </c:extLst>
        </c:ser>
        <c:ser>
          <c:idx val="1"/>
          <c:order val="1"/>
          <c:tx>
            <c:strRef>
              <c:f>gaze!$C$11</c:f>
              <c:strCache>
                <c:ptCount val="1"/>
                <c:pt idx="0">
                  <c:v>Consumatori non-casnici</c:v>
                </c:pt>
              </c:strCache>
            </c:strRef>
          </c:tx>
          <c:spPr>
            <a:solidFill>
              <a:schemeClr val="accent2"/>
            </a:solidFill>
            <a:ln>
              <a:noFill/>
            </a:ln>
            <a:effectLst/>
          </c:spPr>
          <c:invertIfNegative val="0"/>
          <c:cat>
            <c:numRef>
              <c:f>gaze!$A$12:$A$18</c:f>
              <c:numCache>
                <c:formatCode>General</c:formatCode>
                <c:ptCount val="7"/>
                <c:pt idx="0">
                  <c:v>2015</c:v>
                </c:pt>
                <c:pt idx="1">
                  <c:v>2016</c:v>
                </c:pt>
                <c:pt idx="2">
                  <c:v>2017</c:v>
                </c:pt>
                <c:pt idx="3">
                  <c:v>2018</c:v>
                </c:pt>
                <c:pt idx="4">
                  <c:v>2019</c:v>
                </c:pt>
                <c:pt idx="5">
                  <c:v>2020</c:v>
                </c:pt>
                <c:pt idx="6">
                  <c:v>2021</c:v>
                </c:pt>
              </c:numCache>
            </c:numRef>
          </c:cat>
          <c:val>
            <c:numRef>
              <c:f>gaze!$C$12:$C$18</c:f>
              <c:numCache>
                <c:formatCode>General</c:formatCode>
                <c:ptCount val="7"/>
                <c:pt idx="0">
                  <c:v>472.16</c:v>
                </c:pt>
                <c:pt idx="1">
                  <c:v>516.39</c:v>
                </c:pt>
                <c:pt idx="2">
                  <c:v>507.82</c:v>
                </c:pt>
                <c:pt idx="3">
                  <c:v>506.97</c:v>
                </c:pt>
                <c:pt idx="4">
                  <c:v>479.18</c:v>
                </c:pt>
                <c:pt idx="5">
                  <c:v>436.19</c:v>
                </c:pt>
                <c:pt idx="6">
                  <c:v>498.15</c:v>
                </c:pt>
              </c:numCache>
            </c:numRef>
          </c:val>
          <c:extLst>
            <c:ext xmlns:c16="http://schemas.microsoft.com/office/drawing/2014/chart" uri="{C3380CC4-5D6E-409C-BE32-E72D297353CC}">
              <c16:uniqueId val="{00000001-02CF-4F1C-901A-9FF6B3692481}"/>
            </c:ext>
          </c:extLst>
        </c:ser>
        <c:dLbls>
          <c:showLegendKey val="0"/>
          <c:showVal val="0"/>
          <c:showCatName val="0"/>
          <c:showSerName val="0"/>
          <c:showPercent val="0"/>
          <c:showBubbleSize val="0"/>
        </c:dLbls>
        <c:gapWidth val="150"/>
        <c:overlap val="100"/>
        <c:axId val="493016656"/>
        <c:axId val="495002288"/>
      </c:barChart>
      <c:catAx>
        <c:axId val="4930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002288"/>
        <c:crosses val="autoZero"/>
        <c:auto val="1"/>
        <c:lblAlgn val="ctr"/>
        <c:lblOffset val="100"/>
        <c:noMultiLvlLbl val="0"/>
      </c:catAx>
      <c:valAx>
        <c:axId val="4950022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0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DC-4309-9799-752FB3C17EA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DC-4309-9799-752FB3C17EA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DC-4309-9799-752FB3C17EA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4DC-4309-9799-752FB3C17EA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4DC-4309-9799-752FB3C17EA0}"/>
              </c:ext>
            </c:extLst>
          </c:dPt>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Oțel</c:v>
                </c:pt>
                <c:pt idx="1">
                  <c:v>Azbociment</c:v>
                </c:pt>
                <c:pt idx="2">
                  <c:v>Fontă gri</c:v>
                </c:pt>
                <c:pt idx="3">
                  <c:v>Fontă ductilă</c:v>
                </c:pt>
                <c:pt idx="4">
                  <c:v>PREMO</c:v>
                </c:pt>
              </c:strCache>
            </c:strRef>
          </c:cat>
          <c:val>
            <c:numRef>
              <c:f>Sheet1!$B$2:$B$6</c:f>
              <c:numCache>
                <c:formatCode>General</c:formatCode>
                <c:ptCount val="5"/>
                <c:pt idx="0">
                  <c:v>21.713999999999999</c:v>
                </c:pt>
                <c:pt idx="1">
                  <c:v>0.104</c:v>
                </c:pt>
                <c:pt idx="2">
                  <c:v>31.774999999999999</c:v>
                </c:pt>
                <c:pt idx="3">
                  <c:v>2.89</c:v>
                </c:pt>
                <c:pt idx="4">
                  <c:v>27.19</c:v>
                </c:pt>
              </c:numCache>
            </c:numRef>
          </c:val>
          <c:extLst>
            <c:ext xmlns:c16="http://schemas.microsoft.com/office/drawing/2014/chart" uri="{C3380CC4-5D6E-409C-BE32-E72D297353CC}">
              <c16:uniqueId val="{0000000A-14DC-4309-9799-752FB3C17EA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194-4E86-A3B5-868F571B987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194-4E86-A3B5-868F571B987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194-4E86-A3B5-868F571B987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194-4E86-A3B5-868F571B987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194-4E86-A3B5-868F571B987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Sheet1!$A$18:$A$22</c:f>
              <c:strCache>
                <c:ptCount val="5"/>
                <c:pt idx="0">
                  <c:v>Oțel</c:v>
                </c:pt>
                <c:pt idx="1">
                  <c:v>Azbociment</c:v>
                </c:pt>
                <c:pt idx="2">
                  <c:v>Fontă gri</c:v>
                </c:pt>
                <c:pt idx="3">
                  <c:v>Fontă ductilă</c:v>
                </c:pt>
                <c:pt idx="4">
                  <c:v>PEID</c:v>
                </c:pt>
              </c:strCache>
            </c:strRef>
          </c:cat>
          <c:val>
            <c:numRef>
              <c:f>Sheet1!$B$18:$B$22</c:f>
              <c:numCache>
                <c:formatCode>General</c:formatCode>
                <c:ptCount val="5"/>
                <c:pt idx="0">
                  <c:v>55.600999999999999</c:v>
                </c:pt>
                <c:pt idx="1">
                  <c:v>30.4</c:v>
                </c:pt>
                <c:pt idx="2">
                  <c:v>224.881</c:v>
                </c:pt>
                <c:pt idx="3">
                  <c:v>2.4159999999999999</c:v>
                </c:pt>
                <c:pt idx="4">
                  <c:v>6.4109999999999996</c:v>
                </c:pt>
              </c:numCache>
            </c:numRef>
          </c:val>
          <c:extLst>
            <c:ext xmlns:c16="http://schemas.microsoft.com/office/drawing/2014/chart" uri="{C3380CC4-5D6E-409C-BE32-E72D297353CC}">
              <c16:uniqueId val="{0000000A-3194-4E86-A3B5-868F571B9875}"/>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Sheet1!$R$3</c:f>
              <c:strCache>
                <c:ptCount val="1"/>
                <c:pt idx="0">
                  <c:v>Cantitate primită</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Sheet1!$L$2:$Q$2</c:f>
              <c:numCache>
                <c:formatCode>General</c:formatCode>
                <c:ptCount val="6"/>
                <c:pt idx="0">
                  <c:v>2015</c:v>
                </c:pt>
                <c:pt idx="1">
                  <c:v>2016</c:v>
                </c:pt>
                <c:pt idx="2">
                  <c:v>1017</c:v>
                </c:pt>
                <c:pt idx="3">
                  <c:v>2018</c:v>
                </c:pt>
                <c:pt idx="4">
                  <c:v>2019</c:v>
                </c:pt>
                <c:pt idx="5">
                  <c:v>2020</c:v>
                </c:pt>
              </c:numCache>
            </c:numRef>
          </c:cat>
          <c:val>
            <c:numRef>
              <c:f>Sheet1!$L$3:$Q$3</c:f>
              <c:numCache>
                <c:formatCode>General</c:formatCode>
                <c:ptCount val="6"/>
                <c:pt idx="0">
                  <c:v>6244.8860000000004</c:v>
                </c:pt>
                <c:pt idx="1">
                  <c:v>2849.4450000000002</c:v>
                </c:pt>
                <c:pt idx="2">
                  <c:v>2689.4</c:v>
                </c:pt>
                <c:pt idx="3">
                  <c:v>2951.5</c:v>
                </c:pt>
                <c:pt idx="4">
                  <c:v>2873.4</c:v>
                </c:pt>
                <c:pt idx="5">
                  <c:v>8364.1299999999992</c:v>
                </c:pt>
              </c:numCache>
            </c:numRef>
          </c:val>
          <c:extLst>
            <c:ext xmlns:c16="http://schemas.microsoft.com/office/drawing/2014/chart" uri="{C3380CC4-5D6E-409C-BE32-E72D297353CC}">
              <c16:uniqueId val="{00000000-57F1-4CB8-9318-EAE03F92419D}"/>
            </c:ext>
          </c:extLst>
        </c:ser>
        <c:ser>
          <c:idx val="1"/>
          <c:order val="1"/>
          <c:tx>
            <c:strRef>
              <c:f>Sheet1!$R$4</c:f>
              <c:strCache>
                <c:ptCount val="1"/>
                <c:pt idx="0">
                  <c:v>Cantitate sortată</c:v>
                </c:pt>
              </c:strCache>
            </c:strRef>
          </c:tx>
          <c:spPr>
            <a:solidFill>
              <a:schemeClr val="accent3"/>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Sheet1!$L$2:$Q$2</c:f>
              <c:numCache>
                <c:formatCode>General</c:formatCode>
                <c:ptCount val="6"/>
                <c:pt idx="0">
                  <c:v>2015</c:v>
                </c:pt>
                <c:pt idx="1">
                  <c:v>2016</c:v>
                </c:pt>
                <c:pt idx="2">
                  <c:v>1017</c:v>
                </c:pt>
                <c:pt idx="3">
                  <c:v>2018</c:v>
                </c:pt>
                <c:pt idx="4">
                  <c:v>2019</c:v>
                </c:pt>
                <c:pt idx="5">
                  <c:v>2020</c:v>
                </c:pt>
              </c:numCache>
            </c:numRef>
          </c:cat>
          <c:val>
            <c:numRef>
              <c:f>Sheet1!$L$4:$Q$4</c:f>
              <c:numCache>
                <c:formatCode>General</c:formatCode>
                <c:ptCount val="6"/>
                <c:pt idx="0">
                  <c:v>5843.6859999999997</c:v>
                </c:pt>
                <c:pt idx="1">
                  <c:v>2533.7449999999999</c:v>
                </c:pt>
                <c:pt idx="2">
                  <c:v>2689.4</c:v>
                </c:pt>
                <c:pt idx="3">
                  <c:v>1850.1100000000001</c:v>
                </c:pt>
                <c:pt idx="4">
                  <c:v>2272.0500000000002</c:v>
                </c:pt>
                <c:pt idx="5">
                  <c:v>2220.64</c:v>
                </c:pt>
              </c:numCache>
            </c:numRef>
          </c:val>
          <c:extLst>
            <c:ext xmlns:c16="http://schemas.microsoft.com/office/drawing/2014/chart" uri="{C3380CC4-5D6E-409C-BE32-E72D297353CC}">
              <c16:uniqueId val="{00000001-57F1-4CB8-9318-EAE03F92419D}"/>
            </c:ext>
          </c:extLst>
        </c:ser>
        <c:dLbls>
          <c:dLblPos val="outEnd"/>
          <c:showLegendKey val="0"/>
          <c:showVal val="1"/>
          <c:showCatName val="0"/>
          <c:showSerName val="0"/>
          <c:showPercent val="0"/>
          <c:showBubbleSize val="0"/>
        </c:dLbls>
        <c:gapWidth val="219"/>
        <c:overlap val="-27"/>
        <c:axId val="522935744"/>
        <c:axId val="377790736"/>
      </c:barChart>
      <c:catAx>
        <c:axId val="52293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7790736"/>
        <c:crosses val="autoZero"/>
        <c:auto val="1"/>
        <c:lblAlgn val="ctr"/>
        <c:lblOffset val="100"/>
        <c:noMultiLvlLbl val="0"/>
      </c:catAx>
      <c:valAx>
        <c:axId val="377790736"/>
        <c:scaling>
          <c:orientation val="minMax"/>
        </c:scaling>
        <c:delete val="1"/>
        <c:axPos val="l"/>
        <c:numFmt formatCode="General" sourceLinked="1"/>
        <c:majorTickMark val="none"/>
        <c:minorTickMark val="none"/>
        <c:tickLblPos val="nextTo"/>
        <c:crossAx val="52293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Sheet1!$S$18</c:f>
              <c:strCache>
                <c:ptCount val="1"/>
                <c:pt idx="0">
                  <c:v>Deșeu menajer mixt populație</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Sheet1!$L$17:$R$17</c:f>
              <c:numCache>
                <c:formatCode>General</c:formatCode>
                <c:ptCount val="7"/>
                <c:pt idx="0">
                  <c:v>2015</c:v>
                </c:pt>
                <c:pt idx="1">
                  <c:v>2016</c:v>
                </c:pt>
                <c:pt idx="2">
                  <c:v>2017</c:v>
                </c:pt>
                <c:pt idx="3">
                  <c:v>2018</c:v>
                </c:pt>
                <c:pt idx="4">
                  <c:v>2019</c:v>
                </c:pt>
                <c:pt idx="5">
                  <c:v>2020</c:v>
                </c:pt>
                <c:pt idx="6">
                  <c:v>2021</c:v>
                </c:pt>
              </c:numCache>
            </c:numRef>
          </c:cat>
          <c:val>
            <c:numRef>
              <c:f>Sheet1!$L$18:$R$18</c:f>
              <c:numCache>
                <c:formatCode>General</c:formatCode>
                <c:ptCount val="7"/>
                <c:pt idx="0">
                  <c:v>61905.95</c:v>
                </c:pt>
                <c:pt idx="1">
                  <c:v>67438.880000000005</c:v>
                </c:pt>
                <c:pt idx="2">
                  <c:v>64549.86</c:v>
                </c:pt>
                <c:pt idx="3">
                  <c:v>63015.11</c:v>
                </c:pt>
                <c:pt idx="4">
                  <c:v>76876.95</c:v>
                </c:pt>
                <c:pt idx="5">
                  <c:v>92213.45</c:v>
                </c:pt>
                <c:pt idx="6">
                  <c:v>91060.34</c:v>
                </c:pt>
              </c:numCache>
            </c:numRef>
          </c:val>
          <c:extLst>
            <c:ext xmlns:c16="http://schemas.microsoft.com/office/drawing/2014/chart" uri="{C3380CC4-5D6E-409C-BE32-E72D297353CC}">
              <c16:uniqueId val="{00000000-AC00-446F-8FF5-7908F96798E5}"/>
            </c:ext>
          </c:extLst>
        </c:ser>
        <c:ser>
          <c:idx val="1"/>
          <c:order val="1"/>
          <c:tx>
            <c:strRef>
              <c:f>Sheet1!$S$19</c:f>
              <c:strCache>
                <c:ptCount val="1"/>
                <c:pt idx="0">
                  <c:v>Deșeu menajer separat populație</c:v>
                </c:pt>
              </c:strCache>
            </c:strRef>
          </c:tx>
          <c:spPr>
            <a:solidFill>
              <a:schemeClr val="accent2"/>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Sheet1!$L$17:$R$17</c:f>
              <c:numCache>
                <c:formatCode>General</c:formatCode>
                <c:ptCount val="7"/>
                <c:pt idx="0">
                  <c:v>2015</c:v>
                </c:pt>
                <c:pt idx="1">
                  <c:v>2016</c:v>
                </c:pt>
                <c:pt idx="2">
                  <c:v>2017</c:v>
                </c:pt>
                <c:pt idx="3">
                  <c:v>2018</c:v>
                </c:pt>
                <c:pt idx="4">
                  <c:v>2019</c:v>
                </c:pt>
                <c:pt idx="5">
                  <c:v>2020</c:v>
                </c:pt>
                <c:pt idx="6">
                  <c:v>2021</c:v>
                </c:pt>
              </c:numCache>
            </c:numRef>
          </c:cat>
          <c:val>
            <c:numRef>
              <c:f>Sheet1!$L$19:$R$19</c:f>
              <c:numCache>
                <c:formatCode>General</c:formatCode>
                <c:ptCount val="7"/>
                <c:pt idx="0">
                  <c:v>529.5</c:v>
                </c:pt>
                <c:pt idx="1">
                  <c:v>209.47</c:v>
                </c:pt>
                <c:pt idx="2">
                  <c:v>242.61</c:v>
                </c:pt>
                <c:pt idx="3">
                  <c:v>151.36000000000001</c:v>
                </c:pt>
                <c:pt idx="4">
                  <c:v>559.82000000000005</c:v>
                </c:pt>
                <c:pt idx="5">
                  <c:v>817.16</c:v>
                </c:pt>
                <c:pt idx="6">
                  <c:v>554.69000000000005</c:v>
                </c:pt>
              </c:numCache>
            </c:numRef>
          </c:val>
          <c:extLst>
            <c:ext xmlns:c16="http://schemas.microsoft.com/office/drawing/2014/chart" uri="{C3380CC4-5D6E-409C-BE32-E72D297353CC}">
              <c16:uniqueId val="{00000001-AC00-446F-8FF5-7908F96798E5}"/>
            </c:ext>
          </c:extLst>
        </c:ser>
        <c:ser>
          <c:idx val="2"/>
          <c:order val="2"/>
          <c:tx>
            <c:strRef>
              <c:f>Sheet1!$S$20</c:f>
              <c:strCache>
                <c:ptCount val="1"/>
                <c:pt idx="0">
                  <c:v>Deșeu menajer mixt agenți economici</c:v>
                </c:pt>
              </c:strCache>
            </c:strRef>
          </c:tx>
          <c:spPr>
            <a:solidFill>
              <a:schemeClr val="accent3"/>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Sheet1!$L$17:$R$17</c:f>
              <c:numCache>
                <c:formatCode>General</c:formatCode>
                <c:ptCount val="7"/>
                <c:pt idx="0">
                  <c:v>2015</c:v>
                </c:pt>
                <c:pt idx="1">
                  <c:v>2016</c:v>
                </c:pt>
                <c:pt idx="2">
                  <c:v>2017</c:v>
                </c:pt>
                <c:pt idx="3">
                  <c:v>2018</c:v>
                </c:pt>
                <c:pt idx="4">
                  <c:v>2019</c:v>
                </c:pt>
                <c:pt idx="5">
                  <c:v>2020</c:v>
                </c:pt>
                <c:pt idx="6">
                  <c:v>2021</c:v>
                </c:pt>
              </c:numCache>
            </c:numRef>
          </c:cat>
          <c:val>
            <c:numRef>
              <c:f>Sheet1!$L$20:$R$20</c:f>
              <c:numCache>
                <c:formatCode>General</c:formatCode>
                <c:ptCount val="7"/>
                <c:pt idx="0">
                  <c:v>19516.830000000002</c:v>
                </c:pt>
                <c:pt idx="1">
                  <c:v>17921.5</c:v>
                </c:pt>
                <c:pt idx="2">
                  <c:v>19883.009999999998</c:v>
                </c:pt>
                <c:pt idx="3">
                  <c:v>20966.72</c:v>
                </c:pt>
                <c:pt idx="4">
                  <c:v>15836.9</c:v>
                </c:pt>
                <c:pt idx="5">
                  <c:v>15813.84</c:v>
                </c:pt>
                <c:pt idx="6">
                  <c:v>24174.14</c:v>
                </c:pt>
              </c:numCache>
            </c:numRef>
          </c:val>
          <c:extLst>
            <c:ext xmlns:c16="http://schemas.microsoft.com/office/drawing/2014/chart" uri="{C3380CC4-5D6E-409C-BE32-E72D297353CC}">
              <c16:uniqueId val="{00000002-AC00-446F-8FF5-7908F96798E5}"/>
            </c:ext>
          </c:extLst>
        </c:ser>
        <c:ser>
          <c:idx val="3"/>
          <c:order val="3"/>
          <c:tx>
            <c:strRef>
              <c:f>Sheet1!$S$21</c:f>
              <c:strCache>
                <c:ptCount val="1"/>
                <c:pt idx="0">
                  <c:v>Deșeu menajer separat agenți economici</c:v>
                </c:pt>
              </c:strCache>
            </c:strRef>
          </c:tx>
          <c:spPr>
            <a:solidFill>
              <a:schemeClr val="accent4"/>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Sheet1!$L$17:$R$17</c:f>
              <c:numCache>
                <c:formatCode>General</c:formatCode>
                <c:ptCount val="7"/>
                <c:pt idx="0">
                  <c:v>2015</c:v>
                </c:pt>
                <c:pt idx="1">
                  <c:v>2016</c:v>
                </c:pt>
                <c:pt idx="2">
                  <c:v>2017</c:v>
                </c:pt>
                <c:pt idx="3">
                  <c:v>2018</c:v>
                </c:pt>
                <c:pt idx="4">
                  <c:v>2019</c:v>
                </c:pt>
                <c:pt idx="5">
                  <c:v>2020</c:v>
                </c:pt>
                <c:pt idx="6">
                  <c:v>2021</c:v>
                </c:pt>
              </c:numCache>
            </c:numRef>
          </c:cat>
          <c:val>
            <c:numRef>
              <c:f>Sheet1!$L$21:$R$21</c:f>
              <c:numCache>
                <c:formatCode>General</c:formatCode>
                <c:ptCount val="7"/>
                <c:pt idx="0">
                  <c:v>472.81</c:v>
                </c:pt>
                <c:pt idx="1">
                  <c:v>305.08</c:v>
                </c:pt>
                <c:pt idx="2">
                  <c:v>427.05</c:v>
                </c:pt>
                <c:pt idx="3">
                  <c:v>495.58</c:v>
                </c:pt>
                <c:pt idx="4">
                  <c:v>675.15</c:v>
                </c:pt>
                <c:pt idx="5">
                  <c:v>744.56</c:v>
                </c:pt>
                <c:pt idx="6">
                  <c:v>859.24</c:v>
                </c:pt>
              </c:numCache>
            </c:numRef>
          </c:val>
          <c:extLst>
            <c:ext xmlns:c16="http://schemas.microsoft.com/office/drawing/2014/chart" uri="{C3380CC4-5D6E-409C-BE32-E72D297353CC}">
              <c16:uniqueId val="{00000003-AC00-446F-8FF5-7908F96798E5}"/>
            </c:ext>
          </c:extLst>
        </c:ser>
        <c:dLbls>
          <c:dLblPos val="outEnd"/>
          <c:showLegendKey val="0"/>
          <c:showVal val="1"/>
          <c:showCatName val="0"/>
          <c:showSerName val="0"/>
          <c:showPercent val="0"/>
          <c:showBubbleSize val="0"/>
        </c:dLbls>
        <c:gapWidth val="219"/>
        <c:overlap val="-27"/>
        <c:axId val="521370272"/>
        <c:axId val="372626128"/>
      </c:barChart>
      <c:catAx>
        <c:axId val="52137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2626128"/>
        <c:crosses val="autoZero"/>
        <c:auto val="1"/>
        <c:lblAlgn val="ctr"/>
        <c:lblOffset val="100"/>
        <c:noMultiLvlLbl val="0"/>
      </c:catAx>
      <c:valAx>
        <c:axId val="372626128"/>
        <c:scaling>
          <c:orientation val="minMax"/>
        </c:scaling>
        <c:delete val="1"/>
        <c:axPos val="l"/>
        <c:numFmt formatCode="General" sourceLinked="1"/>
        <c:majorTickMark val="none"/>
        <c:minorTickMark val="none"/>
        <c:tickLblPos val="nextTo"/>
        <c:crossAx val="52137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clima!$B$1</c:f>
              <c:strCache>
                <c:ptCount val="1"/>
                <c:pt idx="0">
                  <c:v>Temperatura medie</c:v>
                </c:pt>
              </c:strCache>
            </c:strRef>
          </c:tx>
          <c:spPr>
            <a:ln w="28575" cap="rnd">
              <a:solidFill>
                <a:schemeClr val="accent1"/>
              </a:solidFill>
              <a:round/>
            </a:ln>
            <a:effectLst/>
          </c:spPr>
          <c:marker>
            <c:symbol val="none"/>
          </c:marker>
          <c:trendline>
            <c:name>Media ultimilor 5 ani</c:name>
            <c:spPr>
              <a:ln w="19050" cap="rnd">
                <a:solidFill>
                  <a:schemeClr val="accent1"/>
                </a:solidFill>
                <a:prstDash val="sysDot"/>
              </a:ln>
              <a:effectLst/>
            </c:spPr>
            <c:trendlineType val="movingAvg"/>
            <c:period val="5"/>
            <c:dispRSqr val="0"/>
            <c:dispEq val="0"/>
          </c:trendline>
          <c:cat>
            <c:numRef>
              <c:f>clima!$A$2:$A$32</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clima!$B$2:$B$32</c:f>
              <c:numCache>
                <c:formatCode>General</c:formatCode>
                <c:ptCount val="31"/>
                <c:pt idx="0">
                  <c:v>11.4</c:v>
                </c:pt>
                <c:pt idx="1">
                  <c:v>9.9</c:v>
                </c:pt>
                <c:pt idx="2">
                  <c:v>10.5</c:v>
                </c:pt>
                <c:pt idx="3">
                  <c:v>9.8000000000000007</c:v>
                </c:pt>
                <c:pt idx="4">
                  <c:v>12.1</c:v>
                </c:pt>
                <c:pt idx="5">
                  <c:v>10.5</c:v>
                </c:pt>
                <c:pt idx="6">
                  <c:v>9.9</c:v>
                </c:pt>
                <c:pt idx="7">
                  <c:v>9.6999999999999993</c:v>
                </c:pt>
                <c:pt idx="8">
                  <c:v>10.6</c:v>
                </c:pt>
                <c:pt idx="9">
                  <c:v>11.3</c:v>
                </c:pt>
                <c:pt idx="10">
                  <c:v>11.6</c:v>
                </c:pt>
                <c:pt idx="11">
                  <c:v>10.7</c:v>
                </c:pt>
                <c:pt idx="12">
                  <c:v>10.9</c:v>
                </c:pt>
                <c:pt idx="13">
                  <c:v>10.3</c:v>
                </c:pt>
                <c:pt idx="14">
                  <c:v>10.3</c:v>
                </c:pt>
                <c:pt idx="15">
                  <c:v>10.1</c:v>
                </c:pt>
                <c:pt idx="16">
                  <c:v>10.6</c:v>
                </c:pt>
                <c:pt idx="17">
                  <c:v>12.1</c:v>
                </c:pt>
                <c:pt idx="18">
                  <c:v>11.5</c:v>
                </c:pt>
                <c:pt idx="19">
                  <c:v>11.5</c:v>
                </c:pt>
                <c:pt idx="20">
                  <c:v>10.8</c:v>
                </c:pt>
                <c:pt idx="21">
                  <c:v>10.5</c:v>
                </c:pt>
                <c:pt idx="22">
                  <c:v>11.5</c:v>
                </c:pt>
                <c:pt idx="23">
                  <c:v>11.7</c:v>
                </c:pt>
                <c:pt idx="24">
                  <c:v>11.3</c:v>
                </c:pt>
                <c:pt idx="25">
                  <c:v>11.9</c:v>
                </c:pt>
                <c:pt idx="26">
                  <c:v>11.5</c:v>
                </c:pt>
                <c:pt idx="27">
                  <c:v>11.3</c:v>
                </c:pt>
                <c:pt idx="28">
                  <c:v>11.8</c:v>
                </c:pt>
                <c:pt idx="29">
                  <c:v>12.3</c:v>
                </c:pt>
                <c:pt idx="30">
                  <c:v>12.4</c:v>
                </c:pt>
              </c:numCache>
            </c:numRef>
          </c:val>
          <c:smooth val="0"/>
          <c:extLst>
            <c:ext xmlns:c16="http://schemas.microsoft.com/office/drawing/2014/chart" uri="{C3380CC4-5D6E-409C-BE32-E72D297353CC}">
              <c16:uniqueId val="{00000001-9BEA-4B34-9B03-7EE7446952AC}"/>
            </c:ext>
          </c:extLst>
        </c:ser>
        <c:dLbls>
          <c:showLegendKey val="0"/>
          <c:showVal val="0"/>
          <c:showCatName val="0"/>
          <c:showSerName val="0"/>
          <c:showPercent val="0"/>
          <c:showBubbleSize val="0"/>
        </c:dLbls>
        <c:smooth val="0"/>
        <c:axId val="523123632"/>
        <c:axId val="624073296"/>
      </c:lineChart>
      <c:catAx>
        <c:axId val="52312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073296"/>
        <c:crosses val="autoZero"/>
        <c:auto val="1"/>
        <c:lblAlgn val="ctr"/>
        <c:lblOffset val="100"/>
        <c:noMultiLvlLbl val="0"/>
      </c:catAx>
      <c:valAx>
        <c:axId val="6240732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123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movingAvg"/>
            <c:period val="5"/>
            <c:dispRSqr val="0"/>
            <c:dispEq val="0"/>
          </c:trendline>
          <c:cat>
            <c:numRef>
              <c:f>clima!$A$2:$A$32</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clima!$G$2:$G$32</c:f>
              <c:numCache>
                <c:formatCode>General</c:formatCode>
                <c:ptCount val="31"/>
                <c:pt idx="0">
                  <c:v>45</c:v>
                </c:pt>
                <c:pt idx="1">
                  <c:v>27</c:v>
                </c:pt>
                <c:pt idx="2">
                  <c:v>50</c:v>
                </c:pt>
                <c:pt idx="3">
                  <c:v>51</c:v>
                </c:pt>
                <c:pt idx="4">
                  <c:v>66</c:v>
                </c:pt>
                <c:pt idx="5">
                  <c:v>30</c:v>
                </c:pt>
                <c:pt idx="6">
                  <c:v>39</c:v>
                </c:pt>
                <c:pt idx="7">
                  <c:v>28</c:v>
                </c:pt>
                <c:pt idx="8">
                  <c:v>60</c:v>
                </c:pt>
                <c:pt idx="9">
                  <c:v>39</c:v>
                </c:pt>
                <c:pt idx="10">
                  <c:v>57</c:v>
                </c:pt>
                <c:pt idx="11">
                  <c:v>58</c:v>
                </c:pt>
                <c:pt idx="12">
                  <c:v>48</c:v>
                </c:pt>
                <c:pt idx="13">
                  <c:v>72</c:v>
                </c:pt>
                <c:pt idx="14">
                  <c:v>29</c:v>
                </c:pt>
                <c:pt idx="15">
                  <c:v>26</c:v>
                </c:pt>
                <c:pt idx="16">
                  <c:v>53</c:v>
                </c:pt>
                <c:pt idx="17">
                  <c:v>79</c:v>
                </c:pt>
                <c:pt idx="18">
                  <c:v>67</c:v>
                </c:pt>
                <c:pt idx="19">
                  <c:v>51</c:v>
                </c:pt>
                <c:pt idx="20">
                  <c:v>55</c:v>
                </c:pt>
                <c:pt idx="21">
                  <c:v>49</c:v>
                </c:pt>
                <c:pt idx="22">
                  <c:v>73</c:v>
                </c:pt>
                <c:pt idx="23">
                  <c:v>51</c:v>
                </c:pt>
                <c:pt idx="24">
                  <c:v>61</c:v>
                </c:pt>
                <c:pt idx="25">
                  <c:v>61</c:v>
                </c:pt>
                <c:pt idx="26">
                  <c:v>65</c:v>
                </c:pt>
                <c:pt idx="27">
                  <c:v>61</c:v>
                </c:pt>
                <c:pt idx="28">
                  <c:v>61</c:v>
                </c:pt>
                <c:pt idx="29">
                  <c:v>67</c:v>
                </c:pt>
                <c:pt idx="30">
                  <c:v>66</c:v>
                </c:pt>
              </c:numCache>
            </c:numRef>
          </c:val>
          <c:smooth val="0"/>
          <c:extLst>
            <c:ext xmlns:c16="http://schemas.microsoft.com/office/drawing/2014/chart" uri="{C3380CC4-5D6E-409C-BE32-E72D297353CC}">
              <c16:uniqueId val="{00000001-4495-45D4-A9DF-CD458C244F2A}"/>
            </c:ext>
          </c:extLst>
        </c:ser>
        <c:dLbls>
          <c:showLegendKey val="0"/>
          <c:showVal val="0"/>
          <c:showCatName val="0"/>
          <c:showSerName val="0"/>
          <c:showPercent val="0"/>
          <c:showBubbleSize val="0"/>
        </c:dLbls>
        <c:smooth val="0"/>
        <c:axId val="438049712"/>
        <c:axId val="624071632"/>
      </c:lineChart>
      <c:catAx>
        <c:axId val="43804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071632"/>
        <c:crosses val="autoZero"/>
        <c:auto val="1"/>
        <c:lblAlgn val="ctr"/>
        <c:lblOffset val="100"/>
        <c:noMultiLvlLbl val="0"/>
      </c:catAx>
      <c:valAx>
        <c:axId val="624071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8049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dLbls>
            <c:dLbl>
              <c:idx val="1"/>
              <c:spPr/>
              <c:txPr>
                <a:bodyPr/>
                <a:lstStyle/>
                <a:p>
                  <a:pPr>
                    <a:defRPr>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0-A119-498A-987A-C72F511239F3}"/>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'TOATE!'!$B$48:$D$48</c:f>
              <c:strCache>
                <c:ptCount val="3"/>
                <c:pt idx="0">
                  <c:v>Proiecte implementate</c:v>
                </c:pt>
                <c:pt idx="1">
                  <c:v>Proiecte în curs de implementare</c:v>
                </c:pt>
                <c:pt idx="2">
                  <c:v>Proiecte neimplementate/ situație nespecificată</c:v>
                </c:pt>
              </c:strCache>
            </c:strRef>
          </c:cat>
          <c:val>
            <c:numRef>
              <c:f>'TOATE!'!$B$122:$D$122</c:f>
              <c:numCache>
                <c:formatCode>0.0%</c:formatCode>
                <c:ptCount val="3"/>
                <c:pt idx="0">
                  <c:v>0.22222222222222221</c:v>
                </c:pt>
                <c:pt idx="1">
                  <c:v>0.15555555555555556</c:v>
                </c:pt>
                <c:pt idx="2">
                  <c:v>0.62222222222222223</c:v>
                </c:pt>
              </c:numCache>
            </c:numRef>
          </c:val>
          <c:extLst>
            <c:ext xmlns:c16="http://schemas.microsoft.com/office/drawing/2014/chart" uri="{C3380CC4-5D6E-409C-BE32-E72D297353CC}">
              <c16:uniqueId val="{00000001-A119-498A-987A-C72F511239F3}"/>
            </c:ext>
          </c:extLst>
        </c:ser>
        <c:dLbls>
          <c:showLegendKey val="0"/>
          <c:showVal val="1"/>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spPr>
    <a:ln>
      <a:noFill/>
    </a:ln>
  </c:sp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Sheet1!$A$34</c:f>
              <c:strCache>
                <c:ptCount val="1"/>
                <c:pt idx="0">
                  <c:v>NO2</c:v>
                </c:pt>
              </c:strCache>
            </c:strRef>
          </c:tx>
          <c:spPr>
            <a:solidFill>
              <a:schemeClr val="accent1"/>
            </a:solidFill>
            <a:ln>
              <a:noFill/>
            </a:ln>
            <a:effectLst/>
          </c:spPr>
          <c:invertIfNegative val="0"/>
          <c:cat>
            <c:numRef>
              <c:f>Sheet1!$B$33:$G$33</c:f>
              <c:numCache>
                <c:formatCode>General</c:formatCode>
                <c:ptCount val="6"/>
                <c:pt idx="0">
                  <c:v>2015</c:v>
                </c:pt>
                <c:pt idx="1">
                  <c:v>2016</c:v>
                </c:pt>
                <c:pt idx="2">
                  <c:v>2017</c:v>
                </c:pt>
                <c:pt idx="3">
                  <c:v>2018</c:v>
                </c:pt>
                <c:pt idx="4">
                  <c:v>2019</c:v>
                </c:pt>
                <c:pt idx="5">
                  <c:v>2020</c:v>
                </c:pt>
              </c:numCache>
            </c:numRef>
          </c:cat>
          <c:val>
            <c:numRef>
              <c:f>Sheet1!$B$34:$G$34</c:f>
              <c:numCache>
                <c:formatCode>General</c:formatCode>
                <c:ptCount val="6"/>
                <c:pt idx="0">
                  <c:v>0</c:v>
                </c:pt>
                <c:pt idx="1">
                  <c:v>0</c:v>
                </c:pt>
                <c:pt idx="2">
                  <c:v>52</c:v>
                </c:pt>
                <c:pt idx="3">
                  <c:v>59</c:v>
                </c:pt>
                <c:pt idx="4">
                  <c:v>0</c:v>
                </c:pt>
                <c:pt idx="5">
                  <c:v>40</c:v>
                </c:pt>
              </c:numCache>
            </c:numRef>
          </c:val>
          <c:extLst>
            <c:ext xmlns:c16="http://schemas.microsoft.com/office/drawing/2014/chart" uri="{C3380CC4-5D6E-409C-BE32-E72D297353CC}">
              <c16:uniqueId val="{00000000-EF44-486F-8D36-ED6A8D6A510A}"/>
            </c:ext>
          </c:extLst>
        </c:ser>
        <c:ser>
          <c:idx val="1"/>
          <c:order val="1"/>
          <c:tx>
            <c:strRef>
              <c:f>Sheet1!$A$35</c:f>
              <c:strCache>
                <c:ptCount val="1"/>
                <c:pt idx="0">
                  <c:v>SO2</c:v>
                </c:pt>
              </c:strCache>
            </c:strRef>
          </c:tx>
          <c:spPr>
            <a:solidFill>
              <a:schemeClr val="accent2"/>
            </a:solidFill>
            <a:ln>
              <a:noFill/>
            </a:ln>
            <a:effectLst/>
          </c:spPr>
          <c:invertIfNegative val="0"/>
          <c:cat>
            <c:numRef>
              <c:f>Sheet1!$B$33:$G$33</c:f>
              <c:numCache>
                <c:formatCode>General</c:formatCode>
                <c:ptCount val="6"/>
                <c:pt idx="0">
                  <c:v>2015</c:v>
                </c:pt>
                <c:pt idx="1">
                  <c:v>2016</c:v>
                </c:pt>
                <c:pt idx="2">
                  <c:v>2017</c:v>
                </c:pt>
                <c:pt idx="3">
                  <c:v>2018</c:v>
                </c:pt>
                <c:pt idx="4">
                  <c:v>2019</c:v>
                </c:pt>
                <c:pt idx="5">
                  <c:v>2020</c:v>
                </c:pt>
              </c:numCache>
            </c:numRef>
          </c:cat>
          <c:val>
            <c:numRef>
              <c:f>Sheet1!$B$35:$G$35</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EF44-486F-8D36-ED6A8D6A510A}"/>
            </c:ext>
          </c:extLst>
        </c:ser>
        <c:ser>
          <c:idx val="2"/>
          <c:order val="2"/>
          <c:tx>
            <c:strRef>
              <c:f>Sheet1!$A$36</c:f>
              <c:strCache>
                <c:ptCount val="1"/>
                <c:pt idx="0">
                  <c:v>PM10</c:v>
                </c:pt>
              </c:strCache>
            </c:strRef>
          </c:tx>
          <c:spPr>
            <a:solidFill>
              <a:schemeClr val="accent3"/>
            </a:solidFill>
            <a:ln>
              <a:noFill/>
            </a:ln>
            <a:effectLst/>
          </c:spPr>
          <c:invertIfNegative val="0"/>
          <c:cat>
            <c:numRef>
              <c:f>Sheet1!$B$33:$G$33</c:f>
              <c:numCache>
                <c:formatCode>General</c:formatCode>
                <c:ptCount val="6"/>
                <c:pt idx="0">
                  <c:v>2015</c:v>
                </c:pt>
                <c:pt idx="1">
                  <c:v>2016</c:v>
                </c:pt>
                <c:pt idx="2">
                  <c:v>2017</c:v>
                </c:pt>
                <c:pt idx="3">
                  <c:v>2018</c:v>
                </c:pt>
                <c:pt idx="4">
                  <c:v>2019</c:v>
                </c:pt>
                <c:pt idx="5">
                  <c:v>2020</c:v>
                </c:pt>
              </c:numCache>
            </c:numRef>
          </c:cat>
          <c:val>
            <c:numRef>
              <c:f>Sheet1!$B$36:$G$36</c:f>
              <c:numCache>
                <c:formatCode>General</c:formatCode>
                <c:ptCount val="6"/>
                <c:pt idx="0">
                  <c:v>0</c:v>
                </c:pt>
                <c:pt idx="1">
                  <c:v>0</c:v>
                </c:pt>
                <c:pt idx="2">
                  <c:v>38</c:v>
                </c:pt>
                <c:pt idx="3">
                  <c:v>39</c:v>
                </c:pt>
                <c:pt idx="4">
                  <c:v>37</c:v>
                </c:pt>
                <c:pt idx="5">
                  <c:v>32</c:v>
                </c:pt>
              </c:numCache>
            </c:numRef>
          </c:val>
          <c:extLst>
            <c:ext xmlns:c16="http://schemas.microsoft.com/office/drawing/2014/chart" uri="{C3380CC4-5D6E-409C-BE32-E72D297353CC}">
              <c16:uniqueId val="{00000002-EF44-486F-8D36-ED6A8D6A510A}"/>
            </c:ext>
          </c:extLst>
        </c:ser>
        <c:ser>
          <c:idx val="3"/>
          <c:order val="3"/>
          <c:tx>
            <c:strRef>
              <c:f>Sheet1!$A$37</c:f>
              <c:strCache>
                <c:ptCount val="1"/>
                <c:pt idx="0">
                  <c:v>Pb</c:v>
                </c:pt>
              </c:strCache>
            </c:strRef>
          </c:tx>
          <c:spPr>
            <a:solidFill>
              <a:schemeClr val="accent4"/>
            </a:solidFill>
            <a:ln>
              <a:noFill/>
            </a:ln>
            <a:effectLst/>
          </c:spPr>
          <c:invertIfNegative val="0"/>
          <c:cat>
            <c:numRef>
              <c:f>Sheet1!$B$33:$G$33</c:f>
              <c:numCache>
                <c:formatCode>General</c:formatCode>
                <c:ptCount val="6"/>
                <c:pt idx="0">
                  <c:v>2015</c:v>
                </c:pt>
                <c:pt idx="1">
                  <c:v>2016</c:v>
                </c:pt>
                <c:pt idx="2">
                  <c:v>2017</c:v>
                </c:pt>
                <c:pt idx="3">
                  <c:v>2018</c:v>
                </c:pt>
                <c:pt idx="4">
                  <c:v>2019</c:v>
                </c:pt>
                <c:pt idx="5">
                  <c:v>2020</c:v>
                </c:pt>
              </c:numCache>
            </c:numRef>
          </c:cat>
          <c:val>
            <c:numRef>
              <c:f>Sheet1!$B$37:$G$37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EF44-486F-8D36-ED6A8D6A510A}"/>
            </c:ext>
          </c:extLst>
        </c:ser>
        <c:ser>
          <c:idx val="4"/>
          <c:order val="4"/>
          <c:tx>
            <c:strRef>
              <c:f>Sheet1!$A$38</c:f>
              <c:strCache>
                <c:ptCount val="1"/>
                <c:pt idx="0">
                  <c:v>Cd</c:v>
                </c:pt>
              </c:strCache>
            </c:strRef>
          </c:tx>
          <c:spPr>
            <a:solidFill>
              <a:schemeClr val="accent5"/>
            </a:solidFill>
            <a:ln>
              <a:noFill/>
            </a:ln>
            <a:effectLst/>
          </c:spPr>
          <c:invertIfNegative val="0"/>
          <c:cat>
            <c:numRef>
              <c:f>Sheet1!$B$33:$G$33</c:f>
              <c:numCache>
                <c:formatCode>General</c:formatCode>
                <c:ptCount val="6"/>
                <c:pt idx="0">
                  <c:v>2015</c:v>
                </c:pt>
                <c:pt idx="1">
                  <c:v>2016</c:v>
                </c:pt>
                <c:pt idx="2">
                  <c:v>2017</c:v>
                </c:pt>
                <c:pt idx="3">
                  <c:v>2018</c:v>
                </c:pt>
                <c:pt idx="4">
                  <c:v>2019</c:v>
                </c:pt>
                <c:pt idx="5">
                  <c:v>2020</c:v>
                </c:pt>
              </c:numCache>
            </c:numRef>
          </c:cat>
          <c:val>
            <c:numRef>
              <c:f>Sheet1!$B$38:$G$38</c:f>
              <c:numCache>
                <c:formatCode>General</c:formatCode>
                <c:ptCount val="6"/>
                <c:pt idx="0">
                  <c:v>0</c:v>
                </c:pt>
                <c:pt idx="1">
                  <c:v>0</c:v>
                </c:pt>
                <c:pt idx="2">
                  <c:v>1</c:v>
                </c:pt>
                <c:pt idx="3">
                  <c:v>0.5</c:v>
                </c:pt>
                <c:pt idx="4">
                  <c:v>0.5</c:v>
                </c:pt>
                <c:pt idx="5">
                  <c:v>0.5</c:v>
                </c:pt>
              </c:numCache>
            </c:numRef>
          </c:val>
          <c:extLst>
            <c:ext xmlns:c16="http://schemas.microsoft.com/office/drawing/2014/chart" uri="{C3380CC4-5D6E-409C-BE32-E72D297353CC}">
              <c16:uniqueId val="{00000004-EF44-486F-8D36-ED6A8D6A510A}"/>
            </c:ext>
          </c:extLst>
        </c:ser>
        <c:ser>
          <c:idx val="5"/>
          <c:order val="5"/>
          <c:tx>
            <c:strRef>
              <c:f>Sheet1!$A$39</c:f>
              <c:strCache>
                <c:ptCount val="1"/>
                <c:pt idx="0">
                  <c:v>Ni</c:v>
                </c:pt>
              </c:strCache>
            </c:strRef>
          </c:tx>
          <c:spPr>
            <a:solidFill>
              <a:schemeClr val="accent6"/>
            </a:solidFill>
            <a:ln>
              <a:noFill/>
            </a:ln>
            <a:effectLst/>
          </c:spPr>
          <c:invertIfNegative val="0"/>
          <c:cat>
            <c:numRef>
              <c:f>Sheet1!$B$33:$G$33</c:f>
              <c:numCache>
                <c:formatCode>General</c:formatCode>
                <c:ptCount val="6"/>
                <c:pt idx="0">
                  <c:v>2015</c:v>
                </c:pt>
                <c:pt idx="1">
                  <c:v>2016</c:v>
                </c:pt>
                <c:pt idx="2">
                  <c:v>2017</c:v>
                </c:pt>
                <c:pt idx="3">
                  <c:v>2018</c:v>
                </c:pt>
                <c:pt idx="4">
                  <c:v>2019</c:v>
                </c:pt>
                <c:pt idx="5">
                  <c:v>2020</c:v>
                </c:pt>
              </c:numCache>
            </c:numRef>
          </c:cat>
          <c:val>
            <c:numRef>
              <c:f>Sheet1!$B$39:$G$39</c:f>
              <c:numCache>
                <c:formatCode>General</c:formatCode>
                <c:ptCount val="6"/>
                <c:pt idx="0">
                  <c:v>0</c:v>
                </c:pt>
                <c:pt idx="1">
                  <c:v>0</c:v>
                </c:pt>
                <c:pt idx="2">
                  <c:v>4</c:v>
                </c:pt>
                <c:pt idx="3">
                  <c:v>5</c:v>
                </c:pt>
                <c:pt idx="4">
                  <c:v>2</c:v>
                </c:pt>
                <c:pt idx="5">
                  <c:v>0</c:v>
                </c:pt>
              </c:numCache>
            </c:numRef>
          </c:val>
          <c:extLst>
            <c:ext xmlns:c16="http://schemas.microsoft.com/office/drawing/2014/chart" uri="{C3380CC4-5D6E-409C-BE32-E72D297353CC}">
              <c16:uniqueId val="{00000005-EF44-486F-8D36-ED6A8D6A510A}"/>
            </c:ext>
          </c:extLst>
        </c:ser>
        <c:dLbls>
          <c:showLegendKey val="0"/>
          <c:showVal val="0"/>
          <c:showCatName val="0"/>
          <c:showSerName val="0"/>
          <c:showPercent val="0"/>
          <c:showBubbleSize val="0"/>
        </c:dLbls>
        <c:gapWidth val="219"/>
        <c:overlap val="-27"/>
        <c:axId val="409639952"/>
        <c:axId val="248476864"/>
      </c:barChart>
      <c:catAx>
        <c:axId val="40963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476864"/>
        <c:crosses val="autoZero"/>
        <c:auto val="1"/>
        <c:lblAlgn val="ctr"/>
        <c:lblOffset val="100"/>
        <c:noMultiLvlLbl val="0"/>
      </c:catAx>
      <c:valAx>
        <c:axId val="2484768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639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51B-4603-8946-3475FC7AF3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51B-4603-8946-3475FC7AF3C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51B-4603-8946-3475FC7AF3C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51B-4603-8946-3475FC7AF3C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'spatii verzi'!$A$2:$A$5</c:f>
              <c:strCache>
                <c:ptCount val="4"/>
                <c:pt idx="0">
                  <c:v>Parcuri</c:v>
                </c:pt>
                <c:pt idx="1">
                  <c:v>Scuaruri</c:v>
                </c:pt>
                <c:pt idx="2">
                  <c:v>Platbande și fâșii verzi</c:v>
                </c:pt>
                <c:pt idx="3">
                  <c:v>Zone verzi aferente blocurilor</c:v>
                </c:pt>
              </c:strCache>
            </c:strRef>
          </c:cat>
          <c:val>
            <c:numRef>
              <c:f>'spatii verzi'!$B$2:$B$5</c:f>
              <c:numCache>
                <c:formatCode>0.00</c:formatCode>
                <c:ptCount val="4"/>
                <c:pt idx="0">
                  <c:v>67.631866000000002</c:v>
                </c:pt>
                <c:pt idx="1">
                  <c:v>16.623315999999999</c:v>
                </c:pt>
                <c:pt idx="2">
                  <c:v>11.88508</c:v>
                </c:pt>
                <c:pt idx="3">
                  <c:v>112.47645199999999</c:v>
                </c:pt>
              </c:numCache>
            </c:numRef>
          </c:val>
          <c:extLst>
            <c:ext xmlns:c16="http://schemas.microsoft.com/office/drawing/2014/chart" uri="{C3380CC4-5D6E-409C-BE32-E72D297353CC}">
              <c16:uniqueId val="{00000008-251B-4603-8946-3475FC7AF3C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'[template excel CIV.xlsx]Sheet1'!$B$29</c:f>
              <c:strCache>
                <c:ptCount val="1"/>
                <c:pt idx="0">
                  <c:v>Sector 1</c:v>
                </c:pt>
              </c:strCache>
            </c:strRef>
          </c:tx>
          <c:spPr>
            <a:solidFill>
              <a:schemeClr val="accent1"/>
            </a:solidFill>
            <a:ln>
              <a:noFill/>
            </a:ln>
            <a:effectLst/>
          </c:spPr>
          <c:invertIfNegative val="0"/>
          <c:cat>
            <c:numRef>
              <c:f>'[template excel CIV.xlsx]Sheet1'!$C$28:$P$28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'[template excel CIV.xlsx]Sheet1'!$C$29:$P$29</c:f>
              <c:numCache>
                <c:formatCode>#,##0</c:formatCode>
                <c:ptCount val="14"/>
                <c:pt idx="0">
                  <c:v>811043662</c:v>
                </c:pt>
                <c:pt idx="1">
                  <c:v>1001340067</c:v>
                </c:pt>
                <c:pt idx="2">
                  <c:v>1050373392</c:v>
                </c:pt>
                <c:pt idx="3">
                  <c:v>1030548556</c:v>
                </c:pt>
                <c:pt idx="4">
                  <c:v>1078352021</c:v>
                </c:pt>
                <c:pt idx="5">
                  <c:v>1040752812</c:v>
                </c:pt>
                <c:pt idx="6">
                  <c:v>1085865182</c:v>
                </c:pt>
                <c:pt idx="7">
                  <c:v>1092115488</c:v>
                </c:pt>
                <c:pt idx="8" formatCode="_(* #,##0_);_(* \(#,##0\);_(* &quot;-&quot;??_);_(@_)">
                  <c:v>1163389607</c:v>
                </c:pt>
                <c:pt idx="9">
                  <c:v>1169064273.8099999</c:v>
                </c:pt>
                <c:pt idx="10">
                  <c:v>1258721543</c:v>
                </c:pt>
                <c:pt idx="11">
                  <c:v>1198412294</c:v>
                </c:pt>
                <c:pt idx="12">
                  <c:v>1234611298</c:v>
                </c:pt>
                <c:pt idx="13">
                  <c:v>1206397020</c:v>
                </c:pt>
              </c:numCache>
            </c:numRef>
          </c:val>
          <c:extLst>
            <c:ext xmlns:c16="http://schemas.microsoft.com/office/drawing/2014/chart" uri="{C3380CC4-5D6E-409C-BE32-E72D297353CC}">
              <c16:uniqueId val="{00000000-F247-4353-9556-EB60A175E610}"/>
            </c:ext>
          </c:extLst>
        </c:ser>
        <c:ser>
          <c:idx val="1"/>
          <c:order val="1"/>
          <c:tx>
            <c:strRef>
              <c:f>'[template excel CIV.xlsx]Sheet1'!$B$30</c:f>
              <c:strCache>
                <c:ptCount val="1"/>
                <c:pt idx="0">
                  <c:v>Sector 2</c:v>
                </c:pt>
              </c:strCache>
            </c:strRef>
          </c:tx>
          <c:spPr>
            <a:solidFill>
              <a:schemeClr val="accent2"/>
            </a:solidFill>
            <a:ln>
              <a:noFill/>
            </a:ln>
            <a:effectLst/>
          </c:spPr>
          <c:invertIfNegative val="0"/>
          <c:dLbls>
            <c:dLbl>
              <c:idx val="0"/>
              <c:layout>
                <c:manualLayout>
                  <c:x val="4.1562759767248547E-3"/>
                  <c:y val="-4.61680517082179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47-4353-9556-EB60A175E610}"/>
                </c:ext>
              </c:extLst>
            </c:dLbl>
            <c:dLbl>
              <c:idx val="1"/>
              <c:layout>
                <c:manualLayout>
                  <c:x val="6.2344139650872821E-3"/>
                  <c:y val="-2.116011258950691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47-4353-9556-EB60A175E610}"/>
                </c:ext>
              </c:extLst>
            </c:dLbl>
            <c:dLbl>
              <c:idx val="2"/>
              <c:layout>
                <c:manualLayout>
                  <c:x val="6.234413965087282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47-4353-9556-EB60A175E610}"/>
                </c:ext>
              </c:extLst>
            </c:dLbl>
            <c:dLbl>
              <c:idx val="3"/>
              <c:layout>
                <c:manualLayout>
                  <c:x val="8.312551953449671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247-4353-9556-EB60A175E610}"/>
                </c:ext>
              </c:extLst>
            </c:dLbl>
            <c:dLbl>
              <c:idx val="4"/>
              <c:layout>
                <c:manualLayout>
                  <c:x val="8.3125519534497094E-3"/>
                  <c:y val="4.8309178743961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47-4353-9556-EB60A175E610}"/>
                </c:ext>
              </c:extLst>
            </c:dLbl>
            <c:dLbl>
              <c:idx val="5"/>
              <c:layout>
                <c:manualLayout>
                  <c:x val="4.156275976724854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47-4353-9556-EB60A175E610}"/>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'[template excel CIV.xlsx]Sheet1'!$C$28:$P$28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'[template excel CIV.xlsx]Sheet1'!$C$30:$P$30</c:f>
              <c:numCache>
                <c:formatCode>#,##0</c:formatCode>
                <c:ptCount val="14"/>
                <c:pt idx="0">
                  <c:v>584093141</c:v>
                </c:pt>
                <c:pt idx="1">
                  <c:v>735422944</c:v>
                </c:pt>
                <c:pt idx="2">
                  <c:v>709932506</c:v>
                </c:pt>
                <c:pt idx="3">
                  <c:v>740895266</c:v>
                </c:pt>
                <c:pt idx="4">
                  <c:v>769338484</c:v>
                </c:pt>
                <c:pt idx="5">
                  <c:v>734288862</c:v>
                </c:pt>
                <c:pt idx="6">
                  <c:v>756136061</c:v>
                </c:pt>
                <c:pt idx="7">
                  <c:v>779024087</c:v>
                </c:pt>
                <c:pt idx="8" formatCode="_(* #,##0_);_(* \(#,##0\);_(* &quot;-&quot;??_);_(@_)">
                  <c:v>839671337</c:v>
                </c:pt>
                <c:pt idx="9">
                  <c:v>903153805</c:v>
                </c:pt>
                <c:pt idx="10">
                  <c:v>967993879</c:v>
                </c:pt>
                <c:pt idx="11">
                  <c:v>880400249</c:v>
                </c:pt>
                <c:pt idx="12">
                  <c:v>890219509</c:v>
                </c:pt>
                <c:pt idx="13">
                  <c:v>1028302722</c:v>
                </c:pt>
              </c:numCache>
            </c:numRef>
          </c:val>
          <c:extLst>
            <c:ext xmlns:c16="http://schemas.microsoft.com/office/drawing/2014/chart" uri="{C3380CC4-5D6E-409C-BE32-E72D297353CC}">
              <c16:uniqueId val="{00000007-F247-4353-9556-EB60A175E610}"/>
            </c:ext>
          </c:extLst>
        </c:ser>
        <c:ser>
          <c:idx val="2"/>
          <c:order val="2"/>
          <c:tx>
            <c:strRef>
              <c:f>'[template excel CIV.xlsx]Sheet1'!$B$31</c:f>
              <c:strCache>
                <c:ptCount val="1"/>
                <c:pt idx="0">
                  <c:v>Sector 3</c:v>
                </c:pt>
              </c:strCache>
            </c:strRef>
          </c:tx>
          <c:spPr>
            <a:solidFill>
              <a:schemeClr val="accent3"/>
            </a:solidFill>
            <a:ln>
              <a:noFill/>
            </a:ln>
            <a:effectLst/>
          </c:spPr>
          <c:invertIfNegative val="0"/>
          <c:cat>
            <c:numRef>
              <c:f>'[template excel CIV.xlsx]Sheet1'!$C$28:$P$28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'[template excel CIV.xlsx]Sheet1'!$C$31:$P$31</c:f>
              <c:numCache>
                <c:formatCode>#,##0</c:formatCode>
                <c:ptCount val="14"/>
                <c:pt idx="0">
                  <c:v>533197340</c:v>
                </c:pt>
                <c:pt idx="1">
                  <c:v>617293161</c:v>
                </c:pt>
                <c:pt idx="2">
                  <c:v>713702260</c:v>
                </c:pt>
                <c:pt idx="3">
                  <c:v>664013778</c:v>
                </c:pt>
                <c:pt idx="4">
                  <c:v>721478130</c:v>
                </c:pt>
                <c:pt idx="5">
                  <c:v>639899539</c:v>
                </c:pt>
                <c:pt idx="6">
                  <c:v>643351787</c:v>
                </c:pt>
                <c:pt idx="7">
                  <c:v>727268274</c:v>
                </c:pt>
                <c:pt idx="8" formatCode="_(* #,##0_);_(* \(#,##0\);_(* &quot;-&quot;??_);_(@_)">
                  <c:v>764341084</c:v>
                </c:pt>
                <c:pt idx="9">
                  <c:v>860359903</c:v>
                </c:pt>
                <c:pt idx="10">
                  <c:v>893418044</c:v>
                </c:pt>
                <c:pt idx="11">
                  <c:v>1131820355</c:v>
                </c:pt>
                <c:pt idx="12">
                  <c:v>1151389960</c:v>
                </c:pt>
                <c:pt idx="13">
                  <c:v>1157991118</c:v>
                </c:pt>
              </c:numCache>
            </c:numRef>
          </c:val>
          <c:extLst>
            <c:ext xmlns:c16="http://schemas.microsoft.com/office/drawing/2014/chart" uri="{C3380CC4-5D6E-409C-BE32-E72D297353CC}">
              <c16:uniqueId val="{00000008-F247-4353-9556-EB60A175E610}"/>
            </c:ext>
          </c:extLst>
        </c:ser>
        <c:ser>
          <c:idx val="3"/>
          <c:order val="3"/>
          <c:tx>
            <c:strRef>
              <c:f>'[template excel CIV.xlsx]Sheet1'!$B$32</c:f>
              <c:strCache>
                <c:ptCount val="1"/>
                <c:pt idx="0">
                  <c:v>Sector 4</c:v>
                </c:pt>
              </c:strCache>
            </c:strRef>
          </c:tx>
          <c:spPr>
            <a:solidFill>
              <a:schemeClr val="accent4"/>
            </a:solidFill>
            <a:ln>
              <a:noFill/>
            </a:ln>
            <a:effectLst/>
          </c:spPr>
          <c:invertIfNegative val="0"/>
          <c:cat>
            <c:numRef>
              <c:f>'[template excel CIV.xlsx]Sheet1'!$C$28:$P$28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'[template excel CIV.xlsx]Sheet1'!$C$32:$P$32</c:f>
              <c:numCache>
                <c:formatCode>#,##0</c:formatCode>
                <c:ptCount val="14"/>
                <c:pt idx="0">
                  <c:v>369543355</c:v>
                </c:pt>
                <c:pt idx="1">
                  <c:v>477045789</c:v>
                </c:pt>
                <c:pt idx="2">
                  <c:v>489915599</c:v>
                </c:pt>
                <c:pt idx="3">
                  <c:v>494510773</c:v>
                </c:pt>
                <c:pt idx="4">
                  <c:v>468088769</c:v>
                </c:pt>
                <c:pt idx="5">
                  <c:v>437418366</c:v>
                </c:pt>
                <c:pt idx="6">
                  <c:v>471869240</c:v>
                </c:pt>
                <c:pt idx="7">
                  <c:v>533342176</c:v>
                </c:pt>
                <c:pt idx="8" formatCode="_(* #,##0_);_(* \(#,##0\);_(* &quot;-&quot;??_);_(@_)">
                  <c:v>522135102</c:v>
                </c:pt>
                <c:pt idx="9">
                  <c:v>562673761.29999995</c:v>
                </c:pt>
                <c:pt idx="10">
                  <c:v>635740018</c:v>
                </c:pt>
                <c:pt idx="11">
                  <c:v>697893942</c:v>
                </c:pt>
                <c:pt idx="12">
                  <c:v>763022135</c:v>
                </c:pt>
                <c:pt idx="13">
                  <c:v>860018779</c:v>
                </c:pt>
              </c:numCache>
            </c:numRef>
          </c:val>
          <c:extLst>
            <c:ext xmlns:c16="http://schemas.microsoft.com/office/drawing/2014/chart" uri="{C3380CC4-5D6E-409C-BE32-E72D297353CC}">
              <c16:uniqueId val="{00000009-F247-4353-9556-EB60A175E610}"/>
            </c:ext>
          </c:extLst>
        </c:ser>
        <c:ser>
          <c:idx val="4"/>
          <c:order val="4"/>
          <c:tx>
            <c:strRef>
              <c:f>'[template excel CIV.xlsx]Sheet1'!$B$33</c:f>
              <c:strCache>
                <c:ptCount val="1"/>
                <c:pt idx="0">
                  <c:v> Sector 5</c:v>
                </c:pt>
              </c:strCache>
            </c:strRef>
          </c:tx>
          <c:spPr>
            <a:solidFill>
              <a:schemeClr val="accent5"/>
            </a:solidFill>
            <a:ln>
              <a:noFill/>
            </a:ln>
            <a:effectLst/>
          </c:spPr>
          <c:invertIfNegative val="0"/>
          <c:cat>
            <c:numRef>
              <c:f>'[template excel CIV.xlsx]Sheet1'!$C$28:$P$28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'[template excel CIV.xlsx]Sheet1'!$C$33:$P$33</c:f>
              <c:numCache>
                <c:formatCode>#,##0</c:formatCode>
                <c:ptCount val="14"/>
                <c:pt idx="0">
                  <c:v>341436128</c:v>
                </c:pt>
                <c:pt idx="1">
                  <c:v>379589428</c:v>
                </c:pt>
                <c:pt idx="2">
                  <c:v>503559665</c:v>
                </c:pt>
                <c:pt idx="3">
                  <c:v>447327544</c:v>
                </c:pt>
                <c:pt idx="4">
                  <c:v>388145311</c:v>
                </c:pt>
                <c:pt idx="5">
                  <c:v>368598098</c:v>
                </c:pt>
                <c:pt idx="6">
                  <c:v>391186134</c:v>
                </c:pt>
                <c:pt idx="7">
                  <c:v>477269914</c:v>
                </c:pt>
                <c:pt idx="8" formatCode="_(* #,##0_);_(* \(#,##0\);_(* &quot;-&quot;??_);_(@_)">
                  <c:v>461525239</c:v>
                </c:pt>
                <c:pt idx="9">
                  <c:v>485447595</c:v>
                </c:pt>
                <c:pt idx="10">
                  <c:v>585610722</c:v>
                </c:pt>
                <c:pt idx="11">
                  <c:v>542918861</c:v>
                </c:pt>
                <c:pt idx="12">
                  <c:v>607058677</c:v>
                </c:pt>
                <c:pt idx="13">
                  <c:v>626763549</c:v>
                </c:pt>
              </c:numCache>
            </c:numRef>
          </c:val>
          <c:extLst>
            <c:ext xmlns:c16="http://schemas.microsoft.com/office/drawing/2014/chart" uri="{C3380CC4-5D6E-409C-BE32-E72D297353CC}">
              <c16:uniqueId val="{0000000A-F247-4353-9556-EB60A175E610}"/>
            </c:ext>
          </c:extLst>
        </c:ser>
        <c:ser>
          <c:idx val="5"/>
          <c:order val="5"/>
          <c:tx>
            <c:strRef>
              <c:f>'[template excel CIV.xlsx]Sheet1'!$B$34</c:f>
              <c:strCache>
                <c:ptCount val="1"/>
                <c:pt idx="0">
                  <c:v> Sector 6</c:v>
                </c:pt>
              </c:strCache>
            </c:strRef>
          </c:tx>
          <c:spPr>
            <a:solidFill>
              <a:schemeClr val="accent6"/>
            </a:solidFill>
            <a:ln>
              <a:noFill/>
            </a:ln>
            <a:effectLst/>
          </c:spPr>
          <c:invertIfNegative val="0"/>
          <c:cat>
            <c:numRef>
              <c:f>'[template excel CIV.xlsx]Sheet1'!$C$28:$P$28</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'[template excel CIV.xlsx]Sheet1'!$C$34:$P$34</c:f>
              <c:numCache>
                <c:formatCode>#,##0</c:formatCode>
                <c:ptCount val="14"/>
                <c:pt idx="0">
                  <c:v>486049357</c:v>
                </c:pt>
                <c:pt idx="1">
                  <c:v>581666371</c:v>
                </c:pt>
                <c:pt idx="2">
                  <c:v>650116050</c:v>
                </c:pt>
                <c:pt idx="3">
                  <c:v>597785493</c:v>
                </c:pt>
                <c:pt idx="4">
                  <c:v>579132257</c:v>
                </c:pt>
                <c:pt idx="5">
                  <c:v>543090698</c:v>
                </c:pt>
                <c:pt idx="6">
                  <c:v>606781955</c:v>
                </c:pt>
                <c:pt idx="7">
                  <c:v>721848874</c:v>
                </c:pt>
                <c:pt idx="8" formatCode="_(* #,##0_);_(* \(#,##0\);_(* &quot;-&quot;??_);_(@_)">
                  <c:v>721939944</c:v>
                </c:pt>
                <c:pt idx="9">
                  <c:v>775236807</c:v>
                </c:pt>
                <c:pt idx="10">
                  <c:v>785985063</c:v>
                </c:pt>
                <c:pt idx="11">
                  <c:v>782636167</c:v>
                </c:pt>
                <c:pt idx="12">
                  <c:v>858987852</c:v>
                </c:pt>
                <c:pt idx="13">
                  <c:v>982455743</c:v>
                </c:pt>
              </c:numCache>
            </c:numRef>
          </c:val>
          <c:extLst>
            <c:ext xmlns:c16="http://schemas.microsoft.com/office/drawing/2014/chart" uri="{C3380CC4-5D6E-409C-BE32-E72D297353CC}">
              <c16:uniqueId val="{0000000B-F247-4353-9556-EB60A175E610}"/>
            </c:ext>
          </c:extLst>
        </c:ser>
        <c:dLbls>
          <c:showLegendKey val="0"/>
          <c:showVal val="0"/>
          <c:showCatName val="0"/>
          <c:showSerName val="0"/>
          <c:showPercent val="0"/>
          <c:showBubbleSize val="0"/>
        </c:dLbls>
        <c:gapWidth val="219"/>
        <c:overlap val="-27"/>
        <c:axId val="142380816"/>
        <c:axId val="142374288"/>
      </c:barChart>
      <c:catAx>
        <c:axId val="14238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374288"/>
        <c:crosses val="autoZero"/>
        <c:auto val="1"/>
        <c:lblAlgn val="ctr"/>
        <c:lblOffset val="100"/>
        <c:noMultiLvlLbl val="0"/>
      </c:catAx>
      <c:valAx>
        <c:axId val="142374288"/>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380816"/>
        <c:crosses val="autoZero"/>
        <c:crossBetween val="between"/>
        <c:dispUnits>
          <c:builtInUnit val="millions"/>
        </c:dispUnits>
      </c:valAx>
      <c:spPr>
        <a:noFill/>
        <a:ln w="9525">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'[template excel CIV.xlsx]Sheet1'!$B$6</c:f>
              <c:strCache>
                <c:ptCount val="1"/>
                <c:pt idx="0">
                  <c:v>Venituri </c:v>
                </c:pt>
              </c:strCache>
            </c:strRef>
          </c:tx>
          <c:spPr>
            <a:solidFill>
              <a:schemeClr val="accent1"/>
            </a:solidFill>
            <a:ln>
              <a:noFill/>
            </a:ln>
            <a:effectLst/>
          </c:spPr>
          <c:invertIfNegative val="0"/>
          <c:dLbls>
            <c:dLbl>
              <c:idx val="0"/>
              <c:layout>
                <c:manualLayout>
                  <c:x val="2.2614201718679228E-3"/>
                  <c:y val="0.1918859649122807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A9-4C58-9A30-40DC78F43187}"/>
                </c:ext>
              </c:extLst>
            </c:dLbl>
            <c:dLbl>
              <c:idx val="1"/>
              <c:layout>
                <c:manualLayout>
                  <c:x val="0"/>
                  <c:y val="0.2192982456140350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A9-4C58-9A30-40DC78F43187}"/>
                </c:ext>
              </c:extLst>
            </c:dLbl>
            <c:dLbl>
              <c:idx val="2"/>
              <c:layout>
                <c:manualLayout>
                  <c:x val="4.1458890880933492E-17"/>
                  <c:y val="0.2796052631578947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A9-4C58-9A30-40DC78F43187}"/>
                </c:ext>
              </c:extLst>
            </c:dLbl>
            <c:dLbl>
              <c:idx val="3"/>
              <c:layout>
                <c:manualLayout>
                  <c:x val="0"/>
                  <c:y val="0.3015350877192982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A9-4C58-9A30-40DC78F43187}"/>
                </c:ext>
              </c:extLst>
            </c:dLbl>
            <c:dLbl>
              <c:idx val="4"/>
              <c:layout>
                <c:manualLayout>
                  <c:x val="-8.2917781761866984E-17"/>
                  <c:y val="0.3015350877192982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4A9-4C58-9A30-40DC78F43187}"/>
                </c:ext>
              </c:extLst>
            </c:dLbl>
            <c:dLbl>
              <c:idx val="5"/>
              <c:layout>
                <c:manualLayout>
                  <c:x val="0"/>
                  <c:y val="0.3015350877192982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4A9-4C58-9A30-40DC78F43187}"/>
                </c:ext>
              </c:extLst>
            </c:dLbl>
            <c:dLbl>
              <c:idx val="6"/>
              <c:layout>
                <c:manualLayout>
                  <c:x val="0"/>
                  <c:y val="0.3015350877192982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4A9-4C58-9A30-40DC78F43187}"/>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'[template excel CIV.xlsx]Sheet1'!$C$5:$I$5</c:f>
              <c:numCache>
                <c:formatCode>General</c:formatCode>
                <c:ptCount val="7"/>
                <c:pt idx="0">
                  <c:v>2021</c:v>
                </c:pt>
                <c:pt idx="1">
                  <c:v>2020</c:v>
                </c:pt>
                <c:pt idx="2">
                  <c:v>2019</c:v>
                </c:pt>
                <c:pt idx="3">
                  <c:v>2018</c:v>
                </c:pt>
                <c:pt idx="4">
                  <c:v>2017</c:v>
                </c:pt>
                <c:pt idx="5">
                  <c:v>2016</c:v>
                </c:pt>
                <c:pt idx="6">
                  <c:v>2015</c:v>
                </c:pt>
              </c:numCache>
            </c:numRef>
          </c:cat>
          <c:val>
            <c:numRef>
              <c:f>'[template excel CIV.xlsx]Sheet1'!$C$6:$I$6</c:f>
              <c:numCache>
                <c:formatCode>#,##0</c:formatCode>
                <c:ptCount val="7"/>
                <c:pt idx="0">
                  <c:v>1159062566</c:v>
                </c:pt>
                <c:pt idx="1">
                  <c:v>1028302722</c:v>
                </c:pt>
                <c:pt idx="2">
                  <c:v>890219509</c:v>
                </c:pt>
                <c:pt idx="3">
                  <c:v>880400249</c:v>
                </c:pt>
                <c:pt idx="4">
                  <c:v>967993879</c:v>
                </c:pt>
                <c:pt idx="5">
                  <c:v>903153805</c:v>
                </c:pt>
                <c:pt idx="6">
                  <c:v>839671337</c:v>
                </c:pt>
              </c:numCache>
            </c:numRef>
          </c:val>
          <c:extLst>
            <c:ext xmlns:c16="http://schemas.microsoft.com/office/drawing/2014/chart" uri="{C3380CC4-5D6E-409C-BE32-E72D297353CC}">
              <c16:uniqueId val="{00000007-C4A9-4C58-9A30-40DC78F43187}"/>
            </c:ext>
          </c:extLst>
        </c:ser>
        <c:ser>
          <c:idx val="1"/>
          <c:order val="1"/>
          <c:tx>
            <c:strRef>
              <c:f>'[template excel CIV.xlsx]Sheet1'!$B$7</c:f>
              <c:strCache>
                <c:ptCount val="1"/>
                <c:pt idx="0">
                  <c:v>Cheltuieli</c:v>
                </c:pt>
              </c:strCache>
            </c:strRef>
          </c:tx>
          <c:spPr>
            <a:solidFill>
              <a:schemeClr val="accent3"/>
            </a:solidFill>
            <a:ln>
              <a:noFill/>
            </a:ln>
            <a:effectLst/>
          </c:spPr>
          <c:invertIfNegative val="0"/>
          <c:dLbls>
            <c:dLbl>
              <c:idx val="0"/>
              <c:layout>
                <c:manualLayout>
                  <c:x val="0"/>
                  <c:y val="0.186403508771929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4A9-4C58-9A30-40DC78F43187}"/>
                </c:ext>
              </c:extLst>
            </c:dLbl>
            <c:dLbl>
              <c:idx val="1"/>
              <c:layout>
                <c:manualLayout>
                  <c:x val="0"/>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4A9-4C58-9A30-40DC78F43187}"/>
                </c:ext>
              </c:extLst>
            </c:dLbl>
            <c:dLbl>
              <c:idx val="2"/>
              <c:layout>
                <c:manualLayout>
                  <c:x val="4.1458890880933492E-17"/>
                  <c:y val="0.180921052631578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4A9-4C58-9A30-40DC78F43187}"/>
                </c:ext>
              </c:extLst>
            </c:dLbl>
            <c:dLbl>
              <c:idx val="3"/>
              <c:layout>
                <c:manualLayout>
                  <c:x val="0"/>
                  <c:y val="0.2850877192982456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4A9-4C58-9A30-40DC78F43187}"/>
                </c:ext>
              </c:extLst>
            </c:dLbl>
            <c:dLbl>
              <c:idx val="4"/>
              <c:layout>
                <c:manualLayout>
                  <c:x val="-8.2917781761866984E-17"/>
                  <c:y val="0.246710526315789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4A9-4C58-9A30-40DC78F43187}"/>
                </c:ext>
              </c:extLst>
            </c:dLbl>
            <c:dLbl>
              <c:idx val="5"/>
              <c:layout>
                <c:manualLayout>
                  <c:x val="2.2614201718679332E-3"/>
                  <c:y val="0.263157894736842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4A9-4C58-9A30-40DC78F43187}"/>
                </c:ext>
              </c:extLst>
            </c:dLbl>
            <c:dLbl>
              <c:idx val="6"/>
              <c:layout>
                <c:manualLayout>
                  <c:x val="-1.6583556352373397E-16"/>
                  <c:y val="0.301535087719298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4A9-4C58-9A30-40DC78F43187}"/>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'[template excel CIV.xlsx]Sheet1'!$C$5:$I$5</c:f>
              <c:numCache>
                <c:formatCode>General</c:formatCode>
                <c:ptCount val="7"/>
                <c:pt idx="0">
                  <c:v>2021</c:v>
                </c:pt>
                <c:pt idx="1">
                  <c:v>2020</c:v>
                </c:pt>
                <c:pt idx="2">
                  <c:v>2019</c:v>
                </c:pt>
                <c:pt idx="3">
                  <c:v>2018</c:v>
                </c:pt>
                <c:pt idx="4">
                  <c:v>2017</c:v>
                </c:pt>
                <c:pt idx="5">
                  <c:v>2016</c:v>
                </c:pt>
                <c:pt idx="6">
                  <c:v>2015</c:v>
                </c:pt>
              </c:numCache>
            </c:numRef>
          </c:cat>
          <c:val>
            <c:numRef>
              <c:f>'[template excel CIV.xlsx]Sheet1'!$C$7:$I$7</c:f>
              <c:numCache>
                <c:formatCode>#,##0</c:formatCode>
                <c:ptCount val="7"/>
                <c:pt idx="0" formatCode="#,##0;[Red]#,##0">
                  <c:v>1160723093</c:v>
                </c:pt>
                <c:pt idx="1">
                  <c:v>1070608042</c:v>
                </c:pt>
                <c:pt idx="2">
                  <c:v>1088508821</c:v>
                </c:pt>
                <c:pt idx="3">
                  <c:v>809451541</c:v>
                </c:pt>
                <c:pt idx="4">
                  <c:v>987214889</c:v>
                </c:pt>
                <c:pt idx="5">
                  <c:v>942103443</c:v>
                </c:pt>
                <c:pt idx="6">
                  <c:v>784037345</c:v>
                </c:pt>
              </c:numCache>
            </c:numRef>
          </c:val>
          <c:extLst>
            <c:ext xmlns:c16="http://schemas.microsoft.com/office/drawing/2014/chart" uri="{C3380CC4-5D6E-409C-BE32-E72D297353CC}">
              <c16:uniqueId val="{0000000F-C4A9-4C58-9A30-40DC78F43187}"/>
            </c:ext>
          </c:extLst>
        </c:ser>
        <c:ser>
          <c:idx val="2"/>
          <c:order val="2"/>
          <c:tx>
            <c:strRef>
              <c:f>'[template excel CIV.xlsx]Sheet1'!$B$8</c:f>
              <c:strCache>
                <c:ptCount val="1"/>
                <c:pt idx="0">
                  <c:v>Rezultat financiar anual</c:v>
                </c:pt>
              </c:strCache>
            </c:strRef>
          </c:tx>
          <c:spPr>
            <a:solidFill>
              <a:schemeClr val="accent5"/>
            </a:solidFill>
            <a:ln>
              <a:noFill/>
            </a:ln>
            <a:effectLst/>
          </c:spPr>
          <c:invertIfNegative val="0"/>
          <c:dLbls>
            <c:dLbl>
              <c:idx val="0"/>
              <c:layout>
                <c:manualLayout>
                  <c:x val="-2.2104332449160036E-3"/>
                  <c:y val="8.07012887434031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4A9-4C58-9A30-40DC78F43187}"/>
                </c:ext>
              </c:extLst>
            </c:dLbl>
            <c:dLbl>
              <c:idx val="1"/>
              <c:layout>
                <c:manualLayout>
                  <c:x val="4.5228597088493912E-3"/>
                  <c:y val="3.40053525612669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4A9-4C58-9A30-40DC78F43187}"/>
                </c:ext>
              </c:extLst>
            </c:dLbl>
            <c:dLbl>
              <c:idx val="2"/>
              <c:layout>
                <c:manualLayout>
                  <c:x val="2.2614298544246956E-3"/>
                  <c:y val="8.10842991536170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4A9-4C58-9A30-40DC78F43187}"/>
                </c:ext>
              </c:extLst>
            </c:dLbl>
            <c:dLbl>
              <c:idx val="4"/>
              <c:layout>
                <c:manualLayout>
                  <c:x val="2.2614298544246956E-3"/>
                  <c:y val="1.41466867203397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4A9-4C58-9A30-40DC78F43187}"/>
                </c:ext>
              </c:extLst>
            </c:dLbl>
            <c:dLbl>
              <c:idx val="5"/>
              <c:layout>
                <c:manualLayout>
                  <c:x val="2.3634230734420796E-3"/>
                  <c:y val="0.28770053673066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C4A9-4C58-9A30-40DC78F4318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'[template excel CIV.xlsx]Sheet1'!$C$5:$I$5</c:f>
              <c:numCache>
                <c:formatCode>General</c:formatCode>
                <c:ptCount val="7"/>
                <c:pt idx="0">
                  <c:v>2021</c:v>
                </c:pt>
                <c:pt idx="1">
                  <c:v>2020</c:v>
                </c:pt>
                <c:pt idx="2">
                  <c:v>2019</c:v>
                </c:pt>
                <c:pt idx="3">
                  <c:v>2018</c:v>
                </c:pt>
                <c:pt idx="4">
                  <c:v>2017</c:v>
                </c:pt>
                <c:pt idx="5">
                  <c:v>2016</c:v>
                </c:pt>
                <c:pt idx="6">
                  <c:v>2015</c:v>
                </c:pt>
              </c:numCache>
            </c:numRef>
          </c:cat>
          <c:val>
            <c:numRef>
              <c:f>'[template excel CIV.xlsx]Sheet1'!$C$8:$I$8</c:f>
              <c:numCache>
                <c:formatCode>#,##0</c:formatCode>
                <c:ptCount val="7"/>
                <c:pt idx="0">
                  <c:v>-1660527</c:v>
                </c:pt>
                <c:pt idx="1">
                  <c:v>-42305320</c:v>
                </c:pt>
                <c:pt idx="2">
                  <c:v>-198289312</c:v>
                </c:pt>
                <c:pt idx="3">
                  <c:v>70948708</c:v>
                </c:pt>
                <c:pt idx="4">
                  <c:v>-19221010</c:v>
                </c:pt>
                <c:pt idx="5">
                  <c:v>-38949638</c:v>
                </c:pt>
                <c:pt idx="6">
                  <c:v>55633992</c:v>
                </c:pt>
              </c:numCache>
            </c:numRef>
          </c:val>
          <c:extLst>
            <c:ext xmlns:c16="http://schemas.microsoft.com/office/drawing/2014/chart" uri="{C3380CC4-5D6E-409C-BE32-E72D297353CC}">
              <c16:uniqueId val="{00000015-C4A9-4C58-9A30-40DC78F43187}"/>
            </c:ext>
          </c:extLst>
        </c:ser>
        <c:dLbls>
          <c:showLegendKey val="0"/>
          <c:showVal val="1"/>
          <c:showCatName val="0"/>
          <c:showSerName val="0"/>
          <c:showPercent val="0"/>
          <c:showBubbleSize val="0"/>
        </c:dLbls>
        <c:gapWidth val="219"/>
        <c:overlap val="-27"/>
        <c:axId val="142387888"/>
        <c:axId val="142386256"/>
      </c:barChart>
      <c:catAx>
        <c:axId val="14238788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386256"/>
        <c:crosses val="autoZero"/>
        <c:auto val="1"/>
        <c:lblAlgn val="ctr"/>
        <c:lblOffset val="100"/>
        <c:noMultiLvlLbl val="0"/>
      </c:catAx>
      <c:valAx>
        <c:axId val="142386256"/>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42387888"/>
        <c:crosses val="autoZero"/>
        <c:crossBetween val="between"/>
      </c:valAx>
      <c:spPr>
        <a:noFill/>
        <a:ln>
          <a:noFill/>
        </a:ln>
        <a:effectLst/>
      </c:spPr>
    </c:plotArea>
    <c:legend>
      <c:legendPos val="b"/>
      <c:layout>
        <c:manualLayout>
          <c:xMode val="edge"/>
          <c:yMode val="edge"/>
          <c:x val="0.26704157006899343"/>
          <c:y val="0.90886969536111362"/>
          <c:w val="0.49305405684533665"/>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txPr>
              <a:bodyPr/>
              <a:lstStyle/>
              <a:p>
                <a:pPr>
                  <a:defRPr>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'[STABILIREA PRINCIPALELOR OBIECTIVE DE DEZVOLTARE ALE SECTORULUI 2 PENTRU PERIOADA 2021 - 2027. Consultarea Primăriei Sectorului 2 București..xlsx]Question 7'!$A$4:$A$6</c:f>
              <c:strCache>
                <c:ptCount val="3"/>
                <c:pt idx="0">
                  <c:v>Da</c:v>
                </c:pt>
                <c:pt idx="1">
                  <c:v>Da, dar nu în totalitate</c:v>
                </c:pt>
                <c:pt idx="2">
                  <c:v>Nu</c:v>
                </c:pt>
              </c:strCache>
            </c:strRef>
          </c:cat>
          <c:val>
            <c:numRef>
              <c:f>'[STABILIREA PRINCIPALELOR OBIECTIVE DE DEZVOLTARE ALE SECTORULUI 2 PENTRU PERIOADA 2021 - 2027. Consultarea Primăriei Sectorului 2 București..xlsx]Question 7'!$B$4:$B$6</c:f>
              <c:numCache>
                <c:formatCode>0.0%</c:formatCode>
                <c:ptCount val="3"/>
                <c:pt idx="0">
                  <c:v>0.18029999999999999</c:v>
                </c:pt>
                <c:pt idx="1">
                  <c:v>0.46350000000000002</c:v>
                </c:pt>
                <c:pt idx="2">
                  <c:v>0.35620000000000002</c:v>
                </c:pt>
              </c:numCache>
            </c:numRef>
          </c:val>
          <c:extLst>
            <c:ext xmlns:c16="http://schemas.microsoft.com/office/drawing/2014/chart" uri="{C3380CC4-5D6E-409C-BE32-E72D297353CC}">
              <c16:uniqueId val="{00000000-02A3-48E2-84D3-5B50E5650D17}"/>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'[STABILIREA PRINCIPALELOR OBIECTIVE DE DEZVOLTARE ALE SECTORULUI 2 PENTRU PERIOADA 2021 - 2027. Consultarea Primăriei Sectorului 2 București..xlsx]Question 10'!$A$4:$A$8</c:f>
              <c:strCache>
                <c:ptCount val="5"/>
                <c:pt idx="0">
                  <c:v>Documente oﬁciale în format imprimat (adrese, notiﬁcări, etc.)</c:v>
                </c:pt>
                <c:pt idx="1">
                  <c:v>Corespondență electronică (email, chat, etc.)</c:v>
                </c:pt>
                <c:pt idx="2">
                  <c:v>Sistem electronic de comunicare</c:v>
                </c:pt>
                <c:pt idx="3">
                  <c:v>Altele (vă rugăm speciﬁcați):</c:v>
                </c:pt>
                <c:pt idx="4">
                  <c:v>Prin organizarea de reuniuni (ședințe, consultări etc.)</c:v>
                </c:pt>
              </c:strCache>
            </c:strRef>
          </c:cat>
          <c:val>
            <c:numRef>
              <c:f>'[STABILIREA PRINCIPALELOR OBIECTIVE DE DEZVOLTARE ALE SECTORULUI 2 PENTRU PERIOADA 2021 - 2027. Consultarea Primăriei Sectorului 2 București..xlsx]Question 10'!$B$4:$B$8</c:f>
              <c:numCache>
                <c:formatCode>0.0%</c:formatCode>
                <c:ptCount val="5"/>
                <c:pt idx="0">
                  <c:v>0.63560000000000005</c:v>
                </c:pt>
                <c:pt idx="1">
                  <c:v>0.24440000000000001</c:v>
                </c:pt>
                <c:pt idx="2">
                  <c:v>7.5600000000000001E-2</c:v>
                </c:pt>
                <c:pt idx="3">
                  <c:v>3.1099999999999999E-2</c:v>
                </c:pt>
                <c:pt idx="4">
                  <c:v>1.3299999999999999E-2</c:v>
                </c:pt>
              </c:numCache>
            </c:numRef>
          </c:val>
          <c:extLst>
            <c:ext xmlns:c16="http://schemas.microsoft.com/office/drawing/2014/chart" uri="{C3380CC4-5D6E-409C-BE32-E72D297353CC}">
              <c16:uniqueId val="{00000000-7610-447F-93EF-F0FCE0E57293}"/>
            </c:ext>
          </c:extLst>
        </c:ser>
        <c:dLbls>
          <c:dLblPos val="outEnd"/>
          <c:showLegendKey val="0"/>
          <c:showVal val="1"/>
          <c:showCatName val="0"/>
          <c:showSerName val="0"/>
          <c:showPercent val="0"/>
          <c:showBubbleSize val="0"/>
        </c:dLbls>
        <c:gapWidth val="150"/>
        <c:axId val="237080064"/>
        <c:axId val="237888064"/>
      </c:barChart>
      <c:catAx>
        <c:axId val="237080064"/>
        <c:scaling>
          <c:orientation val="minMax"/>
        </c:scaling>
        <c:delete val="0"/>
        <c:axPos val="l"/>
        <c:numFmt formatCode="General" sourceLinked="0"/>
        <c:majorTickMark val="none"/>
        <c:minorTickMark val="none"/>
        <c:tickLblPos val="nextTo"/>
        <c:crossAx val="237888064"/>
        <c:crosses val="autoZero"/>
        <c:auto val="1"/>
        <c:lblAlgn val="ctr"/>
        <c:lblOffset val="100"/>
        <c:noMultiLvlLbl val="0"/>
      </c:catAx>
      <c:valAx>
        <c:axId val="237888064"/>
        <c:scaling>
          <c:orientation val="minMax"/>
        </c:scaling>
        <c:delete val="1"/>
        <c:axPos val="b"/>
        <c:numFmt formatCode="0.0%" sourceLinked="1"/>
        <c:majorTickMark val="out"/>
        <c:minorTickMark val="none"/>
        <c:tickLblPos val="nextTo"/>
        <c:crossAx val="237080064"/>
        <c:crosses val="autoZero"/>
        <c:crossBetween val="between"/>
      </c:valAx>
    </c:plotArea>
    <c:plotVisOnly val="1"/>
    <c:dispBlanksAs val="gap"/>
    <c:showDLblsOverMax val="0"/>
  </c:chart>
  <c:spPr>
    <a:ln>
      <a:noFill/>
    </a:ln>
  </c:sp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'[Chestionar privind consultarea mediului de afaceri din Sectorul 2 București.xlsx]Question 2'!$B$3</c:f>
              <c:strCache>
                <c:ptCount val="1"/>
                <c:pt idx="0">
                  <c:v>Responses</c:v>
                </c:pt>
              </c:strCache>
            </c:strRef>
          </c:tx>
          <c:spPr>
            <a:solidFill>
              <a:schemeClr val="accent2"/>
            </a:solidFill>
          </c:spPr>
          <c:invertIfNegative val="0"/>
          <c:cat>
            <c:strRef>
              <c:f>'[Chestionar privind consultarea mediului de afaceri din Sectorul 2 București.xlsx]Question 2'!$A$4:$A$7</c:f>
              <c:strCache>
                <c:ptCount val="4"/>
                <c:pt idx="0">
                  <c:v>Între 0-9 angajați</c:v>
                </c:pt>
                <c:pt idx="1">
                  <c:v>Între 10-49 angajați</c:v>
                </c:pt>
                <c:pt idx="2">
                  <c:v>Între 50-249 angajați</c:v>
                </c:pt>
                <c:pt idx="3">
                  <c:v>Peste 250 angajați</c:v>
                </c:pt>
              </c:strCache>
            </c:strRef>
          </c:cat>
          <c:val>
            <c:numRef>
              <c:f>'[Chestionar privind consultarea mediului de afaceri din Sectorul 2 București.xlsx]Question 2'!$B$4:$B$7</c:f>
              <c:numCache>
                <c:formatCode>0.0%</c:formatCode>
                <c:ptCount val="4"/>
                <c:pt idx="0">
                  <c:v>0.46020000000000011</c:v>
                </c:pt>
                <c:pt idx="1">
                  <c:v>0.32740000000000002</c:v>
                </c:pt>
                <c:pt idx="2">
                  <c:v>0.1062</c:v>
                </c:pt>
                <c:pt idx="3">
                  <c:v>0.1062</c:v>
                </c:pt>
              </c:numCache>
            </c:numRef>
          </c:val>
          <c:extLst>
            <c:ext xmlns:c16="http://schemas.microsoft.com/office/drawing/2014/chart" uri="{C3380CC4-5D6E-409C-BE32-E72D297353CC}">
              <c16:uniqueId val="{00000000-5A65-4F6F-B476-6476A2C025B2}"/>
            </c:ext>
          </c:extLst>
        </c:ser>
        <c:dLbls>
          <c:showLegendKey val="0"/>
          <c:showVal val="0"/>
          <c:showCatName val="0"/>
          <c:showSerName val="0"/>
          <c:showPercent val="0"/>
          <c:showBubbleSize val="0"/>
        </c:dLbls>
        <c:gapWidth val="150"/>
        <c:axId val="239721984"/>
        <c:axId val="238539264"/>
      </c:barChart>
      <c:valAx>
        <c:axId val="238539264"/>
        <c:scaling>
          <c:orientation val="minMax"/>
        </c:scaling>
        <c:delete val="1"/>
        <c:axPos val="b"/>
        <c:numFmt formatCode="0.0%" sourceLinked="1"/>
        <c:majorTickMark val="out"/>
        <c:minorTickMark val="none"/>
        <c:tickLblPos val="nextTo"/>
        <c:crossAx val="239721984"/>
        <c:crosses val="autoZero"/>
        <c:crossBetween val="between"/>
      </c:valAx>
      <c:catAx>
        <c:axId val="239721984"/>
        <c:scaling>
          <c:orientation val="minMax"/>
        </c:scaling>
        <c:delete val="0"/>
        <c:axPos val="l"/>
        <c:numFmt formatCode="General" sourceLinked="0"/>
        <c:majorTickMark val="none"/>
        <c:minorTickMark val="none"/>
        <c:tickLblPos val="nextTo"/>
        <c:crossAx val="238539264"/>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'[Chestionar privind consultarea mediului ONG din Sectorul 2 București.xlsx]Question 5'!$B$3</c:f>
              <c:strCache>
                <c:ptCount val="1"/>
                <c:pt idx="0">
                  <c:v>Responses</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'[Chestionar privind consultarea mediului ONG din Sectorul 2 București.xlsx]Question 5'!$A$4:$A$17</c:f>
              <c:strCache>
                <c:ptCount val="14"/>
                <c:pt idx="0">
                  <c:v>Învăţământ, educaţie, cercetare</c:v>
                </c:pt>
                <c:pt idx="1">
                  <c:v>Servicii sociale</c:v>
                </c:pt>
                <c:pt idx="2">
                  <c:v>Alt domeniu</c:v>
                </c:pt>
                <c:pt idx="3">
                  <c:v>Binefacere, caritate</c:v>
                </c:pt>
                <c:pt idx="4">
                  <c:v>Implicare civică, politici publice</c:v>
                </c:pt>
                <c:pt idx="5">
                  <c:v>Drepturile femeilor şi egalitatea de gen</c:v>
                </c:pt>
                <c:pt idx="6">
                  <c:v>Sport, turism, recreere</c:v>
                </c:pt>
                <c:pt idx="7">
                  <c:v>Drepturile și protecția copilului</c:v>
                </c:pt>
                <c:pt idx="8">
                  <c:v>Mass-media, arta, cultură</c:v>
                </c:pt>
                <c:pt idx="9">
                  <c:v>Ocrotirea sănătăţii şi drepturile pacientului</c:v>
                </c:pt>
                <c:pt idx="10">
                  <c:v>Profil juridic şi drepturile omului în general</c:v>
                </c:pt>
                <c:pt idx="11">
                  <c:v>Protecția mediului/Ecologie</c:v>
                </c:pt>
                <c:pt idx="12">
                  <c:v>Dezvoltare regională şi comunitară</c:v>
                </c:pt>
                <c:pt idx="13">
                  <c:v>Religie</c:v>
                </c:pt>
              </c:strCache>
            </c:strRef>
          </c:cat>
          <c:val>
            <c:numRef>
              <c:f>'[Chestionar privind consultarea mediului ONG din Sectorul 2 București.xlsx]Question 5'!$D$4:$D$17</c:f>
              <c:numCache>
                <c:formatCode>0.0%</c:formatCode>
                <c:ptCount val="14"/>
                <c:pt idx="0">
                  <c:v>0.20930232558139536</c:v>
                </c:pt>
                <c:pt idx="1">
                  <c:v>0.11627906976744186</c:v>
                </c:pt>
                <c:pt idx="2">
                  <c:v>0.11627906976744186</c:v>
                </c:pt>
                <c:pt idx="3">
                  <c:v>0.10465116279069768</c:v>
                </c:pt>
                <c:pt idx="4">
                  <c:v>8.1395348837209308E-2</c:v>
                </c:pt>
                <c:pt idx="5">
                  <c:v>6.9767441860465115E-2</c:v>
                </c:pt>
                <c:pt idx="6">
                  <c:v>6.9767441860465115E-2</c:v>
                </c:pt>
                <c:pt idx="7">
                  <c:v>5.8139534883720929E-2</c:v>
                </c:pt>
                <c:pt idx="8">
                  <c:v>5.8139534883720929E-2</c:v>
                </c:pt>
                <c:pt idx="9">
                  <c:v>3.4883720930232558E-2</c:v>
                </c:pt>
                <c:pt idx="10">
                  <c:v>3.4883720930232558E-2</c:v>
                </c:pt>
                <c:pt idx="11">
                  <c:v>2.3255813953488372E-2</c:v>
                </c:pt>
                <c:pt idx="12">
                  <c:v>1.1627906976744186E-2</c:v>
                </c:pt>
                <c:pt idx="13">
                  <c:v>1.1627906976744186E-2</c:v>
                </c:pt>
              </c:numCache>
            </c:numRef>
          </c:val>
          <c:extLst>
            <c:ext xmlns:c16="http://schemas.microsoft.com/office/drawing/2014/chart" uri="{C3380CC4-5D6E-409C-BE32-E72D297353CC}">
              <c16:uniqueId val="{00000000-7ADC-41E2-9D28-64172B70E1FF}"/>
            </c:ext>
          </c:extLst>
        </c:ser>
        <c:dLbls>
          <c:dLblPos val="outEnd"/>
          <c:showLegendKey val="0"/>
          <c:showVal val="1"/>
          <c:showCatName val="0"/>
          <c:showSerName val="0"/>
          <c:showPercent val="0"/>
          <c:showBubbleSize val="0"/>
        </c:dLbls>
        <c:gapWidth val="150"/>
        <c:axId val="242582528"/>
        <c:axId val="242639424"/>
      </c:barChart>
      <c:valAx>
        <c:axId val="242639424"/>
        <c:scaling>
          <c:orientation val="minMax"/>
        </c:scaling>
        <c:delete val="1"/>
        <c:axPos val="b"/>
        <c:numFmt formatCode="0.0%" sourceLinked="1"/>
        <c:majorTickMark val="out"/>
        <c:minorTickMark val="none"/>
        <c:tickLblPos val="nextTo"/>
        <c:crossAx val="242582528"/>
        <c:crosses val="autoZero"/>
        <c:crossBetween val="between"/>
      </c:valAx>
      <c:catAx>
        <c:axId val="242582528"/>
        <c:scaling>
          <c:orientation val="minMax"/>
        </c:scaling>
        <c:delete val="0"/>
        <c:axPos val="l"/>
        <c:numFmt formatCode="General" sourceLinked="0"/>
        <c:majorTickMark val="none"/>
        <c:minorTickMark val="none"/>
        <c:tickLblPos val="nextTo"/>
        <c:crossAx val="242639424"/>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35185185185187"/>
          <c:y val="0.10169753086419753"/>
          <c:w val="0.47325925925925927"/>
          <c:h val="0.78876543209876548"/>
        </c:manualLayout>
      </c:layout>
      <c:pieChart>
        <c:varyColors val="1"/>
        <c:ser>
          <c:idx val="0"/>
          <c:order val="0"/>
          <c:tx>
            <c:strRef>
              <c:f>'[ACTUALIZAREA STRATEGIEI DE DEZVOLTARE LOCALĂ INTEGRATĂ ŞI DURABILĂ A SECTORULUI 2  PENTRU PERIOADA 2016 - 2025. Chestionar dedicat locuitorilor Sectorului 2..xlsx]Question 1'!$B$3</c:f>
              <c:strCache>
                <c:ptCount val="1"/>
                <c:pt idx="0">
                  <c:v>Responses</c:v>
                </c:pt>
              </c:strCache>
            </c:strRef>
          </c:tx>
          <c:dLbls>
            <c:numFmt formatCode="0.0%" sourceLinked="0"/>
            <c:spPr>
              <a:noFill/>
              <a:ln>
                <a:noFill/>
              </a:ln>
              <a:effectLst/>
            </c:sp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'[ACTUALIZAREA STRATEGIEI DE DEZVOLTARE LOCALĂ INTEGRATĂ ŞI DURABILĂ A SECTORULUI 2  PENTRU PERIOADA 2016 - 2025. Chestionar dedicat locuitorilor Sectorului 2..xlsx]Question 1'!$A$4:$A$10</c:f>
              <c:strCache>
                <c:ptCount val="7"/>
                <c:pt idx="0">
                  <c:v>Sub 15 ani</c:v>
                </c:pt>
                <c:pt idx="1">
                  <c:v>Între 15 și 24 de ani</c:v>
                </c:pt>
                <c:pt idx="2">
                  <c:v>Între 25 și 34 de ani</c:v>
                </c:pt>
                <c:pt idx="3">
                  <c:v>Între 35 și 44 de ani</c:v>
                </c:pt>
                <c:pt idx="4">
                  <c:v>Între 45 și 54 de ani</c:v>
                </c:pt>
                <c:pt idx="5">
                  <c:v>Între 55 și 64 de ani</c:v>
                </c:pt>
                <c:pt idx="6">
                  <c:v>Peste 64 de ani</c:v>
                </c:pt>
              </c:strCache>
            </c:strRef>
          </c:cat>
          <c:val>
            <c:numRef>
              <c:f>'[ACTUALIZAREA STRATEGIEI DE DEZVOLTARE LOCALĂ INTEGRATĂ ŞI DURABILĂ A SECTORULUI 2  PENTRU PERIOADA 2016 - 2025. Chestionar dedicat locuitorilor Sectorului 2..xlsx]Question 1'!$B$4:$B$10</c:f>
              <c:numCache>
                <c:formatCode>0.00%</c:formatCode>
                <c:ptCount val="7"/>
                <c:pt idx="0">
                  <c:v>1E-3</c:v>
                </c:pt>
                <c:pt idx="1">
                  <c:v>1.7500000000000002E-2</c:v>
                </c:pt>
                <c:pt idx="2">
                  <c:v>0.1348</c:v>
                </c:pt>
                <c:pt idx="3">
                  <c:v>0.31809999999999999</c:v>
                </c:pt>
                <c:pt idx="4">
                  <c:v>0.23569999999999999</c:v>
                </c:pt>
                <c:pt idx="5">
                  <c:v>0.13289999999999999</c:v>
                </c:pt>
                <c:pt idx="6">
                  <c:v>0.16</c:v>
                </c:pt>
              </c:numCache>
            </c:numRef>
          </c:val>
          <c:extLst>
            <c:ext xmlns:c16="http://schemas.microsoft.com/office/drawing/2014/chart" uri="{C3380CC4-5D6E-409C-BE32-E72D297353CC}">
              <c16:uniqueId val="{00000000-98D0-4AC1-AF77-0299B3198902}"/>
            </c:ext>
          </c:extLst>
        </c:ser>
        <c:dLbls>
          <c:dLblPos val="bestFit"/>
          <c:showLegendKey val="0"/>
          <c:showVal val="1"/>
          <c:showCatName val="0"/>
          <c:showSerName val="0"/>
          <c:showPercent val="0"/>
          <c:showBubbleSize val="0"/>
          <c:showLeaderLines val="1"/>
        </c:dLbls>
        <c:firstSliceAng val="0"/>
      </c:pieChart>
    </c:plotArea>
    <c:legend>
      <c:legendPos val="r"/>
      <c:overlay val="1"/>
    </c:legend>
    <c:plotVisOnly val="0"/>
    <c:dispBlanksAs val="gap"/>
    <c:showDLblsOverMax val="0"/>
  </c:chart>
  <c:spPr>
    <a:ln>
      <a:noFill/>
    </a:ln>
  </c:sp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'[ACTUALIZAREA STRATEGIEI DE DEZVOLTARE LOCALĂ INTEGRATĂ ŞI DURABILĂ A SECTORULUI 2  PENTRU PERIOADA 2016 - 2025. Chestionar dedicat locuitorilor Sectorului 2..xlsx]Question 2'!$B$3</c:f>
              <c:strCache>
                <c:ptCount val="1"/>
                <c:pt idx="0">
                  <c:v>Responses</c:v>
                </c:pt>
              </c:strCache>
            </c:strRef>
          </c:tx>
          <c:dLbls>
            <c:numFmt formatCode="0.0%" sourceLinked="0"/>
            <c:spPr>
              <a:noFill/>
              <a:ln>
                <a:noFill/>
              </a:ln>
              <a:effectLst/>
            </c:sp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'[ACTUALIZAREA STRATEGIEI DE DEZVOLTARE LOCALĂ INTEGRATĂ ŞI DURABILĂ A SECTORULUI 2  PENTRU PERIOADA 2016 - 2025. Chestionar dedicat locuitorilor Sectorului 2..xlsx]Question 2'!$A$4:$A$7</c:f>
              <c:strCache>
                <c:ptCount val="4"/>
                <c:pt idx="0">
                  <c:v>Feminin</c:v>
                </c:pt>
                <c:pt idx="1">
                  <c:v>Masculin</c:v>
                </c:pt>
                <c:pt idx="2">
                  <c:v>Altul</c:v>
                </c:pt>
                <c:pt idx="3">
                  <c:v>Prefer să nu răspund</c:v>
                </c:pt>
              </c:strCache>
            </c:strRef>
          </c:cat>
          <c:val>
            <c:numRef>
              <c:f>'[ACTUALIZAREA STRATEGIEI DE DEZVOLTARE LOCALĂ INTEGRATĂ ŞI DURABILĂ A SECTORULUI 2  PENTRU PERIOADA 2016 - 2025. Chestionar dedicat locuitorilor Sectorului 2..xlsx]Question 2'!$B$4:$B$7</c:f>
              <c:numCache>
                <c:formatCode>0.00%</c:formatCode>
                <c:ptCount val="4"/>
                <c:pt idx="0">
                  <c:v>0.45100000000000001</c:v>
                </c:pt>
                <c:pt idx="1">
                  <c:v>0.5393</c:v>
                </c:pt>
                <c:pt idx="2">
                  <c:v>1E-3</c:v>
                </c:pt>
                <c:pt idx="3">
                  <c:v>8.6999999999999994E-3</c:v>
                </c:pt>
              </c:numCache>
            </c:numRef>
          </c:val>
          <c:extLst>
            <c:ext xmlns:c16="http://schemas.microsoft.com/office/drawing/2014/chart" uri="{C3380CC4-5D6E-409C-BE32-E72D297353CC}">
              <c16:uniqueId val="{00000000-BC1B-486E-82ED-CAC1A5A8CFB7}"/>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0"/>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8144407429840502"/>
          <c:y val="0"/>
          <c:w val="0.4950516521973215"/>
          <c:h val="1"/>
        </c:manualLayout>
      </c:layout>
      <c:barChart>
        <c:barDir val="bar"/>
        <c:grouping val="clustered"/>
        <c:varyColors val="0"/>
        <c:ser>
          <c:idx val="0"/>
          <c:order val="0"/>
          <c:spPr>
            <a:solidFill>
              <a:schemeClr val="tx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'TOATE!'!$A$134:$A$138</c:f>
              <c:strCache>
                <c:ptCount val="5"/>
                <c:pt idx="0">
                  <c:v>O1. Locuire, servicii şi cultură adaptate unei comunităţi active şi implicate</c:v>
                </c:pt>
                <c:pt idx="1">
                  <c:v>O2. Sector cu atractivitate crescută pentru forța de muncă și companii</c:v>
                </c:pt>
                <c:pt idx="2">
                  <c:v>O3. Infrastructură urbană adaptată la nevoile actuale și viitoare</c:v>
                </c:pt>
                <c:pt idx="3">
                  <c:v>O4. Sector 2 - model de dezvoltare sistem albastru-verde</c:v>
                </c:pt>
                <c:pt idx="4">
                  <c:v>O5. Administrație publică performantă</c:v>
                </c:pt>
              </c:strCache>
            </c:strRef>
          </c:cat>
          <c:val>
            <c:numRef>
              <c:f>'TOATE!'!$B$134:$B$138</c:f>
              <c:numCache>
                <c:formatCode>0.0%</c:formatCode>
                <c:ptCount val="5"/>
                <c:pt idx="0">
                  <c:v>8.1081081081081086E-2</c:v>
                </c:pt>
                <c:pt idx="1">
                  <c:v>0.10526315789473684</c:v>
                </c:pt>
                <c:pt idx="2">
                  <c:v>6.4516129032258063E-2</c:v>
                </c:pt>
                <c:pt idx="3">
                  <c:v>5.4054054054054057E-2</c:v>
                </c:pt>
                <c:pt idx="4">
                  <c:v>0.22222222222222221</c:v>
                </c:pt>
              </c:numCache>
            </c:numRef>
          </c:val>
          <c:extLst>
            <c:ext xmlns:c16="http://schemas.microsoft.com/office/drawing/2014/chart" uri="{C3380CC4-5D6E-409C-BE32-E72D297353CC}">
              <c16:uniqueId val="{00000000-7C81-442F-B32C-380665072667}"/>
            </c:ext>
          </c:extLst>
        </c:ser>
        <c:dLbls>
          <c:dLblPos val="outEnd"/>
          <c:showLegendKey val="0"/>
          <c:showVal val="1"/>
          <c:showCatName val="0"/>
          <c:showSerName val="0"/>
          <c:showPercent val="0"/>
          <c:showBubbleSize val="0"/>
        </c:dLbls>
        <c:gapWidth val="104"/>
        <c:axId val="225268224"/>
        <c:axId val="228100352"/>
      </c:barChart>
      <c:catAx>
        <c:axId val="225268224"/>
        <c:scaling>
          <c:orientation val="maxMin"/>
        </c:scaling>
        <c:delete val="0"/>
        <c:axPos val="l"/>
        <c:numFmt formatCode="General" sourceLinked="0"/>
        <c:majorTickMark val="none"/>
        <c:minorTickMark val="none"/>
        <c:tickLblPos val="nextTo"/>
        <c:crossAx val="228100352"/>
        <c:crosses val="autoZero"/>
        <c:auto val="1"/>
        <c:lblAlgn val="ctr"/>
        <c:lblOffset val="100"/>
        <c:noMultiLvlLbl val="0"/>
      </c:catAx>
      <c:valAx>
        <c:axId val="228100352"/>
        <c:scaling>
          <c:orientation val="minMax"/>
        </c:scaling>
        <c:delete val="1"/>
        <c:axPos val="t"/>
        <c:numFmt formatCode="0.0%" sourceLinked="1"/>
        <c:majorTickMark val="out"/>
        <c:minorTickMark val="none"/>
        <c:tickLblPos val="nextTo"/>
        <c:crossAx val="225268224"/>
        <c:crosses val="autoZero"/>
        <c:crossBetween val="between"/>
      </c:valAx>
    </c:plotArea>
    <c:plotVisOnly val="1"/>
    <c:dispBlanksAs val="gap"/>
    <c:showDLblsOverMax val="0"/>
  </c:chart>
  <c:spPr>
    <a:ln>
      <a:noFill/>
    </a:ln>
  </c:sp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'[ACTUALIZAREA STRATEGIEI DE DEZVOLTARE LOCALĂ INTEGRATĂ ŞI DURABILĂ A SECTORULUI 2  PENTRU PERIOADA 2016 - 2025. Chestionar dedicat locuitorilor Sectorului 2..xlsx]Question 3'!$B$3</c:f>
              <c:strCache>
                <c:ptCount val="1"/>
                <c:pt idx="0">
                  <c:v>Responses</c:v>
                </c:pt>
              </c:strCache>
            </c:strRef>
          </c:tx>
          <c:dLbls>
            <c:numFmt formatCode="0.0%" sourceLinked="0"/>
            <c:spPr>
              <a:noFill/>
              <a:ln>
                <a:noFill/>
              </a:ln>
              <a:effectLst/>
            </c:sp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'[ACTUALIZAREA STRATEGIEI DE DEZVOLTARE LOCALĂ INTEGRATĂ ŞI DURABILĂ A SECTORULUI 2  PENTRU PERIOADA 2016 - 2025. Chestionar dedicat locuitorilor Sectorului 2..xlsx]Question 3'!$A$4:$A$8</c:f>
              <c:strCache>
                <c:ptCount val="5"/>
                <c:pt idx="0">
                  <c:v>Școala primară</c:v>
                </c:pt>
                <c:pt idx="1">
                  <c:v>Gimnaziu (8 clase)</c:v>
                </c:pt>
                <c:pt idx="2">
                  <c:v>Liceu (12 clase)</c:v>
                </c:pt>
                <c:pt idx="3">
                  <c:v>Studii universitare</c:v>
                </c:pt>
                <c:pt idx="4">
                  <c:v>Studii postuniversitare</c:v>
                </c:pt>
              </c:strCache>
            </c:strRef>
          </c:cat>
          <c:val>
            <c:numRef>
              <c:f>'[ACTUALIZAREA STRATEGIEI DE DEZVOLTARE LOCALĂ INTEGRATĂ ŞI DURABILĂ A SECTORULUI 2  PENTRU PERIOADA 2016 - 2025. Chestionar dedicat locuitorilor Sectorului 2..xlsx]Question 3'!$B$4:$B$8</c:f>
              <c:numCache>
                <c:formatCode>0.00%</c:formatCode>
                <c:ptCount val="5"/>
                <c:pt idx="0">
                  <c:v>2.8999999999999998E-3</c:v>
                </c:pt>
                <c:pt idx="1">
                  <c:v>6.7999999999999996E-3</c:v>
                </c:pt>
                <c:pt idx="2">
                  <c:v>0.1754</c:v>
                </c:pt>
                <c:pt idx="3">
                  <c:v>0.45710000000000001</c:v>
                </c:pt>
                <c:pt idx="4">
                  <c:v>0.35770000000000002</c:v>
                </c:pt>
              </c:numCache>
            </c:numRef>
          </c:val>
          <c:extLst>
            <c:ext xmlns:c16="http://schemas.microsoft.com/office/drawing/2014/chart" uri="{C3380CC4-5D6E-409C-BE32-E72D297353CC}">
              <c16:uniqueId val="{00000000-5860-48A7-B46E-0839236D96A1}"/>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0"/>
    <c:dispBlanksAs val="gap"/>
    <c:showDLblsOverMax val="0"/>
  </c:chart>
  <c:spPr>
    <a:ln>
      <a:noFill/>
    </a:ln>
  </c:sp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'[ACTUALIZAREA STRATEGIEI DE DEZVOLTARE LOCALĂ INTEGRATĂ ŞI DURABILĂ A SECTORULUI 2  PENTRU PERIOADA 2016 - 2025. Chestionar dedicat locuitorilor Sectorului 2..xlsx]Question 4'!$B$3</c:f>
              <c:strCache>
                <c:ptCount val="1"/>
                <c:pt idx="0">
                  <c:v>Responses</c:v>
                </c:pt>
              </c:strCache>
            </c:strRef>
          </c:tx>
          <c:dLbls>
            <c:dLbl>
              <c:idx val="1"/>
              <c:numFmt formatCode="0.0%" sourceLinked="0"/>
              <c:spPr/>
              <c:txPr>
                <a:bodyPr/>
                <a:lstStyle/>
                <a:p>
                  <a:pPr>
                    <a:defRPr>
                      <a:solidFill>
                        <a:schemeClr val="bg1"/>
                      </a:solidFill>
                    </a:defRPr>
                  </a:pPr>
                  <a:endParaRPr lang="en-US"/>
                </a:p>
              </c:txPr>
              <c:dLblPos val="bestFit"/>
              <c:showLegendKey val="0"/>
              <c:showVal val="0"/>
              <c:showCatName val="0"/>
              <c:showSerName val="0"/>
              <c:showPercent val="1"/>
              <c:showBubbleSize val="0"/>
              <c:extLst>
                <c:ext xmlns:c16="http://schemas.microsoft.com/office/drawing/2014/chart" uri="{C3380CC4-5D6E-409C-BE32-E72D297353CC}">
                  <c16:uniqueId val="{00000000-B9E5-42F5-A9EB-E236FFE7A8EC}"/>
                </c:ext>
              </c:extLst>
            </c:dLbl>
            <c:numFmt formatCode="0.0%" sourceLinked="0"/>
            <c:spPr>
              <a:noFill/>
              <a:ln>
                <a:noFill/>
              </a:ln>
              <a:effectLst/>
            </c:sp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'[ACTUALIZAREA STRATEGIEI DE DEZVOLTARE LOCALĂ INTEGRATĂ ŞI DURABILĂ A SECTORULUI 2  PENTRU PERIOADA 2016 - 2025. Chestionar dedicat locuitorilor Sectorului 2..xlsx]Question 4'!$A$4:$A$10</c:f>
              <c:strCache>
                <c:ptCount val="7"/>
                <c:pt idx="0">
                  <c:v>Angajat în sistemul bugetar</c:v>
                </c:pt>
                <c:pt idx="1">
                  <c:v>Angajat în sistemul privat</c:v>
                </c:pt>
                <c:pt idx="2">
                  <c:v>Patron, director, administrator</c:v>
                </c:pt>
                <c:pt idx="3">
                  <c:v>Șomer</c:v>
                </c:pt>
                <c:pt idx="4">
                  <c:v>Student/elev</c:v>
                </c:pt>
                <c:pt idx="5">
                  <c:v>Lucrător pe cont propriu</c:v>
                </c:pt>
                <c:pt idx="6">
                  <c:v>Pensionar</c:v>
                </c:pt>
              </c:strCache>
            </c:strRef>
          </c:cat>
          <c:val>
            <c:numRef>
              <c:f>'[ACTUALIZAREA STRATEGIEI DE DEZVOLTARE LOCALĂ INTEGRATĂ ŞI DURABILĂ A SECTORULUI 2  PENTRU PERIOADA 2016 - 2025. Chestionar dedicat locuitorilor Sectorului 2..xlsx]Question 4'!$B$4:$B$10</c:f>
              <c:numCache>
                <c:formatCode>0.00%</c:formatCode>
                <c:ptCount val="7"/>
                <c:pt idx="0">
                  <c:v>0.193</c:v>
                </c:pt>
                <c:pt idx="1">
                  <c:v>0.4229</c:v>
                </c:pt>
                <c:pt idx="2">
                  <c:v>8.9200000000000002E-2</c:v>
                </c:pt>
                <c:pt idx="3">
                  <c:v>1.84E-2</c:v>
                </c:pt>
                <c:pt idx="4">
                  <c:v>1.1599999999999999E-2</c:v>
                </c:pt>
                <c:pt idx="5">
                  <c:v>6.3E-2</c:v>
                </c:pt>
                <c:pt idx="6">
                  <c:v>0.20169999999999999</c:v>
                </c:pt>
              </c:numCache>
            </c:numRef>
          </c:val>
          <c:extLst>
            <c:ext xmlns:c16="http://schemas.microsoft.com/office/drawing/2014/chart" uri="{C3380CC4-5D6E-409C-BE32-E72D297353CC}">
              <c16:uniqueId val="{00000001-B9E5-42F5-A9EB-E236FFE7A8EC}"/>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0"/>
    <c:dispBlanksAs val="gap"/>
    <c:showDLblsOverMax val="0"/>
  </c:chart>
  <c:spPr>
    <a:ln>
      <a:noFill/>
    </a:ln>
  </c:sp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5'!$A$203:$A$219</c:f>
              <c:strCache>
                <c:ptCount val="17"/>
                <c:pt idx="0">
                  <c:v>Pantelimon (23)</c:v>
                </c:pt>
                <c:pt idx="1">
                  <c:v>Alta zonă/cartier</c:v>
                </c:pt>
                <c:pt idx="2">
                  <c:v>Tei (25)</c:v>
                </c:pt>
                <c:pt idx="3">
                  <c:v>Colentina (41)</c:v>
                </c:pt>
                <c:pt idx="4">
                  <c:v>Obor (24)</c:v>
                </c:pt>
                <c:pt idx="5">
                  <c:v>Vatra Luminoasă (12)</c:v>
                </c:pt>
                <c:pt idx="6">
                  <c:v>Floreasca (26)</c:v>
                </c:pt>
                <c:pt idx="7">
                  <c:v>Eminescu (11)</c:v>
                </c:pt>
                <c:pt idx="8">
                  <c:v>Romană-Universitate (2)</c:v>
                </c:pt>
                <c:pt idx="9">
                  <c:v>Ferdinand (10)</c:v>
                </c:pt>
                <c:pt idx="10">
                  <c:v>Electronicii (40)</c:v>
                </c:pt>
                <c:pt idx="11">
                  <c:v>Călărași (9)</c:v>
                </c:pt>
                <c:pt idx="12">
                  <c:v>Pache Protopopescu (7)</c:v>
                </c:pt>
                <c:pt idx="13">
                  <c:v>Fundeni (53)</c:v>
                </c:pt>
                <c:pt idx="14">
                  <c:v>Ion Creangă (54)</c:v>
                </c:pt>
                <c:pt idx="15">
                  <c:v>Pipera (56)</c:v>
                </c:pt>
                <c:pt idx="16">
                  <c:v>Andronache (55)</c:v>
                </c:pt>
              </c:strCache>
            </c:strRef>
          </c:cat>
          <c:val>
            <c:numRef>
              <c:f>'[ACTUALIZAREA STRATEGIEI DE DEZVOLTARE LOCALĂ INTEGRATĂ ŞI DURABILĂ A SECTORULUI 2  PENTRU PERIOADA 2016 - 2025. Chestionar dedicat locuitorilor Sectorului 2..xlsx]Question 5'!$B$203:$B$219</c:f>
              <c:numCache>
                <c:formatCode>0.0%</c:formatCode>
                <c:ptCount val="17"/>
                <c:pt idx="0">
                  <c:v>0.19109999999999999</c:v>
                </c:pt>
                <c:pt idx="1">
                  <c:v>0.15129999999999999</c:v>
                </c:pt>
                <c:pt idx="2">
                  <c:v>0.1203</c:v>
                </c:pt>
                <c:pt idx="3">
                  <c:v>0.1135</c:v>
                </c:pt>
                <c:pt idx="4">
                  <c:v>9.8900000000000002E-2</c:v>
                </c:pt>
                <c:pt idx="5">
                  <c:v>5.1399999999999987E-2</c:v>
                </c:pt>
                <c:pt idx="6">
                  <c:v>4.8499999999999988E-2</c:v>
                </c:pt>
                <c:pt idx="7">
                  <c:v>4.4600000000000001E-2</c:v>
                </c:pt>
                <c:pt idx="8">
                  <c:v>3.49E-2</c:v>
                </c:pt>
                <c:pt idx="9">
                  <c:v>2.9100000000000001E-2</c:v>
                </c:pt>
                <c:pt idx="10">
                  <c:v>2.81E-2</c:v>
                </c:pt>
                <c:pt idx="11">
                  <c:v>2.3300000000000001E-2</c:v>
                </c:pt>
                <c:pt idx="12">
                  <c:v>2.0400000000000001E-2</c:v>
                </c:pt>
                <c:pt idx="13">
                  <c:v>1.26E-2</c:v>
                </c:pt>
                <c:pt idx="14">
                  <c:v>1.1599999999999999E-2</c:v>
                </c:pt>
                <c:pt idx="15">
                  <c:v>1.1599999999999999E-2</c:v>
                </c:pt>
                <c:pt idx="16">
                  <c:v>8.6999999999999994E-3</c:v>
                </c:pt>
              </c:numCache>
            </c:numRef>
          </c:val>
          <c:extLst>
            <c:ext xmlns:c16="http://schemas.microsoft.com/office/drawing/2014/chart" uri="{C3380CC4-5D6E-409C-BE32-E72D297353CC}">
              <c16:uniqueId val="{00000000-B33D-483B-AE44-54CFF9EDEF80}"/>
            </c:ext>
          </c:extLst>
        </c:ser>
        <c:dLbls>
          <c:dLblPos val="outEnd"/>
          <c:showLegendKey val="0"/>
          <c:showVal val="1"/>
          <c:showCatName val="0"/>
          <c:showSerName val="0"/>
          <c:showPercent val="0"/>
          <c:showBubbleSize val="0"/>
        </c:dLbls>
        <c:gapWidth val="99"/>
        <c:axId val="153660416"/>
        <c:axId val="154027136"/>
      </c:barChart>
      <c:catAx>
        <c:axId val="153660416"/>
        <c:scaling>
          <c:orientation val="minMax"/>
        </c:scaling>
        <c:delete val="0"/>
        <c:axPos val="l"/>
        <c:numFmt formatCode="General" sourceLinked="0"/>
        <c:majorTickMark val="none"/>
        <c:minorTickMark val="none"/>
        <c:tickLblPos val="nextTo"/>
        <c:crossAx val="154027136"/>
        <c:crosses val="autoZero"/>
        <c:auto val="1"/>
        <c:lblAlgn val="ctr"/>
        <c:lblOffset val="100"/>
        <c:noMultiLvlLbl val="0"/>
      </c:catAx>
      <c:valAx>
        <c:axId val="154027136"/>
        <c:scaling>
          <c:orientation val="minMax"/>
        </c:scaling>
        <c:delete val="1"/>
        <c:axPos val="b"/>
        <c:numFmt formatCode="0.0%" sourceLinked="1"/>
        <c:majorTickMark val="out"/>
        <c:minorTickMark val="none"/>
        <c:tickLblPos val="nextTo"/>
        <c:crossAx val="153660416"/>
        <c:crosses val="autoZero"/>
        <c:crossBetween val="between"/>
      </c:valAx>
    </c:plotArea>
    <c:plotVisOnly val="1"/>
    <c:dispBlanksAs val="gap"/>
    <c:showDLblsOverMax val="0"/>
  </c:chart>
  <c:spPr>
    <a:ln>
      <a:noFill/>
    </a:ln>
  </c:sp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'[ACTUALIZAREA STRATEGIEI DE DEZVOLTARE LOCALĂ INTEGRATĂ ŞI DURABILĂ A SECTORULUI 2  PENTRU PERIOADA 2016 - 2025. Chestionar dedicat locuitorilor Sectorului 2..xlsx]Question 6'!$A$4:$A$9</c:f>
              <c:strCache>
                <c:ptCount val="6"/>
                <c:pt idx="0">
                  <c:v>Mai puțin de 800 RON</c:v>
                </c:pt>
                <c:pt idx="1">
                  <c:v>Între 800 și 1.500 RON</c:v>
                </c:pt>
                <c:pt idx="2">
                  <c:v>Între 1.500 și 2.500 RON</c:v>
                </c:pt>
                <c:pt idx="3">
                  <c:v>Între 2.500 și 4.000 RON</c:v>
                </c:pt>
                <c:pt idx="4">
                  <c:v>Peste 4.000 RON</c:v>
                </c:pt>
                <c:pt idx="5">
                  <c:v>Prefer să nu răspund</c:v>
                </c:pt>
              </c:strCache>
            </c:strRef>
          </c:cat>
          <c:val>
            <c:numRef>
              <c:f>'[ACTUALIZAREA STRATEGIEI DE DEZVOLTARE LOCALĂ INTEGRATĂ ŞI DURABILĂ A SECTORULUI 2  PENTRU PERIOADA 2016 - 2025. Chestionar dedicat locuitorilor Sectorului 2..xlsx]Question 6'!$B$4:$B$9</c:f>
              <c:numCache>
                <c:formatCode>0.0%</c:formatCode>
                <c:ptCount val="6"/>
                <c:pt idx="0">
                  <c:v>1.3599999999999999E-2</c:v>
                </c:pt>
                <c:pt idx="1">
                  <c:v>2.6200000000000001E-2</c:v>
                </c:pt>
                <c:pt idx="2">
                  <c:v>0.1154</c:v>
                </c:pt>
                <c:pt idx="3">
                  <c:v>0.17749999999999999</c:v>
                </c:pt>
                <c:pt idx="4">
                  <c:v>0.44519999999999998</c:v>
                </c:pt>
                <c:pt idx="5">
                  <c:v>0.22209999999999999</c:v>
                </c:pt>
              </c:numCache>
            </c:numRef>
          </c:val>
          <c:extLst>
            <c:ext xmlns:c16="http://schemas.microsoft.com/office/drawing/2014/chart" uri="{C3380CC4-5D6E-409C-BE32-E72D297353CC}">
              <c16:uniqueId val="{00000000-2E15-4735-A5FF-9BA630602D27}"/>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2"/>
            </a:solidFill>
            <a:ln>
              <a:no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10'!$A$37:$A$48</c:f>
              <c:strCache>
                <c:ptCount val="12"/>
                <c:pt idx="0">
                  <c:v>Modernizarea infrastructurii de sănătate (spitale, policlinici)</c:v>
                </c:pt>
                <c:pt idx="1">
                  <c:v>Reabilitarea și modernizarea spațiilor publice, spațiilor verzi, spațiilor dintre blocuri, iluminatului public</c:v>
                </c:pt>
                <c:pt idx="2">
                  <c:v>Îmbunătățirea planificării și controlului noilor dezvoltări imobiliare</c:v>
                </c:pt>
                <c:pt idx="3">
                  <c:v>Modernizarea unităților de învățământ existente (creșe, grădinițe, școli, licee)</c:v>
                </c:pt>
                <c:pt idx="4">
                  <c:v>Îmbunătățirea sistemului de transport public</c:v>
                </c:pt>
                <c:pt idx="5">
                  <c:v>Modernizarea infrastructurii de servicii sociale (centre pentru îngrijirea copiilor, bătrânilor, persoanelor defavorizate etc)</c:v>
                </c:pt>
                <c:pt idx="6">
                  <c:v>Extinderea rețelelor de utilități publice (apă-canal, gaz, rețele electrice)</c:v>
                </c:pt>
                <c:pt idx="7">
                  <c:v>Construcția de noi unități de învățământ (creșe, grădinițe, școli, licee)</c:v>
                </c:pt>
                <c:pt idx="8">
                  <c:v>Crearea de locuri de muncă</c:v>
                </c:pt>
                <c:pt idx="9">
                  <c:v>Construcția de noi trasee de piste pentru bicicliști și alei pietonale</c:v>
                </c:pt>
                <c:pt idx="10">
                  <c:v>Modernizarea pistelor pentru bicicliști și a aleilor pietonale existente</c:v>
                </c:pt>
                <c:pt idx="11">
                  <c:v>Organizarea de evenimente culturale și sportive</c:v>
                </c:pt>
              </c:strCache>
            </c:strRef>
          </c:cat>
          <c:val>
            <c:numRef>
              <c:f>'[ACTUALIZAREA STRATEGIEI DE DEZVOLTARE LOCALĂ INTEGRATĂ ŞI DURABILĂ A SECTORULUI 2  PENTRU PERIOADA 2016 - 2025. Chestionar dedicat locuitorilor Sectorului 2..xlsx]Question 10'!$B$37:$B$48</c:f>
              <c:numCache>
                <c:formatCode>General</c:formatCode>
                <c:ptCount val="12"/>
                <c:pt idx="0">
                  <c:v>4.4400000000000004</c:v>
                </c:pt>
                <c:pt idx="1">
                  <c:v>4.4400000000000004</c:v>
                </c:pt>
                <c:pt idx="2">
                  <c:v>4.25</c:v>
                </c:pt>
                <c:pt idx="3">
                  <c:v>4.09</c:v>
                </c:pt>
                <c:pt idx="4">
                  <c:v>4</c:v>
                </c:pt>
                <c:pt idx="5">
                  <c:v>4</c:v>
                </c:pt>
                <c:pt idx="6">
                  <c:v>3.76</c:v>
                </c:pt>
                <c:pt idx="7">
                  <c:v>3.65</c:v>
                </c:pt>
                <c:pt idx="8">
                  <c:v>3.63</c:v>
                </c:pt>
                <c:pt idx="9">
                  <c:v>3.62</c:v>
                </c:pt>
                <c:pt idx="10">
                  <c:v>3.52</c:v>
                </c:pt>
                <c:pt idx="11">
                  <c:v>2.9</c:v>
                </c:pt>
              </c:numCache>
            </c:numRef>
          </c:val>
          <c:extLst>
            <c:ext xmlns:c16="http://schemas.microsoft.com/office/drawing/2014/chart" uri="{C3380CC4-5D6E-409C-BE32-E72D297353CC}">
              <c16:uniqueId val="{00000000-3B6F-4577-BEA6-663B35BD31D1}"/>
            </c:ext>
          </c:extLst>
        </c:ser>
        <c:dLbls>
          <c:dLblPos val="outEnd"/>
          <c:showLegendKey val="0"/>
          <c:showVal val="1"/>
          <c:showCatName val="0"/>
          <c:showSerName val="0"/>
          <c:showPercent val="0"/>
          <c:showBubbleSize val="0"/>
        </c:dLbls>
        <c:gapWidth val="150"/>
        <c:axId val="153658368"/>
        <c:axId val="154030592"/>
      </c:barChart>
      <c:catAx>
        <c:axId val="153658368"/>
        <c:scaling>
          <c:orientation val="minMax"/>
        </c:scaling>
        <c:delete val="0"/>
        <c:axPos val="l"/>
        <c:numFmt formatCode="General" sourceLinked="0"/>
        <c:majorTickMark val="none"/>
        <c:minorTickMark val="none"/>
        <c:tickLblPos val="nextTo"/>
        <c:crossAx val="154030592"/>
        <c:crosses val="autoZero"/>
        <c:auto val="1"/>
        <c:lblAlgn val="ctr"/>
        <c:lblOffset val="100"/>
        <c:noMultiLvlLbl val="0"/>
      </c:catAx>
      <c:valAx>
        <c:axId val="154030592"/>
        <c:scaling>
          <c:orientation val="minMax"/>
        </c:scaling>
        <c:delete val="1"/>
        <c:axPos val="b"/>
        <c:numFmt formatCode="General" sourceLinked="1"/>
        <c:majorTickMark val="out"/>
        <c:minorTickMark val="none"/>
        <c:tickLblPos val="nextTo"/>
        <c:crossAx val="153658368"/>
        <c:crosses val="autoZero"/>
        <c:crossBetween val="between"/>
      </c:valAx>
    </c:plotArea>
    <c:plotVisOnly val="1"/>
    <c:dispBlanksAs val="gap"/>
    <c:showDLblsOverMax val="0"/>
  </c:chart>
  <c:spPr>
    <a:ln>
      <a:noFill/>
    </a:ln>
  </c:sp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2"/>
            </a:solidFill>
          </c:spPr>
          <c:invertIfNegative val="0"/>
          <c:cat>
            <c:strRef>
              <c:f>'[ACTUALIZAREA STRATEGIEI DE DEZVOLTARE LOCALĂ INTEGRATĂ ŞI DURABILĂ A SECTORULUI 2  PENTRU PERIOADA 2016 - 2025. Chestionar dedicat locuitorilor Sectorului 2..xlsx]Question 13'!$A$40:$A$50</c:f>
              <c:strCache>
                <c:ptCount val="11"/>
                <c:pt idx="0">
                  <c:v>Calitatea locuirii (locuință individuală, curte, garaj etc)</c:v>
                </c:pt>
                <c:pt idx="1">
                  <c:v>Accesul la servicii de recreere și agrement</c:v>
                </c:pt>
                <c:pt idx="2">
                  <c:v>Apropierea de locul de muncă</c:v>
                </c:pt>
                <c:pt idx="3">
                  <c:v>Accesul la servicii de sănătate</c:v>
                </c:pt>
                <c:pt idx="4">
                  <c:v>Prețul locuinței</c:v>
                </c:pt>
                <c:pt idx="5">
                  <c:v>Accesul la servicii de educație</c:v>
                </c:pt>
                <c:pt idx="6">
                  <c:v>Infrastructura de transport (auto, biciclete, transport public)</c:v>
                </c:pt>
                <c:pt idx="7">
                  <c:v>Mediul curat (spații verzi, lacuri, calitatea aerului, curățenie)</c:v>
                </c:pt>
                <c:pt idx="8">
                  <c:v>Viața socială a comunității (de ex. oportunitățile de socializare cu vecinii, modul de organizare al proprietarilor)</c:v>
                </c:pt>
                <c:pt idx="9">
                  <c:v>Accesul la evenimente culturale</c:v>
                </c:pt>
                <c:pt idx="10">
                  <c:v>Costul mai redus al vieții (utilități, taxe și impozite locale)</c:v>
                </c:pt>
              </c:strCache>
            </c:strRef>
          </c:cat>
          <c:val>
            <c:numRef>
              <c:f>'[ACTUALIZAREA STRATEGIEI DE DEZVOLTARE LOCALĂ INTEGRATĂ ŞI DURABILĂ A SECTORULUI 2  PENTRU PERIOADA 2016 - 2025. Chestionar dedicat locuitorilor Sectorului 2..xlsx]Question 13'!$B$40:$B$50</c:f>
              <c:numCache>
                <c:formatCode>General</c:formatCode>
                <c:ptCount val="11"/>
                <c:pt idx="0">
                  <c:v>3.11</c:v>
                </c:pt>
                <c:pt idx="1">
                  <c:v>3.01</c:v>
                </c:pt>
                <c:pt idx="2">
                  <c:v>2.93</c:v>
                </c:pt>
                <c:pt idx="3">
                  <c:v>2.89</c:v>
                </c:pt>
                <c:pt idx="4">
                  <c:v>2.83</c:v>
                </c:pt>
                <c:pt idx="5">
                  <c:v>2.77</c:v>
                </c:pt>
                <c:pt idx="6">
                  <c:v>2.72</c:v>
                </c:pt>
                <c:pt idx="7">
                  <c:v>2.68</c:v>
                </c:pt>
                <c:pt idx="8">
                  <c:v>2.52</c:v>
                </c:pt>
                <c:pt idx="9">
                  <c:v>2.44</c:v>
                </c:pt>
                <c:pt idx="10">
                  <c:v>2.2799999999999998</c:v>
                </c:pt>
              </c:numCache>
            </c:numRef>
          </c:val>
          <c:extLst>
            <c:ext xmlns:c16="http://schemas.microsoft.com/office/drawing/2014/chart" uri="{C3380CC4-5D6E-409C-BE32-E72D297353CC}">
              <c16:uniqueId val="{00000000-54E6-47A3-A58F-8A7261177169}"/>
            </c:ext>
          </c:extLst>
        </c:ser>
        <c:dLbls>
          <c:showLegendKey val="0"/>
          <c:showVal val="0"/>
          <c:showCatName val="0"/>
          <c:showSerName val="0"/>
          <c:showPercent val="0"/>
          <c:showBubbleSize val="0"/>
        </c:dLbls>
        <c:gapWidth val="150"/>
        <c:axId val="51273216"/>
        <c:axId val="156183360"/>
      </c:barChart>
      <c:catAx>
        <c:axId val="51273216"/>
        <c:scaling>
          <c:orientation val="minMax"/>
        </c:scaling>
        <c:delete val="0"/>
        <c:axPos val="l"/>
        <c:numFmt formatCode="General" sourceLinked="0"/>
        <c:majorTickMark val="none"/>
        <c:minorTickMark val="none"/>
        <c:tickLblPos val="nextTo"/>
        <c:crossAx val="156183360"/>
        <c:crosses val="autoZero"/>
        <c:auto val="1"/>
        <c:lblAlgn val="ctr"/>
        <c:lblOffset val="100"/>
        <c:noMultiLvlLbl val="0"/>
      </c:catAx>
      <c:valAx>
        <c:axId val="156183360"/>
        <c:scaling>
          <c:orientation val="minMax"/>
        </c:scaling>
        <c:delete val="1"/>
        <c:axPos val="b"/>
        <c:numFmt formatCode="General" sourceLinked="1"/>
        <c:majorTickMark val="out"/>
        <c:minorTickMark val="none"/>
        <c:tickLblPos val="nextTo"/>
        <c:crossAx val="51273216"/>
        <c:crosses val="autoZero"/>
        <c:crossBetween val="between"/>
      </c:valAx>
    </c:plotArea>
    <c:plotVisOnly val="1"/>
    <c:dispBlanksAs val="gap"/>
    <c:showDLblsOverMax val="0"/>
  </c:chart>
  <c:spPr>
    <a:ln>
      <a:noFill/>
    </a:ln>
  </c:sp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15'!$A$49:$A$58</c:f>
              <c:strCache>
                <c:ptCount val="10"/>
                <c:pt idx="0">
                  <c:v>Farmacie</c:v>
                </c:pt>
                <c:pt idx="1">
                  <c:v>Magazin de cartier</c:v>
                </c:pt>
                <c:pt idx="2">
                  <c:v>Magazine de tip supermarket și/sau hypermarket</c:v>
                </c:pt>
                <c:pt idx="3">
                  <c:v>Stații de transport în comun</c:v>
                </c:pt>
                <c:pt idx="4">
                  <c:v>Alimentație publică (restaurant, bar, cafenea, patiserie etc)</c:v>
                </c:pt>
                <c:pt idx="5">
                  <c:v>Piață agroalimentară</c:v>
                </c:pt>
                <c:pt idx="6">
                  <c:v>Cabinet medical</c:v>
                </c:pt>
                <c:pt idx="7">
                  <c:v>Școală</c:v>
                </c:pt>
                <c:pt idx="8">
                  <c:v>Grădiniță/creșă</c:v>
                </c:pt>
                <c:pt idx="9">
                  <c:v>Liceu</c:v>
                </c:pt>
              </c:strCache>
            </c:strRef>
          </c:cat>
          <c:val>
            <c:numRef>
              <c:f>'[ACTUALIZAREA STRATEGIEI DE DEZVOLTARE LOCALĂ INTEGRATĂ ŞI DURABILĂ A SECTORULUI 2  PENTRU PERIOADA 2016 - 2025. Chestionar dedicat locuitorilor Sectorului 2..xlsx]Question 15'!$B$49:$B$58</c:f>
              <c:numCache>
                <c:formatCode>0.0%</c:formatCode>
                <c:ptCount val="10"/>
                <c:pt idx="0">
                  <c:v>0.93819999999999992</c:v>
                </c:pt>
                <c:pt idx="1">
                  <c:v>0.92579999999999996</c:v>
                </c:pt>
                <c:pt idx="2">
                  <c:v>0.83569999999999989</c:v>
                </c:pt>
                <c:pt idx="3">
                  <c:v>0.78620000000000001</c:v>
                </c:pt>
                <c:pt idx="4">
                  <c:v>0.62190000000000001</c:v>
                </c:pt>
                <c:pt idx="5">
                  <c:v>0.57069999999999999</c:v>
                </c:pt>
                <c:pt idx="6">
                  <c:v>0.5353</c:v>
                </c:pt>
                <c:pt idx="7">
                  <c:v>0.45760000000000001</c:v>
                </c:pt>
                <c:pt idx="8">
                  <c:v>0.34630000000000011</c:v>
                </c:pt>
                <c:pt idx="9">
                  <c:v>0.34100000000000003</c:v>
                </c:pt>
              </c:numCache>
            </c:numRef>
          </c:val>
          <c:extLst>
            <c:ext xmlns:c16="http://schemas.microsoft.com/office/drawing/2014/chart" uri="{C3380CC4-5D6E-409C-BE32-E72D297353CC}">
              <c16:uniqueId val="{00000000-9548-466B-86C8-7F655C969EDE}"/>
            </c:ext>
          </c:extLst>
        </c:ser>
        <c:dLbls>
          <c:showLegendKey val="0"/>
          <c:showVal val="0"/>
          <c:showCatName val="0"/>
          <c:showSerName val="0"/>
          <c:showPercent val="0"/>
          <c:showBubbleSize val="0"/>
        </c:dLbls>
        <c:gapWidth val="150"/>
        <c:axId val="184622592"/>
        <c:axId val="51341568"/>
      </c:barChart>
      <c:catAx>
        <c:axId val="184622592"/>
        <c:scaling>
          <c:orientation val="minMax"/>
        </c:scaling>
        <c:delete val="0"/>
        <c:axPos val="l"/>
        <c:numFmt formatCode="General" sourceLinked="0"/>
        <c:majorTickMark val="none"/>
        <c:minorTickMark val="none"/>
        <c:tickLblPos val="nextTo"/>
        <c:crossAx val="51341568"/>
        <c:crosses val="autoZero"/>
        <c:auto val="1"/>
        <c:lblAlgn val="ctr"/>
        <c:lblOffset val="100"/>
        <c:noMultiLvlLbl val="0"/>
      </c:catAx>
      <c:valAx>
        <c:axId val="51341568"/>
        <c:scaling>
          <c:orientation val="minMax"/>
        </c:scaling>
        <c:delete val="1"/>
        <c:axPos val="b"/>
        <c:numFmt formatCode="0.0%" sourceLinked="1"/>
        <c:majorTickMark val="out"/>
        <c:minorTickMark val="none"/>
        <c:tickLblPos val="nextTo"/>
        <c:crossAx val="184622592"/>
        <c:crosses val="autoZero"/>
        <c:crossBetween val="between"/>
      </c:valAx>
      <c:spPr>
        <a:noFill/>
        <a:ln w="25400">
          <a:noFill/>
        </a:ln>
      </c:spPr>
    </c:plotArea>
    <c:plotVisOnly val="1"/>
    <c:dispBlanksAs val="gap"/>
    <c:showDLblsOverMax val="0"/>
  </c:chart>
  <c:spPr>
    <a:ln>
      <a:noFill/>
    </a:ln>
  </c:sp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17'!$B$39</c:f>
              <c:strCache>
                <c:ptCount val="1"/>
                <c:pt idx="0">
                  <c:v>Foarte mulțumit/ă</c:v>
                </c:pt>
              </c:strCache>
            </c:strRef>
          </c:tx>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0-0D05-41F4-B392-82F447893CF5}"/>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17'!$A$40:$A$49</c:f>
              <c:strCache>
                <c:ptCount val="10"/>
                <c:pt idx="0">
                  <c:v>Siguranța și ordinea publică</c:v>
                </c:pt>
                <c:pt idx="1">
                  <c:v>Transportul în comun</c:v>
                </c:pt>
                <c:pt idx="2">
                  <c:v>Administrarea parcurilor/spațiilor verzi</c:v>
                </c:pt>
                <c:pt idx="3">
                  <c:v>Iluminatul public</c:v>
                </c:pt>
                <c:pt idx="4">
                  <c:v>Curățenia și managementul deșeurilor</c:v>
                </c:pt>
                <c:pt idx="5">
                  <c:v>Alimentarea cu apă potabilă</c:v>
                </c:pt>
                <c:pt idx="6">
                  <c:v>Canalizarea</c:v>
                </c:pt>
                <c:pt idx="7">
                  <c:v>Alimentarea cu energie electrică</c:v>
                </c:pt>
                <c:pt idx="8">
                  <c:v>Telecomunicațiile</c:v>
                </c:pt>
                <c:pt idx="9">
                  <c:v>Serviciile de urgență (salvare, pompieri, poliție)</c:v>
                </c:pt>
              </c:strCache>
            </c:strRef>
          </c:cat>
          <c:val>
            <c:numRef>
              <c:f>'[ACTUALIZAREA STRATEGIEI DE DEZVOLTARE LOCALĂ INTEGRATĂ ŞI DURABILĂ A SECTORULUI 2  PENTRU PERIOADA 2016 - 2025. Chestionar dedicat locuitorilor Sectorului 2..xlsx]Question 17'!$B$40:$B$49</c:f>
              <c:numCache>
                <c:formatCode>0.0%</c:formatCode>
                <c:ptCount val="10"/>
                <c:pt idx="0">
                  <c:v>3.1800000000000002E-2</c:v>
                </c:pt>
                <c:pt idx="1">
                  <c:v>4.24E-2</c:v>
                </c:pt>
                <c:pt idx="2">
                  <c:v>3.8899999999999997E-2</c:v>
                </c:pt>
                <c:pt idx="3">
                  <c:v>6.7099999999999993E-2</c:v>
                </c:pt>
                <c:pt idx="4">
                  <c:v>1.5900000000000001E-2</c:v>
                </c:pt>
                <c:pt idx="5">
                  <c:v>0.2014</c:v>
                </c:pt>
                <c:pt idx="6">
                  <c:v>0.1678</c:v>
                </c:pt>
                <c:pt idx="7">
                  <c:v>0.25800000000000001</c:v>
                </c:pt>
                <c:pt idx="8">
                  <c:v>0.31979999999999997</c:v>
                </c:pt>
                <c:pt idx="9">
                  <c:v>0.1643</c:v>
                </c:pt>
              </c:numCache>
            </c:numRef>
          </c:val>
          <c:extLst>
            <c:ext xmlns:c16="http://schemas.microsoft.com/office/drawing/2014/chart" uri="{C3380CC4-5D6E-409C-BE32-E72D297353CC}">
              <c16:uniqueId val="{00000001-0D05-41F4-B392-82F447893CF5}"/>
            </c:ext>
          </c:extLst>
        </c:ser>
        <c:ser>
          <c:idx val="1"/>
          <c:order val="1"/>
          <c:tx>
            <c:strRef>
              <c:f>'[ACTUALIZAREA STRATEGIEI DE DEZVOLTARE LOCALĂ INTEGRATĂ ŞI DURABILĂ A SECTORULUI 2  PENTRU PERIOADA 2016 - 2025. Chestionar dedicat locuitorilor Sectorului 2..xlsx]Question 17'!$C$39</c:f>
              <c:strCache>
                <c:ptCount val="1"/>
                <c:pt idx="0">
                  <c:v>Mulțumit/ă</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17'!$A$40:$A$49</c:f>
              <c:strCache>
                <c:ptCount val="10"/>
                <c:pt idx="0">
                  <c:v>Siguranța și ordinea publică</c:v>
                </c:pt>
                <c:pt idx="1">
                  <c:v>Transportul în comun</c:v>
                </c:pt>
                <c:pt idx="2">
                  <c:v>Administrarea parcurilor/spațiilor verzi</c:v>
                </c:pt>
                <c:pt idx="3">
                  <c:v>Iluminatul public</c:v>
                </c:pt>
                <c:pt idx="4">
                  <c:v>Curățenia și managementul deșeurilor</c:v>
                </c:pt>
                <c:pt idx="5">
                  <c:v>Alimentarea cu apă potabilă</c:v>
                </c:pt>
                <c:pt idx="6">
                  <c:v>Canalizarea</c:v>
                </c:pt>
                <c:pt idx="7">
                  <c:v>Alimentarea cu energie electrică</c:v>
                </c:pt>
                <c:pt idx="8">
                  <c:v>Telecomunicațiile</c:v>
                </c:pt>
                <c:pt idx="9">
                  <c:v>Serviciile de urgență (salvare, pompieri, poliție)</c:v>
                </c:pt>
              </c:strCache>
            </c:strRef>
          </c:cat>
          <c:val>
            <c:numRef>
              <c:f>'[ACTUALIZAREA STRATEGIEI DE DEZVOLTARE LOCALĂ INTEGRATĂ ŞI DURABILĂ A SECTORULUI 2  PENTRU PERIOADA 2016 - 2025. Chestionar dedicat locuitorilor Sectorului 2..xlsx]Question 17'!$C$40:$C$49</c:f>
              <c:numCache>
                <c:formatCode>0.0%</c:formatCode>
                <c:ptCount val="10"/>
                <c:pt idx="0">
                  <c:v>0.1943</c:v>
                </c:pt>
                <c:pt idx="1">
                  <c:v>0.32329999999999998</c:v>
                </c:pt>
                <c:pt idx="2">
                  <c:v>0.24560000000000001</c:v>
                </c:pt>
                <c:pt idx="3">
                  <c:v>0.42580000000000001</c:v>
                </c:pt>
                <c:pt idx="4">
                  <c:v>0.1555</c:v>
                </c:pt>
                <c:pt idx="5">
                  <c:v>0.56009999999999993</c:v>
                </c:pt>
                <c:pt idx="6">
                  <c:v>0.51590000000000003</c:v>
                </c:pt>
                <c:pt idx="7">
                  <c:v>0.59189999999999998</c:v>
                </c:pt>
                <c:pt idx="8">
                  <c:v>0.54590000000000005</c:v>
                </c:pt>
                <c:pt idx="9">
                  <c:v>0.45939999999999998</c:v>
                </c:pt>
              </c:numCache>
            </c:numRef>
          </c:val>
          <c:extLst>
            <c:ext xmlns:c16="http://schemas.microsoft.com/office/drawing/2014/chart" uri="{C3380CC4-5D6E-409C-BE32-E72D297353CC}">
              <c16:uniqueId val="{00000002-0D05-41F4-B392-82F447893CF5}"/>
            </c:ext>
          </c:extLst>
        </c:ser>
        <c:ser>
          <c:idx val="2"/>
          <c:order val="2"/>
          <c:tx>
            <c:strRef>
              <c:f>'[ACTUALIZAREA STRATEGIEI DE DEZVOLTARE LOCALĂ INTEGRATĂ ŞI DURABILĂ A SECTORULUI 2  PENTRU PERIOADA 2016 - 2025. Chestionar dedicat locuitorilor Sectorului 2..xlsx]Question 17'!$D$39</c:f>
              <c:strCache>
                <c:ptCount val="1"/>
                <c:pt idx="0">
                  <c:v>Neutru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17'!$A$40:$A$49</c:f>
              <c:strCache>
                <c:ptCount val="10"/>
                <c:pt idx="0">
                  <c:v>Siguranța și ordinea publică</c:v>
                </c:pt>
                <c:pt idx="1">
                  <c:v>Transportul în comun</c:v>
                </c:pt>
                <c:pt idx="2">
                  <c:v>Administrarea parcurilor/spațiilor verzi</c:v>
                </c:pt>
                <c:pt idx="3">
                  <c:v>Iluminatul public</c:v>
                </c:pt>
                <c:pt idx="4">
                  <c:v>Curățenia și managementul deșeurilor</c:v>
                </c:pt>
                <c:pt idx="5">
                  <c:v>Alimentarea cu apă potabilă</c:v>
                </c:pt>
                <c:pt idx="6">
                  <c:v>Canalizarea</c:v>
                </c:pt>
                <c:pt idx="7">
                  <c:v>Alimentarea cu energie electrică</c:v>
                </c:pt>
                <c:pt idx="8">
                  <c:v>Telecomunicațiile</c:v>
                </c:pt>
                <c:pt idx="9">
                  <c:v>Serviciile de urgență (salvare, pompieri, poliție)</c:v>
                </c:pt>
              </c:strCache>
            </c:strRef>
          </c:cat>
          <c:val>
            <c:numRef>
              <c:f>'[ACTUALIZAREA STRATEGIEI DE DEZVOLTARE LOCALĂ INTEGRATĂ ŞI DURABILĂ A SECTORULUI 2  PENTRU PERIOADA 2016 - 2025. Chestionar dedicat locuitorilor Sectorului 2..xlsx]Question 17'!$D$40:$D$49</c:f>
              <c:numCache>
                <c:formatCode>0.0%</c:formatCode>
                <c:ptCount val="10"/>
                <c:pt idx="0">
                  <c:v>0.25269999999999998</c:v>
                </c:pt>
                <c:pt idx="1">
                  <c:v>0.2898</c:v>
                </c:pt>
                <c:pt idx="2">
                  <c:v>0.1855</c:v>
                </c:pt>
                <c:pt idx="3">
                  <c:v>0.26150000000000001</c:v>
                </c:pt>
                <c:pt idx="4">
                  <c:v>0.12540000000000001</c:v>
                </c:pt>
                <c:pt idx="5">
                  <c:v>0.14130000000000001</c:v>
                </c:pt>
                <c:pt idx="6">
                  <c:v>0.1749</c:v>
                </c:pt>
                <c:pt idx="7">
                  <c:v>0.1095</c:v>
                </c:pt>
                <c:pt idx="8">
                  <c:v>0.1007</c:v>
                </c:pt>
                <c:pt idx="9">
                  <c:v>0.3039</c:v>
                </c:pt>
              </c:numCache>
            </c:numRef>
          </c:val>
          <c:extLst>
            <c:ext xmlns:c16="http://schemas.microsoft.com/office/drawing/2014/chart" uri="{C3380CC4-5D6E-409C-BE32-E72D297353CC}">
              <c16:uniqueId val="{00000003-0D05-41F4-B392-82F447893CF5}"/>
            </c:ext>
          </c:extLst>
        </c:ser>
        <c:ser>
          <c:idx val="3"/>
          <c:order val="3"/>
          <c:tx>
            <c:strRef>
              <c:f>'[ACTUALIZAREA STRATEGIEI DE DEZVOLTARE LOCALĂ INTEGRATĂ ŞI DURABILĂ A SECTORULUI 2  PENTRU PERIOADA 2016 - 2025. Chestionar dedicat locuitorilor Sectorului 2..xlsx]Question 17'!$E$39</c:f>
              <c:strCache>
                <c:ptCount val="1"/>
                <c:pt idx="0">
                  <c:v>Nemulțumit/ă</c:v>
                </c:pt>
              </c:strCache>
            </c:strRef>
          </c:tx>
          <c:invertIfNegative val="0"/>
          <c:dLbls>
            <c:dLbl>
              <c:idx val="7"/>
              <c:delete val="1"/>
              <c:extLst>
                <c:ext xmlns:c15="http://schemas.microsoft.com/office/drawing/2012/chart" uri="{CE6537A1-D6FC-4f65-9D91-7224C49458BB}"/>
                <c:ext xmlns:c16="http://schemas.microsoft.com/office/drawing/2014/chart" uri="{C3380CC4-5D6E-409C-BE32-E72D297353CC}">
                  <c16:uniqueId val="{00000004-0D05-41F4-B392-82F447893CF5}"/>
                </c:ext>
              </c:extLst>
            </c:dLbl>
            <c:dLbl>
              <c:idx val="8"/>
              <c:delete val="1"/>
              <c:extLst>
                <c:ext xmlns:c15="http://schemas.microsoft.com/office/drawing/2012/chart" uri="{CE6537A1-D6FC-4f65-9D91-7224C49458BB}"/>
                <c:ext xmlns:c16="http://schemas.microsoft.com/office/drawing/2014/chart" uri="{C3380CC4-5D6E-409C-BE32-E72D297353CC}">
                  <c16:uniqueId val="{00000005-0D05-41F4-B392-82F447893CF5}"/>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17'!$A$40:$A$49</c:f>
              <c:strCache>
                <c:ptCount val="10"/>
                <c:pt idx="0">
                  <c:v>Siguranța și ordinea publică</c:v>
                </c:pt>
                <c:pt idx="1">
                  <c:v>Transportul în comun</c:v>
                </c:pt>
                <c:pt idx="2">
                  <c:v>Administrarea parcurilor/spațiilor verzi</c:v>
                </c:pt>
                <c:pt idx="3">
                  <c:v>Iluminatul public</c:v>
                </c:pt>
                <c:pt idx="4">
                  <c:v>Curățenia și managementul deșeurilor</c:v>
                </c:pt>
                <c:pt idx="5">
                  <c:v>Alimentarea cu apă potabilă</c:v>
                </c:pt>
                <c:pt idx="6">
                  <c:v>Canalizarea</c:v>
                </c:pt>
                <c:pt idx="7">
                  <c:v>Alimentarea cu energie electrică</c:v>
                </c:pt>
                <c:pt idx="8">
                  <c:v>Telecomunicațiile</c:v>
                </c:pt>
                <c:pt idx="9">
                  <c:v>Serviciile de urgență (salvare, pompieri, poliție)</c:v>
                </c:pt>
              </c:strCache>
            </c:strRef>
          </c:cat>
          <c:val>
            <c:numRef>
              <c:f>'[ACTUALIZAREA STRATEGIEI DE DEZVOLTARE LOCALĂ INTEGRATĂ ŞI DURABILĂ A SECTORULUI 2  PENTRU PERIOADA 2016 - 2025. Chestionar dedicat locuitorilor Sectorului 2..xlsx]Question 17'!$E$40:$E$49</c:f>
              <c:numCache>
                <c:formatCode>0.0%</c:formatCode>
                <c:ptCount val="10"/>
                <c:pt idx="0">
                  <c:v>0.3145</c:v>
                </c:pt>
                <c:pt idx="1">
                  <c:v>0.25440000000000002</c:v>
                </c:pt>
                <c:pt idx="2">
                  <c:v>0.30919999999999997</c:v>
                </c:pt>
                <c:pt idx="3">
                  <c:v>0.1961</c:v>
                </c:pt>
                <c:pt idx="4">
                  <c:v>0.36930000000000002</c:v>
                </c:pt>
                <c:pt idx="5">
                  <c:v>5.6500000000000002E-2</c:v>
                </c:pt>
                <c:pt idx="6">
                  <c:v>0.10249999999999999</c:v>
                </c:pt>
                <c:pt idx="7">
                  <c:v>2.47E-2</c:v>
                </c:pt>
                <c:pt idx="8">
                  <c:v>2.8299999999999999E-2</c:v>
                </c:pt>
                <c:pt idx="9">
                  <c:v>5.6500000000000002E-2</c:v>
                </c:pt>
              </c:numCache>
            </c:numRef>
          </c:val>
          <c:extLst>
            <c:ext xmlns:c16="http://schemas.microsoft.com/office/drawing/2014/chart" uri="{C3380CC4-5D6E-409C-BE32-E72D297353CC}">
              <c16:uniqueId val="{00000006-0D05-41F4-B392-82F447893CF5}"/>
            </c:ext>
          </c:extLst>
        </c:ser>
        <c:ser>
          <c:idx val="4"/>
          <c:order val="4"/>
          <c:tx>
            <c:strRef>
              <c:f>'[ACTUALIZAREA STRATEGIEI DE DEZVOLTARE LOCALĂ INTEGRATĂ ŞI DURABILĂ A SECTORULUI 2  PENTRU PERIOADA 2016 - 2025. Chestionar dedicat locuitorilor Sectorului 2..xlsx]Question 17'!$F$39</c:f>
              <c:strCache>
                <c:ptCount val="1"/>
                <c:pt idx="0">
                  <c:v>Foarte nemulțumit/ă</c:v>
                </c:pt>
              </c:strCache>
            </c:strRef>
          </c:tx>
          <c:invertIfNegative val="0"/>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05-41F4-B392-82F447893CF5}"/>
                </c:ext>
              </c:extLst>
            </c:dLbl>
            <c:dLbl>
              <c:idx val="2"/>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05-41F4-B392-82F447893CF5}"/>
                </c:ext>
              </c:extLst>
            </c:dLbl>
            <c:dLbl>
              <c:idx val="4"/>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05-41F4-B392-82F447893CF5}"/>
                </c:ext>
              </c:extLst>
            </c:dLbl>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17'!$A$40:$A$49</c:f>
              <c:strCache>
                <c:ptCount val="10"/>
                <c:pt idx="0">
                  <c:v>Siguranța și ordinea publică</c:v>
                </c:pt>
                <c:pt idx="1">
                  <c:v>Transportul în comun</c:v>
                </c:pt>
                <c:pt idx="2">
                  <c:v>Administrarea parcurilor/spațiilor verzi</c:v>
                </c:pt>
                <c:pt idx="3">
                  <c:v>Iluminatul public</c:v>
                </c:pt>
                <c:pt idx="4">
                  <c:v>Curățenia și managementul deșeurilor</c:v>
                </c:pt>
                <c:pt idx="5">
                  <c:v>Alimentarea cu apă potabilă</c:v>
                </c:pt>
                <c:pt idx="6">
                  <c:v>Canalizarea</c:v>
                </c:pt>
                <c:pt idx="7">
                  <c:v>Alimentarea cu energie electrică</c:v>
                </c:pt>
                <c:pt idx="8">
                  <c:v>Telecomunicațiile</c:v>
                </c:pt>
                <c:pt idx="9">
                  <c:v>Serviciile de urgență (salvare, pompieri, poliție)</c:v>
                </c:pt>
              </c:strCache>
            </c:strRef>
          </c:cat>
          <c:val>
            <c:numRef>
              <c:f>'[ACTUALIZAREA STRATEGIEI DE DEZVOLTARE LOCALĂ INTEGRATĂ ŞI DURABILĂ A SECTORULUI 2  PENTRU PERIOADA 2016 - 2025. Chestionar dedicat locuitorilor Sectorului 2..xlsx]Question 17'!$F$40:$F$49</c:f>
              <c:numCache>
                <c:formatCode>0.0%</c:formatCode>
                <c:ptCount val="10"/>
                <c:pt idx="0">
                  <c:v>0.1996</c:v>
                </c:pt>
                <c:pt idx="1">
                  <c:v>8.1300000000000011E-2</c:v>
                </c:pt>
                <c:pt idx="2">
                  <c:v>0.21909999999999999</c:v>
                </c:pt>
                <c:pt idx="3">
                  <c:v>4.9500000000000002E-2</c:v>
                </c:pt>
                <c:pt idx="4">
                  <c:v>0.3286</c:v>
                </c:pt>
                <c:pt idx="5">
                  <c:v>3.8899999999999997E-2</c:v>
                </c:pt>
                <c:pt idx="6">
                  <c:v>3.7100000000000001E-2</c:v>
                </c:pt>
                <c:pt idx="7">
                  <c:v>1.5900000000000001E-2</c:v>
                </c:pt>
                <c:pt idx="8">
                  <c:v>5.3E-3</c:v>
                </c:pt>
                <c:pt idx="9">
                  <c:v>1.24E-2</c:v>
                </c:pt>
              </c:numCache>
            </c:numRef>
          </c:val>
          <c:extLst>
            <c:ext xmlns:c16="http://schemas.microsoft.com/office/drawing/2014/chart" uri="{C3380CC4-5D6E-409C-BE32-E72D297353CC}">
              <c16:uniqueId val="{0000000A-0D05-41F4-B392-82F447893CF5}"/>
            </c:ext>
          </c:extLst>
        </c:ser>
        <c:ser>
          <c:idx val="5"/>
          <c:order val="5"/>
          <c:tx>
            <c:strRef>
              <c:f>'[ACTUALIZAREA STRATEGIEI DE DEZVOLTARE LOCALĂ INTEGRATĂ ŞI DURABILĂ A SECTORULUI 2  PENTRU PERIOADA 2016 - 2025. Chestionar dedicat locuitorilor Sectorului 2..xlsx]Question 17'!$G$39</c:f>
              <c:strCache>
                <c:ptCount val="1"/>
                <c:pt idx="0">
                  <c:v>Nu am acces la acest serviciu</c:v>
                </c:pt>
              </c:strCache>
            </c:strRef>
          </c:tx>
          <c:invertIfNegative val="0"/>
          <c:dLbls>
            <c:delete val="1"/>
          </c:dLbls>
          <c:cat>
            <c:strRef>
              <c:f>'[ACTUALIZAREA STRATEGIEI DE DEZVOLTARE LOCALĂ INTEGRATĂ ŞI DURABILĂ A SECTORULUI 2  PENTRU PERIOADA 2016 - 2025. Chestionar dedicat locuitorilor Sectorului 2..xlsx]Question 17'!$A$40:$A$49</c:f>
              <c:strCache>
                <c:ptCount val="10"/>
                <c:pt idx="0">
                  <c:v>Siguranța și ordinea publică</c:v>
                </c:pt>
                <c:pt idx="1">
                  <c:v>Transportul în comun</c:v>
                </c:pt>
                <c:pt idx="2">
                  <c:v>Administrarea parcurilor/spațiilor verzi</c:v>
                </c:pt>
                <c:pt idx="3">
                  <c:v>Iluminatul public</c:v>
                </c:pt>
                <c:pt idx="4">
                  <c:v>Curățenia și managementul deșeurilor</c:v>
                </c:pt>
                <c:pt idx="5">
                  <c:v>Alimentarea cu apă potabilă</c:v>
                </c:pt>
                <c:pt idx="6">
                  <c:v>Canalizarea</c:v>
                </c:pt>
                <c:pt idx="7">
                  <c:v>Alimentarea cu energie electrică</c:v>
                </c:pt>
                <c:pt idx="8">
                  <c:v>Telecomunicațiile</c:v>
                </c:pt>
                <c:pt idx="9">
                  <c:v>Serviciile de urgență (salvare, pompieri, poliție)</c:v>
                </c:pt>
              </c:strCache>
            </c:strRef>
          </c:cat>
          <c:val>
            <c:numRef>
              <c:f>'[ACTUALIZAREA STRATEGIEI DE DEZVOLTARE LOCALĂ INTEGRATĂ ŞI DURABILĂ A SECTORULUI 2  PENTRU PERIOADA 2016 - 2025. Chestionar dedicat locuitorilor Sectorului 2..xlsx]Question 17'!$G$40:$G$49</c:f>
              <c:numCache>
                <c:formatCode>0.0%</c:formatCode>
                <c:ptCount val="10"/>
                <c:pt idx="0">
                  <c:v>7.1000000000000004E-3</c:v>
                </c:pt>
                <c:pt idx="1">
                  <c:v>8.8000000000000005E-3</c:v>
                </c:pt>
                <c:pt idx="2">
                  <c:v>1.8E-3</c:v>
                </c:pt>
                <c:pt idx="3">
                  <c:v>0</c:v>
                </c:pt>
                <c:pt idx="4">
                  <c:v>5.3E-3</c:v>
                </c:pt>
                <c:pt idx="5">
                  <c:v>1.8E-3</c:v>
                </c:pt>
                <c:pt idx="6">
                  <c:v>1.8E-3</c:v>
                </c:pt>
                <c:pt idx="7">
                  <c:v>0</c:v>
                </c:pt>
                <c:pt idx="8">
                  <c:v>0</c:v>
                </c:pt>
                <c:pt idx="9">
                  <c:v>3.5000000000000001E-3</c:v>
                </c:pt>
              </c:numCache>
            </c:numRef>
          </c:val>
          <c:extLst>
            <c:ext xmlns:c16="http://schemas.microsoft.com/office/drawing/2014/chart" uri="{C3380CC4-5D6E-409C-BE32-E72D297353CC}">
              <c16:uniqueId val="{0000000B-0D05-41F4-B392-82F447893CF5}"/>
            </c:ext>
          </c:extLst>
        </c:ser>
        <c:dLbls>
          <c:dLblPos val="ctr"/>
          <c:showLegendKey val="0"/>
          <c:showVal val="1"/>
          <c:showCatName val="0"/>
          <c:showSerName val="0"/>
          <c:showPercent val="0"/>
          <c:showBubbleSize val="0"/>
        </c:dLbls>
        <c:gapWidth val="72"/>
        <c:overlap val="100"/>
        <c:axId val="184664576"/>
        <c:axId val="51343872"/>
      </c:barChart>
      <c:catAx>
        <c:axId val="184664576"/>
        <c:scaling>
          <c:orientation val="minMax"/>
        </c:scaling>
        <c:delete val="0"/>
        <c:axPos val="l"/>
        <c:numFmt formatCode="General" sourceLinked="0"/>
        <c:majorTickMark val="none"/>
        <c:minorTickMark val="none"/>
        <c:tickLblPos val="nextTo"/>
        <c:crossAx val="51343872"/>
        <c:crosses val="autoZero"/>
        <c:auto val="1"/>
        <c:lblAlgn val="ctr"/>
        <c:lblOffset val="100"/>
        <c:noMultiLvlLbl val="0"/>
      </c:catAx>
      <c:valAx>
        <c:axId val="51343872"/>
        <c:scaling>
          <c:orientation val="minMax"/>
        </c:scaling>
        <c:delete val="1"/>
        <c:axPos val="b"/>
        <c:numFmt formatCode="0%" sourceLinked="1"/>
        <c:majorTickMark val="out"/>
        <c:minorTickMark val="none"/>
        <c:tickLblPos val="nextTo"/>
        <c:crossAx val="18466457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18'!$A$32:$A$37</c:f>
              <c:strCache>
                <c:ptCount val="6"/>
                <c:pt idx="0">
                  <c:v>Iluminat public</c:v>
                </c:pt>
                <c:pt idx="1">
                  <c:v>Elemente de siguranță rutieră, inclusiv semafoare</c:v>
                </c:pt>
                <c:pt idx="2">
                  <c:v>Străzi/carosabil</c:v>
                </c:pt>
                <c:pt idx="3">
                  <c:v>Mobilier urban</c:v>
                </c:pt>
                <c:pt idx="4">
                  <c:v>Trotuare și piste pentru bicicliști</c:v>
                </c:pt>
                <c:pt idx="5">
                  <c:v>Locuri de parcare</c:v>
                </c:pt>
              </c:strCache>
            </c:strRef>
          </c:cat>
          <c:val>
            <c:numRef>
              <c:f>'[ACTUALIZAREA STRATEGIEI DE DEZVOLTARE LOCALĂ INTEGRATĂ ŞI DURABILĂ A SECTORULUI 2  PENTRU PERIOADA 2016 - 2025. Chestionar dedicat locuitorilor Sectorului 2..xlsx]Question 18'!$B$32:$B$37</c:f>
              <c:numCache>
                <c:formatCode>General</c:formatCode>
                <c:ptCount val="6"/>
                <c:pt idx="0">
                  <c:v>3.3</c:v>
                </c:pt>
                <c:pt idx="1">
                  <c:v>2.54</c:v>
                </c:pt>
                <c:pt idx="2">
                  <c:v>2.4500000000000002</c:v>
                </c:pt>
                <c:pt idx="3">
                  <c:v>2.42</c:v>
                </c:pt>
                <c:pt idx="4">
                  <c:v>1.87</c:v>
                </c:pt>
                <c:pt idx="5">
                  <c:v>1.66</c:v>
                </c:pt>
              </c:numCache>
            </c:numRef>
          </c:val>
          <c:extLst>
            <c:ext xmlns:c16="http://schemas.microsoft.com/office/drawing/2014/chart" uri="{C3380CC4-5D6E-409C-BE32-E72D297353CC}">
              <c16:uniqueId val="{00000000-3F94-47D5-969F-7ECDE3721941}"/>
            </c:ext>
          </c:extLst>
        </c:ser>
        <c:dLbls>
          <c:dLblPos val="outEnd"/>
          <c:showLegendKey val="0"/>
          <c:showVal val="1"/>
          <c:showCatName val="0"/>
          <c:showSerName val="0"/>
          <c:showPercent val="0"/>
          <c:showBubbleSize val="0"/>
        </c:dLbls>
        <c:gapWidth val="150"/>
        <c:axId val="184620032"/>
        <c:axId val="51345024"/>
      </c:barChart>
      <c:catAx>
        <c:axId val="184620032"/>
        <c:scaling>
          <c:orientation val="minMax"/>
        </c:scaling>
        <c:delete val="0"/>
        <c:axPos val="l"/>
        <c:numFmt formatCode="General" sourceLinked="0"/>
        <c:majorTickMark val="none"/>
        <c:minorTickMark val="none"/>
        <c:tickLblPos val="nextTo"/>
        <c:crossAx val="51345024"/>
        <c:crosses val="autoZero"/>
        <c:auto val="1"/>
        <c:lblAlgn val="ctr"/>
        <c:lblOffset val="100"/>
        <c:noMultiLvlLbl val="0"/>
      </c:catAx>
      <c:valAx>
        <c:axId val="51345024"/>
        <c:scaling>
          <c:orientation val="minMax"/>
        </c:scaling>
        <c:delete val="1"/>
        <c:axPos val="b"/>
        <c:numFmt formatCode="General" sourceLinked="1"/>
        <c:majorTickMark val="out"/>
        <c:minorTickMark val="none"/>
        <c:tickLblPos val="nextTo"/>
        <c:crossAx val="184620032"/>
        <c:crosses val="autoZero"/>
        <c:crossBetween val="between"/>
      </c:valAx>
    </c:plotArea>
    <c:plotVisOnly val="1"/>
    <c:dispBlanksAs val="gap"/>
    <c:showDLblsOverMax val="0"/>
  </c:chart>
  <c:spPr>
    <a:ln>
      <a:noFill/>
    </a:ln>
  </c:sp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19'!$B$31</c:f>
              <c:strCache>
                <c:ptCount val="1"/>
                <c:pt idx="0">
                  <c:v>Zilnic</c:v>
                </c:pt>
              </c:strCache>
            </c:strRef>
          </c:tx>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0-1502-447E-8BF4-C72F9014D96F}"/>
                </c:ext>
              </c:extLst>
            </c:dLbl>
            <c:dLbl>
              <c:idx val="5"/>
              <c:delete val="1"/>
              <c:extLst>
                <c:ext xmlns:c15="http://schemas.microsoft.com/office/drawing/2012/chart" uri="{CE6537A1-D6FC-4f65-9D91-7224C49458BB}"/>
                <c:ext xmlns:c16="http://schemas.microsoft.com/office/drawing/2014/chart" uri="{C3380CC4-5D6E-409C-BE32-E72D297353CC}">
                  <c16:uniqueId val="{00000001-1502-447E-8BF4-C72F9014D96F}"/>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19'!$A$32:$A$37</c:f>
              <c:strCache>
                <c:ptCount val="6"/>
                <c:pt idx="0">
                  <c:v>Automobilul personal</c:v>
                </c:pt>
                <c:pt idx="1">
                  <c:v>Transportul în comun</c:v>
                </c:pt>
                <c:pt idx="2">
                  <c:v>Bicicleta</c:v>
                </c:pt>
                <c:pt idx="3">
                  <c:v>Prefer să merg pe jos</c:v>
                </c:pt>
                <c:pt idx="4">
                  <c:v>Trotinetă electrică/altele</c:v>
                </c:pt>
                <c:pt idx="5">
                  <c:v>Car sharing (Uber, Bolt, etc.)</c:v>
                </c:pt>
              </c:strCache>
            </c:strRef>
          </c:cat>
          <c:val>
            <c:numRef>
              <c:f>'[ACTUALIZAREA STRATEGIEI DE DEZVOLTARE LOCALĂ INTEGRATĂ ŞI DURABILĂ A SECTORULUI 2  PENTRU PERIOADA 2016 - 2025. Chestionar dedicat locuitorilor Sectorului 2..xlsx]Question 19'!$B$32:$B$37</c:f>
              <c:numCache>
                <c:formatCode>0.0%</c:formatCode>
                <c:ptCount val="6"/>
                <c:pt idx="0">
                  <c:v>0.3604</c:v>
                </c:pt>
                <c:pt idx="1">
                  <c:v>0.3004</c:v>
                </c:pt>
                <c:pt idx="2">
                  <c:v>5.2999999999999999E-2</c:v>
                </c:pt>
                <c:pt idx="3">
                  <c:v>0.56009999999999993</c:v>
                </c:pt>
                <c:pt idx="4">
                  <c:v>2.12E-2</c:v>
                </c:pt>
                <c:pt idx="5">
                  <c:v>1.77E-2</c:v>
                </c:pt>
              </c:numCache>
            </c:numRef>
          </c:val>
          <c:extLst>
            <c:ext xmlns:c16="http://schemas.microsoft.com/office/drawing/2014/chart" uri="{C3380CC4-5D6E-409C-BE32-E72D297353CC}">
              <c16:uniqueId val="{00000002-1502-447E-8BF4-C72F9014D96F}"/>
            </c:ext>
          </c:extLst>
        </c:ser>
        <c:ser>
          <c:idx val="1"/>
          <c:order val="1"/>
          <c:tx>
            <c:strRef>
              <c:f>'[ACTUALIZAREA STRATEGIEI DE DEZVOLTARE LOCALĂ INTEGRATĂ ŞI DURABILĂ A SECTORULUI 2  PENTRU PERIOADA 2016 - 2025. Chestionar dedicat locuitorilor Sectorului 2..xlsx]Question 19'!$C$31</c:f>
              <c:strCache>
                <c:ptCount val="1"/>
                <c:pt idx="0">
                  <c:v>Săptămânal</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19'!$A$32:$A$37</c:f>
              <c:strCache>
                <c:ptCount val="6"/>
                <c:pt idx="0">
                  <c:v>Automobilul personal</c:v>
                </c:pt>
                <c:pt idx="1">
                  <c:v>Transportul în comun</c:v>
                </c:pt>
                <c:pt idx="2">
                  <c:v>Bicicleta</c:v>
                </c:pt>
                <c:pt idx="3">
                  <c:v>Prefer să merg pe jos</c:v>
                </c:pt>
                <c:pt idx="4">
                  <c:v>Trotinetă electrică/altele</c:v>
                </c:pt>
                <c:pt idx="5">
                  <c:v>Car sharing (Uber, Bolt, etc.)</c:v>
                </c:pt>
              </c:strCache>
            </c:strRef>
          </c:cat>
          <c:val>
            <c:numRef>
              <c:f>'[ACTUALIZAREA STRATEGIEI DE DEZVOLTARE LOCALĂ INTEGRATĂ ŞI DURABILĂ A SECTORULUI 2  PENTRU PERIOADA 2016 - 2025. Chestionar dedicat locuitorilor Sectorului 2..xlsx]Question 19'!$C$32:$C$37</c:f>
              <c:numCache>
                <c:formatCode>0.0%</c:formatCode>
                <c:ptCount val="6"/>
                <c:pt idx="0">
                  <c:v>0.3286</c:v>
                </c:pt>
                <c:pt idx="1">
                  <c:v>0.28449999999999998</c:v>
                </c:pt>
                <c:pt idx="2">
                  <c:v>0.159</c:v>
                </c:pt>
                <c:pt idx="3">
                  <c:v>0.28449999999999998</c:v>
                </c:pt>
                <c:pt idx="4">
                  <c:v>6.54E-2</c:v>
                </c:pt>
                <c:pt idx="5">
                  <c:v>0.13780000000000001</c:v>
                </c:pt>
              </c:numCache>
            </c:numRef>
          </c:val>
          <c:extLst>
            <c:ext xmlns:c16="http://schemas.microsoft.com/office/drawing/2014/chart" uri="{C3380CC4-5D6E-409C-BE32-E72D297353CC}">
              <c16:uniqueId val="{00000003-1502-447E-8BF4-C72F9014D96F}"/>
            </c:ext>
          </c:extLst>
        </c:ser>
        <c:ser>
          <c:idx val="2"/>
          <c:order val="2"/>
          <c:tx>
            <c:strRef>
              <c:f>'[ACTUALIZAREA STRATEGIEI DE DEZVOLTARE LOCALĂ INTEGRATĂ ŞI DURABILĂ A SECTORULUI 2  PENTRU PERIOADA 2016 - 2025. Chestionar dedicat locuitorilor Sectorului 2..xlsx]Question 19'!$D$31</c:f>
              <c:strCache>
                <c:ptCount val="1"/>
                <c:pt idx="0">
                  <c:v>Lunar</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19'!$A$32:$A$37</c:f>
              <c:strCache>
                <c:ptCount val="6"/>
                <c:pt idx="0">
                  <c:v>Automobilul personal</c:v>
                </c:pt>
                <c:pt idx="1">
                  <c:v>Transportul în comun</c:v>
                </c:pt>
                <c:pt idx="2">
                  <c:v>Bicicleta</c:v>
                </c:pt>
                <c:pt idx="3">
                  <c:v>Prefer să merg pe jos</c:v>
                </c:pt>
                <c:pt idx="4">
                  <c:v>Trotinetă electrică/altele</c:v>
                </c:pt>
                <c:pt idx="5">
                  <c:v>Car sharing (Uber, Bolt, etc.)</c:v>
                </c:pt>
              </c:strCache>
            </c:strRef>
          </c:cat>
          <c:val>
            <c:numRef>
              <c:f>'[ACTUALIZAREA STRATEGIEI DE DEZVOLTARE LOCALĂ INTEGRATĂ ŞI DURABILĂ A SECTORULUI 2  PENTRU PERIOADA 2016 - 2025. Chestionar dedicat locuitorilor Sectorului 2..xlsx]Question 19'!$D$32:$D$37</c:f>
              <c:numCache>
                <c:formatCode>0.0%</c:formatCode>
                <c:ptCount val="6"/>
                <c:pt idx="0">
                  <c:v>7.7699999999999991E-2</c:v>
                </c:pt>
                <c:pt idx="1">
                  <c:v>0.1749</c:v>
                </c:pt>
                <c:pt idx="2">
                  <c:v>0.13250000000000001</c:v>
                </c:pt>
                <c:pt idx="3">
                  <c:v>8.8300000000000003E-2</c:v>
                </c:pt>
                <c:pt idx="4">
                  <c:v>7.4200000000000002E-2</c:v>
                </c:pt>
                <c:pt idx="5">
                  <c:v>0.3286</c:v>
                </c:pt>
              </c:numCache>
            </c:numRef>
          </c:val>
          <c:extLst>
            <c:ext xmlns:c16="http://schemas.microsoft.com/office/drawing/2014/chart" uri="{C3380CC4-5D6E-409C-BE32-E72D297353CC}">
              <c16:uniqueId val="{00000004-1502-447E-8BF4-C72F9014D96F}"/>
            </c:ext>
          </c:extLst>
        </c:ser>
        <c:ser>
          <c:idx val="3"/>
          <c:order val="3"/>
          <c:tx>
            <c:strRef>
              <c:f>'[ACTUALIZAREA STRATEGIEI DE DEZVOLTARE LOCALĂ INTEGRATĂ ŞI DURABILĂ A SECTORULUI 2  PENTRU PERIOADA 2016 - 2025. Chestionar dedicat locuitorilor Sectorului 2..xlsx]Question 19'!$E$31</c:f>
              <c:strCache>
                <c:ptCount val="1"/>
                <c:pt idx="0">
                  <c:v>Când plouă/ninge</c:v>
                </c:pt>
              </c:strCache>
            </c:strRef>
          </c:tx>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5-1502-447E-8BF4-C72F9014D96F}"/>
                </c:ext>
              </c:extLst>
            </c:dLbl>
            <c:dLbl>
              <c:idx val="3"/>
              <c:delete val="1"/>
              <c:extLst>
                <c:ext xmlns:c15="http://schemas.microsoft.com/office/drawing/2012/chart" uri="{CE6537A1-D6FC-4f65-9D91-7224C49458BB}"/>
                <c:ext xmlns:c16="http://schemas.microsoft.com/office/drawing/2014/chart" uri="{C3380CC4-5D6E-409C-BE32-E72D297353CC}">
                  <c16:uniqueId val="{00000006-1502-447E-8BF4-C72F9014D96F}"/>
                </c:ext>
              </c:extLst>
            </c:dLbl>
            <c:dLbl>
              <c:idx val="4"/>
              <c:delete val="1"/>
              <c:extLst>
                <c:ext xmlns:c15="http://schemas.microsoft.com/office/drawing/2012/chart" uri="{CE6537A1-D6FC-4f65-9D91-7224C49458BB}"/>
                <c:ext xmlns:c16="http://schemas.microsoft.com/office/drawing/2014/chart" uri="{C3380CC4-5D6E-409C-BE32-E72D297353CC}">
                  <c16:uniqueId val="{00000007-1502-447E-8BF4-C72F9014D96F}"/>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19'!$A$32:$A$37</c:f>
              <c:strCache>
                <c:ptCount val="6"/>
                <c:pt idx="0">
                  <c:v>Automobilul personal</c:v>
                </c:pt>
                <c:pt idx="1">
                  <c:v>Transportul în comun</c:v>
                </c:pt>
                <c:pt idx="2">
                  <c:v>Bicicleta</c:v>
                </c:pt>
                <c:pt idx="3">
                  <c:v>Prefer să merg pe jos</c:v>
                </c:pt>
                <c:pt idx="4">
                  <c:v>Trotinetă electrică/altele</c:v>
                </c:pt>
                <c:pt idx="5">
                  <c:v>Car sharing (Uber, Bolt, etc.)</c:v>
                </c:pt>
              </c:strCache>
            </c:strRef>
          </c:cat>
          <c:val>
            <c:numRef>
              <c:f>'[ACTUALIZAREA STRATEGIEI DE DEZVOLTARE LOCALĂ INTEGRATĂ ŞI DURABILĂ A SECTORULUI 2  PENTRU PERIOADA 2016 - 2025. Chestionar dedicat locuitorilor Sectorului 2..xlsx]Question 19'!$E$32:$E$37</c:f>
              <c:numCache>
                <c:formatCode>0.0%</c:formatCode>
                <c:ptCount val="6"/>
                <c:pt idx="0">
                  <c:v>4.0599999999999997E-2</c:v>
                </c:pt>
                <c:pt idx="1">
                  <c:v>8.3000000000000004E-2</c:v>
                </c:pt>
                <c:pt idx="2">
                  <c:v>1.8E-3</c:v>
                </c:pt>
                <c:pt idx="3">
                  <c:v>7.1000000000000004E-3</c:v>
                </c:pt>
                <c:pt idx="4">
                  <c:v>1.8E-3</c:v>
                </c:pt>
                <c:pt idx="5">
                  <c:v>0.1484</c:v>
                </c:pt>
              </c:numCache>
            </c:numRef>
          </c:val>
          <c:extLst>
            <c:ext xmlns:c16="http://schemas.microsoft.com/office/drawing/2014/chart" uri="{C3380CC4-5D6E-409C-BE32-E72D297353CC}">
              <c16:uniqueId val="{00000008-1502-447E-8BF4-C72F9014D96F}"/>
            </c:ext>
          </c:extLst>
        </c:ser>
        <c:ser>
          <c:idx val="4"/>
          <c:order val="4"/>
          <c:tx>
            <c:strRef>
              <c:f>'[ACTUALIZAREA STRATEGIEI DE DEZVOLTARE LOCALĂ INTEGRATĂ ŞI DURABILĂ A SECTORULUI 2  PENTRU PERIOADA 2016 - 2025. Chestionar dedicat locuitorilor Sectorului 2..xlsx]Question 19'!$F$31</c:f>
              <c:strCache>
                <c:ptCount val="1"/>
                <c:pt idx="0">
                  <c:v>Niciodată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19'!$A$32:$A$37</c:f>
              <c:strCache>
                <c:ptCount val="6"/>
                <c:pt idx="0">
                  <c:v>Automobilul personal</c:v>
                </c:pt>
                <c:pt idx="1">
                  <c:v>Transportul în comun</c:v>
                </c:pt>
                <c:pt idx="2">
                  <c:v>Bicicleta</c:v>
                </c:pt>
                <c:pt idx="3">
                  <c:v>Prefer să merg pe jos</c:v>
                </c:pt>
                <c:pt idx="4">
                  <c:v>Trotinetă electrică/altele</c:v>
                </c:pt>
                <c:pt idx="5">
                  <c:v>Car sharing (Uber, Bolt, etc.)</c:v>
                </c:pt>
              </c:strCache>
            </c:strRef>
          </c:cat>
          <c:val>
            <c:numRef>
              <c:f>'[ACTUALIZAREA STRATEGIEI DE DEZVOLTARE LOCALĂ INTEGRATĂ ŞI DURABILĂ A SECTORULUI 2  PENTRU PERIOADA 2016 - 2025. Chestionar dedicat locuitorilor Sectorului 2..xlsx]Question 19'!$F$32:$F$37</c:f>
              <c:numCache>
                <c:formatCode>0.0%</c:formatCode>
                <c:ptCount val="6"/>
                <c:pt idx="0">
                  <c:v>0.19259999999999999</c:v>
                </c:pt>
                <c:pt idx="1">
                  <c:v>0.15720000000000001</c:v>
                </c:pt>
                <c:pt idx="2">
                  <c:v>0.65370000000000006</c:v>
                </c:pt>
                <c:pt idx="3">
                  <c:v>6.0100000000000001E-2</c:v>
                </c:pt>
                <c:pt idx="4">
                  <c:v>0.83750000000000002</c:v>
                </c:pt>
                <c:pt idx="5">
                  <c:v>0.36749999999999999</c:v>
                </c:pt>
              </c:numCache>
            </c:numRef>
          </c:val>
          <c:extLst>
            <c:ext xmlns:c16="http://schemas.microsoft.com/office/drawing/2014/chart" uri="{C3380CC4-5D6E-409C-BE32-E72D297353CC}">
              <c16:uniqueId val="{00000009-1502-447E-8BF4-C72F9014D96F}"/>
            </c:ext>
          </c:extLst>
        </c:ser>
        <c:dLbls>
          <c:dLblPos val="ctr"/>
          <c:showLegendKey val="0"/>
          <c:showVal val="1"/>
          <c:showCatName val="0"/>
          <c:showSerName val="0"/>
          <c:showPercent val="0"/>
          <c:showBubbleSize val="0"/>
        </c:dLbls>
        <c:gapWidth val="89"/>
        <c:overlap val="100"/>
        <c:axId val="184666624"/>
        <c:axId val="51339840"/>
      </c:barChart>
      <c:catAx>
        <c:axId val="184666624"/>
        <c:scaling>
          <c:orientation val="minMax"/>
        </c:scaling>
        <c:delete val="0"/>
        <c:axPos val="l"/>
        <c:numFmt formatCode="General" sourceLinked="0"/>
        <c:majorTickMark val="none"/>
        <c:minorTickMark val="none"/>
        <c:tickLblPos val="nextTo"/>
        <c:crossAx val="51339840"/>
        <c:crosses val="autoZero"/>
        <c:auto val="1"/>
        <c:lblAlgn val="ctr"/>
        <c:lblOffset val="100"/>
        <c:noMultiLvlLbl val="0"/>
      </c:catAx>
      <c:valAx>
        <c:axId val="51339840"/>
        <c:scaling>
          <c:orientation val="minMax"/>
        </c:scaling>
        <c:delete val="1"/>
        <c:axPos val="b"/>
        <c:numFmt formatCode="0%" sourceLinked="1"/>
        <c:majorTickMark val="out"/>
        <c:minorTickMark val="none"/>
        <c:tickLblPos val="nextTo"/>
        <c:crossAx val="1846666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8144407429840502"/>
          <c:y val="6.0273972602739728E-2"/>
          <c:w val="0.4950516521973215"/>
          <c:h val="0.9397260273972603"/>
        </c:manualLayout>
      </c:layout>
      <c:barChart>
        <c:barDir val="bar"/>
        <c:grouping val="clustered"/>
        <c:varyColors val="0"/>
        <c:ser>
          <c:idx val="0"/>
          <c:order val="0"/>
          <c:spPr>
            <a:solidFill>
              <a:schemeClr val="tx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'TOATE!'!$A$134:$A$138</c:f>
              <c:strCache>
                <c:ptCount val="5"/>
                <c:pt idx="0">
                  <c:v>O1. Locuire, servicii şi cultură adaptate unei comunităţi active şi implicate</c:v>
                </c:pt>
                <c:pt idx="1">
                  <c:v>O2. Sector cu atractivitate crescută pentru forța de muncă și companii</c:v>
                </c:pt>
                <c:pt idx="2">
                  <c:v>O3. Infrastructură urbană adaptată la nevoile actuale și viitoare</c:v>
                </c:pt>
                <c:pt idx="3">
                  <c:v>O4. Sector 2 - model de dezvoltare sistem albastru-verde</c:v>
                </c:pt>
                <c:pt idx="4">
                  <c:v>O5. Administrație publică performantă</c:v>
                </c:pt>
              </c:strCache>
            </c:strRef>
          </c:cat>
          <c:val>
            <c:numRef>
              <c:f>'TOATE!'!$C$134:$C$138</c:f>
              <c:numCache>
                <c:formatCode>0.0%</c:formatCode>
                <c:ptCount val="5"/>
                <c:pt idx="0">
                  <c:v>0.23648648648648649</c:v>
                </c:pt>
                <c:pt idx="1">
                  <c:v>0</c:v>
                </c:pt>
                <c:pt idx="2">
                  <c:v>0.22580645161290322</c:v>
                </c:pt>
                <c:pt idx="3">
                  <c:v>0.32432432432432434</c:v>
                </c:pt>
                <c:pt idx="4">
                  <c:v>0.15555555555555556</c:v>
                </c:pt>
              </c:numCache>
            </c:numRef>
          </c:val>
          <c:extLst>
            <c:ext xmlns:c16="http://schemas.microsoft.com/office/drawing/2014/chart" uri="{C3380CC4-5D6E-409C-BE32-E72D297353CC}">
              <c16:uniqueId val="{00000000-8697-4B47-8627-9CF2A161AD9B}"/>
            </c:ext>
          </c:extLst>
        </c:ser>
        <c:dLbls>
          <c:dLblPos val="outEnd"/>
          <c:showLegendKey val="0"/>
          <c:showVal val="1"/>
          <c:showCatName val="0"/>
          <c:showSerName val="0"/>
          <c:showPercent val="0"/>
          <c:showBubbleSize val="0"/>
        </c:dLbls>
        <c:gapWidth val="124"/>
        <c:axId val="225269248"/>
        <c:axId val="228102080"/>
      </c:barChart>
      <c:catAx>
        <c:axId val="225269248"/>
        <c:scaling>
          <c:orientation val="maxMin"/>
        </c:scaling>
        <c:delete val="0"/>
        <c:axPos val="l"/>
        <c:numFmt formatCode="General" sourceLinked="0"/>
        <c:majorTickMark val="none"/>
        <c:minorTickMark val="none"/>
        <c:tickLblPos val="nextTo"/>
        <c:crossAx val="228102080"/>
        <c:crosses val="autoZero"/>
        <c:auto val="1"/>
        <c:lblAlgn val="ctr"/>
        <c:lblOffset val="100"/>
        <c:noMultiLvlLbl val="0"/>
      </c:catAx>
      <c:valAx>
        <c:axId val="228102080"/>
        <c:scaling>
          <c:orientation val="minMax"/>
        </c:scaling>
        <c:delete val="1"/>
        <c:axPos val="t"/>
        <c:numFmt formatCode="0.0%" sourceLinked="1"/>
        <c:majorTickMark val="out"/>
        <c:minorTickMark val="none"/>
        <c:tickLblPos val="nextTo"/>
        <c:crossAx val="225269248"/>
        <c:crosses val="autoZero"/>
        <c:crossBetween val="between"/>
      </c:valAx>
    </c:plotArea>
    <c:plotVisOnly val="1"/>
    <c:dispBlanksAs val="gap"/>
    <c:showDLblsOverMax val="0"/>
  </c:chart>
  <c:spPr>
    <a:ln>
      <a:noFill/>
    </a:ln>
  </c:sp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21'!$B$33</c:f>
              <c:strCache>
                <c:ptCount val="1"/>
                <c:pt idx="0">
                  <c:v>Cel mai probabil</c:v>
                </c:pt>
              </c:strCache>
            </c:strRef>
          </c:tx>
          <c:invertIfNegative val="0"/>
          <c:dLbls>
            <c:spPr>
              <a:noFill/>
              <a:ln>
                <a:noFill/>
              </a:ln>
              <a:effectLst/>
            </c:spPr>
            <c:txPr>
              <a:bodyPr/>
              <a:lstStyle/>
              <a:p>
                <a:pPr>
                  <a:defRPr>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'[ACTUALIZAREA STRATEGIEI DE DEZVOLTARE LOCALĂ INTEGRATĂ ŞI DURABILĂ A SECTORULUI 2  PENTRU PERIOADA 2016 - 2025. Chestionar dedicat locuitorilor Sectorului 2..xlsx]Question 21'!$B$34:$B$39</c:f>
              <c:numCache>
                <c:formatCode>0.0%</c:formatCode>
                <c:ptCount val="6"/>
                <c:pt idx="0">
                  <c:v>0.20319999999999999</c:v>
                </c:pt>
                <c:pt idx="1">
                  <c:v>0.48759999999999998</c:v>
                </c:pt>
                <c:pt idx="2">
                  <c:v>0.22969999999999999</c:v>
                </c:pt>
                <c:pt idx="3">
                  <c:v>0.38340000000000002</c:v>
                </c:pt>
                <c:pt idx="4">
                  <c:v>7.9500000000000001E-2</c:v>
                </c:pt>
                <c:pt idx="5">
                  <c:v>3.5299999999999998E-2</c:v>
                </c:pt>
              </c:numCache>
            </c:numRef>
          </c:val>
          <c:extLst>
            <c:ext xmlns:c16="http://schemas.microsoft.com/office/drawing/2014/chart" uri="{C3380CC4-5D6E-409C-BE32-E72D297353CC}">
              <c16:uniqueId val="{00000000-6542-4689-AFF0-EBEF646B8D98}"/>
            </c:ext>
          </c:extLst>
        </c:ser>
        <c:ser>
          <c:idx val="1"/>
          <c:order val="1"/>
          <c:tx>
            <c:strRef>
              <c:f>'[ACTUALIZAREA STRATEGIEI DE DEZVOLTARE LOCALĂ INTEGRATĂ ŞI DURABILĂ A SECTORULUI 2  PENTRU PERIOADA 2016 - 2025. Chestionar dedicat locuitorilor Sectorului 2..xlsx]Question 21'!$C$33</c:f>
              <c:strCache>
                <c:ptCount val="1"/>
                <c:pt idx="0">
                  <c:v>Probabil</c:v>
                </c:pt>
              </c:strCache>
            </c:strRef>
          </c:tx>
          <c:invertIfNegative val="0"/>
          <c:dLbls>
            <c:spPr>
              <a:noFill/>
              <a:ln>
                <a:noFill/>
              </a:ln>
              <a:effectLst/>
            </c:spPr>
            <c:txPr>
              <a:bodyPr/>
              <a:lstStyle/>
              <a:p>
                <a:pPr>
                  <a:defRPr>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'[ACTUALIZAREA STRATEGIEI DE DEZVOLTARE LOCALĂ INTEGRATĂ ŞI DURABILĂ A SECTORULUI 2  PENTRU PERIOADA 2016 - 2025. Chestionar dedicat locuitorilor Sectorului 2..xlsx]Question 21'!$C$34:$C$39</c:f>
              <c:numCache>
                <c:formatCode>0.0%</c:formatCode>
                <c:ptCount val="6"/>
                <c:pt idx="0">
                  <c:v>0.13250000000000001</c:v>
                </c:pt>
                <c:pt idx="1">
                  <c:v>0.31979999999999997</c:v>
                </c:pt>
                <c:pt idx="2">
                  <c:v>0.1908</c:v>
                </c:pt>
                <c:pt idx="3">
                  <c:v>0.34630000000000011</c:v>
                </c:pt>
                <c:pt idx="4">
                  <c:v>0.1007</c:v>
                </c:pt>
                <c:pt idx="5">
                  <c:v>0.19789999999999999</c:v>
                </c:pt>
              </c:numCache>
            </c:numRef>
          </c:val>
          <c:extLst>
            <c:ext xmlns:c16="http://schemas.microsoft.com/office/drawing/2014/chart" uri="{C3380CC4-5D6E-409C-BE32-E72D297353CC}">
              <c16:uniqueId val="{00000001-6542-4689-AFF0-EBEF646B8D98}"/>
            </c:ext>
          </c:extLst>
        </c:ser>
        <c:ser>
          <c:idx val="2"/>
          <c:order val="2"/>
          <c:tx>
            <c:strRef>
              <c:f>'[ACTUALIZAREA STRATEGIEI DE DEZVOLTARE LOCALĂ INTEGRATĂ ŞI DURABILĂ A SECTORULUI 2  PENTRU PERIOADA 2016 - 2025. Chestionar dedicat locuitorilor Sectorului 2..xlsx]Question 21'!$D$33</c:f>
              <c:strCache>
                <c:ptCount val="1"/>
                <c:pt idx="0">
                  <c:v>Neutru</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'[ACTUALIZAREA STRATEGIEI DE DEZVOLTARE LOCALĂ INTEGRATĂ ŞI DURABILĂ A SECTORULUI 2  PENTRU PERIOADA 2016 - 2025. Chestionar dedicat locuitorilor Sectorului 2..xlsx]Question 21'!$D$34:$D$39</c:f>
              <c:numCache>
                <c:formatCode>0.0%</c:formatCode>
                <c:ptCount val="6"/>
                <c:pt idx="0">
                  <c:v>0.1502</c:v>
                </c:pt>
                <c:pt idx="1">
                  <c:v>8.3000000000000004E-2</c:v>
                </c:pt>
                <c:pt idx="2">
                  <c:v>0.1237</c:v>
                </c:pt>
                <c:pt idx="3">
                  <c:v>0.1661</c:v>
                </c:pt>
                <c:pt idx="4">
                  <c:v>0.1042</c:v>
                </c:pt>
                <c:pt idx="5">
                  <c:v>0.21729999999999999</c:v>
                </c:pt>
              </c:numCache>
            </c:numRef>
          </c:val>
          <c:extLst>
            <c:ext xmlns:c16="http://schemas.microsoft.com/office/drawing/2014/chart" uri="{C3380CC4-5D6E-409C-BE32-E72D297353CC}">
              <c16:uniqueId val="{00000002-6542-4689-AFF0-EBEF646B8D98}"/>
            </c:ext>
          </c:extLst>
        </c:ser>
        <c:ser>
          <c:idx val="3"/>
          <c:order val="3"/>
          <c:tx>
            <c:strRef>
              <c:f>'[ACTUALIZAREA STRATEGIEI DE DEZVOLTARE LOCALĂ INTEGRATĂ ŞI DURABILĂ A SECTORULUI 2  PENTRU PERIOADA 2016 - 2025. Chestionar dedicat locuitorilor Sectorului 2..xlsx]Question 21'!$E$33</c:f>
              <c:strCache>
                <c:ptCount val="1"/>
                <c:pt idx="0">
                  <c:v>Puțin probabil</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'[ACTUALIZAREA STRATEGIEI DE DEZVOLTARE LOCALĂ INTEGRATĂ ŞI DURABILĂ A SECTORULUI 2  PENTRU PERIOADA 2016 - 2025. Chestionar dedicat locuitorilor Sectorului 2..xlsx]Question 21'!$E$34:$E$39</c:f>
              <c:numCache>
                <c:formatCode>0.0%</c:formatCode>
                <c:ptCount val="6"/>
                <c:pt idx="0">
                  <c:v>0.3004</c:v>
                </c:pt>
                <c:pt idx="1">
                  <c:v>7.0699999999999999E-2</c:v>
                </c:pt>
                <c:pt idx="2">
                  <c:v>0.1484</c:v>
                </c:pt>
                <c:pt idx="3">
                  <c:v>5.6500000000000002E-2</c:v>
                </c:pt>
                <c:pt idx="4">
                  <c:v>0.159</c:v>
                </c:pt>
                <c:pt idx="5">
                  <c:v>0.25800000000000001</c:v>
                </c:pt>
              </c:numCache>
            </c:numRef>
          </c:val>
          <c:extLst>
            <c:ext xmlns:c16="http://schemas.microsoft.com/office/drawing/2014/chart" uri="{C3380CC4-5D6E-409C-BE32-E72D297353CC}">
              <c16:uniqueId val="{00000003-6542-4689-AFF0-EBEF646B8D98}"/>
            </c:ext>
          </c:extLst>
        </c:ser>
        <c:ser>
          <c:idx val="4"/>
          <c:order val="4"/>
          <c:tx>
            <c:strRef>
              <c:f>'[ACTUALIZAREA STRATEGIEI DE DEZVOLTARE LOCALĂ INTEGRATĂ ŞI DURABILĂ A SECTORULUI 2  PENTRU PERIOADA 2016 - 2025. Chestionar dedicat locuitorilor Sectorului 2..xlsx]Question 21'!$F$33</c:f>
              <c:strCache>
                <c:ptCount val="1"/>
                <c:pt idx="0">
                  <c:v>Improbabil</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'[ACTUALIZAREA STRATEGIEI DE DEZVOLTARE LOCALĂ INTEGRATĂ ŞI DURABILĂ A SECTORULUI 2  PENTRU PERIOADA 2016 - 2025. Chestionar dedicat locuitorilor Sectorului 2..xlsx]Question 21'!$F$34:$F$39</c:f>
              <c:numCache>
                <c:formatCode>0.0%</c:formatCode>
                <c:ptCount val="6"/>
                <c:pt idx="0">
                  <c:v>0.21379999999999999</c:v>
                </c:pt>
                <c:pt idx="1">
                  <c:v>3.8899999999999997E-2</c:v>
                </c:pt>
                <c:pt idx="2">
                  <c:v>0.30740000000000001</c:v>
                </c:pt>
                <c:pt idx="3">
                  <c:v>4.7699999999999992E-2</c:v>
                </c:pt>
                <c:pt idx="4">
                  <c:v>0.55649999999999999</c:v>
                </c:pt>
                <c:pt idx="5">
                  <c:v>0.29149999999999998</c:v>
                </c:pt>
              </c:numCache>
            </c:numRef>
          </c:val>
          <c:extLst>
            <c:ext xmlns:c16="http://schemas.microsoft.com/office/drawing/2014/chart" uri="{C3380CC4-5D6E-409C-BE32-E72D297353CC}">
              <c16:uniqueId val="{00000004-6542-4689-AFF0-EBEF646B8D98}"/>
            </c:ext>
          </c:extLst>
        </c:ser>
        <c:dLbls>
          <c:dLblPos val="inEnd"/>
          <c:showLegendKey val="0"/>
          <c:showVal val="1"/>
          <c:showCatName val="0"/>
          <c:showSerName val="0"/>
          <c:showPercent val="0"/>
          <c:showBubbleSize val="0"/>
        </c:dLbls>
        <c:gapWidth val="73"/>
        <c:overlap val="100"/>
        <c:axId val="184667136"/>
        <c:axId val="154032896"/>
      </c:barChart>
      <c:catAx>
        <c:axId val="184667136"/>
        <c:scaling>
          <c:orientation val="minMax"/>
        </c:scaling>
        <c:delete val="1"/>
        <c:axPos val="l"/>
        <c:majorTickMark val="out"/>
        <c:minorTickMark val="none"/>
        <c:tickLblPos val="nextTo"/>
        <c:crossAx val="154032896"/>
        <c:crosses val="autoZero"/>
        <c:auto val="1"/>
        <c:lblAlgn val="ctr"/>
        <c:lblOffset val="100"/>
        <c:noMultiLvlLbl val="0"/>
      </c:catAx>
      <c:valAx>
        <c:axId val="154032896"/>
        <c:scaling>
          <c:orientation val="minMax"/>
        </c:scaling>
        <c:delete val="1"/>
        <c:axPos val="b"/>
        <c:numFmt formatCode="0%" sourceLinked="1"/>
        <c:majorTickMark val="out"/>
        <c:minorTickMark val="none"/>
        <c:tickLblPos val="nextTo"/>
        <c:crossAx val="18466713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'Question 23'!$D$3:$D$5</c:f>
              <c:strCache>
                <c:ptCount val="3"/>
                <c:pt idx="0">
                  <c:v>Lipsă răspuns</c:v>
                </c:pt>
                <c:pt idx="1">
                  <c:v>Nu</c:v>
                </c:pt>
                <c:pt idx="2">
                  <c:v>Da</c:v>
                </c:pt>
              </c:strCache>
            </c:strRef>
          </c:cat>
          <c:val>
            <c:numRef>
              <c:f>'Question 23'!$F$3:$F$5</c:f>
              <c:numCache>
                <c:formatCode>0.0%</c:formatCode>
                <c:ptCount val="3"/>
                <c:pt idx="0">
                  <c:v>0.45295829291949563</c:v>
                </c:pt>
                <c:pt idx="1">
                  <c:v>0.22211445198836083</c:v>
                </c:pt>
                <c:pt idx="2">
                  <c:v>0.32492725509214354</c:v>
                </c:pt>
              </c:numCache>
            </c:numRef>
          </c:val>
          <c:extLst>
            <c:ext xmlns:c16="http://schemas.microsoft.com/office/drawing/2014/chart" uri="{C3380CC4-5D6E-409C-BE32-E72D297353CC}">
              <c16:uniqueId val="{00000000-D8B5-4609-A7A5-75D4D5BDD1C7}"/>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24'!$B$34</c:f>
              <c:strCache>
                <c:ptCount val="1"/>
                <c:pt idx="0">
                  <c:v>Foarte mulțumit/ă</c:v>
                </c:pt>
              </c:strCache>
            </c:strRef>
          </c:tx>
          <c:invertIfNegative val="0"/>
          <c:dLbls>
            <c:delete val="1"/>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24'!$B$35:$B$41</c:f>
              <c:numCache>
                <c:formatCode>0.0%</c:formatCode>
                <c:ptCount val="7"/>
                <c:pt idx="0">
                  <c:v>8.8300000000000003E-2</c:v>
                </c:pt>
                <c:pt idx="1">
                  <c:v>4.5900000000000003E-2</c:v>
                </c:pt>
                <c:pt idx="2">
                  <c:v>3.8899999999999997E-2</c:v>
                </c:pt>
                <c:pt idx="3">
                  <c:v>0.03</c:v>
                </c:pt>
                <c:pt idx="4">
                  <c:v>2.3E-2</c:v>
                </c:pt>
                <c:pt idx="5">
                  <c:v>1.9400000000000001E-2</c:v>
                </c:pt>
                <c:pt idx="6">
                  <c:v>2.12E-2</c:v>
                </c:pt>
              </c:numCache>
            </c:numRef>
          </c:val>
          <c:extLst>
            <c:ext xmlns:c16="http://schemas.microsoft.com/office/drawing/2014/chart" uri="{C3380CC4-5D6E-409C-BE32-E72D297353CC}">
              <c16:uniqueId val="{00000000-2A03-4702-8CFE-28C15BD27902}"/>
            </c:ext>
          </c:extLst>
        </c:ser>
        <c:ser>
          <c:idx val="1"/>
          <c:order val="1"/>
          <c:tx>
            <c:strRef>
              <c:f>'[ACTUALIZAREA STRATEGIEI DE DEZVOLTARE LOCALĂ INTEGRATĂ ŞI DURABILĂ A SECTORULUI 2  PENTRU PERIOADA 2016 - 2025. Chestionar dedicat locuitorilor Sectorului 2..xlsx]Question 24'!$C$34</c:f>
              <c:strCache>
                <c:ptCount val="1"/>
                <c:pt idx="0">
                  <c:v>Mulțumit/ă</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24'!$C$35:$C$41</c:f>
              <c:numCache>
                <c:formatCode>0.0%</c:formatCode>
                <c:ptCount val="7"/>
                <c:pt idx="0">
                  <c:v>0.3004</c:v>
                </c:pt>
                <c:pt idx="1">
                  <c:v>0.29509999999999997</c:v>
                </c:pt>
                <c:pt idx="2">
                  <c:v>0.1837</c:v>
                </c:pt>
                <c:pt idx="3">
                  <c:v>0.23319999999999999</c:v>
                </c:pt>
                <c:pt idx="4">
                  <c:v>0.14660000000000001</c:v>
                </c:pt>
                <c:pt idx="5">
                  <c:v>0.1714</c:v>
                </c:pt>
                <c:pt idx="6">
                  <c:v>0.1484</c:v>
                </c:pt>
              </c:numCache>
            </c:numRef>
          </c:val>
          <c:extLst>
            <c:ext xmlns:c16="http://schemas.microsoft.com/office/drawing/2014/chart" uri="{C3380CC4-5D6E-409C-BE32-E72D297353CC}">
              <c16:uniqueId val="{00000001-2A03-4702-8CFE-28C15BD27902}"/>
            </c:ext>
          </c:extLst>
        </c:ser>
        <c:ser>
          <c:idx val="2"/>
          <c:order val="2"/>
          <c:tx>
            <c:strRef>
              <c:f>'[ACTUALIZAREA STRATEGIEI DE DEZVOLTARE LOCALĂ INTEGRATĂ ŞI DURABILĂ A SECTORULUI 2  PENTRU PERIOADA 2016 - 2025. Chestionar dedicat locuitorilor Sectorului 2..xlsx]Question 24'!$D$34</c:f>
              <c:strCache>
                <c:ptCount val="1"/>
                <c:pt idx="0">
                  <c:v>Neutru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24'!$D$35:$D$41</c:f>
              <c:numCache>
                <c:formatCode>0.0%</c:formatCode>
                <c:ptCount val="7"/>
                <c:pt idx="0">
                  <c:v>0.1661</c:v>
                </c:pt>
                <c:pt idx="1">
                  <c:v>0.21729999999999999</c:v>
                </c:pt>
                <c:pt idx="2">
                  <c:v>0.24560000000000001</c:v>
                </c:pt>
                <c:pt idx="3">
                  <c:v>0.26500000000000001</c:v>
                </c:pt>
                <c:pt idx="4">
                  <c:v>0.27210000000000001</c:v>
                </c:pt>
                <c:pt idx="5">
                  <c:v>0.22789999999999999</c:v>
                </c:pt>
                <c:pt idx="6">
                  <c:v>0.24729999999999999</c:v>
                </c:pt>
              </c:numCache>
            </c:numRef>
          </c:val>
          <c:extLst>
            <c:ext xmlns:c16="http://schemas.microsoft.com/office/drawing/2014/chart" uri="{C3380CC4-5D6E-409C-BE32-E72D297353CC}">
              <c16:uniqueId val="{00000002-2A03-4702-8CFE-28C15BD27902}"/>
            </c:ext>
          </c:extLst>
        </c:ser>
        <c:ser>
          <c:idx val="3"/>
          <c:order val="3"/>
          <c:tx>
            <c:strRef>
              <c:f>'[ACTUALIZAREA STRATEGIEI DE DEZVOLTARE LOCALĂ INTEGRATĂ ŞI DURABILĂ A SECTORULUI 2  PENTRU PERIOADA 2016 - 2025. Chestionar dedicat locuitorilor Sectorului 2..xlsx]Question 24'!$E$34</c:f>
              <c:strCache>
                <c:ptCount val="1"/>
                <c:pt idx="0">
                  <c:v>Nemulțumit/ă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24'!$E$35:$E$41</c:f>
              <c:numCache>
                <c:formatCode>0.0%</c:formatCode>
                <c:ptCount val="7"/>
                <c:pt idx="0">
                  <c:v>0.1113</c:v>
                </c:pt>
                <c:pt idx="1">
                  <c:v>9.01E-2</c:v>
                </c:pt>
                <c:pt idx="2">
                  <c:v>0.1431</c:v>
                </c:pt>
                <c:pt idx="3">
                  <c:v>5.8299999999999998E-2</c:v>
                </c:pt>
                <c:pt idx="4">
                  <c:v>0.106</c:v>
                </c:pt>
                <c:pt idx="5">
                  <c:v>0.1148</c:v>
                </c:pt>
                <c:pt idx="6">
                  <c:v>8.3000000000000004E-2</c:v>
                </c:pt>
              </c:numCache>
            </c:numRef>
          </c:val>
          <c:extLst>
            <c:ext xmlns:c16="http://schemas.microsoft.com/office/drawing/2014/chart" uri="{C3380CC4-5D6E-409C-BE32-E72D297353CC}">
              <c16:uniqueId val="{00000003-2A03-4702-8CFE-28C15BD27902}"/>
            </c:ext>
          </c:extLst>
        </c:ser>
        <c:ser>
          <c:idx val="4"/>
          <c:order val="4"/>
          <c:tx>
            <c:strRef>
              <c:f>'[ACTUALIZAREA STRATEGIEI DE DEZVOLTARE LOCALĂ INTEGRATĂ ŞI DURABILĂ A SECTORULUI 2  PENTRU PERIOADA 2016 - 2025. Chestionar dedicat locuitorilor Sectorului 2..xlsx]Question 24'!$F$34</c:f>
              <c:strCache>
                <c:ptCount val="1"/>
                <c:pt idx="0">
                  <c:v>Foarte nemulțumit/ă</c:v>
                </c:pt>
              </c:strCache>
            </c:strRef>
          </c:tx>
          <c:invertIfNegative val="0"/>
          <c:dLbls>
            <c:delete val="1"/>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24'!$F$35:$F$41</c:f>
              <c:numCache>
                <c:formatCode>0.0%</c:formatCode>
                <c:ptCount val="7"/>
                <c:pt idx="0">
                  <c:v>4.24E-2</c:v>
                </c:pt>
                <c:pt idx="1">
                  <c:v>3.3599999999999998E-2</c:v>
                </c:pt>
                <c:pt idx="2">
                  <c:v>4.0599999999999997E-2</c:v>
                </c:pt>
                <c:pt idx="3">
                  <c:v>1.41E-2</c:v>
                </c:pt>
                <c:pt idx="4">
                  <c:v>2.8299999999999999E-2</c:v>
                </c:pt>
                <c:pt idx="5">
                  <c:v>5.6500000000000002E-2</c:v>
                </c:pt>
                <c:pt idx="6">
                  <c:v>3.7100000000000001E-2</c:v>
                </c:pt>
              </c:numCache>
            </c:numRef>
          </c:val>
          <c:extLst>
            <c:ext xmlns:c16="http://schemas.microsoft.com/office/drawing/2014/chart" uri="{C3380CC4-5D6E-409C-BE32-E72D297353CC}">
              <c16:uniqueId val="{00000004-2A03-4702-8CFE-28C15BD27902}"/>
            </c:ext>
          </c:extLst>
        </c:ser>
        <c:ser>
          <c:idx val="5"/>
          <c:order val="5"/>
          <c:tx>
            <c:strRef>
              <c:f>'[ACTUALIZAREA STRATEGIEI DE DEZVOLTARE LOCALĂ INTEGRATĂ ŞI DURABILĂ A SECTORULUI 2  PENTRU PERIOADA 2016 - 2025. Chestionar dedicat locuitorilor Sectorului 2..xlsx]Question 24'!$G$34</c:f>
              <c:strCache>
                <c:ptCount val="1"/>
                <c:pt idx="0">
                  <c:v>Nu știu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24'!$A$35:$A$41</c:f>
              <c:strCache>
                <c:ptCount val="7"/>
                <c:pt idx="0">
                  <c:v>Calitatea actului didactic</c:v>
                </c:pt>
                <c:pt idx="1">
                  <c:v>Numărul de școli/locuri în școli</c:v>
                </c:pt>
                <c:pt idx="2">
                  <c:v>Infrastructura și dotările din cadrul școlilor</c:v>
                </c:pt>
                <c:pt idx="3">
                  <c:v>Numărul de licee/locuri în licee</c:v>
                </c:pt>
                <c:pt idx="4">
                  <c:v>Infrastructura și dotările din cadrul liceelor</c:v>
                </c:pt>
                <c:pt idx="5">
                  <c:v>Numărul de grădinițe/locuri în grădinițe</c:v>
                </c:pt>
                <c:pt idx="6">
                  <c:v>Infrastructura și dotările din cadrul grădinițelor</c:v>
                </c:pt>
              </c:strCache>
            </c:strRef>
          </c:cat>
          <c:val>
            <c:numRef>
              <c:f>'[ACTUALIZAREA STRATEGIEI DE DEZVOLTARE LOCALĂ INTEGRATĂ ŞI DURABILĂ A SECTORULUI 2  PENTRU PERIOADA 2016 - 2025. Chestionar dedicat locuitorilor Sectorului 2..xlsx]Question 24'!$G$35:$G$41</c:f>
              <c:numCache>
                <c:formatCode>0.0%</c:formatCode>
                <c:ptCount val="7"/>
                <c:pt idx="0">
                  <c:v>0.29149999999999998</c:v>
                </c:pt>
                <c:pt idx="1">
                  <c:v>0.318</c:v>
                </c:pt>
                <c:pt idx="2">
                  <c:v>0.34810000000000002</c:v>
                </c:pt>
                <c:pt idx="3">
                  <c:v>0.39929999999999999</c:v>
                </c:pt>
                <c:pt idx="4">
                  <c:v>0.42399999999999999</c:v>
                </c:pt>
                <c:pt idx="5">
                  <c:v>0.40989999999999999</c:v>
                </c:pt>
                <c:pt idx="6">
                  <c:v>0.46289999999999998</c:v>
                </c:pt>
              </c:numCache>
            </c:numRef>
          </c:val>
          <c:extLst>
            <c:ext xmlns:c16="http://schemas.microsoft.com/office/drawing/2014/chart" uri="{C3380CC4-5D6E-409C-BE32-E72D297353CC}">
              <c16:uniqueId val="{00000005-2A03-4702-8CFE-28C15BD27902}"/>
            </c:ext>
          </c:extLst>
        </c:ser>
        <c:dLbls>
          <c:dLblPos val="ctr"/>
          <c:showLegendKey val="0"/>
          <c:showVal val="1"/>
          <c:showCatName val="0"/>
          <c:showSerName val="0"/>
          <c:showPercent val="0"/>
          <c:showBubbleSize val="0"/>
        </c:dLbls>
        <c:gapWidth val="94"/>
        <c:overlap val="100"/>
        <c:axId val="185020928"/>
        <c:axId val="51346176"/>
      </c:barChart>
      <c:catAx>
        <c:axId val="185020928"/>
        <c:scaling>
          <c:orientation val="minMax"/>
        </c:scaling>
        <c:delete val="0"/>
        <c:axPos val="l"/>
        <c:numFmt formatCode="General" sourceLinked="0"/>
        <c:majorTickMark val="none"/>
        <c:minorTickMark val="none"/>
        <c:tickLblPos val="nextTo"/>
        <c:crossAx val="51346176"/>
        <c:crosses val="autoZero"/>
        <c:auto val="1"/>
        <c:lblAlgn val="ctr"/>
        <c:lblOffset val="100"/>
        <c:noMultiLvlLbl val="0"/>
      </c:catAx>
      <c:valAx>
        <c:axId val="51346176"/>
        <c:scaling>
          <c:orientation val="minMax"/>
        </c:scaling>
        <c:delete val="1"/>
        <c:axPos val="b"/>
        <c:numFmt formatCode="0%" sourceLinked="1"/>
        <c:majorTickMark val="out"/>
        <c:minorTickMark val="none"/>
        <c:tickLblPos val="nextTo"/>
        <c:crossAx val="18502092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numFmt formatCode="0.0%" sourceLinked="0"/>
            <c:spPr>
              <a:noFill/>
              <a:ln>
                <a:noFill/>
              </a:ln>
              <a:effectLst/>
            </c:spPr>
            <c:txPr>
              <a:bodyPr/>
              <a:lstStyle/>
              <a:p>
                <a:pPr>
                  <a:defRPr>
                    <a:solidFill>
                      <a:schemeClr val="bg1"/>
                    </a:solidFill>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'[ACTUALIZAREA STRATEGIEI DE DEZVOLTARE LOCALĂ INTEGRATĂ ŞI DURABILĂ A SECTORULUI 2  PENTRU PERIOADA 2016 - 2025. Chestionar dedicat locuitorilor Sectorului 2..xlsx]Question 25'!$D$3:$D$4</c:f>
              <c:strCache>
                <c:ptCount val="2"/>
                <c:pt idx="0">
                  <c:v>Da</c:v>
                </c:pt>
                <c:pt idx="1">
                  <c:v>Nu </c:v>
                </c:pt>
              </c:strCache>
            </c:strRef>
          </c:cat>
          <c:val>
            <c:numRef>
              <c:f>'[ACTUALIZAREA STRATEGIEI DE DEZVOLTARE LOCALĂ INTEGRATĂ ŞI DURABILĂ A SECTORULUI 2  PENTRU PERIOADA 2016 - 2025. Chestionar dedicat locuitorilor Sectorului 2..xlsx]Question 25'!$E$3:$E$4</c:f>
              <c:numCache>
                <c:formatCode>General</c:formatCode>
                <c:ptCount val="2"/>
                <c:pt idx="0">
                  <c:v>429</c:v>
                </c:pt>
                <c:pt idx="1">
                  <c:v>121</c:v>
                </c:pt>
              </c:numCache>
            </c:numRef>
          </c:val>
          <c:extLst>
            <c:ext xmlns:c16="http://schemas.microsoft.com/office/drawing/2014/chart" uri="{C3380CC4-5D6E-409C-BE32-E72D297353CC}">
              <c16:uniqueId val="{00000000-0DB6-4386-99E8-35EAF194904D}"/>
            </c:ext>
          </c:extLst>
        </c:ser>
        <c:dLbls>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26'!$B$34</c:f>
              <c:strCache>
                <c:ptCount val="1"/>
                <c:pt idx="0">
                  <c:v>Foarte mulțumit/ă</c:v>
                </c:pt>
              </c:strCache>
            </c:strRef>
          </c:tx>
          <c:invertIfNegative val="0"/>
          <c:dLbls>
            <c:delete val="1"/>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26'!$B$35:$B$40</c:f>
              <c:numCache>
                <c:formatCode>0.0%</c:formatCode>
                <c:ptCount val="6"/>
                <c:pt idx="0">
                  <c:v>2.47E-2</c:v>
                </c:pt>
                <c:pt idx="1">
                  <c:v>7.2400000000000006E-2</c:v>
                </c:pt>
                <c:pt idx="2">
                  <c:v>1.24E-2</c:v>
                </c:pt>
                <c:pt idx="3">
                  <c:v>9.3599999999999989E-2</c:v>
                </c:pt>
                <c:pt idx="4">
                  <c:v>4.5900000000000003E-2</c:v>
                </c:pt>
                <c:pt idx="5">
                  <c:v>9.3599999999999989E-2</c:v>
                </c:pt>
              </c:numCache>
            </c:numRef>
          </c:val>
          <c:extLst>
            <c:ext xmlns:c16="http://schemas.microsoft.com/office/drawing/2014/chart" uri="{C3380CC4-5D6E-409C-BE32-E72D297353CC}">
              <c16:uniqueId val="{00000000-8E6D-48CF-A4D2-9F7530A8AAB3}"/>
            </c:ext>
          </c:extLst>
        </c:ser>
        <c:ser>
          <c:idx val="1"/>
          <c:order val="1"/>
          <c:tx>
            <c:strRef>
              <c:f>'[ACTUALIZAREA STRATEGIEI DE DEZVOLTARE LOCALĂ INTEGRATĂ ŞI DURABILĂ A SECTORULUI 2  PENTRU PERIOADA 2016 - 2025. Chestionar dedicat locuitorilor Sectorului 2..xlsx]Question 26'!$C$34</c:f>
              <c:strCache>
                <c:ptCount val="1"/>
                <c:pt idx="0">
                  <c:v>Mulțumit/ă</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26'!$C$35:$C$40</c:f>
              <c:numCache>
                <c:formatCode>0.0%</c:formatCode>
                <c:ptCount val="6"/>
                <c:pt idx="0">
                  <c:v>0.29859999999999998</c:v>
                </c:pt>
                <c:pt idx="1">
                  <c:v>0.44169999999999998</c:v>
                </c:pt>
                <c:pt idx="2">
                  <c:v>0.1837</c:v>
                </c:pt>
                <c:pt idx="3">
                  <c:v>0.44350000000000001</c:v>
                </c:pt>
                <c:pt idx="4">
                  <c:v>0.20669999999999999</c:v>
                </c:pt>
                <c:pt idx="5">
                  <c:v>0.42399999999999999</c:v>
                </c:pt>
              </c:numCache>
            </c:numRef>
          </c:val>
          <c:extLst>
            <c:ext xmlns:c16="http://schemas.microsoft.com/office/drawing/2014/chart" uri="{C3380CC4-5D6E-409C-BE32-E72D297353CC}">
              <c16:uniqueId val="{00000001-8E6D-48CF-A4D2-9F7530A8AAB3}"/>
            </c:ext>
          </c:extLst>
        </c:ser>
        <c:ser>
          <c:idx val="2"/>
          <c:order val="2"/>
          <c:tx>
            <c:strRef>
              <c:f>'[ACTUALIZAREA STRATEGIEI DE DEZVOLTARE LOCALĂ INTEGRATĂ ŞI DURABILĂ A SECTORULUI 2  PENTRU PERIOADA 2016 - 2025. Chestionar dedicat locuitorilor Sectorului 2..xlsx]Question 26'!$D$34</c:f>
              <c:strCache>
                <c:ptCount val="1"/>
                <c:pt idx="0">
                  <c:v>Neutru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26'!$D$35:$D$40</c:f>
              <c:numCache>
                <c:formatCode>0.0%</c:formatCode>
                <c:ptCount val="6"/>
                <c:pt idx="0">
                  <c:v>0.25440000000000002</c:v>
                </c:pt>
                <c:pt idx="1">
                  <c:v>0.27029999999999998</c:v>
                </c:pt>
                <c:pt idx="2">
                  <c:v>0.25619999999999998</c:v>
                </c:pt>
                <c:pt idx="3">
                  <c:v>0.26679999999999998</c:v>
                </c:pt>
                <c:pt idx="4">
                  <c:v>0.24199999999999999</c:v>
                </c:pt>
                <c:pt idx="5">
                  <c:v>0.28799999999999998</c:v>
                </c:pt>
              </c:numCache>
            </c:numRef>
          </c:val>
          <c:extLst>
            <c:ext xmlns:c16="http://schemas.microsoft.com/office/drawing/2014/chart" uri="{C3380CC4-5D6E-409C-BE32-E72D297353CC}">
              <c16:uniqueId val="{00000002-8E6D-48CF-A4D2-9F7530A8AAB3}"/>
            </c:ext>
          </c:extLst>
        </c:ser>
        <c:ser>
          <c:idx val="3"/>
          <c:order val="3"/>
          <c:tx>
            <c:strRef>
              <c:f>'[ACTUALIZAREA STRATEGIEI DE DEZVOLTARE LOCALĂ INTEGRATĂ ŞI DURABILĂ A SECTORULUI 2  PENTRU PERIOADA 2016 - 2025. Chestionar dedicat locuitorilor Sectorului 2..xlsx]Question 26'!$E$34</c:f>
              <c:strCache>
                <c:ptCount val="1"/>
                <c:pt idx="0">
                  <c:v>Nemulțumit/ă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26'!$E$35:$E$40</c:f>
              <c:numCache>
                <c:formatCode>0.0%</c:formatCode>
                <c:ptCount val="6"/>
                <c:pt idx="0">
                  <c:v>0.19789999999999999</c:v>
                </c:pt>
                <c:pt idx="1">
                  <c:v>7.4200000000000002E-2</c:v>
                </c:pt>
                <c:pt idx="2">
                  <c:v>0.27389999999999998</c:v>
                </c:pt>
                <c:pt idx="3">
                  <c:v>5.6500000000000002E-2</c:v>
                </c:pt>
                <c:pt idx="4">
                  <c:v>0.24560000000000001</c:v>
                </c:pt>
                <c:pt idx="5">
                  <c:v>4.4200000000000003E-2</c:v>
                </c:pt>
              </c:numCache>
            </c:numRef>
          </c:val>
          <c:extLst>
            <c:ext xmlns:c16="http://schemas.microsoft.com/office/drawing/2014/chart" uri="{C3380CC4-5D6E-409C-BE32-E72D297353CC}">
              <c16:uniqueId val="{00000003-8E6D-48CF-A4D2-9F7530A8AAB3}"/>
            </c:ext>
          </c:extLst>
        </c:ser>
        <c:ser>
          <c:idx val="4"/>
          <c:order val="4"/>
          <c:tx>
            <c:strRef>
              <c:f>'[ACTUALIZAREA STRATEGIEI DE DEZVOLTARE LOCALĂ INTEGRATĂ ŞI DURABILĂ A SECTORULUI 2  PENTRU PERIOADA 2016 - 2025. Chestionar dedicat locuitorilor Sectorului 2..xlsx]Question 26'!$F$34</c:f>
              <c:strCache>
                <c:ptCount val="1"/>
                <c:pt idx="0">
                  <c:v>Foarte nemulțumit/ă</c:v>
                </c:pt>
              </c:strCache>
            </c:strRef>
          </c:tx>
          <c:invertIfNegative val="0"/>
          <c:dLbls>
            <c:delete val="1"/>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26'!$F$35:$F$40</c:f>
              <c:numCache>
                <c:formatCode>0.0%</c:formatCode>
                <c:ptCount val="6"/>
                <c:pt idx="0">
                  <c:v>8.8300000000000003E-2</c:v>
                </c:pt>
                <c:pt idx="1">
                  <c:v>1.41E-2</c:v>
                </c:pt>
                <c:pt idx="2">
                  <c:v>0.1396</c:v>
                </c:pt>
                <c:pt idx="3">
                  <c:v>1.06E-2</c:v>
                </c:pt>
                <c:pt idx="4">
                  <c:v>0.1113</c:v>
                </c:pt>
                <c:pt idx="5">
                  <c:v>1.06E-2</c:v>
                </c:pt>
              </c:numCache>
            </c:numRef>
          </c:val>
          <c:extLst>
            <c:ext xmlns:c16="http://schemas.microsoft.com/office/drawing/2014/chart" uri="{C3380CC4-5D6E-409C-BE32-E72D297353CC}">
              <c16:uniqueId val="{00000004-8E6D-48CF-A4D2-9F7530A8AAB3}"/>
            </c:ext>
          </c:extLst>
        </c:ser>
        <c:ser>
          <c:idx val="5"/>
          <c:order val="5"/>
          <c:tx>
            <c:strRef>
              <c:f>'[ACTUALIZAREA STRATEGIEI DE DEZVOLTARE LOCALĂ INTEGRATĂ ŞI DURABILĂ A SECTORULUI 2  PENTRU PERIOADA 2016 - 2025. Chestionar dedicat locuitorilor Sectorului 2..xlsx]Question 26'!$G$34</c:f>
              <c:strCache>
                <c:ptCount val="1"/>
                <c:pt idx="0">
                  <c:v>Nu știu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26'!$A$35:$A$40</c:f>
              <c:strCache>
                <c:ptCount val="6"/>
                <c:pt idx="0">
                  <c:v>Oferta serviciilor publice de sănătate</c:v>
                </c:pt>
                <c:pt idx="1">
                  <c:v>Oferta serviciilor private de sănătate</c:v>
                </c:pt>
                <c:pt idx="2">
                  <c:v>Calitatea serviciilor și dotărilor publice de sănătate</c:v>
                </c:pt>
                <c:pt idx="3">
                  <c:v>Calitatea serviciilor și dotărilor private de sănătate</c:v>
                </c:pt>
                <c:pt idx="4">
                  <c:v>Disponibilitatea cadrelor medicale specializate din cadrul dotărilor publice</c:v>
                </c:pt>
                <c:pt idx="5">
                  <c:v>Disponibilitatea cadrelor medicale specializate din cadrul dotărilor private</c:v>
                </c:pt>
              </c:strCache>
            </c:strRef>
          </c:cat>
          <c:val>
            <c:numRef>
              <c:f>'[ACTUALIZAREA STRATEGIEI DE DEZVOLTARE LOCALĂ INTEGRATĂ ŞI DURABILĂ A SECTORULUI 2  PENTRU PERIOADA 2016 - 2025. Chestionar dedicat locuitorilor Sectorului 2..xlsx]Question 26'!$G$35:$G$40</c:f>
              <c:numCache>
                <c:formatCode>0.0%</c:formatCode>
                <c:ptCount val="6"/>
                <c:pt idx="0">
                  <c:v>0.13600000000000001</c:v>
                </c:pt>
                <c:pt idx="1">
                  <c:v>0.12720000000000001</c:v>
                </c:pt>
                <c:pt idx="2">
                  <c:v>0.1343</c:v>
                </c:pt>
                <c:pt idx="3">
                  <c:v>0.129</c:v>
                </c:pt>
                <c:pt idx="4">
                  <c:v>0.1484</c:v>
                </c:pt>
                <c:pt idx="5">
                  <c:v>0.1396</c:v>
                </c:pt>
              </c:numCache>
            </c:numRef>
          </c:val>
          <c:extLst>
            <c:ext xmlns:c16="http://schemas.microsoft.com/office/drawing/2014/chart" uri="{C3380CC4-5D6E-409C-BE32-E72D297353CC}">
              <c16:uniqueId val="{00000005-8E6D-48CF-A4D2-9F7530A8AAB3}"/>
            </c:ext>
          </c:extLst>
        </c:ser>
        <c:dLbls>
          <c:dLblPos val="ctr"/>
          <c:showLegendKey val="0"/>
          <c:showVal val="1"/>
          <c:showCatName val="0"/>
          <c:showSerName val="0"/>
          <c:showPercent val="0"/>
          <c:showBubbleSize val="0"/>
        </c:dLbls>
        <c:gapWidth val="150"/>
        <c:overlap val="100"/>
        <c:axId val="185021440"/>
        <c:axId val="154032320"/>
      </c:barChart>
      <c:catAx>
        <c:axId val="185021440"/>
        <c:scaling>
          <c:orientation val="minMax"/>
        </c:scaling>
        <c:delete val="0"/>
        <c:axPos val="l"/>
        <c:numFmt formatCode="General" sourceLinked="0"/>
        <c:majorTickMark val="none"/>
        <c:minorTickMark val="none"/>
        <c:tickLblPos val="nextTo"/>
        <c:crossAx val="154032320"/>
        <c:crosses val="autoZero"/>
        <c:auto val="1"/>
        <c:lblAlgn val="ctr"/>
        <c:lblOffset val="100"/>
        <c:noMultiLvlLbl val="0"/>
      </c:catAx>
      <c:valAx>
        <c:axId val="154032320"/>
        <c:scaling>
          <c:orientation val="minMax"/>
        </c:scaling>
        <c:delete val="1"/>
        <c:axPos val="b"/>
        <c:numFmt formatCode="0%" sourceLinked="1"/>
        <c:majorTickMark val="out"/>
        <c:minorTickMark val="none"/>
        <c:tickLblPos val="nextTo"/>
        <c:crossAx val="18502144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27'!$B$37</c:f>
              <c:strCache>
                <c:ptCount val="1"/>
                <c:pt idx="0">
                  <c:v>Inutilă</c:v>
                </c:pt>
              </c:strCache>
            </c:strRef>
          </c:tx>
          <c:invertIfNegative val="0"/>
          <c:dLbls>
            <c:delete val="1"/>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27'!$B$38:$B$46</c:f>
              <c:numCache>
                <c:formatCode>0.00%</c:formatCode>
                <c:ptCount val="9"/>
                <c:pt idx="0">
                  <c:v>4.5900000000000003E-2</c:v>
                </c:pt>
                <c:pt idx="1">
                  <c:v>6.7099999999999993E-2</c:v>
                </c:pt>
                <c:pt idx="2">
                  <c:v>1.9400000000000001E-2</c:v>
                </c:pt>
                <c:pt idx="3">
                  <c:v>3.5000000000000001E-3</c:v>
                </c:pt>
                <c:pt idx="4">
                  <c:v>3.5000000000000001E-3</c:v>
                </c:pt>
                <c:pt idx="5">
                  <c:v>1.8E-3</c:v>
                </c:pt>
                <c:pt idx="6">
                  <c:v>1.8E-3</c:v>
                </c:pt>
                <c:pt idx="7">
                  <c:v>8.8000000000000005E-3</c:v>
                </c:pt>
                <c:pt idx="8">
                  <c:v>7.7699999999999991E-2</c:v>
                </c:pt>
              </c:numCache>
            </c:numRef>
          </c:val>
          <c:extLst>
            <c:ext xmlns:c16="http://schemas.microsoft.com/office/drawing/2014/chart" uri="{C3380CC4-5D6E-409C-BE32-E72D297353CC}">
              <c16:uniqueId val="{00000000-9098-4CA6-A926-9FFE59EAC32A}"/>
            </c:ext>
          </c:extLst>
        </c:ser>
        <c:ser>
          <c:idx val="1"/>
          <c:order val="1"/>
          <c:tx>
            <c:strRef>
              <c:f>'[ACTUALIZAREA STRATEGIEI DE DEZVOLTARE LOCALĂ INTEGRATĂ ŞI DURABILĂ A SECTORULUI 2  PENTRU PERIOADA 2016 - 2025. Chestionar dedicat locuitorilor Sectorului 2..xlsx]Question 27'!$C$37</c:f>
              <c:strCache>
                <c:ptCount val="1"/>
                <c:pt idx="0">
                  <c:v>Puțin necesară</c:v>
                </c:pt>
              </c:strCache>
            </c:strRef>
          </c:tx>
          <c:invertIfNegative val="0"/>
          <c:dLbls>
            <c:delete val="1"/>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27'!$C$38:$C$46</c:f>
              <c:numCache>
                <c:formatCode>0.00%</c:formatCode>
                <c:ptCount val="9"/>
                <c:pt idx="0">
                  <c:v>9.3599999999999989E-2</c:v>
                </c:pt>
                <c:pt idx="1">
                  <c:v>0.1042</c:v>
                </c:pt>
                <c:pt idx="2">
                  <c:v>4.0599999999999997E-2</c:v>
                </c:pt>
                <c:pt idx="3">
                  <c:v>2.12E-2</c:v>
                </c:pt>
                <c:pt idx="4">
                  <c:v>2.3E-2</c:v>
                </c:pt>
                <c:pt idx="5">
                  <c:v>1.5900000000000001E-2</c:v>
                </c:pt>
                <c:pt idx="6">
                  <c:v>1.41E-2</c:v>
                </c:pt>
                <c:pt idx="7">
                  <c:v>1.77E-2</c:v>
                </c:pt>
                <c:pt idx="8">
                  <c:v>6.8900000000000003E-2</c:v>
                </c:pt>
              </c:numCache>
            </c:numRef>
          </c:val>
          <c:extLst>
            <c:ext xmlns:c16="http://schemas.microsoft.com/office/drawing/2014/chart" uri="{C3380CC4-5D6E-409C-BE32-E72D297353CC}">
              <c16:uniqueId val="{00000001-9098-4CA6-A926-9FFE59EAC32A}"/>
            </c:ext>
          </c:extLst>
        </c:ser>
        <c:ser>
          <c:idx val="2"/>
          <c:order val="2"/>
          <c:tx>
            <c:strRef>
              <c:f>'[ACTUALIZAREA STRATEGIEI DE DEZVOLTARE LOCALĂ INTEGRATĂ ŞI DURABILĂ A SECTORULUI 2  PENTRU PERIOADA 2016 - 2025. Chestionar dedicat locuitorilor Sectorului 2..xlsx]Question 27'!$D$37</c:f>
              <c:strCache>
                <c:ptCount val="1"/>
                <c:pt idx="0">
                  <c:v>Mediu</c:v>
                </c:pt>
              </c:strCache>
            </c:strRef>
          </c:tx>
          <c:invertIfNegative val="0"/>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98-4CA6-A926-9FFE59EAC32A}"/>
                </c:ext>
              </c:extLst>
            </c:dLbl>
            <c:dLbl>
              <c:idx val="1"/>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98-4CA6-A926-9FFE59EAC32A}"/>
                </c:ext>
              </c:extLst>
            </c:dLbl>
            <c:dLbl>
              <c:idx val="8"/>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98-4CA6-A926-9FFE59EAC32A}"/>
                </c:ext>
              </c:extLst>
            </c:dLbl>
            <c:numFmt formatCode="0.0%" sourceLinked="0"/>
            <c:spPr>
              <a:noFill/>
              <a:ln>
                <a:noFill/>
              </a:ln>
              <a:effectLst/>
            </c:spPr>
            <c:dLblPos val="inBase"/>
            <c:showLegendKey val="0"/>
            <c:showVal val="0"/>
            <c:showCatName val="0"/>
            <c:showSerName val="0"/>
            <c:showPercent val="0"/>
            <c:showBubbleSize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27'!$D$38:$D$46</c:f>
              <c:numCache>
                <c:formatCode>0.00%</c:formatCode>
                <c:ptCount val="9"/>
                <c:pt idx="0">
                  <c:v>0.1661</c:v>
                </c:pt>
                <c:pt idx="1">
                  <c:v>0.1555</c:v>
                </c:pt>
                <c:pt idx="2">
                  <c:v>0.106</c:v>
                </c:pt>
                <c:pt idx="3">
                  <c:v>4.9500000000000002E-2</c:v>
                </c:pt>
                <c:pt idx="4">
                  <c:v>6.7099999999999993E-2</c:v>
                </c:pt>
                <c:pt idx="5">
                  <c:v>4.24E-2</c:v>
                </c:pt>
                <c:pt idx="6">
                  <c:v>6.54E-2</c:v>
                </c:pt>
                <c:pt idx="7">
                  <c:v>8.1300000000000011E-2</c:v>
                </c:pt>
                <c:pt idx="8">
                  <c:v>0.1502</c:v>
                </c:pt>
              </c:numCache>
            </c:numRef>
          </c:val>
          <c:extLst>
            <c:ext xmlns:c16="http://schemas.microsoft.com/office/drawing/2014/chart" uri="{C3380CC4-5D6E-409C-BE32-E72D297353CC}">
              <c16:uniqueId val="{00000005-9098-4CA6-A926-9FFE59EAC32A}"/>
            </c:ext>
          </c:extLst>
        </c:ser>
        <c:ser>
          <c:idx val="3"/>
          <c:order val="3"/>
          <c:tx>
            <c:strRef>
              <c:f>'[ACTUALIZAREA STRATEGIEI DE DEZVOLTARE LOCALĂ INTEGRATĂ ŞI DURABILĂ A SECTORULUI 2  PENTRU PERIOADA 2016 - 2025. Chestionar dedicat locuitorilor Sectorului 2..xlsx]Question 27'!$E$37</c:f>
              <c:strCache>
                <c:ptCount val="1"/>
                <c:pt idx="0">
                  <c:v>Necesară</c:v>
                </c:pt>
              </c:strCache>
            </c:strRef>
          </c:tx>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27'!$E$38:$E$46</c:f>
              <c:numCache>
                <c:formatCode>0.00%</c:formatCode>
                <c:ptCount val="9"/>
                <c:pt idx="0">
                  <c:v>0.36220000000000002</c:v>
                </c:pt>
                <c:pt idx="1">
                  <c:v>0.32329999999999998</c:v>
                </c:pt>
                <c:pt idx="2">
                  <c:v>0.35870000000000002</c:v>
                </c:pt>
                <c:pt idx="3">
                  <c:v>0.34810000000000002</c:v>
                </c:pt>
                <c:pt idx="4">
                  <c:v>0.3039</c:v>
                </c:pt>
                <c:pt idx="5">
                  <c:v>0.29330000000000001</c:v>
                </c:pt>
                <c:pt idx="6">
                  <c:v>0.3251</c:v>
                </c:pt>
                <c:pt idx="7">
                  <c:v>0.29859999999999998</c:v>
                </c:pt>
                <c:pt idx="8">
                  <c:v>0.3039</c:v>
                </c:pt>
              </c:numCache>
            </c:numRef>
          </c:val>
          <c:extLst>
            <c:ext xmlns:c16="http://schemas.microsoft.com/office/drawing/2014/chart" uri="{C3380CC4-5D6E-409C-BE32-E72D297353CC}">
              <c16:uniqueId val="{00000006-9098-4CA6-A926-9FFE59EAC32A}"/>
            </c:ext>
          </c:extLst>
        </c:ser>
        <c:ser>
          <c:idx val="4"/>
          <c:order val="4"/>
          <c:tx>
            <c:strRef>
              <c:f>'[ACTUALIZAREA STRATEGIEI DE DEZVOLTARE LOCALĂ INTEGRATĂ ŞI DURABILĂ A SECTORULUI 2  PENTRU PERIOADA 2016 - 2025. Chestionar dedicat locuitorilor Sectorului 2..xlsx]Question 27'!$F$37</c:f>
              <c:strCache>
                <c:ptCount val="1"/>
                <c:pt idx="0">
                  <c:v>Foarte necesară</c:v>
                </c:pt>
              </c:strCache>
            </c:strRef>
          </c:tx>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27'!$A$38:$A$46</c:f>
              <c:strCache>
                <c:ptCount val="9"/>
                <c:pt idx="0">
                  <c:v>Cantina socială</c:v>
                </c:pt>
                <c:pt idx="1">
                  <c:v>Magazin social dedicat persoanelor cu venituri reduse</c:v>
                </c:pt>
                <c:pt idx="2">
                  <c:v>Centru de noapte pentru persoanele fără adăpost</c:v>
                </c:pt>
                <c:pt idx="3">
                  <c:v>Servicii de îngrijire la domiciliu pentru persoanele vârstnice</c:v>
                </c:pt>
                <c:pt idx="4">
                  <c:v>Servicii de suport (consiliere, locuințe de necesitate, etc.) pentru victimele violenței domestice</c:v>
                </c:pt>
                <c:pt idx="5">
                  <c:v>Servicii de suport (recuperare medicală, asistent personal, etc.) pentru copiii cu dizabilități</c:v>
                </c:pt>
                <c:pt idx="6">
                  <c:v>Servicii de suport (recuperare medicală, asistent personal, etc.) pentru persoanele adulte cu dizabilități</c:v>
                </c:pt>
                <c:pt idx="7">
                  <c:v>Măsuri de sprijin pentru educație incluzivă (afterschool, masă caldă, ajutoare pentru rechizite) dedicate copiilor ce provin din familii cu venituri reduse</c:v>
                </c:pt>
                <c:pt idx="8">
                  <c:v>Acordarea de locuințe sociale familiilor aflate in risc de marginalizare si excluziune socială</c:v>
                </c:pt>
              </c:strCache>
            </c:strRef>
          </c:cat>
          <c:val>
            <c:numRef>
              <c:f>'[ACTUALIZAREA STRATEGIEI DE DEZVOLTARE LOCALĂ INTEGRATĂ ŞI DURABILĂ A SECTORULUI 2  PENTRU PERIOADA 2016 - 2025. Chestionar dedicat locuitorilor Sectorului 2..xlsx]Question 27'!$F$38:$F$46</c:f>
              <c:numCache>
                <c:formatCode>0.00%</c:formatCode>
                <c:ptCount val="9"/>
                <c:pt idx="0">
                  <c:v>0.1943</c:v>
                </c:pt>
                <c:pt idx="1">
                  <c:v>0.23669999999999999</c:v>
                </c:pt>
                <c:pt idx="2">
                  <c:v>0.37990000000000002</c:v>
                </c:pt>
                <c:pt idx="3">
                  <c:v>0.52829999999999999</c:v>
                </c:pt>
                <c:pt idx="4">
                  <c:v>0.51939999999999997</c:v>
                </c:pt>
                <c:pt idx="5">
                  <c:v>0.56889999999999996</c:v>
                </c:pt>
                <c:pt idx="6">
                  <c:v>0.52300000000000002</c:v>
                </c:pt>
                <c:pt idx="7">
                  <c:v>0.51939999999999997</c:v>
                </c:pt>
                <c:pt idx="8">
                  <c:v>0.27389999999999998</c:v>
                </c:pt>
              </c:numCache>
            </c:numRef>
          </c:val>
          <c:extLst>
            <c:ext xmlns:c16="http://schemas.microsoft.com/office/drawing/2014/chart" uri="{C3380CC4-5D6E-409C-BE32-E72D297353CC}">
              <c16:uniqueId val="{00000007-9098-4CA6-A926-9FFE59EAC32A}"/>
            </c:ext>
          </c:extLst>
        </c:ser>
        <c:dLbls>
          <c:dLblPos val="inBase"/>
          <c:showLegendKey val="0"/>
          <c:showVal val="1"/>
          <c:showCatName val="0"/>
          <c:showSerName val="0"/>
          <c:showPercent val="0"/>
          <c:showBubbleSize val="0"/>
        </c:dLbls>
        <c:gapWidth val="71"/>
        <c:overlap val="100"/>
        <c:axId val="225909248"/>
        <c:axId val="184972928"/>
      </c:barChart>
      <c:catAx>
        <c:axId val="225909248"/>
        <c:scaling>
          <c:orientation val="minMax"/>
        </c:scaling>
        <c:delete val="0"/>
        <c:axPos val="l"/>
        <c:numFmt formatCode="General" sourceLinked="0"/>
        <c:majorTickMark val="none"/>
        <c:minorTickMark val="none"/>
        <c:tickLblPos val="nextTo"/>
        <c:crossAx val="184972928"/>
        <c:crosses val="autoZero"/>
        <c:auto val="1"/>
        <c:lblAlgn val="ctr"/>
        <c:lblOffset val="100"/>
        <c:noMultiLvlLbl val="0"/>
      </c:catAx>
      <c:valAx>
        <c:axId val="184972928"/>
        <c:scaling>
          <c:orientation val="minMax"/>
        </c:scaling>
        <c:delete val="1"/>
        <c:axPos val="b"/>
        <c:numFmt formatCode="0%" sourceLinked="1"/>
        <c:majorTickMark val="out"/>
        <c:minorTickMark val="none"/>
        <c:tickLblPos val="nextTo"/>
        <c:crossAx val="22590924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29'!$B$39</c:f>
              <c:strCache>
                <c:ptCount val="1"/>
                <c:pt idx="0">
                  <c:v>Da</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29'!$A$40:$A$51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29'!$B$40:$B$51</c:f>
              <c:numCache>
                <c:formatCode>0.0%</c:formatCode>
                <c:ptCount val="12"/>
                <c:pt idx="0">
                  <c:v>0.32159999999999989</c:v>
                </c:pt>
                <c:pt idx="1">
                  <c:v>0.28449999999999998</c:v>
                </c:pt>
                <c:pt idx="2">
                  <c:v>0.53359999999999996</c:v>
                </c:pt>
                <c:pt idx="3">
                  <c:v>0.34449999999999997</c:v>
                </c:pt>
                <c:pt idx="4">
                  <c:v>0.42759999999999998</c:v>
                </c:pt>
                <c:pt idx="5">
                  <c:v>0.37990000000000002</c:v>
                </c:pt>
                <c:pt idx="6">
                  <c:v>0.60070000000000001</c:v>
                </c:pt>
                <c:pt idx="7">
                  <c:v>0.48759999999999998</c:v>
                </c:pt>
                <c:pt idx="8">
                  <c:v>0.21909999999999999</c:v>
                </c:pt>
                <c:pt idx="9">
                  <c:v>0.85870000000000002</c:v>
                </c:pt>
                <c:pt idx="10">
                  <c:v>0.91170000000000007</c:v>
                </c:pt>
                <c:pt idx="11">
                  <c:v>0.29330000000000001</c:v>
                </c:pt>
              </c:numCache>
            </c:numRef>
          </c:val>
          <c:extLst>
            <c:ext xmlns:c16="http://schemas.microsoft.com/office/drawing/2014/chart" uri="{C3380CC4-5D6E-409C-BE32-E72D297353CC}">
              <c16:uniqueId val="{00000000-B7B3-4506-BBAD-0D215751C3DA}"/>
            </c:ext>
          </c:extLst>
        </c:ser>
        <c:ser>
          <c:idx val="1"/>
          <c:order val="1"/>
          <c:tx>
            <c:strRef>
              <c:f>'[ACTUALIZAREA STRATEGIEI DE DEZVOLTARE LOCALĂ INTEGRATĂ ŞI DURABILĂ A SECTORULUI 2  PENTRU PERIOADA 2016 - 2025. Chestionar dedicat locuitorilor Sectorului 2..xlsx]Question 29'!$C$39</c:f>
              <c:strCache>
                <c:ptCount val="1"/>
                <c:pt idx="0">
                  <c:v>Nu</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29'!$A$40:$A$51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29'!$C$40:$C$51</c:f>
              <c:numCache>
                <c:formatCode>0.0%</c:formatCode>
                <c:ptCount val="12"/>
                <c:pt idx="0">
                  <c:v>0.1537</c:v>
                </c:pt>
                <c:pt idx="1">
                  <c:v>0.1961</c:v>
                </c:pt>
                <c:pt idx="2">
                  <c:v>0.1749</c:v>
                </c:pt>
                <c:pt idx="3">
                  <c:v>0.23319999999999999</c:v>
                </c:pt>
                <c:pt idx="4">
                  <c:v>0.20849999999999999</c:v>
                </c:pt>
                <c:pt idx="5">
                  <c:v>0.14660000000000001</c:v>
                </c:pt>
                <c:pt idx="6">
                  <c:v>0.1343</c:v>
                </c:pt>
                <c:pt idx="7">
                  <c:v>0.1855</c:v>
                </c:pt>
                <c:pt idx="8">
                  <c:v>0.37630000000000002</c:v>
                </c:pt>
                <c:pt idx="9">
                  <c:v>3.3599999999999998E-2</c:v>
                </c:pt>
                <c:pt idx="10">
                  <c:v>3.3599999999999998E-2</c:v>
                </c:pt>
                <c:pt idx="11">
                  <c:v>0.28620000000000001</c:v>
                </c:pt>
              </c:numCache>
            </c:numRef>
          </c:val>
          <c:extLst>
            <c:ext xmlns:c16="http://schemas.microsoft.com/office/drawing/2014/chart" uri="{C3380CC4-5D6E-409C-BE32-E72D297353CC}">
              <c16:uniqueId val="{00000001-B7B3-4506-BBAD-0D215751C3DA}"/>
            </c:ext>
          </c:extLst>
        </c:ser>
        <c:ser>
          <c:idx val="2"/>
          <c:order val="2"/>
          <c:tx>
            <c:strRef>
              <c:f>'[ACTUALIZAREA STRATEGIEI DE DEZVOLTARE LOCALĂ INTEGRATĂ ŞI DURABILĂ A SECTORULUI 2  PENTRU PERIOADA 2016 - 2025. Chestionar dedicat locuitorilor Sectorului 2..xlsx]Question 29'!$D$39</c:f>
              <c:strCache>
                <c:ptCount val="1"/>
                <c:pt idx="0">
                  <c:v>Nu știu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29'!$A$40:$A$51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29'!$D$40:$D$51</c:f>
              <c:numCache>
                <c:formatCode>0.0%</c:formatCode>
                <c:ptCount val="12"/>
                <c:pt idx="0">
                  <c:v>0.4965</c:v>
                </c:pt>
                <c:pt idx="1">
                  <c:v>0.48759999999999998</c:v>
                </c:pt>
                <c:pt idx="2">
                  <c:v>0.26500000000000001</c:v>
                </c:pt>
                <c:pt idx="3">
                  <c:v>0.39579999999999999</c:v>
                </c:pt>
                <c:pt idx="4">
                  <c:v>0.3357</c:v>
                </c:pt>
                <c:pt idx="5">
                  <c:v>0.45050000000000001</c:v>
                </c:pt>
                <c:pt idx="6">
                  <c:v>0.24199999999999999</c:v>
                </c:pt>
                <c:pt idx="7">
                  <c:v>0.29509999999999997</c:v>
                </c:pt>
                <c:pt idx="8">
                  <c:v>0.371</c:v>
                </c:pt>
                <c:pt idx="9">
                  <c:v>9.01E-2</c:v>
                </c:pt>
                <c:pt idx="10">
                  <c:v>4.24E-2</c:v>
                </c:pt>
                <c:pt idx="11">
                  <c:v>0.39750000000000002</c:v>
                </c:pt>
              </c:numCache>
            </c:numRef>
          </c:val>
          <c:extLst>
            <c:ext xmlns:c16="http://schemas.microsoft.com/office/drawing/2014/chart" uri="{C3380CC4-5D6E-409C-BE32-E72D297353CC}">
              <c16:uniqueId val="{00000002-B7B3-4506-BBAD-0D215751C3DA}"/>
            </c:ext>
          </c:extLst>
        </c:ser>
        <c:ser>
          <c:idx val="3"/>
          <c:order val="3"/>
          <c:tx>
            <c:strRef>
              <c:f>'[ACTUALIZAREA STRATEGIEI DE DEZVOLTARE LOCALĂ INTEGRATĂ ŞI DURABILĂ A SECTORULUI 2  PENTRU PERIOADA 2016 - 2025. Chestionar dedicat locuitorilor Sectorului 2..xlsx]Question 29'!$E$39</c:f>
              <c:strCache>
                <c:ptCount val="1"/>
                <c:pt idx="0">
                  <c:v>Nu răspund</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29'!$A$40:$A$51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29'!$E$40:$E$51</c:f>
              <c:numCache>
                <c:formatCode>0.0%</c:formatCode>
                <c:ptCount val="12"/>
                <c:pt idx="0">
                  <c:v>2.8299999999999999E-2</c:v>
                </c:pt>
                <c:pt idx="1">
                  <c:v>3.1800000000000002E-2</c:v>
                </c:pt>
                <c:pt idx="2">
                  <c:v>2.6499999999999999E-2</c:v>
                </c:pt>
                <c:pt idx="3">
                  <c:v>2.6499999999999999E-2</c:v>
                </c:pt>
                <c:pt idx="4">
                  <c:v>2.8299999999999999E-2</c:v>
                </c:pt>
                <c:pt idx="5">
                  <c:v>2.3E-2</c:v>
                </c:pt>
                <c:pt idx="6">
                  <c:v>2.3E-2</c:v>
                </c:pt>
                <c:pt idx="7">
                  <c:v>3.1800000000000002E-2</c:v>
                </c:pt>
                <c:pt idx="8">
                  <c:v>3.3599999999999998E-2</c:v>
                </c:pt>
                <c:pt idx="9">
                  <c:v>1.77E-2</c:v>
                </c:pt>
                <c:pt idx="10">
                  <c:v>1.24E-2</c:v>
                </c:pt>
                <c:pt idx="11">
                  <c:v>2.3E-2</c:v>
                </c:pt>
              </c:numCache>
            </c:numRef>
          </c:val>
          <c:extLst>
            <c:ext xmlns:c16="http://schemas.microsoft.com/office/drawing/2014/chart" uri="{C3380CC4-5D6E-409C-BE32-E72D297353CC}">
              <c16:uniqueId val="{00000003-B7B3-4506-BBAD-0D215751C3DA}"/>
            </c:ext>
          </c:extLst>
        </c:ser>
        <c:dLbls>
          <c:dLblPos val="ctr"/>
          <c:showLegendKey val="0"/>
          <c:showVal val="1"/>
          <c:showCatName val="0"/>
          <c:showSerName val="0"/>
          <c:showPercent val="0"/>
          <c:showBubbleSize val="0"/>
        </c:dLbls>
        <c:gapWidth val="59"/>
        <c:overlap val="100"/>
        <c:axId val="225910272"/>
        <c:axId val="214327296"/>
      </c:barChart>
      <c:catAx>
        <c:axId val="225910272"/>
        <c:scaling>
          <c:orientation val="minMax"/>
        </c:scaling>
        <c:delete val="0"/>
        <c:axPos val="l"/>
        <c:numFmt formatCode="General" sourceLinked="0"/>
        <c:majorTickMark val="none"/>
        <c:minorTickMark val="none"/>
        <c:tickLblPos val="nextTo"/>
        <c:crossAx val="214327296"/>
        <c:crosses val="autoZero"/>
        <c:auto val="1"/>
        <c:lblAlgn val="ctr"/>
        <c:lblOffset val="100"/>
        <c:noMultiLvlLbl val="0"/>
      </c:catAx>
      <c:valAx>
        <c:axId val="214327296"/>
        <c:scaling>
          <c:orientation val="minMax"/>
        </c:scaling>
        <c:delete val="1"/>
        <c:axPos val="b"/>
        <c:numFmt formatCode="0%" sourceLinked="1"/>
        <c:majorTickMark val="out"/>
        <c:minorTickMark val="none"/>
        <c:tickLblPos val="nextTo"/>
        <c:crossAx val="22591027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'[ACTUALIZAREA STRATEGIEI DE DEZVOLTARE LOCALĂ INTEGRATĂ ŞI DURABILĂ A SECTORULUI 2  PENTRU PERIOADA 2016 - 2025. Chestionar dedicat locuitorilor Sectorului 2..xlsx]Question 30'!$B$39</c:f>
              <c:strCache>
                <c:ptCount val="1"/>
                <c:pt idx="0">
                  <c:v>Foarte mulțumit/ă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30'!$A$40:$A$51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30'!$B$40:$B$51</c:f>
              <c:numCache>
                <c:formatCode>0.0%</c:formatCode>
                <c:ptCount val="12"/>
                <c:pt idx="0">
                  <c:v>3.5299999999999998E-2</c:v>
                </c:pt>
                <c:pt idx="1">
                  <c:v>2.6499999999999999E-2</c:v>
                </c:pt>
                <c:pt idx="2">
                  <c:v>8.48E-2</c:v>
                </c:pt>
                <c:pt idx="3">
                  <c:v>2.3E-2</c:v>
                </c:pt>
                <c:pt idx="4">
                  <c:v>3.7100000000000001E-2</c:v>
                </c:pt>
                <c:pt idx="5">
                  <c:v>4.24E-2</c:v>
                </c:pt>
                <c:pt idx="6">
                  <c:v>4.24E-2</c:v>
                </c:pt>
                <c:pt idx="7">
                  <c:v>3.1800000000000002E-2</c:v>
                </c:pt>
                <c:pt idx="8">
                  <c:v>1.9400000000000001E-2</c:v>
                </c:pt>
                <c:pt idx="9">
                  <c:v>7.4200000000000002E-2</c:v>
                </c:pt>
                <c:pt idx="10">
                  <c:v>8.6599999999999996E-2</c:v>
                </c:pt>
                <c:pt idx="11">
                  <c:v>2.6499999999999999E-2</c:v>
                </c:pt>
              </c:numCache>
            </c:numRef>
          </c:val>
          <c:extLst>
            <c:ext xmlns:c16="http://schemas.microsoft.com/office/drawing/2014/chart" uri="{C3380CC4-5D6E-409C-BE32-E72D297353CC}">
              <c16:uniqueId val="{00000000-A024-4A6A-822B-DA58C43B971A}"/>
            </c:ext>
          </c:extLst>
        </c:ser>
        <c:ser>
          <c:idx val="1"/>
          <c:order val="1"/>
          <c:tx>
            <c:strRef>
              <c:f>'[ACTUALIZAREA STRATEGIEI DE DEZVOLTARE LOCALĂ INTEGRATĂ ŞI DURABILĂ A SECTORULUI 2  PENTRU PERIOADA 2016 - 2025. Chestionar dedicat locuitorilor Sectorului 2..xlsx]Question 30'!$C$39</c:f>
              <c:strCache>
                <c:ptCount val="1"/>
                <c:pt idx="0">
                  <c:v>Mulțumit/ă</c:v>
                </c:pt>
              </c:strCache>
            </c:strRef>
          </c:tx>
          <c:invertIfNegative val="0"/>
          <c:dLbls>
            <c:spPr>
              <a:noFill/>
              <a:ln>
                <a:noFill/>
              </a:ln>
              <a:effectLst/>
            </c:spPr>
            <c:txPr>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30'!$A$40:$A$51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30'!$C$40:$C$51</c:f>
              <c:numCache>
                <c:formatCode>0.0%</c:formatCode>
                <c:ptCount val="12"/>
                <c:pt idx="0">
                  <c:v>0.1396</c:v>
                </c:pt>
                <c:pt idx="1">
                  <c:v>0.106</c:v>
                </c:pt>
                <c:pt idx="2">
                  <c:v>0.24030000000000001</c:v>
                </c:pt>
                <c:pt idx="3">
                  <c:v>0.159</c:v>
                </c:pt>
                <c:pt idx="4">
                  <c:v>0.20849999999999999</c:v>
                </c:pt>
                <c:pt idx="5">
                  <c:v>0.15190000000000001</c:v>
                </c:pt>
                <c:pt idx="6">
                  <c:v>0.2208</c:v>
                </c:pt>
                <c:pt idx="7">
                  <c:v>0.14660000000000001</c:v>
                </c:pt>
                <c:pt idx="8">
                  <c:v>7.5999999999999998E-2</c:v>
                </c:pt>
                <c:pt idx="9">
                  <c:v>0.38159999999999988</c:v>
                </c:pt>
                <c:pt idx="10">
                  <c:v>0.41699999999999998</c:v>
                </c:pt>
                <c:pt idx="11">
                  <c:v>0.12189999999999999</c:v>
                </c:pt>
              </c:numCache>
            </c:numRef>
          </c:val>
          <c:extLst>
            <c:ext xmlns:c16="http://schemas.microsoft.com/office/drawing/2014/chart" uri="{C3380CC4-5D6E-409C-BE32-E72D297353CC}">
              <c16:uniqueId val="{00000001-A024-4A6A-822B-DA58C43B971A}"/>
            </c:ext>
          </c:extLst>
        </c:ser>
        <c:ser>
          <c:idx val="2"/>
          <c:order val="2"/>
          <c:tx>
            <c:strRef>
              <c:f>'[ACTUALIZAREA STRATEGIEI DE DEZVOLTARE LOCALĂ INTEGRATĂ ŞI DURABILĂ A SECTORULUI 2  PENTRU PERIOADA 2016 - 2025. Chestionar dedicat locuitorilor Sectorului 2..xlsx]Question 30'!$D$39</c:f>
              <c:strCache>
                <c:ptCount val="1"/>
                <c:pt idx="0">
                  <c:v>Neutru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30'!$A$40:$A$51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30'!$D$40:$D$51</c:f>
              <c:numCache>
                <c:formatCode>0.0%</c:formatCode>
                <c:ptCount val="12"/>
                <c:pt idx="0">
                  <c:v>0.41339999999999999</c:v>
                </c:pt>
                <c:pt idx="1">
                  <c:v>0.45409999999999989</c:v>
                </c:pt>
                <c:pt idx="2">
                  <c:v>0.34100000000000003</c:v>
                </c:pt>
                <c:pt idx="3">
                  <c:v>0.38690000000000002</c:v>
                </c:pt>
                <c:pt idx="4">
                  <c:v>0.35160000000000002</c:v>
                </c:pt>
                <c:pt idx="5">
                  <c:v>0.37630000000000002</c:v>
                </c:pt>
                <c:pt idx="6">
                  <c:v>0.3145</c:v>
                </c:pt>
                <c:pt idx="7">
                  <c:v>0.2898</c:v>
                </c:pt>
                <c:pt idx="8">
                  <c:v>0.2898</c:v>
                </c:pt>
                <c:pt idx="9">
                  <c:v>0.26679999999999998</c:v>
                </c:pt>
                <c:pt idx="10">
                  <c:v>0.1767</c:v>
                </c:pt>
                <c:pt idx="11">
                  <c:v>0.28620000000000001</c:v>
                </c:pt>
              </c:numCache>
            </c:numRef>
          </c:val>
          <c:extLst>
            <c:ext xmlns:c16="http://schemas.microsoft.com/office/drawing/2014/chart" uri="{C3380CC4-5D6E-409C-BE32-E72D297353CC}">
              <c16:uniqueId val="{00000002-A024-4A6A-822B-DA58C43B971A}"/>
            </c:ext>
          </c:extLst>
        </c:ser>
        <c:ser>
          <c:idx val="3"/>
          <c:order val="3"/>
          <c:tx>
            <c:strRef>
              <c:f>'[ACTUALIZAREA STRATEGIEI DE DEZVOLTARE LOCALĂ INTEGRATĂ ŞI DURABILĂ A SECTORULUI 2  PENTRU PERIOADA 2016 - 2025. Chestionar dedicat locuitorilor Sectorului 2..xlsx]Question 30'!$E$39</c:f>
              <c:strCache>
                <c:ptCount val="1"/>
                <c:pt idx="0">
                  <c:v>Nemulțumit/ă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30'!$A$40:$A$51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30'!$E$40:$E$51</c:f>
              <c:numCache>
                <c:formatCode>0.0%</c:formatCode>
                <c:ptCount val="12"/>
                <c:pt idx="0">
                  <c:v>0.2208</c:v>
                </c:pt>
                <c:pt idx="1">
                  <c:v>0.1696</c:v>
                </c:pt>
                <c:pt idx="2">
                  <c:v>0.14130000000000001</c:v>
                </c:pt>
                <c:pt idx="3">
                  <c:v>0.1714</c:v>
                </c:pt>
                <c:pt idx="4">
                  <c:v>0.15190000000000001</c:v>
                </c:pt>
                <c:pt idx="5">
                  <c:v>0.1431</c:v>
                </c:pt>
                <c:pt idx="6">
                  <c:v>0.1855</c:v>
                </c:pt>
                <c:pt idx="7">
                  <c:v>0.25090000000000001</c:v>
                </c:pt>
                <c:pt idx="8">
                  <c:v>0.21909999999999999</c:v>
                </c:pt>
                <c:pt idx="9">
                  <c:v>0.13600000000000001</c:v>
                </c:pt>
                <c:pt idx="10">
                  <c:v>0.20669999999999999</c:v>
                </c:pt>
                <c:pt idx="11">
                  <c:v>0.23669999999999999</c:v>
                </c:pt>
              </c:numCache>
            </c:numRef>
          </c:val>
          <c:extLst>
            <c:ext xmlns:c16="http://schemas.microsoft.com/office/drawing/2014/chart" uri="{C3380CC4-5D6E-409C-BE32-E72D297353CC}">
              <c16:uniqueId val="{00000003-A024-4A6A-822B-DA58C43B971A}"/>
            </c:ext>
          </c:extLst>
        </c:ser>
        <c:ser>
          <c:idx val="4"/>
          <c:order val="4"/>
          <c:tx>
            <c:strRef>
              <c:f>'[ACTUALIZAREA STRATEGIEI DE DEZVOLTARE LOCALĂ INTEGRATĂ ŞI DURABILĂ A SECTORULUI 2  PENTRU PERIOADA 2016 - 2025. Chestionar dedicat locuitorilor Sectorului 2..xlsx]Question 30'!$F$39</c:f>
              <c:strCache>
                <c:ptCount val="1"/>
                <c:pt idx="0">
                  <c:v>Foarte nemulțumit/ă</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30'!$A$40:$A$51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30'!$F$40:$F$51</c:f>
              <c:numCache>
                <c:formatCode>0.0%</c:formatCode>
                <c:ptCount val="12"/>
                <c:pt idx="0">
                  <c:v>5.8299999999999998E-2</c:v>
                </c:pt>
                <c:pt idx="1">
                  <c:v>5.6500000000000002E-2</c:v>
                </c:pt>
                <c:pt idx="2">
                  <c:v>4.0599999999999997E-2</c:v>
                </c:pt>
                <c:pt idx="3">
                  <c:v>6.54E-2</c:v>
                </c:pt>
                <c:pt idx="4">
                  <c:v>6.54E-2</c:v>
                </c:pt>
                <c:pt idx="5">
                  <c:v>5.4800000000000001E-2</c:v>
                </c:pt>
                <c:pt idx="6">
                  <c:v>8.8300000000000003E-2</c:v>
                </c:pt>
                <c:pt idx="7">
                  <c:v>0.1343</c:v>
                </c:pt>
                <c:pt idx="8">
                  <c:v>0.189</c:v>
                </c:pt>
                <c:pt idx="9">
                  <c:v>4.9500000000000002E-2</c:v>
                </c:pt>
                <c:pt idx="10">
                  <c:v>7.7699999999999991E-2</c:v>
                </c:pt>
                <c:pt idx="11">
                  <c:v>0.11310000000000001</c:v>
                </c:pt>
              </c:numCache>
            </c:numRef>
          </c:val>
          <c:extLst>
            <c:ext xmlns:c16="http://schemas.microsoft.com/office/drawing/2014/chart" uri="{C3380CC4-5D6E-409C-BE32-E72D297353CC}">
              <c16:uniqueId val="{00000004-A024-4A6A-822B-DA58C43B971A}"/>
            </c:ext>
          </c:extLst>
        </c:ser>
        <c:ser>
          <c:idx val="5"/>
          <c:order val="5"/>
          <c:tx>
            <c:strRef>
              <c:f>'[ACTUALIZAREA STRATEGIEI DE DEZVOLTARE LOCALĂ INTEGRATĂ ŞI DURABILĂ A SECTORULUI 2  PENTRU PERIOADA 2016 - 2025. Chestionar dedicat locuitorilor Sectorului 2..xlsx]Question 30'!$G$39</c:f>
              <c:strCache>
                <c:ptCount val="1"/>
                <c:pt idx="0">
                  <c:v>Nu știu</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'[ACTUALIZAREA STRATEGIEI DE DEZVOLTARE LOCALĂ INTEGRATĂ ŞI DURABILĂ A SECTORULUI 2  PENTRU PERIOADA 2016 - 2025. Chestionar dedicat locuitorilor Sectorului 2..xlsx]Question 30'!$A$40:$A$51</c:f>
              <c:strCache>
                <c:ptCount val="12"/>
                <c:pt idx="0">
                  <c:v>Evenimente culturale și artistice</c:v>
                </c:pt>
                <c:pt idx="1">
                  <c:v>Concerte</c:v>
                </c:pt>
                <c:pt idx="2">
                  <c:v>Cinematografe</c:v>
                </c:pt>
                <c:pt idx="3">
                  <c:v>Muzee</c:v>
                </c:pt>
                <c:pt idx="4">
                  <c:v>Teatre</c:v>
                </c:pt>
                <c:pt idx="5">
                  <c:v>Biblioteci</c:v>
                </c:pt>
                <c:pt idx="6">
                  <c:v>Săli și terenuri de sport</c:v>
                </c:pt>
                <c:pt idx="7">
                  <c:v>Ștranduri/bazine de înot</c:v>
                </c:pt>
                <c:pt idx="8">
                  <c:v>Patinoare</c:v>
                </c:pt>
                <c:pt idx="9">
                  <c:v>Locuri de joacă pentru copii</c:v>
                </c:pt>
                <c:pt idx="10">
                  <c:v>Parcuri și grădini publice</c:v>
                </c:pt>
                <c:pt idx="11">
                  <c:v>Zone de agrement și picnic</c:v>
                </c:pt>
              </c:strCache>
            </c:strRef>
          </c:cat>
          <c:val>
            <c:numRef>
              <c:f>'[ACTUALIZAREA STRATEGIEI DE DEZVOLTARE LOCALĂ INTEGRATĂ ŞI DURABILĂ A SECTORULUI 2  PENTRU PERIOADA 2016 - 2025. Chestionar dedicat locuitorilor Sectorului 2..xlsx]Question 30'!$G$40:$G$51</c:f>
              <c:numCache>
                <c:formatCode>0.0%</c:formatCode>
                <c:ptCount val="12"/>
                <c:pt idx="0">
                  <c:v>0.13250000000000001</c:v>
                </c:pt>
                <c:pt idx="1">
                  <c:v>0.18729999999999999</c:v>
                </c:pt>
                <c:pt idx="2">
                  <c:v>0.15190000000000001</c:v>
                </c:pt>
                <c:pt idx="3">
                  <c:v>0.1943</c:v>
                </c:pt>
                <c:pt idx="4">
                  <c:v>0.1855</c:v>
                </c:pt>
                <c:pt idx="5">
                  <c:v>0.23139999999999999</c:v>
                </c:pt>
                <c:pt idx="6">
                  <c:v>0.1484</c:v>
                </c:pt>
                <c:pt idx="7">
                  <c:v>0.14660000000000001</c:v>
                </c:pt>
                <c:pt idx="8">
                  <c:v>0.20669999999999999</c:v>
                </c:pt>
                <c:pt idx="9">
                  <c:v>9.1899999999999996E-2</c:v>
                </c:pt>
                <c:pt idx="10">
                  <c:v>3.5299999999999998E-2</c:v>
                </c:pt>
                <c:pt idx="11">
                  <c:v>0.2155</c:v>
                </c:pt>
              </c:numCache>
            </c:numRef>
          </c:val>
          <c:extLst>
            <c:ext xmlns:c16="http://schemas.microsoft.com/office/drawing/2014/chart" uri="{C3380CC4-5D6E-409C-BE32-E72D297353CC}">
              <c16:uniqueId val="{00000005-A024-4A6A-822B-DA58C43B971A}"/>
            </c:ext>
          </c:extLst>
        </c:ser>
        <c:dLbls>
          <c:dLblPos val="ctr"/>
          <c:showLegendKey val="0"/>
          <c:showVal val="1"/>
          <c:showCatName val="0"/>
          <c:showSerName val="0"/>
          <c:showPercent val="0"/>
          <c:showBubbleSize val="0"/>
        </c:dLbls>
        <c:gapWidth val="40"/>
        <c:overlap val="100"/>
        <c:axId val="235123712"/>
        <c:axId val="214329600"/>
      </c:barChart>
      <c:catAx>
        <c:axId val="235123712"/>
        <c:scaling>
          <c:orientation val="minMax"/>
        </c:scaling>
        <c:delete val="0"/>
        <c:axPos val="l"/>
        <c:numFmt formatCode="General" sourceLinked="0"/>
        <c:majorTickMark val="none"/>
        <c:minorTickMark val="none"/>
        <c:tickLblPos val="nextTo"/>
        <c:crossAx val="214329600"/>
        <c:crosses val="autoZero"/>
        <c:auto val="1"/>
        <c:lblAlgn val="ctr"/>
        <c:lblOffset val="100"/>
        <c:noMultiLvlLbl val="0"/>
      </c:catAx>
      <c:valAx>
        <c:axId val="214329600"/>
        <c:scaling>
          <c:orientation val="minMax"/>
        </c:scaling>
        <c:delete val="1"/>
        <c:axPos val="b"/>
        <c:numFmt formatCode="0%" sourceLinked="1"/>
        <c:majorTickMark val="out"/>
        <c:minorTickMark val="none"/>
        <c:tickLblPos val="nextTo"/>
        <c:crossAx val="23512371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1"/>
              <c:spPr/>
              <c:txPr>
                <a:bodyPr/>
                <a:lstStyle/>
                <a:p>
                  <a:pPr>
                    <a:defRPr>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0-3E78-49CF-8F0E-E7755510F2DE}"/>
                </c:ext>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'Question 32'!$A$4:$A$8</c:f>
              <c:strCache>
                <c:ptCount val="5"/>
                <c:pt idx="0">
                  <c:v>Foarte activă</c:v>
                </c:pt>
                <c:pt idx="1">
                  <c:v>Activă</c:v>
                </c:pt>
                <c:pt idx="2">
                  <c:v>Moderată</c:v>
                </c:pt>
                <c:pt idx="3">
                  <c:v>Puțin activă</c:v>
                </c:pt>
                <c:pt idx="4">
                  <c:v>Foarte puțin activă</c:v>
                </c:pt>
              </c:strCache>
            </c:strRef>
          </c:cat>
          <c:val>
            <c:numRef>
              <c:f>'Question 32'!$B$4:$B$8</c:f>
              <c:numCache>
                <c:formatCode>0.0%</c:formatCode>
                <c:ptCount val="5"/>
                <c:pt idx="0">
                  <c:v>1.24E-2</c:v>
                </c:pt>
                <c:pt idx="1">
                  <c:v>6.7099999999999993E-2</c:v>
                </c:pt>
                <c:pt idx="2">
                  <c:v>0.41520000000000001</c:v>
                </c:pt>
                <c:pt idx="3">
                  <c:v>0.33389999999999997</c:v>
                </c:pt>
                <c:pt idx="4">
                  <c:v>0.1714</c:v>
                </c:pt>
              </c:numCache>
            </c:numRef>
          </c:val>
          <c:extLst>
            <c:ext xmlns:c16="http://schemas.microsoft.com/office/drawing/2014/chart" uri="{C3380CC4-5D6E-409C-BE32-E72D297353CC}">
              <c16:uniqueId val="{00000001-3E78-49CF-8F0E-E7755510F2DE}"/>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'Question 33'!$A$4:$A$8</c:f>
              <c:strCache>
                <c:ptCount val="5"/>
                <c:pt idx="0">
                  <c:v>Foarte activă</c:v>
                </c:pt>
                <c:pt idx="1">
                  <c:v>Activă</c:v>
                </c:pt>
                <c:pt idx="2">
                  <c:v>Moderată</c:v>
                </c:pt>
                <c:pt idx="3">
                  <c:v>Puțin activă</c:v>
                </c:pt>
                <c:pt idx="4">
                  <c:v>Foarte puțin activă</c:v>
                </c:pt>
              </c:strCache>
            </c:strRef>
          </c:cat>
          <c:val>
            <c:numRef>
              <c:f>'Question 33'!$B$4:$B$8</c:f>
              <c:numCache>
                <c:formatCode>0.0%</c:formatCode>
                <c:ptCount val="5"/>
                <c:pt idx="0">
                  <c:v>1.77E-2</c:v>
                </c:pt>
                <c:pt idx="1">
                  <c:v>0.129</c:v>
                </c:pt>
                <c:pt idx="2">
                  <c:v>0.371</c:v>
                </c:pt>
                <c:pt idx="3">
                  <c:v>0.3286</c:v>
                </c:pt>
                <c:pt idx="4">
                  <c:v>0.1537</c:v>
                </c:pt>
              </c:numCache>
            </c:numRef>
          </c:val>
          <c:extLst>
            <c:ext xmlns:c16="http://schemas.microsoft.com/office/drawing/2014/chart" uri="{C3380CC4-5D6E-409C-BE32-E72D297353CC}">
              <c16:uniqueId val="{00000000-5495-45FC-BEE6-13B47E872B82}"/>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Reversed" id="23">
  <a:schemeClr val="accent3"/>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6">
  <a:schemeClr val="accent3"/>
</cs:colorStyle>
</file>

<file path=word/charts/colors14.xml><?xml version="1.0" encoding="utf-8"?>
<cs:colorStyle xmlns:cs="http://schemas.microsoft.com/office/drawing/2012/chartStyle" xmlns:a="http://schemas.openxmlformats.org/drawingml/2006/main" meth="withinLinear" id="16">
  <a:schemeClr val="accent3"/>
</cs:colorStyle>
</file>

<file path=word/charts/colors15.xml><?xml version="1.0" encoding="utf-8"?>
<cs:colorStyle xmlns:cs="http://schemas.microsoft.com/office/drawing/2012/chartStyle" xmlns:a="http://schemas.openxmlformats.org/drawingml/2006/main" meth="withinLinear" id="16">
  <a:schemeClr val="accent3"/>
</cs:colorStyle>
</file>

<file path=word/charts/colors16.xml><?xml version="1.0" encoding="utf-8"?>
<cs:colorStyle xmlns:cs="http://schemas.microsoft.com/office/drawing/2012/chartStyle" xmlns:a="http://schemas.openxmlformats.org/drawingml/2006/main" meth="withinLinear" id="16">
  <a:schemeClr val="accent3"/>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withinLinear" id="16">
  <a:schemeClr val="accent3"/>
</cs:colorStyle>
</file>

<file path=word/charts/colors19.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withinLinear" id="16">
  <a:schemeClr val="accent3"/>
</cs:colorStyle>
</file>

<file path=word/charts/colors3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withinLinear" id="16">
  <a:schemeClr val="accent3"/>
</cs:colorStyle>
</file>

<file path=word/charts/colors3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1.xml.rels><?xml version="1.0" encoding="UTF-8" standalone="yes"?>
<Relationships xmlns="http://schemas.openxmlformats.org/package/2006/relationships"><Relationship Id="rId8" Type="http://schemas.openxmlformats.org/officeDocument/2006/relationships/image" Target="../media/image92.png"/><Relationship Id="rId3" Type="http://schemas.openxmlformats.org/officeDocument/2006/relationships/image" Target="../media/image87.png"/><Relationship Id="rId7" Type="http://schemas.openxmlformats.org/officeDocument/2006/relationships/image" Target="../media/image91.png"/><Relationship Id="rId12" Type="http://schemas.openxmlformats.org/officeDocument/2006/relationships/image" Target="../media/image96.png"/><Relationship Id="rId2" Type="http://schemas.openxmlformats.org/officeDocument/2006/relationships/image" Target="../media/image86.png"/><Relationship Id="rId1" Type="http://schemas.openxmlformats.org/officeDocument/2006/relationships/image" Target="../media/image85.png"/><Relationship Id="rId6" Type="http://schemas.openxmlformats.org/officeDocument/2006/relationships/image" Target="../media/image90.png"/><Relationship Id="rId11" Type="http://schemas.openxmlformats.org/officeDocument/2006/relationships/image" Target="../media/image95.png"/><Relationship Id="rId5" Type="http://schemas.openxmlformats.org/officeDocument/2006/relationships/image" Target="../media/image89.png"/><Relationship Id="rId10" Type="http://schemas.openxmlformats.org/officeDocument/2006/relationships/image" Target="../media/image94.png"/><Relationship Id="rId4" Type="http://schemas.openxmlformats.org/officeDocument/2006/relationships/image" Target="../media/image88.png"/><Relationship Id="rId9" Type="http://schemas.openxmlformats.org/officeDocument/2006/relationships/image" Target="../media/image93.png"/></Relationships>
</file>

<file path=word/diagrams/_rels/data3.xml.rels><?xml version="1.0" encoding="UTF-8" standalone="yes"?>
<Relationships xmlns="http://schemas.openxmlformats.org/package/2006/relationships"><Relationship Id="rId8" Type="http://schemas.openxmlformats.org/officeDocument/2006/relationships/image" Target="../media/image14.svg"/><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8.svg"/><Relationship Id="rId1" Type="http://schemas.openxmlformats.org/officeDocument/2006/relationships/image" Target="../media/image7.png"/><Relationship Id="rId6" Type="http://schemas.openxmlformats.org/officeDocument/2006/relationships/image" Target="../media/image12.svg"/><Relationship Id="rId5" Type="http://schemas.openxmlformats.org/officeDocument/2006/relationships/image" Target="../media/image11.png"/><Relationship Id="rId4" Type="http://schemas.openxmlformats.org/officeDocument/2006/relationships/image" Target="../media/image10.svg"/></Relationships>
</file>

<file path=word/diagrams/_rels/drawing11.xml.rels><?xml version="1.0" encoding="UTF-8" standalone="yes"?>
<Relationships xmlns="http://schemas.openxmlformats.org/package/2006/relationships"><Relationship Id="rId8" Type="http://schemas.openxmlformats.org/officeDocument/2006/relationships/image" Target="../media/image92.png"/><Relationship Id="rId3" Type="http://schemas.openxmlformats.org/officeDocument/2006/relationships/image" Target="../media/image87.png"/><Relationship Id="rId7" Type="http://schemas.openxmlformats.org/officeDocument/2006/relationships/image" Target="../media/image91.png"/><Relationship Id="rId12" Type="http://schemas.openxmlformats.org/officeDocument/2006/relationships/image" Target="../media/image96.png"/><Relationship Id="rId2" Type="http://schemas.openxmlformats.org/officeDocument/2006/relationships/image" Target="../media/image86.png"/><Relationship Id="rId1" Type="http://schemas.openxmlformats.org/officeDocument/2006/relationships/image" Target="../media/image85.png"/><Relationship Id="rId6" Type="http://schemas.openxmlformats.org/officeDocument/2006/relationships/image" Target="../media/image90.png"/><Relationship Id="rId11" Type="http://schemas.openxmlformats.org/officeDocument/2006/relationships/image" Target="../media/image95.png"/><Relationship Id="rId5" Type="http://schemas.openxmlformats.org/officeDocument/2006/relationships/image" Target="../media/image89.png"/><Relationship Id="rId10" Type="http://schemas.openxmlformats.org/officeDocument/2006/relationships/image" Target="../media/image94.png"/><Relationship Id="rId4" Type="http://schemas.openxmlformats.org/officeDocument/2006/relationships/image" Target="../media/image88.png"/><Relationship Id="rId9" Type="http://schemas.openxmlformats.org/officeDocument/2006/relationships/image" Target="../media/image93.png"/></Relationships>
</file>

<file path=word/diagrams/_rels/drawing3.xml.rels><?xml version="1.0" encoding="UTF-8" standalone="yes"?>
<Relationships xmlns="http://schemas.openxmlformats.org/package/2006/relationships"><Relationship Id="rId8" Type="http://schemas.openxmlformats.org/officeDocument/2006/relationships/image" Target="../media/image14.svg"/><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8.svg"/><Relationship Id="rId1" Type="http://schemas.openxmlformats.org/officeDocument/2006/relationships/image" Target="../media/image7.png"/><Relationship Id="rId6" Type="http://schemas.openxmlformats.org/officeDocument/2006/relationships/image" Target="../media/image12.svg"/><Relationship Id="rId5" Type="http://schemas.openxmlformats.org/officeDocument/2006/relationships/image" Target="../media/image11.png"/><Relationship Id="rId4" Type="http://schemas.openxmlformats.org/officeDocument/2006/relationships/image" Target="../media/image10.sv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AF98764-FE17-41C9-9622-E2C46B1CC00A}" type="doc">
      <dgm:prSet loTypeId="urn:microsoft.com/office/officeart/2008/layout/AlternatingHexagons" loCatId="list" qsTypeId="urn:microsoft.com/office/officeart/2005/8/quickstyle/simple1" qsCatId="simple" csTypeId="urn:microsoft.com/office/officeart/2005/8/colors/colorful1" csCatId="colorful" phldr="1"/>
      <dgm:spPr/>
      <dgm:t>
        <a:bodyPr/>
        <a:lstStyle/>
        <a:p>
          <a:endParaRPr lang="en-GB"/>
        </a:p>
      </dgm:t>
    </dgm:pt>
    <dgm:pt modelId="{72B8823F-F0FE-48BB-89CC-A3938EFCD0F6}">
      <dgm:prSet phldrT="[Text]" custT="1"/>
      <dgm:spPr/>
      <dgm:t>
        <a:bodyPr/>
        <a:lstStyle/>
        <a:p>
          <a:r>
            <a:rPr lang="ro-RO" sz="900" b="1" dirty="0"/>
            <a:t>CONCENTRARE TERITORIALĂ</a:t>
          </a:r>
          <a:endParaRPr lang="en-GB" sz="900" b="1" dirty="0"/>
        </a:p>
      </dgm:t>
    </dgm:pt>
    <dgm:pt modelId="{D1D7216F-7995-4A57-819F-6F715FB31760}" type="parTrans" cxnId="{6E01703A-6919-4663-B2D5-BC4251D699E1}">
      <dgm:prSet/>
      <dgm:spPr/>
      <dgm:t>
        <a:bodyPr/>
        <a:lstStyle/>
        <a:p>
          <a:endParaRPr lang="en-GB" sz="900" b="1"/>
        </a:p>
      </dgm:t>
    </dgm:pt>
    <dgm:pt modelId="{8DD18B49-325C-4499-AA80-646F369F7CCF}" type="sibTrans" cxnId="{6E01703A-6919-4663-B2D5-BC4251D699E1}">
      <dgm:prSet custT="1"/>
      <dgm:spPr/>
      <dgm:t>
        <a:bodyPr/>
        <a:lstStyle/>
        <a:p>
          <a:r>
            <a:rPr lang="ro-RO" sz="900" b="1" dirty="0"/>
            <a:t>DIMENSIUNEA STRATEGICĂ</a:t>
          </a:r>
          <a:endParaRPr lang="en-GB" sz="900" b="1" dirty="0"/>
        </a:p>
      </dgm:t>
    </dgm:pt>
    <dgm:pt modelId="{0E1E5022-4C81-4FE4-A99D-327D70E16B3E}">
      <dgm:prSet phldrT="[Text]" custT="1"/>
      <dgm:spPr/>
      <dgm:t>
        <a:bodyPr/>
        <a:lstStyle/>
        <a:p>
          <a:r>
            <a:rPr lang="ro-RO" sz="900" b="1" dirty="0"/>
            <a:t>GUVERNANȚĂ</a:t>
          </a:r>
          <a:endParaRPr lang="en-GB" sz="900" b="1" dirty="0"/>
        </a:p>
      </dgm:t>
    </dgm:pt>
    <dgm:pt modelId="{2F0F557C-A223-4F6D-A46A-DAE95B6A7117}" type="parTrans" cxnId="{FC3CD3DC-D356-4B03-8441-A32403110138}">
      <dgm:prSet/>
      <dgm:spPr/>
      <dgm:t>
        <a:bodyPr/>
        <a:lstStyle/>
        <a:p>
          <a:endParaRPr lang="en-GB" sz="900" b="1"/>
        </a:p>
      </dgm:t>
    </dgm:pt>
    <dgm:pt modelId="{9E3B99F7-C9A2-42FC-9E35-40100D7E865C}" type="sibTrans" cxnId="{FC3CD3DC-D356-4B03-8441-A32403110138}">
      <dgm:prSet custT="1"/>
      <dgm:spPr/>
      <dgm:t>
        <a:bodyPr/>
        <a:lstStyle/>
        <a:p>
          <a:r>
            <a:rPr lang="ro-RO" sz="900" b="1" dirty="0"/>
            <a:t>INTEGRARE TEMATICĂ/ INTER-SECTORIALĂ</a:t>
          </a:r>
          <a:endParaRPr lang="en-GB" sz="900" b="1" dirty="0"/>
        </a:p>
      </dgm:t>
    </dgm:pt>
    <dgm:pt modelId="{81D349F6-9BF6-44E4-A348-DD8B58D1DAB0}">
      <dgm:prSet phldrT="[Text]" custT="1"/>
      <dgm:spPr/>
      <dgm:t>
        <a:bodyPr/>
        <a:lstStyle/>
        <a:p>
          <a:r>
            <a:rPr lang="ro-RO" sz="900" b="1" dirty="0"/>
            <a:t>MONITORIZARE</a:t>
          </a:r>
          <a:endParaRPr lang="en-GB" sz="900" b="1" dirty="0"/>
        </a:p>
      </dgm:t>
    </dgm:pt>
    <dgm:pt modelId="{0AB4E595-135F-477F-B8C6-636E1B142FD1}" type="parTrans" cxnId="{C95E32C8-C22F-4877-AEF0-B7E8F0D14E1C}">
      <dgm:prSet/>
      <dgm:spPr/>
      <dgm:t>
        <a:bodyPr/>
        <a:lstStyle/>
        <a:p>
          <a:endParaRPr lang="en-GB" sz="900" b="1"/>
        </a:p>
      </dgm:t>
    </dgm:pt>
    <dgm:pt modelId="{78CED82C-BF9B-49CA-A3DC-DC5E724CC86C}" type="sibTrans" cxnId="{C95E32C8-C22F-4877-AEF0-B7E8F0D14E1C}">
      <dgm:prSet custT="1"/>
      <dgm:spPr/>
      <dgm:t>
        <a:bodyPr/>
        <a:lstStyle/>
        <a:p>
          <a:r>
            <a:rPr lang="ro-RO" sz="900" b="1" dirty="0"/>
            <a:t>FINANȚARE</a:t>
          </a:r>
          <a:endParaRPr lang="en-GB" sz="900" b="1" dirty="0"/>
        </a:p>
      </dgm:t>
    </dgm:pt>
    <dgm:pt modelId="{F4E62D0A-5370-40AD-980B-DEFD2969CF44}" type="pres">
      <dgm:prSet presAssocID="{DAF98764-FE17-41C9-9622-E2C46B1CC00A}" presName="Name0" presStyleCnt="0">
        <dgm:presLayoutVars>
          <dgm:chMax/>
          <dgm:chPref/>
          <dgm:dir/>
          <dgm:animLvl val="lvl"/>
        </dgm:presLayoutVars>
      </dgm:prSet>
      <dgm:spPr/>
    </dgm:pt>
    <dgm:pt modelId="{EB0DFC67-15EF-45B9-9867-28D81BCE21E3}" type="pres">
      <dgm:prSet presAssocID="{72B8823F-F0FE-48BB-89CC-A3938EFCD0F6}" presName="composite" presStyleCnt="0"/>
      <dgm:spPr/>
    </dgm:pt>
    <dgm:pt modelId="{C8E97CA7-B872-4750-9ECD-259067E0E40F}" type="pres">
      <dgm:prSet presAssocID="{72B8823F-F0FE-48BB-89CC-A3938EFCD0F6}" presName="Parent1" presStyleLbl="node1" presStyleIdx="0" presStyleCnt="6">
        <dgm:presLayoutVars>
          <dgm:chMax val="1"/>
          <dgm:chPref val="1"/>
          <dgm:bulletEnabled val="1"/>
        </dgm:presLayoutVars>
      </dgm:prSet>
      <dgm:spPr/>
    </dgm:pt>
    <dgm:pt modelId="{73EAEFB4-8F09-4BC3-A6DE-DC1AAD6AC7E2}" type="pres">
      <dgm:prSet presAssocID="{72B8823F-F0FE-48BB-89CC-A3938EFCD0F6}" presName="Childtext1" presStyleLbl="revTx" presStyleIdx="0" presStyleCnt="3">
        <dgm:presLayoutVars>
          <dgm:chMax val="0"/>
          <dgm:chPref val="0"/>
          <dgm:bulletEnabled val="1"/>
        </dgm:presLayoutVars>
      </dgm:prSet>
      <dgm:spPr/>
    </dgm:pt>
    <dgm:pt modelId="{F30EEDD2-12FB-439B-9895-8E14B93F92D0}" type="pres">
      <dgm:prSet presAssocID="{72B8823F-F0FE-48BB-89CC-A3938EFCD0F6}" presName="BalanceSpacing" presStyleCnt="0"/>
      <dgm:spPr/>
    </dgm:pt>
    <dgm:pt modelId="{456B800B-785C-4EE7-AEE6-6FA5B1DE9F54}" type="pres">
      <dgm:prSet presAssocID="{72B8823F-F0FE-48BB-89CC-A3938EFCD0F6}" presName="BalanceSpacing1" presStyleCnt="0"/>
      <dgm:spPr/>
    </dgm:pt>
    <dgm:pt modelId="{241C5470-4CE2-40D4-BC7D-D0149BAB1104}" type="pres">
      <dgm:prSet presAssocID="{8DD18B49-325C-4499-AA80-646F369F7CCF}" presName="Accent1Text" presStyleLbl="node1" presStyleIdx="1" presStyleCnt="6" custLinFactNeighborY="0"/>
      <dgm:spPr/>
    </dgm:pt>
    <dgm:pt modelId="{42B65FAD-644F-4F2C-B3D3-D73705E4EA9B}" type="pres">
      <dgm:prSet presAssocID="{8DD18B49-325C-4499-AA80-646F369F7CCF}" presName="spaceBetweenRectangles" presStyleCnt="0"/>
      <dgm:spPr/>
    </dgm:pt>
    <dgm:pt modelId="{0810511B-2F9A-4EC0-BC23-DAD4FB49969D}" type="pres">
      <dgm:prSet presAssocID="{0E1E5022-4C81-4FE4-A99D-327D70E16B3E}" presName="composite" presStyleCnt="0"/>
      <dgm:spPr/>
    </dgm:pt>
    <dgm:pt modelId="{B2BD2FCE-C41C-4589-A1D2-6B6B54B112E6}" type="pres">
      <dgm:prSet presAssocID="{0E1E5022-4C81-4FE4-A99D-327D70E16B3E}" presName="Parent1" presStyleLbl="node1" presStyleIdx="2" presStyleCnt="6">
        <dgm:presLayoutVars>
          <dgm:chMax val="1"/>
          <dgm:chPref val="1"/>
          <dgm:bulletEnabled val="1"/>
        </dgm:presLayoutVars>
      </dgm:prSet>
      <dgm:spPr/>
    </dgm:pt>
    <dgm:pt modelId="{879273AB-ECC4-486E-BB32-D391325009F2}" type="pres">
      <dgm:prSet presAssocID="{0E1E5022-4C81-4FE4-A99D-327D70E16B3E}" presName="Childtext1" presStyleLbl="revTx" presStyleIdx="1" presStyleCnt="3">
        <dgm:presLayoutVars>
          <dgm:chMax val="0"/>
          <dgm:chPref val="0"/>
          <dgm:bulletEnabled val="1"/>
        </dgm:presLayoutVars>
      </dgm:prSet>
      <dgm:spPr/>
    </dgm:pt>
    <dgm:pt modelId="{22B5DE9C-1EA1-4C55-AB3E-78A80878DAD8}" type="pres">
      <dgm:prSet presAssocID="{0E1E5022-4C81-4FE4-A99D-327D70E16B3E}" presName="BalanceSpacing" presStyleCnt="0"/>
      <dgm:spPr/>
    </dgm:pt>
    <dgm:pt modelId="{D3B22804-4245-4278-98CD-5172076EC90E}" type="pres">
      <dgm:prSet presAssocID="{0E1E5022-4C81-4FE4-A99D-327D70E16B3E}" presName="BalanceSpacing1" presStyleCnt="0"/>
      <dgm:spPr/>
    </dgm:pt>
    <dgm:pt modelId="{EEC658B8-634A-44C6-A8CE-B3BC243A8D59}" type="pres">
      <dgm:prSet presAssocID="{9E3B99F7-C9A2-42FC-9E35-40100D7E865C}" presName="Accent1Text" presStyleLbl="node1" presStyleIdx="3" presStyleCnt="6" custLinFactNeighborY="0"/>
      <dgm:spPr/>
    </dgm:pt>
    <dgm:pt modelId="{247E5AEB-FEBF-4247-BEC0-74BD82EC1562}" type="pres">
      <dgm:prSet presAssocID="{9E3B99F7-C9A2-42FC-9E35-40100D7E865C}" presName="spaceBetweenRectangles" presStyleCnt="0"/>
      <dgm:spPr/>
    </dgm:pt>
    <dgm:pt modelId="{21C15B45-A39F-41A2-BE45-32687BD9F781}" type="pres">
      <dgm:prSet presAssocID="{81D349F6-9BF6-44E4-A348-DD8B58D1DAB0}" presName="composite" presStyleCnt="0"/>
      <dgm:spPr/>
    </dgm:pt>
    <dgm:pt modelId="{E0CF5011-AE35-4B18-B29A-4DADC50C0E8E}" type="pres">
      <dgm:prSet presAssocID="{81D349F6-9BF6-44E4-A348-DD8B58D1DAB0}" presName="Parent1" presStyleLbl="node1" presStyleIdx="4" presStyleCnt="6">
        <dgm:presLayoutVars>
          <dgm:chMax val="1"/>
          <dgm:chPref val="1"/>
          <dgm:bulletEnabled val="1"/>
        </dgm:presLayoutVars>
      </dgm:prSet>
      <dgm:spPr/>
    </dgm:pt>
    <dgm:pt modelId="{01D91281-D9EA-4AF3-9FB5-5C6B80FBE2F5}" type="pres">
      <dgm:prSet presAssocID="{81D349F6-9BF6-44E4-A348-DD8B58D1DAB0}" presName="Childtext1" presStyleLbl="revTx" presStyleIdx="2" presStyleCnt="3">
        <dgm:presLayoutVars>
          <dgm:chMax val="0"/>
          <dgm:chPref val="0"/>
          <dgm:bulletEnabled val="1"/>
        </dgm:presLayoutVars>
      </dgm:prSet>
      <dgm:spPr/>
    </dgm:pt>
    <dgm:pt modelId="{A87BE069-5A3C-457A-B2E4-87F533BCB863}" type="pres">
      <dgm:prSet presAssocID="{81D349F6-9BF6-44E4-A348-DD8B58D1DAB0}" presName="BalanceSpacing" presStyleCnt="0"/>
      <dgm:spPr/>
    </dgm:pt>
    <dgm:pt modelId="{5B4DFF6C-44FB-48DE-B006-026A9A890D96}" type="pres">
      <dgm:prSet presAssocID="{81D349F6-9BF6-44E4-A348-DD8B58D1DAB0}" presName="BalanceSpacing1" presStyleCnt="0"/>
      <dgm:spPr/>
    </dgm:pt>
    <dgm:pt modelId="{C1204FCD-64BB-4ABA-A9BC-00D7C38AF5C4}" type="pres">
      <dgm:prSet presAssocID="{78CED82C-BF9B-49CA-A3DC-DC5E724CC86C}" presName="Accent1Text" presStyleLbl="node1" presStyleIdx="5" presStyleCnt="6" custLinFactNeighborY="0"/>
      <dgm:spPr/>
    </dgm:pt>
  </dgm:ptLst>
  <dgm:cxnLst>
    <dgm:cxn modelId="{6E01703A-6919-4663-B2D5-BC4251D699E1}" srcId="{DAF98764-FE17-41C9-9622-E2C46B1CC00A}" destId="{72B8823F-F0FE-48BB-89CC-A3938EFCD0F6}" srcOrd="0" destOrd="0" parTransId="{D1D7216F-7995-4A57-819F-6F715FB31760}" sibTransId="{8DD18B49-325C-4499-AA80-646F369F7CCF}"/>
    <dgm:cxn modelId="{CFFE3D3E-71FF-4253-9EEA-61266F82F2BA}" type="presOf" srcId="{72B8823F-F0FE-48BB-89CC-A3938EFCD0F6}" destId="{C8E97CA7-B872-4750-9ECD-259067E0E40F}" srcOrd="0" destOrd="0" presId="urn:microsoft.com/office/officeart/2008/layout/AlternatingHexagons"/>
    <dgm:cxn modelId="{536EBA42-8265-4D62-A139-54A484E866AF}" type="presOf" srcId="{78CED82C-BF9B-49CA-A3DC-DC5E724CC86C}" destId="{C1204FCD-64BB-4ABA-A9BC-00D7C38AF5C4}" srcOrd="0" destOrd="0" presId="urn:microsoft.com/office/officeart/2008/layout/AlternatingHexagons"/>
    <dgm:cxn modelId="{0953DB50-03D7-435C-8A47-E59C0BEAF3D4}" type="presOf" srcId="{8DD18B49-325C-4499-AA80-646F369F7CCF}" destId="{241C5470-4CE2-40D4-BC7D-D0149BAB1104}" srcOrd="0" destOrd="0" presId="urn:microsoft.com/office/officeart/2008/layout/AlternatingHexagons"/>
    <dgm:cxn modelId="{3B204E78-6954-4AB2-874B-CF42F2910214}" type="presOf" srcId="{81D349F6-9BF6-44E4-A348-DD8B58D1DAB0}" destId="{E0CF5011-AE35-4B18-B29A-4DADC50C0E8E}" srcOrd="0" destOrd="0" presId="urn:microsoft.com/office/officeart/2008/layout/AlternatingHexagons"/>
    <dgm:cxn modelId="{C95E32C8-C22F-4877-AEF0-B7E8F0D14E1C}" srcId="{DAF98764-FE17-41C9-9622-E2C46B1CC00A}" destId="{81D349F6-9BF6-44E4-A348-DD8B58D1DAB0}" srcOrd="2" destOrd="0" parTransId="{0AB4E595-135F-477F-B8C6-636E1B142FD1}" sibTransId="{78CED82C-BF9B-49CA-A3DC-DC5E724CC86C}"/>
    <dgm:cxn modelId="{5A8250C9-8B77-4314-BF1B-22C9477C8913}" type="presOf" srcId="{9E3B99F7-C9A2-42FC-9E35-40100D7E865C}" destId="{EEC658B8-634A-44C6-A8CE-B3BC243A8D59}" srcOrd="0" destOrd="0" presId="urn:microsoft.com/office/officeart/2008/layout/AlternatingHexagons"/>
    <dgm:cxn modelId="{FC3CD3DC-D356-4B03-8441-A32403110138}" srcId="{DAF98764-FE17-41C9-9622-E2C46B1CC00A}" destId="{0E1E5022-4C81-4FE4-A99D-327D70E16B3E}" srcOrd="1" destOrd="0" parTransId="{2F0F557C-A223-4F6D-A46A-DAE95B6A7117}" sibTransId="{9E3B99F7-C9A2-42FC-9E35-40100D7E865C}"/>
    <dgm:cxn modelId="{DF5437E2-3EAB-4856-8D55-AD7F3156871F}" type="presOf" srcId="{DAF98764-FE17-41C9-9622-E2C46B1CC00A}" destId="{F4E62D0A-5370-40AD-980B-DEFD2969CF44}" srcOrd="0" destOrd="0" presId="urn:microsoft.com/office/officeart/2008/layout/AlternatingHexagons"/>
    <dgm:cxn modelId="{67464EF0-8E1A-4CA7-8776-FA88D3EE1C42}" type="presOf" srcId="{0E1E5022-4C81-4FE4-A99D-327D70E16B3E}" destId="{B2BD2FCE-C41C-4589-A1D2-6B6B54B112E6}" srcOrd="0" destOrd="0" presId="urn:microsoft.com/office/officeart/2008/layout/AlternatingHexagons"/>
    <dgm:cxn modelId="{5323FEFD-50C9-40E7-AD92-A45C311BC185}" type="presParOf" srcId="{F4E62D0A-5370-40AD-980B-DEFD2969CF44}" destId="{EB0DFC67-15EF-45B9-9867-28D81BCE21E3}" srcOrd="0" destOrd="0" presId="urn:microsoft.com/office/officeart/2008/layout/AlternatingHexagons"/>
    <dgm:cxn modelId="{16CB4DB5-9632-4509-947E-14F36BEC4C35}" type="presParOf" srcId="{EB0DFC67-15EF-45B9-9867-28D81BCE21E3}" destId="{C8E97CA7-B872-4750-9ECD-259067E0E40F}" srcOrd="0" destOrd="0" presId="urn:microsoft.com/office/officeart/2008/layout/AlternatingHexagons"/>
    <dgm:cxn modelId="{DB443737-5268-47EF-BF76-8F9B8A2F4E9A}" type="presParOf" srcId="{EB0DFC67-15EF-45B9-9867-28D81BCE21E3}" destId="{73EAEFB4-8F09-4BC3-A6DE-DC1AAD6AC7E2}" srcOrd="1" destOrd="0" presId="urn:microsoft.com/office/officeart/2008/layout/AlternatingHexagons"/>
    <dgm:cxn modelId="{D67052CF-B97B-417F-BBD0-B8D6B93167DE}" type="presParOf" srcId="{EB0DFC67-15EF-45B9-9867-28D81BCE21E3}" destId="{F30EEDD2-12FB-439B-9895-8E14B93F92D0}" srcOrd="2" destOrd="0" presId="urn:microsoft.com/office/officeart/2008/layout/AlternatingHexagons"/>
    <dgm:cxn modelId="{F0196F5D-0917-4EBC-B8A9-528475F67C99}" type="presParOf" srcId="{EB0DFC67-15EF-45B9-9867-28D81BCE21E3}" destId="{456B800B-785C-4EE7-AEE6-6FA5B1DE9F54}" srcOrd="3" destOrd="0" presId="urn:microsoft.com/office/officeart/2008/layout/AlternatingHexagons"/>
    <dgm:cxn modelId="{82324304-39BF-4F23-9568-5D02EF979432}" type="presParOf" srcId="{EB0DFC67-15EF-45B9-9867-28D81BCE21E3}" destId="{241C5470-4CE2-40D4-BC7D-D0149BAB1104}" srcOrd="4" destOrd="0" presId="urn:microsoft.com/office/officeart/2008/layout/AlternatingHexagons"/>
    <dgm:cxn modelId="{8DA61D3E-99DC-4B1B-A36F-286656D4E819}" type="presParOf" srcId="{F4E62D0A-5370-40AD-980B-DEFD2969CF44}" destId="{42B65FAD-644F-4F2C-B3D3-D73705E4EA9B}" srcOrd="1" destOrd="0" presId="urn:microsoft.com/office/officeart/2008/layout/AlternatingHexagons"/>
    <dgm:cxn modelId="{202FF1E0-B3E5-49B9-8E06-0C721B0CF516}" type="presParOf" srcId="{F4E62D0A-5370-40AD-980B-DEFD2969CF44}" destId="{0810511B-2F9A-4EC0-BC23-DAD4FB49969D}" srcOrd="2" destOrd="0" presId="urn:microsoft.com/office/officeart/2008/layout/AlternatingHexagons"/>
    <dgm:cxn modelId="{9D4ACC9B-F298-43D9-ACCD-C0FCA58AAC01}" type="presParOf" srcId="{0810511B-2F9A-4EC0-BC23-DAD4FB49969D}" destId="{B2BD2FCE-C41C-4589-A1D2-6B6B54B112E6}" srcOrd="0" destOrd="0" presId="urn:microsoft.com/office/officeart/2008/layout/AlternatingHexagons"/>
    <dgm:cxn modelId="{EE745FBE-F8D5-4013-8EC9-F241E485AF88}" type="presParOf" srcId="{0810511B-2F9A-4EC0-BC23-DAD4FB49969D}" destId="{879273AB-ECC4-486E-BB32-D391325009F2}" srcOrd="1" destOrd="0" presId="urn:microsoft.com/office/officeart/2008/layout/AlternatingHexagons"/>
    <dgm:cxn modelId="{D3DABC27-EF2B-49F4-9A95-412D9C64D5FE}" type="presParOf" srcId="{0810511B-2F9A-4EC0-BC23-DAD4FB49969D}" destId="{22B5DE9C-1EA1-4C55-AB3E-78A80878DAD8}" srcOrd="2" destOrd="0" presId="urn:microsoft.com/office/officeart/2008/layout/AlternatingHexagons"/>
    <dgm:cxn modelId="{E6A14360-91B9-4CDD-9BC9-33522D3A740D}" type="presParOf" srcId="{0810511B-2F9A-4EC0-BC23-DAD4FB49969D}" destId="{D3B22804-4245-4278-98CD-5172076EC90E}" srcOrd="3" destOrd="0" presId="urn:microsoft.com/office/officeart/2008/layout/AlternatingHexagons"/>
    <dgm:cxn modelId="{6E06D643-1740-49FA-B8B7-A46AEF364BEF}" type="presParOf" srcId="{0810511B-2F9A-4EC0-BC23-DAD4FB49969D}" destId="{EEC658B8-634A-44C6-A8CE-B3BC243A8D59}" srcOrd="4" destOrd="0" presId="urn:microsoft.com/office/officeart/2008/layout/AlternatingHexagons"/>
    <dgm:cxn modelId="{AA319921-B2F3-4015-B000-79ED751EA1F9}" type="presParOf" srcId="{F4E62D0A-5370-40AD-980B-DEFD2969CF44}" destId="{247E5AEB-FEBF-4247-BEC0-74BD82EC1562}" srcOrd="3" destOrd="0" presId="urn:microsoft.com/office/officeart/2008/layout/AlternatingHexagons"/>
    <dgm:cxn modelId="{FCE92699-74CE-4867-835D-A92374FDF928}" type="presParOf" srcId="{F4E62D0A-5370-40AD-980B-DEFD2969CF44}" destId="{21C15B45-A39F-41A2-BE45-32687BD9F781}" srcOrd="4" destOrd="0" presId="urn:microsoft.com/office/officeart/2008/layout/AlternatingHexagons"/>
    <dgm:cxn modelId="{9FAB045A-04C1-4DF1-B65B-D3F9A77F5388}" type="presParOf" srcId="{21C15B45-A39F-41A2-BE45-32687BD9F781}" destId="{E0CF5011-AE35-4B18-B29A-4DADC50C0E8E}" srcOrd="0" destOrd="0" presId="urn:microsoft.com/office/officeart/2008/layout/AlternatingHexagons"/>
    <dgm:cxn modelId="{A438FE70-BA32-43A3-BE49-3A5B5FE68A1A}" type="presParOf" srcId="{21C15B45-A39F-41A2-BE45-32687BD9F781}" destId="{01D91281-D9EA-4AF3-9FB5-5C6B80FBE2F5}" srcOrd="1" destOrd="0" presId="urn:microsoft.com/office/officeart/2008/layout/AlternatingHexagons"/>
    <dgm:cxn modelId="{0B892087-CC4A-444B-9EC5-19BF8150E212}" type="presParOf" srcId="{21C15B45-A39F-41A2-BE45-32687BD9F781}" destId="{A87BE069-5A3C-457A-B2E4-87F533BCB863}" srcOrd="2" destOrd="0" presId="urn:microsoft.com/office/officeart/2008/layout/AlternatingHexagons"/>
    <dgm:cxn modelId="{785A99A3-8052-4DD0-92E2-BA0D52D0B866}" type="presParOf" srcId="{21C15B45-A39F-41A2-BE45-32687BD9F781}" destId="{5B4DFF6C-44FB-48DE-B006-026A9A890D96}" srcOrd="3" destOrd="0" presId="urn:microsoft.com/office/officeart/2008/layout/AlternatingHexagons"/>
    <dgm:cxn modelId="{79745C1C-67AB-4BEC-8A53-EB0144C6B0D6}" type="presParOf" srcId="{21C15B45-A39F-41A2-BE45-32687BD9F781}" destId="{C1204FCD-64BB-4ABA-A9BC-00D7C38AF5C4}" srcOrd="4" destOrd="0" presId="urn:microsoft.com/office/officeart/2008/layout/AlternatingHexagons"/>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B651F10-F21C-46F9-866C-B246CD6E5A37}" type="doc">
      <dgm:prSet loTypeId="urn:microsoft.com/office/officeart/2005/8/layout/vList5" loCatId="list" qsTypeId="urn:microsoft.com/office/officeart/2005/8/quickstyle/simple1" qsCatId="simple" csTypeId="urn:microsoft.com/office/officeart/2005/8/colors/colorful2" csCatId="colorful" phldr="1"/>
      <dgm:spPr/>
      <dgm:t>
        <a:bodyPr/>
        <a:lstStyle/>
        <a:p>
          <a:endParaRPr lang="en-US"/>
        </a:p>
      </dgm:t>
    </dgm:pt>
    <dgm:pt modelId="{35A0BFE8-A7AC-4521-8616-ADF6AF7525BD}">
      <dgm:prSet phldrT="[Text]" custT="1"/>
      <dgm:spPr/>
      <dgm:t>
        <a:bodyPr/>
        <a:lstStyle/>
        <a:p>
          <a:r>
            <a:rPr lang="en-US" sz="1000" b="0" i="0" u="none">
              <a:latin typeface="Calibri" panose="020F0502020204030204" pitchFamily="34" charset="0"/>
            </a:rPr>
            <a:t>Servicii de îngrijire la domiciliu pentru persoanele vârstnice</a:t>
          </a:r>
          <a:r>
            <a:rPr lang="ro-RO" sz="1000">
              <a:latin typeface="Calibri" panose="020F0502020204030204" pitchFamily="34" charset="0"/>
            </a:rPr>
            <a:t> </a:t>
          </a:r>
          <a:endParaRPr lang="en-US" sz="1000">
            <a:latin typeface="Calibri" panose="020F0502020204030204" pitchFamily="34" charset="0"/>
          </a:endParaRPr>
        </a:p>
      </dgm:t>
    </dgm:pt>
    <dgm:pt modelId="{987921B4-BCB7-4DB9-8A5B-7C168BD96266}" type="parTrans" cxnId="{4AB167E8-6B5D-448A-8576-4F88C9C5A382}">
      <dgm:prSet/>
      <dgm:spPr/>
      <dgm:t>
        <a:bodyPr/>
        <a:lstStyle/>
        <a:p>
          <a:endParaRPr lang="en-US" sz="1000">
            <a:latin typeface="+mn-lt"/>
          </a:endParaRPr>
        </a:p>
      </dgm:t>
    </dgm:pt>
    <dgm:pt modelId="{36218AC4-8960-405E-9984-E2307AE0D401}" type="sibTrans" cxnId="{4AB167E8-6B5D-448A-8576-4F88C9C5A382}">
      <dgm:prSet/>
      <dgm:spPr/>
      <dgm:t>
        <a:bodyPr/>
        <a:lstStyle/>
        <a:p>
          <a:endParaRPr lang="en-US" sz="1000">
            <a:latin typeface="+mn-lt"/>
          </a:endParaRPr>
        </a:p>
      </dgm:t>
    </dgm:pt>
    <dgm:pt modelId="{4CF294FA-948D-4B7B-87F8-00F608C148C9}">
      <dgm:prSet phldrT="[Text]" custT="1"/>
      <dgm:spPr/>
      <dgm:t>
        <a:bodyPr/>
        <a:lstStyle/>
        <a:p>
          <a:r>
            <a:rPr lang="vi-VN" sz="1000" b="0" i="0" u="none">
              <a:latin typeface="Calibri" panose="020F0502020204030204" pitchFamily="34" charset="0"/>
            </a:rPr>
            <a:t>Servicii de suport (recuperare medicală, asistent personal, etc.) pentru copiii cu dizabilități</a:t>
          </a:r>
          <a:endParaRPr lang="en-US" sz="1000">
            <a:latin typeface="Calibri" panose="020F0502020204030204" pitchFamily="34" charset="0"/>
          </a:endParaRPr>
        </a:p>
      </dgm:t>
    </dgm:pt>
    <dgm:pt modelId="{7D443425-3BA7-42E7-9700-0FE31D8A9A9F}" type="parTrans" cxnId="{6972B3BB-39D2-4075-AA20-E00158375414}">
      <dgm:prSet/>
      <dgm:spPr/>
      <dgm:t>
        <a:bodyPr/>
        <a:lstStyle/>
        <a:p>
          <a:endParaRPr lang="en-US" sz="1000">
            <a:latin typeface="+mn-lt"/>
          </a:endParaRPr>
        </a:p>
      </dgm:t>
    </dgm:pt>
    <dgm:pt modelId="{509282DC-62EB-4E49-8F85-71A7E5D96812}" type="sibTrans" cxnId="{6972B3BB-39D2-4075-AA20-E00158375414}">
      <dgm:prSet/>
      <dgm:spPr/>
      <dgm:t>
        <a:bodyPr/>
        <a:lstStyle/>
        <a:p>
          <a:endParaRPr lang="en-US" sz="1000">
            <a:latin typeface="+mn-lt"/>
          </a:endParaRPr>
        </a:p>
      </dgm:t>
    </dgm:pt>
    <dgm:pt modelId="{D07BD804-60CC-4F70-8B1F-01121786FAEB}">
      <dgm:prSet custT="1"/>
      <dgm:spPr/>
      <dgm:t>
        <a:bodyPr/>
        <a:lstStyle/>
        <a:p>
          <a:r>
            <a:rPr lang="vi-VN" sz="1000" b="0" i="0" u="none">
              <a:latin typeface="Calibri" panose="020F0502020204030204" pitchFamily="34" charset="0"/>
            </a:rPr>
            <a:t>Servicii de suport (recuperare medicală, asistent personal, etc.) pentru persoanele adulte cu dizabilități</a:t>
          </a:r>
          <a:endParaRPr lang="en-US" sz="1000">
            <a:latin typeface="Calibri" panose="020F0502020204030204" pitchFamily="34" charset="0"/>
          </a:endParaRPr>
        </a:p>
      </dgm:t>
    </dgm:pt>
    <dgm:pt modelId="{2EF9A0B5-F53A-441E-A385-912BF11E0B35}" type="parTrans" cxnId="{56337F77-8DBD-45D8-A4B5-BC1B7C19609A}">
      <dgm:prSet/>
      <dgm:spPr/>
      <dgm:t>
        <a:bodyPr/>
        <a:lstStyle/>
        <a:p>
          <a:endParaRPr lang="en-US" sz="1000">
            <a:latin typeface="+mn-lt"/>
          </a:endParaRPr>
        </a:p>
      </dgm:t>
    </dgm:pt>
    <dgm:pt modelId="{9B5A2A3C-12E0-46EF-ABF4-813C1A1A4EFA}" type="sibTrans" cxnId="{56337F77-8DBD-45D8-A4B5-BC1B7C19609A}">
      <dgm:prSet/>
      <dgm:spPr/>
      <dgm:t>
        <a:bodyPr/>
        <a:lstStyle/>
        <a:p>
          <a:endParaRPr lang="en-US" sz="1000">
            <a:latin typeface="+mn-lt"/>
          </a:endParaRPr>
        </a:p>
      </dgm:t>
    </dgm:pt>
    <dgm:pt modelId="{AF15CA57-F5BD-43BD-B845-E507146D0AFD}">
      <dgm:prSet custT="1"/>
      <dgm:spPr/>
      <dgm:t>
        <a:bodyPr/>
        <a:lstStyle/>
        <a:p>
          <a:r>
            <a:rPr lang="en-US" sz="1000" b="0" i="0" u="none">
              <a:latin typeface="Calibri" panose="020F0502020204030204" pitchFamily="34" charset="0"/>
            </a:rPr>
            <a:t>Servicii de suport (consiliere, locuințe de necesitate, etc.) pentru victimele violenței domestice</a:t>
          </a:r>
          <a:endParaRPr lang="en-US" sz="1000">
            <a:latin typeface="Calibri" panose="020F0502020204030204" pitchFamily="34" charset="0"/>
          </a:endParaRPr>
        </a:p>
      </dgm:t>
    </dgm:pt>
    <dgm:pt modelId="{453BEC7E-1A5A-47B9-BA42-538720ED47A9}" type="parTrans" cxnId="{FE66468D-47B8-4F85-84F9-9359ED2D167C}">
      <dgm:prSet/>
      <dgm:spPr/>
      <dgm:t>
        <a:bodyPr/>
        <a:lstStyle/>
        <a:p>
          <a:endParaRPr lang="en-US" sz="1000">
            <a:latin typeface="+mn-lt"/>
          </a:endParaRPr>
        </a:p>
      </dgm:t>
    </dgm:pt>
    <dgm:pt modelId="{67AC3F0C-245B-47BD-AEF6-895DC4FEA210}" type="sibTrans" cxnId="{FE66468D-47B8-4F85-84F9-9359ED2D167C}">
      <dgm:prSet/>
      <dgm:spPr/>
      <dgm:t>
        <a:bodyPr/>
        <a:lstStyle/>
        <a:p>
          <a:endParaRPr lang="en-US" sz="1000">
            <a:latin typeface="+mn-lt"/>
          </a:endParaRPr>
        </a:p>
      </dgm:t>
    </dgm:pt>
    <dgm:pt modelId="{792C2459-8798-48F8-9E5E-C545164CDC7B}">
      <dgm:prSet custT="1"/>
      <dgm:spPr/>
      <dgm:t>
        <a:bodyPr/>
        <a:lstStyle/>
        <a:p>
          <a:r>
            <a:rPr lang="vi-VN" sz="1000" b="0" i="0" u="none">
              <a:latin typeface="Calibri" panose="020F0502020204030204" pitchFamily="34" charset="0"/>
            </a:rPr>
            <a:t>Măsuri de sprijin pentru educație incluzivă (afterschool, masă caldă, ajutoare pentru rechizite) dedicate copiilor ce provin din familii cu venituri reduse</a:t>
          </a:r>
          <a:endParaRPr lang="en-US" sz="1000">
            <a:latin typeface="Calibri" panose="020F0502020204030204" pitchFamily="34" charset="0"/>
          </a:endParaRPr>
        </a:p>
      </dgm:t>
    </dgm:pt>
    <dgm:pt modelId="{BD92E763-8377-4E84-AC59-2DB8E757830A}" type="parTrans" cxnId="{DAED1DF8-5446-4631-8F8D-0E32B2269AEB}">
      <dgm:prSet/>
      <dgm:spPr/>
      <dgm:t>
        <a:bodyPr/>
        <a:lstStyle/>
        <a:p>
          <a:endParaRPr lang="en-US" sz="1000">
            <a:latin typeface="+mn-lt"/>
          </a:endParaRPr>
        </a:p>
      </dgm:t>
    </dgm:pt>
    <dgm:pt modelId="{61A80D1A-BC9E-4803-9ADB-E450B9875F44}" type="sibTrans" cxnId="{DAED1DF8-5446-4631-8F8D-0E32B2269AEB}">
      <dgm:prSet/>
      <dgm:spPr/>
      <dgm:t>
        <a:bodyPr/>
        <a:lstStyle/>
        <a:p>
          <a:endParaRPr lang="en-US" sz="1000">
            <a:latin typeface="+mn-lt"/>
          </a:endParaRPr>
        </a:p>
      </dgm:t>
    </dgm:pt>
    <dgm:pt modelId="{4E727671-EC1E-41C3-8C35-3567FD61265B}">
      <dgm:prSet custT="1"/>
      <dgm:spPr/>
      <dgm:t>
        <a:bodyPr/>
        <a:lstStyle/>
        <a:p>
          <a:r>
            <a:rPr lang="vi-VN" sz="1000" b="0" i="0" u="none">
              <a:latin typeface="Calibri" panose="020F0502020204030204" pitchFamily="34" charset="0"/>
            </a:rPr>
            <a:t>Centru de noapte pentru persoanele fără adăpost</a:t>
          </a:r>
          <a:endParaRPr lang="en-US" sz="1000">
            <a:latin typeface="Calibri" panose="020F0502020204030204" pitchFamily="34" charset="0"/>
          </a:endParaRPr>
        </a:p>
      </dgm:t>
    </dgm:pt>
    <dgm:pt modelId="{03198CD1-6E4E-4F6E-B5F9-677C67DC3743}" type="parTrans" cxnId="{AB7E2949-A831-492A-AFB1-1CC2DEB03183}">
      <dgm:prSet/>
      <dgm:spPr/>
      <dgm:t>
        <a:bodyPr/>
        <a:lstStyle/>
        <a:p>
          <a:endParaRPr lang="en-US" sz="1000">
            <a:latin typeface="+mn-lt"/>
          </a:endParaRPr>
        </a:p>
      </dgm:t>
    </dgm:pt>
    <dgm:pt modelId="{538C3F53-6CFB-4B9B-8AF5-61850A5DCEA0}" type="sibTrans" cxnId="{AB7E2949-A831-492A-AFB1-1CC2DEB03183}">
      <dgm:prSet/>
      <dgm:spPr/>
      <dgm:t>
        <a:bodyPr/>
        <a:lstStyle/>
        <a:p>
          <a:endParaRPr lang="en-US" sz="1000">
            <a:latin typeface="+mn-lt"/>
          </a:endParaRPr>
        </a:p>
      </dgm:t>
    </dgm:pt>
    <dgm:pt modelId="{434CC9E0-8C10-43A0-9A98-57719C0DB343}">
      <dgm:prSet custT="1"/>
      <dgm:spPr/>
      <dgm:t>
        <a:bodyPr/>
        <a:lstStyle/>
        <a:p>
          <a:r>
            <a:rPr lang="vi-VN" sz="1000" b="0" i="0" u="none">
              <a:latin typeface="Calibri" panose="020F0502020204030204" pitchFamily="34" charset="0"/>
            </a:rPr>
            <a:t>Acordarea de locuințe sociale familiilor aflate in risc de marginalizare si excluziune socială</a:t>
          </a:r>
          <a:endParaRPr lang="en-US" sz="1000">
            <a:latin typeface="Calibri" panose="020F0502020204030204" pitchFamily="34" charset="0"/>
          </a:endParaRPr>
        </a:p>
      </dgm:t>
    </dgm:pt>
    <dgm:pt modelId="{F3E3A59D-C3F9-4634-B73A-BB5676E8D0E1}" type="parTrans" cxnId="{BE5BD020-14D1-4C62-9725-8A5D763DEBC5}">
      <dgm:prSet/>
      <dgm:spPr/>
      <dgm:t>
        <a:bodyPr/>
        <a:lstStyle/>
        <a:p>
          <a:endParaRPr lang="en-US" sz="1000">
            <a:latin typeface="+mn-lt"/>
          </a:endParaRPr>
        </a:p>
      </dgm:t>
    </dgm:pt>
    <dgm:pt modelId="{13B1918F-E4C3-403A-869F-67FA845ECB94}" type="sibTrans" cxnId="{BE5BD020-14D1-4C62-9725-8A5D763DEBC5}">
      <dgm:prSet/>
      <dgm:spPr/>
      <dgm:t>
        <a:bodyPr/>
        <a:lstStyle/>
        <a:p>
          <a:endParaRPr lang="en-US" sz="1000">
            <a:latin typeface="+mn-lt"/>
          </a:endParaRPr>
        </a:p>
      </dgm:t>
    </dgm:pt>
    <dgm:pt modelId="{420C82F7-839F-4280-849B-8AE57779056E}">
      <dgm:prSet phldrT="[Text]" custT="1"/>
      <dgm:spPr/>
      <dgm:t>
        <a:bodyPr/>
        <a:lstStyle/>
        <a:p>
          <a:r>
            <a:rPr lang="ro-RO" sz="1000" b="1">
              <a:latin typeface="+mn-lt"/>
            </a:rPr>
            <a:t>86,2% </a:t>
          </a:r>
          <a:r>
            <a:rPr lang="ro-RO" sz="1000">
              <a:latin typeface="+mn-lt"/>
            </a:rPr>
            <a:t>dintre respondenți consideră acest serviciu social ca fiind necesar și foarte necesar</a:t>
          </a:r>
          <a:endParaRPr lang="en-US" sz="1000">
            <a:latin typeface="+mn-lt"/>
          </a:endParaRPr>
        </a:p>
      </dgm:t>
    </dgm:pt>
    <dgm:pt modelId="{E9F9D2D4-B94A-40B1-831B-028B7DA53DBC}" type="parTrans" cxnId="{2476F643-C268-4B87-80EF-71B3E5600580}">
      <dgm:prSet/>
      <dgm:spPr/>
      <dgm:t>
        <a:bodyPr/>
        <a:lstStyle/>
        <a:p>
          <a:endParaRPr lang="en-US" sz="1000">
            <a:latin typeface="+mn-lt"/>
          </a:endParaRPr>
        </a:p>
      </dgm:t>
    </dgm:pt>
    <dgm:pt modelId="{057B5201-6BA0-47E1-A7F7-DD22B31B1470}" type="sibTrans" cxnId="{2476F643-C268-4B87-80EF-71B3E5600580}">
      <dgm:prSet/>
      <dgm:spPr/>
      <dgm:t>
        <a:bodyPr/>
        <a:lstStyle/>
        <a:p>
          <a:endParaRPr lang="en-US" sz="1000">
            <a:latin typeface="+mn-lt"/>
          </a:endParaRPr>
        </a:p>
      </dgm:t>
    </dgm:pt>
    <dgm:pt modelId="{C437518A-65BB-44EB-95E7-A92213027C5D}">
      <dgm:prSet custT="1"/>
      <dgm:spPr/>
      <dgm:t>
        <a:bodyPr/>
        <a:lstStyle/>
        <a:p>
          <a:r>
            <a:rPr lang="ro-RO" sz="1000" b="1">
              <a:latin typeface="+mn-lt"/>
            </a:rPr>
            <a:t>84,8% </a:t>
          </a:r>
          <a:r>
            <a:rPr lang="ro-RO" sz="1000">
              <a:latin typeface="+mn-lt"/>
            </a:rPr>
            <a:t>dintre respondenți consideră acest serviciu social ca fiind necesar și foarte necesar</a:t>
          </a:r>
          <a:endParaRPr lang="en-US" sz="1000">
            <a:latin typeface="+mn-lt"/>
          </a:endParaRPr>
        </a:p>
      </dgm:t>
    </dgm:pt>
    <dgm:pt modelId="{0EADBA1F-71BD-4C6E-A594-AF23A6002E50}" type="parTrans" cxnId="{372FF80F-31FC-4CAB-B5B3-224D402AF8CA}">
      <dgm:prSet/>
      <dgm:spPr/>
      <dgm:t>
        <a:bodyPr/>
        <a:lstStyle/>
        <a:p>
          <a:endParaRPr lang="en-US" sz="1000">
            <a:latin typeface="+mn-lt"/>
          </a:endParaRPr>
        </a:p>
      </dgm:t>
    </dgm:pt>
    <dgm:pt modelId="{A7072ECA-4422-4F99-B44C-1910CE08CB5D}" type="sibTrans" cxnId="{372FF80F-31FC-4CAB-B5B3-224D402AF8CA}">
      <dgm:prSet/>
      <dgm:spPr/>
      <dgm:t>
        <a:bodyPr/>
        <a:lstStyle/>
        <a:p>
          <a:endParaRPr lang="en-US" sz="1000">
            <a:latin typeface="+mn-lt"/>
          </a:endParaRPr>
        </a:p>
      </dgm:t>
    </dgm:pt>
    <dgm:pt modelId="{5FEF9D06-7ADC-469F-819A-FE141E34C0B6}">
      <dgm:prSet custT="1"/>
      <dgm:spPr/>
      <dgm:t>
        <a:bodyPr/>
        <a:lstStyle/>
        <a:p>
          <a:r>
            <a:rPr lang="ro-RO" sz="1000" b="1">
              <a:latin typeface="+mn-lt"/>
            </a:rPr>
            <a:t>82,3% </a:t>
          </a:r>
          <a:r>
            <a:rPr lang="ro-RO" sz="1000">
              <a:latin typeface="+mn-lt"/>
            </a:rPr>
            <a:t>dintre respondenți consideră acest serviciu social ca fiind necesar și foarte necesar</a:t>
          </a:r>
          <a:endParaRPr lang="en-US" sz="1000">
            <a:latin typeface="+mn-lt"/>
          </a:endParaRPr>
        </a:p>
      </dgm:t>
    </dgm:pt>
    <dgm:pt modelId="{57ECCBA5-0F7A-4C5E-8D3F-1BF07ACDB7D2}" type="parTrans" cxnId="{13882C7F-7CA1-47B4-8ED4-BF0EADE544FE}">
      <dgm:prSet/>
      <dgm:spPr/>
      <dgm:t>
        <a:bodyPr/>
        <a:lstStyle/>
        <a:p>
          <a:endParaRPr lang="en-US" sz="1000">
            <a:latin typeface="+mn-lt"/>
          </a:endParaRPr>
        </a:p>
      </dgm:t>
    </dgm:pt>
    <dgm:pt modelId="{1AFB9953-6928-4689-A899-7DA1BF77F428}" type="sibTrans" cxnId="{13882C7F-7CA1-47B4-8ED4-BF0EADE544FE}">
      <dgm:prSet/>
      <dgm:spPr/>
      <dgm:t>
        <a:bodyPr/>
        <a:lstStyle/>
        <a:p>
          <a:endParaRPr lang="en-US" sz="1000">
            <a:latin typeface="+mn-lt"/>
          </a:endParaRPr>
        </a:p>
      </dgm:t>
    </dgm:pt>
    <dgm:pt modelId="{318A53D4-4287-4BC7-887E-263AD3C80366}">
      <dgm:prSet custT="1"/>
      <dgm:spPr/>
      <dgm:t>
        <a:bodyPr/>
        <a:lstStyle/>
        <a:p>
          <a:r>
            <a:rPr lang="ro-RO" sz="1000" b="1">
              <a:latin typeface="+mn-lt"/>
            </a:rPr>
            <a:t>82,0% </a:t>
          </a:r>
          <a:r>
            <a:rPr lang="ro-RO" sz="1000">
              <a:latin typeface="+mn-lt"/>
            </a:rPr>
            <a:t>dintre respondenți consideră acest serviciu social ca fiind necesar și foarte necesar</a:t>
          </a:r>
          <a:endParaRPr lang="en-US" sz="1000">
            <a:latin typeface="+mn-lt"/>
          </a:endParaRPr>
        </a:p>
      </dgm:t>
    </dgm:pt>
    <dgm:pt modelId="{A6E8AC8E-BE3E-4142-ABE2-D61C9C920B28}" type="parTrans" cxnId="{95C42CBF-91C1-47D3-8094-A66F15AB77F1}">
      <dgm:prSet/>
      <dgm:spPr/>
      <dgm:t>
        <a:bodyPr/>
        <a:lstStyle/>
        <a:p>
          <a:endParaRPr lang="en-US" sz="1000">
            <a:latin typeface="+mn-lt"/>
          </a:endParaRPr>
        </a:p>
      </dgm:t>
    </dgm:pt>
    <dgm:pt modelId="{7AF91E0B-3FAD-4AD6-AF4D-597FAF9B8704}" type="sibTrans" cxnId="{95C42CBF-91C1-47D3-8094-A66F15AB77F1}">
      <dgm:prSet/>
      <dgm:spPr/>
      <dgm:t>
        <a:bodyPr/>
        <a:lstStyle/>
        <a:p>
          <a:endParaRPr lang="en-US" sz="1000">
            <a:latin typeface="+mn-lt"/>
          </a:endParaRPr>
        </a:p>
      </dgm:t>
    </dgm:pt>
    <dgm:pt modelId="{069F61D3-D3C4-4D8F-90A5-3C00D2514F8B}">
      <dgm:prSet custT="1"/>
      <dgm:spPr/>
      <dgm:t>
        <a:bodyPr/>
        <a:lstStyle/>
        <a:p>
          <a:r>
            <a:rPr lang="ro-RO" sz="1000" b="1">
              <a:latin typeface="+mn-lt"/>
            </a:rPr>
            <a:t>81,8% </a:t>
          </a:r>
          <a:r>
            <a:rPr lang="ro-RO" sz="1000">
              <a:latin typeface="+mn-lt"/>
            </a:rPr>
            <a:t>dintre respondenți consideră acest serviciu social ca fiind necesar și foarte necesar</a:t>
          </a:r>
          <a:endParaRPr lang="en-US" sz="1000">
            <a:latin typeface="+mn-lt"/>
          </a:endParaRPr>
        </a:p>
      </dgm:t>
    </dgm:pt>
    <dgm:pt modelId="{335DADAC-C7F5-4E44-AF87-537ED795E86B}" type="parTrans" cxnId="{8CC6784A-7EA9-4DD1-BC77-DE90E0299736}">
      <dgm:prSet/>
      <dgm:spPr/>
      <dgm:t>
        <a:bodyPr/>
        <a:lstStyle/>
        <a:p>
          <a:endParaRPr lang="en-US" sz="1000">
            <a:latin typeface="+mn-lt"/>
          </a:endParaRPr>
        </a:p>
      </dgm:t>
    </dgm:pt>
    <dgm:pt modelId="{95EE2B06-3ABF-4803-BD2A-98D1D8886E9D}" type="sibTrans" cxnId="{8CC6784A-7EA9-4DD1-BC77-DE90E0299736}">
      <dgm:prSet/>
      <dgm:spPr/>
      <dgm:t>
        <a:bodyPr/>
        <a:lstStyle/>
        <a:p>
          <a:endParaRPr lang="en-US" sz="1000">
            <a:latin typeface="+mn-lt"/>
          </a:endParaRPr>
        </a:p>
      </dgm:t>
    </dgm:pt>
    <dgm:pt modelId="{6EA08977-F08C-4460-8737-C78E3F3465AE}">
      <dgm:prSet custT="1"/>
      <dgm:spPr/>
      <dgm:t>
        <a:bodyPr/>
        <a:lstStyle/>
        <a:p>
          <a:r>
            <a:rPr lang="ro-RO" sz="1000" b="1">
              <a:latin typeface="+mn-lt"/>
            </a:rPr>
            <a:t>73,9% </a:t>
          </a:r>
          <a:r>
            <a:rPr lang="ro-RO" sz="1000">
              <a:latin typeface="+mn-lt"/>
            </a:rPr>
            <a:t>dintre respondenți consideră acest serviciu social ca fiind necesar și foarte necesar</a:t>
          </a:r>
          <a:endParaRPr lang="en-US" sz="1000">
            <a:latin typeface="+mn-lt"/>
          </a:endParaRPr>
        </a:p>
      </dgm:t>
    </dgm:pt>
    <dgm:pt modelId="{15CCA6BA-41EA-4D57-9A5C-325DEFA7B527}" type="parTrans" cxnId="{F2960EC3-DD8D-498D-A916-5C9FF895E892}">
      <dgm:prSet/>
      <dgm:spPr/>
      <dgm:t>
        <a:bodyPr/>
        <a:lstStyle/>
        <a:p>
          <a:endParaRPr lang="en-US" sz="1000">
            <a:latin typeface="+mn-lt"/>
          </a:endParaRPr>
        </a:p>
      </dgm:t>
    </dgm:pt>
    <dgm:pt modelId="{13C746FA-64CE-419A-A643-5014304AF1B9}" type="sibTrans" cxnId="{F2960EC3-DD8D-498D-A916-5C9FF895E892}">
      <dgm:prSet/>
      <dgm:spPr/>
      <dgm:t>
        <a:bodyPr/>
        <a:lstStyle/>
        <a:p>
          <a:endParaRPr lang="en-US" sz="1000">
            <a:latin typeface="+mn-lt"/>
          </a:endParaRPr>
        </a:p>
      </dgm:t>
    </dgm:pt>
    <dgm:pt modelId="{03B18897-9D1C-45DE-969F-B8AA33D875E9}">
      <dgm:prSet phldrT="[Text]" custT="1"/>
      <dgm:spPr/>
      <dgm:t>
        <a:bodyPr/>
        <a:lstStyle/>
        <a:p>
          <a:r>
            <a:rPr lang="ro-RO" sz="1000" b="1">
              <a:latin typeface="+mn-lt"/>
            </a:rPr>
            <a:t>87,6% </a:t>
          </a:r>
          <a:r>
            <a:rPr lang="ro-RO" sz="1000">
              <a:latin typeface="+mn-lt"/>
            </a:rPr>
            <a:t>dintre respondenți consideră acest serviciu social ca fiind necesar și foarte necesar</a:t>
          </a:r>
          <a:endParaRPr lang="en-US" sz="1000">
            <a:latin typeface="+mn-lt"/>
          </a:endParaRPr>
        </a:p>
      </dgm:t>
    </dgm:pt>
    <dgm:pt modelId="{FBDA4F97-FEDD-42C2-8F70-14BDCF656B10}" type="parTrans" cxnId="{1345CCEE-BF77-445F-A5F0-67CC9C33F0E3}">
      <dgm:prSet/>
      <dgm:spPr/>
      <dgm:t>
        <a:bodyPr/>
        <a:lstStyle/>
        <a:p>
          <a:endParaRPr lang="en-US" sz="1000">
            <a:latin typeface="+mn-lt"/>
          </a:endParaRPr>
        </a:p>
      </dgm:t>
    </dgm:pt>
    <dgm:pt modelId="{3D6503E2-F39A-4086-A3E3-780DF5327855}" type="sibTrans" cxnId="{1345CCEE-BF77-445F-A5F0-67CC9C33F0E3}">
      <dgm:prSet/>
      <dgm:spPr/>
      <dgm:t>
        <a:bodyPr/>
        <a:lstStyle/>
        <a:p>
          <a:endParaRPr lang="en-US" sz="1000">
            <a:latin typeface="+mn-lt"/>
          </a:endParaRPr>
        </a:p>
      </dgm:t>
    </dgm:pt>
    <dgm:pt modelId="{041D9122-278B-45E4-A172-8D215E8E7840}">
      <dgm:prSet custT="1"/>
      <dgm:spPr/>
      <dgm:t>
        <a:bodyPr/>
        <a:lstStyle/>
        <a:p>
          <a:r>
            <a:rPr lang="vi-VN" sz="1000" b="0" i="0" u="none">
              <a:latin typeface="Calibri" panose="020F0502020204030204" pitchFamily="34" charset="0"/>
            </a:rPr>
            <a:t>Acordarea de locuințe sociale familiilor aflate in risc de marginalizare si excluziune socială</a:t>
          </a:r>
          <a:endParaRPr lang="en-US" sz="1000">
            <a:latin typeface="Calibri" panose="020F0502020204030204" pitchFamily="34" charset="0"/>
          </a:endParaRPr>
        </a:p>
      </dgm:t>
    </dgm:pt>
    <dgm:pt modelId="{4E713E75-D74F-421C-80F1-599AB633B2A8}" type="parTrans" cxnId="{C338C6B3-B510-4E8A-847D-FF5ACFC182E1}">
      <dgm:prSet/>
      <dgm:spPr/>
      <dgm:t>
        <a:bodyPr/>
        <a:lstStyle/>
        <a:p>
          <a:endParaRPr lang="en-US"/>
        </a:p>
      </dgm:t>
    </dgm:pt>
    <dgm:pt modelId="{0FDDDD30-542A-4B62-9F87-FF1522025282}" type="sibTrans" cxnId="{C338C6B3-B510-4E8A-847D-FF5ACFC182E1}">
      <dgm:prSet/>
      <dgm:spPr/>
      <dgm:t>
        <a:bodyPr/>
        <a:lstStyle/>
        <a:p>
          <a:endParaRPr lang="en-US"/>
        </a:p>
      </dgm:t>
    </dgm:pt>
    <dgm:pt modelId="{970AD28E-4FE9-4DEF-AC50-E4DABAE15210}">
      <dgm:prSet custT="1"/>
      <dgm:spPr/>
      <dgm:t>
        <a:bodyPr/>
        <a:lstStyle/>
        <a:p>
          <a:r>
            <a:rPr lang="en-US" sz="1000" b="0" i="0" u="none">
              <a:latin typeface="Calibri" panose="020F0502020204030204" pitchFamily="34" charset="0"/>
            </a:rPr>
            <a:t>Magazin social dedicat persoanelor cu venituri reduse</a:t>
          </a:r>
          <a:endParaRPr lang="en-US" sz="1000">
            <a:latin typeface="Calibri" panose="020F0502020204030204" pitchFamily="34" charset="0"/>
          </a:endParaRPr>
        </a:p>
      </dgm:t>
    </dgm:pt>
    <dgm:pt modelId="{E4F29D64-6331-4A22-AD3F-28FCA2C874EF}" type="parTrans" cxnId="{A7D4747C-FAA2-43F4-A2B9-C435EC3F8BD6}">
      <dgm:prSet/>
      <dgm:spPr/>
      <dgm:t>
        <a:bodyPr/>
        <a:lstStyle/>
        <a:p>
          <a:endParaRPr lang="en-US"/>
        </a:p>
      </dgm:t>
    </dgm:pt>
    <dgm:pt modelId="{A3D0AD93-66BF-48DA-AC9B-300DBDC1A996}" type="sibTrans" cxnId="{A7D4747C-FAA2-43F4-A2B9-C435EC3F8BD6}">
      <dgm:prSet/>
      <dgm:spPr/>
      <dgm:t>
        <a:bodyPr/>
        <a:lstStyle/>
        <a:p>
          <a:endParaRPr lang="en-US"/>
        </a:p>
      </dgm:t>
    </dgm:pt>
    <dgm:pt modelId="{A2ED5EAD-0DF0-48D9-A4E0-12EA6693E25E}">
      <dgm:prSet custT="1"/>
      <dgm:spPr/>
      <dgm:t>
        <a:bodyPr/>
        <a:lstStyle/>
        <a:p>
          <a:r>
            <a:rPr lang="ro-RO" sz="1000" b="1">
              <a:latin typeface="+mn-lt"/>
            </a:rPr>
            <a:t>57,8% </a:t>
          </a:r>
          <a:r>
            <a:rPr lang="ro-RO" sz="1000">
              <a:latin typeface="+mn-lt"/>
            </a:rPr>
            <a:t>dintre respondenți consideră acest serviciu social ca fiind necesar și foarte necesar</a:t>
          </a:r>
          <a:endParaRPr lang="en-US" sz="1000">
            <a:latin typeface="+mn-lt"/>
          </a:endParaRPr>
        </a:p>
      </dgm:t>
    </dgm:pt>
    <dgm:pt modelId="{C1EB7476-4F08-49F7-AF00-31E38911EACA}" type="parTrans" cxnId="{D955CC10-97CD-467A-A9D2-453ABE594DF0}">
      <dgm:prSet/>
      <dgm:spPr/>
      <dgm:t>
        <a:bodyPr/>
        <a:lstStyle/>
        <a:p>
          <a:endParaRPr lang="en-US"/>
        </a:p>
      </dgm:t>
    </dgm:pt>
    <dgm:pt modelId="{B3B81CA1-0428-43F1-8CB0-11B17D5B2CAC}" type="sibTrans" cxnId="{D955CC10-97CD-467A-A9D2-453ABE594DF0}">
      <dgm:prSet/>
      <dgm:spPr/>
      <dgm:t>
        <a:bodyPr/>
        <a:lstStyle/>
        <a:p>
          <a:endParaRPr lang="en-US"/>
        </a:p>
      </dgm:t>
    </dgm:pt>
    <dgm:pt modelId="{4C6D03E4-6055-4DF5-ACF6-350BBFACECAF}">
      <dgm:prSet custT="1"/>
      <dgm:spPr/>
      <dgm:t>
        <a:bodyPr/>
        <a:lstStyle/>
        <a:p>
          <a:r>
            <a:rPr lang="vi-VN" sz="1000" b="0" i="0" u="none">
              <a:latin typeface="Calibri" panose="020F0502020204030204" pitchFamily="34" charset="0"/>
            </a:rPr>
            <a:t>Cantina socială</a:t>
          </a:r>
          <a:endParaRPr lang="en-US" sz="1000">
            <a:latin typeface="Calibri" panose="020F0502020204030204" pitchFamily="34" charset="0"/>
          </a:endParaRPr>
        </a:p>
      </dgm:t>
    </dgm:pt>
    <dgm:pt modelId="{3D8563BA-9B20-4175-83F7-75EF899A993B}" type="parTrans" cxnId="{83891653-04B3-4BB5-80CA-4E663D2948FB}">
      <dgm:prSet/>
      <dgm:spPr/>
      <dgm:t>
        <a:bodyPr/>
        <a:lstStyle/>
        <a:p>
          <a:endParaRPr lang="en-US"/>
        </a:p>
      </dgm:t>
    </dgm:pt>
    <dgm:pt modelId="{04F9B229-9749-4170-BAE8-D577E3886C80}" type="sibTrans" cxnId="{83891653-04B3-4BB5-80CA-4E663D2948FB}">
      <dgm:prSet/>
      <dgm:spPr/>
      <dgm:t>
        <a:bodyPr/>
        <a:lstStyle/>
        <a:p>
          <a:endParaRPr lang="en-US"/>
        </a:p>
      </dgm:t>
    </dgm:pt>
    <dgm:pt modelId="{308E3B05-3365-4813-BDEE-A4B69A73C5BA}">
      <dgm:prSet custT="1"/>
      <dgm:spPr/>
      <dgm:t>
        <a:bodyPr/>
        <a:lstStyle/>
        <a:p>
          <a:r>
            <a:rPr lang="ro-RO" sz="1000" b="1">
              <a:latin typeface="+mn-lt"/>
            </a:rPr>
            <a:t>56,0% </a:t>
          </a:r>
          <a:r>
            <a:rPr lang="ro-RO" sz="1000">
              <a:latin typeface="+mn-lt"/>
            </a:rPr>
            <a:t>dintre respondenți consideră acest serviciu social ca fiind necesar și foarte necesar</a:t>
          </a:r>
          <a:endParaRPr lang="en-US" sz="1000">
            <a:latin typeface="+mn-lt"/>
          </a:endParaRPr>
        </a:p>
      </dgm:t>
    </dgm:pt>
    <dgm:pt modelId="{2A8FD9CF-D600-4C7A-978C-8BA004821353}" type="parTrans" cxnId="{768D8B7C-8C20-480C-AD16-DF517BA06EB5}">
      <dgm:prSet/>
      <dgm:spPr/>
      <dgm:t>
        <a:bodyPr/>
        <a:lstStyle/>
        <a:p>
          <a:endParaRPr lang="en-US"/>
        </a:p>
      </dgm:t>
    </dgm:pt>
    <dgm:pt modelId="{C924EED5-9ADB-4746-93BB-EE7DF1651E20}" type="sibTrans" cxnId="{768D8B7C-8C20-480C-AD16-DF517BA06EB5}">
      <dgm:prSet/>
      <dgm:spPr/>
      <dgm:t>
        <a:bodyPr/>
        <a:lstStyle/>
        <a:p>
          <a:endParaRPr lang="en-US"/>
        </a:p>
      </dgm:t>
    </dgm:pt>
    <dgm:pt modelId="{757F2B41-0DFD-4A43-8358-EBE9FB48C85C}">
      <dgm:prSet custT="1"/>
      <dgm:spPr/>
      <dgm:t>
        <a:bodyPr/>
        <a:lstStyle/>
        <a:p>
          <a:r>
            <a:rPr lang="ro-RO" sz="1000" b="1">
              <a:latin typeface="+mn-lt"/>
            </a:rPr>
            <a:t>55,7% </a:t>
          </a:r>
          <a:r>
            <a:rPr lang="ro-RO" sz="1000">
              <a:latin typeface="+mn-lt"/>
            </a:rPr>
            <a:t>dintre respondenți consideră acest serviciu social ca fiind necesar și foarte necesar</a:t>
          </a:r>
          <a:endParaRPr lang="en-US" sz="1000">
            <a:latin typeface="+mn-lt"/>
          </a:endParaRPr>
        </a:p>
      </dgm:t>
    </dgm:pt>
    <dgm:pt modelId="{AF512AA3-A0F3-4077-BD6E-6C354C086AFA}" type="parTrans" cxnId="{55868F7B-541E-4F63-9232-C769DF59C23A}">
      <dgm:prSet/>
      <dgm:spPr/>
      <dgm:t>
        <a:bodyPr/>
        <a:lstStyle/>
        <a:p>
          <a:endParaRPr lang="en-US"/>
        </a:p>
      </dgm:t>
    </dgm:pt>
    <dgm:pt modelId="{CBDBCDD9-5394-4692-987C-77DE7498CCDC}" type="sibTrans" cxnId="{55868F7B-541E-4F63-9232-C769DF59C23A}">
      <dgm:prSet/>
      <dgm:spPr/>
      <dgm:t>
        <a:bodyPr/>
        <a:lstStyle/>
        <a:p>
          <a:endParaRPr lang="en-US"/>
        </a:p>
      </dgm:t>
    </dgm:pt>
    <dgm:pt modelId="{CE8E95DF-06BF-4F67-9C7F-30ED9586A045}" type="pres">
      <dgm:prSet presAssocID="{8B651F10-F21C-46F9-866C-B246CD6E5A37}" presName="Name0" presStyleCnt="0">
        <dgm:presLayoutVars>
          <dgm:dir/>
          <dgm:animLvl val="lvl"/>
          <dgm:resizeHandles val="exact"/>
        </dgm:presLayoutVars>
      </dgm:prSet>
      <dgm:spPr/>
    </dgm:pt>
    <dgm:pt modelId="{5A4D7506-890D-458B-95CD-705A4DFD4D26}" type="pres">
      <dgm:prSet presAssocID="{35A0BFE8-A7AC-4521-8616-ADF6AF7525BD}" presName="linNode" presStyleCnt="0"/>
      <dgm:spPr/>
    </dgm:pt>
    <dgm:pt modelId="{A35096DD-CC6B-4B1B-8EA4-F7D5D57CAEFB}" type="pres">
      <dgm:prSet presAssocID="{35A0BFE8-A7AC-4521-8616-ADF6AF7525BD}" presName="parentText" presStyleLbl="node1" presStyleIdx="0" presStyleCnt="10">
        <dgm:presLayoutVars>
          <dgm:chMax val="1"/>
          <dgm:bulletEnabled val="1"/>
        </dgm:presLayoutVars>
      </dgm:prSet>
      <dgm:spPr/>
    </dgm:pt>
    <dgm:pt modelId="{F01B19F2-6376-433B-9C21-E24EA2600134}" type="pres">
      <dgm:prSet presAssocID="{35A0BFE8-A7AC-4521-8616-ADF6AF7525BD}" presName="descendantText" presStyleLbl="alignAccFollowNode1" presStyleIdx="0" presStyleCnt="10">
        <dgm:presLayoutVars>
          <dgm:bulletEnabled val="1"/>
        </dgm:presLayoutVars>
      </dgm:prSet>
      <dgm:spPr/>
    </dgm:pt>
    <dgm:pt modelId="{62E868E1-0A48-4070-94E7-E57AEB5D9E76}" type="pres">
      <dgm:prSet presAssocID="{36218AC4-8960-405E-9984-E2307AE0D401}" presName="sp" presStyleCnt="0"/>
      <dgm:spPr/>
    </dgm:pt>
    <dgm:pt modelId="{41F14DEA-9D4C-4F88-AD54-0FCF68EC1C4F}" type="pres">
      <dgm:prSet presAssocID="{4CF294FA-948D-4B7B-87F8-00F608C148C9}" presName="linNode" presStyleCnt="0"/>
      <dgm:spPr/>
    </dgm:pt>
    <dgm:pt modelId="{3BE39D7D-E8F5-4BD9-8715-051842E1D78D}" type="pres">
      <dgm:prSet presAssocID="{4CF294FA-948D-4B7B-87F8-00F608C148C9}" presName="parentText" presStyleLbl="node1" presStyleIdx="1" presStyleCnt="10">
        <dgm:presLayoutVars>
          <dgm:chMax val="1"/>
          <dgm:bulletEnabled val="1"/>
        </dgm:presLayoutVars>
      </dgm:prSet>
      <dgm:spPr/>
    </dgm:pt>
    <dgm:pt modelId="{469751A1-C67B-4E0D-8A5B-BCAD153FDBF1}" type="pres">
      <dgm:prSet presAssocID="{4CF294FA-948D-4B7B-87F8-00F608C148C9}" presName="descendantText" presStyleLbl="alignAccFollowNode1" presStyleIdx="1" presStyleCnt="10">
        <dgm:presLayoutVars>
          <dgm:bulletEnabled val="1"/>
        </dgm:presLayoutVars>
      </dgm:prSet>
      <dgm:spPr/>
    </dgm:pt>
    <dgm:pt modelId="{9DB45F92-1D00-49D8-8B9A-E872BC179EED}" type="pres">
      <dgm:prSet presAssocID="{509282DC-62EB-4E49-8F85-71A7E5D96812}" presName="sp" presStyleCnt="0"/>
      <dgm:spPr/>
    </dgm:pt>
    <dgm:pt modelId="{CC1320DD-D2FF-4C09-A877-FEF76B98E727}" type="pres">
      <dgm:prSet presAssocID="{D07BD804-60CC-4F70-8B1F-01121786FAEB}" presName="linNode" presStyleCnt="0"/>
      <dgm:spPr/>
    </dgm:pt>
    <dgm:pt modelId="{B66A6E7C-F6D2-4A3A-8399-72EC7AE8D982}" type="pres">
      <dgm:prSet presAssocID="{D07BD804-60CC-4F70-8B1F-01121786FAEB}" presName="parentText" presStyleLbl="node1" presStyleIdx="2" presStyleCnt="10">
        <dgm:presLayoutVars>
          <dgm:chMax val="1"/>
          <dgm:bulletEnabled val="1"/>
        </dgm:presLayoutVars>
      </dgm:prSet>
      <dgm:spPr/>
    </dgm:pt>
    <dgm:pt modelId="{3CD7ED99-8D9B-4A64-8A38-227F3851C9E3}" type="pres">
      <dgm:prSet presAssocID="{D07BD804-60CC-4F70-8B1F-01121786FAEB}" presName="descendantText" presStyleLbl="alignAccFollowNode1" presStyleIdx="2" presStyleCnt="10">
        <dgm:presLayoutVars>
          <dgm:bulletEnabled val="1"/>
        </dgm:presLayoutVars>
      </dgm:prSet>
      <dgm:spPr/>
    </dgm:pt>
    <dgm:pt modelId="{4C7264CC-8D90-4D17-83F2-EE5160B6198A}" type="pres">
      <dgm:prSet presAssocID="{9B5A2A3C-12E0-46EF-ABF4-813C1A1A4EFA}" presName="sp" presStyleCnt="0"/>
      <dgm:spPr/>
    </dgm:pt>
    <dgm:pt modelId="{8A1D5795-04E2-4263-84BC-AE18DACC2FED}" type="pres">
      <dgm:prSet presAssocID="{AF15CA57-F5BD-43BD-B845-E507146D0AFD}" presName="linNode" presStyleCnt="0"/>
      <dgm:spPr/>
    </dgm:pt>
    <dgm:pt modelId="{B357D904-3687-48AE-A10E-B065135B03CB}" type="pres">
      <dgm:prSet presAssocID="{AF15CA57-F5BD-43BD-B845-E507146D0AFD}" presName="parentText" presStyleLbl="node1" presStyleIdx="3" presStyleCnt="10">
        <dgm:presLayoutVars>
          <dgm:chMax val="1"/>
          <dgm:bulletEnabled val="1"/>
        </dgm:presLayoutVars>
      </dgm:prSet>
      <dgm:spPr/>
    </dgm:pt>
    <dgm:pt modelId="{D116AB53-C457-45AD-AD1E-6ACD6D3717FB}" type="pres">
      <dgm:prSet presAssocID="{AF15CA57-F5BD-43BD-B845-E507146D0AFD}" presName="descendantText" presStyleLbl="alignAccFollowNode1" presStyleIdx="3" presStyleCnt="10">
        <dgm:presLayoutVars>
          <dgm:bulletEnabled val="1"/>
        </dgm:presLayoutVars>
      </dgm:prSet>
      <dgm:spPr/>
    </dgm:pt>
    <dgm:pt modelId="{2491D3AA-9D7A-4FF2-9FC3-F0CD88457F38}" type="pres">
      <dgm:prSet presAssocID="{67AC3F0C-245B-47BD-AEF6-895DC4FEA210}" presName="sp" presStyleCnt="0"/>
      <dgm:spPr/>
    </dgm:pt>
    <dgm:pt modelId="{B61D6FA5-C44F-41B8-9AF1-925A6BE3488C}" type="pres">
      <dgm:prSet presAssocID="{792C2459-8798-48F8-9E5E-C545164CDC7B}" presName="linNode" presStyleCnt="0"/>
      <dgm:spPr/>
    </dgm:pt>
    <dgm:pt modelId="{D05F2EB8-C700-46BF-8937-3A811FD66A79}" type="pres">
      <dgm:prSet presAssocID="{792C2459-8798-48F8-9E5E-C545164CDC7B}" presName="parentText" presStyleLbl="node1" presStyleIdx="4" presStyleCnt="10">
        <dgm:presLayoutVars>
          <dgm:chMax val="1"/>
          <dgm:bulletEnabled val="1"/>
        </dgm:presLayoutVars>
      </dgm:prSet>
      <dgm:spPr/>
    </dgm:pt>
    <dgm:pt modelId="{CFC02184-9229-4D4A-9B8C-CA788CC97790}" type="pres">
      <dgm:prSet presAssocID="{792C2459-8798-48F8-9E5E-C545164CDC7B}" presName="descendantText" presStyleLbl="alignAccFollowNode1" presStyleIdx="4" presStyleCnt="10">
        <dgm:presLayoutVars>
          <dgm:bulletEnabled val="1"/>
        </dgm:presLayoutVars>
      </dgm:prSet>
      <dgm:spPr/>
    </dgm:pt>
    <dgm:pt modelId="{2ECAF3D3-DE59-4085-8F17-4E132EC8352E}" type="pres">
      <dgm:prSet presAssocID="{61A80D1A-BC9E-4803-9ADB-E450B9875F44}" presName="sp" presStyleCnt="0"/>
      <dgm:spPr/>
    </dgm:pt>
    <dgm:pt modelId="{38F9898C-6B62-4601-9455-0D5F53FF6EF1}" type="pres">
      <dgm:prSet presAssocID="{4E727671-EC1E-41C3-8C35-3567FD61265B}" presName="linNode" presStyleCnt="0"/>
      <dgm:spPr/>
    </dgm:pt>
    <dgm:pt modelId="{05A099A8-2CCB-4F55-83F6-79475C9B1CB8}" type="pres">
      <dgm:prSet presAssocID="{4E727671-EC1E-41C3-8C35-3567FD61265B}" presName="parentText" presStyleLbl="node1" presStyleIdx="5" presStyleCnt="10">
        <dgm:presLayoutVars>
          <dgm:chMax val="1"/>
          <dgm:bulletEnabled val="1"/>
        </dgm:presLayoutVars>
      </dgm:prSet>
      <dgm:spPr/>
    </dgm:pt>
    <dgm:pt modelId="{5132C6A5-03EC-42AA-ADAB-7B62326DB9F8}" type="pres">
      <dgm:prSet presAssocID="{4E727671-EC1E-41C3-8C35-3567FD61265B}" presName="descendantText" presStyleLbl="alignAccFollowNode1" presStyleIdx="5" presStyleCnt="10">
        <dgm:presLayoutVars>
          <dgm:bulletEnabled val="1"/>
        </dgm:presLayoutVars>
      </dgm:prSet>
      <dgm:spPr/>
    </dgm:pt>
    <dgm:pt modelId="{186CA324-BD1E-443D-B7C6-CB916ABCAA56}" type="pres">
      <dgm:prSet presAssocID="{538C3F53-6CFB-4B9B-8AF5-61850A5DCEA0}" presName="sp" presStyleCnt="0"/>
      <dgm:spPr/>
    </dgm:pt>
    <dgm:pt modelId="{C2D90BC7-844C-41E7-ADA8-D21E418FB155}" type="pres">
      <dgm:prSet presAssocID="{434CC9E0-8C10-43A0-9A98-57719C0DB343}" presName="linNode" presStyleCnt="0"/>
      <dgm:spPr/>
    </dgm:pt>
    <dgm:pt modelId="{1C889F1B-11EE-4615-A828-DB78B3F2E3DB}" type="pres">
      <dgm:prSet presAssocID="{434CC9E0-8C10-43A0-9A98-57719C0DB343}" presName="parentText" presStyleLbl="node1" presStyleIdx="6" presStyleCnt="10">
        <dgm:presLayoutVars>
          <dgm:chMax val="1"/>
          <dgm:bulletEnabled val="1"/>
        </dgm:presLayoutVars>
      </dgm:prSet>
      <dgm:spPr/>
    </dgm:pt>
    <dgm:pt modelId="{39E0AC81-EA12-442E-922D-2FF8019047B3}" type="pres">
      <dgm:prSet presAssocID="{434CC9E0-8C10-43A0-9A98-57719C0DB343}" presName="descendantText" presStyleLbl="alignAccFollowNode1" presStyleIdx="6" presStyleCnt="10">
        <dgm:presLayoutVars>
          <dgm:bulletEnabled val="1"/>
        </dgm:presLayoutVars>
      </dgm:prSet>
      <dgm:spPr/>
    </dgm:pt>
    <dgm:pt modelId="{EACC5834-EB77-4159-A476-6FA590A2CF75}" type="pres">
      <dgm:prSet presAssocID="{13B1918F-E4C3-403A-869F-67FA845ECB94}" presName="sp" presStyleCnt="0"/>
      <dgm:spPr/>
    </dgm:pt>
    <dgm:pt modelId="{7CEE91BF-DB2A-48D3-A24B-184034DB2A47}" type="pres">
      <dgm:prSet presAssocID="{041D9122-278B-45E4-A172-8D215E8E7840}" presName="linNode" presStyleCnt="0"/>
      <dgm:spPr/>
    </dgm:pt>
    <dgm:pt modelId="{FAD0B94A-17AF-4BF6-905B-C5051F7DE61C}" type="pres">
      <dgm:prSet presAssocID="{041D9122-278B-45E4-A172-8D215E8E7840}" presName="parentText" presStyleLbl="node1" presStyleIdx="7" presStyleCnt="10">
        <dgm:presLayoutVars>
          <dgm:chMax val="1"/>
          <dgm:bulletEnabled val="1"/>
        </dgm:presLayoutVars>
      </dgm:prSet>
      <dgm:spPr/>
    </dgm:pt>
    <dgm:pt modelId="{CFC8A3DD-69D7-4F75-A175-AB549B3EB86D}" type="pres">
      <dgm:prSet presAssocID="{041D9122-278B-45E4-A172-8D215E8E7840}" presName="descendantText" presStyleLbl="alignAccFollowNode1" presStyleIdx="7" presStyleCnt="10">
        <dgm:presLayoutVars>
          <dgm:bulletEnabled val="1"/>
        </dgm:presLayoutVars>
      </dgm:prSet>
      <dgm:spPr/>
    </dgm:pt>
    <dgm:pt modelId="{42801C1A-ED04-489A-908D-DE96AE4DF674}" type="pres">
      <dgm:prSet presAssocID="{0FDDDD30-542A-4B62-9F87-FF1522025282}" presName="sp" presStyleCnt="0"/>
      <dgm:spPr/>
    </dgm:pt>
    <dgm:pt modelId="{2F13A82C-211D-43D4-B63E-06C101646CA7}" type="pres">
      <dgm:prSet presAssocID="{970AD28E-4FE9-4DEF-AC50-E4DABAE15210}" presName="linNode" presStyleCnt="0"/>
      <dgm:spPr/>
    </dgm:pt>
    <dgm:pt modelId="{961B8597-EC35-4F5A-B584-BC4A98DB01B7}" type="pres">
      <dgm:prSet presAssocID="{970AD28E-4FE9-4DEF-AC50-E4DABAE15210}" presName="parentText" presStyleLbl="node1" presStyleIdx="8" presStyleCnt="10">
        <dgm:presLayoutVars>
          <dgm:chMax val="1"/>
          <dgm:bulletEnabled val="1"/>
        </dgm:presLayoutVars>
      </dgm:prSet>
      <dgm:spPr/>
    </dgm:pt>
    <dgm:pt modelId="{A322498C-443B-4534-9DFC-678EB0B317AE}" type="pres">
      <dgm:prSet presAssocID="{970AD28E-4FE9-4DEF-AC50-E4DABAE15210}" presName="descendantText" presStyleLbl="alignAccFollowNode1" presStyleIdx="8" presStyleCnt="10">
        <dgm:presLayoutVars>
          <dgm:bulletEnabled val="1"/>
        </dgm:presLayoutVars>
      </dgm:prSet>
      <dgm:spPr/>
    </dgm:pt>
    <dgm:pt modelId="{ED32BD19-4924-4A7B-9321-3BD93C441DE4}" type="pres">
      <dgm:prSet presAssocID="{A3D0AD93-66BF-48DA-AC9B-300DBDC1A996}" presName="sp" presStyleCnt="0"/>
      <dgm:spPr/>
    </dgm:pt>
    <dgm:pt modelId="{B1EC7F00-83AF-4A72-94E8-DF3EE6DFD5E5}" type="pres">
      <dgm:prSet presAssocID="{4C6D03E4-6055-4DF5-ACF6-350BBFACECAF}" presName="linNode" presStyleCnt="0"/>
      <dgm:spPr/>
    </dgm:pt>
    <dgm:pt modelId="{3CFF0825-DF28-46B9-BD30-AC49AF5AFFBA}" type="pres">
      <dgm:prSet presAssocID="{4C6D03E4-6055-4DF5-ACF6-350BBFACECAF}" presName="parentText" presStyleLbl="node1" presStyleIdx="9" presStyleCnt="10">
        <dgm:presLayoutVars>
          <dgm:chMax val="1"/>
          <dgm:bulletEnabled val="1"/>
        </dgm:presLayoutVars>
      </dgm:prSet>
      <dgm:spPr/>
    </dgm:pt>
    <dgm:pt modelId="{93BC5DF9-7A49-46B2-9208-4E0DA7182DE1}" type="pres">
      <dgm:prSet presAssocID="{4C6D03E4-6055-4DF5-ACF6-350BBFACECAF}" presName="descendantText" presStyleLbl="alignAccFollowNode1" presStyleIdx="9" presStyleCnt="10">
        <dgm:presLayoutVars>
          <dgm:bulletEnabled val="1"/>
        </dgm:presLayoutVars>
      </dgm:prSet>
      <dgm:spPr/>
    </dgm:pt>
  </dgm:ptLst>
  <dgm:cxnLst>
    <dgm:cxn modelId="{E3941305-30E2-4C91-8002-FDA4475EC6C3}" type="presOf" srcId="{03B18897-9D1C-45DE-969F-B8AA33D875E9}" destId="{F01B19F2-6376-433B-9C21-E24EA2600134}" srcOrd="0" destOrd="0" presId="urn:microsoft.com/office/officeart/2005/8/layout/vList5"/>
    <dgm:cxn modelId="{372FF80F-31FC-4CAB-B5B3-224D402AF8CA}" srcId="{D07BD804-60CC-4F70-8B1F-01121786FAEB}" destId="{C437518A-65BB-44EB-95E7-A92213027C5D}" srcOrd="0" destOrd="0" parTransId="{0EADBA1F-71BD-4C6E-A594-AF23A6002E50}" sibTransId="{A7072ECA-4422-4F99-B44C-1910CE08CB5D}"/>
    <dgm:cxn modelId="{D3C7A310-73DF-4AF2-8BE5-3E06FE90AB41}" type="presOf" srcId="{8B651F10-F21C-46F9-866C-B246CD6E5A37}" destId="{CE8E95DF-06BF-4F67-9C7F-30ED9586A045}" srcOrd="0" destOrd="0" presId="urn:microsoft.com/office/officeart/2005/8/layout/vList5"/>
    <dgm:cxn modelId="{D955CC10-97CD-467A-A9D2-453ABE594DF0}" srcId="{041D9122-278B-45E4-A172-8D215E8E7840}" destId="{A2ED5EAD-0DF0-48D9-A4E0-12EA6693E25E}" srcOrd="0" destOrd="0" parTransId="{C1EB7476-4F08-49F7-AF00-31E38911EACA}" sibTransId="{B3B81CA1-0428-43F1-8CB0-11B17D5B2CAC}"/>
    <dgm:cxn modelId="{5BC0CC12-824A-4AC2-B47C-0F996AC2AF7E}" type="presOf" srcId="{792C2459-8798-48F8-9E5E-C545164CDC7B}" destId="{D05F2EB8-C700-46BF-8937-3A811FD66A79}" srcOrd="0" destOrd="0" presId="urn:microsoft.com/office/officeart/2005/8/layout/vList5"/>
    <dgm:cxn modelId="{93AAF112-C764-4F03-822A-B5DDBE6E7224}" type="presOf" srcId="{4CF294FA-948D-4B7B-87F8-00F608C148C9}" destId="{3BE39D7D-E8F5-4BD9-8715-051842E1D78D}" srcOrd="0" destOrd="0" presId="urn:microsoft.com/office/officeart/2005/8/layout/vList5"/>
    <dgm:cxn modelId="{8CF5BB16-CF1C-455B-9C55-74EB9BEB55BC}" type="presOf" srcId="{C437518A-65BB-44EB-95E7-A92213027C5D}" destId="{3CD7ED99-8D9B-4A64-8A38-227F3851C9E3}" srcOrd="0" destOrd="0" presId="urn:microsoft.com/office/officeart/2005/8/layout/vList5"/>
    <dgm:cxn modelId="{BE5BD020-14D1-4C62-9725-8A5D763DEBC5}" srcId="{8B651F10-F21C-46F9-866C-B246CD6E5A37}" destId="{434CC9E0-8C10-43A0-9A98-57719C0DB343}" srcOrd="6" destOrd="0" parTransId="{F3E3A59D-C3F9-4634-B73A-BB5676E8D0E1}" sibTransId="{13B1918F-E4C3-403A-869F-67FA845ECB94}"/>
    <dgm:cxn modelId="{CCB5252B-F1B4-4403-AC4B-9564FFA652E5}" type="presOf" srcId="{A2ED5EAD-0DF0-48D9-A4E0-12EA6693E25E}" destId="{CFC8A3DD-69D7-4F75-A175-AB549B3EB86D}" srcOrd="0" destOrd="0" presId="urn:microsoft.com/office/officeart/2005/8/layout/vList5"/>
    <dgm:cxn modelId="{F0B20E63-4DA0-420F-9F38-2E7ED45B05A4}" type="presOf" srcId="{041D9122-278B-45E4-A172-8D215E8E7840}" destId="{FAD0B94A-17AF-4BF6-905B-C5051F7DE61C}" srcOrd="0" destOrd="0" presId="urn:microsoft.com/office/officeart/2005/8/layout/vList5"/>
    <dgm:cxn modelId="{2476F643-C268-4B87-80EF-71B3E5600580}" srcId="{4CF294FA-948D-4B7B-87F8-00F608C148C9}" destId="{420C82F7-839F-4280-849B-8AE57779056E}" srcOrd="0" destOrd="0" parTransId="{E9F9D2D4-B94A-40B1-831B-028B7DA53DBC}" sibTransId="{057B5201-6BA0-47E1-A7F7-DD22B31B1470}"/>
    <dgm:cxn modelId="{07194066-A4CD-4692-BDB9-D0FDE6CD0E37}" type="presOf" srcId="{069F61D3-D3C4-4D8F-90A5-3C00D2514F8B}" destId="{5132C6A5-03EC-42AA-ADAB-7B62326DB9F8}" srcOrd="0" destOrd="0" presId="urn:microsoft.com/office/officeart/2005/8/layout/vList5"/>
    <dgm:cxn modelId="{AB7E2949-A831-492A-AFB1-1CC2DEB03183}" srcId="{8B651F10-F21C-46F9-866C-B246CD6E5A37}" destId="{4E727671-EC1E-41C3-8C35-3567FD61265B}" srcOrd="5" destOrd="0" parTransId="{03198CD1-6E4E-4F6E-B5F9-677C67DC3743}" sibTransId="{538C3F53-6CFB-4B9B-8AF5-61850A5DCEA0}"/>
    <dgm:cxn modelId="{8CC6784A-7EA9-4DD1-BC77-DE90E0299736}" srcId="{4E727671-EC1E-41C3-8C35-3567FD61265B}" destId="{069F61D3-D3C4-4D8F-90A5-3C00D2514F8B}" srcOrd="0" destOrd="0" parTransId="{335DADAC-C7F5-4E44-AF87-537ED795E86B}" sibTransId="{95EE2B06-3ABF-4803-BD2A-98D1D8886E9D}"/>
    <dgm:cxn modelId="{C026304F-8952-40C0-BB00-40D72CC054FA}" type="presOf" srcId="{434CC9E0-8C10-43A0-9A98-57719C0DB343}" destId="{1C889F1B-11EE-4615-A828-DB78B3F2E3DB}" srcOrd="0" destOrd="0" presId="urn:microsoft.com/office/officeart/2005/8/layout/vList5"/>
    <dgm:cxn modelId="{83891653-04B3-4BB5-80CA-4E663D2948FB}" srcId="{8B651F10-F21C-46F9-866C-B246CD6E5A37}" destId="{4C6D03E4-6055-4DF5-ACF6-350BBFACECAF}" srcOrd="9" destOrd="0" parTransId="{3D8563BA-9B20-4175-83F7-75EF899A993B}" sibTransId="{04F9B229-9749-4170-BAE8-D577E3886C80}"/>
    <dgm:cxn modelId="{56337F77-8DBD-45D8-A4B5-BC1B7C19609A}" srcId="{8B651F10-F21C-46F9-866C-B246CD6E5A37}" destId="{D07BD804-60CC-4F70-8B1F-01121786FAEB}" srcOrd="2" destOrd="0" parTransId="{2EF9A0B5-F53A-441E-A385-912BF11E0B35}" sibTransId="{9B5A2A3C-12E0-46EF-ABF4-813C1A1A4EFA}"/>
    <dgm:cxn modelId="{55868F7B-541E-4F63-9232-C769DF59C23A}" srcId="{4C6D03E4-6055-4DF5-ACF6-350BBFACECAF}" destId="{757F2B41-0DFD-4A43-8358-EBE9FB48C85C}" srcOrd="0" destOrd="0" parTransId="{AF512AA3-A0F3-4077-BD6E-6C354C086AFA}" sibTransId="{CBDBCDD9-5394-4692-987C-77DE7498CCDC}"/>
    <dgm:cxn modelId="{A7D4747C-FAA2-43F4-A2B9-C435EC3F8BD6}" srcId="{8B651F10-F21C-46F9-866C-B246CD6E5A37}" destId="{970AD28E-4FE9-4DEF-AC50-E4DABAE15210}" srcOrd="8" destOrd="0" parTransId="{E4F29D64-6331-4A22-AD3F-28FCA2C874EF}" sibTransId="{A3D0AD93-66BF-48DA-AC9B-300DBDC1A996}"/>
    <dgm:cxn modelId="{768D8B7C-8C20-480C-AD16-DF517BA06EB5}" srcId="{970AD28E-4FE9-4DEF-AC50-E4DABAE15210}" destId="{308E3B05-3365-4813-BDEE-A4B69A73C5BA}" srcOrd="0" destOrd="0" parTransId="{2A8FD9CF-D600-4C7A-978C-8BA004821353}" sibTransId="{C924EED5-9ADB-4746-93BB-EE7DF1651E20}"/>
    <dgm:cxn modelId="{13882C7F-7CA1-47B4-8ED4-BF0EADE544FE}" srcId="{AF15CA57-F5BD-43BD-B845-E507146D0AFD}" destId="{5FEF9D06-7ADC-469F-819A-FE141E34C0B6}" srcOrd="0" destOrd="0" parTransId="{57ECCBA5-0F7A-4C5E-8D3F-1BF07ACDB7D2}" sibTransId="{1AFB9953-6928-4689-A899-7DA1BF77F428}"/>
    <dgm:cxn modelId="{08616083-7B9A-4FC1-B55F-F9FBF3922B0F}" type="presOf" srcId="{6EA08977-F08C-4460-8737-C78E3F3465AE}" destId="{39E0AC81-EA12-442E-922D-2FF8019047B3}" srcOrd="0" destOrd="0" presId="urn:microsoft.com/office/officeart/2005/8/layout/vList5"/>
    <dgm:cxn modelId="{AFE8FF84-8DC1-4B4E-8745-785091D7D81A}" type="presOf" srcId="{4E727671-EC1E-41C3-8C35-3567FD61265B}" destId="{05A099A8-2CCB-4F55-83F6-79475C9B1CB8}" srcOrd="0" destOrd="0" presId="urn:microsoft.com/office/officeart/2005/8/layout/vList5"/>
    <dgm:cxn modelId="{C3540887-9518-4EAF-8D5A-96E7DDAE0B69}" type="presOf" srcId="{757F2B41-0DFD-4A43-8358-EBE9FB48C85C}" destId="{93BC5DF9-7A49-46B2-9208-4E0DA7182DE1}" srcOrd="0" destOrd="0" presId="urn:microsoft.com/office/officeart/2005/8/layout/vList5"/>
    <dgm:cxn modelId="{E5EA2B88-15EA-4EDC-BA5C-7F8AFFB24C0B}" type="presOf" srcId="{318A53D4-4287-4BC7-887E-263AD3C80366}" destId="{CFC02184-9229-4D4A-9B8C-CA788CC97790}" srcOrd="0" destOrd="0" presId="urn:microsoft.com/office/officeart/2005/8/layout/vList5"/>
    <dgm:cxn modelId="{FE66468D-47B8-4F85-84F9-9359ED2D167C}" srcId="{8B651F10-F21C-46F9-866C-B246CD6E5A37}" destId="{AF15CA57-F5BD-43BD-B845-E507146D0AFD}" srcOrd="3" destOrd="0" parTransId="{453BEC7E-1A5A-47B9-BA42-538720ED47A9}" sibTransId="{67AC3F0C-245B-47BD-AEF6-895DC4FEA210}"/>
    <dgm:cxn modelId="{90FA8CAC-DDEF-4BEC-B07C-3C31459DC44F}" type="presOf" srcId="{308E3B05-3365-4813-BDEE-A4B69A73C5BA}" destId="{A322498C-443B-4534-9DFC-678EB0B317AE}" srcOrd="0" destOrd="0" presId="urn:microsoft.com/office/officeart/2005/8/layout/vList5"/>
    <dgm:cxn modelId="{50F3E5AD-9CC7-4CB3-B58A-8DDB77B8A5EB}" type="presOf" srcId="{35A0BFE8-A7AC-4521-8616-ADF6AF7525BD}" destId="{A35096DD-CC6B-4B1B-8EA4-F7D5D57CAEFB}" srcOrd="0" destOrd="0" presId="urn:microsoft.com/office/officeart/2005/8/layout/vList5"/>
    <dgm:cxn modelId="{C338C6B3-B510-4E8A-847D-FF5ACFC182E1}" srcId="{8B651F10-F21C-46F9-866C-B246CD6E5A37}" destId="{041D9122-278B-45E4-A172-8D215E8E7840}" srcOrd="7" destOrd="0" parTransId="{4E713E75-D74F-421C-80F1-599AB633B2A8}" sibTransId="{0FDDDD30-542A-4B62-9F87-FF1522025282}"/>
    <dgm:cxn modelId="{B94E49B6-56ED-441E-9FF1-2C4DA52AC4D1}" type="presOf" srcId="{D07BD804-60CC-4F70-8B1F-01121786FAEB}" destId="{B66A6E7C-F6D2-4A3A-8399-72EC7AE8D982}" srcOrd="0" destOrd="0" presId="urn:microsoft.com/office/officeart/2005/8/layout/vList5"/>
    <dgm:cxn modelId="{6972B3BB-39D2-4075-AA20-E00158375414}" srcId="{8B651F10-F21C-46F9-866C-B246CD6E5A37}" destId="{4CF294FA-948D-4B7B-87F8-00F608C148C9}" srcOrd="1" destOrd="0" parTransId="{7D443425-3BA7-42E7-9700-0FE31D8A9A9F}" sibTransId="{509282DC-62EB-4E49-8F85-71A7E5D96812}"/>
    <dgm:cxn modelId="{467A6ABC-0B72-4714-A6F6-A263D6683B10}" type="presOf" srcId="{420C82F7-839F-4280-849B-8AE57779056E}" destId="{469751A1-C67B-4E0D-8A5B-BCAD153FDBF1}" srcOrd="0" destOrd="0" presId="urn:microsoft.com/office/officeart/2005/8/layout/vList5"/>
    <dgm:cxn modelId="{95C42CBF-91C1-47D3-8094-A66F15AB77F1}" srcId="{792C2459-8798-48F8-9E5E-C545164CDC7B}" destId="{318A53D4-4287-4BC7-887E-263AD3C80366}" srcOrd="0" destOrd="0" parTransId="{A6E8AC8E-BE3E-4142-ABE2-D61C9C920B28}" sibTransId="{7AF91E0B-3FAD-4AD6-AF4D-597FAF9B8704}"/>
    <dgm:cxn modelId="{F2960EC3-DD8D-498D-A916-5C9FF895E892}" srcId="{434CC9E0-8C10-43A0-9A98-57719C0DB343}" destId="{6EA08977-F08C-4460-8737-C78E3F3465AE}" srcOrd="0" destOrd="0" parTransId="{15CCA6BA-41EA-4D57-9A5C-325DEFA7B527}" sibTransId="{13C746FA-64CE-419A-A643-5014304AF1B9}"/>
    <dgm:cxn modelId="{8513F1DC-C4A6-45C6-A171-6F660D99E596}" type="presOf" srcId="{970AD28E-4FE9-4DEF-AC50-E4DABAE15210}" destId="{961B8597-EC35-4F5A-B584-BC4A98DB01B7}" srcOrd="0" destOrd="0" presId="urn:microsoft.com/office/officeart/2005/8/layout/vList5"/>
    <dgm:cxn modelId="{4AB167E8-6B5D-448A-8576-4F88C9C5A382}" srcId="{8B651F10-F21C-46F9-866C-B246CD6E5A37}" destId="{35A0BFE8-A7AC-4521-8616-ADF6AF7525BD}" srcOrd="0" destOrd="0" parTransId="{987921B4-BCB7-4DB9-8A5B-7C168BD96266}" sibTransId="{36218AC4-8960-405E-9984-E2307AE0D401}"/>
    <dgm:cxn modelId="{C9E1ACEE-33FF-4AE5-9EC9-D85A746BD817}" type="presOf" srcId="{AF15CA57-F5BD-43BD-B845-E507146D0AFD}" destId="{B357D904-3687-48AE-A10E-B065135B03CB}" srcOrd="0" destOrd="0" presId="urn:microsoft.com/office/officeart/2005/8/layout/vList5"/>
    <dgm:cxn modelId="{1345CCEE-BF77-445F-A5F0-67CC9C33F0E3}" srcId="{35A0BFE8-A7AC-4521-8616-ADF6AF7525BD}" destId="{03B18897-9D1C-45DE-969F-B8AA33D875E9}" srcOrd="0" destOrd="0" parTransId="{FBDA4F97-FEDD-42C2-8F70-14BDCF656B10}" sibTransId="{3D6503E2-F39A-4086-A3E3-780DF5327855}"/>
    <dgm:cxn modelId="{98432EF4-48B8-4A16-8CFA-13E209542667}" type="presOf" srcId="{5FEF9D06-7ADC-469F-819A-FE141E34C0B6}" destId="{D116AB53-C457-45AD-AD1E-6ACD6D3717FB}" srcOrd="0" destOrd="0" presId="urn:microsoft.com/office/officeart/2005/8/layout/vList5"/>
    <dgm:cxn modelId="{DAED1DF8-5446-4631-8F8D-0E32B2269AEB}" srcId="{8B651F10-F21C-46F9-866C-B246CD6E5A37}" destId="{792C2459-8798-48F8-9E5E-C545164CDC7B}" srcOrd="4" destOrd="0" parTransId="{BD92E763-8377-4E84-AC59-2DB8E757830A}" sibTransId="{61A80D1A-BC9E-4803-9ADB-E450B9875F44}"/>
    <dgm:cxn modelId="{CB42ADF9-EE83-4C36-B383-F69E5436EED7}" type="presOf" srcId="{4C6D03E4-6055-4DF5-ACF6-350BBFACECAF}" destId="{3CFF0825-DF28-46B9-BD30-AC49AF5AFFBA}" srcOrd="0" destOrd="0" presId="urn:microsoft.com/office/officeart/2005/8/layout/vList5"/>
    <dgm:cxn modelId="{B84D206A-A035-4080-A32C-97747D8ED7F8}" type="presParOf" srcId="{CE8E95DF-06BF-4F67-9C7F-30ED9586A045}" destId="{5A4D7506-890D-458B-95CD-705A4DFD4D26}" srcOrd="0" destOrd="0" presId="urn:microsoft.com/office/officeart/2005/8/layout/vList5"/>
    <dgm:cxn modelId="{39325EE3-217D-4384-B8D3-48FA6C83A9A6}" type="presParOf" srcId="{5A4D7506-890D-458B-95CD-705A4DFD4D26}" destId="{A35096DD-CC6B-4B1B-8EA4-F7D5D57CAEFB}" srcOrd="0" destOrd="0" presId="urn:microsoft.com/office/officeart/2005/8/layout/vList5"/>
    <dgm:cxn modelId="{F19C44F5-AAF5-46D0-B7E7-6F5B4A1945B8}" type="presParOf" srcId="{5A4D7506-890D-458B-95CD-705A4DFD4D26}" destId="{F01B19F2-6376-433B-9C21-E24EA2600134}" srcOrd="1" destOrd="0" presId="urn:microsoft.com/office/officeart/2005/8/layout/vList5"/>
    <dgm:cxn modelId="{A03069E3-5877-446A-BB5D-12A82BBEF02E}" type="presParOf" srcId="{CE8E95DF-06BF-4F67-9C7F-30ED9586A045}" destId="{62E868E1-0A48-4070-94E7-E57AEB5D9E76}" srcOrd="1" destOrd="0" presId="urn:microsoft.com/office/officeart/2005/8/layout/vList5"/>
    <dgm:cxn modelId="{ECEBBC80-7401-4A78-AB53-543F25526F1D}" type="presParOf" srcId="{CE8E95DF-06BF-4F67-9C7F-30ED9586A045}" destId="{41F14DEA-9D4C-4F88-AD54-0FCF68EC1C4F}" srcOrd="2" destOrd="0" presId="urn:microsoft.com/office/officeart/2005/8/layout/vList5"/>
    <dgm:cxn modelId="{8D378A1D-3AC9-43A6-B75B-C3E4D6FBE087}" type="presParOf" srcId="{41F14DEA-9D4C-4F88-AD54-0FCF68EC1C4F}" destId="{3BE39D7D-E8F5-4BD9-8715-051842E1D78D}" srcOrd="0" destOrd="0" presId="urn:microsoft.com/office/officeart/2005/8/layout/vList5"/>
    <dgm:cxn modelId="{4944797F-A7D9-44FA-82C5-E226C182EAD8}" type="presParOf" srcId="{41F14DEA-9D4C-4F88-AD54-0FCF68EC1C4F}" destId="{469751A1-C67B-4E0D-8A5B-BCAD153FDBF1}" srcOrd="1" destOrd="0" presId="urn:microsoft.com/office/officeart/2005/8/layout/vList5"/>
    <dgm:cxn modelId="{BF5570AF-7421-4763-89AB-0177B9E1CF30}" type="presParOf" srcId="{CE8E95DF-06BF-4F67-9C7F-30ED9586A045}" destId="{9DB45F92-1D00-49D8-8B9A-E872BC179EED}" srcOrd="3" destOrd="0" presId="urn:microsoft.com/office/officeart/2005/8/layout/vList5"/>
    <dgm:cxn modelId="{C3372C41-782C-488E-8135-DA68D4CB588A}" type="presParOf" srcId="{CE8E95DF-06BF-4F67-9C7F-30ED9586A045}" destId="{CC1320DD-D2FF-4C09-A877-FEF76B98E727}" srcOrd="4" destOrd="0" presId="urn:microsoft.com/office/officeart/2005/8/layout/vList5"/>
    <dgm:cxn modelId="{EC34758E-8563-46AE-A09F-34010A2278CF}" type="presParOf" srcId="{CC1320DD-D2FF-4C09-A877-FEF76B98E727}" destId="{B66A6E7C-F6D2-4A3A-8399-72EC7AE8D982}" srcOrd="0" destOrd="0" presId="urn:microsoft.com/office/officeart/2005/8/layout/vList5"/>
    <dgm:cxn modelId="{22882CF5-3332-4121-9608-E43979DAFC81}" type="presParOf" srcId="{CC1320DD-D2FF-4C09-A877-FEF76B98E727}" destId="{3CD7ED99-8D9B-4A64-8A38-227F3851C9E3}" srcOrd="1" destOrd="0" presId="urn:microsoft.com/office/officeart/2005/8/layout/vList5"/>
    <dgm:cxn modelId="{7A71CE72-9061-461D-B2DD-C51B151BE203}" type="presParOf" srcId="{CE8E95DF-06BF-4F67-9C7F-30ED9586A045}" destId="{4C7264CC-8D90-4D17-83F2-EE5160B6198A}" srcOrd="5" destOrd="0" presId="urn:microsoft.com/office/officeart/2005/8/layout/vList5"/>
    <dgm:cxn modelId="{4AA538D5-31BD-4E8B-8577-7D3268DC937E}" type="presParOf" srcId="{CE8E95DF-06BF-4F67-9C7F-30ED9586A045}" destId="{8A1D5795-04E2-4263-84BC-AE18DACC2FED}" srcOrd="6" destOrd="0" presId="urn:microsoft.com/office/officeart/2005/8/layout/vList5"/>
    <dgm:cxn modelId="{A6E83B0E-3DA2-4BBD-A03E-E4AD940FAF8C}" type="presParOf" srcId="{8A1D5795-04E2-4263-84BC-AE18DACC2FED}" destId="{B357D904-3687-48AE-A10E-B065135B03CB}" srcOrd="0" destOrd="0" presId="urn:microsoft.com/office/officeart/2005/8/layout/vList5"/>
    <dgm:cxn modelId="{98208216-3F23-4620-A957-5C8DE8194C82}" type="presParOf" srcId="{8A1D5795-04E2-4263-84BC-AE18DACC2FED}" destId="{D116AB53-C457-45AD-AD1E-6ACD6D3717FB}" srcOrd="1" destOrd="0" presId="urn:microsoft.com/office/officeart/2005/8/layout/vList5"/>
    <dgm:cxn modelId="{26E88CA9-7D3D-44BC-9603-89953B90EB7D}" type="presParOf" srcId="{CE8E95DF-06BF-4F67-9C7F-30ED9586A045}" destId="{2491D3AA-9D7A-4FF2-9FC3-F0CD88457F38}" srcOrd="7" destOrd="0" presId="urn:microsoft.com/office/officeart/2005/8/layout/vList5"/>
    <dgm:cxn modelId="{ADC71E17-638B-408C-B77A-2C4EA4F37D23}" type="presParOf" srcId="{CE8E95DF-06BF-4F67-9C7F-30ED9586A045}" destId="{B61D6FA5-C44F-41B8-9AF1-925A6BE3488C}" srcOrd="8" destOrd="0" presId="urn:microsoft.com/office/officeart/2005/8/layout/vList5"/>
    <dgm:cxn modelId="{219D3999-06DE-4517-BC2F-701B0256DD01}" type="presParOf" srcId="{B61D6FA5-C44F-41B8-9AF1-925A6BE3488C}" destId="{D05F2EB8-C700-46BF-8937-3A811FD66A79}" srcOrd="0" destOrd="0" presId="urn:microsoft.com/office/officeart/2005/8/layout/vList5"/>
    <dgm:cxn modelId="{64A7A70C-0820-41F0-8AE8-F9DF60C3937A}" type="presParOf" srcId="{B61D6FA5-C44F-41B8-9AF1-925A6BE3488C}" destId="{CFC02184-9229-4D4A-9B8C-CA788CC97790}" srcOrd="1" destOrd="0" presId="urn:microsoft.com/office/officeart/2005/8/layout/vList5"/>
    <dgm:cxn modelId="{156C9455-7920-43D6-9CE1-F815EA6D34BB}" type="presParOf" srcId="{CE8E95DF-06BF-4F67-9C7F-30ED9586A045}" destId="{2ECAF3D3-DE59-4085-8F17-4E132EC8352E}" srcOrd="9" destOrd="0" presId="urn:microsoft.com/office/officeart/2005/8/layout/vList5"/>
    <dgm:cxn modelId="{DFC6CAC6-94F4-4D27-B802-BDBC8EB29959}" type="presParOf" srcId="{CE8E95DF-06BF-4F67-9C7F-30ED9586A045}" destId="{38F9898C-6B62-4601-9455-0D5F53FF6EF1}" srcOrd="10" destOrd="0" presId="urn:microsoft.com/office/officeart/2005/8/layout/vList5"/>
    <dgm:cxn modelId="{E71C773F-87E3-4D90-B4E6-9042CD5C0F10}" type="presParOf" srcId="{38F9898C-6B62-4601-9455-0D5F53FF6EF1}" destId="{05A099A8-2CCB-4F55-83F6-79475C9B1CB8}" srcOrd="0" destOrd="0" presId="urn:microsoft.com/office/officeart/2005/8/layout/vList5"/>
    <dgm:cxn modelId="{742E50D9-77A5-4059-A25D-1748485B0DF8}" type="presParOf" srcId="{38F9898C-6B62-4601-9455-0D5F53FF6EF1}" destId="{5132C6A5-03EC-42AA-ADAB-7B62326DB9F8}" srcOrd="1" destOrd="0" presId="urn:microsoft.com/office/officeart/2005/8/layout/vList5"/>
    <dgm:cxn modelId="{BD144B10-1E19-4DAB-97B7-859FF334B86F}" type="presParOf" srcId="{CE8E95DF-06BF-4F67-9C7F-30ED9586A045}" destId="{186CA324-BD1E-443D-B7C6-CB916ABCAA56}" srcOrd="11" destOrd="0" presId="urn:microsoft.com/office/officeart/2005/8/layout/vList5"/>
    <dgm:cxn modelId="{5F7CC4B6-1313-485E-8E26-8EA2885C8D25}" type="presParOf" srcId="{CE8E95DF-06BF-4F67-9C7F-30ED9586A045}" destId="{C2D90BC7-844C-41E7-ADA8-D21E418FB155}" srcOrd="12" destOrd="0" presId="urn:microsoft.com/office/officeart/2005/8/layout/vList5"/>
    <dgm:cxn modelId="{FEAFCC0F-B652-42F9-B0B9-B6AA2627CA90}" type="presParOf" srcId="{C2D90BC7-844C-41E7-ADA8-D21E418FB155}" destId="{1C889F1B-11EE-4615-A828-DB78B3F2E3DB}" srcOrd="0" destOrd="0" presId="urn:microsoft.com/office/officeart/2005/8/layout/vList5"/>
    <dgm:cxn modelId="{FDF351E5-E1ED-4FF3-90DD-586DDA4769A6}" type="presParOf" srcId="{C2D90BC7-844C-41E7-ADA8-D21E418FB155}" destId="{39E0AC81-EA12-442E-922D-2FF8019047B3}" srcOrd="1" destOrd="0" presId="urn:microsoft.com/office/officeart/2005/8/layout/vList5"/>
    <dgm:cxn modelId="{2A6A946A-D3C6-47F3-8361-B18217413C12}" type="presParOf" srcId="{CE8E95DF-06BF-4F67-9C7F-30ED9586A045}" destId="{EACC5834-EB77-4159-A476-6FA590A2CF75}" srcOrd="13" destOrd="0" presId="urn:microsoft.com/office/officeart/2005/8/layout/vList5"/>
    <dgm:cxn modelId="{A7ABD5D7-4D75-499B-88BB-11C94FE1CADD}" type="presParOf" srcId="{CE8E95DF-06BF-4F67-9C7F-30ED9586A045}" destId="{7CEE91BF-DB2A-48D3-A24B-184034DB2A47}" srcOrd="14" destOrd="0" presId="urn:microsoft.com/office/officeart/2005/8/layout/vList5"/>
    <dgm:cxn modelId="{5CB501CC-7411-4351-8A7C-F0D4857B700B}" type="presParOf" srcId="{7CEE91BF-DB2A-48D3-A24B-184034DB2A47}" destId="{FAD0B94A-17AF-4BF6-905B-C5051F7DE61C}" srcOrd="0" destOrd="0" presId="urn:microsoft.com/office/officeart/2005/8/layout/vList5"/>
    <dgm:cxn modelId="{B5900544-C01B-4B8B-9C56-CB3F28504545}" type="presParOf" srcId="{7CEE91BF-DB2A-48D3-A24B-184034DB2A47}" destId="{CFC8A3DD-69D7-4F75-A175-AB549B3EB86D}" srcOrd="1" destOrd="0" presId="urn:microsoft.com/office/officeart/2005/8/layout/vList5"/>
    <dgm:cxn modelId="{297B7E87-99D0-4375-A914-AC1CC78FCD0C}" type="presParOf" srcId="{CE8E95DF-06BF-4F67-9C7F-30ED9586A045}" destId="{42801C1A-ED04-489A-908D-DE96AE4DF674}" srcOrd="15" destOrd="0" presId="urn:microsoft.com/office/officeart/2005/8/layout/vList5"/>
    <dgm:cxn modelId="{89075675-7F57-440B-9E6A-EA7AC1159560}" type="presParOf" srcId="{CE8E95DF-06BF-4F67-9C7F-30ED9586A045}" destId="{2F13A82C-211D-43D4-B63E-06C101646CA7}" srcOrd="16" destOrd="0" presId="urn:microsoft.com/office/officeart/2005/8/layout/vList5"/>
    <dgm:cxn modelId="{740DE307-D28F-4EB6-B340-59AEB480B475}" type="presParOf" srcId="{2F13A82C-211D-43D4-B63E-06C101646CA7}" destId="{961B8597-EC35-4F5A-B584-BC4A98DB01B7}" srcOrd="0" destOrd="0" presId="urn:microsoft.com/office/officeart/2005/8/layout/vList5"/>
    <dgm:cxn modelId="{ABFE9A39-0C62-4A2F-9049-AA8F2B751696}" type="presParOf" srcId="{2F13A82C-211D-43D4-B63E-06C101646CA7}" destId="{A322498C-443B-4534-9DFC-678EB0B317AE}" srcOrd="1" destOrd="0" presId="urn:microsoft.com/office/officeart/2005/8/layout/vList5"/>
    <dgm:cxn modelId="{127CCE91-66C2-47C9-9A27-A527ECB69E91}" type="presParOf" srcId="{CE8E95DF-06BF-4F67-9C7F-30ED9586A045}" destId="{ED32BD19-4924-4A7B-9321-3BD93C441DE4}" srcOrd="17" destOrd="0" presId="urn:microsoft.com/office/officeart/2005/8/layout/vList5"/>
    <dgm:cxn modelId="{8D44296D-353B-4A42-AEDE-40F2A198C9EB}" type="presParOf" srcId="{CE8E95DF-06BF-4F67-9C7F-30ED9586A045}" destId="{B1EC7F00-83AF-4A72-94E8-DF3EE6DFD5E5}" srcOrd="18" destOrd="0" presId="urn:microsoft.com/office/officeart/2005/8/layout/vList5"/>
    <dgm:cxn modelId="{A5E7F56F-34A8-4FFA-B3E9-49A252CD0F95}" type="presParOf" srcId="{B1EC7F00-83AF-4A72-94E8-DF3EE6DFD5E5}" destId="{3CFF0825-DF28-46B9-BD30-AC49AF5AFFBA}" srcOrd="0" destOrd="0" presId="urn:microsoft.com/office/officeart/2005/8/layout/vList5"/>
    <dgm:cxn modelId="{6CD5EF44-0DBD-4BEC-836C-EC7D8E8EEE54}" type="presParOf" srcId="{B1EC7F00-83AF-4A72-94E8-DF3EE6DFD5E5}" destId="{93BC5DF9-7A49-46B2-9208-4E0DA7182DE1}" srcOrd="1" destOrd="0" presId="urn:microsoft.com/office/officeart/2005/8/layout/vList5"/>
  </dgm:cxnLst>
  <dgm:bg/>
  <dgm:whole/>
  <dgm:extLst>
    <a:ext uri="http://schemas.microsoft.com/office/drawing/2008/diagram">
      <dsp:dataModelExt xmlns:dsp="http://schemas.microsoft.com/office/drawing/2008/diagram" relId="rId26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B2F66785-41E7-4E23-8871-A22C80E5AAAE}"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n-US"/>
        </a:p>
      </dgm:t>
    </dgm:pt>
    <dgm:pt modelId="{53D61C10-EDD6-441C-8C40-75E71CC01D99}">
      <dgm:prSet custT="1"/>
      <dgm:spPr/>
      <dgm:t>
        <a:bodyPr/>
        <a:lstStyle/>
        <a:p>
          <a:r>
            <a:rPr lang="ro-RO" sz="1200" b="0" i="0" u="none">
              <a:latin typeface="Calibri" panose="020F0502020204030204" pitchFamily="34" charset="0"/>
            </a:rPr>
            <a:t>1. </a:t>
          </a:r>
          <a:r>
            <a:rPr lang="vi-VN" sz="1200" b="0" i="0" u="none">
              <a:latin typeface="Calibri" panose="020F0502020204030204" pitchFamily="34" charset="0"/>
            </a:rPr>
            <a:t>Parcuri și grădini publice</a:t>
          </a:r>
          <a:r>
            <a:rPr lang="ro-RO" sz="1200" b="0" i="0" u="none">
              <a:latin typeface="Calibri" panose="020F0502020204030204" pitchFamily="34" charset="0"/>
            </a:rPr>
            <a:t> (</a:t>
          </a:r>
          <a:r>
            <a:rPr lang="vi-VN" sz="1200" b="0" i="0" u="none">
              <a:latin typeface="Calibri" panose="020F0502020204030204" pitchFamily="34" charset="0"/>
            </a:rPr>
            <a:t>50,4%</a:t>
          </a:r>
          <a:r>
            <a:rPr lang="ro-RO" sz="1200" b="0" i="0" u="none">
              <a:latin typeface="Calibri" panose="020F0502020204030204" pitchFamily="34" charset="0"/>
            </a:rPr>
            <a:t>)</a:t>
          </a:r>
          <a:endParaRPr lang="vi-VN" sz="1200">
            <a:latin typeface="Calibri" panose="020F0502020204030204" pitchFamily="34" charset="0"/>
          </a:endParaRPr>
        </a:p>
      </dgm:t>
    </dgm:pt>
    <dgm:pt modelId="{D10ECA01-8A81-4357-96FD-34FCC51E23DE}" type="parTrans" cxnId="{690625D2-F8C3-45BA-86D9-090DB1119ABD}">
      <dgm:prSet/>
      <dgm:spPr/>
      <dgm:t>
        <a:bodyPr/>
        <a:lstStyle/>
        <a:p>
          <a:endParaRPr lang="en-US" sz="1200"/>
        </a:p>
      </dgm:t>
    </dgm:pt>
    <dgm:pt modelId="{6ED81B8E-1856-4066-A3E7-AA383DCDCBAF}" type="sibTrans" cxnId="{690625D2-F8C3-45BA-86D9-090DB1119ABD}">
      <dgm:prSet/>
      <dgm:spPr/>
      <dgm:t>
        <a:bodyPr/>
        <a:lstStyle/>
        <a:p>
          <a:endParaRPr lang="en-US" sz="1200"/>
        </a:p>
      </dgm:t>
    </dgm:pt>
    <dgm:pt modelId="{D18E12AD-0F20-4EFB-80FB-D7AA80BFE774}">
      <dgm:prSet custT="1"/>
      <dgm:spPr/>
      <dgm:t>
        <a:bodyPr/>
        <a:lstStyle/>
        <a:p>
          <a:r>
            <a:rPr lang="ro-RO" sz="1200" b="0" i="0" u="none">
              <a:latin typeface="Calibri" panose="020F0502020204030204" pitchFamily="34" charset="0"/>
            </a:rPr>
            <a:t>2. </a:t>
          </a:r>
          <a:r>
            <a:rPr lang="vi-VN" sz="1200" b="0" i="0" u="none">
              <a:latin typeface="Calibri" panose="020F0502020204030204" pitchFamily="34" charset="0"/>
            </a:rPr>
            <a:t>Locuri de joacă pentru copii</a:t>
          </a:r>
          <a:r>
            <a:rPr lang="ro-RO" sz="1200" b="0" i="0" u="none">
              <a:latin typeface="Calibri" panose="020F0502020204030204" pitchFamily="34" charset="0"/>
            </a:rPr>
            <a:t> (</a:t>
          </a:r>
          <a:r>
            <a:rPr lang="vi-VN" sz="1200" b="0" i="0" u="none">
              <a:latin typeface="Calibri" panose="020F0502020204030204" pitchFamily="34" charset="0"/>
            </a:rPr>
            <a:t>45,6%</a:t>
          </a:r>
          <a:r>
            <a:rPr lang="ro-RO" sz="1200" b="0" i="0" u="none">
              <a:latin typeface="Calibri" panose="020F0502020204030204" pitchFamily="34" charset="0"/>
            </a:rPr>
            <a:t>)</a:t>
          </a:r>
          <a:endParaRPr lang="vi-VN" sz="1200">
            <a:latin typeface="Calibri" panose="020F0502020204030204" pitchFamily="34" charset="0"/>
          </a:endParaRPr>
        </a:p>
      </dgm:t>
    </dgm:pt>
    <dgm:pt modelId="{68AB8077-0105-42BD-9118-53AF21AD6A57}" type="parTrans" cxnId="{1ED90D34-62E8-4D34-A562-6F5CA97F46D1}">
      <dgm:prSet/>
      <dgm:spPr/>
      <dgm:t>
        <a:bodyPr/>
        <a:lstStyle/>
        <a:p>
          <a:endParaRPr lang="en-US" sz="1200"/>
        </a:p>
      </dgm:t>
    </dgm:pt>
    <dgm:pt modelId="{5B563C61-4C8E-428F-9B16-0BBFE04BF13D}" type="sibTrans" cxnId="{1ED90D34-62E8-4D34-A562-6F5CA97F46D1}">
      <dgm:prSet/>
      <dgm:spPr/>
      <dgm:t>
        <a:bodyPr/>
        <a:lstStyle/>
        <a:p>
          <a:endParaRPr lang="en-US" sz="1200"/>
        </a:p>
      </dgm:t>
    </dgm:pt>
    <dgm:pt modelId="{5E561F03-EF4A-491B-A430-83C475367980}">
      <dgm:prSet custT="1"/>
      <dgm:spPr/>
      <dgm:t>
        <a:bodyPr/>
        <a:lstStyle/>
        <a:p>
          <a:r>
            <a:rPr lang="ro-RO" sz="1200" b="0" i="0" u="none">
              <a:latin typeface="Calibri" panose="020F0502020204030204" pitchFamily="34" charset="0"/>
            </a:rPr>
            <a:t>3. </a:t>
          </a:r>
          <a:r>
            <a:rPr lang="en-US" sz="1200" b="0" i="0" u="none">
              <a:latin typeface="Calibri" panose="020F0502020204030204" pitchFamily="34" charset="0"/>
            </a:rPr>
            <a:t>Cinematografe</a:t>
          </a:r>
          <a:r>
            <a:rPr lang="ro-RO" sz="1200" b="0" i="0" u="none">
              <a:latin typeface="Calibri" panose="020F0502020204030204" pitchFamily="34" charset="0"/>
            </a:rPr>
            <a:t> (</a:t>
          </a:r>
          <a:r>
            <a:rPr lang="en-US" sz="1200" b="0" i="0" u="none">
              <a:latin typeface="Calibri" panose="020F0502020204030204" pitchFamily="34" charset="0"/>
            </a:rPr>
            <a:t>32,5%</a:t>
          </a:r>
          <a:r>
            <a:rPr lang="ro-RO" sz="1200" b="0" i="0" u="none">
              <a:latin typeface="Calibri" panose="020F0502020204030204" pitchFamily="34" charset="0"/>
            </a:rPr>
            <a:t>)</a:t>
          </a:r>
          <a:endParaRPr lang="en-US" sz="1200">
            <a:latin typeface="Calibri" panose="020F0502020204030204" pitchFamily="34" charset="0"/>
          </a:endParaRPr>
        </a:p>
      </dgm:t>
    </dgm:pt>
    <dgm:pt modelId="{80A07436-ABB6-4658-90D6-2123160209FC}" type="parTrans" cxnId="{58616467-5163-4E57-8B2E-B6B9314628DD}">
      <dgm:prSet/>
      <dgm:spPr/>
      <dgm:t>
        <a:bodyPr/>
        <a:lstStyle/>
        <a:p>
          <a:endParaRPr lang="en-US" sz="1200"/>
        </a:p>
      </dgm:t>
    </dgm:pt>
    <dgm:pt modelId="{4E7FF653-47FB-4A94-A7C9-D5DFD440A583}" type="sibTrans" cxnId="{58616467-5163-4E57-8B2E-B6B9314628DD}">
      <dgm:prSet/>
      <dgm:spPr/>
      <dgm:t>
        <a:bodyPr/>
        <a:lstStyle/>
        <a:p>
          <a:endParaRPr lang="en-US" sz="1200"/>
        </a:p>
      </dgm:t>
    </dgm:pt>
    <dgm:pt modelId="{DA257F74-3564-4BFA-97E8-39D6E5797390}">
      <dgm:prSet custT="1"/>
      <dgm:spPr/>
      <dgm:t>
        <a:bodyPr/>
        <a:lstStyle/>
        <a:p>
          <a:r>
            <a:rPr lang="ro-RO" sz="1200" b="0" i="0" u="none">
              <a:latin typeface="Calibri" panose="020F0502020204030204" pitchFamily="34" charset="0"/>
            </a:rPr>
            <a:t>4. </a:t>
          </a:r>
          <a:r>
            <a:rPr lang="vi-VN" sz="1200" b="0" i="0" u="none">
              <a:latin typeface="Calibri" panose="020F0502020204030204" pitchFamily="34" charset="0"/>
            </a:rPr>
            <a:t>Săli și terenuri de sport</a:t>
          </a:r>
          <a:r>
            <a:rPr lang="ro-RO" sz="1200" b="0" i="0" u="none">
              <a:latin typeface="Calibri" panose="020F0502020204030204" pitchFamily="34" charset="0"/>
            </a:rPr>
            <a:t> (</a:t>
          </a:r>
          <a:r>
            <a:rPr lang="vi-VN" sz="1200" b="0" i="0" u="none">
              <a:latin typeface="Calibri" panose="020F0502020204030204" pitchFamily="34" charset="0"/>
            </a:rPr>
            <a:t>26,3%</a:t>
          </a:r>
          <a:r>
            <a:rPr lang="ro-RO" sz="1200" b="0" i="0" u="none">
              <a:latin typeface="Calibri" panose="020F0502020204030204" pitchFamily="34" charset="0"/>
            </a:rPr>
            <a:t>)</a:t>
          </a:r>
          <a:endParaRPr lang="vi-VN" sz="1200">
            <a:latin typeface="Calibri" panose="020F0502020204030204" pitchFamily="34" charset="0"/>
          </a:endParaRPr>
        </a:p>
      </dgm:t>
    </dgm:pt>
    <dgm:pt modelId="{98D15013-41E2-4B3F-80DA-D97D24F5C176}" type="parTrans" cxnId="{67A7B7FC-1051-4634-B4A1-4E683AC7B3F3}">
      <dgm:prSet/>
      <dgm:spPr/>
      <dgm:t>
        <a:bodyPr/>
        <a:lstStyle/>
        <a:p>
          <a:endParaRPr lang="en-US" sz="1200"/>
        </a:p>
      </dgm:t>
    </dgm:pt>
    <dgm:pt modelId="{640FF44D-3D59-48A5-B3DE-28195DDC1119}" type="sibTrans" cxnId="{67A7B7FC-1051-4634-B4A1-4E683AC7B3F3}">
      <dgm:prSet/>
      <dgm:spPr/>
      <dgm:t>
        <a:bodyPr/>
        <a:lstStyle/>
        <a:p>
          <a:endParaRPr lang="en-US" sz="1200"/>
        </a:p>
      </dgm:t>
    </dgm:pt>
    <dgm:pt modelId="{C65570DA-B732-4304-BCDA-1AE850A4EBA5}">
      <dgm:prSet custT="1"/>
      <dgm:spPr/>
      <dgm:t>
        <a:bodyPr/>
        <a:lstStyle/>
        <a:p>
          <a:r>
            <a:rPr lang="ro-RO" sz="1200" b="0" i="0" u="none">
              <a:latin typeface="Calibri" panose="020F0502020204030204" pitchFamily="34" charset="0"/>
            </a:rPr>
            <a:t>5. </a:t>
          </a:r>
          <a:r>
            <a:rPr lang="en-US" sz="1200" b="0" i="0" u="none">
              <a:latin typeface="Calibri" panose="020F0502020204030204" pitchFamily="34" charset="0"/>
            </a:rPr>
            <a:t>Teatre</a:t>
          </a:r>
          <a:r>
            <a:rPr lang="ro-RO" sz="1200" b="0" i="0" u="none">
              <a:latin typeface="Calibri" panose="020F0502020204030204" pitchFamily="34" charset="0"/>
            </a:rPr>
            <a:t> (</a:t>
          </a:r>
          <a:r>
            <a:rPr lang="en-US" sz="1200" b="0" i="0" u="none">
              <a:latin typeface="Calibri" panose="020F0502020204030204" pitchFamily="34" charset="0"/>
            </a:rPr>
            <a:t>24,6%</a:t>
          </a:r>
          <a:r>
            <a:rPr lang="ro-RO" sz="1200" b="0" i="0" u="none">
              <a:latin typeface="Calibri" panose="020F0502020204030204" pitchFamily="34" charset="0"/>
            </a:rPr>
            <a:t>)</a:t>
          </a:r>
          <a:endParaRPr lang="en-US" sz="1200">
            <a:latin typeface="Calibri" panose="020F0502020204030204" pitchFamily="34" charset="0"/>
          </a:endParaRPr>
        </a:p>
      </dgm:t>
    </dgm:pt>
    <dgm:pt modelId="{B378A70C-DA3A-4D0D-9E6B-2EAD69AFEF0E}" type="parTrans" cxnId="{7686EAD5-292D-4F90-A4DD-4DB05FA0A49C}">
      <dgm:prSet/>
      <dgm:spPr/>
      <dgm:t>
        <a:bodyPr/>
        <a:lstStyle/>
        <a:p>
          <a:endParaRPr lang="en-US" sz="1200"/>
        </a:p>
      </dgm:t>
    </dgm:pt>
    <dgm:pt modelId="{A044CE76-2EDA-4BB5-ABCF-586994ACB6FB}" type="sibTrans" cxnId="{7686EAD5-292D-4F90-A4DD-4DB05FA0A49C}">
      <dgm:prSet/>
      <dgm:spPr/>
      <dgm:t>
        <a:bodyPr/>
        <a:lstStyle/>
        <a:p>
          <a:endParaRPr lang="en-US" sz="1200"/>
        </a:p>
      </dgm:t>
    </dgm:pt>
    <dgm:pt modelId="{BBE57F23-761C-4CBE-93DB-2692DA055DB5}">
      <dgm:prSet custT="1"/>
      <dgm:spPr/>
      <dgm:t>
        <a:bodyPr/>
        <a:lstStyle/>
        <a:p>
          <a:r>
            <a:rPr lang="ro-RO" sz="1200" b="0" i="0" u="none">
              <a:latin typeface="Calibri" panose="020F0502020204030204" pitchFamily="34" charset="0"/>
            </a:rPr>
            <a:t>6. </a:t>
          </a:r>
          <a:r>
            <a:rPr lang="en-US" sz="1200" b="0" i="0" u="none">
              <a:latin typeface="Calibri" panose="020F0502020204030204" pitchFamily="34" charset="0"/>
            </a:rPr>
            <a:t>Biblioteci</a:t>
          </a:r>
          <a:r>
            <a:rPr lang="ro-RO" sz="1200" b="0" i="0" u="none">
              <a:latin typeface="Calibri" panose="020F0502020204030204" pitchFamily="34" charset="0"/>
            </a:rPr>
            <a:t> (</a:t>
          </a:r>
          <a:r>
            <a:rPr lang="en-US" sz="1200" b="0" i="0" u="none">
              <a:latin typeface="Calibri" panose="020F0502020204030204" pitchFamily="34" charset="0"/>
            </a:rPr>
            <a:t>19,4%</a:t>
          </a:r>
          <a:r>
            <a:rPr lang="ro-RO" sz="1200" b="0" i="0" u="none">
              <a:latin typeface="Calibri" panose="020F0502020204030204" pitchFamily="34" charset="0"/>
            </a:rPr>
            <a:t>)</a:t>
          </a:r>
          <a:endParaRPr lang="en-US" sz="1200">
            <a:latin typeface="Calibri" panose="020F0502020204030204" pitchFamily="34" charset="0"/>
          </a:endParaRPr>
        </a:p>
      </dgm:t>
    </dgm:pt>
    <dgm:pt modelId="{75F76A21-2D16-492A-B7BF-2CA02A6E1163}" type="parTrans" cxnId="{2069161F-BE8F-46A2-A2B1-2B9A41CB37AF}">
      <dgm:prSet/>
      <dgm:spPr/>
      <dgm:t>
        <a:bodyPr/>
        <a:lstStyle/>
        <a:p>
          <a:endParaRPr lang="en-US" sz="1200"/>
        </a:p>
      </dgm:t>
    </dgm:pt>
    <dgm:pt modelId="{3B52DF85-8271-4D3C-93A5-3678DB67C2BC}" type="sibTrans" cxnId="{2069161F-BE8F-46A2-A2B1-2B9A41CB37AF}">
      <dgm:prSet/>
      <dgm:spPr/>
      <dgm:t>
        <a:bodyPr/>
        <a:lstStyle/>
        <a:p>
          <a:endParaRPr lang="en-US" sz="1200"/>
        </a:p>
      </dgm:t>
    </dgm:pt>
    <dgm:pt modelId="{F491F916-4807-48F3-865D-1B9D3A972721}">
      <dgm:prSet custT="1"/>
      <dgm:spPr/>
      <dgm:t>
        <a:bodyPr/>
        <a:lstStyle/>
        <a:p>
          <a:r>
            <a:rPr lang="ro-RO" sz="1200" b="0" i="0" u="none">
              <a:latin typeface="Calibri" panose="020F0502020204030204" pitchFamily="34" charset="0"/>
            </a:rPr>
            <a:t>7. </a:t>
          </a:r>
          <a:r>
            <a:rPr lang="en-US" sz="1200" b="0" i="0" u="none">
              <a:latin typeface="Calibri" panose="020F0502020204030204" pitchFamily="34" charset="0"/>
            </a:rPr>
            <a:t>Muzee</a:t>
          </a:r>
          <a:r>
            <a:rPr lang="ro-RO" sz="1200" b="0" i="0" u="none">
              <a:latin typeface="Calibri" panose="020F0502020204030204" pitchFamily="34" charset="0"/>
            </a:rPr>
            <a:t> (</a:t>
          </a:r>
          <a:r>
            <a:rPr lang="en-US" sz="1200" b="0" i="0" u="none">
              <a:latin typeface="Calibri" panose="020F0502020204030204" pitchFamily="34" charset="0"/>
            </a:rPr>
            <a:t>18,2%</a:t>
          </a:r>
          <a:r>
            <a:rPr lang="ro-RO" sz="1200" b="0" i="0" u="none">
              <a:latin typeface="Calibri" panose="020F0502020204030204" pitchFamily="34" charset="0"/>
            </a:rPr>
            <a:t>)</a:t>
          </a:r>
          <a:endParaRPr lang="en-US" sz="1200">
            <a:latin typeface="Calibri" panose="020F0502020204030204" pitchFamily="34" charset="0"/>
          </a:endParaRPr>
        </a:p>
      </dgm:t>
    </dgm:pt>
    <dgm:pt modelId="{24FD42E3-45D1-4B90-A690-20EEA6486869}" type="parTrans" cxnId="{E3EFED44-64CF-4CCE-9827-0AFBA7BEA298}">
      <dgm:prSet/>
      <dgm:spPr/>
      <dgm:t>
        <a:bodyPr/>
        <a:lstStyle/>
        <a:p>
          <a:endParaRPr lang="en-US" sz="1200"/>
        </a:p>
      </dgm:t>
    </dgm:pt>
    <dgm:pt modelId="{DC79D0CB-43AF-4E3C-A3D6-ABF92C43682D}" type="sibTrans" cxnId="{E3EFED44-64CF-4CCE-9827-0AFBA7BEA298}">
      <dgm:prSet/>
      <dgm:spPr/>
      <dgm:t>
        <a:bodyPr/>
        <a:lstStyle/>
        <a:p>
          <a:endParaRPr lang="en-US" sz="1200"/>
        </a:p>
      </dgm:t>
    </dgm:pt>
    <dgm:pt modelId="{40AB582C-127C-433A-A57E-08C6DEAAE503}">
      <dgm:prSet custT="1"/>
      <dgm:spPr/>
      <dgm:t>
        <a:bodyPr/>
        <a:lstStyle/>
        <a:p>
          <a:r>
            <a:rPr lang="ro-RO" sz="1200" b="0" i="0" u="none">
              <a:latin typeface="Calibri" panose="020F0502020204030204" pitchFamily="34" charset="0"/>
            </a:rPr>
            <a:t>8. </a:t>
          </a:r>
          <a:r>
            <a:rPr lang="en-US" sz="1200" b="0" i="0" u="none">
              <a:latin typeface="Calibri" panose="020F0502020204030204" pitchFamily="34" charset="0"/>
            </a:rPr>
            <a:t>Ștranduri/bazine de înot</a:t>
          </a:r>
          <a:r>
            <a:rPr lang="ro-RO" sz="1200" b="0" i="0" u="none">
              <a:latin typeface="Calibri" panose="020F0502020204030204" pitchFamily="34" charset="0"/>
            </a:rPr>
            <a:t> (</a:t>
          </a:r>
          <a:r>
            <a:rPr lang="en-US" sz="1200" b="0" i="0" u="none">
              <a:latin typeface="Calibri" panose="020F0502020204030204" pitchFamily="34" charset="0"/>
            </a:rPr>
            <a:t>17,8%</a:t>
          </a:r>
          <a:r>
            <a:rPr lang="ro-RO" sz="1200" b="0" i="0" u="none">
              <a:latin typeface="Calibri" panose="020F0502020204030204" pitchFamily="34" charset="0"/>
            </a:rPr>
            <a:t>)</a:t>
          </a:r>
          <a:endParaRPr lang="en-US" sz="1200">
            <a:latin typeface="Calibri" panose="020F0502020204030204" pitchFamily="34" charset="0"/>
          </a:endParaRPr>
        </a:p>
      </dgm:t>
    </dgm:pt>
    <dgm:pt modelId="{A804357D-629D-435C-B7D3-099FCF806137}" type="parTrans" cxnId="{12EF6495-EEBE-48C0-8B7E-EBE328F909C3}">
      <dgm:prSet/>
      <dgm:spPr/>
      <dgm:t>
        <a:bodyPr/>
        <a:lstStyle/>
        <a:p>
          <a:endParaRPr lang="en-US" sz="1200"/>
        </a:p>
      </dgm:t>
    </dgm:pt>
    <dgm:pt modelId="{CEC9A5E9-64E7-401A-907A-9F62D74D3701}" type="sibTrans" cxnId="{12EF6495-EEBE-48C0-8B7E-EBE328F909C3}">
      <dgm:prSet/>
      <dgm:spPr/>
      <dgm:t>
        <a:bodyPr/>
        <a:lstStyle/>
        <a:p>
          <a:endParaRPr lang="en-US" sz="1200"/>
        </a:p>
      </dgm:t>
    </dgm:pt>
    <dgm:pt modelId="{988F489E-42EC-4519-9B3E-9D65E895CA1E}">
      <dgm:prSet custT="1"/>
      <dgm:spPr/>
      <dgm:t>
        <a:bodyPr/>
        <a:lstStyle/>
        <a:p>
          <a:r>
            <a:rPr lang="ro-RO" sz="1200" b="0" i="0" u="none">
              <a:latin typeface="Calibri" panose="020F0502020204030204" pitchFamily="34" charset="0"/>
            </a:rPr>
            <a:t>9. </a:t>
          </a:r>
          <a:r>
            <a:rPr lang="en-US" sz="1200" b="0" i="0" u="none">
              <a:latin typeface="Calibri" panose="020F0502020204030204" pitchFamily="34" charset="0"/>
            </a:rPr>
            <a:t>Evenimente culturale și artistice</a:t>
          </a:r>
          <a:r>
            <a:rPr lang="ro-RO" sz="1200" b="0" i="0" u="none">
              <a:latin typeface="Calibri" panose="020F0502020204030204" pitchFamily="34" charset="0"/>
            </a:rPr>
            <a:t> (</a:t>
          </a:r>
          <a:r>
            <a:rPr lang="en-US" sz="1200" b="0" i="0" u="none">
              <a:latin typeface="Calibri" panose="020F0502020204030204" pitchFamily="34" charset="0"/>
            </a:rPr>
            <a:t>17,5%</a:t>
          </a:r>
          <a:r>
            <a:rPr lang="ro-RO" sz="1200" b="0" i="0" u="none">
              <a:latin typeface="Calibri" panose="020F0502020204030204" pitchFamily="34" charset="0"/>
            </a:rPr>
            <a:t>)</a:t>
          </a:r>
          <a:endParaRPr lang="en-US" sz="1200">
            <a:latin typeface="Calibri" panose="020F0502020204030204" pitchFamily="34" charset="0"/>
          </a:endParaRPr>
        </a:p>
      </dgm:t>
    </dgm:pt>
    <dgm:pt modelId="{1A1C05AF-DE03-4BD3-8C6C-116FEF8473E9}" type="parTrans" cxnId="{EBEDBFCC-2951-427F-9270-15FDB875D265}">
      <dgm:prSet/>
      <dgm:spPr/>
      <dgm:t>
        <a:bodyPr/>
        <a:lstStyle/>
        <a:p>
          <a:endParaRPr lang="en-US" sz="1200"/>
        </a:p>
      </dgm:t>
    </dgm:pt>
    <dgm:pt modelId="{CA682B2E-6DC9-4D6F-B792-BBC409DAF356}" type="sibTrans" cxnId="{EBEDBFCC-2951-427F-9270-15FDB875D265}">
      <dgm:prSet/>
      <dgm:spPr/>
      <dgm:t>
        <a:bodyPr/>
        <a:lstStyle/>
        <a:p>
          <a:endParaRPr lang="en-US" sz="1200"/>
        </a:p>
      </dgm:t>
    </dgm:pt>
    <dgm:pt modelId="{15C84649-1ABA-4C95-B387-1DDFBB4D4742}">
      <dgm:prSet custT="1"/>
      <dgm:spPr/>
      <dgm:t>
        <a:bodyPr/>
        <a:lstStyle/>
        <a:p>
          <a:r>
            <a:rPr lang="ro-RO" sz="1200" b="0" i="0" u="none">
              <a:latin typeface="Calibri" panose="020F0502020204030204" pitchFamily="34" charset="0"/>
            </a:rPr>
            <a:t>10. </a:t>
          </a:r>
          <a:r>
            <a:rPr lang="en-US" sz="1200" b="0" i="0" u="none">
              <a:latin typeface="Calibri" panose="020F0502020204030204" pitchFamily="34" charset="0"/>
            </a:rPr>
            <a:t>Zone de agrement și picnic</a:t>
          </a:r>
          <a:r>
            <a:rPr lang="ro-RO" sz="1200" b="0" i="0" u="none">
              <a:latin typeface="Calibri" panose="020F0502020204030204" pitchFamily="34" charset="0"/>
            </a:rPr>
            <a:t> (</a:t>
          </a:r>
          <a:r>
            <a:rPr lang="en-US" sz="1200" b="0" i="0" u="none">
              <a:latin typeface="Calibri" panose="020F0502020204030204" pitchFamily="34" charset="0"/>
            </a:rPr>
            <a:t>14,8%</a:t>
          </a:r>
          <a:r>
            <a:rPr lang="ro-RO" sz="1200" b="0" i="0" u="none">
              <a:latin typeface="Calibri" panose="020F0502020204030204" pitchFamily="34" charset="0"/>
            </a:rPr>
            <a:t>)</a:t>
          </a:r>
          <a:endParaRPr lang="en-US" sz="1200">
            <a:latin typeface="Calibri" panose="020F0502020204030204" pitchFamily="34" charset="0"/>
          </a:endParaRPr>
        </a:p>
      </dgm:t>
    </dgm:pt>
    <dgm:pt modelId="{FC4B1734-DD7B-407D-B479-A95F12AE7AC1}" type="parTrans" cxnId="{F75D4228-2166-4D37-86A3-C52A8A08CD1D}">
      <dgm:prSet/>
      <dgm:spPr/>
      <dgm:t>
        <a:bodyPr/>
        <a:lstStyle/>
        <a:p>
          <a:endParaRPr lang="en-US" sz="1200"/>
        </a:p>
      </dgm:t>
    </dgm:pt>
    <dgm:pt modelId="{05BD0579-B584-4EA2-9627-ECD73F29ABB4}" type="sibTrans" cxnId="{F75D4228-2166-4D37-86A3-C52A8A08CD1D}">
      <dgm:prSet/>
      <dgm:spPr/>
      <dgm:t>
        <a:bodyPr/>
        <a:lstStyle/>
        <a:p>
          <a:endParaRPr lang="en-US" sz="1200"/>
        </a:p>
      </dgm:t>
    </dgm:pt>
    <dgm:pt modelId="{F2C96570-D1BC-4F9B-B9B4-9898AFFE89E6}">
      <dgm:prSet custT="1"/>
      <dgm:spPr/>
      <dgm:t>
        <a:bodyPr/>
        <a:lstStyle/>
        <a:p>
          <a:r>
            <a:rPr lang="ro-RO" sz="1200" b="0" i="0" u="none">
              <a:latin typeface="Calibri" panose="020F0502020204030204" pitchFamily="34" charset="0"/>
            </a:rPr>
            <a:t>11. </a:t>
          </a:r>
          <a:r>
            <a:rPr lang="en-US" sz="1200" b="0" i="0" u="none">
              <a:latin typeface="Calibri" panose="020F0502020204030204" pitchFamily="34" charset="0"/>
            </a:rPr>
            <a:t>Concerte</a:t>
          </a:r>
          <a:r>
            <a:rPr lang="ro-RO" sz="1200" b="0" i="0" u="none">
              <a:latin typeface="Calibri" panose="020F0502020204030204" pitchFamily="34" charset="0"/>
            </a:rPr>
            <a:t> (</a:t>
          </a:r>
          <a:r>
            <a:rPr lang="en-US" sz="1200" b="0" i="0" u="none">
              <a:latin typeface="Calibri" panose="020F0502020204030204" pitchFamily="34" charset="0"/>
            </a:rPr>
            <a:t>13,3%</a:t>
          </a:r>
          <a:r>
            <a:rPr lang="ro-RO" sz="1200" b="0" i="0" u="none">
              <a:latin typeface="Calibri" panose="020F0502020204030204" pitchFamily="34" charset="0"/>
            </a:rPr>
            <a:t>)</a:t>
          </a:r>
          <a:endParaRPr lang="en-US" sz="1200">
            <a:latin typeface="Calibri" panose="020F0502020204030204" pitchFamily="34" charset="0"/>
          </a:endParaRPr>
        </a:p>
      </dgm:t>
    </dgm:pt>
    <dgm:pt modelId="{6FA388BE-E914-4E43-BA34-33F5770AC0C4}" type="parTrans" cxnId="{BA2D3924-B062-4018-9FE5-EE784AEBB537}">
      <dgm:prSet/>
      <dgm:spPr/>
      <dgm:t>
        <a:bodyPr/>
        <a:lstStyle/>
        <a:p>
          <a:endParaRPr lang="en-US" sz="1200"/>
        </a:p>
      </dgm:t>
    </dgm:pt>
    <dgm:pt modelId="{84252E4B-A7CA-4375-AA72-6025ECAB94EE}" type="sibTrans" cxnId="{BA2D3924-B062-4018-9FE5-EE784AEBB537}">
      <dgm:prSet/>
      <dgm:spPr/>
      <dgm:t>
        <a:bodyPr/>
        <a:lstStyle/>
        <a:p>
          <a:endParaRPr lang="en-US" sz="1200"/>
        </a:p>
      </dgm:t>
    </dgm:pt>
    <dgm:pt modelId="{8EE1F4AA-877E-42A7-B732-757885DF88D9}">
      <dgm:prSet custT="1"/>
      <dgm:spPr/>
      <dgm:t>
        <a:bodyPr/>
        <a:lstStyle/>
        <a:p>
          <a:r>
            <a:rPr lang="ro-RO" sz="1200" b="0" i="0" u="none">
              <a:latin typeface="Calibri" panose="020F0502020204030204" pitchFamily="34" charset="0"/>
            </a:rPr>
            <a:t>12. </a:t>
          </a:r>
          <a:r>
            <a:rPr lang="en-US" sz="1200" b="0" i="0" u="none">
              <a:latin typeface="Calibri" panose="020F0502020204030204" pitchFamily="34" charset="0"/>
            </a:rPr>
            <a:t>Patinoare</a:t>
          </a:r>
          <a:r>
            <a:rPr lang="ro-RO" sz="1200" b="0" i="0" u="none">
              <a:latin typeface="Calibri" panose="020F0502020204030204" pitchFamily="34" charset="0"/>
            </a:rPr>
            <a:t> (</a:t>
          </a:r>
          <a:r>
            <a:rPr lang="en-US" sz="1200" b="0" i="0" u="none">
              <a:latin typeface="Calibri" panose="020F0502020204030204" pitchFamily="34" charset="0"/>
            </a:rPr>
            <a:t>9,5%</a:t>
          </a:r>
          <a:r>
            <a:rPr lang="ro-RO" sz="1200" b="0" i="0" u="none">
              <a:latin typeface="Calibri" panose="020F0502020204030204" pitchFamily="34" charset="0"/>
            </a:rPr>
            <a:t>)</a:t>
          </a:r>
          <a:endParaRPr lang="en-US" sz="1200">
            <a:latin typeface="Calibri" panose="020F0502020204030204" pitchFamily="34" charset="0"/>
          </a:endParaRPr>
        </a:p>
      </dgm:t>
    </dgm:pt>
    <dgm:pt modelId="{B4FCD260-CB8F-4255-AEE6-1204EA100ADE}" type="parTrans" cxnId="{9AA8B155-0EA6-4026-B4AC-45ED7F58C507}">
      <dgm:prSet/>
      <dgm:spPr/>
      <dgm:t>
        <a:bodyPr/>
        <a:lstStyle/>
        <a:p>
          <a:endParaRPr lang="en-US" sz="1200"/>
        </a:p>
      </dgm:t>
    </dgm:pt>
    <dgm:pt modelId="{3F3D5180-63EC-4369-BED5-431E4A31D98D}" type="sibTrans" cxnId="{9AA8B155-0EA6-4026-B4AC-45ED7F58C507}">
      <dgm:prSet/>
      <dgm:spPr/>
      <dgm:t>
        <a:bodyPr/>
        <a:lstStyle/>
        <a:p>
          <a:endParaRPr lang="en-US" sz="1200"/>
        </a:p>
      </dgm:t>
    </dgm:pt>
    <dgm:pt modelId="{D69B4BEA-3FEB-4332-B74F-D4A1C4FFD1CF}" type="pres">
      <dgm:prSet presAssocID="{B2F66785-41E7-4E23-8871-A22C80E5AAAE}" presName="linearFlow" presStyleCnt="0">
        <dgm:presLayoutVars>
          <dgm:dir/>
          <dgm:resizeHandles val="exact"/>
        </dgm:presLayoutVars>
      </dgm:prSet>
      <dgm:spPr/>
    </dgm:pt>
    <dgm:pt modelId="{76BDBA93-BA6F-40DE-8F0C-53552F5BBCB6}" type="pres">
      <dgm:prSet presAssocID="{53D61C10-EDD6-441C-8C40-75E71CC01D99}" presName="composite" presStyleCnt="0"/>
      <dgm:spPr/>
    </dgm:pt>
    <dgm:pt modelId="{CD265C7B-2A6F-4997-B052-149221BFF06F}" type="pres">
      <dgm:prSet presAssocID="{53D61C10-EDD6-441C-8C40-75E71CC01D99}" presName="imgShp" presStyleLbl="fgImgPlace1" presStyleIdx="0" presStyleCnt="12" custLinFactNeighborX="-37494"/>
      <dgm:spPr>
        <a:blipFill rotWithShape="1">
          <a:blip xmlns:r="http://schemas.openxmlformats.org/officeDocument/2006/relationships" r:embed="rId1">
            <a:duotone>
              <a:schemeClr val="accent2">
                <a:shade val="45000"/>
                <a:satMod val="135000"/>
              </a:schemeClr>
              <a:prstClr val="white"/>
            </a:duotone>
          </a:blip>
          <a:stretch>
            <a:fillRect/>
          </a:stretch>
        </a:blipFill>
      </dgm:spPr>
    </dgm:pt>
    <dgm:pt modelId="{71B551C1-4159-4B5B-AB53-0F08788858AC}" type="pres">
      <dgm:prSet presAssocID="{53D61C10-EDD6-441C-8C40-75E71CC01D99}" presName="txShp" presStyleLbl="node1" presStyleIdx="0" presStyleCnt="12" custLinFactNeighborX="448">
        <dgm:presLayoutVars>
          <dgm:bulletEnabled val="1"/>
        </dgm:presLayoutVars>
      </dgm:prSet>
      <dgm:spPr/>
    </dgm:pt>
    <dgm:pt modelId="{EB37C3D9-BE2A-4141-AFC0-B0700BB5BDCB}" type="pres">
      <dgm:prSet presAssocID="{6ED81B8E-1856-4066-A3E7-AA383DCDCBAF}" presName="spacing" presStyleCnt="0"/>
      <dgm:spPr/>
    </dgm:pt>
    <dgm:pt modelId="{C7B306C8-7EC3-4D98-AAC5-10F042BAFCE7}" type="pres">
      <dgm:prSet presAssocID="{D18E12AD-0F20-4EFB-80FB-D7AA80BFE774}" presName="composite" presStyleCnt="0"/>
      <dgm:spPr/>
    </dgm:pt>
    <dgm:pt modelId="{4BBCF81F-CA11-4C07-B3C9-A80C0557FC84}" type="pres">
      <dgm:prSet presAssocID="{D18E12AD-0F20-4EFB-80FB-D7AA80BFE774}" presName="imgShp" presStyleLbl="fgImgPlace1" presStyleIdx="1" presStyleCnt="12" custLinFactNeighborX="-37494"/>
      <dgm:spPr>
        <a:blipFill rotWithShape="1">
          <a:blip xmlns:r="http://schemas.openxmlformats.org/officeDocument/2006/relationships" r:embed="rId2">
            <a:duotone>
              <a:schemeClr val="accent2">
                <a:shade val="45000"/>
                <a:satMod val="135000"/>
              </a:schemeClr>
              <a:prstClr val="white"/>
            </a:duotone>
          </a:blip>
          <a:stretch>
            <a:fillRect/>
          </a:stretch>
        </a:blipFill>
      </dgm:spPr>
    </dgm:pt>
    <dgm:pt modelId="{B2B60AB8-9D60-4F44-83CF-A935BD689391}" type="pres">
      <dgm:prSet presAssocID="{D18E12AD-0F20-4EFB-80FB-D7AA80BFE774}" presName="txShp" presStyleLbl="node1" presStyleIdx="1" presStyleCnt="12" custLinFactNeighborX="448">
        <dgm:presLayoutVars>
          <dgm:bulletEnabled val="1"/>
        </dgm:presLayoutVars>
      </dgm:prSet>
      <dgm:spPr/>
    </dgm:pt>
    <dgm:pt modelId="{F12198E7-2641-4154-87CB-687329140A02}" type="pres">
      <dgm:prSet presAssocID="{5B563C61-4C8E-428F-9B16-0BBFE04BF13D}" presName="spacing" presStyleCnt="0"/>
      <dgm:spPr/>
    </dgm:pt>
    <dgm:pt modelId="{7D2B51CD-32EB-49D1-85DA-D60582B7340B}" type="pres">
      <dgm:prSet presAssocID="{5E561F03-EF4A-491B-A430-83C475367980}" presName="composite" presStyleCnt="0"/>
      <dgm:spPr/>
    </dgm:pt>
    <dgm:pt modelId="{19A708BA-A5B8-4320-A740-588936C281C1}" type="pres">
      <dgm:prSet presAssocID="{5E561F03-EF4A-491B-A430-83C475367980}" presName="imgShp" presStyleLbl="fgImgPlace1" presStyleIdx="2" presStyleCnt="12" custLinFactNeighborX="-37494"/>
      <dgm:spPr>
        <a:blipFill rotWithShape="1">
          <a:blip xmlns:r="http://schemas.openxmlformats.org/officeDocument/2006/relationships" r:embed="rId3">
            <a:duotone>
              <a:schemeClr val="accent2">
                <a:shade val="45000"/>
                <a:satMod val="135000"/>
              </a:schemeClr>
              <a:prstClr val="white"/>
            </a:duotone>
          </a:blip>
          <a:stretch>
            <a:fillRect/>
          </a:stretch>
        </a:blipFill>
      </dgm:spPr>
    </dgm:pt>
    <dgm:pt modelId="{2712BDAC-3DB1-4FE9-A71E-C52475FF27D9}" type="pres">
      <dgm:prSet presAssocID="{5E561F03-EF4A-491B-A430-83C475367980}" presName="txShp" presStyleLbl="node1" presStyleIdx="2" presStyleCnt="12" custLinFactNeighborX="448">
        <dgm:presLayoutVars>
          <dgm:bulletEnabled val="1"/>
        </dgm:presLayoutVars>
      </dgm:prSet>
      <dgm:spPr/>
    </dgm:pt>
    <dgm:pt modelId="{1728F8DD-6CCF-4C9D-9C73-6BD599E59DB9}" type="pres">
      <dgm:prSet presAssocID="{4E7FF653-47FB-4A94-A7C9-D5DFD440A583}" presName="spacing" presStyleCnt="0"/>
      <dgm:spPr/>
    </dgm:pt>
    <dgm:pt modelId="{C285E4F0-9CF0-414D-8B70-ED8E23553FC8}" type="pres">
      <dgm:prSet presAssocID="{DA257F74-3564-4BFA-97E8-39D6E5797390}" presName="composite" presStyleCnt="0"/>
      <dgm:spPr/>
    </dgm:pt>
    <dgm:pt modelId="{72D1FAA7-2333-44F5-B10A-B7B35D531C71}" type="pres">
      <dgm:prSet presAssocID="{DA257F74-3564-4BFA-97E8-39D6E5797390}" presName="imgShp" presStyleLbl="fgImgPlace1" presStyleIdx="3" presStyleCnt="12" custLinFactNeighborX="-37494"/>
      <dgm:spPr>
        <a:blipFill rotWithShape="1">
          <a:blip xmlns:r="http://schemas.openxmlformats.org/officeDocument/2006/relationships" r:embed="rId4">
            <a:duotone>
              <a:schemeClr val="accent2">
                <a:shade val="45000"/>
                <a:satMod val="135000"/>
              </a:schemeClr>
              <a:prstClr val="white"/>
            </a:duotone>
          </a:blip>
          <a:stretch>
            <a:fillRect/>
          </a:stretch>
        </a:blipFill>
      </dgm:spPr>
    </dgm:pt>
    <dgm:pt modelId="{3B93E1D2-6B47-453C-B4D3-9E7A3FADFBD5}" type="pres">
      <dgm:prSet presAssocID="{DA257F74-3564-4BFA-97E8-39D6E5797390}" presName="txShp" presStyleLbl="node1" presStyleIdx="3" presStyleCnt="12" custLinFactNeighborX="448">
        <dgm:presLayoutVars>
          <dgm:bulletEnabled val="1"/>
        </dgm:presLayoutVars>
      </dgm:prSet>
      <dgm:spPr/>
    </dgm:pt>
    <dgm:pt modelId="{3144EEBA-33D6-4301-B051-A14BEB360E34}" type="pres">
      <dgm:prSet presAssocID="{640FF44D-3D59-48A5-B3DE-28195DDC1119}" presName="spacing" presStyleCnt="0"/>
      <dgm:spPr/>
    </dgm:pt>
    <dgm:pt modelId="{7750E9DB-6A7B-4A29-BEAB-2E01534EE748}" type="pres">
      <dgm:prSet presAssocID="{C65570DA-B732-4304-BCDA-1AE850A4EBA5}" presName="composite" presStyleCnt="0"/>
      <dgm:spPr/>
    </dgm:pt>
    <dgm:pt modelId="{DC171DC7-891F-4DC5-BC4D-23A6B9820E18}" type="pres">
      <dgm:prSet presAssocID="{C65570DA-B732-4304-BCDA-1AE850A4EBA5}" presName="imgShp" presStyleLbl="fgImgPlace1" presStyleIdx="4" presStyleCnt="12" custLinFactNeighborX="-37494"/>
      <dgm:spPr>
        <a:blipFill rotWithShape="1">
          <a:blip xmlns:r="http://schemas.openxmlformats.org/officeDocument/2006/relationships" r:embed="rId5">
            <a:duotone>
              <a:schemeClr val="accent2">
                <a:shade val="45000"/>
                <a:satMod val="135000"/>
              </a:schemeClr>
              <a:prstClr val="white"/>
            </a:duotone>
          </a:blip>
          <a:stretch>
            <a:fillRect/>
          </a:stretch>
        </a:blipFill>
      </dgm:spPr>
    </dgm:pt>
    <dgm:pt modelId="{BD21260D-43B8-4D74-9DC0-8C36EBD3EB8B}" type="pres">
      <dgm:prSet presAssocID="{C65570DA-B732-4304-BCDA-1AE850A4EBA5}" presName="txShp" presStyleLbl="node1" presStyleIdx="4" presStyleCnt="12" custLinFactNeighborX="448">
        <dgm:presLayoutVars>
          <dgm:bulletEnabled val="1"/>
        </dgm:presLayoutVars>
      </dgm:prSet>
      <dgm:spPr/>
    </dgm:pt>
    <dgm:pt modelId="{0F45AD72-C0D3-4A56-A9A4-D3CD38E95976}" type="pres">
      <dgm:prSet presAssocID="{A044CE76-2EDA-4BB5-ABCF-586994ACB6FB}" presName="spacing" presStyleCnt="0"/>
      <dgm:spPr/>
    </dgm:pt>
    <dgm:pt modelId="{59E40552-443B-4173-8D86-BB5986B7C1E6}" type="pres">
      <dgm:prSet presAssocID="{BBE57F23-761C-4CBE-93DB-2692DA055DB5}" presName="composite" presStyleCnt="0"/>
      <dgm:spPr/>
    </dgm:pt>
    <dgm:pt modelId="{8F7457BE-8A37-434B-81FF-213D8158967C}" type="pres">
      <dgm:prSet presAssocID="{BBE57F23-761C-4CBE-93DB-2692DA055DB5}" presName="imgShp" presStyleLbl="fgImgPlace1" presStyleIdx="5" presStyleCnt="12" custLinFactNeighborX="-37494"/>
      <dgm:spPr>
        <a:blipFill rotWithShape="1">
          <a:blip xmlns:r="http://schemas.openxmlformats.org/officeDocument/2006/relationships" r:embed="rId6">
            <a:duotone>
              <a:schemeClr val="accent2">
                <a:shade val="45000"/>
                <a:satMod val="135000"/>
              </a:schemeClr>
              <a:prstClr val="white"/>
            </a:duotone>
          </a:blip>
          <a:stretch>
            <a:fillRect/>
          </a:stretch>
        </a:blipFill>
      </dgm:spPr>
    </dgm:pt>
    <dgm:pt modelId="{2BF78609-C74A-4CD9-B1C6-10CC62DD85F8}" type="pres">
      <dgm:prSet presAssocID="{BBE57F23-761C-4CBE-93DB-2692DA055DB5}" presName="txShp" presStyleLbl="node1" presStyleIdx="5" presStyleCnt="12" custLinFactNeighborX="448">
        <dgm:presLayoutVars>
          <dgm:bulletEnabled val="1"/>
        </dgm:presLayoutVars>
      </dgm:prSet>
      <dgm:spPr/>
    </dgm:pt>
    <dgm:pt modelId="{4167174C-88D8-4EF3-9BBC-E7EF9EF6D060}" type="pres">
      <dgm:prSet presAssocID="{3B52DF85-8271-4D3C-93A5-3678DB67C2BC}" presName="spacing" presStyleCnt="0"/>
      <dgm:spPr/>
    </dgm:pt>
    <dgm:pt modelId="{190EF4F4-9F34-4C5E-A8A6-E7C7C3EB86E3}" type="pres">
      <dgm:prSet presAssocID="{F491F916-4807-48F3-865D-1B9D3A972721}" presName="composite" presStyleCnt="0"/>
      <dgm:spPr/>
    </dgm:pt>
    <dgm:pt modelId="{E6264255-F488-47A1-BC0B-09DEE0B663A9}" type="pres">
      <dgm:prSet presAssocID="{F491F916-4807-48F3-865D-1B9D3A972721}" presName="imgShp" presStyleLbl="fgImgPlace1" presStyleIdx="6" presStyleCnt="12" custLinFactNeighborX="-37494"/>
      <dgm:spPr>
        <a:blipFill rotWithShape="1">
          <a:blip xmlns:r="http://schemas.openxmlformats.org/officeDocument/2006/relationships" r:embed="rId7">
            <a:duotone>
              <a:schemeClr val="accent2">
                <a:shade val="45000"/>
                <a:satMod val="135000"/>
              </a:schemeClr>
              <a:prstClr val="white"/>
            </a:duotone>
          </a:blip>
          <a:stretch>
            <a:fillRect/>
          </a:stretch>
        </a:blipFill>
      </dgm:spPr>
    </dgm:pt>
    <dgm:pt modelId="{7A53F0AB-1CC3-44DF-B4CF-43978A7C554A}" type="pres">
      <dgm:prSet presAssocID="{F491F916-4807-48F3-865D-1B9D3A972721}" presName="txShp" presStyleLbl="node1" presStyleIdx="6" presStyleCnt="12" custLinFactNeighborX="448">
        <dgm:presLayoutVars>
          <dgm:bulletEnabled val="1"/>
        </dgm:presLayoutVars>
      </dgm:prSet>
      <dgm:spPr/>
    </dgm:pt>
    <dgm:pt modelId="{7CA171AB-7AB4-4771-9CF9-159FFC5A7785}" type="pres">
      <dgm:prSet presAssocID="{DC79D0CB-43AF-4E3C-A3D6-ABF92C43682D}" presName="spacing" presStyleCnt="0"/>
      <dgm:spPr/>
    </dgm:pt>
    <dgm:pt modelId="{7C8AAA78-BFF3-4D5A-8460-503C1DF4EA99}" type="pres">
      <dgm:prSet presAssocID="{40AB582C-127C-433A-A57E-08C6DEAAE503}" presName="composite" presStyleCnt="0"/>
      <dgm:spPr/>
    </dgm:pt>
    <dgm:pt modelId="{D1DF6123-F126-40D3-B32B-D95DF6C96DE9}" type="pres">
      <dgm:prSet presAssocID="{40AB582C-127C-433A-A57E-08C6DEAAE503}" presName="imgShp" presStyleLbl="fgImgPlace1" presStyleIdx="7" presStyleCnt="12" custLinFactNeighborX="-37494"/>
      <dgm:spPr>
        <a:blipFill rotWithShape="1">
          <a:blip xmlns:r="http://schemas.openxmlformats.org/officeDocument/2006/relationships" r:embed="rId8">
            <a:duotone>
              <a:schemeClr val="accent2">
                <a:shade val="45000"/>
                <a:satMod val="135000"/>
              </a:schemeClr>
              <a:prstClr val="white"/>
            </a:duotone>
          </a:blip>
          <a:stretch>
            <a:fillRect/>
          </a:stretch>
        </a:blipFill>
      </dgm:spPr>
    </dgm:pt>
    <dgm:pt modelId="{18814761-A5CB-4D22-BAF6-F9042EDAF522}" type="pres">
      <dgm:prSet presAssocID="{40AB582C-127C-433A-A57E-08C6DEAAE503}" presName="txShp" presStyleLbl="node1" presStyleIdx="7" presStyleCnt="12" custLinFactNeighborX="448">
        <dgm:presLayoutVars>
          <dgm:bulletEnabled val="1"/>
        </dgm:presLayoutVars>
      </dgm:prSet>
      <dgm:spPr/>
    </dgm:pt>
    <dgm:pt modelId="{7B217D4C-A3A5-4145-8C43-EB67FADC7723}" type="pres">
      <dgm:prSet presAssocID="{CEC9A5E9-64E7-401A-907A-9F62D74D3701}" presName="spacing" presStyleCnt="0"/>
      <dgm:spPr/>
    </dgm:pt>
    <dgm:pt modelId="{00AC68A8-CD16-4E6D-A388-AEE3ABAB63FB}" type="pres">
      <dgm:prSet presAssocID="{988F489E-42EC-4519-9B3E-9D65E895CA1E}" presName="composite" presStyleCnt="0"/>
      <dgm:spPr/>
    </dgm:pt>
    <dgm:pt modelId="{2C64D855-2ED8-4F6D-B048-244E5353AD0D}" type="pres">
      <dgm:prSet presAssocID="{988F489E-42EC-4519-9B3E-9D65E895CA1E}" presName="imgShp" presStyleLbl="fgImgPlace1" presStyleIdx="8" presStyleCnt="12" custLinFactNeighborX="-37494"/>
      <dgm:spPr>
        <a:blipFill rotWithShape="1">
          <a:blip xmlns:r="http://schemas.openxmlformats.org/officeDocument/2006/relationships" r:embed="rId9">
            <a:duotone>
              <a:schemeClr val="accent2">
                <a:shade val="45000"/>
                <a:satMod val="135000"/>
              </a:schemeClr>
              <a:prstClr val="white"/>
            </a:duotone>
          </a:blip>
          <a:stretch>
            <a:fillRect/>
          </a:stretch>
        </a:blipFill>
      </dgm:spPr>
    </dgm:pt>
    <dgm:pt modelId="{CF5AE372-6BA1-4F82-89AA-7462472CF40E}" type="pres">
      <dgm:prSet presAssocID="{988F489E-42EC-4519-9B3E-9D65E895CA1E}" presName="txShp" presStyleLbl="node1" presStyleIdx="8" presStyleCnt="12">
        <dgm:presLayoutVars>
          <dgm:bulletEnabled val="1"/>
        </dgm:presLayoutVars>
      </dgm:prSet>
      <dgm:spPr/>
    </dgm:pt>
    <dgm:pt modelId="{8F55D769-98FE-4B30-A022-5C72D185B5FE}" type="pres">
      <dgm:prSet presAssocID="{CA682B2E-6DC9-4D6F-B792-BBC409DAF356}" presName="spacing" presStyleCnt="0"/>
      <dgm:spPr/>
    </dgm:pt>
    <dgm:pt modelId="{17CE0948-FB5E-4ED6-AE38-FCD0EBBF5DF6}" type="pres">
      <dgm:prSet presAssocID="{15C84649-1ABA-4C95-B387-1DDFBB4D4742}" presName="composite" presStyleCnt="0"/>
      <dgm:spPr/>
    </dgm:pt>
    <dgm:pt modelId="{155EA40B-67C1-4794-82A7-58BB6F92DD8E}" type="pres">
      <dgm:prSet presAssocID="{15C84649-1ABA-4C95-B387-1DDFBB4D4742}" presName="imgShp" presStyleLbl="fgImgPlace1" presStyleIdx="9" presStyleCnt="12" custLinFactNeighborX="-37494"/>
      <dgm:spPr>
        <a:blipFill rotWithShape="1">
          <a:blip xmlns:r="http://schemas.openxmlformats.org/officeDocument/2006/relationships" r:embed="rId10">
            <a:duotone>
              <a:schemeClr val="accent2">
                <a:shade val="45000"/>
                <a:satMod val="135000"/>
              </a:schemeClr>
              <a:prstClr val="white"/>
            </a:duotone>
          </a:blip>
          <a:stretch>
            <a:fillRect/>
          </a:stretch>
        </a:blipFill>
      </dgm:spPr>
    </dgm:pt>
    <dgm:pt modelId="{FBE7AE64-7066-4587-AB19-7C4C18768981}" type="pres">
      <dgm:prSet presAssocID="{15C84649-1ABA-4C95-B387-1DDFBB4D4742}" presName="txShp" presStyleLbl="node1" presStyleIdx="9" presStyleCnt="12">
        <dgm:presLayoutVars>
          <dgm:bulletEnabled val="1"/>
        </dgm:presLayoutVars>
      </dgm:prSet>
      <dgm:spPr/>
    </dgm:pt>
    <dgm:pt modelId="{EE94319C-77B0-4ADB-B2E9-25A472B313F4}" type="pres">
      <dgm:prSet presAssocID="{05BD0579-B584-4EA2-9627-ECD73F29ABB4}" presName="spacing" presStyleCnt="0"/>
      <dgm:spPr/>
    </dgm:pt>
    <dgm:pt modelId="{532A8CAC-8540-4625-8AD7-1D21B4126ABE}" type="pres">
      <dgm:prSet presAssocID="{F2C96570-D1BC-4F9B-B9B4-9898AFFE89E6}" presName="composite" presStyleCnt="0"/>
      <dgm:spPr/>
    </dgm:pt>
    <dgm:pt modelId="{EC552F7F-B5C0-42B0-884E-F8B748ADFE7C}" type="pres">
      <dgm:prSet presAssocID="{F2C96570-D1BC-4F9B-B9B4-9898AFFE89E6}" presName="imgShp" presStyleLbl="fgImgPlace1" presStyleIdx="10" presStyleCnt="12" custLinFactNeighborX="-37494"/>
      <dgm:spPr>
        <a:blipFill rotWithShape="1">
          <a:blip xmlns:r="http://schemas.openxmlformats.org/officeDocument/2006/relationships" r:embed="rId11">
            <a:duotone>
              <a:schemeClr val="accent2">
                <a:shade val="45000"/>
                <a:satMod val="135000"/>
              </a:schemeClr>
              <a:prstClr val="white"/>
            </a:duotone>
          </a:blip>
          <a:stretch>
            <a:fillRect/>
          </a:stretch>
        </a:blipFill>
      </dgm:spPr>
    </dgm:pt>
    <dgm:pt modelId="{49201ADE-1042-4404-A612-7665B09DA37B}" type="pres">
      <dgm:prSet presAssocID="{F2C96570-D1BC-4F9B-B9B4-9898AFFE89E6}" presName="txShp" presStyleLbl="node1" presStyleIdx="10" presStyleCnt="12">
        <dgm:presLayoutVars>
          <dgm:bulletEnabled val="1"/>
        </dgm:presLayoutVars>
      </dgm:prSet>
      <dgm:spPr/>
    </dgm:pt>
    <dgm:pt modelId="{4C52E15E-28E2-4D0C-AFAE-865DBD96C71D}" type="pres">
      <dgm:prSet presAssocID="{84252E4B-A7CA-4375-AA72-6025ECAB94EE}" presName="spacing" presStyleCnt="0"/>
      <dgm:spPr/>
    </dgm:pt>
    <dgm:pt modelId="{57BC8739-0A6C-4DDE-A0D0-51578691DAFD}" type="pres">
      <dgm:prSet presAssocID="{8EE1F4AA-877E-42A7-B732-757885DF88D9}" presName="composite" presStyleCnt="0"/>
      <dgm:spPr/>
    </dgm:pt>
    <dgm:pt modelId="{4FAB7A38-FD3A-429A-A727-E7F5DEBAC7FE}" type="pres">
      <dgm:prSet presAssocID="{8EE1F4AA-877E-42A7-B732-757885DF88D9}" presName="imgShp" presStyleLbl="fgImgPlace1" presStyleIdx="11" presStyleCnt="12" custLinFactNeighborX="-37494"/>
      <dgm:spPr>
        <a:blipFill rotWithShape="1">
          <a:blip xmlns:r="http://schemas.openxmlformats.org/officeDocument/2006/relationships" r:embed="rId12">
            <a:duotone>
              <a:schemeClr val="accent2">
                <a:shade val="45000"/>
                <a:satMod val="135000"/>
              </a:schemeClr>
              <a:prstClr val="white"/>
            </a:duotone>
          </a:blip>
          <a:stretch>
            <a:fillRect/>
          </a:stretch>
        </a:blipFill>
      </dgm:spPr>
    </dgm:pt>
    <dgm:pt modelId="{708B34C4-13C8-471E-BC6A-1A88EA8BDCB5}" type="pres">
      <dgm:prSet presAssocID="{8EE1F4AA-877E-42A7-B732-757885DF88D9}" presName="txShp" presStyleLbl="node1" presStyleIdx="11" presStyleCnt="12">
        <dgm:presLayoutVars>
          <dgm:bulletEnabled val="1"/>
        </dgm:presLayoutVars>
      </dgm:prSet>
      <dgm:spPr/>
    </dgm:pt>
  </dgm:ptLst>
  <dgm:cxnLst>
    <dgm:cxn modelId="{D8864B0B-1419-4905-ABA2-2D788E066FA2}" type="presOf" srcId="{8EE1F4AA-877E-42A7-B732-757885DF88D9}" destId="{708B34C4-13C8-471E-BC6A-1A88EA8BDCB5}" srcOrd="0" destOrd="0" presId="urn:microsoft.com/office/officeart/2005/8/layout/vList3"/>
    <dgm:cxn modelId="{2069161F-BE8F-46A2-A2B1-2B9A41CB37AF}" srcId="{B2F66785-41E7-4E23-8871-A22C80E5AAAE}" destId="{BBE57F23-761C-4CBE-93DB-2692DA055DB5}" srcOrd="5" destOrd="0" parTransId="{75F76A21-2D16-492A-B7BF-2CA02A6E1163}" sibTransId="{3B52DF85-8271-4D3C-93A5-3678DB67C2BC}"/>
    <dgm:cxn modelId="{BA2D3924-B062-4018-9FE5-EE784AEBB537}" srcId="{B2F66785-41E7-4E23-8871-A22C80E5AAAE}" destId="{F2C96570-D1BC-4F9B-B9B4-9898AFFE89E6}" srcOrd="10" destOrd="0" parTransId="{6FA388BE-E914-4E43-BA34-33F5770AC0C4}" sibTransId="{84252E4B-A7CA-4375-AA72-6025ECAB94EE}"/>
    <dgm:cxn modelId="{F75D4228-2166-4D37-86A3-C52A8A08CD1D}" srcId="{B2F66785-41E7-4E23-8871-A22C80E5AAAE}" destId="{15C84649-1ABA-4C95-B387-1DDFBB4D4742}" srcOrd="9" destOrd="0" parTransId="{FC4B1734-DD7B-407D-B479-A95F12AE7AC1}" sibTransId="{05BD0579-B584-4EA2-9627-ECD73F29ABB4}"/>
    <dgm:cxn modelId="{1ED90D34-62E8-4D34-A562-6F5CA97F46D1}" srcId="{B2F66785-41E7-4E23-8871-A22C80E5AAAE}" destId="{D18E12AD-0F20-4EFB-80FB-D7AA80BFE774}" srcOrd="1" destOrd="0" parTransId="{68AB8077-0105-42BD-9118-53AF21AD6A57}" sibTransId="{5B563C61-4C8E-428F-9B16-0BBFE04BF13D}"/>
    <dgm:cxn modelId="{39314038-8F5F-4AD2-8146-973F764F9977}" type="presOf" srcId="{15C84649-1ABA-4C95-B387-1DDFBB4D4742}" destId="{FBE7AE64-7066-4587-AB19-7C4C18768981}" srcOrd="0" destOrd="0" presId="urn:microsoft.com/office/officeart/2005/8/layout/vList3"/>
    <dgm:cxn modelId="{82082B42-43FA-415A-984E-E0E3BF5D2689}" type="presOf" srcId="{D18E12AD-0F20-4EFB-80FB-D7AA80BFE774}" destId="{B2B60AB8-9D60-4F44-83CF-A935BD689391}" srcOrd="0" destOrd="0" presId="urn:microsoft.com/office/officeart/2005/8/layout/vList3"/>
    <dgm:cxn modelId="{E3EFED44-64CF-4CCE-9827-0AFBA7BEA298}" srcId="{B2F66785-41E7-4E23-8871-A22C80E5AAAE}" destId="{F491F916-4807-48F3-865D-1B9D3A972721}" srcOrd="6" destOrd="0" parTransId="{24FD42E3-45D1-4B90-A690-20EEA6486869}" sibTransId="{DC79D0CB-43AF-4E3C-A3D6-ABF92C43682D}"/>
    <dgm:cxn modelId="{58616467-5163-4E57-8B2E-B6B9314628DD}" srcId="{B2F66785-41E7-4E23-8871-A22C80E5AAAE}" destId="{5E561F03-EF4A-491B-A430-83C475367980}" srcOrd="2" destOrd="0" parTransId="{80A07436-ABB6-4658-90D6-2123160209FC}" sibTransId="{4E7FF653-47FB-4A94-A7C9-D5DFD440A583}"/>
    <dgm:cxn modelId="{D1941D4E-0C2B-4072-B4AC-D489D1A1AAC0}" type="presOf" srcId="{988F489E-42EC-4519-9B3E-9D65E895CA1E}" destId="{CF5AE372-6BA1-4F82-89AA-7462472CF40E}" srcOrd="0" destOrd="0" presId="urn:microsoft.com/office/officeart/2005/8/layout/vList3"/>
    <dgm:cxn modelId="{9AA8B155-0EA6-4026-B4AC-45ED7F58C507}" srcId="{B2F66785-41E7-4E23-8871-A22C80E5AAAE}" destId="{8EE1F4AA-877E-42A7-B732-757885DF88D9}" srcOrd="11" destOrd="0" parTransId="{B4FCD260-CB8F-4255-AEE6-1204EA100ADE}" sibTransId="{3F3D5180-63EC-4369-BED5-431E4A31D98D}"/>
    <dgm:cxn modelId="{F088CE77-9123-4200-B29E-227B07485BBA}" type="presOf" srcId="{B2F66785-41E7-4E23-8871-A22C80E5AAAE}" destId="{D69B4BEA-3FEB-4332-B74F-D4A1C4FFD1CF}" srcOrd="0" destOrd="0" presId="urn:microsoft.com/office/officeart/2005/8/layout/vList3"/>
    <dgm:cxn modelId="{0123037E-420B-4FB0-8896-12ED73C18B57}" type="presOf" srcId="{40AB582C-127C-433A-A57E-08C6DEAAE503}" destId="{18814761-A5CB-4D22-BAF6-F9042EDAF522}" srcOrd="0" destOrd="0" presId="urn:microsoft.com/office/officeart/2005/8/layout/vList3"/>
    <dgm:cxn modelId="{3A30A98B-E267-4A4A-9ABB-DF157B3CFE2F}" type="presOf" srcId="{DA257F74-3564-4BFA-97E8-39D6E5797390}" destId="{3B93E1D2-6B47-453C-B4D3-9E7A3FADFBD5}" srcOrd="0" destOrd="0" presId="urn:microsoft.com/office/officeart/2005/8/layout/vList3"/>
    <dgm:cxn modelId="{14DDDC91-211F-4822-9E9F-4F42F1B98214}" type="presOf" srcId="{53D61C10-EDD6-441C-8C40-75E71CC01D99}" destId="{71B551C1-4159-4B5B-AB53-0F08788858AC}" srcOrd="0" destOrd="0" presId="urn:microsoft.com/office/officeart/2005/8/layout/vList3"/>
    <dgm:cxn modelId="{12EF6495-EEBE-48C0-8B7E-EBE328F909C3}" srcId="{B2F66785-41E7-4E23-8871-A22C80E5AAAE}" destId="{40AB582C-127C-433A-A57E-08C6DEAAE503}" srcOrd="7" destOrd="0" parTransId="{A804357D-629D-435C-B7D3-099FCF806137}" sibTransId="{CEC9A5E9-64E7-401A-907A-9F62D74D3701}"/>
    <dgm:cxn modelId="{A0B48DA4-9C9F-42AE-8645-072E372E0544}" type="presOf" srcId="{C65570DA-B732-4304-BCDA-1AE850A4EBA5}" destId="{BD21260D-43B8-4D74-9DC0-8C36EBD3EB8B}" srcOrd="0" destOrd="0" presId="urn:microsoft.com/office/officeart/2005/8/layout/vList3"/>
    <dgm:cxn modelId="{845BD6AE-BAC3-441E-8732-E33738986578}" type="presOf" srcId="{BBE57F23-761C-4CBE-93DB-2692DA055DB5}" destId="{2BF78609-C74A-4CD9-B1C6-10CC62DD85F8}" srcOrd="0" destOrd="0" presId="urn:microsoft.com/office/officeart/2005/8/layout/vList3"/>
    <dgm:cxn modelId="{EBEDBFCC-2951-427F-9270-15FDB875D265}" srcId="{B2F66785-41E7-4E23-8871-A22C80E5AAAE}" destId="{988F489E-42EC-4519-9B3E-9D65E895CA1E}" srcOrd="8" destOrd="0" parTransId="{1A1C05AF-DE03-4BD3-8C6C-116FEF8473E9}" sibTransId="{CA682B2E-6DC9-4D6F-B792-BBC409DAF356}"/>
    <dgm:cxn modelId="{690625D2-F8C3-45BA-86D9-090DB1119ABD}" srcId="{B2F66785-41E7-4E23-8871-A22C80E5AAAE}" destId="{53D61C10-EDD6-441C-8C40-75E71CC01D99}" srcOrd="0" destOrd="0" parTransId="{D10ECA01-8A81-4357-96FD-34FCC51E23DE}" sibTransId="{6ED81B8E-1856-4066-A3E7-AA383DCDCBAF}"/>
    <dgm:cxn modelId="{8BABFAD4-0C8A-4F9D-800F-7CD1929C200E}" type="presOf" srcId="{F491F916-4807-48F3-865D-1B9D3A972721}" destId="{7A53F0AB-1CC3-44DF-B4CF-43978A7C554A}" srcOrd="0" destOrd="0" presId="urn:microsoft.com/office/officeart/2005/8/layout/vList3"/>
    <dgm:cxn modelId="{7686EAD5-292D-4F90-A4DD-4DB05FA0A49C}" srcId="{B2F66785-41E7-4E23-8871-A22C80E5AAAE}" destId="{C65570DA-B732-4304-BCDA-1AE850A4EBA5}" srcOrd="4" destOrd="0" parTransId="{B378A70C-DA3A-4D0D-9E6B-2EAD69AFEF0E}" sibTransId="{A044CE76-2EDA-4BB5-ABCF-586994ACB6FB}"/>
    <dgm:cxn modelId="{4F6832DA-D3FD-4C23-B73E-23F5615F8F0B}" type="presOf" srcId="{F2C96570-D1BC-4F9B-B9B4-9898AFFE89E6}" destId="{49201ADE-1042-4404-A612-7665B09DA37B}" srcOrd="0" destOrd="0" presId="urn:microsoft.com/office/officeart/2005/8/layout/vList3"/>
    <dgm:cxn modelId="{4A537EEB-63E0-4439-9863-C6830B2ADC52}" type="presOf" srcId="{5E561F03-EF4A-491B-A430-83C475367980}" destId="{2712BDAC-3DB1-4FE9-A71E-C52475FF27D9}" srcOrd="0" destOrd="0" presId="urn:microsoft.com/office/officeart/2005/8/layout/vList3"/>
    <dgm:cxn modelId="{67A7B7FC-1051-4634-B4A1-4E683AC7B3F3}" srcId="{B2F66785-41E7-4E23-8871-A22C80E5AAAE}" destId="{DA257F74-3564-4BFA-97E8-39D6E5797390}" srcOrd="3" destOrd="0" parTransId="{98D15013-41E2-4B3F-80DA-D97D24F5C176}" sibTransId="{640FF44D-3D59-48A5-B3DE-28195DDC1119}"/>
    <dgm:cxn modelId="{5DA7A7BB-2DF7-4642-89A5-A9EEA5AD1C09}" type="presParOf" srcId="{D69B4BEA-3FEB-4332-B74F-D4A1C4FFD1CF}" destId="{76BDBA93-BA6F-40DE-8F0C-53552F5BBCB6}" srcOrd="0" destOrd="0" presId="urn:microsoft.com/office/officeart/2005/8/layout/vList3"/>
    <dgm:cxn modelId="{93C3F311-DA64-47B2-AF3D-B3043E3FCF7A}" type="presParOf" srcId="{76BDBA93-BA6F-40DE-8F0C-53552F5BBCB6}" destId="{CD265C7B-2A6F-4997-B052-149221BFF06F}" srcOrd="0" destOrd="0" presId="urn:microsoft.com/office/officeart/2005/8/layout/vList3"/>
    <dgm:cxn modelId="{068FCE81-44C9-4DB5-845E-EF8A54E69244}" type="presParOf" srcId="{76BDBA93-BA6F-40DE-8F0C-53552F5BBCB6}" destId="{71B551C1-4159-4B5B-AB53-0F08788858AC}" srcOrd="1" destOrd="0" presId="urn:microsoft.com/office/officeart/2005/8/layout/vList3"/>
    <dgm:cxn modelId="{E46E7623-A6B2-4EC4-A131-4DDAB8620082}" type="presParOf" srcId="{D69B4BEA-3FEB-4332-B74F-D4A1C4FFD1CF}" destId="{EB37C3D9-BE2A-4141-AFC0-B0700BB5BDCB}" srcOrd="1" destOrd="0" presId="urn:microsoft.com/office/officeart/2005/8/layout/vList3"/>
    <dgm:cxn modelId="{6D48E49D-46DB-4916-B7CF-39ACCE3BD8FC}" type="presParOf" srcId="{D69B4BEA-3FEB-4332-B74F-D4A1C4FFD1CF}" destId="{C7B306C8-7EC3-4D98-AAC5-10F042BAFCE7}" srcOrd="2" destOrd="0" presId="urn:microsoft.com/office/officeart/2005/8/layout/vList3"/>
    <dgm:cxn modelId="{5273AE6B-1E6F-4772-9118-4B8857EB952D}" type="presParOf" srcId="{C7B306C8-7EC3-4D98-AAC5-10F042BAFCE7}" destId="{4BBCF81F-CA11-4C07-B3C9-A80C0557FC84}" srcOrd="0" destOrd="0" presId="urn:microsoft.com/office/officeart/2005/8/layout/vList3"/>
    <dgm:cxn modelId="{22BAAE49-63DF-43DC-98EF-E07D38F6FB24}" type="presParOf" srcId="{C7B306C8-7EC3-4D98-AAC5-10F042BAFCE7}" destId="{B2B60AB8-9D60-4F44-83CF-A935BD689391}" srcOrd="1" destOrd="0" presId="urn:microsoft.com/office/officeart/2005/8/layout/vList3"/>
    <dgm:cxn modelId="{E7C572BE-F8EC-43E4-BB94-7508B9E3B33F}" type="presParOf" srcId="{D69B4BEA-3FEB-4332-B74F-D4A1C4FFD1CF}" destId="{F12198E7-2641-4154-87CB-687329140A02}" srcOrd="3" destOrd="0" presId="urn:microsoft.com/office/officeart/2005/8/layout/vList3"/>
    <dgm:cxn modelId="{EC7DE367-04C9-4ED7-9217-72DBCDC4A37F}" type="presParOf" srcId="{D69B4BEA-3FEB-4332-B74F-D4A1C4FFD1CF}" destId="{7D2B51CD-32EB-49D1-85DA-D60582B7340B}" srcOrd="4" destOrd="0" presId="urn:microsoft.com/office/officeart/2005/8/layout/vList3"/>
    <dgm:cxn modelId="{A07B5BB7-B28E-45C3-B90D-959091F3F43C}" type="presParOf" srcId="{7D2B51CD-32EB-49D1-85DA-D60582B7340B}" destId="{19A708BA-A5B8-4320-A740-588936C281C1}" srcOrd="0" destOrd="0" presId="urn:microsoft.com/office/officeart/2005/8/layout/vList3"/>
    <dgm:cxn modelId="{4281ED30-AFA5-4533-B384-EB29571D588E}" type="presParOf" srcId="{7D2B51CD-32EB-49D1-85DA-D60582B7340B}" destId="{2712BDAC-3DB1-4FE9-A71E-C52475FF27D9}" srcOrd="1" destOrd="0" presId="urn:microsoft.com/office/officeart/2005/8/layout/vList3"/>
    <dgm:cxn modelId="{49470CCC-B5A1-4505-BC39-464BA77BD78F}" type="presParOf" srcId="{D69B4BEA-3FEB-4332-B74F-D4A1C4FFD1CF}" destId="{1728F8DD-6CCF-4C9D-9C73-6BD599E59DB9}" srcOrd="5" destOrd="0" presId="urn:microsoft.com/office/officeart/2005/8/layout/vList3"/>
    <dgm:cxn modelId="{3960F27D-0496-4445-AC9F-60AB2EB748A5}" type="presParOf" srcId="{D69B4BEA-3FEB-4332-B74F-D4A1C4FFD1CF}" destId="{C285E4F0-9CF0-414D-8B70-ED8E23553FC8}" srcOrd="6" destOrd="0" presId="urn:microsoft.com/office/officeart/2005/8/layout/vList3"/>
    <dgm:cxn modelId="{E0626329-320A-4A65-BD03-4BC6149B76C1}" type="presParOf" srcId="{C285E4F0-9CF0-414D-8B70-ED8E23553FC8}" destId="{72D1FAA7-2333-44F5-B10A-B7B35D531C71}" srcOrd="0" destOrd="0" presId="urn:microsoft.com/office/officeart/2005/8/layout/vList3"/>
    <dgm:cxn modelId="{F644AE23-E178-41EC-B4CB-2886B2E200E3}" type="presParOf" srcId="{C285E4F0-9CF0-414D-8B70-ED8E23553FC8}" destId="{3B93E1D2-6B47-453C-B4D3-9E7A3FADFBD5}" srcOrd="1" destOrd="0" presId="urn:microsoft.com/office/officeart/2005/8/layout/vList3"/>
    <dgm:cxn modelId="{F1C284EF-A794-4C9B-9CCD-B84AD76CC4E6}" type="presParOf" srcId="{D69B4BEA-3FEB-4332-B74F-D4A1C4FFD1CF}" destId="{3144EEBA-33D6-4301-B051-A14BEB360E34}" srcOrd="7" destOrd="0" presId="urn:microsoft.com/office/officeart/2005/8/layout/vList3"/>
    <dgm:cxn modelId="{47756DFA-5DF2-4223-B834-E10EF3AA85A8}" type="presParOf" srcId="{D69B4BEA-3FEB-4332-B74F-D4A1C4FFD1CF}" destId="{7750E9DB-6A7B-4A29-BEAB-2E01534EE748}" srcOrd="8" destOrd="0" presId="urn:microsoft.com/office/officeart/2005/8/layout/vList3"/>
    <dgm:cxn modelId="{47B1BB54-BE8C-4C6F-B64B-0C9327D00E6E}" type="presParOf" srcId="{7750E9DB-6A7B-4A29-BEAB-2E01534EE748}" destId="{DC171DC7-891F-4DC5-BC4D-23A6B9820E18}" srcOrd="0" destOrd="0" presId="urn:microsoft.com/office/officeart/2005/8/layout/vList3"/>
    <dgm:cxn modelId="{A59022D6-72A8-42C3-8C20-487B7AE219A6}" type="presParOf" srcId="{7750E9DB-6A7B-4A29-BEAB-2E01534EE748}" destId="{BD21260D-43B8-4D74-9DC0-8C36EBD3EB8B}" srcOrd="1" destOrd="0" presId="urn:microsoft.com/office/officeart/2005/8/layout/vList3"/>
    <dgm:cxn modelId="{8CEFD9A4-C411-4F25-BFF4-AF06A409C950}" type="presParOf" srcId="{D69B4BEA-3FEB-4332-B74F-D4A1C4FFD1CF}" destId="{0F45AD72-C0D3-4A56-A9A4-D3CD38E95976}" srcOrd="9" destOrd="0" presId="urn:microsoft.com/office/officeart/2005/8/layout/vList3"/>
    <dgm:cxn modelId="{FBB649B0-8229-411F-93CD-5D3A5E746ABC}" type="presParOf" srcId="{D69B4BEA-3FEB-4332-B74F-D4A1C4FFD1CF}" destId="{59E40552-443B-4173-8D86-BB5986B7C1E6}" srcOrd="10" destOrd="0" presId="urn:microsoft.com/office/officeart/2005/8/layout/vList3"/>
    <dgm:cxn modelId="{FB553D65-07FE-4A5B-800C-DCE76641D8EB}" type="presParOf" srcId="{59E40552-443B-4173-8D86-BB5986B7C1E6}" destId="{8F7457BE-8A37-434B-81FF-213D8158967C}" srcOrd="0" destOrd="0" presId="urn:microsoft.com/office/officeart/2005/8/layout/vList3"/>
    <dgm:cxn modelId="{9C4F4A35-1DC2-408A-81AB-56A3CA10B0F0}" type="presParOf" srcId="{59E40552-443B-4173-8D86-BB5986B7C1E6}" destId="{2BF78609-C74A-4CD9-B1C6-10CC62DD85F8}" srcOrd="1" destOrd="0" presId="urn:microsoft.com/office/officeart/2005/8/layout/vList3"/>
    <dgm:cxn modelId="{4BCF2EE1-8586-4D0F-A841-4C4BC2AC21E4}" type="presParOf" srcId="{D69B4BEA-3FEB-4332-B74F-D4A1C4FFD1CF}" destId="{4167174C-88D8-4EF3-9BBC-E7EF9EF6D060}" srcOrd="11" destOrd="0" presId="urn:microsoft.com/office/officeart/2005/8/layout/vList3"/>
    <dgm:cxn modelId="{4CCBCC18-F776-468B-9D72-5F2BC6B8A33F}" type="presParOf" srcId="{D69B4BEA-3FEB-4332-B74F-D4A1C4FFD1CF}" destId="{190EF4F4-9F34-4C5E-A8A6-E7C7C3EB86E3}" srcOrd="12" destOrd="0" presId="urn:microsoft.com/office/officeart/2005/8/layout/vList3"/>
    <dgm:cxn modelId="{2C2035AE-468D-4D09-9035-070B35835967}" type="presParOf" srcId="{190EF4F4-9F34-4C5E-A8A6-E7C7C3EB86E3}" destId="{E6264255-F488-47A1-BC0B-09DEE0B663A9}" srcOrd="0" destOrd="0" presId="urn:microsoft.com/office/officeart/2005/8/layout/vList3"/>
    <dgm:cxn modelId="{D474B08D-58F1-44D9-A060-B1A05648C630}" type="presParOf" srcId="{190EF4F4-9F34-4C5E-A8A6-E7C7C3EB86E3}" destId="{7A53F0AB-1CC3-44DF-B4CF-43978A7C554A}" srcOrd="1" destOrd="0" presId="urn:microsoft.com/office/officeart/2005/8/layout/vList3"/>
    <dgm:cxn modelId="{ECDFA32D-95E0-4F07-8184-9DF5DEF223EC}" type="presParOf" srcId="{D69B4BEA-3FEB-4332-B74F-D4A1C4FFD1CF}" destId="{7CA171AB-7AB4-4771-9CF9-159FFC5A7785}" srcOrd="13" destOrd="0" presId="urn:microsoft.com/office/officeart/2005/8/layout/vList3"/>
    <dgm:cxn modelId="{364013C5-09D2-4417-ACE0-B926915819B4}" type="presParOf" srcId="{D69B4BEA-3FEB-4332-B74F-D4A1C4FFD1CF}" destId="{7C8AAA78-BFF3-4D5A-8460-503C1DF4EA99}" srcOrd="14" destOrd="0" presId="urn:microsoft.com/office/officeart/2005/8/layout/vList3"/>
    <dgm:cxn modelId="{245182C0-26A7-4F5E-A320-5D428F9987F9}" type="presParOf" srcId="{7C8AAA78-BFF3-4D5A-8460-503C1DF4EA99}" destId="{D1DF6123-F126-40D3-B32B-D95DF6C96DE9}" srcOrd="0" destOrd="0" presId="urn:microsoft.com/office/officeart/2005/8/layout/vList3"/>
    <dgm:cxn modelId="{FBB25921-4C41-4A64-846D-6DF52AB276B3}" type="presParOf" srcId="{7C8AAA78-BFF3-4D5A-8460-503C1DF4EA99}" destId="{18814761-A5CB-4D22-BAF6-F9042EDAF522}" srcOrd="1" destOrd="0" presId="urn:microsoft.com/office/officeart/2005/8/layout/vList3"/>
    <dgm:cxn modelId="{5A53EE87-7ABE-410E-999C-9BA06B5DB605}" type="presParOf" srcId="{D69B4BEA-3FEB-4332-B74F-D4A1C4FFD1CF}" destId="{7B217D4C-A3A5-4145-8C43-EB67FADC7723}" srcOrd="15" destOrd="0" presId="urn:microsoft.com/office/officeart/2005/8/layout/vList3"/>
    <dgm:cxn modelId="{F8592FDA-5D8F-4B80-965C-8AF945AB2630}" type="presParOf" srcId="{D69B4BEA-3FEB-4332-B74F-D4A1C4FFD1CF}" destId="{00AC68A8-CD16-4E6D-A388-AEE3ABAB63FB}" srcOrd="16" destOrd="0" presId="urn:microsoft.com/office/officeart/2005/8/layout/vList3"/>
    <dgm:cxn modelId="{0894B482-C149-4029-A496-9975B1D565AD}" type="presParOf" srcId="{00AC68A8-CD16-4E6D-A388-AEE3ABAB63FB}" destId="{2C64D855-2ED8-4F6D-B048-244E5353AD0D}" srcOrd="0" destOrd="0" presId="urn:microsoft.com/office/officeart/2005/8/layout/vList3"/>
    <dgm:cxn modelId="{1B1ACF66-6FD6-4F34-ADF0-F6510AB88C0F}" type="presParOf" srcId="{00AC68A8-CD16-4E6D-A388-AEE3ABAB63FB}" destId="{CF5AE372-6BA1-4F82-89AA-7462472CF40E}" srcOrd="1" destOrd="0" presId="urn:microsoft.com/office/officeart/2005/8/layout/vList3"/>
    <dgm:cxn modelId="{221F12BD-6BEA-4008-A760-BB721E1A19CA}" type="presParOf" srcId="{D69B4BEA-3FEB-4332-B74F-D4A1C4FFD1CF}" destId="{8F55D769-98FE-4B30-A022-5C72D185B5FE}" srcOrd="17" destOrd="0" presId="urn:microsoft.com/office/officeart/2005/8/layout/vList3"/>
    <dgm:cxn modelId="{E66C2B3F-1766-43F5-B3D9-7D5F4D66832C}" type="presParOf" srcId="{D69B4BEA-3FEB-4332-B74F-D4A1C4FFD1CF}" destId="{17CE0948-FB5E-4ED6-AE38-FCD0EBBF5DF6}" srcOrd="18" destOrd="0" presId="urn:microsoft.com/office/officeart/2005/8/layout/vList3"/>
    <dgm:cxn modelId="{7FC0021A-066C-4C34-AA1D-C998D8BE0336}" type="presParOf" srcId="{17CE0948-FB5E-4ED6-AE38-FCD0EBBF5DF6}" destId="{155EA40B-67C1-4794-82A7-58BB6F92DD8E}" srcOrd="0" destOrd="0" presId="urn:microsoft.com/office/officeart/2005/8/layout/vList3"/>
    <dgm:cxn modelId="{DAD8C8B0-6C6F-4A20-8FAD-6872F0B7990F}" type="presParOf" srcId="{17CE0948-FB5E-4ED6-AE38-FCD0EBBF5DF6}" destId="{FBE7AE64-7066-4587-AB19-7C4C18768981}" srcOrd="1" destOrd="0" presId="urn:microsoft.com/office/officeart/2005/8/layout/vList3"/>
    <dgm:cxn modelId="{B75CB133-62A8-4442-89F5-FFDF9EB06F37}" type="presParOf" srcId="{D69B4BEA-3FEB-4332-B74F-D4A1C4FFD1CF}" destId="{EE94319C-77B0-4ADB-B2E9-25A472B313F4}" srcOrd="19" destOrd="0" presId="urn:microsoft.com/office/officeart/2005/8/layout/vList3"/>
    <dgm:cxn modelId="{F6BD154D-3E4B-4160-B44A-63E04B8C6205}" type="presParOf" srcId="{D69B4BEA-3FEB-4332-B74F-D4A1C4FFD1CF}" destId="{532A8CAC-8540-4625-8AD7-1D21B4126ABE}" srcOrd="20" destOrd="0" presId="urn:microsoft.com/office/officeart/2005/8/layout/vList3"/>
    <dgm:cxn modelId="{EFC12557-2582-4668-B4BF-6B33237E818D}" type="presParOf" srcId="{532A8CAC-8540-4625-8AD7-1D21B4126ABE}" destId="{EC552F7F-B5C0-42B0-884E-F8B748ADFE7C}" srcOrd="0" destOrd="0" presId="urn:microsoft.com/office/officeart/2005/8/layout/vList3"/>
    <dgm:cxn modelId="{F53A66F8-AACE-4A0C-BF85-198A45520C0C}" type="presParOf" srcId="{532A8CAC-8540-4625-8AD7-1D21B4126ABE}" destId="{49201ADE-1042-4404-A612-7665B09DA37B}" srcOrd="1" destOrd="0" presId="urn:microsoft.com/office/officeart/2005/8/layout/vList3"/>
    <dgm:cxn modelId="{BB1C97AA-3397-4F81-AB93-FF5A72AEF7A5}" type="presParOf" srcId="{D69B4BEA-3FEB-4332-B74F-D4A1C4FFD1CF}" destId="{4C52E15E-28E2-4D0C-AFAE-865DBD96C71D}" srcOrd="21" destOrd="0" presId="urn:microsoft.com/office/officeart/2005/8/layout/vList3"/>
    <dgm:cxn modelId="{BB4AD94D-E2DD-4547-B687-207349061D58}" type="presParOf" srcId="{D69B4BEA-3FEB-4332-B74F-D4A1C4FFD1CF}" destId="{57BC8739-0A6C-4DDE-A0D0-51578691DAFD}" srcOrd="22" destOrd="0" presId="urn:microsoft.com/office/officeart/2005/8/layout/vList3"/>
    <dgm:cxn modelId="{8E620250-B866-4026-A23F-291CE72AAF55}" type="presParOf" srcId="{57BC8739-0A6C-4DDE-A0D0-51578691DAFD}" destId="{4FAB7A38-FD3A-429A-A727-E7F5DEBAC7FE}" srcOrd="0" destOrd="0" presId="urn:microsoft.com/office/officeart/2005/8/layout/vList3"/>
    <dgm:cxn modelId="{E5C919E3-A452-4B9B-88F3-A90F7C986A7A}" type="presParOf" srcId="{57BC8739-0A6C-4DDE-A0D0-51578691DAFD}" destId="{708B34C4-13C8-471E-BC6A-1A88EA8BDCB5}" srcOrd="1" destOrd="0" presId="urn:microsoft.com/office/officeart/2005/8/layout/vList3"/>
  </dgm:cxnLst>
  <dgm:bg/>
  <dgm:whole/>
  <dgm:extLst>
    <a:ext uri="http://schemas.microsoft.com/office/drawing/2008/diagram">
      <dsp:dataModelExt xmlns:dsp="http://schemas.microsoft.com/office/drawing/2008/diagram" relId="rId26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92A822A-1090-4303-A7A6-5B0C9D04D0FB}" type="doc">
      <dgm:prSet loTypeId="urn:microsoft.com/office/officeart/2005/8/layout/process5" loCatId="process" qsTypeId="urn:microsoft.com/office/officeart/2005/8/quickstyle/simple1" qsCatId="simple" csTypeId="urn:microsoft.com/office/officeart/2005/8/colors/colorful2" csCatId="colorful" phldr="1"/>
      <dgm:spPr/>
      <dgm:t>
        <a:bodyPr/>
        <a:lstStyle/>
        <a:p>
          <a:endParaRPr lang="en-US"/>
        </a:p>
      </dgm:t>
    </dgm:pt>
    <dgm:pt modelId="{A6082F6C-1156-450A-9B92-14B953072F91}">
      <dgm:prSet/>
      <dgm:spPr/>
      <dgm:t>
        <a:bodyPr/>
        <a:lstStyle/>
        <a:p>
          <a:r>
            <a:rPr lang="lt-LT" b="1"/>
            <a:t>Spectacole în aer liber</a:t>
          </a:r>
          <a:endParaRPr lang="en-US" b="1"/>
        </a:p>
      </dgm:t>
    </dgm:pt>
    <dgm:pt modelId="{9A0CEEC2-85EB-48A0-8365-F9BDBE309E85}" type="parTrans" cxnId="{676FFCBB-99B6-42D9-98AD-89834C5E4408}">
      <dgm:prSet/>
      <dgm:spPr/>
      <dgm:t>
        <a:bodyPr/>
        <a:lstStyle/>
        <a:p>
          <a:endParaRPr lang="en-US" b="1"/>
        </a:p>
      </dgm:t>
    </dgm:pt>
    <dgm:pt modelId="{0EA38F29-FDF9-4B81-BE9B-4ED4F7FE11E2}" type="sibTrans" cxnId="{676FFCBB-99B6-42D9-98AD-89834C5E4408}">
      <dgm:prSet/>
      <dgm:spPr/>
      <dgm:t>
        <a:bodyPr/>
        <a:lstStyle/>
        <a:p>
          <a:endParaRPr lang="en-US" b="1"/>
        </a:p>
      </dgm:t>
    </dgm:pt>
    <dgm:pt modelId="{353AB29C-D9B8-4515-A5BD-7FEA58DB64A1}">
      <dgm:prSet/>
      <dgm:spPr/>
      <dgm:t>
        <a:bodyPr/>
        <a:lstStyle/>
        <a:p>
          <a:r>
            <a:rPr lang="lt-LT" b="1"/>
            <a:t>Expoziții</a:t>
          </a:r>
          <a:endParaRPr lang="en-US" b="1"/>
        </a:p>
      </dgm:t>
    </dgm:pt>
    <dgm:pt modelId="{92537B1B-D0C2-403B-9BB7-FB3F56615A67}" type="parTrans" cxnId="{14673F12-90C1-478C-9B89-7DFF64AB7C46}">
      <dgm:prSet/>
      <dgm:spPr/>
      <dgm:t>
        <a:bodyPr/>
        <a:lstStyle/>
        <a:p>
          <a:endParaRPr lang="en-US" b="1"/>
        </a:p>
      </dgm:t>
    </dgm:pt>
    <dgm:pt modelId="{C6180C90-672B-4EE6-9009-D3B42B4C58FF}" type="sibTrans" cxnId="{14673F12-90C1-478C-9B89-7DFF64AB7C46}">
      <dgm:prSet/>
      <dgm:spPr/>
      <dgm:t>
        <a:bodyPr/>
        <a:lstStyle/>
        <a:p>
          <a:endParaRPr lang="en-US" b="1"/>
        </a:p>
      </dgm:t>
    </dgm:pt>
    <dgm:pt modelId="{8FC673FC-FB3D-48A5-8AB9-AFB3BDFEBBFE}">
      <dgm:prSet/>
      <dgm:spPr/>
      <dgm:t>
        <a:bodyPr/>
        <a:lstStyle/>
        <a:p>
          <a:r>
            <a:rPr lang="lt-LT" b="1"/>
            <a:t>Zone de agrement, cafenele, restaurante amenajate pe malul lacurilor;</a:t>
          </a:r>
          <a:endParaRPr lang="en-US" b="1"/>
        </a:p>
      </dgm:t>
    </dgm:pt>
    <dgm:pt modelId="{387DBFD0-5F19-4555-B73F-92861324B400}" type="parTrans" cxnId="{729A0BEA-8641-4FAF-8422-9BB4D6779865}">
      <dgm:prSet/>
      <dgm:spPr/>
      <dgm:t>
        <a:bodyPr/>
        <a:lstStyle/>
        <a:p>
          <a:endParaRPr lang="en-US" b="1"/>
        </a:p>
      </dgm:t>
    </dgm:pt>
    <dgm:pt modelId="{F0F2FF27-407A-40A1-875D-7BDC73FA9308}" type="sibTrans" cxnId="{729A0BEA-8641-4FAF-8422-9BB4D6779865}">
      <dgm:prSet/>
      <dgm:spPr/>
      <dgm:t>
        <a:bodyPr/>
        <a:lstStyle/>
        <a:p>
          <a:endParaRPr lang="en-US" b="1"/>
        </a:p>
      </dgm:t>
    </dgm:pt>
    <dgm:pt modelId="{D641F7DC-F7DF-4C7A-B16B-65DEA76A9BB4}">
      <dgm:prSet/>
      <dgm:spPr/>
      <dgm:t>
        <a:bodyPr/>
        <a:lstStyle/>
        <a:p>
          <a:r>
            <a:rPr lang="lt-LT" b="1"/>
            <a:t>Baze sportive</a:t>
          </a:r>
          <a:endParaRPr lang="en-US" b="1"/>
        </a:p>
      </dgm:t>
    </dgm:pt>
    <dgm:pt modelId="{18ED8323-0B62-41F3-A387-72CA3F6EB54A}" type="parTrans" cxnId="{BB05C002-15F2-4900-AD7B-F48EE81F5DCF}">
      <dgm:prSet/>
      <dgm:spPr/>
      <dgm:t>
        <a:bodyPr/>
        <a:lstStyle/>
        <a:p>
          <a:endParaRPr lang="en-US" b="1"/>
        </a:p>
      </dgm:t>
    </dgm:pt>
    <dgm:pt modelId="{1A3062F8-9E6E-41D6-A08E-7BCECD9751EF}" type="sibTrans" cxnId="{BB05C002-15F2-4900-AD7B-F48EE81F5DCF}">
      <dgm:prSet/>
      <dgm:spPr/>
      <dgm:t>
        <a:bodyPr/>
        <a:lstStyle/>
        <a:p>
          <a:endParaRPr lang="en-US" b="1"/>
        </a:p>
      </dgm:t>
    </dgm:pt>
    <dgm:pt modelId="{F2F69915-4505-4090-9569-C22A18142D67}">
      <dgm:prSet/>
      <dgm:spPr/>
      <dgm:t>
        <a:bodyPr/>
        <a:lstStyle/>
        <a:p>
          <a:r>
            <a:rPr lang="lt-LT" b="1"/>
            <a:t>Cinema în aer liber</a:t>
          </a:r>
          <a:endParaRPr lang="en-US" b="1"/>
        </a:p>
      </dgm:t>
    </dgm:pt>
    <dgm:pt modelId="{0ED96EB7-8A88-4682-8F62-46E3632FA768}" type="parTrans" cxnId="{29E8A936-39B4-423F-A367-784BE00B4BED}">
      <dgm:prSet/>
      <dgm:spPr/>
      <dgm:t>
        <a:bodyPr/>
        <a:lstStyle/>
        <a:p>
          <a:endParaRPr lang="en-US" b="1"/>
        </a:p>
      </dgm:t>
    </dgm:pt>
    <dgm:pt modelId="{81A74E8B-93DF-4981-A6D6-2A5F118E0A3E}" type="sibTrans" cxnId="{29E8A936-39B4-423F-A367-784BE00B4BED}">
      <dgm:prSet/>
      <dgm:spPr/>
      <dgm:t>
        <a:bodyPr/>
        <a:lstStyle/>
        <a:p>
          <a:endParaRPr lang="en-US" b="1"/>
        </a:p>
      </dgm:t>
    </dgm:pt>
    <dgm:pt modelId="{4423C0C8-6D12-4ACB-9058-C0189293E1FC}">
      <dgm:prSet/>
      <dgm:spPr/>
      <dgm:t>
        <a:bodyPr/>
        <a:lstStyle/>
        <a:p>
          <a:r>
            <a:rPr lang="lt-LT" b="1"/>
            <a:t>Cluburi de activități pentru diverse vârste</a:t>
          </a:r>
          <a:endParaRPr lang="en-US" b="1"/>
        </a:p>
      </dgm:t>
    </dgm:pt>
    <dgm:pt modelId="{B57D752C-FB30-4C09-96B0-A45EBBF11E14}" type="parTrans" cxnId="{BC3DE0A5-9FA2-4E74-8D07-12F1B938290D}">
      <dgm:prSet/>
      <dgm:spPr/>
      <dgm:t>
        <a:bodyPr/>
        <a:lstStyle/>
        <a:p>
          <a:endParaRPr lang="en-US" b="1"/>
        </a:p>
      </dgm:t>
    </dgm:pt>
    <dgm:pt modelId="{A983302D-4A09-496A-8460-F836D51F8CA3}" type="sibTrans" cxnId="{BC3DE0A5-9FA2-4E74-8D07-12F1B938290D}">
      <dgm:prSet/>
      <dgm:spPr/>
      <dgm:t>
        <a:bodyPr/>
        <a:lstStyle/>
        <a:p>
          <a:endParaRPr lang="en-US" b="1"/>
        </a:p>
      </dgm:t>
    </dgm:pt>
    <dgm:pt modelId="{ACAE83EA-22E8-429D-AE18-00810920F5F2}">
      <dgm:prSet/>
      <dgm:spPr/>
      <dgm:t>
        <a:bodyPr/>
        <a:lstStyle/>
        <a:p>
          <a:r>
            <a:rPr lang="lt-LT" b="1"/>
            <a:t>Competiții și întreceri sportive</a:t>
          </a:r>
          <a:endParaRPr lang="en-US" b="1"/>
        </a:p>
      </dgm:t>
    </dgm:pt>
    <dgm:pt modelId="{87385C54-BD7B-4678-A2ED-1564AD1F00A1}" type="parTrans" cxnId="{055F8F7B-68F6-4C8E-B05C-01BD0136BB0A}">
      <dgm:prSet/>
      <dgm:spPr/>
      <dgm:t>
        <a:bodyPr/>
        <a:lstStyle/>
        <a:p>
          <a:endParaRPr lang="en-US" b="1"/>
        </a:p>
      </dgm:t>
    </dgm:pt>
    <dgm:pt modelId="{33005162-4608-426B-A8E7-01FDD8D2218B}" type="sibTrans" cxnId="{055F8F7B-68F6-4C8E-B05C-01BD0136BB0A}">
      <dgm:prSet/>
      <dgm:spPr/>
      <dgm:t>
        <a:bodyPr/>
        <a:lstStyle/>
        <a:p>
          <a:endParaRPr lang="en-US" b="1"/>
        </a:p>
      </dgm:t>
    </dgm:pt>
    <dgm:pt modelId="{5B84489F-2569-4727-ABF7-89E61036A9A8}">
      <dgm:prSet/>
      <dgm:spPr/>
      <dgm:t>
        <a:bodyPr/>
        <a:lstStyle/>
        <a:p>
          <a:r>
            <a:rPr lang="lt-LT" b="1"/>
            <a:t>Plimbări cu barca</a:t>
          </a:r>
          <a:endParaRPr lang="en-US" b="1"/>
        </a:p>
      </dgm:t>
    </dgm:pt>
    <dgm:pt modelId="{E9B1B98C-845B-4C6C-91C0-F3F58117C174}" type="parTrans" cxnId="{61208B71-F513-416C-939A-91FFCE23726E}">
      <dgm:prSet/>
      <dgm:spPr/>
      <dgm:t>
        <a:bodyPr/>
        <a:lstStyle/>
        <a:p>
          <a:endParaRPr lang="en-US" b="1"/>
        </a:p>
      </dgm:t>
    </dgm:pt>
    <dgm:pt modelId="{9BCA3A84-3FC9-4D79-8213-FE1FF286A7DF}" type="sibTrans" cxnId="{61208B71-F513-416C-939A-91FFCE23726E}">
      <dgm:prSet/>
      <dgm:spPr/>
      <dgm:t>
        <a:bodyPr/>
        <a:lstStyle/>
        <a:p>
          <a:endParaRPr lang="en-US" b="1"/>
        </a:p>
      </dgm:t>
    </dgm:pt>
    <dgm:pt modelId="{B7F42A8A-BF21-4A64-BFFF-BE0BDB10837A}">
      <dgm:prSet/>
      <dgm:spPr/>
      <dgm:t>
        <a:bodyPr/>
        <a:lstStyle/>
        <a:p>
          <a:r>
            <a:rPr lang="lt-LT" b="1"/>
            <a:t>Târguri</a:t>
          </a:r>
          <a:endParaRPr lang="en-US" b="1"/>
        </a:p>
      </dgm:t>
    </dgm:pt>
    <dgm:pt modelId="{FAA4DD61-244F-4B6A-8C86-AED442D826F9}" type="parTrans" cxnId="{A032FC9B-8294-4E66-A879-6FA0C62A61CF}">
      <dgm:prSet/>
      <dgm:spPr/>
      <dgm:t>
        <a:bodyPr/>
        <a:lstStyle/>
        <a:p>
          <a:endParaRPr lang="en-US" b="1"/>
        </a:p>
      </dgm:t>
    </dgm:pt>
    <dgm:pt modelId="{DF4B2739-4497-42B2-AF27-DC1A0B8EC952}" type="sibTrans" cxnId="{A032FC9B-8294-4E66-A879-6FA0C62A61CF}">
      <dgm:prSet/>
      <dgm:spPr/>
      <dgm:t>
        <a:bodyPr/>
        <a:lstStyle/>
        <a:p>
          <a:endParaRPr lang="en-US" b="1"/>
        </a:p>
      </dgm:t>
    </dgm:pt>
    <dgm:pt modelId="{2F1E53C0-C184-4669-AFA8-709E4BADCFF6}">
      <dgm:prSet/>
      <dgm:spPr/>
      <dgm:t>
        <a:bodyPr/>
        <a:lstStyle/>
        <a:p>
          <a:r>
            <a:rPr lang="lt-LT" b="1"/>
            <a:t>Zone de promenadă</a:t>
          </a:r>
          <a:endParaRPr lang="en-US" b="1"/>
        </a:p>
      </dgm:t>
    </dgm:pt>
    <dgm:pt modelId="{6371A9D4-35D2-4147-9B7B-97E15EA54382}" type="parTrans" cxnId="{21AC54DD-DFA0-41C0-BDEE-578FC6D9DAA2}">
      <dgm:prSet/>
      <dgm:spPr/>
      <dgm:t>
        <a:bodyPr/>
        <a:lstStyle/>
        <a:p>
          <a:endParaRPr lang="en-US" b="1"/>
        </a:p>
      </dgm:t>
    </dgm:pt>
    <dgm:pt modelId="{C200A22E-F0B2-4D93-A695-88A990007110}" type="sibTrans" cxnId="{21AC54DD-DFA0-41C0-BDEE-578FC6D9DAA2}">
      <dgm:prSet/>
      <dgm:spPr/>
      <dgm:t>
        <a:bodyPr/>
        <a:lstStyle/>
        <a:p>
          <a:endParaRPr lang="en-US" b="1"/>
        </a:p>
      </dgm:t>
    </dgm:pt>
    <dgm:pt modelId="{D500925D-122D-44AF-A84A-701508282937}" type="pres">
      <dgm:prSet presAssocID="{C92A822A-1090-4303-A7A6-5B0C9D04D0FB}" presName="diagram" presStyleCnt="0">
        <dgm:presLayoutVars>
          <dgm:dir/>
          <dgm:resizeHandles val="exact"/>
        </dgm:presLayoutVars>
      </dgm:prSet>
      <dgm:spPr/>
    </dgm:pt>
    <dgm:pt modelId="{C0A0DF62-B5BD-4387-BA36-DE41FFB236E9}" type="pres">
      <dgm:prSet presAssocID="{A6082F6C-1156-450A-9B92-14B953072F91}" presName="node" presStyleLbl="node1" presStyleIdx="0" presStyleCnt="10">
        <dgm:presLayoutVars>
          <dgm:bulletEnabled val="1"/>
        </dgm:presLayoutVars>
      </dgm:prSet>
      <dgm:spPr/>
    </dgm:pt>
    <dgm:pt modelId="{BAA38824-1475-4925-9AD8-1EF726066BD1}" type="pres">
      <dgm:prSet presAssocID="{0EA38F29-FDF9-4B81-BE9B-4ED4F7FE11E2}" presName="sibTrans" presStyleLbl="sibTrans2D1" presStyleIdx="0" presStyleCnt="9" custScaleX="38269" custScaleY="32714" custLinFactNeighborX="10831"/>
      <dgm:spPr>
        <a:prstGeom prst="flowChartConnector">
          <a:avLst/>
        </a:prstGeom>
      </dgm:spPr>
    </dgm:pt>
    <dgm:pt modelId="{521A5740-FBB2-4724-AF66-25B6768CFECF}" type="pres">
      <dgm:prSet presAssocID="{0EA38F29-FDF9-4B81-BE9B-4ED4F7FE11E2}" presName="connectorText" presStyleLbl="sibTrans2D1" presStyleIdx="0" presStyleCnt="9"/>
      <dgm:spPr/>
    </dgm:pt>
    <dgm:pt modelId="{E5C7FA49-1574-481B-A463-1E4C73515823}" type="pres">
      <dgm:prSet presAssocID="{353AB29C-D9B8-4515-A5BD-7FEA58DB64A1}" presName="node" presStyleLbl="node1" presStyleIdx="1" presStyleCnt="10">
        <dgm:presLayoutVars>
          <dgm:bulletEnabled val="1"/>
        </dgm:presLayoutVars>
      </dgm:prSet>
      <dgm:spPr/>
    </dgm:pt>
    <dgm:pt modelId="{505AA2F3-F19C-476F-9E23-AD40A4A8A72F}" type="pres">
      <dgm:prSet presAssocID="{C6180C90-672B-4EE6-9009-D3B42B4C58FF}" presName="sibTrans" presStyleLbl="sibTrans2D1" presStyleIdx="1" presStyleCnt="9" custScaleX="38269" custScaleY="32714" custLinFactNeighborX="10831"/>
      <dgm:spPr>
        <a:prstGeom prst="flowChartConnector">
          <a:avLst/>
        </a:prstGeom>
      </dgm:spPr>
    </dgm:pt>
    <dgm:pt modelId="{B7CC1A95-0525-4C0F-BE8E-F51B3F6A63F0}" type="pres">
      <dgm:prSet presAssocID="{C6180C90-672B-4EE6-9009-D3B42B4C58FF}" presName="connectorText" presStyleLbl="sibTrans2D1" presStyleIdx="1" presStyleCnt="9"/>
      <dgm:spPr/>
    </dgm:pt>
    <dgm:pt modelId="{88E73AA8-89A8-4BA5-A821-0561BE5730D3}" type="pres">
      <dgm:prSet presAssocID="{8FC673FC-FB3D-48A5-8AB9-AFB3BDFEBBFE}" presName="node" presStyleLbl="node1" presStyleIdx="2" presStyleCnt="10">
        <dgm:presLayoutVars>
          <dgm:bulletEnabled val="1"/>
        </dgm:presLayoutVars>
      </dgm:prSet>
      <dgm:spPr/>
    </dgm:pt>
    <dgm:pt modelId="{54F2A966-971B-41A5-967F-2B7D25BF5138}" type="pres">
      <dgm:prSet presAssocID="{F0F2FF27-407A-40A1-875D-7BDC73FA9308}" presName="sibTrans" presStyleLbl="sibTrans2D1" presStyleIdx="2" presStyleCnt="9" custScaleX="38269" custScaleY="32714" custLinFactNeighborX="10831"/>
      <dgm:spPr>
        <a:prstGeom prst="flowChartConnector">
          <a:avLst/>
        </a:prstGeom>
      </dgm:spPr>
    </dgm:pt>
    <dgm:pt modelId="{701D132F-7A3E-487D-813C-8E8EB5C75407}" type="pres">
      <dgm:prSet presAssocID="{F0F2FF27-407A-40A1-875D-7BDC73FA9308}" presName="connectorText" presStyleLbl="sibTrans2D1" presStyleIdx="2" presStyleCnt="9"/>
      <dgm:spPr/>
    </dgm:pt>
    <dgm:pt modelId="{7119A070-5EDB-4568-ABBE-8EB94A52FF18}" type="pres">
      <dgm:prSet presAssocID="{D641F7DC-F7DF-4C7A-B16B-65DEA76A9BB4}" presName="node" presStyleLbl="node1" presStyleIdx="3" presStyleCnt="10">
        <dgm:presLayoutVars>
          <dgm:bulletEnabled val="1"/>
        </dgm:presLayoutVars>
      </dgm:prSet>
      <dgm:spPr/>
    </dgm:pt>
    <dgm:pt modelId="{129D6DF5-297A-4DB5-A121-02E6A0CE839F}" type="pres">
      <dgm:prSet presAssocID="{1A3062F8-9E6E-41D6-A08E-7BCECD9751EF}" presName="sibTrans" presStyleLbl="sibTrans2D1" presStyleIdx="3" presStyleCnt="9" custScaleX="38269" custScaleY="32714" custLinFactNeighborX="10831"/>
      <dgm:spPr>
        <a:prstGeom prst="flowChartConnector">
          <a:avLst/>
        </a:prstGeom>
      </dgm:spPr>
    </dgm:pt>
    <dgm:pt modelId="{FEB73A6A-98A4-41C5-9DFA-1D84F78D66F6}" type="pres">
      <dgm:prSet presAssocID="{1A3062F8-9E6E-41D6-A08E-7BCECD9751EF}" presName="connectorText" presStyleLbl="sibTrans2D1" presStyleIdx="3" presStyleCnt="9"/>
      <dgm:spPr/>
    </dgm:pt>
    <dgm:pt modelId="{2408F85E-45AE-462D-BB94-A36187B02D81}" type="pres">
      <dgm:prSet presAssocID="{F2F69915-4505-4090-9569-C22A18142D67}" presName="node" presStyleLbl="node1" presStyleIdx="4" presStyleCnt="10">
        <dgm:presLayoutVars>
          <dgm:bulletEnabled val="1"/>
        </dgm:presLayoutVars>
      </dgm:prSet>
      <dgm:spPr/>
    </dgm:pt>
    <dgm:pt modelId="{2706CDD0-D92C-449C-A9C8-3B5EB99F1763}" type="pres">
      <dgm:prSet presAssocID="{81A74E8B-93DF-4981-A6D6-2A5F118E0A3E}" presName="sibTrans" presStyleLbl="sibTrans2D1" presStyleIdx="4" presStyleCnt="9" custScaleX="38269" custScaleY="32714" custLinFactNeighborX="10831"/>
      <dgm:spPr>
        <a:prstGeom prst="flowChartConnector">
          <a:avLst/>
        </a:prstGeom>
      </dgm:spPr>
    </dgm:pt>
    <dgm:pt modelId="{55F9C7A6-170D-4D17-8AC6-2DC3E82FE08F}" type="pres">
      <dgm:prSet presAssocID="{81A74E8B-93DF-4981-A6D6-2A5F118E0A3E}" presName="connectorText" presStyleLbl="sibTrans2D1" presStyleIdx="4" presStyleCnt="9"/>
      <dgm:spPr/>
    </dgm:pt>
    <dgm:pt modelId="{C4B99722-F42D-4FD1-B2A8-27ED522B8759}" type="pres">
      <dgm:prSet presAssocID="{4423C0C8-6D12-4ACB-9058-C0189293E1FC}" presName="node" presStyleLbl="node1" presStyleIdx="5" presStyleCnt="10">
        <dgm:presLayoutVars>
          <dgm:bulletEnabled val="1"/>
        </dgm:presLayoutVars>
      </dgm:prSet>
      <dgm:spPr/>
    </dgm:pt>
    <dgm:pt modelId="{F6946FE1-F68C-4E2B-A22A-99508BC2959B}" type="pres">
      <dgm:prSet presAssocID="{A983302D-4A09-496A-8460-F836D51F8CA3}" presName="sibTrans" presStyleLbl="sibTrans2D1" presStyleIdx="5" presStyleCnt="9" custScaleX="38269" custScaleY="32714" custLinFactNeighborX="10831"/>
      <dgm:spPr>
        <a:prstGeom prst="flowChartConnector">
          <a:avLst/>
        </a:prstGeom>
      </dgm:spPr>
    </dgm:pt>
    <dgm:pt modelId="{B47EA624-71FA-42D0-8265-B00ED9E5A7A6}" type="pres">
      <dgm:prSet presAssocID="{A983302D-4A09-496A-8460-F836D51F8CA3}" presName="connectorText" presStyleLbl="sibTrans2D1" presStyleIdx="5" presStyleCnt="9"/>
      <dgm:spPr/>
    </dgm:pt>
    <dgm:pt modelId="{DD953057-941A-4247-9926-1B93B0D07826}" type="pres">
      <dgm:prSet presAssocID="{ACAE83EA-22E8-429D-AE18-00810920F5F2}" presName="node" presStyleLbl="node1" presStyleIdx="6" presStyleCnt="10">
        <dgm:presLayoutVars>
          <dgm:bulletEnabled val="1"/>
        </dgm:presLayoutVars>
      </dgm:prSet>
      <dgm:spPr/>
    </dgm:pt>
    <dgm:pt modelId="{42933904-1F3A-486D-BD6A-CC6F121EBB02}" type="pres">
      <dgm:prSet presAssocID="{33005162-4608-426B-A8E7-01FDD8D2218B}" presName="sibTrans" presStyleLbl="sibTrans2D1" presStyleIdx="6" presStyleCnt="9" custScaleX="38269" custScaleY="32714" custLinFactNeighborX="10831"/>
      <dgm:spPr>
        <a:prstGeom prst="flowChartConnector">
          <a:avLst/>
        </a:prstGeom>
      </dgm:spPr>
    </dgm:pt>
    <dgm:pt modelId="{BCF86E95-8FCB-41A3-A335-43E3986AF43F}" type="pres">
      <dgm:prSet presAssocID="{33005162-4608-426B-A8E7-01FDD8D2218B}" presName="connectorText" presStyleLbl="sibTrans2D1" presStyleIdx="6" presStyleCnt="9"/>
      <dgm:spPr/>
    </dgm:pt>
    <dgm:pt modelId="{CD3DF0D4-B4B9-44CC-903B-902658351D98}" type="pres">
      <dgm:prSet presAssocID="{5B84489F-2569-4727-ABF7-89E61036A9A8}" presName="node" presStyleLbl="node1" presStyleIdx="7" presStyleCnt="10">
        <dgm:presLayoutVars>
          <dgm:bulletEnabled val="1"/>
        </dgm:presLayoutVars>
      </dgm:prSet>
      <dgm:spPr/>
    </dgm:pt>
    <dgm:pt modelId="{48F5FF48-DC86-4F82-A1D1-79DECD7C37AD}" type="pres">
      <dgm:prSet presAssocID="{9BCA3A84-3FC9-4D79-8213-FE1FF286A7DF}" presName="sibTrans" presStyleLbl="sibTrans2D1" presStyleIdx="7" presStyleCnt="9" custScaleX="38269" custScaleY="32714"/>
      <dgm:spPr>
        <a:prstGeom prst="flowChartConnector">
          <a:avLst/>
        </a:prstGeom>
      </dgm:spPr>
    </dgm:pt>
    <dgm:pt modelId="{B7A16E73-7D69-4AFE-9716-E1D5738A7DF4}" type="pres">
      <dgm:prSet presAssocID="{9BCA3A84-3FC9-4D79-8213-FE1FF286A7DF}" presName="connectorText" presStyleLbl="sibTrans2D1" presStyleIdx="7" presStyleCnt="9"/>
      <dgm:spPr/>
    </dgm:pt>
    <dgm:pt modelId="{8F875879-8919-4E43-8314-634FA1604F1A}" type="pres">
      <dgm:prSet presAssocID="{B7F42A8A-BF21-4A64-BFFF-BE0BDB10837A}" presName="node" presStyleLbl="node1" presStyleIdx="8" presStyleCnt="10">
        <dgm:presLayoutVars>
          <dgm:bulletEnabled val="1"/>
        </dgm:presLayoutVars>
      </dgm:prSet>
      <dgm:spPr/>
    </dgm:pt>
    <dgm:pt modelId="{7B7635C6-3F05-4C83-AC58-61AF40024EE7}" type="pres">
      <dgm:prSet presAssocID="{DF4B2739-4497-42B2-AF27-DC1A0B8EC952}" presName="sibTrans" presStyleLbl="sibTrans2D1" presStyleIdx="8" presStyleCnt="9" custScaleX="38269" custScaleY="32714"/>
      <dgm:spPr>
        <a:prstGeom prst="flowChartConnector">
          <a:avLst/>
        </a:prstGeom>
      </dgm:spPr>
    </dgm:pt>
    <dgm:pt modelId="{0E7731F2-DA34-408F-B7A8-5414FB669C7C}" type="pres">
      <dgm:prSet presAssocID="{DF4B2739-4497-42B2-AF27-DC1A0B8EC952}" presName="connectorText" presStyleLbl="sibTrans2D1" presStyleIdx="8" presStyleCnt="9"/>
      <dgm:spPr/>
    </dgm:pt>
    <dgm:pt modelId="{903C4ED8-2109-4F0C-BA90-D2C12EF980D6}" type="pres">
      <dgm:prSet presAssocID="{2F1E53C0-C184-4669-AFA8-709E4BADCFF6}" presName="node" presStyleLbl="node1" presStyleIdx="9" presStyleCnt="10">
        <dgm:presLayoutVars>
          <dgm:bulletEnabled val="1"/>
        </dgm:presLayoutVars>
      </dgm:prSet>
      <dgm:spPr/>
    </dgm:pt>
  </dgm:ptLst>
  <dgm:cxnLst>
    <dgm:cxn modelId="{BB05C002-15F2-4900-AD7B-F48EE81F5DCF}" srcId="{C92A822A-1090-4303-A7A6-5B0C9D04D0FB}" destId="{D641F7DC-F7DF-4C7A-B16B-65DEA76A9BB4}" srcOrd="3" destOrd="0" parTransId="{18ED8323-0B62-41F3-A387-72CA3F6EB54A}" sibTransId="{1A3062F8-9E6E-41D6-A08E-7BCECD9751EF}"/>
    <dgm:cxn modelId="{14673F12-90C1-478C-9B89-7DFF64AB7C46}" srcId="{C92A822A-1090-4303-A7A6-5B0C9D04D0FB}" destId="{353AB29C-D9B8-4515-A5BD-7FEA58DB64A1}" srcOrd="1" destOrd="0" parTransId="{92537B1B-D0C2-403B-9BB7-FB3F56615A67}" sibTransId="{C6180C90-672B-4EE6-9009-D3B42B4C58FF}"/>
    <dgm:cxn modelId="{9F7DE317-9AAE-44AE-A7A4-8103E56C35F3}" type="presOf" srcId="{4423C0C8-6D12-4ACB-9058-C0189293E1FC}" destId="{C4B99722-F42D-4FD1-B2A8-27ED522B8759}" srcOrd="0" destOrd="0" presId="urn:microsoft.com/office/officeart/2005/8/layout/process5"/>
    <dgm:cxn modelId="{A00C0E22-46F2-40FC-90E3-08772D5517A0}" type="presOf" srcId="{D641F7DC-F7DF-4C7A-B16B-65DEA76A9BB4}" destId="{7119A070-5EDB-4568-ABBE-8EB94A52FF18}" srcOrd="0" destOrd="0" presId="urn:microsoft.com/office/officeart/2005/8/layout/process5"/>
    <dgm:cxn modelId="{C1A6992B-A1D4-4F2E-8A33-B9D467C57F18}" type="presOf" srcId="{81A74E8B-93DF-4981-A6D6-2A5F118E0A3E}" destId="{55F9C7A6-170D-4D17-8AC6-2DC3E82FE08F}" srcOrd="1" destOrd="0" presId="urn:microsoft.com/office/officeart/2005/8/layout/process5"/>
    <dgm:cxn modelId="{BCA1EB31-3266-4632-8FEE-AB21174327E2}" type="presOf" srcId="{C6180C90-672B-4EE6-9009-D3B42B4C58FF}" destId="{B7CC1A95-0525-4C0F-BE8E-F51B3F6A63F0}" srcOrd="1" destOrd="0" presId="urn:microsoft.com/office/officeart/2005/8/layout/process5"/>
    <dgm:cxn modelId="{29E8A936-39B4-423F-A367-784BE00B4BED}" srcId="{C92A822A-1090-4303-A7A6-5B0C9D04D0FB}" destId="{F2F69915-4505-4090-9569-C22A18142D67}" srcOrd="4" destOrd="0" parTransId="{0ED96EB7-8A88-4682-8F62-46E3632FA768}" sibTransId="{81A74E8B-93DF-4981-A6D6-2A5F118E0A3E}"/>
    <dgm:cxn modelId="{841A9138-276B-47DA-8BB9-3F3AC9D0E75C}" type="presOf" srcId="{DF4B2739-4497-42B2-AF27-DC1A0B8EC952}" destId="{7B7635C6-3F05-4C83-AC58-61AF40024EE7}" srcOrd="0" destOrd="0" presId="urn:microsoft.com/office/officeart/2005/8/layout/process5"/>
    <dgm:cxn modelId="{AEAC315D-B309-45E1-AE49-FCB083BA33E6}" type="presOf" srcId="{9BCA3A84-3FC9-4D79-8213-FE1FF286A7DF}" destId="{48F5FF48-DC86-4F82-A1D1-79DECD7C37AD}" srcOrd="0" destOrd="0" presId="urn:microsoft.com/office/officeart/2005/8/layout/process5"/>
    <dgm:cxn modelId="{2F6A4967-7E2B-4077-B664-04B2A2194EDE}" type="presOf" srcId="{C6180C90-672B-4EE6-9009-D3B42B4C58FF}" destId="{505AA2F3-F19C-476F-9E23-AD40A4A8A72F}" srcOrd="0" destOrd="0" presId="urn:microsoft.com/office/officeart/2005/8/layout/process5"/>
    <dgm:cxn modelId="{6CB15B4A-BD6D-4DE9-812F-FE6979A6A9E7}" type="presOf" srcId="{9BCA3A84-3FC9-4D79-8213-FE1FF286A7DF}" destId="{B7A16E73-7D69-4AFE-9716-E1D5738A7DF4}" srcOrd="1" destOrd="0" presId="urn:microsoft.com/office/officeart/2005/8/layout/process5"/>
    <dgm:cxn modelId="{61208B71-F513-416C-939A-91FFCE23726E}" srcId="{C92A822A-1090-4303-A7A6-5B0C9D04D0FB}" destId="{5B84489F-2569-4727-ABF7-89E61036A9A8}" srcOrd="7" destOrd="0" parTransId="{E9B1B98C-845B-4C6C-91C0-F3F58117C174}" sibTransId="{9BCA3A84-3FC9-4D79-8213-FE1FF286A7DF}"/>
    <dgm:cxn modelId="{FF6D3553-6546-42CF-B642-E127CA0403FA}" type="presOf" srcId="{81A74E8B-93DF-4981-A6D6-2A5F118E0A3E}" destId="{2706CDD0-D92C-449C-A9C8-3B5EB99F1763}" srcOrd="0" destOrd="0" presId="urn:microsoft.com/office/officeart/2005/8/layout/process5"/>
    <dgm:cxn modelId="{C9920154-648C-4E5D-A0B2-86F0E144959A}" type="presOf" srcId="{5B84489F-2569-4727-ABF7-89E61036A9A8}" destId="{CD3DF0D4-B4B9-44CC-903B-902658351D98}" srcOrd="0" destOrd="0" presId="urn:microsoft.com/office/officeart/2005/8/layout/process5"/>
    <dgm:cxn modelId="{E8A0DE55-C8A1-4C15-84A7-9CDCDFB275EF}" type="presOf" srcId="{A983302D-4A09-496A-8460-F836D51F8CA3}" destId="{F6946FE1-F68C-4E2B-A22A-99508BC2959B}" srcOrd="0" destOrd="0" presId="urn:microsoft.com/office/officeart/2005/8/layout/process5"/>
    <dgm:cxn modelId="{055F8F7B-68F6-4C8E-B05C-01BD0136BB0A}" srcId="{C92A822A-1090-4303-A7A6-5B0C9D04D0FB}" destId="{ACAE83EA-22E8-429D-AE18-00810920F5F2}" srcOrd="6" destOrd="0" parTransId="{87385C54-BD7B-4678-A2ED-1564AD1F00A1}" sibTransId="{33005162-4608-426B-A8E7-01FDD8D2218B}"/>
    <dgm:cxn modelId="{958C297C-04C7-4630-B778-B1EC1EA7D7CB}" type="presOf" srcId="{33005162-4608-426B-A8E7-01FDD8D2218B}" destId="{BCF86E95-8FCB-41A3-A335-43E3986AF43F}" srcOrd="1" destOrd="0" presId="urn:microsoft.com/office/officeart/2005/8/layout/process5"/>
    <dgm:cxn modelId="{27D77A84-E091-4C5A-9A72-A41BC4586EDA}" type="presOf" srcId="{8FC673FC-FB3D-48A5-8AB9-AFB3BDFEBBFE}" destId="{88E73AA8-89A8-4BA5-A821-0561BE5730D3}" srcOrd="0" destOrd="0" presId="urn:microsoft.com/office/officeart/2005/8/layout/process5"/>
    <dgm:cxn modelId="{26C4ED8A-D6A7-4099-9193-22F30B8177BB}" type="presOf" srcId="{F0F2FF27-407A-40A1-875D-7BDC73FA9308}" destId="{701D132F-7A3E-487D-813C-8E8EB5C75407}" srcOrd="1" destOrd="0" presId="urn:microsoft.com/office/officeart/2005/8/layout/process5"/>
    <dgm:cxn modelId="{1DBF6893-4A79-497E-9975-48433822121B}" type="presOf" srcId="{C92A822A-1090-4303-A7A6-5B0C9D04D0FB}" destId="{D500925D-122D-44AF-A84A-701508282937}" srcOrd="0" destOrd="0" presId="urn:microsoft.com/office/officeart/2005/8/layout/process5"/>
    <dgm:cxn modelId="{82F4A798-C109-4D98-A7E3-070B0B733F30}" type="presOf" srcId="{A983302D-4A09-496A-8460-F836D51F8CA3}" destId="{B47EA624-71FA-42D0-8265-B00ED9E5A7A6}" srcOrd="1" destOrd="0" presId="urn:microsoft.com/office/officeart/2005/8/layout/process5"/>
    <dgm:cxn modelId="{FBE6E49A-1204-4405-B75B-23677200A702}" type="presOf" srcId="{0EA38F29-FDF9-4B81-BE9B-4ED4F7FE11E2}" destId="{521A5740-FBB2-4724-AF66-25B6768CFECF}" srcOrd="1" destOrd="0" presId="urn:microsoft.com/office/officeart/2005/8/layout/process5"/>
    <dgm:cxn modelId="{A032FC9B-8294-4E66-A879-6FA0C62A61CF}" srcId="{C92A822A-1090-4303-A7A6-5B0C9D04D0FB}" destId="{B7F42A8A-BF21-4A64-BFFF-BE0BDB10837A}" srcOrd="8" destOrd="0" parTransId="{FAA4DD61-244F-4B6A-8C86-AED442D826F9}" sibTransId="{DF4B2739-4497-42B2-AF27-DC1A0B8EC952}"/>
    <dgm:cxn modelId="{BC3DE0A5-9FA2-4E74-8D07-12F1B938290D}" srcId="{C92A822A-1090-4303-A7A6-5B0C9D04D0FB}" destId="{4423C0C8-6D12-4ACB-9058-C0189293E1FC}" srcOrd="5" destOrd="0" parTransId="{B57D752C-FB30-4C09-96B0-A45EBBF11E14}" sibTransId="{A983302D-4A09-496A-8460-F836D51F8CA3}"/>
    <dgm:cxn modelId="{A16067AC-1539-4013-89A4-400251338975}" type="presOf" srcId="{DF4B2739-4497-42B2-AF27-DC1A0B8EC952}" destId="{0E7731F2-DA34-408F-B7A8-5414FB669C7C}" srcOrd="1" destOrd="0" presId="urn:microsoft.com/office/officeart/2005/8/layout/process5"/>
    <dgm:cxn modelId="{C4ABD9B5-1458-4F65-A65A-717704560F22}" type="presOf" srcId="{353AB29C-D9B8-4515-A5BD-7FEA58DB64A1}" destId="{E5C7FA49-1574-481B-A463-1E4C73515823}" srcOrd="0" destOrd="0" presId="urn:microsoft.com/office/officeart/2005/8/layout/process5"/>
    <dgm:cxn modelId="{676FFCBB-99B6-42D9-98AD-89834C5E4408}" srcId="{C92A822A-1090-4303-A7A6-5B0C9D04D0FB}" destId="{A6082F6C-1156-450A-9B92-14B953072F91}" srcOrd="0" destOrd="0" parTransId="{9A0CEEC2-85EB-48A0-8365-F9BDBE309E85}" sibTransId="{0EA38F29-FDF9-4B81-BE9B-4ED4F7FE11E2}"/>
    <dgm:cxn modelId="{08A811BD-8CE6-4608-BD3F-13024C8044A4}" type="presOf" srcId="{2F1E53C0-C184-4669-AFA8-709E4BADCFF6}" destId="{903C4ED8-2109-4F0C-BA90-D2C12EF980D6}" srcOrd="0" destOrd="0" presId="urn:microsoft.com/office/officeart/2005/8/layout/process5"/>
    <dgm:cxn modelId="{81F3E9C1-5904-4BC4-A17B-DC48C26BEF15}" type="presOf" srcId="{B7F42A8A-BF21-4A64-BFFF-BE0BDB10837A}" destId="{8F875879-8919-4E43-8314-634FA1604F1A}" srcOrd="0" destOrd="0" presId="urn:microsoft.com/office/officeart/2005/8/layout/process5"/>
    <dgm:cxn modelId="{EF3E7BC4-5E6D-4AD5-ADA7-A11323C2920D}" type="presOf" srcId="{A6082F6C-1156-450A-9B92-14B953072F91}" destId="{C0A0DF62-B5BD-4387-BA36-DE41FFB236E9}" srcOrd="0" destOrd="0" presId="urn:microsoft.com/office/officeart/2005/8/layout/process5"/>
    <dgm:cxn modelId="{50A1F9D4-2439-466D-8526-99E0246BCC87}" type="presOf" srcId="{F0F2FF27-407A-40A1-875D-7BDC73FA9308}" destId="{54F2A966-971B-41A5-967F-2B7D25BF5138}" srcOrd="0" destOrd="0" presId="urn:microsoft.com/office/officeart/2005/8/layout/process5"/>
    <dgm:cxn modelId="{9BDD80DB-4B14-442E-93C8-C8DE912B68F4}" type="presOf" srcId="{ACAE83EA-22E8-429D-AE18-00810920F5F2}" destId="{DD953057-941A-4247-9926-1B93B0D07826}" srcOrd="0" destOrd="0" presId="urn:microsoft.com/office/officeart/2005/8/layout/process5"/>
    <dgm:cxn modelId="{21AC54DD-DFA0-41C0-BDEE-578FC6D9DAA2}" srcId="{C92A822A-1090-4303-A7A6-5B0C9D04D0FB}" destId="{2F1E53C0-C184-4669-AFA8-709E4BADCFF6}" srcOrd="9" destOrd="0" parTransId="{6371A9D4-35D2-4147-9B7B-97E15EA54382}" sibTransId="{C200A22E-F0B2-4D93-A695-88A990007110}"/>
    <dgm:cxn modelId="{81CF34E5-4A38-4073-9DBD-B8A44F38FAB1}" type="presOf" srcId="{F2F69915-4505-4090-9569-C22A18142D67}" destId="{2408F85E-45AE-462D-BB94-A36187B02D81}" srcOrd="0" destOrd="0" presId="urn:microsoft.com/office/officeart/2005/8/layout/process5"/>
    <dgm:cxn modelId="{729A0BEA-8641-4FAF-8422-9BB4D6779865}" srcId="{C92A822A-1090-4303-A7A6-5B0C9D04D0FB}" destId="{8FC673FC-FB3D-48A5-8AB9-AFB3BDFEBBFE}" srcOrd="2" destOrd="0" parTransId="{387DBFD0-5F19-4555-B73F-92861324B400}" sibTransId="{F0F2FF27-407A-40A1-875D-7BDC73FA9308}"/>
    <dgm:cxn modelId="{F58363ED-D742-4206-8DBD-F7911C3FB1FD}" type="presOf" srcId="{0EA38F29-FDF9-4B81-BE9B-4ED4F7FE11E2}" destId="{BAA38824-1475-4925-9AD8-1EF726066BD1}" srcOrd="0" destOrd="0" presId="urn:microsoft.com/office/officeart/2005/8/layout/process5"/>
    <dgm:cxn modelId="{948A16EE-1215-41B3-A972-498E4F2536CA}" type="presOf" srcId="{1A3062F8-9E6E-41D6-A08E-7BCECD9751EF}" destId="{FEB73A6A-98A4-41C5-9DFA-1D84F78D66F6}" srcOrd="1" destOrd="0" presId="urn:microsoft.com/office/officeart/2005/8/layout/process5"/>
    <dgm:cxn modelId="{582D13F8-DFCA-4D2C-B2DB-FFA13FAD4F63}" type="presOf" srcId="{1A3062F8-9E6E-41D6-A08E-7BCECD9751EF}" destId="{129D6DF5-297A-4DB5-A121-02E6A0CE839F}" srcOrd="0" destOrd="0" presId="urn:microsoft.com/office/officeart/2005/8/layout/process5"/>
    <dgm:cxn modelId="{DA6368FD-4FA3-4CAE-90CF-3260F65615FD}" type="presOf" srcId="{33005162-4608-426B-A8E7-01FDD8D2218B}" destId="{42933904-1F3A-486D-BD6A-CC6F121EBB02}" srcOrd="0" destOrd="0" presId="urn:microsoft.com/office/officeart/2005/8/layout/process5"/>
    <dgm:cxn modelId="{2CC19B45-3912-418B-9334-91A2BF842113}" type="presParOf" srcId="{D500925D-122D-44AF-A84A-701508282937}" destId="{C0A0DF62-B5BD-4387-BA36-DE41FFB236E9}" srcOrd="0" destOrd="0" presId="urn:microsoft.com/office/officeart/2005/8/layout/process5"/>
    <dgm:cxn modelId="{42B2D9CE-3D1A-4317-8B9E-EEED8F6F58D4}" type="presParOf" srcId="{D500925D-122D-44AF-A84A-701508282937}" destId="{BAA38824-1475-4925-9AD8-1EF726066BD1}" srcOrd="1" destOrd="0" presId="urn:microsoft.com/office/officeart/2005/8/layout/process5"/>
    <dgm:cxn modelId="{FF1E0822-5F72-4D58-8D62-30EF74303F0C}" type="presParOf" srcId="{BAA38824-1475-4925-9AD8-1EF726066BD1}" destId="{521A5740-FBB2-4724-AF66-25B6768CFECF}" srcOrd="0" destOrd="0" presId="urn:microsoft.com/office/officeart/2005/8/layout/process5"/>
    <dgm:cxn modelId="{66A82090-46CA-4CC9-B177-241CA488DC3F}" type="presParOf" srcId="{D500925D-122D-44AF-A84A-701508282937}" destId="{E5C7FA49-1574-481B-A463-1E4C73515823}" srcOrd="2" destOrd="0" presId="urn:microsoft.com/office/officeart/2005/8/layout/process5"/>
    <dgm:cxn modelId="{510684F5-B54A-4966-AC56-D62C137FF3E0}" type="presParOf" srcId="{D500925D-122D-44AF-A84A-701508282937}" destId="{505AA2F3-F19C-476F-9E23-AD40A4A8A72F}" srcOrd="3" destOrd="0" presId="urn:microsoft.com/office/officeart/2005/8/layout/process5"/>
    <dgm:cxn modelId="{E97518B4-DD9E-44A8-9394-97C456AC4ED6}" type="presParOf" srcId="{505AA2F3-F19C-476F-9E23-AD40A4A8A72F}" destId="{B7CC1A95-0525-4C0F-BE8E-F51B3F6A63F0}" srcOrd="0" destOrd="0" presId="urn:microsoft.com/office/officeart/2005/8/layout/process5"/>
    <dgm:cxn modelId="{8CF8B64A-9DC3-424A-B780-932DF321B466}" type="presParOf" srcId="{D500925D-122D-44AF-A84A-701508282937}" destId="{88E73AA8-89A8-4BA5-A821-0561BE5730D3}" srcOrd="4" destOrd="0" presId="urn:microsoft.com/office/officeart/2005/8/layout/process5"/>
    <dgm:cxn modelId="{E61343C1-EE4D-4679-AD50-5C5826B62B70}" type="presParOf" srcId="{D500925D-122D-44AF-A84A-701508282937}" destId="{54F2A966-971B-41A5-967F-2B7D25BF5138}" srcOrd="5" destOrd="0" presId="urn:microsoft.com/office/officeart/2005/8/layout/process5"/>
    <dgm:cxn modelId="{DFC73CD6-7490-459C-B9A7-97945ACB84D3}" type="presParOf" srcId="{54F2A966-971B-41A5-967F-2B7D25BF5138}" destId="{701D132F-7A3E-487D-813C-8E8EB5C75407}" srcOrd="0" destOrd="0" presId="urn:microsoft.com/office/officeart/2005/8/layout/process5"/>
    <dgm:cxn modelId="{3120210A-A078-407D-9CAB-06FFF5CEE4A3}" type="presParOf" srcId="{D500925D-122D-44AF-A84A-701508282937}" destId="{7119A070-5EDB-4568-ABBE-8EB94A52FF18}" srcOrd="6" destOrd="0" presId="urn:microsoft.com/office/officeart/2005/8/layout/process5"/>
    <dgm:cxn modelId="{A0254D47-18FE-40D5-8A32-9190E11F1A7E}" type="presParOf" srcId="{D500925D-122D-44AF-A84A-701508282937}" destId="{129D6DF5-297A-4DB5-A121-02E6A0CE839F}" srcOrd="7" destOrd="0" presId="urn:microsoft.com/office/officeart/2005/8/layout/process5"/>
    <dgm:cxn modelId="{87FA74F8-4662-421B-92BC-06B6D31421DE}" type="presParOf" srcId="{129D6DF5-297A-4DB5-A121-02E6A0CE839F}" destId="{FEB73A6A-98A4-41C5-9DFA-1D84F78D66F6}" srcOrd="0" destOrd="0" presId="urn:microsoft.com/office/officeart/2005/8/layout/process5"/>
    <dgm:cxn modelId="{60553AC1-C7C3-4579-B4A4-C77E54F1492F}" type="presParOf" srcId="{D500925D-122D-44AF-A84A-701508282937}" destId="{2408F85E-45AE-462D-BB94-A36187B02D81}" srcOrd="8" destOrd="0" presId="urn:microsoft.com/office/officeart/2005/8/layout/process5"/>
    <dgm:cxn modelId="{717718A1-A5B3-4B57-B3BB-1F9C1F87F93E}" type="presParOf" srcId="{D500925D-122D-44AF-A84A-701508282937}" destId="{2706CDD0-D92C-449C-A9C8-3B5EB99F1763}" srcOrd="9" destOrd="0" presId="urn:microsoft.com/office/officeart/2005/8/layout/process5"/>
    <dgm:cxn modelId="{A834389D-CDBD-4076-9268-F7DEE6229BC1}" type="presParOf" srcId="{2706CDD0-D92C-449C-A9C8-3B5EB99F1763}" destId="{55F9C7A6-170D-4D17-8AC6-2DC3E82FE08F}" srcOrd="0" destOrd="0" presId="urn:microsoft.com/office/officeart/2005/8/layout/process5"/>
    <dgm:cxn modelId="{602DB644-266F-47C2-8EF8-4E326FB84242}" type="presParOf" srcId="{D500925D-122D-44AF-A84A-701508282937}" destId="{C4B99722-F42D-4FD1-B2A8-27ED522B8759}" srcOrd="10" destOrd="0" presId="urn:microsoft.com/office/officeart/2005/8/layout/process5"/>
    <dgm:cxn modelId="{4BDC6EF8-56D0-4783-8CC3-59CB97802811}" type="presParOf" srcId="{D500925D-122D-44AF-A84A-701508282937}" destId="{F6946FE1-F68C-4E2B-A22A-99508BC2959B}" srcOrd="11" destOrd="0" presId="urn:microsoft.com/office/officeart/2005/8/layout/process5"/>
    <dgm:cxn modelId="{EC0D79D0-2194-4D69-B92B-F216622BD608}" type="presParOf" srcId="{F6946FE1-F68C-4E2B-A22A-99508BC2959B}" destId="{B47EA624-71FA-42D0-8265-B00ED9E5A7A6}" srcOrd="0" destOrd="0" presId="urn:microsoft.com/office/officeart/2005/8/layout/process5"/>
    <dgm:cxn modelId="{108C2ECF-0194-4AF1-8ECA-ED23F91575FA}" type="presParOf" srcId="{D500925D-122D-44AF-A84A-701508282937}" destId="{DD953057-941A-4247-9926-1B93B0D07826}" srcOrd="12" destOrd="0" presId="urn:microsoft.com/office/officeart/2005/8/layout/process5"/>
    <dgm:cxn modelId="{252FA7EA-5216-4F56-8A87-01F8B81B8D2E}" type="presParOf" srcId="{D500925D-122D-44AF-A84A-701508282937}" destId="{42933904-1F3A-486D-BD6A-CC6F121EBB02}" srcOrd="13" destOrd="0" presId="urn:microsoft.com/office/officeart/2005/8/layout/process5"/>
    <dgm:cxn modelId="{EAEB5CAE-689B-4662-9702-1990D4F9F50B}" type="presParOf" srcId="{42933904-1F3A-486D-BD6A-CC6F121EBB02}" destId="{BCF86E95-8FCB-41A3-A335-43E3986AF43F}" srcOrd="0" destOrd="0" presId="urn:microsoft.com/office/officeart/2005/8/layout/process5"/>
    <dgm:cxn modelId="{44708F7A-DC07-4F39-AE25-24139CBE7BD3}" type="presParOf" srcId="{D500925D-122D-44AF-A84A-701508282937}" destId="{CD3DF0D4-B4B9-44CC-903B-902658351D98}" srcOrd="14" destOrd="0" presId="urn:microsoft.com/office/officeart/2005/8/layout/process5"/>
    <dgm:cxn modelId="{4EEEA6B9-0F1E-4B96-AF95-A5EB8CF122A5}" type="presParOf" srcId="{D500925D-122D-44AF-A84A-701508282937}" destId="{48F5FF48-DC86-4F82-A1D1-79DECD7C37AD}" srcOrd="15" destOrd="0" presId="urn:microsoft.com/office/officeart/2005/8/layout/process5"/>
    <dgm:cxn modelId="{66AFBAA1-F820-4FCE-86AD-1FEC17B7E762}" type="presParOf" srcId="{48F5FF48-DC86-4F82-A1D1-79DECD7C37AD}" destId="{B7A16E73-7D69-4AFE-9716-E1D5738A7DF4}" srcOrd="0" destOrd="0" presId="urn:microsoft.com/office/officeart/2005/8/layout/process5"/>
    <dgm:cxn modelId="{AF9D8B05-E4F5-45D0-A950-B143BC51100E}" type="presParOf" srcId="{D500925D-122D-44AF-A84A-701508282937}" destId="{8F875879-8919-4E43-8314-634FA1604F1A}" srcOrd="16" destOrd="0" presId="urn:microsoft.com/office/officeart/2005/8/layout/process5"/>
    <dgm:cxn modelId="{6311BE81-686C-4830-8A92-5DFE8E38B7E8}" type="presParOf" srcId="{D500925D-122D-44AF-A84A-701508282937}" destId="{7B7635C6-3F05-4C83-AC58-61AF40024EE7}" srcOrd="17" destOrd="0" presId="urn:microsoft.com/office/officeart/2005/8/layout/process5"/>
    <dgm:cxn modelId="{FBDC4BBF-A06B-4454-84CF-952446839D67}" type="presParOf" srcId="{7B7635C6-3F05-4C83-AC58-61AF40024EE7}" destId="{0E7731F2-DA34-408F-B7A8-5414FB669C7C}" srcOrd="0" destOrd="0" presId="urn:microsoft.com/office/officeart/2005/8/layout/process5"/>
    <dgm:cxn modelId="{77198998-21DB-4EF1-B4FD-BCF7CF805354}" type="presParOf" srcId="{D500925D-122D-44AF-A84A-701508282937}" destId="{903C4ED8-2109-4F0C-BA90-D2C12EF980D6}" srcOrd="18" destOrd="0" presId="urn:microsoft.com/office/officeart/2005/8/layout/process5"/>
  </dgm:cxnLst>
  <dgm:bg/>
  <dgm:whole/>
  <dgm:extLst>
    <a:ext uri="http://schemas.microsoft.com/office/drawing/2008/diagram">
      <dsp:dataModelExt xmlns:dsp="http://schemas.microsoft.com/office/drawing/2008/diagram" relId="rId273"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3CEE529-2271-4F88-923A-D67262A9FA78}" type="doc">
      <dgm:prSet loTypeId="urn:microsoft.com/office/officeart/2005/8/layout/bProcess4" loCatId="process" qsTypeId="urn:microsoft.com/office/officeart/2005/8/quickstyle/simple1" qsCatId="simple" csTypeId="urn:microsoft.com/office/officeart/2005/8/colors/colorful2" csCatId="colorful" phldr="1"/>
      <dgm:spPr/>
    </dgm:pt>
    <dgm:pt modelId="{3C20666F-D7E0-43DD-B0BF-EB66ADD68AC9}">
      <dgm:prSet phldrT="[Text]" custT="1"/>
      <dgm:spPr/>
      <dgm:t>
        <a:bodyPr/>
        <a:lstStyle/>
        <a:p>
          <a:r>
            <a:rPr lang="lt-LT" sz="1200" b="1">
              <a:latin typeface="+mn-lt"/>
            </a:rPr>
            <a:t>Ciclismul</a:t>
          </a:r>
          <a:endParaRPr lang="en-US" sz="1200" b="1">
            <a:latin typeface="+mn-lt"/>
          </a:endParaRPr>
        </a:p>
      </dgm:t>
    </dgm:pt>
    <dgm:pt modelId="{A99ADF66-DF5D-415A-8D46-E7BCC74F1583}" type="parTrans" cxnId="{0429DD8E-BE0B-4CB4-8A89-FF2120E64D6A}">
      <dgm:prSet/>
      <dgm:spPr/>
      <dgm:t>
        <a:bodyPr/>
        <a:lstStyle/>
        <a:p>
          <a:endParaRPr lang="en-US" sz="1200" b="1">
            <a:latin typeface="+mn-lt"/>
          </a:endParaRPr>
        </a:p>
      </dgm:t>
    </dgm:pt>
    <dgm:pt modelId="{4B60162F-7392-4933-A723-6824EABC268D}" type="sibTrans" cxnId="{0429DD8E-BE0B-4CB4-8A89-FF2120E64D6A}">
      <dgm:prSet/>
      <dgm:spPr/>
      <dgm:t>
        <a:bodyPr/>
        <a:lstStyle/>
        <a:p>
          <a:endParaRPr lang="en-US" sz="1200" b="1">
            <a:latin typeface="+mn-lt"/>
          </a:endParaRPr>
        </a:p>
      </dgm:t>
    </dgm:pt>
    <dgm:pt modelId="{C279712B-8228-46E2-ADDA-3B566560C587}">
      <dgm:prSet custT="1"/>
      <dgm:spPr/>
      <dgm:t>
        <a:bodyPr/>
        <a:lstStyle/>
        <a:p>
          <a:r>
            <a:rPr lang="lt-LT" sz="1200" b="1">
              <a:latin typeface="+mn-lt"/>
            </a:rPr>
            <a:t>Atletismul</a:t>
          </a:r>
          <a:endParaRPr lang="en-US" sz="1200" b="1">
            <a:latin typeface="+mn-lt"/>
          </a:endParaRPr>
        </a:p>
      </dgm:t>
    </dgm:pt>
    <dgm:pt modelId="{81BCD32B-3C54-4FF7-84EE-B90C471134B2}" type="parTrans" cxnId="{C02F05E9-DC32-427B-9B2B-DC66FBA4E6BB}">
      <dgm:prSet/>
      <dgm:spPr/>
      <dgm:t>
        <a:bodyPr/>
        <a:lstStyle/>
        <a:p>
          <a:endParaRPr lang="en-US" sz="1200" b="1">
            <a:latin typeface="+mn-lt"/>
          </a:endParaRPr>
        </a:p>
      </dgm:t>
    </dgm:pt>
    <dgm:pt modelId="{AD191686-B82D-42BB-A081-400058E069D6}" type="sibTrans" cxnId="{C02F05E9-DC32-427B-9B2B-DC66FBA4E6BB}">
      <dgm:prSet/>
      <dgm:spPr/>
      <dgm:t>
        <a:bodyPr/>
        <a:lstStyle/>
        <a:p>
          <a:endParaRPr lang="en-US" sz="1200" b="1">
            <a:latin typeface="+mn-lt"/>
          </a:endParaRPr>
        </a:p>
      </dgm:t>
    </dgm:pt>
    <dgm:pt modelId="{D82AE9A3-7DE4-4ACD-9448-5A142CE4469C}">
      <dgm:prSet custT="1"/>
      <dgm:spPr/>
      <dgm:t>
        <a:bodyPr/>
        <a:lstStyle/>
        <a:p>
          <a:r>
            <a:rPr lang="lt-LT" sz="1200" b="1">
              <a:latin typeface="+mn-lt"/>
            </a:rPr>
            <a:t>Fotbalul</a:t>
          </a:r>
          <a:endParaRPr lang="en-US" sz="1200" b="1">
            <a:latin typeface="+mn-lt"/>
          </a:endParaRPr>
        </a:p>
      </dgm:t>
    </dgm:pt>
    <dgm:pt modelId="{E4C10A38-8C18-4B62-A269-D486D5C71BCB}" type="parTrans" cxnId="{F9214E6B-88D4-4275-AC43-2AC1D564FE2D}">
      <dgm:prSet/>
      <dgm:spPr/>
      <dgm:t>
        <a:bodyPr/>
        <a:lstStyle/>
        <a:p>
          <a:endParaRPr lang="en-US" sz="1200" b="1">
            <a:latin typeface="+mn-lt"/>
          </a:endParaRPr>
        </a:p>
      </dgm:t>
    </dgm:pt>
    <dgm:pt modelId="{76B100FD-C9DB-4242-9C0E-EE245E83C5B6}" type="sibTrans" cxnId="{F9214E6B-88D4-4275-AC43-2AC1D564FE2D}">
      <dgm:prSet/>
      <dgm:spPr/>
      <dgm:t>
        <a:bodyPr/>
        <a:lstStyle/>
        <a:p>
          <a:endParaRPr lang="en-US" sz="1200" b="1">
            <a:latin typeface="+mn-lt"/>
          </a:endParaRPr>
        </a:p>
      </dgm:t>
    </dgm:pt>
    <dgm:pt modelId="{3712230C-93F3-41D3-B8EE-991CEF22F922}">
      <dgm:prSet custT="1"/>
      <dgm:spPr/>
      <dgm:t>
        <a:bodyPr/>
        <a:lstStyle/>
        <a:p>
          <a:r>
            <a:rPr lang="lt-LT" sz="1200" b="1">
              <a:latin typeface="+mn-lt"/>
            </a:rPr>
            <a:t>Înotul</a:t>
          </a:r>
          <a:endParaRPr lang="en-US" sz="1200" b="1">
            <a:latin typeface="+mn-lt"/>
          </a:endParaRPr>
        </a:p>
      </dgm:t>
    </dgm:pt>
    <dgm:pt modelId="{06E77ADE-20B1-442F-A1E5-DDF3060CBAF9}" type="parTrans" cxnId="{1F66170D-C1A0-436A-85CD-1814A0B5BBBB}">
      <dgm:prSet/>
      <dgm:spPr/>
      <dgm:t>
        <a:bodyPr/>
        <a:lstStyle/>
        <a:p>
          <a:endParaRPr lang="en-US" sz="1200" b="1">
            <a:latin typeface="+mn-lt"/>
          </a:endParaRPr>
        </a:p>
      </dgm:t>
    </dgm:pt>
    <dgm:pt modelId="{2C481235-9853-462A-B5EB-DAA470310042}" type="sibTrans" cxnId="{1F66170D-C1A0-436A-85CD-1814A0B5BBBB}">
      <dgm:prSet/>
      <dgm:spPr/>
      <dgm:t>
        <a:bodyPr/>
        <a:lstStyle/>
        <a:p>
          <a:endParaRPr lang="en-US" sz="1200" b="1">
            <a:latin typeface="+mn-lt"/>
          </a:endParaRPr>
        </a:p>
      </dgm:t>
    </dgm:pt>
    <dgm:pt modelId="{ACE8AB40-58BE-40AF-9C95-F49965F0178D}">
      <dgm:prSet custT="1"/>
      <dgm:spPr/>
      <dgm:t>
        <a:bodyPr/>
        <a:lstStyle/>
        <a:p>
          <a:r>
            <a:rPr lang="lt-LT" sz="1200" b="1">
              <a:latin typeface="+mn-lt"/>
            </a:rPr>
            <a:t>Tenisul</a:t>
          </a:r>
          <a:endParaRPr lang="en-US" sz="1200" b="1">
            <a:latin typeface="+mn-lt"/>
          </a:endParaRPr>
        </a:p>
      </dgm:t>
    </dgm:pt>
    <dgm:pt modelId="{8DFF1632-2F1A-4A7B-920C-D42BB7CE9FC7}" type="parTrans" cxnId="{043133B3-6614-4B9B-92CB-447C249CA0F3}">
      <dgm:prSet/>
      <dgm:spPr/>
      <dgm:t>
        <a:bodyPr/>
        <a:lstStyle/>
        <a:p>
          <a:endParaRPr lang="en-US" sz="1200" b="1">
            <a:latin typeface="+mn-lt"/>
          </a:endParaRPr>
        </a:p>
      </dgm:t>
    </dgm:pt>
    <dgm:pt modelId="{BDCF3723-9A6F-4D98-9FB3-C30FD23D230F}" type="sibTrans" cxnId="{043133B3-6614-4B9B-92CB-447C249CA0F3}">
      <dgm:prSet/>
      <dgm:spPr/>
      <dgm:t>
        <a:bodyPr/>
        <a:lstStyle/>
        <a:p>
          <a:endParaRPr lang="en-US" sz="1200" b="1">
            <a:latin typeface="+mn-lt"/>
          </a:endParaRPr>
        </a:p>
      </dgm:t>
    </dgm:pt>
    <dgm:pt modelId="{632F76EE-5F82-4CEF-BB17-12A6016E8E0B}">
      <dgm:prSet custT="1"/>
      <dgm:spPr/>
      <dgm:t>
        <a:bodyPr/>
        <a:lstStyle/>
        <a:p>
          <a:r>
            <a:rPr lang="lt-LT" sz="1200" b="1">
              <a:latin typeface="+mn-lt"/>
            </a:rPr>
            <a:t>Baschetul</a:t>
          </a:r>
          <a:endParaRPr lang="en-US" sz="1200" b="1">
            <a:latin typeface="+mn-lt"/>
          </a:endParaRPr>
        </a:p>
      </dgm:t>
    </dgm:pt>
    <dgm:pt modelId="{64310A8F-6313-4D3A-9EAD-93AC444CF083}" type="parTrans" cxnId="{A5688B5F-C747-4B38-AC2E-3BEC12A47937}">
      <dgm:prSet/>
      <dgm:spPr/>
      <dgm:t>
        <a:bodyPr/>
        <a:lstStyle/>
        <a:p>
          <a:endParaRPr lang="en-US" sz="1200" b="1">
            <a:latin typeface="+mn-lt"/>
          </a:endParaRPr>
        </a:p>
      </dgm:t>
    </dgm:pt>
    <dgm:pt modelId="{409D5F7E-8AC5-4FBB-814F-55D2424B823B}" type="sibTrans" cxnId="{A5688B5F-C747-4B38-AC2E-3BEC12A47937}">
      <dgm:prSet/>
      <dgm:spPr/>
      <dgm:t>
        <a:bodyPr/>
        <a:lstStyle/>
        <a:p>
          <a:endParaRPr lang="en-US" sz="1200" b="1">
            <a:latin typeface="+mn-lt"/>
          </a:endParaRPr>
        </a:p>
      </dgm:t>
    </dgm:pt>
    <dgm:pt modelId="{A20AE8BC-2857-40AD-B86C-E8997CFD4882}">
      <dgm:prSet custT="1"/>
      <dgm:spPr/>
      <dgm:t>
        <a:bodyPr/>
        <a:lstStyle/>
        <a:p>
          <a:r>
            <a:rPr lang="lt-LT" sz="1200" b="1">
              <a:latin typeface="+mn-lt"/>
            </a:rPr>
            <a:t>Voleiul</a:t>
          </a:r>
          <a:endParaRPr lang="en-US" sz="1200" b="1">
            <a:latin typeface="+mn-lt"/>
          </a:endParaRPr>
        </a:p>
      </dgm:t>
    </dgm:pt>
    <dgm:pt modelId="{C5E7DAF6-3D7F-46E4-9775-E7CAC03412B3}" type="parTrans" cxnId="{FF82061B-03C1-4071-9CB8-621373F3B2B4}">
      <dgm:prSet/>
      <dgm:spPr/>
      <dgm:t>
        <a:bodyPr/>
        <a:lstStyle/>
        <a:p>
          <a:endParaRPr lang="en-US" sz="1200" b="1">
            <a:latin typeface="+mn-lt"/>
          </a:endParaRPr>
        </a:p>
      </dgm:t>
    </dgm:pt>
    <dgm:pt modelId="{BDBBD9F2-9DF0-425C-BCD3-D41520E8095E}" type="sibTrans" cxnId="{FF82061B-03C1-4071-9CB8-621373F3B2B4}">
      <dgm:prSet/>
      <dgm:spPr/>
      <dgm:t>
        <a:bodyPr/>
        <a:lstStyle/>
        <a:p>
          <a:endParaRPr lang="en-US" sz="1200" b="1">
            <a:latin typeface="+mn-lt"/>
          </a:endParaRPr>
        </a:p>
      </dgm:t>
    </dgm:pt>
    <dgm:pt modelId="{382A479A-E39E-41B7-BA87-561C85523F3A}">
      <dgm:prSet custT="1"/>
      <dgm:spPr/>
      <dgm:t>
        <a:bodyPr/>
        <a:lstStyle/>
        <a:p>
          <a:r>
            <a:rPr lang="lt-LT" sz="1200" b="1">
              <a:latin typeface="+mn-lt"/>
            </a:rPr>
            <a:t>Patinajul</a:t>
          </a:r>
          <a:endParaRPr lang="en-US" sz="1200" b="1">
            <a:latin typeface="+mn-lt"/>
          </a:endParaRPr>
        </a:p>
      </dgm:t>
    </dgm:pt>
    <dgm:pt modelId="{3A0992B6-A06D-4271-8431-9B743E9540D7}" type="parTrans" cxnId="{C2E08443-2648-465A-B4D4-9AF55C3BBA1D}">
      <dgm:prSet/>
      <dgm:spPr/>
      <dgm:t>
        <a:bodyPr/>
        <a:lstStyle/>
        <a:p>
          <a:endParaRPr lang="en-US" sz="1200" b="1">
            <a:latin typeface="+mn-lt"/>
          </a:endParaRPr>
        </a:p>
      </dgm:t>
    </dgm:pt>
    <dgm:pt modelId="{F0A4ED2E-E982-446E-B7E8-D0D03F07766F}" type="sibTrans" cxnId="{C2E08443-2648-465A-B4D4-9AF55C3BBA1D}">
      <dgm:prSet/>
      <dgm:spPr/>
      <dgm:t>
        <a:bodyPr/>
        <a:lstStyle/>
        <a:p>
          <a:endParaRPr lang="en-US" sz="1200" b="1">
            <a:latin typeface="+mn-lt"/>
          </a:endParaRPr>
        </a:p>
      </dgm:t>
    </dgm:pt>
    <dgm:pt modelId="{F074B944-B26A-46A4-B637-FB04E242FB74}">
      <dgm:prSet custT="1"/>
      <dgm:spPr/>
      <dgm:t>
        <a:bodyPr/>
        <a:lstStyle/>
        <a:p>
          <a:r>
            <a:rPr lang="lt-LT" sz="1200" b="1">
              <a:latin typeface="+mn-lt"/>
            </a:rPr>
            <a:t>Tenisul</a:t>
          </a:r>
          <a:endParaRPr lang="en-US" sz="1200" b="1">
            <a:latin typeface="+mn-lt"/>
          </a:endParaRPr>
        </a:p>
      </dgm:t>
    </dgm:pt>
    <dgm:pt modelId="{35538C41-527E-404B-BD89-922C1C37626C}" type="parTrans" cxnId="{5958450D-52FD-44C9-B7A1-9DBA4309DFFB}">
      <dgm:prSet/>
      <dgm:spPr/>
      <dgm:t>
        <a:bodyPr/>
        <a:lstStyle/>
        <a:p>
          <a:endParaRPr lang="en-US" sz="1200" b="1">
            <a:latin typeface="+mn-lt"/>
          </a:endParaRPr>
        </a:p>
      </dgm:t>
    </dgm:pt>
    <dgm:pt modelId="{50007956-43BA-4922-B54C-2C12DC0858AD}" type="sibTrans" cxnId="{5958450D-52FD-44C9-B7A1-9DBA4309DFFB}">
      <dgm:prSet/>
      <dgm:spPr/>
      <dgm:t>
        <a:bodyPr/>
        <a:lstStyle/>
        <a:p>
          <a:endParaRPr lang="en-US" sz="1200" b="1">
            <a:latin typeface="+mn-lt"/>
          </a:endParaRPr>
        </a:p>
      </dgm:t>
    </dgm:pt>
    <dgm:pt modelId="{DA452E3F-2FF9-458E-9A2D-4E49E1636AA2}">
      <dgm:prSet custT="1"/>
      <dgm:spPr/>
      <dgm:t>
        <a:bodyPr/>
        <a:lstStyle/>
        <a:p>
          <a:r>
            <a:rPr lang="lt-LT" sz="1200" b="1">
              <a:latin typeface="+mn-lt"/>
            </a:rPr>
            <a:t>Dansul sportiv</a:t>
          </a:r>
          <a:endParaRPr lang="en-US" sz="1200" b="1">
            <a:latin typeface="+mn-lt"/>
          </a:endParaRPr>
        </a:p>
      </dgm:t>
    </dgm:pt>
    <dgm:pt modelId="{99A2BAD3-0890-45B0-88C7-45C9AF729BB9}" type="parTrans" cxnId="{1E242536-4700-4355-859C-A2F7DCC46F40}">
      <dgm:prSet/>
      <dgm:spPr/>
      <dgm:t>
        <a:bodyPr/>
        <a:lstStyle/>
        <a:p>
          <a:endParaRPr lang="en-US" sz="1200" b="1">
            <a:latin typeface="+mn-lt"/>
          </a:endParaRPr>
        </a:p>
      </dgm:t>
    </dgm:pt>
    <dgm:pt modelId="{612C1F30-D63D-4431-BA71-A75A7CED267D}" type="sibTrans" cxnId="{1E242536-4700-4355-859C-A2F7DCC46F40}">
      <dgm:prSet/>
      <dgm:spPr/>
      <dgm:t>
        <a:bodyPr/>
        <a:lstStyle/>
        <a:p>
          <a:endParaRPr lang="en-US" sz="1200" b="1">
            <a:latin typeface="+mn-lt"/>
          </a:endParaRPr>
        </a:p>
      </dgm:t>
    </dgm:pt>
    <dgm:pt modelId="{D646B871-D024-4650-818F-56856458F583}">
      <dgm:prSet custT="1"/>
      <dgm:spPr/>
      <dgm:t>
        <a:bodyPr/>
        <a:lstStyle/>
        <a:p>
          <a:r>
            <a:rPr lang="lt-LT" sz="1200" b="1">
              <a:latin typeface="+mn-lt"/>
            </a:rPr>
            <a:t>Fitnessul</a:t>
          </a:r>
          <a:endParaRPr lang="en-US" sz="1200" b="1">
            <a:latin typeface="+mn-lt"/>
          </a:endParaRPr>
        </a:p>
      </dgm:t>
    </dgm:pt>
    <dgm:pt modelId="{7D36FEBB-F292-4EDA-9984-E2F10F6FFE62}" type="parTrans" cxnId="{D117022C-D499-4467-90DB-C86AC0FFF180}">
      <dgm:prSet/>
      <dgm:spPr/>
      <dgm:t>
        <a:bodyPr/>
        <a:lstStyle/>
        <a:p>
          <a:endParaRPr lang="en-US" sz="1200" b="1">
            <a:latin typeface="+mn-lt"/>
          </a:endParaRPr>
        </a:p>
      </dgm:t>
    </dgm:pt>
    <dgm:pt modelId="{80C107CF-6A91-4B0B-A1E0-E3121A03A29E}" type="sibTrans" cxnId="{D117022C-D499-4467-90DB-C86AC0FFF180}">
      <dgm:prSet/>
      <dgm:spPr/>
      <dgm:t>
        <a:bodyPr/>
        <a:lstStyle/>
        <a:p>
          <a:endParaRPr lang="en-US" sz="1200" b="1">
            <a:latin typeface="+mn-lt"/>
          </a:endParaRPr>
        </a:p>
      </dgm:t>
    </dgm:pt>
    <dgm:pt modelId="{2750C655-8751-4B56-866E-7D8AC2099490}">
      <dgm:prSet custT="1"/>
      <dgm:spPr/>
      <dgm:t>
        <a:bodyPr/>
        <a:lstStyle/>
        <a:p>
          <a:r>
            <a:rPr lang="lt-LT" sz="1200" b="1">
              <a:latin typeface="+mn-lt"/>
            </a:rPr>
            <a:t>Gimnastică</a:t>
          </a:r>
          <a:endParaRPr lang="en-US" sz="1200" b="1">
            <a:latin typeface="+mn-lt"/>
          </a:endParaRPr>
        </a:p>
      </dgm:t>
    </dgm:pt>
    <dgm:pt modelId="{9ADEA9D7-B3F3-4CA3-B188-84CC89800F24}" type="parTrans" cxnId="{1DAF1E50-C8A3-4C9A-B589-586FDC84DC16}">
      <dgm:prSet/>
      <dgm:spPr/>
      <dgm:t>
        <a:bodyPr/>
        <a:lstStyle/>
        <a:p>
          <a:endParaRPr lang="en-US" sz="1200" b="1">
            <a:latin typeface="+mn-lt"/>
          </a:endParaRPr>
        </a:p>
      </dgm:t>
    </dgm:pt>
    <dgm:pt modelId="{95F7719E-9790-446A-86AB-BB3807904C60}" type="sibTrans" cxnId="{1DAF1E50-C8A3-4C9A-B589-586FDC84DC16}">
      <dgm:prSet/>
      <dgm:spPr/>
      <dgm:t>
        <a:bodyPr/>
        <a:lstStyle/>
        <a:p>
          <a:endParaRPr lang="en-US" sz="1200" b="1">
            <a:latin typeface="+mn-lt"/>
          </a:endParaRPr>
        </a:p>
      </dgm:t>
    </dgm:pt>
    <dgm:pt modelId="{F5D080C8-3A7A-4E53-AC74-F13FA8F54448}">
      <dgm:prSet custT="1"/>
      <dgm:spPr/>
      <dgm:t>
        <a:bodyPr/>
        <a:lstStyle/>
        <a:p>
          <a:r>
            <a:rPr lang="lt-LT" sz="1200" b="1">
              <a:latin typeface="+mn-lt"/>
            </a:rPr>
            <a:t>Handbalul</a:t>
          </a:r>
          <a:endParaRPr lang="en-US" sz="1200" b="1">
            <a:latin typeface="+mn-lt"/>
          </a:endParaRPr>
        </a:p>
      </dgm:t>
    </dgm:pt>
    <dgm:pt modelId="{116821B0-A10B-4EDD-BFBD-0DDAE34FAC27}" type="parTrans" cxnId="{23F3EEA3-650E-490C-8173-246FED601DCE}">
      <dgm:prSet/>
      <dgm:spPr/>
      <dgm:t>
        <a:bodyPr/>
        <a:lstStyle/>
        <a:p>
          <a:endParaRPr lang="en-US" sz="1200" b="1">
            <a:latin typeface="+mn-lt"/>
          </a:endParaRPr>
        </a:p>
      </dgm:t>
    </dgm:pt>
    <dgm:pt modelId="{D01F67C3-C4F4-45AF-AA3A-B6D726D4101B}" type="sibTrans" cxnId="{23F3EEA3-650E-490C-8173-246FED601DCE}">
      <dgm:prSet/>
      <dgm:spPr/>
      <dgm:t>
        <a:bodyPr/>
        <a:lstStyle/>
        <a:p>
          <a:endParaRPr lang="en-US" sz="1200" b="1">
            <a:latin typeface="+mn-lt"/>
          </a:endParaRPr>
        </a:p>
      </dgm:t>
    </dgm:pt>
    <dgm:pt modelId="{7963FDB1-065B-413B-818F-3D7B769C0CBF}">
      <dgm:prSet custT="1"/>
      <dgm:spPr/>
      <dgm:t>
        <a:bodyPr/>
        <a:lstStyle/>
        <a:p>
          <a:r>
            <a:rPr lang="lt-LT" sz="1200" b="1">
              <a:latin typeface="+mn-lt"/>
            </a:rPr>
            <a:t>Tenisul de masă</a:t>
          </a:r>
          <a:endParaRPr lang="en-US" sz="1200" b="1">
            <a:latin typeface="+mn-lt"/>
          </a:endParaRPr>
        </a:p>
      </dgm:t>
    </dgm:pt>
    <dgm:pt modelId="{D4EFB3D9-39DF-43DD-8658-9EC169F8C3A3}" type="parTrans" cxnId="{FC4F632A-168F-4E12-9705-EEA17D7A3625}">
      <dgm:prSet/>
      <dgm:spPr/>
      <dgm:t>
        <a:bodyPr/>
        <a:lstStyle/>
        <a:p>
          <a:endParaRPr lang="en-US" sz="1200" b="1">
            <a:latin typeface="+mn-lt"/>
          </a:endParaRPr>
        </a:p>
      </dgm:t>
    </dgm:pt>
    <dgm:pt modelId="{1C504CC2-6E90-4542-8202-4F1D3DAE8ED7}" type="sibTrans" cxnId="{FC4F632A-168F-4E12-9705-EEA17D7A3625}">
      <dgm:prSet/>
      <dgm:spPr/>
      <dgm:t>
        <a:bodyPr/>
        <a:lstStyle/>
        <a:p>
          <a:endParaRPr lang="en-US" sz="1200" b="1">
            <a:latin typeface="+mn-lt"/>
          </a:endParaRPr>
        </a:p>
      </dgm:t>
    </dgm:pt>
    <dgm:pt modelId="{A65C44F0-9863-412D-B3C8-8B6A50FF6FCC}">
      <dgm:prSet custT="1"/>
      <dgm:spPr/>
      <dgm:t>
        <a:bodyPr/>
        <a:lstStyle/>
        <a:p>
          <a:r>
            <a:rPr lang="lt-LT" sz="1200" b="1">
              <a:latin typeface="+mn-lt"/>
            </a:rPr>
            <a:t>Artele marțiale</a:t>
          </a:r>
          <a:endParaRPr lang="en-US" sz="1200" b="1">
            <a:latin typeface="+mn-lt"/>
          </a:endParaRPr>
        </a:p>
      </dgm:t>
    </dgm:pt>
    <dgm:pt modelId="{E5C78A93-A65A-4250-94AC-4806C1B9BA44}" type="parTrans" cxnId="{C3A443E7-6BCE-4104-BF3D-84DC184B10B2}">
      <dgm:prSet/>
      <dgm:spPr/>
      <dgm:t>
        <a:bodyPr/>
        <a:lstStyle/>
        <a:p>
          <a:endParaRPr lang="en-US" sz="1200" b="1">
            <a:latin typeface="+mn-lt"/>
          </a:endParaRPr>
        </a:p>
      </dgm:t>
    </dgm:pt>
    <dgm:pt modelId="{E51CC03D-E6C2-4E0A-B0CE-96013EE1D794}" type="sibTrans" cxnId="{C3A443E7-6BCE-4104-BF3D-84DC184B10B2}">
      <dgm:prSet/>
      <dgm:spPr/>
      <dgm:t>
        <a:bodyPr/>
        <a:lstStyle/>
        <a:p>
          <a:endParaRPr lang="en-US" sz="1200" b="1">
            <a:latin typeface="+mn-lt"/>
          </a:endParaRPr>
        </a:p>
      </dgm:t>
    </dgm:pt>
    <dgm:pt modelId="{B72E859D-C3D4-4385-B55E-EDCB71D21879}" type="pres">
      <dgm:prSet presAssocID="{53CEE529-2271-4F88-923A-D67262A9FA78}" presName="Name0" presStyleCnt="0">
        <dgm:presLayoutVars>
          <dgm:dir/>
          <dgm:resizeHandles/>
        </dgm:presLayoutVars>
      </dgm:prSet>
      <dgm:spPr/>
    </dgm:pt>
    <dgm:pt modelId="{B9EE381D-AD07-4B30-9909-4C78B1CA6181}" type="pres">
      <dgm:prSet presAssocID="{3C20666F-D7E0-43DD-B0BF-EB66ADD68AC9}" presName="compNode" presStyleCnt="0"/>
      <dgm:spPr/>
    </dgm:pt>
    <dgm:pt modelId="{C8F57423-70B8-42C0-BCF8-D2DDED2AF39B}" type="pres">
      <dgm:prSet presAssocID="{3C20666F-D7E0-43DD-B0BF-EB66ADD68AC9}" presName="dummyConnPt" presStyleCnt="0"/>
      <dgm:spPr/>
    </dgm:pt>
    <dgm:pt modelId="{AB77E9B3-A788-42AB-BB9A-B2A209E090F6}" type="pres">
      <dgm:prSet presAssocID="{3C20666F-D7E0-43DD-B0BF-EB66ADD68AC9}" presName="node" presStyleLbl="node1" presStyleIdx="0" presStyleCnt="15" custScaleX="243700">
        <dgm:presLayoutVars>
          <dgm:bulletEnabled val="1"/>
        </dgm:presLayoutVars>
      </dgm:prSet>
      <dgm:spPr/>
    </dgm:pt>
    <dgm:pt modelId="{AD52F177-89F7-4BF1-B27C-A844AD3BB7B6}" type="pres">
      <dgm:prSet presAssocID="{4B60162F-7392-4933-A723-6824EABC268D}" presName="sibTrans" presStyleLbl="bgSibTrans2D1" presStyleIdx="0" presStyleCnt="14"/>
      <dgm:spPr/>
    </dgm:pt>
    <dgm:pt modelId="{A4B0F3C0-6D50-4887-A4C3-31C64AEA0187}" type="pres">
      <dgm:prSet presAssocID="{C279712B-8228-46E2-ADDA-3B566560C587}" presName="compNode" presStyleCnt="0"/>
      <dgm:spPr/>
    </dgm:pt>
    <dgm:pt modelId="{2D50850D-EF0A-4E94-9CD6-1CABA51E599E}" type="pres">
      <dgm:prSet presAssocID="{C279712B-8228-46E2-ADDA-3B566560C587}" presName="dummyConnPt" presStyleCnt="0"/>
      <dgm:spPr/>
    </dgm:pt>
    <dgm:pt modelId="{04A3C154-7BC7-44FC-B036-F9F5A75D7FE8}" type="pres">
      <dgm:prSet presAssocID="{C279712B-8228-46E2-ADDA-3B566560C587}" presName="node" presStyleLbl="node1" presStyleIdx="1" presStyleCnt="15" custScaleX="243700">
        <dgm:presLayoutVars>
          <dgm:bulletEnabled val="1"/>
        </dgm:presLayoutVars>
      </dgm:prSet>
      <dgm:spPr/>
    </dgm:pt>
    <dgm:pt modelId="{7E5E804F-277B-4B08-B2F0-8DE0A5BB6524}" type="pres">
      <dgm:prSet presAssocID="{AD191686-B82D-42BB-A081-400058E069D6}" presName="sibTrans" presStyleLbl="bgSibTrans2D1" presStyleIdx="1" presStyleCnt="14"/>
      <dgm:spPr/>
    </dgm:pt>
    <dgm:pt modelId="{7FEEE216-9DF6-4644-A1E0-D24CE5979C17}" type="pres">
      <dgm:prSet presAssocID="{D82AE9A3-7DE4-4ACD-9448-5A142CE4469C}" presName="compNode" presStyleCnt="0"/>
      <dgm:spPr/>
    </dgm:pt>
    <dgm:pt modelId="{97B6F7F6-E149-496E-8024-1955FC11A0DE}" type="pres">
      <dgm:prSet presAssocID="{D82AE9A3-7DE4-4ACD-9448-5A142CE4469C}" presName="dummyConnPt" presStyleCnt="0"/>
      <dgm:spPr/>
    </dgm:pt>
    <dgm:pt modelId="{D1752EB8-56DE-45FB-A014-55B5646A9D98}" type="pres">
      <dgm:prSet presAssocID="{D82AE9A3-7DE4-4ACD-9448-5A142CE4469C}" presName="node" presStyleLbl="node1" presStyleIdx="2" presStyleCnt="15" custScaleX="243700">
        <dgm:presLayoutVars>
          <dgm:bulletEnabled val="1"/>
        </dgm:presLayoutVars>
      </dgm:prSet>
      <dgm:spPr/>
    </dgm:pt>
    <dgm:pt modelId="{BF819EAB-9701-477A-9E63-C93CC283F116}" type="pres">
      <dgm:prSet presAssocID="{76B100FD-C9DB-4242-9C0E-EE245E83C5B6}" presName="sibTrans" presStyleLbl="bgSibTrans2D1" presStyleIdx="2" presStyleCnt="14"/>
      <dgm:spPr/>
    </dgm:pt>
    <dgm:pt modelId="{56C1152E-F0CA-4811-B064-52D3AEF00E3E}" type="pres">
      <dgm:prSet presAssocID="{3712230C-93F3-41D3-B8EE-991CEF22F922}" presName="compNode" presStyleCnt="0"/>
      <dgm:spPr/>
    </dgm:pt>
    <dgm:pt modelId="{63CEA325-B3CB-41BF-AB54-2AE376D1FEBE}" type="pres">
      <dgm:prSet presAssocID="{3712230C-93F3-41D3-B8EE-991CEF22F922}" presName="dummyConnPt" presStyleCnt="0"/>
      <dgm:spPr/>
    </dgm:pt>
    <dgm:pt modelId="{8C452F4A-F1F7-42B9-A9FF-835D2F74E705}" type="pres">
      <dgm:prSet presAssocID="{3712230C-93F3-41D3-B8EE-991CEF22F922}" presName="node" presStyleLbl="node1" presStyleIdx="3" presStyleCnt="15" custScaleX="243700">
        <dgm:presLayoutVars>
          <dgm:bulletEnabled val="1"/>
        </dgm:presLayoutVars>
      </dgm:prSet>
      <dgm:spPr/>
    </dgm:pt>
    <dgm:pt modelId="{16F86CA0-2A94-4993-82B4-CB45107F22C2}" type="pres">
      <dgm:prSet presAssocID="{2C481235-9853-462A-B5EB-DAA470310042}" presName="sibTrans" presStyleLbl="bgSibTrans2D1" presStyleIdx="3" presStyleCnt="14"/>
      <dgm:spPr/>
    </dgm:pt>
    <dgm:pt modelId="{09F44C2A-F093-47A5-B13A-3BDE1649DBEE}" type="pres">
      <dgm:prSet presAssocID="{ACE8AB40-58BE-40AF-9C95-F49965F0178D}" presName="compNode" presStyleCnt="0"/>
      <dgm:spPr/>
    </dgm:pt>
    <dgm:pt modelId="{178A8AAB-039A-47FB-8F32-5C98710407B0}" type="pres">
      <dgm:prSet presAssocID="{ACE8AB40-58BE-40AF-9C95-F49965F0178D}" presName="dummyConnPt" presStyleCnt="0"/>
      <dgm:spPr/>
    </dgm:pt>
    <dgm:pt modelId="{6689F224-1D77-4737-BA4B-E173E5FE3E64}" type="pres">
      <dgm:prSet presAssocID="{ACE8AB40-58BE-40AF-9C95-F49965F0178D}" presName="node" presStyleLbl="node1" presStyleIdx="4" presStyleCnt="15" custScaleX="243700">
        <dgm:presLayoutVars>
          <dgm:bulletEnabled val="1"/>
        </dgm:presLayoutVars>
      </dgm:prSet>
      <dgm:spPr/>
    </dgm:pt>
    <dgm:pt modelId="{6249109B-5754-4471-822D-304658190D73}" type="pres">
      <dgm:prSet presAssocID="{BDCF3723-9A6F-4D98-9FB3-C30FD23D230F}" presName="sibTrans" presStyleLbl="bgSibTrans2D1" presStyleIdx="4" presStyleCnt="14"/>
      <dgm:spPr/>
    </dgm:pt>
    <dgm:pt modelId="{356F2F88-7BBD-4C7C-857F-D6BFF8E9EC1E}" type="pres">
      <dgm:prSet presAssocID="{632F76EE-5F82-4CEF-BB17-12A6016E8E0B}" presName="compNode" presStyleCnt="0"/>
      <dgm:spPr/>
    </dgm:pt>
    <dgm:pt modelId="{9E4913FD-2F92-43D5-B6E6-638BA43ECC39}" type="pres">
      <dgm:prSet presAssocID="{632F76EE-5F82-4CEF-BB17-12A6016E8E0B}" presName="dummyConnPt" presStyleCnt="0"/>
      <dgm:spPr/>
    </dgm:pt>
    <dgm:pt modelId="{0D596098-14C0-42D2-93A8-09DDA883C91F}" type="pres">
      <dgm:prSet presAssocID="{632F76EE-5F82-4CEF-BB17-12A6016E8E0B}" presName="node" presStyleLbl="node1" presStyleIdx="5" presStyleCnt="15" custScaleX="243700">
        <dgm:presLayoutVars>
          <dgm:bulletEnabled val="1"/>
        </dgm:presLayoutVars>
      </dgm:prSet>
      <dgm:spPr/>
    </dgm:pt>
    <dgm:pt modelId="{6A4DA005-25DF-4873-BD6B-7526E3C8CCF9}" type="pres">
      <dgm:prSet presAssocID="{409D5F7E-8AC5-4FBB-814F-55D2424B823B}" presName="sibTrans" presStyleLbl="bgSibTrans2D1" presStyleIdx="5" presStyleCnt="14"/>
      <dgm:spPr/>
    </dgm:pt>
    <dgm:pt modelId="{652A8BEE-0CE2-444F-98CD-4B7AE7DE49DD}" type="pres">
      <dgm:prSet presAssocID="{A20AE8BC-2857-40AD-B86C-E8997CFD4882}" presName="compNode" presStyleCnt="0"/>
      <dgm:spPr/>
    </dgm:pt>
    <dgm:pt modelId="{2F18FC5B-8208-4DBF-8AF0-EFD059124DBC}" type="pres">
      <dgm:prSet presAssocID="{A20AE8BC-2857-40AD-B86C-E8997CFD4882}" presName="dummyConnPt" presStyleCnt="0"/>
      <dgm:spPr/>
    </dgm:pt>
    <dgm:pt modelId="{962174CD-03E2-474A-A657-A342AB4FDFA4}" type="pres">
      <dgm:prSet presAssocID="{A20AE8BC-2857-40AD-B86C-E8997CFD4882}" presName="node" presStyleLbl="node1" presStyleIdx="6" presStyleCnt="15" custScaleX="243700">
        <dgm:presLayoutVars>
          <dgm:bulletEnabled val="1"/>
        </dgm:presLayoutVars>
      </dgm:prSet>
      <dgm:spPr/>
    </dgm:pt>
    <dgm:pt modelId="{EE4EFB79-3FC2-4483-8A7C-EBAF9F4D5519}" type="pres">
      <dgm:prSet presAssocID="{BDBBD9F2-9DF0-425C-BCD3-D41520E8095E}" presName="sibTrans" presStyleLbl="bgSibTrans2D1" presStyleIdx="6" presStyleCnt="14"/>
      <dgm:spPr/>
    </dgm:pt>
    <dgm:pt modelId="{318449D5-BD71-4EB6-A41F-8C528AE3726A}" type="pres">
      <dgm:prSet presAssocID="{382A479A-E39E-41B7-BA87-561C85523F3A}" presName="compNode" presStyleCnt="0"/>
      <dgm:spPr/>
    </dgm:pt>
    <dgm:pt modelId="{D5782913-EDD1-42EE-B9AA-C2020EC5B8B9}" type="pres">
      <dgm:prSet presAssocID="{382A479A-E39E-41B7-BA87-561C85523F3A}" presName="dummyConnPt" presStyleCnt="0"/>
      <dgm:spPr/>
    </dgm:pt>
    <dgm:pt modelId="{DA338E23-E461-440D-9ECB-B7CD36F6F1E8}" type="pres">
      <dgm:prSet presAssocID="{382A479A-E39E-41B7-BA87-561C85523F3A}" presName="node" presStyleLbl="node1" presStyleIdx="7" presStyleCnt="15" custScaleX="243700">
        <dgm:presLayoutVars>
          <dgm:bulletEnabled val="1"/>
        </dgm:presLayoutVars>
      </dgm:prSet>
      <dgm:spPr/>
    </dgm:pt>
    <dgm:pt modelId="{6C4DB1DA-E84D-428F-AFE8-BEA493817CE8}" type="pres">
      <dgm:prSet presAssocID="{F0A4ED2E-E982-446E-B7E8-D0D03F07766F}" presName="sibTrans" presStyleLbl="bgSibTrans2D1" presStyleIdx="7" presStyleCnt="14"/>
      <dgm:spPr/>
    </dgm:pt>
    <dgm:pt modelId="{1C18779A-24E3-4D3B-A474-9CC0FCA8B420}" type="pres">
      <dgm:prSet presAssocID="{F074B944-B26A-46A4-B637-FB04E242FB74}" presName="compNode" presStyleCnt="0"/>
      <dgm:spPr/>
    </dgm:pt>
    <dgm:pt modelId="{9C421CE3-4CC6-48D7-A750-12BF7792D605}" type="pres">
      <dgm:prSet presAssocID="{F074B944-B26A-46A4-B637-FB04E242FB74}" presName="dummyConnPt" presStyleCnt="0"/>
      <dgm:spPr/>
    </dgm:pt>
    <dgm:pt modelId="{C2BD8DDF-70E4-4113-A635-EBD83BA5F48D}" type="pres">
      <dgm:prSet presAssocID="{F074B944-B26A-46A4-B637-FB04E242FB74}" presName="node" presStyleLbl="node1" presStyleIdx="8" presStyleCnt="15" custScaleX="243700">
        <dgm:presLayoutVars>
          <dgm:bulletEnabled val="1"/>
        </dgm:presLayoutVars>
      </dgm:prSet>
      <dgm:spPr/>
    </dgm:pt>
    <dgm:pt modelId="{36511616-59A4-4883-A6E9-8FB79AEC2264}" type="pres">
      <dgm:prSet presAssocID="{50007956-43BA-4922-B54C-2C12DC0858AD}" presName="sibTrans" presStyleLbl="bgSibTrans2D1" presStyleIdx="8" presStyleCnt="14"/>
      <dgm:spPr/>
    </dgm:pt>
    <dgm:pt modelId="{DEAAA389-FA8F-46C0-B814-3431D229BEEE}" type="pres">
      <dgm:prSet presAssocID="{DA452E3F-2FF9-458E-9A2D-4E49E1636AA2}" presName="compNode" presStyleCnt="0"/>
      <dgm:spPr/>
    </dgm:pt>
    <dgm:pt modelId="{0D734282-501A-4DB9-B9B9-11330962E979}" type="pres">
      <dgm:prSet presAssocID="{DA452E3F-2FF9-458E-9A2D-4E49E1636AA2}" presName="dummyConnPt" presStyleCnt="0"/>
      <dgm:spPr/>
    </dgm:pt>
    <dgm:pt modelId="{D5EE9100-3C1F-4ABC-B2B6-F9F07CAD9747}" type="pres">
      <dgm:prSet presAssocID="{DA452E3F-2FF9-458E-9A2D-4E49E1636AA2}" presName="node" presStyleLbl="node1" presStyleIdx="9" presStyleCnt="15" custScaleX="243700">
        <dgm:presLayoutVars>
          <dgm:bulletEnabled val="1"/>
        </dgm:presLayoutVars>
      </dgm:prSet>
      <dgm:spPr/>
    </dgm:pt>
    <dgm:pt modelId="{EA92CDBB-1130-4B97-97F6-782DD3F05445}" type="pres">
      <dgm:prSet presAssocID="{612C1F30-D63D-4431-BA71-A75A7CED267D}" presName="sibTrans" presStyleLbl="bgSibTrans2D1" presStyleIdx="9" presStyleCnt="14"/>
      <dgm:spPr/>
    </dgm:pt>
    <dgm:pt modelId="{C93A1B63-7F0F-4EF6-97DB-AFB827705593}" type="pres">
      <dgm:prSet presAssocID="{D646B871-D024-4650-818F-56856458F583}" presName="compNode" presStyleCnt="0"/>
      <dgm:spPr/>
    </dgm:pt>
    <dgm:pt modelId="{05D5AA3F-F806-484B-B3AB-9E82465933FD}" type="pres">
      <dgm:prSet presAssocID="{D646B871-D024-4650-818F-56856458F583}" presName="dummyConnPt" presStyleCnt="0"/>
      <dgm:spPr/>
    </dgm:pt>
    <dgm:pt modelId="{518DE3D6-9E91-4C2B-92FB-CA8A9C3B5D4B}" type="pres">
      <dgm:prSet presAssocID="{D646B871-D024-4650-818F-56856458F583}" presName="node" presStyleLbl="node1" presStyleIdx="10" presStyleCnt="15" custScaleX="243700">
        <dgm:presLayoutVars>
          <dgm:bulletEnabled val="1"/>
        </dgm:presLayoutVars>
      </dgm:prSet>
      <dgm:spPr/>
    </dgm:pt>
    <dgm:pt modelId="{1B099936-63E1-47D5-BD57-89EC087AE135}" type="pres">
      <dgm:prSet presAssocID="{80C107CF-6A91-4B0B-A1E0-E3121A03A29E}" presName="sibTrans" presStyleLbl="bgSibTrans2D1" presStyleIdx="10" presStyleCnt="14"/>
      <dgm:spPr/>
    </dgm:pt>
    <dgm:pt modelId="{8A2360F4-E0AE-43B9-8DA2-DE31072FF8BC}" type="pres">
      <dgm:prSet presAssocID="{2750C655-8751-4B56-866E-7D8AC2099490}" presName="compNode" presStyleCnt="0"/>
      <dgm:spPr/>
    </dgm:pt>
    <dgm:pt modelId="{9CFECFD0-A25A-4FB9-B8AD-C0CE311263BA}" type="pres">
      <dgm:prSet presAssocID="{2750C655-8751-4B56-866E-7D8AC2099490}" presName="dummyConnPt" presStyleCnt="0"/>
      <dgm:spPr/>
    </dgm:pt>
    <dgm:pt modelId="{0C7E7D62-845B-422C-99B0-37F41FCA4DAA}" type="pres">
      <dgm:prSet presAssocID="{2750C655-8751-4B56-866E-7D8AC2099490}" presName="node" presStyleLbl="node1" presStyleIdx="11" presStyleCnt="15" custScaleX="243700">
        <dgm:presLayoutVars>
          <dgm:bulletEnabled val="1"/>
        </dgm:presLayoutVars>
      </dgm:prSet>
      <dgm:spPr/>
    </dgm:pt>
    <dgm:pt modelId="{D47557DB-D4F2-4077-AD26-8B2E52E3066A}" type="pres">
      <dgm:prSet presAssocID="{95F7719E-9790-446A-86AB-BB3807904C60}" presName="sibTrans" presStyleLbl="bgSibTrans2D1" presStyleIdx="11" presStyleCnt="14"/>
      <dgm:spPr/>
    </dgm:pt>
    <dgm:pt modelId="{D8E31487-8C21-4A2E-B1B4-02B0813C6ED6}" type="pres">
      <dgm:prSet presAssocID="{F5D080C8-3A7A-4E53-AC74-F13FA8F54448}" presName="compNode" presStyleCnt="0"/>
      <dgm:spPr/>
    </dgm:pt>
    <dgm:pt modelId="{ED2410B7-2EBF-40CD-A511-248F43F80FE3}" type="pres">
      <dgm:prSet presAssocID="{F5D080C8-3A7A-4E53-AC74-F13FA8F54448}" presName="dummyConnPt" presStyleCnt="0"/>
      <dgm:spPr/>
    </dgm:pt>
    <dgm:pt modelId="{3BB2194A-5648-4934-AF78-1BED7839C026}" type="pres">
      <dgm:prSet presAssocID="{F5D080C8-3A7A-4E53-AC74-F13FA8F54448}" presName="node" presStyleLbl="node1" presStyleIdx="12" presStyleCnt="15" custScaleX="243700">
        <dgm:presLayoutVars>
          <dgm:bulletEnabled val="1"/>
        </dgm:presLayoutVars>
      </dgm:prSet>
      <dgm:spPr/>
    </dgm:pt>
    <dgm:pt modelId="{77FCDCB5-4715-4F0B-B31D-E848FC80EE76}" type="pres">
      <dgm:prSet presAssocID="{D01F67C3-C4F4-45AF-AA3A-B6D726D4101B}" presName="sibTrans" presStyleLbl="bgSibTrans2D1" presStyleIdx="12" presStyleCnt="14"/>
      <dgm:spPr/>
    </dgm:pt>
    <dgm:pt modelId="{F05766FF-98C6-4342-A969-5178AEF0B4EA}" type="pres">
      <dgm:prSet presAssocID="{7963FDB1-065B-413B-818F-3D7B769C0CBF}" presName="compNode" presStyleCnt="0"/>
      <dgm:spPr/>
    </dgm:pt>
    <dgm:pt modelId="{212208AF-8311-40D7-BD76-60B1541D278A}" type="pres">
      <dgm:prSet presAssocID="{7963FDB1-065B-413B-818F-3D7B769C0CBF}" presName="dummyConnPt" presStyleCnt="0"/>
      <dgm:spPr/>
    </dgm:pt>
    <dgm:pt modelId="{18BE02A1-0718-4A9A-8032-E9FA821FC71E}" type="pres">
      <dgm:prSet presAssocID="{7963FDB1-065B-413B-818F-3D7B769C0CBF}" presName="node" presStyleLbl="node1" presStyleIdx="13" presStyleCnt="15" custScaleX="243700">
        <dgm:presLayoutVars>
          <dgm:bulletEnabled val="1"/>
        </dgm:presLayoutVars>
      </dgm:prSet>
      <dgm:spPr/>
    </dgm:pt>
    <dgm:pt modelId="{E41479F4-0BFE-48D1-A31F-959991BAB221}" type="pres">
      <dgm:prSet presAssocID="{1C504CC2-6E90-4542-8202-4F1D3DAE8ED7}" presName="sibTrans" presStyleLbl="bgSibTrans2D1" presStyleIdx="13" presStyleCnt="14"/>
      <dgm:spPr/>
    </dgm:pt>
    <dgm:pt modelId="{5C825361-E5D4-4FF1-AEFF-1F65A937A3ED}" type="pres">
      <dgm:prSet presAssocID="{A65C44F0-9863-412D-B3C8-8B6A50FF6FCC}" presName="compNode" presStyleCnt="0"/>
      <dgm:spPr/>
    </dgm:pt>
    <dgm:pt modelId="{C741531B-000E-4823-A2DD-764A3567961A}" type="pres">
      <dgm:prSet presAssocID="{A65C44F0-9863-412D-B3C8-8B6A50FF6FCC}" presName="dummyConnPt" presStyleCnt="0"/>
      <dgm:spPr/>
    </dgm:pt>
    <dgm:pt modelId="{2C363D66-ACAE-448F-9969-FAEC67A96493}" type="pres">
      <dgm:prSet presAssocID="{A65C44F0-9863-412D-B3C8-8B6A50FF6FCC}" presName="node" presStyleLbl="node1" presStyleIdx="14" presStyleCnt="15" custScaleX="243700">
        <dgm:presLayoutVars>
          <dgm:bulletEnabled val="1"/>
        </dgm:presLayoutVars>
      </dgm:prSet>
      <dgm:spPr/>
    </dgm:pt>
  </dgm:ptLst>
  <dgm:cxnLst>
    <dgm:cxn modelId="{ABBD3102-8200-45D4-8178-521B9F5D798F}" type="presOf" srcId="{4B60162F-7392-4933-A723-6824EABC268D}" destId="{AD52F177-89F7-4BF1-B27C-A844AD3BB7B6}" srcOrd="0" destOrd="0" presId="urn:microsoft.com/office/officeart/2005/8/layout/bProcess4"/>
    <dgm:cxn modelId="{0DDD3E02-21EC-4AD4-9E39-D929C795EE12}" type="presOf" srcId="{409D5F7E-8AC5-4FBB-814F-55D2424B823B}" destId="{6A4DA005-25DF-4873-BD6B-7526E3C8CCF9}" srcOrd="0" destOrd="0" presId="urn:microsoft.com/office/officeart/2005/8/layout/bProcess4"/>
    <dgm:cxn modelId="{B42C5405-B31E-4B52-B10C-27B801E3FC6B}" type="presOf" srcId="{632F76EE-5F82-4CEF-BB17-12A6016E8E0B}" destId="{0D596098-14C0-42D2-93A8-09DDA883C91F}" srcOrd="0" destOrd="0" presId="urn:microsoft.com/office/officeart/2005/8/layout/bProcess4"/>
    <dgm:cxn modelId="{1F66170D-C1A0-436A-85CD-1814A0B5BBBB}" srcId="{53CEE529-2271-4F88-923A-D67262A9FA78}" destId="{3712230C-93F3-41D3-B8EE-991CEF22F922}" srcOrd="3" destOrd="0" parTransId="{06E77ADE-20B1-442F-A1E5-DDF3060CBAF9}" sibTransId="{2C481235-9853-462A-B5EB-DAA470310042}"/>
    <dgm:cxn modelId="{5958450D-52FD-44C9-B7A1-9DBA4309DFFB}" srcId="{53CEE529-2271-4F88-923A-D67262A9FA78}" destId="{F074B944-B26A-46A4-B637-FB04E242FB74}" srcOrd="8" destOrd="0" parTransId="{35538C41-527E-404B-BD89-922C1C37626C}" sibTransId="{50007956-43BA-4922-B54C-2C12DC0858AD}"/>
    <dgm:cxn modelId="{E099A40D-264C-4E65-BCD4-215ACB7BA2BA}" type="presOf" srcId="{A20AE8BC-2857-40AD-B86C-E8997CFD4882}" destId="{962174CD-03E2-474A-A657-A342AB4FDFA4}" srcOrd="0" destOrd="0" presId="urn:microsoft.com/office/officeart/2005/8/layout/bProcess4"/>
    <dgm:cxn modelId="{FF82061B-03C1-4071-9CB8-621373F3B2B4}" srcId="{53CEE529-2271-4F88-923A-D67262A9FA78}" destId="{A20AE8BC-2857-40AD-B86C-E8997CFD4882}" srcOrd="6" destOrd="0" parTransId="{C5E7DAF6-3D7F-46E4-9775-E7CAC03412B3}" sibTransId="{BDBBD9F2-9DF0-425C-BCD3-D41520E8095E}"/>
    <dgm:cxn modelId="{E6F5C41C-5125-4BF8-8018-2BA3F108A7DF}" type="presOf" srcId="{7963FDB1-065B-413B-818F-3D7B769C0CBF}" destId="{18BE02A1-0718-4A9A-8032-E9FA821FC71E}" srcOrd="0" destOrd="0" presId="urn:microsoft.com/office/officeart/2005/8/layout/bProcess4"/>
    <dgm:cxn modelId="{51F7F61C-4EA7-4E17-AA2C-420DABBC022B}" type="presOf" srcId="{A65C44F0-9863-412D-B3C8-8B6A50FF6FCC}" destId="{2C363D66-ACAE-448F-9969-FAEC67A96493}" srcOrd="0" destOrd="0" presId="urn:microsoft.com/office/officeart/2005/8/layout/bProcess4"/>
    <dgm:cxn modelId="{D05F9922-2E46-4230-BA1E-ABB2D28A55CE}" type="presOf" srcId="{1C504CC2-6E90-4542-8202-4F1D3DAE8ED7}" destId="{E41479F4-0BFE-48D1-A31F-959991BAB221}" srcOrd="0" destOrd="0" presId="urn:microsoft.com/office/officeart/2005/8/layout/bProcess4"/>
    <dgm:cxn modelId="{0875DD28-4EDF-4B2A-B578-C4DB3626EF96}" type="presOf" srcId="{ACE8AB40-58BE-40AF-9C95-F49965F0178D}" destId="{6689F224-1D77-4737-BA4B-E173E5FE3E64}" srcOrd="0" destOrd="0" presId="urn:microsoft.com/office/officeart/2005/8/layout/bProcess4"/>
    <dgm:cxn modelId="{FC4F632A-168F-4E12-9705-EEA17D7A3625}" srcId="{53CEE529-2271-4F88-923A-D67262A9FA78}" destId="{7963FDB1-065B-413B-818F-3D7B769C0CBF}" srcOrd="13" destOrd="0" parTransId="{D4EFB3D9-39DF-43DD-8658-9EC169F8C3A3}" sibTransId="{1C504CC2-6E90-4542-8202-4F1D3DAE8ED7}"/>
    <dgm:cxn modelId="{D117022C-D499-4467-90DB-C86AC0FFF180}" srcId="{53CEE529-2271-4F88-923A-D67262A9FA78}" destId="{D646B871-D024-4650-818F-56856458F583}" srcOrd="10" destOrd="0" parTransId="{7D36FEBB-F292-4EDA-9984-E2F10F6FFE62}" sibTransId="{80C107CF-6A91-4B0B-A1E0-E3121A03A29E}"/>
    <dgm:cxn modelId="{38A11A32-54A7-4CEF-827D-38B1B9E17892}" type="presOf" srcId="{F074B944-B26A-46A4-B637-FB04E242FB74}" destId="{C2BD8DDF-70E4-4113-A635-EBD83BA5F48D}" srcOrd="0" destOrd="0" presId="urn:microsoft.com/office/officeart/2005/8/layout/bProcess4"/>
    <dgm:cxn modelId="{CDCB5033-C334-4505-9549-8DC20C7E0524}" type="presOf" srcId="{C279712B-8228-46E2-ADDA-3B566560C587}" destId="{04A3C154-7BC7-44FC-B036-F9F5A75D7FE8}" srcOrd="0" destOrd="0" presId="urn:microsoft.com/office/officeart/2005/8/layout/bProcess4"/>
    <dgm:cxn modelId="{1E242536-4700-4355-859C-A2F7DCC46F40}" srcId="{53CEE529-2271-4F88-923A-D67262A9FA78}" destId="{DA452E3F-2FF9-458E-9A2D-4E49E1636AA2}" srcOrd="9" destOrd="0" parTransId="{99A2BAD3-0890-45B0-88C7-45C9AF729BB9}" sibTransId="{612C1F30-D63D-4431-BA71-A75A7CED267D}"/>
    <dgm:cxn modelId="{C11C7C38-D76E-4219-80CC-A8E7D66F2433}" type="presOf" srcId="{F5D080C8-3A7A-4E53-AC74-F13FA8F54448}" destId="{3BB2194A-5648-4934-AF78-1BED7839C026}" srcOrd="0" destOrd="0" presId="urn:microsoft.com/office/officeart/2005/8/layout/bProcess4"/>
    <dgm:cxn modelId="{A5688B5F-C747-4B38-AC2E-3BEC12A47937}" srcId="{53CEE529-2271-4F88-923A-D67262A9FA78}" destId="{632F76EE-5F82-4CEF-BB17-12A6016E8E0B}" srcOrd="5" destOrd="0" parTransId="{64310A8F-6313-4D3A-9EAD-93AC444CF083}" sibTransId="{409D5F7E-8AC5-4FBB-814F-55D2424B823B}"/>
    <dgm:cxn modelId="{D612EA5F-5BEA-4131-900F-E26E7F58536D}" type="presOf" srcId="{BDBBD9F2-9DF0-425C-BCD3-D41520E8095E}" destId="{EE4EFB79-3FC2-4483-8A7C-EBAF9F4D5519}" srcOrd="0" destOrd="0" presId="urn:microsoft.com/office/officeart/2005/8/layout/bProcess4"/>
    <dgm:cxn modelId="{C2E08443-2648-465A-B4D4-9AF55C3BBA1D}" srcId="{53CEE529-2271-4F88-923A-D67262A9FA78}" destId="{382A479A-E39E-41B7-BA87-561C85523F3A}" srcOrd="7" destOrd="0" parTransId="{3A0992B6-A06D-4271-8431-9B743E9540D7}" sibTransId="{F0A4ED2E-E982-446E-B7E8-D0D03F07766F}"/>
    <dgm:cxn modelId="{460EBF44-4636-48F8-8E79-CA789BBB128C}" type="presOf" srcId="{95F7719E-9790-446A-86AB-BB3807904C60}" destId="{D47557DB-D4F2-4077-AD26-8B2E52E3066A}" srcOrd="0" destOrd="0" presId="urn:microsoft.com/office/officeart/2005/8/layout/bProcess4"/>
    <dgm:cxn modelId="{742BCE45-D4E4-4442-AB8E-EDD25A7EF082}" type="presOf" srcId="{612C1F30-D63D-4431-BA71-A75A7CED267D}" destId="{EA92CDBB-1130-4B97-97F6-782DD3F05445}" srcOrd="0" destOrd="0" presId="urn:microsoft.com/office/officeart/2005/8/layout/bProcess4"/>
    <dgm:cxn modelId="{F9214E6B-88D4-4275-AC43-2AC1D564FE2D}" srcId="{53CEE529-2271-4F88-923A-D67262A9FA78}" destId="{D82AE9A3-7DE4-4ACD-9448-5A142CE4469C}" srcOrd="2" destOrd="0" parTransId="{E4C10A38-8C18-4B62-A269-D486D5C71BCB}" sibTransId="{76B100FD-C9DB-4242-9C0E-EE245E83C5B6}"/>
    <dgm:cxn modelId="{1DAF1E50-C8A3-4C9A-B589-586FDC84DC16}" srcId="{53CEE529-2271-4F88-923A-D67262A9FA78}" destId="{2750C655-8751-4B56-866E-7D8AC2099490}" srcOrd="11" destOrd="0" parTransId="{9ADEA9D7-B3F3-4CA3-B188-84CC89800F24}" sibTransId="{95F7719E-9790-446A-86AB-BB3807904C60}"/>
    <dgm:cxn modelId="{40DF4173-31AF-4501-8F86-BC9D47E589DF}" type="presOf" srcId="{D01F67C3-C4F4-45AF-AA3A-B6D726D4101B}" destId="{77FCDCB5-4715-4F0B-B31D-E848FC80EE76}" srcOrd="0" destOrd="0" presId="urn:microsoft.com/office/officeart/2005/8/layout/bProcess4"/>
    <dgm:cxn modelId="{12E64E57-FCA0-4AF5-BD5F-05994BD8A434}" type="presOf" srcId="{76B100FD-C9DB-4242-9C0E-EE245E83C5B6}" destId="{BF819EAB-9701-477A-9E63-C93CC283F116}" srcOrd="0" destOrd="0" presId="urn:microsoft.com/office/officeart/2005/8/layout/bProcess4"/>
    <dgm:cxn modelId="{F661C379-E97D-4C98-AB0B-6C67AC9018EE}" type="presOf" srcId="{D646B871-D024-4650-818F-56856458F583}" destId="{518DE3D6-9E91-4C2B-92FB-CA8A9C3B5D4B}" srcOrd="0" destOrd="0" presId="urn:microsoft.com/office/officeart/2005/8/layout/bProcess4"/>
    <dgm:cxn modelId="{29C8797F-80EF-4784-BB9C-D06016747318}" type="presOf" srcId="{2C481235-9853-462A-B5EB-DAA470310042}" destId="{16F86CA0-2A94-4993-82B4-CB45107F22C2}" srcOrd="0" destOrd="0" presId="urn:microsoft.com/office/officeart/2005/8/layout/bProcess4"/>
    <dgm:cxn modelId="{59E14A8A-38F4-4BD1-AF99-7D9D4FA8AA00}" type="presOf" srcId="{53CEE529-2271-4F88-923A-D67262A9FA78}" destId="{B72E859D-C3D4-4385-B55E-EDCB71D21879}" srcOrd="0" destOrd="0" presId="urn:microsoft.com/office/officeart/2005/8/layout/bProcess4"/>
    <dgm:cxn modelId="{0429DD8E-BE0B-4CB4-8A89-FF2120E64D6A}" srcId="{53CEE529-2271-4F88-923A-D67262A9FA78}" destId="{3C20666F-D7E0-43DD-B0BF-EB66ADD68AC9}" srcOrd="0" destOrd="0" parTransId="{A99ADF66-DF5D-415A-8D46-E7BCC74F1583}" sibTransId="{4B60162F-7392-4933-A723-6824EABC268D}"/>
    <dgm:cxn modelId="{23F3EEA3-650E-490C-8173-246FED601DCE}" srcId="{53CEE529-2271-4F88-923A-D67262A9FA78}" destId="{F5D080C8-3A7A-4E53-AC74-F13FA8F54448}" srcOrd="12" destOrd="0" parTransId="{116821B0-A10B-4EDD-BFBD-0DDAE34FAC27}" sibTransId="{D01F67C3-C4F4-45AF-AA3A-B6D726D4101B}"/>
    <dgm:cxn modelId="{5EF1EFA7-ABC3-48B7-9E30-D00A3C1CCD61}" type="presOf" srcId="{AD191686-B82D-42BB-A081-400058E069D6}" destId="{7E5E804F-277B-4B08-B2F0-8DE0A5BB6524}" srcOrd="0" destOrd="0" presId="urn:microsoft.com/office/officeart/2005/8/layout/bProcess4"/>
    <dgm:cxn modelId="{2D4A83B0-CDAC-4641-A333-1D266D996C72}" type="presOf" srcId="{3C20666F-D7E0-43DD-B0BF-EB66ADD68AC9}" destId="{AB77E9B3-A788-42AB-BB9A-B2A209E090F6}" srcOrd="0" destOrd="0" presId="urn:microsoft.com/office/officeart/2005/8/layout/bProcess4"/>
    <dgm:cxn modelId="{DC7695B2-2555-41FE-BE9E-89E2AC23B0AE}" type="presOf" srcId="{80C107CF-6A91-4B0B-A1E0-E3121A03A29E}" destId="{1B099936-63E1-47D5-BD57-89EC087AE135}" srcOrd="0" destOrd="0" presId="urn:microsoft.com/office/officeart/2005/8/layout/bProcess4"/>
    <dgm:cxn modelId="{043133B3-6614-4B9B-92CB-447C249CA0F3}" srcId="{53CEE529-2271-4F88-923A-D67262A9FA78}" destId="{ACE8AB40-58BE-40AF-9C95-F49965F0178D}" srcOrd="4" destOrd="0" parTransId="{8DFF1632-2F1A-4A7B-920C-D42BB7CE9FC7}" sibTransId="{BDCF3723-9A6F-4D98-9FB3-C30FD23D230F}"/>
    <dgm:cxn modelId="{5EDC98B6-313C-4F88-A076-7C339B489540}" type="presOf" srcId="{D82AE9A3-7DE4-4ACD-9448-5A142CE4469C}" destId="{D1752EB8-56DE-45FB-A014-55B5646A9D98}" srcOrd="0" destOrd="0" presId="urn:microsoft.com/office/officeart/2005/8/layout/bProcess4"/>
    <dgm:cxn modelId="{3CBA34B8-C415-4E59-B0C2-D8AFCE8DC3F5}" type="presOf" srcId="{3712230C-93F3-41D3-B8EE-991CEF22F922}" destId="{8C452F4A-F1F7-42B9-A9FF-835D2F74E705}" srcOrd="0" destOrd="0" presId="urn:microsoft.com/office/officeart/2005/8/layout/bProcess4"/>
    <dgm:cxn modelId="{67BAADB9-1957-432A-A110-16F75FBFAD8D}" type="presOf" srcId="{2750C655-8751-4B56-866E-7D8AC2099490}" destId="{0C7E7D62-845B-422C-99B0-37F41FCA4DAA}" srcOrd="0" destOrd="0" presId="urn:microsoft.com/office/officeart/2005/8/layout/bProcess4"/>
    <dgm:cxn modelId="{0E54CCB9-4E74-4277-8553-2D8B85C41785}" type="presOf" srcId="{F0A4ED2E-E982-446E-B7E8-D0D03F07766F}" destId="{6C4DB1DA-E84D-428F-AFE8-BEA493817CE8}" srcOrd="0" destOrd="0" presId="urn:microsoft.com/office/officeart/2005/8/layout/bProcess4"/>
    <dgm:cxn modelId="{8C979FCC-7CDA-4F4F-B5E6-8E006A214495}" type="presOf" srcId="{382A479A-E39E-41B7-BA87-561C85523F3A}" destId="{DA338E23-E461-440D-9ECB-B7CD36F6F1E8}" srcOrd="0" destOrd="0" presId="urn:microsoft.com/office/officeart/2005/8/layout/bProcess4"/>
    <dgm:cxn modelId="{8D6324D5-DC61-45F3-9F33-CE95078E7EF0}" type="presOf" srcId="{BDCF3723-9A6F-4D98-9FB3-C30FD23D230F}" destId="{6249109B-5754-4471-822D-304658190D73}" srcOrd="0" destOrd="0" presId="urn:microsoft.com/office/officeart/2005/8/layout/bProcess4"/>
    <dgm:cxn modelId="{37AABAE5-B027-43CF-8258-C088834465C3}" type="presOf" srcId="{50007956-43BA-4922-B54C-2C12DC0858AD}" destId="{36511616-59A4-4883-A6E9-8FB79AEC2264}" srcOrd="0" destOrd="0" presId="urn:microsoft.com/office/officeart/2005/8/layout/bProcess4"/>
    <dgm:cxn modelId="{C3A443E7-6BCE-4104-BF3D-84DC184B10B2}" srcId="{53CEE529-2271-4F88-923A-D67262A9FA78}" destId="{A65C44F0-9863-412D-B3C8-8B6A50FF6FCC}" srcOrd="14" destOrd="0" parTransId="{E5C78A93-A65A-4250-94AC-4806C1B9BA44}" sibTransId="{E51CC03D-E6C2-4E0A-B0CE-96013EE1D794}"/>
    <dgm:cxn modelId="{C02F05E9-DC32-427B-9B2B-DC66FBA4E6BB}" srcId="{53CEE529-2271-4F88-923A-D67262A9FA78}" destId="{C279712B-8228-46E2-ADDA-3B566560C587}" srcOrd="1" destOrd="0" parTransId="{81BCD32B-3C54-4FF7-84EE-B90C471134B2}" sibTransId="{AD191686-B82D-42BB-A081-400058E069D6}"/>
    <dgm:cxn modelId="{1C44BDF8-344F-4B81-9295-E6727165A399}" type="presOf" srcId="{DA452E3F-2FF9-458E-9A2D-4E49E1636AA2}" destId="{D5EE9100-3C1F-4ABC-B2B6-F9F07CAD9747}" srcOrd="0" destOrd="0" presId="urn:microsoft.com/office/officeart/2005/8/layout/bProcess4"/>
    <dgm:cxn modelId="{495364CB-A051-4149-9B27-6DED46B25C08}" type="presParOf" srcId="{B72E859D-C3D4-4385-B55E-EDCB71D21879}" destId="{B9EE381D-AD07-4B30-9909-4C78B1CA6181}" srcOrd="0" destOrd="0" presId="urn:microsoft.com/office/officeart/2005/8/layout/bProcess4"/>
    <dgm:cxn modelId="{262235AD-58D6-4431-BFCD-3BBD9FD4752A}" type="presParOf" srcId="{B9EE381D-AD07-4B30-9909-4C78B1CA6181}" destId="{C8F57423-70B8-42C0-BCF8-D2DDED2AF39B}" srcOrd="0" destOrd="0" presId="urn:microsoft.com/office/officeart/2005/8/layout/bProcess4"/>
    <dgm:cxn modelId="{16CA6B19-A1AE-400E-B9BC-D23ADB72B8E0}" type="presParOf" srcId="{B9EE381D-AD07-4B30-9909-4C78B1CA6181}" destId="{AB77E9B3-A788-42AB-BB9A-B2A209E090F6}" srcOrd="1" destOrd="0" presId="urn:microsoft.com/office/officeart/2005/8/layout/bProcess4"/>
    <dgm:cxn modelId="{848B942E-BAD1-45ED-BF3D-70C0E1570F27}" type="presParOf" srcId="{B72E859D-C3D4-4385-B55E-EDCB71D21879}" destId="{AD52F177-89F7-4BF1-B27C-A844AD3BB7B6}" srcOrd="1" destOrd="0" presId="urn:microsoft.com/office/officeart/2005/8/layout/bProcess4"/>
    <dgm:cxn modelId="{420CFF48-3FDB-4150-9F62-58945B4C0673}" type="presParOf" srcId="{B72E859D-C3D4-4385-B55E-EDCB71D21879}" destId="{A4B0F3C0-6D50-4887-A4C3-31C64AEA0187}" srcOrd="2" destOrd="0" presId="urn:microsoft.com/office/officeart/2005/8/layout/bProcess4"/>
    <dgm:cxn modelId="{4F8E0049-BDE9-4A14-B1E4-9A93543B1218}" type="presParOf" srcId="{A4B0F3C0-6D50-4887-A4C3-31C64AEA0187}" destId="{2D50850D-EF0A-4E94-9CD6-1CABA51E599E}" srcOrd="0" destOrd="0" presId="urn:microsoft.com/office/officeart/2005/8/layout/bProcess4"/>
    <dgm:cxn modelId="{7D5A3052-301E-401D-ADE7-D99D012EFBA1}" type="presParOf" srcId="{A4B0F3C0-6D50-4887-A4C3-31C64AEA0187}" destId="{04A3C154-7BC7-44FC-B036-F9F5A75D7FE8}" srcOrd="1" destOrd="0" presId="urn:microsoft.com/office/officeart/2005/8/layout/bProcess4"/>
    <dgm:cxn modelId="{FBCF8DFA-DF1F-44FA-91AF-45C476878BDC}" type="presParOf" srcId="{B72E859D-C3D4-4385-B55E-EDCB71D21879}" destId="{7E5E804F-277B-4B08-B2F0-8DE0A5BB6524}" srcOrd="3" destOrd="0" presId="urn:microsoft.com/office/officeart/2005/8/layout/bProcess4"/>
    <dgm:cxn modelId="{EDF2D1F6-AA8A-4B97-8F87-B31A45392D11}" type="presParOf" srcId="{B72E859D-C3D4-4385-B55E-EDCB71D21879}" destId="{7FEEE216-9DF6-4644-A1E0-D24CE5979C17}" srcOrd="4" destOrd="0" presId="urn:microsoft.com/office/officeart/2005/8/layout/bProcess4"/>
    <dgm:cxn modelId="{20D58B7D-02C5-437C-B5AC-33E227BA8903}" type="presParOf" srcId="{7FEEE216-9DF6-4644-A1E0-D24CE5979C17}" destId="{97B6F7F6-E149-496E-8024-1955FC11A0DE}" srcOrd="0" destOrd="0" presId="urn:microsoft.com/office/officeart/2005/8/layout/bProcess4"/>
    <dgm:cxn modelId="{1B0CDFFB-00E2-45B6-AA24-5564AC77638B}" type="presParOf" srcId="{7FEEE216-9DF6-4644-A1E0-D24CE5979C17}" destId="{D1752EB8-56DE-45FB-A014-55B5646A9D98}" srcOrd="1" destOrd="0" presId="urn:microsoft.com/office/officeart/2005/8/layout/bProcess4"/>
    <dgm:cxn modelId="{39CF8383-A67D-49C7-BE09-0E68F15D80B8}" type="presParOf" srcId="{B72E859D-C3D4-4385-B55E-EDCB71D21879}" destId="{BF819EAB-9701-477A-9E63-C93CC283F116}" srcOrd="5" destOrd="0" presId="urn:microsoft.com/office/officeart/2005/8/layout/bProcess4"/>
    <dgm:cxn modelId="{15331D67-3EBF-4E5F-B6CA-9644EF84BC3E}" type="presParOf" srcId="{B72E859D-C3D4-4385-B55E-EDCB71D21879}" destId="{56C1152E-F0CA-4811-B064-52D3AEF00E3E}" srcOrd="6" destOrd="0" presId="urn:microsoft.com/office/officeart/2005/8/layout/bProcess4"/>
    <dgm:cxn modelId="{7FF63A5F-BA72-494C-BF63-5278BFEAFA7B}" type="presParOf" srcId="{56C1152E-F0CA-4811-B064-52D3AEF00E3E}" destId="{63CEA325-B3CB-41BF-AB54-2AE376D1FEBE}" srcOrd="0" destOrd="0" presId="urn:microsoft.com/office/officeart/2005/8/layout/bProcess4"/>
    <dgm:cxn modelId="{A55A1426-8857-4896-ABAF-BBDD9B8EDD59}" type="presParOf" srcId="{56C1152E-F0CA-4811-B064-52D3AEF00E3E}" destId="{8C452F4A-F1F7-42B9-A9FF-835D2F74E705}" srcOrd="1" destOrd="0" presId="urn:microsoft.com/office/officeart/2005/8/layout/bProcess4"/>
    <dgm:cxn modelId="{C0DBC1DE-375C-4302-B6B0-25EF79161C68}" type="presParOf" srcId="{B72E859D-C3D4-4385-B55E-EDCB71D21879}" destId="{16F86CA0-2A94-4993-82B4-CB45107F22C2}" srcOrd="7" destOrd="0" presId="urn:microsoft.com/office/officeart/2005/8/layout/bProcess4"/>
    <dgm:cxn modelId="{74B52234-EA61-498B-AAC7-740FC9EB9B12}" type="presParOf" srcId="{B72E859D-C3D4-4385-B55E-EDCB71D21879}" destId="{09F44C2A-F093-47A5-B13A-3BDE1649DBEE}" srcOrd="8" destOrd="0" presId="urn:microsoft.com/office/officeart/2005/8/layout/bProcess4"/>
    <dgm:cxn modelId="{1B81733D-0D27-4375-B5F1-CEF366461AE0}" type="presParOf" srcId="{09F44C2A-F093-47A5-B13A-3BDE1649DBEE}" destId="{178A8AAB-039A-47FB-8F32-5C98710407B0}" srcOrd="0" destOrd="0" presId="urn:microsoft.com/office/officeart/2005/8/layout/bProcess4"/>
    <dgm:cxn modelId="{E86763C8-EF51-432E-A558-79BA92C3AD34}" type="presParOf" srcId="{09F44C2A-F093-47A5-B13A-3BDE1649DBEE}" destId="{6689F224-1D77-4737-BA4B-E173E5FE3E64}" srcOrd="1" destOrd="0" presId="urn:microsoft.com/office/officeart/2005/8/layout/bProcess4"/>
    <dgm:cxn modelId="{A11721F0-4618-4391-9159-CFF0F5E9FD1D}" type="presParOf" srcId="{B72E859D-C3D4-4385-B55E-EDCB71D21879}" destId="{6249109B-5754-4471-822D-304658190D73}" srcOrd="9" destOrd="0" presId="urn:microsoft.com/office/officeart/2005/8/layout/bProcess4"/>
    <dgm:cxn modelId="{7316C472-E308-460E-8F51-FB7E3618FB74}" type="presParOf" srcId="{B72E859D-C3D4-4385-B55E-EDCB71D21879}" destId="{356F2F88-7BBD-4C7C-857F-D6BFF8E9EC1E}" srcOrd="10" destOrd="0" presId="urn:microsoft.com/office/officeart/2005/8/layout/bProcess4"/>
    <dgm:cxn modelId="{44A948EE-2FB7-4190-B5F6-EDD4067AE7E9}" type="presParOf" srcId="{356F2F88-7BBD-4C7C-857F-D6BFF8E9EC1E}" destId="{9E4913FD-2F92-43D5-B6E6-638BA43ECC39}" srcOrd="0" destOrd="0" presId="urn:microsoft.com/office/officeart/2005/8/layout/bProcess4"/>
    <dgm:cxn modelId="{BDB99822-E695-447A-957C-0809E1CF7691}" type="presParOf" srcId="{356F2F88-7BBD-4C7C-857F-D6BFF8E9EC1E}" destId="{0D596098-14C0-42D2-93A8-09DDA883C91F}" srcOrd="1" destOrd="0" presId="urn:microsoft.com/office/officeart/2005/8/layout/bProcess4"/>
    <dgm:cxn modelId="{E84C6792-4AFD-4DDE-9C99-8E3C033AC3E3}" type="presParOf" srcId="{B72E859D-C3D4-4385-B55E-EDCB71D21879}" destId="{6A4DA005-25DF-4873-BD6B-7526E3C8CCF9}" srcOrd="11" destOrd="0" presId="urn:microsoft.com/office/officeart/2005/8/layout/bProcess4"/>
    <dgm:cxn modelId="{23A09F73-6626-4588-B8F0-F72DE5348701}" type="presParOf" srcId="{B72E859D-C3D4-4385-B55E-EDCB71D21879}" destId="{652A8BEE-0CE2-444F-98CD-4B7AE7DE49DD}" srcOrd="12" destOrd="0" presId="urn:microsoft.com/office/officeart/2005/8/layout/bProcess4"/>
    <dgm:cxn modelId="{D6E6B6C3-31C7-4616-BFEA-25C8C8D3CC1F}" type="presParOf" srcId="{652A8BEE-0CE2-444F-98CD-4B7AE7DE49DD}" destId="{2F18FC5B-8208-4DBF-8AF0-EFD059124DBC}" srcOrd="0" destOrd="0" presId="urn:microsoft.com/office/officeart/2005/8/layout/bProcess4"/>
    <dgm:cxn modelId="{870F8CE2-4C65-42F6-96E8-2BD7CB7A7C1D}" type="presParOf" srcId="{652A8BEE-0CE2-444F-98CD-4B7AE7DE49DD}" destId="{962174CD-03E2-474A-A657-A342AB4FDFA4}" srcOrd="1" destOrd="0" presId="urn:microsoft.com/office/officeart/2005/8/layout/bProcess4"/>
    <dgm:cxn modelId="{7ADE2C72-DBB9-48ED-A2A3-ACE7FAB93385}" type="presParOf" srcId="{B72E859D-C3D4-4385-B55E-EDCB71D21879}" destId="{EE4EFB79-3FC2-4483-8A7C-EBAF9F4D5519}" srcOrd="13" destOrd="0" presId="urn:microsoft.com/office/officeart/2005/8/layout/bProcess4"/>
    <dgm:cxn modelId="{7B5FB4CE-6666-468A-A3FE-E662A163BC6F}" type="presParOf" srcId="{B72E859D-C3D4-4385-B55E-EDCB71D21879}" destId="{318449D5-BD71-4EB6-A41F-8C528AE3726A}" srcOrd="14" destOrd="0" presId="urn:microsoft.com/office/officeart/2005/8/layout/bProcess4"/>
    <dgm:cxn modelId="{29791B95-8AA5-4224-A05C-80CC0FD4E48A}" type="presParOf" srcId="{318449D5-BD71-4EB6-A41F-8C528AE3726A}" destId="{D5782913-EDD1-42EE-B9AA-C2020EC5B8B9}" srcOrd="0" destOrd="0" presId="urn:microsoft.com/office/officeart/2005/8/layout/bProcess4"/>
    <dgm:cxn modelId="{D6983C6A-61F8-437B-95A0-6411C5A773D8}" type="presParOf" srcId="{318449D5-BD71-4EB6-A41F-8C528AE3726A}" destId="{DA338E23-E461-440D-9ECB-B7CD36F6F1E8}" srcOrd="1" destOrd="0" presId="urn:microsoft.com/office/officeart/2005/8/layout/bProcess4"/>
    <dgm:cxn modelId="{7BCAF3B5-F257-4E55-92DB-CEC79EF301BC}" type="presParOf" srcId="{B72E859D-C3D4-4385-B55E-EDCB71D21879}" destId="{6C4DB1DA-E84D-428F-AFE8-BEA493817CE8}" srcOrd="15" destOrd="0" presId="urn:microsoft.com/office/officeart/2005/8/layout/bProcess4"/>
    <dgm:cxn modelId="{74F0E7D0-3A44-4121-807D-8C2B387BB1DD}" type="presParOf" srcId="{B72E859D-C3D4-4385-B55E-EDCB71D21879}" destId="{1C18779A-24E3-4D3B-A474-9CC0FCA8B420}" srcOrd="16" destOrd="0" presId="urn:microsoft.com/office/officeart/2005/8/layout/bProcess4"/>
    <dgm:cxn modelId="{72BBAE19-1AA6-459B-A0C9-F858ACDC4ECD}" type="presParOf" srcId="{1C18779A-24E3-4D3B-A474-9CC0FCA8B420}" destId="{9C421CE3-4CC6-48D7-A750-12BF7792D605}" srcOrd="0" destOrd="0" presId="urn:microsoft.com/office/officeart/2005/8/layout/bProcess4"/>
    <dgm:cxn modelId="{7E9F5DC2-B3C8-40EB-949D-26248E5E428A}" type="presParOf" srcId="{1C18779A-24E3-4D3B-A474-9CC0FCA8B420}" destId="{C2BD8DDF-70E4-4113-A635-EBD83BA5F48D}" srcOrd="1" destOrd="0" presId="urn:microsoft.com/office/officeart/2005/8/layout/bProcess4"/>
    <dgm:cxn modelId="{15D8662B-5BD0-4F87-B5ED-889A44FE133A}" type="presParOf" srcId="{B72E859D-C3D4-4385-B55E-EDCB71D21879}" destId="{36511616-59A4-4883-A6E9-8FB79AEC2264}" srcOrd="17" destOrd="0" presId="urn:microsoft.com/office/officeart/2005/8/layout/bProcess4"/>
    <dgm:cxn modelId="{B8E287DA-BBC9-4FE1-BFDA-C7285F8438AE}" type="presParOf" srcId="{B72E859D-C3D4-4385-B55E-EDCB71D21879}" destId="{DEAAA389-FA8F-46C0-B814-3431D229BEEE}" srcOrd="18" destOrd="0" presId="urn:microsoft.com/office/officeart/2005/8/layout/bProcess4"/>
    <dgm:cxn modelId="{3D1BD4FA-ACF9-4481-89D9-126E82EA2285}" type="presParOf" srcId="{DEAAA389-FA8F-46C0-B814-3431D229BEEE}" destId="{0D734282-501A-4DB9-B9B9-11330962E979}" srcOrd="0" destOrd="0" presId="urn:microsoft.com/office/officeart/2005/8/layout/bProcess4"/>
    <dgm:cxn modelId="{62779256-513E-4C58-9B60-949449A6D8A7}" type="presParOf" srcId="{DEAAA389-FA8F-46C0-B814-3431D229BEEE}" destId="{D5EE9100-3C1F-4ABC-B2B6-F9F07CAD9747}" srcOrd="1" destOrd="0" presId="urn:microsoft.com/office/officeart/2005/8/layout/bProcess4"/>
    <dgm:cxn modelId="{C4CA6CD2-3665-4F36-A922-26277207153F}" type="presParOf" srcId="{B72E859D-C3D4-4385-B55E-EDCB71D21879}" destId="{EA92CDBB-1130-4B97-97F6-782DD3F05445}" srcOrd="19" destOrd="0" presId="urn:microsoft.com/office/officeart/2005/8/layout/bProcess4"/>
    <dgm:cxn modelId="{B973352B-7518-4FD6-A653-1645721AB76D}" type="presParOf" srcId="{B72E859D-C3D4-4385-B55E-EDCB71D21879}" destId="{C93A1B63-7F0F-4EF6-97DB-AFB827705593}" srcOrd="20" destOrd="0" presId="urn:microsoft.com/office/officeart/2005/8/layout/bProcess4"/>
    <dgm:cxn modelId="{068A29F6-9CD5-4E8D-91A6-AC54234C843F}" type="presParOf" srcId="{C93A1B63-7F0F-4EF6-97DB-AFB827705593}" destId="{05D5AA3F-F806-484B-B3AB-9E82465933FD}" srcOrd="0" destOrd="0" presId="urn:microsoft.com/office/officeart/2005/8/layout/bProcess4"/>
    <dgm:cxn modelId="{99002385-1430-4B08-B276-849CA4B9A5E8}" type="presParOf" srcId="{C93A1B63-7F0F-4EF6-97DB-AFB827705593}" destId="{518DE3D6-9E91-4C2B-92FB-CA8A9C3B5D4B}" srcOrd="1" destOrd="0" presId="urn:microsoft.com/office/officeart/2005/8/layout/bProcess4"/>
    <dgm:cxn modelId="{87F8A0F2-F62A-4CE7-B403-1FAD34514D80}" type="presParOf" srcId="{B72E859D-C3D4-4385-B55E-EDCB71D21879}" destId="{1B099936-63E1-47D5-BD57-89EC087AE135}" srcOrd="21" destOrd="0" presId="urn:microsoft.com/office/officeart/2005/8/layout/bProcess4"/>
    <dgm:cxn modelId="{B7F9A17C-E380-4FCE-AAFF-1038C8F8F215}" type="presParOf" srcId="{B72E859D-C3D4-4385-B55E-EDCB71D21879}" destId="{8A2360F4-E0AE-43B9-8DA2-DE31072FF8BC}" srcOrd="22" destOrd="0" presId="urn:microsoft.com/office/officeart/2005/8/layout/bProcess4"/>
    <dgm:cxn modelId="{78E1A035-A984-4A74-8F76-F869AA6BCE0B}" type="presParOf" srcId="{8A2360F4-E0AE-43B9-8DA2-DE31072FF8BC}" destId="{9CFECFD0-A25A-4FB9-B8AD-C0CE311263BA}" srcOrd="0" destOrd="0" presId="urn:microsoft.com/office/officeart/2005/8/layout/bProcess4"/>
    <dgm:cxn modelId="{B70B8CE4-544B-4146-8E5B-D4999F2D9119}" type="presParOf" srcId="{8A2360F4-E0AE-43B9-8DA2-DE31072FF8BC}" destId="{0C7E7D62-845B-422C-99B0-37F41FCA4DAA}" srcOrd="1" destOrd="0" presId="urn:microsoft.com/office/officeart/2005/8/layout/bProcess4"/>
    <dgm:cxn modelId="{5AEB64BD-9BB9-4F0A-92B2-4FDFC4EA9568}" type="presParOf" srcId="{B72E859D-C3D4-4385-B55E-EDCB71D21879}" destId="{D47557DB-D4F2-4077-AD26-8B2E52E3066A}" srcOrd="23" destOrd="0" presId="urn:microsoft.com/office/officeart/2005/8/layout/bProcess4"/>
    <dgm:cxn modelId="{20B9CEE8-D171-45DE-8323-36DFDCB6663E}" type="presParOf" srcId="{B72E859D-C3D4-4385-B55E-EDCB71D21879}" destId="{D8E31487-8C21-4A2E-B1B4-02B0813C6ED6}" srcOrd="24" destOrd="0" presId="urn:microsoft.com/office/officeart/2005/8/layout/bProcess4"/>
    <dgm:cxn modelId="{32A56109-7E6D-4B15-90B2-EEB03E2D8EBF}" type="presParOf" srcId="{D8E31487-8C21-4A2E-B1B4-02B0813C6ED6}" destId="{ED2410B7-2EBF-40CD-A511-248F43F80FE3}" srcOrd="0" destOrd="0" presId="urn:microsoft.com/office/officeart/2005/8/layout/bProcess4"/>
    <dgm:cxn modelId="{DA42AD84-64A4-4085-8529-C808BA23CE15}" type="presParOf" srcId="{D8E31487-8C21-4A2E-B1B4-02B0813C6ED6}" destId="{3BB2194A-5648-4934-AF78-1BED7839C026}" srcOrd="1" destOrd="0" presId="urn:microsoft.com/office/officeart/2005/8/layout/bProcess4"/>
    <dgm:cxn modelId="{CBAB7FFC-365D-4DFE-B43D-F479E4294395}" type="presParOf" srcId="{B72E859D-C3D4-4385-B55E-EDCB71D21879}" destId="{77FCDCB5-4715-4F0B-B31D-E848FC80EE76}" srcOrd="25" destOrd="0" presId="urn:microsoft.com/office/officeart/2005/8/layout/bProcess4"/>
    <dgm:cxn modelId="{38A24D8E-AF23-432D-B150-93F4FB7FA3D0}" type="presParOf" srcId="{B72E859D-C3D4-4385-B55E-EDCB71D21879}" destId="{F05766FF-98C6-4342-A969-5178AEF0B4EA}" srcOrd="26" destOrd="0" presId="urn:microsoft.com/office/officeart/2005/8/layout/bProcess4"/>
    <dgm:cxn modelId="{B9E206C7-5A73-4878-A545-5401E897E6DB}" type="presParOf" srcId="{F05766FF-98C6-4342-A969-5178AEF0B4EA}" destId="{212208AF-8311-40D7-BD76-60B1541D278A}" srcOrd="0" destOrd="0" presId="urn:microsoft.com/office/officeart/2005/8/layout/bProcess4"/>
    <dgm:cxn modelId="{EE65F247-DF47-4DF6-BEAE-037387A76BD9}" type="presParOf" srcId="{F05766FF-98C6-4342-A969-5178AEF0B4EA}" destId="{18BE02A1-0718-4A9A-8032-E9FA821FC71E}" srcOrd="1" destOrd="0" presId="urn:microsoft.com/office/officeart/2005/8/layout/bProcess4"/>
    <dgm:cxn modelId="{E83CC61D-3DE5-41ED-9CD2-5F645640F0DB}" type="presParOf" srcId="{B72E859D-C3D4-4385-B55E-EDCB71D21879}" destId="{E41479F4-0BFE-48D1-A31F-959991BAB221}" srcOrd="27" destOrd="0" presId="urn:microsoft.com/office/officeart/2005/8/layout/bProcess4"/>
    <dgm:cxn modelId="{2CC8EBEE-5B28-4784-9049-E0B90A4E8930}" type="presParOf" srcId="{B72E859D-C3D4-4385-B55E-EDCB71D21879}" destId="{5C825361-E5D4-4FF1-AEFF-1F65A937A3ED}" srcOrd="28" destOrd="0" presId="urn:microsoft.com/office/officeart/2005/8/layout/bProcess4"/>
    <dgm:cxn modelId="{1956C82D-92EE-4DF2-92AB-140647766414}" type="presParOf" srcId="{5C825361-E5D4-4FF1-AEFF-1F65A937A3ED}" destId="{C741531B-000E-4823-A2DD-764A3567961A}" srcOrd="0" destOrd="0" presId="urn:microsoft.com/office/officeart/2005/8/layout/bProcess4"/>
    <dgm:cxn modelId="{12386E4F-B719-4754-95DF-32EE1B7757F8}" type="presParOf" srcId="{5C825361-E5D4-4FF1-AEFF-1F65A937A3ED}" destId="{2C363D66-ACAE-448F-9969-FAEC67A96493}" srcOrd="1" destOrd="0" presId="urn:microsoft.com/office/officeart/2005/8/layout/bProcess4"/>
  </dgm:cxnLst>
  <dgm:bg/>
  <dgm:whole/>
  <dgm:extLst>
    <a:ext uri="http://schemas.microsoft.com/office/drawing/2008/diagram">
      <dsp:dataModelExt xmlns:dsp="http://schemas.microsoft.com/office/drawing/2008/diagram" relId="rId280"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29D7C6D0-A49E-4BCB-9BBB-32114552FEED}" type="doc">
      <dgm:prSet loTypeId="urn:microsoft.com/office/officeart/2005/8/layout/default" loCatId="list" qsTypeId="urn:microsoft.com/office/officeart/2005/8/quickstyle/simple1" qsCatId="simple" csTypeId="urn:microsoft.com/office/officeart/2005/8/colors/colorful2" csCatId="colorful" phldr="1"/>
      <dgm:spPr/>
      <dgm:t>
        <a:bodyPr/>
        <a:lstStyle/>
        <a:p>
          <a:endParaRPr lang="en-US"/>
        </a:p>
      </dgm:t>
    </dgm:pt>
    <dgm:pt modelId="{9CDA83E2-1FDA-4BBB-8528-46224B5FB677}">
      <dgm:prSet custT="1"/>
      <dgm:spPr/>
      <dgm:t>
        <a:bodyPr/>
        <a:lstStyle/>
        <a:p>
          <a:r>
            <a:rPr lang="en-US" sz="1400" b="1" i="0" u="none"/>
            <a:t>1967</a:t>
          </a:r>
          <a:endParaRPr lang="en-US" sz="1400" b="1"/>
        </a:p>
      </dgm:t>
    </dgm:pt>
    <dgm:pt modelId="{DAEAD1C7-619E-4DA6-B017-6278A024AB23}" type="parTrans" cxnId="{80924F38-657B-49A1-B067-DF560C02A26B}">
      <dgm:prSet/>
      <dgm:spPr/>
      <dgm:t>
        <a:bodyPr/>
        <a:lstStyle/>
        <a:p>
          <a:endParaRPr lang="en-US" sz="1400" b="1"/>
        </a:p>
      </dgm:t>
    </dgm:pt>
    <dgm:pt modelId="{EDD5D674-328F-4DFD-960E-3646202D8FA3}" type="sibTrans" cxnId="{80924F38-657B-49A1-B067-DF560C02A26B}">
      <dgm:prSet/>
      <dgm:spPr/>
      <dgm:t>
        <a:bodyPr/>
        <a:lstStyle/>
        <a:p>
          <a:endParaRPr lang="en-US" sz="1400" b="1"/>
        </a:p>
      </dgm:t>
    </dgm:pt>
    <dgm:pt modelId="{F814E8CA-7E6C-4848-A36A-B55F9E2FF608}">
      <dgm:prSet custT="1"/>
      <dgm:spPr/>
      <dgm:t>
        <a:bodyPr/>
        <a:lstStyle/>
        <a:p>
          <a:r>
            <a:rPr lang="en-US" sz="1400" b="1" i="0" u="none"/>
            <a:t>1974</a:t>
          </a:r>
          <a:endParaRPr lang="en-US" sz="1400" b="1"/>
        </a:p>
      </dgm:t>
    </dgm:pt>
    <dgm:pt modelId="{F6CBC42F-8E20-4A3C-85F3-E6C2C83413B5}" type="parTrans" cxnId="{152C8533-837A-4A30-B16D-8CAEAC3E1B3D}">
      <dgm:prSet/>
      <dgm:spPr/>
      <dgm:t>
        <a:bodyPr/>
        <a:lstStyle/>
        <a:p>
          <a:endParaRPr lang="en-US" sz="1400" b="1"/>
        </a:p>
      </dgm:t>
    </dgm:pt>
    <dgm:pt modelId="{39343D88-3FD1-49BE-AA2C-BA9A0A4E0F43}" type="sibTrans" cxnId="{152C8533-837A-4A30-B16D-8CAEAC3E1B3D}">
      <dgm:prSet/>
      <dgm:spPr/>
      <dgm:t>
        <a:bodyPr/>
        <a:lstStyle/>
        <a:p>
          <a:endParaRPr lang="en-US" sz="1400" b="1"/>
        </a:p>
      </dgm:t>
    </dgm:pt>
    <dgm:pt modelId="{2BF3D0B0-6404-4749-A7B1-30B12A2A2CB6}">
      <dgm:prSet custT="1"/>
      <dgm:spPr/>
      <dgm:t>
        <a:bodyPr/>
        <a:lstStyle/>
        <a:p>
          <a:r>
            <a:rPr lang="en-US" sz="1400" b="1" i="0" u="none"/>
            <a:t>1991</a:t>
          </a:r>
          <a:endParaRPr lang="en-US" sz="1400" b="1"/>
        </a:p>
      </dgm:t>
    </dgm:pt>
    <dgm:pt modelId="{6EC73888-AE94-4040-A6E3-B3352FE1C882}" type="parTrans" cxnId="{50AB502F-9527-4CC3-A4A2-9CEADCF61CC9}">
      <dgm:prSet/>
      <dgm:spPr/>
      <dgm:t>
        <a:bodyPr/>
        <a:lstStyle/>
        <a:p>
          <a:endParaRPr lang="en-US" sz="1400" b="1"/>
        </a:p>
      </dgm:t>
    </dgm:pt>
    <dgm:pt modelId="{C04038D6-8773-44A8-AFF6-778831BD76DD}" type="sibTrans" cxnId="{50AB502F-9527-4CC3-A4A2-9CEADCF61CC9}">
      <dgm:prSet/>
      <dgm:spPr/>
      <dgm:t>
        <a:bodyPr/>
        <a:lstStyle/>
        <a:p>
          <a:endParaRPr lang="en-US" sz="1400" b="1"/>
        </a:p>
      </dgm:t>
    </dgm:pt>
    <dgm:pt modelId="{5A8E316D-D3B7-4060-882A-72FF09B22C8D}">
      <dgm:prSet custT="1"/>
      <dgm:spPr/>
      <dgm:t>
        <a:bodyPr/>
        <a:lstStyle/>
        <a:p>
          <a:r>
            <a:rPr lang="en-US" sz="1400" b="1" i="0" u="none"/>
            <a:t>1993</a:t>
          </a:r>
          <a:endParaRPr lang="en-US" sz="1400" b="1"/>
        </a:p>
      </dgm:t>
    </dgm:pt>
    <dgm:pt modelId="{99079347-D849-45BF-8088-927E92C30B93}" type="parTrans" cxnId="{FB0E73FD-BF02-42CD-9F57-DD470272846A}">
      <dgm:prSet/>
      <dgm:spPr/>
      <dgm:t>
        <a:bodyPr/>
        <a:lstStyle/>
        <a:p>
          <a:endParaRPr lang="en-US" sz="1400" b="1"/>
        </a:p>
      </dgm:t>
    </dgm:pt>
    <dgm:pt modelId="{C990D3B8-E030-4DC3-8A65-AB4C3BDCEE2F}" type="sibTrans" cxnId="{FB0E73FD-BF02-42CD-9F57-DD470272846A}">
      <dgm:prSet/>
      <dgm:spPr/>
      <dgm:t>
        <a:bodyPr/>
        <a:lstStyle/>
        <a:p>
          <a:endParaRPr lang="en-US" sz="1400" b="1"/>
        </a:p>
      </dgm:t>
    </dgm:pt>
    <dgm:pt modelId="{73DF4295-6E9D-43EB-A9F6-09BB5DCD941C}">
      <dgm:prSet custT="1"/>
      <dgm:spPr/>
      <dgm:t>
        <a:bodyPr/>
        <a:lstStyle/>
        <a:p>
          <a:r>
            <a:rPr lang="en-US" sz="1400" b="1" i="0" u="none"/>
            <a:t>1994</a:t>
          </a:r>
          <a:endParaRPr lang="en-US" sz="1400" b="1"/>
        </a:p>
      </dgm:t>
    </dgm:pt>
    <dgm:pt modelId="{A6580D3D-36BA-4B4F-8D5A-51FD578C2A5F}" type="parTrans" cxnId="{6B497CD7-B8B2-4AFE-9CAC-FC61589B1E63}">
      <dgm:prSet/>
      <dgm:spPr/>
      <dgm:t>
        <a:bodyPr/>
        <a:lstStyle/>
        <a:p>
          <a:endParaRPr lang="en-US" sz="1400" b="1"/>
        </a:p>
      </dgm:t>
    </dgm:pt>
    <dgm:pt modelId="{7DEF6CDC-5489-4A15-B334-5A217B184E9C}" type="sibTrans" cxnId="{6B497CD7-B8B2-4AFE-9CAC-FC61589B1E63}">
      <dgm:prSet/>
      <dgm:spPr/>
      <dgm:t>
        <a:bodyPr/>
        <a:lstStyle/>
        <a:p>
          <a:endParaRPr lang="en-US" sz="1400" b="1"/>
        </a:p>
      </dgm:t>
    </dgm:pt>
    <dgm:pt modelId="{17A05CC4-3A7B-4722-8E28-F2145D1BD7CE}">
      <dgm:prSet custT="1"/>
      <dgm:spPr/>
      <dgm:t>
        <a:bodyPr/>
        <a:lstStyle/>
        <a:p>
          <a:r>
            <a:rPr lang="en-US" sz="1400" b="1" i="0" u="none"/>
            <a:t>1995</a:t>
          </a:r>
          <a:endParaRPr lang="en-US" sz="1400" b="1"/>
        </a:p>
      </dgm:t>
    </dgm:pt>
    <dgm:pt modelId="{887853A3-2FDB-4BEF-9D68-7593F09ACFB1}" type="parTrans" cxnId="{EB9180EC-BBD1-4FD8-9372-6347F85C26C5}">
      <dgm:prSet/>
      <dgm:spPr/>
      <dgm:t>
        <a:bodyPr/>
        <a:lstStyle/>
        <a:p>
          <a:endParaRPr lang="en-US" sz="1400" b="1"/>
        </a:p>
      </dgm:t>
    </dgm:pt>
    <dgm:pt modelId="{6546E8E2-E2BF-493F-9297-68B031CD089B}" type="sibTrans" cxnId="{EB9180EC-BBD1-4FD8-9372-6347F85C26C5}">
      <dgm:prSet/>
      <dgm:spPr/>
      <dgm:t>
        <a:bodyPr/>
        <a:lstStyle/>
        <a:p>
          <a:endParaRPr lang="en-US" sz="1400" b="1"/>
        </a:p>
      </dgm:t>
    </dgm:pt>
    <dgm:pt modelId="{141114BA-6781-483D-BC38-161F6CAD2FB5}">
      <dgm:prSet custT="1"/>
      <dgm:spPr/>
      <dgm:t>
        <a:bodyPr/>
        <a:lstStyle/>
        <a:p>
          <a:r>
            <a:rPr lang="en-US" sz="1400" b="1" i="0" u="none"/>
            <a:t>1996</a:t>
          </a:r>
          <a:endParaRPr lang="en-US" sz="1400" b="1"/>
        </a:p>
      </dgm:t>
    </dgm:pt>
    <dgm:pt modelId="{A6DB2362-28A7-41FC-819A-E2344E0BCC6F}" type="parTrans" cxnId="{CA95A889-777A-4F0A-87F6-DA3FD6B26086}">
      <dgm:prSet/>
      <dgm:spPr/>
      <dgm:t>
        <a:bodyPr/>
        <a:lstStyle/>
        <a:p>
          <a:endParaRPr lang="en-US" sz="1400" b="1"/>
        </a:p>
      </dgm:t>
    </dgm:pt>
    <dgm:pt modelId="{AAAB8BAE-7115-47FA-8976-E123BBEFD678}" type="sibTrans" cxnId="{CA95A889-777A-4F0A-87F6-DA3FD6B26086}">
      <dgm:prSet/>
      <dgm:spPr/>
      <dgm:t>
        <a:bodyPr/>
        <a:lstStyle/>
        <a:p>
          <a:endParaRPr lang="en-US" sz="1400" b="1"/>
        </a:p>
      </dgm:t>
    </dgm:pt>
    <dgm:pt modelId="{6C1B64F6-D257-4D9F-94FC-E7C230CBBD15}">
      <dgm:prSet custT="1"/>
      <dgm:spPr/>
      <dgm:t>
        <a:bodyPr/>
        <a:lstStyle/>
        <a:p>
          <a:r>
            <a:rPr lang="en-US" sz="1400" b="1" i="0" u="none"/>
            <a:t>1997</a:t>
          </a:r>
          <a:endParaRPr lang="en-US" sz="1400" b="1"/>
        </a:p>
      </dgm:t>
    </dgm:pt>
    <dgm:pt modelId="{C957A4F2-CE3F-4E7B-BCEE-A5A96FA23FDA}" type="parTrans" cxnId="{CBBB21A2-59B8-41C7-BC5D-73D0316DB2D9}">
      <dgm:prSet/>
      <dgm:spPr/>
      <dgm:t>
        <a:bodyPr/>
        <a:lstStyle/>
        <a:p>
          <a:endParaRPr lang="en-US" sz="1400" b="1"/>
        </a:p>
      </dgm:t>
    </dgm:pt>
    <dgm:pt modelId="{2E1F4862-C1B9-443A-A63A-620FCC249FDF}" type="sibTrans" cxnId="{CBBB21A2-59B8-41C7-BC5D-73D0316DB2D9}">
      <dgm:prSet/>
      <dgm:spPr/>
      <dgm:t>
        <a:bodyPr/>
        <a:lstStyle/>
        <a:p>
          <a:endParaRPr lang="en-US" sz="1400" b="1"/>
        </a:p>
      </dgm:t>
    </dgm:pt>
    <dgm:pt modelId="{3D202B3C-20EE-4225-A1C4-E69752E19802}">
      <dgm:prSet custT="1"/>
      <dgm:spPr/>
      <dgm:t>
        <a:bodyPr/>
        <a:lstStyle/>
        <a:p>
          <a:r>
            <a:rPr lang="en-US" sz="1400" b="1" i="0" u="none"/>
            <a:t>1999</a:t>
          </a:r>
          <a:endParaRPr lang="en-US" sz="1400" b="1"/>
        </a:p>
      </dgm:t>
    </dgm:pt>
    <dgm:pt modelId="{705EC137-48CE-4FDF-ADEF-14378150DCB9}" type="parTrans" cxnId="{74ED7F82-DE54-4D44-9052-3CF65AFB940F}">
      <dgm:prSet/>
      <dgm:spPr/>
      <dgm:t>
        <a:bodyPr/>
        <a:lstStyle/>
        <a:p>
          <a:endParaRPr lang="en-US" sz="1400" b="1"/>
        </a:p>
      </dgm:t>
    </dgm:pt>
    <dgm:pt modelId="{B566A368-B527-4DCD-BF16-D00738FA6840}" type="sibTrans" cxnId="{74ED7F82-DE54-4D44-9052-3CF65AFB940F}">
      <dgm:prSet/>
      <dgm:spPr/>
      <dgm:t>
        <a:bodyPr/>
        <a:lstStyle/>
        <a:p>
          <a:endParaRPr lang="en-US" sz="1400" b="1"/>
        </a:p>
      </dgm:t>
    </dgm:pt>
    <dgm:pt modelId="{B849A72C-43A9-41A6-AC06-8511545E48B3}">
      <dgm:prSet custT="1"/>
      <dgm:spPr/>
      <dgm:t>
        <a:bodyPr/>
        <a:lstStyle/>
        <a:p>
          <a:r>
            <a:rPr lang="en-US" sz="1400" b="1" i="0" u="none"/>
            <a:t>2000</a:t>
          </a:r>
          <a:endParaRPr lang="en-US" sz="1400" b="1"/>
        </a:p>
      </dgm:t>
    </dgm:pt>
    <dgm:pt modelId="{E7CE8D64-B26B-4ACE-A2C5-0C2D5A86D53F}" type="parTrans" cxnId="{AA021948-ED64-4252-810F-8E122EF4FF3B}">
      <dgm:prSet/>
      <dgm:spPr/>
      <dgm:t>
        <a:bodyPr/>
        <a:lstStyle/>
        <a:p>
          <a:endParaRPr lang="en-US" sz="1400" b="1"/>
        </a:p>
      </dgm:t>
    </dgm:pt>
    <dgm:pt modelId="{D315BBE7-8EF3-4136-9949-0387E7AC5798}" type="sibTrans" cxnId="{AA021948-ED64-4252-810F-8E122EF4FF3B}">
      <dgm:prSet/>
      <dgm:spPr/>
      <dgm:t>
        <a:bodyPr/>
        <a:lstStyle/>
        <a:p>
          <a:endParaRPr lang="en-US" sz="1400" b="1"/>
        </a:p>
      </dgm:t>
    </dgm:pt>
    <dgm:pt modelId="{E5937ADA-EB95-4A0C-8442-7E67BD4109ED}">
      <dgm:prSet custT="1"/>
      <dgm:spPr/>
      <dgm:t>
        <a:bodyPr/>
        <a:lstStyle/>
        <a:p>
          <a:r>
            <a:rPr lang="en-US" sz="1400" b="1" i="0" u="none"/>
            <a:t>2001</a:t>
          </a:r>
          <a:endParaRPr lang="en-US" sz="1400" b="1"/>
        </a:p>
      </dgm:t>
    </dgm:pt>
    <dgm:pt modelId="{F3022C88-9A7D-4CD4-B6A2-6DE2FCEC60A5}" type="parTrans" cxnId="{A9E6C985-98A8-475A-B2C3-55B46F30E589}">
      <dgm:prSet/>
      <dgm:spPr/>
      <dgm:t>
        <a:bodyPr/>
        <a:lstStyle/>
        <a:p>
          <a:endParaRPr lang="en-US" sz="1400" b="1"/>
        </a:p>
      </dgm:t>
    </dgm:pt>
    <dgm:pt modelId="{558C35AC-0218-4FCB-8FA6-B62A176A17F8}" type="sibTrans" cxnId="{A9E6C985-98A8-475A-B2C3-55B46F30E589}">
      <dgm:prSet/>
      <dgm:spPr/>
      <dgm:t>
        <a:bodyPr/>
        <a:lstStyle/>
        <a:p>
          <a:endParaRPr lang="en-US" sz="1400" b="1"/>
        </a:p>
      </dgm:t>
    </dgm:pt>
    <dgm:pt modelId="{1D7D4830-07B6-46C1-BE2D-27556441D3EB}">
      <dgm:prSet custT="1"/>
      <dgm:spPr/>
      <dgm:t>
        <a:bodyPr/>
        <a:lstStyle/>
        <a:p>
          <a:r>
            <a:rPr lang="en-US" sz="1400" b="1" i="0" u="none"/>
            <a:t>2002</a:t>
          </a:r>
          <a:endParaRPr lang="en-US" sz="1400" b="1"/>
        </a:p>
      </dgm:t>
    </dgm:pt>
    <dgm:pt modelId="{936DE172-2AB3-4A90-A4C8-24F2F5379569}" type="parTrans" cxnId="{762B2C02-B5F2-41A4-8747-08CE20D58E40}">
      <dgm:prSet/>
      <dgm:spPr/>
      <dgm:t>
        <a:bodyPr/>
        <a:lstStyle/>
        <a:p>
          <a:endParaRPr lang="en-US" sz="1400" b="1"/>
        </a:p>
      </dgm:t>
    </dgm:pt>
    <dgm:pt modelId="{6C654C34-BF22-4AEB-9852-866CCB2ABD5E}" type="sibTrans" cxnId="{762B2C02-B5F2-41A4-8747-08CE20D58E40}">
      <dgm:prSet/>
      <dgm:spPr/>
      <dgm:t>
        <a:bodyPr/>
        <a:lstStyle/>
        <a:p>
          <a:endParaRPr lang="en-US" sz="1400" b="1"/>
        </a:p>
      </dgm:t>
    </dgm:pt>
    <dgm:pt modelId="{2A023437-5408-41C4-966D-FFF065C91C04}">
      <dgm:prSet custT="1"/>
      <dgm:spPr/>
      <dgm:t>
        <a:bodyPr/>
        <a:lstStyle/>
        <a:p>
          <a:r>
            <a:rPr lang="en-US" sz="1400" b="1" i="0" u="none"/>
            <a:t>2003</a:t>
          </a:r>
          <a:endParaRPr lang="en-US" sz="1400" b="1"/>
        </a:p>
      </dgm:t>
    </dgm:pt>
    <dgm:pt modelId="{DF14EA9E-D682-4C1F-83C2-5B965B550FC3}" type="parTrans" cxnId="{27081B28-1D73-4129-A283-5500C23340A4}">
      <dgm:prSet/>
      <dgm:spPr/>
      <dgm:t>
        <a:bodyPr/>
        <a:lstStyle/>
        <a:p>
          <a:endParaRPr lang="en-US" sz="1400" b="1"/>
        </a:p>
      </dgm:t>
    </dgm:pt>
    <dgm:pt modelId="{EE74F48C-BA15-4D0D-9CC9-2A18C6A4FDC4}" type="sibTrans" cxnId="{27081B28-1D73-4129-A283-5500C23340A4}">
      <dgm:prSet/>
      <dgm:spPr/>
      <dgm:t>
        <a:bodyPr/>
        <a:lstStyle/>
        <a:p>
          <a:endParaRPr lang="en-US" sz="1400" b="1"/>
        </a:p>
      </dgm:t>
    </dgm:pt>
    <dgm:pt modelId="{0E8F8A67-C2BC-4046-BF6A-39630D9C63F1}">
      <dgm:prSet custT="1"/>
      <dgm:spPr/>
      <dgm:t>
        <a:bodyPr/>
        <a:lstStyle/>
        <a:p>
          <a:r>
            <a:rPr lang="en-US" sz="1400" b="1" i="0" u="none"/>
            <a:t>2004</a:t>
          </a:r>
          <a:endParaRPr lang="en-US" sz="1400" b="1"/>
        </a:p>
      </dgm:t>
    </dgm:pt>
    <dgm:pt modelId="{646E8C6C-774C-44AF-9456-6BA1C1FFB5F8}" type="parTrans" cxnId="{710369BC-9A08-4798-8BD8-CF20AD3DDC30}">
      <dgm:prSet/>
      <dgm:spPr/>
      <dgm:t>
        <a:bodyPr/>
        <a:lstStyle/>
        <a:p>
          <a:endParaRPr lang="en-US" sz="1400" b="1"/>
        </a:p>
      </dgm:t>
    </dgm:pt>
    <dgm:pt modelId="{493F9391-A2BD-41B3-AD76-6830E3D71DC8}" type="sibTrans" cxnId="{710369BC-9A08-4798-8BD8-CF20AD3DDC30}">
      <dgm:prSet/>
      <dgm:spPr/>
      <dgm:t>
        <a:bodyPr/>
        <a:lstStyle/>
        <a:p>
          <a:endParaRPr lang="en-US" sz="1400" b="1"/>
        </a:p>
      </dgm:t>
    </dgm:pt>
    <dgm:pt modelId="{764C5E9B-8E26-462B-8BEC-A9AD7B0B8590}">
      <dgm:prSet custT="1"/>
      <dgm:spPr/>
      <dgm:t>
        <a:bodyPr/>
        <a:lstStyle/>
        <a:p>
          <a:r>
            <a:rPr lang="en-US" sz="1400" b="1" i="0" u="none"/>
            <a:t>2005</a:t>
          </a:r>
          <a:endParaRPr lang="en-US" sz="1400" b="1"/>
        </a:p>
      </dgm:t>
    </dgm:pt>
    <dgm:pt modelId="{54B6CD0C-C9F2-4BB9-89CE-F5595D9BD00D}" type="parTrans" cxnId="{3AE3303F-52BE-4008-BC5A-E745D144E942}">
      <dgm:prSet/>
      <dgm:spPr/>
      <dgm:t>
        <a:bodyPr/>
        <a:lstStyle/>
        <a:p>
          <a:endParaRPr lang="en-US" sz="1400" b="1"/>
        </a:p>
      </dgm:t>
    </dgm:pt>
    <dgm:pt modelId="{3BB8A9D1-9FD6-42D7-8CC0-619F89AEAEF9}" type="sibTrans" cxnId="{3AE3303F-52BE-4008-BC5A-E745D144E942}">
      <dgm:prSet/>
      <dgm:spPr/>
      <dgm:t>
        <a:bodyPr/>
        <a:lstStyle/>
        <a:p>
          <a:endParaRPr lang="en-US" sz="1400" b="1"/>
        </a:p>
      </dgm:t>
    </dgm:pt>
    <dgm:pt modelId="{45CA99F0-5674-4D9E-9190-03B485D3F1DB}">
      <dgm:prSet custT="1"/>
      <dgm:spPr/>
      <dgm:t>
        <a:bodyPr/>
        <a:lstStyle/>
        <a:p>
          <a:r>
            <a:rPr lang="en-US" sz="1400" b="1" i="0" u="none"/>
            <a:t>2006</a:t>
          </a:r>
          <a:endParaRPr lang="en-US" sz="1400" b="1"/>
        </a:p>
      </dgm:t>
    </dgm:pt>
    <dgm:pt modelId="{94D30ECB-20A2-4A4E-8E29-086D1346A1F0}" type="parTrans" cxnId="{84813DEA-3020-486F-AB4C-A57E53221075}">
      <dgm:prSet/>
      <dgm:spPr/>
      <dgm:t>
        <a:bodyPr/>
        <a:lstStyle/>
        <a:p>
          <a:endParaRPr lang="en-US" sz="1400" b="1"/>
        </a:p>
      </dgm:t>
    </dgm:pt>
    <dgm:pt modelId="{4B43705D-91E6-41DA-A722-CF10C6EB9ED4}" type="sibTrans" cxnId="{84813DEA-3020-486F-AB4C-A57E53221075}">
      <dgm:prSet/>
      <dgm:spPr/>
      <dgm:t>
        <a:bodyPr/>
        <a:lstStyle/>
        <a:p>
          <a:endParaRPr lang="en-US" sz="1400" b="1"/>
        </a:p>
      </dgm:t>
    </dgm:pt>
    <dgm:pt modelId="{144827FD-AFD8-446E-B04F-06D6899B1101}">
      <dgm:prSet custT="1"/>
      <dgm:spPr/>
      <dgm:t>
        <a:bodyPr/>
        <a:lstStyle/>
        <a:p>
          <a:r>
            <a:rPr lang="en-US" sz="1400" b="1" i="0" u="none"/>
            <a:t>2007</a:t>
          </a:r>
          <a:endParaRPr lang="en-US" sz="1400" b="1"/>
        </a:p>
      </dgm:t>
    </dgm:pt>
    <dgm:pt modelId="{D0F3A458-B44D-4185-9EEF-4F48C0257C54}" type="parTrans" cxnId="{3ED36547-290C-4D60-A392-553486B72844}">
      <dgm:prSet/>
      <dgm:spPr/>
      <dgm:t>
        <a:bodyPr/>
        <a:lstStyle/>
        <a:p>
          <a:endParaRPr lang="en-US" sz="1400" b="1"/>
        </a:p>
      </dgm:t>
    </dgm:pt>
    <dgm:pt modelId="{AC2BDD9F-52DF-425F-9C5C-0DDF87DAC09F}" type="sibTrans" cxnId="{3ED36547-290C-4D60-A392-553486B72844}">
      <dgm:prSet/>
      <dgm:spPr/>
      <dgm:t>
        <a:bodyPr/>
        <a:lstStyle/>
        <a:p>
          <a:endParaRPr lang="en-US" sz="1400" b="1"/>
        </a:p>
      </dgm:t>
    </dgm:pt>
    <dgm:pt modelId="{E2FE02BE-1DF4-45CD-A2C7-70E6707F0EDD}">
      <dgm:prSet custT="1"/>
      <dgm:spPr/>
      <dgm:t>
        <a:bodyPr/>
        <a:lstStyle/>
        <a:p>
          <a:r>
            <a:rPr lang="en-US" sz="1400" b="1" i="0" u="none"/>
            <a:t>2008</a:t>
          </a:r>
          <a:endParaRPr lang="en-US" sz="1400" b="1"/>
        </a:p>
      </dgm:t>
    </dgm:pt>
    <dgm:pt modelId="{50FA2FF6-8ADD-4B97-A63C-4F58C8CB3003}" type="parTrans" cxnId="{6DFE7F02-C25C-4947-A7CC-C6EDDA454C90}">
      <dgm:prSet/>
      <dgm:spPr/>
      <dgm:t>
        <a:bodyPr/>
        <a:lstStyle/>
        <a:p>
          <a:endParaRPr lang="en-US" sz="1400" b="1"/>
        </a:p>
      </dgm:t>
    </dgm:pt>
    <dgm:pt modelId="{281BC12E-19D3-4D1C-9142-A9A4ABF9553C}" type="sibTrans" cxnId="{6DFE7F02-C25C-4947-A7CC-C6EDDA454C90}">
      <dgm:prSet/>
      <dgm:spPr/>
      <dgm:t>
        <a:bodyPr/>
        <a:lstStyle/>
        <a:p>
          <a:endParaRPr lang="en-US" sz="1400" b="1"/>
        </a:p>
      </dgm:t>
    </dgm:pt>
    <dgm:pt modelId="{284D69A7-CDA4-4F3C-A704-4949FAB875E6}">
      <dgm:prSet custT="1"/>
      <dgm:spPr/>
      <dgm:t>
        <a:bodyPr/>
        <a:lstStyle/>
        <a:p>
          <a:r>
            <a:rPr lang="en-US" sz="1400" b="1" i="0" u="none"/>
            <a:t>2009</a:t>
          </a:r>
          <a:endParaRPr lang="en-US" sz="1400" b="1"/>
        </a:p>
      </dgm:t>
    </dgm:pt>
    <dgm:pt modelId="{3C65C77A-6273-44EA-9645-EE6042127610}" type="parTrans" cxnId="{C3469526-A1D9-4A96-A7B5-166FAE73DBFF}">
      <dgm:prSet/>
      <dgm:spPr/>
      <dgm:t>
        <a:bodyPr/>
        <a:lstStyle/>
        <a:p>
          <a:endParaRPr lang="en-US" sz="1400" b="1"/>
        </a:p>
      </dgm:t>
    </dgm:pt>
    <dgm:pt modelId="{5CE6EA97-46DD-4DA4-8A0E-2C5FE168CE3E}" type="sibTrans" cxnId="{C3469526-A1D9-4A96-A7B5-166FAE73DBFF}">
      <dgm:prSet/>
      <dgm:spPr/>
      <dgm:t>
        <a:bodyPr/>
        <a:lstStyle/>
        <a:p>
          <a:endParaRPr lang="en-US" sz="1400" b="1"/>
        </a:p>
      </dgm:t>
    </dgm:pt>
    <dgm:pt modelId="{73F2770F-6B58-499E-8E98-E2CEDE7ABA36}">
      <dgm:prSet custT="1"/>
      <dgm:spPr/>
      <dgm:t>
        <a:bodyPr/>
        <a:lstStyle/>
        <a:p>
          <a:r>
            <a:rPr lang="en-US" sz="1400" b="1" i="0" u="none"/>
            <a:t>2010</a:t>
          </a:r>
          <a:endParaRPr lang="en-US" sz="1400" b="1"/>
        </a:p>
      </dgm:t>
    </dgm:pt>
    <dgm:pt modelId="{48CA50D0-DD61-4418-B8CF-9293F3CBF576}" type="parTrans" cxnId="{CAE9FFB7-24B3-4159-B80D-CD695E04D662}">
      <dgm:prSet/>
      <dgm:spPr/>
      <dgm:t>
        <a:bodyPr/>
        <a:lstStyle/>
        <a:p>
          <a:endParaRPr lang="en-US" sz="1400" b="1"/>
        </a:p>
      </dgm:t>
    </dgm:pt>
    <dgm:pt modelId="{3EE64703-9FAF-45EA-B2BA-1AC73E561717}" type="sibTrans" cxnId="{CAE9FFB7-24B3-4159-B80D-CD695E04D662}">
      <dgm:prSet/>
      <dgm:spPr/>
      <dgm:t>
        <a:bodyPr/>
        <a:lstStyle/>
        <a:p>
          <a:endParaRPr lang="en-US" sz="1400" b="1"/>
        </a:p>
      </dgm:t>
    </dgm:pt>
    <dgm:pt modelId="{7003F3A4-CA6D-482A-8104-00810AA6B729}">
      <dgm:prSet custT="1"/>
      <dgm:spPr/>
      <dgm:t>
        <a:bodyPr/>
        <a:lstStyle/>
        <a:p>
          <a:r>
            <a:rPr lang="en-US" sz="1400" b="1" i="0" u="none"/>
            <a:t>2011</a:t>
          </a:r>
          <a:endParaRPr lang="en-US" sz="1400" b="1"/>
        </a:p>
      </dgm:t>
    </dgm:pt>
    <dgm:pt modelId="{A3FFC90C-034C-469D-BBB7-0AD45B13FD5D}" type="parTrans" cxnId="{9555F191-8ACE-4002-97B6-E31A81289595}">
      <dgm:prSet/>
      <dgm:spPr/>
      <dgm:t>
        <a:bodyPr/>
        <a:lstStyle/>
        <a:p>
          <a:endParaRPr lang="en-US" sz="1400" b="1"/>
        </a:p>
      </dgm:t>
    </dgm:pt>
    <dgm:pt modelId="{6BB5CA57-EB1A-488F-BFFF-BB5F7173EF1B}" type="sibTrans" cxnId="{9555F191-8ACE-4002-97B6-E31A81289595}">
      <dgm:prSet/>
      <dgm:spPr/>
      <dgm:t>
        <a:bodyPr/>
        <a:lstStyle/>
        <a:p>
          <a:endParaRPr lang="en-US" sz="1400" b="1"/>
        </a:p>
      </dgm:t>
    </dgm:pt>
    <dgm:pt modelId="{571A39EF-091D-44E6-AB2E-65AFE73115CE}">
      <dgm:prSet custT="1"/>
      <dgm:spPr/>
      <dgm:t>
        <a:bodyPr/>
        <a:lstStyle/>
        <a:p>
          <a:r>
            <a:rPr lang="en-US" sz="1400" b="1" i="0" u="none"/>
            <a:t>2012</a:t>
          </a:r>
          <a:endParaRPr lang="en-US" sz="1400" b="1"/>
        </a:p>
      </dgm:t>
    </dgm:pt>
    <dgm:pt modelId="{39B54537-6B99-4767-988B-ACF08FBD1231}" type="parTrans" cxnId="{BF445D02-DB02-4E93-A413-E1B30256E11A}">
      <dgm:prSet/>
      <dgm:spPr/>
      <dgm:t>
        <a:bodyPr/>
        <a:lstStyle/>
        <a:p>
          <a:endParaRPr lang="en-US" sz="1400" b="1"/>
        </a:p>
      </dgm:t>
    </dgm:pt>
    <dgm:pt modelId="{5FA414A0-8D7C-4AB5-935A-9E2A7EF17B51}" type="sibTrans" cxnId="{BF445D02-DB02-4E93-A413-E1B30256E11A}">
      <dgm:prSet/>
      <dgm:spPr/>
      <dgm:t>
        <a:bodyPr/>
        <a:lstStyle/>
        <a:p>
          <a:endParaRPr lang="en-US" sz="1400" b="1"/>
        </a:p>
      </dgm:t>
    </dgm:pt>
    <dgm:pt modelId="{4C4CB551-DFE3-4118-A1DB-0658FE6E03FE}">
      <dgm:prSet custT="1"/>
      <dgm:spPr/>
      <dgm:t>
        <a:bodyPr/>
        <a:lstStyle/>
        <a:p>
          <a:r>
            <a:rPr lang="en-US" sz="1400" b="1" i="0" u="none"/>
            <a:t>2013</a:t>
          </a:r>
          <a:endParaRPr lang="en-US" sz="1400" b="1"/>
        </a:p>
      </dgm:t>
    </dgm:pt>
    <dgm:pt modelId="{B3936AB4-4D16-4798-90C8-AB252B9D9E74}" type="parTrans" cxnId="{BCA764B8-5D1E-466C-9D3F-950C74CF6749}">
      <dgm:prSet/>
      <dgm:spPr/>
      <dgm:t>
        <a:bodyPr/>
        <a:lstStyle/>
        <a:p>
          <a:endParaRPr lang="en-US" sz="1400" b="1"/>
        </a:p>
      </dgm:t>
    </dgm:pt>
    <dgm:pt modelId="{8C1BB7EA-FAB6-4670-B2D3-B95BD40E95EB}" type="sibTrans" cxnId="{BCA764B8-5D1E-466C-9D3F-950C74CF6749}">
      <dgm:prSet/>
      <dgm:spPr/>
      <dgm:t>
        <a:bodyPr/>
        <a:lstStyle/>
        <a:p>
          <a:endParaRPr lang="en-US" sz="1400" b="1"/>
        </a:p>
      </dgm:t>
    </dgm:pt>
    <dgm:pt modelId="{BF2ADFEE-AF69-40D2-BD92-AE0EF722BB0A}">
      <dgm:prSet custT="1"/>
      <dgm:spPr/>
      <dgm:t>
        <a:bodyPr/>
        <a:lstStyle/>
        <a:p>
          <a:r>
            <a:rPr lang="en-US" sz="1400" b="1" i="0" u="none"/>
            <a:t>2014</a:t>
          </a:r>
          <a:endParaRPr lang="en-US" sz="1400" b="1"/>
        </a:p>
      </dgm:t>
    </dgm:pt>
    <dgm:pt modelId="{96D7EB0D-D749-4870-8D4B-ACDAB1988D24}" type="parTrans" cxnId="{0390FD40-FC45-4528-8DC0-6D2E27B0D6D2}">
      <dgm:prSet/>
      <dgm:spPr/>
      <dgm:t>
        <a:bodyPr/>
        <a:lstStyle/>
        <a:p>
          <a:endParaRPr lang="en-US" sz="1400" b="1"/>
        </a:p>
      </dgm:t>
    </dgm:pt>
    <dgm:pt modelId="{606B76A0-04FB-487E-A817-B227D421E80F}" type="sibTrans" cxnId="{0390FD40-FC45-4528-8DC0-6D2E27B0D6D2}">
      <dgm:prSet/>
      <dgm:spPr/>
      <dgm:t>
        <a:bodyPr/>
        <a:lstStyle/>
        <a:p>
          <a:endParaRPr lang="en-US" sz="1400" b="1"/>
        </a:p>
      </dgm:t>
    </dgm:pt>
    <dgm:pt modelId="{A35F5FD5-9D52-4C6B-826D-953830CFB442}">
      <dgm:prSet custT="1"/>
      <dgm:spPr/>
      <dgm:t>
        <a:bodyPr/>
        <a:lstStyle/>
        <a:p>
          <a:r>
            <a:rPr lang="en-US" sz="1400" b="1" i="0" u="none"/>
            <a:t>2015</a:t>
          </a:r>
          <a:endParaRPr lang="en-US" sz="1400" b="1"/>
        </a:p>
      </dgm:t>
    </dgm:pt>
    <dgm:pt modelId="{A3C7AB2C-FFAC-47CF-BB6C-C96F6454106E}" type="parTrans" cxnId="{1D30D550-6D2E-4D10-8ECD-8B5DAF2C59B6}">
      <dgm:prSet/>
      <dgm:spPr/>
      <dgm:t>
        <a:bodyPr/>
        <a:lstStyle/>
        <a:p>
          <a:endParaRPr lang="en-US" sz="1400" b="1"/>
        </a:p>
      </dgm:t>
    </dgm:pt>
    <dgm:pt modelId="{25194935-63A6-4E89-9312-A93F0955BB6E}" type="sibTrans" cxnId="{1D30D550-6D2E-4D10-8ECD-8B5DAF2C59B6}">
      <dgm:prSet/>
      <dgm:spPr/>
      <dgm:t>
        <a:bodyPr/>
        <a:lstStyle/>
        <a:p>
          <a:endParaRPr lang="en-US" sz="1400" b="1"/>
        </a:p>
      </dgm:t>
    </dgm:pt>
    <dgm:pt modelId="{C56EAA54-C22E-4885-B629-945EBEB7701B}">
      <dgm:prSet custT="1"/>
      <dgm:spPr/>
      <dgm:t>
        <a:bodyPr/>
        <a:lstStyle/>
        <a:p>
          <a:r>
            <a:rPr lang="en-US" sz="1400" b="1" i="0" u="none"/>
            <a:t>2017</a:t>
          </a:r>
          <a:endParaRPr lang="en-US" sz="1400" b="1"/>
        </a:p>
      </dgm:t>
    </dgm:pt>
    <dgm:pt modelId="{77AFCA4F-D29F-41B9-B2DB-70CC0FB2FABA}" type="parTrans" cxnId="{17AA82C9-7099-4C4A-AC6D-9334581A4E48}">
      <dgm:prSet/>
      <dgm:spPr/>
      <dgm:t>
        <a:bodyPr/>
        <a:lstStyle/>
        <a:p>
          <a:endParaRPr lang="en-US" sz="1400" b="1"/>
        </a:p>
      </dgm:t>
    </dgm:pt>
    <dgm:pt modelId="{8743230C-ECFA-4687-AC28-9F9C01094ECE}" type="sibTrans" cxnId="{17AA82C9-7099-4C4A-AC6D-9334581A4E48}">
      <dgm:prSet/>
      <dgm:spPr/>
      <dgm:t>
        <a:bodyPr/>
        <a:lstStyle/>
        <a:p>
          <a:endParaRPr lang="en-US" sz="1400" b="1"/>
        </a:p>
      </dgm:t>
    </dgm:pt>
    <dgm:pt modelId="{9943F2D1-04F8-4559-9C38-6F6718187019}">
      <dgm:prSet custT="1"/>
      <dgm:spPr/>
      <dgm:t>
        <a:bodyPr/>
        <a:lstStyle/>
        <a:p>
          <a:r>
            <a:rPr lang="en-US" sz="1400" b="1" i="0" u="none"/>
            <a:t>2018</a:t>
          </a:r>
          <a:endParaRPr lang="en-US" sz="1400" b="1"/>
        </a:p>
      </dgm:t>
    </dgm:pt>
    <dgm:pt modelId="{610041CF-9E20-4CA3-A35F-630E6B236A04}" type="parTrans" cxnId="{F18A8CA0-AF27-452F-9D95-0A911E366605}">
      <dgm:prSet/>
      <dgm:spPr/>
      <dgm:t>
        <a:bodyPr/>
        <a:lstStyle/>
        <a:p>
          <a:endParaRPr lang="en-US" sz="1400" b="1"/>
        </a:p>
      </dgm:t>
    </dgm:pt>
    <dgm:pt modelId="{BDBE896C-0083-4BF6-92CD-086F8DB35AF2}" type="sibTrans" cxnId="{F18A8CA0-AF27-452F-9D95-0A911E366605}">
      <dgm:prSet/>
      <dgm:spPr/>
      <dgm:t>
        <a:bodyPr/>
        <a:lstStyle/>
        <a:p>
          <a:endParaRPr lang="en-US" sz="1400" b="1"/>
        </a:p>
      </dgm:t>
    </dgm:pt>
    <dgm:pt modelId="{F8E5AB46-5C85-4800-8185-DA3A2DAE4453}">
      <dgm:prSet custT="1"/>
      <dgm:spPr/>
      <dgm:t>
        <a:bodyPr/>
        <a:lstStyle/>
        <a:p>
          <a:r>
            <a:rPr lang="en-US" sz="1400" b="1" i="0" u="none"/>
            <a:t>2019</a:t>
          </a:r>
          <a:endParaRPr lang="en-US" sz="1400" b="1"/>
        </a:p>
      </dgm:t>
    </dgm:pt>
    <dgm:pt modelId="{E44F1B8C-9693-4F93-BC8C-1D8DD69ADC13}" type="parTrans" cxnId="{27063DDB-F4B8-4F27-8447-A57E202936DD}">
      <dgm:prSet/>
      <dgm:spPr/>
      <dgm:t>
        <a:bodyPr/>
        <a:lstStyle/>
        <a:p>
          <a:endParaRPr lang="en-US" sz="1400" b="1"/>
        </a:p>
      </dgm:t>
    </dgm:pt>
    <dgm:pt modelId="{39603F50-7EE6-4282-9742-6C982CDE492D}" type="sibTrans" cxnId="{27063DDB-F4B8-4F27-8447-A57E202936DD}">
      <dgm:prSet/>
      <dgm:spPr/>
      <dgm:t>
        <a:bodyPr/>
        <a:lstStyle/>
        <a:p>
          <a:endParaRPr lang="en-US" sz="1400" b="1"/>
        </a:p>
      </dgm:t>
    </dgm:pt>
    <dgm:pt modelId="{F20B3CA7-4EBD-4537-8298-391FBC2B3215}" type="pres">
      <dgm:prSet presAssocID="{29D7C6D0-A49E-4BCB-9BBB-32114552FEED}" presName="diagram" presStyleCnt="0">
        <dgm:presLayoutVars>
          <dgm:dir/>
          <dgm:resizeHandles val="exact"/>
        </dgm:presLayoutVars>
      </dgm:prSet>
      <dgm:spPr/>
    </dgm:pt>
    <dgm:pt modelId="{DD9CF49D-F215-46ED-BD4E-D97BAA4C6DB6}" type="pres">
      <dgm:prSet presAssocID="{9CDA83E2-1FDA-4BBB-8528-46224B5FB677}" presName="node" presStyleLbl="node1" presStyleIdx="0" presStyleCnt="28">
        <dgm:presLayoutVars>
          <dgm:bulletEnabled val="1"/>
        </dgm:presLayoutVars>
      </dgm:prSet>
      <dgm:spPr/>
    </dgm:pt>
    <dgm:pt modelId="{21ED979C-A8D9-43DD-9140-7407A66984A0}" type="pres">
      <dgm:prSet presAssocID="{EDD5D674-328F-4DFD-960E-3646202D8FA3}" presName="sibTrans" presStyleCnt="0"/>
      <dgm:spPr/>
    </dgm:pt>
    <dgm:pt modelId="{651E86AC-558B-476D-B7FB-00A9DB7EF75B}" type="pres">
      <dgm:prSet presAssocID="{F814E8CA-7E6C-4848-A36A-B55F9E2FF608}" presName="node" presStyleLbl="node1" presStyleIdx="1" presStyleCnt="28">
        <dgm:presLayoutVars>
          <dgm:bulletEnabled val="1"/>
        </dgm:presLayoutVars>
      </dgm:prSet>
      <dgm:spPr/>
    </dgm:pt>
    <dgm:pt modelId="{7B3D53F1-4088-4549-82B5-92FA524A5AA7}" type="pres">
      <dgm:prSet presAssocID="{39343D88-3FD1-49BE-AA2C-BA9A0A4E0F43}" presName="sibTrans" presStyleCnt="0"/>
      <dgm:spPr/>
    </dgm:pt>
    <dgm:pt modelId="{41979AAD-AB30-4E55-8098-90AAB825259A}" type="pres">
      <dgm:prSet presAssocID="{2BF3D0B0-6404-4749-A7B1-30B12A2A2CB6}" presName="node" presStyleLbl="node1" presStyleIdx="2" presStyleCnt="28">
        <dgm:presLayoutVars>
          <dgm:bulletEnabled val="1"/>
        </dgm:presLayoutVars>
      </dgm:prSet>
      <dgm:spPr/>
    </dgm:pt>
    <dgm:pt modelId="{8DFD64B5-8F83-4866-9A20-C9EAD12CD3FC}" type="pres">
      <dgm:prSet presAssocID="{C04038D6-8773-44A8-AFF6-778831BD76DD}" presName="sibTrans" presStyleCnt="0"/>
      <dgm:spPr/>
    </dgm:pt>
    <dgm:pt modelId="{8477D550-DAD1-4A1C-8A6C-99A636F0EF8C}" type="pres">
      <dgm:prSet presAssocID="{5A8E316D-D3B7-4060-882A-72FF09B22C8D}" presName="node" presStyleLbl="node1" presStyleIdx="3" presStyleCnt="28">
        <dgm:presLayoutVars>
          <dgm:bulletEnabled val="1"/>
        </dgm:presLayoutVars>
      </dgm:prSet>
      <dgm:spPr/>
    </dgm:pt>
    <dgm:pt modelId="{35FCDE73-0986-43A1-90DE-068BCEDA362D}" type="pres">
      <dgm:prSet presAssocID="{C990D3B8-E030-4DC3-8A65-AB4C3BDCEE2F}" presName="sibTrans" presStyleCnt="0"/>
      <dgm:spPr/>
    </dgm:pt>
    <dgm:pt modelId="{B9FE2EAC-0ADE-48F8-9B26-EB3134668DAD}" type="pres">
      <dgm:prSet presAssocID="{73DF4295-6E9D-43EB-A9F6-09BB5DCD941C}" presName="node" presStyleLbl="node1" presStyleIdx="4" presStyleCnt="28">
        <dgm:presLayoutVars>
          <dgm:bulletEnabled val="1"/>
        </dgm:presLayoutVars>
      </dgm:prSet>
      <dgm:spPr/>
    </dgm:pt>
    <dgm:pt modelId="{37D77235-22C5-4739-B2F0-5B952F983CB5}" type="pres">
      <dgm:prSet presAssocID="{7DEF6CDC-5489-4A15-B334-5A217B184E9C}" presName="sibTrans" presStyleCnt="0"/>
      <dgm:spPr/>
    </dgm:pt>
    <dgm:pt modelId="{73224CA7-5964-4610-A43E-8E254AC83BFB}" type="pres">
      <dgm:prSet presAssocID="{17A05CC4-3A7B-4722-8E28-F2145D1BD7CE}" presName="node" presStyleLbl="node1" presStyleIdx="5" presStyleCnt="28">
        <dgm:presLayoutVars>
          <dgm:bulletEnabled val="1"/>
        </dgm:presLayoutVars>
      </dgm:prSet>
      <dgm:spPr/>
    </dgm:pt>
    <dgm:pt modelId="{E74072BA-CE8F-49A5-B4B2-0E77B35E317C}" type="pres">
      <dgm:prSet presAssocID="{6546E8E2-E2BF-493F-9297-68B031CD089B}" presName="sibTrans" presStyleCnt="0"/>
      <dgm:spPr/>
    </dgm:pt>
    <dgm:pt modelId="{C488466A-DBB3-459F-A3BF-720E154F9F35}" type="pres">
      <dgm:prSet presAssocID="{141114BA-6781-483D-BC38-161F6CAD2FB5}" presName="node" presStyleLbl="node1" presStyleIdx="6" presStyleCnt="28">
        <dgm:presLayoutVars>
          <dgm:bulletEnabled val="1"/>
        </dgm:presLayoutVars>
      </dgm:prSet>
      <dgm:spPr/>
    </dgm:pt>
    <dgm:pt modelId="{F6C2D9DE-518B-4C31-A4B7-F30E3725F15B}" type="pres">
      <dgm:prSet presAssocID="{AAAB8BAE-7115-47FA-8976-E123BBEFD678}" presName="sibTrans" presStyleCnt="0"/>
      <dgm:spPr/>
    </dgm:pt>
    <dgm:pt modelId="{E18F7B2E-E907-4ABA-968C-7D50FF97F5FB}" type="pres">
      <dgm:prSet presAssocID="{6C1B64F6-D257-4D9F-94FC-E7C230CBBD15}" presName="node" presStyleLbl="node1" presStyleIdx="7" presStyleCnt="28">
        <dgm:presLayoutVars>
          <dgm:bulletEnabled val="1"/>
        </dgm:presLayoutVars>
      </dgm:prSet>
      <dgm:spPr/>
    </dgm:pt>
    <dgm:pt modelId="{5E588654-7983-4CCE-8CCA-E26FA750E690}" type="pres">
      <dgm:prSet presAssocID="{2E1F4862-C1B9-443A-A63A-620FCC249FDF}" presName="sibTrans" presStyleCnt="0"/>
      <dgm:spPr/>
    </dgm:pt>
    <dgm:pt modelId="{A78B879B-9AAE-4D20-9D2C-34DE49E75B48}" type="pres">
      <dgm:prSet presAssocID="{3D202B3C-20EE-4225-A1C4-E69752E19802}" presName="node" presStyleLbl="node1" presStyleIdx="8" presStyleCnt="28">
        <dgm:presLayoutVars>
          <dgm:bulletEnabled val="1"/>
        </dgm:presLayoutVars>
      </dgm:prSet>
      <dgm:spPr/>
    </dgm:pt>
    <dgm:pt modelId="{1EF8E830-7073-49B5-AF60-87AAC56C285E}" type="pres">
      <dgm:prSet presAssocID="{B566A368-B527-4DCD-BF16-D00738FA6840}" presName="sibTrans" presStyleCnt="0"/>
      <dgm:spPr/>
    </dgm:pt>
    <dgm:pt modelId="{5ED8724D-7EF1-444E-B8EA-8032B0708C0B}" type="pres">
      <dgm:prSet presAssocID="{B849A72C-43A9-41A6-AC06-8511545E48B3}" presName="node" presStyleLbl="node1" presStyleIdx="9" presStyleCnt="28">
        <dgm:presLayoutVars>
          <dgm:bulletEnabled val="1"/>
        </dgm:presLayoutVars>
      </dgm:prSet>
      <dgm:spPr/>
    </dgm:pt>
    <dgm:pt modelId="{3A84EBB7-156F-47F7-9A5A-FCD2B6810F51}" type="pres">
      <dgm:prSet presAssocID="{D315BBE7-8EF3-4136-9949-0387E7AC5798}" presName="sibTrans" presStyleCnt="0"/>
      <dgm:spPr/>
    </dgm:pt>
    <dgm:pt modelId="{B9885551-BDCB-4317-85A8-4E251942E24D}" type="pres">
      <dgm:prSet presAssocID="{E5937ADA-EB95-4A0C-8442-7E67BD4109ED}" presName="node" presStyleLbl="node1" presStyleIdx="10" presStyleCnt="28">
        <dgm:presLayoutVars>
          <dgm:bulletEnabled val="1"/>
        </dgm:presLayoutVars>
      </dgm:prSet>
      <dgm:spPr/>
    </dgm:pt>
    <dgm:pt modelId="{08B93F3F-C1CE-496E-A69F-4F36C622F281}" type="pres">
      <dgm:prSet presAssocID="{558C35AC-0218-4FCB-8FA6-B62A176A17F8}" presName="sibTrans" presStyleCnt="0"/>
      <dgm:spPr/>
    </dgm:pt>
    <dgm:pt modelId="{9024C6CB-3FB9-4C28-BBC4-09EC1DA22CEC}" type="pres">
      <dgm:prSet presAssocID="{1D7D4830-07B6-46C1-BE2D-27556441D3EB}" presName="node" presStyleLbl="node1" presStyleIdx="11" presStyleCnt="28">
        <dgm:presLayoutVars>
          <dgm:bulletEnabled val="1"/>
        </dgm:presLayoutVars>
      </dgm:prSet>
      <dgm:spPr/>
    </dgm:pt>
    <dgm:pt modelId="{163878AC-E541-4403-AE77-C3D92D774DAB}" type="pres">
      <dgm:prSet presAssocID="{6C654C34-BF22-4AEB-9852-866CCB2ABD5E}" presName="sibTrans" presStyleCnt="0"/>
      <dgm:spPr/>
    </dgm:pt>
    <dgm:pt modelId="{067A955C-8D19-46DF-B438-FA05E4F378B5}" type="pres">
      <dgm:prSet presAssocID="{2A023437-5408-41C4-966D-FFF065C91C04}" presName="node" presStyleLbl="node1" presStyleIdx="12" presStyleCnt="28">
        <dgm:presLayoutVars>
          <dgm:bulletEnabled val="1"/>
        </dgm:presLayoutVars>
      </dgm:prSet>
      <dgm:spPr/>
    </dgm:pt>
    <dgm:pt modelId="{8E95CB0D-AE1C-45F7-B7B1-D821D829803A}" type="pres">
      <dgm:prSet presAssocID="{EE74F48C-BA15-4D0D-9CC9-2A18C6A4FDC4}" presName="sibTrans" presStyleCnt="0"/>
      <dgm:spPr/>
    </dgm:pt>
    <dgm:pt modelId="{7F46E994-159D-4E66-BD9D-8CE760171E2E}" type="pres">
      <dgm:prSet presAssocID="{0E8F8A67-C2BC-4046-BF6A-39630D9C63F1}" presName="node" presStyleLbl="node1" presStyleIdx="13" presStyleCnt="28">
        <dgm:presLayoutVars>
          <dgm:bulletEnabled val="1"/>
        </dgm:presLayoutVars>
      </dgm:prSet>
      <dgm:spPr/>
    </dgm:pt>
    <dgm:pt modelId="{E6D197AD-46B7-463F-B82A-C1821CC82C60}" type="pres">
      <dgm:prSet presAssocID="{493F9391-A2BD-41B3-AD76-6830E3D71DC8}" presName="sibTrans" presStyleCnt="0"/>
      <dgm:spPr/>
    </dgm:pt>
    <dgm:pt modelId="{BED52146-E3E3-48FB-AD49-FBCE349D1885}" type="pres">
      <dgm:prSet presAssocID="{764C5E9B-8E26-462B-8BEC-A9AD7B0B8590}" presName="node" presStyleLbl="node1" presStyleIdx="14" presStyleCnt="28">
        <dgm:presLayoutVars>
          <dgm:bulletEnabled val="1"/>
        </dgm:presLayoutVars>
      </dgm:prSet>
      <dgm:spPr/>
    </dgm:pt>
    <dgm:pt modelId="{46845D1F-13D0-4864-9DD7-8814C8786F48}" type="pres">
      <dgm:prSet presAssocID="{3BB8A9D1-9FD6-42D7-8CC0-619F89AEAEF9}" presName="sibTrans" presStyleCnt="0"/>
      <dgm:spPr/>
    </dgm:pt>
    <dgm:pt modelId="{55DE08B3-8E0E-461A-A8C8-955AB87FFBCD}" type="pres">
      <dgm:prSet presAssocID="{45CA99F0-5674-4D9E-9190-03B485D3F1DB}" presName="node" presStyleLbl="node1" presStyleIdx="15" presStyleCnt="28">
        <dgm:presLayoutVars>
          <dgm:bulletEnabled val="1"/>
        </dgm:presLayoutVars>
      </dgm:prSet>
      <dgm:spPr/>
    </dgm:pt>
    <dgm:pt modelId="{35698871-1BF4-443A-8810-3C48E3296E02}" type="pres">
      <dgm:prSet presAssocID="{4B43705D-91E6-41DA-A722-CF10C6EB9ED4}" presName="sibTrans" presStyleCnt="0"/>
      <dgm:spPr/>
    </dgm:pt>
    <dgm:pt modelId="{8A6DAA18-0BCC-4AAD-9263-1C8C8DBFAF68}" type="pres">
      <dgm:prSet presAssocID="{144827FD-AFD8-446E-B04F-06D6899B1101}" presName="node" presStyleLbl="node1" presStyleIdx="16" presStyleCnt="28">
        <dgm:presLayoutVars>
          <dgm:bulletEnabled val="1"/>
        </dgm:presLayoutVars>
      </dgm:prSet>
      <dgm:spPr/>
    </dgm:pt>
    <dgm:pt modelId="{EE0F58AC-E3EF-4F36-A746-9062B7523033}" type="pres">
      <dgm:prSet presAssocID="{AC2BDD9F-52DF-425F-9C5C-0DDF87DAC09F}" presName="sibTrans" presStyleCnt="0"/>
      <dgm:spPr/>
    </dgm:pt>
    <dgm:pt modelId="{921DAB9E-5551-40C1-A6E5-2D1705212803}" type="pres">
      <dgm:prSet presAssocID="{E2FE02BE-1DF4-45CD-A2C7-70E6707F0EDD}" presName="node" presStyleLbl="node1" presStyleIdx="17" presStyleCnt="28">
        <dgm:presLayoutVars>
          <dgm:bulletEnabled val="1"/>
        </dgm:presLayoutVars>
      </dgm:prSet>
      <dgm:spPr/>
    </dgm:pt>
    <dgm:pt modelId="{7BEA0009-05F8-45FE-A6B5-155FD4974305}" type="pres">
      <dgm:prSet presAssocID="{281BC12E-19D3-4D1C-9142-A9A4ABF9553C}" presName="sibTrans" presStyleCnt="0"/>
      <dgm:spPr/>
    </dgm:pt>
    <dgm:pt modelId="{3D45C924-52FF-4E45-9973-1F0F5184F3C5}" type="pres">
      <dgm:prSet presAssocID="{284D69A7-CDA4-4F3C-A704-4949FAB875E6}" presName="node" presStyleLbl="node1" presStyleIdx="18" presStyleCnt="28">
        <dgm:presLayoutVars>
          <dgm:bulletEnabled val="1"/>
        </dgm:presLayoutVars>
      </dgm:prSet>
      <dgm:spPr/>
    </dgm:pt>
    <dgm:pt modelId="{54A5F872-9113-48F6-8347-D2D82D4D9EE3}" type="pres">
      <dgm:prSet presAssocID="{5CE6EA97-46DD-4DA4-8A0E-2C5FE168CE3E}" presName="sibTrans" presStyleCnt="0"/>
      <dgm:spPr/>
    </dgm:pt>
    <dgm:pt modelId="{C26712B4-8095-4FCC-955E-18B6FC3725CC}" type="pres">
      <dgm:prSet presAssocID="{73F2770F-6B58-499E-8E98-E2CEDE7ABA36}" presName="node" presStyleLbl="node1" presStyleIdx="19" presStyleCnt="28">
        <dgm:presLayoutVars>
          <dgm:bulletEnabled val="1"/>
        </dgm:presLayoutVars>
      </dgm:prSet>
      <dgm:spPr/>
    </dgm:pt>
    <dgm:pt modelId="{EE876117-815F-4AEB-AD99-A7CF418AE611}" type="pres">
      <dgm:prSet presAssocID="{3EE64703-9FAF-45EA-B2BA-1AC73E561717}" presName="sibTrans" presStyleCnt="0"/>
      <dgm:spPr/>
    </dgm:pt>
    <dgm:pt modelId="{8B6246C6-6976-4E5A-B411-1E752E9B2A1C}" type="pres">
      <dgm:prSet presAssocID="{7003F3A4-CA6D-482A-8104-00810AA6B729}" presName="node" presStyleLbl="node1" presStyleIdx="20" presStyleCnt="28">
        <dgm:presLayoutVars>
          <dgm:bulletEnabled val="1"/>
        </dgm:presLayoutVars>
      </dgm:prSet>
      <dgm:spPr/>
    </dgm:pt>
    <dgm:pt modelId="{C9405059-B32F-4657-8ADC-E6AF522DD0C2}" type="pres">
      <dgm:prSet presAssocID="{6BB5CA57-EB1A-488F-BFFF-BB5F7173EF1B}" presName="sibTrans" presStyleCnt="0"/>
      <dgm:spPr/>
    </dgm:pt>
    <dgm:pt modelId="{2DC6685B-179C-4215-95E0-1E656738ACA8}" type="pres">
      <dgm:prSet presAssocID="{571A39EF-091D-44E6-AB2E-65AFE73115CE}" presName="node" presStyleLbl="node1" presStyleIdx="21" presStyleCnt="28">
        <dgm:presLayoutVars>
          <dgm:bulletEnabled val="1"/>
        </dgm:presLayoutVars>
      </dgm:prSet>
      <dgm:spPr/>
    </dgm:pt>
    <dgm:pt modelId="{0A2D6EE3-6F7B-499C-92E3-AC49CACCF3E2}" type="pres">
      <dgm:prSet presAssocID="{5FA414A0-8D7C-4AB5-935A-9E2A7EF17B51}" presName="sibTrans" presStyleCnt="0"/>
      <dgm:spPr/>
    </dgm:pt>
    <dgm:pt modelId="{9879921F-DE71-4C00-94F8-99AE9209FD95}" type="pres">
      <dgm:prSet presAssocID="{4C4CB551-DFE3-4118-A1DB-0658FE6E03FE}" presName="node" presStyleLbl="node1" presStyleIdx="22" presStyleCnt="28">
        <dgm:presLayoutVars>
          <dgm:bulletEnabled val="1"/>
        </dgm:presLayoutVars>
      </dgm:prSet>
      <dgm:spPr/>
    </dgm:pt>
    <dgm:pt modelId="{9E9AA68B-B5AD-4969-A29C-79442B07E608}" type="pres">
      <dgm:prSet presAssocID="{8C1BB7EA-FAB6-4670-B2D3-B95BD40E95EB}" presName="sibTrans" presStyleCnt="0"/>
      <dgm:spPr/>
    </dgm:pt>
    <dgm:pt modelId="{26A56A15-19E7-403F-9865-036D89F37504}" type="pres">
      <dgm:prSet presAssocID="{BF2ADFEE-AF69-40D2-BD92-AE0EF722BB0A}" presName="node" presStyleLbl="node1" presStyleIdx="23" presStyleCnt="28">
        <dgm:presLayoutVars>
          <dgm:bulletEnabled val="1"/>
        </dgm:presLayoutVars>
      </dgm:prSet>
      <dgm:spPr/>
    </dgm:pt>
    <dgm:pt modelId="{9D710ADD-1DB3-48EB-AB04-13BDB39C8B1F}" type="pres">
      <dgm:prSet presAssocID="{606B76A0-04FB-487E-A817-B227D421E80F}" presName="sibTrans" presStyleCnt="0"/>
      <dgm:spPr/>
    </dgm:pt>
    <dgm:pt modelId="{03BDB504-CD80-4538-8CD2-119C72E2C1DE}" type="pres">
      <dgm:prSet presAssocID="{A35F5FD5-9D52-4C6B-826D-953830CFB442}" presName="node" presStyleLbl="node1" presStyleIdx="24" presStyleCnt="28">
        <dgm:presLayoutVars>
          <dgm:bulletEnabled val="1"/>
        </dgm:presLayoutVars>
      </dgm:prSet>
      <dgm:spPr/>
    </dgm:pt>
    <dgm:pt modelId="{F2C03BC2-FFC7-46D9-9A20-7FA9DBA0B816}" type="pres">
      <dgm:prSet presAssocID="{25194935-63A6-4E89-9312-A93F0955BB6E}" presName="sibTrans" presStyleCnt="0"/>
      <dgm:spPr/>
    </dgm:pt>
    <dgm:pt modelId="{E96BF947-82B6-464A-B9C6-7B0A53F4AE59}" type="pres">
      <dgm:prSet presAssocID="{C56EAA54-C22E-4885-B629-945EBEB7701B}" presName="node" presStyleLbl="node1" presStyleIdx="25" presStyleCnt="28">
        <dgm:presLayoutVars>
          <dgm:bulletEnabled val="1"/>
        </dgm:presLayoutVars>
      </dgm:prSet>
      <dgm:spPr/>
    </dgm:pt>
    <dgm:pt modelId="{3EF3F68A-A4BE-4C49-820D-F7B9410D1019}" type="pres">
      <dgm:prSet presAssocID="{8743230C-ECFA-4687-AC28-9F9C01094ECE}" presName="sibTrans" presStyleCnt="0"/>
      <dgm:spPr/>
    </dgm:pt>
    <dgm:pt modelId="{B3766A6D-2A10-4ED9-A3DD-3DC6C7D24FF4}" type="pres">
      <dgm:prSet presAssocID="{9943F2D1-04F8-4559-9C38-6F6718187019}" presName="node" presStyleLbl="node1" presStyleIdx="26" presStyleCnt="28">
        <dgm:presLayoutVars>
          <dgm:bulletEnabled val="1"/>
        </dgm:presLayoutVars>
      </dgm:prSet>
      <dgm:spPr/>
    </dgm:pt>
    <dgm:pt modelId="{94DB2887-318B-4743-9703-39F6B20AD133}" type="pres">
      <dgm:prSet presAssocID="{BDBE896C-0083-4BF6-92CD-086F8DB35AF2}" presName="sibTrans" presStyleCnt="0"/>
      <dgm:spPr/>
    </dgm:pt>
    <dgm:pt modelId="{E84C3B01-64BB-4344-BDA8-48BD452C2C75}" type="pres">
      <dgm:prSet presAssocID="{F8E5AB46-5C85-4800-8185-DA3A2DAE4453}" presName="node" presStyleLbl="node1" presStyleIdx="27" presStyleCnt="28">
        <dgm:presLayoutVars>
          <dgm:bulletEnabled val="1"/>
        </dgm:presLayoutVars>
      </dgm:prSet>
      <dgm:spPr/>
    </dgm:pt>
  </dgm:ptLst>
  <dgm:cxnLst>
    <dgm:cxn modelId="{762B2C02-B5F2-41A4-8747-08CE20D58E40}" srcId="{29D7C6D0-A49E-4BCB-9BBB-32114552FEED}" destId="{1D7D4830-07B6-46C1-BE2D-27556441D3EB}" srcOrd="11" destOrd="0" parTransId="{936DE172-2AB3-4A90-A4C8-24F2F5379569}" sibTransId="{6C654C34-BF22-4AEB-9852-866CCB2ABD5E}"/>
    <dgm:cxn modelId="{BF445D02-DB02-4E93-A413-E1B30256E11A}" srcId="{29D7C6D0-A49E-4BCB-9BBB-32114552FEED}" destId="{571A39EF-091D-44E6-AB2E-65AFE73115CE}" srcOrd="21" destOrd="0" parTransId="{39B54537-6B99-4767-988B-ACF08FBD1231}" sibTransId="{5FA414A0-8D7C-4AB5-935A-9E2A7EF17B51}"/>
    <dgm:cxn modelId="{6DFE7F02-C25C-4947-A7CC-C6EDDA454C90}" srcId="{29D7C6D0-A49E-4BCB-9BBB-32114552FEED}" destId="{E2FE02BE-1DF4-45CD-A2C7-70E6707F0EDD}" srcOrd="17" destOrd="0" parTransId="{50FA2FF6-8ADD-4B97-A63C-4F58C8CB3003}" sibTransId="{281BC12E-19D3-4D1C-9142-A9A4ABF9553C}"/>
    <dgm:cxn modelId="{D0FCF508-24C6-4A41-A5E8-D682910731DB}" type="presOf" srcId="{571A39EF-091D-44E6-AB2E-65AFE73115CE}" destId="{2DC6685B-179C-4215-95E0-1E656738ACA8}" srcOrd="0" destOrd="0" presId="urn:microsoft.com/office/officeart/2005/8/layout/default"/>
    <dgm:cxn modelId="{667B5816-8A22-4BCA-8ADE-2CF1D77C59A2}" type="presOf" srcId="{F814E8CA-7E6C-4848-A36A-B55F9E2FF608}" destId="{651E86AC-558B-476D-B7FB-00A9DB7EF75B}" srcOrd="0" destOrd="0" presId="urn:microsoft.com/office/officeart/2005/8/layout/default"/>
    <dgm:cxn modelId="{8796D417-9779-4C6C-B647-5A652BBE5302}" type="presOf" srcId="{9943F2D1-04F8-4559-9C38-6F6718187019}" destId="{B3766A6D-2A10-4ED9-A3DD-3DC6C7D24FF4}" srcOrd="0" destOrd="0" presId="urn:microsoft.com/office/officeart/2005/8/layout/default"/>
    <dgm:cxn modelId="{FCB61319-0DBF-4B4F-89F5-076352CE1C5E}" type="presOf" srcId="{73DF4295-6E9D-43EB-A9F6-09BB5DCD941C}" destId="{B9FE2EAC-0ADE-48F8-9B26-EB3134668DAD}" srcOrd="0" destOrd="0" presId="urn:microsoft.com/office/officeart/2005/8/layout/default"/>
    <dgm:cxn modelId="{A90D0525-56B4-479A-9077-2C590B55FB3E}" type="presOf" srcId="{3D202B3C-20EE-4225-A1C4-E69752E19802}" destId="{A78B879B-9AAE-4D20-9D2C-34DE49E75B48}" srcOrd="0" destOrd="0" presId="urn:microsoft.com/office/officeart/2005/8/layout/default"/>
    <dgm:cxn modelId="{C3469526-A1D9-4A96-A7B5-166FAE73DBFF}" srcId="{29D7C6D0-A49E-4BCB-9BBB-32114552FEED}" destId="{284D69A7-CDA4-4F3C-A704-4949FAB875E6}" srcOrd="18" destOrd="0" parTransId="{3C65C77A-6273-44EA-9645-EE6042127610}" sibTransId="{5CE6EA97-46DD-4DA4-8A0E-2C5FE168CE3E}"/>
    <dgm:cxn modelId="{27081B28-1D73-4129-A283-5500C23340A4}" srcId="{29D7C6D0-A49E-4BCB-9BBB-32114552FEED}" destId="{2A023437-5408-41C4-966D-FFF065C91C04}" srcOrd="12" destOrd="0" parTransId="{DF14EA9E-D682-4C1F-83C2-5B965B550FC3}" sibTransId="{EE74F48C-BA15-4D0D-9CC9-2A18C6A4FDC4}"/>
    <dgm:cxn modelId="{849EBD29-4B15-4B2B-B379-806367C94DAB}" type="presOf" srcId="{BF2ADFEE-AF69-40D2-BD92-AE0EF722BB0A}" destId="{26A56A15-19E7-403F-9865-036D89F37504}" srcOrd="0" destOrd="0" presId="urn:microsoft.com/office/officeart/2005/8/layout/default"/>
    <dgm:cxn modelId="{50AB502F-9527-4CC3-A4A2-9CEADCF61CC9}" srcId="{29D7C6D0-A49E-4BCB-9BBB-32114552FEED}" destId="{2BF3D0B0-6404-4749-A7B1-30B12A2A2CB6}" srcOrd="2" destOrd="0" parTransId="{6EC73888-AE94-4040-A6E3-B3352FE1C882}" sibTransId="{C04038D6-8773-44A8-AFF6-778831BD76DD}"/>
    <dgm:cxn modelId="{3D50AA31-F8A2-42D0-BCE9-98446EA5FCE9}" type="presOf" srcId="{29D7C6D0-A49E-4BCB-9BBB-32114552FEED}" destId="{F20B3CA7-4EBD-4537-8298-391FBC2B3215}" srcOrd="0" destOrd="0" presId="urn:microsoft.com/office/officeart/2005/8/layout/default"/>
    <dgm:cxn modelId="{152C8533-837A-4A30-B16D-8CAEAC3E1B3D}" srcId="{29D7C6D0-A49E-4BCB-9BBB-32114552FEED}" destId="{F814E8CA-7E6C-4848-A36A-B55F9E2FF608}" srcOrd="1" destOrd="0" parTransId="{F6CBC42F-8E20-4A3C-85F3-E6C2C83413B5}" sibTransId="{39343D88-3FD1-49BE-AA2C-BA9A0A4E0F43}"/>
    <dgm:cxn modelId="{80924F38-657B-49A1-B067-DF560C02A26B}" srcId="{29D7C6D0-A49E-4BCB-9BBB-32114552FEED}" destId="{9CDA83E2-1FDA-4BBB-8528-46224B5FB677}" srcOrd="0" destOrd="0" parTransId="{DAEAD1C7-619E-4DA6-B017-6278A024AB23}" sibTransId="{EDD5D674-328F-4DFD-960E-3646202D8FA3}"/>
    <dgm:cxn modelId="{9DE5723D-C311-4C4B-B2EF-2962799AC94D}" type="presOf" srcId="{7003F3A4-CA6D-482A-8104-00810AA6B729}" destId="{8B6246C6-6976-4E5A-B411-1E752E9B2A1C}" srcOrd="0" destOrd="0" presId="urn:microsoft.com/office/officeart/2005/8/layout/default"/>
    <dgm:cxn modelId="{3AE3303F-52BE-4008-BC5A-E745D144E942}" srcId="{29D7C6D0-A49E-4BCB-9BBB-32114552FEED}" destId="{764C5E9B-8E26-462B-8BEC-A9AD7B0B8590}" srcOrd="14" destOrd="0" parTransId="{54B6CD0C-C9F2-4BB9-89CE-F5595D9BD00D}" sibTransId="{3BB8A9D1-9FD6-42D7-8CC0-619F89AEAEF9}"/>
    <dgm:cxn modelId="{0390FD40-FC45-4528-8DC0-6D2E27B0D6D2}" srcId="{29D7C6D0-A49E-4BCB-9BBB-32114552FEED}" destId="{BF2ADFEE-AF69-40D2-BD92-AE0EF722BB0A}" srcOrd="23" destOrd="0" parTransId="{96D7EB0D-D749-4870-8D4B-ACDAB1988D24}" sibTransId="{606B76A0-04FB-487E-A817-B227D421E80F}"/>
    <dgm:cxn modelId="{2D09805F-A9E2-466D-94FF-CAAB77B4059B}" type="presOf" srcId="{A35F5FD5-9D52-4C6B-826D-953830CFB442}" destId="{03BDB504-CD80-4538-8CD2-119C72E2C1DE}" srcOrd="0" destOrd="0" presId="urn:microsoft.com/office/officeart/2005/8/layout/default"/>
    <dgm:cxn modelId="{A81CB560-2BBC-432C-A053-EB33534E44D4}" type="presOf" srcId="{141114BA-6781-483D-BC38-161F6CAD2FB5}" destId="{C488466A-DBB3-459F-A3BF-720E154F9F35}" srcOrd="0" destOrd="0" presId="urn:microsoft.com/office/officeart/2005/8/layout/default"/>
    <dgm:cxn modelId="{BBE1AA62-4C32-4FFE-BEAA-F1B2A00C9E5C}" type="presOf" srcId="{4C4CB551-DFE3-4118-A1DB-0658FE6E03FE}" destId="{9879921F-DE71-4C00-94F8-99AE9209FD95}" srcOrd="0" destOrd="0" presId="urn:microsoft.com/office/officeart/2005/8/layout/default"/>
    <dgm:cxn modelId="{3AC0F042-3701-4731-B5E5-2FB7E5658546}" type="presOf" srcId="{17A05CC4-3A7B-4722-8E28-F2145D1BD7CE}" destId="{73224CA7-5964-4610-A43E-8E254AC83BFB}" srcOrd="0" destOrd="0" presId="urn:microsoft.com/office/officeart/2005/8/layout/default"/>
    <dgm:cxn modelId="{3ED36547-290C-4D60-A392-553486B72844}" srcId="{29D7C6D0-A49E-4BCB-9BBB-32114552FEED}" destId="{144827FD-AFD8-446E-B04F-06D6899B1101}" srcOrd="16" destOrd="0" parTransId="{D0F3A458-B44D-4185-9EEF-4F48C0257C54}" sibTransId="{AC2BDD9F-52DF-425F-9C5C-0DDF87DAC09F}"/>
    <dgm:cxn modelId="{AA021948-ED64-4252-810F-8E122EF4FF3B}" srcId="{29D7C6D0-A49E-4BCB-9BBB-32114552FEED}" destId="{B849A72C-43A9-41A6-AC06-8511545E48B3}" srcOrd="9" destOrd="0" parTransId="{E7CE8D64-B26B-4ACE-A2C5-0C2D5A86D53F}" sibTransId="{D315BBE7-8EF3-4136-9949-0387E7AC5798}"/>
    <dgm:cxn modelId="{D56A7D6A-9300-4524-825F-C58F61071E31}" type="presOf" srcId="{6C1B64F6-D257-4D9F-94FC-E7C230CBBD15}" destId="{E18F7B2E-E907-4ABA-968C-7D50FF97F5FB}" srcOrd="0" destOrd="0" presId="urn:microsoft.com/office/officeart/2005/8/layout/default"/>
    <dgm:cxn modelId="{481E446C-B93A-423B-A05C-C61570A63A5F}" type="presOf" srcId="{B849A72C-43A9-41A6-AC06-8511545E48B3}" destId="{5ED8724D-7EF1-444E-B8EA-8032B0708C0B}" srcOrd="0" destOrd="0" presId="urn:microsoft.com/office/officeart/2005/8/layout/default"/>
    <dgm:cxn modelId="{68309350-44AF-4D22-B5A8-1976BC8F4901}" type="presOf" srcId="{2BF3D0B0-6404-4749-A7B1-30B12A2A2CB6}" destId="{41979AAD-AB30-4E55-8098-90AAB825259A}" srcOrd="0" destOrd="0" presId="urn:microsoft.com/office/officeart/2005/8/layout/default"/>
    <dgm:cxn modelId="{1D30D550-6D2E-4D10-8ECD-8B5DAF2C59B6}" srcId="{29D7C6D0-A49E-4BCB-9BBB-32114552FEED}" destId="{A35F5FD5-9D52-4C6B-826D-953830CFB442}" srcOrd="24" destOrd="0" parTransId="{A3C7AB2C-FFAC-47CF-BB6C-C96F6454106E}" sibTransId="{25194935-63A6-4E89-9312-A93F0955BB6E}"/>
    <dgm:cxn modelId="{D7775A59-B3A7-4BE3-AC82-36B348CCA7E4}" type="presOf" srcId="{764C5E9B-8E26-462B-8BEC-A9AD7B0B8590}" destId="{BED52146-E3E3-48FB-AD49-FBCE349D1885}" srcOrd="0" destOrd="0" presId="urn:microsoft.com/office/officeart/2005/8/layout/default"/>
    <dgm:cxn modelId="{F1486C7D-9958-4761-8027-5532E5C62354}" type="presOf" srcId="{5A8E316D-D3B7-4060-882A-72FF09B22C8D}" destId="{8477D550-DAD1-4A1C-8A6C-99A636F0EF8C}" srcOrd="0" destOrd="0" presId="urn:microsoft.com/office/officeart/2005/8/layout/default"/>
    <dgm:cxn modelId="{7DF3B580-D550-405F-BD61-8F2759B990B1}" type="presOf" srcId="{C56EAA54-C22E-4885-B629-945EBEB7701B}" destId="{E96BF947-82B6-464A-B9C6-7B0A53F4AE59}" srcOrd="0" destOrd="0" presId="urn:microsoft.com/office/officeart/2005/8/layout/default"/>
    <dgm:cxn modelId="{74ED7F82-DE54-4D44-9052-3CF65AFB940F}" srcId="{29D7C6D0-A49E-4BCB-9BBB-32114552FEED}" destId="{3D202B3C-20EE-4225-A1C4-E69752E19802}" srcOrd="8" destOrd="0" parTransId="{705EC137-48CE-4FDF-ADEF-14378150DCB9}" sibTransId="{B566A368-B527-4DCD-BF16-D00738FA6840}"/>
    <dgm:cxn modelId="{A9E6C985-98A8-475A-B2C3-55B46F30E589}" srcId="{29D7C6D0-A49E-4BCB-9BBB-32114552FEED}" destId="{E5937ADA-EB95-4A0C-8442-7E67BD4109ED}" srcOrd="10" destOrd="0" parTransId="{F3022C88-9A7D-4CD4-B6A2-6DE2FCEC60A5}" sibTransId="{558C35AC-0218-4FCB-8FA6-B62A176A17F8}"/>
    <dgm:cxn modelId="{CA95A889-777A-4F0A-87F6-DA3FD6B26086}" srcId="{29D7C6D0-A49E-4BCB-9BBB-32114552FEED}" destId="{141114BA-6781-483D-BC38-161F6CAD2FB5}" srcOrd="6" destOrd="0" parTransId="{A6DB2362-28A7-41FC-819A-E2344E0BCC6F}" sibTransId="{AAAB8BAE-7115-47FA-8976-E123BBEFD678}"/>
    <dgm:cxn modelId="{9555F191-8ACE-4002-97B6-E31A81289595}" srcId="{29D7C6D0-A49E-4BCB-9BBB-32114552FEED}" destId="{7003F3A4-CA6D-482A-8104-00810AA6B729}" srcOrd="20" destOrd="0" parTransId="{A3FFC90C-034C-469D-BBB7-0AD45B13FD5D}" sibTransId="{6BB5CA57-EB1A-488F-BFFF-BB5F7173EF1B}"/>
    <dgm:cxn modelId="{1B8F679C-7179-4C11-BEF8-DD915A660769}" type="presOf" srcId="{144827FD-AFD8-446E-B04F-06D6899B1101}" destId="{8A6DAA18-0BCC-4AAD-9263-1C8C8DBFAF68}" srcOrd="0" destOrd="0" presId="urn:microsoft.com/office/officeart/2005/8/layout/default"/>
    <dgm:cxn modelId="{C4CCD59C-9ADB-4D95-83ED-0033133AEBBE}" type="presOf" srcId="{1D7D4830-07B6-46C1-BE2D-27556441D3EB}" destId="{9024C6CB-3FB9-4C28-BBC4-09EC1DA22CEC}" srcOrd="0" destOrd="0" presId="urn:microsoft.com/office/officeart/2005/8/layout/default"/>
    <dgm:cxn modelId="{F18A8CA0-AF27-452F-9D95-0A911E366605}" srcId="{29D7C6D0-A49E-4BCB-9BBB-32114552FEED}" destId="{9943F2D1-04F8-4559-9C38-6F6718187019}" srcOrd="26" destOrd="0" parTransId="{610041CF-9E20-4CA3-A35F-630E6B236A04}" sibTransId="{BDBE896C-0083-4BF6-92CD-086F8DB35AF2}"/>
    <dgm:cxn modelId="{CBBB21A2-59B8-41C7-BC5D-73D0316DB2D9}" srcId="{29D7C6D0-A49E-4BCB-9BBB-32114552FEED}" destId="{6C1B64F6-D257-4D9F-94FC-E7C230CBBD15}" srcOrd="7" destOrd="0" parTransId="{C957A4F2-CE3F-4E7B-BCEE-A5A96FA23FDA}" sibTransId="{2E1F4862-C1B9-443A-A63A-620FCC249FDF}"/>
    <dgm:cxn modelId="{C79552A8-5931-4B11-B991-134D7CA5DDAE}" type="presOf" srcId="{9CDA83E2-1FDA-4BBB-8528-46224B5FB677}" destId="{DD9CF49D-F215-46ED-BD4E-D97BAA4C6DB6}" srcOrd="0" destOrd="0" presId="urn:microsoft.com/office/officeart/2005/8/layout/default"/>
    <dgm:cxn modelId="{CAE9FFB7-24B3-4159-B80D-CD695E04D662}" srcId="{29D7C6D0-A49E-4BCB-9BBB-32114552FEED}" destId="{73F2770F-6B58-499E-8E98-E2CEDE7ABA36}" srcOrd="19" destOrd="0" parTransId="{48CA50D0-DD61-4418-B8CF-9293F3CBF576}" sibTransId="{3EE64703-9FAF-45EA-B2BA-1AC73E561717}"/>
    <dgm:cxn modelId="{BB3C00B8-EC30-45F7-B077-D1A8201A1C47}" type="presOf" srcId="{E2FE02BE-1DF4-45CD-A2C7-70E6707F0EDD}" destId="{921DAB9E-5551-40C1-A6E5-2D1705212803}" srcOrd="0" destOrd="0" presId="urn:microsoft.com/office/officeart/2005/8/layout/default"/>
    <dgm:cxn modelId="{BCA764B8-5D1E-466C-9D3F-950C74CF6749}" srcId="{29D7C6D0-A49E-4BCB-9BBB-32114552FEED}" destId="{4C4CB551-DFE3-4118-A1DB-0658FE6E03FE}" srcOrd="22" destOrd="0" parTransId="{B3936AB4-4D16-4798-90C8-AB252B9D9E74}" sibTransId="{8C1BB7EA-FAB6-4670-B2D3-B95BD40E95EB}"/>
    <dgm:cxn modelId="{710369BC-9A08-4798-8BD8-CF20AD3DDC30}" srcId="{29D7C6D0-A49E-4BCB-9BBB-32114552FEED}" destId="{0E8F8A67-C2BC-4046-BF6A-39630D9C63F1}" srcOrd="13" destOrd="0" parTransId="{646E8C6C-774C-44AF-9456-6BA1C1FFB5F8}" sibTransId="{493F9391-A2BD-41B3-AD76-6830E3D71DC8}"/>
    <dgm:cxn modelId="{F1AF11BD-E8EE-4C91-919F-7E4C0C7C09D2}" type="presOf" srcId="{0E8F8A67-C2BC-4046-BF6A-39630D9C63F1}" destId="{7F46E994-159D-4E66-BD9D-8CE760171E2E}" srcOrd="0" destOrd="0" presId="urn:microsoft.com/office/officeart/2005/8/layout/default"/>
    <dgm:cxn modelId="{3C68AABE-B9F5-435A-8E66-B67C4370DA81}" type="presOf" srcId="{45CA99F0-5674-4D9E-9190-03B485D3F1DB}" destId="{55DE08B3-8E0E-461A-A8C8-955AB87FFBCD}" srcOrd="0" destOrd="0" presId="urn:microsoft.com/office/officeart/2005/8/layout/default"/>
    <dgm:cxn modelId="{17AA82C9-7099-4C4A-AC6D-9334581A4E48}" srcId="{29D7C6D0-A49E-4BCB-9BBB-32114552FEED}" destId="{C56EAA54-C22E-4885-B629-945EBEB7701B}" srcOrd="25" destOrd="0" parTransId="{77AFCA4F-D29F-41B9-B2DB-70CC0FB2FABA}" sibTransId="{8743230C-ECFA-4687-AC28-9F9C01094ECE}"/>
    <dgm:cxn modelId="{B1C993D3-7AE5-4B86-B079-5944FB4BB292}" type="presOf" srcId="{E5937ADA-EB95-4A0C-8442-7E67BD4109ED}" destId="{B9885551-BDCB-4317-85A8-4E251942E24D}" srcOrd="0" destOrd="0" presId="urn:microsoft.com/office/officeart/2005/8/layout/default"/>
    <dgm:cxn modelId="{EE3EBBD5-5C5D-40E0-BEBB-A564E145E5B8}" type="presOf" srcId="{73F2770F-6B58-499E-8E98-E2CEDE7ABA36}" destId="{C26712B4-8095-4FCC-955E-18B6FC3725CC}" srcOrd="0" destOrd="0" presId="urn:microsoft.com/office/officeart/2005/8/layout/default"/>
    <dgm:cxn modelId="{6B497CD7-B8B2-4AFE-9CAC-FC61589B1E63}" srcId="{29D7C6D0-A49E-4BCB-9BBB-32114552FEED}" destId="{73DF4295-6E9D-43EB-A9F6-09BB5DCD941C}" srcOrd="4" destOrd="0" parTransId="{A6580D3D-36BA-4B4F-8D5A-51FD578C2A5F}" sibTransId="{7DEF6CDC-5489-4A15-B334-5A217B184E9C}"/>
    <dgm:cxn modelId="{27063DDB-F4B8-4F27-8447-A57E202936DD}" srcId="{29D7C6D0-A49E-4BCB-9BBB-32114552FEED}" destId="{F8E5AB46-5C85-4800-8185-DA3A2DAE4453}" srcOrd="27" destOrd="0" parTransId="{E44F1B8C-9693-4F93-BC8C-1D8DD69ADC13}" sibTransId="{39603F50-7EE6-4282-9742-6C982CDE492D}"/>
    <dgm:cxn modelId="{B2F390DC-8610-4F12-823C-6AA7A1793537}" type="presOf" srcId="{F8E5AB46-5C85-4800-8185-DA3A2DAE4453}" destId="{E84C3B01-64BB-4344-BDA8-48BD452C2C75}" srcOrd="0" destOrd="0" presId="urn:microsoft.com/office/officeart/2005/8/layout/default"/>
    <dgm:cxn modelId="{F2ADE0E0-2061-4643-957F-F65ACEE1D910}" type="presOf" srcId="{2A023437-5408-41C4-966D-FFF065C91C04}" destId="{067A955C-8D19-46DF-B438-FA05E4F378B5}" srcOrd="0" destOrd="0" presId="urn:microsoft.com/office/officeart/2005/8/layout/default"/>
    <dgm:cxn modelId="{84813DEA-3020-486F-AB4C-A57E53221075}" srcId="{29D7C6D0-A49E-4BCB-9BBB-32114552FEED}" destId="{45CA99F0-5674-4D9E-9190-03B485D3F1DB}" srcOrd="15" destOrd="0" parTransId="{94D30ECB-20A2-4A4E-8E29-086D1346A1F0}" sibTransId="{4B43705D-91E6-41DA-A722-CF10C6EB9ED4}"/>
    <dgm:cxn modelId="{EB9180EC-BBD1-4FD8-9372-6347F85C26C5}" srcId="{29D7C6D0-A49E-4BCB-9BBB-32114552FEED}" destId="{17A05CC4-3A7B-4722-8E28-F2145D1BD7CE}" srcOrd="5" destOrd="0" parTransId="{887853A3-2FDB-4BEF-9D68-7593F09ACFB1}" sibTransId="{6546E8E2-E2BF-493F-9297-68B031CD089B}"/>
    <dgm:cxn modelId="{F90A3FED-D009-4303-AF70-1740328ACE5D}" type="presOf" srcId="{284D69A7-CDA4-4F3C-A704-4949FAB875E6}" destId="{3D45C924-52FF-4E45-9973-1F0F5184F3C5}" srcOrd="0" destOrd="0" presId="urn:microsoft.com/office/officeart/2005/8/layout/default"/>
    <dgm:cxn modelId="{FB0E73FD-BF02-42CD-9F57-DD470272846A}" srcId="{29D7C6D0-A49E-4BCB-9BBB-32114552FEED}" destId="{5A8E316D-D3B7-4060-882A-72FF09B22C8D}" srcOrd="3" destOrd="0" parTransId="{99079347-D849-45BF-8088-927E92C30B93}" sibTransId="{C990D3B8-E030-4DC3-8A65-AB4C3BDCEE2F}"/>
    <dgm:cxn modelId="{F33D2BB1-155F-4D86-8946-8CDF1572785E}" type="presParOf" srcId="{F20B3CA7-4EBD-4537-8298-391FBC2B3215}" destId="{DD9CF49D-F215-46ED-BD4E-D97BAA4C6DB6}" srcOrd="0" destOrd="0" presId="urn:microsoft.com/office/officeart/2005/8/layout/default"/>
    <dgm:cxn modelId="{122BB311-BABE-473F-B728-F41393ECA4C2}" type="presParOf" srcId="{F20B3CA7-4EBD-4537-8298-391FBC2B3215}" destId="{21ED979C-A8D9-43DD-9140-7407A66984A0}" srcOrd="1" destOrd="0" presId="urn:microsoft.com/office/officeart/2005/8/layout/default"/>
    <dgm:cxn modelId="{EA7C235C-245F-4310-B58B-4D439084B085}" type="presParOf" srcId="{F20B3CA7-4EBD-4537-8298-391FBC2B3215}" destId="{651E86AC-558B-476D-B7FB-00A9DB7EF75B}" srcOrd="2" destOrd="0" presId="urn:microsoft.com/office/officeart/2005/8/layout/default"/>
    <dgm:cxn modelId="{966105D3-7083-4411-B0FD-0A3B3B44AD85}" type="presParOf" srcId="{F20B3CA7-4EBD-4537-8298-391FBC2B3215}" destId="{7B3D53F1-4088-4549-82B5-92FA524A5AA7}" srcOrd="3" destOrd="0" presId="urn:microsoft.com/office/officeart/2005/8/layout/default"/>
    <dgm:cxn modelId="{4B2C91D6-910F-4451-AF4D-4A9A5DE2E4E0}" type="presParOf" srcId="{F20B3CA7-4EBD-4537-8298-391FBC2B3215}" destId="{41979AAD-AB30-4E55-8098-90AAB825259A}" srcOrd="4" destOrd="0" presId="urn:microsoft.com/office/officeart/2005/8/layout/default"/>
    <dgm:cxn modelId="{06D380BE-58B0-48BA-9B7F-6043D67271D0}" type="presParOf" srcId="{F20B3CA7-4EBD-4537-8298-391FBC2B3215}" destId="{8DFD64B5-8F83-4866-9A20-C9EAD12CD3FC}" srcOrd="5" destOrd="0" presId="urn:microsoft.com/office/officeart/2005/8/layout/default"/>
    <dgm:cxn modelId="{AE47797B-DAD4-4E9C-8443-C2B098261ADE}" type="presParOf" srcId="{F20B3CA7-4EBD-4537-8298-391FBC2B3215}" destId="{8477D550-DAD1-4A1C-8A6C-99A636F0EF8C}" srcOrd="6" destOrd="0" presId="urn:microsoft.com/office/officeart/2005/8/layout/default"/>
    <dgm:cxn modelId="{A5ADC473-4EFF-4885-B60D-A14651DE5E59}" type="presParOf" srcId="{F20B3CA7-4EBD-4537-8298-391FBC2B3215}" destId="{35FCDE73-0986-43A1-90DE-068BCEDA362D}" srcOrd="7" destOrd="0" presId="urn:microsoft.com/office/officeart/2005/8/layout/default"/>
    <dgm:cxn modelId="{C448E731-9B2C-4956-94D2-4E4078EED4FD}" type="presParOf" srcId="{F20B3CA7-4EBD-4537-8298-391FBC2B3215}" destId="{B9FE2EAC-0ADE-48F8-9B26-EB3134668DAD}" srcOrd="8" destOrd="0" presId="urn:microsoft.com/office/officeart/2005/8/layout/default"/>
    <dgm:cxn modelId="{38D0E90E-415B-42FE-B669-0C5CCC907E95}" type="presParOf" srcId="{F20B3CA7-4EBD-4537-8298-391FBC2B3215}" destId="{37D77235-22C5-4739-B2F0-5B952F983CB5}" srcOrd="9" destOrd="0" presId="urn:microsoft.com/office/officeart/2005/8/layout/default"/>
    <dgm:cxn modelId="{D6DE6C49-800F-4C65-861D-B227BC3D083B}" type="presParOf" srcId="{F20B3CA7-4EBD-4537-8298-391FBC2B3215}" destId="{73224CA7-5964-4610-A43E-8E254AC83BFB}" srcOrd="10" destOrd="0" presId="urn:microsoft.com/office/officeart/2005/8/layout/default"/>
    <dgm:cxn modelId="{A8E92726-98CB-4CDE-AAF7-505ED639D5B6}" type="presParOf" srcId="{F20B3CA7-4EBD-4537-8298-391FBC2B3215}" destId="{E74072BA-CE8F-49A5-B4B2-0E77B35E317C}" srcOrd="11" destOrd="0" presId="urn:microsoft.com/office/officeart/2005/8/layout/default"/>
    <dgm:cxn modelId="{442BC274-2AF4-4959-884D-145A2B829C14}" type="presParOf" srcId="{F20B3CA7-4EBD-4537-8298-391FBC2B3215}" destId="{C488466A-DBB3-459F-A3BF-720E154F9F35}" srcOrd="12" destOrd="0" presId="urn:microsoft.com/office/officeart/2005/8/layout/default"/>
    <dgm:cxn modelId="{F20FFE54-8937-4B31-9B7C-6BAF52386D50}" type="presParOf" srcId="{F20B3CA7-4EBD-4537-8298-391FBC2B3215}" destId="{F6C2D9DE-518B-4C31-A4B7-F30E3725F15B}" srcOrd="13" destOrd="0" presId="urn:microsoft.com/office/officeart/2005/8/layout/default"/>
    <dgm:cxn modelId="{D4A42D5B-92C2-411A-9076-750C1B7CDCBA}" type="presParOf" srcId="{F20B3CA7-4EBD-4537-8298-391FBC2B3215}" destId="{E18F7B2E-E907-4ABA-968C-7D50FF97F5FB}" srcOrd="14" destOrd="0" presId="urn:microsoft.com/office/officeart/2005/8/layout/default"/>
    <dgm:cxn modelId="{7FDF5645-4DA2-4801-9C1D-1BC463A72830}" type="presParOf" srcId="{F20B3CA7-4EBD-4537-8298-391FBC2B3215}" destId="{5E588654-7983-4CCE-8CCA-E26FA750E690}" srcOrd="15" destOrd="0" presId="urn:microsoft.com/office/officeart/2005/8/layout/default"/>
    <dgm:cxn modelId="{0A7024B2-0F0E-4164-A5E9-E8DED7807EDE}" type="presParOf" srcId="{F20B3CA7-4EBD-4537-8298-391FBC2B3215}" destId="{A78B879B-9AAE-4D20-9D2C-34DE49E75B48}" srcOrd="16" destOrd="0" presId="urn:microsoft.com/office/officeart/2005/8/layout/default"/>
    <dgm:cxn modelId="{FD24720B-466A-4BF1-8323-E7E0BE05FD99}" type="presParOf" srcId="{F20B3CA7-4EBD-4537-8298-391FBC2B3215}" destId="{1EF8E830-7073-49B5-AF60-87AAC56C285E}" srcOrd="17" destOrd="0" presId="urn:microsoft.com/office/officeart/2005/8/layout/default"/>
    <dgm:cxn modelId="{036F0CE5-C17A-4A1B-BE1F-3114415410F2}" type="presParOf" srcId="{F20B3CA7-4EBD-4537-8298-391FBC2B3215}" destId="{5ED8724D-7EF1-444E-B8EA-8032B0708C0B}" srcOrd="18" destOrd="0" presId="urn:microsoft.com/office/officeart/2005/8/layout/default"/>
    <dgm:cxn modelId="{18A10EB6-09C7-4E62-81C2-3F0FA4BBA3C2}" type="presParOf" srcId="{F20B3CA7-4EBD-4537-8298-391FBC2B3215}" destId="{3A84EBB7-156F-47F7-9A5A-FCD2B6810F51}" srcOrd="19" destOrd="0" presId="urn:microsoft.com/office/officeart/2005/8/layout/default"/>
    <dgm:cxn modelId="{EC1F6BF7-1B70-4738-B8FC-8D3B5D4834EE}" type="presParOf" srcId="{F20B3CA7-4EBD-4537-8298-391FBC2B3215}" destId="{B9885551-BDCB-4317-85A8-4E251942E24D}" srcOrd="20" destOrd="0" presId="urn:microsoft.com/office/officeart/2005/8/layout/default"/>
    <dgm:cxn modelId="{677C9DC0-E703-497F-A86A-22F3A3BCDEA8}" type="presParOf" srcId="{F20B3CA7-4EBD-4537-8298-391FBC2B3215}" destId="{08B93F3F-C1CE-496E-A69F-4F36C622F281}" srcOrd="21" destOrd="0" presId="urn:microsoft.com/office/officeart/2005/8/layout/default"/>
    <dgm:cxn modelId="{73412CA9-5DD3-4B11-8698-F03AF1489094}" type="presParOf" srcId="{F20B3CA7-4EBD-4537-8298-391FBC2B3215}" destId="{9024C6CB-3FB9-4C28-BBC4-09EC1DA22CEC}" srcOrd="22" destOrd="0" presId="urn:microsoft.com/office/officeart/2005/8/layout/default"/>
    <dgm:cxn modelId="{EF70FB34-D03E-455A-8966-442E5D90F2C8}" type="presParOf" srcId="{F20B3CA7-4EBD-4537-8298-391FBC2B3215}" destId="{163878AC-E541-4403-AE77-C3D92D774DAB}" srcOrd="23" destOrd="0" presId="urn:microsoft.com/office/officeart/2005/8/layout/default"/>
    <dgm:cxn modelId="{692BD0E2-8991-48CA-9A5C-61F3F865A2D4}" type="presParOf" srcId="{F20B3CA7-4EBD-4537-8298-391FBC2B3215}" destId="{067A955C-8D19-46DF-B438-FA05E4F378B5}" srcOrd="24" destOrd="0" presId="urn:microsoft.com/office/officeart/2005/8/layout/default"/>
    <dgm:cxn modelId="{5F7753F3-CE12-41CF-9C14-CE808C6AF116}" type="presParOf" srcId="{F20B3CA7-4EBD-4537-8298-391FBC2B3215}" destId="{8E95CB0D-AE1C-45F7-B7B1-D821D829803A}" srcOrd="25" destOrd="0" presId="urn:microsoft.com/office/officeart/2005/8/layout/default"/>
    <dgm:cxn modelId="{D64AD4B4-9929-4FFF-B335-148D5771A316}" type="presParOf" srcId="{F20B3CA7-4EBD-4537-8298-391FBC2B3215}" destId="{7F46E994-159D-4E66-BD9D-8CE760171E2E}" srcOrd="26" destOrd="0" presId="urn:microsoft.com/office/officeart/2005/8/layout/default"/>
    <dgm:cxn modelId="{AEB2D7B6-C94A-44E1-8BDA-3326CE4AF7A2}" type="presParOf" srcId="{F20B3CA7-4EBD-4537-8298-391FBC2B3215}" destId="{E6D197AD-46B7-463F-B82A-C1821CC82C60}" srcOrd="27" destOrd="0" presId="urn:microsoft.com/office/officeart/2005/8/layout/default"/>
    <dgm:cxn modelId="{CFF28A71-3A15-479B-B843-AC08BE057686}" type="presParOf" srcId="{F20B3CA7-4EBD-4537-8298-391FBC2B3215}" destId="{BED52146-E3E3-48FB-AD49-FBCE349D1885}" srcOrd="28" destOrd="0" presId="urn:microsoft.com/office/officeart/2005/8/layout/default"/>
    <dgm:cxn modelId="{EB086433-2147-442A-A83C-27CB8B8EC219}" type="presParOf" srcId="{F20B3CA7-4EBD-4537-8298-391FBC2B3215}" destId="{46845D1F-13D0-4864-9DD7-8814C8786F48}" srcOrd="29" destOrd="0" presId="urn:microsoft.com/office/officeart/2005/8/layout/default"/>
    <dgm:cxn modelId="{5FA472B1-AFD7-4C00-9A66-0206A28FED18}" type="presParOf" srcId="{F20B3CA7-4EBD-4537-8298-391FBC2B3215}" destId="{55DE08B3-8E0E-461A-A8C8-955AB87FFBCD}" srcOrd="30" destOrd="0" presId="urn:microsoft.com/office/officeart/2005/8/layout/default"/>
    <dgm:cxn modelId="{DD0232D0-59E8-4057-86A3-98B7A877EA72}" type="presParOf" srcId="{F20B3CA7-4EBD-4537-8298-391FBC2B3215}" destId="{35698871-1BF4-443A-8810-3C48E3296E02}" srcOrd="31" destOrd="0" presId="urn:microsoft.com/office/officeart/2005/8/layout/default"/>
    <dgm:cxn modelId="{58F0F7AC-446D-4D5A-809A-CF6EA74C18E4}" type="presParOf" srcId="{F20B3CA7-4EBD-4537-8298-391FBC2B3215}" destId="{8A6DAA18-0BCC-4AAD-9263-1C8C8DBFAF68}" srcOrd="32" destOrd="0" presId="urn:microsoft.com/office/officeart/2005/8/layout/default"/>
    <dgm:cxn modelId="{D020B8FF-C813-418E-BA46-8A264AF40B36}" type="presParOf" srcId="{F20B3CA7-4EBD-4537-8298-391FBC2B3215}" destId="{EE0F58AC-E3EF-4F36-A746-9062B7523033}" srcOrd="33" destOrd="0" presId="urn:microsoft.com/office/officeart/2005/8/layout/default"/>
    <dgm:cxn modelId="{08E95AAF-9F16-4275-AF8C-B806A28C7550}" type="presParOf" srcId="{F20B3CA7-4EBD-4537-8298-391FBC2B3215}" destId="{921DAB9E-5551-40C1-A6E5-2D1705212803}" srcOrd="34" destOrd="0" presId="urn:microsoft.com/office/officeart/2005/8/layout/default"/>
    <dgm:cxn modelId="{3B0087E2-0EDE-4738-8D55-866A14EC1F0E}" type="presParOf" srcId="{F20B3CA7-4EBD-4537-8298-391FBC2B3215}" destId="{7BEA0009-05F8-45FE-A6B5-155FD4974305}" srcOrd="35" destOrd="0" presId="urn:microsoft.com/office/officeart/2005/8/layout/default"/>
    <dgm:cxn modelId="{D95BBDB6-40C0-4323-852E-0090F698AB94}" type="presParOf" srcId="{F20B3CA7-4EBD-4537-8298-391FBC2B3215}" destId="{3D45C924-52FF-4E45-9973-1F0F5184F3C5}" srcOrd="36" destOrd="0" presId="urn:microsoft.com/office/officeart/2005/8/layout/default"/>
    <dgm:cxn modelId="{2F48DC3B-78A7-4923-B870-FB2B29664409}" type="presParOf" srcId="{F20B3CA7-4EBD-4537-8298-391FBC2B3215}" destId="{54A5F872-9113-48F6-8347-D2D82D4D9EE3}" srcOrd="37" destOrd="0" presId="urn:microsoft.com/office/officeart/2005/8/layout/default"/>
    <dgm:cxn modelId="{9C10A87B-EA86-4BAD-B7C1-051A88C40CAB}" type="presParOf" srcId="{F20B3CA7-4EBD-4537-8298-391FBC2B3215}" destId="{C26712B4-8095-4FCC-955E-18B6FC3725CC}" srcOrd="38" destOrd="0" presId="urn:microsoft.com/office/officeart/2005/8/layout/default"/>
    <dgm:cxn modelId="{4D1BC89F-3919-4757-937E-B81559786C27}" type="presParOf" srcId="{F20B3CA7-4EBD-4537-8298-391FBC2B3215}" destId="{EE876117-815F-4AEB-AD99-A7CF418AE611}" srcOrd="39" destOrd="0" presId="urn:microsoft.com/office/officeart/2005/8/layout/default"/>
    <dgm:cxn modelId="{B6307524-75EF-4D78-89E9-0A8D7DFB84C7}" type="presParOf" srcId="{F20B3CA7-4EBD-4537-8298-391FBC2B3215}" destId="{8B6246C6-6976-4E5A-B411-1E752E9B2A1C}" srcOrd="40" destOrd="0" presId="urn:microsoft.com/office/officeart/2005/8/layout/default"/>
    <dgm:cxn modelId="{3A973DE5-7F55-4577-A846-156C313D5957}" type="presParOf" srcId="{F20B3CA7-4EBD-4537-8298-391FBC2B3215}" destId="{C9405059-B32F-4657-8ADC-E6AF522DD0C2}" srcOrd="41" destOrd="0" presId="urn:microsoft.com/office/officeart/2005/8/layout/default"/>
    <dgm:cxn modelId="{25D20AB8-33B8-43AD-AA55-C04DA356302E}" type="presParOf" srcId="{F20B3CA7-4EBD-4537-8298-391FBC2B3215}" destId="{2DC6685B-179C-4215-95E0-1E656738ACA8}" srcOrd="42" destOrd="0" presId="urn:microsoft.com/office/officeart/2005/8/layout/default"/>
    <dgm:cxn modelId="{4AF18E04-A18C-40B7-9AC4-269C4C638647}" type="presParOf" srcId="{F20B3CA7-4EBD-4537-8298-391FBC2B3215}" destId="{0A2D6EE3-6F7B-499C-92E3-AC49CACCF3E2}" srcOrd="43" destOrd="0" presId="urn:microsoft.com/office/officeart/2005/8/layout/default"/>
    <dgm:cxn modelId="{42811893-8B2D-48F4-B3C3-85DAD318DE62}" type="presParOf" srcId="{F20B3CA7-4EBD-4537-8298-391FBC2B3215}" destId="{9879921F-DE71-4C00-94F8-99AE9209FD95}" srcOrd="44" destOrd="0" presId="urn:microsoft.com/office/officeart/2005/8/layout/default"/>
    <dgm:cxn modelId="{A13E83AB-7146-4610-BDB7-F58135DDC38D}" type="presParOf" srcId="{F20B3CA7-4EBD-4537-8298-391FBC2B3215}" destId="{9E9AA68B-B5AD-4969-A29C-79442B07E608}" srcOrd="45" destOrd="0" presId="urn:microsoft.com/office/officeart/2005/8/layout/default"/>
    <dgm:cxn modelId="{04E4FEED-8477-44EC-AFC0-595A1B9B6A8B}" type="presParOf" srcId="{F20B3CA7-4EBD-4537-8298-391FBC2B3215}" destId="{26A56A15-19E7-403F-9865-036D89F37504}" srcOrd="46" destOrd="0" presId="urn:microsoft.com/office/officeart/2005/8/layout/default"/>
    <dgm:cxn modelId="{F0FA507A-79F0-4929-AB24-392D232A56D6}" type="presParOf" srcId="{F20B3CA7-4EBD-4537-8298-391FBC2B3215}" destId="{9D710ADD-1DB3-48EB-AB04-13BDB39C8B1F}" srcOrd="47" destOrd="0" presId="urn:microsoft.com/office/officeart/2005/8/layout/default"/>
    <dgm:cxn modelId="{B408DB93-22ED-4A82-AD8E-EBCE080C61F2}" type="presParOf" srcId="{F20B3CA7-4EBD-4537-8298-391FBC2B3215}" destId="{03BDB504-CD80-4538-8CD2-119C72E2C1DE}" srcOrd="48" destOrd="0" presId="urn:microsoft.com/office/officeart/2005/8/layout/default"/>
    <dgm:cxn modelId="{621BA210-7AAA-4FB6-96A2-0EB3FE782559}" type="presParOf" srcId="{F20B3CA7-4EBD-4537-8298-391FBC2B3215}" destId="{F2C03BC2-FFC7-46D9-9A20-7FA9DBA0B816}" srcOrd="49" destOrd="0" presId="urn:microsoft.com/office/officeart/2005/8/layout/default"/>
    <dgm:cxn modelId="{D831DF63-25B2-47BD-B5D5-254DBA4E2E34}" type="presParOf" srcId="{F20B3CA7-4EBD-4537-8298-391FBC2B3215}" destId="{E96BF947-82B6-464A-B9C6-7B0A53F4AE59}" srcOrd="50" destOrd="0" presId="urn:microsoft.com/office/officeart/2005/8/layout/default"/>
    <dgm:cxn modelId="{8F7DFE5D-FADD-4F35-AF7B-02BD61E1D601}" type="presParOf" srcId="{F20B3CA7-4EBD-4537-8298-391FBC2B3215}" destId="{3EF3F68A-A4BE-4C49-820D-F7B9410D1019}" srcOrd="51" destOrd="0" presId="urn:microsoft.com/office/officeart/2005/8/layout/default"/>
    <dgm:cxn modelId="{3034E5E2-338F-4EAD-990F-784AE148F223}" type="presParOf" srcId="{F20B3CA7-4EBD-4537-8298-391FBC2B3215}" destId="{B3766A6D-2A10-4ED9-A3DD-3DC6C7D24FF4}" srcOrd="52" destOrd="0" presId="urn:microsoft.com/office/officeart/2005/8/layout/default"/>
    <dgm:cxn modelId="{C1FC5A6E-0A04-4AEB-AF68-B46A49481DF4}" type="presParOf" srcId="{F20B3CA7-4EBD-4537-8298-391FBC2B3215}" destId="{94DB2887-318B-4743-9703-39F6B20AD133}" srcOrd="53" destOrd="0" presId="urn:microsoft.com/office/officeart/2005/8/layout/default"/>
    <dgm:cxn modelId="{8A8C8790-8F5A-4DCA-9A6D-5BE430873229}" type="presParOf" srcId="{F20B3CA7-4EBD-4537-8298-391FBC2B3215}" destId="{E84C3B01-64BB-4344-BDA8-48BD452C2C75}" srcOrd="54" destOrd="0" presId="urn:microsoft.com/office/officeart/2005/8/layout/default"/>
  </dgm:cxnLst>
  <dgm:bg/>
  <dgm:whole/>
  <dgm:extLst>
    <a:ext uri="http://schemas.microsoft.com/office/drawing/2008/diagram">
      <dsp:dataModelExt xmlns:dsp="http://schemas.microsoft.com/office/drawing/2008/diagram" relId="rId306"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EAD3A8DC-A0C6-4978-869F-BE42D1514BD5}" type="doc">
      <dgm:prSet loTypeId="urn:microsoft.com/office/officeart/2005/8/layout/default" loCatId="list" qsTypeId="urn:microsoft.com/office/officeart/2005/8/quickstyle/simple1" qsCatId="simple" csTypeId="urn:microsoft.com/office/officeart/2005/8/colors/colorful2" csCatId="colorful" phldr="1"/>
      <dgm:spPr/>
      <dgm:t>
        <a:bodyPr/>
        <a:lstStyle/>
        <a:p>
          <a:endParaRPr lang="en-US"/>
        </a:p>
      </dgm:t>
    </dgm:pt>
    <dgm:pt modelId="{FBC19385-AD88-4FF7-9D68-7A87081BB4B0}">
      <dgm:prSet phldrT="[Text]" custT="1"/>
      <dgm:spPr/>
      <dgm:t>
        <a:bodyPr/>
        <a:lstStyle/>
        <a:p>
          <a:pPr algn="ctr"/>
          <a:r>
            <a:rPr lang="ro-RO" sz="1000" b="1"/>
            <a:t>Creșterea flexibilității</a:t>
          </a:r>
          <a:endParaRPr lang="en-US" sz="1000" b="1"/>
        </a:p>
      </dgm:t>
    </dgm:pt>
    <dgm:pt modelId="{F5D2FD1B-1C99-49AA-8B46-B486D2457EAF}" type="parTrans" cxnId="{C940CD91-79CF-458F-BEBD-41BF1AE33AE5}">
      <dgm:prSet/>
      <dgm:spPr/>
      <dgm:t>
        <a:bodyPr/>
        <a:lstStyle/>
        <a:p>
          <a:pPr algn="ctr"/>
          <a:endParaRPr lang="en-US" sz="1000" b="1"/>
        </a:p>
      </dgm:t>
    </dgm:pt>
    <dgm:pt modelId="{C35765C3-B422-4C01-8928-7E27B310FF20}" type="sibTrans" cxnId="{C940CD91-79CF-458F-BEBD-41BF1AE33AE5}">
      <dgm:prSet/>
      <dgm:spPr/>
      <dgm:t>
        <a:bodyPr/>
        <a:lstStyle/>
        <a:p>
          <a:pPr algn="ctr"/>
          <a:endParaRPr lang="en-US" sz="1000" b="1"/>
        </a:p>
      </dgm:t>
    </dgm:pt>
    <dgm:pt modelId="{0934B139-18C1-450C-A0FF-5AAE7E55EE2D}">
      <dgm:prSet phldrT="[Text]" custT="1"/>
      <dgm:spPr/>
      <dgm:t>
        <a:bodyPr/>
        <a:lstStyle/>
        <a:p>
          <a:pPr algn="ctr"/>
          <a:r>
            <a:rPr lang="ro-RO" sz="1000" b="1"/>
            <a:t>Aprofundarea comunicării</a:t>
          </a:r>
          <a:endParaRPr lang="en-US" sz="1000" b="1"/>
        </a:p>
      </dgm:t>
    </dgm:pt>
    <dgm:pt modelId="{6642CB9A-8602-41DF-85CA-CB095DF9D508}" type="parTrans" cxnId="{59C1D65E-CAB0-49FE-925A-16432D5C1C53}">
      <dgm:prSet/>
      <dgm:spPr/>
      <dgm:t>
        <a:bodyPr/>
        <a:lstStyle/>
        <a:p>
          <a:pPr algn="ctr"/>
          <a:endParaRPr lang="en-US" b="1"/>
        </a:p>
      </dgm:t>
    </dgm:pt>
    <dgm:pt modelId="{5D441CAA-3255-4835-BB98-346C7877C651}" type="sibTrans" cxnId="{59C1D65E-CAB0-49FE-925A-16432D5C1C53}">
      <dgm:prSet/>
      <dgm:spPr/>
      <dgm:t>
        <a:bodyPr/>
        <a:lstStyle/>
        <a:p>
          <a:pPr algn="ctr"/>
          <a:endParaRPr lang="en-US" b="1"/>
        </a:p>
      </dgm:t>
    </dgm:pt>
    <dgm:pt modelId="{077CBF3D-ACCA-4683-AEC6-51CF30828F9F}">
      <dgm:prSet phldrT="[Text]" custT="1"/>
      <dgm:spPr/>
      <dgm:t>
        <a:bodyPr/>
        <a:lstStyle/>
        <a:p>
          <a:pPr algn="ctr"/>
          <a:r>
            <a:rPr lang="ro-RO" sz="1000" b="1"/>
            <a:t>Digitalizarea proceselor</a:t>
          </a:r>
          <a:endParaRPr lang="en-US" sz="1000" b="1"/>
        </a:p>
      </dgm:t>
    </dgm:pt>
    <dgm:pt modelId="{460A330F-A7D4-497B-857B-A3574C2F01A3}" type="parTrans" cxnId="{A5147F66-64F1-4726-8273-5243C9F7EF61}">
      <dgm:prSet/>
      <dgm:spPr/>
      <dgm:t>
        <a:bodyPr/>
        <a:lstStyle/>
        <a:p>
          <a:pPr algn="ctr"/>
          <a:endParaRPr lang="en-US" b="1"/>
        </a:p>
      </dgm:t>
    </dgm:pt>
    <dgm:pt modelId="{70B989E0-19AA-4747-95A6-6A2512D1B88C}" type="sibTrans" cxnId="{A5147F66-64F1-4726-8273-5243C9F7EF61}">
      <dgm:prSet/>
      <dgm:spPr/>
      <dgm:t>
        <a:bodyPr/>
        <a:lstStyle/>
        <a:p>
          <a:pPr algn="ctr"/>
          <a:endParaRPr lang="en-US" b="1"/>
        </a:p>
      </dgm:t>
    </dgm:pt>
    <dgm:pt modelId="{EE3604FA-603D-4C67-A420-699CF7B8F79B}">
      <dgm:prSet phldrT="[Text]" custT="1"/>
      <dgm:spPr/>
      <dgm:t>
        <a:bodyPr/>
        <a:lstStyle/>
        <a:p>
          <a:pPr algn="ctr"/>
          <a:r>
            <a:rPr lang="ro-RO" sz="1000" b="1"/>
            <a:t>Reducerea termenelor de răspuns</a:t>
          </a:r>
          <a:endParaRPr lang="en-US" sz="1000" b="1"/>
        </a:p>
      </dgm:t>
    </dgm:pt>
    <dgm:pt modelId="{DCCD0EAB-8D14-4D40-A757-6B472B30C649}" type="parTrans" cxnId="{FD10EA00-DB8B-4F9E-9AD8-A626984A4C88}">
      <dgm:prSet/>
      <dgm:spPr/>
      <dgm:t>
        <a:bodyPr/>
        <a:lstStyle/>
        <a:p>
          <a:pPr algn="ctr"/>
          <a:endParaRPr lang="en-US" b="1"/>
        </a:p>
      </dgm:t>
    </dgm:pt>
    <dgm:pt modelId="{D085972A-FF36-4FF1-BF0B-BABE0EEC2102}" type="sibTrans" cxnId="{FD10EA00-DB8B-4F9E-9AD8-A626984A4C88}">
      <dgm:prSet/>
      <dgm:spPr/>
      <dgm:t>
        <a:bodyPr/>
        <a:lstStyle/>
        <a:p>
          <a:pPr algn="ctr"/>
          <a:endParaRPr lang="en-US" b="1"/>
        </a:p>
      </dgm:t>
    </dgm:pt>
    <dgm:pt modelId="{793652BF-0C66-4014-9FD6-97F348BA8DB9}">
      <dgm:prSet phldrT="[Text]" custT="1"/>
      <dgm:spPr/>
      <dgm:t>
        <a:bodyPr/>
        <a:lstStyle/>
        <a:p>
          <a:pPr algn="ctr"/>
          <a:r>
            <a:rPr lang="ro-RO" sz="1000" b="1"/>
            <a:t>Sprijin în emiterea autorizațiilor și avizelor</a:t>
          </a:r>
          <a:endParaRPr lang="en-US" sz="1000" b="1"/>
        </a:p>
      </dgm:t>
    </dgm:pt>
    <dgm:pt modelId="{7FDB5FC8-3453-4FD8-904F-ADD707A4910E}" type="parTrans" cxnId="{F5657B19-5371-4A7C-9BCC-5B03D9E17ECE}">
      <dgm:prSet/>
      <dgm:spPr/>
      <dgm:t>
        <a:bodyPr/>
        <a:lstStyle/>
        <a:p>
          <a:pPr algn="ctr"/>
          <a:endParaRPr lang="en-US" b="1"/>
        </a:p>
      </dgm:t>
    </dgm:pt>
    <dgm:pt modelId="{10CD38F5-AAAF-4588-A908-F31702AD44D9}" type="sibTrans" cxnId="{F5657B19-5371-4A7C-9BCC-5B03D9E17ECE}">
      <dgm:prSet/>
      <dgm:spPr/>
      <dgm:t>
        <a:bodyPr/>
        <a:lstStyle/>
        <a:p>
          <a:pPr algn="ctr"/>
          <a:endParaRPr lang="en-US" b="1"/>
        </a:p>
      </dgm:t>
    </dgm:pt>
    <dgm:pt modelId="{A10D75C8-2AE5-4B3D-85FD-2FDBF760C8B8}">
      <dgm:prSet phldrT="[Text]" custT="1"/>
      <dgm:spPr/>
      <dgm:t>
        <a:bodyPr/>
        <a:lstStyle/>
        <a:p>
          <a:pPr algn="ctr"/>
          <a:r>
            <a:rPr lang="ro-RO" sz="1000" b="1"/>
            <a:t>Implicarea mediului de afaceri în proiecte de dezvoltare și digitalizare</a:t>
          </a:r>
          <a:endParaRPr lang="en-US" sz="1000" b="1"/>
        </a:p>
      </dgm:t>
    </dgm:pt>
    <dgm:pt modelId="{EA1DAAE2-221D-40D2-97AA-AC3E8FBE6A42}" type="parTrans" cxnId="{82ACBCA6-9D75-4806-A648-C498253F7280}">
      <dgm:prSet/>
      <dgm:spPr/>
      <dgm:t>
        <a:bodyPr/>
        <a:lstStyle/>
        <a:p>
          <a:pPr algn="ctr"/>
          <a:endParaRPr lang="en-US" b="1"/>
        </a:p>
      </dgm:t>
    </dgm:pt>
    <dgm:pt modelId="{A992D2F4-58BF-4E21-9900-782237824650}" type="sibTrans" cxnId="{82ACBCA6-9D75-4806-A648-C498253F7280}">
      <dgm:prSet/>
      <dgm:spPr/>
      <dgm:t>
        <a:bodyPr/>
        <a:lstStyle/>
        <a:p>
          <a:pPr algn="ctr"/>
          <a:endParaRPr lang="en-US" b="1"/>
        </a:p>
      </dgm:t>
    </dgm:pt>
    <dgm:pt modelId="{4E24B132-B639-4E6A-8C1F-BDCFC9584776}">
      <dgm:prSet phldrT="[Text]" custT="1"/>
      <dgm:spPr/>
      <dgm:t>
        <a:bodyPr/>
        <a:lstStyle/>
        <a:p>
          <a:pPr algn="ctr"/>
          <a:r>
            <a:rPr lang="ro-RO" sz="1000" b="1"/>
            <a:t>Facilități fiscale</a:t>
          </a:r>
          <a:endParaRPr lang="en-US" sz="1000" b="1"/>
        </a:p>
      </dgm:t>
    </dgm:pt>
    <dgm:pt modelId="{E482D16B-C2C5-4EC5-B06C-1BD181D2284E}" type="parTrans" cxnId="{60EB955E-9426-4CC0-89AA-DA5229531203}">
      <dgm:prSet/>
      <dgm:spPr/>
      <dgm:t>
        <a:bodyPr/>
        <a:lstStyle/>
        <a:p>
          <a:pPr algn="ctr"/>
          <a:endParaRPr lang="en-US" b="1"/>
        </a:p>
      </dgm:t>
    </dgm:pt>
    <dgm:pt modelId="{0CEE76A5-48CA-4996-A33D-BE2337DC495C}" type="sibTrans" cxnId="{60EB955E-9426-4CC0-89AA-DA5229531203}">
      <dgm:prSet/>
      <dgm:spPr/>
      <dgm:t>
        <a:bodyPr/>
        <a:lstStyle/>
        <a:p>
          <a:pPr algn="ctr"/>
          <a:endParaRPr lang="en-US" b="1"/>
        </a:p>
      </dgm:t>
    </dgm:pt>
    <dgm:pt modelId="{81E2F447-AE92-48DC-B19A-742E89864170}">
      <dgm:prSet phldrT="[Text]" custT="1"/>
      <dgm:spPr/>
      <dgm:t>
        <a:bodyPr/>
        <a:lstStyle/>
        <a:p>
          <a:pPr algn="ctr"/>
          <a:r>
            <a:rPr lang="ro-RO" sz="1000" b="1"/>
            <a:t>Reducerea birocrației</a:t>
          </a:r>
          <a:endParaRPr lang="en-US" sz="1000" b="1"/>
        </a:p>
      </dgm:t>
    </dgm:pt>
    <dgm:pt modelId="{FDB6BD9B-FED0-48B1-AA82-AE0AC80D693F}" type="parTrans" cxnId="{EF51273E-18B0-46A2-B994-BDA56AF962F4}">
      <dgm:prSet/>
      <dgm:spPr/>
      <dgm:t>
        <a:bodyPr/>
        <a:lstStyle/>
        <a:p>
          <a:pPr algn="ctr"/>
          <a:endParaRPr lang="en-US" b="1"/>
        </a:p>
      </dgm:t>
    </dgm:pt>
    <dgm:pt modelId="{B0B1B852-D5EF-4A0D-8165-CF8500E3EC0E}" type="sibTrans" cxnId="{EF51273E-18B0-46A2-B994-BDA56AF962F4}">
      <dgm:prSet/>
      <dgm:spPr/>
      <dgm:t>
        <a:bodyPr/>
        <a:lstStyle/>
        <a:p>
          <a:pPr algn="ctr"/>
          <a:endParaRPr lang="en-US" b="1"/>
        </a:p>
      </dgm:t>
    </dgm:pt>
    <dgm:pt modelId="{2E5FE380-91D8-4BC7-B47C-1B4EA7A6D2C1}">
      <dgm:prSet phldrT="[Text]" custT="1"/>
      <dgm:spPr/>
      <dgm:t>
        <a:bodyPr/>
        <a:lstStyle/>
        <a:p>
          <a:pPr algn="ctr"/>
          <a:r>
            <a:rPr lang="ro-RO" sz="1000" b="1"/>
            <a:t>Asigurarea infrastructurii pentru birouri și hale de închiriat</a:t>
          </a:r>
          <a:endParaRPr lang="en-US" sz="1000" b="1"/>
        </a:p>
      </dgm:t>
    </dgm:pt>
    <dgm:pt modelId="{FA97256A-A3AE-4769-90C0-7CE4048CC55D}" type="parTrans" cxnId="{FC2182F9-5459-4F24-97DE-129A6C1A9BD2}">
      <dgm:prSet/>
      <dgm:spPr/>
      <dgm:t>
        <a:bodyPr/>
        <a:lstStyle/>
        <a:p>
          <a:pPr algn="ctr"/>
          <a:endParaRPr lang="en-US" b="1"/>
        </a:p>
      </dgm:t>
    </dgm:pt>
    <dgm:pt modelId="{A8FF23D6-223A-4EA5-8F1D-23E6282368AE}" type="sibTrans" cxnId="{FC2182F9-5459-4F24-97DE-129A6C1A9BD2}">
      <dgm:prSet/>
      <dgm:spPr/>
      <dgm:t>
        <a:bodyPr/>
        <a:lstStyle/>
        <a:p>
          <a:pPr algn="ctr"/>
          <a:endParaRPr lang="en-US" b="1"/>
        </a:p>
      </dgm:t>
    </dgm:pt>
    <dgm:pt modelId="{7C780B1D-9199-4E2F-BC1E-4E8A93F52E14}">
      <dgm:prSet phldrT="[Text]" custT="1"/>
      <dgm:spPr/>
      <dgm:t>
        <a:bodyPr/>
        <a:lstStyle/>
        <a:p>
          <a:pPr algn="ctr"/>
          <a:r>
            <a:rPr lang="ro-RO" sz="1000" b="1"/>
            <a:t>Facilități pentru adoptarea măsurilor și a proiectelor verzi</a:t>
          </a:r>
          <a:endParaRPr lang="en-US" sz="1000" b="1"/>
        </a:p>
      </dgm:t>
    </dgm:pt>
    <dgm:pt modelId="{017FB704-C023-4F44-9106-8D653A7631F0}" type="parTrans" cxnId="{AD356E48-3AB6-454D-AC0A-AFB69150588F}">
      <dgm:prSet/>
      <dgm:spPr/>
      <dgm:t>
        <a:bodyPr/>
        <a:lstStyle/>
        <a:p>
          <a:pPr algn="ctr"/>
          <a:endParaRPr lang="en-US" b="1"/>
        </a:p>
      </dgm:t>
    </dgm:pt>
    <dgm:pt modelId="{825535F3-49E5-4F5F-89FB-57138C9E8376}" type="sibTrans" cxnId="{AD356E48-3AB6-454D-AC0A-AFB69150588F}">
      <dgm:prSet/>
      <dgm:spPr/>
      <dgm:t>
        <a:bodyPr/>
        <a:lstStyle/>
        <a:p>
          <a:pPr algn="ctr"/>
          <a:endParaRPr lang="en-US" b="1"/>
        </a:p>
      </dgm:t>
    </dgm:pt>
    <dgm:pt modelId="{22FDDF88-2EF8-447C-88E6-E1B1DF659FA7}" type="pres">
      <dgm:prSet presAssocID="{EAD3A8DC-A0C6-4978-869F-BE42D1514BD5}" presName="diagram" presStyleCnt="0">
        <dgm:presLayoutVars>
          <dgm:dir/>
          <dgm:resizeHandles val="exact"/>
        </dgm:presLayoutVars>
      </dgm:prSet>
      <dgm:spPr/>
    </dgm:pt>
    <dgm:pt modelId="{3B07912C-560F-498E-A0AB-EBADE1345F81}" type="pres">
      <dgm:prSet presAssocID="{FBC19385-AD88-4FF7-9D68-7A87081BB4B0}" presName="node" presStyleLbl="node1" presStyleIdx="0" presStyleCnt="10" custScaleY="135092">
        <dgm:presLayoutVars>
          <dgm:bulletEnabled val="1"/>
        </dgm:presLayoutVars>
      </dgm:prSet>
      <dgm:spPr/>
    </dgm:pt>
    <dgm:pt modelId="{C5B84FC5-553A-4051-A4E7-F79F9E05AFFA}" type="pres">
      <dgm:prSet presAssocID="{C35765C3-B422-4C01-8928-7E27B310FF20}" presName="sibTrans" presStyleCnt="0"/>
      <dgm:spPr/>
    </dgm:pt>
    <dgm:pt modelId="{0997D791-CAB4-4AA3-BB2E-C28DDCC0B950}" type="pres">
      <dgm:prSet presAssocID="{0934B139-18C1-450C-A0FF-5AAE7E55EE2D}" presName="node" presStyleLbl="node1" presStyleIdx="1" presStyleCnt="10" custScaleY="135092">
        <dgm:presLayoutVars>
          <dgm:bulletEnabled val="1"/>
        </dgm:presLayoutVars>
      </dgm:prSet>
      <dgm:spPr/>
    </dgm:pt>
    <dgm:pt modelId="{EE24ECFD-D0CE-4B5B-8E68-DE8A0E5792E6}" type="pres">
      <dgm:prSet presAssocID="{5D441CAA-3255-4835-BB98-346C7877C651}" presName="sibTrans" presStyleCnt="0"/>
      <dgm:spPr/>
    </dgm:pt>
    <dgm:pt modelId="{2FFF5DA5-7E2E-4D14-B7F2-C5F0527D022F}" type="pres">
      <dgm:prSet presAssocID="{077CBF3D-ACCA-4683-AEC6-51CF30828F9F}" presName="node" presStyleLbl="node1" presStyleIdx="2" presStyleCnt="10" custScaleY="135092">
        <dgm:presLayoutVars>
          <dgm:bulletEnabled val="1"/>
        </dgm:presLayoutVars>
      </dgm:prSet>
      <dgm:spPr/>
    </dgm:pt>
    <dgm:pt modelId="{60DE18AF-74F7-4C4B-BD34-04B10DDE11D4}" type="pres">
      <dgm:prSet presAssocID="{70B989E0-19AA-4747-95A6-6A2512D1B88C}" presName="sibTrans" presStyleCnt="0"/>
      <dgm:spPr/>
    </dgm:pt>
    <dgm:pt modelId="{61C7CA86-377B-4DAB-BA2E-E927B2C86B57}" type="pres">
      <dgm:prSet presAssocID="{EE3604FA-603D-4C67-A420-699CF7B8F79B}" presName="node" presStyleLbl="node1" presStyleIdx="3" presStyleCnt="10" custScaleY="135092">
        <dgm:presLayoutVars>
          <dgm:bulletEnabled val="1"/>
        </dgm:presLayoutVars>
      </dgm:prSet>
      <dgm:spPr/>
    </dgm:pt>
    <dgm:pt modelId="{4E4FBEB7-ED16-47CB-96BB-A69CFB7227BC}" type="pres">
      <dgm:prSet presAssocID="{D085972A-FF36-4FF1-BF0B-BABE0EEC2102}" presName="sibTrans" presStyleCnt="0"/>
      <dgm:spPr/>
    </dgm:pt>
    <dgm:pt modelId="{B7C527DB-8849-4C47-B53A-BB979BE082EF}" type="pres">
      <dgm:prSet presAssocID="{793652BF-0C66-4014-9FD6-97F348BA8DB9}" presName="node" presStyleLbl="node1" presStyleIdx="4" presStyleCnt="10" custScaleY="135092">
        <dgm:presLayoutVars>
          <dgm:bulletEnabled val="1"/>
        </dgm:presLayoutVars>
      </dgm:prSet>
      <dgm:spPr/>
    </dgm:pt>
    <dgm:pt modelId="{9C2E4BF4-583A-42E5-988D-262EADA71DA3}" type="pres">
      <dgm:prSet presAssocID="{10CD38F5-AAAF-4588-A908-F31702AD44D9}" presName="sibTrans" presStyleCnt="0"/>
      <dgm:spPr/>
    </dgm:pt>
    <dgm:pt modelId="{25A36CF0-E4DD-48BE-A760-4799523567A4}" type="pres">
      <dgm:prSet presAssocID="{A10D75C8-2AE5-4B3D-85FD-2FDBF760C8B8}" presName="node" presStyleLbl="node1" presStyleIdx="5" presStyleCnt="10" custScaleY="135092">
        <dgm:presLayoutVars>
          <dgm:bulletEnabled val="1"/>
        </dgm:presLayoutVars>
      </dgm:prSet>
      <dgm:spPr/>
    </dgm:pt>
    <dgm:pt modelId="{6EBABDF4-8AFA-4EDF-A4B7-6840BD1E4B4C}" type="pres">
      <dgm:prSet presAssocID="{A992D2F4-58BF-4E21-9900-782237824650}" presName="sibTrans" presStyleCnt="0"/>
      <dgm:spPr/>
    </dgm:pt>
    <dgm:pt modelId="{A6FABDA5-C898-4605-AE97-69F7CDEC3163}" type="pres">
      <dgm:prSet presAssocID="{4E24B132-B639-4E6A-8C1F-BDCFC9584776}" presName="node" presStyleLbl="node1" presStyleIdx="6" presStyleCnt="10" custScaleY="135092">
        <dgm:presLayoutVars>
          <dgm:bulletEnabled val="1"/>
        </dgm:presLayoutVars>
      </dgm:prSet>
      <dgm:spPr/>
    </dgm:pt>
    <dgm:pt modelId="{D1F7D8EF-5661-4BF4-9E0C-7A7075E1C0C6}" type="pres">
      <dgm:prSet presAssocID="{0CEE76A5-48CA-4996-A33D-BE2337DC495C}" presName="sibTrans" presStyleCnt="0"/>
      <dgm:spPr/>
    </dgm:pt>
    <dgm:pt modelId="{F4400179-0339-42CE-8F3E-A92ADFBDDCEE}" type="pres">
      <dgm:prSet presAssocID="{81E2F447-AE92-48DC-B19A-742E89864170}" presName="node" presStyleLbl="node1" presStyleIdx="7" presStyleCnt="10" custScaleY="135092">
        <dgm:presLayoutVars>
          <dgm:bulletEnabled val="1"/>
        </dgm:presLayoutVars>
      </dgm:prSet>
      <dgm:spPr/>
    </dgm:pt>
    <dgm:pt modelId="{FE3EA979-C8E2-484F-9098-4DAFB6C5EE4E}" type="pres">
      <dgm:prSet presAssocID="{B0B1B852-D5EF-4A0D-8165-CF8500E3EC0E}" presName="sibTrans" presStyleCnt="0"/>
      <dgm:spPr/>
    </dgm:pt>
    <dgm:pt modelId="{A60DC7E9-8841-4CEA-BA93-BFB2949DF18C}" type="pres">
      <dgm:prSet presAssocID="{2E5FE380-91D8-4BC7-B47C-1B4EA7A6D2C1}" presName="node" presStyleLbl="node1" presStyleIdx="8" presStyleCnt="10" custScaleY="135092">
        <dgm:presLayoutVars>
          <dgm:bulletEnabled val="1"/>
        </dgm:presLayoutVars>
      </dgm:prSet>
      <dgm:spPr/>
    </dgm:pt>
    <dgm:pt modelId="{93475B46-CDD5-4790-BA7C-719F04420E64}" type="pres">
      <dgm:prSet presAssocID="{A8FF23D6-223A-4EA5-8F1D-23E6282368AE}" presName="sibTrans" presStyleCnt="0"/>
      <dgm:spPr/>
    </dgm:pt>
    <dgm:pt modelId="{894FB011-721B-4FBA-B8E4-FBC2B7285185}" type="pres">
      <dgm:prSet presAssocID="{7C780B1D-9199-4E2F-BC1E-4E8A93F52E14}" presName="node" presStyleLbl="node1" presStyleIdx="9" presStyleCnt="10" custScaleY="135092">
        <dgm:presLayoutVars>
          <dgm:bulletEnabled val="1"/>
        </dgm:presLayoutVars>
      </dgm:prSet>
      <dgm:spPr/>
    </dgm:pt>
  </dgm:ptLst>
  <dgm:cxnLst>
    <dgm:cxn modelId="{FD10EA00-DB8B-4F9E-9AD8-A626984A4C88}" srcId="{EAD3A8DC-A0C6-4978-869F-BE42D1514BD5}" destId="{EE3604FA-603D-4C67-A420-699CF7B8F79B}" srcOrd="3" destOrd="0" parTransId="{DCCD0EAB-8D14-4D40-A757-6B472B30C649}" sibTransId="{D085972A-FF36-4FF1-BF0B-BABE0EEC2102}"/>
    <dgm:cxn modelId="{4E664C18-4E24-4316-8857-3B7189E92928}" type="presOf" srcId="{077CBF3D-ACCA-4683-AEC6-51CF30828F9F}" destId="{2FFF5DA5-7E2E-4D14-B7F2-C5F0527D022F}" srcOrd="0" destOrd="0" presId="urn:microsoft.com/office/officeart/2005/8/layout/default"/>
    <dgm:cxn modelId="{F5657B19-5371-4A7C-9BCC-5B03D9E17ECE}" srcId="{EAD3A8DC-A0C6-4978-869F-BE42D1514BD5}" destId="{793652BF-0C66-4014-9FD6-97F348BA8DB9}" srcOrd="4" destOrd="0" parTransId="{7FDB5FC8-3453-4FD8-904F-ADD707A4910E}" sibTransId="{10CD38F5-AAAF-4588-A908-F31702AD44D9}"/>
    <dgm:cxn modelId="{BC4A6827-DA59-4514-A3AD-4855245B84ED}" type="presOf" srcId="{2E5FE380-91D8-4BC7-B47C-1B4EA7A6D2C1}" destId="{A60DC7E9-8841-4CEA-BA93-BFB2949DF18C}" srcOrd="0" destOrd="0" presId="urn:microsoft.com/office/officeart/2005/8/layout/default"/>
    <dgm:cxn modelId="{DDC5E928-E265-4419-B78E-1BAFA87DD0F8}" type="presOf" srcId="{7C780B1D-9199-4E2F-BC1E-4E8A93F52E14}" destId="{894FB011-721B-4FBA-B8E4-FBC2B7285185}" srcOrd="0" destOrd="0" presId="urn:microsoft.com/office/officeart/2005/8/layout/default"/>
    <dgm:cxn modelId="{EF51273E-18B0-46A2-B994-BDA56AF962F4}" srcId="{EAD3A8DC-A0C6-4978-869F-BE42D1514BD5}" destId="{81E2F447-AE92-48DC-B19A-742E89864170}" srcOrd="7" destOrd="0" parTransId="{FDB6BD9B-FED0-48B1-AA82-AE0AC80D693F}" sibTransId="{B0B1B852-D5EF-4A0D-8165-CF8500E3EC0E}"/>
    <dgm:cxn modelId="{60EB955E-9426-4CC0-89AA-DA5229531203}" srcId="{EAD3A8DC-A0C6-4978-869F-BE42D1514BD5}" destId="{4E24B132-B639-4E6A-8C1F-BDCFC9584776}" srcOrd="6" destOrd="0" parTransId="{E482D16B-C2C5-4EC5-B06C-1BD181D2284E}" sibTransId="{0CEE76A5-48CA-4996-A33D-BE2337DC495C}"/>
    <dgm:cxn modelId="{59C1D65E-CAB0-49FE-925A-16432D5C1C53}" srcId="{EAD3A8DC-A0C6-4978-869F-BE42D1514BD5}" destId="{0934B139-18C1-450C-A0FF-5AAE7E55EE2D}" srcOrd="1" destOrd="0" parTransId="{6642CB9A-8602-41DF-85CA-CB095DF9D508}" sibTransId="{5D441CAA-3255-4835-BB98-346C7877C651}"/>
    <dgm:cxn modelId="{A5147F66-64F1-4726-8273-5243C9F7EF61}" srcId="{EAD3A8DC-A0C6-4978-869F-BE42D1514BD5}" destId="{077CBF3D-ACCA-4683-AEC6-51CF30828F9F}" srcOrd="2" destOrd="0" parTransId="{460A330F-A7D4-497B-857B-A3574C2F01A3}" sibTransId="{70B989E0-19AA-4747-95A6-6A2512D1B88C}"/>
    <dgm:cxn modelId="{5BD06867-9562-4156-AB08-196077C7B137}" type="presOf" srcId="{0934B139-18C1-450C-A0FF-5AAE7E55EE2D}" destId="{0997D791-CAB4-4AA3-BB2E-C28DDCC0B950}" srcOrd="0" destOrd="0" presId="urn:microsoft.com/office/officeart/2005/8/layout/default"/>
    <dgm:cxn modelId="{AD356E48-3AB6-454D-AC0A-AFB69150588F}" srcId="{EAD3A8DC-A0C6-4978-869F-BE42D1514BD5}" destId="{7C780B1D-9199-4E2F-BC1E-4E8A93F52E14}" srcOrd="9" destOrd="0" parTransId="{017FB704-C023-4F44-9106-8D653A7631F0}" sibTransId="{825535F3-49E5-4F5F-89FB-57138C9E8376}"/>
    <dgm:cxn modelId="{C940CD91-79CF-458F-BEBD-41BF1AE33AE5}" srcId="{EAD3A8DC-A0C6-4978-869F-BE42D1514BD5}" destId="{FBC19385-AD88-4FF7-9D68-7A87081BB4B0}" srcOrd="0" destOrd="0" parTransId="{F5D2FD1B-1C99-49AA-8B46-B486D2457EAF}" sibTransId="{C35765C3-B422-4C01-8928-7E27B310FF20}"/>
    <dgm:cxn modelId="{5816FA98-0092-4AEB-B296-1FD466C638B5}" type="presOf" srcId="{81E2F447-AE92-48DC-B19A-742E89864170}" destId="{F4400179-0339-42CE-8F3E-A92ADFBDDCEE}" srcOrd="0" destOrd="0" presId="urn:microsoft.com/office/officeart/2005/8/layout/default"/>
    <dgm:cxn modelId="{1C2838A1-DB4A-41AE-8364-2319EB704223}" type="presOf" srcId="{EE3604FA-603D-4C67-A420-699CF7B8F79B}" destId="{61C7CA86-377B-4DAB-BA2E-E927B2C86B57}" srcOrd="0" destOrd="0" presId="urn:microsoft.com/office/officeart/2005/8/layout/default"/>
    <dgm:cxn modelId="{D71EE0A4-4755-40FA-B59B-C04D06685EC1}" type="presOf" srcId="{FBC19385-AD88-4FF7-9D68-7A87081BB4B0}" destId="{3B07912C-560F-498E-A0AB-EBADE1345F81}" srcOrd="0" destOrd="0" presId="urn:microsoft.com/office/officeart/2005/8/layout/default"/>
    <dgm:cxn modelId="{82ACBCA6-9D75-4806-A648-C498253F7280}" srcId="{EAD3A8DC-A0C6-4978-869F-BE42D1514BD5}" destId="{A10D75C8-2AE5-4B3D-85FD-2FDBF760C8B8}" srcOrd="5" destOrd="0" parTransId="{EA1DAAE2-221D-40D2-97AA-AC3E8FBE6A42}" sibTransId="{A992D2F4-58BF-4E21-9900-782237824650}"/>
    <dgm:cxn modelId="{3B118DD2-0B02-4A8F-9979-B6D70AC54183}" type="presOf" srcId="{4E24B132-B639-4E6A-8C1F-BDCFC9584776}" destId="{A6FABDA5-C898-4605-AE97-69F7CDEC3163}" srcOrd="0" destOrd="0" presId="urn:microsoft.com/office/officeart/2005/8/layout/default"/>
    <dgm:cxn modelId="{8AC8B5E3-DD36-4CDC-ABA8-CA76182BFF28}" type="presOf" srcId="{793652BF-0C66-4014-9FD6-97F348BA8DB9}" destId="{B7C527DB-8849-4C47-B53A-BB979BE082EF}" srcOrd="0" destOrd="0" presId="urn:microsoft.com/office/officeart/2005/8/layout/default"/>
    <dgm:cxn modelId="{B729D6E6-3AA5-417D-A7CF-7BCF058C5B17}" type="presOf" srcId="{A10D75C8-2AE5-4B3D-85FD-2FDBF760C8B8}" destId="{25A36CF0-E4DD-48BE-A760-4799523567A4}" srcOrd="0" destOrd="0" presId="urn:microsoft.com/office/officeart/2005/8/layout/default"/>
    <dgm:cxn modelId="{09CB06EC-1A7A-48F4-BAC7-AD876AB4E36F}" type="presOf" srcId="{EAD3A8DC-A0C6-4978-869F-BE42D1514BD5}" destId="{22FDDF88-2EF8-447C-88E6-E1B1DF659FA7}" srcOrd="0" destOrd="0" presId="urn:microsoft.com/office/officeart/2005/8/layout/default"/>
    <dgm:cxn modelId="{FC2182F9-5459-4F24-97DE-129A6C1A9BD2}" srcId="{EAD3A8DC-A0C6-4978-869F-BE42D1514BD5}" destId="{2E5FE380-91D8-4BC7-B47C-1B4EA7A6D2C1}" srcOrd="8" destOrd="0" parTransId="{FA97256A-A3AE-4769-90C0-7CE4048CC55D}" sibTransId="{A8FF23D6-223A-4EA5-8F1D-23E6282368AE}"/>
    <dgm:cxn modelId="{26896772-334E-44CC-B4ED-4EA5D8D72A3A}" type="presParOf" srcId="{22FDDF88-2EF8-447C-88E6-E1B1DF659FA7}" destId="{3B07912C-560F-498E-A0AB-EBADE1345F81}" srcOrd="0" destOrd="0" presId="urn:microsoft.com/office/officeart/2005/8/layout/default"/>
    <dgm:cxn modelId="{F3631306-6FF5-4E8D-A2BE-794EFA6AD0C5}" type="presParOf" srcId="{22FDDF88-2EF8-447C-88E6-E1B1DF659FA7}" destId="{C5B84FC5-553A-4051-A4E7-F79F9E05AFFA}" srcOrd="1" destOrd="0" presId="urn:microsoft.com/office/officeart/2005/8/layout/default"/>
    <dgm:cxn modelId="{0FC79584-DCD3-4B42-8E42-937FC7DB4688}" type="presParOf" srcId="{22FDDF88-2EF8-447C-88E6-E1B1DF659FA7}" destId="{0997D791-CAB4-4AA3-BB2E-C28DDCC0B950}" srcOrd="2" destOrd="0" presId="urn:microsoft.com/office/officeart/2005/8/layout/default"/>
    <dgm:cxn modelId="{EDF1EF75-43D1-4524-89DB-85EB742FDB97}" type="presParOf" srcId="{22FDDF88-2EF8-447C-88E6-E1B1DF659FA7}" destId="{EE24ECFD-D0CE-4B5B-8E68-DE8A0E5792E6}" srcOrd="3" destOrd="0" presId="urn:microsoft.com/office/officeart/2005/8/layout/default"/>
    <dgm:cxn modelId="{BD386ED3-B57D-4ADC-8AD9-2266698CC8B9}" type="presParOf" srcId="{22FDDF88-2EF8-447C-88E6-E1B1DF659FA7}" destId="{2FFF5DA5-7E2E-4D14-B7F2-C5F0527D022F}" srcOrd="4" destOrd="0" presId="urn:microsoft.com/office/officeart/2005/8/layout/default"/>
    <dgm:cxn modelId="{602EED8A-3797-4E89-9FE4-A6EFCE673B54}" type="presParOf" srcId="{22FDDF88-2EF8-447C-88E6-E1B1DF659FA7}" destId="{60DE18AF-74F7-4C4B-BD34-04B10DDE11D4}" srcOrd="5" destOrd="0" presId="urn:microsoft.com/office/officeart/2005/8/layout/default"/>
    <dgm:cxn modelId="{29F90D45-A5DB-4C6B-BFC4-B75B85289225}" type="presParOf" srcId="{22FDDF88-2EF8-447C-88E6-E1B1DF659FA7}" destId="{61C7CA86-377B-4DAB-BA2E-E927B2C86B57}" srcOrd="6" destOrd="0" presId="urn:microsoft.com/office/officeart/2005/8/layout/default"/>
    <dgm:cxn modelId="{91BF6DC5-C986-46DB-B1B3-EE8B64E6B78C}" type="presParOf" srcId="{22FDDF88-2EF8-447C-88E6-E1B1DF659FA7}" destId="{4E4FBEB7-ED16-47CB-96BB-A69CFB7227BC}" srcOrd="7" destOrd="0" presId="urn:microsoft.com/office/officeart/2005/8/layout/default"/>
    <dgm:cxn modelId="{50E5B63C-A4A1-4A1C-B5BE-7DFA78939A77}" type="presParOf" srcId="{22FDDF88-2EF8-447C-88E6-E1B1DF659FA7}" destId="{B7C527DB-8849-4C47-B53A-BB979BE082EF}" srcOrd="8" destOrd="0" presId="urn:microsoft.com/office/officeart/2005/8/layout/default"/>
    <dgm:cxn modelId="{7B3495E5-8BB2-4A29-A91F-E4635297DDE4}" type="presParOf" srcId="{22FDDF88-2EF8-447C-88E6-E1B1DF659FA7}" destId="{9C2E4BF4-583A-42E5-988D-262EADA71DA3}" srcOrd="9" destOrd="0" presId="urn:microsoft.com/office/officeart/2005/8/layout/default"/>
    <dgm:cxn modelId="{18CD7DE1-74B8-466C-B538-246A954731BA}" type="presParOf" srcId="{22FDDF88-2EF8-447C-88E6-E1B1DF659FA7}" destId="{25A36CF0-E4DD-48BE-A760-4799523567A4}" srcOrd="10" destOrd="0" presId="urn:microsoft.com/office/officeart/2005/8/layout/default"/>
    <dgm:cxn modelId="{BC400F6B-2CD4-4CC0-835D-5C90E7DED0DF}" type="presParOf" srcId="{22FDDF88-2EF8-447C-88E6-E1B1DF659FA7}" destId="{6EBABDF4-8AFA-4EDF-A4B7-6840BD1E4B4C}" srcOrd="11" destOrd="0" presId="urn:microsoft.com/office/officeart/2005/8/layout/default"/>
    <dgm:cxn modelId="{45634424-550C-4F60-9755-464DCA1B1BA0}" type="presParOf" srcId="{22FDDF88-2EF8-447C-88E6-E1B1DF659FA7}" destId="{A6FABDA5-C898-4605-AE97-69F7CDEC3163}" srcOrd="12" destOrd="0" presId="urn:microsoft.com/office/officeart/2005/8/layout/default"/>
    <dgm:cxn modelId="{FD2BADAA-730D-45D6-B62E-0650F5E99CB9}" type="presParOf" srcId="{22FDDF88-2EF8-447C-88E6-E1B1DF659FA7}" destId="{D1F7D8EF-5661-4BF4-9E0C-7A7075E1C0C6}" srcOrd="13" destOrd="0" presId="urn:microsoft.com/office/officeart/2005/8/layout/default"/>
    <dgm:cxn modelId="{D10E25E5-68FE-4766-9152-BC06B03DEA90}" type="presParOf" srcId="{22FDDF88-2EF8-447C-88E6-E1B1DF659FA7}" destId="{F4400179-0339-42CE-8F3E-A92ADFBDDCEE}" srcOrd="14" destOrd="0" presId="urn:microsoft.com/office/officeart/2005/8/layout/default"/>
    <dgm:cxn modelId="{975971D9-BF34-4705-AB08-42615675D324}" type="presParOf" srcId="{22FDDF88-2EF8-447C-88E6-E1B1DF659FA7}" destId="{FE3EA979-C8E2-484F-9098-4DAFB6C5EE4E}" srcOrd="15" destOrd="0" presId="urn:microsoft.com/office/officeart/2005/8/layout/default"/>
    <dgm:cxn modelId="{A91F5877-88B7-4099-8ED5-64FC4A576E24}" type="presParOf" srcId="{22FDDF88-2EF8-447C-88E6-E1B1DF659FA7}" destId="{A60DC7E9-8841-4CEA-BA93-BFB2949DF18C}" srcOrd="16" destOrd="0" presId="urn:microsoft.com/office/officeart/2005/8/layout/default"/>
    <dgm:cxn modelId="{A316FB0A-7770-4C79-9EF2-B427B84F9501}" type="presParOf" srcId="{22FDDF88-2EF8-447C-88E6-E1B1DF659FA7}" destId="{93475B46-CDD5-4790-BA7C-719F04420E64}" srcOrd="17" destOrd="0" presId="urn:microsoft.com/office/officeart/2005/8/layout/default"/>
    <dgm:cxn modelId="{1BAA4392-DBC7-431D-A264-A4CEB40A346B}" type="presParOf" srcId="{22FDDF88-2EF8-447C-88E6-E1B1DF659FA7}" destId="{894FB011-721B-4FBA-B8E4-FBC2B7285185}" srcOrd="18" destOrd="0" presId="urn:microsoft.com/office/officeart/2005/8/layout/default"/>
  </dgm:cxnLst>
  <dgm:bg/>
  <dgm:whole/>
  <dgm:extLst>
    <a:ext uri="http://schemas.microsoft.com/office/drawing/2008/diagram">
      <dsp:dataModelExt xmlns:dsp="http://schemas.microsoft.com/office/drawing/2008/diagram" relId="rId31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B2346712-6F20-40CB-B60B-58643F3F10CD}" type="doc">
      <dgm:prSet loTypeId="urn:microsoft.com/office/officeart/2005/8/layout/default" loCatId="list" qsTypeId="urn:microsoft.com/office/officeart/2005/8/quickstyle/simple1" qsCatId="simple" csTypeId="urn:microsoft.com/office/officeart/2005/8/colors/accent1_3" csCatId="accent1" phldr="1"/>
      <dgm:spPr/>
      <dgm:t>
        <a:bodyPr/>
        <a:lstStyle/>
        <a:p>
          <a:endParaRPr lang="en-US"/>
        </a:p>
      </dgm:t>
    </dgm:pt>
    <dgm:pt modelId="{3082A570-0841-4281-A443-BF005CFABEFB}">
      <dgm:prSet phldrT="[Text]" custT="1"/>
      <dgm:spPr/>
      <dgm:t>
        <a:bodyPr/>
        <a:lstStyle/>
        <a:p>
          <a:r>
            <a:rPr lang="ro-RO" sz="1200" b="1"/>
            <a:t>Menținerea unui cadru legislativ stabil și predictibil</a:t>
          </a:r>
          <a:endParaRPr lang="en-US" sz="1200" b="1"/>
        </a:p>
      </dgm:t>
    </dgm:pt>
    <dgm:pt modelId="{652DADCB-7433-48F5-9CF6-5EC2DC969990}" type="parTrans" cxnId="{2D810F36-A87F-4666-A9FB-5E8C41C4612B}">
      <dgm:prSet/>
      <dgm:spPr/>
      <dgm:t>
        <a:bodyPr/>
        <a:lstStyle/>
        <a:p>
          <a:endParaRPr lang="en-US" sz="1200" b="1"/>
        </a:p>
      </dgm:t>
    </dgm:pt>
    <dgm:pt modelId="{43867EBC-73EC-42D3-9B1D-73D87DDECE00}" type="sibTrans" cxnId="{2D810F36-A87F-4666-A9FB-5E8C41C4612B}">
      <dgm:prSet/>
      <dgm:spPr/>
      <dgm:t>
        <a:bodyPr/>
        <a:lstStyle/>
        <a:p>
          <a:endParaRPr lang="en-US" sz="1200" b="1"/>
        </a:p>
      </dgm:t>
    </dgm:pt>
    <dgm:pt modelId="{2BFCC35C-ED8F-4780-9C70-FDEC11F99838}">
      <dgm:prSet phldrT="[Text]" custT="1"/>
      <dgm:spPr/>
      <dgm:t>
        <a:bodyPr/>
        <a:lstStyle/>
        <a:p>
          <a:r>
            <a:rPr lang="ro-RO" sz="1200" b="1"/>
            <a:t>Favorizarea unei infrastructuri adecvate</a:t>
          </a:r>
          <a:endParaRPr lang="en-US" sz="1200" b="1"/>
        </a:p>
      </dgm:t>
    </dgm:pt>
    <dgm:pt modelId="{4C4EF45D-0AA3-4BE1-B086-654F2E71CE13}" type="parTrans" cxnId="{B7A34C24-8A0D-4B4A-892E-4EA644FFF7E4}">
      <dgm:prSet/>
      <dgm:spPr/>
      <dgm:t>
        <a:bodyPr/>
        <a:lstStyle/>
        <a:p>
          <a:endParaRPr lang="en-US" b="1"/>
        </a:p>
      </dgm:t>
    </dgm:pt>
    <dgm:pt modelId="{DD8DFE4F-C68A-4039-A506-7C1E9558DD30}" type="sibTrans" cxnId="{B7A34C24-8A0D-4B4A-892E-4EA644FFF7E4}">
      <dgm:prSet/>
      <dgm:spPr/>
      <dgm:t>
        <a:bodyPr/>
        <a:lstStyle/>
        <a:p>
          <a:endParaRPr lang="en-US" b="1"/>
        </a:p>
      </dgm:t>
    </dgm:pt>
    <dgm:pt modelId="{868A249C-E85C-4006-AEEA-291EB5BBD4FE}">
      <dgm:prSet phldrT="[Text]" custT="1"/>
      <dgm:spPr/>
      <dgm:t>
        <a:bodyPr/>
        <a:lstStyle/>
        <a:p>
          <a:r>
            <a:rPr lang="ro-RO" sz="1200" b="1"/>
            <a:t>Dezvoltarea de hale industriale</a:t>
          </a:r>
          <a:endParaRPr lang="en-US" sz="1200" b="1"/>
        </a:p>
      </dgm:t>
    </dgm:pt>
    <dgm:pt modelId="{1A531754-07DF-4DAC-BFC9-64DBA3B7C6AB}" type="parTrans" cxnId="{98DDE41D-CCFE-4C21-90A5-D1C8F8955E76}">
      <dgm:prSet/>
      <dgm:spPr/>
      <dgm:t>
        <a:bodyPr/>
        <a:lstStyle/>
        <a:p>
          <a:endParaRPr lang="en-US" b="1"/>
        </a:p>
      </dgm:t>
    </dgm:pt>
    <dgm:pt modelId="{097F693A-43BC-4D3B-963B-4ED397EB0C6E}" type="sibTrans" cxnId="{98DDE41D-CCFE-4C21-90A5-D1C8F8955E76}">
      <dgm:prSet/>
      <dgm:spPr/>
      <dgm:t>
        <a:bodyPr/>
        <a:lstStyle/>
        <a:p>
          <a:endParaRPr lang="en-US" b="1"/>
        </a:p>
      </dgm:t>
    </dgm:pt>
    <dgm:pt modelId="{CEE8A37D-BB5B-49A9-8DC4-D192418152AB}">
      <dgm:prSet phldrT="[Text]" custT="1"/>
      <dgm:spPr/>
      <dgm:t>
        <a:bodyPr/>
        <a:lstStyle/>
        <a:p>
          <a:r>
            <a:rPr lang="ro-RO" sz="1200" b="1"/>
            <a:t>Susținerea dezvoltării antreprenoriale</a:t>
          </a:r>
          <a:endParaRPr lang="en-US" sz="1200" b="1"/>
        </a:p>
      </dgm:t>
    </dgm:pt>
    <dgm:pt modelId="{B5292DDA-25C6-4A45-806B-504A2ABDA816}" type="parTrans" cxnId="{9C3AC9F2-B3E3-4466-BA34-364B67A1AF51}">
      <dgm:prSet/>
      <dgm:spPr/>
      <dgm:t>
        <a:bodyPr/>
        <a:lstStyle/>
        <a:p>
          <a:endParaRPr lang="en-US" b="1"/>
        </a:p>
      </dgm:t>
    </dgm:pt>
    <dgm:pt modelId="{565826DB-58E0-495A-866D-240E09B2A51E}" type="sibTrans" cxnId="{9C3AC9F2-B3E3-4466-BA34-364B67A1AF51}">
      <dgm:prSet/>
      <dgm:spPr/>
      <dgm:t>
        <a:bodyPr/>
        <a:lstStyle/>
        <a:p>
          <a:endParaRPr lang="en-US" b="1"/>
        </a:p>
      </dgm:t>
    </dgm:pt>
    <dgm:pt modelId="{DEF23A36-781A-47F8-92CB-0A6B51127A2B}">
      <dgm:prSet phldrT="[Text]" custT="1"/>
      <dgm:spPr/>
      <dgm:t>
        <a:bodyPr/>
        <a:lstStyle/>
        <a:p>
          <a:r>
            <a:rPr lang="ro-RO" sz="1200" b="1"/>
            <a:t>Facilități fiscale pentru companiile profitabile</a:t>
          </a:r>
          <a:endParaRPr lang="en-US" sz="1200" b="1"/>
        </a:p>
      </dgm:t>
    </dgm:pt>
    <dgm:pt modelId="{CBD60188-4DC7-44AF-8FC0-36C22C7C8271}" type="parTrans" cxnId="{180FCD0E-9CC6-4879-8375-268D6266A375}">
      <dgm:prSet/>
      <dgm:spPr/>
      <dgm:t>
        <a:bodyPr/>
        <a:lstStyle/>
        <a:p>
          <a:endParaRPr lang="en-US" b="1"/>
        </a:p>
      </dgm:t>
    </dgm:pt>
    <dgm:pt modelId="{A31A41F4-A952-4CBD-ADC3-341257B5624C}" type="sibTrans" cxnId="{180FCD0E-9CC6-4879-8375-268D6266A375}">
      <dgm:prSet/>
      <dgm:spPr/>
      <dgm:t>
        <a:bodyPr/>
        <a:lstStyle/>
        <a:p>
          <a:endParaRPr lang="en-US" b="1"/>
        </a:p>
      </dgm:t>
    </dgm:pt>
    <dgm:pt modelId="{44C4CCA3-F4D1-4394-BB08-4483E94BB13D}">
      <dgm:prSet phldrT="[Text]" custT="1"/>
      <dgm:spPr/>
      <dgm:t>
        <a:bodyPr/>
        <a:lstStyle/>
        <a:p>
          <a:r>
            <a:rPr lang="ro-RO" sz="1200" b="1"/>
            <a:t>Aprofundarea comunicării</a:t>
          </a:r>
          <a:endParaRPr lang="en-US" sz="1200" b="1"/>
        </a:p>
      </dgm:t>
    </dgm:pt>
    <dgm:pt modelId="{F58DDD1D-8337-4A10-BC48-D97DEED4B301}" type="parTrans" cxnId="{E084D217-77C4-4D56-B64F-36D71A564A57}">
      <dgm:prSet/>
      <dgm:spPr/>
      <dgm:t>
        <a:bodyPr/>
        <a:lstStyle/>
        <a:p>
          <a:endParaRPr lang="en-US" b="1"/>
        </a:p>
      </dgm:t>
    </dgm:pt>
    <dgm:pt modelId="{C729E8C7-B890-4E33-B725-D2A6B186C6F3}" type="sibTrans" cxnId="{E084D217-77C4-4D56-B64F-36D71A564A57}">
      <dgm:prSet/>
      <dgm:spPr/>
      <dgm:t>
        <a:bodyPr/>
        <a:lstStyle/>
        <a:p>
          <a:endParaRPr lang="en-US" b="1"/>
        </a:p>
      </dgm:t>
    </dgm:pt>
    <dgm:pt modelId="{53ECEBB8-669D-4ABE-A125-849F6E6C2382}">
      <dgm:prSet phldrT="[Text]" custT="1"/>
      <dgm:spPr/>
      <dgm:t>
        <a:bodyPr/>
        <a:lstStyle/>
        <a:p>
          <a:r>
            <a:rPr lang="ro-RO" sz="1200" b="1"/>
            <a:t>Implicarea mediului de afaceri</a:t>
          </a:r>
          <a:endParaRPr lang="en-US" sz="1200" b="1"/>
        </a:p>
      </dgm:t>
    </dgm:pt>
    <dgm:pt modelId="{71851311-50BC-4126-97D8-B72B73E2C980}" type="parTrans" cxnId="{3E47F9B3-6604-4B2F-B9F9-D69D2D68DD80}">
      <dgm:prSet/>
      <dgm:spPr/>
      <dgm:t>
        <a:bodyPr/>
        <a:lstStyle/>
        <a:p>
          <a:endParaRPr lang="en-US" b="1"/>
        </a:p>
      </dgm:t>
    </dgm:pt>
    <dgm:pt modelId="{A7757A22-C284-4694-BA1A-E006AC04C07D}" type="sibTrans" cxnId="{3E47F9B3-6604-4B2F-B9F9-D69D2D68DD80}">
      <dgm:prSet/>
      <dgm:spPr/>
      <dgm:t>
        <a:bodyPr/>
        <a:lstStyle/>
        <a:p>
          <a:endParaRPr lang="en-US" b="1"/>
        </a:p>
      </dgm:t>
    </dgm:pt>
    <dgm:pt modelId="{B82288DB-ADB9-4FFE-98C9-6AC967299B29}">
      <dgm:prSet phldrT="[Text]" custT="1"/>
      <dgm:spPr/>
      <dgm:t>
        <a:bodyPr/>
        <a:lstStyle/>
        <a:p>
          <a:r>
            <a:rPr lang="ro-RO" sz="1200" b="1"/>
            <a:t>Dialog și colaborare în cadrul proiectelor de dezvoltare</a:t>
          </a:r>
          <a:endParaRPr lang="en-US" sz="1200" b="1"/>
        </a:p>
      </dgm:t>
    </dgm:pt>
    <dgm:pt modelId="{2835C803-D97E-4B05-9B94-352044A0605A}" type="parTrans" cxnId="{B933A675-93ED-48D2-BCC6-545997D28F74}">
      <dgm:prSet/>
      <dgm:spPr/>
      <dgm:t>
        <a:bodyPr/>
        <a:lstStyle/>
        <a:p>
          <a:endParaRPr lang="en-US" b="1"/>
        </a:p>
      </dgm:t>
    </dgm:pt>
    <dgm:pt modelId="{D7FE8BDB-9DE2-46AD-92CA-9545FF5DFC52}" type="sibTrans" cxnId="{B933A675-93ED-48D2-BCC6-545997D28F74}">
      <dgm:prSet/>
      <dgm:spPr/>
      <dgm:t>
        <a:bodyPr/>
        <a:lstStyle/>
        <a:p>
          <a:endParaRPr lang="en-US" b="1"/>
        </a:p>
      </dgm:t>
    </dgm:pt>
    <dgm:pt modelId="{D31DCE19-819D-4175-B913-D65024D61636}" type="pres">
      <dgm:prSet presAssocID="{B2346712-6F20-40CB-B60B-58643F3F10CD}" presName="diagram" presStyleCnt="0">
        <dgm:presLayoutVars>
          <dgm:dir/>
          <dgm:resizeHandles val="exact"/>
        </dgm:presLayoutVars>
      </dgm:prSet>
      <dgm:spPr/>
    </dgm:pt>
    <dgm:pt modelId="{9C0A0A58-E7F5-46AF-B08C-23F321789B56}" type="pres">
      <dgm:prSet presAssocID="{3082A570-0841-4281-A443-BF005CFABEFB}" presName="node" presStyleLbl="node1" presStyleIdx="0" presStyleCnt="8">
        <dgm:presLayoutVars>
          <dgm:bulletEnabled val="1"/>
        </dgm:presLayoutVars>
      </dgm:prSet>
      <dgm:spPr>
        <a:prstGeom prst="flowChartAlternateProcess">
          <a:avLst/>
        </a:prstGeom>
      </dgm:spPr>
    </dgm:pt>
    <dgm:pt modelId="{9F67391A-0069-41FA-AF2E-846696FB2DCB}" type="pres">
      <dgm:prSet presAssocID="{43867EBC-73EC-42D3-9B1D-73D87DDECE00}" presName="sibTrans" presStyleCnt="0"/>
      <dgm:spPr/>
    </dgm:pt>
    <dgm:pt modelId="{6E4DD8D1-0CD8-471C-9BBD-4859D8FF5C98}" type="pres">
      <dgm:prSet presAssocID="{2BFCC35C-ED8F-4780-9C70-FDEC11F99838}" presName="node" presStyleLbl="node1" presStyleIdx="1" presStyleCnt="8">
        <dgm:presLayoutVars>
          <dgm:bulletEnabled val="1"/>
        </dgm:presLayoutVars>
      </dgm:prSet>
      <dgm:spPr>
        <a:prstGeom prst="flowChartAlternateProcess">
          <a:avLst/>
        </a:prstGeom>
      </dgm:spPr>
    </dgm:pt>
    <dgm:pt modelId="{EA6975E0-A9C8-4E67-A1B7-EF4910087D60}" type="pres">
      <dgm:prSet presAssocID="{DD8DFE4F-C68A-4039-A506-7C1E9558DD30}" presName="sibTrans" presStyleCnt="0"/>
      <dgm:spPr/>
    </dgm:pt>
    <dgm:pt modelId="{8BF22913-8EEB-4E83-8AE3-DACD210027B7}" type="pres">
      <dgm:prSet presAssocID="{868A249C-E85C-4006-AEEA-291EB5BBD4FE}" presName="node" presStyleLbl="node1" presStyleIdx="2" presStyleCnt="8">
        <dgm:presLayoutVars>
          <dgm:bulletEnabled val="1"/>
        </dgm:presLayoutVars>
      </dgm:prSet>
      <dgm:spPr>
        <a:prstGeom prst="flowChartAlternateProcess">
          <a:avLst/>
        </a:prstGeom>
      </dgm:spPr>
    </dgm:pt>
    <dgm:pt modelId="{29390A5C-64BB-4755-A5D9-794EF587FA87}" type="pres">
      <dgm:prSet presAssocID="{097F693A-43BC-4D3B-963B-4ED397EB0C6E}" presName="sibTrans" presStyleCnt="0"/>
      <dgm:spPr/>
    </dgm:pt>
    <dgm:pt modelId="{67DFE1FE-833B-4B60-94EC-6C88903964D8}" type="pres">
      <dgm:prSet presAssocID="{CEE8A37D-BB5B-49A9-8DC4-D192418152AB}" presName="node" presStyleLbl="node1" presStyleIdx="3" presStyleCnt="8">
        <dgm:presLayoutVars>
          <dgm:bulletEnabled val="1"/>
        </dgm:presLayoutVars>
      </dgm:prSet>
      <dgm:spPr>
        <a:prstGeom prst="flowChartAlternateProcess">
          <a:avLst/>
        </a:prstGeom>
      </dgm:spPr>
    </dgm:pt>
    <dgm:pt modelId="{F4CDB7A6-BF8F-443B-BE97-2FD5BE362EFB}" type="pres">
      <dgm:prSet presAssocID="{565826DB-58E0-495A-866D-240E09B2A51E}" presName="sibTrans" presStyleCnt="0"/>
      <dgm:spPr/>
    </dgm:pt>
    <dgm:pt modelId="{0CCF2891-2ABA-4753-9F38-76CBD6AD76E8}" type="pres">
      <dgm:prSet presAssocID="{DEF23A36-781A-47F8-92CB-0A6B51127A2B}" presName="node" presStyleLbl="node1" presStyleIdx="4" presStyleCnt="8">
        <dgm:presLayoutVars>
          <dgm:bulletEnabled val="1"/>
        </dgm:presLayoutVars>
      </dgm:prSet>
      <dgm:spPr>
        <a:prstGeom prst="flowChartAlternateProcess">
          <a:avLst/>
        </a:prstGeom>
      </dgm:spPr>
    </dgm:pt>
    <dgm:pt modelId="{59F2065E-6ABC-4546-AAEA-ECA151C821CB}" type="pres">
      <dgm:prSet presAssocID="{A31A41F4-A952-4CBD-ADC3-341257B5624C}" presName="sibTrans" presStyleCnt="0"/>
      <dgm:spPr/>
    </dgm:pt>
    <dgm:pt modelId="{FB9121C3-68C0-4B16-A8D7-7C432B1C680D}" type="pres">
      <dgm:prSet presAssocID="{44C4CCA3-F4D1-4394-BB08-4483E94BB13D}" presName="node" presStyleLbl="node1" presStyleIdx="5" presStyleCnt="8">
        <dgm:presLayoutVars>
          <dgm:bulletEnabled val="1"/>
        </dgm:presLayoutVars>
      </dgm:prSet>
      <dgm:spPr>
        <a:prstGeom prst="flowChartAlternateProcess">
          <a:avLst/>
        </a:prstGeom>
      </dgm:spPr>
    </dgm:pt>
    <dgm:pt modelId="{6026D6C5-A0BF-4EC2-BB05-9578F0944B46}" type="pres">
      <dgm:prSet presAssocID="{C729E8C7-B890-4E33-B725-D2A6B186C6F3}" presName="sibTrans" presStyleCnt="0"/>
      <dgm:spPr/>
    </dgm:pt>
    <dgm:pt modelId="{FE553129-93D5-4A7A-B48C-BE458CD389B9}" type="pres">
      <dgm:prSet presAssocID="{53ECEBB8-669D-4ABE-A125-849F6E6C2382}" presName="node" presStyleLbl="node1" presStyleIdx="6" presStyleCnt="8">
        <dgm:presLayoutVars>
          <dgm:bulletEnabled val="1"/>
        </dgm:presLayoutVars>
      </dgm:prSet>
      <dgm:spPr>
        <a:prstGeom prst="flowChartAlternateProcess">
          <a:avLst/>
        </a:prstGeom>
      </dgm:spPr>
    </dgm:pt>
    <dgm:pt modelId="{BCEC9407-B5D5-4CFF-B2AF-4BC6A970677C}" type="pres">
      <dgm:prSet presAssocID="{A7757A22-C284-4694-BA1A-E006AC04C07D}" presName="sibTrans" presStyleCnt="0"/>
      <dgm:spPr/>
    </dgm:pt>
    <dgm:pt modelId="{E42F362E-BF97-4B71-8B8C-3BE6F37AE439}" type="pres">
      <dgm:prSet presAssocID="{B82288DB-ADB9-4FFE-98C9-6AC967299B29}" presName="node" presStyleLbl="node1" presStyleIdx="7" presStyleCnt="8">
        <dgm:presLayoutVars>
          <dgm:bulletEnabled val="1"/>
        </dgm:presLayoutVars>
      </dgm:prSet>
      <dgm:spPr>
        <a:prstGeom prst="flowChartAlternateProcess">
          <a:avLst/>
        </a:prstGeom>
      </dgm:spPr>
    </dgm:pt>
  </dgm:ptLst>
  <dgm:cxnLst>
    <dgm:cxn modelId="{B7746103-7752-4AD0-96FC-CDFB9CCFD69C}" type="presOf" srcId="{53ECEBB8-669D-4ABE-A125-849F6E6C2382}" destId="{FE553129-93D5-4A7A-B48C-BE458CD389B9}" srcOrd="0" destOrd="0" presId="urn:microsoft.com/office/officeart/2005/8/layout/default"/>
    <dgm:cxn modelId="{180FCD0E-9CC6-4879-8375-268D6266A375}" srcId="{B2346712-6F20-40CB-B60B-58643F3F10CD}" destId="{DEF23A36-781A-47F8-92CB-0A6B51127A2B}" srcOrd="4" destOrd="0" parTransId="{CBD60188-4DC7-44AF-8FC0-36C22C7C8271}" sibTransId="{A31A41F4-A952-4CBD-ADC3-341257B5624C}"/>
    <dgm:cxn modelId="{E084D217-77C4-4D56-B64F-36D71A564A57}" srcId="{B2346712-6F20-40CB-B60B-58643F3F10CD}" destId="{44C4CCA3-F4D1-4394-BB08-4483E94BB13D}" srcOrd="5" destOrd="0" parTransId="{F58DDD1D-8337-4A10-BC48-D97DEED4B301}" sibTransId="{C729E8C7-B890-4E33-B725-D2A6B186C6F3}"/>
    <dgm:cxn modelId="{98DDE41D-CCFE-4C21-90A5-D1C8F8955E76}" srcId="{B2346712-6F20-40CB-B60B-58643F3F10CD}" destId="{868A249C-E85C-4006-AEEA-291EB5BBD4FE}" srcOrd="2" destOrd="0" parTransId="{1A531754-07DF-4DAC-BFC9-64DBA3B7C6AB}" sibTransId="{097F693A-43BC-4D3B-963B-4ED397EB0C6E}"/>
    <dgm:cxn modelId="{B7A34C24-8A0D-4B4A-892E-4EA644FFF7E4}" srcId="{B2346712-6F20-40CB-B60B-58643F3F10CD}" destId="{2BFCC35C-ED8F-4780-9C70-FDEC11F99838}" srcOrd="1" destOrd="0" parTransId="{4C4EF45D-0AA3-4BE1-B086-654F2E71CE13}" sibTransId="{DD8DFE4F-C68A-4039-A506-7C1E9558DD30}"/>
    <dgm:cxn modelId="{35243F32-1590-403F-BE1B-B125E9F2FE2A}" type="presOf" srcId="{3082A570-0841-4281-A443-BF005CFABEFB}" destId="{9C0A0A58-E7F5-46AF-B08C-23F321789B56}" srcOrd="0" destOrd="0" presId="urn:microsoft.com/office/officeart/2005/8/layout/default"/>
    <dgm:cxn modelId="{2D810F36-A87F-4666-A9FB-5E8C41C4612B}" srcId="{B2346712-6F20-40CB-B60B-58643F3F10CD}" destId="{3082A570-0841-4281-A443-BF005CFABEFB}" srcOrd="0" destOrd="0" parTransId="{652DADCB-7433-48F5-9CF6-5EC2DC969990}" sibTransId="{43867EBC-73EC-42D3-9B1D-73D87DDECE00}"/>
    <dgm:cxn modelId="{590DC969-0514-46FA-ACB0-7C8975B2C718}" type="presOf" srcId="{B82288DB-ADB9-4FFE-98C9-6AC967299B29}" destId="{E42F362E-BF97-4B71-8B8C-3BE6F37AE439}" srcOrd="0" destOrd="0" presId="urn:microsoft.com/office/officeart/2005/8/layout/default"/>
    <dgm:cxn modelId="{6EC2914A-7CE7-45DC-A944-621A33FB207F}" type="presOf" srcId="{2BFCC35C-ED8F-4780-9C70-FDEC11F99838}" destId="{6E4DD8D1-0CD8-471C-9BBD-4859D8FF5C98}" srcOrd="0" destOrd="0" presId="urn:microsoft.com/office/officeart/2005/8/layout/default"/>
    <dgm:cxn modelId="{B0DE654B-049D-4627-A554-DC64EF76B82F}" type="presOf" srcId="{868A249C-E85C-4006-AEEA-291EB5BBD4FE}" destId="{8BF22913-8EEB-4E83-8AE3-DACD210027B7}" srcOrd="0" destOrd="0" presId="urn:microsoft.com/office/officeart/2005/8/layout/default"/>
    <dgm:cxn modelId="{B933A675-93ED-48D2-BCC6-545997D28F74}" srcId="{B2346712-6F20-40CB-B60B-58643F3F10CD}" destId="{B82288DB-ADB9-4FFE-98C9-6AC967299B29}" srcOrd="7" destOrd="0" parTransId="{2835C803-D97E-4B05-9B94-352044A0605A}" sibTransId="{D7FE8BDB-9DE2-46AD-92CA-9545FF5DFC52}"/>
    <dgm:cxn modelId="{8B61F386-BFCD-4D55-9E40-B7FBF4A5AEBE}" type="presOf" srcId="{44C4CCA3-F4D1-4394-BB08-4483E94BB13D}" destId="{FB9121C3-68C0-4B16-A8D7-7C432B1C680D}" srcOrd="0" destOrd="0" presId="urn:microsoft.com/office/officeart/2005/8/layout/default"/>
    <dgm:cxn modelId="{C41C1095-9AB8-4A1F-BA1D-548EBD83183A}" type="presOf" srcId="{DEF23A36-781A-47F8-92CB-0A6B51127A2B}" destId="{0CCF2891-2ABA-4753-9F38-76CBD6AD76E8}" srcOrd="0" destOrd="0" presId="urn:microsoft.com/office/officeart/2005/8/layout/default"/>
    <dgm:cxn modelId="{3E47F9B3-6604-4B2F-B9F9-D69D2D68DD80}" srcId="{B2346712-6F20-40CB-B60B-58643F3F10CD}" destId="{53ECEBB8-669D-4ABE-A125-849F6E6C2382}" srcOrd="6" destOrd="0" parTransId="{71851311-50BC-4126-97D8-B72B73E2C980}" sibTransId="{A7757A22-C284-4694-BA1A-E006AC04C07D}"/>
    <dgm:cxn modelId="{B7F8F6ED-E77A-4BA9-95BC-694CFCFD9E67}" type="presOf" srcId="{CEE8A37D-BB5B-49A9-8DC4-D192418152AB}" destId="{67DFE1FE-833B-4B60-94EC-6C88903964D8}" srcOrd="0" destOrd="0" presId="urn:microsoft.com/office/officeart/2005/8/layout/default"/>
    <dgm:cxn modelId="{51A060EE-9B26-4595-A4DB-52ED485ECF4C}" type="presOf" srcId="{B2346712-6F20-40CB-B60B-58643F3F10CD}" destId="{D31DCE19-819D-4175-B913-D65024D61636}" srcOrd="0" destOrd="0" presId="urn:microsoft.com/office/officeart/2005/8/layout/default"/>
    <dgm:cxn modelId="{9C3AC9F2-B3E3-4466-BA34-364B67A1AF51}" srcId="{B2346712-6F20-40CB-B60B-58643F3F10CD}" destId="{CEE8A37D-BB5B-49A9-8DC4-D192418152AB}" srcOrd="3" destOrd="0" parTransId="{B5292DDA-25C6-4A45-806B-504A2ABDA816}" sibTransId="{565826DB-58E0-495A-866D-240E09B2A51E}"/>
    <dgm:cxn modelId="{6FF732A9-6596-47E3-8D0D-C4BD61629EFA}" type="presParOf" srcId="{D31DCE19-819D-4175-B913-D65024D61636}" destId="{9C0A0A58-E7F5-46AF-B08C-23F321789B56}" srcOrd="0" destOrd="0" presId="urn:microsoft.com/office/officeart/2005/8/layout/default"/>
    <dgm:cxn modelId="{50681B8C-5B3E-437B-B866-37BF675C8B44}" type="presParOf" srcId="{D31DCE19-819D-4175-B913-D65024D61636}" destId="{9F67391A-0069-41FA-AF2E-846696FB2DCB}" srcOrd="1" destOrd="0" presId="urn:microsoft.com/office/officeart/2005/8/layout/default"/>
    <dgm:cxn modelId="{2C199F13-A9F5-4DD7-9082-E0141C2F2351}" type="presParOf" srcId="{D31DCE19-819D-4175-B913-D65024D61636}" destId="{6E4DD8D1-0CD8-471C-9BBD-4859D8FF5C98}" srcOrd="2" destOrd="0" presId="urn:microsoft.com/office/officeart/2005/8/layout/default"/>
    <dgm:cxn modelId="{BDC4B20F-C1B4-4EEC-92C1-A1ADA989EC48}" type="presParOf" srcId="{D31DCE19-819D-4175-B913-D65024D61636}" destId="{EA6975E0-A9C8-4E67-A1B7-EF4910087D60}" srcOrd="3" destOrd="0" presId="urn:microsoft.com/office/officeart/2005/8/layout/default"/>
    <dgm:cxn modelId="{3B2CB9C8-BD85-47F7-8CE0-396090936EF1}" type="presParOf" srcId="{D31DCE19-819D-4175-B913-D65024D61636}" destId="{8BF22913-8EEB-4E83-8AE3-DACD210027B7}" srcOrd="4" destOrd="0" presId="urn:microsoft.com/office/officeart/2005/8/layout/default"/>
    <dgm:cxn modelId="{9336B96B-384A-4B45-8EEF-132E617B426D}" type="presParOf" srcId="{D31DCE19-819D-4175-B913-D65024D61636}" destId="{29390A5C-64BB-4755-A5D9-794EF587FA87}" srcOrd="5" destOrd="0" presId="urn:microsoft.com/office/officeart/2005/8/layout/default"/>
    <dgm:cxn modelId="{6245A16B-051F-4D29-AB0C-F2624964120A}" type="presParOf" srcId="{D31DCE19-819D-4175-B913-D65024D61636}" destId="{67DFE1FE-833B-4B60-94EC-6C88903964D8}" srcOrd="6" destOrd="0" presId="urn:microsoft.com/office/officeart/2005/8/layout/default"/>
    <dgm:cxn modelId="{E8CDF9C6-67F1-401C-ACDE-C2C127707706}" type="presParOf" srcId="{D31DCE19-819D-4175-B913-D65024D61636}" destId="{F4CDB7A6-BF8F-443B-BE97-2FD5BE362EFB}" srcOrd="7" destOrd="0" presId="urn:microsoft.com/office/officeart/2005/8/layout/default"/>
    <dgm:cxn modelId="{20E8BDE6-2928-4A17-AAC8-F4F3BBC0A9CA}" type="presParOf" srcId="{D31DCE19-819D-4175-B913-D65024D61636}" destId="{0CCF2891-2ABA-4753-9F38-76CBD6AD76E8}" srcOrd="8" destOrd="0" presId="urn:microsoft.com/office/officeart/2005/8/layout/default"/>
    <dgm:cxn modelId="{9BCBC405-31A1-4076-8251-1D9C4199AC72}" type="presParOf" srcId="{D31DCE19-819D-4175-B913-D65024D61636}" destId="{59F2065E-6ABC-4546-AAEA-ECA151C821CB}" srcOrd="9" destOrd="0" presId="urn:microsoft.com/office/officeart/2005/8/layout/default"/>
    <dgm:cxn modelId="{B0391AD8-5907-4BE6-97A1-48C37101E56D}" type="presParOf" srcId="{D31DCE19-819D-4175-B913-D65024D61636}" destId="{FB9121C3-68C0-4B16-A8D7-7C432B1C680D}" srcOrd="10" destOrd="0" presId="urn:microsoft.com/office/officeart/2005/8/layout/default"/>
    <dgm:cxn modelId="{B903C593-6838-4AD6-BDBE-B2854F772B38}" type="presParOf" srcId="{D31DCE19-819D-4175-B913-D65024D61636}" destId="{6026D6C5-A0BF-4EC2-BB05-9578F0944B46}" srcOrd="11" destOrd="0" presId="urn:microsoft.com/office/officeart/2005/8/layout/default"/>
    <dgm:cxn modelId="{E863353F-8940-4F3F-980F-1E8CCF561054}" type="presParOf" srcId="{D31DCE19-819D-4175-B913-D65024D61636}" destId="{FE553129-93D5-4A7A-B48C-BE458CD389B9}" srcOrd="12" destOrd="0" presId="urn:microsoft.com/office/officeart/2005/8/layout/default"/>
    <dgm:cxn modelId="{330D6277-BABA-44C1-B2D1-ACB115EB85AC}" type="presParOf" srcId="{D31DCE19-819D-4175-B913-D65024D61636}" destId="{BCEC9407-B5D5-4CFF-B2AF-4BC6A970677C}" srcOrd="13" destOrd="0" presId="urn:microsoft.com/office/officeart/2005/8/layout/default"/>
    <dgm:cxn modelId="{0DAF6F76-225C-4825-B6DF-467058DC8A8A}" type="presParOf" srcId="{D31DCE19-819D-4175-B913-D65024D61636}" destId="{E42F362E-BF97-4B71-8B8C-3BE6F37AE439}" srcOrd="14" destOrd="0" presId="urn:microsoft.com/office/officeart/2005/8/layout/default"/>
  </dgm:cxnLst>
  <dgm:bg/>
  <dgm:whole/>
  <dgm:extLst>
    <a:ext uri="http://schemas.microsoft.com/office/drawing/2008/diagram">
      <dsp:dataModelExt xmlns:dsp="http://schemas.microsoft.com/office/drawing/2008/diagram" relId="rId326"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B2346712-6F20-40CB-B60B-58643F3F10CD}" type="doc">
      <dgm:prSet loTypeId="urn:microsoft.com/office/officeart/2005/8/layout/default" loCatId="list" qsTypeId="urn:microsoft.com/office/officeart/2005/8/quickstyle/simple1" qsCatId="simple" csTypeId="urn:microsoft.com/office/officeart/2005/8/colors/accent2_3" csCatId="accent2" phldr="1"/>
      <dgm:spPr/>
      <dgm:t>
        <a:bodyPr/>
        <a:lstStyle/>
        <a:p>
          <a:endParaRPr lang="en-US"/>
        </a:p>
      </dgm:t>
    </dgm:pt>
    <dgm:pt modelId="{40F7C77D-FF32-41C6-941C-826ECD3111D3}">
      <dgm:prSet/>
      <dgm:spPr/>
      <dgm:t>
        <a:bodyPr/>
        <a:lstStyle/>
        <a:p>
          <a:r>
            <a:rPr lang="ro-RO" b="1"/>
            <a:t>Densitatea ridicată a populației</a:t>
          </a:r>
          <a:endParaRPr lang="en-US" b="1"/>
        </a:p>
      </dgm:t>
    </dgm:pt>
    <dgm:pt modelId="{6AC64B9E-FBD7-40F4-9FCF-8D2E0F5F3C86}" type="parTrans" cxnId="{94DD3443-BFEF-47BB-821C-D902C9F96618}">
      <dgm:prSet/>
      <dgm:spPr/>
      <dgm:t>
        <a:bodyPr/>
        <a:lstStyle/>
        <a:p>
          <a:endParaRPr lang="en-US" b="1"/>
        </a:p>
      </dgm:t>
    </dgm:pt>
    <dgm:pt modelId="{0D6688BD-A117-41A8-AD89-907DD65DABA8}" type="sibTrans" cxnId="{94DD3443-BFEF-47BB-821C-D902C9F96618}">
      <dgm:prSet/>
      <dgm:spPr/>
      <dgm:t>
        <a:bodyPr/>
        <a:lstStyle/>
        <a:p>
          <a:endParaRPr lang="en-US" b="1"/>
        </a:p>
      </dgm:t>
    </dgm:pt>
    <dgm:pt modelId="{F2BA422E-CB4C-4502-8753-5BBCB6748EC0}">
      <dgm:prSet/>
      <dgm:spPr/>
      <dgm:t>
        <a:bodyPr/>
        <a:lstStyle/>
        <a:p>
          <a:r>
            <a:rPr lang="ro-RO" b="1"/>
            <a:t>Sectorul HoReCa</a:t>
          </a:r>
          <a:endParaRPr lang="en-US" b="1"/>
        </a:p>
      </dgm:t>
    </dgm:pt>
    <dgm:pt modelId="{D67C4473-EA19-4EE0-9C5E-B8808C3578C0}" type="parTrans" cxnId="{B2C55518-A221-47F7-B891-FE9705A7ED08}">
      <dgm:prSet/>
      <dgm:spPr/>
      <dgm:t>
        <a:bodyPr/>
        <a:lstStyle/>
        <a:p>
          <a:endParaRPr lang="en-US" b="1"/>
        </a:p>
      </dgm:t>
    </dgm:pt>
    <dgm:pt modelId="{D8A73A8C-7E71-416A-8E25-595AB52D7AFB}" type="sibTrans" cxnId="{B2C55518-A221-47F7-B891-FE9705A7ED08}">
      <dgm:prSet/>
      <dgm:spPr/>
      <dgm:t>
        <a:bodyPr/>
        <a:lstStyle/>
        <a:p>
          <a:endParaRPr lang="en-US" b="1"/>
        </a:p>
      </dgm:t>
    </dgm:pt>
    <dgm:pt modelId="{C0FC54E2-1413-4514-A292-D04CEED66BB4}">
      <dgm:prSet/>
      <dgm:spPr/>
      <dgm:t>
        <a:bodyPr/>
        <a:lstStyle/>
        <a:p>
          <a:r>
            <a:rPr lang="ro-RO" b="1"/>
            <a:t>Digitalizarea</a:t>
          </a:r>
          <a:endParaRPr lang="en-US" b="1"/>
        </a:p>
      </dgm:t>
    </dgm:pt>
    <dgm:pt modelId="{3BEE8732-C77F-4138-918F-97221ED4E8D2}" type="parTrans" cxnId="{F261E431-423D-4D88-8990-F2E5B1380610}">
      <dgm:prSet/>
      <dgm:spPr/>
      <dgm:t>
        <a:bodyPr/>
        <a:lstStyle/>
        <a:p>
          <a:endParaRPr lang="en-US" b="1"/>
        </a:p>
      </dgm:t>
    </dgm:pt>
    <dgm:pt modelId="{2A0A4935-F829-4949-9082-141A72A2029F}" type="sibTrans" cxnId="{F261E431-423D-4D88-8990-F2E5B1380610}">
      <dgm:prSet/>
      <dgm:spPr/>
      <dgm:t>
        <a:bodyPr/>
        <a:lstStyle/>
        <a:p>
          <a:endParaRPr lang="en-US" b="1"/>
        </a:p>
      </dgm:t>
    </dgm:pt>
    <dgm:pt modelId="{875CD2DC-135F-4404-8F52-2724685C1E75}">
      <dgm:prSet/>
      <dgm:spPr/>
      <dgm:t>
        <a:bodyPr/>
        <a:lstStyle/>
        <a:p>
          <a:r>
            <a:rPr lang="ro-RO" b="1"/>
            <a:t>Finanțările nerambursabile</a:t>
          </a:r>
          <a:endParaRPr lang="en-US" b="1"/>
        </a:p>
      </dgm:t>
    </dgm:pt>
    <dgm:pt modelId="{B248B9C3-781F-436B-B6EB-09F64698F0A5}" type="parTrans" cxnId="{1CDA8C00-F071-476F-97E2-AAC066E3A52A}">
      <dgm:prSet/>
      <dgm:spPr/>
      <dgm:t>
        <a:bodyPr/>
        <a:lstStyle/>
        <a:p>
          <a:endParaRPr lang="en-US" b="1"/>
        </a:p>
      </dgm:t>
    </dgm:pt>
    <dgm:pt modelId="{95FCAAB0-76A1-4427-A9E6-1FEF07BE213B}" type="sibTrans" cxnId="{1CDA8C00-F071-476F-97E2-AAC066E3A52A}">
      <dgm:prSet/>
      <dgm:spPr/>
      <dgm:t>
        <a:bodyPr/>
        <a:lstStyle/>
        <a:p>
          <a:endParaRPr lang="en-US" b="1"/>
        </a:p>
      </dgm:t>
    </dgm:pt>
    <dgm:pt modelId="{BB92FF2C-7A27-4309-BA56-5C82B0C35C6F}">
      <dgm:prSet/>
      <dgm:spPr/>
      <dgm:t>
        <a:bodyPr/>
        <a:lstStyle/>
        <a:p>
          <a:r>
            <a:rPr lang="ro-RO" b="1"/>
            <a:t>Accesul la legături de transport internaționale</a:t>
          </a:r>
          <a:endParaRPr lang="en-US" b="1"/>
        </a:p>
      </dgm:t>
    </dgm:pt>
    <dgm:pt modelId="{D7491C4F-A616-45D2-A4AD-20390C891216}" type="parTrans" cxnId="{9F9FAC79-CBAB-4852-B3CF-EFDEE03E8BEE}">
      <dgm:prSet/>
      <dgm:spPr/>
      <dgm:t>
        <a:bodyPr/>
        <a:lstStyle/>
        <a:p>
          <a:endParaRPr lang="en-US" b="1"/>
        </a:p>
      </dgm:t>
    </dgm:pt>
    <dgm:pt modelId="{1A2E9470-0DBA-4209-9720-44BEA14E4892}" type="sibTrans" cxnId="{9F9FAC79-CBAB-4852-B3CF-EFDEE03E8BEE}">
      <dgm:prSet/>
      <dgm:spPr/>
      <dgm:t>
        <a:bodyPr/>
        <a:lstStyle/>
        <a:p>
          <a:endParaRPr lang="en-US" b="1"/>
        </a:p>
      </dgm:t>
    </dgm:pt>
    <dgm:pt modelId="{0ED3AEE8-E1B9-41CD-9815-DCA02C6B4B56}">
      <dgm:prSet/>
      <dgm:spPr/>
      <dgm:t>
        <a:bodyPr/>
        <a:lstStyle/>
        <a:p>
          <a:r>
            <a:rPr lang="ro-RO" b="1"/>
            <a:t>Potențialul de dezvoltare imobiliară</a:t>
          </a:r>
          <a:endParaRPr lang="en-US" b="1"/>
        </a:p>
      </dgm:t>
    </dgm:pt>
    <dgm:pt modelId="{3467EE93-1576-4967-A190-99A40B124567}" type="parTrans" cxnId="{1DE1AB08-18B9-4AEB-889C-2362492E7FAA}">
      <dgm:prSet/>
      <dgm:spPr/>
      <dgm:t>
        <a:bodyPr/>
        <a:lstStyle/>
        <a:p>
          <a:endParaRPr lang="en-US" b="1"/>
        </a:p>
      </dgm:t>
    </dgm:pt>
    <dgm:pt modelId="{57D8C24C-1198-46A7-B9E2-EF64FAFD1350}" type="sibTrans" cxnId="{1DE1AB08-18B9-4AEB-889C-2362492E7FAA}">
      <dgm:prSet/>
      <dgm:spPr/>
      <dgm:t>
        <a:bodyPr/>
        <a:lstStyle/>
        <a:p>
          <a:endParaRPr lang="en-US" b="1"/>
        </a:p>
      </dgm:t>
    </dgm:pt>
    <dgm:pt modelId="{F1C71160-A167-4C26-BCAD-DFD8CE0E7AB2}">
      <dgm:prSet/>
      <dgm:spPr/>
      <dgm:t>
        <a:bodyPr/>
        <a:lstStyle/>
        <a:p>
          <a:r>
            <a:rPr lang="ro-RO" b="1"/>
            <a:t>Concentrarea zonelor de afaceri din nordul Sectorului 2</a:t>
          </a:r>
          <a:endParaRPr lang="en-US" b="1"/>
        </a:p>
      </dgm:t>
    </dgm:pt>
    <dgm:pt modelId="{4D9D6AB5-C2DD-46D4-AB14-262ED36834F3}" type="parTrans" cxnId="{CD33AB95-AE4E-4AF9-9D1F-4057039BA618}">
      <dgm:prSet/>
      <dgm:spPr/>
      <dgm:t>
        <a:bodyPr/>
        <a:lstStyle/>
        <a:p>
          <a:endParaRPr lang="en-US" b="1"/>
        </a:p>
      </dgm:t>
    </dgm:pt>
    <dgm:pt modelId="{D9D667C9-14B7-4789-A027-DE438D5D449E}" type="sibTrans" cxnId="{CD33AB95-AE4E-4AF9-9D1F-4057039BA618}">
      <dgm:prSet/>
      <dgm:spPr/>
      <dgm:t>
        <a:bodyPr/>
        <a:lstStyle/>
        <a:p>
          <a:endParaRPr lang="en-US" b="1"/>
        </a:p>
      </dgm:t>
    </dgm:pt>
    <dgm:pt modelId="{1F40A483-490D-401A-B00C-BC6A09DE9EA6}">
      <dgm:prSet/>
      <dgm:spPr/>
      <dgm:t>
        <a:bodyPr/>
        <a:lstStyle/>
        <a:p>
          <a:r>
            <a:rPr lang="ro-RO" b="1"/>
            <a:t>Ponderea ridicată a angajaților în Sectorul 2 din totalul angajaților din mun. București</a:t>
          </a:r>
          <a:endParaRPr lang="en-US" b="1"/>
        </a:p>
      </dgm:t>
    </dgm:pt>
    <dgm:pt modelId="{9E4ADF9A-AA90-40C4-86BD-3FD92EE2198C}" type="parTrans" cxnId="{60062FE5-B33E-45A8-86D8-E36D80A97D85}">
      <dgm:prSet/>
      <dgm:spPr/>
      <dgm:t>
        <a:bodyPr/>
        <a:lstStyle/>
        <a:p>
          <a:endParaRPr lang="en-US" b="1"/>
        </a:p>
      </dgm:t>
    </dgm:pt>
    <dgm:pt modelId="{1D6D4799-E9CE-4224-82AB-90DA10B897F0}" type="sibTrans" cxnId="{60062FE5-B33E-45A8-86D8-E36D80A97D85}">
      <dgm:prSet/>
      <dgm:spPr/>
      <dgm:t>
        <a:bodyPr/>
        <a:lstStyle/>
        <a:p>
          <a:endParaRPr lang="en-US" b="1"/>
        </a:p>
      </dgm:t>
    </dgm:pt>
    <dgm:pt modelId="{5458475D-B28B-4AE4-A0F3-322BBBF9C530}">
      <dgm:prSet/>
      <dgm:spPr/>
      <dgm:t>
        <a:bodyPr/>
        <a:lstStyle/>
        <a:p>
          <a:r>
            <a:rPr lang="ro-RO" b="1"/>
            <a:t>Poziționarea geografică</a:t>
          </a:r>
          <a:endParaRPr lang="en-US" b="1"/>
        </a:p>
      </dgm:t>
    </dgm:pt>
    <dgm:pt modelId="{2206D82E-24BE-40AE-9B1C-9870DE18C0B2}" type="parTrans" cxnId="{054A1D5D-53EF-4075-8040-2140FCBAD83F}">
      <dgm:prSet/>
      <dgm:spPr/>
      <dgm:t>
        <a:bodyPr/>
        <a:lstStyle/>
        <a:p>
          <a:endParaRPr lang="en-US" b="1"/>
        </a:p>
      </dgm:t>
    </dgm:pt>
    <dgm:pt modelId="{396DC70F-F553-4DDD-AE93-F9BD82784987}" type="sibTrans" cxnId="{054A1D5D-53EF-4075-8040-2140FCBAD83F}">
      <dgm:prSet/>
      <dgm:spPr/>
      <dgm:t>
        <a:bodyPr/>
        <a:lstStyle/>
        <a:p>
          <a:endParaRPr lang="en-US" b="1"/>
        </a:p>
      </dgm:t>
    </dgm:pt>
    <dgm:pt modelId="{29730C3E-5403-4763-A52F-62D45D3EFCC7}">
      <dgm:prSet/>
      <dgm:spPr/>
      <dgm:t>
        <a:bodyPr/>
        <a:lstStyle/>
        <a:p>
          <a:r>
            <a:rPr lang="ro-RO" b="1"/>
            <a:t>Dezvoltarea infrastructurii</a:t>
          </a:r>
          <a:endParaRPr lang="en-US" b="1"/>
        </a:p>
      </dgm:t>
    </dgm:pt>
    <dgm:pt modelId="{DB84C580-C148-4F64-9890-4F85E72B0D3A}" type="parTrans" cxnId="{52740139-1BDC-41D5-9AF6-4981FFC1F207}">
      <dgm:prSet/>
      <dgm:spPr/>
      <dgm:t>
        <a:bodyPr/>
        <a:lstStyle/>
        <a:p>
          <a:endParaRPr lang="en-US" b="1"/>
        </a:p>
      </dgm:t>
    </dgm:pt>
    <dgm:pt modelId="{6E8EA984-69BD-4736-86B8-90E34C662B28}" type="sibTrans" cxnId="{52740139-1BDC-41D5-9AF6-4981FFC1F207}">
      <dgm:prSet/>
      <dgm:spPr/>
      <dgm:t>
        <a:bodyPr/>
        <a:lstStyle/>
        <a:p>
          <a:endParaRPr lang="en-US" b="1"/>
        </a:p>
      </dgm:t>
    </dgm:pt>
    <dgm:pt modelId="{B71CADC0-87F0-4D8B-BB6A-B870E69B65D5}">
      <dgm:prSet/>
      <dgm:spPr/>
      <dgm:t>
        <a:bodyPr/>
        <a:lstStyle/>
        <a:p>
          <a:r>
            <a:rPr lang="ro-RO" b="1"/>
            <a:t>Sistemul educațional</a:t>
          </a:r>
          <a:endParaRPr lang="en-US" b="1"/>
        </a:p>
      </dgm:t>
    </dgm:pt>
    <dgm:pt modelId="{A5695ED6-0EC7-4F9B-906A-76B88D860DC4}" type="parTrans" cxnId="{F53738C1-150B-4518-909D-E6A7D03103A4}">
      <dgm:prSet/>
      <dgm:spPr/>
      <dgm:t>
        <a:bodyPr/>
        <a:lstStyle/>
        <a:p>
          <a:endParaRPr lang="en-US" b="1"/>
        </a:p>
      </dgm:t>
    </dgm:pt>
    <dgm:pt modelId="{BB59956E-3AF2-4667-9341-EB2E09EF55E4}" type="sibTrans" cxnId="{F53738C1-150B-4518-909D-E6A7D03103A4}">
      <dgm:prSet/>
      <dgm:spPr/>
      <dgm:t>
        <a:bodyPr/>
        <a:lstStyle/>
        <a:p>
          <a:endParaRPr lang="en-US" b="1"/>
        </a:p>
      </dgm:t>
    </dgm:pt>
    <dgm:pt modelId="{176B06F1-57B4-4C2E-A0BD-D8FF6071712E}">
      <dgm:prSet/>
      <dgm:spPr/>
      <dgm:t>
        <a:bodyPr/>
        <a:lstStyle/>
        <a:p>
          <a:r>
            <a:rPr lang="ro-RO" b="1"/>
            <a:t>Transportul zonal dezvoltat</a:t>
          </a:r>
          <a:endParaRPr lang="en-US" b="1"/>
        </a:p>
      </dgm:t>
    </dgm:pt>
    <dgm:pt modelId="{86019ED8-2CD0-4754-AE6E-469DC2293189}" type="parTrans" cxnId="{43D1BD3B-DAE3-475D-927F-7DD0B0E00FF6}">
      <dgm:prSet/>
      <dgm:spPr/>
      <dgm:t>
        <a:bodyPr/>
        <a:lstStyle/>
        <a:p>
          <a:endParaRPr lang="en-US" b="1"/>
        </a:p>
      </dgm:t>
    </dgm:pt>
    <dgm:pt modelId="{19A434E7-E0B1-4D4B-93C5-551ABB0495D0}" type="sibTrans" cxnId="{43D1BD3B-DAE3-475D-927F-7DD0B0E00FF6}">
      <dgm:prSet/>
      <dgm:spPr/>
      <dgm:t>
        <a:bodyPr/>
        <a:lstStyle/>
        <a:p>
          <a:endParaRPr lang="en-US" b="1"/>
        </a:p>
      </dgm:t>
    </dgm:pt>
    <dgm:pt modelId="{5B28064D-6E74-4A8E-BFB8-B4056CBA80FD}">
      <dgm:prSet/>
      <dgm:spPr/>
      <dgm:t>
        <a:bodyPr/>
        <a:lstStyle/>
        <a:p>
          <a:r>
            <a:rPr lang="ro-RO" b="1"/>
            <a:t>Existența companiilor de înaltă tehnologie</a:t>
          </a:r>
          <a:endParaRPr lang="en-US" b="1"/>
        </a:p>
      </dgm:t>
    </dgm:pt>
    <dgm:pt modelId="{5BA5DB9F-9522-42AA-A69B-6228554372CF}" type="parTrans" cxnId="{2CF95CC9-4361-4F71-AF2E-AED418BE6DBB}">
      <dgm:prSet/>
      <dgm:spPr/>
      <dgm:t>
        <a:bodyPr/>
        <a:lstStyle/>
        <a:p>
          <a:endParaRPr lang="en-US" b="1"/>
        </a:p>
      </dgm:t>
    </dgm:pt>
    <dgm:pt modelId="{884F7F93-3567-45FC-AA32-E6D730DB3A3E}" type="sibTrans" cxnId="{2CF95CC9-4361-4F71-AF2E-AED418BE6DBB}">
      <dgm:prSet/>
      <dgm:spPr/>
      <dgm:t>
        <a:bodyPr/>
        <a:lstStyle/>
        <a:p>
          <a:endParaRPr lang="en-US" b="1"/>
        </a:p>
      </dgm:t>
    </dgm:pt>
    <dgm:pt modelId="{425A4DAC-7188-4E49-B1BA-2CA1B298BCB0}">
      <dgm:prSet/>
      <dgm:spPr/>
      <dgm:t>
        <a:bodyPr/>
        <a:lstStyle/>
        <a:p>
          <a:r>
            <a:rPr lang="ro-RO" b="1"/>
            <a:t>Prețul decent al spațiilor de birouri</a:t>
          </a:r>
          <a:endParaRPr lang="en-US" b="1"/>
        </a:p>
      </dgm:t>
    </dgm:pt>
    <dgm:pt modelId="{0A23A5F4-29E7-4AE0-BB3C-47AD4D278B36}" type="parTrans" cxnId="{0A56625B-1CC3-41E1-86F6-8084D91E4A48}">
      <dgm:prSet/>
      <dgm:spPr/>
      <dgm:t>
        <a:bodyPr/>
        <a:lstStyle/>
        <a:p>
          <a:endParaRPr lang="en-US" b="1"/>
        </a:p>
      </dgm:t>
    </dgm:pt>
    <dgm:pt modelId="{A4CFC901-D6D7-4DB7-BF7C-FBF899D696F8}" type="sibTrans" cxnId="{0A56625B-1CC3-41E1-86F6-8084D91E4A48}">
      <dgm:prSet/>
      <dgm:spPr/>
      <dgm:t>
        <a:bodyPr/>
        <a:lstStyle/>
        <a:p>
          <a:endParaRPr lang="en-US" b="1"/>
        </a:p>
      </dgm:t>
    </dgm:pt>
    <dgm:pt modelId="{795B4E7B-EF80-4BD9-AE04-192980EB5636}">
      <dgm:prSet/>
      <dgm:spPr/>
      <dgm:t>
        <a:bodyPr/>
        <a:lstStyle/>
        <a:p>
          <a:r>
            <a:rPr lang="ro-RO" b="1"/>
            <a:t>Consultările publice</a:t>
          </a:r>
          <a:endParaRPr lang="en-US" b="1"/>
        </a:p>
      </dgm:t>
    </dgm:pt>
    <dgm:pt modelId="{42193544-3D08-4B96-AD77-E606B6DFCD97}" type="parTrans" cxnId="{2BD1684A-9BC3-42CA-B74D-AFBC40023F26}">
      <dgm:prSet/>
      <dgm:spPr/>
      <dgm:t>
        <a:bodyPr/>
        <a:lstStyle/>
        <a:p>
          <a:endParaRPr lang="en-US" b="1"/>
        </a:p>
      </dgm:t>
    </dgm:pt>
    <dgm:pt modelId="{C0C5ED07-9E0E-4370-ADCB-BF11FCA6F693}" type="sibTrans" cxnId="{2BD1684A-9BC3-42CA-B74D-AFBC40023F26}">
      <dgm:prSet/>
      <dgm:spPr/>
      <dgm:t>
        <a:bodyPr/>
        <a:lstStyle/>
        <a:p>
          <a:endParaRPr lang="en-US" b="1"/>
        </a:p>
      </dgm:t>
    </dgm:pt>
    <dgm:pt modelId="{D31DCE19-819D-4175-B913-D65024D61636}" type="pres">
      <dgm:prSet presAssocID="{B2346712-6F20-40CB-B60B-58643F3F10CD}" presName="diagram" presStyleCnt="0">
        <dgm:presLayoutVars>
          <dgm:dir/>
          <dgm:resizeHandles val="exact"/>
        </dgm:presLayoutVars>
      </dgm:prSet>
      <dgm:spPr/>
    </dgm:pt>
    <dgm:pt modelId="{5EA8E157-BCF6-4F8D-A5DD-AF118DB5F121}" type="pres">
      <dgm:prSet presAssocID="{40F7C77D-FF32-41C6-941C-826ECD3111D3}" presName="node" presStyleLbl="node1" presStyleIdx="0" presStyleCnt="15">
        <dgm:presLayoutVars>
          <dgm:bulletEnabled val="1"/>
        </dgm:presLayoutVars>
      </dgm:prSet>
      <dgm:spPr/>
    </dgm:pt>
    <dgm:pt modelId="{40EDABDA-4243-4C38-A91F-481F89671D5D}" type="pres">
      <dgm:prSet presAssocID="{0D6688BD-A117-41A8-AD89-907DD65DABA8}" presName="sibTrans" presStyleCnt="0"/>
      <dgm:spPr/>
    </dgm:pt>
    <dgm:pt modelId="{BFB66B5B-DEA1-4663-989C-9DF4758DB088}" type="pres">
      <dgm:prSet presAssocID="{F2BA422E-CB4C-4502-8753-5BBCB6748EC0}" presName="node" presStyleLbl="node1" presStyleIdx="1" presStyleCnt="15">
        <dgm:presLayoutVars>
          <dgm:bulletEnabled val="1"/>
        </dgm:presLayoutVars>
      </dgm:prSet>
      <dgm:spPr/>
    </dgm:pt>
    <dgm:pt modelId="{EABAAE69-10F9-4227-9BA0-FA03C3E15471}" type="pres">
      <dgm:prSet presAssocID="{D8A73A8C-7E71-416A-8E25-595AB52D7AFB}" presName="sibTrans" presStyleCnt="0"/>
      <dgm:spPr/>
    </dgm:pt>
    <dgm:pt modelId="{E9D06F76-6EC5-4217-BDE1-1D3B5818044A}" type="pres">
      <dgm:prSet presAssocID="{C0FC54E2-1413-4514-A292-D04CEED66BB4}" presName="node" presStyleLbl="node1" presStyleIdx="2" presStyleCnt="15">
        <dgm:presLayoutVars>
          <dgm:bulletEnabled val="1"/>
        </dgm:presLayoutVars>
      </dgm:prSet>
      <dgm:spPr/>
    </dgm:pt>
    <dgm:pt modelId="{7F30E6F0-9A1F-42BE-BC17-5F0DF2C63C6C}" type="pres">
      <dgm:prSet presAssocID="{2A0A4935-F829-4949-9082-141A72A2029F}" presName="sibTrans" presStyleCnt="0"/>
      <dgm:spPr/>
    </dgm:pt>
    <dgm:pt modelId="{489A3E7B-5B85-46C5-AEEF-C62AAD469142}" type="pres">
      <dgm:prSet presAssocID="{875CD2DC-135F-4404-8F52-2724685C1E75}" presName="node" presStyleLbl="node1" presStyleIdx="3" presStyleCnt="15">
        <dgm:presLayoutVars>
          <dgm:bulletEnabled val="1"/>
        </dgm:presLayoutVars>
      </dgm:prSet>
      <dgm:spPr/>
    </dgm:pt>
    <dgm:pt modelId="{83D0E895-6846-48D3-94F8-F0B63EBB24FF}" type="pres">
      <dgm:prSet presAssocID="{95FCAAB0-76A1-4427-A9E6-1FEF07BE213B}" presName="sibTrans" presStyleCnt="0"/>
      <dgm:spPr/>
    </dgm:pt>
    <dgm:pt modelId="{3AF3D765-1DC6-4F09-ACF5-3CCF3BFA1118}" type="pres">
      <dgm:prSet presAssocID="{BB92FF2C-7A27-4309-BA56-5C82B0C35C6F}" presName="node" presStyleLbl="node1" presStyleIdx="4" presStyleCnt="15">
        <dgm:presLayoutVars>
          <dgm:bulletEnabled val="1"/>
        </dgm:presLayoutVars>
      </dgm:prSet>
      <dgm:spPr/>
    </dgm:pt>
    <dgm:pt modelId="{E45757ED-36C7-4067-B3DC-70E967FE9E3D}" type="pres">
      <dgm:prSet presAssocID="{1A2E9470-0DBA-4209-9720-44BEA14E4892}" presName="sibTrans" presStyleCnt="0"/>
      <dgm:spPr/>
    </dgm:pt>
    <dgm:pt modelId="{37FFC822-A98A-43FE-BC6C-FC635D57906B}" type="pres">
      <dgm:prSet presAssocID="{0ED3AEE8-E1B9-41CD-9815-DCA02C6B4B56}" presName="node" presStyleLbl="node1" presStyleIdx="5" presStyleCnt="15">
        <dgm:presLayoutVars>
          <dgm:bulletEnabled val="1"/>
        </dgm:presLayoutVars>
      </dgm:prSet>
      <dgm:spPr/>
    </dgm:pt>
    <dgm:pt modelId="{13A556C1-00C5-4F8C-BD10-F983F8459995}" type="pres">
      <dgm:prSet presAssocID="{57D8C24C-1198-46A7-B9E2-EF64FAFD1350}" presName="sibTrans" presStyleCnt="0"/>
      <dgm:spPr/>
    </dgm:pt>
    <dgm:pt modelId="{3183686F-C3EE-4343-B975-BD08798024BB}" type="pres">
      <dgm:prSet presAssocID="{F1C71160-A167-4C26-BCAD-DFD8CE0E7AB2}" presName="node" presStyleLbl="node1" presStyleIdx="6" presStyleCnt="15">
        <dgm:presLayoutVars>
          <dgm:bulletEnabled val="1"/>
        </dgm:presLayoutVars>
      </dgm:prSet>
      <dgm:spPr/>
    </dgm:pt>
    <dgm:pt modelId="{853078EA-F77F-41E1-BA72-F4DFAFE928F3}" type="pres">
      <dgm:prSet presAssocID="{D9D667C9-14B7-4789-A027-DE438D5D449E}" presName="sibTrans" presStyleCnt="0"/>
      <dgm:spPr/>
    </dgm:pt>
    <dgm:pt modelId="{45630D21-7C0B-4750-93E4-CB0F8788D6BE}" type="pres">
      <dgm:prSet presAssocID="{1F40A483-490D-401A-B00C-BC6A09DE9EA6}" presName="node" presStyleLbl="node1" presStyleIdx="7" presStyleCnt="15">
        <dgm:presLayoutVars>
          <dgm:bulletEnabled val="1"/>
        </dgm:presLayoutVars>
      </dgm:prSet>
      <dgm:spPr/>
    </dgm:pt>
    <dgm:pt modelId="{C3DEAFFF-BA8C-4344-9AFB-92104394313F}" type="pres">
      <dgm:prSet presAssocID="{1D6D4799-E9CE-4224-82AB-90DA10B897F0}" presName="sibTrans" presStyleCnt="0"/>
      <dgm:spPr/>
    </dgm:pt>
    <dgm:pt modelId="{33CFF637-1D21-4DB3-A57A-9A5D0AB805A5}" type="pres">
      <dgm:prSet presAssocID="{5458475D-B28B-4AE4-A0F3-322BBBF9C530}" presName="node" presStyleLbl="node1" presStyleIdx="8" presStyleCnt="15">
        <dgm:presLayoutVars>
          <dgm:bulletEnabled val="1"/>
        </dgm:presLayoutVars>
      </dgm:prSet>
      <dgm:spPr/>
    </dgm:pt>
    <dgm:pt modelId="{CEF86377-395F-4E06-847D-9D295B78DF60}" type="pres">
      <dgm:prSet presAssocID="{396DC70F-F553-4DDD-AE93-F9BD82784987}" presName="sibTrans" presStyleCnt="0"/>
      <dgm:spPr/>
    </dgm:pt>
    <dgm:pt modelId="{A85B1C13-4AED-419E-A347-C9502B005E6A}" type="pres">
      <dgm:prSet presAssocID="{29730C3E-5403-4763-A52F-62D45D3EFCC7}" presName="node" presStyleLbl="node1" presStyleIdx="9" presStyleCnt="15">
        <dgm:presLayoutVars>
          <dgm:bulletEnabled val="1"/>
        </dgm:presLayoutVars>
      </dgm:prSet>
      <dgm:spPr/>
    </dgm:pt>
    <dgm:pt modelId="{660DF345-8F59-4FA3-9C9F-FCC087D0DCCF}" type="pres">
      <dgm:prSet presAssocID="{6E8EA984-69BD-4736-86B8-90E34C662B28}" presName="sibTrans" presStyleCnt="0"/>
      <dgm:spPr/>
    </dgm:pt>
    <dgm:pt modelId="{A1C9E9BC-8DB9-4BD8-A80D-795DE2C30260}" type="pres">
      <dgm:prSet presAssocID="{B71CADC0-87F0-4D8B-BB6A-B870E69B65D5}" presName="node" presStyleLbl="node1" presStyleIdx="10" presStyleCnt="15">
        <dgm:presLayoutVars>
          <dgm:bulletEnabled val="1"/>
        </dgm:presLayoutVars>
      </dgm:prSet>
      <dgm:spPr/>
    </dgm:pt>
    <dgm:pt modelId="{EA6B3BEB-ED5B-4779-ADCD-03ABF43A48BB}" type="pres">
      <dgm:prSet presAssocID="{BB59956E-3AF2-4667-9341-EB2E09EF55E4}" presName="sibTrans" presStyleCnt="0"/>
      <dgm:spPr/>
    </dgm:pt>
    <dgm:pt modelId="{E5BDB225-7927-4FCE-8749-CECCFD5C1D4C}" type="pres">
      <dgm:prSet presAssocID="{176B06F1-57B4-4C2E-A0BD-D8FF6071712E}" presName="node" presStyleLbl="node1" presStyleIdx="11" presStyleCnt="15">
        <dgm:presLayoutVars>
          <dgm:bulletEnabled val="1"/>
        </dgm:presLayoutVars>
      </dgm:prSet>
      <dgm:spPr/>
    </dgm:pt>
    <dgm:pt modelId="{81EAD2A4-6C2D-43E6-A775-2BDE227623E3}" type="pres">
      <dgm:prSet presAssocID="{19A434E7-E0B1-4D4B-93C5-551ABB0495D0}" presName="sibTrans" presStyleCnt="0"/>
      <dgm:spPr/>
    </dgm:pt>
    <dgm:pt modelId="{93A1A6EF-1505-4660-B36E-C816E809BA7E}" type="pres">
      <dgm:prSet presAssocID="{5B28064D-6E74-4A8E-BFB8-B4056CBA80FD}" presName="node" presStyleLbl="node1" presStyleIdx="12" presStyleCnt="15">
        <dgm:presLayoutVars>
          <dgm:bulletEnabled val="1"/>
        </dgm:presLayoutVars>
      </dgm:prSet>
      <dgm:spPr/>
    </dgm:pt>
    <dgm:pt modelId="{47717D75-1E06-4938-8058-DF77CEC8337D}" type="pres">
      <dgm:prSet presAssocID="{884F7F93-3567-45FC-AA32-E6D730DB3A3E}" presName="sibTrans" presStyleCnt="0"/>
      <dgm:spPr/>
    </dgm:pt>
    <dgm:pt modelId="{F77E5E3D-5F7C-45A7-AE48-6B0894556278}" type="pres">
      <dgm:prSet presAssocID="{425A4DAC-7188-4E49-B1BA-2CA1B298BCB0}" presName="node" presStyleLbl="node1" presStyleIdx="13" presStyleCnt="15">
        <dgm:presLayoutVars>
          <dgm:bulletEnabled val="1"/>
        </dgm:presLayoutVars>
      </dgm:prSet>
      <dgm:spPr/>
    </dgm:pt>
    <dgm:pt modelId="{6C5A202C-3F4B-45C3-B070-979FFFBD19F3}" type="pres">
      <dgm:prSet presAssocID="{A4CFC901-D6D7-4DB7-BF7C-FBF899D696F8}" presName="sibTrans" presStyleCnt="0"/>
      <dgm:spPr/>
    </dgm:pt>
    <dgm:pt modelId="{EDB52990-1261-45E8-A0BC-235DF8E1031A}" type="pres">
      <dgm:prSet presAssocID="{795B4E7B-EF80-4BD9-AE04-192980EB5636}" presName="node" presStyleLbl="node1" presStyleIdx="14" presStyleCnt="15">
        <dgm:presLayoutVars>
          <dgm:bulletEnabled val="1"/>
        </dgm:presLayoutVars>
      </dgm:prSet>
      <dgm:spPr/>
    </dgm:pt>
  </dgm:ptLst>
  <dgm:cxnLst>
    <dgm:cxn modelId="{1CDA8C00-F071-476F-97E2-AAC066E3A52A}" srcId="{B2346712-6F20-40CB-B60B-58643F3F10CD}" destId="{875CD2DC-135F-4404-8F52-2724685C1E75}" srcOrd="3" destOrd="0" parTransId="{B248B9C3-781F-436B-B6EB-09F64698F0A5}" sibTransId="{95FCAAB0-76A1-4427-A9E6-1FEF07BE213B}"/>
    <dgm:cxn modelId="{D15A4A06-45CF-4039-9C54-ECA499A0ABBA}" type="presOf" srcId="{F2BA422E-CB4C-4502-8753-5BBCB6748EC0}" destId="{BFB66B5B-DEA1-4663-989C-9DF4758DB088}" srcOrd="0" destOrd="0" presId="urn:microsoft.com/office/officeart/2005/8/layout/default"/>
    <dgm:cxn modelId="{2DE7F106-B245-4B41-AFD9-31627A9D39B9}" type="presOf" srcId="{1F40A483-490D-401A-B00C-BC6A09DE9EA6}" destId="{45630D21-7C0B-4750-93E4-CB0F8788D6BE}" srcOrd="0" destOrd="0" presId="urn:microsoft.com/office/officeart/2005/8/layout/default"/>
    <dgm:cxn modelId="{1DE1AB08-18B9-4AEB-889C-2362492E7FAA}" srcId="{B2346712-6F20-40CB-B60B-58643F3F10CD}" destId="{0ED3AEE8-E1B9-41CD-9815-DCA02C6B4B56}" srcOrd="5" destOrd="0" parTransId="{3467EE93-1576-4967-A190-99A40B124567}" sibTransId="{57D8C24C-1198-46A7-B9E2-EF64FAFD1350}"/>
    <dgm:cxn modelId="{3BCD140F-3489-481E-9083-02CF466B86C1}" type="presOf" srcId="{40F7C77D-FF32-41C6-941C-826ECD3111D3}" destId="{5EA8E157-BCF6-4F8D-A5DD-AF118DB5F121}" srcOrd="0" destOrd="0" presId="urn:microsoft.com/office/officeart/2005/8/layout/default"/>
    <dgm:cxn modelId="{B2C55518-A221-47F7-B891-FE9705A7ED08}" srcId="{B2346712-6F20-40CB-B60B-58643F3F10CD}" destId="{F2BA422E-CB4C-4502-8753-5BBCB6748EC0}" srcOrd="1" destOrd="0" parTransId="{D67C4473-EA19-4EE0-9C5E-B8808C3578C0}" sibTransId="{D8A73A8C-7E71-416A-8E25-595AB52D7AFB}"/>
    <dgm:cxn modelId="{036D6D22-5BD7-4AA3-ADDE-837C93ABE81D}" type="presOf" srcId="{0ED3AEE8-E1B9-41CD-9815-DCA02C6B4B56}" destId="{37FFC822-A98A-43FE-BC6C-FC635D57906B}" srcOrd="0" destOrd="0" presId="urn:microsoft.com/office/officeart/2005/8/layout/default"/>
    <dgm:cxn modelId="{26750724-0AFB-4B2B-A079-6B547E68E09F}" type="presOf" srcId="{B71CADC0-87F0-4D8B-BB6A-B870E69B65D5}" destId="{A1C9E9BC-8DB9-4BD8-A80D-795DE2C30260}" srcOrd="0" destOrd="0" presId="urn:microsoft.com/office/officeart/2005/8/layout/default"/>
    <dgm:cxn modelId="{F261E431-423D-4D88-8990-F2E5B1380610}" srcId="{B2346712-6F20-40CB-B60B-58643F3F10CD}" destId="{C0FC54E2-1413-4514-A292-D04CEED66BB4}" srcOrd="2" destOrd="0" parTransId="{3BEE8732-C77F-4138-918F-97221ED4E8D2}" sibTransId="{2A0A4935-F829-4949-9082-141A72A2029F}"/>
    <dgm:cxn modelId="{52740139-1BDC-41D5-9AF6-4981FFC1F207}" srcId="{B2346712-6F20-40CB-B60B-58643F3F10CD}" destId="{29730C3E-5403-4763-A52F-62D45D3EFCC7}" srcOrd="9" destOrd="0" parTransId="{DB84C580-C148-4F64-9890-4F85E72B0D3A}" sibTransId="{6E8EA984-69BD-4736-86B8-90E34C662B28}"/>
    <dgm:cxn modelId="{24FF163B-36A9-4595-835C-A9E1F03DECA3}" type="presOf" srcId="{425A4DAC-7188-4E49-B1BA-2CA1B298BCB0}" destId="{F77E5E3D-5F7C-45A7-AE48-6B0894556278}" srcOrd="0" destOrd="0" presId="urn:microsoft.com/office/officeart/2005/8/layout/default"/>
    <dgm:cxn modelId="{43D1BD3B-DAE3-475D-927F-7DD0B0E00FF6}" srcId="{B2346712-6F20-40CB-B60B-58643F3F10CD}" destId="{176B06F1-57B4-4C2E-A0BD-D8FF6071712E}" srcOrd="11" destOrd="0" parTransId="{86019ED8-2CD0-4754-AE6E-469DC2293189}" sibTransId="{19A434E7-E0B1-4D4B-93C5-551ABB0495D0}"/>
    <dgm:cxn modelId="{0A56625B-1CC3-41E1-86F6-8084D91E4A48}" srcId="{B2346712-6F20-40CB-B60B-58643F3F10CD}" destId="{425A4DAC-7188-4E49-B1BA-2CA1B298BCB0}" srcOrd="13" destOrd="0" parTransId="{0A23A5F4-29E7-4AE0-BB3C-47AD4D278B36}" sibTransId="{A4CFC901-D6D7-4DB7-BF7C-FBF899D696F8}"/>
    <dgm:cxn modelId="{054A1D5D-53EF-4075-8040-2140FCBAD83F}" srcId="{B2346712-6F20-40CB-B60B-58643F3F10CD}" destId="{5458475D-B28B-4AE4-A0F3-322BBBF9C530}" srcOrd="8" destOrd="0" parTransId="{2206D82E-24BE-40AE-9B1C-9870DE18C0B2}" sibTransId="{396DC70F-F553-4DDD-AE93-F9BD82784987}"/>
    <dgm:cxn modelId="{94DD3443-BFEF-47BB-821C-D902C9F96618}" srcId="{B2346712-6F20-40CB-B60B-58643F3F10CD}" destId="{40F7C77D-FF32-41C6-941C-826ECD3111D3}" srcOrd="0" destOrd="0" parTransId="{6AC64B9E-FBD7-40F4-9FCF-8D2E0F5F3C86}" sibTransId="{0D6688BD-A117-41A8-AD89-907DD65DABA8}"/>
    <dgm:cxn modelId="{AF128046-E26D-4799-8808-1FCC5D14103E}" type="presOf" srcId="{F1C71160-A167-4C26-BCAD-DFD8CE0E7AB2}" destId="{3183686F-C3EE-4343-B975-BD08798024BB}" srcOrd="0" destOrd="0" presId="urn:microsoft.com/office/officeart/2005/8/layout/default"/>
    <dgm:cxn modelId="{06A2F669-72A5-4941-9928-446C677534E8}" type="presOf" srcId="{875CD2DC-135F-4404-8F52-2724685C1E75}" destId="{489A3E7B-5B85-46C5-AEEF-C62AAD469142}" srcOrd="0" destOrd="0" presId="urn:microsoft.com/office/officeart/2005/8/layout/default"/>
    <dgm:cxn modelId="{2BD1684A-9BC3-42CA-B74D-AFBC40023F26}" srcId="{B2346712-6F20-40CB-B60B-58643F3F10CD}" destId="{795B4E7B-EF80-4BD9-AE04-192980EB5636}" srcOrd="14" destOrd="0" parTransId="{42193544-3D08-4B96-AD77-E606B6DFCD97}" sibTransId="{C0C5ED07-9E0E-4370-ADCB-BF11FCA6F693}"/>
    <dgm:cxn modelId="{76B59754-0C1A-41C3-9D17-30C98DD799FA}" type="presOf" srcId="{BB92FF2C-7A27-4309-BA56-5C82B0C35C6F}" destId="{3AF3D765-1DC6-4F09-ACF5-3CCF3BFA1118}" srcOrd="0" destOrd="0" presId="urn:microsoft.com/office/officeart/2005/8/layout/default"/>
    <dgm:cxn modelId="{9F9FAC79-CBAB-4852-B3CF-EFDEE03E8BEE}" srcId="{B2346712-6F20-40CB-B60B-58643F3F10CD}" destId="{BB92FF2C-7A27-4309-BA56-5C82B0C35C6F}" srcOrd="4" destOrd="0" parTransId="{D7491C4F-A616-45D2-A4AD-20390C891216}" sibTransId="{1A2E9470-0DBA-4209-9720-44BEA14E4892}"/>
    <dgm:cxn modelId="{ECB4035A-5316-4410-8820-3D14AE7D58DB}" type="presOf" srcId="{B2346712-6F20-40CB-B60B-58643F3F10CD}" destId="{D31DCE19-819D-4175-B913-D65024D61636}" srcOrd="0" destOrd="0" presId="urn:microsoft.com/office/officeart/2005/8/layout/default"/>
    <dgm:cxn modelId="{CD33AB95-AE4E-4AF9-9D1F-4057039BA618}" srcId="{B2346712-6F20-40CB-B60B-58643F3F10CD}" destId="{F1C71160-A167-4C26-BCAD-DFD8CE0E7AB2}" srcOrd="6" destOrd="0" parTransId="{4D9D6AB5-C2DD-46D4-AB14-262ED36834F3}" sibTransId="{D9D667C9-14B7-4789-A027-DE438D5D449E}"/>
    <dgm:cxn modelId="{E58022A5-60BA-43E7-B6D3-3ABE3F1E2FD8}" type="presOf" srcId="{176B06F1-57B4-4C2E-A0BD-D8FF6071712E}" destId="{E5BDB225-7927-4FCE-8749-CECCFD5C1D4C}" srcOrd="0" destOrd="0" presId="urn:microsoft.com/office/officeart/2005/8/layout/default"/>
    <dgm:cxn modelId="{6A6A39B1-FAED-4CB1-B0F6-5DF4CBB8011E}" type="presOf" srcId="{795B4E7B-EF80-4BD9-AE04-192980EB5636}" destId="{EDB52990-1261-45E8-A0BC-235DF8E1031A}" srcOrd="0" destOrd="0" presId="urn:microsoft.com/office/officeart/2005/8/layout/default"/>
    <dgm:cxn modelId="{F53738C1-150B-4518-909D-E6A7D03103A4}" srcId="{B2346712-6F20-40CB-B60B-58643F3F10CD}" destId="{B71CADC0-87F0-4D8B-BB6A-B870E69B65D5}" srcOrd="10" destOrd="0" parTransId="{A5695ED6-0EC7-4F9B-906A-76B88D860DC4}" sibTransId="{BB59956E-3AF2-4667-9341-EB2E09EF55E4}"/>
    <dgm:cxn modelId="{2CF95CC9-4361-4F71-AF2E-AED418BE6DBB}" srcId="{B2346712-6F20-40CB-B60B-58643F3F10CD}" destId="{5B28064D-6E74-4A8E-BFB8-B4056CBA80FD}" srcOrd="12" destOrd="0" parTransId="{5BA5DB9F-9522-42AA-A69B-6228554372CF}" sibTransId="{884F7F93-3567-45FC-AA32-E6D730DB3A3E}"/>
    <dgm:cxn modelId="{BD471FCC-558C-4534-8962-087BA3AD8D07}" type="presOf" srcId="{29730C3E-5403-4763-A52F-62D45D3EFCC7}" destId="{A85B1C13-4AED-419E-A347-C9502B005E6A}" srcOrd="0" destOrd="0" presId="urn:microsoft.com/office/officeart/2005/8/layout/default"/>
    <dgm:cxn modelId="{B7689AE0-35C7-475D-A7E3-A72E02726DD8}" type="presOf" srcId="{5B28064D-6E74-4A8E-BFB8-B4056CBA80FD}" destId="{93A1A6EF-1505-4660-B36E-C816E809BA7E}" srcOrd="0" destOrd="0" presId="urn:microsoft.com/office/officeart/2005/8/layout/default"/>
    <dgm:cxn modelId="{60062FE5-B33E-45A8-86D8-E36D80A97D85}" srcId="{B2346712-6F20-40CB-B60B-58643F3F10CD}" destId="{1F40A483-490D-401A-B00C-BC6A09DE9EA6}" srcOrd="7" destOrd="0" parTransId="{9E4ADF9A-AA90-40C4-86BD-3FD92EE2198C}" sibTransId="{1D6D4799-E9CE-4224-82AB-90DA10B897F0}"/>
    <dgm:cxn modelId="{D39672EC-64C3-4D0F-9388-98A57406303A}" type="presOf" srcId="{C0FC54E2-1413-4514-A292-D04CEED66BB4}" destId="{E9D06F76-6EC5-4217-BDE1-1D3B5818044A}" srcOrd="0" destOrd="0" presId="urn:microsoft.com/office/officeart/2005/8/layout/default"/>
    <dgm:cxn modelId="{47D92FF9-83E9-4B33-8FF2-80A11CBE92ED}" type="presOf" srcId="{5458475D-B28B-4AE4-A0F3-322BBBF9C530}" destId="{33CFF637-1D21-4DB3-A57A-9A5D0AB805A5}" srcOrd="0" destOrd="0" presId="urn:microsoft.com/office/officeart/2005/8/layout/default"/>
    <dgm:cxn modelId="{91656C1B-92B2-4C4A-AFE8-B92902CC67AC}" type="presParOf" srcId="{D31DCE19-819D-4175-B913-D65024D61636}" destId="{5EA8E157-BCF6-4F8D-A5DD-AF118DB5F121}" srcOrd="0" destOrd="0" presId="urn:microsoft.com/office/officeart/2005/8/layout/default"/>
    <dgm:cxn modelId="{4ACFF14F-1189-4397-BF32-18103DAD2094}" type="presParOf" srcId="{D31DCE19-819D-4175-B913-D65024D61636}" destId="{40EDABDA-4243-4C38-A91F-481F89671D5D}" srcOrd="1" destOrd="0" presId="urn:microsoft.com/office/officeart/2005/8/layout/default"/>
    <dgm:cxn modelId="{75E020A3-4F26-4637-8A00-F3A1360FF73D}" type="presParOf" srcId="{D31DCE19-819D-4175-B913-D65024D61636}" destId="{BFB66B5B-DEA1-4663-989C-9DF4758DB088}" srcOrd="2" destOrd="0" presId="urn:microsoft.com/office/officeart/2005/8/layout/default"/>
    <dgm:cxn modelId="{55C8862F-776E-4A86-A948-64737D0E0686}" type="presParOf" srcId="{D31DCE19-819D-4175-B913-D65024D61636}" destId="{EABAAE69-10F9-4227-9BA0-FA03C3E15471}" srcOrd="3" destOrd="0" presId="urn:microsoft.com/office/officeart/2005/8/layout/default"/>
    <dgm:cxn modelId="{34F10C74-1B15-41FB-A5D3-2CFC2FDB74C0}" type="presParOf" srcId="{D31DCE19-819D-4175-B913-D65024D61636}" destId="{E9D06F76-6EC5-4217-BDE1-1D3B5818044A}" srcOrd="4" destOrd="0" presId="urn:microsoft.com/office/officeart/2005/8/layout/default"/>
    <dgm:cxn modelId="{EBC6A55E-0459-4F08-B83F-1F74FBCF23B1}" type="presParOf" srcId="{D31DCE19-819D-4175-B913-D65024D61636}" destId="{7F30E6F0-9A1F-42BE-BC17-5F0DF2C63C6C}" srcOrd="5" destOrd="0" presId="urn:microsoft.com/office/officeart/2005/8/layout/default"/>
    <dgm:cxn modelId="{A4D098ED-DBDE-47FC-AC59-570DC4CC5AC9}" type="presParOf" srcId="{D31DCE19-819D-4175-B913-D65024D61636}" destId="{489A3E7B-5B85-46C5-AEEF-C62AAD469142}" srcOrd="6" destOrd="0" presId="urn:microsoft.com/office/officeart/2005/8/layout/default"/>
    <dgm:cxn modelId="{E63ECABB-4B77-4461-8EB6-E00D50C2DF3C}" type="presParOf" srcId="{D31DCE19-819D-4175-B913-D65024D61636}" destId="{83D0E895-6846-48D3-94F8-F0B63EBB24FF}" srcOrd="7" destOrd="0" presId="urn:microsoft.com/office/officeart/2005/8/layout/default"/>
    <dgm:cxn modelId="{1BAD5A5C-C06B-4999-8D12-E446499887D6}" type="presParOf" srcId="{D31DCE19-819D-4175-B913-D65024D61636}" destId="{3AF3D765-1DC6-4F09-ACF5-3CCF3BFA1118}" srcOrd="8" destOrd="0" presId="urn:microsoft.com/office/officeart/2005/8/layout/default"/>
    <dgm:cxn modelId="{11888B0D-050E-44B6-ACA1-B1356A0074E1}" type="presParOf" srcId="{D31DCE19-819D-4175-B913-D65024D61636}" destId="{E45757ED-36C7-4067-B3DC-70E967FE9E3D}" srcOrd="9" destOrd="0" presId="urn:microsoft.com/office/officeart/2005/8/layout/default"/>
    <dgm:cxn modelId="{E1EF9FA3-CC2B-4AF9-B4E5-A5FBC53B0FE5}" type="presParOf" srcId="{D31DCE19-819D-4175-B913-D65024D61636}" destId="{37FFC822-A98A-43FE-BC6C-FC635D57906B}" srcOrd="10" destOrd="0" presId="urn:microsoft.com/office/officeart/2005/8/layout/default"/>
    <dgm:cxn modelId="{4E1BDE29-596E-4F67-AF90-68D9A6397EE9}" type="presParOf" srcId="{D31DCE19-819D-4175-B913-D65024D61636}" destId="{13A556C1-00C5-4F8C-BD10-F983F8459995}" srcOrd="11" destOrd="0" presId="urn:microsoft.com/office/officeart/2005/8/layout/default"/>
    <dgm:cxn modelId="{CC20DFDB-F6FF-4422-9A5F-3AAA6CE28DB8}" type="presParOf" srcId="{D31DCE19-819D-4175-B913-D65024D61636}" destId="{3183686F-C3EE-4343-B975-BD08798024BB}" srcOrd="12" destOrd="0" presId="urn:microsoft.com/office/officeart/2005/8/layout/default"/>
    <dgm:cxn modelId="{E0E70B70-3F61-40B7-9AD7-AE63213C669B}" type="presParOf" srcId="{D31DCE19-819D-4175-B913-D65024D61636}" destId="{853078EA-F77F-41E1-BA72-F4DFAFE928F3}" srcOrd="13" destOrd="0" presId="urn:microsoft.com/office/officeart/2005/8/layout/default"/>
    <dgm:cxn modelId="{84EAF40C-8DD5-4705-A3E8-58E24CB3D106}" type="presParOf" srcId="{D31DCE19-819D-4175-B913-D65024D61636}" destId="{45630D21-7C0B-4750-93E4-CB0F8788D6BE}" srcOrd="14" destOrd="0" presId="urn:microsoft.com/office/officeart/2005/8/layout/default"/>
    <dgm:cxn modelId="{1CE1C798-E744-49B6-B690-FF18D57E28FF}" type="presParOf" srcId="{D31DCE19-819D-4175-B913-D65024D61636}" destId="{C3DEAFFF-BA8C-4344-9AFB-92104394313F}" srcOrd="15" destOrd="0" presId="urn:microsoft.com/office/officeart/2005/8/layout/default"/>
    <dgm:cxn modelId="{45B0F615-BD14-493E-848F-9906AFCBF4C8}" type="presParOf" srcId="{D31DCE19-819D-4175-B913-D65024D61636}" destId="{33CFF637-1D21-4DB3-A57A-9A5D0AB805A5}" srcOrd="16" destOrd="0" presId="urn:microsoft.com/office/officeart/2005/8/layout/default"/>
    <dgm:cxn modelId="{F7C35D22-EC59-442C-9E6E-6D828520A2F7}" type="presParOf" srcId="{D31DCE19-819D-4175-B913-D65024D61636}" destId="{CEF86377-395F-4E06-847D-9D295B78DF60}" srcOrd="17" destOrd="0" presId="urn:microsoft.com/office/officeart/2005/8/layout/default"/>
    <dgm:cxn modelId="{1CDB225C-6492-485E-951B-521E75D64AD8}" type="presParOf" srcId="{D31DCE19-819D-4175-B913-D65024D61636}" destId="{A85B1C13-4AED-419E-A347-C9502B005E6A}" srcOrd="18" destOrd="0" presId="urn:microsoft.com/office/officeart/2005/8/layout/default"/>
    <dgm:cxn modelId="{6F365489-C3A7-4546-B823-1376CB7EE15F}" type="presParOf" srcId="{D31DCE19-819D-4175-B913-D65024D61636}" destId="{660DF345-8F59-4FA3-9C9F-FCC087D0DCCF}" srcOrd="19" destOrd="0" presId="urn:microsoft.com/office/officeart/2005/8/layout/default"/>
    <dgm:cxn modelId="{37D86DAF-5432-4A21-B935-88A3AA5D0FDF}" type="presParOf" srcId="{D31DCE19-819D-4175-B913-D65024D61636}" destId="{A1C9E9BC-8DB9-4BD8-A80D-795DE2C30260}" srcOrd="20" destOrd="0" presId="urn:microsoft.com/office/officeart/2005/8/layout/default"/>
    <dgm:cxn modelId="{D9C28637-F91E-4F80-9C34-091D0E883B7C}" type="presParOf" srcId="{D31DCE19-819D-4175-B913-D65024D61636}" destId="{EA6B3BEB-ED5B-4779-ADCD-03ABF43A48BB}" srcOrd="21" destOrd="0" presId="urn:microsoft.com/office/officeart/2005/8/layout/default"/>
    <dgm:cxn modelId="{614EB7CB-B022-4596-8FD2-BD2F3DEC9397}" type="presParOf" srcId="{D31DCE19-819D-4175-B913-D65024D61636}" destId="{E5BDB225-7927-4FCE-8749-CECCFD5C1D4C}" srcOrd="22" destOrd="0" presId="urn:microsoft.com/office/officeart/2005/8/layout/default"/>
    <dgm:cxn modelId="{E4AA5E79-94A5-40ED-B42F-3CB09BF6D789}" type="presParOf" srcId="{D31DCE19-819D-4175-B913-D65024D61636}" destId="{81EAD2A4-6C2D-43E6-A775-2BDE227623E3}" srcOrd="23" destOrd="0" presId="urn:microsoft.com/office/officeart/2005/8/layout/default"/>
    <dgm:cxn modelId="{802F069F-3DD6-413B-8E12-2FBE268BCA3D}" type="presParOf" srcId="{D31DCE19-819D-4175-B913-D65024D61636}" destId="{93A1A6EF-1505-4660-B36E-C816E809BA7E}" srcOrd="24" destOrd="0" presId="urn:microsoft.com/office/officeart/2005/8/layout/default"/>
    <dgm:cxn modelId="{BA3ED688-929B-46D2-83F5-F510C65404AC}" type="presParOf" srcId="{D31DCE19-819D-4175-B913-D65024D61636}" destId="{47717D75-1E06-4938-8058-DF77CEC8337D}" srcOrd="25" destOrd="0" presId="urn:microsoft.com/office/officeart/2005/8/layout/default"/>
    <dgm:cxn modelId="{8C4035BD-AD61-4D77-805C-A1EAEF2676B0}" type="presParOf" srcId="{D31DCE19-819D-4175-B913-D65024D61636}" destId="{F77E5E3D-5F7C-45A7-AE48-6B0894556278}" srcOrd="26" destOrd="0" presId="urn:microsoft.com/office/officeart/2005/8/layout/default"/>
    <dgm:cxn modelId="{85889ED2-489D-4247-852E-49442A8917FF}" type="presParOf" srcId="{D31DCE19-819D-4175-B913-D65024D61636}" destId="{6C5A202C-3F4B-45C3-B070-979FFFBD19F3}" srcOrd="27" destOrd="0" presId="urn:microsoft.com/office/officeart/2005/8/layout/default"/>
    <dgm:cxn modelId="{F167D3CE-D55C-40D9-9757-4A534220D0E5}" type="presParOf" srcId="{D31DCE19-819D-4175-B913-D65024D61636}" destId="{EDB52990-1261-45E8-A0BC-235DF8E1031A}" srcOrd="28" destOrd="0" presId="urn:microsoft.com/office/officeart/2005/8/layout/default"/>
  </dgm:cxnLst>
  <dgm:bg/>
  <dgm:whole/>
  <dgm:extLst>
    <a:ext uri="http://schemas.microsoft.com/office/drawing/2008/diagram">
      <dsp:dataModelExt xmlns:dsp="http://schemas.microsoft.com/office/drawing/2008/diagram" relId="rId331"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2DA4FFF7-4D1E-4D0C-81F4-1D434A031E78}" type="doc">
      <dgm:prSet loTypeId="urn:microsoft.com/office/officeart/2005/8/layout/default" loCatId="list" qsTypeId="urn:microsoft.com/office/officeart/2005/8/quickstyle/simple1" qsCatId="simple" csTypeId="urn:microsoft.com/office/officeart/2005/8/colors/colorful2" csCatId="colorful" phldr="1"/>
      <dgm:spPr/>
      <dgm:t>
        <a:bodyPr/>
        <a:lstStyle/>
        <a:p>
          <a:endParaRPr lang="en-US"/>
        </a:p>
      </dgm:t>
    </dgm:pt>
    <dgm:pt modelId="{5EDA19AD-2D32-4306-96F6-E51AFC7D409E}">
      <dgm:prSet phldrT="[Text]"/>
      <dgm:spPr/>
      <dgm:t>
        <a:bodyPr/>
        <a:lstStyle/>
        <a:p>
          <a:r>
            <a:rPr lang="en-US" b="1" i="0" u="none"/>
            <a:t>1880</a:t>
          </a:r>
          <a:endParaRPr lang="en-US" b="1"/>
        </a:p>
      </dgm:t>
    </dgm:pt>
    <dgm:pt modelId="{AA69300A-FE1F-4D99-A822-9B41E730D5D5}" type="parTrans" cxnId="{50DBDCA0-B58C-4858-95D8-4E690F18CB36}">
      <dgm:prSet/>
      <dgm:spPr/>
      <dgm:t>
        <a:bodyPr/>
        <a:lstStyle/>
        <a:p>
          <a:endParaRPr lang="en-US" b="1"/>
        </a:p>
      </dgm:t>
    </dgm:pt>
    <dgm:pt modelId="{9E78087D-CB90-4161-9F04-552EBC8F0DA5}" type="sibTrans" cxnId="{50DBDCA0-B58C-4858-95D8-4E690F18CB36}">
      <dgm:prSet/>
      <dgm:spPr/>
      <dgm:t>
        <a:bodyPr/>
        <a:lstStyle/>
        <a:p>
          <a:endParaRPr lang="en-US" b="1"/>
        </a:p>
      </dgm:t>
    </dgm:pt>
    <dgm:pt modelId="{6F475ED8-108E-4B39-9976-9B0867DD851F}">
      <dgm:prSet/>
      <dgm:spPr/>
      <dgm:t>
        <a:bodyPr/>
        <a:lstStyle/>
        <a:p>
          <a:r>
            <a:rPr lang="en-US" b="1" i="0" u="none"/>
            <a:t>1931</a:t>
          </a:r>
          <a:endParaRPr lang="en-US" b="1"/>
        </a:p>
      </dgm:t>
    </dgm:pt>
    <dgm:pt modelId="{A5A14963-EE9F-4F5A-B9E8-8BD3CECFA0E2}" type="parTrans" cxnId="{1DAA70F7-BEB1-40D2-8552-315C34A83F60}">
      <dgm:prSet/>
      <dgm:spPr/>
      <dgm:t>
        <a:bodyPr/>
        <a:lstStyle/>
        <a:p>
          <a:endParaRPr lang="en-US" b="1"/>
        </a:p>
      </dgm:t>
    </dgm:pt>
    <dgm:pt modelId="{C7354252-D2B1-467A-B00D-D053A16C2135}" type="sibTrans" cxnId="{1DAA70F7-BEB1-40D2-8552-315C34A83F60}">
      <dgm:prSet/>
      <dgm:spPr/>
      <dgm:t>
        <a:bodyPr/>
        <a:lstStyle/>
        <a:p>
          <a:endParaRPr lang="en-US" b="1"/>
        </a:p>
      </dgm:t>
    </dgm:pt>
    <dgm:pt modelId="{5F8376BC-7AFE-4879-BD3A-16D484DA2DD4}">
      <dgm:prSet/>
      <dgm:spPr/>
      <dgm:t>
        <a:bodyPr/>
        <a:lstStyle/>
        <a:p>
          <a:r>
            <a:rPr lang="en-US" b="1" i="0" u="none"/>
            <a:t>1956</a:t>
          </a:r>
          <a:endParaRPr lang="en-US" b="1"/>
        </a:p>
      </dgm:t>
    </dgm:pt>
    <dgm:pt modelId="{D7C48D74-4DBA-4C09-A09B-3F382995C200}" type="parTrans" cxnId="{E8AEE963-8C03-44B7-A774-8E04DDE28768}">
      <dgm:prSet/>
      <dgm:spPr/>
      <dgm:t>
        <a:bodyPr/>
        <a:lstStyle/>
        <a:p>
          <a:endParaRPr lang="en-US" b="1"/>
        </a:p>
      </dgm:t>
    </dgm:pt>
    <dgm:pt modelId="{D0A41FC3-3A26-43A1-87AB-1F6711B09990}" type="sibTrans" cxnId="{E8AEE963-8C03-44B7-A774-8E04DDE28768}">
      <dgm:prSet/>
      <dgm:spPr/>
      <dgm:t>
        <a:bodyPr/>
        <a:lstStyle/>
        <a:p>
          <a:endParaRPr lang="en-US" b="1"/>
        </a:p>
      </dgm:t>
    </dgm:pt>
    <dgm:pt modelId="{2F50AAB8-8D90-484B-8F28-6B8B35D6175C}">
      <dgm:prSet/>
      <dgm:spPr/>
      <dgm:t>
        <a:bodyPr/>
        <a:lstStyle/>
        <a:p>
          <a:r>
            <a:rPr lang="en-US" b="1" i="0" u="none"/>
            <a:t>1990</a:t>
          </a:r>
          <a:endParaRPr lang="en-US" b="1"/>
        </a:p>
      </dgm:t>
    </dgm:pt>
    <dgm:pt modelId="{7A42846C-BA9F-48D1-A8D2-22B7B9F5887D}" type="parTrans" cxnId="{5359D843-DBD7-4501-9D0D-1DD0B1FE5918}">
      <dgm:prSet/>
      <dgm:spPr/>
      <dgm:t>
        <a:bodyPr/>
        <a:lstStyle/>
        <a:p>
          <a:endParaRPr lang="en-US" b="1"/>
        </a:p>
      </dgm:t>
    </dgm:pt>
    <dgm:pt modelId="{A1C7710B-E67C-449D-83A1-F1CD488A9137}" type="sibTrans" cxnId="{5359D843-DBD7-4501-9D0D-1DD0B1FE5918}">
      <dgm:prSet/>
      <dgm:spPr/>
      <dgm:t>
        <a:bodyPr/>
        <a:lstStyle/>
        <a:p>
          <a:endParaRPr lang="en-US" b="1"/>
        </a:p>
      </dgm:t>
    </dgm:pt>
    <dgm:pt modelId="{124BFAC4-5BC0-48BD-8373-4245DFE90F06}">
      <dgm:prSet/>
      <dgm:spPr/>
      <dgm:t>
        <a:bodyPr/>
        <a:lstStyle/>
        <a:p>
          <a:r>
            <a:rPr lang="en-US" b="1" i="0" u="none"/>
            <a:t>1991</a:t>
          </a:r>
          <a:endParaRPr lang="en-US" b="1"/>
        </a:p>
      </dgm:t>
    </dgm:pt>
    <dgm:pt modelId="{A0A40E75-D706-411E-BD6B-1A64A4619F87}" type="parTrans" cxnId="{EE65864B-3C55-4EE0-B8C0-085CBB74296C}">
      <dgm:prSet/>
      <dgm:spPr/>
      <dgm:t>
        <a:bodyPr/>
        <a:lstStyle/>
        <a:p>
          <a:endParaRPr lang="en-US" b="1"/>
        </a:p>
      </dgm:t>
    </dgm:pt>
    <dgm:pt modelId="{A4B11B12-7923-411C-952E-3B8E700ABBF4}" type="sibTrans" cxnId="{EE65864B-3C55-4EE0-B8C0-085CBB74296C}">
      <dgm:prSet/>
      <dgm:spPr/>
      <dgm:t>
        <a:bodyPr/>
        <a:lstStyle/>
        <a:p>
          <a:endParaRPr lang="en-US" b="1"/>
        </a:p>
      </dgm:t>
    </dgm:pt>
    <dgm:pt modelId="{645F6944-1321-4126-A072-070FD64D6DC6}">
      <dgm:prSet/>
      <dgm:spPr/>
      <dgm:t>
        <a:bodyPr/>
        <a:lstStyle/>
        <a:p>
          <a:r>
            <a:rPr lang="en-US" b="1" i="0" u="none"/>
            <a:t>1996</a:t>
          </a:r>
          <a:endParaRPr lang="en-US" b="1"/>
        </a:p>
      </dgm:t>
    </dgm:pt>
    <dgm:pt modelId="{EAD4D80B-187D-4D3A-B7E3-8847817AD2C2}" type="parTrans" cxnId="{0773607F-316F-4886-816C-D6F6ABDFE80A}">
      <dgm:prSet/>
      <dgm:spPr/>
      <dgm:t>
        <a:bodyPr/>
        <a:lstStyle/>
        <a:p>
          <a:endParaRPr lang="en-US" b="1"/>
        </a:p>
      </dgm:t>
    </dgm:pt>
    <dgm:pt modelId="{31AAE74C-9EBE-4383-8C15-7D8EA19D0CC4}" type="sibTrans" cxnId="{0773607F-316F-4886-816C-D6F6ABDFE80A}">
      <dgm:prSet/>
      <dgm:spPr/>
      <dgm:t>
        <a:bodyPr/>
        <a:lstStyle/>
        <a:p>
          <a:endParaRPr lang="en-US" b="1"/>
        </a:p>
      </dgm:t>
    </dgm:pt>
    <dgm:pt modelId="{D7C8F13C-1EBF-42A2-BCAE-BFB551CAE460}">
      <dgm:prSet/>
      <dgm:spPr/>
      <dgm:t>
        <a:bodyPr/>
        <a:lstStyle/>
        <a:p>
          <a:r>
            <a:rPr lang="en-US" b="1" i="0" u="none"/>
            <a:t>1197</a:t>
          </a:r>
          <a:endParaRPr lang="en-US" b="1"/>
        </a:p>
      </dgm:t>
    </dgm:pt>
    <dgm:pt modelId="{A852A05F-ABEA-4A2C-B5DF-0711080BCB38}" type="parTrans" cxnId="{F8344373-25C8-4431-A757-CC6F842A5CBF}">
      <dgm:prSet/>
      <dgm:spPr/>
      <dgm:t>
        <a:bodyPr/>
        <a:lstStyle/>
        <a:p>
          <a:endParaRPr lang="en-US" b="1"/>
        </a:p>
      </dgm:t>
    </dgm:pt>
    <dgm:pt modelId="{74007E78-BB14-4BB3-8EC1-1F45645291C3}" type="sibTrans" cxnId="{F8344373-25C8-4431-A757-CC6F842A5CBF}">
      <dgm:prSet/>
      <dgm:spPr/>
      <dgm:t>
        <a:bodyPr/>
        <a:lstStyle/>
        <a:p>
          <a:endParaRPr lang="en-US" b="1"/>
        </a:p>
      </dgm:t>
    </dgm:pt>
    <dgm:pt modelId="{307AF7EC-83FD-4C9E-B555-959585B4431A}">
      <dgm:prSet/>
      <dgm:spPr/>
      <dgm:t>
        <a:bodyPr/>
        <a:lstStyle/>
        <a:p>
          <a:r>
            <a:rPr lang="en-US" b="1" i="0" u="none"/>
            <a:t>1998</a:t>
          </a:r>
          <a:endParaRPr lang="en-US" b="1"/>
        </a:p>
      </dgm:t>
    </dgm:pt>
    <dgm:pt modelId="{562CC854-2C86-4266-92A0-021774FF82C6}" type="parTrans" cxnId="{00A90566-F3CC-46A1-8917-08EF10501809}">
      <dgm:prSet/>
      <dgm:spPr/>
      <dgm:t>
        <a:bodyPr/>
        <a:lstStyle/>
        <a:p>
          <a:endParaRPr lang="en-US" b="1"/>
        </a:p>
      </dgm:t>
    </dgm:pt>
    <dgm:pt modelId="{5FB4016D-3966-4312-95DF-ECDA0C7480A3}" type="sibTrans" cxnId="{00A90566-F3CC-46A1-8917-08EF10501809}">
      <dgm:prSet/>
      <dgm:spPr/>
      <dgm:t>
        <a:bodyPr/>
        <a:lstStyle/>
        <a:p>
          <a:endParaRPr lang="en-US" b="1"/>
        </a:p>
      </dgm:t>
    </dgm:pt>
    <dgm:pt modelId="{41435B05-9AC0-4731-9BAC-CFDDEE51E3A7}">
      <dgm:prSet/>
      <dgm:spPr/>
      <dgm:t>
        <a:bodyPr/>
        <a:lstStyle/>
        <a:p>
          <a:r>
            <a:rPr lang="en-US" b="1" i="0" u="none"/>
            <a:t>2005</a:t>
          </a:r>
          <a:endParaRPr lang="en-US" b="1"/>
        </a:p>
      </dgm:t>
    </dgm:pt>
    <dgm:pt modelId="{C0BD9F3B-C983-476C-9F60-E7623A41C0FF}" type="parTrans" cxnId="{8E8E7671-220A-462C-A3A2-9D0232626092}">
      <dgm:prSet/>
      <dgm:spPr/>
      <dgm:t>
        <a:bodyPr/>
        <a:lstStyle/>
        <a:p>
          <a:endParaRPr lang="en-US" b="1"/>
        </a:p>
      </dgm:t>
    </dgm:pt>
    <dgm:pt modelId="{FDF9670B-B2D3-423C-9CDD-5497AED50A01}" type="sibTrans" cxnId="{8E8E7671-220A-462C-A3A2-9D0232626092}">
      <dgm:prSet/>
      <dgm:spPr/>
      <dgm:t>
        <a:bodyPr/>
        <a:lstStyle/>
        <a:p>
          <a:endParaRPr lang="en-US" b="1"/>
        </a:p>
      </dgm:t>
    </dgm:pt>
    <dgm:pt modelId="{A08CFFB9-69CA-48C7-8FF4-AC1079C7A46B}">
      <dgm:prSet/>
      <dgm:spPr/>
      <dgm:t>
        <a:bodyPr/>
        <a:lstStyle/>
        <a:p>
          <a:r>
            <a:rPr lang="en-US" b="1" i="0" u="none"/>
            <a:t>2006</a:t>
          </a:r>
          <a:endParaRPr lang="en-US" b="1"/>
        </a:p>
      </dgm:t>
    </dgm:pt>
    <dgm:pt modelId="{912F3ADA-AF0B-46C8-823C-C2C6F278EF82}" type="parTrans" cxnId="{C5E3F524-8FE9-4BC8-97AB-BAB37CC2A23A}">
      <dgm:prSet/>
      <dgm:spPr/>
      <dgm:t>
        <a:bodyPr/>
        <a:lstStyle/>
        <a:p>
          <a:endParaRPr lang="en-US" b="1"/>
        </a:p>
      </dgm:t>
    </dgm:pt>
    <dgm:pt modelId="{F8BF338A-9B75-44FA-9472-565E69514494}" type="sibTrans" cxnId="{C5E3F524-8FE9-4BC8-97AB-BAB37CC2A23A}">
      <dgm:prSet/>
      <dgm:spPr/>
      <dgm:t>
        <a:bodyPr/>
        <a:lstStyle/>
        <a:p>
          <a:endParaRPr lang="en-US" b="1"/>
        </a:p>
      </dgm:t>
    </dgm:pt>
    <dgm:pt modelId="{88033B50-1850-4804-A959-C76F425D7283}">
      <dgm:prSet/>
      <dgm:spPr/>
      <dgm:t>
        <a:bodyPr/>
        <a:lstStyle/>
        <a:p>
          <a:r>
            <a:rPr lang="en-US" b="1" i="0" u="none"/>
            <a:t>2007</a:t>
          </a:r>
          <a:endParaRPr lang="en-US" b="1"/>
        </a:p>
      </dgm:t>
    </dgm:pt>
    <dgm:pt modelId="{EE05836A-9F80-4B65-8F40-636A45877D77}" type="parTrans" cxnId="{0AC51827-CC08-406E-A2D7-2380B2A70D14}">
      <dgm:prSet/>
      <dgm:spPr/>
      <dgm:t>
        <a:bodyPr/>
        <a:lstStyle/>
        <a:p>
          <a:endParaRPr lang="en-US" b="1"/>
        </a:p>
      </dgm:t>
    </dgm:pt>
    <dgm:pt modelId="{22D5ACD6-2B28-4494-BE3C-ACF59CC1D193}" type="sibTrans" cxnId="{0AC51827-CC08-406E-A2D7-2380B2A70D14}">
      <dgm:prSet/>
      <dgm:spPr/>
      <dgm:t>
        <a:bodyPr/>
        <a:lstStyle/>
        <a:p>
          <a:endParaRPr lang="en-US" b="1"/>
        </a:p>
      </dgm:t>
    </dgm:pt>
    <dgm:pt modelId="{4C01D54F-5489-4596-A811-F43A2EBBFE98}">
      <dgm:prSet/>
      <dgm:spPr/>
      <dgm:t>
        <a:bodyPr/>
        <a:lstStyle/>
        <a:p>
          <a:r>
            <a:rPr lang="en-US" b="1" i="0" u="none"/>
            <a:t>2008</a:t>
          </a:r>
          <a:endParaRPr lang="en-US" b="1"/>
        </a:p>
      </dgm:t>
    </dgm:pt>
    <dgm:pt modelId="{B79DC5C3-73EF-4F32-B833-3EB5AD7F45C7}" type="parTrans" cxnId="{60B4EC5B-232B-4F21-A93C-560A9CEACB12}">
      <dgm:prSet/>
      <dgm:spPr/>
      <dgm:t>
        <a:bodyPr/>
        <a:lstStyle/>
        <a:p>
          <a:endParaRPr lang="en-US" b="1"/>
        </a:p>
      </dgm:t>
    </dgm:pt>
    <dgm:pt modelId="{4679E765-7442-44FF-B20F-B875F6A485FE}" type="sibTrans" cxnId="{60B4EC5B-232B-4F21-A93C-560A9CEACB12}">
      <dgm:prSet/>
      <dgm:spPr/>
      <dgm:t>
        <a:bodyPr/>
        <a:lstStyle/>
        <a:p>
          <a:endParaRPr lang="en-US" b="1"/>
        </a:p>
      </dgm:t>
    </dgm:pt>
    <dgm:pt modelId="{26EB088A-BB52-4B63-8A8E-AD4F196DD679}">
      <dgm:prSet/>
      <dgm:spPr/>
      <dgm:t>
        <a:bodyPr/>
        <a:lstStyle/>
        <a:p>
          <a:r>
            <a:rPr lang="en-US" b="1" i="0" u="none"/>
            <a:t>2010</a:t>
          </a:r>
          <a:endParaRPr lang="en-US" b="1"/>
        </a:p>
      </dgm:t>
    </dgm:pt>
    <dgm:pt modelId="{CB1183F4-2ED7-4132-AA28-44D8072DC0BB}" type="parTrans" cxnId="{4353CEC2-CF04-4F4E-BB90-981E484A64CB}">
      <dgm:prSet/>
      <dgm:spPr/>
      <dgm:t>
        <a:bodyPr/>
        <a:lstStyle/>
        <a:p>
          <a:endParaRPr lang="en-US" b="1"/>
        </a:p>
      </dgm:t>
    </dgm:pt>
    <dgm:pt modelId="{908BE0B5-9DC0-41FC-9A5A-87575B0997AB}" type="sibTrans" cxnId="{4353CEC2-CF04-4F4E-BB90-981E484A64CB}">
      <dgm:prSet/>
      <dgm:spPr/>
      <dgm:t>
        <a:bodyPr/>
        <a:lstStyle/>
        <a:p>
          <a:endParaRPr lang="en-US" b="1"/>
        </a:p>
      </dgm:t>
    </dgm:pt>
    <dgm:pt modelId="{04F340A1-6F90-422D-A364-2F979AE3CF3F}">
      <dgm:prSet/>
      <dgm:spPr/>
      <dgm:t>
        <a:bodyPr/>
        <a:lstStyle/>
        <a:p>
          <a:r>
            <a:rPr lang="en-US" b="1" i="0" u="none"/>
            <a:t>2011</a:t>
          </a:r>
          <a:endParaRPr lang="en-US" b="1"/>
        </a:p>
      </dgm:t>
    </dgm:pt>
    <dgm:pt modelId="{6B823287-9782-496D-AB99-C0A2038442F8}" type="parTrans" cxnId="{A0503455-9214-4E7E-B14C-A8E3D08457BD}">
      <dgm:prSet/>
      <dgm:spPr/>
      <dgm:t>
        <a:bodyPr/>
        <a:lstStyle/>
        <a:p>
          <a:endParaRPr lang="en-US" b="1"/>
        </a:p>
      </dgm:t>
    </dgm:pt>
    <dgm:pt modelId="{0B08169B-489A-436A-9E93-AA2627E2D39A}" type="sibTrans" cxnId="{A0503455-9214-4E7E-B14C-A8E3D08457BD}">
      <dgm:prSet/>
      <dgm:spPr/>
      <dgm:t>
        <a:bodyPr/>
        <a:lstStyle/>
        <a:p>
          <a:endParaRPr lang="en-US" b="1"/>
        </a:p>
      </dgm:t>
    </dgm:pt>
    <dgm:pt modelId="{96113B68-F3F4-4EE8-B170-1BBAB667C345}">
      <dgm:prSet/>
      <dgm:spPr/>
      <dgm:t>
        <a:bodyPr/>
        <a:lstStyle/>
        <a:p>
          <a:r>
            <a:rPr lang="en-US" b="1" i="0" u="none"/>
            <a:t>2012</a:t>
          </a:r>
          <a:endParaRPr lang="en-US" b="1"/>
        </a:p>
      </dgm:t>
    </dgm:pt>
    <dgm:pt modelId="{3E6703BE-2842-4EB5-A7C4-C317106B0E4D}" type="parTrans" cxnId="{E266C1A9-F0B0-4106-B74D-213E06F44B35}">
      <dgm:prSet/>
      <dgm:spPr/>
      <dgm:t>
        <a:bodyPr/>
        <a:lstStyle/>
        <a:p>
          <a:endParaRPr lang="en-US" b="1"/>
        </a:p>
      </dgm:t>
    </dgm:pt>
    <dgm:pt modelId="{DB237DEC-592C-4307-994C-064C02580C98}" type="sibTrans" cxnId="{E266C1A9-F0B0-4106-B74D-213E06F44B35}">
      <dgm:prSet/>
      <dgm:spPr/>
      <dgm:t>
        <a:bodyPr/>
        <a:lstStyle/>
        <a:p>
          <a:endParaRPr lang="en-US" b="1"/>
        </a:p>
      </dgm:t>
    </dgm:pt>
    <dgm:pt modelId="{35AAEC75-D4C9-4368-8310-A811F8D3593F}">
      <dgm:prSet/>
      <dgm:spPr/>
      <dgm:t>
        <a:bodyPr/>
        <a:lstStyle/>
        <a:p>
          <a:r>
            <a:rPr lang="en-US" b="1" i="0" u="none"/>
            <a:t>2013</a:t>
          </a:r>
          <a:endParaRPr lang="en-US" b="1"/>
        </a:p>
      </dgm:t>
    </dgm:pt>
    <dgm:pt modelId="{5E4115AD-952A-4B82-BC1A-95DFAB395A25}" type="parTrans" cxnId="{B5D39C42-E4A2-4006-BF2F-7BA0963618C6}">
      <dgm:prSet/>
      <dgm:spPr/>
      <dgm:t>
        <a:bodyPr/>
        <a:lstStyle/>
        <a:p>
          <a:endParaRPr lang="en-US" b="1"/>
        </a:p>
      </dgm:t>
    </dgm:pt>
    <dgm:pt modelId="{42D1B7D1-20DA-4385-BE0D-86F650C933A9}" type="sibTrans" cxnId="{B5D39C42-E4A2-4006-BF2F-7BA0963618C6}">
      <dgm:prSet/>
      <dgm:spPr/>
      <dgm:t>
        <a:bodyPr/>
        <a:lstStyle/>
        <a:p>
          <a:endParaRPr lang="en-US" b="1"/>
        </a:p>
      </dgm:t>
    </dgm:pt>
    <dgm:pt modelId="{4C9AB7CA-F59E-462B-9666-C52B1FFE5021}">
      <dgm:prSet/>
      <dgm:spPr/>
      <dgm:t>
        <a:bodyPr/>
        <a:lstStyle/>
        <a:p>
          <a:r>
            <a:rPr lang="en-US" b="1" i="0" u="none"/>
            <a:t>2014</a:t>
          </a:r>
          <a:endParaRPr lang="en-US" b="1"/>
        </a:p>
      </dgm:t>
    </dgm:pt>
    <dgm:pt modelId="{860F6F25-4D28-469F-A27A-9B78F7E2D897}" type="parTrans" cxnId="{45C9266B-11BC-400E-8080-AF3806EE0E6B}">
      <dgm:prSet/>
      <dgm:spPr/>
      <dgm:t>
        <a:bodyPr/>
        <a:lstStyle/>
        <a:p>
          <a:endParaRPr lang="en-US" b="1"/>
        </a:p>
      </dgm:t>
    </dgm:pt>
    <dgm:pt modelId="{990539E9-E3A7-47E2-8081-B60BBECDE25E}" type="sibTrans" cxnId="{45C9266B-11BC-400E-8080-AF3806EE0E6B}">
      <dgm:prSet/>
      <dgm:spPr/>
      <dgm:t>
        <a:bodyPr/>
        <a:lstStyle/>
        <a:p>
          <a:endParaRPr lang="en-US" b="1"/>
        </a:p>
      </dgm:t>
    </dgm:pt>
    <dgm:pt modelId="{EAFA04F0-EDB3-46C9-A4DB-26DF7824C0BE}">
      <dgm:prSet/>
      <dgm:spPr/>
      <dgm:t>
        <a:bodyPr/>
        <a:lstStyle/>
        <a:p>
          <a:r>
            <a:rPr lang="en-US" b="1" i="0" u="none"/>
            <a:t>2015</a:t>
          </a:r>
          <a:endParaRPr lang="en-US" b="1"/>
        </a:p>
      </dgm:t>
    </dgm:pt>
    <dgm:pt modelId="{6BA53B5A-7F69-4C7D-8BB4-5CAAC59F0FAB}" type="parTrans" cxnId="{59573473-D333-4D22-83B3-21AD3D916400}">
      <dgm:prSet/>
      <dgm:spPr/>
      <dgm:t>
        <a:bodyPr/>
        <a:lstStyle/>
        <a:p>
          <a:endParaRPr lang="en-US" b="1"/>
        </a:p>
      </dgm:t>
    </dgm:pt>
    <dgm:pt modelId="{CCF63A86-3591-4EFF-B0D4-76A4ABBC893C}" type="sibTrans" cxnId="{59573473-D333-4D22-83B3-21AD3D916400}">
      <dgm:prSet/>
      <dgm:spPr/>
      <dgm:t>
        <a:bodyPr/>
        <a:lstStyle/>
        <a:p>
          <a:endParaRPr lang="en-US" b="1"/>
        </a:p>
      </dgm:t>
    </dgm:pt>
    <dgm:pt modelId="{7399E32C-79E8-49B1-A8B0-046A37E794C2}">
      <dgm:prSet/>
      <dgm:spPr/>
      <dgm:t>
        <a:bodyPr/>
        <a:lstStyle/>
        <a:p>
          <a:r>
            <a:rPr lang="en-US" b="1" i="0" u="none"/>
            <a:t>2016</a:t>
          </a:r>
          <a:endParaRPr lang="en-US" b="1"/>
        </a:p>
      </dgm:t>
    </dgm:pt>
    <dgm:pt modelId="{4C5B6265-F06C-4DB1-BA61-941B0C9A1691}" type="parTrans" cxnId="{9DE27A71-B7BD-4916-A6D3-1DDFC911FA0C}">
      <dgm:prSet/>
      <dgm:spPr/>
      <dgm:t>
        <a:bodyPr/>
        <a:lstStyle/>
        <a:p>
          <a:endParaRPr lang="en-US" b="1"/>
        </a:p>
      </dgm:t>
    </dgm:pt>
    <dgm:pt modelId="{48F2B0BA-0082-4BA6-9160-10E432D15423}" type="sibTrans" cxnId="{9DE27A71-B7BD-4916-A6D3-1DDFC911FA0C}">
      <dgm:prSet/>
      <dgm:spPr/>
      <dgm:t>
        <a:bodyPr/>
        <a:lstStyle/>
        <a:p>
          <a:endParaRPr lang="en-US" b="1"/>
        </a:p>
      </dgm:t>
    </dgm:pt>
    <dgm:pt modelId="{B7D3F223-E36E-4D35-81EB-D46ACB27CE07}">
      <dgm:prSet/>
      <dgm:spPr/>
      <dgm:t>
        <a:bodyPr/>
        <a:lstStyle/>
        <a:p>
          <a:r>
            <a:rPr lang="en-US" b="1" i="0" u="none"/>
            <a:t>2017</a:t>
          </a:r>
          <a:endParaRPr lang="en-US" b="1"/>
        </a:p>
      </dgm:t>
    </dgm:pt>
    <dgm:pt modelId="{552E784B-C4FE-443D-A345-0F883C92C486}" type="parTrans" cxnId="{B271290C-0E45-4654-82BA-837FEDE9CA9D}">
      <dgm:prSet/>
      <dgm:spPr/>
      <dgm:t>
        <a:bodyPr/>
        <a:lstStyle/>
        <a:p>
          <a:endParaRPr lang="en-US" b="1"/>
        </a:p>
      </dgm:t>
    </dgm:pt>
    <dgm:pt modelId="{BF89E9A5-4A86-429D-8FF6-7A2BA8E38610}" type="sibTrans" cxnId="{B271290C-0E45-4654-82BA-837FEDE9CA9D}">
      <dgm:prSet/>
      <dgm:spPr/>
      <dgm:t>
        <a:bodyPr/>
        <a:lstStyle/>
        <a:p>
          <a:endParaRPr lang="en-US" b="1"/>
        </a:p>
      </dgm:t>
    </dgm:pt>
    <dgm:pt modelId="{31E0A331-68CF-4453-9E05-EDA767261658}">
      <dgm:prSet/>
      <dgm:spPr/>
      <dgm:t>
        <a:bodyPr/>
        <a:lstStyle/>
        <a:p>
          <a:r>
            <a:rPr lang="en-US" b="1" i="0" u="none"/>
            <a:t>2018</a:t>
          </a:r>
          <a:endParaRPr lang="en-US" b="1"/>
        </a:p>
      </dgm:t>
    </dgm:pt>
    <dgm:pt modelId="{E73232F3-EE63-4E4E-8F8D-78A720EA6011}" type="parTrans" cxnId="{03764DCF-3D75-4382-934D-44A63EE9BAD6}">
      <dgm:prSet/>
      <dgm:spPr/>
      <dgm:t>
        <a:bodyPr/>
        <a:lstStyle/>
        <a:p>
          <a:endParaRPr lang="en-US" b="1"/>
        </a:p>
      </dgm:t>
    </dgm:pt>
    <dgm:pt modelId="{9FC0F2E5-2CFD-4ED4-A8AC-AA27EE42C276}" type="sibTrans" cxnId="{03764DCF-3D75-4382-934D-44A63EE9BAD6}">
      <dgm:prSet/>
      <dgm:spPr/>
      <dgm:t>
        <a:bodyPr/>
        <a:lstStyle/>
        <a:p>
          <a:endParaRPr lang="en-US" b="1"/>
        </a:p>
      </dgm:t>
    </dgm:pt>
    <dgm:pt modelId="{8A068941-439E-4552-9C25-15634CDC50D1}">
      <dgm:prSet/>
      <dgm:spPr/>
      <dgm:t>
        <a:bodyPr/>
        <a:lstStyle/>
        <a:p>
          <a:r>
            <a:rPr lang="en-US" b="1" i="0" u="none"/>
            <a:t>2019</a:t>
          </a:r>
          <a:endParaRPr lang="en-US" b="1"/>
        </a:p>
      </dgm:t>
    </dgm:pt>
    <dgm:pt modelId="{1C715C7F-F0E6-4641-AF2B-31902C2EFF05}" type="parTrans" cxnId="{B4C79C90-5497-4862-A537-AC298B348EA5}">
      <dgm:prSet/>
      <dgm:spPr/>
      <dgm:t>
        <a:bodyPr/>
        <a:lstStyle/>
        <a:p>
          <a:endParaRPr lang="en-US" b="1"/>
        </a:p>
      </dgm:t>
    </dgm:pt>
    <dgm:pt modelId="{10BD7399-5719-4805-B703-7B76C3805D6A}" type="sibTrans" cxnId="{B4C79C90-5497-4862-A537-AC298B348EA5}">
      <dgm:prSet/>
      <dgm:spPr/>
      <dgm:t>
        <a:bodyPr/>
        <a:lstStyle/>
        <a:p>
          <a:endParaRPr lang="en-US" b="1"/>
        </a:p>
      </dgm:t>
    </dgm:pt>
    <dgm:pt modelId="{F3E950C5-E5CD-44F3-B079-3A75CBF5A79B}">
      <dgm:prSet/>
      <dgm:spPr/>
      <dgm:t>
        <a:bodyPr/>
        <a:lstStyle/>
        <a:p>
          <a:r>
            <a:rPr lang="en-US" b="1" i="0" u="none"/>
            <a:t>2021</a:t>
          </a:r>
          <a:endParaRPr lang="en-US" b="1"/>
        </a:p>
      </dgm:t>
    </dgm:pt>
    <dgm:pt modelId="{451A9DFC-F2A7-4B3C-A9FD-6C78DEE74508}" type="parTrans" cxnId="{3AAE4AE3-1A1F-4440-9036-279039280338}">
      <dgm:prSet/>
      <dgm:spPr/>
      <dgm:t>
        <a:bodyPr/>
        <a:lstStyle/>
        <a:p>
          <a:endParaRPr lang="en-US" b="1"/>
        </a:p>
      </dgm:t>
    </dgm:pt>
    <dgm:pt modelId="{2086DA78-47A7-408B-8A1B-CAD8501BCC78}" type="sibTrans" cxnId="{3AAE4AE3-1A1F-4440-9036-279039280338}">
      <dgm:prSet/>
      <dgm:spPr/>
      <dgm:t>
        <a:bodyPr/>
        <a:lstStyle/>
        <a:p>
          <a:endParaRPr lang="en-US" b="1"/>
        </a:p>
      </dgm:t>
    </dgm:pt>
    <dgm:pt modelId="{9CF05FAB-6DF4-4C2F-A687-0374561446A0}" type="pres">
      <dgm:prSet presAssocID="{2DA4FFF7-4D1E-4D0C-81F4-1D434A031E78}" presName="diagram" presStyleCnt="0">
        <dgm:presLayoutVars>
          <dgm:dir/>
          <dgm:resizeHandles val="exact"/>
        </dgm:presLayoutVars>
      </dgm:prSet>
      <dgm:spPr/>
    </dgm:pt>
    <dgm:pt modelId="{5764586E-378C-43E5-BB56-CF1231A1588D}" type="pres">
      <dgm:prSet presAssocID="{5EDA19AD-2D32-4306-96F6-E51AFC7D409E}" presName="node" presStyleLbl="node1" presStyleIdx="0" presStyleCnt="23">
        <dgm:presLayoutVars>
          <dgm:bulletEnabled val="1"/>
        </dgm:presLayoutVars>
      </dgm:prSet>
      <dgm:spPr>
        <a:prstGeom prst="ellipse">
          <a:avLst/>
        </a:prstGeom>
      </dgm:spPr>
    </dgm:pt>
    <dgm:pt modelId="{706CB2B1-177E-4447-AB48-3B18B2C9948F}" type="pres">
      <dgm:prSet presAssocID="{9E78087D-CB90-4161-9F04-552EBC8F0DA5}" presName="sibTrans" presStyleCnt="0"/>
      <dgm:spPr/>
    </dgm:pt>
    <dgm:pt modelId="{E751D154-2D6E-423B-836D-580A6C3CF006}" type="pres">
      <dgm:prSet presAssocID="{6F475ED8-108E-4B39-9976-9B0867DD851F}" presName="node" presStyleLbl="node1" presStyleIdx="1" presStyleCnt="23">
        <dgm:presLayoutVars>
          <dgm:bulletEnabled val="1"/>
        </dgm:presLayoutVars>
      </dgm:prSet>
      <dgm:spPr>
        <a:prstGeom prst="ellipse">
          <a:avLst/>
        </a:prstGeom>
      </dgm:spPr>
    </dgm:pt>
    <dgm:pt modelId="{F9D8AA14-8D3B-44CF-9192-74B94075D334}" type="pres">
      <dgm:prSet presAssocID="{C7354252-D2B1-467A-B00D-D053A16C2135}" presName="sibTrans" presStyleCnt="0"/>
      <dgm:spPr/>
    </dgm:pt>
    <dgm:pt modelId="{E666458D-70CD-48E1-BC6C-CA5AD9506770}" type="pres">
      <dgm:prSet presAssocID="{5F8376BC-7AFE-4879-BD3A-16D484DA2DD4}" presName="node" presStyleLbl="node1" presStyleIdx="2" presStyleCnt="23">
        <dgm:presLayoutVars>
          <dgm:bulletEnabled val="1"/>
        </dgm:presLayoutVars>
      </dgm:prSet>
      <dgm:spPr>
        <a:prstGeom prst="ellipse">
          <a:avLst/>
        </a:prstGeom>
      </dgm:spPr>
    </dgm:pt>
    <dgm:pt modelId="{8D189D0F-7C16-407A-8E2A-459949DDC525}" type="pres">
      <dgm:prSet presAssocID="{D0A41FC3-3A26-43A1-87AB-1F6711B09990}" presName="sibTrans" presStyleCnt="0"/>
      <dgm:spPr/>
    </dgm:pt>
    <dgm:pt modelId="{2E79F5BD-C317-492B-A3B6-C2DB7DD00000}" type="pres">
      <dgm:prSet presAssocID="{2F50AAB8-8D90-484B-8F28-6B8B35D6175C}" presName="node" presStyleLbl="node1" presStyleIdx="3" presStyleCnt="23">
        <dgm:presLayoutVars>
          <dgm:bulletEnabled val="1"/>
        </dgm:presLayoutVars>
      </dgm:prSet>
      <dgm:spPr>
        <a:prstGeom prst="ellipse">
          <a:avLst/>
        </a:prstGeom>
      </dgm:spPr>
    </dgm:pt>
    <dgm:pt modelId="{225F15D5-E74C-4A11-9ADB-472528A3341C}" type="pres">
      <dgm:prSet presAssocID="{A1C7710B-E67C-449D-83A1-F1CD488A9137}" presName="sibTrans" presStyleCnt="0"/>
      <dgm:spPr/>
    </dgm:pt>
    <dgm:pt modelId="{15C9D13B-2F03-49F7-8EF3-98B020A37495}" type="pres">
      <dgm:prSet presAssocID="{124BFAC4-5BC0-48BD-8373-4245DFE90F06}" presName="node" presStyleLbl="node1" presStyleIdx="4" presStyleCnt="23">
        <dgm:presLayoutVars>
          <dgm:bulletEnabled val="1"/>
        </dgm:presLayoutVars>
      </dgm:prSet>
      <dgm:spPr>
        <a:prstGeom prst="ellipse">
          <a:avLst/>
        </a:prstGeom>
      </dgm:spPr>
    </dgm:pt>
    <dgm:pt modelId="{901D2A10-2119-449A-B09B-C7D42806D081}" type="pres">
      <dgm:prSet presAssocID="{A4B11B12-7923-411C-952E-3B8E700ABBF4}" presName="sibTrans" presStyleCnt="0"/>
      <dgm:spPr/>
    </dgm:pt>
    <dgm:pt modelId="{8759C4EF-D8E6-4358-8B9C-6976200D52A6}" type="pres">
      <dgm:prSet presAssocID="{645F6944-1321-4126-A072-070FD64D6DC6}" presName="node" presStyleLbl="node1" presStyleIdx="5" presStyleCnt="23">
        <dgm:presLayoutVars>
          <dgm:bulletEnabled val="1"/>
        </dgm:presLayoutVars>
      </dgm:prSet>
      <dgm:spPr>
        <a:prstGeom prst="ellipse">
          <a:avLst/>
        </a:prstGeom>
      </dgm:spPr>
    </dgm:pt>
    <dgm:pt modelId="{ED8858FD-180F-4B0F-9F16-3324FC191FEB}" type="pres">
      <dgm:prSet presAssocID="{31AAE74C-9EBE-4383-8C15-7D8EA19D0CC4}" presName="sibTrans" presStyleCnt="0"/>
      <dgm:spPr/>
    </dgm:pt>
    <dgm:pt modelId="{63C0D846-FCE3-4D70-975F-CFE18AC1B786}" type="pres">
      <dgm:prSet presAssocID="{D7C8F13C-1EBF-42A2-BCAE-BFB551CAE460}" presName="node" presStyleLbl="node1" presStyleIdx="6" presStyleCnt="23">
        <dgm:presLayoutVars>
          <dgm:bulletEnabled val="1"/>
        </dgm:presLayoutVars>
      </dgm:prSet>
      <dgm:spPr>
        <a:prstGeom prst="ellipse">
          <a:avLst/>
        </a:prstGeom>
      </dgm:spPr>
    </dgm:pt>
    <dgm:pt modelId="{FD739AFD-67A9-4A8A-ACEC-B44718FAFC1F}" type="pres">
      <dgm:prSet presAssocID="{74007E78-BB14-4BB3-8EC1-1F45645291C3}" presName="sibTrans" presStyleCnt="0"/>
      <dgm:spPr/>
    </dgm:pt>
    <dgm:pt modelId="{462CBEDB-6873-4DBF-A40F-1B2B32562ECE}" type="pres">
      <dgm:prSet presAssocID="{307AF7EC-83FD-4C9E-B555-959585B4431A}" presName="node" presStyleLbl="node1" presStyleIdx="7" presStyleCnt="23">
        <dgm:presLayoutVars>
          <dgm:bulletEnabled val="1"/>
        </dgm:presLayoutVars>
      </dgm:prSet>
      <dgm:spPr>
        <a:prstGeom prst="ellipse">
          <a:avLst/>
        </a:prstGeom>
      </dgm:spPr>
    </dgm:pt>
    <dgm:pt modelId="{F8E21C2E-A7C8-45CB-81B5-4FCCC9ED6941}" type="pres">
      <dgm:prSet presAssocID="{5FB4016D-3966-4312-95DF-ECDA0C7480A3}" presName="sibTrans" presStyleCnt="0"/>
      <dgm:spPr/>
    </dgm:pt>
    <dgm:pt modelId="{CBC36FAD-C4D4-4DF1-9296-BF3EE20E79D2}" type="pres">
      <dgm:prSet presAssocID="{41435B05-9AC0-4731-9BAC-CFDDEE51E3A7}" presName="node" presStyleLbl="node1" presStyleIdx="8" presStyleCnt="23">
        <dgm:presLayoutVars>
          <dgm:bulletEnabled val="1"/>
        </dgm:presLayoutVars>
      </dgm:prSet>
      <dgm:spPr>
        <a:prstGeom prst="ellipse">
          <a:avLst/>
        </a:prstGeom>
      </dgm:spPr>
    </dgm:pt>
    <dgm:pt modelId="{872447AD-18D8-4990-AB7A-2D0C4C82B9A4}" type="pres">
      <dgm:prSet presAssocID="{FDF9670B-B2D3-423C-9CDD-5497AED50A01}" presName="sibTrans" presStyleCnt="0"/>
      <dgm:spPr/>
    </dgm:pt>
    <dgm:pt modelId="{DFEA43AE-E06C-405D-B63E-9E56312033D9}" type="pres">
      <dgm:prSet presAssocID="{A08CFFB9-69CA-48C7-8FF4-AC1079C7A46B}" presName="node" presStyleLbl="node1" presStyleIdx="9" presStyleCnt="23">
        <dgm:presLayoutVars>
          <dgm:bulletEnabled val="1"/>
        </dgm:presLayoutVars>
      </dgm:prSet>
      <dgm:spPr>
        <a:prstGeom prst="ellipse">
          <a:avLst/>
        </a:prstGeom>
      </dgm:spPr>
    </dgm:pt>
    <dgm:pt modelId="{29E460E4-27B2-4625-BEFC-F3E2933931AC}" type="pres">
      <dgm:prSet presAssocID="{F8BF338A-9B75-44FA-9472-565E69514494}" presName="sibTrans" presStyleCnt="0"/>
      <dgm:spPr/>
    </dgm:pt>
    <dgm:pt modelId="{7417BBB4-DDBC-4096-B75F-3F467BB6C407}" type="pres">
      <dgm:prSet presAssocID="{88033B50-1850-4804-A959-C76F425D7283}" presName="node" presStyleLbl="node1" presStyleIdx="10" presStyleCnt="23">
        <dgm:presLayoutVars>
          <dgm:bulletEnabled val="1"/>
        </dgm:presLayoutVars>
      </dgm:prSet>
      <dgm:spPr>
        <a:prstGeom prst="ellipse">
          <a:avLst/>
        </a:prstGeom>
      </dgm:spPr>
    </dgm:pt>
    <dgm:pt modelId="{59803079-B6E7-4B3F-BEC0-5270CB3C2FEC}" type="pres">
      <dgm:prSet presAssocID="{22D5ACD6-2B28-4494-BE3C-ACF59CC1D193}" presName="sibTrans" presStyleCnt="0"/>
      <dgm:spPr/>
    </dgm:pt>
    <dgm:pt modelId="{A1A46514-4FBF-4EA3-BF3C-62E5399C3D49}" type="pres">
      <dgm:prSet presAssocID="{4C01D54F-5489-4596-A811-F43A2EBBFE98}" presName="node" presStyleLbl="node1" presStyleIdx="11" presStyleCnt="23">
        <dgm:presLayoutVars>
          <dgm:bulletEnabled val="1"/>
        </dgm:presLayoutVars>
      </dgm:prSet>
      <dgm:spPr>
        <a:prstGeom prst="ellipse">
          <a:avLst/>
        </a:prstGeom>
      </dgm:spPr>
    </dgm:pt>
    <dgm:pt modelId="{57F858F7-1999-4F30-8A78-EF6946666905}" type="pres">
      <dgm:prSet presAssocID="{4679E765-7442-44FF-B20F-B875F6A485FE}" presName="sibTrans" presStyleCnt="0"/>
      <dgm:spPr/>
    </dgm:pt>
    <dgm:pt modelId="{CBF94222-0472-4140-B6C7-99A91FB44EFD}" type="pres">
      <dgm:prSet presAssocID="{26EB088A-BB52-4B63-8A8E-AD4F196DD679}" presName="node" presStyleLbl="node1" presStyleIdx="12" presStyleCnt="23">
        <dgm:presLayoutVars>
          <dgm:bulletEnabled val="1"/>
        </dgm:presLayoutVars>
      </dgm:prSet>
      <dgm:spPr>
        <a:prstGeom prst="ellipse">
          <a:avLst/>
        </a:prstGeom>
      </dgm:spPr>
    </dgm:pt>
    <dgm:pt modelId="{7C40F0EF-4170-41FF-92F7-AA76CB93FD7E}" type="pres">
      <dgm:prSet presAssocID="{908BE0B5-9DC0-41FC-9A5A-87575B0997AB}" presName="sibTrans" presStyleCnt="0"/>
      <dgm:spPr/>
    </dgm:pt>
    <dgm:pt modelId="{4233332B-54B4-47CE-90AC-CB016B3925B6}" type="pres">
      <dgm:prSet presAssocID="{04F340A1-6F90-422D-A364-2F979AE3CF3F}" presName="node" presStyleLbl="node1" presStyleIdx="13" presStyleCnt="23">
        <dgm:presLayoutVars>
          <dgm:bulletEnabled val="1"/>
        </dgm:presLayoutVars>
      </dgm:prSet>
      <dgm:spPr>
        <a:prstGeom prst="ellipse">
          <a:avLst/>
        </a:prstGeom>
      </dgm:spPr>
    </dgm:pt>
    <dgm:pt modelId="{A97B1A4A-E5A9-413A-9D4D-141095B3C76A}" type="pres">
      <dgm:prSet presAssocID="{0B08169B-489A-436A-9E93-AA2627E2D39A}" presName="sibTrans" presStyleCnt="0"/>
      <dgm:spPr/>
    </dgm:pt>
    <dgm:pt modelId="{61E1BA7C-3022-4338-BD85-A24B4BE2F82E}" type="pres">
      <dgm:prSet presAssocID="{96113B68-F3F4-4EE8-B170-1BBAB667C345}" presName="node" presStyleLbl="node1" presStyleIdx="14" presStyleCnt="23">
        <dgm:presLayoutVars>
          <dgm:bulletEnabled val="1"/>
        </dgm:presLayoutVars>
      </dgm:prSet>
      <dgm:spPr>
        <a:prstGeom prst="ellipse">
          <a:avLst/>
        </a:prstGeom>
      </dgm:spPr>
    </dgm:pt>
    <dgm:pt modelId="{E7BC06A3-0C99-4B4E-B5A9-7B397058F65A}" type="pres">
      <dgm:prSet presAssocID="{DB237DEC-592C-4307-994C-064C02580C98}" presName="sibTrans" presStyleCnt="0"/>
      <dgm:spPr/>
    </dgm:pt>
    <dgm:pt modelId="{78A5D263-04CF-4CC8-8CA9-97E26A3EC0DC}" type="pres">
      <dgm:prSet presAssocID="{35AAEC75-D4C9-4368-8310-A811F8D3593F}" presName="node" presStyleLbl="node1" presStyleIdx="15" presStyleCnt="23">
        <dgm:presLayoutVars>
          <dgm:bulletEnabled val="1"/>
        </dgm:presLayoutVars>
      </dgm:prSet>
      <dgm:spPr>
        <a:prstGeom prst="ellipse">
          <a:avLst/>
        </a:prstGeom>
      </dgm:spPr>
    </dgm:pt>
    <dgm:pt modelId="{2A0595F5-CD28-4493-9E9F-A6EA104F250F}" type="pres">
      <dgm:prSet presAssocID="{42D1B7D1-20DA-4385-BE0D-86F650C933A9}" presName="sibTrans" presStyleCnt="0"/>
      <dgm:spPr/>
    </dgm:pt>
    <dgm:pt modelId="{CDE6BA28-6281-450D-A795-F37E17877EC2}" type="pres">
      <dgm:prSet presAssocID="{4C9AB7CA-F59E-462B-9666-C52B1FFE5021}" presName="node" presStyleLbl="node1" presStyleIdx="16" presStyleCnt="23">
        <dgm:presLayoutVars>
          <dgm:bulletEnabled val="1"/>
        </dgm:presLayoutVars>
      </dgm:prSet>
      <dgm:spPr>
        <a:prstGeom prst="ellipse">
          <a:avLst/>
        </a:prstGeom>
      </dgm:spPr>
    </dgm:pt>
    <dgm:pt modelId="{52EA3B96-2116-4035-AAD5-4F17C548739D}" type="pres">
      <dgm:prSet presAssocID="{990539E9-E3A7-47E2-8081-B60BBECDE25E}" presName="sibTrans" presStyleCnt="0"/>
      <dgm:spPr/>
    </dgm:pt>
    <dgm:pt modelId="{0BA0FC90-9752-4180-8BCC-47E281CD08ED}" type="pres">
      <dgm:prSet presAssocID="{EAFA04F0-EDB3-46C9-A4DB-26DF7824C0BE}" presName="node" presStyleLbl="node1" presStyleIdx="17" presStyleCnt="23">
        <dgm:presLayoutVars>
          <dgm:bulletEnabled val="1"/>
        </dgm:presLayoutVars>
      </dgm:prSet>
      <dgm:spPr>
        <a:prstGeom prst="ellipse">
          <a:avLst/>
        </a:prstGeom>
      </dgm:spPr>
    </dgm:pt>
    <dgm:pt modelId="{69FFE425-EAD0-44DB-B1A9-1DECF0C446A5}" type="pres">
      <dgm:prSet presAssocID="{CCF63A86-3591-4EFF-B0D4-76A4ABBC893C}" presName="sibTrans" presStyleCnt="0"/>
      <dgm:spPr/>
    </dgm:pt>
    <dgm:pt modelId="{E9D53361-8D38-40FF-B8FB-107868A67D7E}" type="pres">
      <dgm:prSet presAssocID="{7399E32C-79E8-49B1-A8B0-046A37E794C2}" presName="node" presStyleLbl="node1" presStyleIdx="18" presStyleCnt="23">
        <dgm:presLayoutVars>
          <dgm:bulletEnabled val="1"/>
        </dgm:presLayoutVars>
      </dgm:prSet>
      <dgm:spPr>
        <a:prstGeom prst="ellipse">
          <a:avLst/>
        </a:prstGeom>
      </dgm:spPr>
    </dgm:pt>
    <dgm:pt modelId="{DDF454AA-BB6A-4295-91CF-A2C73364CB74}" type="pres">
      <dgm:prSet presAssocID="{48F2B0BA-0082-4BA6-9160-10E432D15423}" presName="sibTrans" presStyleCnt="0"/>
      <dgm:spPr/>
    </dgm:pt>
    <dgm:pt modelId="{4DFD55C2-26F5-4EFE-A691-49B8F5178E2F}" type="pres">
      <dgm:prSet presAssocID="{B7D3F223-E36E-4D35-81EB-D46ACB27CE07}" presName="node" presStyleLbl="node1" presStyleIdx="19" presStyleCnt="23">
        <dgm:presLayoutVars>
          <dgm:bulletEnabled val="1"/>
        </dgm:presLayoutVars>
      </dgm:prSet>
      <dgm:spPr>
        <a:prstGeom prst="ellipse">
          <a:avLst/>
        </a:prstGeom>
      </dgm:spPr>
    </dgm:pt>
    <dgm:pt modelId="{ADD7644C-A63B-443A-904F-5BFC35D1EC44}" type="pres">
      <dgm:prSet presAssocID="{BF89E9A5-4A86-429D-8FF6-7A2BA8E38610}" presName="sibTrans" presStyleCnt="0"/>
      <dgm:spPr/>
    </dgm:pt>
    <dgm:pt modelId="{560ED904-3E16-4F6B-96CF-B423430D804B}" type="pres">
      <dgm:prSet presAssocID="{31E0A331-68CF-4453-9E05-EDA767261658}" presName="node" presStyleLbl="node1" presStyleIdx="20" presStyleCnt="23">
        <dgm:presLayoutVars>
          <dgm:bulletEnabled val="1"/>
        </dgm:presLayoutVars>
      </dgm:prSet>
      <dgm:spPr>
        <a:prstGeom prst="ellipse">
          <a:avLst/>
        </a:prstGeom>
      </dgm:spPr>
    </dgm:pt>
    <dgm:pt modelId="{C795AF19-E88C-42C3-9945-458B9EA1A3A5}" type="pres">
      <dgm:prSet presAssocID="{9FC0F2E5-2CFD-4ED4-A8AC-AA27EE42C276}" presName="sibTrans" presStyleCnt="0"/>
      <dgm:spPr/>
    </dgm:pt>
    <dgm:pt modelId="{FD0CEB88-8EC1-4AC7-AC23-34C8E39DD465}" type="pres">
      <dgm:prSet presAssocID="{8A068941-439E-4552-9C25-15634CDC50D1}" presName="node" presStyleLbl="node1" presStyleIdx="21" presStyleCnt="23">
        <dgm:presLayoutVars>
          <dgm:bulletEnabled val="1"/>
        </dgm:presLayoutVars>
      </dgm:prSet>
      <dgm:spPr>
        <a:prstGeom prst="ellipse">
          <a:avLst/>
        </a:prstGeom>
      </dgm:spPr>
    </dgm:pt>
    <dgm:pt modelId="{CBAB60E1-23C9-4BEC-BABC-EAA5354F0C4F}" type="pres">
      <dgm:prSet presAssocID="{10BD7399-5719-4805-B703-7B76C3805D6A}" presName="sibTrans" presStyleCnt="0"/>
      <dgm:spPr/>
    </dgm:pt>
    <dgm:pt modelId="{A5603397-154E-45F1-BB7A-229BA4ED4280}" type="pres">
      <dgm:prSet presAssocID="{F3E950C5-E5CD-44F3-B079-3A75CBF5A79B}" presName="node" presStyleLbl="node1" presStyleIdx="22" presStyleCnt="23">
        <dgm:presLayoutVars>
          <dgm:bulletEnabled val="1"/>
        </dgm:presLayoutVars>
      </dgm:prSet>
      <dgm:spPr>
        <a:prstGeom prst="ellipse">
          <a:avLst/>
        </a:prstGeom>
      </dgm:spPr>
    </dgm:pt>
  </dgm:ptLst>
  <dgm:cxnLst>
    <dgm:cxn modelId="{5C339A07-D05C-4289-AEB4-CF9E9D564729}" type="presOf" srcId="{31E0A331-68CF-4453-9E05-EDA767261658}" destId="{560ED904-3E16-4F6B-96CF-B423430D804B}" srcOrd="0" destOrd="0" presId="urn:microsoft.com/office/officeart/2005/8/layout/default"/>
    <dgm:cxn modelId="{B271290C-0E45-4654-82BA-837FEDE9CA9D}" srcId="{2DA4FFF7-4D1E-4D0C-81F4-1D434A031E78}" destId="{B7D3F223-E36E-4D35-81EB-D46ACB27CE07}" srcOrd="19" destOrd="0" parTransId="{552E784B-C4FE-443D-A345-0F883C92C486}" sibTransId="{BF89E9A5-4A86-429D-8FF6-7A2BA8E38610}"/>
    <dgm:cxn modelId="{DEB82014-4FA4-4E85-94D8-15183B5A33E8}" type="presOf" srcId="{96113B68-F3F4-4EE8-B170-1BBAB667C345}" destId="{61E1BA7C-3022-4338-BD85-A24B4BE2F82E}" srcOrd="0" destOrd="0" presId="urn:microsoft.com/office/officeart/2005/8/layout/default"/>
    <dgm:cxn modelId="{974B8B17-5B0B-4BC8-B1BB-AC4B52B2D949}" type="presOf" srcId="{F3E950C5-E5CD-44F3-B079-3A75CBF5A79B}" destId="{A5603397-154E-45F1-BB7A-229BA4ED4280}" srcOrd="0" destOrd="0" presId="urn:microsoft.com/office/officeart/2005/8/layout/default"/>
    <dgm:cxn modelId="{C5E3F524-8FE9-4BC8-97AB-BAB37CC2A23A}" srcId="{2DA4FFF7-4D1E-4D0C-81F4-1D434A031E78}" destId="{A08CFFB9-69CA-48C7-8FF4-AC1079C7A46B}" srcOrd="9" destOrd="0" parTransId="{912F3ADA-AF0B-46C8-823C-C2C6F278EF82}" sibTransId="{F8BF338A-9B75-44FA-9472-565E69514494}"/>
    <dgm:cxn modelId="{0AC51827-CC08-406E-A2D7-2380B2A70D14}" srcId="{2DA4FFF7-4D1E-4D0C-81F4-1D434A031E78}" destId="{88033B50-1850-4804-A959-C76F425D7283}" srcOrd="10" destOrd="0" parTransId="{EE05836A-9F80-4B65-8F40-636A45877D77}" sibTransId="{22D5ACD6-2B28-4494-BE3C-ACF59CC1D193}"/>
    <dgm:cxn modelId="{60B4EC5B-232B-4F21-A93C-560A9CEACB12}" srcId="{2DA4FFF7-4D1E-4D0C-81F4-1D434A031E78}" destId="{4C01D54F-5489-4596-A811-F43A2EBBFE98}" srcOrd="11" destOrd="0" parTransId="{B79DC5C3-73EF-4F32-B833-3EB5AD7F45C7}" sibTransId="{4679E765-7442-44FF-B20F-B875F6A485FE}"/>
    <dgm:cxn modelId="{A8E3045F-71CC-4B63-99CA-E8FEE0A2EEAD}" type="presOf" srcId="{A08CFFB9-69CA-48C7-8FF4-AC1079C7A46B}" destId="{DFEA43AE-E06C-405D-B63E-9E56312033D9}" srcOrd="0" destOrd="0" presId="urn:microsoft.com/office/officeart/2005/8/layout/default"/>
    <dgm:cxn modelId="{0E981C60-0A00-4A98-9FA3-D1D2F99DDDF0}" type="presOf" srcId="{4C01D54F-5489-4596-A811-F43A2EBBFE98}" destId="{A1A46514-4FBF-4EA3-BF3C-62E5399C3D49}" srcOrd="0" destOrd="0" presId="urn:microsoft.com/office/officeart/2005/8/layout/default"/>
    <dgm:cxn modelId="{3D291E62-CD6C-4938-B1C7-58AF64B6B373}" type="presOf" srcId="{124BFAC4-5BC0-48BD-8373-4245DFE90F06}" destId="{15C9D13B-2F03-49F7-8EF3-98B020A37495}" srcOrd="0" destOrd="0" presId="urn:microsoft.com/office/officeart/2005/8/layout/default"/>
    <dgm:cxn modelId="{B5D39C42-E4A2-4006-BF2F-7BA0963618C6}" srcId="{2DA4FFF7-4D1E-4D0C-81F4-1D434A031E78}" destId="{35AAEC75-D4C9-4368-8310-A811F8D3593F}" srcOrd="15" destOrd="0" parTransId="{5E4115AD-952A-4B82-BC1A-95DFAB395A25}" sibTransId="{42D1B7D1-20DA-4385-BE0D-86F650C933A9}"/>
    <dgm:cxn modelId="{A1FD2D63-F065-4131-BBED-AD3CCF76F631}" type="presOf" srcId="{4C9AB7CA-F59E-462B-9666-C52B1FFE5021}" destId="{CDE6BA28-6281-450D-A795-F37E17877EC2}" srcOrd="0" destOrd="0" presId="urn:microsoft.com/office/officeart/2005/8/layout/default"/>
    <dgm:cxn modelId="{03845063-1AC0-412D-9366-B7ED9A8EC44E}" type="presOf" srcId="{04F340A1-6F90-422D-A364-2F979AE3CF3F}" destId="{4233332B-54B4-47CE-90AC-CB016B3925B6}" srcOrd="0" destOrd="0" presId="urn:microsoft.com/office/officeart/2005/8/layout/default"/>
    <dgm:cxn modelId="{927B7F43-D15E-4F0B-A48E-5946ADBEBA39}" type="presOf" srcId="{7399E32C-79E8-49B1-A8B0-046A37E794C2}" destId="{E9D53361-8D38-40FF-B8FB-107868A67D7E}" srcOrd="0" destOrd="0" presId="urn:microsoft.com/office/officeart/2005/8/layout/default"/>
    <dgm:cxn modelId="{5359D843-DBD7-4501-9D0D-1DD0B1FE5918}" srcId="{2DA4FFF7-4D1E-4D0C-81F4-1D434A031E78}" destId="{2F50AAB8-8D90-484B-8F28-6B8B35D6175C}" srcOrd="3" destOrd="0" parTransId="{7A42846C-BA9F-48D1-A8D2-22B7B9F5887D}" sibTransId="{A1C7710B-E67C-449D-83A1-F1CD488A9137}"/>
    <dgm:cxn modelId="{E8AEE963-8C03-44B7-A774-8E04DDE28768}" srcId="{2DA4FFF7-4D1E-4D0C-81F4-1D434A031E78}" destId="{5F8376BC-7AFE-4879-BD3A-16D484DA2DD4}" srcOrd="2" destOrd="0" parTransId="{D7C48D74-4DBA-4C09-A09B-3F382995C200}" sibTransId="{D0A41FC3-3A26-43A1-87AB-1F6711B09990}"/>
    <dgm:cxn modelId="{00A90566-F3CC-46A1-8917-08EF10501809}" srcId="{2DA4FFF7-4D1E-4D0C-81F4-1D434A031E78}" destId="{307AF7EC-83FD-4C9E-B555-959585B4431A}" srcOrd="7" destOrd="0" parTransId="{562CC854-2C86-4266-92A0-021774FF82C6}" sibTransId="{5FB4016D-3966-4312-95DF-ECDA0C7480A3}"/>
    <dgm:cxn modelId="{45C9266B-11BC-400E-8080-AF3806EE0E6B}" srcId="{2DA4FFF7-4D1E-4D0C-81F4-1D434A031E78}" destId="{4C9AB7CA-F59E-462B-9666-C52B1FFE5021}" srcOrd="16" destOrd="0" parTransId="{860F6F25-4D28-469F-A27A-9B78F7E2D897}" sibTransId="{990539E9-E3A7-47E2-8081-B60BBECDE25E}"/>
    <dgm:cxn modelId="{EE65864B-3C55-4EE0-B8C0-085CBB74296C}" srcId="{2DA4FFF7-4D1E-4D0C-81F4-1D434A031E78}" destId="{124BFAC4-5BC0-48BD-8373-4245DFE90F06}" srcOrd="4" destOrd="0" parTransId="{A0A40E75-D706-411E-BD6B-1A64A4619F87}" sibTransId="{A4B11B12-7923-411C-952E-3B8E700ABBF4}"/>
    <dgm:cxn modelId="{A7003A4D-ABC6-40C4-8D58-31C80B072EAA}" type="presOf" srcId="{26EB088A-BB52-4B63-8A8E-AD4F196DD679}" destId="{CBF94222-0472-4140-B6C7-99A91FB44EFD}" srcOrd="0" destOrd="0" presId="urn:microsoft.com/office/officeart/2005/8/layout/default"/>
    <dgm:cxn modelId="{8E8E7671-220A-462C-A3A2-9D0232626092}" srcId="{2DA4FFF7-4D1E-4D0C-81F4-1D434A031E78}" destId="{41435B05-9AC0-4731-9BAC-CFDDEE51E3A7}" srcOrd="8" destOrd="0" parTransId="{C0BD9F3B-C983-476C-9F60-E7623A41C0FF}" sibTransId="{FDF9670B-B2D3-423C-9CDD-5497AED50A01}"/>
    <dgm:cxn modelId="{9DE27A71-B7BD-4916-A6D3-1DDFC911FA0C}" srcId="{2DA4FFF7-4D1E-4D0C-81F4-1D434A031E78}" destId="{7399E32C-79E8-49B1-A8B0-046A37E794C2}" srcOrd="18" destOrd="0" parTransId="{4C5B6265-F06C-4DB1-BA61-941B0C9A1691}" sibTransId="{48F2B0BA-0082-4BA6-9160-10E432D15423}"/>
    <dgm:cxn modelId="{59573473-D333-4D22-83B3-21AD3D916400}" srcId="{2DA4FFF7-4D1E-4D0C-81F4-1D434A031E78}" destId="{EAFA04F0-EDB3-46C9-A4DB-26DF7824C0BE}" srcOrd="17" destOrd="0" parTransId="{6BA53B5A-7F69-4C7D-8BB4-5CAAC59F0FAB}" sibTransId="{CCF63A86-3591-4EFF-B0D4-76A4ABBC893C}"/>
    <dgm:cxn modelId="{F8344373-25C8-4431-A757-CC6F842A5CBF}" srcId="{2DA4FFF7-4D1E-4D0C-81F4-1D434A031E78}" destId="{D7C8F13C-1EBF-42A2-BCAE-BFB551CAE460}" srcOrd="6" destOrd="0" parTransId="{A852A05F-ABEA-4A2C-B5DF-0711080BCB38}" sibTransId="{74007E78-BB14-4BB3-8EC1-1F45645291C3}"/>
    <dgm:cxn modelId="{A0503455-9214-4E7E-B14C-A8E3D08457BD}" srcId="{2DA4FFF7-4D1E-4D0C-81F4-1D434A031E78}" destId="{04F340A1-6F90-422D-A364-2F979AE3CF3F}" srcOrd="13" destOrd="0" parTransId="{6B823287-9782-496D-AB99-C0A2038442F8}" sibTransId="{0B08169B-489A-436A-9E93-AA2627E2D39A}"/>
    <dgm:cxn modelId="{41BFAD76-D9C4-4D70-9C76-751AC4A0FE9D}" type="presOf" srcId="{8A068941-439E-4552-9C25-15634CDC50D1}" destId="{FD0CEB88-8EC1-4AC7-AC23-34C8E39DD465}" srcOrd="0" destOrd="0" presId="urn:microsoft.com/office/officeart/2005/8/layout/default"/>
    <dgm:cxn modelId="{0773607F-316F-4886-816C-D6F6ABDFE80A}" srcId="{2DA4FFF7-4D1E-4D0C-81F4-1D434A031E78}" destId="{645F6944-1321-4126-A072-070FD64D6DC6}" srcOrd="5" destOrd="0" parTransId="{EAD4D80B-187D-4D3A-B7E3-8847817AD2C2}" sibTransId="{31AAE74C-9EBE-4383-8C15-7D8EA19D0CC4}"/>
    <dgm:cxn modelId="{CA1E1088-6D14-4CA7-AAA3-B7A5D76C6D28}" type="presOf" srcId="{2F50AAB8-8D90-484B-8F28-6B8B35D6175C}" destId="{2E79F5BD-C317-492B-A3B6-C2DB7DD00000}" srcOrd="0" destOrd="0" presId="urn:microsoft.com/office/officeart/2005/8/layout/default"/>
    <dgm:cxn modelId="{5443558D-AC11-4F46-8A34-12F27036120E}" type="presOf" srcId="{6F475ED8-108E-4B39-9976-9B0867DD851F}" destId="{E751D154-2D6E-423B-836D-580A6C3CF006}" srcOrd="0" destOrd="0" presId="urn:microsoft.com/office/officeart/2005/8/layout/default"/>
    <dgm:cxn modelId="{B4C79C90-5497-4862-A537-AC298B348EA5}" srcId="{2DA4FFF7-4D1E-4D0C-81F4-1D434A031E78}" destId="{8A068941-439E-4552-9C25-15634CDC50D1}" srcOrd="21" destOrd="0" parTransId="{1C715C7F-F0E6-4641-AF2B-31902C2EFF05}" sibTransId="{10BD7399-5719-4805-B703-7B76C3805D6A}"/>
    <dgm:cxn modelId="{50DBDCA0-B58C-4858-95D8-4E690F18CB36}" srcId="{2DA4FFF7-4D1E-4D0C-81F4-1D434A031E78}" destId="{5EDA19AD-2D32-4306-96F6-E51AFC7D409E}" srcOrd="0" destOrd="0" parTransId="{AA69300A-FE1F-4D99-A822-9B41E730D5D5}" sibTransId="{9E78087D-CB90-4161-9F04-552EBC8F0DA5}"/>
    <dgm:cxn modelId="{E266C1A9-F0B0-4106-B74D-213E06F44B35}" srcId="{2DA4FFF7-4D1E-4D0C-81F4-1D434A031E78}" destId="{96113B68-F3F4-4EE8-B170-1BBAB667C345}" srcOrd="14" destOrd="0" parTransId="{3E6703BE-2842-4EB5-A7C4-C317106B0E4D}" sibTransId="{DB237DEC-592C-4307-994C-064C02580C98}"/>
    <dgm:cxn modelId="{656D84BA-7496-4F7E-8358-714C6B546507}" type="presOf" srcId="{307AF7EC-83FD-4C9E-B555-959585B4431A}" destId="{462CBEDB-6873-4DBF-A40F-1B2B32562ECE}" srcOrd="0" destOrd="0" presId="urn:microsoft.com/office/officeart/2005/8/layout/default"/>
    <dgm:cxn modelId="{4A0F26BC-F0B1-4857-8063-449E3D3DD865}" type="presOf" srcId="{88033B50-1850-4804-A959-C76F425D7283}" destId="{7417BBB4-DDBC-4096-B75F-3F467BB6C407}" srcOrd="0" destOrd="0" presId="urn:microsoft.com/office/officeart/2005/8/layout/default"/>
    <dgm:cxn modelId="{07719ABF-E5C6-4777-B542-898A6303EE46}" type="presOf" srcId="{645F6944-1321-4126-A072-070FD64D6DC6}" destId="{8759C4EF-D8E6-4358-8B9C-6976200D52A6}" srcOrd="0" destOrd="0" presId="urn:microsoft.com/office/officeart/2005/8/layout/default"/>
    <dgm:cxn modelId="{4353CEC2-CF04-4F4E-BB90-981E484A64CB}" srcId="{2DA4FFF7-4D1E-4D0C-81F4-1D434A031E78}" destId="{26EB088A-BB52-4B63-8A8E-AD4F196DD679}" srcOrd="12" destOrd="0" parTransId="{CB1183F4-2ED7-4132-AA28-44D8072DC0BB}" sibTransId="{908BE0B5-9DC0-41FC-9A5A-87575B0997AB}"/>
    <dgm:cxn modelId="{C73543C6-FCC2-42DE-86F6-2ECC3D670BF6}" type="presOf" srcId="{EAFA04F0-EDB3-46C9-A4DB-26DF7824C0BE}" destId="{0BA0FC90-9752-4180-8BCC-47E281CD08ED}" srcOrd="0" destOrd="0" presId="urn:microsoft.com/office/officeart/2005/8/layout/default"/>
    <dgm:cxn modelId="{03764DCF-3D75-4382-934D-44A63EE9BAD6}" srcId="{2DA4FFF7-4D1E-4D0C-81F4-1D434A031E78}" destId="{31E0A331-68CF-4453-9E05-EDA767261658}" srcOrd="20" destOrd="0" parTransId="{E73232F3-EE63-4E4E-8F8D-78A720EA6011}" sibTransId="{9FC0F2E5-2CFD-4ED4-A8AC-AA27EE42C276}"/>
    <dgm:cxn modelId="{94BABFD1-4F8B-4FAE-AB79-6D5ECCC38E0A}" type="presOf" srcId="{2DA4FFF7-4D1E-4D0C-81F4-1D434A031E78}" destId="{9CF05FAB-6DF4-4C2F-A687-0374561446A0}" srcOrd="0" destOrd="0" presId="urn:microsoft.com/office/officeart/2005/8/layout/default"/>
    <dgm:cxn modelId="{57E325DB-5566-48A1-9C12-EF6F28AA5444}" type="presOf" srcId="{5EDA19AD-2D32-4306-96F6-E51AFC7D409E}" destId="{5764586E-378C-43E5-BB56-CF1231A1588D}" srcOrd="0" destOrd="0" presId="urn:microsoft.com/office/officeart/2005/8/layout/default"/>
    <dgm:cxn modelId="{398CB1E0-EF76-4CFB-9562-95E6D8CA4287}" type="presOf" srcId="{B7D3F223-E36E-4D35-81EB-D46ACB27CE07}" destId="{4DFD55C2-26F5-4EFE-A691-49B8F5178E2F}" srcOrd="0" destOrd="0" presId="urn:microsoft.com/office/officeart/2005/8/layout/default"/>
    <dgm:cxn modelId="{3AAE4AE3-1A1F-4440-9036-279039280338}" srcId="{2DA4FFF7-4D1E-4D0C-81F4-1D434A031E78}" destId="{F3E950C5-E5CD-44F3-B079-3A75CBF5A79B}" srcOrd="22" destOrd="0" parTransId="{451A9DFC-F2A7-4B3C-A9FD-6C78DEE74508}" sibTransId="{2086DA78-47A7-408B-8A1B-CAD8501BCC78}"/>
    <dgm:cxn modelId="{CC5F8CED-CDC5-4899-B8BE-E29011AACF1E}" type="presOf" srcId="{5F8376BC-7AFE-4879-BD3A-16D484DA2DD4}" destId="{E666458D-70CD-48E1-BC6C-CA5AD9506770}" srcOrd="0" destOrd="0" presId="urn:microsoft.com/office/officeart/2005/8/layout/default"/>
    <dgm:cxn modelId="{A106D9F2-BD3C-46DD-9DF9-842FA90BEECC}" type="presOf" srcId="{D7C8F13C-1EBF-42A2-BCAE-BFB551CAE460}" destId="{63C0D846-FCE3-4D70-975F-CFE18AC1B786}" srcOrd="0" destOrd="0" presId="urn:microsoft.com/office/officeart/2005/8/layout/default"/>
    <dgm:cxn modelId="{7FE02BF3-4260-443E-8098-DC2B038E4CCF}" type="presOf" srcId="{41435B05-9AC0-4731-9BAC-CFDDEE51E3A7}" destId="{CBC36FAD-C4D4-4DF1-9296-BF3EE20E79D2}" srcOrd="0" destOrd="0" presId="urn:microsoft.com/office/officeart/2005/8/layout/default"/>
    <dgm:cxn modelId="{7163FEF4-3B36-414F-A0BE-64BFFA7FC422}" type="presOf" srcId="{35AAEC75-D4C9-4368-8310-A811F8D3593F}" destId="{78A5D263-04CF-4CC8-8CA9-97E26A3EC0DC}" srcOrd="0" destOrd="0" presId="urn:microsoft.com/office/officeart/2005/8/layout/default"/>
    <dgm:cxn modelId="{1DAA70F7-BEB1-40D2-8552-315C34A83F60}" srcId="{2DA4FFF7-4D1E-4D0C-81F4-1D434A031E78}" destId="{6F475ED8-108E-4B39-9976-9B0867DD851F}" srcOrd="1" destOrd="0" parTransId="{A5A14963-EE9F-4F5A-B9E8-8BD3CECFA0E2}" sibTransId="{C7354252-D2B1-467A-B00D-D053A16C2135}"/>
    <dgm:cxn modelId="{EDE130F7-D427-4C9D-B9DF-AB6DD532BAB8}" type="presParOf" srcId="{9CF05FAB-6DF4-4C2F-A687-0374561446A0}" destId="{5764586E-378C-43E5-BB56-CF1231A1588D}" srcOrd="0" destOrd="0" presId="urn:microsoft.com/office/officeart/2005/8/layout/default"/>
    <dgm:cxn modelId="{2BC58829-78C6-4317-9051-2481192E208E}" type="presParOf" srcId="{9CF05FAB-6DF4-4C2F-A687-0374561446A0}" destId="{706CB2B1-177E-4447-AB48-3B18B2C9948F}" srcOrd="1" destOrd="0" presId="urn:microsoft.com/office/officeart/2005/8/layout/default"/>
    <dgm:cxn modelId="{16981BB2-9DD3-4524-8498-988BCEE2BCAF}" type="presParOf" srcId="{9CF05FAB-6DF4-4C2F-A687-0374561446A0}" destId="{E751D154-2D6E-423B-836D-580A6C3CF006}" srcOrd="2" destOrd="0" presId="urn:microsoft.com/office/officeart/2005/8/layout/default"/>
    <dgm:cxn modelId="{9264B203-501E-4B0E-82F2-5576A76EED52}" type="presParOf" srcId="{9CF05FAB-6DF4-4C2F-A687-0374561446A0}" destId="{F9D8AA14-8D3B-44CF-9192-74B94075D334}" srcOrd="3" destOrd="0" presId="urn:microsoft.com/office/officeart/2005/8/layout/default"/>
    <dgm:cxn modelId="{AF3C3878-08FE-442C-97D1-AD20307D4DDD}" type="presParOf" srcId="{9CF05FAB-6DF4-4C2F-A687-0374561446A0}" destId="{E666458D-70CD-48E1-BC6C-CA5AD9506770}" srcOrd="4" destOrd="0" presId="urn:microsoft.com/office/officeart/2005/8/layout/default"/>
    <dgm:cxn modelId="{43BBDF99-03BB-4F42-A1BD-DF5740B5456D}" type="presParOf" srcId="{9CF05FAB-6DF4-4C2F-A687-0374561446A0}" destId="{8D189D0F-7C16-407A-8E2A-459949DDC525}" srcOrd="5" destOrd="0" presId="urn:microsoft.com/office/officeart/2005/8/layout/default"/>
    <dgm:cxn modelId="{8F97A3CA-9E6C-4421-9B1B-BD1758794743}" type="presParOf" srcId="{9CF05FAB-6DF4-4C2F-A687-0374561446A0}" destId="{2E79F5BD-C317-492B-A3B6-C2DB7DD00000}" srcOrd="6" destOrd="0" presId="urn:microsoft.com/office/officeart/2005/8/layout/default"/>
    <dgm:cxn modelId="{A34A9FD3-FEE5-4E3F-900B-80A521C6E8F9}" type="presParOf" srcId="{9CF05FAB-6DF4-4C2F-A687-0374561446A0}" destId="{225F15D5-E74C-4A11-9ADB-472528A3341C}" srcOrd="7" destOrd="0" presId="urn:microsoft.com/office/officeart/2005/8/layout/default"/>
    <dgm:cxn modelId="{105DCA54-228E-4AFD-8E57-4C5EF8301CE4}" type="presParOf" srcId="{9CF05FAB-6DF4-4C2F-A687-0374561446A0}" destId="{15C9D13B-2F03-49F7-8EF3-98B020A37495}" srcOrd="8" destOrd="0" presId="urn:microsoft.com/office/officeart/2005/8/layout/default"/>
    <dgm:cxn modelId="{FD8C40BB-F564-4921-8BE3-DEF6545CBBE7}" type="presParOf" srcId="{9CF05FAB-6DF4-4C2F-A687-0374561446A0}" destId="{901D2A10-2119-449A-B09B-C7D42806D081}" srcOrd="9" destOrd="0" presId="urn:microsoft.com/office/officeart/2005/8/layout/default"/>
    <dgm:cxn modelId="{537250D2-BAF8-4C7F-8F00-080BA286C817}" type="presParOf" srcId="{9CF05FAB-6DF4-4C2F-A687-0374561446A0}" destId="{8759C4EF-D8E6-4358-8B9C-6976200D52A6}" srcOrd="10" destOrd="0" presId="urn:microsoft.com/office/officeart/2005/8/layout/default"/>
    <dgm:cxn modelId="{FEB2E8B6-535E-42C7-8164-8F9B70582B72}" type="presParOf" srcId="{9CF05FAB-6DF4-4C2F-A687-0374561446A0}" destId="{ED8858FD-180F-4B0F-9F16-3324FC191FEB}" srcOrd="11" destOrd="0" presId="urn:microsoft.com/office/officeart/2005/8/layout/default"/>
    <dgm:cxn modelId="{B637C58E-5873-492B-8B2D-C77874F81978}" type="presParOf" srcId="{9CF05FAB-6DF4-4C2F-A687-0374561446A0}" destId="{63C0D846-FCE3-4D70-975F-CFE18AC1B786}" srcOrd="12" destOrd="0" presId="urn:microsoft.com/office/officeart/2005/8/layout/default"/>
    <dgm:cxn modelId="{472CD19B-416D-4A80-ACB6-D4E8659E2F3F}" type="presParOf" srcId="{9CF05FAB-6DF4-4C2F-A687-0374561446A0}" destId="{FD739AFD-67A9-4A8A-ACEC-B44718FAFC1F}" srcOrd="13" destOrd="0" presId="urn:microsoft.com/office/officeart/2005/8/layout/default"/>
    <dgm:cxn modelId="{03D20B5B-418A-46E8-8F84-3FBAE6DD060B}" type="presParOf" srcId="{9CF05FAB-6DF4-4C2F-A687-0374561446A0}" destId="{462CBEDB-6873-4DBF-A40F-1B2B32562ECE}" srcOrd="14" destOrd="0" presId="urn:microsoft.com/office/officeart/2005/8/layout/default"/>
    <dgm:cxn modelId="{27F94EDE-A877-482F-B45D-EC535D5BB5EC}" type="presParOf" srcId="{9CF05FAB-6DF4-4C2F-A687-0374561446A0}" destId="{F8E21C2E-A7C8-45CB-81B5-4FCCC9ED6941}" srcOrd="15" destOrd="0" presId="urn:microsoft.com/office/officeart/2005/8/layout/default"/>
    <dgm:cxn modelId="{E9C5E699-B01A-4651-8BEC-6A61FECA9F27}" type="presParOf" srcId="{9CF05FAB-6DF4-4C2F-A687-0374561446A0}" destId="{CBC36FAD-C4D4-4DF1-9296-BF3EE20E79D2}" srcOrd="16" destOrd="0" presId="urn:microsoft.com/office/officeart/2005/8/layout/default"/>
    <dgm:cxn modelId="{FBBEE967-6AED-4905-98EF-4DB4FD92F638}" type="presParOf" srcId="{9CF05FAB-6DF4-4C2F-A687-0374561446A0}" destId="{872447AD-18D8-4990-AB7A-2D0C4C82B9A4}" srcOrd="17" destOrd="0" presId="urn:microsoft.com/office/officeart/2005/8/layout/default"/>
    <dgm:cxn modelId="{CD3BF272-EE33-4325-91DB-0C15A224ADAF}" type="presParOf" srcId="{9CF05FAB-6DF4-4C2F-A687-0374561446A0}" destId="{DFEA43AE-E06C-405D-B63E-9E56312033D9}" srcOrd="18" destOrd="0" presId="urn:microsoft.com/office/officeart/2005/8/layout/default"/>
    <dgm:cxn modelId="{61DEE58B-9C25-40CF-ABC6-7C3B7E1CDC61}" type="presParOf" srcId="{9CF05FAB-6DF4-4C2F-A687-0374561446A0}" destId="{29E460E4-27B2-4625-BEFC-F3E2933931AC}" srcOrd="19" destOrd="0" presId="urn:microsoft.com/office/officeart/2005/8/layout/default"/>
    <dgm:cxn modelId="{A6FEFB5E-B41B-429D-A357-201DDE7A19CE}" type="presParOf" srcId="{9CF05FAB-6DF4-4C2F-A687-0374561446A0}" destId="{7417BBB4-DDBC-4096-B75F-3F467BB6C407}" srcOrd="20" destOrd="0" presId="urn:microsoft.com/office/officeart/2005/8/layout/default"/>
    <dgm:cxn modelId="{5B1DC5B7-0588-49E9-BCC6-1BD1740B0335}" type="presParOf" srcId="{9CF05FAB-6DF4-4C2F-A687-0374561446A0}" destId="{59803079-B6E7-4B3F-BEC0-5270CB3C2FEC}" srcOrd="21" destOrd="0" presId="urn:microsoft.com/office/officeart/2005/8/layout/default"/>
    <dgm:cxn modelId="{718F4515-D69F-4438-BC95-E87099E3CF36}" type="presParOf" srcId="{9CF05FAB-6DF4-4C2F-A687-0374561446A0}" destId="{A1A46514-4FBF-4EA3-BF3C-62E5399C3D49}" srcOrd="22" destOrd="0" presId="urn:microsoft.com/office/officeart/2005/8/layout/default"/>
    <dgm:cxn modelId="{D5E7549B-F77E-425F-B41B-95A3DA2D0E10}" type="presParOf" srcId="{9CF05FAB-6DF4-4C2F-A687-0374561446A0}" destId="{57F858F7-1999-4F30-8A78-EF6946666905}" srcOrd="23" destOrd="0" presId="urn:microsoft.com/office/officeart/2005/8/layout/default"/>
    <dgm:cxn modelId="{9B85CE4A-9DF9-4DF7-BCFD-72648565672E}" type="presParOf" srcId="{9CF05FAB-6DF4-4C2F-A687-0374561446A0}" destId="{CBF94222-0472-4140-B6C7-99A91FB44EFD}" srcOrd="24" destOrd="0" presId="urn:microsoft.com/office/officeart/2005/8/layout/default"/>
    <dgm:cxn modelId="{4A3DE622-2293-4098-B179-01645CFE8786}" type="presParOf" srcId="{9CF05FAB-6DF4-4C2F-A687-0374561446A0}" destId="{7C40F0EF-4170-41FF-92F7-AA76CB93FD7E}" srcOrd="25" destOrd="0" presId="urn:microsoft.com/office/officeart/2005/8/layout/default"/>
    <dgm:cxn modelId="{E35CED7D-4C17-44B3-AF85-6C32E2E20E5B}" type="presParOf" srcId="{9CF05FAB-6DF4-4C2F-A687-0374561446A0}" destId="{4233332B-54B4-47CE-90AC-CB016B3925B6}" srcOrd="26" destOrd="0" presId="urn:microsoft.com/office/officeart/2005/8/layout/default"/>
    <dgm:cxn modelId="{2E56444E-9BCF-4311-A737-09DDBF17D719}" type="presParOf" srcId="{9CF05FAB-6DF4-4C2F-A687-0374561446A0}" destId="{A97B1A4A-E5A9-413A-9D4D-141095B3C76A}" srcOrd="27" destOrd="0" presId="urn:microsoft.com/office/officeart/2005/8/layout/default"/>
    <dgm:cxn modelId="{A2555933-2079-4AF9-8186-70DC4541019B}" type="presParOf" srcId="{9CF05FAB-6DF4-4C2F-A687-0374561446A0}" destId="{61E1BA7C-3022-4338-BD85-A24B4BE2F82E}" srcOrd="28" destOrd="0" presId="urn:microsoft.com/office/officeart/2005/8/layout/default"/>
    <dgm:cxn modelId="{40A6BB9E-B945-4829-A3B5-A097869CEE06}" type="presParOf" srcId="{9CF05FAB-6DF4-4C2F-A687-0374561446A0}" destId="{E7BC06A3-0C99-4B4E-B5A9-7B397058F65A}" srcOrd="29" destOrd="0" presId="urn:microsoft.com/office/officeart/2005/8/layout/default"/>
    <dgm:cxn modelId="{FFD87B37-1F6B-41BA-AF1F-A63B7C1DBA01}" type="presParOf" srcId="{9CF05FAB-6DF4-4C2F-A687-0374561446A0}" destId="{78A5D263-04CF-4CC8-8CA9-97E26A3EC0DC}" srcOrd="30" destOrd="0" presId="urn:microsoft.com/office/officeart/2005/8/layout/default"/>
    <dgm:cxn modelId="{966C0F67-AD5C-4898-A1E1-D63C53B417C3}" type="presParOf" srcId="{9CF05FAB-6DF4-4C2F-A687-0374561446A0}" destId="{2A0595F5-CD28-4493-9E9F-A6EA104F250F}" srcOrd="31" destOrd="0" presId="urn:microsoft.com/office/officeart/2005/8/layout/default"/>
    <dgm:cxn modelId="{6228C68F-303F-4F09-8C46-BDF9E90943CD}" type="presParOf" srcId="{9CF05FAB-6DF4-4C2F-A687-0374561446A0}" destId="{CDE6BA28-6281-450D-A795-F37E17877EC2}" srcOrd="32" destOrd="0" presId="urn:microsoft.com/office/officeart/2005/8/layout/default"/>
    <dgm:cxn modelId="{69B240C2-75F1-4A67-BB23-36655B913807}" type="presParOf" srcId="{9CF05FAB-6DF4-4C2F-A687-0374561446A0}" destId="{52EA3B96-2116-4035-AAD5-4F17C548739D}" srcOrd="33" destOrd="0" presId="urn:microsoft.com/office/officeart/2005/8/layout/default"/>
    <dgm:cxn modelId="{80846C5D-3F1D-4493-88AB-2794667E89DB}" type="presParOf" srcId="{9CF05FAB-6DF4-4C2F-A687-0374561446A0}" destId="{0BA0FC90-9752-4180-8BCC-47E281CD08ED}" srcOrd="34" destOrd="0" presId="urn:microsoft.com/office/officeart/2005/8/layout/default"/>
    <dgm:cxn modelId="{54DF6E8F-0A5C-4667-9034-AA0CB59BBF1F}" type="presParOf" srcId="{9CF05FAB-6DF4-4C2F-A687-0374561446A0}" destId="{69FFE425-EAD0-44DB-B1A9-1DECF0C446A5}" srcOrd="35" destOrd="0" presId="urn:microsoft.com/office/officeart/2005/8/layout/default"/>
    <dgm:cxn modelId="{2C9718B8-B56F-422F-A27E-6E64393E63A1}" type="presParOf" srcId="{9CF05FAB-6DF4-4C2F-A687-0374561446A0}" destId="{E9D53361-8D38-40FF-B8FB-107868A67D7E}" srcOrd="36" destOrd="0" presId="urn:microsoft.com/office/officeart/2005/8/layout/default"/>
    <dgm:cxn modelId="{35E95C20-FE9A-4BDE-9DB8-3F035E0B8675}" type="presParOf" srcId="{9CF05FAB-6DF4-4C2F-A687-0374561446A0}" destId="{DDF454AA-BB6A-4295-91CF-A2C73364CB74}" srcOrd="37" destOrd="0" presId="urn:microsoft.com/office/officeart/2005/8/layout/default"/>
    <dgm:cxn modelId="{576AAC42-2BD1-489C-B5D6-D0CB2609B315}" type="presParOf" srcId="{9CF05FAB-6DF4-4C2F-A687-0374561446A0}" destId="{4DFD55C2-26F5-4EFE-A691-49B8F5178E2F}" srcOrd="38" destOrd="0" presId="urn:microsoft.com/office/officeart/2005/8/layout/default"/>
    <dgm:cxn modelId="{E05608B6-FE88-4AB3-9CD6-98588C660828}" type="presParOf" srcId="{9CF05FAB-6DF4-4C2F-A687-0374561446A0}" destId="{ADD7644C-A63B-443A-904F-5BFC35D1EC44}" srcOrd="39" destOrd="0" presId="urn:microsoft.com/office/officeart/2005/8/layout/default"/>
    <dgm:cxn modelId="{4BE7392F-ADB5-4FD3-9675-CE387B47B9D0}" type="presParOf" srcId="{9CF05FAB-6DF4-4C2F-A687-0374561446A0}" destId="{560ED904-3E16-4F6B-96CF-B423430D804B}" srcOrd="40" destOrd="0" presId="urn:microsoft.com/office/officeart/2005/8/layout/default"/>
    <dgm:cxn modelId="{6420DFC9-F39E-4BCF-A7E8-728189A0AA36}" type="presParOf" srcId="{9CF05FAB-6DF4-4C2F-A687-0374561446A0}" destId="{C795AF19-E88C-42C3-9945-458B9EA1A3A5}" srcOrd="41" destOrd="0" presId="urn:microsoft.com/office/officeart/2005/8/layout/default"/>
    <dgm:cxn modelId="{F14459E5-C822-4D7E-91B3-F591FAEB09F0}" type="presParOf" srcId="{9CF05FAB-6DF4-4C2F-A687-0374561446A0}" destId="{FD0CEB88-8EC1-4AC7-AC23-34C8E39DD465}" srcOrd="42" destOrd="0" presId="urn:microsoft.com/office/officeart/2005/8/layout/default"/>
    <dgm:cxn modelId="{AB19BECD-FCA7-49D2-A257-5D09C9C7DC71}" type="presParOf" srcId="{9CF05FAB-6DF4-4C2F-A687-0374561446A0}" destId="{CBAB60E1-23C9-4BEC-BABC-EAA5354F0C4F}" srcOrd="43" destOrd="0" presId="urn:microsoft.com/office/officeart/2005/8/layout/default"/>
    <dgm:cxn modelId="{DF53590B-9F85-45F0-8BBF-04D9815731EE}" type="presParOf" srcId="{9CF05FAB-6DF4-4C2F-A687-0374561446A0}" destId="{A5603397-154E-45F1-BB7A-229BA4ED4280}" srcOrd="44" destOrd="0" presId="urn:microsoft.com/office/officeart/2005/8/layout/default"/>
  </dgm:cxnLst>
  <dgm:bg/>
  <dgm:whole/>
  <dgm:extLst>
    <a:ext uri="http://schemas.microsoft.com/office/drawing/2008/diagram">
      <dsp:dataModelExt xmlns:dsp="http://schemas.microsoft.com/office/drawing/2008/diagram" relId="rId337"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DC069EE3-0439-4CA2-B938-AB487B7311CD}" type="doc">
      <dgm:prSet loTypeId="urn:microsoft.com/office/officeart/2005/8/layout/process2" loCatId="process" qsTypeId="urn:microsoft.com/office/officeart/2005/8/quickstyle/simple1" qsCatId="simple" csTypeId="urn:microsoft.com/office/officeart/2005/8/colors/accent1_3" csCatId="accent1" phldr="1"/>
      <dgm:spPr/>
      <dgm:t>
        <a:bodyPr/>
        <a:lstStyle/>
        <a:p>
          <a:endParaRPr lang="en-US"/>
        </a:p>
      </dgm:t>
    </dgm:pt>
    <dgm:pt modelId="{329A0552-E1BB-4BA5-9AB1-EBD31558D155}">
      <dgm:prSet phldrT="[Text]" custT="1"/>
      <dgm:spPr/>
      <dgm:t>
        <a:bodyPr/>
        <a:lstStyle/>
        <a:p>
          <a:r>
            <a:rPr lang="lt-LT" sz="1000"/>
            <a:t>Lipsa programelor și a măsurilor în raport cu naș</a:t>
          </a:r>
          <a:r>
            <a:rPr lang="ro-RO" sz="1000"/>
            <a:t>te</a:t>
          </a:r>
          <a:r>
            <a:rPr lang="lt-LT" sz="1000"/>
            <a:t>rile premature și cu prematurii</a:t>
          </a:r>
          <a:endParaRPr lang="en-US" sz="1000"/>
        </a:p>
      </dgm:t>
    </dgm:pt>
    <dgm:pt modelId="{45A4D455-A410-4A84-9ADB-4A3E6626F24E}" type="parTrans" cxnId="{6156BBEB-5E1C-48DC-821B-CB3CF73B954B}">
      <dgm:prSet/>
      <dgm:spPr/>
      <dgm:t>
        <a:bodyPr/>
        <a:lstStyle/>
        <a:p>
          <a:endParaRPr lang="en-US" sz="1000"/>
        </a:p>
      </dgm:t>
    </dgm:pt>
    <dgm:pt modelId="{CAB0B1FB-D02B-4DAD-99B4-C6F2DC6F9259}" type="sibTrans" cxnId="{6156BBEB-5E1C-48DC-821B-CB3CF73B954B}">
      <dgm:prSet custT="1"/>
      <dgm:spPr/>
      <dgm:t>
        <a:bodyPr/>
        <a:lstStyle/>
        <a:p>
          <a:endParaRPr lang="en-US" sz="1000"/>
        </a:p>
      </dgm:t>
    </dgm:pt>
    <dgm:pt modelId="{2B6312B9-AC00-483F-9D60-DCE8C91661D9}">
      <dgm:prSet custT="1"/>
      <dgm:spPr/>
      <dgm:t>
        <a:bodyPr/>
        <a:lstStyle/>
        <a:p>
          <a:r>
            <a:rPr lang="lt-LT" sz="1000"/>
            <a:t>Nevoia programelor de orientare profesională</a:t>
          </a:r>
          <a:endParaRPr lang="en-US" sz="1000"/>
        </a:p>
      </dgm:t>
    </dgm:pt>
    <dgm:pt modelId="{B7840122-80B4-4E24-A674-9E477C08F3F6}" type="parTrans" cxnId="{552F5035-0B12-440F-9083-CF4FFE726E4E}">
      <dgm:prSet/>
      <dgm:spPr/>
      <dgm:t>
        <a:bodyPr/>
        <a:lstStyle/>
        <a:p>
          <a:endParaRPr lang="en-US" sz="1000"/>
        </a:p>
      </dgm:t>
    </dgm:pt>
    <dgm:pt modelId="{70B2D478-9B1C-432C-B3DD-DEF6AC8563A8}" type="sibTrans" cxnId="{552F5035-0B12-440F-9083-CF4FFE726E4E}">
      <dgm:prSet custT="1"/>
      <dgm:spPr/>
      <dgm:t>
        <a:bodyPr/>
        <a:lstStyle/>
        <a:p>
          <a:endParaRPr lang="en-US" sz="1000"/>
        </a:p>
      </dgm:t>
    </dgm:pt>
    <dgm:pt modelId="{3B36DCD5-11BC-4776-B5E3-5F9AE543E74D}">
      <dgm:prSet custT="1"/>
      <dgm:spPr/>
      <dgm:t>
        <a:bodyPr/>
        <a:lstStyle/>
        <a:p>
          <a:r>
            <a:rPr lang="lt-LT" sz="1000"/>
            <a:t>Lipsa unui mecanism de cooperare între companii, instituții și organizațiile de orientare și formare de competențe profesionale</a:t>
          </a:r>
          <a:endParaRPr lang="en-US" sz="1000"/>
        </a:p>
      </dgm:t>
    </dgm:pt>
    <dgm:pt modelId="{AB2D1F8E-BB99-4761-8F3C-61D2709F5F01}" type="parTrans" cxnId="{0D27AE3A-21F7-4BB2-B099-BEB2F0A7D0CA}">
      <dgm:prSet/>
      <dgm:spPr/>
      <dgm:t>
        <a:bodyPr/>
        <a:lstStyle/>
        <a:p>
          <a:endParaRPr lang="en-US" sz="1000"/>
        </a:p>
      </dgm:t>
    </dgm:pt>
    <dgm:pt modelId="{2297CAC9-3388-4CF2-95FE-673CEA0950AE}" type="sibTrans" cxnId="{0D27AE3A-21F7-4BB2-B099-BEB2F0A7D0CA}">
      <dgm:prSet custT="1"/>
      <dgm:spPr/>
      <dgm:t>
        <a:bodyPr/>
        <a:lstStyle/>
        <a:p>
          <a:endParaRPr lang="en-US" sz="1000"/>
        </a:p>
      </dgm:t>
    </dgm:pt>
    <dgm:pt modelId="{414D236B-7679-4059-875C-5A59E30E8D5D}">
      <dgm:prSet custT="1"/>
      <dgm:spPr/>
      <dgm:t>
        <a:bodyPr/>
        <a:lstStyle/>
        <a:p>
          <a:r>
            <a:rPr lang="lt-LT" sz="1000"/>
            <a:t>Nivel scăzut de comunicare civita</a:t>
          </a:r>
          <a:endParaRPr lang="en-US" sz="1000"/>
        </a:p>
      </dgm:t>
    </dgm:pt>
    <dgm:pt modelId="{01BAF29C-3EAD-4B11-B992-3F545E2F4C82}" type="parTrans" cxnId="{5E6BD7C3-825B-43B1-98F6-5BF2E1D2D14B}">
      <dgm:prSet/>
      <dgm:spPr/>
      <dgm:t>
        <a:bodyPr/>
        <a:lstStyle/>
        <a:p>
          <a:endParaRPr lang="en-US" sz="1000"/>
        </a:p>
      </dgm:t>
    </dgm:pt>
    <dgm:pt modelId="{6D2AED66-423C-406E-B92D-2E0E94E6FE0A}" type="sibTrans" cxnId="{5E6BD7C3-825B-43B1-98F6-5BF2E1D2D14B}">
      <dgm:prSet custT="1"/>
      <dgm:spPr/>
      <dgm:t>
        <a:bodyPr/>
        <a:lstStyle/>
        <a:p>
          <a:endParaRPr lang="en-US" sz="1000"/>
        </a:p>
      </dgm:t>
    </dgm:pt>
    <dgm:pt modelId="{1680DCC7-350F-4602-B4D5-703DDF6096E3}">
      <dgm:prSet custT="1"/>
      <dgm:spPr/>
      <dgm:t>
        <a:bodyPr/>
        <a:lstStyle/>
        <a:p>
          <a:r>
            <a:rPr lang="lt-LT" sz="1000"/>
            <a:t>Lipsa informării organizațiilor referitor la anumite situații sau nevoi ale comunității</a:t>
          </a:r>
          <a:endParaRPr lang="en-US" sz="1000"/>
        </a:p>
      </dgm:t>
    </dgm:pt>
    <dgm:pt modelId="{1E5A4E4B-C954-466E-8730-4B6B501E9698}" type="parTrans" cxnId="{41D5DDB0-423A-44CB-B17F-CCFD71853D17}">
      <dgm:prSet/>
      <dgm:spPr/>
      <dgm:t>
        <a:bodyPr/>
        <a:lstStyle/>
        <a:p>
          <a:endParaRPr lang="en-US" sz="1000"/>
        </a:p>
      </dgm:t>
    </dgm:pt>
    <dgm:pt modelId="{1716003F-1831-4C6F-9D04-9B13606F2470}" type="sibTrans" cxnId="{41D5DDB0-423A-44CB-B17F-CCFD71853D17}">
      <dgm:prSet custT="1"/>
      <dgm:spPr/>
      <dgm:t>
        <a:bodyPr/>
        <a:lstStyle/>
        <a:p>
          <a:endParaRPr lang="en-US" sz="1000"/>
        </a:p>
      </dgm:t>
    </dgm:pt>
    <dgm:pt modelId="{1B180C68-4CE6-4767-B796-F4D36A5DFF68}">
      <dgm:prSet custT="1"/>
      <dgm:spPr/>
      <dgm:t>
        <a:bodyPr/>
        <a:lstStyle/>
        <a:p>
          <a:r>
            <a:rPr lang="lt-LT" sz="1000"/>
            <a:t>Nevoia de diversificarea și creșterea finanțărilor</a:t>
          </a:r>
          <a:endParaRPr lang="en-US" sz="1000"/>
        </a:p>
      </dgm:t>
    </dgm:pt>
    <dgm:pt modelId="{3445DC1E-3200-4D73-BA2E-E2F6D22DFF63}" type="parTrans" cxnId="{B831C806-BB1B-4260-AE1C-A32A67396D9A}">
      <dgm:prSet/>
      <dgm:spPr/>
      <dgm:t>
        <a:bodyPr/>
        <a:lstStyle/>
        <a:p>
          <a:endParaRPr lang="en-US" sz="1000"/>
        </a:p>
      </dgm:t>
    </dgm:pt>
    <dgm:pt modelId="{98F1A812-0F9D-4342-806F-D156B462FAC9}" type="sibTrans" cxnId="{B831C806-BB1B-4260-AE1C-A32A67396D9A}">
      <dgm:prSet custT="1"/>
      <dgm:spPr/>
      <dgm:t>
        <a:bodyPr/>
        <a:lstStyle/>
        <a:p>
          <a:endParaRPr lang="en-US" sz="1000"/>
        </a:p>
      </dgm:t>
    </dgm:pt>
    <dgm:pt modelId="{0BFE34D5-3EB5-41BF-BEB2-4968CBC2C043}">
      <dgm:prSet custT="1"/>
      <dgm:spPr/>
      <dgm:t>
        <a:bodyPr/>
        <a:lstStyle/>
        <a:p>
          <a:r>
            <a:rPr lang="lt-LT" sz="1000"/>
            <a:t>Nevoia de diversificarea și facilitarea mijloacelor publicitare către publicul generalist</a:t>
          </a:r>
          <a:endParaRPr lang="en-US" sz="1000"/>
        </a:p>
      </dgm:t>
    </dgm:pt>
    <dgm:pt modelId="{D34C4752-EA9D-4B52-AE48-F5BA13DC5BEB}" type="parTrans" cxnId="{535506AD-984A-4004-806C-7F798A0969F0}">
      <dgm:prSet/>
      <dgm:spPr/>
      <dgm:t>
        <a:bodyPr/>
        <a:lstStyle/>
        <a:p>
          <a:endParaRPr lang="en-US" sz="1000"/>
        </a:p>
      </dgm:t>
    </dgm:pt>
    <dgm:pt modelId="{68977BA2-6B0A-47B3-93A3-94E6C14ADA62}" type="sibTrans" cxnId="{535506AD-984A-4004-806C-7F798A0969F0}">
      <dgm:prSet custT="1"/>
      <dgm:spPr/>
      <dgm:t>
        <a:bodyPr/>
        <a:lstStyle/>
        <a:p>
          <a:endParaRPr lang="en-US" sz="1000"/>
        </a:p>
      </dgm:t>
    </dgm:pt>
    <dgm:pt modelId="{935CEE1F-5279-47D1-A71F-764476E52196}">
      <dgm:prSet custT="1"/>
      <dgm:spPr/>
      <dgm:t>
        <a:bodyPr/>
        <a:lstStyle/>
        <a:p>
          <a:r>
            <a:rPr lang="lt-LT" sz="1000"/>
            <a:t>Nevoia unei reformă a instituțiilor culturale din subordine cu implicarea ONG-urilor de profil</a:t>
          </a:r>
          <a:endParaRPr lang="en-US" sz="1000"/>
        </a:p>
      </dgm:t>
    </dgm:pt>
    <dgm:pt modelId="{11D57CB2-141D-4D45-8C25-69806B15FA6B}" type="parTrans" cxnId="{4D244780-B755-43CA-A87F-9A833DF0FA37}">
      <dgm:prSet/>
      <dgm:spPr/>
      <dgm:t>
        <a:bodyPr/>
        <a:lstStyle/>
        <a:p>
          <a:endParaRPr lang="en-US" sz="1000"/>
        </a:p>
      </dgm:t>
    </dgm:pt>
    <dgm:pt modelId="{118ADB16-402F-47FD-9E2E-559B08ADCA6A}" type="sibTrans" cxnId="{4D244780-B755-43CA-A87F-9A833DF0FA37}">
      <dgm:prSet custT="1"/>
      <dgm:spPr/>
      <dgm:t>
        <a:bodyPr/>
        <a:lstStyle/>
        <a:p>
          <a:endParaRPr lang="en-US" sz="1000"/>
        </a:p>
      </dgm:t>
    </dgm:pt>
    <dgm:pt modelId="{F976B1D4-BFCB-45D8-9D19-CC6A7E7BEE08}">
      <dgm:prSet custT="1"/>
      <dgm:spPr/>
      <dgm:t>
        <a:bodyPr/>
        <a:lstStyle/>
        <a:p>
          <a:r>
            <a:rPr lang="lt-LT" sz="1000"/>
            <a:t>Lipsa unui dialog constant cu cetățenii</a:t>
          </a:r>
          <a:endParaRPr lang="en-US" sz="1000"/>
        </a:p>
      </dgm:t>
    </dgm:pt>
    <dgm:pt modelId="{1B0A0592-7124-4B08-9986-40D448B7A829}" type="parTrans" cxnId="{21A48E35-EAF0-4F80-8C67-69331FA86E13}">
      <dgm:prSet/>
      <dgm:spPr/>
      <dgm:t>
        <a:bodyPr/>
        <a:lstStyle/>
        <a:p>
          <a:endParaRPr lang="en-US" sz="1000"/>
        </a:p>
      </dgm:t>
    </dgm:pt>
    <dgm:pt modelId="{98D22DF5-0981-4385-895B-E54F812B0AF7}" type="sibTrans" cxnId="{21A48E35-EAF0-4F80-8C67-69331FA86E13}">
      <dgm:prSet custT="1"/>
      <dgm:spPr/>
      <dgm:t>
        <a:bodyPr/>
        <a:lstStyle/>
        <a:p>
          <a:endParaRPr lang="en-US" sz="1000"/>
        </a:p>
      </dgm:t>
    </dgm:pt>
    <dgm:pt modelId="{F4FDE249-4623-4FF6-ABE7-79DC17DD9E97}">
      <dgm:prSet custT="1"/>
      <dgm:spPr/>
      <dgm:t>
        <a:bodyPr/>
        <a:lstStyle/>
        <a:p>
          <a:r>
            <a:rPr lang="lt-LT" sz="1000"/>
            <a:t>Necesitatea unui cadru favorabil care să prevină abandonul școlar și să susțină copiii din medii defavorizate</a:t>
          </a:r>
          <a:endParaRPr lang="en-US" sz="1000"/>
        </a:p>
      </dgm:t>
    </dgm:pt>
    <dgm:pt modelId="{B377AF33-4F67-4BBA-8A10-84FB99DE8AA5}" type="parTrans" cxnId="{0ED547BC-32C6-46C7-813A-D206C204206E}">
      <dgm:prSet/>
      <dgm:spPr/>
      <dgm:t>
        <a:bodyPr/>
        <a:lstStyle/>
        <a:p>
          <a:endParaRPr lang="en-US" sz="1000"/>
        </a:p>
      </dgm:t>
    </dgm:pt>
    <dgm:pt modelId="{305FDBE0-D94F-4ECD-B1BD-51A2700221D1}" type="sibTrans" cxnId="{0ED547BC-32C6-46C7-813A-D206C204206E}">
      <dgm:prSet custT="1"/>
      <dgm:spPr/>
      <dgm:t>
        <a:bodyPr/>
        <a:lstStyle/>
        <a:p>
          <a:endParaRPr lang="en-US" sz="1000"/>
        </a:p>
      </dgm:t>
    </dgm:pt>
    <dgm:pt modelId="{4B7C667E-E795-4268-A5F1-06F7FF56AFB6}">
      <dgm:prSet custT="1"/>
      <dgm:spPr/>
      <dgm:t>
        <a:bodyPr/>
        <a:lstStyle/>
        <a:p>
          <a:r>
            <a:rPr lang="lt-LT" sz="1000"/>
            <a:t>Lipsa punerii în conexiune a organizațiilor</a:t>
          </a:r>
          <a:endParaRPr lang="en-US" sz="1000"/>
        </a:p>
      </dgm:t>
    </dgm:pt>
    <dgm:pt modelId="{62288A1C-8293-4F07-BE73-8D613E42D23E}" type="parTrans" cxnId="{C9203F2F-FA09-4999-8C78-CF868D50F66F}">
      <dgm:prSet/>
      <dgm:spPr/>
      <dgm:t>
        <a:bodyPr/>
        <a:lstStyle/>
        <a:p>
          <a:endParaRPr lang="en-US" sz="1000"/>
        </a:p>
      </dgm:t>
    </dgm:pt>
    <dgm:pt modelId="{575D5A95-6C68-4340-AFCA-A89CF88FC156}" type="sibTrans" cxnId="{C9203F2F-FA09-4999-8C78-CF868D50F66F}">
      <dgm:prSet custT="1"/>
      <dgm:spPr/>
      <dgm:t>
        <a:bodyPr/>
        <a:lstStyle/>
        <a:p>
          <a:endParaRPr lang="en-US" sz="1000"/>
        </a:p>
      </dgm:t>
    </dgm:pt>
    <dgm:pt modelId="{4EA66820-961D-4474-9B49-286E9C2E79B2}">
      <dgm:prSet custT="1"/>
      <dgm:spPr/>
      <dgm:t>
        <a:bodyPr/>
        <a:lstStyle/>
        <a:p>
          <a:r>
            <a:rPr lang="lt-LT" sz="1000"/>
            <a:t>Numărul scăzut de activități educaționale, raportat la cerere</a:t>
          </a:r>
          <a:endParaRPr lang="en-US" sz="1000"/>
        </a:p>
      </dgm:t>
    </dgm:pt>
    <dgm:pt modelId="{84E43FDC-2AB3-4D40-812D-A20C19C8259A}" type="parTrans" cxnId="{4ED9D021-CCF5-4B47-BFE9-31693CC79B9B}">
      <dgm:prSet/>
      <dgm:spPr/>
      <dgm:t>
        <a:bodyPr/>
        <a:lstStyle/>
        <a:p>
          <a:endParaRPr lang="en-US" sz="1000"/>
        </a:p>
      </dgm:t>
    </dgm:pt>
    <dgm:pt modelId="{9FFD7C9A-D798-481E-8B02-60A2871DE003}" type="sibTrans" cxnId="{4ED9D021-CCF5-4B47-BFE9-31693CC79B9B}">
      <dgm:prSet custT="1"/>
      <dgm:spPr/>
      <dgm:t>
        <a:bodyPr/>
        <a:lstStyle/>
        <a:p>
          <a:endParaRPr lang="en-US" sz="1000"/>
        </a:p>
      </dgm:t>
    </dgm:pt>
    <dgm:pt modelId="{852C98C4-DA81-4A42-9F36-45C8EA96DB00}">
      <dgm:prSet custT="1"/>
      <dgm:spPr/>
      <dgm:t>
        <a:bodyPr/>
        <a:lstStyle/>
        <a:p>
          <a:r>
            <a:rPr lang="lt-LT" sz="1000"/>
            <a:t>Lipsa unor spații de desfășurare a activităților la periferia sectorului</a:t>
          </a:r>
          <a:endParaRPr lang="en-US" sz="1000"/>
        </a:p>
      </dgm:t>
    </dgm:pt>
    <dgm:pt modelId="{5758F1C5-A1B1-4B56-A5F8-A05912F60812}" type="parTrans" cxnId="{9CAE8B88-D46B-4F0B-BACB-0D7886F8DB2E}">
      <dgm:prSet/>
      <dgm:spPr/>
      <dgm:t>
        <a:bodyPr/>
        <a:lstStyle/>
        <a:p>
          <a:endParaRPr lang="en-US" sz="1000"/>
        </a:p>
      </dgm:t>
    </dgm:pt>
    <dgm:pt modelId="{51B8337C-530F-49C1-A43C-E6E31F86309E}" type="sibTrans" cxnId="{9CAE8B88-D46B-4F0B-BACB-0D7886F8DB2E}">
      <dgm:prSet custT="1"/>
      <dgm:spPr/>
      <dgm:t>
        <a:bodyPr/>
        <a:lstStyle/>
        <a:p>
          <a:endParaRPr lang="en-US" sz="1000"/>
        </a:p>
      </dgm:t>
    </dgm:pt>
    <dgm:pt modelId="{17DE7351-323F-4AA6-82FF-BCF5EA15C284}">
      <dgm:prSet custT="1"/>
      <dgm:spPr/>
      <dgm:t>
        <a:bodyPr/>
        <a:lstStyle/>
        <a:p>
          <a:r>
            <a:rPr lang="lt-LT" sz="1000"/>
            <a:t>Nivelul de birocrație</a:t>
          </a:r>
          <a:endParaRPr lang="en-US" sz="1000"/>
        </a:p>
      </dgm:t>
    </dgm:pt>
    <dgm:pt modelId="{9E2E2F9C-436B-444A-A3AA-B4845F8CF2BD}" type="parTrans" cxnId="{2DBD7F58-1BE3-45F7-9659-C4AD448604C7}">
      <dgm:prSet/>
      <dgm:spPr/>
      <dgm:t>
        <a:bodyPr/>
        <a:lstStyle/>
        <a:p>
          <a:endParaRPr lang="en-US" sz="1000"/>
        </a:p>
      </dgm:t>
    </dgm:pt>
    <dgm:pt modelId="{82910A21-8DD0-4BCE-90F1-4A7A207A32C8}" type="sibTrans" cxnId="{2DBD7F58-1BE3-45F7-9659-C4AD448604C7}">
      <dgm:prSet custT="1"/>
      <dgm:spPr/>
      <dgm:t>
        <a:bodyPr/>
        <a:lstStyle/>
        <a:p>
          <a:endParaRPr lang="en-US" sz="1000"/>
        </a:p>
      </dgm:t>
    </dgm:pt>
    <dgm:pt modelId="{911A70EE-6643-426B-A719-2B6BD16BF8C6}">
      <dgm:prSet custT="1"/>
      <dgm:spPr/>
      <dgm:t>
        <a:bodyPr/>
        <a:lstStyle/>
        <a:p>
          <a:r>
            <a:rPr lang="lt-LT" sz="1000"/>
            <a:t>Nivelul scăzut de interes în raport cu artiștii locali</a:t>
          </a:r>
          <a:endParaRPr lang="en-US" sz="1000"/>
        </a:p>
      </dgm:t>
    </dgm:pt>
    <dgm:pt modelId="{CDFBAC58-602D-47AC-88B9-0B37BF44B9CD}" type="parTrans" cxnId="{B80F2802-37AE-4325-9FC9-43F29303725B}">
      <dgm:prSet/>
      <dgm:spPr/>
      <dgm:t>
        <a:bodyPr/>
        <a:lstStyle/>
        <a:p>
          <a:endParaRPr lang="en-US" sz="1000"/>
        </a:p>
      </dgm:t>
    </dgm:pt>
    <dgm:pt modelId="{14C4D8A5-928F-48B4-837F-848DDCFCA137}" type="sibTrans" cxnId="{B80F2802-37AE-4325-9FC9-43F29303725B}">
      <dgm:prSet custT="1"/>
      <dgm:spPr/>
      <dgm:t>
        <a:bodyPr/>
        <a:lstStyle/>
        <a:p>
          <a:endParaRPr lang="en-US" sz="1000"/>
        </a:p>
      </dgm:t>
    </dgm:pt>
    <dgm:pt modelId="{40209DC0-8EAC-40C7-A570-C3ECF5480008}">
      <dgm:prSet custT="1"/>
      <dgm:spPr/>
      <dgm:t>
        <a:bodyPr/>
        <a:lstStyle/>
        <a:p>
          <a:r>
            <a:rPr lang="lt-LT" sz="1000"/>
            <a:t>Lipsa unui număr suficient de spații amenajare pentru animalele de companie</a:t>
          </a:r>
          <a:endParaRPr lang="en-US" sz="1000"/>
        </a:p>
      </dgm:t>
    </dgm:pt>
    <dgm:pt modelId="{C4C82477-10DF-41BB-93B8-FE24B9D1D83A}" type="parTrans" cxnId="{045F5282-BCC7-497B-B545-33DAD78F562C}">
      <dgm:prSet/>
      <dgm:spPr/>
      <dgm:t>
        <a:bodyPr/>
        <a:lstStyle/>
        <a:p>
          <a:endParaRPr lang="en-US" sz="1000"/>
        </a:p>
      </dgm:t>
    </dgm:pt>
    <dgm:pt modelId="{5B33014B-0247-4BE4-9744-6512466613AE}" type="sibTrans" cxnId="{045F5282-BCC7-497B-B545-33DAD78F562C}">
      <dgm:prSet/>
      <dgm:spPr/>
      <dgm:t>
        <a:bodyPr/>
        <a:lstStyle/>
        <a:p>
          <a:endParaRPr lang="en-US" sz="1000"/>
        </a:p>
      </dgm:t>
    </dgm:pt>
    <dgm:pt modelId="{4AB7AA38-5C50-4C73-9995-17C775F3C4F7}" type="pres">
      <dgm:prSet presAssocID="{DC069EE3-0439-4CA2-B938-AB487B7311CD}" presName="linearFlow" presStyleCnt="0">
        <dgm:presLayoutVars>
          <dgm:resizeHandles val="exact"/>
        </dgm:presLayoutVars>
      </dgm:prSet>
      <dgm:spPr/>
    </dgm:pt>
    <dgm:pt modelId="{D63A5C6F-BEAB-44EF-ADC3-2C19759D84A1}" type="pres">
      <dgm:prSet presAssocID="{329A0552-E1BB-4BA5-9AB1-EBD31558D155}" presName="node" presStyleLbl="node1" presStyleIdx="0" presStyleCnt="16" custScaleX="386507">
        <dgm:presLayoutVars>
          <dgm:bulletEnabled val="1"/>
        </dgm:presLayoutVars>
      </dgm:prSet>
      <dgm:spPr/>
    </dgm:pt>
    <dgm:pt modelId="{31790DC7-85AE-4992-9CD3-84CEEF00D2FC}" type="pres">
      <dgm:prSet presAssocID="{CAB0B1FB-D02B-4DAD-99B4-C6F2DC6F9259}" presName="sibTrans" presStyleLbl="sibTrans2D1" presStyleIdx="0" presStyleCnt="15"/>
      <dgm:spPr>
        <a:prstGeom prst="flowChartProcess">
          <a:avLst/>
        </a:prstGeom>
      </dgm:spPr>
    </dgm:pt>
    <dgm:pt modelId="{D62EDD13-0147-4582-AB33-5914679B8CCB}" type="pres">
      <dgm:prSet presAssocID="{CAB0B1FB-D02B-4DAD-99B4-C6F2DC6F9259}" presName="connectorText" presStyleLbl="sibTrans2D1" presStyleIdx="0" presStyleCnt="15"/>
      <dgm:spPr/>
    </dgm:pt>
    <dgm:pt modelId="{41FF2BEB-71DD-42E4-BCD2-F8ED714C7137}" type="pres">
      <dgm:prSet presAssocID="{2B6312B9-AC00-483F-9D60-DCE8C91661D9}" presName="node" presStyleLbl="node1" presStyleIdx="1" presStyleCnt="16" custScaleX="386507">
        <dgm:presLayoutVars>
          <dgm:bulletEnabled val="1"/>
        </dgm:presLayoutVars>
      </dgm:prSet>
      <dgm:spPr/>
    </dgm:pt>
    <dgm:pt modelId="{D1D50BD0-B900-47E8-A885-DDC6E98C9D1E}" type="pres">
      <dgm:prSet presAssocID="{70B2D478-9B1C-432C-B3DD-DEF6AC8563A8}" presName="sibTrans" presStyleLbl="sibTrans2D1" presStyleIdx="1" presStyleCnt="15"/>
      <dgm:spPr>
        <a:prstGeom prst="flowChartProcess">
          <a:avLst/>
        </a:prstGeom>
      </dgm:spPr>
    </dgm:pt>
    <dgm:pt modelId="{DC7DF621-67B7-4FBF-9583-05783EB8A267}" type="pres">
      <dgm:prSet presAssocID="{70B2D478-9B1C-432C-B3DD-DEF6AC8563A8}" presName="connectorText" presStyleLbl="sibTrans2D1" presStyleIdx="1" presStyleCnt="15"/>
      <dgm:spPr/>
    </dgm:pt>
    <dgm:pt modelId="{C734FFC3-D416-42D4-ACBE-08C4F7DA4719}" type="pres">
      <dgm:prSet presAssocID="{3B36DCD5-11BC-4776-B5E3-5F9AE543E74D}" presName="node" presStyleLbl="node1" presStyleIdx="2" presStyleCnt="16" custScaleX="386507">
        <dgm:presLayoutVars>
          <dgm:bulletEnabled val="1"/>
        </dgm:presLayoutVars>
      </dgm:prSet>
      <dgm:spPr/>
    </dgm:pt>
    <dgm:pt modelId="{A83A3272-9DC4-475E-BF5E-E8ADC9C0ED03}" type="pres">
      <dgm:prSet presAssocID="{2297CAC9-3388-4CF2-95FE-673CEA0950AE}" presName="sibTrans" presStyleLbl="sibTrans2D1" presStyleIdx="2" presStyleCnt="15"/>
      <dgm:spPr>
        <a:prstGeom prst="flowChartProcess">
          <a:avLst/>
        </a:prstGeom>
      </dgm:spPr>
    </dgm:pt>
    <dgm:pt modelId="{1F59795B-C67A-4603-AF98-2154ECF2EFB7}" type="pres">
      <dgm:prSet presAssocID="{2297CAC9-3388-4CF2-95FE-673CEA0950AE}" presName="connectorText" presStyleLbl="sibTrans2D1" presStyleIdx="2" presStyleCnt="15"/>
      <dgm:spPr/>
    </dgm:pt>
    <dgm:pt modelId="{9DE1BDC5-C02C-4F8C-A08F-EB282E4E9C6C}" type="pres">
      <dgm:prSet presAssocID="{414D236B-7679-4059-875C-5A59E30E8D5D}" presName="node" presStyleLbl="node1" presStyleIdx="3" presStyleCnt="16" custScaleX="386507">
        <dgm:presLayoutVars>
          <dgm:bulletEnabled val="1"/>
        </dgm:presLayoutVars>
      </dgm:prSet>
      <dgm:spPr/>
    </dgm:pt>
    <dgm:pt modelId="{39F5337C-CF0C-4EE7-B499-877711ADB60A}" type="pres">
      <dgm:prSet presAssocID="{6D2AED66-423C-406E-B92D-2E0E94E6FE0A}" presName="sibTrans" presStyleLbl="sibTrans2D1" presStyleIdx="3" presStyleCnt="15"/>
      <dgm:spPr>
        <a:prstGeom prst="flowChartProcess">
          <a:avLst/>
        </a:prstGeom>
      </dgm:spPr>
    </dgm:pt>
    <dgm:pt modelId="{1CD2D88B-500F-474C-8E0C-FBD1585C74CB}" type="pres">
      <dgm:prSet presAssocID="{6D2AED66-423C-406E-B92D-2E0E94E6FE0A}" presName="connectorText" presStyleLbl="sibTrans2D1" presStyleIdx="3" presStyleCnt="15"/>
      <dgm:spPr/>
    </dgm:pt>
    <dgm:pt modelId="{579D1D17-F6F3-4A6F-A666-8EDB56EC4DAC}" type="pres">
      <dgm:prSet presAssocID="{1680DCC7-350F-4602-B4D5-703DDF6096E3}" presName="node" presStyleLbl="node1" presStyleIdx="4" presStyleCnt="16" custScaleX="386507">
        <dgm:presLayoutVars>
          <dgm:bulletEnabled val="1"/>
        </dgm:presLayoutVars>
      </dgm:prSet>
      <dgm:spPr/>
    </dgm:pt>
    <dgm:pt modelId="{DD485AB2-4B9B-4269-9C04-5BF551D51BBE}" type="pres">
      <dgm:prSet presAssocID="{1716003F-1831-4C6F-9D04-9B13606F2470}" presName="sibTrans" presStyleLbl="sibTrans2D1" presStyleIdx="4" presStyleCnt="15"/>
      <dgm:spPr>
        <a:prstGeom prst="flowChartProcess">
          <a:avLst/>
        </a:prstGeom>
      </dgm:spPr>
    </dgm:pt>
    <dgm:pt modelId="{EBFD05E4-2194-455A-AE2C-BBD011CC486C}" type="pres">
      <dgm:prSet presAssocID="{1716003F-1831-4C6F-9D04-9B13606F2470}" presName="connectorText" presStyleLbl="sibTrans2D1" presStyleIdx="4" presStyleCnt="15"/>
      <dgm:spPr/>
    </dgm:pt>
    <dgm:pt modelId="{551B310A-F75A-499B-B8C6-F185BB198FD4}" type="pres">
      <dgm:prSet presAssocID="{1B180C68-4CE6-4767-B796-F4D36A5DFF68}" presName="node" presStyleLbl="node1" presStyleIdx="5" presStyleCnt="16" custScaleX="386507">
        <dgm:presLayoutVars>
          <dgm:bulletEnabled val="1"/>
        </dgm:presLayoutVars>
      </dgm:prSet>
      <dgm:spPr/>
    </dgm:pt>
    <dgm:pt modelId="{9263633C-FB4C-4397-AD06-903E561B8CDF}" type="pres">
      <dgm:prSet presAssocID="{98F1A812-0F9D-4342-806F-D156B462FAC9}" presName="sibTrans" presStyleLbl="sibTrans2D1" presStyleIdx="5" presStyleCnt="15"/>
      <dgm:spPr>
        <a:prstGeom prst="flowChartProcess">
          <a:avLst/>
        </a:prstGeom>
      </dgm:spPr>
    </dgm:pt>
    <dgm:pt modelId="{4B9ECEE7-8E5A-4D64-BB13-5CFC5E90A2DD}" type="pres">
      <dgm:prSet presAssocID="{98F1A812-0F9D-4342-806F-D156B462FAC9}" presName="connectorText" presStyleLbl="sibTrans2D1" presStyleIdx="5" presStyleCnt="15"/>
      <dgm:spPr/>
    </dgm:pt>
    <dgm:pt modelId="{CF10F80D-BBA5-4077-97F0-746F79F820E8}" type="pres">
      <dgm:prSet presAssocID="{0BFE34D5-3EB5-41BF-BEB2-4968CBC2C043}" presName="node" presStyleLbl="node1" presStyleIdx="6" presStyleCnt="16" custScaleX="386507">
        <dgm:presLayoutVars>
          <dgm:bulletEnabled val="1"/>
        </dgm:presLayoutVars>
      </dgm:prSet>
      <dgm:spPr/>
    </dgm:pt>
    <dgm:pt modelId="{363E2BE4-8192-419E-96FC-40398B579A0C}" type="pres">
      <dgm:prSet presAssocID="{68977BA2-6B0A-47B3-93A3-94E6C14ADA62}" presName="sibTrans" presStyleLbl="sibTrans2D1" presStyleIdx="6" presStyleCnt="15"/>
      <dgm:spPr>
        <a:prstGeom prst="flowChartProcess">
          <a:avLst/>
        </a:prstGeom>
      </dgm:spPr>
    </dgm:pt>
    <dgm:pt modelId="{178131D5-AF1D-45D1-9606-CCF676F6D528}" type="pres">
      <dgm:prSet presAssocID="{68977BA2-6B0A-47B3-93A3-94E6C14ADA62}" presName="connectorText" presStyleLbl="sibTrans2D1" presStyleIdx="6" presStyleCnt="15"/>
      <dgm:spPr/>
    </dgm:pt>
    <dgm:pt modelId="{FA993EE4-98CF-4E29-951F-F7252A5E32F5}" type="pres">
      <dgm:prSet presAssocID="{935CEE1F-5279-47D1-A71F-764476E52196}" presName="node" presStyleLbl="node1" presStyleIdx="7" presStyleCnt="16" custScaleX="386507">
        <dgm:presLayoutVars>
          <dgm:bulletEnabled val="1"/>
        </dgm:presLayoutVars>
      </dgm:prSet>
      <dgm:spPr/>
    </dgm:pt>
    <dgm:pt modelId="{189F85AF-E6C1-44B8-A136-D414E14CF2D3}" type="pres">
      <dgm:prSet presAssocID="{118ADB16-402F-47FD-9E2E-559B08ADCA6A}" presName="sibTrans" presStyleLbl="sibTrans2D1" presStyleIdx="7" presStyleCnt="15"/>
      <dgm:spPr>
        <a:prstGeom prst="flowChartProcess">
          <a:avLst/>
        </a:prstGeom>
      </dgm:spPr>
    </dgm:pt>
    <dgm:pt modelId="{451AECA8-8501-485C-A038-1284420E0870}" type="pres">
      <dgm:prSet presAssocID="{118ADB16-402F-47FD-9E2E-559B08ADCA6A}" presName="connectorText" presStyleLbl="sibTrans2D1" presStyleIdx="7" presStyleCnt="15"/>
      <dgm:spPr/>
    </dgm:pt>
    <dgm:pt modelId="{A0EB9EA3-E3CC-45CC-961E-9745DCF7872E}" type="pres">
      <dgm:prSet presAssocID="{F976B1D4-BFCB-45D8-9D19-CC6A7E7BEE08}" presName="node" presStyleLbl="node1" presStyleIdx="8" presStyleCnt="16" custScaleX="386507">
        <dgm:presLayoutVars>
          <dgm:bulletEnabled val="1"/>
        </dgm:presLayoutVars>
      </dgm:prSet>
      <dgm:spPr/>
    </dgm:pt>
    <dgm:pt modelId="{E154DD5C-B13B-4233-BF27-830F6D9F762A}" type="pres">
      <dgm:prSet presAssocID="{98D22DF5-0981-4385-895B-E54F812B0AF7}" presName="sibTrans" presStyleLbl="sibTrans2D1" presStyleIdx="8" presStyleCnt="15"/>
      <dgm:spPr>
        <a:prstGeom prst="flowChartProcess">
          <a:avLst/>
        </a:prstGeom>
      </dgm:spPr>
    </dgm:pt>
    <dgm:pt modelId="{8481CEF1-C172-448B-BA68-E5775E52E981}" type="pres">
      <dgm:prSet presAssocID="{98D22DF5-0981-4385-895B-E54F812B0AF7}" presName="connectorText" presStyleLbl="sibTrans2D1" presStyleIdx="8" presStyleCnt="15"/>
      <dgm:spPr/>
    </dgm:pt>
    <dgm:pt modelId="{CB56AF56-5B7B-4AEA-8A48-8599C655927C}" type="pres">
      <dgm:prSet presAssocID="{F4FDE249-4623-4FF6-ABE7-79DC17DD9E97}" presName="node" presStyleLbl="node1" presStyleIdx="9" presStyleCnt="16" custScaleX="386507">
        <dgm:presLayoutVars>
          <dgm:bulletEnabled val="1"/>
        </dgm:presLayoutVars>
      </dgm:prSet>
      <dgm:spPr/>
    </dgm:pt>
    <dgm:pt modelId="{9984E60D-5F1C-460F-8317-FEB4635764DF}" type="pres">
      <dgm:prSet presAssocID="{305FDBE0-D94F-4ECD-B1BD-51A2700221D1}" presName="sibTrans" presStyleLbl="sibTrans2D1" presStyleIdx="9" presStyleCnt="15"/>
      <dgm:spPr>
        <a:prstGeom prst="flowChartProcess">
          <a:avLst/>
        </a:prstGeom>
      </dgm:spPr>
    </dgm:pt>
    <dgm:pt modelId="{E3FFF725-31C4-4468-A29D-485F58A5C755}" type="pres">
      <dgm:prSet presAssocID="{305FDBE0-D94F-4ECD-B1BD-51A2700221D1}" presName="connectorText" presStyleLbl="sibTrans2D1" presStyleIdx="9" presStyleCnt="15"/>
      <dgm:spPr/>
    </dgm:pt>
    <dgm:pt modelId="{353D973B-2D4D-4F32-80DD-BA02DAA7764F}" type="pres">
      <dgm:prSet presAssocID="{4B7C667E-E795-4268-A5F1-06F7FF56AFB6}" presName="node" presStyleLbl="node1" presStyleIdx="10" presStyleCnt="16" custScaleX="386507">
        <dgm:presLayoutVars>
          <dgm:bulletEnabled val="1"/>
        </dgm:presLayoutVars>
      </dgm:prSet>
      <dgm:spPr/>
    </dgm:pt>
    <dgm:pt modelId="{570D702A-F044-4478-9D86-96BF5E036B79}" type="pres">
      <dgm:prSet presAssocID="{575D5A95-6C68-4340-AFCA-A89CF88FC156}" presName="sibTrans" presStyleLbl="sibTrans2D1" presStyleIdx="10" presStyleCnt="15"/>
      <dgm:spPr>
        <a:prstGeom prst="flowChartProcess">
          <a:avLst/>
        </a:prstGeom>
      </dgm:spPr>
    </dgm:pt>
    <dgm:pt modelId="{3AC2F16B-ABF2-4202-A14C-D81D9D65353D}" type="pres">
      <dgm:prSet presAssocID="{575D5A95-6C68-4340-AFCA-A89CF88FC156}" presName="connectorText" presStyleLbl="sibTrans2D1" presStyleIdx="10" presStyleCnt="15"/>
      <dgm:spPr/>
    </dgm:pt>
    <dgm:pt modelId="{B19F4919-9CAF-4946-83EA-2BBB7BCDE77E}" type="pres">
      <dgm:prSet presAssocID="{4EA66820-961D-4474-9B49-286E9C2E79B2}" presName="node" presStyleLbl="node1" presStyleIdx="11" presStyleCnt="16" custScaleX="386507">
        <dgm:presLayoutVars>
          <dgm:bulletEnabled val="1"/>
        </dgm:presLayoutVars>
      </dgm:prSet>
      <dgm:spPr/>
    </dgm:pt>
    <dgm:pt modelId="{D9972EB8-BA79-46F9-A29A-8CD2BB5BB957}" type="pres">
      <dgm:prSet presAssocID="{9FFD7C9A-D798-481E-8B02-60A2871DE003}" presName="sibTrans" presStyleLbl="sibTrans2D1" presStyleIdx="11" presStyleCnt="15"/>
      <dgm:spPr>
        <a:prstGeom prst="flowChartProcess">
          <a:avLst/>
        </a:prstGeom>
      </dgm:spPr>
    </dgm:pt>
    <dgm:pt modelId="{236DD78F-2583-47B9-9835-E4CCBBF2C7F1}" type="pres">
      <dgm:prSet presAssocID="{9FFD7C9A-D798-481E-8B02-60A2871DE003}" presName="connectorText" presStyleLbl="sibTrans2D1" presStyleIdx="11" presStyleCnt="15"/>
      <dgm:spPr/>
    </dgm:pt>
    <dgm:pt modelId="{960DF4A6-2228-4AF8-A974-9863CD136926}" type="pres">
      <dgm:prSet presAssocID="{852C98C4-DA81-4A42-9F36-45C8EA96DB00}" presName="node" presStyleLbl="node1" presStyleIdx="12" presStyleCnt="16" custScaleX="386507">
        <dgm:presLayoutVars>
          <dgm:bulletEnabled val="1"/>
        </dgm:presLayoutVars>
      </dgm:prSet>
      <dgm:spPr/>
    </dgm:pt>
    <dgm:pt modelId="{B910D565-B437-43DB-A6C1-9149547D8518}" type="pres">
      <dgm:prSet presAssocID="{51B8337C-530F-49C1-A43C-E6E31F86309E}" presName="sibTrans" presStyleLbl="sibTrans2D1" presStyleIdx="12" presStyleCnt="15"/>
      <dgm:spPr>
        <a:prstGeom prst="flowChartProcess">
          <a:avLst/>
        </a:prstGeom>
      </dgm:spPr>
    </dgm:pt>
    <dgm:pt modelId="{33D2DD1C-066F-4EF4-8ABF-8659314B75BE}" type="pres">
      <dgm:prSet presAssocID="{51B8337C-530F-49C1-A43C-E6E31F86309E}" presName="connectorText" presStyleLbl="sibTrans2D1" presStyleIdx="12" presStyleCnt="15"/>
      <dgm:spPr/>
    </dgm:pt>
    <dgm:pt modelId="{E10F8F79-9E8A-41F3-BCDC-F6571FD8956A}" type="pres">
      <dgm:prSet presAssocID="{17DE7351-323F-4AA6-82FF-BCF5EA15C284}" presName="node" presStyleLbl="node1" presStyleIdx="13" presStyleCnt="16" custScaleX="386507">
        <dgm:presLayoutVars>
          <dgm:bulletEnabled val="1"/>
        </dgm:presLayoutVars>
      </dgm:prSet>
      <dgm:spPr/>
    </dgm:pt>
    <dgm:pt modelId="{2F7DE14A-D38E-431B-97F0-CF64CBAE6601}" type="pres">
      <dgm:prSet presAssocID="{82910A21-8DD0-4BCE-90F1-4A7A207A32C8}" presName="sibTrans" presStyleLbl="sibTrans2D1" presStyleIdx="13" presStyleCnt="15"/>
      <dgm:spPr>
        <a:prstGeom prst="flowChartProcess">
          <a:avLst/>
        </a:prstGeom>
      </dgm:spPr>
    </dgm:pt>
    <dgm:pt modelId="{5136E37D-64B4-4533-81AC-1D2CE785FD2D}" type="pres">
      <dgm:prSet presAssocID="{82910A21-8DD0-4BCE-90F1-4A7A207A32C8}" presName="connectorText" presStyleLbl="sibTrans2D1" presStyleIdx="13" presStyleCnt="15"/>
      <dgm:spPr/>
    </dgm:pt>
    <dgm:pt modelId="{BF63AE16-56DC-44A8-B512-8944819DA229}" type="pres">
      <dgm:prSet presAssocID="{911A70EE-6643-426B-A719-2B6BD16BF8C6}" presName="node" presStyleLbl="node1" presStyleIdx="14" presStyleCnt="16" custScaleX="386507">
        <dgm:presLayoutVars>
          <dgm:bulletEnabled val="1"/>
        </dgm:presLayoutVars>
      </dgm:prSet>
      <dgm:spPr/>
    </dgm:pt>
    <dgm:pt modelId="{7DE1EC96-7DAF-4092-AC81-92B90D80BCD5}" type="pres">
      <dgm:prSet presAssocID="{14C4D8A5-928F-48B4-837F-848DDCFCA137}" presName="sibTrans" presStyleLbl="sibTrans2D1" presStyleIdx="14" presStyleCnt="15"/>
      <dgm:spPr>
        <a:prstGeom prst="flowChartProcess">
          <a:avLst/>
        </a:prstGeom>
      </dgm:spPr>
    </dgm:pt>
    <dgm:pt modelId="{22592845-16B6-494D-AEF8-98B742F2461D}" type="pres">
      <dgm:prSet presAssocID="{14C4D8A5-928F-48B4-837F-848DDCFCA137}" presName="connectorText" presStyleLbl="sibTrans2D1" presStyleIdx="14" presStyleCnt="15"/>
      <dgm:spPr/>
    </dgm:pt>
    <dgm:pt modelId="{763AEB54-96B6-4CD9-8CF0-EEC9F88CC3C7}" type="pres">
      <dgm:prSet presAssocID="{40209DC0-8EAC-40C7-A570-C3ECF5480008}" presName="node" presStyleLbl="node1" presStyleIdx="15" presStyleCnt="16" custScaleX="386507">
        <dgm:presLayoutVars>
          <dgm:bulletEnabled val="1"/>
        </dgm:presLayoutVars>
      </dgm:prSet>
      <dgm:spPr/>
    </dgm:pt>
  </dgm:ptLst>
  <dgm:cxnLst>
    <dgm:cxn modelId="{B80F2802-37AE-4325-9FC9-43F29303725B}" srcId="{DC069EE3-0439-4CA2-B938-AB487B7311CD}" destId="{911A70EE-6643-426B-A719-2B6BD16BF8C6}" srcOrd="14" destOrd="0" parTransId="{CDFBAC58-602D-47AC-88B9-0B37BF44B9CD}" sibTransId="{14C4D8A5-928F-48B4-837F-848DDCFCA137}"/>
    <dgm:cxn modelId="{F640EE02-1D00-483F-B20C-9F2E294EF057}" type="presOf" srcId="{2B6312B9-AC00-483F-9D60-DCE8C91661D9}" destId="{41FF2BEB-71DD-42E4-BCD2-F8ED714C7137}" srcOrd="0" destOrd="0" presId="urn:microsoft.com/office/officeart/2005/8/layout/process2"/>
    <dgm:cxn modelId="{6B085C06-EB73-4E1B-8830-AC8CDB7D0EAE}" type="presOf" srcId="{1716003F-1831-4C6F-9D04-9B13606F2470}" destId="{EBFD05E4-2194-455A-AE2C-BBD011CC486C}" srcOrd="1" destOrd="0" presId="urn:microsoft.com/office/officeart/2005/8/layout/process2"/>
    <dgm:cxn modelId="{B831C806-BB1B-4260-AE1C-A32A67396D9A}" srcId="{DC069EE3-0439-4CA2-B938-AB487B7311CD}" destId="{1B180C68-4CE6-4767-B796-F4D36A5DFF68}" srcOrd="5" destOrd="0" parTransId="{3445DC1E-3200-4D73-BA2E-E2F6D22DFF63}" sibTransId="{98F1A812-0F9D-4342-806F-D156B462FAC9}"/>
    <dgm:cxn modelId="{353A0A1D-72B1-4CCD-8F7A-A317B7C863E2}" type="presOf" srcId="{329A0552-E1BB-4BA5-9AB1-EBD31558D155}" destId="{D63A5C6F-BEAB-44EF-ADC3-2C19759D84A1}" srcOrd="0" destOrd="0" presId="urn:microsoft.com/office/officeart/2005/8/layout/process2"/>
    <dgm:cxn modelId="{7F3A7F21-3AA8-4561-B317-19898C40A146}" type="presOf" srcId="{3B36DCD5-11BC-4776-B5E3-5F9AE543E74D}" destId="{C734FFC3-D416-42D4-ACBE-08C4F7DA4719}" srcOrd="0" destOrd="0" presId="urn:microsoft.com/office/officeart/2005/8/layout/process2"/>
    <dgm:cxn modelId="{4ED9D021-CCF5-4B47-BFE9-31693CC79B9B}" srcId="{DC069EE3-0439-4CA2-B938-AB487B7311CD}" destId="{4EA66820-961D-4474-9B49-286E9C2E79B2}" srcOrd="11" destOrd="0" parTransId="{84E43FDC-2AB3-4D40-812D-A20C19C8259A}" sibTransId="{9FFD7C9A-D798-481E-8B02-60A2871DE003}"/>
    <dgm:cxn modelId="{F0BC1E2B-14CA-45AC-B361-8F0FBAF21B1F}" type="presOf" srcId="{70B2D478-9B1C-432C-B3DD-DEF6AC8563A8}" destId="{D1D50BD0-B900-47E8-A885-DDC6E98C9D1E}" srcOrd="0" destOrd="0" presId="urn:microsoft.com/office/officeart/2005/8/layout/process2"/>
    <dgm:cxn modelId="{FB4A442D-B64A-4F64-B0CA-9651B7F0EA9C}" type="presOf" srcId="{911A70EE-6643-426B-A719-2B6BD16BF8C6}" destId="{BF63AE16-56DC-44A8-B512-8944819DA229}" srcOrd="0" destOrd="0" presId="urn:microsoft.com/office/officeart/2005/8/layout/process2"/>
    <dgm:cxn modelId="{C9203F2F-FA09-4999-8C78-CF868D50F66F}" srcId="{DC069EE3-0439-4CA2-B938-AB487B7311CD}" destId="{4B7C667E-E795-4268-A5F1-06F7FF56AFB6}" srcOrd="10" destOrd="0" parTransId="{62288A1C-8293-4F07-BE73-8D613E42D23E}" sibTransId="{575D5A95-6C68-4340-AFCA-A89CF88FC156}"/>
    <dgm:cxn modelId="{552F5035-0B12-440F-9083-CF4FFE726E4E}" srcId="{DC069EE3-0439-4CA2-B938-AB487B7311CD}" destId="{2B6312B9-AC00-483F-9D60-DCE8C91661D9}" srcOrd="1" destOrd="0" parTransId="{B7840122-80B4-4E24-A674-9E477C08F3F6}" sibTransId="{70B2D478-9B1C-432C-B3DD-DEF6AC8563A8}"/>
    <dgm:cxn modelId="{21A48E35-EAF0-4F80-8C67-69331FA86E13}" srcId="{DC069EE3-0439-4CA2-B938-AB487B7311CD}" destId="{F976B1D4-BFCB-45D8-9D19-CC6A7E7BEE08}" srcOrd="8" destOrd="0" parTransId="{1B0A0592-7124-4B08-9986-40D448B7A829}" sibTransId="{98D22DF5-0981-4385-895B-E54F812B0AF7}"/>
    <dgm:cxn modelId="{A2395638-E287-4D53-9550-82ADDBA3CBCE}" type="presOf" srcId="{852C98C4-DA81-4A42-9F36-45C8EA96DB00}" destId="{960DF4A6-2228-4AF8-A974-9863CD136926}" srcOrd="0" destOrd="0" presId="urn:microsoft.com/office/officeart/2005/8/layout/process2"/>
    <dgm:cxn modelId="{0D27AE3A-21F7-4BB2-B099-BEB2F0A7D0CA}" srcId="{DC069EE3-0439-4CA2-B938-AB487B7311CD}" destId="{3B36DCD5-11BC-4776-B5E3-5F9AE543E74D}" srcOrd="2" destOrd="0" parTransId="{AB2D1F8E-BB99-4761-8F3C-61D2709F5F01}" sibTransId="{2297CAC9-3388-4CF2-95FE-673CEA0950AE}"/>
    <dgm:cxn modelId="{CC4D8A3E-F3F8-4D02-B944-C8CD0F1F49AE}" type="presOf" srcId="{1B180C68-4CE6-4767-B796-F4D36A5DFF68}" destId="{551B310A-F75A-499B-B8C6-F185BB198FD4}" srcOrd="0" destOrd="0" presId="urn:microsoft.com/office/officeart/2005/8/layout/process2"/>
    <dgm:cxn modelId="{D1540741-086E-4A76-9E2A-DD505A9237B7}" type="presOf" srcId="{CAB0B1FB-D02B-4DAD-99B4-C6F2DC6F9259}" destId="{31790DC7-85AE-4992-9CD3-84CEEF00D2FC}" srcOrd="0" destOrd="0" presId="urn:microsoft.com/office/officeart/2005/8/layout/process2"/>
    <dgm:cxn modelId="{9CBB3141-AEDE-4914-B292-21115F1E0E03}" type="presOf" srcId="{4EA66820-961D-4474-9B49-286E9C2E79B2}" destId="{B19F4919-9CAF-4946-83EA-2BBB7BCDE77E}" srcOrd="0" destOrd="0" presId="urn:microsoft.com/office/officeart/2005/8/layout/process2"/>
    <dgm:cxn modelId="{F49AD041-C5BF-4305-A7C6-9CEC3C60DEEB}" type="presOf" srcId="{935CEE1F-5279-47D1-A71F-764476E52196}" destId="{FA993EE4-98CF-4E29-951F-F7252A5E32F5}" srcOrd="0" destOrd="0" presId="urn:microsoft.com/office/officeart/2005/8/layout/process2"/>
    <dgm:cxn modelId="{1207E642-84F5-4907-B242-D4F84CD6B6B9}" type="presOf" srcId="{51B8337C-530F-49C1-A43C-E6E31F86309E}" destId="{B910D565-B437-43DB-A6C1-9149547D8518}" srcOrd="0" destOrd="0" presId="urn:microsoft.com/office/officeart/2005/8/layout/process2"/>
    <dgm:cxn modelId="{AFCC336C-C3DF-4E3B-8C1D-2AC663D53671}" type="presOf" srcId="{82910A21-8DD0-4BCE-90F1-4A7A207A32C8}" destId="{2F7DE14A-D38E-431B-97F0-CF64CBAE6601}" srcOrd="0" destOrd="0" presId="urn:microsoft.com/office/officeart/2005/8/layout/process2"/>
    <dgm:cxn modelId="{79D7564E-B8B4-43DB-839F-2618B2E6932C}" type="presOf" srcId="{6D2AED66-423C-406E-B92D-2E0E94E6FE0A}" destId="{39F5337C-CF0C-4EE7-B499-877711ADB60A}" srcOrd="0" destOrd="0" presId="urn:microsoft.com/office/officeart/2005/8/layout/process2"/>
    <dgm:cxn modelId="{A7246070-9AE0-4F33-AE6C-D5A9E8645E4C}" type="presOf" srcId="{1716003F-1831-4C6F-9D04-9B13606F2470}" destId="{DD485AB2-4B9B-4269-9C04-5BF551D51BBE}" srcOrd="0" destOrd="0" presId="urn:microsoft.com/office/officeart/2005/8/layout/process2"/>
    <dgm:cxn modelId="{1687A872-AE4E-4307-85F9-743B1B566F67}" type="presOf" srcId="{414D236B-7679-4059-875C-5A59E30E8D5D}" destId="{9DE1BDC5-C02C-4F8C-A08F-EB282E4E9C6C}" srcOrd="0" destOrd="0" presId="urn:microsoft.com/office/officeart/2005/8/layout/process2"/>
    <dgm:cxn modelId="{4D7C6454-DB8A-444D-973D-35A33BD60C37}" type="presOf" srcId="{98D22DF5-0981-4385-895B-E54F812B0AF7}" destId="{8481CEF1-C172-448B-BA68-E5775E52E981}" srcOrd="1" destOrd="0" presId="urn:microsoft.com/office/officeart/2005/8/layout/process2"/>
    <dgm:cxn modelId="{29661957-53A1-4385-8DA4-DC99B5900BBC}" type="presOf" srcId="{6D2AED66-423C-406E-B92D-2E0E94E6FE0A}" destId="{1CD2D88B-500F-474C-8E0C-FBD1585C74CB}" srcOrd="1" destOrd="0" presId="urn:microsoft.com/office/officeart/2005/8/layout/process2"/>
    <dgm:cxn modelId="{2DBD7F58-1BE3-45F7-9659-C4AD448604C7}" srcId="{DC069EE3-0439-4CA2-B938-AB487B7311CD}" destId="{17DE7351-323F-4AA6-82FF-BCF5EA15C284}" srcOrd="13" destOrd="0" parTransId="{9E2E2F9C-436B-444A-A3AA-B4845F8CF2BD}" sibTransId="{82910A21-8DD0-4BCE-90F1-4A7A207A32C8}"/>
    <dgm:cxn modelId="{78318C7D-E59B-4B40-A15F-14D5B3920ACC}" type="presOf" srcId="{98F1A812-0F9D-4342-806F-D156B462FAC9}" destId="{9263633C-FB4C-4397-AD06-903E561B8CDF}" srcOrd="0" destOrd="0" presId="urn:microsoft.com/office/officeart/2005/8/layout/process2"/>
    <dgm:cxn modelId="{4D244780-B755-43CA-A87F-9A833DF0FA37}" srcId="{DC069EE3-0439-4CA2-B938-AB487B7311CD}" destId="{935CEE1F-5279-47D1-A71F-764476E52196}" srcOrd="7" destOrd="0" parTransId="{11D57CB2-141D-4D45-8C25-69806B15FA6B}" sibTransId="{118ADB16-402F-47FD-9E2E-559B08ADCA6A}"/>
    <dgm:cxn modelId="{045F5282-BCC7-497B-B545-33DAD78F562C}" srcId="{DC069EE3-0439-4CA2-B938-AB487B7311CD}" destId="{40209DC0-8EAC-40C7-A570-C3ECF5480008}" srcOrd="15" destOrd="0" parTransId="{C4C82477-10DF-41BB-93B8-FE24B9D1D83A}" sibTransId="{5B33014B-0247-4BE4-9744-6512466613AE}"/>
    <dgm:cxn modelId="{23D7C783-CC2F-4AEB-89D2-6DA791AFDDFD}" type="presOf" srcId="{305FDBE0-D94F-4ECD-B1BD-51A2700221D1}" destId="{9984E60D-5F1C-460F-8317-FEB4635764DF}" srcOrd="0" destOrd="0" presId="urn:microsoft.com/office/officeart/2005/8/layout/process2"/>
    <dgm:cxn modelId="{4CA76584-951E-49D0-9E16-B1E73BB23413}" type="presOf" srcId="{F976B1D4-BFCB-45D8-9D19-CC6A7E7BEE08}" destId="{A0EB9EA3-E3CC-45CC-961E-9745DCF7872E}" srcOrd="0" destOrd="0" presId="urn:microsoft.com/office/officeart/2005/8/layout/process2"/>
    <dgm:cxn modelId="{12B26785-5ED3-449C-B6D3-DF13C8CB2165}" type="presOf" srcId="{118ADB16-402F-47FD-9E2E-559B08ADCA6A}" destId="{451AECA8-8501-485C-A038-1284420E0870}" srcOrd="1" destOrd="0" presId="urn:microsoft.com/office/officeart/2005/8/layout/process2"/>
    <dgm:cxn modelId="{53945488-4DF9-4521-85CC-0CCC2A0856F7}" type="presOf" srcId="{575D5A95-6C68-4340-AFCA-A89CF88FC156}" destId="{570D702A-F044-4478-9D86-96BF5E036B79}" srcOrd="0" destOrd="0" presId="urn:microsoft.com/office/officeart/2005/8/layout/process2"/>
    <dgm:cxn modelId="{9CAE8B88-D46B-4F0B-BACB-0D7886F8DB2E}" srcId="{DC069EE3-0439-4CA2-B938-AB487B7311CD}" destId="{852C98C4-DA81-4A42-9F36-45C8EA96DB00}" srcOrd="12" destOrd="0" parTransId="{5758F1C5-A1B1-4B56-A5F8-A05912F60812}" sibTransId="{51B8337C-530F-49C1-A43C-E6E31F86309E}"/>
    <dgm:cxn modelId="{1FC0598A-DC31-4D54-A4D3-B125A568899B}" type="presOf" srcId="{51B8337C-530F-49C1-A43C-E6E31F86309E}" destId="{33D2DD1C-066F-4EF4-8ABF-8659314B75BE}" srcOrd="1" destOrd="0" presId="urn:microsoft.com/office/officeart/2005/8/layout/process2"/>
    <dgm:cxn modelId="{A1F80C8F-061E-457D-A62E-DD1F15D022FD}" type="presOf" srcId="{98D22DF5-0981-4385-895B-E54F812B0AF7}" destId="{E154DD5C-B13B-4233-BF27-830F6D9F762A}" srcOrd="0" destOrd="0" presId="urn:microsoft.com/office/officeart/2005/8/layout/process2"/>
    <dgm:cxn modelId="{9398A98F-28E7-4406-9B67-24871D4E67E6}" type="presOf" srcId="{9FFD7C9A-D798-481E-8B02-60A2871DE003}" destId="{236DD78F-2583-47B9-9835-E4CCBBF2C7F1}" srcOrd="1" destOrd="0" presId="urn:microsoft.com/office/officeart/2005/8/layout/process2"/>
    <dgm:cxn modelId="{C6CDF6A1-64E7-40CD-A806-FF74A7550EA0}" type="presOf" srcId="{2297CAC9-3388-4CF2-95FE-673CEA0950AE}" destId="{1F59795B-C67A-4603-AF98-2154ECF2EFB7}" srcOrd="1" destOrd="0" presId="urn:microsoft.com/office/officeart/2005/8/layout/process2"/>
    <dgm:cxn modelId="{5BF4ECAA-F87D-4677-897F-B070DE212D82}" type="presOf" srcId="{DC069EE3-0439-4CA2-B938-AB487B7311CD}" destId="{4AB7AA38-5C50-4C73-9995-17C775F3C4F7}" srcOrd="0" destOrd="0" presId="urn:microsoft.com/office/officeart/2005/8/layout/process2"/>
    <dgm:cxn modelId="{535506AD-984A-4004-806C-7F798A0969F0}" srcId="{DC069EE3-0439-4CA2-B938-AB487B7311CD}" destId="{0BFE34D5-3EB5-41BF-BEB2-4968CBC2C043}" srcOrd="6" destOrd="0" parTransId="{D34C4752-EA9D-4B52-AE48-F5BA13DC5BEB}" sibTransId="{68977BA2-6B0A-47B3-93A3-94E6C14ADA62}"/>
    <dgm:cxn modelId="{FFBAE6AE-9E6F-45A4-9F26-EE4C9A50AF1A}" type="presOf" srcId="{82910A21-8DD0-4BCE-90F1-4A7A207A32C8}" destId="{5136E37D-64B4-4533-81AC-1D2CE785FD2D}" srcOrd="1" destOrd="0" presId="urn:microsoft.com/office/officeart/2005/8/layout/process2"/>
    <dgm:cxn modelId="{41D5DDB0-423A-44CB-B17F-CCFD71853D17}" srcId="{DC069EE3-0439-4CA2-B938-AB487B7311CD}" destId="{1680DCC7-350F-4602-B4D5-703DDF6096E3}" srcOrd="4" destOrd="0" parTransId="{1E5A4E4B-C954-466E-8730-4B6B501E9698}" sibTransId="{1716003F-1831-4C6F-9D04-9B13606F2470}"/>
    <dgm:cxn modelId="{6F4DDAB5-6B8C-471B-8F4D-15DA142A6ACE}" type="presOf" srcId="{70B2D478-9B1C-432C-B3DD-DEF6AC8563A8}" destId="{DC7DF621-67B7-4FBF-9583-05783EB8A267}" srcOrd="1" destOrd="0" presId="urn:microsoft.com/office/officeart/2005/8/layout/process2"/>
    <dgm:cxn modelId="{20BE51B8-CCEA-41E6-B8B1-E33EEAE3520F}" type="presOf" srcId="{68977BA2-6B0A-47B3-93A3-94E6C14ADA62}" destId="{178131D5-AF1D-45D1-9606-CCF676F6D528}" srcOrd="1" destOrd="0" presId="urn:microsoft.com/office/officeart/2005/8/layout/process2"/>
    <dgm:cxn modelId="{0ED547BC-32C6-46C7-813A-D206C204206E}" srcId="{DC069EE3-0439-4CA2-B938-AB487B7311CD}" destId="{F4FDE249-4623-4FF6-ABE7-79DC17DD9E97}" srcOrd="9" destOrd="0" parTransId="{B377AF33-4F67-4BBA-8A10-84FB99DE8AA5}" sibTransId="{305FDBE0-D94F-4ECD-B1BD-51A2700221D1}"/>
    <dgm:cxn modelId="{28CA97BC-4FB9-4073-B81E-E931F30C643D}" type="presOf" srcId="{1680DCC7-350F-4602-B4D5-703DDF6096E3}" destId="{579D1D17-F6F3-4A6F-A666-8EDB56EC4DAC}" srcOrd="0" destOrd="0" presId="urn:microsoft.com/office/officeart/2005/8/layout/process2"/>
    <dgm:cxn modelId="{F72E95BD-2F2B-48AC-A3D2-596BD6C8D9FA}" type="presOf" srcId="{68977BA2-6B0A-47B3-93A3-94E6C14ADA62}" destId="{363E2BE4-8192-419E-96FC-40398B579A0C}" srcOrd="0" destOrd="0" presId="urn:microsoft.com/office/officeart/2005/8/layout/process2"/>
    <dgm:cxn modelId="{BCADBABF-84B0-41B2-ABA7-480F98B0ED58}" type="presOf" srcId="{9FFD7C9A-D798-481E-8B02-60A2871DE003}" destId="{D9972EB8-BA79-46F9-A29A-8CD2BB5BB957}" srcOrd="0" destOrd="0" presId="urn:microsoft.com/office/officeart/2005/8/layout/process2"/>
    <dgm:cxn modelId="{5E6BD7C3-825B-43B1-98F6-5BF2E1D2D14B}" srcId="{DC069EE3-0439-4CA2-B938-AB487B7311CD}" destId="{414D236B-7679-4059-875C-5A59E30E8D5D}" srcOrd="3" destOrd="0" parTransId="{01BAF29C-3EAD-4B11-B992-3F545E2F4C82}" sibTransId="{6D2AED66-423C-406E-B92D-2E0E94E6FE0A}"/>
    <dgm:cxn modelId="{CD0532C6-922B-484B-A471-2702125690F6}" type="presOf" srcId="{17DE7351-323F-4AA6-82FF-BCF5EA15C284}" destId="{E10F8F79-9E8A-41F3-BCDC-F6571FD8956A}" srcOrd="0" destOrd="0" presId="urn:microsoft.com/office/officeart/2005/8/layout/process2"/>
    <dgm:cxn modelId="{7D4809C7-4BA2-453F-A507-4F6580DBB845}" type="presOf" srcId="{98F1A812-0F9D-4342-806F-D156B462FAC9}" destId="{4B9ECEE7-8E5A-4D64-BB13-5CFC5E90A2DD}" srcOrd="1" destOrd="0" presId="urn:microsoft.com/office/officeart/2005/8/layout/process2"/>
    <dgm:cxn modelId="{D67DCCC8-BFCF-4BE0-AFED-7D818D842BFB}" type="presOf" srcId="{F4FDE249-4623-4FF6-ABE7-79DC17DD9E97}" destId="{CB56AF56-5B7B-4AEA-8A48-8599C655927C}" srcOrd="0" destOrd="0" presId="urn:microsoft.com/office/officeart/2005/8/layout/process2"/>
    <dgm:cxn modelId="{42A66DC9-56AC-4C4D-AEF8-1C88F07718C6}" type="presOf" srcId="{14C4D8A5-928F-48B4-837F-848DDCFCA137}" destId="{22592845-16B6-494D-AEF8-98B742F2461D}" srcOrd="1" destOrd="0" presId="urn:microsoft.com/office/officeart/2005/8/layout/process2"/>
    <dgm:cxn modelId="{360FC3CE-53E7-4B83-8F53-6C02396F68B7}" type="presOf" srcId="{14C4D8A5-928F-48B4-837F-848DDCFCA137}" destId="{7DE1EC96-7DAF-4092-AC81-92B90D80BCD5}" srcOrd="0" destOrd="0" presId="urn:microsoft.com/office/officeart/2005/8/layout/process2"/>
    <dgm:cxn modelId="{6B379FD0-8C99-48F8-AD88-C6CA8596103C}" type="presOf" srcId="{2297CAC9-3388-4CF2-95FE-673CEA0950AE}" destId="{A83A3272-9DC4-475E-BF5E-E8ADC9C0ED03}" srcOrd="0" destOrd="0" presId="urn:microsoft.com/office/officeart/2005/8/layout/process2"/>
    <dgm:cxn modelId="{39CB29D1-2730-4310-9064-0991757A368A}" type="presOf" srcId="{305FDBE0-D94F-4ECD-B1BD-51A2700221D1}" destId="{E3FFF725-31C4-4468-A29D-485F58A5C755}" srcOrd="1" destOrd="0" presId="urn:microsoft.com/office/officeart/2005/8/layout/process2"/>
    <dgm:cxn modelId="{0E7D8ED1-E3FD-4C6E-988B-F7EA6D84F38A}" type="presOf" srcId="{575D5A95-6C68-4340-AFCA-A89CF88FC156}" destId="{3AC2F16B-ABF2-4202-A14C-D81D9D65353D}" srcOrd="1" destOrd="0" presId="urn:microsoft.com/office/officeart/2005/8/layout/process2"/>
    <dgm:cxn modelId="{68AE7AD8-3A5F-4A82-8D4B-2725FB0B4B6F}" type="presOf" srcId="{CAB0B1FB-D02B-4DAD-99B4-C6F2DC6F9259}" destId="{D62EDD13-0147-4582-AB33-5914679B8CCB}" srcOrd="1" destOrd="0" presId="urn:microsoft.com/office/officeart/2005/8/layout/process2"/>
    <dgm:cxn modelId="{E3C8C3E4-3258-4C48-8024-75CBDEA7FC41}" type="presOf" srcId="{40209DC0-8EAC-40C7-A570-C3ECF5480008}" destId="{763AEB54-96B6-4CD9-8CF0-EEC9F88CC3C7}" srcOrd="0" destOrd="0" presId="urn:microsoft.com/office/officeart/2005/8/layout/process2"/>
    <dgm:cxn modelId="{09488DE8-1A92-46BF-BFB0-16E8C19589AF}" type="presOf" srcId="{0BFE34D5-3EB5-41BF-BEB2-4968CBC2C043}" destId="{CF10F80D-BBA5-4077-97F0-746F79F820E8}" srcOrd="0" destOrd="0" presId="urn:microsoft.com/office/officeart/2005/8/layout/process2"/>
    <dgm:cxn modelId="{35395EEB-62C3-445A-817F-09982D4CF905}" type="presOf" srcId="{118ADB16-402F-47FD-9E2E-559B08ADCA6A}" destId="{189F85AF-E6C1-44B8-A136-D414E14CF2D3}" srcOrd="0" destOrd="0" presId="urn:microsoft.com/office/officeart/2005/8/layout/process2"/>
    <dgm:cxn modelId="{6156BBEB-5E1C-48DC-821B-CB3CF73B954B}" srcId="{DC069EE3-0439-4CA2-B938-AB487B7311CD}" destId="{329A0552-E1BB-4BA5-9AB1-EBD31558D155}" srcOrd="0" destOrd="0" parTransId="{45A4D455-A410-4A84-9ADB-4A3E6626F24E}" sibTransId="{CAB0B1FB-D02B-4DAD-99B4-C6F2DC6F9259}"/>
    <dgm:cxn modelId="{043A7EF1-9080-44BE-97F1-CEEDDFC5D4AF}" type="presOf" srcId="{4B7C667E-E795-4268-A5F1-06F7FF56AFB6}" destId="{353D973B-2D4D-4F32-80DD-BA02DAA7764F}" srcOrd="0" destOrd="0" presId="urn:microsoft.com/office/officeart/2005/8/layout/process2"/>
    <dgm:cxn modelId="{F24E638E-B3F9-47C0-9D60-A9163D0DF0F6}" type="presParOf" srcId="{4AB7AA38-5C50-4C73-9995-17C775F3C4F7}" destId="{D63A5C6F-BEAB-44EF-ADC3-2C19759D84A1}" srcOrd="0" destOrd="0" presId="urn:microsoft.com/office/officeart/2005/8/layout/process2"/>
    <dgm:cxn modelId="{115FB9E4-DB82-4884-9088-171F8FF4F865}" type="presParOf" srcId="{4AB7AA38-5C50-4C73-9995-17C775F3C4F7}" destId="{31790DC7-85AE-4992-9CD3-84CEEF00D2FC}" srcOrd="1" destOrd="0" presId="urn:microsoft.com/office/officeart/2005/8/layout/process2"/>
    <dgm:cxn modelId="{0054977D-839F-46F9-9FAB-6FDF07CB0520}" type="presParOf" srcId="{31790DC7-85AE-4992-9CD3-84CEEF00D2FC}" destId="{D62EDD13-0147-4582-AB33-5914679B8CCB}" srcOrd="0" destOrd="0" presId="urn:microsoft.com/office/officeart/2005/8/layout/process2"/>
    <dgm:cxn modelId="{5C870261-A286-4B81-888E-47E52AE88D4C}" type="presParOf" srcId="{4AB7AA38-5C50-4C73-9995-17C775F3C4F7}" destId="{41FF2BEB-71DD-42E4-BCD2-F8ED714C7137}" srcOrd="2" destOrd="0" presId="urn:microsoft.com/office/officeart/2005/8/layout/process2"/>
    <dgm:cxn modelId="{D7FC5739-5A59-41C6-8D75-9744C985EA69}" type="presParOf" srcId="{4AB7AA38-5C50-4C73-9995-17C775F3C4F7}" destId="{D1D50BD0-B900-47E8-A885-DDC6E98C9D1E}" srcOrd="3" destOrd="0" presId="urn:microsoft.com/office/officeart/2005/8/layout/process2"/>
    <dgm:cxn modelId="{6FCF2A86-1F9D-4092-9512-27D4D07384DA}" type="presParOf" srcId="{D1D50BD0-B900-47E8-A885-DDC6E98C9D1E}" destId="{DC7DF621-67B7-4FBF-9583-05783EB8A267}" srcOrd="0" destOrd="0" presId="urn:microsoft.com/office/officeart/2005/8/layout/process2"/>
    <dgm:cxn modelId="{C6C8D2FF-A370-499C-96EB-A34978761302}" type="presParOf" srcId="{4AB7AA38-5C50-4C73-9995-17C775F3C4F7}" destId="{C734FFC3-D416-42D4-ACBE-08C4F7DA4719}" srcOrd="4" destOrd="0" presId="urn:microsoft.com/office/officeart/2005/8/layout/process2"/>
    <dgm:cxn modelId="{8D6102F3-2D37-401B-9CF3-1D77E2989DCC}" type="presParOf" srcId="{4AB7AA38-5C50-4C73-9995-17C775F3C4F7}" destId="{A83A3272-9DC4-475E-BF5E-E8ADC9C0ED03}" srcOrd="5" destOrd="0" presId="urn:microsoft.com/office/officeart/2005/8/layout/process2"/>
    <dgm:cxn modelId="{AA453B09-B416-485F-B2C3-CFE487B1D368}" type="presParOf" srcId="{A83A3272-9DC4-475E-BF5E-E8ADC9C0ED03}" destId="{1F59795B-C67A-4603-AF98-2154ECF2EFB7}" srcOrd="0" destOrd="0" presId="urn:microsoft.com/office/officeart/2005/8/layout/process2"/>
    <dgm:cxn modelId="{30029DAE-C188-4ABB-A8D0-59743D5E8F55}" type="presParOf" srcId="{4AB7AA38-5C50-4C73-9995-17C775F3C4F7}" destId="{9DE1BDC5-C02C-4F8C-A08F-EB282E4E9C6C}" srcOrd="6" destOrd="0" presId="urn:microsoft.com/office/officeart/2005/8/layout/process2"/>
    <dgm:cxn modelId="{A34CA88E-809C-4A76-B3BF-03988EF6C4BA}" type="presParOf" srcId="{4AB7AA38-5C50-4C73-9995-17C775F3C4F7}" destId="{39F5337C-CF0C-4EE7-B499-877711ADB60A}" srcOrd="7" destOrd="0" presId="urn:microsoft.com/office/officeart/2005/8/layout/process2"/>
    <dgm:cxn modelId="{F8374E5B-11CB-4B57-B8A3-1C56820546BE}" type="presParOf" srcId="{39F5337C-CF0C-4EE7-B499-877711ADB60A}" destId="{1CD2D88B-500F-474C-8E0C-FBD1585C74CB}" srcOrd="0" destOrd="0" presId="urn:microsoft.com/office/officeart/2005/8/layout/process2"/>
    <dgm:cxn modelId="{7993D7DB-E3DE-4D7E-87E7-45D3AB39B2F1}" type="presParOf" srcId="{4AB7AA38-5C50-4C73-9995-17C775F3C4F7}" destId="{579D1D17-F6F3-4A6F-A666-8EDB56EC4DAC}" srcOrd="8" destOrd="0" presId="urn:microsoft.com/office/officeart/2005/8/layout/process2"/>
    <dgm:cxn modelId="{E2A8C695-8A81-4B8A-95B2-B5D7601E233E}" type="presParOf" srcId="{4AB7AA38-5C50-4C73-9995-17C775F3C4F7}" destId="{DD485AB2-4B9B-4269-9C04-5BF551D51BBE}" srcOrd="9" destOrd="0" presId="urn:microsoft.com/office/officeart/2005/8/layout/process2"/>
    <dgm:cxn modelId="{FF582281-46F7-4E85-AB75-F0DF1CE1869B}" type="presParOf" srcId="{DD485AB2-4B9B-4269-9C04-5BF551D51BBE}" destId="{EBFD05E4-2194-455A-AE2C-BBD011CC486C}" srcOrd="0" destOrd="0" presId="urn:microsoft.com/office/officeart/2005/8/layout/process2"/>
    <dgm:cxn modelId="{B43DBCFB-EC7B-4499-BE26-D5BF418B205B}" type="presParOf" srcId="{4AB7AA38-5C50-4C73-9995-17C775F3C4F7}" destId="{551B310A-F75A-499B-B8C6-F185BB198FD4}" srcOrd="10" destOrd="0" presId="urn:microsoft.com/office/officeart/2005/8/layout/process2"/>
    <dgm:cxn modelId="{4F8836C7-EE8A-4F9F-8245-9276BCF601F3}" type="presParOf" srcId="{4AB7AA38-5C50-4C73-9995-17C775F3C4F7}" destId="{9263633C-FB4C-4397-AD06-903E561B8CDF}" srcOrd="11" destOrd="0" presId="urn:microsoft.com/office/officeart/2005/8/layout/process2"/>
    <dgm:cxn modelId="{63016372-F0A0-4B6D-A674-C5EBA5242BA3}" type="presParOf" srcId="{9263633C-FB4C-4397-AD06-903E561B8CDF}" destId="{4B9ECEE7-8E5A-4D64-BB13-5CFC5E90A2DD}" srcOrd="0" destOrd="0" presId="urn:microsoft.com/office/officeart/2005/8/layout/process2"/>
    <dgm:cxn modelId="{E0D9B975-0731-44CA-82FB-13CB94DE3C7F}" type="presParOf" srcId="{4AB7AA38-5C50-4C73-9995-17C775F3C4F7}" destId="{CF10F80D-BBA5-4077-97F0-746F79F820E8}" srcOrd="12" destOrd="0" presId="urn:microsoft.com/office/officeart/2005/8/layout/process2"/>
    <dgm:cxn modelId="{CB4CA764-FDD5-453C-8D7E-6664936CA0EA}" type="presParOf" srcId="{4AB7AA38-5C50-4C73-9995-17C775F3C4F7}" destId="{363E2BE4-8192-419E-96FC-40398B579A0C}" srcOrd="13" destOrd="0" presId="urn:microsoft.com/office/officeart/2005/8/layout/process2"/>
    <dgm:cxn modelId="{9A3133EF-86E9-440F-B79C-91334322B29B}" type="presParOf" srcId="{363E2BE4-8192-419E-96FC-40398B579A0C}" destId="{178131D5-AF1D-45D1-9606-CCF676F6D528}" srcOrd="0" destOrd="0" presId="urn:microsoft.com/office/officeart/2005/8/layout/process2"/>
    <dgm:cxn modelId="{E973D967-7837-4CF7-AB65-47DD99FE9898}" type="presParOf" srcId="{4AB7AA38-5C50-4C73-9995-17C775F3C4F7}" destId="{FA993EE4-98CF-4E29-951F-F7252A5E32F5}" srcOrd="14" destOrd="0" presId="urn:microsoft.com/office/officeart/2005/8/layout/process2"/>
    <dgm:cxn modelId="{BB1411A6-CA4C-4CC0-8C78-CCE0C1A912E9}" type="presParOf" srcId="{4AB7AA38-5C50-4C73-9995-17C775F3C4F7}" destId="{189F85AF-E6C1-44B8-A136-D414E14CF2D3}" srcOrd="15" destOrd="0" presId="urn:microsoft.com/office/officeart/2005/8/layout/process2"/>
    <dgm:cxn modelId="{F53EE2FA-51B6-4956-AD56-E83397B14AA2}" type="presParOf" srcId="{189F85AF-E6C1-44B8-A136-D414E14CF2D3}" destId="{451AECA8-8501-485C-A038-1284420E0870}" srcOrd="0" destOrd="0" presId="urn:microsoft.com/office/officeart/2005/8/layout/process2"/>
    <dgm:cxn modelId="{827CE65F-168A-440A-A45A-48476D3020F6}" type="presParOf" srcId="{4AB7AA38-5C50-4C73-9995-17C775F3C4F7}" destId="{A0EB9EA3-E3CC-45CC-961E-9745DCF7872E}" srcOrd="16" destOrd="0" presId="urn:microsoft.com/office/officeart/2005/8/layout/process2"/>
    <dgm:cxn modelId="{DDC5B471-6DBF-4204-AEA9-46FF185E45BA}" type="presParOf" srcId="{4AB7AA38-5C50-4C73-9995-17C775F3C4F7}" destId="{E154DD5C-B13B-4233-BF27-830F6D9F762A}" srcOrd="17" destOrd="0" presId="urn:microsoft.com/office/officeart/2005/8/layout/process2"/>
    <dgm:cxn modelId="{C7606F93-984A-4F2D-BC8C-9AFBE04ED3D7}" type="presParOf" srcId="{E154DD5C-B13B-4233-BF27-830F6D9F762A}" destId="{8481CEF1-C172-448B-BA68-E5775E52E981}" srcOrd="0" destOrd="0" presId="urn:microsoft.com/office/officeart/2005/8/layout/process2"/>
    <dgm:cxn modelId="{9A5CADDD-8F4F-416F-B548-CF7BE635D0DF}" type="presParOf" srcId="{4AB7AA38-5C50-4C73-9995-17C775F3C4F7}" destId="{CB56AF56-5B7B-4AEA-8A48-8599C655927C}" srcOrd="18" destOrd="0" presId="urn:microsoft.com/office/officeart/2005/8/layout/process2"/>
    <dgm:cxn modelId="{59182A60-D0E5-4BDB-A50A-A05D82560D7B}" type="presParOf" srcId="{4AB7AA38-5C50-4C73-9995-17C775F3C4F7}" destId="{9984E60D-5F1C-460F-8317-FEB4635764DF}" srcOrd="19" destOrd="0" presId="urn:microsoft.com/office/officeart/2005/8/layout/process2"/>
    <dgm:cxn modelId="{85947436-94CC-4271-B23F-5F4C48E8F702}" type="presParOf" srcId="{9984E60D-5F1C-460F-8317-FEB4635764DF}" destId="{E3FFF725-31C4-4468-A29D-485F58A5C755}" srcOrd="0" destOrd="0" presId="urn:microsoft.com/office/officeart/2005/8/layout/process2"/>
    <dgm:cxn modelId="{4D9F1211-5164-41D6-AC04-315EDF188588}" type="presParOf" srcId="{4AB7AA38-5C50-4C73-9995-17C775F3C4F7}" destId="{353D973B-2D4D-4F32-80DD-BA02DAA7764F}" srcOrd="20" destOrd="0" presId="urn:microsoft.com/office/officeart/2005/8/layout/process2"/>
    <dgm:cxn modelId="{58DDE55B-53DB-444D-BD4D-87635417AA73}" type="presParOf" srcId="{4AB7AA38-5C50-4C73-9995-17C775F3C4F7}" destId="{570D702A-F044-4478-9D86-96BF5E036B79}" srcOrd="21" destOrd="0" presId="urn:microsoft.com/office/officeart/2005/8/layout/process2"/>
    <dgm:cxn modelId="{F808E03C-32E7-4100-AC3C-52AA25DE668D}" type="presParOf" srcId="{570D702A-F044-4478-9D86-96BF5E036B79}" destId="{3AC2F16B-ABF2-4202-A14C-D81D9D65353D}" srcOrd="0" destOrd="0" presId="urn:microsoft.com/office/officeart/2005/8/layout/process2"/>
    <dgm:cxn modelId="{1F9518C6-879E-4E87-9FBF-62BEBBA1197A}" type="presParOf" srcId="{4AB7AA38-5C50-4C73-9995-17C775F3C4F7}" destId="{B19F4919-9CAF-4946-83EA-2BBB7BCDE77E}" srcOrd="22" destOrd="0" presId="urn:microsoft.com/office/officeart/2005/8/layout/process2"/>
    <dgm:cxn modelId="{202F5450-F277-47DC-BE95-6134F5AB759D}" type="presParOf" srcId="{4AB7AA38-5C50-4C73-9995-17C775F3C4F7}" destId="{D9972EB8-BA79-46F9-A29A-8CD2BB5BB957}" srcOrd="23" destOrd="0" presId="urn:microsoft.com/office/officeart/2005/8/layout/process2"/>
    <dgm:cxn modelId="{27C20018-5F00-4F5B-B729-FA9E5543C89A}" type="presParOf" srcId="{D9972EB8-BA79-46F9-A29A-8CD2BB5BB957}" destId="{236DD78F-2583-47B9-9835-E4CCBBF2C7F1}" srcOrd="0" destOrd="0" presId="urn:microsoft.com/office/officeart/2005/8/layout/process2"/>
    <dgm:cxn modelId="{159E5CF1-CB66-4ECF-9045-C74DB7D3FECE}" type="presParOf" srcId="{4AB7AA38-5C50-4C73-9995-17C775F3C4F7}" destId="{960DF4A6-2228-4AF8-A974-9863CD136926}" srcOrd="24" destOrd="0" presId="urn:microsoft.com/office/officeart/2005/8/layout/process2"/>
    <dgm:cxn modelId="{427F94F6-F1A7-4771-8D78-B5ED57E3DB20}" type="presParOf" srcId="{4AB7AA38-5C50-4C73-9995-17C775F3C4F7}" destId="{B910D565-B437-43DB-A6C1-9149547D8518}" srcOrd="25" destOrd="0" presId="urn:microsoft.com/office/officeart/2005/8/layout/process2"/>
    <dgm:cxn modelId="{1CE4B5F3-76A2-4445-8C41-68A793F90C17}" type="presParOf" srcId="{B910D565-B437-43DB-A6C1-9149547D8518}" destId="{33D2DD1C-066F-4EF4-8ABF-8659314B75BE}" srcOrd="0" destOrd="0" presId="urn:microsoft.com/office/officeart/2005/8/layout/process2"/>
    <dgm:cxn modelId="{30D97684-CB2F-4EF7-88E1-E6A218E4C5C1}" type="presParOf" srcId="{4AB7AA38-5C50-4C73-9995-17C775F3C4F7}" destId="{E10F8F79-9E8A-41F3-BCDC-F6571FD8956A}" srcOrd="26" destOrd="0" presId="urn:microsoft.com/office/officeart/2005/8/layout/process2"/>
    <dgm:cxn modelId="{2652517A-0D6A-443C-A4A5-8DB79B536B6E}" type="presParOf" srcId="{4AB7AA38-5C50-4C73-9995-17C775F3C4F7}" destId="{2F7DE14A-D38E-431B-97F0-CF64CBAE6601}" srcOrd="27" destOrd="0" presId="urn:microsoft.com/office/officeart/2005/8/layout/process2"/>
    <dgm:cxn modelId="{B4266A40-5528-48B6-8CDC-83B817729AA5}" type="presParOf" srcId="{2F7DE14A-D38E-431B-97F0-CF64CBAE6601}" destId="{5136E37D-64B4-4533-81AC-1D2CE785FD2D}" srcOrd="0" destOrd="0" presId="urn:microsoft.com/office/officeart/2005/8/layout/process2"/>
    <dgm:cxn modelId="{F85E398C-0EE7-4EA5-9D8D-023AA20F333F}" type="presParOf" srcId="{4AB7AA38-5C50-4C73-9995-17C775F3C4F7}" destId="{BF63AE16-56DC-44A8-B512-8944819DA229}" srcOrd="28" destOrd="0" presId="urn:microsoft.com/office/officeart/2005/8/layout/process2"/>
    <dgm:cxn modelId="{47C392AB-BFC4-4410-B745-7E7982B6C9F5}" type="presParOf" srcId="{4AB7AA38-5C50-4C73-9995-17C775F3C4F7}" destId="{7DE1EC96-7DAF-4092-AC81-92B90D80BCD5}" srcOrd="29" destOrd="0" presId="urn:microsoft.com/office/officeart/2005/8/layout/process2"/>
    <dgm:cxn modelId="{BCA38114-F083-41A7-AF41-0DFAA9D210B9}" type="presParOf" srcId="{7DE1EC96-7DAF-4092-AC81-92B90D80BCD5}" destId="{22592845-16B6-494D-AEF8-98B742F2461D}" srcOrd="0" destOrd="0" presId="urn:microsoft.com/office/officeart/2005/8/layout/process2"/>
    <dgm:cxn modelId="{7F880395-F6DB-417A-B198-4F1416CE4DDC}" type="presParOf" srcId="{4AB7AA38-5C50-4C73-9995-17C775F3C4F7}" destId="{763AEB54-96B6-4CD9-8CF0-EEC9F88CC3C7}" srcOrd="30" destOrd="0" presId="urn:microsoft.com/office/officeart/2005/8/layout/process2"/>
  </dgm:cxnLst>
  <dgm:bg/>
  <dgm:whole/>
  <dgm:extLst>
    <a:ext uri="http://schemas.microsoft.com/office/drawing/2008/diagram">
      <dsp:dataModelExt xmlns:dsp="http://schemas.microsoft.com/office/drawing/2008/diagram" relId="rId35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F002CBD-C590-4434-86FC-DC9F6B4EC0CD}" type="doc">
      <dgm:prSet loTypeId="urn:microsoft.com/office/officeart/2005/8/layout/venn3" loCatId="relationship" qsTypeId="urn:microsoft.com/office/officeart/2005/8/quickstyle/simple1" qsCatId="simple" csTypeId="urn:microsoft.com/office/officeart/2005/8/colors/colorful1" csCatId="colorful" phldr="1"/>
      <dgm:spPr/>
      <dgm:t>
        <a:bodyPr/>
        <a:lstStyle/>
        <a:p>
          <a:endParaRPr lang="en-GB"/>
        </a:p>
      </dgm:t>
    </dgm:pt>
    <dgm:pt modelId="{A539DA39-C408-46B7-B17F-95E5240BEB5B}">
      <dgm:prSet phldrT="[Text]"/>
      <dgm:spPr/>
      <dgm:t>
        <a:bodyPr/>
        <a:lstStyle/>
        <a:p>
          <a:r>
            <a:rPr lang="ro-RO"/>
            <a:t>Dezvoltare teritorială</a:t>
          </a:r>
          <a:endParaRPr lang="en-GB"/>
        </a:p>
      </dgm:t>
    </dgm:pt>
    <dgm:pt modelId="{5D66DA8D-D3BF-4C1D-A7D6-9A7CBA0F4601}" type="parTrans" cxnId="{90575A33-9789-4C46-806D-5980D1BA0FEC}">
      <dgm:prSet/>
      <dgm:spPr/>
      <dgm:t>
        <a:bodyPr/>
        <a:lstStyle/>
        <a:p>
          <a:endParaRPr lang="en-GB"/>
        </a:p>
      </dgm:t>
    </dgm:pt>
    <dgm:pt modelId="{C20F5F48-D938-4D0E-9D54-02B74599EEBF}" type="sibTrans" cxnId="{90575A33-9789-4C46-806D-5980D1BA0FEC}">
      <dgm:prSet/>
      <dgm:spPr/>
      <dgm:t>
        <a:bodyPr/>
        <a:lstStyle/>
        <a:p>
          <a:endParaRPr lang="en-GB"/>
        </a:p>
      </dgm:t>
    </dgm:pt>
    <dgm:pt modelId="{EE19E49E-0352-48C2-9917-386357D16E42}">
      <dgm:prSet phldrT="[Text]"/>
      <dgm:spPr/>
      <dgm:t>
        <a:bodyPr/>
        <a:lstStyle/>
        <a:p>
          <a:r>
            <a:rPr lang="ro-RO"/>
            <a:t>Dezvoltare socială</a:t>
          </a:r>
          <a:endParaRPr lang="en-GB"/>
        </a:p>
      </dgm:t>
    </dgm:pt>
    <dgm:pt modelId="{ECA1CBBD-29C5-4A91-B3C1-A536BCE9173D}" type="parTrans" cxnId="{176C8101-D919-4EE1-B554-E39CCDF9BE73}">
      <dgm:prSet/>
      <dgm:spPr/>
      <dgm:t>
        <a:bodyPr/>
        <a:lstStyle/>
        <a:p>
          <a:endParaRPr lang="en-GB"/>
        </a:p>
      </dgm:t>
    </dgm:pt>
    <dgm:pt modelId="{05C153C9-CDC0-48A2-A4F7-5EA292749046}" type="sibTrans" cxnId="{176C8101-D919-4EE1-B554-E39CCDF9BE73}">
      <dgm:prSet/>
      <dgm:spPr/>
      <dgm:t>
        <a:bodyPr/>
        <a:lstStyle/>
        <a:p>
          <a:endParaRPr lang="en-GB"/>
        </a:p>
      </dgm:t>
    </dgm:pt>
    <dgm:pt modelId="{1879B3D1-0801-437C-8D05-2730C5760FF2}">
      <dgm:prSet phldrT="[Text]"/>
      <dgm:spPr/>
      <dgm:t>
        <a:bodyPr/>
        <a:lstStyle/>
        <a:p>
          <a:r>
            <a:rPr lang="ro-RO"/>
            <a:t>Economie</a:t>
          </a:r>
          <a:endParaRPr lang="en-GB"/>
        </a:p>
      </dgm:t>
    </dgm:pt>
    <dgm:pt modelId="{499385A8-CB2D-47AD-9837-F75DC9084228}" type="parTrans" cxnId="{E4351D99-E92C-4CF2-8949-49C7F8B4CB4F}">
      <dgm:prSet/>
      <dgm:spPr/>
      <dgm:t>
        <a:bodyPr/>
        <a:lstStyle/>
        <a:p>
          <a:endParaRPr lang="en-GB"/>
        </a:p>
      </dgm:t>
    </dgm:pt>
    <dgm:pt modelId="{74210E3D-F599-41C6-8772-DA924DCA07B9}" type="sibTrans" cxnId="{E4351D99-E92C-4CF2-8949-49C7F8B4CB4F}">
      <dgm:prSet/>
      <dgm:spPr/>
      <dgm:t>
        <a:bodyPr/>
        <a:lstStyle/>
        <a:p>
          <a:endParaRPr lang="en-GB"/>
        </a:p>
      </dgm:t>
    </dgm:pt>
    <dgm:pt modelId="{39D78F43-5BE5-479A-9569-91C2BBC7BD13}">
      <dgm:prSet phldrT="[Text]"/>
      <dgm:spPr/>
      <dgm:t>
        <a:bodyPr/>
        <a:lstStyle/>
        <a:p>
          <a:r>
            <a:rPr lang="ro-RO"/>
            <a:t>Servicii publice</a:t>
          </a:r>
          <a:endParaRPr lang="en-GB"/>
        </a:p>
      </dgm:t>
    </dgm:pt>
    <dgm:pt modelId="{AE7A4B13-28D0-4F66-9B4A-6DF8E284563D}" type="parTrans" cxnId="{83A5E4F0-E29E-4432-A486-ECB5E3EE8AF6}">
      <dgm:prSet/>
      <dgm:spPr/>
      <dgm:t>
        <a:bodyPr/>
        <a:lstStyle/>
        <a:p>
          <a:endParaRPr lang="en-GB"/>
        </a:p>
      </dgm:t>
    </dgm:pt>
    <dgm:pt modelId="{31984BAB-D8D2-4008-ACAE-989C4787DFA2}" type="sibTrans" cxnId="{83A5E4F0-E29E-4432-A486-ECB5E3EE8AF6}">
      <dgm:prSet/>
      <dgm:spPr/>
      <dgm:t>
        <a:bodyPr/>
        <a:lstStyle/>
        <a:p>
          <a:endParaRPr lang="en-GB"/>
        </a:p>
      </dgm:t>
    </dgm:pt>
    <dgm:pt modelId="{EAB52941-8220-4803-8CB5-E0D2BFA643F1}">
      <dgm:prSet phldrT="[Text]"/>
      <dgm:spPr/>
      <dgm:t>
        <a:bodyPr/>
        <a:lstStyle/>
        <a:p>
          <a:r>
            <a:rPr lang="ro-RO"/>
            <a:t>Capacitate adm.</a:t>
          </a:r>
          <a:endParaRPr lang="en-GB"/>
        </a:p>
      </dgm:t>
    </dgm:pt>
    <dgm:pt modelId="{499C86C8-C5BE-46B6-9955-E8718495FCEF}" type="parTrans" cxnId="{2FD7C20A-F3F6-4B33-AF84-20014F399259}">
      <dgm:prSet/>
      <dgm:spPr/>
      <dgm:t>
        <a:bodyPr/>
        <a:lstStyle/>
        <a:p>
          <a:endParaRPr lang="en-GB"/>
        </a:p>
      </dgm:t>
    </dgm:pt>
    <dgm:pt modelId="{D80A1D27-FBF0-4827-B366-473083472014}" type="sibTrans" cxnId="{2FD7C20A-F3F6-4B33-AF84-20014F399259}">
      <dgm:prSet/>
      <dgm:spPr/>
      <dgm:t>
        <a:bodyPr/>
        <a:lstStyle/>
        <a:p>
          <a:endParaRPr lang="en-GB"/>
        </a:p>
      </dgm:t>
    </dgm:pt>
    <dgm:pt modelId="{D9E99648-EA04-4FAB-9709-A0CE93421F27}">
      <dgm:prSet phldrT="[Text]"/>
      <dgm:spPr/>
      <dgm:t>
        <a:bodyPr/>
        <a:lstStyle/>
        <a:p>
          <a:r>
            <a:rPr lang="ro-RO"/>
            <a:t>Utilități publice</a:t>
          </a:r>
          <a:endParaRPr lang="en-GB"/>
        </a:p>
      </dgm:t>
    </dgm:pt>
    <dgm:pt modelId="{E8295014-7CA4-4E00-8037-60BD2A600F0C}" type="parTrans" cxnId="{0A1DDF83-0798-4EE8-A061-0B654AC45DB3}">
      <dgm:prSet/>
      <dgm:spPr/>
      <dgm:t>
        <a:bodyPr/>
        <a:lstStyle/>
        <a:p>
          <a:endParaRPr lang="en-GB"/>
        </a:p>
      </dgm:t>
    </dgm:pt>
    <dgm:pt modelId="{740D9AD0-57CD-4EC1-B31A-2B7BB63E1DF0}" type="sibTrans" cxnId="{0A1DDF83-0798-4EE8-A061-0B654AC45DB3}">
      <dgm:prSet/>
      <dgm:spPr/>
      <dgm:t>
        <a:bodyPr/>
        <a:lstStyle/>
        <a:p>
          <a:endParaRPr lang="en-GB"/>
        </a:p>
      </dgm:t>
    </dgm:pt>
    <dgm:pt modelId="{43F27DE8-EEE4-480F-81EE-8441DCF02363}">
      <dgm:prSet phldrT="[Text]"/>
      <dgm:spPr/>
      <dgm:t>
        <a:bodyPr/>
        <a:lstStyle/>
        <a:p>
          <a:r>
            <a:rPr lang="ro-RO"/>
            <a:t>Transport și mobilitate</a:t>
          </a:r>
          <a:endParaRPr lang="en-GB"/>
        </a:p>
      </dgm:t>
    </dgm:pt>
    <dgm:pt modelId="{271427E1-7F58-4887-A001-5EB4FF119C1B}" type="parTrans" cxnId="{BC5D121C-7DB4-429E-A220-FCF5585F0DA2}">
      <dgm:prSet/>
      <dgm:spPr/>
      <dgm:t>
        <a:bodyPr/>
        <a:lstStyle/>
        <a:p>
          <a:endParaRPr lang="en-GB"/>
        </a:p>
      </dgm:t>
    </dgm:pt>
    <dgm:pt modelId="{EA35960C-AFCD-488D-9932-A12F8CF643A7}" type="sibTrans" cxnId="{BC5D121C-7DB4-429E-A220-FCF5585F0DA2}">
      <dgm:prSet/>
      <dgm:spPr/>
      <dgm:t>
        <a:bodyPr/>
        <a:lstStyle/>
        <a:p>
          <a:endParaRPr lang="en-GB"/>
        </a:p>
      </dgm:t>
    </dgm:pt>
    <dgm:pt modelId="{87389075-D0EC-4289-93F5-5E45033B1425}">
      <dgm:prSet phldrT="[Text]"/>
      <dgm:spPr/>
      <dgm:t>
        <a:bodyPr/>
        <a:lstStyle/>
        <a:p>
          <a:r>
            <a:rPr lang="ro-RO"/>
            <a:t>Mediu și protecția mediului</a:t>
          </a:r>
          <a:endParaRPr lang="en-GB"/>
        </a:p>
      </dgm:t>
    </dgm:pt>
    <dgm:pt modelId="{123E128A-E285-4467-A60D-D0C3E2DB22B9}" type="parTrans" cxnId="{1F825E6F-D6EC-4BED-92A9-E66382638F2E}">
      <dgm:prSet/>
      <dgm:spPr/>
      <dgm:t>
        <a:bodyPr/>
        <a:lstStyle/>
        <a:p>
          <a:endParaRPr lang="en-GB"/>
        </a:p>
      </dgm:t>
    </dgm:pt>
    <dgm:pt modelId="{0E4B012A-EA7D-4247-9DF0-4915F4C13650}" type="sibTrans" cxnId="{1F825E6F-D6EC-4BED-92A9-E66382638F2E}">
      <dgm:prSet/>
      <dgm:spPr/>
      <dgm:t>
        <a:bodyPr/>
        <a:lstStyle/>
        <a:p>
          <a:endParaRPr lang="en-GB"/>
        </a:p>
      </dgm:t>
    </dgm:pt>
    <dgm:pt modelId="{FBA9ADF3-0571-4C96-8745-59C6791992CA}" type="pres">
      <dgm:prSet presAssocID="{1F002CBD-C590-4434-86FC-DC9F6B4EC0CD}" presName="Name0" presStyleCnt="0">
        <dgm:presLayoutVars>
          <dgm:dir/>
          <dgm:resizeHandles val="exact"/>
        </dgm:presLayoutVars>
      </dgm:prSet>
      <dgm:spPr/>
    </dgm:pt>
    <dgm:pt modelId="{2173D12C-4CCA-4541-86DB-60E1C00A05B5}" type="pres">
      <dgm:prSet presAssocID="{A539DA39-C408-46B7-B17F-95E5240BEB5B}" presName="Name5" presStyleLbl="vennNode1" presStyleIdx="0" presStyleCnt="8">
        <dgm:presLayoutVars>
          <dgm:bulletEnabled val="1"/>
        </dgm:presLayoutVars>
      </dgm:prSet>
      <dgm:spPr/>
    </dgm:pt>
    <dgm:pt modelId="{E6C9B808-FFAC-4600-A9C9-0D518A76C53A}" type="pres">
      <dgm:prSet presAssocID="{C20F5F48-D938-4D0E-9D54-02B74599EEBF}" presName="space" presStyleCnt="0"/>
      <dgm:spPr/>
    </dgm:pt>
    <dgm:pt modelId="{464922BE-3DE9-4A40-AB3C-DAF800473CC2}" type="pres">
      <dgm:prSet presAssocID="{EE19E49E-0352-48C2-9917-386357D16E42}" presName="Name5" presStyleLbl="vennNode1" presStyleIdx="1" presStyleCnt="8">
        <dgm:presLayoutVars>
          <dgm:bulletEnabled val="1"/>
        </dgm:presLayoutVars>
      </dgm:prSet>
      <dgm:spPr/>
    </dgm:pt>
    <dgm:pt modelId="{9F67F733-8826-44BD-BAD2-24F553944EC1}" type="pres">
      <dgm:prSet presAssocID="{05C153C9-CDC0-48A2-A4F7-5EA292749046}" presName="space" presStyleCnt="0"/>
      <dgm:spPr/>
    </dgm:pt>
    <dgm:pt modelId="{201CC663-AD9B-42C7-8DF2-D78780377486}" type="pres">
      <dgm:prSet presAssocID="{1879B3D1-0801-437C-8D05-2730C5760FF2}" presName="Name5" presStyleLbl="vennNode1" presStyleIdx="2" presStyleCnt="8">
        <dgm:presLayoutVars>
          <dgm:bulletEnabled val="1"/>
        </dgm:presLayoutVars>
      </dgm:prSet>
      <dgm:spPr/>
    </dgm:pt>
    <dgm:pt modelId="{D4CC72A0-0EF8-4728-8C77-0E574FC9093F}" type="pres">
      <dgm:prSet presAssocID="{74210E3D-F599-41C6-8772-DA924DCA07B9}" presName="space" presStyleCnt="0"/>
      <dgm:spPr/>
    </dgm:pt>
    <dgm:pt modelId="{FB6CDD32-FEAD-40F2-A9FE-C3C1BDCBA7EC}" type="pres">
      <dgm:prSet presAssocID="{39D78F43-5BE5-479A-9569-91C2BBC7BD13}" presName="Name5" presStyleLbl="vennNode1" presStyleIdx="3" presStyleCnt="8">
        <dgm:presLayoutVars>
          <dgm:bulletEnabled val="1"/>
        </dgm:presLayoutVars>
      </dgm:prSet>
      <dgm:spPr/>
    </dgm:pt>
    <dgm:pt modelId="{C9C0EDB6-18E3-45DD-AD75-E24B62F1ACE7}" type="pres">
      <dgm:prSet presAssocID="{31984BAB-D8D2-4008-ACAE-989C4787DFA2}" presName="space" presStyleCnt="0"/>
      <dgm:spPr/>
    </dgm:pt>
    <dgm:pt modelId="{55B9BAD7-C0FE-4599-B919-8E924F461376}" type="pres">
      <dgm:prSet presAssocID="{D9E99648-EA04-4FAB-9709-A0CE93421F27}" presName="Name5" presStyleLbl="vennNode1" presStyleIdx="4" presStyleCnt="8">
        <dgm:presLayoutVars>
          <dgm:bulletEnabled val="1"/>
        </dgm:presLayoutVars>
      </dgm:prSet>
      <dgm:spPr/>
    </dgm:pt>
    <dgm:pt modelId="{8180D519-A510-4160-AEAD-49A1550A54C4}" type="pres">
      <dgm:prSet presAssocID="{740D9AD0-57CD-4EC1-B31A-2B7BB63E1DF0}" presName="space" presStyleCnt="0"/>
      <dgm:spPr/>
    </dgm:pt>
    <dgm:pt modelId="{9C755CD9-E29A-408B-9F9E-468BAFC57495}" type="pres">
      <dgm:prSet presAssocID="{43F27DE8-EEE4-480F-81EE-8441DCF02363}" presName="Name5" presStyleLbl="vennNode1" presStyleIdx="5" presStyleCnt="8">
        <dgm:presLayoutVars>
          <dgm:bulletEnabled val="1"/>
        </dgm:presLayoutVars>
      </dgm:prSet>
      <dgm:spPr/>
    </dgm:pt>
    <dgm:pt modelId="{1237AA3B-4B00-47A5-95BB-3E87206DC897}" type="pres">
      <dgm:prSet presAssocID="{EA35960C-AFCD-488D-9932-A12F8CF643A7}" presName="space" presStyleCnt="0"/>
      <dgm:spPr/>
    </dgm:pt>
    <dgm:pt modelId="{45CFF474-332A-4E88-AAF1-77ADF825C730}" type="pres">
      <dgm:prSet presAssocID="{87389075-D0EC-4289-93F5-5E45033B1425}" presName="Name5" presStyleLbl="vennNode1" presStyleIdx="6" presStyleCnt="8">
        <dgm:presLayoutVars>
          <dgm:bulletEnabled val="1"/>
        </dgm:presLayoutVars>
      </dgm:prSet>
      <dgm:spPr/>
    </dgm:pt>
    <dgm:pt modelId="{CEFA1479-895C-43ED-866A-DBF6747E84AC}" type="pres">
      <dgm:prSet presAssocID="{0E4B012A-EA7D-4247-9DF0-4915F4C13650}" presName="space" presStyleCnt="0"/>
      <dgm:spPr/>
    </dgm:pt>
    <dgm:pt modelId="{504561E2-CEBD-42E6-9471-46EF20AD2E85}" type="pres">
      <dgm:prSet presAssocID="{EAB52941-8220-4803-8CB5-E0D2BFA643F1}" presName="Name5" presStyleLbl="vennNode1" presStyleIdx="7" presStyleCnt="8">
        <dgm:presLayoutVars>
          <dgm:bulletEnabled val="1"/>
        </dgm:presLayoutVars>
      </dgm:prSet>
      <dgm:spPr/>
    </dgm:pt>
  </dgm:ptLst>
  <dgm:cxnLst>
    <dgm:cxn modelId="{176C8101-D919-4EE1-B554-E39CCDF9BE73}" srcId="{1F002CBD-C590-4434-86FC-DC9F6B4EC0CD}" destId="{EE19E49E-0352-48C2-9917-386357D16E42}" srcOrd="1" destOrd="0" parTransId="{ECA1CBBD-29C5-4A91-B3C1-A536BCE9173D}" sibTransId="{05C153C9-CDC0-48A2-A4F7-5EA292749046}"/>
    <dgm:cxn modelId="{B7E38B01-36BF-4F8A-843E-4FB4B4F41B25}" type="presOf" srcId="{1F002CBD-C590-4434-86FC-DC9F6B4EC0CD}" destId="{FBA9ADF3-0571-4C96-8745-59C6791992CA}" srcOrd="0" destOrd="0" presId="urn:microsoft.com/office/officeart/2005/8/layout/venn3"/>
    <dgm:cxn modelId="{2FD7C20A-F3F6-4B33-AF84-20014F399259}" srcId="{1F002CBD-C590-4434-86FC-DC9F6B4EC0CD}" destId="{EAB52941-8220-4803-8CB5-E0D2BFA643F1}" srcOrd="7" destOrd="0" parTransId="{499C86C8-C5BE-46B6-9955-E8718495FCEF}" sibTransId="{D80A1D27-FBF0-4827-B366-473083472014}"/>
    <dgm:cxn modelId="{83D89F16-7203-44D8-9098-A3ED20332B0A}" type="presOf" srcId="{39D78F43-5BE5-479A-9569-91C2BBC7BD13}" destId="{FB6CDD32-FEAD-40F2-A9FE-C3C1BDCBA7EC}" srcOrd="0" destOrd="0" presId="urn:microsoft.com/office/officeart/2005/8/layout/venn3"/>
    <dgm:cxn modelId="{BC5D121C-7DB4-429E-A220-FCF5585F0DA2}" srcId="{1F002CBD-C590-4434-86FC-DC9F6B4EC0CD}" destId="{43F27DE8-EEE4-480F-81EE-8441DCF02363}" srcOrd="5" destOrd="0" parTransId="{271427E1-7F58-4887-A001-5EB4FF119C1B}" sibTransId="{EA35960C-AFCD-488D-9932-A12F8CF643A7}"/>
    <dgm:cxn modelId="{39F5B91F-AA01-454F-B9A9-E6D13A47A7EB}" type="presOf" srcId="{1879B3D1-0801-437C-8D05-2730C5760FF2}" destId="{201CC663-AD9B-42C7-8DF2-D78780377486}" srcOrd="0" destOrd="0" presId="urn:microsoft.com/office/officeart/2005/8/layout/venn3"/>
    <dgm:cxn modelId="{FD456C28-1546-4B36-883D-46CEF22CAE2B}" type="presOf" srcId="{43F27DE8-EEE4-480F-81EE-8441DCF02363}" destId="{9C755CD9-E29A-408B-9F9E-468BAFC57495}" srcOrd="0" destOrd="0" presId="urn:microsoft.com/office/officeart/2005/8/layout/venn3"/>
    <dgm:cxn modelId="{5B2A152F-0BC2-479C-ABF6-C50F6F6C0239}" type="presOf" srcId="{87389075-D0EC-4289-93F5-5E45033B1425}" destId="{45CFF474-332A-4E88-AAF1-77ADF825C730}" srcOrd="0" destOrd="0" presId="urn:microsoft.com/office/officeart/2005/8/layout/venn3"/>
    <dgm:cxn modelId="{90575A33-9789-4C46-806D-5980D1BA0FEC}" srcId="{1F002CBD-C590-4434-86FC-DC9F6B4EC0CD}" destId="{A539DA39-C408-46B7-B17F-95E5240BEB5B}" srcOrd="0" destOrd="0" parTransId="{5D66DA8D-D3BF-4C1D-A7D6-9A7CBA0F4601}" sibTransId="{C20F5F48-D938-4D0E-9D54-02B74599EEBF}"/>
    <dgm:cxn modelId="{1F825E6F-D6EC-4BED-92A9-E66382638F2E}" srcId="{1F002CBD-C590-4434-86FC-DC9F6B4EC0CD}" destId="{87389075-D0EC-4289-93F5-5E45033B1425}" srcOrd="6" destOrd="0" parTransId="{123E128A-E285-4467-A60D-D0C3E2DB22B9}" sibTransId="{0E4B012A-EA7D-4247-9DF0-4915F4C13650}"/>
    <dgm:cxn modelId="{DDAD0072-9BF4-4E3C-8F0B-077EC40252B3}" type="presOf" srcId="{A539DA39-C408-46B7-B17F-95E5240BEB5B}" destId="{2173D12C-4CCA-4541-86DB-60E1C00A05B5}" srcOrd="0" destOrd="0" presId="urn:microsoft.com/office/officeart/2005/8/layout/venn3"/>
    <dgm:cxn modelId="{ABD83F75-3E96-420A-944E-21097E1ACB71}" type="presOf" srcId="{EAB52941-8220-4803-8CB5-E0D2BFA643F1}" destId="{504561E2-CEBD-42E6-9471-46EF20AD2E85}" srcOrd="0" destOrd="0" presId="urn:microsoft.com/office/officeart/2005/8/layout/venn3"/>
    <dgm:cxn modelId="{0A1DDF83-0798-4EE8-A061-0B654AC45DB3}" srcId="{1F002CBD-C590-4434-86FC-DC9F6B4EC0CD}" destId="{D9E99648-EA04-4FAB-9709-A0CE93421F27}" srcOrd="4" destOrd="0" parTransId="{E8295014-7CA4-4E00-8037-60BD2A600F0C}" sibTransId="{740D9AD0-57CD-4EC1-B31A-2B7BB63E1DF0}"/>
    <dgm:cxn modelId="{E4351D99-E92C-4CF2-8949-49C7F8B4CB4F}" srcId="{1F002CBD-C590-4434-86FC-DC9F6B4EC0CD}" destId="{1879B3D1-0801-437C-8D05-2730C5760FF2}" srcOrd="2" destOrd="0" parTransId="{499385A8-CB2D-47AD-9837-F75DC9084228}" sibTransId="{74210E3D-F599-41C6-8772-DA924DCA07B9}"/>
    <dgm:cxn modelId="{0C7829D5-7C7D-4316-B418-E0C0BD5DF820}" type="presOf" srcId="{EE19E49E-0352-48C2-9917-386357D16E42}" destId="{464922BE-3DE9-4A40-AB3C-DAF800473CC2}" srcOrd="0" destOrd="0" presId="urn:microsoft.com/office/officeart/2005/8/layout/venn3"/>
    <dgm:cxn modelId="{0FBEF6DA-9CD7-4F67-B610-F3C8E37C1475}" type="presOf" srcId="{D9E99648-EA04-4FAB-9709-A0CE93421F27}" destId="{55B9BAD7-C0FE-4599-B919-8E924F461376}" srcOrd="0" destOrd="0" presId="urn:microsoft.com/office/officeart/2005/8/layout/venn3"/>
    <dgm:cxn modelId="{83A5E4F0-E29E-4432-A486-ECB5E3EE8AF6}" srcId="{1F002CBD-C590-4434-86FC-DC9F6B4EC0CD}" destId="{39D78F43-5BE5-479A-9569-91C2BBC7BD13}" srcOrd="3" destOrd="0" parTransId="{AE7A4B13-28D0-4F66-9B4A-6DF8E284563D}" sibTransId="{31984BAB-D8D2-4008-ACAE-989C4787DFA2}"/>
    <dgm:cxn modelId="{91E1B72E-FC57-498C-98FA-32AD938AACD7}" type="presParOf" srcId="{FBA9ADF3-0571-4C96-8745-59C6791992CA}" destId="{2173D12C-4CCA-4541-86DB-60E1C00A05B5}" srcOrd="0" destOrd="0" presId="urn:microsoft.com/office/officeart/2005/8/layout/venn3"/>
    <dgm:cxn modelId="{EF087F03-FDDC-48C3-B244-4AF3E59EF3DF}" type="presParOf" srcId="{FBA9ADF3-0571-4C96-8745-59C6791992CA}" destId="{E6C9B808-FFAC-4600-A9C9-0D518A76C53A}" srcOrd="1" destOrd="0" presId="urn:microsoft.com/office/officeart/2005/8/layout/venn3"/>
    <dgm:cxn modelId="{8EF57CF8-81D2-4766-8BFB-681E641E648E}" type="presParOf" srcId="{FBA9ADF3-0571-4C96-8745-59C6791992CA}" destId="{464922BE-3DE9-4A40-AB3C-DAF800473CC2}" srcOrd="2" destOrd="0" presId="urn:microsoft.com/office/officeart/2005/8/layout/venn3"/>
    <dgm:cxn modelId="{8A880B8E-8849-4557-B520-0D84FE58897C}" type="presParOf" srcId="{FBA9ADF3-0571-4C96-8745-59C6791992CA}" destId="{9F67F733-8826-44BD-BAD2-24F553944EC1}" srcOrd="3" destOrd="0" presId="urn:microsoft.com/office/officeart/2005/8/layout/venn3"/>
    <dgm:cxn modelId="{1CEEAE89-5AEB-440F-9133-17B0821F039D}" type="presParOf" srcId="{FBA9ADF3-0571-4C96-8745-59C6791992CA}" destId="{201CC663-AD9B-42C7-8DF2-D78780377486}" srcOrd="4" destOrd="0" presId="urn:microsoft.com/office/officeart/2005/8/layout/venn3"/>
    <dgm:cxn modelId="{16A1BACB-CAD5-4127-A249-B3699757707D}" type="presParOf" srcId="{FBA9ADF3-0571-4C96-8745-59C6791992CA}" destId="{D4CC72A0-0EF8-4728-8C77-0E574FC9093F}" srcOrd="5" destOrd="0" presId="urn:microsoft.com/office/officeart/2005/8/layout/venn3"/>
    <dgm:cxn modelId="{AEE8874B-1365-4693-ACAB-BE3360DC8BB4}" type="presParOf" srcId="{FBA9ADF3-0571-4C96-8745-59C6791992CA}" destId="{FB6CDD32-FEAD-40F2-A9FE-C3C1BDCBA7EC}" srcOrd="6" destOrd="0" presId="urn:microsoft.com/office/officeart/2005/8/layout/venn3"/>
    <dgm:cxn modelId="{29FF4BBF-AB18-46E2-ABBF-81CA1BD277CB}" type="presParOf" srcId="{FBA9ADF3-0571-4C96-8745-59C6791992CA}" destId="{C9C0EDB6-18E3-45DD-AD75-E24B62F1ACE7}" srcOrd="7" destOrd="0" presId="urn:microsoft.com/office/officeart/2005/8/layout/venn3"/>
    <dgm:cxn modelId="{516340FA-4215-4A85-AFA2-4AE702E8F2D2}" type="presParOf" srcId="{FBA9ADF3-0571-4C96-8745-59C6791992CA}" destId="{55B9BAD7-C0FE-4599-B919-8E924F461376}" srcOrd="8" destOrd="0" presId="urn:microsoft.com/office/officeart/2005/8/layout/venn3"/>
    <dgm:cxn modelId="{57A02713-7751-4168-AB67-5993BB0FE7FF}" type="presParOf" srcId="{FBA9ADF3-0571-4C96-8745-59C6791992CA}" destId="{8180D519-A510-4160-AEAD-49A1550A54C4}" srcOrd="9" destOrd="0" presId="urn:microsoft.com/office/officeart/2005/8/layout/venn3"/>
    <dgm:cxn modelId="{7D24140A-1659-42D5-B49E-12D1A852F78E}" type="presParOf" srcId="{FBA9ADF3-0571-4C96-8745-59C6791992CA}" destId="{9C755CD9-E29A-408B-9F9E-468BAFC57495}" srcOrd="10" destOrd="0" presId="urn:microsoft.com/office/officeart/2005/8/layout/venn3"/>
    <dgm:cxn modelId="{CB264131-D357-4E2E-9D8B-F5AE01ECEC59}" type="presParOf" srcId="{FBA9ADF3-0571-4C96-8745-59C6791992CA}" destId="{1237AA3B-4B00-47A5-95BB-3E87206DC897}" srcOrd="11" destOrd="0" presId="urn:microsoft.com/office/officeart/2005/8/layout/venn3"/>
    <dgm:cxn modelId="{A70F0B76-863B-4BFB-AB87-A7D0831C5930}" type="presParOf" srcId="{FBA9ADF3-0571-4C96-8745-59C6791992CA}" destId="{45CFF474-332A-4E88-AAF1-77ADF825C730}" srcOrd="12" destOrd="0" presId="urn:microsoft.com/office/officeart/2005/8/layout/venn3"/>
    <dgm:cxn modelId="{5E734876-F3A0-4B0B-9B4A-4BB6875C8CF0}" type="presParOf" srcId="{FBA9ADF3-0571-4C96-8745-59C6791992CA}" destId="{CEFA1479-895C-43ED-866A-DBF6747E84AC}" srcOrd="13" destOrd="0" presId="urn:microsoft.com/office/officeart/2005/8/layout/venn3"/>
    <dgm:cxn modelId="{BE226C9B-28E5-4E03-B67C-9F231252D37C}" type="presParOf" srcId="{FBA9ADF3-0571-4C96-8745-59C6791992CA}" destId="{504561E2-CEBD-42E6-9471-46EF20AD2E85}" srcOrd="14" destOrd="0" presId="urn:microsoft.com/office/officeart/2005/8/layout/venn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DC069EE3-0439-4CA2-B938-AB487B7311CD}" type="doc">
      <dgm:prSet loTypeId="urn:microsoft.com/office/officeart/2005/8/layout/process2" loCatId="process" qsTypeId="urn:microsoft.com/office/officeart/2005/8/quickstyle/simple1" qsCatId="simple" csTypeId="urn:microsoft.com/office/officeart/2005/8/colors/colorful2" csCatId="colorful" phldr="1"/>
      <dgm:spPr/>
      <dgm:t>
        <a:bodyPr/>
        <a:lstStyle/>
        <a:p>
          <a:endParaRPr lang="en-US"/>
        </a:p>
      </dgm:t>
    </dgm:pt>
    <dgm:pt modelId="{80BE3A37-6DBF-443F-8435-CDC9475102F2}">
      <dgm:prSet/>
      <dgm:spPr/>
      <dgm:t>
        <a:bodyPr/>
        <a:lstStyle/>
        <a:p>
          <a:r>
            <a:rPr lang="lt-LT"/>
            <a:t>Deschiderea pentru identificarea problemelor și implementarea proiectelor</a:t>
          </a:r>
          <a:endParaRPr lang="en-US"/>
        </a:p>
      </dgm:t>
    </dgm:pt>
    <dgm:pt modelId="{5AC4442B-7B22-4E3C-9BCF-DC97A086872D}" type="parTrans" cxnId="{AFFD3AD8-738C-4A9F-820C-A6E8043E108E}">
      <dgm:prSet/>
      <dgm:spPr/>
      <dgm:t>
        <a:bodyPr/>
        <a:lstStyle/>
        <a:p>
          <a:endParaRPr lang="en-US"/>
        </a:p>
      </dgm:t>
    </dgm:pt>
    <dgm:pt modelId="{1E44F458-3E5A-4B04-A5DA-5E43F6987955}" type="sibTrans" cxnId="{AFFD3AD8-738C-4A9F-820C-A6E8043E108E}">
      <dgm:prSet/>
      <dgm:spPr/>
      <dgm:t>
        <a:bodyPr/>
        <a:lstStyle/>
        <a:p>
          <a:endParaRPr lang="en-US"/>
        </a:p>
      </dgm:t>
    </dgm:pt>
    <dgm:pt modelId="{0B9C4BB3-9795-4C27-B2C3-BDFB60B8DF8D}">
      <dgm:prSet/>
      <dgm:spPr/>
      <dgm:t>
        <a:bodyPr/>
        <a:lstStyle/>
        <a:p>
          <a:r>
            <a:rPr lang="lt-LT"/>
            <a:t>Activitatea DGASPC</a:t>
          </a:r>
          <a:endParaRPr lang="en-US"/>
        </a:p>
      </dgm:t>
    </dgm:pt>
    <dgm:pt modelId="{94194022-D418-445A-80A3-195EB4FF15EC}" type="parTrans" cxnId="{3814B58D-1F5A-40C9-80B9-4209BB54C680}">
      <dgm:prSet/>
      <dgm:spPr/>
      <dgm:t>
        <a:bodyPr/>
        <a:lstStyle/>
        <a:p>
          <a:endParaRPr lang="en-US"/>
        </a:p>
      </dgm:t>
    </dgm:pt>
    <dgm:pt modelId="{9CF0B427-7F38-4BCC-8E9F-AC67F78C9A6D}" type="sibTrans" cxnId="{3814B58D-1F5A-40C9-80B9-4209BB54C680}">
      <dgm:prSet/>
      <dgm:spPr/>
      <dgm:t>
        <a:bodyPr/>
        <a:lstStyle/>
        <a:p>
          <a:endParaRPr lang="en-US"/>
        </a:p>
      </dgm:t>
    </dgm:pt>
    <dgm:pt modelId="{95089335-90A1-4592-8F44-F2C6FCAC13A0}">
      <dgm:prSet/>
      <dgm:spPr/>
      <dgm:t>
        <a:bodyPr/>
        <a:lstStyle/>
        <a:p>
          <a:r>
            <a:rPr lang="lt-LT"/>
            <a:t>Inițiativele de dezvoltare și îmbunătățire</a:t>
          </a:r>
          <a:endParaRPr lang="en-US"/>
        </a:p>
      </dgm:t>
    </dgm:pt>
    <dgm:pt modelId="{C0B28FBD-CE2A-4491-91AE-44957BA53CC1}" type="parTrans" cxnId="{FAA024CD-2AA4-4AD5-94FA-EECB6AF3715F}">
      <dgm:prSet/>
      <dgm:spPr/>
      <dgm:t>
        <a:bodyPr/>
        <a:lstStyle/>
        <a:p>
          <a:endParaRPr lang="en-US"/>
        </a:p>
      </dgm:t>
    </dgm:pt>
    <dgm:pt modelId="{1D763670-B77B-4C78-B9DD-99A0AD7ADCA6}" type="sibTrans" cxnId="{FAA024CD-2AA4-4AD5-94FA-EECB6AF3715F}">
      <dgm:prSet/>
      <dgm:spPr/>
      <dgm:t>
        <a:bodyPr/>
        <a:lstStyle/>
        <a:p>
          <a:endParaRPr lang="en-US"/>
        </a:p>
      </dgm:t>
    </dgm:pt>
    <dgm:pt modelId="{B590D8E7-67F0-4627-9204-B74E5ABD6A27}">
      <dgm:prSet/>
      <dgm:spPr/>
      <dgm:t>
        <a:bodyPr/>
        <a:lstStyle/>
        <a:p>
          <a:r>
            <a:rPr lang="lt-LT"/>
            <a:t>Creșterea semnificativă a instrumentelorși metodelor de dialog între autorități și mediul ONG</a:t>
          </a:r>
          <a:endParaRPr lang="en-US"/>
        </a:p>
      </dgm:t>
    </dgm:pt>
    <dgm:pt modelId="{84874BEE-971E-45D8-9B3F-2C8FA77B6323}" type="parTrans" cxnId="{933C8A3D-7D06-4BDA-97B9-D0BAA53C6786}">
      <dgm:prSet/>
      <dgm:spPr/>
      <dgm:t>
        <a:bodyPr/>
        <a:lstStyle/>
        <a:p>
          <a:endParaRPr lang="en-US"/>
        </a:p>
      </dgm:t>
    </dgm:pt>
    <dgm:pt modelId="{62A0ED52-3D52-436B-BB21-4853C05DB8F1}" type="sibTrans" cxnId="{933C8A3D-7D06-4BDA-97B9-D0BAA53C6786}">
      <dgm:prSet/>
      <dgm:spPr/>
      <dgm:t>
        <a:bodyPr/>
        <a:lstStyle/>
        <a:p>
          <a:endParaRPr lang="en-US"/>
        </a:p>
      </dgm:t>
    </dgm:pt>
    <dgm:pt modelId="{DB42C6D1-2B43-4132-8216-904B1B12FAB1}">
      <dgm:prSet/>
      <dgm:spPr/>
      <dgm:t>
        <a:bodyPr/>
        <a:lstStyle/>
        <a:p>
          <a:r>
            <a:rPr lang="lt-LT"/>
            <a:t>Infrastructura generală</a:t>
          </a:r>
          <a:endParaRPr lang="en-US"/>
        </a:p>
      </dgm:t>
    </dgm:pt>
    <dgm:pt modelId="{7954A98A-2145-41EE-B271-1171C5C0D58D}" type="parTrans" cxnId="{3D3A086D-5616-4ED3-8700-CC181DCBD37F}">
      <dgm:prSet/>
      <dgm:spPr/>
      <dgm:t>
        <a:bodyPr/>
        <a:lstStyle/>
        <a:p>
          <a:endParaRPr lang="en-US"/>
        </a:p>
      </dgm:t>
    </dgm:pt>
    <dgm:pt modelId="{4792C006-0F19-4F9E-BDD4-A4AEC3047557}" type="sibTrans" cxnId="{3D3A086D-5616-4ED3-8700-CC181DCBD37F}">
      <dgm:prSet/>
      <dgm:spPr/>
      <dgm:t>
        <a:bodyPr/>
        <a:lstStyle/>
        <a:p>
          <a:endParaRPr lang="en-US"/>
        </a:p>
      </dgm:t>
    </dgm:pt>
    <dgm:pt modelId="{B7C08452-AC74-4818-B9DE-651660F1922E}">
      <dgm:prSet/>
      <dgm:spPr/>
      <dgm:t>
        <a:bodyPr/>
        <a:lstStyle/>
        <a:p>
          <a:r>
            <a:rPr lang="lt-LT"/>
            <a:t>Numărul ridicat al centrelor pentru copii și deschiderea în raport cu activități și proiecte pentru aceștia</a:t>
          </a:r>
          <a:endParaRPr lang="en-US"/>
        </a:p>
      </dgm:t>
    </dgm:pt>
    <dgm:pt modelId="{AA9B306B-2E5C-43C3-AA3F-AB1ADF942E60}" type="parTrans" cxnId="{B4CA0AAF-A9E9-4B5F-8A5F-721BE3BF2EA4}">
      <dgm:prSet/>
      <dgm:spPr/>
      <dgm:t>
        <a:bodyPr/>
        <a:lstStyle/>
        <a:p>
          <a:endParaRPr lang="en-US"/>
        </a:p>
      </dgm:t>
    </dgm:pt>
    <dgm:pt modelId="{7162F2D5-638F-4B83-8C37-A4A7BD60A995}" type="sibTrans" cxnId="{B4CA0AAF-A9E9-4B5F-8A5F-721BE3BF2EA4}">
      <dgm:prSet/>
      <dgm:spPr/>
      <dgm:t>
        <a:bodyPr/>
        <a:lstStyle/>
        <a:p>
          <a:endParaRPr lang="en-US"/>
        </a:p>
      </dgm:t>
    </dgm:pt>
    <dgm:pt modelId="{C3D645F9-9AE8-46A0-9DA0-7324A5FBDEEC}">
      <dgm:prSet/>
      <dgm:spPr/>
      <dgm:t>
        <a:bodyPr/>
        <a:lstStyle/>
        <a:p>
          <a:r>
            <a:rPr lang="lt-LT"/>
            <a:t>Implicarea și profesionalismul funcționarilor primăriei</a:t>
          </a:r>
          <a:endParaRPr lang="en-US"/>
        </a:p>
      </dgm:t>
    </dgm:pt>
    <dgm:pt modelId="{967E0FAF-B5D1-4D55-8869-5A533C20E4D6}" type="parTrans" cxnId="{5FF203B4-044F-41B8-9DA1-EC187A67C709}">
      <dgm:prSet/>
      <dgm:spPr/>
      <dgm:t>
        <a:bodyPr/>
        <a:lstStyle/>
        <a:p>
          <a:endParaRPr lang="en-US"/>
        </a:p>
      </dgm:t>
    </dgm:pt>
    <dgm:pt modelId="{7CEF8048-0D77-410B-A5C8-2C8050DC38AD}" type="sibTrans" cxnId="{5FF203B4-044F-41B8-9DA1-EC187A67C709}">
      <dgm:prSet/>
      <dgm:spPr/>
      <dgm:t>
        <a:bodyPr/>
        <a:lstStyle/>
        <a:p>
          <a:endParaRPr lang="en-US"/>
        </a:p>
      </dgm:t>
    </dgm:pt>
    <dgm:pt modelId="{0BD0BE4A-3DC6-4331-87E6-0D0E8463ADEB}">
      <dgm:prSet/>
      <dgm:spPr/>
      <dgm:t>
        <a:bodyPr/>
        <a:lstStyle/>
        <a:p>
          <a:r>
            <a:rPr lang="lt-LT"/>
            <a:t>Colaborarea pe termen lung și eficiența acesteia</a:t>
          </a:r>
          <a:endParaRPr lang="en-US"/>
        </a:p>
      </dgm:t>
    </dgm:pt>
    <dgm:pt modelId="{E69A1F47-065C-4022-B8FA-F46981BA8D39}" type="parTrans" cxnId="{A3C5E614-43A0-43D1-BB30-5C698F75DC94}">
      <dgm:prSet/>
      <dgm:spPr/>
      <dgm:t>
        <a:bodyPr/>
        <a:lstStyle/>
        <a:p>
          <a:endParaRPr lang="en-US"/>
        </a:p>
      </dgm:t>
    </dgm:pt>
    <dgm:pt modelId="{FDBAB46A-44ED-44B1-AC86-FB2367EEDA97}" type="sibTrans" cxnId="{A3C5E614-43A0-43D1-BB30-5C698F75DC94}">
      <dgm:prSet/>
      <dgm:spPr/>
      <dgm:t>
        <a:bodyPr/>
        <a:lstStyle/>
        <a:p>
          <a:endParaRPr lang="en-US"/>
        </a:p>
      </dgm:t>
    </dgm:pt>
    <dgm:pt modelId="{2FB9361A-553B-4D29-BCB9-A1CF6CE9C2C2}">
      <dgm:prSet/>
      <dgm:spPr/>
      <dgm:t>
        <a:bodyPr/>
        <a:lstStyle/>
        <a:p>
          <a:r>
            <a:rPr lang="lt-LT"/>
            <a:t>Redeschiderea parcurilor</a:t>
          </a:r>
          <a:endParaRPr lang="en-US"/>
        </a:p>
      </dgm:t>
    </dgm:pt>
    <dgm:pt modelId="{F32DFAF1-D890-4DA8-8FA5-A27E537E57BF}" type="parTrans" cxnId="{FF2615C0-4973-4669-B7EB-5BC411E7B025}">
      <dgm:prSet/>
      <dgm:spPr/>
      <dgm:t>
        <a:bodyPr/>
        <a:lstStyle/>
        <a:p>
          <a:endParaRPr lang="en-US"/>
        </a:p>
      </dgm:t>
    </dgm:pt>
    <dgm:pt modelId="{E6C4CD1B-A47E-4216-A870-9D9032A81028}" type="sibTrans" cxnId="{FF2615C0-4973-4669-B7EB-5BC411E7B025}">
      <dgm:prSet/>
      <dgm:spPr/>
      <dgm:t>
        <a:bodyPr/>
        <a:lstStyle/>
        <a:p>
          <a:endParaRPr lang="en-US"/>
        </a:p>
      </dgm:t>
    </dgm:pt>
    <dgm:pt modelId="{4C0041A8-39FF-4D76-9733-B938E55948E5}">
      <dgm:prSet/>
      <dgm:spPr/>
      <dgm:t>
        <a:bodyPr/>
        <a:lstStyle/>
        <a:p>
          <a:r>
            <a:rPr lang="lt-LT"/>
            <a:t>Încercările de reducere a birocrației</a:t>
          </a:r>
          <a:endParaRPr lang="en-US"/>
        </a:p>
      </dgm:t>
    </dgm:pt>
    <dgm:pt modelId="{41781C46-732F-4BF0-8B48-8DF3CC7B65D5}" type="parTrans" cxnId="{289A6061-7913-42F9-BADE-DA68D6A4DC6F}">
      <dgm:prSet/>
      <dgm:spPr/>
      <dgm:t>
        <a:bodyPr/>
        <a:lstStyle/>
        <a:p>
          <a:endParaRPr lang="en-US"/>
        </a:p>
      </dgm:t>
    </dgm:pt>
    <dgm:pt modelId="{CC2CCD8D-FE15-4BBE-B980-613B92E74AD7}" type="sibTrans" cxnId="{289A6061-7913-42F9-BADE-DA68D6A4DC6F}">
      <dgm:prSet/>
      <dgm:spPr/>
      <dgm:t>
        <a:bodyPr/>
        <a:lstStyle/>
        <a:p>
          <a:endParaRPr lang="en-US"/>
        </a:p>
      </dgm:t>
    </dgm:pt>
    <dgm:pt modelId="{76942549-2F40-4716-B619-FEF2A5B48663}">
      <dgm:prSet/>
      <dgm:spPr/>
      <dgm:t>
        <a:bodyPr/>
        <a:lstStyle/>
        <a:p>
          <a:r>
            <a:rPr lang="lt-LT"/>
            <a:t>Transparența în relație cu Primăria Sectorului 2</a:t>
          </a:r>
          <a:endParaRPr lang="en-US"/>
        </a:p>
      </dgm:t>
    </dgm:pt>
    <dgm:pt modelId="{D3C20230-8047-4C76-8A0A-3233C86C532D}" type="parTrans" cxnId="{27160DD4-3788-45FA-9C41-2BD0CD0B58EF}">
      <dgm:prSet/>
      <dgm:spPr/>
      <dgm:t>
        <a:bodyPr/>
        <a:lstStyle/>
        <a:p>
          <a:endParaRPr lang="en-US"/>
        </a:p>
      </dgm:t>
    </dgm:pt>
    <dgm:pt modelId="{0F1906D4-A489-4003-9D0A-87A4CA7FF214}" type="sibTrans" cxnId="{27160DD4-3788-45FA-9C41-2BD0CD0B58EF}">
      <dgm:prSet/>
      <dgm:spPr/>
      <dgm:t>
        <a:bodyPr/>
        <a:lstStyle/>
        <a:p>
          <a:endParaRPr lang="en-US"/>
        </a:p>
      </dgm:t>
    </dgm:pt>
    <dgm:pt modelId="{A2C86532-52ED-4973-9CFE-42139F0D8FE2}">
      <dgm:prSet/>
      <dgm:spPr/>
      <dgm:t>
        <a:bodyPr/>
        <a:lstStyle/>
        <a:p>
          <a:r>
            <a:rPr lang="lt-LT"/>
            <a:t>Orientarea către cetățeni și soecietatea civilă</a:t>
          </a:r>
          <a:endParaRPr lang="en-US"/>
        </a:p>
      </dgm:t>
    </dgm:pt>
    <dgm:pt modelId="{5DB70D26-BC62-4BCA-A9A5-959B6040E04C}" type="parTrans" cxnId="{6AC93E24-2F27-49D4-87B7-84F5DF22FCAC}">
      <dgm:prSet/>
      <dgm:spPr/>
      <dgm:t>
        <a:bodyPr/>
        <a:lstStyle/>
        <a:p>
          <a:endParaRPr lang="en-US"/>
        </a:p>
      </dgm:t>
    </dgm:pt>
    <dgm:pt modelId="{7A03EA1C-DA4B-4D67-9267-7DAC9B328A54}" type="sibTrans" cxnId="{6AC93E24-2F27-49D4-87B7-84F5DF22FCAC}">
      <dgm:prSet/>
      <dgm:spPr/>
      <dgm:t>
        <a:bodyPr/>
        <a:lstStyle/>
        <a:p>
          <a:endParaRPr lang="en-US"/>
        </a:p>
      </dgm:t>
    </dgm:pt>
    <dgm:pt modelId="{3CE5AE40-09A8-42D6-9C46-1D8085993A00}">
      <dgm:prSet/>
      <dgm:spPr/>
      <dgm:t>
        <a:bodyPr/>
        <a:lstStyle/>
        <a:p>
          <a:r>
            <a:rPr lang="lt-LT"/>
            <a:t>Procesul de eficientizare a structurii administrative</a:t>
          </a:r>
          <a:endParaRPr lang="en-US"/>
        </a:p>
      </dgm:t>
    </dgm:pt>
    <dgm:pt modelId="{1671A358-C07F-4A8B-B88B-5C67C872F972}" type="parTrans" cxnId="{A144469E-B5DA-4715-A47D-4C5B40B3D8D3}">
      <dgm:prSet/>
      <dgm:spPr/>
      <dgm:t>
        <a:bodyPr/>
        <a:lstStyle/>
        <a:p>
          <a:endParaRPr lang="en-US"/>
        </a:p>
      </dgm:t>
    </dgm:pt>
    <dgm:pt modelId="{7F4B0B20-311B-4466-BDEA-DAF86780FEB3}" type="sibTrans" cxnId="{A144469E-B5DA-4715-A47D-4C5B40B3D8D3}">
      <dgm:prSet/>
      <dgm:spPr/>
      <dgm:t>
        <a:bodyPr/>
        <a:lstStyle/>
        <a:p>
          <a:endParaRPr lang="en-US"/>
        </a:p>
      </dgm:t>
    </dgm:pt>
    <dgm:pt modelId="{4AB7AA38-5C50-4C73-9995-17C775F3C4F7}" type="pres">
      <dgm:prSet presAssocID="{DC069EE3-0439-4CA2-B938-AB487B7311CD}" presName="linearFlow" presStyleCnt="0">
        <dgm:presLayoutVars>
          <dgm:resizeHandles val="exact"/>
        </dgm:presLayoutVars>
      </dgm:prSet>
      <dgm:spPr/>
    </dgm:pt>
    <dgm:pt modelId="{0E48EE9D-2A96-4EA3-89FE-C66265CF9BED}" type="pres">
      <dgm:prSet presAssocID="{80BE3A37-6DBF-443F-8435-CDC9475102F2}" presName="node" presStyleLbl="node1" presStyleIdx="0" presStyleCnt="13" custScaleX="391162">
        <dgm:presLayoutVars>
          <dgm:bulletEnabled val="1"/>
        </dgm:presLayoutVars>
      </dgm:prSet>
      <dgm:spPr/>
    </dgm:pt>
    <dgm:pt modelId="{D4BD9949-0DAB-4A63-98B9-1C218D9A1197}" type="pres">
      <dgm:prSet presAssocID="{1E44F458-3E5A-4B04-A5DA-5E43F6987955}" presName="sibTrans" presStyleLbl="sibTrans2D1" presStyleIdx="0" presStyleCnt="12"/>
      <dgm:spPr>
        <a:prstGeom prst="rect">
          <a:avLst/>
        </a:prstGeom>
      </dgm:spPr>
    </dgm:pt>
    <dgm:pt modelId="{02E350B2-A2BE-44CD-B101-84AC1F7D130D}" type="pres">
      <dgm:prSet presAssocID="{1E44F458-3E5A-4B04-A5DA-5E43F6987955}" presName="connectorText" presStyleLbl="sibTrans2D1" presStyleIdx="0" presStyleCnt="12"/>
      <dgm:spPr/>
    </dgm:pt>
    <dgm:pt modelId="{4E265ACA-9ECE-4D2E-8E13-8A3788B6E473}" type="pres">
      <dgm:prSet presAssocID="{0B9C4BB3-9795-4C27-B2C3-BDFB60B8DF8D}" presName="node" presStyleLbl="node1" presStyleIdx="1" presStyleCnt="13" custScaleX="391162">
        <dgm:presLayoutVars>
          <dgm:bulletEnabled val="1"/>
        </dgm:presLayoutVars>
      </dgm:prSet>
      <dgm:spPr/>
    </dgm:pt>
    <dgm:pt modelId="{690E5B72-5BD2-4B08-92D7-E9E781CA0E5F}" type="pres">
      <dgm:prSet presAssocID="{9CF0B427-7F38-4BCC-8E9F-AC67F78C9A6D}" presName="sibTrans" presStyleLbl="sibTrans2D1" presStyleIdx="1" presStyleCnt="12"/>
      <dgm:spPr>
        <a:prstGeom prst="rect">
          <a:avLst/>
        </a:prstGeom>
      </dgm:spPr>
    </dgm:pt>
    <dgm:pt modelId="{EACC14DF-FD2F-46EE-A932-F27942AACCEE}" type="pres">
      <dgm:prSet presAssocID="{9CF0B427-7F38-4BCC-8E9F-AC67F78C9A6D}" presName="connectorText" presStyleLbl="sibTrans2D1" presStyleIdx="1" presStyleCnt="12"/>
      <dgm:spPr/>
    </dgm:pt>
    <dgm:pt modelId="{8402FFCE-6ACC-4BF0-8623-55F46A4117B8}" type="pres">
      <dgm:prSet presAssocID="{95089335-90A1-4592-8F44-F2C6FCAC13A0}" presName="node" presStyleLbl="node1" presStyleIdx="2" presStyleCnt="13" custScaleX="391162">
        <dgm:presLayoutVars>
          <dgm:bulletEnabled val="1"/>
        </dgm:presLayoutVars>
      </dgm:prSet>
      <dgm:spPr/>
    </dgm:pt>
    <dgm:pt modelId="{A0E977F5-9F71-4668-9A51-9ED9266F168D}" type="pres">
      <dgm:prSet presAssocID="{1D763670-B77B-4C78-B9DD-99A0AD7ADCA6}" presName="sibTrans" presStyleLbl="sibTrans2D1" presStyleIdx="2" presStyleCnt="12"/>
      <dgm:spPr>
        <a:prstGeom prst="rect">
          <a:avLst/>
        </a:prstGeom>
      </dgm:spPr>
    </dgm:pt>
    <dgm:pt modelId="{AF8ED49F-29EA-42CD-B5FE-9CAA2D95EDDA}" type="pres">
      <dgm:prSet presAssocID="{1D763670-B77B-4C78-B9DD-99A0AD7ADCA6}" presName="connectorText" presStyleLbl="sibTrans2D1" presStyleIdx="2" presStyleCnt="12"/>
      <dgm:spPr/>
    </dgm:pt>
    <dgm:pt modelId="{B6094E43-8796-44B1-BFC7-2CEC7686E7AA}" type="pres">
      <dgm:prSet presAssocID="{B590D8E7-67F0-4627-9204-B74E5ABD6A27}" presName="node" presStyleLbl="node1" presStyleIdx="3" presStyleCnt="13" custScaleX="391162">
        <dgm:presLayoutVars>
          <dgm:bulletEnabled val="1"/>
        </dgm:presLayoutVars>
      </dgm:prSet>
      <dgm:spPr/>
    </dgm:pt>
    <dgm:pt modelId="{A3240872-5C66-41CE-A8B7-DA264196EB8D}" type="pres">
      <dgm:prSet presAssocID="{62A0ED52-3D52-436B-BB21-4853C05DB8F1}" presName="sibTrans" presStyleLbl="sibTrans2D1" presStyleIdx="3" presStyleCnt="12"/>
      <dgm:spPr>
        <a:prstGeom prst="rect">
          <a:avLst/>
        </a:prstGeom>
      </dgm:spPr>
    </dgm:pt>
    <dgm:pt modelId="{FD8269EA-538C-48E7-8BC8-F313B79C8335}" type="pres">
      <dgm:prSet presAssocID="{62A0ED52-3D52-436B-BB21-4853C05DB8F1}" presName="connectorText" presStyleLbl="sibTrans2D1" presStyleIdx="3" presStyleCnt="12"/>
      <dgm:spPr/>
    </dgm:pt>
    <dgm:pt modelId="{244C2E73-0926-4FC7-81E1-53560DB5184E}" type="pres">
      <dgm:prSet presAssocID="{DB42C6D1-2B43-4132-8216-904B1B12FAB1}" presName="node" presStyleLbl="node1" presStyleIdx="4" presStyleCnt="13" custScaleX="391162">
        <dgm:presLayoutVars>
          <dgm:bulletEnabled val="1"/>
        </dgm:presLayoutVars>
      </dgm:prSet>
      <dgm:spPr/>
    </dgm:pt>
    <dgm:pt modelId="{ADF6237B-73A2-4839-9CAC-2A6D810BEF2F}" type="pres">
      <dgm:prSet presAssocID="{4792C006-0F19-4F9E-BDD4-A4AEC3047557}" presName="sibTrans" presStyleLbl="sibTrans2D1" presStyleIdx="4" presStyleCnt="12"/>
      <dgm:spPr>
        <a:prstGeom prst="rect">
          <a:avLst/>
        </a:prstGeom>
      </dgm:spPr>
    </dgm:pt>
    <dgm:pt modelId="{382D927E-E09E-4017-A4F1-40627172205F}" type="pres">
      <dgm:prSet presAssocID="{4792C006-0F19-4F9E-BDD4-A4AEC3047557}" presName="connectorText" presStyleLbl="sibTrans2D1" presStyleIdx="4" presStyleCnt="12"/>
      <dgm:spPr/>
    </dgm:pt>
    <dgm:pt modelId="{B0C5D2F7-B637-46A5-AA42-29727FFF248E}" type="pres">
      <dgm:prSet presAssocID="{B7C08452-AC74-4818-B9DE-651660F1922E}" presName="node" presStyleLbl="node1" presStyleIdx="5" presStyleCnt="13" custScaleX="391162">
        <dgm:presLayoutVars>
          <dgm:bulletEnabled val="1"/>
        </dgm:presLayoutVars>
      </dgm:prSet>
      <dgm:spPr/>
    </dgm:pt>
    <dgm:pt modelId="{6DC50BCB-9700-4ABA-9022-3A52F94835A3}" type="pres">
      <dgm:prSet presAssocID="{7162F2D5-638F-4B83-8C37-A4A7BD60A995}" presName="sibTrans" presStyleLbl="sibTrans2D1" presStyleIdx="5" presStyleCnt="12"/>
      <dgm:spPr>
        <a:prstGeom prst="rect">
          <a:avLst/>
        </a:prstGeom>
      </dgm:spPr>
    </dgm:pt>
    <dgm:pt modelId="{2CD88E45-3BC8-4E60-8481-09506995F4A2}" type="pres">
      <dgm:prSet presAssocID="{7162F2D5-638F-4B83-8C37-A4A7BD60A995}" presName="connectorText" presStyleLbl="sibTrans2D1" presStyleIdx="5" presStyleCnt="12"/>
      <dgm:spPr/>
    </dgm:pt>
    <dgm:pt modelId="{3AFB1EE7-2273-49D4-BFB0-ACF3A73C1B23}" type="pres">
      <dgm:prSet presAssocID="{C3D645F9-9AE8-46A0-9DA0-7324A5FBDEEC}" presName="node" presStyleLbl="node1" presStyleIdx="6" presStyleCnt="13" custScaleX="391162">
        <dgm:presLayoutVars>
          <dgm:bulletEnabled val="1"/>
        </dgm:presLayoutVars>
      </dgm:prSet>
      <dgm:spPr/>
    </dgm:pt>
    <dgm:pt modelId="{F6E7B7A4-B5AB-4CE9-AF01-C6641A53B5A9}" type="pres">
      <dgm:prSet presAssocID="{7CEF8048-0D77-410B-A5C8-2C8050DC38AD}" presName="sibTrans" presStyleLbl="sibTrans2D1" presStyleIdx="6" presStyleCnt="12"/>
      <dgm:spPr>
        <a:prstGeom prst="rect">
          <a:avLst/>
        </a:prstGeom>
      </dgm:spPr>
    </dgm:pt>
    <dgm:pt modelId="{7744811A-D5C2-4852-B4F9-1DD9A143C692}" type="pres">
      <dgm:prSet presAssocID="{7CEF8048-0D77-410B-A5C8-2C8050DC38AD}" presName="connectorText" presStyleLbl="sibTrans2D1" presStyleIdx="6" presStyleCnt="12"/>
      <dgm:spPr/>
    </dgm:pt>
    <dgm:pt modelId="{EDEFBD5F-4BEE-4C09-95DD-A468D1CC48F3}" type="pres">
      <dgm:prSet presAssocID="{0BD0BE4A-3DC6-4331-87E6-0D0E8463ADEB}" presName="node" presStyleLbl="node1" presStyleIdx="7" presStyleCnt="13" custScaleX="391162">
        <dgm:presLayoutVars>
          <dgm:bulletEnabled val="1"/>
        </dgm:presLayoutVars>
      </dgm:prSet>
      <dgm:spPr/>
    </dgm:pt>
    <dgm:pt modelId="{8E124BFF-381E-4293-A655-88BDAE579349}" type="pres">
      <dgm:prSet presAssocID="{FDBAB46A-44ED-44B1-AC86-FB2367EEDA97}" presName="sibTrans" presStyleLbl="sibTrans2D1" presStyleIdx="7" presStyleCnt="12"/>
      <dgm:spPr>
        <a:prstGeom prst="rect">
          <a:avLst/>
        </a:prstGeom>
      </dgm:spPr>
    </dgm:pt>
    <dgm:pt modelId="{759ADA8E-1FD6-468D-ABAD-786720FA8897}" type="pres">
      <dgm:prSet presAssocID="{FDBAB46A-44ED-44B1-AC86-FB2367EEDA97}" presName="connectorText" presStyleLbl="sibTrans2D1" presStyleIdx="7" presStyleCnt="12"/>
      <dgm:spPr/>
    </dgm:pt>
    <dgm:pt modelId="{1F3C41DB-711A-4AFA-BE4C-32EC1EE4BC37}" type="pres">
      <dgm:prSet presAssocID="{2FB9361A-553B-4D29-BCB9-A1CF6CE9C2C2}" presName="node" presStyleLbl="node1" presStyleIdx="8" presStyleCnt="13" custScaleX="391162">
        <dgm:presLayoutVars>
          <dgm:bulletEnabled val="1"/>
        </dgm:presLayoutVars>
      </dgm:prSet>
      <dgm:spPr/>
    </dgm:pt>
    <dgm:pt modelId="{13B496FC-3015-4AC3-9F9D-B7106498665A}" type="pres">
      <dgm:prSet presAssocID="{E6C4CD1B-A47E-4216-A870-9D9032A81028}" presName="sibTrans" presStyleLbl="sibTrans2D1" presStyleIdx="8" presStyleCnt="12"/>
      <dgm:spPr>
        <a:prstGeom prst="rect">
          <a:avLst/>
        </a:prstGeom>
      </dgm:spPr>
    </dgm:pt>
    <dgm:pt modelId="{CCEF9512-F56C-4103-94C9-80F4DAAD7E74}" type="pres">
      <dgm:prSet presAssocID="{E6C4CD1B-A47E-4216-A870-9D9032A81028}" presName="connectorText" presStyleLbl="sibTrans2D1" presStyleIdx="8" presStyleCnt="12"/>
      <dgm:spPr/>
    </dgm:pt>
    <dgm:pt modelId="{A12779F6-FE5D-4E73-8CD0-A5DD4F4C9994}" type="pres">
      <dgm:prSet presAssocID="{4C0041A8-39FF-4D76-9733-B938E55948E5}" presName="node" presStyleLbl="node1" presStyleIdx="9" presStyleCnt="13" custScaleX="391162">
        <dgm:presLayoutVars>
          <dgm:bulletEnabled val="1"/>
        </dgm:presLayoutVars>
      </dgm:prSet>
      <dgm:spPr/>
    </dgm:pt>
    <dgm:pt modelId="{F3702268-2E58-4CDF-A54A-FDA3401F07B5}" type="pres">
      <dgm:prSet presAssocID="{CC2CCD8D-FE15-4BBE-B980-613B92E74AD7}" presName="sibTrans" presStyleLbl="sibTrans2D1" presStyleIdx="9" presStyleCnt="12"/>
      <dgm:spPr>
        <a:prstGeom prst="rect">
          <a:avLst/>
        </a:prstGeom>
      </dgm:spPr>
    </dgm:pt>
    <dgm:pt modelId="{38C71CD4-F5F5-4611-B471-E6B027803EA1}" type="pres">
      <dgm:prSet presAssocID="{CC2CCD8D-FE15-4BBE-B980-613B92E74AD7}" presName="connectorText" presStyleLbl="sibTrans2D1" presStyleIdx="9" presStyleCnt="12"/>
      <dgm:spPr/>
    </dgm:pt>
    <dgm:pt modelId="{20876280-92E3-4A0D-88B9-F920E80C9E29}" type="pres">
      <dgm:prSet presAssocID="{76942549-2F40-4716-B619-FEF2A5B48663}" presName="node" presStyleLbl="node1" presStyleIdx="10" presStyleCnt="13" custScaleX="391162">
        <dgm:presLayoutVars>
          <dgm:bulletEnabled val="1"/>
        </dgm:presLayoutVars>
      </dgm:prSet>
      <dgm:spPr/>
    </dgm:pt>
    <dgm:pt modelId="{0D8821C6-60EB-4411-A8CE-27D032185AED}" type="pres">
      <dgm:prSet presAssocID="{0F1906D4-A489-4003-9D0A-87A4CA7FF214}" presName="sibTrans" presStyleLbl="sibTrans2D1" presStyleIdx="10" presStyleCnt="12"/>
      <dgm:spPr>
        <a:prstGeom prst="rect">
          <a:avLst/>
        </a:prstGeom>
      </dgm:spPr>
    </dgm:pt>
    <dgm:pt modelId="{067806D0-4CB6-431E-9024-40B9FB611A43}" type="pres">
      <dgm:prSet presAssocID="{0F1906D4-A489-4003-9D0A-87A4CA7FF214}" presName="connectorText" presStyleLbl="sibTrans2D1" presStyleIdx="10" presStyleCnt="12"/>
      <dgm:spPr/>
    </dgm:pt>
    <dgm:pt modelId="{CEE653A3-1165-495D-A330-4EAE0F52AD94}" type="pres">
      <dgm:prSet presAssocID="{A2C86532-52ED-4973-9CFE-42139F0D8FE2}" presName="node" presStyleLbl="node1" presStyleIdx="11" presStyleCnt="13" custScaleX="391162">
        <dgm:presLayoutVars>
          <dgm:bulletEnabled val="1"/>
        </dgm:presLayoutVars>
      </dgm:prSet>
      <dgm:spPr/>
    </dgm:pt>
    <dgm:pt modelId="{21835D33-EB94-48C7-83F4-94CDACFDF094}" type="pres">
      <dgm:prSet presAssocID="{7A03EA1C-DA4B-4D67-9267-7DAC9B328A54}" presName="sibTrans" presStyleLbl="sibTrans2D1" presStyleIdx="11" presStyleCnt="12"/>
      <dgm:spPr>
        <a:prstGeom prst="rect">
          <a:avLst/>
        </a:prstGeom>
      </dgm:spPr>
    </dgm:pt>
    <dgm:pt modelId="{9973EB43-D597-429C-8FF1-6C308D4DE9B0}" type="pres">
      <dgm:prSet presAssocID="{7A03EA1C-DA4B-4D67-9267-7DAC9B328A54}" presName="connectorText" presStyleLbl="sibTrans2D1" presStyleIdx="11" presStyleCnt="12"/>
      <dgm:spPr/>
    </dgm:pt>
    <dgm:pt modelId="{C89DB641-7488-48F1-95BE-ABC0174A11D1}" type="pres">
      <dgm:prSet presAssocID="{3CE5AE40-09A8-42D6-9C46-1D8085993A00}" presName="node" presStyleLbl="node1" presStyleIdx="12" presStyleCnt="13" custScaleX="391162">
        <dgm:presLayoutVars>
          <dgm:bulletEnabled val="1"/>
        </dgm:presLayoutVars>
      </dgm:prSet>
      <dgm:spPr/>
    </dgm:pt>
  </dgm:ptLst>
  <dgm:cxnLst>
    <dgm:cxn modelId="{9366F307-0EC0-4B1A-93DB-65F28D2522BE}" type="presOf" srcId="{0F1906D4-A489-4003-9D0A-87A4CA7FF214}" destId="{0D8821C6-60EB-4411-A8CE-27D032185AED}" srcOrd="0" destOrd="0" presId="urn:microsoft.com/office/officeart/2005/8/layout/process2"/>
    <dgm:cxn modelId="{75166C08-A8D7-4CB4-A227-7E3EA9853226}" type="presOf" srcId="{7CEF8048-0D77-410B-A5C8-2C8050DC38AD}" destId="{7744811A-D5C2-4852-B4F9-1DD9A143C692}" srcOrd="1" destOrd="0" presId="urn:microsoft.com/office/officeart/2005/8/layout/process2"/>
    <dgm:cxn modelId="{A3C5E614-43A0-43D1-BB30-5C698F75DC94}" srcId="{DC069EE3-0439-4CA2-B938-AB487B7311CD}" destId="{0BD0BE4A-3DC6-4331-87E6-0D0E8463ADEB}" srcOrd="7" destOrd="0" parTransId="{E69A1F47-065C-4022-B8FA-F46981BA8D39}" sibTransId="{FDBAB46A-44ED-44B1-AC86-FB2367EEDA97}"/>
    <dgm:cxn modelId="{8177F316-A430-4FD1-B01E-6072C0229469}" type="presOf" srcId="{9CF0B427-7F38-4BCC-8E9F-AC67F78C9A6D}" destId="{690E5B72-5BD2-4B08-92D7-E9E781CA0E5F}" srcOrd="0" destOrd="0" presId="urn:microsoft.com/office/officeart/2005/8/layout/process2"/>
    <dgm:cxn modelId="{C59FF118-22FB-4FBD-B8C3-B335278DEF65}" type="presOf" srcId="{1E44F458-3E5A-4B04-A5DA-5E43F6987955}" destId="{D4BD9949-0DAB-4A63-98B9-1C218D9A1197}" srcOrd="0" destOrd="0" presId="urn:microsoft.com/office/officeart/2005/8/layout/process2"/>
    <dgm:cxn modelId="{6AC93E24-2F27-49D4-87B7-84F5DF22FCAC}" srcId="{DC069EE3-0439-4CA2-B938-AB487B7311CD}" destId="{A2C86532-52ED-4973-9CFE-42139F0D8FE2}" srcOrd="11" destOrd="0" parTransId="{5DB70D26-BC62-4BCA-A9A5-959B6040E04C}" sibTransId="{7A03EA1C-DA4B-4D67-9267-7DAC9B328A54}"/>
    <dgm:cxn modelId="{4B8DCE29-B1EC-422B-9A6A-192D9969DA68}" type="presOf" srcId="{7162F2D5-638F-4B83-8C37-A4A7BD60A995}" destId="{2CD88E45-3BC8-4E60-8481-09506995F4A2}" srcOrd="1" destOrd="0" presId="urn:microsoft.com/office/officeart/2005/8/layout/process2"/>
    <dgm:cxn modelId="{1287F32F-CE8E-48E9-9A94-3FFC63CD1665}" type="presOf" srcId="{1D763670-B77B-4C78-B9DD-99A0AD7ADCA6}" destId="{A0E977F5-9F71-4668-9A51-9ED9266F168D}" srcOrd="0" destOrd="0" presId="urn:microsoft.com/office/officeart/2005/8/layout/process2"/>
    <dgm:cxn modelId="{933C8A3D-7D06-4BDA-97B9-D0BAA53C6786}" srcId="{DC069EE3-0439-4CA2-B938-AB487B7311CD}" destId="{B590D8E7-67F0-4627-9204-B74E5ABD6A27}" srcOrd="3" destOrd="0" parTransId="{84874BEE-971E-45D8-9B3F-2C8FA77B6323}" sibTransId="{62A0ED52-3D52-436B-BB21-4853C05DB8F1}"/>
    <dgm:cxn modelId="{752E0A5C-3170-47ED-AF78-E96209E22183}" type="presOf" srcId="{95089335-90A1-4592-8F44-F2C6FCAC13A0}" destId="{8402FFCE-6ACC-4BF0-8623-55F46A4117B8}" srcOrd="0" destOrd="0" presId="urn:microsoft.com/office/officeart/2005/8/layout/process2"/>
    <dgm:cxn modelId="{CAB4C15E-6383-491A-BFF3-A8621DBE7EB0}" type="presOf" srcId="{3CE5AE40-09A8-42D6-9C46-1D8085993A00}" destId="{C89DB641-7488-48F1-95BE-ABC0174A11D1}" srcOrd="0" destOrd="0" presId="urn:microsoft.com/office/officeart/2005/8/layout/process2"/>
    <dgm:cxn modelId="{289A6061-7913-42F9-BADE-DA68D6A4DC6F}" srcId="{DC069EE3-0439-4CA2-B938-AB487B7311CD}" destId="{4C0041A8-39FF-4D76-9733-B938E55948E5}" srcOrd="9" destOrd="0" parTransId="{41781C46-732F-4BF0-8B48-8DF3CC7B65D5}" sibTransId="{CC2CCD8D-FE15-4BBE-B980-613B92E74AD7}"/>
    <dgm:cxn modelId="{14224E43-3ED6-4E49-A511-3E09EFF54EE6}" type="presOf" srcId="{FDBAB46A-44ED-44B1-AC86-FB2367EEDA97}" destId="{8E124BFF-381E-4293-A655-88BDAE579349}" srcOrd="0" destOrd="0" presId="urn:microsoft.com/office/officeart/2005/8/layout/process2"/>
    <dgm:cxn modelId="{EF9E8848-3147-4630-B09F-793FF3F6A22C}" type="presOf" srcId="{FDBAB46A-44ED-44B1-AC86-FB2367EEDA97}" destId="{759ADA8E-1FD6-468D-ABAD-786720FA8897}" srcOrd="1" destOrd="0" presId="urn:microsoft.com/office/officeart/2005/8/layout/process2"/>
    <dgm:cxn modelId="{5EA9A749-0197-45DD-B36C-F47682559418}" type="presOf" srcId="{0BD0BE4A-3DC6-4331-87E6-0D0E8463ADEB}" destId="{EDEFBD5F-4BEE-4C09-95DD-A468D1CC48F3}" srcOrd="0" destOrd="0" presId="urn:microsoft.com/office/officeart/2005/8/layout/process2"/>
    <dgm:cxn modelId="{3D3A086D-5616-4ED3-8700-CC181DCBD37F}" srcId="{DC069EE3-0439-4CA2-B938-AB487B7311CD}" destId="{DB42C6D1-2B43-4132-8216-904B1B12FAB1}" srcOrd="4" destOrd="0" parTransId="{7954A98A-2145-41EE-B271-1171C5C0D58D}" sibTransId="{4792C006-0F19-4F9E-BDD4-A4AEC3047557}"/>
    <dgm:cxn modelId="{F1C62C4D-4A7E-46D4-9272-EB2EBF3F2662}" type="presOf" srcId="{2FB9361A-553B-4D29-BCB9-A1CF6CE9C2C2}" destId="{1F3C41DB-711A-4AFA-BE4C-32EC1EE4BC37}" srcOrd="0" destOrd="0" presId="urn:microsoft.com/office/officeart/2005/8/layout/process2"/>
    <dgm:cxn modelId="{958E516D-0EEE-4532-8EDE-8F05F120CE2B}" type="presOf" srcId="{E6C4CD1B-A47E-4216-A870-9D9032A81028}" destId="{13B496FC-3015-4AC3-9F9D-B7106498665A}" srcOrd="0" destOrd="0" presId="urn:microsoft.com/office/officeart/2005/8/layout/process2"/>
    <dgm:cxn modelId="{F6BA9E50-8E97-4DFE-BBEA-F06900BF1E6A}" type="presOf" srcId="{7162F2D5-638F-4B83-8C37-A4A7BD60A995}" destId="{6DC50BCB-9700-4ABA-9022-3A52F94835A3}" srcOrd="0" destOrd="0" presId="urn:microsoft.com/office/officeart/2005/8/layout/process2"/>
    <dgm:cxn modelId="{6BB70858-2E6A-446B-B36B-2E1FD62D5922}" type="presOf" srcId="{CC2CCD8D-FE15-4BBE-B980-613B92E74AD7}" destId="{F3702268-2E58-4CDF-A54A-FDA3401F07B5}" srcOrd="0" destOrd="0" presId="urn:microsoft.com/office/officeart/2005/8/layout/process2"/>
    <dgm:cxn modelId="{D5CCE778-71BB-455F-AAF0-4A0AE0C09359}" type="presOf" srcId="{1E44F458-3E5A-4B04-A5DA-5E43F6987955}" destId="{02E350B2-A2BE-44CD-B101-84AC1F7D130D}" srcOrd="1" destOrd="0" presId="urn:microsoft.com/office/officeart/2005/8/layout/process2"/>
    <dgm:cxn modelId="{A677B87B-D23B-49B9-897C-D75BD366E248}" type="presOf" srcId="{B7C08452-AC74-4818-B9DE-651660F1922E}" destId="{B0C5D2F7-B637-46A5-AA42-29727FFF248E}" srcOrd="0" destOrd="0" presId="urn:microsoft.com/office/officeart/2005/8/layout/process2"/>
    <dgm:cxn modelId="{E4B0617D-E34F-4D01-BD85-96BB728BAAC5}" type="presOf" srcId="{7A03EA1C-DA4B-4D67-9267-7DAC9B328A54}" destId="{9973EB43-D597-429C-8FF1-6C308D4DE9B0}" srcOrd="1" destOrd="0" presId="urn:microsoft.com/office/officeart/2005/8/layout/process2"/>
    <dgm:cxn modelId="{DB365F82-968D-4199-99DE-B73056F122AE}" type="presOf" srcId="{0B9C4BB3-9795-4C27-B2C3-BDFB60B8DF8D}" destId="{4E265ACA-9ECE-4D2E-8E13-8A3788B6E473}" srcOrd="0" destOrd="0" presId="urn:microsoft.com/office/officeart/2005/8/layout/process2"/>
    <dgm:cxn modelId="{36395582-4A28-414C-BEB3-7914A6D28635}" type="presOf" srcId="{DC069EE3-0439-4CA2-B938-AB487B7311CD}" destId="{4AB7AA38-5C50-4C73-9995-17C775F3C4F7}" srcOrd="0" destOrd="0" presId="urn:microsoft.com/office/officeart/2005/8/layout/process2"/>
    <dgm:cxn modelId="{E8E2C486-B859-45D5-A455-881FB5B37AD6}" type="presOf" srcId="{76942549-2F40-4716-B619-FEF2A5B48663}" destId="{20876280-92E3-4A0D-88B9-F920E80C9E29}" srcOrd="0" destOrd="0" presId="urn:microsoft.com/office/officeart/2005/8/layout/process2"/>
    <dgm:cxn modelId="{3814B58D-1F5A-40C9-80B9-4209BB54C680}" srcId="{DC069EE3-0439-4CA2-B938-AB487B7311CD}" destId="{0B9C4BB3-9795-4C27-B2C3-BDFB60B8DF8D}" srcOrd="1" destOrd="0" parTransId="{94194022-D418-445A-80A3-195EB4FF15EC}" sibTransId="{9CF0B427-7F38-4BCC-8E9F-AC67F78C9A6D}"/>
    <dgm:cxn modelId="{36F0C090-FB6F-4B91-8265-28B82EA33994}" type="presOf" srcId="{C3D645F9-9AE8-46A0-9DA0-7324A5FBDEEC}" destId="{3AFB1EE7-2273-49D4-BFB0-ACF3A73C1B23}" srcOrd="0" destOrd="0" presId="urn:microsoft.com/office/officeart/2005/8/layout/process2"/>
    <dgm:cxn modelId="{E1420095-561C-4C79-8EA0-F68DF90D6207}" type="presOf" srcId="{1D763670-B77B-4C78-B9DD-99A0AD7ADCA6}" destId="{AF8ED49F-29EA-42CD-B5FE-9CAA2D95EDDA}" srcOrd="1" destOrd="0" presId="urn:microsoft.com/office/officeart/2005/8/layout/process2"/>
    <dgm:cxn modelId="{27B2F895-571F-4383-AE17-586D0C0A2AA9}" type="presOf" srcId="{7CEF8048-0D77-410B-A5C8-2C8050DC38AD}" destId="{F6E7B7A4-B5AB-4CE9-AF01-C6641A53B5A9}" srcOrd="0" destOrd="0" presId="urn:microsoft.com/office/officeart/2005/8/layout/process2"/>
    <dgm:cxn modelId="{BEB85697-AC4E-4CC0-AD9D-0B85AEAB3F22}" type="presOf" srcId="{4C0041A8-39FF-4D76-9733-B938E55948E5}" destId="{A12779F6-FE5D-4E73-8CD0-A5DD4F4C9994}" srcOrd="0" destOrd="0" presId="urn:microsoft.com/office/officeart/2005/8/layout/process2"/>
    <dgm:cxn modelId="{A144469E-B5DA-4715-A47D-4C5B40B3D8D3}" srcId="{DC069EE3-0439-4CA2-B938-AB487B7311CD}" destId="{3CE5AE40-09A8-42D6-9C46-1D8085993A00}" srcOrd="12" destOrd="0" parTransId="{1671A358-C07F-4A8B-B88B-5C67C872F972}" sibTransId="{7F4B0B20-311B-4466-BDEA-DAF86780FEB3}"/>
    <dgm:cxn modelId="{0DF69F9E-F5D3-4352-8762-80F55279BE37}" type="presOf" srcId="{80BE3A37-6DBF-443F-8435-CDC9475102F2}" destId="{0E48EE9D-2A96-4EA3-89FE-C66265CF9BED}" srcOrd="0" destOrd="0" presId="urn:microsoft.com/office/officeart/2005/8/layout/process2"/>
    <dgm:cxn modelId="{AFB13CA5-D982-43BA-9470-DC9A40115BA8}" type="presOf" srcId="{7A03EA1C-DA4B-4D67-9267-7DAC9B328A54}" destId="{21835D33-EB94-48C7-83F4-94CDACFDF094}" srcOrd="0" destOrd="0" presId="urn:microsoft.com/office/officeart/2005/8/layout/process2"/>
    <dgm:cxn modelId="{C81B64A8-C633-4698-9952-15962E53EC19}" type="presOf" srcId="{CC2CCD8D-FE15-4BBE-B980-613B92E74AD7}" destId="{38C71CD4-F5F5-4611-B471-E6B027803EA1}" srcOrd="1" destOrd="0" presId="urn:microsoft.com/office/officeart/2005/8/layout/process2"/>
    <dgm:cxn modelId="{26932AAB-60B2-454B-AD4E-C11C2F14342F}" type="presOf" srcId="{0F1906D4-A489-4003-9D0A-87A4CA7FF214}" destId="{067806D0-4CB6-431E-9024-40B9FB611A43}" srcOrd="1" destOrd="0" presId="urn:microsoft.com/office/officeart/2005/8/layout/process2"/>
    <dgm:cxn modelId="{5EA1C3AB-FD44-4A9A-B674-512DF43E1F6D}" type="presOf" srcId="{B590D8E7-67F0-4627-9204-B74E5ABD6A27}" destId="{B6094E43-8796-44B1-BFC7-2CEC7686E7AA}" srcOrd="0" destOrd="0" presId="urn:microsoft.com/office/officeart/2005/8/layout/process2"/>
    <dgm:cxn modelId="{B4CA0AAF-A9E9-4B5F-8A5F-721BE3BF2EA4}" srcId="{DC069EE3-0439-4CA2-B938-AB487B7311CD}" destId="{B7C08452-AC74-4818-B9DE-651660F1922E}" srcOrd="5" destOrd="0" parTransId="{AA9B306B-2E5C-43C3-AA3F-AB1ADF942E60}" sibTransId="{7162F2D5-638F-4B83-8C37-A4A7BD60A995}"/>
    <dgm:cxn modelId="{5FF203B4-044F-41B8-9DA1-EC187A67C709}" srcId="{DC069EE3-0439-4CA2-B938-AB487B7311CD}" destId="{C3D645F9-9AE8-46A0-9DA0-7324A5FBDEEC}" srcOrd="6" destOrd="0" parTransId="{967E0FAF-B5D1-4D55-8869-5A533C20E4D6}" sibTransId="{7CEF8048-0D77-410B-A5C8-2C8050DC38AD}"/>
    <dgm:cxn modelId="{FF2615C0-4973-4669-B7EB-5BC411E7B025}" srcId="{DC069EE3-0439-4CA2-B938-AB487B7311CD}" destId="{2FB9361A-553B-4D29-BCB9-A1CF6CE9C2C2}" srcOrd="8" destOrd="0" parTransId="{F32DFAF1-D890-4DA8-8FA5-A27E537E57BF}" sibTransId="{E6C4CD1B-A47E-4216-A870-9D9032A81028}"/>
    <dgm:cxn modelId="{4D0D2AC4-FEEE-495D-8CAD-3A6D4AB6DC97}" type="presOf" srcId="{4792C006-0F19-4F9E-BDD4-A4AEC3047557}" destId="{ADF6237B-73A2-4839-9CAC-2A6D810BEF2F}" srcOrd="0" destOrd="0" presId="urn:microsoft.com/office/officeart/2005/8/layout/process2"/>
    <dgm:cxn modelId="{FAA024CD-2AA4-4AD5-94FA-EECB6AF3715F}" srcId="{DC069EE3-0439-4CA2-B938-AB487B7311CD}" destId="{95089335-90A1-4592-8F44-F2C6FCAC13A0}" srcOrd="2" destOrd="0" parTransId="{C0B28FBD-CE2A-4491-91AE-44957BA53CC1}" sibTransId="{1D763670-B77B-4C78-B9DD-99A0AD7ADCA6}"/>
    <dgm:cxn modelId="{67FA4FD3-86A6-42AE-ADC9-D53B4A400167}" type="presOf" srcId="{4792C006-0F19-4F9E-BDD4-A4AEC3047557}" destId="{382D927E-E09E-4017-A4F1-40627172205F}" srcOrd="1" destOrd="0" presId="urn:microsoft.com/office/officeart/2005/8/layout/process2"/>
    <dgm:cxn modelId="{27160DD4-3788-45FA-9C41-2BD0CD0B58EF}" srcId="{DC069EE3-0439-4CA2-B938-AB487B7311CD}" destId="{76942549-2F40-4716-B619-FEF2A5B48663}" srcOrd="10" destOrd="0" parTransId="{D3C20230-8047-4C76-8A0A-3233C86C532D}" sibTransId="{0F1906D4-A489-4003-9D0A-87A4CA7FF214}"/>
    <dgm:cxn modelId="{AFFD3AD8-738C-4A9F-820C-A6E8043E108E}" srcId="{DC069EE3-0439-4CA2-B938-AB487B7311CD}" destId="{80BE3A37-6DBF-443F-8435-CDC9475102F2}" srcOrd="0" destOrd="0" parTransId="{5AC4442B-7B22-4E3C-9BCF-DC97A086872D}" sibTransId="{1E44F458-3E5A-4B04-A5DA-5E43F6987955}"/>
    <dgm:cxn modelId="{60217AE1-88D2-4B8C-899A-18DA1CC810D6}" type="presOf" srcId="{A2C86532-52ED-4973-9CFE-42139F0D8FE2}" destId="{CEE653A3-1165-495D-A330-4EAE0F52AD94}" srcOrd="0" destOrd="0" presId="urn:microsoft.com/office/officeart/2005/8/layout/process2"/>
    <dgm:cxn modelId="{3EFB8AE3-BC61-4772-B7E7-28064CE569AD}" type="presOf" srcId="{E6C4CD1B-A47E-4216-A870-9D9032A81028}" destId="{CCEF9512-F56C-4103-94C9-80F4DAAD7E74}" srcOrd="1" destOrd="0" presId="urn:microsoft.com/office/officeart/2005/8/layout/process2"/>
    <dgm:cxn modelId="{B3BFEEE4-E300-4A96-B974-70AADCDC5859}" type="presOf" srcId="{62A0ED52-3D52-436B-BB21-4853C05DB8F1}" destId="{FD8269EA-538C-48E7-8BC8-F313B79C8335}" srcOrd="1" destOrd="0" presId="urn:microsoft.com/office/officeart/2005/8/layout/process2"/>
    <dgm:cxn modelId="{1B76DAE6-58F2-4EF4-87E2-8CA9A097C306}" type="presOf" srcId="{9CF0B427-7F38-4BCC-8E9F-AC67F78C9A6D}" destId="{EACC14DF-FD2F-46EE-A932-F27942AACCEE}" srcOrd="1" destOrd="0" presId="urn:microsoft.com/office/officeart/2005/8/layout/process2"/>
    <dgm:cxn modelId="{D2E410EC-9BBF-435C-A06A-CC2E22478FAB}" type="presOf" srcId="{62A0ED52-3D52-436B-BB21-4853C05DB8F1}" destId="{A3240872-5C66-41CE-A8B7-DA264196EB8D}" srcOrd="0" destOrd="0" presId="urn:microsoft.com/office/officeart/2005/8/layout/process2"/>
    <dgm:cxn modelId="{F1B043FC-41FF-4472-9E20-2566C27ECB40}" type="presOf" srcId="{DB42C6D1-2B43-4132-8216-904B1B12FAB1}" destId="{244C2E73-0926-4FC7-81E1-53560DB5184E}" srcOrd="0" destOrd="0" presId="urn:microsoft.com/office/officeart/2005/8/layout/process2"/>
    <dgm:cxn modelId="{202D346D-D5DF-417A-B301-746C96F9566A}" type="presParOf" srcId="{4AB7AA38-5C50-4C73-9995-17C775F3C4F7}" destId="{0E48EE9D-2A96-4EA3-89FE-C66265CF9BED}" srcOrd="0" destOrd="0" presId="urn:microsoft.com/office/officeart/2005/8/layout/process2"/>
    <dgm:cxn modelId="{E13C84F2-EBF7-4876-BB00-EDCB653F403E}" type="presParOf" srcId="{4AB7AA38-5C50-4C73-9995-17C775F3C4F7}" destId="{D4BD9949-0DAB-4A63-98B9-1C218D9A1197}" srcOrd="1" destOrd="0" presId="urn:microsoft.com/office/officeart/2005/8/layout/process2"/>
    <dgm:cxn modelId="{A67D9986-A3B3-471A-8BB1-00D861B15B90}" type="presParOf" srcId="{D4BD9949-0DAB-4A63-98B9-1C218D9A1197}" destId="{02E350B2-A2BE-44CD-B101-84AC1F7D130D}" srcOrd="0" destOrd="0" presId="urn:microsoft.com/office/officeart/2005/8/layout/process2"/>
    <dgm:cxn modelId="{8B73A0E7-B259-4F00-B240-BBAA86E2C5E7}" type="presParOf" srcId="{4AB7AA38-5C50-4C73-9995-17C775F3C4F7}" destId="{4E265ACA-9ECE-4D2E-8E13-8A3788B6E473}" srcOrd="2" destOrd="0" presId="urn:microsoft.com/office/officeart/2005/8/layout/process2"/>
    <dgm:cxn modelId="{05DF900D-6C94-48E7-956B-2FB9606DBEB2}" type="presParOf" srcId="{4AB7AA38-5C50-4C73-9995-17C775F3C4F7}" destId="{690E5B72-5BD2-4B08-92D7-E9E781CA0E5F}" srcOrd="3" destOrd="0" presId="urn:microsoft.com/office/officeart/2005/8/layout/process2"/>
    <dgm:cxn modelId="{47D2706E-1760-4351-8586-3D3091E2E222}" type="presParOf" srcId="{690E5B72-5BD2-4B08-92D7-E9E781CA0E5F}" destId="{EACC14DF-FD2F-46EE-A932-F27942AACCEE}" srcOrd="0" destOrd="0" presId="urn:microsoft.com/office/officeart/2005/8/layout/process2"/>
    <dgm:cxn modelId="{804180EB-0F77-4820-BBA4-520F8D06417D}" type="presParOf" srcId="{4AB7AA38-5C50-4C73-9995-17C775F3C4F7}" destId="{8402FFCE-6ACC-4BF0-8623-55F46A4117B8}" srcOrd="4" destOrd="0" presId="urn:microsoft.com/office/officeart/2005/8/layout/process2"/>
    <dgm:cxn modelId="{81786682-77C1-4C19-ABE5-26ED71AB355B}" type="presParOf" srcId="{4AB7AA38-5C50-4C73-9995-17C775F3C4F7}" destId="{A0E977F5-9F71-4668-9A51-9ED9266F168D}" srcOrd="5" destOrd="0" presId="urn:microsoft.com/office/officeart/2005/8/layout/process2"/>
    <dgm:cxn modelId="{ACBBECD0-41B6-467E-B591-B68307ADAB7C}" type="presParOf" srcId="{A0E977F5-9F71-4668-9A51-9ED9266F168D}" destId="{AF8ED49F-29EA-42CD-B5FE-9CAA2D95EDDA}" srcOrd="0" destOrd="0" presId="urn:microsoft.com/office/officeart/2005/8/layout/process2"/>
    <dgm:cxn modelId="{64BCEA7B-A39E-44B4-BA30-89E834E42948}" type="presParOf" srcId="{4AB7AA38-5C50-4C73-9995-17C775F3C4F7}" destId="{B6094E43-8796-44B1-BFC7-2CEC7686E7AA}" srcOrd="6" destOrd="0" presId="urn:microsoft.com/office/officeart/2005/8/layout/process2"/>
    <dgm:cxn modelId="{F915AD9C-21C0-4DF9-B1DC-A11CCE2BCA60}" type="presParOf" srcId="{4AB7AA38-5C50-4C73-9995-17C775F3C4F7}" destId="{A3240872-5C66-41CE-A8B7-DA264196EB8D}" srcOrd="7" destOrd="0" presId="urn:microsoft.com/office/officeart/2005/8/layout/process2"/>
    <dgm:cxn modelId="{E01F52FE-CCEC-4CFD-8F38-D033BBD89335}" type="presParOf" srcId="{A3240872-5C66-41CE-A8B7-DA264196EB8D}" destId="{FD8269EA-538C-48E7-8BC8-F313B79C8335}" srcOrd="0" destOrd="0" presId="urn:microsoft.com/office/officeart/2005/8/layout/process2"/>
    <dgm:cxn modelId="{F65155BA-4230-43F8-97A9-0E040FA13911}" type="presParOf" srcId="{4AB7AA38-5C50-4C73-9995-17C775F3C4F7}" destId="{244C2E73-0926-4FC7-81E1-53560DB5184E}" srcOrd="8" destOrd="0" presId="urn:microsoft.com/office/officeart/2005/8/layout/process2"/>
    <dgm:cxn modelId="{6BB0A516-9CBD-48AD-9A19-C8B39203FC53}" type="presParOf" srcId="{4AB7AA38-5C50-4C73-9995-17C775F3C4F7}" destId="{ADF6237B-73A2-4839-9CAC-2A6D810BEF2F}" srcOrd="9" destOrd="0" presId="urn:microsoft.com/office/officeart/2005/8/layout/process2"/>
    <dgm:cxn modelId="{08FDD14E-8D4F-43DF-9AD1-7024BE78B38F}" type="presParOf" srcId="{ADF6237B-73A2-4839-9CAC-2A6D810BEF2F}" destId="{382D927E-E09E-4017-A4F1-40627172205F}" srcOrd="0" destOrd="0" presId="urn:microsoft.com/office/officeart/2005/8/layout/process2"/>
    <dgm:cxn modelId="{84A6306E-34CA-4856-8F17-E0465161984C}" type="presParOf" srcId="{4AB7AA38-5C50-4C73-9995-17C775F3C4F7}" destId="{B0C5D2F7-B637-46A5-AA42-29727FFF248E}" srcOrd="10" destOrd="0" presId="urn:microsoft.com/office/officeart/2005/8/layout/process2"/>
    <dgm:cxn modelId="{50E42C2E-343A-4B06-8E49-2869A61DF358}" type="presParOf" srcId="{4AB7AA38-5C50-4C73-9995-17C775F3C4F7}" destId="{6DC50BCB-9700-4ABA-9022-3A52F94835A3}" srcOrd="11" destOrd="0" presId="urn:microsoft.com/office/officeart/2005/8/layout/process2"/>
    <dgm:cxn modelId="{8C5296E9-DDD7-4C9C-B06B-DBB09BF8AC04}" type="presParOf" srcId="{6DC50BCB-9700-4ABA-9022-3A52F94835A3}" destId="{2CD88E45-3BC8-4E60-8481-09506995F4A2}" srcOrd="0" destOrd="0" presId="urn:microsoft.com/office/officeart/2005/8/layout/process2"/>
    <dgm:cxn modelId="{BA35CA0D-6D78-4EA3-91B3-18D8406B9207}" type="presParOf" srcId="{4AB7AA38-5C50-4C73-9995-17C775F3C4F7}" destId="{3AFB1EE7-2273-49D4-BFB0-ACF3A73C1B23}" srcOrd="12" destOrd="0" presId="urn:microsoft.com/office/officeart/2005/8/layout/process2"/>
    <dgm:cxn modelId="{8052CB78-D51E-4259-AD2E-A95A9D5DBE79}" type="presParOf" srcId="{4AB7AA38-5C50-4C73-9995-17C775F3C4F7}" destId="{F6E7B7A4-B5AB-4CE9-AF01-C6641A53B5A9}" srcOrd="13" destOrd="0" presId="urn:microsoft.com/office/officeart/2005/8/layout/process2"/>
    <dgm:cxn modelId="{DB3BC64C-E6FD-4554-9741-B30C9A350FCF}" type="presParOf" srcId="{F6E7B7A4-B5AB-4CE9-AF01-C6641A53B5A9}" destId="{7744811A-D5C2-4852-B4F9-1DD9A143C692}" srcOrd="0" destOrd="0" presId="urn:microsoft.com/office/officeart/2005/8/layout/process2"/>
    <dgm:cxn modelId="{3D4AE97D-AD87-48F6-9937-D03281AD6778}" type="presParOf" srcId="{4AB7AA38-5C50-4C73-9995-17C775F3C4F7}" destId="{EDEFBD5F-4BEE-4C09-95DD-A468D1CC48F3}" srcOrd="14" destOrd="0" presId="urn:microsoft.com/office/officeart/2005/8/layout/process2"/>
    <dgm:cxn modelId="{AB26C4AA-EB68-41F7-B8C9-A4C9D629E17C}" type="presParOf" srcId="{4AB7AA38-5C50-4C73-9995-17C775F3C4F7}" destId="{8E124BFF-381E-4293-A655-88BDAE579349}" srcOrd="15" destOrd="0" presId="urn:microsoft.com/office/officeart/2005/8/layout/process2"/>
    <dgm:cxn modelId="{164E6A40-F1D3-44AA-A901-38783D88843D}" type="presParOf" srcId="{8E124BFF-381E-4293-A655-88BDAE579349}" destId="{759ADA8E-1FD6-468D-ABAD-786720FA8897}" srcOrd="0" destOrd="0" presId="urn:microsoft.com/office/officeart/2005/8/layout/process2"/>
    <dgm:cxn modelId="{5FEACB3C-D9BF-4B88-BC15-E68E816E6C79}" type="presParOf" srcId="{4AB7AA38-5C50-4C73-9995-17C775F3C4F7}" destId="{1F3C41DB-711A-4AFA-BE4C-32EC1EE4BC37}" srcOrd="16" destOrd="0" presId="urn:microsoft.com/office/officeart/2005/8/layout/process2"/>
    <dgm:cxn modelId="{29BF5ABF-913D-4AC7-B980-32C176ACC58F}" type="presParOf" srcId="{4AB7AA38-5C50-4C73-9995-17C775F3C4F7}" destId="{13B496FC-3015-4AC3-9F9D-B7106498665A}" srcOrd="17" destOrd="0" presId="urn:microsoft.com/office/officeart/2005/8/layout/process2"/>
    <dgm:cxn modelId="{ECA53922-E963-4A65-BAA9-3D1446EEB4DE}" type="presParOf" srcId="{13B496FC-3015-4AC3-9F9D-B7106498665A}" destId="{CCEF9512-F56C-4103-94C9-80F4DAAD7E74}" srcOrd="0" destOrd="0" presId="urn:microsoft.com/office/officeart/2005/8/layout/process2"/>
    <dgm:cxn modelId="{FE210B62-2C87-4679-9FDC-37D89771184C}" type="presParOf" srcId="{4AB7AA38-5C50-4C73-9995-17C775F3C4F7}" destId="{A12779F6-FE5D-4E73-8CD0-A5DD4F4C9994}" srcOrd="18" destOrd="0" presId="urn:microsoft.com/office/officeart/2005/8/layout/process2"/>
    <dgm:cxn modelId="{D06296EC-3AEE-4726-BD13-38423D4997E6}" type="presParOf" srcId="{4AB7AA38-5C50-4C73-9995-17C775F3C4F7}" destId="{F3702268-2E58-4CDF-A54A-FDA3401F07B5}" srcOrd="19" destOrd="0" presId="urn:microsoft.com/office/officeart/2005/8/layout/process2"/>
    <dgm:cxn modelId="{610624E6-3BBB-4F2B-B6E0-B6DD6272267A}" type="presParOf" srcId="{F3702268-2E58-4CDF-A54A-FDA3401F07B5}" destId="{38C71CD4-F5F5-4611-B471-E6B027803EA1}" srcOrd="0" destOrd="0" presId="urn:microsoft.com/office/officeart/2005/8/layout/process2"/>
    <dgm:cxn modelId="{8734CAB2-FFD0-4957-9ABB-3173C586F40E}" type="presParOf" srcId="{4AB7AA38-5C50-4C73-9995-17C775F3C4F7}" destId="{20876280-92E3-4A0D-88B9-F920E80C9E29}" srcOrd="20" destOrd="0" presId="urn:microsoft.com/office/officeart/2005/8/layout/process2"/>
    <dgm:cxn modelId="{79F27293-5763-4E91-8603-9F90870F867A}" type="presParOf" srcId="{4AB7AA38-5C50-4C73-9995-17C775F3C4F7}" destId="{0D8821C6-60EB-4411-A8CE-27D032185AED}" srcOrd="21" destOrd="0" presId="urn:microsoft.com/office/officeart/2005/8/layout/process2"/>
    <dgm:cxn modelId="{45D29E0B-C593-4F44-9F01-BB2654E3BEB4}" type="presParOf" srcId="{0D8821C6-60EB-4411-A8CE-27D032185AED}" destId="{067806D0-4CB6-431E-9024-40B9FB611A43}" srcOrd="0" destOrd="0" presId="urn:microsoft.com/office/officeart/2005/8/layout/process2"/>
    <dgm:cxn modelId="{AC81AC2C-64F8-4398-B078-B5EE28B927E0}" type="presParOf" srcId="{4AB7AA38-5C50-4C73-9995-17C775F3C4F7}" destId="{CEE653A3-1165-495D-A330-4EAE0F52AD94}" srcOrd="22" destOrd="0" presId="urn:microsoft.com/office/officeart/2005/8/layout/process2"/>
    <dgm:cxn modelId="{3BD5307F-8FBC-447F-B38B-20B56927B10B}" type="presParOf" srcId="{4AB7AA38-5C50-4C73-9995-17C775F3C4F7}" destId="{21835D33-EB94-48C7-83F4-94CDACFDF094}" srcOrd="23" destOrd="0" presId="urn:microsoft.com/office/officeart/2005/8/layout/process2"/>
    <dgm:cxn modelId="{D25F3872-164F-4B94-BEFF-6F79169340EF}" type="presParOf" srcId="{21835D33-EB94-48C7-83F4-94CDACFDF094}" destId="{9973EB43-D597-429C-8FF1-6C308D4DE9B0}" srcOrd="0" destOrd="0" presId="urn:microsoft.com/office/officeart/2005/8/layout/process2"/>
    <dgm:cxn modelId="{7181440C-B91B-4923-B03D-39D3C980C767}" type="presParOf" srcId="{4AB7AA38-5C50-4C73-9995-17C775F3C4F7}" destId="{C89DB641-7488-48F1-95BE-ABC0174A11D1}" srcOrd="24" destOrd="0" presId="urn:microsoft.com/office/officeart/2005/8/layout/process2"/>
  </dgm:cxnLst>
  <dgm:bg/>
  <dgm:whole/>
  <dgm:extLst>
    <a:ext uri="http://schemas.microsoft.com/office/drawing/2008/diagram">
      <dsp:dataModelExt xmlns:dsp="http://schemas.microsoft.com/office/drawing/2008/diagram" relId="rId35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793770D-5C1A-473B-88CE-BDB64D505A6D}" type="doc">
      <dgm:prSet loTypeId="urn:microsoft.com/office/officeart/2005/8/layout/hList2" loCatId="list" qsTypeId="urn:microsoft.com/office/officeart/2005/8/quickstyle/simple1" qsCatId="simple" csTypeId="urn:microsoft.com/office/officeart/2005/8/colors/colorful1" csCatId="colorful" phldr="1"/>
      <dgm:spPr/>
      <dgm:t>
        <a:bodyPr/>
        <a:lstStyle/>
        <a:p>
          <a:endParaRPr lang="en-US"/>
        </a:p>
      </dgm:t>
    </dgm:pt>
    <dgm:pt modelId="{FC9EBBB6-FB98-4EB1-A41A-2684A130FE56}">
      <dgm:prSet phldrT="[Text]"/>
      <dgm:spPr>
        <a:xfrm rot="16200000">
          <a:off x="-1232646" y="1935385"/>
          <a:ext cx="2746933" cy="210943"/>
        </a:xfrm>
        <a:noFill/>
        <a:ln>
          <a:noFill/>
        </a:ln>
        <a:effectLst/>
      </dgm:spPr>
      <dgm:t>
        <a:bodyPr/>
        <a:lstStyle/>
        <a:p>
          <a:pPr>
            <a:buNone/>
          </a:pPr>
          <a:r>
            <a:rPr lang="ro-RO">
              <a:solidFill>
                <a:srgbClr val="000000">
                  <a:hueOff val="0"/>
                  <a:satOff val="0"/>
                  <a:lumOff val="0"/>
                  <a:alphaOff val="0"/>
                </a:srgbClr>
              </a:solidFill>
              <a:latin typeface="Calibri"/>
              <a:ea typeface="+mn-ea"/>
              <a:cs typeface="+mn-cs"/>
            </a:rPr>
            <a:t>Sănătate și Bunăstare</a:t>
          </a:r>
          <a:endParaRPr lang="en-US">
            <a:solidFill>
              <a:srgbClr val="000000">
                <a:hueOff val="0"/>
                <a:satOff val="0"/>
                <a:lumOff val="0"/>
                <a:alphaOff val="0"/>
              </a:srgbClr>
            </a:solidFill>
            <a:latin typeface="Calibri"/>
            <a:ea typeface="+mn-ea"/>
            <a:cs typeface="+mn-cs"/>
          </a:endParaRPr>
        </a:p>
      </dgm:t>
    </dgm:pt>
    <dgm:pt modelId="{B76FC654-81DD-4D88-BA33-08AA692E6266}" type="parTrans" cxnId="{4C58547A-5D4E-4C2E-8C0F-1210F5840C51}">
      <dgm:prSet/>
      <dgm:spPr/>
      <dgm:t>
        <a:bodyPr/>
        <a:lstStyle/>
        <a:p>
          <a:endParaRPr lang="en-US"/>
        </a:p>
      </dgm:t>
    </dgm:pt>
    <dgm:pt modelId="{44C34921-1ADF-4927-8938-90F70E5AA8B5}" type="sibTrans" cxnId="{4C58547A-5D4E-4C2E-8C0F-1210F5840C51}">
      <dgm:prSet/>
      <dgm:spPr/>
      <dgm:t>
        <a:bodyPr/>
        <a:lstStyle/>
        <a:p>
          <a:endParaRPr lang="en-US"/>
        </a:p>
      </dgm:t>
    </dgm:pt>
    <dgm:pt modelId="{1CB52223-01BB-4DEF-BF1E-BF45AB02B006}">
      <dgm:prSet phldrT="[Text]"/>
      <dgm:spPr>
        <a:xfrm rot="16200000">
          <a:off x="1830082" y="1935385"/>
          <a:ext cx="2746933" cy="210943"/>
        </a:xfrm>
        <a:noFill/>
        <a:ln>
          <a:noFill/>
        </a:ln>
        <a:effectLst/>
      </dgm:spPr>
      <dgm:t>
        <a:bodyPr/>
        <a:lstStyle/>
        <a:p>
          <a:pPr>
            <a:buNone/>
          </a:pPr>
          <a:r>
            <a:rPr lang="ro-RO">
              <a:solidFill>
                <a:srgbClr val="000000">
                  <a:hueOff val="0"/>
                  <a:satOff val="0"/>
                  <a:lumOff val="0"/>
                  <a:alphaOff val="0"/>
                </a:srgbClr>
              </a:solidFill>
              <a:latin typeface="Calibri"/>
              <a:ea typeface="+mn-ea"/>
              <a:cs typeface="+mn-cs"/>
            </a:rPr>
            <a:t>Infrastructură și Mediu</a:t>
          </a:r>
          <a:endParaRPr lang="en-US">
            <a:solidFill>
              <a:srgbClr val="000000">
                <a:hueOff val="0"/>
                <a:satOff val="0"/>
                <a:lumOff val="0"/>
                <a:alphaOff val="0"/>
              </a:srgbClr>
            </a:solidFill>
            <a:latin typeface="Calibri"/>
            <a:ea typeface="+mn-ea"/>
            <a:cs typeface="+mn-cs"/>
          </a:endParaRPr>
        </a:p>
      </dgm:t>
    </dgm:pt>
    <dgm:pt modelId="{0543D02E-07AC-4A1C-9D4E-3856A42C6046}" type="parTrans" cxnId="{BCCB7645-D69F-44E4-8782-1393164BD185}">
      <dgm:prSet/>
      <dgm:spPr/>
      <dgm:t>
        <a:bodyPr/>
        <a:lstStyle/>
        <a:p>
          <a:endParaRPr lang="en-US"/>
        </a:p>
      </dgm:t>
    </dgm:pt>
    <dgm:pt modelId="{21D5EC17-2472-40EB-BE1A-2C9D0CA0651B}" type="sibTrans" cxnId="{BCCB7645-D69F-44E4-8782-1393164BD185}">
      <dgm:prSet/>
      <dgm:spPr/>
      <dgm:t>
        <a:bodyPr/>
        <a:lstStyle/>
        <a:p>
          <a:endParaRPr lang="en-US"/>
        </a:p>
      </dgm:t>
    </dgm:pt>
    <dgm:pt modelId="{9231421E-873C-4FCA-9503-50311ABC3B29}">
      <dgm:prSet phldrT="[Text]"/>
      <dgm:spPr>
        <a:xfrm rot="16200000">
          <a:off x="3361446" y="1935385"/>
          <a:ext cx="2746933" cy="210943"/>
        </a:xfrm>
        <a:noFill/>
        <a:ln>
          <a:noFill/>
        </a:ln>
        <a:effectLst/>
      </dgm:spPr>
      <dgm:t>
        <a:bodyPr/>
        <a:lstStyle/>
        <a:p>
          <a:pPr>
            <a:buNone/>
          </a:pPr>
          <a:r>
            <a:rPr lang="ro-RO">
              <a:solidFill>
                <a:srgbClr val="000000">
                  <a:hueOff val="0"/>
                  <a:satOff val="0"/>
                  <a:lumOff val="0"/>
                  <a:alphaOff val="0"/>
                </a:srgbClr>
              </a:solidFill>
              <a:latin typeface="Calibri"/>
              <a:ea typeface="+mn-ea"/>
              <a:cs typeface="+mn-cs"/>
            </a:rPr>
            <a:t>Leadership și Strategie</a:t>
          </a:r>
          <a:endParaRPr lang="en-US">
            <a:solidFill>
              <a:srgbClr val="000000">
                <a:hueOff val="0"/>
                <a:satOff val="0"/>
                <a:lumOff val="0"/>
                <a:alphaOff val="0"/>
              </a:srgbClr>
            </a:solidFill>
            <a:latin typeface="Calibri"/>
            <a:ea typeface="+mn-ea"/>
            <a:cs typeface="+mn-cs"/>
          </a:endParaRPr>
        </a:p>
      </dgm:t>
    </dgm:pt>
    <dgm:pt modelId="{CB995360-9665-43AD-824F-01091E9BF08E}" type="parTrans" cxnId="{A6CE8FF3-3578-48FF-A091-8268D3E2521A}">
      <dgm:prSet/>
      <dgm:spPr/>
      <dgm:t>
        <a:bodyPr/>
        <a:lstStyle/>
        <a:p>
          <a:endParaRPr lang="en-US"/>
        </a:p>
      </dgm:t>
    </dgm:pt>
    <dgm:pt modelId="{910BC3A8-8025-42C5-BD76-57B183BD759D}" type="sibTrans" cxnId="{A6CE8FF3-3578-48FF-A091-8268D3E2521A}">
      <dgm:prSet/>
      <dgm:spPr/>
      <dgm:t>
        <a:bodyPr/>
        <a:lstStyle/>
        <a:p>
          <a:endParaRPr lang="en-US"/>
        </a:p>
      </dgm:t>
    </dgm:pt>
    <dgm:pt modelId="{F6D0C430-2CD8-45DC-B1F5-C026137A9339}">
      <dgm:prSet/>
      <dgm:spPr>
        <a:xfrm rot="16200000">
          <a:off x="298717" y="1935385"/>
          <a:ext cx="2746933" cy="210943"/>
        </a:xfrm>
        <a:noFill/>
        <a:ln>
          <a:noFill/>
        </a:ln>
        <a:effectLst/>
      </dgm:spPr>
      <dgm:t>
        <a:bodyPr/>
        <a:lstStyle/>
        <a:p>
          <a:pPr>
            <a:buNone/>
          </a:pPr>
          <a:r>
            <a:rPr lang="ro-RO">
              <a:solidFill>
                <a:srgbClr val="000000">
                  <a:hueOff val="0"/>
                  <a:satOff val="0"/>
                  <a:lumOff val="0"/>
                  <a:alphaOff val="0"/>
                </a:srgbClr>
              </a:solidFill>
              <a:latin typeface="Calibri"/>
              <a:ea typeface="+mn-ea"/>
              <a:cs typeface="+mn-cs"/>
            </a:rPr>
            <a:t>Economie și Societate</a:t>
          </a:r>
          <a:endParaRPr lang="en-US">
            <a:solidFill>
              <a:srgbClr val="000000">
                <a:hueOff val="0"/>
                <a:satOff val="0"/>
                <a:lumOff val="0"/>
                <a:alphaOff val="0"/>
              </a:srgbClr>
            </a:solidFill>
            <a:latin typeface="Calibri"/>
            <a:ea typeface="+mn-ea"/>
            <a:cs typeface="+mn-cs"/>
          </a:endParaRPr>
        </a:p>
      </dgm:t>
    </dgm:pt>
    <dgm:pt modelId="{512C7F57-204A-4FDD-8FFB-4F1A46BC18E9}" type="parTrans" cxnId="{F06EAD9D-EA17-4FCC-9DE6-27888A3F500C}">
      <dgm:prSet/>
      <dgm:spPr/>
      <dgm:t>
        <a:bodyPr/>
        <a:lstStyle/>
        <a:p>
          <a:endParaRPr lang="en-US"/>
        </a:p>
      </dgm:t>
    </dgm:pt>
    <dgm:pt modelId="{E713610F-2D83-4F23-A424-557BD533EE82}" type="sibTrans" cxnId="{F06EAD9D-EA17-4FCC-9DE6-27888A3F500C}">
      <dgm:prSet/>
      <dgm:spPr/>
      <dgm:t>
        <a:bodyPr/>
        <a:lstStyle/>
        <a:p>
          <a:endParaRPr lang="en-US"/>
        </a:p>
      </dgm:t>
    </dgm:pt>
    <dgm:pt modelId="{895FB77D-0329-48EC-9C68-52E94750D62C}">
      <dgm:prSet/>
      <dgm:spPr>
        <a:xfrm>
          <a:off x="246292" y="512407"/>
          <a:ext cx="1050721" cy="2746933"/>
        </a:xfrm>
        <a:solidFill>
          <a:srgbClr val="134753">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Char char="•"/>
          </a:pPr>
          <a:r>
            <a:rPr lang="ro-RO">
              <a:solidFill>
                <a:srgbClr val="FFFFFF"/>
              </a:solidFill>
              <a:latin typeface="Calibri"/>
              <a:ea typeface="+mn-ea"/>
              <a:cs typeface="+mn-cs"/>
            </a:rPr>
            <a:t> depășirea </a:t>
          </a:r>
          <a:r>
            <a:rPr lang="ro-RO" b="1">
              <a:solidFill>
                <a:srgbClr val="FFFFFF"/>
              </a:solidFill>
              <a:latin typeface="Calibri"/>
              <a:ea typeface="+mn-ea"/>
              <a:cs typeface="+mn-cs"/>
            </a:rPr>
            <a:t>inegalităților sociale</a:t>
          </a:r>
          <a:r>
            <a:rPr lang="ro-RO">
              <a:solidFill>
                <a:srgbClr val="FFFFFF"/>
              </a:solidFill>
              <a:latin typeface="Calibri"/>
              <a:ea typeface="+mn-ea"/>
              <a:cs typeface="+mn-cs"/>
            </a:rPr>
            <a:t>, în special în ceea ce privește sănătatea și posibilitățile materiale</a:t>
          </a:r>
          <a:endParaRPr lang="en-US">
            <a:solidFill>
              <a:srgbClr val="FFFFFF"/>
            </a:solidFill>
            <a:latin typeface="Calibri"/>
            <a:ea typeface="+mn-ea"/>
            <a:cs typeface="+mn-cs"/>
          </a:endParaRPr>
        </a:p>
      </dgm:t>
    </dgm:pt>
    <dgm:pt modelId="{04FA0732-FCF1-4CFC-830C-6D12EE564DBD}" type="parTrans" cxnId="{B8107065-608A-4411-9902-2BEF2A5AB849}">
      <dgm:prSet/>
      <dgm:spPr/>
      <dgm:t>
        <a:bodyPr/>
        <a:lstStyle/>
        <a:p>
          <a:endParaRPr lang="en-US"/>
        </a:p>
      </dgm:t>
    </dgm:pt>
    <dgm:pt modelId="{0938786F-CE3E-4922-934B-D192123149DF}" type="sibTrans" cxnId="{B8107065-608A-4411-9902-2BEF2A5AB849}">
      <dgm:prSet/>
      <dgm:spPr/>
      <dgm:t>
        <a:bodyPr/>
        <a:lstStyle/>
        <a:p>
          <a:endParaRPr lang="en-US"/>
        </a:p>
      </dgm:t>
    </dgm:pt>
    <dgm:pt modelId="{70A9BAF2-EA8F-4D87-898C-DADD576987A7}">
      <dgm:prSet/>
      <dgm:spPr>
        <a:xfrm>
          <a:off x="1777656" y="512407"/>
          <a:ext cx="1050721" cy="2746933"/>
        </a:xfrm>
        <a:solidFill>
          <a:srgbClr val="3CA1BC">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Char char="•"/>
          </a:pPr>
          <a:r>
            <a:rPr lang="ro-RO" b="1">
              <a:solidFill>
                <a:srgbClr val="FFFFFF"/>
              </a:solidFill>
              <a:latin typeface="Calibri"/>
              <a:ea typeface="+mn-ea"/>
              <a:cs typeface="+mn-cs"/>
            </a:rPr>
            <a:t>stimuli economici </a:t>
          </a:r>
          <a:r>
            <a:rPr lang="ro-RO">
              <a:solidFill>
                <a:srgbClr val="FFFFFF"/>
              </a:solidFill>
              <a:latin typeface="Calibri"/>
              <a:ea typeface="+mn-ea"/>
              <a:cs typeface="+mn-cs"/>
            </a:rPr>
            <a:t>pentru sectoare specifice la nivel local/regional</a:t>
          </a:r>
          <a:endParaRPr lang="en-US">
            <a:solidFill>
              <a:srgbClr val="FFFFFF"/>
            </a:solidFill>
            <a:latin typeface="Calibri"/>
            <a:ea typeface="+mn-ea"/>
            <a:cs typeface="+mn-cs"/>
          </a:endParaRPr>
        </a:p>
      </dgm:t>
    </dgm:pt>
    <dgm:pt modelId="{BFF19CB3-3F49-49C4-AB86-45CE3ACF5A76}" type="parTrans" cxnId="{3E291D8E-B92C-43CF-8A42-D33A14B2B2D2}">
      <dgm:prSet/>
      <dgm:spPr/>
      <dgm:t>
        <a:bodyPr/>
        <a:lstStyle/>
        <a:p>
          <a:endParaRPr lang="en-US"/>
        </a:p>
      </dgm:t>
    </dgm:pt>
    <dgm:pt modelId="{AD6F9489-0364-49EE-A674-D9CBD57C4BD2}" type="sibTrans" cxnId="{3E291D8E-B92C-43CF-8A42-D33A14B2B2D2}">
      <dgm:prSet/>
      <dgm:spPr/>
      <dgm:t>
        <a:bodyPr/>
        <a:lstStyle/>
        <a:p>
          <a:endParaRPr lang="en-US"/>
        </a:p>
      </dgm:t>
    </dgm:pt>
    <dgm:pt modelId="{7B7BC3DA-BBC3-4DCF-96EC-F85547E7EA2E}">
      <dgm:prSet/>
      <dgm:spPr>
        <a:xfrm>
          <a:off x="1777656" y="512407"/>
          <a:ext cx="1050721" cy="2746933"/>
        </a:xfrm>
        <a:solidFill>
          <a:srgbClr val="3CA1BC">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Char char="•"/>
          </a:pPr>
          <a:r>
            <a:rPr lang="ro-RO" b="1" dirty="0">
              <a:solidFill>
                <a:srgbClr val="FFFFFF"/>
              </a:solidFill>
              <a:latin typeface="Calibri"/>
              <a:ea typeface="+mn-ea"/>
              <a:cs typeface="+mn-cs"/>
            </a:rPr>
            <a:t>justiție socială </a:t>
          </a:r>
          <a:r>
            <a:rPr lang="ro-RO" dirty="0">
              <a:solidFill>
                <a:srgbClr val="FFFFFF"/>
              </a:solidFill>
              <a:latin typeface="Calibri"/>
              <a:ea typeface="+mn-ea"/>
              <a:cs typeface="+mn-cs"/>
            </a:rPr>
            <a:t>ca parte a strategiei de dezvoltare economică</a:t>
          </a:r>
          <a:endParaRPr lang="en-US" dirty="0">
            <a:solidFill>
              <a:srgbClr val="FFFFFF"/>
            </a:solidFill>
            <a:latin typeface="Calibri"/>
            <a:ea typeface="+mn-ea"/>
            <a:cs typeface="+mn-cs"/>
          </a:endParaRPr>
        </a:p>
      </dgm:t>
    </dgm:pt>
    <dgm:pt modelId="{395479A4-91EF-4E86-A480-036B11376708}" type="parTrans" cxnId="{FB052413-FF2F-4764-8FF3-E85A3B8CF510}">
      <dgm:prSet/>
      <dgm:spPr/>
      <dgm:t>
        <a:bodyPr/>
        <a:lstStyle/>
        <a:p>
          <a:endParaRPr lang="en-US"/>
        </a:p>
      </dgm:t>
    </dgm:pt>
    <dgm:pt modelId="{FD2216F8-DF06-420A-B15E-C934CCBCFEE2}" type="sibTrans" cxnId="{FB052413-FF2F-4764-8FF3-E85A3B8CF510}">
      <dgm:prSet/>
      <dgm:spPr/>
      <dgm:t>
        <a:bodyPr/>
        <a:lstStyle/>
        <a:p>
          <a:endParaRPr lang="en-US"/>
        </a:p>
      </dgm:t>
    </dgm:pt>
    <dgm:pt modelId="{EE3D88A8-A873-412F-8D25-EB20DE91ED8F}">
      <dgm:prSet/>
      <dgm:spPr>
        <a:xfrm>
          <a:off x="246292" y="512407"/>
          <a:ext cx="1050721" cy="2746933"/>
        </a:xfrm>
        <a:solidFill>
          <a:srgbClr val="134753">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Char char="•"/>
          </a:pPr>
          <a:r>
            <a:rPr lang="ro-RO" dirty="0">
              <a:solidFill>
                <a:srgbClr val="FFFFFF"/>
              </a:solidFill>
              <a:latin typeface="Calibri"/>
              <a:ea typeface="+mn-ea"/>
              <a:cs typeface="+mn-cs"/>
            </a:rPr>
            <a:t> recunoașterea problemelor sociale ce țin de </a:t>
          </a:r>
          <a:r>
            <a:rPr lang="ro-RO" b="1" dirty="0">
              <a:solidFill>
                <a:srgbClr val="FFFFFF"/>
              </a:solidFill>
              <a:latin typeface="Calibri"/>
              <a:ea typeface="+mn-ea"/>
              <a:cs typeface="+mn-cs"/>
            </a:rPr>
            <a:t>sănătate</a:t>
          </a:r>
          <a:endParaRPr lang="en-US" b="1" dirty="0">
            <a:solidFill>
              <a:srgbClr val="FFFFFF"/>
            </a:solidFill>
            <a:latin typeface="Calibri"/>
            <a:ea typeface="+mn-ea"/>
            <a:cs typeface="+mn-cs"/>
          </a:endParaRPr>
        </a:p>
      </dgm:t>
    </dgm:pt>
    <dgm:pt modelId="{8DE709B0-BDAA-46A7-A5D5-2D5BF7C15490}" type="parTrans" cxnId="{FF986973-DAAA-49F9-BA6F-DA34D7F1F672}">
      <dgm:prSet/>
      <dgm:spPr/>
      <dgm:t>
        <a:bodyPr/>
        <a:lstStyle/>
        <a:p>
          <a:endParaRPr lang="en-US"/>
        </a:p>
      </dgm:t>
    </dgm:pt>
    <dgm:pt modelId="{0E1779EA-F0B1-40B4-B0D1-A16D904493CB}" type="sibTrans" cxnId="{FF986973-DAAA-49F9-BA6F-DA34D7F1F672}">
      <dgm:prSet/>
      <dgm:spPr/>
      <dgm:t>
        <a:bodyPr/>
        <a:lstStyle/>
        <a:p>
          <a:endParaRPr lang="en-US"/>
        </a:p>
      </dgm:t>
    </dgm:pt>
    <dgm:pt modelId="{19ABE24B-0870-412C-84D1-C595AA7CFCBD}">
      <dgm:prSet/>
      <dgm:spPr>
        <a:xfrm>
          <a:off x="3309020" y="512407"/>
          <a:ext cx="1050721" cy="2746933"/>
        </a:xfrm>
        <a:solidFill>
          <a:srgbClr val="588133"/>
        </a:solidFill>
        <a:ln w="25400" cap="flat" cmpd="sng" algn="ctr">
          <a:solidFill>
            <a:srgbClr val="FFFFFF">
              <a:hueOff val="0"/>
              <a:satOff val="0"/>
              <a:lumOff val="0"/>
              <a:alphaOff val="0"/>
            </a:srgbClr>
          </a:solidFill>
          <a:prstDash val="solid"/>
        </a:ln>
        <a:effectLst/>
      </dgm:spPr>
      <dgm:t>
        <a:bodyPr/>
        <a:lstStyle/>
        <a:p>
          <a:pPr>
            <a:buChar char="•"/>
          </a:pPr>
          <a:r>
            <a:rPr lang="ro-RO">
              <a:solidFill>
                <a:srgbClr val="FFFFFF"/>
              </a:solidFill>
              <a:latin typeface="Calibri"/>
              <a:ea typeface="+mn-ea"/>
              <a:cs typeface="+mn-cs"/>
            </a:rPr>
            <a:t>dezvoltarea rapidă a infrastructurii în vederea depășirii problemelor economice </a:t>
          </a:r>
          <a:endParaRPr lang="en-US">
            <a:solidFill>
              <a:srgbClr val="FFFFFF"/>
            </a:solidFill>
            <a:latin typeface="Calibri"/>
            <a:ea typeface="+mn-ea"/>
            <a:cs typeface="+mn-cs"/>
          </a:endParaRPr>
        </a:p>
      </dgm:t>
    </dgm:pt>
    <dgm:pt modelId="{567B644F-A5AA-4EA4-AFDC-2DCFA4594800}" type="parTrans" cxnId="{8A970C74-50FF-4969-9182-CDF0D36D6101}">
      <dgm:prSet/>
      <dgm:spPr/>
      <dgm:t>
        <a:bodyPr/>
        <a:lstStyle/>
        <a:p>
          <a:endParaRPr lang="en-US"/>
        </a:p>
      </dgm:t>
    </dgm:pt>
    <dgm:pt modelId="{3F9EC454-D5D1-4FBE-8A56-E67AA0C4C37F}" type="sibTrans" cxnId="{8A970C74-50FF-4969-9182-CDF0D36D6101}">
      <dgm:prSet/>
      <dgm:spPr/>
      <dgm:t>
        <a:bodyPr/>
        <a:lstStyle/>
        <a:p>
          <a:endParaRPr lang="en-US"/>
        </a:p>
      </dgm:t>
    </dgm:pt>
    <dgm:pt modelId="{AFFC911D-EA13-45E0-B678-216B58A3DED1}">
      <dgm:prSet/>
      <dgm:spPr>
        <a:xfrm>
          <a:off x="3309020" y="512407"/>
          <a:ext cx="1050721" cy="2746933"/>
        </a:xfrm>
        <a:solidFill>
          <a:srgbClr val="588133"/>
        </a:solidFill>
        <a:ln w="25400" cap="flat" cmpd="sng" algn="ctr">
          <a:solidFill>
            <a:srgbClr val="FFFFFF">
              <a:hueOff val="0"/>
              <a:satOff val="0"/>
              <a:lumOff val="0"/>
              <a:alphaOff val="0"/>
            </a:srgbClr>
          </a:solidFill>
          <a:prstDash val="solid"/>
        </a:ln>
        <a:effectLst/>
      </dgm:spPr>
      <dgm:t>
        <a:bodyPr/>
        <a:lstStyle/>
        <a:p>
          <a:pPr>
            <a:buChar char="•"/>
          </a:pPr>
          <a:r>
            <a:rPr lang="ro-RO" dirty="0">
              <a:solidFill>
                <a:srgbClr val="FFFFFF"/>
              </a:solidFill>
              <a:latin typeface="Calibri"/>
              <a:ea typeface="+mn-ea"/>
              <a:cs typeface="+mn-cs"/>
            </a:rPr>
            <a:t>orientare către accelerarea </a:t>
          </a:r>
          <a:r>
            <a:rPr lang="ro-RO" b="1" dirty="0">
              <a:solidFill>
                <a:srgbClr val="FFFFFF"/>
              </a:solidFill>
              <a:latin typeface="Calibri"/>
              <a:ea typeface="+mn-ea"/>
              <a:cs typeface="+mn-cs"/>
            </a:rPr>
            <a:t>agendelor "verzi"</a:t>
          </a:r>
          <a:endParaRPr lang="en-US" b="1" dirty="0">
            <a:solidFill>
              <a:srgbClr val="FFFFFF"/>
            </a:solidFill>
            <a:latin typeface="Calibri"/>
            <a:ea typeface="+mn-ea"/>
            <a:cs typeface="+mn-cs"/>
          </a:endParaRPr>
        </a:p>
      </dgm:t>
    </dgm:pt>
    <dgm:pt modelId="{A78B17F9-97AF-4C1C-866F-81E0E5912F4F}" type="parTrans" cxnId="{3F72EEEA-F3BB-4D10-A823-CB3E60A61C5A}">
      <dgm:prSet/>
      <dgm:spPr/>
      <dgm:t>
        <a:bodyPr/>
        <a:lstStyle/>
        <a:p>
          <a:endParaRPr lang="en-US"/>
        </a:p>
      </dgm:t>
    </dgm:pt>
    <dgm:pt modelId="{5F2B49E0-C868-4BD9-A0C4-457D05FDBE66}" type="sibTrans" cxnId="{3F72EEEA-F3BB-4D10-A823-CB3E60A61C5A}">
      <dgm:prSet/>
      <dgm:spPr/>
      <dgm:t>
        <a:bodyPr/>
        <a:lstStyle/>
        <a:p>
          <a:endParaRPr lang="en-US"/>
        </a:p>
      </dgm:t>
    </dgm:pt>
    <dgm:pt modelId="{F7217BAB-9F31-4B18-AA31-3DF272788171}">
      <dgm:prSet/>
      <dgm:spPr>
        <a:xfrm>
          <a:off x="4840385" y="512407"/>
          <a:ext cx="1050721" cy="2746933"/>
        </a:xfrm>
        <a:solidFill>
          <a:srgbClr val="ABCD3A">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Char char="•"/>
          </a:pPr>
          <a:r>
            <a:rPr lang="ro-RO" dirty="0">
              <a:solidFill>
                <a:srgbClr val="FFFFFF"/>
              </a:solidFill>
              <a:latin typeface="Calibri"/>
              <a:ea typeface="+mn-ea"/>
              <a:cs typeface="+mn-cs"/>
            </a:rPr>
            <a:t>dezvoltarea unor </a:t>
          </a:r>
          <a:r>
            <a:rPr lang="ro-RO" b="1" dirty="0">
              <a:solidFill>
                <a:srgbClr val="FFFFFF"/>
              </a:solidFill>
              <a:latin typeface="Calibri"/>
              <a:ea typeface="+mn-ea"/>
              <a:cs typeface="+mn-cs"/>
            </a:rPr>
            <a:t>procese eficiente </a:t>
          </a:r>
          <a:r>
            <a:rPr lang="ro-RO" dirty="0">
              <a:solidFill>
                <a:srgbClr val="FFFFFF"/>
              </a:solidFill>
              <a:latin typeface="Calibri"/>
              <a:ea typeface="+mn-ea"/>
              <a:cs typeface="+mn-cs"/>
            </a:rPr>
            <a:t>menite să identifice lecțiile învățate, să evalueze riscurile, urmând ca mai apoi să integreze aceste aspecte în măsuri de redresare</a:t>
          </a:r>
          <a:endParaRPr lang="en-US" dirty="0">
            <a:solidFill>
              <a:srgbClr val="FFFFFF"/>
            </a:solidFill>
            <a:latin typeface="Calibri"/>
            <a:ea typeface="+mn-ea"/>
            <a:cs typeface="+mn-cs"/>
          </a:endParaRPr>
        </a:p>
      </dgm:t>
    </dgm:pt>
    <dgm:pt modelId="{EB97BA14-3343-47BE-B67C-614EF1FFF44F}" type="parTrans" cxnId="{59876B43-11E2-417D-9A95-1325768E6CDC}">
      <dgm:prSet/>
      <dgm:spPr/>
      <dgm:t>
        <a:bodyPr/>
        <a:lstStyle/>
        <a:p>
          <a:endParaRPr lang="en-US"/>
        </a:p>
      </dgm:t>
    </dgm:pt>
    <dgm:pt modelId="{EA809658-2349-4151-A021-549DD5D03416}" type="sibTrans" cxnId="{59876B43-11E2-417D-9A95-1325768E6CDC}">
      <dgm:prSet/>
      <dgm:spPr/>
      <dgm:t>
        <a:bodyPr/>
        <a:lstStyle/>
        <a:p>
          <a:endParaRPr lang="en-US"/>
        </a:p>
      </dgm:t>
    </dgm:pt>
    <dgm:pt modelId="{8E1C4FC3-D130-4850-AF20-A4248F225C98}">
      <dgm:prSet/>
      <dgm:spPr>
        <a:xfrm>
          <a:off x="4840385" y="512407"/>
          <a:ext cx="1050721" cy="2746933"/>
        </a:xfrm>
        <a:solidFill>
          <a:srgbClr val="ABCD3A">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Char char="•"/>
          </a:pPr>
          <a:r>
            <a:rPr lang="ro-RO" b="1" dirty="0">
              <a:solidFill>
                <a:srgbClr val="FFFFFF"/>
              </a:solidFill>
              <a:latin typeface="Calibri"/>
              <a:ea typeface="+mn-ea"/>
              <a:cs typeface="+mn-cs"/>
            </a:rPr>
            <a:t>schimburi de experiență </a:t>
          </a:r>
          <a:r>
            <a:rPr lang="ro-RO" dirty="0">
              <a:solidFill>
                <a:srgbClr val="FFFFFF"/>
              </a:solidFill>
              <a:latin typeface="Calibri"/>
              <a:ea typeface="+mn-ea"/>
              <a:cs typeface="+mn-cs"/>
            </a:rPr>
            <a:t>la nivel internațional - participare prin transmiterea lecțiilor învățate la nivel local</a:t>
          </a:r>
          <a:endParaRPr lang="en-US" dirty="0">
            <a:solidFill>
              <a:srgbClr val="FFFFFF"/>
            </a:solidFill>
            <a:latin typeface="Calibri"/>
            <a:ea typeface="+mn-ea"/>
            <a:cs typeface="+mn-cs"/>
          </a:endParaRPr>
        </a:p>
      </dgm:t>
    </dgm:pt>
    <dgm:pt modelId="{7DBB4024-6ABE-4ADD-B4C3-928784966301}" type="parTrans" cxnId="{609D9DA7-E7EF-4DF9-B133-56AAA6A470BC}">
      <dgm:prSet/>
      <dgm:spPr/>
      <dgm:t>
        <a:bodyPr/>
        <a:lstStyle/>
        <a:p>
          <a:endParaRPr lang="en-US"/>
        </a:p>
      </dgm:t>
    </dgm:pt>
    <dgm:pt modelId="{F00138AE-7B2E-40AE-AB18-7C74BE22BB4F}" type="sibTrans" cxnId="{609D9DA7-E7EF-4DF9-B133-56AAA6A470BC}">
      <dgm:prSet/>
      <dgm:spPr/>
      <dgm:t>
        <a:bodyPr/>
        <a:lstStyle/>
        <a:p>
          <a:endParaRPr lang="en-US"/>
        </a:p>
      </dgm:t>
    </dgm:pt>
    <dgm:pt modelId="{44A656C0-E364-4CD1-8284-4421A13BC486}">
      <dgm:prSet/>
      <dgm:spPr>
        <a:xfrm>
          <a:off x="1777656" y="512407"/>
          <a:ext cx="1050721" cy="2746933"/>
        </a:xfrm>
        <a:solidFill>
          <a:srgbClr val="3CA1BC">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Char char="•"/>
          </a:pPr>
          <a:r>
            <a:rPr lang="ro-RO" b="1" dirty="0">
              <a:solidFill>
                <a:srgbClr val="FFFFFF"/>
              </a:solidFill>
              <a:latin typeface="Calibri"/>
              <a:ea typeface="+mn-ea"/>
              <a:cs typeface="+mn-cs"/>
            </a:rPr>
            <a:t>capital social și identitate locală</a:t>
          </a:r>
          <a:endParaRPr lang="en-US" b="1" dirty="0">
            <a:solidFill>
              <a:srgbClr val="FFFFFF"/>
            </a:solidFill>
            <a:latin typeface="Calibri"/>
            <a:ea typeface="+mn-ea"/>
            <a:cs typeface="+mn-cs"/>
          </a:endParaRPr>
        </a:p>
      </dgm:t>
    </dgm:pt>
    <dgm:pt modelId="{802183CC-3E7F-41D4-967F-8C817F4BA289}" type="parTrans" cxnId="{1578CD14-2F23-4740-B9D4-EC250B9AEB80}">
      <dgm:prSet/>
      <dgm:spPr/>
      <dgm:t>
        <a:bodyPr/>
        <a:lstStyle/>
        <a:p>
          <a:endParaRPr lang="en-US"/>
        </a:p>
      </dgm:t>
    </dgm:pt>
    <dgm:pt modelId="{6D184CC0-AD02-469E-9D7B-3F4A8581AD25}" type="sibTrans" cxnId="{1578CD14-2F23-4740-B9D4-EC250B9AEB80}">
      <dgm:prSet/>
      <dgm:spPr/>
      <dgm:t>
        <a:bodyPr/>
        <a:lstStyle/>
        <a:p>
          <a:endParaRPr lang="en-US"/>
        </a:p>
      </dgm:t>
    </dgm:pt>
    <dgm:pt modelId="{85DBB118-C75F-4245-A67B-FC280FAC9ACF}">
      <dgm:prSet/>
      <dgm:spPr>
        <a:xfrm>
          <a:off x="3309020" y="512407"/>
          <a:ext cx="1050721" cy="2746933"/>
        </a:xfrm>
        <a:solidFill>
          <a:srgbClr val="588133"/>
        </a:solidFill>
        <a:ln w="25400" cap="flat" cmpd="sng" algn="ctr">
          <a:solidFill>
            <a:srgbClr val="FFFFFF">
              <a:hueOff val="0"/>
              <a:satOff val="0"/>
              <a:lumOff val="0"/>
              <a:alphaOff val="0"/>
            </a:srgbClr>
          </a:solidFill>
          <a:prstDash val="solid"/>
        </a:ln>
        <a:effectLst/>
      </dgm:spPr>
      <dgm:t>
        <a:bodyPr/>
        <a:lstStyle/>
        <a:p>
          <a:pPr>
            <a:buChar char="•"/>
          </a:pPr>
          <a:r>
            <a:rPr lang="ro-RO" b="0" dirty="0">
              <a:solidFill>
                <a:srgbClr val="FFFFFF"/>
              </a:solidFill>
              <a:latin typeface="Calibri"/>
              <a:ea typeface="+mn-ea"/>
              <a:cs typeface="+mn-cs"/>
            </a:rPr>
            <a:t>ameliorarea </a:t>
          </a:r>
          <a:r>
            <a:rPr lang="ro-RO" b="1" dirty="0">
              <a:solidFill>
                <a:srgbClr val="FFFFFF"/>
              </a:solidFill>
              <a:latin typeface="Calibri"/>
              <a:ea typeface="+mn-ea"/>
              <a:cs typeface="+mn-cs"/>
            </a:rPr>
            <a:t>efectelor schimbărilor climatice</a:t>
          </a:r>
          <a:endParaRPr lang="en-US" b="1" dirty="0">
            <a:solidFill>
              <a:srgbClr val="FFFFFF"/>
            </a:solidFill>
            <a:latin typeface="Calibri"/>
            <a:ea typeface="+mn-ea"/>
            <a:cs typeface="+mn-cs"/>
          </a:endParaRPr>
        </a:p>
      </dgm:t>
    </dgm:pt>
    <dgm:pt modelId="{48E1C5A9-9A2F-4CF6-95EF-49327197877E}" type="parTrans" cxnId="{C2AADCFF-0E4F-40A7-A431-663224A9ECEF}">
      <dgm:prSet/>
      <dgm:spPr/>
      <dgm:t>
        <a:bodyPr/>
        <a:lstStyle/>
        <a:p>
          <a:endParaRPr lang="en-US"/>
        </a:p>
      </dgm:t>
    </dgm:pt>
    <dgm:pt modelId="{89AF20B4-B2DC-4C67-9D40-ECBA5D3C5AA4}" type="sibTrans" cxnId="{C2AADCFF-0E4F-40A7-A431-663224A9ECEF}">
      <dgm:prSet/>
      <dgm:spPr/>
      <dgm:t>
        <a:bodyPr/>
        <a:lstStyle/>
        <a:p>
          <a:endParaRPr lang="en-US"/>
        </a:p>
      </dgm:t>
    </dgm:pt>
    <dgm:pt modelId="{8E1ED184-46B7-4CBE-8B26-A0059BBBB5F5}">
      <dgm:prSet/>
      <dgm:spPr>
        <a:xfrm>
          <a:off x="3309020" y="512407"/>
          <a:ext cx="1050721" cy="2746933"/>
        </a:xfrm>
        <a:solidFill>
          <a:srgbClr val="588133"/>
        </a:solidFill>
        <a:ln w="25400" cap="flat" cmpd="sng" algn="ctr">
          <a:solidFill>
            <a:srgbClr val="FFFFFF">
              <a:hueOff val="0"/>
              <a:satOff val="0"/>
              <a:lumOff val="0"/>
              <a:alphaOff val="0"/>
            </a:srgbClr>
          </a:solidFill>
          <a:prstDash val="solid"/>
        </a:ln>
        <a:effectLst/>
      </dgm:spPr>
      <dgm:t>
        <a:bodyPr/>
        <a:lstStyle/>
        <a:p>
          <a:pPr>
            <a:buChar char="•"/>
          </a:pPr>
          <a:r>
            <a:rPr lang="ro-RO" b="0" dirty="0">
              <a:solidFill>
                <a:srgbClr val="FFFFFF"/>
              </a:solidFill>
              <a:latin typeface="Calibri"/>
              <a:ea typeface="+mn-ea"/>
              <a:cs typeface="+mn-cs"/>
            </a:rPr>
            <a:t>consolidarea infrastructurii critice pentru adaptare la vulnerabilitățile teritoriale </a:t>
          </a:r>
          <a:endParaRPr lang="en-US" b="0" dirty="0">
            <a:solidFill>
              <a:srgbClr val="FFFFFF"/>
            </a:solidFill>
            <a:latin typeface="Calibri"/>
            <a:ea typeface="+mn-ea"/>
            <a:cs typeface="+mn-cs"/>
          </a:endParaRPr>
        </a:p>
      </dgm:t>
    </dgm:pt>
    <dgm:pt modelId="{B9A7991C-A3DC-49D4-B4BC-76F018A5C242}" type="parTrans" cxnId="{E1B7C2FA-0D88-4EEF-8DE0-CABD13758769}">
      <dgm:prSet/>
      <dgm:spPr/>
      <dgm:t>
        <a:bodyPr/>
        <a:lstStyle/>
        <a:p>
          <a:endParaRPr lang="en-US"/>
        </a:p>
      </dgm:t>
    </dgm:pt>
    <dgm:pt modelId="{F99611D4-885B-4598-9B70-9E567A164B6E}" type="sibTrans" cxnId="{E1B7C2FA-0D88-4EEF-8DE0-CABD13758769}">
      <dgm:prSet/>
      <dgm:spPr/>
      <dgm:t>
        <a:bodyPr/>
        <a:lstStyle/>
        <a:p>
          <a:endParaRPr lang="en-US"/>
        </a:p>
      </dgm:t>
    </dgm:pt>
    <dgm:pt modelId="{D40A7578-F5EE-48E8-A6BF-01434C9857F8}">
      <dgm:prSet/>
      <dgm:spPr>
        <a:xfrm>
          <a:off x="1777656" y="512407"/>
          <a:ext cx="1050721" cy="2746933"/>
        </a:xfrm>
        <a:solidFill>
          <a:srgbClr val="3CA1BC">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Char char="•"/>
          </a:pPr>
          <a:r>
            <a:rPr lang="ro-RO" b="0" dirty="0">
              <a:solidFill>
                <a:srgbClr val="FFFFFF"/>
              </a:solidFill>
              <a:latin typeface="Calibri"/>
              <a:ea typeface="+mn-ea"/>
              <a:cs typeface="+mn-cs"/>
            </a:rPr>
            <a:t>dezvoltarea</a:t>
          </a:r>
          <a:r>
            <a:rPr lang="ro-RO" b="1" dirty="0">
              <a:solidFill>
                <a:srgbClr val="FFFFFF"/>
              </a:solidFill>
              <a:latin typeface="Calibri"/>
              <a:ea typeface="+mn-ea"/>
              <a:cs typeface="+mn-cs"/>
            </a:rPr>
            <a:t> sistemului educațional </a:t>
          </a:r>
          <a:endParaRPr lang="en-US" b="1" dirty="0">
            <a:solidFill>
              <a:srgbClr val="FFFFFF"/>
            </a:solidFill>
            <a:latin typeface="Calibri"/>
            <a:ea typeface="+mn-ea"/>
            <a:cs typeface="+mn-cs"/>
          </a:endParaRPr>
        </a:p>
      </dgm:t>
    </dgm:pt>
    <dgm:pt modelId="{AA238906-8665-486C-88E8-38042E64569F}" type="parTrans" cxnId="{3693B0CF-9648-4CFC-B63F-127EF649F3EE}">
      <dgm:prSet/>
      <dgm:spPr/>
      <dgm:t>
        <a:bodyPr/>
        <a:lstStyle/>
        <a:p>
          <a:endParaRPr lang="en-US"/>
        </a:p>
      </dgm:t>
    </dgm:pt>
    <dgm:pt modelId="{C817BD14-4B6F-4ED8-BF35-325690E3E58B}" type="sibTrans" cxnId="{3693B0CF-9648-4CFC-B63F-127EF649F3EE}">
      <dgm:prSet/>
      <dgm:spPr/>
      <dgm:t>
        <a:bodyPr/>
        <a:lstStyle/>
        <a:p>
          <a:endParaRPr lang="en-US"/>
        </a:p>
      </dgm:t>
    </dgm:pt>
    <dgm:pt modelId="{A82C1FF7-0E51-44DA-A55C-9E68B4069B21}" type="pres">
      <dgm:prSet presAssocID="{2793770D-5C1A-473B-88CE-BDB64D505A6D}" presName="linearFlow" presStyleCnt="0">
        <dgm:presLayoutVars>
          <dgm:dir/>
          <dgm:animLvl val="lvl"/>
          <dgm:resizeHandles/>
        </dgm:presLayoutVars>
      </dgm:prSet>
      <dgm:spPr/>
    </dgm:pt>
    <dgm:pt modelId="{57DFA9FF-192C-4347-90C1-A36038441099}" type="pres">
      <dgm:prSet presAssocID="{FC9EBBB6-FB98-4EB1-A41A-2684A130FE56}" presName="compositeNode" presStyleCnt="0">
        <dgm:presLayoutVars>
          <dgm:bulletEnabled val="1"/>
        </dgm:presLayoutVars>
      </dgm:prSet>
      <dgm:spPr/>
    </dgm:pt>
    <dgm:pt modelId="{B888B1E0-49AE-47D2-81B8-E94BE8C9F3BC}" type="pres">
      <dgm:prSet presAssocID="{FC9EBBB6-FB98-4EB1-A41A-2684A130FE56}" presName="image" presStyleLbl="fgImgPlace1" presStyleIdx="0" presStyleCnt="4" custScaleX="86534" custScaleY="86534"/>
      <dgm:spPr>
        <a:xfrm>
          <a:off x="63754" y="262368"/>
          <a:ext cx="365075" cy="365075"/>
        </a:xfrm>
        <a:prstGeom prst="rect">
          <a:avLst/>
        </a:prstGeom>
        <a:blipFill>
          <a:blip xmlns:r="http://schemas.openxmlformats.org/officeDocument/2006/relationships" r:embed="rId1">
            <a:extLst>
              <a:ext uri="{96DAC541-7B7A-43D3-8B79-37D633B846F1}">
                <asvg:svgBlip xmlns:asvg="http://schemas.microsoft.com/office/drawing/2016/SVG/main" r:embed="rId2"/>
              </a:ext>
            </a:extLst>
          </a:blip>
          <a:srcRect/>
          <a:stretch>
            <a:fillRect/>
          </a:stretch>
        </a:blipFill>
        <a:ln w="25400" cap="flat" cmpd="sng" algn="ctr">
          <a:solidFill>
            <a:srgbClr val="FFFFFF">
              <a:hueOff val="0"/>
              <a:satOff val="0"/>
              <a:lumOff val="0"/>
              <a:alphaOff val="0"/>
            </a:srgbClr>
          </a:solidFill>
          <a:prstDash val="solid"/>
        </a:ln>
        <a:effectLst/>
      </dgm:spPr>
      <dgm:extLst>
        <a:ext uri="{E40237B7-FDA0-4F09-8148-C483321AD2D9}">
          <dgm14:cNvPr xmlns:dgm14="http://schemas.microsoft.com/office/drawing/2010/diagram" id="0" name="" descr="Users"/>
        </a:ext>
      </dgm:extLst>
    </dgm:pt>
    <dgm:pt modelId="{B17314EC-F149-47DA-8D8E-9012077D3AAD}" type="pres">
      <dgm:prSet presAssocID="{FC9EBBB6-FB98-4EB1-A41A-2684A130FE56}" presName="childNode" presStyleLbl="node1" presStyleIdx="0" presStyleCnt="4">
        <dgm:presLayoutVars>
          <dgm:bulletEnabled val="1"/>
        </dgm:presLayoutVars>
      </dgm:prSet>
      <dgm:spPr>
        <a:prstGeom prst="rect">
          <a:avLst/>
        </a:prstGeom>
      </dgm:spPr>
    </dgm:pt>
    <dgm:pt modelId="{72DCC83F-F278-485D-B250-7588B9572560}" type="pres">
      <dgm:prSet presAssocID="{FC9EBBB6-FB98-4EB1-A41A-2684A130FE56}" presName="parentNode" presStyleLbl="revTx" presStyleIdx="0" presStyleCnt="4" custLinFactNeighborY="5642">
        <dgm:presLayoutVars>
          <dgm:chMax val="0"/>
          <dgm:bulletEnabled val="1"/>
        </dgm:presLayoutVars>
      </dgm:prSet>
      <dgm:spPr>
        <a:prstGeom prst="rect">
          <a:avLst/>
        </a:prstGeom>
      </dgm:spPr>
    </dgm:pt>
    <dgm:pt modelId="{02504E73-EF6E-40A7-98F7-E791FFE8AC30}" type="pres">
      <dgm:prSet presAssocID="{44C34921-1ADF-4927-8938-90F70E5AA8B5}" presName="sibTrans" presStyleCnt="0"/>
      <dgm:spPr/>
    </dgm:pt>
    <dgm:pt modelId="{BCCAA192-2A00-4B22-ABB2-19F7D628D7C9}" type="pres">
      <dgm:prSet presAssocID="{F6D0C430-2CD8-45DC-B1F5-C026137A9339}" presName="compositeNode" presStyleCnt="0">
        <dgm:presLayoutVars>
          <dgm:bulletEnabled val="1"/>
        </dgm:presLayoutVars>
      </dgm:prSet>
      <dgm:spPr/>
    </dgm:pt>
    <dgm:pt modelId="{EEF2EF7D-5489-4BAC-9C28-FCA5399A76B4}" type="pres">
      <dgm:prSet presAssocID="{F6D0C430-2CD8-45DC-B1F5-C026137A9339}" presName="image" presStyleLbl="fgImgPlace1" presStyleIdx="1" presStyleCnt="4" custScaleX="86534" custScaleY="86534"/>
      <dgm:spPr>
        <a:xfrm>
          <a:off x="1595118" y="262368"/>
          <a:ext cx="365075" cy="365075"/>
        </a:xfrm>
        <a:prstGeom prst="rect">
          <a:avLst/>
        </a:prstGeom>
        <a:blipFill>
          <a:blip xmlns:r="http://schemas.openxmlformats.org/officeDocument/2006/relationships" r:embed="rId3">
            <a:extLst>
              <a:ext uri="{96DAC541-7B7A-43D3-8B79-37D633B846F1}">
                <asvg:svgBlip xmlns:asvg="http://schemas.microsoft.com/office/drawing/2016/SVG/main" r:embed="rId4"/>
              </a:ext>
            </a:extLst>
          </a:blip>
          <a:srcRect/>
          <a:stretch>
            <a:fillRect/>
          </a:stretch>
        </a:blipFill>
        <a:ln w="25400" cap="flat" cmpd="sng" algn="ctr">
          <a:solidFill>
            <a:srgbClr val="FFFFFF">
              <a:hueOff val="0"/>
              <a:satOff val="0"/>
              <a:lumOff val="0"/>
              <a:alphaOff val="0"/>
            </a:srgbClr>
          </a:solidFill>
          <a:prstDash val="solid"/>
        </a:ln>
        <a:effectLst/>
      </dgm:spPr>
      <dgm:extLst>
        <a:ext uri="{E40237B7-FDA0-4F09-8148-C483321AD2D9}">
          <dgm14:cNvPr xmlns:dgm14="http://schemas.microsoft.com/office/drawing/2010/diagram" id="0" name="" descr="Bar graph with upward trend"/>
        </a:ext>
      </dgm:extLst>
    </dgm:pt>
    <dgm:pt modelId="{4B50E819-37A1-4D1B-9BB0-58C59A36B411}" type="pres">
      <dgm:prSet presAssocID="{F6D0C430-2CD8-45DC-B1F5-C026137A9339}" presName="childNode" presStyleLbl="node1" presStyleIdx="1" presStyleCnt="4">
        <dgm:presLayoutVars>
          <dgm:bulletEnabled val="1"/>
        </dgm:presLayoutVars>
      </dgm:prSet>
      <dgm:spPr>
        <a:prstGeom prst="rect">
          <a:avLst/>
        </a:prstGeom>
      </dgm:spPr>
    </dgm:pt>
    <dgm:pt modelId="{482849F8-CC6C-49D1-97BD-A44B881F680C}" type="pres">
      <dgm:prSet presAssocID="{F6D0C430-2CD8-45DC-B1F5-C026137A9339}" presName="parentNode" presStyleLbl="revTx" presStyleIdx="1" presStyleCnt="4" custLinFactNeighborY="5642">
        <dgm:presLayoutVars>
          <dgm:chMax val="0"/>
          <dgm:bulletEnabled val="1"/>
        </dgm:presLayoutVars>
      </dgm:prSet>
      <dgm:spPr>
        <a:prstGeom prst="rect">
          <a:avLst/>
        </a:prstGeom>
      </dgm:spPr>
    </dgm:pt>
    <dgm:pt modelId="{F0D86C4F-E958-4CBC-8240-4D9D27107B47}" type="pres">
      <dgm:prSet presAssocID="{E713610F-2D83-4F23-A424-557BD533EE82}" presName="sibTrans" presStyleCnt="0"/>
      <dgm:spPr/>
    </dgm:pt>
    <dgm:pt modelId="{F868DAC0-5340-4D10-B415-7EBD06DBF885}" type="pres">
      <dgm:prSet presAssocID="{1CB52223-01BB-4DEF-BF1E-BF45AB02B006}" presName="compositeNode" presStyleCnt="0">
        <dgm:presLayoutVars>
          <dgm:bulletEnabled val="1"/>
        </dgm:presLayoutVars>
      </dgm:prSet>
      <dgm:spPr/>
    </dgm:pt>
    <dgm:pt modelId="{CD18096A-224B-4499-97AD-288CA019692C}" type="pres">
      <dgm:prSet presAssocID="{1CB52223-01BB-4DEF-BF1E-BF45AB02B006}" presName="image" presStyleLbl="fgImgPlace1" presStyleIdx="2" presStyleCnt="4" custScaleX="86534" custScaleY="86534"/>
      <dgm:spPr>
        <a:xfrm>
          <a:off x="3126483" y="262368"/>
          <a:ext cx="365075" cy="365075"/>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w="25400" cap="flat" cmpd="sng" algn="ctr">
          <a:solidFill>
            <a:srgbClr val="FFFFFF">
              <a:hueOff val="0"/>
              <a:satOff val="0"/>
              <a:lumOff val="0"/>
              <a:alphaOff val="0"/>
            </a:srgbClr>
          </a:solidFill>
          <a:prstDash val="solid"/>
        </a:ln>
        <a:effectLst/>
      </dgm:spPr>
      <dgm:extLst>
        <a:ext uri="{E40237B7-FDA0-4F09-8148-C483321AD2D9}">
          <dgm14:cNvPr xmlns:dgm14="http://schemas.microsoft.com/office/drawing/2010/diagram" id="0" name="" descr="Open hand with plant"/>
        </a:ext>
      </dgm:extLst>
    </dgm:pt>
    <dgm:pt modelId="{ED72FD74-09FA-4BB5-9B9A-F84DC7BCE21C}" type="pres">
      <dgm:prSet presAssocID="{1CB52223-01BB-4DEF-BF1E-BF45AB02B006}" presName="childNode" presStyleLbl="node1" presStyleIdx="2" presStyleCnt="4">
        <dgm:presLayoutVars>
          <dgm:bulletEnabled val="1"/>
        </dgm:presLayoutVars>
      </dgm:prSet>
      <dgm:spPr>
        <a:prstGeom prst="rect">
          <a:avLst/>
        </a:prstGeom>
      </dgm:spPr>
    </dgm:pt>
    <dgm:pt modelId="{39E13BD6-E9E3-4BCF-9669-995AD5CD422D}" type="pres">
      <dgm:prSet presAssocID="{1CB52223-01BB-4DEF-BF1E-BF45AB02B006}" presName="parentNode" presStyleLbl="revTx" presStyleIdx="2" presStyleCnt="4" custLinFactNeighborY="5642">
        <dgm:presLayoutVars>
          <dgm:chMax val="0"/>
          <dgm:bulletEnabled val="1"/>
        </dgm:presLayoutVars>
      </dgm:prSet>
      <dgm:spPr>
        <a:prstGeom prst="rect">
          <a:avLst/>
        </a:prstGeom>
      </dgm:spPr>
    </dgm:pt>
    <dgm:pt modelId="{38BB103F-0FD2-4895-B529-AC55BC5DEE63}" type="pres">
      <dgm:prSet presAssocID="{21D5EC17-2472-40EB-BE1A-2C9D0CA0651B}" presName="sibTrans" presStyleCnt="0"/>
      <dgm:spPr/>
    </dgm:pt>
    <dgm:pt modelId="{27F443B8-D1B1-41BE-B324-B1D81F97AC93}" type="pres">
      <dgm:prSet presAssocID="{9231421E-873C-4FCA-9503-50311ABC3B29}" presName="compositeNode" presStyleCnt="0">
        <dgm:presLayoutVars>
          <dgm:bulletEnabled val="1"/>
        </dgm:presLayoutVars>
      </dgm:prSet>
      <dgm:spPr/>
    </dgm:pt>
    <dgm:pt modelId="{9CC3A60B-7CBE-4E29-AF14-5C01C9F86591}" type="pres">
      <dgm:prSet presAssocID="{9231421E-873C-4FCA-9503-50311ABC3B29}" presName="image" presStyleLbl="fgImgPlace1" presStyleIdx="3" presStyleCnt="4" custScaleX="86534" custScaleY="86534"/>
      <dgm:spPr>
        <a:xfrm>
          <a:off x="4657847" y="262368"/>
          <a:ext cx="365075" cy="365075"/>
        </a:xfrm>
        <a:prstGeom prst="rect">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a:ln w="25400" cap="flat" cmpd="sng" algn="ctr">
          <a:solidFill>
            <a:srgbClr val="FFFFFF">
              <a:hueOff val="0"/>
              <a:satOff val="0"/>
              <a:lumOff val="0"/>
              <a:alphaOff val="0"/>
            </a:srgbClr>
          </a:solidFill>
          <a:prstDash val="solid"/>
        </a:ln>
        <a:effectLst/>
      </dgm:spPr>
      <dgm:extLst>
        <a:ext uri="{E40237B7-FDA0-4F09-8148-C483321AD2D9}">
          <dgm14:cNvPr xmlns:dgm14="http://schemas.microsoft.com/office/drawing/2010/diagram" id="0" name="" descr="Cycle with people"/>
        </a:ext>
      </dgm:extLst>
    </dgm:pt>
    <dgm:pt modelId="{D006BC0C-1578-4667-A008-FABEA9F1BABE}" type="pres">
      <dgm:prSet presAssocID="{9231421E-873C-4FCA-9503-50311ABC3B29}" presName="childNode" presStyleLbl="node1" presStyleIdx="3" presStyleCnt="4">
        <dgm:presLayoutVars>
          <dgm:bulletEnabled val="1"/>
        </dgm:presLayoutVars>
      </dgm:prSet>
      <dgm:spPr>
        <a:prstGeom prst="rect">
          <a:avLst/>
        </a:prstGeom>
      </dgm:spPr>
    </dgm:pt>
    <dgm:pt modelId="{7A0600A0-DEF7-42E2-8C51-0411DCBABC28}" type="pres">
      <dgm:prSet presAssocID="{9231421E-873C-4FCA-9503-50311ABC3B29}" presName="parentNode" presStyleLbl="revTx" presStyleIdx="3" presStyleCnt="4" custLinFactNeighborY="5642">
        <dgm:presLayoutVars>
          <dgm:chMax val="0"/>
          <dgm:bulletEnabled val="1"/>
        </dgm:presLayoutVars>
      </dgm:prSet>
      <dgm:spPr>
        <a:prstGeom prst="rect">
          <a:avLst/>
        </a:prstGeom>
      </dgm:spPr>
    </dgm:pt>
  </dgm:ptLst>
  <dgm:cxnLst>
    <dgm:cxn modelId="{B6B09B00-101C-4D9A-ABAA-C01C8251DBD3}" type="presOf" srcId="{7B7BC3DA-BBC3-4DCF-96EC-F85547E7EA2E}" destId="{4B50E819-37A1-4D1B-9BB0-58C59A36B411}" srcOrd="0" destOrd="1" presId="urn:microsoft.com/office/officeart/2005/8/layout/hList2"/>
    <dgm:cxn modelId="{FB052413-FF2F-4764-8FF3-E85A3B8CF510}" srcId="{F6D0C430-2CD8-45DC-B1F5-C026137A9339}" destId="{7B7BC3DA-BBC3-4DCF-96EC-F85547E7EA2E}" srcOrd="1" destOrd="0" parTransId="{395479A4-91EF-4E86-A480-036B11376708}" sibTransId="{FD2216F8-DF06-420A-B15E-C934CCBCFEE2}"/>
    <dgm:cxn modelId="{1578CD14-2F23-4740-B9D4-EC250B9AEB80}" srcId="{F6D0C430-2CD8-45DC-B1F5-C026137A9339}" destId="{44A656C0-E364-4CD1-8284-4421A13BC486}" srcOrd="2" destOrd="0" parTransId="{802183CC-3E7F-41D4-967F-8C817F4BA289}" sibTransId="{6D184CC0-AD02-469E-9D7B-3F4A8581AD25}"/>
    <dgm:cxn modelId="{9C5DA322-1AF9-4D48-BB37-6B0047A90EF7}" type="presOf" srcId="{44A656C0-E364-4CD1-8284-4421A13BC486}" destId="{4B50E819-37A1-4D1B-9BB0-58C59A36B411}" srcOrd="0" destOrd="2" presId="urn:microsoft.com/office/officeart/2005/8/layout/hList2"/>
    <dgm:cxn modelId="{58534732-39FC-482F-AAF4-3040934E8BCB}" type="presOf" srcId="{AFFC911D-EA13-45E0-B678-216B58A3DED1}" destId="{ED72FD74-09FA-4BB5-9B9A-F84DC7BCE21C}" srcOrd="0" destOrd="1" presId="urn:microsoft.com/office/officeart/2005/8/layout/hList2"/>
    <dgm:cxn modelId="{59876B43-11E2-417D-9A95-1325768E6CDC}" srcId="{9231421E-873C-4FCA-9503-50311ABC3B29}" destId="{F7217BAB-9F31-4B18-AA31-3DF272788171}" srcOrd="0" destOrd="0" parTransId="{EB97BA14-3343-47BE-B67C-614EF1FFF44F}" sibTransId="{EA809658-2349-4151-A021-549DD5D03416}"/>
    <dgm:cxn modelId="{2AA7A263-8583-4B33-8A34-E422CF9222B0}" type="presOf" srcId="{9231421E-873C-4FCA-9503-50311ABC3B29}" destId="{7A0600A0-DEF7-42E2-8C51-0411DCBABC28}" srcOrd="0" destOrd="0" presId="urn:microsoft.com/office/officeart/2005/8/layout/hList2"/>
    <dgm:cxn modelId="{B8107065-608A-4411-9902-2BEF2A5AB849}" srcId="{FC9EBBB6-FB98-4EB1-A41A-2684A130FE56}" destId="{895FB77D-0329-48EC-9C68-52E94750D62C}" srcOrd="0" destOrd="0" parTransId="{04FA0732-FCF1-4CFC-830C-6D12EE564DBD}" sibTransId="{0938786F-CE3E-4922-934B-D192123149DF}"/>
    <dgm:cxn modelId="{BCCB7645-D69F-44E4-8782-1393164BD185}" srcId="{2793770D-5C1A-473B-88CE-BDB64D505A6D}" destId="{1CB52223-01BB-4DEF-BF1E-BF45AB02B006}" srcOrd="2" destOrd="0" parTransId="{0543D02E-07AC-4A1C-9D4E-3856A42C6046}" sibTransId="{21D5EC17-2472-40EB-BE1A-2C9D0CA0651B}"/>
    <dgm:cxn modelId="{7D2DDF52-A586-4530-B553-54BF5B9256E5}" type="presOf" srcId="{8E1C4FC3-D130-4850-AF20-A4248F225C98}" destId="{D006BC0C-1578-4667-A008-FABEA9F1BABE}" srcOrd="0" destOrd="1" presId="urn:microsoft.com/office/officeart/2005/8/layout/hList2"/>
    <dgm:cxn modelId="{FF986973-DAAA-49F9-BA6F-DA34D7F1F672}" srcId="{FC9EBBB6-FB98-4EB1-A41A-2684A130FE56}" destId="{EE3D88A8-A873-412F-8D25-EB20DE91ED8F}" srcOrd="1" destOrd="0" parTransId="{8DE709B0-BDAA-46A7-A5D5-2D5BF7C15490}" sibTransId="{0E1779EA-F0B1-40B4-B0D1-A16D904493CB}"/>
    <dgm:cxn modelId="{8A970C74-50FF-4969-9182-CDF0D36D6101}" srcId="{1CB52223-01BB-4DEF-BF1E-BF45AB02B006}" destId="{19ABE24B-0870-412C-84D1-C595AA7CFCBD}" srcOrd="0" destOrd="0" parTransId="{567B644F-A5AA-4EA4-AFDC-2DCFA4594800}" sibTransId="{3F9EC454-D5D1-4FBE-8A56-E67AA0C4C37F}"/>
    <dgm:cxn modelId="{C36B2279-6F83-44A1-A792-D3F7398584DC}" type="presOf" srcId="{8E1ED184-46B7-4CBE-8B26-A0059BBBB5F5}" destId="{ED72FD74-09FA-4BB5-9B9A-F84DC7BCE21C}" srcOrd="0" destOrd="3" presId="urn:microsoft.com/office/officeart/2005/8/layout/hList2"/>
    <dgm:cxn modelId="{4C58547A-5D4E-4C2E-8C0F-1210F5840C51}" srcId="{2793770D-5C1A-473B-88CE-BDB64D505A6D}" destId="{FC9EBBB6-FB98-4EB1-A41A-2684A130FE56}" srcOrd="0" destOrd="0" parTransId="{B76FC654-81DD-4D88-BA33-08AA692E6266}" sibTransId="{44C34921-1ADF-4927-8938-90F70E5AA8B5}"/>
    <dgm:cxn modelId="{34CE0584-6D3F-45A7-9D0E-B7999446FC3C}" type="presOf" srcId="{EE3D88A8-A873-412F-8D25-EB20DE91ED8F}" destId="{B17314EC-F149-47DA-8D8E-9012077D3AAD}" srcOrd="0" destOrd="1" presId="urn:microsoft.com/office/officeart/2005/8/layout/hList2"/>
    <dgm:cxn modelId="{BEBA5988-2A2B-4EF1-9FEA-E65BC1B4AB5E}" type="presOf" srcId="{2793770D-5C1A-473B-88CE-BDB64D505A6D}" destId="{A82C1FF7-0E51-44DA-A55C-9E68B4069B21}" srcOrd="0" destOrd="0" presId="urn:microsoft.com/office/officeart/2005/8/layout/hList2"/>
    <dgm:cxn modelId="{3E291D8E-B92C-43CF-8A42-D33A14B2B2D2}" srcId="{F6D0C430-2CD8-45DC-B1F5-C026137A9339}" destId="{70A9BAF2-EA8F-4D87-898C-DADD576987A7}" srcOrd="0" destOrd="0" parTransId="{BFF19CB3-3F49-49C4-AB86-45CE3ACF5A76}" sibTransId="{AD6F9489-0364-49EE-A674-D9CBD57C4BD2}"/>
    <dgm:cxn modelId="{F06EAD9D-EA17-4FCC-9DE6-27888A3F500C}" srcId="{2793770D-5C1A-473B-88CE-BDB64D505A6D}" destId="{F6D0C430-2CD8-45DC-B1F5-C026137A9339}" srcOrd="1" destOrd="0" parTransId="{512C7F57-204A-4FDD-8FFB-4F1A46BC18E9}" sibTransId="{E713610F-2D83-4F23-A424-557BD533EE82}"/>
    <dgm:cxn modelId="{609D9DA7-E7EF-4DF9-B133-56AAA6A470BC}" srcId="{9231421E-873C-4FCA-9503-50311ABC3B29}" destId="{8E1C4FC3-D130-4850-AF20-A4248F225C98}" srcOrd="1" destOrd="0" parTransId="{7DBB4024-6ABE-4ADD-B4C3-928784966301}" sibTransId="{F00138AE-7B2E-40AE-AB18-7C74BE22BB4F}"/>
    <dgm:cxn modelId="{D950D5B2-3478-4C91-A90A-8F52E5AA0926}" type="presOf" srcId="{70A9BAF2-EA8F-4D87-898C-DADD576987A7}" destId="{4B50E819-37A1-4D1B-9BB0-58C59A36B411}" srcOrd="0" destOrd="0" presId="urn:microsoft.com/office/officeart/2005/8/layout/hList2"/>
    <dgm:cxn modelId="{3693B0CF-9648-4CFC-B63F-127EF649F3EE}" srcId="{F6D0C430-2CD8-45DC-B1F5-C026137A9339}" destId="{D40A7578-F5EE-48E8-A6BF-01434C9857F8}" srcOrd="3" destOrd="0" parTransId="{AA238906-8665-486C-88E8-38042E64569F}" sibTransId="{C817BD14-4B6F-4ED8-BF35-325690E3E58B}"/>
    <dgm:cxn modelId="{2B1D8DDA-BF32-43F7-9BA7-B357A43180AC}" type="presOf" srcId="{19ABE24B-0870-412C-84D1-C595AA7CFCBD}" destId="{ED72FD74-09FA-4BB5-9B9A-F84DC7BCE21C}" srcOrd="0" destOrd="0" presId="urn:microsoft.com/office/officeart/2005/8/layout/hList2"/>
    <dgm:cxn modelId="{AF4BDEDE-A16F-4509-A6CA-35A9E74CB1E9}" type="presOf" srcId="{F6D0C430-2CD8-45DC-B1F5-C026137A9339}" destId="{482849F8-CC6C-49D1-97BD-A44B881F680C}" srcOrd="0" destOrd="0" presId="urn:microsoft.com/office/officeart/2005/8/layout/hList2"/>
    <dgm:cxn modelId="{3F72EEEA-F3BB-4D10-A823-CB3E60A61C5A}" srcId="{1CB52223-01BB-4DEF-BF1E-BF45AB02B006}" destId="{AFFC911D-EA13-45E0-B678-216B58A3DED1}" srcOrd="1" destOrd="0" parTransId="{A78B17F9-97AF-4C1C-866F-81E0E5912F4F}" sibTransId="{5F2B49E0-C868-4BD9-A0C4-457D05FDBE66}"/>
    <dgm:cxn modelId="{337AE5ED-E692-47A3-9B21-D01AFA91AA59}" type="presOf" srcId="{1CB52223-01BB-4DEF-BF1E-BF45AB02B006}" destId="{39E13BD6-E9E3-4BCF-9669-995AD5CD422D}" srcOrd="0" destOrd="0" presId="urn:microsoft.com/office/officeart/2005/8/layout/hList2"/>
    <dgm:cxn modelId="{B116ECEE-026C-4C20-9A26-940D0424552E}" type="presOf" srcId="{895FB77D-0329-48EC-9C68-52E94750D62C}" destId="{B17314EC-F149-47DA-8D8E-9012077D3AAD}" srcOrd="0" destOrd="0" presId="urn:microsoft.com/office/officeart/2005/8/layout/hList2"/>
    <dgm:cxn modelId="{A08D1AEF-18D8-4375-9AE8-F15BFDD593F2}" type="presOf" srcId="{F7217BAB-9F31-4B18-AA31-3DF272788171}" destId="{D006BC0C-1578-4667-A008-FABEA9F1BABE}" srcOrd="0" destOrd="0" presId="urn:microsoft.com/office/officeart/2005/8/layout/hList2"/>
    <dgm:cxn modelId="{A6CE8FF3-3578-48FF-A091-8268D3E2521A}" srcId="{2793770D-5C1A-473B-88CE-BDB64D505A6D}" destId="{9231421E-873C-4FCA-9503-50311ABC3B29}" srcOrd="3" destOrd="0" parTransId="{CB995360-9665-43AD-824F-01091E9BF08E}" sibTransId="{910BC3A8-8025-42C5-BD76-57B183BD759D}"/>
    <dgm:cxn modelId="{09448FF6-DB02-4D03-898A-BEADE4B81CE2}" type="presOf" srcId="{85DBB118-C75F-4245-A67B-FC280FAC9ACF}" destId="{ED72FD74-09FA-4BB5-9B9A-F84DC7BCE21C}" srcOrd="0" destOrd="2" presId="urn:microsoft.com/office/officeart/2005/8/layout/hList2"/>
    <dgm:cxn modelId="{377B7FF7-ADD2-4C86-958A-3811BCAFC66D}" type="presOf" srcId="{D40A7578-F5EE-48E8-A6BF-01434C9857F8}" destId="{4B50E819-37A1-4D1B-9BB0-58C59A36B411}" srcOrd="0" destOrd="3" presId="urn:microsoft.com/office/officeart/2005/8/layout/hList2"/>
    <dgm:cxn modelId="{E1B7C2FA-0D88-4EEF-8DE0-CABD13758769}" srcId="{1CB52223-01BB-4DEF-BF1E-BF45AB02B006}" destId="{8E1ED184-46B7-4CBE-8B26-A0059BBBB5F5}" srcOrd="3" destOrd="0" parTransId="{B9A7991C-A3DC-49D4-B4BC-76F018A5C242}" sibTransId="{F99611D4-885B-4598-9B70-9E567A164B6E}"/>
    <dgm:cxn modelId="{BDAA59FF-C0ED-41E5-ABBD-834336654921}" type="presOf" srcId="{FC9EBBB6-FB98-4EB1-A41A-2684A130FE56}" destId="{72DCC83F-F278-485D-B250-7588B9572560}" srcOrd="0" destOrd="0" presId="urn:microsoft.com/office/officeart/2005/8/layout/hList2"/>
    <dgm:cxn modelId="{C2AADCFF-0E4F-40A7-A431-663224A9ECEF}" srcId="{1CB52223-01BB-4DEF-BF1E-BF45AB02B006}" destId="{85DBB118-C75F-4245-A67B-FC280FAC9ACF}" srcOrd="2" destOrd="0" parTransId="{48E1C5A9-9A2F-4CF6-95EF-49327197877E}" sibTransId="{89AF20B4-B2DC-4C67-9D40-ECBA5D3C5AA4}"/>
    <dgm:cxn modelId="{7425FDBD-B740-4529-8766-6A1296AA1708}" type="presParOf" srcId="{A82C1FF7-0E51-44DA-A55C-9E68B4069B21}" destId="{57DFA9FF-192C-4347-90C1-A36038441099}" srcOrd="0" destOrd="0" presId="urn:microsoft.com/office/officeart/2005/8/layout/hList2"/>
    <dgm:cxn modelId="{2F3C50D5-B282-4B4E-B68B-FECEBACA74C0}" type="presParOf" srcId="{57DFA9FF-192C-4347-90C1-A36038441099}" destId="{B888B1E0-49AE-47D2-81B8-E94BE8C9F3BC}" srcOrd="0" destOrd="0" presId="urn:microsoft.com/office/officeart/2005/8/layout/hList2"/>
    <dgm:cxn modelId="{8CE26AE5-4197-404D-9714-AAAFE705FC5F}" type="presParOf" srcId="{57DFA9FF-192C-4347-90C1-A36038441099}" destId="{B17314EC-F149-47DA-8D8E-9012077D3AAD}" srcOrd="1" destOrd="0" presId="urn:microsoft.com/office/officeart/2005/8/layout/hList2"/>
    <dgm:cxn modelId="{1C1128BD-CDA6-422A-AF62-3CCD5D4EFE4E}" type="presParOf" srcId="{57DFA9FF-192C-4347-90C1-A36038441099}" destId="{72DCC83F-F278-485D-B250-7588B9572560}" srcOrd="2" destOrd="0" presId="urn:microsoft.com/office/officeart/2005/8/layout/hList2"/>
    <dgm:cxn modelId="{96E0C7E2-305C-45BE-9027-0301DBCFB07E}" type="presParOf" srcId="{A82C1FF7-0E51-44DA-A55C-9E68B4069B21}" destId="{02504E73-EF6E-40A7-98F7-E791FFE8AC30}" srcOrd="1" destOrd="0" presId="urn:microsoft.com/office/officeart/2005/8/layout/hList2"/>
    <dgm:cxn modelId="{9F406AE4-E24D-44DA-AE92-198E8D7B6A01}" type="presParOf" srcId="{A82C1FF7-0E51-44DA-A55C-9E68B4069B21}" destId="{BCCAA192-2A00-4B22-ABB2-19F7D628D7C9}" srcOrd="2" destOrd="0" presId="urn:microsoft.com/office/officeart/2005/8/layout/hList2"/>
    <dgm:cxn modelId="{4E11AA96-0253-496B-B833-CAF8BD2826DF}" type="presParOf" srcId="{BCCAA192-2A00-4B22-ABB2-19F7D628D7C9}" destId="{EEF2EF7D-5489-4BAC-9C28-FCA5399A76B4}" srcOrd="0" destOrd="0" presId="urn:microsoft.com/office/officeart/2005/8/layout/hList2"/>
    <dgm:cxn modelId="{E3BBB794-8DE9-483D-A6EC-AEB4E12C340B}" type="presParOf" srcId="{BCCAA192-2A00-4B22-ABB2-19F7D628D7C9}" destId="{4B50E819-37A1-4D1B-9BB0-58C59A36B411}" srcOrd="1" destOrd="0" presId="urn:microsoft.com/office/officeart/2005/8/layout/hList2"/>
    <dgm:cxn modelId="{11CEA473-1B09-4F67-B89B-CA860512E586}" type="presParOf" srcId="{BCCAA192-2A00-4B22-ABB2-19F7D628D7C9}" destId="{482849F8-CC6C-49D1-97BD-A44B881F680C}" srcOrd="2" destOrd="0" presId="urn:microsoft.com/office/officeart/2005/8/layout/hList2"/>
    <dgm:cxn modelId="{01D55A02-62C5-4A7A-8E31-59296ACDD0BD}" type="presParOf" srcId="{A82C1FF7-0E51-44DA-A55C-9E68B4069B21}" destId="{F0D86C4F-E958-4CBC-8240-4D9D27107B47}" srcOrd="3" destOrd="0" presId="urn:microsoft.com/office/officeart/2005/8/layout/hList2"/>
    <dgm:cxn modelId="{570D91FF-9FFE-49C3-8291-111F8BD74CAE}" type="presParOf" srcId="{A82C1FF7-0E51-44DA-A55C-9E68B4069B21}" destId="{F868DAC0-5340-4D10-B415-7EBD06DBF885}" srcOrd="4" destOrd="0" presId="urn:microsoft.com/office/officeart/2005/8/layout/hList2"/>
    <dgm:cxn modelId="{B69C16D8-2FBA-429B-B801-E9049A9CC364}" type="presParOf" srcId="{F868DAC0-5340-4D10-B415-7EBD06DBF885}" destId="{CD18096A-224B-4499-97AD-288CA019692C}" srcOrd="0" destOrd="0" presId="urn:microsoft.com/office/officeart/2005/8/layout/hList2"/>
    <dgm:cxn modelId="{50FD891D-1F90-49D1-8B74-EBE5A2127CCF}" type="presParOf" srcId="{F868DAC0-5340-4D10-B415-7EBD06DBF885}" destId="{ED72FD74-09FA-4BB5-9B9A-F84DC7BCE21C}" srcOrd="1" destOrd="0" presId="urn:microsoft.com/office/officeart/2005/8/layout/hList2"/>
    <dgm:cxn modelId="{E3FFF3D2-D0D8-4BE5-A3E4-308DAF8E7977}" type="presParOf" srcId="{F868DAC0-5340-4D10-B415-7EBD06DBF885}" destId="{39E13BD6-E9E3-4BCF-9669-995AD5CD422D}" srcOrd="2" destOrd="0" presId="urn:microsoft.com/office/officeart/2005/8/layout/hList2"/>
    <dgm:cxn modelId="{C6B4BE41-13DB-4A8C-B749-8DAF850C2162}" type="presParOf" srcId="{A82C1FF7-0E51-44DA-A55C-9E68B4069B21}" destId="{38BB103F-0FD2-4895-B529-AC55BC5DEE63}" srcOrd="5" destOrd="0" presId="urn:microsoft.com/office/officeart/2005/8/layout/hList2"/>
    <dgm:cxn modelId="{24EE63A8-5A57-4458-B3C2-395E7FBEDCEE}" type="presParOf" srcId="{A82C1FF7-0E51-44DA-A55C-9E68B4069B21}" destId="{27F443B8-D1B1-41BE-B324-B1D81F97AC93}" srcOrd="6" destOrd="0" presId="urn:microsoft.com/office/officeart/2005/8/layout/hList2"/>
    <dgm:cxn modelId="{D779AB65-1A83-4DCF-A354-B5058631FF8E}" type="presParOf" srcId="{27F443B8-D1B1-41BE-B324-B1D81F97AC93}" destId="{9CC3A60B-7CBE-4E29-AF14-5C01C9F86591}" srcOrd="0" destOrd="0" presId="urn:microsoft.com/office/officeart/2005/8/layout/hList2"/>
    <dgm:cxn modelId="{A01C8074-E4BE-476A-B9DA-0F27DAD1CE68}" type="presParOf" srcId="{27F443B8-D1B1-41BE-B324-B1D81F97AC93}" destId="{D006BC0C-1578-4667-A008-FABEA9F1BABE}" srcOrd="1" destOrd="0" presId="urn:microsoft.com/office/officeart/2005/8/layout/hList2"/>
    <dgm:cxn modelId="{E24FCF22-27D7-4C59-8404-1BA7A4F81C2E}" type="presParOf" srcId="{27F443B8-D1B1-41BE-B324-B1D81F97AC93}" destId="{7A0600A0-DEF7-42E2-8C51-0411DCBABC28}" srcOrd="2" destOrd="0" presId="urn:microsoft.com/office/officeart/2005/8/layout/hList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1CFC178-8A68-40B0-864D-D239688391FF}" type="doc">
      <dgm:prSet loTypeId="urn:microsoft.com/office/officeart/2005/8/layout/hList6" loCatId="list" qsTypeId="urn:microsoft.com/office/officeart/2005/8/quickstyle/simple1" qsCatId="simple" csTypeId="urn:microsoft.com/office/officeart/2005/8/colors/colorful2" csCatId="colorful" phldr="1"/>
      <dgm:spPr/>
      <dgm:t>
        <a:bodyPr/>
        <a:lstStyle/>
        <a:p>
          <a:endParaRPr lang="en-US"/>
        </a:p>
      </dgm:t>
    </dgm:pt>
    <dgm:pt modelId="{6C0F455D-F6BA-4CA1-8B87-CCD1D8D2EF76}">
      <dgm:prSet phldrT="[Text]" custT="1"/>
      <dgm:spPr>
        <a:xfrm rot="16200000">
          <a:off x="-69671" y="72904"/>
          <a:ext cx="1280160" cy="1134351"/>
        </a:xfrm>
        <a:prstGeom prst="snip2SameRect">
          <a:avLst/>
        </a:prstGeom>
        <a:solidFill>
          <a:srgbClr val="134753">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None/>
          </a:pPr>
          <a:r>
            <a:rPr lang="fr-FR" sz="1400" b="1" i="0" u="none">
              <a:solidFill>
                <a:srgbClr val="FFFFFF"/>
              </a:solidFill>
              <a:latin typeface="Calibri"/>
              <a:ea typeface="+mn-ea"/>
              <a:cs typeface="+mn-cs"/>
            </a:rPr>
            <a:t>O1. </a:t>
          </a:r>
          <a:endParaRPr lang="ro-RO" sz="1400" b="1" i="0" u="none">
            <a:solidFill>
              <a:srgbClr val="FFFFFF"/>
            </a:solidFill>
            <a:latin typeface="Calibri"/>
            <a:ea typeface="+mn-ea"/>
            <a:cs typeface="+mn-cs"/>
          </a:endParaRPr>
        </a:p>
        <a:p>
          <a:pPr>
            <a:buNone/>
          </a:pPr>
          <a:r>
            <a:rPr lang="fr-FR" sz="1050" b="1" i="0" u="none">
              <a:solidFill>
                <a:srgbClr val="FFFFFF"/>
              </a:solidFill>
              <a:latin typeface="Calibri"/>
              <a:ea typeface="+mn-ea"/>
              <a:cs typeface="+mn-cs"/>
            </a:rPr>
            <a:t>Locuire, servicii şi cultură adaptate unei comunităţi active şi implicate</a:t>
          </a:r>
          <a:endParaRPr lang="en-US" sz="1400" b="1">
            <a:solidFill>
              <a:srgbClr val="FFFFFF"/>
            </a:solidFill>
            <a:latin typeface="Calibri"/>
            <a:ea typeface="+mn-ea"/>
            <a:cs typeface="+mn-cs"/>
          </a:endParaRPr>
        </a:p>
      </dgm:t>
    </dgm:pt>
    <dgm:pt modelId="{263B2930-27E6-459C-9BBC-8A35B24EB420}" type="parTrans" cxnId="{0B60EB3C-0252-4493-96FE-F08CD7E60659}">
      <dgm:prSet/>
      <dgm:spPr/>
      <dgm:t>
        <a:bodyPr/>
        <a:lstStyle/>
        <a:p>
          <a:endParaRPr lang="en-US" b="1">
            <a:latin typeface="+mn-lt"/>
          </a:endParaRPr>
        </a:p>
      </dgm:t>
    </dgm:pt>
    <dgm:pt modelId="{C5594B4C-9A55-4B33-B37F-C4ABE23081AA}" type="sibTrans" cxnId="{0B60EB3C-0252-4493-96FE-F08CD7E60659}">
      <dgm:prSet/>
      <dgm:spPr/>
      <dgm:t>
        <a:bodyPr/>
        <a:lstStyle/>
        <a:p>
          <a:endParaRPr lang="en-US" b="1">
            <a:latin typeface="+mn-lt"/>
          </a:endParaRPr>
        </a:p>
      </dgm:t>
    </dgm:pt>
    <dgm:pt modelId="{625C8D2D-B23C-408F-BA38-FDBF2D0421CA}">
      <dgm:prSet phldrT="[Text]" custT="1"/>
      <dgm:spPr>
        <a:xfrm rot="16200000">
          <a:off x="1149756" y="72904"/>
          <a:ext cx="1280160" cy="1134351"/>
        </a:xfrm>
        <a:prstGeom prst="snip2SameRect">
          <a:avLst/>
        </a:prstGeom>
        <a:solidFill>
          <a:srgbClr val="134753">
            <a:hueOff val="21115"/>
            <a:satOff val="-2785"/>
            <a:lumOff val="7157"/>
            <a:alphaOff val="0"/>
          </a:srgbClr>
        </a:solidFill>
        <a:ln w="25400" cap="flat" cmpd="sng" algn="ctr">
          <a:solidFill>
            <a:srgbClr val="FFFFFF">
              <a:hueOff val="0"/>
              <a:satOff val="0"/>
              <a:lumOff val="0"/>
              <a:alphaOff val="0"/>
            </a:srgbClr>
          </a:solidFill>
          <a:prstDash val="solid"/>
        </a:ln>
        <a:effectLst/>
      </dgm:spPr>
      <dgm:t>
        <a:bodyPr/>
        <a:lstStyle/>
        <a:p>
          <a:pPr>
            <a:buNone/>
          </a:pPr>
          <a:r>
            <a:rPr lang="en-US" sz="1400" b="1" i="0" u="none">
              <a:solidFill>
                <a:srgbClr val="FFFFFF"/>
              </a:solidFill>
              <a:latin typeface="Calibri"/>
              <a:ea typeface="+mn-ea"/>
              <a:cs typeface="+mn-cs"/>
            </a:rPr>
            <a:t>O2. </a:t>
          </a:r>
          <a:endParaRPr lang="ro-RO" sz="1400" b="1" i="0" u="none">
            <a:solidFill>
              <a:srgbClr val="FFFFFF"/>
            </a:solidFill>
            <a:latin typeface="Calibri"/>
            <a:ea typeface="+mn-ea"/>
            <a:cs typeface="+mn-cs"/>
          </a:endParaRPr>
        </a:p>
        <a:p>
          <a:pPr>
            <a:buNone/>
          </a:pPr>
          <a:r>
            <a:rPr lang="en-US" sz="1050" b="1" i="0" u="none">
              <a:solidFill>
                <a:srgbClr val="FFFFFF"/>
              </a:solidFill>
              <a:latin typeface="Calibri"/>
              <a:ea typeface="+mn-ea"/>
              <a:cs typeface="+mn-cs"/>
            </a:rPr>
            <a:t>Sector cu atractivitate crescută pentru forța de muncă și companii</a:t>
          </a:r>
          <a:endParaRPr lang="en-US" sz="1400" b="1">
            <a:solidFill>
              <a:srgbClr val="FFFFFF"/>
            </a:solidFill>
            <a:latin typeface="Calibri"/>
            <a:ea typeface="+mn-ea"/>
            <a:cs typeface="+mn-cs"/>
          </a:endParaRPr>
        </a:p>
      </dgm:t>
    </dgm:pt>
    <dgm:pt modelId="{7EC3A851-1C26-4049-9B54-FD6387142EFB}" type="parTrans" cxnId="{51AE26E8-1ED0-4D7C-9BBE-F3CAE27CE90D}">
      <dgm:prSet/>
      <dgm:spPr/>
      <dgm:t>
        <a:bodyPr/>
        <a:lstStyle/>
        <a:p>
          <a:endParaRPr lang="en-US" b="1">
            <a:latin typeface="+mn-lt"/>
          </a:endParaRPr>
        </a:p>
      </dgm:t>
    </dgm:pt>
    <dgm:pt modelId="{755A51E9-E2F2-4951-A178-85DFE0DF9B97}" type="sibTrans" cxnId="{51AE26E8-1ED0-4D7C-9BBE-F3CAE27CE90D}">
      <dgm:prSet/>
      <dgm:spPr/>
      <dgm:t>
        <a:bodyPr/>
        <a:lstStyle/>
        <a:p>
          <a:endParaRPr lang="en-US" b="1">
            <a:latin typeface="+mn-lt"/>
          </a:endParaRPr>
        </a:p>
      </dgm:t>
    </dgm:pt>
    <dgm:pt modelId="{346CFB59-A81F-4C86-BAC8-F889047C73A0}">
      <dgm:prSet phldrT="[Text]" custT="1"/>
      <dgm:spPr>
        <a:xfrm rot="16200000">
          <a:off x="2369184" y="72904"/>
          <a:ext cx="1280160" cy="1134351"/>
        </a:xfrm>
        <a:prstGeom prst="snip2SameRect">
          <a:avLst/>
        </a:prstGeom>
        <a:solidFill>
          <a:srgbClr val="134753">
            <a:hueOff val="42230"/>
            <a:satOff val="-5571"/>
            <a:lumOff val="14314"/>
            <a:alphaOff val="0"/>
          </a:srgbClr>
        </a:solidFill>
        <a:ln w="25400" cap="flat" cmpd="sng" algn="ctr">
          <a:solidFill>
            <a:srgbClr val="FFFFFF">
              <a:hueOff val="0"/>
              <a:satOff val="0"/>
              <a:lumOff val="0"/>
              <a:alphaOff val="0"/>
            </a:srgbClr>
          </a:solidFill>
          <a:prstDash val="solid"/>
        </a:ln>
        <a:effectLst/>
      </dgm:spPr>
      <dgm:t>
        <a:bodyPr/>
        <a:lstStyle/>
        <a:p>
          <a:pPr>
            <a:buNone/>
          </a:pPr>
          <a:r>
            <a:rPr lang="en-US" sz="1400" b="1" i="0" u="none">
              <a:solidFill>
                <a:srgbClr val="FFFFFF"/>
              </a:solidFill>
              <a:latin typeface="Calibri"/>
              <a:ea typeface="+mn-ea"/>
              <a:cs typeface="+mn-cs"/>
            </a:rPr>
            <a:t>O3. </a:t>
          </a:r>
          <a:endParaRPr lang="ro-RO" sz="1400" b="1" i="0" u="none">
            <a:solidFill>
              <a:srgbClr val="FFFFFF"/>
            </a:solidFill>
            <a:latin typeface="Calibri"/>
            <a:ea typeface="+mn-ea"/>
            <a:cs typeface="+mn-cs"/>
          </a:endParaRPr>
        </a:p>
        <a:p>
          <a:pPr>
            <a:buNone/>
          </a:pPr>
          <a:r>
            <a:rPr lang="en-US" sz="1050" b="1" i="0" u="none">
              <a:solidFill>
                <a:srgbClr val="FFFFFF"/>
              </a:solidFill>
              <a:latin typeface="Calibri"/>
              <a:ea typeface="+mn-ea"/>
              <a:cs typeface="+mn-cs"/>
            </a:rPr>
            <a:t>Infrastructură urbană</a:t>
          </a:r>
          <a:r>
            <a:rPr lang="ro-RO" sz="1050" b="1" i="0" u="none">
              <a:solidFill>
                <a:srgbClr val="FFFFFF"/>
              </a:solidFill>
              <a:latin typeface="Calibri"/>
              <a:ea typeface="+mn-ea"/>
              <a:cs typeface="+mn-cs"/>
            </a:rPr>
            <a:t> adaptată la nevoile actuale și viitoare</a:t>
          </a:r>
          <a:endParaRPr lang="en-US" sz="1400" b="1">
            <a:solidFill>
              <a:srgbClr val="FFFFFF"/>
            </a:solidFill>
            <a:latin typeface="Calibri"/>
            <a:ea typeface="+mn-ea"/>
            <a:cs typeface="+mn-cs"/>
          </a:endParaRPr>
        </a:p>
      </dgm:t>
    </dgm:pt>
    <dgm:pt modelId="{E1A2F451-9DC3-4985-B4FB-067FAA275879}" type="parTrans" cxnId="{3EC8CA1D-DB33-477F-ABA6-7136E40A919E}">
      <dgm:prSet/>
      <dgm:spPr/>
      <dgm:t>
        <a:bodyPr/>
        <a:lstStyle/>
        <a:p>
          <a:endParaRPr lang="en-US" b="1">
            <a:latin typeface="+mn-lt"/>
          </a:endParaRPr>
        </a:p>
      </dgm:t>
    </dgm:pt>
    <dgm:pt modelId="{B9C4A711-57EA-4DA5-A1F6-DF10233F3554}" type="sibTrans" cxnId="{3EC8CA1D-DB33-477F-ABA6-7136E40A919E}">
      <dgm:prSet/>
      <dgm:spPr/>
      <dgm:t>
        <a:bodyPr/>
        <a:lstStyle/>
        <a:p>
          <a:endParaRPr lang="en-US" b="1">
            <a:latin typeface="+mn-lt"/>
          </a:endParaRPr>
        </a:p>
      </dgm:t>
    </dgm:pt>
    <dgm:pt modelId="{BE34BC72-B5AD-4117-9FA1-B2FC440243C6}">
      <dgm:prSet phldrT="[Text]" custT="1"/>
      <dgm:spPr>
        <a:xfrm rot="16200000">
          <a:off x="3588613" y="72904"/>
          <a:ext cx="1280160" cy="1134351"/>
        </a:xfrm>
        <a:prstGeom prst="snip2SameRect">
          <a:avLst/>
        </a:prstGeom>
        <a:solidFill>
          <a:srgbClr val="134753">
            <a:hueOff val="63344"/>
            <a:satOff val="-8356"/>
            <a:lumOff val="21472"/>
            <a:alphaOff val="0"/>
          </a:srgbClr>
        </a:solidFill>
        <a:ln w="25400" cap="flat" cmpd="sng" algn="ctr">
          <a:solidFill>
            <a:srgbClr val="FFFFFF">
              <a:hueOff val="0"/>
              <a:satOff val="0"/>
              <a:lumOff val="0"/>
              <a:alphaOff val="0"/>
            </a:srgbClr>
          </a:solidFill>
          <a:prstDash val="solid"/>
        </a:ln>
        <a:effectLst/>
      </dgm:spPr>
      <dgm:t>
        <a:bodyPr/>
        <a:lstStyle/>
        <a:p>
          <a:pPr>
            <a:buNone/>
          </a:pPr>
          <a:r>
            <a:rPr lang="en-US" sz="1400" b="1" i="0" u="none">
              <a:solidFill>
                <a:srgbClr val="FFFFFF"/>
              </a:solidFill>
              <a:latin typeface="Calibri"/>
              <a:ea typeface="+mn-ea"/>
              <a:cs typeface="+mn-cs"/>
            </a:rPr>
            <a:t>O4. </a:t>
          </a:r>
          <a:endParaRPr lang="ro-RO" sz="1400" b="1" i="0" u="none">
            <a:solidFill>
              <a:srgbClr val="FFFFFF"/>
            </a:solidFill>
            <a:latin typeface="Calibri"/>
            <a:ea typeface="+mn-ea"/>
            <a:cs typeface="+mn-cs"/>
          </a:endParaRPr>
        </a:p>
        <a:p>
          <a:pPr>
            <a:buNone/>
          </a:pPr>
          <a:r>
            <a:rPr lang="en-US" sz="1050" b="1" i="0" u="none">
              <a:solidFill>
                <a:srgbClr val="FFFFFF"/>
              </a:solidFill>
              <a:latin typeface="Calibri"/>
              <a:ea typeface="+mn-ea"/>
              <a:cs typeface="+mn-cs"/>
            </a:rPr>
            <a:t>Sector 2 - model de dezvoltare sistem albastru-verde</a:t>
          </a:r>
          <a:endParaRPr lang="en-US" sz="1400" b="1">
            <a:solidFill>
              <a:srgbClr val="FFFFFF"/>
            </a:solidFill>
            <a:latin typeface="Calibri"/>
            <a:ea typeface="+mn-ea"/>
            <a:cs typeface="+mn-cs"/>
          </a:endParaRPr>
        </a:p>
      </dgm:t>
    </dgm:pt>
    <dgm:pt modelId="{C0F1A1B8-6135-471D-913E-EEAF08528150}" type="parTrans" cxnId="{3B16CBF3-D0AB-4552-92FD-62E422C083B3}">
      <dgm:prSet/>
      <dgm:spPr/>
      <dgm:t>
        <a:bodyPr/>
        <a:lstStyle/>
        <a:p>
          <a:endParaRPr lang="en-US" b="1">
            <a:latin typeface="+mn-lt"/>
          </a:endParaRPr>
        </a:p>
      </dgm:t>
    </dgm:pt>
    <dgm:pt modelId="{38263329-2293-4AFF-A032-491BC47F4D5B}" type="sibTrans" cxnId="{3B16CBF3-D0AB-4552-92FD-62E422C083B3}">
      <dgm:prSet/>
      <dgm:spPr/>
      <dgm:t>
        <a:bodyPr/>
        <a:lstStyle/>
        <a:p>
          <a:endParaRPr lang="en-US" b="1">
            <a:latin typeface="+mn-lt"/>
          </a:endParaRPr>
        </a:p>
      </dgm:t>
    </dgm:pt>
    <dgm:pt modelId="{90C494E1-DD28-46DE-8887-F3A93FEF1979}">
      <dgm:prSet phldrT="[Text]" custT="1"/>
      <dgm:spPr>
        <a:xfrm rot="16200000">
          <a:off x="4808041" y="72904"/>
          <a:ext cx="1280160" cy="1134351"/>
        </a:xfrm>
        <a:prstGeom prst="snip2SameRect">
          <a:avLst/>
        </a:prstGeom>
        <a:solidFill>
          <a:srgbClr val="134753">
            <a:hueOff val="84459"/>
            <a:satOff val="-11141"/>
            <a:lumOff val="28629"/>
            <a:alphaOff val="0"/>
          </a:srgbClr>
        </a:solidFill>
        <a:ln w="25400" cap="flat" cmpd="sng" algn="ctr">
          <a:solidFill>
            <a:srgbClr val="FFFFFF">
              <a:hueOff val="0"/>
              <a:satOff val="0"/>
              <a:lumOff val="0"/>
              <a:alphaOff val="0"/>
            </a:srgbClr>
          </a:solidFill>
          <a:prstDash val="solid"/>
        </a:ln>
        <a:effectLst/>
      </dgm:spPr>
      <dgm:t>
        <a:bodyPr/>
        <a:lstStyle/>
        <a:p>
          <a:pPr>
            <a:buNone/>
          </a:pPr>
          <a:r>
            <a:rPr lang="en-US" sz="1400" b="1" i="0" u="none">
              <a:solidFill>
                <a:srgbClr val="FFFFFF"/>
              </a:solidFill>
              <a:latin typeface="Calibri"/>
              <a:ea typeface="+mn-ea"/>
              <a:cs typeface="+mn-cs"/>
            </a:rPr>
            <a:t>O5. </a:t>
          </a:r>
          <a:endParaRPr lang="ro-RO" sz="1400" b="1" i="0" u="none">
            <a:solidFill>
              <a:srgbClr val="FFFFFF"/>
            </a:solidFill>
            <a:latin typeface="Calibri"/>
            <a:ea typeface="+mn-ea"/>
            <a:cs typeface="+mn-cs"/>
          </a:endParaRPr>
        </a:p>
        <a:p>
          <a:pPr>
            <a:buNone/>
          </a:pPr>
          <a:r>
            <a:rPr lang="en-US" sz="1050" b="1" i="0" u="none">
              <a:solidFill>
                <a:srgbClr val="FFFFFF"/>
              </a:solidFill>
              <a:latin typeface="Calibri"/>
              <a:ea typeface="+mn-ea"/>
              <a:cs typeface="+mn-cs"/>
            </a:rPr>
            <a:t>Administrație publică performantă</a:t>
          </a:r>
          <a:endParaRPr lang="ro-RO" sz="1050" b="1" i="0" u="none">
            <a:solidFill>
              <a:srgbClr val="FFFFFF"/>
            </a:solidFill>
            <a:latin typeface="Calibri"/>
            <a:ea typeface="+mn-ea"/>
            <a:cs typeface="+mn-cs"/>
          </a:endParaRPr>
        </a:p>
        <a:p>
          <a:pPr>
            <a:buNone/>
          </a:pPr>
          <a:endParaRPr lang="en-US" sz="1400" b="1">
            <a:solidFill>
              <a:srgbClr val="FFFFFF"/>
            </a:solidFill>
            <a:latin typeface="Calibri"/>
            <a:ea typeface="+mn-ea"/>
            <a:cs typeface="+mn-cs"/>
          </a:endParaRPr>
        </a:p>
      </dgm:t>
    </dgm:pt>
    <dgm:pt modelId="{9F902A37-C779-4E83-9BC0-4061AEFEE524}" type="parTrans" cxnId="{66CD25C3-F442-484C-9C6A-E9DDA757B9B4}">
      <dgm:prSet/>
      <dgm:spPr/>
      <dgm:t>
        <a:bodyPr/>
        <a:lstStyle/>
        <a:p>
          <a:endParaRPr lang="en-US" b="1">
            <a:latin typeface="+mn-lt"/>
          </a:endParaRPr>
        </a:p>
      </dgm:t>
    </dgm:pt>
    <dgm:pt modelId="{96FE6FD3-5348-49B4-A906-937A07441A75}" type="sibTrans" cxnId="{66CD25C3-F442-484C-9C6A-E9DDA757B9B4}">
      <dgm:prSet/>
      <dgm:spPr/>
      <dgm:t>
        <a:bodyPr/>
        <a:lstStyle/>
        <a:p>
          <a:endParaRPr lang="en-US" b="1">
            <a:latin typeface="+mn-lt"/>
          </a:endParaRPr>
        </a:p>
      </dgm:t>
    </dgm:pt>
    <dgm:pt modelId="{F18F8366-8088-4FCF-937B-0940C0B85988}" type="pres">
      <dgm:prSet presAssocID="{21CFC178-8A68-40B0-864D-D239688391FF}" presName="Name0" presStyleCnt="0">
        <dgm:presLayoutVars>
          <dgm:dir/>
          <dgm:resizeHandles val="exact"/>
        </dgm:presLayoutVars>
      </dgm:prSet>
      <dgm:spPr/>
    </dgm:pt>
    <dgm:pt modelId="{82580B72-495D-4637-B03B-ADFD8A19B624}" type="pres">
      <dgm:prSet presAssocID="{6C0F455D-F6BA-4CA1-8B87-CCD1D8D2EF76}" presName="node" presStyleLbl="node1" presStyleIdx="0" presStyleCnt="5">
        <dgm:presLayoutVars>
          <dgm:bulletEnabled val="1"/>
        </dgm:presLayoutVars>
      </dgm:prSet>
      <dgm:spPr>
        <a:prstGeom prst="snip2SameRect">
          <a:avLst/>
        </a:prstGeom>
      </dgm:spPr>
    </dgm:pt>
    <dgm:pt modelId="{7D1591DA-7936-4134-B869-DFD0DB3B76F8}" type="pres">
      <dgm:prSet presAssocID="{C5594B4C-9A55-4B33-B37F-C4ABE23081AA}" presName="sibTrans" presStyleCnt="0"/>
      <dgm:spPr/>
    </dgm:pt>
    <dgm:pt modelId="{80EA75EA-8102-444B-A95D-72FCD700FADE}" type="pres">
      <dgm:prSet presAssocID="{625C8D2D-B23C-408F-BA38-FDBF2D0421CA}" presName="node" presStyleLbl="node1" presStyleIdx="1" presStyleCnt="5">
        <dgm:presLayoutVars>
          <dgm:bulletEnabled val="1"/>
        </dgm:presLayoutVars>
      </dgm:prSet>
      <dgm:spPr>
        <a:prstGeom prst="snip2SameRect">
          <a:avLst/>
        </a:prstGeom>
      </dgm:spPr>
    </dgm:pt>
    <dgm:pt modelId="{5E8470DE-BFFE-4802-8C6E-7E039C479C49}" type="pres">
      <dgm:prSet presAssocID="{755A51E9-E2F2-4951-A178-85DFE0DF9B97}" presName="sibTrans" presStyleCnt="0"/>
      <dgm:spPr/>
    </dgm:pt>
    <dgm:pt modelId="{E01E10A6-2233-459F-A0FD-6077D68BB024}" type="pres">
      <dgm:prSet presAssocID="{346CFB59-A81F-4C86-BAC8-F889047C73A0}" presName="node" presStyleLbl="node1" presStyleIdx="2" presStyleCnt="5">
        <dgm:presLayoutVars>
          <dgm:bulletEnabled val="1"/>
        </dgm:presLayoutVars>
      </dgm:prSet>
      <dgm:spPr>
        <a:prstGeom prst="snip2SameRect">
          <a:avLst/>
        </a:prstGeom>
      </dgm:spPr>
    </dgm:pt>
    <dgm:pt modelId="{D93EDC92-790A-499F-9DA2-51DDFB7777C0}" type="pres">
      <dgm:prSet presAssocID="{B9C4A711-57EA-4DA5-A1F6-DF10233F3554}" presName="sibTrans" presStyleCnt="0"/>
      <dgm:spPr/>
    </dgm:pt>
    <dgm:pt modelId="{97D57334-656D-4307-A3B1-894E440976BF}" type="pres">
      <dgm:prSet presAssocID="{BE34BC72-B5AD-4117-9FA1-B2FC440243C6}" presName="node" presStyleLbl="node1" presStyleIdx="3" presStyleCnt="5">
        <dgm:presLayoutVars>
          <dgm:bulletEnabled val="1"/>
        </dgm:presLayoutVars>
      </dgm:prSet>
      <dgm:spPr>
        <a:prstGeom prst="snip2SameRect">
          <a:avLst/>
        </a:prstGeom>
      </dgm:spPr>
    </dgm:pt>
    <dgm:pt modelId="{60B1784D-AA48-4F9D-801C-360E9CA0A1A1}" type="pres">
      <dgm:prSet presAssocID="{38263329-2293-4AFF-A032-491BC47F4D5B}" presName="sibTrans" presStyleCnt="0"/>
      <dgm:spPr/>
    </dgm:pt>
    <dgm:pt modelId="{DF96191B-B467-433E-882E-5B2790769175}" type="pres">
      <dgm:prSet presAssocID="{90C494E1-DD28-46DE-8887-F3A93FEF1979}" presName="node" presStyleLbl="node1" presStyleIdx="4" presStyleCnt="5">
        <dgm:presLayoutVars>
          <dgm:bulletEnabled val="1"/>
        </dgm:presLayoutVars>
      </dgm:prSet>
      <dgm:spPr>
        <a:prstGeom prst="snip2SameRect">
          <a:avLst/>
        </a:prstGeom>
      </dgm:spPr>
    </dgm:pt>
  </dgm:ptLst>
  <dgm:cxnLst>
    <dgm:cxn modelId="{3EC8CA1D-DB33-477F-ABA6-7136E40A919E}" srcId="{21CFC178-8A68-40B0-864D-D239688391FF}" destId="{346CFB59-A81F-4C86-BAC8-F889047C73A0}" srcOrd="2" destOrd="0" parTransId="{E1A2F451-9DC3-4985-B4FB-067FAA275879}" sibTransId="{B9C4A711-57EA-4DA5-A1F6-DF10233F3554}"/>
    <dgm:cxn modelId="{A5845127-22E2-4A95-BD4D-A5040915ECB3}" type="presOf" srcId="{6C0F455D-F6BA-4CA1-8B87-CCD1D8D2EF76}" destId="{82580B72-495D-4637-B03B-ADFD8A19B624}" srcOrd="0" destOrd="0" presId="urn:microsoft.com/office/officeart/2005/8/layout/hList6"/>
    <dgm:cxn modelId="{BAF1A929-FA87-4103-A4DE-C19DEBA369FF}" type="presOf" srcId="{346CFB59-A81F-4C86-BAC8-F889047C73A0}" destId="{E01E10A6-2233-459F-A0FD-6077D68BB024}" srcOrd="0" destOrd="0" presId="urn:microsoft.com/office/officeart/2005/8/layout/hList6"/>
    <dgm:cxn modelId="{0B60EB3C-0252-4493-96FE-F08CD7E60659}" srcId="{21CFC178-8A68-40B0-864D-D239688391FF}" destId="{6C0F455D-F6BA-4CA1-8B87-CCD1D8D2EF76}" srcOrd="0" destOrd="0" parTransId="{263B2930-27E6-459C-9BBC-8A35B24EB420}" sibTransId="{C5594B4C-9A55-4B33-B37F-C4ABE23081AA}"/>
    <dgm:cxn modelId="{04CCAC6A-5B1C-4065-AF66-841A906F1B9A}" type="presOf" srcId="{90C494E1-DD28-46DE-8887-F3A93FEF1979}" destId="{DF96191B-B467-433E-882E-5B2790769175}" srcOrd="0" destOrd="0" presId="urn:microsoft.com/office/officeart/2005/8/layout/hList6"/>
    <dgm:cxn modelId="{13EBE373-B507-445B-8637-BA11FAA398ED}" type="presOf" srcId="{21CFC178-8A68-40B0-864D-D239688391FF}" destId="{F18F8366-8088-4FCF-937B-0940C0B85988}" srcOrd="0" destOrd="0" presId="urn:microsoft.com/office/officeart/2005/8/layout/hList6"/>
    <dgm:cxn modelId="{7C84C977-167C-4E5F-B6D8-1A515AD0F310}" type="presOf" srcId="{BE34BC72-B5AD-4117-9FA1-B2FC440243C6}" destId="{97D57334-656D-4307-A3B1-894E440976BF}" srcOrd="0" destOrd="0" presId="urn:microsoft.com/office/officeart/2005/8/layout/hList6"/>
    <dgm:cxn modelId="{F5C89098-9F09-4C45-9F21-DC1D8959A619}" type="presOf" srcId="{625C8D2D-B23C-408F-BA38-FDBF2D0421CA}" destId="{80EA75EA-8102-444B-A95D-72FCD700FADE}" srcOrd="0" destOrd="0" presId="urn:microsoft.com/office/officeart/2005/8/layout/hList6"/>
    <dgm:cxn modelId="{66CD25C3-F442-484C-9C6A-E9DDA757B9B4}" srcId="{21CFC178-8A68-40B0-864D-D239688391FF}" destId="{90C494E1-DD28-46DE-8887-F3A93FEF1979}" srcOrd="4" destOrd="0" parTransId="{9F902A37-C779-4E83-9BC0-4061AEFEE524}" sibTransId="{96FE6FD3-5348-49B4-A906-937A07441A75}"/>
    <dgm:cxn modelId="{51AE26E8-1ED0-4D7C-9BBE-F3CAE27CE90D}" srcId="{21CFC178-8A68-40B0-864D-D239688391FF}" destId="{625C8D2D-B23C-408F-BA38-FDBF2D0421CA}" srcOrd="1" destOrd="0" parTransId="{7EC3A851-1C26-4049-9B54-FD6387142EFB}" sibTransId="{755A51E9-E2F2-4951-A178-85DFE0DF9B97}"/>
    <dgm:cxn modelId="{3B16CBF3-D0AB-4552-92FD-62E422C083B3}" srcId="{21CFC178-8A68-40B0-864D-D239688391FF}" destId="{BE34BC72-B5AD-4117-9FA1-B2FC440243C6}" srcOrd="3" destOrd="0" parTransId="{C0F1A1B8-6135-471D-913E-EEAF08528150}" sibTransId="{38263329-2293-4AFF-A032-491BC47F4D5B}"/>
    <dgm:cxn modelId="{07B03A8D-A53A-4421-89F6-7F3A3ECF1183}" type="presParOf" srcId="{F18F8366-8088-4FCF-937B-0940C0B85988}" destId="{82580B72-495D-4637-B03B-ADFD8A19B624}" srcOrd="0" destOrd="0" presId="urn:microsoft.com/office/officeart/2005/8/layout/hList6"/>
    <dgm:cxn modelId="{FA8771B1-DF10-44F6-8AC1-4D44B98B48A8}" type="presParOf" srcId="{F18F8366-8088-4FCF-937B-0940C0B85988}" destId="{7D1591DA-7936-4134-B869-DFD0DB3B76F8}" srcOrd="1" destOrd="0" presId="urn:microsoft.com/office/officeart/2005/8/layout/hList6"/>
    <dgm:cxn modelId="{FA182E91-6263-4FFA-833E-05D7B2BB9464}" type="presParOf" srcId="{F18F8366-8088-4FCF-937B-0940C0B85988}" destId="{80EA75EA-8102-444B-A95D-72FCD700FADE}" srcOrd="2" destOrd="0" presId="urn:microsoft.com/office/officeart/2005/8/layout/hList6"/>
    <dgm:cxn modelId="{0BCA7C9A-7BB9-458E-93E6-EA08B16DE420}" type="presParOf" srcId="{F18F8366-8088-4FCF-937B-0940C0B85988}" destId="{5E8470DE-BFFE-4802-8C6E-7E039C479C49}" srcOrd="3" destOrd="0" presId="urn:microsoft.com/office/officeart/2005/8/layout/hList6"/>
    <dgm:cxn modelId="{14FE7441-DA6D-407A-AB49-836759861CBA}" type="presParOf" srcId="{F18F8366-8088-4FCF-937B-0940C0B85988}" destId="{E01E10A6-2233-459F-A0FD-6077D68BB024}" srcOrd="4" destOrd="0" presId="urn:microsoft.com/office/officeart/2005/8/layout/hList6"/>
    <dgm:cxn modelId="{419BD729-73C0-4527-AB20-77E8EA2B7FD8}" type="presParOf" srcId="{F18F8366-8088-4FCF-937B-0940C0B85988}" destId="{D93EDC92-790A-499F-9DA2-51DDFB7777C0}" srcOrd="5" destOrd="0" presId="urn:microsoft.com/office/officeart/2005/8/layout/hList6"/>
    <dgm:cxn modelId="{7EC8F2E5-32B8-40F5-8D46-EE584FD92F3D}" type="presParOf" srcId="{F18F8366-8088-4FCF-937B-0940C0B85988}" destId="{97D57334-656D-4307-A3B1-894E440976BF}" srcOrd="6" destOrd="0" presId="urn:microsoft.com/office/officeart/2005/8/layout/hList6"/>
    <dgm:cxn modelId="{72184C44-0574-4760-9BFA-CA058E5F2E95}" type="presParOf" srcId="{F18F8366-8088-4FCF-937B-0940C0B85988}" destId="{60B1784D-AA48-4F9D-801C-360E9CA0A1A1}" srcOrd="7" destOrd="0" presId="urn:microsoft.com/office/officeart/2005/8/layout/hList6"/>
    <dgm:cxn modelId="{8D60395B-E7C1-4558-8F2C-3D5B4D1F7E8C}" type="presParOf" srcId="{F18F8366-8088-4FCF-937B-0940C0B85988}" destId="{DF96191B-B467-433E-882E-5B2790769175}" srcOrd="8" destOrd="0" presId="urn:microsoft.com/office/officeart/2005/8/layout/hList6"/>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92A822A-1090-4303-A7A6-5B0C9D04D0FB}" type="doc">
      <dgm:prSet loTypeId="urn:microsoft.com/office/officeart/2005/8/layout/default" loCatId="list" qsTypeId="urn:microsoft.com/office/officeart/2005/8/quickstyle/simple1" qsCatId="simple" csTypeId="urn:microsoft.com/office/officeart/2005/8/colors/accent2_2" csCatId="accent2" phldr="1"/>
      <dgm:spPr/>
      <dgm:t>
        <a:bodyPr/>
        <a:lstStyle/>
        <a:p>
          <a:endParaRPr lang="en-US"/>
        </a:p>
      </dgm:t>
    </dgm:pt>
    <dgm:pt modelId="{A6082F6C-1156-450A-9B92-14B953072F91}">
      <dgm:prSet custT="1"/>
      <dgm:spPr/>
      <dgm:t>
        <a:bodyPr/>
        <a:lstStyle/>
        <a:p>
          <a:pPr algn="ctr"/>
          <a:r>
            <a:rPr lang="lt-LT" sz="1000" b="1"/>
            <a:t>Spectacole în aer liber</a:t>
          </a:r>
          <a:endParaRPr lang="en-US" sz="1000" b="1"/>
        </a:p>
      </dgm:t>
    </dgm:pt>
    <dgm:pt modelId="{9A0CEEC2-85EB-48A0-8365-F9BDBE309E85}" type="parTrans" cxnId="{676FFCBB-99B6-42D9-98AD-89834C5E4408}">
      <dgm:prSet/>
      <dgm:spPr/>
      <dgm:t>
        <a:bodyPr/>
        <a:lstStyle/>
        <a:p>
          <a:pPr algn="ctr"/>
          <a:endParaRPr lang="en-US" b="1"/>
        </a:p>
      </dgm:t>
    </dgm:pt>
    <dgm:pt modelId="{0EA38F29-FDF9-4B81-BE9B-4ED4F7FE11E2}" type="sibTrans" cxnId="{676FFCBB-99B6-42D9-98AD-89834C5E4408}">
      <dgm:prSet/>
      <dgm:spPr/>
      <dgm:t>
        <a:bodyPr/>
        <a:lstStyle/>
        <a:p>
          <a:pPr algn="ctr"/>
          <a:endParaRPr lang="en-US" b="1"/>
        </a:p>
      </dgm:t>
    </dgm:pt>
    <dgm:pt modelId="{353AB29C-D9B8-4515-A5BD-7FEA58DB64A1}">
      <dgm:prSet custT="1"/>
      <dgm:spPr/>
      <dgm:t>
        <a:bodyPr/>
        <a:lstStyle/>
        <a:p>
          <a:pPr algn="ctr"/>
          <a:r>
            <a:rPr lang="lt-LT" sz="1000" b="1"/>
            <a:t>Expoziții</a:t>
          </a:r>
          <a:endParaRPr lang="en-US" sz="1000" b="1"/>
        </a:p>
      </dgm:t>
    </dgm:pt>
    <dgm:pt modelId="{92537B1B-D0C2-403B-9BB7-FB3F56615A67}" type="parTrans" cxnId="{14673F12-90C1-478C-9B89-7DFF64AB7C46}">
      <dgm:prSet/>
      <dgm:spPr/>
      <dgm:t>
        <a:bodyPr/>
        <a:lstStyle/>
        <a:p>
          <a:pPr algn="ctr"/>
          <a:endParaRPr lang="en-US" b="1"/>
        </a:p>
      </dgm:t>
    </dgm:pt>
    <dgm:pt modelId="{C6180C90-672B-4EE6-9009-D3B42B4C58FF}" type="sibTrans" cxnId="{14673F12-90C1-478C-9B89-7DFF64AB7C46}">
      <dgm:prSet/>
      <dgm:spPr/>
      <dgm:t>
        <a:bodyPr/>
        <a:lstStyle/>
        <a:p>
          <a:pPr algn="ctr"/>
          <a:endParaRPr lang="en-US" b="1"/>
        </a:p>
      </dgm:t>
    </dgm:pt>
    <dgm:pt modelId="{8FC673FC-FB3D-48A5-8AB9-AFB3BDFEBBFE}">
      <dgm:prSet custT="1"/>
      <dgm:spPr/>
      <dgm:t>
        <a:bodyPr/>
        <a:lstStyle/>
        <a:p>
          <a:pPr algn="ctr"/>
          <a:r>
            <a:rPr lang="lt-LT" sz="1000" b="1"/>
            <a:t>Zone de agrement</a:t>
          </a:r>
          <a:r>
            <a:rPr lang="ro-RO" sz="1000" b="1"/>
            <a:t> </a:t>
          </a:r>
          <a:r>
            <a:rPr lang="lt-LT" sz="1000" b="1"/>
            <a:t>amenajate pe malul lacurilor</a:t>
          </a:r>
          <a:endParaRPr lang="en-US" sz="1000" b="1"/>
        </a:p>
      </dgm:t>
    </dgm:pt>
    <dgm:pt modelId="{387DBFD0-5F19-4555-B73F-92861324B400}" type="parTrans" cxnId="{729A0BEA-8641-4FAF-8422-9BB4D6779865}">
      <dgm:prSet/>
      <dgm:spPr/>
      <dgm:t>
        <a:bodyPr/>
        <a:lstStyle/>
        <a:p>
          <a:pPr algn="ctr"/>
          <a:endParaRPr lang="en-US" b="1"/>
        </a:p>
      </dgm:t>
    </dgm:pt>
    <dgm:pt modelId="{F0F2FF27-407A-40A1-875D-7BDC73FA9308}" type="sibTrans" cxnId="{729A0BEA-8641-4FAF-8422-9BB4D6779865}">
      <dgm:prSet/>
      <dgm:spPr/>
      <dgm:t>
        <a:bodyPr/>
        <a:lstStyle/>
        <a:p>
          <a:pPr algn="ctr"/>
          <a:endParaRPr lang="en-US" b="1"/>
        </a:p>
      </dgm:t>
    </dgm:pt>
    <dgm:pt modelId="{D641F7DC-F7DF-4C7A-B16B-65DEA76A9BB4}">
      <dgm:prSet custT="1"/>
      <dgm:spPr/>
      <dgm:t>
        <a:bodyPr/>
        <a:lstStyle/>
        <a:p>
          <a:pPr algn="ctr"/>
          <a:r>
            <a:rPr lang="lt-LT" sz="1000" b="1"/>
            <a:t>Baze sportive</a:t>
          </a:r>
          <a:endParaRPr lang="en-US" sz="1000" b="1"/>
        </a:p>
      </dgm:t>
    </dgm:pt>
    <dgm:pt modelId="{18ED8323-0B62-41F3-A387-72CA3F6EB54A}" type="parTrans" cxnId="{BB05C002-15F2-4900-AD7B-F48EE81F5DCF}">
      <dgm:prSet/>
      <dgm:spPr/>
      <dgm:t>
        <a:bodyPr/>
        <a:lstStyle/>
        <a:p>
          <a:pPr algn="ctr"/>
          <a:endParaRPr lang="en-US" b="1"/>
        </a:p>
      </dgm:t>
    </dgm:pt>
    <dgm:pt modelId="{1A3062F8-9E6E-41D6-A08E-7BCECD9751EF}" type="sibTrans" cxnId="{BB05C002-15F2-4900-AD7B-F48EE81F5DCF}">
      <dgm:prSet/>
      <dgm:spPr/>
      <dgm:t>
        <a:bodyPr/>
        <a:lstStyle/>
        <a:p>
          <a:pPr algn="ctr"/>
          <a:endParaRPr lang="en-US" b="1"/>
        </a:p>
      </dgm:t>
    </dgm:pt>
    <dgm:pt modelId="{F2F69915-4505-4090-9569-C22A18142D67}">
      <dgm:prSet custT="1"/>
      <dgm:spPr/>
      <dgm:t>
        <a:bodyPr/>
        <a:lstStyle/>
        <a:p>
          <a:pPr algn="ctr"/>
          <a:r>
            <a:rPr lang="lt-LT" sz="1000" b="1"/>
            <a:t>Cinema în aer liber</a:t>
          </a:r>
          <a:endParaRPr lang="en-US" sz="1000" b="1"/>
        </a:p>
      </dgm:t>
    </dgm:pt>
    <dgm:pt modelId="{0ED96EB7-8A88-4682-8F62-46E3632FA768}" type="parTrans" cxnId="{29E8A936-39B4-423F-A367-784BE00B4BED}">
      <dgm:prSet/>
      <dgm:spPr/>
      <dgm:t>
        <a:bodyPr/>
        <a:lstStyle/>
        <a:p>
          <a:pPr algn="ctr"/>
          <a:endParaRPr lang="en-US" b="1"/>
        </a:p>
      </dgm:t>
    </dgm:pt>
    <dgm:pt modelId="{81A74E8B-93DF-4981-A6D6-2A5F118E0A3E}" type="sibTrans" cxnId="{29E8A936-39B4-423F-A367-784BE00B4BED}">
      <dgm:prSet/>
      <dgm:spPr/>
      <dgm:t>
        <a:bodyPr/>
        <a:lstStyle/>
        <a:p>
          <a:pPr algn="ctr"/>
          <a:endParaRPr lang="en-US" b="1"/>
        </a:p>
      </dgm:t>
    </dgm:pt>
    <dgm:pt modelId="{4423C0C8-6D12-4ACB-9058-C0189293E1FC}">
      <dgm:prSet custT="1"/>
      <dgm:spPr/>
      <dgm:t>
        <a:bodyPr/>
        <a:lstStyle/>
        <a:p>
          <a:pPr algn="ctr"/>
          <a:r>
            <a:rPr lang="lt-LT" sz="1000" b="1"/>
            <a:t>Cluburi de activități pentru diverse vârste</a:t>
          </a:r>
          <a:endParaRPr lang="en-US" sz="1000" b="1"/>
        </a:p>
      </dgm:t>
    </dgm:pt>
    <dgm:pt modelId="{B57D752C-FB30-4C09-96B0-A45EBBF11E14}" type="parTrans" cxnId="{BC3DE0A5-9FA2-4E74-8D07-12F1B938290D}">
      <dgm:prSet/>
      <dgm:spPr/>
      <dgm:t>
        <a:bodyPr/>
        <a:lstStyle/>
        <a:p>
          <a:pPr algn="ctr"/>
          <a:endParaRPr lang="en-US" b="1"/>
        </a:p>
      </dgm:t>
    </dgm:pt>
    <dgm:pt modelId="{A983302D-4A09-496A-8460-F836D51F8CA3}" type="sibTrans" cxnId="{BC3DE0A5-9FA2-4E74-8D07-12F1B938290D}">
      <dgm:prSet/>
      <dgm:spPr/>
      <dgm:t>
        <a:bodyPr/>
        <a:lstStyle/>
        <a:p>
          <a:pPr algn="ctr"/>
          <a:endParaRPr lang="en-US" b="1"/>
        </a:p>
      </dgm:t>
    </dgm:pt>
    <dgm:pt modelId="{ACAE83EA-22E8-429D-AE18-00810920F5F2}">
      <dgm:prSet custT="1"/>
      <dgm:spPr/>
      <dgm:t>
        <a:bodyPr/>
        <a:lstStyle/>
        <a:p>
          <a:pPr algn="ctr"/>
          <a:r>
            <a:rPr lang="lt-LT" sz="1000" b="1"/>
            <a:t>Competiții și întreceri sportive</a:t>
          </a:r>
          <a:endParaRPr lang="en-US" sz="1000" b="1"/>
        </a:p>
      </dgm:t>
    </dgm:pt>
    <dgm:pt modelId="{87385C54-BD7B-4678-A2ED-1564AD1F00A1}" type="parTrans" cxnId="{055F8F7B-68F6-4C8E-B05C-01BD0136BB0A}">
      <dgm:prSet/>
      <dgm:spPr/>
      <dgm:t>
        <a:bodyPr/>
        <a:lstStyle/>
        <a:p>
          <a:pPr algn="ctr"/>
          <a:endParaRPr lang="en-US" b="1"/>
        </a:p>
      </dgm:t>
    </dgm:pt>
    <dgm:pt modelId="{33005162-4608-426B-A8E7-01FDD8D2218B}" type="sibTrans" cxnId="{055F8F7B-68F6-4C8E-B05C-01BD0136BB0A}">
      <dgm:prSet/>
      <dgm:spPr/>
      <dgm:t>
        <a:bodyPr/>
        <a:lstStyle/>
        <a:p>
          <a:pPr algn="ctr"/>
          <a:endParaRPr lang="en-US" b="1"/>
        </a:p>
      </dgm:t>
    </dgm:pt>
    <dgm:pt modelId="{5B84489F-2569-4727-ABF7-89E61036A9A8}">
      <dgm:prSet custT="1"/>
      <dgm:spPr/>
      <dgm:t>
        <a:bodyPr/>
        <a:lstStyle/>
        <a:p>
          <a:pPr algn="ctr"/>
          <a:r>
            <a:rPr lang="lt-LT" sz="1000" b="1"/>
            <a:t>Plimbări cu barca</a:t>
          </a:r>
          <a:endParaRPr lang="en-US" sz="1000" b="1"/>
        </a:p>
      </dgm:t>
    </dgm:pt>
    <dgm:pt modelId="{E9B1B98C-845B-4C6C-91C0-F3F58117C174}" type="parTrans" cxnId="{61208B71-F513-416C-939A-91FFCE23726E}">
      <dgm:prSet/>
      <dgm:spPr/>
      <dgm:t>
        <a:bodyPr/>
        <a:lstStyle/>
        <a:p>
          <a:pPr algn="ctr"/>
          <a:endParaRPr lang="en-US" b="1"/>
        </a:p>
      </dgm:t>
    </dgm:pt>
    <dgm:pt modelId="{9BCA3A84-3FC9-4D79-8213-FE1FF286A7DF}" type="sibTrans" cxnId="{61208B71-F513-416C-939A-91FFCE23726E}">
      <dgm:prSet/>
      <dgm:spPr/>
      <dgm:t>
        <a:bodyPr/>
        <a:lstStyle/>
        <a:p>
          <a:pPr algn="ctr"/>
          <a:endParaRPr lang="en-US" b="1"/>
        </a:p>
      </dgm:t>
    </dgm:pt>
    <dgm:pt modelId="{B7F42A8A-BF21-4A64-BFFF-BE0BDB10837A}">
      <dgm:prSet custT="1"/>
      <dgm:spPr/>
      <dgm:t>
        <a:bodyPr/>
        <a:lstStyle/>
        <a:p>
          <a:pPr algn="ctr"/>
          <a:r>
            <a:rPr lang="lt-LT" sz="1000" b="1"/>
            <a:t>Târguri</a:t>
          </a:r>
          <a:endParaRPr lang="en-US" sz="1000" b="1"/>
        </a:p>
      </dgm:t>
    </dgm:pt>
    <dgm:pt modelId="{FAA4DD61-244F-4B6A-8C86-AED442D826F9}" type="parTrans" cxnId="{A032FC9B-8294-4E66-A879-6FA0C62A61CF}">
      <dgm:prSet/>
      <dgm:spPr/>
      <dgm:t>
        <a:bodyPr/>
        <a:lstStyle/>
        <a:p>
          <a:pPr algn="ctr"/>
          <a:endParaRPr lang="en-US" b="1"/>
        </a:p>
      </dgm:t>
    </dgm:pt>
    <dgm:pt modelId="{DF4B2739-4497-42B2-AF27-DC1A0B8EC952}" type="sibTrans" cxnId="{A032FC9B-8294-4E66-A879-6FA0C62A61CF}">
      <dgm:prSet/>
      <dgm:spPr/>
      <dgm:t>
        <a:bodyPr/>
        <a:lstStyle/>
        <a:p>
          <a:pPr algn="ctr"/>
          <a:endParaRPr lang="en-US" b="1"/>
        </a:p>
      </dgm:t>
    </dgm:pt>
    <dgm:pt modelId="{2F1E53C0-C184-4669-AFA8-709E4BADCFF6}">
      <dgm:prSet custT="1"/>
      <dgm:spPr/>
      <dgm:t>
        <a:bodyPr/>
        <a:lstStyle/>
        <a:p>
          <a:pPr algn="ctr"/>
          <a:r>
            <a:rPr lang="lt-LT" sz="1000" b="1"/>
            <a:t>Zone de promenadă</a:t>
          </a:r>
          <a:endParaRPr lang="en-US" sz="1000" b="1"/>
        </a:p>
      </dgm:t>
    </dgm:pt>
    <dgm:pt modelId="{6371A9D4-35D2-4147-9B7B-97E15EA54382}" type="parTrans" cxnId="{21AC54DD-DFA0-41C0-BDEE-578FC6D9DAA2}">
      <dgm:prSet/>
      <dgm:spPr/>
      <dgm:t>
        <a:bodyPr/>
        <a:lstStyle/>
        <a:p>
          <a:pPr algn="ctr"/>
          <a:endParaRPr lang="en-US" b="1"/>
        </a:p>
      </dgm:t>
    </dgm:pt>
    <dgm:pt modelId="{C200A22E-F0B2-4D93-A695-88A990007110}" type="sibTrans" cxnId="{21AC54DD-DFA0-41C0-BDEE-578FC6D9DAA2}">
      <dgm:prSet/>
      <dgm:spPr/>
      <dgm:t>
        <a:bodyPr/>
        <a:lstStyle/>
        <a:p>
          <a:pPr algn="ctr"/>
          <a:endParaRPr lang="en-US" b="1"/>
        </a:p>
      </dgm:t>
    </dgm:pt>
    <dgm:pt modelId="{5C1D9548-2AF8-479F-AC89-9D1F458020DB}">
      <dgm:prSet custT="1"/>
      <dgm:spPr/>
      <dgm:t>
        <a:bodyPr/>
        <a:lstStyle/>
        <a:p>
          <a:pPr algn="ctr"/>
          <a:r>
            <a:rPr lang="ro-RO" sz="1000" b="1"/>
            <a:t>C</a:t>
          </a:r>
          <a:r>
            <a:rPr lang="lt-LT" sz="1000" b="1"/>
            <a:t>afenele, restaurante amenajate pe malul lacurilor</a:t>
          </a:r>
          <a:endParaRPr lang="en-US" sz="1000" b="1"/>
        </a:p>
      </dgm:t>
    </dgm:pt>
    <dgm:pt modelId="{EFF4F5C8-140E-418B-BFBB-7C1F43F78FA5}" type="parTrans" cxnId="{B65046BC-7864-4165-964B-A0C200A65D37}">
      <dgm:prSet/>
      <dgm:spPr/>
      <dgm:t>
        <a:bodyPr/>
        <a:lstStyle/>
        <a:p>
          <a:pPr algn="ctr"/>
          <a:endParaRPr lang="ro-RO" b="1"/>
        </a:p>
      </dgm:t>
    </dgm:pt>
    <dgm:pt modelId="{FF6CE7C3-0BE2-4078-A88B-100C29C31C69}" type="sibTrans" cxnId="{B65046BC-7864-4165-964B-A0C200A65D37}">
      <dgm:prSet/>
      <dgm:spPr/>
      <dgm:t>
        <a:bodyPr/>
        <a:lstStyle/>
        <a:p>
          <a:pPr algn="ctr"/>
          <a:endParaRPr lang="ro-RO" b="1"/>
        </a:p>
      </dgm:t>
    </dgm:pt>
    <dgm:pt modelId="{9EA6CB0C-3381-4B80-9BCE-38EF79C2F1F3}" type="pres">
      <dgm:prSet presAssocID="{C92A822A-1090-4303-A7A6-5B0C9D04D0FB}" presName="diagram" presStyleCnt="0">
        <dgm:presLayoutVars>
          <dgm:dir/>
          <dgm:resizeHandles val="exact"/>
        </dgm:presLayoutVars>
      </dgm:prSet>
      <dgm:spPr/>
    </dgm:pt>
    <dgm:pt modelId="{496385C8-5E87-40B7-A899-ED1DBE752697}" type="pres">
      <dgm:prSet presAssocID="{A6082F6C-1156-450A-9B92-14B953072F91}" presName="node" presStyleLbl="node1" presStyleIdx="0" presStyleCnt="11">
        <dgm:presLayoutVars>
          <dgm:bulletEnabled val="1"/>
        </dgm:presLayoutVars>
      </dgm:prSet>
      <dgm:spPr/>
    </dgm:pt>
    <dgm:pt modelId="{5AD8D64C-E1A7-444C-A635-658180C8E488}" type="pres">
      <dgm:prSet presAssocID="{0EA38F29-FDF9-4B81-BE9B-4ED4F7FE11E2}" presName="sibTrans" presStyleCnt="0"/>
      <dgm:spPr/>
    </dgm:pt>
    <dgm:pt modelId="{A0BFFBF0-B62F-44ED-8C4A-58B2C88B80CF}" type="pres">
      <dgm:prSet presAssocID="{353AB29C-D9B8-4515-A5BD-7FEA58DB64A1}" presName="node" presStyleLbl="node1" presStyleIdx="1" presStyleCnt="11">
        <dgm:presLayoutVars>
          <dgm:bulletEnabled val="1"/>
        </dgm:presLayoutVars>
      </dgm:prSet>
      <dgm:spPr/>
    </dgm:pt>
    <dgm:pt modelId="{06F41D0D-FA36-4DE6-8A45-A4ADB70C9C28}" type="pres">
      <dgm:prSet presAssocID="{C6180C90-672B-4EE6-9009-D3B42B4C58FF}" presName="sibTrans" presStyleCnt="0"/>
      <dgm:spPr/>
    </dgm:pt>
    <dgm:pt modelId="{5DC0381D-89CC-4B18-A349-D8077F292539}" type="pres">
      <dgm:prSet presAssocID="{8FC673FC-FB3D-48A5-8AB9-AFB3BDFEBBFE}" presName="node" presStyleLbl="node1" presStyleIdx="2" presStyleCnt="11">
        <dgm:presLayoutVars>
          <dgm:bulletEnabled val="1"/>
        </dgm:presLayoutVars>
      </dgm:prSet>
      <dgm:spPr/>
    </dgm:pt>
    <dgm:pt modelId="{3CDC35BF-BB22-4D05-A597-97748A6AD0C7}" type="pres">
      <dgm:prSet presAssocID="{F0F2FF27-407A-40A1-875D-7BDC73FA9308}" presName="sibTrans" presStyleCnt="0"/>
      <dgm:spPr/>
    </dgm:pt>
    <dgm:pt modelId="{84F06E74-3143-4D87-B4F1-067A55D1B229}" type="pres">
      <dgm:prSet presAssocID="{D641F7DC-F7DF-4C7A-B16B-65DEA76A9BB4}" presName="node" presStyleLbl="node1" presStyleIdx="3" presStyleCnt="11">
        <dgm:presLayoutVars>
          <dgm:bulletEnabled val="1"/>
        </dgm:presLayoutVars>
      </dgm:prSet>
      <dgm:spPr/>
    </dgm:pt>
    <dgm:pt modelId="{CD48A7B2-7006-4DDA-96C7-2E896DF03BFB}" type="pres">
      <dgm:prSet presAssocID="{1A3062F8-9E6E-41D6-A08E-7BCECD9751EF}" presName="sibTrans" presStyleCnt="0"/>
      <dgm:spPr/>
    </dgm:pt>
    <dgm:pt modelId="{FD5D1DF6-58ED-4F05-86A8-085A88E71E09}" type="pres">
      <dgm:prSet presAssocID="{F2F69915-4505-4090-9569-C22A18142D67}" presName="node" presStyleLbl="node1" presStyleIdx="4" presStyleCnt="11">
        <dgm:presLayoutVars>
          <dgm:bulletEnabled val="1"/>
        </dgm:presLayoutVars>
      </dgm:prSet>
      <dgm:spPr/>
    </dgm:pt>
    <dgm:pt modelId="{5615D436-92FA-4A23-AD9B-5A5F7CDBD3CB}" type="pres">
      <dgm:prSet presAssocID="{81A74E8B-93DF-4981-A6D6-2A5F118E0A3E}" presName="sibTrans" presStyleCnt="0"/>
      <dgm:spPr/>
    </dgm:pt>
    <dgm:pt modelId="{796D8846-E821-4DE3-8DD8-DFF9DEE6AE52}" type="pres">
      <dgm:prSet presAssocID="{4423C0C8-6D12-4ACB-9058-C0189293E1FC}" presName="node" presStyleLbl="node1" presStyleIdx="5" presStyleCnt="11">
        <dgm:presLayoutVars>
          <dgm:bulletEnabled val="1"/>
        </dgm:presLayoutVars>
      </dgm:prSet>
      <dgm:spPr/>
    </dgm:pt>
    <dgm:pt modelId="{53944F9D-A641-416A-ADAC-D488D43613BC}" type="pres">
      <dgm:prSet presAssocID="{A983302D-4A09-496A-8460-F836D51F8CA3}" presName="sibTrans" presStyleCnt="0"/>
      <dgm:spPr/>
    </dgm:pt>
    <dgm:pt modelId="{FFE18C75-6974-4B54-B9FA-18D0518A17DF}" type="pres">
      <dgm:prSet presAssocID="{ACAE83EA-22E8-429D-AE18-00810920F5F2}" presName="node" presStyleLbl="node1" presStyleIdx="6" presStyleCnt="11">
        <dgm:presLayoutVars>
          <dgm:bulletEnabled val="1"/>
        </dgm:presLayoutVars>
      </dgm:prSet>
      <dgm:spPr/>
    </dgm:pt>
    <dgm:pt modelId="{F1E73D25-11B9-44BF-9DEF-A3D0F3703296}" type="pres">
      <dgm:prSet presAssocID="{33005162-4608-426B-A8E7-01FDD8D2218B}" presName="sibTrans" presStyleCnt="0"/>
      <dgm:spPr/>
    </dgm:pt>
    <dgm:pt modelId="{7EAFC521-99B6-4964-9D81-6DF26D06CF4B}" type="pres">
      <dgm:prSet presAssocID="{5B84489F-2569-4727-ABF7-89E61036A9A8}" presName="node" presStyleLbl="node1" presStyleIdx="7" presStyleCnt="11">
        <dgm:presLayoutVars>
          <dgm:bulletEnabled val="1"/>
        </dgm:presLayoutVars>
      </dgm:prSet>
      <dgm:spPr/>
    </dgm:pt>
    <dgm:pt modelId="{6B8028DD-68EE-4321-A291-8948D0CB8139}" type="pres">
      <dgm:prSet presAssocID="{9BCA3A84-3FC9-4D79-8213-FE1FF286A7DF}" presName="sibTrans" presStyleCnt="0"/>
      <dgm:spPr/>
    </dgm:pt>
    <dgm:pt modelId="{69C5D823-7DA2-42AF-A158-DC3A450E0EC7}" type="pres">
      <dgm:prSet presAssocID="{B7F42A8A-BF21-4A64-BFFF-BE0BDB10837A}" presName="node" presStyleLbl="node1" presStyleIdx="8" presStyleCnt="11">
        <dgm:presLayoutVars>
          <dgm:bulletEnabled val="1"/>
        </dgm:presLayoutVars>
      </dgm:prSet>
      <dgm:spPr/>
    </dgm:pt>
    <dgm:pt modelId="{84B622F6-B2BA-4181-AD2F-86A4CF5491D1}" type="pres">
      <dgm:prSet presAssocID="{DF4B2739-4497-42B2-AF27-DC1A0B8EC952}" presName="sibTrans" presStyleCnt="0"/>
      <dgm:spPr/>
    </dgm:pt>
    <dgm:pt modelId="{4A9DFEE4-5D75-4747-A7D8-DA90D891525B}" type="pres">
      <dgm:prSet presAssocID="{2F1E53C0-C184-4669-AFA8-709E4BADCFF6}" presName="node" presStyleLbl="node1" presStyleIdx="9" presStyleCnt="11">
        <dgm:presLayoutVars>
          <dgm:bulletEnabled val="1"/>
        </dgm:presLayoutVars>
      </dgm:prSet>
      <dgm:spPr/>
    </dgm:pt>
    <dgm:pt modelId="{F404A90B-C703-411C-B60E-40A28B9243E2}" type="pres">
      <dgm:prSet presAssocID="{C200A22E-F0B2-4D93-A695-88A990007110}" presName="sibTrans" presStyleCnt="0"/>
      <dgm:spPr/>
    </dgm:pt>
    <dgm:pt modelId="{4843091A-7DA7-4B5B-8F08-3CB05BD0ECA8}" type="pres">
      <dgm:prSet presAssocID="{5C1D9548-2AF8-479F-AC89-9D1F458020DB}" presName="node" presStyleLbl="node1" presStyleIdx="10" presStyleCnt="11">
        <dgm:presLayoutVars>
          <dgm:bulletEnabled val="1"/>
        </dgm:presLayoutVars>
      </dgm:prSet>
      <dgm:spPr/>
    </dgm:pt>
  </dgm:ptLst>
  <dgm:cxnLst>
    <dgm:cxn modelId="{BB05C002-15F2-4900-AD7B-F48EE81F5DCF}" srcId="{C92A822A-1090-4303-A7A6-5B0C9D04D0FB}" destId="{D641F7DC-F7DF-4C7A-B16B-65DEA76A9BB4}" srcOrd="3" destOrd="0" parTransId="{18ED8323-0B62-41F3-A387-72CA3F6EB54A}" sibTransId="{1A3062F8-9E6E-41D6-A08E-7BCECD9751EF}"/>
    <dgm:cxn modelId="{979A0512-0492-453A-B165-2280C1C753F2}" type="presOf" srcId="{8FC673FC-FB3D-48A5-8AB9-AFB3BDFEBBFE}" destId="{5DC0381D-89CC-4B18-A349-D8077F292539}" srcOrd="0" destOrd="0" presId="urn:microsoft.com/office/officeart/2005/8/layout/default"/>
    <dgm:cxn modelId="{14673F12-90C1-478C-9B89-7DFF64AB7C46}" srcId="{C92A822A-1090-4303-A7A6-5B0C9D04D0FB}" destId="{353AB29C-D9B8-4515-A5BD-7FEA58DB64A1}" srcOrd="1" destOrd="0" parTransId="{92537B1B-D0C2-403B-9BB7-FB3F56615A67}" sibTransId="{C6180C90-672B-4EE6-9009-D3B42B4C58FF}"/>
    <dgm:cxn modelId="{B890B215-304A-462F-A5F6-16CAA0385FA7}" type="presOf" srcId="{5B84489F-2569-4727-ABF7-89E61036A9A8}" destId="{7EAFC521-99B6-4964-9D81-6DF26D06CF4B}" srcOrd="0" destOrd="0" presId="urn:microsoft.com/office/officeart/2005/8/layout/default"/>
    <dgm:cxn modelId="{B1D09331-B0D6-4499-9F4B-0A3E0305FFB8}" type="presOf" srcId="{ACAE83EA-22E8-429D-AE18-00810920F5F2}" destId="{FFE18C75-6974-4B54-B9FA-18D0518A17DF}" srcOrd="0" destOrd="0" presId="urn:microsoft.com/office/officeart/2005/8/layout/default"/>
    <dgm:cxn modelId="{29E8A936-39B4-423F-A367-784BE00B4BED}" srcId="{C92A822A-1090-4303-A7A6-5B0C9D04D0FB}" destId="{F2F69915-4505-4090-9569-C22A18142D67}" srcOrd="4" destOrd="0" parTransId="{0ED96EB7-8A88-4682-8F62-46E3632FA768}" sibTransId="{81A74E8B-93DF-4981-A6D6-2A5F118E0A3E}"/>
    <dgm:cxn modelId="{21A11F38-4657-4BAB-BA3D-CF7D72D44FA0}" type="presOf" srcId="{353AB29C-D9B8-4515-A5BD-7FEA58DB64A1}" destId="{A0BFFBF0-B62F-44ED-8C4A-58B2C88B80CF}" srcOrd="0" destOrd="0" presId="urn:microsoft.com/office/officeart/2005/8/layout/default"/>
    <dgm:cxn modelId="{B94EDD39-B076-4729-8C18-83617A65CE30}" type="presOf" srcId="{C92A822A-1090-4303-A7A6-5B0C9D04D0FB}" destId="{9EA6CB0C-3381-4B80-9BCE-38EF79C2F1F3}" srcOrd="0" destOrd="0" presId="urn:microsoft.com/office/officeart/2005/8/layout/default"/>
    <dgm:cxn modelId="{5CB2533B-7C9D-4206-AD9D-4303FBD13807}" type="presOf" srcId="{F2F69915-4505-4090-9569-C22A18142D67}" destId="{FD5D1DF6-58ED-4F05-86A8-085A88E71E09}" srcOrd="0" destOrd="0" presId="urn:microsoft.com/office/officeart/2005/8/layout/default"/>
    <dgm:cxn modelId="{61208B71-F513-416C-939A-91FFCE23726E}" srcId="{C92A822A-1090-4303-A7A6-5B0C9D04D0FB}" destId="{5B84489F-2569-4727-ABF7-89E61036A9A8}" srcOrd="7" destOrd="0" parTransId="{E9B1B98C-845B-4C6C-91C0-F3F58117C174}" sibTransId="{9BCA3A84-3FC9-4D79-8213-FE1FF286A7DF}"/>
    <dgm:cxn modelId="{C5DFAB56-DFCA-4FF9-890A-A55FDE09DF72}" type="presOf" srcId="{A6082F6C-1156-450A-9B92-14B953072F91}" destId="{496385C8-5E87-40B7-A899-ED1DBE752697}" srcOrd="0" destOrd="0" presId="urn:microsoft.com/office/officeart/2005/8/layout/default"/>
    <dgm:cxn modelId="{AE2A2E79-8605-45FC-9A2C-72A3FBB9FBE8}" type="presOf" srcId="{2F1E53C0-C184-4669-AFA8-709E4BADCFF6}" destId="{4A9DFEE4-5D75-4747-A7D8-DA90D891525B}" srcOrd="0" destOrd="0" presId="urn:microsoft.com/office/officeart/2005/8/layout/default"/>
    <dgm:cxn modelId="{055F8F7B-68F6-4C8E-B05C-01BD0136BB0A}" srcId="{C92A822A-1090-4303-A7A6-5B0C9D04D0FB}" destId="{ACAE83EA-22E8-429D-AE18-00810920F5F2}" srcOrd="6" destOrd="0" parTransId="{87385C54-BD7B-4678-A2ED-1564AD1F00A1}" sibTransId="{33005162-4608-426B-A8E7-01FDD8D2218B}"/>
    <dgm:cxn modelId="{5348158C-B19B-4DCF-89FC-0E97D42826FC}" type="presOf" srcId="{4423C0C8-6D12-4ACB-9058-C0189293E1FC}" destId="{796D8846-E821-4DE3-8DD8-DFF9DEE6AE52}" srcOrd="0" destOrd="0" presId="urn:microsoft.com/office/officeart/2005/8/layout/default"/>
    <dgm:cxn modelId="{C6DF6D9A-B83B-43A4-B80E-962EB461F8EB}" type="presOf" srcId="{D641F7DC-F7DF-4C7A-B16B-65DEA76A9BB4}" destId="{84F06E74-3143-4D87-B4F1-067A55D1B229}" srcOrd="0" destOrd="0" presId="urn:microsoft.com/office/officeart/2005/8/layout/default"/>
    <dgm:cxn modelId="{A032FC9B-8294-4E66-A879-6FA0C62A61CF}" srcId="{C92A822A-1090-4303-A7A6-5B0C9D04D0FB}" destId="{B7F42A8A-BF21-4A64-BFFF-BE0BDB10837A}" srcOrd="8" destOrd="0" parTransId="{FAA4DD61-244F-4B6A-8C86-AED442D826F9}" sibTransId="{DF4B2739-4497-42B2-AF27-DC1A0B8EC952}"/>
    <dgm:cxn modelId="{17FF5BA2-8BFC-427A-8072-DDFEADF04A49}" type="presOf" srcId="{5C1D9548-2AF8-479F-AC89-9D1F458020DB}" destId="{4843091A-7DA7-4B5B-8F08-3CB05BD0ECA8}" srcOrd="0" destOrd="0" presId="urn:microsoft.com/office/officeart/2005/8/layout/default"/>
    <dgm:cxn modelId="{BC3DE0A5-9FA2-4E74-8D07-12F1B938290D}" srcId="{C92A822A-1090-4303-A7A6-5B0C9D04D0FB}" destId="{4423C0C8-6D12-4ACB-9058-C0189293E1FC}" srcOrd="5" destOrd="0" parTransId="{B57D752C-FB30-4C09-96B0-A45EBBF11E14}" sibTransId="{A983302D-4A09-496A-8460-F836D51F8CA3}"/>
    <dgm:cxn modelId="{676FFCBB-99B6-42D9-98AD-89834C5E4408}" srcId="{C92A822A-1090-4303-A7A6-5B0C9D04D0FB}" destId="{A6082F6C-1156-450A-9B92-14B953072F91}" srcOrd="0" destOrd="0" parTransId="{9A0CEEC2-85EB-48A0-8365-F9BDBE309E85}" sibTransId="{0EA38F29-FDF9-4B81-BE9B-4ED4F7FE11E2}"/>
    <dgm:cxn modelId="{B65046BC-7864-4165-964B-A0C200A65D37}" srcId="{C92A822A-1090-4303-A7A6-5B0C9D04D0FB}" destId="{5C1D9548-2AF8-479F-AC89-9D1F458020DB}" srcOrd="10" destOrd="0" parTransId="{EFF4F5C8-140E-418B-BFBB-7C1F43F78FA5}" sibTransId="{FF6CE7C3-0BE2-4078-A88B-100C29C31C69}"/>
    <dgm:cxn modelId="{C3312CCC-F9B6-4CA8-842F-CBCE319A23BF}" type="presOf" srcId="{B7F42A8A-BF21-4A64-BFFF-BE0BDB10837A}" destId="{69C5D823-7DA2-42AF-A158-DC3A450E0EC7}" srcOrd="0" destOrd="0" presId="urn:microsoft.com/office/officeart/2005/8/layout/default"/>
    <dgm:cxn modelId="{21AC54DD-DFA0-41C0-BDEE-578FC6D9DAA2}" srcId="{C92A822A-1090-4303-A7A6-5B0C9D04D0FB}" destId="{2F1E53C0-C184-4669-AFA8-709E4BADCFF6}" srcOrd="9" destOrd="0" parTransId="{6371A9D4-35D2-4147-9B7B-97E15EA54382}" sibTransId="{C200A22E-F0B2-4D93-A695-88A990007110}"/>
    <dgm:cxn modelId="{729A0BEA-8641-4FAF-8422-9BB4D6779865}" srcId="{C92A822A-1090-4303-A7A6-5B0C9D04D0FB}" destId="{8FC673FC-FB3D-48A5-8AB9-AFB3BDFEBBFE}" srcOrd="2" destOrd="0" parTransId="{387DBFD0-5F19-4555-B73F-92861324B400}" sibTransId="{F0F2FF27-407A-40A1-875D-7BDC73FA9308}"/>
    <dgm:cxn modelId="{A734090C-5892-43A8-A3BE-FD59DE620D2C}" type="presParOf" srcId="{9EA6CB0C-3381-4B80-9BCE-38EF79C2F1F3}" destId="{496385C8-5E87-40B7-A899-ED1DBE752697}" srcOrd="0" destOrd="0" presId="urn:microsoft.com/office/officeart/2005/8/layout/default"/>
    <dgm:cxn modelId="{760BF405-13E2-42A1-8B1C-6ECB3BF74DDE}" type="presParOf" srcId="{9EA6CB0C-3381-4B80-9BCE-38EF79C2F1F3}" destId="{5AD8D64C-E1A7-444C-A635-658180C8E488}" srcOrd="1" destOrd="0" presId="urn:microsoft.com/office/officeart/2005/8/layout/default"/>
    <dgm:cxn modelId="{A1A3CFD0-CE6E-4DA1-B5F3-C76F27FEB5B5}" type="presParOf" srcId="{9EA6CB0C-3381-4B80-9BCE-38EF79C2F1F3}" destId="{A0BFFBF0-B62F-44ED-8C4A-58B2C88B80CF}" srcOrd="2" destOrd="0" presId="urn:microsoft.com/office/officeart/2005/8/layout/default"/>
    <dgm:cxn modelId="{7696B32E-25AD-4B61-B30C-43B9530D3E24}" type="presParOf" srcId="{9EA6CB0C-3381-4B80-9BCE-38EF79C2F1F3}" destId="{06F41D0D-FA36-4DE6-8A45-A4ADB70C9C28}" srcOrd="3" destOrd="0" presId="urn:microsoft.com/office/officeart/2005/8/layout/default"/>
    <dgm:cxn modelId="{D14F4B4A-E6EB-49BF-B32A-CE5B85F12BF6}" type="presParOf" srcId="{9EA6CB0C-3381-4B80-9BCE-38EF79C2F1F3}" destId="{5DC0381D-89CC-4B18-A349-D8077F292539}" srcOrd="4" destOrd="0" presId="urn:microsoft.com/office/officeart/2005/8/layout/default"/>
    <dgm:cxn modelId="{964A949E-EF18-436B-B8E0-B69C12495793}" type="presParOf" srcId="{9EA6CB0C-3381-4B80-9BCE-38EF79C2F1F3}" destId="{3CDC35BF-BB22-4D05-A597-97748A6AD0C7}" srcOrd="5" destOrd="0" presId="urn:microsoft.com/office/officeart/2005/8/layout/default"/>
    <dgm:cxn modelId="{0316BF30-9057-4685-B3CF-CBFB3E8F9691}" type="presParOf" srcId="{9EA6CB0C-3381-4B80-9BCE-38EF79C2F1F3}" destId="{84F06E74-3143-4D87-B4F1-067A55D1B229}" srcOrd="6" destOrd="0" presId="urn:microsoft.com/office/officeart/2005/8/layout/default"/>
    <dgm:cxn modelId="{7AC6AD8D-35BC-44C3-BFF7-A18765BC5003}" type="presParOf" srcId="{9EA6CB0C-3381-4B80-9BCE-38EF79C2F1F3}" destId="{CD48A7B2-7006-4DDA-96C7-2E896DF03BFB}" srcOrd="7" destOrd="0" presId="urn:microsoft.com/office/officeart/2005/8/layout/default"/>
    <dgm:cxn modelId="{15842441-8260-457D-9404-E1AE2803D954}" type="presParOf" srcId="{9EA6CB0C-3381-4B80-9BCE-38EF79C2F1F3}" destId="{FD5D1DF6-58ED-4F05-86A8-085A88E71E09}" srcOrd="8" destOrd="0" presId="urn:microsoft.com/office/officeart/2005/8/layout/default"/>
    <dgm:cxn modelId="{395D1EA0-5F74-4A0E-B8D6-35F1204BB6BF}" type="presParOf" srcId="{9EA6CB0C-3381-4B80-9BCE-38EF79C2F1F3}" destId="{5615D436-92FA-4A23-AD9B-5A5F7CDBD3CB}" srcOrd="9" destOrd="0" presId="urn:microsoft.com/office/officeart/2005/8/layout/default"/>
    <dgm:cxn modelId="{E3C387B4-0596-4FD5-A0FB-69EC5C62FEA5}" type="presParOf" srcId="{9EA6CB0C-3381-4B80-9BCE-38EF79C2F1F3}" destId="{796D8846-E821-4DE3-8DD8-DFF9DEE6AE52}" srcOrd="10" destOrd="0" presId="urn:microsoft.com/office/officeart/2005/8/layout/default"/>
    <dgm:cxn modelId="{DE6E60FD-3549-46BE-ACF3-586543482AF5}" type="presParOf" srcId="{9EA6CB0C-3381-4B80-9BCE-38EF79C2F1F3}" destId="{53944F9D-A641-416A-ADAC-D488D43613BC}" srcOrd="11" destOrd="0" presId="urn:microsoft.com/office/officeart/2005/8/layout/default"/>
    <dgm:cxn modelId="{DFA80BD8-034F-498E-AF9B-DBAF30C4EDEF}" type="presParOf" srcId="{9EA6CB0C-3381-4B80-9BCE-38EF79C2F1F3}" destId="{FFE18C75-6974-4B54-B9FA-18D0518A17DF}" srcOrd="12" destOrd="0" presId="urn:microsoft.com/office/officeart/2005/8/layout/default"/>
    <dgm:cxn modelId="{7CB3D861-C273-49A5-B53F-8BF0FB597533}" type="presParOf" srcId="{9EA6CB0C-3381-4B80-9BCE-38EF79C2F1F3}" destId="{F1E73D25-11B9-44BF-9DEF-A3D0F3703296}" srcOrd="13" destOrd="0" presId="urn:microsoft.com/office/officeart/2005/8/layout/default"/>
    <dgm:cxn modelId="{8B8845C9-BB98-4866-9799-27F3FE927236}" type="presParOf" srcId="{9EA6CB0C-3381-4B80-9BCE-38EF79C2F1F3}" destId="{7EAFC521-99B6-4964-9D81-6DF26D06CF4B}" srcOrd="14" destOrd="0" presId="urn:microsoft.com/office/officeart/2005/8/layout/default"/>
    <dgm:cxn modelId="{EDCA0BEC-94E9-45A1-98D6-51B689AEF266}" type="presParOf" srcId="{9EA6CB0C-3381-4B80-9BCE-38EF79C2F1F3}" destId="{6B8028DD-68EE-4321-A291-8948D0CB8139}" srcOrd="15" destOrd="0" presId="urn:microsoft.com/office/officeart/2005/8/layout/default"/>
    <dgm:cxn modelId="{B8014CA3-565E-4FC2-830C-B4578B73B90D}" type="presParOf" srcId="{9EA6CB0C-3381-4B80-9BCE-38EF79C2F1F3}" destId="{69C5D823-7DA2-42AF-A158-DC3A450E0EC7}" srcOrd="16" destOrd="0" presId="urn:microsoft.com/office/officeart/2005/8/layout/default"/>
    <dgm:cxn modelId="{C9D12083-DB43-43E6-A10C-36FC048BFC89}" type="presParOf" srcId="{9EA6CB0C-3381-4B80-9BCE-38EF79C2F1F3}" destId="{84B622F6-B2BA-4181-AD2F-86A4CF5491D1}" srcOrd="17" destOrd="0" presId="urn:microsoft.com/office/officeart/2005/8/layout/default"/>
    <dgm:cxn modelId="{25AD909C-CB19-41F9-A664-CF3974F1E4AA}" type="presParOf" srcId="{9EA6CB0C-3381-4B80-9BCE-38EF79C2F1F3}" destId="{4A9DFEE4-5D75-4747-A7D8-DA90D891525B}" srcOrd="18" destOrd="0" presId="urn:microsoft.com/office/officeart/2005/8/layout/default"/>
    <dgm:cxn modelId="{004220ED-10B1-4454-8F8D-E0AACCA09EEA}" type="presParOf" srcId="{9EA6CB0C-3381-4B80-9BCE-38EF79C2F1F3}" destId="{F404A90B-C703-411C-B60E-40A28B9243E2}" srcOrd="19" destOrd="0" presId="urn:microsoft.com/office/officeart/2005/8/layout/default"/>
    <dgm:cxn modelId="{F4FCFC9A-1AD9-4D53-846B-52E6A996BDCD}" type="presParOf" srcId="{9EA6CB0C-3381-4B80-9BCE-38EF79C2F1F3}" destId="{4843091A-7DA7-4B5B-8F08-3CB05BD0ECA8}" srcOrd="20" destOrd="0" presId="urn:microsoft.com/office/officeart/2005/8/layout/default"/>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2346712-6F20-40CB-B60B-58643F3F10CD}" type="doc">
      <dgm:prSet loTypeId="urn:microsoft.com/office/officeart/2005/8/layout/default" loCatId="list" qsTypeId="urn:microsoft.com/office/officeart/2005/8/quickstyle/simple1" qsCatId="simple" csTypeId="urn:microsoft.com/office/officeart/2005/8/colors/accent1_3" csCatId="accent1" phldr="1"/>
      <dgm:spPr/>
      <dgm:t>
        <a:bodyPr/>
        <a:lstStyle/>
        <a:p>
          <a:endParaRPr lang="en-US"/>
        </a:p>
      </dgm:t>
    </dgm:pt>
    <dgm:pt modelId="{3082A570-0841-4281-A443-BF005CFABEFB}">
      <dgm:prSet phldrT="[Text]" custT="1"/>
      <dgm:spPr/>
      <dgm:t>
        <a:bodyPr/>
        <a:lstStyle/>
        <a:p>
          <a:r>
            <a:rPr lang="ro-RO" sz="1200" b="1"/>
            <a:t>Menținerea unui cadru legislativ stabil și predictibil</a:t>
          </a:r>
          <a:endParaRPr lang="en-US" sz="1200" b="1"/>
        </a:p>
      </dgm:t>
    </dgm:pt>
    <dgm:pt modelId="{652DADCB-7433-48F5-9CF6-5EC2DC969990}" type="parTrans" cxnId="{2D810F36-A87F-4666-A9FB-5E8C41C4612B}">
      <dgm:prSet/>
      <dgm:spPr/>
      <dgm:t>
        <a:bodyPr/>
        <a:lstStyle/>
        <a:p>
          <a:endParaRPr lang="en-US" sz="1200" b="1"/>
        </a:p>
      </dgm:t>
    </dgm:pt>
    <dgm:pt modelId="{43867EBC-73EC-42D3-9B1D-73D87DDECE00}" type="sibTrans" cxnId="{2D810F36-A87F-4666-A9FB-5E8C41C4612B}">
      <dgm:prSet/>
      <dgm:spPr/>
      <dgm:t>
        <a:bodyPr/>
        <a:lstStyle/>
        <a:p>
          <a:endParaRPr lang="en-US" sz="1200" b="1"/>
        </a:p>
      </dgm:t>
    </dgm:pt>
    <dgm:pt modelId="{2BFCC35C-ED8F-4780-9C70-FDEC11F99838}">
      <dgm:prSet phldrT="[Text]" custT="1"/>
      <dgm:spPr/>
      <dgm:t>
        <a:bodyPr/>
        <a:lstStyle/>
        <a:p>
          <a:pPr algn="ctr"/>
          <a:r>
            <a:rPr lang="ro-RO" sz="1200" b="1"/>
            <a:t>Favorizarea unei infrastructuri adecvate</a:t>
          </a:r>
          <a:endParaRPr lang="en-US" sz="1200" b="1"/>
        </a:p>
      </dgm:t>
    </dgm:pt>
    <dgm:pt modelId="{4C4EF45D-0AA3-4BE1-B086-654F2E71CE13}" type="parTrans" cxnId="{B7A34C24-8A0D-4B4A-892E-4EA644FFF7E4}">
      <dgm:prSet/>
      <dgm:spPr/>
      <dgm:t>
        <a:bodyPr/>
        <a:lstStyle/>
        <a:p>
          <a:endParaRPr lang="en-US" b="1"/>
        </a:p>
      </dgm:t>
    </dgm:pt>
    <dgm:pt modelId="{DD8DFE4F-C68A-4039-A506-7C1E9558DD30}" type="sibTrans" cxnId="{B7A34C24-8A0D-4B4A-892E-4EA644FFF7E4}">
      <dgm:prSet/>
      <dgm:spPr/>
      <dgm:t>
        <a:bodyPr/>
        <a:lstStyle/>
        <a:p>
          <a:endParaRPr lang="en-US" b="1"/>
        </a:p>
      </dgm:t>
    </dgm:pt>
    <dgm:pt modelId="{868A249C-E85C-4006-AEEA-291EB5BBD4FE}">
      <dgm:prSet phldrT="[Text]" custT="1"/>
      <dgm:spPr/>
      <dgm:t>
        <a:bodyPr/>
        <a:lstStyle/>
        <a:p>
          <a:pPr algn="ctr"/>
          <a:r>
            <a:rPr lang="ro-RO" sz="1200" b="1"/>
            <a:t>Dezvoltarea de hale industriale</a:t>
          </a:r>
          <a:endParaRPr lang="en-US" sz="1200" b="1"/>
        </a:p>
      </dgm:t>
    </dgm:pt>
    <dgm:pt modelId="{1A531754-07DF-4DAC-BFC9-64DBA3B7C6AB}" type="parTrans" cxnId="{98DDE41D-CCFE-4C21-90A5-D1C8F8955E76}">
      <dgm:prSet/>
      <dgm:spPr/>
      <dgm:t>
        <a:bodyPr/>
        <a:lstStyle/>
        <a:p>
          <a:endParaRPr lang="en-US" b="1"/>
        </a:p>
      </dgm:t>
    </dgm:pt>
    <dgm:pt modelId="{097F693A-43BC-4D3B-963B-4ED397EB0C6E}" type="sibTrans" cxnId="{98DDE41D-CCFE-4C21-90A5-D1C8F8955E76}">
      <dgm:prSet/>
      <dgm:spPr/>
      <dgm:t>
        <a:bodyPr/>
        <a:lstStyle/>
        <a:p>
          <a:endParaRPr lang="en-US" b="1"/>
        </a:p>
      </dgm:t>
    </dgm:pt>
    <dgm:pt modelId="{CEE8A37D-BB5B-49A9-8DC4-D192418152AB}">
      <dgm:prSet phldrT="[Text]" custT="1"/>
      <dgm:spPr/>
      <dgm:t>
        <a:bodyPr/>
        <a:lstStyle/>
        <a:p>
          <a:r>
            <a:rPr lang="ro-RO" sz="1200" b="1"/>
            <a:t>Susținerea dezvoltării antreprenoriale</a:t>
          </a:r>
          <a:endParaRPr lang="en-US" sz="1200" b="1"/>
        </a:p>
      </dgm:t>
    </dgm:pt>
    <dgm:pt modelId="{B5292DDA-25C6-4A45-806B-504A2ABDA816}" type="parTrans" cxnId="{9C3AC9F2-B3E3-4466-BA34-364B67A1AF51}">
      <dgm:prSet/>
      <dgm:spPr/>
      <dgm:t>
        <a:bodyPr/>
        <a:lstStyle/>
        <a:p>
          <a:endParaRPr lang="en-US" b="1"/>
        </a:p>
      </dgm:t>
    </dgm:pt>
    <dgm:pt modelId="{565826DB-58E0-495A-866D-240E09B2A51E}" type="sibTrans" cxnId="{9C3AC9F2-B3E3-4466-BA34-364B67A1AF51}">
      <dgm:prSet/>
      <dgm:spPr/>
      <dgm:t>
        <a:bodyPr/>
        <a:lstStyle/>
        <a:p>
          <a:endParaRPr lang="en-US" b="1"/>
        </a:p>
      </dgm:t>
    </dgm:pt>
    <dgm:pt modelId="{DEF23A36-781A-47F8-92CB-0A6B51127A2B}">
      <dgm:prSet phldrT="[Text]" custT="1"/>
      <dgm:spPr/>
      <dgm:t>
        <a:bodyPr/>
        <a:lstStyle/>
        <a:p>
          <a:r>
            <a:rPr lang="ro-RO" sz="1200" b="1"/>
            <a:t>Facilități fiscale pentru companiile profitabile</a:t>
          </a:r>
          <a:endParaRPr lang="en-US" sz="1200" b="1"/>
        </a:p>
      </dgm:t>
    </dgm:pt>
    <dgm:pt modelId="{CBD60188-4DC7-44AF-8FC0-36C22C7C8271}" type="parTrans" cxnId="{180FCD0E-9CC6-4879-8375-268D6266A375}">
      <dgm:prSet/>
      <dgm:spPr/>
      <dgm:t>
        <a:bodyPr/>
        <a:lstStyle/>
        <a:p>
          <a:endParaRPr lang="en-US" b="1"/>
        </a:p>
      </dgm:t>
    </dgm:pt>
    <dgm:pt modelId="{A31A41F4-A952-4CBD-ADC3-341257B5624C}" type="sibTrans" cxnId="{180FCD0E-9CC6-4879-8375-268D6266A375}">
      <dgm:prSet/>
      <dgm:spPr/>
      <dgm:t>
        <a:bodyPr/>
        <a:lstStyle/>
        <a:p>
          <a:endParaRPr lang="en-US" b="1"/>
        </a:p>
      </dgm:t>
    </dgm:pt>
    <dgm:pt modelId="{44C4CCA3-F4D1-4394-BB08-4483E94BB13D}">
      <dgm:prSet phldrT="[Text]" custT="1"/>
      <dgm:spPr/>
      <dgm:t>
        <a:bodyPr/>
        <a:lstStyle/>
        <a:p>
          <a:r>
            <a:rPr lang="ro-RO" sz="1200" b="1"/>
            <a:t>Aprofundarea comunicării</a:t>
          </a:r>
          <a:endParaRPr lang="en-US" sz="1200" b="1"/>
        </a:p>
      </dgm:t>
    </dgm:pt>
    <dgm:pt modelId="{F58DDD1D-8337-4A10-BC48-D97DEED4B301}" type="parTrans" cxnId="{E084D217-77C4-4D56-B64F-36D71A564A57}">
      <dgm:prSet/>
      <dgm:spPr/>
      <dgm:t>
        <a:bodyPr/>
        <a:lstStyle/>
        <a:p>
          <a:endParaRPr lang="en-US" b="1"/>
        </a:p>
      </dgm:t>
    </dgm:pt>
    <dgm:pt modelId="{C729E8C7-B890-4E33-B725-D2A6B186C6F3}" type="sibTrans" cxnId="{E084D217-77C4-4D56-B64F-36D71A564A57}">
      <dgm:prSet/>
      <dgm:spPr/>
      <dgm:t>
        <a:bodyPr/>
        <a:lstStyle/>
        <a:p>
          <a:endParaRPr lang="en-US" b="1"/>
        </a:p>
      </dgm:t>
    </dgm:pt>
    <dgm:pt modelId="{53ECEBB8-669D-4ABE-A125-849F6E6C2382}">
      <dgm:prSet phldrT="[Text]" custT="1"/>
      <dgm:spPr/>
      <dgm:t>
        <a:bodyPr/>
        <a:lstStyle/>
        <a:p>
          <a:r>
            <a:rPr lang="ro-RO" sz="1200" b="1"/>
            <a:t>Implicarea mediului de afaceri</a:t>
          </a:r>
          <a:endParaRPr lang="en-US" sz="1200" b="1"/>
        </a:p>
      </dgm:t>
    </dgm:pt>
    <dgm:pt modelId="{71851311-50BC-4126-97D8-B72B73E2C980}" type="parTrans" cxnId="{3E47F9B3-6604-4B2F-B9F9-D69D2D68DD80}">
      <dgm:prSet/>
      <dgm:spPr/>
      <dgm:t>
        <a:bodyPr/>
        <a:lstStyle/>
        <a:p>
          <a:endParaRPr lang="en-US" b="1"/>
        </a:p>
      </dgm:t>
    </dgm:pt>
    <dgm:pt modelId="{A7757A22-C284-4694-BA1A-E006AC04C07D}" type="sibTrans" cxnId="{3E47F9B3-6604-4B2F-B9F9-D69D2D68DD80}">
      <dgm:prSet/>
      <dgm:spPr/>
      <dgm:t>
        <a:bodyPr/>
        <a:lstStyle/>
        <a:p>
          <a:endParaRPr lang="en-US" b="1"/>
        </a:p>
      </dgm:t>
    </dgm:pt>
    <dgm:pt modelId="{B82288DB-ADB9-4FFE-98C9-6AC967299B29}">
      <dgm:prSet phldrT="[Text]" custT="1"/>
      <dgm:spPr/>
      <dgm:t>
        <a:bodyPr/>
        <a:lstStyle/>
        <a:p>
          <a:r>
            <a:rPr lang="ro-RO" sz="1200" b="1"/>
            <a:t>Dialog și colaborare în cadrul proiectelor de dezvoltare</a:t>
          </a:r>
          <a:endParaRPr lang="en-US" sz="1200" b="1"/>
        </a:p>
      </dgm:t>
    </dgm:pt>
    <dgm:pt modelId="{2835C803-D97E-4B05-9B94-352044A0605A}" type="parTrans" cxnId="{B933A675-93ED-48D2-BCC6-545997D28F74}">
      <dgm:prSet/>
      <dgm:spPr/>
      <dgm:t>
        <a:bodyPr/>
        <a:lstStyle/>
        <a:p>
          <a:endParaRPr lang="en-US" b="1"/>
        </a:p>
      </dgm:t>
    </dgm:pt>
    <dgm:pt modelId="{D7FE8BDB-9DE2-46AD-92CA-9545FF5DFC52}" type="sibTrans" cxnId="{B933A675-93ED-48D2-BCC6-545997D28F74}">
      <dgm:prSet/>
      <dgm:spPr/>
      <dgm:t>
        <a:bodyPr/>
        <a:lstStyle/>
        <a:p>
          <a:endParaRPr lang="en-US" b="1"/>
        </a:p>
      </dgm:t>
    </dgm:pt>
    <dgm:pt modelId="{D31DCE19-819D-4175-B913-D65024D61636}" type="pres">
      <dgm:prSet presAssocID="{B2346712-6F20-40CB-B60B-58643F3F10CD}" presName="diagram" presStyleCnt="0">
        <dgm:presLayoutVars>
          <dgm:dir/>
          <dgm:resizeHandles val="exact"/>
        </dgm:presLayoutVars>
      </dgm:prSet>
      <dgm:spPr/>
    </dgm:pt>
    <dgm:pt modelId="{9C0A0A58-E7F5-46AF-B08C-23F321789B56}" type="pres">
      <dgm:prSet presAssocID="{3082A570-0841-4281-A443-BF005CFABEFB}" presName="node" presStyleLbl="node1" presStyleIdx="0" presStyleCnt="8">
        <dgm:presLayoutVars>
          <dgm:bulletEnabled val="1"/>
        </dgm:presLayoutVars>
      </dgm:prSet>
      <dgm:spPr>
        <a:prstGeom prst="flowChartAlternateProcess">
          <a:avLst/>
        </a:prstGeom>
      </dgm:spPr>
    </dgm:pt>
    <dgm:pt modelId="{9F67391A-0069-41FA-AF2E-846696FB2DCB}" type="pres">
      <dgm:prSet presAssocID="{43867EBC-73EC-42D3-9B1D-73D87DDECE00}" presName="sibTrans" presStyleCnt="0"/>
      <dgm:spPr/>
    </dgm:pt>
    <dgm:pt modelId="{6E4DD8D1-0CD8-471C-9BBD-4859D8FF5C98}" type="pres">
      <dgm:prSet presAssocID="{2BFCC35C-ED8F-4780-9C70-FDEC11F99838}" presName="node" presStyleLbl="node1" presStyleIdx="1" presStyleCnt="8">
        <dgm:presLayoutVars>
          <dgm:bulletEnabled val="1"/>
        </dgm:presLayoutVars>
      </dgm:prSet>
      <dgm:spPr>
        <a:prstGeom prst="flowChartAlternateProcess">
          <a:avLst/>
        </a:prstGeom>
      </dgm:spPr>
    </dgm:pt>
    <dgm:pt modelId="{EA6975E0-A9C8-4E67-A1B7-EF4910087D60}" type="pres">
      <dgm:prSet presAssocID="{DD8DFE4F-C68A-4039-A506-7C1E9558DD30}" presName="sibTrans" presStyleCnt="0"/>
      <dgm:spPr/>
    </dgm:pt>
    <dgm:pt modelId="{8BF22913-8EEB-4E83-8AE3-DACD210027B7}" type="pres">
      <dgm:prSet presAssocID="{868A249C-E85C-4006-AEEA-291EB5BBD4FE}" presName="node" presStyleLbl="node1" presStyleIdx="2" presStyleCnt="8">
        <dgm:presLayoutVars>
          <dgm:bulletEnabled val="1"/>
        </dgm:presLayoutVars>
      </dgm:prSet>
      <dgm:spPr>
        <a:prstGeom prst="flowChartAlternateProcess">
          <a:avLst/>
        </a:prstGeom>
      </dgm:spPr>
    </dgm:pt>
    <dgm:pt modelId="{29390A5C-64BB-4755-A5D9-794EF587FA87}" type="pres">
      <dgm:prSet presAssocID="{097F693A-43BC-4D3B-963B-4ED397EB0C6E}" presName="sibTrans" presStyleCnt="0"/>
      <dgm:spPr/>
    </dgm:pt>
    <dgm:pt modelId="{67DFE1FE-833B-4B60-94EC-6C88903964D8}" type="pres">
      <dgm:prSet presAssocID="{CEE8A37D-BB5B-49A9-8DC4-D192418152AB}" presName="node" presStyleLbl="node1" presStyleIdx="3" presStyleCnt="8">
        <dgm:presLayoutVars>
          <dgm:bulletEnabled val="1"/>
        </dgm:presLayoutVars>
      </dgm:prSet>
      <dgm:spPr>
        <a:prstGeom prst="flowChartAlternateProcess">
          <a:avLst/>
        </a:prstGeom>
      </dgm:spPr>
    </dgm:pt>
    <dgm:pt modelId="{F4CDB7A6-BF8F-443B-BE97-2FD5BE362EFB}" type="pres">
      <dgm:prSet presAssocID="{565826DB-58E0-495A-866D-240E09B2A51E}" presName="sibTrans" presStyleCnt="0"/>
      <dgm:spPr/>
    </dgm:pt>
    <dgm:pt modelId="{0CCF2891-2ABA-4753-9F38-76CBD6AD76E8}" type="pres">
      <dgm:prSet presAssocID="{DEF23A36-781A-47F8-92CB-0A6B51127A2B}" presName="node" presStyleLbl="node1" presStyleIdx="4" presStyleCnt="8">
        <dgm:presLayoutVars>
          <dgm:bulletEnabled val="1"/>
        </dgm:presLayoutVars>
      </dgm:prSet>
      <dgm:spPr>
        <a:prstGeom prst="flowChartAlternateProcess">
          <a:avLst/>
        </a:prstGeom>
      </dgm:spPr>
    </dgm:pt>
    <dgm:pt modelId="{59F2065E-6ABC-4546-AAEA-ECA151C821CB}" type="pres">
      <dgm:prSet presAssocID="{A31A41F4-A952-4CBD-ADC3-341257B5624C}" presName="sibTrans" presStyleCnt="0"/>
      <dgm:spPr/>
    </dgm:pt>
    <dgm:pt modelId="{FB9121C3-68C0-4B16-A8D7-7C432B1C680D}" type="pres">
      <dgm:prSet presAssocID="{44C4CCA3-F4D1-4394-BB08-4483E94BB13D}" presName="node" presStyleLbl="node1" presStyleIdx="5" presStyleCnt="8">
        <dgm:presLayoutVars>
          <dgm:bulletEnabled val="1"/>
        </dgm:presLayoutVars>
      </dgm:prSet>
      <dgm:spPr>
        <a:prstGeom prst="flowChartAlternateProcess">
          <a:avLst/>
        </a:prstGeom>
      </dgm:spPr>
    </dgm:pt>
    <dgm:pt modelId="{6026D6C5-A0BF-4EC2-BB05-9578F0944B46}" type="pres">
      <dgm:prSet presAssocID="{C729E8C7-B890-4E33-B725-D2A6B186C6F3}" presName="sibTrans" presStyleCnt="0"/>
      <dgm:spPr/>
    </dgm:pt>
    <dgm:pt modelId="{FE553129-93D5-4A7A-B48C-BE458CD389B9}" type="pres">
      <dgm:prSet presAssocID="{53ECEBB8-669D-4ABE-A125-849F6E6C2382}" presName="node" presStyleLbl="node1" presStyleIdx="6" presStyleCnt="8">
        <dgm:presLayoutVars>
          <dgm:bulletEnabled val="1"/>
        </dgm:presLayoutVars>
      </dgm:prSet>
      <dgm:spPr>
        <a:prstGeom prst="flowChartAlternateProcess">
          <a:avLst/>
        </a:prstGeom>
      </dgm:spPr>
    </dgm:pt>
    <dgm:pt modelId="{BCEC9407-B5D5-4CFF-B2AF-4BC6A970677C}" type="pres">
      <dgm:prSet presAssocID="{A7757A22-C284-4694-BA1A-E006AC04C07D}" presName="sibTrans" presStyleCnt="0"/>
      <dgm:spPr/>
    </dgm:pt>
    <dgm:pt modelId="{E42F362E-BF97-4B71-8B8C-3BE6F37AE439}" type="pres">
      <dgm:prSet presAssocID="{B82288DB-ADB9-4FFE-98C9-6AC967299B29}" presName="node" presStyleLbl="node1" presStyleIdx="7" presStyleCnt="8">
        <dgm:presLayoutVars>
          <dgm:bulletEnabled val="1"/>
        </dgm:presLayoutVars>
      </dgm:prSet>
      <dgm:spPr>
        <a:prstGeom prst="flowChartAlternateProcess">
          <a:avLst/>
        </a:prstGeom>
      </dgm:spPr>
    </dgm:pt>
  </dgm:ptLst>
  <dgm:cxnLst>
    <dgm:cxn modelId="{B7746103-7752-4AD0-96FC-CDFB9CCFD69C}" type="presOf" srcId="{53ECEBB8-669D-4ABE-A125-849F6E6C2382}" destId="{FE553129-93D5-4A7A-B48C-BE458CD389B9}" srcOrd="0" destOrd="0" presId="urn:microsoft.com/office/officeart/2005/8/layout/default"/>
    <dgm:cxn modelId="{180FCD0E-9CC6-4879-8375-268D6266A375}" srcId="{B2346712-6F20-40CB-B60B-58643F3F10CD}" destId="{DEF23A36-781A-47F8-92CB-0A6B51127A2B}" srcOrd="4" destOrd="0" parTransId="{CBD60188-4DC7-44AF-8FC0-36C22C7C8271}" sibTransId="{A31A41F4-A952-4CBD-ADC3-341257B5624C}"/>
    <dgm:cxn modelId="{E084D217-77C4-4D56-B64F-36D71A564A57}" srcId="{B2346712-6F20-40CB-B60B-58643F3F10CD}" destId="{44C4CCA3-F4D1-4394-BB08-4483E94BB13D}" srcOrd="5" destOrd="0" parTransId="{F58DDD1D-8337-4A10-BC48-D97DEED4B301}" sibTransId="{C729E8C7-B890-4E33-B725-D2A6B186C6F3}"/>
    <dgm:cxn modelId="{98DDE41D-CCFE-4C21-90A5-D1C8F8955E76}" srcId="{B2346712-6F20-40CB-B60B-58643F3F10CD}" destId="{868A249C-E85C-4006-AEEA-291EB5BBD4FE}" srcOrd="2" destOrd="0" parTransId="{1A531754-07DF-4DAC-BFC9-64DBA3B7C6AB}" sibTransId="{097F693A-43BC-4D3B-963B-4ED397EB0C6E}"/>
    <dgm:cxn modelId="{B7A34C24-8A0D-4B4A-892E-4EA644FFF7E4}" srcId="{B2346712-6F20-40CB-B60B-58643F3F10CD}" destId="{2BFCC35C-ED8F-4780-9C70-FDEC11F99838}" srcOrd="1" destOrd="0" parTransId="{4C4EF45D-0AA3-4BE1-B086-654F2E71CE13}" sibTransId="{DD8DFE4F-C68A-4039-A506-7C1E9558DD30}"/>
    <dgm:cxn modelId="{35243F32-1590-403F-BE1B-B125E9F2FE2A}" type="presOf" srcId="{3082A570-0841-4281-A443-BF005CFABEFB}" destId="{9C0A0A58-E7F5-46AF-B08C-23F321789B56}" srcOrd="0" destOrd="0" presId="urn:microsoft.com/office/officeart/2005/8/layout/default"/>
    <dgm:cxn modelId="{2D810F36-A87F-4666-A9FB-5E8C41C4612B}" srcId="{B2346712-6F20-40CB-B60B-58643F3F10CD}" destId="{3082A570-0841-4281-A443-BF005CFABEFB}" srcOrd="0" destOrd="0" parTransId="{652DADCB-7433-48F5-9CF6-5EC2DC969990}" sibTransId="{43867EBC-73EC-42D3-9B1D-73D87DDECE00}"/>
    <dgm:cxn modelId="{590DC969-0514-46FA-ACB0-7C8975B2C718}" type="presOf" srcId="{B82288DB-ADB9-4FFE-98C9-6AC967299B29}" destId="{E42F362E-BF97-4B71-8B8C-3BE6F37AE439}" srcOrd="0" destOrd="0" presId="urn:microsoft.com/office/officeart/2005/8/layout/default"/>
    <dgm:cxn modelId="{6EC2914A-7CE7-45DC-A944-621A33FB207F}" type="presOf" srcId="{2BFCC35C-ED8F-4780-9C70-FDEC11F99838}" destId="{6E4DD8D1-0CD8-471C-9BBD-4859D8FF5C98}" srcOrd="0" destOrd="0" presId="urn:microsoft.com/office/officeart/2005/8/layout/default"/>
    <dgm:cxn modelId="{B0DE654B-049D-4627-A554-DC64EF76B82F}" type="presOf" srcId="{868A249C-E85C-4006-AEEA-291EB5BBD4FE}" destId="{8BF22913-8EEB-4E83-8AE3-DACD210027B7}" srcOrd="0" destOrd="0" presId="urn:microsoft.com/office/officeart/2005/8/layout/default"/>
    <dgm:cxn modelId="{B933A675-93ED-48D2-BCC6-545997D28F74}" srcId="{B2346712-6F20-40CB-B60B-58643F3F10CD}" destId="{B82288DB-ADB9-4FFE-98C9-6AC967299B29}" srcOrd="7" destOrd="0" parTransId="{2835C803-D97E-4B05-9B94-352044A0605A}" sibTransId="{D7FE8BDB-9DE2-46AD-92CA-9545FF5DFC52}"/>
    <dgm:cxn modelId="{8B61F386-BFCD-4D55-9E40-B7FBF4A5AEBE}" type="presOf" srcId="{44C4CCA3-F4D1-4394-BB08-4483E94BB13D}" destId="{FB9121C3-68C0-4B16-A8D7-7C432B1C680D}" srcOrd="0" destOrd="0" presId="urn:microsoft.com/office/officeart/2005/8/layout/default"/>
    <dgm:cxn modelId="{C41C1095-9AB8-4A1F-BA1D-548EBD83183A}" type="presOf" srcId="{DEF23A36-781A-47F8-92CB-0A6B51127A2B}" destId="{0CCF2891-2ABA-4753-9F38-76CBD6AD76E8}" srcOrd="0" destOrd="0" presId="urn:microsoft.com/office/officeart/2005/8/layout/default"/>
    <dgm:cxn modelId="{3E47F9B3-6604-4B2F-B9F9-D69D2D68DD80}" srcId="{B2346712-6F20-40CB-B60B-58643F3F10CD}" destId="{53ECEBB8-669D-4ABE-A125-849F6E6C2382}" srcOrd="6" destOrd="0" parTransId="{71851311-50BC-4126-97D8-B72B73E2C980}" sibTransId="{A7757A22-C284-4694-BA1A-E006AC04C07D}"/>
    <dgm:cxn modelId="{B7F8F6ED-E77A-4BA9-95BC-694CFCFD9E67}" type="presOf" srcId="{CEE8A37D-BB5B-49A9-8DC4-D192418152AB}" destId="{67DFE1FE-833B-4B60-94EC-6C88903964D8}" srcOrd="0" destOrd="0" presId="urn:microsoft.com/office/officeart/2005/8/layout/default"/>
    <dgm:cxn modelId="{51A060EE-9B26-4595-A4DB-52ED485ECF4C}" type="presOf" srcId="{B2346712-6F20-40CB-B60B-58643F3F10CD}" destId="{D31DCE19-819D-4175-B913-D65024D61636}" srcOrd="0" destOrd="0" presId="urn:microsoft.com/office/officeart/2005/8/layout/default"/>
    <dgm:cxn modelId="{9C3AC9F2-B3E3-4466-BA34-364B67A1AF51}" srcId="{B2346712-6F20-40CB-B60B-58643F3F10CD}" destId="{CEE8A37D-BB5B-49A9-8DC4-D192418152AB}" srcOrd="3" destOrd="0" parTransId="{B5292DDA-25C6-4A45-806B-504A2ABDA816}" sibTransId="{565826DB-58E0-495A-866D-240E09B2A51E}"/>
    <dgm:cxn modelId="{6FF732A9-6596-47E3-8D0D-C4BD61629EFA}" type="presParOf" srcId="{D31DCE19-819D-4175-B913-D65024D61636}" destId="{9C0A0A58-E7F5-46AF-B08C-23F321789B56}" srcOrd="0" destOrd="0" presId="urn:microsoft.com/office/officeart/2005/8/layout/default"/>
    <dgm:cxn modelId="{50681B8C-5B3E-437B-B866-37BF675C8B44}" type="presParOf" srcId="{D31DCE19-819D-4175-B913-D65024D61636}" destId="{9F67391A-0069-41FA-AF2E-846696FB2DCB}" srcOrd="1" destOrd="0" presId="urn:microsoft.com/office/officeart/2005/8/layout/default"/>
    <dgm:cxn modelId="{2C199F13-A9F5-4DD7-9082-E0141C2F2351}" type="presParOf" srcId="{D31DCE19-819D-4175-B913-D65024D61636}" destId="{6E4DD8D1-0CD8-471C-9BBD-4859D8FF5C98}" srcOrd="2" destOrd="0" presId="urn:microsoft.com/office/officeart/2005/8/layout/default"/>
    <dgm:cxn modelId="{BDC4B20F-C1B4-4EEC-92C1-A1ADA989EC48}" type="presParOf" srcId="{D31DCE19-819D-4175-B913-D65024D61636}" destId="{EA6975E0-A9C8-4E67-A1B7-EF4910087D60}" srcOrd="3" destOrd="0" presId="urn:microsoft.com/office/officeart/2005/8/layout/default"/>
    <dgm:cxn modelId="{3B2CB9C8-BD85-47F7-8CE0-396090936EF1}" type="presParOf" srcId="{D31DCE19-819D-4175-B913-D65024D61636}" destId="{8BF22913-8EEB-4E83-8AE3-DACD210027B7}" srcOrd="4" destOrd="0" presId="urn:microsoft.com/office/officeart/2005/8/layout/default"/>
    <dgm:cxn modelId="{9336B96B-384A-4B45-8EEF-132E617B426D}" type="presParOf" srcId="{D31DCE19-819D-4175-B913-D65024D61636}" destId="{29390A5C-64BB-4755-A5D9-794EF587FA87}" srcOrd="5" destOrd="0" presId="urn:microsoft.com/office/officeart/2005/8/layout/default"/>
    <dgm:cxn modelId="{6245A16B-051F-4D29-AB0C-F2624964120A}" type="presParOf" srcId="{D31DCE19-819D-4175-B913-D65024D61636}" destId="{67DFE1FE-833B-4B60-94EC-6C88903964D8}" srcOrd="6" destOrd="0" presId="urn:microsoft.com/office/officeart/2005/8/layout/default"/>
    <dgm:cxn modelId="{E8CDF9C6-67F1-401C-ACDE-C2C127707706}" type="presParOf" srcId="{D31DCE19-819D-4175-B913-D65024D61636}" destId="{F4CDB7A6-BF8F-443B-BE97-2FD5BE362EFB}" srcOrd="7" destOrd="0" presId="urn:microsoft.com/office/officeart/2005/8/layout/default"/>
    <dgm:cxn modelId="{20E8BDE6-2928-4A17-AAC8-F4F3BBC0A9CA}" type="presParOf" srcId="{D31DCE19-819D-4175-B913-D65024D61636}" destId="{0CCF2891-2ABA-4753-9F38-76CBD6AD76E8}" srcOrd="8" destOrd="0" presId="urn:microsoft.com/office/officeart/2005/8/layout/default"/>
    <dgm:cxn modelId="{9BCBC405-31A1-4076-8251-1D9C4199AC72}" type="presParOf" srcId="{D31DCE19-819D-4175-B913-D65024D61636}" destId="{59F2065E-6ABC-4546-AAEA-ECA151C821CB}" srcOrd="9" destOrd="0" presId="urn:microsoft.com/office/officeart/2005/8/layout/default"/>
    <dgm:cxn modelId="{B0391AD8-5907-4BE6-97A1-48C37101E56D}" type="presParOf" srcId="{D31DCE19-819D-4175-B913-D65024D61636}" destId="{FB9121C3-68C0-4B16-A8D7-7C432B1C680D}" srcOrd="10" destOrd="0" presId="urn:microsoft.com/office/officeart/2005/8/layout/default"/>
    <dgm:cxn modelId="{B903C593-6838-4AD6-BDBE-B2854F772B38}" type="presParOf" srcId="{D31DCE19-819D-4175-B913-D65024D61636}" destId="{6026D6C5-A0BF-4EC2-BB05-9578F0944B46}" srcOrd="11" destOrd="0" presId="urn:microsoft.com/office/officeart/2005/8/layout/default"/>
    <dgm:cxn modelId="{E863353F-8940-4F3F-980F-1E8CCF561054}" type="presParOf" srcId="{D31DCE19-819D-4175-B913-D65024D61636}" destId="{FE553129-93D5-4A7A-B48C-BE458CD389B9}" srcOrd="12" destOrd="0" presId="urn:microsoft.com/office/officeart/2005/8/layout/default"/>
    <dgm:cxn modelId="{330D6277-BABA-44C1-B2D1-ACB115EB85AC}" type="presParOf" srcId="{D31DCE19-819D-4175-B913-D65024D61636}" destId="{BCEC9407-B5D5-4CFF-B2AF-4BC6A970677C}" srcOrd="13" destOrd="0" presId="urn:microsoft.com/office/officeart/2005/8/layout/default"/>
    <dgm:cxn modelId="{0DAF6F76-225C-4825-B6DF-467058DC8A8A}" type="presParOf" srcId="{D31DCE19-819D-4175-B913-D65024D61636}" destId="{E42F362E-BF97-4B71-8B8C-3BE6F37AE439}" srcOrd="14" destOrd="0" presId="urn:microsoft.com/office/officeart/2005/8/layout/default"/>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2346712-6F20-40CB-B60B-58643F3F10CD}" type="doc">
      <dgm:prSet loTypeId="urn:microsoft.com/office/officeart/2005/8/layout/default" loCatId="list" qsTypeId="urn:microsoft.com/office/officeart/2005/8/quickstyle/simple1" qsCatId="simple" csTypeId="urn:microsoft.com/office/officeart/2005/8/colors/accent1_3" csCatId="accent1" phldr="1"/>
      <dgm:spPr/>
      <dgm:t>
        <a:bodyPr/>
        <a:lstStyle/>
        <a:p>
          <a:endParaRPr lang="en-US"/>
        </a:p>
      </dgm:t>
    </dgm:pt>
    <dgm:pt modelId="{3082A570-0841-4281-A443-BF005CFABEFB}">
      <dgm:prSet phldrT="[Text]" custT="1"/>
      <dgm:spPr/>
      <dgm:t>
        <a:bodyPr/>
        <a:lstStyle/>
        <a:p>
          <a:r>
            <a:rPr lang="ro-RO" sz="1200" b="1"/>
            <a:t>Menținerea unui cadru legislativ stabil și predictibil</a:t>
          </a:r>
          <a:endParaRPr lang="en-US" sz="1200" b="1"/>
        </a:p>
      </dgm:t>
    </dgm:pt>
    <dgm:pt modelId="{652DADCB-7433-48F5-9CF6-5EC2DC969990}" type="parTrans" cxnId="{2D810F36-A87F-4666-A9FB-5E8C41C4612B}">
      <dgm:prSet/>
      <dgm:spPr/>
      <dgm:t>
        <a:bodyPr/>
        <a:lstStyle/>
        <a:p>
          <a:endParaRPr lang="en-US" sz="1200" b="1"/>
        </a:p>
      </dgm:t>
    </dgm:pt>
    <dgm:pt modelId="{43867EBC-73EC-42D3-9B1D-73D87DDECE00}" type="sibTrans" cxnId="{2D810F36-A87F-4666-A9FB-5E8C41C4612B}">
      <dgm:prSet/>
      <dgm:spPr/>
      <dgm:t>
        <a:bodyPr/>
        <a:lstStyle/>
        <a:p>
          <a:endParaRPr lang="en-US" sz="1200" b="1"/>
        </a:p>
      </dgm:t>
    </dgm:pt>
    <dgm:pt modelId="{2BFCC35C-ED8F-4780-9C70-FDEC11F99838}">
      <dgm:prSet phldrT="[Text]" custT="1"/>
      <dgm:spPr/>
      <dgm:t>
        <a:bodyPr/>
        <a:lstStyle/>
        <a:p>
          <a:r>
            <a:rPr lang="ro-RO" sz="1200" b="1"/>
            <a:t>Favorizarea unei infrastructuri adecvate</a:t>
          </a:r>
          <a:endParaRPr lang="en-US" sz="1200" b="1"/>
        </a:p>
      </dgm:t>
    </dgm:pt>
    <dgm:pt modelId="{4C4EF45D-0AA3-4BE1-B086-654F2E71CE13}" type="parTrans" cxnId="{B7A34C24-8A0D-4B4A-892E-4EA644FFF7E4}">
      <dgm:prSet/>
      <dgm:spPr/>
      <dgm:t>
        <a:bodyPr/>
        <a:lstStyle/>
        <a:p>
          <a:endParaRPr lang="en-US" b="1"/>
        </a:p>
      </dgm:t>
    </dgm:pt>
    <dgm:pt modelId="{DD8DFE4F-C68A-4039-A506-7C1E9558DD30}" type="sibTrans" cxnId="{B7A34C24-8A0D-4B4A-892E-4EA644FFF7E4}">
      <dgm:prSet/>
      <dgm:spPr/>
      <dgm:t>
        <a:bodyPr/>
        <a:lstStyle/>
        <a:p>
          <a:endParaRPr lang="en-US" b="1"/>
        </a:p>
      </dgm:t>
    </dgm:pt>
    <dgm:pt modelId="{868A249C-E85C-4006-AEEA-291EB5BBD4FE}">
      <dgm:prSet phldrT="[Text]" custT="1"/>
      <dgm:spPr/>
      <dgm:t>
        <a:bodyPr/>
        <a:lstStyle/>
        <a:p>
          <a:r>
            <a:rPr lang="ro-RO" sz="1200" b="1"/>
            <a:t>Dezvoltarea de hale industriale</a:t>
          </a:r>
          <a:endParaRPr lang="en-US" sz="1200" b="1"/>
        </a:p>
      </dgm:t>
    </dgm:pt>
    <dgm:pt modelId="{1A531754-07DF-4DAC-BFC9-64DBA3B7C6AB}" type="parTrans" cxnId="{98DDE41D-CCFE-4C21-90A5-D1C8F8955E76}">
      <dgm:prSet/>
      <dgm:spPr/>
      <dgm:t>
        <a:bodyPr/>
        <a:lstStyle/>
        <a:p>
          <a:endParaRPr lang="en-US" b="1"/>
        </a:p>
      </dgm:t>
    </dgm:pt>
    <dgm:pt modelId="{097F693A-43BC-4D3B-963B-4ED397EB0C6E}" type="sibTrans" cxnId="{98DDE41D-CCFE-4C21-90A5-D1C8F8955E76}">
      <dgm:prSet/>
      <dgm:spPr/>
      <dgm:t>
        <a:bodyPr/>
        <a:lstStyle/>
        <a:p>
          <a:endParaRPr lang="en-US" b="1"/>
        </a:p>
      </dgm:t>
    </dgm:pt>
    <dgm:pt modelId="{CEE8A37D-BB5B-49A9-8DC4-D192418152AB}">
      <dgm:prSet phldrT="[Text]" custT="1"/>
      <dgm:spPr/>
      <dgm:t>
        <a:bodyPr/>
        <a:lstStyle/>
        <a:p>
          <a:r>
            <a:rPr lang="ro-RO" sz="1200" b="1"/>
            <a:t>Susținerea dezvoltării antreprenoriale</a:t>
          </a:r>
          <a:endParaRPr lang="en-US" sz="1200" b="1"/>
        </a:p>
      </dgm:t>
    </dgm:pt>
    <dgm:pt modelId="{B5292DDA-25C6-4A45-806B-504A2ABDA816}" type="parTrans" cxnId="{9C3AC9F2-B3E3-4466-BA34-364B67A1AF51}">
      <dgm:prSet/>
      <dgm:spPr/>
      <dgm:t>
        <a:bodyPr/>
        <a:lstStyle/>
        <a:p>
          <a:endParaRPr lang="en-US" b="1"/>
        </a:p>
      </dgm:t>
    </dgm:pt>
    <dgm:pt modelId="{565826DB-58E0-495A-866D-240E09B2A51E}" type="sibTrans" cxnId="{9C3AC9F2-B3E3-4466-BA34-364B67A1AF51}">
      <dgm:prSet/>
      <dgm:spPr/>
      <dgm:t>
        <a:bodyPr/>
        <a:lstStyle/>
        <a:p>
          <a:endParaRPr lang="en-US" b="1"/>
        </a:p>
      </dgm:t>
    </dgm:pt>
    <dgm:pt modelId="{DEF23A36-781A-47F8-92CB-0A6B51127A2B}">
      <dgm:prSet phldrT="[Text]" custT="1"/>
      <dgm:spPr/>
      <dgm:t>
        <a:bodyPr/>
        <a:lstStyle/>
        <a:p>
          <a:r>
            <a:rPr lang="ro-RO" sz="1200" b="1"/>
            <a:t>Facilități fiscale pentru companiile profitabile</a:t>
          </a:r>
          <a:endParaRPr lang="en-US" sz="1200" b="1"/>
        </a:p>
      </dgm:t>
    </dgm:pt>
    <dgm:pt modelId="{CBD60188-4DC7-44AF-8FC0-36C22C7C8271}" type="parTrans" cxnId="{180FCD0E-9CC6-4879-8375-268D6266A375}">
      <dgm:prSet/>
      <dgm:spPr/>
      <dgm:t>
        <a:bodyPr/>
        <a:lstStyle/>
        <a:p>
          <a:endParaRPr lang="en-US" b="1"/>
        </a:p>
      </dgm:t>
    </dgm:pt>
    <dgm:pt modelId="{A31A41F4-A952-4CBD-ADC3-341257B5624C}" type="sibTrans" cxnId="{180FCD0E-9CC6-4879-8375-268D6266A375}">
      <dgm:prSet/>
      <dgm:spPr/>
      <dgm:t>
        <a:bodyPr/>
        <a:lstStyle/>
        <a:p>
          <a:endParaRPr lang="en-US" b="1"/>
        </a:p>
      </dgm:t>
    </dgm:pt>
    <dgm:pt modelId="{44C4CCA3-F4D1-4394-BB08-4483E94BB13D}">
      <dgm:prSet phldrT="[Text]" custT="1"/>
      <dgm:spPr/>
      <dgm:t>
        <a:bodyPr/>
        <a:lstStyle/>
        <a:p>
          <a:r>
            <a:rPr lang="ro-RO" sz="1200" b="1"/>
            <a:t>Aprofundarea comunicării</a:t>
          </a:r>
          <a:endParaRPr lang="en-US" sz="1200" b="1"/>
        </a:p>
      </dgm:t>
    </dgm:pt>
    <dgm:pt modelId="{F58DDD1D-8337-4A10-BC48-D97DEED4B301}" type="parTrans" cxnId="{E084D217-77C4-4D56-B64F-36D71A564A57}">
      <dgm:prSet/>
      <dgm:spPr/>
      <dgm:t>
        <a:bodyPr/>
        <a:lstStyle/>
        <a:p>
          <a:endParaRPr lang="en-US" b="1"/>
        </a:p>
      </dgm:t>
    </dgm:pt>
    <dgm:pt modelId="{C729E8C7-B890-4E33-B725-D2A6B186C6F3}" type="sibTrans" cxnId="{E084D217-77C4-4D56-B64F-36D71A564A57}">
      <dgm:prSet/>
      <dgm:spPr/>
      <dgm:t>
        <a:bodyPr/>
        <a:lstStyle/>
        <a:p>
          <a:endParaRPr lang="en-US" b="1"/>
        </a:p>
      </dgm:t>
    </dgm:pt>
    <dgm:pt modelId="{53ECEBB8-669D-4ABE-A125-849F6E6C2382}">
      <dgm:prSet phldrT="[Text]" custT="1"/>
      <dgm:spPr/>
      <dgm:t>
        <a:bodyPr/>
        <a:lstStyle/>
        <a:p>
          <a:r>
            <a:rPr lang="ro-RO" sz="1200" b="1"/>
            <a:t>Implicarea mediului de afaceri</a:t>
          </a:r>
          <a:endParaRPr lang="en-US" sz="1200" b="1"/>
        </a:p>
      </dgm:t>
    </dgm:pt>
    <dgm:pt modelId="{71851311-50BC-4126-97D8-B72B73E2C980}" type="parTrans" cxnId="{3E47F9B3-6604-4B2F-B9F9-D69D2D68DD80}">
      <dgm:prSet/>
      <dgm:spPr/>
      <dgm:t>
        <a:bodyPr/>
        <a:lstStyle/>
        <a:p>
          <a:endParaRPr lang="en-US" b="1"/>
        </a:p>
      </dgm:t>
    </dgm:pt>
    <dgm:pt modelId="{A7757A22-C284-4694-BA1A-E006AC04C07D}" type="sibTrans" cxnId="{3E47F9B3-6604-4B2F-B9F9-D69D2D68DD80}">
      <dgm:prSet/>
      <dgm:spPr/>
      <dgm:t>
        <a:bodyPr/>
        <a:lstStyle/>
        <a:p>
          <a:endParaRPr lang="en-US" b="1"/>
        </a:p>
      </dgm:t>
    </dgm:pt>
    <dgm:pt modelId="{B82288DB-ADB9-4FFE-98C9-6AC967299B29}">
      <dgm:prSet phldrT="[Text]" custT="1"/>
      <dgm:spPr/>
      <dgm:t>
        <a:bodyPr/>
        <a:lstStyle/>
        <a:p>
          <a:r>
            <a:rPr lang="ro-RO" sz="1200" b="1"/>
            <a:t>Dialog și colaborare în cadrul proiectelor de dezvoltare</a:t>
          </a:r>
          <a:endParaRPr lang="en-US" sz="1200" b="1"/>
        </a:p>
      </dgm:t>
    </dgm:pt>
    <dgm:pt modelId="{2835C803-D97E-4B05-9B94-352044A0605A}" type="parTrans" cxnId="{B933A675-93ED-48D2-BCC6-545997D28F74}">
      <dgm:prSet/>
      <dgm:spPr/>
      <dgm:t>
        <a:bodyPr/>
        <a:lstStyle/>
        <a:p>
          <a:endParaRPr lang="en-US" b="1"/>
        </a:p>
      </dgm:t>
    </dgm:pt>
    <dgm:pt modelId="{D7FE8BDB-9DE2-46AD-92CA-9545FF5DFC52}" type="sibTrans" cxnId="{B933A675-93ED-48D2-BCC6-545997D28F74}">
      <dgm:prSet/>
      <dgm:spPr/>
      <dgm:t>
        <a:bodyPr/>
        <a:lstStyle/>
        <a:p>
          <a:endParaRPr lang="en-US" b="1"/>
        </a:p>
      </dgm:t>
    </dgm:pt>
    <dgm:pt modelId="{D31DCE19-819D-4175-B913-D65024D61636}" type="pres">
      <dgm:prSet presAssocID="{B2346712-6F20-40CB-B60B-58643F3F10CD}" presName="diagram" presStyleCnt="0">
        <dgm:presLayoutVars>
          <dgm:dir/>
          <dgm:resizeHandles val="exact"/>
        </dgm:presLayoutVars>
      </dgm:prSet>
      <dgm:spPr/>
    </dgm:pt>
    <dgm:pt modelId="{9C0A0A58-E7F5-46AF-B08C-23F321789B56}" type="pres">
      <dgm:prSet presAssocID="{3082A570-0841-4281-A443-BF005CFABEFB}" presName="node" presStyleLbl="node1" presStyleIdx="0" presStyleCnt="8">
        <dgm:presLayoutVars>
          <dgm:bulletEnabled val="1"/>
        </dgm:presLayoutVars>
      </dgm:prSet>
      <dgm:spPr>
        <a:prstGeom prst="flowChartAlternateProcess">
          <a:avLst/>
        </a:prstGeom>
      </dgm:spPr>
    </dgm:pt>
    <dgm:pt modelId="{9F67391A-0069-41FA-AF2E-846696FB2DCB}" type="pres">
      <dgm:prSet presAssocID="{43867EBC-73EC-42D3-9B1D-73D87DDECE00}" presName="sibTrans" presStyleCnt="0"/>
      <dgm:spPr/>
    </dgm:pt>
    <dgm:pt modelId="{6E4DD8D1-0CD8-471C-9BBD-4859D8FF5C98}" type="pres">
      <dgm:prSet presAssocID="{2BFCC35C-ED8F-4780-9C70-FDEC11F99838}" presName="node" presStyleLbl="node1" presStyleIdx="1" presStyleCnt="8">
        <dgm:presLayoutVars>
          <dgm:bulletEnabled val="1"/>
        </dgm:presLayoutVars>
      </dgm:prSet>
      <dgm:spPr>
        <a:prstGeom prst="flowChartAlternateProcess">
          <a:avLst/>
        </a:prstGeom>
      </dgm:spPr>
    </dgm:pt>
    <dgm:pt modelId="{EA6975E0-A9C8-4E67-A1B7-EF4910087D60}" type="pres">
      <dgm:prSet presAssocID="{DD8DFE4F-C68A-4039-A506-7C1E9558DD30}" presName="sibTrans" presStyleCnt="0"/>
      <dgm:spPr/>
    </dgm:pt>
    <dgm:pt modelId="{8BF22913-8EEB-4E83-8AE3-DACD210027B7}" type="pres">
      <dgm:prSet presAssocID="{868A249C-E85C-4006-AEEA-291EB5BBD4FE}" presName="node" presStyleLbl="node1" presStyleIdx="2" presStyleCnt="8">
        <dgm:presLayoutVars>
          <dgm:bulletEnabled val="1"/>
        </dgm:presLayoutVars>
      </dgm:prSet>
      <dgm:spPr>
        <a:prstGeom prst="flowChartAlternateProcess">
          <a:avLst/>
        </a:prstGeom>
      </dgm:spPr>
    </dgm:pt>
    <dgm:pt modelId="{29390A5C-64BB-4755-A5D9-794EF587FA87}" type="pres">
      <dgm:prSet presAssocID="{097F693A-43BC-4D3B-963B-4ED397EB0C6E}" presName="sibTrans" presStyleCnt="0"/>
      <dgm:spPr/>
    </dgm:pt>
    <dgm:pt modelId="{67DFE1FE-833B-4B60-94EC-6C88903964D8}" type="pres">
      <dgm:prSet presAssocID="{CEE8A37D-BB5B-49A9-8DC4-D192418152AB}" presName="node" presStyleLbl="node1" presStyleIdx="3" presStyleCnt="8">
        <dgm:presLayoutVars>
          <dgm:bulletEnabled val="1"/>
        </dgm:presLayoutVars>
      </dgm:prSet>
      <dgm:spPr>
        <a:prstGeom prst="flowChartAlternateProcess">
          <a:avLst/>
        </a:prstGeom>
      </dgm:spPr>
    </dgm:pt>
    <dgm:pt modelId="{F4CDB7A6-BF8F-443B-BE97-2FD5BE362EFB}" type="pres">
      <dgm:prSet presAssocID="{565826DB-58E0-495A-866D-240E09B2A51E}" presName="sibTrans" presStyleCnt="0"/>
      <dgm:spPr/>
    </dgm:pt>
    <dgm:pt modelId="{0CCF2891-2ABA-4753-9F38-76CBD6AD76E8}" type="pres">
      <dgm:prSet presAssocID="{DEF23A36-781A-47F8-92CB-0A6B51127A2B}" presName="node" presStyleLbl="node1" presStyleIdx="4" presStyleCnt="8">
        <dgm:presLayoutVars>
          <dgm:bulletEnabled val="1"/>
        </dgm:presLayoutVars>
      </dgm:prSet>
      <dgm:spPr>
        <a:prstGeom prst="flowChartAlternateProcess">
          <a:avLst/>
        </a:prstGeom>
      </dgm:spPr>
    </dgm:pt>
    <dgm:pt modelId="{59F2065E-6ABC-4546-AAEA-ECA151C821CB}" type="pres">
      <dgm:prSet presAssocID="{A31A41F4-A952-4CBD-ADC3-341257B5624C}" presName="sibTrans" presStyleCnt="0"/>
      <dgm:spPr/>
    </dgm:pt>
    <dgm:pt modelId="{FB9121C3-68C0-4B16-A8D7-7C432B1C680D}" type="pres">
      <dgm:prSet presAssocID="{44C4CCA3-F4D1-4394-BB08-4483E94BB13D}" presName="node" presStyleLbl="node1" presStyleIdx="5" presStyleCnt="8">
        <dgm:presLayoutVars>
          <dgm:bulletEnabled val="1"/>
        </dgm:presLayoutVars>
      </dgm:prSet>
      <dgm:spPr>
        <a:prstGeom prst="flowChartAlternateProcess">
          <a:avLst/>
        </a:prstGeom>
      </dgm:spPr>
    </dgm:pt>
    <dgm:pt modelId="{6026D6C5-A0BF-4EC2-BB05-9578F0944B46}" type="pres">
      <dgm:prSet presAssocID="{C729E8C7-B890-4E33-B725-D2A6B186C6F3}" presName="sibTrans" presStyleCnt="0"/>
      <dgm:spPr/>
    </dgm:pt>
    <dgm:pt modelId="{FE553129-93D5-4A7A-B48C-BE458CD389B9}" type="pres">
      <dgm:prSet presAssocID="{53ECEBB8-669D-4ABE-A125-849F6E6C2382}" presName="node" presStyleLbl="node1" presStyleIdx="6" presStyleCnt="8">
        <dgm:presLayoutVars>
          <dgm:bulletEnabled val="1"/>
        </dgm:presLayoutVars>
      </dgm:prSet>
      <dgm:spPr>
        <a:prstGeom prst="flowChartAlternateProcess">
          <a:avLst/>
        </a:prstGeom>
      </dgm:spPr>
    </dgm:pt>
    <dgm:pt modelId="{BCEC9407-B5D5-4CFF-B2AF-4BC6A970677C}" type="pres">
      <dgm:prSet presAssocID="{A7757A22-C284-4694-BA1A-E006AC04C07D}" presName="sibTrans" presStyleCnt="0"/>
      <dgm:spPr/>
    </dgm:pt>
    <dgm:pt modelId="{E42F362E-BF97-4B71-8B8C-3BE6F37AE439}" type="pres">
      <dgm:prSet presAssocID="{B82288DB-ADB9-4FFE-98C9-6AC967299B29}" presName="node" presStyleLbl="node1" presStyleIdx="7" presStyleCnt="8">
        <dgm:presLayoutVars>
          <dgm:bulletEnabled val="1"/>
        </dgm:presLayoutVars>
      </dgm:prSet>
      <dgm:spPr>
        <a:prstGeom prst="flowChartAlternateProcess">
          <a:avLst/>
        </a:prstGeom>
      </dgm:spPr>
    </dgm:pt>
  </dgm:ptLst>
  <dgm:cxnLst>
    <dgm:cxn modelId="{B7746103-7752-4AD0-96FC-CDFB9CCFD69C}" type="presOf" srcId="{53ECEBB8-669D-4ABE-A125-849F6E6C2382}" destId="{FE553129-93D5-4A7A-B48C-BE458CD389B9}" srcOrd="0" destOrd="0" presId="urn:microsoft.com/office/officeart/2005/8/layout/default"/>
    <dgm:cxn modelId="{180FCD0E-9CC6-4879-8375-268D6266A375}" srcId="{B2346712-6F20-40CB-B60B-58643F3F10CD}" destId="{DEF23A36-781A-47F8-92CB-0A6B51127A2B}" srcOrd="4" destOrd="0" parTransId="{CBD60188-4DC7-44AF-8FC0-36C22C7C8271}" sibTransId="{A31A41F4-A952-4CBD-ADC3-341257B5624C}"/>
    <dgm:cxn modelId="{E084D217-77C4-4D56-B64F-36D71A564A57}" srcId="{B2346712-6F20-40CB-B60B-58643F3F10CD}" destId="{44C4CCA3-F4D1-4394-BB08-4483E94BB13D}" srcOrd="5" destOrd="0" parTransId="{F58DDD1D-8337-4A10-BC48-D97DEED4B301}" sibTransId="{C729E8C7-B890-4E33-B725-D2A6B186C6F3}"/>
    <dgm:cxn modelId="{98DDE41D-CCFE-4C21-90A5-D1C8F8955E76}" srcId="{B2346712-6F20-40CB-B60B-58643F3F10CD}" destId="{868A249C-E85C-4006-AEEA-291EB5BBD4FE}" srcOrd="2" destOrd="0" parTransId="{1A531754-07DF-4DAC-BFC9-64DBA3B7C6AB}" sibTransId="{097F693A-43BC-4D3B-963B-4ED397EB0C6E}"/>
    <dgm:cxn modelId="{B7A34C24-8A0D-4B4A-892E-4EA644FFF7E4}" srcId="{B2346712-6F20-40CB-B60B-58643F3F10CD}" destId="{2BFCC35C-ED8F-4780-9C70-FDEC11F99838}" srcOrd="1" destOrd="0" parTransId="{4C4EF45D-0AA3-4BE1-B086-654F2E71CE13}" sibTransId="{DD8DFE4F-C68A-4039-A506-7C1E9558DD30}"/>
    <dgm:cxn modelId="{35243F32-1590-403F-BE1B-B125E9F2FE2A}" type="presOf" srcId="{3082A570-0841-4281-A443-BF005CFABEFB}" destId="{9C0A0A58-E7F5-46AF-B08C-23F321789B56}" srcOrd="0" destOrd="0" presId="urn:microsoft.com/office/officeart/2005/8/layout/default"/>
    <dgm:cxn modelId="{2D810F36-A87F-4666-A9FB-5E8C41C4612B}" srcId="{B2346712-6F20-40CB-B60B-58643F3F10CD}" destId="{3082A570-0841-4281-A443-BF005CFABEFB}" srcOrd="0" destOrd="0" parTransId="{652DADCB-7433-48F5-9CF6-5EC2DC969990}" sibTransId="{43867EBC-73EC-42D3-9B1D-73D87DDECE00}"/>
    <dgm:cxn modelId="{590DC969-0514-46FA-ACB0-7C8975B2C718}" type="presOf" srcId="{B82288DB-ADB9-4FFE-98C9-6AC967299B29}" destId="{E42F362E-BF97-4B71-8B8C-3BE6F37AE439}" srcOrd="0" destOrd="0" presId="urn:microsoft.com/office/officeart/2005/8/layout/default"/>
    <dgm:cxn modelId="{6EC2914A-7CE7-45DC-A944-621A33FB207F}" type="presOf" srcId="{2BFCC35C-ED8F-4780-9C70-FDEC11F99838}" destId="{6E4DD8D1-0CD8-471C-9BBD-4859D8FF5C98}" srcOrd="0" destOrd="0" presId="urn:microsoft.com/office/officeart/2005/8/layout/default"/>
    <dgm:cxn modelId="{B0DE654B-049D-4627-A554-DC64EF76B82F}" type="presOf" srcId="{868A249C-E85C-4006-AEEA-291EB5BBD4FE}" destId="{8BF22913-8EEB-4E83-8AE3-DACD210027B7}" srcOrd="0" destOrd="0" presId="urn:microsoft.com/office/officeart/2005/8/layout/default"/>
    <dgm:cxn modelId="{B933A675-93ED-48D2-BCC6-545997D28F74}" srcId="{B2346712-6F20-40CB-B60B-58643F3F10CD}" destId="{B82288DB-ADB9-4FFE-98C9-6AC967299B29}" srcOrd="7" destOrd="0" parTransId="{2835C803-D97E-4B05-9B94-352044A0605A}" sibTransId="{D7FE8BDB-9DE2-46AD-92CA-9545FF5DFC52}"/>
    <dgm:cxn modelId="{8B61F386-BFCD-4D55-9E40-B7FBF4A5AEBE}" type="presOf" srcId="{44C4CCA3-F4D1-4394-BB08-4483E94BB13D}" destId="{FB9121C3-68C0-4B16-A8D7-7C432B1C680D}" srcOrd="0" destOrd="0" presId="urn:microsoft.com/office/officeart/2005/8/layout/default"/>
    <dgm:cxn modelId="{C41C1095-9AB8-4A1F-BA1D-548EBD83183A}" type="presOf" srcId="{DEF23A36-781A-47F8-92CB-0A6B51127A2B}" destId="{0CCF2891-2ABA-4753-9F38-76CBD6AD76E8}" srcOrd="0" destOrd="0" presId="urn:microsoft.com/office/officeart/2005/8/layout/default"/>
    <dgm:cxn modelId="{3E47F9B3-6604-4B2F-B9F9-D69D2D68DD80}" srcId="{B2346712-6F20-40CB-B60B-58643F3F10CD}" destId="{53ECEBB8-669D-4ABE-A125-849F6E6C2382}" srcOrd="6" destOrd="0" parTransId="{71851311-50BC-4126-97D8-B72B73E2C980}" sibTransId="{A7757A22-C284-4694-BA1A-E006AC04C07D}"/>
    <dgm:cxn modelId="{B7F8F6ED-E77A-4BA9-95BC-694CFCFD9E67}" type="presOf" srcId="{CEE8A37D-BB5B-49A9-8DC4-D192418152AB}" destId="{67DFE1FE-833B-4B60-94EC-6C88903964D8}" srcOrd="0" destOrd="0" presId="urn:microsoft.com/office/officeart/2005/8/layout/default"/>
    <dgm:cxn modelId="{51A060EE-9B26-4595-A4DB-52ED485ECF4C}" type="presOf" srcId="{B2346712-6F20-40CB-B60B-58643F3F10CD}" destId="{D31DCE19-819D-4175-B913-D65024D61636}" srcOrd="0" destOrd="0" presId="urn:microsoft.com/office/officeart/2005/8/layout/default"/>
    <dgm:cxn modelId="{9C3AC9F2-B3E3-4466-BA34-364B67A1AF51}" srcId="{B2346712-6F20-40CB-B60B-58643F3F10CD}" destId="{CEE8A37D-BB5B-49A9-8DC4-D192418152AB}" srcOrd="3" destOrd="0" parTransId="{B5292DDA-25C6-4A45-806B-504A2ABDA816}" sibTransId="{565826DB-58E0-495A-866D-240E09B2A51E}"/>
    <dgm:cxn modelId="{6FF732A9-6596-47E3-8D0D-C4BD61629EFA}" type="presParOf" srcId="{D31DCE19-819D-4175-B913-D65024D61636}" destId="{9C0A0A58-E7F5-46AF-B08C-23F321789B56}" srcOrd="0" destOrd="0" presId="urn:microsoft.com/office/officeart/2005/8/layout/default"/>
    <dgm:cxn modelId="{50681B8C-5B3E-437B-B866-37BF675C8B44}" type="presParOf" srcId="{D31DCE19-819D-4175-B913-D65024D61636}" destId="{9F67391A-0069-41FA-AF2E-846696FB2DCB}" srcOrd="1" destOrd="0" presId="urn:microsoft.com/office/officeart/2005/8/layout/default"/>
    <dgm:cxn modelId="{2C199F13-A9F5-4DD7-9082-E0141C2F2351}" type="presParOf" srcId="{D31DCE19-819D-4175-B913-D65024D61636}" destId="{6E4DD8D1-0CD8-471C-9BBD-4859D8FF5C98}" srcOrd="2" destOrd="0" presId="urn:microsoft.com/office/officeart/2005/8/layout/default"/>
    <dgm:cxn modelId="{BDC4B20F-C1B4-4EEC-92C1-A1ADA989EC48}" type="presParOf" srcId="{D31DCE19-819D-4175-B913-D65024D61636}" destId="{EA6975E0-A9C8-4E67-A1B7-EF4910087D60}" srcOrd="3" destOrd="0" presId="urn:microsoft.com/office/officeart/2005/8/layout/default"/>
    <dgm:cxn modelId="{3B2CB9C8-BD85-47F7-8CE0-396090936EF1}" type="presParOf" srcId="{D31DCE19-819D-4175-B913-D65024D61636}" destId="{8BF22913-8EEB-4E83-8AE3-DACD210027B7}" srcOrd="4" destOrd="0" presId="urn:microsoft.com/office/officeart/2005/8/layout/default"/>
    <dgm:cxn modelId="{9336B96B-384A-4B45-8EEF-132E617B426D}" type="presParOf" srcId="{D31DCE19-819D-4175-B913-D65024D61636}" destId="{29390A5C-64BB-4755-A5D9-794EF587FA87}" srcOrd="5" destOrd="0" presId="urn:microsoft.com/office/officeart/2005/8/layout/default"/>
    <dgm:cxn modelId="{6245A16B-051F-4D29-AB0C-F2624964120A}" type="presParOf" srcId="{D31DCE19-819D-4175-B913-D65024D61636}" destId="{67DFE1FE-833B-4B60-94EC-6C88903964D8}" srcOrd="6" destOrd="0" presId="urn:microsoft.com/office/officeart/2005/8/layout/default"/>
    <dgm:cxn modelId="{E8CDF9C6-67F1-401C-ACDE-C2C127707706}" type="presParOf" srcId="{D31DCE19-819D-4175-B913-D65024D61636}" destId="{F4CDB7A6-BF8F-443B-BE97-2FD5BE362EFB}" srcOrd="7" destOrd="0" presId="urn:microsoft.com/office/officeart/2005/8/layout/default"/>
    <dgm:cxn modelId="{20E8BDE6-2928-4A17-AAC8-F4F3BBC0A9CA}" type="presParOf" srcId="{D31DCE19-819D-4175-B913-D65024D61636}" destId="{0CCF2891-2ABA-4753-9F38-76CBD6AD76E8}" srcOrd="8" destOrd="0" presId="urn:microsoft.com/office/officeart/2005/8/layout/default"/>
    <dgm:cxn modelId="{9BCBC405-31A1-4076-8251-1D9C4199AC72}" type="presParOf" srcId="{D31DCE19-819D-4175-B913-D65024D61636}" destId="{59F2065E-6ABC-4546-AAEA-ECA151C821CB}" srcOrd="9" destOrd="0" presId="urn:microsoft.com/office/officeart/2005/8/layout/default"/>
    <dgm:cxn modelId="{B0391AD8-5907-4BE6-97A1-48C37101E56D}" type="presParOf" srcId="{D31DCE19-819D-4175-B913-D65024D61636}" destId="{FB9121C3-68C0-4B16-A8D7-7C432B1C680D}" srcOrd="10" destOrd="0" presId="urn:microsoft.com/office/officeart/2005/8/layout/default"/>
    <dgm:cxn modelId="{B903C593-6838-4AD6-BDBE-B2854F772B38}" type="presParOf" srcId="{D31DCE19-819D-4175-B913-D65024D61636}" destId="{6026D6C5-A0BF-4EC2-BB05-9578F0944B46}" srcOrd="11" destOrd="0" presId="urn:microsoft.com/office/officeart/2005/8/layout/default"/>
    <dgm:cxn modelId="{E863353F-8940-4F3F-980F-1E8CCF561054}" type="presParOf" srcId="{D31DCE19-819D-4175-B913-D65024D61636}" destId="{FE553129-93D5-4A7A-B48C-BE458CD389B9}" srcOrd="12" destOrd="0" presId="urn:microsoft.com/office/officeart/2005/8/layout/default"/>
    <dgm:cxn modelId="{330D6277-BABA-44C1-B2D1-ACB115EB85AC}" type="presParOf" srcId="{D31DCE19-819D-4175-B913-D65024D61636}" destId="{BCEC9407-B5D5-4CFF-B2AF-4BC6A970677C}" srcOrd="13" destOrd="0" presId="urn:microsoft.com/office/officeart/2005/8/layout/default"/>
    <dgm:cxn modelId="{0DAF6F76-225C-4825-B6DF-467058DC8A8A}" type="presParOf" srcId="{D31DCE19-819D-4175-B913-D65024D61636}" destId="{E42F362E-BF97-4B71-8B8C-3BE6F37AE439}" srcOrd="14" destOrd="0" presId="urn:microsoft.com/office/officeart/2005/8/layout/default"/>
  </dgm:cxnLst>
  <dgm:bg/>
  <dgm:whole/>
  <dgm:extLst>
    <a:ext uri="http://schemas.microsoft.com/office/drawing/2008/diagram">
      <dsp:dataModelExt xmlns:dsp="http://schemas.microsoft.com/office/drawing/2008/diagram" relId="rId22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05A4ED1-4F70-4150-965F-AF413A1FFFB6}" type="doc">
      <dgm:prSet loTypeId="urn:microsoft.com/office/officeart/2005/8/layout/default" loCatId="list" qsTypeId="urn:microsoft.com/office/officeart/2005/8/quickstyle/simple1" qsCatId="simple" csTypeId="urn:microsoft.com/office/officeart/2005/8/colors/colorful2" csCatId="colorful" phldr="1"/>
      <dgm:spPr/>
      <dgm:t>
        <a:bodyPr/>
        <a:lstStyle/>
        <a:p>
          <a:endParaRPr lang="en-US"/>
        </a:p>
      </dgm:t>
    </dgm:pt>
    <dgm:pt modelId="{46CE4B48-C2FE-4668-8E66-A430D559D36C}">
      <dgm:prSet phldrT="[Text]" custT="1"/>
      <dgm:spPr/>
      <dgm:t>
        <a:bodyPr/>
        <a:lstStyle/>
        <a:p>
          <a:r>
            <a:rPr lang="ro-RO" sz="1200" b="1"/>
            <a:t>Poziționarea favorabilă</a:t>
          </a:r>
          <a:endParaRPr lang="en-US" sz="1200" b="1"/>
        </a:p>
      </dgm:t>
    </dgm:pt>
    <dgm:pt modelId="{5AA23F39-979F-44F6-BF1F-631038438552}" type="parTrans" cxnId="{A39635BE-BA41-4EA2-B7EF-8441F10579FC}">
      <dgm:prSet/>
      <dgm:spPr/>
      <dgm:t>
        <a:bodyPr/>
        <a:lstStyle/>
        <a:p>
          <a:endParaRPr lang="en-US" sz="1200" b="1"/>
        </a:p>
      </dgm:t>
    </dgm:pt>
    <dgm:pt modelId="{D9D334B9-F8E7-4AA0-A607-2A656761BDDE}" type="sibTrans" cxnId="{A39635BE-BA41-4EA2-B7EF-8441F10579FC}">
      <dgm:prSet/>
      <dgm:spPr/>
      <dgm:t>
        <a:bodyPr/>
        <a:lstStyle/>
        <a:p>
          <a:endParaRPr lang="en-US" sz="1200" b="1"/>
        </a:p>
      </dgm:t>
    </dgm:pt>
    <dgm:pt modelId="{1DA32A5A-ACDE-499B-96A4-A82377A6424C}">
      <dgm:prSet phldrT="[Text]" custT="1"/>
      <dgm:spPr/>
      <dgm:t>
        <a:bodyPr/>
        <a:lstStyle/>
        <a:p>
          <a:r>
            <a:rPr lang="ro-RO" sz="1200" b="1"/>
            <a:t>Situația economică</a:t>
          </a:r>
          <a:endParaRPr lang="en-US" sz="1200" b="1"/>
        </a:p>
      </dgm:t>
    </dgm:pt>
    <dgm:pt modelId="{F5CCC03C-D2FA-4324-A3BF-0CA9440590C5}" type="parTrans" cxnId="{0CE047AC-B3BA-44C4-8307-D6819D211714}">
      <dgm:prSet/>
      <dgm:spPr/>
      <dgm:t>
        <a:bodyPr/>
        <a:lstStyle/>
        <a:p>
          <a:endParaRPr lang="en-US" b="1"/>
        </a:p>
      </dgm:t>
    </dgm:pt>
    <dgm:pt modelId="{62DFA2B2-ACAB-47A7-BF8B-193E9D12ACE7}" type="sibTrans" cxnId="{0CE047AC-B3BA-44C4-8307-D6819D211714}">
      <dgm:prSet/>
      <dgm:spPr/>
      <dgm:t>
        <a:bodyPr/>
        <a:lstStyle/>
        <a:p>
          <a:endParaRPr lang="en-US" b="1"/>
        </a:p>
      </dgm:t>
    </dgm:pt>
    <dgm:pt modelId="{6E8AF6D5-F862-4109-B433-EAB73D0C9BEC}">
      <dgm:prSet phldrT="[Text]" custT="1"/>
      <dgm:spPr/>
      <dgm:t>
        <a:bodyPr/>
        <a:lstStyle/>
        <a:p>
          <a:r>
            <a:rPr lang="ro-RO" sz="1200" b="1"/>
            <a:t>Agenți economici variați</a:t>
          </a:r>
          <a:endParaRPr lang="en-US" sz="1200" b="1"/>
        </a:p>
      </dgm:t>
    </dgm:pt>
    <dgm:pt modelId="{7CF6BF5A-1FCA-46DE-97D5-FA609FDDE773}" type="parTrans" cxnId="{D8B3B4BA-C6BF-4840-B2DD-62722D73B6E6}">
      <dgm:prSet/>
      <dgm:spPr/>
      <dgm:t>
        <a:bodyPr/>
        <a:lstStyle/>
        <a:p>
          <a:endParaRPr lang="en-US" b="1"/>
        </a:p>
      </dgm:t>
    </dgm:pt>
    <dgm:pt modelId="{D941EEDD-DDC4-43C6-AD1F-A2ADAFD37D58}" type="sibTrans" cxnId="{D8B3B4BA-C6BF-4840-B2DD-62722D73B6E6}">
      <dgm:prSet/>
      <dgm:spPr/>
      <dgm:t>
        <a:bodyPr/>
        <a:lstStyle/>
        <a:p>
          <a:endParaRPr lang="en-US" b="1"/>
        </a:p>
      </dgm:t>
    </dgm:pt>
    <dgm:pt modelId="{00FA147C-5993-42C3-A287-72D51AC5510F}">
      <dgm:prSet phldrT="[Text]" custT="1"/>
      <dgm:spPr/>
      <dgm:t>
        <a:bodyPr/>
        <a:lstStyle/>
        <a:p>
          <a:r>
            <a:rPr lang="ro-RO" sz="1200" b="1"/>
            <a:t>Cartierele istorice</a:t>
          </a:r>
          <a:endParaRPr lang="en-US" sz="1200" b="1"/>
        </a:p>
      </dgm:t>
    </dgm:pt>
    <dgm:pt modelId="{97CE3230-3336-4C81-9E28-F804BD9FB265}" type="parTrans" cxnId="{2887846D-6E40-458E-ACA5-8E4F2B4469A7}">
      <dgm:prSet/>
      <dgm:spPr/>
      <dgm:t>
        <a:bodyPr/>
        <a:lstStyle/>
        <a:p>
          <a:endParaRPr lang="en-US" b="1"/>
        </a:p>
      </dgm:t>
    </dgm:pt>
    <dgm:pt modelId="{01A7ED87-1DD5-446D-B370-11E3405F32B1}" type="sibTrans" cxnId="{2887846D-6E40-458E-ACA5-8E4F2B4469A7}">
      <dgm:prSet/>
      <dgm:spPr/>
      <dgm:t>
        <a:bodyPr/>
        <a:lstStyle/>
        <a:p>
          <a:endParaRPr lang="en-US" b="1"/>
        </a:p>
      </dgm:t>
    </dgm:pt>
    <dgm:pt modelId="{483B0BFB-31CD-4745-AD64-B03E4D2690AA}">
      <dgm:prSet phldrT="[Text]" custT="1"/>
      <dgm:spPr/>
      <dgm:t>
        <a:bodyPr/>
        <a:lstStyle/>
        <a:p>
          <a:r>
            <a:rPr lang="ro-RO" sz="1200" b="1"/>
            <a:t>Proximitatea față de repere de interes</a:t>
          </a:r>
          <a:endParaRPr lang="en-US" sz="1200" b="1"/>
        </a:p>
      </dgm:t>
    </dgm:pt>
    <dgm:pt modelId="{4452B84B-E98A-49FD-A21C-21F3D21334A9}" type="parTrans" cxnId="{F0909AC8-B697-45B2-BBC8-CC95F49FFB01}">
      <dgm:prSet/>
      <dgm:spPr/>
      <dgm:t>
        <a:bodyPr/>
        <a:lstStyle/>
        <a:p>
          <a:endParaRPr lang="en-US" b="1"/>
        </a:p>
      </dgm:t>
    </dgm:pt>
    <dgm:pt modelId="{4CF7A3E8-CBDF-485F-B0EE-7C47A03C8FFC}" type="sibTrans" cxnId="{F0909AC8-B697-45B2-BBC8-CC95F49FFB01}">
      <dgm:prSet/>
      <dgm:spPr/>
      <dgm:t>
        <a:bodyPr/>
        <a:lstStyle/>
        <a:p>
          <a:endParaRPr lang="en-US" b="1"/>
        </a:p>
      </dgm:t>
    </dgm:pt>
    <dgm:pt modelId="{09EDD9FB-CF3E-4886-B0DC-206E82A010CE}">
      <dgm:prSet phldrT="[Text]" custT="1"/>
      <dgm:spPr/>
      <dgm:t>
        <a:bodyPr/>
        <a:lstStyle/>
        <a:p>
          <a:r>
            <a:rPr lang="ro-RO" sz="1200" b="1"/>
            <a:t>Densiatea populației</a:t>
          </a:r>
          <a:endParaRPr lang="en-US" sz="1200" b="1"/>
        </a:p>
      </dgm:t>
    </dgm:pt>
    <dgm:pt modelId="{C75E3D86-D870-43A7-A76A-331EDA3920A7}" type="parTrans" cxnId="{DCF26CD6-CFFA-4024-A0EF-D0D18313DFDA}">
      <dgm:prSet/>
      <dgm:spPr/>
      <dgm:t>
        <a:bodyPr/>
        <a:lstStyle/>
        <a:p>
          <a:endParaRPr lang="en-US" b="1"/>
        </a:p>
      </dgm:t>
    </dgm:pt>
    <dgm:pt modelId="{D16BFB61-5B06-4946-838F-CC27561CA4E2}" type="sibTrans" cxnId="{DCF26CD6-CFFA-4024-A0EF-D0D18313DFDA}">
      <dgm:prSet/>
      <dgm:spPr/>
      <dgm:t>
        <a:bodyPr/>
        <a:lstStyle/>
        <a:p>
          <a:endParaRPr lang="en-US" b="1"/>
        </a:p>
      </dgm:t>
    </dgm:pt>
    <dgm:pt modelId="{C028B158-F5A5-4118-AE1D-5E6DF50F7E7C}">
      <dgm:prSet phldrT="[Text]" custT="1"/>
      <dgm:spPr/>
      <dgm:t>
        <a:bodyPr/>
        <a:lstStyle/>
        <a:p>
          <a:r>
            <a:rPr lang="ro-RO" sz="1200" b="1"/>
            <a:t>Infrastructura sportivă</a:t>
          </a:r>
          <a:endParaRPr lang="en-US" sz="1200" b="1"/>
        </a:p>
      </dgm:t>
    </dgm:pt>
    <dgm:pt modelId="{1429A292-FD57-4F1F-837B-F1316C5981C8}" type="parTrans" cxnId="{8181E521-3837-4F51-88E9-D719A0851C6E}">
      <dgm:prSet/>
      <dgm:spPr/>
      <dgm:t>
        <a:bodyPr/>
        <a:lstStyle/>
        <a:p>
          <a:endParaRPr lang="en-US" b="1"/>
        </a:p>
      </dgm:t>
    </dgm:pt>
    <dgm:pt modelId="{62432DC0-9F9C-40F8-9E56-497614148D96}" type="sibTrans" cxnId="{8181E521-3837-4F51-88E9-D719A0851C6E}">
      <dgm:prSet/>
      <dgm:spPr/>
      <dgm:t>
        <a:bodyPr/>
        <a:lstStyle/>
        <a:p>
          <a:endParaRPr lang="en-US" b="1"/>
        </a:p>
      </dgm:t>
    </dgm:pt>
    <dgm:pt modelId="{047019A7-8950-4CD7-B1AA-3B82E71F6065}">
      <dgm:prSet phldrT="[Text]" custT="1"/>
      <dgm:spPr/>
      <dgm:t>
        <a:bodyPr/>
        <a:lstStyle/>
        <a:p>
          <a:r>
            <a:rPr lang="ro-RO" sz="1200" b="1"/>
            <a:t>Spațiile verzi</a:t>
          </a:r>
          <a:endParaRPr lang="en-US" sz="1200" b="1"/>
        </a:p>
      </dgm:t>
    </dgm:pt>
    <dgm:pt modelId="{DAE17257-88BC-4C9F-9CA2-B503A4EBBD89}" type="parTrans" cxnId="{6648DA20-F238-40F3-B342-57F3AEBAB752}">
      <dgm:prSet/>
      <dgm:spPr/>
      <dgm:t>
        <a:bodyPr/>
        <a:lstStyle/>
        <a:p>
          <a:endParaRPr lang="en-US" b="1"/>
        </a:p>
      </dgm:t>
    </dgm:pt>
    <dgm:pt modelId="{0CF6855A-F218-4551-8C8D-F149951992C2}" type="sibTrans" cxnId="{6648DA20-F238-40F3-B342-57F3AEBAB752}">
      <dgm:prSet/>
      <dgm:spPr/>
      <dgm:t>
        <a:bodyPr/>
        <a:lstStyle/>
        <a:p>
          <a:endParaRPr lang="en-US" b="1"/>
        </a:p>
      </dgm:t>
    </dgm:pt>
    <dgm:pt modelId="{81F1D153-F31C-4B8D-AE34-D2FBFD0C6434}">
      <dgm:prSet phldrT="[Text]" custT="1"/>
      <dgm:spPr/>
      <dgm:t>
        <a:bodyPr/>
        <a:lstStyle/>
        <a:p>
          <a:r>
            <a:rPr lang="ro-RO" sz="1200" b="1"/>
            <a:t>Parcurile numeroase</a:t>
          </a:r>
          <a:endParaRPr lang="en-US" sz="1200" b="1"/>
        </a:p>
      </dgm:t>
    </dgm:pt>
    <dgm:pt modelId="{B8351F00-30F8-4F5F-B34D-23BE4333F64A}" type="parTrans" cxnId="{D7E940E9-B01D-42F8-BFEE-E112047A19E1}">
      <dgm:prSet/>
      <dgm:spPr/>
      <dgm:t>
        <a:bodyPr/>
        <a:lstStyle/>
        <a:p>
          <a:endParaRPr lang="en-US" b="1"/>
        </a:p>
      </dgm:t>
    </dgm:pt>
    <dgm:pt modelId="{7D114D73-0AA1-417A-8293-1C7E3D353FD5}" type="sibTrans" cxnId="{D7E940E9-B01D-42F8-BFEE-E112047A19E1}">
      <dgm:prSet/>
      <dgm:spPr/>
      <dgm:t>
        <a:bodyPr/>
        <a:lstStyle/>
        <a:p>
          <a:endParaRPr lang="en-US" b="1"/>
        </a:p>
      </dgm:t>
    </dgm:pt>
    <dgm:pt modelId="{C41726A9-BE75-40B0-AFA6-9335E8A6EE05}">
      <dgm:prSet phldrT="[Text]" custT="1"/>
      <dgm:spPr/>
      <dgm:t>
        <a:bodyPr/>
        <a:lstStyle/>
        <a:p>
          <a:r>
            <a:rPr lang="ro-RO" sz="1200" b="1"/>
            <a:t>Sistem de transport bine conectat</a:t>
          </a:r>
          <a:endParaRPr lang="en-US" sz="1200" b="1"/>
        </a:p>
      </dgm:t>
    </dgm:pt>
    <dgm:pt modelId="{F169E837-924C-4221-91C1-8725ECD97240}" type="parTrans" cxnId="{9192A3F1-BAB5-407D-9423-BCECD1E47C0C}">
      <dgm:prSet/>
      <dgm:spPr/>
      <dgm:t>
        <a:bodyPr/>
        <a:lstStyle/>
        <a:p>
          <a:endParaRPr lang="en-US" b="1"/>
        </a:p>
      </dgm:t>
    </dgm:pt>
    <dgm:pt modelId="{0A993D63-28D8-4ACF-A099-8A6A7F6842F0}" type="sibTrans" cxnId="{9192A3F1-BAB5-407D-9423-BCECD1E47C0C}">
      <dgm:prSet/>
      <dgm:spPr/>
      <dgm:t>
        <a:bodyPr/>
        <a:lstStyle/>
        <a:p>
          <a:endParaRPr lang="en-US" b="1"/>
        </a:p>
      </dgm:t>
    </dgm:pt>
    <dgm:pt modelId="{AF827AB0-E568-4F20-8387-7B0CD90295BA}">
      <dgm:prSet phldrT="[Text]" custT="1"/>
      <dgm:spPr/>
      <dgm:t>
        <a:bodyPr/>
        <a:lstStyle/>
        <a:p>
          <a:r>
            <a:rPr lang="en-US" sz="1200" b="1"/>
            <a:t>Moara lui Assan</a:t>
          </a:r>
        </a:p>
      </dgm:t>
    </dgm:pt>
    <dgm:pt modelId="{CAF09C6E-A993-45B3-BF44-84C28A181598}" type="parTrans" cxnId="{9FBAA95F-E7F0-4FD7-8504-EE8ECCE81BCA}">
      <dgm:prSet/>
      <dgm:spPr/>
      <dgm:t>
        <a:bodyPr/>
        <a:lstStyle/>
        <a:p>
          <a:endParaRPr lang="en-US" b="1"/>
        </a:p>
      </dgm:t>
    </dgm:pt>
    <dgm:pt modelId="{6711D7C9-9874-4CD0-91B1-99CA92DC4234}" type="sibTrans" cxnId="{9FBAA95F-E7F0-4FD7-8504-EE8ECCE81BCA}">
      <dgm:prSet/>
      <dgm:spPr/>
      <dgm:t>
        <a:bodyPr/>
        <a:lstStyle/>
        <a:p>
          <a:endParaRPr lang="en-US" b="1"/>
        </a:p>
      </dgm:t>
    </dgm:pt>
    <dgm:pt modelId="{7F5249CE-6D18-4496-BED2-90949676CC92}">
      <dgm:prSet phldrT="[Text]" custT="1"/>
      <dgm:spPr/>
      <dgm:t>
        <a:bodyPr/>
        <a:lstStyle/>
        <a:p>
          <a:r>
            <a:rPr lang="ro-RO" sz="1200" b="1"/>
            <a:t>Diversele lacuri, râul Colentina</a:t>
          </a:r>
          <a:endParaRPr lang="en-US" sz="1200" b="1"/>
        </a:p>
      </dgm:t>
    </dgm:pt>
    <dgm:pt modelId="{0E38F8BA-09AA-4642-B23E-F7DA1C7A06D7}" type="parTrans" cxnId="{ADDD540D-8B54-4D2B-BEB0-6DC1E2CB2518}">
      <dgm:prSet/>
      <dgm:spPr/>
      <dgm:t>
        <a:bodyPr/>
        <a:lstStyle/>
        <a:p>
          <a:endParaRPr lang="en-US" b="1"/>
        </a:p>
      </dgm:t>
    </dgm:pt>
    <dgm:pt modelId="{21F010FD-3F4A-4EE2-8B7C-266876389A71}" type="sibTrans" cxnId="{ADDD540D-8B54-4D2B-BEB0-6DC1E2CB2518}">
      <dgm:prSet/>
      <dgm:spPr/>
      <dgm:t>
        <a:bodyPr/>
        <a:lstStyle/>
        <a:p>
          <a:endParaRPr lang="en-US" b="1"/>
        </a:p>
      </dgm:t>
    </dgm:pt>
    <dgm:pt modelId="{29BCE9E7-444A-415E-A43C-5A03A9FEE818}">
      <dgm:prSet phldrT="[Text]" custT="1"/>
      <dgm:spPr/>
      <dgm:t>
        <a:bodyPr/>
        <a:lstStyle/>
        <a:p>
          <a:r>
            <a:rPr lang="ro-RO" sz="1200" b="1"/>
            <a:t>Clădirile de patrimoniu</a:t>
          </a:r>
          <a:endParaRPr lang="en-US" sz="1200" b="1"/>
        </a:p>
      </dgm:t>
    </dgm:pt>
    <dgm:pt modelId="{821A216D-7429-4ABC-AD41-A8848FE17D8B}" type="parTrans" cxnId="{2086FAE2-0F4B-4FB9-AE54-D9CFB60BBF9B}">
      <dgm:prSet/>
      <dgm:spPr/>
      <dgm:t>
        <a:bodyPr/>
        <a:lstStyle/>
        <a:p>
          <a:endParaRPr lang="en-US" b="1"/>
        </a:p>
      </dgm:t>
    </dgm:pt>
    <dgm:pt modelId="{C4DE4436-0B0B-448C-A4E6-14F99565A5D8}" type="sibTrans" cxnId="{2086FAE2-0F4B-4FB9-AE54-D9CFB60BBF9B}">
      <dgm:prSet/>
      <dgm:spPr/>
      <dgm:t>
        <a:bodyPr/>
        <a:lstStyle/>
        <a:p>
          <a:endParaRPr lang="en-US" b="1"/>
        </a:p>
      </dgm:t>
    </dgm:pt>
    <dgm:pt modelId="{3FDD60B0-AB45-4DC8-AD40-3A3C5341CEF6}">
      <dgm:prSet phldrT="[Text]" custT="1"/>
      <dgm:spPr/>
      <dgm:t>
        <a:bodyPr/>
        <a:lstStyle/>
        <a:p>
          <a:r>
            <a:rPr lang="ro-RO" sz="1200" b="1"/>
            <a:t>Piața Obor</a:t>
          </a:r>
          <a:endParaRPr lang="en-US" sz="1200" b="1"/>
        </a:p>
      </dgm:t>
    </dgm:pt>
    <dgm:pt modelId="{0E0276D8-2DC7-4EDB-98EF-8CD8CDF55EB5}" type="parTrans" cxnId="{C5C1BAA9-A27A-44D4-9C2E-CF4D3B6D62EB}">
      <dgm:prSet/>
      <dgm:spPr/>
      <dgm:t>
        <a:bodyPr/>
        <a:lstStyle/>
        <a:p>
          <a:endParaRPr lang="en-US" b="1"/>
        </a:p>
      </dgm:t>
    </dgm:pt>
    <dgm:pt modelId="{185E9918-0894-45D9-831C-8FD8B29DEE45}" type="sibTrans" cxnId="{C5C1BAA9-A27A-44D4-9C2E-CF4D3B6D62EB}">
      <dgm:prSet/>
      <dgm:spPr/>
      <dgm:t>
        <a:bodyPr/>
        <a:lstStyle/>
        <a:p>
          <a:endParaRPr lang="en-US" b="1"/>
        </a:p>
      </dgm:t>
    </dgm:pt>
    <dgm:pt modelId="{B57D59B1-1123-4733-A8B9-CCD3EA296E68}">
      <dgm:prSet phldrT="[Text]" custT="1"/>
      <dgm:spPr/>
      <dgm:t>
        <a:bodyPr/>
        <a:lstStyle/>
        <a:p>
          <a:r>
            <a:rPr lang="ro-RO" sz="1200" b="1"/>
            <a:t>Arena Națională</a:t>
          </a:r>
          <a:endParaRPr lang="en-US" sz="1200" b="1"/>
        </a:p>
      </dgm:t>
    </dgm:pt>
    <dgm:pt modelId="{EE035239-C587-4A9B-9CBC-5958A76CB5F5}" type="parTrans" cxnId="{9ADF5BCF-58C9-4D62-AAA9-4D73C6138B9F}">
      <dgm:prSet/>
      <dgm:spPr/>
      <dgm:t>
        <a:bodyPr/>
        <a:lstStyle/>
        <a:p>
          <a:endParaRPr lang="en-US" b="1"/>
        </a:p>
      </dgm:t>
    </dgm:pt>
    <dgm:pt modelId="{A6F8507D-403F-47FE-B43B-0D6EFF5EA676}" type="sibTrans" cxnId="{9ADF5BCF-58C9-4D62-AAA9-4D73C6138B9F}">
      <dgm:prSet/>
      <dgm:spPr/>
      <dgm:t>
        <a:bodyPr/>
        <a:lstStyle/>
        <a:p>
          <a:endParaRPr lang="en-US" b="1"/>
        </a:p>
      </dgm:t>
    </dgm:pt>
    <dgm:pt modelId="{DBA30026-439C-4F56-9F0B-37C3E51046BB}">
      <dgm:prSet phldrT="[Text]" custT="1"/>
      <dgm:spPr/>
      <dgm:t>
        <a:bodyPr/>
        <a:lstStyle/>
        <a:p>
          <a:r>
            <a:rPr lang="ro-RO" sz="1200" b="1"/>
            <a:t>Sistemul universitar</a:t>
          </a:r>
          <a:endParaRPr lang="en-US" sz="1200" b="1"/>
        </a:p>
      </dgm:t>
    </dgm:pt>
    <dgm:pt modelId="{F45EFA3F-AC7F-43E5-9D52-DE257A7DF344}" type="parTrans" cxnId="{B5ADB114-F241-4452-BEA7-CC4B48A41593}">
      <dgm:prSet/>
      <dgm:spPr/>
      <dgm:t>
        <a:bodyPr/>
        <a:lstStyle/>
        <a:p>
          <a:endParaRPr lang="en-US" b="1"/>
        </a:p>
      </dgm:t>
    </dgm:pt>
    <dgm:pt modelId="{027FC4F6-3F98-4246-A012-781F383DF8FD}" type="sibTrans" cxnId="{B5ADB114-F241-4452-BEA7-CC4B48A41593}">
      <dgm:prSet/>
      <dgm:spPr/>
      <dgm:t>
        <a:bodyPr/>
        <a:lstStyle/>
        <a:p>
          <a:endParaRPr lang="en-US" b="1"/>
        </a:p>
      </dgm:t>
    </dgm:pt>
    <dgm:pt modelId="{4B033822-8B78-41B1-AEEF-C0B1DEC1D27C}">
      <dgm:prSet phldrT="[Text]" custT="1"/>
      <dgm:spPr/>
      <dgm:t>
        <a:bodyPr/>
        <a:lstStyle/>
        <a:p>
          <a:r>
            <a:rPr lang="ro-RO" sz="1200" b="1"/>
            <a:t>Teatrele și muzeele</a:t>
          </a:r>
          <a:endParaRPr lang="en-US" sz="1200" b="1"/>
        </a:p>
      </dgm:t>
    </dgm:pt>
    <dgm:pt modelId="{9DB0E6C9-B345-4C30-9AB3-64B263ECA9E1}" type="parTrans" cxnId="{AB31F249-9665-437C-A17A-E1C617A15440}">
      <dgm:prSet/>
      <dgm:spPr/>
      <dgm:t>
        <a:bodyPr/>
        <a:lstStyle/>
        <a:p>
          <a:endParaRPr lang="en-US" b="1"/>
        </a:p>
      </dgm:t>
    </dgm:pt>
    <dgm:pt modelId="{433E04B3-DFAB-46EB-9E72-BD52FB8C6276}" type="sibTrans" cxnId="{AB31F249-9665-437C-A17A-E1C617A15440}">
      <dgm:prSet/>
      <dgm:spPr/>
      <dgm:t>
        <a:bodyPr/>
        <a:lstStyle/>
        <a:p>
          <a:endParaRPr lang="en-US" b="1"/>
        </a:p>
      </dgm:t>
    </dgm:pt>
    <dgm:pt modelId="{6003E144-7371-489E-B840-F32FF469FEF7}">
      <dgm:prSet phldrT="[Text]" custT="1"/>
      <dgm:spPr/>
      <dgm:t>
        <a:bodyPr/>
        <a:lstStyle/>
        <a:p>
          <a:r>
            <a:rPr lang="ro-RO" sz="1200" b="1"/>
            <a:t>Terenuri disponibile</a:t>
          </a:r>
          <a:endParaRPr lang="en-US" sz="1200" b="1"/>
        </a:p>
      </dgm:t>
    </dgm:pt>
    <dgm:pt modelId="{A7FA9B02-1A58-4260-AE46-3C24986B65D7}" type="parTrans" cxnId="{F988AAA8-8761-472A-A921-BFAF099DB7EC}">
      <dgm:prSet/>
      <dgm:spPr/>
      <dgm:t>
        <a:bodyPr/>
        <a:lstStyle/>
        <a:p>
          <a:endParaRPr lang="en-US" b="1"/>
        </a:p>
      </dgm:t>
    </dgm:pt>
    <dgm:pt modelId="{03E4437D-1E7C-41E7-9B8D-9BA70A9A80F9}" type="sibTrans" cxnId="{F988AAA8-8761-472A-A921-BFAF099DB7EC}">
      <dgm:prSet/>
      <dgm:spPr/>
      <dgm:t>
        <a:bodyPr/>
        <a:lstStyle/>
        <a:p>
          <a:endParaRPr lang="en-US" b="1"/>
        </a:p>
      </dgm:t>
    </dgm:pt>
    <dgm:pt modelId="{E5E4EA4C-D430-4AFB-91CF-E4D14CCC3E63}">
      <dgm:prSet phldrT="[Text]" custT="1"/>
      <dgm:spPr/>
      <dgm:t>
        <a:bodyPr/>
        <a:lstStyle/>
        <a:p>
          <a:r>
            <a:rPr lang="ro-RO" sz="1200" b="1"/>
            <a:t>Zona de Business</a:t>
          </a:r>
          <a:endParaRPr lang="en-US" sz="1200" b="1"/>
        </a:p>
      </dgm:t>
    </dgm:pt>
    <dgm:pt modelId="{AF387BBA-498C-4AC7-A73D-3968173B339C}" type="parTrans" cxnId="{3D6042B5-000E-4EEE-ADCD-BB20487360AA}">
      <dgm:prSet/>
      <dgm:spPr/>
      <dgm:t>
        <a:bodyPr/>
        <a:lstStyle/>
        <a:p>
          <a:endParaRPr lang="en-US" b="1"/>
        </a:p>
      </dgm:t>
    </dgm:pt>
    <dgm:pt modelId="{35FA1562-B528-44AA-9628-A8C676EFE73B}" type="sibTrans" cxnId="{3D6042B5-000E-4EEE-ADCD-BB20487360AA}">
      <dgm:prSet/>
      <dgm:spPr/>
      <dgm:t>
        <a:bodyPr/>
        <a:lstStyle/>
        <a:p>
          <a:endParaRPr lang="en-US" b="1"/>
        </a:p>
      </dgm:t>
    </dgm:pt>
    <dgm:pt modelId="{EB92E984-43FB-48BA-84A0-AF7C82B13DC6}">
      <dgm:prSet phldrT="[Text]" custT="1"/>
      <dgm:spPr/>
      <dgm:t>
        <a:bodyPr/>
        <a:lstStyle/>
        <a:p>
          <a:r>
            <a:rPr lang="ro-RO" sz="1200" b="1"/>
            <a:t>Companiile din domeniul IT și CDI</a:t>
          </a:r>
          <a:endParaRPr lang="en-US" sz="1200" b="1"/>
        </a:p>
      </dgm:t>
    </dgm:pt>
    <dgm:pt modelId="{30205E9C-26D4-43C2-B4D4-8E2144284D72}" type="parTrans" cxnId="{2CA51284-2ADA-43C1-834E-2DEB686F2B6F}">
      <dgm:prSet/>
      <dgm:spPr/>
      <dgm:t>
        <a:bodyPr/>
        <a:lstStyle/>
        <a:p>
          <a:endParaRPr lang="en-US" b="1"/>
        </a:p>
      </dgm:t>
    </dgm:pt>
    <dgm:pt modelId="{D4F379A5-9FB4-4D3D-BB0D-F8E917021898}" type="sibTrans" cxnId="{2CA51284-2ADA-43C1-834E-2DEB686F2B6F}">
      <dgm:prSet/>
      <dgm:spPr/>
      <dgm:t>
        <a:bodyPr/>
        <a:lstStyle/>
        <a:p>
          <a:endParaRPr lang="en-US" b="1"/>
        </a:p>
      </dgm:t>
    </dgm:pt>
    <dgm:pt modelId="{F2CDCB11-8FD1-4AE2-853B-7E6457A2F1EA}" type="pres">
      <dgm:prSet presAssocID="{705A4ED1-4F70-4150-965F-AF413A1FFFB6}" presName="diagram" presStyleCnt="0">
        <dgm:presLayoutVars>
          <dgm:dir/>
          <dgm:resizeHandles val="exact"/>
        </dgm:presLayoutVars>
      </dgm:prSet>
      <dgm:spPr/>
    </dgm:pt>
    <dgm:pt modelId="{389DD6E8-A4CA-4C60-9C64-6AEF71FA8028}" type="pres">
      <dgm:prSet presAssocID="{46CE4B48-C2FE-4668-8E66-A430D559D36C}" presName="node" presStyleLbl="node1" presStyleIdx="0" presStyleCnt="20">
        <dgm:presLayoutVars>
          <dgm:bulletEnabled val="1"/>
        </dgm:presLayoutVars>
      </dgm:prSet>
      <dgm:spPr/>
    </dgm:pt>
    <dgm:pt modelId="{932A1D1B-719C-43F0-9FB1-61D787FE6144}" type="pres">
      <dgm:prSet presAssocID="{D9D334B9-F8E7-4AA0-A607-2A656761BDDE}" presName="sibTrans" presStyleCnt="0"/>
      <dgm:spPr/>
    </dgm:pt>
    <dgm:pt modelId="{B6BFB047-00BF-47D9-8751-10728A0D4AE3}" type="pres">
      <dgm:prSet presAssocID="{483B0BFB-31CD-4745-AD64-B03E4D2690AA}" presName="node" presStyleLbl="node1" presStyleIdx="1" presStyleCnt="20">
        <dgm:presLayoutVars>
          <dgm:bulletEnabled val="1"/>
        </dgm:presLayoutVars>
      </dgm:prSet>
      <dgm:spPr/>
    </dgm:pt>
    <dgm:pt modelId="{8B111FF2-3B0D-42B2-9902-4DAC915D8040}" type="pres">
      <dgm:prSet presAssocID="{4CF7A3E8-CBDF-485F-B0EE-7C47A03C8FFC}" presName="sibTrans" presStyleCnt="0"/>
      <dgm:spPr/>
    </dgm:pt>
    <dgm:pt modelId="{E2B484FA-06AE-4983-8AFB-3C1A58C0C54E}" type="pres">
      <dgm:prSet presAssocID="{1DA32A5A-ACDE-499B-96A4-A82377A6424C}" presName="node" presStyleLbl="node1" presStyleIdx="2" presStyleCnt="20">
        <dgm:presLayoutVars>
          <dgm:bulletEnabled val="1"/>
        </dgm:presLayoutVars>
      </dgm:prSet>
      <dgm:spPr/>
    </dgm:pt>
    <dgm:pt modelId="{B4956173-9EB1-4B82-9836-7E0111A50651}" type="pres">
      <dgm:prSet presAssocID="{62DFA2B2-ACAB-47A7-BF8B-193E9D12ACE7}" presName="sibTrans" presStyleCnt="0"/>
      <dgm:spPr/>
    </dgm:pt>
    <dgm:pt modelId="{77C10437-EC59-4E48-A004-1480EA0E956C}" type="pres">
      <dgm:prSet presAssocID="{6E8AF6D5-F862-4109-B433-EAB73D0C9BEC}" presName="node" presStyleLbl="node1" presStyleIdx="3" presStyleCnt="20">
        <dgm:presLayoutVars>
          <dgm:bulletEnabled val="1"/>
        </dgm:presLayoutVars>
      </dgm:prSet>
      <dgm:spPr/>
    </dgm:pt>
    <dgm:pt modelId="{CE6E17EC-5F6C-468D-AAC0-88C82D0F755B}" type="pres">
      <dgm:prSet presAssocID="{D941EEDD-DDC4-43C6-AD1F-A2ADAFD37D58}" presName="sibTrans" presStyleCnt="0"/>
      <dgm:spPr/>
    </dgm:pt>
    <dgm:pt modelId="{A2B95213-D121-4CB5-9B82-3DC0443D8FC2}" type="pres">
      <dgm:prSet presAssocID="{00FA147C-5993-42C3-A287-72D51AC5510F}" presName="node" presStyleLbl="node1" presStyleIdx="4" presStyleCnt="20">
        <dgm:presLayoutVars>
          <dgm:bulletEnabled val="1"/>
        </dgm:presLayoutVars>
      </dgm:prSet>
      <dgm:spPr/>
    </dgm:pt>
    <dgm:pt modelId="{10680D71-7DE3-4373-A026-CCDC7B5B9B91}" type="pres">
      <dgm:prSet presAssocID="{01A7ED87-1DD5-446D-B370-11E3405F32B1}" presName="sibTrans" presStyleCnt="0"/>
      <dgm:spPr/>
    </dgm:pt>
    <dgm:pt modelId="{3247023D-4247-412C-B0FB-D37A8E6216B1}" type="pres">
      <dgm:prSet presAssocID="{09EDD9FB-CF3E-4886-B0DC-206E82A010CE}" presName="node" presStyleLbl="node1" presStyleIdx="5" presStyleCnt="20">
        <dgm:presLayoutVars>
          <dgm:bulletEnabled val="1"/>
        </dgm:presLayoutVars>
      </dgm:prSet>
      <dgm:spPr/>
    </dgm:pt>
    <dgm:pt modelId="{788237D1-3610-468C-B79D-CEB065E613ED}" type="pres">
      <dgm:prSet presAssocID="{D16BFB61-5B06-4946-838F-CC27561CA4E2}" presName="sibTrans" presStyleCnt="0"/>
      <dgm:spPr/>
    </dgm:pt>
    <dgm:pt modelId="{E1BCEDD9-69BD-48AF-AEFE-A0C61C677306}" type="pres">
      <dgm:prSet presAssocID="{C028B158-F5A5-4118-AE1D-5E6DF50F7E7C}" presName="node" presStyleLbl="node1" presStyleIdx="6" presStyleCnt="20">
        <dgm:presLayoutVars>
          <dgm:bulletEnabled val="1"/>
        </dgm:presLayoutVars>
      </dgm:prSet>
      <dgm:spPr/>
    </dgm:pt>
    <dgm:pt modelId="{0ECCBEF5-1B9A-421B-A6E8-EC4F83C25D6C}" type="pres">
      <dgm:prSet presAssocID="{62432DC0-9F9C-40F8-9E56-497614148D96}" presName="sibTrans" presStyleCnt="0"/>
      <dgm:spPr/>
    </dgm:pt>
    <dgm:pt modelId="{F9391690-9ACB-47E5-A904-4E082A2E7E9C}" type="pres">
      <dgm:prSet presAssocID="{047019A7-8950-4CD7-B1AA-3B82E71F6065}" presName="node" presStyleLbl="node1" presStyleIdx="7" presStyleCnt="20">
        <dgm:presLayoutVars>
          <dgm:bulletEnabled val="1"/>
        </dgm:presLayoutVars>
      </dgm:prSet>
      <dgm:spPr/>
    </dgm:pt>
    <dgm:pt modelId="{0B54044F-2824-4BFE-BCB1-789EF1DF8C43}" type="pres">
      <dgm:prSet presAssocID="{0CF6855A-F218-4551-8C8D-F149951992C2}" presName="sibTrans" presStyleCnt="0"/>
      <dgm:spPr/>
    </dgm:pt>
    <dgm:pt modelId="{EF2A784B-8E76-4356-89E5-66718887EEC6}" type="pres">
      <dgm:prSet presAssocID="{81F1D153-F31C-4B8D-AE34-D2FBFD0C6434}" presName="node" presStyleLbl="node1" presStyleIdx="8" presStyleCnt="20">
        <dgm:presLayoutVars>
          <dgm:bulletEnabled val="1"/>
        </dgm:presLayoutVars>
      </dgm:prSet>
      <dgm:spPr/>
    </dgm:pt>
    <dgm:pt modelId="{9E2075D5-34F0-4415-AA29-B2495CE49B0D}" type="pres">
      <dgm:prSet presAssocID="{7D114D73-0AA1-417A-8293-1C7E3D353FD5}" presName="sibTrans" presStyleCnt="0"/>
      <dgm:spPr/>
    </dgm:pt>
    <dgm:pt modelId="{6A70C533-532B-4208-87A0-95627B93020E}" type="pres">
      <dgm:prSet presAssocID="{C41726A9-BE75-40B0-AFA6-9335E8A6EE05}" presName="node" presStyleLbl="node1" presStyleIdx="9" presStyleCnt="20">
        <dgm:presLayoutVars>
          <dgm:bulletEnabled val="1"/>
        </dgm:presLayoutVars>
      </dgm:prSet>
      <dgm:spPr/>
    </dgm:pt>
    <dgm:pt modelId="{1F1B4786-9CB6-49AE-8657-6590D495AEAD}" type="pres">
      <dgm:prSet presAssocID="{0A993D63-28D8-4ACF-A099-8A6A7F6842F0}" presName="sibTrans" presStyleCnt="0"/>
      <dgm:spPr/>
    </dgm:pt>
    <dgm:pt modelId="{3F965B82-A929-4279-AC7C-EEEFC75FD294}" type="pres">
      <dgm:prSet presAssocID="{AF827AB0-E568-4F20-8387-7B0CD90295BA}" presName="node" presStyleLbl="node1" presStyleIdx="10" presStyleCnt="20">
        <dgm:presLayoutVars>
          <dgm:bulletEnabled val="1"/>
        </dgm:presLayoutVars>
      </dgm:prSet>
      <dgm:spPr/>
    </dgm:pt>
    <dgm:pt modelId="{DA8B5891-C684-4A4E-8F46-B29E5ED52C45}" type="pres">
      <dgm:prSet presAssocID="{6711D7C9-9874-4CD0-91B1-99CA92DC4234}" presName="sibTrans" presStyleCnt="0"/>
      <dgm:spPr/>
    </dgm:pt>
    <dgm:pt modelId="{36FA27AF-330D-4721-9047-4DB1399C0386}" type="pres">
      <dgm:prSet presAssocID="{7F5249CE-6D18-4496-BED2-90949676CC92}" presName="node" presStyleLbl="node1" presStyleIdx="11" presStyleCnt="20">
        <dgm:presLayoutVars>
          <dgm:bulletEnabled val="1"/>
        </dgm:presLayoutVars>
      </dgm:prSet>
      <dgm:spPr/>
    </dgm:pt>
    <dgm:pt modelId="{1F2F5AA6-7C24-4081-B3C2-35839CDEA42A}" type="pres">
      <dgm:prSet presAssocID="{21F010FD-3F4A-4EE2-8B7C-266876389A71}" presName="sibTrans" presStyleCnt="0"/>
      <dgm:spPr/>
    </dgm:pt>
    <dgm:pt modelId="{22190DC8-E874-4DBC-9312-8EA1995F0751}" type="pres">
      <dgm:prSet presAssocID="{29BCE9E7-444A-415E-A43C-5A03A9FEE818}" presName="node" presStyleLbl="node1" presStyleIdx="12" presStyleCnt="20">
        <dgm:presLayoutVars>
          <dgm:bulletEnabled val="1"/>
        </dgm:presLayoutVars>
      </dgm:prSet>
      <dgm:spPr/>
    </dgm:pt>
    <dgm:pt modelId="{A247AABB-4ED7-4789-BCF2-D7AD13C64302}" type="pres">
      <dgm:prSet presAssocID="{C4DE4436-0B0B-448C-A4E6-14F99565A5D8}" presName="sibTrans" presStyleCnt="0"/>
      <dgm:spPr/>
    </dgm:pt>
    <dgm:pt modelId="{D3C879FF-C784-4FA2-ABCD-A505069F2EEE}" type="pres">
      <dgm:prSet presAssocID="{3FDD60B0-AB45-4DC8-AD40-3A3C5341CEF6}" presName="node" presStyleLbl="node1" presStyleIdx="13" presStyleCnt="20">
        <dgm:presLayoutVars>
          <dgm:bulletEnabled val="1"/>
        </dgm:presLayoutVars>
      </dgm:prSet>
      <dgm:spPr/>
    </dgm:pt>
    <dgm:pt modelId="{4C2317FB-5472-4FBF-A02F-8FB6BAB012FD}" type="pres">
      <dgm:prSet presAssocID="{185E9918-0894-45D9-831C-8FD8B29DEE45}" presName="sibTrans" presStyleCnt="0"/>
      <dgm:spPr/>
    </dgm:pt>
    <dgm:pt modelId="{695833BD-5498-4B6B-B7ED-8886866A1741}" type="pres">
      <dgm:prSet presAssocID="{B57D59B1-1123-4733-A8B9-CCD3EA296E68}" presName="node" presStyleLbl="node1" presStyleIdx="14" presStyleCnt="20">
        <dgm:presLayoutVars>
          <dgm:bulletEnabled val="1"/>
        </dgm:presLayoutVars>
      </dgm:prSet>
      <dgm:spPr/>
    </dgm:pt>
    <dgm:pt modelId="{2F8C0106-69CE-4E16-B759-DBC4D8117614}" type="pres">
      <dgm:prSet presAssocID="{A6F8507D-403F-47FE-B43B-0D6EFF5EA676}" presName="sibTrans" presStyleCnt="0"/>
      <dgm:spPr/>
    </dgm:pt>
    <dgm:pt modelId="{13CA6EE3-5EB8-4CC1-9D9C-C8DF82712EFA}" type="pres">
      <dgm:prSet presAssocID="{DBA30026-439C-4F56-9F0B-37C3E51046BB}" presName="node" presStyleLbl="node1" presStyleIdx="15" presStyleCnt="20">
        <dgm:presLayoutVars>
          <dgm:bulletEnabled val="1"/>
        </dgm:presLayoutVars>
      </dgm:prSet>
      <dgm:spPr/>
    </dgm:pt>
    <dgm:pt modelId="{73A0AC77-D1A0-4C3D-8E03-E6DDEE29AD5B}" type="pres">
      <dgm:prSet presAssocID="{027FC4F6-3F98-4246-A012-781F383DF8FD}" presName="sibTrans" presStyleCnt="0"/>
      <dgm:spPr/>
    </dgm:pt>
    <dgm:pt modelId="{BF8085E8-90CF-4798-9606-98B2DA9E0674}" type="pres">
      <dgm:prSet presAssocID="{4B033822-8B78-41B1-AEEF-C0B1DEC1D27C}" presName="node" presStyleLbl="node1" presStyleIdx="16" presStyleCnt="20">
        <dgm:presLayoutVars>
          <dgm:bulletEnabled val="1"/>
        </dgm:presLayoutVars>
      </dgm:prSet>
      <dgm:spPr/>
    </dgm:pt>
    <dgm:pt modelId="{52EB8FC1-7796-46B2-B5AA-2296F85C52B3}" type="pres">
      <dgm:prSet presAssocID="{433E04B3-DFAB-46EB-9E72-BD52FB8C6276}" presName="sibTrans" presStyleCnt="0"/>
      <dgm:spPr/>
    </dgm:pt>
    <dgm:pt modelId="{7A846CDB-38C5-4F4F-ADE0-019A2DEA718A}" type="pres">
      <dgm:prSet presAssocID="{6003E144-7371-489E-B840-F32FF469FEF7}" presName="node" presStyleLbl="node1" presStyleIdx="17" presStyleCnt="20">
        <dgm:presLayoutVars>
          <dgm:bulletEnabled val="1"/>
        </dgm:presLayoutVars>
      </dgm:prSet>
      <dgm:spPr/>
    </dgm:pt>
    <dgm:pt modelId="{1D5B09EF-4E3F-4E05-A9CC-333C55188A36}" type="pres">
      <dgm:prSet presAssocID="{03E4437D-1E7C-41E7-9B8D-9BA70A9A80F9}" presName="sibTrans" presStyleCnt="0"/>
      <dgm:spPr/>
    </dgm:pt>
    <dgm:pt modelId="{51712B5E-7252-4984-872E-56F3AC21E57E}" type="pres">
      <dgm:prSet presAssocID="{E5E4EA4C-D430-4AFB-91CF-E4D14CCC3E63}" presName="node" presStyleLbl="node1" presStyleIdx="18" presStyleCnt="20">
        <dgm:presLayoutVars>
          <dgm:bulletEnabled val="1"/>
        </dgm:presLayoutVars>
      </dgm:prSet>
      <dgm:spPr/>
    </dgm:pt>
    <dgm:pt modelId="{DF35B1E4-11F4-43E9-8270-689016F1BB29}" type="pres">
      <dgm:prSet presAssocID="{35FA1562-B528-44AA-9628-A8C676EFE73B}" presName="sibTrans" presStyleCnt="0"/>
      <dgm:spPr/>
    </dgm:pt>
    <dgm:pt modelId="{A6E7FEE0-983A-488B-AB3F-A09370621427}" type="pres">
      <dgm:prSet presAssocID="{EB92E984-43FB-48BA-84A0-AF7C82B13DC6}" presName="node" presStyleLbl="node1" presStyleIdx="19" presStyleCnt="20">
        <dgm:presLayoutVars>
          <dgm:bulletEnabled val="1"/>
        </dgm:presLayoutVars>
      </dgm:prSet>
      <dgm:spPr/>
    </dgm:pt>
  </dgm:ptLst>
  <dgm:cxnLst>
    <dgm:cxn modelId="{ADDD540D-8B54-4D2B-BEB0-6DC1E2CB2518}" srcId="{705A4ED1-4F70-4150-965F-AF413A1FFFB6}" destId="{7F5249CE-6D18-4496-BED2-90949676CC92}" srcOrd="11" destOrd="0" parTransId="{0E38F8BA-09AA-4642-B23E-F7DA1C7A06D7}" sibTransId="{21F010FD-3F4A-4EE2-8B7C-266876389A71}"/>
    <dgm:cxn modelId="{85073B12-785D-4AE8-A190-B572BA0533A1}" type="presOf" srcId="{7F5249CE-6D18-4496-BED2-90949676CC92}" destId="{36FA27AF-330D-4721-9047-4DB1399C0386}" srcOrd="0" destOrd="0" presId="urn:microsoft.com/office/officeart/2005/8/layout/default"/>
    <dgm:cxn modelId="{B5ADB114-F241-4452-BEA7-CC4B48A41593}" srcId="{705A4ED1-4F70-4150-965F-AF413A1FFFB6}" destId="{DBA30026-439C-4F56-9F0B-37C3E51046BB}" srcOrd="15" destOrd="0" parTransId="{F45EFA3F-AC7F-43E5-9D52-DE257A7DF344}" sibTransId="{027FC4F6-3F98-4246-A012-781F383DF8FD}"/>
    <dgm:cxn modelId="{6648DA20-F238-40F3-B342-57F3AEBAB752}" srcId="{705A4ED1-4F70-4150-965F-AF413A1FFFB6}" destId="{047019A7-8950-4CD7-B1AA-3B82E71F6065}" srcOrd="7" destOrd="0" parTransId="{DAE17257-88BC-4C9F-9CA2-B503A4EBBD89}" sibTransId="{0CF6855A-F218-4551-8C8D-F149951992C2}"/>
    <dgm:cxn modelId="{8181E521-3837-4F51-88E9-D719A0851C6E}" srcId="{705A4ED1-4F70-4150-965F-AF413A1FFFB6}" destId="{C028B158-F5A5-4118-AE1D-5E6DF50F7E7C}" srcOrd="6" destOrd="0" parTransId="{1429A292-FD57-4F1F-837B-F1316C5981C8}" sibTransId="{62432DC0-9F9C-40F8-9E56-497614148D96}"/>
    <dgm:cxn modelId="{AB75D927-386D-4393-991A-2A5534360A8C}" type="presOf" srcId="{483B0BFB-31CD-4745-AD64-B03E4D2690AA}" destId="{B6BFB047-00BF-47D9-8751-10728A0D4AE3}" srcOrd="0" destOrd="0" presId="urn:microsoft.com/office/officeart/2005/8/layout/default"/>
    <dgm:cxn modelId="{518C0B29-DB6B-425E-A0D3-6F42C60494DF}" type="presOf" srcId="{B57D59B1-1123-4733-A8B9-CCD3EA296E68}" destId="{695833BD-5498-4B6B-B7ED-8886866A1741}" srcOrd="0" destOrd="0" presId="urn:microsoft.com/office/officeart/2005/8/layout/default"/>
    <dgm:cxn modelId="{CA8A1B3B-B4BD-4A05-8E30-834A68E173DB}" type="presOf" srcId="{DBA30026-439C-4F56-9F0B-37C3E51046BB}" destId="{13CA6EE3-5EB8-4CC1-9D9C-C8DF82712EFA}" srcOrd="0" destOrd="0" presId="urn:microsoft.com/office/officeart/2005/8/layout/default"/>
    <dgm:cxn modelId="{20A7733F-2F78-408F-8925-69E783473DAE}" type="presOf" srcId="{C028B158-F5A5-4118-AE1D-5E6DF50F7E7C}" destId="{E1BCEDD9-69BD-48AF-AEFE-A0C61C677306}" srcOrd="0" destOrd="0" presId="urn:microsoft.com/office/officeart/2005/8/layout/default"/>
    <dgm:cxn modelId="{2E97415D-9121-4112-90F3-BC3839144861}" type="presOf" srcId="{6003E144-7371-489E-B840-F32FF469FEF7}" destId="{7A846CDB-38C5-4F4F-ADE0-019A2DEA718A}" srcOrd="0" destOrd="0" presId="urn:microsoft.com/office/officeart/2005/8/layout/default"/>
    <dgm:cxn modelId="{9FBAA95F-E7F0-4FD7-8504-EE8ECCE81BCA}" srcId="{705A4ED1-4F70-4150-965F-AF413A1FFFB6}" destId="{AF827AB0-E568-4F20-8387-7B0CD90295BA}" srcOrd="10" destOrd="0" parTransId="{CAF09C6E-A993-45B3-BF44-84C28A181598}" sibTransId="{6711D7C9-9874-4CD0-91B1-99CA92DC4234}"/>
    <dgm:cxn modelId="{8D5CA066-5B99-41B1-B9AD-E8045E3950EF}" type="presOf" srcId="{29BCE9E7-444A-415E-A43C-5A03A9FEE818}" destId="{22190DC8-E874-4DBC-9312-8EA1995F0751}" srcOrd="0" destOrd="0" presId="urn:microsoft.com/office/officeart/2005/8/layout/default"/>
    <dgm:cxn modelId="{AB31F249-9665-437C-A17A-E1C617A15440}" srcId="{705A4ED1-4F70-4150-965F-AF413A1FFFB6}" destId="{4B033822-8B78-41B1-AEEF-C0B1DEC1D27C}" srcOrd="16" destOrd="0" parTransId="{9DB0E6C9-B345-4C30-9AB3-64B263ECA9E1}" sibTransId="{433E04B3-DFAB-46EB-9E72-BD52FB8C6276}"/>
    <dgm:cxn modelId="{2887846D-6E40-458E-ACA5-8E4F2B4469A7}" srcId="{705A4ED1-4F70-4150-965F-AF413A1FFFB6}" destId="{00FA147C-5993-42C3-A287-72D51AC5510F}" srcOrd="4" destOrd="0" parTransId="{97CE3230-3336-4C81-9E28-F804BD9FB265}" sibTransId="{01A7ED87-1DD5-446D-B370-11E3405F32B1}"/>
    <dgm:cxn modelId="{FE681C7E-117E-43FE-B401-57C50790B6E6}" type="presOf" srcId="{3FDD60B0-AB45-4DC8-AD40-3A3C5341CEF6}" destId="{D3C879FF-C784-4FA2-ABCD-A505069F2EEE}" srcOrd="0" destOrd="0" presId="urn:microsoft.com/office/officeart/2005/8/layout/default"/>
    <dgm:cxn modelId="{8ECF4E7E-8737-4AA3-A664-A52A525EC57D}" type="presOf" srcId="{4B033822-8B78-41B1-AEEF-C0B1DEC1D27C}" destId="{BF8085E8-90CF-4798-9606-98B2DA9E0674}" srcOrd="0" destOrd="0" presId="urn:microsoft.com/office/officeart/2005/8/layout/default"/>
    <dgm:cxn modelId="{9D46C680-1631-4185-B1AC-364EB552F4D0}" type="presOf" srcId="{E5E4EA4C-D430-4AFB-91CF-E4D14CCC3E63}" destId="{51712B5E-7252-4984-872E-56F3AC21E57E}" srcOrd="0" destOrd="0" presId="urn:microsoft.com/office/officeart/2005/8/layout/default"/>
    <dgm:cxn modelId="{C36DCE83-7002-4FBA-9BD4-9AD5A2DEE924}" type="presOf" srcId="{C41726A9-BE75-40B0-AFA6-9335E8A6EE05}" destId="{6A70C533-532B-4208-87A0-95627B93020E}" srcOrd="0" destOrd="0" presId="urn:microsoft.com/office/officeart/2005/8/layout/default"/>
    <dgm:cxn modelId="{2CA51284-2ADA-43C1-834E-2DEB686F2B6F}" srcId="{705A4ED1-4F70-4150-965F-AF413A1FFFB6}" destId="{EB92E984-43FB-48BA-84A0-AF7C82B13DC6}" srcOrd="19" destOrd="0" parTransId="{30205E9C-26D4-43C2-B4D4-8E2144284D72}" sibTransId="{D4F379A5-9FB4-4D3D-BB0D-F8E917021898}"/>
    <dgm:cxn modelId="{443D6192-CAA4-40C5-85FC-BA6BE9BF7C94}" type="presOf" srcId="{1DA32A5A-ACDE-499B-96A4-A82377A6424C}" destId="{E2B484FA-06AE-4983-8AFB-3C1A58C0C54E}" srcOrd="0" destOrd="0" presId="urn:microsoft.com/office/officeart/2005/8/layout/default"/>
    <dgm:cxn modelId="{792E15A2-C753-4E7E-B064-830D8323E86C}" type="presOf" srcId="{46CE4B48-C2FE-4668-8E66-A430D559D36C}" destId="{389DD6E8-A4CA-4C60-9C64-6AEF71FA8028}" srcOrd="0" destOrd="0" presId="urn:microsoft.com/office/officeart/2005/8/layout/default"/>
    <dgm:cxn modelId="{48EED5A3-495B-45F3-99F9-A4A02254C46C}" type="presOf" srcId="{705A4ED1-4F70-4150-965F-AF413A1FFFB6}" destId="{F2CDCB11-8FD1-4AE2-853B-7E6457A2F1EA}" srcOrd="0" destOrd="0" presId="urn:microsoft.com/office/officeart/2005/8/layout/default"/>
    <dgm:cxn modelId="{F988AAA8-8761-472A-A921-BFAF099DB7EC}" srcId="{705A4ED1-4F70-4150-965F-AF413A1FFFB6}" destId="{6003E144-7371-489E-B840-F32FF469FEF7}" srcOrd="17" destOrd="0" parTransId="{A7FA9B02-1A58-4260-AE46-3C24986B65D7}" sibTransId="{03E4437D-1E7C-41E7-9B8D-9BA70A9A80F9}"/>
    <dgm:cxn modelId="{C5C1BAA9-A27A-44D4-9C2E-CF4D3B6D62EB}" srcId="{705A4ED1-4F70-4150-965F-AF413A1FFFB6}" destId="{3FDD60B0-AB45-4DC8-AD40-3A3C5341CEF6}" srcOrd="13" destOrd="0" parTransId="{0E0276D8-2DC7-4EDB-98EF-8CD8CDF55EB5}" sibTransId="{185E9918-0894-45D9-831C-8FD8B29DEE45}"/>
    <dgm:cxn modelId="{0CE047AC-B3BA-44C4-8307-D6819D211714}" srcId="{705A4ED1-4F70-4150-965F-AF413A1FFFB6}" destId="{1DA32A5A-ACDE-499B-96A4-A82377A6424C}" srcOrd="2" destOrd="0" parTransId="{F5CCC03C-D2FA-4324-A3BF-0CA9440590C5}" sibTransId="{62DFA2B2-ACAB-47A7-BF8B-193E9D12ACE7}"/>
    <dgm:cxn modelId="{27EABCB1-F8D0-4D86-941B-4A917F8B0B87}" type="presOf" srcId="{81F1D153-F31C-4B8D-AE34-D2FBFD0C6434}" destId="{EF2A784B-8E76-4356-89E5-66718887EEC6}" srcOrd="0" destOrd="0" presId="urn:microsoft.com/office/officeart/2005/8/layout/default"/>
    <dgm:cxn modelId="{316204B2-DA99-4BA1-BFEF-6ED36EEE2938}" type="presOf" srcId="{AF827AB0-E568-4F20-8387-7B0CD90295BA}" destId="{3F965B82-A929-4279-AC7C-EEEFC75FD294}" srcOrd="0" destOrd="0" presId="urn:microsoft.com/office/officeart/2005/8/layout/default"/>
    <dgm:cxn modelId="{3D6042B5-000E-4EEE-ADCD-BB20487360AA}" srcId="{705A4ED1-4F70-4150-965F-AF413A1FFFB6}" destId="{E5E4EA4C-D430-4AFB-91CF-E4D14CCC3E63}" srcOrd="18" destOrd="0" parTransId="{AF387BBA-498C-4AC7-A73D-3968173B339C}" sibTransId="{35FA1562-B528-44AA-9628-A8C676EFE73B}"/>
    <dgm:cxn modelId="{9E466CB8-B520-4727-8B2C-BC872195C052}" type="presOf" srcId="{00FA147C-5993-42C3-A287-72D51AC5510F}" destId="{A2B95213-D121-4CB5-9B82-3DC0443D8FC2}" srcOrd="0" destOrd="0" presId="urn:microsoft.com/office/officeart/2005/8/layout/default"/>
    <dgm:cxn modelId="{D8B3B4BA-C6BF-4840-B2DD-62722D73B6E6}" srcId="{705A4ED1-4F70-4150-965F-AF413A1FFFB6}" destId="{6E8AF6D5-F862-4109-B433-EAB73D0C9BEC}" srcOrd="3" destOrd="0" parTransId="{7CF6BF5A-1FCA-46DE-97D5-FA609FDDE773}" sibTransId="{D941EEDD-DDC4-43C6-AD1F-A2ADAFD37D58}"/>
    <dgm:cxn modelId="{A39635BE-BA41-4EA2-B7EF-8441F10579FC}" srcId="{705A4ED1-4F70-4150-965F-AF413A1FFFB6}" destId="{46CE4B48-C2FE-4668-8E66-A430D559D36C}" srcOrd="0" destOrd="0" parTransId="{5AA23F39-979F-44F6-BF1F-631038438552}" sibTransId="{D9D334B9-F8E7-4AA0-A607-2A656761BDDE}"/>
    <dgm:cxn modelId="{D96906C8-922F-4041-A16A-2ED78E485C3E}" type="presOf" srcId="{EB92E984-43FB-48BA-84A0-AF7C82B13DC6}" destId="{A6E7FEE0-983A-488B-AB3F-A09370621427}" srcOrd="0" destOrd="0" presId="urn:microsoft.com/office/officeart/2005/8/layout/default"/>
    <dgm:cxn modelId="{F0909AC8-B697-45B2-BBC8-CC95F49FFB01}" srcId="{705A4ED1-4F70-4150-965F-AF413A1FFFB6}" destId="{483B0BFB-31CD-4745-AD64-B03E4D2690AA}" srcOrd="1" destOrd="0" parTransId="{4452B84B-E98A-49FD-A21C-21F3D21334A9}" sibTransId="{4CF7A3E8-CBDF-485F-B0EE-7C47A03C8FFC}"/>
    <dgm:cxn modelId="{9ADF5BCF-58C9-4D62-AAA9-4D73C6138B9F}" srcId="{705A4ED1-4F70-4150-965F-AF413A1FFFB6}" destId="{B57D59B1-1123-4733-A8B9-CCD3EA296E68}" srcOrd="14" destOrd="0" parTransId="{EE035239-C587-4A9B-9CBC-5958A76CB5F5}" sibTransId="{A6F8507D-403F-47FE-B43B-0D6EFF5EA676}"/>
    <dgm:cxn modelId="{DCF26CD6-CFFA-4024-A0EF-D0D18313DFDA}" srcId="{705A4ED1-4F70-4150-965F-AF413A1FFFB6}" destId="{09EDD9FB-CF3E-4886-B0DC-206E82A010CE}" srcOrd="5" destOrd="0" parTransId="{C75E3D86-D870-43A7-A76A-331EDA3920A7}" sibTransId="{D16BFB61-5B06-4946-838F-CC27561CA4E2}"/>
    <dgm:cxn modelId="{8A4458D7-D70D-42BD-B0AE-24CDF53D7D6C}" type="presOf" srcId="{6E8AF6D5-F862-4109-B433-EAB73D0C9BEC}" destId="{77C10437-EC59-4E48-A004-1480EA0E956C}" srcOrd="0" destOrd="0" presId="urn:microsoft.com/office/officeart/2005/8/layout/default"/>
    <dgm:cxn modelId="{2086FAE2-0F4B-4FB9-AE54-D9CFB60BBF9B}" srcId="{705A4ED1-4F70-4150-965F-AF413A1FFFB6}" destId="{29BCE9E7-444A-415E-A43C-5A03A9FEE818}" srcOrd="12" destOrd="0" parTransId="{821A216D-7429-4ABC-AD41-A8848FE17D8B}" sibTransId="{C4DE4436-0B0B-448C-A4E6-14F99565A5D8}"/>
    <dgm:cxn modelId="{6C1630E5-9D72-43FB-88A5-E2EE18140144}" type="presOf" srcId="{047019A7-8950-4CD7-B1AA-3B82E71F6065}" destId="{F9391690-9ACB-47E5-A904-4E082A2E7E9C}" srcOrd="0" destOrd="0" presId="urn:microsoft.com/office/officeart/2005/8/layout/default"/>
    <dgm:cxn modelId="{D7E940E9-B01D-42F8-BFEE-E112047A19E1}" srcId="{705A4ED1-4F70-4150-965F-AF413A1FFFB6}" destId="{81F1D153-F31C-4B8D-AE34-D2FBFD0C6434}" srcOrd="8" destOrd="0" parTransId="{B8351F00-30F8-4F5F-B34D-23BE4333F64A}" sibTransId="{7D114D73-0AA1-417A-8293-1C7E3D353FD5}"/>
    <dgm:cxn modelId="{9192A3F1-BAB5-407D-9423-BCECD1E47C0C}" srcId="{705A4ED1-4F70-4150-965F-AF413A1FFFB6}" destId="{C41726A9-BE75-40B0-AFA6-9335E8A6EE05}" srcOrd="9" destOrd="0" parTransId="{F169E837-924C-4221-91C1-8725ECD97240}" sibTransId="{0A993D63-28D8-4ACF-A099-8A6A7F6842F0}"/>
    <dgm:cxn modelId="{2CAAA7FE-C3D1-4CEE-A6A9-B0313B7CC278}" type="presOf" srcId="{09EDD9FB-CF3E-4886-B0DC-206E82A010CE}" destId="{3247023D-4247-412C-B0FB-D37A8E6216B1}" srcOrd="0" destOrd="0" presId="urn:microsoft.com/office/officeart/2005/8/layout/default"/>
    <dgm:cxn modelId="{A632BC1C-202F-4B4B-A4D9-4D1144B4EFE1}" type="presParOf" srcId="{F2CDCB11-8FD1-4AE2-853B-7E6457A2F1EA}" destId="{389DD6E8-A4CA-4C60-9C64-6AEF71FA8028}" srcOrd="0" destOrd="0" presId="urn:microsoft.com/office/officeart/2005/8/layout/default"/>
    <dgm:cxn modelId="{BEE6A8CF-3D92-4A42-A99F-2D4DF0432A89}" type="presParOf" srcId="{F2CDCB11-8FD1-4AE2-853B-7E6457A2F1EA}" destId="{932A1D1B-719C-43F0-9FB1-61D787FE6144}" srcOrd="1" destOrd="0" presId="urn:microsoft.com/office/officeart/2005/8/layout/default"/>
    <dgm:cxn modelId="{3586183D-5935-4E9B-87E1-6E267830A8C0}" type="presParOf" srcId="{F2CDCB11-8FD1-4AE2-853B-7E6457A2F1EA}" destId="{B6BFB047-00BF-47D9-8751-10728A0D4AE3}" srcOrd="2" destOrd="0" presId="urn:microsoft.com/office/officeart/2005/8/layout/default"/>
    <dgm:cxn modelId="{6B57175F-523C-4375-82DD-57E70E1C0B70}" type="presParOf" srcId="{F2CDCB11-8FD1-4AE2-853B-7E6457A2F1EA}" destId="{8B111FF2-3B0D-42B2-9902-4DAC915D8040}" srcOrd="3" destOrd="0" presId="urn:microsoft.com/office/officeart/2005/8/layout/default"/>
    <dgm:cxn modelId="{E2FBE2FE-4DD0-4B6A-80A5-3ECD17922F47}" type="presParOf" srcId="{F2CDCB11-8FD1-4AE2-853B-7E6457A2F1EA}" destId="{E2B484FA-06AE-4983-8AFB-3C1A58C0C54E}" srcOrd="4" destOrd="0" presId="urn:microsoft.com/office/officeart/2005/8/layout/default"/>
    <dgm:cxn modelId="{FC6F39EA-59BB-4B7F-9AAF-58EF93E46793}" type="presParOf" srcId="{F2CDCB11-8FD1-4AE2-853B-7E6457A2F1EA}" destId="{B4956173-9EB1-4B82-9836-7E0111A50651}" srcOrd="5" destOrd="0" presId="urn:microsoft.com/office/officeart/2005/8/layout/default"/>
    <dgm:cxn modelId="{49A461D4-ECD4-4545-A739-8A4C91974D18}" type="presParOf" srcId="{F2CDCB11-8FD1-4AE2-853B-7E6457A2F1EA}" destId="{77C10437-EC59-4E48-A004-1480EA0E956C}" srcOrd="6" destOrd="0" presId="urn:microsoft.com/office/officeart/2005/8/layout/default"/>
    <dgm:cxn modelId="{B619DD1E-932A-4CB0-BFEE-A5877926273C}" type="presParOf" srcId="{F2CDCB11-8FD1-4AE2-853B-7E6457A2F1EA}" destId="{CE6E17EC-5F6C-468D-AAC0-88C82D0F755B}" srcOrd="7" destOrd="0" presId="urn:microsoft.com/office/officeart/2005/8/layout/default"/>
    <dgm:cxn modelId="{F305A738-6C8D-4DD6-A5AF-9C04BBE2B17E}" type="presParOf" srcId="{F2CDCB11-8FD1-4AE2-853B-7E6457A2F1EA}" destId="{A2B95213-D121-4CB5-9B82-3DC0443D8FC2}" srcOrd="8" destOrd="0" presId="urn:microsoft.com/office/officeart/2005/8/layout/default"/>
    <dgm:cxn modelId="{1814F622-82EF-4A65-A3CD-166D25E81F7A}" type="presParOf" srcId="{F2CDCB11-8FD1-4AE2-853B-7E6457A2F1EA}" destId="{10680D71-7DE3-4373-A026-CCDC7B5B9B91}" srcOrd="9" destOrd="0" presId="urn:microsoft.com/office/officeart/2005/8/layout/default"/>
    <dgm:cxn modelId="{191E1CEA-DC61-44E0-A27D-D02756D8A94D}" type="presParOf" srcId="{F2CDCB11-8FD1-4AE2-853B-7E6457A2F1EA}" destId="{3247023D-4247-412C-B0FB-D37A8E6216B1}" srcOrd="10" destOrd="0" presId="urn:microsoft.com/office/officeart/2005/8/layout/default"/>
    <dgm:cxn modelId="{8829039B-8FC9-48A0-858C-DF3BA2A183E1}" type="presParOf" srcId="{F2CDCB11-8FD1-4AE2-853B-7E6457A2F1EA}" destId="{788237D1-3610-468C-B79D-CEB065E613ED}" srcOrd="11" destOrd="0" presId="urn:microsoft.com/office/officeart/2005/8/layout/default"/>
    <dgm:cxn modelId="{BF754034-ED47-4951-BB39-0C348D029662}" type="presParOf" srcId="{F2CDCB11-8FD1-4AE2-853B-7E6457A2F1EA}" destId="{E1BCEDD9-69BD-48AF-AEFE-A0C61C677306}" srcOrd="12" destOrd="0" presId="urn:microsoft.com/office/officeart/2005/8/layout/default"/>
    <dgm:cxn modelId="{35F84B10-83A1-49E1-9DB6-6C62445E0078}" type="presParOf" srcId="{F2CDCB11-8FD1-4AE2-853B-7E6457A2F1EA}" destId="{0ECCBEF5-1B9A-421B-A6E8-EC4F83C25D6C}" srcOrd="13" destOrd="0" presId="urn:microsoft.com/office/officeart/2005/8/layout/default"/>
    <dgm:cxn modelId="{8D1419BF-34EF-4636-98CF-552A14A8736F}" type="presParOf" srcId="{F2CDCB11-8FD1-4AE2-853B-7E6457A2F1EA}" destId="{F9391690-9ACB-47E5-A904-4E082A2E7E9C}" srcOrd="14" destOrd="0" presId="urn:microsoft.com/office/officeart/2005/8/layout/default"/>
    <dgm:cxn modelId="{FE320C2F-37A9-48E9-9A68-DDB7B4FF65A2}" type="presParOf" srcId="{F2CDCB11-8FD1-4AE2-853B-7E6457A2F1EA}" destId="{0B54044F-2824-4BFE-BCB1-789EF1DF8C43}" srcOrd="15" destOrd="0" presId="urn:microsoft.com/office/officeart/2005/8/layout/default"/>
    <dgm:cxn modelId="{8D755F2A-1E1E-427F-86A2-F8D07DC76E51}" type="presParOf" srcId="{F2CDCB11-8FD1-4AE2-853B-7E6457A2F1EA}" destId="{EF2A784B-8E76-4356-89E5-66718887EEC6}" srcOrd="16" destOrd="0" presId="urn:microsoft.com/office/officeart/2005/8/layout/default"/>
    <dgm:cxn modelId="{CF7C27F4-FC90-4E6A-BB68-6D9017213DB5}" type="presParOf" srcId="{F2CDCB11-8FD1-4AE2-853B-7E6457A2F1EA}" destId="{9E2075D5-34F0-4415-AA29-B2495CE49B0D}" srcOrd="17" destOrd="0" presId="urn:microsoft.com/office/officeart/2005/8/layout/default"/>
    <dgm:cxn modelId="{9B61048F-6D08-4EA6-8307-3A2936E6D814}" type="presParOf" srcId="{F2CDCB11-8FD1-4AE2-853B-7E6457A2F1EA}" destId="{6A70C533-532B-4208-87A0-95627B93020E}" srcOrd="18" destOrd="0" presId="urn:microsoft.com/office/officeart/2005/8/layout/default"/>
    <dgm:cxn modelId="{2CBDBA07-B535-43E8-A025-213BD3BEAE89}" type="presParOf" srcId="{F2CDCB11-8FD1-4AE2-853B-7E6457A2F1EA}" destId="{1F1B4786-9CB6-49AE-8657-6590D495AEAD}" srcOrd="19" destOrd="0" presId="urn:microsoft.com/office/officeart/2005/8/layout/default"/>
    <dgm:cxn modelId="{E16A22E0-6DED-4A5E-9AFC-3B38B8D1EF36}" type="presParOf" srcId="{F2CDCB11-8FD1-4AE2-853B-7E6457A2F1EA}" destId="{3F965B82-A929-4279-AC7C-EEEFC75FD294}" srcOrd="20" destOrd="0" presId="urn:microsoft.com/office/officeart/2005/8/layout/default"/>
    <dgm:cxn modelId="{425BBA65-5906-4F9F-BA78-593539E527F7}" type="presParOf" srcId="{F2CDCB11-8FD1-4AE2-853B-7E6457A2F1EA}" destId="{DA8B5891-C684-4A4E-8F46-B29E5ED52C45}" srcOrd="21" destOrd="0" presId="urn:microsoft.com/office/officeart/2005/8/layout/default"/>
    <dgm:cxn modelId="{2F4D478B-53BD-4881-AFB1-C6BCDDB4DD74}" type="presParOf" srcId="{F2CDCB11-8FD1-4AE2-853B-7E6457A2F1EA}" destId="{36FA27AF-330D-4721-9047-4DB1399C0386}" srcOrd="22" destOrd="0" presId="urn:microsoft.com/office/officeart/2005/8/layout/default"/>
    <dgm:cxn modelId="{A6D71C46-1FAA-45D5-B577-47A89A97C457}" type="presParOf" srcId="{F2CDCB11-8FD1-4AE2-853B-7E6457A2F1EA}" destId="{1F2F5AA6-7C24-4081-B3C2-35839CDEA42A}" srcOrd="23" destOrd="0" presId="urn:microsoft.com/office/officeart/2005/8/layout/default"/>
    <dgm:cxn modelId="{8504A21C-8F0E-4F4E-A550-3471CA932B70}" type="presParOf" srcId="{F2CDCB11-8FD1-4AE2-853B-7E6457A2F1EA}" destId="{22190DC8-E874-4DBC-9312-8EA1995F0751}" srcOrd="24" destOrd="0" presId="urn:microsoft.com/office/officeart/2005/8/layout/default"/>
    <dgm:cxn modelId="{1FE46AC5-DB89-423C-AEA0-4826DA1F8745}" type="presParOf" srcId="{F2CDCB11-8FD1-4AE2-853B-7E6457A2F1EA}" destId="{A247AABB-4ED7-4789-BCF2-D7AD13C64302}" srcOrd="25" destOrd="0" presId="urn:microsoft.com/office/officeart/2005/8/layout/default"/>
    <dgm:cxn modelId="{6B89E51D-DB49-40D0-9D30-10BEB146040C}" type="presParOf" srcId="{F2CDCB11-8FD1-4AE2-853B-7E6457A2F1EA}" destId="{D3C879FF-C784-4FA2-ABCD-A505069F2EEE}" srcOrd="26" destOrd="0" presId="urn:microsoft.com/office/officeart/2005/8/layout/default"/>
    <dgm:cxn modelId="{CEC16FC8-D5E2-4CE1-B046-A1DAFE04DFCD}" type="presParOf" srcId="{F2CDCB11-8FD1-4AE2-853B-7E6457A2F1EA}" destId="{4C2317FB-5472-4FBF-A02F-8FB6BAB012FD}" srcOrd="27" destOrd="0" presId="urn:microsoft.com/office/officeart/2005/8/layout/default"/>
    <dgm:cxn modelId="{E794ABE3-B391-40CB-8AD7-87879AD2EC50}" type="presParOf" srcId="{F2CDCB11-8FD1-4AE2-853B-7E6457A2F1EA}" destId="{695833BD-5498-4B6B-B7ED-8886866A1741}" srcOrd="28" destOrd="0" presId="urn:microsoft.com/office/officeart/2005/8/layout/default"/>
    <dgm:cxn modelId="{F9BCBBD5-736A-4EF2-8871-FECC2FF46211}" type="presParOf" srcId="{F2CDCB11-8FD1-4AE2-853B-7E6457A2F1EA}" destId="{2F8C0106-69CE-4E16-B759-DBC4D8117614}" srcOrd="29" destOrd="0" presId="urn:microsoft.com/office/officeart/2005/8/layout/default"/>
    <dgm:cxn modelId="{E026AD33-F0DD-47FD-BCC3-EDEE3A590583}" type="presParOf" srcId="{F2CDCB11-8FD1-4AE2-853B-7E6457A2F1EA}" destId="{13CA6EE3-5EB8-4CC1-9D9C-C8DF82712EFA}" srcOrd="30" destOrd="0" presId="urn:microsoft.com/office/officeart/2005/8/layout/default"/>
    <dgm:cxn modelId="{A8B232C5-A1CC-4D97-8BEB-72DD22F90D43}" type="presParOf" srcId="{F2CDCB11-8FD1-4AE2-853B-7E6457A2F1EA}" destId="{73A0AC77-D1A0-4C3D-8E03-E6DDEE29AD5B}" srcOrd="31" destOrd="0" presId="urn:microsoft.com/office/officeart/2005/8/layout/default"/>
    <dgm:cxn modelId="{27DDCA00-4C2C-4925-884A-FF71D03B2A2D}" type="presParOf" srcId="{F2CDCB11-8FD1-4AE2-853B-7E6457A2F1EA}" destId="{BF8085E8-90CF-4798-9606-98B2DA9E0674}" srcOrd="32" destOrd="0" presId="urn:microsoft.com/office/officeart/2005/8/layout/default"/>
    <dgm:cxn modelId="{8CD10256-5988-453F-8A7B-EB6B6B4854CF}" type="presParOf" srcId="{F2CDCB11-8FD1-4AE2-853B-7E6457A2F1EA}" destId="{52EB8FC1-7796-46B2-B5AA-2296F85C52B3}" srcOrd="33" destOrd="0" presId="urn:microsoft.com/office/officeart/2005/8/layout/default"/>
    <dgm:cxn modelId="{C11CFCCD-4AEB-4BC1-8F93-A344C9AF73BE}" type="presParOf" srcId="{F2CDCB11-8FD1-4AE2-853B-7E6457A2F1EA}" destId="{7A846CDB-38C5-4F4F-ADE0-019A2DEA718A}" srcOrd="34" destOrd="0" presId="urn:microsoft.com/office/officeart/2005/8/layout/default"/>
    <dgm:cxn modelId="{A092E408-E9AB-453F-B0A9-CF4324876730}" type="presParOf" srcId="{F2CDCB11-8FD1-4AE2-853B-7E6457A2F1EA}" destId="{1D5B09EF-4E3F-4E05-A9CC-333C55188A36}" srcOrd="35" destOrd="0" presId="urn:microsoft.com/office/officeart/2005/8/layout/default"/>
    <dgm:cxn modelId="{82BDD8D0-1566-490E-A965-8D3C6E961E0C}" type="presParOf" srcId="{F2CDCB11-8FD1-4AE2-853B-7E6457A2F1EA}" destId="{51712B5E-7252-4984-872E-56F3AC21E57E}" srcOrd="36" destOrd="0" presId="urn:microsoft.com/office/officeart/2005/8/layout/default"/>
    <dgm:cxn modelId="{B5D82C4C-E37F-4BC8-8450-5E6E5AA180C3}" type="presParOf" srcId="{F2CDCB11-8FD1-4AE2-853B-7E6457A2F1EA}" destId="{DF35B1E4-11F4-43E9-8270-689016F1BB29}" srcOrd="37" destOrd="0" presId="urn:microsoft.com/office/officeart/2005/8/layout/default"/>
    <dgm:cxn modelId="{78906CBD-4A77-405D-8B5E-4B6A7B1508DE}" type="presParOf" srcId="{F2CDCB11-8FD1-4AE2-853B-7E6457A2F1EA}" destId="{A6E7FEE0-983A-488B-AB3F-A09370621427}" srcOrd="38" destOrd="0" presId="urn:microsoft.com/office/officeart/2005/8/layout/default"/>
  </dgm:cxnLst>
  <dgm:bg/>
  <dgm:whole/>
  <dgm:extLst>
    <a:ext uri="http://schemas.microsoft.com/office/drawing/2008/diagram">
      <dsp:dataModelExt xmlns:dsp="http://schemas.microsoft.com/office/drawing/2008/diagram" relId="rId24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51D8580-43FC-4DB7-BEE0-5325EB0756F0}" type="doc">
      <dgm:prSet loTypeId="urn:microsoft.com/office/officeart/2005/8/layout/default" loCatId="list" qsTypeId="urn:microsoft.com/office/officeart/2005/8/quickstyle/simple1" qsCatId="simple" csTypeId="urn:microsoft.com/office/officeart/2005/8/colors/accent1_3" csCatId="accent1" phldr="1"/>
      <dgm:spPr/>
      <dgm:t>
        <a:bodyPr/>
        <a:lstStyle/>
        <a:p>
          <a:endParaRPr lang="en-US"/>
        </a:p>
      </dgm:t>
    </dgm:pt>
    <dgm:pt modelId="{86B2878C-59DE-47DD-A390-4E4D6B345F4C}">
      <dgm:prSet phldrT="[Text]" custT="1"/>
      <dgm:spPr/>
      <dgm:t>
        <a:bodyPr/>
        <a:lstStyle/>
        <a:p>
          <a:pPr algn="ctr"/>
          <a:r>
            <a:rPr lang="ro-RO" sz="1200" b="1"/>
            <a:t>Proximitatea față de centru</a:t>
          </a:r>
          <a:endParaRPr lang="en-US" sz="1200" b="1"/>
        </a:p>
      </dgm:t>
    </dgm:pt>
    <dgm:pt modelId="{9DC79FF9-85AD-48A1-8539-B724BB7CF6D6}" type="parTrans" cxnId="{6A664917-422F-4041-8976-7D7E9149336E}">
      <dgm:prSet/>
      <dgm:spPr/>
      <dgm:t>
        <a:bodyPr/>
        <a:lstStyle/>
        <a:p>
          <a:pPr algn="ctr"/>
          <a:endParaRPr lang="en-US" sz="1200" b="1"/>
        </a:p>
      </dgm:t>
    </dgm:pt>
    <dgm:pt modelId="{9895710B-6651-4614-BBA6-A9B6C3338379}" type="sibTrans" cxnId="{6A664917-422F-4041-8976-7D7E9149336E}">
      <dgm:prSet/>
      <dgm:spPr/>
      <dgm:t>
        <a:bodyPr/>
        <a:lstStyle/>
        <a:p>
          <a:pPr algn="ctr"/>
          <a:endParaRPr lang="en-US" sz="1200" b="1"/>
        </a:p>
      </dgm:t>
    </dgm:pt>
    <dgm:pt modelId="{5D5ED63D-51F1-4601-AC4A-7EA9D8CB6616}">
      <dgm:prSet phldrT="[Text]" custT="1"/>
      <dgm:spPr/>
      <dgm:t>
        <a:bodyPr/>
        <a:lstStyle/>
        <a:p>
          <a:pPr algn="ctr"/>
          <a:r>
            <a:rPr lang="ro-RO" sz="1200" b="1"/>
            <a:t>Reprezintă zona în care s-au născut și au crescut</a:t>
          </a:r>
          <a:endParaRPr lang="en-US" sz="1200" b="1"/>
        </a:p>
      </dgm:t>
    </dgm:pt>
    <dgm:pt modelId="{2EB2EF08-F9C8-485C-A838-82DB50703A79}" type="parTrans" cxnId="{2E9AEF17-8DB6-47A8-B584-AA045082F9E5}">
      <dgm:prSet/>
      <dgm:spPr/>
      <dgm:t>
        <a:bodyPr/>
        <a:lstStyle/>
        <a:p>
          <a:pPr algn="ctr"/>
          <a:endParaRPr lang="en-US" b="1"/>
        </a:p>
      </dgm:t>
    </dgm:pt>
    <dgm:pt modelId="{C42CE0CB-0773-4CCA-8752-A79AD31901BF}" type="sibTrans" cxnId="{2E9AEF17-8DB6-47A8-B584-AA045082F9E5}">
      <dgm:prSet/>
      <dgm:spPr/>
      <dgm:t>
        <a:bodyPr/>
        <a:lstStyle/>
        <a:p>
          <a:pPr algn="ctr"/>
          <a:endParaRPr lang="en-US" b="1"/>
        </a:p>
      </dgm:t>
    </dgm:pt>
    <dgm:pt modelId="{F5C01CEB-D5EB-4389-8F26-0A0F6C500A6C}">
      <dgm:prSet phldrT="[Text]" custT="1"/>
      <dgm:spPr/>
      <dgm:t>
        <a:bodyPr/>
        <a:lstStyle/>
        <a:p>
          <a:pPr algn="ctr"/>
          <a:r>
            <a:rPr lang="ro-RO" sz="1200" b="1"/>
            <a:t>Obișnuința</a:t>
          </a:r>
          <a:endParaRPr lang="en-US" sz="1200" b="1"/>
        </a:p>
      </dgm:t>
    </dgm:pt>
    <dgm:pt modelId="{1C0AF5BC-7AAF-49D1-97AC-79C423C1669C}" type="parTrans" cxnId="{3AA0275D-6CAD-41A7-B71D-B4178C937866}">
      <dgm:prSet/>
      <dgm:spPr/>
      <dgm:t>
        <a:bodyPr/>
        <a:lstStyle/>
        <a:p>
          <a:pPr algn="ctr"/>
          <a:endParaRPr lang="en-US" b="1"/>
        </a:p>
      </dgm:t>
    </dgm:pt>
    <dgm:pt modelId="{9C5875AB-66AA-47E4-922E-C0BB3EE78711}" type="sibTrans" cxnId="{3AA0275D-6CAD-41A7-B71D-B4178C937866}">
      <dgm:prSet/>
      <dgm:spPr/>
      <dgm:t>
        <a:bodyPr/>
        <a:lstStyle/>
        <a:p>
          <a:pPr algn="ctr"/>
          <a:endParaRPr lang="en-US" b="1"/>
        </a:p>
      </dgm:t>
    </dgm:pt>
    <dgm:pt modelId="{56ADF14F-C4C3-4108-A223-3EB74472C8E2}">
      <dgm:prSet phldrT="[Text]" custT="1"/>
      <dgm:spPr/>
      <dgm:t>
        <a:bodyPr/>
        <a:lstStyle/>
        <a:p>
          <a:pPr algn="ctr"/>
          <a:r>
            <a:rPr lang="ro-RO" sz="1200" b="1"/>
            <a:t>Proximitatea față de familie și prieteni</a:t>
          </a:r>
          <a:endParaRPr lang="en-US" sz="1200" b="1"/>
        </a:p>
      </dgm:t>
    </dgm:pt>
    <dgm:pt modelId="{8498606B-87F1-4571-92E7-6B03B39DB7FF}" type="parTrans" cxnId="{6A8D501B-6C8E-44D5-9FD0-4CF191D2AD60}">
      <dgm:prSet/>
      <dgm:spPr/>
      <dgm:t>
        <a:bodyPr/>
        <a:lstStyle/>
        <a:p>
          <a:pPr algn="ctr"/>
          <a:endParaRPr lang="en-US" b="1"/>
        </a:p>
      </dgm:t>
    </dgm:pt>
    <dgm:pt modelId="{C42377C7-2643-4629-B11F-6E6AA5AA0EF7}" type="sibTrans" cxnId="{6A8D501B-6C8E-44D5-9FD0-4CF191D2AD60}">
      <dgm:prSet/>
      <dgm:spPr/>
      <dgm:t>
        <a:bodyPr/>
        <a:lstStyle/>
        <a:p>
          <a:pPr algn="ctr"/>
          <a:endParaRPr lang="en-US" b="1"/>
        </a:p>
      </dgm:t>
    </dgm:pt>
    <dgm:pt modelId="{254CE6DE-6471-486E-8DF0-7C557885803C}">
      <dgm:prSet phldrT="[Text]" custT="1"/>
      <dgm:spPr/>
      <dgm:t>
        <a:bodyPr/>
        <a:lstStyle/>
        <a:p>
          <a:pPr algn="ctr"/>
          <a:r>
            <a:rPr lang="ro-RO" sz="1200" b="1"/>
            <a:t>Specificul de zonă liniștită</a:t>
          </a:r>
          <a:endParaRPr lang="en-US" sz="1200" b="1"/>
        </a:p>
      </dgm:t>
    </dgm:pt>
    <dgm:pt modelId="{8398ADFB-25E5-44AB-B071-4E410EDB7C8D}" type="parTrans" cxnId="{0CA6762D-27FB-4490-AA1F-99DEC8F4A3C0}">
      <dgm:prSet/>
      <dgm:spPr/>
      <dgm:t>
        <a:bodyPr/>
        <a:lstStyle/>
        <a:p>
          <a:pPr algn="ctr"/>
          <a:endParaRPr lang="en-US" b="1"/>
        </a:p>
      </dgm:t>
    </dgm:pt>
    <dgm:pt modelId="{E2B32F84-96F1-453E-AF1F-1DDF4E8833BB}" type="sibTrans" cxnId="{0CA6762D-27FB-4490-AA1F-99DEC8F4A3C0}">
      <dgm:prSet/>
      <dgm:spPr/>
      <dgm:t>
        <a:bodyPr/>
        <a:lstStyle/>
        <a:p>
          <a:pPr algn="ctr"/>
          <a:endParaRPr lang="en-US" b="1"/>
        </a:p>
      </dgm:t>
    </dgm:pt>
    <dgm:pt modelId="{2078877C-0416-479A-BC32-ADD1843FBAF7}">
      <dgm:prSet phldrT="[Text]" custT="1"/>
      <dgm:spPr/>
      <dgm:t>
        <a:bodyPr/>
        <a:lstStyle/>
        <a:p>
          <a:pPr algn="ctr"/>
          <a:r>
            <a:rPr lang="ro-RO" sz="1200" b="1"/>
            <a:t>Existența spațiilor verzi și a parcurilor</a:t>
          </a:r>
          <a:endParaRPr lang="en-US" sz="1200" b="1"/>
        </a:p>
      </dgm:t>
    </dgm:pt>
    <dgm:pt modelId="{C8FA24CB-1333-402D-B3CC-D2AB81FCEA07}" type="parTrans" cxnId="{994CDD0C-9A5D-4648-A643-852C805ED500}">
      <dgm:prSet/>
      <dgm:spPr/>
      <dgm:t>
        <a:bodyPr/>
        <a:lstStyle/>
        <a:p>
          <a:pPr algn="ctr"/>
          <a:endParaRPr lang="en-US" b="1"/>
        </a:p>
      </dgm:t>
    </dgm:pt>
    <dgm:pt modelId="{BD64D5B9-3712-418F-B9DB-1E21FDD34359}" type="sibTrans" cxnId="{994CDD0C-9A5D-4648-A643-852C805ED500}">
      <dgm:prSet/>
      <dgm:spPr/>
      <dgm:t>
        <a:bodyPr/>
        <a:lstStyle/>
        <a:p>
          <a:pPr algn="ctr"/>
          <a:endParaRPr lang="en-US" b="1"/>
        </a:p>
      </dgm:t>
    </dgm:pt>
    <dgm:pt modelId="{F2DC69D0-43CB-4A50-8CA0-697D567C6BDB}" type="pres">
      <dgm:prSet presAssocID="{F51D8580-43FC-4DB7-BEE0-5325EB0756F0}" presName="diagram" presStyleCnt="0">
        <dgm:presLayoutVars>
          <dgm:dir/>
          <dgm:resizeHandles val="exact"/>
        </dgm:presLayoutVars>
      </dgm:prSet>
      <dgm:spPr/>
    </dgm:pt>
    <dgm:pt modelId="{7FCBAC6C-0E92-489D-A4C8-520219F485C2}" type="pres">
      <dgm:prSet presAssocID="{86B2878C-59DE-47DD-A390-4E4D6B345F4C}" presName="node" presStyleLbl="node1" presStyleIdx="0" presStyleCnt="6">
        <dgm:presLayoutVars>
          <dgm:bulletEnabled val="1"/>
        </dgm:presLayoutVars>
      </dgm:prSet>
      <dgm:spPr/>
    </dgm:pt>
    <dgm:pt modelId="{84F8A37A-3393-4D5F-99C1-060E55A88D52}" type="pres">
      <dgm:prSet presAssocID="{9895710B-6651-4614-BBA6-A9B6C3338379}" presName="sibTrans" presStyleCnt="0"/>
      <dgm:spPr/>
    </dgm:pt>
    <dgm:pt modelId="{98547575-8596-469A-90C4-61875ACBBCD7}" type="pres">
      <dgm:prSet presAssocID="{5D5ED63D-51F1-4601-AC4A-7EA9D8CB6616}" presName="node" presStyleLbl="node1" presStyleIdx="1" presStyleCnt="6">
        <dgm:presLayoutVars>
          <dgm:bulletEnabled val="1"/>
        </dgm:presLayoutVars>
      </dgm:prSet>
      <dgm:spPr/>
    </dgm:pt>
    <dgm:pt modelId="{B7A4B10B-A9FB-4EC5-B4DB-35D18BDD2453}" type="pres">
      <dgm:prSet presAssocID="{C42CE0CB-0773-4CCA-8752-A79AD31901BF}" presName="sibTrans" presStyleCnt="0"/>
      <dgm:spPr/>
    </dgm:pt>
    <dgm:pt modelId="{7B63FF7B-98B0-4562-8F97-684596523108}" type="pres">
      <dgm:prSet presAssocID="{56ADF14F-C4C3-4108-A223-3EB74472C8E2}" presName="node" presStyleLbl="node1" presStyleIdx="2" presStyleCnt="6">
        <dgm:presLayoutVars>
          <dgm:bulletEnabled val="1"/>
        </dgm:presLayoutVars>
      </dgm:prSet>
      <dgm:spPr/>
    </dgm:pt>
    <dgm:pt modelId="{9E752842-0FB4-4F19-8F7E-D3C4D15E7CFF}" type="pres">
      <dgm:prSet presAssocID="{C42377C7-2643-4629-B11F-6E6AA5AA0EF7}" presName="sibTrans" presStyleCnt="0"/>
      <dgm:spPr/>
    </dgm:pt>
    <dgm:pt modelId="{2D28937C-8962-457C-A2DD-17A4903606EF}" type="pres">
      <dgm:prSet presAssocID="{254CE6DE-6471-486E-8DF0-7C557885803C}" presName="node" presStyleLbl="node1" presStyleIdx="3" presStyleCnt="6">
        <dgm:presLayoutVars>
          <dgm:bulletEnabled val="1"/>
        </dgm:presLayoutVars>
      </dgm:prSet>
      <dgm:spPr/>
    </dgm:pt>
    <dgm:pt modelId="{80F07BEF-073A-446E-B7AF-F33D325A4FC1}" type="pres">
      <dgm:prSet presAssocID="{E2B32F84-96F1-453E-AF1F-1DDF4E8833BB}" presName="sibTrans" presStyleCnt="0"/>
      <dgm:spPr/>
    </dgm:pt>
    <dgm:pt modelId="{219E46FF-98F4-418E-8692-7F9B810A1BA3}" type="pres">
      <dgm:prSet presAssocID="{F5C01CEB-D5EB-4389-8F26-0A0F6C500A6C}" presName="node" presStyleLbl="node1" presStyleIdx="4" presStyleCnt="6">
        <dgm:presLayoutVars>
          <dgm:bulletEnabled val="1"/>
        </dgm:presLayoutVars>
      </dgm:prSet>
      <dgm:spPr/>
    </dgm:pt>
    <dgm:pt modelId="{A0DA05EF-6721-489A-AA3B-421678EF26DE}" type="pres">
      <dgm:prSet presAssocID="{9C5875AB-66AA-47E4-922E-C0BB3EE78711}" presName="sibTrans" presStyleCnt="0"/>
      <dgm:spPr/>
    </dgm:pt>
    <dgm:pt modelId="{1A873C22-389E-4CE9-ADDE-A41FDB9BF784}" type="pres">
      <dgm:prSet presAssocID="{2078877C-0416-479A-BC32-ADD1843FBAF7}" presName="node" presStyleLbl="node1" presStyleIdx="5" presStyleCnt="6">
        <dgm:presLayoutVars>
          <dgm:bulletEnabled val="1"/>
        </dgm:presLayoutVars>
      </dgm:prSet>
      <dgm:spPr/>
    </dgm:pt>
  </dgm:ptLst>
  <dgm:cxnLst>
    <dgm:cxn modelId="{994CDD0C-9A5D-4648-A643-852C805ED500}" srcId="{F51D8580-43FC-4DB7-BEE0-5325EB0756F0}" destId="{2078877C-0416-479A-BC32-ADD1843FBAF7}" srcOrd="5" destOrd="0" parTransId="{C8FA24CB-1333-402D-B3CC-D2AB81FCEA07}" sibTransId="{BD64D5B9-3712-418F-B9DB-1E21FDD34359}"/>
    <dgm:cxn modelId="{6A664917-422F-4041-8976-7D7E9149336E}" srcId="{F51D8580-43FC-4DB7-BEE0-5325EB0756F0}" destId="{86B2878C-59DE-47DD-A390-4E4D6B345F4C}" srcOrd="0" destOrd="0" parTransId="{9DC79FF9-85AD-48A1-8539-B724BB7CF6D6}" sibTransId="{9895710B-6651-4614-BBA6-A9B6C3338379}"/>
    <dgm:cxn modelId="{2E9AEF17-8DB6-47A8-B584-AA045082F9E5}" srcId="{F51D8580-43FC-4DB7-BEE0-5325EB0756F0}" destId="{5D5ED63D-51F1-4601-AC4A-7EA9D8CB6616}" srcOrd="1" destOrd="0" parTransId="{2EB2EF08-F9C8-485C-A838-82DB50703A79}" sibTransId="{C42CE0CB-0773-4CCA-8752-A79AD31901BF}"/>
    <dgm:cxn modelId="{6A8D501B-6C8E-44D5-9FD0-4CF191D2AD60}" srcId="{F51D8580-43FC-4DB7-BEE0-5325EB0756F0}" destId="{56ADF14F-C4C3-4108-A223-3EB74472C8E2}" srcOrd="2" destOrd="0" parTransId="{8498606B-87F1-4571-92E7-6B03B39DB7FF}" sibTransId="{C42377C7-2643-4629-B11F-6E6AA5AA0EF7}"/>
    <dgm:cxn modelId="{B2F2922A-794F-44F7-90ED-521339EDB650}" type="presOf" srcId="{F51D8580-43FC-4DB7-BEE0-5325EB0756F0}" destId="{F2DC69D0-43CB-4A50-8CA0-697D567C6BDB}" srcOrd="0" destOrd="0" presId="urn:microsoft.com/office/officeart/2005/8/layout/default"/>
    <dgm:cxn modelId="{0CA6762D-27FB-4490-AA1F-99DEC8F4A3C0}" srcId="{F51D8580-43FC-4DB7-BEE0-5325EB0756F0}" destId="{254CE6DE-6471-486E-8DF0-7C557885803C}" srcOrd="3" destOrd="0" parTransId="{8398ADFB-25E5-44AB-B071-4E410EDB7C8D}" sibTransId="{E2B32F84-96F1-453E-AF1F-1DDF4E8833BB}"/>
    <dgm:cxn modelId="{FA72212F-E54F-4DB4-B338-8E3E2D6AD18B}" type="presOf" srcId="{5D5ED63D-51F1-4601-AC4A-7EA9D8CB6616}" destId="{98547575-8596-469A-90C4-61875ACBBCD7}" srcOrd="0" destOrd="0" presId="urn:microsoft.com/office/officeart/2005/8/layout/default"/>
    <dgm:cxn modelId="{3AA0275D-6CAD-41A7-B71D-B4178C937866}" srcId="{F51D8580-43FC-4DB7-BEE0-5325EB0756F0}" destId="{F5C01CEB-D5EB-4389-8F26-0A0F6C500A6C}" srcOrd="4" destOrd="0" parTransId="{1C0AF5BC-7AAF-49D1-97AC-79C423C1669C}" sibTransId="{9C5875AB-66AA-47E4-922E-C0BB3EE78711}"/>
    <dgm:cxn modelId="{4233EC60-DC49-4CEF-8792-8C986E47745C}" type="presOf" srcId="{86B2878C-59DE-47DD-A390-4E4D6B345F4C}" destId="{7FCBAC6C-0E92-489D-A4C8-520219F485C2}" srcOrd="0" destOrd="0" presId="urn:microsoft.com/office/officeart/2005/8/layout/default"/>
    <dgm:cxn modelId="{4D029361-72D1-49E5-A23C-BBB2578A400C}" type="presOf" srcId="{254CE6DE-6471-486E-8DF0-7C557885803C}" destId="{2D28937C-8962-457C-A2DD-17A4903606EF}" srcOrd="0" destOrd="0" presId="urn:microsoft.com/office/officeart/2005/8/layout/default"/>
    <dgm:cxn modelId="{B6560788-1276-429E-8D1F-66621A1DBAF5}" type="presOf" srcId="{F5C01CEB-D5EB-4389-8F26-0A0F6C500A6C}" destId="{219E46FF-98F4-418E-8692-7F9B810A1BA3}" srcOrd="0" destOrd="0" presId="urn:microsoft.com/office/officeart/2005/8/layout/default"/>
    <dgm:cxn modelId="{8E536C9B-A805-44E3-81D5-F28A5ADDC4B8}" type="presOf" srcId="{2078877C-0416-479A-BC32-ADD1843FBAF7}" destId="{1A873C22-389E-4CE9-ADDE-A41FDB9BF784}" srcOrd="0" destOrd="0" presId="urn:microsoft.com/office/officeart/2005/8/layout/default"/>
    <dgm:cxn modelId="{E8A440EF-DA3E-4D6C-ADEC-8F713FD10391}" type="presOf" srcId="{56ADF14F-C4C3-4108-A223-3EB74472C8E2}" destId="{7B63FF7B-98B0-4562-8F97-684596523108}" srcOrd="0" destOrd="0" presId="urn:microsoft.com/office/officeart/2005/8/layout/default"/>
    <dgm:cxn modelId="{D028BD19-2BA2-4080-889B-A21FDD09B117}" type="presParOf" srcId="{F2DC69D0-43CB-4A50-8CA0-697D567C6BDB}" destId="{7FCBAC6C-0E92-489D-A4C8-520219F485C2}" srcOrd="0" destOrd="0" presId="urn:microsoft.com/office/officeart/2005/8/layout/default"/>
    <dgm:cxn modelId="{F440FC11-E385-4EB3-9181-D46777A5F4E3}" type="presParOf" srcId="{F2DC69D0-43CB-4A50-8CA0-697D567C6BDB}" destId="{84F8A37A-3393-4D5F-99C1-060E55A88D52}" srcOrd="1" destOrd="0" presId="urn:microsoft.com/office/officeart/2005/8/layout/default"/>
    <dgm:cxn modelId="{8360C6A8-93C9-4A6C-83DB-2D63EE46A48C}" type="presParOf" srcId="{F2DC69D0-43CB-4A50-8CA0-697D567C6BDB}" destId="{98547575-8596-469A-90C4-61875ACBBCD7}" srcOrd="2" destOrd="0" presId="urn:microsoft.com/office/officeart/2005/8/layout/default"/>
    <dgm:cxn modelId="{FAB9151D-0E9B-411F-B71B-DE6456FA4126}" type="presParOf" srcId="{F2DC69D0-43CB-4A50-8CA0-697D567C6BDB}" destId="{B7A4B10B-A9FB-4EC5-B4DB-35D18BDD2453}" srcOrd="3" destOrd="0" presId="urn:microsoft.com/office/officeart/2005/8/layout/default"/>
    <dgm:cxn modelId="{EC96F582-BE12-4B2F-9489-45861A0A60B7}" type="presParOf" srcId="{F2DC69D0-43CB-4A50-8CA0-697D567C6BDB}" destId="{7B63FF7B-98B0-4562-8F97-684596523108}" srcOrd="4" destOrd="0" presId="urn:microsoft.com/office/officeart/2005/8/layout/default"/>
    <dgm:cxn modelId="{48203FC5-1610-4E24-B484-76F92ABD2550}" type="presParOf" srcId="{F2DC69D0-43CB-4A50-8CA0-697D567C6BDB}" destId="{9E752842-0FB4-4F19-8F7E-D3C4D15E7CFF}" srcOrd="5" destOrd="0" presId="urn:microsoft.com/office/officeart/2005/8/layout/default"/>
    <dgm:cxn modelId="{3AD93DE9-58A2-4872-9DA3-6671FFB003E0}" type="presParOf" srcId="{F2DC69D0-43CB-4A50-8CA0-697D567C6BDB}" destId="{2D28937C-8962-457C-A2DD-17A4903606EF}" srcOrd="6" destOrd="0" presId="urn:microsoft.com/office/officeart/2005/8/layout/default"/>
    <dgm:cxn modelId="{CB4B5B02-73BA-4F9C-A438-23AA0641AD62}" type="presParOf" srcId="{F2DC69D0-43CB-4A50-8CA0-697D567C6BDB}" destId="{80F07BEF-073A-446E-B7AF-F33D325A4FC1}" srcOrd="7" destOrd="0" presId="urn:microsoft.com/office/officeart/2005/8/layout/default"/>
    <dgm:cxn modelId="{B001C881-1073-47B7-A91E-B7230F18F5A7}" type="presParOf" srcId="{F2DC69D0-43CB-4A50-8CA0-697D567C6BDB}" destId="{219E46FF-98F4-418E-8692-7F9B810A1BA3}" srcOrd="8" destOrd="0" presId="urn:microsoft.com/office/officeart/2005/8/layout/default"/>
    <dgm:cxn modelId="{3ED8CC8E-1A9E-4D44-AD76-E09C6763562F}" type="presParOf" srcId="{F2DC69D0-43CB-4A50-8CA0-697D567C6BDB}" destId="{A0DA05EF-6721-489A-AA3B-421678EF26DE}" srcOrd="9" destOrd="0" presId="urn:microsoft.com/office/officeart/2005/8/layout/default"/>
    <dgm:cxn modelId="{FCA11004-4FA5-471D-954F-3AFFA8EF53FB}" type="presParOf" srcId="{F2DC69D0-43CB-4A50-8CA0-697D567C6BDB}" destId="{1A873C22-389E-4CE9-ADDE-A41FDB9BF784}" srcOrd="10" destOrd="0" presId="urn:microsoft.com/office/officeart/2005/8/layout/default"/>
  </dgm:cxnLst>
  <dgm:bg/>
  <dgm:whole/>
  <dgm:extLst>
    <a:ext uri="http://schemas.microsoft.com/office/drawing/2008/diagram">
      <dsp:dataModelExt xmlns:dsp="http://schemas.microsoft.com/office/drawing/2008/diagram" relId="rId2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E97CA7-B872-4750-9ECD-259067E0E40F}">
      <dsp:nvSpPr>
        <dsp:cNvPr id="0" name=""/>
        <dsp:cNvSpPr/>
      </dsp:nvSpPr>
      <dsp:spPr>
        <a:xfrm rot="5400000">
          <a:off x="2616289" y="90331"/>
          <a:ext cx="1377900" cy="1198773"/>
        </a:xfrm>
        <a:prstGeom prst="hexagon">
          <a:avLst>
            <a:gd name="adj" fmla="val 25000"/>
            <a:gd name="vf" fmla="val 1154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o-RO" sz="900" b="1" kern="1200" dirty="0"/>
            <a:t>CONCENTRARE TERITORIALĂ</a:t>
          </a:r>
          <a:endParaRPr lang="en-GB" sz="900" b="1" kern="1200" dirty="0"/>
        </a:p>
      </dsp:txBody>
      <dsp:txXfrm rot="-5400000">
        <a:off x="2892661" y="215491"/>
        <a:ext cx="825155" cy="948454"/>
      </dsp:txXfrm>
    </dsp:sp>
    <dsp:sp modelId="{73EAEFB4-8F09-4BC3-A6DE-DC1AAD6AC7E2}">
      <dsp:nvSpPr>
        <dsp:cNvPr id="0" name=""/>
        <dsp:cNvSpPr/>
      </dsp:nvSpPr>
      <dsp:spPr>
        <a:xfrm>
          <a:off x="3941003" y="276348"/>
          <a:ext cx="1537736" cy="826740"/>
        </a:xfrm>
        <a:prstGeom prst="rect">
          <a:avLst/>
        </a:prstGeom>
        <a:noFill/>
        <a:ln>
          <a:noFill/>
        </a:ln>
        <a:effectLst/>
      </dsp:spPr>
      <dsp:style>
        <a:lnRef idx="0">
          <a:scrgbClr r="0" g="0" b="0"/>
        </a:lnRef>
        <a:fillRef idx="0">
          <a:scrgbClr r="0" g="0" b="0"/>
        </a:fillRef>
        <a:effectRef idx="0">
          <a:scrgbClr r="0" g="0" b="0"/>
        </a:effectRef>
        <a:fontRef idx="minor"/>
      </dsp:style>
    </dsp:sp>
    <dsp:sp modelId="{241C5470-4CE2-40D4-BC7D-D0149BAB1104}">
      <dsp:nvSpPr>
        <dsp:cNvPr id="0" name=""/>
        <dsp:cNvSpPr/>
      </dsp:nvSpPr>
      <dsp:spPr>
        <a:xfrm rot="5400000">
          <a:off x="1321614" y="90331"/>
          <a:ext cx="1377900" cy="1198773"/>
        </a:xfrm>
        <a:prstGeom prst="hexagon">
          <a:avLst>
            <a:gd name="adj" fmla="val 25000"/>
            <a:gd name="vf" fmla="val 11547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ro-RO" sz="900" b="1" kern="1200" dirty="0"/>
            <a:t>DIMENSIUNEA STRATEGICĂ</a:t>
          </a:r>
          <a:endParaRPr lang="en-GB" sz="900" b="1" kern="1200" dirty="0"/>
        </a:p>
      </dsp:txBody>
      <dsp:txXfrm rot="-5400000">
        <a:off x="1597986" y="215491"/>
        <a:ext cx="825155" cy="948454"/>
      </dsp:txXfrm>
    </dsp:sp>
    <dsp:sp modelId="{B2BD2FCE-C41C-4589-A1D2-6B6B54B112E6}">
      <dsp:nvSpPr>
        <dsp:cNvPr id="0" name=""/>
        <dsp:cNvSpPr/>
      </dsp:nvSpPr>
      <dsp:spPr>
        <a:xfrm rot="5400000">
          <a:off x="1966472" y="1259893"/>
          <a:ext cx="1377900" cy="1198773"/>
        </a:xfrm>
        <a:prstGeom prst="hexagon">
          <a:avLst>
            <a:gd name="adj" fmla="val 25000"/>
            <a:gd name="vf" fmla="val 11547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o-RO" sz="900" b="1" kern="1200" dirty="0"/>
            <a:t>GUVERNANȚĂ</a:t>
          </a:r>
          <a:endParaRPr lang="en-GB" sz="900" b="1" kern="1200" dirty="0"/>
        </a:p>
      </dsp:txBody>
      <dsp:txXfrm rot="-5400000">
        <a:off x="2242844" y="1385053"/>
        <a:ext cx="825155" cy="948454"/>
      </dsp:txXfrm>
    </dsp:sp>
    <dsp:sp modelId="{879273AB-ECC4-486E-BB32-D391325009F2}">
      <dsp:nvSpPr>
        <dsp:cNvPr id="0" name=""/>
        <dsp:cNvSpPr/>
      </dsp:nvSpPr>
      <dsp:spPr>
        <a:xfrm>
          <a:off x="518298" y="1445909"/>
          <a:ext cx="1488132" cy="826740"/>
        </a:xfrm>
        <a:prstGeom prst="rect">
          <a:avLst/>
        </a:prstGeom>
        <a:noFill/>
        <a:ln>
          <a:noFill/>
        </a:ln>
        <a:effectLst/>
      </dsp:spPr>
      <dsp:style>
        <a:lnRef idx="0">
          <a:scrgbClr r="0" g="0" b="0"/>
        </a:lnRef>
        <a:fillRef idx="0">
          <a:scrgbClr r="0" g="0" b="0"/>
        </a:fillRef>
        <a:effectRef idx="0">
          <a:scrgbClr r="0" g="0" b="0"/>
        </a:effectRef>
        <a:fontRef idx="minor"/>
      </dsp:style>
    </dsp:sp>
    <dsp:sp modelId="{EEC658B8-634A-44C6-A8CE-B3BC243A8D59}">
      <dsp:nvSpPr>
        <dsp:cNvPr id="0" name=""/>
        <dsp:cNvSpPr/>
      </dsp:nvSpPr>
      <dsp:spPr>
        <a:xfrm rot="5400000">
          <a:off x="3261147" y="1259893"/>
          <a:ext cx="1377900" cy="1198773"/>
        </a:xfrm>
        <a:prstGeom prst="hexagon">
          <a:avLst>
            <a:gd name="adj" fmla="val 25000"/>
            <a:gd name="vf" fmla="val 11547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ro-RO" sz="900" b="1" kern="1200" dirty="0"/>
            <a:t>INTEGRARE TEMATICĂ/ INTER-SECTORIALĂ</a:t>
          </a:r>
          <a:endParaRPr lang="en-GB" sz="900" b="1" kern="1200" dirty="0"/>
        </a:p>
      </dsp:txBody>
      <dsp:txXfrm rot="-5400000">
        <a:off x="3537519" y="1385053"/>
        <a:ext cx="825155" cy="948454"/>
      </dsp:txXfrm>
    </dsp:sp>
    <dsp:sp modelId="{E0CF5011-AE35-4B18-B29A-4DADC50C0E8E}">
      <dsp:nvSpPr>
        <dsp:cNvPr id="0" name=""/>
        <dsp:cNvSpPr/>
      </dsp:nvSpPr>
      <dsp:spPr>
        <a:xfrm rot="5400000">
          <a:off x="2616289" y="2429455"/>
          <a:ext cx="1377900" cy="1198773"/>
        </a:xfrm>
        <a:prstGeom prst="hexagon">
          <a:avLst>
            <a:gd name="adj" fmla="val 25000"/>
            <a:gd name="vf" fmla="val 11547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o-RO" sz="900" b="1" kern="1200" dirty="0"/>
            <a:t>MONITORIZARE</a:t>
          </a:r>
          <a:endParaRPr lang="en-GB" sz="900" b="1" kern="1200" dirty="0"/>
        </a:p>
      </dsp:txBody>
      <dsp:txXfrm rot="-5400000">
        <a:off x="2892661" y="2554615"/>
        <a:ext cx="825155" cy="948454"/>
      </dsp:txXfrm>
    </dsp:sp>
    <dsp:sp modelId="{01D91281-D9EA-4AF3-9FB5-5C6B80FBE2F5}">
      <dsp:nvSpPr>
        <dsp:cNvPr id="0" name=""/>
        <dsp:cNvSpPr/>
      </dsp:nvSpPr>
      <dsp:spPr>
        <a:xfrm>
          <a:off x="3941003" y="2615471"/>
          <a:ext cx="1537736" cy="826740"/>
        </a:xfrm>
        <a:prstGeom prst="rect">
          <a:avLst/>
        </a:prstGeom>
        <a:noFill/>
        <a:ln>
          <a:noFill/>
        </a:ln>
        <a:effectLst/>
      </dsp:spPr>
      <dsp:style>
        <a:lnRef idx="0">
          <a:scrgbClr r="0" g="0" b="0"/>
        </a:lnRef>
        <a:fillRef idx="0">
          <a:scrgbClr r="0" g="0" b="0"/>
        </a:fillRef>
        <a:effectRef idx="0">
          <a:scrgbClr r="0" g="0" b="0"/>
        </a:effectRef>
        <a:fontRef idx="minor"/>
      </dsp:style>
    </dsp:sp>
    <dsp:sp modelId="{C1204FCD-64BB-4ABA-A9BC-00D7C38AF5C4}">
      <dsp:nvSpPr>
        <dsp:cNvPr id="0" name=""/>
        <dsp:cNvSpPr/>
      </dsp:nvSpPr>
      <dsp:spPr>
        <a:xfrm rot="5400000">
          <a:off x="1321614" y="2429455"/>
          <a:ext cx="1377900" cy="1198773"/>
        </a:xfrm>
        <a:prstGeom prst="hexagon">
          <a:avLst>
            <a:gd name="adj" fmla="val 25000"/>
            <a:gd name="vf" fmla="val 1154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ro-RO" sz="900" b="1" kern="1200" dirty="0"/>
            <a:t>FINANȚARE</a:t>
          </a:r>
          <a:endParaRPr lang="en-GB" sz="900" b="1" kern="1200" dirty="0"/>
        </a:p>
      </dsp:txBody>
      <dsp:txXfrm rot="-5400000">
        <a:off x="1597986" y="2554615"/>
        <a:ext cx="825155" cy="948454"/>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1B19F2-6376-433B-9C21-E24EA2600134}">
      <dsp:nvSpPr>
        <dsp:cNvPr id="0" name=""/>
        <dsp:cNvSpPr/>
      </dsp:nvSpPr>
      <dsp:spPr>
        <a:xfrm rot="5400000">
          <a:off x="3696125" y="-1516011"/>
          <a:ext cx="561994" cy="3743173"/>
        </a:xfrm>
        <a:prstGeom prst="round2Same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87,6% </a:t>
          </a:r>
          <a:r>
            <a:rPr lang="ro-RO" sz="1000" kern="1200">
              <a:latin typeface="+mn-lt"/>
            </a:rPr>
            <a:t>dintre respondenți consideră acest serviciu social ca fiind necesar și foarte necesar</a:t>
          </a:r>
          <a:endParaRPr lang="en-US" sz="1000" kern="1200">
            <a:latin typeface="+mn-lt"/>
          </a:endParaRPr>
        </a:p>
      </dsp:txBody>
      <dsp:txXfrm rot="-5400000">
        <a:off x="2105536" y="102012"/>
        <a:ext cx="3715739" cy="507126"/>
      </dsp:txXfrm>
    </dsp:sp>
    <dsp:sp modelId="{A35096DD-CC6B-4B1B-8EA4-F7D5D57CAEFB}">
      <dsp:nvSpPr>
        <dsp:cNvPr id="0" name=""/>
        <dsp:cNvSpPr/>
      </dsp:nvSpPr>
      <dsp:spPr>
        <a:xfrm>
          <a:off x="0" y="4328"/>
          <a:ext cx="2105535" cy="702492"/>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n-US" sz="1000" b="0" i="0" u="none" kern="1200">
              <a:latin typeface="Calibri" panose="020F0502020204030204" pitchFamily="34" charset="0"/>
            </a:rPr>
            <a:t>Servicii de îngrijire la domiciliu pentru persoanele vârstnice</a:t>
          </a:r>
          <a:r>
            <a:rPr lang="ro-RO" sz="1000" kern="1200">
              <a:latin typeface="Calibri" panose="020F0502020204030204" pitchFamily="34" charset="0"/>
            </a:rPr>
            <a:t> </a:t>
          </a:r>
          <a:endParaRPr lang="en-US" sz="1000" kern="1200">
            <a:latin typeface="Calibri" panose="020F0502020204030204" pitchFamily="34" charset="0"/>
          </a:endParaRPr>
        </a:p>
      </dsp:txBody>
      <dsp:txXfrm>
        <a:off x="34293" y="38621"/>
        <a:ext cx="2036949" cy="633906"/>
      </dsp:txXfrm>
    </dsp:sp>
    <dsp:sp modelId="{469751A1-C67B-4E0D-8A5B-BCAD153FDBF1}">
      <dsp:nvSpPr>
        <dsp:cNvPr id="0" name=""/>
        <dsp:cNvSpPr/>
      </dsp:nvSpPr>
      <dsp:spPr>
        <a:xfrm rot="5400000">
          <a:off x="3696125" y="-778394"/>
          <a:ext cx="561994" cy="3743173"/>
        </a:xfrm>
        <a:prstGeom prst="round2SameRect">
          <a:avLst/>
        </a:prstGeom>
        <a:solidFill>
          <a:schemeClr val="accent2">
            <a:tint val="40000"/>
            <a:alpha val="90000"/>
            <a:hueOff val="5362"/>
            <a:satOff val="3306"/>
            <a:lumOff val="545"/>
            <a:alphaOff val="0"/>
          </a:schemeClr>
        </a:solidFill>
        <a:ln w="25400" cap="flat" cmpd="sng" algn="ctr">
          <a:solidFill>
            <a:schemeClr val="accent2">
              <a:tint val="40000"/>
              <a:alpha val="90000"/>
              <a:hueOff val="5362"/>
              <a:satOff val="3306"/>
              <a:lumOff val="5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86,2% </a:t>
          </a:r>
          <a:r>
            <a:rPr lang="ro-RO" sz="1000" kern="1200">
              <a:latin typeface="+mn-lt"/>
            </a:rPr>
            <a:t>dintre respondenți consideră acest serviciu social ca fiind necesar și foarte necesar</a:t>
          </a:r>
          <a:endParaRPr lang="en-US" sz="1000" kern="1200">
            <a:latin typeface="+mn-lt"/>
          </a:endParaRPr>
        </a:p>
      </dsp:txBody>
      <dsp:txXfrm rot="-5400000">
        <a:off x="2105536" y="839629"/>
        <a:ext cx="3715739" cy="507126"/>
      </dsp:txXfrm>
    </dsp:sp>
    <dsp:sp modelId="{3BE39D7D-E8F5-4BD9-8715-051842E1D78D}">
      <dsp:nvSpPr>
        <dsp:cNvPr id="0" name=""/>
        <dsp:cNvSpPr/>
      </dsp:nvSpPr>
      <dsp:spPr>
        <a:xfrm>
          <a:off x="0" y="741946"/>
          <a:ext cx="2105535" cy="702492"/>
        </a:xfrm>
        <a:prstGeom prst="roundRect">
          <a:avLst/>
        </a:prstGeom>
        <a:solidFill>
          <a:schemeClr val="accent2">
            <a:hueOff val="9384"/>
            <a:satOff val="-1238"/>
            <a:lumOff val="318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vi-VN" sz="1000" b="0" i="0" u="none" kern="1200">
              <a:latin typeface="Calibri" panose="020F0502020204030204" pitchFamily="34" charset="0"/>
            </a:rPr>
            <a:t>Servicii de suport (recuperare medicală, asistent personal, etc.) pentru copiii cu dizabilități</a:t>
          </a:r>
          <a:endParaRPr lang="en-US" sz="1000" kern="1200">
            <a:latin typeface="Calibri" panose="020F0502020204030204" pitchFamily="34" charset="0"/>
          </a:endParaRPr>
        </a:p>
      </dsp:txBody>
      <dsp:txXfrm>
        <a:off x="34293" y="776239"/>
        <a:ext cx="2036949" cy="633906"/>
      </dsp:txXfrm>
    </dsp:sp>
    <dsp:sp modelId="{3CD7ED99-8D9B-4A64-8A38-227F3851C9E3}">
      <dsp:nvSpPr>
        <dsp:cNvPr id="0" name=""/>
        <dsp:cNvSpPr/>
      </dsp:nvSpPr>
      <dsp:spPr>
        <a:xfrm rot="5400000">
          <a:off x="3696125" y="-40777"/>
          <a:ext cx="561994" cy="3743173"/>
        </a:xfrm>
        <a:prstGeom prst="round2SameRect">
          <a:avLst/>
        </a:prstGeom>
        <a:solidFill>
          <a:schemeClr val="accent2">
            <a:tint val="40000"/>
            <a:alpha val="90000"/>
            <a:hueOff val="10724"/>
            <a:satOff val="6612"/>
            <a:lumOff val="1090"/>
            <a:alphaOff val="0"/>
          </a:schemeClr>
        </a:solidFill>
        <a:ln w="25400" cap="flat" cmpd="sng" algn="ctr">
          <a:solidFill>
            <a:schemeClr val="accent2">
              <a:tint val="40000"/>
              <a:alpha val="90000"/>
              <a:hueOff val="10724"/>
              <a:satOff val="6612"/>
              <a:lumOff val="109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84,8% </a:t>
          </a:r>
          <a:r>
            <a:rPr lang="ro-RO" sz="1000" kern="1200">
              <a:latin typeface="+mn-lt"/>
            </a:rPr>
            <a:t>dintre respondenți consideră acest serviciu social ca fiind necesar și foarte necesar</a:t>
          </a:r>
          <a:endParaRPr lang="en-US" sz="1000" kern="1200">
            <a:latin typeface="+mn-lt"/>
          </a:endParaRPr>
        </a:p>
      </dsp:txBody>
      <dsp:txXfrm rot="-5400000">
        <a:off x="2105536" y="1577246"/>
        <a:ext cx="3715739" cy="507126"/>
      </dsp:txXfrm>
    </dsp:sp>
    <dsp:sp modelId="{B66A6E7C-F6D2-4A3A-8399-72EC7AE8D982}">
      <dsp:nvSpPr>
        <dsp:cNvPr id="0" name=""/>
        <dsp:cNvSpPr/>
      </dsp:nvSpPr>
      <dsp:spPr>
        <a:xfrm>
          <a:off x="0" y="1479563"/>
          <a:ext cx="2105535" cy="702492"/>
        </a:xfrm>
        <a:prstGeom prst="roundRect">
          <a:avLst/>
        </a:prstGeom>
        <a:solidFill>
          <a:schemeClr val="accent2">
            <a:hueOff val="18769"/>
            <a:satOff val="-2476"/>
            <a:lumOff val="63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vi-VN" sz="1000" b="0" i="0" u="none" kern="1200">
              <a:latin typeface="Calibri" panose="020F0502020204030204" pitchFamily="34" charset="0"/>
            </a:rPr>
            <a:t>Servicii de suport (recuperare medicală, asistent personal, etc.) pentru persoanele adulte cu dizabilități</a:t>
          </a:r>
          <a:endParaRPr lang="en-US" sz="1000" kern="1200">
            <a:latin typeface="Calibri" panose="020F0502020204030204" pitchFamily="34" charset="0"/>
          </a:endParaRPr>
        </a:p>
      </dsp:txBody>
      <dsp:txXfrm>
        <a:off x="34293" y="1513856"/>
        <a:ext cx="2036949" cy="633906"/>
      </dsp:txXfrm>
    </dsp:sp>
    <dsp:sp modelId="{D116AB53-C457-45AD-AD1E-6ACD6D3717FB}">
      <dsp:nvSpPr>
        <dsp:cNvPr id="0" name=""/>
        <dsp:cNvSpPr/>
      </dsp:nvSpPr>
      <dsp:spPr>
        <a:xfrm rot="5400000">
          <a:off x="3696125" y="696840"/>
          <a:ext cx="561994" cy="3743173"/>
        </a:xfrm>
        <a:prstGeom prst="round2SameRect">
          <a:avLst/>
        </a:prstGeom>
        <a:solidFill>
          <a:schemeClr val="accent2">
            <a:tint val="40000"/>
            <a:alpha val="90000"/>
            <a:hueOff val="16086"/>
            <a:satOff val="9917"/>
            <a:lumOff val="1635"/>
            <a:alphaOff val="0"/>
          </a:schemeClr>
        </a:solidFill>
        <a:ln w="25400" cap="flat" cmpd="sng" algn="ctr">
          <a:solidFill>
            <a:schemeClr val="accent2">
              <a:tint val="40000"/>
              <a:alpha val="90000"/>
              <a:hueOff val="16086"/>
              <a:satOff val="9917"/>
              <a:lumOff val="163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82,3% </a:t>
          </a:r>
          <a:r>
            <a:rPr lang="ro-RO" sz="1000" kern="1200">
              <a:latin typeface="+mn-lt"/>
            </a:rPr>
            <a:t>dintre respondenți consideră acest serviciu social ca fiind necesar și foarte necesar</a:t>
          </a:r>
          <a:endParaRPr lang="en-US" sz="1000" kern="1200">
            <a:latin typeface="+mn-lt"/>
          </a:endParaRPr>
        </a:p>
      </dsp:txBody>
      <dsp:txXfrm rot="-5400000">
        <a:off x="2105536" y="2314863"/>
        <a:ext cx="3715739" cy="507126"/>
      </dsp:txXfrm>
    </dsp:sp>
    <dsp:sp modelId="{B357D904-3687-48AE-A10E-B065135B03CB}">
      <dsp:nvSpPr>
        <dsp:cNvPr id="0" name=""/>
        <dsp:cNvSpPr/>
      </dsp:nvSpPr>
      <dsp:spPr>
        <a:xfrm>
          <a:off x="0" y="2217180"/>
          <a:ext cx="2105535" cy="702492"/>
        </a:xfrm>
        <a:prstGeom prst="roundRect">
          <a:avLst/>
        </a:prstGeom>
        <a:solidFill>
          <a:schemeClr val="accent2">
            <a:hueOff val="28153"/>
            <a:satOff val="-3714"/>
            <a:lumOff val="95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n-US" sz="1000" b="0" i="0" u="none" kern="1200">
              <a:latin typeface="Calibri" panose="020F0502020204030204" pitchFamily="34" charset="0"/>
            </a:rPr>
            <a:t>Servicii de suport (consiliere, locuințe de necesitate, etc.) pentru victimele violenței domestice</a:t>
          </a:r>
          <a:endParaRPr lang="en-US" sz="1000" kern="1200">
            <a:latin typeface="Calibri" panose="020F0502020204030204" pitchFamily="34" charset="0"/>
          </a:endParaRPr>
        </a:p>
      </dsp:txBody>
      <dsp:txXfrm>
        <a:off x="34293" y="2251473"/>
        <a:ext cx="2036949" cy="633906"/>
      </dsp:txXfrm>
    </dsp:sp>
    <dsp:sp modelId="{CFC02184-9229-4D4A-9B8C-CA788CC97790}">
      <dsp:nvSpPr>
        <dsp:cNvPr id="0" name=""/>
        <dsp:cNvSpPr/>
      </dsp:nvSpPr>
      <dsp:spPr>
        <a:xfrm rot="5400000">
          <a:off x="3696125" y="1434457"/>
          <a:ext cx="561994" cy="3743173"/>
        </a:xfrm>
        <a:prstGeom prst="round2SameRect">
          <a:avLst/>
        </a:prstGeom>
        <a:solidFill>
          <a:schemeClr val="accent2">
            <a:tint val="40000"/>
            <a:alpha val="90000"/>
            <a:hueOff val="21447"/>
            <a:satOff val="13223"/>
            <a:lumOff val="2180"/>
            <a:alphaOff val="0"/>
          </a:schemeClr>
        </a:solidFill>
        <a:ln w="25400" cap="flat" cmpd="sng" algn="ctr">
          <a:solidFill>
            <a:schemeClr val="accent2">
              <a:tint val="40000"/>
              <a:alpha val="90000"/>
              <a:hueOff val="21447"/>
              <a:satOff val="13223"/>
              <a:lumOff val="218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82,0% </a:t>
          </a:r>
          <a:r>
            <a:rPr lang="ro-RO" sz="1000" kern="1200">
              <a:latin typeface="+mn-lt"/>
            </a:rPr>
            <a:t>dintre respondenți consideră acest serviciu social ca fiind necesar și foarte necesar</a:t>
          </a:r>
          <a:endParaRPr lang="en-US" sz="1000" kern="1200">
            <a:latin typeface="+mn-lt"/>
          </a:endParaRPr>
        </a:p>
      </dsp:txBody>
      <dsp:txXfrm rot="-5400000">
        <a:off x="2105536" y="3052480"/>
        <a:ext cx="3715739" cy="507126"/>
      </dsp:txXfrm>
    </dsp:sp>
    <dsp:sp modelId="{D05F2EB8-C700-46BF-8937-3A811FD66A79}">
      <dsp:nvSpPr>
        <dsp:cNvPr id="0" name=""/>
        <dsp:cNvSpPr/>
      </dsp:nvSpPr>
      <dsp:spPr>
        <a:xfrm>
          <a:off x="0" y="2954798"/>
          <a:ext cx="2105535" cy="702492"/>
        </a:xfrm>
        <a:prstGeom prst="roundRect">
          <a:avLst/>
        </a:prstGeom>
        <a:solidFill>
          <a:schemeClr val="accent2">
            <a:hueOff val="37537"/>
            <a:satOff val="-4952"/>
            <a:lumOff val="127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vi-VN" sz="1000" b="0" i="0" u="none" kern="1200">
              <a:latin typeface="Calibri" panose="020F0502020204030204" pitchFamily="34" charset="0"/>
            </a:rPr>
            <a:t>Măsuri de sprijin pentru educație incluzivă (afterschool, masă caldă, ajutoare pentru rechizite) dedicate copiilor ce provin din familii cu venituri reduse</a:t>
          </a:r>
          <a:endParaRPr lang="en-US" sz="1000" kern="1200">
            <a:latin typeface="Calibri" panose="020F0502020204030204" pitchFamily="34" charset="0"/>
          </a:endParaRPr>
        </a:p>
      </dsp:txBody>
      <dsp:txXfrm>
        <a:off x="34293" y="2989091"/>
        <a:ext cx="2036949" cy="633906"/>
      </dsp:txXfrm>
    </dsp:sp>
    <dsp:sp modelId="{5132C6A5-03EC-42AA-ADAB-7B62326DB9F8}">
      <dsp:nvSpPr>
        <dsp:cNvPr id="0" name=""/>
        <dsp:cNvSpPr/>
      </dsp:nvSpPr>
      <dsp:spPr>
        <a:xfrm rot="5400000">
          <a:off x="3696125" y="2172074"/>
          <a:ext cx="561994" cy="3743173"/>
        </a:xfrm>
        <a:prstGeom prst="round2SameRect">
          <a:avLst/>
        </a:prstGeom>
        <a:solidFill>
          <a:schemeClr val="accent2">
            <a:tint val="40000"/>
            <a:alpha val="90000"/>
            <a:hueOff val="26809"/>
            <a:satOff val="16529"/>
            <a:lumOff val="2725"/>
            <a:alphaOff val="0"/>
          </a:schemeClr>
        </a:solidFill>
        <a:ln w="25400" cap="flat" cmpd="sng" algn="ctr">
          <a:solidFill>
            <a:schemeClr val="accent2">
              <a:tint val="40000"/>
              <a:alpha val="90000"/>
              <a:hueOff val="26809"/>
              <a:satOff val="16529"/>
              <a:lumOff val="272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81,8% </a:t>
          </a:r>
          <a:r>
            <a:rPr lang="ro-RO" sz="1000" kern="1200">
              <a:latin typeface="+mn-lt"/>
            </a:rPr>
            <a:t>dintre respondenți consideră acest serviciu social ca fiind necesar și foarte necesar</a:t>
          </a:r>
          <a:endParaRPr lang="en-US" sz="1000" kern="1200">
            <a:latin typeface="+mn-lt"/>
          </a:endParaRPr>
        </a:p>
      </dsp:txBody>
      <dsp:txXfrm rot="-5400000">
        <a:off x="2105536" y="3790097"/>
        <a:ext cx="3715739" cy="507126"/>
      </dsp:txXfrm>
    </dsp:sp>
    <dsp:sp modelId="{05A099A8-2CCB-4F55-83F6-79475C9B1CB8}">
      <dsp:nvSpPr>
        <dsp:cNvPr id="0" name=""/>
        <dsp:cNvSpPr/>
      </dsp:nvSpPr>
      <dsp:spPr>
        <a:xfrm>
          <a:off x="0" y="3692415"/>
          <a:ext cx="2105535" cy="702492"/>
        </a:xfrm>
        <a:prstGeom prst="roundRect">
          <a:avLst/>
        </a:prstGeom>
        <a:solidFill>
          <a:schemeClr val="accent2">
            <a:hueOff val="46922"/>
            <a:satOff val="-6189"/>
            <a:lumOff val="1590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vi-VN" sz="1000" b="0" i="0" u="none" kern="1200">
              <a:latin typeface="Calibri" panose="020F0502020204030204" pitchFamily="34" charset="0"/>
            </a:rPr>
            <a:t>Centru de noapte pentru persoanele fără adăpost</a:t>
          </a:r>
          <a:endParaRPr lang="en-US" sz="1000" kern="1200">
            <a:latin typeface="Calibri" panose="020F0502020204030204" pitchFamily="34" charset="0"/>
          </a:endParaRPr>
        </a:p>
      </dsp:txBody>
      <dsp:txXfrm>
        <a:off x="34293" y="3726708"/>
        <a:ext cx="2036949" cy="633906"/>
      </dsp:txXfrm>
    </dsp:sp>
    <dsp:sp modelId="{39E0AC81-EA12-442E-922D-2FF8019047B3}">
      <dsp:nvSpPr>
        <dsp:cNvPr id="0" name=""/>
        <dsp:cNvSpPr/>
      </dsp:nvSpPr>
      <dsp:spPr>
        <a:xfrm rot="5400000">
          <a:off x="3696125" y="2909692"/>
          <a:ext cx="561994" cy="3743173"/>
        </a:xfrm>
        <a:prstGeom prst="round2SameRect">
          <a:avLst/>
        </a:prstGeom>
        <a:solidFill>
          <a:schemeClr val="accent2">
            <a:tint val="40000"/>
            <a:alpha val="90000"/>
            <a:hueOff val="32171"/>
            <a:satOff val="19835"/>
            <a:lumOff val="3270"/>
            <a:alphaOff val="0"/>
          </a:schemeClr>
        </a:solidFill>
        <a:ln w="25400" cap="flat" cmpd="sng" algn="ctr">
          <a:solidFill>
            <a:schemeClr val="accent2">
              <a:tint val="40000"/>
              <a:alpha val="90000"/>
              <a:hueOff val="32171"/>
              <a:satOff val="19835"/>
              <a:lumOff val="327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73,9% </a:t>
          </a:r>
          <a:r>
            <a:rPr lang="ro-RO" sz="1000" kern="1200">
              <a:latin typeface="+mn-lt"/>
            </a:rPr>
            <a:t>dintre respondenți consideră acest serviciu social ca fiind necesar și foarte necesar</a:t>
          </a:r>
          <a:endParaRPr lang="en-US" sz="1000" kern="1200">
            <a:latin typeface="+mn-lt"/>
          </a:endParaRPr>
        </a:p>
      </dsp:txBody>
      <dsp:txXfrm rot="-5400000">
        <a:off x="2105536" y="4527715"/>
        <a:ext cx="3715739" cy="507126"/>
      </dsp:txXfrm>
    </dsp:sp>
    <dsp:sp modelId="{1C889F1B-11EE-4615-A828-DB78B3F2E3DB}">
      <dsp:nvSpPr>
        <dsp:cNvPr id="0" name=""/>
        <dsp:cNvSpPr/>
      </dsp:nvSpPr>
      <dsp:spPr>
        <a:xfrm>
          <a:off x="0" y="4430032"/>
          <a:ext cx="2105535" cy="702492"/>
        </a:xfrm>
        <a:prstGeom prst="roundRect">
          <a:avLst/>
        </a:prstGeom>
        <a:solidFill>
          <a:schemeClr val="accent2">
            <a:hueOff val="56306"/>
            <a:satOff val="-7427"/>
            <a:lumOff val="190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vi-VN" sz="1000" b="0" i="0" u="none" kern="1200">
              <a:latin typeface="Calibri" panose="020F0502020204030204" pitchFamily="34" charset="0"/>
            </a:rPr>
            <a:t>Acordarea de locuințe sociale familiilor aflate in risc de marginalizare si excluziune socială</a:t>
          </a:r>
          <a:endParaRPr lang="en-US" sz="1000" kern="1200">
            <a:latin typeface="Calibri" panose="020F0502020204030204" pitchFamily="34" charset="0"/>
          </a:endParaRPr>
        </a:p>
      </dsp:txBody>
      <dsp:txXfrm>
        <a:off x="34293" y="4464325"/>
        <a:ext cx="2036949" cy="633906"/>
      </dsp:txXfrm>
    </dsp:sp>
    <dsp:sp modelId="{CFC8A3DD-69D7-4F75-A175-AB549B3EB86D}">
      <dsp:nvSpPr>
        <dsp:cNvPr id="0" name=""/>
        <dsp:cNvSpPr/>
      </dsp:nvSpPr>
      <dsp:spPr>
        <a:xfrm rot="5400000">
          <a:off x="3696125" y="3647309"/>
          <a:ext cx="561994" cy="3743173"/>
        </a:xfrm>
        <a:prstGeom prst="round2SameRect">
          <a:avLst/>
        </a:prstGeom>
        <a:solidFill>
          <a:schemeClr val="accent2">
            <a:tint val="40000"/>
            <a:alpha val="90000"/>
            <a:hueOff val="37533"/>
            <a:satOff val="23140"/>
            <a:lumOff val="3815"/>
            <a:alphaOff val="0"/>
          </a:schemeClr>
        </a:solidFill>
        <a:ln w="25400" cap="flat" cmpd="sng" algn="ctr">
          <a:solidFill>
            <a:schemeClr val="accent2">
              <a:tint val="40000"/>
              <a:alpha val="90000"/>
              <a:hueOff val="37533"/>
              <a:satOff val="23140"/>
              <a:lumOff val="381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57,8% </a:t>
          </a:r>
          <a:r>
            <a:rPr lang="ro-RO" sz="1000" kern="1200">
              <a:latin typeface="+mn-lt"/>
            </a:rPr>
            <a:t>dintre respondenți consideră acest serviciu social ca fiind necesar și foarte necesar</a:t>
          </a:r>
          <a:endParaRPr lang="en-US" sz="1000" kern="1200">
            <a:latin typeface="+mn-lt"/>
          </a:endParaRPr>
        </a:p>
      </dsp:txBody>
      <dsp:txXfrm rot="-5400000">
        <a:off x="2105536" y="5265332"/>
        <a:ext cx="3715739" cy="507126"/>
      </dsp:txXfrm>
    </dsp:sp>
    <dsp:sp modelId="{FAD0B94A-17AF-4BF6-905B-C5051F7DE61C}">
      <dsp:nvSpPr>
        <dsp:cNvPr id="0" name=""/>
        <dsp:cNvSpPr/>
      </dsp:nvSpPr>
      <dsp:spPr>
        <a:xfrm>
          <a:off x="0" y="5167649"/>
          <a:ext cx="2105535" cy="702492"/>
        </a:xfrm>
        <a:prstGeom prst="roundRect">
          <a:avLst/>
        </a:prstGeom>
        <a:solidFill>
          <a:schemeClr val="accent2">
            <a:hueOff val="65691"/>
            <a:satOff val="-8665"/>
            <a:lumOff val="2226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vi-VN" sz="1000" b="0" i="0" u="none" kern="1200">
              <a:latin typeface="Calibri" panose="020F0502020204030204" pitchFamily="34" charset="0"/>
            </a:rPr>
            <a:t>Acordarea de locuințe sociale familiilor aflate in risc de marginalizare si excluziune socială</a:t>
          </a:r>
          <a:endParaRPr lang="en-US" sz="1000" kern="1200">
            <a:latin typeface="Calibri" panose="020F0502020204030204" pitchFamily="34" charset="0"/>
          </a:endParaRPr>
        </a:p>
      </dsp:txBody>
      <dsp:txXfrm>
        <a:off x="34293" y="5201942"/>
        <a:ext cx="2036949" cy="633906"/>
      </dsp:txXfrm>
    </dsp:sp>
    <dsp:sp modelId="{A322498C-443B-4534-9DFC-678EB0B317AE}">
      <dsp:nvSpPr>
        <dsp:cNvPr id="0" name=""/>
        <dsp:cNvSpPr/>
      </dsp:nvSpPr>
      <dsp:spPr>
        <a:xfrm rot="5400000">
          <a:off x="3696125" y="4384926"/>
          <a:ext cx="561994" cy="3743173"/>
        </a:xfrm>
        <a:prstGeom prst="round2SameRect">
          <a:avLst/>
        </a:prstGeom>
        <a:solidFill>
          <a:schemeClr val="accent2">
            <a:tint val="40000"/>
            <a:alpha val="90000"/>
            <a:hueOff val="42895"/>
            <a:satOff val="26446"/>
            <a:lumOff val="4360"/>
            <a:alphaOff val="0"/>
          </a:schemeClr>
        </a:solidFill>
        <a:ln w="25400" cap="flat" cmpd="sng" algn="ctr">
          <a:solidFill>
            <a:schemeClr val="accent2">
              <a:tint val="40000"/>
              <a:alpha val="90000"/>
              <a:hueOff val="42895"/>
              <a:satOff val="26446"/>
              <a:lumOff val="436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56,0% </a:t>
          </a:r>
          <a:r>
            <a:rPr lang="ro-RO" sz="1000" kern="1200">
              <a:latin typeface="+mn-lt"/>
            </a:rPr>
            <a:t>dintre respondenți consideră acest serviciu social ca fiind necesar și foarte necesar</a:t>
          </a:r>
          <a:endParaRPr lang="en-US" sz="1000" kern="1200">
            <a:latin typeface="+mn-lt"/>
          </a:endParaRPr>
        </a:p>
      </dsp:txBody>
      <dsp:txXfrm rot="-5400000">
        <a:off x="2105536" y="6002949"/>
        <a:ext cx="3715739" cy="507126"/>
      </dsp:txXfrm>
    </dsp:sp>
    <dsp:sp modelId="{961B8597-EC35-4F5A-B584-BC4A98DB01B7}">
      <dsp:nvSpPr>
        <dsp:cNvPr id="0" name=""/>
        <dsp:cNvSpPr/>
      </dsp:nvSpPr>
      <dsp:spPr>
        <a:xfrm>
          <a:off x="0" y="5905267"/>
          <a:ext cx="2105535" cy="702492"/>
        </a:xfrm>
        <a:prstGeom prst="roundRect">
          <a:avLst/>
        </a:prstGeom>
        <a:solidFill>
          <a:schemeClr val="accent2">
            <a:hueOff val="75075"/>
            <a:satOff val="-9903"/>
            <a:lumOff val="2544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n-US" sz="1000" b="0" i="0" u="none" kern="1200">
              <a:latin typeface="Calibri" panose="020F0502020204030204" pitchFamily="34" charset="0"/>
            </a:rPr>
            <a:t>Magazin social dedicat persoanelor cu venituri reduse</a:t>
          </a:r>
          <a:endParaRPr lang="en-US" sz="1000" kern="1200">
            <a:latin typeface="Calibri" panose="020F0502020204030204" pitchFamily="34" charset="0"/>
          </a:endParaRPr>
        </a:p>
      </dsp:txBody>
      <dsp:txXfrm>
        <a:off x="34293" y="5939560"/>
        <a:ext cx="2036949" cy="633906"/>
      </dsp:txXfrm>
    </dsp:sp>
    <dsp:sp modelId="{93BC5DF9-7A49-46B2-9208-4E0DA7182DE1}">
      <dsp:nvSpPr>
        <dsp:cNvPr id="0" name=""/>
        <dsp:cNvSpPr/>
      </dsp:nvSpPr>
      <dsp:spPr>
        <a:xfrm rot="5400000">
          <a:off x="3696125" y="5122543"/>
          <a:ext cx="561994" cy="3743173"/>
        </a:xfrm>
        <a:prstGeom prst="round2SameRect">
          <a:avLst/>
        </a:prstGeom>
        <a:solidFill>
          <a:schemeClr val="accent2">
            <a:tint val="40000"/>
            <a:alpha val="90000"/>
            <a:hueOff val="48257"/>
            <a:satOff val="29752"/>
            <a:lumOff val="4905"/>
            <a:alphaOff val="0"/>
          </a:schemeClr>
        </a:solidFill>
        <a:ln w="25400" cap="flat" cmpd="sng" algn="ctr">
          <a:solidFill>
            <a:schemeClr val="accent2">
              <a:tint val="40000"/>
              <a:alpha val="90000"/>
              <a:hueOff val="48257"/>
              <a:satOff val="29752"/>
              <a:lumOff val="490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o-RO" sz="1000" b="1" kern="1200">
              <a:latin typeface="+mn-lt"/>
            </a:rPr>
            <a:t>55,7% </a:t>
          </a:r>
          <a:r>
            <a:rPr lang="ro-RO" sz="1000" kern="1200">
              <a:latin typeface="+mn-lt"/>
            </a:rPr>
            <a:t>dintre respondenți consideră acest serviciu social ca fiind necesar și foarte necesar</a:t>
          </a:r>
          <a:endParaRPr lang="en-US" sz="1000" kern="1200">
            <a:latin typeface="+mn-lt"/>
          </a:endParaRPr>
        </a:p>
      </dsp:txBody>
      <dsp:txXfrm rot="-5400000">
        <a:off x="2105536" y="6740566"/>
        <a:ext cx="3715739" cy="507126"/>
      </dsp:txXfrm>
    </dsp:sp>
    <dsp:sp modelId="{3CFF0825-DF28-46B9-BD30-AC49AF5AFFBA}">
      <dsp:nvSpPr>
        <dsp:cNvPr id="0" name=""/>
        <dsp:cNvSpPr/>
      </dsp:nvSpPr>
      <dsp:spPr>
        <a:xfrm>
          <a:off x="0" y="6642884"/>
          <a:ext cx="2105535" cy="702492"/>
        </a:xfrm>
        <a:prstGeom prst="roundRect">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vi-VN" sz="1000" b="0" i="0" u="none" kern="1200">
              <a:latin typeface="Calibri" panose="020F0502020204030204" pitchFamily="34" charset="0"/>
            </a:rPr>
            <a:t>Cantina socială</a:t>
          </a:r>
          <a:endParaRPr lang="en-US" sz="1000" kern="1200">
            <a:latin typeface="Calibri" panose="020F0502020204030204" pitchFamily="34" charset="0"/>
          </a:endParaRPr>
        </a:p>
      </dsp:txBody>
      <dsp:txXfrm>
        <a:off x="34293" y="6677177"/>
        <a:ext cx="2036949" cy="633906"/>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B551C1-4159-4B5B-AB53-0F08788858AC}">
      <dsp:nvSpPr>
        <dsp:cNvPr id="0" name=""/>
        <dsp:cNvSpPr/>
      </dsp:nvSpPr>
      <dsp:spPr>
        <a:xfrm rot="10800000">
          <a:off x="1070163" y="2415"/>
          <a:ext cx="3854972" cy="327614"/>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1. </a:t>
          </a:r>
          <a:r>
            <a:rPr lang="vi-VN" sz="1200" b="0" i="0" u="none" kern="1200">
              <a:latin typeface="Calibri" panose="020F0502020204030204" pitchFamily="34" charset="0"/>
            </a:rPr>
            <a:t>Parcuri și grădini publice</a:t>
          </a:r>
          <a:r>
            <a:rPr lang="ro-RO" sz="1200" b="0" i="0" u="none" kern="1200">
              <a:latin typeface="Calibri" panose="020F0502020204030204" pitchFamily="34" charset="0"/>
            </a:rPr>
            <a:t> (</a:t>
          </a:r>
          <a:r>
            <a:rPr lang="vi-VN" sz="1200" b="0" i="0" u="none" kern="1200">
              <a:latin typeface="Calibri" panose="020F0502020204030204" pitchFamily="34" charset="0"/>
            </a:rPr>
            <a:t>50,4%</a:t>
          </a:r>
          <a:r>
            <a:rPr lang="ro-RO" sz="1200" b="0" i="0" u="none" kern="1200">
              <a:latin typeface="Calibri" panose="020F0502020204030204" pitchFamily="34" charset="0"/>
            </a:rPr>
            <a:t>)</a:t>
          </a:r>
          <a:endParaRPr lang="vi-VN" sz="1200" kern="1200">
            <a:latin typeface="Calibri" panose="020F0502020204030204" pitchFamily="34" charset="0"/>
          </a:endParaRPr>
        </a:p>
      </dsp:txBody>
      <dsp:txXfrm rot="10800000">
        <a:off x="1152066" y="2415"/>
        <a:ext cx="3773069" cy="327614"/>
      </dsp:txXfrm>
    </dsp:sp>
    <dsp:sp modelId="{CD265C7B-2A6F-4997-B052-149221BFF06F}">
      <dsp:nvSpPr>
        <dsp:cNvPr id="0" name=""/>
        <dsp:cNvSpPr/>
      </dsp:nvSpPr>
      <dsp:spPr>
        <a:xfrm>
          <a:off x="766250" y="2415"/>
          <a:ext cx="327614" cy="327614"/>
        </a:xfrm>
        <a:prstGeom prst="ellipse">
          <a:avLst/>
        </a:prstGeom>
        <a:blipFill rotWithShape="1">
          <a:blip xmlns:r="http://schemas.openxmlformats.org/officeDocument/2006/relationships" r:embed="rId1">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2B60AB8-9D60-4F44-83CF-A935BD689391}">
      <dsp:nvSpPr>
        <dsp:cNvPr id="0" name=""/>
        <dsp:cNvSpPr/>
      </dsp:nvSpPr>
      <dsp:spPr>
        <a:xfrm rot="10800000">
          <a:off x="1070163" y="427824"/>
          <a:ext cx="3854972" cy="327614"/>
        </a:xfrm>
        <a:prstGeom prst="homePlate">
          <a:avLst/>
        </a:prstGeom>
        <a:solidFill>
          <a:schemeClr val="accent2">
            <a:hueOff val="7678"/>
            <a:satOff val="-1013"/>
            <a:lumOff val="260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2. </a:t>
          </a:r>
          <a:r>
            <a:rPr lang="vi-VN" sz="1200" b="0" i="0" u="none" kern="1200">
              <a:latin typeface="Calibri" panose="020F0502020204030204" pitchFamily="34" charset="0"/>
            </a:rPr>
            <a:t>Locuri de joacă pentru copii</a:t>
          </a:r>
          <a:r>
            <a:rPr lang="ro-RO" sz="1200" b="0" i="0" u="none" kern="1200">
              <a:latin typeface="Calibri" panose="020F0502020204030204" pitchFamily="34" charset="0"/>
            </a:rPr>
            <a:t> (</a:t>
          </a:r>
          <a:r>
            <a:rPr lang="vi-VN" sz="1200" b="0" i="0" u="none" kern="1200">
              <a:latin typeface="Calibri" panose="020F0502020204030204" pitchFamily="34" charset="0"/>
            </a:rPr>
            <a:t>45,6%</a:t>
          </a:r>
          <a:r>
            <a:rPr lang="ro-RO" sz="1200" b="0" i="0" u="none" kern="1200">
              <a:latin typeface="Calibri" panose="020F0502020204030204" pitchFamily="34" charset="0"/>
            </a:rPr>
            <a:t>)</a:t>
          </a:r>
          <a:endParaRPr lang="vi-VN" sz="1200" kern="1200">
            <a:latin typeface="Calibri" panose="020F0502020204030204" pitchFamily="34" charset="0"/>
          </a:endParaRPr>
        </a:p>
      </dsp:txBody>
      <dsp:txXfrm rot="10800000">
        <a:off x="1152066" y="427824"/>
        <a:ext cx="3773069" cy="327614"/>
      </dsp:txXfrm>
    </dsp:sp>
    <dsp:sp modelId="{4BBCF81F-CA11-4C07-B3C9-A80C0557FC84}">
      <dsp:nvSpPr>
        <dsp:cNvPr id="0" name=""/>
        <dsp:cNvSpPr/>
      </dsp:nvSpPr>
      <dsp:spPr>
        <a:xfrm>
          <a:off x="766250" y="427824"/>
          <a:ext cx="327614" cy="327614"/>
        </a:xfrm>
        <a:prstGeom prst="ellipse">
          <a:avLst/>
        </a:prstGeom>
        <a:blipFill rotWithShape="1">
          <a:blip xmlns:r="http://schemas.openxmlformats.org/officeDocument/2006/relationships" r:embed="rId2">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712BDAC-3DB1-4FE9-A71E-C52475FF27D9}">
      <dsp:nvSpPr>
        <dsp:cNvPr id="0" name=""/>
        <dsp:cNvSpPr/>
      </dsp:nvSpPr>
      <dsp:spPr>
        <a:xfrm rot="10800000">
          <a:off x="1070163" y="853233"/>
          <a:ext cx="3854972" cy="327614"/>
        </a:xfrm>
        <a:prstGeom prst="homePlate">
          <a:avLst/>
        </a:prstGeom>
        <a:solidFill>
          <a:schemeClr val="accent2">
            <a:hueOff val="15356"/>
            <a:satOff val="-2026"/>
            <a:lumOff val="520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3. </a:t>
          </a:r>
          <a:r>
            <a:rPr lang="en-US" sz="1200" b="0" i="0" u="none" kern="1200">
              <a:latin typeface="Calibri" panose="020F0502020204030204" pitchFamily="34" charset="0"/>
            </a:rPr>
            <a:t>Cinematografe</a:t>
          </a:r>
          <a:r>
            <a:rPr lang="ro-RO" sz="1200" b="0" i="0" u="none" kern="1200">
              <a:latin typeface="Calibri" panose="020F0502020204030204" pitchFamily="34" charset="0"/>
            </a:rPr>
            <a:t> (</a:t>
          </a:r>
          <a:r>
            <a:rPr lang="en-US" sz="1200" b="0" i="0" u="none" kern="1200">
              <a:latin typeface="Calibri" panose="020F0502020204030204" pitchFamily="34" charset="0"/>
            </a:rPr>
            <a:t>32,5%</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52066" y="853233"/>
        <a:ext cx="3773069" cy="327614"/>
      </dsp:txXfrm>
    </dsp:sp>
    <dsp:sp modelId="{19A708BA-A5B8-4320-A740-588936C281C1}">
      <dsp:nvSpPr>
        <dsp:cNvPr id="0" name=""/>
        <dsp:cNvSpPr/>
      </dsp:nvSpPr>
      <dsp:spPr>
        <a:xfrm>
          <a:off x="766250" y="853233"/>
          <a:ext cx="327614" cy="327614"/>
        </a:xfrm>
        <a:prstGeom prst="ellipse">
          <a:avLst/>
        </a:prstGeom>
        <a:blipFill rotWithShape="1">
          <a:blip xmlns:r="http://schemas.openxmlformats.org/officeDocument/2006/relationships" r:embed="rId3">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93E1D2-6B47-453C-B4D3-9E7A3FADFBD5}">
      <dsp:nvSpPr>
        <dsp:cNvPr id="0" name=""/>
        <dsp:cNvSpPr/>
      </dsp:nvSpPr>
      <dsp:spPr>
        <a:xfrm rot="10800000">
          <a:off x="1070163" y="1278643"/>
          <a:ext cx="3854972" cy="327614"/>
        </a:xfrm>
        <a:prstGeom prst="homePlate">
          <a:avLst/>
        </a:prstGeom>
        <a:solidFill>
          <a:schemeClr val="accent2">
            <a:hueOff val="23034"/>
            <a:satOff val="-3038"/>
            <a:lumOff val="78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4. </a:t>
          </a:r>
          <a:r>
            <a:rPr lang="vi-VN" sz="1200" b="0" i="0" u="none" kern="1200">
              <a:latin typeface="Calibri" panose="020F0502020204030204" pitchFamily="34" charset="0"/>
            </a:rPr>
            <a:t>Săli și terenuri de sport</a:t>
          </a:r>
          <a:r>
            <a:rPr lang="ro-RO" sz="1200" b="0" i="0" u="none" kern="1200">
              <a:latin typeface="Calibri" panose="020F0502020204030204" pitchFamily="34" charset="0"/>
            </a:rPr>
            <a:t> (</a:t>
          </a:r>
          <a:r>
            <a:rPr lang="vi-VN" sz="1200" b="0" i="0" u="none" kern="1200">
              <a:latin typeface="Calibri" panose="020F0502020204030204" pitchFamily="34" charset="0"/>
            </a:rPr>
            <a:t>26,3%</a:t>
          </a:r>
          <a:r>
            <a:rPr lang="ro-RO" sz="1200" b="0" i="0" u="none" kern="1200">
              <a:latin typeface="Calibri" panose="020F0502020204030204" pitchFamily="34" charset="0"/>
            </a:rPr>
            <a:t>)</a:t>
          </a:r>
          <a:endParaRPr lang="vi-VN" sz="1200" kern="1200">
            <a:latin typeface="Calibri" panose="020F0502020204030204" pitchFamily="34" charset="0"/>
          </a:endParaRPr>
        </a:p>
      </dsp:txBody>
      <dsp:txXfrm rot="10800000">
        <a:off x="1152066" y="1278643"/>
        <a:ext cx="3773069" cy="327614"/>
      </dsp:txXfrm>
    </dsp:sp>
    <dsp:sp modelId="{72D1FAA7-2333-44F5-B10A-B7B35D531C71}">
      <dsp:nvSpPr>
        <dsp:cNvPr id="0" name=""/>
        <dsp:cNvSpPr/>
      </dsp:nvSpPr>
      <dsp:spPr>
        <a:xfrm>
          <a:off x="766250" y="1278643"/>
          <a:ext cx="327614" cy="327614"/>
        </a:xfrm>
        <a:prstGeom prst="ellipse">
          <a:avLst/>
        </a:prstGeom>
        <a:blipFill rotWithShape="1">
          <a:blip xmlns:r="http://schemas.openxmlformats.org/officeDocument/2006/relationships" r:embed="rId4">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D21260D-43B8-4D74-9DC0-8C36EBD3EB8B}">
      <dsp:nvSpPr>
        <dsp:cNvPr id="0" name=""/>
        <dsp:cNvSpPr/>
      </dsp:nvSpPr>
      <dsp:spPr>
        <a:xfrm rot="10800000">
          <a:off x="1070163" y="1704052"/>
          <a:ext cx="3854972" cy="327614"/>
        </a:xfrm>
        <a:prstGeom prst="homePlate">
          <a:avLst/>
        </a:prstGeom>
        <a:solidFill>
          <a:schemeClr val="accent2">
            <a:hueOff val="30712"/>
            <a:satOff val="-4051"/>
            <a:lumOff val="1041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5. </a:t>
          </a:r>
          <a:r>
            <a:rPr lang="en-US" sz="1200" b="0" i="0" u="none" kern="1200">
              <a:latin typeface="Calibri" panose="020F0502020204030204" pitchFamily="34" charset="0"/>
            </a:rPr>
            <a:t>Teatre</a:t>
          </a:r>
          <a:r>
            <a:rPr lang="ro-RO" sz="1200" b="0" i="0" u="none" kern="1200">
              <a:latin typeface="Calibri" panose="020F0502020204030204" pitchFamily="34" charset="0"/>
            </a:rPr>
            <a:t> (</a:t>
          </a:r>
          <a:r>
            <a:rPr lang="en-US" sz="1200" b="0" i="0" u="none" kern="1200">
              <a:latin typeface="Calibri" panose="020F0502020204030204" pitchFamily="34" charset="0"/>
            </a:rPr>
            <a:t>24,6%</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52066" y="1704052"/>
        <a:ext cx="3773069" cy="327614"/>
      </dsp:txXfrm>
    </dsp:sp>
    <dsp:sp modelId="{DC171DC7-891F-4DC5-BC4D-23A6B9820E18}">
      <dsp:nvSpPr>
        <dsp:cNvPr id="0" name=""/>
        <dsp:cNvSpPr/>
      </dsp:nvSpPr>
      <dsp:spPr>
        <a:xfrm>
          <a:off x="766250" y="1704052"/>
          <a:ext cx="327614" cy="327614"/>
        </a:xfrm>
        <a:prstGeom prst="ellipse">
          <a:avLst/>
        </a:prstGeom>
        <a:blipFill rotWithShape="1">
          <a:blip xmlns:r="http://schemas.openxmlformats.org/officeDocument/2006/relationships" r:embed="rId5">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BF78609-C74A-4CD9-B1C6-10CC62DD85F8}">
      <dsp:nvSpPr>
        <dsp:cNvPr id="0" name=""/>
        <dsp:cNvSpPr/>
      </dsp:nvSpPr>
      <dsp:spPr>
        <a:xfrm rot="10800000">
          <a:off x="1070163" y="2129461"/>
          <a:ext cx="3854972" cy="327614"/>
        </a:xfrm>
        <a:prstGeom prst="homePlate">
          <a:avLst/>
        </a:prstGeom>
        <a:solidFill>
          <a:schemeClr val="accent2">
            <a:hueOff val="38391"/>
            <a:satOff val="-5064"/>
            <a:lumOff val="1301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6. </a:t>
          </a:r>
          <a:r>
            <a:rPr lang="en-US" sz="1200" b="0" i="0" u="none" kern="1200">
              <a:latin typeface="Calibri" panose="020F0502020204030204" pitchFamily="34" charset="0"/>
            </a:rPr>
            <a:t>Biblioteci</a:t>
          </a:r>
          <a:r>
            <a:rPr lang="ro-RO" sz="1200" b="0" i="0" u="none" kern="1200">
              <a:latin typeface="Calibri" panose="020F0502020204030204" pitchFamily="34" charset="0"/>
            </a:rPr>
            <a:t> (</a:t>
          </a:r>
          <a:r>
            <a:rPr lang="en-US" sz="1200" b="0" i="0" u="none" kern="1200">
              <a:latin typeface="Calibri" panose="020F0502020204030204" pitchFamily="34" charset="0"/>
            </a:rPr>
            <a:t>19,4%</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52066" y="2129461"/>
        <a:ext cx="3773069" cy="327614"/>
      </dsp:txXfrm>
    </dsp:sp>
    <dsp:sp modelId="{8F7457BE-8A37-434B-81FF-213D8158967C}">
      <dsp:nvSpPr>
        <dsp:cNvPr id="0" name=""/>
        <dsp:cNvSpPr/>
      </dsp:nvSpPr>
      <dsp:spPr>
        <a:xfrm>
          <a:off x="766250" y="2129461"/>
          <a:ext cx="327614" cy="327614"/>
        </a:xfrm>
        <a:prstGeom prst="ellipse">
          <a:avLst/>
        </a:prstGeom>
        <a:blipFill rotWithShape="1">
          <a:blip xmlns:r="http://schemas.openxmlformats.org/officeDocument/2006/relationships" r:embed="rId6">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A53F0AB-1CC3-44DF-B4CF-43978A7C554A}">
      <dsp:nvSpPr>
        <dsp:cNvPr id="0" name=""/>
        <dsp:cNvSpPr/>
      </dsp:nvSpPr>
      <dsp:spPr>
        <a:xfrm rot="10800000">
          <a:off x="1070163" y="2554871"/>
          <a:ext cx="3854972" cy="327614"/>
        </a:xfrm>
        <a:prstGeom prst="homePlate">
          <a:avLst/>
        </a:prstGeom>
        <a:solidFill>
          <a:schemeClr val="accent2">
            <a:hueOff val="46069"/>
            <a:satOff val="-6077"/>
            <a:lumOff val="1561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7. </a:t>
          </a:r>
          <a:r>
            <a:rPr lang="en-US" sz="1200" b="0" i="0" u="none" kern="1200">
              <a:latin typeface="Calibri" panose="020F0502020204030204" pitchFamily="34" charset="0"/>
            </a:rPr>
            <a:t>Muzee</a:t>
          </a:r>
          <a:r>
            <a:rPr lang="ro-RO" sz="1200" b="0" i="0" u="none" kern="1200">
              <a:latin typeface="Calibri" panose="020F0502020204030204" pitchFamily="34" charset="0"/>
            </a:rPr>
            <a:t> (</a:t>
          </a:r>
          <a:r>
            <a:rPr lang="en-US" sz="1200" b="0" i="0" u="none" kern="1200">
              <a:latin typeface="Calibri" panose="020F0502020204030204" pitchFamily="34" charset="0"/>
            </a:rPr>
            <a:t>18,2%</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52066" y="2554871"/>
        <a:ext cx="3773069" cy="327614"/>
      </dsp:txXfrm>
    </dsp:sp>
    <dsp:sp modelId="{E6264255-F488-47A1-BC0B-09DEE0B663A9}">
      <dsp:nvSpPr>
        <dsp:cNvPr id="0" name=""/>
        <dsp:cNvSpPr/>
      </dsp:nvSpPr>
      <dsp:spPr>
        <a:xfrm>
          <a:off x="766250" y="2554871"/>
          <a:ext cx="327614" cy="327614"/>
        </a:xfrm>
        <a:prstGeom prst="ellipse">
          <a:avLst/>
        </a:prstGeom>
        <a:blipFill rotWithShape="1">
          <a:blip xmlns:r="http://schemas.openxmlformats.org/officeDocument/2006/relationships" r:embed="rId7">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8814761-A5CB-4D22-BAF6-F9042EDAF522}">
      <dsp:nvSpPr>
        <dsp:cNvPr id="0" name=""/>
        <dsp:cNvSpPr/>
      </dsp:nvSpPr>
      <dsp:spPr>
        <a:xfrm rot="10800000">
          <a:off x="1070163" y="2980280"/>
          <a:ext cx="3854972" cy="327614"/>
        </a:xfrm>
        <a:prstGeom prst="homePlate">
          <a:avLst/>
        </a:prstGeom>
        <a:solidFill>
          <a:schemeClr val="accent2">
            <a:hueOff val="53747"/>
            <a:satOff val="-7090"/>
            <a:lumOff val="1821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8. </a:t>
          </a:r>
          <a:r>
            <a:rPr lang="en-US" sz="1200" b="0" i="0" u="none" kern="1200">
              <a:latin typeface="Calibri" panose="020F0502020204030204" pitchFamily="34" charset="0"/>
            </a:rPr>
            <a:t>Ștranduri/bazine de înot</a:t>
          </a:r>
          <a:r>
            <a:rPr lang="ro-RO" sz="1200" b="0" i="0" u="none" kern="1200">
              <a:latin typeface="Calibri" panose="020F0502020204030204" pitchFamily="34" charset="0"/>
            </a:rPr>
            <a:t> (</a:t>
          </a:r>
          <a:r>
            <a:rPr lang="en-US" sz="1200" b="0" i="0" u="none" kern="1200">
              <a:latin typeface="Calibri" panose="020F0502020204030204" pitchFamily="34" charset="0"/>
            </a:rPr>
            <a:t>17,8%</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52066" y="2980280"/>
        <a:ext cx="3773069" cy="327614"/>
      </dsp:txXfrm>
    </dsp:sp>
    <dsp:sp modelId="{D1DF6123-F126-40D3-B32B-D95DF6C96DE9}">
      <dsp:nvSpPr>
        <dsp:cNvPr id="0" name=""/>
        <dsp:cNvSpPr/>
      </dsp:nvSpPr>
      <dsp:spPr>
        <a:xfrm>
          <a:off x="766250" y="2980280"/>
          <a:ext cx="327614" cy="327614"/>
        </a:xfrm>
        <a:prstGeom prst="ellipse">
          <a:avLst/>
        </a:prstGeom>
        <a:blipFill rotWithShape="1">
          <a:blip xmlns:r="http://schemas.openxmlformats.org/officeDocument/2006/relationships" r:embed="rId8">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F5AE372-6BA1-4F82-89AA-7462472CF40E}">
      <dsp:nvSpPr>
        <dsp:cNvPr id="0" name=""/>
        <dsp:cNvSpPr/>
      </dsp:nvSpPr>
      <dsp:spPr>
        <a:xfrm rot="10800000">
          <a:off x="1052892" y="3405689"/>
          <a:ext cx="3854972" cy="327614"/>
        </a:xfrm>
        <a:prstGeom prst="homePlate">
          <a:avLst/>
        </a:prstGeom>
        <a:solidFill>
          <a:schemeClr val="accent2">
            <a:hueOff val="61425"/>
            <a:satOff val="-8103"/>
            <a:lumOff val="2082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9. </a:t>
          </a:r>
          <a:r>
            <a:rPr lang="en-US" sz="1200" b="0" i="0" u="none" kern="1200">
              <a:latin typeface="Calibri" panose="020F0502020204030204" pitchFamily="34" charset="0"/>
            </a:rPr>
            <a:t>Evenimente culturale și artistice</a:t>
          </a:r>
          <a:r>
            <a:rPr lang="ro-RO" sz="1200" b="0" i="0" u="none" kern="1200">
              <a:latin typeface="Calibri" panose="020F0502020204030204" pitchFamily="34" charset="0"/>
            </a:rPr>
            <a:t> (</a:t>
          </a:r>
          <a:r>
            <a:rPr lang="en-US" sz="1200" b="0" i="0" u="none" kern="1200">
              <a:latin typeface="Calibri" panose="020F0502020204030204" pitchFamily="34" charset="0"/>
            </a:rPr>
            <a:t>17,5%</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34795" y="3405689"/>
        <a:ext cx="3773069" cy="327614"/>
      </dsp:txXfrm>
    </dsp:sp>
    <dsp:sp modelId="{2C64D855-2ED8-4F6D-B048-244E5353AD0D}">
      <dsp:nvSpPr>
        <dsp:cNvPr id="0" name=""/>
        <dsp:cNvSpPr/>
      </dsp:nvSpPr>
      <dsp:spPr>
        <a:xfrm>
          <a:off x="766250" y="3405689"/>
          <a:ext cx="327614" cy="327614"/>
        </a:xfrm>
        <a:prstGeom prst="ellipse">
          <a:avLst/>
        </a:prstGeom>
        <a:blipFill rotWithShape="1">
          <a:blip xmlns:r="http://schemas.openxmlformats.org/officeDocument/2006/relationships" r:embed="rId9">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BE7AE64-7066-4587-AB19-7C4C18768981}">
      <dsp:nvSpPr>
        <dsp:cNvPr id="0" name=""/>
        <dsp:cNvSpPr/>
      </dsp:nvSpPr>
      <dsp:spPr>
        <a:xfrm rot="10800000">
          <a:off x="1052892" y="3831099"/>
          <a:ext cx="3854972" cy="327614"/>
        </a:xfrm>
        <a:prstGeom prst="homePlate">
          <a:avLst/>
        </a:prstGeom>
        <a:solidFill>
          <a:schemeClr val="accent2">
            <a:hueOff val="69103"/>
            <a:satOff val="-9115"/>
            <a:lumOff val="234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10. </a:t>
          </a:r>
          <a:r>
            <a:rPr lang="en-US" sz="1200" b="0" i="0" u="none" kern="1200">
              <a:latin typeface="Calibri" panose="020F0502020204030204" pitchFamily="34" charset="0"/>
            </a:rPr>
            <a:t>Zone de agrement și picnic</a:t>
          </a:r>
          <a:r>
            <a:rPr lang="ro-RO" sz="1200" b="0" i="0" u="none" kern="1200">
              <a:latin typeface="Calibri" panose="020F0502020204030204" pitchFamily="34" charset="0"/>
            </a:rPr>
            <a:t> (</a:t>
          </a:r>
          <a:r>
            <a:rPr lang="en-US" sz="1200" b="0" i="0" u="none" kern="1200">
              <a:latin typeface="Calibri" panose="020F0502020204030204" pitchFamily="34" charset="0"/>
            </a:rPr>
            <a:t>14,8%</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34795" y="3831099"/>
        <a:ext cx="3773069" cy="327614"/>
      </dsp:txXfrm>
    </dsp:sp>
    <dsp:sp modelId="{155EA40B-67C1-4794-82A7-58BB6F92DD8E}">
      <dsp:nvSpPr>
        <dsp:cNvPr id="0" name=""/>
        <dsp:cNvSpPr/>
      </dsp:nvSpPr>
      <dsp:spPr>
        <a:xfrm>
          <a:off x="766250" y="3831099"/>
          <a:ext cx="327614" cy="327614"/>
        </a:xfrm>
        <a:prstGeom prst="ellipse">
          <a:avLst/>
        </a:prstGeom>
        <a:blipFill rotWithShape="1">
          <a:blip xmlns:r="http://schemas.openxmlformats.org/officeDocument/2006/relationships" r:embed="rId10">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9201ADE-1042-4404-A612-7665B09DA37B}">
      <dsp:nvSpPr>
        <dsp:cNvPr id="0" name=""/>
        <dsp:cNvSpPr/>
      </dsp:nvSpPr>
      <dsp:spPr>
        <a:xfrm rot="10800000">
          <a:off x="1052892" y="4256508"/>
          <a:ext cx="3854972" cy="327614"/>
        </a:xfrm>
        <a:prstGeom prst="homePlate">
          <a:avLst/>
        </a:prstGeom>
        <a:solidFill>
          <a:schemeClr val="accent2">
            <a:hueOff val="76781"/>
            <a:satOff val="-10128"/>
            <a:lumOff val="2602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11. </a:t>
          </a:r>
          <a:r>
            <a:rPr lang="en-US" sz="1200" b="0" i="0" u="none" kern="1200">
              <a:latin typeface="Calibri" panose="020F0502020204030204" pitchFamily="34" charset="0"/>
            </a:rPr>
            <a:t>Concerte</a:t>
          </a:r>
          <a:r>
            <a:rPr lang="ro-RO" sz="1200" b="0" i="0" u="none" kern="1200">
              <a:latin typeface="Calibri" panose="020F0502020204030204" pitchFamily="34" charset="0"/>
            </a:rPr>
            <a:t> (</a:t>
          </a:r>
          <a:r>
            <a:rPr lang="en-US" sz="1200" b="0" i="0" u="none" kern="1200">
              <a:latin typeface="Calibri" panose="020F0502020204030204" pitchFamily="34" charset="0"/>
            </a:rPr>
            <a:t>13,3%</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34795" y="4256508"/>
        <a:ext cx="3773069" cy="327614"/>
      </dsp:txXfrm>
    </dsp:sp>
    <dsp:sp modelId="{EC552F7F-B5C0-42B0-884E-F8B748ADFE7C}">
      <dsp:nvSpPr>
        <dsp:cNvPr id="0" name=""/>
        <dsp:cNvSpPr/>
      </dsp:nvSpPr>
      <dsp:spPr>
        <a:xfrm>
          <a:off x="766250" y="4256508"/>
          <a:ext cx="327614" cy="327614"/>
        </a:xfrm>
        <a:prstGeom prst="ellipse">
          <a:avLst/>
        </a:prstGeom>
        <a:blipFill rotWithShape="1">
          <a:blip xmlns:r="http://schemas.openxmlformats.org/officeDocument/2006/relationships" r:embed="rId11">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08B34C4-13C8-471E-BC6A-1A88EA8BDCB5}">
      <dsp:nvSpPr>
        <dsp:cNvPr id="0" name=""/>
        <dsp:cNvSpPr/>
      </dsp:nvSpPr>
      <dsp:spPr>
        <a:xfrm rot="10800000">
          <a:off x="1052892" y="4681917"/>
          <a:ext cx="3854972" cy="327614"/>
        </a:xfrm>
        <a:prstGeom prst="homePlate">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4469" tIns="45720" rIns="85344" bIns="45720" numCol="1" spcCol="1270" anchor="ctr" anchorCtr="0">
          <a:noAutofit/>
        </a:bodyPr>
        <a:lstStyle/>
        <a:p>
          <a:pPr marL="0" lvl="0" indent="0" algn="ctr" defTabSz="533400">
            <a:lnSpc>
              <a:spcPct val="90000"/>
            </a:lnSpc>
            <a:spcBef>
              <a:spcPct val="0"/>
            </a:spcBef>
            <a:spcAft>
              <a:spcPct val="35000"/>
            </a:spcAft>
            <a:buNone/>
          </a:pPr>
          <a:r>
            <a:rPr lang="ro-RO" sz="1200" b="0" i="0" u="none" kern="1200">
              <a:latin typeface="Calibri" panose="020F0502020204030204" pitchFamily="34" charset="0"/>
            </a:rPr>
            <a:t>12. </a:t>
          </a:r>
          <a:r>
            <a:rPr lang="en-US" sz="1200" b="0" i="0" u="none" kern="1200">
              <a:latin typeface="Calibri" panose="020F0502020204030204" pitchFamily="34" charset="0"/>
            </a:rPr>
            <a:t>Patinoare</a:t>
          </a:r>
          <a:r>
            <a:rPr lang="ro-RO" sz="1200" b="0" i="0" u="none" kern="1200">
              <a:latin typeface="Calibri" panose="020F0502020204030204" pitchFamily="34" charset="0"/>
            </a:rPr>
            <a:t> (</a:t>
          </a:r>
          <a:r>
            <a:rPr lang="en-US" sz="1200" b="0" i="0" u="none" kern="1200">
              <a:latin typeface="Calibri" panose="020F0502020204030204" pitchFamily="34" charset="0"/>
            </a:rPr>
            <a:t>9,5%</a:t>
          </a:r>
          <a:r>
            <a:rPr lang="ro-RO" sz="1200" b="0" i="0" u="none" kern="1200">
              <a:latin typeface="Calibri" panose="020F0502020204030204" pitchFamily="34" charset="0"/>
            </a:rPr>
            <a:t>)</a:t>
          </a:r>
          <a:endParaRPr lang="en-US" sz="1200" kern="1200">
            <a:latin typeface="Calibri" panose="020F0502020204030204" pitchFamily="34" charset="0"/>
          </a:endParaRPr>
        </a:p>
      </dsp:txBody>
      <dsp:txXfrm rot="10800000">
        <a:off x="1134795" y="4681917"/>
        <a:ext cx="3773069" cy="327614"/>
      </dsp:txXfrm>
    </dsp:sp>
    <dsp:sp modelId="{4FAB7A38-FD3A-429A-A727-E7F5DEBAC7FE}">
      <dsp:nvSpPr>
        <dsp:cNvPr id="0" name=""/>
        <dsp:cNvSpPr/>
      </dsp:nvSpPr>
      <dsp:spPr>
        <a:xfrm>
          <a:off x="766250" y="4681917"/>
          <a:ext cx="327614" cy="327614"/>
        </a:xfrm>
        <a:prstGeom prst="ellipse">
          <a:avLst/>
        </a:prstGeom>
        <a:blipFill rotWithShape="1">
          <a:blip xmlns:r="http://schemas.openxmlformats.org/officeDocument/2006/relationships" r:embed="rId12">
            <a:duotone>
              <a:schemeClr val="accent2">
                <a:shade val="45000"/>
                <a:satMod val="135000"/>
              </a:schemeClr>
              <a:prstClr val="white"/>
            </a:duotone>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A0DF62-B5BD-4387-BA36-DE41FFB236E9}">
      <dsp:nvSpPr>
        <dsp:cNvPr id="0" name=""/>
        <dsp:cNvSpPr/>
      </dsp:nvSpPr>
      <dsp:spPr>
        <a:xfrm>
          <a:off x="2577" y="91866"/>
          <a:ext cx="1127078" cy="676246"/>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Spectacole în aer liber</a:t>
          </a:r>
          <a:endParaRPr lang="en-US" sz="900" b="1" kern="1200"/>
        </a:p>
      </dsp:txBody>
      <dsp:txXfrm>
        <a:off x="22384" y="111673"/>
        <a:ext cx="1087464" cy="636632"/>
      </dsp:txXfrm>
    </dsp:sp>
    <dsp:sp modelId="{BAA38824-1475-4925-9AD8-1EF726066BD1}">
      <dsp:nvSpPr>
        <dsp:cNvPr id="0" name=""/>
        <dsp:cNvSpPr/>
      </dsp:nvSpPr>
      <dsp:spPr>
        <a:xfrm>
          <a:off x="1328468" y="384269"/>
          <a:ext cx="91440" cy="91440"/>
        </a:xfrm>
        <a:prstGeom prst="flowChartConnector">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a:off x="1328468" y="402557"/>
        <a:ext cx="64008" cy="54864"/>
      </dsp:txXfrm>
    </dsp:sp>
    <dsp:sp modelId="{E5C7FA49-1574-481B-A463-1E4C73515823}">
      <dsp:nvSpPr>
        <dsp:cNvPr id="0" name=""/>
        <dsp:cNvSpPr/>
      </dsp:nvSpPr>
      <dsp:spPr>
        <a:xfrm>
          <a:off x="1580487" y="91866"/>
          <a:ext cx="1127078" cy="676246"/>
        </a:xfrm>
        <a:prstGeom prst="roundRect">
          <a:avLst>
            <a:gd name="adj" fmla="val 10000"/>
          </a:avLst>
        </a:prstGeom>
        <a:solidFill>
          <a:schemeClr val="accent2">
            <a:hueOff val="9384"/>
            <a:satOff val="-1238"/>
            <a:lumOff val="318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Expoziții</a:t>
          </a:r>
          <a:endParaRPr lang="en-US" sz="900" b="1" kern="1200"/>
        </a:p>
      </dsp:txBody>
      <dsp:txXfrm>
        <a:off x="1600294" y="111673"/>
        <a:ext cx="1087464" cy="636632"/>
      </dsp:txXfrm>
    </dsp:sp>
    <dsp:sp modelId="{505AA2F3-F19C-476F-9E23-AD40A4A8A72F}">
      <dsp:nvSpPr>
        <dsp:cNvPr id="0" name=""/>
        <dsp:cNvSpPr/>
      </dsp:nvSpPr>
      <dsp:spPr>
        <a:xfrm>
          <a:off x="2906378" y="384269"/>
          <a:ext cx="91440" cy="91440"/>
        </a:xfrm>
        <a:prstGeom prst="flowChartConnector">
          <a:avLst/>
        </a:prstGeom>
        <a:solidFill>
          <a:schemeClr val="accent2">
            <a:hueOff val="10557"/>
            <a:satOff val="-1393"/>
            <a:lumOff val="357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a:off x="2906378" y="402557"/>
        <a:ext cx="64008" cy="54864"/>
      </dsp:txXfrm>
    </dsp:sp>
    <dsp:sp modelId="{88E73AA8-89A8-4BA5-A821-0561BE5730D3}">
      <dsp:nvSpPr>
        <dsp:cNvPr id="0" name=""/>
        <dsp:cNvSpPr/>
      </dsp:nvSpPr>
      <dsp:spPr>
        <a:xfrm>
          <a:off x="3158396" y="91866"/>
          <a:ext cx="1127078" cy="676246"/>
        </a:xfrm>
        <a:prstGeom prst="roundRect">
          <a:avLst>
            <a:gd name="adj" fmla="val 10000"/>
          </a:avLst>
        </a:prstGeom>
        <a:solidFill>
          <a:schemeClr val="accent2">
            <a:hueOff val="18769"/>
            <a:satOff val="-2476"/>
            <a:lumOff val="63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Zone de agrement, cafenele, restaurante amenajate pe malul lacurilor;</a:t>
          </a:r>
          <a:endParaRPr lang="en-US" sz="900" b="1" kern="1200"/>
        </a:p>
      </dsp:txBody>
      <dsp:txXfrm>
        <a:off x="3178203" y="111673"/>
        <a:ext cx="1087464" cy="636632"/>
      </dsp:txXfrm>
    </dsp:sp>
    <dsp:sp modelId="{54F2A966-971B-41A5-967F-2B7D25BF5138}">
      <dsp:nvSpPr>
        <dsp:cNvPr id="0" name=""/>
        <dsp:cNvSpPr/>
      </dsp:nvSpPr>
      <dsp:spPr>
        <a:xfrm>
          <a:off x="4484287" y="384269"/>
          <a:ext cx="91440" cy="91440"/>
        </a:xfrm>
        <a:prstGeom prst="flowChartConnector">
          <a:avLst/>
        </a:prstGeom>
        <a:solidFill>
          <a:schemeClr val="accent2">
            <a:hueOff val="21115"/>
            <a:satOff val="-2785"/>
            <a:lumOff val="715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a:off x="4484287" y="402557"/>
        <a:ext cx="64008" cy="54864"/>
      </dsp:txXfrm>
    </dsp:sp>
    <dsp:sp modelId="{7119A070-5EDB-4568-ABBE-8EB94A52FF18}">
      <dsp:nvSpPr>
        <dsp:cNvPr id="0" name=""/>
        <dsp:cNvSpPr/>
      </dsp:nvSpPr>
      <dsp:spPr>
        <a:xfrm>
          <a:off x="4736306" y="91866"/>
          <a:ext cx="1127078" cy="676246"/>
        </a:xfrm>
        <a:prstGeom prst="roundRect">
          <a:avLst>
            <a:gd name="adj" fmla="val 10000"/>
          </a:avLst>
        </a:prstGeom>
        <a:solidFill>
          <a:schemeClr val="accent2">
            <a:hueOff val="28153"/>
            <a:satOff val="-3714"/>
            <a:lumOff val="95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Baze sportive</a:t>
          </a:r>
          <a:endParaRPr lang="en-US" sz="900" b="1" kern="1200"/>
        </a:p>
      </dsp:txBody>
      <dsp:txXfrm>
        <a:off x="4756113" y="111673"/>
        <a:ext cx="1087464" cy="636632"/>
      </dsp:txXfrm>
    </dsp:sp>
    <dsp:sp modelId="{129D6DF5-297A-4DB5-A121-02E6A0CE839F}">
      <dsp:nvSpPr>
        <dsp:cNvPr id="0" name=""/>
        <dsp:cNvSpPr/>
      </dsp:nvSpPr>
      <dsp:spPr>
        <a:xfrm rot="5400000">
          <a:off x="5280004" y="941046"/>
          <a:ext cx="91440" cy="91440"/>
        </a:xfrm>
        <a:prstGeom prst="flowChartConnector">
          <a:avLst/>
        </a:prstGeom>
        <a:solidFill>
          <a:schemeClr val="accent2">
            <a:hueOff val="31672"/>
            <a:satOff val="-4178"/>
            <a:lumOff val="1073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rot="-5400000">
        <a:off x="5298292" y="941046"/>
        <a:ext cx="54864" cy="64008"/>
      </dsp:txXfrm>
    </dsp:sp>
    <dsp:sp modelId="{2408F85E-45AE-462D-BB94-A36187B02D81}">
      <dsp:nvSpPr>
        <dsp:cNvPr id="0" name=""/>
        <dsp:cNvSpPr/>
      </dsp:nvSpPr>
      <dsp:spPr>
        <a:xfrm>
          <a:off x="4736306" y="1218944"/>
          <a:ext cx="1127078" cy="676246"/>
        </a:xfrm>
        <a:prstGeom prst="roundRect">
          <a:avLst>
            <a:gd name="adj" fmla="val 10000"/>
          </a:avLst>
        </a:prstGeom>
        <a:solidFill>
          <a:schemeClr val="accent2">
            <a:hueOff val="37537"/>
            <a:satOff val="-4952"/>
            <a:lumOff val="127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Cinema în aer liber</a:t>
          </a:r>
          <a:endParaRPr lang="en-US" sz="900" b="1" kern="1200"/>
        </a:p>
      </dsp:txBody>
      <dsp:txXfrm>
        <a:off x="4756113" y="1238751"/>
        <a:ext cx="1087464" cy="636632"/>
      </dsp:txXfrm>
    </dsp:sp>
    <dsp:sp modelId="{2706CDD0-D92C-449C-A9C8-3B5EB99F1763}">
      <dsp:nvSpPr>
        <dsp:cNvPr id="0" name=""/>
        <dsp:cNvSpPr/>
      </dsp:nvSpPr>
      <dsp:spPr>
        <a:xfrm rot="10800000">
          <a:off x="4497812" y="1511347"/>
          <a:ext cx="91440" cy="91440"/>
        </a:xfrm>
        <a:prstGeom prst="flowChartConnector">
          <a:avLst/>
        </a:prstGeom>
        <a:solidFill>
          <a:schemeClr val="accent2">
            <a:hueOff val="42230"/>
            <a:satOff val="-5571"/>
            <a:lumOff val="1431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rot="10800000">
        <a:off x="4525244" y="1529635"/>
        <a:ext cx="64008" cy="54864"/>
      </dsp:txXfrm>
    </dsp:sp>
    <dsp:sp modelId="{C4B99722-F42D-4FD1-B2A8-27ED522B8759}">
      <dsp:nvSpPr>
        <dsp:cNvPr id="0" name=""/>
        <dsp:cNvSpPr/>
      </dsp:nvSpPr>
      <dsp:spPr>
        <a:xfrm>
          <a:off x="3158396" y="1218944"/>
          <a:ext cx="1127078" cy="676246"/>
        </a:xfrm>
        <a:prstGeom prst="roundRect">
          <a:avLst>
            <a:gd name="adj" fmla="val 10000"/>
          </a:avLst>
        </a:prstGeom>
        <a:solidFill>
          <a:schemeClr val="accent2">
            <a:hueOff val="46922"/>
            <a:satOff val="-6189"/>
            <a:lumOff val="1590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Cluburi de activități pentru diverse vârste</a:t>
          </a:r>
          <a:endParaRPr lang="en-US" sz="900" b="1" kern="1200"/>
        </a:p>
      </dsp:txBody>
      <dsp:txXfrm>
        <a:off x="3178203" y="1238751"/>
        <a:ext cx="1087464" cy="636632"/>
      </dsp:txXfrm>
    </dsp:sp>
    <dsp:sp modelId="{F6946FE1-F68C-4E2B-A22A-99508BC2959B}">
      <dsp:nvSpPr>
        <dsp:cNvPr id="0" name=""/>
        <dsp:cNvSpPr/>
      </dsp:nvSpPr>
      <dsp:spPr>
        <a:xfrm rot="10800000">
          <a:off x="2919903" y="1511347"/>
          <a:ext cx="91440" cy="91440"/>
        </a:xfrm>
        <a:prstGeom prst="flowChartConnector">
          <a:avLst/>
        </a:prstGeom>
        <a:solidFill>
          <a:schemeClr val="accent2">
            <a:hueOff val="52787"/>
            <a:satOff val="-6963"/>
            <a:lumOff val="1789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rot="10800000">
        <a:off x="2947335" y="1529635"/>
        <a:ext cx="64008" cy="54864"/>
      </dsp:txXfrm>
    </dsp:sp>
    <dsp:sp modelId="{DD953057-941A-4247-9926-1B93B0D07826}">
      <dsp:nvSpPr>
        <dsp:cNvPr id="0" name=""/>
        <dsp:cNvSpPr/>
      </dsp:nvSpPr>
      <dsp:spPr>
        <a:xfrm>
          <a:off x="1580487" y="1218944"/>
          <a:ext cx="1127078" cy="676246"/>
        </a:xfrm>
        <a:prstGeom prst="roundRect">
          <a:avLst>
            <a:gd name="adj" fmla="val 10000"/>
          </a:avLst>
        </a:prstGeom>
        <a:solidFill>
          <a:schemeClr val="accent2">
            <a:hueOff val="56306"/>
            <a:satOff val="-7427"/>
            <a:lumOff val="190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Competiții și întreceri sportive</a:t>
          </a:r>
          <a:endParaRPr lang="en-US" sz="900" b="1" kern="1200"/>
        </a:p>
      </dsp:txBody>
      <dsp:txXfrm>
        <a:off x="1600294" y="1238751"/>
        <a:ext cx="1087464" cy="636632"/>
      </dsp:txXfrm>
    </dsp:sp>
    <dsp:sp modelId="{42933904-1F3A-486D-BD6A-CC6F121EBB02}">
      <dsp:nvSpPr>
        <dsp:cNvPr id="0" name=""/>
        <dsp:cNvSpPr/>
      </dsp:nvSpPr>
      <dsp:spPr>
        <a:xfrm rot="10800000">
          <a:off x="1341993" y="1511347"/>
          <a:ext cx="91440" cy="91440"/>
        </a:xfrm>
        <a:prstGeom prst="flowChartConnector">
          <a:avLst/>
        </a:prstGeom>
        <a:solidFill>
          <a:schemeClr val="accent2">
            <a:hueOff val="63344"/>
            <a:satOff val="-8356"/>
            <a:lumOff val="2147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rot="10800000">
        <a:off x="1369425" y="1529635"/>
        <a:ext cx="64008" cy="54864"/>
      </dsp:txXfrm>
    </dsp:sp>
    <dsp:sp modelId="{CD3DF0D4-B4B9-44CC-903B-902658351D98}">
      <dsp:nvSpPr>
        <dsp:cNvPr id="0" name=""/>
        <dsp:cNvSpPr/>
      </dsp:nvSpPr>
      <dsp:spPr>
        <a:xfrm>
          <a:off x="2577" y="1218944"/>
          <a:ext cx="1127078" cy="676246"/>
        </a:xfrm>
        <a:prstGeom prst="roundRect">
          <a:avLst>
            <a:gd name="adj" fmla="val 10000"/>
          </a:avLst>
        </a:prstGeom>
        <a:solidFill>
          <a:schemeClr val="accent2">
            <a:hueOff val="65691"/>
            <a:satOff val="-8665"/>
            <a:lumOff val="2226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Plimbări cu barca</a:t>
          </a:r>
          <a:endParaRPr lang="en-US" sz="900" b="1" kern="1200"/>
        </a:p>
      </dsp:txBody>
      <dsp:txXfrm>
        <a:off x="22384" y="1238751"/>
        <a:ext cx="1087464" cy="636632"/>
      </dsp:txXfrm>
    </dsp:sp>
    <dsp:sp modelId="{48F5FF48-DC86-4F82-A1D1-79DECD7C37AD}">
      <dsp:nvSpPr>
        <dsp:cNvPr id="0" name=""/>
        <dsp:cNvSpPr/>
      </dsp:nvSpPr>
      <dsp:spPr>
        <a:xfrm rot="5400000">
          <a:off x="520396" y="2068124"/>
          <a:ext cx="91440" cy="91440"/>
        </a:xfrm>
        <a:prstGeom prst="flowChartConnector">
          <a:avLst/>
        </a:prstGeom>
        <a:solidFill>
          <a:schemeClr val="accent2">
            <a:hueOff val="73902"/>
            <a:satOff val="-9748"/>
            <a:lumOff val="2505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rot="-5400000">
        <a:off x="538684" y="2068124"/>
        <a:ext cx="54864" cy="64008"/>
      </dsp:txXfrm>
    </dsp:sp>
    <dsp:sp modelId="{8F875879-8919-4E43-8314-634FA1604F1A}">
      <dsp:nvSpPr>
        <dsp:cNvPr id="0" name=""/>
        <dsp:cNvSpPr/>
      </dsp:nvSpPr>
      <dsp:spPr>
        <a:xfrm>
          <a:off x="2577" y="2346022"/>
          <a:ext cx="1127078" cy="676246"/>
        </a:xfrm>
        <a:prstGeom prst="roundRect">
          <a:avLst>
            <a:gd name="adj" fmla="val 10000"/>
          </a:avLst>
        </a:prstGeom>
        <a:solidFill>
          <a:schemeClr val="accent2">
            <a:hueOff val="75075"/>
            <a:satOff val="-9903"/>
            <a:lumOff val="2544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Târguri</a:t>
          </a:r>
          <a:endParaRPr lang="en-US" sz="900" b="1" kern="1200"/>
        </a:p>
      </dsp:txBody>
      <dsp:txXfrm>
        <a:off x="22384" y="2365829"/>
        <a:ext cx="1087464" cy="636632"/>
      </dsp:txXfrm>
    </dsp:sp>
    <dsp:sp modelId="{7B7635C6-3F05-4C83-AC58-61AF40024EE7}">
      <dsp:nvSpPr>
        <dsp:cNvPr id="0" name=""/>
        <dsp:cNvSpPr/>
      </dsp:nvSpPr>
      <dsp:spPr>
        <a:xfrm>
          <a:off x="1302589" y="2638425"/>
          <a:ext cx="91440" cy="91440"/>
        </a:xfrm>
        <a:prstGeom prst="flowChartConnector">
          <a:avLst/>
        </a:prstGeom>
        <a:solidFill>
          <a:schemeClr val="accent2">
            <a:hueOff val="84459"/>
            <a:satOff val="-11141"/>
            <a:lumOff val="2862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p>
      </dsp:txBody>
      <dsp:txXfrm>
        <a:off x="1302589" y="2656713"/>
        <a:ext cx="64008" cy="54864"/>
      </dsp:txXfrm>
    </dsp:sp>
    <dsp:sp modelId="{903C4ED8-2109-4F0C-BA90-D2C12EF980D6}">
      <dsp:nvSpPr>
        <dsp:cNvPr id="0" name=""/>
        <dsp:cNvSpPr/>
      </dsp:nvSpPr>
      <dsp:spPr>
        <a:xfrm>
          <a:off x="1580487" y="2346022"/>
          <a:ext cx="1127078" cy="676246"/>
        </a:xfrm>
        <a:prstGeom prst="roundRect">
          <a:avLst>
            <a:gd name="adj" fmla="val 10000"/>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lt-LT" sz="900" b="1" kern="1200"/>
            <a:t>Zone de promenadă</a:t>
          </a:r>
          <a:endParaRPr lang="en-US" sz="900" b="1" kern="1200"/>
        </a:p>
      </dsp:txBody>
      <dsp:txXfrm>
        <a:off x="1600294" y="2365829"/>
        <a:ext cx="1087464" cy="636632"/>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52F177-89F7-4BF1-B27C-A844AD3BB7B6}">
      <dsp:nvSpPr>
        <dsp:cNvPr id="0" name=""/>
        <dsp:cNvSpPr/>
      </dsp:nvSpPr>
      <dsp:spPr>
        <a:xfrm rot="5400000">
          <a:off x="303355" y="285575"/>
          <a:ext cx="405879" cy="49107"/>
        </a:xfrm>
        <a:prstGeom prst="rect">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B77E9B3-A788-42AB-BB9A-B2A209E090F6}">
      <dsp:nvSpPr>
        <dsp:cNvPr id="0" name=""/>
        <dsp:cNvSpPr/>
      </dsp:nvSpPr>
      <dsp:spPr>
        <a:xfrm>
          <a:off x="3452" y="24722"/>
          <a:ext cx="1329718" cy="327382"/>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Ciclismul</a:t>
          </a:r>
          <a:endParaRPr lang="en-US" sz="1200" b="1" kern="1200">
            <a:latin typeface="+mn-lt"/>
          </a:endParaRPr>
        </a:p>
      </dsp:txBody>
      <dsp:txXfrm>
        <a:off x="13041" y="34311"/>
        <a:ext cx="1310540" cy="308204"/>
      </dsp:txXfrm>
    </dsp:sp>
    <dsp:sp modelId="{7E5E804F-277B-4B08-B2F0-8DE0A5BB6524}">
      <dsp:nvSpPr>
        <dsp:cNvPr id="0" name=""/>
        <dsp:cNvSpPr/>
      </dsp:nvSpPr>
      <dsp:spPr>
        <a:xfrm rot="5400000">
          <a:off x="303355" y="694803"/>
          <a:ext cx="405879" cy="49107"/>
        </a:xfrm>
        <a:prstGeom prst="rect">
          <a:avLst/>
        </a:prstGeom>
        <a:solidFill>
          <a:schemeClr val="accent2">
            <a:hueOff val="6497"/>
            <a:satOff val="-857"/>
            <a:lumOff val="220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A3C154-7BC7-44FC-B036-F9F5A75D7FE8}">
      <dsp:nvSpPr>
        <dsp:cNvPr id="0" name=""/>
        <dsp:cNvSpPr/>
      </dsp:nvSpPr>
      <dsp:spPr>
        <a:xfrm>
          <a:off x="3452" y="433951"/>
          <a:ext cx="1329718" cy="327382"/>
        </a:xfrm>
        <a:prstGeom prst="roundRect">
          <a:avLst>
            <a:gd name="adj" fmla="val 10000"/>
          </a:avLst>
        </a:prstGeom>
        <a:solidFill>
          <a:schemeClr val="accent2">
            <a:hueOff val="6033"/>
            <a:satOff val="-796"/>
            <a:lumOff val="20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Atletismul</a:t>
          </a:r>
          <a:endParaRPr lang="en-US" sz="1200" b="1" kern="1200">
            <a:latin typeface="+mn-lt"/>
          </a:endParaRPr>
        </a:p>
      </dsp:txBody>
      <dsp:txXfrm>
        <a:off x="13041" y="443540"/>
        <a:ext cx="1310540" cy="308204"/>
      </dsp:txXfrm>
    </dsp:sp>
    <dsp:sp modelId="{BF819EAB-9701-477A-9E63-C93CC283F116}">
      <dsp:nvSpPr>
        <dsp:cNvPr id="0" name=""/>
        <dsp:cNvSpPr/>
      </dsp:nvSpPr>
      <dsp:spPr>
        <a:xfrm rot="5400000">
          <a:off x="303355" y="1104031"/>
          <a:ext cx="405879" cy="49107"/>
        </a:xfrm>
        <a:prstGeom prst="rect">
          <a:avLst/>
        </a:prstGeom>
        <a:solidFill>
          <a:schemeClr val="accent2">
            <a:hueOff val="12994"/>
            <a:satOff val="-1714"/>
            <a:lumOff val="440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1752EB8-56DE-45FB-A014-55B5646A9D98}">
      <dsp:nvSpPr>
        <dsp:cNvPr id="0" name=""/>
        <dsp:cNvSpPr/>
      </dsp:nvSpPr>
      <dsp:spPr>
        <a:xfrm>
          <a:off x="3452" y="843179"/>
          <a:ext cx="1329718" cy="327382"/>
        </a:xfrm>
        <a:prstGeom prst="roundRect">
          <a:avLst>
            <a:gd name="adj" fmla="val 10000"/>
          </a:avLst>
        </a:prstGeom>
        <a:solidFill>
          <a:schemeClr val="accent2">
            <a:hueOff val="12066"/>
            <a:satOff val="-1592"/>
            <a:lumOff val="409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Fotbalul</a:t>
          </a:r>
          <a:endParaRPr lang="en-US" sz="1200" b="1" kern="1200">
            <a:latin typeface="+mn-lt"/>
          </a:endParaRPr>
        </a:p>
      </dsp:txBody>
      <dsp:txXfrm>
        <a:off x="13041" y="852768"/>
        <a:ext cx="1310540" cy="308204"/>
      </dsp:txXfrm>
    </dsp:sp>
    <dsp:sp modelId="{16F86CA0-2A94-4993-82B4-CB45107F22C2}">
      <dsp:nvSpPr>
        <dsp:cNvPr id="0" name=""/>
        <dsp:cNvSpPr/>
      </dsp:nvSpPr>
      <dsp:spPr>
        <a:xfrm>
          <a:off x="510375" y="1308645"/>
          <a:ext cx="1501618" cy="49107"/>
        </a:xfrm>
        <a:prstGeom prst="rect">
          <a:avLst/>
        </a:prstGeom>
        <a:solidFill>
          <a:schemeClr val="accent2">
            <a:hueOff val="19491"/>
            <a:satOff val="-2571"/>
            <a:lumOff val="660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C452F4A-F1F7-42B9-A9FF-835D2F74E705}">
      <dsp:nvSpPr>
        <dsp:cNvPr id="0" name=""/>
        <dsp:cNvSpPr/>
      </dsp:nvSpPr>
      <dsp:spPr>
        <a:xfrm>
          <a:off x="3452" y="1252407"/>
          <a:ext cx="1329718" cy="327382"/>
        </a:xfrm>
        <a:prstGeom prst="roundRect">
          <a:avLst>
            <a:gd name="adj" fmla="val 10000"/>
          </a:avLst>
        </a:prstGeom>
        <a:solidFill>
          <a:schemeClr val="accent2">
            <a:hueOff val="18098"/>
            <a:satOff val="-2387"/>
            <a:lumOff val="613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Înotul</a:t>
          </a:r>
          <a:endParaRPr lang="en-US" sz="1200" b="1" kern="1200">
            <a:latin typeface="+mn-lt"/>
          </a:endParaRPr>
        </a:p>
      </dsp:txBody>
      <dsp:txXfrm>
        <a:off x="13041" y="1261996"/>
        <a:ext cx="1310540" cy="308204"/>
      </dsp:txXfrm>
    </dsp:sp>
    <dsp:sp modelId="{6249109B-5754-4471-822D-304658190D73}">
      <dsp:nvSpPr>
        <dsp:cNvPr id="0" name=""/>
        <dsp:cNvSpPr/>
      </dsp:nvSpPr>
      <dsp:spPr>
        <a:xfrm rot="16200000">
          <a:off x="1813134" y="1104031"/>
          <a:ext cx="405879" cy="49107"/>
        </a:xfrm>
        <a:prstGeom prst="rect">
          <a:avLst/>
        </a:prstGeom>
        <a:solidFill>
          <a:schemeClr val="accent2">
            <a:hueOff val="25987"/>
            <a:satOff val="-3428"/>
            <a:lumOff val="880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689F224-1D77-4737-BA4B-E173E5FE3E64}">
      <dsp:nvSpPr>
        <dsp:cNvPr id="0" name=""/>
        <dsp:cNvSpPr/>
      </dsp:nvSpPr>
      <dsp:spPr>
        <a:xfrm>
          <a:off x="1513232" y="1252407"/>
          <a:ext cx="1329718" cy="327382"/>
        </a:xfrm>
        <a:prstGeom prst="roundRect">
          <a:avLst>
            <a:gd name="adj" fmla="val 10000"/>
          </a:avLst>
        </a:prstGeom>
        <a:solidFill>
          <a:schemeClr val="accent2">
            <a:hueOff val="24131"/>
            <a:satOff val="-3183"/>
            <a:lumOff val="818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Tenisul</a:t>
          </a:r>
          <a:endParaRPr lang="en-US" sz="1200" b="1" kern="1200">
            <a:latin typeface="+mn-lt"/>
          </a:endParaRPr>
        </a:p>
      </dsp:txBody>
      <dsp:txXfrm>
        <a:off x="1522821" y="1261996"/>
        <a:ext cx="1310540" cy="308204"/>
      </dsp:txXfrm>
    </dsp:sp>
    <dsp:sp modelId="{6A4DA005-25DF-4873-BD6B-7526E3C8CCF9}">
      <dsp:nvSpPr>
        <dsp:cNvPr id="0" name=""/>
        <dsp:cNvSpPr/>
      </dsp:nvSpPr>
      <dsp:spPr>
        <a:xfrm rot="16200000">
          <a:off x="1813134" y="694803"/>
          <a:ext cx="405879" cy="49107"/>
        </a:xfrm>
        <a:prstGeom prst="rect">
          <a:avLst/>
        </a:prstGeom>
        <a:solidFill>
          <a:schemeClr val="accent2">
            <a:hueOff val="32484"/>
            <a:satOff val="-4285"/>
            <a:lumOff val="11011"/>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D596098-14C0-42D2-93A8-09DDA883C91F}">
      <dsp:nvSpPr>
        <dsp:cNvPr id="0" name=""/>
        <dsp:cNvSpPr/>
      </dsp:nvSpPr>
      <dsp:spPr>
        <a:xfrm>
          <a:off x="1513232" y="843179"/>
          <a:ext cx="1329718" cy="327382"/>
        </a:xfrm>
        <a:prstGeom prst="roundRect">
          <a:avLst>
            <a:gd name="adj" fmla="val 10000"/>
          </a:avLst>
        </a:prstGeom>
        <a:solidFill>
          <a:schemeClr val="accent2">
            <a:hueOff val="30164"/>
            <a:satOff val="-3979"/>
            <a:lumOff val="102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Baschetul</a:t>
          </a:r>
          <a:endParaRPr lang="en-US" sz="1200" b="1" kern="1200">
            <a:latin typeface="+mn-lt"/>
          </a:endParaRPr>
        </a:p>
      </dsp:txBody>
      <dsp:txXfrm>
        <a:off x="1522821" y="852768"/>
        <a:ext cx="1310540" cy="308204"/>
      </dsp:txXfrm>
    </dsp:sp>
    <dsp:sp modelId="{EE4EFB79-3FC2-4483-8A7C-EBAF9F4D5519}">
      <dsp:nvSpPr>
        <dsp:cNvPr id="0" name=""/>
        <dsp:cNvSpPr/>
      </dsp:nvSpPr>
      <dsp:spPr>
        <a:xfrm rot="16200000">
          <a:off x="1813134" y="285575"/>
          <a:ext cx="405879" cy="49107"/>
        </a:xfrm>
        <a:prstGeom prst="rect">
          <a:avLst/>
        </a:prstGeom>
        <a:solidFill>
          <a:schemeClr val="accent2">
            <a:hueOff val="38981"/>
            <a:satOff val="-5142"/>
            <a:lumOff val="1321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62174CD-03E2-474A-A657-A342AB4FDFA4}">
      <dsp:nvSpPr>
        <dsp:cNvPr id="0" name=""/>
        <dsp:cNvSpPr/>
      </dsp:nvSpPr>
      <dsp:spPr>
        <a:xfrm>
          <a:off x="1513232" y="433951"/>
          <a:ext cx="1329718" cy="327382"/>
        </a:xfrm>
        <a:prstGeom prst="roundRect">
          <a:avLst>
            <a:gd name="adj" fmla="val 10000"/>
          </a:avLst>
        </a:prstGeom>
        <a:solidFill>
          <a:schemeClr val="accent2">
            <a:hueOff val="36197"/>
            <a:satOff val="-4775"/>
            <a:lumOff val="1227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Voleiul</a:t>
          </a:r>
          <a:endParaRPr lang="en-US" sz="1200" b="1" kern="1200">
            <a:latin typeface="+mn-lt"/>
          </a:endParaRPr>
        </a:p>
      </dsp:txBody>
      <dsp:txXfrm>
        <a:off x="1522821" y="443540"/>
        <a:ext cx="1310540" cy="308204"/>
      </dsp:txXfrm>
    </dsp:sp>
    <dsp:sp modelId="{6C4DB1DA-E84D-428F-AFE8-BEA493817CE8}">
      <dsp:nvSpPr>
        <dsp:cNvPr id="0" name=""/>
        <dsp:cNvSpPr/>
      </dsp:nvSpPr>
      <dsp:spPr>
        <a:xfrm>
          <a:off x="2020154" y="80961"/>
          <a:ext cx="1501618" cy="49107"/>
        </a:xfrm>
        <a:prstGeom prst="rect">
          <a:avLst/>
        </a:prstGeom>
        <a:solidFill>
          <a:schemeClr val="accent2">
            <a:hueOff val="45478"/>
            <a:satOff val="-5999"/>
            <a:lumOff val="1541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A338E23-E461-440D-9ECB-B7CD36F6F1E8}">
      <dsp:nvSpPr>
        <dsp:cNvPr id="0" name=""/>
        <dsp:cNvSpPr/>
      </dsp:nvSpPr>
      <dsp:spPr>
        <a:xfrm>
          <a:off x="1513232" y="24722"/>
          <a:ext cx="1329718" cy="327382"/>
        </a:xfrm>
        <a:prstGeom prst="roundRect">
          <a:avLst>
            <a:gd name="adj" fmla="val 10000"/>
          </a:avLst>
        </a:prstGeom>
        <a:solidFill>
          <a:schemeClr val="accent2">
            <a:hueOff val="42230"/>
            <a:satOff val="-5571"/>
            <a:lumOff val="1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Patinajul</a:t>
          </a:r>
          <a:endParaRPr lang="en-US" sz="1200" b="1" kern="1200">
            <a:latin typeface="+mn-lt"/>
          </a:endParaRPr>
        </a:p>
      </dsp:txBody>
      <dsp:txXfrm>
        <a:off x="1522821" y="34311"/>
        <a:ext cx="1310540" cy="308204"/>
      </dsp:txXfrm>
    </dsp:sp>
    <dsp:sp modelId="{36511616-59A4-4883-A6E9-8FB79AEC2264}">
      <dsp:nvSpPr>
        <dsp:cNvPr id="0" name=""/>
        <dsp:cNvSpPr/>
      </dsp:nvSpPr>
      <dsp:spPr>
        <a:xfrm rot="5400000">
          <a:off x="3322913" y="285575"/>
          <a:ext cx="405879" cy="49107"/>
        </a:xfrm>
        <a:prstGeom prst="rect">
          <a:avLst/>
        </a:prstGeom>
        <a:solidFill>
          <a:schemeClr val="accent2">
            <a:hueOff val="51975"/>
            <a:satOff val="-6856"/>
            <a:lumOff val="1761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BD8DDF-70E4-4113-A635-EBD83BA5F48D}">
      <dsp:nvSpPr>
        <dsp:cNvPr id="0" name=""/>
        <dsp:cNvSpPr/>
      </dsp:nvSpPr>
      <dsp:spPr>
        <a:xfrm>
          <a:off x="3023011" y="24722"/>
          <a:ext cx="1329718" cy="327382"/>
        </a:xfrm>
        <a:prstGeom prst="roundRect">
          <a:avLst>
            <a:gd name="adj" fmla="val 10000"/>
          </a:avLst>
        </a:prstGeom>
        <a:solidFill>
          <a:schemeClr val="accent2">
            <a:hueOff val="48262"/>
            <a:satOff val="-6366"/>
            <a:lumOff val="163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Tenisul</a:t>
          </a:r>
          <a:endParaRPr lang="en-US" sz="1200" b="1" kern="1200">
            <a:latin typeface="+mn-lt"/>
          </a:endParaRPr>
        </a:p>
      </dsp:txBody>
      <dsp:txXfrm>
        <a:off x="3032600" y="34311"/>
        <a:ext cx="1310540" cy="308204"/>
      </dsp:txXfrm>
    </dsp:sp>
    <dsp:sp modelId="{EA92CDBB-1130-4B97-97F6-782DD3F05445}">
      <dsp:nvSpPr>
        <dsp:cNvPr id="0" name=""/>
        <dsp:cNvSpPr/>
      </dsp:nvSpPr>
      <dsp:spPr>
        <a:xfrm rot="5400000">
          <a:off x="3322913" y="694803"/>
          <a:ext cx="405879" cy="49107"/>
        </a:xfrm>
        <a:prstGeom prst="rect">
          <a:avLst/>
        </a:prstGeom>
        <a:solidFill>
          <a:schemeClr val="accent2">
            <a:hueOff val="58472"/>
            <a:satOff val="-7713"/>
            <a:lumOff val="1982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5EE9100-3C1F-4ABC-B2B6-F9F07CAD9747}">
      <dsp:nvSpPr>
        <dsp:cNvPr id="0" name=""/>
        <dsp:cNvSpPr/>
      </dsp:nvSpPr>
      <dsp:spPr>
        <a:xfrm>
          <a:off x="3023011" y="433951"/>
          <a:ext cx="1329718" cy="327382"/>
        </a:xfrm>
        <a:prstGeom prst="roundRect">
          <a:avLst>
            <a:gd name="adj" fmla="val 10000"/>
          </a:avLst>
        </a:prstGeom>
        <a:solidFill>
          <a:schemeClr val="accent2">
            <a:hueOff val="54295"/>
            <a:satOff val="-7162"/>
            <a:lumOff val="1840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Dansul sportiv</a:t>
          </a:r>
          <a:endParaRPr lang="en-US" sz="1200" b="1" kern="1200">
            <a:latin typeface="+mn-lt"/>
          </a:endParaRPr>
        </a:p>
      </dsp:txBody>
      <dsp:txXfrm>
        <a:off x="3032600" y="443540"/>
        <a:ext cx="1310540" cy="308204"/>
      </dsp:txXfrm>
    </dsp:sp>
    <dsp:sp modelId="{1B099936-63E1-47D5-BD57-89EC087AE135}">
      <dsp:nvSpPr>
        <dsp:cNvPr id="0" name=""/>
        <dsp:cNvSpPr/>
      </dsp:nvSpPr>
      <dsp:spPr>
        <a:xfrm rot="5400000">
          <a:off x="3322913" y="1104031"/>
          <a:ext cx="405879" cy="49107"/>
        </a:xfrm>
        <a:prstGeom prst="rect">
          <a:avLst/>
        </a:prstGeom>
        <a:solidFill>
          <a:schemeClr val="accent2">
            <a:hueOff val="64969"/>
            <a:satOff val="-8570"/>
            <a:lumOff val="2202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18DE3D6-9E91-4C2B-92FB-CA8A9C3B5D4B}">
      <dsp:nvSpPr>
        <dsp:cNvPr id="0" name=""/>
        <dsp:cNvSpPr/>
      </dsp:nvSpPr>
      <dsp:spPr>
        <a:xfrm>
          <a:off x="3023011" y="843179"/>
          <a:ext cx="1329718" cy="327382"/>
        </a:xfrm>
        <a:prstGeom prst="roundRect">
          <a:avLst>
            <a:gd name="adj" fmla="val 10000"/>
          </a:avLst>
        </a:prstGeom>
        <a:solidFill>
          <a:schemeClr val="accent2">
            <a:hueOff val="60328"/>
            <a:satOff val="-7958"/>
            <a:lumOff val="204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Fitnessul</a:t>
          </a:r>
          <a:endParaRPr lang="en-US" sz="1200" b="1" kern="1200">
            <a:latin typeface="+mn-lt"/>
          </a:endParaRPr>
        </a:p>
      </dsp:txBody>
      <dsp:txXfrm>
        <a:off x="3032600" y="852768"/>
        <a:ext cx="1310540" cy="308204"/>
      </dsp:txXfrm>
    </dsp:sp>
    <dsp:sp modelId="{D47557DB-D4F2-4077-AD26-8B2E52E3066A}">
      <dsp:nvSpPr>
        <dsp:cNvPr id="0" name=""/>
        <dsp:cNvSpPr/>
      </dsp:nvSpPr>
      <dsp:spPr>
        <a:xfrm>
          <a:off x="3529933" y="1308645"/>
          <a:ext cx="1501618" cy="49107"/>
        </a:xfrm>
        <a:prstGeom prst="rect">
          <a:avLst/>
        </a:prstGeom>
        <a:solidFill>
          <a:schemeClr val="accent2">
            <a:hueOff val="71465"/>
            <a:satOff val="-9427"/>
            <a:lumOff val="2422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C7E7D62-845B-422C-99B0-37F41FCA4DAA}">
      <dsp:nvSpPr>
        <dsp:cNvPr id="0" name=""/>
        <dsp:cNvSpPr/>
      </dsp:nvSpPr>
      <dsp:spPr>
        <a:xfrm>
          <a:off x="3023011" y="1252407"/>
          <a:ext cx="1329718" cy="327382"/>
        </a:xfrm>
        <a:prstGeom prst="roundRect">
          <a:avLst>
            <a:gd name="adj" fmla="val 10000"/>
          </a:avLst>
        </a:prstGeom>
        <a:solidFill>
          <a:schemeClr val="accent2">
            <a:hueOff val="66361"/>
            <a:satOff val="-8754"/>
            <a:lumOff val="224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Gimnastică</a:t>
          </a:r>
          <a:endParaRPr lang="en-US" sz="1200" b="1" kern="1200">
            <a:latin typeface="+mn-lt"/>
          </a:endParaRPr>
        </a:p>
      </dsp:txBody>
      <dsp:txXfrm>
        <a:off x="3032600" y="1261996"/>
        <a:ext cx="1310540" cy="308204"/>
      </dsp:txXfrm>
    </dsp:sp>
    <dsp:sp modelId="{77FCDCB5-4715-4F0B-B31D-E848FC80EE76}">
      <dsp:nvSpPr>
        <dsp:cNvPr id="0" name=""/>
        <dsp:cNvSpPr/>
      </dsp:nvSpPr>
      <dsp:spPr>
        <a:xfrm rot="16200000">
          <a:off x="4832693" y="1104031"/>
          <a:ext cx="405879" cy="49107"/>
        </a:xfrm>
        <a:prstGeom prst="rect">
          <a:avLst/>
        </a:prstGeom>
        <a:solidFill>
          <a:schemeClr val="accent2">
            <a:hueOff val="77962"/>
            <a:satOff val="-10284"/>
            <a:lumOff val="2642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BB2194A-5648-4934-AF78-1BED7839C026}">
      <dsp:nvSpPr>
        <dsp:cNvPr id="0" name=""/>
        <dsp:cNvSpPr/>
      </dsp:nvSpPr>
      <dsp:spPr>
        <a:xfrm>
          <a:off x="4532790" y="1252407"/>
          <a:ext cx="1329718" cy="327382"/>
        </a:xfrm>
        <a:prstGeom prst="roundRect">
          <a:avLst>
            <a:gd name="adj" fmla="val 10000"/>
          </a:avLst>
        </a:prstGeom>
        <a:solidFill>
          <a:schemeClr val="accent2">
            <a:hueOff val="72394"/>
            <a:satOff val="-9549"/>
            <a:lumOff val="2453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Handbalul</a:t>
          </a:r>
          <a:endParaRPr lang="en-US" sz="1200" b="1" kern="1200">
            <a:latin typeface="+mn-lt"/>
          </a:endParaRPr>
        </a:p>
      </dsp:txBody>
      <dsp:txXfrm>
        <a:off x="4542379" y="1261996"/>
        <a:ext cx="1310540" cy="308204"/>
      </dsp:txXfrm>
    </dsp:sp>
    <dsp:sp modelId="{E41479F4-0BFE-48D1-A31F-959991BAB221}">
      <dsp:nvSpPr>
        <dsp:cNvPr id="0" name=""/>
        <dsp:cNvSpPr/>
      </dsp:nvSpPr>
      <dsp:spPr>
        <a:xfrm rot="16200000">
          <a:off x="4832693" y="694803"/>
          <a:ext cx="405879" cy="49107"/>
        </a:xfrm>
        <a:prstGeom prst="rect">
          <a:avLst/>
        </a:prstGeom>
        <a:solidFill>
          <a:schemeClr val="accent2">
            <a:hueOff val="84459"/>
            <a:satOff val="-11141"/>
            <a:lumOff val="2862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8BE02A1-0718-4A9A-8032-E9FA821FC71E}">
      <dsp:nvSpPr>
        <dsp:cNvPr id="0" name=""/>
        <dsp:cNvSpPr/>
      </dsp:nvSpPr>
      <dsp:spPr>
        <a:xfrm>
          <a:off x="4532790" y="843179"/>
          <a:ext cx="1329718" cy="327382"/>
        </a:xfrm>
        <a:prstGeom prst="roundRect">
          <a:avLst>
            <a:gd name="adj" fmla="val 10000"/>
          </a:avLst>
        </a:prstGeom>
        <a:solidFill>
          <a:schemeClr val="accent2">
            <a:hueOff val="78426"/>
            <a:satOff val="-10345"/>
            <a:lumOff val="2658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Tenisul de masă</a:t>
          </a:r>
          <a:endParaRPr lang="en-US" sz="1200" b="1" kern="1200">
            <a:latin typeface="+mn-lt"/>
          </a:endParaRPr>
        </a:p>
      </dsp:txBody>
      <dsp:txXfrm>
        <a:off x="4542379" y="852768"/>
        <a:ext cx="1310540" cy="308204"/>
      </dsp:txXfrm>
    </dsp:sp>
    <dsp:sp modelId="{2C363D66-ACAE-448F-9969-FAEC67A96493}">
      <dsp:nvSpPr>
        <dsp:cNvPr id="0" name=""/>
        <dsp:cNvSpPr/>
      </dsp:nvSpPr>
      <dsp:spPr>
        <a:xfrm>
          <a:off x="4532790" y="433951"/>
          <a:ext cx="1329718" cy="327382"/>
        </a:xfrm>
        <a:prstGeom prst="roundRect">
          <a:avLst>
            <a:gd name="adj" fmla="val 10000"/>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t-LT" sz="1200" b="1" kern="1200">
              <a:latin typeface="+mn-lt"/>
            </a:rPr>
            <a:t>Artele marțiale</a:t>
          </a:r>
          <a:endParaRPr lang="en-US" sz="1200" b="1" kern="1200">
            <a:latin typeface="+mn-lt"/>
          </a:endParaRPr>
        </a:p>
      </dsp:txBody>
      <dsp:txXfrm>
        <a:off x="4542379" y="443540"/>
        <a:ext cx="1310540" cy="308204"/>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9CF49D-F215-46ED-BD4E-D97BAA4C6DB6}">
      <dsp:nvSpPr>
        <dsp:cNvPr id="0" name=""/>
        <dsp:cNvSpPr/>
      </dsp:nvSpPr>
      <dsp:spPr>
        <a:xfrm>
          <a:off x="142245" y="1556"/>
          <a:ext cx="740079" cy="444047"/>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1967</a:t>
          </a:r>
          <a:endParaRPr lang="en-US" sz="1400" b="1" kern="1200"/>
        </a:p>
      </dsp:txBody>
      <dsp:txXfrm>
        <a:off x="142245" y="1556"/>
        <a:ext cx="740079" cy="444047"/>
      </dsp:txXfrm>
    </dsp:sp>
    <dsp:sp modelId="{651E86AC-558B-476D-B7FB-00A9DB7EF75B}">
      <dsp:nvSpPr>
        <dsp:cNvPr id="0" name=""/>
        <dsp:cNvSpPr/>
      </dsp:nvSpPr>
      <dsp:spPr>
        <a:xfrm>
          <a:off x="956332" y="1556"/>
          <a:ext cx="740079" cy="444047"/>
        </a:xfrm>
        <a:prstGeom prst="rect">
          <a:avLst/>
        </a:prstGeom>
        <a:solidFill>
          <a:schemeClr val="accent2">
            <a:hueOff val="3128"/>
            <a:satOff val="-413"/>
            <a:lumOff val="106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1974</a:t>
          </a:r>
          <a:endParaRPr lang="en-US" sz="1400" b="1" kern="1200"/>
        </a:p>
      </dsp:txBody>
      <dsp:txXfrm>
        <a:off x="956332" y="1556"/>
        <a:ext cx="740079" cy="444047"/>
      </dsp:txXfrm>
    </dsp:sp>
    <dsp:sp modelId="{41979AAD-AB30-4E55-8098-90AAB825259A}">
      <dsp:nvSpPr>
        <dsp:cNvPr id="0" name=""/>
        <dsp:cNvSpPr/>
      </dsp:nvSpPr>
      <dsp:spPr>
        <a:xfrm>
          <a:off x="1770419" y="1556"/>
          <a:ext cx="740079" cy="444047"/>
        </a:xfrm>
        <a:prstGeom prst="rect">
          <a:avLst/>
        </a:prstGeom>
        <a:solidFill>
          <a:schemeClr val="accent2">
            <a:hueOff val="6256"/>
            <a:satOff val="-825"/>
            <a:lumOff val="212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1991</a:t>
          </a:r>
          <a:endParaRPr lang="en-US" sz="1400" b="1" kern="1200"/>
        </a:p>
      </dsp:txBody>
      <dsp:txXfrm>
        <a:off x="1770419" y="1556"/>
        <a:ext cx="740079" cy="444047"/>
      </dsp:txXfrm>
    </dsp:sp>
    <dsp:sp modelId="{8477D550-DAD1-4A1C-8A6C-99A636F0EF8C}">
      <dsp:nvSpPr>
        <dsp:cNvPr id="0" name=""/>
        <dsp:cNvSpPr/>
      </dsp:nvSpPr>
      <dsp:spPr>
        <a:xfrm>
          <a:off x="2584507" y="1556"/>
          <a:ext cx="740079" cy="444047"/>
        </a:xfrm>
        <a:prstGeom prst="rect">
          <a:avLst/>
        </a:prstGeom>
        <a:solidFill>
          <a:schemeClr val="accent2">
            <a:hueOff val="9384"/>
            <a:satOff val="-1238"/>
            <a:lumOff val="318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1993</a:t>
          </a:r>
          <a:endParaRPr lang="en-US" sz="1400" b="1" kern="1200"/>
        </a:p>
      </dsp:txBody>
      <dsp:txXfrm>
        <a:off x="2584507" y="1556"/>
        <a:ext cx="740079" cy="444047"/>
      </dsp:txXfrm>
    </dsp:sp>
    <dsp:sp modelId="{B9FE2EAC-0ADE-48F8-9B26-EB3134668DAD}">
      <dsp:nvSpPr>
        <dsp:cNvPr id="0" name=""/>
        <dsp:cNvSpPr/>
      </dsp:nvSpPr>
      <dsp:spPr>
        <a:xfrm>
          <a:off x="3398594" y="1556"/>
          <a:ext cx="740079" cy="444047"/>
        </a:xfrm>
        <a:prstGeom prst="rect">
          <a:avLst/>
        </a:prstGeom>
        <a:solidFill>
          <a:schemeClr val="accent2">
            <a:hueOff val="12512"/>
            <a:satOff val="-1651"/>
            <a:lumOff val="424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1994</a:t>
          </a:r>
          <a:endParaRPr lang="en-US" sz="1400" b="1" kern="1200"/>
        </a:p>
      </dsp:txBody>
      <dsp:txXfrm>
        <a:off x="3398594" y="1556"/>
        <a:ext cx="740079" cy="444047"/>
      </dsp:txXfrm>
    </dsp:sp>
    <dsp:sp modelId="{73224CA7-5964-4610-A43E-8E254AC83BFB}">
      <dsp:nvSpPr>
        <dsp:cNvPr id="0" name=""/>
        <dsp:cNvSpPr/>
      </dsp:nvSpPr>
      <dsp:spPr>
        <a:xfrm>
          <a:off x="4212681" y="1556"/>
          <a:ext cx="740079" cy="444047"/>
        </a:xfrm>
        <a:prstGeom prst="rect">
          <a:avLst/>
        </a:prstGeom>
        <a:solidFill>
          <a:schemeClr val="accent2">
            <a:hueOff val="15641"/>
            <a:satOff val="-2063"/>
            <a:lumOff val="530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1995</a:t>
          </a:r>
          <a:endParaRPr lang="en-US" sz="1400" b="1" kern="1200"/>
        </a:p>
      </dsp:txBody>
      <dsp:txXfrm>
        <a:off x="4212681" y="1556"/>
        <a:ext cx="740079" cy="444047"/>
      </dsp:txXfrm>
    </dsp:sp>
    <dsp:sp modelId="{C488466A-DBB3-459F-A3BF-720E154F9F35}">
      <dsp:nvSpPr>
        <dsp:cNvPr id="0" name=""/>
        <dsp:cNvSpPr/>
      </dsp:nvSpPr>
      <dsp:spPr>
        <a:xfrm>
          <a:off x="5026769" y="1556"/>
          <a:ext cx="740079" cy="444047"/>
        </a:xfrm>
        <a:prstGeom prst="rect">
          <a:avLst/>
        </a:prstGeom>
        <a:solidFill>
          <a:schemeClr val="accent2">
            <a:hueOff val="18769"/>
            <a:satOff val="-2476"/>
            <a:lumOff val="63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1996</a:t>
          </a:r>
          <a:endParaRPr lang="en-US" sz="1400" b="1" kern="1200"/>
        </a:p>
      </dsp:txBody>
      <dsp:txXfrm>
        <a:off x="5026769" y="1556"/>
        <a:ext cx="740079" cy="444047"/>
      </dsp:txXfrm>
    </dsp:sp>
    <dsp:sp modelId="{E18F7B2E-E907-4ABA-968C-7D50FF97F5FB}">
      <dsp:nvSpPr>
        <dsp:cNvPr id="0" name=""/>
        <dsp:cNvSpPr/>
      </dsp:nvSpPr>
      <dsp:spPr>
        <a:xfrm>
          <a:off x="142245" y="519612"/>
          <a:ext cx="740079" cy="444047"/>
        </a:xfrm>
        <a:prstGeom prst="rect">
          <a:avLst/>
        </a:prstGeom>
        <a:solidFill>
          <a:schemeClr val="accent2">
            <a:hueOff val="21897"/>
            <a:satOff val="-2888"/>
            <a:lumOff val="742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1997</a:t>
          </a:r>
          <a:endParaRPr lang="en-US" sz="1400" b="1" kern="1200"/>
        </a:p>
      </dsp:txBody>
      <dsp:txXfrm>
        <a:off x="142245" y="519612"/>
        <a:ext cx="740079" cy="444047"/>
      </dsp:txXfrm>
    </dsp:sp>
    <dsp:sp modelId="{A78B879B-9AAE-4D20-9D2C-34DE49E75B48}">
      <dsp:nvSpPr>
        <dsp:cNvPr id="0" name=""/>
        <dsp:cNvSpPr/>
      </dsp:nvSpPr>
      <dsp:spPr>
        <a:xfrm>
          <a:off x="956332" y="519612"/>
          <a:ext cx="740079" cy="444047"/>
        </a:xfrm>
        <a:prstGeom prst="rect">
          <a:avLst/>
        </a:prstGeom>
        <a:solidFill>
          <a:schemeClr val="accent2">
            <a:hueOff val="25025"/>
            <a:satOff val="-3301"/>
            <a:lumOff val="848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1999</a:t>
          </a:r>
          <a:endParaRPr lang="en-US" sz="1400" b="1" kern="1200"/>
        </a:p>
      </dsp:txBody>
      <dsp:txXfrm>
        <a:off x="956332" y="519612"/>
        <a:ext cx="740079" cy="444047"/>
      </dsp:txXfrm>
    </dsp:sp>
    <dsp:sp modelId="{5ED8724D-7EF1-444E-B8EA-8032B0708C0B}">
      <dsp:nvSpPr>
        <dsp:cNvPr id="0" name=""/>
        <dsp:cNvSpPr/>
      </dsp:nvSpPr>
      <dsp:spPr>
        <a:xfrm>
          <a:off x="1770419" y="519612"/>
          <a:ext cx="740079" cy="444047"/>
        </a:xfrm>
        <a:prstGeom prst="rect">
          <a:avLst/>
        </a:prstGeom>
        <a:solidFill>
          <a:schemeClr val="accent2">
            <a:hueOff val="28153"/>
            <a:satOff val="-3714"/>
            <a:lumOff val="95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2000</a:t>
          </a:r>
          <a:endParaRPr lang="en-US" sz="1400" b="1" kern="1200"/>
        </a:p>
      </dsp:txBody>
      <dsp:txXfrm>
        <a:off x="1770419" y="519612"/>
        <a:ext cx="740079" cy="444047"/>
      </dsp:txXfrm>
    </dsp:sp>
    <dsp:sp modelId="{B9885551-BDCB-4317-85A8-4E251942E24D}">
      <dsp:nvSpPr>
        <dsp:cNvPr id="0" name=""/>
        <dsp:cNvSpPr/>
      </dsp:nvSpPr>
      <dsp:spPr>
        <a:xfrm>
          <a:off x="2584507" y="519612"/>
          <a:ext cx="740079" cy="444047"/>
        </a:xfrm>
        <a:prstGeom prst="rect">
          <a:avLst/>
        </a:prstGeom>
        <a:solidFill>
          <a:schemeClr val="accent2">
            <a:hueOff val="31281"/>
            <a:satOff val="-4126"/>
            <a:lumOff val="1060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2001</a:t>
          </a:r>
          <a:endParaRPr lang="en-US" sz="1400" b="1" kern="1200"/>
        </a:p>
      </dsp:txBody>
      <dsp:txXfrm>
        <a:off x="2584507" y="519612"/>
        <a:ext cx="740079" cy="444047"/>
      </dsp:txXfrm>
    </dsp:sp>
    <dsp:sp modelId="{9024C6CB-3FB9-4C28-BBC4-09EC1DA22CEC}">
      <dsp:nvSpPr>
        <dsp:cNvPr id="0" name=""/>
        <dsp:cNvSpPr/>
      </dsp:nvSpPr>
      <dsp:spPr>
        <a:xfrm>
          <a:off x="3398594" y="519612"/>
          <a:ext cx="740079" cy="444047"/>
        </a:xfrm>
        <a:prstGeom prst="rect">
          <a:avLst/>
        </a:prstGeom>
        <a:solidFill>
          <a:schemeClr val="accent2">
            <a:hueOff val="34409"/>
            <a:satOff val="-4539"/>
            <a:lumOff val="1166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2002</a:t>
          </a:r>
          <a:endParaRPr lang="en-US" sz="1400" b="1" kern="1200"/>
        </a:p>
      </dsp:txBody>
      <dsp:txXfrm>
        <a:off x="3398594" y="519612"/>
        <a:ext cx="740079" cy="444047"/>
      </dsp:txXfrm>
    </dsp:sp>
    <dsp:sp modelId="{067A955C-8D19-46DF-B438-FA05E4F378B5}">
      <dsp:nvSpPr>
        <dsp:cNvPr id="0" name=""/>
        <dsp:cNvSpPr/>
      </dsp:nvSpPr>
      <dsp:spPr>
        <a:xfrm>
          <a:off x="4212681" y="519612"/>
          <a:ext cx="740079" cy="444047"/>
        </a:xfrm>
        <a:prstGeom prst="rect">
          <a:avLst/>
        </a:prstGeom>
        <a:solidFill>
          <a:schemeClr val="accent2">
            <a:hueOff val="37537"/>
            <a:satOff val="-4952"/>
            <a:lumOff val="127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2003</a:t>
          </a:r>
          <a:endParaRPr lang="en-US" sz="1400" b="1" kern="1200"/>
        </a:p>
      </dsp:txBody>
      <dsp:txXfrm>
        <a:off x="4212681" y="519612"/>
        <a:ext cx="740079" cy="444047"/>
      </dsp:txXfrm>
    </dsp:sp>
    <dsp:sp modelId="{7F46E994-159D-4E66-BD9D-8CE760171E2E}">
      <dsp:nvSpPr>
        <dsp:cNvPr id="0" name=""/>
        <dsp:cNvSpPr/>
      </dsp:nvSpPr>
      <dsp:spPr>
        <a:xfrm>
          <a:off x="5026769" y="519612"/>
          <a:ext cx="740079" cy="444047"/>
        </a:xfrm>
        <a:prstGeom prst="rect">
          <a:avLst/>
        </a:prstGeom>
        <a:solidFill>
          <a:schemeClr val="accent2">
            <a:hueOff val="40666"/>
            <a:satOff val="-5364"/>
            <a:lumOff val="1378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2004</a:t>
          </a:r>
          <a:endParaRPr lang="en-US" sz="1400" b="1" kern="1200"/>
        </a:p>
      </dsp:txBody>
      <dsp:txXfrm>
        <a:off x="5026769" y="519612"/>
        <a:ext cx="740079" cy="444047"/>
      </dsp:txXfrm>
    </dsp:sp>
    <dsp:sp modelId="{BED52146-E3E3-48FB-AD49-FBCE349D1885}">
      <dsp:nvSpPr>
        <dsp:cNvPr id="0" name=""/>
        <dsp:cNvSpPr/>
      </dsp:nvSpPr>
      <dsp:spPr>
        <a:xfrm>
          <a:off x="142245" y="1037667"/>
          <a:ext cx="740079" cy="444047"/>
        </a:xfrm>
        <a:prstGeom prst="rect">
          <a:avLst/>
        </a:prstGeom>
        <a:solidFill>
          <a:schemeClr val="accent2">
            <a:hueOff val="43794"/>
            <a:satOff val="-5777"/>
            <a:lumOff val="148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2005</a:t>
          </a:r>
          <a:endParaRPr lang="en-US" sz="1400" b="1" kern="1200"/>
        </a:p>
      </dsp:txBody>
      <dsp:txXfrm>
        <a:off x="142245" y="1037667"/>
        <a:ext cx="740079" cy="444047"/>
      </dsp:txXfrm>
    </dsp:sp>
    <dsp:sp modelId="{55DE08B3-8E0E-461A-A8C8-955AB87FFBCD}">
      <dsp:nvSpPr>
        <dsp:cNvPr id="0" name=""/>
        <dsp:cNvSpPr/>
      </dsp:nvSpPr>
      <dsp:spPr>
        <a:xfrm>
          <a:off x="956332" y="1037667"/>
          <a:ext cx="740079" cy="444047"/>
        </a:xfrm>
        <a:prstGeom prst="rect">
          <a:avLst/>
        </a:prstGeom>
        <a:solidFill>
          <a:schemeClr val="accent2">
            <a:hueOff val="46922"/>
            <a:satOff val="-6189"/>
            <a:lumOff val="1590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2006</a:t>
          </a:r>
          <a:endParaRPr lang="en-US" sz="1400" b="1" kern="1200"/>
        </a:p>
      </dsp:txBody>
      <dsp:txXfrm>
        <a:off x="956332" y="1037667"/>
        <a:ext cx="740079" cy="444047"/>
      </dsp:txXfrm>
    </dsp:sp>
    <dsp:sp modelId="{8A6DAA18-0BCC-4AAD-9263-1C8C8DBFAF68}">
      <dsp:nvSpPr>
        <dsp:cNvPr id="0" name=""/>
        <dsp:cNvSpPr/>
      </dsp:nvSpPr>
      <dsp:spPr>
        <a:xfrm>
          <a:off x="1770419" y="1037667"/>
          <a:ext cx="740079" cy="444047"/>
        </a:xfrm>
        <a:prstGeom prst="rect">
          <a:avLst/>
        </a:prstGeom>
        <a:solidFill>
          <a:schemeClr val="accent2">
            <a:hueOff val="50050"/>
            <a:satOff val="-6602"/>
            <a:lumOff val="1696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2007</a:t>
          </a:r>
          <a:endParaRPr lang="en-US" sz="1400" b="1" kern="1200"/>
        </a:p>
      </dsp:txBody>
      <dsp:txXfrm>
        <a:off x="1770419" y="1037667"/>
        <a:ext cx="740079" cy="444047"/>
      </dsp:txXfrm>
    </dsp:sp>
    <dsp:sp modelId="{921DAB9E-5551-40C1-A6E5-2D1705212803}">
      <dsp:nvSpPr>
        <dsp:cNvPr id="0" name=""/>
        <dsp:cNvSpPr/>
      </dsp:nvSpPr>
      <dsp:spPr>
        <a:xfrm>
          <a:off x="2584507" y="1037667"/>
          <a:ext cx="740079" cy="444047"/>
        </a:xfrm>
        <a:prstGeom prst="rect">
          <a:avLst/>
        </a:prstGeom>
        <a:solidFill>
          <a:schemeClr val="accent2">
            <a:hueOff val="53178"/>
            <a:satOff val="-7015"/>
            <a:lumOff val="1802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2008</a:t>
          </a:r>
          <a:endParaRPr lang="en-US" sz="1400" b="1" kern="1200"/>
        </a:p>
      </dsp:txBody>
      <dsp:txXfrm>
        <a:off x="2584507" y="1037667"/>
        <a:ext cx="740079" cy="444047"/>
      </dsp:txXfrm>
    </dsp:sp>
    <dsp:sp modelId="{3D45C924-52FF-4E45-9973-1F0F5184F3C5}">
      <dsp:nvSpPr>
        <dsp:cNvPr id="0" name=""/>
        <dsp:cNvSpPr/>
      </dsp:nvSpPr>
      <dsp:spPr>
        <a:xfrm>
          <a:off x="3398594" y="1037667"/>
          <a:ext cx="740079" cy="444047"/>
        </a:xfrm>
        <a:prstGeom prst="rect">
          <a:avLst/>
        </a:prstGeom>
        <a:solidFill>
          <a:schemeClr val="accent2">
            <a:hueOff val="56306"/>
            <a:satOff val="-7427"/>
            <a:lumOff val="190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2009</a:t>
          </a:r>
          <a:endParaRPr lang="en-US" sz="1400" b="1" kern="1200"/>
        </a:p>
      </dsp:txBody>
      <dsp:txXfrm>
        <a:off x="3398594" y="1037667"/>
        <a:ext cx="740079" cy="444047"/>
      </dsp:txXfrm>
    </dsp:sp>
    <dsp:sp modelId="{C26712B4-8095-4FCC-955E-18B6FC3725CC}">
      <dsp:nvSpPr>
        <dsp:cNvPr id="0" name=""/>
        <dsp:cNvSpPr/>
      </dsp:nvSpPr>
      <dsp:spPr>
        <a:xfrm>
          <a:off x="4212681" y="1037667"/>
          <a:ext cx="740079" cy="444047"/>
        </a:xfrm>
        <a:prstGeom prst="rect">
          <a:avLst/>
        </a:prstGeom>
        <a:solidFill>
          <a:schemeClr val="accent2">
            <a:hueOff val="59434"/>
            <a:satOff val="-7840"/>
            <a:lumOff val="2014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2010</a:t>
          </a:r>
          <a:endParaRPr lang="en-US" sz="1400" b="1" kern="1200"/>
        </a:p>
      </dsp:txBody>
      <dsp:txXfrm>
        <a:off x="4212681" y="1037667"/>
        <a:ext cx="740079" cy="444047"/>
      </dsp:txXfrm>
    </dsp:sp>
    <dsp:sp modelId="{8B6246C6-6976-4E5A-B411-1E752E9B2A1C}">
      <dsp:nvSpPr>
        <dsp:cNvPr id="0" name=""/>
        <dsp:cNvSpPr/>
      </dsp:nvSpPr>
      <dsp:spPr>
        <a:xfrm>
          <a:off x="5026769" y="1037667"/>
          <a:ext cx="740079" cy="444047"/>
        </a:xfrm>
        <a:prstGeom prst="rect">
          <a:avLst/>
        </a:prstGeom>
        <a:solidFill>
          <a:schemeClr val="accent2">
            <a:hueOff val="62562"/>
            <a:satOff val="-8253"/>
            <a:lumOff val="2120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2011</a:t>
          </a:r>
          <a:endParaRPr lang="en-US" sz="1400" b="1" kern="1200"/>
        </a:p>
      </dsp:txBody>
      <dsp:txXfrm>
        <a:off x="5026769" y="1037667"/>
        <a:ext cx="740079" cy="444047"/>
      </dsp:txXfrm>
    </dsp:sp>
    <dsp:sp modelId="{2DC6685B-179C-4215-95E0-1E656738ACA8}">
      <dsp:nvSpPr>
        <dsp:cNvPr id="0" name=""/>
        <dsp:cNvSpPr/>
      </dsp:nvSpPr>
      <dsp:spPr>
        <a:xfrm>
          <a:off x="142245" y="1555723"/>
          <a:ext cx="740079" cy="444047"/>
        </a:xfrm>
        <a:prstGeom prst="rect">
          <a:avLst/>
        </a:prstGeom>
        <a:solidFill>
          <a:schemeClr val="accent2">
            <a:hueOff val="65691"/>
            <a:satOff val="-8665"/>
            <a:lumOff val="2226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2012</a:t>
          </a:r>
          <a:endParaRPr lang="en-US" sz="1400" b="1" kern="1200"/>
        </a:p>
      </dsp:txBody>
      <dsp:txXfrm>
        <a:off x="142245" y="1555723"/>
        <a:ext cx="740079" cy="444047"/>
      </dsp:txXfrm>
    </dsp:sp>
    <dsp:sp modelId="{9879921F-DE71-4C00-94F8-99AE9209FD95}">
      <dsp:nvSpPr>
        <dsp:cNvPr id="0" name=""/>
        <dsp:cNvSpPr/>
      </dsp:nvSpPr>
      <dsp:spPr>
        <a:xfrm>
          <a:off x="956332" y="1555723"/>
          <a:ext cx="740079" cy="444047"/>
        </a:xfrm>
        <a:prstGeom prst="rect">
          <a:avLst/>
        </a:prstGeom>
        <a:solidFill>
          <a:schemeClr val="accent2">
            <a:hueOff val="68819"/>
            <a:satOff val="-9078"/>
            <a:lumOff val="233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2013</a:t>
          </a:r>
          <a:endParaRPr lang="en-US" sz="1400" b="1" kern="1200"/>
        </a:p>
      </dsp:txBody>
      <dsp:txXfrm>
        <a:off x="956332" y="1555723"/>
        <a:ext cx="740079" cy="444047"/>
      </dsp:txXfrm>
    </dsp:sp>
    <dsp:sp modelId="{26A56A15-19E7-403F-9865-036D89F37504}">
      <dsp:nvSpPr>
        <dsp:cNvPr id="0" name=""/>
        <dsp:cNvSpPr/>
      </dsp:nvSpPr>
      <dsp:spPr>
        <a:xfrm>
          <a:off x="1770419" y="1555723"/>
          <a:ext cx="740079" cy="444047"/>
        </a:xfrm>
        <a:prstGeom prst="rect">
          <a:avLst/>
        </a:prstGeom>
        <a:solidFill>
          <a:schemeClr val="accent2">
            <a:hueOff val="71947"/>
            <a:satOff val="-9490"/>
            <a:lumOff val="2438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2014</a:t>
          </a:r>
          <a:endParaRPr lang="en-US" sz="1400" b="1" kern="1200"/>
        </a:p>
      </dsp:txBody>
      <dsp:txXfrm>
        <a:off x="1770419" y="1555723"/>
        <a:ext cx="740079" cy="444047"/>
      </dsp:txXfrm>
    </dsp:sp>
    <dsp:sp modelId="{03BDB504-CD80-4538-8CD2-119C72E2C1DE}">
      <dsp:nvSpPr>
        <dsp:cNvPr id="0" name=""/>
        <dsp:cNvSpPr/>
      </dsp:nvSpPr>
      <dsp:spPr>
        <a:xfrm>
          <a:off x="2584507" y="1555723"/>
          <a:ext cx="740079" cy="444047"/>
        </a:xfrm>
        <a:prstGeom prst="rect">
          <a:avLst/>
        </a:prstGeom>
        <a:solidFill>
          <a:schemeClr val="accent2">
            <a:hueOff val="75075"/>
            <a:satOff val="-9903"/>
            <a:lumOff val="2544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2015</a:t>
          </a:r>
          <a:endParaRPr lang="en-US" sz="1400" b="1" kern="1200"/>
        </a:p>
      </dsp:txBody>
      <dsp:txXfrm>
        <a:off x="2584507" y="1555723"/>
        <a:ext cx="740079" cy="444047"/>
      </dsp:txXfrm>
    </dsp:sp>
    <dsp:sp modelId="{E96BF947-82B6-464A-B9C6-7B0A53F4AE59}">
      <dsp:nvSpPr>
        <dsp:cNvPr id="0" name=""/>
        <dsp:cNvSpPr/>
      </dsp:nvSpPr>
      <dsp:spPr>
        <a:xfrm>
          <a:off x="3398594" y="1555723"/>
          <a:ext cx="740079" cy="444047"/>
        </a:xfrm>
        <a:prstGeom prst="rect">
          <a:avLst/>
        </a:prstGeom>
        <a:solidFill>
          <a:schemeClr val="accent2">
            <a:hueOff val="78203"/>
            <a:satOff val="-10316"/>
            <a:lumOff val="265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2017</a:t>
          </a:r>
          <a:endParaRPr lang="en-US" sz="1400" b="1" kern="1200"/>
        </a:p>
      </dsp:txBody>
      <dsp:txXfrm>
        <a:off x="3398594" y="1555723"/>
        <a:ext cx="740079" cy="444047"/>
      </dsp:txXfrm>
    </dsp:sp>
    <dsp:sp modelId="{B3766A6D-2A10-4ED9-A3DD-3DC6C7D24FF4}">
      <dsp:nvSpPr>
        <dsp:cNvPr id="0" name=""/>
        <dsp:cNvSpPr/>
      </dsp:nvSpPr>
      <dsp:spPr>
        <a:xfrm>
          <a:off x="4212681" y="1555723"/>
          <a:ext cx="740079" cy="444047"/>
        </a:xfrm>
        <a:prstGeom prst="rect">
          <a:avLst/>
        </a:prstGeom>
        <a:solidFill>
          <a:schemeClr val="accent2">
            <a:hueOff val="81331"/>
            <a:satOff val="-10728"/>
            <a:lumOff val="2756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2018</a:t>
          </a:r>
          <a:endParaRPr lang="en-US" sz="1400" b="1" kern="1200"/>
        </a:p>
      </dsp:txBody>
      <dsp:txXfrm>
        <a:off x="4212681" y="1555723"/>
        <a:ext cx="740079" cy="444047"/>
      </dsp:txXfrm>
    </dsp:sp>
    <dsp:sp modelId="{E84C3B01-64BB-4344-BDA8-48BD452C2C75}">
      <dsp:nvSpPr>
        <dsp:cNvPr id="0" name=""/>
        <dsp:cNvSpPr/>
      </dsp:nvSpPr>
      <dsp:spPr>
        <a:xfrm>
          <a:off x="5026769" y="1555723"/>
          <a:ext cx="740079" cy="444047"/>
        </a:xfrm>
        <a:prstGeom prst="rect">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i="0" u="none" kern="1200"/>
            <a:t>2019</a:t>
          </a:r>
          <a:endParaRPr lang="en-US" sz="1400" b="1" kern="1200"/>
        </a:p>
      </dsp:txBody>
      <dsp:txXfrm>
        <a:off x="5026769" y="1555723"/>
        <a:ext cx="740079" cy="444047"/>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07912C-560F-498E-A0AB-EBADE1345F81}">
      <dsp:nvSpPr>
        <dsp:cNvPr id="0" name=""/>
        <dsp:cNvSpPr/>
      </dsp:nvSpPr>
      <dsp:spPr>
        <a:xfrm>
          <a:off x="1875" y="62242"/>
          <a:ext cx="1015305" cy="822957"/>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Creșterea flexibilității</a:t>
          </a:r>
          <a:endParaRPr lang="en-US" sz="1000" b="1" kern="1200"/>
        </a:p>
      </dsp:txBody>
      <dsp:txXfrm>
        <a:off x="1875" y="62242"/>
        <a:ext cx="1015305" cy="822957"/>
      </dsp:txXfrm>
    </dsp:sp>
    <dsp:sp modelId="{0997D791-CAB4-4AA3-BB2E-C28DDCC0B950}">
      <dsp:nvSpPr>
        <dsp:cNvPr id="0" name=""/>
        <dsp:cNvSpPr/>
      </dsp:nvSpPr>
      <dsp:spPr>
        <a:xfrm>
          <a:off x="1118711" y="62242"/>
          <a:ext cx="1015305" cy="822957"/>
        </a:xfrm>
        <a:prstGeom prst="rect">
          <a:avLst/>
        </a:prstGeom>
        <a:solidFill>
          <a:schemeClr val="accent2">
            <a:hueOff val="9384"/>
            <a:satOff val="-1238"/>
            <a:lumOff val="318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Aprofundarea comunicării</a:t>
          </a:r>
          <a:endParaRPr lang="en-US" sz="1000" b="1" kern="1200"/>
        </a:p>
      </dsp:txBody>
      <dsp:txXfrm>
        <a:off x="1118711" y="62242"/>
        <a:ext cx="1015305" cy="822957"/>
      </dsp:txXfrm>
    </dsp:sp>
    <dsp:sp modelId="{2FFF5DA5-7E2E-4D14-B7F2-C5F0527D022F}">
      <dsp:nvSpPr>
        <dsp:cNvPr id="0" name=""/>
        <dsp:cNvSpPr/>
      </dsp:nvSpPr>
      <dsp:spPr>
        <a:xfrm>
          <a:off x="2235547" y="62242"/>
          <a:ext cx="1015305" cy="822957"/>
        </a:xfrm>
        <a:prstGeom prst="rect">
          <a:avLst/>
        </a:prstGeom>
        <a:solidFill>
          <a:schemeClr val="accent2">
            <a:hueOff val="18769"/>
            <a:satOff val="-2476"/>
            <a:lumOff val="63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Digitalizarea proceselor</a:t>
          </a:r>
          <a:endParaRPr lang="en-US" sz="1000" b="1" kern="1200"/>
        </a:p>
      </dsp:txBody>
      <dsp:txXfrm>
        <a:off x="2235547" y="62242"/>
        <a:ext cx="1015305" cy="822957"/>
      </dsp:txXfrm>
    </dsp:sp>
    <dsp:sp modelId="{61C7CA86-377B-4DAB-BA2E-E927B2C86B57}">
      <dsp:nvSpPr>
        <dsp:cNvPr id="0" name=""/>
        <dsp:cNvSpPr/>
      </dsp:nvSpPr>
      <dsp:spPr>
        <a:xfrm>
          <a:off x="3352383" y="62242"/>
          <a:ext cx="1015305" cy="822957"/>
        </a:xfrm>
        <a:prstGeom prst="rect">
          <a:avLst/>
        </a:prstGeom>
        <a:solidFill>
          <a:schemeClr val="accent2">
            <a:hueOff val="28153"/>
            <a:satOff val="-3714"/>
            <a:lumOff val="95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Reducerea termenelor de răspuns</a:t>
          </a:r>
          <a:endParaRPr lang="en-US" sz="1000" b="1" kern="1200"/>
        </a:p>
      </dsp:txBody>
      <dsp:txXfrm>
        <a:off x="3352383" y="62242"/>
        <a:ext cx="1015305" cy="822957"/>
      </dsp:txXfrm>
    </dsp:sp>
    <dsp:sp modelId="{B7C527DB-8849-4C47-B53A-BB979BE082EF}">
      <dsp:nvSpPr>
        <dsp:cNvPr id="0" name=""/>
        <dsp:cNvSpPr/>
      </dsp:nvSpPr>
      <dsp:spPr>
        <a:xfrm>
          <a:off x="4469219" y="62242"/>
          <a:ext cx="1015305" cy="822957"/>
        </a:xfrm>
        <a:prstGeom prst="rect">
          <a:avLst/>
        </a:prstGeom>
        <a:solidFill>
          <a:schemeClr val="accent2">
            <a:hueOff val="37537"/>
            <a:satOff val="-4952"/>
            <a:lumOff val="127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Sprijin în emiterea autorizațiilor și avizelor</a:t>
          </a:r>
          <a:endParaRPr lang="en-US" sz="1000" b="1" kern="1200"/>
        </a:p>
      </dsp:txBody>
      <dsp:txXfrm>
        <a:off x="4469219" y="62242"/>
        <a:ext cx="1015305" cy="822957"/>
      </dsp:txXfrm>
    </dsp:sp>
    <dsp:sp modelId="{25A36CF0-E4DD-48BE-A760-4799523567A4}">
      <dsp:nvSpPr>
        <dsp:cNvPr id="0" name=""/>
        <dsp:cNvSpPr/>
      </dsp:nvSpPr>
      <dsp:spPr>
        <a:xfrm>
          <a:off x="1875" y="986731"/>
          <a:ext cx="1015305" cy="822957"/>
        </a:xfrm>
        <a:prstGeom prst="rect">
          <a:avLst/>
        </a:prstGeom>
        <a:solidFill>
          <a:schemeClr val="accent2">
            <a:hueOff val="46922"/>
            <a:satOff val="-6189"/>
            <a:lumOff val="1590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Implicarea mediului de afaceri în proiecte de dezvoltare și digitalizare</a:t>
          </a:r>
          <a:endParaRPr lang="en-US" sz="1000" b="1" kern="1200"/>
        </a:p>
      </dsp:txBody>
      <dsp:txXfrm>
        <a:off x="1875" y="986731"/>
        <a:ext cx="1015305" cy="822957"/>
      </dsp:txXfrm>
    </dsp:sp>
    <dsp:sp modelId="{A6FABDA5-C898-4605-AE97-69F7CDEC3163}">
      <dsp:nvSpPr>
        <dsp:cNvPr id="0" name=""/>
        <dsp:cNvSpPr/>
      </dsp:nvSpPr>
      <dsp:spPr>
        <a:xfrm>
          <a:off x="1118711" y="986731"/>
          <a:ext cx="1015305" cy="822957"/>
        </a:xfrm>
        <a:prstGeom prst="rect">
          <a:avLst/>
        </a:prstGeom>
        <a:solidFill>
          <a:schemeClr val="accent2">
            <a:hueOff val="56306"/>
            <a:satOff val="-7427"/>
            <a:lumOff val="190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Facilități fiscale</a:t>
          </a:r>
          <a:endParaRPr lang="en-US" sz="1000" b="1" kern="1200"/>
        </a:p>
      </dsp:txBody>
      <dsp:txXfrm>
        <a:off x="1118711" y="986731"/>
        <a:ext cx="1015305" cy="822957"/>
      </dsp:txXfrm>
    </dsp:sp>
    <dsp:sp modelId="{F4400179-0339-42CE-8F3E-A92ADFBDDCEE}">
      <dsp:nvSpPr>
        <dsp:cNvPr id="0" name=""/>
        <dsp:cNvSpPr/>
      </dsp:nvSpPr>
      <dsp:spPr>
        <a:xfrm>
          <a:off x="2235547" y="986731"/>
          <a:ext cx="1015305" cy="822957"/>
        </a:xfrm>
        <a:prstGeom prst="rect">
          <a:avLst/>
        </a:prstGeom>
        <a:solidFill>
          <a:schemeClr val="accent2">
            <a:hueOff val="65691"/>
            <a:satOff val="-8665"/>
            <a:lumOff val="2226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Reducerea birocrației</a:t>
          </a:r>
          <a:endParaRPr lang="en-US" sz="1000" b="1" kern="1200"/>
        </a:p>
      </dsp:txBody>
      <dsp:txXfrm>
        <a:off x="2235547" y="986731"/>
        <a:ext cx="1015305" cy="822957"/>
      </dsp:txXfrm>
    </dsp:sp>
    <dsp:sp modelId="{A60DC7E9-8841-4CEA-BA93-BFB2949DF18C}">
      <dsp:nvSpPr>
        <dsp:cNvPr id="0" name=""/>
        <dsp:cNvSpPr/>
      </dsp:nvSpPr>
      <dsp:spPr>
        <a:xfrm>
          <a:off x="3352383" y="986731"/>
          <a:ext cx="1015305" cy="822957"/>
        </a:xfrm>
        <a:prstGeom prst="rect">
          <a:avLst/>
        </a:prstGeom>
        <a:solidFill>
          <a:schemeClr val="accent2">
            <a:hueOff val="75075"/>
            <a:satOff val="-9903"/>
            <a:lumOff val="2544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Asigurarea infrastructurii pentru birouri și hale de închiriat</a:t>
          </a:r>
          <a:endParaRPr lang="en-US" sz="1000" b="1" kern="1200"/>
        </a:p>
      </dsp:txBody>
      <dsp:txXfrm>
        <a:off x="3352383" y="986731"/>
        <a:ext cx="1015305" cy="822957"/>
      </dsp:txXfrm>
    </dsp:sp>
    <dsp:sp modelId="{894FB011-721B-4FBA-B8E4-FBC2B7285185}">
      <dsp:nvSpPr>
        <dsp:cNvPr id="0" name=""/>
        <dsp:cNvSpPr/>
      </dsp:nvSpPr>
      <dsp:spPr>
        <a:xfrm>
          <a:off x="4469219" y="986731"/>
          <a:ext cx="1015305" cy="822957"/>
        </a:xfrm>
        <a:prstGeom prst="rect">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Facilități pentru adoptarea măsurilor și a proiectelor verzi</a:t>
          </a:r>
          <a:endParaRPr lang="en-US" sz="1000" b="1" kern="1200"/>
        </a:p>
      </dsp:txBody>
      <dsp:txXfrm>
        <a:off x="4469219" y="986731"/>
        <a:ext cx="1015305" cy="82295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0A0A58-E7F5-46AF-B08C-23F321789B56}">
      <dsp:nvSpPr>
        <dsp:cNvPr id="0" name=""/>
        <dsp:cNvSpPr/>
      </dsp:nvSpPr>
      <dsp:spPr>
        <a:xfrm>
          <a:off x="1718" y="23891"/>
          <a:ext cx="1363377" cy="818026"/>
        </a:xfrm>
        <a:prstGeom prst="flowChartAlternateProcess">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Menținerea unui cadru legislativ stabil și predictibil</a:t>
          </a:r>
          <a:endParaRPr lang="en-US" sz="1200" b="1" kern="1200"/>
        </a:p>
      </dsp:txBody>
      <dsp:txXfrm>
        <a:off x="41650" y="63823"/>
        <a:ext cx="1283513" cy="738162"/>
      </dsp:txXfrm>
    </dsp:sp>
    <dsp:sp modelId="{6E4DD8D1-0CD8-471C-9BBD-4859D8FF5C98}">
      <dsp:nvSpPr>
        <dsp:cNvPr id="0" name=""/>
        <dsp:cNvSpPr/>
      </dsp:nvSpPr>
      <dsp:spPr>
        <a:xfrm>
          <a:off x="1501434" y="23891"/>
          <a:ext cx="1363377" cy="818026"/>
        </a:xfrm>
        <a:prstGeom prst="flowChartAlternateProcess">
          <a:avLst/>
        </a:prstGeom>
        <a:solidFill>
          <a:schemeClr val="accent1">
            <a:shade val="80000"/>
            <a:hueOff val="0"/>
            <a:satOff val="0"/>
            <a:lumOff val="35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Favorizarea unei infrastructuri adecvate</a:t>
          </a:r>
          <a:endParaRPr lang="en-US" sz="1200" b="1" kern="1200"/>
        </a:p>
      </dsp:txBody>
      <dsp:txXfrm>
        <a:off x="1541366" y="63823"/>
        <a:ext cx="1283513" cy="738162"/>
      </dsp:txXfrm>
    </dsp:sp>
    <dsp:sp modelId="{8BF22913-8EEB-4E83-8AE3-DACD210027B7}">
      <dsp:nvSpPr>
        <dsp:cNvPr id="0" name=""/>
        <dsp:cNvSpPr/>
      </dsp:nvSpPr>
      <dsp:spPr>
        <a:xfrm>
          <a:off x="3001149" y="23891"/>
          <a:ext cx="1363377" cy="818026"/>
        </a:xfrm>
        <a:prstGeom prst="flowChartAlternateProcess">
          <a:avLst/>
        </a:prstGeom>
        <a:solidFill>
          <a:schemeClr val="accent1">
            <a:shade val="80000"/>
            <a:hueOff val="0"/>
            <a:satOff val="0"/>
            <a:lumOff val="71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Dezvoltarea de hale industriale</a:t>
          </a:r>
          <a:endParaRPr lang="en-US" sz="1200" b="1" kern="1200"/>
        </a:p>
      </dsp:txBody>
      <dsp:txXfrm>
        <a:off x="3041081" y="63823"/>
        <a:ext cx="1283513" cy="738162"/>
      </dsp:txXfrm>
    </dsp:sp>
    <dsp:sp modelId="{67DFE1FE-833B-4B60-94EC-6C88903964D8}">
      <dsp:nvSpPr>
        <dsp:cNvPr id="0" name=""/>
        <dsp:cNvSpPr/>
      </dsp:nvSpPr>
      <dsp:spPr>
        <a:xfrm>
          <a:off x="4500865" y="23891"/>
          <a:ext cx="1363377" cy="818026"/>
        </a:xfrm>
        <a:prstGeom prst="flowChartAlternateProcess">
          <a:avLst/>
        </a:prstGeom>
        <a:solidFill>
          <a:schemeClr val="accent1">
            <a:shade val="80000"/>
            <a:hueOff val="0"/>
            <a:satOff val="0"/>
            <a:lumOff val="1077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Susținerea dezvoltării antreprenoriale</a:t>
          </a:r>
          <a:endParaRPr lang="en-US" sz="1200" b="1" kern="1200"/>
        </a:p>
      </dsp:txBody>
      <dsp:txXfrm>
        <a:off x="4540797" y="63823"/>
        <a:ext cx="1283513" cy="738162"/>
      </dsp:txXfrm>
    </dsp:sp>
    <dsp:sp modelId="{0CCF2891-2ABA-4753-9F38-76CBD6AD76E8}">
      <dsp:nvSpPr>
        <dsp:cNvPr id="0" name=""/>
        <dsp:cNvSpPr/>
      </dsp:nvSpPr>
      <dsp:spPr>
        <a:xfrm>
          <a:off x="1718" y="978255"/>
          <a:ext cx="1363377" cy="818026"/>
        </a:xfrm>
        <a:prstGeom prst="flowChartAlternateProcess">
          <a:avLst/>
        </a:prstGeom>
        <a:solidFill>
          <a:schemeClr val="accent1">
            <a:shade val="80000"/>
            <a:hueOff val="0"/>
            <a:satOff val="0"/>
            <a:lumOff val="1437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Facilități fiscale pentru companiile profitabile</a:t>
          </a:r>
          <a:endParaRPr lang="en-US" sz="1200" b="1" kern="1200"/>
        </a:p>
      </dsp:txBody>
      <dsp:txXfrm>
        <a:off x="41650" y="1018187"/>
        <a:ext cx="1283513" cy="738162"/>
      </dsp:txXfrm>
    </dsp:sp>
    <dsp:sp modelId="{FB9121C3-68C0-4B16-A8D7-7C432B1C680D}">
      <dsp:nvSpPr>
        <dsp:cNvPr id="0" name=""/>
        <dsp:cNvSpPr/>
      </dsp:nvSpPr>
      <dsp:spPr>
        <a:xfrm>
          <a:off x="1501434" y="978255"/>
          <a:ext cx="1363377" cy="818026"/>
        </a:xfrm>
        <a:prstGeom prst="flowChartAlternateProcess">
          <a:avLst/>
        </a:prstGeom>
        <a:solidFill>
          <a:schemeClr val="accent1">
            <a:shade val="80000"/>
            <a:hueOff val="0"/>
            <a:satOff val="0"/>
            <a:lumOff val="179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Aprofundarea comunicării</a:t>
          </a:r>
          <a:endParaRPr lang="en-US" sz="1200" b="1" kern="1200"/>
        </a:p>
      </dsp:txBody>
      <dsp:txXfrm>
        <a:off x="1541366" y="1018187"/>
        <a:ext cx="1283513" cy="738162"/>
      </dsp:txXfrm>
    </dsp:sp>
    <dsp:sp modelId="{FE553129-93D5-4A7A-B48C-BE458CD389B9}">
      <dsp:nvSpPr>
        <dsp:cNvPr id="0" name=""/>
        <dsp:cNvSpPr/>
      </dsp:nvSpPr>
      <dsp:spPr>
        <a:xfrm>
          <a:off x="3001149" y="978255"/>
          <a:ext cx="1363377" cy="818026"/>
        </a:xfrm>
        <a:prstGeom prst="flowChartAlternateProcess">
          <a:avLst/>
        </a:prstGeom>
        <a:solidFill>
          <a:schemeClr val="accent1">
            <a:shade val="80000"/>
            <a:hueOff val="0"/>
            <a:satOff val="0"/>
            <a:lumOff val="2155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Implicarea mediului de afaceri</a:t>
          </a:r>
          <a:endParaRPr lang="en-US" sz="1200" b="1" kern="1200"/>
        </a:p>
      </dsp:txBody>
      <dsp:txXfrm>
        <a:off x="3041081" y="1018187"/>
        <a:ext cx="1283513" cy="738162"/>
      </dsp:txXfrm>
    </dsp:sp>
    <dsp:sp modelId="{E42F362E-BF97-4B71-8B8C-3BE6F37AE439}">
      <dsp:nvSpPr>
        <dsp:cNvPr id="0" name=""/>
        <dsp:cNvSpPr/>
      </dsp:nvSpPr>
      <dsp:spPr>
        <a:xfrm>
          <a:off x="4500865" y="978255"/>
          <a:ext cx="1363377" cy="818026"/>
        </a:xfrm>
        <a:prstGeom prst="flowChartAlternateProcess">
          <a:avLst/>
        </a:prstGeom>
        <a:solidFill>
          <a:schemeClr val="accent1">
            <a:shade val="80000"/>
            <a:hueOff val="0"/>
            <a:satOff val="0"/>
            <a:lumOff val="251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Dialog și colaborare în cadrul proiectelor de dezvoltare</a:t>
          </a:r>
          <a:endParaRPr lang="en-US" sz="1200" b="1" kern="1200"/>
        </a:p>
      </dsp:txBody>
      <dsp:txXfrm>
        <a:off x="4540797" y="1018187"/>
        <a:ext cx="1283513" cy="73816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A8E157-BCF6-4F8D-A5DD-AF118DB5F121}">
      <dsp:nvSpPr>
        <dsp:cNvPr id="0" name=""/>
        <dsp:cNvSpPr/>
      </dsp:nvSpPr>
      <dsp:spPr>
        <a:xfrm>
          <a:off x="1718" y="9805"/>
          <a:ext cx="1363377" cy="818026"/>
        </a:xfrm>
        <a:prstGeom prst="rect">
          <a:avLst/>
        </a:prstGeom>
        <a:solidFill>
          <a:schemeClr val="accent2">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Densitatea ridicată a populației</a:t>
          </a:r>
          <a:endParaRPr lang="en-US" sz="1000" b="1" kern="1200"/>
        </a:p>
      </dsp:txBody>
      <dsp:txXfrm>
        <a:off x="1718" y="9805"/>
        <a:ext cx="1363377" cy="818026"/>
      </dsp:txXfrm>
    </dsp:sp>
    <dsp:sp modelId="{BFB66B5B-DEA1-4663-989C-9DF4758DB088}">
      <dsp:nvSpPr>
        <dsp:cNvPr id="0" name=""/>
        <dsp:cNvSpPr/>
      </dsp:nvSpPr>
      <dsp:spPr>
        <a:xfrm>
          <a:off x="1501434" y="9805"/>
          <a:ext cx="1363377" cy="818026"/>
        </a:xfrm>
        <a:prstGeom prst="rect">
          <a:avLst/>
        </a:prstGeom>
        <a:solidFill>
          <a:schemeClr val="accent2">
            <a:shade val="80000"/>
            <a:hueOff val="24719"/>
            <a:satOff val="-4175"/>
            <a:lumOff val="309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Sectorul HoReCa</a:t>
          </a:r>
          <a:endParaRPr lang="en-US" sz="1000" b="1" kern="1200"/>
        </a:p>
      </dsp:txBody>
      <dsp:txXfrm>
        <a:off x="1501434" y="9805"/>
        <a:ext cx="1363377" cy="818026"/>
      </dsp:txXfrm>
    </dsp:sp>
    <dsp:sp modelId="{E9D06F76-6EC5-4217-BDE1-1D3B5818044A}">
      <dsp:nvSpPr>
        <dsp:cNvPr id="0" name=""/>
        <dsp:cNvSpPr/>
      </dsp:nvSpPr>
      <dsp:spPr>
        <a:xfrm>
          <a:off x="3001149" y="9805"/>
          <a:ext cx="1363377" cy="818026"/>
        </a:xfrm>
        <a:prstGeom prst="rect">
          <a:avLst/>
        </a:prstGeom>
        <a:solidFill>
          <a:schemeClr val="accent2">
            <a:shade val="80000"/>
            <a:hueOff val="49438"/>
            <a:satOff val="-8350"/>
            <a:lumOff val="619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Digitalizarea</a:t>
          </a:r>
          <a:endParaRPr lang="en-US" sz="1000" b="1" kern="1200"/>
        </a:p>
      </dsp:txBody>
      <dsp:txXfrm>
        <a:off x="3001149" y="9805"/>
        <a:ext cx="1363377" cy="818026"/>
      </dsp:txXfrm>
    </dsp:sp>
    <dsp:sp modelId="{489A3E7B-5B85-46C5-AEEF-C62AAD469142}">
      <dsp:nvSpPr>
        <dsp:cNvPr id="0" name=""/>
        <dsp:cNvSpPr/>
      </dsp:nvSpPr>
      <dsp:spPr>
        <a:xfrm>
          <a:off x="4500865" y="9805"/>
          <a:ext cx="1363377" cy="818026"/>
        </a:xfrm>
        <a:prstGeom prst="rect">
          <a:avLst/>
        </a:prstGeom>
        <a:solidFill>
          <a:schemeClr val="accent2">
            <a:shade val="80000"/>
            <a:hueOff val="74157"/>
            <a:satOff val="-12524"/>
            <a:lumOff val="92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Finanțările nerambursabile</a:t>
          </a:r>
          <a:endParaRPr lang="en-US" sz="1000" b="1" kern="1200"/>
        </a:p>
      </dsp:txBody>
      <dsp:txXfrm>
        <a:off x="4500865" y="9805"/>
        <a:ext cx="1363377" cy="818026"/>
      </dsp:txXfrm>
    </dsp:sp>
    <dsp:sp modelId="{3AF3D765-1DC6-4F09-ACF5-3CCF3BFA1118}">
      <dsp:nvSpPr>
        <dsp:cNvPr id="0" name=""/>
        <dsp:cNvSpPr/>
      </dsp:nvSpPr>
      <dsp:spPr>
        <a:xfrm>
          <a:off x="1718" y="964170"/>
          <a:ext cx="1363377" cy="818026"/>
        </a:xfrm>
        <a:prstGeom prst="rect">
          <a:avLst/>
        </a:prstGeom>
        <a:solidFill>
          <a:schemeClr val="accent2">
            <a:shade val="80000"/>
            <a:hueOff val="98876"/>
            <a:satOff val="-16699"/>
            <a:lumOff val="123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Accesul la legături de transport internaționale</a:t>
          </a:r>
          <a:endParaRPr lang="en-US" sz="1000" b="1" kern="1200"/>
        </a:p>
      </dsp:txBody>
      <dsp:txXfrm>
        <a:off x="1718" y="964170"/>
        <a:ext cx="1363377" cy="818026"/>
      </dsp:txXfrm>
    </dsp:sp>
    <dsp:sp modelId="{37FFC822-A98A-43FE-BC6C-FC635D57906B}">
      <dsp:nvSpPr>
        <dsp:cNvPr id="0" name=""/>
        <dsp:cNvSpPr/>
      </dsp:nvSpPr>
      <dsp:spPr>
        <a:xfrm>
          <a:off x="1501434" y="964170"/>
          <a:ext cx="1363377" cy="818026"/>
        </a:xfrm>
        <a:prstGeom prst="rect">
          <a:avLst/>
        </a:prstGeom>
        <a:solidFill>
          <a:schemeClr val="accent2">
            <a:shade val="80000"/>
            <a:hueOff val="123596"/>
            <a:satOff val="-20874"/>
            <a:lumOff val="1549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Potențialul de dezvoltare imobiliară</a:t>
          </a:r>
          <a:endParaRPr lang="en-US" sz="1000" b="1" kern="1200"/>
        </a:p>
      </dsp:txBody>
      <dsp:txXfrm>
        <a:off x="1501434" y="964170"/>
        <a:ext cx="1363377" cy="818026"/>
      </dsp:txXfrm>
    </dsp:sp>
    <dsp:sp modelId="{3183686F-C3EE-4343-B975-BD08798024BB}">
      <dsp:nvSpPr>
        <dsp:cNvPr id="0" name=""/>
        <dsp:cNvSpPr/>
      </dsp:nvSpPr>
      <dsp:spPr>
        <a:xfrm>
          <a:off x="3001149" y="964170"/>
          <a:ext cx="1363377" cy="818026"/>
        </a:xfrm>
        <a:prstGeom prst="rect">
          <a:avLst/>
        </a:prstGeom>
        <a:solidFill>
          <a:schemeClr val="accent2">
            <a:shade val="80000"/>
            <a:hueOff val="148315"/>
            <a:satOff val="-25049"/>
            <a:lumOff val="1859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Concentrarea zonelor de afaceri din nordul Sectorului 2</a:t>
          </a:r>
          <a:endParaRPr lang="en-US" sz="1000" b="1" kern="1200"/>
        </a:p>
      </dsp:txBody>
      <dsp:txXfrm>
        <a:off x="3001149" y="964170"/>
        <a:ext cx="1363377" cy="818026"/>
      </dsp:txXfrm>
    </dsp:sp>
    <dsp:sp modelId="{45630D21-7C0B-4750-93E4-CB0F8788D6BE}">
      <dsp:nvSpPr>
        <dsp:cNvPr id="0" name=""/>
        <dsp:cNvSpPr/>
      </dsp:nvSpPr>
      <dsp:spPr>
        <a:xfrm>
          <a:off x="4500865" y="964170"/>
          <a:ext cx="1363377" cy="818026"/>
        </a:xfrm>
        <a:prstGeom prst="rect">
          <a:avLst/>
        </a:prstGeom>
        <a:solidFill>
          <a:schemeClr val="accent2">
            <a:shade val="80000"/>
            <a:hueOff val="173034"/>
            <a:satOff val="-29224"/>
            <a:lumOff val="216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Ponderea ridicată a angajaților în Sectorul 2 din totalul angajaților din mun. București</a:t>
          </a:r>
          <a:endParaRPr lang="en-US" sz="1000" b="1" kern="1200"/>
        </a:p>
      </dsp:txBody>
      <dsp:txXfrm>
        <a:off x="4500865" y="964170"/>
        <a:ext cx="1363377" cy="818026"/>
      </dsp:txXfrm>
    </dsp:sp>
    <dsp:sp modelId="{33CFF637-1D21-4DB3-A57A-9A5D0AB805A5}">
      <dsp:nvSpPr>
        <dsp:cNvPr id="0" name=""/>
        <dsp:cNvSpPr/>
      </dsp:nvSpPr>
      <dsp:spPr>
        <a:xfrm>
          <a:off x="1718" y="1918534"/>
          <a:ext cx="1363377" cy="818026"/>
        </a:xfrm>
        <a:prstGeom prst="rect">
          <a:avLst/>
        </a:prstGeom>
        <a:solidFill>
          <a:schemeClr val="accent2">
            <a:shade val="80000"/>
            <a:hueOff val="197753"/>
            <a:satOff val="-33398"/>
            <a:lumOff val="2479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Poziționarea geografică</a:t>
          </a:r>
          <a:endParaRPr lang="en-US" sz="1000" b="1" kern="1200"/>
        </a:p>
      </dsp:txBody>
      <dsp:txXfrm>
        <a:off x="1718" y="1918534"/>
        <a:ext cx="1363377" cy="818026"/>
      </dsp:txXfrm>
    </dsp:sp>
    <dsp:sp modelId="{A85B1C13-4AED-419E-A347-C9502B005E6A}">
      <dsp:nvSpPr>
        <dsp:cNvPr id="0" name=""/>
        <dsp:cNvSpPr/>
      </dsp:nvSpPr>
      <dsp:spPr>
        <a:xfrm>
          <a:off x="1501434" y="1918534"/>
          <a:ext cx="1363377" cy="818026"/>
        </a:xfrm>
        <a:prstGeom prst="rect">
          <a:avLst/>
        </a:prstGeom>
        <a:solidFill>
          <a:schemeClr val="accent2">
            <a:shade val="80000"/>
            <a:hueOff val="222472"/>
            <a:satOff val="-37573"/>
            <a:lumOff val="2789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Dezvoltarea infrastructurii</a:t>
          </a:r>
          <a:endParaRPr lang="en-US" sz="1000" b="1" kern="1200"/>
        </a:p>
      </dsp:txBody>
      <dsp:txXfrm>
        <a:off x="1501434" y="1918534"/>
        <a:ext cx="1363377" cy="818026"/>
      </dsp:txXfrm>
    </dsp:sp>
    <dsp:sp modelId="{A1C9E9BC-8DB9-4BD8-A80D-795DE2C30260}">
      <dsp:nvSpPr>
        <dsp:cNvPr id="0" name=""/>
        <dsp:cNvSpPr/>
      </dsp:nvSpPr>
      <dsp:spPr>
        <a:xfrm>
          <a:off x="3001149" y="1918534"/>
          <a:ext cx="1363377" cy="818026"/>
        </a:xfrm>
        <a:prstGeom prst="rect">
          <a:avLst/>
        </a:prstGeom>
        <a:solidFill>
          <a:schemeClr val="accent2">
            <a:shade val="80000"/>
            <a:hueOff val="247191"/>
            <a:satOff val="-41748"/>
            <a:lumOff val="309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Sistemul educațional</a:t>
          </a:r>
          <a:endParaRPr lang="en-US" sz="1000" b="1" kern="1200"/>
        </a:p>
      </dsp:txBody>
      <dsp:txXfrm>
        <a:off x="3001149" y="1918534"/>
        <a:ext cx="1363377" cy="818026"/>
      </dsp:txXfrm>
    </dsp:sp>
    <dsp:sp modelId="{E5BDB225-7927-4FCE-8749-CECCFD5C1D4C}">
      <dsp:nvSpPr>
        <dsp:cNvPr id="0" name=""/>
        <dsp:cNvSpPr/>
      </dsp:nvSpPr>
      <dsp:spPr>
        <a:xfrm>
          <a:off x="4500865" y="1918534"/>
          <a:ext cx="1363377" cy="818026"/>
        </a:xfrm>
        <a:prstGeom prst="rect">
          <a:avLst/>
        </a:prstGeom>
        <a:solidFill>
          <a:schemeClr val="accent2">
            <a:shade val="80000"/>
            <a:hueOff val="271910"/>
            <a:satOff val="-45923"/>
            <a:lumOff val="340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Transportul zonal dezvoltat</a:t>
          </a:r>
          <a:endParaRPr lang="en-US" sz="1000" b="1" kern="1200"/>
        </a:p>
      </dsp:txBody>
      <dsp:txXfrm>
        <a:off x="4500865" y="1918534"/>
        <a:ext cx="1363377" cy="818026"/>
      </dsp:txXfrm>
    </dsp:sp>
    <dsp:sp modelId="{93A1A6EF-1505-4660-B36E-C816E809BA7E}">
      <dsp:nvSpPr>
        <dsp:cNvPr id="0" name=""/>
        <dsp:cNvSpPr/>
      </dsp:nvSpPr>
      <dsp:spPr>
        <a:xfrm>
          <a:off x="751576" y="2872899"/>
          <a:ext cx="1363377" cy="818026"/>
        </a:xfrm>
        <a:prstGeom prst="rect">
          <a:avLst/>
        </a:prstGeom>
        <a:solidFill>
          <a:schemeClr val="accent2">
            <a:shade val="80000"/>
            <a:hueOff val="296629"/>
            <a:satOff val="-50097"/>
            <a:lumOff val="3719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Existența companiilor de înaltă tehnologie</a:t>
          </a:r>
          <a:endParaRPr lang="en-US" sz="1000" b="1" kern="1200"/>
        </a:p>
      </dsp:txBody>
      <dsp:txXfrm>
        <a:off x="751576" y="2872899"/>
        <a:ext cx="1363377" cy="818026"/>
      </dsp:txXfrm>
    </dsp:sp>
    <dsp:sp modelId="{F77E5E3D-5F7C-45A7-AE48-6B0894556278}">
      <dsp:nvSpPr>
        <dsp:cNvPr id="0" name=""/>
        <dsp:cNvSpPr/>
      </dsp:nvSpPr>
      <dsp:spPr>
        <a:xfrm>
          <a:off x="2251292" y="2872899"/>
          <a:ext cx="1363377" cy="818026"/>
        </a:xfrm>
        <a:prstGeom prst="rect">
          <a:avLst/>
        </a:prstGeom>
        <a:solidFill>
          <a:schemeClr val="accent2">
            <a:shade val="80000"/>
            <a:hueOff val="321348"/>
            <a:satOff val="-54272"/>
            <a:lumOff val="4029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Prețul decent al spațiilor de birouri</a:t>
          </a:r>
          <a:endParaRPr lang="en-US" sz="1000" b="1" kern="1200"/>
        </a:p>
      </dsp:txBody>
      <dsp:txXfrm>
        <a:off x="2251292" y="2872899"/>
        <a:ext cx="1363377" cy="818026"/>
      </dsp:txXfrm>
    </dsp:sp>
    <dsp:sp modelId="{EDB52990-1261-45E8-A0BC-235DF8E1031A}">
      <dsp:nvSpPr>
        <dsp:cNvPr id="0" name=""/>
        <dsp:cNvSpPr/>
      </dsp:nvSpPr>
      <dsp:spPr>
        <a:xfrm>
          <a:off x="3751007" y="2872899"/>
          <a:ext cx="1363377" cy="818026"/>
        </a:xfrm>
        <a:prstGeom prst="rect">
          <a:avLst/>
        </a:prstGeom>
        <a:solidFill>
          <a:schemeClr val="accent2">
            <a:shade val="80000"/>
            <a:hueOff val="346068"/>
            <a:satOff val="-58447"/>
            <a:lumOff val="433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Consultările publice</a:t>
          </a:r>
          <a:endParaRPr lang="en-US" sz="1000" b="1" kern="1200"/>
        </a:p>
      </dsp:txBody>
      <dsp:txXfrm>
        <a:off x="3751007" y="2872899"/>
        <a:ext cx="1363377" cy="818026"/>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64586E-378C-43E5-BB56-CF1231A1588D}">
      <dsp:nvSpPr>
        <dsp:cNvPr id="0" name=""/>
        <dsp:cNvSpPr/>
      </dsp:nvSpPr>
      <dsp:spPr>
        <a:xfrm>
          <a:off x="299085" y="807"/>
          <a:ext cx="686320" cy="411792"/>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1880</a:t>
          </a:r>
          <a:endParaRPr lang="en-US" sz="1300" b="1" kern="1200"/>
        </a:p>
      </dsp:txBody>
      <dsp:txXfrm>
        <a:off x="399594" y="61113"/>
        <a:ext cx="485302" cy="291180"/>
      </dsp:txXfrm>
    </dsp:sp>
    <dsp:sp modelId="{E751D154-2D6E-423B-836D-580A6C3CF006}">
      <dsp:nvSpPr>
        <dsp:cNvPr id="0" name=""/>
        <dsp:cNvSpPr/>
      </dsp:nvSpPr>
      <dsp:spPr>
        <a:xfrm>
          <a:off x="1054037" y="807"/>
          <a:ext cx="686320" cy="411792"/>
        </a:xfrm>
        <a:prstGeom prst="ellipse">
          <a:avLst/>
        </a:prstGeom>
        <a:solidFill>
          <a:schemeClr val="accent2">
            <a:hueOff val="3839"/>
            <a:satOff val="-506"/>
            <a:lumOff val="130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1931</a:t>
          </a:r>
          <a:endParaRPr lang="en-US" sz="1300" b="1" kern="1200"/>
        </a:p>
      </dsp:txBody>
      <dsp:txXfrm>
        <a:off x="1154546" y="61113"/>
        <a:ext cx="485302" cy="291180"/>
      </dsp:txXfrm>
    </dsp:sp>
    <dsp:sp modelId="{E666458D-70CD-48E1-BC6C-CA5AD9506770}">
      <dsp:nvSpPr>
        <dsp:cNvPr id="0" name=""/>
        <dsp:cNvSpPr/>
      </dsp:nvSpPr>
      <dsp:spPr>
        <a:xfrm>
          <a:off x="1808989" y="807"/>
          <a:ext cx="686320" cy="411792"/>
        </a:xfrm>
        <a:prstGeom prst="ellipse">
          <a:avLst/>
        </a:prstGeom>
        <a:solidFill>
          <a:schemeClr val="accent2">
            <a:hueOff val="7678"/>
            <a:satOff val="-1013"/>
            <a:lumOff val="260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1956</a:t>
          </a:r>
          <a:endParaRPr lang="en-US" sz="1300" b="1" kern="1200"/>
        </a:p>
      </dsp:txBody>
      <dsp:txXfrm>
        <a:off x="1909498" y="61113"/>
        <a:ext cx="485302" cy="291180"/>
      </dsp:txXfrm>
    </dsp:sp>
    <dsp:sp modelId="{2E79F5BD-C317-492B-A3B6-C2DB7DD00000}">
      <dsp:nvSpPr>
        <dsp:cNvPr id="0" name=""/>
        <dsp:cNvSpPr/>
      </dsp:nvSpPr>
      <dsp:spPr>
        <a:xfrm>
          <a:off x="2563941" y="807"/>
          <a:ext cx="686320" cy="411792"/>
        </a:xfrm>
        <a:prstGeom prst="ellipse">
          <a:avLst/>
        </a:prstGeom>
        <a:solidFill>
          <a:schemeClr val="accent2">
            <a:hueOff val="11517"/>
            <a:satOff val="-1519"/>
            <a:lumOff val="390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1990</a:t>
          </a:r>
          <a:endParaRPr lang="en-US" sz="1300" b="1" kern="1200"/>
        </a:p>
      </dsp:txBody>
      <dsp:txXfrm>
        <a:off x="2664450" y="61113"/>
        <a:ext cx="485302" cy="291180"/>
      </dsp:txXfrm>
    </dsp:sp>
    <dsp:sp modelId="{15C9D13B-2F03-49F7-8EF3-98B020A37495}">
      <dsp:nvSpPr>
        <dsp:cNvPr id="0" name=""/>
        <dsp:cNvSpPr/>
      </dsp:nvSpPr>
      <dsp:spPr>
        <a:xfrm>
          <a:off x="3318894" y="807"/>
          <a:ext cx="686320" cy="411792"/>
        </a:xfrm>
        <a:prstGeom prst="ellipse">
          <a:avLst/>
        </a:prstGeom>
        <a:solidFill>
          <a:schemeClr val="accent2">
            <a:hueOff val="15356"/>
            <a:satOff val="-2026"/>
            <a:lumOff val="520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1991</a:t>
          </a:r>
          <a:endParaRPr lang="en-US" sz="1300" b="1" kern="1200"/>
        </a:p>
      </dsp:txBody>
      <dsp:txXfrm>
        <a:off x="3419403" y="61113"/>
        <a:ext cx="485302" cy="291180"/>
      </dsp:txXfrm>
    </dsp:sp>
    <dsp:sp modelId="{8759C4EF-D8E6-4358-8B9C-6976200D52A6}">
      <dsp:nvSpPr>
        <dsp:cNvPr id="0" name=""/>
        <dsp:cNvSpPr/>
      </dsp:nvSpPr>
      <dsp:spPr>
        <a:xfrm>
          <a:off x="4073846" y="807"/>
          <a:ext cx="686320" cy="411792"/>
        </a:xfrm>
        <a:prstGeom prst="ellipse">
          <a:avLst/>
        </a:prstGeom>
        <a:solidFill>
          <a:schemeClr val="accent2">
            <a:hueOff val="19195"/>
            <a:satOff val="-2532"/>
            <a:lumOff val="650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1996</a:t>
          </a:r>
          <a:endParaRPr lang="en-US" sz="1300" b="1" kern="1200"/>
        </a:p>
      </dsp:txBody>
      <dsp:txXfrm>
        <a:off x="4174355" y="61113"/>
        <a:ext cx="485302" cy="291180"/>
      </dsp:txXfrm>
    </dsp:sp>
    <dsp:sp modelId="{63C0D846-FCE3-4D70-975F-CFE18AC1B786}">
      <dsp:nvSpPr>
        <dsp:cNvPr id="0" name=""/>
        <dsp:cNvSpPr/>
      </dsp:nvSpPr>
      <dsp:spPr>
        <a:xfrm>
          <a:off x="4828798" y="807"/>
          <a:ext cx="686320" cy="411792"/>
        </a:xfrm>
        <a:prstGeom prst="ellipse">
          <a:avLst/>
        </a:prstGeom>
        <a:solidFill>
          <a:schemeClr val="accent2">
            <a:hueOff val="23034"/>
            <a:satOff val="-3038"/>
            <a:lumOff val="78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1197</a:t>
          </a:r>
          <a:endParaRPr lang="en-US" sz="1300" b="1" kern="1200"/>
        </a:p>
      </dsp:txBody>
      <dsp:txXfrm>
        <a:off x="4929307" y="61113"/>
        <a:ext cx="485302" cy="291180"/>
      </dsp:txXfrm>
    </dsp:sp>
    <dsp:sp modelId="{462CBEDB-6873-4DBF-A40F-1B2B32562ECE}">
      <dsp:nvSpPr>
        <dsp:cNvPr id="0" name=""/>
        <dsp:cNvSpPr/>
      </dsp:nvSpPr>
      <dsp:spPr>
        <a:xfrm>
          <a:off x="299085" y="481231"/>
          <a:ext cx="686320" cy="411792"/>
        </a:xfrm>
        <a:prstGeom prst="ellipse">
          <a:avLst/>
        </a:prstGeom>
        <a:solidFill>
          <a:schemeClr val="accent2">
            <a:hueOff val="26873"/>
            <a:satOff val="-3545"/>
            <a:lumOff val="910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1998</a:t>
          </a:r>
          <a:endParaRPr lang="en-US" sz="1300" b="1" kern="1200"/>
        </a:p>
      </dsp:txBody>
      <dsp:txXfrm>
        <a:off x="399594" y="541537"/>
        <a:ext cx="485302" cy="291180"/>
      </dsp:txXfrm>
    </dsp:sp>
    <dsp:sp modelId="{CBC36FAD-C4D4-4DF1-9296-BF3EE20E79D2}">
      <dsp:nvSpPr>
        <dsp:cNvPr id="0" name=""/>
        <dsp:cNvSpPr/>
      </dsp:nvSpPr>
      <dsp:spPr>
        <a:xfrm>
          <a:off x="1054037" y="481231"/>
          <a:ext cx="686320" cy="411792"/>
        </a:xfrm>
        <a:prstGeom prst="ellipse">
          <a:avLst/>
        </a:prstGeom>
        <a:solidFill>
          <a:schemeClr val="accent2">
            <a:hueOff val="30712"/>
            <a:satOff val="-4051"/>
            <a:lumOff val="1041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2005</a:t>
          </a:r>
          <a:endParaRPr lang="en-US" sz="1300" b="1" kern="1200"/>
        </a:p>
      </dsp:txBody>
      <dsp:txXfrm>
        <a:off x="1154546" y="541537"/>
        <a:ext cx="485302" cy="291180"/>
      </dsp:txXfrm>
    </dsp:sp>
    <dsp:sp modelId="{DFEA43AE-E06C-405D-B63E-9E56312033D9}">
      <dsp:nvSpPr>
        <dsp:cNvPr id="0" name=""/>
        <dsp:cNvSpPr/>
      </dsp:nvSpPr>
      <dsp:spPr>
        <a:xfrm>
          <a:off x="1808989" y="481231"/>
          <a:ext cx="686320" cy="411792"/>
        </a:xfrm>
        <a:prstGeom prst="ellipse">
          <a:avLst/>
        </a:prstGeom>
        <a:solidFill>
          <a:schemeClr val="accent2">
            <a:hueOff val="34552"/>
            <a:satOff val="-4558"/>
            <a:lumOff val="1171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2006</a:t>
          </a:r>
          <a:endParaRPr lang="en-US" sz="1300" b="1" kern="1200"/>
        </a:p>
      </dsp:txBody>
      <dsp:txXfrm>
        <a:off x="1909498" y="541537"/>
        <a:ext cx="485302" cy="291180"/>
      </dsp:txXfrm>
    </dsp:sp>
    <dsp:sp modelId="{7417BBB4-DDBC-4096-B75F-3F467BB6C407}">
      <dsp:nvSpPr>
        <dsp:cNvPr id="0" name=""/>
        <dsp:cNvSpPr/>
      </dsp:nvSpPr>
      <dsp:spPr>
        <a:xfrm>
          <a:off x="2563941" y="481231"/>
          <a:ext cx="686320" cy="411792"/>
        </a:xfrm>
        <a:prstGeom prst="ellipse">
          <a:avLst/>
        </a:prstGeom>
        <a:solidFill>
          <a:schemeClr val="accent2">
            <a:hueOff val="38391"/>
            <a:satOff val="-5064"/>
            <a:lumOff val="1301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2007</a:t>
          </a:r>
          <a:endParaRPr lang="en-US" sz="1300" b="1" kern="1200"/>
        </a:p>
      </dsp:txBody>
      <dsp:txXfrm>
        <a:off x="2664450" y="541537"/>
        <a:ext cx="485302" cy="291180"/>
      </dsp:txXfrm>
    </dsp:sp>
    <dsp:sp modelId="{A1A46514-4FBF-4EA3-BF3C-62E5399C3D49}">
      <dsp:nvSpPr>
        <dsp:cNvPr id="0" name=""/>
        <dsp:cNvSpPr/>
      </dsp:nvSpPr>
      <dsp:spPr>
        <a:xfrm>
          <a:off x="3318894" y="481231"/>
          <a:ext cx="686320" cy="411792"/>
        </a:xfrm>
        <a:prstGeom prst="ellipse">
          <a:avLst/>
        </a:prstGeom>
        <a:solidFill>
          <a:schemeClr val="accent2">
            <a:hueOff val="42230"/>
            <a:satOff val="-5571"/>
            <a:lumOff val="1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2008</a:t>
          </a:r>
          <a:endParaRPr lang="en-US" sz="1300" b="1" kern="1200"/>
        </a:p>
      </dsp:txBody>
      <dsp:txXfrm>
        <a:off x="3419403" y="541537"/>
        <a:ext cx="485302" cy="291180"/>
      </dsp:txXfrm>
    </dsp:sp>
    <dsp:sp modelId="{CBF94222-0472-4140-B6C7-99A91FB44EFD}">
      <dsp:nvSpPr>
        <dsp:cNvPr id="0" name=""/>
        <dsp:cNvSpPr/>
      </dsp:nvSpPr>
      <dsp:spPr>
        <a:xfrm>
          <a:off x="4073846" y="481231"/>
          <a:ext cx="686320" cy="411792"/>
        </a:xfrm>
        <a:prstGeom prst="ellipse">
          <a:avLst/>
        </a:prstGeom>
        <a:solidFill>
          <a:schemeClr val="accent2">
            <a:hueOff val="46069"/>
            <a:satOff val="-6077"/>
            <a:lumOff val="1561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2010</a:t>
          </a:r>
          <a:endParaRPr lang="en-US" sz="1300" b="1" kern="1200"/>
        </a:p>
      </dsp:txBody>
      <dsp:txXfrm>
        <a:off x="4174355" y="541537"/>
        <a:ext cx="485302" cy="291180"/>
      </dsp:txXfrm>
    </dsp:sp>
    <dsp:sp modelId="{4233332B-54B4-47CE-90AC-CB016B3925B6}">
      <dsp:nvSpPr>
        <dsp:cNvPr id="0" name=""/>
        <dsp:cNvSpPr/>
      </dsp:nvSpPr>
      <dsp:spPr>
        <a:xfrm>
          <a:off x="4828798" y="481231"/>
          <a:ext cx="686320" cy="411792"/>
        </a:xfrm>
        <a:prstGeom prst="ellipse">
          <a:avLst/>
        </a:prstGeom>
        <a:solidFill>
          <a:schemeClr val="accent2">
            <a:hueOff val="49908"/>
            <a:satOff val="-6583"/>
            <a:lumOff val="169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2011</a:t>
          </a:r>
          <a:endParaRPr lang="en-US" sz="1300" b="1" kern="1200"/>
        </a:p>
      </dsp:txBody>
      <dsp:txXfrm>
        <a:off x="4929307" y="541537"/>
        <a:ext cx="485302" cy="291180"/>
      </dsp:txXfrm>
    </dsp:sp>
    <dsp:sp modelId="{61E1BA7C-3022-4338-BD85-A24B4BE2F82E}">
      <dsp:nvSpPr>
        <dsp:cNvPr id="0" name=""/>
        <dsp:cNvSpPr/>
      </dsp:nvSpPr>
      <dsp:spPr>
        <a:xfrm>
          <a:off x="299085" y="961655"/>
          <a:ext cx="686320" cy="411792"/>
        </a:xfrm>
        <a:prstGeom prst="ellipse">
          <a:avLst/>
        </a:prstGeom>
        <a:solidFill>
          <a:schemeClr val="accent2">
            <a:hueOff val="53747"/>
            <a:satOff val="-7090"/>
            <a:lumOff val="1821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2012</a:t>
          </a:r>
          <a:endParaRPr lang="en-US" sz="1300" b="1" kern="1200"/>
        </a:p>
      </dsp:txBody>
      <dsp:txXfrm>
        <a:off x="399594" y="1021961"/>
        <a:ext cx="485302" cy="291180"/>
      </dsp:txXfrm>
    </dsp:sp>
    <dsp:sp modelId="{78A5D263-04CF-4CC8-8CA9-97E26A3EC0DC}">
      <dsp:nvSpPr>
        <dsp:cNvPr id="0" name=""/>
        <dsp:cNvSpPr/>
      </dsp:nvSpPr>
      <dsp:spPr>
        <a:xfrm>
          <a:off x="1054037" y="961655"/>
          <a:ext cx="686320" cy="411792"/>
        </a:xfrm>
        <a:prstGeom prst="ellipse">
          <a:avLst/>
        </a:prstGeom>
        <a:solidFill>
          <a:schemeClr val="accent2">
            <a:hueOff val="57586"/>
            <a:satOff val="-7596"/>
            <a:lumOff val="1952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2013</a:t>
          </a:r>
          <a:endParaRPr lang="en-US" sz="1300" b="1" kern="1200"/>
        </a:p>
      </dsp:txBody>
      <dsp:txXfrm>
        <a:off x="1154546" y="1021961"/>
        <a:ext cx="485302" cy="291180"/>
      </dsp:txXfrm>
    </dsp:sp>
    <dsp:sp modelId="{CDE6BA28-6281-450D-A795-F37E17877EC2}">
      <dsp:nvSpPr>
        <dsp:cNvPr id="0" name=""/>
        <dsp:cNvSpPr/>
      </dsp:nvSpPr>
      <dsp:spPr>
        <a:xfrm>
          <a:off x="1808989" y="961655"/>
          <a:ext cx="686320" cy="411792"/>
        </a:xfrm>
        <a:prstGeom prst="ellipse">
          <a:avLst/>
        </a:prstGeom>
        <a:solidFill>
          <a:schemeClr val="accent2">
            <a:hueOff val="61425"/>
            <a:satOff val="-8103"/>
            <a:lumOff val="2082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2014</a:t>
          </a:r>
          <a:endParaRPr lang="en-US" sz="1300" b="1" kern="1200"/>
        </a:p>
      </dsp:txBody>
      <dsp:txXfrm>
        <a:off x="1909498" y="1021961"/>
        <a:ext cx="485302" cy="291180"/>
      </dsp:txXfrm>
    </dsp:sp>
    <dsp:sp modelId="{0BA0FC90-9752-4180-8BCC-47E281CD08ED}">
      <dsp:nvSpPr>
        <dsp:cNvPr id="0" name=""/>
        <dsp:cNvSpPr/>
      </dsp:nvSpPr>
      <dsp:spPr>
        <a:xfrm>
          <a:off x="2563941" y="961655"/>
          <a:ext cx="686320" cy="411792"/>
        </a:xfrm>
        <a:prstGeom prst="ellipse">
          <a:avLst/>
        </a:prstGeom>
        <a:solidFill>
          <a:schemeClr val="accent2">
            <a:hueOff val="65264"/>
            <a:satOff val="-8609"/>
            <a:lumOff val="2212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2015</a:t>
          </a:r>
          <a:endParaRPr lang="en-US" sz="1300" b="1" kern="1200"/>
        </a:p>
      </dsp:txBody>
      <dsp:txXfrm>
        <a:off x="2664450" y="1021961"/>
        <a:ext cx="485302" cy="291180"/>
      </dsp:txXfrm>
    </dsp:sp>
    <dsp:sp modelId="{E9D53361-8D38-40FF-B8FB-107868A67D7E}">
      <dsp:nvSpPr>
        <dsp:cNvPr id="0" name=""/>
        <dsp:cNvSpPr/>
      </dsp:nvSpPr>
      <dsp:spPr>
        <a:xfrm>
          <a:off x="3318894" y="961655"/>
          <a:ext cx="686320" cy="411792"/>
        </a:xfrm>
        <a:prstGeom prst="ellipse">
          <a:avLst/>
        </a:prstGeom>
        <a:solidFill>
          <a:schemeClr val="accent2">
            <a:hueOff val="69103"/>
            <a:satOff val="-9115"/>
            <a:lumOff val="234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2016</a:t>
          </a:r>
          <a:endParaRPr lang="en-US" sz="1300" b="1" kern="1200"/>
        </a:p>
      </dsp:txBody>
      <dsp:txXfrm>
        <a:off x="3419403" y="1021961"/>
        <a:ext cx="485302" cy="291180"/>
      </dsp:txXfrm>
    </dsp:sp>
    <dsp:sp modelId="{4DFD55C2-26F5-4EFE-A691-49B8F5178E2F}">
      <dsp:nvSpPr>
        <dsp:cNvPr id="0" name=""/>
        <dsp:cNvSpPr/>
      </dsp:nvSpPr>
      <dsp:spPr>
        <a:xfrm>
          <a:off x="4073846" y="961655"/>
          <a:ext cx="686320" cy="411792"/>
        </a:xfrm>
        <a:prstGeom prst="ellipse">
          <a:avLst/>
        </a:prstGeom>
        <a:solidFill>
          <a:schemeClr val="accent2">
            <a:hueOff val="72942"/>
            <a:satOff val="-9622"/>
            <a:lumOff val="247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2017</a:t>
          </a:r>
          <a:endParaRPr lang="en-US" sz="1300" b="1" kern="1200"/>
        </a:p>
      </dsp:txBody>
      <dsp:txXfrm>
        <a:off x="4174355" y="1021961"/>
        <a:ext cx="485302" cy="291180"/>
      </dsp:txXfrm>
    </dsp:sp>
    <dsp:sp modelId="{560ED904-3E16-4F6B-96CF-B423430D804B}">
      <dsp:nvSpPr>
        <dsp:cNvPr id="0" name=""/>
        <dsp:cNvSpPr/>
      </dsp:nvSpPr>
      <dsp:spPr>
        <a:xfrm>
          <a:off x="4828798" y="961655"/>
          <a:ext cx="686320" cy="411792"/>
        </a:xfrm>
        <a:prstGeom prst="ellipse">
          <a:avLst/>
        </a:prstGeom>
        <a:solidFill>
          <a:schemeClr val="accent2">
            <a:hueOff val="76781"/>
            <a:satOff val="-10128"/>
            <a:lumOff val="2602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2018</a:t>
          </a:r>
          <a:endParaRPr lang="en-US" sz="1300" b="1" kern="1200"/>
        </a:p>
      </dsp:txBody>
      <dsp:txXfrm>
        <a:off x="4929307" y="1021961"/>
        <a:ext cx="485302" cy="291180"/>
      </dsp:txXfrm>
    </dsp:sp>
    <dsp:sp modelId="{FD0CEB88-8EC1-4AC7-AC23-34C8E39DD465}">
      <dsp:nvSpPr>
        <dsp:cNvPr id="0" name=""/>
        <dsp:cNvSpPr/>
      </dsp:nvSpPr>
      <dsp:spPr>
        <a:xfrm>
          <a:off x="2186465" y="1442079"/>
          <a:ext cx="686320" cy="411792"/>
        </a:xfrm>
        <a:prstGeom prst="ellipse">
          <a:avLst/>
        </a:prstGeom>
        <a:solidFill>
          <a:schemeClr val="accent2">
            <a:hueOff val="80620"/>
            <a:satOff val="-10635"/>
            <a:lumOff val="273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2019</a:t>
          </a:r>
          <a:endParaRPr lang="en-US" sz="1300" b="1" kern="1200"/>
        </a:p>
      </dsp:txBody>
      <dsp:txXfrm>
        <a:off x="2286974" y="1502385"/>
        <a:ext cx="485302" cy="291180"/>
      </dsp:txXfrm>
    </dsp:sp>
    <dsp:sp modelId="{A5603397-154E-45F1-BB7A-229BA4ED4280}">
      <dsp:nvSpPr>
        <dsp:cNvPr id="0" name=""/>
        <dsp:cNvSpPr/>
      </dsp:nvSpPr>
      <dsp:spPr>
        <a:xfrm>
          <a:off x="2941418" y="1442079"/>
          <a:ext cx="686320" cy="411792"/>
        </a:xfrm>
        <a:prstGeom prst="ellipse">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b="1" i="0" u="none" kern="1200"/>
            <a:t>2021</a:t>
          </a:r>
          <a:endParaRPr lang="en-US" sz="1300" b="1" kern="1200"/>
        </a:p>
      </dsp:txBody>
      <dsp:txXfrm>
        <a:off x="3041927" y="1502385"/>
        <a:ext cx="485302" cy="291180"/>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3A5C6F-BEAB-44EF-ADC3-2C19759D84A1}">
      <dsp:nvSpPr>
        <dsp:cNvPr id="0" name=""/>
        <dsp:cNvSpPr/>
      </dsp:nvSpPr>
      <dsp:spPr>
        <a:xfrm>
          <a:off x="97833" y="5438"/>
          <a:ext cx="5713427" cy="369555"/>
        </a:xfrm>
        <a:prstGeom prst="roundRect">
          <a:avLst>
            <a:gd name="adj" fmla="val 10000"/>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Lipsa programelor și a măsurilor în raport cu naș</a:t>
          </a:r>
          <a:r>
            <a:rPr lang="ro-RO" sz="1000" kern="1200"/>
            <a:t>te</a:t>
          </a:r>
          <a:r>
            <a:rPr lang="lt-LT" sz="1000" kern="1200"/>
            <a:t>rile premature și cu prematurii</a:t>
          </a:r>
          <a:endParaRPr lang="en-US" sz="1000" kern="1200"/>
        </a:p>
      </dsp:txBody>
      <dsp:txXfrm>
        <a:off x="108657" y="16262"/>
        <a:ext cx="5691779" cy="347907"/>
      </dsp:txXfrm>
    </dsp:sp>
    <dsp:sp modelId="{31790DC7-85AE-4992-9CD3-84CEEF00D2FC}">
      <dsp:nvSpPr>
        <dsp:cNvPr id="0" name=""/>
        <dsp:cNvSpPr/>
      </dsp:nvSpPr>
      <dsp:spPr>
        <a:xfrm rot="5400000">
          <a:off x="2885255" y="384232"/>
          <a:ext cx="138583" cy="166299"/>
        </a:xfrm>
        <a:prstGeom prst="flowChartProcess">
          <a:avLst/>
        </a:prstGeom>
        <a:solidFill>
          <a:schemeClr val="accent1">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398090"/>
        <a:ext cx="99779" cy="97008"/>
      </dsp:txXfrm>
    </dsp:sp>
    <dsp:sp modelId="{41FF2BEB-71DD-42E4-BCD2-F8ED714C7137}">
      <dsp:nvSpPr>
        <dsp:cNvPr id="0" name=""/>
        <dsp:cNvSpPr/>
      </dsp:nvSpPr>
      <dsp:spPr>
        <a:xfrm>
          <a:off x="97833" y="559771"/>
          <a:ext cx="5713427" cy="369555"/>
        </a:xfrm>
        <a:prstGeom prst="roundRect">
          <a:avLst>
            <a:gd name="adj" fmla="val 10000"/>
          </a:avLst>
        </a:prstGeom>
        <a:solidFill>
          <a:schemeClr val="accent1">
            <a:shade val="80000"/>
            <a:hueOff val="0"/>
            <a:satOff val="0"/>
            <a:lumOff val="16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Nevoia programelor de orientare profesională</a:t>
          </a:r>
          <a:endParaRPr lang="en-US" sz="1000" kern="1200"/>
        </a:p>
      </dsp:txBody>
      <dsp:txXfrm>
        <a:off x="108657" y="570595"/>
        <a:ext cx="5691779" cy="347907"/>
      </dsp:txXfrm>
    </dsp:sp>
    <dsp:sp modelId="{D1D50BD0-B900-47E8-A885-DDC6E98C9D1E}">
      <dsp:nvSpPr>
        <dsp:cNvPr id="0" name=""/>
        <dsp:cNvSpPr/>
      </dsp:nvSpPr>
      <dsp:spPr>
        <a:xfrm rot="5400000">
          <a:off x="2885255" y="938565"/>
          <a:ext cx="138583" cy="166299"/>
        </a:xfrm>
        <a:prstGeom prst="flowChartProcess">
          <a:avLst/>
        </a:prstGeom>
        <a:solidFill>
          <a:schemeClr val="accent1">
            <a:shade val="90000"/>
            <a:hueOff val="0"/>
            <a:satOff val="0"/>
            <a:lumOff val="161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952423"/>
        <a:ext cx="99779" cy="97008"/>
      </dsp:txXfrm>
    </dsp:sp>
    <dsp:sp modelId="{C734FFC3-D416-42D4-ACBE-08C4F7DA4719}">
      <dsp:nvSpPr>
        <dsp:cNvPr id="0" name=""/>
        <dsp:cNvSpPr/>
      </dsp:nvSpPr>
      <dsp:spPr>
        <a:xfrm>
          <a:off x="97833" y="1114104"/>
          <a:ext cx="5713427" cy="369555"/>
        </a:xfrm>
        <a:prstGeom prst="roundRect">
          <a:avLst>
            <a:gd name="adj" fmla="val 10000"/>
          </a:avLst>
        </a:prstGeom>
        <a:solidFill>
          <a:schemeClr val="accent1">
            <a:shade val="80000"/>
            <a:hueOff val="0"/>
            <a:satOff val="0"/>
            <a:lumOff val="335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Lipsa unui mecanism de cooperare între companii, instituții și organizațiile de orientare și formare de competențe profesionale</a:t>
          </a:r>
          <a:endParaRPr lang="en-US" sz="1000" kern="1200"/>
        </a:p>
      </dsp:txBody>
      <dsp:txXfrm>
        <a:off x="108657" y="1124928"/>
        <a:ext cx="5691779" cy="347907"/>
      </dsp:txXfrm>
    </dsp:sp>
    <dsp:sp modelId="{A83A3272-9DC4-475E-BF5E-E8ADC9C0ED03}">
      <dsp:nvSpPr>
        <dsp:cNvPr id="0" name=""/>
        <dsp:cNvSpPr/>
      </dsp:nvSpPr>
      <dsp:spPr>
        <a:xfrm rot="5400000">
          <a:off x="2885255" y="1492898"/>
          <a:ext cx="138583" cy="166299"/>
        </a:xfrm>
        <a:prstGeom prst="flowChartProcess">
          <a:avLst/>
        </a:prstGeom>
        <a:solidFill>
          <a:schemeClr val="accent1">
            <a:shade val="90000"/>
            <a:hueOff val="0"/>
            <a:satOff val="0"/>
            <a:lumOff val="323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1506756"/>
        <a:ext cx="99779" cy="97008"/>
      </dsp:txXfrm>
    </dsp:sp>
    <dsp:sp modelId="{9DE1BDC5-C02C-4F8C-A08F-EB282E4E9C6C}">
      <dsp:nvSpPr>
        <dsp:cNvPr id="0" name=""/>
        <dsp:cNvSpPr/>
      </dsp:nvSpPr>
      <dsp:spPr>
        <a:xfrm>
          <a:off x="97833" y="1668437"/>
          <a:ext cx="5713427" cy="369555"/>
        </a:xfrm>
        <a:prstGeom prst="roundRect">
          <a:avLst>
            <a:gd name="adj" fmla="val 10000"/>
          </a:avLst>
        </a:prstGeom>
        <a:solidFill>
          <a:schemeClr val="accent1">
            <a:shade val="80000"/>
            <a:hueOff val="0"/>
            <a:satOff val="0"/>
            <a:lumOff val="50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Nivel scăzut de comunicare civita</a:t>
          </a:r>
          <a:endParaRPr lang="en-US" sz="1000" kern="1200"/>
        </a:p>
      </dsp:txBody>
      <dsp:txXfrm>
        <a:off x="108657" y="1679261"/>
        <a:ext cx="5691779" cy="347907"/>
      </dsp:txXfrm>
    </dsp:sp>
    <dsp:sp modelId="{39F5337C-CF0C-4EE7-B499-877711ADB60A}">
      <dsp:nvSpPr>
        <dsp:cNvPr id="0" name=""/>
        <dsp:cNvSpPr/>
      </dsp:nvSpPr>
      <dsp:spPr>
        <a:xfrm rot="5400000">
          <a:off x="2885255" y="2047231"/>
          <a:ext cx="138583" cy="166299"/>
        </a:xfrm>
        <a:prstGeom prst="flowChartProcess">
          <a:avLst/>
        </a:prstGeom>
        <a:solidFill>
          <a:schemeClr val="accent1">
            <a:shade val="90000"/>
            <a:hueOff val="0"/>
            <a:satOff val="0"/>
            <a:lumOff val="484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2061089"/>
        <a:ext cx="99779" cy="97008"/>
      </dsp:txXfrm>
    </dsp:sp>
    <dsp:sp modelId="{579D1D17-F6F3-4A6F-A666-8EDB56EC4DAC}">
      <dsp:nvSpPr>
        <dsp:cNvPr id="0" name=""/>
        <dsp:cNvSpPr/>
      </dsp:nvSpPr>
      <dsp:spPr>
        <a:xfrm>
          <a:off x="97833" y="2222770"/>
          <a:ext cx="5713427" cy="369555"/>
        </a:xfrm>
        <a:prstGeom prst="roundRect">
          <a:avLst>
            <a:gd name="adj" fmla="val 10000"/>
          </a:avLst>
        </a:prstGeom>
        <a:solidFill>
          <a:schemeClr val="accent1">
            <a:shade val="80000"/>
            <a:hueOff val="0"/>
            <a:satOff val="0"/>
            <a:lumOff val="670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Lipsa informării organizațiilor referitor la anumite situații sau nevoi ale comunității</a:t>
          </a:r>
          <a:endParaRPr lang="en-US" sz="1000" kern="1200"/>
        </a:p>
      </dsp:txBody>
      <dsp:txXfrm>
        <a:off x="108657" y="2233594"/>
        <a:ext cx="5691779" cy="347907"/>
      </dsp:txXfrm>
    </dsp:sp>
    <dsp:sp modelId="{DD485AB2-4B9B-4269-9C04-5BF551D51BBE}">
      <dsp:nvSpPr>
        <dsp:cNvPr id="0" name=""/>
        <dsp:cNvSpPr/>
      </dsp:nvSpPr>
      <dsp:spPr>
        <a:xfrm rot="5400000">
          <a:off x="2885255" y="2601564"/>
          <a:ext cx="138583" cy="166299"/>
        </a:xfrm>
        <a:prstGeom prst="flowChartProcess">
          <a:avLst/>
        </a:prstGeom>
        <a:solidFill>
          <a:schemeClr val="accent1">
            <a:shade val="90000"/>
            <a:hueOff val="0"/>
            <a:satOff val="0"/>
            <a:lumOff val="646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2615422"/>
        <a:ext cx="99779" cy="97008"/>
      </dsp:txXfrm>
    </dsp:sp>
    <dsp:sp modelId="{551B310A-F75A-499B-B8C6-F185BB198FD4}">
      <dsp:nvSpPr>
        <dsp:cNvPr id="0" name=""/>
        <dsp:cNvSpPr/>
      </dsp:nvSpPr>
      <dsp:spPr>
        <a:xfrm>
          <a:off x="97833" y="2777103"/>
          <a:ext cx="5713427" cy="369555"/>
        </a:xfrm>
        <a:prstGeom prst="roundRect">
          <a:avLst>
            <a:gd name="adj" fmla="val 10000"/>
          </a:avLst>
        </a:prstGeom>
        <a:solidFill>
          <a:schemeClr val="accent1">
            <a:shade val="80000"/>
            <a:hueOff val="0"/>
            <a:satOff val="0"/>
            <a:lumOff val="838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Nevoia de diversificarea și creșterea finanțărilor</a:t>
          </a:r>
          <a:endParaRPr lang="en-US" sz="1000" kern="1200"/>
        </a:p>
      </dsp:txBody>
      <dsp:txXfrm>
        <a:off x="108657" y="2787927"/>
        <a:ext cx="5691779" cy="347907"/>
      </dsp:txXfrm>
    </dsp:sp>
    <dsp:sp modelId="{9263633C-FB4C-4397-AD06-903E561B8CDF}">
      <dsp:nvSpPr>
        <dsp:cNvPr id="0" name=""/>
        <dsp:cNvSpPr/>
      </dsp:nvSpPr>
      <dsp:spPr>
        <a:xfrm rot="5400000">
          <a:off x="2885255" y="3155897"/>
          <a:ext cx="138583" cy="166299"/>
        </a:xfrm>
        <a:prstGeom prst="flowChartProcess">
          <a:avLst/>
        </a:prstGeom>
        <a:solidFill>
          <a:schemeClr val="accent1">
            <a:shade val="90000"/>
            <a:hueOff val="0"/>
            <a:satOff val="0"/>
            <a:lumOff val="807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3169755"/>
        <a:ext cx="99779" cy="97008"/>
      </dsp:txXfrm>
    </dsp:sp>
    <dsp:sp modelId="{CF10F80D-BBA5-4077-97F0-746F79F820E8}">
      <dsp:nvSpPr>
        <dsp:cNvPr id="0" name=""/>
        <dsp:cNvSpPr/>
      </dsp:nvSpPr>
      <dsp:spPr>
        <a:xfrm>
          <a:off x="97833" y="3331436"/>
          <a:ext cx="5713427" cy="369555"/>
        </a:xfrm>
        <a:prstGeom prst="roundRect">
          <a:avLst>
            <a:gd name="adj" fmla="val 10000"/>
          </a:avLst>
        </a:prstGeom>
        <a:solidFill>
          <a:schemeClr val="accent1">
            <a:shade val="80000"/>
            <a:hueOff val="0"/>
            <a:satOff val="0"/>
            <a:lumOff val="100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Nevoia de diversificarea și facilitarea mijloacelor publicitare către publicul generalist</a:t>
          </a:r>
          <a:endParaRPr lang="en-US" sz="1000" kern="1200"/>
        </a:p>
      </dsp:txBody>
      <dsp:txXfrm>
        <a:off x="108657" y="3342260"/>
        <a:ext cx="5691779" cy="347907"/>
      </dsp:txXfrm>
    </dsp:sp>
    <dsp:sp modelId="{363E2BE4-8192-419E-96FC-40398B579A0C}">
      <dsp:nvSpPr>
        <dsp:cNvPr id="0" name=""/>
        <dsp:cNvSpPr/>
      </dsp:nvSpPr>
      <dsp:spPr>
        <a:xfrm rot="5400000">
          <a:off x="2885255" y="3710230"/>
          <a:ext cx="138583" cy="166299"/>
        </a:xfrm>
        <a:prstGeom prst="flowChartProcess">
          <a:avLst/>
        </a:prstGeom>
        <a:solidFill>
          <a:schemeClr val="accent1">
            <a:shade val="90000"/>
            <a:hueOff val="0"/>
            <a:satOff val="0"/>
            <a:lumOff val="969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3724088"/>
        <a:ext cx="99779" cy="97008"/>
      </dsp:txXfrm>
    </dsp:sp>
    <dsp:sp modelId="{FA993EE4-98CF-4E29-951F-F7252A5E32F5}">
      <dsp:nvSpPr>
        <dsp:cNvPr id="0" name=""/>
        <dsp:cNvSpPr/>
      </dsp:nvSpPr>
      <dsp:spPr>
        <a:xfrm>
          <a:off x="97833" y="3885768"/>
          <a:ext cx="5713427" cy="369555"/>
        </a:xfrm>
        <a:prstGeom prst="roundRect">
          <a:avLst>
            <a:gd name="adj" fmla="val 10000"/>
          </a:avLst>
        </a:prstGeom>
        <a:solidFill>
          <a:schemeClr val="accent1">
            <a:shade val="80000"/>
            <a:hueOff val="0"/>
            <a:satOff val="0"/>
            <a:lumOff val="1173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Nevoia unei reformă a instituțiilor culturale din subordine cu implicarea ONG-urilor de profil</a:t>
          </a:r>
          <a:endParaRPr lang="en-US" sz="1000" kern="1200"/>
        </a:p>
      </dsp:txBody>
      <dsp:txXfrm>
        <a:off x="108657" y="3896592"/>
        <a:ext cx="5691779" cy="347907"/>
      </dsp:txXfrm>
    </dsp:sp>
    <dsp:sp modelId="{189F85AF-E6C1-44B8-A136-D414E14CF2D3}">
      <dsp:nvSpPr>
        <dsp:cNvPr id="0" name=""/>
        <dsp:cNvSpPr/>
      </dsp:nvSpPr>
      <dsp:spPr>
        <a:xfrm rot="5400000">
          <a:off x="2885255" y="4264563"/>
          <a:ext cx="138583" cy="166299"/>
        </a:xfrm>
        <a:prstGeom prst="flowChartProcess">
          <a:avLst/>
        </a:prstGeom>
        <a:solidFill>
          <a:schemeClr val="accent1">
            <a:shade val="90000"/>
            <a:hueOff val="0"/>
            <a:satOff val="0"/>
            <a:lumOff val="1130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4278421"/>
        <a:ext cx="99779" cy="97008"/>
      </dsp:txXfrm>
    </dsp:sp>
    <dsp:sp modelId="{A0EB9EA3-E3CC-45CC-961E-9745DCF7872E}">
      <dsp:nvSpPr>
        <dsp:cNvPr id="0" name=""/>
        <dsp:cNvSpPr/>
      </dsp:nvSpPr>
      <dsp:spPr>
        <a:xfrm>
          <a:off x="97833" y="4440101"/>
          <a:ext cx="5713427" cy="369555"/>
        </a:xfrm>
        <a:prstGeom prst="roundRect">
          <a:avLst>
            <a:gd name="adj" fmla="val 10000"/>
          </a:avLst>
        </a:prstGeom>
        <a:solidFill>
          <a:schemeClr val="accent1">
            <a:shade val="80000"/>
            <a:hueOff val="0"/>
            <a:satOff val="0"/>
            <a:lumOff val="1341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Lipsa unui dialog constant cu cetățenii</a:t>
          </a:r>
          <a:endParaRPr lang="en-US" sz="1000" kern="1200"/>
        </a:p>
      </dsp:txBody>
      <dsp:txXfrm>
        <a:off x="108657" y="4450925"/>
        <a:ext cx="5691779" cy="347907"/>
      </dsp:txXfrm>
    </dsp:sp>
    <dsp:sp modelId="{E154DD5C-B13B-4233-BF27-830F6D9F762A}">
      <dsp:nvSpPr>
        <dsp:cNvPr id="0" name=""/>
        <dsp:cNvSpPr/>
      </dsp:nvSpPr>
      <dsp:spPr>
        <a:xfrm rot="5400000">
          <a:off x="2885255" y="4818895"/>
          <a:ext cx="138583" cy="166299"/>
        </a:xfrm>
        <a:prstGeom prst="flowChartProcess">
          <a:avLst/>
        </a:prstGeom>
        <a:solidFill>
          <a:schemeClr val="accent1">
            <a:shade val="90000"/>
            <a:hueOff val="0"/>
            <a:satOff val="0"/>
            <a:lumOff val="1292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4832753"/>
        <a:ext cx="99779" cy="97008"/>
      </dsp:txXfrm>
    </dsp:sp>
    <dsp:sp modelId="{CB56AF56-5B7B-4AEA-8A48-8599C655927C}">
      <dsp:nvSpPr>
        <dsp:cNvPr id="0" name=""/>
        <dsp:cNvSpPr/>
      </dsp:nvSpPr>
      <dsp:spPr>
        <a:xfrm>
          <a:off x="97833" y="4994434"/>
          <a:ext cx="5713427" cy="369555"/>
        </a:xfrm>
        <a:prstGeom prst="roundRect">
          <a:avLst>
            <a:gd name="adj" fmla="val 10000"/>
          </a:avLst>
        </a:prstGeom>
        <a:solidFill>
          <a:schemeClr val="accent1">
            <a:shade val="80000"/>
            <a:hueOff val="0"/>
            <a:satOff val="0"/>
            <a:lumOff val="1508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Necesitatea unui cadru favorabil care să prevină abandonul școlar și să susțină copiii din medii defavorizate</a:t>
          </a:r>
          <a:endParaRPr lang="en-US" sz="1000" kern="1200"/>
        </a:p>
      </dsp:txBody>
      <dsp:txXfrm>
        <a:off x="108657" y="5005258"/>
        <a:ext cx="5691779" cy="347907"/>
      </dsp:txXfrm>
    </dsp:sp>
    <dsp:sp modelId="{9984E60D-5F1C-460F-8317-FEB4635764DF}">
      <dsp:nvSpPr>
        <dsp:cNvPr id="0" name=""/>
        <dsp:cNvSpPr/>
      </dsp:nvSpPr>
      <dsp:spPr>
        <a:xfrm rot="5400000">
          <a:off x="2885255" y="5373228"/>
          <a:ext cx="138583" cy="166299"/>
        </a:xfrm>
        <a:prstGeom prst="flowChartProcess">
          <a:avLst/>
        </a:prstGeom>
        <a:solidFill>
          <a:schemeClr val="accent1">
            <a:shade val="90000"/>
            <a:hueOff val="0"/>
            <a:satOff val="0"/>
            <a:lumOff val="1453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5387086"/>
        <a:ext cx="99779" cy="97008"/>
      </dsp:txXfrm>
    </dsp:sp>
    <dsp:sp modelId="{353D973B-2D4D-4F32-80DD-BA02DAA7764F}">
      <dsp:nvSpPr>
        <dsp:cNvPr id="0" name=""/>
        <dsp:cNvSpPr/>
      </dsp:nvSpPr>
      <dsp:spPr>
        <a:xfrm>
          <a:off x="97833" y="5548767"/>
          <a:ext cx="5713427" cy="369555"/>
        </a:xfrm>
        <a:prstGeom prst="roundRect">
          <a:avLst>
            <a:gd name="adj" fmla="val 10000"/>
          </a:avLst>
        </a:prstGeom>
        <a:solidFill>
          <a:schemeClr val="accent1">
            <a:shade val="80000"/>
            <a:hueOff val="0"/>
            <a:satOff val="0"/>
            <a:lumOff val="1676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Lipsa punerii în conexiune a organizațiilor</a:t>
          </a:r>
          <a:endParaRPr lang="en-US" sz="1000" kern="1200"/>
        </a:p>
      </dsp:txBody>
      <dsp:txXfrm>
        <a:off x="108657" y="5559591"/>
        <a:ext cx="5691779" cy="347907"/>
      </dsp:txXfrm>
    </dsp:sp>
    <dsp:sp modelId="{570D702A-F044-4478-9D86-96BF5E036B79}">
      <dsp:nvSpPr>
        <dsp:cNvPr id="0" name=""/>
        <dsp:cNvSpPr/>
      </dsp:nvSpPr>
      <dsp:spPr>
        <a:xfrm rot="5400000">
          <a:off x="2885255" y="5927561"/>
          <a:ext cx="138583" cy="166299"/>
        </a:xfrm>
        <a:prstGeom prst="flowChartProcess">
          <a:avLst/>
        </a:prstGeom>
        <a:solidFill>
          <a:schemeClr val="accent1">
            <a:shade val="90000"/>
            <a:hueOff val="0"/>
            <a:satOff val="0"/>
            <a:lumOff val="1615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5941419"/>
        <a:ext cx="99779" cy="97008"/>
      </dsp:txXfrm>
    </dsp:sp>
    <dsp:sp modelId="{B19F4919-9CAF-4946-83EA-2BBB7BCDE77E}">
      <dsp:nvSpPr>
        <dsp:cNvPr id="0" name=""/>
        <dsp:cNvSpPr/>
      </dsp:nvSpPr>
      <dsp:spPr>
        <a:xfrm>
          <a:off x="97833" y="6103100"/>
          <a:ext cx="5713427" cy="369555"/>
        </a:xfrm>
        <a:prstGeom prst="roundRect">
          <a:avLst>
            <a:gd name="adj" fmla="val 10000"/>
          </a:avLst>
        </a:prstGeom>
        <a:solidFill>
          <a:schemeClr val="accent1">
            <a:shade val="80000"/>
            <a:hueOff val="0"/>
            <a:satOff val="0"/>
            <a:lumOff val="1844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Numărul scăzut de activități educaționale, raportat la cerere</a:t>
          </a:r>
          <a:endParaRPr lang="en-US" sz="1000" kern="1200"/>
        </a:p>
      </dsp:txBody>
      <dsp:txXfrm>
        <a:off x="108657" y="6113924"/>
        <a:ext cx="5691779" cy="347907"/>
      </dsp:txXfrm>
    </dsp:sp>
    <dsp:sp modelId="{D9972EB8-BA79-46F9-A29A-8CD2BB5BB957}">
      <dsp:nvSpPr>
        <dsp:cNvPr id="0" name=""/>
        <dsp:cNvSpPr/>
      </dsp:nvSpPr>
      <dsp:spPr>
        <a:xfrm rot="5400000">
          <a:off x="2885255" y="6481894"/>
          <a:ext cx="138583" cy="166299"/>
        </a:xfrm>
        <a:prstGeom prst="flowChartProcess">
          <a:avLst/>
        </a:prstGeom>
        <a:solidFill>
          <a:schemeClr val="accent1">
            <a:shade val="90000"/>
            <a:hueOff val="0"/>
            <a:satOff val="0"/>
            <a:lumOff val="1776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6495752"/>
        <a:ext cx="99779" cy="97008"/>
      </dsp:txXfrm>
    </dsp:sp>
    <dsp:sp modelId="{960DF4A6-2228-4AF8-A974-9863CD136926}">
      <dsp:nvSpPr>
        <dsp:cNvPr id="0" name=""/>
        <dsp:cNvSpPr/>
      </dsp:nvSpPr>
      <dsp:spPr>
        <a:xfrm>
          <a:off x="97833" y="6657433"/>
          <a:ext cx="5713427" cy="369555"/>
        </a:xfrm>
        <a:prstGeom prst="roundRect">
          <a:avLst>
            <a:gd name="adj" fmla="val 10000"/>
          </a:avLst>
        </a:prstGeom>
        <a:solidFill>
          <a:schemeClr val="accent1">
            <a:shade val="80000"/>
            <a:hueOff val="0"/>
            <a:satOff val="0"/>
            <a:lumOff val="2011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Lipsa unor spații de desfășurare a activităților la periferia sectorului</a:t>
          </a:r>
          <a:endParaRPr lang="en-US" sz="1000" kern="1200"/>
        </a:p>
      </dsp:txBody>
      <dsp:txXfrm>
        <a:off x="108657" y="6668257"/>
        <a:ext cx="5691779" cy="347907"/>
      </dsp:txXfrm>
    </dsp:sp>
    <dsp:sp modelId="{B910D565-B437-43DB-A6C1-9149547D8518}">
      <dsp:nvSpPr>
        <dsp:cNvPr id="0" name=""/>
        <dsp:cNvSpPr/>
      </dsp:nvSpPr>
      <dsp:spPr>
        <a:xfrm rot="5400000">
          <a:off x="2885255" y="7036227"/>
          <a:ext cx="138583" cy="166299"/>
        </a:xfrm>
        <a:prstGeom prst="flowChartProcess">
          <a:avLst/>
        </a:prstGeom>
        <a:solidFill>
          <a:schemeClr val="accent1">
            <a:shade val="90000"/>
            <a:hueOff val="0"/>
            <a:satOff val="0"/>
            <a:lumOff val="1938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7050085"/>
        <a:ext cx="99779" cy="97008"/>
      </dsp:txXfrm>
    </dsp:sp>
    <dsp:sp modelId="{E10F8F79-9E8A-41F3-BCDC-F6571FD8956A}">
      <dsp:nvSpPr>
        <dsp:cNvPr id="0" name=""/>
        <dsp:cNvSpPr/>
      </dsp:nvSpPr>
      <dsp:spPr>
        <a:xfrm>
          <a:off x="97833" y="7211766"/>
          <a:ext cx="5713427" cy="369555"/>
        </a:xfrm>
        <a:prstGeom prst="roundRect">
          <a:avLst>
            <a:gd name="adj" fmla="val 10000"/>
          </a:avLst>
        </a:prstGeom>
        <a:solidFill>
          <a:schemeClr val="accent1">
            <a:shade val="80000"/>
            <a:hueOff val="0"/>
            <a:satOff val="0"/>
            <a:lumOff val="217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Nivelul de birocrație</a:t>
          </a:r>
          <a:endParaRPr lang="en-US" sz="1000" kern="1200"/>
        </a:p>
      </dsp:txBody>
      <dsp:txXfrm>
        <a:off x="108657" y="7222590"/>
        <a:ext cx="5691779" cy="347907"/>
      </dsp:txXfrm>
    </dsp:sp>
    <dsp:sp modelId="{2F7DE14A-D38E-431B-97F0-CF64CBAE6601}">
      <dsp:nvSpPr>
        <dsp:cNvPr id="0" name=""/>
        <dsp:cNvSpPr/>
      </dsp:nvSpPr>
      <dsp:spPr>
        <a:xfrm rot="5400000">
          <a:off x="2885255" y="7590560"/>
          <a:ext cx="138583" cy="166299"/>
        </a:xfrm>
        <a:prstGeom prst="flowChartProcess">
          <a:avLst/>
        </a:prstGeom>
        <a:solidFill>
          <a:schemeClr val="accent1">
            <a:shade val="90000"/>
            <a:hueOff val="0"/>
            <a:satOff val="0"/>
            <a:lumOff val="2099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7604418"/>
        <a:ext cx="99779" cy="97008"/>
      </dsp:txXfrm>
    </dsp:sp>
    <dsp:sp modelId="{BF63AE16-56DC-44A8-B512-8944819DA229}">
      <dsp:nvSpPr>
        <dsp:cNvPr id="0" name=""/>
        <dsp:cNvSpPr/>
      </dsp:nvSpPr>
      <dsp:spPr>
        <a:xfrm>
          <a:off x="97833" y="7766099"/>
          <a:ext cx="5713427" cy="369555"/>
        </a:xfrm>
        <a:prstGeom prst="roundRect">
          <a:avLst>
            <a:gd name="adj" fmla="val 10000"/>
          </a:avLst>
        </a:prstGeom>
        <a:solidFill>
          <a:schemeClr val="accent1">
            <a:shade val="80000"/>
            <a:hueOff val="0"/>
            <a:satOff val="0"/>
            <a:lumOff val="23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Nivelul scăzut de interes în raport cu artiștii locali</a:t>
          </a:r>
          <a:endParaRPr lang="en-US" sz="1000" kern="1200"/>
        </a:p>
      </dsp:txBody>
      <dsp:txXfrm>
        <a:off x="108657" y="7776923"/>
        <a:ext cx="5691779" cy="347907"/>
      </dsp:txXfrm>
    </dsp:sp>
    <dsp:sp modelId="{7DE1EC96-7DAF-4092-AC81-92B90D80BCD5}">
      <dsp:nvSpPr>
        <dsp:cNvPr id="0" name=""/>
        <dsp:cNvSpPr/>
      </dsp:nvSpPr>
      <dsp:spPr>
        <a:xfrm rot="5400000">
          <a:off x="2885255" y="8144893"/>
          <a:ext cx="138583" cy="166299"/>
        </a:xfrm>
        <a:prstGeom prst="flowChartProcess">
          <a:avLst/>
        </a:prstGeom>
        <a:solidFill>
          <a:schemeClr val="accent1">
            <a:shade val="90000"/>
            <a:hueOff val="0"/>
            <a:satOff val="0"/>
            <a:lumOff val="2261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2904658" y="8158751"/>
        <a:ext cx="99779" cy="97008"/>
      </dsp:txXfrm>
    </dsp:sp>
    <dsp:sp modelId="{763AEB54-96B6-4CD9-8CF0-EEC9F88CC3C7}">
      <dsp:nvSpPr>
        <dsp:cNvPr id="0" name=""/>
        <dsp:cNvSpPr/>
      </dsp:nvSpPr>
      <dsp:spPr>
        <a:xfrm>
          <a:off x="97833" y="8320431"/>
          <a:ext cx="5713427" cy="369555"/>
        </a:xfrm>
        <a:prstGeom prst="roundRect">
          <a:avLst>
            <a:gd name="adj" fmla="val 10000"/>
          </a:avLst>
        </a:prstGeom>
        <a:solidFill>
          <a:schemeClr val="accent1">
            <a:shade val="80000"/>
            <a:hueOff val="0"/>
            <a:satOff val="0"/>
            <a:lumOff val="251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Lipsa unui număr suficient de spații amenajare pentru animalele de companie</a:t>
          </a:r>
          <a:endParaRPr lang="en-US" sz="1000" kern="1200"/>
        </a:p>
      </dsp:txBody>
      <dsp:txXfrm>
        <a:off x="108657" y="8331255"/>
        <a:ext cx="5691779" cy="3479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73D12C-4CCA-4541-86DB-60E1C00A05B5}">
      <dsp:nvSpPr>
        <dsp:cNvPr id="0" name=""/>
        <dsp:cNvSpPr/>
      </dsp:nvSpPr>
      <dsp:spPr>
        <a:xfrm>
          <a:off x="2887" y="223938"/>
          <a:ext cx="895148" cy="895148"/>
        </a:xfrm>
        <a:prstGeom prst="ellipse">
          <a:avLst/>
        </a:prstGeom>
        <a:solidFill>
          <a:schemeClr val="accent2">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49263" tIns="11430" rIns="49263" bIns="11430" numCol="1" spcCol="1270" anchor="ctr" anchorCtr="0">
          <a:noAutofit/>
        </a:bodyPr>
        <a:lstStyle/>
        <a:p>
          <a:pPr marL="0" lvl="0" indent="0" algn="ctr" defTabSz="400050">
            <a:lnSpc>
              <a:spcPct val="90000"/>
            </a:lnSpc>
            <a:spcBef>
              <a:spcPct val="0"/>
            </a:spcBef>
            <a:spcAft>
              <a:spcPct val="35000"/>
            </a:spcAft>
            <a:buNone/>
          </a:pPr>
          <a:r>
            <a:rPr lang="ro-RO" sz="900" kern="1200"/>
            <a:t>Dezvoltare teritorială</a:t>
          </a:r>
          <a:endParaRPr lang="en-GB" sz="900" kern="1200"/>
        </a:p>
      </dsp:txBody>
      <dsp:txXfrm>
        <a:off x="133978" y="355029"/>
        <a:ext cx="632966" cy="632966"/>
      </dsp:txXfrm>
    </dsp:sp>
    <dsp:sp modelId="{464922BE-3DE9-4A40-AB3C-DAF800473CC2}">
      <dsp:nvSpPr>
        <dsp:cNvPr id="0" name=""/>
        <dsp:cNvSpPr/>
      </dsp:nvSpPr>
      <dsp:spPr>
        <a:xfrm>
          <a:off x="719006" y="223938"/>
          <a:ext cx="895148" cy="895148"/>
        </a:xfrm>
        <a:prstGeom prst="ellipse">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49263" tIns="11430" rIns="49263" bIns="11430" numCol="1" spcCol="1270" anchor="ctr" anchorCtr="0">
          <a:noAutofit/>
        </a:bodyPr>
        <a:lstStyle/>
        <a:p>
          <a:pPr marL="0" lvl="0" indent="0" algn="ctr" defTabSz="400050">
            <a:lnSpc>
              <a:spcPct val="90000"/>
            </a:lnSpc>
            <a:spcBef>
              <a:spcPct val="0"/>
            </a:spcBef>
            <a:spcAft>
              <a:spcPct val="35000"/>
            </a:spcAft>
            <a:buNone/>
          </a:pPr>
          <a:r>
            <a:rPr lang="ro-RO" sz="900" kern="1200"/>
            <a:t>Dezvoltare socială</a:t>
          </a:r>
          <a:endParaRPr lang="en-GB" sz="900" kern="1200"/>
        </a:p>
      </dsp:txBody>
      <dsp:txXfrm>
        <a:off x="850097" y="355029"/>
        <a:ext cx="632966" cy="632966"/>
      </dsp:txXfrm>
    </dsp:sp>
    <dsp:sp modelId="{201CC663-AD9B-42C7-8DF2-D78780377486}">
      <dsp:nvSpPr>
        <dsp:cNvPr id="0" name=""/>
        <dsp:cNvSpPr/>
      </dsp:nvSpPr>
      <dsp:spPr>
        <a:xfrm>
          <a:off x="1435125" y="223938"/>
          <a:ext cx="895148" cy="895148"/>
        </a:xfrm>
        <a:prstGeom prst="ellipse">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49263" tIns="11430" rIns="49263" bIns="11430" numCol="1" spcCol="1270" anchor="ctr" anchorCtr="0">
          <a:noAutofit/>
        </a:bodyPr>
        <a:lstStyle/>
        <a:p>
          <a:pPr marL="0" lvl="0" indent="0" algn="ctr" defTabSz="400050">
            <a:lnSpc>
              <a:spcPct val="90000"/>
            </a:lnSpc>
            <a:spcBef>
              <a:spcPct val="0"/>
            </a:spcBef>
            <a:spcAft>
              <a:spcPct val="35000"/>
            </a:spcAft>
            <a:buNone/>
          </a:pPr>
          <a:r>
            <a:rPr lang="ro-RO" sz="900" kern="1200"/>
            <a:t>Economie</a:t>
          </a:r>
          <a:endParaRPr lang="en-GB" sz="900" kern="1200"/>
        </a:p>
      </dsp:txBody>
      <dsp:txXfrm>
        <a:off x="1566216" y="355029"/>
        <a:ext cx="632966" cy="632966"/>
      </dsp:txXfrm>
    </dsp:sp>
    <dsp:sp modelId="{FB6CDD32-FEAD-40F2-A9FE-C3C1BDCBA7EC}">
      <dsp:nvSpPr>
        <dsp:cNvPr id="0" name=""/>
        <dsp:cNvSpPr/>
      </dsp:nvSpPr>
      <dsp:spPr>
        <a:xfrm>
          <a:off x="2151243" y="223938"/>
          <a:ext cx="895148" cy="895148"/>
        </a:xfrm>
        <a:prstGeom prst="ellipse">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49263" tIns="11430" rIns="49263" bIns="11430" numCol="1" spcCol="1270" anchor="ctr" anchorCtr="0">
          <a:noAutofit/>
        </a:bodyPr>
        <a:lstStyle/>
        <a:p>
          <a:pPr marL="0" lvl="0" indent="0" algn="ctr" defTabSz="400050">
            <a:lnSpc>
              <a:spcPct val="90000"/>
            </a:lnSpc>
            <a:spcBef>
              <a:spcPct val="0"/>
            </a:spcBef>
            <a:spcAft>
              <a:spcPct val="35000"/>
            </a:spcAft>
            <a:buNone/>
          </a:pPr>
          <a:r>
            <a:rPr lang="ro-RO" sz="900" kern="1200"/>
            <a:t>Servicii publice</a:t>
          </a:r>
          <a:endParaRPr lang="en-GB" sz="900" kern="1200"/>
        </a:p>
      </dsp:txBody>
      <dsp:txXfrm>
        <a:off x="2282334" y="355029"/>
        <a:ext cx="632966" cy="632966"/>
      </dsp:txXfrm>
    </dsp:sp>
    <dsp:sp modelId="{55B9BAD7-C0FE-4599-B919-8E924F461376}">
      <dsp:nvSpPr>
        <dsp:cNvPr id="0" name=""/>
        <dsp:cNvSpPr/>
      </dsp:nvSpPr>
      <dsp:spPr>
        <a:xfrm>
          <a:off x="2867362" y="223938"/>
          <a:ext cx="895148" cy="895148"/>
        </a:xfrm>
        <a:prstGeom prst="ellipse">
          <a:avLst/>
        </a:prstGeom>
        <a:solidFill>
          <a:schemeClr val="accent6">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49263" tIns="11430" rIns="49263" bIns="11430" numCol="1" spcCol="1270" anchor="ctr" anchorCtr="0">
          <a:noAutofit/>
        </a:bodyPr>
        <a:lstStyle/>
        <a:p>
          <a:pPr marL="0" lvl="0" indent="0" algn="ctr" defTabSz="400050">
            <a:lnSpc>
              <a:spcPct val="90000"/>
            </a:lnSpc>
            <a:spcBef>
              <a:spcPct val="0"/>
            </a:spcBef>
            <a:spcAft>
              <a:spcPct val="35000"/>
            </a:spcAft>
            <a:buNone/>
          </a:pPr>
          <a:r>
            <a:rPr lang="ro-RO" sz="900" kern="1200"/>
            <a:t>Utilități publice</a:t>
          </a:r>
          <a:endParaRPr lang="en-GB" sz="900" kern="1200"/>
        </a:p>
      </dsp:txBody>
      <dsp:txXfrm>
        <a:off x="2998453" y="355029"/>
        <a:ext cx="632966" cy="632966"/>
      </dsp:txXfrm>
    </dsp:sp>
    <dsp:sp modelId="{9C755CD9-E29A-408B-9F9E-468BAFC57495}">
      <dsp:nvSpPr>
        <dsp:cNvPr id="0" name=""/>
        <dsp:cNvSpPr/>
      </dsp:nvSpPr>
      <dsp:spPr>
        <a:xfrm>
          <a:off x="3583481" y="223938"/>
          <a:ext cx="895148" cy="895148"/>
        </a:xfrm>
        <a:prstGeom prst="ellipse">
          <a:avLst/>
        </a:prstGeom>
        <a:solidFill>
          <a:schemeClr val="accent2">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49263" tIns="11430" rIns="49263" bIns="11430" numCol="1" spcCol="1270" anchor="ctr" anchorCtr="0">
          <a:noAutofit/>
        </a:bodyPr>
        <a:lstStyle/>
        <a:p>
          <a:pPr marL="0" lvl="0" indent="0" algn="ctr" defTabSz="400050">
            <a:lnSpc>
              <a:spcPct val="90000"/>
            </a:lnSpc>
            <a:spcBef>
              <a:spcPct val="0"/>
            </a:spcBef>
            <a:spcAft>
              <a:spcPct val="35000"/>
            </a:spcAft>
            <a:buNone/>
          </a:pPr>
          <a:r>
            <a:rPr lang="ro-RO" sz="900" kern="1200"/>
            <a:t>Transport și mobilitate</a:t>
          </a:r>
          <a:endParaRPr lang="en-GB" sz="900" kern="1200"/>
        </a:p>
      </dsp:txBody>
      <dsp:txXfrm>
        <a:off x="3714572" y="355029"/>
        <a:ext cx="632966" cy="632966"/>
      </dsp:txXfrm>
    </dsp:sp>
    <dsp:sp modelId="{45CFF474-332A-4E88-AAF1-77ADF825C730}">
      <dsp:nvSpPr>
        <dsp:cNvPr id="0" name=""/>
        <dsp:cNvSpPr/>
      </dsp:nvSpPr>
      <dsp:spPr>
        <a:xfrm>
          <a:off x="4299600" y="223938"/>
          <a:ext cx="895148" cy="895148"/>
        </a:xfrm>
        <a:prstGeom prst="ellipse">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49263" tIns="11430" rIns="49263" bIns="11430" numCol="1" spcCol="1270" anchor="ctr" anchorCtr="0">
          <a:noAutofit/>
        </a:bodyPr>
        <a:lstStyle/>
        <a:p>
          <a:pPr marL="0" lvl="0" indent="0" algn="ctr" defTabSz="400050">
            <a:lnSpc>
              <a:spcPct val="90000"/>
            </a:lnSpc>
            <a:spcBef>
              <a:spcPct val="0"/>
            </a:spcBef>
            <a:spcAft>
              <a:spcPct val="35000"/>
            </a:spcAft>
            <a:buNone/>
          </a:pPr>
          <a:r>
            <a:rPr lang="ro-RO" sz="900" kern="1200"/>
            <a:t>Mediu și protecția mediului</a:t>
          </a:r>
          <a:endParaRPr lang="en-GB" sz="900" kern="1200"/>
        </a:p>
      </dsp:txBody>
      <dsp:txXfrm>
        <a:off x="4430691" y="355029"/>
        <a:ext cx="632966" cy="632966"/>
      </dsp:txXfrm>
    </dsp:sp>
    <dsp:sp modelId="{504561E2-CEBD-42E6-9471-46EF20AD2E85}">
      <dsp:nvSpPr>
        <dsp:cNvPr id="0" name=""/>
        <dsp:cNvSpPr/>
      </dsp:nvSpPr>
      <dsp:spPr>
        <a:xfrm>
          <a:off x="5015718" y="223938"/>
          <a:ext cx="895148" cy="895148"/>
        </a:xfrm>
        <a:prstGeom prst="ellipse">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49263" tIns="11430" rIns="49263" bIns="11430" numCol="1" spcCol="1270" anchor="ctr" anchorCtr="0">
          <a:noAutofit/>
        </a:bodyPr>
        <a:lstStyle/>
        <a:p>
          <a:pPr marL="0" lvl="0" indent="0" algn="ctr" defTabSz="400050">
            <a:lnSpc>
              <a:spcPct val="90000"/>
            </a:lnSpc>
            <a:spcBef>
              <a:spcPct val="0"/>
            </a:spcBef>
            <a:spcAft>
              <a:spcPct val="35000"/>
            </a:spcAft>
            <a:buNone/>
          </a:pPr>
          <a:r>
            <a:rPr lang="ro-RO" sz="900" kern="1200"/>
            <a:t>Capacitate adm.</a:t>
          </a:r>
          <a:endParaRPr lang="en-GB" sz="900" kern="1200"/>
        </a:p>
      </dsp:txBody>
      <dsp:txXfrm>
        <a:off x="5146809" y="355029"/>
        <a:ext cx="632966" cy="63296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48EE9D-2A96-4EA3-89FE-C66265CF9BED}">
      <dsp:nvSpPr>
        <dsp:cNvPr id="0" name=""/>
        <dsp:cNvSpPr/>
      </dsp:nvSpPr>
      <dsp:spPr>
        <a:xfrm>
          <a:off x="0" y="1454"/>
          <a:ext cx="5986731" cy="418001"/>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Deschiderea pentru identificarea problemelor și implementarea proiectelor</a:t>
          </a:r>
          <a:endParaRPr lang="en-US" sz="1000" kern="1200"/>
        </a:p>
      </dsp:txBody>
      <dsp:txXfrm>
        <a:off x="12243" y="13697"/>
        <a:ext cx="5962245" cy="393515"/>
      </dsp:txXfrm>
    </dsp:sp>
    <dsp:sp modelId="{D4BD9949-0DAB-4A63-98B9-1C218D9A1197}">
      <dsp:nvSpPr>
        <dsp:cNvPr id="0" name=""/>
        <dsp:cNvSpPr/>
      </dsp:nvSpPr>
      <dsp:spPr>
        <a:xfrm rot="5400000">
          <a:off x="2914990" y="429905"/>
          <a:ext cx="156750" cy="188100"/>
        </a:xfrm>
        <a:prstGeom prst="rect">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445580"/>
        <a:ext cx="112860" cy="109725"/>
      </dsp:txXfrm>
    </dsp:sp>
    <dsp:sp modelId="{4E265ACA-9ECE-4D2E-8E13-8A3788B6E473}">
      <dsp:nvSpPr>
        <dsp:cNvPr id="0" name=""/>
        <dsp:cNvSpPr/>
      </dsp:nvSpPr>
      <dsp:spPr>
        <a:xfrm>
          <a:off x="0" y="628456"/>
          <a:ext cx="5986731" cy="418001"/>
        </a:xfrm>
        <a:prstGeom prst="roundRect">
          <a:avLst>
            <a:gd name="adj" fmla="val 10000"/>
          </a:avLst>
        </a:prstGeom>
        <a:solidFill>
          <a:schemeClr val="accent2">
            <a:hueOff val="7038"/>
            <a:satOff val="-928"/>
            <a:lumOff val="23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Activitatea DGASPC</a:t>
          </a:r>
          <a:endParaRPr lang="en-US" sz="1000" kern="1200"/>
        </a:p>
      </dsp:txBody>
      <dsp:txXfrm>
        <a:off x="12243" y="640699"/>
        <a:ext cx="5962245" cy="393515"/>
      </dsp:txXfrm>
    </dsp:sp>
    <dsp:sp modelId="{690E5B72-5BD2-4B08-92D7-E9E781CA0E5F}">
      <dsp:nvSpPr>
        <dsp:cNvPr id="0" name=""/>
        <dsp:cNvSpPr/>
      </dsp:nvSpPr>
      <dsp:spPr>
        <a:xfrm rot="5400000">
          <a:off x="2914990" y="1056907"/>
          <a:ext cx="156750" cy="188100"/>
        </a:xfrm>
        <a:prstGeom prst="rect">
          <a:avLst/>
        </a:prstGeom>
        <a:solidFill>
          <a:schemeClr val="accent2">
            <a:hueOff val="7678"/>
            <a:satOff val="-1013"/>
            <a:lumOff val="260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1072582"/>
        <a:ext cx="112860" cy="109725"/>
      </dsp:txXfrm>
    </dsp:sp>
    <dsp:sp modelId="{8402FFCE-6ACC-4BF0-8623-55F46A4117B8}">
      <dsp:nvSpPr>
        <dsp:cNvPr id="0" name=""/>
        <dsp:cNvSpPr/>
      </dsp:nvSpPr>
      <dsp:spPr>
        <a:xfrm>
          <a:off x="0" y="1255457"/>
          <a:ext cx="5986731" cy="418001"/>
        </a:xfrm>
        <a:prstGeom prst="roundRect">
          <a:avLst>
            <a:gd name="adj" fmla="val 10000"/>
          </a:avLst>
        </a:prstGeom>
        <a:solidFill>
          <a:schemeClr val="accent2">
            <a:hueOff val="14077"/>
            <a:satOff val="-1857"/>
            <a:lumOff val="477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Inițiativele de dezvoltare și îmbunătățire</a:t>
          </a:r>
          <a:endParaRPr lang="en-US" sz="1000" kern="1200"/>
        </a:p>
      </dsp:txBody>
      <dsp:txXfrm>
        <a:off x="12243" y="1267700"/>
        <a:ext cx="5962245" cy="393515"/>
      </dsp:txXfrm>
    </dsp:sp>
    <dsp:sp modelId="{A0E977F5-9F71-4668-9A51-9ED9266F168D}">
      <dsp:nvSpPr>
        <dsp:cNvPr id="0" name=""/>
        <dsp:cNvSpPr/>
      </dsp:nvSpPr>
      <dsp:spPr>
        <a:xfrm rot="5400000">
          <a:off x="2914990" y="1683908"/>
          <a:ext cx="156750" cy="188100"/>
        </a:xfrm>
        <a:prstGeom prst="rect">
          <a:avLst/>
        </a:prstGeom>
        <a:solidFill>
          <a:schemeClr val="accent2">
            <a:hueOff val="15356"/>
            <a:satOff val="-2026"/>
            <a:lumOff val="520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1699583"/>
        <a:ext cx="112860" cy="109725"/>
      </dsp:txXfrm>
    </dsp:sp>
    <dsp:sp modelId="{B6094E43-8796-44B1-BFC7-2CEC7686E7AA}">
      <dsp:nvSpPr>
        <dsp:cNvPr id="0" name=""/>
        <dsp:cNvSpPr/>
      </dsp:nvSpPr>
      <dsp:spPr>
        <a:xfrm>
          <a:off x="0" y="1882459"/>
          <a:ext cx="5986731" cy="418001"/>
        </a:xfrm>
        <a:prstGeom prst="roundRect">
          <a:avLst>
            <a:gd name="adj" fmla="val 10000"/>
          </a:avLst>
        </a:prstGeom>
        <a:solidFill>
          <a:schemeClr val="accent2">
            <a:hueOff val="21115"/>
            <a:satOff val="-2785"/>
            <a:lumOff val="7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Creșterea semnificativă a instrumentelorși metodelor de dialog între autorități și mediul ONG</a:t>
          </a:r>
          <a:endParaRPr lang="en-US" sz="1000" kern="1200"/>
        </a:p>
      </dsp:txBody>
      <dsp:txXfrm>
        <a:off x="12243" y="1894702"/>
        <a:ext cx="5962245" cy="393515"/>
      </dsp:txXfrm>
    </dsp:sp>
    <dsp:sp modelId="{A3240872-5C66-41CE-A8B7-DA264196EB8D}">
      <dsp:nvSpPr>
        <dsp:cNvPr id="0" name=""/>
        <dsp:cNvSpPr/>
      </dsp:nvSpPr>
      <dsp:spPr>
        <a:xfrm rot="5400000">
          <a:off x="2914990" y="2310910"/>
          <a:ext cx="156750" cy="188100"/>
        </a:xfrm>
        <a:prstGeom prst="rect">
          <a:avLst/>
        </a:prstGeom>
        <a:solidFill>
          <a:schemeClr val="accent2">
            <a:hueOff val="23034"/>
            <a:satOff val="-3038"/>
            <a:lumOff val="780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2326585"/>
        <a:ext cx="112860" cy="109725"/>
      </dsp:txXfrm>
    </dsp:sp>
    <dsp:sp modelId="{244C2E73-0926-4FC7-81E1-53560DB5184E}">
      <dsp:nvSpPr>
        <dsp:cNvPr id="0" name=""/>
        <dsp:cNvSpPr/>
      </dsp:nvSpPr>
      <dsp:spPr>
        <a:xfrm>
          <a:off x="0" y="2509460"/>
          <a:ext cx="5986731" cy="418001"/>
        </a:xfrm>
        <a:prstGeom prst="roundRect">
          <a:avLst>
            <a:gd name="adj" fmla="val 10000"/>
          </a:avLst>
        </a:prstGeom>
        <a:solidFill>
          <a:schemeClr val="accent2">
            <a:hueOff val="28153"/>
            <a:satOff val="-3714"/>
            <a:lumOff val="95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Infrastructura generală</a:t>
          </a:r>
          <a:endParaRPr lang="en-US" sz="1000" kern="1200"/>
        </a:p>
      </dsp:txBody>
      <dsp:txXfrm>
        <a:off x="12243" y="2521703"/>
        <a:ext cx="5962245" cy="393515"/>
      </dsp:txXfrm>
    </dsp:sp>
    <dsp:sp modelId="{ADF6237B-73A2-4839-9CAC-2A6D810BEF2F}">
      <dsp:nvSpPr>
        <dsp:cNvPr id="0" name=""/>
        <dsp:cNvSpPr/>
      </dsp:nvSpPr>
      <dsp:spPr>
        <a:xfrm rot="5400000">
          <a:off x="2914990" y="2937911"/>
          <a:ext cx="156750" cy="188100"/>
        </a:xfrm>
        <a:prstGeom prst="rect">
          <a:avLst/>
        </a:prstGeom>
        <a:solidFill>
          <a:schemeClr val="accent2">
            <a:hueOff val="30712"/>
            <a:satOff val="-4051"/>
            <a:lumOff val="1041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2953586"/>
        <a:ext cx="112860" cy="109725"/>
      </dsp:txXfrm>
    </dsp:sp>
    <dsp:sp modelId="{B0C5D2F7-B637-46A5-AA42-29727FFF248E}">
      <dsp:nvSpPr>
        <dsp:cNvPr id="0" name=""/>
        <dsp:cNvSpPr/>
      </dsp:nvSpPr>
      <dsp:spPr>
        <a:xfrm>
          <a:off x="0" y="3136462"/>
          <a:ext cx="5986731" cy="418001"/>
        </a:xfrm>
        <a:prstGeom prst="roundRect">
          <a:avLst>
            <a:gd name="adj" fmla="val 10000"/>
          </a:avLst>
        </a:prstGeom>
        <a:solidFill>
          <a:schemeClr val="accent2">
            <a:hueOff val="35191"/>
            <a:satOff val="-4642"/>
            <a:lumOff val="119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Numărul ridicat al centrelor pentru copii și deschiderea în raport cu activități și proiecte pentru aceștia</a:t>
          </a:r>
          <a:endParaRPr lang="en-US" sz="1000" kern="1200"/>
        </a:p>
      </dsp:txBody>
      <dsp:txXfrm>
        <a:off x="12243" y="3148705"/>
        <a:ext cx="5962245" cy="393515"/>
      </dsp:txXfrm>
    </dsp:sp>
    <dsp:sp modelId="{6DC50BCB-9700-4ABA-9022-3A52F94835A3}">
      <dsp:nvSpPr>
        <dsp:cNvPr id="0" name=""/>
        <dsp:cNvSpPr/>
      </dsp:nvSpPr>
      <dsp:spPr>
        <a:xfrm rot="5400000">
          <a:off x="2914990" y="3564913"/>
          <a:ext cx="156750" cy="188100"/>
        </a:xfrm>
        <a:prstGeom prst="rect">
          <a:avLst/>
        </a:prstGeom>
        <a:solidFill>
          <a:schemeClr val="accent2">
            <a:hueOff val="38391"/>
            <a:satOff val="-5064"/>
            <a:lumOff val="1301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3580588"/>
        <a:ext cx="112860" cy="109725"/>
      </dsp:txXfrm>
    </dsp:sp>
    <dsp:sp modelId="{3AFB1EE7-2273-49D4-BFB0-ACF3A73C1B23}">
      <dsp:nvSpPr>
        <dsp:cNvPr id="0" name=""/>
        <dsp:cNvSpPr/>
      </dsp:nvSpPr>
      <dsp:spPr>
        <a:xfrm>
          <a:off x="0" y="3763463"/>
          <a:ext cx="5986731" cy="418001"/>
        </a:xfrm>
        <a:prstGeom prst="roundRect">
          <a:avLst>
            <a:gd name="adj" fmla="val 10000"/>
          </a:avLst>
        </a:prstGeom>
        <a:solidFill>
          <a:schemeClr val="accent2">
            <a:hueOff val="42230"/>
            <a:satOff val="-5571"/>
            <a:lumOff val="1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Implicarea și profesionalismul funcționarilor primăriei</a:t>
          </a:r>
          <a:endParaRPr lang="en-US" sz="1000" kern="1200"/>
        </a:p>
      </dsp:txBody>
      <dsp:txXfrm>
        <a:off x="12243" y="3775706"/>
        <a:ext cx="5962245" cy="393515"/>
      </dsp:txXfrm>
    </dsp:sp>
    <dsp:sp modelId="{F6E7B7A4-B5AB-4CE9-AF01-C6641A53B5A9}">
      <dsp:nvSpPr>
        <dsp:cNvPr id="0" name=""/>
        <dsp:cNvSpPr/>
      </dsp:nvSpPr>
      <dsp:spPr>
        <a:xfrm rot="5400000">
          <a:off x="2914990" y="4191915"/>
          <a:ext cx="156750" cy="188100"/>
        </a:xfrm>
        <a:prstGeom prst="rect">
          <a:avLst/>
        </a:prstGeom>
        <a:solidFill>
          <a:schemeClr val="accent2">
            <a:hueOff val="46069"/>
            <a:satOff val="-6077"/>
            <a:lumOff val="1561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4207590"/>
        <a:ext cx="112860" cy="109725"/>
      </dsp:txXfrm>
    </dsp:sp>
    <dsp:sp modelId="{EDEFBD5F-4BEE-4C09-95DD-A468D1CC48F3}">
      <dsp:nvSpPr>
        <dsp:cNvPr id="0" name=""/>
        <dsp:cNvSpPr/>
      </dsp:nvSpPr>
      <dsp:spPr>
        <a:xfrm>
          <a:off x="0" y="4390465"/>
          <a:ext cx="5986731" cy="418001"/>
        </a:xfrm>
        <a:prstGeom prst="roundRect">
          <a:avLst>
            <a:gd name="adj" fmla="val 10000"/>
          </a:avLst>
        </a:prstGeom>
        <a:solidFill>
          <a:schemeClr val="accent2">
            <a:hueOff val="49268"/>
            <a:satOff val="-6499"/>
            <a:lumOff val="1670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Colaborarea pe termen lung și eficiența acesteia</a:t>
          </a:r>
          <a:endParaRPr lang="en-US" sz="1000" kern="1200"/>
        </a:p>
      </dsp:txBody>
      <dsp:txXfrm>
        <a:off x="12243" y="4402708"/>
        <a:ext cx="5962245" cy="393515"/>
      </dsp:txXfrm>
    </dsp:sp>
    <dsp:sp modelId="{8E124BFF-381E-4293-A655-88BDAE579349}">
      <dsp:nvSpPr>
        <dsp:cNvPr id="0" name=""/>
        <dsp:cNvSpPr/>
      </dsp:nvSpPr>
      <dsp:spPr>
        <a:xfrm rot="5400000">
          <a:off x="2914990" y="4818916"/>
          <a:ext cx="156750" cy="188100"/>
        </a:xfrm>
        <a:prstGeom prst="rect">
          <a:avLst/>
        </a:prstGeom>
        <a:solidFill>
          <a:schemeClr val="accent2">
            <a:hueOff val="53747"/>
            <a:satOff val="-7090"/>
            <a:lumOff val="1821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4834591"/>
        <a:ext cx="112860" cy="109725"/>
      </dsp:txXfrm>
    </dsp:sp>
    <dsp:sp modelId="{1F3C41DB-711A-4AFA-BE4C-32EC1EE4BC37}">
      <dsp:nvSpPr>
        <dsp:cNvPr id="0" name=""/>
        <dsp:cNvSpPr/>
      </dsp:nvSpPr>
      <dsp:spPr>
        <a:xfrm>
          <a:off x="0" y="5017467"/>
          <a:ext cx="5986731" cy="418001"/>
        </a:xfrm>
        <a:prstGeom prst="roundRect">
          <a:avLst>
            <a:gd name="adj" fmla="val 10000"/>
          </a:avLst>
        </a:prstGeom>
        <a:solidFill>
          <a:schemeClr val="accent2">
            <a:hueOff val="56306"/>
            <a:satOff val="-7427"/>
            <a:lumOff val="190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Redeschiderea parcurilor</a:t>
          </a:r>
          <a:endParaRPr lang="en-US" sz="1000" kern="1200"/>
        </a:p>
      </dsp:txBody>
      <dsp:txXfrm>
        <a:off x="12243" y="5029710"/>
        <a:ext cx="5962245" cy="393515"/>
      </dsp:txXfrm>
    </dsp:sp>
    <dsp:sp modelId="{13B496FC-3015-4AC3-9F9D-B7106498665A}">
      <dsp:nvSpPr>
        <dsp:cNvPr id="0" name=""/>
        <dsp:cNvSpPr/>
      </dsp:nvSpPr>
      <dsp:spPr>
        <a:xfrm rot="5400000">
          <a:off x="2914990" y="5445918"/>
          <a:ext cx="156750" cy="188100"/>
        </a:xfrm>
        <a:prstGeom prst="rect">
          <a:avLst/>
        </a:prstGeom>
        <a:solidFill>
          <a:schemeClr val="accent2">
            <a:hueOff val="61425"/>
            <a:satOff val="-8103"/>
            <a:lumOff val="2082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5461593"/>
        <a:ext cx="112860" cy="109725"/>
      </dsp:txXfrm>
    </dsp:sp>
    <dsp:sp modelId="{A12779F6-FE5D-4E73-8CD0-A5DD4F4C9994}">
      <dsp:nvSpPr>
        <dsp:cNvPr id="0" name=""/>
        <dsp:cNvSpPr/>
      </dsp:nvSpPr>
      <dsp:spPr>
        <a:xfrm>
          <a:off x="0" y="5644468"/>
          <a:ext cx="5986731" cy="418001"/>
        </a:xfrm>
        <a:prstGeom prst="roundRect">
          <a:avLst>
            <a:gd name="adj" fmla="val 10000"/>
          </a:avLst>
        </a:prstGeom>
        <a:solidFill>
          <a:schemeClr val="accent2">
            <a:hueOff val="63344"/>
            <a:satOff val="-8356"/>
            <a:lumOff val="2147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Încercările de reducere a birocrației</a:t>
          </a:r>
          <a:endParaRPr lang="en-US" sz="1000" kern="1200"/>
        </a:p>
      </dsp:txBody>
      <dsp:txXfrm>
        <a:off x="12243" y="5656711"/>
        <a:ext cx="5962245" cy="393515"/>
      </dsp:txXfrm>
    </dsp:sp>
    <dsp:sp modelId="{F3702268-2E58-4CDF-A54A-FDA3401F07B5}">
      <dsp:nvSpPr>
        <dsp:cNvPr id="0" name=""/>
        <dsp:cNvSpPr/>
      </dsp:nvSpPr>
      <dsp:spPr>
        <a:xfrm rot="5400000">
          <a:off x="2914990" y="6072919"/>
          <a:ext cx="156750" cy="188100"/>
        </a:xfrm>
        <a:prstGeom prst="rect">
          <a:avLst/>
        </a:prstGeom>
        <a:solidFill>
          <a:schemeClr val="accent2">
            <a:hueOff val="69103"/>
            <a:satOff val="-9115"/>
            <a:lumOff val="2342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6088594"/>
        <a:ext cx="112860" cy="109725"/>
      </dsp:txXfrm>
    </dsp:sp>
    <dsp:sp modelId="{20876280-92E3-4A0D-88B9-F920E80C9E29}">
      <dsp:nvSpPr>
        <dsp:cNvPr id="0" name=""/>
        <dsp:cNvSpPr/>
      </dsp:nvSpPr>
      <dsp:spPr>
        <a:xfrm>
          <a:off x="0" y="6271470"/>
          <a:ext cx="5986731" cy="418001"/>
        </a:xfrm>
        <a:prstGeom prst="roundRect">
          <a:avLst>
            <a:gd name="adj" fmla="val 10000"/>
          </a:avLst>
        </a:prstGeom>
        <a:solidFill>
          <a:schemeClr val="accent2">
            <a:hueOff val="70383"/>
            <a:satOff val="-9284"/>
            <a:lumOff val="238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Transparența în relație cu Primăria Sectorului 2</a:t>
          </a:r>
          <a:endParaRPr lang="en-US" sz="1000" kern="1200"/>
        </a:p>
      </dsp:txBody>
      <dsp:txXfrm>
        <a:off x="12243" y="6283713"/>
        <a:ext cx="5962245" cy="393515"/>
      </dsp:txXfrm>
    </dsp:sp>
    <dsp:sp modelId="{0D8821C6-60EB-4411-A8CE-27D032185AED}">
      <dsp:nvSpPr>
        <dsp:cNvPr id="0" name=""/>
        <dsp:cNvSpPr/>
      </dsp:nvSpPr>
      <dsp:spPr>
        <a:xfrm rot="5400000">
          <a:off x="2914990" y="6699921"/>
          <a:ext cx="156750" cy="188100"/>
        </a:xfrm>
        <a:prstGeom prst="rect">
          <a:avLst/>
        </a:prstGeom>
        <a:solidFill>
          <a:schemeClr val="accent2">
            <a:hueOff val="76781"/>
            <a:satOff val="-10128"/>
            <a:lumOff val="2602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6715596"/>
        <a:ext cx="112860" cy="109725"/>
      </dsp:txXfrm>
    </dsp:sp>
    <dsp:sp modelId="{CEE653A3-1165-495D-A330-4EAE0F52AD94}">
      <dsp:nvSpPr>
        <dsp:cNvPr id="0" name=""/>
        <dsp:cNvSpPr/>
      </dsp:nvSpPr>
      <dsp:spPr>
        <a:xfrm>
          <a:off x="0" y="6898471"/>
          <a:ext cx="5986731" cy="418001"/>
        </a:xfrm>
        <a:prstGeom prst="roundRect">
          <a:avLst>
            <a:gd name="adj" fmla="val 10000"/>
          </a:avLst>
        </a:prstGeom>
        <a:solidFill>
          <a:schemeClr val="accent2">
            <a:hueOff val="77421"/>
            <a:satOff val="-10213"/>
            <a:lumOff val="262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Orientarea către cetățeni și soecietatea civilă</a:t>
          </a:r>
          <a:endParaRPr lang="en-US" sz="1000" kern="1200"/>
        </a:p>
      </dsp:txBody>
      <dsp:txXfrm>
        <a:off x="12243" y="6910714"/>
        <a:ext cx="5962245" cy="393515"/>
      </dsp:txXfrm>
    </dsp:sp>
    <dsp:sp modelId="{21835D33-EB94-48C7-83F4-94CDACFDF094}">
      <dsp:nvSpPr>
        <dsp:cNvPr id="0" name=""/>
        <dsp:cNvSpPr/>
      </dsp:nvSpPr>
      <dsp:spPr>
        <a:xfrm rot="5400000">
          <a:off x="2914990" y="7326922"/>
          <a:ext cx="156750" cy="188100"/>
        </a:xfrm>
        <a:prstGeom prst="rect">
          <a:avLst/>
        </a:prstGeom>
        <a:solidFill>
          <a:schemeClr val="accent2">
            <a:hueOff val="84459"/>
            <a:satOff val="-11141"/>
            <a:lumOff val="2862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5400000">
        <a:off x="2936936" y="7342597"/>
        <a:ext cx="112860" cy="109725"/>
      </dsp:txXfrm>
    </dsp:sp>
    <dsp:sp modelId="{C89DB641-7488-48F1-95BE-ABC0174A11D1}">
      <dsp:nvSpPr>
        <dsp:cNvPr id="0" name=""/>
        <dsp:cNvSpPr/>
      </dsp:nvSpPr>
      <dsp:spPr>
        <a:xfrm>
          <a:off x="0" y="7525473"/>
          <a:ext cx="5986731" cy="418001"/>
        </a:xfrm>
        <a:prstGeom prst="roundRect">
          <a:avLst>
            <a:gd name="adj" fmla="val 10000"/>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Procesul de eficientizare a structurii administrative</a:t>
          </a:r>
          <a:endParaRPr lang="en-US" sz="1000" kern="1200"/>
        </a:p>
      </dsp:txBody>
      <dsp:txXfrm>
        <a:off x="12243" y="7537716"/>
        <a:ext cx="5962245" cy="39351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DCC83F-F278-485D-B250-7588B9572560}">
      <dsp:nvSpPr>
        <dsp:cNvPr id="0" name=""/>
        <dsp:cNvSpPr/>
      </dsp:nvSpPr>
      <dsp:spPr>
        <a:xfrm rot="16200000">
          <a:off x="-897718" y="1471532"/>
          <a:ext cx="2081642" cy="2125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87491" bIns="0" numCol="1" spcCol="1270" anchor="t" anchorCtr="0">
          <a:noAutofit/>
        </a:bodyPr>
        <a:lstStyle/>
        <a:p>
          <a:pPr marL="0" lvl="0" indent="0" algn="r" defTabSz="666750">
            <a:lnSpc>
              <a:spcPct val="90000"/>
            </a:lnSpc>
            <a:spcBef>
              <a:spcPct val="0"/>
            </a:spcBef>
            <a:spcAft>
              <a:spcPct val="35000"/>
            </a:spcAft>
            <a:buNone/>
          </a:pPr>
          <a:r>
            <a:rPr lang="ro-RO" sz="1500" kern="1200">
              <a:solidFill>
                <a:srgbClr val="000000">
                  <a:hueOff val="0"/>
                  <a:satOff val="0"/>
                  <a:lumOff val="0"/>
                  <a:alphaOff val="0"/>
                </a:srgbClr>
              </a:solidFill>
              <a:latin typeface="Calibri"/>
              <a:ea typeface="+mn-ea"/>
              <a:cs typeface="+mn-cs"/>
            </a:rPr>
            <a:t>Sănătate și Bunăstare</a:t>
          </a:r>
          <a:endParaRPr lang="en-US" sz="1500" kern="1200">
            <a:solidFill>
              <a:srgbClr val="000000">
                <a:hueOff val="0"/>
                <a:satOff val="0"/>
                <a:lumOff val="0"/>
                <a:alphaOff val="0"/>
              </a:srgbClr>
            </a:solidFill>
            <a:latin typeface="Calibri"/>
            <a:ea typeface="+mn-ea"/>
            <a:cs typeface="+mn-cs"/>
          </a:endParaRPr>
        </a:p>
      </dsp:txBody>
      <dsp:txXfrm>
        <a:off x="-897718" y="1471532"/>
        <a:ext cx="2081642" cy="212587"/>
      </dsp:txXfrm>
    </dsp:sp>
    <dsp:sp modelId="{B17314EC-F149-47DA-8D8E-9012077D3AAD}">
      <dsp:nvSpPr>
        <dsp:cNvPr id="0" name=""/>
        <dsp:cNvSpPr/>
      </dsp:nvSpPr>
      <dsp:spPr>
        <a:xfrm>
          <a:off x="249396" y="419559"/>
          <a:ext cx="1058912" cy="2081642"/>
        </a:xfrm>
        <a:prstGeom prst="rect">
          <a:avLst/>
        </a:prstGeom>
        <a:solidFill>
          <a:srgbClr val="134753">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187491" rIns="64008" bIns="64008" numCol="1" spcCol="1270" anchor="t" anchorCtr="0">
          <a:noAutofit/>
        </a:bodyPr>
        <a:lstStyle/>
        <a:p>
          <a:pPr marL="57150" lvl="1" indent="-57150" algn="l" defTabSz="311150">
            <a:lnSpc>
              <a:spcPct val="90000"/>
            </a:lnSpc>
            <a:spcBef>
              <a:spcPct val="0"/>
            </a:spcBef>
            <a:spcAft>
              <a:spcPct val="15000"/>
            </a:spcAft>
            <a:buChar char="•"/>
          </a:pPr>
          <a:r>
            <a:rPr lang="ro-RO" sz="700" kern="1200">
              <a:solidFill>
                <a:srgbClr val="FFFFFF"/>
              </a:solidFill>
              <a:latin typeface="Calibri"/>
              <a:ea typeface="+mn-ea"/>
              <a:cs typeface="+mn-cs"/>
            </a:rPr>
            <a:t> depășirea </a:t>
          </a:r>
          <a:r>
            <a:rPr lang="ro-RO" sz="700" b="1" kern="1200">
              <a:solidFill>
                <a:srgbClr val="FFFFFF"/>
              </a:solidFill>
              <a:latin typeface="Calibri"/>
              <a:ea typeface="+mn-ea"/>
              <a:cs typeface="+mn-cs"/>
            </a:rPr>
            <a:t>inegalităților sociale</a:t>
          </a:r>
          <a:r>
            <a:rPr lang="ro-RO" sz="700" kern="1200">
              <a:solidFill>
                <a:srgbClr val="FFFFFF"/>
              </a:solidFill>
              <a:latin typeface="Calibri"/>
              <a:ea typeface="+mn-ea"/>
              <a:cs typeface="+mn-cs"/>
            </a:rPr>
            <a:t>, în special în ceea ce privește sănătatea și posibilitățile materiale</a:t>
          </a:r>
          <a:endParaRPr lang="en-US" sz="700" kern="1200">
            <a:solidFill>
              <a:srgbClr val="FFFFFF"/>
            </a:solidFill>
            <a:latin typeface="Calibri"/>
            <a:ea typeface="+mn-ea"/>
            <a:cs typeface="+mn-cs"/>
          </a:endParaRPr>
        </a:p>
        <a:p>
          <a:pPr marL="57150" lvl="1" indent="-57150" algn="l" defTabSz="311150">
            <a:lnSpc>
              <a:spcPct val="90000"/>
            </a:lnSpc>
            <a:spcBef>
              <a:spcPct val="0"/>
            </a:spcBef>
            <a:spcAft>
              <a:spcPct val="15000"/>
            </a:spcAft>
            <a:buChar char="•"/>
          </a:pPr>
          <a:r>
            <a:rPr lang="ro-RO" sz="700" kern="1200" dirty="0">
              <a:solidFill>
                <a:srgbClr val="FFFFFF"/>
              </a:solidFill>
              <a:latin typeface="Calibri"/>
              <a:ea typeface="+mn-ea"/>
              <a:cs typeface="+mn-cs"/>
            </a:rPr>
            <a:t> recunoașterea problemelor sociale ce țin de </a:t>
          </a:r>
          <a:r>
            <a:rPr lang="ro-RO" sz="700" b="1" kern="1200" dirty="0">
              <a:solidFill>
                <a:srgbClr val="FFFFFF"/>
              </a:solidFill>
              <a:latin typeface="Calibri"/>
              <a:ea typeface="+mn-ea"/>
              <a:cs typeface="+mn-cs"/>
            </a:rPr>
            <a:t>sănătate</a:t>
          </a:r>
          <a:endParaRPr lang="en-US" sz="700" b="1" kern="1200" dirty="0">
            <a:solidFill>
              <a:srgbClr val="FFFFFF"/>
            </a:solidFill>
            <a:latin typeface="Calibri"/>
            <a:ea typeface="+mn-ea"/>
            <a:cs typeface="+mn-cs"/>
          </a:endParaRPr>
        </a:p>
      </dsp:txBody>
      <dsp:txXfrm>
        <a:off x="249396" y="419559"/>
        <a:ext cx="1058912" cy="2081642"/>
      </dsp:txXfrm>
    </dsp:sp>
    <dsp:sp modelId="{B888B1E0-49AE-47D2-81B8-E94BE8C9F3BC}">
      <dsp:nvSpPr>
        <dsp:cNvPr id="0" name=""/>
        <dsp:cNvSpPr/>
      </dsp:nvSpPr>
      <dsp:spPr>
        <a:xfrm>
          <a:off x="65435" y="167570"/>
          <a:ext cx="367921" cy="367921"/>
        </a:xfrm>
        <a:prstGeom prst="rect">
          <a:avLst/>
        </a:prstGeom>
        <a:blipFill>
          <a:blip xmlns:r="http://schemas.openxmlformats.org/officeDocument/2006/relationships" r:embed="rId1">
            <a:extLst>
              <a:ext uri="{96DAC541-7B7A-43D3-8B79-37D633B846F1}">
                <asvg:svgBlip xmlns:asvg="http://schemas.microsoft.com/office/drawing/2016/SVG/main" r:embed="rId2"/>
              </a:ext>
            </a:extLst>
          </a:blip>
          <a:srcRect/>
          <a:stretch>
            <a:fillRect/>
          </a:stretch>
        </a:blip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482849F8-CC6C-49D1-97BD-A44B881F680C}">
      <dsp:nvSpPr>
        <dsp:cNvPr id="0" name=""/>
        <dsp:cNvSpPr/>
      </dsp:nvSpPr>
      <dsp:spPr>
        <a:xfrm rot="16200000">
          <a:off x="652829" y="1471532"/>
          <a:ext cx="2081642" cy="2125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87491" bIns="0" numCol="1" spcCol="1270" anchor="t" anchorCtr="0">
          <a:noAutofit/>
        </a:bodyPr>
        <a:lstStyle/>
        <a:p>
          <a:pPr marL="0" lvl="0" indent="0" algn="r" defTabSz="666750">
            <a:lnSpc>
              <a:spcPct val="90000"/>
            </a:lnSpc>
            <a:spcBef>
              <a:spcPct val="0"/>
            </a:spcBef>
            <a:spcAft>
              <a:spcPct val="35000"/>
            </a:spcAft>
            <a:buNone/>
          </a:pPr>
          <a:r>
            <a:rPr lang="ro-RO" sz="1500" kern="1200">
              <a:solidFill>
                <a:srgbClr val="000000">
                  <a:hueOff val="0"/>
                  <a:satOff val="0"/>
                  <a:lumOff val="0"/>
                  <a:alphaOff val="0"/>
                </a:srgbClr>
              </a:solidFill>
              <a:latin typeface="Calibri"/>
              <a:ea typeface="+mn-ea"/>
              <a:cs typeface="+mn-cs"/>
            </a:rPr>
            <a:t>Economie și Societate</a:t>
          </a:r>
          <a:endParaRPr lang="en-US" sz="1500" kern="1200">
            <a:solidFill>
              <a:srgbClr val="000000">
                <a:hueOff val="0"/>
                <a:satOff val="0"/>
                <a:lumOff val="0"/>
                <a:alphaOff val="0"/>
              </a:srgbClr>
            </a:solidFill>
            <a:latin typeface="Calibri"/>
            <a:ea typeface="+mn-ea"/>
            <a:cs typeface="+mn-cs"/>
          </a:endParaRPr>
        </a:p>
      </dsp:txBody>
      <dsp:txXfrm>
        <a:off x="652829" y="1471532"/>
        <a:ext cx="2081642" cy="212587"/>
      </dsp:txXfrm>
    </dsp:sp>
    <dsp:sp modelId="{4B50E819-37A1-4D1B-9BB0-58C59A36B411}">
      <dsp:nvSpPr>
        <dsp:cNvPr id="0" name=""/>
        <dsp:cNvSpPr/>
      </dsp:nvSpPr>
      <dsp:spPr>
        <a:xfrm>
          <a:off x="1799944" y="419559"/>
          <a:ext cx="1058912" cy="2081642"/>
        </a:xfrm>
        <a:prstGeom prst="rect">
          <a:avLst/>
        </a:prstGeom>
        <a:solidFill>
          <a:srgbClr val="3CA1BC">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187491" rIns="64008" bIns="64008" numCol="1" spcCol="1270" anchor="t" anchorCtr="0">
          <a:noAutofit/>
        </a:bodyPr>
        <a:lstStyle/>
        <a:p>
          <a:pPr marL="57150" lvl="1" indent="-57150" algn="l" defTabSz="311150">
            <a:lnSpc>
              <a:spcPct val="90000"/>
            </a:lnSpc>
            <a:spcBef>
              <a:spcPct val="0"/>
            </a:spcBef>
            <a:spcAft>
              <a:spcPct val="15000"/>
            </a:spcAft>
            <a:buChar char="•"/>
          </a:pPr>
          <a:r>
            <a:rPr lang="ro-RO" sz="700" b="1" kern="1200">
              <a:solidFill>
                <a:srgbClr val="FFFFFF"/>
              </a:solidFill>
              <a:latin typeface="Calibri"/>
              <a:ea typeface="+mn-ea"/>
              <a:cs typeface="+mn-cs"/>
            </a:rPr>
            <a:t>stimuli economici </a:t>
          </a:r>
          <a:r>
            <a:rPr lang="ro-RO" sz="700" kern="1200">
              <a:solidFill>
                <a:srgbClr val="FFFFFF"/>
              </a:solidFill>
              <a:latin typeface="Calibri"/>
              <a:ea typeface="+mn-ea"/>
              <a:cs typeface="+mn-cs"/>
            </a:rPr>
            <a:t>pentru sectoare specifice la nivel local/regional</a:t>
          </a:r>
          <a:endParaRPr lang="en-US" sz="700" kern="1200">
            <a:solidFill>
              <a:srgbClr val="FFFFFF"/>
            </a:solidFill>
            <a:latin typeface="Calibri"/>
            <a:ea typeface="+mn-ea"/>
            <a:cs typeface="+mn-cs"/>
          </a:endParaRPr>
        </a:p>
        <a:p>
          <a:pPr marL="57150" lvl="1" indent="-57150" algn="l" defTabSz="311150">
            <a:lnSpc>
              <a:spcPct val="90000"/>
            </a:lnSpc>
            <a:spcBef>
              <a:spcPct val="0"/>
            </a:spcBef>
            <a:spcAft>
              <a:spcPct val="15000"/>
            </a:spcAft>
            <a:buChar char="•"/>
          </a:pPr>
          <a:r>
            <a:rPr lang="ro-RO" sz="700" b="1" kern="1200" dirty="0">
              <a:solidFill>
                <a:srgbClr val="FFFFFF"/>
              </a:solidFill>
              <a:latin typeface="Calibri"/>
              <a:ea typeface="+mn-ea"/>
              <a:cs typeface="+mn-cs"/>
            </a:rPr>
            <a:t>justiție socială </a:t>
          </a:r>
          <a:r>
            <a:rPr lang="ro-RO" sz="700" kern="1200" dirty="0">
              <a:solidFill>
                <a:srgbClr val="FFFFFF"/>
              </a:solidFill>
              <a:latin typeface="Calibri"/>
              <a:ea typeface="+mn-ea"/>
              <a:cs typeface="+mn-cs"/>
            </a:rPr>
            <a:t>ca parte a strategiei de dezvoltare economică</a:t>
          </a:r>
          <a:endParaRPr lang="en-US" sz="700" kern="1200" dirty="0">
            <a:solidFill>
              <a:srgbClr val="FFFFFF"/>
            </a:solidFill>
            <a:latin typeface="Calibri"/>
            <a:ea typeface="+mn-ea"/>
            <a:cs typeface="+mn-cs"/>
          </a:endParaRPr>
        </a:p>
        <a:p>
          <a:pPr marL="57150" lvl="1" indent="-57150" algn="l" defTabSz="311150">
            <a:lnSpc>
              <a:spcPct val="90000"/>
            </a:lnSpc>
            <a:spcBef>
              <a:spcPct val="0"/>
            </a:spcBef>
            <a:spcAft>
              <a:spcPct val="15000"/>
            </a:spcAft>
            <a:buChar char="•"/>
          </a:pPr>
          <a:r>
            <a:rPr lang="ro-RO" sz="700" b="1" kern="1200" dirty="0">
              <a:solidFill>
                <a:srgbClr val="FFFFFF"/>
              </a:solidFill>
              <a:latin typeface="Calibri"/>
              <a:ea typeface="+mn-ea"/>
              <a:cs typeface="+mn-cs"/>
            </a:rPr>
            <a:t>capital social și identitate locală</a:t>
          </a:r>
          <a:endParaRPr lang="en-US" sz="700" b="1" kern="1200" dirty="0">
            <a:solidFill>
              <a:srgbClr val="FFFFFF"/>
            </a:solidFill>
            <a:latin typeface="Calibri"/>
            <a:ea typeface="+mn-ea"/>
            <a:cs typeface="+mn-cs"/>
          </a:endParaRPr>
        </a:p>
        <a:p>
          <a:pPr marL="57150" lvl="1" indent="-57150" algn="l" defTabSz="311150">
            <a:lnSpc>
              <a:spcPct val="90000"/>
            </a:lnSpc>
            <a:spcBef>
              <a:spcPct val="0"/>
            </a:spcBef>
            <a:spcAft>
              <a:spcPct val="15000"/>
            </a:spcAft>
            <a:buChar char="•"/>
          </a:pPr>
          <a:r>
            <a:rPr lang="ro-RO" sz="700" b="0" kern="1200" dirty="0">
              <a:solidFill>
                <a:srgbClr val="FFFFFF"/>
              </a:solidFill>
              <a:latin typeface="Calibri"/>
              <a:ea typeface="+mn-ea"/>
              <a:cs typeface="+mn-cs"/>
            </a:rPr>
            <a:t>dezvoltarea</a:t>
          </a:r>
          <a:r>
            <a:rPr lang="ro-RO" sz="700" b="1" kern="1200" dirty="0">
              <a:solidFill>
                <a:srgbClr val="FFFFFF"/>
              </a:solidFill>
              <a:latin typeface="Calibri"/>
              <a:ea typeface="+mn-ea"/>
              <a:cs typeface="+mn-cs"/>
            </a:rPr>
            <a:t> sistemului educațional </a:t>
          </a:r>
          <a:endParaRPr lang="en-US" sz="700" b="1" kern="1200" dirty="0">
            <a:solidFill>
              <a:srgbClr val="FFFFFF"/>
            </a:solidFill>
            <a:latin typeface="Calibri"/>
            <a:ea typeface="+mn-ea"/>
            <a:cs typeface="+mn-cs"/>
          </a:endParaRPr>
        </a:p>
      </dsp:txBody>
      <dsp:txXfrm>
        <a:off x="1799944" y="419559"/>
        <a:ext cx="1058912" cy="2081642"/>
      </dsp:txXfrm>
    </dsp:sp>
    <dsp:sp modelId="{EEF2EF7D-5489-4BAC-9C28-FCA5399A76B4}">
      <dsp:nvSpPr>
        <dsp:cNvPr id="0" name=""/>
        <dsp:cNvSpPr/>
      </dsp:nvSpPr>
      <dsp:spPr>
        <a:xfrm>
          <a:off x="1615984" y="167570"/>
          <a:ext cx="367921" cy="367921"/>
        </a:xfrm>
        <a:prstGeom prst="rect">
          <a:avLst/>
        </a:prstGeom>
        <a:blipFill>
          <a:blip xmlns:r="http://schemas.openxmlformats.org/officeDocument/2006/relationships" r:embed="rId3">
            <a:extLst>
              <a:ext uri="{96DAC541-7B7A-43D3-8B79-37D633B846F1}">
                <asvg:svgBlip xmlns:asvg="http://schemas.microsoft.com/office/drawing/2016/SVG/main" r:embed="rId4"/>
              </a:ext>
            </a:extLst>
          </a:blip>
          <a:srcRect/>
          <a:stretch>
            <a:fillRect/>
          </a:stretch>
        </a:blip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39E13BD6-E9E3-4BCF-9669-995AD5CD422D}">
      <dsp:nvSpPr>
        <dsp:cNvPr id="0" name=""/>
        <dsp:cNvSpPr/>
      </dsp:nvSpPr>
      <dsp:spPr>
        <a:xfrm rot="16200000">
          <a:off x="2203378" y="1471532"/>
          <a:ext cx="2081642" cy="2125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87491" bIns="0" numCol="1" spcCol="1270" anchor="t" anchorCtr="0">
          <a:noAutofit/>
        </a:bodyPr>
        <a:lstStyle/>
        <a:p>
          <a:pPr marL="0" lvl="0" indent="0" algn="r" defTabSz="666750">
            <a:lnSpc>
              <a:spcPct val="90000"/>
            </a:lnSpc>
            <a:spcBef>
              <a:spcPct val="0"/>
            </a:spcBef>
            <a:spcAft>
              <a:spcPct val="35000"/>
            </a:spcAft>
            <a:buNone/>
          </a:pPr>
          <a:r>
            <a:rPr lang="ro-RO" sz="1500" kern="1200">
              <a:solidFill>
                <a:srgbClr val="000000">
                  <a:hueOff val="0"/>
                  <a:satOff val="0"/>
                  <a:lumOff val="0"/>
                  <a:alphaOff val="0"/>
                </a:srgbClr>
              </a:solidFill>
              <a:latin typeface="Calibri"/>
              <a:ea typeface="+mn-ea"/>
              <a:cs typeface="+mn-cs"/>
            </a:rPr>
            <a:t>Infrastructură și Mediu</a:t>
          </a:r>
          <a:endParaRPr lang="en-US" sz="1500" kern="1200">
            <a:solidFill>
              <a:srgbClr val="000000">
                <a:hueOff val="0"/>
                <a:satOff val="0"/>
                <a:lumOff val="0"/>
                <a:alphaOff val="0"/>
              </a:srgbClr>
            </a:solidFill>
            <a:latin typeface="Calibri"/>
            <a:ea typeface="+mn-ea"/>
            <a:cs typeface="+mn-cs"/>
          </a:endParaRPr>
        </a:p>
      </dsp:txBody>
      <dsp:txXfrm>
        <a:off x="2203378" y="1471532"/>
        <a:ext cx="2081642" cy="212587"/>
      </dsp:txXfrm>
    </dsp:sp>
    <dsp:sp modelId="{ED72FD74-09FA-4BB5-9B9A-F84DC7BCE21C}">
      <dsp:nvSpPr>
        <dsp:cNvPr id="0" name=""/>
        <dsp:cNvSpPr/>
      </dsp:nvSpPr>
      <dsp:spPr>
        <a:xfrm>
          <a:off x="3350493" y="419559"/>
          <a:ext cx="1058912" cy="2081642"/>
        </a:xfrm>
        <a:prstGeom prst="rect">
          <a:avLst/>
        </a:prstGeom>
        <a:solidFill>
          <a:srgbClr val="588133"/>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187491" rIns="64008" bIns="64008" numCol="1" spcCol="1270" anchor="t" anchorCtr="0">
          <a:noAutofit/>
        </a:bodyPr>
        <a:lstStyle/>
        <a:p>
          <a:pPr marL="57150" lvl="1" indent="-57150" algn="l" defTabSz="311150">
            <a:lnSpc>
              <a:spcPct val="90000"/>
            </a:lnSpc>
            <a:spcBef>
              <a:spcPct val="0"/>
            </a:spcBef>
            <a:spcAft>
              <a:spcPct val="15000"/>
            </a:spcAft>
            <a:buChar char="•"/>
          </a:pPr>
          <a:r>
            <a:rPr lang="ro-RO" sz="700" kern="1200">
              <a:solidFill>
                <a:srgbClr val="FFFFFF"/>
              </a:solidFill>
              <a:latin typeface="Calibri"/>
              <a:ea typeface="+mn-ea"/>
              <a:cs typeface="+mn-cs"/>
            </a:rPr>
            <a:t>dezvoltarea rapidă a infrastructurii în vederea depășirii problemelor economice </a:t>
          </a:r>
          <a:endParaRPr lang="en-US" sz="700" kern="1200">
            <a:solidFill>
              <a:srgbClr val="FFFFFF"/>
            </a:solidFill>
            <a:latin typeface="Calibri"/>
            <a:ea typeface="+mn-ea"/>
            <a:cs typeface="+mn-cs"/>
          </a:endParaRPr>
        </a:p>
        <a:p>
          <a:pPr marL="57150" lvl="1" indent="-57150" algn="l" defTabSz="311150">
            <a:lnSpc>
              <a:spcPct val="90000"/>
            </a:lnSpc>
            <a:spcBef>
              <a:spcPct val="0"/>
            </a:spcBef>
            <a:spcAft>
              <a:spcPct val="15000"/>
            </a:spcAft>
            <a:buChar char="•"/>
          </a:pPr>
          <a:r>
            <a:rPr lang="ro-RO" sz="700" kern="1200" dirty="0">
              <a:solidFill>
                <a:srgbClr val="FFFFFF"/>
              </a:solidFill>
              <a:latin typeface="Calibri"/>
              <a:ea typeface="+mn-ea"/>
              <a:cs typeface="+mn-cs"/>
            </a:rPr>
            <a:t>orientare către accelerarea </a:t>
          </a:r>
          <a:r>
            <a:rPr lang="ro-RO" sz="700" b="1" kern="1200" dirty="0">
              <a:solidFill>
                <a:srgbClr val="FFFFFF"/>
              </a:solidFill>
              <a:latin typeface="Calibri"/>
              <a:ea typeface="+mn-ea"/>
              <a:cs typeface="+mn-cs"/>
            </a:rPr>
            <a:t>agendelor "verzi"</a:t>
          </a:r>
          <a:endParaRPr lang="en-US" sz="700" b="1" kern="1200" dirty="0">
            <a:solidFill>
              <a:srgbClr val="FFFFFF"/>
            </a:solidFill>
            <a:latin typeface="Calibri"/>
            <a:ea typeface="+mn-ea"/>
            <a:cs typeface="+mn-cs"/>
          </a:endParaRPr>
        </a:p>
        <a:p>
          <a:pPr marL="57150" lvl="1" indent="-57150" algn="l" defTabSz="311150">
            <a:lnSpc>
              <a:spcPct val="90000"/>
            </a:lnSpc>
            <a:spcBef>
              <a:spcPct val="0"/>
            </a:spcBef>
            <a:spcAft>
              <a:spcPct val="15000"/>
            </a:spcAft>
            <a:buChar char="•"/>
          </a:pPr>
          <a:r>
            <a:rPr lang="ro-RO" sz="700" b="0" kern="1200" dirty="0">
              <a:solidFill>
                <a:srgbClr val="FFFFFF"/>
              </a:solidFill>
              <a:latin typeface="Calibri"/>
              <a:ea typeface="+mn-ea"/>
              <a:cs typeface="+mn-cs"/>
            </a:rPr>
            <a:t>ameliorarea </a:t>
          </a:r>
          <a:r>
            <a:rPr lang="ro-RO" sz="700" b="1" kern="1200" dirty="0">
              <a:solidFill>
                <a:srgbClr val="FFFFFF"/>
              </a:solidFill>
              <a:latin typeface="Calibri"/>
              <a:ea typeface="+mn-ea"/>
              <a:cs typeface="+mn-cs"/>
            </a:rPr>
            <a:t>efectelor schimbărilor climatice</a:t>
          </a:r>
          <a:endParaRPr lang="en-US" sz="700" b="1" kern="1200" dirty="0">
            <a:solidFill>
              <a:srgbClr val="FFFFFF"/>
            </a:solidFill>
            <a:latin typeface="Calibri"/>
            <a:ea typeface="+mn-ea"/>
            <a:cs typeface="+mn-cs"/>
          </a:endParaRPr>
        </a:p>
        <a:p>
          <a:pPr marL="57150" lvl="1" indent="-57150" algn="l" defTabSz="311150">
            <a:lnSpc>
              <a:spcPct val="90000"/>
            </a:lnSpc>
            <a:spcBef>
              <a:spcPct val="0"/>
            </a:spcBef>
            <a:spcAft>
              <a:spcPct val="15000"/>
            </a:spcAft>
            <a:buChar char="•"/>
          </a:pPr>
          <a:r>
            <a:rPr lang="ro-RO" sz="700" b="0" kern="1200" dirty="0">
              <a:solidFill>
                <a:srgbClr val="FFFFFF"/>
              </a:solidFill>
              <a:latin typeface="Calibri"/>
              <a:ea typeface="+mn-ea"/>
              <a:cs typeface="+mn-cs"/>
            </a:rPr>
            <a:t>consolidarea infrastructurii critice pentru adaptare la vulnerabilitățile teritoriale </a:t>
          </a:r>
          <a:endParaRPr lang="en-US" sz="700" b="0" kern="1200" dirty="0">
            <a:solidFill>
              <a:srgbClr val="FFFFFF"/>
            </a:solidFill>
            <a:latin typeface="Calibri"/>
            <a:ea typeface="+mn-ea"/>
            <a:cs typeface="+mn-cs"/>
          </a:endParaRPr>
        </a:p>
      </dsp:txBody>
      <dsp:txXfrm>
        <a:off x="3350493" y="419559"/>
        <a:ext cx="1058912" cy="2081642"/>
      </dsp:txXfrm>
    </dsp:sp>
    <dsp:sp modelId="{CD18096A-224B-4499-97AD-288CA019692C}">
      <dsp:nvSpPr>
        <dsp:cNvPr id="0" name=""/>
        <dsp:cNvSpPr/>
      </dsp:nvSpPr>
      <dsp:spPr>
        <a:xfrm>
          <a:off x="3166532" y="167570"/>
          <a:ext cx="367921" cy="367921"/>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7A0600A0-DEF7-42E2-8C51-0411DCBABC28}">
      <dsp:nvSpPr>
        <dsp:cNvPr id="0" name=""/>
        <dsp:cNvSpPr/>
      </dsp:nvSpPr>
      <dsp:spPr>
        <a:xfrm rot="16200000">
          <a:off x="3753927" y="1471532"/>
          <a:ext cx="2081642" cy="2125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87491" bIns="0" numCol="1" spcCol="1270" anchor="t" anchorCtr="0">
          <a:noAutofit/>
        </a:bodyPr>
        <a:lstStyle/>
        <a:p>
          <a:pPr marL="0" lvl="0" indent="0" algn="r" defTabSz="666750">
            <a:lnSpc>
              <a:spcPct val="90000"/>
            </a:lnSpc>
            <a:spcBef>
              <a:spcPct val="0"/>
            </a:spcBef>
            <a:spcAft>
              <a:spcPct val="35000"/>
            </a:spcAft>
            <a:buNone/>
          </a:pPr>
          <a:r>
            <a:rPr lang="ro-RO" sz="1500" kern="1200">
              <a:solidFill>
                <a:srgbClr val="000000">
                  <a:hueOff val="0"/>
                  <a:satOff val="0"/>
                  <a:lumOff val="0"/>
                  <a:alphaOff val="0"/>
                </a:srgbClr>
              </a:solidFill>
              <a:latin typeface="Calibri"/>
              <a:ea typeface="+mn-ea"/>
              <a:cs typeface="+mn-cs"/>
            </a:rPr>
            <a:t>Leadership și Strategie</a:t>
          </a:r>
          <a:endParaRPr lang="en-US" sz="1500" kern="1200">
            <a:solidFill>
              <a:srgbClr val="000000">
                <a:hueOff val="0"/>
                <a:satOff val="0"/>
                <a:lumOff val="0"/>
                <a:alphaOff val="0"/>
              </a:srgbClr>
            </a:solidFill>
            <a:latin typeface="Calibri"/>
            <a:ea typeface="+mn-ea"/>
            <a:cs typeface="+mn-cs"/>
          </a:endParaRPr>
        </a:p>
      </dsp:txBody>
      <dsp:txXfrm>
        <a:off x="3753927" y="1471532"/>
        <a:ext cx="2081642" cy="212587"/>
      </dsp:txXfrm>
    </dsp:sp>
    <dsp:sp modelId="{D006BC0C-1578-4667-A008-FABEA9F1BABE}">
      <dsp:nvSpPr>
        <dsp:cNvPr id="0" name=""/>
        <dsp:cNvSpPr/>
      </dsp:nvSpPr>
      <dsp:spPr>
        <a:xfrm>
          <a:off x="4901042" y="419559"/>
          <a:ext cx="1058912" cy="2081642"/>
        </a:xfrm>
        <a:prstGeom prst="rect">
          <a:avLst/>
        </a:prstGeom>
        <a:solidFill>
          <a:srgbClr val="ABCD3A">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187491" rIns="64008" bIns="64008" numCol="1" spcCol="1270" anchor="t" anchorCtr="0">
          <a:noAutofit/>
        </a:bodyPr>
        <a:lstStyle/>
        <a:p>
          <a:pPr marL="57150" lvl="1" indent="-57150" algn="l" defTabSz="311150">
            <a:lnSpc>
              <a:spcPct val="90000"/>
            </a:lnSpc>
            <a:spcBef>
              <a:spcPct val="0"/>
            </a:spcBef>
            <a:spcAft>
              <a:spcPct val="15000"/>
            </a:spcAft>
            <a:buChar char="•"/>
          </a:pPr>
          <a:r>
            <a:rPr lang="ro-RO" sz="700" kern="1200" dirty="0">
              <a:solidFill>
                <a:srgbClr val="FFFFFF"/>
              </a:solidFill>
              <a:latin typeface="Calibri"/>
              <a:ea typeface="+mn-ea"/>
              <a:cs typeface="+mn-cs"/>
            </a:rPr>
            <a:t>dezvoltarea unor </a:t>
          </a:r>
          <a:r>
            <a:rPr lang="ro-RO" sz="700" b="1" kern="1200" dirty="0">
              <a:solidFill>
                <a:srgbClr val="FFFFFF"/>
              </a:solidFill>
              <a:latin typeface="Calibri"/>
              <a:ea typeface="+mn-ea"/>
              <a:cs typeface="+mn-cs"/>
            </a:rPr>
            <a:t>procese eficiente </a:t>
          </a:r>
          <a:r>
            <a:rPr lang="ro-RO" sz="700" kern="1200" dirty="0">
              <a:solidFill>
                <a:srgbClr val="FFFFFF"/>
              </a:solidFill>
              <a:latin typeface="Calibri"/>
              <a:ea typeface="+mn-ea"/>
              <a:cs typeface="+mn-cs"/>
            </a:rPr>
            <a:t>menite să identifice lecțiile învățate, să evalueze riscurile, urmând ca mai apoi să integreze aceste aspecte în măsuri de redresare</a:t>
          </a:r>
          <a:endParaRPr lang="en-US" sz="700" kern="1200" dirty="0">
            <a:solidFill>
              <a:srgbClr val="FFFFFF"/>
            </a:solidFill>
            <a:latin typeface="Calibri"/>
            <a:ea typeface="+mn-ea"/>
            <a:cs typeface="+mn-cs"/>
          </a:endParaRPr>
        </a:p>
        <a:p>
          <a:pPr marL="57150" lvl="1" indent="-57150" algn="l" defTabSz="311150">
            <a:lnSpc>
              <a:spcPct val="90000"/>
            </a:lnSpc>
            <a:spcBef>
              <a:spcPct val="0"/>
            </a:spcBef>
            <a:spcAft>
              <a:spcPct val="15000"/>
            </a:spcAft>
            <a:buChar char="•"/>
          </a:pPr>
          <a:r>
            <a:rPr lang="ro-RO" sz="700" b="1" kern="1200" dirty="0">
              <a:solidFill>
                <a:srgbClr val="FFFFFF"/>
              </a:solidFill>
              <a:latin typeface="Calibri"/>
              <a:ea typeface="+mn-ea"/>
              <a:cs typeface="+mn-cs"/>
            </a:rPr>
            <a:t>schimburi de experiență </a:t>
          </a:r>
          <a:r>
            <a:rPr lang="ro-RO" sz="700" kern="1200" dirty="0">
              <a:solidFill>
                <a:srgbClr val="FFFFFF"/>
              </a:solidFill>
              <a:latin typeface="Calibri"/>
              <a:ea typeface="+mn-ea"/>
              <a:cs typeface="+mn-cs"/>
            </a:rPr>
            <a:t>la nivel internațional - participare prin transmiterea lecțiilor învățate la nivel local</a:t>
          </a:r>
          <a:endParaRPr lang="en-US" sz="700" kern="1200" dirty="0">
            <a:solidFill>
              <a:srgbClr val="FFFFFF"/>
            </a:solidFill>
            <a:latin typeface="Calibri"/>
            <a:ea typeface="+mn-ea"/>
            <a:cs typeface="+mn-cs"/>
          </a:endParaRPr>
        </a:p>
      </dsp:txBody>
      <dsp:txXfrm>
        <a:off x="4901042" y="419559"/>
        <a:ext cx="1058912" cy="2081642"/>
      </dsp:txXfrm>
    </dsp:sp>
    <dsp:sp modelId="{9CC3A60B-7CBE-4E29-AF14-5C01C9F86591}">
      <dsp:nvSpPr>
        <dsp:cNvPr id="0" name=""/>
        <dsp:cNvSpPr/>
      </dsp:nvSpPr>
      <dsp:spPr>
        <a:xfrm>
          <a:off x="4717081" y="167570"/>
          <a:ext cx="367921" cy="367921"/>
        </a:xfrm>
        <a:prstGeom prst="rect">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580B72-495D-4637-B03B-ADFD8A19B624}">
      <dsp:nvSpPr>
        <dsp:cNvPr id="0" name=""/>
        <dsp:cNvSpPr/>
      </dsp:nvSpPr>
      <dsp:spPr>
        <a:xfrm rot="16200000">
          <a:off x="-69613" y="72846"/>
          <a:ext cx="1280160" cy="1134466"/>
        </a:xfrm>
        <a:prstGeom prst="snip2SameRect">
          <a:avLst/>
        </a:prstGeom>
        <a:solidFill>
          <a:srgbClr val="134753">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fr-FR" sz="1400" b="1" i="0" u="none" kern="1200">
              <a:solidFill>
                <a:srgbClr val="FFFFFF"/>
              </a:solidFill>
              <a:latin typeface="Calibri"/>
              <a:ea typeface="+mn-ea"/>
              <a:cs typeface="+mn-cs"/>
            </a:rPr>
            <a:t>O1. </a:t>
          </a:r>
          <a:endParaRPr lang="ro-RO" sz="1400" b="1" i="0" u="none" kern="1200">
            <a:solidFill>
              <a:srgbClr val="FFFFFF"/>
            </a:solidFill>
            <a:latin typeface="Calibri"/>
            <a:ea typeface="+mn-ea"/>
            <a:cs typeface="+mn-cs"/>
          </a:endParaRPr>
        </a:p>
        <a:p>
          <a:pPr marL="0" lvl="0" indent="0" algn="ctr" defTabSz="622300">
            <a:lnSpc>
              <a:spcPct val="90000"/>
            </a:lnSpc>
            <a:spcBef>
              <a:spcPct val="0"/>
            </a:spcBef>
            <a:spcAft>
              <a:spcPct val="35000"/>
            </a:spcAft>
            <a:buNone/>
          </a:pPr>
          <a:r>
            <a:rPr lang="fr-FR" sz="1050" b="1" i="0" u="none" kern="1200">
              <a:solidFill>
                <a:srgbClr val="FFFFFF"/>
              </a:solidFill>
              <a:latin typeface="Calibri"/>
              <a:ea typeface="+mn-ea"/>
              <a:cs typeface="+mn-cs"/>
            </a:rPr>
            <a:t>Locuire, servicii şi cultură adaptate unei comunităţi active şi implicate</a:t>
          </a:r>
          <a:endParaRPr lang="en-US" sz="1400" b="1" kern="1200">
            <a:solidFill>
              <a:srgbClr val="FFFFFF"/>
            </a:solidFill>
            <a:latin typeface="Calibri"/>
            <a:ea typeface="+mn-ea"/>
            <a:cs typeface="+mn-cs"/>
          </a:endParaRPr>
        </a:p>
      </dsp:txBody>
      <dsp:txXfrm rot="5400000">
        <a:off x="97775" y="94540"/>
        <a:ext cx="1039925" cy="1091078"/>
      </dsp:txXfrm>
    </dsp:sp>
    <dsp:sp modelId="{80EA75EA-8102-444B-A95D-72FCD700FADE}">
      <dsp:nvSpPr>
        <dsp:cNvPr id="0" name=""/>
        <dsp:cNvSpPr/>
      </dsp:nvSpPr>
      <dsp:spPr>
        <a:xfrm rot="16200000">
          <a:off x="1149937" y="72846"/>
          <a:ext cx="1280160" cy="1134466"/>
        </a:xfrm>
        <a:prstGeom prst="snip2SameRect">
          <a:avLst/>
        </a:prstGeom>
        <a:solidFill>
          <a:srgbClr val="134753">
            <a:hueOff val="21115"/>
            <a:satOff val="-2785"/>
            <a:lumOff val="7157"/>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en-US" sz="1400" b="1" i="0" u="none" kern="1200">
              <a:solidFill>
                <a:srgbClr val="FFFFFF"/>
              </a:solidFill>
              <a:latin typeface="Calibri"/>
              <a:ea typeface="+mn-ea"/>
              <a:cs typeface="+mn-cs"/>
            </a:rPr>
            <a:t>O2. </a:t>
          </a:r>
          <a:endParaRPr lang="ro-RO" sz="1400" b="1" i="0" u="none" kern="1200">
            <a:solidFill>
              <a:srgbClr val="FFFFFF"/>
            </a:solidFill>
            <a:latin typeface="Calibri"/>
            <a:ea typeface="+mn-ea"/>
            <a:cs typeface="+mn-cs"/>
          </a:endParaRPr>
        </a:p>
        <a:p>
          <a:pPr marL="0" lvl="0" indent="0" algn="ctr" defTabSz="622300">
            <a:lnSpc>
              <a:spcPct val="90000"/>
            </a:lnSpc>
            <a:spcBef>
              <a:spcPct val="0"/>
            </a:spcBef>
            <a:spcAft>
              <a:spcPct val="35000"/>
            </a:spcAft>
            <a:buNone/>
          </a:pPr>
          <a:r>
            <a:rPr lang="en-US" sz="1050" b="1" i="0" u="none" kern="1200">
              <a:solidFill>
                <a:srgbClr val="FFFFFF"/>
              </a:solidFill>
              <a:latin typeface="Calibri"/>
              <a:ea typeface="+mn-ea"/>
              <a:cs typeface="+mn-cs"/>
            </a:rPr>
            <a:t>Sector cu atractivitate crescută pentru forța de muncă și companii</a:t>
          </a:r>
          <a:endParaRPr lang="en-US" sz="1400" b="1" kern="1200">
            <a:solidFill>
              <a:srgbClr val="FFFFFF"/>
            </a:solidFill>
            <a:latin typeface="Calibri"/>
            <a:ea typeface="+mn-ea"/>
            <a:cs typeface="+mn-cs"/>
          </a:endParaRPr>
        </a:p>
      </dsp:txBody>
      <dsp:txXfrm rot="5400000">
        <a:off x="1317325" y="94540"/>
        <a:ext cx="1039925" cy="1091078"/>
      </dsp:txXfrm>
    </dsp:sp>
    <dsp:sp modelId="{E01E10A6-2233-459F-A0FD-6077D68BB024}">
      <dsp:nvSpPr>
        <dsp:cNvPr id="0" name=""/>
        <dsp:cNvSpPr/>
      </dsp:nvSpPr>
      <dsp:spPr>
        <a:xfrm rot="16200000">
          <a:off x="2369488" y="72846"/>
          <a:ext cx="1280160" cy="1134466"/>
        </a:xfrm>
        <a:prstGeom prst="snip2SameRect">
          <a:avLst/>
        </a:prstGeom>
        <a:solidFill>
          <a:srgbClr val="134753">
            <a:hueOff val="42230"/>
            <a:satOff val="-5571"/>
            <a:lumOff val="14314"/>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en-US" sz="1400" b="1" i="0" u="none" kern="1200">
              <a:solidFill>
                <a:srgbClr val="FFFFFF"/>
              </a:solidFill>
              <a:latin typeface="Calibri"/>
              <a:ea typeface="+mn-ea"/>
              <a:cs typeface="+mn-cs"/>
            </a:rPr>
            <a:t>O3. </a:t>
          </a:r>
          <a:endParaRPr lang="ro-RO" sz="1400" b="1" i="0" u="none" kern="1200">
            <a:solidFill>
              <a:srgbClr val="FFFFFF"/>
            </a:solidFill>
            <a:latin typeface="Calibri"/>
            <a:ea typeface="+mn-ea"/>
            <a:cs typeface="+mn-cs"/>
          </a:endParaRPr>
        </a:p>
        <a:p>
          <a:pPr marL="0" lvl="0" indent="0" algn="ctr" defTabSz="622300">
            <a:lnSpc>
              <a:spcPct val="90000"/>
            </a:lnSpc>
            <a:spcBef>
              <a:spcPct val="0"/>
            </a:spcBef>
            <a:spcAft>
              <a:spcPct val="35000"/>
            </a:spcAft>
            <a:buNone/>
          </a:pPr>
          <a:r>
            <a:rPr lang="en-US" sz="1050" b="1" i="0" u="none" kern="1200">
              <a:solidFill>
                <a:srgbClr val="FFFFFF"/>
              </a:solidFill>
              <a:latin typeface="Calibri"/>
              <a:ea typeface="+mn-ea"/>
              <a:cs typeface="+mn-cs"/>
            </a:rPr>
            <a:t>Infrastructură urbană</a:t>
          </a:r>
          <a:r>
            <a:rPr lang="ro-RO" sz="1050" b="1" i="0" u="none" kern="1200">
              <a:solidFill>
                <a:srgbClr val="FFFFFF"/>
              </a:solidFill>
              <a:latin typeface="Calibri"/>
              <a:ea typeface="+mn-ea"/>
              <a:cs typeface="+mn-cs"/>
            </a:rPr>
            <a:t> adaptată la nevoile actuale și viitoare</a:t>
          </a:r>
          <a:endParaRPr lang="en-US" sz="1400" b="1" kern="1200">
            <a:solidFill>
              <a:srgbClr val="FFFFFF"/>
            </a:solidFill>
            <a:latin typeface="Calibri"/>
            <a:ea typeface="+mn-ea"/>
            <a:cs typeface="+mn-cs"/>
          </a:endParaRPr>
        </a:p>
      </dsp:txBody>
      <dsp:txXfrm rot="5400000">
        <a:off x="2536876" y="94540"/>
        <a:ext cx="1039925" cy="1091078"/>
      </dsp:txXfrm>
    </dsp:sp>
    <dsp:sp modelId="{97D57334-656D-4307-A3B1-894E440976BF}">
      <dsp:nvSpPr>
        <dsp:cNvPr id="0" name=""/>
        <dsp:cNvSpPr/>
      </dsp:nvSpPr>
      <dsp:spPr>
        <a:xfrm rot="16200000">
          <a:off x="3589039" y="72846"/>
          <a:ext cx="1280160" cy="1134466"/>
        </a:xfrm>
        <a:prstGeom prst="snip2SameRect">
          <a:avLst/>
        </a:prstGeom>
        <a:solidFill>
          <a:srgbClr val="134753">
            <a:hueOff val="63344"/>
            <a:satOff val="-8356"/>
            <a:lumOff val="21472"/>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en-US" sz="1400" b="1" i="0" u="none" kern="1200">
              <a:solidFill>
                <a:srgbClr val="FFFFFF"/>
              </a:solidFill>
              <a:latin typeface="Calibri"/>
              <a:ea typeface="+mn-ea"/>
              <a:cs typeface="+mn-cs"/>
            </a:rPr>
            <a:t>O4. </a:t>
          </a:r>
          <a:endParaRPr lang="ro-RO" sz="1400" b="1" i="0" u="none" kern="1200">
            <a:solidFill>
              <a:srgbClr val="FFFFFF"/>
            </a:solidFill>
            <a:latin typeface="Calibri"/>
            <a:ea typeface="+mn-ea"/>
            <a:cs typeface="+mn-cs"/>
          </a:endParaRPr>
        </a:p>
        <a:p>
          <a:pPr marL="0" lvl="0" indent="0" algn="ctr" defTabSz="622300">
            <a:lnSpc>
              <a:spcPct val="90000"/>
            </a:lnSpc>
            <a:spcBef>
              <a:spcPct val="0"/>
            </a:spcBef>
            <a:spcAft>
              <a:spcPct val="35000"/>
            </a:spcAft>
            <a:buNone/>
          </a:pPr>
          <a:r>
            <a:rPr lang="en-US" sz="1050" b="1" i="0" u="none" kern="1200">
              <a:solidFill>
                <a:srgbClr val="FFFFFF"/>
              </a:solidFill>
              <a:latin typeface="Calibri"/>
              <a:ea typeface="+mn-ea"/>
              <a:cs typeface="+mn-cs"/>
            </a:rPr>
            <a:t>Sector 2 - model de dezvoltare sistem albastru-verde</a:t>
          </a:r>
          <a:endParaRPr lang="en-US" sz="1400" b="1" kern="1200">
            <a:solidFill>
              <a:srgbClr val="FFFFFF"/>
            </a:solidFill>
            <a:latin typeface="Calibri"/>
            <a:ea typeface="+mn-ea"/>
            <a:cs typeface="+mn-cs"/>
          </a:endParaRPr>
        </a:p>
      </dsp:txBody>
      <dsp:txXfrm rot="5400000">
        <a:off x="3756427" y="94540"/>
        <a:ext cx="1039925" cy="1091078"/>
      </dsp:txXfrm>
    </dsp:sp>
    <dsp:sp modelId="{DF96191B-B467-433E-882E-5B2790769175}">
      <dsp:nvSpPr>
        <dsp:cNvPr id="0" name=""/>
        <dsp:cNvSpPr/>
      </dsp:nvSpPr>
      <dsp:spPr>
        <a:xfrm rot="16200000">
          <a:off x="4808590" y="72846"/>
          <a:ext cx="1280160" cy="1134466"/>
        </a:xfrm>
        <a:prstGeom prst="snip2SameRect">
          <a:avLst/>
        </a:prstGeom>
        <a:solidFill>
          <a:srgbClr val="134753">
            <a:hueOff val="84459"/>
            <a:satOff val="-11141"/>
            <a:lumOff val="28629"/>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en-US" sz="1400" b="1" i="0" u="none" kern="1200">
              <a:solidFill>
                <a:srgbClr val="FFFFFF"/>
              </a:solidFill>
              <a:latin typeface="Calibri"/>
              <a:ea typeface="+mn-ea"/>
              <a:cs typeface="+mn-cs"/>
            </a:rPr>
            <a:t>O5. </a:t>
          </a:r>
          <a:endParaRPr lang="ro-RO" sz="1400" b="1" i="0" u="none" kern="1200">
            <a:solidFill>
              <a:srgbClr val="FFFFFF"/>
            </a:solidFill>
            <a:latin typeface="Calibri"/>
            <a:ea typeface="+mn-ea"/>
            <a:cs typeface="+mn-cs"/>
          </a:endParaRPr>
        </a:p>
        <a:p>
          <a:pPr marL="0" lvl="0" indent="0" algn="ctr" defTabSz="622300">
            <a:lnSpc>
              <a:spcPct val="90000"/>
            </a:lnSpc>
            <a:spcBef>
              <a:spcPct val="0"/>
            </a:spcBef>
            <a:spcAft>
              <a:spcPct val="35000"/>
            </a:spcAft>
            <a:buNone/>
          </a:pPr>
          <a:r>
            <a:rPr lang="en-US" sz="1050" b="1" i="0" u="none" kern="1200">
              <a:solidFill>
                <a:srgbClr val="FFFFFF"/>
              </a:solidFill>
              <a:latin typeface="Calibri"/>
              <a:ea typeface="+mn-ea"/>
              <a:cs typeface="+mn-cs"/>
            </a:rPr>
            <a:t>Administrație publică performantă</a:t>
          </a:r>
          <a:endParaRPr lang="ro-RO" sz="1050" b="1" i="0" u="none" kern="1200">
            <a:solidFill>
              <a:srgbClr val="FFFFFF"/>
            </a:solidFill>
            <a:latin typeface="Calibri"/>
            <a:ea typeface="+mn-ea"/>
            <a:cs typeface="+mn-cs"/>
          </a:endParaRPr>
        </a:p>
        <a:p>
          <a:pPr marL="0" lvl="0" indent="0" algn="ctr" defTabSz="622300">
            <a:lnSpc>
              <a:spcPct val="90000"/>
            </a:lnSpc>
            <a:spcBef>
              <a:spcPct val="0"/>
            </a:spcBef>
            <a:spcAft>
              <a:spcPct val="35000"/>
            </a:spcAft>
            <a:buNone/>
          </a:pPr>
          <a:endParaRPr lang="en-US" sz="1400" b="1" kern="1200">
            <a:solidFill>
              <a:srgbClr val="FFFFFF"/>
            </a:solidFill>
            <a:latin typeface="Calibri"/>
            <a:ea typeface="+mn-ea"/>
            <a:cs typeface="+mn-cs"/>
          </a:endParaRPr>
        </a:p>
      </dsp:txBody>
      <dsp:txXfrm rot="5400000">
        <a:off x="4975978" y="94540"/>
        <a:ext cx="1039925" cy="109107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6385C8-5E87-40B7-A899-ED1DBE752697}">
      <dsp:nvSpPr>
        <dsp:cNvPr id="0" name=""/>
        <dsp:cNvSpPr/>
      </dsp:nvSpPr>
      <dsp:spPr>
        <a:xfrm>
          <a:off x="137286" y="945"/>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Spectacole în aer liber</a:t>
          </a:r>
          <a:endParaRPr lang="en-US" sz="1000" b="1" kern="1200"/>
        </a:p>
      </dsp:txBody>
      <dsp:txXfrm>
        <a:off x="137286" y="945"/>
        <a:ext cx="1332554" cy="799532"/>
      </dsp:txXfrm>
    </dsp:sp>
    <dsp:sp modelId="{A0BFFBF0-B62F-44ED-8C4A-58B2C88B80CF}">
      <dsp:nvSpPr>
        <dsp:cNvPr id="0" name=""/>
        <dsp:cNvSpPr/>
      </dsp:nvSpPr>
      <dsp:spPr>
        <a:xfrm>
          <a:off x="1603097" y="945"/>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Expoziții</a:t>
          </a:r>
          <a:endParaRPr lang="en-US" sz="1000" b="1" kern="1200"/>
        </a:p>
      </dsp:txBody>
      <dsp:txXfrm>
        <a:off x="1603097" y="945"/>
        <a:ext cx="1332554" cy="799532"/>
      </dsp:txXfrm>
    </dsp:sp>
    <dsp:sp modelId="{5DC0381D-89CC-4B18-A349-D8077F292539}">
      <dsp:nvSpPr>
        <dsp:cNvPr id="0" name=""/>
        <dsp:cNvSpPr/>
      </dsp:nvSpPr>
      <dsp:spPr>
        <a:xfrm>
          <a:off x="3068907" y="945"/>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Zone de agrement</a:t>
          </a:r>
          <a:r>
            <a:rPr lang="ro-RO" sz="1000" b="1" kern="1200"/>
            <a:t> </a:t>
          </a:r>
          <a:r>
            <a:rPr lang="lt-LT" sz="1000" b="1" kern="1200"/>
            <a:t>amenajate pe malul lacurilor</a:t>
          </a:r>
          <a:endParaRPr lang="en-US" sz="1000" b="1" kern="1200"/>
        </a:p>
      </dsp:txBody>
      <dsp:txXfrm>
        <a:off x="3068907" y="945"/>
        <a:ext cx="1332554" cy="799532"/>
      </dsp:txXfrm>
    </dsp:sp>
    <dsp:sp modelId="{84F06E74-3143-4D87-B4F1-067A55D1B229}">
      <dsp:nvSpPr>
        <dsp:cNvPr id="0" name=""/>
        <dsp:cNvSpPr/>
      </dsp:nvSpPr>
      <dsp:spPr>
        <a:xfrm>
          <a:off x="4534718" y="945"/>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Baze sportive</a:t>
          </a:r>
          <a:endParaRPr lang="en-US" sz="1000" b="1" kern="1200"/>
        </a:p>
      </dsp:txBody>
      <dsp:txXfrm>
        <a:off x="4534718" y="945"/>
        <a:ext cx="1332554" cy="799532"/>
      </dsp:txXfrm>
    </dsp:sp>
    <dsp:sp modelId="{FD5D1DF6-58ED-4F05-86A8-085A88E71E09}">
      <dsp:nvSpPr>
        <dsp:cNvPr id="0" name=""/>
        <dsp:cNvSpPr/>
      </dsp:nvSpPr>
      <dsp:spPr>
        <a:xfrm>
          <a:off x="137286" y="933733"/>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Cinema în aer liber</a:t>
          </a:r>
          <a:endParaRPr lang="en-US" sz="1000" b="1" kern="1200"/>
        </a:p>
      </dsp:txBody>
      <dsp:txXfrm>
        <a:off x="137286" y="933733"/>
        <a:ext cx="1332554" cy="799532"/>
      </dsp:txXfrm>
    </dsp:sp>
    <dsp:sp modelId="{796D8846-E821-4DE3-8DD8-DFF9DEE6AE52}">
      <dsp:nvSpPr>
        <dsp:cNvPr id="0" name=""/>
        <dsp:cNvSpPr/>
      </dsp:nvSpPr>
      <dsp:spPr>
        <a:xfrm>
          <a:off x="1603097" y="933733"/>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Cluburi de activități pentru diverse vârste</a:t>
          </a:r>
          <a:endParaRPr lang="en-US" sz="1000" b="1" kern="1200"/>
        </a:p>
      </dsp:txBody>
      <dsp:txXfrm>
        <a:off x="1603097" y="933733"/>
        <a:ext cx="1332554" cy="799532"/>
      </dsp:txXfrm>
    </dsp:sp>
    <dsp:sp modelId="{FFE18C75-6974-4B54-B9FA-18D0518A17DF}">
      <dsp:nvSpPr>
        <dsp:cNvPr id="0" name=""/>
        <dsp:cNvSpPr/>
      </dsp:nvSpPr>
      <dsp:spPr>
        <a:xfrm>
          <a:off x="3068907" y="933733"/>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Competiții și întreceri sportive</a:t>
          </a:r>
          <a:endParaRPr lang="en-US" sz="1000" b="1" kern="1200"/>
        </a:p>
      </dsp:txBody>
      <dsp:txXfrm>
        <a:off x="3068907" y="933733"/>
        <a:ext cx="1332554" cy="799532"/>
      </dsp:txXfrm>
    </dsp:sp>
    <dsp:sp modelId="{7EAFC521-99B6-4964-9D81-6DF26D06CF4B}">
      <dsp:nvSpPr>
        <dsp:cNvPr id="0" name=""/>
        <dsp:cNvSpPr/>
      </dsp:nvSpPr>
      <dsp:spPr>
        <a:xfrm>
          <a:off x="4534718" y="933733"/>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Plimbări cu barca</a:t>
          </a:r>
          <a:endParaRPr lang="en-US" sz="1000" b="1" kern="1200"/>
        </a:p>
      </dsp:txBody>
      <dsp:txXfrm>
        <a:off x="4534718" y="933733"/>
        <a:ext cx="1332554" cy="799532"/>
      </dsp:txXfrm>
    </dsp:sp>
    <dsp:sp modelId="{69C5D823-7DA2-42AF-A158-DC3A450E0EC7}">
      <dsp:nvSpPr>
        <dsp:cNvPr id="0" name=""/>
        <dsp:cNvSpPr/>
      </dsp:nvSpPr>
      <dsp:spPr>
        <a:xfrm>
          <a:off x="870192" y="1866521"/>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Târguri</a:t>
          </a:r>
          <a:endParaRPr lang="en-US" sz="1000" b="1" kern="1200"/>
        </a:p>
      </dsp:txBody>
      <dsp:txXfrm>
        <a:off x="870192" y="1866521"/>
        <a:ext cx="1332554" cy="799532"/>
      </dsp:txXfrm>
    </dsp:sp>
    <dsp:sp modelId="{4A9DFEE4-5D75-4747-A7D8-DA90D891525B}">
      <dsp:nvSpPr>
        <dsp:cNvPr id="0" name=""/>
        <dsp:cNvSpPr/>
      </dsp:nvSpPr>
      <dsp:spPr>
        <a:xfrm>
          <a:off x="2336002" y="1866521"/>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b="1" kern="1200"/>
            <a:t>Zone de promenadă</a:t>
          </a:r>
          <a:endParaRPr lang="en-US" sz="1000" b="1" kern="1200"/>
        </a:p>
      </dsp:txBody>
      <dsp:txXfrm>
        <a:off x="2336002" y="1866521"/>
        <a:ext cx="1332554" cy="799532"/>
      </dsp:txXfrm>
    </dsp:sp>
    <dsp:sp modelId="{4843091A-7DA7-4B5B-8F08-3CB05BD0ECA8}">
      <dsp:nvSpPr>
        <dsp:cNvPr id="0" name=""/>
        <dsp:cNvSpPr/>
      </dsp:nvSpPr>
      <dsp:spPr>
        <a:xfrm>
          <a:off x="3801812" y="1866521"/>
          <a:ext cx="1332554" cy="799532"/>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o-RO" sz="1000" b="1" kern="1200"/>
            <a:t>C</a:t>
          </a:r>
          <a:r>
            <a:rPr lang="lt-LT" sz="1000" b="1" kern="1200"/>
            <a:t>afenele, restaurante amenajate pe malul lacurilor</a:t>
          </a:r>
          <a:endParaRPr lang="en-US" sz="1000" b="1" kern="1200"/>
        </a:p>
      </dsp:txBody>
      <dsp:txXfrm>
        <a:off x="3801812" y="1866521"/>
        <a:ext cx="1332554" cy="79953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0A0A58-E7F5-46AF-B08C-23F321789B56}">
      <dsp:nvSpPr>
        <dsp:cNvPr id="0" name=""/>
        <dsp:cNvSpPr/>
      </dsp:nvSpPr>
      <dsp:spPr>
        <a:xfrm>
          <a:off x="1718" y="23891"/>
          <a:ext cx="1363377" cy="818026"/>
        </a:xfrm>
        <a:prstGeom prst="flowChartAlternateProcess">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Menținerea unui cadru legislativ stabil și predictibil</a:t>
          </a:r>
          <a:endParaRPr lang="en-US" sz="1200" b="1" kern="1200"/>
        </a:p>
      </dsp:txBody>
      <dsp:txXfrm>
        <a:off x="41650" y="63823"/>
        <a:ext cx="1283513" cy="738162"/>
      </dsp:txXfrm>
    </dsp:sp>
    <dsp:sp modelId="{6E4DD8D1-0CD8-471C-9BBD-4859D8FF5C98}">
      <dsp:nvSpPr>
        <dsp:cNvPr id="0" name=""/>
        <dsp:cNvSpPr/>
      </dsp:nvSpPr>
      <dsp:spPr>
        <a:xfrm>
          <a:off x="1501434" y="23891"/>
          <a:ext cx="1363377" cy="818026"/>
        </a:xfrm>
        <a:prstGeom prst="flowChartAlternateProcess">
          <a:avLst/>
        </a:prstGeom>
        <a:solidFill>
          <a:schemeClr val="accent1">
            <a:shade val="80000"/>
            <a:hueOff val="0"/>
            <a:satOff val="0"/>
            <a:lumOff val="35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Favorizarea unei infrastructuri adecvate</a:t>
          </a:r>
          <a:endParaRPr lang="en-US" sz="1200" b="1" kern="1200"/>
        </a:p>
      </dsp:txBody>
      <dsp:txXfrm>
        <a:off x="1541366" y="63823"/>
        <a:ext cx="1283513" cy="738162"/>
      </dsp:txXfrm>
    </dsp:sp>
    <dsp:sp modelId="{8BF22913-8EEB-4E83-8AE3-DACD210027B7}">
      <dsp:nvSpPr>
        <dsp:cNvPr id="0" name=""/>
        <dsp:cNvSpPr/>
      </dsp:nvSpPr>
      <dsp:spPr>
        <a:xfrm>
          <a:off x="3001149" y="23891"/>
          <a:ext cx="1363377" cy="818026"/>
        </a:xfrm>
        <a:prstGeom prst="flowChartAlternateProcess">
          <a:avLst/>
        </a:prstGeom>
        <a:solidFill>
          <a:schemeClr val="accent1">
            <a:shade val="80000"/>
            <a:hueOff val="0"/>
            <a:satOff val="0"/>
            <a:lumOff val="71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Dezvoltarea de hale industriale</a:t>
          </a:r>
          <a:endParaRPr lang="en-US" sz="1200" b="1" kern="1200"/>
        </a:p>
      </dsp:txBody>
      <dsp:txXfrm>
        <a:off x="3041081" y="63823"/>
        <a:ext cx="1283513" cy="738162"/>
      </dsp:txXfrm>
    </dsp:sp>
    <dsp:sp modelId="{67DFE1FE-833B-4B60-94EC-6C88903964D8}">
      <dsp:nvSpPr>
        <dsp:cNvPr id="0" name=""/>
        <dsp:cNvSpPr/>
      </dsp:nvSpPr>
      <dsp:spPr>
        <a:xfrm>
          <a:off x="4500865" y="23891"/>
          <a:ext cx="1363377" cy="818026"/>
        </a:xfrm>
        <a:prstGeom prst="flowChartAlternateProcess">
          <a:avLst/>
        </a:prstGeom>
        <a:solidFill>
          <a:schemeClr val="accent1">
            <a:shade val="80000"/>
            <a:hueOff val="0"/>
            <a:satOff val="0"/>
            <a:lumOff val="1077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Susținerea dezvoltării antreprenoriale</a:t>
          </a:r>
          <a:endParaRPr lang="en-US" sz="1200" b="1" kern="1200"/>
        </a:p>
      </dsp:txBody>
      <dsp:txXfrm>
        <a:off x="4540797" y="63823"/>
        <a:ext cx="1283513" cy="738162"/>
      </dsp:txXfrm>
    </dsp:sp>
    <dsp:sp modelId="{0CCF2891-2ABA-4753-9F38-76CBD6AD76E8}">
      <dsp:nvSpPr>
        <dsp:cNvPr id="0" name=""/>
        <dsp:cNvSpPr/>
      </dsp:nvSpPr>
      <dsp:spPr>
        <a:xfrm>
          <a:off x="1718" y="978255"/>
          <a:ext cx="1363377" cy="818026"/>
        </a:xfrm>
        <a:prstGeom prst="flowChartAlternateProcess">
          <a:avLst/>
        </a:prstGeom>
        <a:solidFill>
          <a:schemeClr val="accent1">
            <a:shade val="80000"/>
            <a:hueOff val="0"/>
            <a:satOff val="0"/>
            <a:lumOff val="1437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Facilități fiscale pentru companiile profitabile</a:t>
          </a:r>
          <a:endParaRPr lang="en-US" sz="1200" b="1" kern="1200"/>
        </a:p>
      </dsp:txBody>
      <dsp:txXfrm>
        <a:off x="41650" y="1018187"/>
        <a:ext cx="1283513" cy="738162"/>
      </dsp:txXfrm>
    </dsp:sp>
    <dsp:sp modelId="{FB9121C3-68C0-4B16-A8D7-7C432B1C680D}">
      <dsp:nvSpPr>
        <dsp:cNvPr id="0" name=""/>
        <dsp:cNvSpPr/>
      </dsp:nvSpPr>
      <dsp:spPr>
        <a:xfrm>
          <a:off x="1501434" y="978255"/>
          <a:ext cx="1363377" cy="818026"/>
        </a:xfrm>
        <a:prstGeom prst="flowChartAlternateProcess">
          <a:avLst/>
        </a:prstGeom>
        <a:solidFill>
          <a:schemeClr val="accent1">
            <a:shade val="80000"/>
            <a:hueOff val="0"/>
            <a:satOff val="0"/>
            <a:lumOff val="179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Aprofundarea comunicării</a:t>
          </a:r>
          <a:endParaRPr lang="en-US" sz="1200" b="1" kern="1200"/>
        </a:p>
      </dsp:txBody>
      <dsp:txXfrm>
        <a:off x="1541366" y="1018187"/>
        <a:ext cx="1283513" cy="738162"/>
      </dsp:txXfrm>
    </dsp:sp>
    <dsp:sp modelId="{FE553129-93D5-4A7A-B48C-BE458CD389B9}">
      <dsp:nvSpPr>
        <dsp:cNvPr id="0" name=""/>
        <dsp:cNvSpPr/>
      </dsp:nvSpPr>
      <dsp:spPr>
        <a:xfrm>
          <a:off x="3001149" y="978255"/>
          <a:ext cx="1363377" cy="818026"/>
        </a:xfrm>
        <a:prstGeom prst="flowChartAlternateProcess">
          <a:avLst/>
        </a:prstGeom>
        <a:solidFill>
          <a:schemeClr val="accent1">
            <a:shade val="80000"/>
            <a:hueOff val="0"/>
            <a:satOff val="0"/>
            <a:lumOff val="2155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Implicarea mediului de afaceri</a:t>
          </a:r>
          <a:endParaRPr lang="en-US" sz="1200" b="1" kern="1200"/>
        </a:p>
      </dsp:txBody>
      <dsp:txXfrm>
        <a:off x="3041081" y="1018187"/>
        <a:ext cx="1283513" cy="738162"/>
      </dsp:txXfrm>
    </dsp:sp>
    <dsp:sp modelId="{E42F362E-BF97-4B71-8B8C-3BE6F37AE439}">
      <dsp:nvSpPr>
        <dsp:cNvPr id="0" name=""/>
        <dsp:cNvSpPr/>
      </dsp:nvSpPr>
      <dsp:spPr>
        <a:xfrm>
          <a:off x="4500865" y="978255"/>
          <a:ext cx="1363377" cy="818026"/>
        </a:xfrm>
        <a:prstGeom prst="flowChartAlternateProcess">
          <a:avLst/>
        </a:prstGeom>
        <a:solidFill>
          <a:schemeClr val="accent1">
            <a:shade val="80000"/>
            <a:hueOff val="0"/>
            <a:satOff val="0"/>
            <a:lumOff val="251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Dialog și colaborare în cadrul proiectelor de dezvoltare</a:t>
          </a:r>
          <a:endParaRPr lang="en-US" sz="1200" b="1" kern="1200"/>
        </a:p>
      </dsp:txBody>
      <dsp:txXfrm>
        <a:off x="4540797" y="1018187"/>
        <a:ext cx="1283513" cy="73816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0A0A58-E7F5-46AF-B08C-23F321789B56}">
      <dsp:nvSpPr>
        <dsp:cNvPr id="0" name=""/>
        <dsp:cNvSpPr/>
      </dsp:nvSpPr>
      <dsp:spPr>
        <a:xfrm>
          <a:off x="1679" y="23288"/>
          <a:ext cx="1332275" cy="799365"/>
        </a:xfrm>
        <a:prstGeom prst="flowChartAlternateProcess">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Menținerea unui cadru legislativ stabil și predictibil</a:t>
          </a:r>
          <a:endParaRPr lang="en-US" sz="1200" b="1" kern="1200"/>
        </a:p>
      </dsp:txBody>
      <dsp:txXfrm>
        <a:off x="40700" y="62309"/>
        <a:ext cx="1254233" cy="721323"/>
      </dsp:txXfrm>
    </dsp:sp>
    <dsp:sp modelId="{6E4DD8D1-0CD8-471C-9BBD-4859D8FF5C98}">
      <dsp:nvSpPr>
        <dsp:cNvPr id="0" name=""/>
        <dsp:cNvSpPr/>
      </dsp:nvSpPr>
      <dsp:spPr>
        <a:xfrm>
          <a:off x="1467182" y="23288"/>
          <a:ext cx="1332275" cy="799365"/>
        </a:xfrm>
        <a:prstGeom prst="flowChartAlternateProcess">
          <a:avLst/>
        </a:prstGeom>
        <a:solidFill>
          <a:schemeClr val="accent1">
            <a:shade val="80000"/>
            <a:hueOff val="0"/>
            <a:satOff val="0"/>
            <a:lumOff val="35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Favorizarea unei infrastructuri adecvate</a:t>
          </a:r>
          <a:endParaRPr lang="en-US" sz="1200" b="1" kern="1200"/>
        </a:p>
      </dsp:txBody>
      <dsp:txXfrm>
        <a:off x="1506203" y="62309"/>
        <a:ext cx="1254233" cy="721323"/>
      </dsp:txXfrm>
    </dsp:sp>
    <dsp:sp modelId="{8BF22913-8EEB-4E83-8AE3-DACD210027B7}">
      <dsp:nvSpPr>
        <dsp:cNvPr id="0" name=""/>
        <dsp:cNvSpPr/>
      </dsp:nvSpPr>
      <dsp:spPr>
        <a:xfrm>
          <a:off x="2932686" y="23288"/>
          <a:ext cx="1332275" cy="799365"/>
        </a:xfrm>
        <a:prstGeom prst="flowChartAlternateProcess">
          <a:avLst/>
        </a:prstGeom>
        <a:solidFill>
          <a:schemeClr val="accent1">
            <a:shade val="80000"/>
            <a:hueOff val="0"/>
            <a:satOff val="0"/>
            <a:lumOff val="71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Dezvoltarea de hale industriale</a:t>
          </a:r>
          <a:endParaRPr lang="en-US" sz="1200" b="1" kern="1200"/>
        </a:p>
      </dsp:txBody>
      <dsp:txXfrm>
        <a:off x="2971707" y="62309"/>
        <a:ext cx="1254233" cy="721323"/>
      </dsp:txXfrm>
    </dsp:sp>
    <dsp:sp modelId="{67DFE1FE-833B-4B60-94EC-6C88903964D8}">
      <dsp:nvSpPr>
        <dsp:cNvPr id="0" name=""/>
        <dsp:cNvSpPr/>
      </dsp:nvSpPr>
      <dsp:spPr>
        <a:xfrm>
          <a:off x="4398189" y="23288"/>
          <a:ext cx="1332275" cy="799365"/>
        </a:xfrm>
        <a:prstGeom prst="flowChartAlternateProcess">
          <a:avLst/>
        </a:prstGeom>
        <a:solidFill>
          <a:schemeClr val="accent1">
            <a:shade val="80000"/>
            <a:hueOff val="0"/>
            <a:satOff val="0"/>
            <a:lumOff val="1077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Susținerea dezvoltării antreprenoriale</a:t>
          </a:r>
          <a:endParaRPr lang="en-US" sz="1200" b="1" kern="1200"/>
        </a:p>
      </dsp:txBody>
      <dsp:txXfrm>
        <a:off x="4437210" y="62309"/>
        <a:ext cx="1254233" cy="721323"/>
      </dsp:txXfrm>
    </dsp:sp>
    <dsp:sp modelId="{0CCF2891-2ABA-4753-9F38-76CBD6AD76E8}">
      <dsp:nvSpPr>
        <dsp:cNvPr id="0" name=""/>
        <dsp:cNvSpPr/>
      </dsp:nvSpPr>
      <dsp:spPr>
        <a:xfrm>
          <a:off x="1679" y="955881"/>
          <a:ext cx="1332275" cy="799365"/>
        </a:xfrm>
        <a:prstGeom prst="flowChartAlternateProcess">
          <a:avLst/>
        </a:prstGeom>
        <a:solidFill>
          <a:schemeClr val="accent1">
            <a:shade val="80000"/>
            <a:hueOff val="0"/>
            <a:satOff val="0"/>
            <a:lumOff val="1437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Facilități fiscale pentru companiile profitabile</a:t>
          </a:r>
          <a:endParaRPr lang="en-US" sz="1200" b="1" kern="1200"/>
        </a:p>
      </dsp:txBody>
      <dsp:txXfrm>
        <a:off x="40700" y="994902"/>
        <a:ext cx="1254233" cy="721323"/>
      </dsp:txXfrm>
    </dsp:sp>
    <dsp:sp modelId="{FB9121C3-68C0-4B16-A8D7-7C432B1C680D}">
      <dsp:nvSpPr>
        <dsp:cNvPr id="0" name=""/>
        <dsp:cNvSpPr/>
      </dsp:nvSpPr>
      <dsp:spPr>
        <a:xfrm>
          <a:off x="1467182" y="955881"/>
          <a:ext cx="1332275" cy="799365"/>
        </a:xfrm>
        <a:prstGeom prst="flowChartAlternateProcess">
          <a:avLst/>
        </a:prstGeom>
        <a:solidFill>
          <a:schemeClr val="accent1">
            <a:shade val="80000"/>
            <a:hueOff val="0"/>
            <a:satOff val="0"/>
            <a:lumOff val="179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Aprofundarea comunicării</a:t>
          </a:r>
          <a:endParaRPr lang="en-US" sz="1200" b="1" kern="1200"/>
        </a:p>
      </dsp:txBody>
      <dsp:txXfrm>
        <a:off x="1506203" y="994902"/>
        <a:ext cx="1254233" cy="721323"/>
      </dsp:txXfrm>
    </dsp:sp>
    <dsp:sp modelId="{FE553129-93D5-4A7A-B48C-BE458CD389B9}">
      <dsp:nvSpPr>
        <dsp:cNvPr id="0" name=""/>
        <dsp:cNvSpPr/>
      </dsp:nvSpPr>
      <dsp:spPr>
        <a:xfrm>
          <a:off x="2932686" y="955881"/>
          <a:ext cx="1332275" cy="799365"/>
        </a:xfrm>
        <a:prstGeom prst="flowChartAlternateProcess">
          <a:avLst/>
        </a:prstGeom>
        <a:solidFill>
          <a:schemeClr val="accent1">
            <a:shade val="80000"/>
            <a:hueOff val="0"/>
            <a:satOff val="0"/>
            <a:lumOff val="2155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Implicarea mediului de afaceri</a:t>
          </a:r>
          <a:endParaRPr lang="en-US" sz="1200" b="1" kern="1200"/>
        </a:p>
      </dsp:txBody>
      <dsp:txXfrm>
        <a:off x="2971707" y="994902"/>
        <a:ext cx="1254233" cy="721323"/>
      </dsp:txXfrm>
    </dsp:sp>
    <dsp:sp modelId="{E42F362E-BF97-4B71-8B8C-3BE6F37AE439}">
      <dsp:nvSpPr>
        <dsp:cNvPr id="0" name=""/>
        <dsp:cNvSpPr/>
      </dsp:nvSpPr>
      <dsp:spPr>
        <a:xfrm>
          <a:off x="4398189" y="955881"/>
          <a:ext cx="1332275" cy="799365"/>
        </a:xfrm>
        <a:prstGeom prst="flowChartAlternateProcess">
          <a:avLst/>
        </a:prstGeom>
        <a:solidFill>
          <a:schemeClr val="accent1">
            <a:shade val="80000"/>
            <a:hueOff val="0"/>
            <a:satOff val="0"/>
            <a:lumOff val="251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Dialog și colaborare în cadrul proiectelor de dezvoltare</a:t>
          </a:r>
          <a:endParaRPr lang="en-US" sz="1200" b="1" kern="1200"/>
        </a:p>
      </dsp:txBody>
      <dsp:txXfrm>
        <a:off x="4437210" y="994902"/>
        <a:ext cx="1254233" cy="72132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9DD6E8-A4CA-4C60-9C64-6AEF71FA8028}">
      <dsp:nvSpPr>
        <dsp:cNvPr id="0" name=""/>
        <dsp:cNvSpPr/>
      </dsp:nvSpPr>
      <dsp:spPr>
        <a:xfrm>
          <a:off x="1733" y="34071"/>
          <a:ext cx="1375407" cy="82524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Poziționarea favorabilă</a:t>
          </a:r>
          <a:endParaRPr lang="en-US" sz="1200" b="1" kern="1200"/>
        </a:p>
      </dsp:txBody>
      <dsp:txXfrm>
        <a:off x="1733" y="34071"/>
        <a:ext cx="1375407" cy="825244"/>
      </dsp:txXfrm>
    </dsp:sp>
    <dsp:sp modelId="{B6BFB047-00BF-47D9-8751-10728A0D4AE3}">
      <dsp:nvSpPr>
        <dsp:cNvPr id="0" name=""/>
        <dsp:cNvSpPr/>
      </dsp:nvSpPr>
      <dsp:spPr>
        <a:xfrm>
          <a:off x="1514682" y="34071"/>
          <a:ext cx="1375407" cy="825244"/>
        </a:xfrm>
        <a:prstGeom prst="rect">
          <a:avLst/>
        </a:prstGeom>
        <a:solidFill>
          <a:schemeClr val="accent2">
            <a:hueOff val="4445"/>
            <a:satOff val="-586"/>
            <a:lumOff val="150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Proximitatea față de repere de interes</a:t>
          </a:r>
          <a:endParaRPr lang="en-US" sz="1200" b="1" kern="1200"/>
        </a:p>
      </dsp:txBody>
      <dsp:txXfrm>
        <a:off x="1514682" y="34071"/>
        <a:ext cx="1375407" cy="825244"/>
      </dsp:txXfrm>
    </dsp:sp>
    <dsp:sp modelId="{E2B484FA-06AE-4983-8AFB-3C1A58C0C54E}">
      <dsp:nvSpPr>
        <dsp:cNvPr id="0" name=""/>
        <dsp:cNvSpPr/>
      </dsp:nvSpPr>
      <dsp:spPr>
        <a:xfrm>
          <a:off x="3027630" y="34071"/>
          <a:ext cx="1375407" cy="825244"/>
        </a:xfrm>
        <a:prstGeom prst="rect">
          <a:avLst/>
        </a:prstGeom>
        <a:solidFill>
          <a:schemeClr val="accent2">
            <a:hueOff val="8890"/>
            <a:satOff val="-1173"/>
            <a:lumOff val="30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Situația economică</a:t>
          </a:r>
          <a:endParaRPr lang="en-US" sz="1200" b="1" kern="1200"/>
        </a:p>
      </dsp:txBody>
      <dsp:txXfrm>
        <a:off x="3027630" y="34071"/>
        <a:ext cx="1375407" cy="825244"/>
      </dsp:txXfrm>
    </dsp:sp>
    <dsp:sp modelId="{77C10437-EC59-4E48-A004-1480EA0E956C}">
      <dsp:nvSpPr>
        <dsp:cNvPr id="0" name=""/>
        <dsp:cNvSpPr/>
      </dsp:nvSpPr>
      <dsp:spPr>
        <a:xfrm>
          <a:off x="4540579" y="34071"/>
          <a:ext cx="1375407" cy="825244"/>
        </a:xfrm>
        <a:prstGeom prst="rect">
          <a:avLst/>
        </a:prstGeom>
        <a:solidFill>
          <a:schemeClr val="accent2">
            <a:hueOff val="13336"/>
            <a:satOff val="-1759"/>
            <a:lumOff val="452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Agenți economici variați</a:t>
          </a:r>
          <a:endParaRPr lang="en-US" sz="1200" b="1" kern="1200"/>
        </a:p>
      </dsp:txBody>
      <dsp:txXfrm>
        <a:off x="4540579" y="34071"/>
        <a:ext cx="1375407" cy="825244"/>
      </dsp:txXfrm>
    </dsp:sp>
    <dsp:sp modelId="{A2B95213-D121-4CB5-9B82-3DC0443D8FC2}">
      <dsp:nvSpPr>
        <dsp:cNvPr id="0" name=""/>
        <dsp:cNvSpPr/>
      </dsp:nvSpPr>
      <dsp:spPr>
        <a:xfrm>
          <a:off x="1733" y="996856"/>
          <a:ext cx="1375407" cy="825244"/>
        </a:xfrm>
        <a:prstGeom prst="rect">
          <a:avLst/>
        </a:prstGeom>
        <a:solidFill>
          <a:schemeClr val="accent2">
            <a:hueOff val="17781"/>
            <a:satOff val="-2345"/>
            <a:lumOff val="60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Cartierele istorice</a:t>
          </a:r>
          <a:endParaRPr lang="en-US" sz="1200" b="1" kern="1200"/>
        </a:p>
      </dsp:txBody>
      <dsp:txXfrm>
        <a:off x="1733" y="996856"/>
        <a:ext cx="1375407" cy="825244"/>
      </dsp:txXfrm>
    </dsp:sp>
    <dsp:sp modelId="{3247023D-4247-412C-B0FB-D37A8E6216B1}">
      <dsp:nvSpPr>
        <dsp:cNvPr id="0" name=""/>
        <dsp:cNvSpPr/>
      </dsp:nvSpPr>
      <dsp:spPr>
        <a:xfrm>
          <a:off x="1514682" y="996856"/>
          <a:ext cx="1375407" cy="825244"/>
        </a:xfrm>
        <a:prstGeom prst="rect">
          <a:avLst/>
        </a:prstGeom>
        <a:solidFill>
          <a:schemeClr val="accent2">
            <a:hueOff val="22226"/>
            <a:satOff val="-2932"/>
            <a:lumOff val="75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Densiatea populației</a:t>
          </a:r>
          <a:endParaRPr lang="en-US" sz="1200" b="1" kern="1200"/>
        </a:p>
      </dsp:txBody>
      <dsp:txXfrm>
        <a:off x="1514682" y="996856"/>
        <a:ext cx="1375407" cy="825244"/>
      </dsp:txXfrm>
    </dsp:sp>
    <dsp:sp modelId="{E1BCEDD9-69BD-48AF-AEFE-A0C61C677306}">
      <dsp:nvSpPr>
        <dsp:cNvPr id="0" name=""/>
        <dsp:cNvSpPr/>
      </dsp:nvSpPr>
      <dsp:spPr>
        <a:xfrm>
          <a:off x="3027630" y="996856"/>
          <a:ext cx="1375407" cy="825244"/>
        </a:xfrm>
        <a:prstGeom prst="rect">
          <a:avLst/>
        </a:prstGeom>
        <a:solidFill>
          <a:schemeClr val="accent2">
            <a:hueOff val="26671"/>
            <a:satOff val="-3518"/>
            <a:lumOff val="904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Infrastructura sportivă</a:t>
          </a:r>
          <a:endParaRPr lang="en-US" sz="1200" b="1" kern="1200"/>
        </a:p>
      </dsp:txBody>
      <dsp:txXfrm>
        <a:off x="3027630" y="996856"/>
        <a:ext cx="1375407" cy="825244"/>
      </dsp:txXfrm>
    </dsp:sp>
    <dsp:sp modelId="{F9391690-9ACB-47E5-A904-4E082A2E7E9C}">
      <dsp:nvSpPr>
        <dsp:cNvPr id="0" name=""/>
        <dsp:cNvSpPr/>
      </dsp:nvSpPr>
      <dsp:spPr>
        <a:xfrm>
          <a:off x="4540579" y="996856"/>
          <a:ext cx="1375407" cy="825244"/>
        </a:xfrm>
        <a:prstGeom prst="rect">
          <a:avLst/>
        </a:prstGeom>
        <a:solidFill>
          <a:schemeClr val="accent2">
            <a:hueOff val="31117"/>
            <a:satOff val="-4105"/>
            <a:lumOff val="1054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Spațiile verzi</a:t>
          </a:r>
          <a:endParaRPr lang="en-US" sz="1200" b="1" kern="1200"/>
        </a:p>
      </dsp:txBody>
      <dsp:txXfrm>
        <a:off x="4540579" y="996856"/>
        <a:ext cx="1375407" cy="825244"/>
      </dsp:txXfrm>
    </dsp:sp>
    <dsp:sp modelId="{EF2A784B-8E76-4356-89E5-66718887EEC6}">
      <dsp:nvSpPr>
        <dsp:cNvPr id="0" name=""/>
        <dsp:cNvSpPr/>
      </dsp:nvSpPr>
      <dsp:spPr>
        <a:xfrm>
          <a:off x="1733" y="1959642"/>
          <a:ext cx="1375407" cy="825244"/>
        </a:xfrm>
        <a:prstGeom prst="rect">
          <a:avLst/>
        </a:prstGeom>
        <a:solidFill>
          <a:schemeClr val="accent2">
            <a:hueOff val="35562"/>
            <a:satOff val="-4691"/>
            <a:lumOff val="1205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Parcurile numeroase</a:t>
          </a:r>
          <a:endParaRPr lang="en-US" sz="1200" b="1" kern="1200"/>
        </a:p>
      </dsp:txBody>
      <dsp:txXfrm>
        <a:off x="1733" y="1959642"/>
        <a:ext cx="1375407" cy="825244"/>
      </dsp:txXfrm>
    </dsp:sp>
    <dsp:sp modelId="{6A70C533-532B-4208-87A0-95627B93020E}">
      <dsp:nvSpPr>
        <dsp:cNvPr id="0" name=""/>
        <dsp:cNvSpPr/>
      </dsp:nvSpPr>
      <dsp:spPr>
        <a:xfrm>
          <a:off x="1514682" y="1959642"/>
          <a:ext cx="1375407" cy="825244"/>
        </a:xfrm>
        <a:prstGeom prst="rect">
          <a:avLst/>
        </a:prstGeom>
        <a:solidFill>
          <a:schemeClr val="accent2">
            <a:hueOff val="40007"/>
            <a:satOff val="-5277"/>
            <a:lumOff val="1356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Sistem de transport bine conectat</a:t>
          </a:r>
          <a:endParaRPr lang="en-US" sz="1200" b="1" kern="1200"/>
        </a:p>
      </dsp:txBody>
      <dsp:txXfrm>
        <a:off x="1514682" y="1959642"/>
        <a:ext cx="1375407" cy="825244"/>
      </dsp:txXfrm>
    </dsp:sp>
    <dsp:sp modelId="{3F965B82-A929-4279-AC7C-EEEFC75FD294}">
      <dsp:nvSpPr>
        <dsp:cNvPr id="0" name=""/>
        <dsp:cNvSpPr/>
      </dsp:nvSpPr>
      <dsp:spPr>
        <a:xfrm>
          <a:off x="3027630" y="1959642"/>
          <a:ext cx="1375407" cy="825244"/>
        </a:xfrm>
        <a:prstGeom prst="rect">
          <a:avLst/>
        </a:prstGeom>
        <a:solidFill>
          <a:schemeClr val="accent2">
            <a:hueOff val="44452"/>
            <a:satOff val="-5864"/>
            <a:lumOff val="1506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t>Moara lui Assan</a:t>
          </a:r>
        </a:p>
      </dsp:txBody>
      <dsp:txXfrm>
        <a:off x="3027630" y="1959642"/>
        <a:ext cx="1375407" cy="825244"/>
      </dsp:txXfrm>
    </dsp:sp>
    <dsp:sp modelId="{36FA27AF-330D-4721-9047-4DB1399C0386}">
      <dsp:nvSpPr>
        <dsp:cNvPr id="0" name=""/>
        <dsp:cNvSpPr/>
      </dsp:nvSpPr>
      <dsp:spPr>
        <a:xfrm>
          <a:off x="4540579" y="1959642"/>
          <a:ext cx="1375407" cy="825244"/>
        </a:xfrm>
        <a:prstGeom prst="rect">
          <a:avLst/>
        </a:prstGeom>
        <a:solidFill>
          <a:schemeClr val="accent2">
            <a:hueOff val="48897"/>
            <a:satOff val="-6450"/>
            <a:lumOff val="1657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Diversele lacuri, râul Colentina</a:t>
          </a:r>
          <a:endParaRPr lang="en-US" sz="1200" b="1" kern="1200"/>
        </a:p>
      </dsp:txBody>
      <dsp:txXfrm>
        <a:off x="4540579" y="1959642"/>
        <a:ext cx="1375407" cy="825244"/>
      </dsp:txXfrm>
    </dsp:sp>
    <dsp:sp modelId="{22190DC8-E874-4DBC-9312-8EA1995F0751}">
      <dsp:nvSpPr>
        <dsp:cNvPr id="0" name=""/>
        <dsp:cNvSpPr/>
      </dsp:nvSpPr>
      <dsp:spPr>
        <a:xfrm>
          <a:off x="1733" y="2922427"/>
          <a:ext cx="1375407" cy="825244"/>
        </a:xfrm>
        <a:prstGeom prst="rect">
          <a:avLst/>
        </a:prstGeom>
        <a:solidFill>
          <a:schemeClr val="accent2">
            <a:hueOff val="53343"/>
            <a:satOff val="-7036"/>
            <a:lumOff val="1808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Clădirile de patrimoniu</a:t>
          </a:r>
          <a:endParaRPr lang="en-US" sz="1200" b="1" kern="1200"/>
        </a:p>
      </dsp:txBody>
      <dsp:txXfrm>
        <a:off x="1733" y="2922427"/>
        <a:ext cx="1375407" cy="825244"/>
      </dsp:txXfrm>
    </dsp:sp>
    <dsp:sp modelId="{D3C879FF-C784-4FA2-ABCD-A505069F2EEE}">
      <dsp:nvSpPr>
        <dsp:cNvPr id="0" name=""/>
        <dsp:cNvSpPr/>
      </dsp:nvSpPr>
      <dsp:spPr>
        <a:xfrm>
          <a:off x="1514682" y="2922427"/>
          <a:ext cx="1375407" cy="825244"/>
        </a:xfrm>
        <a:prstGeom prst="rect">
          <a:avLst/>
        </a:prstGeom>
        <a:solidFill>
          <a:schemeClr val="accent2">
            <a:hueOff val="57788"/>
            <a:satOff val="-7623"/>
            <a:lumOff val="1958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Piața Obor</a:t>
          </a:r>
          <a:endParaRPr lang="en-US" sz="1200" b="1" kern="1200"/>
        </a:p>
      </dsp:txBody>
      <dsp:txXfrm>
        <a:off x="1514682" y="2922427"/>
        <a:ext cx="1375407" cy="825244"/>
      </dsp:txXfrm>
    </dsp:sp>
    <dsp:sp modelId="{695833BD-5498-4B6B-B7ED-8886866A1741}">
      <dsp:nvSpPr>
        <dsp:cNvPr id="0" name=""/>
        <dsp:cNvSpPr/>
      </dsp:nvSpPr>
      <dsp:spPr>
        <a:xfrm>
          <a:off x="3027630" y="2922427"/>
          <a:ext cx="1375407" cy="825244"/>
        </a:xfrm>
        <a:prstGeom prst="rect">
          <a:avLst/>
        </a:prstGeom>
        <a:solidFill>
          <a:schemeClr val="accent2">
            <a:hueOff val="62233"/>
            <a:satOff val="-8209"/>
            <a:lumOff val="2109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Arena Națională</a:t>
          </a:r>
          <a:endParaRPr lang="en-US" sz="1200" b="1" kern="1200"/>
        </a:p>
      </dsp:txBody>
      <dsp:txXfrm>
        <a:off x="3027630" y="2922427"/>
        <a:ext cx="1375407" cy="825244"/>
      </dsp:txXfrm>
    </dsp:sp>
    <dsp:sp modelId="{13CA6EE3-5EB8-4CC1-9D9C-C8DF82712EFA}">
      <dsp:nvSpPr>
        <dsp:cNvPr id="0" name=""/>
        <dsp:cNvSpPr/>
      </dsp:nvSpPr>
      <dsp:spPr>
        <a:xfrm>
          <a:off x="4540579" y="2922427"/>
          <a:ext cx="1375407" cy="825244"/>
        </a:xfrm>
        <a:prstGeom prst="rect">
          <a:avLst/>
        </a:prstGeom>
        <a:solidFill>
          <a:schemeClr val="accent2">
            <a:hueOff val="66678"/>
            <a:satOff val="-8796"/>
            <a:lumOff val="2260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Sistemul universitar</a:t>
          </a:r>
          <a:endParaRPr lang="en-US" sz="1200" b="1" kern="1200"/>
        </a:p>
      </dsp:txBody>
      <dsp:txXfrm>
        <a:off x="4540579" y="2922427"/>
        <a:ext cx="1375407" cy="825244"/>
      </dsp:txXfrm>
    </dsp:sp>
    <dsp:sp modelId="{BF8085E8-90CF-4798-9606-98B2DA9E0674}">
      <dsp:nvSpPr>
        <dsp:cNvPr id="0" name=""/>
        <dsp:cNvSpPr/>
      </dsp:nvSpPr>
      <dsp:spPr>
        <a:xfrm>
          <a:off x="1733" y="3885213"/>
          <a:ext cx="1375407" cy="825244"/>
        </a:xfrm>
        <a:prstGeom prst="rect">
          <a:avLst/>
        </a:prstGeom>
        <a:solidFill>
          <a:schemeClr val="accent2">
            <a:hueOff val="71124"/>
            <a:satOff val="-9382"/>
            <a:lumOff val="2410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Teatrele și muzeele</a:t>
          </a:r>
          <a:endParaRPr lang="en-US" sz="1200" b="1" kern="1200"/>
        </a:p>
      </dsp:txBody>
      <dsp:txXfrm>
        <a:off x="1733" y="3885213"/>
        <a:ext cx="1375407" cy="825244"/>
      </dsp:txXfrm>
    </dsp:sp>
    <dsp:sp modelId="{7A846CDB-38C5-4F4F-ADE0-019A2DEA718A}">
      <dsp:nvSpPr>
        <dsp:cNvPr id="0" name=""/>
        <dsp:cNvSpPr/>
      </dsp:nvSpPr>
      <dsp:spPr>
        <a:xfrm>
          <a:off x="1514682" y="3885213"/>
          <a:ext cx="1375407" cy="825244"/>
        </a:xfrm>
        <a:prstGeom prst="rect">
          <a:avLst/>
        </a:prstGeom>
        <a:solidFill>
          <a:schemeClr val="accent2">
            <a:hueOff val="75569"/>
            <a:satOff val="-9968"/>
            <a:lumOff val="256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Terenuri disponibile</a:t>
          </a:r>
          <a:endParaRPr lang="en-US" sz="1200" b="1" kern="1200"/>
        </a:p>
      </dsp:txBody>
      <dsp:txXfrm>
        <a:off x="1514682" y="3885213"/>
        <a:ext cx="1375407" cy="825244"/>
      </dsp:txXfrm>
    </dsp:sp>
    <dsp:sp modelId="{51712B5E-7252-4984-872E-56F3AC21E57E}">
      <dsp:nvSpPr>
        <dsp:cNvPr id="0" name=""/>
        <dsp:cNvSpPr/>
      </dsp:nvSpPr>
      <dsp:spPr>
        <a:xfrm>
          <a:off x="3027630" y="3885213"/>
          <a:ext cx="1375407" cy="825244"/>
        </a:xfrm>
        <a:prstGeom prst="rect">
          <a:avLst/>
        </a:prstGeom>
        <a:solidFill>
          <a:schemeClr val="accent2">
            <a:hueOff val="80014"/>
            <a:satOff val="-10555"/>
            <a:lumOff val="2712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Zona de Business</a:t>
          </a:r>
          <a:endParaRPr lang="en-US" sz="1200" b="1" kern="1200"/>
        </a:p>
      </dsp:txBody>
      <dsp:txXfrm>
        <a:off x="3027630" y="3885213"/>
        <a:ext cx="1375407" cy="825244"/>
      </dsp:txXfrm>
    </dsp:sp>
    <dsp:sp modelId="{A6E7FEE0-983A-488B-AB3F-A09370621427}">
      <dsp:nvSpPr>
        <dsp:cNvPr id="0" name=""/>
        <dsp:cNvSpPr/>
      </dsp:nvSpPr>
      <dsp:spPr>
        <a:xfrm>
          <a:off x="4540579" y="3885213"/>
          <a:ext cx="1375407" cy="825244"/>
        </a:xfrm>
        <a:prstGeom prst="rect">
          <a:avLst/>
        </a:prstGeom>
        <a:solidFill>
          <a:schemeClr val="accent2">
            <a:hueOff val="84459"/>
            <a:satOff val="-11141"/>
            <a:lumOff val="286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Companiile din domeniul IT și CDI</a:t>
          </a:r>
          <a:endParaRPr lang="en-US" sz="1200" b="1" kern="1200"/>
        </a:p>
      </dsp:txBody>
      <dsp:txXfrm>
        <a:off x="4540579" y="3885213"/>
        <a:ext cx="1375407" cy="82524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CBAC6C-0E92-489D-A4C8-520219F485C2}">
      <dsp:nvSpPr>
        <dsp:cNvPr id="0" name=""/>
        <dsp:cNvSpPr/>
      </dsp:nvSpPr>
      <dsp:spPr>
        <a:xfrm>
          <a:off x="17145" y="1034"/>
          <a:ext cx="1703784" cy="1022270"/>
        </a:xfrm>
        <a:prstGeom prst="rect">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Proximitatea față de centru</a:t>
          </a:r>
          <a:endParaRPr lang="en-US" sz="1200" b="1" kern="1200"/>
        </a:p>
      </dsp:txBody>
      <dsp:txXfrm>
        <a:off x="17145" y="1034"/>
        <a:ext cx="1703784" cy="1022270"/>
      </dsp:txXfrm>
    </dsp:sp>
    <dsp:sp modelId="{98547575-8596-469A-90C4-61875ACBBCD7}">
      <dsp:nvSpPr>
        <dsp:cNvPr id="0" name=""/>
        <dsp:cNvSpPr/>
      </dsp:nvSpPr>
      <dsp:spPr>
        <a:xfrm>
          <a:off x="1891307" y="1034"/>
          <a:ext cx="1703784" cy="1022270"/>
        </a:xfrm>
        <a:prstGeom prst="rect">
          <a:avLst/>
        </a:prstGeom>
        <a:solidFill>
          <a:schemeClr val="accent1">
            <a:shade val="80000"/>
            <a:hueOff val="0"/>
            <a:satOff val="0"/>
            <a:lumOff val="502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Reprezintă zona în care s-au născut și au crescut</a:t>
          </a:r>
          <a:endParaRPr lang="en-US" sz="1200" b="1" kern="1200"/>
        </a:p>
      </dsp:txBody>
      <dsp:txXfrm>
        <a:off x="1891307" y="1034"/>
        <a:ext cx="1703784" cy="1022270"/>
      </dsp:txXfrm>
    </dsp:sp>
    <dsp:sp modelId="{7B63FF7B-98B0-4562-8F97-684596523108}">
      <dsp:nvSpPr>
        <dsp:cNvPr id="0" name=""/>
        <dsp:cNvSpPr/>
      </dsp:nvSpPr>
      <dsp:spPr>
        <a:xfrm>
          <a:off x="3765470" y="1034"/>
          <a:ext cx="1703784" cy="1022270"/>
        </a:xfrm>
        <a:prstGeom prst="rect">
          <a:avLst/>
        </a:prstGeom>
        <a:solidFill>
          <a:schemeClr val="accent1">
            <a:shade val="80000"/>
            <a:hueOff val="0"/>
            <a:satOff val="0"/>
            <a:lumOff val="100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Proximitatea față de familie și prieteni</a:t>
          </a:r>
          <a:endParaRPr lang="en-US" sz="1200" b="1" kern="1200"/>
        </a:p>
      </dsp:txBody>
      <dsp:txXfrm>
        <a:off x="3765470" y="1034"/>
        <a:ext cx="1703784" cy="1022270"/>
      </dsp:txXfrm>
    </dsp:sp>
    <dsp:sp modelId="{2D28937C-8962-457C-A2DD-17A4903606EF}">
      <dsp:nvSpPr>
        <dsp:cNvPr id="0" name=""/>
        <dsp:cNvSpPr/>
      </dsp:nvSpPr>
      <dsp:spPr>
        <a:xfrm>
          <a:off x="17145" y="1193683"/>
          <a:ext cx="1703784" cy="1022270"/>
        </a:xfrm>
        <a:prstGeom prst="rect">
          <a:avLst/>
        </a:prstGeom>
        <a:solidFill>
          <a:schemeClr val="accent1">
            <a:shade val="80000"/>
            <a:hueOff val="0"/>
            <a:satOff val="0"/>
            <a:lumOff val="1508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Specificul de zonă liniștită</a:t>
          </a:r>
          <a:endParaRPr lang="en-US" sz="1200" b="1" kern="1200"/>
        </a:p>
      </dsp:txBody>
      <dsp:txXfrm>
        <a:off x="17145" y="1193683"/>
        <a:ext cx="1703784" cy="1022270"/>
      </dsp:txXfrm>
    </dsp:sp>
    <dsp:sp modelId="{219E46FF-98F4-418E-8692-7F9B810A1BA3}">
      <dsp:nvSpPr>
        <dsp:cNvPr id="0" name=""/>
        <dsp:cNvSpPr/>
      </dsp:nvSpPr>
      <dsp:spPr>
        <a:xfrm>
          <a:off x="1891307" y="1193683"/>
          <a:ext cx="1703784" cy="1022270"/>
        </a:xfrm>
        <a:prstGeom prst="rect">
          <a:avLst/>
        </a:prstGeom>
        <a:solidFill>
          <a:schemeClr val="accent1">
            <a:shade val="80000"/>
            <a:hueOff val="0"/>
            <a:satOff val="0"/>
            <a:lumOff val="2011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Obișnuința</a:t>
          </a:r>
          <a:endParaRPr lang="en-US" sz="1200" b="1" kern="1200"/>
        </a:p>
      </dsp:txBody>
      <dsp:txXfrm>
        <a:off x="1891307" y="1193683"/>
        <a:ext cx="1703784" cy="1022270"/>
      </dsp:txXfrm>
    </dsp:sp>
    <dsp:sp modelId="{1A873C22-389E-4CE9-ADDE-A41FDB9BF784}">
      <dsp:nvSpPr>
        <dsp:cNvPr id="0" name=""/>
        <dsp:cNvSpPr/>
      </dsp:nvSpPr>
      <dsp:spPr>
        <a:xfrm>
          <a:off x="3765470" y="1193683"/>
          <a:ext cx="1703784" cy="1022270"/>
        </a:xfrm>
        <a:prstGeom prst="rect">
          <a:avLst/>
        </a:prstGeom>
        <a:solidFill>
          <a:schemeClr val="accent1">
            <a:shade val="80000"/>
            <a:hueOff val="0"/>
            <a:satOff val="0"/>
            <a:lumOff val="251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o-RO" sz="1200" b="1" kern="1200"/>
            <a:t>Existența spațiilor verzi și a parcurilor</a:t>
          </a:r>
          <a:endParaRPr lang="en-US" sz="1200" b="1" kern="1200"/>
        </a:p>
      </dsp:txBody>
      <dsp:txXfrm>
        <a:off x="3765470" y="1193683"/>
        <a:ext cx="1703784" cy="1022270"/>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112DED-F706-4F12-B70B-576FEFDDD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140</Pages>
  <Words>198700</Words>
  <Characters>1132595</Characters>
  <Application>Microsoft Office Word</Application>
  <DocSecurity>0</DocSecurity>
  <Lines>9438</Lines>
  <Paragraphs>2657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HP</Company>
  <LinksUpToDate>false</LinksUpToDate>
  <CharactersWithSpaces>1328638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noname</dc:creator>
  <cp:keywords/>
  <dc:description/>
  <cp:lastModifiedBy>Orlando Neagoe</cp:lastModifiedBy>
  <cp:revision>5</cp:revision>
  <cp:lastPrinted>2023-03-16T14:31:00Z</cp:lastPrinted>
  <dcterms:created xsi:type="dcterms:W3CDTF">2023-02-15T10:36:00Z</dcterms:created>
  <dcterms:modified xsi:type="dcterms:W3CDTF">2023-03-16T14:38:00Z</dcterms:modified>
</cp:coreProperties>
</file>